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E144C" w14:textId="6E6DE621" w:rsidR="002063C8" w:rsidRPr="00893638" w:rsidRDefault="00D939BD" w:rsidP="003B71C8">
      <w:pPr>
        <w:snapToGrid w:val="0"/>
        <w:spacing w:after="0"/>
        <w:jc w:val="right"/>
        <w:rPr>
          <w:rFonts w:ascii="Times New Roman" w:eastAsia="標楷體" w:hAnsi="Times New Roman" w:cs="Times New Roman"/>
          <w:b/>
          <w:i/>
          <w:sz w:val="28"/>
          <w:szCs w:val="28"/>
          <w:lang w:val="en-US" w:eastAsia="zh-HK"/>
        </w:rPr>
      </w:pPr>
      <w:r w:rsidRPr="00893638">
        <w:rPr>
          <w:rFonts w:ascii="Times New Roman" w:eastAsia="標楷體" w:hAnsi="Times New Roman"/>
          <w:b/>
          <w:bCs/>
          <w:i/>
          <w:color w:val="808080" w:themeColor="background1" w:themeShade="80"/>
          <w:sz w:val="24"/>
          <w:szCs w:val="28"/>
        </w:rPr>
        <w:t>Economic Letter</w:t>
      </w:r>
      <w:r w:rsidR="003B71C8" w:rsidRPr="00893638">
        <w:rPr>
          <w:rFonts w:ascii="Times New Roman" w:eastAsia="標楷體" w:hAnsi="Times New Roman"/>
          <w:b/>
          <w:bCs/>
          <w:i/>
          <w:color w:val="808080" w:themeColor="background1" w:themeShade="80"/>
          <w:sz w:val="24"/>
          <w:szCs w:val="28"/>
        </w:rPr>
        <w:t xml:space="preserve"> </w:t>
      </w:r>
      <w:r w:rsidR="008E2D14" w:rsidRPr="00893638">
        <w:rPr>
          <w:rFonts w:ascii="Times New Roman" w:eastAsia="標楷體" w:hAnsi="Times New Roman"/>
          <w:b/>
          <w:bCs/>
          <w:i/>
          <w:color w:val="808080" w:themeColor="background1" w:themeShade="80"/>
          <w:sz w:val="24"/>
          <w:szCs w:val="28"/>
        </w:rPr>
        <w:t>20</w:t>
      </w:r>
      <w:r w:rsidR="00DE0E38" w:rsidRPr="00893638">
        <w:rPr>
          <w:rFonts w:ascii="Times New Roman" w:eastAsia="標楷體" w:hAnsi="Times New Roman"/>
          <w:b/>
          <w:bCs/>
          <w:i/>
          <w:color w:val="808080" w:themeColor="background1" w:themeShade="80"/>
          <w:sz w:val="24"/>
          <w:szCs w:val="28"/>
        </w:rPr>
        <w:t>2</w:t>
      </w:r>
      <w:r w:rsidR="00076A0C">
        <w:rPr>
          <w:rFonts w:ascii="Times New Roman" w:eastAsia="標楷體" w:hAnsi="Times New Roman"/>
          <w:b/>
          <w:bCs/>
          <w:i/>
          <w:color w:val="808080" w:themeColor="background1" w:themeShade="80"/>
          <w:sz w:val="24"/>
          <w:szCs w:val="28"/>
        </w:rPr>
        <w:t>2</w:t>
      </w:r>
      <w:r w:rsidRPr="00893638">
        <w:rPr>
          <w:rFonts w:ascii="Times New Roman" w:eastAsia="標楷體" w:hAnsi="Times New Roman" w:hint="eastAsia"/>
          <w:b/>
          <w:bCs/>
          <w:i/>
          <w:color w:val="808080" w:themeColor="background1" w:themeShade="80"/>
          <w:sz w:val="24"/>
          <w:szCs w:val="28"/>
        </w:rPr>
        <w:t>/</w:t>
      </w:r>
      <w:r w:rsidR="004D286D" w:rsidRPr="000173B6">
        <w:rPr>
          <w:rFonts w:ascii="Times New Roman" w:eastAsia="標楷體" w:hAnsi="Times New Roman"/>
          <w:b/>
          <w:bCs/>
          <w:i/>
          <w:color w:val="808080" w:themeColor="background1" w:themeShade="80"/>
          <w:sz w:val="24"/>
          <w:szCs w:val="28"/>
        </w:rPr>
        <w:t>03</w:t>
      </w:r>
    </w:p>
    <w:p w14:paraId="7C1D6067" w14:textId="499E2785" w:rsidR="003B71C8" w:rsidRPr="00893638" w:rsidRDefault="003B71C8" w:rsidP="00090BA7">
      <w:pPr>
        <w:snapToGrid w:val="0"/>
        <w:spacing w:after="0"/>
        <w:jc w:val="center"/>
        <w:rPr>
          <w:rFonts w:ascii="Times New Roman" w:eastAsia="標楷體" w:hAnsi="Times New Roman" w:cs="Times New Roman"/>
          <w:b/>
          <w:i/>
          <w:sz w:val="28"/>
          <w:szCs w:val="28"/>
          <w:lang w:eastAsia="zh-HK"/>
        </w:rPr>
      </w:pPr>
    </w:p>
    <w:p w14:paraId="0E08437C" w14:textId="49D991B5" w:rsidR="00B82B74" w:rsidRPr="00893638" w:rsidRDefault="00BE1402" w:rsidP="00DD58D9">
      <w:pPr>
        <w:overflowPunct w:val="0"/>
        <w:snapToGrid w:val="0"/>
        <w:spacing w:after="0"/>
        <w:jc w:val="center"/>
        <w:rPr>
          <w:rFonts w:ascii="Times New Roman" w:eastAsia="標楷體" w:hAnsi="Times New Roman" w:cs="Times New Roman"/>
          <w:b/>
          <w:sz w:val="28"/>
          <w:szCs w:val="28"/>
          <w:lang w:eastAsia="zh-HK"/>
        </w:rPr>
      </w:pPr>
      <w:r>
        <w:rPr>
          <w:rFonts w:ascii="Times New Roman" w:eastAsia="標楷體" w:hAnsi="Times New Roman" w:cs="Times New Roman"/>
          <w:b/>
          <w:sz w:val="28"/>
          <w:szCs w:val="28"/>
          <w:lang w:eastAsia="zh-HK"/>
        </w:rPr>
        <w:t>Disentangling wage</w:t>
      </w:r>
      <w:r w:rsidR="003032F7">
        <w:rPr>
          <w:rFonts w:ascii="Times New Roman" w:eastAsia="標楷體" w:hAnsi="Times New Roman" w:cs="Times New Roman"/>
          <w:b/>
          <w:sz w:val="28"/>
          <w:szCs w:val="28"/>
          <w:lang w:eastAsia="zh-HK"/>
        </w:rPr>
        <w:t>s</w:t>
      </w:r>
      <w:r w:rsidR="00076A0C">
        <w:rPr>
          <w:rFonts w:ascii="Times New Roman" w:eastAsia="標楷體" w:hAnsi="Times New Roman" w:cs="Times New Roman"/>
          <w:b/>
          <w:sz w:val="28"/>
          <w:szCs w:val="28"/>
          <w:lang w:eastAsia="zh-HK"/>
        </w:rPr>
        <w:t xml:space="preserve"> and </w:t>
      </w:r>
      <w:r w:rsidR="00083751">
        <w:rPr>
          <w:rFonts w:ascii="Times New Roman" w:eastAsia="標楷體" w:hAnsi="Times New Roman" w:cs="Times New Roman"/>
          <w:b/>
          <w:sz w:val="28"/>
          <w:szCs w:val="28"/>
          <w:lang w:eastAsia="zh-HK"/>
        </w:rPr>
        <w:t xml:space="preserve">consumer price </w:t>
      </w:r>
      <w:r w:rsidR="00076A0C">
        <w:rPr>
          <w:rFonts w:ascii="Times New Roman" w:eastAsia="標楷體" w:hAnsi="Times New Roman" w:cs="Times New Roman"/>
          <w:b/>
          <w:sz w:val="28"/>
          <w:szCs w:val="28"/>
          <w:lang w:eastAsia="zh-HK"/>
        </w:rPr>
        <w:t>inflation in Hong Kong</w:t>
      </w:r>
    </w:p>
    <w:p w14:paraId="6E11AD75" w14:textId="335D531E" w:rsidR="000143A4" w:rsidRPr="00893638" w:rsidRDefault="000143A4" w:rsidP="00DD58D9">
      <w:pPr>
        <w:overflowPunct w:val="0"/>
        <w:snapToGrid w:val="0"/>
        <w:spacing w:after="0"/>
        <w:jc w:val="both"/>
        <w:rPr>
          <w:rFonts w:ascii="Times New Roman" w:eastAsia="標楷體" w:hAnsi="Times New Roman" w:cs="Times New Roman"/>
          <w:sz w:val="28"/>
          <w:szCs w:val="28"/>
          <w:lang w:eastAsia="zh-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DD387C" w:rsidRPr="00893638" w14:paraId="4F4B84E8" w14:textId="77777777" w:rsidTr="001C36B8">
        <w:tc>
          <w:tcPr>
            <w:tcW w:w="8296" w:type="dxa"/>
          </w:tcPr>
          <w:p w14:paraId="1D8D42E1" w14:textId="3FCD751A" w:rsidR="00DD387C" w:rsidRPr="00893638" w:rsidRDefault="00DD387C" w:rsidP="00DD58D9">
            <w:pPr>
              <w:overflowPunct w:val="0"/>
              <w:snapToGrid w:val="0"/>
              <w:jc w:val="center"/>
              <w:rPr>
                <w:rFonts w:ascii="Times New Roman" w:eastAsia="標楷體" w:hAnsi="Times New Roman" w:cs="Times New Roman"/>
                <w:sz w:val="28"/>
                <w:szCs w:val="28"/>
                <w:lang w:eastAsia="zh-HK"/>
              </w:rPr>
            </w:pPr>
            <w:r>
              <w:rPr>
                <w:rFonts w:ascii="Times New Roman" w:eastAsia="標楷體" w:hAnsi="Times New Roman" w:cs="Times New Roman"/>
                <w:sz w:val="28"/>
                <w:szCs w:val="28"/>
                <w:lang w:eastAsia="zh-HK"/>
              </w:rPr>
              <w:t>James P Vere</w:t>
            </w:r>
          </w:p>
        </w:tc>
      </w:tr>
      <w:tr w:rsidR="00DD387C" w:rsidRPr="00893638" w14:paraId="3D26B372" w14:textId="77777777" w:rsidTr="001C36B8">
        <w:tc>
          <w:tcPr>
            <w:tcW w:w="8296" w:type="dxa"/>
          </w:tcPr>
          <w:p w14:paraId="0F2297D0" w14:textId="790F3C04" w:rsidR="00DD387C" w:rsidRPr="00893638" w:rsidRDefault="00DD387C" w:rsidP="00DD387C">
            <w:pPr>
              <w:overflowPunct w:val="0"/>
              <w:snapToGrid w:val="0"/>
              <w:jc w:val="center"/>
              <w:rPr>
                <w:rFonts w:ascii="Times New Roman" w:eastAsia="標楷體" w:hAnsi="Times New Roman" w:cs="Times New Roman"/>
                <w:sz w:val="28"/>
                <w:szCs w:val="28"/>
                <w:lang w:eastAsia="zh-HK"/>
              </w:rPr>
            </w:pPr>
            <w:r>
              <w:rPr>
                <w:rFonts w:ascii="Times New Roman" w:eastAsia="標楷體" w:hAnsi="Times New Roman" w:cs="Times New Roman"/>
                <w:sz w:val="28"/>
                <w:szCs w:val="28"/>
                <w:lang w:eastAsia="zh-HK"/>
              </w:rPr>
              <w:t xml:space="preserve">Senior </w:t>
            </w:r>
            <w:r w:rsidRPr="00893638">
              <w:rPr>
                <w:rFonts w:ascii="Times New Roman" w:eastAsia="標楷體" w:hAnsi="Times New Roman" w:cs="Times New Roman"/>
                <w:sz w:val="28"/>
                <w:szCs w:val="28"/>
                <w:lang w:eastAsia="zh-HK"/>
              </w:rPr>
              <w:t>Economist</w:t>
            </w:r>
          </w:p>
        </w:tc>
      </w:tr>
    </w:tbl>
    <w:p w14:paraId="6A0A4EEE" w14:textId="6B5C60CC" w:rsidR="00E4377E" w:rsidRPr="00893638" w:rsidRDefault="00E4377E" w:rsidP="00DD58D9">
      <w:pPr>
        <w:overflowPunct w:val="0"/>
        <w:snapToGrid w:val="0"/>
        <w:spacing w:after="0"/>
        <w:rPr>
          <w:rFonts w:ascii="Times New Roman" w:eastAsia="標楷體" w:hAnsi="Times New Roman" w:cs="Times New Roman"/>
          <w:sz w:val="28"/>
          <w:szCs w:val="28"/>
          <w:lang w:eastAsia="zh-HK"/>
        </w:rPr>
      </w:pPr>
    </w:p>
    <w:p w14:paraId="2882EFBB" w14:textId="594982F3" w:rsidR="00142722" w:rsidRPr="00D32AC6" w:rsidRDefault="00F82AF0" w:rsidP="00DD58D9">
      <w:pPr>
        <w:overflowPunct w:val="0"/>
        <w:snapToGrid w:val="0"/>
        <w:spacing w:after="0"/>
        <w:jc w:val="center"/>
        <w:rPr>
          <w:rFonts w:ascii="Times New Roman" w:eastAsia="標楷體" w:hAnsi="Times New Roman" w:cs="Times New Roman"/>
          <w:sz w:val="28"/>
          <w:szCs w:val="28"/>
          <w:lang w:eastAsia="zh-HK"/>
        </w:rPr>
      </w:pPr>
      <w:r w:rsidRPr="000173B6">
        <w:rPr>
          <w:rFonts w:ascii="Times New Roman" w:eastAsia="標楷體" w:hAnsi="Times New Roman" w:cs="Times New Roman"/>
          <w:sz w:val="28"/>
          <w:szCs w:val="28"/>
          <w:lang w:eastAsia="zh-HK"/>
        </w:rPr>
        <w:t>August</w:t>
      </w:r>
      <w:r w:rsidR="000143A4" w:rsidRPr="000173B6">
        <w:rPr>
          <w:rFonts w:ascii="Times New Roman" w:eastAsia="標楷體" w:hAnsi="Times New Roman" w:cs="Times New Roman"/>
          <w:sz w:val="28"/>
          <w:szCs w:val="28"/>
          <w:lang w:eastAsia="zh-HK"/>
        </w:rPr>
        <w:t xml:space="preserve"> </w:t>
      </w:r>
      <w:r w:rsidR="008E2D14" w:rsidRPr="000173B6">
        <w:rPr>
          <w:rFonts w:ascii="Times New Roman" w:eastAsia="標楷體" w:hAnsi="Times New Roman" w:cs="Times New Roman"/>
          <w:sz w:val="28"/>
          <w:szCs w:val="28"/>
          <w:lang w:eastAsia="zh-HK"/>
        </w:rPr>
        <w:t>2</w:t>
      </w:r>
      <w:r w:rsidR="008E2D14" w:rsidRPr="00D32AC6">
        <w:rPr>
          <w:rFonts w:ascii="Times New Roman" w:eastAsia="標楷體" w:hAnsi="Times New Roman" w:cs="Times New Roman"/>
          <w:sz w:val="28"/>
          <w:szCs w:val="28"/>
          <w:lang w:eastAsia="zh-HK"/>
        </w:rPr>
        <w:t>02</w:t>
      </w:r>
      <w:r w:rsidR="00076A0C">
        <w:rPr>
          <w:rFonts w:ascii="Times New Roman" w:eastAsia="標楷體" w:hAnsi="Times New Roman" w:cs="Times New Roman"/>
          <w:sz w:val="28"/>
          <w:szCs w:val="28"/>
          <w:lang w:eastAsia="zh-HK"/>
        </w:rPr>
        <w:t>2</w:t>
      </w:r>
    </w:p>
    <w:p w14:paraId="4233A8A8" w14:textId="30CC3290" w:rsidR="00161A34" w:rsidRPr="00D32AC6" w:rsidRDefault="00161A34" w:rsidP="00DD58D9">
      <w:pPr>
        <w:overflowPunct w:val="0"/>
        <w:snapToGrid w:val="0"/>
        <w:spacing w:after="0"/>
        <w:jc w:val="both"/>
        <w:rPr>
          <w:rFonts w:ascii="Times New Roman" w:eastAsia="標楷體" w:hAnsi="Times New Roman" w:cs="Times New Roman"/>
          <w:sz w:val="28"/>
          <w:szCs w:val="28"/>
          <w:lang w:eastAsia="zh-HK"/>
        </w:rPr>
      </w:pPr>
    </w:p>
    <w:p w14:paraId="52DA190F" w14:textId="7166DE2D" w:rsidR="00B8351D" w:rsidRPr="00D32AC6" w:rsidRDefault="00142722" w:rsidP="00DD58D9">
      <w:pPr>
        <w:overflowPunct w:val="0"/>
        <w:snapToGrid w:val="0"/>
        <w:spacing w:afterLines="50" w:after="120"/>
        <w:jc w:val="center"/>
        <w:rPr>
          <w:rFonts w:ascii="Times New Roman" w:eastAsia="標楷體" w:hAnsi="Times New Roman" w:cs="Times New Roman"/>
          <w:b/>
          <w:sz w:val="26"/>
          <w:szCs w:val="26"/>
          <w:lang w:eastAsia="zh-HK"/>
        </w:rPr>
      </w:pPr>
      <w:r w:rsidRPr="00D32AC6">
        <w:rPr>
          <w:rFonts w:ascii="Times New Roman" w:eastAsia="標楷體" w:hAnsi="Times New Roman" w:cs="Times New Roman"/>
          <w:b/>
          <w:sz w:val="26"/>
          <w:szCs w:val="26"/>
          <w:lang w:eastAsia="zh-HK"/>
        </w:rPr>
        <w:t>Abstract</w:t>
      </w:r>
    </w:p>
    <w:p w14:paraId="14004119" w14:textId="1BBE482F" w:rsidR="00B8351D" w:rsidRPr="00D32AC6" w:rsidRDefault="00233FC2" w:rsidP="00DD58D9">
      <w:pPr>
        <w:overflowPunct w:val="0"/>
        <w:snapToGrid w:val="0"/>
        <w:spacing w:after="0"/>
        <w:jc w:val="both"/>
        <w:rPr>
          <w:rFonts w:ascii="Times New Roman" w:eastAsia="標楷體" w:hAnsi="Times New Roman" w:cs="Times New Roman"/>
          <w:sz w:val="26"/>
          <w:szCs w:val="26"/>
        </w:rPr>
      </w:pPr>
      <w:r w:rsidRPr="00D71305">
        <w:rPr>
          <w:rFonts w:ascii="Times New Roman" w:hAnsi="Times New Roman"/>
          <w:sz w:val="26"/>
          <w:szCs w:val="26"/>
        </w:rPr>
        <w:t xml:space="preserve">This article explores the relationship between </w:t>
      </w:r>
      <w:r>
        <w:rPr>
          <w:rFonts w:ascii="Times New Roman" w:hAnsi="Times New Roman"/>
          <w:sz w:val="26"/>
          <w:szCs w:val="26"/>
        </w:rPr>
        <w:t>nominal wages and consumer prices</w:t>
      </w:r>
      <w:r w:rsidRPr="00D71305">
        <w:rPr>
          <w:rFonts w:ascii="Times New Roman" w:hAnsi="Times New Roman"/>
          <w:sz w:val="26"/>
          <w:szCs w:val="26"/>
        </w:rPr>
        <w:t xml:space="preserve"> in Hong Kong with quarterly data from 1984 to 2021</w:t>
      </w:r>
      <w:r w:rsidR="00F96B9D">
        <w:rPr>
          <w:rFonts w:ascii="Times New Roman" w:hAnsi="Times New Roman"/>
          <w:sz w:val="26"/>
          <w:szCs w:val="26"/>
        </w:rPr>
        <w:t>.</w:t>
      </w:r>
      <w:r>
        <w:rPr>
          <w:rFonts w:ascii="Times New Roman" w:hAnsi="Times New Roman"/>
          <w:sz w:val="26"/>
          <w:szCs w:val="26"/>
        </w:rPr>
        <w:t xml:space="preserve">  As predicted by theory, consumer prices and productivity-adjusted nominal wages track each other over the long term.</w:t>
      </w:r>
      <w:r w:rsidR="00CF2E90">
        <w:rPr>
          <w:rFonts w:ascii="Times New Roman" w:hAnsi="Times New Roman"/>
          <w:sz w:val="26"/>
          <w:szCs w:val="26"/>
        </w:rPr>
        <w:t xml:space="preserve">  In the short term, Granger causality tests and a differenced vector autoregression model show that consumer prices tend to respond more quickly to </w:t>
      </w:r>
      <w:r w:rsidR="009610D1">
        <w:rPr>
          <w:rFonts w:ascii="Times New Roman" w:hAnsi="Times New Roman"/>
          <w:sz w:val="26"/>
          <w:szCs w:val="26"/>
        </w:rPr>
        <w:t xml:space="preserve">external </w:t>
      </w:r>
      <w:r w:rsidR="00CF2E90">
        <w:rPr>
          <w:rFonts w:ascii="Times New Roman" w:hAnsi="Times New Roman"/>
          <w:sz w:val="26"/>
          <w:szCs w:val="26"/>
        </w:rPr>
        <w:t xml:space="preserve">economic shocks.  Consequently, </w:t>
      </w:r>
      <w:r w:rsidR="00F401F9">
        <w:rPr>
          <w:rFonts w:ascii="Times New Roman" w:hAnsi="Times New Roman"/>
          <w:sz w:val="26"/>
          <w:szCs w:val="26"/>
        </w:rPr>
        <w:t xml:space="preserve">over the past few decades, </w:t>
      </w:r>
      <w:r w:rsidR="00CF2E90">
        <w:rPr>
          <w:rFonts w:ascii="Times New Roman" w:hAnsi="Times New Roman"/>
          <w:sz w:val="26"/>
          <w:szCs w:val="26"/>
        </w:rPr>
        <w:t xml:space="preserve">consumer prices </w:t>
      </w:r>
      <w:r w:rsidR="00F401F9">
        <w:rPr>
          <w:rFonts w:ascii="Times New Roman" w:hAnsi="Times New Roman"/>
          <w:sz w:val="26"/>
          <w:szCs w:val="26"/>
        </w:rPr>
        <w:t>have been</w:t>
      </w:r>
      <w:r w:rsidR="00CF2E90">
        <w:rPr>
          <w:rFonts w:ascii="Times New Roman" w:hAnsi="Times New Roman"/>
          <w:sz w:val="26"/>
          <w:szCs w:val="26"/>
        </w:rPr>
        <w:t xml:space="preserve"> a leading indicator of productivity-adjusted nominal wages.</w:t>
      </w:r>
    </w:p>
    <w:p w14:paraId="68CE1E17" w14:textId="77777777" w:rsidR="00150770" w:rsidRPr="00D32AC6" w:rsidRDefault="00150770" w:rsidP="00DD58D9">
      <w:pPr>
        <w:overflowPunct w:val="0"/>
        <w:snapToGrid w:val="0"/>
        <w:spacing w:after="0"/>
        <w:jc w:val="both"/>
        <w:rPr>
          <w:rFonts w:ascii="Times New Roman" w:eastAsia="標楷體" w:hAnsi="Times New Roman" w:cs="Times New Roman"/>
          <w:sz w:val="28"/>
          <w:szCs w:val="28"/>
          <w:lang w:eastAsia="zh-HK"/>
        </w:rPr>
      </w:pPr>
    </w:p>
    <w:p w14:paraId="46655988" w14:textId="371F9FA1" w:rsidR="0010627C" w:rsidRPr="0007056E" w:rsidRDefault="003459D3" w:rsidP="00DD58D9">
      <w:pPr>
        <w:overflowPunct w:val="0"/>
        <w:snapToGrid w:val="0"/>
        <w:spacing w:afterLines="50" w:after="120"/>
        <w:jc w:val="center"/>
        <w:rPr>
          <w:rFonts w:ascii="標楷體" w:eastAsia="SimSun" w:hAnsi="標楷體" w:cs="Times New Roman"/>
          <w:b/>
          <w:sz w:val="26"/>
          <w:szCs w:val="26"/>
        </w:rPr>
      </w:pPr>
      <w:r w:rsidRPr="0007056E">
        <w:rPr>
          <w:rFonts w:ascii="Times New Roman" w:eastAsia="標楷體" w:hAnsi="Times New Roman" w:cs="Times New Roman" w:hint="eastAsia"/>
          <w:b/>
          <w:sz w:val="26"/>
          <w:szCs w:val="26"/>
          <w:lang w:eastAsia="zh-HK"/>
        </w:rPr>
        <w:t>解構香港的工資及消</w:t>
      </w:r>
      <w:r w:rsidRPr="0007056E">
        <w:rPr>
          <w:rFonts w:ascii="Times New Roman" w:eastAsia="標楷體" w:hAnsi="Times New Roman" w:cs="Times New Roman" w:hint="eastAsia"/>
          <w:b/>
          <w:sz w:val="26"/>
          <w:szCs w:val="26"/>
        </w:rPr>
        <w:t>費</w:t>
      </w:r>
      <w:r w:rsidRPr="0007056E">
        <w:rPr>
          <w:rFonts w:ascii="Times New Roman" w:eastAsia="標楷體" w:hAnsi="Times New Roman" w:cs="Times New Roman" w:hint="eastAsia"/>
          <w:b/>
          <w:sz w:val="26"/>
          <w:szCs w:val="26"/>
          <w:lang w:eastAsia="zh-HK"/>
        </w:rPr>
        <w:t>物價通脹</w:t>
      </w:r>
    </w:p>
    <w:p w14:paraId="392895F1" w14:textId="77777777" w:rsidR="00B8351D" w:rsidRPr="008156FB" w:rsidRDefault="000E6989" w:rsidP="00DD58D9">
      <w:pPr>
        <w:overflowPunct w:val="0"/>
        <w:snapToGrid w:val="0"/>
        <w:spacing w:afterLines="50" w:after="120"/>
        <w:jc w:val="center"/>
        <w:rPr>
          <w:rFonts w:ascii="Times New Roman" w:eastAsia="標楷體" w:hAnsi="Times New Roman" w:cs="Times New Roman"/>
          <w:b/>
          <w:sz w:val="26"/>
          <w:szCs w:val="26"/>
          <w:lang w:eastAsia="zh-HK"/>
        </w:rPr>
      </w:pPr>
      <w:r w:rsidRPr="008156FB">
        <w:rPr>
          <w:rFonts w:ascii="Times New Roman" w:eastAsia="標楷體" w:hAnsi="Times New Roman" w:cs="Times New Roman" w:hint="eastAsia"/>
          <w:b/>
          <w:sz w:val="26"/>
          <w:szCs w:val="26"/>
          <w:lang w:eastAsia="zh-HK"/>
        </w:rPr>
        <w:t>摘要</w:t>
      </w:r>
    </w:p>
    <w:p w14:paraId="4014C108" w14:textId="44609C37" w:rsidR="00B8351D" w:rsidRPr="00893638" w:rsidRDefault="003459D3" w:rsidP="00D32AC6">
      <w:pPr>
        <w:overflowPunct w:val="0"/>
        <w:jc w:val="both"/>
        <w:rPr>
          <w:rFonts w:ascii="Times New Roman" w:eastAsia="標楷體" w:hAnsi="Times New Roman" w:cs="Times New Roman"/>
          <w:sz w:val="26"/>
          <w:szCs w:val="26"/>
        </w:rPr>
      </w:pPr>
      <w:r w:rsidRPr="0007056E">
        <w:rPr>
          <w:rFonts w:ascii="Times New Roman" w:eastAsia="標楷體" w:hAnsi="Times New Roman" w:cs="Times New Roman" w:hint="eastAsia"/>
          <w:sz w:val="26"/>
          <w:szCs w:val="26"/>
          <w:lang w:eastAsia="zh-HK"/>
        </w:rPr>
        <w:t>本文利用</w:t>
      </w:r>
      <w:r w:rsidRPr="0007056E">
        <w:rPr>
          <w:rFonts w:ascii="Times New Roman" w:eastAsia="標楷體" w:hAnsi="Times New Roman" w:cs="Times New Roman"/>
          <w:sz w:val="26"/>
          <w:szCs w:val="26"/>
        </w:rPr>
        <w:t>1984</w:t>
      </w:r>
      <w:r w:rsidRPr="0007056E">
        <w:rPr>
          <w:rFonts w:ascii="Times New Roman" w:eastAsia="標楷體" w:hAnsi="Times New Roman" w:cs="Times New Roman" w:hint="eastAsia"/>
          <w:sz w:val="26"/>
          <w:szCs w:val="26"/>
          <w:lang w:eastAsia="zh-HK"/>
        </w:rPr>
        <w:t>年至</w:t>
      </w:r>
      <w:r w:rsidRPr="0007056E">
        <w:rPr>
          <w:rFonts w:ascii="Times New Roman" w:eastAsia="標楷體" w:hAnsi="Times New Roman" w:cs="Times New Roman" w:hint="eastAsia"/>
          <w:sz w:val="26"/>
          <w:szCs w:val="26"/>
        </w:rPr>
        <w:t>2021</w:t>
      </w:r>
      <w:r w:rsidRPr="0007056E">
        <w:rPr>
          <w:rFonts w:ascii="Times New Roman" w:eastAsia="標楷體" w:hAnsi="Times New Roman" w:cs="Times New Roman" w:hint="eastAsia"/>
          <w:sz w:val="26"/>
          <w:szCs w:val="26"/>
          <w:lang w:eastAsia="zh-HK"/>
        </w:rPr>
        <w:t>年間的季度數</w:t>
      </w:r>
      <w:r w:rsidRPr="0007056E">
        <w:rPr>
          <w:rFonts w:ascii="Times New Roman" w:eastAsia="標楷體" w:hAnsi="Times New Roman" w:cs="Times New Roman" w:hint="eastAsia"/>
          <w:sz w:val="26"/>
          <w:szCs w:val="26"/>
        </w:rPr>
        <w:t>據，</w:t>
      </w:r>
      <w:r w:rsidRPr="0007056E">
        <w:rPr>
          <w:rFonts w:ascii="Times New Roman" w:eastAsia="標楷體" w:hAnsi="Times New Roman" w:cs="Times New Roman" w:hint="eastAsia"/>
          <w:sz w:val="26"/>
          <w:szCs w:val="26"/>
          <w:lang w:eastAsia="zh-HK"/>
        </w:rPr>
        <w:t>探討香港名義工資</w:t>
      </w:r>
      <w:r w:rsidR="00D8089C" w:rsidRPr="0007056E">
        <w:rPr>
          <w:rFonts w:ascii="Times New Roman" w:eastAsia="標楷體" w:hAnsi="Times New Roman" w:cs="Times New Roman" w:hint="eastAsia"/>
          <w:sz w:val="26"/>
          <w:szCs w:val="26"/>
          <w:lang w:eastAsia="zh-HK"/>
        </w:rPr>
        <w:t>和</w:t>
      </w:r>
      <w:r w:rsidRPr="0007056E">
        <w:rPr>
          <w:rFonts w:ascii="Times New Roman" w:eastAsia="標楷體" w:hAnsi="Times New Roman" w:cs="Times New Roman" w:hint="eastAsia"/>
          <w:sz w:val="26"/>
          <w:szCs w:val="26"/>
          <w:lang w:eastAsia="zh-HK"/>
        </w:rPr>
        <w:t>消</w:t>
      </w:r>
      <w:r w:rsidRPr="0007056E">
        <w:rPr>
          <w:rFonts w:ascii="Times New Roman" w:eastAsia="標楷體" w:hAnsi="Times New Roman" w:cs="Times New Roman" w:hint="eastAsia"/>
          <w:sz w:val="26"/>
          <w:szCs w:val="26"/>
        </w:rPr>
        <w:t>費</w:t>
      </w:r>
      <w:r w:rsidRPr="0007056E">
        <w:rPr>
          <w:rFonts w:ascii="Times New Roman" w:eastAsia="標楷體" w:hAnsi="Times New Roman" w:cs="Times New Roman" w:hint="eastAsia"/>
          <w:sz w:val="26"/>
          <w:szCs w:val="26"/>
          <w:lang w:eastAsia="zh-HK"/>
        </w:rPr>
        <w:t>物價的關</w:t>
      </w:r>
      <w:r w:rsidRPr="0007056E">
        <w:rPr>
          <w:rFonts w:ascii="Times New Roman" w:eastAsia="標楷體" w:hAnsi="Times New Roman" w:cs="Times New Roman" w:hint="eastAsia"/>
          <w:sz w:val="26"/>
          <w:szCs w:val="26"/>
        </w:rPr>
        <w:t>係</w:t>
      </w:r>
      <w:r w:rsidR="008360AB" w:rsidRPr="0007056E">
        <w:rPr>
          <w:rFonts w:ascii="Times New Roman" w:eastAsia="標楷體" w:hAnsi="Times New Roman" w:cs="Times New Roman" w:hint="eastAsia"/>
          <w:sz w:val="26"/>
          <w:szCs w:val="26"/>
        </w:rPr>
        <w:t>。</w:t>
      </w:r>
      <w:r w:rsidRPr="0007056E">
        <w:rPr>
          <w:rFonts w:ascii="Times New Roman" w:eastAsia="標楷體" w:hAnsi="Times New Roman" w:cs="Times New Roman" w:hint="eastAsia"/>
          <w:sz w:val="26"/>
          <w:szCs w:val="26"/>
          <w:lang w:eastAsia="zh-HK"/>
        </w:rPr>
        <w:t>正如理論所預</w:t>
      </w:r>
      <w:r w:rsidRPr="0007056E">
        <w:rPr>
          <w:rFonts w:ascii="Times New Roman" w:eastAsia="標楷體" w:hAnsi="Times New Roman" w:cs="Times New Roman" w:hint="eastAsia"/>
          <w:sz w:val="26"/>
          <w:szCs w:val="26"/>
        </w:rPr>
        <w:t>測，</w:t>
      </w:r>
      <w:r w:rsidRPr="0007056E">
        <w:rPr>
          <w:rFonts w:ascii="Times New Roman" w:eastAsia="標楷體" w:hAnsi="Times New Roman" w:cs="Times New Roman" w:hint="eastAsia"/>
          <w:sz w:val="26"/>
          <w:szCs w:val="26"/>
          <w:lang w:eastAsia="zh-HK"/>
        </w:rPr>
        <w:t>長期而言，消</w:t>
      </w:r>
      <w:r w:rsidRPr="0007056E">
        <w:rPr>
          <w:rFonts w:ascii="Times New Roman" w:eastAsia="標楷體" w:hAnsi="Times New Roman" w:cs="Times New Roman" w:hint="eastAsia"/>
          <w:sz w:val="26"/>
          <w:szCs w:val="26"/>
        </w:rPr>
        <w:t>費</w:t>
      </w:r>
      <w:r w:rsidRPr="0007056E">
        <w:rPr>
          <w:rFonts w:ascii="Times New Roman" w:eastAsia="標楷體" w:hAnsi="Times New Roman" w:cs="Times New Roman" w:hint="eastAsia"/>
          <w:sz w:val="26"/>
          <w:szCs w:val="26"/>
          <w:lang w:eastAsia="zh-HK"/>
        </w:rPr>
        <w:t>物價</w:t>
      </w:r>
      <w:r w:rsidR="00D8089C" w:rsidRPr="0007056E">
        <w:rPr>
          <w:rFonts w:ascii="Times New Roman" w:eastAsia="標楷體" w:hAnsi="Times New Roman" w:cs="Times New Roman" w:hint="eastAsia"/>
          <w:sz w:val="26"/>
          <w:szCs w:val="26"/>
          <w:lang w:eastAsia="zh-HK"/>
        </w:rPr>
        <w:t>和</w:t>
      </w:r>
      <w:r w:rsidRPr="0007056E">
        <w:rPr>
          <w:rFonts w:ascii="Times New Roman" w:eastAsia="標楷體" w:hAnsi="Times New Roman" w:cs="Times New Roman" w:hint="eastAsia"/>
          <w:sz w:val="26"/>
          <w:szCs w:val="26"/>
          <w:lang w:eastAsia="zh-HK"/>
        </w:rPr>
        <w:t>經生</w:t>
      </w:r>
      <w:r w:rsidRPr="0007056E">
        <w:rPr>
          <w:rFonts w:ascii="Times New Roman" w:eastAsia="標楷體" w:hAnsi="Times New Roman" w:cs="Times New Roman" w:hint="eastAsia"/>
          <w:sz w:val="26"/>
          <w:szCs w:val="26"/>
        </w:rPr>
        <w:t>產</w:t>
      </w:r>
      <w:r w:rsidRPr="0007056E">
        <w:rPr>
          <w:rFonts w:ascii="Times New Roman" w:eastAsia="標楷體" w:hAnsi="Times New Roman" w:cs="Times New Roman" w:hint="eastAsia"/>
          <w:sz w:val="26"/>
          <w:szCs w:val="26"/>
          <w:lang w:eastAsia="zh-HK"/>
        </w:rPr>
        <w:t>力</w:t>
      </w:r>
      <w:r>
        <w:rPr>
          <w:rFonts w:ascii="Times New Roman" w:eastAsia="標楷體" w:hAnsi="Times New Roman" w:cs="Times New Roman" w:hint="eastAsia"/>
          <w:sz w:val="26"/>
          <w:szCs w:val="26"/>
          <w:lang w:eastAsia="zh-HK"/>
        </w:rPr>
        <w:t>調</w:t>
      </w:r>
      <w:r>
        <w:rPr>
          <w:rFonts w:ascii="Times New Roman" w:eastAsia="標楷體" w:hAnsi="Times New Roman" w:cs="Times New Roman" w:hint="eastAsia"/>
          <w:sz w:val="26"/>
          <w:szCs w:val="26"/>
        </w:rPr>
        <w:t>整</w:t>
      </w:r>
      <w:r>
        <w:rPr>
          <w:rFonts w:ascii="Times New Roman" w:eastAsia="標楷體" w:hAnsi="Times New Roman" w:cs="Times New Roman" w:hint="eastAsia"/>
          <w:sz w:val="26"/>
          <w:szCs w:val="26"/>
          <w:lang w:eastAsia="zh-HK"/>
        </w:rPr>
        <w:t>的名義工資兩者的走</w:t>
      </w:r>
      <w:r>
        <w:rPr>
          <w:rFonts w:ascii="Times New Roman" w:eastAsia="標楷體" w:hAnsi="Times New Roman" w:cs="Times New Roman" w:hint="eastAsia"/>
          <w:sz w:val="26"/>
          <w:szCs w:val="26"/>
        </w:rPr>
        <w:t>勢</w:t>
      </w:r>
      <w:r>
        <w:rPr>
          <w:rFonts w:ascii="Times New Roman" w:eastAsia="標楷體" w:hAnsi="Times New Roman" w:cs="Times New Roman" w:hint="eastAsia"/>
          <w:sz w:val="26"/>
          <w:szCs w:val="26"/>
          <w:lang w:eastAsia="zh-HK"/>
        </w:rPr>
        <w:t>亦</w:t>
      </w:r>
      <w:r>
        <w:rPr>
          <w:rFonts w:ascii="Times New Roman" w:eastAsia="標楷體" w:hAnsi="Times New Roman" w:cs="Times New Roman" w:hint="eastAsia"/>
          <w:sz w:val="26"/>
          <w:szCs w:val="26"/>
        </w:rPr>
        <w:t>步亦趨。</w:t>
      </w:r>
      <w:r w:rsidR="00D8089C">
        <w:rPr>
          <w:rFonts w:ascii="Times New Roman" w:eastAsia="標楷體" w:hAnsi="Times New Roman" w:cs="Times New Roman" w:hint="eastAsia"/>
          <w:sz w:val="26"/>
          <w:szCs w:val="26"/>
          <w:lang w:eastAsia="zh-HK"/>
        </w:rPr>
        <w:t>在短期，</w:t>
      </w:r>
      <w:r w:rsidR="00D8089C" w:rsidRPr="00D8089C">
        <w:rPr>
          <w:rFonts w:ascii="Times New Roman" w:eastAsia="標楷體" w:hAnsi="Times New Roman" w:cs="Times New Roman" w:hint="eastAsia"/>
          <w:sz w:val="26"/>
          <w:szCs w:val="26"/>
          <w:lang w:eastAsia="zh-HK"/>
        </w:rPr>
        <w:t>格蘭傑因果關係檢驗</w:t>
      </w:r>
      <w:r w:rsidR="00D7615A" w:rsidRPr="00D32AC6">
        <w:rPr>
          <w:rFonts w:ascii="Times New Roman" w:eastAsia="標楷體" w:hAnsi="Times New Roman" w:cs="Times New Roman"/>
          <w:noProof/>
          <w:sz w:val="28"/>
          <w:szCs w:val="28"/>
        </w:rPr>
        <mc:AlternateContent>
          <mc:Choice Requires="wps">
            <w:drawing>
              <wp:anchor distT="0" distB="0" distL="114300" distR="114300" simplePos="0" relativeHeight="251657216" behindDoc="0" locked="0" layoutInCell="1" allowOverlap="1" wp14:anchorId="5860B44C" wp14:editId="10F19E14">
                <wp:simplePos x="0" y="0"/>
                <wp:positionH relativeFrom="column">
                  <wp:posOffset>3810</wp:posOffset>
                </wp:positionH>
                <wp:positionV relativeFrom="bottomMargin">
                  <wp:posOffset>-467995</wp:posOffset>
                </wp:positionV>
                <wp:extent cx="5274000" cy="468000"/>
                <wp:effectExtent l="0" t="0" r="22225" b="27305"/>
                <wp:wrapTopAndBottom/>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000" cy="468000"/>
                        </a:xfrm>
                        <a:prstGeom prst="rect">
                          <a:avLst/>
                        </a:prstGeom>
                        <a:solidFill>
                          <a:srgbClr val="FFFFFF"/>
                        </a:solidFill>
                        <a:ln w="9525">
                          <a:solidFill>
                            <a:srgbClr val="000000"/>
                          </a:solidFill>
                          <a:miter lim="800000"/>
                          <a:headEnd/>
                          <a:tailEnd/>
                        </a:ln>
                      </wps:spPr>
                      <wps:txbx>
                        <w:txbxContent>
                          <w:p w14:paraId="1A30023B" w14:textId="77777777" w:rsidR="001B0990" w:rsidRPr="00892869" w:rsidRDefault="001B0990" w:rsidP="00892869">
                            <w:pPr>
                              <w:snapToGrid w:val="0"/>
                              <w:spacing w:after="0" w:line="240" w:lineRule="auto"/>
                              <w:jc w:val="both"/>
                              <w:rPr>
                                <w:rFonts w:ascii="Times New Roman" w:eastAsia="標楷體" w:hAnsi="Times New Roman" w:cs="Times New Roman"/>
                                <w:sz w:val="24"/>
                                <w:szCs w:val="24"/>
                                <w:lang w:eastAsia="zh-HK"/>
                              </w:rPr>
                            </w:pPr>
                            <w:r w:rsidRPr="00892869">
                              <w:rPr>
                                <w:rFonts w:ascii="Times New Roman" w:eastAsia="標楷體" w:hAnsi="Times New Roman" w:cs="Times New Roman" w:hint="eastAsia"/>
                                <w:sz w:val="24"/>
                                <w:szCs w:val="24"/>
                                <w:lang w:eastAsia="zh-HK"/>
                              </w:rPr>
                              <w:t xml:space="preserve">The views and analysis expressed in this article are those of the author and do not necessarily represent the views of the </w:t>
                            </w:r>
                            <w:r w:rsidRPr="00892869">
                              <w:rPr>
                                <w:rFonts w:ascii="Times New Roman" w:eastAsia="標楷體" w:hAnsi="Times New Roman" w:cs="Times New Roman"/>
                                <w:sz w:val="24"/>
                                <w:szCs w:val="24"/>
                                <w:lang w:eastAsia="zh-HK"/>
                              </w:rPr>
                              <w:t>Office of the Government Economist</w:t>
                            </w:r>
                            <w:r w:rsidRPr="00892869">
                              <w:rPr>
                                <w:rFonts w:ascii="Times New Roman" w:eastAsia="標楷體" w:hAnsi="Times New Roman" w:cs="Times New Roman" w:hint="eastAsia"/>
                                <w:sz w:val="24"/>
                                <w:szCs w:val="24"/>
                                <w:lang w:eastAsia="zh-HK"/>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60B44C" id="_x0000_t202" coordsize="21600,21600" o:spt="202" path="m,l,21600r21600,l21600,xe">
                <v:stroke joinstyle="miter"/>
                <v:path gradientshapeok="t" o:connecttype="rect"/>
              </v:shapetype>
              <v:shape id="文字方塊 2" o:spid="_x0000_s1026" type="#_x0000_t202" style="position:absolute;left:0;text-align:left;margin-left:.3pt;margin-top:-36.85pt;width:415.3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">
                <v:textbox>
                  <w:txbxContent>
                    <w:p w14:paraId="1A30023B" w14:textId="77777777" w:rsidR="001B0990" w:rsidRPr="00892869" w:rsidRDefault="001B0990" w:rsidP="00892869">
                      <w:pPr>
                        <w:snapToGrid w:val="0"/>
                        <w:spacing w:after="0" w:line="240" w:lineRule="auto"/>
                        <w:jc w:val="both"/>
                        <w:rPr>
                          <w:rFonts w:ascii="Times New Roman" w:eastAsia="標楷體" w:hAnsi="Times New Roman" w:cs="Times New Roman"/>
                          <w:sz w:val="24"/>
                          <w:szCs w:val="24"/>
                          <w:lang w:eastAsia="zh-HK"/>
                        </w:rPr>
                      </w:pPr>
                      <w:r w:rsidRPr="00892869">
                        <w:rPr>
                          <w:rFonts w:ascii="Times New Roman" w:eastAsia="標楷體" w:hAnsi="Times New Roman" w:cs="Times New Roman" w:hint="eastAsia"/>
                          <w:sz w:val="24"/>
                          <w:szCs w:val="24"/>
                          <w:lang w:eastAsia="zh-HK"/>
                        </w:rPr>
                        <w:t xml:space="preserve">The views and analysis expressed in this article are those of the author and do not necessarily represent the views of the </w:t>
                      </w:r>
                      <w:r w:rsidRPr="00892869">
                        <w:rPr>
                          <w:rFonts w:ascii="Times New Roman" w:eastAsia="標楷體" w:hAnsi="Times New Roman" w:cs="Times New Roman"/>
                          <w:sz w:val="24"/>
                          <w:szCs w:val="24"/>
                          <w:lang w:eastAsia="zh-HK"/>
                        </w:rPr>
                        <w:t>Office of the Government Economist</w:t>
                      </w:r>
                      <w:r w:rsidRPr="00892869">
                        <w:rPr>
                          <w:rFonts w:ascii="Times New Roman" w:eastAsia="標楷體" w:hAnsi="Times New Roman" w:cs="Times New Roman" w:hint="eastAsia"/>
                          <w:sz w:val="24"/>
                          <w:szCs w:val="24"/>
                          <w:lang w:eastAsia="zh-HK"/>
                        </w:rPr>
                        <w:t>.</w:t>
                      </w:r>
                    </w:p>
                  </w:txbxContent>
                </v:textbox>
                <w10:wrap type="topAndBottom" anchory="margin"/>
              </v:shape>
            </w:pict>
          </mc:Fallback>
        </mc:AlternateContent>
      </w:r>
      <w:r w:rsidR="00D8089C">
        <w:rPr>
          <w:rFonts w:ascii="Times New Roman" w:eastAsia="標楷體" w:hAnsi="Times New Roman" w:cs="Times New Roman" w:hint="eastAsia"/>
          <w:sz w:val="26"/>
          <w:szCs w:val="26"/>
          <w:lang w:eastAsia="zh-HK"/>
        </w:rPr>
        <w:t>及差分</w:t>
      </w:r>
      <w:r w:rsidR="00D8089C" w:rsidRPr="00D8089C">
        <w:rPr>
          <w:rFonts w:ascii="Times New Roman" w:eastAsia="標楷體" w:hAnsi="Times New Roman" w:cs="Times New Roman" w:hint="eastAsia"/>
          <w:sz w:val="26"/>
          <w:szCs w:val="26"/>
          <w:lang w:eastAsia="zh-HK"/>
        </w:rPr>
        <w:t>向量自回歸模型</w:t>
      </w:r>
      <w:r w:rsidR="00D8089C">
        <w:rPr>
          <w:rFonts w:ascii="Times New Roman" w:eastAsia="標楷體" w:hAnsi="Times New Roman" w:cs="Times New Roman" w:hint="eastAsia"/>
          <w:sz w:val="26"/>
          <w:szCs w:val="26"/>
          <w:lang w:eastAsia="zh-HK"/>
        </w:rPr>
        <w:t>顯</w:t>
      </w:r>
      <w:r w:rsidR="00D8089C">
        <w:rPr>
          <w:rFonts w:ascii="Times New Roman" w:eastAsia="標楷體" w:hAnsi="Times New Roman" w:cs="Times New Roman" w:hint="eastAsia"/>
          <w:sz w:val="26"/>
          <w:szCs w:val="26"/>
        </w:rPr>
        <w:t>示</w:t>
      </w:r>
      <w:r w:rsidR="00D8089C">
        <w:rPr>
          <w:rFonts w:ascii="Times New Roman" w:eastAsia="標楷體" w:hAnsi="Times New Roman" w:cs="Times New Roman" w:hint="eastAsia"/>
          <w:sz w:val="26"/>
          <w:szCs w:val="26"/>
          <w:lang w:eastAsia="zh-HK"/>
        </w:rPr>
        <w:t>消</w:t>
      </w:r>
      <w:r w:rsidR="00D8089C">
        <w:rPr>
          <w:rFonts w:ascii="Times New Roman" w:eastAsia="標楷體" w:hAnsi="Times New Roman" w:cs="Times New Roman" w:hint="eastAsia"/>
          <w:sz w:val="26"/>
          <w:szCs w:val="26"/>
        </w:rPr>
        <w:t>費</w:t>
      </w:r>
      <w:r w:rsidR="00D8089C">
        <w:rPr>
          <w:rFonts w:ascii="Times New Roman" w:eastAsia="標楷體" w:hAnsi="Times New Roman" w:cs="Times New Roman" w:hint="eastAsia"/>
          <w:sz w:val="26"/>
          <w:szCs w:val="26"/>
          <w:lang w:eastAsia="zh-HK"/>
        </w:rPr>
        <w:t>物價傾向</w:t>
      </w:r>
      <w:r w:rsidR="008B6222">
        <w:rPr>
          <w:rFonts w:ascii="Times New Roman" w:eastAsia="標楷體" w:hAnsi="Times New Roman" w:cs="Times New Roman" w:hint="eastAsia"/>
          <w:sz w:val="26"/>
          <w:szCs w:val="26"/>
          <w:lang w:eastAsia="zh-HK"/>
        </w:rPr>
        <w:t>較快</w:t>
      </w:r>
      <w:r w:rsidR="00D8089C">
        <w:rPr>
          <w:rFonts w:ascii="Times New Roman" w:eastAsia="標楷體" w:hAnsi="Times New Roman" w:cs="Times New Roman" w:hint="eastAsia"/>
          <w:sz w:val="26"/>
          <w:szCs w:val="26"/>
          <w:lang w:eastAsia="zh-HK"/>
        </w:rPr>
        <w:t>對外</w:t>
      </w:r>
      <w:r w:rsidR="00D8089C">
        <w:rPr>
          <w:rFonts w:ascii="Times New Roman" w:eastAsia="標楷體" w:hAnsi="Times New Roman" w:cs="Times New Roman" w:hint="eastAsia"/>
          <w:sz w:val="26"/>
          <w:szCs w:val="26"/>
        </w:rPr>
        <w:t>圍</w:t>
      </w:r>
      <w:r w:rsidR="00D8089C">
        <w:rPr>
          <w:rFonts w:ascii="Times New Roman" w:eastAsia="標楷體" w:hAnsi="Times New Roman" w:cs="Times New Roman" w:hint="eastAsia"/>
          <w:sz w:val="26"/>
          <w:szCs w:val="26"/>
          <w:lang w:eastAsia="zh-HK"/>
        </w:rPr>
        <w:t>經</w:t>
      </w:r>
      <w:r w:rsidR="00D8089C">
        <w:rPr>
          <w:rFonts w:ascii="Times New Roman" w:eastAsia="標楷體" w:hAnsi="Times New Roman" w:cs="Times New Roman" w:hint="eastAsia"/>
          <w:sz w:val="26"/>
          <w:szCs w:val="26"/>
        </w:rPr>
        <w:t>濟</w:t>
      </w:r>
      <w:r w:rsidR="00D8089C" w:rsidRPr="00D8089C">
        <w:rPr>
          <w:rFonts w:ascii="Times New Roman" w:eastAsia="標楷體" w:hAnsi="Times New Roman" w:cs="Times New Roman" w:hint="eastAsia"/>
          <w:sz w:val="26"/>
          <w:szCs w:val="26"/>
        </w:rPr>
        <w:t>衝擊</w:t>
      </w:r>
      <w:r w:rsidR="008B6222">
        <w:rPr>
          <w:rFonts w:ascii="Times New Roman" w:eastAsia="標楷體" w:hAnsi="Times New Roman" w:cs="Times New Roman" w:hint="eastAsia"/>
          <w:sz w:val="26"/>
          <w:szCs w:val="26"/>
          <w:lang w:eastAsia="zh-HK"/>
        </w:rPr>
        <w:t>有</w:t>
      </w:r>
      <w:r w:rsidR="00D8089C">
        <w:rPr>
          <w:rFonts w:ascii="Times New Roman" w:eastAsia="標楷體" w:hAnsi="Times New Roman" w:cs="Times New Roman" w:hint="eastAsia"/>
          <w:sz w:val="26"/>
          <w:szCs w:val="26"/>
          <w:lang w:eastAsia="zh-HK"/>
        </w:rPr>
        <w:t>反應</w:t>
      </w:r>
      <w:r w:rsidR="00D8089C">
        <w:rPr>
          <w:rFonts w:ascii="Times New Roman" w:eastAsia="標楷體" w:hAnsi="Times New Roman" w:cs="Times New Roman" w:hint="eastAsia"/>
          <w:sz w:val="26"/>
          <w:szCs w:val="26"/>
        </w:rPr>
        <w:t>。</w:t>
      </w:r>
      <w:r w:rsidR="00D8089C">
        <w:rPr>
          <w:rFonts w:ascii="Times New Roman" w:eastAsia="標楷體" w:hAnsi="Times New Roman" w:cs="Times New Roman" w:hint="eastAsia"/>
          <w:sz w:val="26"/>
          <w:szCs w:val="26"/>
          <w:lang w:eastAsia="zh-HK"/>
        </w:rPr>
        <w:t>因此，消</w:t>
      </w:r>
      <w:r w:rsidR="00D8089C">
        <w:rPr>
          <w:rFonts w:ascii="Times New Roman" w:eastAsia="標楷體" w:hAnsi="Times New Roman" w:cs="Times New Roman" w:hint="eastAsia"/>
          <w:sz w:val="26"/>
          <w:szCs w:val="26"/>
        </w:rPr>
        <w:t>費</w:t>
      </w:r>
      <w:r w:rsidR="00D8089C">
        <w:rPr>
          <w:rFonts w:ascii="Times New Roman" w:eastAsia="標楷體" w:hAnsi="Times New Roman" w:cs="Times New Roman" w:hint="eastAsia"/>
          <w:sz w:val="26"/>
          <w:szCs w:val="26"/>
          <w:lang w:eastAsia="zh-HK"/>
        </w:rPr>
        <w:t>物價</w:t>
      </w:r>
      <w:r w:rsidR="00EE5B03">
        <w:rPr>
          <w:rFonts w:ascii="Times New Roman" w:eastAsia="標楷體" w:hAnsi="Times New Roman" w:cs="Times New Roman" w:hint="eastAsia"/>
          <w:sz w:val="26"/>
          <w:szCs w:val="26"/>
          <w:lang w:eastAsia="zh-HK"/>
        </w:rPr>
        <w:t>在過去數十年</w:t>
      </w:r>
      <w:r w:rsidR="00D8089C">
        <w:rPr>
          <w:rFonts w:ascii="Times New Roman" w:eastAsia="標楷體" w:hAnsi="Times New Roman" w:cs="Times New Roman" w:hint="eastAsia"/>
          <w:sz w:val="26"/>
          <w:szCs w:val="26"/>
          <w:lang w:eastAsia="zh-HK"/>
        </w:rPr>
        <w:t>一直</w:t>
      </w:r>
      <w:r w:rsidR="0007056E">
        <w:rPr>
          <w:rFonts w:ascii="Times New Roman" w:eastAsia="標楷體" w:hAnsi="Times New Roman" w:cs="Times New Roman" w:hint="eastAsia"/>
          <w:sz w:val="26"/>
          <w:szCs w:val="26"/>
          <w:lang w:eastAsia="zh-HK"/>
        </w:rPr>
        <w:t>是</w:t>
      </w:r>
      <w:r w:rsidR="00D8089C">
        <w:rPr>
          <w:rFonts w:ascii="Times New Roman" w:eastAsia="標楷體" w:hAnsi="Times New Roman" w:cs="Times New Roman" w:hint="eastAsia"/>
          <w:sz w:val="26"/>
          <w:szCs w:val="26"/>
          <w:lang w:eastAsia="zh-HK"/>
        </w:rPr>
        <w:t>經生</w:t>
      </w:r>
      <w:r w:rsidR="00D8089C">
        <w:rPr>
          <w:rFonts w:ascii="Times New Roman" w:eastAsia="標楷體" w:hAnsi="Times New Roman" w:cs="Times New Roman" w:hint="eastAsia"/>
          <w:sz w:val="26"/>
          <w:szCs w:val="26"/>
        </w:rPr>
        <w:t>產</w:t>
      </w:r>
      <w:r w:rsidR="00D8089C">
        <w:rPr>
          <w:rFonts w:ascii="Times New Roman" w:eastAsia="標楷體" w:hAnsi="Times New Roman" w:cs="Times New Roman" w:hint="eastAsia"/>
          <w:sz w:val="26"/>
          <w:szCs w:val="26"/>
          <w:lang w:eastAsia="zh-HK"/>
        </w:rPr>
        <w:t>力調</w:t>
      </w:r>
      <w:r w:rsidR="00D8089C">
        <w:rPr>
          <w:rFonts w:ascii="Times New Roman" w:eastAsia="標楷體" w:hAnsi="Times New Roman" w:cs="Times New Roman" w:hint="eastAsia"/>
          <w:sz w:val="26"/>
          <w:szCs w:val="26"/>
        </w:rPr>
        <w:t>整</w:t>
      </w:r>
      <w:r w:rsidR="00D8089C">
        <w:rPr>
          <w:rFonts w:ascii="Times New Roman" w:eastAsia="標楷體" w:hAnsi="Times New Roman" w:cs="Times New Roman" w:hint="eastAsia"/>
          <w:sz w:val="26"/>
          <w:szCs w:val="26"/>
          <w:lang w:eastAsia="zh-HK"/>
        </w:rPr>
        <w:t>的名義工資的領先指</w:t>
      </w:r>
      <w:r w:rsidR="00D8089C">
        <w:rPr>
          <w:rFonts w:ascii="Times New Roman" w:eastAsia="標楷體" w:hAnsi="Times New Roman" w:cs="Times New Roman" w:hint="eastAsia"/>
          <w:sz w:val="26"/>
          <w:szCs w:val="26"/>
        </w:rPr>
        <w:t>標。</w:t>
      </w:r>
      <w:r w:rsidR="00B8351D" w:rsidRPr="00893638">
        <w:rPr>
          <w:rFonts w:ascii="Times New Roman" w:eastAsia="標楷體" w:hAnsi="Times New Roman" w:cs="Times New Roman"/>
          <w:sz w:val="24"/>
          <w:szCs w:val="24"/>
          <w:lang w:eastAsia="zh-HK"/>
        </w:rPr>
        <w:br w:type="page"/>
      </w:r>
    </w:p>
    <w:p w14:paraId="773E143D" w14:textId="77777777" w:rsidR="001B0EFC" w:rsidRPr="00893638" w:rsidRDefault="002162D3" w:rsidP="00DD58D9">
      <w:pPr>
        <w:keepNext/>
        <w:overflowPunct w:val="0"/>
        <w:snapToGrid w:val="0"/>
        <w:spacing w:after="0" w:line="300" w:lineRule="auto"/>
        <w:jc w:val="both"/>
        <w:rPr>
          <w:rFonts w:ascii="Times New Roman" w:eastAsia="標楷體" w:hAnsi="Times New Roman" w:cs="Times New Roman"/>
          <w:b/>
          <w:sz w:val="24"/>
          <w:szCs w:val="24"/>
          <w:lang w:eastAsia="zh-HK"/>
        </w:rPr>
      </w:pPr>
      <w:r w:rsidRPr="00893638">
        <w:rPr>
          <w:rFonts w:ascii="Times New Roman" w:eastAsia="標楷體" w:hAnsi="Times New Roman" w:cs="Times New Roman" w:hint="eastAsia"/>
          <w:b/>
          <w:sz w:val="24"/>
          <w:szCs w:val="24"/>
          <w:lang w:eastAsia="zh-HK"/>
        </w:rPr>
        <w:lastRenderedPageBreak/>
        <w:t>I.</w:t>
      </w:r>
      <w:r w:rsidRPr="00893638">
        <w:rPr>
          <w:rFonts w:ascii="Times New Roman" w:eastAsia="標楷體" w:hAnsi="Times New Roman" w:cs="Times New Roman" w:hint="eastAsia"/>
          <w:b/>
          <w:sz w:val="24"/>
          <w:szCs w:val="24"/>
          <w:lang w:eastAsia="zh-HK"/>
        </w:rPr>
        <w:tab/>
      </w:r>
      <w:r w:rsidR="001B0EFC" w:rsidRPr="00893638">
        <w:rPr>
          <w:rFonts w:ascii="Times New Roman" w:eastAsia="標楷體" w:hAnsi="Times New Roman" w:cs="Times New Roman" w:hint="eastAsia"/>
          <w:b/>
          <w:sz w:val="24"/>
          <w:szCs w:val="24"/>
          <w:lang w:eastAsia="zh-HK"/>
        </w:rPr>
        <w:t>INTRODUCTION</w:t>
      </w:r>
    </w:p>
    <w:p w14:paraId="239B5B2D" w14:textId="77777777" w:rsidR="001B0EFC" w:rsidRPr="00893638" w:rsidRDefault="001B0EFC" w:rsidP="00DD58D9">
      <w:pPr>
        <w:keepNext/>
        <w:overflowPunct w:val="0"/>
        <w:snapToGrid w:val="0"/>
        <w:spacing w:after="0" w:line="300" w:lineRule="auto"/>
        <w:jc w:val="both"/>
        <w:rPr>
          <w:rFonts w:ascii="Times New Roman" w:eastAsia="標楷體" w:hAnsi="Times New Roman" w:cs="Times New Roman"/>
          <w:sz w:val="24"/>
          <w:szCs w:val="24"/>
          <w:lang w:eastAsia="zh-HK"/>
        </w:rPr>
      </w:pPr>
    </w:p>
    <w:p w14:paraId="1A05A04C" w14:textId="4231D99B" w:rsidR="002162D3" w:rsidRPr="00423918" w:rsidRDefault="003032F7" w:rsidP="00423918">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 xml:space="preserve">The recent surge in global inflation has led to renewed interest in whether inflation leads to higher wages or the other way around.  </w:t>
      </w:r>
      <w:r w:rsidR="00A36A4B">
        <w:rPr>
          <w:rFonts w:ascii="Times New Roman" w:eastAsia="標楷體" w:hAnsi="Times New Roman" w:cs="Times New Roman"/>
          <w:sz w:val="24"/>
          <w:szCs w:val="24"/>
          <w:lang w:eastAsia="zh-HK"/>
        </w:rPr>
        <w:t>Yet, e</w:t>
      </w:r>
      <w:r>
        <w:rPr>
          <w:rFonts w:ascii="Times New Roman" w:eastAsia="標楷體" w:hAnsi="Times New Roman" w:cs="Times New Roman"/>
          <w:sz w:val="24"/>
          <w:szCs w:val="24"/>
          <w:lang w:eastAsia="zh-HK"/>
        </w:rPr>
        <w:t>conomic theory is agnostic on this point</w:t>
      </w:r>
      <w:r w:rsidR="00F60617">
        <w:rPr>
          <w:rFonts w:ascii="Times New Roman" w:eastAsia="標楷體" w:hAnsi="Times New Roman" w:cs="Times New Roman"/>
          <w:sz w:val="24"/>
          <w:szCs w:val="24"/>
          <w:lang w:eastAsia="zh-HK"/>
        </w:rPr>
        <w:t>.</w:t>
      </w:r>
      <w:r>
        <w:rPr>
          <w:rFonts w:ascii="Times New Roman" w:eastAsia="標楷體" w:hAnsi="Times New Roman" w:cs="Times New Roman"/>
          <w:sz w:val="24"/>
          <w:szCs w:val="24"/>
          <w:lang w:eastAsia="zh-HK"/>
        </w:rPr>
        <w:t xml:space="preserve">  In </w:t>
      </w:r>
      <w:r w:rsidR="009E1B57">
        <w:rPr>
          <w:rFonts w:ascii="Times New Roman" w:eastAsia="標楷體" w:hAnsi="Times New Roman" w:cs="Times New Roman"/>
          <w:sz w:val="24"/>
          <w:szCs w:val="24"/>
          <w:lang w:eastAsia="zh-HK"/>
        </w:rPr>
        <w:t>a simple world</w:t>
      </w:r>
      <w:r w:rsidR="00A36A4B">
        <w:rPr>
          <w:rFonts w:ascii="Times New Roman" w:eastAsia="標楷體" w:hAnsi="Times New Roman" w:cs="Times New Roman"/>
          <w:sz w:val="24"/>
          <w:szCs w:val="24"/>
          <w:lang w:eastAsia="zh-HK"/>
        </w:rPr>
        <w:t xml:space="preserve"> where labour is compensated according to its marginal product</w:t>
      </w:r>
      <w:r w:rsidR="005B1510">
        <w:rPr>
          <w:rFonts w:ascii="Times New Roman" w:eastAsia="標楷體" w:hAnsi="Times New Roman" w:cs="Times New Roman"/>
          <w:sz w:val="24"/>
          <w:szCs w:val="24"/>
          <w:lang w:eastAsia="zh-HK"/>
        </w:rPr>
        <w:t xml:space="preserve"> in real terms</w:t>
      </w:r>
      <w:r>
        <w:rPr>
          <w:rFonts w:ascii="Times New Roman" w:eastAsia="標楷體" w:hAnsi="Times New Roman" w:cs="Times New Roman"/>
          <w:sz w:val="24"/>
          <w:szCs w:val="24"/>
          <w:lang w:eastAsia="zh-HK"/>
        </w:rPr>
        <w:t xml:space="preserve">, </w:t>
      </w:r>
      <w:r w:rsidR="00A36A4B">
        <w:rPr>
          <w:rFonts w:ascii="Times New Roman" w:eastAsia="標楷體" w:hAnsi="Times New Roman" w:cs="Times New Roman"/>
          <w:sz w:val="24"/>
          <w:szCs w:val="24"/>
          <w:lang w:eastAsia="zh-HK"/>
        </w:rPr>
        <w:t xml:space="preserve">consumer prices </w:t>
      </w:r>
      <w:r w:rsidR="009E1B57">
        <w:rPr>
          <w:rFonts w:ascii="Times New Roman" w:eastAsia="標楷體" w:hAnsi="Times New Roman" w:cs="Times New Roman"/>
          <w:sz w:val="24"/>
          <w:szCs w:val="24"/>
          <w:lang w:eastAsia="zh-HK"/>
        </w:rPr>
        <w:t>should track produc</w:t>
      </w:r>
      <w:r w:rsidR="00A36A4B">
        <w:rPr>
          <w:rFonts w:ascii="Times New Roman" w:eastAsia="標楷體" w:hAnsi="Times New Roman" w:cs="Times New Roman"/>
          <w:sz w:val="24"/>
          <w:szCs w:val="24"/>
          <w:lang w:eastAsia="zh-HK"/>
        </w:rPr>
        <w:t>tivity-adjusted nominal wages</w:t>
      </w:r>
      <w:r w:rsidR="003D57E2">
        <w:rPr>
          <w:rFonts w:ascii="Times New Roman" w:eastAsia="標楷體" w:hAnsi="Times New Roman" w:cs="Times New Roman"/>
          <w:sz w:val="24"/>
          <w:szCs w:val="24"/>
          <w:lang w:eastAsia="zh-HK"/>
        </w:rPr>
        <w:t xml:space="preserve"> on a one-to-one-basis</w:t>
      </w:r>
      <w:r w:rsidR="00A36A4B">
        <w:rPr>
          <w:rFonts w:ascii="Times New Roman" w:eastAsia="標楷體" w:hAnsi="Times New Roman" w:cs="Times New Roman"/>
          <w:sz w:val="24"/>
          <w:szCs w:val="24"/>
          <w:lang w:eastAsia="zh-HK"/>
        </w:rPr>
        <w:t xml:space="preserve">.  More realistically, product and labour markets are both subject to </w:t>
      </w:r>
      <w:r w:rsidR="00423918">
        <w:rPr>
          <w:rFonts w:ascii="Times New Roman" w:eastAsia="標楷體" w:hAnsi="Times New Roman" w:cs="Times New Roman"/>
          <w:sz w:val="24"/>
          <w:szCs w:val="24"/>
          <w:lang w:eastAsia="zh-HK"/>
        </w:rPr>
        <w:t>frictions</w:t>
      </w:r>
      <w:r w:rsidR="000E59E4">
        <w:rPr>
          <w:rFonts w:ascii="Times New Roman" w:eastAsia="標楷體" w:hAnsi="Times New Roman" w:cs="Times New Roman"/>
          <w:sz w:val="24"/>
          <w:szCs w:val="24"/>
          <w:lang w:eastAsia="zh-HK"/>
        </w:rPr>
        <w:t xml:space="preserve"> and adjustment costs</w:t>
      </w:r>
      <w:r w:rsidR="00423918">
        <w:rPr>
          <w:rFonts w:ascii="Times New Roman" w:eastAsia="標楷體" w:hAnsi="Times New Roman" w:cs="Times New Roman"/>
          <w:sz w:val="24"/>
          <w:szCs w:val="24"/>
          <w:lang w:eastAsia="zh-HK"/>
        </w:rPr>
        <w:t xml:space="preserve">.  </w:t>
      </w:r>
      <w:r w:rsidR="008E3BD9">
        <w:rPr>
          <w:rFonts w:ascii="Times New Roman" w:eastAsia="標楷體" w:hAnsi="Times New Roman" w:cs="Times New Roman"/>
          <w:sz w:val="24"/>
          <w:szCs w:val="24"/>
          <w:lang w:eastAsia="zh-HK"/>
        </w:rPr>
        <w:t xml:space="preserve">For instance, </w:t>
      </w:r>
      <w:r w:rsidR="001E3210">
        <w:rPr>
          <w:rFonts w:ascii="Times New Roman" w:eastAsia="標楷體" w:hAnsi="Times New Roman" w:cs="Times New Roman"/>
          <w:sz w:val="24"/>
          <w:szCs w:val="24"/>
          <w:lang w:eastAsia="zh-HK"/>
        </w:rPr>
        <w:t>an increase in demand</w:t>
      </w:r>
      <w:r w:rsidR="008E3BD9">
        <w:rPr>
          <w:rFonts w:ascii="Times New Roman" w:eastAsia="標楷體" w:hAnsi="Times New Roman" w:cs="Times New Roman"/>
          <w:sz w:val="24"/>
          <w:szCs w:val="24"/>
          <w:lang w:eastAsia="zh-HK"/>
        </w:rPr>
        <w:t xml:space="preserve"> may cause consumer prices to rise </w:t>
      </w:r>
      <w:r w:rsidR="005B1510">
        <w:rPr>
          <w:rFonts w:ascii="Times New Roman" w:eastAsia="標楷體" w:hAnsi="Times New Roman" w:cs="Times New Roman"/>
          <w:sz w:val="24"/>
          <w:szCs w:val="24"/>
          <w:lang w:eastAsia="zh-HK"/>
        </w:rPr>
        <w:t>first</w:t>
      </w:r>
      <w:r w:rsidR="008E3BD9">
        <w:rPr>
          <w:rFonts w:ascii="Times New Roman" w:eastAsia="標楷體" w:hAnsi="Times New Roman" w:cs="Times New Roman"/>
          <w:sz w:val="24"/>
          <w:szCs w:val="24"/>
          <w:lang w:eastAsia="zh-HK"/>
        </w:rPr>
        <w:t xml:space="preserve">, while </w:t>
      </w:r>
      <w:r w:rsidR="003D57E2">
        <w:rPr>
          <w:rFonts w:ascii="Times New Roman" w:eastAsia="標楷體" w:hAnsi="Times New Roman" w:cs="Times New Roman"/>
          <w:sz w:val="24"/>
          <w:szCs w:val="24"/>
          <w:lang w:eastAsia="zh-HK"/>
        </w:rPr>
        <w:t>developments in the labour market</w:t>
      </w:r>
      <w:r w:rsidR="001E3210">
        <w:rPr>
          <w:rFonts w:ascii="Times New Roman" w:eastAsia="標楷體" w:hAnsi="Times New Roman" w:cs="Times New Roman"/>
          <w:sz w:val="24"/>
          <w:szCs w:val="24"/>
          <w:lang w:eastAsia="zh-HK"/>
        </w:rPr>
        <w:t xml:space="preserve"> could affect wages before</w:t>
      </w:r>
      <w:r w:rsidR="00CE7CE2">
        <w:rPr>
          <w:rFonts w:ascii="Times New Roman" w:eastAsia="標楷體" w:hAnsi="Times New Roman" w:cs="Times New Roman"/>
          <w:sz w:val="24"/>
          <w:szCs w:val="24"/>
          <w:lang w:eastAsia="zh-HK"/>
        </w:rPr>
        <w:t xml:space="preserve"> filtering through to prices</w:t>
      </w:r>
      <w:r w:rsidR="007A0B0B">
        <w:rPr>
          <w:rFonts w:ascii="Times New Roman" w:eastAsia="標楷體" w:hAnsi="Times New Roman" w:cs="Times New Roman"/>
          <w:sz w:val="24"/>
          <w:szCs w:val="24"/>
          <w:lang w:eastAsia="zh-HK"/>
        </w:rPr>
        <w:t xml:space="preserve">.  </w:t>
      </w:r>
      <w:r w:rsidR="00BC34BA">
        <w:rPr>
          <w:rFonts w:ascii="Times New Roman" w:eastAsia="標楷體" w:hAnsi="Times New Roman" w:cs="Times New Roman"/>
          <w:sz w:val="24"/>
          <w:szCs w:val="24"/>
          <w:lang w:eastAsia="zh-HK"/>
        </w:rPr>
        <w:t>I</w:t>
      </w:r>
      <w:r w:rsidR="000E59E4">
        <w:rPr>
          <w:rFonts w:ascii="Times New Roman" w:eastAsia="標楷體" w:hAnsi="Times New Roman" w:cs="Times New Roman"/>
          <w:sz w:val="24"/>
          <w:szCs w:val="24"/>
          <w:lang w:eastAsia="zh-HK"/>
        </w:rPr>
        <w:t xml:space="preserve">f </w:t>
      </w:r>
      <w:r w:rsidR="00BC34BA">
        <w:rPr>
          <w:rFonts w:ascii="Times New Roman" w:eastAsia="標楷體" w:hAnsi="Times New Roman" w:cs="Times New Roman"/>
          <w:sz w:val="24"/>
          <w:szCs w:val="24"/>
          <w:lang w:eastAsia="zh-HK"/>
        </w:rPr>
        <w:t>past</w:t>
      </w:r>
      <w:r w:rsidR="000E59E4">
        <w:rPr>
          <w:rFonts w:ascii="Times New Roman" w:eastAsia="標楷體" w:hAnsi="Times New Roman" w:cs="Times New Roman"/>
          <w:sz w:val="24"/>
          <w:szCs w:val="24"/>
          <w:lang w:eastAsia="zh-HK"/>
        </w:rPr>
        <w:t xml:space="preserve"> inflation factor</w:t>
      </w:r>
      <w:r w:rsidR="005B1510">
        <w:rPr>
          <w:rFonts w:ascii="Times New Roman" w:eastAsia="標楷體" w:hAnsi="Times New Roman" w:cs="Times New Roman"/>
          <w:sz w:val="24"/>
          <w:szCs w:val="24"/>
          <w:lang w:eastAsia="zh-HK"/>
        </w:rPr>
        <w:t>s</w:t>
      </w:r>
      <w:r w:rsidR="000E59E4">
        <w:rPr>
          <w:rFonts w:ascii="Times New Roman" w:eastAsia="標楷體" w:hAnsi="Times New Roman" w:cs="Times New Roman"/>
          <w:sz w:val="24"/>
          <w:szCs w:val="24"/>
          <w:lang w:eastAsia="zh-HK"/>
        </w:rPr>
        <w:t xml:space="preserve"> into </w:t>
      </w:r>
      <w:r w:rsidR="00BC34BA">
        <w:rPr>
          <w:rFonts w:ascii="Times New Roman" w:eastAsia="標楷體" w:hAnsi="Times New Roman" w:cs="Times New Roman"/>
          <w:sz w:val="24"/>
          <w:szCs w:val="24"/>
          <w:lang w:eastAsia="zh-HK"/>
        </w:rPr>
        <w:t xml:space="preserve">current </w:t>
      </w:r>
      <w:r w:rsidR="000E59E4">
        <w:rPr>
          <w:rFonts w:ascii="Times New Roman" w:eastAsia="標楷體" w:hAnsi="Times New Roman" w:cs="Times New Roman"/>
          <w:sz w:val="24"/>
          <w:szCs w:val="24"/>
          <w:lang w:eastAsia="zh-HK"/>
        </w:rPr>
        <w:t>wage demands</w:t>
      </w:r>
      <w:r w:rsidR="007A0B0B">
        <w:rPr>
          <w:rFonts w:ascii="Times New Roman" w:eastAsia="標楷體" w:hAnsi="Times New Roman" w:cs="Times New Roman"/>
          <w:sz w:val="24"/>
          <w:szCs w:val="24"/>
          <w:lang w:eastAsia="zh-HK"/>
        </w:rPr>
        <w:t>, the two could even reinforce each other in a wage-price spiral</w:t>
      </w:r>
      <w:r w:rsidR="00CE7CE2">
        <w:rPr>
          <w:rStyle w:val="FootnoteReference"/>
          <w:rFonts w:ascii="Times New Roman" w:eastAsia="標楷體" w:hAnsi="Times New Roman" w:cs="Times New Roman"/>
          <w:sz w:val="24"/>
          <w:szCs w:val="24"/>
          <w:lang w:eastAsia="zh-HK"/>
        </w:rPr>
        <w:footnoteReference w:id="2"/>
      </w:r>
      <w:r w:rsidR="00CE7CE2">
        <w:rPr>
          <w:rFonts w:ascii="Times New Roman" w:eastAsia="標楷體" w:hAnsi="Times New Roman" w:cs="Times New Roman"/>
          <w:sz w:val="24"/>
          <w:szCs w:val="24"/>
          <w:lang w:eastAsia="zh-HK"/>
        </w:rPr>
        <w:t xml:space="preserve">. </w:t>
      </w:r>
      <w:r w:rsidR="000E59E4">
        <w:rPr>
          <w:rFonts w:ascii="Times New Roman" w:eastAsia="標楷體" w:hAnsi="Times New Roman" w:cs="Times New Roman"/>
          <w:sz w:val="24"/>
          <w:szCs w:val="24"/>
          <w:lang w:eastAsia="zh-HK"/>
        </w:rPr>
        <w:t xml:space="preserve"> </w:t>
      </w:r>
      <w:r w:rsidR="00F71135" w:rsidRPr="00423918">
        <w:rPr>
          <w:rFonts w:ascii="Times New Roman" w:eastAsia="標楷體" w:hAnsi="Times New Roman" w:cs="Times New Roman"/>
          <w:sz w:val="24"/>
          <w:szCs w:val="24"/>
          <w:lang w:eastAsia="zh-HK"/>
        </w:rPr>
        <w:t>Consequently, whether consumer price inflation tends to predict nominal wage increases or vice versa is ultimately an empirical question.</w:t>
      </w:r>
    </w:p>
    <w:p w14:paraId="64E33A01" w14:textId="0DF8A462" w:rsidR="001B0EFC" w:rsidRPr="00893638" w:rsidRDefault="001B0EFC" w:rsidP="00DD58D9">
      <w:pPr>
        <w:overflowPunct w:val="0"/>
        <w:snapToGrid w:val="0"/>
        <w:spacing w:after="0" w:line="300" w:lineRule="auto"/>
        <w:jc w:val="both"/>
        <w:rPr>
          <w:rFonts w:ascii="Times New Roman" w:eastAsia="標楷體" w:hAnsi="Times New Roman" w:cs="Times New Roman"/>
          <w:sz w:val="24"/>
          <w:szCs w:val="24"/>
          <w:lang w:eastAsia="zh-HK"/>
        </w:rPr>
      </w:pPr>
    </w:p>
    <w:p w14:paraId="16C7089D" w14:textId="41D74140" w:rsidR="00B8367B" w:rsidRPr="00893638" w:rsidRDefault="00601846" w:rsidP="00DD58D9">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 xml:space="preserve">This </w:t>
      </w:r>
      <w:r w:rsidR="00BC7D6D">
        <w:rPr>
          <w:rFonts w:ascii="Times New Roman" w:eastAsia="標楷體" w:hAnsi="Times New Roman" w:cs="Times New Roman"/>
          <w:sz w:val="24"/>
          <w:szCs w:val="24"/>
          <w:lang w:eastAsia="zh-HK"/>
        </w:rPr>
        <w:t>article</w:t>
      </w:r>
      <w:r>
        <w:rPr>
          <w:rFonts w:ascii="Times New Roman" w:eastAsia="標楷體" w:hAnsi="Times New Roman" w:cs="Times New Roman"/>
          <w:sz w:val="24"/>
          <w:szCs w:val="24"/>
          <w:lang w:eastAsia="zh-HK"/>
        </w:rPr>
        <w:t xml:space="preserve"> </w:t>
      </w:r>
      <w:r w:rsidR="002052E9">
        <w:rPr>
          <w:rFonts w:ascii="Times New Roman" w:eastAsia="標楷體" w:hAnsi="Times New Roman" w:cs="Times New Roman"/>
          <w:sz w:val="24"/>
          <w:szCs w:val="24"/>
          <w:lang w:eastAsia="zh-HK"/>
        </w:rPr>
        <w:t xml:space="preserve">explores the </w:t>
      </w:r>
      <w:r w:rsidR="006B62C8">
        <w:rPr>
          <w:rFonts w:ascii="Times New Roman" w:eastAsia="標楷體" w:hAnsi="Times New Roman" w:cs="Times New Roman"/>
          <w:sz w:val="24"/>
          <w:szCs w:val="24"/>
          <w:lang w:eastAsia="zh-HK"/>
        </w:rPr>
        <w:t xml:space="preserve">relationship between </w:t>
      </w:r>
      <w:r w:rsidR="000D60E9">
        <w:rPr>
          <w:rFonts w:ascii="Times New Roman" w:eastAsia="標楷體" w:hAnsi="Times New Roman" w:cs="Times New Roman"/>
          <w:sz w:val="24"/>
          <w:szCs w:val="24"/>
          <w:lang w:eastAsia="zh-HK"/>
        </w:rPr>
        <w:t>wages and consumer prices</w:t>
      </w:r>
      <w:r w:rsidR="002052E9">
        <w:rPr>
          <w:rFonts w:ascii="Times New Roman" w:eastAsia="標楷體" w:hAnsi="Times New Roman" w:cs="Times New Roman"/>
          <w:sz w:val="24"/>
          <w:szCs w:val="24"/>
          <w:lang w:eastAsia="zh-HK"/>
        </w:rPr>
        <w:t xml:space="preserve"> in Hong Kong.  It </w:t>
      </w:r>
      <w:r>
        <w:rPr>
          <w:rFonts w:ascii="Times New Roman" w:eastAsia="標楷體" w:hAnsi="Times New Roman" w:cs="Times New Roman"/>
          <w:sz w:val="24"/>
          <w:szCs w:val="24"/>
          <w:lang w:eastAsia="zh-HK"/>
        </w:rPr>
        <w:t>is organised as follows</w:t>
      </w:r>
      <w:r w:rsidR="00CB4872" w:rsidRPr="00893638">
        <w:rPr>
          <w:rFonts w:ascii="Times New Roman" w:eastAsia="標楷體" w:hAnsi="Times New Roman" w:cs="Times New Roman"/>
          <w:sz w:val="24"/>
          <w:szCs w:val="24"/>
          <w:lang w:eastAsia="zh-HK"/>
        </w:rPr>
        <w:t>.</w:t>
      </w:r>
      <w:r>
        <w:rPr>
          <w:rFonts w:ascii="Times New Roman" w:eastAsia="標楷體" w:hAnsi="Times New Roman" w:cs="Times New Roman"/>
          <w:sz w:val="24"/>
          <w:szCs w:val="24"/>
          <w:lang w:eastAsia="zh-HK"/>
        </w:rPr>
        <w:t xml:space="preserve">  The next </w:t>
      </w:r>
      <w:r w:rsidR="00DA7F75">
        <w:rPr>
          <w:rFonts w:ascii="Times New Roman" w:eastAsia="標楷體" w:hAnsi="Times New Roman" w:cs="Times New Roman"/>
          <w:sz w:val="24"/>
          <w:szCs w:val="24"/>
          <w:lang w:eastAsia="zh-HK"/>
        </w:rPr>
        <w:t xml:space="preserve">section </w:t>
      </w:r>
      <w:r w:rsidR="00A308E7">
        <w:rPr>
          <w:rFonts w:ascii="Times New Roman" w:eastAsia="標楷體" w:hAnsi="Times New Roman" w:cs="Times New Roman"/>
          <w:sz w:val="24"/>
          <w:szCs w:val="24"/>
          <w:lang w:eastAsia="zh-HK"/>
        </w:rPr>
        <w:t xml:space="preserve">introduces </w:t>
      </w:r>
      <w:r w:rsidR="006B62C8">
        <w:rPr>
          <w:rFonts w:ascii="Times New Roman" w:eastAsia="標楷體" w:hAnsi="Times New Roman" w:cs="Times New Roman"/>
          <w:sz w:val="24"/>
          <w:szCs w:val="24"/>
          <w:lang w:eastAsia="zh-HK"/>
        </w:rPr>
        <w:t>stylised facts on wages and prices in Hong Kong</w:t>
      </w:r>
      <w:r w:rsidR="00DA7F75">
        <w:rPr>
          <w:rFonts w:ascii="Times New Roman" w:eastAsia="標楷體" w:hAnsi="Times New Roman" w:cs="Times New Roman"/>
          <w:sz w:val="24"/>
          <w:szCs w:val="24"/>
          <w:lang w:eastAsia="zh-HK"/>
        </w:rPr>
        <w:t xml:space="preserve"> </w:t>
      </w:r>
      <w:r w:rsidR="006B62C8">
        <w:rPr>
          <w:rFonts w:ascii="Times New Roman" w:eastAsia="標楷體" w:hAnsi="Times New Roman" w:cs="Times New Roman"/>
          <w:sz w:val="24"/>
          <w:szCs w:val="24"/>
          <w:lang w:eastAsia="zh-HK"/>
        </w:rPr>
        <w:t xml:space="preserve">alongside </w:t>
      </w:r>
      <w:r w:rsidR="008F6560">
        <w:rPr>
          <w:rFonts w:ascii="Times New Roman" w:eastAsia="標楷體" w:hAnsi="Times New Roman" w:cs="Times New Roman"/>
          <w:sz w:val="24"/>
          <w:szCs w:val="24"/>
          <w:lang w:eastAsia="zh-HK"/>
        </w:rPr>
        <w:t>relevant concepts from the literature</w:t>
      </w:r>
      <w:r w:rsidR="005155AE">
        <w:rPr>
          <w:rFonts w:ascii="Times New Roman" w:eastAsia="標楷體" w:hAnsi="Times New Roman" w:cs="Times New Roman"/>
          <w:sz w:val="24"/>
          <w:szCs w:val="24"/>
          <w:lang w:eastAsia="zh-HK"/>
        </w:rPr>
        <w:t xml:space="preserve">.  </w:t>
      </w:r>
      <w:r w:rsidR="00470580">
        <w:rPr>
          <w:rFonts w:ascii="Times New Roman" w:eastAsia="標楷體" w:hAnsi="Times New Roman" w:cs="Times New Roman"/>
          <w:sz w:val="24"/>
          <w:szCs w:val="24"/>
          <w:lang w:eastAsia="zh-HK"/>
        </w:rPr>
        <w:t xml:space="preserve">The third section establishes </w:t>
      </w:r>
      <w:r w:rsidR="00892D7A">
        <w:rPr>
          <w:rFonts w:ascii="Times New Roman" w:eastAsia="標楷體" w:hAnsi="Times New Roman" w:cs="Times New Roman"/>
          <w:sz w:val="24"/>
          <w:szCs w:val="24"/>
          <w:lang w:eastAsia="zh-HK"/>
        </w:rPr>
        <w:t>the</w:t>
      </w:r>
      <w:r w:rsidR="006B62C8">
        <w:rPr>
          <w:rFonts w:ascii="Times New Roman" w:eastAsia="標楷體" w:hAnsi="Times New Roman" w:cs="Times New Roman"/>
          <w:sz w:val="24"/>
          <w:szCs w:val="24"/>
          <w:lang w:eastAsia="zh-HK"/>
        </w:rPr>
        <w:t>ir</w:t>
      </w:r>
      <w:r w:rsidR="00892D7A">
        <w:rPr>
          <w:rFonts w:ascii="Times New Roman" w:eastAsia="標楷體" w:hAnsi="Times New Roman" w:cs="Times New Roman"/>
          <w:sz w:val="24"/>
          <w:szCs w:val="24"/>
          <w:lang w:eastAsia="zh-HK"/>
        </w:rPr>
        <w:t xml:space="preserve"> </w:t>
      </w:r>
      <w:r w:rsidR="00470580">
        <w:rPr>
          <w:rFonts w:ascii="Times New Roman" w:eastAsia="標楷體" w:hAnsi="Times New Roman" w:cs="Times New Roman"/>
          <w:sz w:val="24"/>
          <w:szCs w:val="24"/>
          <w:lang w:eastAsia="zh-HK"/>
        </w:rPr>
        <w:t>time series properties</w:t>
      </w:r>
      <w:r w:rsidR="006B62C8">
        <w:rPr>
          <w:rFonts w:ascii="Times New Roman" w:eastAsia="標楷體" w:hAnsi="Times New Roman" w:cs="Times New Roman"/>
          <w:sz w:val="24"/>
          <w:szCs w:val="24"/>
          <w:lang w:eastAsia="zh-HK"/>
        </w:rPr>
        <w:t xml:space="preserve"> and finds that </w:t>
      </w:r>
      <w:r w:rsidR="005A20E6">
        <w:rPr>
          <w:rFonts w:ascii="Times New Roman" w:eastAsia="標楷體" w:hAnsi="Times New Roman" w:cs="Times New Roman"/>
          <w:sz w:val="24"/>
          <w:szCs w:val="24"/>
          <w:lang w:eastAsia="zh-HK"/>
        </w:rPr>
        <w:t xml:space="preserve">consumer </w:t>
      </w:r>
      <w:r w:rsidR="006B62C8">
        <w:rPr>
          <w:rFonts w:ascii="Times New Roman" w:eastAsia="標楷體" w:hAnsi="Times New Roman" w:cs="Times New Roman"/>
          <w:sz w:val="24"/>
          <w:szCs w:val="24"/>
          <w:lang w:eastAsia="zh-HK"/>
        </w:rPr>
        <w:t>prices help predict wages, but not vice versa</w:t>
      </w:r>
      <w:r w:rsidR="00470580">
        <w:rPr>
          <w:rFonts w:ascii="Times New Roman" w:eastAsia="標楷體" w:hAnsi="Times New Roman" w:cs="Times New Roman"/>
          <w:sz w:val="24"/>
          <w:szCs w:val="24"/>
          <w:lang w:eastAsia="zh-HK"/>
        </w:rPr>
        <w:t xml:space="preserve">.  </w:t>
      </w:r>
      <w:r w:rsidR="000D60E9">
        <w:rPr>
          <w:rFonts w:ascii="Times New Roman" w:eastAsia="標楷體" w:hAnsi="Times New Roman" w:cs="Times New Roman"/>
          <w:sz w:val="24"/>
          <w:szCs w:val="24"/>
          <w:lang w:eastAsia="zh-HK"/>
        </w:rPr>
        <w:t xml:space="preserve">The </w:t>
      </w:r>
      <w:r w:rsidR="008E0608">
        <w:rPr>
          <w:rFonts w:ascii="Times New Roman" w:eastAsia="標楷體" w:hAnsi="Times New Roman" w:cs="Times New Roman"/>
          <w:sz w:val="24"/>
          <w:szCs w:val="24"/>
          <w:lang w:eastAsia="zh-HK"/>
        </w:rPr>
        <w:t>fourth</w:t>
      </w:r>
      <w:r>
        <w:rPr>
          <w:rFonts w:ascii="Times New Roman" w:eastAsia="標楷體" w:hAnsi="Times New Roman" w:cs="Times New Roman"/>
          <w:sz w:val="24"/>
          <w:szCs w:val="24"/>
          <w:lang w:eastAsia="zh-HK"/>
        </w:rPr>
        <w:t xml:space="preserve"> section </w:t>
      </w:r>
      <w:r w:rsidR="000D60E9">
        <w:rPr>
          <w:rFonts w:ascii="Times New Roman" w:eastAsia="標楷體" w:hAnsi="Times New Roman" w:cs="Times New Roman"/>
          <w:sz w:val="24"/>
          <w:szCs w:val="24"/>
          <w:lang w:eastAsia="zh-HK"/>
        </w:rPr>
        <w:t>quantifies the</w:t>
      </w:r>
      <w:r w:rsidR="00CF1931">
        <w:rPr>
          <w:rFonts w:ascii="Times New Roman" w:eastAsia="標楷體" w:hAnsi="Times New Roman" w:cs="Times New Roman"/>
          <w:sz w:val="24"/>
          <w:szCs w:val="24"/>
          <w:lang w:eastAsia="zh-HK"/>
        </w:rPr>
        <w:t>ir</w:t>
      </w:r>
      <w:r w:rsidR="000D60E9">
        <w:rPr>
          <w:rFonts w:ascii="Times New Roman" w:eastAsia="標楷體" w:hAnsi="Times New Roman" w:cs="Times New Roman"/>
          <w:sz w:val="24"/>
          <w:szCs w:val="24"/>
          <w:lang w:eastAsia="zh-HK"/>
        </w:rPr>
        <w:t xml:space="preserve"> relationship with a </w:t>
      </w:r>
      <w:r w:rsidR="00BB2E69">
        <w:rPr>
          <w:rFonts w:ascii="Times New Roman" w:eastAsia="標楷體" w:hAnsi="Times New Roman" w:cs="Times New Roman"/>
          <w:sz w:val="24"/>
          <w:szCs w:val="24"/>
          <w:lang w:eastAsia="zh-HK"/>
        </w:rPr>
        <w:t>differenced</w:t>
      </w:r>
      <w:r w:rsidR="00470580">
        <w:rPr>
          <w:rFonts w:ascii="Times New Roman" w:eastAsia="標楷體" w:hAnsi="Times New Roman" w:cs="Times New Roman"/>
          <w:sz w:val="24"/>
          <w:szCs w:val="24"/>
          <w:lang w:eastAsia="zh-HK"/>
        </w:rPr>
        <w:t xml:space="preserve"> </w:t>
      </w:r>
      <w:r w:rsidR="000D60E9">
        <w:rPr>
          <w:rFonts w:ascii="Times New Roman" w:eastAsia="標楷體" w:hAnsi="Times New Roman" w:cs="Times New Roman"/>
          <w:sz w:val="24"/>
          <w:szCs w:val="24"/>
          <w:lang w:eastAsia="zh-HK"/>
        </w:rPr>
        <w:t>ve</w:t>
      </w:r>
      <w:r w:rsidR="00CE60EF">
        <w:rPr>
          <w:rFonts w:ascii="Times New Roman" w:eastAsia="標楷體" w:hAnsi="Times New Roman" w:cs="Times New Roman"/>
          <w:sz w:val="24"/>
          <w:szCs w:val="24"/>
          <w:lang w:eastAsia="zh-HK"/>
        </w:rPr>
        <w:t>ctor autoregression (VAR) model.  The f</w:t>
      </w:r>
      <w:r w:rsidR="008E0608">
        <w:rPr>
          <w:rFonts w:ascii="Times New Roman" w:eastAsia="標楷體" w:hAnsi="Times New Roman" w:cs="Times New Roman"/>
          <w:sz w:val="24"/>
          <w:szCs w:val="24"/>
          <w:lang w:eastAsia="zh-HK"/>
        </w:rPr>
        <w:t>ift</w:t>
      </w:r>
      <w:r w:rsidR="00CE60EF">
        <w:rPr>
          <w:rFonts w:ascii="Times New Roman" w:eastAsia="標楷體" w:hAnsi="Times New Roman" w:cs="Times New Roman"/>
          <w:sz w:val="24"/>
          <w:szCs w:val="24"/>
          <w:lang w:eastAsia="zh-HK"/>
        </w:rPr>
        <w:t>h</w:t>
      </w:r>
      <w:r w:rsidR="000D60E9">
        <w:rPr>
          <w:rFonts w:ascii="Times New Roman" w:eastAsia="標楷體" w:hAnsi="Times New Roman" w:cs="Times New Roman"/>
          <w:sz w:val="24"/>
          <w:szCs w:val="24"/>
          <w:lang w:eastAsia="zh-HK"/>
        </w:rPr>
        <w:t xml:space="preserve"> section concludes</w:t>
      </w:r>
      <w:r>
        <w:rPr>
          <w:rFonts w:ascii="Times New Roman" w:eastAsia="標楷體" w:hAnsi="Times New Roman" w:cs="Times New Roman"/>
          <w:sz w:val="24"/>
          <w:szCs w:val="24"/>
          <w:lang w:eastAsia="zh-HK"/>
        </w:rPr>
        <w:t>.</w:t>
      </w:r>
    </w:p>
    <w:p w14:paraId="2839C3D3" w14:textId="7FDCF77F" w:rsidR="00B8367B" w:rsidRPr="00361963" w:rsidRDefault="00B8367B" w:rsidP="00743BEC">
      <w:pPr>
        <w:overflowPunct w:val="0"/>
        <w:snapToGrid w:val="0"/>
        <w:spacing w:after="0" w:line="300" w:lineRule="auto"/>
        <w:contextualSpacing/>
        <w:jc w:val="both"/>
        <w:rPr>
          <w:rFonts w:ascii="Times New Roman" w:eastAsia="標楷體" w:hAnsi="Times New Roman" w:cs="Times New Roman"/>
          <w:sz w:val="24"/>
          <w:szCs w:val="24"/>
          <w:lang w:eastAsia="zh-HK"/>
        </w:rPr>
      </w:pPr>
    </w:p>
    <w:p w14:paraId="5B0FC8A8" w14:textId="77777777" w:rsidR="00563473" w:rsidRPr="00361963" w:rsidRDefault="00563473" w:rsidP="00743BEC">
      <w:pPr>
        <w:overflowPunct w:val="0"/>
        <w:snapToGrid w:val="0"/>
        <w:spacing w:after="0" w:line="300" w:lineRule="auto"/>
        <w:contextualSpacing/>
        <w:jc w:val="both"/>
        <w:rPr>
          <w:rFonts w:ascii="Times New Roman" w:eastAsia="標楷體" w:hAnsi="Times New Roman" w:cs="Times New Roman"/>
          <w:sz w:val="24"/>
          <w:szCs w:val="24"/>
          <w:lang w:eastAsia="zh-HK"/>
        </w:rPr>
      </w:pPr>
    </w:p>
    <w:p w14:paraId="4E7560E0" w14:textId="1B4A879A" w:rsidR="00BF7764" w:rsidRDefault="00BF7764" w:rsidP="00DD58D9">
      <w:pPr>
        <w:keepNext/>
        <w:overflowPunct w:val="0"/>
        <w:snapToGrid w:val="0"/>
        <w:spacing w:after="0" w:line="300" w:lineRule="auto"/>
        <w:ind w:left="709" w:hanging="709"/>
        <w:jc w:val="both"/>
        <w:rPr>
          <w:rFonts w:ascii="Times New Roman" w:eastAsia="標楷體" w:hAnsi="Times New Roman" w:cs="Times New Roman"/>
          <w:b/>
          <w:sz w:val="24"/>
          <w:szCs w:val="24"/>
          <w:lang w:eastAsia="zh-HK"/>
        </w:rPr>
      </w:pPr>
      <w:r w:rsidRPr="00893638">
        <w:rPr>
          <w:rFonts w:ascii="Times New Roman" w:eastAsia="標楷體" w:hAnsi="Times New Roman" w:cs="Times New Roman" w:hint="eastAsia"/>
          <w:b/>
          <w:sz w:val="24"/>
          <w:szCs w:val="24"/>
          <w:lang w:eastAsia="zh-HK"/>
        </w:rPr>
        <w:t>I</w:t>
      </w:r>
      <w:r w:rsidRPr="00893638">
        <w:rPr>
          <w:rFonts w:ascii="Times New Roman" w:eastAsia="標楷體" w:hAnsi="Times New Roman" w:cs="Times New Roman"/>
          <w:b/>
          <w:sz w:val="24"/>
          <w:szCs w:val="24"/>
          <w:lang w:eastAsia="zh-HK"/>
        </w:rPr>
        <w:t>I</w:t>
      </w:r>
      <w:r w:rsidRPr="00893638">
        <w:rPr>
          <w:rFonts w:ascii="Times New Roman" w:eastAsia="標楷體" w:hAnsi="Times New Roman" w:cs="Times New Roman" w:hint="eastAsia"/>
          <w:b/>
          <w:sz w:val="24"/>
          <w:szCs w:val="24"/>
          <w:lang w:eastAsia="zh-HK"/>
        </w:rPr>
        <w:t>.</w:t>
      </w:r>
      <w:r w:rsidRPr="00893638">
        <w:rPr>
          <w:rFonts w:ascii="Times New Roman" w:eastAsia="標楷體" w:hAnsi="Times New Roman" w:cs="Times New Roman" w:hint="eastAsia"/>
          <w:b/>
          <w:sz w:val="24"/>
          <w:szCs w:val="24"/>
          <w:lang w:eastAsia="zh-HK"/>
        </w:rPr>
        <w:tab/>
      </w:r>
      <w:r w:rsidR="008F6560">
        <w:rPr>
          <w:rFonts w:ascii="Times New Roman" w:eastAsia="標楷體" w:hAnsi="Times New Roman" w:cs="Times New Roman"/>
          <w:b/>
          <w:sz w:val="24"/>
          <w:szCs w:val="24"/>
          <w:lang w:eastAsia="zh-HK"/>
        </w:rPr>
        <w:t xml:space="preserve">CONCEPTS AND </w:t>
      </w:r>
      <w:r w:rsidR="005F53B0">
        <w:rPr>
          <w:rFonts w:ascii="Times New Roman" w:eastAsia="標楷體" w:hAnsi="Times New Roman" w:cs="Times New Roman"/>
          <w:b/>
          <w:sz w:val="24"/>
          <w:szCs w:val="24"/>
          <w:lang w:eastAsia="zh-HK"/>
        </w:rPr>
        <w:t>STYLISED FACTS</w:t>
      </w:r>
    </w:p>
    <w:p w14:paraId="4C754926" w14:textId="1A643069" w:rsidR="006F462A" w:rsidRPr="00893638" w:rsidRDefault="006F462A" w:rsidP="00DD58D9">
      <w:pPr>
        <w:overflowPunct w:val="0"/>
        <w:snapToGrid w:val="0"/>
        <w:spacing w:after="0" w:line="300" w:lineRule="auto"/>
        <w:jc w:val="both"/>
        <w:rPr>
          <w:rFonts w:ascii="Times New Roman" w:eastAsia="標楷體" w:hAnsi="Times New Roman" w:cs="Times New Roman"/>
          <w:sz w:val="24"/>
          <w:szCs w:val="24"/>
          <w:lang w:eastAsia="zh-HK"/>
        </w:rPr>
      </w:pPr>
    </w:p>
    <w:p w14:paraId="7C69F265" w14:textId="006FCC24" w:rsidR="00743E16" w:rsidRDefault="002A62EB" w:rsidP="00743E16">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The theory</w:t>
      </w:r>
      <w:r w:rsidR="00F67294">
        <w:rPr>
          <w:rFonts w:ascii="Times New Roman" w:eastAsia="標楷體" w:hAnsi="Times New Roman" w:cs="Times New Roman"/>
          <w:sz w:val="24"/>
          <w:szCs w:val="24"/>
          <w:lang w:eastAsia="zh-HK"/>
        </w:rPr>
        <w:t xml:space="preserve"> that consumer prices should track productivity-adjusted </w:t>
      </w:r>
      <w:r w:rsidR="003C23B1">
        <w:rPr>
          <w:rFonts w:ascii="Times New Roman" w:eastAsia="標楷體" w:hAnsi="Times New Roman" w:cs="Times New Roman"/>
          <w:sz w:val="24"/>
          <w:szCs w:val="24"/>
          <w:lang w:eastAsia="zh-HK"/>
        </w:rPr>
        <w:t xml:space="preserve">nominal </w:t>
      </w:r>
      <w:r w:rsidR="00F67294">
        <w:rPr>
          <w:rFonts w:ascii="Times New Roman" w:eastAsia="標楷體" w:hAnsi="Times New Roman" w:cs="Times New Roman"/>
          <w:sz w:val="24"/>
          <w:szCs w:val="24"/>
          <w:lang w:eastAsia="zh-HK"/>
        </w:rPr>
        <w:t xml:space="preserve">wages is based on the </w:t>
      </w:r>
      <w:r>
        <w:rPr>
          <w:rFonts w:ascii="Times New Roman" w:eastAsia="標楷體" w:hAnsi="Times New Roman" w:cs="Times New Roman"/>
          <w:sz w:val="24"/>
          <w:szCs w:val="24"/>
          <w:lang w:eastAsia="zh-HK"/>
        </w:rPr>
        <w:t>idea</w:t>
      </w:r>
      <w:r w:rsidR="00F67294">
        <w:rPr>
          <w:rFonts w:ascii="Times New Roman" w:eastAsia="標楷體" w:hAnsi="Times New Roman" w:cs="Times New Roman"/>
          <w:sz w:val="24"/>
          <w:szCs w:val="24"/>
          <w:lang w:eastAsia="zh-HK"/>
        </w:rPr>
        <w:t xml:space="preserve"> of a </w:t>
      </w:r>
      <w:r w:rsidR="00602E12">
        <w:rPr>
          <w:rFonts w:ascii="Times New Roman" w:eastAsia="標楷體" w:hAnsi="Times New Roman" w:cs="Times New Roman"/>
          <w:sz w:val="24"/>
          <w:szCs w:val="24"/>
          <w:lang w:eastAsia="zh-HK"/>
        </w:rPr>
        <w:t>profit</w:t>
      </w:r>
      <w:r w:rsidR="00F67294">
        <w:rPr>
          <w:rFonts w:ascii="Times New Roman" w:eastAsia="標楷體" w:hAnsi="Times New Roman" w:cs="Times New Roman"/>
          <w:sz w:val="24"/>
          <w:szCs w:val="24"/>
          <w:lang w:eastAsia="zh-HK"/>
        </w:rPr>
        <w:t>-maximising firm that is a price taker in both the labour market and the product market</w:t>
      </w:r>
      <w:r w:rsidR="00F0624A">
        <w:rPr>
          <w:rFonts w:ascii="Times New Roman" w:eastAsia="標楷體" w:hAnsi="Times New Roman" w:cs="Times New Roman"/>
          <w:sz w:val="24"/>
          <w:szCs w:val="24"/>
          <w:lang w:eastAsia="zh-HK"/>
        </w:rPr>
        <w:t>.</w:t>
      </w:r>
      <w:r w:rsidR="00F67294">
        <w:rPr>
          <w:rFonts w:ascii="Times New Roman" w:eastAsia="標楷體" w:hAnsi="Times New Roman" w:cs="Times New Roman"/>
          <w:sz w:val="24"/>
          <w:szCs w:val="24"/>
          <w:lang w:eastAsia="zh-HK"/>
        </w:rPr>
        <w:t xml:space="preserve">  The</w:t>
      </w:r>
      <w:r w:rsidR="002A0A0F">
        <w:rPr>
          <w:rFonts w:ascii="Times New Roman" w:eastAsia="標楷體" w:hAnsi="Times New Roman" w:cs="Times New Roman"/>
          <w:sz w:val="24"/>
          <w:szCs w:val="24"/>
          <w:lang w:eastAsia="zh-HK"/>
        </w:rPr>
        <w:t xml:space="preserve"> firm hires </w:t>
      </w:r>
      <m:oMath>
        <m:r>
          <w:rPr>
            <w:rFonts w:ascii="Cambria Math" w:eastAsia="標楷體" w:hAnsi="Cambria Math" w:cs="Times New Roman"/>
            <w:sz w:val="24"/>
            <w:szCs w:val="24"/>
            <w:lang w:eastAsia="zh-HK"/>
          </w:rPr>
          <m:t>L</m:t>
        </m:r>
      </m:oMath>
      <w:r w:rsidR="002A0A0F">
        <w:rPr>
          <w:rFonts w:ascii="Times New Roman" w:eastAsia="標楷體" w:hAnsi="Times New Roman" w:cs="Times New Roman"/>
          <w:sz w:val="24"/>
          <w:szCs w:val="24"/>
          <w:lang w:eastAsia="zh-HK"/>
        </w:rPr>
        <w:t xml:space="preserve"> workers and produces </w:t>
      </w:r>
      <m:oMath>
        <m:r>
          <w:rPr>
            <w:rFonts w:ascii="Cambria Math" w:eastAsia="標楷體" w:hAnsi="Cambria Math" w:cs="Times New Roman"/>
            <w:sz w:val="24"/>
            <w:szCs w:val="24"/>
            <w:lang w:eastAsia="zh-HK"/>
          </w:rPr>
          <m:t>f</m:t>
        </m:r>
        <m:d>
          <m:dPr>
            <m:ctrlPr>
              <w:rPr>
                <w:rFonts w:ascii="Cambria Math" w:eastAsia="標楷體" w:hAnsi="Cambria Math" w:cs="Times New Roman"/>
                <w:i/>
                <w:sz w:val="24"/>
                <w:szCs w:val="24"/>
                <w:lang w:eastAsia="zh-HK"/>
              </w:rPr>
            </m:ctrlPr>
          </m:dPr>
          <m:e>
            <m:r>
              <w:rPr>
                <w:rFonts w:ascii="Cambria Math" w:eastAsia="標楷體" w:hAnsi="Cambria Math" w:cs="Times New Roman"/>
                <w:sz w:val="24"/>
                <w:szCs w:val="24"/>
                <w:lang w:eastAsia="zh-HK"/>
              </w:rPr>
              <m:t>L</m:t>
            </m:r>
          </m:e>
        </m:d>
      </m:oMath>
      <w:r w:rsidR="002A0A0F">
        <w:rPr>
          <w:rFonts w:ascii="Times New Roman" w:eastAsia="標楷體" w:hAnsi="Times New Roman" w:cs="Times New Roman"/>
          <w:sz w:val="24"/>
          <w:szCs w:val="24"/>
          <w:lang w:eastAsia="zh-HK"/>
        </w:rPr>
        <w:t xml:space="preserve"> output; after selling its output at </w:t>
      </w:r>
      <w:proofErr w:type="gramStart"/>
      <w:r w:rsidR="002A0A0F">
        <w:rPr>
          <w:rFonts w:ascii="Times New Roman" w:eastAsia="標楷體" w:hAnsi="Times New Roman" w:cs="Times New Roman"/>
          <w:sz w:val="24"/>
          <w:szCs w:val="24"/>
          <w:lang w:eastAsia="zh-HK"/>
        </w:rPr>
        <w:t xml:space="preserve">price </w:t>
      </w:r>
      <w:proofErr w:type="gramEnd"/>
      <m:oMath>
        <m:r>
          <w:rPr>
            <w:rFonts w:ascii="Cambria Math" w:eastAsia="標楷體" w:hAnsi="Cambria Math" w:cs="Times New Roman"/>
            <w:sz w:val="24"/>
            <w:szCs w:val="24"/>
            <w:lang w:eastAsia="zh-HK"/>
          </w:rPr>
          <m:t>P</m:t>
        </m:r>
      </m:oMath>
      <w:r w:rsidR="002A0A0F">
        <w:rPr>
          <w:rFonts w:ascii="Times New Roman" w:eastAsia="標楷體" w:hAnsi="Times New Roman" w:cs="Times New Roman"/>
          <w:sz w:val="24"/>
          <w:szCs w:val="24"/>
          <w:lang w:eastAsia="zh-HK"/>
        </w:rPr>
        <w:t xml:space="preserve">, its total revenue is </w:t>
      </w:r>
      <m:oMath>
        <m:r>
          <w:rPr>
            <w:rFonts w:ascii="Cambria Math" w:eastAsia="標楷體" w:hAnsi="Cambria Math" w:cs="Times New Roman"/>
            <w:sz w:val="24"/>
            <w:szCs w:val="24"/>
            <w:lang w:eastAsia="zh-HK"/>
          </w:rPr>
          <m:t>P∙f</m:t>
        </m:r>
        <m:d>
          <m:dPr>
            <m:ctrlPr>
              <w:rPr>
                <w:rFonts w:ascii="Cambria Math" w:eastAsia="標楷體" w:hAnsi="Cambria Math" w:cs="Times New Roman"/>
                <w:i/>
                <w:sz w:val="24"/>
                <w:szCs w:val="24"/>
                <w:lang w:eastAsia="zh-HK"/>
              </w:rPr>
            </m:ctrlPr>
          </m:dPr>
          <m:e>
            <m:r>
              <w:rPr>
                <w:rFonts w:ascii="Cambria Math" w:eastAsia="標楷體" w:hAnsi="Cambria Math" w:cs="Times New Roman"/>
                <w:sz w:val="24"/>
                <w:szCs w:val="24"/>
                <w:lang w:eastAsia="zh-HK"/>
              </w:rPr>
              <m:t>L</m:t>
            </m:r>
          </m:e>
        </m:d>
      </m:oMath>
      <w:r w:rsidR="002A0A0F">
        <w:rPr>
          <w:rFonts w:ascii="Times New Roman" w:eastAsia="標楷體" w:hAnsi="Times New Roman" w:cs="Times New Roman"/>
          <w:sz w:val="24"/>
          <w:szCs w:val="24"/>
          <w:lang w:eastAsia="zh-HK"/>
        </w:rPr>
        <w:t xml:space="preserve">.  Maximising profit requires that the firm hire labour until its marginal revenue </w:t>
      </w:r>
      <m:oMath>
        <m:r>
          <w:rPr>
            <w:rFonts w:ascii="Cambria Math" w:eastAsia="標楷體" w:hAnsi="Cambria Math" w:cs="Times New Roman"/>
            <w:sz w:val="24"/>
            <w:szCs w:val="24"/>
            <w:lang w:eastAsia="zh-HK"/>
          </w:rPr>
          <m:t>P∙f'</m:t>
        </m:r>
        <m:d>
          <m:dPr>
            <m:ctrlPr>
              <w:rPr>
                <w:rFonts w:ascii="Cambria Math" w:eastAsia="標楷體" w:hAnsi="Cambria Math" w:cs="Times New Roman"/>
                <w:i/>
                <w:sz w:val="24"/>
                <w:szCs w:val="24"/>
                <w:lang w:eastAsia="zh-HK"/>
              </w:rPr>
            </m:ctrlPr>
          </m:dPr>
          <m:e>
            <m:r>
              <w:rPr>
                <w:rFonts w:ascii="Cambria Math" w:eastAsia="標楷體" w:hAnsi="Cambria Math" w:cs="Times New Roman"/>
                <w:sz w:val="24"/>
                <w:szCs w:val="24"/>
                <w:lang w:eastAsia="zh-HK"/>
              </w:rPr>
              <m:t>L</m:t>
            </m:r>
          </m:e>
        </m:d>
      </m:oMath>
      <w:r w:rsidR="002A0A0F">
        <w:rPr>
          <w:rFonts w:ascii="Times New Roman" w:eastAsia="標楷體" w:hAnsi="Times New Roman" w:cs="Times New Roman"/>
          <w:sz w:val="24"/>
          <w:szCs w:val="24"/>
          <w:lang w:eastAsia="zh-HK"/>
        </w:rPr>
        <w:t xml:space="preserve"> equal</w:t>
      </w:r>
      <w:r w:rsidR="003C23B1">
        <w:rPr>
          <w:rFonts w:ascii="Times New Roman" w:eastAsia="標楷體" w:hAnsi="Times New Roman" w:cs="Times New Roman"/>
          <w:sz w:val="24"/>
          <w:szCs w:val="24"/>
          <w:lang w:eastAsia="zh-HK"/>
        </w:rPr>
        <w:t>s</w:t>
      </w:r>
      <w:r w:rsidR="002A0A0F">
        <w:rPr>
          <w:rFonts w:ascii="Times New Roman" w:eastAsia="標楷體" w:hAnsi="Times New Roman" w:cs="Times New Roman"/>
          <w:sz w:val="24"/>
          <w:szCs w:val="24"/>
          <w:lang w:eastAsia="zh-HK"/>
        </w:rPr>
        <w:t xml:space="preserve"> the marginal cost (or wage</w:t>
      </w:r>
      <w:proofErr w:type="gramStart"/>
      <w:r w:rsidR="002A0A0F">
        <w:rPr>
          <w:rFonts w:ascii="Times New Roman" w:eastAsia="標楷體" w:hAnsi="Times New Roman" w:cs="Times New Roman"/>
          <w:sz w:val="24"/>
          <w:szCs w:val="24"/>
          <w:lang w:eastAsia="zh-HK"/>
        </w:rPr>
        <w:t xml:space="preserve">) </w:t>
      </w:r>
      <w:proofErr w:type="gramEnd"/>
      <m:oMath>
        <m:r>
          <w:rPr>
            <w:rFonts w:ascii="Cambria Math" w:eastAsia="標楷體" w:hAnsi="Cambria Math" w:cs="Times New Roman"/>
            <w:sz w:val="24"/>
            <w:szCs w:val="24"/>
            <w:lang w:eastAsia="zh-HK"/>
          </w:rPr>
          <m:t>W</m:t>
        </m:r>
      </m:oMath>
      <w:r w:rsidR="002A0A0F">
        <w:rPr>
          <w:rFonts w:ascii="Times New Roman" w:eastAsia="標楷體" w:hAnsi="Times New Roman" w:cs="Times New Roman"/>
          <w:sz w:val="24"/>
          <w:szCs w:val="24"/>
          <w:lang w:eastAsia="zh-HK"/>
        </w:rPr>
        <w:t xml:space="preserve">, or until </w:t>
      </w:r>
      <m:oMath>
        <m:r>
          <w:rPr>
            <w:rFonts w:ascii="Cambria Math" w:eastAsia="標楷體" w:hAnsi="Cambria Math" w:cs="Times New Roman"/>
            <w:sz w:val="24"/>
            <w:szCs w:val="24"/>
            <w:lang w:eastAsia="zh-HK"/>
          </w:rPr>
          <m:t>P∙</m:t>
        </m:r>
        <m:sSup>
          <m:sSupPr>
            <m:ctrlPr>
              <w:rPr>
                <w:rFonts w:ascii="Cambria Math" w:eastAsia="標楷體" w:hAnsi="Cambria Math" w:cs="Times New Roman"/>
                <w:i/>
                <w:sz w:val="24"/>
                <w:szCs w:val="24"/>
                <w:lang w:eastAsia="zh-HK"/>
              </w:rPr>
            </m:ctrlPr>
          </m:sSupPr>
          <m:e>
            <m:r>
              <w:rPr>
                <w:rFonts w:ascii="Cambria Math" w:eastAsia="標楷體" w:hAnsi="Cambria Math" w:cs="Times New Roman"/>
                <w:sz w:val="24"/>
                <w:szCs w:val="24"/>
                <w:lang w:eastAsia="zh-HK"/>
              </w:rPr>
              <m:t>f</m:t>
            </m:r>
          </m:e>
          <m:sup>
            <m:r>
              <w:rPr>
                <w:rFonts w:ascii="Cambria Math" w:eastAsia="標楷體" w:hAnsi="Cambria Math" w:cs="Times New Roman"/>
                <w:sz w:val="24"/>
                <w:szCs w:val="24"/>
                <w:lang w:eastAsia="zh-HK"/>
              </w:rPr>
              <m:t>'</m:t>
            </m:r>
          </m:sup>
        </m:sSup>
        <m:d>
          <m:dPr>
            <m:ctrlPr>
              <w:rPr>
                <w:rFonts w:ascii="Cambria Math" w:eastAsia="標楷體" w:hAnsi="Cambria Math" w:cs="Times New Roman"/>
                <w:i/>
                <w:sz w:val="24"/>
                <w:szCs w:val="24"/>
                <w:lang w:eastAsia="zh-HK"/>
              </w:rPr>
            </m:ctrlPr>
          </m:dPr>
          <m:e>
            <m:r>
              <w:rPr>
                <w:rFonts w:ascii="Cambria Math" w:eastAsia="標楷體" w:hAnsi="Cambria Math" w:cs="Times New Roman"/>
                <w:sz w:val="24"/>
                <w:szCs w:val="24"/>
                <w:lang w:eastAsia="zh-HK"/>
              </w:rPr>
              <m:t>L</m:t>
            </m:r>
          </m:e>
        </m:d>
        <m:r>
          <w:rPr>
            <w:rFonts w:ascii="Cambria Math" w:eastAsia="標楷體" w:hAnsi="Cambria Math" w:cs="Times New Roman"/>
            <w:sz w:val="24"/>
            <w:szCs w:val="24"/>
            <w:lang w:eastAsia="zh-HK"/>
          </w:rPr>
          <m:t>=W</m:t>
        </m:r>
      </m:oMath>
      <w:r w:rsidR="002A0A0F">
        <w:rPr>
          <w:rFonts w:ascii="Times New Roman" w:eastAsia="標楷體" w:hAnsi="Times New Roman" w:cs="Times New Roman"/>
          <w:sz w:val="24"/>
          <w:szCs w:val="24"/>
          <w:lang w:eastAsia="zh-HK"/>
        </w:rPr>
        <w:t>.</w:t>
      </w:r>
      <w:r w:rsidR="00743E16">
        <w:rPr>
          <w:rFonts w:ascii="Times New Roman" w:eastAsia="標楷體" w:hAnsi="Times New Roman" w:cs="Times New Roman"/>
          <w:sz w:val="24"/>
          <w:szCs w:val="24"/>
          <w:lang w:eastAsia="zh-HK"/>
        </w:rPr>
        <w:t xml:space="preserve">  Taking the logarithm of both sides and writing the period-to-period change yields</w:t>
      </w:r>
    </w:p>
    <w:p w14:paraId="5B7E50EA" w14:textId="77777777" w:rsidR="00743E16" w:rsidRPr="00743E16" w:rsidRDefault="00743E16" w:rsidP="00743E16">
      <w:pPr>
        <w:pStyle w:val="ListParagraph"/>
        <w:overflowPunct w:val="0"/>
        <w:snapToGrid w:val="0"/>
        <w:spacing w:after="0" w:line="300" w:lineRule="auto"/>
        <w:ind w:left="0"/>
        <w:jc w:val="both"/>
        <w:rPr>
          <w:rFonts w:ascii="Times New Roman" w:eastAsia="標楷體" w:hAnsi="Times New Roman" w:cs="Times New Roman"/>
          <w:sz w:val="20"/>
          <w:szCs w:val="24"/>
          <w:lang w:eastAsia="zh-HK"/>
        </w:rPr>
      </w:pPr>
    </w:p>
    <w:p w14:paraId="050E4871" w14:textId="0DBF5A73" w:rsidR="00743E16" w:rsidRPr="00743E16" w:rsidRDefault="00743E16" w:rsidP="00743E16">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m:oMathPara>
        <m:oMath>
          <m:r>
            <w:rPr>
              <w:rFonts w:ascii="Cambria Math" w:eastAsia="標楷體" w:hAnsi="Cambria Math" w:cs="Times New Roman"/>
              <w:sz w:val="24"/>
              <w:szCs w:val="24"/>
              <w:lang w:eastAsia="zh-HK"/>
            </w:rPr>
            <m:t>∆ln</m:t>
          </m:r>
          <m:d>
            <m:dPr>
              <m:ctrlPr>
                <w:rPr>
                  <w:rFonts w:ascii="Cambria Math" w:eastAsia="標楷體" w:hAnsi="Cambria Math" w:cs="Times New Roman"/>
                  <w:i/>
                  <w:sz w:val="24"/>
                  <w:szCs w:val="24"/>
                  <w:lang w:eastAsia="zh-HK"/>
                </w:rPr>
              </m:ctrlPr>
            </m:dPr>
            <m:e>
              <m:sSub>
                <m:sSubPr>
                  <m:ctrlPr>
                    <w:rPr>
                      <w:rFonts w:ascii="Cambria Math" w:eastAsia="標楷體" w:hAnsi="Cambria Math" w:cs="Times New Roman"/>
                      <w:i/>
                      <w:sz w:val="24"/>
                      <w:szCs w:val="24"/>
                      <w:lang w:eastAsia="zh-HK"/>
                    </w:rPr>
                  </m:ctrlPr>
                </m:sSubPr>
                <m:e>
                  <m:r>
                    <w:rPr>
                      <w:rFonts w:ascii="Cambria Math" w:eastAsia="標楷體" w:hAnsi="Cambria Math" w:cs="Times New Roman"/>
                      <w:sz w:val="24"/>
                      <w:szCs w:val="24"/>
                      <w:lang w:eastAsia="zh-HK"/>
                    </w:rPr>
                    <m:t>P</m:t>
                  </m:r>
                </m:e>
                <m:sub>
                  <m:r>
                    <w:rPr>
                      <w:rFonts w:ascii="Cambria Math" w:eastAsia="標楷體" w:hAnsi="Cambria Math" w:cs="Times New Roman"/>
                      <w:sz w:val="24"/>
                      <w:szCs w:val="24"/>
                      <w:lang w:eastAsia="zh-HK"/>
                    </w:rPr>
                    <m:t>t</m:t>
                  </m:r>
                </m:sub>
              </m:sSub>
            </m:e>
          </m:d>
          <m:r>
            <w:rPr>
              <w:rFonts w:ascii="Cambria Math" w:eastAsia="標楷體" w:hAnsi="Cambria Math" w:cs="Times New Roman"/>
              <w:sz w:val="24"/>
              <w:szCs w:val="24"/>
              <w:lang w:eastAsia="zh-HK"/>
            </w:rPr>
            <m:t>+∆ln</m:t>
          </m:r>
          <m:d>
            <m:dPr>
              <m:ctrlPr>
                <w:rPr>
                  <w:rFonts w:ascii="Cambria Math" w:eastAsia="標楷體" w:hAnsi="Cambria Math" w:cs="Times New Roman"/>
                  <w:i/>
                  <w:sz w:val="24"/>
                  <w:szCs w:val="24"/>
                  <w:lang w:eastAsia="zh-HK"/>
                </w:rPr>
              </m:ctrlPr>
            </m:dPr>
            <m:e>
              <m:sSub>
                <m:sSubPr>
                  <m:ctrlPr>
                    <w:rPr>
                      <w:rFonts w:ascii="Cambria Math" w:eastAsia="標楷體" w:hAnsi="Cambria Math" w:cs="Times New Roman"/>
                      <w:i/>
                      <w:sz w:val="24"/>
                      <w:szCs w:val="24"/>
                      <w:lang w:eastAsia="zh-HK"/>
                    </w:rPr>
                  </m:ctrlPr>
                </m:sSubPr>
                <m:e>
                  <m:sSup>
                    <m:sSupPr>
                      <m:ctrlPr>
                        <w:rPr>
                          <w:rFonts w:ascii="Cambria Math" w:eastAsia="標楷體" w:hAnsi="Cambria Math" w:cs="Times New Roman"/>
                          <w:i/>
                          <w:sz w:val="24"/>
                          <w:szCs w:val="24"/>
                          <w:lang w:eastAsia="zh-HK"/>
                        </w:rPr>
                      </m:ctrlPr>
                    </m:sSupPr>
                    <m:e>
                      <m:r>
                        <w:rPr>
                          <w:rFonts w:ascii="Cambria Math" w:eastAsia="標楷體" w:hAnsi="Cambria Math" w:cs="Times New Roman"/>
                          <w:sz w:val="24"/>
                          <w:szCs w:val="24"/>
                          <w:lang w:eastAsia="zh-HK"/>
                        </w:rPr>
                        <m:t>f</m:t>
                      </m:r>
                    </m:e>
                    <m:sup>
                      <m:r>
                        <w:rPr>
                          <w:rFonts w:ascii="Cambria Math" w:eastAsia="標楷體" w:hAnsi="Cambria Math" w:cs="Times New Roman"/>
                          <w:sz w:val="24"/>
                          <w:szCs w:val="24"/>
                          <w:lang w:eastAsia="zh-HK"/>
                        </w:rPr>
                        <m:t>'</m:t>
                      </m:r>
                    </m:sup>
                  </m:sSup>
                  <m:d>
                    <m:dPr>
                      <m:ctrlPr>
                        <w:rPr>
                          <w:rFonts w:ascii="Cambria Math" w:eastAsia="標楷體" w:hAnsi="Cambria Math" w:cs="Times New Roman"/>
                          <w:i/>
                          <w:sz w:val="24"/>
                          <w:szCs w:val="24"/>
                          <w:lang w:eastAsia="zh-HK"/>
                        </w:rPr>
                      </m:ctrlPr>
                    </m:dPr>
                    <m:e>
                      <m:r>
                        <w:rPr>
                          <w:rFonts w:ascii="Cambria Math" w:eastAsia="標楷體" w:hAnsi="Cambria Math" w:cs="Times New Roman"/>
                          <w:sz w:val="24"/>
                          <w:szCs w:val="24"/>
                          <w:lang w:eastAsia="zh-HK"/>
                        </w:rPr>
                        <m:t>L</m:t>
                      </m:r>
                    </m:e>
                  </m:d>
                </m:e>
                <m:sub>
                  <m:r>
                    <w:rPr>
                      <w:rFonts w:ascii="Cambria Math" w:eastAsia="標楷體" w:hAnsi="Cambria Math" w:cs="Times New Roman"/>
                      <w:sz w:val="24"/>
                      <w:szCs w:val="24"/>
                      <w:lang w:eastAsia="zh-HK"/>
                    </w:rPr>
                    <m:t>t</m:t>
                  </m:r>
                </m:sub>
              </m:sSub>
            </m:e>
          </m:d>
          <m:r>
            <w:rPr>
              <w:rFonts w:ascii="Cambria Math" w:eastAsia="標楷體" w:hAnsi="Cambria Math" w:cs="Times New Roman"/>
              <w:sz w:val="24"/>
              <w:szCs w:val="24"/>
              <w:lang w:eastAsia="zh-HK"/>
            </w:rPr>
            <m:t>=∆ln</m:t>
          </m:r>
          <m:d>
            <m:dPr>
              <m:ctrlPr>
                <w:rPr>
                  <w:rFonts w:ascii="Cambria Math" w:eastAsia="標楷體" w:hAnsi="Cambria Math" w:cs="Times New Roman"/>
                  <w:i/>
                  <w:sz w:val="24"/>
                  <w:szCs w:val="24"/>
                  <w:lang w:eastAsia="zh-HK"/>
                </w:rPr>
              </m:ctrlPr>
            </m:dPr>
            <m:e>
              <m:sSub>
                <m:sSubPr>
                  <m:ctrlPr>
                    <w:rPr>
                      <w:rFonts w:ascii="Cambria Math" w:eastAsia="標楷體" w:hAnsi="Cambria Math" w:cs="Times New Roman"/>
                      <w:i/>
                      <w:sz w:val="24"/>
                      <w:szCs w:val="24"/>
                      <w:lang w:eastAsia="zh-HK"/>
                    </w:rPr>
                  </m:ctrlPr>
                </m:sSubPr>
                <m:e>
                  <m:r>
                    <w:rPr>
                      <w:rFonts w:ascii="Cambria Math" w:eastAsia="標楷體" w:hAnsi="Cambria Math" w:cs="Times New Roman"/>
                      <w:sz w:val="24"/>
                      <w:szCs w:val="24"/>
                      <w:lang w:eastAsia="zh-HK"/>
                    </w:rPr>
                    <m:t>W</m:t>
                  </m:r>
                </m:e>
                <m:sub>
                  <m:r>
                    <w:rPr>
                      <w:rFonts w:ascii="Cambria Math" w:eastAsia="標楷體" w:hAnsi="Cambria Math" w:cs="Times New Roman"/>
                      <w:sz w:val="24"/>
                      <w:szCs w:val="24"/>
                      <w:lang w:eastAsia="zh-HK"/>
                    </w:rPr>
                    <m:t>t</m:t>
                  </m:r>
                </m:sub>
              </m:sSub>
            </m:e>
          </m:d>
        </m:oMath>
      </m:oMathPara>
    </w:p>
    <w:p w14:paraId="00FD93C5" w14:textId="779C3E8A" w:rsidR="00743E16" w:rsidRPr="00743E16" w:rsidRDefault="00743E16" w:rsidP="00743E16">
      <w:pPr>
        <w:pStyle w:val="ListParagraph"/>
        <w:overflowPunct w:val="0"/>
        <w:snapToGrid w:val="0"/>
        <w:spacing w:after="0" w:line="300" w:lineRule="auto"/>
        <w:ind w:left="0"/>
        <w:jc w:val="both"/>
        <w:rPr>
          <w:rFonts w:ascii="Times New Roman" w:eastAsia="標楷體" w:hAnsi="Times New Roman" w:cs="Times New Roman"/>
          <w:sz w:val="20"/>
          <w:szCs w:val="24"/>
          <w:lang w:eastAsia="zh-HK"/>
        </w:rPr>
      </w:pPr>
    </w:p>
    <w:p w14:paraId="54CF5ED7" w14:textId="51A8B847" w:rsidR="00F67294" w:rsidRPr="007F30FF" w:rsidRDefault="00743E16" w:rsidP="007F30FF">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roofErr w:type="gramStart"/>
      <w:r>
        <w:rPr>
          <w:rFonts w:ascii="Times New Roman" w:eastAsia="標楷體" w:hAnsi="Times New Roman" w:cs="Times New Roman"/>
          <w:sz w:val="24"/>
          <w:szCs w:val="24"/>
          <w:lang w:eastAsia="zh-HK"/>
        </w:rPr>
        <w:t>where</w:t>
      </w:r>
      <w:proofErr w:type="gramEnd"/>
      <w:r>
        <w:rPr>
          <w:rFonts w:ascii="Times New Roman" w:eastAsia="標楷體" w:hAnsi="Times New Roman" w:cs="Times New Roman"/>
          <w:sz w:val="24"/>
          <w:szCs w:val="24"/>
          <w:lang w:eastAsia="zh-HK"/>
        </w:rPr>
        <w:t xml:space="preserve"> </w:t>
      </w:r>
      <m:oMath>
        <m:r>
          <w:rPr>
            <w:rFonts w:ascii="Cambria Math" w:eastAsia="標楷體" w:hAnsi="Cambria Math" w:cs="Times New Roman"/>
            <w:sz w:val="24"/>
            <w:szCs w:val="24"/>
            <w:lang w:eastAsia="zh-HK"/>
          </w:rPr>
          <m:t>∆ln</m:t>
        </m:r>
        <m:d>
          <m:dPr>
            <m:ctrlPr>
              <w:rPr>
                <w:rFonts w:ascii="Cambria Math" w:eastAsia="標楷體" w:hAnsi="Cambria Math" w:cs="Times New Roman"/>
                <w:i/>
                <w:sz w:val="24"/>
                <w:szCs w:val="24"/>
                <w:lang w:eastAsia="zh-HK"/>
              </w:rPr>
            </m:ctrlPr>
          </m:dPr>
          <m:e>
            <m:sSub>
              <m:sSubPr>
                <m:ctrlPr>
                  <w:rPr>
                    <w:rFonts w:ascii="Cambria Math" w:eastAsia="標楷體" w:hAnsi="Cambria Math" w:cs="Times New Roman"/>
                    <w:i/>
                    <w:sz w:val="24"/>
                    <w:szCs w:val="24"/>
                    <w:lang w:eastAsia="zh-HK"/>
                  </w:rPr>
                </m:ctrlPr>
              </m:sSubPr>
              <m:e>
                <m:r>
                  <w:rPr>
                    <w:rFonts w:ascii="Cambria Math" w:eastAsia="標楷體" w:hAnsi="Cambria Math" w:cs="Times New Roman"/>
                    <w:sz w:val="24"/>
                    <w:szCs w:val="24"/>
                    <w:lang w:eastAsia="zh-HK"/>
                  </w:rPr>
                  <m:t>P</m:t>
                </m:r>
              </m:e>
              <m:sub>
                <m:r>
                  <w:rPr>
                    <w:rFonts w:ascii="Cambria Math" w:eastAsia="標楷體" w:hAnsi="Cambria Math" w:cs="Times New Roman"/>
                    <w:sz w:val="24"/>
                    <w:szCs w:val="24"/>
                    <w:lang w:eastAsia="zh-HK"/>
                  </w:rPr>
                  <m:t>t</m:t>
                </m:r>
              </m:sub>
            </m:sSub>
          </m:e>
        </m:d>
      </m:oMath>
      <w:r>
        <w:rPr>
          <w:rFonts w:ascii="Times New Roman" w:eastAsia="標楷體" w:hAnsi="Times New Roman" w:cs="Times New Roman"/>
          <w:sz w:val="24"/>
          <w:szCs w:val="24"/>
          <w:lang w:eastAsia="zh-HK"/>
        </w:rPr>
        <w:t xml:space="preserve"> is inflation, </w:t>
      </w:r>
      <m:oMath>
        <m:r>
          <w:rPr>
            <w:rFonts w:ascii="Cambria Math" w:eastAsia="標楷體" w:hAnsi="Cambria Math" w:cs="Times New Roman"/>
            <w:sz w:val="24"/>
            <w:szCs w:val="24"/>
            <w:lang w:eastAsia="zh-HK"/>
          </w:rPr>
          <m:t>∆ln</m:t>
        </m:r>
        <m:d>
          <m:dPr>
            <m:ctrlPr>
              <w:rPr>
                <w:rFonts w:ascii="Cambria Math" w:eastAsia="標楷體" w:hAnsi="Cambria Math" w:cs="Times New Roman"/>
                <w:i/>
                <w:sz w:val="24"/>
                <w:szCs w:val="24"/>
                <w:lang w:eastAsia="zh-HK"/>
              </w:rPr>
            </m:ctrlPr>
          </m:dPr>
          <m:e>
            <m:sSub>
              <m:sSubPr>
                <m:ctrlPr>
                  <w:rPr>
                    <w:rFonts w:ascii="Cambria Math" w:eastAsia="標楷體" w:hAnsi="Cambria Math" w:cs="Times New Roman"/>
                    <w:i/>
                    <w:sz w:val="24"/>
                    <w:szCs w:val="24"/>
                    <w:lang w:eastAsia="zh-HK"/>
                  </w:rPr>
                </m:ctrlPr>
              </m:sSubPr>
              <m:e>
                <m:sSup>
                  <m:sSupPr>
                    <m:ctrlPr>
                      <w:rPr>
                        <w:rFonts w:ascii="Cambria Math" w:eastAsia="標楷體" w:hAnsi="Cambria Math" w:cs="Times New Roman"/>
                        <w:i/>
                        <w:sz w:val="24"/>
                        <w:szCs w:val="24"/>
                        <w:lang w:eastAsia="zh-HK"/>
                      </w:rPr>
                    </m:ctrlPr>
                  </m:sSupPr>
                  <m:e>
                    <m:r>
                      <w:rPr>
                        <w:rFonts w:ascii="Cambria Math" w:eastAsia="標楷體" w:hAnsi="Cambria Math" w:cs="Times New Roman"/>
                        <w:sz w:val="24"/>
                        <w:szCs w:val="24"/>
                        <w:lang w:eastAsia="zh-HK"/>
                      </w:rPr>
                      <m:t>f</m:t>
                    </m:r>
                  </m:e>
                  <m:sup>
                    <m:r>
                      <w:rPr>
                        <w:rFonts w:ascii="Cambria Math" w:eastAsia="標楷體" w:hAnsi="Cambria Math" w:cs="Times New Roman"/>
                        <w:sz w:val="24"/>
                        <w:szCs w:val="24"/>
                        <w:lang w:eastAsia="zh-HK"/>
                      </w:rPr>
                      <m:t>'</m:t>
                    </m:r>
                  </m:sup>
                </m:sSup>
                <m:d>
                  <m:dPr>
                    <m:ctrlPr>
                      <w:rPr>
                        <w:rFonts w:ascii="Cambria Math" w:eastAsia="標楷體" w:hAnsi="Cambria Math" w:cs="Times New Roman"/>
                        <w:i/>
                        <w:sz w:val="24"/>
                        <w:szCs w:val="24"/>
                        <w:lang w:eastAsia="zh-HK"/>
                      </w:rPr>
                    </m:ctrlPr>
                  </m:dPr>
                  <m:e>
                    <m:r>
                      <w:rPr>
                        <w:rFonts w:ascii="Cambria Math" w:eastAsia="標楷體" w:hAnsi="Cambria Math" w:cs="Times New Roman"/>
                        <w:sz w:val="24"/>
                        <w:szCs w:val="24"/>
                        <w:lang w:eastAsia="zh-HK"/>
                      </w:rPr>
                      <m:t>L</m:t>
                    </m:r>
                  </m:e>
                </m:d>
              </m:e>
              <m:sub>
                <m:r>
                  <w:rPr>
                    <w:rFonts w:ascii="Cambria Math" w:eastAsia="標楷體" w:hAnsi="Cambria Math" w:cs="Times New Roman"/>
                    <w:sz w:val="24"/>
                    <w:szCs w:val="24"/>
                    <w:lang w:eastAsia="zh-HK"/>
                  </w:rPr>
                  <m:t>t</m:t>
                </m:r>
              </m:sub>
            </m:sSub>
          </m:e>
        </m:d>
      </m:oMath>
      <w:r>
        <w:rPr>
          <w:rFonts w:ascii="Times New Roman" w:eastAsia="標楷體" w:hAnsi="Times New Roman" w:cs="Times New Roman"/>
          <w:sz w:val="24"/>
          <w:szCs w:val="24"/>
          <w:lang w:eastAsia="zh-HK"/>
        </w:rPr>
        <w:t xml:space="preserve"> is the change in labour productivity, and </w:t>
      </w:r>
      <m:oMath>
        <m:r>
          <w:rPr>
            <w:rFonts w:ascii="Cambria Math" w:eastAsia="標楷體" w:hAnsi="Cambria Math" w:cs="Times New Roman"/>
            <w:sz w:val="24"/>
            <w:szCs w:val="24"/>
            <w:lang w:eastAsia="zh-HK"/>
          </w:rPr>
          <m:t>∆ln</m:t>
        </m:r>
        <m:d>
          <m:dPr>
            <m:ctrlPr>
              <w:rPr>
                <w:rFonts w:ascii="Cambria Math" w:eastAsia="標楷體" w:hAnsi="Cambria Math" w:cs="Times New Roman"/>
                <w:i/>
                <w:sz w:val="24"/>
                <w:szCs w:val="24"/>
                <w:lang w:eastAsia="zh-HK"/>
              </w:rPr>
            </m:ctrlPr>
          </m:dPr>
          <m:e>
            <m:sSub>
              <m:sSubPr>
                <m:ctrlPr>
                  <w:rPr>
                    <w:rFonts w:ascii="Cambria Math" w:eastAsia="標楷體" w:hAnsi="Cambria Math" w:cs="Times New Roman"/>
                    <w:i/>
                    <w:sz w:val="24"/>
                    <w:szCs w:val="24"/>
                    <w:lang w:eastAsia="zh-HK"/>
                  </w:rPr>
                </m:ctrlPr>
              </m:sSubPr>
              <m:e>
                <m:r>
                  <w:rPr>
                    <w:rFonts w:ascii="Cambria Math" w:eastAsia="標楷體" w:hAnsi="Cambria Math" w:cs="Times New Roman"/>
                    <w:sz w:val="24"/>
                    <w:szCs w:val="24"/>
                    <w:lang w:eastAsia="zh-HK"/>
                  </w:rPr>
                  <m:t>W</m:t>
                </m:r>
              </m:e>
              <m:sub>
                <m:r>
                  <w:rPr>
                    <w:rFonts w:ascii="Cambria Math" w:eastAsia="標楷體" w:hAnsi="Cambria Math" w:cs="Times New Roman"/>
                    <w:sz w:val="24"/>
                    <w:szCs w:val="24"/>
                    <w:lang w:eastAsia="zh-HK"/>
                  </w:rPr>
                  <m:t>t</m:t>
                </m:r>
              </m:sub>
            </m:sSub>
          </m:e>
        </m:d>
      </m:oMath>
      <w:r>
        <w:rPr>
          <w:rFonts w:ascii="Times New Roman" w:eastAsia="標楷體" w:hAnsi="Times New Roman" w:cs="Times New Roman"/>
          <w:sz w:val="24"/>
          <w:szCs w:val="24"/>
          <w:lang w:eastAsia="zh-HK"/>
        </w:rPr>
        <w:t xml:space="preserve"> is the change in nominal wages</w:t>
      </w:r>
      <w:r>
        <w:rPr>
          <w:rStyle w:val="FootnoteReference"/>
          <w:rFonts w:ascii="Times New Roman" w:eastAsia="標楷體" w:hAnsi="Times New Roman" w:cs="Times New Roman"/>
          <w:sz w:val="24"/>
          <w:szCs w:val="24"/>
          <w:lang w:eastAsia="zh-HK"/>
        </w:rPr>
        <w:footnoteReference w:id="3"/>
      </w:r>
      <w:r>
        <w:rPr>
          <w:rFonts w:ascii="Times New Roman" w:eastAsia="標楷體" w:hAnsi="Times New Roman" w:cs="Times New Roman"/>
          <w:sz w:val="24"/>
          <w:szCs w:val="24"/>
          <w:lang w:eastAsia="zh-HK"/>
        </w:rPr>
        <w:t xml:space="preserve">.  In this ideal world, inflation moves in lockstep with productivity-adjusted </w:t>
      </w:r>
      <w:r w:rsidR="00CF7C67">
        <w:rPr>
          <w:rFonts w:ascii="Times New Roman" w:eastAsia="標楷體" w:hAnsi="Times New Roman" w:cs="Times New Roman"/>
          <w:sz w:val="24"/>
          <w:szCs w:val="24"/>
          <w:lang w:eastAsia="zh-HK"/>
        </w:rPr>
        <w:t xml:space="preserve">nominal </w:t>
      </w:r>
      <w:proofErr w:type="gramStart"/>
      <w:r>
        <w:rPr>
          <w:rFonts w:ascii="Times New Roman" w:eastAsia="標楷體" w:hAnsi="Times New Roman" w:cs="Times New Roman"/>
          <w:sz w:val="24"/>
          <w:szCs w:val="24"/>
          <w:lang w:eastAsia="zh-HK"/>
        </w:rPr>
        <w:t xml:space="preserve">wages </w:t>
      </w:r>
      <w:proofErr w:type="gramEnd"/>
      <m:oMath>
        <m:r>
          <w:rPr>
            <w:rFonts w:ascii="Cambria Math" w:eastAsia="標楷體" w:hAnsi="Cambria Math" w:cs="Times New Roman"/>
            <w:sz w:val="24"/>
            <w:szCs w:val="24"/>
            <w:lang w:eastAsia="zh-HK"/>
          </w:rPr>
          <m:t>∆ln</m:t>
        </m:r>
        <m:d>
          <m:dPr>
            <m:ctrlPr>
              <w:rPr>
                <w:rFonts w:ascii="Cambria Math" w:eastAsia="標楷體" w:hAnsi="Cambria Math" w:cs="Times New Roman"/>
                <w:i/>
                <w:sz w:val="24"/>
                <w:szCs w:val="24"/>
                <w:lang w:eastAsia="zh-HK"/>
              </w:rPr>
            </m:ctrlPr>
          </m:dPr>
          <m:e>
            <m:sSub>
              <m:sSubPr>
                <m:ctrlPr>
                  <w:rPr>
                    <w:rFonts w:ascii="Cambria Math" w:eastAsia="標楷體" w:hAnsi="Cambria Math" w:cs="Times New Roman"/>
                    <w:i/>
                    <w:sz w:val="24"/>
                    <w:szCs w:val="24"/>
                    <w:lang w:eastAsia="zh-HK"/>
                  </w:rPr>
                </m:ctrlPr>
              </m:sSubPr>
              <m:e>
                <m:r>
                  <w:rPr>
                    <w:rFonts w:ascii="Cambria Math" w:eastAsia="標楷體" w:hAnsi="Cambria Math" w:cs="Times New Roman"/>
                    <w:sz w:val="24"/>
                    <w:szCs w:val="24"/>
                    <w:lang w:eastAsia="zh-HK"/>
                  </w:rPr>
                  <m:t>W</m:t>
                </m:r>
              </m:e>
              <m:sub>
                <m:r>
                  <w:rPr>
                    <w:rFonts w:ascii="Cambria Math" w:eastAsia="標楷體" w:hAnsi="Cambria Math" w:cs="Times New Roman"/>
                    <w:sz w:val="24"/>
                    <w:szCs w:val="24"/>
                    <w:lang w:eastAsia="zh-HK"/>
                  </w:rPr>
                  <m:t>t</m:t>
                </m:r>
              </m:sub>
            </m:sSub>
          </m:e>
        </m:d>
        <m:r>
          <w:rPr>
            <w:rFonts w:ascii="Cambria Math" w:eastAsia="標楷體" w:hAnsi="Cambria Math" w:cs="Times New Roman"/>
            <w:sz w:val="24"/>
            <w:szCs w:val="24"/>
            <w:lang w:eastAsia="zh-HK"/>
          </w:rPr>
          <m:t>-∆ln</m:t>
        </m:r>
        <m:d>
          <m:dPr>
            <m:ctrlPr>
              <w:rPr>
                <w:rFonts w:ascii="Cambria Math" w:eastAsia="標楷體" w:hAnsi="Cambria Math" w:cs="Times New Roman"/>
                <w:i/>
                <w:sz w:val="24"/>
                <w:szCs w:val="24"/>
                <w:lang w:eastAsia="zh-HK"/>
              </w:rPr>
            </m:ctrlPr>
          </m:dPr>
          <m:e>
            <m:sSub>
              <m:sSubPr>
                <m:ctrlPr>
                  <w:rPr>
                    <w:rFonts w:ascii="Cambria Math" w:eastAsia="標楷體" w:hAnsi="Cambria Math" w:cs="Times New Roman"/>
                    <w:i/>
                    <w:sz w:val="24"/>
                    <w:szCs w:val="24"/>
                    <w:lang w:eastAsia="zh-HK"/>
                  </w:rPr>
                </m:ctrlPr>
              </m:sSubPr>
              <m:e>
                <m:sSup>
                  <m:sSupPr>
                    <m:ctrlPr>
                      <w:rPr>
                        <w:rFonts w:ascii="Cambria Math" w:eastAsia="標楷體" w:hAnsi="Cambria Math" w:cs="Times New Roman"/>
                        <w:i/>
                        <w:sz w:val="24"/>
                        <w:szCs w:val="24"/>
                        <w:lang w:eastAsia="zh-HK"/>
                      </w:rPr>
                    </m:ctrlPr>
                  </m:sSupPr>
                  <m:e>
                    <m:r>
                      <w:rPr>
                        <w:rFonts w:ascii="Cambria Math" w:eastAsia="標楷體" w:hAnsi="Cambria Math" w:cs="Times New Roman"/>
                        <w:sz w:val="24"/>
                        <w:szCs w:val="24"/>
                        <w:lang w:eastAsia="zh-HK"/>
                      </w:rPr>
                      <m:t>f</m:t>
                    </m:r>
                  </m:e>
                  <m:sup>
                    <m:r>
                      <w:rPr>
                        <w:rFonts w:ascii="Cambria Math" w:eastAsia="標楷體" w:hAnsi="Cambria Math" w:cs="Times New Roman"/>
                        <w:sz w:val="24"/>
                        <w:szCs w:val="24"/>
                        <w:lang w:eastAsia="zh-HK"/>
                      </w:rPr>
                      <m:t>'</m:t>
                    </m:r>
                  </m:sup>
                </m:sSup>
                <m:d>
                  <m:dPr>
                    <m:ctrlPr>
                      <w:rPr>
                        <w:rFonts w:ascii="Cambria Math" w:eastAsia="標楷體" w:hAnsi="Cambria Math" w:cs="Times New Roman"/>
                        <w:i/>
                        <w:sz w:val="24"/>
                        <w:szCs w:val="24"/>
                        <w:lang w:eastAsia="zh-HK"/>
                      </w:rPr>
                    </m:ctrlPr>
                  </m:dPr>
                  <m:e>
                    <m:r>
                      <w:rPr>
                        <w:rFonts w:ascii="Cambria Math" w:eastAsia="標楷體" w:hAnsi="Cambria Math" w:cs="Times New Roman"/>
                        <w:sz w:val="24"/>
                        <w:szCs w:val="24"/>
                        <w:lang w:eastAsia="zh-HK"/>
                      </w:rPr>
                      <m:t>L</m:t>
                    </m:r>
                  </m:e>
                </m:d>
              </m:e>
              <m:sub>
                <m:r>
                  <w:rPr>
                    <w:rFonts w:ascii="Cambria Math" w:eastAsia="標楷體" w:hAnsi="Cambria Math" w:cs="Times New Roman"/>
                    <w:sz w:val="24"/>
                    <w:szCs w:val="24"/>
                    <w:lang w:eastAsia="zh-HK"/>
                  </w:rPr>
                  <m:t>t</m:t>
                </m:r>
              </m:sub>
            </m:sSub>
          </m:e>
        </m:d>
      </m:oMath>
      <w:r>
        <w:rPr>
          <w:rFonts w:ascii="Times New Roman" w:eastAsia="標楷體" w:hAnsi="Times New Roman" w:cs="Times New Roman"/>
          <w:sz w:val="24"/>
          <w:szCs w:val="24"/>
          <w:lang w:eastAsia="zh-HK"/>
        </w:rPr>
        <w:t>.</w:t>
      </w:r>
    </w:p>
    <w:p w14:paraId="0CFA20AE" w14:textId="28F28F36" w:rsidR="00A27BFC" w:rsidRDefault="00975337" w:rsidP="00A27BFC">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lastRenderedPageBreak/>
        <w:t xml:space="preserve">In this </w:t>
      </w:r>
      <w:r w:rsidR="00D014CB">
        <w:rPr>
          <w:rFonts w:ascii="Times New Roman" w:eastAsia="標楷體" w:hAnsi="Times New Roman" w:cs="Times New Roman"/>
          <w:sz w:val="24"/>
          <w:szCs w:val="24"/>
          <w:lang w:eastAsia="zh-HK"/>
        </w:rPr>
        <w:t>article</w:t>
      </w:r>
      <w:r w:rsidR="00743BEC">
        <w:rPr>
          <w:rFonts w:ascii="Times New Roman" w:eastAsia="標楷體" w:hAnsi="Times New Roman" w:cs="Times New Roman"/>
          <w:sz w:val="24"/>
          <w:szCs w:val="24"/>
          <w:lang w:eastAsia="zh-HK"/>
        </w:rPr>
        <w:t>, inflation is</w:t>
      </w:r>
      <w:r w:rsidR="00182EF6">
        <w:rPr>
          <w:rFonts w:ascii="Times New Roman" w:eastAsia="標楷體" w:hAnsi="Times New Roman" w:cs="Times New Roman"/>
          <w:sz w:val="24"/>
          <w:szCs w:val="24"/>
          <w:lang w:eastAsia="zh-HK"/>
        </w:rPr>
        <w:t xml:space="preserve"> measured with</w:t>
      </w:r>
      <w:r w:rsidR="00BE30FD">
        <w:rPr>
          <w:rFonts w:ascii="Times New Roman" w:eastAsia="標楷體" w:hAnsi="Times New Roman" w:cs="Times New Roman"/>
          <w:sz w:val="24"/>
          <w:szCs w:val="24"/>
          <w:lang w:eastAsia="zh-HK"/>
        </w:rPr>
        <w:t xml:space="preserve"> Hong Kong’s Composite Consumer Price Index (CCPI), </w:t>
      </w:r>
      <w:r w:rsidR="00770B69">
        <w:rPr>
          <w:rFonts w:ascii="Times New Roman" w:eastAsia="標楷體" w:hAnsi="Times New Roman" w:cs="Times New Roman"/>
          <w:sz w:val="24"/>
          <w:szCs w:val="24"/>
          <w:lang w:eastAsia="zh-HK"/>
        </w:rPr>
        <w:t>which reflects</w:t>
      </w:r>
      <w:r w:rsidR="008834AE">
        <w:rPr>
          <w:rFonts w:ascii="Times New Roman" w:eastAsia="標楷體" w:hAnsi="Times New Roman" w:cs="Times New Roman"/>
          <w:sz w:val="24"/>
          <w:szCs w:val="24"/>
          <w:lang w:eastAsia="zh-HK"/>
        </w:rPr>
        <w:t xml:space="preserve"> the expenditure pattern of the middle 90 perce</w:t>
      </w:r>
      <w:r w:rsidR="00743BEC">
        <w:rPr>
          <w:rFonts w:ascii="Times New Roman" w:eastAsia="標楷體" w:hAnsi="Times New Roman" w:cs="Times New Roman"/>
          <w:sz w:val="24"/>
          <w:szCs w:val="24"/>
          <w:lang w:eastAsia="zh-HK"/>
        </w:rPr>
        <w:t>nt of households</w:t>
      </w:r>
      <w:r w:rsidR="002A62EB">
        <w:rPr>
          <w:rFonts w:ascii="Times New Roman" w:eastAsia="標楷體" w:hAnsi="Times New Roman" w:cs="Times New Roman"/>
          <w:sz w:val="24"/>
          <w:szCs w:val="24"/>
          <w:lang w:eastAsia="zh-HK"/>
        </w:rPr>
        <w:t xml:space="preserve"> in the city</w:t>
      </w:r>
      <w:r w:rsidR="00743BEC">
        <w:rPr>
          <w:rFonts w:ascii="Times New Roman" w:eastAsia="標楷體" w:hAnsi="Times New Roman" w:cs="Times New Roman"/>
          <w:sz w:val="24"/>
          <w:szCs w:val="24"/>
          <w:lang w:eastAsia="zh-HK"/>
        </w:rPr>
        <w:t xml:space="preserve">.  </w:t>
      </w:r>
      <w:r w:rsidR="00736BCC">
        <w:rPr>
          <w:rFonts w:ascii="Times New Roman" w:eastAsia="標楷體" w:hAnsi="Times New Roman" w:cs="Times New Roman"/>
          <w:sz w:val="24"/>
          <w:szCs w:val="24"/>
          <w:lang w:eastAsia="zh-HK"/>
        </w:rPr>
        <w:t xml:space="preserve">Productivity-adjusted </w:t>
      </w:r>
      <w:r w:rsidR="00CF7C67">
        <w:rPr>
          <w:rFonts w:ascii="Times New Roman" w:eastAsia="標楷體" w:hAnsi="Times New Roman" w:cs="Times New Roman"/>
          <w:sz w:val="24"/>
          <w:szCs w:val="24"/>
          <w:lang w:eastAsia="zh-HK"/>
        </w:rPr>
        <w:t xml:space="preserve">nominal </w:t>
      </w:r>
      <w:r w:rsidR="00736BCC">
        <w:rPr>
          <w:rFonts w:ascii="Times New Roman" w:eastAsia="標楷體" w:hAnsi="Times New Roman" w:cs="Times New Roman"/>
          <w:sz w:val="24"/>
          <w:szCs w:val="24"/>
          <w:lang w:eastAsia="zh-HK"/>
        </w:rPr>
        <w:t>wages are measured according to Hong Kong’s unit labour cost</w:t>
      </w:r>
      <w:r w:rsidR="009A6422">
        <w:rPr>
          <w:rFonts w:ascii="Times New Roman" w:eastAsia="標楷體" w:hAnsi="Times New Roman" w:cs="Times New Roman"/>
          <w:sz w:val="24"/>
          <w:szCs w:val="24"/>
          <w:lang w:eastAsia="zh-HK"/>
        </w:rPr>
        <w:t xml:space="preserve"> (payroll per unit of output)</w:t>
      </w:r>
      <w:r w:rsidR="00736BCC">
        <w:rPr>
          <w:rFonts w:ascii="Times New Roman" w:eastAsia="標楷體" w:hAnsi="Times New Roman" w:cs="Times New Roman"/>
          <w:sz w:val="24"/>
          <w:szCs w:val="24"/>
          <w:lang w:eastAsia="zh-HK"/>
        </w:rPr>
        <w:t xml:space="preserve">, </w:t>
      </w:r>
      <w:proofErr w:type="spellStart"/>
      <w:r w:rsidR="009A6422">
        <w:rPr>
          <w:rFonts w:ascii="Times New Roman" w:eastAsia="標楷體" w:hAnsi="Times New Roman" w:cs="Times New Roman"/>
          <w:sz w:val="24"/>
          <w:szCs w:val="24"/>
          <w:lang w:eastAsia="zh-HK"/>
        </w:rPr>
        <w:t>proxied</w:t>
      </w:r>
      <w:proofErr w:type="spellEnd"/>
      <w:r w:rsidR="009A6422">
        <w:rPr>
          <w:rFonts w:ascii="Times New Roman" w:eastAsia="標楷體" w:hAnsi="Times New Roman" w:cs="Times New Roman"/>
          <w:sz w:val="24"/>
          <w:szCs w:val="24"/>
          <w:lang w:eastAsia="zh-HK"/>
        </w:rPr>
        <w:t xml:space="preserve"> as </w:t>
      </w:r>
      <w:r w:rsidR="00EC3CD5">
        <w:rPr>
          <w:rFonts w:ascii="Times New Roman" w:eastAsia="標楷體" w:hAnsi="Times New Roman" w:cs="Times New Roman"/>
          <w:sz w:val="24"/>
          <w:szCs w:val="24"/>
          <w:lang w:eastAsia="zh-HK"/>
        </w:rPr>
        <w:t xml:space="preserve">the </w:t>
      </w:r>
      <w:r w:rsidR="00736BCC">
        <w:rPr>
          <w:rFonts w:ascii="Times New Roman" w:eastAsia="標楷體" w:hAnsi="Times New Roman" w:cs="Times New Roman"/>
          <w:sz w:val="24"/>
          <w:szCs w:val="24"/>
          <w:lang w:eastAsia="zh-HK"/>
        </w:rPr>
        <w:t xml:space="preserve">nominal </w:t>
      </w:r>
      <w:r w:rsidR="007C0F9F">
        <w:rPr>
          <w:rFonts w:ascii="Times New Roman" w:eastAsia="標楷體" w:hAnsi="Times New Roman" w:cs="Times New Roman"/>
          <w:sz w:val="24"/>
          <w:szCs w:val="24"/>
          <w:lang w:eastAsia="zh-HK"/>
        </w:rPr>
        <w:t xml:space="preserve">overall </w:t>
      </w:r>
      <w:r w:rsidR="00736BCC">
        <w:rPr>
          <w:rFonts w:ascii="Times New Roman" w:eastAsia="標楷體" w:hAnsi="Times New Roman" w:cs="Times New Roman"/>
          <w:sz w:val="24"/>
          <w:szCs w:val="24"/>
          <w:lang w:eastAsia="zh-HK"/>
        </w:rPr>
        <w:t>index of payroll</w:t>
      </w:r>
      <w:r w:rsidR="0096109A">
        <w:rPr>
          <w:rStyle w:val="FootnoteReference"/>
          <w:rFonts w:ascii="Times New Roman" w:eastAsia="標楷體" w:hAnsi="Times New Roman" w:cs="Times New Roman"/>
          <w:sz w:val="24"/>
          <w:szCs w:val="24"/>
          <w:lang w:eastAsia="zh-HK"/>
        </w:rPr>
        <w:footnoteReference w:id="4"/>
      </w:r>
      <w:r w:rsidR="00736BCC">
        <w:rPr>
          <w:rFonts w:ascii="Times New Roman" w:eastAsia="標楷體" w:hAnsi="Times New Roman" w:cs="Times New Roman"/>
          <w:sz w:val="24"/>
          <w:szCs w:val="24"/>
          <w:lang w:eastAsia="zh-HK"/>
        </w:rPr>
        <w:t xml:space="preserve"> per person engaged divided by real GDP per </w:t>
      </w:r>
      <w:r w:rsidR="00EC3CD5">
        <w:rPr>
          <w:rFonts w:ascii="Times New Roman" w:eastAsia="標楷體" w:hAnsi="Times New Roman" w:cs="Times New Roman"/>
          <w:sz w:val="24"/>
          <w:szCs w:val="24"/>
          <w:lang w:eastAsia="zh-HK"/>
        </w:rPr>
        <w:t>person employed</w:t>
      </w:r>
      <w:r w:rsidR="00736BCC">
        <w:rPr>
          <w:rFonts w:ascii="Times New Roman" w:eastAsia="標楷體" w:hAnsi="Times New Roman" w:cs="Times New Roman"/>
          <w:sz w:val="24"/>
          <w:szCs w:val="24"/>
          <w:lang w:eastAsia="zh-HK"/>
        </w:rPr>
        <w:t>.</w:t>
      </w:r>
      <w:r w:rsidR="00D25272">
        <w:rPr>
          <w:rFonts w:ascii="Times New Roman" w:eastAsia="標楷體" w:hAnsi="Times New Roman" w:cs="Times New Roman"/>
          <w:sz w:val="24"/>
          <w:szCs w:val="24"/>
          <w:lang w:eastAsia="zh-HK"/>
        </w:rPr>
        <w:t xml:space="preserve">  The statistics on inflation and </w:t>
      </w:r>
      <w:r w:rsidR="004B1FF6">
        <w:rPr>
          <w:rFonts w:ascii="Times New Roman" w:eastAsia="標楷體" w:hAnsi="Times New Roman" w:cs="Times New Roman"/>
          <w:sz w:val="24"/>
          <w:szCs w:val="24"/>
          <w:lang w:eastAsia="zh-HK"/>
        </w:rPr>
        <w:t>unit labour costs</w:t>
      </w:r>
      <w:r w:rsidR="00D25272">
        <w:rPr>
          <w:rFonts w:ascii="Times New Roman" w:eastAsia="標楷體" w:hAnsi="Times New Roman" w:cs="Times New Roman"/>
          <w:sz w:val="24"/>
          <w:szCs w:val="24"/>
          <w:lang w:eastAsia="zh-HK"/>
        </w:rPr>
        <w:t xml:space="preserve"> are sourced from the Census &amp; Statistics Department</w:t>
      </w:r>
      <w:r w:rsidR="0096109A">
        <w:rPr>
          <w:rFonts w:ascii="Times New Roman" w:eastAsia="標楷體" w:hAnsi="Times New Roman" w:cs="Times New Roman"/>
          <w:sz w:val="24"/>
          <w:szCs w:val="24"/>
          <w:lang w:eastAsia="zh-HK"/>
        </w:rPr>
        <w:t xml:space="preserve"> (C&amp;SD)</w:t>
      </w:r>
      <w:r w:rsidR="00D25272">
        <w:rPr>
          <w:rFonts w:ascii="Times New Roman" w:eastAsia="標楷體" w:hAnsi="Times New Roman" w:cs="Times New Roman"/>
          <w:sz w:val="24"/>
          <w:szCs w:val="24"/>
          <w:lang w:eastAsia="zh-HK"/>
        </w:rPr>
        <w:t>.</w:t>
      </w:r>
    </w:p>
    <w:p w14:paraId="7D9A3AEF" w14:textId="77777777" w:rsidR="000F3DDE" w:rsidRDefault="000F3DDE" w:rsidP="000F3DDE">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
    <w:p w14:paraId="6F3E273C" w14:textId="445E9A2D" w:rsidR="00670321" w:rsidRDefault="000F3DDE" w:rsidP="00670321">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 xml:space="preserve">The two time series, normalised to 1984, are plotted in </w:t>
      </w:r>
      <w:r w:rsidRPr="000F3DDE">
        <w:rPr>
          <w:rFonts w:ascii="Times New Roman" w:eastAsia="標楷體" w:hAnsi="Times New Roman" w:cs="Times New Roman"/>
          <w:b/>
          <w:sz w:val="24"/>
          <w:szCs w:val="24"/>
          <w:lang w:eastAsia="zh-HK"/>
        </w:rPr>
        <w:t>Chart 1</w:t>
      </w:r>
      <w:r>
        <w:rPr>
          <w:rFonts w:ascii="Times New Roman" w:eastAsia="標楷體" w:hAnsi="Times New Roman" w:cs="Times New Roman"/>
          <w:sz w:val="24"/>
          <w:szCs w:val="24"/>
          <w:lang w:eastAsia="zh-HK"/>
        </w:rPr>
        <w:t xml:space="preserve">.  </w:t>
      </w:r>
      <w:r w:rsidR="002A004C">
        <w:rPr>
          <w:rFonts w:ascii="Times New Roman" w:eastAsia="標楷體" w:hAnsi="Times New Roman" w:cs="Times New Roman"/>
          <w:sz w:val="24"/>
          <w:szCs w:val="24"/>
          <w:lang w:eastAsia="zh-HK"/>
        </w:rPr>
        <w:t>1984 is chosen as the starting point because it is Hong Kong’s first full year under the Linked Exchange Rate System</w:t>
      </w:r>
      <w:r w:rsidR="00670321">
        <w:rPr>
          <w:rFonts w:ascii="Times New Roman" w:eastAsia="標楷體" w:hAnsi="Times New Roman" w:cs="Times New Roman"/>
          <w:sz w:val="24"/>
          <w:szCs w:val="24"/>
          <w:lang w:eastAsia="zh-HK"/>
        </w:rPr>
        <w:t xml:space="preserve">, </w:t>
      </w:r>
      <w:r w:rsidR="002A004C">
        <w:rPr>
          <w:rFonts w:ascii="Times New Roman" w:eastAsia="標楷體" w:hAnsi="Times New Roman" w:cs="Times New Roman"/>
          <w:sz w:val="24"/>
          <w:szCs w:val="24"/>
          <w:lang w:eastAsia="zh-HK"/>
        </w:rPr>
        <w:t xml:space="preserve">with </w:t>
      </w:r>
      <w:r w:rsidR="00670321">
        <w:rPr>
          <w:rFonts w:ascii="Times New Roman" w:eastAsia="標楷體" w:hAnsi="Times New Roman" w:cs="Times New Roman"/>
          <w:sz w:val="24"/>
          <w:szCs w:val="24"/>
          <w:lang w:eastAsia="zh-HK"/>
        </w:rPr>
        <w:t>considerable</w:t>
      </w:r>
      <w:r w:rsidR="002A004C">
        <w:rPr>
          <w:rFonts w:ascii="Times New Roman" w:eastAsia="標楷體" w:hAnsi="Times New Roman" w:cs="Times New Roman"/>
          <w:sz w:val="24"/>
          <w:szCs w:val="24"/>
          <w:lang w:eastAsia="zh-HK"/>
        </w:rPr>
        <w:t xml:space="preserve"> implications for prices and inflation.  </w:t>
      </w:r>
      <w:r>
        <w:rPr>
          <w:rFonts w:ascii="Times New Roman" w:eastAsia="標楷體" w:hAnsi="Times New Roman" w:cs="Times New Roman"/>
          <w:sz w:val="24"/>
          <w:szCs w:val="24"/>
          <w:lang w:eastAsia="zh-HK"/>
        </w:rPr>
        <w:t>By and large, as theory would predict, the two series track each other over the long term.  Put another way, over the long term, increases in nominal wages can only outstrip inflation to the extent that they are underpinned by gains in productivity</w:t>
      </w:r>
      <w:r w:rsidR="00141B9F">
        <w:rPr>
          <w:rStyle w:val="FootnoteReference"/>
          <w:rFonts w:ascii="Times New Roman" w:eastAsia="標楷體" w:hAnsi="Times New Roman" w:cs="Times New Roman"/>
          <w:sz w:val="24"/>
          <w:szCs w:val="24"/>
          <w:lang w:eastAsia="zh-HK"/>
        </w:rPr>
        <w:footnoteReference w:id="5"/>
      </w:r>
      <w:r>
        <w:rPr>
          <w:rFonts w:ascii="Times New Roman" w:eastAsia="標楷體" w:hAnsi="Times New Roman" w:cs="Times New Roman"/>
          <w:sz w:val="24"/>
          <w:szCs w:val="24"/>
          <w:lang w:eastAsia="zh-HK"/>
        </w:rPr>
        <w:t>.  However, wages are also subject to notable inertia.</w:t>
      </w:r>
      <w:r w:rsidR="00434685">
        <w:rPr>
          <w:rFonts w:ascii="Times New Roman" w:eastAsia="標楷體" w:hAnsi="Times New Roman" w:cs="Times New Roman"/>
          <w:sz w:val="24"/>
          <w:szCs w:val="24"/>
          <w:lang w:eastAsia="zh-HK"/>
        </w:rPr>
        <w:t xml:space="preserve">  For instance, </w:t>
      </w:r>
      <w:r w:rsidR="00434685" w:rsidRPr="00434685">
        <w:rPr>
          <w:rFonts w:ascii="Times New Roman" w:eastAsia="標楷體" w:hAnsi="Times New Roman" w:cs="Times New Roman"/>
          <w:b/>
          <w:sz w:val="24"/>
          <w:szCs w:val="24"/>
          <w:lang w:eastAsia="zh-HK"/>
        </w:rPr>
        <w:t>Chart 1</w:t>
      </w:r>
      <w:r w:rsidR="00434685">
        <w:rPr>
          <w:rFonts w:ascii="Times New Roman" w:eastAsia="標楷體" w:hAnsi="Times New Roman" w:cs="Times New Roman"/>
          <w:sz w:val="24"/>
          <w:szCs w:val="24"/>
          <w:lang w:eastAsia="zh-HK"/>
        </w:rPr>
        <w:t xml:space="preserve"> shows that, starting from 1997, unit labour costs started to outpace inflation as the economy fell into recession am</w:t>
      </w:r>
      <w:r w:rsidR="00410312">
        <w:rPr>
          <w:rFonts w:ascii="Times New Roman" w:eastAsia="標楷體" w:hAnsi="Times New Roman" w:cs="Times New Roman"/>
          <w:sz w:val="24"/>
          <w:szCs w:val="24"/>
          <w:lang w:eastAsia="zh-HK"/>
        </w:rPr>
        <w:t>id the Asian financial crisis</w:t>
      </w:r>
      <w:r w:rsidR="00434685">
        <w:rPr>
          <w:rFonts w:ascii="Times New Roman" w:eastAsia="標楷體" w:hAnsi="Times New Roman" w:cs="Times New Roman"/>
          <w:sz w:val="24"/>
          <w:szCs w:val="24"/>
          <w:lang w:eastAsia="zh-HK"/>
        </w:rPr>
        <w:t>.</w:t>
      </w:r>
      <w:r w:rsidR="00410312">
        <w:rPr>
          <w:rFonts w:ascii="Times New Roman" w:eastAsia="標楷體" w:hAnsi="Times New Roman" w:cs="Times New Roman"/>
          <w:sz w:val="24"/>
          <w:szCs w:val="24"/>
          <w:lang w:eastAsia="zh-HK"/>
        </w:rPr>
        <w:t xml:space="preserve">  Comparatively speaking, it took more time for unit labour costs to adjust, and the series did not intersect again until 2008.  Years of deflation </w:t>
      </w:r>
      <w:r w:rsidR="00D446C3">
        <w:rPr>
          <w:rFonts w:ascii="Times New Roman" w:eastAsia="標楷體" w:hAnsi="Times New Roman" w:cs="Times New Roman"/>
          <w:sz w:val="24"/>
          <w:szCs w:val="24"/>
          <w:lang w:eastAsia="zh-HK"/>
        </w:rPr>
        <w:t>around that time</w:t>
      </w:r>
      <w:r w:rsidR="00410312">
        <w:rPr>
          <w:rFonts w:ascii="Times New Roman" w:eastAsia="標楷體" w:hAnsi="Times New Roman" w:cs="Times New Roman"/>
          <w:sz w:val="24"/>
          <w:szCs w:val="24"/>
          <w:lang w:eastAsia="zh-HK"/>
        </w:rPr>
        <w:t xml:space="preserve"> may have made th</w:t>
      </w:r>
      <w:r w:rsidR="001C4C3B">
        <w:rPr>
          <w:rFonts w:ascii="Times New Roman" w:eastAsia="標楷體" w:hAnsi="Times New Roman" w:cs="Times New Roman"/>
          <w:sz w:val="24"/>
          <w:szCs w:val="24"/>
          <w:lang w:eastAsia="zh-HK"/>
        </w:rPr>
        <w:t>e</w:t>
      </w:r>
      <w:r w:rsidR="00410312">
        <w:rPr>
          <w:rFonts w:ascii="Times New Roman" w:eastAsia="標楷體" w:hAnsi="Times New Roman" w:cs="Times New Roman"/>
          <w:sz w:val="24"/>
          <w:szCs w:val="24"/>
          <w:lang w:eastAsia="zh-HK"/>
        </w:rPr>
        <w:t xml:space="preserve"> adjustment </w:t>
      </w:r>
      <w:r w:rsidR="00D446C3">
        <w:rPr>
          <w:rFonts w:ascii="Times New Roman" w:eastAsia="標楷體" w:hAnsi="Times New Roman" w:cs="Times New Roman"/>
          <w:sz w:val="24"/>
          <w:szCs w:val="24"/>
          <w:lang w:eastAsia="zh-HK"/>
        </w:rPr>
        <w:t>especially</w:t>
      </w:r>
      <w:r w:rsidR="00410312">
        <w:rPr>
          <w:rFonts w:ascii="Times New Roman" w:eastAsia="標楷體" w:hAnsi="Times New Roman" w:cs="Times New Roman"/>
          <w:sz w:val="24"/>
          <w:szCs w:val="24"/>
          <w:lang w:eastAsia="zh-HK"/>
        </w:rPr>
        <w:t xml:space="preserve"> difficult due to </w:t>
      </w:r>
      <w:r w:rsidR="00175D34">
        <w:rPr>
          <w:rFonts w:ascii="Times New Roman" w:eastAsia="標楷體" w:hAnsi="Times New Roman" w:cs="Times New Roman"/>
          <w:sz w:val="24"/>
          <w:szCs w:val="24"/>
          <w:lang w:eastAsia="zh-HK"/>
        </w:rPr>
        <w:t xml:space="preserve">downward </w:t>
      </w:r>
      <w:r w:rsidR="00410312">
        <w:rPr>
          <w:rFonts w:ascii="Times New Roman" w:eastAsia="標楷體" w:hAnsi="Times New Roman" w:cs="Times New Roman"/>
          <w:sz w:val="24"/>
          <w:szCs w:val="24"/>
          <w:lang w:eastAsia="zh-HK"/>
        </w:rPr>
        <w:t>nominal wage rigidities</w:t>
      </w:r>
      <w:r w:rsidR="00175D34">
        <w:rPr>
          <w:rStyle w:val="FootnoteReference"/>
          <w:rFonts w:ascii="Times New Roman" w:eastAsia="標楷體" w:hAnsi="Times New Roman" w:cs="Times New Roman"/>
          <w:sz w:val="24"/>
          <w:szCs w:val="24"/>
          <w:lang w:eastAsia="zh-HK"/>
        </w:rPr>
        <w:footnoteReference w:id="6"/>
      </w:r>
      <w:r w:rsidR="00410312">
        <w:rPr>
          <w:rFonts w:ascii="Times New Roman" w:eastAsia="標楷體" w:hAnsi="Times New Roman" w:cs="Times New Roman"/>
          <w:sz w:val="24"/>
          <w:szCs w:val="24"/>
          <w:lang w:eastAsia="zh-HK"/>
        </w:rPr>
        <w:t xml:space="preserve">. </w:t>
      </w:r>
      <w:r w:rsidR="00175D34">
        <w:rPr>
          <w:rFonts w:ascii="Times New Roman" w:eastAsia="標楷體" w:hAnsi="Times New Roman" w:cs="Times New Roman"/>
          <w:sz w:val="24"/>
          <w:szCs w:val="24"/>
          <w:lang w:eastAsia="zh-HK"/>
        </w:rPr>
        <w:t xml:space="preserve"> </w:t>
      </w:r>
      <w:r w:rsidR="00410312">
        <w:rPr>
          <w:rFonts w:ascii="Times New Roman" w:eastAsia="標楷體" w:hAnsi="Times New Roman" w:cs="Times New Roman"/>
          <w:sz w:val="24"/>
          <w:szCs w:val="24"/>
          <w:lang w:eastAsia="zh-HK"/>
        </w:rPr>
        <w:t>After 2008, unit labour costs lagged slightly behind the CCPI.</w:t>
      </w:r>
    </w:p>
    <w:p w14:paraId="0D36A7F4" w14:textId="1DD6F398" w:rsidR="00670321" w:rsidRPr="00670321" w:rsidRDefault="00670321" w:rsidP="00670321">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
    <w:p w14:paraId="0A406AE4" w14:textId="047D0CC2" w:rsidR="001D49EB" w:rsidRPr="001D49EB" w:rsidRDefault="001D49EB" w:rsidP="001D49EB">
      <w:pPr>
        <w:pStyle w:val="ListParagraph"/>
        <w:overflowPunct w:val="0"/>
        <w:snapToGrid w:val="0"/>
        <w:spacing w:after="0" w:line="300" w:lineRule="auto"/>
        <w:ind w:left="0"/>
        <w:jc w:val="center"/>
        <w:rPr>
          <w:rFonts w:ascii="Times New Roman" w:eastAsia="標楷體" w:hAnsi="Times New Roman" w:cs="Times New Roman"/>
          <w:b/>
          <w:sz w:val="24"/>
          <w:szCs w:val="24"/>
          <w:lang w:eastAsia="zh-HK"/>
        </w:rPr>
      </w:pPr>
      <w:r w:rsidRPr="001D49EB">
        <w:rPr>
          <w:rFonts w:ascii="Times New Roman" w:eastAsia="標楷體" w:hAnsi="Times New Roman" w:cs="Times New Roman"/>
          <w:b/>
          <w:sz w:val="24"/>
          <w:szCs w:val="24"/>
          <w:lang w:eastAsia="zh-HK"/>
        </w:rPr>
        <w:t>Chart 1: Hong Kong’s CCPI</w:t>
      </w:r>
      <w:r w:rsidR="000F3DDE">
        <w:rPr>
          <w:rFonts w:ascii="Times New Roman" w:eastAsia="標楷體" w:hAnsi="Times New Roman" w:cs="Times New Roman"/>
          <w:b/>
          <w:sz w:val="24"/>
          <w:szCs w:val="24"/>
          <w:lang w:eastAsia="zh-HK"/>
        </w:rPr>
        <w:t xml:space="preserve"> and Unit Labour Cost</w:t>
      </w:r>
    </w:p>
    <w:p w14:paraId="06FD317E" w14:textId="35D7CCCD" w:rsidR="001D49EB" w:rsidRDefault="000F3DDE" w:rsidP="005E3F5A">
      <w:pPr>
        <w:pStyle w:val="ListParagraph"/>
        <w:overflowPunct w:val="0"/>
        <w:snapToGrid w:val="0"/>
        <w:spacing w:after="0" w:line="300" w:lineRule="auto"/>
        <w:ind w:left="0"/>
        <w:jc w:val="center"/>
        <w:rPr>
          <w:rFonts w:ascii="Times New Roman" w:eastAsia="標楷體" w:hAnsi="Times New Roman" w:cs="Times New Roman"/>
          <w:sz w:val="24"/>
          <w:szCs w:val="24"/>
          <w:lang w:eastAsia="zh-HK"/>
        </w:rPr>
      </w:pPr>
      <w:r>
        <w:rPr>
          <w:noProof/>
        </w:rPr>
        <w:drawing>
          <wp:inline distT="0" distB="0" distL="0" distR="0" wp14:anchorId="32D89284" wp14:editId="141B86ED">
            <wp:extent cx="5274310" cy="2390775"/>
            <wp:effectExtent l="0" t="0" r="25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2E4751" w14:textId="1C8F3A14" w:rsidR="00CF7C67" w:rsidRDefault="00CF7C67" w:rsidP="005E3F5A">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lastRenderedPageBreak/>
        <w:t xml:space="preserve">Though </w:t>
      </w:r>
      <w:r w:rsidR="00FC1155">
        <w:rPr>
          <w:rFonts w:ascii="Times New Roman" w:eastAsia="標楷體" w:hAnsi="Times New Roman" w:cs="Times New Roman"/>
          <w:sz w:val="24"/>
          <w:szCs w:val="24"/>
          <w:lang w:eastAsia="zh-HK"/>
        </w:rPr>
        <w:t xml:space="preserve">the theory of the profit-maximising firm is </w:t>
      </w:r>
      <w:r w:rsidR="003624C5">
        <w:rPr>
          <w:rFonts w:ascii="Times New Roman" w:eastAsia="標楷體" w:hAnsi="Times New Roman" w:cs="Times New Roman"/>
          <w:sz w:val="24"/>
          <w:szCs w:val="24"/>
          <w:lang w:eastAsia="zh-HK"/>
        </w:rPr>
        <w:t xml:space="preserve">useful for explaining how wages and prices relate to each other, </w:t>
      </w:r>
      <w:r w:rsidR="00FC1155">
        <w:rPr>
          <w:rFonts w:ascii="Times New Roman" w:eastAsia="標楷體" w:hAnsi="Times New Roman" w:cs="Times New Roman"/>
          <w:sz w:val="24"/>
          <w:szCs w:val="24"/>
          <w:lang w:eastAsia="zh-HK"/>
        </w:rPr>
        <w:t xml:space="preserve">it </w:t>
      </w:r>
      <w:r w:rsidR="003624C5">
        <w:rPr>
          <w:rFonts w:ascii="Times New Roman" w:eastAsia="標楷體" w:hAnsi="Times New Roman" w:cs="Times New Roman"/>
          <w:sz w:val="24"/>
          <w:szCs w:val="24"/>
          <w:lang w:eastAsia="zh-HK"/>
        </w:rPr>
        <w:t>says little</w:t>
      </w:r>
      <w:r>
        <w:rPr>
          <w:rFonts w:ascii="Times New Roman" w:eastAsia="標楷體" w:hAnsi="Times New Roman" w:cs="Times New Roman"/>
          <w:sz w:val="24"/>
          <w:szCs w:val="24"/>
          <w:lang w:eastAsia="zh-HK"/>
        </w:rPr>
        <w:t xml:space="preserve"> about the factors that drive them both.  </w:t>
      </w:r>
      <w:r w:rsidR="003624C5">
        <w:rPr>
          <w:rFonts w:ascii="Times New Roman" w:eastAsia="標楷體" w:hAnsi="Times New Roman" w:cs="Times New Roman"/>
          <w:sz w:val="24"/>
          <w:szCs w:val="24"/>
          <w:lang w:eastAsia="zh-HK"/>
        </w:rPr>
        <w:t>Taking a more macro perspective</w:t>
      </w:r>
      <w:r>
        <w:rPr>
          <w:rFonts w:ascii="Times New Roman" w:eastAsia="標楷體" w:hAnsi="Times New Roman" w:cs="Times New Roman"/>
          <w:sz w:val="24"/>
          <w:szCs w:val="24"/>
          <w:lang w:eastAsia="zh-HK"/>
        </w:rPr>
        <w:t xml:space="preserve"> leads to Gordon’s </w:t>
      </w:r>
      <w:r w:rsidR="00C56E0D">
        <w:rPr>
          <w:rFonts w:ascii="Times New Roman" w:eastAsia="標楷體" w:hAnsi="Times New Roman" w:cs="Times New Roman"/>
          <w:sz w:val="24"/>
          <w:szCs w:val="24"/>
          <w:lang w:eastAsia="zh-HK"/>
        </w:rPr>
        <w:t>“</w:t>
      </w:r>
      <w:r>
        <w:rPr>
          <w:rFonts w:ascii="Times New Roman" w:eastAsia="標楷體" w:hAnsi="Times New Roman" w:cs="Times New Roman"/>
          <w:sz w:val="24"/>
          <w:szCs w:val="24"/>
          <w:lang w:eastAsia="zh-HK"/>
        </w:rPr>
        <w:t>triangle</w:t>
      </w:r>
      <w:r w:rsidR="00C56E0D">
        <w:rPr>
          <w:rFonts w:ascii="Times New Roman" w:eastAsia="標楷體" w:hAnsi="Times New Roman" w:cs="Times New Roman"/>
          <w:sz w:val="24"/>
          <w:szCs w:val="24"/>
          <w:lang w:eastAsia="zh-HK"/>
        </w:rPr>
        <w:t>”</w:t>
      </w:r>
      <w:r>
        <w:rPr>
          <w:rFonts w:ascii="Times New Roman" w:eastAsia="標楷體" w:hAnsi="Times New Roman" w:cs="Times New Roman"/>
          <w:sz w:val="24"/>
          <w:szCs w:val="24"/>
          <w:lang w:eastAsia="zh-HK"/>
        </w:rPr>
        <w:t xml:space="preserve"> model, in which inflation—and, by necessary implication, increases in productivity-adjusted nominal wages</w:t>
      </w:r>
      <w:r w:rsidR="00DB5DAE">
        <w:rPr>
          <w:rFonts w:ascii="Times New Roman" w:eastAsia="標楷體" w:hAnsi="Times New Roman" w:cs="Times New Roman"/>
          <w:sz w:val="24"/>
          <w:szCs w:val="24"/>
          <w:lang w:eastAsia="zh-HK"/>
        </w:rPr>
        <w:t xml:space="preserve">—depends on the “three corners” of demand, supply, and inertia.  In this model, demand is aggregate demand, </w:t>
      </w:r>
      <w:proofErr w:type="spellStart"/>
      <w:r w:rsidR="00DB5DAE">
        <w:rPr>
          <w:rFonts w:ascii="Times New Roman" w:eastAsia="標楷體" w:hAnsi="Times New Roman" w:cs="Times New Roman"/>
          <w:sz w:val="24"/>
          <w:szCs w:val="24"/>
          <w:lang w:eastAsia="zh-HK"/>
        </w:rPr>
        <w:t>proxied</w:t>
      </w:r>
      <w:proofErr w:type="spellEnd"/>
      <w:r w:rsidR="00DB5DAE">
        <w:rPr>
          <w:rFonts w:ascii="Times New Roman" w:eastAsia="標楷體" w:hAnsi="Times New Roman" w:cs="Times New Roman"/>
          <w:sz w:val="24"/>
          <w:szCs w:val="24"/>
          <w:lang w:eastAsia="zh-HK"/>
        </w:rPr>
        <w:t xml:space="preserve"> by output or unemployment; supply is an explicit supply shock, like changes in commodity prices or price controls; and inertia </w:t>
      </w:r>
      <w:r w:rsidR="003D2EAD">
        <w:rPr>
          <w:rFonts w:ascii="Times New Roman" w:eastAsia="標楷體" w:hAnsi="Times New Roman" w:cs="Times New Roman"/>
          <w:sz w:val="24"/>
          <w:szCs w:val="24"/>
          <w:lang w:eastAsia="zh-HK"/>
        </w:rPr>
        <w:t>a</w:t>
      </w:r>
      <w:r w:rsidR="00DB5DAE">
        <w:rPr>
          <w:rFonts w:ascii="Times New Roman" w:eastAsia="標楷體" w:hAnsi="Times New Roman" w:cs="Times New Roman"/>
          <w:sz w:val="24"/>
          <w:szCs w:val="24"/>
          <w:lang w:eastAsia="zh-HK"/>
        </w:rPr>
        <w:t xml:space="preserve">rises from various factors </w:t>
      </w:r>
      <w:r w:rsidR="00071E09">
        <w:rPr>
          <w:rFonts w:ascii="Times New Roman" w:eastAsia="標楷體" w:hAnsi="Times New Roman" w:cs="Times New Roman"/>
          <w:sz w:val="24"/>
          <w:szCs w:val="24"/>
          <w:lang w:eastAsia="zh-HK"/>
        </w:rPr>
        <w:t>such as</w:t>
      </w:r>
      <w:r w:rsidR="00DB5DAE">
        <w:rPr>
          <w:rFonts w:ascii="Times New Roman" w:eastAsia="標楷體" w:hAnsi="Times New Roman" w:cs="Times New Roman"/>
          <w:sz w:val="24"/>
          <w:szCs w:val="24"/>
          <w:lang w:eastAsia="zh-HK"/>
        </w:rPr>
        <w:t xml:space="preserve"> expectations</w:t>
      </w:r>
      <w:r w:rsidR="003D2EAD">
        <w:rPr>
          <w:rFonts w:ascii="Times New Roman" w:eastAsia="標楷體" w:hAnsi="Times New Roman" w:cs="Times New Roman"/>
          <w:sz w:val="24"/>
          <w:szCs w:val="24"/>
          <w:lang w:eastAsia="zh-HK"/>
        </w:rPr>
        <w:t xml:space="preserve"> (e.g., in a wage-price spiral)</w:t>
      </w:r>
      <w:r w:rsidR="00DB5DAE">
        <w:rPr>
          <w:rFonts w:ascii="Times New Roman" w:eastAsia="標楷體" w:hAnsi="Times New Roman" w:cs="Times New Roman"/>
          <w:sz w:val="24"/>
          <w:szCs w:val="24"/>
          <w:lang w:eastAsia="zh-HK"/>
        </w:rPr>
        <w:t>, fixed-term wage and price contracts, and lags between input and output prices</w:t>
      </w:r>
      <w:r w:rsidR="003D2EAD">
        <w:rPr>
          <w:rStyle w:val="FootnoteReference"/>
          <w:rFonts w:ascii="Times New Roman" w:eastAsia="標楷體" w:hAnsi="Times New Roman" w:cs="Times New Roman"/>
          <w:sz w:val="24"/>
          <w:szCs w:val="24"/>
          <w:lang w:eastAsia="zh-HK"/>
        </w:rPr>
        <w:footnoteReference w:id="7"/>
      </w:r>
      <w:r w:rsidR="00DB5DAE">
        <w:rPr>
          <w:rFonts w:ascii="Times New Roman" w:eastAsia="標楷體" w:hAnsi="Times New Roman" w:cs="Times New Roman"/>
          <w:sz w:val="24"/>
          <w:szCs w:val="24"/>
          <w:lang w:eastAsia="zh-HK"/>
        </w:rPr>
        <w:t>.</w:t>
      </w:r>
    </w:p>
    <w:p w14:paraId="122F3A7D" w14:textId="77777777" w:rsidR="009A0957" w:rsidRDefault="009A0957" w:rsidP="009A0957">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
    <w:p w14:paraId="1B6045C3" w14:textId="1CE6F586" w:rsidR="009A0957" w:rsidRDefault="009A0957" w:rsidP="005E3F5A">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 xml:space="preserve">One of Gordon’s more striking findings </w:t>
      </w:r>
      <w:r w:rsidR="003624C5">
        <w:rPr>
          <w:rFonts w:ascii="Times New Roman" w:eastAsia="標楷體" w:hAnsi="Times New Roman" w:cs="Times New Roman"/>
          <w:sz w:val="24"/>
          <w:szCs w:val="24"/>
          <w:lang w:eastAsia="zh-HK"/>
        </w:rPr>
        <w:t>is that</w:t>
      </w:r>
      <w:r>
        <w:rPr>
          <w:rFonts w:ascii="Times New Roman" w:eastAsia="標楷體" w:hAnsi="Times New Roman" w:cs="Times New Roman"/>
          <w:sz w:val="24"/>
          <w:szCs w:val="24"/>
          <w:lang w:eastAsia="zh-HK"/>
        </w:rPr>
        <w:t xml:space="preserve">, in the case of the US, </w:t>
      </w:r>
      <w:r w:rsidR="00772E4D">
        <w:rPr>
          <w:rFonts w:ascii="Times New Roman" w:eastAsia="標楷體" w:hAnsi="Times New Roman" w:cs="Times New Roman"/>
          <w:sz w:val="24"/>
          <w:szCs w:val="24"/>
          <w:lang w:eastAsia="zh-HK"/>
        </w:rPr>
        <w:t xml:space="preserve">productivity-adjusted nominal </w:t>
      </w:r>
      <w:r>
        <w:rPr>
          <w:rFonts w:ascii="Times New Roman" w:eastAsia="標楷體" w:hAnsi="Times New Roman" w:cs="Times New Roman"/>
          <w:sz w:val="24"/>
          <w:szCs w:val="24"/>
          <w:lang w:eastAsia="zh-HK"/>
        </w:rPr>
        <w:t xml:space="preserve">wages and </w:t>
      </w:r>
      <w:r w:rsidR="00D82B2E">
        <w:rPr>
          <w:rFonts w:ascii="Times New Roman" w:eastAsia="標楷體" w:hAnsi="Times New Roman" w:cs="Times New Roman"/>
          <w:sz w:val="24"/>
          <w:szCs w:val="24"/>
          <w:lang w:eastAsia="zh-HK"/>
        </w:rPr>
        <w:t>prices</w:t>
      </w:r>
      <w:r>
        <w:rPr>
          <w:rFonts w:ascii="Times New Roman" w:eastAsia="標楷體" w:hAnsi="Times New Roman" w:cs="Times New Roman"/>
          <w:sz w:val="24"/>
          <w:szCs w:val="24"/>
          <w:lang w:eastAsia="zh-HK"/>
        </w:rPr>
        <w:t xml:space="preserve"> are so tightly linked that, from an inflation forecasting perspective, a separate wage equation is redundant</w:t>
      </w:r>
      <w:r w:rsidR="005F758D">
        <w:rPr>
          <w:rFonts w:ascii="Times New Roman" w:eastAsia="標楷體" w:hAnsi="Times New Roman" w:cs="Times New Roman"/>
          <w:sz w:val="24"/>
          <w:szCs w:val="24"/>
          <w:lang w:eastAsia="zh-HK"/>
        </w:rPr>
        <w:t>—once</w:t>
      </w:r>
      <w:r>
        <w:rPr>
          <w:rFonts w:ascii="Times New Roman" w:eastAsia="標楷體" w:hAnsi="Times New Roman" w:cs="Times New Roman"/>
          <w:sz w:val="24"/>
          <w:szCs w:val="24"/>
          <w:lang w:eastAsia="zh-HK"/>
        </w:rPr>
        <w:t xml:space="preserve"> past inflation is accounted for, past changes in wages do not make any further statistical contribution</w:t>
      </w:r>
      <w:r w:rsidR="00534E90">
        <w:rPr>
          <w:rFonts w:ascii="Times New Roman" w:eastAsia="標楷體" w:hAnsi="Times New Roman" w:cs="Times New Roman"/>
          <w:sz w:val="24"/>
          <w:szCs w:val="24"/>
          <w:lang w:eastAsia="zh-HK"/>
        </w:rPr>
        <w:t xml:space="preserve"> to the forecast</w:t>
      </w:r>
      <w:r w:rsidR="00D82B2E">
        <w:rPr>
          <w:rStyle w:val="FootnoteReference"/>
          <w:rFonts w:ascii="Times New Roman" w:eastAsia="標楷體" w:hAnsi="Times New Roman" w:cs="Times New Roman"/>
          <w:sz w:val="24"/>
          <w:szCs w:val="24"/>
          <w:lang w:eastAsia="zh-HK"/>
        </w:rPr>
        <w:footnoteReference w:id="8"/>
      </w:r>
      <w:r>
        <w:rPr>
          <w:rFonts w:ascii="Times New Roman" w:eastAsia="標楷體" w:hAnsi="Times New Roman" w:cs="Times New Roman"/>
          <w:sz w:val="24"/>
          <w:szCs w:val="24"/>
          <w:lang w:eastAsia="zh-HK"/>
        </w:rPr>
        <w:t>.</w:t>
      </w:r>
      <w:r w:rsidR="00D82B2E">
        <w:rPr>
          <w:rFonts w:ascii="Times New Roman" w:eastAsia="標楷體" w:hAnsi="Times New Roman" w:cs="Times New Roman"/>
          <w:sz w:val="24"/>
          <w:szCs w:val="24"/>
          <w:lang w:eastAsia="zh-HK"/>
        </w:rPr>
        <w:t xml:space="preserve">  </w:t>
      </w:r>
      <w:r w:rsidR="00636BCB">
        <w:rPr>
          <w:rFonts w:ascii="Times New Roman" w:eastAsia="標楷體" w:hAnsi="Times New Roman" w:cs="Times New Roman"/>
          <w:sz w:val="24"/>
          <w:szCs w:val="24"/>
          <w:lang w:eastAsia="zh-HK"/>
        </w:rPr>
        <w:t xml:space="preserve">Much of the following literature on the </w:t>
      </w:r>
      <w:r w:rsidR="006F582F">
        <w:rPr>
          <w:rFonts w:ascii="Times New Roman" w:eastAsia="標楷體" w:hAnsi="Times New Roman" w:cs="Times New Roman"/>
          <w:sz w:val="24"/>
          <w:szCs w:val="24"/>
          <w:lang w:eastAsia="zh-HK"/>
        </w:rPr>
        <w:t>topic</w:t>
      </w:r>
      <w:r w:rsidR="00636BCB">
        <w:rPr>
          <w:rFonts w:ascii="Times New Roman" w:eastAsia="標楷體" w:hAnsi="Times New Roman" w:cs="Times New Roman"/>
          <w:sz w:val="24"/>
          <w:szCs w:val="24"/>
          <w:lang w:eastAsia="zh-HK"/>
        </w:rPr>
        <w:t xml:space="preserve"> has gene</w:t>
      </w:r>
      <w:r w:rsidR="002C2C6F">
        <w:rPr>
          <w:rFonts w:ascii="Times New Roman" w:eastAsia="標楷體" w:hAnsi="Times New Roman" w:cs="Times New Roman"/>
          <w:sz w:val="24"/>
          <w:szCs w:val="24"/>
          <w:lang w:eastAsia="zh-HK"/>
        </w:rPr>
        <w:t>rally supported this conclusion</w:t>
      </w:r>
      <w:r w:rsidR="00636BCB">
        <w:rPr>
          <w:rStyle w:val="FootnoteReference"/>
          <w:rFonts w:ascii="Times New Roman" w:eastAsia="標楷體" w:hAnsi="Times New Roman" w:cs="Times New Roman"/>
          <w:sz w:val="24"/>
          <w:szCs w:val="24"/>
          <w:lang w:eastAsia="zh-HK"/>
        </w:rPr>
        <w:footnoteReference w:id="9"/>
      </w:r>
      <w:r w:rsidR="00636BCB">
        <w:rPr>
          <w:rFonts w:ascii="Times New Roman" w:eastAsia="標楷體" w:hAnsi="Times New Roman" w:cs="Times New Roman"/>
          <w:sz w:val="24"/>
          <w:szCs w:val="24"/>
          <w:lang w:eastAsia="zh-HK"/>
        </w:rPr>
        <w:t>.</w:t>
      </w:r>
      <w:r w:rsidR="00D82B2E">
        <w:rPr>
          <w:rFonts w:ascii="Times New Roman" w:eastAsia="標楷體" w:hAnsi="Times New Roman" w:cs="Times New Roman"/>
          <w:sz w:val="24"/>
          <w:szCs w:val="24"/>
          <w:lang w:eastAsia="zh-HK"/>
        </w:rPr>
        <w:t xml:space="preserve">  Nevertheless, a separate wage equation is still needed when the object is to test hypotheses on how wages and prices relate to each other; </w:t>
      </w:r>
      <w:r w:rsidR="00880650">
        <w:rPr>
          <w:rFonts w:ascii="Times New Roman" w:eastAsia="標楷體" w:hAnsi="Times New Roman" w:cs="Times New Roman"/>
          <w:sz w:val="24"/>
          <w:szCs w:val="24"/>
          <w:lang w:eastAsia="zh-HK"/>
        </w:rPr>
        <w:t xml:space="preserve">in this case, the same set of supply and demand variables will generally be </w:t>
      </w:r>
      <w:r w:rsidR="00207FCD">
        <w:rPr>
          <w:rFonts w:ascii="Times New Roman" w:eastAsia="標楷體" w:hAnsi="Times New Roman" w:cs="Times New Roman"/>
          <w:sz w:val="24"/>
          <w:szCs w:val="24"/>
          <w:lang w:eastAsia="zh-HK"/>
        </w:rPr>
        <w:t>applicable to</w:t>
      </w:r>
      <w:r w:rsidR="00880650">
        <w:rPr>
          <w:rFonts w:ascii="Times New Roman" w:eastAsia="標楷體" w:hAnsi="Times New Roman" w:cs="Times New Roman"/>
          <w:sz w:val="24"/>
          <w:szCs w:val="24"/>
          <w:lang w:eastAsia="zh-HK"/>
        </w:rPr>
        <w:t xml:space="preserve"> both</w:t>
      </w:r>
      <w:r w:rsidR="00880650">
        <w:rPr>
          <w:rStyle w:val="FootnoteReference"/>
          <w:rFonts w:ascii="Times New Roman" w:eastAsia="標楷體" w:hAnsi="Times New Roman" w:cs="Times New Roman"/>
          <w:sz w:val="24"/>
          <w:szCs w:val="24"/>
          <w:lang w:eastAsia="zh-HK"/>
        </w:rPr>
        <w:footnoteReference w:id="10"/>
      </w:r>
      <w:r w:rsidR="00880650">
        <w:rPr>
          <w:rFonts w:ascii="Times New Roman" w:eastAsia="標楷體" w:hAnsi="Times New Roman" w:cs="Times New Roman"/>
          <w:sz w:val="24"/>
          <w:szCs w:val="24"/>
          <w:lang w:eastAsia="zh-HK"/>
        </w:rPr>
        <w:t>.</w:t>
      </w:r>
    </w:p>
    <w:p w14:paraId="70604161" w14:textId="77777777" w:rsidR="00CF7C67" w:rsidRDefault="00CF7C67" w:rsidP="00CF7C67">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
    <w:p w14:paraId="65EBB386" w14:textId="77777777" w:rsidR="005155AE" w:rsidRDefault="005155AE" w:rsidP="005E3F5A">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
    <w:p w14:paraId="15CB2A97" w14:textId="15AEA991" w:rsidR="00C7036D" w:rsidRDefault="00C7036D" w:rsidP="001163C8">
      <w:pPr>
        <w:spacing w:after="0" w:line="300" w:lineRule="auto"/>
        <w:rPr>
          <w:rFonts w:ascii="Times New Roman" w:eastAsia="標楷體" w:hAnsi="Times New Roman" w:cs="Times New Roman"/>
          <w:b/>
          <w:sz w:val="24"/>
          <w:szCs w:val="24"/>
          <w:lang w:eastAsia="zh-HK"/>
        </w:rPr>
      </w:pPr>
      <w:r w:rsidRPr="00C7036D">
        <w:rPr>
          <w:rFonts w:ascii="Times New Roman" w:eastAsia="標楷體" w:hAnsi="Times New Roman" w:cs="Times New Roman"/>
          <w:b/>
          <w:sz w:val="24"/>
          <w:szCs w:val="24"/>
          <w:lang w:eastAsia="zh-HK"/>
        </w:rPr>
        <w:t>III.</w:t>
      </w:r>
      <w:r w:rsidRPr="00C7036D">
        <w:rPr>
          <w:rFonts w:ascii="Times New Roman" w:eastAsia="標楷體" w:hAnsi="Times New Roman" w:cs="Times New Roman"/>
          <w:b/>
          <w:sz w:val="24"/>
          <w:szCs w:val="24"/>
          <w:lang w:eastAsia="zh-HK"/>
        </w:rPr>
        <w:tab/>
      </w:r>
      <w:r w:rsidR="00BB2E69">
        <w:rPr>
          <w:rFonts w:ascii="Times New Roman" w:eastAsia="標楷體" w:hAnsi="Times New Roman" w:cs="Times New Roman"/>
          <w:b/>
          <w:sz w:val="24"/>
          <w:szCs w:val="24"/>
          <w:lang w:eastAsia="zh-HK"/>
        </w:rPr>
        <w:t>TIME SERIES PROPERTIES OF WAGES AND PRICES</w:t>
      </w:r>
    </w:p>
    <w:p w14:paraId="671AB2B3" w14:textId="77777777" w:rsidR="001163C8" w:rsidRPr="00C7036D" w:rsidRDefault="001163C8" w:rsidP="001163C8">
      <w:pPr>
        <w:spacing w:after="0" w:line="300" w:lineRule="auto"/>
        <w:rPr>
          <w:rFonts w:ascii="Times New Roman" w:eastAsia="標楷體" w:hAnsi="Times New Roman" w:cs="Times New Roman"/>
          <w:b/>
          <w:sz w:val="24"/>
          <w:szCs w:val="24"/>
          <w:lang w:eastAsia="zh-HK"/>
        </w:rPr>
      </w:pPr>
    </w:p>
    <w:p w14:paraId="61AAC0E9" w14:textId="654A3119" w:rsidR="00075D40" w:rsidRPr="002045B6" w:rsidRDefault="009C4E21" w:rsidP="00075D40">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 xml:space="preserve">Constructing a model of the relationship between consumer prices and productivity-adjusted nominal wages in Hong Kong requires first establishing whether the variables are stationary, and, if they are non-stationary, whether a cointegrating relationship exists between them.  </w:t>
      </w:r>
      <w:r w:rsidR="00E60D4A">
        <w:rPr>
          <w:rFonts w:ascii="Times New Roman" w:eastAsia="標楷體" w:hAnsi="Times New Roman" w:cs="Times New Roman"/>
          <w:sz w:val="24"/>
          <w:szCs w:val="24"/>
          <w:lang w:eastAsia="zh-HK"/>
        </w:rPr>
        <w:t xml:space="preserve">Generally, it is expected that consumer prices in Hong Kong </w:t>
      </w:r>
      <w:r w:rsidR="002045B6">
        <w:rPr>
          <w:rFonts w:ascii="Times New Roman" w:eastAsia="標楷體" w:hAnsi="Times New Roman" w:cs="Times New Roman"/>
          <w:sz w:val="24"/>
          <w:szCs w:val="24"/>
          <w:lang w:eastAsia="zh-HK"/>
        </w:rPr>
        <w:t>are</w:t>
      </w:r>
      <w:r w:rsidR="00E60D4A">
        <w:rPr>
          <w:rFonts w:ascii="Times New Roman" w:eastAsia="標楷體" w:hAnsi="Times New Roman" w:cs="Times New Roman"/>
          <w:sz w:val="24"/>
          <w:szCs w:val="24"/>
          <w:lang w:eastAsia="zh-HK"/>
        </w:rPr>
        <w:t xml:space="preserve"> non-stationary</w:t>
      </w:r>
      <w:r w:rsidR="00E60D4A">
        <w:rPr>
          <w:rStyle w:val="FootnoteReference"/>
          <w:rFonts w:ascii="Times New Roman" w:eastAsia="標楷體" w:hAnsi="Times New Roman" w:cs="Times New Roman"/>
          <w:sz w:val="24"/>
          <w:szCs w:val="24"/>
          <w:lang w:eastAsia="zh-HK"/>
        </w:rPr>
        <w:footnoteReference w:id="11"/>
      </w:r>
      <w:r w:rsidR="00E60D4A">
        <w:rPr>
          <w:rFonts w:ascii="Times New Roman" w:eastAsia="標楷體" w:hAnsi="Times New Roman" w:cs="Times New Roman"/>
          <w:sz w:val="24"/>
          <w:szCs w:val="24"/>
          <w:lang w:eastAsia="zh-HK"/>
        </w:rPr>
        <w:t xml:space="preserve">.  </w:t>
      </w:r>
      <w:r w:rsidR="00071E09">
        <w:rPr>
          <w:rFonts w:ascii="Times New Roman" w:eastAsia="標楷體" w:hAnsi="Times New Roman" w:cs="Times New Roman"/>
          <w:sz w:val="24"/>
          <w:szCs w:val="24"/>
          <w:lang w:eastAsia="zh-HK"/>
        </w:rPr>
        <w:t>Theoretically, a</w:t>
      </w:r>
      <w:r w:rsidR="002045B6">
        <w:rPr>
          <w:rFonts w:ascii="Times New Roman" w:eastAsia="標楷體" w:hAnsi="Times New Roman" w:cs="Times New Roman"/>
          <w:sz w:val="24"/>
          <w:szCs w:val="24"/>
          <w:lang w:eastAsia="zh-HK"/>
        </w:rPr>
        <w:t xml:space="preserve"> long-run equilibrium between consumer prices and </w:t>
      </w:r>
      <w:r w:rsidR="00534E90">
        <w:rPr>
          <w:rFonts w:ascii="Times New Roman" w:eastAsia="標楷體" w:hAnsi="Times New Roman" w:cs="Times New Roman"/>
          <w:sz w:val="24"/>
          <w:szCs w:val="24"/>
          <w:lang w:eastAsia="zh-HK"/>
        </w:rPr>
        <w:t>unit labour costs</w:t>
      </w:r>
      <w:r w:rsidR="002045B6">
        <w:rPr>
          <w:rFonts w:ascii="Times New Roman" w:eastAsia="標楷體" w:hAnsi="Times New Roman" w:cs="Times New Roman"/>
          <w:sz w:val="24"/>
          <w:szCs w:val="24"/>
          <w:lang w:eastAsia="zh-HK"/>
        </w:rPr>
        <w:t xml:space="preserve"> suggests the two should be cointegrated, though a weak relationship may not </w:t>
      </w:r>
      <w:r w:rsidR="00964695">
        <w:rPr>
          <w:rFonts w:ascii="Times New Roman" w:eastAsia="標楷體" w:hAnsi="Times New Roman" w:cs="Times New Roman"/>
          <w:sz w:val="24"/>
          <w:szCs w:val="24"/>
          <w:lang w:eastAsia="zh-HK"/>
        </w:rPr>
        <w:t>show up as</w:t>
      </w:r>
      <w:r w:rsidR="002045B6">
        <w:rPr>
          <w:rFonts w:ascii="Times New Roman" w:eastAsia="標楷體" w:hAnsi="Times New Roman" w:cs="Times New Roman"/>
          <w:sz w:val="24"/>
          <w:szCs w:val="24"/>
          <w:lang w:eastAsia="zh-HK"/>
        </w:rPr>
        <w:t xml:space="preserve"> statistically significant</w:t>
      </w:r>
      <w:r w:rsidR="00964695">
        <w:rPr>
          <w:rFonts w:ascii="Times New Roman" w:eastAsia="標楷體" w:hAnsi="Times New Roman" w:cs="Times New Roman"/>
          <w:sz w:val="24"/>
          <w:szCs w:val="24"/>
          <w:lang w:eastAsia="zh-HK"/>
        </w:rPr>
        <w:t xml:space="preserve"> in the data</w:t>
      </w:r>
      <w:r w:rsidR="002045B6">
        <w:rPr>
          <w:rFonts w:ascii="Times New Roman" w:eastAsia="標楷體" w:hAnsi="Times New Roman" w:cs="Times New Roman"/>
          <w:sz w:val="24"/>
          <w:szCs w:val="24"/>
          <w:lang w:eastAsia="zh-HK"/>
        </w:rPr>
        <w:t>.</w:t>
      </w:r>
    </w:p>
    <w:p w14:paraId="60800D11" w14:textId="6EA2FC09" w:rsidR="00075D40" w:rsidRDefault="008814EE" w:rsidP="005F1ED9">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lastRenderedPageBreak/>
        <w:t>To test</w:t>
      </w:r>
      <w:r w:rsidR="009B55D3">
        <w:rPr>
          <w:rFonts w:ascii="Times New Roman" w:eastAsia="標楷體" w:hAnsi="Times New Roman" w:cs="Times New Roman"/>
          <w:sz w:val="24"/>
          <w:szCs w:val="24"/>
          <w:lang w:eastAsia="zh-HK"/>
        </w:rPr>
        <w:t xml:space="preserve"> stationarity, t</w:t>
      </w:r>
      <w:r w:rsidR="00075D40">
        <w:rPr>
          <w:rFonts w:ascii="Times New Roman" w:eastAsia="標楷體" w:hAnsi="Times New Roman" w:cs="Times New Roman"/>
          <w:sz w:val="24"/>
          <w:szCs w:val="24"/>
          <w:lang w:eastAsia="zh-HK"/>
        </w:rPr>
        <w:t>he results of Phillips-</w:t>
      </w:r>
      <w:proofErr w:type="spellStart"/>
      <w:r w:rsidR="00075D40">
        <w:rPr>
          <w:rFonts w:ascii="Times New Roman" w:eastAsia="標楷體" w:hAnsi="Times New Roman" w:cs="Times New Roman"/>
          <w:sz w:val="24"/>
          <w:szCs w:val="24"/>
          <w:lang w:eastAsia="zh-HK"/>
        </w:rPr>
        <w:t>Perron</w:t>
      </w:r>
      <w:proofErr w:type="spellEnd"/>
      <w:r w:rsidR="000E17A5">
        <w:rPr>
          <w:rStyle w:val="FootnoteReference"/>
          <w:rFonts w:ascii="Times New Roman" w:eastAsia="標楷體" w:hAnsi="Times New Roman" w:cs="Times New Roman"/>
          <w:sz w:val="24"/>
          <w:szCs w:val="24"/>
          <w:lang w:eastAsia="zh-HK"/>
        </w:rPr>
        <w:footnoteReference w:id="12"/>
      </w:r>
      <w:r w:rsidR="00075D40">
        <w:rPr>
          <w:rFonts w:ascii="Times New Roman" w:eastAsia="標楷體" w:hAnsi="Times New Roman" w:cs="Times New Roman"/>
          <w:sz w:val="24"/>
          <w:szCs w:val="24"/>
          <w:lang w:eastAsia="zh-HK"/>
        </w:rPr>
        <w:t xml:space="preserve"> tests</w:t>
      </w:r>
      <w:r w:rsidR="007F3CF9">
        <w:rPr>
          <w:rFonts w:ascii="Times New Roman" w:eastAsia="標楷體" w:hAnsi="Times New Roman" w:cs="Times New Roman"/>
          <w:sz w:val="24"/>
          <w:szCs w:val="24"/>
          <w:lang w:eastAsia="zh-HK"/>
        </w:rPr>
        <w:t xml:space="preserve"> </w:t>
      </w:r>
      <w:r w:rsidR="00CC3100">
        <w:rPr>
          <w:rFonts w:ascii="Times New Roman" w:eastAsia="標楷體" w:hAnsi="Times New Roman" w:cs="Times New Roman"/>
          <w:sz w:val="24"/>
          <w:szCs w:val="24"/>
          <w:lang w:eastAsia="zh-HK"/>
        </w:rPr>
        <w:t xml:space="preserve">of the </w:t>
      </w:r>
      <w:r w:rsidR="00075D40">
        <w:rPr>
          <w:rFonts w:ascii="Times New Roman" w:eastAsia="標楷體" w:hAnsi="Times New Roman" w:cs="Times New Roman"/>
          <w:sz w:val="24"/>
          <w:szCs w:val="24"/>
          <w:lang w:eastAsia="zh-HK"/>
        </w:rPr>
        <w:t>variables</w:t>
      </w:r>
      <w:r w:rsidR="009B55D3">
        <w:rPr>
          <w:rFonts w:ascii="Times New Roman" w:eastAsia="標楷體" w:hAnsi="Times New Roman" w:cs="Times New Roman"/>
          <w:sz w:val="24"/>
          <w:szCs w:val="24"/>
          <w:lang w:eastAsia="zh-HK"/>
        </w:rPr>
        <w:t xml:space="preserve"> (in natural logarithms and </w:t>
      </w:r>
      <w:r w:rsidR="00071E09">
        <w:rPr>
          <w:rFonts w:ascii="Times New Roman" w:eastAsia="標楷體" w:hAnsi="Times New Roman" w:cs="Times New Roman"/>
          <w:sz w:val="24"/>
          <w:szCs w:val="24"/>
          <w:lang w:eastAsia="zh-HK"/>
        </w:rPr>
        <w:t>quarterly from 1984 to 2021</w:t>
      </w:r>
      <w:r w:rsidR="009B55D3">
        <w:rPr>
          <w:rFonts w:ascii="Times New Roman" w:eastAsia="標楷體" w:hAnsi="Times New Roman" w:cs="Times New Roman"/>
          <w:sz w:val="24"/>
          <w:szCs w:val="24"/>
          <w:lang w:eastAsia="zh-HK"/>
        </w:rPr>
        <w:t>)</w:t>
      </w:r>
      <w:r w:rsidR="00071E09">
        <w:rPr>
          <w:rFonts w:ascii="Times New Roman" w:eastAsia="標楷體" w:hAnsi="Times New Roman" w:cs="Times New Roman"/>
          <w:sz w:val="24"/>
          <w:szCs w:val="24"/>
          <w:lang w:eastAsia="zh-HK"/>
        </w:rPr>
        <w:t xml:space="preserve"> </w:t>
      </w:r>
      <w:r w:rsidR="00075D40">
        <w:rPr>
          <w:rFonts w:ascii="Times New Roman" w:eastAsia="標楷體" w:hAnsi="Times New Roman" w:cs="Times New Roman"/>
          <w:sz w:val="24"/>
          <w:szCs w:val="24"/>
          <w:lang w:eastAsia="zh-HK"/>
        </w:rPr>
        <w:t xml:space="preserve">and their first differences are given in </w:t>
      </w:r>
      <w:r w:rsidR="00075D40" w:rsidRPr="00075D40">
        <w:rPr>
          <w:rFonts w:ascii="Times New Roman" w:eastAsia="標楷體" w:hAnsi="Times New Roman" w:cs="Times New Roman"/>
          <w:b/>
          <w:sz w:val="24"/>
          <w:szCs w:val="24"/>
          <w:lang w:eastAsia="zh-HK"/>
        </w:rPr>
        <w:t>Table 1</w:t>
      </w:r>
      <w:r w:rsidR="00075D40">
        <w:rPr>
          <w:rFonts w:ascii="Times New Roman" w:eastAsia="標楷體" w:hAnsi="Times New Roman" w:cs="Times New Roman"/>
          <w:sz w:val="24"/>
          <w:szCs w:val="24"/>
          <w:lang w:eastAsia="zh-HK"/>
        </w:rPr>
        <w:t>.</w:t>
      </w:r>
      <w:r w:rsidR="00D3704B">
        <w:rPr>
          <w:rFonts w:ascii="Times New Roman" w:eastAsia="標楷體" w:hAnsi="Times New Roman" w:cs="Times New Roman"/>
          <w:sz w:val="24"/>
          <w:szCs w:val="24"/>
          <w:lang w:eastAsia="zh-HK"/>
        </w:rPr>
        <w:t xml:space="preserve">  </w:t>
      </w:r>
      <w:r w:rsidR="00B676E5">
        <w:rPr>
          <w:rFonts w:ascii="Times New Roman" w:eastAsia="標楷體" w:hAnsi="Times New Roman" w:cs="Times New Roman"/>
          <w:sz w:val="24"/>
          <w:szCs w:val="24"/>
          <w:lang w:eastAsia="zh-HK"/>
        </w:rPr>
        <w:t>Of these, t</w:t>
      </w:r>
      <w:r w:rsidR="00066736">
        <w:rPr>
          <w:rFonts w:ascii="Times New Roman" w:eastAsia="標楷體" w:hAnsi="Times New Roman" w:cs="Times New Roman"/>
          <w:sz w:val="24"/>
          <w:szCs w:val="24"/>
          <w:lang w:eastAsia="zh-HK"/>
        </w:rPr>
        <w:t xml:space="preserve">he </w:t>
      </w:r>
      <w:r w:rsidR="000B0446">
        <w:rPr>
          <w:rFonts w:ascii="Times New Roman" w:eastAsia="標楷體" w:hAnsi="Times New Roman" w:cs="Times New Roman"/>
          <w:sz w:val="24"/>
          <w:szCs w:val="24"/>
          <w:lang w:eastAsia="zh-HK"/>
        </w:rPr>
        <w:t>unit labour cost</w:t>
      </w:r>
      <w:r w:rsidR="00F6039E">
        <w:rPr>
          <w:rFonts w:ascii="Times New Roman" w:eastAsia="標楷體" w:hAnsi="Times New Roman" w:cs="Times New Roman"/>
          <w:sz w:val="24"/>
          <w:szCs w:val="24"/>
          <w:lang w:eastAsia="zh-HK"/>
        </w:rPr>
        <w:t xml:space="preserve"> exhibited notable seasonality and</w:t>
      </w:r>
      <w:r w:rsidR="00565682">
        <w:rPr>
          <w:rFonts w:ascii="Times New Roman" w:eastAsia="標楷體" w:hAnsi="Times New Roman" w:cs="Times New Roman"/>
          <w:sz w:val="24"/>
          <w:szCs w:val="24"/>
          <w:lang w:eastAsia="zh-HK"/>
        </w:rPr>
        <w:t xml:space="preserve"> </w:t>
      </w:r>
      <w:r w:rsidR="000B0446">
        <w:rPr>
          <w:rFonts w:ascii="Times New Roman" w:eastAsia="標楷體" w:hAnsi="Times New Roman" w:cs="Times New Roman"/>
          <w:sz w:val="24"/>
          <w:szCs w:val="24"/>
          <w:lang w:eastAsia="zh-HK"/>
        </w:rPr>
        <w:t>has been deseasonalised with the Holt-Winters</w:t>
      </w:r>
      <w:r w:rsidR="009F4D85">
        <w:rPr>
          <w:rStyle w:val="FootnoteReference"/>
          <w:rFonts w:ascii="Times New Roman" w:eastAsia="標楷體" w:hAnsi="Times New Roman" w:cs="Times New Roman"/>
          <w:sz w:val="24"/>
          <w:szCs w:val="24"/>
          <w:lang w:eastAsia="zh-HK"/>
        </w:rPr>
        <w:footnoteReference w:id="13"/>
      </w:r>
      <w:r w:rsidR="000B0446">
        <w:rPr>
          <w:rFonts w:ascii="Times New Roman" w:eastAsia="標楷體" w:hAnsi="Times New Roman" w:cs="Times New Roman"/>
          <w:sz w:val="24"/>
          <w:szCs w:val="24"/>
          <w:lang w:eastAsia="zh-HK"/>
        </w:rPr>
        <w:t xml:space="preserve"> algorithm</w:t>
      </w:r>
      <w:r w:rsidR="00066736">
        <w:rPr>
          <w:rFonts w:ascii="Times New Roman" w:eastAsia="標楷體" w:hAnsi="Times New Roman" w:cs="Times New Roman"/>
          <w:sz w:val="24"/>
          <w:szCs w:val="24"/>
          <w:lang w:eastAsia="zh-HK"/>
        </w:rPr>
        <w:t xml:space="preserve">.  </w:t>
      </w:r>
      <w:r w:rsidR="000B0446">
        <w:rPr>
          <w:rFonts w:ascii="Times New Roman" w:eastAsia="標楷體" w:hAnsi="Times New Roman" w:cs="Times New Roman"/>
          <w:sz w:val="24"/>
          <w:szCs w:val="24"/>
          <w:lang w:eastAsia="zh-HK"/>
        </w:rPr>
        <w:t>T</w:t>
      </w:r>
      <w:r w:rsidR="00D3704B">
        <w:rPr>
          <w:rFonts w:ascii="Times New Roman" w:eastAsia="標楷體" w:hAnsi="Times New Roman" w:cs="Times New Roman"/>
          <w:sz w:val="24"/>
          <w:szCs w:val="24"/>
          <w:lang w:eastAsia="zh-HK"/>
        </w:rPr>
        <w:t>he tests, which are robust to heteroscedasticity and serial correlation, are based on Newey-West</w:t>
      </w:r>
      <w:r w:rsidR="00066736">
        <w:rPr>
          <w:rStyle w:val="FootnoteReference"/>
          <w:rFonts w:ascii="Times New Roman" w:eastAsia="標楷體" w:hAnsi="Times New Roman" w:cs="Times New Roman"/>
          <w:sz w:val="24"/>
          <w:szCs w:val="24"/>
          <w:lang w:eastAsia="zh-HK"/>
        </w:rPr>
        <w:footnoteReference w:id="14"/>
      </w:r>
      <w:r w:rsidR="00D3704B">
        <w:rPr>
          <w:rFonts w:ascii="Times New Roman" w:eastAsia="標楷體" w:hAnsi="Times New Roman" w:cs="Times New Roman"/>
          <w:sz w:val="24"/>
          <w:szCs w:val="24"/>
          <w:lang w:eastAsia="zh-HK"/>
        </w:rPr>
        <w:t xml:space="preserve"> standard errors with four lags</w:t>
      </w:r>
      <w:r w:rsidR="00066736">
        <w:rPr>
          <w:rStyle w:val="FootnoteReference"/>
          <w:rFonts w:ascii="Times New Roman" w:eastAsia="標楷體" w:hAnsi="Times New Roman" w:cs="Times New Roman"/>
          <w:sz w:val="24"/>
          <w:szCs w:val="24"/>
          <w:lang w:eastAsia="zh-HK"/>
        </w:rPr>
        <w:footnoteReference w:id="15"/>
      </w:r>
      <w:r w:rsidR="00D3704B">
        <w:rPr>
          <w:rFonts w:ascii="Times New Roman" w:eastAsia="標楷體" w:hAnsi="Times New Roman" w:cs="Times New Roman"/>
          <w:sz w:val="24"/>
          <w:szCs w:val="24"/>
          <w:lang w:eastAsia="zh-HK"/>
        </w:rPr>
        <w:t>.</w:t>
      </w:r>
      <w:r w:rsidR="00066736">
        <w:rPr>
          <w:rFonts w:ascii="Times New Roman" w:eastAsia="標楷體" w:hAnsi="Times New Roman" w:cs="Times New Roman"/>
          <w:sz w:val="24"/>
          <w:szCs w:val="24"/>
          <w:lang w:eastAsia="zh-HK"/>
        </w:rPr>
        <w:t xml:space="preserve">  </w:t>
      </w:r>
      <w:r w:rsidR="007F3CF9" w:rsidRPr="00066736">
        <w:rPr>
          <w:rFonts w:ascii="Times New Roman" w:eastAsia="標楷體" w:hAnsi="Times New Roman" w:cs="Times New Roman"/>
          <w:sz w:val="24"/>
          <w:szCs w:val="24"/>
          <w:lang w:eastAsia="zh-HK"/>
        </w:rPr>
        <w:t xml:space="preserve">The results in </w:t>
      </w:r>
      <w:r w:rsidR="007F3CF9" w:rsidRPr="00066736">
        <w:rPr>
          <w:rFonts w:ascii="Times New Roman" w:eastAsia="標楷體" w:hAnsi="Times New Roman" w:cs="Times New Roman"/>
          <w:b/>
          <w:sz w:val="24"/>
          <w:szCs w:val="24"/>
          <w:lang w:eastAsia="zh-HK"/>
        </w:rPr>
        <w:t>Table 1</w:t>
      </w:r>
      <w:r w:rsidR="004E1C0C">
        <w:rPr>
          <w:rFonts w:ascii="Times New Roman" w:eastAsia="標楷體" w:hAnsi="Times New Roman" w:cs="Times New Roman"/>
          <w:sz w:val="24"/>
          <w:szCs w:val="24"/>
          <w:lang w:eastAsia="zh-HK"/>
        </w:rPr>
        <w:t xml:space="preserve"> show that the hypotheses that the CCPI and the unit labour cost are non-stationary in levels cannot be rejected at any significance level.  However, the hypotheses that they are non-stationary in first differences are </w:t>
      </w:r>
      <w:r w:rsidR="000B0446">
        <w:rPr>
          <w:rFonts w:ascii="Times New Roman" w:eastAsia="標楷體" w:hAnsi="Times New Roman" w:cs="Times New Roman"/>
          <w:sz w:val="24"/>
          <w:szCs w:val="24"/>
          <w:lang w:eastAsia="zh-HK"/>
        </w:rPr>
        <w:t xml:space="preserve">strongly rejected.  </w:t>
      </w:r>
      <w:r w:rsidR="00A37A4E">
        <w:rPr>
          <w:rFonts w:ascii="Times New Roman" w:eastAsia="標楷體" w:hAnsi="Times New Roman" w:cs="Times New Roman"/>
          <w:sz w:val="24"/>
          <w:szCs w:val="24"/>
          <w:lang w:eastAsia="zh-HK"/>
        </w:rPr>
        <w:t>Consequently</w:t>
      </w:r>
      <w:r w:rsidR="000B0446">
        <w:rPr>
          <w:rFonts w:ascii="Times New Roman" w:eastAsia="標楷體" w:hAnsi="Times New Roman" w:cs="Times New Roman"/>
          <w:sz w:val="24"/>
          <w:szCs w:val="24"/>
          <w:lang w:eastAsia="zh-HK"/>
        </w:rPr>
        <w:t xml:space="preserve">, they will both be treated as </w:t>
      </w:r>
      <w:proofErr w:type="gramStart"/>
      <w:r w:rsidR="000B0446">
        <w:rPr>
          <w:rFonts w:ascii="Times New Roman" w:eastAsia="標楷體" w:hAnsi="Times New Roman" w:cs="Times New Roman"/>
          <w:sz w:val="24"/>
          <w:szCs w:val="24"/>
          <w:lang w:eastAsia="zh-HK"/>
        </w:rPr>
        <w:t>I(</w:t>
      </w:r>
      <w:proofErr w:type="gramEnd"/>
      <w:r w:rsidR="000B0446">
        <w:rPr>
          <w:rFonts w:ascii="Times New Roman" w:eastAsia="標楷體" w:hAnsi="Times New Roman" w:cs="Times New Roman"/>
          <w:sz w:val="24"/>
          <w:szCs w:val="24"/>
          <w:lang w:eastAsia="zh-HK"/>
        </w:rPr>
        <w:t>1) in the analysis.</w:t>
      </w:r>
    </w:p>
    <w:p w14:paraId="44FDD3A7" w14:textId="77777777" w:rsidR="00066736" w:rsidRPr="00066736" w:rsidRDefault="00066736" w:rsidP="00066736">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
    <w:p w14:paraId="766C1C8D" w14:textId="1F7BEE5B" w:rsidR="008B51A5" w:rsidRPr="007F3CF9" w:rsidRDefault="001163C8" w:rsidP="008E5FF8">
      <w:pPr>
        <w:jc w:val="center"/>
        <w:rPr>
          <w:rFonts w:ascii="Times New Roman" w:hAnsi="Times New Roman" w:cs="Times New Roman"/>
          <w:b/>
          <w:sz w:val="24"/>
          <w:szCs w:val="26"/>
        </w:rPr>
      </w:pPr>
      <w:r>
        <w:rPr>
          <w:rFonts w:ascii="Times New Roman" w:hAnsi="Times New Roman" w:cs="Times New Roman"/>
          <w:b/>
          <w:sz w:val="24"/>
          <w:szCs w:val="26"/>
        </w:rPr>
        <w:t>Table</w:t>
      </w:r>
      <w:r w:rsidR="00300017" w:rsidRPr="00B513DF">
        <w:rPr>
          <w:rFonts w:ascii="Times New Roman" w:hAnsi="Times New Roman" w:cs="Times New Roman"/>
          <w:b/>
          <w:sz w:val="24"/>
          <w:szCs w:val="26"/>
        </w:rPr>
        <w:t xml:space="preserve"> </w:t>
      </w:r>
      <w:r w:rsidR="00300017">
        <w:rPr>
          <w:rFonts w:ascii="Times New Roman" w:hAnsi="Times New Roman" w:cs="Times New Roman"/>
          <w:b/>
          <w:sz w:val="24"/>
          <w:szCs w:val="26"/>
        </w:rPr>
        <w:t>1</w:t>
      </w:r>
      <w:r w:rsidR="00300017" w:rsidRPr="00B513DF">
        <w:rPr>
          <w:rFonts w:ascii="Times New Roman" w:hAnsi="Times New Roman" w:cs="Times New Roman"/>
          <w:b/>
          <w:sz w:val="24"/>
          <w:szCs w:val="26"/>
        </w:rPr>
        <w:t xml:space="preserve">: </w:t>
      </w:r>
      <w:r>
        <w:rPr>
          <w:rFonts w:ascii="Times New Roman" w:hAnsi="Times New Roman" w:cs="Times New Roman"/>
          <w:b/>
          <w:sz w:val="24"/>
          <w:szCs w:val="26"/>
        </w:rPr>
        <w:t>Phillips-</w:t>
      </w:r>
      <w:proofErr w:type="spellStart"/>
      <w:r>
        <w:rPr>
          <w:rFonts w:ascii="Times New Roman" w:hAnsi="Times New Roman" w:cs="Times New Roman"/>
          <w:b/>
          <w:sz w:val="24"/>
          <w:szCs w:val="26"/>
        </w:rPr>
        <w:t>Perron</w:t>
      </w:r>
      <w:proofErr w:type="spellEnd"/>
      <w:r>
        <w:rPr>
          <w:rFonts w:ascii="Times New Roman" w:hAnsi="Times New Roman" w:cs="Times New Roman"/>
          <w:b/>
          <w:sz w:val="24"/>
          <w:szCs w:val="26"/>
        </w:rPr>
        <w:t xml:space="preserve"> Stationarity Tests</w:t>
      </w:r>
      <w:r w:rsidR="00B21547">
        <w:rPr>
          <w:rFonts w:ascii="Times New Roman" w:hAnsi="Times New Roman" w:cs="Times New Roman"/>
          <w:b/>
          <w:sz w:val="24"/>
          <w:szCs w:val="26"/>
        </w:rPr>
        <w:t>*</w:t>
      </w:r>
    </w:p>
    <w:tbl>
      <w:tblPr>
        <w:tblStyle w:val="TableGrid"/>
        <w:tblW w:w="0" w:type="auto"/>
        <w:tblLook w:val="04A0" w:firstRow="1" w:lastRow="0" w:firstColumn="1" w:lastColumn="0" w:noHBand="0" w:noVBand="1"/>
      </w:tblPr>
      <w:tblGrid>
        <w:gridCol w:w="2122"/>
        <w:gridCol w:w="1543"/>
        <w:gridCol w:w="1544"/>
        <w:gridCol w:w="1543"/>
        <w:gridCol w:w="1544"/>
      </w:tblGrid>
      <w:tr w:rsidR="00B21CD9" w14:paraId="51C8E034" w14:textId="77777777" w:rsidTr="00CC1A29">
        <w:trPr>
          <w:trHeight w:val="469"/>
        </w:trPr>
        <w:tc>
          <w:tcPr>
            <w:tcW w:w="2122" w:type="dxa"/>
            <w:vMerge w:val="restart"/>
            <w:shd w:val="clear" w:color="auto" w:fill="F2F2F2" w:themeFill="background1" w:themeFillShade="F2"/>
            <w:vAlign w:val="center"/>
          </w:tcPr>
          <w:p w14:paraId="52E1B1D5" w14:textId="14CEAA72" w:rsidR="00B21CD9" w:rsidRDefault="00CC1A29" w:rsidP="00B21CD9">
            <w:pPr>
              <w:pStyle w:val="ListParagraph"/>
              <w:overflowPunct w:val="0"/>
              <w:snapToGrid w:val="0"/>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Variable</w:t>
            </w:r>
          </w:p>
        </w:tc>
        <w:tc>
          <w:tcPr>
            <w:tcW w:w="3087" w:type="dxa"/>
            <w:gridSpan w:val="2"/>
            <w:shd w:val="clear" w:color="auto" w:fill="F2F2F2" w:themeFill="background1" w:themeFillShade="F2"/>
            <w:vAlign w:val="center"/>
          </w:tcPr>
          <w:p w14:paraId="383FAC4B" w14:textId="50E3FA65" w:rsidR="00B21CD9" w:rsidRDefault="00B21CD9" w:rsidP="00B21CD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Level</w:t>
            </w:r>
          </w:p>
        </w:tc>
        <w:tc>
          <w:tcPr>
            <w:tcW w:w="3087" w:type="dxa"/>
            <w:gridSpan w:val="2"/>
            <w:shd w:val="clear" w:color="auto" w:fill="F2F2F2" w:themeFill="background1" w:themeFillShade="F2"/>
            <w:vAlign w:val="center"/>
          </w:tcPr>
          <w:p w14:paraId="625AD5CC" w14:textId="1848CAEA" w:rsidR="00B21CD9" w:rsidRDefault="00B21CD9" w:rsidP="00B21CD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First Difference</w:t>
            </w:r>
          </w:p>
        </w:tc>
      </w:tr>
      <w:tr w:rsidR="00B21CD9" w14:paraId="37119BEB" w14:textId="77777777" w:rsidTr="00CC1A29">
        <w:trPr>
          <w:trHeight w:val="469"/>
        </w:trPr>
        <w:tc>
          <w:tcPr>
            <w:tcW w:w="2122" w:type="dxa"/>
            <w:vMerge/>
            <w:tcBorders>
              <w:bottom w:val="single" w:sz="8" w:space="0" w:color="auto"/>
            </w:tcBorders>
            <w:shd w:val="clear" w:color="auto" w:fill="F2F2F2" w:themeFill="background1" w:themeFillShade="F2"/>
          </w:tcPr>
          <w:p w14:paraId="224E16B7" w14:textId="77777777" w:rsidR="00B21CD9" w:rsidRDefault="00B21CD9" w:rsidP="00B21CD9">
            <w:pPr>
              <w:pStyle w:val="ListParagraph"/>
              <w:overflowPunct w:val="0"/>
              <w:snapToGrid w:val="0"/>
              <w:spacing w:line="300" w:lineRule="auto"/>
              <w:ind w:left="0"/>
              <w:jc w:val="both"/>
              <w:rPr>
                <w:rFonts w:ascii="Times New Roman" w:eastAsia="標楷體" w:hAnsi="Times New Roman" w:cs="Times New Roman"/>
                <w:sz w:val="24"/>
                <w:szCs w:val="24"/>
                <w:lang w:eastAsia="zh-HK"/>
              </w:rPr>
            </w:pPr>
          </w:p>
        </w:tc>
        <w:tc>
          <w:tcPr>
            <w:tcW w:w="1543" w:type="dxa"/>
            <w:tcBorders>
              <w:bottom w:val="single" w:sz="8" w:space="0" w:color="auto"/>
            </w:tcBorders>
            <w:shd w:val="clear" w:color="auto" w:fill="F2F2F2" w:themeFill="background1" w:themeFillShade="F2"/>
            <w:vAlign w:val="center"/>
          </w:tcPr>
          <w:p w14:paraId="28CA2C92" w14:textId="7C0A3B14" w:rsidR="00B21CD9" w:rsidRPr="00B21CD9" w:rsidRDefault="00B21CD9" w:rsidP="0015680F">
            <w:pPr>
              <w:pStyle w:val="ListParagraph"/>
              <w:overflowPunct w:val="0"/>
              <w:snapToGrid w:val="0"/>
              <w:spacing w:line="300" w:lineRule="auto"/>
              <w:ind w:left="0"/>
              <w:jc w:val="center"/>
              <w:rPr>
                <w:rFonts w:ascii="Symbol" w:eastAsia="標楷體" w:hAnsi="Symbol" w:cs="Times New Roman"/>
                <w:i/>
                <w:sz w:val="24"/>
                <w:szCs w:val="24"/>
                <w:vertAlign w:val="subscript"/>
                <w:lang w:eastAsia="zh-HK"/>
              </w:rPr>
            </w:pPr>
            <w:r w:rsidRPr="00B21CD9">
              <w:rPr>
                <w:rFonts w:ascii="Times New Roman" w:eastAsia="標楷體" w:hAnsi="Times New Roman" w:cs="Times New Roman"/>
                <w:i/>
                <w:sz w:val="24"/>
                <w:szCs w:val="24"/>
                <w:lang w:eastAsia="zh-HK"/>
              </w:rPr>
              <w:t>Z</w:t>
            </w:r>
            <w:r w:rsidRPr="00B21CD9">
              <w:rPr>
                <w:rFonts w:ascii="Symbol" w:eastAsia="標楷體" w:hAnsi="Symbol" w:cs="Times New Roman"/>
                <w:i/>
                <w:sz w:val="24"/>
                <w:szCs w:val="24"/>
                <w:vertAlign w:val="subscript"/>
                <w:lang w:eastAsia="zh-HK"/>
              </w:rPr>
              <w:t></w:t>
            </w:r>
          </w:p>
        </w:tc>
        <w:tc>
          <w:tcPr>
            <w:tcW w:w="1544" w:type="dxa"/>
            <w:tcBorders>
              <w:bottom w:val="single" w:sz="8" w:space="0" w:color="auto"/>
            </w:tcBorders>
            <w:shd w:val="clear" w:color="auto" w:fill="F2F2F2" w:themeFill="background1" w:themeFillShade="F2"/>
            <w:vAlign w:val="center"/>
          </w:tcPr>
          <w:p w14:paraId="06B8BEB8" w14:textId="630D3CDD" w:rsidR="00B21CD9" w:rsidRPr="00B21CD9" w:rsidRDefault="00B21CD9" w:rsidP="0015680F">
            <w:pPr>
              <w:pStyle w:val="ListParagraph"/>
              <w:overflowPunct w:val="0"/>
              <w:snapToGrid w:val="0"/>
              <w:spacing w:line="300" w:lineRule="auto"/>
              <w:ind w:left="0"/>
              <w:jc w:val="center"/>
              <w:rPr>
                <w:rFonts w:ascii="Times New Roman" w:eastAsia="標楷體" w:hAnsi="Times New Roman" w:cs="Times New Roman"/>
                <w:i/>
                <w:sz w:val="24"/>
                <w:szCs w:val="24"/>
                <w:lang w:eastAsia="zh-HK"/>
              </w:rPr>
            </w:pPr>
            <w:r w:rsidRPr="00B21CD9">
              <w:rPr>
                <w:rFonts w:ascii="Times New Roman" w:eastAsia="標楷體" w:hAnsi="Times New Roman" w:cs="Times New Roman"/>
                <w:i/>
                <w:sz w:val="24"/>
                <w:szCs w:val="24"/>
                <w:lang w:eastAsia="zh-HK"/>
              </w:rPr>
              <w:t>p</w:t>
            </w:r>
          </w:p>
        </w:tc>
        <w:tc>
          <w:tcPr>
            <w:tcW w:w="1543" w:type="dxa"/>
            <w:tcBorders>
              <w:bottom w:val="single" w:sz="8" w:space="0" w:color="auto"/>
            </w:tcBorders>
            <w:shd w:val="clear" w:color="auto" w:fill="F2F2F2" w:themeFill="background1" w:themeFillShade="F2"/>
            <w:vAlign w:val="center"/>
          </w:tcPr>
          <w:p w14:paraId="0B20F2B8" w14:textId="325D8CF8" w:rsidR="00B21CD9" w:rsidRPr="00B21CD9" w:rsidRDefault="00B21CD9" w:rsidP="0015680F">
            <w:pPr>
              <w:pStyle w:val="ListParagraph"/>
              <w:overflowPunct w:val="0"/>
              <w:snapToGrid w:val="0"/>
              <w:spacing w:line="300" w:lineRule="auto"/>
              <w:ind w:left="0"/>
              <w:jc w:val="center"/>
              <w:rPr>
                <w:rFonts w:ascii="Times New Roman" w:eastAsia="標楷體" w:hAnsi="Times New Roman" w:cs="Times New Roman"/>
                <w:i/>
                <w:sz w:val="24"/>
                <w:szCs w:val="24"/>
                <w:lang w:eastAsia="zh-HK"/>
              </w:rPr>
            </w:pPr>
            <w:r w:rsidRPr="00B21CD9">
              <w:rPr>
                <w:rFonts w:ascii="Times New Roman" w:eastAsia="標楷體" w:hAnsi="Times New Roman" w:cs="Times New Roman"/>
                <w:i/>
                <w:sz w:val="24"/>
                <w:szCs w:val="24"/>
                <w:lang w:eastAsia="zh-HK"/>
              </w:rPr>
              <w:t>Z</w:t>
            </w:r>
            <w:r w:rsidRPr="00B21CD9">
              <w:rPr>
                <w:rFonts w:ascii="Symbol" w:eastAsia="標楷體" w:hAnsi="Symbol" w:cs="Times New Roman"/>
                <w:i/>
                <w:sz w:val="24"/>
                <w:szCs w:val="24"/>
                <w:vertAlign w:val="subscript"/>
                <w:lang w:eastAsia="zh-HK"/>
              </w:rPr>
              <w:t></w:t>
            </w:r>
          </w:p>
        </w:tc>
        <w:tc>
          <w:tcPr>
            <w:tcW w:w="1544" w:type="dxa"/>
            <w:tcBorders>
              <w:bottom w:val="single" w:sz="8" w:space="0" w:color="auto"/>
            </w:tcBorders>
            <w:shd w:val="clear" w:color="auto" w:fill="F2F2F2" w:themeFill="background1" w:themeFillShade="F2"/>
            <w:vAlign w:val="center"/>
          </w:tcPr>
          <w:p w14:paraId="6F1C9874" w14:textId="49F5E1CE" w:rsidR="00B21CD9" w:rsidRPr="00B21CD9" w:rsidRDefault="00B21CD9" w:rsidP="0015680F">
            <w:pPr>
              <w:pStyle w:val="ListParagraph"/>
              <w:overflowPunct w:val="0"/>
              <w:snapToGrid w:val="0"/>
              <w:spacing w:line="300" w:lineRule="auto"/>
              <w:ind w:left="0"/>
              <w:jc w:val="center"/>
              <w:rPr>
                <w:rFonts w:ascii="Times New Roman" w:eastAsia="標楷體" w:hAnsi="Times New Roman" w:cs="Times New Roman"/>
                <w:i/>
                <w:sz w:val="24"/>
                <w:szCs w:val="24"/>
                <w:lang w:eastAsia="zh-HK"/>
              </w:rPr>
            </w:pPr>
            <w:r w:rsidRPr="00B21CD9">
              <w:rPr>
                <w:rFonts w:ascii="Times New Roman" w:eastAsia="標楷體" w:hAnsi="Times New Roman" w:cs="Times New Roman"/>
                <w:i/>
                <w:sz w:val="24"/>
                <w:szCs w:val="24"/>
                <w:lang w:eastAsia="zh-HK"/>
              </w:rPr>
              <w:t>p</w:t>
            </w:r>
          </w:p>
        </w:tc>
      </w:tr>
      <w:tr w:rsidR="00B21CD9" w14:paraId="6CFE635D" w14:textId="77777777" w:rsidTr="00CC1A29">
        <w:trPr>
          <w:trHeight w:val="469"/>
        </w:trPr>
        <w:tc>
          <w:tcPr>
            <w:tcW w:w="2122" w:type="dxa"/>
            <w:tcBorders>
              <w:top w:val="single" w:sz="8" w:space="0" w:color="auto"/>
            </w:tcBorders>
            <w:vAlign w:val="center"/>
          </w:tcPr>
          <w:p w14:paraId="399750ED" w14:textId="6D2383D1" w:rsidR="00B21CD9" w:rsidRDefault="00B21CD9" w:rsidP="00B21CD9">
            <w:pPr>
              <w:pStyle w:val="ListParagraph"/>
              <w:overflowPunct w:val="0"/>
              <w:snapToGrid w:val="0"/>
              <w:spacing w:line="300" w:lineRule="auto"/>
              <w:ind w:left="0"/>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CCPI</w:t>
            </w:r>
          </w:p>
        </w:tc>
        <w:tc>
          <w:tcPr>
            <w:tcW w:w="1543" w:type="dxa"/>
            <w:tcBorders>
              <w:top w:val="single" w:sz="8" w:space="0" w:color="auto"/>
            </w:tcBorders>
            <w:vAlign w:val="center"/>
          </w:tcPr>
          <w:p w14:paraId="7D0863AB" w14:textId="51A468AD" w:rsidR="00B21CD9" w:rsidRDefault="00B21CD9" w:rsidP="00B2154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−1.698</w:t>
            </w:r>
          </w:p>
        </w:tc>
        <w:tc>
          <w:tcPr>
            <w:tcW w:w="1544" w:type="dxa"/>
            <w:tcBorders>
              <w:top w:val="single" w:sz="8" w:space="0" w:color="auto"/>
            </w:tcBorders>
            <w:vAlign w:val="center"/>
          </w:tcPr>
          <w:p w14:paraId="60B6B45B" w14:textId="14521E67" w:rsidR="00B21CD9" w:rsidRDefault="00B21547" w:rsidP="00B2154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0.7519</w:t>
            </w:r>
          </w:p>
        </w:tc>
        <w:tc>
          <w:tcPr>
            <w:tcW w:w="1543" w:type="dxa"/>
            <w:tcBorders>
              <w:top w:val="single" w:sz="8" w:space="0" w:color="auto"/>
            </w:tcBorders>
            <w:vAlign w:val="center"/>
          </w:tcPr>
          <w:p w14:paraId="126CB708" w14:textId="28007F50" w:rsidR="00B21CD9" w:rsidRDefault="00B21547" w:rsidP="00B2154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−8.728</w:t>
            </w:r>
            <w:r w:rsidR="0001414B">
              <w:rPr>
                <w:rFonts w:ascii="Times New Roman" w:eastAsia="標楷體" w:hAnsi="Times New Roman" w:cs="Times New Roman"/>
                <w:sz w:val="24"/>
                <w:szCs w:val="24"/>
                <w:lang w:eastAsia="zh-HK"/>
              </w:rPr>
              <w:t>**</w:t>
            </w:r>
          </w:p>
        </w:tc>
        <w:tc>
          <w:tcPr>
            <w:tcW w:w="1544" w:type="dxa"/>
            <w:tcBorders>
              <w:top w:val="single" w:sz="8" w:space="0" w:color="auto"/>
            </w:tcBorders>
            <w:vAlign w:val="center"/>
          </w:tcPr>
          <w:p w14:paraId="45E49394" w14:textId="12E45154" w:rsidR="00B21CD9" w:rsidRDefault="00B21547" w:rsidP="00B2154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0.000</w:t>
            </w:r>
          </w:p>
        </w:tc>
      </w:tr>
      <w:tr w:rsidR="00B21547" w14:paraId="5256F017" w14:textId="77777777" w:rsidTr="00CC1A29">
        <w:trPr>
          <w:trHeight w:val="469"/>
        </w:trPr>
        <w:tc>
          <w:tcPr>
            <w:tcW w:w="2122" w:type="dxa"/>
            <w:vAlign w:val="center"/>
          </w:tcPr>
          <w:p w14:paraId="1A3DA986" w14:textId="14248FE4" w:rsidR="00B21547" w:rsidRDefault="00CC1A29" w:rsidP="00B21547">
            <w:pPr>
              <w:pStyle w:val="ListParagraph"/>
              <w:overflowPunct w:val="0"/>
              <w:snapToGrid w:val="0"/>
              <w:spacing w:line="300" w:lineRule="auto"/>
              <w:ind w:left="0"/>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Unit Labour Cost</w:t>
            </w:r>
          </w:p>
        </w:tc>
        <w:tc>
          <w:tcPr>
            <w:tcW w:w="1543" w:type="dxa"/>
            <w:vAlign w:val="center"/>
          </w:tcPr>
          <w:p w14:paraId="4A9D419C" w14:textId="7287A7CA" w:rsidR="00B21547" w:rsidRDefault="00B21547" w:rsidP="00CC1A2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w:t>
            </w:r>
            <w:r w:rsidR="00CC1A29">
              <w:rPr>
                <w:rFonts w:ascii="Times New Roman" w:eastAsia="標楷體" w:hAnsi="Times New Roman" w:cs="Times New Roman"/>
                <w:sz w:val="24"/>
                <w:szCs w:val="24"/>
                <w:lang w:eastAsia="zh-HK"/>
              </w:rPr>
              <w:t>1</w:t>
            </w:r>
            <w:r>
              <w:rPr>
                <w:rFonts w:ascii="Times New Roman" w:eastAsia="標楷體" w:hAnsi="Times New Roman" w:cs="Times New Roman"/>
                <w:sz w:val="24"/>
                <w:szCs w:val="24"/>
                <w:lang w:eastAsia="zh-HK"/>
              </w:rPr>
              <w:t>.</w:t>
            </w:r>
            <w:r w:rsidR="00CC1A29">
              <w:rPr>
                <w:rFonts w:ascii="Times New Roman" w:eastAsia="標楷體" w:hAnsi="Times New Roman" w:cs="Times New Roman"/>
                <w:sz w:val="24"/>
                <w:szCs w:val="24"/>
                <w:lang w:eastAsia="zh-HK"/>
              </w:rPr>
              <w:t>639</w:t>
            </w:r>
          </w:p>
        </w:tc>
        <w:tc>
          <w:tcPr>
            <w:tcW w:w="1544" w:type="dxa"/>
            <w:vAlign w:val="center"/>
          </w:tcPr>
          <w:p w14:paraId="0DEAE5E7" w14:textId="13DF8B50" w:rsidR="00B21547" w:rsidRDefault="00B21547" w:rsidP="00CC1A2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0.</w:t>
            </w:r>
            <w:r w:rsidR="00CC1A29">
              <w:rPr>
                <w:rFonts w:ascii="Times New Roman" w:eastAsia="標楷體" w:hAnsi="Times New Roman" w:cs="Times New Roman"/>
                <w:sz w:val="24"/>
                <w:szCs w:val="24"/>
                <w:lang w:eastAsia="zh-HK"/>
              </w:rPr>
              <w:t>7767</w:t>
            </w:r>
          </w:p>
        </w:tc>
        <w:tc>
          <w:tcPr>
            <w:tcW w:w="1543" w:type="dxa"/>
            <w:vAlign w:val="center"/>
          </w:tcPr>
          <w:p w14:paraId="0782756F" w14:textId="3CD0A8A8" w:rsidR="00B21547" w:rsidRDefault="00B21547" w:rsidP="00CC1A2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w:t>
            </w:r>
            <w:r w:rsidR="00CC1A29">
              <w:rPr>
                <w:rFonts w:ascii="Times New Roman" w:eastAsia="標楷體" w:hAnsi="Times New Roman" w:cs="Times New Roman"/>
                <w:sz w:val="24"/>
                <w:szCs w:val="24"/>
                <w:lang w:eastAsia="zh-HK"/>
              </w:rPr>
              <w:t>9</w:t>
            </w:r>
            <w:r>
              <w:rPr>
                <w:rFonts w:ascii="Times New Roman" w:eastAsia="標楷體" w:hAnsi="Times New Roman" w:cs="Times New Roman"/>
                <w:sz w:val="24"/>
                <w:szCs w:val="24"/>
                <w:lang w:eastAsia="zh-HK"/>
              </w:rPr>
              <w:t>.</w:t>
            </w:r>
            <w:r w:rsidR="00CC1A29">
              <w:rPr>
                <w:rFonts w:ascii="Times New Roman" w:eastAsia="標楷體" w:hAnsi="Times New Roman" w:cs="Times New Roman"/>
                <w:sz w:val="24"/>
                <w:szCs w:val="24"/>
                <w:lang w:eastAsia="zh-HK"/>
              </w:rPr>
              <w:t>169</w:t>
            </w:r>
            <w:r w:rsidR="0001414B">
              <w:rPr>
                <w:rFonts w:ascii="Times New Roman" w:eastAsia="標楷體" w:hAnsi="Times New Roman" w:cs="Times New Roman"/>
                <w:sz w:val="24"/>
                <w:szCs w:val="24"/>
                <w:lang w:eastAsia="zh-HK"/>
              </w:rPr>
              <w:t>**</w:t>
            </w:r>
          </w:p>
        </w:tc>
        <w:tc>
          <w:tcPr>
            <w:tcW w:w="1544" w:type="dxa"/>
            <w:vAlign w:val="center"/>
          </w:tcPr>
          <w:p w14:paraId="32DFE4BD" w14:textId="5594D8CD" w:rsidR="00B21547" w:rsidRDefault="00B21547" w:rsidP="00B2154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0.000</w:t>
            </w:r>
          </w:p>
        </w:tc>
      </w:tr>
    </w:tbl>
    <w:p w14:paraId="583F103D" w14:textId="7445DB1A" w:rsidR="008B51A5" w:rsidRPr="006E2899" w:rsidRDefault="00B21547" w:rsidP="006E2899">
      <w:pPr>
        <w:pStyle w:val="ListParagraph"/>
        <w:overflowPunct w:val="0"/>
        <w:snapToGrid w:val="0"/>
        <w:spacing w:before="20" w:after="0" w:line="240" w:lineRule="auto"/>
        <w:ind w:hanging="720"/>
        <w:jc w:val="both"/>
        <w:rPr>
          <w:rFonts w:ascii="Times New Roman" w:eastAsia="標楷體" w:hAnsi="Times New Roman" w:cs="Times New Roman"/>
          <w:sz w:val="16"/>
          <w:szCs w:val="18"/>
          <w:lang w:eastAsia="zh-HK"/>
        </w:rPr>
      </w:pPr>
      <w:r w:rsidRPr="006E2899">
        <w:rPr>
          <w:rFonts w:ascii="Times New Roman" w:eastAsia="標楷體" w:hAnsi="Times New Roman" w:cs="Times New Roman"/>
          <w:sz w:val="16"/>
          <w:szCs w:val="18"/>
          <w:lang w:eastAsia="zh-HK"/>
        </w:rPr>
        <w:t>Note</w:t>
      </w:r>
      <w:r w:rsidR="0001414B">
        <w:rPr>
          <w:rFonts w:ascii="Times New Roman" w:eastAsia="標楷體" w:hAnsi="Times New Roman" w:cs="Times New Roman"/>
          <w:sz w:val="16"/>
          <w:szCs w:val="18"/>
          <w:lang w:eastAsia="zh-HK"/>
        </w:rPr>
        <w:t>s</w:t>
      </w:r>
      <w:r w:rsidR="006E2899" w:rsidRPr="006E2899">
        <w:rPr>
          <w:rFonts w:ascii="Times New Roman" w:eastAsia="標楷體" w:hAnsi="Times New Roman" w:cs="Times New Roman"/>
          <w:sz w:val="16"/>
          <w:szCs w:val="18"/>
          <w:lang w:eastAsia="zh-HK"/>
        </w:rPr>
        <w:t xml:space="preserve"> (*</w:t>
      </w:r>
      <w:proofErr w:type="gramStart"/>
      <w:r w:rsidR="006E2899" w:rsidRPr="006E2899">
        <w:rPr>
          <w:rFonts w:ascii="Times New Roman" w:eastAsia="標楷體" w:hAnsi="Times New Roman" w:cs="Times New Roman"/>
          <w:sz w:val="16"/>
          <w:szCs w:val="18"/>
          <w:lang w:eastAsia="zh-HK"/>
        </w:rPr>
        <w:t>)</w:t>
      </w:r>
      <w:r w:rsidR="00AD6F7F">
        <w:rPr>
          <w:rFonts w:ascii="Times New Roman" w:eastAsia="標楷體" w:hAnsi="Times New Roman" w:cs="Times New Roman"/>
          <w:sz w:val="16"/>
          <w:szCs w:val="18"/>
          <w:lang w:eastAsia="zh-HK"/>
        </w:rPr>
        <w:t xml:space="preserve"> </w:t>
      </w:r>
      <w:r w:rsidR="006E2899" w:rsidRPr="006E2899">
        <w:rPr>
          <w:rFonts w:ascii="Times New Roman" w:eastAsia="標楷體" w:hAnsi="Times New Roman" w:cs="Times New Roman"/>
          <w:sz w:val="16"/>
          <w:szCs w:val="18"/>
          <w:lang w:eastAsia="zh-HK"/>
        </w:rPr>
        <w:t>:</w:t>
      </w:r>
      <w:proofErr w:type="gramEnd"/>
      <w:r w:rsidR="006E2899" w:rsidRPr="006E2899">
        <w:rPr>
          <w:rFonts w:ascii="Times New Roman" w:eastAsia="標楷體" w:hAnsi="Times New Roman" w:cs="Times New Roman"/>
          <w:sz w:val="16"/>
          <w:szCs w:val="18"/>
          <w:lang w:eastAsia="zh-HK"/>
        </w:rPr>
        <w:tab/>
      </w:r>
      <w:r w:rsidRPr="006E2899">
        <w:rPr>
          <w:rFonts w:ascii="Times New Roman" w:eastAsia="標楷體" w:hAnsi="Times New Roman" w:cs="Times New Roman"/>
          <w:sz w:val="16"/>
          <w:szCs w:val="18"/>
          <w:lang w:eastAsia="zh-HK"/>
        </w:rPr>
        <w:t xml:space="preserve">Tests are on the natural logarithm of the relevant </w:t>
      </w:r>
      <w:r w:rsidR="00CC1A29">
        <w:rPr>
          <w:rFonts w:ascii="Times New Roman" w:eastAsia="標楷體" w:hAnsi="Times New Roman" w:cs="Times New Roman"/>
          <w:sz w:val="16"/>
          <w:szCs w:val="18"/>
          <w:lang w:eastAsia="zh-HK"/>
        </w:rPr>
        <w:t>variable</w:t>
      </w:r>
      <w:r w:rsidRPr="006E2899">
        <w:rPr>
          <w:rFonts w:ascii="Times New Roman" w:eastAsia="標楷體" w:hAnsi="Times New Roman" w:cs="Times New Roman"/>
          <w:sz w:val="16"/>
          <w:szCs w:val="18"/>
          <w:lang w:eastAsia="zh-HK"/>
        </w:rPr>
        <w:t xml:space="preserve"> and include a time trend.</w:t>
      </w:r>
      <w:r w:rsidR="006E2899" w:rsidRPr="006E2899">
        <w:rPr>
          <w:rFonts w:ascii="Times New Roman" w:eastAsia="標楷體" w:hAnsi="Times New Roman" w:cs="Times New Roman"/>
          <w:sz w:val="16"/>
          <w:szCs w:val="18"/>
          <w:lang w:eastAsia="zh-HK"/>
        </w:rPr>
        <w:t xml:space="preserve">  The null hypothesis is the</w:t>
      </w:r>
      <w:r w:rsidR="006E2899">
        <w:rPr>
          <w:rFonts w:ascii="Times New Roman" w:eastAsia="標楷體" w:hAnsi="Times New Roman" w:cs="Times New Roman"/>
          <w:sz w:val="16"/>
          <w:szCs w:val="18"/>
          <w:lang w:eastAsia="zh-HK"/>
        </w:rPr>
        <w:t xml:space="preserve"> hypothesis that </w:t>
      </w:r>
      <w:r w:rsidR="006E2899" w:rsidRPr="00AD6F7F">
        <w:rPr>
          <w:rFonts w:ascii="Symbol" w:eastAsia="標楷體" w:hAnsi="Symbol" w:cs="Times New Roman"/>
          <w:sz w:val="16"/>
          <w:szCs w:val="18"/>
          <w:lang w:eastAsia="zh-HK"/>
        </w:rPr>
        <w:t></w:t>
      </w:r>
      <w:r w:rsidR="006E2899">
        <w:rPr>
          <w:rFonts w:ascii="Times New Roman" w:eastAsia="標楷體" w:hAnsi="Times New Roman" w:cs="Times New Roman"/>
          <w:sz w:val="16"/>
          <w:szCs w:val="18"/>
          <w:lang w:eastAsia="zh-HK"/>
        </w:rPr>
        <w:t xml:space="preserve"> = 1 in the relation </w:t>
      </w:r>
      <w:proofErr w:type="spellStart"/>
      <w:proofErr w:type="gramStart"/>
      <w:r w:rsidR="006E2899" w:rsidRPr="00AD6F7F">
        <w:rPr>
          <w:rFonts w:ascii="Times New Roman" w:eastAsia="標楷體" w:hAnsi="Times New Roman" w:cs="Times New Roman"/>
          <w:i/>
          <w:sz w:val="16"/>
          <w:szCs w:val="18"/>
          <w:lang w:eastAsia="zh-HK"/>
        </w:rPr>
        <w:t>y</w:t>
      </w:r>
      <w:r w:rsidR="006E2899" w:rsidRPr="00AD6F7F">
        <w:rPr>
          <w:rFonts w:ascii="Times New Roman" w:eastAsia="標楷體" w:hAnsi="Times New Roman" w:cs="Times New Roman"/>
          <w:i/>
          <w:sz w:val="16"/>
          <w:szCs w:val="18"/>
          <w:vertAlign w:val="subscript"/>
          <w:lang w:eastAsia="zh-HK"/>
        </w:rPr>
        <w:t>t</w:t>
      </w:r>
      <w:proofErr w:type="spellEnd"/>
      <w:proofErr w:type="gramEnd"/>
      <w:r w:rsidR="006E2899">
        <w:rPr>
          <w:rFonts w:ascii="Times New Roman" w:eastAsia="標楷體" w:hAnsi="Times New Roman" w:cs="Times New Roman"/>
          <w:sz w:val="16"/>
          <w:szCs w:val="18"/>
          <w:lang w:eastAsia="zh-HK"/>
        </w:rPr>
        <w:t xml:space="preserve"> = </w:t>
      </w:r>
      <w:r w:rsidR="006E2899" w:rsidRPr="00AD6F7F">
        <w:rPr>
          <w:rFonts w:ascii="Symbol" w:eastAsia="標楷體" w:hAnsi="Symbol" w:cs="Times New Roman"/>
          <w:sz w:val="16"/>
          <w:szCs w:val="18"/>
          <w:lang w:eastAsia="zh-HK"/>
        </w:rPr>
        <w:t></w:t>
      </w:r>
      <w:r w:rsidR="006E2899">
        <w:rPr>
          <w:rFonts w:ascii="Times New Roman" w:eastAsia="標楷體" w:hAnsi="Times New Roman" w:cs="Times New Roman"/>
          <w:sz w:val="16"/>
          <w:szCs w:val="18"/>
          <w:lang w:eastAsia="zh-HK"/>
        </w:rPr>
        <w:t xml:space="preserve"> + </w:t>
      </w:r>
      <w:r w:rsidR="006E2899" w:rsidRPr="00AD6F7F">
        <w:rPr>
          <w:rFonts w:ascii="Symbol" w:eastAsia="標楷體" w:hAnsi="Symbol" w:cs="Times New Roman"/>
          <w:sz w:val="16"/>
          <w:szCs w:val="18"/>
          <w:lang w:eastAsia="zh-HK"/>
        </w:rPr>
        <w:t></w:t>
      </w:r>
      <w:r w:rsidR="006E2899" w:rsidRPr="00AD6F7F">
        <w:rPr>
          <w:rFonts w:ascii="Times New Roman" w:eastAsia="標楷體" w:hAnsi="Times New Roman" w:cs="Times New Roman"/>
          <w:i/>
          <w:sz w:val="16"/>
          <w:szCs w:val="18"/>
          <w:lang w:eastAsia="zh-HK"/>
        </w:rPr>
        <w:t>y</w:t>
      </w:r>
      <w:r w:rsidR="006E2899" w:rsidRPr="00AD6F7F">
        <w:rPr>
          <w:rFonts w:ascii="Times New Roman" w:eastAsia="標楷體" w:hAnsi="Times New Roman" w:cs="Times New Roman"/>
          <w:i/>
          <w:sz w:val="16"/>
          <w:szCs w:val="18"/>
          <w:vertAlign w:val="subscript"/>
          <w:lang w:eastAsia="zh-HK"/>
        </w:rPr>
        <w:t>t-1</w:t>
      </w:r>
      <w:r w:rsidR="006E2899" w:rsidRPr="00AD6F7F">
        <w:rPr>
          <w:rFonts w:ascii="Times New Roman" w:eastAsia="標楷體" w:hAnsi="Times New Roman" w:cs="Times New Roman"/>
          <w:sz w:val="16"/>
          <w:szCs w:val="18"/>
          <w:vertAlign w:val="subscript"/>
          <w:lang w:eastAsia="zh-HK"/>
        </w:rPr>
        <w:t xml:space="preserve"> </w:t>
      </w:r>
      <w:r w:rsidR="006E2899">
        <w:rPr>
          <w:rFonts w:ascii="Times New Roman" w:eastAsia="標楷體" w:hAnsi="Times New Roman" w:cs="Times New Roman"/>
          <w:sz w:val="16"/>
          <w:szCs w:val="18"/>
          <w:lang w:eastAsia="zh-HK"/>
        </w:rPr>
        <w:t xml:space="preserve">+ </w:t>
      </w:r>
      <w:r w:rsidR="006E2899" w:rsidRPr="00AD6F7F">
        <w:rPr>
          <w:rFonts w:ascii="Symbol" w:eastAsia="標楷體" w:hAnsi="Symbol" w:cs="Times New Roman"/>
          <w:sz w:val="16"/>
          <w:szCs w:val="18"/>
          <w:lang w:eastAsia="zh-HK"/>
        </w:rPr>
        <w:t></w:t>
      </w:r>
      <w:r w:rsidR="006E2899" w:rsidRPr="00AD6F7F">
        <w:rPr>
          <w:rFonts w:ascii="Times New Roman" w:eastAsia="標楷體" w:hAnsi="Times New Roman" w:cs="Times New Roman"/>
          <w:i/>
          <w:sz w:val="16"/>
          <w:szCs w:val="18"/>
          <w:lang w:eastAsia="zh-HK"/>
        </w:rPr>
        <w:t>t</w:t>
      </w:r>
      <w:r w:rsidR="00AD6F7F">
        <w:rPr>
          <w:rFonts w:ascii="Times New Roman" w:eastAsia="標楷體" w:hAnsi="Times New Roman" w:cs="Times New Roman"/>
          <w:i/>
          <w:sz w:val="16"/>
          <w:szCs w:val="18"/>
          <w:lang w:eastAsia="zh-HK"/>
        </w:rPr>
        <w:t xml:space="preserve"> + </w:t>
      </w:r>
      <w:r w:rsidR="00AD6F7F" w:rsidRPr="00AD6F7F">
        <w:rPr>
          <w:rFonts w:ascii="Times New Roman" w:eastAsia="標楷體" w:hAnsi="Times New Roman" w:cs="Times New Roman"/>
          <w:sz w:val="16"/>
          <w:szCs w:val="18"/>
          <w:lang w:eastAsia="zh-HK"/>
        </w:rPr>
        <w:t>ϵ</w:t>
      </w:r>
      <w:proofErr w:type="spellStart"/>
      <w:r w:rsidR="00AD6F7F" w:rsidRPr="00AD6F7F">
        <w:rPr>
          <w:rFonts w:ascii="Times New Roman" w:eastAsia="標楷體" w:hAnsi="Times New Roman" w:cs="Times New Roman"/>
          <w:i/>
          <w:sz w:val="16"/>
          <w:szCs w:val="18"/>
          <w:vertAlign w:val="subscript"/>
          <w:lang w:eastAsia="zh-HK"/>
        </w:rPr>
        <w:t>i</w:t>
      </w:r>
      <w:proofErr w:type="spellEnd"/>
      <w:r w:rsidR="006E2899">
        <w:rPr>
          <w:rFonts w:ascii="Times New Roman" w:eastAsia="標楷體" w:hAnsi="Times New Roman" w:cs="Times New Roman"/>
          <w:sz w:val="16"/>
          <w:szCs w:val="18"/>
          <w:lang w:eastAsia="zh-HK"/>
        </w:rPr>
        <w:t xml:space="preserve">, where </w:t>
      </w:r>
      <w:proofErr w:type="spellStart"/>
      <w:r w:rsidR="006E2899" w:rsidRPr="00AD6F7F">
        <w:rPr>
          <w:rFonts w:ascii="Times New Roman" w:eastAsia="標楷體" w:hAnsi="Times New Roman" w:cs="Times New Roman"/>
          <w:i/>
          <w:sz w:val="16"/>
          <w:szCs w:val="18"/>
          <w:lang w:eastAsia="zh-HK"/>
        </w:rPr>
        <w:t>y</w:t>
      </w:r>
      <w:r w:rsidR="006E2899" w:rsidRPr="00AD6F7F">
        <w:rPr>
          <w:rFonts w:ascii="Times New Roman" w:eastAsia="標楷體" w:hAnsi="Times New Roman" w:cs="Times New Roman"/>
          <w:i/>
          <w:sz w:val="16"/>
          <w:szCs w:val="18"/>
          <w:vertAlign w:val="subscript"/>
          <w:lang w:eastAsia="zh-HK"/>
        </w:rPr>
        <w:t>t</w:t>
      </w:r>
      <w:proofErr w:type="spellEnd"/>
      <w:r w:rsidR="006E2899">
        <w:rPr>
          <w:rFonts w:ascii="Times New Roman" w:eastAsia="標楷體" w:hAnsi="Times New Roman" w:cs="Times New Roman"/>
          <w:sz w:val="16"/>
          <w:szCs w:val="18"/>
          <w:lang w:eastAsia="zh-HK"/>
        </w:rPr>
        <w:t xml:space="preserve"> is the</w:t>
      </w:r>
      <w:r w:rsidR="00AD6F7F">
        <w:rPr>
          <w:rFonts w:ascii="Times New Roman" w:eastAsia="標楷體" w:hAnsi="Times New Roman" w:cs="Times New Roman"/>
          <w:sz w:val="16"/>
          <w:szCs w:val="18"/>
          <w:lang w:eastAsia="zh-HK"/>
        </w:rPr>
        <w:t xml:space="preserve"> variable to be tested.</w:t>
      </w:r>
    </w:p>
    <w:p w14:paraId="157A7A7C" w14:textId="7E446136" w:rsidR="0001414B" w:rsidRDefault="0001414B" w:rsidP="008B51A5">
      <w:pPr>
        <w:pStyle w:val="ListParagraph"/>
        <w:overflowPunct w:val="0"/>
        <w:snapToGrid w:val="0"/>
        <w:spacing w:after="0" w:line="300" w:lineRule="auto"/>
        <w:ind w:left="0"/>
        <w:jc w:val="both"/>
        <w:rPr>
          <w:rFonts w:ascii="Times New Roman" w:eastAsia="標楷體" w:hAnsi="Times New Roman" w:cs="Times New Roman"/>
          <w:sz w:val="16"/>
          <w:szCs w:val="18"/>
          <w:lang w:eastAsia="zh-HK"/>
        </w:rPr>
      </w:pPr>
      <w:r>
        <w:rPr>
          <w:rFonts w:ascii="Times New Roman" w:eastAsia="標楷體" w:hAnsi="Times New Roman" w:cs="Times New Roman"/>
          <w:sz w:val="16"/>
          <w:szCs w:val="18"/>
          <w:lang w:eastAsia="zh-HK"/>
        </w:rPr>
        <w:t xml:space="preserve">        (**</w:t>
      </w:r>
      <w:proofErr w:type="gramStart"/>
      <w:r>
        <w:rPr>
          <w:rFonts w:ascii="Times New Roman" w:eastAsia="標楷體" w:hAnsi="Times New Roman" w:cs="Times New Roman"/>
          <w:sz w:val="16"/>
          <w:szCs w:val="18"/>
          <w:lang w:eastAsia="zh-HK"/>
        </w:rPr>
        <w:t>) :</w:t>
      </w:r>
      <w:proofErr w:type="gramEnd"/>
      <w:r>
        <w:rPr>
          <w:rFonts w:ascii="Times New Roman" w:eastAsia="標楷體" w:hAnsi="Times New Roman" w:cs="Times New Roman"/>
          <w:sz w:val="16"/>
          <w:szCs w:val="18"/>
          <w:lang w:eastAsia="zh-HK"/>
        </w:rPr>
        <w:tab/>
        <w:t>The null hypothesis is rejected at the 5% level.</w:t>
      </w:r>
    </w:p>
    <w:p w14:paraId="5F747C04" w14:textId="77777777" w:rsidR="0001414B" w:rsidRPr="000B0446" w:rsidRDefault="0001414B" w:rsidP="008B51A5">
      <w:pPr>
        <w:pStyle w:val="ListParagraph"/>
        <w:overflowPunct w:val="0"/>
        <w:snapToGrid w:val="0"/>
        <w:spacing w:after="0" w:line="300" w:lineRule="auto"/>
        <w:ind w:left="0"/>
        <w:jc w:val="both"/>
        <w:rPr>
          <w:rFonts w:ascii="Times New Roman" w:eastAsia="標楷體" w:hAnsi="Times New Roman" w:cs="Times New Roman"/>
          <w:sz w:val="24"/>
          <w:szCs w:val="18"/>
          <w:lang w:eastAsia="zh-HK"/>
        </w:rPr>
      </w:pPr>
    </w:p>
    <w:p w14:paraId="38533200" w14:textId="5AD3FC9E" w:rsidR="00E03FA2" w:rsidRPr="00E03FA2" w:rsidRDefault="00A37A4E" w:rsidP="00E03FA2">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b/>
          <w:sz w:val="24"/>
          <w:szCs w:val="24"/>
          <w:lang w:eastAsia="zh-HK"/>
        </w:rPr>
      </w:pPr>
      <w:r>
        <w:rPr>
          <w:rFonts w:ascii="Times New Roman" w:eastAsia="標楷體" w:hAnsi="Times New Roman" w:cs="Times New Roman"/>
          <w:sz w:val="24"/>
          <w:szCs w:val="24"/>
          <w:lang w:eastAsia="zh-HK"/>
        </w:rPr>
        <w:t xml:space="preserve">Since the variables are both non-stationary, and </w:t>
      </w:r>
      <w:r w:rsidRPr="00A37A4E">
        <w:rPr>
          <w:rFonts w:ascii="Times New Roman" w:eastAsia="標楷體" w:hAnsi="Times New Roman" w:cs="Times New Roman"/>
          <w:b/>
          <w:sz w:val="24"/>
          <w:szCs w:val="24"/>
          <w:lang w:eastAsia="zh-HK"/>
        </w:rPr>
        <w:t>Chart 1</w:t>
      </w:r>
      <w:r>
        <w:rPr>
          <w:rFonts w:ascii="Times New Roman" w:eastAsia="標楷體" w:hAnsi="Times New Roman" w:cs="Times New Roman"/>
          <w:sz w:val="24"/>
          <w:szCs w:val="24"/>
          <w:lang w:eastAsia="zh-HK"/>
        </w:rPr>
        <w:t xml:space="preserve"> showed that they tend to track each other, they may be cointegrated.  </w:t>
      </w:r>
      <w:r w:rsidR="00071E09">
        <w:rPr>
          <w:rFonts w:ascii="Times New Roman" w:eastAsia="標楷體" w:hAnsi="Times New Roman" w:cs="Times New Roman"/>
          <w:sz w:val="24"/>
          <w:szCs w:val="24"/>
          <w:lang w:eastAsia="zh-HK"/>
        </w:rPr>
        <w:t>T</w:t>
      </w:r>
      <w:r>
        <w:rPr>
          <w:rFonts w:ascii="Times New Roman" w:eastAsia="標楷體" w:hAnsi="Times New Roman" w:cs="Times New Roman"/>
          <w:sz w:val="24"/>
          <w:szCs w:val="24"/>
          <w:lang w:eastAsia="zh-HK"/>
        </w:rPr>
        <w:t xml:space="preserve">o </w:t>
      </w:r>
      <w:r w:rsidR="00694F1C">
        <w:rPr>
          <w:rFonts w:ascii="Times New Roman" w:eastAsia="標楷體" w:hAnsi="Times New Roman" w:cs="Times New Roman"/>
          <w:sz w:val="24"/>
          <w:szCs w:val="24"/>
          <w:lang w:eastAsia="zh-HK"/>
        </w:rPr>
        <w:t>see if they are</w:t>
      </w:r>
      <w:r>
        <w:rPr>
          <w:rFonts w:ascii="Times New Roman" w:eastAsia="標楷體" w:hAnsi="Times New Roman" w:cs="Times New Roman"/>
          <w:sz w:val="24"/>
          <w:szCs w:val="24"/>
          <w:lang w:eastAsia="zh-HK"/>
        </w:rPr>
        <w:t xml:space="preserve">, </w:t>
      </w:r>
      <w:r w:rsidRPr="00A37A4E">
        <w:rPr>
          <w:rFonts w:ascii="Times New Roman" w:eastAsia="標楷體" w:hAnsi="Times New Roman" w:cs="Times New Roman"/>
          <w:b/>
          <w:sz w:val="24"/>
          <w:szCs w:val="24"/>
          <w:lang w:eastAsia="zh-HK"/>
        </w:rPr>
        <w:t>Table 2</w:t>
      </w:r>
      <w:r>
        <w:rPr>
          <w:rFonts w:ascii="Times New Roman" w:eastAsia="標楷體" w:hAnsi="Times New Roman" w:cs="Times New Roman"/>
          <w:sz w:val="24"/>
          <w:szCs w:val="24"/>
          <w:lang w:eastAsia="zh-HK"/>
        </w:rPr>
        <w:t xml:space="preserve"> shows the results of</w:t>
      </w:r>
      <w:r w:rsidR="00C754FC">
        <w:rPr>
          <w:rFonts w:ascii="Times New Roman" w:eastAsia="標楷體" w:hAnsi="Times New Roman" w:cs="Times New Roman"/>
          <w:sz w:val="24"/>
          <w:szCs w:val="24"/>
          <w:lang w:eastAsia="zh-HK"/>
        </w:rPr>
        <w:t xml:space="preserve"> augmented Engle-Granger</w:t>
      </w:r>
      <w:r w:rsidR="007047F9">
        <w:rPr>
          <w:rStyle w:val="FootnoteReference"/>
          <w:rFonts w:ascii="Times New Roman" w:eastAsia="標楷體" w:hAnsi="Times New Roman" w:cs="Times New Roman"/>
          <w:sz w:val="24"/>
          <w:szCs w:val="24"/>
          <w:lang w:eastAsia="zh-HK"/>
        </w:rPr>
        <w:footnoteReference w:id="16"/>
      </w:r>
      <w:r w:rsidR="00C754FC">
        <w:rPr>
          <w:rFonts w:ascii="Times New Roman" w:eastAsia="標楷體" w:hAnsi="Times New Roman" w:cs="Times New Roman"/>
          <w:sz w:val="24"/>
          <w:szCs w:val="24"/>
          <w:lang w:eastAsia="zh-HK"/>
        </w:rPr>
        <w:t xml:space="preserve"> test</w:t>
      </w:r>
      <w:r w:rsidR="00BA1C38">
        <w:rPr>
          <w:rFonts w:ascii="Times New Roman" w:eastAsia="標楷體" w:hAnsi="Times New Roman" w:cs="Times New Roman"/>
          <w:sz w:val="24"/>
          <w:szCs w:val="24"/>
          <w:lang w:eastAsia="zh-HK"/>
        </w:rPr>
        <w:t>s</w:t>
      </w:r>
      <w:r w:rsidR="00C754FC">
        <w:rPr>
          <w:rFonts w:ascii="Times New Roman" w:eastAsia="標楷體" w:hAnsi="Times New Roman" w:cs="Times New Roman"/>
          <w:sz w:val="24"/>
          <w:szCs w:val="24"/>
          <w:lang w:eastAsia="zh-HK"/>
        </w:rPr>
        <w:t xml:space="preserve"> with six lags as suggested by the Bayesian information criterion</w:t>
      </w:r>
      <w:r w:rsidR="00D95930">
        <w:rPr>
          <w:rFonts w:ascii="Times New Roman" w:eastAsia="標楷體" w:hAnsi="Times New Roman" w:cs="Times New Roman"/>
          <w:sz w:val="24"/>
          <w:szCs w:val="24"/>
          <w:lang w:eastAsia="zh-HK"/>
        </w:rPr>
        <w:t>.</w:t>
      </w:r>
      <w:r w:rsidR="007047F9">
        <w:rPr>
          <w:rFonts w:ascii="Times New Roman" w:eastAsia="標楷體" w:hAnsi="Times New Roman" w:cs="Times New Roman"/>
          <w:sz w:val="24"/>
          <w:szCs w:val="24"/>
          <w:lang w:eastAsia="zh-HK"/>
        </w:rPr>
        <w:t xml:space="preserve">  The Engle-Granger test is based on the residuals from a regression of </w:t>
      </w:r>
      <w:r w:rsidR="0019542B">
        <w:rPr>
          <w:rFonts w:ascii="Times New Roman" w:eastAsia="標楷體" w:hAnsi="Times New Roman" w:cs="Times New Roman"/>
          <w:sz w:val="24"/>
          <w:szCs w:val="24"/>
          <w:lang w:eastAsia="zh-HK"/>
        </w:rPr>
        <w:t>one of the variables on the other</w:t>
      </w:r>
      <w:r w:rsidR="007047F9">
        <w:rPr>
          <w:rFonts w:ascii="Times New Roman" w:eastAsia="標楷體" w:hAnsi="Times New Roman" w:cs="Times New Roman"/>
          <w:sz w:val="24"/>
          <w:szCs w:val="24"/>
          <w:lang w:eastAsia="zh-HK"/>
        </w:rPr>
        <w:t xml:space="preserve">.  </w:t>
      </w:r>
      <w:r w:rsidR="0059470F">
        <w:rPr>
          <w:rFonts w:ascii="Times New Roman" w:eastAsia="標楷體" w:hAnsi="Times New Roman" w:cs="Times New Roman"/>
          <w:sz w:val="24"/>
          <w:szCs w:val="24"/>
          <w:lang w:eastAsia="zh-HK"/>
        </w:rPr>
        <w:t>I</w:t>
      </w:r>
      <w:r w:rsidR="00E17B30">
        <w:rPr>
          <w:rFonts w:ascii="Times New Roman" w:eastAsia="標楷體" w:hAnsi="Times New Roman" w:cs="Times New Roman"/>
          <w:sz w:val="24"/>
          <w:szCs w:val="24"/>
          <w:lang w:eastAsia="zh-HK"/>
        </w:rPr>
        <w:t xml:space="preserve">f the null hypothesis that the residuals are </w:t>
      </w:r>
      <w:proofErr w:type="gramStart"/>
      <w:r w:rsidR="00E17B30">
        <w:rPr>
          <w:rFonts w:ascii="Times New Roman" w:eastAsia="標楷體" w:hAnsi="Times New Roman" w:cs="Times New Roman"/>
          <w:sz w:val="24"/>
          <w:szCs w:val="24"/>
          <w:lang w:eastAsia="zh-HK"/>
        </w:rPr>
        <w:t>I(</w:t>
      </w:r>
      <w:proofErr w:type="gramEnd"/>
      <w:r w:rsidR="00E17B30">
        <w:rPr>
          <w:rFonts w:ascii="Times New Roman" w:eastAsia="標楷體" w:hAnsi="Times New Roman" w:cs="Times New Roman"/>
          <w:sz w:val="24"/>
          <w:szCs w:val="24"/>
          <w:lang w:eastAsia="zh-HK"/>
        </w:rPr>
        <w:t>1) is not rejected</w:t>
      </w:r>
      <w:r w:rsidR="0059470F">
        <w:rPr>
          <w:rFonts w:ascii="Times New Roman" w:eastAsia="標楷體" w:hAnsi="Times New Roman" w:cs="Times New Roman"/>
          <w:sz w:val="24"/>
          <w:szCs w:val="24"/>
          <w:lang w:eastAsia="zh-HK"/>
        </w:rPr>
        <w:t>, the</w:t>
      </w:r>
      <w:r w:rsidR="00E17B30">
        <w:rPr>
          <w:rFonts w:ascii="Times New Roman" w:eastAsia="標楷體" w:hAnsi="Times New Roman" w:cs="Times New Roman"/>
          <w:sz w:val="24"/>
          <w:szCs w:val="24"/>
          <w:lang w:eastAsia="zh-HK"/>
        </w:rPr>
        <w:t>n the null hypothesis of no cointegration is not rejected.</w:t>
      </w:r>
      <w:r w:rsidR="00BA1C38">
        <w:rPr>
          <w:rFonts w:ascii="Times New Roman" w:eastAsia="標楷體" w:hAnsi="Times New Roman" w:cs="Times New Roman"/>
          <w:sz w:val="24"/>
          <w:szCs w:val="24"/>
          <w:lang w:eastAsia="zh-HK"/>
        </w:rPr>
        <w:t xml:space="preserve">  </w:t>
      </w:r>
      <w:r w:rsidR="0059470F">
        <w:rPr>
          <w:rFonts w:ascii="Times New Roman" w:eastAsia="標楷體" w:hAnsi="Times New Roman" w:cs="Times New Roman"/>
          <w:sz w:val="24"/>
          <w:szCs w:val="24"/>
          <w:lang w:eastAsia="zh-HK"/>
        </w:rPr>
        <w:t xml:space="preserve">Compared to the </w:t>
      </w:r>
      <w:r w:rsidR="0019542B">
        <w:rPr>
          <w:rFonts w:ascii="Times New Roman" w:eastAsia="標楷體" w:hAnsi="Times New Roman" w:cs="Times New Roman"/>
          <w:sz w:val="24"/>
          <w:szCs w:val="24"/>
          <w:lang w:eastAsia="zh-HK"/>
        </w:rPr>
        <w:t xml:space="preserve">alternative </w:t>
      </w:r>
      <w:r w:rsidR="0059470F">
        <w:rPr>
          <w:rFonts w:ascii="Times New Roman" w:eastAsia="標楷體" w:hAnsi="Times New Roman" w:cs="Times New Roman"/>
          <w:sz w:val="24"/>
          <w:szCs w:val="24"/>
          <w:lang w:eastAsia="zh-HK"/>
        </w:rPr>
        <w:t>Johansen</w:t>
      </w:r>
      <w:r w:rsidR="0059470F">
        <w:rPr>
          <w:rStyle w:val="FootnoteReference"/>
          <w:rFonts w:ascii="Times New Roman" w:eastAsia="標楷體" w:hAnsi="Times New Roman" w:cs="Times New Roman"/>
          <w:sz w:val="24"/>
          <w:szCs w:val="24"/>
          <w:lang w:eastAsia="zh-HK"/>
        </w:rPr>
        <w:footnoteReference w:id="17"/>
      </w:r>
      <w:r w:rsidR="0059470F">
        <w:rPr>
          <w:rFonts w:ascii="Times New Roman" w:eastAsia="標楷體" w:hAnsi="Times New Roman" w:cs="Times New Roman"/>
          <w:sz w:val="24"/>
          <w:szCs w:val="24"/>
          <w:lang w:eastAsia="zh-HK"/>
        </w:rPr>
        <w:t xml:space="preserve"> test, t</w:t>
      </w:r>
      <w:r w:rsidR="00BA1C38">
        <w:rPr>
          <w:rFonts w:ascii="Times New Roman" w:eastAsia="標楷體" w:hAnsi="Times New Roman" w:cs="Times New Roman"/>
          <w:sz w:val="24"/>
          <w:szCs w:val="24"/>
          <w:lang w:eastAsia="zh-HK"/>
        </w:rPr>
        <w:t>he Engle-Granger test imposes fewer distributional assumptions</w:t>
      </w:r>
      <w:r w:rsidR="0019542B">
        <w:rPr>
          <w:rFonts w:ascii="Times New Roman" w:eastAsia="標楷體" w:hAnsi="Times New Roman" w:cs="Times New Roman"/>
          <w:sz w:val="24"/>
          <w:szCs w:val="24"/>
          <w:lang w:eastAsia="zh-HK"/>
        </w:rPr>
        <w:t>,</w:t>
      </w:r>
      <w:r w:rsidR="00BA1C38">
        <w:rPr>
          <w:rFonts w:ascii="Times New Roman" w:eastAsia="標楷體" w:hAnsi="Times New Roman" w:cs="Times New Roman"/>
          <w:sz w:val="24"/>
          <w:szCs w:val="24"/>
          <w:lang w:eastAsia="zh-HK"/>
        </w:rPr>
        <w:t xml:space="preserve"> </w:t>
      </w:r>
      <w:r w:rsidR="0059470F">
        <w:rPr>
          <w:rFonts w:ascii="Times New Roman" w:eastAsia="標楷體" w:hAnsi="Times New Roman" w:cs="Times New Roman"/>
          <w:sz w:val="24"/>
          <w:szCs w:val="24"/>
          <w:lang w:eastAsia="zh-HK"/>
        </w:rPr>
        <w:t xml:space="preserve">but </w:t>
      </w:r>
      <w:r w:rsidR="0019542B">
        <w:rPr>
          <w:rFonts w:ascii="Times New Roman" w:eastAsia="標楷體" w:hAnsi="Times New Roman" w:cs="Times New Roman"/>
          <w:sz w:val="24"/>
          <w:szCs w:val="24"/>
          <w:lang w:eastAsia="zh-HK"/>
        </w:rPr>
        <w:t xml:space="preserve">it </w:t>
      </w:r>
      <w:r w:rsidR="0059470F">
        <w:rPr>
          <w:rFonts w:ascii="Times New Roman" w:eastAsia="標楷體" w:hAnsi="Times New Roman" w:cs="Times New Roman"/>
          <w:sz w:val="24"/>
          <w:szCs w:val="24"/>
          <w:lang w:eastAsia="zh-HK"/>
        </w:rPr>
        <w:t xml:space="preserve">cannot be used to infer the number of linearly independent cointegrating vectors.  The latter is not an issue in a two-variable </w:t>
      </w:r>
      <w:proofErr w:type="gramStart"/>
      <w:r w:rsidR="0019542B">
        <w:rPr>
          <w:rFonts w:ascii="Times New Roman" w:eastAsia="標楷體" w:hAnsi="Times New Roman" w:cs="Times New Roman"/>
          <w:sz w:val="24"/>
          <w:szCs w:val="24"/>
          <w:lang w:eastAsia="zh-HK"/>
        </w:rPr>
        <w:t>I(</w:t>
      </w:r>
      <w:proofErr w:type="gramEnd"/>
      <w:r w:rsidR="0019542B">
        <w:rPr>
          <w:rFonts w:ascii="Times New Roman" w:eastAsia="標楷體" w:hAnsi="Times New Roman" w:cs="Times New Roman"/>
          <w:sz w:val="24"/>
          <w:szCs w:val="24"/>
          <w:lang w:eastAsia="zh-HK"/>
        </w:rPr>
        <w:t xml:space="preserve">1) </w:t>
      </w:r>
      <w:r w:rsidR="0059470F">
        <w:rPr>
          <w:rFonts w:ascii="Times New Roman" w:eastAsia="標楷體" w:hAnsi="Times New Roman" w:cs="Times New Roman"/>
          <w:sz w:val="24"/>
          <w:szCs w:val="24"/>
          <w:lang w:eastAsia="zh-HK"/>
        </w:rPr>
        <w:t>system where</w:t>
      </w:r>
      <w:r w:rsidR="0019542B">
        <w:rPr>
          <w:rFonts w:ascii="Times New Roman" w:eastAsia="標楷體" w:hAnsi="Times New Roman" w:cs="Times New Roman"/>
          <w:sz w:val="24"/>
          <w:szCs w:val="24"/>
          <w:lang w:eastAsia="zh-HK"/>
        </w:rPr>
        <w:t xml:space="preserve"> there can be at most one such vector.</w:t>
      </w:r>
    </w:p>
    <w:p w14:paraId="3BD332C4" w14:textId="1EF6ABD7" w:rsidR="00E17B30" w:rsidRPr="00E17B30" w:rsidRDefault="00E17B30" w:rsidP="00C51474">
      <w:pPr>
        <w:spacing w:after="120"/>
        <w:jc w:val="center"/>
        <w:rPr>
          <w:rFonts w:ascii="Times New Roman" w:hAnsi="Times New Roman" w:cs="Times New Roman"/>
          <w:b/>
          <w:sz w:val="24"/>
          <w:szCs w:val="26"/>
        </w:rPr>
      </w:pPr>
      <w:r w:rsidRPr="00E17B30">
        <w:rPr>
          <w:rFonts w:ascii="Times New Roman" w:hAnsi="Times New Roman" w:cs="Times New Roman"/>
          <w:b/>
          <w:sz w:val="24"/>
          <w:szCs w:val="26"/>
        </w:rPr>
        <w:lastRenderedPageBreak/>
        <w:t xml:space="preserve">Table </w:t>
      </w:r>
      <w:r>
        <w:rPr>
          <w:rFonts w:ascii="Times New Roman" w:hAnsi="Times New Roman" w:cs="Times New Roman"/>
          <w:b/>
          <w:sz w:val="24"/>
          <w:szCs w:val="26"/>
        </w:rPr>
        <w:t>2</w:t>
      </w:r>
      <w:r w:rsidRPr="00E17B30">
        <w:rPr>
          <w:rFonts w:ascii="Times New Roman" w:hAnsi="Times New Roman" w:cs="Times New Roman"/>
          <w:b/>
          <w:sz w:val="24"/>
          <w:szCs w:val="26"/>
        </w:rPr>
        <w:t xml:space="preserve">: </w:t>
      </w:r>
      <w:r>
        <w:rPr>
          <w:rFonts w:ascii="Times New Roman" w:hAnsi="Times New Roman" w:cs="Times New Roman"/>
          <w:b/>
          <w:sz w:val="24"/>
          <w:szCs w:val="26"/>
        </w:rPr>
        <w:t>Engle-Granger Cointegration Test</w:t>
      </w:r>
      <w:r w:rsidR="00BA1C38">
        <w:rPr>
          <w:rFonts w:ascii="Times New Roman" w:hAnsi="Times New Roman" w:cs="Times New Roman"/>
          <w:b/>
          <w:sz w:val="24"/>
          <w:szCs w:val="26"/>
        </w:rPr>
        <w:t>s</w:t>
      </w:r>
      <w:r>
        <w:rPr>
          <w:rFonts w:ascii="Times New Roman" w:hAnsi="Times New Roman" w:cs="Times New Roman"/>
          <w:b/>
          <w:sz w:val="24"/>
          <w:szCs w:val="26"/>
        </w:rPr>
        <w:t>*</w:t>
      </w:r>
    </w:p>
    <w:tbl>
      <w:tblPr>
        <w:tblStyle w:val="TableGrid"/>
        <w:tblW w:w="0" w:type="auto"/>
        <w:tblLook w:val="04A0" w:firstRow="1" w:lastRow="0" w:firstColumn="1" w:lastColumn="0" w:noHBand="0" w:noVBand="1"/>
      </w:tblPr>
      <w:tblGrid>
        <w:gridCol w:w="2122"/>
        <w:gridCol w:w="1543"/>
        <w:gridCol w:w="1544"/>
        <w:gridCol w:w="1543"/>
        <w:gridCol w:w="1544"/>
      </w:tblGrid>
      <w:tr w:rsidR="00BA1C38" w14:paraId="7883F37A" w14:textId="77777777" w:rsidTr="00E70309">
        <w:trPr>
          <w:trHeight w:val="469"/>
        </w:trPr>
        <w:tc>
          <w:tcPr>
            <w:tcW w:w="2122" w:type="dxa"/>
            <w:vMerge w:val="restart"/>
            <w:shd w:val="clear" w:color="auto" w:fill="F2F2F2" w:themeFill="background1" w:themeFillShade="F2"/>
            <w:vAlign w:val="center"/>
          </w:tcPr>
          <w:p w14:paraId="5A3EF487" w14:textId="77777777" w:rsidR="00BA1C38" w:rsidRDefault="00BA1C38" w:rsidP="00FF0E07">
            <w:pPr>
              <w:pStyle w:val="ListParagraph"/>
              <w:overflowPunct w:val="0"/>
              <w:snapToGrid w:val="0"/>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Dependent</w:t>
            </w:r>
          </w:p>
          <w:p w14:paraId="304F5D59" w14:textId="2872E16E" w:rsidR="00BA1C38" w:rsidRDefault="00BA1C38" w:rsidP="00FF0E07">
            <w:pPr>
              <w:pStyle w:val="ListParagraph"/>
              <w:overflowPunct w:val="0"/>
              <w:snapToGrid w:val="0"/>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Variable</w:t>
            </w:r>
          </w:p>
        </w:tc>
        <w:tc>
          <w:tcPr>
            <w:tcW w:w="1543" w:type="dxa"/>
            <w:shd w:val="clear" w:color="auto" w:fill="F2F2F2" w:themeFill="background1" w:themeFillShade="F2"/>
            <w:vAlign w:val="center"/>
          </w:tcPr>
          <w:p w14:paraId="41FEF85B" w14:textId="5BAE6EFF" w:rsidR="00BA1C38" w:rsidRDefault="00BA1C38" w:rsidP="00FF0E0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Statistic</w:t>
            </w:r>
          </w:p>
        </w:tc>
        <w:tc>
          <w:tcPr>
            <w:tcW w:w="4631" w:type="dxa"/>
            <w:gridSpan w:val="3"/>
            <w:shd w:val="clear" w:color="auto" w:fill="F2F2F2" w:themeFill="background1" w:themeFillShade="F2"/>
            <w:vAlign w:val="center"/>
          </w:tcPr>
          <w:p w14:paraId="3F95FFD2" w14:textId="770F3E60" w:rsidR="00BA1C38" w:rsidRDefault="00BA1C38" w:rsidP="00FF0E0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Critical Values</w:t>
            </w:r>
          </w:p>
        </w:tc>
      </w:tr>
      <w:tr w:rsidR="00E17B30" w14:paraId="2BCFFF2A" w14:textId="77777777" w:rsidTr="00FF0E07">
        <w:trPr>
          <w:trHeight w:val="469"/>
        </w:trPr>
        <w:tc>
          <w:tcPr>
            <w:tcW w:w="2122" w:type="dxa"/>
            <w:vMerge/>
            <w:tcBorders>
              <w:bottom w:val="single" w:sz="8" w:space="0" w:color="auto"/>
            </w:tcBorders>
            <w:shd w:val="clear" w:color="auto" w:fill="F2F2F2" w:themeFill="background1" w:themeFillShade="F2"/>
          </w:tcPr>
          <w:p w14:paraId="79208781" w14:textId="77777777" w:rsidR="00E17B30" w:rsidRDefault="00E17B30" w:rsidP="00FF0E07">
            <w:pPr>
              <w:pStyle w:val="ListParagraph"/>
              <w:overflowPunct w:val="0"/>
              <w:snapToGrid w:val="0"/>
              <w:spacing w:line="300" w:lineRule="auto"/>
              <w:ind w:left="0"/>
              <w:jc w:val="both"/>
              <w:rPr>
                <w:rFonts w:ascii="Times New Roman" w:eastAsia="標楷體" w:hAnsi="Times New Roman" w:cs="Times New Roman"/>
                <w:sz w:val="24"/>
                <w:szCs w:val="24"/>
                <w:lang w:eastAsia="zh-HK"/>
              </w:rPr>
            </w:pPr>
          </w:p>
        </w:tc>
        <w:tc>
          <w:tcPr>
            <w:tcW w:w="1543" w:type="dxa"/>
            <w:tcBorders>
              <w:bottom w:val="single" w:sz="8" w:space="0" w:color="auto"/>
            </w:tcBorders>
            <w:shd w:val="clear" w:color="auto" w:fill="F2F2F2" w:themeFill="background1" w:themeFillShade="F2"/>
            <w:vAlign w:val="center"/>
          </w:tcPr>
          <w:p w14:paraId="6FFB4730" w14:textId="77777777" w:rsidR="00E17B30" w:rsidRPr="00B21CD9" w:rsidRDefault="00E17B30" w:rsidP="00FF0E07">
            <w:pPr>
              <w:pStyle w:val="ListParagraph"/>
              <w:overflowPunct w:val="0"/>
              <w:snapToGrid w:val="0"/>
              <w:spacing w:line="300" w:lineRule="auto"/>
              <w:ind w:left="0"/>
              <w:jc w:val="center"/>
              <w:rPr>
                <w:rFonts w:ascii="Symbol" w:eastAsia="標楷體" w:hAnsi="Symbol" w:cs="Times New Roman"/>
                <w:i/>
                <w:sz w:val="24"/>
                <w:szCs w:val="24"/>
                <w:vertAlign w:val="subscript"/>
                <w:lang w:eastAsia="zh-HK"/>
              </w:rPr>
            </w:pPr>
            <w:r w:rsidRPr="00B21CD9">
              <w:rPr>
                <w:rFonts w:ascii="Times New Roman" w:eastAsia="標楷體" w:hAnsi="Times New Roman" w:cs="Times New Roman"/>
                <w:i/>
                <w:sz w:val="24"/>
                <w:szCs w:val="24"/>
                <w:lang w:eastAsia="zh-HK"/>
              </w:rPr>
              <w:t>Z</w:t>
            </w:r>
            <w:r w:rsidRPr="00B21CD9">
              <w:rPr>
                <w:rFonts w:ascii="Symbol" w:eastAsia="標楷體" w:hAnsi="Symbol" w:cs="Times New Roman"/>
                <w:i/>
                <w:sz w:val="24"/>
                <w:szCs w:val="24"/>
                <w:vertAlign w:val="subscript"/>
                <w:lang w:eastAsia="zh-HK"/>
              </w:rPr>
              <w:t></w:t>
            </w:r>
          </w:p>
        </w:tc>
        <w:tc>
          <w:tcPr>
            <w:tcW w:w="1544" w:type="dxa"/>
            <w:tcBorders>
              <w:bottom w:val="single" w:sz="8" w:space="0" w:color="auto"/>
            </w:tcBorders>
            <w:shd w:val="clear" w:color="auto" w:fill="F2F2F2" w:themeFill="background1" w:themeFillShade="F2"/>
            <w:vAlign w:val="center"/>
          </w:tcPr>
          <w:p w14:paraId="15E6E8DD" w14:textId="52A6ED78" w:rsidR="00E17B30" w:rsidRPr="0019542B" w:rsidRDefault="0019542B" w:rsidP="00FF0E0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sidRPr="0019542B">
              <w:rPr>
                <w:rFonts w:ascii="Times New Roman" w:eastAsia="標楷體" w:hAnsi="Times New Roman" w:cs="Times New Roman"/>
                <w:sz w:val="24"/>
                <w:szCs w:val="24"/>
                <w:lang w:eastAsia="zh-HK"/>
              </w:rPr>
              <w:t>10%</w:t>
            </w:r>
          </w:p>
        </w:tc>
        <w:tc>
          <w:tcPr>
            <w:tcW w:w="1543" w:type="dxa"/>
            <w:tcBorders>
              <w:bottom w:val="single" w:sz="8" w:space="0" w:color="auto"/>
            </w:tcBorders>
            <w:shd w:val="clear" w:color="auto" w:fill="F2F2F2" w:themeFill="background1" w:themeFillShade="F2"/>
            <w:vAlign w:val="center"/>
          </w:tcPr>
          <w:p w14:paraId="56801377" w14:textId="459294DA" w:rsidR="00E17B30" w:rsidRPr="0019542B" w:rsidRDefault="0019542B" w:rsidP="00FF0E0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sidRPr="0019542B">
              <w:rPr>
                <w:rFonts w:ascii="Times New Roman" w:eastAsia="標楷體" w:hAnsi="Times New Roman" w:cs="Times New Roman"/>
                <w:sz w:val="24"/>
                <w:szCs w:val="24"/>
                <w:lang w:eastAsia="zh-HK"/>
              </w:rPr>
              <w:t>5%</w:t>
            </w:r>
          </w:p>
        </w:tc>
        <w:tc>
          <w:tcPr>
            <w:tcW w:w="1544" w:type="dxa"/>
            <w:tcBorders>
              <w:bottom w:val="single" w:sz="8" w:space="0" w:color="auto"/>
            </w:tcBorders>
            <w:shd w:val="clear" w:color="auto" w:fill="F2F2F2" w:themeFill="background1" w:themeFillShade="F2"/>
            <w:vAlign w:val="center"/>
          </w:tcPr>
          <w:p w14:paraId="0A77AA61" w14:textId="30482BB2" w:rsidR="00E17B30" w:rsidRPr="0019542B" w:rsidRDefault="0019542B" w:rsidP="00FF0E0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sidRPr="0019542B">
              <w:rPr>
                <w:rFonts w:ascii="Times New Roman" w:eastAsia="標楷體" w:hAnsi="Times New Roman" w:cs="Times New Roman"/>
                <w:sz w:val="24"/>
                <w:szCs w:val="24"/>
                <w:lang w:eastAsia="zh-HK"/>
              </w:rPr>
              <w:t>1%</w:t>
            </w:r>
          </w:p>
        </w:tc>
      </w:tr>
      <w:tr w:rsidR="00E17B30" w14:paraId="5A33ECD3" w14:textId="77777777" w:rsidTr="00FF0E07">
        <w:trPr>
          <w:trHeight w:val="469"/>
        </w:trPr>
        <w:tc>
          <w:tcPr>
            <w:tcW w:w="2122" w:type="dxa"/>
            <w:tcBorders>
              <w:top w:val="single" w:sz="8" w:space="0" w:color="auto"/>
            </w:tcBorders>
            <w:vAlign w:val="center"/>
          </w:tcPr>
          <w:p w14:paraId="657CC360" w14:textId="77777777" w:rsidR="00E17B30" w:rsidRDefault="00E17B30" w:rsidP="00FF0E07">
            <w:pPr>
              <w:pStyle w:val="ListParagraph"/>
              <w:overflowPunct w:val="0"/>
              <w:snapToGrid w:val="0"/>
              <w:spacing w:line="300" w:lineRule="auto"/>
              <w:ind w:left="0"/>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CCPI</w:t>
            </w:r>
          </w:p>
        </w:tc>
        <w:tc>
          <w:tcPr>
            <w:tcW w:w="1543" w:type="dxa"/>
            <w:tcBorders>
              <w:top w:val="single" w:sz="8" w:space="0" w:color="auto"/>
            </w:tcBorders>
            <w:vAlign w:val="center"/>
          </w:tcPr>
          <w:p w14:paraId="7E6020E6" w14:textId="2DCE2317" w:rsidR="00E17B30" w:rsidRDefault="006B0C37" w:rsidP="006B0C3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−1.251</w:t>
            </w:r>
          </w:p>
        </w:tc>
        <w:tc>
          <w:tcPr>
            <w:tcW w:w="1544" w:type="dxa"/>
            <w:tcBorders>
              <w:top w:val="single" w:sz="8" w:space="0" w:color="auto"/>
            </w:tcBorders>
            <w:vAlign w:val="center"/>
          </w:tcPr>
          <w:p w14:paraId="48DB0E64" w14:textId="68408A20" w:rsidR="00E17B30" w:rsidRDefault="006B0C37" w:rsidP="006B0C3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−3.073</w:t>
            </w:r>
          </w:p>
        </w:tc>
        <w:tc>
          <w:tcPr>
            <w:tcW w:w="1543" w:type="dxa"/>
            <w:tcBorders>
              <w:top w:val="single" w:sz="8" w:space="0" w:color="auto"/>
            </w:tcBorders>
            <w:vAlign w:val="center"/>
          </w:tcPr>
          <w:p w14:paraId="16C3EF78" w14:textId="5CF4C655" w:rsidR="00E17B30" w:rsidRDefault="006B0C37" w:rsidP="006B0C3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−3.377</w:t>
            </w:r>
          </w:p>
        </w:tc>
        <w:tc>
          <w:tcPr>
            <w:tcW w:w="1544" w:type="dxa"/>
            <w:tcBorders>
              <w:top w:val="single" w:sz="8" w:space="0" w:color="auto"/>
            </w:tcBorders>
            <w:vAlign w:val="center"/>
          </w:tcPr>
          <w:p w14:paraId="75C6799A" w14:textId="3E11DFE8" w:rsidR="00E17B30" w:rsidRDefault="006B0C37" w:rsidP="006B0C3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−3.970</w:t>
            </w:r>
          </w:p>
        </w:tc>
      </w:tr>
      <w:tr w:rsidR="006B0C37" w14:paraId="56D7557A" w14:textId="77777777" w:rsidTr="00FF0E07">
        <w:trPr>
          <w:trHeight w:val="469"/>
        </w:trPr>
        <w:tc>
          <w:tcPr>
            <w:tcW w:w="2122" w:type="dxa"/>
            <w:vAlign w:val="center"/>
          </w:tcPr>
          <w:p w14:paraId="15113971" w14:textId="77777777" w:rsidR="006B0C37" w:rsidRDefault="006B0C37" w:rsidP="006B0C37">
            <w:pPr>
              <w:pStyle w:val="ListParagraph"/>
              <w:overflowPunct w:val="0"/>
              <w:snapToGrid w:val="0"/>
              <w:spacing w:line="300" w:lineRule="auto"/>
              <w:ind w:left="0"/>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Unit Labour Cost</w:t>
            </w:r>
          </w:p>
        </w:tc>
        <w:tc>
          <w:tcPr>
            <w:tcW w:w="1543" w:type="dxa"/>
            <w:vAlign w:val="center"/>
          </w:tcPr>
          <w:p w14:paraId="50D54EE9" w14:textId="7FA5093B" w:rsidR="006B0C37" w:rsidRDefault="006B0C37" w:rsidP="006B0C3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−1.359</w:t>
            </w:r>
          </w:p>
        </w:tc>
        <w:tc>
          <w:tcPr>
            <w:tcW w:w="1544" w:type="dxa"/>
            <w:vAlign w:val="center"/>
          </w:tcPr>
          <w:p w14:paraId="22411697" w14:textId="22054032" w:rsidR="006B0C37" w:rsidRDefault="006B0C37" w:rsidP="006B0C3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−3.073</w:t>
            </w:r>
          </w:p>
        </w:tc>
        <w:tc>
          <w:tcPr>
            <w:tcW w:w="1543" w:type="dxa"/>
            <w:vAlign w:val="center"/>
          </w:tcPr>
          <w:p w14:paraId="360C5F72" w14:textId="4C2DF80E" w:rsidR="006B0C37" w:rsidRDefault="006B0C37" w:rsidP="006B0C3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−3.377</w:t>
            </w:r>
          </w:p>
        </w:tc>
        <w:tc>
          <w:tcPr>
            <w:tcW w:w="1544" w:type="dxa"/>
            <w:vAlign w:val="center"/>
          </w:tcPr>
          <w:p w14:paraId="13B661EC" w14:textId="6DB48F0C" w:rsidR="006B0C37" w:rsidRDefault="006B0C37" w:rsidP="006B0C3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−3.970</w:t>
            </w:r>
          </w:p>
        </w:tc>
      </w:tr>
    </w:tbl>
    <w:p w14:paraId="61518325" w14:textId="629B6B1E" w:rsidR="00E03FA2" w:rsidRPr="00C51474" w:rsidRDefault="00E17B30" w:rsidP="002673EF">
      <w:pPr>
        <w:overflowPunct w:val="0"/>
        <w:snapToGrid w:val="0"/>
        <w:spacing w:before="20" w:after="240" w:line="240" w:lineRule="auto"/>
        <w:ind w:left="709" w:hanging="709"/>
        <w:jc w:val="both"/>
        <w:rPr>
          <w:rFonts w:ascii="Times New Roman" w:eastAsia="標楷體" w:hAnsi="Times New Roman" w:cs="Times New Roman"/>
          <w:sz w:val="16"/>
          <w:szCs w:val="18"/>
          <w:lang w:eastAsia="zh-HK"/>
        </w:rPr>
      </w:pPr>
      <w:r w:rsidRPr="00E17B30">
        <w:rPr>
          <w:rFonts w:ascii="Times New Roman" w:eastAsia="標楷體" w:hAnsi="Times New Roman" w:cs="Times New Roman"/>
          <w:sz w:val="16"/>
          <w:szCs w:val="18"/>
          <w:lang w:eastAsia="zh-HK"/>
        </w:rPr>
        <w:t>Notes (*</w:t>
      </w:r>
      <w:proofErr w:type="gramStart"/>
      <w:r w:rsidRPr="00E17B30">
        <w:rPr>
          <w:rFonts w:ascii="Times New Roman" w:eastAsia="標楷體" w:hAnsi="Times New Roman" w:cs="Times New Roman"/>
          <w:sz w:val="16"/>
          <w:szCs w:val="18"/>
          <w:lang w:eastAsia="zh-HK"/>
        </w:rPr>
        <w:t>) :</w:t>
      </w:r>
      <w:proofErr w:type="gramEnd"/>
      <w:r w:rsidRPr="00E17B30">
        <w:rPr>
          <w:rFonts w:ascii="Times New Roman" w:eastAsia="標楷體" w:hAnsi="Times New Roman" w:cs="Times New Roman"/>
          <w:sz w:val="16"/>
          <w:szCs w:val="18"/>
          <w:lang w:eastAsia="zh-HK"/>
        </w:rPr>
        <w:tab/>
      </w:r>
      <w:r w:rsidR="006B0C37">
        <w:rPr>
          <w:rFonts w:ascii="Times New Roman" w:eastAsia="標楷體" w:hAnsi="Times New Roman" w:cs="Times New Roman"/>
          <w:sz w:val="16"/>
          <w:szCs w:val="18"/>
          <w:lang w:eastAsia="zh-HK"/>
        </w:rPr>
        <w:t>T</w:t>
      </w:r>
      <w:r>
        <w:rPr>
          <w:rFonts w:ascii="Times New Roman" w:eastAsia="標楷體" w:hAnsi="Times New Roman" w:cs="Times New Roman"/>
          <w:sz w:val="16"/>
          <w:szCs w:val="18"/>
          <w:lang w:eastAsia="zh-HK"/>
        </w:rPr>
        <w:t>est</w:t>
      </w:r>
      <w:r w:rsidR="006B0C37">
        <w:rPr>
          <w:rFonts w:ascii="Times New Roman" w:eastAsia="標楷體" w:hAnsi="Times New Roman" w:cs="Times New Roman"/>
          <w:sz w:val="16"/>
          <w:szCs w:val="18"/>
          <w:lang w:eastAsia="zh-HK"/>
        </w:rPr>
        <w:t>s</w:t>
      </w:r>
      <w:r w:rsidRPr="00E17B30">
        <w:rPr>
          <w:rFonts w:ascii="Times New Roman" w:eastAsia="標楷體" w:hAnsi="Times New Roman" w:cs="Times New Roman"/>
          <w:sz w:val="16"/>
          <w:szCs w:val="18"/>
          <w:lang w:eastAsia="zh-HK"/>
        </w:rPr>
        <w:t xml:space="preserve"> </w:t>
      </w:r>
      <w:r w:rsidR="006B0C37">
        <w:rPr>
          <w:rFonts w:ascii="Times New Roman" w:eastAsia="標楷體" w:hAnsi="Times New Roman" w:cs="Times New Roman"/>
          <w:sz w:val="16"/>
          <w:szCs w:val="18"/>
          <w:lang w:eastAsia="zh-HK"/>
        </w:rPr>
        <w:t xml:space="preserve">are on the natural logarithms of the </w:t>
      </w:r>
      <w:r w:rsidR="0092155A">
        <w:rPr>
          <w:rFonts w:ascii="Times New Roman" w:eastAsia="標楷體" w:hAnsi="Times New Roman" w:cs="Times New Roman"/>
          <w:sz w:val="16"/>
          <w:szCs w:val="18"/>
          <w:lang w:eastAsia="zh-HK"/>
        </w:rPr>
        <w:t xml:space="preserve">listed </w:t>
      </w:r>
      <w:r w:rsidR="006B0C37">
        <w:rPr>
          <w:rFonts w:ascii="Times New Roman" w:eastAsia="標楷體" w:hAnsi="Times New Roman" w:cs="Times New Roman"/>
          <w:sz w:val="16"/>
          <w:szCs w:val="18"/>
          <w:lang w:eastAsia="zh-HK"/>
        </w:rPr>
        <w:t>variables</w:t>
      </w:r>
      <w:r w:rsidRPr="00E17B30">
        <w:rPr>
          <w:rFonts w:ascii="Times New Roman" w:eastAsia="標楷體" w:hAnsi="Times New Roman" w:cs="Times New Roman"/>
          <w:sz w:val="16"/>
          <w:szCs w:val="18"/>
          <w:lang w:eastAsia="zh-HK"/>
        </w:rPr>
        <w:t>.  The null hy</w:t>
      </w:r>
      <w:r w:rsidR="006B0C37">
        <w:rPr>
          <w:rFonts w:ascii="Times New Roman" w:eastAsia="標楷體" w:hAnsi="Times New Roman" w:cs="Times New Roman"/>
          <w:sz w:val="16"/>
          <w:szCs w:val="18"/>
          <w:lang w:eastAsia="zh-HK"/>
        </w:rPr>
        <w:t xml:space="preserve">pothesis </w:t>
      </w:r>
      <w:r w:rsidR="0092155A">
        <w:rPr>
          <w:rFonts w:ascii="Times New Roman" w:eastAsia="標楷體" w:hAnsi="Times New Roman" w:cs="Times New Roman"/>
          <w:sz w:val="16"/>
          <w:szCs w:val="18"/>
          <w:lang w:eastAsia="zh-HK"/>
        </w:rPr>
        <w:t xml:space="preserve">of no cointegration </w:t>
      </w:r>
      <w:r w:rsidR="006B0C37">
        <w:rPr>
          <w:rFonts w:ascii="Times New Roman" w:eastAsia="標楷體" w:hAnsi="Times New Roman" w:cs="Times New Roman"/>
          <w:sz w:val="16"/>
          <w:szCs w:val="18"/>
          <w:lang w:eastAsia="zh-HK"/>
        </w:rPr>
        <w:t xml:space="preserve">is the hypothesis that the residuals from a regression of the dependent variable on the other variable are </w:t>
      </w:r>
      <w:proofErr w:type="gramStart"/>
      <w:r w:rsidR="006B0C37">
        <w:rPr>
          <w:rFonts w:ascii="Times New Roman" w:eastAsia="標楷體" w:hAnsi="Times New Roman" w:cs="Times New Roman"/>
          <w:sz w:val="16"/>
          <w:szCs w:val="18"/>
          <w:lang w:eastAsia="zh-HK"/>
        </w:rPr>
        <w:t>I(</w:t>
      </w:r>
      <w:proofErr w:type="gramEnd"/>
      <w:r w:rsidR="006B0C37">
        <w:rPr>
          <w:rFonts w:ascii="Times New Roman" w:eastAsia="標楷體" w:hAnsi="Times New Roman" w:cs="Times New Roman"/>
          <w:sz w:val="16"/>
          <w:szCs w:val="18"/>
          <w:lang w:eastAsia="zh-HK"/>
        </w:rPr>
        <w:t>1)</w:t>
      </w:r>
      <w:r w:rsidRPr="00E17B30">
        <w:rPr>
          <w:rFonts w:ascii="Times New Roman" w:eastAsia="標楷體" w:hAnsi="Times New Roman" w:cs="Times New Roman"/>
          <w:sz w:val="16"/>
          <w:szCs w:val="18"/>
          <w:lang w:eastAsia="zh-HK"/>
        </w:rPr>
        <w:t>.</w:t>
      </w:r>
      <w:r w:rsidR="006B0C37">
        <w:rPr>
          <w:rFonts w:ascii="Times New Roman" w:eastAsia="標楷體" w:hAnsi="Times New Roman" w:cs="Times New Roman"/>
          <w:sz w:val="16"/>
          <w:szCs w:val="18"/>
          <w:lang w:eastAsia="zh-HK"/>
        </w:rPr>
        <w:t xml:space="preserve">  The null hypothesis is rejected </w:t>
      </w:r>
      <w:r w:rsidR="0092155A">
        <w:rPr>
          <w:rFonts w:ascii="Times New Roman" w:eastAsia="標楷體" w:hAnsi="Times New Roman" w:cs="Times New Roman"/>
          <w:sz w:val="16"/>
          <w:szCs w:val="18"/>
          <w:lang w:eastAsia="zh-HK"/>
        </w:rPr>
        <w:t xml:space="preserve">at the indicated confidence level </w:t>
      </w:r>
      <w:r w:rsidR="006B0C37">
        <w:rPr>
          <w:rFonts w:ascii="Times New Roman" w:eastAsia="標楷體" w:hAnsi="Times New Roman" w:cs="Times New Roman"/>
          <w:sz w:val="16"/>
          <w:szCs w:val="18"/>
          <w:lang w:eastAsia="zh-HK"/>
        </w:rPr>
        <w:t xml:space="preserve">if the test statistic is more negative than the </w:t>
      </w:r>
      <w:r w:rsidR="0092155A">
        <w:rPr>
          <w:rFonts w:ascii="Times New Roman" w:eastAsia="標楷體" w:hAnsi="Times New Roman" w:cs="Times New Roman"/>
          <w:sz w:val="16"/>
          <w:szCs w:val="18"/>
          <w:lang w:eastAsia="zh-HK"/>
        </w:rPr>
        <w:t>corresponding critical value.</w:t>
      </w:r>
    </w:p>
    <w:p w14:paraId="3FE0D854" w14:textId="0DE2C459" w:rsidR="00DF1C14" w:rsidRDefault="00005E2C" w:rsidP="001C36B8">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sidRPr="00DF1C14">
        <w:rPr>
          <w:rFonts w:ascii="Times New Roman" w:eastAsia="標楷體" w:hAnsi="Times New Roman" w:cs="Times New Roman"/>
          <w:sz w:val="24"/>
          <w:szCs w:val="24"/>
          <w:lang w:eastAsia="zh-HK"/>
        </w:rPr>
        <w:t xml:space="preserve">The results in </w:t>
      </w:r>
      <w:r w:rsidRPr="00DF1C14">
        <w:rPr>
          <w:rFonts w:ascii="Times New Roman" w:eastAsia="標楷體" w:hAnsi="Times New Roman" w:cs="Times New Roman"/>
          <w:b/>
          <w:sz w:val="24"/>
          <w:szCs w:val="24"/>
          <w:lang w:eastAsia="zh-HK"/>
        </w:rPr>
        <w:t>Table 2</w:t>
      </w:r>
      <w:r w:rsidRPr="00DF1C14">
        <w:rPr>
          <w:rFonts w:ascii="Times New Roman" w:eastAsia="標楷體" w:hAnsi="Times New Roman" w:cs="Times New Roman"/>
          <w:sz w:val="24"/>
          <w:szCs w:val="24"/>
          <w:lang w:eastAsia="zh-HK"/>
        </w:rPr>
        <w:t xml:space="preserve"> show that</w:t>
      </w:r>
      <w:r w:rsidR="0019542B">
        <w:rPr>
          <w:rFonts w:ascii="Times New Roman" w:eastAsia="標楷體" w:hAnsi="Times New Roman" w:cs="Times New Roman"/>
          <w:sz w:val="24"/>
          <w:szCs w:val="24"/>
          <w:lang w:eastAsia="zh-HK"/>
        </w:rPr>
        <w:t>, regardless of which variable is chosen as the dependent variable</w:t>
      </w:r>
      <w:r w:rsidR="0019542B">
        <w:rPr>
          <w:rStyle w:val="FootnoteReference"/>
          <w:rFonts w:ascii="Times New Roman" w:eastAsia="標楷體" w:hAnsi="Times New Roman" w:cs="Times New Roman"/>
          <w:sz w:val="24"/>
          <w:szCs w:val="24"/>
          <w:lang w:eastAsia="zh-HK"/>
        </w:rPr>
        <w:footnoteReference w:id="18"/>
      </w:r>
      <w:r w:rsidR="0019542B">
        <w:rPr>
          <w:rFonts w:ascii="Times New Roman" w:eastAsia="標楷體" w:hAnsi="Times New Roman" w:cs="Times New Roman"/>
          <w:sz w:val="24"/>
          <w:szCs w:val="24"/>
          <w:lang w:eastAsia="zh-HK"/>
        </w:rPr>
        <w:t>,</w:t>
      </w:r>
      <w:r w:rsidR="0092155A">
        <w:rPr>
          <w:rFonts w:ascii="Times New Roman" w:eastAsia="標楷體" w:hAnsi="Times New Roman" w:cs="Times New Roman"/>
          <w:sz w:val="24"/>
          <w:szCs w:val="24"/>
          <w:lang w:eastAsia="zh-HK"/>
        </w:rPr>
        <w:t xml:space="preserve"> the null hypothesis of no cointegration is not rejected a</w:t>
      </w:r>
      <w:r w:rsidR="002673EF">
        <w:rPr>
          <w:rFonts w:ascii="Times New Roman" w:eastAsia="標楷體" w:hAnsi="Times New Roman" w:cs="Times New Roman"/>
          <w:sz w:val="24"/>
          <w:szCs w:val="24"/>
          <w:lang w:eastAsia="zh-HK"/>
        </w:rPr>
        <w:t>t any significance level</w:t>
      </w:r>
      <w:r w:rsidR="0092155A">
        <w:rPr>
          <w:rFonts w:ascii="Times New Roman" w:eastAsia="標楷體" w:hAnsi="Times New Roman" w:cs="Times New Roman"/>
          <w:sz w:val="24"/>
          <w:szCs w:val="24"/>
          <w:lang w:eastAsia="zh-HK"/>
        </w:rPr>
        <w:t>.  Conceivably, this is because the convergence in</w:t>
      </w:r>
      <w:r w:rsidR="006B0C37">
        <w:rPr>
          <w:rFonts w:ascii="Times New Roman" w:eastAsia="標楷體" w:hAnsi="Times New Roman" w:cs="Times New Roman"/>
          <w:sz w:val="24"/>
          <w:szCs w:val="24"/>
          <w:lang w:eastAsia="zh-HK"/>
        </w:rPr>
        <w:t xml:space="preserve"> </w:t>
      </w:r>
      <w:r w:rsidR="0092155A" w:rsidRPr="0092155A">
        <w:rPr>
          <w:rFonts w:ascii="Times New Roman" w:eastAsia="標楷體" w:hAnsi="Times New Roman" w:cs="Times New Roman"/>
          <w:b/>
          <w:sz w:val="24"/>
          <w:szCs w:val="24"/>
          <w:lang w:eastAsia="zh-HK"/>
        </w:rPr>
        <w:t>Chart 1</w:t>
      </w:r>
      <w:r w:rsidR="0092155A">
        <w:rPr>
          <w:rFonts w:ascii="Times New Roman" w:eastAsia="標楷體" w:hAnsi="Times New Roman" w:cs="Times New Roman"/>
          <w:sz w:val="24"/>
          <w:szCs w:val="24"/>
          <w:lang w:eastAsia="zh-HK"/>
        </w:rPr>
        <w:t xml:space="preserve"> is rather weak, taking as </w:t>
      </w:r>
      <w:r w:rsidR="00AE0F3E">
        <w:rPr>
          <w:rFonts w:ascii="Times New Roman" w:eastAsia="標楷體" w:hAnsi="Times New Roman" w:cs="Times New Roman"/>
          <w:sz w:val="24"/>
          <w:szCs w:val="24"/>
          <w:lang w:eastAsia="zh-HK"/>
        </w:rPr>
        <w:t>long</w:t>
      </w:r>
      <w:r w:rsidR="0092155A">
        <w:rPr>
          <w:rFonts w:ascii="Times New Roman" w:eastAsia="標楷體" w:hAnsi="Times New Roman" w:cs="Times New Roman"/>
          <w:sz w:val="24"/>
          <w:szCs w:val="24"/>
          <w:lang w:eastAsia="zh-HK"/>
        </w:rPr>
        <w:t xml:space="preserve"> as a decade or more to play out fully.  </w:t>
      </w:r>
      <w:r w:rsidR="001D76C1">
        <w:rPr>
          <w:rFonts w:ascii="Times New Roman" w:eastAsia="標楷體" w:hAnsi="Times New Roman" w:cs="Times New Roman"/>
          <w:sz w:val="24"/>
          <w:szCs w:val="24"/>
          <w:lang w:eastAsia="zh-HK"/>
        </w:rPr>
        <w:t xml:space="preserve">Consequently, the system is modelled </w:t>
      </w:r>
      <w:r w:rsidR="00AE0F3E">
        <w:rPr>
          <w:rFonts w:ascii="Times New Roman" w:eastAsia="標楷體" w:hAnsi="Times New Roman" w:cs="Times New Roman"/>
          <w:sz w:val="24"/>
          <w:szCs w:val="24"/>
          <w:lang w:eastAsia="zh-HK"/>
        </w:rPr>
        <w:t>as</w:t>
      </w:r>
      <w:r w:rsidR="001D76C1">
        <w:rPr>
          <w:rFonts w:ascii="Times New Roman" w:eastAsia="標楷體" w:hAnsi="Times New Roman" w:cs="Times New Roman"/>
          <w:sz w:val="24"/>
          <w:szCs w:val="24"/>
          <w:lang w:eastAsia="zh-HK"/>
        </w:rPr>
        <w:t xml:space="preserve"> a VAR in first differences, without any error correction term</w:t>
      </w:r>
      <w:r w:rsidR="001D76C1">
        <w:rPr>
          <w:rStyle w:val="FootnoteReference"/>
          <w:rFonts w:ascii="Times New Roman" w:eastAsia="標楷體" w:hAnsi="Times New Roman" w:cs="Times New Roman"/>
          <w:sz w:val="24"/>
          <w:szCs w:val="24"/>
          <w:lang w:eastAsia="zh-HK"/>
        </w:rPr>
        <w:footnoteReference w:id="19"/>
      </w:r>
      <w:r w:rsidR="001D76C1">
        <w:rPr>
          <w:rFonts w:ascii="Times New Roman" w:eastAsia="標楷體" w:hAnsi="Times New Roman" w:cs="Times New Roman"/>
          <w:sz w:val="24"/>
          <w:szCs w:val="24"/>
          <w:lang w:eastAsia="zh-HK"/>
        </w:rPr>
        <w:t>.</w:t>
      </w:r>
    </w:p>
    <w:p w14:paraId="6095210C" w14:textId="77777777" w:rsidR="00140337" w:rsidRDefault="00140337" w:rsidP="00140337">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
    <w:p w14:paraId="44CEC56E" w14:textId="35F0D890" w:rsidR="001B26FC" w:rsidRPr="00C51474" w:rsidRDefault="001243CC" w:rsidP="002673EF">
      <w:pPr>
        <w:pStyle w:val="ListParagraph"/>
        <w:numPr>
          <w:ilvl w:val="0"/>
          <w:numId w:val="3"/>
        </w:numPr>
        <w:overflowPunct w:val="0"/>
        <w:snapToGrid w:val="0"/>
        <w:spacing w:after="24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 xml:space="preserve">The next section will examine a fuller model with covariates to </w:t>
      </w:r>
      <w:r w:rsidR="008951AF">
        <w:rPr>
          <w:rFonts w:ascii="Times New Roman" w:eastAsia="標楷體" w:hAnsi="Times New Roman" w:cs="Times New Roman"/>
          <w:sz w:val="24"/>
          <w:szCs w:val="24"/>
          <w:lang w:eastAsia="zh-HK"/>
        </w:rPr>
        <w:t>capture</w:t>
      </w:r>
      <w:r>
        <w:rPr>
          <w:rFonts w:ascii="Times New Roman" w:eastAsia="標楷體" w:hAnsi="Times New Roman" w:cs="Times New Roman"/>
          <w:sz w:val="24"/>
          <w:szCs w:val="24"/>
          <w:lang w:eastAsia="zh-HK"/>
        </w:rPr>
        <w:t xml:space="preserve"> supply and demand</w:t>
      </w:r>
      <w:r w:rsidR="002267B9">
        <w:rPr>
          <w:rFonts w:ascii="Times New Roman" w:eastAsia="標楷體" w:hAnsi="Times New Roman" w:cs="Times New Roman"/>
          <w:sz w:val="24"/>
          <w:szCs w:val="24"/>
          <w:lang w:eastAsia="zh-HK"/>
        </w:rPr>
        <w:t xml:space="preserve"> factors</w:t>
      </w:r>
      <w:r w:rsidR="00140337">
        <w:rPr>
          <w:rFonts w:ascii="Times New Roman" w:eastAsia="標楷體" w:hAnsi="Times New Roman" w:cs="Times New Roman"/>
          <w:sz w:val="24"/>
          <w:szCs w:val="24"/>
          <w:lang w:eastAsia="zh-HK"/>
        </w:rPr>
        <w:t xml:space="preserve">.  For robustness, however, it is valuable to check whether, solely looking at the two series by themselves, the earlier-mentioned (para. 7) finding </w:t>
      </w:r>
      <w:r w:rsidR="002673EF">
        <w:rPr>
          <w:rFonts w:ascii="Times New Roman" w:eastAsia="標楷體" w:hAnsi="Times New Roman" w:cs="Times New Roman"/>
          <w:sz w:val="24"/>
          <w:szCs w:val="24"/>
          <w:lang w:eastAsia="zh-HK"/>
        </w:rPr>
        <w:t xml:space="preserve">from the literature </w:t>
      </w:r>
      <w:r w:rsidR="00140337">
        <w:rPr>
          <w:rFonts w:ascii="Times New Roman" w:eastAsia="標楷體" w:hAnsi="Times New Roman" w:cs="Times New Roman"/>
          <w:sz w:val="24"/>
          <w:szCs w:val="24"/>
          <w:lang w:eastAsia="zh-HK"/>
        </w:rPr>
        <w:t xml:space="preserve">that prices predict </w:t>
      </w:r>
      <w:r w:rsidR="00C51474">
        <w:rPr>
          <w:rFonts w:ascii="Times New Roman" w:eastAsia="標楷體" w:hAnsi="Times New Roman" w:cs="Times New Roman"/>
          <w:sz w:val="24"/>
          <w:szCs w:val="24"/>
          <w:lang w:eastAsia="zh-HK"/>
        </w:rPr>
        <w:t xml:space="preserve">productivity-adjusted nominal </w:t>
      </w:r>
      <w:r w:rsidR="00140337">
        <w:rPr>
          <w:rFonts w:ascii="Times New Roman" w:eastAsia="標楷體" w:hAnsi="Times New Roman" w:cs="Times New Roman"/>
          <w:sz w:val="24"/>
          <w:szCs w:val="24"/>
          <w:lang w:eastAsia="zh-HK"/>
        </w:rPr>
        <w:t xml:space="preserve">wages but not vice versa is true in Hong Kong as well.  To this end, </w:t>
      </w:r>
      <w:r w:rsidR="00140337" w:rsidRPr="005D0F6F">
        <w:rPr>
          <w:rFonts w:ascii="Times New Roman" w:eastAsia="標楷體" w:hAnsi="Times New Roman" w:cs="Times New Roman"/>
          <w:b/>
          <w:sz w:val="24"/>
          <w:szCs w:val="24"/>
          <w:lang w:eastAsia="zh-HK"/>
        </w:rPr>
        <w:t>Table 3</w:t>
      </w:r>
      <w:r w:rsidR="00140337">
        <w:rPr>
          <w:rFonts w:ascii="Times New Roman" w:eastAsia="標楷體" w:hAnsi="Times New Roman" w:cs="Times New Roman"/>
          <w:sz w:val="24"/>
          <w:szCs w:val="24"/>
          <w:lang w:eastAsia="zh-HK"/>
        </w:rPr>
        <w:t xml:space="preserve"> presents the results of Granger causality tests based on a </w:t>
      </w:r>
      <w:r w:rsidR="008951AF">
        <w:rPr>
          <w:rFonts w:ascii="Times New Roman" w:eastAsia="標楷體" w:hAnsi="Times New Roman" w:cs="Times New Roman"/>
          <w:sz w:val="24"/>
          <w:szCs w:val="24"/>
          <w:lang w:eastAsia="zh-HK"/>
        </w:rPr>
        <w:t xml:space="preserve">bivariate </w:t>
      </w:r>
      <w:r w:rsidR="00140337">
        <w:rPr>
          <w:rFonts w:ascii="Times New Roman" w:eastAsia="標楷體" w:hAnsi="Times New Roman" w:cs="Times New Roman"/>
          <w:sz w:val="24"/>
          <w:szCs w:val="24"/>
          <w:lang w:eastAsia="zh-HK"/>
        </w:rPr>
        <w:t xml:space="preserve">differenced </w:t>
      </w:r>
      <w:r w:rsidR="005D0F6F">
        <w:rPr>
          <w:rFonts w:ascii="Times New Roman" w:eastAsia="標楷體" w:hAnsi="Times New Roman" w:cs="Times New Roman"/>
          <w:sz w:val="24"/>
          <w:szCs w:val="24"/>
          <w:lang w:eastAsia="zh-HK"/>
        </w:rPr>
        <w:t xml:space="preserve">VAR </w:t>
      </w:r>
      <w:r w:rsidR="00140337">
        <w:rPr>
          <w:rFonts w:ascii="Times New Roman" w:eastAsia="標楷體" w:hAnsi="Times New Roman" w:cs="Times New Roman"/>
          <w:sz w:val="24"/>
          <w:szCs w:val="24"/>
          <w:lang w:eastAsia="zh-HK"/>
        </w:rPr>
        <w:t>model</w:t>
      </w:r>
      <w:r w:rsidR="005D0F6F">
        <w:rPr>
          <w:rFonts w:ascii="Times New Roman" w:eastAsia="標楷體" w:hAnsi="Times New Roman" w:cs="Times New Roman"/>
          <w:sz w:val="24"/>
          <w:szCs w:val="24"/>
          <w:lang w:eastAsia="zh-HK"/>
        </w:rPr>
        <w:t>,</w:t>
      </w:r>
      <w:r w:rsidR="00140337">
        <w:rPr>
          <w:rFonts w:ascii="Times New Roman" w:eastAsia="標楷體" w:hAnsi="Times New Roman" w:cs="Times New Roman"/>
          <w:sz w:val="24"/>
          <w:szCs w:val="24"/>
          <w:lang w:eastAsia="zh-HK"/>
        </w:rPr>
        <w:t xml:space="preserve"> with five lags as suggested by the Bayesian information criterion</w:t>
      </w:r>
      <w:r w:rsidR="006D10BB">
        <w:rPr>
          <w:rStyle w:val="FootnoteReference"/>
          <w:rFonts w:ascii="Times New Roman" w:eastAsia="標楷體" w:hAnsi="Times New Roman" w:cs="Times New Roman"/>
          <w:sz w:val="24"/>
          <w:szCs w:val="24"/>
          <w:lang w:eastAsia="zh-HK"/>
        </w:rPr>
        <w:footnoteReference w:id="20"/>
      </w:r>
      <w:r w:rsidR="00140337">
        <w:rPr>
          <w:rFonts w:ascii="Times New Roman" w:eastAsia="標楷體" w:hAnsi="Times New Roman" w:cs="Times New Roman"/>
          <w:sz w:val="24"/>
          <w:szCs w:val="24"/>
          <w:lang w:eastAsia="zh-HK"/>
        </w:rPr>
        <w:t>.</w:t>
      </w:r>
      <w:r w:rsidR="005D0F6F">
        <w:rPr>
          <w:rFonts w:ascii="Times New Roman" w:eastAsia="標楷體" w:hAnsi="Times New Roman" w:cs="Times New Roman"/>
          <w:sz w:val="24"/>
          <w:szCs w:val="24"/>
          <w:lang w:eastAsia="zh-HK"/>
        </w:rPr>
        <w:t xml:space="preserve">  </w:t>
      </w:r>
      <w:r w:rsidR="005D0F6F" w:rsidRPr="005D0F6F">
        <w:rPr>
          <w:rFonts w:ascii="Times New Roman" w:eastAsia="標楷體" w:hAnsi="Times New Roman" w:cs="Times New Roman"/>
          <w:b/>
          <w:sz w:val="24"/>
          <w:szCs w:val="24"/>
          <w:lang w:eastAsia="zh-HK"/>
        </w:rPr>
        <w:t>Table 3</w:t>
      </w:r>
      <w:r w:rsidR="005D0F6F">
        <w:rPr>
          <w:rFonts w:ascii="Times New Roman" w:eastAsia="標楷體" w:hAnsi="Times New Roman" w:cs="Times New Roman"/>
          <w:sz w:val="24"/>
          <w:szCs w:val="24"/>
          <w:lang w:eastAsia="zh-HK"/>
        </w:rPr>
        <w:t xml:space="preserve"> shows that, indeed, </w:t>
      </w:r>
      <w:r w:rsidR="00EC2BE5">
        <w:rPr>
          <w:rFonts w:ascii="Times New Roman" w:eastAsia="標楷體" w:hAnsi="Times New Roman" w:cs="Times New Roman"/>
          <w:sz w:val="24"/>
          <w:szCs w:val="24"/>
          <w:lang w:eastAsia="zh-HK"/>
        </w:rPr>
        <w:t xml:space="preserve">after accounting for past wage changes, </w:t>
      </w:r>
      <w:r w:rsidR="005D0F6F">
        <w:rPr>
          <w:rFonts w:ascii="Times New Roman" w:eastAsia="標楷體" w:hAnsi="Times New Roman" w:cs="Times New Roman"/>
          <w:sz w:val="24"/>
          <w:szCs w:val="24"/>
          <w:lang w:eastAsia="zh-HK"/>
        </w:rPr>
        <w:t>th</w:t>
      </w:r>
      <w:r w:rsidR="001B26FC">
        <w:rPr>
          <w:rFonts w:ascii="Times New Roman" w:eastAsia="標楷體" w:hAnsi="Times New Roman" w:cs="Times New Roman"/>
          <w:sz w:val="24"/>
          <w:szCs w:val="24"/>
          <w:lang w:eastAsia="zh-HK"/>
        </w:rPr>
        <w:t xml:space="preserve">e </w:t>
      </w:r>
      <w:r w:rsidR="005D0F6F">
        <w:rPr>
          <w:rFonts w:ascii="Times New Roman" w:eastAsia="標楷體" w:hAnsi="Times New Roman" w:cs="Times New Roman"/>
          <w:sz w:val="24"/>
          <w:szCs w:val="24"/>
          <w:lang w:eastAsia="zh-HK"/>
        </w:rPr>
        <w:t xml:space="preserve">hypothesis </w:t>
      </w:r>
      <w:r w:rsidR="001B26FC">
        <w:rPr>
          <w:rFonts w:ascii="Times New Roman" w:eastAsia="標楷體" w:hAnsi="Times New Roman" w:cs="Times New Roman"/>
          <w:sz w:val="24"/>
          <w:szCs w:val="24"/>
          <w:lang w:eastAsia="zh-HK"/>
        </w:rPr>
        <w:t>that</w:t>
      </w:r>
      <w:r w:rsidR="005D0F6F">
        <w:rPr>
          <w:rFonts w:ascii="Times New Roman" w:eastAsia="標楷體" w:hAnsi="Times New Roman" w:cs="Times New Roman"/>
          <w:sz w:val="24"/>
          <w:szCs w:val="24"/>
          <w:lang w:eastAsia="zh-HK"/>
        </w:rPr>
        <w:t xml:space="preserve"> prices </w:t>
      </w:r>
      <w:r w:rsidR="001B26FC">
        <w:rPr>
          <w:rFonts w:ascii="Times New Roman" w:eastAsia="標楷體" w:hAnsi="Times New Roman" w:cs="Times New Roman"/>
          <w:sz w:val="24"/>
          <w:szCs w:val="24"/>
          <w:lang w:eastAsia="zh-HK"/>
        </w:rPr>
        <w:t>do not predict</w:t>
      </w:r>
      <w:r w:rsidR="005D0F6F">
        <w:rPr>
          <w:rFonts w:ascii="Times New Roman" w:eastAsia="標楷體" w:hAnsi="Times New Roman" w:cs="Times New Roman"/>
          <w:sz w:val="24"/>
          <w:szCs w:val="24"/>
          <w:lang w:eastAsia="zh-HK"/>
        </w:rPr>
        <w:t xml:space="preserve"> wages</w:t>
      </w:r>
      <w:r w:rsidR="00EC2BE5">
        <w:rPr>
          <w:rFonts w:ascii="Times New Roman" w:eastAsia="標楷體" w:hAnsi="Times New Roman" w:cs="Times New Roman"/>
          <w:sz w:val="24"/>
          <w:szCs w:val="24"/>
          <w:lang w:eastAsia="zh-HK"/>
        </w:rPr>
        <w:t xml:space="preserve"> </w:t>
      </w:r>
      <w:r w:rsidR="005D0F6F">
        <w:rPr>
          <w:rFonts w:ascii="Times New Roman" w:eastAsia="標楷體" w:hAnsi="Times New Roman" w:cs="Times New Roman"/>
          <w:sz w:val="24"/>
          <w:szCs w:val="24"/>
          <w:lang w:eastAsia="zh-HK"/>
        </w:rPr>
        <w:t xml:space="preserve">is rejected at the 5% level, but </w:t>
      </w:r>
      <w:r w:rsidR="00E31040">
        <w:rPr>
          <w:rFonts w:ascii="Times New Roman" w:eastAsia="標楷體" w:hAnsi="Times New Roman" w:cs="Times New Roman"/>
          <w:sz w:val="24"/>
          <w:szCs w:val="24"/>
          <w:lang w:eastAsia="zh-HK"/>
        </w:rPr>
        <w:t>the</w:t>
      </w:r>
      <w:r w:rsidR="005D0F6F">
        <w:rPr>
          <w:rFonts w:ascii="Times New Roman" w:eastAsia="標楷體" w:hAnsi="Times New Roman" w:cs="Times New Roman"/>
          <w:sz w:val="24"/>
          <w:szCs w:val="24"/>
          <w:lang w:eastAsia="zh-HK"/>
        </w:rPr>
        <w:t xml:space="preserve"> </w:t>
      </w:r>
      <w:r>
        <w:rPr>
          <w:rFonts w:ascii="Times New Roman" w:eastAsia="標楷體" w:hAnsi="Times New Roman" w:cs="Times New Roman"/>
          <w:sz w:val="24"/>
          <w:szCs w:val="24"/>
          <w:lang w:eastAsia="zh-HK"/>
        </w:rPr>
        <w:t>r</w:t>
      </w:r>
      <w:r w:rsidR="00EC2BE5">
        <w:rPr>
          <w:rFonts w:ascii="Times New Roman" w:eastAsia="標楷體" w:hAnsi="Times New Roman" w:cs="Times New Roman"/>
          <w:sz w:val="24"/>
          <w:szCs w:val="24"/>
          <w:lang w:eastAsia="zh-HK"/>
        </w:rPr>
        <w:t>everse</w:t>
      </w:r>
      <w:r w:rsidR="005D0F6F">
        <w:rPr>
          <w:rFonts w:ascii="Times New Roman" w:eastAsia="標楷體" w:hAnsi="Times New Roman" w:cs="Times New Roman"/>
          <w:sz w:val="24"/>
          <w:szCs w:val="24"/>
          <w:lang w:eastAsia="zh-HK"/>
        </w:rPr>
        <w:t xml:space="preserve"> </w:t>
      </w:r>
      <w:r w:rsidR="00E2200E">
        <w:rPr>
          <w:rFonts w:ascii="Times New Roman" w:eastAsia="標楷體" w:hAnsi="Times New Roman" w:cs="Times New Roman"/>
          <w:sz w:val="24"/>
          <w:szCs w:val="24"/>
          <w:lang w:eastAsia="zh-HK"/>
        </w:rPr>
        <w:t xml:space="preserve">hypothesis </w:t>
      </w:r>
      <w:r w:rsidR="005D0F6F">
        <w:rPr>
          <w:rFonts w:ascii="Times New Roman" w:eastAsia="標楷體" w:hAnsi="Times New Roman" w:cs="Times New Roman"/>
          <w:sz w:val="24"/>
          <w:szCs w:val="24"/>
          <w:lang w:eastAsia="zh-HK"/>
        </w:rPr>
        <w:t>is not rejected at the 5% level.</w:t>
      </w:r>
      <w:r w:rsidR="00E31040">
        <w:rPr>
          <w:rFonts w:ascii="Times New Roman" w:eastAsia="標楷體" w:hAnsi="Times New Roman" w:cs="Times New Roman"/>
          <w:sz w:val="24"/>
          <w:szCs w:val="24"/>
          <w:lang w:eastAsia="zh-HK"/>
        </w:rPr>
        <w:t xml:space="preserve">  Put another way, the statistical evidence for </w:t>
      </w:r>
      <w:r w:rsidR="00F10B22">
        <w:rPr>
          <w:rFonts w:ascii="Times New Roman" w:eastAsia="標楷體" w:hAnsi="Times New Roman" w:cs="Times New Roman"/>
          <w:sz w:val="24"/>
          <w:szCs w:val="24"/>
          <w:lang w:eastAsia="zh-HK"/>
        </w:rPr>
        <w:t xml:space="preserve">Granger </w:t>
      </w:r>
      <w:r w:rsidR="00EC2BE5">
        <w:rPr>
          <w:rFonts w:ascii="Times New Roman" w:eastAsia="標楷體" w:hAnsi="Times New Roman" w:cs="Times New Roman"/>
          <w:sz w:val="24"/>
          <w:szCs w:val="24"/>
          <w:lang w:eastAsia="zh-HK"/>
        </w:rPr>
        <w:t>causality</w:t>
      </w:r>
      <w:r w:rsidR="00E31040">
        <w:rPr>
          <w:rFonts w:ascii="Times New Roman" w:eastAsia="標楷體" w:hAnsi="Times New Roman" w:cs="Times New Roman"/>
          <w:sz w:val="24"/>
          <w:szCs w:val="24"/>
          <w:lang w:eastAsia="zh-HK"/>
        </w:rPr>
        <w:t xml:space="preserve"> from prices to wages is much stronger than the s</w:t>
      </w:r>
      <w:r w:rsidR="00EC2BE5">
        <w:rPr>
          <w:rFonts w:ascii="Times New Roman" w:eastAsia="標楷體" w:hAnsi="Times New Roman" w:cs="Times New Roman"/>
          <w:sz w:val="24"/>
          <w:szCs w:val="24"/>
          <w:lang w:eastAsia="zh-HK"/>
        </w:rPr>
        <w:t xml:space="preserve">tatistical evidence for </w:t>
      </w:r>
      <w:r w:rsidR="00F10B22">
        <w:rPr>
          <w:rFonts w:ascii="Times New Roman" w:eastAsia="標楷體" w:hAnsi="Times New Roman" w:cs="Times New Roman"/>
          <w:sz w:val="24"/>
          <w:szCs w:val="24"/>
          <w:lang w:eastAsia="zh-HK"/>
        </w:rPr>
        <w:t xml:space="preserve">Granger </w:t>
      </w:r>
      <w:r w:rsidR="00EC2BE5">
        <w:rPr>
          <w:rFonts w:ascii="Times New Roman" w:eastAsia="標楷體" w:hAnsi="Times New Roman" w:cs="Times New Roman"/>
          <w:sz w:val="24"/>
          <w:szCs w:val="24"/>
          <w:lang w:eastAsia="zh-HK"/>
        </w:rPr>
        <w:t>causality</w:t>
      </w:r>
      <w:r w:rsidR="00E31040">
        <w:rPr>
          <w:rFonts w:ascii="Times New Roman" w:eastAsia="標楷體" w:hAnsi="Times New Roman" w:cs="Times New Roman"/>
          <w:sz w:val="24"/>
          <w:szCs w:val="24"/>
          <w:lang w:eastAsia="zh-HK"/>
        </w:rPr>
        <w:t xml:space="preserve"> from wages to prices.</w:t>
      </w:r>
    </w:p>
    <w:p w14:paraId="5EDF18E7" w14:textId="01B2299F" w:rsidR="005D0F6F" w:rsidRPr="005D0F6F" w:rsidRDefault="005D0F6F" w:rsidP="005D0F6F">
      <w:pPr>
        <w:jc w:val="center"/>
        <w:rPr>
          <w:rFonts w:ascii="Times New Roman" w:hAnsi="Times New Roman" w:cs="Times New Roman"/>
          <w:b/>
          <w:sz w:val="24"/>
          <w:szCs w:val="26"/>
        </w:rPr>
      </w:pPr>
      <w:r w:rsidRPr="005D0F6F">
        <w:rPr>
          <w:rFonts w:ascii="Times New Roman" w:hAnsi="Times New Roman" w:cs="Times New Roman"/>
          <w:b/>
          <w:sz w:val="24"/>
          <w:szCs w:val="26"/>
        </w:rPr>
        <w:t xml:space="preserve">Table </w:t>
      </w:r>
      <w:r>
        <w:rPr>
          <w:rFonts w:ascii="Times New Roman" w:hAnsi="Times New Roman" w:cs="Times New Roman"/>
          <w:b/>
          <w:sz w:val="24"/>
          <w:szCs w:val="26"/>
        </w:rPr>
        <w:t>3</w:t>
      </w:r>
      <w:r w:rsidRPr="005D0F6F">
        <w:rPr>
          <w:rFonts w:ascii="Times New Roman" w:hAnsi="Times New Roman" w:cs="Times New Roman"/>
          <w:b/>
          <w:sz w:val="24"/>
          <w:szCs w:val="26"/>
        </w:rPr>
        <w:t xml:space="preserve">: Granger </w:t>
      </w:r>
      <w:r>
        <w:rPr>
          <w:rFonts w:ascii="Times New Roman" w:hAnsi="Times New Roman" w:cs="Times New Roman"/>
          <w:b/>
          <w:sz w:val="24"/>
          <w:szCs w:val="26"/>
        </w:rPr>
        <w:t>Causality</w:t>
      </w:r>
      <w:r w:rsidRPr="005D0F6F">
        <w:rPr>
          <w:rFonts w:ascii="Times New Roman" w:hAnsi="Times New Roman" w:cs="Times New Roman"/>
          <w:b/>
          <w:sz w:val="24"/>
          <w:szCs w:val="26"/>
        </w:rPr>
        <w:t xml:space="preserve"> Tests</w:t>
      </w:r>
      <w:r w:rsidR="002F48FD">
        <w:rPr>
          <w:rFonts w:ascii="Times New Roman" w:hAnsi="Times New Roman" w:cs="Times New Roman"/>
          <w:b/>
          <w:sz w:val="24"/>
          <w:szCs w:val="26"/>
        </w:rPr>
        <w:t xml:space="preserve"> (Bivariate Model)</w:t>
      </w:r>
      <w:r w:rsidRPr="005D0F6F">
        <w:rPr>
          <w:rFonts w:ascii="Times New Roman" w:hAnsi="Times New Roman" w:cs="Times New Roman"/>
          <w:b/>
          <w:sz w:val="24"/>
          <w:szCs w:val="26"/>
        </w:rPr>
        <w:t>*</w:t>
      </w:r>
    </w:p>
    <w:tbl>
      <w:tblPr>
        <w:tblStyle w:val="TableGrid"/>
        <w:tblW w:w="8296" w:type="dxa"/>
        <w:tblLook w:val="04A0" w:firstRow="1" w:lastRow="0" w:firstColumn="1" w:lastColumn="0" w:noHBand="0" w:noVBand="1"/>
      </w:tblPr>
      <w:tblGrid>
        <w:gridCol w:w="4390"/>
        <w:gridCol w:w="1134"/>
        <w:gridCol w:w="1701"/>
        <w:gridCol w:w="1071"/>
      </w:tblGrid>
      <w:tr w:rsidR="00AE42F6" w14:paraId="5F6AB1B0" w14:textId="40600D36" w:rsidTr="00AE42F6">
        <w:trPr>
          <w:trHeight w:val="531"/>
        </w:trPr>
        <w:tc>
          <w:tcPr>
            <w:tcW w:w="4390" w:type="dxa"/>
            <w:tcBorders>
              <w:bottom w:val="single" w:sz="8" w:space="0" w:color="auto"/>
            </w:tcBorders>
            <w:shd w:val="clear" w:color="auto" w:fill="F2F2F2" w:themeFill="background1" w:themeFillShade="F2"/>
            <w:vAlign w:val="center"/>
          </w:tcPr>
          <w:p w14:paraId="26E2430E" w14:textId="51AC4863" w:rsidR="00AE42F6" w:rsidRDefault="00AE42F6" w:rsidP="001B26FC">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Null Hypothesis</w:t>
            </w:r>
          </w:p>
        </w:tc>
        <w:tc>
          <w:tcPr>
            <w:tcW w:w="1134" w:type="dxa"/>
            <w:tcBorders>
              <w:bottom w:val="single" w:sz="8" w:space="0" w:color="auto"/>
            </w:tcBorders>
            <w:shd w:val="clear" w:color="auto" w:fill="F2F2F2" w:themeFill="background1" w:themeFillShade="F2"/>
            <w:vAlign w:val="center"/>
          </w:tcPr>
          <w:p w14:paraId="6969192D" w14:textId="3E2BE676" w:rsidR="00AE42F6" w:rsidRPr="005B1510" w:rsidRDefault="00AE42F6" w:rsidP="00416890">
            <w:pPr>
              <w:pStyle w:val="ListParagraph"/>
              <w:overflowPunct w:val="0"/>
              <w:snapToGrid w:val="0"/>
              <w:spacing w:line="300" w:lineRule="auto"/>
              <w:ind w:left="0"/>
              <w:jc w:val="center"/>
              <w:rPr>
                <w:rFonts w:ascii="Times New Roman" w:eastAsia="標楷體" w:hAnsi="Times New Roman" w:cs="Times New Roman"/>
                <w:i/>
                <w:sz w:val="24"/>
                <w:szCs w:val="24"/>
                <w:lang w:eastAsia="zh-HK"/>
              </w:rPr>
            </w:pPr>
            <w:r w:rsidRPr="005B1510">
              <w:rPr>
                <w:rFonts w:ascii="Times New Roman" w:eastAsia="標楷體" w:hAnsi="Times New Roman" w:cs="Times New Roman"/>
                <w:i/>
                <w:sz w:val="24"/>
                <w:szCs w:val="24"/>
                <w:lang w:eastAsia="zh-HK"/>
              </w:rPr>
              <w:t>F</w:t>
            </w:r>
          </w:p>
        </w:tc>
        <w:tc>
          <w:tcPr>
            <w:tcW w:w="1701" w:type="dxa"/>
            <w:tcBorders>
              <w:bottom w:val="single" w:sz="8" w:space="0" w:color="auto"/>
            </w:tcBorders>
            <w:shd w:val="clear" w:color="auto" w:fill="F2F2F2" w:themeFill="background1" w:themeFillShade="F2"/>
            <w:vAlign w:val="center"/>
          </w:tcPr>
          <w:p w14:paraId="7FF7C5C2" w14:textId="7A9D160C" w:rsidR="00AE42F6" w:rsidRPr="0019542B" w:rsidRDefault="00AE42F6" w:rsidP="001B26FC">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Critical Value (5%)</w:t>
            </w:r>
          </w:p>
        </w:tc>
        <w:tc>
          <w:tcPr>
            <w:tcW w:w="1071" w:type="dxa"/>
            <w:tcBorders>
              <w:bottom w:val="single" w:sz="8" w:space="0" w:color="auto"/>
            </w:tcBorders>
            <w:shd w:val="clear" w:color="auto" w:fill="F2F2F2" w:themeFill="background1" w:themeFillShade="F2"/>
            <w:vAlign w:val="center"/>
          </w:tcPr>
          <w:p w14:paraId="3FE7A6EF" w14:textId="37EF6448" w:rsidR="00AE42F6" w:rsidRPr="00AE42F6" w:rsidRDefault="00AE42F6" w:rsidP="00AE42F6">
            <w:pPr>
              <w:pStyle w:val="ListParagraph"/>
              <w:overflowPunct w:val="0"/>
              <w:snapToGrid w:val="0"/>
              <w:spacing w:line="300" w:lineRule="auto"/>
              <w:ind w:left="0"/>
              <w:jc w:val="center"/>
              <w:rPr>
                <w:rFonts w:ascii="Times New Roman" w:eastAsia="標楷體" w:hAnsi="Times New Roman" w:cs="Times New Roman"/>
                <w:i/>
                <w:sz w:val="24"/>
                <w:szCs w:val="24"/>
                <w:lang w:eastAsia="zh-HK"/>
              </w:rPr>
            </w:pPr>
            <w:r w:rsidRPr="00AE42F6">
              <w:rPr>
                <w:rFonts w:ascii="Times New Roman" w:eastAsia="標楷體" w:hAnsi="Times New Roman" w:cs="Times New Roman"/>
                <w:i/>
                <w:sz w:val="24"/>
                <w:szCs w:val="24"/>
                <w:lang w:eastAsia="zh-HK"/>
              </w:rPr>
              <w:t>p</w:t>
            </w:r>
          </w:p>
        </w:tc>
      </w:tr>
      <w:tr w:rsidR="00AE42F6" w14:paraId="4C9546EF" w14:textId="34FC0241" w:rsidTr="00AE42F6">
        <w:trPr>
          <w:trHeight w:val="469"/>
        </w:trPr>
        <w:tc>
          <w:tcPr>
            <w:tcW w:w="4390" w:type="dxa"/>
            <w:tcBorders>
              <w:top w:val="single" w:sz="8" w:space="0" w:color="auto"/>
            </w:tcBorders>
            <w:vAlign w:val="center"/>
          </w:tcPr>
          <w:p w14:paraId="1B2FA3DA" w14:textId="3E4211E0" w:rsidR="00AE42F6" w:rsidRDefault="00AE42F6" w:rsidP="001B26FC">
            <w:pPr>
              <w:pStyle w:val="ListParagraph"/>
              <w:overflowPunct w:val="0"/>
              <w:snapToGrid w:val="0"/>
              <w:spacing w:line="300" w:lineRule="auto"/>
              <w:ind w:left="0"/>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CCPI does not predict Unit Labour Cost</w:t>
            </w:r>
          </w:p>
        </w:tc>
        <w:tc>
          <w:tcPr>
            <w:tcW w:w="1134" w:type="dxa"/>
            <w:tcBorders>
              <w:top w:val="single" w:sz="8" w:space="0" w:color="auto"/>
            </w:tcBorders>
            <w:vAlign w:val="center"/>
          </w:tcPr>
          <w:p w14:paraId="6914E428" w14:textId="43DBDEC1" w:rsidR="00AE42F6" w:rsidRDefault="00AE42F6" w:rsidP="001B26FC">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9.30**</w:t>
            </w:r>
          </w:p>
        </w:tc>
        <w:tc>
          <w:tcPr>
            <w:tcW w:w="1701" w:type="dxa"/>
            <w:tcBorders>
              <w:top w:val="single" w:sz="8" w:space="0" w:color="auto"/>
            </w:tcBorders>
            <w:vAlign w:val="center"/>
          </w:tcPr>
          <w:p w14:paraId="6181D355" w14:textId="4FFF7965" w:rsidR="00AE42F6" w:rsidRDefault="00AE42F6" w:rsidP="00416890">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2.28</w:t>
            </w:r>
          </w:p>
        </w:tc>
        <w:tc>
          <w:tcPr>
            <w:tcW w:w="1071" w:type="dxa"/>
            <w:tcBorders>
              <w:top w:val="single" w:sz="8" w:space="0" w:color="auto"/>
            </w:tcBorders>
            <w:vAlign w:val="center"/>
          </w:tcPr>
          <w:p w14:paraId="42EF52E0" w14:textId="5045A8BE" w:rsidR="00AE42F6" w:rsidRDefault="00AE42F6" w:rsidP="00AE42F6">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0.000</w:t>
            </w:r>
          </w:p>
        </w:tc>
      </w:tr>
      <w:tr w:rsidR="00AE42F6" w14:paraId="3C1BEDB7" w14:textId="724B3E5A" w:rsidTr="00AE42F6">
        <w:trPr>
          <w:trHeight w:val="469"/>
        </w:trPr>
        <w:tc>
          <w:tcPr>
            <w:tcW w:w="4390" w:type="dxa"/>
            <w:vAlign w:val="center"/>
          </w:tcPr>
          <w:p w14:paraId="15CF1D9D" w14:textId="5ED09708" w:rsidR="00AE42F6" w:rsidRDefault="00AE42F6" w:rsidP="001B26FC">
            <w:pPr>
              <w:pStyle w:val="ListParagraph"/>
              <w:overflowPunct w:val="0"/>
              <w:snapToGrid w:val="0"/>
              <w:spacing w:line="300" w:lineRule="auto"/>
              <w:ind w:left="0"/>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Unit Labour Cost does not predict CCPI</w:t>
            </w:r>
          </w:p>
        </w:tc>
        <w:tc>
          <w:tcPr>
            <w:tcW w:w="1134" w:type="dxa"/>
            <w:vAlign w:val="center"/>
          </w:tcPr>
          <w:p w14:paraId="3448344E" w14:textId="44142F0E" w:rsidR="00AE42F6" w:rsidRDefault="00AE42F6" w:rsidP="00416890">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2.10</w:t>
            </w:r>
          </w:p>
        </w:tc>
        <w:tc>
          <w:tcPr>
            <w:tcW w:w="1701" w:type="dxa"/>
            <w:vAlign w:val="center"/>
          </w:tcPr>
          <w:p w14:paraId="510B5DD7" w14:textId="1795AB35" w:rsidR="00AE42F6" w:rsidRDefault="00AE42F6" w:rsidP="00416890">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2.28</w:t>
            </w:r>
          </w:p>
        </w:tc>
        <w:tc>
          <w:tcPr>
            <w:tcW w:w="1071" w:type="dxa"/>
            <w:vAlign w:val="center"/>
          </w:tcPr>
          <w:p w14:paraId="4BA400E0" w14:textId="3981D83E" w:rsidR="00AE42F6" w:rsidRDefault="00AE42F6" w:rsidP="00AE42F6">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0.067</w:t>
            </w:r>
          </w:p>
        </w:tc>
      </w:tr>
    </w:tbl>
    <w:p w14:paraId="5F7DD6B5" w14:textId="59FE60A4" w:rsidR="00177F9C" w:rsidRPr="005D0F6F" w:rsidRDefault="005D0F6F" w:rsidP="006D10BB">
      <w:pPr>
        <w:overflowPunct w:val="0"/>
        <w:snapToGrid w:val="0"/>
        <w:spacing w:before="20" w:after="0" w:line="240" w:lineRule="auto"/>
        <w:ind w:left="720" w:hanging="720"/>
        <w:jc w:val="both"/>
        <w:rPr>
          <w:rFonts w:ascii="Times New Roman" w:eastAsia="標楷體" w:hAnsi="Times New Roman" w:cs="Times New Roman"/>
          <w:sz w:val="16"/>
          <w:szCs w:val="18"/>
          <w:lang w:eastAsia="zh-HK"/>
        </w:rPr>
      </w:pPr>
      <w:r w:rsidRPr="005D0F6F">
        <w:rPr>
          <w:rFonts w:ascii="Times New Roman" w:eastAsia="標楷體" w:hAnsi="Times New Roman" w:cs="Times New Roman"/>
          <w:sz w:val="16"/>
          <w:szCs w:val="18"/>
          <w:lang w:eastAsia="zh-HK"/>
        </w:rPr>
        <w:t>Notes (*</w:t>
      </w:r>
      <w:proofErr w:type="gramStart"/>
      <w:r w:rsidRPr="005D0F6F">
        <w:rPr>
          <w:rFonts w:ascii="Times New Roman" w:eastAsia="標楷體" w:hAnsi="Times New Roman" w:cs="Times New Roman"/>
          <w:sz w:val="16"/>
          <w:szCs w:val="18"/>
          <w:lang w:eastAsia="zh-HK"/>
        </w:rPr>
        <w:t>) :</w:t>
      </w:r>
      <w:proofErr w:type="gramEnd"/>
      <w:r w:rsidRPr="005D0F6F">
        <w:rPr>
          <w:rFonts w:ascii="Times New Roman" w:eastAsia="標楷體" w:hAnsi="Times New Roman" w:cs="Times New Roman"/>
          <w:sz w:val="16"/>
          <w:szCs w:val="18"/>
          <w:lang w:eastAsia="zh-HK"/>
        </w:rPr>
        <w:tab/>
        <w:t xml:space="preserve">Tests are on the natural logarithms of the listed variables.  The null </w:t>
      </w:r>
      <w:r w:rsidR="001B26FC">
        <w:rPr>
          <w:rFonts w:ascii="Times New Roman" w:eastAsia="標楷體" w:hAnsi="Times New Roman" w:cs="Times New Roman"/>
          <w:sz w:val="16"/>
          <w:szCs w:val="18"/>
          <w:lang w:eastAsia="zh-HK"/>
        </w:rPr>
        <w:t xml:space="preserve">hypothesis that </w:t>
      </w:r>
      <w:r w:rsidR="006D10BB">
        <w:rPr>
          <w:rFonts w:ascii="Times New Roman" w:eastAsia="標楷體" w:hAnsi="Times New Roman" w:cs="Times New Roman"/>
          <w:sz w:val="16"/>
          <w:szCs w:val="18"/>
          <w:lang w:eastAsia="zh-HK"/>
        </w:rPr>
        <w:t>A does not predict B is the hypothesis that, in a differenced VAR model with five lags, the coefficients on A in the equation for B are equal to zero</w:t>
      </w:r>
      <w:r w:rsidRPr="005D0F6F">
        <w:rPr>
          <w:rFonts w:ascii="Times New Roman" w:eastAsia="標楷體" w:hAnsi="Times New Roman" w:cs="Times New Roman"/>
          <w:sz w:val="16"/>
          <w:szCs w:val="18"/>
          <w:lang w:eastAsia="zh-HK"/>
        </w:rPr>
        <w:t>.</w:t>
      </w:r>
    </w:p>
    <w:p w14:paraId="065C41B7" w14:textId="77CBF8A0" w:rsidR="001B26FC" w:rsidRDefault="001B26FC" w:rsidP="00DF1C14">
      <w:pPr>
        <w:pStyle w:val="ListParagraph"/>
        <w:overflowPunct w:val="0"/>
        <w:snapToGrid w:val="0"/>
        <w:spacing w:after="0" w:line="300" w:lineRule="auto"/>
        <w:ind w:left="0"/>
        <w:jc w:val="both"/>
        <w:rPr>
          <w:rFonts w:ascii="Times New Roman" w:eastAsia="標楷體" w:hAnsi="Times New Roman" w:cs="Times New Roman"/>
          <w:b/>
          <w:sz w:val="24"/>
          <w:szCs w:val="24"/>
          <w:lang w:eastAsia="zh-HK"/>
        </w:rPr>
      </w:pPr>
      <w:r>
        <w:rPr>
          <w:rFonts w:ascii="Times New Roman" w:eastAsia="標楷體" w:hAnsi="Times New Roman" w:cs="Times New Roman"/>
          <w:sz w:val="16"/>
          <w:szCs w:val="18"/>
          <w:lang w:eastAsia="zh-HK"/>
        </w:rPr>
        <w:t xml:space="preserve">        (**</w:t>
      </w:r>
      <w:proofErr w:type="gramStart"/>
      <w:r>
        <w:rPr>
          <w:rFonts w:ascii="Times New Roman" w:eastAsia="標楷體" w:hAnsi="Times New Roman" w:cs="Times New Roman"/>
          <w:sz w:val="16"/>
          <w:szCs w:val="18"/>
          <w:lang w:eastAsia="zh-HK"/>
        </w:rPr>
        <w:t>) :</w:t>
      </w:r>
      <w:proofErr w:type="gramEnd"/>
      <w:r>
        <w:rPr>
          <w:rFonts w:ascii="Times New Roman" w:eastAsia="標楷體" w:hAnsi="Times New Roman" w:cs="Times New Roman"/>
          <w:sz w:val="16"/>
          <w:szCs w:val="18"/>
          <w:lang w:eastAsia="zh-HK"/>
        </w:rPr>
        <w:tab/>
        <w:t>The null hypothesis is rejected at the 5% level</w:t>
      </w:r>
      <w:r w:rsidR="006D10BB">
        <w:rPr>
          <w:rFonts w:ascii="Times New Roman" w:eastAsia="標楷體" w:hAnsi="Times New Roman" w:cs="Times New Roman"/>
          <w:sz w:val="16"/>
          <w:szCs w:val="18"/>
          <w:lang w:eastAsia="zh-HK"/>
        </w:rPr>
        <w:t>.</w:t>
      </w:r>
    </w:p>
    <w:p w14:paraId="6664F6E7" w14:textId="70936152" w:rsidR="00DF1C14" w:rsidRDefault="00DF1C14" w:rsidP="00DF1C14">
      <w:pPr>
        <w:pStyle w:val="ListParagraph"/>
        <w:overflowPunct w:val="0"/>
        <w:snapToGrid w:val="0"/>
        <w:spacing w:after="0" w:line="300" w:lineRule="auto"/>
        <w:ind w:left="0"/>
        <w:jc w:val="both"/>
        <w:rPr>
          <w:rFonts w:ascii="Times New Roman" w:eastAsia="標楷體" w:hAnsi="Times New Roman" w:cs="Times New Roman"/>
          <w:b/>
          <w:sz w:val="24"/>
          <w:szCs w:val="24"/>
          <w:lang w:eastAsia="zh-HK"/>
        </w:rPr>
      </w:pPr>
      <w:r>
        <w:rPr>
          <w:rFonts w:ascii="Times New Roman" w:eastAsia="標楷體" w:hAnsi="Times New Roman" w:cs="Times New Roman"/>
          <w:b/>
          <w:sz w:val="24"/>
          <w:szCs w:val="24"/>
          <w:lang w:eastAsia="zh-HK"/>
        </w:rPr>
        <w:lastRenderedPageBreak/>
        <w:t>IV.</w:t>
      </w:r>
      <w:r>
        <w:rPr>
          <w:rFonts w:ascii="Times New Roman" w:eastAsia="標楷體" w:hAnsi="Times New Roman" w:cs="Times New Roman"/>
          <w:b/>
          <w:sz w:val="24"/>
          <w:szCs w:val="24"/>
          <w:lang w:eastAsia="zh-HK"/>
        </w:rPr>
        <w:tab/>
        <w:t>MODEL</w:t>
      </w:r>
    </w:p>
    <w:p w14:paraId="7E415475" w14:textId="6A953C39" w:rsidR="00DF1C14" w:rsidRDefault="00DF1C14" w:rsidP="00DF1C14">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
    <w:p w14:paraId="4637D625" w14:textId="0D960C97" w:rsidR="00392FCE" w:rsidRDefault="001F08CF" w:rsidP="00392FCE">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 xml:space="preserve">As suggested by the </w:t>
      </w:r>
      <w:r w:rsidR="00F10B22">
        <w:rPr>
          <w:rFonts w:ascii="Times New Roman" w:eastAsia="標楷體" w:hAnsi="Times New Roman" w:cs="Times New Roman"/>
          <w:sz w:val="24"/>
          <w:szCs w:val="24"/>
          <w:lang w:eastAsia="zh-HK"/>
        </w:rPr>
        <w:t>time series properties of the variables</w:t>
      </w:r>
      <w:r>
        <w:rPr>
          <w:rFonts w:ascii="Times New Roman" w:eastAsia="標楷體" w:hAnsi="Times New Roman" w:cs="Times New Roman"/>
          <w:sz w:val="24"/>
          <w:szCs w:val="24"/>
          <w:lang w:eastAsia="zh-HK"/>
        </w:rPr>
        <w:t xml:space="preserve">, </w:t>
      </w:r>
      <w:r w:rsidR="00B13B9B">
        <w:rPr>
          <w:rFonts w:ascii="Times New Roman" w:eastAsia="標楷體" w:hAnsi="Times New Roman" w:cs="Times New Roman"/>
          <w:sz w:val="24"/>
          <w:szCs w:val="24"/>
          <w:lang w:eastAsia="zh-HK"/>
        </w:rPr>
        <w:t xml:space="preserve">productivity-adjusted nominal </w:t>
      </w:r>
      <w:r>
        <w:rPr>
          <w:rFonts w:ascii="Times New Roman" w:eastAsia="標楷體" w:hAnsi="Times New Roman" w:cs="Times New Roman"/>
          <w:sz w:val="24"/>
          <w:szCs w:val="24"/>
          <w:lang w:eastAsia="zh-HK"/>
        </w:rPr>
        <w:t>wages and prices are modelled with a first-differenced VAR model with five lags</w:t>
      </w:r>
      <w:r w:rsidR="00064B35">
        <w:rPr>
          <w:rFonts w:ascii="Times New Roman" w:eastAsia="標楷體" w:hAnsi="Times New Roman" w:cs="Times New Roman"/>
          <w:sz w:val="24"/>
          <w:szCs w:val="24"/>
          <w:lang w:eastAsia="zh-HK"/>
        </w:rPr>
        <w:t>.</w:t>
      </w:r>
      <w:r>
        <w:rPr>
          <w:rFonts w:ascii="Times New Roman" w:eastAsia="標楷體" w:hAnsi="Times New Roman" w:cs="Times New Roman"/>
          <w:sz w:val="24"/>
          <w:szCs w:val="24"/>
          <w:lang w:eastAsia="zh-HK"/>
        </w:rPr>
        <w:t xml:space="preserve">  Moreover, </w:t>
      </w:r>
      <w:r w:rsidR="00813DAD">
        <w:rPr>
          <w:rFonts w:ascii="Times New Roman" w:eastAsia="標楷體" w:hAnsi="Times New Roman" w:cs="Times New Roman"/>
          <w:sz w:val="24"/>
          <w:szCs w:val="24"/>
          <w:lang w:eastAsia="zh-HK"/>
        </w:rPr>
        <w:t>in line with</w:t>
      </w:r>
      <w:r>
        <w:rPr>
          <w:rFonts w:ascii="Times New Roman" w:eastAsia="標楷體" w:hAnsi="Times New Roman" w:cs="Times New Roman"/>
          <w:sz w:val="24"/>
          <w:szCs w:val="24"/>
          <w:lang w:eastAsia="zh-HK"/>
        </w:rPr>
        <w:t xml:space="preserve"> Gordon’s triangle model, additional exogenous covariates are added in order to </w:t>
      </w:r>
      <w:r w:rsidR="004C26F3">
        <w:rPr>
          <w:rFonts w:ascii="Times New Roman" w:eastAsia="標楷體" w:hAnsi="Times New Roman" w:cs="Times New Roman"/>
          <w:sz w:val="24"/>
          <w:szCs w:val="24"/>
          <w:lang w:eastAsia="zh-HK"/>
        </w:rPr>
        <w:t xml:space="preserve">control for supply and demand factors.  The third corner of the triangle, inertia, is covered by the lagged endogenous variables.  </w:t>
      </w:r>
      <w:r w:rsidR="009B6EEB" w:rsidRPr="004C26F3">
        <w:rPr>
          <w:rFonts w:ascii="Times New Roman" w:eastAsia="標楷體" w:hAnsi="Times New Roman" w:cs="Times New Roman"/>
          <w:sz w:val="24"/>
          <w:szCs w:val="24"/>
          <w:lang w:eastAsia="zh-HK"/>
        </w:rPr>
        <w:t xml:space="preserve">Formally, the </w:t>
      </w:r>
      <w:r w:rsidR="004C26F3">
        <w:rPr>
          <w:rFonts w:ascii="Times New Roman" w:eastAsia="標楷體" w:hAnsi="Times New Roman" w:cs="Times New Roman"/>
          <w:sz w:val="24"/>
          <w:szCs w:val="24"/>
          <w:lang w:eastAsia="zh-HK"/>
        </w:rPr>
        <w:t>VAR</w:t>
      </w:r>
      <w:r w:rsidR="00815020" w:rsidRPr="004C26F3">
        <w:rPr>
          <w:rFonts w:ascii="Times New Roman" w:eastAsia="標楷體" w:hAnsi="Times New Roman" w:cs="Times New Roman"/>
          <w:sz w:val="24"/>
          <w:szCs w:val="24"/>
          <w:lang w:eastAsia="zh-HK"/>
        </w:rPr>
        <w:t xml:space="preserve"> model is written as</w:t>
      </w:r>
    </w:p>
    <w:p w14:paraId="506DBCB2" w14:textId="77777777" w:rsidR="00392FCE" w:rsidRPr="00546040" w:rsidRDefault="00392FCE" w:rsidP="00392FCE">
      <w:pPr>
        <w:pStyle w:val="ListParagraph"/>
        <w:overflowPunct w:val="0"/>
        <w:snapToGrid w:val="0"/>
        <w:spacing w:after="0" w:line="300" w:lineRule="auto"/>
        <w:ind w:left="0"/>
        <w:jc w:val="both"/>
        <w:rPr>
          <w:rFonts w:ascii="Times New Roman" w:eastAsia="標楷體" w:hAnsi="Times New Roman" w:cs="Times New Roman"/>
          <w:sz w:val="18"/>
          <w:szCs w:val="24"/>
          <w:lang w:eastAsia="zh-HK"/>
        </w:rPr>
      </w:pPr>
    </w:p>
    <w:p w14:paraId="477949BD" w14:textId="452E4FF8" w:rsidR="00815020" w:rsidRPr="00392FCE" w:rsidRDefault="00815020" w:rsidP="00392FCE">
      <w:pPr>
        <w:pStyle w:val="ListParagraph"/>
        <w:overflowPunct w:val="0"/>
        <w:snapToGrid w:val="0"/>
        <w:spacing w:after="0" w:line="300" w:lineRule="auto"/>
        <w:ind w:left="0"/>
        <w:jc w:val="both"/>
        <w:rPr>
          <w:rFonts w:ascii="Cambria Math" w:eastAsia="標楷體" w:hAnsi="Cambria Math" w:cs="Times New Roman"/>
          <w:i/>
          <w:sz w:val="24"/>
          <w:szCs w:val="24"/>
          <w:lang w:eastAsia="zh-HK"/>
        </w:rPr>
      </w:pPr>
      <m:oMathPara>
        <m:oMath>
          <m:r>
            <w:rPr>
              <w:rFonts w:ascii="Cambria Math" w:eastAsia="標楷體" w:hAnsi="Cambria Math" w:cs="Times New Roman"/>
              <w:sz w:val="24"/>
              <w:szCs w:val="24"/>
              <w:lang w:eastAsia="zh-HK"/>
            </w:rPr>
            <m:t>∆</m:t>
          </m:r>
          <m:sSub>
            <m:sSubPr>
              <m:ctrlPr>
                <w:rPr>
                  <w:rFonts w:ascii="Cambria Math" w:eastAsia="標楷體" w:hAnsi="Cambria Math" w:cs="Times New Roman"/>
                  <w:i/>
                  <w:sz w:val="24"/>
                  <w:szCs w:val="24"/>
                  <w:lang w:eastAsia="zh-HK"/>
                </w:rPr>
              </m:ctrlPr>
            </m:sSubPr>
            <m:e>
              <m:r>
                <m:rPr>
                  <m:sty m:val="bi"/>
                </m:rPr>
                <w:rPr>
                  <w:rFonts w:ascii="Cambria Math" w:eastAsia="標楷體" w:hAnsi="Cambria Math" w:cs="Times New Roman"/>
                  <w:sz w:val="24"/>
                  <w:szCs w:val="24"/>
                  <w:lang w:eastAsia="zh-HK"/>
                </w:rPr>
                <m:t>y</m:t>
              </m:r>
            </m:e>
            <m:sub>
              <m:r>
                <w:rPr>
                  <w:rFonts w:ascii="Cambria Math" w:eastAsia="標楷體" w:hAnsi="Cambria Math" w:cs="Times New Roman"/>
                  <w:sz w:val="24"/>
                  <w:szCs w:val="24"/>
                  <w:lang w:eastAsia="zh-HK"/>
                </w:rPr>
                <m:t>t</m:t>
              </m:r>
            </m:sub>
          </m:sSub>
          <m:r>
            <w:rPr>
              <w:rFonts w:ascii="Cambria Math" w:eastAsia="標楷體" w:hAnsi="Cambria Math" w:cs="Times New Roman"/>
              <w:sz w:val="24"/>
              <w:szCs w:val="24"/>
              <w:lang w:eastAsia="zh-HK"/>
            </w:rPr>
            <m:t>=</m:t>
          </m:r>
          <m:r>
            <m:rPr>
              <m:sty m:val="bi"/>
            </m:rPr>
            <w:rPr>
              <w:rFonts w:ascii="Cambria Math" w:eastAsia="標楷體" w:hAnsi="Cambria Math" w:cs="Times New Roman"/>
              <w:sz w:val="24"/>
              <w:szCs w:val="24"/>
              <w:lang w:eastAsia="zh-HK"/>
            </w:rPr>
            <m:t>γ</m:t>
          </m:r>
          <m:r>
            <w:rPr>
              <w:rFonts w:ascii="Cambria Math" w:eastAsia="標楷體" w:hAnsi="Cambria Math" w:cs="Times New Roman"/>
              <w:sz w:val="24"/>
              <w:szCs w:val="24"/>
              <w:lang w:eastAsia="zh-HK"/>
            </w:rPr>
            <m:t>+</m:t>
          </m:r>
          <m:nary>
            <m:naryPr>
              <m:chr m:val="∑"/>
              <m:limLoc m:val="undOvr"/>
              <m:ctrlPr>
                <w:rPr>
                  <w:rFonts w:ascii="Cambria Math" w:eastAsia="標楷體" w:hAnsi="Cambria Math" w:cs="Times New Roman"/>
                  <w:b/>
                  <w:sz w:val="24"/>
                  <w:szCs w:val="24"/>
                  <w:lang w:eastAsia="zh-HK"/>
                </w:rPr>
              </m:ctrlPr>
            </m:naryPr>
            <m:sub>
              <m:r>
                <w:rPr>
                  <w:rFonts w:ascii="Cambria Math" w:eastAsia="標楷體" w:hAnsi="Cambria Math" w:cs="Times New Roman"/>
                  <w:sz w:val="24"/>
                  <w:szCs w:val="24"/>
                  <w:lang w:eastAsia="zh-HK"/>
                </w:rPr>
                <m:t>p=1</m:t>
              </m:r>
            </m:sub>
            <m:sup>
              <m:r>
                <w:rPr>
                  <w:rFonts w:ascii="Cambria Math" w:eastAsia="標楷體" w:hAnsi="Cambria Math" w:cs="Times New Roman"/>
                  <w:sz w:val="24"/>
                  <w:szCs w:val="24"/>
                  <w:lang w:eastAsia="zh-HK"/>
                </w:rPr>
                <m:t>5</m:t>
              </m:r>
            </m:sup>
            <m:e>
              <m:sSub>
                <m:sSubPr>
                  <m:ctrlPr>
                    <w:rPr>
                      <w:rFonts w:ascii="Cambria Math" w:eastAsia="標楷體" w:hAnsi="Cambria Math" w:cs="Times New Roman"/>
                      <w:b/>
                      <w:sz w:val="24"/>
                      <w:szCs w:val="24"/>
                      <w:lang w:eastAsia="zh-HK"/>
                    </w:rPr>
                  </m:ctrlPr>
                </m:sSubPr>
                <m:e>
                  <m:r>
                    <m:rPr>
                      <m:sty m:val="b"/>
                    </m:rPr>
                    <w:rPr>
                      <w:rFonts w:ascii="Cambria Math" w:eastAsia="標楷體" w:hAnsi="Cambria Math" w:cs="Times New Roman"/>
                      <w:b/>
                      <w:sz w:val="24"/>
                      <w:szCs w:val="24"/>
                      <w:lang w:eastAsia="zh-HK"/>
                    </w:rPr>
                    <w:sym w:font="Symbol" w:char="F046"/>
                  </m:r>
                </m:e>
                <m:sub>
                  <m:r>
                    <w:rPr>
                      <w:rFonts w:ascii="Cambria Math" w:eastAsia="標楷體" w:hAnsi="Cambria Math" w:cs="Times New Roman"/>
                      <w:sz w:val="24"/>
                      <w:szCs w:val="24"/>
                      <w:lang w:eastAsia="zh-HK"/>
                    </w:rPr>
                    <m:t>p</m:t>
                  </m:r>
                </m:sub>
              </m:sSub>
              <m:r>
                <m:rPr>
                  <m:sty m:val="b"/>
                </m:rPr>
                <w:rPr>
                  <w:rFonts w:ascii="Cambria Math" w:eastAsia="標楷體" w:hAnsi="Cambria Math" w:cs="Times New Roman"/>
                  <w:sz w:val="24"/>
                  <w:szCs w:val="24"/>
                  <w:lang w:eastAsia="zh-HK"/>
                </w:rPr>
                <m:t>∙</m:t>
              </m:r>
              <m:r>
                <w:rPr>
                  <w:rFonts w:ascii="Cambria Math" w:eastAsia="標楷體" w:hAnsi="Cambria Math" w:cs="Times New Roman"/>
                  <w:sz w:val="24"/>
                  <w:szCs w:val="24"/>
                  <w:lang w:eastAsia="zh-HK"/>
                </w:rPr>
                <m:t>∆</m:t>
              </m:r>
              <m:sSub>
                <m:sSubPr>
                  <m:ctrlPr>
                    <w:rPr>
                      <w:rFonts w:ascii="Cambria Math" w:eastAsia="標楷體" w:hAnsi="Cambria Math" w:cs="Times New Roman"/>
                      <w:i/>
                      <w:sz w:val="24"/>
                      <w:szCs w:val="24"/>
                      <w:lang w:eastAsia="zh-HK"/>
                    </w:rPr>
                  </m:ctrlPr>
                </m:sSubPr>
                <m:e>
                  <m:r>
                    <m:rPr>
                      <m:sty m:val="bi"/>
                    </m:rPr>
                    <w:rPr>
                      <w:rFonts w:ascii="Cambria Math" w:eastAsia="標楷體" w:hAnsi="Cambria Math" w:cs="Times New Roman"/>
                      <w:sz w:val="24"/>
                      <w:szCs w:val="24"/>
                      <w:lang w:eastAsia="zh-HK"/>
                    </w:rPr>
                    <m:t>y</m:t>
                  </m:r>
                </m:e>
                <m:sub>
                  <m:r>
                    <w:rPr>
                      <w:rFonts w:ascii="Cambria Math" w:eastAsia="標楷體" w:hAnsi="Cambria Math" w:cs="Times New Roman"/>
                      <w:sz w:val="24"/>
                      <w:szCs w:val="24"/>
                      <w:lang w:eastAsia="zh-HK"/>
                    </w:rPr>
                    <m:t>t-p</m:t>
                  </m:r>
                </m:sub>
              </m:sSub>
            </m:e>
          </m:nary>
          <m:r>
            <w:rPr>
              <w:rFonts w:ascii="Cambria Math" w:eastAsia="標楷體" w:hAnsi="Cambria Math" w:cs="Times New Roman"/>
              <w:sz w:val="24"/>
              <w:szCs w:val="24"/>
              <w:lang w:eastAsia="zh-HK"/>
            </w:rPr>
            <m:t>+</m:t>
          </m:r>
          <m:nary>
            <m:naryPr>
              <m:chr m:val="∑"/>
              <m:limLoc m:val="undOvr"/>
              <m:ctrlPr>
                <w:rPr>
                  <w:rFonts w:ascii="Cambria Math" w:eastAsia="標楷體" w:hAnsi="Cambria Math" w:cs="Times New Roman"/>
                  <w:b/>
                  <w:sz w:val="24"/>
                  <w:szCs w:val="24"/>
                  <w:lang w:eastAsia="zh-HK"/>
                </w:rPr>
              </m:ctrlPr>
            </m:naryPr>
            <m:sub>
              <m:r>
                <w:rPr>
                  <w:rFonts w:ascii="Cambria Math" w:eastAsia="標楷體" w:hAnsi="Cambria Math" w:cs="Times New Roman"/>
                  <w:sz w:val="24"/>
                  <w:szCs w:val="24"/>
                  <w:lang w:eastAsia="zh-HK"/>
                </w:rPr>
                <m:t>q=1</m:t>
              </m:r>
            </m:sub>
            <m:sup>
              <m:r>
                <w:rPr>
                  <w:rFonts w:ascii="Cambria Math" w:eastAsia="標楷體" w:hAnsi="Cambria Math" w:cs="Times New Roman"/>
                  <w:sz w:val="24"/>
                  <w:szCs w:val="24"/>
                  <w:lang w:eastAsia="zh-HK"/>
                </w:rPr>
                <m:t>5</m:t>
              </m:r>
            </m:sup>
            <m:e>
              <m:sSub>
                <m:sSubPr>
                  <m:ctrlPr>
                    <w:rPr>
                      <w:rFonts w:ascii="Cambria Math" w:eastAsia="標楷體" w:hAnsi="Cambria Math" w:cs="Times New Roman"/>
                      <w:b/>
                      <w:sz w:val="24"/>
                      <w:szCs w:val="24"/>
                      <w:lang w:eastAsia="zh-HK"/>
                    </w:rPr>
                  </m:ctrlPr>
                </m:sSubPr>
                <m:e>
                  <m:r>
                    <m:rPr>
                      <m:sty m:val="b"/>
                    </m:rPr>
                    <w:rPr>
                      <w:rFonts w:ascii="Cambria Math" w:eastAsia="標楷體" w:hAnsi="Cambria Math" w:cs="Times New Roman"/>
                      <w:b/>
                      <w:sz w:val="24"/>
                      <w:szCs w:val="24"/>
                      <w:lang w:eastAsia="zh-HK"/>
                    </w:rPr>
                    <w:sym w:font="Symbol" w:char="F047"/>
                  </m:r>
                </m:e>
                <m:sub>
                  <m:r>
                    <w:rPr>
                      <w:rFonts w:ascii="Cambria Math" w:eastAsia="標楷體" w:hAnsi="Cambria Math" w:cs="Times New Roman"/>
                      <w:sz w:val="24"/>
                      <w:szCs w:val="24"/>
                      <w:lang w:eastAsia="zh-HK"/>
                    </w:rPr>
                    <m:t>q</m:t>
                  </m:r>
                </m:sub>
              </m:sSub>
              <m:r>
                <m:rPr>
                  <m:sty m:val="b"/>
                </m:rPr>
                <w:rPr>
                  <w:rFonts w:ascii="Cambria Math" w:eastAsia="標楷體" w:hAnsi="Cambria Math" w:cs="Times New Roman"/>
                  <w:sz w:val="24"/>
                  <w:szCs w:val="24"/>
                  <w:lang w:eastAsia="zh-HK"/>
                </w:rPr>
                <m:t>∙</m:t>
              </m:r>
              <m:r>
                <w:rPr>
                  <w:rFonts w:ascii="Cambria Math" w:eastAsia="標楷體" w:hAnsi="Cambria Math" w:cs="Times New Roman"/>
                  <w:sz w:val="24"/>
                  <w:szCs w:val="24"/>
                  <w:lang w:eastAsia="zh-HK"/>
                </w:rPr>
                <m:t>∆</m:t>
              </m:r>
              <m:sSub>
                <m:sSubPr>
                  <m:ctrlPr>
                    <w:rPr>
                      <w:rFonts w:ascii="Cambria Math" w:eastAsia="標楷體" w:hAnsi="Cambria Math" w:cs="Times New Roman"/>
                      <w:i/>
                      <w:sz w:val="24"/>
                      <w:szCs w:val="24"/>
                      <w:lang w:eastAsia="zh-HK"/>
                    </w:rPr>
                  </m:ctrlPr>
                </m:sSubPr>
                <m:e>
                  <m:r>
                    <m:rPr>
                      <m:sty m:val="bi"/>
                    </m:rPr>
                    <w:rPr>
                      <w:rFonts w:ascii="Cambria Math" w:eastAsia="標楷體" w:hAnsi="Cambria Math" w:cs="Times New Roman"/>
                      <w:sz w:val="24"/>
                      <w:szCs w:val="24"/>
                      <w:lang w:eastAsia="zh-HK"/>
                    </w:rPr>
                    <m:t>X</m:t>
                  </m:r>
                </m:e>
                <m:sub>
                  <m:r>
                    <w:rPr>
                      <w:rFonts w:ascii="Cambria Math" w:eastAsia="標楷體" w:hAnsi="Cambria Math" w:cs="Times New Roman"/>
                      <w:sz w:val="24"/>
                      <w:szCs w:val="24"/>
                      <w:lang w:eastAsia="zh-HK"/>
                    </w:rPr>
                    <m:t>t-q</m:t>
                  </m:r>
                </m:sub>
              </m:sSub>
            </m:e>
          </m:nary>
          <m:r>
            <w:rPr>
              <w:rFonts w:ascii="Cambria Math" w:eastAsia="標楷體" w:hAnsi="Cambria Math" w:cs="Times New Roman"/>
              <w:sz w:val="24"/>
              <w:szCs w:val="24"/>
              <w:lang w:eastAsia="zh-HK"/>
            </w:rPr>
            <m:t>+</m:t>
          </m:r>
          <m:sSub>
            <m:sSubPr>
              <m:ctrlPr>
                <w:rPr>
                  <w:rFonts w:ascii="Cambria Math" w:eastAsia="標楷體" w:hAnsi="Cambria Math" w:cs="Times New Roman"/>
                  <w:i/>
                  <w:sz w:val="24"/>
                  <w:szCs w:val="24"/>
                  <w:lang w:eastAsia="zh-HK"/>
                </w:rPr>
              </m:ctrlPr>
            </m:sSubPr>
            <m:e>
              <m:r>
                <m:rPr>
                  <m:sty m:val="bi"/>
                </m:rPr>
                <w:rPr>
                  <w:rFonts w:ascii="Cambria Math" w:eastAsia="標楷體" w:hAnsi="Cambria Math" w:cs="Times New Roman"/>
                  <w:sz w:val="24"/>
                  <w:szCs w:val="24"/>
                  <w:lang w:eastAsia="zh-HK"/>
                </w:rPr>
                <m:t>ε</m:t>
              </m:r>
            </m:e>
            <m:sub>
              <m:r>
                <w:rPr>
                  <w:rFonts w:ascii="Cambria Math" w:eastAsia="標楷體" w:hAnsi="Cambria Math" w:cs="Times New Roman"/>
                  <w:sz w:val="24"/>
                  <w:szCs w:val="24"/>
                  <w:lang w:eastAsia="zh-HK"/>
                </w:rPr>
                <m:t>t</m:t>
              </m:r>
            </m:sub>
          </m:sSub>
        </m:oMath>
      </m:oMathPara>
    </w:p>
    <w:p w14:paraId="481FF6C6" w14:textId="77777777" w:rsidR="00392FCE" w:rsidRPr="00546040" w:rsidRDefault="00392FCE" w:rsidP="00A54AD7">
      <w:pPr>
        <w:pStyle w:val="ListParagraph"/>
        <w:overflowPunct w:val="0"/>
        <w:snapToGrid w:val="0"/>
        <w:spacing w:after="0" w:line="300" w:lineRule="auto"/>
        <w:ind w:left="0"/>
        <w:jc w:val="both"/>
        <w:rPr>
          <w:rFonts w:ascii="Times New Roman" w:eastAsia="標楷體" w:hAnsi="Times New Roman" w:cs="Times New Roman"/>
          <w:sz w:val="20"/>
          <w:szCs w:val="24"/>
          <w:lang w:eastAsia="zh-HK"/>
        </w:rPr>
      </w:pPr>
    </w:p>
    <w:p w14:paraId="3C7723AA" w14:textId="3AC50CC3" w:rsidR="00A54AD7" w:rsidRDefault="00A47E03" w:rsidP="00A54AD7">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roofErr w:type="gramStart"/>
      <w:r>
        <w:rPr>
          <w:rFonts w:ascii="Times New Roman" w:eastAsia="標楷體" w:hAnsi="Times New Roman" w:cs="Times New Roman"/>
          <w:sz w:val="24"/>
          <w:szCs w:val="24"/>
          <w:lang w:eastAsia="zh-HK"/>
        </w:rPr>
        <w:t>w</w:t>
      </w:r>
      <w:r w:rsidR="00815020">
        <w:rPr>
          <w:rFonts w:ascii="Times New Roman" w:eastAsia="標楷體" w:hAnsi="Times New Roman" w:cs="Times New Roman"/>
          <w:sz w:val="24"/>
          <w:szCs w:val="24"/>
          <w:lang w:eastAsia="zh-HK"/>
        </w:rPr>
        <w:t>here</w:t>
      </w:r>
      <w:proofErr w:type="gramEnd"/>
      <w:r>
        <w:rPr>
          <w:rFonts w:ascii="Times New Roman" w:eastAsia="標楷體" w:hAnsi="Times New Roman" w:cs="Times New Roman"/>
          <w:sz w:val="24"/>
          <w:szCs w:val="24"/>
          <w:lang w:eastAsia="zh-HK"/>
        </w:rPr>
        <w:t xml:space="preserve"> </w:t>
      </w:r>
      <m:oMath>
        <m:sSub>
          <m:sSubPr>
            <m:ctrlPr>
              <w:rPr>
                <w:rFonts w:ascii="Cambria Math" w:eastAsia="標楷體" w:hAnsi="Cambria Math" w:cs="Times New Roman"/>
                <w:i/>
                <w:sz w:val="24"/>
                <w:szCs w:val="24"/>
                <w:lang w:eastAsia="zh-HK"/>
              </w:rPr>
            </m:ctrlPr>
          </m:sSubPr>
          <m:e>
            <m:r>
              <m:rPr>
                <m:sty m:val="bi"/>
              </m:rPr>
              <w:rPr>
                <w:rFonts w:ascii="Cambria Math" w:eastAsia="標楷體" w:hAnsi="Cambria Math" w:cs="Times New Roman"/>
                <w:sz w:val="24"/>
                <w:szCs w:val="24"/>
                <w:lang w:eastAsia="zh-HK"/>
              </w:rPr>
              <m:t>y</m:t>
            </m:r>
          </m:e>
          <m:sub>
            <m:r>
              <w:rPr>
                <w:rFonts w:ascii="Cambria Math" w:eastAsia="標楷體" w:hAnsi="Cambria Math" w:cs="Times New Roman"/>
                <w:sz w:val="24"/>
                <w:szCs w:val="24"/>
                <w:lang w:eastAsia="zh-HK"/>
              </w:rPr>
              <m:t>t</m:t>
            </m:r>
          </m:sub>
        </m:sSub>
      </m:oMath>
      <w:r>
        <w:rPr>
          <w:rFonts w:ascii="Times New Roman" w:eastAsia="標楷體" w:hAnsi="Times New Roman" w:cs="Times New Roman"/>
          <w:sz w:val="24"/>
          <w:szCs w:val="24"/>
          <w:lang w:eastAsia="zh-HK"/>
        </w:rPr>
        <w:t xml:space="preserve"> are </w:t>
      </w:r>
      <w:r w:rsidR="008123C0">
        <w:rPr>
          <w:rFonts w:ascii="Times New Roman" w:eastAsia="標楷體" w:hAnsi="Times New Roman" w:cs="Times New Roman"/>
          <w:sz w:val="24"/>
          <w:szCs w:val="24"/>
          <w:lang w:eastAsia="zh-HK"/>
        </w:rPr>
        <w:t>the log CCPI and log unit labour costs</w:t>
      </w:r>
      <w:r w:rsidR="00EB3DFA">
        <w:rPr>
          <w:rFonts w:ascii="Times New Roman" w:eastAsia="標楷體" w:hAnsi="Times New Roman" w:cs="Times New Roman"/>
          <w:sz w:val="24"/>
          <w:szCs w:val="24"/>
          <w:lang w:eastAsia="zh-HK"/>
        </w:rPr>
        <w:t xml:space="preserve"> as defined earlier</w:t>
      </w:r>
      <w:r w:rsidR="008123C0">
        <w:rPr>
          <w:rFonts w:ascii="Times New Roman" w:eastAsia="標楷體" w:hAnsi="Times New Roman" w:cs="Times New Roman"/>
          <w:sz w:val="24"/>
          <w:szCs w:val="24"/>
          <w:lang w:eastAsia="zh-HK"/>
        </w:rPr>
        <w:t>.</w:t>
      </w:r>
    </w:p>
    <w:p w14:paraId="3F7C78B0" w14:textId="52E37635" w:rsidR="0093558A" w:rsidRDefault="0093558A" w:rsidP="0093558A">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
    <w:p w14:paraId="1BAFBFE8" w14:textId="6FD6D1B1" w:rsidR="00A54AD7" w:rsidRDefault="00A54AD7" w:rsidP="00C54C6C">
      <w:pPr>
        <w:pStyle w:val="ListParagraph"/>
        <w:numPr>
          <w:ilvl w:val="0"/>
          <w:numId w:val="3"/>
        </w:numPr>
        <w:overflowPunct w:val="0"/>
        <w:snapToGrid w:val="0"/>
        <w:spacing w:after="12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 xml:space="preserve">The exogenous variables </w:t>
      </w:r>
      <m:oMath>
        <m:sSub>
          <m:sSubPr>
            <m:ctrlPr>
              <w:rPr>
                <w:rFonts w:ascii="Cambria Math" w:eastAsia="標楷體" w:hAnsi="Cambria Math" w:cs="Times New Roman"/>
                <w:i/>
                <w:sz w:val="24"/>
                <w:szCs w:val="24"/>
                <w:lang w:eastAsia="zh-HK"/>
              </w:rPr>
            </m:ctrlPr>
          </m:sSubPr>
          <m:e>
            <m:r>
              <m:rPr>
                <m:sty m:val="bi"/>
              </m:rPr>
              <w:rPr>
                <w:rFonts w:ascii="Cambria Math" w:eastAsia="標楷體" w:hAnsi="Cambria Math" w:cs="Times New Roman"/>
                <w:sz w:val="24"/>
                <w:szCs w:val="24"/>
                <w:lang w:eastAsia="zh-HK"/>
              </w:rPr>
              <m:t>X</m:t>
            </m:r>
          </m:e>
          <m:sub>
            <m:r>
              <w:rPr>
                <w:rFonts w:ascii="Cambria Math" w:eastAsia="標楷體" w:hAnsi="Cambria Math" w:cs="Times New Roman"/>
                <w:sz w:val="24"/>
                <w:szCs w:val="24"/>
                <w:lang w:eastAsia="zh-HK"/>
              </w:rPr>
              <m:t>t</m:t>
            </m:r>
          </m:sub>
        </m:sSub>
      </m:oMath>
      <w:r>
        <w:rPr>
          <w:rFonts w:ascii="Times New Roman" w:eastAsia="標楷體" w:hAnsi="Times New Roman" w:cs="Times New Roman"/>
          <w:sz w:val="24"/>
          <w:szCs w:val="24"/>
          <w:lang w:eastAsia="zh-HK"/>
        </w:rPr>
        <w:t xml:space="preserve"> in the model are log real GDP; the seasonally adjusted unemployment rate; </w:t>
      </w:r>
      <w:r w:rsidR="008529C5" w:rsidRPr="00267910">
        <w:rPr>
          <w:rFonts w:ascii="Times New Roman" w:eastAsia="標楷體" w:hAnsi="Times New Roman" w:cs="Times New Roman"/>
          <w:sz w:val="24"/>
          <w:szCs w:val="24"/>
          <w:lang w:eastAsia="zh-HK"/>
        </w:rPr>
        <w:t xml:space="preserve">the </w:t>
      </w:r>
      <w:r w:rsidR="008529C5" w:rsidRPr="008529C5">
        <w:rPr>
          <w:rFonts w:ascii="Times New Roman" w:eastAsia="標楷體" w:hAnsi="Times New Roman" w:cs="Times New Roman"/>
          <w:sz w:val="24"/>
          <w:szCs w:val="24"/>
          <w:lang w:eastAsia="zh-HK"/>
        </w:rPr>
        <w:t>log import-weighted effective exchange rate index for the Hong Kong dollar</w:t>
      </w:r>
      <w:r w:rsidRPr="008529C5">
        <w:rPr>
          <w:rFonts w:ascii="Times New Roman" w:eastAsia="標楷體" w:hAnsi="Times New Roman" w:cs="Times New Roman"/>
          <w:sz w:val="24"/>
          <w:szCs w:val="24"/>
          <w:lang w:eastAsia="zh-HK"/>
        </w:rPr>
        <w:t>;</w:t>
      </w:r>
      <w:r>
        <w:rPr>
          <w:rFonts w:ascii="Times New Roman" w:eastAsia="標楷體" w:hAnsi="Times New Roman" w:cs="Times New Roman"/>
          <w:sz w:val="24"/>
          <w:szCs w:val="24"/>
          <w:lang w:eastAsia="zh-HK"/>
        </w:rPr>
        <w:t xml:space="preserve"> </w:t>
      </w:r>
      <w:r w:rsidR="00625176">
        <w:rPr>
          <w:rFonts w:ascii="Times New Roman" w:eastAsia="標楷體" w:hAnsi="Times New Roman" w:cs="Times New Roman"/>
          <w:sz w:val="24"/>
          <w:szCs w:val="24"/>
          <w:lang w:eastAsia="zh-HK"/>
        </w:rPr>
        <w:t xml:space="preserve">the US federal funds rate; </w:t>
      </w:r>
      <w:r>
        <w:rPr>
          <w:rFonts w:ascii="Times New Roman" w:eastAsia="標楷體" w:hAnsi="Times New Roman" w:cs="Times New Roman"/>
          <w:sz w:val="24"/>
          <w:szCs w:val="24"/>
          <w:lang w:eastAsia="zh-HK"/>
        </w:rPr>
        <w:t>and the log World Bank “Pink Sheet” commodity price index for agriculture</w:t>
      </w:r>
      <w:r>
        <w:rPr>
          <w:rStyle w:val="FootnoteReference"/>
          <w:rFonts w:ascii="Times New Roman" w:eastAsia="標楷體" w:hAnsi="Times New Roman" w:cs="Times New Roman"/>
          <w:sz w:val="24"/>
          <w:szCs w:val="24"/>
          <w:lang w:eastAsia="zh-HK"/>
        </w:rPr>
        <w:footnoteReference w:id="21"/>
      </w:r>
      <w:r w:rsidR="00392FCE" w:rsidRPr="00392FCE">
        <w:rPr>
          <w:rFonts w:ascii="Times New Roman" w:eastAsia="標楷體" w:hAnsi="Times New Roman" w:cs="Times New Roman"/>
          <w:sz w:val="24"/>
          <w:szCs w:val="24"/>
          <w:vertAlign w:val="superscript"/>
          <w:lang w:eastAsia="zh-HK"/>
        </w:rPr>
        <w:t>,</w:t>
      </w:r>
      <w:r w:rsidR="00392FCE">
        <w:rPr>
          <w:rStyle w:val="FootnoteReference"/>
          <w:rFonts w:ascii="Times New Roman" w:eastAsia="標楷體" w:hAnsi="Times New Roman" w:cs="Times New Roman"/>
          <w:sz w:val="24"/>
          <w:szCs w:val="24"/>
          <w:lang w:eastAsia="zh-HK"/>
        </w:rPr>
        <w:footnoteReference w:id="22"/>
      </w:r>
      <w:r>
        <w:rPr>
          <w:rFonts w:ascii="Times New Roman" w:eastAsia="標楷體" w:hAnsi="Times New Roman" w:cs="Times New Roman"/>
          <w:sz w:val="24"/>
          <w:szCs w:val="24"/>
          <w:lang w:eastAsia="zh-HK"/>
        </w:rPr>
        <w:t>.  Generally, the first two exogenous variables relate to demand-side factors while the last three are more supply-related.  However, they all enter the model the same way—i.e., all five exogenous variables appear in both the price equation and the wage equation—regardless of how they are classified.</w:t>
      </w:r>
    </w:p>
    <w:p w14:paraId="6DB06903" w14:textId="77777777" w:rsidR="00A54AD7" w:rsidRDefault="00A54AD7" w:rsidP="00A54AD7">
      <w:pPr>
        <w:pStyle w:val="ListParagraph"/>
        <w:overflowPunct w:val="0"/>
        <w:snapToGrid w:val="0"/>
        <w:spacing w:after="120" w:line="300" w:lineRule="auto"/>
        <w:ind w:left="0"/>
        <w:jc w:val="both"/>
        <w:rPr>
          <w:rFonts w:ascii="Times New Roman" w:eastAsia="標楷體" w:hAnsi="Times New Roman" w:cs="Times New Roman"/>
          <w:sz w:val="24"/>
          <w:szCs w:val="24"/>
          <w:lang w:eastAsia="zh-HK"/>
        </w:rPr>
      </w:pPr>
    </w:p>
    <w:p w14:paraId="287B21E9" w14:textId="16299B6B" w:rsidR="00A95683" w:rsidRPr="00A95683" w:rsidRDefault="00A54AD7" w:rsidP="00546040">
      <w:pPr>
        <w:pStyle w:val="ListParagraph"/>
        <w:numPr>
          <w:ilvl w:val="0"/>
          <w:numId w:val="3"/>
        </w:numPr>
        <w:overflowPunct w:val="0"/>
        <w:snapToGrid w:val="0"/>
        <w:spacing w:after="18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 xml:space="preserve">Adding exogenous variables to the model sharpens the earlier observation from </w:t>
      </w:r>
      <w:r w:rsidRPr="00A54AD7">
        <w:rPr>
          <w:rFonts w:ascii="Times New Roman" w:eastAsia="標楷體" w:hAnsi="Times New Roman" w:cs="Times New Roman"/>
          <w:b/>
          <w:sz w:val="24"/>
          <w:szCs w:val="24"/>
          <w:lang w:eastAsia="zh-HK"/>
        </w:rPr>
        <w:t>Table 3</w:t>
      </w:r>
      <w:r>
        <w:rPr>
          <w:rFonts w:ascii="Times New Roman" w:eastAsia="標楷體" w:hAnsi="Times New Roman" w:cs="Times New Roman"/>
          <w:sz w:val="24"/>
          <w:szCs w:val="24"/>
          <w:lang w:eastAsia="zh-HK"/>
        </w:rPr>
        <w:t xml:space="preserve"> that prices tend to predict </w:t>
      </w:r>
      <w:r w:rsidR="00B13B9B">
        <w:rPr>
          <w:rFonts w:ascii="Times New Roman" w:eastAsia="標楷體" w:hAnsi="Times New Roman" w:cs="Times New Roman"/>
          <w:sz w:val="24"/>
          <w:szCs w:val="24"/>
          <w:lang w:eastAsia="zh-HK"/>
        </w:rPr>
        <w:t xml:space="preserve">productivity-adjusted nominal </w:t>
      </w:r>
      <w:r>
        <w:rPr>
          <w:rFonts w:ascii="Times New Roman" w:eastAsia="標楷體" w:hAnsi="Times New Roman" w:cs="Times New Roman"/>
          <w:sz w:val="24"/>
          <w:szCs w:val="24"/>
          <w:lang w:eastAsia="zh-HK"/>
        </w:rPr>
        <w:t>wages but not vice versa</w:t>
      </w:r>
      <w:r w:rsidR="008B0518">
        <w:rPr>
          <w:rFonts w:ascii="Times New Roman" w:eastAsia="標楷體" w:hAnsi="Times New Roman" w:cs="Times New Roman"/>
          <w:sz w:val="24"/>
          <w:szCs w:val="24"/>
          <w:lang w:eastAsia="zh-HK"/>
        </w:rPr>
        <w:t>.</w:t>
      </w:r>
      <w:r>
        <w:rPr>
          <w:rFonts w:ascii="Times New Roman" w:eastAsia="標楷體" w:hAnsi="Times New Roman" w:cs="Times New Roman"/>
          <w:sz w:val="24"/>
          <w:szCs w:val="24"/>
          <w:lang w:eastAsia="zh-HK"/>
        </w:rPr>
        <w:t xml:space="preserve">  Corresponding Granger causality tests for the full model are given in </w:t>
      </w:r>
      <w:r w:rsidRPr="00A54AD7">
        <w:rPr>
          <w:rFonts w:ascii="Times New Roman" w:eastAsia="標楷體" w:hAnsi="Times New Roman" w:cs="Times New Roman"/>
          <w:b/>
          <w:sz w:val="24"/>
          <w:szCs w:val="24"/>
          <w:lang w:eastAsia="zh-HK"/>
        </w:rPr>
        <w:t>Table 4</w:t>
      </w:r>
      <w:r>
        <w:rPr>
          <w:rFonts w:ascii="Times New Roman" w:eastAsia="標楷體" w:hAnsi="Times New Roman" w:cs="Times New Roman"/>
          <w:sz w:val="24"/>
          <w:szCs w:val="24"/>
          <w:lang w:eastAsia="zh-HK"/>
        </w:rPr>
        <w:t xml:space="preserve">.  When the exogenous variables are added, statistical evidence against the hypothesis that prices do not predict wages remains strong, but the reverse hypothesis </w:t>
      </w:r>
      <w:r w:rsidR="00F45FE9">
        <w:rPr>
          <w:rFonts w:ascii="Times New Roman" w:eastAsia="標楷體" w:hAnsi="Times New Roman" w:cs="Times New Roman"/>
          <w:sz w:val="24"/>
          <w:szCs w:val="24"/>
          <w:lang w:eastAsia="zh-HK"/>
        </w:rPr>
        <w:t xml:space="preserve">is </w:t>
      </w:r>
      <w:r>
        <w:rPr>
          <w:rFonts w:ascii="Times New Roman" w:eastAsia="標楷體" w:hAnsi="Times New Roman" w:cs="Times New Roman"/>
          <w:sz w:val="24"/>
          <w:szCs w:val="24"/>
          <w:lang w:eastAsia="zh-HK"/>
        </w:rPr>
        <w:t>not rejected at any conventional significance level.</w:t>
      </w:r>
    </w:p>
    <w:p w14:paraId="3C6E2108" w14:textId="0CC2D03A" w:rsidR="009C549E" w:rsidRPr="005D0F6F" w:rsidRDefault="009C549E" w:rsidP="009C549E">
      <w:pPr>
        <w:jc w:val="center"/>
        <w:rPr>
          <w:rFonts w:ascii="Times New Roman" w:hAnsi="Times New Roman" w:cs="Times New Roman"/>
          <w:b/>
          <w:sz w:val="24"/>
          <w:szCs w:val="26"/>
        </w:rPr>
      </w:pPr>
      <w:r w:rsidRPr="005D0F6F">
        <w:rPr>
          <w:rFonts w:ascii="Times New Roman" w:hAnsi="Times New Roman" w:cs="Times New Roman"/>
          <w:b/>
          <w:sz w:val="24"/>
          <w:szCs w:val="26"/>
        </w:rPr>
        <w:t xml:space="preserve">Table </w:t>
      </w:r>
      <w:r>
        <w:rPr>
          <w:rFonts w:ascii="Times New Roman" w:hAnsi="Times New Roman" w:cs="Times New Roman"/>
          <w:b/>
          <w:sz w:val="24"/>
          <w:szCs w:val="26"/>
        </w:rPr>
        <w:t>4</w:t>
      </w:r>
      <w:r w:rsidRPr="005D0F6F">
        <w:rPr>
          <w:rFonts w:ascii="Times New Roman" w:hAnsi="Times New Roman" w:cs="Times New Roman"/>
          <w:b/>
          <w:sz w:val="24"/>
          <w:szCs w:val="26"/>
        </w:rPr>
        <w:t xml:space="preserve">: Granger </w:t>
      </w:r>
      <w:r>
        <w:rPr>
          <w:rFonts w:ascii="Times New Roman" w:hAnsi="Times New Roman" w:cs="Times New Roman"/>
          <w:b/>
          <w:sz w:val="24"/>
          <w:szCs w:val="26"/>
        </w:rPr>
        <w:t>Causality</w:t>
      </w:r>
      <w:r w:rsidRPr="005D0F6F">
        <w:rPr>
          <w:rFonts w:ascii="Times New Roman" w:hAnsi="Times New Roman" w:cs="Times New Roman"/>
          <w:b/>
          <w:sz w:val="24"/>
          <w:szCs w:val="26"/>
        </w:rPr>
        <w:t xml:space="preserve"> Tests</w:t>
      </w:r>
      <w:r>
        <w:rPr>
          <w:rFonts w:ascii="Times New Roman" w:hAnsi="Times New Roman" w:cs="Times New Roman"/>
          <w:b/>
          <w:sz w:val="24"/>
          <w:szCs w:val="26"/>
        </w:rPr>
        <w:t xml:space="preserve"> (Multivariate Model)</w:t>
      </w:r>
      <w:r w:rsidRPr="005D0F6F">
        <w:rPr>
          <w:rFonts w:ascii="Times New Roman" w:hAnsi="Times New Roman" w:cs="Times New Roman"/>
          <w:b/>
          <w:sz w:val="24"/>
          <w:szCs w:val="26"/>
        </w:rPr>
        <w:t>*</w:t>
      </w:r>
    </w:p>
    <w:tbl>
      <w:tblPr>
        <w:tblStyle w:val="TableGrid"/>
        <w:tblW w:w="8296" w:type="dxa"/>
        <w:tblLook w:val="04A0" w:firstRow="1" w:lastRow="0" w:firstColumn="1" w:lastColumn="0" w:noHBand="0" w:noVBand="1"/>
      </w:tblPr>
      <w:tblGrid>
        <w:gridCol w:w="4390"/>
        <w:gridCol w:w="1134"/>
        <w:gridCol w:w="1701"/>
        <w:gridCol w:w="1071"/>
      </w:tblGrid>
      <w:tr w:rsidR="009C549E" w14:paraId="6DBB9E93" w14:textId="77777777" w:rsidTr="00565BFF">
        <w:trPr>
          <w:trHeight w:val="531"/>
        </w:trPr>
        <w:tc>
          <w:tcPr>
            <w:tcW w:w="4390" w:type="dxa"/>
            <w:tcBorders>
              <w:bottom w:val="single" w:sz="8" w:space="0" w:color="auto"/>
            </w:tcBorders>
            <w:shd w:val="clear" w:color="auto" w:fill="F2F2F2" w:themeFill="background1" w:themeFillShade="F2"/>
            <w:vAlign w:val="center"/>
          </w:tcPr>
          <w:p w14:paraId="67F606AC" w14:textId="77777777" w:rsidR="009C549E" w:rsidRDefault="009C549E" w:rsidP="00565BFF">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Null Hypothesis</w:t>
            </w:r>
          </w:p>
        </w:tc>
        <w:tc>
          <w:tcPr>
            <w:tcW w:w="1134" w:type="dxa"/>
            <w:tcBorders>
              <w:bottom w:val="single" w:sz="8" w:space="0" w:color="auto"/>
            </w:tcBorders>
            <w:shd w:val="clear" w:color="auto" w:fill="F2F2F2" w:themeFill="background1" w:themeFillShade="F2"/>
            <w:vAlign w:val="center"/>
          </w:tcPr>
          <w:p w14:paraId="646ADB5C" w14:textId="77777777" w:rsidR="009C549E" w:rsidRPr="005B1510" w:rsidRDefault="009C549E" w:rsidP="00565BFF">
            <w:pPr>
              <w:pStyle w:val="ListParagraph"/>
              <w:overflowPunct w:val="0"/>
              <w:snapToGrid w:val="0"/>
              <w:spacing w:line="300" w:lineRule="auto"/>
              <w:ind w:left="0"/>
              <w:jc w:val="center"/>
              <w:rPr>
                <w:rFonts w:ascii="Times New Roman" w:eastAsia="標楷體" w:hAnsi="Times New Roman" w:cs="Times New Roman"/>
                <w:i/>
                <w:sz w:val="24"/>
                <w:szCs w:val="24"/>
                <w:lang w:eastAsia="zh-HK"/>
              </w:rPr>
            </w:pPr>
            <w:r w:rsidRPr="005B1510">
              <w:rPr>
                <w:rFonts w:ascii="Times New Roman" w:eastAsia="標楷體" w:hAnsi="Times New Roman" w:cs="Times New Roman"/>
                <w:i/>
                <w:sz w:val="24"/>
                <w:szCs w:val="24"/>
                <w:lang w:eastAsia="zh-HK"/>
              </w:rPr>
              <w:t>F</w:t>
            </w:r>
          </w:p>
        </w:tc>
        <w:tc>
          <w:tcPr>
            <w:tcW w:w="1701" w:type="dxa"/>
            <w:tcBorders>
              <w:bottom w:val="single" w:sz="8" w:space="0" w:color="auto"/>
            </w:tcBorders>
            <w:shd w:val="clear" w:color="auto" w:fill="F2F2F2" w:themeFill="background1" w:themeFillShade="F2"/>
            <w:vAlign w:val="center"/>
          </w:tcPr>
          <w:p w14:paraId="726E4152" w14:textId="77777777" w:rsidR="009C549E" w:rsidRPr="0019542B" w:rsidRDefault="009C549E" w:rsidP="00565BFF">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Critical Value (5%)</w:t>
            </w:r>
          </w:p>
        </w:tc>
        <w:tc>
          <w:tcPr>
            <w:tcW w:w="1071" w:type="dxa"/>
            <w:tcBorders>
              <w:bottom w:val="single" w:sz="8" w:space="0" w:color="auto"/>
            </w:tcBorders>
            <w:shd w:val="clear" w:color="auto" w:fill="F2F2F2" w:themeFill="background1" w:themeFillShade="F2"/>
            <w:vAlign w:val="center"/>
          </w:tcPr>
          <w:p w14:paraId="0ACCCC05" w14:textId="77777777" w:rsidR="009C549E" w:rsidRPr="00AE42F6" w:rsidRDefault="009C549E" w:rsidP="00565BFF">
            <w:pPr>
              <w:pStyle w:val="ListParagraph"/>
              <w:overflowPunct w:val="0"/>
              <w:snapToGrid w:val="0"/>
              <w:spacing w:line="300" w:lineRule="auto"/>
              <w:ind w:left="0"/>
              <w:jc w:val="center"/>
              <w:rPr>
                <w:rFonts w:ascii="Times New Roman" w:eastAsia="標楷體" w:hAnsi="Times New Roman" w:cs="Times New Roman"/>
                <w:i/>
                <w:sz w:val="24"/>
                <w:szCs w:val="24"/>
                <w:lang w:eastAsia="zh-HK"/>
              </w:rPr>
            </w:pPr>
            <w:r w:rsidRPr="00AE42F6">
              <w:rPr>
                <w:rFonts w:ascii="Times New Roman" w:eastAsia="標楷體" w:hAnsi="Times New Roman" w:cs="Times New Roman"/>
                <w:i/>
                <w:sz w:val="24"/>
                <w:szCs w:val="24"/>
                <w:lang w:eastAsia="zh-HK"/>
              </w:rPr>
              <w:t>p</w:t>
            </w:r>
          </w:p>
        </w:tc>
      </w:tr>
      <w:tr w:rsidR="009C549E" w14:paraId="594AA2C2" w14:textId="77777777" w:rsidTr="00565BFF">
        <w:trPr>
          <w:trHeight w:val="469"/>
        </w:trPr>
        <w:tc>
          <w:tcPr>
            <w:tcW w:w="4390" w:type="dxa"/>
            <w:tcBorders>
              <w:top w:val="single" w:sz="8" w:space="0" w:color="auto"/>
            </w:tcBorders>
            <w:vAlign w:val="center"/>
          </w:tcPr>
          <w:p w14:paraId="51BF6789" w14:textId="77777777" w:rsidR="009C549E" w:rsidRDefault="009C549E" w:rsidP="00565BFF">
            <w:pPr>
              <w:pStyle w:val="ListParagraph"/>
              <w:overflowPunct w:val="0"/>
              <w:snapToGrid w:val="0"/>
              <w:spacing w:line="300" w:lineRule="auto"/>
              <w:ind w:left="0"/>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CCPI does not predict Unit Labour Cost</w:t>
            </w:r>
          </w:p>
        </w:tc>
        <w:tc>
          <w:tcPr>
            <w:tcW w:w="1134" w:type="dxa"/>
            <w:tcBorders>
              <w:top w:val="single" w:sz="8" w:space="0" w:color="auto"/>
            </w:tcBorders>
            <w:vAlign w:val="center"/>
          </w:tcPr>
          <w:p w14:paraId="36F3CF9B" w14:textId="220D9C46" w:rsidR="009C549E" w:rsidRDefault="009C549E" w:rsidP="008529C5">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4.</w:t>
            </w:r>
            <w:r w:rsidR="008529C5">
              <w:rPr>
                <w:rFonts w:ascii="Times New Roman" w:eastAsia="標楷體" w:hAnsi="Times New Roman" w:cs="Times New Roman"/>
                <w:sz w:val="24"/>
                <w:szCs w:val="24"/>
                <w:lang w:eastAsia="zh-HK"/>
              </w:rPr>
              <w:t>65</w:t>
            </w:r>
            <w:r>
              <w:rPr>
                <w:rFonts w:ascii="Times New Roman" w:eastAsia="標楷體" w:hAnsi="Times New Roman" w:cs="Times New Roman"/>
                <w:sz w:val="24"/>
                <w:szCs w:val="24"/>
                <w:lang w:eastAsia="zh-HK"/>
              </w:rPr>
              <w:t>**</w:t>
            </w:r>
          </w:p>
        </w:tc>
        <w:tc>
          <w:tcPr>
            <w:tcW w:w="1701" w:type="dxa"/>
            <w:tcBorders>
              <w:top w:val="single" w:sz="8" w:space="0" w:color="auto"/>
            </w:tcBorders>
            <w:vAlign w:val="center"/>
          </w:tcPr>
          <w:p w14:paraId="4270492C" w14:textId="27244D65" w:rsidR="009C549E" w:rsidRDefault="009C549E" w:rsidP="009C549E">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2.30</w:t>
            </w:r>
          </w:p>
        </w:tc>
        <w:tc>
          <w:tcPr>
            <w:tcW w:w="1071" w:type="dxa"/>
            <w:tcBorders>
              <w:top w:val="single" w:sz="8" w:space="0" w:color="auto"/>
            </w:tcBorders>
            <w:vAlign w:val="center"/>
          </w:tcPr>
          <w:p w14:paraId="68B3EAFC" w14:textId="34CFE6E0" w:rsidR="009C549E" w:rsidRDefault="009C549E" w:rsidP="008529C5">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0.00</w:t>
            </w:r>
            <w:r w:rsidR="008529C5">
              <w:rPr>
                <w:rFonts w:ascii="Times New Roman" w:eastAsia="標楷體" w:hAnsi="Times New Roman" w:cs="Times New Roman"/>
                <w:sz w:val="24"/>
                <w:szCs w:val="24"/>
                <w:lang w:eastAsia="zh-HK"/>
              </w:rPr>
              <w:t>1</w:t>
            </w:r>
          </w:p>
        </w:tc>
      </w:tr>
      <w:tr w:rsidR="009C549E" w14:paraId="06C1FA73" w14:textId="77777777" w:rsidTr="00565BFF">
        <w:trPr>
          <w:trHeight w:val="469"/>
        </w:trPr>
        <w:tc>
          <w:tcPr>
            <w:tcW w:w="4390" w:type="dxa"/>
            <w:vAlign w:val="center"/>
          </w:tcPr>
          <w:p w14:paraId="1F52C4D2" w14:textId="77777777" w:rsidR="009C549E" w:rsidRDefault="009C549E" w:rsidP="00565BFF">
            <w:pPr>
              <w:pStyle w:val="ListParagraph"/>
              <w:overflowPunct w:val="0"/>
              <w:snapToGrid w:val="0"/>
              <w:spacing w:line="300" w:lineRule="auto"/>
              <w:ind w:left="0"/>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Unit Labour Cost does not predict CCPI</w:t>
            </w:r>
          </w:p>
        </w:tc>
        <w:tc>
          <w:tcPr>
            <w:tcW w:w="1134" w:type="dxa"/>
            <w:vAlign w:val="center"/>
          </w:tcPr>
          <w:p w14:paraId="455565AF" w14:textId="22152022" w:rsidR="009C549E" w:rsidRDefault="008529C5" w:rsidP="008529C5">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1</w:t>
            </w:r>
            <w:r w:rsidR="009C549E">
              <w:rPr>
                <w:rFonts w:ascii="Times New Roman" w:eastAsia="標楷體" w:hAnsi="Times New Roman" w:cs="Times New Roman"/>
                <w:sz w:val="24"/>
                <w:szCs w:val="24"/>
                <w:lang w:eastAsia="zh-HK"/>
              </w:rPr>
              <w:t>.</w:t>
            </w:r>
            <w:r>
              <w:rPr>
                <w:rFonts w:ascii="Times New Roman" w:eastAsia="標楷體" w:hAnsi="Times New Roman" w:cs="Times New Roman"/>
                <w:sz w:val="24"/>
                <w:szCs w:val="24"/>
                <w:lang w:eastAsia="zh-HK"/>
              </w:rPr>
              <w:t>0</w:t>
            </w:r>
            <w:r w:rsidR="009C549E">
              <w:rPr>
                <w:rFonts w:ascii="Times New Roman" w:eastAsia="標楷體" w:hAnsi="Times New Roman" w:cs="Times New Roman"/>
                <w:sz w:val="24"/>
                <w:szCs w:val="24"/>
                <w:lang w:eastAsia="zh-HK"/>
              </w:rPr>
              <w:t>0</w:t>
            </w:r>
          </w:p>
        </w:tc>
        <w:tc>
          <w:tcPr>
            <w:tcW w:w="1701" w:type="dxa"/>
            <w:vAlign w:val="center"/>
          </w:tcPr>
          <w:p w14:paraId="782AC9A8" w14:textId="69E1BB34" w:rsidR="009C549E" w:rsidRDefault="009C549E" w:rsidP="00565BFF">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2.30</w:t>
            </w:r>
          </w:p>
        </w:tc>
        <w:tc>
          <w:tcPr>
            <w:tcW w:w="1071" w:type="dxa"/>
            <w:vAlign w:val="center"/>
          </w:tcPr>
          <w:p w14:paraId="1C871F21" w14:textId="3FC84468" w:rsidR="009C549E" w:rsidRDefault="009C549E" w:rsidP="008529C5">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0.4</w:t>
            </w:r>
            <w:r w:rsidR="008529C5">
              <w:rPr>
                <w:rFonts w:ascii="Times New Roman" w:eastAsia="標楷體" w:hAnsi="Times New Roman" w:cs="Times New Roman"/>
                <w:sz w:val="24"/>
                <w:szCs w:val="24"/>
                <w:lang w:eastAsia="zh-HK"/>
              </w:rPr>
              <w:t>19</w:t>
            </w:r>
          </w:p>
        </w:tc>
      </w:tr>
    </w:tbl>
    <w:p w14:paraId="5AB1CFDD" w14:textId="0FC880FB" w:rsidR="009C549E" w:rsidRPr="005D0F6F" w:rsidRDefault="009C549E" w:rsidP="009C549E">
      <w:pPr>
        <w:overflowPunct w:val="0"/>
        <w:snapToGrid w:val="0"/>
        <w:spacing w:before="20" w:after="0" w:line="240" w:lineRule="auto"/>
        <w:ind w:left="720" w:hanging="720"/>
        <w:jc w:val="both"/>
        <w:rPr>
          <w:rFonts w:ascii="Times New Roman" w:eastAsia="標楷體" w:hAnsi="Times New Roman" w:cs="Times New Roman"/>
          <w:sz w:val="16"/>
          <w:szCs w:val="18"/>
          <w:lang w:eastAsia="zh-HK"/>
        </w:rPr>
      </w:pPr>
      <w:r w:rsidRPr="005D0F6F">
        <w:rPr>
          <w:rFonts w:ascii="Times New Roman" w:eastAsia="標楷體" w:hAnsi="Times New Roman" w:cs="Times New Roman"/>
          <w:sz w:val="16"/>
          <w:szCs w:val="18"/>
          <w:lang w:eastAsia="zh-HK"/>
        </w:rPr>
        <w:t>Notes (*</w:t>
      </w:r>
      <w:proofErr w:type="gramStart"/>
      <w:r w:rsidRPr="005D0F6F">
        <w:rPr>
          <w:rFonts w:ascii="Times New Roman" w:eastAsia="標楷體" w:hAnsi="Times New Roman" w:cs="Times New Roman"/>
          <w:sz w:val="16"/>
          <w:szCs w:val="18"/>
          <w:lang w:eastAsia="zh-HK"/>
        </w:rPr>
        <w:t>) :</w:t>
      </w:r>
      <w:proofErr w:type="gramEnd"/>
      <w:r w:rsidRPr="005D0F6F">
        <w:rPr>
          <w:rFonts w:ascii="Times New Roman" w:eastAsia="標楷體" w:hAnsi="Times New Roman" w:cs="Times New Roman"/>
          <w:sz w:val="16"/>
          <w:szCs w:val="18"/>
          <w:lang w:eastAsia="zh-HK"/>
        </w:rPr>
        <w:tab/>
        <w:t xml:space="preserve">Tests are on the natural logarithms of the listed variables.  The null </w:t>
      </w:r>
      <w:r>
        <w:rPr>
          <w:rFonts w:ascii="Times New Roman" w:eastAsia="標楷體" w:hAnsi="Times New Roman" w:cs="Times New Roman"/>
          <w:sz w:val="16"/>
          <w:szCs w:val="18"/>
          <w:lang w:eastAsia="zh-HK"/>
        </w:rPr>
        <w:t>hypothesis that A does not predict B is the hypothesis that, in a differenced VAR model with five lags</w:t>
      </w:r>
      <w:r w:rsidR="00A54AD7">
        <w:rPr>
          <w:rFonts w:ascii="Times New Roman" w:eastAsia="標楷體" w:hAnsi="Times New Roman" w:cs="Times New Roman"/>
          <w:sz w:val="16"/>
          <w:szCs w:val="18"/>
          <w:lang w:eastAsia="zh-HK"/>
        </w:rPr>
        <w:t xml:space="preserve"> and exogenous covariates</w:t>
      </w:r>
      <w:r>
        <w:rPr>
          <w:rFonts w:ascii="Times New Roman" w:eastAsia="標楷體" w:hAnsi="Times New Roman" w:cs="Times New Roman"/>
          <w:sz w:val="16"/>
          <w:szCs w:val="18"/>
          <w:lang w:eastAsia="zh-HK"/>
        </w:rPr>
        <w:t>, the coefficients on A in the equation for B are equal to zero</w:t>
      </w:r>
      <w:r w:rsidRPr="005D0F6F">
        <w:rPr>
          <w:rFonts w:ascii="Times New Roman" w:eastAsia="標楷體" w:hAnsi="Times New Roman" w:cs="Times New Roman"/>
          <w:sz w:val="16"/>
          <w:szCs w:val="18"/>
          <w:lang w:eastAsia="zh-HK"/>
        </w:rPr>
        <w:t>.</w:t>
      </w:r>
    </w:p>
    <w:p w14:paraId="3467DFEF" w14:textId="05CDDB84" w:rsidR="006F049C" w:rsidRPr="00A54AD7" w:rsidRDefault="009C549E" w:rsidP="00A54AD7">
      <w:pPr>
        <w:pStyle w:val="ListParagraph"/>
        <w:overflowPunct w:val="0"/>
        <w:snapToGrid w:val="0"/>
        <w:spacing w:after="0" w:line="300" w:lineRule="auto"/>
        <w:ind w:left="0"/>
        <w:jc w:val="both"/>
        <w:rPr>
          <w:rFonts w:ascii="Times New Roman" w:eastAsia="標楷體" w:hAnsi="Times New Roman" w:cs="Times New Roman"/>
          <w:b/>
          <w:sz w:val="24"/>
          <w:szCs w:val="24"/>
          <w:lang w:eastAsia="zh-HK"/>
        </w:rPr>
      </w:pPr>
      <w:r>
        <w:rPr>
          <w:rFonts w:ascii="Times New Roman" w:eastAsia="標楷體" w:hAnsi="Times New Roman" w:cs="Times New Roman"/>
          <w:sz w:val="16"/>
          <w:szCs w:val="18"/>
          <w:lang w:eastAsia="zh-HK"/>
        </w:rPr>
        <w:t xml:space="preserve">        (**</w:t>
      </w:r>
      <w:proofErr w:type="gramStart"/>
      <w:r>
        <w:rPr>
          <w:rFonts w:ascii="Times New Roman" w:eastAsia="標楷體" w:hAnsi="Times New Roman" w:cs="Times New Roman"/>
          <w:sz w:val="16"/>
          <w:szCs w:val="18"/>
          <w:lang w:eastAsia="zh-HK"/>
        </w:rPr>
        <w:t>) :</w:t>
      </w:r>
      <w:proofErr w:type="gramEnd"/>
      <w:r>
        <w:rPr>
          <w:rFonts w:ascii="Times New Roman" w:eastAsia="標楷體" w:hAnsi="Times New Roman" w:cs="Times New Roman"/>
          <w:sz w:val="16"/>
          <w:szCs w:val="18"/>
          <w:lang w:eastAsia="zh-HK"/>
        </w:rPr>
        <w:tab/>
        <w:t>The null hypothesis is rejected at the 5% level.</w:t>
      </w:r>
    </w:p>
    <w:p w14:paraId="2B38C9AF" w14:textId="673CC955" w:rsidR="00191584" w:rsidRDefault="00AE4084" w:rsidP="00A95683">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lastRenderedPageBreak/>
        <w:t xml:space="preserve">The model can also be used to examine how </w:t>
      </w:r>
      <w:r w:rsidR="00B13B9B">
        <w:rPr>
          <w:rFonts w:ascii="Times New Roman" w:eastAsia="標楷體" w:hAnsi="Times New Roman" w:cs="Times New Roman"/>
          <w:sz w:val="24"/>
          <w:szCs w:val="24"/>
          <w:lang w:eastAsia="zh-HK"/>
        </w:rPr>
        <w:t xml:space="preserve">productivity-adjusted nominal </w:t>
      </w:r>
      <w:r>
        <w:rPr>
          <w:rFonts w:ascii="Times New Roman" w:eastAsia="標楷體" w:hAnsi="Times New Roman" w:cs="Times New Roman"/>
          <w:sz w:val="24"/>
          <w:szCs w:val="24"/>
          <w:lang w:eastAsia="zh-HK"/>
        </w:rPr>
        <w:t>wages and prices respond to an external shock, such as an increase in commodity prices.</w:t>
      </w:r>
      <w:r w:rsidR="00D266CE">
        <w:rPr>
          <w:rFonts w:ascii="Times New Roman" w:eastAsia="標楷體" w:hAnsi="Times New Roman" w:cs="Times New Roman"/>
          <w:sz w:val="24"/>
          <w:szCs w:val="24"/>
          <w:lang w:eastAsia="zh-HK"/>
        </w:rPr>
        <w:t xml:space="preserve">  </w:t>
      </w:r>
      <w:r w:rsidR="008509DB">
        <w:rPr>
          <w:rFonts w:ascii="Times New Roman" w:eastAsia="標楷體" w:hAnsi="Times New Roman" w:cs="Times New Roman"/>
          <w:sz w:val="24"/>
          <w:szCs w:val="24"/>
          <w:lang w:eastAsia="zh-HK"/>
        </w:rPr>
        <w:t>To this end</w:t>
      </w:r>
      <w:r w:rsidR="00D266CE">
        <w:rPr>
          <w:rFonts w:ascii="Times New Roman" w:eastAsia="標楷體" w:hAnsi="Times New Roman" w:cs="Times New Roman"/>
          <w:sz w:val="24"/>
          <w:szCs w:val="24"/>
          <w:lang w:eastAsia="zh-HK"/>
        </w:rPr>
        <w:t xml:space="preserve">, </w:t>
      </w:r>
      <w:r w:rsidR="00D266CE" w:rsidRPr="00D266CE">
        <w:rPr>
          <w:rFonts w:ascii="Times New Roman" w:eastAsia="標楷體" w:hAnsi="Times New Roman" w:cs="Times New Roman"/>
          <w:b/>
          <w:sz w:val="24"/>
          <w:szCs w:val="24"/>
          <w:lang w:eastAsia="zh-HK"/>
        </w:rPr>
        <w:t>Table 5</w:t>
      </w:r>
      <w:r w:rsidR="00D266CE">
        <w:rPr>
          <w:rFonts w:ascii="Times New Roman" w:eastAsia="標楷體" w:hAnsi="Times New Roman" w:cs="Times New Roman"/>
          <w:sz w:val="24"/>
          <w:szCs w:val="24"/>
          <w:lang w:eastAsia="zh-HK"/>
        </w:rPr>
        <w:t xml:space="preserve"> shows the one- and two-year </w:t>
      </w:r>
      <w:r w:rsidR="005F1956">
        <w:rPr>
          <w:rFonts w:ascii="Times New Roman" w:eastAsia="標楷體" w:hAnsi="Times New Roman" w:cs="Times New Roman"/>
          <w:sz w:val="24"/>
          <w:szCs w:val="24"/>
          <w:lang w:eastAsia="zh-HK"/>
        </w:rPr>
        <w:t xml:space="preserve">cumulative </w:t>
      </w:r>
      <w:r w:rsidR="00D266CE">
        <w:rPr>
          <w:rFonts w:ascii="Times New Roman" w:eastAsia="標楷體" w:hAnsi="Times New Roman" w:cs="Times New Roman"/>
          <w:sz w:val="24"/>
          <w:szCs w:val="24"/>
          <w:lang w:eastAsia="zh-HK"/>
        </w:rPr>
        <w:t>dynamic multiplier functions for the effects of change</w:t>
      </w:r>
      <w:r w:rsidR="00327BB6">
        <w:rPr>
          <w:rFonts w:ascii="Times New Roman" w:eastAsia="標楷體" w:hAnsi="Times New Roman" w:cs="Times New Roman"/>
          <w:sz w:val="24"/>
          <w:szCs w:val="24"/>
          <w:lang w:eastAsia="zh-HK"/>
        </w:rPr>
        <w:t>s</w:t>
      </w:r>
      <w:r w:rsidR="00D266CE">
        <w:rPr>
          <w:rFonts w:ascii="Times New Roman" w:eastAsia="標楷體" w:hAnsi="Times New Roman" w:cs="Times New Roman"/>
          <w:sz w:val="24"/>
          <w:szCs w:val="24"/>
          <w:lang w:eastAsia="zh-HK"/>
        </w:rPr>
        <w:t xml:space="preserve"> in the log World Bank agriculture commodity price index on log prices</w:t>
      </w:r>
      <w:r w:rsidR="00B13B9B">
        <w:rPr>
          <w:rFonts w:ascii="Times New Roman" w:eastAsia="標楷體" w:hAnsi="Times New Roman" w:cs="Times New Roman"/>
          <w:sz w:val="24"/>
          <w:szCs w:val="24"/>
          <w:lang w:eastAsia="zh-HK"/>
        </w:rPr>
        <w:t xml:space="preserve"> and log unit labour costs</w:t>
      </w:r>
      <w:r w:rsidR="00D266CE">
        <w:rPr>
          <w:rFonts w:ascii="Times New Roman" w:eastAsia="標楷體" w:hAnsi="Times New Roman" w:cs="Times New Roman"/>
          <w:sz w:val="24"/>
          <w:szCs w:val="24"/>
          <w:lang w:eastAsia="zh-HK"/>
        </w:rPr>
        <w:t>.</w:t>
      </w:r>
      <w:r w:rsidR="007626CF">
        <w:rPr>
          <w:rFonts w:ascii="Times New Roman" w:eastAsia="標楷體" w:hAnsi="Times New Roman" w:cs="Times New Roman"/>
          <w:sz w:val="24"/>
          <w:szCs w:val="24"/>
          <w:lang w:eastAsia="zh-HK"/>
        </w:rPr>
        <w:t xml:space="preserve">  </w:t>
      </w:r>
      <w:r w:rsidR="004146F3" w:rsidRPr="000173B6">
        <w:rPr>
          <w:rFonts w:ascii="Times New Roman" w:eastAsia="標楷體" w:hAnsi="Times New Roman" w:cs="Times New Roman"/>
          <w:sz w:val="24"/>
          <w:szCs w:val="24"/>
          <w:lang w:eastAsia="zh-HK"/>
        </w:rPr>
        <w:t>The effects are elasticities, so, for example, a 10% increase in agriculture prices is expected to lead to a 0.56% increase in the CCPI one year later</w:t>
      </w:r>
      <w:r w:rsidR="00DA7E57" w:rsidRPr="000173B6">
        <w:rPr>
          <w:rFonts w:ascii="Times New Roman" w:eastAsia="標楷體" w:hAnsi="Times New Roman" w:cs="Times New Roman"/>
          <w:sz w:val="24"/>
          <w:szCs w:val="24"/>
          <w:lang w:eastAsia="zh-HK"/>
        </w:rPr>
        <w:t xml:space="preserve"> and a 1.02% increase in the CCPI two years later</w:t>
      </w:r>
      <w:r w:rsidR="004146F3" w:rsidRPr="000173B6">
        <w:rPr>
          <w:rFonts w:ascii="Times New Roman" w:eastAsia="標楷體" w:hAnsi="Times New Roman" w:cs="Times New Roman"/>
          <w:sz w:val="24"/>
          <w:szCs w:val="24"/>
          <w:lang w:eastAsia="zh-HK"/>
        </w:rPr>
        <w:t>.</w:t>
      </w:r>
      <w:r w:rsidR="004146F3">
        <w:rPr>
          <w:rFonts w:ascii="Times New Roman" w:eastAsia="標楷體" w:hAnsi="Times New Roman" w:cs="Times New Roman"/>
          <w:sz w:val="24"/>
          <w:szCs w:val="24"/>
          <w:lang w:eastAsia="zh-HK"/>
        </w:rPr>
        <w:t xml:space="preserve">  </w:t>
      </w:r>
      <w:bookmarkStart w:id="0" w:name="_GoBack"/>
      <w:bookmarkEnd w:id="0"/>
      <w:r w:rsidR="007626CF">
        <w:rPr>
          <w:rFonts w:ascii="Times New Roman" w:eastAsia="標楷體" w:hAnsi="Times New Roman" w:cs="Times New Roman"/>
          <w:sz w:val="24"/>
          <w:szCs w:val="24"/>
          <w:lang w:eastAsia="zh-HK"/>
        </w:rPr>
        <w:t>It can be seen that agriculture prices affect the CCPI more strongly at first; after one year, the effect on the CCPI is statistically significant while the effect on unit labour costs is not.  After two years, however, there is more noticeable convergence as the effects on both variables are statistically significant and close</w:t>
      </w:r>
      <w:r w:rsidR="008509DB">
        <w:rPr>
          <w:rFonts w:ascii="Times New Roman" w:eastAsia="標楷體" w:hAnsi="Times New Roman" w:cs="Times New Roman"/>
          <w:sz w:val="24"/>
          <w:szCs w:val="24"/>
          <w:lang w:eastAsia="zh-HK"/>
        </w:rPr>
        <w:t xml:space="preserve">r together in magnitude.  Thus </w:t>
      </w:r>
      <w:r w:rsidR="007626CF">
        <w:rPr>
          <w:rFonts w:ascii="Times New Roman" w:eastAsia="標楷體" w:hAnsi="Times New Roman" w:cs="Times New Roman"/>
          <w:sz w:val="24"/>
          <w:szCs w:val="24"/>
          <w:lang w:eastAsia="zh-HK"/>
        </w:rPr>
        <w:t>prices tend to respond to external shocks more quickly</w:t>
      </w:r>
      <w:r w:rsidR="008509DB">
        <w:rPr>
          <w:rFonts w:ascii="Times New Roman" w:eastAsia="標楷體" w:hAnsi="Times New Roman" w:cs="Times New Roman"/>
          <w:sz w:val="24"/>
          <w:szCs w:val="24"/>
          <w:lang w:eastAsia="zh-HK"/>
        </w:rPr>
        <w:t>, while unit labour costs catch up later</w:t>
      </w:r>
      <w:r w:rsidR="0037123A">
        <w:rPr>
          <w:rFonts w:ascii="Times New Roman" w:eastAsia="標楷體" w:hAnsi="Times New Roman" w:cs="Times New Roman"/>
          <w:sz w:val="24"/>
          <w:szCs w:val="24"/>
          <w:lang w:eastAsia="zh-HK"/>
        </w:rPr>
        <w:t>.</w:t>
      </w:r>
    </w:p>
    <w:p w14:paraId="0F5224D1" w14:textId="095BA62A" w:rsidR="00871B12" w:rsidRDefault="00871B12" w:rsidP="00191584">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
    <w:p w14:paraId="04965F3F" w14:textId="34A51423" w:rsidR="00D266CE" w:rsidRPr="005D0F6F" w:rsidRDefault="00D266CE" w:rsidP="005F1956">
      <w:pPr>
        <w:spacing w:after="0"/>
        <w:jc w:val="center"/>
        <w:rPr>
          <w:rFonts w:ascii="Times New Roman" w:hAnsi="Times New Roman" w:cs="Times New Roman"/>
          <w:b/>
          <w:sz w:val="24"/>
          <w:szCs w:val="26"/>
        </w:rPr>
      </w:pPr>
      <w:r w:rsidRPr="005D0F6F">
        <w:rPr>
          <w:rFonts w:ascii="Times New Roman" w:hAnsi="Times New Roman" w:cs="Times New Roman"/>
          <w:b/>
          <w:sz w:val="24"/>
          <w:szCs w:val="26"/>
        </w:rPr>
        <w:t xml:space="preserve">Table </w:t>
      </w:r>
      <w:r>
        <w:rPr>
          <w:rFonts w:ascii="Times New Roman" w:hAnsi="Times New Roman" w:cs="Times New Roman"/>
          <w:b/>
          <w:sz w:val="24"/>
          <w:szCs w:val="26"/>
        </w:rPr>
        <w:t>5</w:t>
      </w:r>
      <w:r w:rsidRPr="005D0F6F">
        <w:rPr>
          <w:rFonts w:ascii="Times New Roman" w:hAnsi="Times New Roman" w:cs="Times New Roman"/>
          <w:b/>
          <w:sz w:val="24"/>
          <w:szCs w:val="26"/>
        </w:rPr>
        <w:t xml:space="preserve">: </w:t>
      </w:r>
      <w:r>
        <w:rPr>
          <w:rFonts w:ascii="Times New Roman" w:hAnsi="Times New Roman" w:cs="Times New Roman"/>
          <w:b/>
          <w:sz w:val="24"/>
          <w:szCs w:val="26"/>
        </w:rPr>
        <w:t>D</w:t>
      </w:r>
      <w:r w:rsidR="005F1956">
        <w:rPr>
          <w:rFonts w:ascii="Times New Roman" w:hAnsi="Times New Roman" w:cs="Times New Roman"/>
          <w:b/>
          <w:sz w:val="24"/>
          <w:szCs w:val="26"/>
        </w:rPr>
        <w:t xml:space="preserve">ynamic Multiplier Functions </w:t>
      </w:r>
      <w:r>
        <w:rPr>
          <w:rFonts w:ascii="Times New Roman" w:hAnsi="Times New Roman" w:cs="Times New Roman"/>
          <w:b/>
          <w:sz w:val="24"/>
          <w:szCs w:val="26"/>
        </w:rPr>
        <w:t>for Changes in Agriculture Prices*</w:t>
      </w:r>
    </w:p>
    <w:tbl>
      <w:tblPr>
        <w:tblStyle w:val="TableGrid"/>
        <w:tblW w:w="8296" w:type="dxa"/>
        <w:tblLook w:val="04A0" w:firstRow="1" w:lastRow="0" w:firstColumn="1" w:lastColumn="0" w:noHBand="0" w:noVBand="1"/>
      </w:tblPr>
      <w:tblGrid>
        <w:gridCol w:w="2689"/>
        <w:gridCol w:w="1559"/>
        <w:gridCol w:w="1559"/>
        <w:gridCol w:w="2489"/>
      </w:tblGrid>
      <w:tr w:rsidR="0082294E" w14:paraId="6A244BED" w14:textId="77777777" w:rsidTr="0082294E">
        <w:trPr>
          <w:trHeight w:val="860"/>
        </w:trPr>
        <w:tc>
          <w:tcPr>
            <w:tcW w:w="2689" w:type="dxa"/>
            <w:tcBorders>
              <w:bottom w:val="single" w:sz="8" w:space="0" w:color="auto"/>
            </w:tcBorders>
            <w:shd w:val="clear" w:color="auto" w:fill="F2F2F2" w:themeFill="background1" w:themeFillShade="F2"/>
            <w:vAlign w:val="center"/>
          </w:tcPr>
          <w:p w14:paraId="17D09EE6" w14:textId="3F8FE950" w:rsidR="00D266CE" w:rsidRDefault="00D266CE" w:rsidP="00F8467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Endogenous Variable</w:t>
            </w:r>
          </w:p>
        </w:tc>
        <w:tc>
          <w:tcPr>
            <w:tcW w:w="1559" w:type="dxa"/>
            <w:tcBorders>
              <w:bottom w:val="single" w:sz="8" w:space="0" w:color="auto"/>
            </w:tcBorders>
            <w:shd w:val="clear" w:color="auto" w:fill="F2F2F2" w:themeFill="background1" w:themeFillShade="F2"/>
            <w:vAlign w:val="center"/>
          </w:tcPr>
          <w:p w14:paraId="396C9B12" w14:textId="1E778D32" w:rsidR="00D266CE" w:rsidRPr="00D266CE" w:rsidRDefault="005F1956" w:rsidP="00F8467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Time</w:t>
            </w:r>
          </w:p>
        </w:tc>
        <w:tc>
          <w:tcPr>
            <w:tcW w:w="1559" w:type="dxa"/>
            <w:tcBorders>
              <w:bottom w:val="single" w:sz="8" w:space="0" w:color="auto"/>
            </w:tcBorders>
            <w:shd w:val="clear" w:color="auto" w:fill="F2F2F2" w:themeFill="background1" w:themeFillShade="F2"/>
            <w:vAlign w:val="center"/>
          </w:tcPr>
          <w:p w14:paraId="22F85442" w14:textId="185C1FB7" w:rsidR="005F1956" w:rsidRDefault="005F1956" w:rsidP="00F8467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Cumulative</w:t>
            </w:r>
          </w:p>
          <w:p w14:paraId="1685E040" w14:textId="58FAA77D" w:rsidR="00D266CE" w:rsidRPr="0019542B" w:rsidRDefault="00D266CE" w:rsidP="00F8467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Effect</w:t>
            </w:r>
          </w:p>
        </w:tc>
        <w:tc>
          <w:tcPr>
            <w:tcW w:w="2489" w:type="dxa"/>
            <w:tcBorders>
              <w:bottom w:val="single" w:sz="8" w:space="0" w:color="auto"/>
            </w:tcBorders>
            <w:shd w:val="clear" w:color="auto" w:fill="F2F2F2" w:themeFill="background1" w:themeFillShade="F2"/>
            <w:vAlign w:val="center"/>
          </w:tcPr>
          <w:p w14:paraId="28F8C181" w14:textId="5B45CF64" w:rsidR="00D266CE" w:rsidRPr="00D266CE" w:rsidRDefault="00D266CE" w:rsidP="00D266CE">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95% Confidence Interval</w:t>
            </w:r>
          </w:p>
        </w:tc>
      </w:tr>
      <w:tr w:rsidR="005F1956" w14:paraId="4A19035D" w14:textId="77777777" w:rsidTr="005F1956">
        <w:trPr>
          <w:trHeight w:val="469"/>
        </w:trPr>
        <w:tc>
          <w:tcPr>
            <w:tcW w:w="2689" w:type="dxa"/>
            <w:vMerge w:val="restart"/>
            <w:tcBorders>
              <w:top w:val="single" w:sz="8" w:space="0" w:color="auto"/>
            </w:tcBorders>
            <w:vAlign w:val="center"/>
          </w:tcPr>
          <w:p w14:paraId="0D81A9AE" w14:textId="06408FFA" w:rsidR="005F1956" w:rsidRDefault="005F1956" w:rsidP="00D266CE">
            <w:pPr>
              <w:pStyle w:val="ListParagraph"/>
              <w:overflowPunct w:val="0"/>
              <w:snapToGrid w:val="0"/>
              <w:spacing w:line="300" w:lineRule="auto"/>
              <w:ind w:left="0"/>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CCPI</w:t>
            </w:r>
          </w:p>
        </w:tc>
        <w:tc>
          <w:tcPr>
            <w:tcW w:w="1559" w:type="dxa"/>
            <w:tcBorders>
              <w:top w:val="single" w:sz="8" w:space="0" w:color="auto"/>
            </w:tcBorders>
            <w:vAlign w:val="center"/>
          </w:tcPr>
          <w:p w14:paraId="42571EE0" w14:textId="3E884797" w:rsidR="005F1956" w:rsidRDefault="005F1956" w:rsidP="00F8467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1 year</w:t>
            </w:r>
          </w:p>
        </w:tc>
        <w:tc>
          <w:tcPr>
            <w:tcW w:w="1559" w:type="dxa"/>
            <w:tcBorders>
              <w:top w:val="single" w:sz="8" w:space="0" w:color="auto"/>
            </w:tcBorders>
            <w:vAlign w:val="center"/>
          </w:tcPr>
          <w:p w14:paraId="234846BA" w14:textId="53B980EC" w:rsidR="005F1956" w:rsidRDefault="0082294E" w:rsidP="00F8467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0.056**</w:t>
            </w:r>
          </w:p>
        </w:tc>
        <w:tc>
          <w:tcPr>
            <w:tcW w:w="2489" w:type="dxa"/>
            <w:tcBorders>
              <w:top w:val="single" w:sz="8" w:space="0" w:color="auto"/>
            </w:tcBorders>
            <w:vAlign w:val="center"/>
          </w:tcPr>
          <w:p w14:paraId="26CE0EC3" w14:textId="0CD57371" w:rsidR="005F1956" w:rsidRDefault="0082294E" w:rsidP="00F8467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(0.016, 0.096)</w:t>
            </w:r>
          </w:p>
        </w:tc>
      </w:tr>
      <w:tr w:rsidR="005F1956" w14:paraId="6DDC3EAE" w14:textId="77777777" w:rsidTr="005F1956">
        <w:trPr>
          <w:trHeight w:val="469"/>
        </w:trPr>
        <w:tc>
          <w:tcPr>
            <w:tcW w:w="2689" w:type="dxa"/>
            <w:vMerge/>
            <w:vAlign w:val="center"/>
          </w:tcPr>
          <w:p w14:paraId="3CA2ED4A" w14:textId="1B622E43" w:rsidR="005F1956" w:rsidRDefault="005F1956" w:rsidP="00D266CE">
            <w:pPr>
              <w:pStyle w:val="ListParagraph"/>
              <w:overflowPunct w:val="0"/>
              <w:snapToGrid w:val="0"/>
              <w:spacing w:line="300" w:lineRule="auto"/>
              <w:ind w:left="0"/>
              <w:rPr>
                <w:rFonts w:ascii="Times New Roman" w:eastAsia="標楷體" w:hAnsi="Times New Roman" w:cs="Times New Roman"/>
                <w:sz w:val="24"/>
                <w:szCs w:val="24"/>
                <w:lang w:eastAsia="zh-HK"/>
              </w:rPr>
            </w:pPr>
          </w:p>
        </w:tc>
        <w:tc>
          <w:tcPr>
            <w:tcW w:w="1559" w:type="dxa"/>
            <w:vAlign w:val="center"/>
          </w:tcPr>
          <w:p w14:paraId="5175F5F1" w14:textId="3DD52941" w:rsidR="005F1956" w:rsidRDefault="005F1956" w:rsidP="00F8467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2 years</w:t>
            </w:r>
          </w:p>
        </w:tc>
        <w:tc>
          <w:tcPr>
            <w:tcW w:w="1559" w:type="dxa"/>
            <w:vAlign w:val="center"/>
          </w:tcPr>
          <w:p w14:paraId="3568F206" w14:textId="6D4A5B53" w:rsidR="005F1956" w:rsidRDefault="0082294E" w:rsidP="00F8467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0.102**</w:t>
            </w:r>
          </w:p>
        </w:tc>
        <w:tc>
          <w:tcPr>
            <w:tcW w:w="2489" w:type="dxa"/>
            <w:vAlign w:val="center"/>
          </w:tcPr>
          <w:p w14:paraId="161990FF" w14:textId="4684F16E" w:rsidR="005F1956" w:rsidRDefault="0082294E" w:rsidP="00F8467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(0.028, 0.176)</w:t>
            </w:r>
          </w:p>
        </w:tc>
      </w:tr>
      <w:tr w:rsidR="005F1956" w14:paraId="7428F534" w14:textId="77777777" w:rsidTr="005F1956">
        <w:trPr>
          <w:trHeight w:val="469"/>
        </w:trPr>
        <w:tc>
          <w:tcPr>
            <w:tcW w:w="2689" w:type="dxa"/>
            <w:vMerge w:val="restart"/>
            <w:vAlign w:val="center"/>
          </w:tcPr>
          <w:p w14:paraId="5A7ADE8D" w14:textId="239A5A45" w:rsidR="005F1956" w:rsidRDefault="005F1956" w:rsidP="00D266CE">
            <w:pPr>
              <w:pStyle w:val="ListParagraph"/>
              <w:overflowPunct w:val="0"/>
              <w:snapToGrid w:val="0"/>
              <w:spacing w:line="300" w:lineRule="auto"/>
              <w:ind w:left="0"/>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Unit Labour Cost</w:t>
            </w:r>
          </w:p>
        </w:tc>
        <w:tc>
          <w:tcPr>
            <w:tcW w:w="1559" w:type="dxa"/>
            <w:vAlign w:val="center"/>
          </w:tcPr>
          <w:p w14:paraId="36B8AE7A" w14:textId="710CF186" w:rsidR="005F1956" w:rsidRDefault="005F1956" w:rsidP="00F8467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1 year</w:t>
            </w:r>
          </w:p>
        </w:tc>
        <w:tc>
          <w:tcPr>
            <w:tcW w:w="1559" w:type="dxa"/>
            <w:vAlign w:val="center"/>
          </w:tcPr>
          <w:p w14:paraId="660A3D55" w14:textId="08ABF111" w:rsidR="005F1956" w:rsidRDefault="0082294E" w:rsidP="00F8467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0.033</w:t>
            </w:r>
          </w:p>
        </w:tc>
        <w:tc>
          <w:tcPr>
            <w:tcW w:w="2489" w:type="dxa"/>
            <w:vAlign w:val="center"/>
          </w:tcPr>
          <w:p w14:paraId="31DFDCDE" w14:textId="7824E076" w:rsidR="005F1956" w:rsidRDefault="0082294E" w:rsidP="00F8467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w:t>
            </w:r>
            <w:r w:rsidR="007626CF">
              <w:rPr>
                <w:rFonts w:ascii="Times New Roman" w:eastAsia="標楷體" w:hAnsi="Times New Roman" w:cs="Times New Roman"/>
                <w:sz w:val="24"/>
                <w:szCs w:val="24"/>
                <w:lang w:eastAsia="zh-HK"/>
              </w:rPr>
              <w:t>0.007, 0.074)</w:t>
            </w:r>
          </w:p>
        </w:tc>
      </w:tr>
      <w:tr w:rsidR="005F1956" w14:paraId="63783DB9" w14:textId="77777777" w:rsidTr="005F1956">
        <w:trPr>
          <w:trHeight w:val="469"/>
        </w:trPr>
        <w:tc>
          <w:tcPr>
            <w:tcW w:w="2689" w:type="dxa"/>
            <w:vMerge/>
            <w:vAlign w:val="center"/>
          </w:tcPr>
          <w:p w14:paraId="3F4E2C20" w14:textId="77777777" w:rsidR="005F1956" w:rsidRDefault="005F1956" w:rsidP="00D266CE">
            <w:pPr>
              <w:pStyle w:val="ListParagraph"/>
              <w:overflowPunct w:val="0"/>
              <w:snapToGrid w:val="0"/>
              <w:spacing w:line="300" w:lineRule="auto"/>
              <w:ind w:left="0"/>
              <w:rPr>
                <w:rFonts w:ascii="Times New Roman" w:eastAsia="標楷體" w:hAnsi="Times New Roman" w:cs="Times New Roman"/>
                <w:sz w:val="24"/>
                <w:szCs w:val="24"/>
                <w:lang w:eastAsia="zh-HK"/>
              </w:rPr>
            </w:pPr>
          </w:p>
        </w:tc>
        <w:tc>
          <w:tcPr>
            <w:tcW w:w="1559" w:type="dxa"/>
            <w:vAlign w:val="center"/>
          </w:tcPr>
          <w:p w14:paraId="34FF96AD" w14:textId="3006543D" w:rsidR="005F1956" w:rsidRDefault="005F1956" w:rsidP="00F8467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2 years</w:t>
            </w:r>
          </w:p>
        </w:tc>
        <w:tc>
          <w:tcPr>
            <w:tcW w:w="1559" w:type="dxa"/>
            <w:vAlign w:val="center"/>
          </w:tcPr>
          <w:p w14:paraId="4C443686" w14:textId="3415F57C" w:rsidR="005F1956" w:rsidRDefault="007626CF" w:rsidP="00F8467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0.093**</w:t>
            </w:r>
          </w:p>
        </w:tc>
        <w:tc>
          <w:tcPr>
            <w:tcW w:w="2489" w:type="dxa"/>
            <w:vAlign w:val="center"/>
          </w:tcPr>
          <w:p w14:paraId="6FEC9E0D" w14:textId="5C577BEF" w:rsidR="005F1956" w:rsidRDefault="007626CF" w:rsidP="00F8467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(0.008, 0.178)</w:t>
            </w:r>
          </w:p>
        </w:tc>
      </w:tr>
    </w:tbl>
    <w:p w14:paraId="355D9452" w14:textId="1A9B5BDF" w:rsidR="00D266CE" w:rsidRPr="005D0F6F" w:rsidRDefault="00D266CE" w:rsidP="00D266CE">
      <w:pPr>
        <w:overflowPunct w:val="0"/>
        <w:snapToGrid w:val="0"/>
        <w:spacing w:before="20" w:after="0" w:line="240" w:lineRule="auto"/>
        <w:ind w:left="720" w:hanging="720"/>
        <w:jc w:val="both"/>
        <w:rPr>
          <w:rFonts w:ascii="Times New Roman" w:eastAsia="標楷體" w:hAnsi="Times New Roman" w:cs="Times New Roman"/>
          <w:sz w:val="16"/>
          <w:szCs w:val="18"/>
          <w:lang w:eastAsia="zh-HK"/>
        </w:rPr>
      </w:pPr>
      <w:r w:rsidRPr="005D0F6F">
        <w:rPr>
          <w:rFonts w:ascii="Times New Roman" w:eastAsia="標楷體" w:hAnsi="Times New Roman" w:cs="Times New Roman"/>
          <w:sz w:val="16"/>
          <w:szCs w:val="18"/>
          <w:lang w:eastAsia="zh-HK"/>
        </w:rPr>
        <w:t>Notes (*</w:t>
      </w:r>
      <w:proofErr w:type="gramStart"/>
      <w:r w:rsidRPr="005D0F6F">
        <w:rPr>
          <w:rFonts w:ascii="Times New Roman" w:eastAsia="標楷體" w:hAnsi="Times New Roman" w:cs="Times New Roman"/>
          <w:sz w:val="16"/>
          <w:szCs w:val="18"/>
          <w:lang w:eastAsia="zh-HK"/>
        </w:rPr>
        <w:t>) :</w:t>
      </w:r>
      <w:proofErr w:type="gramEnd"/>
      <w:r w:rsidRPr="005D0F6F">
        <w:rPr>
          <w:rFonts w:ascii="Times New Roman" w:eastAsia="標楷體" w:hAnsi="Times New Roman" w:cs="Times New Roman"/>
          <w:sz w:val="16"/>
          <w:szCs w:val="18"/>
          <w:lang w:eastAsia="zh-HK"/>
        </w:rPr>
        <w:tab/>
      </w:r>
      <w:r>
        <w:rPr>
          <w:rFonts w:ascii="Times New Roman" w:eastAsia="標楷體" w:hAnsi="Times New Roman" w:cs="Times New Roman"/>
          <w:sz w:val="16"/>
          <w:szCs w:val="18"/>
          <w:lang w:eastAsia="zh-HK"/>
        </w:rPr>
        <w:t>Variables are in</w:t>
      </w:r>
      <w:r w:rsidRPr="005D0F6F">
        <w:rPr>
          <w:rFonts w:ascii="Times New Roman" w:eastAsia="標楷體" w:hAnsi="Times New Roman" w:cs="Times New Roman"/>
          <w:sz w:val="16"/>
          <w:szCs w:val="18"/>
          <w:lang w:eastAsia="zh-HK"/>
        </w:rPr>
        <w:t xml:space="preserve"> natural logarithms</w:t>
      </w:r>
      <w:r w:rsidR="0082294E">
        <w:rPr>
          <w:rFonts w:ascii="Times New Roman" w:eastAsia="標楷體" w:hAnsi="Times New Roman" w:cs="Times New Roman"/>
          <w:sz w:val="16"/>
          <w:szCs w:val="18"/>
          <w:lang w:eastAsia="zh-HK"/>
        </w:rPr>
        <w:t>.</w:t>
      </w:r>
    </w:p>
    <w:p w14:paraId="620FD20C" w14:textId="3513BEF4" w:rsidR="00D266CE" w:rsidRPr="00A54AD7" w:rsidRDefault="00D266CE" w:rsidP="00D266CE">
      <w:pPr>
        <w:pStyle w:val="ListParagraph"/>
        <w:overflowPunct w:val="0"/>
        <w:snapToGrid w:val="0"/>
        <w:spacing w:after="0" w:line="300" w:lineRule="auto"/>
        <w:ind w:left="0"/>
        <w:jc w:val="both"/>
        <w:rPr>
          <w:rFonts w:ascii="Times New Roman" w:eastAsia="標楷體" w:hAnsi="Times New Roman" w:cs="Times New Roman"/>
          <w:b/>
          <w:sz w:val="24"/>
          <w:szCs w:val="24"/>
          <w:lang w:eastAsia="zh-HK"/>
        </w:rPr>
      </w:pPr>
      <w:r>
        <w:rPr>
          <w:rFonts w:ascii="Times New Roman" w:eastAsia="標楷體" w:hAnsi="Times New Roman" w:cs="Times New Roman"/>
          <w:sz w:val="16"/>
          <w:szCs w:val="18"/>
          <w:lang w:eastAsia="zh-HK"/>
        </w:rPr>
        <w:t xml:space="preserve">        (**</w:t>
      </w:r>
      <w:proofErr w:type="gramStart"/>
      <w:r>
        <w:rPr>
          <w:rFonts w:ascii="Times New Roman" w:eastAsia="標楷體" w:hAnsi="Times New Roman" w:cs="Times New Roman"/>
          <w:sz w:val="16"/>
          <w:szCs w:val="18"/>
          <w:lang w:eastAsia="zh-HK"/>
        </w:rPr>
        <w:t>) :</w:t>
      </w:r>
      <w:proofErr w:type="gramEnd"/>
      <w:r>
        <w:rPr>
          <w:rFonts w:ascii="Times New Roman" w:eastAsia="標楷體" w:hAnsi="Times New Roman" w:cs="Times New Roman"/>
          <w:sz w:val="16"/>
          <w:szCs w:val="18"/>
          <w:lang w:eastAsia="zh-HK"/>
        </w:rPr>
        <w:tab/>
        <w:t xml:space="preserve">The null hypothesis </w:t>
      </w:r>
      <w:r w:rsidR="0082294E">
        <w:rPr>
          <w:rFonts w:ascii="Times New Roman" w:eastAsia="標楷體" w:hAnsi="Times New Roman" w:cs="Times New Roman"/>
          <w:sz w:val="16"/>
          <w:szCs w:val="18"/>
          <w:lang w:eastAsia="zh-HK"/>
        </w:rPr>
        <w:t xml:space="preserve">that the cumulative effect is zero </w:t>
      </w:r>
      <w:r>
        <w:rPr>
          <w:rFonts w:ascii="Times New Roman" w:eastAsia="標楷體" w:hAnsi="Times New Roman" w:cs="Times New Roman"/>
          <w:sz w:val="16"/>
          <w:szCs w:val="18"/>
          <w:lang w:eastAsia="zh-HK"/>
        </w:rPr>
        <w:t>is rejected at the 5% level.</w:t>
      </w:r>
    </w:p>
    <w:p w14:paraId="057881FD" w14:textId="77777777" w:rsidR="00D266CE" w:rsidRDefault="00D266CE" w:rsidP="00191584">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
    <w:p w14:paraId="6698BD63" w14:textId="563E302B" w:rsidR="00191584" w:rsidRDefault="00191584" w:rsidP="00191584">
      <w:pPr>
        <w:pStyle w:val="ListParagraph"/>
        <w:overflowPunct w:val="0"/>
        <w:snapToGrid w:val="0"/>
        <w:spacing w:after="0" w:line="300" w:lineRule="auto"/>
        <w:ind w:left="0"/>
        <w:jc w:val="both"/>
        <w:rPr>
          <w:rFonts w:ascii="Times New Roman" w:eastAsia="標楷體" w:hAnsi="Times New Roman" w:cs="Times New Roman"/>
          <w:b/>
          <w:sz w:val="24"/>
          <w:szCs w:val="24"/>
          <w:lang w:eastAsia="zh-HK"/>
        </w:rPr>
      </w:pPr>
      <w:r>
        <w:rPr>
          <w:rFonts w:ascii="Times New Roman" w:eastAsia="標楷體" w:hAnsi="Times New Roman" w:cs="Times New Roman"/>
          <w:b/>
          <w:sz w:val="24"/>
          <w:szCs w:val="24"/>
          <w:lang w:eastAsia="zh-HK"/>
        </w:rPr>
        <w:t>V.</w:t>
      </w:r>
      <w:r>
        <w:rPr>
          <w:rFonts w:ascii="Times New Roman" w:eastAsia="標楷體" w:hAnsi="Times New Roman" w:cs="Times New Roman"/>
          <w:b/>
          <w:sz w:val="24"/>
          <w:szCs w:val="24"/>
          <w:lang w:eastAsia="zh-HK"/>
        </w:rPr>
        <w:tab/>
        <w:t>CONCLUSIONS</w:t>
      </w:r>
    </w:p>
    <w:p w14:paraId="0CA664B9" w14:textId="77777777" w:rsidR="00191584" w:rsidRDefault="00191584" w:rsidP="00191584">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
    <w:p w14:paraId="697C28A4" w14:textId="08996306" w:rsidR="00191584" w:rsidRPr="0058630A" w:rsidRDefault="00692F12" w:rsidP="0058630A">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 xml:space="preserve">Since labour in an economy is ultimately compensated in real terms, wages and </w:t>
      </w:r>
      <w:r w:rsidR="003564D3">
        <w:rPr>
          <w:rFonts w:ascii="Times New Roman" w:eastAsia="標楷體" w:hAnsi="Times New Roman" w:cs="Times New Roman"/>
          <w:sz w:val="24"/>
          <w:szCs w:val="24"/>
          <w:lang w:eastAsia="zh-HK"/>
        </w:rPr>
        <w:t xml:space="preserve">consumer </w:t>
      </w:r>
      <w:r>
        <w:rPr>
          <w:rFonts w:ascii="Times New Roman" w:eastAsia="標楷體" w:hAnsi="Times New Roman" w:cs="Times New Roman"/>
          <w:sz w:val="24"/>
          <w:szCs w:val="24"/>
          <w:lang w:eastAsia="zh-HK"/>
        </w:rPr>
        <w:t>prices are inherently linked</w:t>
      </w:r>
      <w:r w:rsidR="00871B12">
        <w:rPr>
          <w:rFonts w:ascii="Times New Roman" w:eastAsia="標楷體" w:hAnsi="Times New Roman" w:cs="Times New Roman"/>
          <w:sz w:val="24"/>
          <w:szCs w:val="24"/>
          <w:lang w:eastAsia="zh-HK"/>
        </w:rPr>
        <w:t>.</w:t>
      </w:r>
      <w:r>
        <w:rPr>
          <w:rFonts w:ascii="Times New Roman" w:eastAsia="標楷體" w:hAnsi="Times New Roman" w:cs="Times New Roman"/>
          <w:sz w:val="24"/>
          <w:szCs w:val="24"/>
          <w:lang w:eastAsia="zh-HK"/>
        </w:rPr>
        <w:t xml:space="preserve">  </w:t>
      </w:r>
      <w:r w:rsidR="00E06EB1">
        <w:rPr>
          <w:rFonts w:ascii="Times New Roman" w:eastAsia="標楷體" w:hAnsi="Times New Roman" w:cs="Times New Roman"/>
          <w:sz w:val="24"/>
          <w:szCs w:val="24"/>
          <w:lang w:eastAsia="zh-HK"/>
        </w:rPr>
        <w:t xml:space="preserve">In Hong Kong, over the long term, </w:t>
      </w:r>
      <w:r w:rsidR="00772E4D">
        <w:rPr>
          <w:rFonts w:ascii="Times New Roman" w:eastAsia="標楷體" w:hAnsi="Times New Roman" w:cs="Times New Roman"/>
          <w:sz w:val="24"/>
          <w:szCs w:val="24"/>
          <w:lang w:eastAsia="zh-HK"/>
        </w:rPr>
        <w:t xml:space="preserve">productivity-adjusted nominal wages, or unit labour costs, track consumer prices just as </w:t>
      </w:r>
      <w:r w:rsidR="0046295F">
        <w:rPr>
          <w:rFonts w:ascii="Times New Roman" w:eastAsia="標楷體" w:hAnsi="Times New Roman" w:cs="Times New Roman"/>
          <w:sz w:val="24"/>
          <w:szCs w:val="24"/>
          <w:lang w:eastAsia="zh-HK"/>
        </w:rPr>
        <w:t xml:space="preserve">economic </w:t>
      </w:r>
      <w:r w:rsidR="00772E4D">
        <w:rPr>
          <w:rFonts w:ascii="Times New Roman" w:eastAsia="標楷體" w:hAnsi="Times New Roman" w:cs="Times New Roman"/>
          <w:sz w:val="24"/>
          <w:szCs w:val="24"/>
          <w:lang w:eastAsia="zh-HK"/>
        </w:rPr>
        <w:t xml:space="preserve">theory would predict.  </w:t>
      </w:r>
      <w:r w:rsidR="003564D3">
        <w:rPr>
          <w:rFonts w:ascii="Times New Roman" w:eastAsia="標楷體" w:hAnsi="Times New Roman" w:cs="Times New Roman"/>
          <w:sz w:val="24"/>
          <w:szCs w:val="24"/>
          <w:lang w:eastAsia="zh-HK"/>
        </w:rPr>
        <w:t>Moreover</w:t>
      </w:r>
      <w:r w:rsidR="00772E4D">
        <w:rPr>
          <w:rFonts w:ascii="Times New Roman" w:eastAsia="標楷體" w:hAnsi="Times New Roman" w:cs="Times New Roman"/>
          <w:sz w:val="24"/>
          <w:szCs w:val="24"/>
          <w:lang w:eastAsia="zh-HK"/>
        </w:rPr>
        <w:t xml:space="preserve">, productivity gains have multiplied real wages by 2.5 times between 1984 and 2021.  </w:t>
      </w:r>
      <w:r>
        <w:rPr>
          <w:rFonts w:ascii="Times New Roman" w:eastAsia="標楷體" w:hAnsi="Times New Roman" w:cs="Times New Roman"/>
          <w:sz w:val="24"/>
          <w:szCs w:val="24"/>
          <w:lang w:eastAsia="zh-HK"/>
        </w:rPr>
        <w:t xml:space="preserve">Yet, in the short or even medium term, </w:t>
      </w:r>
      <w:r w:rsidR="00B13B9B">
        <w:rPr>
          <w:rFonts w:ascii="Times New Roman" w:eastAsia="標楷體" w:hAnsi="Times New Roman" w:cs="Times New Roman"/>
          <w:sz w:val="24"/>
          <w:szCs w:val="24"/>
          <w:lang w:eastAsia="zh-HK"/>
        </w:rPr>
        <w:t>unit labour costs and consumer prices</w:t>
      </w:r>
      <w:r>
        <w:rPr>
          <w:rFonts w:ascii="Times New Roman" w:eastAsia="標楷體" w:hAnsi="Times New Roman" w:cs="Times New Roman"/>
          <w:sz w:val="24"/>
          <w:szCs w:val="24"/>
          <w:lang w:eastAsia="zh-HK"/>
        </w:rPr>
        <w:t xml:space="preserve"> respond differently to external shocks and the adjustment process </w:t>
      </w:r>
      <w:r w:rsidR="00B13B9B">
        <w:rPr>
          <w:rFonts w:ascii="Times New Roman" w:eastAsia="標楷體" w:hAnsi="Times New Roman" w:cs="Times New Roman"/>
          <w:sz w:val="24"/>
          <w:szCs w:val="24"/>
          <w:lang w:eastAsia="zh-HK"/>
        </w:rPr>
        <w:t xml:space="preserve">to both the shocks and each other </w:t>
      </w:r>
      <w:r>
        <w:rPr>
          <w:rFonts w:ascii="Times New Roman" w:eastAsia="標楷體" w:hAnsi="Times New Roman" w:cs="Times New Roman"/>
          <w:sz w:val="24"/>
          <w:szCs w:val="24"/>
          <w:lang w:eastAsia="zh-HK"/>
        </w:rPr>
        <w:t xml:space="preserve">takes time.  </w:t>
      </w:r>
      <w:r w:rsidR="003564D3">
        <w:rPr>
          <w:rFonts w:ascii="Times New Roman" w:eastAsia="標楷體" w:hAnsi="Times New Roman" w:cs="Times New Roman"/>
          <w:sz w:val="24"/>
          <w:szCs w:val="24"/>
          <w:lang w:eastAsia="zh-HK"/>
        </w:rPr>
        <w:t>I</w:t>
      </w:r>
      <w:r>
        <w:rPr>
          <w:rFonts w:ascii="Times New Roman" w:eastAsia="標楷體" w:hAnsi="Times New Roman" w:cs="Times New Roman"/>
          <w:sz w:val="24"/>
          <w:szCs w:val="24"/>
          <w:lang w:eastAsia="zh-HK"/>
        </w:rPr>
        <w:t xml:space="preserve">n Hong Kong, as in other places, </w:t>
      </w:r>
      <w:r w:rsidR="003564D3">
        <w:rPr>
          <w:rFonts w:ascii="Times New Roman" w:eastAsia="標楷體" w:hAnsi="Times New Roman" w:cs="Times New Roman"/>
          <w:sz w:val="24"/>
          <w:szCs w:val="24"/>
          <w:lang w:eastAsia="zh-HK"/>
        </w:rPr>
        <w:t xml:space="preserve">consumer </w:t>
      </w:r>
      <w:r w:rsidR="00E06EB1">
        <w:rPr>
          <w:rFonts w:ascii="Times New Roman" w:eastAsia="標楷體" w:hAnsi="Times New Roman" w:cs="Times New Roman"/>
          <w:sz w:val="24"/>
          <w:szCs w:val="24"/>
          <w:lang w:eastAsia="zh-HK"/>
        </w:rPr>
        <w:t xml:space="preserve">prices tend to respond to external shocks first, while </w:t>
      </w:r>
      <w:r w:rsidR="00B13B9B">
        <w:rPr>
          <w:rFonts w:ascii="Times New Roman" w:eastAsia="標楷體" w:hAnsi="Times New Roman" w:cs="Times New Roman"/>
          <w:sz w:val="24"/>
          <w:szCs w:val="24"/>
          <w:lang w:eastAsia="zh-HK"/>
        </w:rPr>
        <w:t>unit labour costs</w:t>
      </w:r>
      <w:r w:rsidR="00E06EB1">
        <w:rPr>
          <w:rFonts w:ascii="Times New Roman" w:eastAsia="標楷體" w:hAnsi="Times New Roman" w:cs="Times New Roman"/>
          <w:sz w:val="24"/>
          <w:szCs w:val="24"/>
          <w:lang w:eastAsia="zh-HK"/>
        </w:rPr>
        <w:t xml:space="preserve"> follow later.</w:t>
      </w:r>
      <w:r w:rsidR="003564D3">
        <w:rPr>
          <w:rFonts w:ascii="Times New Roman" w:eastAsia="標楷體" w:hAnsi="Times New Roman" w:cs="Times New Roman"/>
          <w:sz w:val="24"/>
          <w:szCs w:val="24"/>
          <w:lang w:eastAsia="zh-HK"/>
        </w:rPr>
        <w:t xml:space="preserve">  Consequently, over the past few decades, consumer prices have been a leading indicator of</w:t>
      </w:r>
      <w:r w:rsidR="003564D3" w:rsidRPr="003564D3">
        <w:rPr>
          <w:rFonts w:ascii="Times New Roman" w:eastAsia="標楷體" w:hAnsi="Times New Roman" w:cs="Times New Roman"/>
          <w:sz w:val="24"/>
          <w:szCs w:val="24"/>
          <w:lang w:eastAsia="zh-HK"/>
        </w:rPr>
        <w:t xml:space="preserve"> </w:t>
      </w:r>
      <w:r w:rsidR="003564D3">
        <w:rPr>
          <w:rFonts w:ascii="Times New Roman" w:eastAsia="標楷體" w:hAnsi="Times New Roman" w:cs="Times New Roman"/>
          <w:sz w:val="24"/>
          <w:szCs w:val="24"/>
          <w:lang w:eastAsia="zh-HK"/>
        </w:rPr>
        <w:t>productivity-adjusted nominal wages, with little evidence of a wage-price spiral.</w:t>
      </w:r>
    </w:p>
    <w:sectPr w:rsidR="00191584" w:rsidRPr="0058630A" w:rsidSect="00DF0B99">
      <w:footerReference w:type="default" r:id="rId9"/>
      <w:headerReference w:type="first" r:id="rId10"/>
      <w:pgSz w:w="11906" w:h="16838"/>
      <w:pgMar w:top="1440" w:right="1800" w:bottom="1440" w:left="1800" w:header="113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F96F0" w14:textId="77777777" w:rsidR="004D348B" w:rsidRDefault="004D348B" w:rsidP="00D3388D">
      <w:pPr>
        <w:spacing w:after="0" w:line="240" w:lineRule="auto"/>
      </w:pPr>
      <w:r>
        <w:separator/>
      </w:r>
    </w:p>
  </w:endnote>
  <w:endnote w:type="continuationSeparator" w:id="0">
    <w:p w14:paraId="37879C8A" w14:textId="77777777" w:rsidR="004D348B" w:rsidRDefault="004D348B" w:rsidP="00D3388D">
      <w:pPr>
        <w:spacing w:after="0" w:line="240" w:lineRule="auto"/>
      </w:pPr>
      <w:r>
        <w:continuationSeparator/>
      </w:r>
    </w:p>
  </w:endnote>
  <w:endnote w:type="continuationNotice" w:id="1">
    <w:p w14:paraId="0BEA4AD0" w14:textId="77777777" w:rsidR="004D348B" w:rsidRDefault="004D34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B5D7D" w14:textId="310632B0" w:rsidR="001B0990" w:rsidRPr="00EA1508" w:rsidRDefault="001B0990" w:rsidP="003457FE">
    <w:pPr>
      <w:pStyle w:val="Footer"/>
      <w:pBdr>
        <w:top w:val="single" w:sz="4" w:space="1" w:color="A5A5A5" w:themeColor="background1" w:themeShade="A5"/>
      </w:pBdr>
      <w:tabs>
        <w:tab w:val="clear" w:pos="4153"/>
        <w:tab w:val="clear" w:pos="8306"/>
        <w:tab w:val="right" w:pos="8301"/>
      </w:tabs>
      <w:spacing w:before="60"/>
      <w:rPr>
        <w:rFonts w:ascii="Times New Roman" w:eastAsia="標楷體" w:hAnsi="Times New Roman"/>
        <w:color w:val="808080" w:themeColor="background1" w:themeShade="80"/>
        <w:sz w:val="24"/>
        <w:szCs w:val="24"/>
        <w:lang w:val="en-US"/>
      </w:rPr>
    </w:pPr>
    <w:r w:rsidRPr="00EA1508">
      <w:rPr>
        <w:rFonts w:ascii="Times New Roman" w:eastAsia="標楷體" w:hAnsi="Times New Roman"/>
        <w:color w:val="808080" w:themeColor="background1" w:themeShade="80"/>
        <w:sz w:val="24"/>
        <w:szCs w:val="24"/>
        <w:lang w:val="en-US"/>
      </w:rPr>
      <w:t xml:space="preserve">Office of the Government Economist – Economic Letter </w:t>
    </w:r>
    <w:r>
      <w:rPr>
        <w:rFonts w:ascii="Times New Roman" w:eastAsia="標楷體" w:hAnsi="Times New Roman"/>
        <w:color w:val="808080" w:themeColor="background1" w:themeShade="80"/>
        <w:sz w:val="24"/>
        <w:szCs w:val="24"/>
        <w:lang w:val="en-US"/>
      </w:rPr>
      <w:t>202</w:t>
    </w:r>
    <w:r w:rsidR="00076A0C">
      <w:rPr>
        <w:rFonts w:ascii="Times New Roman" w:eastAsia="標楷體" w:hAnsi="Times New Roman"/>
        <w:color w:val="808080" w:themeColor="background1" w:themeShade="80"/>
        <w:sz w:val="24"/>
        <w:szCs w:val="24"/>
        <w:lang w:val="en-US"/>
      </w:rPr>
      <w:t>2</w:t>
    </w:r>
    <w:r>
      <w:rPr>
        <w:rFonts w:ascii="Times New Roman" w:eastAsia="標楷體" w:hAnsi="Times New Roman"/>
        <w:color w:val="808080" w:themeColor="background1" w:themeShade="80"/>
        <w:sz w:val="24"/>
        <w:szCs w:val="24"/>
        <w:lang w:val="en-US"/>
      </w:rPr>
      <w:t>/</w:t>
    </w:r>
    <w:r w:rsidR="004D286D" w:rsidRPr="000173B6">
      <w:rPr>
        <w:rFonts w:ascii="Times New Roman" w:eastAsia="標楷體" w:hAnsi="Times New Roman"/>
        <w:color w:val="808080" w:themeColor="background1" w:themeShade="80"/>
        <w:sz w:val="24"/>
        <w:szCs w:val="24"/>
        <w:lang w:val="en-US"/>
      </w:rPr>
      <w:t>03</w:t>
    </w:r>
    <w:r w:rsidRPr="00EA1508">
      <w:rPr>
        <w:rFonts w:ascii="Times New Roman" w:eastAsia="標楷體" w:hAnsi="Times New Roman" w:hint="eastAsia"/>
        <w:color w:val="808080" w:themeColor="background1" w:themeShade="80"/>
        <w:sz w:val="24"/>
        <w:szCs w:val="24"/>
        <w:lang w:val="en-US"/>
      </w:rPr>
      <w:tab/>
    </w:r>
    <w:r w:rsidRPr="00EA1508">
      <w:rPr>
        <w:rFonts w:ascii="Times New Roman" w:eastAsia="標楷體" w:hAnsi="Times New Roman"/>
        <w:color w:val="808080" w:themeColor="background1" w:themeShade="80"/>
        <w:sz w:val="24"/>
        <w:szCs w:val="24"/>
        <w:lang w:val="en-US"/>
      </w:rPr>
      <w:fldChar w:fldCharType="begin"/>
    </w:r>
    <w:r w:rsidRPr="00EA1508">
      <w:rPr>
        <w:rFonts w:ascii="Times New Roman" w:eastAsia="標楷體" w:hAnsi="Times New Roman"/>
        <w:color w:val="808080" w:themeColor="background1" w:themeShade="80"/>
        <w:sz w:val="24"/>
        <w:szCs w:val="24"/>
        <w:lang w:val="en-US"/>
      </w:rPr>
      <w:instrText xml:space="preserve"> PAGE  \* Arabic  \* MERGEFORMAT </w:instrText>
    </w:r>
    <w:r w:rsidRPr="00EA1508">
      <w:rPr>
        <w:rFonts w:ascii="Times New Roman" w:eastAsia="標楷體" w:hAnsi="Times New Roman"/>
        <w:color w:val="808080" w:themeColor="background1" w:themeShade="80"/>
        <w:sz w:val="24"/>
        <w:szCs w:val="24"/>
        <w:lang w:val="en-US"/>
      </w:rPr>
      <w:fldChar w:fldCharType="separate"/>
    </w:r>
    <w:r w:rsidR="000173B6">
      <w:rPr>
        <w:rFonts w:ascii="Times New Roman" w:eastAsia="標楷體" w:hAnsi="Times New Roman"/>
        <w:noProof/>
        <w:color w:val="808080" w:themeColor="background1" w:themeShade="80"/>
        <w:sz w:val="24"/>
        <w:szCs w:val="24"/>
        <w:lang w:val="en-US"/>
      </w:rPr>
      <w:t>8</w:t>
    </w:r>
    <w:r w:rsidRPr="00EA1508">
      <w:rPr>
        <w:rFonts w:ascii="Times New Roman" w:eastAsia="標楷體" w:hAnsi="Times New Roman"/>
        <w:color w:val="808080" w:themeColor="background1" w:themeShade="80"/>
        <w:sz w:val="24"/>
        <w:szCs w:val="2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D294A" w14:textId="77777777" w:rsidR="004D348B" w:rsidRDefault="004D348B" w:rsidP="00D3388D">
      <w:pPr>
        <w:spacing w:after="0" w:line="240" w:lineRule="auto"/>
      </w:pPr>
      <w:r>
        <w:separator/>
      </w:r>
    </w:p>
  </w:footnote>
  <w:footnote w:type="continuationSeparator" w:id="0">
    <w:p w14:paraId="739F27E3" w14:textId="77777777" w:rsidR="004D348B" w:rsidRDefault="004D348B" w:rsidP="00D3388D">
      <w:pPr>
        <w:spacing w:after="0" w:line="240" w:lineRule="auto"/>
      </w:pPr>
      <w:r>
        <w:continuationSeparator/>
      </w:r>
    </w:p>
  </w:footnote>
  <w:footnote w:type="continuationNotice" w:id="1">
    <w:p w14:paraId="534F0A6D" w14:textId="77777777" w:rsidR="004D348B" w:rsidRDefault="004D348B">
      <w:pPr>
        <w:spacing w:after="0" w:line="240" w:lineRule="auto"/>
      </w:pPr>
    </w:p>
  </w:footnote>
  <w:footnote w:id="2">
    <w:p w14:paraId="4F43B125" w14:textId="77777777" w:rsidR="00CE7CE2" w:rsidRPr="00B63C8F" w:rsidRDefault="00CE7CE2" w:rsidP="00743E16">
      <w:pPr>
        <w:pStyle w:val="FootnoteText"/>
        <w:spacing w:after="66"/>
        <w:rPr>
          <w:rFonts w:ascii="Times New Roman" w:hAnsi="Times New Roman" w:cs="Times New Roman"/>
        </w:rPr>
      </w:pPr>
      <w:r w:rsidRPr="00B63C8F">
        <w:rPr>
          <w:rStyle w:val="FootnoteReference"/>
          <w:rFonts w:ascii="Times New Roman" w:hAnsi="Times New Roman" w:cs="Times New Roman"/>
        </w:rPr>
        <w:footnoteRef/>
      </w:r>
      <w:r w:rsidRPr="00B63C8F">
        <w:rPr>
          <w:rFonts w:ascii="Times New Roman" w:hAnsi="Times New Roman" w:cs="Times New Roman"/>
        </w:rPr>
        <w:t xml:space="preserve"> Campbell, J. and E. </w:t>
      </w:r>
      <w:proofErr w:type="spellStart"/>
      <w:r w:rsidRPr="00B63C8F">
        <w:rPr>
          <w:rFonts w:ascii="Times New Roman" w:hAnsi="Times New Roman" w:cs="Times New Roman"/>
        </w:rPr>
        <w:t>Rissman</w:t>
      </w:r>
      <w:proofErr w:type="spellEnd"/>
      <w:r w:rsidRPr="00B63C8F">
        <w:rPr>
          <w:rFonts w:ascii="Times New Roman" w:hAnsi="Times New Roman" w:cs="Times New Roman"/>
        </w:rPr>
        <w:t xml:space="preserve">.  1994.  “Long-run </w:t>
      </w:r>
      <w:proofErr w:type="spellStart"/>
      <w:r w:rsidRPr="00B63C8F">
        <w:rPr>
          <w:rFonts w:ascii="Times New Roman" w:hAnsi="Times New Roman" w:cs="Times New Roman"/>
        </w:rPr>
        <w:t>labor</w:t>
      </w:r>
      <w:proofErr w:type="spellEnd"/>
      <w:r w:rsidRPr="00B63C8F">
        <w:rPr>
          <w:rFonts w:ascii="Times New Roman" w:hAnsi="Times New Roman" w:cs="Times New Roman"/>
        </w:rPr>
        <w:t xml:space="preserve"> market dynamics and short-run inflation.”  </w:t>
      </w:r>
      <w:r w:rsidRPr="00B63C8F">
        <w:rPr>
          <w:rFonts w:ascii="Times New Roman" w:hAnsi="Times New Roman" w:cs="Times New Roman"/>
          <w:i/>
        </w:rPr>
        <w:t>Economic Perspectives</w:t>
      </w:r>
      <w:r w:rsidRPr="00B63C8F">
        <w:rPr>
          <w:rFonts w:ascii="Times New Roman" w:hAnsi="Times New Roman" w:cs="Times New Roman"/>
        </w:rPr>
        <w:t>, Federal Reserve Bank of Chicago, 18</w:t>
      </w:r>
      <w:r>
        <w:rPr>
          <w:rFonts w:ascii="Times New Roman" w:hAnsi="Times New Roman" w:cs="Times New Roman"/>
        </w:rPr>
        <w:t>(2)</w:t>
      </w:r>
      <w:r w:rsidRPr="00B63C8F">
        <w:rPr>
          <w:rFonts w:ascii="Times New Roman" w:hAnsi="Times New Roman" w:cs="Times New Roman"/>
        </w:rPr>
        <w:t>, pp. 15-27.</w:t>
      </w:r>
      <w:r>
        <w:rPr>
          <w:rFonts w:ascii="Times New Roman" w:hAnsi="Times New Roman" w:cs="Times New Roman"/>
        </w:rPr>
        <w:t xml:space="preserve"> </w:t>
      </w:r>
      <w:hyperlink r:id="rId1" w:history="1">
        <w:r w:rsidRPr="00C07734">
          <w:rPr>
            <w:rStyle w:val="Hyperlink"/>
            <w:rFonts w:ascii="Times New Roman" w:hAnsi="Times New Roman" w:cs="Times New Roman"/>
          </w:rPr>
          <w:t>https://www.chicagofed.org/publications/economic-perspectives/1994/04marapr1994-part2-campbell</w:t>
        </w:r>
      </w:hyperlink>
      <w:r>
        <w:rPr>
          <w:rFonts w:ascii="Times New Roman" w:hAnsi="Times New Roman" w:cs="Times New Roman"/>
        </w:rPr>
        <w:t xml:space="preserve"> </w:t>
      </w:r>
    </w:p>
  </w:footnote>
  <w:footnote w:id="3">
    <w:p w14:paraId="0FC3632B" w14:textId="77777777" w:rsidR="00743E16" w:rsidRPr="00743E16" w:rsidRDefault="00743E16" w:rsidP="00743E16">
      <w:pPr>
        <w:pStyle w:val="FootnoteText"/>
        <w:rPr>
          <w:rFonts w:ascii="Times New Roman" w:hAnsi="Times New Roman" w:cs="Times New Roman"/>
        </w:rPr>
      </w:pPr>
      <w:r w:rsidRPr="00743E16">
        <w:rPr>
          <w:rStyle w:val="FootnoteReference"/>
          <w:rFonts w:ascii="Times New Roman" w:hAnsi="Times New Roman" w:cs="Times New Roman"/>
        </w:rPr>
        <w:footnoteRef/>
      </w:r>
      <w:r w:rsidRPr="00743E16">
        <w:rPr>
          <w:rFonts w:ascii="Times New Roman" w:hAnsi="Times New Roman" w:cs="Times New Roman"/>
        </w:rPr>
        <w:t xml:space="preserve"> Ibid.</w:t>
      </w:r>
    </w:p>
  </w:footnote>
  <w:footnote w:id="4">
    <w:p w14:paraId="57C52EBE" w14:textId="1B3A0A78" w:rsidR="0096109A" w:rsidRPr="003F7CFC" w:rsidRDefault="0096109A" w:rsidP="00175D34">
      <w:pPr>
        <w:pStyle w:val="FootnoteText"/>
        <w:spacing w:after="66"/>
        <w:jc w:val="both"/>
        <w:rPr>
          <w:rFonts w:ascii="Times New Roman" w:hAnsi="Times New Roman" w:cs="Times New Roman"/>
        </w:rPr>
      </w:pPr>
      <w:r w:rsidRPr="003F7CFC">
        <w:rPr>
          <w:rStyle w:val="FootnoteReference"/>
          <w:rFonts w:ascii="Times New Roman" w:hAnsi="Times New Roman" w:cs="Times New Roman"/>
        </w:rPr>
        <w:footnoteRef/>
      </w:r>
      <w:r w:rsidRPr="003F7CFC">
        <w:rPr>
          <w:rFonts w:ascii="Times New Roman" w:hAnsi="Times New Roman" w:cs="Times New Roman"/>
        </w:rPr>
        <w:t xml:space="preserve"> C&amp;SD publishes both “payroll indices” and “wage indices”.  C&amp;SD’s </w:t>
      </w:r>
      <w:r w:rsidR="003F7CFC">
        <w:rPr>
          <w:rFonts w:ascii="Times New Roman" w:hAnsi="Times New Roman" w:cs="Times New Roman"/>
        </w:rPr>
        <w:t>payroll indices are</w:t>
      </w:r>
      <w:r w:rsidRPr="003F7CFC">
        <w:rPr>
          <w:rFonts w:ascii="Times New Roman" w:hAnsi="Times New Roman" w:cs="Times New Roman"/>
        </w:rPr>
        <w:t xml:space="preserve"> more </w:t>
      </w:r>
      <w:r w:rsidR="003F7CFC">
        <w:rPr>
          <w:rFonts w:ascii="Times New Roman" w:hAnsi="Times New Roman" w:cs="Times New Roman"/>
        </w:rPr>
        <w:t xml:space="preserve">closely </w:t>
      </w:r>
      <w:r w:rsidRPr="003F7CFC">
        <w:rPr>
          <w:rFonts w:ascii="Times New Roman" w:hAnsi="Times New Roman" w:cs="Times New Roman"/>
        </w:rPr>
        <w:t>aligned with the concept of “wage</w:t>
      </w:r>
      <w:r w:rsidR="00CF7C67">
        <w:rPr>
          <w:rFonts w:ascii="Times New Roman" w:hAnsi="Times New Roman" w:cs="Times New Roman"/>
        </w:rPr>
        <w:t>s</w:t>
      </w:r>
      <w:r w:rsidRPr="003F7CFC">
        <w:rPr>
          <w:rFonts w:ascii="Times New Roman" w:hAnsi="Times New Roman" w:cs="Times New Roman"/>
        </w:rPr>
        <w:t>” in this article because</w:t>
      </w:r>
      <w:r w:rsidR="003F7CFC" w:rsidRPr="003F7CFC">
        <w:rPr>
          <w:rFonts w:ascii="Times New Roman" w:hAnsi="Times New Roman" w:cs="Times New Roman"/>
        </w:rPr>
        <w:t xml:space="preserve"> payroll is a more comprehensive measure of labour compensation that includes overtime payments and discretionary bonuses.  Moreover, the payroll enquiry covers more industries than the wage enquiry and includes </w:t>
      </w:r>
      <w:r w:rsidR="003F7CFC">
        <w:rPr>
          <w:rFonts w:ascii="Times New Roman" w:hAnsi="Times New Roman" w:cs="Times New Roman"/>
        </w:rPr>
        <w:t>managers and professionals</w:t>
      </w:r>
      <w:r w:rsidR="003F7CFC" w:rsidRPr="003F7CFC">
        <w:rPr>
          <w:rFonts w:ascii="Times New Roman" w:hAnsi="Times New Roman" w:cs="Times New Roman"/>
        </w:rPr>
        <w:t>.</w:t>
      </w:r>
    </w:p>
  </w:footnote>
  <w:footnote w:id="5">
    <w:p w14:paraId="0214DE0C" w14:textId="098FA518" w:rsidR="00141B9F" w:rsidRPr="001154B4" w:rsidRDefault="00141B9F" w:rsidP="001154B4">
      <w:pPr>
        <w:pStyle w:val="FootnoteText"/>
        <w:spacing w:after="66"/>
        <w:jc w:val="both"/>
        <w:rPr>
          <w:rFonts w:ascii="Times New Roman" w:hAnsi="Times New Roman" w:cs="Times New Roman"/>
        </w:rPr>
      </w:pPr>
      <w:r w:rsidRPr="001154B4">
        <w:rPr>
          <w:rStyle w:val="FootnoteReference"/>
          <w:rFonts w:ascii="Times New Roman" w:hAnsi="Times New Roman" w:cs="Times New Roman"/>
        </w:rPr>
        <w:footnoteRef/>
      </w:r>
      <w:r w:rsidRPr="001154B4">
        <w:rPr>
          <w:rFonts w:ascii="Times New Roman" w:hAnsi="Times New Roman" w:cs="Times New Roman"/>
        </w:rPr>
        <w:t xml:space="preserve"> Though outside the scope of this article, real wages as measured by C&amp;SD’s </w:t>
      </w:r>
      <w:r w:rsidR="0051262F">
        <w:rPr>
          <w:rFonts w:ascii="Times New Roman" w:hAnsi="Times New Roman" w:cs="Times New Roman"/>
        </w:rPr>
        <w:t xml:space="preserve">overall </w:t>
      </w:r>
      <w:r w:rsidRPr="001154B4">
        <w:rPr>
          <w:rFonts w:ascii="Times New Roman" w:hAnsi="Times New Roman" w:cs="Times New Roman"/>
        </w:rPr>
        <w:t xml:space="preserve">real index of payroll per person engaged grew </w:t>
      </w:r>
      <w:r w:rsidR="001154B4" w:rsidRPr="001154B4">
        <w:rPr>
          <w:rFonts w:ascii="Times New Roman" w:hAnsi="Times New Roman" w:cs="Times New Roman"/>
        </w:rPr>
        <w:t>markedly</w:t>
      </w:r>
      <w:r w:rsidRPr="001154B4">
        <w:rPr>
          <w:rFonts w:ascii="Times New Roman" w:hAnsi="Times New Roman" w:cs="Times New Roman"/>
        </w:rPr>
        <w:t xml:space="preserve"> over the same period, to 2.5 times its 1984 level</w:t>
      </w:r>
      <w:r w:rsidR="009F403D">
        <w:rPr>
          <w:rFonts w:ascii="Times New Roman" w:hAnsi="Times New Roman" w:cs="Times New Roman"/>
        </w:rPr>
        <w:t xml:space="preserve"> in 2021</w:t>
      </w:r>
      <w:r w:rsidRPr="001154B4">
        <w:rPr>
          <w:rFonts w:ascii="Times New Roman" w:hAnsi="Times New Roman" w:cs="Times New Roman"/>
        </w:rPr>
        <w:t>.</w:t>
      </w:r>
      <w:r w:rsidR="001154B4" w:rsidRPr="001154B4">
        <w:rPr>
          <w:rFonts w:ascii="Times New Roman" w:hAnsi="Times New Roman" w:cs="Times New Roman"/>
        </w:rPr>
        <w:t xml:space="preserve">  This shows that productivity</w:t>
      </w:r>
      <w:r w:rsidR="001154B4">
        <w:rPr>
          <w:rFonts w:ascii="Times New Roman" w:hAnsi="Times New Roman" w:cs="Times New Roman"/>
        </w:rPr>
        <w:t>-linked</w:t>
      </w:r>
      <w:r w:rsidR="001154B4" w:rsidRPr="001154B4">
        <w:rPr>
          <w:rFonts w:ascii="Times New Roman" w:hAnsi="Times New Roman" w:cs="Times New Roman"/>
        </w:rPr>
        <w:t xml:space="preserve"> gains </w:t>
      </w:r>
      <w:r w:rsidR="00AA4BBB">
        <w:rPr>
          <w:rFonts w:ascii="Times New Roman" w:hAnsi="Times New Roman" w:cs="Times New Roman"/>
        </w:rPr>
        <w:t xml:space="preserve">in wages </w:t>
      </w:r>
      <w:r w:rsidR="001154B4" w:rsidRPr="001154B4">
        <w:rPr>
          <w:rFonts w:ascii="Times New Roman" w:hAnsi="Times New Roman" w:cs="Times New Roman"/>
        </w:rPr>
        <w:t>have been quite substantial.</w:t>
      </w:r>
    </w:p>
  </w:footnote>
  <w:footnote w:id="6">
    <w:p w14:paraId="336A0BE9" w14:textId="4792FDFF" w:rsidR="00175D34" w:rsidRPr="00175D34" w:rsidRDefault="00175D34">
      <w:pPr>
        <w:pStyle w:val="FootnoteText"/>
        <w:rPr>
          <w:rFonts w:ascii="Times New Roman" w:hAnsi="Times New Roman" w:cs="Times New Roman"/>
        </w:rPr>
      </w:pPr>
      <w:r w:rsidRPr="00175D34">
        <w:rPr>
          <w:rStyle w:val="FootnoteReference"/>
          <w:rFonts w:ascii="Times New Roman" w:hAnsi="Times New Roman" w:cs="Times New Roman"/>
        </w:rPr>
        <w:footnoteRef/>
      </w:r>
      <w:r w:rsidRPr="00175D34">
        <w:rPr>
          <w:rFonts w:ascii="Times New Roman" w:hAnsi="Times New Roman" w:cs="Times New Roman"/>
        </w:rPr>
        <w:t xml:space="preserve"> </w:t>
      </w:r>
      <w:proofErr w:type="spellStart"/>
      <w:r w:rsidRPr="00175D34">
        <w:rPr>
          <w:rFonts w:ascii="Times New Roman" w:hAnsi="Times New Roman" w:cs="Times New Roman"/>
        </w:rPr>
        <w:t>Bewley</w:t>
      </w:r>
      <w:proofErr w:type="spellEnd"/>
      <w:r w:rsidRPr="00175D34">
        <w:rPr>
          <w:rFonts w:ascii="Times New Roman" w:hAnsi="Times New Roman" w:cs="Times New Roman"/>
        </w:rPr>
        <w:t xml:space="preserve">, F.  1999.  </w:t>
      </w:r>
      <w:r w:rsidRPr="00175D34">
        <w:rPr>
          <w:rFonts w:ascii="Times New Roman" w:hAnsi="Times New Roman" w:cs="Times New Roman"/>
          <w:i/>
        </w:rPr>
        <w:t>Why wages don’t fall during a recession.</w:t>
      </w:r>
      <w:r w:rsidRPr="00175D34">
        <w:rPr>
          <w:rFonts w:ascii="Times New Roman" w:hAnsi="Times New Roman" w:cs="Times New Roman"/>
        </w:rPr>
        <w:t xml:space="preserve">  Cambridge, MA: Harvard University Press.  </w:t>
      </w:r>
      <w:hyperlink r:id="rId2" w:history="1">
        <w:r w:rsidRPr="00175D34">
          <w:rPr>
            <w:rStyle w:val="Hyperlink"/>
            <w:rFonts w:ascii="Times New Roman" w:hAnsi="Times New Roman" w:cs="Times New Roman"/>
          </w:rPr>
          <w:t>https://www.jstor.org/stable/j.ctv1pncnkx</w:t>
        </w:r>
      </w:hyperlink>
      <w:r w:rsidRPr="00175D34">
        <w:rPr>
          <w:rFonts w:ascii="Times New Roman" w:hAnsi="Times New Roman" w:cs="Times New Roman"/>
        </w:rPr>
        <w:t xml:space="preserve"> </w:t>
      </w:r>
    </w:p>
  </w:footnote>
  <w:footnote w:id="7">
    <w:p w14:paraId="6D5F2074" w14:textId="6C0E419E" w:rsidR="003D2EAD" w:rsidRPr="00EB35E0" w:rsidRDefault="003D2EAD" w:rsidP="00D82B2E">
      <w:pPr>
        <w:pStyle w:val="FootnoteText"/>
        <w:spacing w:after="66"/>
        <w:rPr>
          <w:rFonts w:ascii="Times New Roman" w:hAnsi="Times New Roman" w:cs="Times New Roman"/>
        </w:rPr>
      </w:pPr>
      <w:r w:rsidRPr="00EB35E0">
        <w:rPr>
          <w:rStyle w:val="FootnoteReference"/>
          <w:rFonts w:ascii="Times New Roman" w:hAnsi="Times New Roman" w:cs="Times New Roman"/>
        </w:rPr>
        <w:footnoteRef/>
      </w:r>
      <w:r w:rsidRPr="00EB35E0">
        <w:rPr>
          <w:rFonts w:ascii="Times New Roman" w:hAnsi="Times New Roman" w:cs="Times New Roman"/>
        </w:rPr>
        <w:t xml:space="preserve"> Gordon, R.  2011.  “The history of the Phillips curve: consensus and bifurcation.”  </w:t>
      </w:r>
      <w:proofErr w:type="spellStart"/>
      <w:r w:rsidRPr="00EB35E0">
        <w:rPr>
          <w:rFonts w:ascii="Times New Roman" w:hAnsi="Times New Roman" w:cs="Times New Roman"/>
          <w:i/>
        </w:rPr>
        <w:t>Economica</w:t>
      </w:r>
      <w:proofErr w:type="spellEnd"/>
      <w:r w:rsidRPr="00EB35E0">
        <w:rPr>
          <w:rFonts w:ascii="Times New Roman" w:hAnsi="Times New Roman" w:cs="Times New Roman"/>
        </w:rPr>
        <w:t xml:space="preserve"> </w:t>
      </w:r>
      <w:r w:rsidR="00EB35E0" w:rsidRPr="00EB35E0">
        <w:rPr>
          <w:rFonts w:ascii="Times New Roman" w:hAnsi="Times New Roman" w:cs="Times New Roman"/>
        </w:rPr>
        <w:t xml:space="preserve">78(309), pp. 10-50.  </w:t>
      </w:r>
      <w:hyperlink r:id="rId3" w:history="1">
        <w:r w:rsidR="00EB35E0" w:rsidRPr="00EB35E0">
          <w:rPr>
            <w:rStyle w:val="Hyperlink"/>
            <w:rFonts w:ascii="Times New Roman" w:hAnsi="Times New Roman" w:cs="Times New Roman"/>
          </w:rPr>
          <w:t>https://www.jstor.org/stable/41236106</w:t>
        </w:r>
      </w:hyperlink>
      <w:r w:rsidR="00EB35E0" w:rsidRPr="00EB35E0">
        <w:rPr>
          <w:rFonts w:ascii="Times New Roman" w:hAnsi="Times New Roman" w:cs="Times New Roman"/>
        </w:rPr>
        <w:t xml:space="preserve"> </w:t>
      </w:r>
    </w:p>
  </w:footnote>
  <w:footnote w:id="8">
    <w:p w14:paraId="711CC458" w14:textId="4DD87A78" w:rsidR="00D82B2E" w:rsidRPr="00D82B2E" w:rsidRDefault="00D82B2E" w:rsidP="00880650">
      <w:pPr>
        <w:pStyle w:val="FootnoteText"/>
        <w:spacing w:after="66"/>
        <w:rPr>
          <w:rFonts w:ascii="Times New Roman" w:hAnsi="Times New Roman" w:cs="Times New Roman"/>
        </w:rPr>
      </w:pPr>
      <w:r w:rsidRPr="00D82B2E">
        <w:rPr>
          <w:rStyle w:val="FootnoteReference"/>
          <w:rFonts w:ascii="Times New Roman" w:hAnsi="Times New Roman" w:cs="Times New Roman"/>
        </w:rPr>
        <w:footnoteRef/>
      </w:r>
      <w:r w:rsidRPr="00D82B2E">
        <w:rPr>
          <w:rFonts w:ascii="Times New Roman" w:hAnsi="Times New Roman" w:cs="Times New Roman"/>
        </w:rPr>
        <w:t xml:space="preserve"> Gordon, R.  1998.  “The role of wages in the inflation process.”  </w:t>
      </w:r>
      <w:r w:rsidRPr="00D82B2E">
        <w:rPr>
          <w:rFonts w:ascii="Times New Roman" w:hAnsi="Times New Roman" w:cs="Times New Roman"/>
          <w:i/>
        </w:rPr>
        <w:t>American Economic Review</w:t>
      </w:r>
      <w:r w:rsidRPr="00D82B2E">
        <w:rPr>
          <w:rFonts w:ascii="Times New Roman" w:hAnsi="Times New Roman" w:cs="Times New Roman"/>
        </w:rPr>
        <w:t xml:space="preserve"> 78(2), pp. 276-283.  </w:t>
      </w:r>
      <w:hyperlink r:id="rId4" w:history="1">
        <w:r w:rsidRPr="00D82B2E">
          <w:rPr>
            <w:rStyle w:val="Hyperlink"/>
            <w:rFonts w:ascii="Times New Roman" w:hAnsi="Times New Roman" w:cs="Times New Roman"/>
          </w:rPr>
          <w:t>https://www.jstor.org/stable/1818136</w:t>
        </w:r>
      </w:hyperlink>
      <w:r w:rsidRPr="00D82B2E">
        <w:rPr>
          <w:rFonts w:ascii="Times New Roman" w:hAnsi="Times New Roman" w:cs="Times New Roman"/>
        </w:rPr>
        <w:t xml:space="preserve"> </w:t>
      </w:r>
    </w:p>
  </w:footnote>
  <w:footnote w:id="9">
    <w:p w14:paraId="0C1147FF" w14:textId="67AF3E29" w:rsidR="00636BCB" w:rsidRPr="00636BCB" w:rsidRDefault="00636BCB" w:rsidP="00636BCB">
      <w:pPr>
        <w:pStyle w:val="FootnoteText"/>
        <w:spacing w:after="66"/>
        <w:rPr>
          <w:rFonts w:ascii="Times New Roman" w:hAnsi="Times New Roman" w:cs="Times New Roman"/>
        </w:rPr>
      </w:pPr>
      <w:r w:rsidRPr="00636BCB">
        <w:rPr>
          <w:rStyle w:val="FootnoteReference"/>
          <w:rFonts w:ascii="Times New Roman" w:hAnsi="Times New Roman" w:cs="Times New Roman"/>
        </w:rPr>
        <w:footnoteRef/>
      </w:r>
      <w:r w:rsidRPr="00636BCB">
        <w:rPr>
          <w:rFonts w:ascii="Times New Roman" w:hAnsi="Times New Roman" w:cs="Times New Roman"/>
        </w:rPr>
        <w:t xml:space="preserve"> Hu, L. and M. Toussaint-</w:t>
      </w:r>
      <w:proofErr w:type="spellStart"/>
      <w:r w:rsidRPr="00636BCB">
        <w:rPr>
          <w:rFonts w:ascii="Times New Roman" w:hAnsi="Times New Roman" w:cs="Times New Roman"/>
        </w:rPr>
        <w:t>Comeau</w:t>
      </w:r>
      <w:proofErr w:type="spellEnd"/>
      <w:r w:rsidRPr="00636BCB">
        <w:rPr>
          <w:rFonts w:ascii="Times New Roman" w:hAnsi="Times New Roman" w:cs="Times New Roman"/>
        </w:rPr>
        <w:t xml:space="preserve">.  2010.  “Do </w:t>
      </w:r>
      <w:proofErr w:type="spellStart"/>
      <w:r w:rsidRPr="00636BCB">
        <w:rPr>
          <w:rFonts w:ascii="Times New Roman" w:hAnsi="Times New Roman" w:cs="Times New Roman"/>
        </w:rPr>
        <w:t>labor</w:t>
      </w:r>
      <w:proofErr w:type="spellEnd"/>
      <w:r w:rsidRPr="00636BCB">
        <w:rPr>
          <w:rFonts w:ascii="Times New Roman" w:hAnsi="Times New Roman" w:cs="Times New Roman"/>
        </w:rPr>
        <w:t xml:space="preserve"> market activities help predict inflation?”  </w:t>
      </w:r>
      <w:r w:rsidRPr="00636BCB">
        <w:rPr>
          <w:rFonts w:ascii="Times New Roman" w:hAnsi="Times New Roman" w:cs="Times New Roman"/>
          <w:i/>
        </w:rPr>
        <w:t>Economic Perspectives</w:t>
      </w:r>
      <w:r w:rsidRPr="00636BCB">
        <w:rPr>
          <w:rFonts w:ascii="Times New Roman" w:hAnsi="Times New Roman" w:cs="Times New Roman"/>
        </w:rPr>
        <w:t xml:space="preserve">, Federal Reserve Bank of Chicago, 34(2), pp. 52-63.  </w:t>
      </w:r>
      <w:hyperlink r:id="rId5" w:history="1">
        <w:r w:rsidRPr="00636BCB">
          <w:rPr>
            <w:rStyle w:val="Hyperlink"/>
            <w:rFonts w:ascii="Times New Roman" w:hAnsi="Times New Roman" w:cs="Times New Roman"/>
          </w:rPr>
          <w:t>https://www.chicagofed.org/publications/economic-perspectives/2010/2q-hu-toussaint-comeau</w:t>
        </w:r>
      </w:hyperlink>
      <w:r w:rsidRPr="00636BCB">
        <w:rPr>
          <w:rFonts w:ascii="Times New Roman" w:hAnsi="Times New Roman" w:cs="Times New Roman"/>
        </w:rPr>
        <w:t xml:space="preserve"> </w:t>
      </w:r>
    </w:p>
  </w:footnote>
  <w:footnote w:id="10">
    <w:p w14:paraId="14EAA811" w14:textId="0B9EA738" w:rsidR="00880650" w:rsidRPr="00880650" w:rsidRDefault="00880650" w:rsidP="00E60D4A">
      <w:pPr>
        <w:pStyle w:val="FootnoteText"/>
        <w:spacing w:after="66"/>
        <w:rPr>
          <w:rFonts w:ascii="Times New Roman" w:hAnsi="Times New Roman" w:cs="Times New Roman"/>
        </w:rPr>
      </w:pPr>
      <w:r w:rsidRPr="00880650">
        <w:rPr>
          <w:rStyle w:val="FootnoteReference"/>
          <w:rFonts w:ascii="Times New Roman" w:hAnsi="Times New Roman" w:cs="Times New Roman"/>
        </w:rPr>
        <w:footnoteRef/>
      </w:r>
      <w:r w:rsidRPr="00880650">
        <w:rPr>
          <w:rFonts w:ascii="Times New Roman" w:hAnsi="Times New Roman" w:cs="Times New Roman"/>
        </w:rPr>
        <w:t xml:space="preserve"> Gordon, R.  1981.  “Inflation, flexible exchange rates, and the natural rate of unemployment.”  NBER Working Paper No. 708.  </w:t>
      </w:r>
      <w:hyperlink r:id="rId6" w:history="1">
        <w:r w:rsidRPr="00880650">
          <w:rPr>
            <w:rStyle w:val="Hyperlink"/>
            <w:rFonts w:ascii="Times New Roman" w:hAnsi="Times New Roman" w:cs="Times New Roman"/>
          </w:rPr>
          <w:t>https://www.nber.org/papers/w0708</w:t>
        </w:r>
      </w:hyperlink>
      <w:r w:rsidRPr="00880650">
        <w:rPr>
          <w:rFonts w:ascii="Times New Roman" w:hAnsi="Times New Roman" w:cs="Times New Roman"/>
        </w:rPr>
        <w:t xml:space="preserve"> </w:t>
      </w:r>
    </w:p>
  </w:footnote>
  <w:footnote w:id="11">
    <w:p w14:paraId="64E006CA" w14:textId="77777777" w:rsidR="00E60D4A" w:rsidRPr="00F97541" w:rsidRDefault="00E60D4A" w:rsidP="00E60D4A">
      <w:pPr>
        <w:pStyle w:val="FootnoteText"/>
        <w:rPr>
          <w:rFonts w:ascii="Times New Roman" w:hAnsi="Times New Roman" w:cs="Times New Roman"/>
        </w:rPr>
      </w:pPr>
      <w:r w:rsidRPr="00F97541">
        <w:rPr>
          <w:rStyle w:val="FootnoteReference"/>
          <w:rFonts w:ascii="Times New Roman" w:hAnsi="Times New Roman" w:cs="Times New Roman"/>
        </w:rPr>
        <w:footnoteRef/>
      </w:r>
      <w:r w:rsidRPr="00F97541">
        <w:rPr>
          <w:rFonts w:ascii="Times New Roman" w:hAnsi="Times New Roman" w:cs="Times New Roman"/>
        </w:rPr>
        <w:t xml:space="preserve"> Cutler, J., C. Chan and U. Li.  2005.  “The relationship between commodity and consumer</w:t>
      </w:r>
    </w:p>
    <w:p w14:paraId="01716A99" w14:textId="77777777" w:rsidR="00E60D4A" w:rsidRDefault="00E60D4A" w:rsidP="00E60D4A">
      <w:pPr>
        <w:pStyle w:val="FootnoteText"/>
        <w:rPr>
          <w:rFonts w:ascii="Times New Roman" w:hAnsi="Times New Roman" w:cs="Times New Roman"/>
        </w:rPr>
      </w:pPr>
      <w:proofErr w:type="gramStart"/>
      <w:r w:rsidRPr="00F97541">
        <w:rPr>
          <w:rFonts w:ascii="Times New Roman" w:hAnsi="Times New Roman" w:cs="Times New Roman"/>
        </w:rPr>
        <w:t>prices</w:t>
      </w:r>
      <w:proofErr w:type="gramEnd"/>
      <w:r w:rsidRPr="00F97541">
        <w:rPr>
          <w:rFonts w:ascii="Times New Roman" w:hAnsi="Times New Roman" w:cs="Times New Roman"/>
        </w:rPr>
        <w:t xml:space="preserve"> in Mainland China and Hong Kong.”  </w:t>
      </w:r>
      <w:r>
        <w:rPr>
          <w:rFonts w:ascii="Times New Roman" w:hAnsi="Times New Roman" w:cs="Times New Roman"/>
          <w:i/>
        </w:rPr>
        <w:t>HKMA</w:t>
      </w:r>
      <w:r w:rsidRPr="00F97541">
        <w:rPr>
          <w:rFonts w:ascii="Times New Roman" w:hAnsi="Times New Roman" w:cs="Times New Roman"/>
          <w:i/>
        </w:rPr>
        <w:t xml:space="preserve"> Quarterly Bulletin</w:t>
      </w:r>
      <w:r w:rsidRPr="00F97541">
        <w:rPr>
          <w:rFonts w:ascii="Times New Roman" w:hAnsi="Times New Roman" w:cs="Times New Roman"/>
        </w:rPr>
        <w:t xml:space="preserve"> 43, pp. 16-</w:t>
      </w:r>
      <w:r>
        <w:rPr>
          <w:rFonts w:ascii="Times New Roman" w:hAnsi="Times New Roman" w:cs="Times New Roman"/>
        </w:rPr>
        <w:t>31.</w:t>
      </w:r>
    </w:p>
    <w:p w14:paraId="771322AE" w14:textId="77777777" w:rsidR="00E60D4A" w:rsidRDefault="000173B6" w:rsidP="00E60D4A">
      <w:pPr>
        <w:pStyle w:val="FootnoteText"/>
      </w:pPr>
      <w:hyperlink r:id="rId7" w:history="1">
        <w:r w:rsidR="00E60D4A" w:rsidRPr="00F97541">
          <w:rPr>
            <w:rStyle w:val="Hyperlink"/>
            <w:rFonts w:ascii="Times New Roman" w:hAnsi="Times New Roman" w:cs="Times New Roman"/>
          </w:rPr>
          <w:t>https://www.hkma.gov.hk/media/eng/publication-and-research/quarterly-bulletin/qb200506/fa2.pdf</w:t>
        </w:r>
      </w:hyperlink>
      <w:r w:rsidR="00E60D4A">
        <w:t xml:space="preserve"> </w:t>
      </w:r>
    </w:p>
  </w:footnote>
  <w:footnote w:id="12">
    <w:p w14:paraId="589BB804" w14:textId="77777777" w:rsidR="000E17A5" w:rsidRPr="008C4591" w:rsidRDefault="000E17A5" w:rsidP="000E17A5">
      <w:pPr>
        <w:pStyle w:val="FootnoteText"/>
        <w:spacing w:after="66"/>
        <w:rPr>
          <w:rFonts w:ascii="Times New Roman" w:hAnsi="Times New Roman" w:cs="Times New Roman"/>
        </w:rPr>
      </w:pPr>
      <w:r w:rsidRPr="008C4591">
        <w:rPr>
          <w:rStyle w:val="FootnoteReference"/>
          <w:rFonts w:ascii="Times New Roman" w:hAnsi="Times New Roman" w:cs="Times New Roman"/>
        </w:rPr>
        <w:footnoteRef/>
      </w:r>
      <w:r w:rsidRPr="008C4591">
        <w:rPr>
          <w:rFonts w:ascii="Times New Roman" w:hAnsi="Times New Roman" w:cs="Times New Roman"/>
        </w:rPr>
        <w:t xml:space="preserve"> Phillips, P. and P. </w:t>
      </w:r>
      <w:proofErr w:type="spellStart"/>
      <w:r w:rsidRPr="008C4591">
        <w:rPr>
          <w:rFonts w:ascii="Times New Roman" w:hAnsi="Times New Roman" w:cs="Times New Roman"/>
        </w:rPr>
        <w:t>Perron</w:t>
      </w:r>
      <w:proofErr w:type="spellEnd"/>
      <w:r w:rsidRPr="008C4591">
        <w:rPr>
          <w:rFonts w:ascii="Times New Roman" w:hAnsi="Times New Roman" w:cs="Times New Roman"/>
        </w:rPr>
        <w:t xml:space="preserve">.  1988.  “Testing for a unit root in time series regression.”  </w:t>
      </w:r>
      <w:proofErr w:type="spellStart"/>
      <w:r w:rsidRPr="008C4591">
        <w:rPr>
          <w:rFonts w:ascii="Times New Roman" w:hAnsi="Times New Roman" w:cs="Times New Roman"/>
          <w:i/>
        </w:rPr>
        <w:t>Biometrika</w:t>
      </w:r>
      <w:proofErr w:type="spellEnd"/>
      <w:r w:rsidRPr="008C4591">
        <w:rPr>
          <w:rFonts w:ascii="Times New Roman" w:hAnsi="Times New Roman" w:cs="Times New Roman"/>
        </w:rPr>
        <w:t xml:space="preserve"> 7</w:t>
      </w:r>
      <w:r>
        <w:rPr>
          <w:rFonts w:ascii="Times New Roman" w:hAnsi="Times New Roman" w:cs="Times New Roman"/>
        </w:rPr>
        <w:t>5</w:t>
      </w:r>
      <w:r w:rsidRPr="008C4591">
        <w:rPr>
          <w:rFonts w:ascii="Times New Roman" w:hAnsi="Times New Roman" w:cs="Times New Roman"/>
        </w:rPr>
        <w:t>(2), pp. 335</w:t>
      </w:r>
      <w:r>
        <w:rPr>
          <w:rFonts w:ascii="Times New Roman" w:hAnsi="Times New Roman" w:cs="Times New Roman"/>
        </w:rPr>
        <w:t>-</w:t>
      </w:r>
      <w:r w:rsidRPr="008C4591">
        <w:rPr>
          <w:rFonts w:ascii="Times New Roman" w:hAnsi="Times New Roman" w:cs="Times New Roman"/>
        </w:rPr>
        <w:t>346.</w:t>
      </w:r>
      <w:r>
        <w:rPr>
          <w:rFonts w:ascii="Times New Roman" w:hAnsi="Times New Roman" w:cs="Times New Roman"/>
        </w:rPr>
        <w:t xml:space="preserve">  </w:t>
      </w:r>
      <w:hyperlink r:id="rId8" w:history="1">
        <w:r w:rsidRPr="00335C62">
          <w:rPr>
            <w:rStyle w:val="Hyperlink"/>
            <w:rFonts w:ascii="Times New Roman" w:hAnsi="Times New Roman" w:cs="Times New Roman"/>
          </w:rPr>
          <w:t>https://www.jstor.org/stable/2336182</w:t>
        </w:r>
      </w:hyperlink>
    </w:p>
  </w:footnote>
  <w:footnote w:id="13">
    <w:p w14:paraId="75B7B831" w14:textId="05AE0F1D" w:rsidR="009F4D85" w:rsidRPr="009F4D85" w:rsidRDefault="009F4D85" w:rsidP="009F4D85">
      <w:pPr>
        <w:pStyle w:val="FootnoteText"/>
        <w:spacing w:after="66"/>
        <w:rPr>
          <w:rFonts w:ascii="Times New Roman" w:hAnsi="Times New Roman" w:cs="Times New Roman"/>
        </w:rPr>
      </w:pPr>
      <w:r w:rsidRPr="009F4D85">
        <w:rPr>
          <w:rStyle w:val="FootnoteReference"/>
          <w:rFonts w:ascii="Times New Roman" w:hAnsi="Times New Roman" w:cs="Times New Roman"/>
        </w:rPr>
        <w:footnoteRef/>
      </w:r>
      <w:r w:rsidRPr="009F4D85">
        <w:rPr>
          <w:rFonts w:ascii="Times New Roman" w:hAnsi="Times New Roman" w:cs="Times New Roman"/>
        </w:rPr>
        <w:t xml:space="preserve"> Winters, P.  1960.  “Forecasting sales by exponentially weighted moving averages.”  </w:t>
      </w:r>
      <w:r w:rsidRPr="009F4D85">
        <w:rPr>
          <w:rFonts w:ascii="Times New Roman" w:hAnsi="Times New Roman" w:cs="Times New Roman"/>
          <w:i/>
        </w:rPr>
        <w:t>Management Science</w:t>
      </w:r>
      <w:r w:rsidRPr="009F4D85">
        <w:rPr>
          <w:rFonts w:ascii="Times New Roman" w:hAnsi="Times New Roman" w:cs="Times New Roman"/>
        </w:rPr>
        <w:t xml:space="preserve"> 6(3), pp. 324-342.  </w:t>
      </w:r>
      <w:hyperlink r:id="rId9" w:history="1">
        <w:r w:rsidRPr="009F4D85">
          <w:rPr>
            <w:rStyle w:val="Hyperlink"/>
            <w:rFonts w:ascii="Times New Roman" w:hAnsi="Times New Roman" w:cs="Times New Roman"/>
          </w:rPr>
          <w:t>https://www.jstor.org/stable/2627346</w:t>
        </w:r>
      </w:hyperlink>
      <w:r w:rsidRPr="009F4D85">
        <w:rPr>
          <w:rFonts w:ascii="Times New Roman" w:hAnsi="Times New Roman" w:cs="Times New Roman"/>
        </w:rPr>
        <w:t xml:space="preserve"> </w:t>
      </w:r>
    </w:p>
  </w:footnote>
  <w:footnote w:id="14">
    <w:p w14:paraId="5DEFED26" w14:textId="77777777" w:rsidR="00066736" w:rsidRPr="00292E04" w:rsidRDefault="00066736" w:rsidP="00066736">
      <w:pPr>
        <w:pStyle w:val="FootnoteText"/>
        <w:spacing w:after="66"/>
        <w:rPr>
          <w:rFonts w:ascii="Times New Roman" w:hAnsi="Times New Roman" w:cs="Times New Roman"/>
        </w:rPr>
      </w:pPr>
      <w:r w:rsidRPr="00292E04">
        <w:rPr>
          <w:rStyle w:val="FootnoteReference"/>
          <w:rFonts w:ascii="Times New Roman" w:hAnsi="Times New Roman" w:cs="Times New Roman"/>
        </w:rPr>
        <w:footnoteRef/>
      </w:r>
      <w:r w:rsidRPr="00292E04">
        <w:rPr>
          <w:rFonts w:ascii="Times New Roman" w:hAnsi="Times New Roman" w:cs="Times New Roman"/>
        </w:rPr>
        <w:t xml:space="preserve"> Newey, W., and K. West.  1987.  </w:t>
      </w:r>
      <w:r>
        <w:rPr>
          <w:rFonts w:ascii="Times New Roman" w:hAnsi="Times New Roman" w:cs="Times New Roman"/>
        </w:rPr>
        <w:t>“</w:t>
      </w:r>
      <w:r w:rsidRPr="00292E04">
        <w:rPr>
          <w:rFonts w:ascii="Times New Roman" w:hAnsi="Times New Roman" w:cs="Times New Roman"/>
        </w:rPr>
        <w:t xml:space="preserve">A simple, positive semi-definite, </w:t>
      </w:r>
      <w:proofErr w:type="spellStart"/>
      <w:r w:rsidRPr="00292E04">
        <w:rPr>
          <w:rFonts w:ascii="Times New Roman" w:hAnsi="Times New Roman" w:cs="Times New Roman"/>
        </w:rPr>
        <w:t>heteroskedasticity</w:t>
      </w:r>
      <w:proofErr w:type="spellEnd"/>
      <w:r w:rsidRPr="00292E04">
        <w:rPr>
          <w:rFonts w:ascii="Times New Roman" w:hAnsi="Times New Roman" w:cs="Times New Roman"/>
        </w:rPr>
        <w:t xml:space="preserve"> and autocorrelation consistent covariance matrix.</w:t>
      </w:r>
      <w:r>
        <w:rPr>
          <w:rFonts w:ascii="Times New Roman" w:hAnsi="Times New Roman" w:cs="Times New Roman"/>
        </w:rPr>
        <w:t>”</w:t>
      </w:r>
      <w:r w:rsidRPr="00292E04">
        <w:rPr>
          <w:rFonts w:ascii="Times New Roman" w:hAnsi="Times New Roman" w:cs="Times New Roman"/>
        </w:rPr>
        <w:t xml:space="preserve"> </w:t>
      </w:r>
      <w:r>
        <w:rPr>
          <w:rFonts w:ascii="Times New Roman" w:hAnsi="Times New Roman" w:cs="Times New Roman"/>
        </w:rPr>
        <w:t xml:space="preserve"> </w:t>
      </w:r>
      <w:proofErr w:type="spellStart"/>
      <w:r w:rsidRPr="00292E04">
        <w:rPr>
          <w:rFonts w:ascii="Times New Roman" w:hAnsi="Times New Roman" w:cs="Times New Roman"/>
          <w:i/>
        </w:rPr>
        <w:t>Econometrica</w:t>
      </w:r>
      <w:proofErr w:type="spellEnd"/>
      <w:r w:rsidRPr="00292E04">
        <w:rPr>
          <w:rFonts w:ascii="Times New Roman" w:hAnsi="Times New Roman" w:cs="Times New Roman"/>
        </w:rPr>
        <w:t xml:space="preserve"> 55</w:t>
      </w:r>
      <w:r>
        <w:rPr>
          <w:rFonts w:ascii="Times New Roman" w:hAnsi="Times New Roman" w:cs="Times New Roman"/>
        </w:rPr>
        <w:t>(3), pp.</w:t>
      </w:r>
      <w:r w:rsidRPr="00292E04">
        <w:rPr>
          <w:rFonts w:ascii="Times New Roman" w:hAnsi="Times New Roman" w:cs="Times New Roman"/>
        </w:rPr>
        <w:t xml:space="preserve"> </w:t>
      </w:r>
      <w:r>
        <w:rPr>
          <w:rFonts w:ascii="Times New Roman" w:hAnsi="Times New Roman" w:cs="Times New Roman"/>
        </w:rPr>
        <w:t>703-</w:t>
      </w:r>
      <w:r w:rsidRPr="00292E04">
        <w:rPr>
          <w:rFonts w:ascii="Times New Roman" w:hAnsi="Times New Roman" w:cs="Times New Roman"/>
        </w:rPr>
        <w:t xml:space="preserve">708.  </w:t>
      </w:r>
      <w:hyperlink r:id="rId10" w:history="1">
        <w:r w:rsidRPr="00292E04">
          <w:rPr>
            <w:rStyle w:val="Hyperlink"/>
            <w:rFonts w:ascii="Times New Roman" w:hAnsi="Times New Roman" w:cs="Times New Roman"/>
          </w:rPr>
          <w:t>https://www.jstor.org/stable/1913610</w:t>
        </w:r>
      </w:hyperlink>
      <w:r w:rsidRPr="00292E04">
        <w:rPr>
          <w:rFonts w:ascii="Times New Roman" w:hAnsi="Times New Roman" w:cs="Times New Roman"/>
        </w:rPr>
        <w:t xml:space="preserve"> </w:t>
      </w:r>
    </w:p>
  </w:footnote>
  <w:footnote w:id="15">
    <w:p w14:paraId="3408706D" w14:textId="07196777" w:rsidR="00066736" w:rsidRPr="00066736" w:rsidRDefault="00066736" w:rsidP="007047F9">
      <w:pPr>
        <w:pStyle w:val="FootnoteText"/>
        <w:spacing w:after="66"/>
        <w:jc w:val="both"/>
        <w:rPr>
          <w:rFonts w:ascii="Times New Roman" w:hAnsi="Times New Roman" w:cs="Times New Roman"/>
        </w:rPr>
      </w:pPr>
      <w:r w:rsidRPr="00066736">
        <w:rPr>
          <w:rStyle w:val="FootnoteReference"/>
          <w:rFonts w:ascii="Times New Roman" w:hAnsi="Times New Roman" w:cs="Times New Roman"/>
        </w:rPr>
        <w:footnoteRef/>
      </w:r>
      <w:r w:rsidRPr="00066736">
        <w:rPr>
          <w:rFonts w:ascii="Times New Roman" w:hAnsi="Times New Roman" w:cs="Times New Roman"/>
        </w:rPr>
        <w:t xml:space="preserve"> </w:t>
      </w:r>
      <w:r>
        <w:rPr>
          <w:rFonts w:ascii="Times New Roman" w:hAnsi="Times New Roman" w:cs="Times New Roman"/>
        </w:rPr>
        <w:t xml:space="preserve">Newey and West suggest setting the number of lags equal to </w:t>
      </w:r>
      <w:r w:rsidRPr="00066736">
        <w:rPr>
          <w:rFonts w:ascii="Times New Roman" w:hAnsi="Times New Roman" w:cs="Times New Roman"/>
        </w:rPr>
        <w:t>the integer part of 4(</w:t>
      </w:r>
      <w:r w:rsidRPr="00066736">
        <w:rPr>
          <w:rFonts w:ascii="Times New Roman" w:hAnsi="Times New Roman" w:cs="Times New Roman"/>
          <w:i/>
        </w:rPr>
        <w:t>N</w:t>
      </w:r>
      <w:r w:rsidRPr="00066736">
        <w:rPr>
          <w:rFonts w:ascii="Times New Roman" w:hAnsi="Times New Roman" w:cs="Times New Roman"/>
        </w:rPr>
        <w:t>/100)</w:t>
      </w:r>
      <w:r w:rsidRPr="00066736">
        <w:rPr>
          <w:rFonts w:ascii="Times New Roman" w:hAnsi="Times New Roman" w:cs="Times New Roman"/>
          <w:vertAlign w:val="superscript"/>
        </w:rPr>
        <w:t>2/9</w:t>
      </w:r>
      <w:r w:rsidRPr="00066736">
        <w:rPr>
          <w:rFonts w:ascii="Times New Roman" w:hAnsi="Times New Roman" w:cs="Times New Roman"/>
        </w:rPr>
        <w:t xml:space="preserve">, where </w:t>
      </w:r>
      <w:r w:rsidRPr="00066736">
        <w:rPr>
          <w:rFonts w:ascii="Times New Roman" w:hAnsi="Times New Roman" w:cs="Times New Roman"/>
          <w:i/>
        </w:rPr>
        <w:t>N</w:t>
      </w:r>
      <w:r w:rsidRPr="00066736">
        <w:rPr>
          <w:rFonts w:ascii="Times New Roman" w:hAnsi="Times New Roman" w:cs="Times New Roman"/>
        </w:rPr>
        <w:t xml:space="preserve"> is the sample size</w:t>
      </w:r>
      <w:r>
        <w:rPr>
          <w:rFonts w:ascii="Times New Roman" w:hAnsi="Times New Roman" w:cs="Times New Roman"/>
        </w:rPr>
        <w:t xml:space="preserve">.  In this case, </w:t>
      </w:r>
      <w:r w:rsidRPr="00066736">
        <w:rPr>
          <w:rFonts w:ascii="Times New Roman" w:hAnsi="Times New Roman" w:cs="Times New Roman"/>
          <w:i/>
        </w:rPr>
        <w:t>N</w:t>
      </w:r>
      <w:r>
        <w:rPr>
          <w:rFonts w:ascii="Times New Roman" w:hAnsi="Times New Roman" w:cs="Times New Roman"/>
        </w:rPr>
        <w:t xml:space="preserve"> is 152 quarters.</w:t>
      </w:r>
    </w:p>
  </w:footnote>
  <w:footnote w:id="16">
    <w:p w14:paraId="0E7DF504" w14:textId="6E403C84" w:rsidR="007047F9" w:rsidRPr="007047F9" w:rsidRDefault="007047F9" w:rsidP="007047F9">
      <w:pPr>
        <w:pStyle w:val="FootnoteText"/>
        <w:spacing w:after="66"/>
        <w:rPr>
          <w:rFonts w:ascii="Times New Roman" w:hAnsi="Times New Roman" w:cs="Times New Roman"/>
        </w:rPr>
      </w:pPr>
      <w:r w:rsidRPr="007047F9">
        <w:rPr>
          <w:rStyle w:val="FootnoteReference"/>
          <w:rFonts w:ascii="Times New Roman" w:hAnsi="Times New Roman" w:cs="Times New Roman"/>
        </w:rPr>
        <w:footnoteRef/>
      </w:r>
      <w:r w:rsidRPr="007047F9">
        <w:rPr>
          <w:rFonts w:ascii="Times New Roman" w:hAnsi="Times New Roman" w:cs="Times New Roman"/>
        </w:rPr>
        <w:t xml:space="preserve"> Engle, R. and C. Granger.  1987.  “Co-integration and error correction: representation, estimation, and testing.”  </w:t>
      </w:r>
      <w:proofErr w:type="spellStart"/>
      <w:r w:rsidRPr="007047F9">
        <w:rPr>
          <w:rFonts w:ascii="Times New Roman" w:hAnsi="Times New Roman" w:cs="Times New Roman"/>
          <w:i/>
        </w:rPr>
        <w:t>Econometrica</w:t>
      </w:r>
      <w:proofErr w:type="spellEnd"/>
      <w:r w:rsidRPr="007047F9">
        <w:rPr>
          <w:rFonts w:ascii="Times New Roman" w:hAnsi="Times New Roman" w:cs="Times New Roman"/>
        </w:rPr>
        <w:t xml:space="preserve"> 55(2), pp. 251-176.  </w:t>
      </w:r>
      <w:hyperlink r:id="rId11" w:history="1">
        <w:r w:rsidRPr="007047F9">
          <w:rPr>
            <w:rStyle w:val="Hyperlink"/>
            <w:rFonts w:ascii="Times New Roman" w:hAnsi="Times New Roman" w:cs="Times New Roman"/>
          </w:rPr>
          <w:t>https://www.jstor.org/stable/1913236</w:t>
        </w:r>
      </w:hyperlink>
      <w:r w:rsidRPr="007047F9">
        <w:rPr>
          <w:rFonts w:ascii="Times New Roman" w:hAnsi="Times New Roman" w:cs="Times New Roman"/>
        </w:rPr>
        <w:t xml:space="preserve"> </w:t>
      </w:r>
    </w:p>
  </w:footnote>
  <w:footnote w:id="17">
    <w:p w14:paraId="005C1956" w14:textId="77777777" w:rsidR="0059470F" w:rsidRPr="0086672B" w:rsidRDefault="0059470F" w:rsidP="0059470F">
      <w:pPr>
        <w:pStyle w:val="FootnoteText"/>
        <w:rPr>
          <w:rFonts w:ascii="Times New Roman" w:hAnsi="Times New Roman" w:cs="Times New Roman"/>
        </w:rPr>
      </w:pPr>
      <w:r w:rsidRPr="0086672B">
        <w:rPr>
          <w:rStyle w:val="FootnoteReference"/>
          <w:rFonts w:ascii="Times New Roman" w:hAnsi="Times New Roman" w:cs="Times New Roman"/>
        </w:rPr>
        <w:footnoteRef/>
      </w:r>
      <w:r w:rsidRPr="0086672B">
        <w:rPr>
          <w:rFonts w:ascii="Times New Roman" w:hAnsi="Times New Roman" w:cs="Times New Roman"/>
        </w:rPr>
        <w:t xml:space="preserve"> Johansen, S.  1995. </w:t>
      </w:r>
      <w:r>
        <w:rPr>
          <w:rFonts w:ascii="Times New Roman" w:hAnsi="Times New Roman" w:cs="Times New Roman"/>
        </w:rPr>
        <w:t xml:space="preserve"> </w:t>
      </w:r>
      <w:r w:rsidRPr="0086672B">
        <w:rPr>
          <w:rFonts w:ascii="Times New Roman" w:hAnsi="Times New Roman" w:cs="Times New Roman"/>
          <w:i/>
        </w:rPr>
        <w:t>Likelihood-</w:t>
      </w:r>
      <w:r>
        <w:rPr>
          <w:rFonts w:ascii="Times New Roman" w:hAnsi="Times New Roman" w:cs="Times New Roman"/>
          <w:i/>
        </w:rPr>
        <w:t>b</w:t>
      </w:r>
      <w:r w:rsidRPr="0086672B">
        <w:rPr>
          <w:rFonts w:ascii="Times New Roman" w:hAnsi="Times New Roman" w:cs="Times New Roman"/>
          <w:i/>
        </w:rPr>
        <w:t xml:space="preserve">ased </w:t>
      </w:r>
      <w:r>
        <w:rPr>
          <w:rFonts w:ascii="Times New Roman" w:hAnsi="Times New Roman" w:cs="Times New Roman"/>
          <w:i/>
        </w:rPr>
        <w:t>i</w:t>
      </w:r>
      <w:r w:rsidRPr="0086672B">
        <w:rPr>
          <w:rFonts w:ascii="Times New Roman" w:hAnsi="Times New Roman" w:cs="Times New Roman"/>
          <w:i/>
        </w:rPr>
        <w:t xml:space="preserve">nference in </w:t>
      </w:r>
      <w:r>
        <w:rPr>
          <w:rFonts w:ascii="Times New Roman" w:hAnsi="Times New Roman" w:cs="Times New Roman"/>
          <w:i/>
        </w:rPr>
        <w:t>c</w:t>
      </w:r>
      <w:r w:rsidRPr="0086672B">
        <w:rPr>
          <w:rFonts w:ascii="Times New Roman" w:hAnsi="Times New Roman" w:cs="Times New Roman"/>
          <w:i/>
        </w:rPr>
        <w:t xml:space="preserve">ointegrated </w:t>
      </w:r>
      <w:r>
        <w:rPr>
          <w:rFonts w:ascii="Times New Roman" w:hAnsi="Times New Roman" w:cs="Times New Roman"/>
          <w:i/>
        </w:rPr>
        <w:t>v</w:t>
      </w:r>
      <w:r w:rsidRPr="0086672B">
        <w:rPr>
          <w:rFonts w:ascii="Times New Roman" w:hAnsi="Times New Roman" w:cs="Times New Roman"/>
          <w:i/>
        </w:rPr>
        <w:t xml:space="preserve">ector </w:t>
      </w:r>
      <w:r>
        <w:rPr>
          <w:rFonts w:ascii="Times New Roman" w:hAnsi="Times New Roman" w:cs="Times New Roman"/>
          <w:i/>
        </w:rPr>
        <w:t>a</w:t>
      </w:r>
      <w:r w:rsidRPr="0086672B">
        <w:rPr>
          <w:rFonts w:ascii="Times New Roman" w:hAnsi="Times New Roman" w:cs="Times New Roman"/>
          <w:i/>
        </w:rPr>
        <w:t xml:space="preserve">utoregressive </w:t>
      </w:r>
      <w:r>
        <w:rPr>
          <w:rFonts w:ascii="Times New Roman" w:hAnsi="Times New Roman" w:cs="Times New Roman"/>
          <w:i/>
        </w:rPr>
        <w:t>m</w:t>
      </w:r>
      <w:r w:rsidRPr="0086672B">
        <w:rPr>
          <w:rFonts w:ascii="Times New Roman" w:hAnsi="Times New Roman" w:cs="Times New Roman"/>
          <w:i/>
        </w:rPr>
        <w:t>odels.</w:t>
      </w:r>
      <w:r w:rsidRPr="0086672B">
        <w:rPr>
          <w:rFonts w:ascii="Times New Roman" w:hAnsi="Times New Roman" w:cs="Times New Roman"/>
        </w:rPr>
        <w:t xml:space="preserve"> Oxford: Oxford University Press.</w:t>
      </w:r>
    </w:p>
  </w:footnote>
  <w:footnote w:id="18">
    <w:p w14:paraId="53B2910C" w14:textId="6DB51087" w:rsidR="0019542B" w:rsidRPr="0019542B" w:rsidRDefault="0019542B" w:rsidP="0015109A">
      <w:pPr>
        <w:pStyle w:val="FootnoteText"/>
        <w:spacing w:after="66"/>
        <w:jc w:val="both"/>
        <w:rPr>
          <w:rFonts w:ascii="Times New Roman" w:hAnsi="Times New Roman" w:cs="Times New Roman"/>
        </w:rPr>
      </w:pPr>
      <w:r w:rsidRPr="0019542B">
        <w:rPr>
          <w:rStyle w:val="FootnoteReference"/>
          <w:rFonts w:ascii="Times New Roman" w:hAnsi="Times New Roman" w:cs="Times New Roman"/>
        </w:rPr>
        <w:footnoteRef/>
      </w:r>
      <w:r w:rsidRPr="0019542B">
        <w:rPr>
          <w:rFonts w:ascii="Times New Roman" w:hAnsi="Times New Roman" w:cs="Times New Roman"/>
        </w:rPr>
        <w:t xml:space="preserve"> </w:t>
      </w:r>
      <w:r w:rsidR="001F08CF">
        <w:rPr>
          <w:rFonts w:ascii="Times New Roman" w:hAnsi="Times New Roman" w:cs="Times New Roman"/>
        </w:rPr>
        <w:t>I</w:t>
      </w:r>
      <w:r w:rsidRPr="0019542B">
        <w:rPr>
          <w:rFonts w:ascii="Times New Roman" w:hAnsi="Times New Roman" w:cs="Times New Roman"/>
        </w:rPr>
        <w:t xml:space="preserve">n small samples, the test result could conceivably be different depending </w:t>
      </w:r>
      <w:r>
        <w:rPr>
          <w:rFonts w:ascii="Times New Roman" w:hAnsi="Times New Roman" w:cs="Times New Roman"/>
        </w:rPr>
        <w:t xml:space="preserve">on which </w:t>
      </w:r>
      <w:r w:rsidRPr="0019542B">
        <w:rPr>
          <w:rFonts w:ascii="Times New Roman" w:hAnsi="Times New Roman" w:cs="Times New Roman"/>
        </w:rPr>
        <w:t>variable is regressed on the other.</w:t>
      </w:r>
    </w:p>
  </w:footnote>
  <w:footnote w:id="19">
    <w:p w14:paraId="582FE0C5" w14:textId="3759E652" w:rsidR="001D76C1" w:rsidRPr="0015109A" w:rsidRDefault="001D76C1" w:rsidP="006D10BB">
      <w:pPr>
        <w:pStyle w:val="FootnoteText"/>
        <w:spacing w:after="66"/>
        <w:rPr>
          <w:rFonts w:ascii="Times New Roman" w:hAnsi="Times New Roman" w:cs="Times New Roman"/>
        </w:rPr>
      </w:pPr>
      <w:r w:rsidRPr="0015109A">
        <w:rPr>
          <w:rStyle w:val="FootnoteReference"/>
          <w:rFonts w:ascii="Times New Roman" w:hAnsi="Times New Roman" w:cs="Times New Roman"/>
        </w:rPr>
        <w:footnoteRef/>
      </w:r>
      <w:r w:rsidRPr="0015109A">
        <w:rPr>
          <w:rFonts w:ascii="Times New Roman" w:hAnsi="Times New Roman" w:cs="Times New Roman"/>
        </w:rPr>
        <w:t xml:space="preserve"> An alternative model </w:t>
      </w:r>
      <w:r w:rsidR="0015109A" w:rsidRPr="0015109A">
        <w:rPr>
          <w:rFonts w:ascii="Times New Roman" w:hAnsi="Times New Roman" w:cs="Times New Roman"/>
        </w:rPr>
        <w:t xml:space="preserve">that included </w:t>
      </w:r>
      <w:r w:rsidR="002673EF">
        <w:rPr>
          <w:rFonts w:ascii="Times New Roman" w:hAnsi="Times New Roman" w:cs="Times New Roman"/>
        </w:rPr>
        <w:t xml:space="preserve">long-run </w:t>
      </w:r>
      <w:r w:rsidR="0015109A" w:rsidRPr="0015109A">
        <w:rPr>
          <w:rFonts w:ascii="Times New Roman" w:hAnsi="Times New Roman" w:cs="Times New Roman"/>
        </w:rPr>
        <w:t>error correction terms was not stable.</w:t>
      </w:r>
    </w:p>
  </w:footnote>
  <w:footnote w:id="20">
    <w:p w14:paraId="3106010B" w14:textId="4D97FE8D" w:rsidR="006D10BB" w:rsidRPr="006D10BB" w:rsidRDefault="006D10BB">
      <w:pPr>
        <w:pStyle w:val="FootnoteText"/>
        <w:rPr>
          <w:rFonts w:ascii="Times New Roman" w:hAnsi="Times New Roman" w:cs="Times New Roman"/>
        </w:rPr>
      </w:pPr>
      <w:r w:rsidRPr="006D10BB">
        <w:rPr>
          <w:rStyle w:val="FootnoteReference"/>
          <w:rFonts w:ascii="Times New Roman" w:hAnsi="Times New Roman" w:cs="Times New Roman"/>
        </w:rPr>
        <w:footnoteRef/>
      </w:r>
      <w:r w:rsidRPr="006D10BB">
        <w:rPr>
          <w:rFonts w:ascii="Times New Roman" w:hAnsi="Times New Roman" w:cs="Times New Roman"/>
        </w:rPr>
        <w:t xml:space="preserve"> It is expected that, in a differenced model, there would be one less lag than in the corresponding level model.</w:t>
      </w:r>
    </w:p>
  </w:footnote>
  <w:footnote w:id="21">
    <w:p w14:paraId="6BB4F091" w14:textId="77777777" w:rsidR="00A54AD7" w:rsidRPr="00537FB3" w:rsidRDefault="00A54AD7" w:rsidP="00A54AD7">
      <w:pPr>
        <w:pStyle w:val="FootnoteText"/>
        <w:spacing w:after="66"/>
        <w:rPr>
          <w:rFonts w:ascii="Times New Roman" w:hAnsi="Times New Roman" w:cs="Times New Roman"/>
        </w:rPr>
      </w:pPr>
      <w:r w:rsidRPr="00537FB3">
        <w:rPr>
          <w:rStyle w:val="FootnoteReference"/>
          <w:rFonts w:ascii="Times New Roman" w:hAnsi="Times New Roman" w:cs="Times New Roman"/>
        </w:rPr>
        <w:footnoteRef/>
      </w:r>
      <w:r w:rsidRPr="00537FB3">
        <w:rPr>
          <w:rFonts w:ascii="Times New Roman" w:hAnsi="Times New Roman" w:cs="Times New Roman"/>
        </w:rPr>
        <w:t xml:space="preserve"> World Bank.  (</w:t>
      </w:r>
      <w:proofErr w:type="spellStart"/>
      <w:r w:rsidRPr="00537FB3">
        <w:rPr>
          <w:rFonts w:ascii="Times New Roman" w:hAnsi="Times New Roman" w:cs="Times New Roman"/>
        </w:rPr>
        <w:t>n.d.</w:t>
      </w:r>
      <w:proofErr w:type="spellEnd"/>
      <w:r w:rsidRPr="00537FB3">
        <w:rPr>
          <w:rFonts w:ascii="Times New Roman" w:hAnsi="Times New Roman" w:cs="Times New Roman"/>
        </w:rPr>
        <w:t>)  “Commodity markets.”</w:t>
      </w:r>
      <w:r>
        <w:rPr>
          <w:rFonts w:ascii="Times New Roman" w:hAnsi="Times New Roman" w:cs="Times New Roman"/>
        </w:rPr>
        <w:t xml:space="preserve">  </w:t>
      </w:r>
      <w:hyperlink r:id="rId12" w:history="1">
        <w:r w:rsidRPr="00DF5EE8">
          <w:rPr>
            <w:rStyle w:val="Hyperlink"/>
            <w:rFonts w:ascii="Times New Roman" w:hAnsi="Times New Roman" w:cs="Times New Roman"/>
          </w:rPr>
          <w:t>https://www.worldbank.org/commodities</w:t>
        </w:r>
      </w:hyperlink>
      <w:r>
        <w:rPr>
          <w:rFonts w:ascii="Times New Roman" w:hAnsi="Times New Roman" w:cs="Times New Roman"/>
        </w:rPr>
        <w:t xml:space="preserve"> </w:t>
      </w:r>
    </w:p>
  </w:footnote>
  <w:footnote w:id="22">
    <w:p w14:paraId="79B32FC2" w14:textId="13AC5B4F" w:rsidR="00392FCE" w:rsidRPr="00392FCE" w:rsidRDefault="00392FCE" w:rsidP="009D7B3F">
      <w:pPr>
        <w:pStyle w:val="FootnoteText"/>
        <w:jc w:val="both"/>
        <w:rPr>
          <w:rFonts w:ascii="Times New Roman" w:hAnsi="Times New Roman" w:cs="Times New Roman"/>
        </w:rPr>
      </w:pPr>
      <w:r w:rsidRPr="00392FCE">
        <w:rPr>
          <w:rStyle w:val="FootnoteReference"/>
          <w:rFonts w:ascii="Times New Roman" w:hAnsi="Times New Roman" w:cs="Times New Roman"/>
        </w:rPr>
        <w:footnoteRef/>
      </w:r>
      <w:r w:rsidRPr="00392FCE">
        <w:rPr>
          <w:rFonts w:ascii="Times New Roman" w:hAnsi="Times New Roman" w:cs="Times New Roman"/>
        </w:rPr>
        <w:t xml:space="preserve"> In an alternative </w:t>
      </w:r>
      <w:r w:rsidR="006E1380">
        <w:rPr>
          <w:rFonts w:ascii="Times New Roman" w:hAnsi="Times New Roman" w:cs="Times New Roman"/>
        </w:rPr>
        <w:t>model</w:t>
      </w:r>
      <w:r>
        <w:rPr>
          <w:rFonts w:ascii="Times New Roman" w:hAnsi="Times New Roman" w:cs="Times New Roman"/>
        </w:rPr>
        <w:t xml:space="preserve"> with quarterly indicator variables</w:t>
      </w:r>
      <w:r w:rsidRPr="00392FCE">
        <w:rPr>
          <w:rFonts w:ascii="Times New Roman" w:hAnsi="Times New Roman" w:cs="Times New Roman"/>
        </w:rPr>
        <w:t xml:space="preserve">, </w:t>
      </w:r>
      <w:r>
        <w:rPr>
          <w:rFonts w:ascii="Times New Roman" w:hAnsi="Times New Roman" w:cs="Times New Roman"/>
        </w:rPr>
        <w:t xml:space="preserve">the </w:t>
      </w:r>
      <w:r w:rsidRPr="00392FCE">
        <w:rPr>
          <w:rFonts w:ascii="Times New Roman" w:hAnsi="Times New Roman" w:cs="Times New Roman"/>
        </w:rPr>
        <w:t>quarterly indicators were not statistically significant</w:t>
      </w:r>
      <w:r w:rsidR="00E54387">
        <w:rPr>
          <w:rFonts w:ascii="Times New Roman" w:hAnsi="Times New Roman" w:cs="Times New Roman"/>
        </w:rPr>
        <w:t xml:space="preserve"> at the 5% level</w:t>
      </w:r>
      <w:r w:rsidRPr="00392FCE">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0E962" w14:textId="21B5D515" w:rsidR="001B0990" w:rsidRPr="00130A91" w:rsidRDefault="000173B6" w:rsidP="00DF0B99">
    <w:pPr>
      <w:pStyle w:val="Header"/>
      <w:tabs>
        <w:tab w:val="left" w:pos="2580"/>
        <w:tab w:val="left" w:pos="2985"/>
      </w:tabs>
      <w:spacing w:after="60"/>
      <w:rPr>
        <w:rFonts w:ascii="Times New Roman" w:eastAsia="標楷體" w:hAnsi="Times New Roman"/>
        <w:b/>
        <w:bCs/>
        <w:color w:val="808080" w:themeColor="background1" w:themeShade="80"/>
        <w:sz w:val="24"/>
        <w:szCs w:val="28"/>
      </w:rPr>
    </w:pPr>
    <w:sdt>
      <w:sdtPr>
        <w:rPr>
          <w:rFonts w:ascii="Times New Roman" w:eastAsia="標楷體" w:hAnsi="Times New Roman"/>
          <w:b/>
          <w:bCs/>
          <w:color w:val="808080" w:themeColor="background1" w:themeShade="80"/>
          <w:sz w:val="24"/>
          <w:szCs w:val="28"/>
        </w:rPr>
        <w:alias w:val="標題"/>
        <w:id w:val="250248460"/>
        <w:placeholder>
          <w:docPart w:val="714297712B1A444B815D650F78A95484"/>
        </w:placeholder>
        <w:dataBinding w:prefixMappings="xmlns:ns0='http://schemas.openxmlformats.org/package/2006/metadata/core-properties' xmlns:ns1='http://purl.org/dc/elements/1.1/'" w:xpath="/ns0:coreProperties[1]/ns1:title[1]" w:storeItemID="{6C3C8BC8-F283-45AE-878A-BAB7291924A1}"/>
        <w:text/>
      </w:sdtPr>
      <w:sdtEndPr/>
      <w:sdtContent>
        <w:r w:rsidR="001B0990" w:rsidRPr="00130A91">
          <w:rPr>
            <w:rFonts w:ascii="Times New Roman" w:eastAsia="標楷體" w:hAnsi="Times New Roman"/>
            <w:b/>
            <w:bCs/>
            <w:color w:val="808080" w:themeColor="background1" w:themeShade="80"/>
            <w:sz w:val="24"/>
            <w:szCs w:val="28"/>
          </w:rPr>
          <w:t>Office of the Government Economist</w:t>
        </w:r>
      </w:sdtContent>
    </w:sdt>
    <w:r w:rsidR="001B0990">
      <w:rPr>
        <w:rFonts w:ascii="Times New Roman" w:eastAsia="標楷體" w:hAnsi="Times New Roman"/>
        <w:b/>
        <w:bCs/>
        <w:color w:val="808080" w:themeColor="background1" w:themeShade="80"/>
        <w:sz w:val="24"/>
        <w:szCs w:val="28"/>
      </w:rPr>
      <w:tab/>
    </w:r>
    <w:r w:rsidR="001B0990">
      <w:rPr>
        <w:rFonts w:ascii="Times New Roman" w:eastAsia="標楷體" w:hAnsi="Times New Roman"/>
        <w:b/>
        <w:bCs/>
        <w:color w:val="808080" w:themeColor="background1" w:themeShade="80"/>
        <w:sz w:val="24"/>
        <w:szCs w:val="28"/>
      </w:rPr>
      <w:tab/>
    </w:r>
  </w:p>
  <w:sdt>
    <w:sdtPr>
      <w:rPr>
        <w:rFonts w:ascii="Times New Roman" w:eastAsia="標楷體" w:hAnsi="Times New Roman"/>
        <w:color w:val="808080" w:themeColor="background1" w:themeShade="80"/>
        <w:sz w:val="24"/>
        <w:szCs w:val="24"/>
      </w:rPr>
      <w:alias w:val="副標題"/>
      <w:id w:val="-1656225911"/>
      <w:placeholder>
        <w:docPart w:val="572538952BF44F40BF8F526DDF38F44B"/>
      </w:placeholder>
      <w:dataBinding w:prefixMappings="xmlns:ns0='http://schemas.openxmlformats.org/package/2006/metadata/core-properties' xmlns:ns1='http://purl.org/dc/elements/1.1/'" w:xpath="/ns0:coreProperties[1]/ns1:subject[1]" w:storeItemID="{6C3C8BC8-F283-45AE-878A-BAB7291924A1}"/>
      <w:text/>
    </w:sdtPr>
    <w:sdtEndPr/>
    <w:sdtContent>
      <w:p w14:paraId="5C462A78" w14:textId="77777777" w:rsidR="001B0990" w:rsidRPr="00EA1508" w:rsidRDefault="001B0990" w:rsidP="00DF0B99">
        <w:pPr>
          <w:pStyle w:val="Header"/>
          <w:tabs>
            <w:tab w:val="left" w:pos="2580"/>
            <w:tab w:val="left" w:pos="2985"/>
          </w:tabs>
          <w:spacing w:after="60"/>
          <w:rPr>
            <w:rFonts w:ascii="Times New Roman" w:eastAsia="標楷體" w:hAnsi="Times New Roman"/>
            <w:color w:val="808080" w:themeColor="background1" w:themeShade="80"/>
            <w:sz w:val="24"/>
            <w:szCs w:val="24"/>
          </w:rPr>
        </w:pPr>
        <w:r w:rsidRPr="00EA1508">
          <w:rPr>
            <w:rFonts w:ascii="Times New Roman" w:eastAsia="標楷體" w:hAnsi="Times New Roman"/>
            <w:color w:val="808080" w:themeColor="background1" w:themeShade="80"/>
            <w:sz w:val="24"/>
            <w:szCs w:val="24"/>
          </w:rPr>
          <w:t>The Government of the Hong Kong Special Administrative Region</w:t>
        </w:r>
      </w:p>
    </w:sdtContent>
  </w:sdt>
  <w:p w14:paraId="0AD81D95" w14:textId="409FA2EB" w:rsidR="001B0990" w:rsidRPr="00232F83" w:rsidRDefault="001B0990" w:rsidP="00DF0B99">
    <w:pPr>
      <w:pStyle w:val="Header"/>
      <w:pBdr>
        <w:bottom w:val="single" w:sz="4" w:space="0" w:color="A5A5A5" w:themeColor="background1" w:themeShade="A5"/>
      </w:pBdr>
      <w:tabs>
        <w:tab w:val="left" w:pos="2580"/>
        <w:tab w:val="left" w:pos="2985"/>
      </w:tabs>
      <w:spacing w:after="120" w:line="276" w:lineRule="auto"/>
      <w:rPr>
        <w:rFonts w:ascii="Times New Roman" w:hAnsi="Times New Roman" w:cs="Times New Roman"/>
        <w:color w:val="7F7F7F" w:themeColor="text1" w:themeTint="8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88B"/>
    <w:multiLevelType w:val="hybridMultilevel"/>
    <w:tmpl w:val="DDFE0C04"/>
    <w:lvl w:ilvl="0" w:tplc="38A80148">
      <w:start w:val="1"/>
      <w:numFmt w:val="decimal"/>
      <w:lvlText w:val="%1."/>
      <w:lvlJc w:val="left"/>
      <w:pPr>
        <w:ind w:left="1920" w:hanging="360"/>
      </w:pPr>
      <w:rPr>
        <w:rFonts w:hint="default"/>
        <w:b w:val="0"/>
        <w:sz w:val="24"/>
        <w:szCs w:val="28"/>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 w15:restartNumberingAfterBreak="0">
    <w:nsid w:val="3CE31D6C"/>
    <w:multiLevelType w:val="hybridMultilevel"/>
    <w:tmpl w:val="CD2CA464"/>
    <w:lvl w:ilvl="0" w:tplc="ABE4C66C">
      <w:start w:val="3"/>
      <w:numFmt w:val="bullet"/>
      <w:lvlText w:val="-"/>
      <w:lvlJc w:val="left"/>
      <w:pPr>
        <w:ind w:left="1275" w:hanging="360"/>
      </w:pPr>
      <w:rPr>
        <w:rFonts w:ascii="Times New Roman" w:eastAsia="標楷體" w:hAnsi="Times New Roman" w:cs="Times New Roman"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44813EE1"/>
    <w:multiLevelType w:val="hybridMultilevel"/>
    <w:tmpl w:val="06845E6A"/>
    <w:lvl w:ilvl="0" w:tplc="944A5014">
      <w:start w:val="6"/>
      <w:numFmt w:val="decimal"/>
      <w:lvlText w:val="%1."/>
      <w:lvlJc w:val="left"/>
      <w:pPr>
        <w:ind w:left="360" w:hanging="36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BA44BB"/>
    <w:multiLevelType w:val="hybridMultilevel"/>
    <w:tmpl w:val="48962400"/>
    <w:lvl w:ilvl="0" w:tplc="641603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8CA2A44"/>
    <w:multiLevelType w:val="hybridMultilevel"/>
    <w:tmpl w:val="E1180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73682E"/>
    <w:multiLevelType w:val="hybridMultilevel"/>
    <w:tmpl w:val="00AE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D2583F"/>
    <w:multiLevelType w:val="hybridMultilevel"/>
    <w:tmpl w:val="279C1556"/>
    <w:lvl w:ilvl="0" w:tplc="E38CFB24">
      <w:start w:val="24"/>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AB37CD"/>
    <w:multiLevelType w:val="hybridMultilevel"/>
    <w:tmpl w:val="6218A332"/>
    <w:lvl w:ilvl="0" w:tplc="C6EE12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6325DE"/>
    <w:multiLevelType w:val="hybridMultilevel"/>
    <w:tmpl w:val="025CE8FA"/>
    <w:lvl w:ilvl="0" w:tplc="BD98F148">
      <w:start w:val="1"/>
      <w:numFmt w:val="decimal"/>
      <w:lvlText w:val="%1."/>
      <w:lvlJc w:val="left"/>
      <w:pPr>
        <w:ind w:left="2847" w:hanging="720"/>
      </w:pPr>
      <w:rPr>
        <w:rFonts w:ascii="Times New Roman" w:hAnsi="Times New Roman" w:cs="Times New Roman" w:hint="default"/>
        <w:b w:val="0"/>
        <w:sz w:val="24"/>
        <w:szCs w:val="24"/>
      </w:rPr>
    </w:lvl>
    <w:lvl w:ilvl="1" w:tplc="08090019" w:tentative="1">
      <w:start w:val="1"/>
      <w:numFmt w:val="lowerLetter"/>
      <w:lvlText w:val="%2."/>
      <w:lvlJc w:val="left"/>
      <w:pPr>
        <w:ind w:left="-1538" w:hanging="360"/>
      </w:pPr>
    </w:lvl>
    <w:lvl w:ilvl="2" w:tplc="0809001B" w:tentative="1">
      <w:start w:val="1"/>
      <w:numFmt w:val="lowerRoman"/>
      <w:lvlText w:val="%3."/>
      <w:lvlJc w:val="right"/>
      <w:pPr>
        <w:ind w:left="-818" w:hanging="180"/>
      </w:pPr>
    </w:lvl>
    <w:lvl w:ilvl="3" w:tplc="0809000F" w:tentative="1">
      <w:start w:val="1"/>
      <w:numFmt w:val="decimal"/>
      <w:lvlText w:val="%4."/>
      <w:lvlJc w:val="left"/>
      <w:pPr>
        <w:ind w:left="-98" w:hanging="360"/>
      </w:pPr>
    </w:lvl>
    <w:lvl w:ilvl="4" w:tplc="08090019" w:tentative="1">
      <w:start w:val="1"/>
      <w:numFmt w:val="lowerLetter"/>
      <w:lvlText w:val="%5."/>
      <w:lvlJc w:val="left"/>
      <w:pPr>
        <w:ind w:left="622" w:hanging="360"/>
      </w:pPr>
    </w:lvl>
    <w:lvl w:ilvl="5" w:tplc="0809001B" w:tentative="1">
      <w:start w:val="1"/>
      <w:numFmt w:val="lowerRoman"/>
      <w:lvlText w:val="%6."/>
      <w:lvlJc w:val="right"/>
      <w:pPr>
        <w:ind w:left="1342" w:hanging="180"/>
      </w:pPr>
    </w:lvl>
    <w:lvl w:ilvl="6" w:tplc="0809000F" w:tentative="1">
      <w:start w:val="1"/>
      <w:numFmt w:val="decimal"/>
      <w:lvlText w:val="%7."/>
      <w:lvlJc w:val="left"/>
      <w:pPr>
        <w:ind w:left="2062" w:hanging="360"/>
      </w:pPr>
    </w:lvl>
    <w:lvl w:ilvl="7" w:tplc="08090019" w:tentative="1">
      <w:start w:val="1"/>
      <w:numFmt w:val="lowerLetter"/>
      <w:lvlText w:val="%8."/>
      <w:lvlJc w:val="left"/>
      <w:pPr>
        <w:ind w:left="2782" w:hanging="360"/>
      </w:pPr>
    </w:lvl>
    <w:lvl w:ilvl="8" w:tplc="0809001B" w:tentative="1">
      <w:start w:val="1"/>
      <w:numFmt w:val="lowerRoman"/>
      <w:lvlText w:val="%9."/>
      <w:lvlJc w:val="right"/>
      <w:pPr>
        <w:ind w:left="3502" w:hanging="180"/>
      </w:pPr>
    </w:lvl>
  </w:abstractNum>
  <w:abstractNum w:abstractNumId="9" w15:restartNumberingAfterBreak="0">
    <w:nsid w:val="64D04EEC"/>
    <w:multiLevelType w:val="hybridMultilevel"/>
    <w:tmpl w:val="CF941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B23EBC"/>
    <w:multiLevelType w:val="hybridMultilevel"/>
    <w:tmpl w:val="ECD6918E"/>
    <w:lvl w:ilvl="0" w:tplc="40A2FA82">
      <w:start w:val="25"/>
      <w:numFmt w:val="decimal"/>
      <w:lvlText w:val="%1."/>
      <w:lvlJc w:val="left"/>
      <w:pPr>
        <w:ind w:left="2847" w:hanging="72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016F92"/>
    <w:multiLevelType w:val="hybridMultilevel"/>
    <w:tmpl w:val="2A4028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E84F05"/>
    <w:multiLevelType w:val="hybridMultilevel"/>
    <w:tmpl w:val="68E809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5"/>
  </w:num>
  <w:num w:numId="5">
    <w:abstractNumId w:val="2"/>
  </w:num>
  <w:num w:numId="6">
    <w:abstractNumId w:val="0"/>
  </w:num>
  <w:num w:numId="7">
    <w:abstractNumId w:val="11"/>
  </w:num>
  <w:num w:numId="8">
    <w:abstractNumId w:val="4"/>
  </w:num>
  <w:num w:numId="9">
    <w:abstractNumId w:val="6"/>
  </w:num>
  <w:num w:numId="10">
    <w:abstractNumId w:val="10"/>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DE"/>
    <w:rsid w:val="0000010D"/>
    <w:rsid w:val="0000021A"/>
    <w:rsid w:val="00001506"/>
    <w:rsid w:val="00002208"/>
    <w:rsid w:val="000022D6"/>
    <w:rsid w:val="00003383"/>
    <w:rsid w:val="00003CB3"/>
    <w:rsid w:val="00004028"/>
    <w:rsid w:val="00004A67"/>
    <w:rsid w:val="00004D2B"/>
    <w:rsid w:val="0000585F"/>
    <w:rsid w:val="00005E2C"/>
    <w:rsid w:val="00006A3E"/>
    <w:rsid w:val="000106EB"/>
    <w:rsid w:val="000111D5"/>
    <w:rsid w:val="00012A89"/>
    <w:rsid w:val="00013822"/>
    <w:rsid w:val="000140AD"/>
    <w:rsid w:val="0001414B"/>
    <w:rsid w:val="000143A4"/>
    <w:rsid w:val="00014974"/>
    <w:rsid w:val="000149B5"/>
    <w:rsid w:val="00014BE1"/>
    <w:rsid w:val="00014FA7"/>
    <w:rsid w:val="000158C8"/>
    <w:rsid w:val="00015B13"/>
    <w:rsid w:val="00015D42"/>
    <w:rsid w:val="000173B6"/>
    <w:rsid w:val="0002074C"/>
    <w:rsid w:val="00020B55"/>
    <w:rsid w:val="000211A5"/>
    <w:rsid w:val="0002310B"/>
    <w:rsid w:val="0002369A"/>
    <w:rsid w:val="00023CCB"/>
    <w:rsid w:val="00024187"/>
    <w:rsid w:val="0002428C"/>
    <w:rsid w:val="00024D00"/>
    <w:rsid w:val="00025101"/>
    <w:rsid w:val="00025163"/>
    <w:rsid w:val="00025618"/>
    <w:rsid w:val="00026504"/>
    <w:rsid w:val="0002694B"/>
    <w:rsid w:val="00026973"/>
    <w:rsid w:val="0002719C"/>
    <w:rsid w:val="00027723"/>
    <w:rsid w:val="00027C2B"/>
    <w:rsid w:val="000301E7"/>
    <w:rsid w:val="00030433"/>
    <w:rsid w:val="00031496"/>
    <w:rsid w:val="0003185E"/>
    <w:rsid w:val="00031DDC"/>
    <w:rsid w:val="000327C3"/>
    <w:rsid w:val="00032A79"/>
    <w:rsid w:val="00032E44"/>
    <w:rsid w:val="0003356E"/>
    <w:rsid w:val="00033866"/>
    <w:rsid w:val="00033A07"/>
    <w:rsid w:val="0003488F"/>
    <w:rsid w:val="00034B84"/>
    <w:rsid w:val="00035B8B"/>
    <w:rsid w:val="00036429"/>
    <w:rsid w:val="00036619"/>
    <w:rsid w:val="00036EE5"/>
    <w:rsid w:val="00037120"/>
    <w:rsid w:val="00037A84"/>
    <w:rsid w:val="00040CEB"/>
    <w:rsid w:val="0004131F"/>
    <w:rsid w:val="00041872"/>
    <w:rsid w:val="00043D13"/>
    <w:rsid w:val="0004555D"/>
    <w:rsid w:val="0004596E"/>
    <w:rsid w:val="00045A9C"/>
    <w:rsid w:val="00045BAF"/>
    <w:rsid w:val="00045EC8"/>
    <w:rsid w:val="000465D3"/>
    <w:rsid w:val="00051C13"/>
    <w:rsid w:val="000535B2"/>
    <w:rsid w:val="000538A6"/>
    <w:rsid w:val="000540AC"/>
    <w:rsid w:val="000542D3"/>
    <w:rsid w:val="00054D0E"/>
    <w:rsid w:val="00054F06"/>
    <w:rsid w:val="000558C2"/>
    <w:rsid w:val="00055D34"/>
    <w:rsid w:val="0005652F"/>
    <w:rsid w:val="000601EF"/>
    <w:rsid w:val="000614AD"/>
    <w:rsid w:val="0006159E"/>
    <w:rsid w:val="000617EA"/>
    <w:rsid w:val="00061F17"/>
    <w:rsid w:val="0006262E"/>
    <w:rsid w:val="00062A6F"/>
    <w:rsid w:val="0006302D"/>
    <w:rsid w:val="00064B35"/>
    <w:rsid w:val="00066444"/>
    <w:rsid w:val="00066523"/>
    <w:rsid w:val="00066736"/>
    <w:rsid w:val="00066851"/>
    <w:rsid w:val="00070153"/>
    <w:rsid w:val="0007056E"/>
    <w:rsid w:val="00070654"/>
    <w:rsid w:val="00071E09"/>
    <w:rsid w:val="00072B5C"/>
    <w:rsid w:val="00072F3B"/>
    <w:rsid w:val="00072FB8"/>
    <w:rsid w:val="00073808"/>
    <w:rsid w:val="0007391C"/>
    <w:rsid w:val="000757F1"/>
    <w:rsid w:val="00075D40"/>
    <w:rsid w:val="00076A0C"/>
    <w:rsid w:val="00076BFE"/>
    <w:rsid w:val="00077BF0"/>
    <w:rsid w:val="00080A10"/>
    <w:rsid w:val="00081039"/>
    <w:rsid w:val="00081FD7"/>
    <w:rsid w:val="00082317"/>
    <w:rsid w:val="00082669"/>
    <w:rsid w:val="00082E3C"/>
    <w:rsid w:val="00082F11"/>
    <w:rsid w:val="00083751"/>
    <w:rsid w:val="00083783"/>
    <w:rsid w:val="00083917"/>
    <w:rsid w:val="00084B7D"/>
    <w:rsid w:val="0008536E"/>
    <w:rsid w:val="00085FD1"/>
    <w:rsid w:val="000864AA"/>
    <w:rsid w:val="00086B78"/>
    <w:rsid w:val="00086EE8"/>
    <w:rsid w:val="00090842"/>
    <w:rsid w:val="00090BA7"/>
    <w:rsid w:val="00091771"/>
    <w:rsid w:val="00091E4B"/>
    <w:rsid w:val="00092577"/>
    <w:rsid w:val="000925DE"/>
    <w:rsid w:val="00093BD2"/>
    <w:rsid w:val="00094EE6"/>
    <w:rsid w:val="00095B50"/>
    <w:rsid w:val="000975EA"/>
    <w:rsid w:val="000A0E04"/>
    <w:rsid w:val="000A2575"/>
    <w:rsid w:val="000A3E6B"/>
    <w:rsid w:val="000A4D79"/>
    <w:rsid w:val="000A5B9C"/>
    <w:rsid w:val="000A6537"/>
    <w:rsid w:val="000A68DE"/>
    <w:rsid w:val="000A6C62"/>
    <w:rsid w:val="000B00DE"/>
    <w:rsid w:val="000B0273"/>
    <w:rsid w:val="000B0446"/>
    <w:rsid w:val="000B0C18"/>
    <w:rsid w:val="000B0EF9"/>
    <w:rsid w:val="000B1B93"/>
    <w:rsid w:val="000B1C6A"/>
    <w:rsid w:val="000B1CE3"/>
    <w:rsid w:val="000B1E8C"/>
    <w:rsid w:val="000B33CA"/>
    <w:rsid w:val="000B6277"/>
    <w:rsid w:val="000B6DB6"/>
    <w:rsid w:val="000B7C7B"/>
    <w:rsid w:val="000C04A1"/>
    <w:rsid w:val="000C0509"/>
    <w:rsid w:val="000C2264"/>
    <w:rsid w:val="000C2493"/>
    <w:rsid w:val="000C3F9F"/>
    <w:rsid w:val="000C40DC"/>
    <w:rsid w:val="000C4F00"/>
    <w:rsid w:val="000C575F"/>
    <w:rsid w:val="000C603C"/>
    <w:rsid w:val="000C6081"/>
    <w:rsid w:val="000C71E5"/>
    <w:rsid w:val="000C7F15"/>
    <w:rsid w:val="000D1433"/>
    <w:rsid w:val="000D1BDF"/>
    <w:rsid w:val="000D2903"/>
    <w:rsid w:val="000D2FDD"/>
    <w:rsid w:val="000D42FB"/>
    <w:rsid w:val="000D57FE"/>
    <w:rsid w:val="000D5EC8"/>
    <w:rsid w:val="000D5FC7"/>
    <w:rsid w:val="000D60E9"/>
    <w:rsid w:val="000E17A5"/>
    <w:rsid w:val="000E1CF1"/>
    <w:rsid w:val="000E3D48"/>
    <w:rsid w:val="000E3D6D"/>
    <w:rsid w:val="000E49CA"/>
    <w:rsid w:val="000E56ED"/>
    <w:rsid w:val="000E59E4"/>
    <w:rsid w:val="000E5DCE"/>
    <w:rsid w:val="000E5EE1"/>
    <w:rsid w:val="000E6981"/>
    <w:rsid w:val="000E6989"/>
    <w:rsid w:val="000F10D9"/>
    <w:rsid w:val="000F128E"/>
    <w:rsid w:val="000F18C0"/>
    <w:rsid w:val="000F1CF6"/>
    <w:rsid w:val="000F28F0"/>
    <w:rsid w:val="000F33FD"/>
    <w:rsid w:val="000F3DDE"/>
    <w:rsid w:val="000F4F03"/>
    <w:rsid w:val="000F516A"/>
    <w:rsid w:val="000F5803"/>
    <w:rsid w:val="000F5A0F"/>
    <w:rsid w:val="000F5CA6"/>
    <w:rsid w:val="000F664A"/>
    <w:rsid w:val="000F68C5"/>
    <w:rsid w:val="000F71F4"/>
    <w:rsid w:val="000F7454"/>
    <w:rsid w:val="000F787C"/>
    <w:rsid w:val="00100060"/>
    <w:rsid w:val="001011E0"/>
    <w:rsid w:val="001027D2"/>
    <w:rsid w:val="00103A73"/>
    <w:rsid w:val="001040FA"/>
    <w:rsid w:val="00104308"/>
    <w:rsid w:val="00105898"/>
    <w:rsid w:val="001061F4"/>
    <w:rsid w:val="0010627C"/>
    <w:rsid w:val="00107495"/>
    <w:rsid w:val="001103BC"/>
    <w:rsid w:val="00110E80"/>
    <w:rsid w:val="00110F5F"/>
    <w:rsid w:val="00111307"/>
    <w:rsid w:val="00111C49"/>
    <w:rsid w:val="00111FFF"/>
    <w:rsid w:val="00112178"/>
    <w:rsid w:val="00112CC5"/>
    <w:rsid w:val="001135E8"/>
    <w:rsid w:val="001137B7"/>
    <w:rsid w:val="001144C9"/>
    <w:rsid w:val="00114CDE"/>
    <w:rsid w:val="00114D73"/>
    <w:rsid w:val="001154B4"/>
    <w:rsid w:val="001163C8"/>
    <w:rsid w:val="001164F6"/>
    <w:rsid w:val="00117C55"/>
    <w:rsid w:val="00117CCF"/>
    <w:rsid w:val="00117CFE"/>
    <w:rsid w:val="00120406"/>
    <w:rsid w:val="00121089"/>
    <w:rsid w:val="00121902"/>
    <w:rsid w:val="00123035"/>
    <w:rsid w:val="00123269"/>
    <w:rsid w:val="001243CC"/>
    <w:rsid w:val="00124633"/>
    <w:rsid w:val="00125FF4"/>
    <w:rsid w:val="00127ED5"/>
    <w:rsid w:val="00130A91"/>
    <w:rsid w:val="00131977"/>
    <w:rsid w:val="00131A70"/>
    <w:rsid w:val="00132156"/>
    <w:rsid w:val="00132249"/>
    <w:rsid w:val="0013365F"/>
    <w:rsid w:val="001340B8"/>
    <w:rsid w:val="00134D5A"/>
    <w:rsid w:val="00136501"/>
    <w:rsid w:val="00136777"/>
    <w:rsid w:val="0013689E"/>
    <w:rsid w:val="001369C3"/>
    <w:rsid w:val="00136E65"/>
    <w:rsid w:val="00140337"/>
    <w:rsid w:val="001407D4"/>
    <w:rsid w:val="00140F44"/>
    <w:rsid w:val="00141B9F"/>
    <w:rsid w:val="001423AC"/>
    <w:rsid w:val="00142722"/>
    <w:rsid w:val="001437A6"/>
    <w:rsid w:val="00145202"/>
    <w:rsid w:val="00145A0A"/>
    <w:rsid w:val="00145BA2"/>
    <w:rsid w:val="00145F9B"/>
    <w:rsid w:val="00146CDA"/>
    <w:rsid w:val="001479F8"/>
    <w:rsid w:val="00150070"/>
    <w:rsid w:val="00150262"/>
    <w:rsid w:val="001505C6"/>
    <w:rsid w:val="00150770"/>
    <w:rsid w:val="00150A72"/>
    <w:rsid w:val="0015109A"/>
    <w:rsid w:val="00153026"/>
    <w:rsid w:val="00154AE0"/>
    <w:rsid w:val="001550A8"/>
    <w:rsid w:val="00155C52"/>
    <w:rsid w:val="00155EEE"/>
    <w:rsid w:val="0015680F"/>
    <w:rsid w:val="00157E6F"/>
    <w:rsid w:val="00157E98"/>
    <w:rsid w:val="00161A34"/>
    <w:rsid w:val="00161B7F"/>
    <w:rsid w:val="00161C54"/>
    <w:rsid w:val="00162A7E"/>
    <w:rsid w:val="00163545"/>
    <w:rsid w:val="001649FC"/>
    <w:rsid w:val="00164ABA"/>
    <w:rsid w:val="00164F04"/>
    <w:rsid w:val="00165510"/>
    <w:rsid w:val="00165C43"/>
    <w:rsid w:val="00165D36"/>
    <w:rsid w:val="00165FEF"/>
    <w:rsid w:val="0016657D"/>
    <w:rsid w:val="00166717"/>
    <w:rsid w:val="00166E91"/>
    <w:rsid w:val="0017063E"/>
    <w:rsid w:val="001712E2"/>
    <w:rsid w:val="00171502"/>
    <w:rsid w:val="0017164C"/>
    <w:rsid w:val="00171E95"/>
    <w:rsid w:val="00171FC8"/>
    <w:rsid w:val="0017206E"/>
    <w:rsid w:val="00172EC4"/>
    <w:rsid w:val="0017386E"/>
    <w:rsid w:val="00175D34"/>
    <w:rsid w:val="00176490"/>
    <w:rsid w:val="00177F9C"/>
    <w:rsid w:val="00180069"/>
    <w:rsid w:val="00181CE5"/>
    <w:rsid w:val="00182EF6"/>
    <w:rsid w:val="00182F9D"/>
    <w:rsid w:val="0018327D"/>
    <w:rsid w:val="0018469B"/>
    <w:rsid w:val="0018513E"/>
    <w:rsid w:val="001851C4"/>
    <w:rsid w:val="00185F9E"/>
    <w:rsid w:val="00186460"/>
    <w:rsid w:val="00186655"/>
    <w:rsid w:val="0018683D"/>
    <w:rsid w:val="00187041"/>
    <w:rsid w:val="00187177"/>
    <w:rsid w:val="001877C7"/>
    <w:rsid w:val="00187CE5"/>
    <w:rsid w:val="00187D85"/>
    <w:rsid w:val="001900F7"/>
    <w:rsid w:val="00191302"/>
    <w:rsid w:val="00191584"/>
    <w:rsid w:val="00191FA4"/>
    <w:rsid w:val="00192F73"/>
    <w:rsid w:val="001934FB"/>
    <w:rsid w:val="0019433A"/>
    <w:rsid w:val="00194BFA"/>
    <w:rsid w:val="0019542B"/>
    <w:rsid w:val="00195799"/>
    <w:rsid w:val="001968B7"/>
    <w:rsid w:val="001975C7"/>
    <w:rsid w:val="00197E9E"/>
    <w:rsid w:val="001A01C5"/>
    <w:rsid w:val="001A1290"/>
    <w:rsid w:val="001A1F06"/>
    <w:rsid w:val="001A381B"/>
    <w:rsid w:val="001A3C0A"/>
    <w:rsid w:val="001A58D1"/>
    <w:rsid w:val="001A5B5B"/>
    <w:rsid w:val="001A6614"/>
    <w:rsid w:val="001A661C"/>
    <w:rsid w:val="001A7AA7"/>
    <w:rsid w:val="001A7CD4"/>
    <w:rsid w:val="001B057A"/>
    <w:rsid w:val="001B0716"/>
    <w:rsid w:val="001B0990"/>
    <w:rsid w:val="001B0EFC"/>
    <w:rsid w:val="001B1B6C"/>
    <w:rsid w:val="001B211D"/>
    <w:rsid w:val="001B257C"/>
    <w:rsid w:val="001B26FC"/>
    <w:rsid w:val="001B2B1F"/>
    <w:rsid w:val="001B2BDD"/>
    <w:rsid w:val="001B3FBD"/>
    <w:rsid w:val="001B483F"/>
    <w:rsid w:val="001B58D9"/>
    <w:rsid w:val="001B5FC3"/>
    <w:rsid w:val="001C030A"/>
    <w:rsid w:val="001C0795"/>
    <w:rsid w:val="001C0991"/>
    <w:rsid w:val="001C0CBA"/>
    <w:rsid w:val="001C14F5"/>
    <w:rsid w:val="001C16C5"/>
    <w:rsid w:val="001C18F1"/>
    <w:rsid w:val="001C1A3B"/>
    <w:rsid w:val="001C1FE5"/>
    <w:rsid w:val="001C20FA"/>
    <w:rsid w:val="001C2B5B"/>
    <w:rsid w:val="001C2F77"/>
    <w:rsid w:val="001C325A"/>
    <w:rsid w:val="001C34AC"/>
    <w:rsid w:val="001C36B8"/>
    <w:rsid w:val="001C3742"/>
    <w:rsid w:val="001C44C4"/>
    <w:rsid w:val="001C4C3B"/>
    <w:rsid w:val="001C4E33"/>
    <w:rsid w:val="001C7C19"/>
    <w:rsid w:val="001C7D17"/>
    <w:rsid w:val="001D0FCE"/>
    <w:rsid w:val="001D1755"/>
    <w:rsid w:val="001D22DA"/>
    <w:rsid w:val="001D23A8"/>
    <w:rsid w:val="001D2C87"/>
    <w:rsid w:val="001D49EB"/>
    <w:rsid w:val="001D49FE"/>
    <w:rsid w:val="001D58A1"/>
    <w:rsid w:val="001D62E9"/>
    <w:rsid w:val="001D6883"/>
    <w:rsid w:val="001D6B04"/>
    <w:rsid w:val="001D76C1"/>
    <w:rsid w:val="001E00B0"/>
    <w:rsid w:val="001E0433"/>
    <w:rsid w:val="001E21EE"/>
    <w:rsid w:val="001E2463"/>
    <w:rsid w:val="001E2622"/>
    <w:rsid w:val="001E275A"/>
    <w:rsid w:val="001E28CE"/>
    <w:rsid w:val="001E2D66"/>
    <w:rsid w:val="001E3210"/>
    <w:rsid w:val="001E41DA"/>
    <w:rsid w:val="001E47CB"/>
    <w:rsid w:val="001E49AB"/>
    <w:rsid w:val="001E54ED"/>
    <w:rsid w:val="001E587B"/>
    <w:rsid w:val="001E628A"/>
    <w:rsid w:val="001E6ED1"/>
    <w:rsid w:val="001F08CF"/>
    <w:rsid w:val="001F0C79"/>
    <w:rsid w:val="001F1D5F"/>
    <w:rsid w:val="001F20AB"/>
    <w:rsid w:val="001F3B0F"/>
    <w:rsid w:val="001F4BBD"/>
    <w:rsid w:val="001F5CE7"/>
    <w:rsid w:val="001F649F"/>
    <w:rsid w:val="001F64FC"/>
    <w:rsid w:val="001F6D08"/>
    <w:rsid w:val="001F6F1B"/>
    <w:rsid w:val="001F6FCB"/>
    <w:rsid w:val="001F7A0D"/>
    <w:rsid w:val="00200736"/>
    <w:rsid w:val="00201001"/>
    <w:rsid w:val="00201392"/>
    <w:rsid w:val="002017F4"/>
    <w:rsid w:val="00201BE1"/>
    <w:rsid w:val="00201EC9"/>
    <w:rsid w:val="00202084"/>
    <w:rsid w:val="0020239D"/>
    <w:rsid w:val="00202C98"/>
    <w:rsid w:val="0020358D"/>
    <w:rsid w:val="002040B6"/>
    <w:rsid w:val="002045B6"/>
    <w:rsid w:val="00205132"/>
    <w:rsid w:val="00205140"/>
    <w:rsid w:val="002052E9"/>
    <w:rsid w:val="002053F0"/>
    <w:rsid w:val="00205E08"/>
    <w:rsid w:val="002063C8"/>
    <w:rsid w:val="002063FA"/>
    <w:rsid w:val="00207219"/>
    <w:rsid w:val="00207323"/>
    <w:rsid w:val="00207E41"/>
    <w:rsid w:val="00207FCD"/>
    <w:rsid w:val="0021084C"/>
    <w:rsid w:val="00210D0E"/>
    <w:rsid w:val="00210E58"/>
    <w:rsid w:val="00211068"/>
    <w:rsid w:val="00211FF7"/>
    <w:rsid w:val="00212DAB"/>
    <w:rsid w:val="0021392C"/>
    <w:rsid w:val="00213D13"/>
    <w:rsid w:val="00214275"/>
    <w:rsid w:val="002148A8"/>
    <w:rsid w:val="00214A88"/>
    <w:rsid w:val="00214FBB"/>
    <w:rsid w:val="002156BF"/>
    <w:rsid w:val="002162D3"/>
    <w:rsid w:val="002207C3"/>
    <w:rsid w:val="00220D1F"/>
    <w:rsid w:val="00220E97"/>
    <w:rsid w:val="00221A23"/>
    <w:rsid w:val="00221BF6"/>
    <w:rsid w:val="00223223"/>
    <w:rsid w:val="0022328F"/>
    <w:rsid w:val="002247F4"/>
    <w:rsid w:val="0022527B"/>
    <w:rsid w:val="00225BEC"/>
    <w:rsid w:val="002267B9"/>
    <w:rsid w:val="00226841"/>
    <w:rsid w:val="0022786F"/>
    <w:rsid w:val="00227F3A"/>
    <w:rsid w:val="00231BC5"/>
    <w:rsid w:val="00231C58"/>
    <w:rsid w:val="002325B4"/>
    <w:rsid w:val="00232F83"/>
    <w:rsid w:val="0023324C"/>
    <w:rsid w:val="0023328A"/>
    <w:rsid w:val="00233B3D"/>
    <w:rsid w:val="00233FC2"/>
    <w:rsid w:val="002344EB"/>
    <w:rsid w:val="00235455"/>
    <w:rsid w:val="0023554E"/>
    <w:rsid w:val="00235741"/>
    <w:rsid w:val="00235D95"/>
    <w:rsid w:val="00236236"/>
    <w:rsid w:val="002364D4"/>
    <w:rsid w:val="0023666D"/>
    <w:rsid w:val="00236877"/>
    <w:rsid w:val="002368F2"/>
    <w:rsid w:val="002403F6"/>
    <w:rsid w:val="0024062C"/>
    <w:rsid w:val="00241581"/>
    <w:rsid w:val="00243F27"/>
    <w:rsid w:val="00244A79"/>
    <w:rsid w:val="00244CD2"/>
    <w:rsid w:val="00244DD5"/>
    <w:rsid w:val="002450D0"/>
    <w:rsid w:val="00245869"/>
    <w:rsid w:val="00245CC7"/>
    <w:rsid w:val="00247FCF"/>
    <w:rsid w:val="002500FD"/>
    <w:rsid w:val="00253069"/>
    <w:rsid w:val="00253BBB"/>
    <w:rsid w:val="00254833"/>
    <w:rsid w:val="002552A5"/>
    <w:rsid w:val="0025569B"/>
    <w:rsid w:val="002561E3"/>
    <w:rsid w:val="00256505"/>
    <w:rsid w:val="00256D08"/>
    <w:rsid w:val="002606BF"/>
    <w:rsid w:val="0026081E"/>
    <w:rsid w:val="00260FD0"/>
    <w:rsid w:val="00262601"/>
    <w:rsid w:val="00263BE3"/>
    <w:rsid w:val="00264167"/>
    <w:rsid w:val="00264ED0"/>
    <w:rsid w:val="00264FF7"/>
    <w:rsid w:val="00265E6C"/>
    <w:rsid w:val="002673EF"/>
    <w:rsid w:val="00267D8D"/>
    <w:rsid w:val="00270B78"/>
    <w:rsid w:val="00270EB3"/>
    <w:rsid w:val="00270F87"/>
    <w:rsid w:val="00271AAE"/>
    <w:rsid w:val="00271DB0"/>
    <w:rsid w:val="00272541"/>
    <w:rsid w:val="00272DEC"/>
    <w:rsid w:val="00273356"/>
    <w:rsid w:val="00274067"/>
    <w:rsid w:val="002751A7"/>
    <w:rsid w:val="00275575"/>
    <w:rsid w:val="00275E46"/>
    <w:rsid w:val="00276D13"/>
    <w:rsid w:val="002772AD"/>
    <w:rsid w:val="002778D2"/>
    <w:rsid w:val="00280C91"/>
    <w:rsid w:val="00282AA6"/>
    <w:rsid w:val="00282EB2"/>
    <w:rsid w:val="002834C0"/>
    <w:rsid w:val="00283752"/>
    <w:rsid w:val="002837FD"/>
    <w:rsid w:val="002848AB"/>
    <w:rsid w:val="0028597C"/>
    <w:rsid w:val="00286D6C"/>
    <w:rsid w:val="00286FF8"/>
    <w:rsid w:val="00287014"/>
    <w:rsid w:val="00290E53"/>
    <w:rsid w:val="002911A9"/>
    <w:rsid w:val="0029186E"/>
    <w:rsid w:val="00291BE7"/>
    <w:rsid w:val="00292E04"/>
    <w:rsid w:val="00295027"/>
    <w:rsid w:val="00295577"/>
    <w:rsid w:val="00295632"/>
    <w:rsid w:val="002958D4"/>
    <w:rsid w:val="00296752"/>
    <w:rsid w:val="00297AAD"/>
    <w:rsid w:val="002A004C"/>
    <w:rsid w:val="002A0313"/>
    <w:rsid w:val="002A0A0F"/>
    <w:rsid w:val="002A13FE"/>
    <w:rsid w:val="002A28E9"/>
    <w:rsid w:val="002A2DE3"/>
    <w:rsid w:val="002A3727"/>
    <w:rsid w:val="002A42BF"/>
    <w:rsid w:val="002A47E5"/>
    <w:rsid w:val="002A4803"/>
    <w:rsid w:val="002A53B7"/>
    <w:rsid w:val="002A57FA"/>
    <w:rsid w:val="002A5B0C"/>
    <w:rsid w:val="002A626C"/>
    <w:rsid w:val="002A62EB"/>
    <w:rsid w:val="002A7180"/>
    <w:rsid w:val="002A798A"/>
    <w:rsid w:val="002A7A4B"/>
    <w:rsid w:val="002A7AD9"/>
    <w:rsid w:val="002B064C"/>
    <w:rsid w:val="002B0C64"/>
    <w:rsid w:val="002B1312"/>
    <w:rsid w:val="002B3560"/>
    <w:rsid w:val="002B3858"/>
    <w:rsid w:val="002B4482"/>
    <w:rsid w:val="002B46C3"/>
    <w:rsid w:val="002B5F9A"/>
    <w:rsid w:val="002B6C80"/>
    <w:rsid w:val="002B7918"/>
    <w:rsid w:val="002B7D0E"/>
    <w:rsid w:val="002C02F7"/>
    <w:rsid w:val="002C0997"/>
    <w:rsid w:val="002C0E2A"/>
    <w:rsid w:val="002C1540"/>
    <w:rsid w:val="002C1569"/>
    <w:rsid w:val="002C2952"/>
    <w:rsid w:val="002C2C6F"/>
    <w:rsid w:val="002C2EBA"/>
    <w:rsid w:val="002C2F39"/>
    <w:rsid w:val="002C309E"/>
    <w:rsid w:val="002C337A"/>
    <w:rsid w:val="002C35EC"/>
    <w:rsid w:val="002C3CB8"/>
    <w:rsid w:val="002C40ED"/>
    <w:rsid w:val="002C46F4"/>
    <w:rsid w:val="002C4A42"/>
    <w:rsid w:val="002C4CB4"/>
    <w:rsid w:val="002C5758"/>
    <w:rsid w:val="002C59C2"/>
    <w:rsid w:val="002D081E"/>
    <w:rsid w:val="002D0927"/>
    <w:rsid w:val="002D0D66"/>
    <w:rsid w:val="002D2A93"/>
    <w:rsid w:val="002D30E4"/>
    <w:rsid w:val="002D62C4"/>
    <w:rsid w:val="002E06D0"/>
    <w:rsid w:val="002E1D9C"/>
    <w:rsid w:val="002E4FF9"/>
    <w:rsid w:val="002E58F2"/>
    <w:rsid w:val="002E60E9"/>
    <w:rsid w:val="002E63B9"/>
    <w:rsid w:val="002E65D1"/>
    <w:rsid w:val="002E6CAC"/>
    <w:rsid w:val="002E711F"/>
    <w:rsid w:val="002E7248"/>
    <w:rsid w:val="002E769B"/>
    <w:rsid w:val="002E7820"/>
    <w:rsid w:val="002F0B47"/>
    <w:rsid w:val="002F1337"/>
    <w:rsid w:val="002F1554"/>
    <w:rsid w:val="002F1FD8"/>
    <w:rsid w:val="002F29EF"/>
    <w:rsid w:val="002F302D"/>
    <w:rsid w:val="002F3AB0"/>
    <w:rsid w:val="002F479B"/>
    <w:rsid w:val="002F48FD"/>
    <w:rsid w:val="002F4B02"/>
    <w:rsid w:val="002F5AE9"/>
    <w:rsid w:val="002F6DAB"/>
    <w:rsid w:val="002F7ADD"/>
    <w:rsid w:val="002F7F02"/>
    <w:rsid w:val="00300017"/>
    <w:rsid w:val="003015B0"/>
    <w:rsid w:val="003028B8"/>
    <w:rsid w:val="00302EA0"/>
    <w:rsid w:val="003032F7"/>
    <w:rsid w:val="00303380"/>
    <w:rsid w:val="00303DA2"/>
    <w:rsid w:val="003041BD"/>
    <w:rsid w:val="003045EF"/>
    <w:rsid w:val="00304F38"/>
    <w:rsid w:val="00305797"/>
    <w:rsid w:val="00305E16"/>
    <w:rsid w:val="00305EA3"/>
    <w:rsid w:val="003061CB"/>
    <w:rsid w:val="003066AE"/>
    <w:rsid w:val="00310E8E"/>
    <w:rsid w:val="0031150B"/>
    <w:rsid w:val="003116F8"/>
    <w:rsid w:val="003117D1"/>
    <w:rsid w:val="00311CC8"/>
    <w:rsid w:val="0031374B"/>
    <w:rsid w:val="00313C9E"/>
    <w:rsid w:val="00314400"/>
    <w:rsid w:val="0031446D"/>
    <w:rsid w:val="00314A5C"/>
    <w:rsid w:val="00314BD7"/>
    <w:rsid w:val="003161DA"/>
    <w:rsid w:val="003162E1"/>
    <w:rsid w:val="00317001"/>
    <w:rsid w:val="0031719F"/>
    <w:rsid w:val="00322533"/>
    <w:rsid w:val="00322BBF"/>
    <w:rsid w:val="00323EF9"/>
    <w:rsid w:val="003277AB"/>
    <w:rsid w:val="00327BB6"/>
    <w:rsid w:val="00327BEF"/>
    <w:rsid w:val="00330E39"/>
    <w:rsid w:val="00332657"/>
    <w:rsid w:val="003329E3"/>
    <w:rsid w:val="003334D6"/>
    <w:rsid w:val="00333546"/>
    <w:rsid w:val="00333E81"/>
    <w:rsid w:val="003341A7"/>
    <w:rsid w:val="00334DA2"/>
    <w:rsid w:val="00334EF6"/>
    <w:rsid w:val="003352DA"/>
    <w:rsid w:val="00336B80"/>
    <w:rsid w:val="00340F3F"/>
    <w:rsid w:val="003414A1"/>
    <w:rsid w:val="0034296F"/>
    <w:rsid w:val="00342C5F"/>
    <w:rsid w:val="00343DC7"/>
    <w:rsid w:val="00344385"/>
    <w:rsid w:val="003448F7"/>
    <w:rsid w:val="003457FE"/>
    <w:rsid w:val="003459D3"/>
    <w:rsid w:val="00345C4F"/>
    <w:rsid w:val="00345DF0"/>
    <w:rsid w:val="00347090"/>
    <w:rsid w:val="0034737D"/>
    <w:rsid w:val="003477D8"/>
    <w:rsid w:val="00347A96"/>
    <w:rsid w:val="00347B39"/>
    <w:rsid w:val="00350820"/>
    <w:rsid w:val="00351123"/>
    <w:rsid w:val="003525DC"/>
    <w:rsid w:val="00353DB5"/>
    <w:rsid w:val="00354899"/>
    <w:rsid w:val="00354D3F"/>
    <w:rsid w:val="0035546C"/>
    <w:rsid w:val="00355B04"/>
    <w:rsid w:val="003564D3"/>
    <w:rsid w:val="003568E6"/>
    <w:rsid w:val="00360567"/>
    <w:rsid w:val="00361186"/>
    <w:rsid w:val="00361963"/>
    <w:rsid w:val="00361ADC"/>
    <w:rsid w:val="00361E33"/>
    <w:rsid w:val="003624C5"/>
    <w:rsid w:val="00363BCD"/>
    <w:rsid w:val="00365D6A"/>
    <w:rsid w:val="00366931"/>
    <w:rsid w:val="00370E93"/>
    <w:rsid w:val="0037123A"/>
    <w:rsid w:val="00372A60"/>
    <w:rsid w:val="00373DA2"/>
    <w:rsid w:val="003743F9"/>
    <w:rsid w:val="00375AB7"/>
    <w:rsid w:val="00376BF4"/>
    <w:rsid w:val="00377B44"/>
    <w:rsid w:val="00377BCC"/>
    <w:rsid w:val="00381109"/>
    <w:rsid w:val="003815B5"/>
    <w:rsid w:val="00381ADE"/>
    <w:rsid w:val="00382414"/>
    <w:rsid w:val="0038304C"/>
    <w:rsid w:val="00383065"/>
    <w:rsid w:val="00383597"/>
    <w:rsid w:val="00384735"/>
    <w:rsid w:val="00385155"/>
    <w:rsid w:val="00386EB9"/>
    <w:rsid w:val="003870E9"/>
    <w:rsid w:val="00387C7D"/>
    <w:rsid w:val="00390BF0"/>
    <w:rsid w:val="0039192E"/>
    <w:rsid w:val="00391B4F"/>
    <w:rsid w:val="00391E27"/>
    <w:rsid w:val="00391E78"/>
    <w:rsid w:val="00392B65"/>
    <w:rsid w:val="00392FCE"/>
    <w:rsid w:val="00393594"/>
    <w:rsid w:val="00393F5F"/>
    <w:rsid w:val="003943A9"/>
    <w:rsid w:val="00394B12"/>
    <w:rsid w:val="00394B21"/>
    <w:rsid w:val="00394E2D"/>
    <w:rsid w:val="00397E13"/>
    <w:rsid w:val="003A056B"/>
    <w:rsid w:val="003A15B1"/>
    <w:rsid w:val="003A1675"/>
    <w:rsid w:val="003A1CF6"/>
    <w:rsid w:val="003A26CA"/>
    <w:rsid w:val="003A2822"/>
    <w:rsid w:val="003A2B6D"/>
    <w:rsid w:val="003A307B"/>
    <w:rsid w:val="003A4596"/>
    <w:rsid w:val="003A4AF6"/>
    <w:rsid w:val="003A5169"/>
    <w:rsid w:val="003A5470"/>
    <w:rsid w:val="003A5F2F"/>
    <w:rsid w:val="003A7E55"/>
    <w:rsid w:val="003B02DB"/>
    <w:rsid w:val="003B0912"/>
    <w:rsid w:val="003B0BA1"/>
    <w:rsid w:val="003B1424"/>
    <w:rsid w:val="003B2280"/>
    <w:rsid w:val="003B3115"/>
    <w:rsid w:val="003B3365"/>
    <w:rsid w:val="003B34A7"/>
    <w:rsid w:val="003B5186"/>
    <w:rsid w:val="003B571B"/>
    <w:rsid w:val="003B605D"/>
    <w:rsid w:val="003B71C8"/>
    <w:rsid w:val="003B7236"/>
    <w:rsid w:val="003B7536"/>
    <w:rsid w:val="003B7D5D"/>
    <w:rsid w:val="003C0057"/>
    <w:rsid w:val="003C23B1"/>
    <w:rsid w:val="003C2E69"/>
    <w:rsid w:val="003C374B"/>
    <w:rsid w:val="003C441A"/>
    <w:rsid w:val="003C541A"/>
    <w:rsid w:val="003C62B1"/>
    <w:rsid w:val="003C6914"/>
    <w:rsid w:val="003D0652"/>
    <w:rsid w:val="003D1DF7"/>
    <w:rsid w:val="003D25EC"/>
    <w:rsid w:val="003D2EAD"/>
    <w:rsid w:val="003D36E7"/>
    <w:rsid w:val="003D41A9"/>
    <w:rsid w:val="003D49D6"/>
    <w:rsid w:val="003D5265"/>
    <w:rsid w:val="003D57E2"/>
    <w:rsid w:val="003D65E4"/>
    <w:rsid w:val="003D7B23"/>
    <w:rsid w:val="003E0081"/>
    <w:rsid w:val="003E0684"/>
    <w:rsid w:val="003E0CF6"/>
    <w:rsid w:val="003E2EEF"/>
    <w:rsid w:val="003E3A7B"/>
    <w:rsid w:val="003E3C5F"/>
    <w:rsid w:val="003E3FC2"/>
    <w:rsid w:val="003E4106"/>
    <w:rsid w:val="003E5753"/>
    <w:rsid w:val="003E579E"/>
    <w:rsid w:val="003E5B9B"/>
    <w:rsid w:val="003E7CC3"/>
    <w:rsid w:val="003F14B6"/>
    <w:rsid w:val="003F14F5"/>
    <w:rsid w:val="003F189B"/>
    <w:rsid w:val="003F18CE"/>
    <w:rsid w:val="003F25A6"/>
    <w:rsid w:val="003F5AC8"/>
    <w:rsid w:val="003F62E0"/>
    <w:rsid w:val="003F70C2"/>
    <w:rsid w:val="003F7588"/>
    <w:rsid w:val="003F7CFC"/>
    <w:rsid w:val="0040095C"/>
    <w:rsid w:val="0040135C"/>
    <w:rsid w:val="00401F46"/>
    <w:rsid w:val="00403445"/>
    <w:rsid w:val="00403668"/>
    <w:rsid w:val="00405112"/>
    <w:rsid w:val="00405536"/>
    <w:rsid w:val="00405C35"/>
    <w:rsid w:val="00406C60"/>
    <w:rsid w:val="004078A1"/>
    <w:rsid w:val="00407E71"/>
    <w:rsid w:val="00410257"/>
    <w:rsid w:val="00410312"/>
    <w:rsid w:val="004112B8"/>
    <w:rsid w:val="004115B1"/>
    <w:rsid w:val="00411BE0"/>
    <w:rsid w:val="00412C10"/>
    <w:rsid w:val="00412EC4"/>
    <w:rsid w:val="00412EE0"/>
    <w:rsid w:val="00412FB8"/>
    <w:rsid w:val="004146F3"/>
    <w:rsid w:val="004154C2"/>
    <w:rsid w:val="004161C1"/>
    <w:rsid w:val="00416DC8"/>
    <w:rsid w:val="0041701B"/>
    <w:rsid w:val="00420226"/>
    <w:rsid w:val="00420A8D"/>
    <w:rsid w:val="004212E7"/>
    <w:rsid w:val="0042157F"/>
    <w:rsid w:val="00421978"/>
    <w:rsid w:val="00421ECE"/>
    <w:rsid w:val="00421F4D"/>
    <w:rsid w:val="00422374"/>
    <w:rsid w:val="00423918"/>
    <w:rsid w:val="004240DF"/>
    <w:rsid w:val="00424802"/>
    <w:rsid w:val="00424B7A"/>
    <w:rsid w:val="004261D4"/>
    <w:rsid w:val="00426469"/>
    <w:rsid w:val="00427510"/>
    <w:rsid w:val="00427911"/>
    <w:rsid w:val="00427ACF"/>
    <w:rsid w:val="0043053E"/>
    <w:rsid w:val="00432A35"/>
    <w:rsid w:val="00432B48"/>
    <w:rsid w:val="00433B5A"/>
    <w:rsid w:val="0043429B"/>
    <w:rsid w:val="00434685"/>
    <w:rsid w:val="00434A57"/>
    <w:rsid w:val="00435352"/>
    <w:rsid w:val="00436462"/>
    <w:rsid w:val="0044114F"/>
    <w:rsid w:val="00441284"/>
    <w:rsid w:val="0044140E"/>
    <w:rsid w:val="00441BA5"/>
    <w:rsid w:val="00442435"/>
    <w:rsid w:val="004430B6"/>
    <w:rsid w:val="00443796"/>
    <w:rsid w:val="00444413"/>
    <w:rsid w:val="004455A5"/>
    <w:rsid w:val="004473B5"/>
    <w:rsid w:val="004478ED"/>
    <w:rsid w:val="0044790C"/>
    <w:rsid w:val="0045014D"/>
    <w:rsid w:val="00450430"/>
    <w:rsid w:val="004512A6"/>
    <w:rsid w:val="00451B3C"/>
    <w:rsid w:val="00452860"/>
    <w:rsid w:val="00453B43"/>
    <w:rsid w:val="00454738"/>
    <w:rsid w:val="00454790"/>
    <w:rsid w:val="00454B02"/>
    <w:rsid w:val="00456304"/>
    <w:rsid w:val="00456A50"/>
    <w:rsid w:val="004601C4"/>
    <w:rsid w:val="0046044C"/>
    <w:rsid w:val="00461A39"/>
    <w:rsid w:val="0046281E"/>
    <w:rsid w:val="0046295F"/>
    <w:rsid w:val="00462A13"/>
    <w:rsid w:val="00462B53"/>
    <w:rsid w:val="00463958"/>
    <w:rsid w:val="00463F60"/>
    <w:rsid w:val="00463F77"/>
    <w:rsid w:val="0046436D"/>
    <w:rsid w:val="00464454"/>
    <w:rsid w:val="00464FBE"/>
    <w:rsid w:val="00465D89"/>
    <w:rsid w:val="0046608B"/>
    <w:rsid w:val="004663DF"/>
    <w:rsid w:val="00466450"/>
    <w:rsid w:val="00470580"/>
    <w:rsid w:val="00470DF0"/>
    <w:rsid w:val="00470EE6"/>
    <w:rsid w:val="00471DEE"/>
    <w:rsid w:val="004722AE"/>
    <w:rsid w:val="00472613"/>
    <w:rsid w:val="004729AB"/>
    <w:rsid w:val="00473160"/>
    <w:rsid w:val="004732CF"/>
    <w:rsid w:val="004741E8"/>
    <w:rsid w:val="004742E9"/>
    <w:rsid w:val="00474945"/>
    <w:rsid w:val="00474B48"/>
    <w:rsid w:val="004751A6"/>
    <w:rsid w:val="00475D6D"/>
    <w:rsid w:val="004819B4"/>
    <w:rsid w:val="00481E10"/>
    <w:rsid w:val="00481E41"/>
    <w:rsid w:val="00481F8A"/>
    <w:rsid w:val="00482EBB"/>
    <w:rsid w:val="0048333A"/>
    <w:rsid w:val="0048371F"/>
    <w:rsid w:val="004860ED"/>
    <w:rsid w:val="0048664A"/>
    <w:rsid w:val="00486F2A"/>
    <w:rsid w:val="00487110"/>
    <w:rsid w:val="004879A0"/>
    <w:rsid w:val="00487A98"/>
    <w:rsid w:val="00490F50"/>
    <w:rsid w:val="004918E0"/>
    <w:rsid w:val="00492046"/>
    <w:rsid w:val="00492D94"/>
    <w:rsid w:val="00493EE3"/>
    <w:rsid w:val="00494452"/>
    <w:rsid w:val="00495008"/>
    <w:rsid w:val="004961F2"/>
    <w:rsid w:val="004974AA"/>
    <w:rsid w:val="004A0C60"/>
    <w:rsid w:val="004A0F5B"/>
    <w:rsid w:val="004A15B8"/>
    <w:rsid w:val="004A1DD4"/>
    <w:rsid w:val="004A215E"/>
    <w:rsid w:val="004A2DCA"/>
    <w:rsid w:val="004A2FF3"/>
    <w:rsid w:val="004A38D0"/>
    <w:rsid w:val="004A77B2"/>
    <w:rsid w:val="004A7942"/>
    <w:rsid w:val="004B184B"/>
    <w:rsid w:val="004B1FF6"/>
    <w:rsid w:val="004B32B5"/>
    <w:rsid w:val="004B36CF"/>
    <w:rsid w:val="004B584E"/>
    <w:rsid w:val="004B6222"/>
    <w:rsid w:val="004B6AF5"/>
    <w:rsid w:val="004B6F48"/>
    <w:rsid w:val="004B79B1"/>
    <w:rsid w:val="004B7DFE"/>
    <w:rsid w:val="004C0B75"/>
    <w:rsid w:val="004C0C4F"/>
    <w:rsid w:val="004C26F3"/>
    <w:rsid w:val="004C2DE5"/>
    <w:rsid w:val="004C2F62"/>
    <w:rsid w:val="004C2FCF"/>
    <w:rsid w:val="004C3087"/>
    <w:rsid w:val="004C3166"/>
    <w:rsid w:val="004C3234"/>
    <w:rsid w:val="004C37CF"/>
    <w:rsid w:val="004C457F"/>
    <w:rsid w:val="004C458C"/>
    <w:rsid w:val="004C482B"/>
    <w:rsid w:val="004C554F"/>
    <w:rsid w:val="004C6C2A"/>
    <w:rsid w:val="004C7352"/>
    <w:rsid w:val="004C7441"/>
    <w:rsid w:val="004C757B"/>
    <w:rsid w:val="004C7BEA"/>
    <w:rsid w:val="004C7E53"/>
    <w:rsid w:val="004D09F0"/>
    <w:rsid w:val="004D13B4"/>
    <w:rsid w:val="004D1D5E"/>
    <w:rsid w:val="004D1DD1"/>
    <w:rsid w:val="004D21F0"/>
    <w:rsid w:val="004D2853"/>
    <w:rsid w:val="004D286D"/>
    <w:rsid w:val="004D3052"/>
    <w:rsid w:val="004D348B"/>
    <w:rsid w:val="004D3DD1"/>
    <w:rsid w:val="004D3FD1"/>
    <w:rsid w:val="004D4179"/>
    <w:rsid w:val="004D4A82"/>
    <w:rsid w:val="004D5D27"/>
    <w:rsid w:val="004D6441"/>
    <w:rsid w:val="004D6603"/>
    <w:rsid w:val="004D7030"/>
    <w:rsid w:val="004D7905"/>
    <w:rsid w:val="004E048F"/>
    <w:rsid w:val="004E0C37"/>
    <w:rsid w:val="004E0D19"/>
    <w:rsid w:val="004E190A"/>
    <w:rsid w:val="004E1A81"/>
    <w:rsid w:val="004E1C0C"/>
    <w:rsid w:val="004E2556"/>
    <w:rsid w:val="004E2A13"/>
    <w:rsid w:val="004E3EA7"/>
    <w:rsid w:val="004E5904"/>
    <w:rsid w:val="004E5C68"/>
    <w:rsid w:val="004E5FC3"/>
    <w:rsid w:val="004E6867"/>
    <w:rsid w:val="004E7111"/>
    <w:rsid w:val="004E7B58"/>
    <w:rsid w:val="004F01D7"/>
    <w:rsid w:val="004F17E3"/>
    <w:rsid w:val="004F1DFD"/>
    <w:rsid w:val="004F228E"/>
    <w:rsid w:val="004F26DB"/>
    <w:rsid w:val="004F2A00"/>
    <w:rsid w:val="004F2B97"/>
    <w:rsid w:val="004F52FC"/>
    <w:rsid w:val="004F6006"/>
    <w:rsid w:val="004F60D7"/>
    <w:rsid w:val="004F61C5"/>
    <w:rsid w:val="004F72B4"/>
    <w:rsid w:val="00500DC4"/>
    <w:rsid w:val="00501EC5"/>
    <w:rsid w:val="00502400"/>
    <w:rsid w:val="00504897"/>
    <w:rsid w:val="005060A4"/>
    <w:rsid w:val="00506CA8"/>
    <w:rsid w:val="00507FF5"/>
    <w:rsid w:val="00510239"/>
    <w:rsid w:val="0051169E"/>
    <w:rsid w:val="0051247D"/>
    <w:rsid w:val="0051262F"/>
    <w:rsid w:val="00512644"/>
    <w:rsid w:val="005136D6"/>
    <w:rsid w:val="00513962"/>
    <w:rsid w:val="005139F7"/>
    <w:rsid w:val="00513AF0"/>
    <w:rsid w:val="005143A1"/>
    <w:rsid w:val="005145B5"/>
    <w:rsid w:val="0051547B"/>
    <w:rsid w:val="005155AE"/>
    <w:rsid w:val="0051620A"/>
    <w:rsid w:val="00516501"/>
    <w:rsid w:val="0051688B"/>
    <w:rsid w:val="00517099"/>
    <w:rsid w:val="00517304"/>
    <w:rsid w:val="005173DB"/>
    <w:rsid w:val="00520F9E"/>
    <w:rsid w:val="00522F1C"/>
    <w:rsid w:val="005237C7"/>
    <w:rsid w:val="00523C0A"/>
    <w:rsid w:val="005253F4"/>
    <w:rsid w:val="0052701B"/>
    <w:rsid w:val="00527BAC"/>
    <w:rsid w:val="005309BE"/>
    <w:rsid w:val="00530AB5"/>
    <w:rsid w:val="00531B2F"/>
    <w:rsid w:val="00531CFF"/>
    <w:rsid w:val="005348C4"/>
    <w:rsid w:val="00534C52"/>
    <w:rsid w:val="00534E90"/>
    <w:rsid w:val="00535F55"/>
    <w:rsid w:val="00537600"/>
    <w:rsid w:val="00537FB3"/>
    <w:rsid w:val="00537FC2"/>
    <w:rsid w:val="005401C2"/>
    <w:rsid w:val="0054023A"/>
    <w:rsid w:val="00541C1E"/>
    <w:rsid w:val="0054247B"/>
    <w:rsid w:val="005437C9"/>
    <w:rsid w:val="00543EDF"/>
    <w:rsid w:val="00546040"/>
    <w:rsid w:val="00546340"/>
    <w:rsid w:val="00547C20"/>
    <w:rsid w:val="00547E6F"/>
    <w:rsid w:val="0055054A"/>
    <w:rsid w:val="00550D96"/>
    <w:rsid w:val="00550DC3"/>
    <w:rsid w:val="00550E4B"/>
    <w:rsid w:val="005513E8"/>
    <w:rsid w:val="00551432"/>
    <w:rsid w:val="00552798"/>
    <w:rsid w:val="00552A06"/>
    <w:rsid w:val="00552B35"/>
    <w:rsid w:val="00553AC3"/>
    <w:rsid w:val="00553B87"/>
    <w:rsid w:val="00553FC9"/>
    <w:rsid w:val="0055416F"/>
    <w:rsid w:val="005545DB"/>
    <w:rsid w:val="00554FC4"/>
    <w:rsid w:val="00555109"/>
    <w:rsid w:val="0055791A"/>
    <w:rsid w:val="00557CEA"/>
    <w:rsid w:val="00560317"/>
    <w:rsid w:val="00560605"/>
    <w:rsid w:val="0056197A"/>
    <w:rsid w:val="00562A15"/>
    <w:rsid w:val="00562B91"/>
    <w:rsid w:val="00563473"/>
    <w:rsid w:val="00563913"/>
    <w:rsid w:val="00564C0C"/>
    <w:rsid w:val="00565682"/>
    <w:rsid w:val="00565B6A"/>
    <w:rsid w:val="00566319"/>
    <w:rsid w:val="00566979"/>
    <w:rsid w:val="005669F1"/>
    <w:rsid w:val="005671A6"/>
    <w:rsid w:val="00567460"/>
    <w:rsid w:val="00567573"/>
    <w:rsid w:val="00567CA6"/>
    <w:rsid w:val="00570B28"/>
    <w:rsid w:val="00570F11"/>
    <w:rsid w:val="00571B55"/>
    <w:rsid w:val="005745B4"/>
    <w:rsid w:val="00574696"/>
    <w:rsid w:val="00575979"/>
    <w:rsid w:val="00576571"/>
    <w:rsid w:val="005776C4"/>
    <w:rsid w:val="005811E2"/>
    <w:rsid w:val="00581274"/>
    <w:rsid w:val="00581B4A"/>
    <w:rsid w:val="0058225D"/>
    <w:rsid w:val="0058285B"/>
    <w:rsid w:val="00584097"/>
    <w:rsid w:val="005842AA"/>
    <w:rsid w:val="005842DF"/>
    <w:rsid w:val="00584DE6"/>
    <w:rsid w:val="00584E6B"/>
    <w:rsid w:val="00585DD4"/>
    <w:rsid w:val="0058630A"/>
    <w:rsid w:val="00586364"/>
    <w:rsid w:val="005866D0"/>
    <w:rsid w:val="00587162"/>
    <w:rsid w:val="005875CF"/>
    <w:rsid w:val="0059025E"/>
    <w:rsid w:val="00590357"/>
    <w:rsid w:val="005905CC"/>
    <w:rsid w:val="0059069C"/>
    <w:rsid w:val="00591B50"/>
    <w:rsid w:val="005926D6"/>
    <w:rsid w:val="00594391"/>
    <w:rsid w:val="005944B4"/>
    <w:rsid w:val="00594621"/>
    <w:rsid w:val="0059462F"/>
    <w:rsid w:val="0059470F"/>
    <w:rsid w:val="00594C42"/>
    <w:rsid w:val="00594D31"/>
    <w:rsid w:val="005950EC"/>
    <w:rsid w:val="00595497"/>
    <w:rsid w:val="00595700"/>
    <w:rsid w:val="00595B3C"/>
    <w:rsid w:val="00595B7E"/>
    <w:rsid w:val="00597310"/>
    <w:rsid w:val="00597D2A"/>
    <w:rsid w:val="005A0B2C"/>
    <w:rsid w:val="005A20E6"/>
    <w:rsid w:val="005A2A87"/>
    <w:rsid w:val="005A46C1"/>
    <w:rsid w:val="005A52B4"/>
    <w:rsid w:val="005A57BE"/>
    <w:rsid w:val="005A6151"/>
    <w:rsid w:val="005A6D04"/>
    <w:rsid w:val="005A6DDF"/>
    <w:rsid w:val="005A6E33"/>
    <w:rsid w:val="005A713F"/>
    <w:rsid w:val="005B0043"/>
    <w:rsid w:val="005B01B4"/>
    <w:rsid w:val="005B0D05"/>
    <w:rsid w:val="005B0FF4"/>
    <w:rsid w:val="005B12FC"/>
    <w:rsid w:val="005B1510"/>
    <w:rsid w:val="005B182C"/>
    <w:rsid w:val="005B29DD"/>
    <w:rsid w:val="005B29EA"/>
    <w:rsid w:val="005B2AEB"/>
    <w:rsid w:val="005B2E0E"/>
    <w:rsid w:val="005B348C"/>
    <w:rsid w:val="005B3C74"/>
    <w:rsid w:val="005B535A"/>
    <w:rsid w:val="005B5A2D"/>
    <w:rsid w:val="005B653F"/>
    <w:rsid w:val="005B75DE"/>
    <w:rsid w:val="005B79E8"/>
    <w:rsid w:val="005B7C1C"/>
    <w:rsid w:val="005B7FE7"/>
    <w:rsid w:val="005C133F"/>
    <w:rsid w:val="005C1855"/>
    <w:rsid w:val="005C1D80"/>
    <w:rsid w:val="005C2433"/>
    <w:rsid w:val="005C337D"/>
    <w:rsid w:val="005C5DE9"/>
    <w:rsid w:val="005C61F9"/>
    <w:rsid w:val="005D0333"/>
    <w:rsid w:val="005D043E"/>
    <w:rsid w:val="005D045C"/>
    <w:rsid w:val="005D0F6F"/>
    <w:rsid w:val="005D13B7"/>
    <w:rsid w:val="005D1CE8"/>
    <w:rsid w:val="005D2032"/>
    <w:rsid w:val="005D3526"/>
    <w:rsid w:val="005D428D"/>
    <w:rsid w:val="005D45E4"/>
    <w:rsid w:val="005D4828"/>
    <w:rsid w:val="005D4E85"/>
    <w:rsid w:val="005D58D0"/>
    <w:rsid w:val="005D5A00"/>
    <w:rsid w:val="005D5CE4"/>
    <w:rsid w:val="005D70F4"/>
    <w:rsid w:val="005D7C33"/>
    <w:rsid w:val="005E01ED"/>
    <w:rsid w:val="005E082F"/>
    <w:rsid w:val="005E0DEC"/>
    <w:rsid w:val="005E1D3A"/>
    <w:rsid w:val="005E263D"/>
    <w:rsid w:val="005E2EE7"/>
    <w:rsid w:val="005E3F5A"/>
    <w:rsid w:val="005E4405"/>
    <w:rsid w:val="005E6553"/>
    <w:rsid w:val="005E71AE"/>
    <w:rsid w:val="005E7FBD"/>
    <w:rsid w:val="005F088C"/>
    <w:rsid w:val="005F1949"/>
    <w:rsid w:val="005F1956"/>
    <w:rsid w:val="005F1ED9"/>
    <w:rsid w:val="005F245D"/>
    <w:rsid w:val="005F2D83"/>
    <w:rsid w:val="005F3259"/>
    <w:rsid w:val="005F3FF5"/>
    <w:rsid w:val="005F408E"/>
    <w:rsid w:val="005F4518"/>
    <w:rsid w:val="005F46B5"/>
    <w:rsid w:val="005F539B"/>
    <w:rsid w:val="005F53B0"/>
    <w:rsid w:val="005F758D"/>
    <w:rsid w:val="005F786D"/>
    <w:rsid w:val="005F794D"/>
    <w:rsid w:val="006016C3"/>
    <w:rsid w:val="00601846"/>
    <w:rsid w:val="00601DA0"/>
    <w:rsid w:val="006021F4"/>
    <w:rsid w:val="00602AD2"/>
    <w:rsid w:val="00602E12"/>
    <w:rsid w:val="0060379C"/>
    <w:rsid w:val="00603AA4"/>
    <w:rsid w:val="00603B76"/>
    <w:rsid w:val="00603BD0"/>
    <w:rsid w:val="006047DE"/>
    <w:rsid w:val="0060485B"/>
    <w:rsid w:val="00604993"/>
    <w:rsid w:val="006065D9"/>
    <w:rsid w:val="00606D8B"/>
    <w:rsid w:val="006070F9"/>
    <w:rsid w:val="00607A9A"/>
    <w:rsid w:val="0061056B"/>
    <w:rsid w:val="0061085A"/>
    <w:rsid w:val="006128CF"/>
    <w:rsid w:val="00612CFA"/>
    <w:rsid w:val="0061320D"/>
    <w:rsid w:val="00613B28"/>
    <w:rsid w:val="006151F2"/>
    <w:rsid w:val="0061528E"/>
    <w:rsid w:val="0061612B"/>
    <w:rsid w:val="0061663D"/>
    <w:rsid w:val="00616DC9"/>
    <w:rsid w:val="006204F4"/>
    <w:rsid w:val="006222EE"/>
    <w:rsid w:val="006239F5"/>
    <w:rsid w:val="00625176"/>
    <w:rsid w:val="00625761"/>
    <w:rsid w:val="00625B08"/>
    <w:rsid w:val="006260AF"/>
    <w:rsid w:val="00626471"/>
    <w:rsid w:val="00626C00"/>
    <w:rsid w:val="00627D57"/>
    <w:rsid w:val="006304FD"/>
    <w:rsid w:val="006310F4"/>
    <w:rsid w:val="00631623"/>
    <w:rsid w:val="0063162F"/>
    <w:rsid w:val="00632773"/>
    <w:rsid w:val="00632A25"/>
    <w:rsid w:val="006336E5"/>
    <w:rsid w:val="00633F19"/>
    <w:rsid w:val="006350CB"/>
    <w:rsid w:val="006356E1"/>
    <w:rsid w:val="00636BCB"/>
    <w:rsid w:val="00636E01"/>
    <w:rsid w:val="00637089"/>
    <w:rsid w:val="00637243"/>
    <w:rsid w:val="00640450"/>
    <w:rsid w:val="00640781"/>
    <w:rsid w:val="00640C01"/>
    <w:rsid w:val="0064176E"/>
    <w:rsid w:val="00641E4B"/>
    <w:rsid w:val="0064260D"/>
    <w:rsid w:val="00642BEA"/>
    <w:rsid w:val="0064304B"/>
    <w:rsid w:val="00644173"/>
    <w:rsid w:val="00644DF0"/>
    <w:rsid w:val="006457DD"/>
    <w:rsid w:val="0064596E"/>
    <w:rsid w:val="00645EE0"/>
    <w:rsid w:val="0064603B"/>
    <w:rsid w:val="00646105"/>
    <w:rsid w:val="00646969"/>
    <w:rsid w:val="0065064E"/>
    <w:rsid w:val="00650B1E"/>
    <w:rsid w:val="006535C6"/>
    <w:rsid w:val="00655E70"/>
    <w:rsid w:val="006564C3"/>
    <w:rsid w:val="00656624"/>
    <w:rsid w:val="00656F16"/>
    <w:rsid w:val="0065720A"/>
    <w:rsid w:val="00657674"/>
    <w:rsid w:val="00657D51"/>
    <w:rsid w:val="00657F5A"/>
    <w:rsid w:val="00660034"/>
    <w:rsid w:val="006603A6"/>
    <w:rsid w:val="00660BD2"/>
    <w:rsid w:val="006615BA"/>
    <w:rsid w:val="006617DE"/>
    <w:rsid w:val="0066251C"/>
    <w:rsid w:val="0066256D"/>
    <w:rsid w:val="00662747"/>
    <w:rsid w:val="00662F6A"/>
    <w:rsid w:val="006630A4"/>
    <w:rsid w:val="00663981"/>
    <w:rsid w:val="00664AE8"/>
    <w:rsid w:val="00664DED"/>
    <w:rsid w:val="00665331"/>
    <w:rsid w:val="006654C5"/>
    <w:rsid w:val="006656F5"/>
    <w:rsid w:val="00666AB6"/>
    <w:rsid w:val="0066715D"/>
    <w:rsid w:val="006676F4"/>
    <w:rsid w:val="006676F7"/>
    <w:rsid w:val="006678A8"/>
    <w:rsid w:val="006700F7"/>
    <w:rsid w:val="006702A3"/>
    <w:rsid w:val="00670321"/>
    <w:rsid w:val="00671F5E"/>
    <w:rsid w:val="00672D09"/>
    <w:rsid w:val="0067328D"/>
    <w:rsid w:val="00673510"/>
    <w:rsid w:val="006743BB"/>
    <w:rsid w:val="006766C4"/>
    <w:rsid w:val="0067713F"/>
    <w:rsid w:val="006777E4"/>
    <w:rsid w:val="00677B9C"/>
    <w:rsid w:val="0068097E"/>
    <w:rsid w:val="006816F6"/>
    <w:rsid w:val="00681BC9"/>
    <w:rsid w:val="00681D00"/>
    <w:rsid w:val="00684205"/>
    <w:rsid w:val="00685439"/>
    <w:rsid w:val="00685753"/>
    <w:rsid w:val="0068708B"/>
    <w:rsid w:val="006871A6"/>
    <w:rsid w:val="006877D8"/>
    <w:rsid w:val="00690327"/>
    <w:rsid w:val="0069083A"/>
    <w:rsid w:val="00690C19"/>
    <w:rsid w:val="0069138F"/>
    <w:rsid w:val="00692DB6"/>
    <w:rsid w:val="00692F12"/>
    <w:rsid w:val="00693926"/>
    <w:rsid w:val="00693D46"/>
    <w:rsid w:val="00694DD2"/>
    <w:rsid w:val="00694F1C"/>
    <w:rsid w:val="006951BD"/>
    <w:rsid w:val="006951D6"/>
    <w:rsid w:val="00695461"/>
    <w:rsid w:val="006958CF"/>
    <w:rsid w:val="0069661E"/>
    <w:rsid w:val="00696A9A"/>
    <w:rsid w:val="006A16A1"/>
    <w:rsid w:val="006A1805"/>
    <w:rsid w:val="006A1B29"/>
    <w:rsid w:val="006A2547"/>
    <w:rsid w:val="006A288A"/>
    <w:rsid w:val="006A2C41"/>
    <w:rsid w:val="006A6464"/>
    <w:rsid w:val="006A68F1"/>
    <w:rsid w:val="006A7372"/>
    <w:rsid w:val="006A7409"/>
    <w:rsid w:val="006B053A"/>
    <w:rsid w:val="006B0C37"/>
    <w:rsid w:val="006B1A25"/>
    <w:rsid w:val="006B25AC"/>
    <w:rsid w:val="006B2FAD"/>
    <w:rsid w:val="006B5194"/>
    <w:rsid w:val="006B62C8"/>
    <w:rsid w:val="006C14A7"/>
    <w:rsid w:val="006C1525"/>
    <w:rsid w:val="006C2080"/>
    <w:rsid w:val="006C210C"/>
    <w:rsid w:val="006C35B2"/>
    <w:rsid w:val="006C4DBC"/>
    <w:rsid w:val="006C4E20"/>
    <w:rsid w:val="006C53F0"/>
    <w:rsid w:val="006C5D68"/>
    <w:rsid w:val="006C75D8"/>
    <w:rsid w:val="006D0E7A"/>
    <w:rsid w:val="006D10BB"/>
    <w:rsid w:val="006D18E3"/>
    <w:rsid w:val="006D1C55"/>
    <w:rsid w:val="006D32F5"/>
    <w:rsid w:val="006D3408"/>
    <w:rsid w:val="006D37F1"/>
    <w:rsid w:val="006D4B1D"/>
    <w:rsid w:val="006D53A3"/>
    <w:rsid w:val="006D60FC"/>
    <w:rsid w:val="006D768C"/>
    <w:rsid w:val="006E0345"/>
    <w:rsid w:val="006E076B"/>
    <w:rsid w:val="006E1380"/>
    <w:rsid w:val="006E1814"/>
    <w:rsid w:val="006E2899"/>
    <w:rsid w:val="006E31E9"/>
    <w:rsid w:val="006E3A19"/>
    <w:rsid w:val="006E4B2E"/>
    <w:rsid w:val="006E60CB"/>
    <w:rsid w:val="006E7CA6"/>
    <w:rsid w:val="006F021C"/>
    <w:rsid w:val="006F049C"/>
    <w:rsid w:val="006F183B"/>
    <w:rsid w:val="006F1FC9"/>
    <w:rsid w:val="006F4154"/>
    <w:rsid w:val="006F462A"/>
    <w:rsid w:val="006F4DCC"/>
    <w:rsid w:val="006F582F"/>
    <w:rsid w:val="006F5E0D"/>
    <w:rsid w:val="006F6403"/>
    <w:rsid w:val="006F7D8B"/>
    <w:rsid w:val="006F7FCE"/>
    <w:rsid w:val="007002EB"/>
    <w:rsid w:val="00700BA1"/>
    <w:rsid w:val="00701396"/>
    <w:rsid w:val="00701967"/>
    <w:rsid w:val="0070202A"/>
    <w:rsid w:val="00702984"/>
    <w:rsid w:val="00703307"/>
    <w:rsid w:val="007034B7"/>
    <w:rsid w:val="00703784"/>
    <w:rsid w:val="0070389A"/>
    <w:rsid w:val="007039A0"/>
    <w:rsid w:val="00703B65"/>
    <w:rsid w:val="00703EDD"/>
    <w:rsid w:val="007047F9"/>
    <w:rsid w:val="007052A9"/>
    <w:rsid w:val="007054DE"/>
    <w:rsid w:val="007055CE"/>
    <w:rsid w:val="00706845"/>
    <w:rsid w:val="0070772C"/>
    <w:rsid w:val="007108E4"/>
    <w:rsid w:val="00712786"/>
    <w:rsid w:val="007154F9"/>
    <w:rsid w:val="00716A35"/>
    <w:rsid w:val="00717465"/>
    <w:rsid w:val="00717567"/>
    <w:rsid w:val="00717C70"/>
    <w:rsid w:val="0072162C"/>
    <w:rsid w:val="007220CE"/>
    <w:rsid w:val="007230F3"/>
    <w:rsid w:val="0072560C"/>
    <w:rsid w:val="00725F11"/>
    <w:rsid w:val="00727434"/>
    <w:rsid w:val="00727503"/>
    <w:rsid w:val="00730B77"/>
    <w:rsid w:val="007316DD"/>
    <w:rsid w:val="007321E1"/>
    <w:rsid w:val="00733691"/>
    <w:rsid w:val="0073427B"/>
    <w:rsid w:val="00734BFF"/>
    <w:rsid w:val="00734E07"/>
    <w:rsid w:val="0073548D"/>
    <w:rsid w:val="00736BCC"/>
    <w:rsid w:val="00736FC7"/>
    <w:rsid w:val="00737B0C"/>
    <w:rsid w:val="00737B8F"/>
    <w:rsid w:val="00737F71"/>
    <w:rsid w:val="007404CA"/>
    <w:rsid w:val="00740C51"/>
    <w:rsid w:val="0074169E"/>
    <w:rsid w:val="0074193E"/>
    <w:rsid w:val="00742B9D"/>
    <w:rsid w:val="00742EB3"/>
    <w:rsid w:val="00743BEC"/>
    <w:rsid w:val="00743DAF"/>
    <w:rsid w:val="00743E16"/>
    <w:rsid w:val="00744214"/>
    <w:rsid w:val="00746992"/>
    <w:rsid w:val="007473AC"/>
    <w:rsid w:val="0074785B"/>
    <w:rsid w:val="00750473"/>
    <w:rsid w:val="00750A3A"/>
    <w:rsid w:val="00750DAF"/>
    <w:rsid w:val="007510BC"/>
    <w:rsid w:val="007510C4"/>
    <w:rsid w:val="007510E8"/>
    <w:rsid w:val="0075124C"/>
    <w:rsid w:val="007536FA"/>
    <w:rsid w:val="00753E6C"/>
    <w:rsid w:val="00754506"/>
    <w:rsid w:val="0075674A"/>
    <w:rsid w:val="00757AEE"/>
    <w:rsid w:val="00757D59"/>
    <w:rsid w:val="00761488"/>
    <w:rsid w:val="0076170A"/>
    <w:rsid w:val="00761AE4"/>
    <w:rsid w:val="00761AF9"/>
    <w:rsid w:val="007626CF"/>
    <w:rsid w:val="00763D8C"/>
    <w:rsid w:val="00764198"/>
    <w:rsid w:val="00764595"/>
    <w:rsid w:val="0076564D"/>
    <w:rsid w:val="0076636D"/>
    <w:rsid w:val="007663C6"/>
    <w:rsid w:val="007668C5"/>
    <w:rsid w:val="00767177"/>
    <w:rsid w:val="0076790C"/>
    <w:rsid w:val="00767BFA"/>
    <w:rsid w:val="00770B69"/>
    <w:rsid w:val="00770E45"/>
    <w:rsid w:val="0077100B"/>
    <w:rsid w:val="00771EB8"/>
    <w:rsid w:val="007729FE"/>
    <w:rsid w:val="00772E4D"/>
    <w:rsid w:val="00772F04"/>
    <w:rsid w:val="007734E0"/>
    <w:rsid w:val="00773EAA"/>
    <w:rsid w:val="007742F0"/>
    <w:rsid w:val="00774DBD"/>
    <w:rsid w:val="00775454"/>
    <w:rsid w:val="00775DBE"/>
    <w:rsid w:val="00776C85"/>
    <w:rsid w:val="00777A96"/>
    <w:rsid w:val="00777C6C"/>
    <w:rsid w:val="00777CAB"/>
    <w:rsid w:val="00777E88"/>
    <w:rsid w:val="007813CB"/>
    <w:rsid w:val="00781E28"/>
    <w:rsid w:val="00782615"/>
    <w:rsid w:val="00782CF3"/>
    <w:rsid w:val="00782EBD"/>
    <w:rsid w:val="007835DE"/>
    <w:rsid w:val="00784880"/>
    <w:rsid w:val="00784C2E"/>
    <w:rsid w:val="007851ED"/>
    <w:rsid w:val="00785F34"/>
    <w:rsid w:val="007872D1"/>
    <w:rsid w:val="0079021B"/>
    <w:rsid w:val="00790F4F"/>
    <w:rsid w:val="00791018"/>
    <w:rsid w:val="00792A92"/>
    <w:rsid w:val="00792E21"/>
    <w:rsid w:val="007948FD"/>
    <w:rsid w:val="00794F82"/>
    <w:rsid w:val="00795052"/>
    <w:rsid w:val="00797D1A"/>
    <w:rsid w:val="007A06D3"/>
    <w:rsid w:val="007A0B0B"/>
    <w:rsid w:val="007A142A"/>
    <w:rsid w:val="007A14F0"/>
    <w:rsid w:val="007A159F"/>
    <w:rsid w:val="007A1F1B"/>
    <w:rsid w:val="007A2E49"/>
    <w:rsid w:val="007A45F4"/>
    <w:rsid w:val="007A4940"/>
    <w:rsid w:val="007A4D39"/>
    <w:rsid w:val="007A528C"/>
    <w:rsid w:val="007A539A"/>
    <w:rsid w:val="007A54CE"/>
    <w:rsid w:val="007A5EC3"/>
    <w:rsid w:val="007A6684"/>
    <w:rsid w:val="007A70FE"/>
    <w:rsid w:val="007B0542"/>
    <w:rsid w:val="007B2050"/>
    <w:rsid w:val="007B5C4C"/>
    <w:rsid w:val="007B7695"/>
    <w:rsid w:val="007B7957"/>
    <w:rsid w:val="007C0F9F"/>
    <w:rsid w:val="007C1161"/>
    <w:rsid w:val="007C1378"/>
    <w:rsid w:val="007C14DE"/>
    <w:rsid w:val="007C4AD7"/>
    <w:rsid w:val="007C5351"/>
    <w:rsid w:val="007C5AA8"/>
    <w:rsid w:val="007C678E"/>
    <w:rsid w:val="007C6B29"/>
    <w:rsid w:val="007C6BC4"/>
    <w:rsid w:val="007C6D55"/>
    <w:rsid w:val="007C7014"/>
    <w:rsid w:val="007D0F5E"/>
    <w:rsid w:val="007D1246"/>
    <w:rsid w:val="007D23D9"/>
    <w:rsid w:val="007D291A"/>
    <w:rsid w:val="007D584D"/>
    <w:rsid w:val="007D5F6A"/>
    <w:rsid w:val="007D7253"/>
    <w:rsid w:val="007D7A9B"/>
    <w:rsid w:val="007E1387"/>
    <w:rsid w:val="007E1DF0"/>
    <w:rsid w:val="007E1F2B"/>
    <w:rsid w:val="007E1FCA"/>
    <w:rsid w:val="007E3DA3"/>
    <w:rsid w:val="007E4202"/>
    <w:rsid w:val="007E5AA0"/>
    <w:rsid w:val="007E6139"/>
    <w:rsid w:val="007E626A"/>
    <w:rsid w:val="007E6B97"/>
    <w:rsid w:val="007E76F8"/>
    <w:rsid w:val="007E7CA0"/>
    <w:rsid w:val="007F0441"/>
    <w:rsid w:val="007F0788"/>
    <w:rsid w:val="007F30FF"/>
    <w:rsid w:val="007F31D1"/>
    <w:rsid w:val="007F3CF9"/>
    <w:rsid w:val="007F4A19"/>
    <w:rsid w:val="007F4AF6"/>
    <w:rsid w:val="007F4D73"/>
    <w:rsid w:val="007F6511"/>
    <w:rsid w:val="007F67D4"/>
    <w:rsid w:val="00800818"/>
    <w:rsid w:val="008009E2"/>
    <w:rsid w:val="0080188F"/>
    <w:rsid w:val="00802B65"/>
    <w:rsid w:val="008031E2"/>
    <w:rsid w:val="0080320B"/>
    <w:rsid w:val="00803FCB"/>
    <w:rsid w:val="008051FE"/>
    <w:rsid w:val="0080616F"/>
    <w:rsid w:val="0081193A"/>
    <w:rsid w:val="00811B6E"/>
    <w:rsid w:val="008120A0"/>
    <w:rsid w:val="008123C0"/>
    <w:rsid w:val="0081271A"/>
    <w:rsid w:val="0081286E"/>
    <w:rsid w:val="00812D51"/>
    <w:rsid w:val="00812FDA"/>
    <w:rsid w:val="00813338"/>
    <w:rsid w:val="00813D13"/>
    <w:rsid w:val="00813DAD"/>
    <w:rsid w:val="00814A09"/>
    <w:rsid w:val="00815020"/>
    <w:rsid w:val="00815450"/>
    <w:rsid w:val="008156FB"/>
    <w:rsid w:val="00815ABA"/>
    <w:rsid w:val="00815CB2"/>
    <w:rsid w:val="00815E79"/>
    <w:rsid w:val="008173C5"/>
    <w:rsid w:val="008206AB"/>
    <w:rsid w:val="008215BF"/>
    <w:rsid w:val="00821690"/>
    <w:rsid w:val="008220D1"/>
    <w:rsid w:val="008225CC"/>
    <w:rsid w:val="0082294E"/>
    <w:rsid w:val="00825A6A"/>
    <w:rsid w:val="00825B46"/>
    <w:rsid w:val="00826657"/>
    <w:rsid w:val="008267EB"/>
    <w:rsid w:val="008268F8"/>
    <w:rsid w:val="008273A9"/>
    <w:rsid w:val="00827408"/>
    <w:rsid w:val="00827936"/>
    <w:rsid w:val="008301BF"/>
    <w:rsid w:val="0083063E"/>
    <w:rsid w:val="00830B89"/>
    <w:rsid w:val="00832C26"/>
    <w:rsid w:val="008333B1"/>
    <w:rsid w:val="008333FC"/>
    <w:rsid w:val="008348E8"/>
    <w:rsid w:val="00834C09"/>
    <w:rsid w:val="00834F5B"/>
    <w:rsid w:val="008355CD"/>
    <w:rsid w:val="00835852"/>
    <w:rsid w:val="00835BF9"/>
    <w:rsid w:val="0083606F"/>
    <w:rsid w:val="008360AB"/>
    <w:rsid w:val="00840940"/>
    <w:rsid w:val="00841082"/>
    <w:rsid w:val="00841C41"/>
    <w:rsid w:val="00842F9D"/>
    <w:rsid w:val="008438CF"/>
    <w:rsid w:val="00844615"/>
    <w:rsid w:val="008454B2"/>
    <w:rsid w:val="008455A6"/>
    <w:rsid w:val="00847883"/>
    <w:rsid w:val="008506AC"/>
    <w:rsid w:val="008509DB"/>
    <w:rsid w:val="00852652"/>
    <w:rsid w:val="008529C5"/>
    <w:rsid w:val="00852DBE"/>
    <w:rsid w:val="00853FE6"/>
    <w:rsid w:val="00854056"/>
    <w:rsid w:val="00854326"/>
    <w:rsid w:val="00854747"/>
    <w:rsid w:val="00854861"/>
    <w:rsid w:val="00855BC3"/>
    <w:rsid w:val="00856E4A"/>
    <w:rsid w:val="0085749A"/>
    <w:rsid w:val="00857FC3"/>
    <w:rsid w:val="00861086"/>
    <w:rsid w:val="008610AB"/>
    <w:rsid w:val="008610E3"/>
    <w:rsid w:val="00861134"/>
    <w:rsid w:val="00861408"/>
    <w:rsid w:val="008616D9"/>
    <w:rsid w:val="00861C6E"/>
    <w:rsid w:val="00862D4A"/>
    <w:rsid w:val="00864D5A"/>
    <w:rsid w:val="008653DE"/>
    <w:rsid w:val="00865503"/>
    <w:rsid w:val="0086631B"/>
    <w:rsid w:val="008664F8"/>
    <w:rsid w:val="0086672B"/>
    <w:rsid w:val="0086679B"/>
    <w:rsid w:val="00866AED"/>
    <w:rsid w:val="00867073"/>
    <w:rsid w:val="008678DF"/>
    <w:rsid w:val="00867A07"/>
    <w:rsid w:val="0087081C"/>
    <w:rsid w:val="0087106E"/>
    <w:rsid w:val="00871677"/>
    <w:rsid w:val="00871B12"/>
    <w:rsid w:val="00871F7A"/>
    <w:rsid w:val="00872126"/>
    <w:rsid w:val="00872721"/>
    <w:rsid w:val="008729D5"/>
    <w:rsid w:val="00872AF5"/>
    <w:rsid w:val="00872BA3"/>
    <w:rsid w:val="00874441"/>
    <w:rsid w:val="008752A8"/>
    <w:rsid w:val="00875D9D"/>
    <w:rsid w:val="00876153"/>
    <w:rsid w:val="00877EB9"/>
    <w:rsid w:val="0088048E"/>
    <w:rsid w:val="00880569"/>
    <w:rsid w:val="00880650"/>
    <w:rsid w:val="008814EE"/>
    <w:rsid w:val="0088250D"/>
    <w:rsid w:val="00882679"/>
    <w:rsid w:val="0088277A"/>
    <w:rsid w:val="00882F63"/>
    <w:rsid w:val="00883245"/>
    <w:rsid w:val="008834AE"/>
    <w:rsid w:val="00883F78"/>
    <w:rsid w:val="00884C6D"/>
    <w:rsid w:val="00885438"/>
    <w:rsid w:val="00885BB7"/>
    <w:rsid w:val="00885C74"/>
    <w:rsid w:val="00885EBC"/>
    <w:rsid w:val="0088696D"/>
    <w:rsid w:val="0088751B"/>
    <w:rsid w:val="00887C0A"/>
    <w:rsid w:val="00887DBD"/>
    <w:rsid w:val="00887FB8"/>
    <w:rsid w:val="0089027D"/>
    <w:rsid w:val="008904DF"/>
    <w:rsid w:val="008911B2"/>
    <w:rsid w:val="00891509"/>
    <w:rsid w:val="008918E1"/>
    <w:rsid w:val="00892869"/>
    <w:rsid w:val="00892A3A"/>
    <w:rsid w:val="00892D7A"/>
    <w:rsid w:val="0089361F"/>
    <w:rsid w:val="00893638"/>
    <w:rsid w:val="00893D94"/>
    <w:rsid w:val="0089402B"/>
    <w:rsid w:val="008951AF"/>
    <w:rsid w:val="00896498"/>
    <w:rsid w:val="00896C29"/>
    <w:rsid w:val="00897FBB"/>
    <w:rsid w:val="008A1941"/>
    <w:rsid w:val="008A1985"/>
    <w:rsid w:val="008A1C2B"/>
    <w:rsid w:val="008A1F2D"/>
    <w:rsid w:val="008A24D1"/>
    <w:rsid w:val="008A2895"/>
    <w:rsid w:val="008A2B1D"/>
    <w:rsid w:val="008A2E27"/>
    <w:rsid w:val="008A3540"/>
    <w:rsid w:val="008A545B"/>
    <w:rsid w:val="008A54BD"/>
    <w:rsid w:val="008A6E16"/>
    <w:rsid w:val="008B0518"/>
    <w:rsid w:val="008B0DC0"/>
    <w:rsid w:val="008B175C"/>
    <w:rsid w:val="008B1BAF"/>
    <w:rsid w:val="008B20CF"/>
    <w:rsid w:val="008B2112"/>
    <w:rsid w:val="008B3D50"/>
    <w:rsid w:val="008B44D7"/>
    <w:rsid w:val="008B51A5"/>
    <w:rsid w:val="008B5486"/>
    <w:rsid w:val="008B5644"/>
    <w:rsid w:val="008B5DFA"/>
    <w:rsid w:val="008B6222"/>
    <w:rsid w:val="008B6941"/>
    <w:rsid w:val="008B6F29"/>
    <w:rsid w:val="008B7959"/>
    <w:rsid w:val="008C0D41"/>
    <w:rsid w:val="008C16C0"/>
    <w:rsid w:val="008C25A6"/>
    <w:rsid w:val="008C305A"/>
    <w:rsid w:val="008C4591"/>
    <w:rsid w:val="008C4D27"/>
    <w:rsid w:val="008C4F10"/>
    <w:rsid w:val="008C540A"/>
    <w:rsid w:val="008C741F"/>
    <w:rsid w:val="008D030D"/>
    <w:rsid w:val="008D06B0"/>
    <w:rsid w:val="008D12AB"/>
    <w:rsid w:val="008D1CD0"/>
    <w:rsid w:val="008D2234"/>
    <w:rsid w:val="008D27A8"/>
    <w:rsid w:val="008D3AED"/>
    <w:rsid w:val="008D3E90"/>
    <w:rsid w:val="008D43A4"/>
    <w:rsid w:val="008D5224"/>
    <w:rsid w:val="008D5E8F"/>
    <w:rsid w:val="008D60D2"/>
    <w:rsid w:val="008D67F8"/>
    <w:rsid w:val="008D6C61"/>
    <w:rsid w:val="008D6E47"/>
    <w:rsid w:val="008D7444"/>
    <w:rsid w:val="008E0309"/>
    <w:rsid w:val="008E0608"/>
    <w:rsid w:val="008E07C7"/>
    <w:rsid w:val="008E12E0"/>
    <w:rsid w:val="008E1A88"/>
    <w:rsid w:val="008E1CF3"/>
    <w:rsid w:val="008E22D8"/>
    <w:rsid w:val="008E2C7B"/>
    <w:rsid w:val="008E2D14"/>
    <w:rsid w:val="008E312B"/>
    <w:rsid w:val="008E3BD9"/>
    <w:rsid w:val="008E3D39"/>
    <w:rsid w:val="008E4090"/>
    <w:rsid w:val="008E4A94"/>
    <w:rsid w:val="008E55C6"/>
    <w:rsid w:val="008E5FF8"/>
    <w:rsid w:val="008E6233"/>
    <w:rsid w:val="008E647E"/>
    <w:rsid w:val="008E7214"/>
    <w:rsid w:val="008E7288"/>
    <w:rsid w:val="008F0528"/>
    <w:rsid w:val="008F1CF3"/>
    <w:rsid w:val="008F1F97"/>
    <w:rsid w:val="008F2E8B"/>
    <w:rsid w:val="008F38DE"/>
    <w:rsid w:val="008F5A0A"/>
    <w:rsid w:val="008F5DAE"/>
    <w:rsid w:val="008F5EA1"/>
    <w:rsid w:val="008F5ED7"/>
    <w:rsid w:val="008F6560"/>
    <w:rsid w:val="008F6D2E"/>
    <w:rsid w:val="008F79A7"/>
    <w:rsid w:val="008F7B45"/>
    <w:rsid w:val="008F7DAD"/>
    <w:rsid w:val="008F7E68"/>
    <w:rsid w:val="008F7FEC"/>
    <w:rsid w:val="00900FE2"/>
    <w:rsid w:val="009011D4"/>
    <w:rsid w:val="0090169B"/>
    <w:rsid w:val="00901787"/>
    <w:rsid w:val="009018EE"/>
    <w:rsid w:val="00903E0F"/>
    <w:rsid w:val="00904AC7"/>
    <w:rsid w:val="009074F3"/>
    <w:rsid w:val="00910122"/>
    <w:rsid w:val="00910B74"/>
    <w:rsid w:val="00910BC6"/>
    <w:rsid w:val="00910EB2"/>
    <w:rsid w:val="00911C32"/>
    <w:rsid w:val="009126DE"/>
    <w:rsid w:val="009127A9"/>
    <w:rsid w:val="00912BEE"/>
    <w:rsid w:val="00912F22"/>
    <w:rsid w:val="0091335A"/>
    <w:rsid w:val="009144CC"/>
    <w:rsid w:val="00914CEC"/>
    <w:rsid w:val="009152B6"/>
    <w:rsid w:val="00915334"/>
    <w:rsid w:val="009153B8"/>
    <w:rsid w:val="009156EE"/>
    <w:rsid w:val="0091590B"/>
    <w:rsid w:val="009203E4"/>
    <w:rsid w:val="009205AA"/>
    <w:rsid w:val="00921151"/>
    <w:rsid w:val="009213E9"/>
    <w:rsid w:val="0092155A"/>
    <w:rsid w:val="0092211A"/>
    <w:rsid w:val="00922F82"/>
    <w:rsid w:val="00923BE1"/>
    <w:rsid w:val="00926C59"/>
    <w:rsid w:val="0092788B"/>
    <w:rsid w:val="00927AB0"/>
    <w:rsid w:val="00927C32"/>
    <w:rsid w:val="00930397"/>
    <w:rsid w:val="009310BD"/>
    <w:rsid w:val="0093444A"/>
    <w:rsid w:val="00934DDA"/>
    <w:rsid w:val="00934E10"/>
    <w:rsid w:val="0093558A"/>
    <w:rsid w:val="00935808"/>
    <w:rsid w:val="009358AB"/>
    <w:rsid w:val="00935FDB"/>
    <w:rsid w:val="009364E8"/>
    <w:rsid w:val="00936610"/>
    <w:rsid w:val="00936829"/>
    <w:rsid w:val="00936874"/>
    <w:rsid w:val="00937180"/>
    <w:rsid w:val="009374EE"/>
    <w:rsid w:val="00940226"/>
    <w:rsid w:val="00941872"/>
    <w:rsid w:val="00941B05"/>
    <w:rsid w:val="00941D4A"/>
    <w:rsid w:val="009426EF"/>
    <w:rsid w:val="00943CBE"/>
    <w:rsid w:val="009441D9"/>
    <w:rsid w:val="00945AAE"/>
    <w:rsid w:val="00945EB5"/>
    <w:rsid w:val="00950A92"/>
    <w:rsid w:val="00951358"/>
    <w:rsid w:val="00951389"/>
    <w:rsid w:val="009525CD"/>
    <w:rsid w:val="009528EE"/>
    <w:rsid w:val="00952DCE"/>
    <w:rsid w:val="00952E91"/>
    <w:rsid w:val="00953AAC"/>
    <w:rsid w:val="00953C6E"/>
    <w:rsid w:val="00954490"/>
    <w:rsid w:val="00955B27"/>
    <w:rsid w:val="009560B9"/>
    <w:rsid w:val="00956306"/>
    <w:rsid w:val="00960E87"/>
    <w:rsid w:val="0096109A"/>
    <w:rsid w:val="009610D1"/>
    <w:rsid w:val="00961173"/>
    <w:rsid w:val="00962EA0"/>
    <w:rsid w:val="0096366E"/>
    <w:rsid w:val="00963EC9"/>
    <w:rsid w:val="00964695"/>
    <w:rsid w:val="009647A7"/>
    <w:rsid w:val="00964ABF"/>
    <w:rsid w:val="00964E4B"/>
    <w:rsid w:val="00965655"/>
    <w:rsid w:val="009657D4"/>
    <w:rsid w:val="00965CA7"/>
    <w:rsid w:val="00965E2E"/>
    <w:rsid w:val="009678A9"/>
    <w:rsid w:val="00967A6A"/>
    <w:rsid w:val="00967C8A"/>
    <w:rsid w:val="00967D65"/>
    <w:rsid w:val="00970282"/>
    <w:rsid w:val="00972CFA"/>
    <w:rsid w:val="0097353F"/>
    <w:rsid w:val="00974883"/>
    <w:rsid w:val="009751E2"/>
    <w:rsid w:val="00975337"/>
    <w:rsid w:val="0097654C"/>
    <w:rsid w:val="00977159"/>
    <w:rsid w:val="00977FC9"/>
    <w:rsid w:val="00980574"/>
    <w:rsid w:val="00980655"/>
    <w:rsid w:val="00980FC7"/>
    <w:rsid w:val="00981CEE"/>
    <w:rsid w:val="00983457"/>
    <w:rsid w:val="00983471"/>
    <w:rsid w:val="00983783"/>
    <w:rsid w:val="009840BE"/>
    <w:rsid w:val="0098470F"/>
    <w:rsid w:val="00984EB2"/>
    <w:rsid w:val="00985642"/>
    <w:rsid w:val="00986210"/>
    <w:rsid w:val="00986B6D"/>
    <w:rsid w:val="00986BCD"/>
    <w:rsid w:val="00987362"/>
    <w:rsid w:val="009873A7"/>
    <w:rsid w:val="00987A10"/>
    <w:rsid w:val="009917AE"/>
    <w:rsid w:val="0099254D"/>
    <w:rsid w:val="00992D21"/>
    <w:rsid w:val="009937B0"/>
    <w:rsid w:val="00994CBF"/>
    <w:rsid w:val="00994EF6"/>
    <w:rsid w:val="00995FB7"/>
    <w:rsid w:val="00996FC4"/>
    <w:rsid w:val="009A0183"/>
    <w:rsid w:val="009A05CD"/>
    <w:rsid w:val="009A05EE"/>
    <w:rsid w:val="009A0957"/>
    <w:rsid w:val="009A1B07"/>
    <w:rsid w:val="009A1F8B"/>
    <w:rsid w:val="009A2788"/>
    <w:rsid w:val="009A2B78"/>
    <w:rsid w:val="009A2D20"/>
    <w:rsid w:val="009A35E2"/>
    <w:rsid w:val="009A3E32"/>
    <w:rsid w:val="009A47B8"/>
    <w:rsid w:val="009A4911"/>
    <w:rsid w:val="009A5F5C"/>
    <w:rsid w:val="009A6422"/>
    <w:rsid w:val="009A66A3"/>
    <w:rsid w:val="009A6808"/>
    <w:rsid w:val="009A7703"/>
    <w:rsid w:val="009A772E"/>
    <w:rsid w:val="009B0CCF"/>
    <w:rsid w:val="009B0E1F"/>
    <w:rsid w:val="009B1925"/>
    <w:rsid w:val="009B21F5"/>
    <w:rsid w:val="009B222A"/>
    <w:rsid w:val="009B41FC"/>
    <w:rsid w:val="009B42DC"/>
    <w:rsid w:val="009B55D3"/>
    <w:rsid w:val="009B635F"/>
    <w:rsid w:val="009B68FE"/>
    <w:rsid w:val="009B6EEB"/>
    <w:rsid w:val="009B7063"/>
    <w:rsid w:val="009B7D6F"/>
    <w:rsid w:val="009B7E72"/>
    <w:rsid w:val="009C0630"/>
    <w:rsid w:val="009C06A8"/>
    <w:rsid w:val="009C0A0D"/>
    <w:rsid w:val="009C1CEC"/>
    <w:rsid w:val="009C2858"/>
    <w:rsid w:val="009C314A"/>
    <w:rsid w:val="009C3787"/>
    <w:rsid w:val="009C411B"/>
    <w:rsid w:val="009C4307"/>
    <w:rsid w:val="009C49FD"/>
    <w:rsid w:val="009C4E21"/>
    <w:rsid w:val="009C549E"/>
    <w:rsid w:val="009C6610"/>
    <w:rsid w:val="009C7902"/>
    <w:rsid w:val="009D1462"/>
    <w:rsid w:val="009D3067"/>
    <w:rsid w:val="009D30C5"/>
    <w:rsid w:val="009D4E08"/>
    <w:rsid w:val="009D50A0"/>
    <w:rsid w:val="009D6CDF"/>
    <w:rsid w:val="009D7B3F"/>
    <w:rsid w:val="009D7CBD"/>
    <w:rsid w:val="009E1AF3"/>
    <w:rsid w:val="009E1B57"/>
    <w:rsid w:val="009E2231"/>
    <w:rsid w:val="009E2FD2"/>
    <w:rsid w:val="009E34F7"/>
    <w:rsid w:val="009E3F71"/>
    <w:rsid w:val="009E40ED"/>
    <w:rsid w:val="009E4982"/>
    <w:rsid w:val="009E4D39"/>
    <w:rsid w:val="009E4F5E"/>
    <w:rsid w:val="009E58D8"/>
    <w:rsid w:val="009E5C50"/>
    <w:rsid w:val="009E6245"/>
    <w:rsid w:val="009E6329"/>
    <w:rsid w:val="009F00EB"/>
    <w:rsid w:val="009F0234"/>
    <w:rsid w:val="009F1F61"/>
    <w:rsid w:val="009F347A"/>
    <w:rsid w:val="009F403D"/>
    <w:rsid w:val="009F4B09"/>
    <w:rsid w:val="009F4D85"/>
    <w:rsid w:val="009F4F53"/>
    <w:rsid w:val="009F5C16"/>
    <w:rsid w:val="009F5C74"/>
    <w:rsid w:val="009F6443"/>
    <w:rsid w:val="009F69EA"/>
    <w:rsid w:val="009F7646"/>
    <w:rsid w:val="00A001BE"/>
    <w:rsid w:val="00A01674"/>
    <w:rsid w:val="00A02175"/>
    <w:rsid w:val="00A02F00"/>
    <w:rsid w:val="00A03960"/>
    <w:rsid w:val="00A03D48"/>
    <w:rsid w:val="00A03FAF"/>
    <w:rsid w:val="00A040C8"/>
    <w:rsid w:val="00A0485C"/>
    <w:rsid w:val="00A04DD4"/>
    <w:rsid w:val="00A05B48"/>
    <w:rsid w:val="00A05B7C"/>
    <w:rsid w:val="00A0643F"/>
    <w:rsid w:val="00A07402"/>
    <w:rsid w:val="00A07EBE"/>
    <w:rsid w:val="00A104A6"/>
    <w:rsid w:val="00A11337"/>
    <w:rsid w:val="00A11A77"/>
    <w:rsid w:val="00A11FF1"/>
    <w:rsid w:val="00A12CDB"/>
    <w:rsid w:val="00A14162"/>
    <w:rsid w:val="00A14817"/>
    <w:rsid w:val="00A148FD"/>
    <w:rsid w:val="00A14928"/>
    <w:rsid w:val="00A15EF9"/>
    <w:rsid w:val="00A17464"/>
    <w:rsid w:val="00A17AF8"/>
    <w:rsid w:val="00A20A20"/>
    <w:rsid w:val="00A2218E"/>
    <w:rsid w:val="00A228AD"/>
    <w:rsid w:val="00A22E0F"/>
    <w:rsid w:val="00A235DE"/>
    <w:rsid w:val="00A23EB8"/>
    <w:rsid w:val="00A241C6"/>
    <w:rsid w:val="00A2463F"/>
    <w:rsid w:val="00A24887"/>
    <w:rsid w:val="00A25DC6"/>
    <w:rsid w:val="00A2644D"/>
    <w:rsid w:val="00A26BAE"/>
    <w:rsid w:val="00A27110"/>
    <w:rsid w:val="00A27BFC"/>
    <w:rsid w:val="00A308E7"/>
    <w:rsid w:val="00A314BB"/>
    <w:rsid w:val="00A31DD2"/>
    <w:rsid w:val="00A3207A"/>
    <w:rsid w:val="00A324D5"/>
    <w:rsid w:val="00A33B84"/>
    <w:rsid w:val="00A341C1"/>
    <w:rsid w:val="00A34887"/>
    <w:rsid w:val="00A35402"/>
    <w:rsid w:val="00A35CB8"/>
    <w:rsid w:val="00A36209"/>
    <w:rsid w:val="00A36A4B"/>
    <w:rsid w:val="00A37A4E"/>
    <w:rsid w:val="00A402AC"/>
    <w:rsid w:val="00A41A14"/>
    <w:rsid w:val="00A41E1B"/>
    <w:rsid w:val="00A41EDB"/>
    <w:rsid w:val="00A420E9"/>
    <w:rsid w:val="00A43430"/>
    <w:rsid w:val="00A43768"/>
    <w:rsid w:val="00A43F86"/>
    <w:rsid w:val="00A44092"/>
    <w:rsid w:val="00A440DF"/>
    <w:rsid w:val="00A446BC"/>
    <w:rsid w:val="00A44EC6"/>
    <w:rsid w:val="00A45E98"/>
    <w:rsid w:val="00A4600E"/>
    <w:rsid w:val="00A464C4"/>
    <w:rsid w:val="00A46812"/>
    <w:rsid w:val="00A46B80"/>
    <w:rsid w:val="00A47E03"/>
    <w:rsid w:val="00A50306"/>
    <w:rsid w:val="00A510C2"/>
    <w:rsid w:val="00A51110"/>
    <w:rsid w:val="00A523A5"/>
    <w:rsid w:val="00A5336F"/>
    <w:rsid w:val="00A53AC6"/>
    <w:rsid w:val="00A53B31"/>
    <w:rsid w:val="00A549A3"/>
    <w:rsid w:val="00A54AD7"/>
    <w:rsid w:val="00A54CEE"/>
    <w:rsid w:val="00A54F81"/>
    <w:rsid w:val="00A558FF"/>
    <w:rsid w:val="00A56435"/>
    <w:rsid w:val="00A56750"/>
    <w:rsid w:val="00A56CB8"/>
    <w:rsid w:val="00A56F2F"/>
    <w:rsid w:val="00A6006B"/>
    <w:rsid w:val="00A601B4"/>
    <w:rsid w:val="00A603B4"/>
    <w:rsid w:val="00A614A2"/>
    <w:rsid w:val="00A61FA3"/>
    <w:rsid w:val="00A62126"/>
    <w:rsid w:val="00A62D0A"/>
    <w:rsid w:val="00A641E8"/>
    <w:rsid w:val="00A64447"/>
    <w:rsid w:val="00A6583F"/>
    <w:rsid w:val="00A65874"/>
    <w:rsid w:val="00A65EBE"/>
    <w:rsid w:val="00A66824"/>
    <w:rsid w:val="00A67FB3"/>
    <w:rsid w:val="00A700DB"/>
    <w:rsid w:val="00A707CE"/>
    <w:rsid w:val="00A70875"/>
    <w:rsid w:val="00A70E6B"/>
    <w:rsid w:val="00A7180E"/>
    <w:rsid w:val="00A71ABC"/>
    <w:rsid w:val="00A72F49"/>
    <w:rsid w:val="00A73F46"/>
    <w:rsid w:val="00A7401F"/>
    <w:rsid w:val="00A751A4"/>
    <w:rsid w:val="00A758F4"/>
    <w:rsid w:val="00A80190"/>
    <w:rsid w:val="00A80B94"/>
    <w:rsid w:val="00A80DD5"/>
    <w:rsid w:val="00A81223"/>
    <w:rsid w:val="00A8294A"/>
    <w:rsid w:val="00A829AA"/>
    <w:rsid w:val="00A85593"/>
    <w:rsid w:val="00A85916"/>
    <w:rsid w:val="00A860EE"/>
    <w:rsid w:val="00A902DE"/>
    <w:rsid w:val="00A919C8"/>
    <w:rsid w:val="00A91AE5"/>
    <w:rsid w:val="00A92183"/>
    <w:rsid w:val="00A93341"/>
    <w:rsid w:val="00A94111"/>
    <w:rsid w:val="00A94132"/>
    <w:rsid w:val="00A94E40"/>
    <w:rsid w:val="00A95683"/>
    <w:rsid w:val="00A95B90"/>
    <w:rsid w:val="00A95D14"/>
    <w:rsid w:val="00A95E4E"/>
    <w:rsid w:val="00A96611"/>
    <w:rsid w:val="00A970C1"/>
    <w:rsid w:val="00AA0392"/>
    <w:rsid w:val="00AA1B46"/>
    <w:rsid w:val="00AA2D1B"/>
    <w:rsid w:val="00AA2FF6"/>
    <w:rsid w:val="00AA3C81"/>
    <w:rsid w:val="00AA4BBB"/>
    <w:rsid w:val="00AA55FE"/>
    <w:rsid w:val="00AA5619"/>
    <w:rsid w:val="00AA63AE"/>
    <w:rsid w:val="00AA672D"/>
    <w:rsid w:val="00AA6FEB"/>
    <w:rsid w:val="00AA7379"/>
    <w:rsid w:val="00AB0E0B"/>
    <w:rsid w:val="00AB1453"/>
    <w:rsid w:val="00AB18B3"/>
    <w:rsid w:val="00AB1D1C"/>
    <w:rsid w:val="00AB1D7D"/>
    <w:rsid w:val="00AB23B4"/>
    <w:rsid w:val="00AB2760"/>
    <w:rsid w:val="00AB29AF"/>
    <w:rsid w:val="00AB302F"/>
    <w:rsid w:val="00AB304C"/>
    <w:rsid w:val="00AB3A7F"/>
    <w:rsid w:val="00AB4D11"/>
    <w:rsid w:val="00AB4F89"/>
    <w:rsid w:val="00AB5308"/>
    <w:rsid w:val="00AB608D"/>
    <w:rsid w:val="00AB65C6"/>
    <w:rsid w:val="00AB6A4E"/>
    <w:rsid w:val="00AB6B6C"/>
    <w:rsid w:val="00AB6F1E"/>
    <w:rsid w:val="00AB7BDB"/>
    <w:rsid w:val="00AC06CA"/>
    <w:rsid w:val="00AC0C09"/>
    <w:rsid w:val="00AC0DDD"/>
    <w:rsid w:val="00AC0EBD"/>
    <w:rsid w:val="00AC18D9"/>
    <w:rsid w:val="00AC2431"/>
    <w:rsid w:val="00AC39FD"/>
    <w:rsid w:val="00AC463A"/>
    <w:rsid w:val="00AC53E8"/>
    <w:rsid w:val="00AC62DE"/>
    <w:rsid w:val="00AC6377"/>
    <w:rsid w:val="00AC6508"/>
    <w:rsid w:val="00AC661D"/>
    <w:rsid w:val="00AC72B3"/>
    <w:rsid w:val="00AC7767"/>
    <w:rsid w:val="00AD1144"/>
    <w:rsid w:val="00AD1E1C"/>
    <w:rsid w:val="00AD20E4"/>
    <w:rsid w:val="00AD29DD"/>
    <w:rsid w:val="00AD29E4"/>
    <w:rsid w:val="00AD2A4E"/>
    <w:rsid w:val="00AD2E5C"/>
    <w:rsid w:val="00AD3F28"/>
    <w:rsid w:val="00AD40CB"/>
    <w:rsid w:val="00AD57B4"/>
    <w:rsid w:val="00AD6F7F"/>
    <w:rsid w:val="00AD6FC8"/>
    <w:rsid w:val="00AD7B8A"/>
    <w:rsid w:val="00AE0D1E"/>
    <w:rsid w:val="00AE0F3E"/>
    <w:rsid w:val="00AE13AE"/>
    <w:rsid w:val="00AE1505"/>
    <w:rsid w:val="00AE3158"/>
    <w:rsid w:val="00AE3175"/>
    <w:rsid w:val="00AE3330"/>
    <w:rsid w:val="00AE3DE2"/>
    <w:rsid w:val="00AE4015"/>
    <w:rsid w:val="00AE4084"/>
    <w:rsid w:val="00AE42F6"/>
    <w:rsid w:val="00AE4908"/>
    <w:rsid w:val="00AE4B5E"/>
    <w:rsid w:val="00AE4F98"/>
    <w:rsid w:val="00AE54A1"/>
    <w:rsid w:val="00AE65D7"/>
    <w:rsid w:val="00AE6E26"/>
    <w:rsid w:val="00AE7B52"/>
    <w:rsid w:val="00AF0651"/>
    <w:rsid w:val="00AF0715"/>
    <w:rsid w:val="00AF08CF"/>
    <w:rsid w:val="00AF0ED8"/>
    <w:rsid w:val="00AF1A5B"/>
    <w:rsid w:val="00AF2516"/>
    <w:rsid w:val="00AF2BCC"/>
    <w:rsid w:val="00AF3688"/>
    <w:rsid w:val="00AF440D"/>
    <w:rsid w:val="00AF5B4B"/>
    <w:rsid w:val="00AF5E99"/>
    <w:rsid w:val="00AF616E"/>
    <w:rsid w:val="00AF6EB5"/>
    <w:rsid w:val="00B0103B"/>
    <w:rsid w:val="00B02296"/>
    <w:rsid w:val="00B02A21"/>
    <w:rsid w:val="00B02F0D"/>
    <w:rsid w:val="00B04266"/>
    <w:rsid w:val="00B044D3"/>
    <w:rsid w:val="00B04AE0"/>
    <w:rsid w:val="00B04C43"/>
    <w:rsid w:val="00B059BB"/>
    <w:rsid w:val="00B05AF8"/>
    <w:rsid w:val="00B06637"/>
    <w:rsid w:val="00B068EA"/>
    <w:rsid w:val="00B06A7C"/>
    <w:rsid w:val="00B077C6"/>
    <w:rsid w:val="00B07A1B"/>
    <w:rsid w:val="00B100CF"/>
    <w:rsid w:val="00B1228D"/>
    <w:rsid w:val="00B13B9B"/>
    <w:rsid w:val="00B14345"/>
    <w:rsid w:val="00B14A3A"/>
    <w:rsid w:val="00B14E0E"/>
    <w:rsid w:val="00B14ED3"/>
    <w:rsid w:val="00B16CA2"/>
    <w:rsid w:val="00B17908"/>
    <w:rsid w:val="00B17C23"/>
    <w:rsid w:val="00B2151C"/>
    <w:rsid w:val="00B21547"/>
    <w:rsid w:val="00B2154D"/>
    <w:rsid w:val="00B21CD9"/>
    <w:rsid w:val="00B22963"/>
    <w:rsid w:val="00B2393B"/>
    <w:rsid w:val="00B23B62"/>
    <w:rsid w:val="00B24127"/>
    <w:rsid w:val="00B25315"/>
    <w:rsid w:val="00B25D20"/>
    <w:rsid w:val="00B261BE"/>
    <w:rsid w:val="00B275A0"/>
    <w:rsid w:val="00B27D41"/>
    <w:rsid w:val="00B3077B"/>
    <w:rsid w:val="00B307D1"/>
    <w:rsid w:val="00B30B8F"/>
    <w:rsid w:val="00B30BE8"/>
    <w:rsid w:val="00B30BF7"/>
    <w:rsid w:val="00B30DAF"/>
    <w:rsid w:val="00B33453"/>
    <w:rsid w:val="00B34251"/>
    <w:rsid w:val="00B34483"/>
    <w:rsid w:val="00B34519"/>
    <w:rsid w:val="00B346F2"/>
    <w:rsid w:val="00B355FF"/>
    <w:rsid w:val="00B35722"/>
    <w:rsid w:val="00B3695E"/>
    <w:rsid w:val="00B36F39"/>
    <w:rsid w:val="00B40212"/>
    <w:rsid w:val="00B404A5"/>
    <w:rsid w:val="00B40793"/>
    <w:rsid w:val="00B4113F"/>
    <w:rsid w:val="00B42BCD"/>
    <w:rsid w:val="00B447CC"/>
    <w:rsid w:val="00B449D6"/>
    <w:rsid w:val="00B45A08"/>
    <w:rsid w:val="00B45D34"/>
    <w:rsid w:val="00B4668B"/>
    <w:rsid w:val="00B469B7"/>
    <w:rsid w:val="00B46A76"/>
    <w:rsid w:val="00B477AC"/>
    <w:rsid w:val="00B47EBF"/>
    <w:rsid w:val="00B50687"/>
    <w:rsid w:val="00B513DF"/>
    <w:rsid w:val="00B55026"/>
    <w:rsid w:val="00B55112"/>
    <w:rsid w:val="00B56B47"/>
    <w:rsid w:val="00B56C1A"/>
    <w:rsid w:val="00B575A0"/>
    <w:rsid w:val="00B57868"/>
    <w:rsid w:val="00B578FB"/>
    <w:rsid w:val="00B60AFD"/>
    <w:rsid w:val="00B60D00"/>
    <w:rsid w:val="00B619E4"/>
    <w:rsid w:val="00B61D1A"/>
    <w:rsid w:val="00B62653"/>
    <w:rsid w:val="00B6283F"/>
    <w:rsid w:val="00B63C8F"/>
    <w:rsid w:val="00B65E24"/>
    <w:rsid w:val="00B676E5"/>
    <w:rsid w:val="00B67B69"/>
    <w:rsid w:val="00B713D2"/>
    <w:rsid w:val="00B7174E"/>
    <w:rsid w:val="00B727A8"/>
    <w:rsid w:val="00B74083"/>
    <w:rsid w:val="00B741C7"/>
    <w:rsid w:val="00B7661A"/>
    <w:rsid w:val="00B773C9"/>
    <w:rsid w:val="00B77651"/>
    <w:rsid w:val="00B777BB"/>
    <w:rsid w:val="00B77854"/>
    <w:rsid w:val="00B77BDE"/>
    <w:rsid w:val="00B8046E"/>
    <w:rsid w:val="00B81194"/>
    <w:rsid w:val="00B82349"/>
    <w:rsid w:val="00B82B74"/>
    <w:rsid w:val="00B8324C"/>
    <w:rsid w:val="00B8351D"/>
    <w:rsid w:val="00B835E9"/>
    <w:rsid w:val="00B8367B"/>
    <w:rsid w:val="00B845E2"/>
    <w:rsid w:val="00B84ABE"/>
    <w:rsid w:val="00B84BF0"/>
    <w:rsid w:val="00B84C96"/>
    <w:rsid w:val="00B85201"/>
    <w:rsid w:val="00B865F7"/>
    <w:rsid w:val="00B90476"/>
    <w:rsid w:val="00B9116D"/>
    <w:rsid w:val="00B9283A"/>
    <w:rsid w:val="00B92988"/>
    <w:rsid w:val="00B92FFA"/>
    <w:rsid w:val="00B93813"/>
    <w:rsid w:val="00B95193"/>
    <w:rsid w:val="00B951F0"/>
    <w:rsid w:val="00B95961"/>
    <w:rsid w:val="00B95968"/>
    <w:rsid w:val="00B95AAA"/>
    <w:rsid w:val="00B96C9D"/>
    <w:rsid w:val="00BA0DD8"/>
    <w:rsid w:val="00BA1935"/>
    <w:rsid w:val="00BA1AE3"/>
    <w:rsid w:val="00BA1C38"/>
    <w:rsid w:val="00BA1E8E"/>
    <w:rsid w:val="00BA3012"/>
    <w:rsid w:val="00BA326A"/>
    <w:rsid w:val="00BA4366"/>
    <w:rsid w:val="00BA4890"/>
    <w:rsid w:val="00BA5FBA"/>
    <w:rsid w:val="00BA6AE3"/>
    <w:rsid w:val="00BB03F9"/>
    <w:rsid w:val="00BB07BE"/>
    <w:rsid w:val="00BB0F51"/>
    <w:rsid w:val="00BB173A"/>
    <w:rsid w:val="00BB19D7"/>
    <w:rsid w:val="00BB1D11"/>
    <w:rsid w:val="00BB2229"/>
    <w:rsid w:val="00BB27DF"/>
    <w:rsid w:val="00BB2CEF"/>
    <w:rsid w:val="00BB2E69"/>
    <w:rsid w:val="00BB3284"/>
    <w:rsid w:val="00BB36F0"/>
    <w:rsid w:val="00BB5345"/>
    <w:rsid w:val="00BB6BA6"/>
    <w:rsid w:val="00BB77AB"/>
    <w:rsid w:val="00BC012E"/>
    <w:rsid w:val="00BC0431"/>
    <w:rsid w:val="00BC0A14"/>
    <w:rsid w:val="00BC13C3"/>
    <w:rsid w:val="00BC1B83"/>
    <w:rsid w:val="00BC1F29"/>
    <w:rsid w:val="00BC34BA"/>
    <w:rsid w:val="00BC3D1D"/>
    <w:rsid w:val="00BC459E"/>
    <w:rsid w:val="00BC4925"/>
    <w:rsid w:val="00BC4D06"/>
    <w:rsid w:val="00BC5497"/>
    <w:rsid w:val="00BC7D6D"/>
    <w:rsid w:val="00BD02CA"/>
    <w:rsid w:val="00BD10F8"/>
    <w:rsid w:val="00BD15D2"/>
    <w:rsid w:val="00BD36CA"/>
    <w:rsid w:val="00BD4066"/>
    <w:rsid w:val="00BD6A37"/>
    <w:rsid w:val="00BD70DD"/>
    <w:rsid w:val="00BD774F"/>
    <w:rsid w:val="00BD7898"/>
    <w:rsid w:val="00BE07C7"/>
    <w:rsid w:val="00BE1402"/>
    <w:rsid w:val="00BE156A"/>
    <w:rsid w:val="00BE157A"/>
    <w:rsid w:val="00BE1A50"/>
    <w:rsid w:val="00BE2192"/>
    <w:rsid w:val="00BE260E"/>
    <w:rsid w:val="00BE2EBD"/>
    <w:rsid w:val="00BE30FD"/>
    <w:rsid w:val="00BE3817"/>
    <w:rsid w:val="00BE421F"/>
    <w:rsid w:val="00BE435B"/>
    <w:rsid w:val="00BE55B9"/>
    <w:rsid w:val="00BE574A"/>
    <w:rsid w:val="00BE5D4F"/>
    <w:rsid w:val="00BE691A"/>
    <w:rsid w:val="00BE6D5A"/>
    <w:rsid w:val="00BE7560"/>
    <w:rsid w:val="00BE75E1"/>
    <w:rsid w:val="00BE776D"/>
    <w:rsid w:val="00BF0C63"/>
    <w:rsid w:val="00BF0FF2"/>
    <w:rsid w:val="00BF1579"/>
    <w:rsid w:val="00BF1661"/>
    <w:rsid w:val="00BF189D"/>
    <w:rsid w:val="00BF26F3"/>
    <w:rsid w:val="00BF2E20"/>
    <w:rsid w:val="00BF47F9"/>
    <w:rsid w:val="00BF4C60"/>
    <w:rsid w:val="00BF5724"/>
    <w:rsid w:val="00BF5CE2"/>
    <w:rsid w:val="00BF5D01"/>
    <w:rsid w:val="00BF5F21"/>
    <w:rsid w:val="00BF72C5"/>
    <w:rsid w:val="00BF7764"/>
    <w:rsid w:val="00C00D16"/>
    <w:rsid w:val="00C012C2"/>
    <w:rsid w:val="00C01A9E"/>
    <w:rsid w:val="00C042B9"/>
    <w:rsid w:val="00C046F5"/>
    <w:rsid w:val="00C053BD"/>
    <w:rsid w:val="00C05A5D"/>
    <w:rsid w:val="00C05C91"/>
    <w:rsid w:val="00C05D42"/>
    <w:rsid w:val="00C067BC"/>
    <w:rsid w:val="00C06873"/>
    <w:rsid w:val="00C06BCC"/>
    <w:rsid w:val="00C06BD7"/>
    <w:rsid w:val="00C07A6B"/>
    <w:rsid w:val="00C108E6"/>
    <w:rsid w:val="00C109D5"/>
    <w:rsid w:val="00C10C75"/>
    <w:rsid w:val="00C10DAC"/>
    <w:rsid w:val="00C11819"/>
    <w:rsid w:val="00C11984"/>
    <w:rsid w:val="00C11DD0"/>
    <w:rsid w:val="00C12B7B"/>
    <w:rsid w:val="00C14E24"/>
    <w:rsid w:val="00C15C74"/>
    <w:rsid w:val="00C1640A"/>
    <w:rsid w:val="00C17D1B"/>
    <w:rsid w:val="00C204FC"/>
    <w:rsid w:val="00C207FB"/>
    <w:rsid w:val="00C232D4"/>
    <w:rsid w:val="00C24DD7"/>
    <w:rsid w:val="00C25215"/>
    <w:rsid w:val="00C254A7"/>
    <w:rsid w:val="00C27395"/>
    <w:rsid w:val="00C27857"/>
    <w:rsid w:val="00C278A3"/>
    <w:rsid w:val="00C302D9"/>
    <w:rsid w:val="00C305C5"/>
    <w:rsid w:val="00C30803"/>
    <w:rsid w:val="00C30954"/>
    <w:rsid w:val="00C3251F"/>
    <w:rsid w:val="00C32C05"/>
    <w:rsid w:val="00C32C59"/>
    <w:rsid w:val="00C3349A"/>
    <w:rsid w:val="00C33754"/>
    <w:rsid w:val="00C344DD"/>
    <w:rsid w:val="00C3574A"/>
    <w:rsid w:val="00C35B1F"/>
    <w:rsid w:val="00C3641B"/>
    <w:rsid w:val="00C36DE1"/>
    <w:rsid w:val="00C36E50"/>
    <w:rsid w:val="00C37629"/>
    <w:rsid w:val="00C3783F"/>
    <w:rsid w:val="00C40933"/>
    <w:rsid w:val="00C40A90"/>
    <w:rsid w:val="00C40C7E"/>
    <w:rsid w:val="00C413C6"/>
    <w:rsid w:val="00C41563"/>
    <w:rsid w:val="00C43572"/>
    <w:rsid w:val="00C43845"/>
    <w:rsid w:val="00C43EE7"/>
    <w:rsid w:val="00C442C2"/>
    <w:rsid w:val="00C455D4"/>
    <w:rsid w:val="00C4615F"/>
    <w:rsid w:val="00C463A7"/>
    <w:rsid w:val="00C46BEF"/>
    <w:rsid w:val="00C46C03"/>
    <w:rsid w:val="00C475FD"/>
    <w:rsid w:val="00C50301"/>
    <w:rsid w:val="00C504AD"/>
    <w:rsid w:val="00C50B31"/>
    <w:rsid w:val="00C51474"/>
    <w:rsid w:val="00C5292B"/>
    <w:rsid w:val="00C54A6E"/>
    <w:rsid w:val="00C54C6C"/>
    <w:rsid w:val="00C54EB6"/>
    <w:rsid w:val="00C553C1"/>
    <w:rsid w:val="00C56BC3"/>
    <w:rsid w:val="00C56E0D"/>
    <w:rsid w:val="00C576D2"/>
    <w:rsid w:val="00C57A8F"/>
    <w:rsid w:val="00C604A0"/>
    <w:rsid w:val="00C60C99"/>
    <w:rsid w:val="00C62B4B"/>
    <w:rsid w:val="00C6477E"/>
    <w:rsid w:val="00C65DFE"/>
    <w:rsid w:val="00C67CF7"/>
    <w:rsid w:val="00C67F5C"/>
    <w:rsid w:val="00C700B3"/>
    <w:rsid w:val="00C7036D"/>
    <w:rsid w:val="00C71131"/>
    <w:rsid w:val="00C71CB2"/>
    <w:rsid w:val="00C71D01"/>
    <w:rsid w:val="00C71F21"/>
    <w:rsid w:val="00C7259B"/>
    <w:rsid w:val="00C72694"/>
    <w:rsid w:val="00C73448"/>
    <w:rsid w:val="00C75445"/>
    <w:rsid w:val="00C754FC"/>
    <w:rsid w:val="00C77120"/>
    <w:rsid w:val="00C77D94"/>
    <w:rsid w:val="00C8002B"/>
    <w:rsid w:val="00C8008A"/>
    <w:rsid w:val="00C80450"/>
    <w:rsid w:val="00C80CFA"/>
    <w:rsid w:val="00C80E1E"/>
    <w:rsid w:val="00C81244"/>
    <w:rsid w:val="00C813AF"/>
    <w:rsid w:val="00C82BC5"/>
    <w:rsid w:val="00C8431E"/>
    <w:rsid w:val="00C85421"/>
    <w:rsid w:val="00C85E73"/>
    <w:rsid w:val="00C8612B"/>
    <w:rsid w:val="00C86466"/>
    <w:rsid w:val="00C86CE4"/>
    <w:rsid w:val="00C9011F"/>
    <w:rsid w:val="00C90173"/>
    <w:rsid w:val="00C902E6"/>
    <w:rsid w:val="00C9031E"/>
    <w:rsid w:val="00C915B8"/>
    <w:rsid w:val="00C92C07"/>
    <w:rsid w:val="00C92C8C"/>
    <w:rsid w:val="00C93009"/>
    <w:rsid w:val="00C93226"/>
    <w:rsid w:val="00C932ED"/>
    <w:rsid w:val="00C93AC2"/>
    <w:rsid w:val="00C948EE"/>
    <w:rsid w:val="00C94F6D"/>
    <w:rsid w:val="00C94FF8"/>
    <w:rsid w:val="00C95895"/>
    <w:rsid w:val="00C95CC0"/>
    <w:rsid w:val="00C96973"/>
    <w:rsid w:val="00C9697B"/>
    <w:rsid w:val="00CA01CF"/>
    <w:rsid w:val="00CA082A"/>
    <w:rsid w:val="00CA14C2"/>
    <w:rsid w:val="00CA1C68"/>
    <w:rsid w:val="00CA2DD2"/>
    <w:rsid w:val="00CA2F72"/>
    <w:rsid w:val="00CA3738"/>
    <w:rsid w:val="00CA44F3"/>
    <w:rsid w:val="00CA55B4"/>
    <w:rsid w:val="00CA58D3"/>
    <w:rsid w:val="00CA5A7A"/>
    <w:rsid w:val="00CA649A"/>
    <w:rsid w:val="00CA6767"/>
    <w:rsid w:val="00CA6BC6"/>
    <w:rsid w:val="00CB0793"/>
    <w:rsid w:val="00CB0E04"/>
    <w:rsid w:val="00CB2437"/>
    <w:rsid w:val="00CB2DE0"/>
    <w:rsid w:val="00CB3431"/>
    <w:rsid w:val="00CB36B3"/>
    <w:rsid w:val="00CB3C6A"/>
    <w:rsid w:val="00CB47F2"/>
    <w:rsid w:val="00CB4872"/>
    <w:rsid w:val="00CB5DBE"/>
    <w:rsid w:val="00CB6D25"/>
    <w:rsid w:val="00CB732B"/>
    <w:rsid w:val="00CB7388"/>
    <w:rsid w:val="00CB7C05"/>
    <w:rsid w:val="00CC057F"/>
    <w:rsid w:val="00CC1A29"/>
    <w:rsid w:val="00CC3100"/>
    <w:rsid w:val="00CC32BA"/>
    <w:rsid w:val="00CC3D35"/>
    <w:rsid w:val="00CC4573"/>
    <w:rsid w:val="00CC5633"/>
    <w:rsid w:val="00CD1636"/>
    <w:rsid w:val="00CD29B9"/>
    <w:rsid w:val="00CD2AEC"/>
    <w:rsid w:val="00CD78F9"/>
    <w:rsid w:val="00CE029F"/>
    <w:rsid w:val="00CE082B"/>
    <w:rsid w:val="00CE16C5"/>
    <w:rsid w:val="00CE1845"/>
    <w:rsid w:val="00CE2346"/>
    <w:rsid w:val="00CE3233"/>
    <w:rsid w:val="00CE3256"/>
    <w:rsid w:val="00CE3BB1"/>
    <w:rsid w:val="00CE51AF"/>
    <w:rsid w:val="00CE548D"/>
    <w:rsid w:val="00CE5CCC"/>
    <w:rsid w:val="00CE60EF"/>
    <w:rsid w:val="00CE6C74"/>
    <w:rsid w:val="00CE6D6C"/>
    <w:rsid w:val="00CE7CE2"/>
    <w:rsid w:val="00CF12D9"/>
    <w:rsid w:val="00CF1447"/>
    <w:rsid w:val="00CF1931"/>
    <w:rsid w:val="00CF19D7"/>
    <w:rsid w:val="00CF1EE5"/>
    <w:rsid w:val="00CF2E90"/>
    <w:rsid w:val="00CF33D6"/>
    <w:rsid w:val="00CF446C"/>
    <w:rsid w:val="00CF47AF"/>
    <w:rsid w:val="00CF4C5F"/>
    <w:rsid w:val="00CF50FE"/>
    <w:rsid w:val="00CF6C22"/>
    <w:rsid w:val="00CF7A5A"/>
    <w:rsid w:val="00CF7C67"/>
    <w:rsid w:val="00CF7E0F"/>
    <w:rsid w:val="00D00741"/>
    <w:rsid w:val="00D00751"/>
    <w:rsid w:val="00D011C0"/>
    <w:rsid w:val="00D0137F"/>
    <w:rsid w:val="00D014CB"/>
    <w:rsid w:val="00D01D26"/>
    <w:rsid w:val="00D030D4"/>
    <w:rsid w:val="00D0371B"/>
    <w:rsid w:val="00D044CF"/>
    <w:rsid w:val="00D04871"/>
    <w:rsid w:val="00D04EC7"/>
    <w:rsid w:val="00D069AE"/>
    <w:rsid w:val="00D07132"/>
    <w:rsid w:val="00D079DE"/>
    <w:rsid w:val="00D07B7A"/>
    <w:rsid w:val="00D07CC2"/>
    <w:rsid w:val="00D07F5A"/>
    <w:rsid w:val="00D11130"/>
    <w:rsid w:val="00D11A85"/>
    <w:rsid w:val="00D1479A"/>
    <w:rsid w:val="00D15412"/>
    <w:rsid w:val="00D16177"/>
    <w:rsid w:val="00D1758E"/>
    <w:rsid w:val="00D17BFA"/>
    <w:rsid w:val="00D17C2D"/>
    <w:rsid w:val="00D21D1E"/>
    <w:rsid w:val="00D23CF6"/>
    <w:rsid w:val="00D23E71"/>
    <w:rsid w:val="00D23F5F"/>
    <w:rsid w:val="00D24D87"/>
    <w:rsid w:val="00D25272"/>
    <w:rsid w:val="00D25617"/>
    <w:rsid w:val="00D25E2E"/>
    <w:rsid w:val="00D260B4"/>
    <w:rsid w:val="00D266CE"/>
    <w:rsid w:val="00D27179"/>
    <w:rsid w:val="00D2736E"/>
    <w:rsid w:val="00D275E2"/>
    <w:rsid w:val="00D27B7C"/>
    <w:rsid w:val="00D30284"/>
    <w:rsid w:val="00D30979"/>
    <w:rsid w:val="00D31230"/>
    <w:rsid w:val="00D32109"/>
    <w:rsid w:val="00D32AC6"/>
    <w:rsid w:val="00D3388D"/>
    <w:rsid w:val="00D33966"/>
    <w:rsid w:val="00D345FF"/>
    <w:rsid w:val="00D352CC"/>
    <w:rsid w:val="00D3704B"/>
    <w:rsid w:val="00D407B0"/>
    <w:rsid w:val="00D41E4F"/>
    <w:rsid w:val="00D421E5"/>
    <w:rsid w:val="00D42C8D"/>
    <w:rsid w:val="00D43526"/>
    <w:rsid w:val="00D43E40"/>
    <w:rsid w:val="00D43ED7"/>
    <w:rsid w:val="00D44553"/>
    <w:rsid w:val="00D446C3"/>
    <w:rsid w:val="00D44AE7"/>
    <w:rsid w:val="00D44C4C"/>
    <w:rsid w:val="00D45297"/>
    <w:rsid w:val="00D454D1"/>
    <w:rsid w:val="00D45C79"/>
    <w:rsid w:val="00D473FB"/>
    <w:rsid w:val="00D47C69"/>
    <w:rsid w:val="00D50B2D"/>
    <w:rsid w:val="00D51743"/>
    <w:rsid w:val="00D518A6"/>
    <w:rsid w:val="00D522A5"/>
    <w:rsid w:val="00D52599"/>
    <w:rsid w:val="00D5288D"/>
    <w:rsid w:val="00D52944"/>
    <w:rsid w:val="00D55138"/>
    <w:rsid w:val="00D5539D"/>
    <w:rsid w:val="00D56684"/>
    <w:rsid w:val="00D56E2F"/>
    <w:rsid w:val="00D60068"/>
    <w:rsid w:val="00D602AF"/>
    <w:rsid w:val="00D6078E"/>
    <w:rsid w:val="00D622F0"/>
    <w:rsid w:val="00D6257D"/>
    <w:rsid w:val="00D64013"/>
    <w:rsid w:val="00D642BF"/>
    <w:rsid w:val="00D642E9"/>
    <w:rsid w:val="00D64964"/>
    <w:rsid w:val="00D6505C"/>
    <w:rsid w:val="00D662E2"/>
    <w:rsid w:val="00D66389"/>
    <w:rsid w:val="00D6652B"/>
    <w:rsid w:val="00D6751E"/>
    <w:rsid w:val="00D70080"/>
    <w:rsid w:val="00D71AB8"/>
    <w:rsid w:val="00D71D69"/>
    <w:rsid w:val="00D72ECE"/>
    <w:rsid w:val="00D73B84"/>
    <w:rsid w:val="00D74077"/>
    <w:rsid w:val="00D7499F"/>
    <w:rsid w:val="00D74B53"/>
    <w:rsid w:val="00D74CCB"/>
    <w:rsid w:val="00D75196"/>
    <w:rsid w:val="00D7615A"/>
    <w:rsid w:val="00D76460"/>
    <w:rsid w:val="00D76E73"/>
    <w:rsid w:val="00D77461"/>
    <w:rsid w:val="00D77F61"/>
    <w:rsid w:val="00D8015D"/>
    <w:rsid w:val="00D8089C"/>
    <w:rsid w:val="00D82600"/>
    <w:rsid w:val="00D82778"/>
    <w:rsid w:val="00D82B2E"/>
    <w:rsid w:val="00D837B1"/>
    <w:rsid w:val="00D839D8"/>
    <w:rsid w:val="00D84261"/>
    <w:rsid w:val="00D8705A"/>
    <w:rsid w:val="00D902AB"/>
    <w:rsid w:val="00D90997"/>
    <w:rsid w:val="00D91B44"/>
    <w:rsid w:val="00D9304C"/>
    <w:rsid w:val="00D939BD"/>
    <w:rsid w:val="00D940FB"/>
    <w:rsid w:val="00D95892"/>
    <w:rsid w:val="00D95930"/>
    <w:rsid w:val="00D964D9"/>
    <w:rsid w:val="00D973E2"/>
    <w:rsid w:val="00D97B47"/>
    <w:rsid w:val="00DA03FB"/>
    <w:rsid w:val="00DA16D3"/>
    <w:rsid w:val="00DA1E10"/>
    <w:rsid w:val="00DA2FF9"/>
    <w:rsid w:val="00DA3572"/>
    <w:rsid w:val="00DA4A7A"/>
    <w:rsid w:val="00DA500F"/>
    <w:rsid w:val="00DA5209"/>
    <w:rsid w:val="00DA6A6A"/>
    <w:rsid w:val="00DA792F"/>
    <w:rsid w:val="00DA7E57"/>
    <w:rsid w:val="00DA7F75"/>
    <w:rsid w:val="00DB0374"/>
    <w:rsid w:val="00DB0969"/>
    <w:rsid w:val="00DB1846"/>
    <w:rsid w:val="00DB18CD"/>
    <w:rsid w:val="00DB1910"/>
    <w:rsid w:val="00DB1C5F"/>
    <w:rsid w:val="00DB322F"/>
    <w:rsid w:val="00DB363B"/>
    <w:rsid w:val="00DB4381"/>
    <w:rsid w:val="00DB53EE"/>
    <w:rsid w:val="00DB59EE"/>
    <w:rsid w:val="00DB5BC9"/>
    <w:rsid w:val="00DB5D7C"/>
    <w:rsid w:val="00DB5DAE"/>
    <w:rsid w:val="00DB6EE6"/>
    <w:rsid w:val="00DC0324"/>
    <w:rsid w:val="00DC0A54"/>
    <w:rsid w:val="00DC15CB"/>
    <w:rsid w:val="00DC3859"/>
    <w:rsid w:val="00DC4B96"/>
    <w:rsid w:val="00DC4BCB"/>
    <w:rsid w:val="00DC526A"/>
    <w:rsid w:val="00DC5572"/>
    <w:rsid w:val="00DC5A24"/>
    <w:rsid w:val="00DC5BFF"/>
    <w:rsid w:val="00DC5EFB"/>
    <w:rsid w:val="00DC6635"/>
    <w:rsid w:val="00DC667C"/>
    <w:rsid w:val="00DC66A1"/>
    <w:rsid w:val="00DC6EC7"/>
    <w:rsid w:val="00DC7DDD"/>
    <w:rsid w:val="00DC7E89"/>
    <w:rsid w:val="00DD03DC"/>
    <w:rsid w:val="00DD0F64"/>
    <w:rsid w:val="00DD1B92"/>
    <w:rsid w:val="00DD28A5"/>
    <w:rsid w:val="00DD2C0E"/>
    <w:rsid w:val="00DD30EA"/>
    <w:rsid w:val="00DD3611"/>
    <w:rsid w:val="00DD387C"/>
    <w:rsid w:val="00DD3CD8"/>
    <w:rsid w:val="00DD460F"/>
    <w:rsid w:val="00DD48D7"/>
    <w:rsid w:val="00DD5150"/>
    <w:rsid w:val="00DD586E"/>
    <w:rsid w:val="00DD58D9"/>
    <w:rsid w:val="00DD5FC0"/>
    <w:rsid w:val="00DD641E"/>
    <w:rsid w:val="00DD724B"/>
    <w:rsid w:val="00DD750C"/>
    <w:rsid w:val="00DD797B"/>
    <w:rsid w:val="00DE0137"/>
    <w:rsid w:val="00DE0177"/>
    <w:rsid w:val="00DE027F"/>
    <w:rsid w:val="00DE0DAE"/>
    <w:rsid w:val="00DE0E38"/>
    <w:rsid w:val="00DE0F76"/>
    <w:rsid w:val="00DE215A"/>
    <w:rsid w:val="00DE2378"/>
    <w:rsid w:val="00DE41DB"/>
    <w:rsid w:val="00DE48A5"/>
    <w:rsid w:val="00DE57A9"/>
    <w:rsid w:val="00DE6533"/>
    <w:rsid w:val="00DE7A26"/>
    <w:rsid w:val="00DE7D21"/>
    <w:rsid w:val="00DF0427"/>
    <w:rsid w:val="00DF0A84"/>
    <w:rsid w:val="00DF0B99"/>
    <w:rsid w:val="00DF0E8B"/>
    <w:rsid w:val="00DF1C14"/>
    <w:rsid w:val="00DF2122"/>
    <w:rsid w:val="00DF23C9"/>
    <w:rsid w:val="00DF2487"/>
    <w:rsid w:val="00DF2703"/>
    <w:rsid w:val="00DF2875"/>
    <w:rsid w:val="00DF3077"/>
    <w:rsid w:val="00DF65A7"/>
    <w:rsid w:val="00DF6629"/>
    <w:rsid w:val="00E00708"/>
    <w:rsid w:val="00E02FBD"/>
    <w:rsid w:val="00E0328D"/>
    <w:rsid w:val="00E03FA2"/>
    <w:rsid w:val="00E053CB"/>
    <w:rsid w:val="00E05A2E"/>
    <w:rsid w:val="00E06221"/>
    <w:rsid w:val="00E06764"/>
    <w:rsid w:val="00E06E4F"/>
    <w:rsid w:val="00E06EB1"/>
    <w:rsid w:val="00E07A6E"/>
    <w:rsid w:val="00E102C8"/>
    <w:rsid w:val="00E1093B"/>
    <w:rsid w:val="00E116E2"/>
    <w:rsid w:val="00E11854"/>
    <w:rsid w:val="00E12C24"/>
    <w:rsid w:val="00E12CDD"/>
    <w:rsid w:val="00E1374A"/>
    <w:rsid w:val="00E1504F"/>
    <w:rsid w:val="00E15BDC"/>
    <w:rsid w:val="00E17379"/>
    <w:rsid w:val="00E17401"/>
    <w:rsid w:val="00E17889"/>
    <w:rsid w:val="00E17B30"/>
    <w:rsid w:val="00E202DB"/>
    <w:rsid w:val="00E21CD4"/>
    <w:rsid w:val="00E2200E"/>
    <w:rsid w:val="00E22454"/>
    <w:rsid w:val="00E22DE1"/>
    <w:rsid w:val="00E23DA0"/>
    <w:rsid w:val="00E2429B"/>
    <w:rsid w:val="00E2493E"/>
    <w:rsid w:val="00E24F41"/>
    <w:rsid w:val="00E250B8"/>
    <w:rsid w:val="00E26489"/>
    <w:rsid w:val="00E2655A"/>
    <w:rsid w:val="00E26577"/>
    <w:rsid w:val="00E269E4"/>
    <w:rsid w:val="00E27239"/>
    <w:rsid w:val="00E274C2"/>
    <w:rsid w:val="00E27B8D"/>
    <w:rsid w:val="00E27BD1"/>
    <w:rsid w:val="00E301D1"/>
    <w:rsid w:val="00E3026C"/>
    <w:rsid w:val="00E307D6"/>
    <w:rsid w:val="00E31040"/>
    <w:rsid w:val="00E3196D"/>
    <w:rsid w:val="00E31F01"/>
    <w:rsid w:val="00E3222D"/>
    <w:rsid w:val="00E3359D"/>
    <w:rsid w:val="00E33630"/>
    <w:rsid w:val="00E33784"/>
    <w:rsid w:val="00E33BE9"/>
    <w:rsid w:val="00E342CC"/>
    <w:rsid w:val="00E347A1"/>
    <w:rsid w:val="00E34A37"/>
    <w:rsid w:val="00E34A81"/>
    <w:rsid w:val="00E34B1E"/>
    <w:rsid w:val="00E354E5"/>
    <w:rsid w:val="00E35E16"/>
    <w:rsid w:val="00E35E6C"/>
    <w:rsid w:val="00E36A3F"/>
    <w:rsid w:val="00E37584"/>
    <w:rsid w:val="00E37CCB"/>
    <w:rsid w:val="00E41DA5"/>
    <w:rsid w:val="00E41EA1"/>
    <w:rsid w:val="00E424C7"/>
    <w:rsid w:val="00E4377E"/>
    <w:rsid w:val="00E448EB"/>
    <w:rsid w:val="00E45478"/>
    <w:rsid w:val="00E454AA"/>
    <w:rsid w:val="00E454FF"/>
    <w:rsid w:val="00E4598F"/>
    <w:rsid w:val="00E45EC9"/>
    <w:rsid w:val="00E46E17"/>
    <w:rsid w:val="00E46EC2"/>
    <w:rsid w:val="00E4757A"/>
    <w:rsid w:val="00E47EE6"/>
    <w:rsid w:val="00E50BA8"/>
    <w:rsid w:val="00E51666"/>
    <w:rsid w:val="00E525C4"/>
    <w:rsid w:val="00E5299A"/>
    <w:rsid w:val="00E54082"/>
    <w:rsid w:val="00E54219"/>
    <w:rsid w:val="00E54387"/>
    <w:rsid w:val="00E54431"/>
    <w:rsid w:val="00E547CD"/>
    <w:rsid w:val="00E54C43"/>
    <w:rsid w:val="00E55798"/>
    <w:rsid w:val="00E55BB1"/>
    <w:rsid w:val="00E55D2A"/>
    <w:rsid w:val="00E56D38"/>
    <w:rsid w:val="00E56F54"/>
    <w:rsid w:val="00E57A0D"/>
    <w:rsid w:val="00E57A33"/>
    <w:rsid w:val="00E57B9A"/>
    <w:rsid w:val="00E6081B"/>
    <w:rsid w:val="00E60A27"/>
    <w:rsid w:val="00E60D4A"/>
    <w:rsid w:val="00E6100D"/>
    <w:rsid w:val="00E610E2"/>
    <w:rsid w:val="00E618B5"/>
    <w:rsid w:val="00E6194C"/>
    <w:rsid w:val="00E61B96"/>
    <w:rsid w:val="00E62330"/>
    <w:rsid w:val="00E64098"/>
    <w:rsid w:val="00E641F2"/>
    <w:rsid w:val="00E655FC"/>
    <w:rsid w:val="00E6574A"/>
    <w:rsid w:val="00E659B7"/>
    <w:rsid w:val="00E65BBE"/>
    <w:rsid w:val="00E66AB6"/>
    <w:rsid w:val="00E675AA"/>
    <w:rsid w:val="00E70A29"/>
    <w:rsid w:val="00E70B28"/>
    <w:rsid w:val="00E71D56"/>
    <w:rsid w:val="00E7262D"/>
    <w:rsid w:val="00E728A9"/>
    <w:rsid w:val="00E745D6"/>
    <w:rsid w:val="00E74937"/>
    <w:rsid w:val="00E74954"/>
    <w:rsid w:val="00E7508C"/>
    <w:rsid w:val="00E75318"/>
    <w:rsid w:val="00E762B6"/>
    <w:rsid w:val="00E762F1"/>
    <w:rsid w:val="00E77B22"/>
    <w:rsid w:val="00E8056B"/>
    <w:rsid w:val="00E8200F"/>
    <w:rsid w:val="00E82CDA"/>
    <w:rsid w:val="00E834C6"/>
    <w:rsid w:val="00E83630"/>
    <w:rsid w:val="00E8426A"/>
    <w:rsid w:val="00E847C1"/>
    <w:rsid w:val="00E84F1F"/>
    <w:rsid w:val="00E85708"/>
    <w:rsid w:val="00E86400"/>
    <w:rsid w:val="00E8750E"/>
    <w:rsid w:val="00E87525"/>
    <w:rsid w:val="00E91135"/>
    <w:rsid w:val="00E91304"/>
    <w:rsid w:val="00E91E65"/>
    <w:rsid w:val="00E95B38"/>
    <w:rsid w:val="00E95F82"/>
    <w:rsid w:val="00E961D9"/>
    <w:rsid w:val="00E968D3"/>
    <w:rsid w:val="00E96DEE"/>
    <w:rsid w:val="00E9706C"/>
    <w:rsid w:val="00E973C8"/>
    <w:rsid w:val="00E97E72"/>
    <w:rsid w:val="00E97E80"/>
    <w:rsid w:val="00EA003D"/>
    <w:rsid w:val="00EA0044"/>
    <w:rsid w:val="00EA078C"/>
    <w:rsid w:val="00EA0994"/>
    <w:rsid w:val="00EA0AD1"/>
    <w:rsid w:val="00EA0CD6"/>
    <w:rsid w:val="00EA1508"/>
    <w:rsid w:val="00EA453D"/>
    <w:rsid w:val="00EA5CAD"/>
    <w:rsid w:val="00EA795E"/>
    <w:rsid w:val="00EA7EB4"/>
    <w:rsid w:val="00EB05A1"/>
    <w:rsid w:val="00EB2807"/>
    <w:rsid w:val="00EB285A"/>
    <w:rsid w:val="00EB35E0"/>
    <w:rsid w:val="00EB39BB"/>
    <w:rsid w:val="00EB3DFA"/>
    <w:rsid w:val="00EB4AEA"/>
    <w:rsid w:val="00EB5E6F"/>
    <w:rsid w:val="00EB73D4"/>
    <w:rsid w:val="00EC0C0F"/>
    <w:rsid w:val="00EC112B"/>
    <w:rsid w:val="00EC11EE"/>
    <w:rsid w:val="00EC1677"/>
    <w:rsid w:val="00EC1BD0"/>
    <w:rsid w:val="00EC2BE5"/>
    <w:rsid w:val="00EC3636"/>
    <w:rsid w:val="00EC3CD5"/>
    <w:rsid w:val="00EC42C7"/>
    <w:rsid w:val="00EC493F"/>
    <w:rsid w:val="00EC4A3D"/>
    <w:rsid w:val="00EC4EB6"/>
    <w:rsid w:val="00EC509B"/>
    <w:rsid w:val="00EC56B7"/>
    <w:rsid w:val="00EC7E3D"/>
    <w:rsid w:val="00EC7FC7"/>
    <w:rsid w:val="00ED0106"/>
    <w:rsid w:val="00ED0122"/>
    <w:rsid w:val="00ED13C1"/>
    <w:rsid w:val="00ED1E43"/>
    <w:rsid w:val="00ED2B55"/>
    <w:rsid w:val="00ED3022"/>
    <w:rsid w:val="00ED32FD"/>
    <w:rsid w:val="00ED4782"/>
    <w:rsid w:val="00ED4854"/>
    <w:rsid w:val="00ED4E05"/>
    <w:rsid w:val="00ED4E5B"/>
    <w:rsid w:val="00ED539B"/>
    <w:rsid w:val="00ED55C6"/>
    <w:rsid w:val="00ED6C95"/>
    <w:rsid w:val="00ED728D"/>
    <w:rsid w:val="00EE025B"/>
    <w:rsid w:val="00EE0296"/>
    <w:rsid w:val="00EE05E9"/>
    <w:rsid w:val="00EE102F"/>
    <w:rsid w:val="00EE142C"/>
    <w:rsid w:val="00EE2D9D"/>
    <w:rsid w:val="00EE3214"/>
    <w:rsid w:val="00EE344B"/>
    <w:rsid w:val="00EE3659"/>
    <w:rsid w:val="00EE3C18"/>
    <w:rsid w:val="00EE4C38"/>
    <w:rsid w:val="00EE52DD"/>
    <w:rsid w:val="00EE5B03"/>
    <w:rsid w:val="00EE6398"/>
    <w:rsid w:val="00EE66E4"/>
    <w:rsid w:val="00EE79AB"/>
    <w:rsid w:val="00EF02A8"/>
    <w:rsid w:val="00EF0D2F"/>
    <w:rsid w:val="00EF12CE"/>
    <w:rsid w:val="00EF2D0D"/>
    <w:rsid w:val="00EF3DFF"/>
    <w:rsid w:val="00EF3EF2"/>
    <w:rsid w:val="00EF41C5"/>
    <w:rsid w:val="00EF7938"/>
    <w:rsid w:val="00F01256"/>
    <w:rsid w:val="00F0301B"/>
    <w:rsid w:val="00F03727"/>
    <w:rsid w:val="00F03C24"/>
    <w:rsid w:val="00F03CBE"/>
    <w:rsid w:val="00F03D12"/>
    <w:rsid w:val="00F03E7B"/>
    <w:rsid w:val="00F043B0"/>
    <w:rsid w:val="00F054AF"/>
    <w:rsid w:val="00F05713"/>
    <w:rsid w:val="00F05FA5"/>
    <w:rsid w:val="00F0620F"/>
    <w:rsid w:val="00F0624A"/>
    <w:rsid w:val="00F06C40"/>
    <w:rsid w:val="00F07677"/>
    <w:rsid w:val="00F10AE1"/>
    <w:rsid w:val="00F10B22"/>
    <w:rsid w:val="00F113EE"/>
    <w:rsid w:val="00F116BC"/>
    <w:rsid w:val="00F11A86"/>
    <w:rsid w:val="00F121E6"/>
    <w:rsid w:val="00F127EF"/>
    <w:rsid w:val="00F136FA"/>
    <w:rsid w:val="00F138E9"/>
    <w:rsid w:val="00F13EE4"/>
    <w:rsid w:val="00F14402"/>
    <w:rsid w:val="00F14744"/>
    <w:rsid w:val="00F16600"/>
    <w:rsid w:val="00F1683F"/>
    <w:rsid w:val="00F1779D"/>
    <w:rsid w:val="00F17B80"/>
    <w:rsid w:val="00F17FDD"/>
    <w:rsid w:val="00F200A1"/>
    <w:rsid w:val="00F20A8C"/>
    <w:rsid w:val="00F20C78"/>
    <w:rsid w:val="00F22749"/>
    <w:rsid w:val="00F22D05"/>
    <w:rsid w:val="00F23E98"/>
    <w:rsid w:val="00F24C54"/>
    <w:rsid w:val="00F2557B"/>
    <w:rsid w:val="00F2603A"/>
    <w:rsid w:val="00F26495"/>
    <w:rsid w:val="00F27222"/>
    <w:rsid w:val="00F279CC"/>
    <w:rsid w:val="00F279F0"/>
    <w:rsid w:val="00F30D9F"/>
    <w:rsid w:val="00F33A6E"/>
    <w:rsid w:val="00F33A90"/>
    <w:rsid w:val="00F34B58"/>
    <w:rsid w:val="00F3571D"/>
    <w:rsid w:val="00F35B67"/>
    <w:rsid w:val="00F3640B"/>
    <w:rsid w:val="00F365C5"/>
    <w:rsid w:val="00F368D2"/>
    <w:rsid w:val="00F3703F"/>
    <w:rsid w:val="00F401F9"/>
    <w:rsid w:val="00F41A96"/>
    <w:rsid w:val="00F41C96"/>
    <w:rsid w:val="00F42613"/>
    <w:rsid w:val="00F42B87"/>
    <w:rsid w:val="00F45619"/>
    <w:rsid w:val="00F45FE9"/>
    <w:rsid w:val="00F4613A"/>
    <w:rsid w:val="00F463A3"/>
    <w:rsid w:val="00F46A57"/>
    <w:rsid w:val="00F46C85"/>
    <w:rsid w:val="00F47363"/>
    <w:rsid w:val="00F47ADB"/>
    <w:rsid w:val="00F51C97"/>
    <w:rsid w:val="00F527C8"/>
    <w:rsid w:val="00F52FB3"/>
    <w:rsid w:val="00F53E10"/>
    <w:rsid w:val="00F541D8"/>
    <w:rsid w:val="00F559AE"/>
    <w:rsid w:val="00F55BB2"/>
    <w:rsid w:val="00F56F4A"/>
    <w:rsid w:val="00F56FF7"/>
    <w:rsid w:val="00F6039E"/>
    <w:rsid w:val="00F60617"/>
    <w:rsid w:val="00F609C0"/>
    <w:rsid w:val="00F6137B"/>
    <w:rsid w:val="00F63D80"/>
    <w:rsid w:val="00F63F90"/>
    <w:rsid w:val="00F64A9B"/>
    <w:rsid w:val="00F650D8"/>
    <w:rsid w:val="00F65B1B"/>
    <w:rsid w:val="00F6689C"/>
    <w:rsid w:val="00F66D3D"/>
    <w:rsid w:val="00F66E07"/>
    <w:rsid w:val="00F671D4"/>
    <w:rsid w:val="00F67294"/>
    <w:rsid w:val="00F71135"/>
    <w:rsid w:val="00F71E30"/>
    <w:rsid w:val="00F71E49"/>
    <w:rsid w:val="00F73684"/>
    <w:rsid w:val="00F73DC4"/>
    <w:rsid w:val="00F74483"/>
    <w:rsid w:val="00F74DBC"/>
    <w:rsid w:val="00F75877"/>
    <w:rsid w:val="00F75FA7"/>
    <w:rsid w:val="00F76C9D"/>
    <w:rsid w:val="00F77030"/>
    <w:rsid w:val="00F77D78"/>
    <w:rsid w:val="00F811C9"/>
    <w:rsid w:val="00F8166E"/>
    <w:rsid w:val="00F81922"/>
    <w:rsid w:val="00F82859"/>
    <w:rsid w:val="00F82AF0"/>
    <w:rsid w:val="00F8366A"/>
    <w:rsid w:val="00F844FE"/>
    <w:rsid w:val="00F8502F"/>
    <w:rsid w:val="00F855AA"/>
    <w:rsid w:val="00F85A80"/>
    <w:rsid w:val="00F86534"/>
    <w:rsid w:val="00F86902"/>
    <w:rsid w:val="00F86F04"/>
    <w:rsid w:val="00F87174"/>
    <w:rsid w:val="00F90B15"/>
    <w:rsid w:val="00F91CAF"/>
    <w:rsid w:val="00F93B65"/>
    <w:rsid w:val="00F94D70"/>
    <w:rsid w:val="00F94FC8"/>
    <w:rsid w:val="00F951FD"/>
    <w:rsid w:val="00F95FBE"/>
    <w:rsid w:val="00F96B9D"/>
    <w:rsid w:val="00F96BA5"/>
    <w:rsid w:val="00F97541"/>
    <w:rsid w:val="00F97607"/>
    <w:rsid w:val="00FA1077"/>
    <w:rsid w:val="00FA2787"/>
    <w:rsid w:val="00FA3A77"/>
    <w:rsid w:val="00FA4723"/>
    <w:rsid w:val="00FA5172"/>
    <w:rsid w:val="00FA7ABC"/>
    <w:rsid w:val="00FA7D99"/>
    <w:rsid w:val="00FB0100"/>
    <w:rsid w:val="00FB0291"/>
    <w:rsid w:val="00FB0B01"/>
    <w:rsid w:val="00FB0DE2"/>
    <w:rsid w:val="00FB1FF9"/>
    <w:rsid w:val="00FB2271"/>
    <w:rsid w:val="00FB2321"/>
    <w:rsid w:val="00FB2B84"/>
    <w:rsid w:val="00FB4B82"/>
    <w:rsid w:val="00FB4BAD"/>
    <w:rsid w:val="00FB5911"/>
    <w:rsid w:val="00FB619E"/>
    <w:rsid w:val="00FB65A8"/>
    <w:rsid w:val="00FB672C"/>
    <w:rsid w:val="00FB6BB6"/>
    <w:rsid w:val="00FB6BE0"/>
    <w:rsid w:val="00FB79D8"/>
    <w:rsid w:val="00FC0242"/>
    <w:rsid w:val="00FC1155"/>
    <w:rsid w:val="00FC1355"/>
    <w:rsid w:val="00FC1613"/>
    <w:rsid w:val="00FC1FC2"/>
    <w:rsid w:val="00FC20FC"/>
    <w:rsid w:val="00FC2BEC"/>
    <w:rsid w:val="00FC34BD"/>
    <w:rsid w:val="00FC4759"/>
    <w:rsid w:val="00FC47D2"/>
    <w:rsid w:val="00FC48E1"/>
    <w:rsid w:val="00FC5333"/>
    <w:rsid w:val="00FC625F"/>
    <w:rsid w:val="00FC63C9"/>
    <w:rsid w:val="00FC662D"/>
    <w:rsid w:val="00FC7594"/>
    <w:rsid w:val="00FC7D78"/>
    <w:rsid w:val="00FD1A82"/>
    <w:rsid w:val="00FD298E"/>
    <w:rsid w:val="00FD2BAA"/>
    <w:rsid w:val="00FD2EF8"/>
    <w:rsid w:val="00FD3C7F"/>
    <w:rsid w:val="00FD3C9D"/>
    <w:rsid w:val="00FD5471"/>
    <w:rsid w:val="00FD57F3"/>
    <w:rsid w:val="00FD592B"/>
    <w:rsid w:val="00FD5DF5"/>
    <w:rsid w:val="00FD65E0"/>
    <w:rsid w:val="00FD6659"/>
    <w:rsid w:val="00FD695D"/>
    <w:rsid w:val="00FD6AF2"/>
    <w:rsid w:val="00FD6CAC"/>
    <w:rsid w:val="00FE0622"/>
    <w:rsid w:val="00FE1254"/>
    <w:rsid w:val="00FE12F3"/>
    <w:rsid w:val="00FE1FFA"/>
    <w:rsid w:val="00FE2089"/>
    <w:rsid w:val="00FE22AD"/>
    <w:rsid w:val="00FE2481"/>
    <w:rsid w:val="00FE2B2E"/>
    <w:rsid w:val="00FE3015"/>
    <w:rsid w:val="00FE3C69"/>
    <w:rsid w:val="00FE4F43"/>
    <w:rsid w:val="00FE5BF7"/>
    <w:rsid w:val="00FE5F93"/>
    <w:rsid w:val="00FE615D"/>
    <w:rsid w:val="00FE767D"/>
    <w:rsid w:val="00FE7CB6"/>
    <w:rsid w:val="00FF15E3"/>
    <w:rsid w:val="00FF2156"/>
    <w:rsid w:val="00FF3124"/>
    <w:rsid w:val="00FF4868"/>
    <w:rsid w:val="00FF4E0F"/>
    <w:rsid w:val="00FF6784"/>
    <w:rsid w:val="00FF6C1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7187D4"/>
  <w15:docId w15:val="{7D4E0A81-6A9B-4A94-9FCE-3018B39B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53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C60"/>
    <w:pPr>
      <w:ind w:left="720"/>
      <w:contextualSpacing/>
    </w:pPr>
  </w:style>
  <w:style w:type="paragraph" w:styleId="BalloonText">
    <w:name w:val="Balloon Text"/>
    <w:basedOn w:val="Normal"/>
    <w:link w:val="BalloonTextChar"/>
    <w:uiPriority w:val="99"/>
    <w:semiHidden/>
    <w:unhideWhenUsed/>
    <w:rsid w:val="00BB2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7DF"/>
    <w:rPr>
      <w:rFonts w:ascii="Tahoma" w:hAnsi="Tahoma" w:cs="Tahoma"/>
      <w:sz w:val="16"/>
      <w:szCs w:val="16"/>
    </w:rPr>
  </w:style>
  <w:style w:type="paragraph" w:styleId="FootnoteText">
    <w:name w:val="footnote text"/>
    <w:basedOn w:val="Normal"/>
    <w:link w:val="FootnoteTextChar"/>
    <w:uiPriority w:val="99"/>
    <w:unhideWhenUsed/>
    <w:rsid w:val="00D3388D"/>
    <w:pPr>
      <w:spacing w:after="0" w:line="240" w:lineRule="auto"/>
    </w:pPr>
    <w:rPr>
      <w:sz w:val="20"/>
      <w:szCs w:val="20"/>
    </w:rPr>
  </w:style>
  <w:style w:type="character" w:customStyle="1" w:styleId="FootnoteTextChar">
    <w:name w:val="Footnote Text Char"/>
    <w:basedOn w:val="DefaultParagraphFont"/>
    <w:link w:val="FootnoteText"/>
    <w:uiPriority w:val="99"/>
    <w:rsid w:val="00D3388D"/>
    <w:rPr>
      <w:sz w:val="20"/>
      <w:szCs w:val="20"/>
    </w:rPr>
  </w:style>
  <w:style w:type="character" w:styleId="FootnoteReference">
    <w:name w:val="footnote reference"/>
    <w:basedOn w:val="DefaultParagraphFont"/>
    <w:uiPriority w:val="99"/>
    <w:semiHidden/>
    <w:unhideWhenUsed/>
    <w:rsid w:val="00D3388D"/>
    <w:rPr>
      <w:vertAlign w:val="superscript"/>
    </w:rPr>
  </w:style>
  <w:style w:type="character" w:styleId="Hyperlink">
    <w:name w:val="Hyperlink"/>
    <w:basedOn w:val="DefaultParagraphFont"/>
    <w:uiPriority w:val="99"/>
    <w:unhideWhenUsed/>
    <w:rsid w:val="00194BFA"/>
    <w:rPr>
      <w:color w:val="0000FF" w:themeColor="hyperlink"/>
      <w:u w:val="single"/>
    </w:rPr>
  </w:style>
  <w:style w:type="character" w:styleId="PlaceholderText">
    <w:name w:val="Placeholder Text"/>
    <w:basedOn w:val="DefaultParagraphFont"/>
    <w:uiPriority w:val="99"/>
    <w:semiHidden/>
    <w:rsid w:val="00333E81"/>
    <w:rPr>
      <w:color w:val="808080"/>
    </w:rPr>
  </w:style>
  <w:style w:type="paragraph" w:styleId="Header">
    <w:name w:val="header"/>
    <w:basedOn w:val="Normal"/>
    <w:link w:val="HeaderChar"/>
    <w:uiPriority w:val="99"/>
    <w:unhideWhenUsed/>
    <w:rsid w:val="001D17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1755"/>
  </w:style>
  <w:style w:type="paragraph" w:styleId="Footer">
    <w:name w:val="footer"/>
    <w:basedOn w:val="Normal"/>
    <w:link w:val="FooterChar"/>
    <w:uiPriority w:val="99"/>
    <w:unhideWhenUsed/>
    <w:rsid w:val="001D17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1755"/>
  </w:style>
  <w:style w:type="table" w:styleId="TableGrid">
    <w:name w:val="Table Grid"/>
    <w:basedOn w:val="TableNormal"/>
    <w:uiPriority w:val="59"/>
    <w:rsid w:val="001D1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142722"/>
    <w:pPr>
      <w:jc w:val="right"/>
    </w:pPr>
  </w:style>
  <w:style w:type="character" w:customStyle="1" w:styleId="DateChar">
    <w:name w:val="Date Char"/>
    <w:basedOn w:val="DefaultParagraphFont"/>
    <w:link w:val="Date"/>
    <w:uiPriority w:val="99"/>
    <w:semiHidden/>
    <w:rsid w:val="00142722"/>
  </w:style>
  <w:style w:type="character" w:styleId="CommentReference">
    <w:name w:val="annotation reference"/>
    <w:basedOn w:val="DefaultParagraphFont"/>
    <w:uiPriority w:val="99"/>
    <w:semiHidden/>
    <w:unhideWhenUsed/>
    <w:rsid w:val="00211FF7"/>
    <w:rPr>
      <w:sz w:val="18"/>
      <w:szCs w:val="18"/>
    </w:rPr>
  </w:style>
  <w:style w:type="paragraph" w:styleId="CommentText">
    <w:name w:val="annotation text"/>
    <w:basedOn w:val="Normal"/>
    <w:link w:val="CommentTextChar"/>
    <w:uiPriority w:val="99"/>
    <w:semiHidden/>
    <w:unhideWhenUsed/>
    <w:rsid w:val="00211FF7"/>
  </w:style>
  <w:style w:type="character" w:customStyle="1" w:styleId="CommentTextChar">
    <w:name w:val="Comment Text Char"/>
    <w:basedOn w:val="DefaultParagraphFont"/>
    <w:link w:val="CommentText"/>
    <w:uiPriority w:val="99"/>
    <w:semiHidden/>
    <w:rsid w:val="00211FF7"/>
  </w:style>
  <w:style w:type="paragraph" w:styleId="CommentSubject">
    <w:name w:val="annotation subject"/>
    <w:basedOn w:val="CommentText"/>
    <w:next w:val="CommentText"/>
    <w:link w:val="CommentSubjectChar"/>
    <w:uiPriority w:val="99"/>
    <w:semiHidden/>
    <w:unhideWhenUsed/>
    <w:rsid w:val="00211FF7"/>
    <w:rPr>
      <w:b/>
      <w:bCs/>
    </w:rPr>
  </w:style>
  <w:style w:type="character" w:customStyle="1" w:styleId="CommentSubjectChar">
    <w:name w:val="Comment Subject Char"/>
    <w:basedOn w:val="CommentTextChar"/>
    <w:link w:val="CommentSubject"/>
    <w:uiPriority w:val="99"/>
    <w:semiHidden/>
    <w:rsid w:val="00211FF7"/>
    <w:rPr>
      <w:b/>
      <w:bCs/>
    </w:rPr>
  </w:style>
  <w:style w:type="character" w:customStyle="1" w:styleId="UnresolvedMention">
    <w:name w:val="Unresolved Mention"/>
    <w:basedOn w:val="DefaultParagraphFont"/>
    <w:uiPriority w:val="99"/>
    <w:semiHidden/>
    <w:unhideWhenUsed/>
    <w:rsid w:val="007F4D73"/>
    <w:rPr>
      <w:color w:val="605E5C"/>
      <w:shd w:val="clear" w:color="auto" w:fill="E1DFDD"/>
    </w:rPr>
  </w:style>
  <w:style w:type="paragraph" w:styleId="Revision">
    <w:name w:val="Revision"/>
    <w:hidden/>
    <w:uiPriority w:val="99"/>
    <w:semiHidden/>
    <w:rsid w:val="00370E93"/>
    <w:pPr>
      <w:spacing w:after="0" w:line="240" w:lineRule="auto"/>
    </w:pPr>
  </w:style>
  <w:style w:type="paragraph" w:styleId="NormalWeb">
    <w:name w:val="Normal (Web)"/>
    <w:basedOn w:val="Normal"/>
    <w:uiPriority w:val="99"/>
    <w:semiHidden/>
    <w:unhideWhenUsed/>
    <w:rsid w:val="00CA649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F088C"/>
    <w:rPr>
      <w:color w:val="800080" w:themeColor="followedHyperlink"/>
      <w:u w:val="single"/>
    </w:rPr>
  </w:style>
  <w:style w:type="character" w:customStyle="1" w:styleId="Heading1Char">
    <w:name w:val="Heading 1 Char"/>
    <w:basedOn w:val="DefaultParagraphFont"/>
    <w:link w:val="Heading1"/>
    <w:uiPriority w:val="9"/>
    <w:rsid w:val="00B25315"/>
    <w:rPr>
      <w:rFonts w:ascii="Times New Roman" w:eastAsia="Times New Roman" w:hAnsi="Times New Roman" w:cs="Times New Roman"/>
      <w:b/>
      <w:bCs/>
      <w:kern w:val="36"/>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574179">
      <w:bodyDiv w:val="1"/>
      <w:marLeft w:val="0"/>
      <w:marRight w:val="0"/>
      <w:marTop w:val="0"/>
      <w:marBottom w:val="0"/>
      <w:divBdr>
        <w:top w:val="none" w:sz="0" w:space="0" w:color="auto"/>
        <w:left w:val="none" w:sz="0" w:space="0" w:color="auto"/>
        <w:bottom w:val="none" w:sz="0" w:space="0" w:color="auto"/>
        <w:right w:val="none" w:sz="0" w:space="0" w:color="auto"/>
      </w:divBdr>
    </w:div>
    <w:div w:id="353264491">
      <w:bodyDiv w:val="1"/>
      <w:marLeft w:val="0"/>
      <w:marRight w:val="0"/>
      <w:marTop w:val="0"/>
      <w:marBottom w:val="0"/>
      <w:divBdr>
        <w:top w:val="none" w:sz="0" w:space="0" w:color="auto"/>
        <w:left w:val="none" w:sz="0" w:space="0" w:color="auto"/>
        <w:bottom w:val="none" w:sz="0" w:space="0" w:color="auto"/>
        <w:right w:val="none" w:sz="0" w:space="0" w:color="auto"/>
      </w:divBdr>
    </w:div>
    <w:div w:id="574246307">
      <w:bodyDiv w:val="1"/>
      <w:marLeft w:val="0"/>
      <w:marRight w:val="0"/>
      <w:marTop w:val="0"/>
      <w:marBottom w:val="0"/>
      <w:divBdr>
        <w:top w:val="none" w:sz="0" w:space="0" w:color="auto"/>
        <w:left w:val="none" w:sz="0" w:space="0" w:color="auto"/>
        <w:bottom w:val="none" w:sz="0" w:space="0" w:color="auto"/>
        <w:right w:val="none" w:sz="0" w:space="0" w:color="auto"/>
      </w:divBdr>
    </w:div>
    <w:div w:id="605691875">
      <w:bodyDiv w:val="1"/>
      <w:marLeft w:val="0"/>
      <w:marRight w:val="0"/>
      <w:marTop w:val="0"/>
      <w:marBottom w:val="0"/>
      <w:divBdr>
        <w:top w:val="none" w:sz="0" w:space="0" w:color="auto"/>
        <w:left w:val="none" w:sz="0" w:space="0" w:color="auto"/>
        <w:bottom w:val="none" w:sz="0" w:space="0" w:color="auto"/>
        <w:right w:val="none" w:sz="0" w:space="0" w:color="auto"/>
      </w:divBdr>
    </w:div>
    <w:div w:id="905190037">
      <w:bodyDiv w:val="1"/>
      <w:marLeft w:val="0"/>
      <w:marRight w:val="0"/>
      <w:marTop w:val="0"/>
      <w:marBottom w:val="0"/>
      <w:divBdr>
        <w:top w:val="none" w:sz="0" w:space="0" w:color="auto"/>
        <w:left w:val="none" w:sz="0" w:space="0" w:color="auto"/>
        <w:bottom w:val="none" w:sz="0" w:space="0" w:color="auto"/>
        <w:right w:val="none" w:sz="0" w:space="0" w:color="auto"/>
      </w:divBdr>
    </w:div>
    <w:div w:id="987704256">
      <w:bodyDiv w:val="1"/>
      <w:marLeft w:val="0"/>
      <w:marRight w:val="0"/>
      <w:marTop w:val="0"/>
      <w:marBottom w:val="0"/>
      <w:divBdr>
        <w:top w:val="none" w:sz="0" w:space="0" w:color="auto"/>
        <w:left w:val="none" w:sz="0" w:space="0" w:color="auto"/>
        <w:bottom w:val="none" w:sz="0" w:space="0" w:color="auto"/>
        <w:right w:val="none" w:sz="0" w:space="0" w:color="auto"/>
      </w:divBdr>
    </w:div>
    <w:div w:id="1073897434">
      <w:bodyDiv w:val="1"/>
      <w:marLeft w:val="0"/>
      <w:marRight w:val="0"/>
      <w:marTop w:val="0"/>
      <w:marBottom w:val="0"/>
      <w:divBdr>
        <w:top w:val="none" w:sz="0" w:space="0" w:color="auto"/>
        <w:left w:val="none" w:sz="0" w:space="0" w:color="auto"/>
        <w:bottom w:val="none" w:sz="0" w:space="0" w:color="auto"/>
        <w:right w:val="none" w:sz="0" w:space="0" w:color="auto"/>
      </w:divBdr>
    </w:div>
    <w:div w:id="1096754970">
      <w:bodyDiv w:val="1"/>
      <w:marLeft w:val="0"/>
      <w:marRight w:val="0"/>
      <w:marTop w:val="0"/>
      <w:marBottom w:val="0"/>
      <w:divBdr>
        <w:top w:val="none" w:sz="0" w:space="0" w:color="auto"/>
        <w:left w:val="none" w:sz="0" w:space="0" w:color="auto"/>
        <w:bottom w:val="none" w:sz="0" w:space="0" w:color="auto"/>
        <w:right w:val="none" w:sz="0" w:space="0" w:color="auto"/>
      </w:divBdr>
    </w:div>
    <w:div w:id="1139616764">
      <w:bodyDiv w:val="1"/>
      <w:marLeft w:val="0"/>
      <w:marRight w:val="0"/>
      <w:marTop w:val="0"/>
      <w:marBottom w:val="0"/>
      <w:divBdr>
        <w:top w:val="none" w:sz="0" w:space="0" w:color="auto"/>
        <w:left w:val="none" w:sz="0" w:space="0" w:color="auto"/>
        <w:bottom w:val="none" w:sz="0" w:space="0" w:color="auto"/>
        <w:right w:val="none" w:sz="0" w:space="0" w:color="auto"/>
      </w:divBdr>
    </w:div>
    <w:div w:id="1227303210">
      <w:bodyDiv w:val="1"/>
      <w:marLeft w:val="0"/>
      <w:marRight w:val="0"/>
      <w:marTop w:val="0"/>
      <w:marBottom w:val="0"/>
      <w:divBdr>
        <w:top w:val="none" w:sz="0" w:space="0" w:color="auto"/>
        <w:left w:val="none" w:sz="0" w:space="0" w:color="auto"/>
        <w:bottom w:val="none" w:sz="0" w:space="0" w:color="auto"/>
        <w:right w:val="none" w:sz="0" w:space="0" w:color="auto"/>
      </w:divBdr>
    </w:div>
    <w:div w:id="1274628322">
      <w:bodyDiv w:val="1"/>
      <w:marLeft w:val="0"/>
      <w:marRight w:val="0"/>
      <w:marTop w:val="0"/>
      <w:marBottom w:val="0"/>
      <w:divBdr>
        <w:top w:val="none" w:sz="0" w:space="0" w:color="auto"/>
        <w:left w:val="none" w:sz="0" w:space="0" w:color="auto"/>
        <w:bottom w:val="none" w:sz="0" w:space="0" w:color="auto"/>
        <w:right w:val="none" w:sz="0" w:space="0" w:color="auto"/>
      </w:divBdr>
    </w:div>
    <w:div w:id="1395469539">
      <w:bodyDiv w:val="1"/>
      <w:marLeft w:val="0"/>
      <w:marRight w:val="0"/>
      <w:marTop w:val="0"/>
      <w:marBottom w:val="0"/>
      <w:divBdr>
        <w:top w:val="none" w:sz="0" w:space="0" w:color="auto"/>
        <w:left w:val="none" w:sz="0" w:space="0" w:color="auto"/>
        <w:bottom w:val="none" w:sz="0" w:space="0" w:color="auto"/>
        <w:right w:val="none" w:sz="0" w:space="0" w:color="auto"/>
      </w:divBdr>
    </w:div>
    <w:div w:id="201372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jstor.org/stable/2336182" TargetMode="External"/><Relationship Id="rId3" Type="http://schemas.openxmlformats.org/officeDocument/2006/relationships/hyperlink" Target="https://www.jstor.org/stable/41236106" TargetMode="External"/><Relationship Id="rId7" Type="http://schemas.openxmlformats.org/officeDocument/2006/relationships/hyperlink" Target="https://www.hkma.gov.hk/media/eng/publication-and-research/quarterly-bulletin/qb200506/fa2.pdf" TargetMode="External"/><Relationship Id="rId12" Type="http://schemas.openxmlformats.org/officeDocument/2006/relationships/hyperlink" Target="https://www.worldbank.org/commodities" TargetMode="External"/><Relationship Id="rId2" Type="http://schemas.openxmlformats.org/officeDocument/2006/relationships/hyperlink" Target="https://www.jstor.org/stable/j.ctv1pncnkx" TargetMode="External"/><Relationship Id="rId1" Type="http://schemas.openxmlformats.org/officeDocument/2006/relationships/hyperlink" Target="https://www.chicagofed.org/publications/economic-perspectives/1994/04marapr1994-part2-campbell" TargetMode="External"/><Relationship Id="rId6" Type="http://schemas.openxmlformats.org/officeDocument/2006/relationships/hyperlink" Target="https://www.nber.org/papers/w0708" TargetMode="External"/><Relationship Id="rId11" Type="http://schemas.openxmlformats.org/officeDocument/2006/relationships/hyperlink" Target="https://www.jstor.org/stable/1913236" TargetMode="External"/><Relationship Id="rId5" Type="http://schemas.openxmlformats.org/officeDocument/2006/relationships/hyperlink" Target="https://www.chicagofed.org/publications/economic-perspectives/2010/2q-hu-toussaint-comeau" TargetMode="External"/><Relationship Id="rId10" Type="http://schemas.openxmlformats.org/officeDocument/2006/relationships/hyperlink" Target="https://www.jstor.org/stable/1913610" TargetMode="External"/><Relationship Id="rId4" Type="http://schemas.openxmlformats.org/officeDocument/2006/relationships/hyperlink" Target="https://www.jstor.org/stable/1818136" TargetMode="External"/><Relationship Id="rId9" Type="http://schemas.openxmlformats.org/officeDocument/2006/relationships/hyperlink" Target="https://www.jstor.org/stable/2627346"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Sheet1!$I$2</c:f>
              <c:strCache>
                <c:ptCount val="1"/>
                <c:pt idx="0">
                  <c:v>CCPI</c:v>
                </c:pt>
              </c:strCache>
            </c:strRef>
          </c:tx>
          <c:spPr>
            <a:ln w="28575" cap="rnd">
              <a:solidFill>
                <a:schemeClr val="accent1"/>
              </a:solidFill>
              <a:round/>
            </a:ln>
            <a:effectLst/>
          </c:spPr>
          <c:marker>
            <c:symbol val="none"/>
          </c:marker>
          <c:cat>
            <c:numRef>
              <c:f>Sheet1!$A$3:$A$40</c:f>
              <c:numCache>
                <c:formatCode>General</c:formatCode>
                <c:ptCount val="38"/>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pt idx="27">
                  <c:v>2011</c:v>
                </c:pt>
                <c:pt idx="28">
                  <c:v>2012</c:v>
                </c:pt>
                <c:pt idx="29">
                  <c:v>2013</c:v>
                </c:pt>
                <c:pt idx="30">
                  <c:v>2014</c:v>
                </c:pt>
                <c:pt idx="31">
                  <c:v>2015</c:v>
                </c:pt>
                <c:pt idx="32">
                  <c:v>2016</c:v>
                </c:pt>
                <c:pt idx="33">
                  <c:v>2017</c:v>
                </c:pt>
                <c:pt idx="34">
                  <c:v>2018</c:v>
                </c:pt>
                <c:pt idx="35">
                  <c:v>2019</c:v>
                </c:pt>
                <c:pt idx="36">
                  <c:v>2020</c:v>
                </c:pt>
                <c:pt idx="37">
                  <c:v>2021</c:v>
                </c:pt>
              </c:numCache>
            </c:numRef>
          </c:cat>
          <c:val>
            <c:numRef>
              <c:f>Sheet1!$I$3:$I$40</c:f>
              <c:numCache>
                <c:formatCode>General</c:formatCode>
                <c:ptCount val="38"/>
                <c:pt idx="0">
                  <c:v>1</c:v>
                </c:pt>
                <c:pt idx="1">
                  <c:v>1.0352112676056338</c:v>
                </c:pt>
                <c:pt idx="2">
                  <c:v>1.0704225352112675</c:v>
                </c:pt>
                <c:pt idx="3">
                  <c:v>1.1302816901408452</c:v>
                </c:pt>
                <c:pt idx="4">
                  <c:v>1.2218309859154932</c:v>
                </c:pt>
                <c:pt idx="5">
                  <c:v>1.3450704225352115</c:v>
                </c:pt>
                <c:pt idx="6">
                  <c:v>1.4823943661971832</c:v>
                </c:pt>
                <c:pt idx="7">
                  <c:v>1.6514084507042255</c:v>
                </c:pt>
                <c:pt idx="8">
                  <c:v>1.806338028169014</c:v>
                </c:pt>
                <c:pt idx="9">
                  <c:v>1.9683098591549297</c:v>
                </c:pt>
                <c:pt idx="10">
                  <c:v>2.140845070422535</c:v>
                </c:pt>
                <c:pt idx="11">
                  <c:v>2.334507042253521</c:v>
                </c:pt>
                <c:pt idx="12">
                  <c:v>2.482394366197183</c:v>
                </c:pt>
                <c:pt idx="13">
                  <c:v>2.6267605633802815</c:v>
                </c:pt>
                <c:pt idx="14">
                  <c:v>2.700704225352113</c:v>
                </c:pt>
                <c:pt idx="15">
                  <c:v>2.591549295774648</c:v>
                </c:pt>
                <c:pt idx="16">
                  <c:v>2.496478873239437</c:v>
                </c:pt>
                <c:pt idx="17">
                  <c:v>2.4577464788732395</c:v>
                </c:pt>
                <c:pt idx="18">
                  <c:v>2.380281690140845</c:v>
                </c:pt>
                <c:pt idx="19">
                  <c:v>2.320422535211268</c:v>
                </c:pt>
                <c:pt idx="20">
                  <c:v>2.3098591549295775</c:v>
                </c:pt>
                <c:pt idx="21">
                  <c:v>2.330985915492958</c:v>
                </c:pt>
                <c:pt idx="22">
                  <c:v>2.380281690140845</c:v>
                </c:pt>
                <c:pt idx="23">
                  <c:v>2.4260563380281694</c:v>
                </c:pt>
                <c:pt idx="24">
                  <c:v>2.5316901408450709</c:v>
                </c:pt>
                <c:pt idx="25">
                  <c:v>2.545774647887324</c:v>
                </c:pt>
                <c:pt idx="26">
                  <c:v>2.6056338028169015</c:v>
                </c:pt>
                <c:pt idx="27">
                  <c:v>2.7429577464788735</c:v>
                </c:pt>
                <c:pt idx="28">
                  <c:v>2.8556338028169015</c:v>
                </c:pt>
                <c:pt idx="29">
                  <c:v>2.9788732394366195</c:v>
                </c:pt>
                <c:pt idx="30">
                  <c:v>3.109154929577465</c:v>
                </c:pt>
                <c:pt idx="31">
                  <c:v>3.204225352112676</c:v>
                </c:pt>
                <c:pt idx="32">
                  <c:v>3.2816901408450705</c:v>
                </c:pt>
                <c:pt idx="33">
                  <c:v>3.3309859154929575</c:v>
                </c:pt>
                <c:pt idx="34">
                  <c:v>3.408450704225352</c:v>
                </c:pt>
                <c:pt idx="35">
                  <c:v>3.5070422535211265</c:v>
                </c:pt>
                <c:pt idx="36">
                  <c:v>3.5176056338028174</c:v>
                </c:pt>
                <c:pt idx="37">
                  <c:v>3.570422535211268</c:v>
                </c:pt>
              </c:numCache>
            </c:numRef>
          </c:val>
          <c:smooth val="0"/>
          <c:extLst>
            <c:ext xmlns:c16="http://schemas.microsoft.com/office/drawing/2014/chart" uri="{C3380CC4-5D6E-409C-BE32-E72D297353CC}">
              <c16:uniqueId val="{00000000-9796-48C6-896C-45422E4F3FE1}"/>
            </c:ext>
          </c:extLst>
        </c:ser>
        <c:ser>
          <c:idx val="1"/>
          <c:order val="1"/>
          <c:tx>
            <c:strRef>
              <c:f>Sheet1!$J$2</c:f>
              <c:strCache>
                <c:ptCount val="1"/>
                <c:pt idx="0">
                  <c:v>Unit Labour Cost</c:v>
                </c:pt>
              </c:strCache>
            </c:strRef>
          </c:tx>
          <c:spPr>
            <a:ln w="28575" cap="rnd">
              <a:solidFill>
                <a:schemeClr val="accent2"/>
              </a:solidFill>
              <a:round/>
            </a:ln>
            <a:effectLst/>
          </c:spPr>
          <c:marker>
            <c:symbol val="none"/>
          </c:marker>
          <c:cat>
            <c:numRef>
              <c:f>Sheet1!$A$3:$A$40</c:f>
              <c:numCache>
                <c:formatCode>General</c:formatCode>
                <c:ptCount val="38"/>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pt idx="27">
                  <c:v>2011</c:v>
                </c:pt>
                <c:pt idx="28">
                  <c:v>2012</c:v>
                </c:pt>
                <c:pt idx="29">
                  <c:v>2013</c:v>
                </c:pt>
                <c:pt idx="30">
                  <c:v>2014</c:v>
                </c:pt>
                <c:pt idx="31">
                  <c:v>2015</c:v>
                </c:pt>
                <c:pt idx="32">
                  <c:v>2016</c:v>
                </c:pt>
                <c:pt idx="33">
                  <c:v>2017</c:v>
                </c:pt>
                <c:pt idx="34">
                  <c:v>2018</c:v>
                </c:pt>
                <c:pt idx="35">
                  <c:v>2019</c:v>
                </c:pt>
                <c:pt idx="36">
                  <c:v>2020</c:v>
                </c:pt>
                <c:pt idx="37">
                  <c:v>2021</c:v>
                </c:pt>
              </c:numCache>
            </c:numRef>
          </c:cat>
          <c:val>
            <c:numRef>
              <c:f>Sheet1!$J$3:$J$40</c:f>
              <c:numCache>
                <c:formatCode>General</c:formatCode>
                <c:ptCount val="38"/>
                <c:pt idx="0">
                  <c:v>1</c:v>
                </c:pt>
                <c:pt idx="1">
                  <c:v>1.1107814793656134</c:v>
                </c:pt>
                <c:pt idx="2">
                  <c:v>1.1541275594720755</c:v>
                </c:pt>
                <c:pt idx="3">
                  <c:v>1.1558815237320439</c:v>
                </c:pt>
                <c:pt idx="4">
                  <c:v>1.2095182753006195</c:v>
                </c:pt>
                <c:pt idx="5">
                  <c:v>1.390812640609832</c:v>
                </c:pt>
                <c:pt idx="6">
                  <c:v>1.5522718330559535</c:v>
                </c:pt>
                <c:pt idx="7">
                  <c:v>1.714715979171241</c:v>
                </c:pt>
                <c:pt idx="8">
                  <c:v>1.8234978436671874</c:v>
                </c:pt>
                <c:pt idx="9">
                  <c:v>1.9877367396263255</c:v>
                </c:pt>
                <c:pt idx="10">
                  <c:v>2.1698274380906031</c:v>
                </c:pt>
                <c:pt idx="11">
                  <c:v>2.4009424263956891</c:v>
                </c:pt>
                <c:pt idx="12">
                  <c:v>2.6859456786559219</c:v>
                </c:pt>
                <c:pt idx="13">
                  <c:v>2.8948309666280574</c:v>
                </c:pt>
                <c:pt idx="14">
                  <c:v>3.1566341724334177</c:v>
                </c:pt>
                <c:pt idx="15">
                  <c:v>3.0596356343990667</c:v>
                </c:pt>
                <c:pt idx="16">
                  <c:v>2.9688273630777773</c:v>
                </c:pt>
                <c:pt idx="17">
                  <c:v>3.0500718614259106</c:v>
                </c:pt>
                <c:pt idx="18">
                  <c:v>2.9362212221665303</c:v>
                </c:pt>
                <c:pt idx="19">
                  <c:v>2.7731082534954967</c:v>
                </c:pt>
                <c:pt idx="20">
                  <c:v>2.6011040286452789</c:v>
                </c:pt>
                <c:pt idx="21">
                  <c:v>2.5561606877648058</c:v>
                </c:pt>
                <c:pt idx="22">
                  <c:v>2.4921498050853481</c:v>
                </c:pt>
                <c:pt idx="23">
                  <c:v>2.4887511435844343</c:v>
                </c:pt>
                <c:pt idx="24">
                  <c:v>2.5219136972863065</c:v>
                </c:pt>
                <c:pt idx="25">
                  <c:v>2.5679418581606379</c:v>
                </c:pt>
                <c:pt idx="26">
                  <c:v>2.4683920670038315</c:v>
                </c:pt>
                <c:pt idx="27">
                  <c:v>2.6147104666194716</c:v>
                </c:pt>
                <c:pt idx="28">
                  <c:v>2.800903577665494</c:v>
                </c:pt>
                <c:pt idx="29">
                  <c:v>2.9139016916310383</c:v>
                </c:pt>
                <c:pt idx="30">
                  <c:v>2.9731432995075617</c:v>
                </c:pt>
                <c:pt idx="31">
                  <c:v>3.0607162204535117</c:v>
                </c:pt>
                <c:pt idx="32">
                  <c:v>3.1199508048645215</c:v>
                </c:pt>
                <c:pt idx="33">
                  <c:v>3.1548860013624971</c:v>
                </c:pt>
                <c:pt idx="34">
                  <c:v>3.2311930692807493</c:v>
                </c:pt>
                <c:pt idx="35">
                  <c:v>3.3860604176310498</c:v>
                </c:pt>
                <c:pt idx="36">
                  <c:v>3.5326133626370839</c:v>
                </c:pt>
                <c:pt idx="37">
                  <c:v>3.3396004043460819</c:v>
                </c:pt>
              </c:numCache>
            </c:numRef>
          </c:val>
          <c:smooth val="0"/>
          <c:extLst>
            <c:ext xmlns:c16="http://schemas.microsoft.com/office/drawing/2014/chart" uri="{C3380CC4-5D6E-409C-BE32-E72D297353CC}">
              <c16:uniqueId val="{00000001-9796-48C6-896C-45422E4F3FE1}"/>
            </c:ext>
          </c:extLst>
        </c:ser>
        <c:dLbls>
          <c:showLegendKey val="0"/>
          <c:showVal val="0"/>
          <c:showCatName val="0"/>
          <c:showSerName val="0"/>
          <c:showPercent val="0"/>
          <c:showBubbleSize val="0"/>
        </c:dLbls>
        <c:smooth val="0"/>
        <c:axId val="488492176"/>
        <c:axId val="488486928"/>
      </c:lineChart>
      <c:catAx>
        <c:axId val="48849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88486928"/>
        <c:crosses val="autoZero"/>
        <c:auto val="1"/>
        <c:lblAlgn val="ctr"/>
        <c:lblOffset val="100"/>
        <c:noMultiLvlLbl val="0"/>
      </c:catAx>
      <c:valAx>
        <c:axId val="488486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solidFill>
                      <a:sysClr val="windowText" lastClr="000000"/>
                    </a:solidFill>
                    <a:latin typeface="Times New Roman" panose="02020603050405020304" pitchFamily="18" charset="0"/>
                    <a:cs typeface="Times New Roman" panose="02020603050405020304" pitchFamily="18" charset="0"/>
                  </a:rPr>
                  <a:t>Index (1984 = 1)</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88492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4297712B1A444B815D650F78A95484"/>
        <w:category>
          <w:name w:val="General"/>
          <w:gallery w:val="placeholder"/>
        </w:category>
        <w:types>
          <w:type w:val="bbPlcHdr"/>
        </w:types>
        <w:behaviors>
          <w:behavior w:val="content"/>
        </w:behaviors>
        <w:guid w:val="{171B5C02-981F-4A7B-B048-99A3F5AD47EB}"/>
      </w:docPartPr>
      <w:docPartBody>
        <w:p w:rsidR="009336D4" w:rsidRDefault="00C46B37" w:rsidP="00C46B37">
          <w:pPr>
            <w:pStyle w:val="714297712B1A444B815D650F78A95484"/>
          </w:pPr>
          <w:r>
            <w:rPr>
              <w:b/>
              <w:bCs/>
              <w:color w:val="44546A" w:themeColor="text2"/>
              <w:sz w:val="28"/>
              <w:szCs w:val="28"/>
              <w:lang w:val="zh-TW"/>
            </w:rPr>
            <w:t>[</w:t>
          </w:r>
          <w:r>
            <w:rPr>
              <w:b/>
              <w:bCs/>
              <w:color w:val="44546A" w:themeColor="text2"/>
              <w:sz w:val="28"/>
              <w:szCs w:val="28"/>
              <w:lang w:val="zh-TW"/>
            </w:rPr>
            <w:t>鍵入文件標題</w:t>
          </w:r>
          <w:r>
            <w:rPr>
              <w:b/>
              <w:bCs/>
              <w:color w:val="44546A" w:themeColor="text2"/>
              <w:sz w:val="28"/>
              <w:szCs w:val="28"/>
              <w:lang w:val="zh-TW"/>
            </w:rPr>
            <w:t>]</w:t>
          </w:r>
        </w:p>
      </w:docPartBody>
    </w:docPart>
    <w:docPart>
      <w:docPartPr>
        <w:name w:val="572538952BF44F40BF8F526DDF38F44B"/>
        <w:category>
          <w:name w:val="General"/>
          <w:gallery w:val="placeholder"/>
        </w:category>
        <w:types>
          <w:type w:val="bbPlcHdr"/>
        </w:types>
        <w:behaviors>
          <w:behavior w:val="content"/>
        </w:behaviors>
        <w:guid w:val="{B0A6242F-12FC-4487-A4EF-0A4BD08C5BFB}"/>
      </w:docPartPr>
      <w:docPartBody>
        <w:p w:rsidR="009336D4" w:rsidRDefault="00C46B37" w:rsidP="00C46B37">
          <w:pPr>
            <w:pStyle w:val="572538952BF44F40BF8F526DDF38F44B"/>
          </w:pPr>
          <w:r>
            <w:rPr>
              <w:color w:val="5B9BD5" w:themeColor="accent1"/>
              <w:lang w:val="zh-TW"/>
            </w:rPr>
            <w:t>[</w:t>
          </w:r>
          <w:r>
            <w:rPr>
              <w:color w:val="5B9BD5" w:themeColor="accent1"/>
              <w:lang w:val="zh-TW"/>
            </w:rPr>
            <w:t>鍵入文件副標題</w:t>
          </w:r>
          <w:r>
            <w:rPr>
              <w:color w:val="5B9BD5" w:themeColor="accent1"/>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37"/>
    <w:rsid w:val="00095FD8"/>
    <w:rsid w:val="000D4836"/>
    <w:rsid w:val="000F201A"/>
    <w:rsid w:val="0010399E"/>
    <w:rsid w:val="002A35DB"/>
    <w:rsid w:val="002F6649"/>
    <w:rsid w:val="00303FCC"/>
    <w:rsid w:val="00376ECF"/>
    <w:rsid w:val="003A7853"/>
    <w:rsid w:val="004B3C59"/>
    <w:rsid w:val="00737A4E"/>
    <w:rsid w:val="00793865"/>
    <w:rsid w:val="00832D1B"/>
    <w:rsid w:val="0089096F"/>
    <w:rsid w:val="008E2E91"/>
    <w:rsid w:val="009336D4"/>
    <w:rsid w:val="00A85756"/>
    <w:rsid w:val="00AA6967"/>
    <w:rsid w:val="00B373FC"/>
    <w:rsid w:val="00C46B37"/>
    <w:rsid w:val="00D51F32"/>
    <w:rsid w:val="00DE1181"/>
    <w:rsid w:val="00F9394C"/>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標楷體" w:hAnsiTheme="minorHAnsi" w:cstheme="minorBidi"/>
        <w:sz w:val="22"/>
        <w:szCs w:val="22"/>
        <w:lang w:val="en-GB" w:eastAsia="zh-H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A7691308994446A1B78B67721DB17B">
    <w:name w:val="68A7691308994446A1B78B67721DB17B"/>
    <w:rsid w:val="00C46B37"/>
  </w:style>
  <w:style w:type="paragraph" w:customStyle="1" w:styleId="0A31E088F3B74143A35829DC9EB3A593">
    <w:name w:val="0A31E088F3B74143A35829DC9EB3A593"/>
    <w:rsid w:val="00C46B37"/>
  </w:style>
  <w:style w:type="paragraph" w:customStyle="1" w:styleId="714297712B1A444B815D650F78A95484">
    <w:name w:val="714297712B1A444B815D650F78A95484"/>
    <w:rsid w:val="00C46B37"/>
  </w:style>
  <w:style w:type="paragraph" w:customStyle="1" w:styleId="572538952BF44F40BF8F526DDF38F44B">
    <w:name w:val="572538952BF44F40BF8F526DDF38F44B"/>
    <w:rsid w:val="00C46B37"/>
  </w:style>
  <w:style w:type="character" w:styleId="PlaceholderText">
    <w:name w:val="Placeholder Text"/>
    <w:basedOn w:val="DefaultParagraphFont"/>
    <w:uiPriority w:val="99"/>
    <w:semiHidden/>
    <w:rsid w:val="00DE118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asgg</b:Tag>
    <b:SourceType>Book</b:SourceType>
    <b:Guid>{96B48BE9-92ED-4D59-8A3A-A4DCEF61DA04}</b:Guid>
    <b:Title>saf</b:Title>
    <b:Year>g</b:Year>
    <b:City>asf</b:City>
    <b:Publisher>rsg</b:Publisher>
    <b:Author>
      <b:Author>
        <b:NameList>
          <b:Person>
            <b:Last>asg</b:Last>
          </b:Person>
        </b:NameList>
      </b:Author>
    </b:Author>
    <b:RefOrder>1</b:RefOrder>
  </b:Source>
</b:Sources>
</file>

<file path=customXml/itemProps1.xml><?xml version="1.0" encoding="utf-8"?>
<ds:datastoreItem xmlns:ds="http://schemas.openxmlformats.org/officeDocument/2006/customXml" ds:itemID="{7C5DF8AB-8B43-4EC8-BD46-4450DC6B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Office of the Government Economist</vt:lpstr>
    </vt:vector>
  </TitlesOfParts>
  <Company>Hewlett-Packard Company</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Government Economist</dc:title>
  <dc:subject>The Government of the Hong Kong Special Administrative Region</dc:subject>
  <dc:creator>ECON-4C</dc:creator>
  <cp:keywords/>
  <dc:description/>
  <cp:lastModifiedBy>James Patrick VERE</cp:lastModifiedBy>
  <cp:revision>3</cp:revision>
  <cp:lastPrinted>2022-07-07T10:02:00Z</cp:lastPrinted>
  <dcterms:created xsi:type="dcterms:W3CDTF">2022-08-24T06:11:00Z</dcterms:created>
  <dcterms:modified xsi:type="dcterms:W3CDTF">2022-08-24T06:11:00Z</dcterms:modified>
</cp:coreProperties>
</file>