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E144C" w14:textId="2A5BF601" w:rsidR="002063C8" w:rsidRPr="00893638" w:rsidRDefault="00D939BD" w:rsidP="003B71C8">
      <w:pPr>
        <w:snapToGrid w:val="0"/>
        <w:spacing w:after="0"/>
        <w:jc w:val="right"/>
        <w:rPr>
          <w:rFonts w:ascii="Times New Roman" w:eastAsia="標楷體" w:hAnsi="Times New Roman" w:cs="Times New Roman"/>
          <w:b/>
          <w:i/>
          <w:sz w:val="28"/>
          <w:szCs w:val="28"/>
          <w:lang w:val="en-US" w:eastAsia="zh-HK"/>
        </w:rPr>
      </w:pPr>
      <w:r w:rsidRPr="00893638">
        <w:rPr>
          <w:rFonts w:ascii="Times New Roman" w:eastAsia="標楷體" w:hAnsi="Times New Roman"/>
          <w:b/>
          <w:bCs/>
          <w:i/>
          <w:color w:val="808080" w:themeColor="background1" w:themeShade="80"/>
          <w:sz w:val="24"/>
          <w:szCs w:val="28"/>
        </w:rPr>
        <w:t>Economic Letter</w:t>
      </w:r>
      <w:r w:rsidR="003B71C8" w:rsidRPr="00893638">
        <w:rPr>
          <w:rFonts w:ascii="Times New Roman" w:eastAsia="標楷體" w:hAnsi="Times New Roman"/>
          <w:b/>
          <w:bCs/>
          <w:i/>
          <w:color w:val="808080" w:themeColor="background1" w:themeShade="80"/>
          <w:sz w:val="24"/>
          <w:szCs w:val="28"/>
        </w:rPr>
        <w:t xml:space="preserve"> </w:t>
      </w:r>
      <w:r w:rsidR="008E2D14" w:rsidRPr="00893638">
        <w:rPr>
          <w:rFonts w:ascii="Times New Roman" w:eastAsia="標楷體" w:hAnsi="Times New Roman"/>
          <w:b/>
          <w:bCs/>
          <w:i/>
          <w:color w:val="808080" w:themeColor="background1" w:themeShade="80"/>
          <w:sz w:val="24"/>
          <w:szCs w:val="28"/>
        </w:rPr>
        <w:t>20</w:t>
      </w:r>
      <w:r w:rsidR="00DE0E38" w:rsidRPr="00893638">
        <w:rPr>
          <w:rFonts w:ascii="Times New Roman" w:eastAsia="標楷體" w:hAnsi="Times New Roman"/>
          <w:b/>
          <w:bCs/>
          <w:i/>
          <w:color w:val="808080" w:themeColor="background1" w:themeShade="80"/>
          <w:sz w:val="24"/>
          <w:szCs w:val="28"/>
        </w:rPr>
        <w:t>2</w:t>
      </w:r>
      <w:r w:rsidR="00076A0C">
        <w:rPr>
          <w:rFonts w:ascii="Times New Roman" w:eastAsia="標楷體" w:hAnsi="Times New Roman"/>
          <w:b/>
          <w:bCs/>
          <w:i/>
          <w:color w:val="808080" w:themeColor="background1" w:themeShade="80"/>
          <w:sz w:val="24"/>
          <w:szCs w:val="28"/>
        </w:rPr>
        <w:t>2</w:t>
      </w:r>
      <w:r w:rsidRPr="00893638">
        <w:rPr>
          <w:rFonts w:ascii="Times New Roman" w:eastAsia="標楷體" w:hAnsi="Times New Roman" w:hint="eastAsia"/>
          <w:b/>
          <w:bCs/>
          <w:i/>
          <w:color w:val="808080" w:themeColor="background1" w:themeShade="80"/>
          <w:sz w:val="24"/>
          <w:szCs w:val="28"/>
        </w:rPr>
        <w:t>/</w:t>
      </w:r>
      <w:r w:rsidR="00E34B1E">
        <w:rPr>
          <w:rFonts w:ascii="Times New Roman" w:eastAsia="標楷體" w:hAnsi="Times New Roman"/>
          <w:b/>
          <w:bCs/>
          <w:i/>
          <w:color w:val="808080" w:themeColor="background1" w:themeShade="80"/>
          <w:sz w:val="24"/>
          <w:szCs w:val="28"/>
        </w:rPr>
        <w:t>0</w:t>
      </w:r>
      <w:r w:rsidR="00895341">
        <w:rPr>
          <w:rFonts w:ascii="Times New Roman" w:eastAsia="標楷體" w:hAnsi="Times New Roman"/>
          <w:b/>
          <w:bCs/>
          <w:i/>
          <w:color w:val="808080" w:themeColor="background1" w:themeShade="80"/>
          <w:sz w:val="24"/>
          <w:szCs w:val="28"/>
        </w:rPr>
        <w:t>4</w:t>
      </w:r>
    </w:p>
    <w:p w14:paraId="7C1D6067" w14:textId="499E2785" w:rsidR="003B71C8" w:rsidRPr="00893638" w:rsidRDefault="003B71C8" w:rsidP="00090BA7">
      <w:pPr>
        <w:snapToGrid w:val="0"/>
        <w:spacing w:after="0"/>
        <w:jc w:val="center"/>
        <w:rPr>
          <w:rFonts w:ascii="Times New Roman" w:eastAsia="標楷體" w:hAnsi="Times New Roman" w:cs="Times New Roman"/>
          <w:b/>
          <w:i/>
          <w:sz w:val="28"/>
          <w:szCs w:val="28"/>
          <w:lang w:eastAsia="zh-HK"/>
        </w:rPr>
      </w:pPr>
    </w:p>
    <w:p w14:paraId="58B82D0B" w14:textId="77777777" w:rsidR="00D562BC" w:rsidRDefault="00D562BC" w:rsidP="00D562BC">
      <w:pPr>
        <w:overflowPunct w:val="0"/>
        <w:snapToGrid w:val="0"/>
        <w:spacing w:after="0"/>
        <w:jc w:val="center"/>
        <w:rPr>
          <w:rFonts w:ascii="Times New Roman" w:eastAsia="標楷體" w:hAnsi="Times New Roman" w:cs="Times New Roman"/>
          <w:b/>
          <w:sz w:val="28"/>
          <w:szCs w:val="28"/>
          <w:lang w:eastAsia="zh-HK"/>
        </w:rPr>
      </w:pPr>
      <w:r>
        <w:rPr>
          <w:rFonts w:ascii="Times New Roman" w:eastAsia="標楷體" w:hAnsi="Times New Roman" w:cs="Times New Roman"/>
          <w:b/>
          <w:sz w:val="28"/>
          <w:szCs w:val="28"/>
          <w:lang w:eastAsia="zh-HK"/>
        </w:rPr>
        <w:t>Residential property prices and</w:t>
      </w:r>
    </w:p>
    <w:p w14:paraId="0E08437C" w14:textId="5D030A8A" w:rsidR="00B82B74" w:rsidRPr="00893638" w:rsidRDefault="00083751" w:rsidP="00D562BC">
      <w:pPr>
        <w:overflowPunct w:val="0"/>
        <w:snapToGrid w:val="0"/>
        <w:spacing w:after="0"/>
        <w:jc w:val="center"/>
        <w:rPr>
          <w:rFonts w:ascii="Times New Roman" w:eastAsia="標楷體" w:hAnsi="Times New Roman" w:cs="Times New Roman"/>
          <w:b/>
          <w:sz w:val="28"/>
          <w:szCs w:val="28"/>
          <w:lang w:eastAsia="zh-HK"/>
        </w:rPr>
      </w:pPr>
      <w:r>
        <w:rPr>
          <w:rFonts w:ascii="Times New Roman" w:eastAsia="標楷體" w:hAnsi="Times New Roman" w:cs="Times New Roman"/>
          <w:b/>
          <w:sz w:val="28"/>
          <w:szCs w:val="28"/>
          <w:lang w:eastAsia="zh-HK"/>
        </w:rPr>
        <w:t xml:space="preserve">consumer price </w:t>
      </w:r>
      <w:r w:rsidR="00D562BC">
        <w:rPr>
          <w:rFonts w:ascii="Times New Roman" w:eastAsia="標楷體" w:hAnsi="Times New Roman" w:cs="Times New Roman"/>
          <w:b/>
          <w:sz w:val="28"/>
          <w:szCs w:val="28"/>
          <w:lang w:eastAsia="zh-HK"/>
        </w:rPr>
        <w:t xml:space="preserve">inflation </w:t>
      </w:r>
      <w:r w:rsidR="00076A0C">
        <w:rPr>
          <w:rFonts w:ascii="Times New Roman" w:eastAsia="標楷體" w:hAnsi="Times New Roman" w:cs="Times New Roman"/>
          <w:b/>
          <w:sz w:val="28"/>
          <w:szCs w:val="28"/>
          <w:lang w:eastAsia="zh-HK"/>
        </w:rPr>
        <w:t>in Hong Kong</w:t>
      </w:r>
    </w:p>
    <w:p w14:paraId="6E11AD75" w14:textId="335D531E" w:rsidR="000143A4" w:rsidRPr="00893638" w:rsidRDefault="000143A4" w:rsidP="00DD58D9">
      <w:pPr>
        <w:overflowPunct w:val="0"/>
        <w:snapToGrid w:val="0"/>
        <w:spacing w:after="0"/>
        <w:jc w:val="both"/>
        <w:rPr>
          <w:rFonts w:ascii="Times New Roman" w:eastAsia="標楷體" w:hAnsi="Times New Roman" w:cs="Times New Roman"/>
          <w:sz w:val="28"/>
          <w:szCs w:val="28"/>
          <w:lang w:eastAsia="zh-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DD387C" w:rsidRPr="00893638" w14:paraId="4F4B84E8" w14:textId="77777777" w:rsidTr="001C36B8">
        <w:tc>
          <w:tcPr>
            <w:tcW w:w="8296" w:type="dxa"/>
          </w:tcPr>
          <w:p w14:paraId="1D8D42E1" w14:textId="3FCD751A" w:rsidR="00DD387C" w:rsidRPr="00893638" w:rsidRDefault="00DD387C" w:rsidP="00DD58D9">
            <w:pPr>
              <w:overflowPunct w:val="0"/>
              <w:snapToGrid w:val="0"/>
              <w:jc w:val="center"/>
              <w:rPr>
                <w:rFonts w:ascii="Times New Roman" w:eastAsia="標楷體" w:hAnsi="Times New Roman" w:cs="Times New Roman"/>
                <w:sz w:val="28"/>
                <w:szCs w:val="28"/>
                <w:lang w:eastAsia="zh-HK"/>
              </w:rPr>
            </w:pPr>
            <w:r>
              <w:rPr>
                <w:rFonts w:ascii="Times New Roman" w:eastAsia="標楷體" w:hAnsi="Times New Roman" w:cs="Times New Roman"/>
                <w:sz w:val="28"/>
                <w:szCs w:val="28"/>
                <w:lang w:eastAsia="zh-HK"/>
              </w:rPr>
              <w:t>James P Vere</w:t>
            </w:r>
          </w:p>
        </w:tc>
      </w:tr>
      <w:tr w:rsidR="00DD387C" w:rsidRPr="00893638" w14:paraId="3D26B372" w14:textId="77777777" w:rsidTr="001C36B8">
        <w:tc>
          <w:tcPr>
            <w:tcW w:w="8296" w:type="dxa"/>
          </w:tcPr>
          <w:p w14:paraId="0F2297D0" w14:textId="790F3C04" w:rsidR="00DD387C" w:rsidRPr="00893638" w:rsidRDefault="00DD387C" w:rsidP="00DD387C">
            <w:pPr>
              <w:overflowPunct w:val="0"/>
              <w:snapToGrid w:val="0"/>
              <w:jc w:val="center"/>
              <w:rPr>
                <w:rFonts w:ascii="Times New Roman" w:eastAsia="標楷體" w:hAnsi="Times New Roman" w:cs="Times New Roman"/>
                <w:sz w:val="28"/>
                <w:szCs w:val="28"/>
                <w:lang w:eastAsia="zh-HK"/>
              </w:rPr>
            </w:pPr>
            <w:r>
              <w:rPr>
                <w:rFonts w:ascii="Times New Roman" w:eastAsia="標楷體" w:hAnsi="Times New Roman" w:cs="Times New Roman"/>
                <w:sz w:val="28"/>
                <w:szCs w:val="28"/>
                <w:lang w:eastAsia="zh-HK"/>
              </w:rPr>
              <w:t xml:space="preserve">Senior </w:t>
            </w:r>
            <w:r w:rsidRPr="00893638">
              <w:rPr>
                <w:rFonts w:ascii="Times New Roman" w:eastAsia="標楷體" w:hAnsi="Times New Roman" w:cs="Times New Roman"/>
                <w:sz w:val="28"/>
                <w:szCs w:val="28"/>
                <w:lang w:eastAsia="zh-HK"/>
              </w:rPr>
              <w:t>Economist</w:t>
            </w:r>
          </w:p>
        </w:tc>
      </w:tr>
    </w:tbl>
    <w:p w14:paraId="6A0A4EEE" w14:textId="6B5C60CC" w:rsidR="00E4377E" w:rsidRPr="00893638" w:rsidRDefault="00E4377E" w:rsidP="00DD58D9">
      <w:pPr>
        <w:overflowPunct w:val="0"/>
        <w:snapToGrid w:val="0"/>
        <w:spacing w:after="0"/>
        <w:rPr>
          <w:rFonts w:ascii="Times New Roman" w:eastAsia="標楷體" w:hAnsi="Times New Roman" w:cs="Times New Roman"/>
          <w:sz w:val="28"/>
          <w:szCs w:val="28"/>
          <w:lang w:eastAsia="zh-HK"/>
        </w:rPr>
      </w:pPr>
    </w:p>
    <w:p w14:paraId="2882EFBB" w14:textId="3CF790B8" w:rsidR="00142722" w:rsidRPr="00D32AC6" w:rsidRDefault="00472EA7" w:rsidP="00DD58D9">
      <w:pPr>
        <w:overflowPunct w:val="0"/>
        <w:snapToGrid w:val="0"/>
        <w:spacing w:after="0"/>
        <w:jc w:val="center"/>
        <w:rPr>
          <w:rFonts w:ascii="Times New Roman" w:eastAsia="標楷體" w:hAnsi="Times New Roman" w:cs="Times New Roman"/>
          <w:sz w:val="28"/>
          <w:szCs w:val="28"/>
          <w:lang w:eastAsia="zh-HK"/>
        </w:rPr>
      </w:pPr>
      <w:r>
        <w:rPr>
          <w:rFonts w:ascii="Times New Roman" w:eastAsia="標楷體" w:hAnsi="Times New Roman" w:cs="Times New Roman"/>
          <w:sz w:val="28"/>
          <w:szCs w:val="28"/>
          <w:lang w:eastAsia="zh-HK"/>
        </w:rPr>
        <w:t>November</w:t>
      </w:r>
      <w:r w:rsidR="000143A4" w:rsidRPr="00D32AC6">
        <w:rPr>
          <w:rFonts w:ascii="Times New Roman" w:eastAsia="標楷體" w:hAnsi="Times New Roman" w:cs="Times New Roman"/>
          <w:sz w:val="28"/>
          <w:szCs w:val="28"/>
          <w:lang w:eastAsia="zh-HK"/>
        </w:rPr>
        <w:t xml:space="preserve"> </w:t>
      </w:r>
      <w:r w:rsidR="008E2D14" w:rsidRPr="00D32AC6">
        <w:rPr>
          <w:rFonts w:ascii="Times New Roman" w:eastAsia="標楷體" w:hAnsi="Times New Roman" w:cs="Times New Roman"/>
          <w:sz w:val="28"/>
          <w:szCs w:val="28"/>
          <w:lang w:eastAsia="zh-HK"/>
        </w:rPr>
        <w:t>202</w:t>
      </w:r>
      <w:r w:rsidR="00076A0C">
        <w:rPr>
          <w:rFonts w:ascii="Times New Roman" w:eastAsia="標楷體" w:hAnsi="Times New Roman" w:cs="Times New Roman"/>
          <w:sz w:val="28"/>
          <w:szCs w:val="28"/>
          <w:lang w:eastAsia="zh-HK"/>
        </w:rPr>
        <w:t>2</w:t>
      </w:r>
    </w:p>
    <w:p w14:paraId="4233A8A8" w14:textId="30CC3290" w:rsidR="00161A34" w:rsidRPr="00D32AC6" w:rsidRDefault="00161A34" w:rsidP="00DD58D9">
      <w:pPr>
        <w:overflowPunct w:val="0"/>
        <w:snapToGrid w:val="0"/>
        <w:spacing w:after="0"/>
        <w:jc w:val="both"/>
        <w:rPr>
          <w:rFonts w:ascii="Times New Roman" w:eastAsia="標楷體" w:hAnsi="Times New Roman" w:cs="Times New Roman"/>
          <w:sz w:val="28"/>
          <w:szCs w:val="28"/>
          <w:lang w:eastAsia="zh-HK"/>
        </w:rPr>
      </w:pPr>
    </w:p>
    <w:p w14:paraId="52DA190F" w14:textId="7166DE2D" w:rsidR="00B8351D" w:rsidRPr="00D32AC6" w:rsidRDefault="00142722" w:rsidP="00DD58D9">
      <w:pPr>
        <w:overflowPunct w:val="0"/>
        <w:snapToGrid w:val="0"/>
        <w:spacing w:afterLines="50" w:after="120"/>
        <w:jc w:val="center"/>
        <w:rPr>
          <w:rFonts w:ascii="Times New Roman" w:eastAsia="標楷體" w:hAnsi="Times New Roman" w:cs="Times New Roman"/>
          <w:b/>
          <w:sz w:val="26"/>
          <w:szCs w:val="26"/>
          <w:lang w:eastAsia="zh-HK"/>
        </w:rPr>
      </w:pPr>
      <w:r w:rsidRPr="00D32AC6">
        <w:rPr>
          <w:rFonts w:ascii="Times New Roman" w:eastAsia="標楷體" w:hAnsi="Times New Roman" w:cs="Times New Roman"/>
          <w:b/>
          <w:sz w:val="26"/>
          <w:szCs w:val="26"/>
          <w:lang w:eastAsia="zh-HK"/>
        </w:rPr>
        <w:t>Abstract</w:t>
      </w:r>
    </w:p>
    <w:p w14:paraId="14004119" w14:textId="36A7D99A" w:rsidR="00B8351D" w:rsidRPr="00D32AC6" w:rsidRDefault="00314250" w:rsidP="00DD58D9">
      <w:pPr>
        <w:overflowPunct w:val="0"/>
        <w:snapToGrid w:val="0"/>
        <w:spacing w:after="0"/>
        <w:jc w:val="both"/>
        <w:rPr>
          <w:rFonts w:ascii="Times New Roman" w:eastAsia="標楷體" w:hAnsi="Times New Roman" w:cs="Times New Roman"/>
          <w:sz w:val="26"/>
          <w:szCs w:val="26"/>
        </w:rPr>
      </w:pPr>
      <w:r>
        <w:rPr>
          <w:rFonts w:ascii="Times New Roman" w:hAnsi="Times New Roman"/>
          <w:sz w:val="26"/>
          <w:szCs w:val="26"/>
        </w:rPr>
        <w:t>This article examines the relationship between residential property prices and consumer price inflation in Hong Kong with quarterly data from 1984 to 2021</w:t>
      </w:r>
      <w:r w:rsidR="00CF2E90">
        <w:rPr>
          <w:rFonts w:ascii="Times New Roman" w:hAnsi="Times New Roman"/>
          <w:sz w:val="26"/>
          <w:szCs w:val="26"/>
        </w:rPr>
        <w:t>.</w:t>
      </w:r>
      <w:r>
        <w:rPr>
          <w:rFonts w:ascii="Times New Roman" w:hAnsi="Times New Roman"/>
          <w:sz w:val="26"/>
          <w:szCs w:val="26"/>
        </w:rPr>
        <w:t xml:space="preserve">  In principle, as private residential property prices are asset prices, they should move in advance of private housing rents and may be correlated with other types of expenditures as well.  Results from a vector error correction model show that, in the long run, movements in private residential property prices are fully reflected in the </w:t>
      </w:r>
      <w:r w:rsidR="00F83EA6">
        <w:rPr>
          <w:rFonts w:ascii="Times New Roman" w:hAnsi="Times New Roman"/>
          <w:sz w:val="26"/>
          <w:szCs w:val="26"/>
        </w:rPr>
        <w:t xml:space="preserve">private </w:t>
      </w:r>
      <w:r>
        <w:rPr>
          <w:rFonts w:ascii="Times New Roman" w:hAnsi="Times New Roman"/>
          <w:sz w:val="26"/>
          <w:szCs w:val="26"/>
        </w:rPr>
        <w:t xml:space="preserve">housing </w:t>
      </w:r>
      <w:r w:rsidR="00F83EA6">
        <w:rPr>
          <w:rFonts w:ascii="Times New Roman" w:hAnsi="Times New Roman"/>
          <w:sz w:val="26"/>
          <w:szCs w:val="26"/>
        </w:rPr>
        <w:t xml:space="preserve">rental </w:t>
      </w:r>
      <w:r>
        <w:rPr>
          <w:rFonts w:ascii="Times New Roman" w:hAnsi="Times New Roman"/>
          <w:sz w:val="26"/>
          <w:szCs w:val="26"/>
        </w:rPr>
        <w:t>component of H</w:t>
      </w:r>
      <w:r w:rsidRPr="00314250">
        <w:rPr>
          <w:rFonts w:ascii="Times New Roman" w:hAnsi="Times New Roman"/>
          <w:sz w:val="26"/>
          <w:szCs w:val="26"/>
        </w:rPr>
        <w:t>ong Kong’s Composite Consumer Price Index (CCPI)</w:t>
      </w:r>
      <w:r>
        <w:rPr>
          <w:rFonts w:ascii="Times New Roman" w:hAnsi="Times New Roman"/>
          <w:sz w:val="26"/>
          <w:szCs w:val="26"/>
        </w:rPr>
        <w:t>.</w:t>
      </w:r>
      <w:r w:rsidR="00A37E6A">
        <w:rPr>
          <w:rFonts w:ascii="Times New Roman" w:hAnsi="Times New Roman"/>
          <w:sz w:val="26"/>
          <w:szCs w:val="26"/>
        </w:rPr>
        <w:t xml:space="preserve">  </w:t>
      </w:r>
      <w:r w:rsidR="00125C82">
        <w:rPr>
          <w:rFonts w:ascii="Times New Roman" w:hAnsi="Times New Roman"/>
          <w:sz w:val="26"/>
          <w:szCs w:val="26"/>
        </w:rPr>
        <w:t>T</w:t>
      </w:r>
      <w:r w:rsidR="00A37E6A">
        <w:rPr>
          <w:rFonts w:ascii="Times New Roman" w:hAnsi="Times New Roman"/>
          <w:sz w:val="26"/>
          <w:szCs w:val="26"/>
        </w:rPr>
        <w:t xml:space="preserve">he long-run elasticity of </w:t>
      </w:r>
      <w:r w:rsidR="00125C82">
        <w:rPr>
          <w:rFonts w:ascii="Times New Roman" w:hAnsi="Times New Roman"/>
          <w:sz w:val="26"/>
          <w:szCs w:val="26"/>
        </w:rPr>
        <w:t xml:space="preserve">overall </w:t>
      </w:r>
      <w:r w:rsidR="00A37E6A" w:rsidRPr="00A37E6A">
        <w:rPr>
          <w:rFonts w:ascii="Times New Roman" w:hAnsi="Times New Roman"/>
          <w:sz w:val="26"/>
          <w:szCs w:val="26"/>
        </w:rPr>
        <w:t>consumer prices with respect to private residential property prices is about 0.6</w:t>
      </w:r>
      <w:r w:rsidR="00A37E6A">
        <w:rPr>
          <w:rFonts w:ascii="Times New Roman" w:hAnsi="Times New Roman"/>
          <w:sz w:val="26"/>
          <w:szCs w:val="26"/>
        </w:rPr>
        <w:t>.</w:t>
      </w:r>
    </w:p>
    <w:p w14:paraId="68CE1E17" w14:textId="77777777" w:rsidR="00150770" w:rsidRPr="00D32AC6" w:rsidRDefault="00150770" w:rsidP="00DD58D9">
      <w:pPr>
        <w:overflowPunct w:val="0"/>
        <w:snapToGrid w:val="0"/>
        <w:spacing w:after="0"/>
        <w:jc w:val="both"/>
        <w:rPr>
          <w:rFonts w:ascii="Times New Roman" w:eastAsia="標楷體" w:hAnsi="Times New Roman" w:cs="Times New Roman"/>
          <w:sz w:val="28"/>
          <w:szCs w:val="28"/>
          <w:lang w:eastAsia="zh-HK"/>
        </w:rPr>
      </w:pPr>
    </w:p>
    <w:p w14:paraId="46655988" w14:textId="42C1C7DA" w:rsidR="0010627C" w:rsidRPr="008156FB" w:rsidRDefault="00F83EA6" w:rsidP="00DD58D9">
      <w:pPr>
        <w:overflowPunct w:val="0"/>
        <w:snapToGrid w:val="0"/>
        <w:spacing w:afterLines="50" w:after="120"/>
        <w:jc w:val="center"/>
        <w:rPr>
          <w:rFonts w:ascii="標楷體" w:eastAsia="SimSun" w:hAnsi="標楷體" w:cs="Times New Roman"/>
          <w:b/>
          <w:sz w:val="26"/>
          <w:szCs w:val="26"/>
        </w:rPr>
      </w:pPr>
      <w:r w:rsidRPr="00F83EA6">
        <w:rPr>
          <w:rFonts w:ascii="Times New Roman" w:eastAsia="標楷體" w:hAnsi="Times New Roman" w:cs="Times New Roman" w:hint="eastAsia"/>
          <w:b/>
          <w:sz w:val="26"/>
          <w:szCs w:val="26"/>
          <w:lang w:eastAsia="zh-HK"/>
        </w:rPr>
        <w:t>香港的住宅物業價格和消費物價通脹</w:t>
      </w:r>
    </w:p>
    <w:p w14:paraId="392895F1" w14:textId="77777777" w:rsidR="00B8351D" w:rsidRPr="008156FB" w:rsidRDefault="000E6989" w:rsidP="00DD58D9">
      <w:pPr>
        <w:overflowPunct w:val="0"/>
        <w:snapToGrid w:val="0"/>
        <w:spacing w:afterLines="50" w:after="120"/>
        <w:jc w:val="center"/>
        <w:rPr>
          <w:rFonts w:ascii="Times New Roman" w:eastAsia="標楷體" w:hAnsi="Times New Roman" w:cs="Times New Roman"/>
          <w:b/>
          <w:sz w:val="26"/>
          <w:szCs w:val="26"/>
          <w:lang w:eastAsia="zh-HK"/>
        </w:rPr>
      </w:pPr>
      <w:r w:rsidRPr="008156FB">
        <w:rPr>
          <w:rFonts w:ascii="Times New Roman" w:eastAsia="標楷體" w:hAnsi="Times New Roman" w:cs="Times New Roman" w:hint="eastAsia"/>
          <w:b/>
          <w:sz w:val="26"/>
          <w:szCs w:val="26"/>
          <w:lang w:eastAsia="zh-HK"/>
        </w:rPr>
        <w:t>摘要</w:t>
      </w:r>
    </w:p>
    <w:p w14:paraId="4014C108" w14:textId="7648EA62" w:rsidR="00B8351D" w:rsidRPr="00893638" w:rsidRDefault="00F83EA6" w:rsidP="00D32AC6">
      <w:pPr>
        <w:overflowPunct w:val="0"/>
        <w:jc w:val="both"/>
        <w:rPr>
          <w:rFonts w:ascii="Times New Roman" w:eastAsia="標楷體" w:hAnsi="Times New Roman" w:cs="Times New Roman"/>
          <w:sz w:val="26"/>
          <w:szCs w:val="26"/>
        </w:rPr>
      </w:pPr>
      <w:r w:rsidRPr="00F83EA6">
        <w:rPr>
          <w:rFonts w:ascii="Times New Roman" w:eastAsia="標楷體" w:hAnsi="Times New Roman" w:cs="Times New Roman" w:hint="eastAsia"/>
          <w:sz w:val="26"/>
          <w:szCs w:val="26"/>
        </w:rPr>
        <w:t>本文利用</w:t>
      </w:r>
      <w:r w:rsidRPr="00F83EA6">
        <w:rPr>
          <w:rFonts w:ascii="Times New Roman" w:eastAsia="標楷體" w:hAnsi="Times New Roman" w:cs="Times New Roman" w:hint="eastAsia"/>
          <w:sz w:val="26"/>
          <w:szCs w:val="26"/>
        </w:rPr>
        <w:t>1984</w:t>
      </w:r>
      <w:r w:rsidRPr="00F83EA6">
        <w:rPr>
          <w:rFonts w:ascii="Times New Roman" w:eastAsia="標楷體" w:hAnsi="Times New Roman" w:cs="Times New Roman" w:hint="eastAsia"/>
          <w:sz w:val="26"/>
          <w:szCs w:val="26"/>
        </w:rPr>
        <w:t>年至</w:t>
      </w:r>
      <w:r w:rsidRPr="00F83EA6">
        <w:rPr>
          <w:rFonts w:ascii="Times New Roman" w:eastAsia="標楷體" w:hAnsi="Times New Roman" w:cs="Times New Roman" w:hint="eastAsia"/>
          <w:sz w:val="26"/>
          <w:szCs w:val="26"/>
        </w:rPr>
        <w:t>2021</w:t>
      </w:r>
      <w:r w:rsidRPr="00F83EA6">
        <w:rPr>
          <w:rFonts w:ascii="Times New Roman" w:eastAsia="標楷體" w:hAnsi="Times New Roman" w:cs="Times New Roman" w:hint="eastAsia"/>
          <w:sz w:val="26"/>
          <w:szCs w:val="26"/>
        </w:rPr>
        <w:t>年間的季度數據，分析香港的住宅物業價格和消費物價通脹的關係。原則上，由於私人住宅物業價格為資產價格，其走勢應領先私人住宅租金，並可能和其他類別的開支相關。向量誤差修正模型的估算結果顯示，長期而言，私人住宅物業價格的變動會在香港綜合消費物價指數中的私人房屋租金項目完全反映。整體消費物價相對於私人住宅物業價格的長期彈性約為</w:t>
      </w:r>
      <w:r w:rsidRPr="00F83EA6">
        <w:rPr>
          <w:rFonts w:ascii="Times New Roman" w:eastAsia="標楷體" w:hAnsi="Times New Roman" w:cs="Times New Roman" w:hint="eastAsia"/>
          <w:sz w:val="26"/>
          <w:szCs w:val="26"/>
        </w:rPr>
        <w:t>0.6</w:t>
      </w:r>
      <w:r w:rsidR="008360AB" w:rsidRPr="008156FB">
        <w:rPr>
          <w:rFonts w:ascii="Times New Roman" w:eastAsia="標楷體" w:hAnsi="Times New Roman" w:cs="Times New Roman" w:hint="eastAsia"/>
          <w:sz w:val="26"/>
          <w:szCs w:val="26"/>
        </w:rPr>
        <w:t>。</w:t>
      </w:r>
      <w:r w:rsidR="00D7615A" w:rsidRPr="00D32AC6">
        <w:rPr>
          <w:rFonts w:ascii="Times New Roman" w:eastAsia="標楷體" w:hAnsi="Times New Roman" w:cs="Times New Roman"/>
          <w:noProof/>
          <w:sz w:val="28"/>
          <w:szCs w:val="28"/>
        </w:rPr>
        <mc:AlternateContent>
          <mc:Choice Requires="wps">
            <w:drawing>
              <wp:anchor distT="0" distB="0" distL="114300" distR="114300" simplePos="0" relativeHeight="251657216" behindDoc="0" locked="0" layoutInCell="1" allowOverlap="1" wp14:anchorId="5860B44C" wp14:editId="10F19E14">
                <wp:simplePos x="0" y="0"/>
                <wp:positionH relativeFrom="column">
                  <wp:posOffset>3810</wp:posOffset>
                </wp:positionH>
                <wp:positionV relativeFrom="bottomMargin">
                  <wp:posOffset>-467995</wp:posOffset>
                </wp:positionV>
                <wp:extent cx="5274000" cy="468000"/>
                <wp:effectExtent l="0" t="0" r="22225" b="27305"/>
                <wp:wrapTopAndBottom/>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000" cy="468000"/>
                        </a:xfrm>
                        <a:prstGeom prst="rect">
                          <a:avLst/>
                        </a:prstGeom>
                        <a:solidFill>
                          <a:srgbClr val="FFFFFF"/>
                        </a:solidFill>
                        <a:ln w="9525">
                          <a:solidFill>
                            <a:srgbClr val="000000"/>
                          </a:solidFill>
                          <a:miter lim="800000"/>
                          <a:headEnd/>
                          <a:tailEnd/>
                        </a:ln>
                      </wps:spPr>
                      <wps:txbx>
                        <w:txbxContent>
                          <w:p w14:paraId="1A30023B" w14:textId="77777777" w:rsidR="001B0990" w:rsidRPr="00892869" w:rsidRDefault="001B0990" w:rsidP="00892869">
                            <w:pPr>
                              <w:snapToGrid w:val="0"/>
                              <w:spacing w:after="0" w:line="240" w:lineRule="auto"/>
                              <w:jc w:val="both"/>
                              <w:rPr>
                                <w:rFonts w:ascii="Times New Roman" w:eastAsia="標楷體" w:hAnsi="Times New Roman" w:cs="Times New Roman"/>
                                <w:sz w:val="24"/>
                                <w:szCs w:val="24"/>
                                <w:lang w:eastAsia="zh-HK"/>
                              </w:rPr>
                            </w:pPr>
                            <w:r w:rsidRPr="00892869">
                              <w:rPr>
                                <w:rFonts w:ascii="Times New Roman" w:eastAsia="標楷體" w:hAnsi="Times New Roman" w:cs="Times New Roman" w:hint="eastAsia"/>
                                <w:sz w:val="24"/>
                                <w:szCs w:val="24"/>
                                <w:lang w:eastAsia="zh-HK"/>
                              </w:rPr>
                              <w:t xml:space="preserve">The views and analysis expressed in this article are those of the author and do not necessarily represent the views of the </w:t>
                            </w:r>
                            <w:r w:rsidRPr="00892869">
                              <w:rPr>
                                <w:rFonts w:ascii="Times New Roman" w:eastAsia="標楷體" w:hAnsi="Times New Roman" w:cs="Times New Roman"/>
                                <w:sz w:val="24"/>
                                <w:szCs w:val="24"/>
                                <w:lang w:eastAsia="zh-HK"/>
                              </w:rPr>
                              <w:t>Office of the Government Economist</w:t>
                            </w:r>
                            <w:r w:rsidRPr="00892869">
                              <w:rPr>
                                <w:rFonts w:ascii="Times New Roman" w:eastAsia="標楷體" w:hAnsi="Times New Roman" w:cs="Times New Roman" w:hint="eastAsia"/>
                                <w:sz w:val="24"/>
                                <w:szCs w:val="24"/>
                                <w:lang w:eastAsia="zh-HK"/>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60B44C" id="_x0000_t202" coordsize="21600,21600" o:spt="202" path="m,l,21600r21600,l21600,xe">
                <v:stroke joinstyle="miter"/>
                <v:path gradientshapeok="t" o:connecttype="rect"/>
              </v:shapetype>
              <v:shape id="文字方塊 2" o:spid="_x0000_s1026" type="#_x0000_t202" style="position:absolute;left:0;text-align:left;margin-left:.3pt;margin-top:-36.85pt;width:415.3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">
                <v:textbox>
                  <w:txbxContent>
                    <w:p w14:paraId="1A30023B" w14:textId="77777777" w:rsidR="001B0990" w:rsidRPr="00892869" w:rsidRDefault="001B0990" w:rsidP="00892869">
                      <w:pPr>
                        <w:snapToGrid w:val="0"/>
                        <w:spacing w:after="0" w:line="240" w:lineRule="auto"/>
                        <w:jc w:val="both"/>
                        <w:rPr>
                          <w:rFonts w:ascii="Times New Roman" w:eastAsia="標楷體" w:hAnsi="Times New Roman" w:cs="Times New Roman"/>
                          <w:sz w:val="24"/>
                          <w:szCs w:val="24"/>
                          <w:lang w:eastAsia="zh-HK"/>
                        </w:rPr>
                      </w:pPr>
                      <w:r w:rsidRPr="00892869">
                        <w:rPr>
                          <w:rFonts w:ascii="Times New Roman" w:eastAsia="標楷體" w:hAnsi="Times New Roman" w:cs="Times New Roman" w:hint="eastAsia"/>
                          <w:sz w:val="24"/>
                          <w:szCs w:val="24"/>
                          <w:lang w:eastAsia="zh-HK"/>
                        </w:rPr>
                        <w:t xml:space="preserve">The views and analysis expressed in this article are those of the author and do not necessarily represent the views of the </w:t>
                      </w:r>
                      <w:r w:rsidRPr="00892869">
                        <w:rPr>
                          <w:rFonts w:ascii="Times New Roman" w:eastAsia="標楷體" w:hAnsi="Times New Roman" w:cs="Times New Roman"/>
                          <w:sz w:val="24"/>
                          <w:szCs w:val="24"/>
                          <w:lang w:eastAsia="zh-HK"/>
                        </w:rPr>
                        <w:t>Office of the Government Economist</w:t>
                      </w:r>
                      <w:r w:rsidRPr="00892869">
                        <w:rPr>
                          <w:rFonts w:ascii="Times New Roman" w:eastAsia="標楷體" w:hAnsi="Times New Roman" w:cs="Times New Roman" w:hint="eastAsia"/>
                          <w:sz w:val="24"/>
                          <w:szCs w:val="24"/>
                          <w:lang w:eastAsia="zh-HK"/>
                        </w:rPr>
                        <w:t>.</w:t>
                      </w:r>
                    </w:p>
                  </w:txbxContent>
                </v:textbox>
                <w10:wrap type="topAndBottom" anchory="margin"/>
              </v:shape>
            </w:pict>
          </mc:Fallback>
        </mc:AlternateContent>
      </w:r>
      <w:r w:rsidR="00B8351D" w:rsidRPr="00893638">
        <w:rPr>
          <w:rFonts w:ascii="Times New Roman" w:eastAsia="標楷體" w:hAnsi="Times New Roman" w:cs="Times New Roman"/>
          <w:sz w:val="24"/>
          <w:szCs w:val="24"/>
          <w:lang w:eastAsia="zh-HK"/>
        </w:rPr>
        <w:br w:type="page"/>
      </w:r>
      <w:bookmarkStart w:id="0" w:name="_GoBack"/>
      <w:bookmarkEnd w:id="0"/>
    </w:p>
    <w:p w14:paraId="773E143D" w14:textId="77777777" w:rsidR="001B0EFC" w:rsidRPr="00893638" w:rsidRDefault="002162D3" w:rsidP="00DD58D9">
      <w:pPr>
        <w:keepNext/>
        <w:overflowPunct w:val="0"/>
        <w:snapToGrid w:val="0"/>
        <w:spacing w:after="0" w:line="300" w:lineRule="auto"/>
        <w:jc w:val="both"/>
        <w:rPr>
          <w:rFonts w:ascii="Times New Roman" w:eastAsia="標楷體" w:hAnsi="Times New Roman" w:cs="Times New Roman"/>
          <w:b/>
          <w:sz w:val="24"/>
          <w:szCs w:val="24"/>
          <w:lang w:eastAsia="zh-HK"/>
        </w:rPr>
      </w:pPr>
      <w:r w:rsidRPr="00893638">
        <w:rPr>
          <w:rFonts w:ascii="Times New Roman" w:eastAsia="標楷體" w:hAnsi="Times New Roman" w:cs="Times New Roman" w:hint="eastAsia"/>
          <w:b/>
          <w:sz w:val="24"/>
          <w:szCs w:val="24"/>
          <w:lang w:eastAsia="zh-HK"/>
        </w:rPr>
        <w:lastRenderedPageBreak/>
        <w:t>I.</w:t>
      </w:r>
      <w:r w:rsidRPr="00893638">
        <w:rPr>
          <w:rFonts w:ascii="Times New Roman" w:eastAsia="標楷體" w:hAnsi="Times New Roman" w:cs="Times New Roman" w:hint="eastAsia"/>
          <w:b/>
          <w:sz w:val="24"/>
          <w:szCs w:val="24"/>
          <w:lang w:eastAsia="zh-HK"/>
        </w:rPr>
        <w:tab/>
      </w:r>
      <w:r w:rsidR="001B0EFC" w:rsidRPr="00893638">
        <w:rPr>
          <w:rFonts w:ascii="Times New Roman" w:eastAsia="標楷體" w:hAnsi="Times New Roman" w:cs="Times New Roman" w:hint="eastAsia"/>
          <w:b/>
          <w:sz w:val="24"/>
          <w:szCs w:val="24"/>
          <w:lang w:eastAsia="zh-HK"/>
        </w:rPr>
        <w:t>INTRODUCTION</w:t>
      </w:r>
    </w:p>
    <w:p w14:paraId="239B5B2D" w14:textId="77777777" w:rsidR="001B0EFC" w:rsidRPr="00893638" w:rsidRDefault="001B0EFC" w:rsidP="00DD58D9">
      <w:pPr>
        <w:keepNext/>
        <w:overflowPunct w:val="0"/>
        <w:snapToGrid w:val="0"/>
        <w:spacing w:after="0" w:line="300" w:lineRule="auto"/>
        <w:jc w:val="both"/>
        <w:rPr>
          <w:rFonts w:ascii="Times New Roman" w:eastAsia="標楷體" w:hAnsi="Times New Roman" w:cs="Times New Roman"/>
          <w:sz w:val="24"/>
          <w:szCs w:val="24"/>
          <w:lang w:eastAsia="zh-HK"/>
        </w:rPr>
      </w:pPr>
    </w:p>
    <w:p w14:paraId="64E33A01" w14:textId="4B6CA721" w:rsidR="001B0EFC" w:rsidRDefault="00043082" w:rsidP="00E21B77">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sidRPr="00C8451F">
        <w:rPr>
          <w:rFonts w:ascii="Times New Roman" w:eastAsia="標楷體" w:hAnsi="Times New Roman" w:cs="Times New Roman"/>
          <w:sz w:val="24"/>
          <w:szCs w:val="24"/>
          <w:lang w:eastAsia="zh-HK"/>
        </w:rPr>
        <w:t>Residential property prices are a key forerunner of inflation.</w:t>
      </w:r>
      <w:r w:rsidR="00306DBE" w:rsidRPr="00C8451F">
        <w:rPr>
          <w:rFonts w:ascii="Times New Roman" w:eastAsia="標楷體" w:hAnsi="Times New Roman" w:cs="Times New Roman"/>
          <w:sz w:val="24"/>
          <w:szCs w:val="24"/>
          <w:lang w:eastAsia="zh-HK"/>
        </w:rPr>
        <w:t xml:space="preserve">  As asset prices, they anticipate movements in</w:t>
      </w:r>
      <w:r w:rsidRPr="00C8451F">
        <w:rPr>
          <w:rFonts w:ascii="Times New Roman" w:eastAsia="標楷體" w:hAnsi="Times New Roman" w:cs="Times New Roman"/>
          <w:sz w:val="24"/>
          <w:szCs w:val="24"/>
          <w:lang w:eastAsia="zh-HK"/>
        </w:rPr>
        <w:t xml:space="preserve"> </w:t>
      </w:r>
      <w:r w:rsidR="00306DBE" w:rsidRPr="00C8451F">
        <w:rPr>
          <w:rFonts w:ascii="Times New Roman" w:eastAsia="標楷體" w:hAnsi="Times New Roman" w:cs="Times New Roman"/>
          <w:sz w:val="24"/>
          <w:szCs w:val="24"/>
          <w:lang w:eastAsia="zh-HK"/>
        </w:rPr>
        <w:t>rental income—or h</w:t>
      </w:r>
      <w:r w:rsidR="00FB12F7" w:rsidRPr="00C8451F">
        <w:rPr>
          <w:rFonts w:ascii="Times New Roman" w:eastAsia="標楷體" w:hAnsi="Times New Roman" w:cs="Times New Roman"/>
          <w:sz w:val="24"/>
          <w:szCs w:val="24"/>
          <w:lang w:eastAsia="zh-HK"/>
        </w:rPr>
        <w:t>ousing costs</w:t>
      </w:r>
      <w:r w:rsidR="00306DBE" w:rsidRPr="00C8451F">
        <w:rPr>
          <w:rFonts w:ascii="Times New Roman" w:eastAsia="標楷體" w:hAnsi="Times New Roman" w:cs="Times New Roman"/>
          <w:sz w:val="24"/>
          <w:szCs w:val="24"/>
          <w:lang w:eastAsia="zh-HK"/>
        </w:rPr>
        <w:t>, to the end user—which are</w:t>
      </w:r>
      <w:r w:rsidR="00FB12F7" w:rsidRPr="00C8451F">
        <w:rPr>
          <w:rFonts w:ascii="Times New Roman" w:eastAsia="標楷體" w:hAnsi="Times New Roman" w:cs="Times New Roman"/>
          <w:sz w:val="24"/>
          <w:szCs w:val="24"/>
          <w:lang w:eastAsia="zh-HK"/>
        </w:rPr>
        <w:t xml:space="preserve"> the most important component of Hong Kong’s Composite Consumer Price Index (CCPI)</w:t>
      </w:r>
      <w:r w:rsidR="00FB12F7">
        <w:rPr>
          <w:rStyle w:val="FootnoteReference"/>
          <w:rFonts w:ascii="Times New Roman" w:eastAsia="標楷體" w:hAnsi="Times New Roman" w:cs="Times New Roman"/>
          <w:sz w:val="24"/>
          <w:szCs w:val="24"/>
          <w:lang w:eastAsia="zh-HK"/>
        </w:rPr>
        <w:footnoteReference w:id="2"/>
      </w:r>
      <w:r w:rsidR="00FB12F7" w:rsidRPr="00C8451F">
        <w:rPr>
          <w:rFonts w:ascii="Times New Roman" w:eastAsia="標楷體" w:hAnsi="Times New Roman" w:cs="Times New Roman"/>
          <w:sz w:val="24"/>
          <w:szCs w:val="24"/>
          <w:lang w:eastAsia="zh-HK"/>
        </w:rPr>
        <w:t xml:space="preserve">. </w:t>
      </w:r>
      <w:r w:rsidR="00306DBE" w:rsidRPr="00C8451F">
        <w:rPr>
          <w:rFonts w:ascii="Times New Roman" w:eastAsia="標楷體" w:hAnsi="Times New Roman" w:cs="Times New Roman"/>
          <w:sz w:val="24"/>
          <w:szCs w:val="24"/>
          <w:lang w:eastAsia="zh-HK"/>
        </w:rPr>
        <w:t xml:space="preserve"> Residential property prices </w:t>
      </w:r>
      <w:r w:rsidR="00865177">
        <w:rPr>
          <w:rFonts w:ascii="Times New Roman" w:eastAsia="標楷體" w:hAnsi="Times New Roman" w:cs="Times New Roman"/>
          <w:sz w:val="24"/>
          <w:szCs w:val="24"/>
          <w:lang w:eastAsia="zh-HK"/>
        </w:rPr>
        <w:t xml:space="preserve">can </w:t>
      </w:r>
      <w:r w:rsidR="00A608B3" w:rsidRPr="00C8451F">
        <w:rPr>
          <w:rFonts w:ascii="Times New Roman" w:eastAsia="標楷體" w:hAnsi="Times New Roman" w:cs="Times New Roman"/>
          <w:sz w:val="24"/>
          <w:szCs w:val="24"/>
          <w:lang w:eastAsia="zh-HK"/>
        </w:rPr>
        <w:t xml:space="preserve">also </w:t>
      </w:r>
      <w:r w:rsidR="00306DBE" w:rsidRPr="00C8451F">
        <w:rPr>
          <w:rFonts w:ascii="Times New Roman" w:eastAsia="標楷體" w:hAnsi="Times New Roman" w:cs="Times New Roman"/>
          <w:sz w:val="24"/>
          <w:szCs w:val="24"/>
          <w:lang w:eastAsia="zh-HK"/>
        </w:rPr>
        <w:t xml:space="preserve">affect consumer prices through </w:t>
      </w:r>
      <w:r w:rsidR="00A608B3" w:rsidRPr="00C8451F">
        <w:rPr>
          <w:rFonts w:ascii="Times New Roman" w:eastAsia="標楷體" w:hAnsi="Times New Roman" w:cs="Times New Roman"/>
          <w:sz w:val="24"/>
          <w:szCs w:val="24"/>
          <w:lang w:eastAsia="zh-HK"/>
        </w:rPr>
        <w:t xml:space="preserve">broad-based </w:t>
      </w:r>
      <w:r w:rsidR="00306DBE" w:rsidRPr="00C8451F">
        <w:rPr>
          <w:rFonts w:ascii="Times New Roman" w:eastAsia="標楷體" w:hAnsi="Times New Roman" w:cs="Times New Roman"/>
          <w:sz w:val="24"/>
          <w:szCs w:val="24"/>
          <w:lang w:eastAsia="zh-HK"/>
        </w:rPr>
        <w:t xml:space="preserve">wealth effects, which </w:t>
      </w:r>
      <w:r w:rsidR="00A608B3" w:rsidRPr="00C8451F">
        <w:rPr>
          <w:rFonts w:ascii="Times New Roman" w:eastAsia="標楷體" w:hAnsi="Times New Roman" w:cs="Times New Roman"/>
          <w:sz w:val="24"/>
          <w:szCs w:val="24"/>
          <w:lang w:eastAsia="zh-HK"/>
        </w:rPr>
        <w:t>boost aggregate demand</w:t>
      </w:r>
      <w:r w:rsidR="00A608B3">
        <w:rPr>
          <w:rStyle w:val="FootnoteReference"/>
          <w:rFonts w:ascii="Times New Roman" w:eastAsia="標楷體" w:hAnsi="Times New Roman" w:cs="Times New Roman"/>
          <w:sz w:val="24"/>
          <w:szCs w:val="24"/>
          <w:lang w:eastAsia="zh-HK"/>
        </w:rPr>
        <w:footnoteReference w:id="3"/>
      </w:r>
      <w:r w:rsidR="00A608B3" w:rsidRPr="00C8451F">
        <w:rPr>
          <w:rFonts w:ascii="Times New Roman" w:eastAsia="標楷體" w:hAnsi="Times New Roman" w:cs="Times New Roman"/>
          <w:sz w:val="24"/>
          <w:szCs w:val="24"/>
          <w:lang w:eastAsia="zh-HK"/>
        </w:rPr>
        <w:t>.</w:t>
      </w:r>
      <w:r w:rsidR="006C1FE2">
        <w:rPr>
          <w:rFonts w:ascii="Times New Roman" w:eastAsia="標楷體" w:hAnsi="Times New Roman" w:cs="Times New Roman"/>
          <w:sz w:val="24"/>
          <w:szCs w:val="24"/>
          <w:lang w:eastAsia="zh-HK"/>
        </w:rPr>
        <w:t xml:space="preserve">  </w:t>
      </w:r>
      <w:r w:rsidR="00676A05">
        <w:rPr>
          <w:rFonts w:ascii="Times New Roman" w:eastAsia="標楷體" w:hAnsi="Times New Roman" w:cs="Times New Roman"/>
          <w:sz w:val="24"/>
          <w:szCs w:val="24"/>
          <w:lang w:eastAsia="zh-HK"/>
        </w:rPr>
        <w:t>At the same time</w:t>
      </w:r>
      <w:r w:rsidR="00A54AAC">
        <w:rPr>
          <w:rFonts w:ascii="Times New Roman" w:eastAsia="標楷體" w:hAnsi="Times New Roman" w:cs="Times New Roman"/>
          <w:sz w:val="24"/>
          <w:szCs w:val="24"/>
          <w:lang w:eastAsia="zh-HK"/>
        </w:rPr>
        <w:t>,</w:t>
      </w:r>
      <w:r w:rsidR="00676A05">
        <w:rPr>
          <w:rFonts w:ascii="Times New Roman" w:eastAsia="標楷體" w:hAnsi="Times New Roman" w:cs="Times New Roman"/>
          <w:sz w:val="24"/>
          <w:szCs w:val="24"/>
          <w:lang w:eastAsia="zh-HK"/>
        </w:rPr>
        <w:t xml:space="preserve"> </w:t>
      </w:r>
      <w:r w:rsidR="00A70CF7">
        <w:rPr>
          <w:rFonts w:ascii="Times New Roman" w:eastAsia="標楷體" w:hAnsi="Times New Roman" w:cs="Times New Roman"/>
          <w:sz w:val="24"/>
          <w:szCs w:val="24"/>
          <w:lang w:eastAsia="zh-HK"/>
        </w:rPr>
        <w:t>residential property prices are often subject to considerable momentum and volatility</w:t>
      </w:r>
      <w:r w:rsidR="00A70CF7">
        <w:rPr>
          <w:rStyle w:val="FootnoteReference"/>
          <w:rFonts w:ascii="Times New Roman" w:eastAsia="標楷體" w:hAnsi="Times New Roman" w:cs="Times New Roman"/>
          <w:sz w:val="24"/>
          <w:szCs w:val="24"/>
          <w:lang w:eastAsia="zh-HK"/>
        </w:rPr>
        <w:footnoteReference w:id="4"/>
      </w:r>
      <w:r w:rsidR="00A70CF7">
        <w:rPr>
          <w:rFonts w:ascii="Times New Roman" w:eastAsia="標楷體" w:hAnsi="Times New Roman" w:cs="Times New Roman"/>
          <w:sz w:val="24"/>
          <w:szCs w:val="24"/>
          <w:lang w:eastAsia="zh-HK"/>
        </w:rPr>
        <w:t xml:space="preserve">.  </w:t>
      </w:r>
      <w:r w:rsidR="006C1FE2">
        <w:rPr>
          <w:rFonts w:ascii="Times New Roman" w:eastAsia="標楷體" w:hAnsi="Times New Roman" w:cs="Times New Roman"/>
          <w:sz w:val="24"/>
          <w:szCs w:val="24"/>
          <w:lang w:eastAsia="zh-HK"/>
        </w:rPr>
        <w:t>Given recent concerns over global inflation, the extent to which current property prices signal the future path of housing costs or other types of consumer prices is of considerable interest.</w:t>
      </w:r>
    </w:p>
    <w:p w14:paraId="481B6565" w14:textId="77777777" w:rsidR="00C8451F" w:rsidRPr="00C8451F" w:rsidRDefault="00C8451F" w:rsidP="00C8451F">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16C7089D" w14:textId="40609DFC" w:rsidR="00B8367B" w:rsidRPr="00893638" w:rsidRDefault="00601846" w:rsidP="00DD58D9">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 xml:space="preserve">This </w:t>
      </w:r>
      <w:r w:rsidR="00BC7D6D">
        <w:rPr>
          <w:rFonts w:ascii="Times New Roman" w:eastAsia="標楷體" w:hAnsi="Times New Roman" w:cs="Times New Roman"/>
          <w:sz w:val="24"/>
          <w:szCs w:val="24"/>
          <w:lang w:eastAsia="zh-HK"/>
        </w:rPr>
        <w:t>article</w:t>
      </w:r>
      <w:r>
        <w:rPr>
          <w:rFonts w:ascii="Times New Roman" w:eastAsia="標楷體" w:hAnsi="Times New Roman" w:cs="Times New Roman"/>
          <w:sz w:val="24"/>
          <w:szCs w:val="24"/>
          <w:lang w:eastAsia="zh-HK"/>
        </w:rPr>
        <w:t xml:space="preserve"> </w:t>
      </w:r>
      <w:r w:rsidR="006C1FE2">
        <w:rPr>
          <w:rFonts w:ascii="Times New Roman" w:eastAsia="標楷體" w:hAnsi="Times New Roman" w:cs="Times New Roman"/>
          <w:sz w:val="24"/>
          <w:szCs w:val="24"/>
          <w:lang w:eastAsia="zh-HK"/>
        </w:rPr>
        <w:t>examines</w:t>
      </w:r>
      <w:r w:rsidR="002052E9">
        <w:rPr>
          <w:rFonts w:ascii="Times New Roman" w:eastAsia="標楷體" w:hAnsi="Times New Roman" w:cs="Times New Roman"/>
          <w:sz w:val="24"/>
          <w:szCs w:val="24"/>
          <w:lang w:eastAsia="zh-HK"/>
        </w:rPr>
        <w:t xml:space="preserve"> the </w:t>
      </w:r>
      <w:r w:rsidR="006B62C8">
        <w:rPr>
          <w:rFonts w:ascii="Times New Roman" w:eastAsia="標楷體" w:hAnsi="Times New Roman" w:cs="Times New Roman"/>
          <w:sz w:val="24"/>
          <w:szCs w:val="24"/>
          <w:lang w:eastAsia="zh-HK"/>
        </w:rPr>
        <w:t xml:space="preserve">relationship between </w:t>
      </w:r>
      <w:r w:rsidR="006C1FE2">
        <w:rPr>
          <w:rFonts w:ascii="Times New Roman" w:eastAsia="標楷體" w:hAnsi="Times New Roman" w:cs="Times New Roman"/>
          <w:sz w:val="24"/>
          <w:szCs w:val="24"/>
          <w:lang w:eastAsia="zh-HK"/>
        </w:rPr>
        <w:t>residential property prices</w:t>
      </w:r>
      <w:r w:rsidR="000D60E9">
        <w:rPr>
          <w:rFonts w:ascii="Times New Roman" w:eastAsia="標楷體" w:hAnsi="Times New Roman" w:cs="Times New Roman"/>
          <w:sz w:val="24"/>
          <w:szCs w:val="24"/>
          <w:lang w:eastAsia="zh-HK"/>
        </w:rPr>
        <w:t xml:space="preserve"> and consumer prices</w:t>
      </w:r>
      <w:r w:rsidR="002052E9">
        <w:rPr>
          <w:rFonts w:ascii="Times New Roman" w:eastAsia="標楷體" w:hAnsi="Times New Roman" w:cs="Times New Roman"/>
          <w:sz w:val="24"/>
          <w:szCs w:val="24"/>
          <w:lang w:eastAsia="zh-HK"/>
        </w:rPr>
        <w:t xml:space="preserve"> in Hong Kong.  It </w:t>
      </w:r>
      <w:r>
        <w:rPr>
          <w:rFonts w:ascii="Times New Roman" w:eastAsia="標楷體" w:hAnsi="Times New Roman" w:cs="Times New Roman"/>
          <w:sz w:val="24"/>
          <w:szCs w:val="24"/>
          <w:lang w:eastAsia="zh-HK"/>
        </w:rPr>
        <w:t>is organised as follows</w:t>
      </w:r>
      <w:r w:rsidR="00CB4872" w:rsidRPr="00893638">
        <w:rPr>
          <w:rFonts w:ascii="Times New Roman" w:eastAsia="標楷體" w:hAnsi="Times New Roman" w:cs="Times New Roman"/>
          <w:sz w:val="24"/>
          <w:szCs w:val="24"/>
          <w:lang w:eastAsia="zh-HK"/>
        </w:rPr>
        <w:t>.</w:t>
      </w:r>
      <w:r>
        <w:rPr>
          <w:rFonts w:ascii="Times New Roman" w:eastAsia="標楷體" w:hAnsi="Times New Roman" w:cs="Times New Roman"/>
          <w:sz w:val="24"/>
          <w:szCs w:val="24"/>
          <w:lang w:eastAsia="zh-HK"/>
        </w:rPr>
        <w:t xml:space="preserve">  The next </w:t>
      </w:r>
      <w:r w:rsidR="00DA7F75">
        <w:rPr>
          <w:rFonts w:ascii="Times New Roman" w:eastAsia="標楷體" w:hAnsi="Times New Roman" w:cs="Times New Roman"/>
          <w:sz w:val="24"/>
          <w:szCs w:val="24"/>
          <w:lang w:eastAsia="zh-HK"/>
        </w:rPr>
        <w:t xml:space="preserve">section </w:t>
      </w:r>
      <w:r w:rsidR="006C1FE2">
        <w:rPr>
          <w:rFonts w:ascii="Times New Roman" w:eastAsia="標楷體" w:hAnsi="Times New Roman" w:cs="Times New Roman"/>
          <w:sz w:val="24"/>
          <w:szCs w:val="24"/>
          <w:lang w:eastAsia="zh-HK"/>
        </w:rPr>
        <w:t>provides an overview of</w:t>
      </w:r>
      <w:r w:rsidR="006B62C8">
        <w:rPr>
          <w:rFonts w:ascii="Times New Roman" w:eastAsia="標楷體" w:hAnsi="Times New Roman" w:cs="Times New Roman"/>
          <w:sz w:val="24"/>
          <w:szCs w:val="24"/>
          <w:lang w:eastAsia="zh-HK"/>
        </w:rPr>
        <w:t xml:space="preserve"> </w:t>
      </w:r>
      <w:r w:rsidR="006C1FE2">
        <w:rPr>
          <w:rFonts w:ascii="Times New Roman" w:eastAsia="標楷體" w:hAnsi="Times New Roman" w:cs="Times New Roman"/>
          <w:sz w:val="24"/>
          <w:szCs w:val="24"/>
          <w:lang w:eastAsia="zh-HK"/>
        </w:rPr>
        <w:t>the data</w:t>
      </w:r>
      <w:r w:rsidR="005155AE">
        <w:rPr>
          <w:rFonts w:ascii="Times New Roman" w:eastAsia="標楷體" w:hAnsi="Times New Roman" w:cs="Times New Roman"/>
          <w:sz w:val="24"/>
          <w:szCs w:val="24"/>
          <w:lang w:eastAsia="zh-HK"/>
        </w:rPr>
        <w:t xml:space="preserve">.  </w:t>
      </w:r>
      <w:r w:rsidR="00470580">
        <w:rPr>
          <w:rFonts w:ascii="Times New Roman" w:eastAsia="標楷體" w:hAnsi="Times New Roman" w:cs="Times New Roman"/>
          <w:sz w:val="24"/>
          <w:szCs w:val="24"/>
          <w:lang w:eastAsia="zh-HK"/>
        </w:rPr>
        <w:t xml:space="preserve">The third section establishes </w:t>
      </w:r>
      <w:r w:rsidR="0072621B">
        <w:rPr>
          <w:rFonts w:ascii="Times New Roman" w:eastAsia="標楷體" w:hAnsi="Times New Roman" w:cs="Times New Roman"/>
          <w:sz w:val="24"/>
          <w:szCs w:val="24"/>
          <w:lang w:eastAsia="zh-HK"/>
        </w:rPr>
        <w:t>the</w:t>
      </w:r>
      <w:r w:rsidR="00892D7A">
        <w:rPr>
          <w:rFonts w:ascii="Times New Roman" w:eastAsia="標楷體" w:hAnsi="Times New Roman" w:cs="Times New Roman"/>
          <w:sz w:val="24"/>
          <w:szCs w:val="24"/>
          <w:lang w:eastAsia="zh-HK"/>
        </w:rPr>
        <w:t xml:space="preserve"> </w:t>
      </w:r>
      <w:r w:rsidR="00470580">
        <w:rPr>
          <w:rFonts w:ascii="Times New Roman" w:eastAsia="標楷體" w:hAnsi="Times New Roman" w:cs="Times New Roman"/>
          <w:sz w:val="24"/>
          <w:szCs w:val="24"/>
          <w:lang w:eastAsia="zh-HK"/>
        </w:rPr>
        <w:t>time series properties</w:t>
      </w:r>
      <w:r w:rsidR="006B62C8">
        <w:rPr>
          <w:rFonts w:ascii="Times New Roman" w:eastAsia="標楷體" w:hAnsi="Times New Roman" w:cs="Times New Roman"/>
          <w:sz w:val="24"/>
          <w:szCs w:val="24"/>
          <w:lang w:eastAsia="zh-HK"/>
        </w:rPr>
        <w:t xml:space="preserve"> </w:t>
      </w:r>
      <w:r w:rsidR="0072621B">
        <w:rPr>
          <w:rFonts w:ascii="Times New Roman" w:eastAsia="標楷體" w:hAnsi="Times New Roman" w:cs="Times New Roman"/>
          <w:sz w:val="24"/>
          <w:szCs w:val="24"/>
          <w:lang w:eastAsia="zh-HK"/>
        </w:rPr>
        <w:t>of the variables</w:t>
      </w:r>
      <w:r w:rsidR="00470580">
        <w:rPr>
          <w:rFonts w:ascii="Times New Roman" w:eastAsia="標楷體" w:hAnsi="Times New Roman" w:cs="Times New Roman"/>
          <w:sz w:val="24"/>
          <w:szCs w:val="24"/>
          <w:lang w:eastAsia="zh-HK"/>
        </w:rPr>
        <w:t xml:space="preserve">.  </w:t>
      </w:r>
      <w:r w:rsidR="000D60E9">
        <w:rPr>
          <w:rFonts w:ascii="Times New Roman" w:eastAsia="標楷體" w:hAnsi="Times New Roman" w:cs="Times New Roman"/>
          <w:sz w:val="24"/>
          <w:szCs w:val="24"/>
          <w:lang w:eastAsia="zh-HK"/>
        </w:rPr>
        <w:t xml:space="preserve">The </w:t>
      </w:r>
      <w:r w:rsidR="008E0608">
        <w:rPr>
          <w:rFonts w:ascii="Times New Roman" w:eastAsia="標楷體" w:hAnsi="Times New Roman" w:cs="Times New Roman"/>
          <w:sz w:val="24"/>
          <w:szCs w:val="24"/>
          <w:lang w:eastAsia="zh-HK"/>
        </w:rPr>
        <w:t>fourth</w:t>
      </w:r>
      <w:r>
        <w:rPr>
          <w:rFonts w:ascii="Times New Roman" w:eastAsia="標楷體" w:hAnsi="Times New Roman" w:cs="Times New Roman"/>
          <w:sz w:val="24"/>
          <w:szCs w:val="24"/>
          <w:lang w:eastAsia="zh-HK"/>
        </w:rPr>
        <w:t xml:space="preserve"> section </w:t>
      </w:r>
      <w:r w:rsidR="000D60E9">
        <w:rPr>
          <w:rFonts w:ascii="Times New Roman" w:eastAsia="標楷體" w:hAnsi="Times New Roman" w:cs="Times New Roman"/>
          <w:sz w:val="24"/>
          <w:szCs w:val="24"/>
          <w:lang w:eastAsia="zh-HK"/>
        </w:rPr>
        <w:t>quantifies the</w:t>
      </w:r>
      <w:r w:rsidR="00CF1931">
        <w:rPr>
          <w:rFonts w:ascii="Times New Roman" w:eastAsia="標楷體" w:hAnsi="Times New Roman" w:cs="Times New Roman"/>
          <w:sz w:val="24"/>
          <w:szCs w:val="24"/>
          <w:lang w:eastAsia="zh-HK"/>
        </w:rPr>
        <w:t>ir</w:t>
      </w:r>
      <w:r w:rsidR="000D60E9">
        <w:rPr>
          <w:rFonts w:ascii="Times New Roman" w:eastAsia="標楷體" w:hAnsi="Times New Roman" w:cs="Times New Roman"/>
          <w:sz w:val="24"/>
          <w:szCs w:val="24"/>
          <w:lang w:eastAsia="zh-HK"/>
        </w:rPr>
        <w:t xml:space="preserve"> relationship with a </w:t>
      </w:r>
      <w:r w:rsidR="006C1FE2">
        <w:rPr>
          <w:rFonts w:ascii="Times New Roman" w:eastAsia="標楷體" w:hAnsi="Times New Roman" w:cs="Times New Roman"/>
          <w:sz w:val="24"/>
          <w:szCs w:val="24"/>
          <w:lang w:eastAsia="zh-HK"/>
        </w:rPr>
        <w:t>vector error correction</w:t>
      </w:r>
      <w:r w:rsidR="00CE60EF">
        <w:rPr>
          <w:rFonts w:ascii="Times New Roman" w:eastAsia="標楷體" w:hAnsi="Times New Roman" w:cs="Times New Roman"/>
          <w:sz w:val="24"/>
          <w:szCs w:val="24"/>
          <w:lang w:eastAsia="zh-HK"/>
        </w:rPr>
        <w:t xml:space="preserve"> model</w:t>
      </w:r>
      <w:r w:rsidR="009C6BCF">
        <w:rPr>
          <w:rFonts w:ascii="Times New Roman" w:eastAsia="標楷體" w:hAnsi="Times New Roman" w:cs="Times New Roman"/>
          <w:sz w:val="24"/>
          <w:szCs w:val="24"/>
          <w:lang w:eastAsia="zh-HK"/>
        </w:rPr>
        <w:t>, and t</w:t>
      </w:r>
      <w:r w:rsidR="00CE60EF">
        <w:rPr>
          <w:rFonts w:ascii="Times New Roman" w:eastAsia="標楷體" w:hAnsi="Times New Roman" w:cs="Times New Roman"/>
          <w:sz w:val="24"/>
          <w:szCs w:val="24"/>
          <w:lang w:eastAsia="zh-HK"/>
        </w:rPr>
        <w:t>he f</w:t>
      </w:r>
      <w:r w:rsidR="008E0608">
        <w:rPr>
          <w:rFonts w:ascii="Times New Roman" w:eastAsia="標楷體" w:hAnsi="Times New Roman" w:cs="Times New Roman"/>
          <w:sz w:val="24"/>
          <w:szCs w:val="24"/>
          <w:lang w:eastAsia="zh-HK"/>
        </w:rPr>
        <w:t>ift</w:t>
      </w:r>
      <w:r w:rsidR="00CE60EF">
        <w:rPr>
          <w:rFonts w:ascii="Times New Roman" w:eastAsia="標楷體" w:hAnsi="Times New Roman" w:cs="Times New Roman"/>
          <w:sz w:val="24"/>
          <w:szCs w:val="24"/>
          <w:lang w:eastAsia="zh-HK"/>
        </w:rPr>
        <w:t>h</w:t>
      </w:r>
      <w:r w:rsidR="000D60E9">
        <w:rPr>
          <w:rFonts w:ascii="Times New Roman" w:eastAsia="標楷體" w:hAnsi="Times New Roman" w:cs="Times New Roman"/>
          <w:sz w:val="24"/>
          <w:szCs w:val="24"/>
          <w:lang w:eastAsia="zh-HK"/>
        </w:rPr>
        <w:t xml:space="preserve"> section concludes</w:t>
      </w:r>
      <w:r>
        <w:rPr>
          <w:rFonts w:ascii="Times New Roman" w:eastAsia="標楷體" w:hAnsi="Times New Roman" w:cs="Times New Roman"/>
          <w:sz w:val="24"/>
          <w:szCs w:val="24"/>
          <w:lang w:eastAsia="zh-HK"/>
        </w:rPr>
        <w:t>.</w:t>
      </w:r>
    </w:p>
    <w:p w14:paraId="2839C3D3" w14:textId="7FDCF77F" w:rsidR="00B8367B" w:rsidRPr="00361963" w:rsidRDefault="00B8367B" w:rsidP="00743BEC">
      <w:pPr>
        <w:overflowPunct w:val="0"/>
        <w:snapToGrid w:val="0"/>
        <w:spacing w:after="0" w:line="300" w:lineRule="auto"/>
        <w:contextualSpacing/>
        <w:jc w:val="both"/>
        <w:rPr>
          <w:rFonts w:ascii="Times New Roman" w:eastAsia="標楷體" w:hAnsi="Times New Roman" w:cs="Times New Roman"/>
          <w:sz w:val="24"/>
          <w:szCs w:val="24"/>
          <w:lang w:eastAsia="zh-HK"/>
        </w:rPr>
      </w:pPr>
    </w:p>
    <w:p w14:paraId="5B0FC8A8" w14:textId="77777777" w:rsidR="00563473" w:rsidRPr="00361963" w:rsidRDefault="00563473" w:rsidP="00743BEC">
      <w:pPr>
        <w:overflowPunct w:val="0"/>
        <w:snapToGrid w:val="0"/>
        <w:spacing w:after="0" w:line="300" w:lineRule="auto"/>
        <w:contextualSpacing/>
        <w:jc w:val="both"/>
        <w:rPr>
          <w:rFonts w:ascii="Times New Roman" w:eastAsia="標楷體" w:hAnsi="Times New Roman" w:cs="Times New Roman"/>
          <w:sz w:val="24"/>
          <w:szCs w:val="24"/>
          <w:lang w:eastAsia="zh-HK"/>
        </w:rPr>
      </w:pPr>
    </w:p>
    <w:p w14:paraId="4E7560E0" w14:textId="4C1CEA69" w:rsidR="00BF7764" w:rsidRDefault="00BF7764" w:rsidP="00DD58D9">
      <w:pPr>
        <w:keepNext/>
        <w:overflowPunct w:val="0"/>
        <w:snapToGrid w:val="0"/>
        <w:spacing w:after="0" w:line="300" w:lineRule="auto"/>
        <w:ind w:left="709" w:hanging="709"/>
        <w:jc w:val="both"/>
        <w:rPr>
          <w:rFonts w:ascii="Times New Roman" w:eastAsia="標楷體" w:hAnsi="Times New Roman" w:cs="Times New Roman"/>
          <w:b/>
          <w:sz w:val="24"/>
          <w:szCs w:val="24"/>
          <w:lang w:eastAsia="zh-HK"/>
        </w:rPr>
      </w:pPr>
      <w:r w:rsidRPr="00893638">
        <w:rPr>
          <w:rFonts w:ascii="Times New Roman" w:eastAsia="標楷體" w:hAnsi="Times New Roman" w:cs="Times New Roman" w:hint="eastAsia"/>
          <w:b/>
          <w:sz w:val="24"/>
          <w:szCs w:val="24"/>
          <w:lang w:eastAsia="zh-HK"/>
        </w:rPr>
        <w:t>I</w:t>
      </w:r>
      <w:r w:rsidRPr="00893638">
        <w:rPr>
          <w:rFonts w:ascii="Times New Roman" w:eastAsia="標楷體" w:hAnsi="Times New Roman" w:cs="Times New Roman"/>
          <w:b/>
          <w:sz w:val="24"/>
          <w:szCs w:val="24"/>
          <w:lang w:eastAsia="zh-HK"/>
        </w:rPr>
        <w:t>I</w:t>
      </w:r>
      <w:r w:rsidRPr="00893638">
        <w:rPr>
          <w:rFonts w:ascii="Times New Roman" w:eastAsia="標楷體" w:hAnsi="Times New Roman" w:cs="Times New Roman" w:hint="eastAsia"/>
          <w:b/>
          <w:sz w:val="24"/>
          <w:szCs w:val="24"/>
          <w:lang w:eastAsia="zh-HK"/>
        </w:rPr>
        <w:t>.</w:t>
      </w:r>
      <w:r w:rsidRPr="00893638">
        <w:rPr>
          <w:rFonts w:ascii="Times New Roman" w:eastAsia="標楷體" w:hAnsi="Times New Roman" w:cs="Times New Roman" w:hint="eastAsia"/>
          <w:b/>
          <w:sz w:val="24"/>
          <w:szCs w:val="24"/>
          <w:lang w:eastAsia="zh-HK"/>
        </w:rPr>
        <w:tab/>
      </w:r>
      <w:r w:rsidR="0072621B">
        <w:rPr>
          <w:rFonts w:ascii="Times New Roman" w:eastAsia="標楷體" w:hAnsi="Times New Roman" w:cs="Times New Roman"/>
          <w:b/>
          <w:sz w:val="24"/>
          <w:szCs w:val="24"/>
          <w:lang w:eastAsia="zh-HK"/>
        </w:rPr>
        <w:t>DATA</w:t>
      </w:r>
    </w:p>
    <w:p w14:paraId="54CF5ED7" w14:textId="56D4C2B8" w:rsidR="00F67294" w:rsidRPr="007F30FF" w:rsidRDefault="00F67294" w:rsidP="007F30FF">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17535ECA" w14:textId="15920E18" w:rsidR="00AA1E88" w:rsidRPr="007B6819" w:rsidRDefault="00AA1E88" w:rsidP="00AA1E88">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Data on residential property prices are from the Rating</w:t>
      </w:r>
      <w:r w:rsidR="00D30A6A">
        <w:rPr>
          <w:rFonts w:ascii="Times New Roman" w:eastAsia="標楷體" w:hAnsi="Times New Roman" w:cs="Times New Roman"/>
          <w:sz w:val="24"/>
          <w:szCs w:val="24"/>
          <w:lang w:eastAsia="zh-HK"/>
        </w:rPr>
        <w:t xml:space="preserve"> and Valuation Department (RVD)</w:t>
      </w:r>
      <w:r>
        <w:rPr>
          <w:rStyle w:val="FootnoteReference"/>
          <w:rFonts w:ascii="Times New Roman" w:eastAsia="標楷體" w:hAnsi="Times New Roman" w:cs="Times New Roman"/>
          <w:sz w:val="24"/>
          <w:szCs w:val="24"/>
          <w:lang w:eastAsia="zh-HK"/>
        </w:rPr>
        <w:footnoteReference w:id="5"/>
      </w:r>
      <w:r>
        <w:rPr>
          <w:rFonts w:ascii="Times New Roman" w:eastAsia="標楷體" w:hAnsi="Times New Roman" w:cs="Times New Roman"/>
          <w:sz w:val="24"/>
          <w:szCs w:val="24"/>
          <w:lang w:eastAsia="zh-HK"/>
        </w:rPr>
        <w:t>.</w:t>
      </w:r>
      <w:r w:rsidR="00630C29">
        <w:rPr>
          <w:rFonts w:ascii="Times New Roman" w:eastAsia="標楷體" w:hAnsi="Times New Roman" w:cs="Times New Roman"/>
          <w:sz w:val="24"/>
          <w:szCs w:val="24"/>
          <w:lang w:eastAsia="zh-HK"/>
        </w:rPr>
        <w:t xml:space="preserve">  The </w:t>
      </w:r>
      <w:r w:rsidR="009C6BCF">
        <w:rPr>
          <w:rFonts w:ascii="Times New Roman" w:eastAsia="標楷體" w:hAnsi="Times New Roman" w:cs="Times New Roman"/>
          <w:sz w:val="24"/>
          <w:szCs w:val="24"/>
          <w:lang w:eastAsia="zh-HK"/>
        </w:rPr>
        <w:t xml:space="preserve">residential property </w:t>
      </w:r>
      <w:r w:rsidR="00630C29">
        <w:rPr>
          <w:rFonts w:ascii="Times New Roman" w:eastAsia="標楷體" w:hAnsi="Times New Roman" w:cs="Times New Roman"/>
          <w:sz w:val="24"/>
          <w:szCs w:val="24"/>
          <w:lang w:eastAsia="zh-HK"/>
        </w:rPr>
        <w:t xml:space="preserve">price indices are based on stamp duty transactions that take place in the relevant </w:t>
      </w:r>
      <w:r w:rsidR="00865177">
        <w:rPr>
          <w:rFonts w:ascii="Times New Roman" w:eastAsia="標楷體" w:hAnsi="Times New Roman" w:cs="Times New Roman"/>
          <w:sz w:val="24"/>
          <w:szCs w:val="24"/>
          <w:lang w:eastAsia="zh-HK"/>
        </w:rPr>
        <w:t>quarter</w:t>
      </w:r>
      <w:r w:rsidR="00630C29">
        <w:rPr>
          <w:rFonts w:ascii="Times New Roman" w:eastAsia="標楷體" w:hAnsi="Times New Roman" w:cs="Times New Roman"/>
          <w:sz w:val="24"/>
          <w:szCs w:val="24"/>
          <w:lang w:eastAsia="zh-HK"/>
        </w:rPr>
        <w:t xml:space="preserve">, according to the date on which an Agreement for Sale and Purchase is signed.  </w:t>
      </w:r>
      <w:r w:rsidR="00315DA1">
        <w:rPr>
          <w:rFonts w:ascii="Times New Roman" w:eastAsia="標楷體" w:hAnsi="Times New Roman" w:cs="Times New Roman"/>
          <w:sz w:val="24"/>
          <w:szCs w:val="24"/>
          <w:lang w:eastAsia="zh-HK"/>
        </w:rPr>
        <w:t>The</w:t>
      </w:r>
      <w:r w:rsidR="009C6BCF">
        <w:rPr>
          <w:rFonts w:ascii="Times New Roman" w:eastAsia="標楷體" w:hAnsi="Times New Roman" w:cs="Times New Roman"/>
          <w:sz w:val="24"/>
          <w:szCs w:val="24"/>
          <w:lang w:eastAsia="zh-HK"/>
        </w:rPr>
        <w:t>y</w:t>
      </w:r>
      <w:r w:rsidR="00315DA1">
        <w:rPr>
          <w:rFonts w:ascii="Times New Roman" w:eastAsia="標楷體" w:hAnsi="Times New Roman" w:cs="Times New Roman"/>
          <w:sz w:val="24"/>
          <w:szCs w:val="24"/>
          <w:lang w:eastAsia="zh-HK"/>
        </w:rPr>
        <w:t xml:space="preserve"> are </w:t>
      </w:r>
      <w:r w:rsidR="00865177">
        <w:rPr>
          <w:rFonts w:ascii="Times New Roman" w:eastAsia="標楷體" w:hAnsi="Times New Roman" w:cs="Times New Roman"/>
          <w:sz w:val="24"/>
          <w:szCs w:val="24"/>
          <w:lang w:eastAsia="zh-HK"/>
        </w:rPr>
        <w:t>intended</w:t>
      </w:r>
      <w:r w:rsidR="00315DA1">
        <w:rPr>
          <w:rFonts w:ascii="Times New Roman" w:eastAsia="標楷體" w:hAnsi="Times New Roman" w:cs="Times New Roman"/>
          <w:sz w:val="24"/>
          <w:szCs w:val="24"/>
          <w:lang w:eastAsia="zh-HK"/>
        </w:rPr>
        <w:t xml:space="preserve"> to hold quality constant over time.  </w:t>
      </w:r>
      <w:r w:rsidR="00630C29">
        <w:rPr>
          <w:rFonts w:ascii="Times New Roman" w:eastAsia="標楷體" w:hAnsi="Times New Roman" w:cs="Times New Roman"/>
          <w:sz w:val="24"/>
          <w:szCs w:val="24"/>
          <w:lang w:eastAsia="zh-HK"/>
        </w:rPr>
        <w:t>As the underlying denominator of the price indices is based on rateable value for tax purposes</w:t>
      </w:r>
      <w:r w:rsidR="00315DA1">
        <w:rPr>
          <w:rStyle w:val="FootnoteReference"/>
          <w:rFonts w:ascii="Times New Roman" w:eastAsia="標楷體" w:hAnsi="Times New Roman" w:cs="Times New Roman"/>
          <w:sz w:val="24"/>
          <w:szCs w:val="24"/>
          <w:lang w:eastAsia="zh-HK"/>
        </w:rPr>
        <w:footnoteReference w:id="6"/>
      </w:r>
      <w:r w:rsidR="00630C29">
        <w:rPr>
          <w:rFonts w:ascii="Times New Roman" w:eastAsia="標楷體" w:hAnsi="Times New Roman" w:cs="Times New Roman"/>
          <w:sz w:val="24"/>
          <w:szCs w:val="24"/>
          <w:lang w:eastAsia="zh-HK"/>
        </w:rPr>
        <w:t xml:space="preserve">, </w:t>
      </w:r>
      <w:r w:rsidR="00315DA1">
        <w:rPr>
          <w:rFonts w:ascii="Times New Roman" w:eastAsia="標楷體" w:hAnsi="Times New Roman" w:cs="Times New Roman"/>
          <w:sz w:val="24"/>
          <w:szCs w:val="24"/>
          <w:lang w:eastAsia="zh-HK"/>
        </w:rPr>
        <w:t>the</w:t>
      </w:r>
      <w:r w:rsidR="009C6BCF">
        <w:rPr>
          <w:rFonts w:ascii="Times New Roman" w:eastAsia="標楷體" w:hAnsi="Times New Roman" w:cs="Times New Roman"/>
          <w:sz w:val="24"/>
          <w:szCs w:val="24"/>
          <w:lang w:eastAsia="zh-HK"/>
        </w:rPr>
        <w:t>y</w:t>
      </w:r>
      <w:r w:rsidR="00315DA1">
        <w:rPr>
          <w:rFonts w:ascii="Times New Roman" w:eastAsia="標楷體" w:hAnsi="Times New Roman" w:cs="Times New Roman"/>
          <w:sz w:val="24"/>
          <w:szCs w:val="24"/>
          <w:lang w:eastAsia="zh-HK"/>
        </w:rPr>
        <w:t xml:space="preserve"> take not only size differences into account, but also qualitative factors such as location</w:t>
      </w:r>
      <w:r w:rsidR="00253E05">
        <w:rPr>
          <w:rFonts w:ascii="Times New Roman" w:eastAsia="標楷體" w:hAnsi="Times New Roman" w:cs="Times New Roman"/>
          <w:sz w:val="24"/>
          <w:szCs w:val="24"/>
          <w:lang w:eastAsia="zh-HK"/>
        </w:rPr>
        <w:t>,</w:t>
      </w:r>
      <w:r w:rsidR="00315DA1">
        <w:rPr>
          <w:rFonts w:ascii="Times New Roman" w:eastAsia="標楷體" w:hAnsi="Times New Roman" w:cs="Times New Roman"/>
          <w:sz w:val="24"/>
          <w:szCs w:val="24"/>
          <w:lang w:eastAsia="zh-HK"/>
        </w:rPr>
        <w:t xml:space="preserve"> facilities, standards of finish and management</w:t>
      </w:r>
      <w:r w:rsidR="00315DA1">
        <w:rPr>
          <w:rStyle w:val="FootnoteReference"/>
          <w:rFonts w:ascii="Times New Roman" w:eastAsia="標楷體" w:hAnsi="Times New Roman" w:cs="Times New Roman"/>
          <w:sz w:val="24"/>
          <w:szCs w:val="24"/>
          <w:lang w:eastAsia="zh-HK"/>
        </w:rPr>
        <w:footnoteReference w:id="7"/>
      </w:r>
      <w:r w:rsidR="00315DA1">
        <w:rPr>
          <w:rFonts w:ascii="Times New Roman" w:eastAsia="標楷體" w:hAnsi="Times New Roman" w:cs="Times New Roman"/>
          <w:sz w:val="24"/>
          <w:szCs w:val="24"/>
          <w:lang w:eastAsia="zh-HK"/>
        </w:rPr>
        <w:t>.</w:t>
      </w:r>
    </w:p>
    <w:p w14:paraId="3A6E1AEF" w14:textId="75CE4E0D" w:rsidR="007B6819" w:rsidRDefault="000C58AA" w:rsidP="00A27BFC">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lastRenderedPageBreak/>
        <w:t>C</w:t>
      </w:r>
      <w:r w:rsidR="007B6819" w:rsidRPr="00D71305">
        <w:rPr>
          <w:rFonts w:ascii="Times New Roman" w:eastAsia="標楷體" w:hAnsi="Times New Roman" w:cs="Times New Roman"/>
          <w:sz w:val="24"/>
          <w:szCs w:val="24"/>
          <w:lang w:eastAsia="zh-HK"/>
        </w:rPr>
        <w:t xml:space="preserve">onsumer prices are </w:t>
      </w:r>
      <w:r>
        <w:rPr>
          <w:rFonts w:ascii="Times New Roman" w:eastAsia="標楷體" w:hAnsi="Times New Roman" w:cs="Times New Roman"/>
          <w:sz w:val="24"/>
          <w:szCs w:val="24"/>
          <w:lang w:eastAsia="zh-HK"/>
        </w:rPr>
        <w:t>measured with</w:t>
      </w:r>
      <w:r w:rsidR="007B6819" w:rsidRPr="00D71305">
        <w:rPr>
          <w:rFonts w:ascii="Times New Roman" w:eastAsia="標楷體" w:hAnsi="Times New Roman" w:cs="Times New Roman"/>
          <w:sz w:val="24"/>
          <w:szCs w:val="24"/>
          <w:lang w:eastAsia="zh-HK"/>
        </w:rPr>
        <w:t xml:space="preserve"> Hong Kong’s Composite Consumer Price Index (CCPI)</w:t>
      </w:r>
      <w:r w:rsidR="007B6819" w:rsidRPr="00D71305">
        <w:rPr>
          <w:rStyle w:val="FootnoteReference"/>
          <w:rFonts w:ascii="Times New Roman" w:eastAsia="標楷體" w:hAnsi="Times New Roman" w:cs="Times New Roman"/>
          <w:sz w:val="24"/>
          <w:szCs w:val="24"/>
          <w:lang w:eastAsia="zh-HK"/>
        </w:rPr>
        <w:footnoteReference w:id="8"/>
      </w:r>
      <w:r w:rsidR="002F1215">
        <w:rPr>
          <w:rFonts w:ascii="Times New Roman" w:eastAsia="標楷體" w:hAnsi="Times New Roman" w:cs="Times New Roman"/>
          <w:sz w:val="24"/>
          <w:szCs w:val="24"/>
          <w:lang w:eastAsia="zh-HK"/>
        </w:rPr>
        <w:t xml:space="preserve"> published by the Census and Statistics Department (C&amp;SD)</w:t>
      </w:r>
      <w:r w:rsidR="007B6819">
        <w:rPr>
          <w:rFonts w:ascii="Times New Roman" w:eastAsia="標楷體" w:hAnsi="Times New Roman" w:cs="Times New Roman"/>
          <w:sz w:val="24"/>
          <w:szCs w:val="24"/>
          <w:lang w:eastAsia="zh-HK"/>
        </w:rPr>
        <w:t>.</w:t>
      </w:r>
      <w:r w:rsidR="007B6819" w:rsidRPr="00D71305">
        <w:rPr>
          <w:rFonts w:ascii="Times New Roman" w:eastAsia="標楷體" w:hAnsi="Times New Roman" w:cs="Times New Roman"/>
          <w:sz w:val="24"/>
          <w:szCs w:val="24"/>
          <w:lang w:eastAsia="zh-HK"/>
        </w:rPr>
        <w:t xml:space="preserve"> </w:t>
      </w:r>
      <w:r w:rsidR="007B6819">
        <w:rPr>
          <w:rFonts w:ascii="Times New Roman" w:eastAsia="標楷體" w:hAnsi="Times New Roman" w:cs="Times New Roman"/>
          <w:sz w:val="24"/>
          <w:szCs w:val="24"/>
          <w:lang w:eastAsia="zh-HK"/>
        </w:rPr>
        <w:t xml:space="preserve"> </w:t>
      </w:r>
      <w:r w:rsidR="007B6819" w:rsidRPr="00D71305">
        <w:rPr>
          <w:rFonts w:ascii="Times New Roman" w:eastAsia="標楷體" w:hAnsi="Times New Roman" w:cs="Times New Roman"/>
          <w:sz w:val="24"/>
          <w:szCs w:val="24"/>
          <w:lang w:eastAsia="zh-HK"/>
        </w:rPr>
        <w:t>The CCPI reflects the expenditure pattern of the middle 90 perce</w:t>
      </w:r>
      <w:r w:rsidR="007B6819">
        <w:rPr>
          <w:rFonts w:ascii="Times New Roman" w:eastAsia="標楷體" w:hAnsi="Times New Roman" w:cs="Times New Roman"/>
          <w:sz w:val="24"/>
          <w:szCs w:val="24"/>
          <w:lang w:eastAsia="zh-HK"/>
        </w:rPr>
        <w:t>nt of households in Hong Kong.  The most important component of the CCPI is housing, which account</w:t>
      </w:r>
      <w:r w:rsidR="002F1215">
        <w:rPr>
          <w:rFonts w:ascii="Times New Roman" w:eastAsia="標楷體" w:hAnsi="Times New Roman" w:cs="Times New Roman"/>
          <w:sz w:val="24"/>
          <w:szCs w:val="24"/>
          <w:lang w:eastAsia="zh-HK"/>
        </w:rPr>
        <w:t>s</w:t>
      </w:r>
      <w:r w:rsidR="007B6819">
        <w:rPr>
          <w:rFonts w:ascii="Times New Roman" w:eastAsia="標楷體" w:hAnsi="Times New Roman" w:cs="Times New Roman"/>
          <w:sz w:val="24"/>
          <w:szCs w:val="24"/>
          <w:lang w:eastAsia="zh-HK"/>
        </w:rPr>
        <w:t xml:space="preserve"> for 40% of the </w:t>
      </w:r>
      <w:r w:rsidR="007B6819" w:rsidRPr="00D71305">
        <w:rPr>
          <w:rFonts w:ascii="Times New Roman" w:eastAsia="標楷體" w:hAnsi="Times New Roman" w:cs="Times New Roman"/>
          <w:sz w:val="24"/>
          <w:szCs w:val="24"/>
          <w:lang w:eastAsia="zh-HK"/>
        </w:rPr>
        <w:t>2019/20 rebased series</w:t>
      </w:r>
      <w:r w:rsidR="00651BBA">
        <w:rPr>
          <w:rFonts w:ascii="Times New Roman" w:eastAsia="標楷體" w:hAnsi="Times New Roman" w:cs="Times New Roman"/>
          <w:sz w:val="24"/>
          <w:szCs w:val="24"/>
          <w:lang w:eastAsia="zh-HK"/>
        </w:rPr>
        <w:t xml:space="preserve">.  Private housing rent, which </w:t>
      </w:r>
      <w:r w:rsidR="00E4508D">
        <w:rPr>
          <w:rFonts w:ascii="Times New Roman" w:eastAsia="標楷體" w:hAnsi="Times New Roman" w:cs="Times New Roman"/>
          <w:sz w:val="24"/>
          <w:szCs w:val="24"/>
          <w:lang w:eastAsia="zh-HK"/>
        </w:rPr>
        <w:t>alone</w:t>
      </w:r>
      <w:r w:rsidR="00651BBA">
        <w:rPr>
          <w:rFonts w:ascii="Times New Roman" w:eastAsia="標楷體" w:hAnsi="Times New Roman" w:cs="Times New Roman"/>
          <w:sz w:val="24"/>
          <w:szCs w:val="24"/>
          <w:lang w:eastAsia="zh-HK"/>
        </w:rPr>
        <w:t xml:space="preserve"> comprise</w:t>
      </w:r>
      <w:r w:rsidR="00423AA9">
        <w:rPr>
          <w:rFonts w:ascii="Times New Roman" w:eastAsia="標楷體" w:hAnsi="Times New Roman" w:cs="Times New Roman"/>
          <w:sz w:val="24"/>
          <w:szCs w:val="24"/>
          <w:lang w:eastAsia="zh-HK"/>
        </w:rPr>
        <w:t>s</w:t>
      </w:r>
      <w:r w:rsidR="00651BBA">
        <w:rPr>
          <w:rFonts w:ascii="Times New Roman" w:eastAsia="標楷體" w:hAnsi="Times New Roman" w:cs="Times New Roman"/>
          <w:sz w:val="24"/>
          <w:szCs w:val="24"/>
          <w:lang w:eastAsia="zh-HK"/>
        </w:rPr>
        <w:t xml:space="preserve"> 35% of the </w:t>
      </w:r>
      <w:r w:rsidR="00651BBA" w:rsidRPr="00D71305">
        <w:rPr>
          <w:rFonts w:ascii="Times New Roman" w:eastAsia="標楷體" w:hAnsi="Times New Roman" w:cs="Times New Roman"/>
          <w:sz w:val="24"/>
          <w:szCs w:val="24"/>
          <w:lang w:eastAsia="zh-HK"/>
        </w:rPr>
        <w:t>2019/20 rebased series</w:t>
      </w:r>
      <w:r w:rsidR="00651BBA">
        <w:rPr>
          <w:rFonts w:ascii="Times New Roman" w:eastAsia="標楷體" w:hAnsi="Times New Roman" w:cs="Times New Roman"/>
          <w:sz w:val="24"/>
          <w:szCs w:val="24"/>
          <w:lang w:eastAsia="zh-HK"/>
        </w:rPr>
        <w:t xml:space="preserve">, </w:t>
      </w:r>
      <w:r w:rsidR="002F1215">
        <w:rPr>
          <w:rFonts w:ascii="Times New Roman" w:eastAsia="標楷體" w:hAnsi="Times New Roman" w:cs="Times New Roman"/>
          <w:sz w:val="24"/>
          <w:szCs w:val="24"/>
          <w:lang w:eastAsia="zh-HK"/>
        </w:rPr>
        <w:t xml:space="preserve">is the main </w:t>
      </w:r>
      <w:r w:rsidR="003A6079">
        <w:rPr>
          <w:rFonts w:ascii="Times New Roman" w:eastAsia="標楷體" w:hAnsi="Times New Roman" w:cs="Times New Roman"/>
          <w:sz w:val="24"/>
          <w:szCs w:val="24"/>
          <w:lang w:eastAsia="zh-HK"/>
        </w:rPr>
        <w:t>element</w:t>
      </w:r>
      <w:r w:rsidR="00651BBA">
        <w:rPr>
          <w:rFonts w:ascii="Times New Roman" w:eastAsia="標楷體" w:hAnsi="Times New Roman" w:cs="Times New Roman"/>
          <w:sz w:val="24"/>
          <w:szCs w:val="24"/>
          <w:lang w:eastAsia="zh-HK"/>
        </w:rPr>
        <w:t xml:space="preserve"> of the CCPI housing component.  The other elements are public housing rent and management fees and other housing charges, which comprise 2% and 3% of the </w:t>
      </w:r>
      <w:r w:rsidR="00651BBA" w:rsidRPr="00D71305">
        <w:rPr>
          <w:rFonts w:ascii="Times New Roman" w:eastAsia="標楷體" w:hAnsi="Times New Roman" w:cs="Times New Roman"/>
          <w:sz w:val="24"/>
          <w:szCs w:val="24"/>
          <w:lang w:eastAsia="zh-HK"/>
        </w:rPr>
        <w:t>2019/20 rebased series</w:t>
      </w:r>
      <w:r w:rsidR="00651BBA">
        <w:rPr>
          <w:rFonts w:ascii="Times New Roman" w:eastAsia="標楷體" w:hAnsi="Times New Roman" w:cs="Times New Roman"/>
          <w:sz w:val="24"/>
          <w:szCs w:val="24"/>
          <w:lang w:eastAsia="zh-HK"/>
        </w:rPr>
        <w:t xml:space="preserve"> respectively</w:t>
      </w:r>
      <w:r w:rsidR="00651BBA">
        <w:rPr>
          <w:rStyle w:val="FootnoteReference"/>
          <w:rFonts w:ascii="Times New Roman" w:eastAsia="標楷體" w:hAnsi="Times New Roman" w:cs="Times New Roman"/>
          <w:sz w:val="24"/>
          <w:szCs w:val="24"/>
          <w:lang w:eastAsia="zh-HK"/>
        </w:rPr>
        <w:footnoteReference w:id="9"/>
      </w:r>
      <w:r w:rsidR="00651BBA">
        <w:rPr>
          <w:rFonts w:ascii="Times New Roman" w:eastAsia="標楷體" w:hAnsi="Times New Roman" w:cs="Times New Roman"/>
          <w:sz w:val="24"/>
          <w:szCs w:val="24"/>
          <w:lang w:eastAsia="zh-HK"/>
        </w:rPr>
        <w:t>.</w:t>
      </w:r>
      <w:r w:rsidR="00423AA9">
        <w:rPr>
          <w:rFonts w:ascii="Times New Roman" w:eastAsia="標楷體" w:hAnsi="Times New Roman" w:cs="Times New Roman"/>
          <w:sz w:val="24"/>
          <w:szCs w:val="24"/>
          <w:lang w:eastAsia="zh-HK"/>
        </w:rPr>
        <w:t xml:space="preserve">  Consequently, notwithstanding that around 30% of Hong Kong households occupy public rental housing</w:t>
      </w:r>
      <w:r w:rsidR="00423AA9">
        <w:rPr>
          <w:rStyle w:val="FootnoteReference"/>
          <w:rFonts w:ascii="Times New Roman" w:eastAsia="標楷體" w:hAnsi="Times New Roman" w:cs="Times New Roman"/>
          <w:sz w:val="24"/>
          <w:szCs w:val="24"/>
          <w:lang w:eastAsia="zh-HK"/>
        </w:rPr>
        <w:footnoteReference w:id="10"/>
      </w:r>
      <w:r w:rsidR="00423AA9">
        <w:rPr>
          <w:rFonts w:ascii="Times New Roman" w:eastAsia="標楷體" w:hAnsi="Times New Roman" w:cs="Times New Roman"/>
          <w:sz w:val="24"/>
          <w:szCs w:val="24"/>
          <w:lang w:eastAsia="zh-HK"/>
        </w:rPr>
        <w:t xml:space="preserve">, </w:t>
      </w:r>
      <w:r w:rsidR="00FA5E4F">
        <w:rPr>
          <w:rFonts w:ascii="Times New Roman" w:eastAsia="標楷體" w:hAnsi="Times New Roman" w:cs="Times New Roman"/>
          <w:sz w:val="24"/>
          <w:szCs w:val="24"/>
          <w:lang w:eastAsia="zh-HK"/>
        </w:rPr>
        <w:t>housing costs in the CCPI</w:t>
      </w:r>
      <w:r w:rsidR="00E4508D">
        <w:rPr>
          <w:rFonts w:ascii="Times New Roman" w:eastAsia="標楷體" w:hAnsi="Times New Roman" w:cs="Times New Roman"/>
          <w:sz w:val="24"/>
          <w:szCs w:val="24"/>
          <w:lang w:eastAsia="zh-HK"/>
        </w:rPr>
        <w:t xml:space="preserve"> are mainly driven by private housing rent</w:t>
      </w:r>
      <w:r w:rsidR="00FA5E4F">
        <w:rPr>
          <w:rFonts w:ascii="Times New Roman" w:eastAsia="標楷體" w:hAnsi="Times New Roman" w:cs="Times New Roman"/>
          <w:sz w:val="24"/>
          <w:szCs w:val="24"/>
          <w:lang w:eastAsia="zh-HK"/>
        </w:rPr>
        <w:t>.</w:t>
      </w:r>
    </w:p>
    <w:p w14:paraId="7D9A3AEF" w14:textId="3A255818" w:rsidR="000F3DDE" w:rsidRDefault="000F3DDE" w:rsidP="000F3DDE">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6004DDB2" w14:textId="721580B6" w:rsidR="000F3DDE" w:rsidRDefault="00997CDB" w:rsidP="00A27BFC">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The theoretical relationship between residential property prices and CCPI ho</w:t>
      </w:r>
      <w:r w:rsidR="00491934">
        <w:rPr>
          <w:rFonts w:ascii="Times New Roman" w:eastAsia="標楷體" w:hAnsi="Times New Roman" w:cs="Times New Roman"/>
          <w:sz w:val="24"/>
          <w:szCs w:val="24"/>
          <w:lang w:eastAsia="zh-HK"/>
        </w:rPr>
        <w:t>using costs is straightforward.  As an asset, the value of a residential property is equal to the net present value of the income it generates</w:t>
      </w:r>
      <w:r w:rsidR="00491934">
        <w:rPr>
          <w:rStyle w:val="FootnoteReference"/>
          <w:rFonts w:ascii="Times New Roman" w:eastAsia="標楷體" w:hAnsi="Times New Roman" w:cs="Times New Roman"/>
          <w:sz w:val="24"/>
          <w:szCs w:val="24"/>
          <w:lang w:eastAsia="zh-HK"/>
        </w:rPr>
        <w:footnoteReference w:id="11"/>
      </w:r>
      <w:r w:rsidR="00491934">
        <w:rPr>
          <w:rFonts w:ascii="Times New Roman" w:eastAsia="標楷體" w:hAnsi="Times New Roman" w:cs="Times New Roman"/>
          <w:sz w:val="24"/>
          <w:szCs w:val="24"/>
          <w:lang w:eastAsia="zh-HK"/>
        </w:rPr>
        <w:t>, either directly from a rent-paying tenant or indirectly by saving its owner the cost of having to rent accommodation elsewhere.</w:t>
      </w:r>
      <w:r w:rsidR="006F6FEC">
        <w:rPr>
          <w:rFonts w:ascii="Times New Roman" w:eastAsia="標楷體" w:hAnsi="Times New Roman" w:cs="Times New Roman"/>
          <w:sz w:val="24"/>
          <w:szCs w:val="24"/>
          <w:lang w:eastAsia="zh-HK"/>
        </w:rPr>
        <w:t xml:space="preserve">  Anticipated developments that affect the future income stream—say, a planned MTR station that is expected to raise demand, or a nearby housing estate under construction that would raise supply—thus show up in property prices before they </w:t>
      </w:r>
      <w:r w:rsidR="008519F1">
        <w:rPr>
          <w:rFonts w:ascii="Times New Roman" w:eastAsia="標楷體" w:hAnsi="Times New Roman" w:cs="Times New Roman"/>
          <w:sz w:val="24"/>
          <w:szCs w:val="24"/>
          <w:lang w:eastAsia="zh-HK"/>
        </w:rPr>
        <w:t>a</w:t>
      </w:r>
      <w:r w:rsidR="006F6FEC">
        <w:rPr>
          <w:rFonts w:ascii="Times New Roman" w:eastAsia="標楷體" w:hAnsi="Times New Roman" w:cs="Times New Roman"/>
          <w:sz w:val="24"/>
          <w:szCs w:val="24"/>
          <w:lang w:eastAsia="zh-HK"/>
        </w:rPr>
        <w:t>ffect rental prices.</w:t>
      </w:r>
      <w:r w:rsidR="00574DDE">
        <w:rPr>
          <w:rFonts w:ascii="Times New Roman" w:eastAsia="標楷體" w:hAnsi="Times New Roman" w:cs="Times New Roman"/>
          <w:sz w:val="24"/>
          <w:szCs w:val="24"/>
          <w:lang w:eastAsia="zh-HK"/>
        </w:rPr>
        <w:t xml:space="preserve">  </w:t>
      </w:r>
      <w:r w:rsidR="00DF4FD2">
        <w:rPr>
          <w:rFonts w:ascii="Times New Roman" w:eastAsia="標楷體" w:hAnsi="Times New Roman" w:cs="Times New Roman"/>
          <w:sz w:val="24"/>
          <w:szCs w:val="24"/>
          <w:lang w:eastAsia="zh-HK"/>
        </w:rPr>
        <w:t>Moreover</w:t>
      </w:r>
      <w:r w:rsidR="00574DDE">
        <w:rPr>
          <w:rFonts w:ascii="Times New Roman" w:eastAsia="標楷體" w:hAnsi="Times New Roman" w:cs="Times New Roman"/>
          <w:sz w:val="24"/>
          <w:szCs w:val="24"/>
          <w:lang w:eastAsia="zh-HK"/>
        </w:rPr>
        <w:t xml:space="preserve">, as residential tenancies in Hong Kong are typically </w:t>
      </w:r>
      <w:r w:rsidR="00DF4FD2">
        <w:rPr>
          <w:rFonts w:ascii="Times New Roman" w:eastAsia="標楷體" w:hAnsi="Times New Roman" w:cs="Times New Roman"/>
          <w:sz w:val="24"/>
          <w:szCs w:val="24"/>
          <w:lang w:eastAsia="zh-HK"/>
        </w:rPr>
        <w:t xml:space="preserve">fixed </w:t>
      </w:r>
      <w:r w:rsidR="00574DDE">
        <w:rPr>
          <w:rFonts w:ascii="Times New Roman" w:eastAsia="標楷體" w:hAnsi="Times New Roman" w:cs="Times New Roman"/>
          <w:sz w:val="24"/>
          <w:szCs w:val="24"/>
          <w:lang w:eastAsia="zh-HK"/>
        </w:rPr>
        <w:t xml:space="preserve">for two years, changes in </w:t>
      </w:r>
      <w:r w:rsidR="000F17AD">
        <w:rPr>
          <w:rFonts w:ascii="Times New Roman" w:eastAsia="標楷體" w:hAnsi="Times New Roman" w:cs="Times New Roman"/>
          <w:sz w:val="24"/>
          <w:szCs w:val="24"/>
          <w:lang w:eastAsia="zh-HK"/>
        </w:rPr>
        <w:t xml:space="preserve">initial rental prices (e.g., as reflected in RVD’s rental indices) take </w:t>
      </w:r>
      <w:r w:rsidR="00DF4FD2">
        <w:rPr>
          <w:rFonts w:ascii="Times New Roman" w:eastAsia="標楷體" w:hAnsi="Times New Roman" w:cs="Times New Roman"/>
          <w:sz w:val="24"/>
          <w:szCs w:val="24"/>
          <w:lang w:eastAsia="zh-HK"/>
        </w:rPr>
        <w:t>even</w:t>
      </w:r>
      <w:r w:rsidR="00660C38">
        <w:rPr>
          <w:rFonts w:ascii="Times New Roman" w:eastAsia="標楷體" w:hAnsi="Times New Roman" w:cs="Times New Roman"/>
          <w:sz w:val="24"/>
          <w:szCs w:val="24"/>
          <w:lang w:eastAsia="zh-HK"/>
        </w:rPr>
        <w:t xml:space="preserve"> more</w:t>
      </w:r>
      <w:r w:rsidR="000F17AD">
        <w:rPr>
          <w:rFonts w:ascii="Times New Roman" w:eastAsia="標楷體" w:hAnsi="Times New Roman" w:cs="Times New Roman"/>
          <w:sz w:val="24"/>
          <w:szCs w:val="24"/>
          <w:lang w:eastAsia="zh-HK"/>
        </w:rPr>
        <w:t xml:space="preserve"> time to </w:t>
      </w:r>
      <w:r w:rsidR="007A694C">
        <w:rPr>
          <w:rFonts w:ascii="Times New Roman" w:eastAsia="標楷體" w:hAnsi="Times New Roman" w:cs="Times New Roman"/>
          <w:sz w:val="24"/>
          <w:szCs w:val="24"/>
          <w:lang w:eastAsia="zh-HK"/>
        </w:rPr>
        <w:t xml:space="preserve">fully </w:t>
      </w:r>
      <w:r w:rsidR="000F17AD">
        <w:rPr>
          <w:rFonts w:ascii="Times New Roman" w:eastAsia="標楷體" w:hAnsi="Times New Roman" w:cs="Times New Roman"/>
          <w:sz w:val="24"/>
          <w:szCs w:val="24"/>
          <w:lang w:eastAsia="zh-HK"/>
        </w:rPr>
        <w:t>filter through to the housing component of the CCPI</w:t>
      </w:r>
      <w:r w:rsidR="009908D3">
        <w:rPr>
          <w:rFonts w:ascii="Times New Roman" w:eastAsia="標楷體" w:hAnsi="Times New Roman" w:cs="Times New Roman"/>
          <w:sz w:val="24"/>
          <w:szCs w:val="24"/>
          <w:lang w:eastAsia="zh-HK"/>
        </w:rPr>
        <w:t>, which covers all kinds of leases including new, renewed and existing leases</w:t>
      </w:r>
      <w:r w:rsidR="000F17AD">
        <w:rPr>
          <w:rStyle w:val="FootnoteReference"/>
          <w:rFonts w:ascii="Times New Roman" w:eastAsia="標楷體" w:hAnsi="Times New Roman" w:cs="Times New Roman"/>
          <w:sz w:val="24"/>
          <w:szCs w:val="24"/>
          <w:lang w:eastAsia="zh-HK"/>
        </w:rPr>
        <w:footnoteReference w:id="12"/>
      </w:r>
      <w:r w:rsidR="000F17AD">
        <w:rPr>
          <w:rFonts w:ascii="Times New Roman" w:eastAsia="標楷體" w:hAnsi="Times New Roman" w:cs="Times New Roman"/>
          <w:sz w:val="24"/>
          <w:szCs w:val="24"/>
          <w:lang w:eastAsia="zh-HK"/>
        </w:rPr>
        <w:t>.</w:t>
      </w:r>
    </w:p>
    <w:p w14:paraId="2678B133" w14:textId="77777777" w:rsidR="000F17AD" w:rsidRPr="000F17AD" w:rsidRDefault="000F17AD" w:rsidP="000F17AD">
      <w:pPr>
        <w:pStyle w:val="ListParagraph"/>
        <w:rPr>
          <w:rFonts w:ascii="Times New Roman" w:eastAsia="標楷體" w:hAnsi="Times New Roman" w:cs="Times New Roman"/>
          <w:sz w:val="24"/>
          <w:szCs w:val="24"/>
          <w:lang w:eastAsia="zh-HK"/>
        </w:rPr>
      </w:pPr>
    </w:p>
    <w:p w14:paraId="56B970C1" w14:textId="5F8252BF" w:rsidR="00E659B7" w:rsidRPr="002F749B" w:rsidRDefault="00B65A81" w:rsidP="00E659B7">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Year-on-year changes in residential property prices and housing costs as measured in the CCPI</w:t>
      </w:r>
      <w:r w:rsidR="00943A8E">
        <w:rPr>
          <w:rStyle w:val="FootnoteReference"/>
          <w:rFonts w:ascii="Times New Roman" w:eastAsia="標楷體" w:hAnsi="Times New Roman" w:cs="Times New Roman"/>
          <w:sz w:val="24"/>
          <w:szCs w:val="24"/>
          <w:lang w:eastAsia="zh-HK"/>
        </w:rPr>
        <w:footnoteReference w:id="13"/>
      </w:r>
      <w:r>
        <w:rPr>
          <w:rFonts w:ascii="Times New Roman" w:eastAsia="標楷體" w:hAnsi="Times New Roman" w:cs="Times New Roman"/>
          <w:sz w:val="24"/>
          <w:szCs w:val="24"/>
          <w:lang w:eastAsia="zh-HK"/>
        </w:rPr>
        <w:t xml:space="preserve"> are plotted in </w:t>
      </w:r>
      <w:r w:rsidRPr="00B65A81">
        <w:rPr>
          <w:rFonts w:ascii="Times New Roman" w:eastAsia="標楷體" w:hAnsi="Times New Roman" w:cs="Times New Roman"/>
          <w:b/>
          <w:sz w:val="24"/>
          <w:szCs w:val="24"/>
          <w:lang w:eastAsia="zh-HK"/>
        </w:rPr>
        <w:t>Chart 1</w:t>
      </w:r>
      <w:r w:rsidR="00C42BFD" w:rsidRPr="00C42BFD">
        <w:rPr>
          <w:rFonts w:ascii="Times New Roman" w:eastAsia="標楷體" w:hAnsi="Times New Roman" w:cs="Times New Roman"/>
          <w:sz w:val="24"/>
          <w:szCs w:val="24"/>
          <w:lang w:eastAsia="zh-HK"/>
        </w:rPr>
        <w:t xml:space="preserve">, </w:t>
      </w:r>
      <w:r w:rsidR="00C42BFD">
        <w:rPr>
          <w:rFonts w:ascii="Times New Roman" w:eastAsia="標楷體" w:hAnsi="Times New Roman" w:cs="Times New Roman"/>
          <w:sz w:val="24"/>
          <w:szCs w:val="24"/>
          <w:lang w:eastAsia="zh-HK"/>
        </w:rPr>
        <w:t>starting from 1984 (Hong Kong’s first full year under the Linked Exchange Rate System)</w:t>
      </w:r>
      <w:r w:rsidRPr="00C42BFD">
        <w:rPr>
          <w:rFonts w:ascii="Times New Roman" w:eastAsia="標楷體" w:hAnsi="Times New Roman" w:cs="Times New Roman"/>
          <w:sz w:val="24"/>
          <w:szCs w:val="24"/>
          <w:lang w:eastAsia="zh-HK"/>
        </w:rPr>
        <w:t>.</w:t>
      </w:r>
      <w:r>
        <w:rPr>
          <w:rFonts w:ascii="Times New Roman" w:eastAsia="標楷體" w:hAnsi="Times New Roman" w:cs="Times New Roman"/>
          <w:sz w:val="24"/>
          <w:szCs w:val="24"/>
          <w:lang w:eastAsia="zh-HK"/>
        </w:rPr>
        <w:t xml:space="preserve">  </w:t>
      </w:r>
      <w:r w:rsidRPr="00B65A81">
        <w:rPr>
          <w:rFonts w:ascii="Times New Roman" w:eastAsia="標楷體" w:hAnsi="Times New Roman" w:cs="Times New Roman"/>
          <w:b/>
          <w:sz w:val="24"/>
          <w:szCs w:val="24"/>
          <w:lang w:eastAsia="zh-HK"/>
        </w:rPr>
        <w:t>Chart 1</w:t>
      </w:r>
      <w:r>
        <w:rPr>
          <w:rFonts w:ascii="Times New Roman" w:eastAsia="標楷體" w:hAnsi="Times New Roman" w:cs="Times New Roman"/>
          <w:sz w:val="24"/>
          <w:szCs w:val="24"/>
          <w:lang w:eastAsia="zh-HK"/>
        </w:rPr>
        <w:t xml:space="preserve"> shows that, as expected, </w:t>
      </w:r>
      <w:r w:rsidR="00D70379">
        <w:rPr>
          <w:rFonts w:ascii="Times New Roman" w:eastAsia="標楷體" w:hAnsi="Times New Roman" w:cs="Times New Roman"/>
          <w:sz w:val="24"/>
          <w:szCs w:val="24"/>
          <w:lang w:eastAsia="zh-HK"/>
        </w:rPr>
        <w:t>changes</w:t>
      </w:r>
      <w:r>
        <w:rPr>
          <w:rFonts w:ascii="Times New Roman" w:eastAsia="標楷體" w:hAnsi="Times New Roman" w:cs="Times New Roman"/>
          <w:sz w:val="24"/>
          <w:szCs w:val="24"/>
          <w:lang w:eastAsia="zh-HK"/>
        </w:rPr>
        <w:t xml:space="preserve"> in residential property prices</w:t>
      </w:r>
      <w:r w:rsidR="000B565F">
        <w:rPr>
          <w:rFonts w:ascii="Times New Roman" w:eastAsia="標楷體" w:hAnsi="Times New Roman" w:cs="Times New Roman"/>
          <w:sz w:val="24"/>
          <w:szCs w:val="24"/>
          <w:lang w:eastAsia="zh-HK"/>
        </w:rPr>
        <w:t>, as asset prices,</w:t>
      </w:r>
      <w:r>
        <w:rPr>
          <w:rFonts w:ascii="Times New Roman" w:eastAsia="標楷體" w:hAnsi="Times New Roman" w:cs="Times New Roman"/>
          <w:sz w:val="24"/>
          <w:szCs w:val="24"/>
          <w:lang w:eastAsia="zh-HK"/>
        </w:rPr>
        <w:t xml:space="preserve"> </w:t>
      </w:r>
      <w:r w:rsidR="00223DD0">
        <w:rPr>
          <w:rFonts w:ascii="Times New Roman" w:eastAsia="標楷體" w:hAnsi="Times New Roman" w:cs="Times New Roman"/>
          <w:sz w:val="24"/>
          <w:szCs w:val="24"/>
          <w:lang w:eastAsia="zh-HK"/>
        </w:rPr>
        <w:t>are larger in magnitude</w:t>
      </w:r>
      <w:r w:rsidR="00D70379">
        <w:rPr>
          <w:rFonts w:ascii="Times New Roman" w:eastAsia="標楷體" w:hAnsi="Times New Roman" w:cs="Times New Roman"/>
          <w:sz w:val="24"/>
          <w:szCs w:val="24"/>
          <w:lang w:eastAsia="zh-HK"/>
        </w:rPr>
        <w:t xml:space="preserve"> than changes in housing costs</w:t>
      </w:r>
      <w:r w:rsidR="000B565F">
        <w:rPr>
          <w:rFonts w:ascii="Times New Roman" w:eastAsia="標楷體" w:hAnsi="Times New Roman" w:cs="Times New Roman"/>
          <w:sz w:val="24"/>
          <w:szCs w:val="24"/>
          <w:lang w:eastAsia="zh-HK"/>
        </w:rPr>
        <w:t xml:space="preserve">.  </w:t>
      </w:r>
      <w:r w:rsidR="00223DD0">
        <w:rPr>
          <w:rFonts w:ascii="Times New Roman" w:eastAsia="標楷體" w:hAnsi="Times New Roman" w:cs="Times New Roman"/>
          <w:sz w:val="24"/>
          <w:szCs w:val="24"/>
          <w:lang w:eastAsia="zh-HK"/>
        </w:rPr>
        <w:t xml:space="preserve"> </w:t>
      </w:r>
      <w:r w:rsidR="000B565F">
        <w:rPr>
          <w:rFonts w:ascii="Times New Roman" w:eastAsia="標楷體" w:hAnsi="Times New Roman" w:cs="Times New Roman"/>
          <w:sz w:val="24"/>
          <w:szCs w:val="24"/>
          <w:lang w:eastAsia="zh-HK"/>
        </w:rPr>
        <w:t>Moreover, they</w:t>
      </w:r>
      <w:r w:rsidR="00223DD0">
        <w:rPr>
          <w:rFonts w:ascii="Times New Roman" w:eastAsia="標楷體" w:hAnsi="Times New Roman" w:cs="Times New Roman"/>
          <w:sz w:val="24"/>
          <w:szCs w:val="24"/>
          <w:lang w:eastAsia="zh-HK"/>
        </w:rPr>
        <w:t xml:space="preserve"> </w:t>
      </w:r>
      <w:r>
        <w:rPr>
          <w:rFonts w:ascii="Times New Roman" w:eastAsia="標楷體" w:hAnsi="Times New Roman" w:cs="Times New Roman"/>
          <w:sz w:val="24"/>
          <w:szCs w:val="24"/>
          <w:lang w:eastAsia="zh-HK"/>
        </w:rPr>
        <w:t xml:space="preserve">tend to occur in advance of </w:t>
      </w:r>
      <w:r w:rsidR="00D70379">
        <w:rPr>
          <w:rFonts w:ascii="Times New Roman" w:eastAsia="標楷體" w:hAnsi="Times New Roman" w:cs="Times New Roman"/>
          <w:sz w:val="24"/>
          <w:szCs w:val="24"/>
          <w:lang w:eastAsia="zh-HK"/>
        </w:rPr>
        <w:t>change</w:t>
      </w:r>
      <w:r>
        <w:rPr>
          <w:rFonts w:ascii="Times New Roman" w:eastAsia="標楷體" w:hAnsi="Times New Roman" w:cs="Times New Roman"/>
          <w:sz w:val="24"/>
          <w:szCs w:val="24"/>
          <w:lang w:eastAsia="zh-HK"/>
        </w:rPr>
        <w:t>s in housing costs</w:t>
      </w:r>
      <w:r w:rsidR="008A0095">
        <w:rPr>
          <w:rFonts w:ascii="Times New Roman" w:eastAsia="標楷體" w:hAnsi="Times New Roman" w:cs="Times New Roman"/>
          <w:sz w:val="24"/>
          <w:szCs w:val="24"/>
          <w:lang w:eastAsia="zh-HK"/>
        </w:rPr>
        <w:t>—the income stream, from the asset owner’s perspective—which</w:t>
      </w:r>
      <w:r w:rsidR="00223DD0">
        <w:rPr>
          <w:rFonts w:ascii="Times New Roman" w:eastAsia="標楷體" w:hAnsi="Times New Roman" w:cs="Times New Roman"/>
          <w:sz w:val="24"/>
          <w:szCs w:val="24"/>
          <w:lang w:eastAsia="zh-HK"/>
        </w:rPr>
        <w:t xml:space="preserve"> are mainly determined by private housing rent</w:t>
      </w:r>
      <w:r>
        <w:rPr>
          <w:rFonts w:ascii="Times New Roman" w:eastAsia="標楷體" w:hAnsi="Times New Roman" w:cs="Times New Roman"/>
          <w:sz w:val="24"/>
          <w:szCs w:val="24"/>
          <w:lang w:eastAsia="zh-HK"/>
        </w:rPr>
        <w:t>.</w:t>
      </w:r>
    </w:p>
    <w:p w14:paraId="13092799" w14:textId="77777777" w:rsidR="00FB4C68" w:rsidRDefault="001D49EB" w:rsidP="00FB4C68">
      <w:pPr>
        <w:pStyle w:val="ListParagraph"/>
        <w:overflowPunct w:val="0"/>
        <w:snapToGrid w:val="0"/>
        <w:spacing w:after="0" w:line="300" w:lineRule="auto"/>
        <w:ind w:left="0"/>
        <w:jc w:val="center"/>
        <w:rPr>
          <w:rFonts w:ascii="Times New Roman" w:eastAsia="標楷體" w:hAnsi="Times New Roman" w:cs="Times New Roman"/>
          <w:b/>
          <w:sz w:val="24"/>
          <w:szCs w:val="24"/>
          <w:lang w:eastAsia="zh-HK"/>
        </w:rPr>
      </w:pPr>
      <w:r w:rsidRPr="001D49EB">
        <w:rPr>
          <w:rFonts w:ascii="Times New Roman" w:eastAsia="標楷體" w:hAnsi="Times New Roman" w:cs="Times New Roman"/>
          <w:b/>
          <w:sz w:val="24"/>
          <w:szCs w:val="24"/>
          <w:lang w:eastAsia="zh-HK"/>
        </w:rPr>
        <w:lastRenderedPageBreak/>
        <w:t xml:space="preserve">Chart 1: </w:t>
      </w:r>
      <w:r w:rsidR="00FB4C68">
        <w:rPr>
          <w:rFonts w:ascii="Times New Roman" w:eastAsia="標楷體" w:hAnsi="Times New Roman" w:cs="Times New Roman"/>
          <w:b/>
          <w:sz w:val="24"/>
          <w:szCs w:val="24"/>
          <w:lang w:eastAsia="zh-HK"/>
        </w:rPr>
        <w:t>Year-on-Year Changes in Hong Kong’s</w:t>
      </w:r>
    </w:p>
    <w:p w14:paraId="06FD317E" w14:textId="1C94C9A9" w:rsidR="001D49EB" w:rsidRPr="00FB4C68" w:rsidRDefault="00FB4C68" w:rsidP="00FB4C68">
      <w:pPr>
        <w:pStyle w:val="ListParagraph"/>
        <w:overflowPunct w:val="0"/>
        <w:snapToGrid w:val="0"/>
        <w:spacing w:after="0" w:line="300" w:lineRule="auto"/>
        <w:ind w:left="0"/>
        <w:jc w:val="center"/>
        <w:rPr>
          <w:rFonts w:ascii="Times New Roman" w:eastAsia="標楷體" w:hAnsi="Times New Roman" w:cs="Times New Roman"/>
          <w:b/>
          <w:sz w:val="24"/>
          <w:szCs w:val="24"/>
          <w:lang w:eastAsia="zh-HK"/>
        </w:rPr>
      </w:pPr>
      <w:r>
        <w:rPr>
          <w:rFonts w:ascii="Times New Roman" w:eastAsia="標楷體" w:hAnsi="Times New Roman" w:cs="Times New Roman"/>
          <w:b/>
          <w:sz w:val="24"/>
          <w:szCs w:val="24"/>
          <w:lang w:eastAsia="zh-HK"/>
        </w:rPr>
        <w:t>Residential Property Prices and Housing CCPI</w:t>
      </w:r>
    </w:p>
    <w:p w14:paraId="1F88C24E" w14:textId="273C5108" w:rsidR="00221C79" w:rsidRDefault="00221C79" w:rsidP="00FB4C68">
      <w:pPr>
        <w:pStyle w:val="ListParagraph"/>
        <w:overflowPunct w:val="0"/>
        <w:snapToGrid w:val="0"/>
        <w:spacing w:after="0" w:line="300" w:lineRule="auto"/>
        <w:ind w:left="0" w:hanging="142"/>
        <w:jc w:val="center"/>
        <w:rPr>
          <w:rFonts w:ascii="Times New Roman" w:eastAsia="標楷體" w:hAnsi="Times New Roman" w:cs="Times New Roman"/>
          <w:sz w:val="24"/>
          <w:szCs w:val="24"/>
          <w:lang w:eastAsia="zh-HK"/>
        </w:rPr>
      </w:pPr>
      <w:r>
        <w:rPr>
          <w:noProof/>
        </w:rPr>
        <w:drawing>
          <wp:inline distT="0" distB="0" distL="0" distR="0" wp14:anchorId="4FFD5EEC" wp14:editId="679F1421">
            <wp:extent cx="5429250" cy="30670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604161" w14:textId="77777777" w:rsidR="00CF7C67" w:rsidRDefault="00CF7C67" w:rsidP="00CF7C67">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65EBB386" w14:textId="77777777" w:rsidR="005155AE" w:rsidRDefault="005155AE" w:rsidP="005E3F5A">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15CB2A97" w14:textId="5005554F" w:rsidR="00C7036D" w:rsidRDefault="00C7036D" w:rsidP="001163C8">
      <w:pPr>
        <w:spacing w:after="0" w:line="300" w:lineRule="auto"/>
        <w:rPr>
          <w:rFonts w:ascii="Times New Roman" w:eastAsia="標楷體" w:hAnsi="Times New Roman" w:cs="Times New Roman"/>
          <w:b/>
          <w:sz w:val="24"/>
          <w:szCs w:val="24"/>
          <w:lang w:eastAsia="zh-HK"/>
        </w:rPr>
      </w:pPr>
      <w:r w:rsidRPr="00C7036D">
        <w:rPr>
          <w:rFonts w:ascii="Times New Roman" w:eastAsia="標楷體" w:hAnsi="Times New Roman" w:cs="Times New Roman"/>
          <w:b/>
          <w:sz w:val="24"/>
          <w:szCs w:val="24"/>
          <w:lang w:eastAsia="zh-HK"/>
        </w:rPr>
        <w:t>III.</w:t>
      </w:r>
      <w:r w:rsidRPr="00C7036D">
        <w:rPr>
          <w:rFonts w:ascii="Times New Roman" w:eastAsia="標楷體" w:hAnsi="Times New Roman" w:cs="Times New Roman"/>
          <w:b/>
          <w:sz w:val="24"/>
          <w:szCs w:val="24"/>
          <w:lang w:eastAsia="zh-HK"/>
        </w:rPr>
        <w:tab/>
      </w:r>
      <w:r w:rsidR="007E0335">
        <w:rPr>
          <w:rFonts w:ascii="Times New Roman" w:eastAsia="標楷體" w:hAnsi="Times New Roman" w:cs="Times New Roman"/>
          <w:b/>
          <w:sz w:val="24"/>
          <w:szCs w:val="24"/>
          <w:lang w:eastAsia="zh-HK"/>
        </w:rPr>
        <w:t>COINTEGRATING RELATIONSHIPS</w:t>
      </w:r>
    </w:p>
    <w:p w14:paraId="54485C89" w14:textId="5BC725A2" w:rsidR="0036176E" w:rsidRDefault="0036176E" w:rsidP="00644C62">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44FDD3A7" w14:textId="554A057F" w:rsidR="00066736" w:rsidRPr="00FD12D4" w:rsidRDefault="00644C62" w:rsidP="00066736">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 xml:space="preserve">Prior studies </w:t>
      </w:r>
      <w:r w:rsidR="00DA5872">
        <w:rPr>
          <w:rFonts w:ascii="Times New Roman" w:eastAsia="標楷體" w:hAnsi="Times New Roman" w:cs="Times New Roman"/>
          <w:sz w:val="24"/>
          <w:szCs w:val="24"/>
          <w:lang w:eastAsia="zh-HK"/>
        </w:rPr>
        <w:t>have found</w:t>
      </w:r>
      <w:r>
        <w:rPr>
          <w:rFonts w:ascii="Times New Roman" w:eastAsia="標楷體" w:hAnsi="Times New Roman" w:cs="Times New Roman"/>
          <w:sz w:val="24"/>
          <w:szCs w:val="24"/>
          <w:lang w:eastAsia="zh-HK"/>
        </w:rPr>
        <w:t xml:space="preserve"> that property prices and consumer prices in Hong Kong </w:t>
      </w:r>
      <w:r w:rsidR="002045B6">
        <w:rPr>
          <w:rFonts w:ascii="Times New Roman" w:eastAsia="標楷體" w:hAnsi="Times New Roman" w:cs="Times New Roman"/>
          <w:sz w:val="24"/>
          <w:szCs w:val="24"/>
          <w:lang w:eastAsia="zh-HK"/>
        </w:rPr>
        <w:t>are</w:t>
      </w:r>
      <w:r w:rsidR="00E60D4A">
        <w:rPr>
          <w:rFonts w:ascii="Times New Roman" w:eastAsia="標楷體" w:hAnsi="Times New Roman" w:cs="Times New Roman"/>
          <w:sz w:val="24"/>
          <w:szCs w:val="24"/>
          <w:lang w:eastAsia="zh-HK"/>
        </w:rPr>
        <w:t xml:space="preserve"> </w:t>
      </w:r>
      <w:r>
        <w:rPr>
          <w:rFonts w:ascii="Times New Roman" w:eastAsia="標楷體" w:hAnsi="Times New Roman" w:cs="Times New Roman"/>
          <w:sz w:val="24"/>
          <w:szCs w:val="24"/>
          <w:lang w:eastAsia="zh-HK"/>
        </w:rPr>
        <w:t xml:space="preserve">both </w:t>
      </w:r>
      <w:r w:rsidR="00E60D4A">
        <w:rPr>
          <w:rFonts w:ascii="Times New Roman" w:eastAsia="標楷體" w:hAnsi="Times New Roman" w:cs="Times New Roman"/>
          <w:sz w:val="24"/>
          <w:szCs w:val="24"/>
          <w:lang w:eastAsia="zh-HK"/>
        </w:rPr>
        <w:t>non-stationary</w:t>
      </w:r>
      <w:r>
        <w:rPr>
          <w:rStyle w:val="FootnoteReference"/>
          <w:rFonts w:ascii="Times New Roman" w:eastAsia="標楷體" w:hAnsi="Times New Roman" w:cs="Times New Roman"/>
          <w:sz w:val="24"/>
          <w:szCs w:val="24"/>
          <w:lang w:eastAsia="zh-HK"/>
        </w:rPr>
        <w:footnoteReference w:id="14"/>
      </w:r>
      <w:proofErr w:type="gramStart"/>
      <w:r w:rsidRPr="00644C62">
        <w:rPr>
          <w:rFonts w:ascii="Times New Roman" w:eastAsia="標楷體" w:hAnsi="Times New Roman" w:cs="Times New Roman"/>
          <w:sz w:val="24"/>
          <w:szCs w:val="24"/>
          <w:vertAlign w:val="superscript"/>
          <w:lang w:eastAsia="zh-HK"/>
        </w:rPr>
        <w:t>,</w:t>
      </w:r>
      <w:r w:rsidR="00E60D4A">
        <w:rPr>
          <w:rStyle w:val="FootnoteReference"/>
          <w:rFonts w:ascii="Times New Roman" w:eastAsia="標楷體" w:hAnsi="Times New Roman" w:cs="Times New Roman"/>
          <w:sz w:val="24"/>
          <w:szCs w:val="24"/>
          <w:lang w:eastAsia="zh-HK"/>
        </w:rPr>
        <w:footnoteReference w:id="15"/>
      </w:r>
      <w:r w:rsidR="00E60D4A">
        <w:rPr>
          <w:rFonts w:ascii="Times New Roman" w:eastAsia="標楷體" w:hAnsi="Times New Roman" w:cs="Times New Roman"/>
          <w:sz w:val="24"/>
          <w:szCs w:val="24"/>
          <w:lang w:eastAsia="zh-HK"/>
        </w:rPr>
        <w:t>.</w:t>
      </w:r>
      <w:proofErr w:type="gramEnd"/>
      <w:r w:rsidR="00E60D4A">
        <w:rPr>
          <w:rFonts w:ascii="Times New Roman" w:eastAsia="標楷體" w:hAnsi="Times New Roman" w:cs="Times New Roman"/>
          <w:sz w:val="24"/>
          <w:szCs w:val="24"/>
          <w:lang w:eastAsia="zh-HK"/>
        </w:rPr>
        <w:t xml:space="preserve">  </w:t>
      </w:r>
      <w:r>
        <w:rPr>
          <w:rFonts w:ascii="Times New Roman" w:eastAsia="標楷體" w:hAnsi="Times New Roman" w:cs="Times New Roman"/>
          <w:sz w:val="24"/>
          <w:szCs w:val="24"/>
          <w:lang w:eastAsia="zh-HK"/>
        </w:rPr>
        <w:t xml:space="preserve">To confirm </w:t>
      </w:r>
      <w:r w:rsidR="004F2D9B">
        <w:rPr>
          <w:rFonts w:ascii="Times New Roman" w:eastAsia="標楷體" w:hAnsi="Times New Roman" w:cs="Times New Roman"/>
          <w:sz w:val="24"/>
          <w:szCs w:val="24"/>
          <w:lang w:eastAsia="zh-HK"/>
        </w:rPr>
        <w:t>this</w:t>
      </w:r>
      <w:r w:rsidR="001700B9">
        <w:rPr>
          <w:rFonts w:ascii="Times New Roman" w:eastAsia="標楷體" w:hAnsi="Times New Roman" w:cs="Times New Roman"/>
          <w:sz w:val="24"/>
          <w:szCs w:val="24"/>
          <w:lang w:eastAsia="zh-HK"/>
        </w:rPr>
        <w:t xml:space="preserve"> with the current data set</w:t>
      </w:r>
      <w:r w:rsidR="009B55D3" w:rsidRPr="00DA5872">
        <w:rPr>
          <w:rFonts w:ascii="Times New Roman" w:eastAsia="標楷體" w:hAnsi="Times New Roman" w:cs="Times New Roman"/>
          <w:sz w:val="24"/>
          <w:szCs w:val="24"/>
          <w:lang w:eastAsia="zh-HK"/>
        </w:rPr>
        <w:t xml:space="preserve">, </w:t>
      </w:r>
      <w:r w:rsidR="00661BBC" w:rsidRPr="00661BBC">
        <w:rPr>
          <w:rFonts w:ascii="Times New Roman" w:eastAsia="標楷體" w:hAnsi="Times New Roman" w:cs="Times New Roman"/>
          <w:b/>
          <w:sz w:val="24"/>
          <w:szCs w:val="24"/>
          <w:lang w:eastAsia="zh-HK"/>
        </w:rPr>
        <w:t>Table 1</w:t>
      </w:r>
      <w:r w:rsidR="00661BBC">
        <w:rPr>
          <w:rFonts w:ascii="Times New Roman" w:eastAsia="標楷體" w:hAnsi="Times New Roman" w:cs="Times New Roman"/>
          <w:sz w:val="24"/>
          <w:szCs w:val="24"/>
          <w:lang w:eastAsia="zh-HK"/>
        </w:rPr>
        <w:t xml:space="preserve"> lists </w:t>
      </w:r>
      <w:r w:rsidR="009B55D3" w:rsidRPr="00DA5872">
        <w:rPr>
          <w:rFonts w:ascii="Times New Roman" w:eastAsia="標楷體" w:hAnsi="Times New Roman" w:cs="Times New Roman"/>
          <w:sz w:val="24"/>
          <w:szCs w:val="24"/>
          <w:lang w:eastAsia="zh-HK"/>
        </w:rPr>
        <w:t>t</w:t>
      </w:r>
      <w:r w:rsidR="00075D40" w:rsidRPr="00DA5872">
        <w:rPr>
          <w:rFonts w:ascii="Times New Roman" w:eastAsia="標楷體" w:hAnsi="Times New Roman" w:cs="Times New Roman"/>
          <w:sz w:val="24"/>
          <w:szCs w:val="24"/>
          <w:lang w:eastAsia="zh-HK"/>
        </w:rPr>
        <w:t>he results of Phillips-</w:t>
      </w:r>
      <w:proofErr w:type="spellStart"/>
      <w:r w:rsidR="00075D40" w:rsidRPr="00DA5872">
        <w:rPr>
          <w:rFonts w:ascii="Times New Roman" w:eastAsia="標楷體" w:hAnsi="Times New Roman" w:cs="Times New Roman"/>
          <w:sz w:val="24"/>
          <w:szCs w:val="24"/>
          <w:lang w:eastAsia="zh-HK"/>
        </w:rPr>
        <w:t>Perron</w:t>
      </w:r>
      <w:proofErr w:type="spellEnd"/>
      <w:r w:rsidR="000E17A5">
        <w:rPr>
          <w:rStyle w:val="FootnoteReference"/>
          <w:rFonts w:ascii="Times New Roman" w:eastAsia="標楷體" w:hAnsi="Times New Roman" w:cs="Times New Roman"/>
          <w:sz w:val="24"/>
          <w:szCs w:val="24"/>
          <w:lang w:eastAsia="zh-HK"/>
        </w:rPr>
        <w:footnoteReference w:id="16"/>
      </w:r>
      <w:r w:rsidR="00075D40" w:rsidRPr="00DA5872">
        <w:rPr>
          <w:rFonts w:ascii="Times New Roman" w:eastAsia="標楷體" w:hAnsi="Times New Roman" w:cs="Times New Roman"/>
          <w:sz w:val="24"/>
          <w:szCs w:val="24"/>
          <w:lang w:eastAsia="zh-HK"/>
        </w:rPr>
        <w:t xml:space="preserve"> tests</w:t>
      </w:r>
      <w:r w:rsidR="007F3CF9" w:rsidRPr="00DA5872">
        <w:rPr>
          <w:rFonts w:ascii="Times New Roman" w:eastAsia="標楷體" w:hAnsi="Times New Roman" w:cs="Times New Roman"/>
          <w:sz w:val="24"/>
          <w:szCs w:val="24"/>
          <w:lang w:eastAsia="zh-HK"/>
        </w:rPr>
        <w:t xml:space="preserve"> </w:t>
      </w:r>
      <w:r w:rsidR="00CC3100" w:rsidRPr="00DA5872">
        <w:rPr>
          <w:rFonts w:ascii="Times New Roman" w:eastAsia="標楷體" w:hAnsi="Times New Roman" w:cs="Times New Roman"/>
          <w:sz w:val="24"/>
          <w:szCs w:val="24"/>
          <w:lang w:eastAsia="zh-HK"/>
        </w:rPr>
        <w:t xml:space="preserve">of the </w:t>
      </w:r>
      <w:r w:rsidR="00661BBC">
        <w:rPr>
          <w:rFonts w:ascii="Times New Roman" w:eastAsia="標楷體" w:hAnsi="Times New Roman" w:cs="Times New Roman"/>
          <w:sz w:val="24"/>
          <w:szCs w:val="24"/>
          <w:lang w:eastAsia="zh-HK"/>
        </w:rPr>
        <w:t xml:space="preserve">key </w:t>
      </w:r>
      <w:r w:rsidR="00075D40" w:rsidRPr="00DA5872">
        <w:rPr>
          <w:rFonts w:ascii="Times New Roman" w:eastAsia="標楷體" w:hAnsi="Times New Roman" w:cs="Times New Roman"/>
          <w:sz w:val="24"/>
          <w:szCs w:val="24"/>
          <w:lang w:eastAsia="zh-HK"/>
        </w:rPr>
        <w:t>variables</w:t>
      </w:r>
      <w:r w:rsidR="004F2D9B">
        <w:rPr>
          <w:rFonts w:ascii="Times New Roman" w:eastAsia="標楷體" w:hAnsi="Times New Roman" w:cs="Times New Roman"/>
          <w:sz w:val="24"/>
          <w:szCs w:val="24"/>
          <w:lang w:eastAsia="zh-HK"/>
        </w:rPr>
        <w:t xml:space="preserve">.  The variables are </w:t>
      </w:r>
      <w:r w:rsidR="009B55D3" w:rsidRPr="00DA5872">
        <w:rPr>
          <w:rFonts w:ascii="Times New Roman" w:eastAsia="標楷體" w:hAnsi="Times New Roman" w:cs="Times New Roman"/>
          <w:sz w:val="24"/>
          <w:szCs w:val="24"/>
          <w:lang w:eastAsia="zh-HK"/>
        </w:rPr>
        <w:t xml:space="preserve">in natural logarithms and </w:t>
      </w:r>
      <w:r w:rsidR="002F749B">
        <w:rPr>
          <w:rFonts w:ascii="Times New Roman" w:eastAsia="標楷體" w:hAnsi="Times New Roman" w:cs="Times New Roman"/>
          <w:sz w:val="24"/>
          <w:szCs w:val="24"/>
          <w:lang w:eastAsia="zh-HK"/>
        </w:rPr>
        <w:t xml:space="preserve">the data are </w:t>
      </w:r>
      <w:r w:rsidR="00071E09" w:rsidRPr="00DA5872">
        <w:rPr>
          <w:rFonts w:ascii="Times New Roman" w:eastAsia="標楷體" w:hAnsi="Times New Roman" w:cs="Times New Roman"/>
          <w:sz w:val="24"/>
          <w:szCs w:val="24"/>
          <w:lang w:eastAsia="zh-HK"/>
        </w:rPr>
        <w:t>quarterly from 1984 to 2021</w:t>
      </w:r>
      <w:r w:rsidR="00075D40" w:rsidRPr="00DA5872">
        <w:rPr>
          <w:rFonts w:ascii="Times New Roman" w:eastAsia="標楷體" w:hAnsi="Times New Roman" w:cs="Times New Roman"/>
          <w:sz w:val="24"/>
          <w:szCs w:val="24"/>
          <w:lang w:eastAsia="zh-HK"/>
        </w:rPr>
        <w:t>.</w:t>
      </w:r>
      <w:r w:rsidR="00066736" w:rsidRPr="00DA5872">
        <w:rPr>
          <w:rFonts w:ascii="Times New Roman" w:eastAsia="標楷體" w:hAnsi="Times New Roman" w:cs="Times New Roman"/>
          <w:sz w:val="24"/>
          <w:szCs w:val="24"/>
          <w:lang w:eastAsia="zh-HK"/>
        </w:rPr>
        <w:t xml:space="preserve">  </w:t>
      </w:r>
      <w:r w:rsidR="000B0446" w:rsidRPr="00DA5872">
        <w:rPr>
          <w:rFonts w:ascii="Times New Roman" w:eastAsia="標楷體" w:hAnsi="Times New Roman" w:cs="Times New Roman"/>
          <w:sz w:val="24"/>
          <w:szCs w:val="24"/>
          <w:lang w:eastAsia="zh-HK"/>
        </w:rPr>
        <w:t>T</w:t>
      </w:r>
      <w:r w:rsidR="00D3704B" w:rsidRPr="00DA5872">
        <w:rPr>
          <w:rFonts w:ascii="Times New Roman" w:eastAsia="標楷體" w:hAnsi="Times New Roman" w:cs="Times New Roman"/>
          <w:sz w:val="24"/>
          <w:szCs w:val="24"/>
          <w:lang w:eastAsia="zh-HK"/>
        </w:rPr>
        <w:t xml:space="preserve">he tests, which </w:t>
      </w:r>
      <w:r w:rsidR="00661BBC" w:rsidRPr="00DA5872">
        <w:rPr>
          <w:rFonts w:ascii="Times New Roman" w:eastAsia="標楷體" w:hAnsi="Times New Roman" w:cs="Times New Roman"/>
          <w:sz w:val="24"/>
          <w:szCs w:val="24"/>
          <w:lang w:eastAsia="zh-HK"/>
        </w:rPr>
        <w:t>are based on Newey-West</w:t>
      </w:r>
      <w:r w:rsidR="00661BBC">
        <w:rPr>
          <w:rStyle w:val="FootnoteReference"/>
          <w:rFonts w:ascii="Times New Roman" w:eastAsia="標楷體" w:hAnsi="Times New Roman" w:cs="Times New Roman"/>
          <w:sz w:val="24"/>
          <w:szCs w:val="24"/>
          <w:lang w:eastAsia="zh-HK"/>
        </w:rPr>
        <w:footnoteReference w:id="17"/>
      </w:r>
      <w:r w:rsidR="00661BBC" w:rsidRPr="00DA5872">
        <w:rPr>
          <w:rFonts w:ascii="Times New Roman" w:eastAsia="標楷體" w:hAnsi="Times New Roman" w:cs="Times New Roman"/>
          <w:sz w:val="24"/>
          <w:szCs w:val="24"/>
          <w:lang w:eastAsia="zh-HK"/>
        </w:rPr>
        <w:t xml:space="preserve"> standard errors with four lags</w:t>
      </w:r>
      <w:r w:rsidR="00661BBC">
        <w:rPr>
          <w:rStyle w:val="FootnoteReference"/>
          <w:rFonts w:ascii="Times New Roman" w:eastAsia="標楷體" w:hAnsi="Times New Roman" w:cs="Times New Roman"/>
          <w:sz w:val="24"/>
          <w:szCs w:val="24"/>
          <w:lang w:eastAsia="zh-HK"/>
        </w:rPr>
        <w:footnoteReference w:id="18"/>
      </w:r>
      <w:r w:rsidR="00661BBC">
        <w:rPr>
          <w:rFonts w:ascii="Times New Roman" w:eastAsia="標楷體" w:hAnsi="Times New Roman" w:cs="Times New Roman"/>
          <w:sz w:val="24"/>
          <w:szCs w:val="24"/>
          <w:lang w:eastAsia="zh-HK"/>
        </w:rPr>
        <w:t xml:space="preserve">, </w:t>
      </w:r>
      <w:r w:rsidR="00D3704B" w:rsidRPr="00DA5872">
        <w:rPr>
          <w:rFonts w:ascii="Times New Roman" w:eastAsia="標楷體" w:hAnsi="Times New Roman" w:cs="Times New Roman"/>
          <w:sz w:val="24"/>
          <w:szCs w:val="24"/>
          <w:lang w:eastAsia="zh-HK"/>
        </w:rPr>
        <w:t>are robust to heterosced</w:t>
      </w:r>
      <w:r w:rsidR="00661BBC">
        <w:rPr>
          <w:rFonts w:ascii="Times New Roman" w:eastAsia="標楷體" w:hAnsi="Times New Roman" w:cs="Times New Roman"/>
          <w:sz w:val="24"/>
          <w:szCs w:val="24"/>
          <w:lang w:eastAsia="zh-HK"/>
        </w:rPr>
        <w:t>asticity and serial correlation</w:t>
      </w:r>
      <w:r w:rsidR="00D3704B" w:rsidRPr="00DA5872">
        <w:rPr>
          <w:rFonts w:ascii="Times New Roman" w:eastAsia="標楷體" w:hAnsi="Times New Roman" w:cs="Times New Roman"/>
          <w:sz w:val="24"/>
          <w:szCs w:val="24"/>
          <w:lang w:eastAsia="zh-HK"/>
        </w:rPr>
        <w:t>.</w:t>
      </w:r>
      <w:r w:rsidR="00066736" w:rsidRPr="00DA5872">
        <w:rPr>
          <w:rFonts w:ascii="Times New Roman" w:eastAsia="標楷體" w:hAnsi="Times New Roman" w:cs="Times New Roman"/>
          <w:sz w:val="24"/>
          <w:szCs w:val="24"/>
          <w:lang w:eastAsia="zh-HK"/>
        </w:rPr>
        <w:t xml:space="preserve">  </w:t>
      </w:r>
      <w:r w:rsidR="004F2D9B">
        <w:rPr>
          <w:rFonts w:ascii="Times New Roman" w:eastAsia="標楷體" w:hAnsi="Times New Roman" w:cs="Times New Roman"/>
          <w:sz w:val="24"/>
          <w:szCs w:val="24"/>
          <w:lang w:eastAsia="zh-HK"/>
        </w:rPr>
        <w:t>In sum,</w:t>
      </w:r>
      <w:r w:rsidR="004E1C0C" w:rsidRPr="00DA5872">
        <w:rPr>
          <w:rFonts w:ascii="Times New Roman" w:eastAsia="標楷體" w:hAnsi="Times New Roman" w:cs="Times New Roman"/>
          <w:sz w:val="24"/>
          <w:szCs w:val="24"/>
          <w:lang w:eastAsia="zh-HK"/>
        </w:rPr>
        <w:t xml:space="preserve"> the hypotheses that </w:t>
      </w:r>
      <w:r w:rsidR="004F2D9B">
        <w:rPr>
          <w:rFonts w:ascii="Times New Roman" w:eastAsia="標楷體" w:hAnsi="Times New Roman" w:cs="Times New Roman"/>
          <w:sz w:val="24"/>
          <w:szCs w:val="24"/>
          <w:lang w:eastAsia="zh-HK"/>
        </w:rPr>
        <w:t>residential property prices</w:t>
      </w:r>
      <w:r w:rsidR="00921C6D">
        <w:rPr>
          <w:rFonts w:ascii="Times New Roman" w:eastAsia="標楷體" w:hAnsi="Times New Roman" w:cs="Times New Roman"/>
          <w:sz w:val="24"/>
          <w:szCs w:val="24"/>
          <w:lang w:eastAsia="zh-HK"/>
        </w:rPr>
        <w:t xml:space="preserve"> and</w:t>
      </w:r>
      <w:r w:rsidR="004F2D9B">
        <w:rPr>
          <w:rFonts w:ascii="Times New Roman" w:eastAsia="標楷體" w:hAnsi="Times New Roman" w:cs="Times New Roman"/>
          <w:sz w:val="24"/>
          <w:szCs w:val="24"/>
          <w:lang w:eastAsia="zh-HK"/>
        </w:rPr>
        <w:t xml:space="preserve"> </w:t>
      </w:r>
      <w:r w:rsidR="004E1C0C" w:rsidRPr="00DA5872">
        <w:rPr>
          <w:rFonts w:ascii="Times New Roman" w:eastAsia="標楷體" w:hAnsi="Times New Roman" w:cs="Times New Roman"/>
          <w:sz w:val="24"/>
          <w:szCs w:val="24"/>
          <w:lang w:eastAsia="zh-HK"/>
        </w:rPr>
        <w:t>the CCPI</w:t>
      </w:r>
      <w:r w:rsidR="00CD103C">
        <w:rPr>
          <w:rFonts w:ascii="Times New Roman" w:eastAsia="標楷體" w:hAnsi="Times New Roman" w:cs="Times New Roman"/>
          <w:sz w:val="24"/>
          <w:szCs w:val="24"/>
          <w:lang w:eastAsia="zh-HK"/>
        </w:rPr>
        <w:t>s</w:t>
      </w:r>
      <w:r w:rsidR="004E1C0C" w:rsidRPr="00DA5872">
        <w:rPr>
          <w:rFonts w:ascii="Times New Roman" w:eastAsia="標楷體" w:hAnsi="Times New Roman" w:cs="Times New Roman"/>
          <w:sz w:val="24"/>
          <w:szCs w:val="24"/>
          <w:lang w:eastAsia="zh-HK"/>
        </w:rPr>
        <w:t xml:space="preserve"> are non-stationary in levels cannot be rejected at any significance level.  However, </w:t>
      </w:r>
      <w:r w:rsidR="004F2D9B">
        <w:rPr>
          <w:rFonts w:ascii="Times New Roman" w:eastAsia="標楷體" w:hAnsi="Times New Roman" w:cs="Times New Roman"/>
          <w:sz w:val="24"/>
          <w:szCs w:val="24"/>
          <w:lang w:eastAsia="zh-HK"/>
        </w:rPr>
        <w:t xml:space="preserve">the </w:t>
      </w:r>
      <w:r w:rsidR="004E1C0C" w:rsidRPr="00DA5872">
        <w:rPr>
          <w:rFonts w:ascii="Times New Roman" w:eastAsia="標楷體" w:hAnsi="Times New Roman" w:cs="Times New Roman"/>
          <w:sz w:val="24"/>
          <w:szCs w:val="24"/>
          <w:lang w:eastAsia="zh-HK"/>
        </w:rPr>
        <w:t>hypotheses that they are non-stationary in first differences</w:t>
      </w:r>
      <w:r w:rsidR="005F78E4">
        <w:rPr>
          <w:rFonts w:ascii="Times New Roman" w:eastAsia="標楷體" w:hAnsi="Times New Roman" w:cs="Times New Roman"/>
          <w:sz w:val="24"/>
          <w:szCs w:val="24"/>
          <w:lang w:eastAsia="zh-HK"/>
        </w:rPr>
        <w:t xml:space="preserve"> are strongly rejected</w:t>
      </w:r>
      <w:r w:rsidR="000B0446" w:rsidRPr="00DA5872">
        <w:rPr>
          <w:rFonts w:ascii="Times New Roman" w:eastAsia="標楷體" w:hAnsi="Times New Roman" w:cs="Times New Roman"/>
          <w:sz w:val="24"/>
          <w:szCs w:val="24"/>
          <w:lang w:eastAsia="zh-HK"/>
        </w:rPr>
        <w:t xml:space="preserve">.  </w:t>
      </w:r>
      <w:r w:rsidR="00A37A4E" w:rsidRPr="00DA5872">
        <w:rPr>
          <w:rFonts w:ascii="Times New Roman" w:eastAsia="標楷體" w:hAnsi="Times New Roman" w:cs="Times New Roman"/>
          <w:sz w:val="24"/>
          <w:szCs w:val="24"/>
          <w:lang w:eastAsia="zh-HK"/>
        </w:rPr>
        <w:t>Consequently</w:t>
      </w:r>
      <w:r w:rsidR="000B0446" w:rsidRPr="00DA5872">
        <w:rPr>
          <w:rFonts w:ascii="Times New Roman" w:eastAsia="標楷體" w:hAnsi="Times New Roman" w:cs="Times New Roman"/>
          <w:sz w:val="24"/>
          <w:szCs w:val="24"/>
          <w:lang w:eastAsia="zh-HK"/>
        </w:rPr>
        <w:t>, the</w:t>
      </w:r>
      <w:r w:rsidR="004F2D9B">
        <w:rPr>
          <w:rFonts w:ascii="Times New Roman" w:eastAsia="標楷體" w:hAnsi="Times New Roman" w:cs="Times New Roman"/>
          <w:sz w:val="24"/>
          <w:szCs w:val="24"/>
          <w:lang w:eastAsia="zh-HK"/>
        </w:rPr>
        <w:t xml:space="preserve"> variables </w:t>
      </w:r>
      <w:r w:rsidR="009D2976">
        <w:rPr>
          <w:rFonts w:ascii="Times New Roman" w:eastAsia="標楷體" w:hAnsi="Times New Roman" w:cs="Times New Roman"/>
          <w:sz w:val="24"/>
          <w:szCs w:val="24"/>
          <w:lang w:eastAsia="zh-HK"/>
        </w:rPr>
        <w:t>will be modelled</w:t>
      </w:r>
      <w:r w:rsidR="000B0446" w:rsidRPr="00DA5872">
        <w:rPr>
          <w:rFonts w:ascii="Times New Roman" w:eastAsia="標楷體" w:hAnsi="Times New Roman" w:cs="Times New Roman"/>
          <w:sz w:val="24"/>
          <w:szCs w:val="24"/>
          <w:lang w:eastAsia="zh-HK"/>
        </w:rPr>
        <w:t xml:space="preserve"> as </w:t>
      </w:r>
      <w:proofErr w:type="gramStart"/>
      <w:r w:rsidR="000B0446" w:rsidRPr="00DA5872">
        <w:rPr>
          <w:rFonts w:ascii="Times New Roman" w:eastAsia="標楷體" w:hAnsi="Times New Roman" w:cs="Times New Roman"/>
          <w:sz w:val="24"/>
          <w:szCs w:val="24"/>
          <w:lang w:eastAsia="zh-HK"/>
        </w:rPr>
        <w:t>I(</w:t>
      </w:r>
      <w:proofErr w:type="gramEnd"/>
      <w:r w:rsidR="000B0446" w:rsidRPr="00DA5872">
        <w:rPr>
          <w:rFonts w:ascii="Times New Roman" w:eastAsia="標楷體" w:hAnsi="Times New Roman" w:cs="Times New Roman"/>
          <w:sz w:val="24"/>
          <w:szCs w:val="24"/>
          <w:lang w:eastAsia="zh-HK"/>
        </w:rPr>
        <w:t>1).</w:t>
      </w:r>
    </w:p>
    <w:p w14:paraId="766C1C8D" w14:textId="1F7BEE5B" w:rsidR="008B51A5" w:rsidRPr="007F3CF9" w:rsidRDefault="001163C8" w:rsidP="008E5FF8">
      <w:pPr>
        <w:jc w:val="center"/>
        <w:rPr>
          <w:rFonts w:ascii="Times New Roman" w:hAnsi="Times New Roman" w:cs="Times New Roman"/>
          <w:b/>
          <w:sz w:val="24"/>
          <w:szCs w:val="26"/>
        </w:rPr>
      </w:pPr>
      <w:r>
        <w:rPr>
          <w:rFonts w:ascii="Times New Roman" w:hAnsi="Times New Roman" w:cs="Times New Roman"/>
          <w:b/>
          <w:sz w:val="24"/>
          <w:szCs w:val="26"/>
        </w:rPr>
        <w:lastRenderedPageBreak/>
        <w:t>Table</w:t>
      </w:r>
      <w:r w:rsidR="00300017" w:rsidRPr="00B513DF">
        <w:rPr>
          <w:rFonts w:ascii="Times New Roman" w:hAnsi="Times New Roman" w:cs="Times New Roman"/>
          <w:b/>
          <w:sz w:val="24"/>
          <w:szCs w:val="26"/>
        </w:rPr>
        <w:t xml:space="preserve"> </w:t>
      </w:r>
      <w:r w:rsidR="00300017">
        <w:rPr>
          <w:rFonts w:ascii="Times New Roman" w:hAnsi="Times New Roman" w:cs="Times New Roman"/>
          <w:b/>
          <w:sz w:val="24"/>
          <w:szCs w:val="26"/>
        </w:rPr>
        <w:t>1</w:t>
      </w:r>
      <w:r w:rsidR="00300017" w:rsidRPr="00B513DF">
        <w:rPr>
          <w:rFonts w:ascii="Times New Roman" w:hAnsi="Times New Roman" w:cs="Times New Roman"/>
          <w:b/>
          <w:sz w:val="24"/>
          <w:szCs w:val="26"/>
        </w:rPr>
        <w:t xml:space="preserve">: </w:t>
      </w:r>
      <w:r>
        <w:rPr>
          <w:rFonts w:ascii="Times New Roman" w:hAnsi="Times New Roman" w:cs="Times New Roman"/>
          <w:b/>
          <w:sz w:val="24"/>
          <w:szCs w:val="26"/>
        </w:rPr>
        <w:t>Phillips-</w:t>
      </w:r>
      <w:proofErr w:type="spellStart"/>
      <w:r>
        <w:rPr>
          <w:rFonts w:ascii="Times New Roman" w:hAnsi="Times New Roman" w:cs="Times New Roman"/>
          <w:b/>
          <w:sz w:val="24"/>
          <w:szCs w:val="26"/>
        </w:rPr>
        <w:t>Perron</w:t>
      </w:r>
      <w:proofErr w:type="spellEnd"/>
      <w:r>
        <w:rPr>
          <w:rFonts w:ascii="Times New Roman" w:hAnsi="Times New Roman" w:cs="Times New Roman"/>
          <w:b/>
          <w:sz w:val="24"/>
          <w:szCs w:val="26"/>
        </w:rPr>
        <w:t xml:space="preserve"> Stationarity Tests</w:t>
      </w:r>
      <w:r w:rsidR="00B21547">
        <w:rPr>
          <w:rFonts w:ascii="Times New Roman" w:hAnsi="Times New Roman" w:cs="Times New Roman"/>
          <w:b/>
          <w:sz w:val="24"/>
          <w:szCs w:val="26"/>
        </w:rPr>
        <w:t>*</w:t>
      </w:r>
    </w:p>
    <w:tbl>
      <w:tblPr>
        <w:tblStyle w:val="TableGrid"/>
        <w:tblW w:w="0" w:type="auto"/>
        <w:tblLook w:val="04A0" w:firstRow="1" w:lastRow="0" w:firstColumn="1" w:lastColumn="0" w:noHBand="0" w:noVBand="1"/>
      </w:tblPr>
      <w:tblGrid>
        <w:gridCol w:w="2802"/>
        <w:gridCol w:w="1373"/>
        <w:gridCol w:w="1374"/>
        <w:gridCol w:w="1373"/>
        <w:gridCol w:w="1374"/>
      </w:tblGrid>
      <w:tr w:rsidR="00B21CD9" w14:paraId="51C8E034" w14:textId="77777777" w:rsidTr="0044668F">
        <w:trPr>
          <w:trHeight w:val="469"/>
        </w:trPr>
        <w:tc>
          <w:tcPr>
            <w:tcW w:w="2802" w:type="dxa"/>
            <w:vMerge w:val="restart"/>
            <w:shd w:val="clear" w:color="auto" w:fill="F2F2F2" w:themeFill="background1" w:themeFillShade="F2"/>
            <w:vAlign w:val="center"/>
          </w:tcPr>
          <w:p w14:paraId="52E1B1D5" w14:textId="14CEAA72" w:rsidR="00B21CD9" w:rsidRDefault="00CC1A29" w:rsidP="00B21CD9">
            <w:pPr>
              <w:pStyle w:val="ListParagraph"/>
              <w:overflowPunct w:val="0"/>
              <w:snapToGrid w:val="0"/>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Variable</w:t>
            </w:r>
          </w:p>
        </w:tc>
        <w:tc>
          <w:tcPr>
            <w:tcW w:w="2747" w:type="dxa"/>
            <w:gridSpan w:val="2"/>
            <w:shd w:val="clear" w:color="auto" w:fill="F2F2F2" w:themeFill="background1" w:themeFillShade="F2"/>
            <w:vAlign w:val="center"/>
          </w:tcPr>
          <w:p w14:paraId="383FAC4B" w14:textId="50E3FA65" w:rsidR="00B21CD9" w:rsidRDefault="00B21CD9" w:rsidP="00B21CD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Level</w:t>
            </w:r>
          </w:p>
        </w:tc>
        <w:tc>
          <w:tcPr>
            <w:tcW w:w="2747" w:type="dxa"/>
            <w:gridSpan w:val="2"/>
            <w:shd w:val="clear" w:color="auto" w:fill="F2F2F2" w:themeFill="background1" w:themeFillShade="F2"/>
            <w:vAlign w:val="center"/>
          </w:tcPr>
          <w:p w14:paraId="625AD5CC" w14:textId="1848CAEA" w:rsidR="00B21CD9" w:rsidRDefault="00B21CD9" w:rsidP="00B21CD9">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First Difference</w:t>
            </w:r>
          </w:p>
        </w:tc>
      </w:tr>
      <w:tr w:rsidR="00B21CD9" w14:paraId="37119BEB" w14:textId="77777777" w:rsidTr="0044668F">
        <w:trPr>
          <w:trHeight w:val="469"/>
        </w:trPr>
        <w:tc>
          <w:tcPr>
            <w:tcW w:w="2802" w:type="dxa"/>
            <w:vMerge/>
            <w:tcBorders>
              <w:bottom w:val="single" w:sz="8" w:space="0" w:color="auto"/>
            </w:tcBorders>
            <w:shd w:val="clear" w:color="auto" w:fill="F2F2F2" w:themeFill="background1" w:themeFillShade="F2"/>
          </w:tcPr>
          <w:p w14:paraId="224E16B7" w14:textId="77777777" w:rsidR="00B21CD9" w:rsidRDefault="00B21CD9" w:rsidP="00B21CD9">
            <w:pPr>
              <w:pStyle w:val="ListParagraph"/>
              <w:overflowPunct w:val="0"/>
              <w:snapToGrid w:val="0"/>
              <w:spacing w:line="300" w:lineRule="auto"/>
              <w:ind w:left="0"/>
              <w:jc w:val="both"/>
              <w:rPr>
                <w:rFonts w:ascii="Times New Roman" w:eastAsia="標楷體" w:hAnsi="Times New Roman" w:cs="Times New Roman"/>
                <w:sz w:val="24"/>
                <w:szCs w:val="24"/>
                <w:lang w:eastAsia="zh-HK"/>
              </w:rPr>
            </w:pPr>
          </w:p>
        </w:tc>
        <w:tc>
          <w:tcPr>
            <w:tcW w:w="1373" w:type="dxa"/>
            <w:tcBorders>
              <w:bottom w:val="single" w:sz="8" w:space="0" w:color="auto"/>
            </w:tcBorders>
            <w:shd w:val="clear" w:color="auto" w:fill="F2F2F2" w:themeFill="background1" w:themeFillShade="F2"/>
            <w:vAlign w:val="center"/>
          </w:tcPr>
          <w:p w14:paraId="28CA2C92" w14:textId="7C0A3B14" w:rsidR="00B21CD9" w:rsidRPr="00B21CD9" w:rsidRDefault="00B21CD9" w:rsidP="0015680F">
            <w:pPr>
              <w:pStyle w:val="ListParagraph"/>
              <w:overflowPunct w:val="0"/>
              <w:snapToGrid w:val="0"/>
              <w:spacing w:line="300" w:lineRule="auto"/>
              <w:ind w:left="0"/>
              <w:jc w:val="center"/>
              <w:rPr>
                <w:rFonts w:ascii="Symbol" w:eastAsia="標楷體" w:hAnsi="Symbol" w:cs="Times New Roman"/>
                <w:i/>
                <w:sz w:val="24"/>
                <w:szCs w:val="24"/>
                <w:vertAlign w:val="subscript"/>
                <w:lang w:eastAsia="zh-HK"/>
              </w:rPr>
            </w:pPr>
            <w:r w:rsidRPr="00B21CD9">
              <w:rPr>
                <w:rFonts w:ascii="Times New Roman" w:eastAsia="標楷體" w:hAnsi="Times New Roman" w:cs="Times New Roman"/>
                <w:i/>
                <w:sz w:val="24"/>
                <w:szCs w:val="24"/>
                <w:lang w:eastAsia="zh-HK"/>
              </w:rPr>
              <w:t>Z</w:t>
            </w:r>
            <w:r w:rsidRPr="00B21CD9">
              <w:rPr>
                <w:rFonts w:ascii="Symbol" w:eastAsia="標楷體" w:hAnsi="Symbol" w:cs="Times New Roman"/>
                <w:i/>
                <w:sz w:val="24"/>
                <w:szCs w:val="24"/>
                <w:vertAlign w:val="subscript"/>
                <w:lang w:eastAsia="zh-HK"/>
              </w:rPr>
              <w:t></w:t>
            </w:r>
          </w:p>
        </w:tc>
        <w:tc>
          <w:tcPr>
            <w:tcW w:w="1374" w:type="dxa"/>
            <w:tcBorders>
              <w:bottom w:val="single" w:sz="8" w:space="0" w:color="auto"/>
            </w:tcBorders>
            <w:shd w:val="clear" w:color="auto" w:fill="F2F2F2" w:themeFill="background1" w:themeFillShade="F2"/>
            <w:vAlign w:val="center"/>
          </w:tcPr>
          <w:p w14:paraId="06B8BEB8" w14:textId="630D3CDD" w:rsidR="00B21CD9" w:rsidRPr="00B21CD9" w:rsidRDefault="00B21CD9" w:rsidP="0015680F">
            <w:pPr>
              <w:pStyle w:val="ListParagraph"/>
              <w:overflowPunct w:val="0"/>
              <w:snapToGrid w:val="0"/>
              <w:spacing w:line="300" w:lineRule="auto"/>
              <w:ind w:left="0"/>
              <w:jc w:val="center"/>
              <w:rPr>
                <w:rFonts w:ascii="Times New Roman" w:eastAsia="標楷體" w:hAnsi="Times New Roman" w:cs="Times New Roman"/>
                <w:i/>
                <w:sz w:val="24"/>
                <w:szCs w:val="24"/>
                <w:lang w:eastAsia="zh-HK"/>
              </w:rPr>
            </w:pPr>
            <w:r w:rsidRPr="00B21CD9">
              <w:rPr>
                <w:rFonts w:ascii="Times New Roman" w:eastAsia="標楷體" w:hAnsi="Times New Roman" w:cs="Times New Roman"/>
                <w:i/>
                <w:sz w:val="24"/>
                <w:szCs w:val="24"/>
                <w:lang w:eastAsia="zh-HK"/>
              </w:rPr>
              <w:t>p</w:t>
            </w:r>
          </w:p>
        </w:tc>
        <w:tc>
          <w:tcPr>
            <w:tcW w:w="1373" w:type="dxa"/>
            <w:tcBorders>
              <w:bottom w:val="single" w:sz="8" w:space="0" w:color="auto"/>
            </w:tcBorders>
            <w:shd w:val="clear" w:color="auto" w:fill="F2F2F2" w:themeFill="background1" w:themeFillShade="F2"/>
            <w:vAlign w:val="center"/>
          </w:tcPr>
          <w:p w14:paraId="0B20F2B8" w14:textId="325D8CF8" w:rsidR="00B21CD9" w:rsidRPr="00B21CD9" w:rsidRDefault="00B21CD9" w:rsidP="0015680F">
            <w:pPr>
              <w:pStyle w:val="ListParagraph"/>
              <w:overflowPunct w:val="0"/>
              <w:snapToGrid w:val="0"/>
              <w:spacing w:line="300" w:lineRule="auto"/>
              <w:ind w:left="0"/>
              <w:jc w:val="center"/>
              <w:rPr>
                <w:rFonts w:ascii="Times New Roman" w:eastAsia="標楷體" w:hAnsi="Times New Roman" w:cs="Times New Roman"/>
                <w:i/>
                <w:sz w:val="24"/>
                <w:szCs w:val="24"/>
                <w:lang w:eastAsia="zh-HK"/>
              </w:rPr>
            </w:pPr>
            <w:r w:rsidRPr="00B21CD9">
              <w:rPr>
                <w:rFonts w:ascii="Times New Roman" w:eastAsia="標楷體" w:hAnsi="Times New Roman" w:cs="Times New Roman"/>
                <w:i/>
                <w:sz w:val="24"/>
                <w:szCs w:val="24"/>
                <w:lang w:eastAsia="zh-HK"/>
              </w:rPr>
              <w:t>Z</w:t>
            </w:r>
            <w:r w:rsidRPr="00B21CD9">
              <w:rPr>
                <w:rFonts w:ascii="Symbol" w:eastAsia="標楷體" w:hAnsi="Symbol" w:cs="Times New Roman"/>
                <w:i/>
                <w:sz w:val="24"/>
                <w:szCs w:val="24"/>
                <w:vertAlign w:val="subscript"/>
                <w:lang w:eastAsia="zh-HK"/>
              </w:rPr>
              <w:t></w:t>
            </w:r>
          </w:p>
        </w:tc>
        <w:tc>
          <w:tcPr>
            <w:tcW w:w="1374" w:type="dxa"/>
            <w:tcBorders>
              <w:bottom w:val="single" w:sz="8" w:space="0" w:color="auto"/>
            </w:tcBorders>
            <w:shd w:val="clear" w:color="auto" w:fill="F2F2F2" w:themeFill="background1" w:themeFillShade="F2"/>
            <w:vAlign w:val="center"/>
          </w:tcPr>
          <w:p w14:paraId="6F1C9874" w14:textId="49F5E1CE" w:rsidR="00B21CD9" w:rsidRPr="00B21CD9" w:rsidRDefault="00B21CD9" w:rsidP="0015680F">
            <w:pPr>
              <w:pStyle w:val="ListParagraph"/>
              <w:overflowPunct w:val="0"/>
              <w:snapToGrid w:val="0"/>
              <w:spacing w:line="300" w:lineRule="auto"/>
              <w:ind w:left="0"/>
              <w:jc w:val="center"/>
              <w:rPr>
                <w:rFonts w:ascii="Times New Roman" w:eastAsia="標楷體" w:hAnsi="Times New Roman" w:cs="Times New Roman"/>
                <w:i/>
                <w:sz w:val="24"/>
                <w:szCs w:val="24"/>
                <w:lang w:eastAsia="zh-HK"/>
              </w:rPr>
            </w:pPr>
            <w:r w:rsidRPr="00B21CD9">
              <w:rPr>
                <w:rFonts w:ascii="Times New Roman" w:eastAsia="標楷體" w:hAnsi="Times New Roman" w:cs="Times New Roman"/>
                <w:i/>
                <w:sz w:val="24"/>
                <w:szCs w:val="24"/>
                <w:lang w:eastAsia="zh-HK"/>
              </w:rPr>
              <w:t>p</w:t>
            </w:r>
          </w:p>
        </w:tc>
      </w:tr>
      <w:tr w:rsidR="002F749B" w14:paraId="185340CB" w14:textId="77777777" w:rsidTr="0044668F">
        <w:trPr>
          <w:trHeight w:val="781"/>
        </w:trPr>
        <w:tc>
          <w:tcPr>
            <w:tcW w:w="2802" w:type="dxa"/>
            <w:tcBorders>
              <w:top w:val="single" w:sz="8" w:space="0" w:color="auto"/>
            </w:tcBorders>
            <w:vAlign w:val="center"/>
          </w:tcPr>
          <w:p w14:paraId="108BCFB4" w14:textId="7F736BED" w:rsidR="002F749B" w:rsidRDefault="002F749B" w:rsidP="0044668F">
            <w:pPr>
              <w:pStyle w:val="ListParagraph"/>
              <w:overflowPunct w:val="0"/>
              <w:snapToGrid w:val="0"/>
              <w:spacing w:line="300" w:lineRule="auto"/>
              <w:ind w:left="0"/>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Private Domestic Property Price Index (Overall)</w:t>
            </w:r>
          </w:p>
        </w:tc>
        <w:tc>
          <w:tcPr>
            <w:tcW w:w="1373" w:type="dxa"/>
            <w:tcBorders>
              <w:top w:val="single" w:sz="8" w:space="0" w:color="auto"/>
            </w:tcBorders>
            <w:vAlign w:val="center"/>
          </w:tcPr>
          <w:p w14:paraId="5EABE7F5" w14:textId="3C657635" w:rsidR="002F749B" w:rsidRDefault="002F5FC1" w:rsidP="002F5FC1">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−1.703</w:t>
            </w:r>
          </w:p>
        </w:tc>
        <w:tc>
          <w:tcPr>
            <w:tcW w:w="1374" w:type="dxa"/>
            <w:tcBorders>
              <w:top w:val="single" w:sz="8" w:space="0" w:color="auto"/>
            </w:tcBorders>
            <w:vAlign w:val="center"/>
          </w:tcPr>
          <w:p w14:paraId="03EE8B5B" w14:textId="4E154BE0" w:rsidR="002F749B" w:rsidRDefault="002F5FC1" w:rsidP="002F5FC1">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0.7496</w:t>
            </w:r>
          </w:p>
        </w:tc>
        <w:tc>
          <w:tcPr>
            <w:tcW w:w="1373" w:type="dxa"/>
            <w:tcBorders>
              <w:top w:val="single" w:sz="8" w:space="0" w:color="auto"/>
            </w:tcBorders>
            <w:vAlign w:val="center"/>
          </w:tcPr>
          <w:p w14:paraId="7164E45E" w14:textId="33A0F245" w:rsidR="002F749B" w:rsidRDefault="00A53AE0" w:rsidP="00A53AE0">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−6.070**</w:t>
            </w:r>
          </w:p>
        </w:tc>
        <w:tc>
          <w:tcPr>
            <w:tcW w:w="1374" w:type="dxa"/>
            <w:tcBorders>
              <w:top w:val="single" w:sz="8" w:space="0" w:color="auto"/>
            </w:tcBorders>
            <w:vAlign w:val="center"/>
          </w:tcPr>
          <w:p w14:paraId="4699E0D6" w14:textId="0B5E0F9C" w:rsidR="002F749B" w:rsidRDefault="00A53AE0" w:rsidP="00B2154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0.000</w:t>
            </w:r>
          </w:p>
        </w:tc>
      </w:tr>
      <w:tr w:rsidR="002F749B" w14:paraId="79F7B3F7" w14:textId="77777777" w:rsidTr="0044668F">
        <w:trPr>
          <w:trHeight w:val="410"/>
        </w:trPr>
        <w:tc>
          <w:tcPr>
            <w:tcW w:w="2802" w:type="dxa"/>
            <w:tcBorders>
              <w:top w:val="single" w:sz="8" w:space="0" w:color="auto"/>
              <w:bottom w:val="single" w:sz="8" w:space="0" w:color="auto"/>
            </w:tcBorders>
            <w:vAlign w:val="center"/>
          </w:tcPr>
          <w:p w14:paraId="687EFF18" w14:textId="2211B401" w:rsidR="002F749B" w:rsidRDefault="002F749B" w:rsidP="0044668F">
            <w:pPr>
              <w:pStyle w:val="ListParagraph"/>
              <w:overflowPunct w:val="0"/>
              <w:snapToGrid w:val="0"/>
              <w:spacing w:line="300" w:lineRule="auto"/>
              <w:ind w:left="0"/>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CCPI (Housing)</w:t>
            </w:r>
          </w:p>
        </w:tc>
        <w:tc>
          <w:tcPr>
            <w:tcW w:w="1373" w:type="dxa"/>
            <w:tcBorders>
              <w:top w:val="single" w:sz="8" w:space="0" w:color="auto"/>
              <w:bottom w:val="single" w:sz="8" w:space="0" w:color="auto"/>
            </w:tcBorders>
            <w:vAlign w:val="center"/>
          </w:tcPr>
          <w:p w14:paraId="6B0D2690" w14:textId="55DCA3B9" w:rsidR="002F749B" w:rsidRDefault="002F5FC1" w:rsidP="002F5FC1">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−1.550</w:t>
            </w:r>
          </w:p>
        </w:tc>
        <w:tc>
          <w:tcPr>
            <w:tcW w:w="1374" w:type="dxa"/>
            <w:tcBorders>
              <w:top w:val="single" w:sz="8" w:space="0" w:color="auto"/>
              <w:bottom w:val="single" w:sz="8" w:space="0" w:color="auto"/>
            </w:tcBorders>
            <w:vAlign w:val="center"/>
          </w:tcPr>
          <w:p w14:paraId="728D6343" w14:textId="7925942B" w:rsidR="002F749B" w:rsidRDefault="002F5FC1" w:rsidP="002F5FC1">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0.8114</w:t>
            </w:r>
          </w:p>
        </w:tc>
        <w:tc>
          <w:tcPr>
            <w:tcW w:w="1373" w:type="dxa"/>
            <w:tcBorders>
              <w:top w:val="single" w:sz="8" w:space="0" w:color="auto"/>
              <w:bottom w:val="single" w:sz="8" w:space="0" w:color="auto"/>
            </w:tcBorders>
            <w:vAlign w:val="center"/>
          </w:tcPr>
          <w:p w14:paraId="3525F268" w14:textId="62790C40" w:rsidR="002F749B" w:rsidRDefault="00A53AE0" w:rsidP="00A53AE0">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−12.816**</w:t>
            </w:r>
          </w:p>
        </w:tc>
        <w:tc>
          <w:tcPr>
            <w:tcW w:w="1374" w:type="dxa"/>
            <w:tcBorders>
              <w:top w:val="single" w:sz="8" w:space="0" w:color="auto"/>
              <w:bottom w:val="single" w:sz="8" w:space="0" w:color="auto"/>
            </w:tcBorders>
            <w:vAlign w:val="center"/>
          </w:tcPr>
          <w:p w14:paraId="0BD15D5F" w14:textId="52E655DF" w:rsidR="002F749B" w:rsidRDefault="00A53AE0" w:rsidP="00B2154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0.000</w:t>
            </w:r>
          </w:p>
        </w:tc>
      </w:tr>
      <w:tr w:rsidR="00DA37E5" w14:paraId="1A9A2D44" w14:textId="77777777" w:rsidTr="0044668F">
        <w:trPr>
          <w:trHeight w:val="410"/>
        </w:trPr>
        <w:tc>
          <w:tcPr>
            <w:tcW w:w="2802" w:type="dxa"/>
            <w:tcBorders>
              <w:top w:val="single" w:sz="8" w:space="0" w:color="auto"/>
            </w:tcBorders>
            <w:vAlign w:val="center"/>
          </w:tcPr>
          <w:p w14:paraId="1DE1DCD4" w14:textId="45A151DA" w:rsidR="00DA37E5" w:rsidRDefault="00DA37E5" w:rsidP="0044668F">
            <w:pPr>
              <w:pStyle w:val="ListParagraph"/>
              <w:overflowPunct w:val="0"/>
              <w:snapToGrid w:val="0"/>
              <w:spacing w:line="300" w:lineRule="auto"/>
              <w:ind w:left="0"/>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CCPI (Overall)</w:t>
            </w:r>
          </w:p>
        </w:tc>
        <w:tc>
          <w:tcPr>
            <w:tcW w:w="1373" w:type="dxa"/>
            <w:tcBorders>
              <w:top w:val="single" w:sz="8" w:space="0" w:color="auto"/>
            </w:tcBorders>
            <w:vAlign w:val="center"/>
          </w:tcPr>
          <w:p w14:paraId="7CE16E01" w14:textId="1F951DE8" w:rsidR="00DA37E5" w:rsidRPr="00DA37E5" w:rsidRDefault="00DA37E5" w:rsidP="00DA37E5">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sidRPr="00DA37E5">
              <w:rPr>
                <w:rFonts w:ascii="Times New Roman" w:hAnsi="Times New Roman" w:cs="Times New Roman"/>
                <w:sz w:val="24"/>
              </w:rPr>
              <w:t>−1.698</w:t>
            </w:r>
          </w:p>
        </w:tc>
        <w:tc>
          <w:tcPr>
            <w:tcW w:w="1374" w:type="dxa"/>
            <w:tcBorders>
              <w:top w:val="single" w:sz="8" w:space="0" w:color="auto"/>
            </w:tcBorders>
            <w:vAlign w:val="center"/>
          </w:tcPr>
          <w:p w14:paraId="6F461705" w14:textId="36A91BA8" w:rsidR="00DA37E5" w:rsidRPr="00DA37E5" w:rsidRDefault="00DA37E5" w:rsidP="00DA37E5">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sidRPr="00DA37E5">
              <w:rPr>
                <w:rFonts w:ascii="Times New Roman" w:hAnsi="Times New Roman" w:cs="Times New Roman"/>
                <w:sz w:val="24"/>
              </w:rPr>
              <w:t>0.7519</w:t>
            </w:r>
          </w:p>
        </w:tc>
        <w:tc>
          <w:tcPr>
            <w:tcW w:w="1373" w:type="dxa"/>
            <w:tcBorders>
              <w:top w:val="single" w:sz="8" w:space="0" w:color="auto"/>
            </w:tcBorders>
            <w:vAlign w:val="center"/>
          </w:tcPr>
          <w:p w14:paraId="6EEE01FD" w14:textId="1096D5B9" w:rsidR="00DA37E5" w:rsidRPr="00DA37E5" w:rsidRDefault="00DA37E5" w:rsidP="00DA37E5">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sidRPr="00DA37E5">
              <w:rPr>
                <w:rFonts w:ascii="Times New Roman" w:hAnsi="Times New Roman" w:cs="Times New Roman"/>
                <w:sz w:val="24"/>
              </w:rPr>
              <w:t>−8.728**</w:t>
            </w:r>
          </w:p>
        </w:tc>
        <w:tc>
          <w:tcPr>
            <w:tcW w:w="1374" w:type="dxa"/>
            <w:tcBorders>
              <w:top w:val="single" w:sz="8" w:space="0" w:color="auto"/>
            </w:tcBorders>
            <w:vAlign w:val="center"/>
          </w:tcPr>
          <w:p w14:paraId="3BCF4BC2" w14:textId="0591DDF2" w:rsidR="00DA37E5" w:rsidRPr="00DA37E5" w:rsidRDefault="00DA37E5" w:rsidP="00DA37E5">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sidRPr="00DA37E5">
              <w:rPr>
                <w:rFonts w:ascii="Times New Roman" w:hAnsi="Times New Roman" w:cs="Times New Roman"/>
                <w:sz w:val="24"/>
              </w:rPr>
              <w:t>0.000</w:t>
            </w:r>
          </w:p>
        </w:tc>
      </w:tr>
    </w:tbl>
    <w:p w14:paraId="583F103D" w14:textId="2BF2FF93" w:rsidR="008B51A5" w:rsidRPr="006E2899" w:rsidRDefault="00B21547" w:rsidP="001F0F89">
      <w:pPr>
        <w:pStyle w:val="ListParagraph"/>
        <w:overflowPunct w:val="0"/>
        <w:snapToGrid w:val="0"/>
        <w:spacing w:before="20" w:after="0" w:line="240" w:lineRule="auto"/>
        <w:ind w:left="709" w:hanging="709"/>
        <w:jc w:val="both"/>
        <w:rPr>
          <w:rFonts w:ascii="Times New Roman" w:eastAsia="標楷體" w:hAnsi="Times New Roman" w:cs="Times New Roman"/>
          <w:sz w:val="16"/>
          <w:szCs w:val="18"/>
          <w:lang w:eastAsia="zh-HK"/>
        </w:rPr>
      </w:pPr>
      <w:r w:rsidRPr="006E2899">
        <w:rPr>
          <w:rFonts w:ascii="Times New Roman" w:eastAsia="標楷體" w:hAnsi="Times New Roman" w:cs="Times New Roman"/>
          <w:sz w:val="16"/>
          <w:szCs w:val="18"/>
          <w:lang w:eastAsia="zh-HK"/>
        </w:rPr>
        <w:t>Note</w:t>
      </w:r>
      <w:r w:rsidR="0001414B">
        <w:rPr>
          <w:rFonts w:ascii="Times New Roman" w:eastAsia="標楷體" w:hAnsi="Times New Roman" w:cs="Times New Roman"/>
          <w:sz w:val="16"/>
          <w:szCs w:val="18"/>
          <w:lang w:eastAsia="zh-HK"/>
        </w:rPr>
        <w:t>s</w:t>
      </w:r>
      <w:r w:rsidR="006E2899" w:rsidRPr="006E2899">
        <w:rPr>
          <w:rFonts w:ascii="Times New Roman" w:eastAsia="標楷體" w:hAnsi="Times New Roman" w:cs="Times New Roman"/>
          <w:sz w:val="16"/>
          <w:szCs w:val="18"/>
          <w:lang w:eastAsia="zh-HK"/>
        </w:rPr>
        <w:t xml:space="preserve"> (*</w:t>
      </w:r>
      <w:proofErr w:type="gramStart"/>
      <w:r w:rsidR="006E2899" w:rsidRPr="006E2899">
        <w:rPr>
          <w:rFonts w:ascii="Times New Roman" w:eastAsia="標楷體" w:hAnsi="Times New Roman" w:cs="Times New Roman"/>
          <w:sz w:val="16"/>
          <w:szCs w:val="18"/>
          <w:lang w:eastAsia="zh-HK"/>
        </w:rPr>
        <w:t>)</w:t>
      </w:r>
      <w:r w:rsidR="00AD6F7F">
        <w:rPr>
          <w:rFonts w:ascii="Times New Roman" w:eastAsia="標楷體" w:hAnsi="Times New Roman" w:cs="Times New Roman"/>
          <w:sz w:val="16"/>
          <w:szCs w:val="18"/>
          <w:lang w:eastAsia="zh-HK"/>
        </w:rPr>
        <w:t xml:space="preserve"> </w:t>
      </w:r>
      <w:r w:rsidR="006E2899" w:rsidRPr="006E2899">
        <w:rPr>
          <w:rFonts w:ascii="Times New Roman" w:eastAsia="標楷體" w:hAnsi="Times New Roman" w:cs="Times New Roman"/>
          <w:sz w:val="16"/>
          <w:szCs w:val="18"/>
          <w:lang w:eastAsia="zh-HK"/>
        </w:rPr>
        <w:t>:</w:t>
      </w:r>
      <w:proofErr w:type="gramEnd"/>
      <w:r w:rsidR="006E2899" w:rsidRPr="006E2899">
        <w:rPr>
          <w:rFonts w:ascii="Times New Roman" w:eastAsia="標楷體" w:hAnsi="Times New Roman" w:cs="Times New Roman"/>
          <w:sz w:val="16"/>
          <w:szCs w:val="18"/>
          <w:lang w:eastAsia="zh-HK"/>
        </w:rPr>
        <w:tab/>
      </w:r>
      <w:r w:rsidRPr="006E2899">
        <w:rPr>
          <w:rFonts w:ascii="Times New Roman" w:eastAsia="標楷體" w:hAnsi="Times New Roman" w:cs="Times New Roman"/>
          <w:sz w:val="16"/>
          <w:szCs w:val="18"/>
          <w:lang w:eastAsia="zh-HK"/>
        </w:rPr>
        <w:t xml:space="preserve">Tests are on the natural logarithm of the relevant </w:t>
      </w:r>
      <w:r w:rsidR="00CC1A29">
        <w:rPr>
          <w:rFonts w:ascii="Times New Roman" w:eastAsia="標楷體" w:hAnsi="Times New Roman" w:cs="Times New Roman"/>
          <w:sz w:val="16"/>
          <w:szCs w:val="18"/>
          <w:lang w:eastAsia="zh-HK"/>
        </w:rPr>
        <w:t>variable</w:t>
      </w:r>
      <w:r w:rsidRPr="006E2899">
        <w:rPr>
          <w:rFonts w:ascii="Times New Roman" w:eastAsia="標楷體" w:hAnsi="Times New Roman" w:cs="Times New Roman"/>
          <w:sz w:val="16"/>
          <w:szCs w:val="18"/>
          <w:lang w:eastAsia="zh-HK"/>
        </w:rPr>
        <w:t xml:space="preserve"> and include a time trend.</w:t>
      </w:r>
      <w:r w:rsidR="006E2899" w:rsidRPr="006E2899">
        <w:rPr>
          <w:rFonts w:ascii="Times New Roman" w:eastAsia="標楷體" w:hAnsi="Times New Roman" w:cs="Times New Roman"/>
          <w:sz w:val="16"/>
          <w:szCs w:val="18"/>
          <w:lang w:eastAsia="zh-HK"/>
        </w:rPr>
        <w:t xml:space="preserve">  The null hypothesis is the</w:t>
      </w:r>
      <w:r w:rsidR="006E2899">
        <w:rPr>
          <w:rFonts w:ascii="Times New Roman" w:eastAsia="標楷體" w:hAnsi="Times New Roman" w:cs="Times New Roman"/>
          <w:sz w:val="16"/>
          <w:szCs w:val="18"/>
          <w:lang w:eastAsia="zh-HK"/>
        </w:rPr>
        <w:t xml:space="preserve"> hypothesis that </w:t>
      </w:r>
      <w:r w:rsidR="006E2899" w:rsidRPr="00AD6F7F">
        <w:rPr>
          <w:rFonts w:ascii="Symbol" w:eastAsia="標楷體" w:hAnsi="Symbol" w:cs="Times New Roman"/>
          <w:sz w:val="16"/>
          <w:szCs w:val="18"/>
          <w:lang w:eastAsia="zh-HK"/>
        </w:rPr>
        <w:t></w:t>
      </w:r>
      <w:r w:rsidR="006E2899">
        <w:rPr>
          <w:rFonts w:ascii="Times New Roman" w:eastAsia="標楷體" w:hAnsi="Times New Roman" w:cs="Times New Roman"/>
          <w:sz w:val="16"/>
          <w:szCs w:val="18"/>
          <w:lang w:eastAsia="zh-HK"/>
        </w:rPr>
        <w:t xml:space="preserve"> = 1 in the relation </w:t>
      </w:r>
      <w:proofErr w:type="spellStart"/>
      <w:proofErr w:type="gramStart"/>
      <w:r w:rsidR="006E2899" w:rsidRPr="00AD6F7F">
        <w:rPr>
          <w:rFonts w:ascii="Times New Roman" w:eastAsia="標楷體" w:hAnsi="Times New Roman" w:cs="Times New Roman"/>
          <w:i/>
          <w:sz w:val="16"/>
          <w:szCs w:val="18"/>
          <w:lang w:eastAsia="zh-HK"/>
        </w:rPr>
        <w:t>y</w:t>
      </w:r>
      <w:r w:rsidR="006E2899" w:rsidRPr="00AD6F7F">
        <w:rPr>
          <w:rFonts w:ascii="Times New Roman" w:eastAsia="標楷體" w:hAnsi="Times New Roman" w:cs="Times New Roman"/>
          <w:i/>
          <w:sz w:val="16"/>
          <w:szCs w:val="18"/>
          <w:vertAlign w:val="subscript"/>
          <w:lang w:eastAsia="zh-HK"/>
        </w:rPr>
        <w:t>t</w:t>
      </w:r>
      <w:proofErr w:type="spellEnd"/>
      <w:proofErr w:type="gramEnd"/>
      <w:r w:rsidR="006E2899">
        <w:rPr>
          <w:rFonts w:ascii="Times New Roman" w:eastAsia="標楷體" w:hAnsi="Times New Roman" w:cs="Times New Roman"/>
          <w:sz w:val="16"/>
          <w:szCs w:val="18"/>
          <w:lang w:eastAsia="zh-HK"/>
        </w:rPr>
        <w:t xml:space="preserve"> = </w:t>
      </w:r>
      <w:r w:rsidR="006E2899" w:rsidRPr="00AD6F7F">
        <w:rPr>
          <w:rFonts w:ascii="Symbol" w:eastAsia="標楷體" w:hAnsi="Symbol" w:cs="Times New Roman"/>
          <w:sz w:val="16"/>
          <w:szCs w:val="18"/>
          <w:lang w:eastAsia="zh-HK"/>
        </w:rPr>
        <w:t></w:t>
      </w:r>
      <w:r w:rsidR="006E2899">
        <w:rPr>
          <w:rFonts w:ascii="Times New Roman" w:eastAsia="標楷體" w:hAnsi="Times New Roman" w:cs="Times New Roman"/>
          <w:sz w:val="16"/>
          <w:szCs w:val="18"/>
          <w:lang w:eastAsia="zh-HK"/>
        </w:rPr>
        <w:t xml:space="preserve"> + </w:t>
      </w:r>
      <w:r w:rsidR="006E2899" w:rsidRPr="00AD6F7F">
        <w:rPr>
          <w:rFonts w:ascii="Symbol" w:eastAsia="標楷體" w:hAnsi="Symbol" w:cs="Times New Roman"/>
          <w:sz w:val="16"/>
          <w:szCs w:val="18"/>
          <w:lang w:eastAsia="zh-HK"/>
        </w:rPr>
        <w:t></w:t>
      </w:r>
      <w:r w:rsidR="006E2899" w:rsidRPr="00AD6F7F">
        <w:rPr>
          <w:rFonts w:ascii="Times New Roman" w:eastAsia="標楷體" w:hAnsi="Times New Roman" w:cs="Times New Roman"/>
          <w:i/>
          <w:sz w:val="16"/>
          <w:szCs w:val="18"/>
          <w:lang w:eastAsia="zh-HK"/>
        </w:rPr>
        <w:t>y</w:t>
      </w:r>
      <w:r w:rsidR="006E2899" w:rsidRPr="00AD6F7F">
        <w:rPr>
          <w:rFonts w:ascii="Times New Roman" w:eastAsia="標楷體" w:hAnsi="Times New Roman" w:cs="Times New Roman"/>
          <w:i/>
          <w:sz w:val="16"/>
          <w:szCs w:val="18"/>
          <w:vertAlign w:val="subscript"/>
          <w:lang w:eastAsia="zh-HK"/>
        </w:rPr>
        <w:t>t-1</w:t>
      </w:r>
      <w:r w:rsidR="006E2899" w:rsidRPr="00AD6F7F">
        <w:rPr>
          <w:rFonts w:ascii="Times New Roman" w:eastAsia="標楷體" w:hAnsi="Times New Roman" w:cs="Times New Roman"/>
          <w:sz w:val="16"/>
          <w:szCs w:val="18"/>
          <w:vertAlign w:val="subscript"/>
          <w:lang w:eastAsia="zh-HK"/>
        </w:rPr>
        <w:t xml:space="preserve"> </w:t>
      </w:r>
      <w:r w:rsidR="006E2899">
        <w:rPr>
          <w:rFonts w:ascii="Times New Roman" w:eastAsia="標楷體" w:hAnsi="Times New Roman" w:cs="Times New Roman"/>
          <w:sz w:val="16"/>
          <w:szCs w:val="18"/>
          <w:lang w:eastAsia="zh-HK"/>
        </w:rPr>
        <w:t xml:space="preserve">+ </w:t>
      </w:r>
      <w:r w:rsidR="006E2899" w:rsidRPr="00AD6F7F">
        <w:rPr>
          <w:rFonts w:ascii="Symbol" w:eastAsia="標楷體" w:hAnsi="Symbol" w:cs="Times New Roman"/>
          <w:sz w:val="16"/>
          <w:szCs w:val="18"/>
          <w:lang w:eastAsia="zh-HK"/>
        </w:rPr>
        <w:t></w:t>
      </w:r>
      <w:r w:rsidR="006E2899" w:rsidRPr="00AD6F7F">
        <w:rPr>
          <w:rFonts w:ascii="Times New Roman" w:eastAsia="標楷體" w:hAnsi="Times New Roman" w:cs="Times New Roman"/>
          <w:i/>
          <w:sz w:val="16"/>
          <w:szCs w:val="18"/>
          <w:lang w:eastAsia="zh-HK"/>
        </w:rPr>
        <w:t>t</w:t>
      </w:r>
      <w:r w:rsidR="00AD6F7F">
        <w:rPr>
          <w:rFonts w:ascii="Times New Roman" w:eastAsia="標楷體" w:hAnsi="Times New Roman" w:cs="Times New Roman"/>
          <w:i/>
          <w:sz w:val="16"/>
          <w:szCs w:val="18"/>
          <w:lang w:eastAsia="zh-HK"/>
        </w:rPr>
        <w:t xml:space="preserve"> + </w:t>
      </w:r>
      <w:r w:rsidR="00AD6F7F" w:rsidRPr="00AD6F7F">
        <w:rPr>
          <w:rFonts w:ascii="Times New Roman" w:eastAsia="標楷體" w:hAnsi="Times New Roman" w:cs="Times New Roman"/>
          <w:sz w:val="16"/>
          <w:szCs w:val="18"/>
          <w:lang w:eastAsia="zh-HK"/>
        </w:rPr>
        <w:t>ϵ</w:t>
      </w:r>
      <w:r w:rsidR="00F83EA6">
        <w:rPr>
          <w:rFonts w:ascii="Times New Roman" w:eastAsia="標楷體" w:hAnsi="Times New Roman" w:cs="Times New Roman"/>
          <w:i/>
          <w:sz w:val="16"/>
          <w:szCs w:val="18"/>
          <w:vertAlign w:val="subscript"/>
          <w:lang w:eastAsia="zh-HK"/>
        </w:rPr>
        <w:t>t</w:t>
      </w:r>
      <w:r w:rsidR="006E2899">
        <w:rPr>
          <w:rFonts w:ascii="Times New Roman" w:eastAsia="標楷體" w:hAnsi="Times New Roman" w:cs="Times New Roman"/>
          <w:sz w:val="16"/>
          <w:szCs w:val="18"/>
          <w:lang w:eastAsia="zh-HK"/>
        </w:rPr>
        <w:t xml:space="preserve">, where </w:t>
      </w:r>
      <w:proofErr w:type="spellStart"/>
      <w:r w:rsidR="006E2899" w:rsidRPr="00AD6F7F">
        <w:rPr>
          <w:rFonts w:ascii="Times New Roman" w:eastAsia="標楷體" w:hAnsi="Times New Roman" w:cs="Times New Roman"/>
          <w:i/>
          <w:sz w:val="16"/>
          <w:szCs w:val="18"/>
          <w:lang w:eastAsia="zh-HK"/>
        </w:rPr>
        <w:t>y</w:t>
      </w:r>
      <w:r w:rsidR="006E2899" w:rsidRPr="00AD6F7F">
        <w:rPr>
          <w:rFonts w:ascii="Times New Roman" w:eastAsia="標楷體" w:hAnsi="Times New Roman" w:cs="Times New Roman"/>
          <w:i/>
          <w:sz w:val="16"/>
          <w:szCs w:val="18"/>
          <w:vertAlign w:val="subscript"/>
          <w:lang w:eastAsia="zh-HK"/>
        </w:rPr>
        <w:t>t</w:t>
      </w:r>
      <w:proofErr w:type="spellEnd"/>
      <w:r w:rsidR="006E2899">
        <w:rPr>
          <w:rFonts w:ascii="Times New Roman" w:eastAsia="標楷體" w:hAnsi="Times New Roman" w:cs="Times New Roman"/>
          <w:sz w:val="16"/>
          <w:szCs w:val="18"/>
          <w:lang w:eastAsia="zh-HK"/>
        </w:rPr>
        <w:t xml:space="preserve"> is the</w:t>
      </w:r>
      <w:r w:rsidR="00AD6F7F">
        <w:rPr>
          <w:rFonts w:ascii="Times New Roman" w:eastAsia="標楷體" w:hAnsi="Times New Roman" w:cs="Times New Roman"/>
          <w:sz w:val="16"/>
          <w:szCs w:val="18"/>
          <w:lang w:eastAsia="zh-HK"/>
        </w:rPr>
        <w:t xml:space="preserve"> variable to be tested.</w:t>
      </w:r>
    </w:p>
    <w:p w14:paraId="157A7A7C" w14:textId="7E446136" w:rsidR="0001414B" w:rsidRDefault="0001414B" w:rsidP="008B51A5">
      <w:pPr>
        <w:pStyle w:val="ListParagraph"/>
        <w:overflowPunct w:val="0"/>
        <w:snapToGrid w:val="0"/>
        <w:spacing w:after="0" w:line="300" w:lineRule="auto"/>
        <w:ind w:left="0"/>
        <w:jc w:val="both"/>
        <w:rPr>
          <w:rFonts w:ascii="Times New Roman" w:eastAsia="標楷體" w:hAnsi="Times New Roman" w:cs="Times New Roman"/>
          <w:sz w:val="16"/>
          <w:szCs w:val="18"/>
          <w:lang w:eastAsia="zh-HK"/>
        </w:rPr>
      </w:pPr>
      <w:r>
        <w:rPr>
          <w:rFonts w:ascii="Times New Roman" w:eastAsia="標楷體" w:hAnsi="Times New Roman" w:cs="Times New Roman"/>
          <w:sz w:val="16"/>
          <w:szCs w:val="18"/>
          <w:lang w:eastAsia="zh-HK"/>
        </w:rPr>
        <w:t xml:space="preserve">        (**</w:t>
      </w:r>
      <w:proofErr w:type="gramStart"/>
      <w:r>
        <w:rPr>
          <w:rFonts w:ascii="Times New Roman" w:eastAsia="標楷體" w:hAnsi="Times New Roman" w:cs="Times New Roman"/>
          <w:sz w:val="16"/>
          <w:szCs w:val="18"/>
          <w:lang w:eastAsia="zh-HK"/>
        </w:rPr>
        <w:t>) :</w:t>
      </w:r>
      <w:proofErr w:type="gramEnd"/>
      <w:r>
        <w:rPr>
          <w:rFonts w:ascii="Times New Roman" w:eastAsia="標楷體" w:hAnsi="Times New Roman" w:cs="Times New Roman"/>
          <w:sz w:val="16"/>
          <w:szCs w:val="18"/>
          <w:lang w:eastAsia="zh-HK"/>
        </w:rPr>
        <w:tab/>
        <w:t>The null hypothesis is rejected at the 5% level.</w:t>
      </w:r>
    </w:p>
    <w:p w14:paraId="5F747C04" w14:textId="77777777" w:rsidR="0001414B" w:rsidRPr="000B0446" w:rsidRDefault="0001414B" w:rsidP="008B51A5">
      <w:pPr>
        <w:pStyle w:val="ListParagraph"/>
        <w:overflowPunct w:val="0"/>
        <w:snapToGrid w:val="0"/>
        <w:spacing w:after="0" w:line="300" w:lineRule="auto"/>
        <w:ind w:left="0"/>
        <w:jc w:val="both"/>
        <w:rPr>
          <w:rFonts w:ascii="Times New Roman" w:eastAsia="標楷體" w:hAnsi="Times New Roman" w:cs="Times New Roman"/>
          <w:sz w:val="24"/>
          <w:szCs w:val="18"/>
          <w:lang w:eastAsia="zh-HK"/>
        </w:rPr>
      </w:pPr>
    </w:p>
    <w:p w14:paraId="0DC8B0E5" w14:textId="4C764960" w:rsidR="00EC2F13" w:rsidRPr="00EC2F13" w:rsidRDefault="00264504" w:rsidP="00E03FA2">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b/>
          <w:sz w:val="24"/>
          <w:szCs w:val="24"/>
          <w:lang w:eastAsia="zh-HK"/>
        </w:rPr>
      </w:pPr>
      <w:r>
        <w:rPr>
          <w:rFonts w:ascii="Times New Roman" w:eastAsia="標楷體" w:hAnsi="Times New Roman" w:cs="Times New Roman"/>
          <w:sz w:val="24"/>
          <w:szCs w:val="24"/>
          <w:lang w:eastAsia="zh-HK"/>
        </w:rPr>
        <w:t>Present value theory implies that, when an asset price and its income stream are non-stationary in levels, but stationary in first differences, they are cointegrated</w:t>
      </w:r>
      <w:r w:rsidR="001A6337">
        <w:rPr>
          <w:rStyle w:val="FootnoteReference"/>
          <w:rFonts w:ascii="Times New Roman" w:eastAsia="標楷體" w:hAnsi="Times New Roman" w:cs="Times New Roman"/>
          <w:sz w:val="24"/>
          <w:szCs w:val="24"/>
          <w:lang w:eastAsia="zh-HK"/>
        </w:rPr>
        <w:footnoteReference w:id="19"/>
      </w:r>
      <w:r w:rsidR="00A37A4E">
        <w:rPr>
          <w:rFonts w:ascii="Times New Roman" w:eastAsia="標楷體" w:hAnsi="Times New Roman" w:cs="Times New Roman"/>
          <w:sz w:val="24"/>
          <w:szCs w:val="24"/>
          <w:lang w:eastAsia="zh-HK"/>
        </w:rPr>
        <w:t>.</w:t>
      </w:r>
      <w:r w:rsidR="006E67C8">
        <w:rPr>
          <w:rFonts w:ascii="Times New Roman" w:eastAsia="標楷體" w:hAnsi="Times New Roman" w:cs="Times New Roman"/>
          <w:sz w:val="24"/>
          <w:szCs w:val="24"/>
          <w:lang w:eastAsia="zh-HK"/>
        </w:rPr>
        <w:t xml:space="preserve">  However, a working model of inflation necessarily takes other factors into account</w:t>
      </w:r>
      <w:r w:rsidR="00547B0F">
        <w:rPr>
          <w:rFonts w:ascii="Times New Roman" w:eastAsia="標楷體" w:hAnsi="Times New Roman" w:cs="Times New Roman"/>
          <w:sz w:val="24"/>
          <w:szCs w:val="24"/>
          <w:lang w:eastAsia="zh-HK"/>
        </w:rPr>
        <w:t>.  For instance, Gordon’s “triangle” model of inflation suggests that inflation can be explained in terms of supply, demand, and inertia</w:t>
      </w:r>
      <w:r w:rsidR="00E966A8">
        <w:rPr>
          <w:rStyle w:val="FootnoteReference"/>
          <w:rFonts w:ascii="Times New Roman" w:eastAsia="標楷體" w:hAnsi="Times New Roman" w:cs="Times New Roman"/>
          <w:sz w:val="24"/>
          <w:szCs w:val="24"/>
          <w:lang w:eastAsia="zh-HK"/>
        </w:rPr>
        <w:footnoteReference w:id="20"/>
      </w:r>
      <w:r w:rsidR="00547B0F">
        <w:rPr>
          <w:rFonts w:ascii="Times New Roman" w:eastAsia="標楷體" w:hAnsi="Times New Roman" w:cs="Times New Roman"/>
          <w:sz w:val="24"/>
          <w:szCs w:val="24"/>
          <w:lang w:eastAsia="zh-HK"/>
        </w:rPr>
        <w:t>.  In a</w:t>
      </w:r>
      <w:r w:rsidR="00DB0EF7">
        <w:rPr>
          <w:rFonts w:ascii="Times New Roman" w:eastAsia="標楷體" w:hAnsi="Times New Roman" w:cs="Times New Roman"/>
          <w:sz w:val="24"/>
          <w:szCs w:val="24"/>
          <w:lang w:eastAsia="zh-HK"/>
        </w:rPr>
        <w:t>n econometric context</w:t>
      </w:r>
      <w:r w:rsidR="00547B0F">
        <w:rPr>
          <w:rFonts w:ascii="Times New Roman" w:eastAsia="標楷體" w:hAnsi="Times New Roman" w:cs="Times New Roman"/>
          <w:sz w:val="24"/>
          <w:szCs w:val="24"/>
          <w:lang w:eastAsia="zh-HK"/>
        </w:rPr>
        <w:t>, “supply” is a supply shock, like a change in commodity prices; “demand” is a measure of aggregate demand, like GDP; and inertia is captured by lagged variables.</w:t>
      </w:r>
      <w:r w:rsidR="00EC2F13">
        <w:rPr>
          <w:rFonts w:ascii="Times New Roman" w:eastAsia="標楷體" w:hAnsi="Times New Roman" w:cs="Times New Roman"/>
          <w:sz w:val="24"/>
          <w:szCs w:val="24"/>
          <w:lang w:eastAsia="zh-HK"/>
        </w:rPr>
        <w:t xml:space="preserve">  Moreover, in a model that includes residential property prices, </w:t>
      </w:r>
      <w:r w:rsidR="00982491">
        <w:rPr>
          <w:rFonts w:ascii="Times New Roman" w:eastAsia="標楷體" w:hAnsi="Times New Roman" w:cs="Times New Roman"/>
          <w:sz w:val="24"/>
          <w:szCs w:val="24"/>
          <w:lang w:eastAsia="zh-HK"/>
        </w:rPr>
        <w:t>property-related</w:t>
      </w:r>
      <w:r w:rsidR="00EC2F13">
        <w:rPr>
          <w:rFonts w:ascii="Times New Roman" w:eastAsia="標楷體" w:hAnsi="Times New Roman" w:cs="Times New Roman"/>
          <w:sz w:val="24"/>
          <w:szCs w:val="24"/>
          <w:lang w:eastAsia="zh-HK"/>
        </w:rPr>
        <w:t xml:space="preserve"> fundamentals such as interest rates and demand relative to supply (e.g., the number of households relative to the housing stock) are also relevant</w:t>
      </w:r>
      <w:r w:rsidR="002D45DA">
        <w:rPr>
          <w:rStyle w:val="FootnoteReference"/>
          <w:rFonts w:ascii="Times New Roman" w:eastAsia="標楷體" w:hAnsi="Times New Roman" w:cs="Times New Roman"/>
          <w:sz w:val="24"/>
          <w:szCs w:val="24"/>
          <w:lang w:eastAsia="zh-HK"/>
        </w:rPr>
        <w:footnoteReference w:id="21"/>
      </w:r>
      <w:r w:rsidR="00EC2F13">
        <w:rPr>
          <w:rFonts w:ascii="Times New Roman" w:eastAsia="標楷體" w:hAnsi="Times New Roman" w:cs="Times New Roman"/>
          <w:sz w:val="24"/>
          <w:szCs w:val="24"/>
          <w:lang w:eastAsia="zh-HK"/>
        </w:rPr>
        <w:t>.</w:t>
      </w:r>
    </w:p>
    <w:p w14:paraId="722AF06A" w14:textId="77777777" w:rsidR="00EC2F13" w:rsidRPr="00EC2F13" w:rsidRDefault="00EC2F13" w:rsidP="00EC2F13">
      <w:pPr>
        <w:pStyle w:val="ListParagraph"/>
        <w:overflowPunct w:val="0"/>
        <w:snapToGrid w:val="0"/>
        <w:spacing w:after="0" w:line="300" w:lineRule="auto"/>
        <w:ind w:left="0"/>
        <w:jc w:val="both"/>
        <w:rPr>
          <w:rFonts w:ascii="Times New Roman" w:eastAsia="標楷體" w:hAnsi="Times New Roman" w:cs="Times New Roman"/>
          <w:b/>
          <w:sz w:val="24"/>
          <w:szCs w:val="24"/>
          <w:lang w:eastAsia="zh-HK"/>
        </w:rPr>
      </w:pPr>
    </w:p>
    <w:p w14:paraId="38533200" w14:textId="08A7E316" w:rsidR="00E03FA2" w:rsidRPr="00264504" w:rsidRDefault="00921C6D" w:rsidP="00E03FA2">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b/>
          <w:sz w:val="24"/>
          <w:szCs w:val="24"/>
          <w:lang w:eastAsia="zh-HK"/>
        </w:rPr>
      </w:pPr>
      <w:r>
        <w:rPr>
          <w:rFonts w:ascii="Times New Roman" w:eastAsia="標楷體" w:hAnsi="Times New Roman" w:cs="Times New Roman"/>
          <w:sz w:val="24"/>
          <w:szCs w:val="24"/>
          <w:lang w:eastAsia="zh-HK"/>
        </w:rPr>
        <w:t xml:space="preserve">To explore whether the variables in the analysis are cointegrated, and the extent of cointegration, </w:t>
      </w:r>
      <w:r w:rsidRPr="00921C6D">
        <w:rPr>
          <w:rFonts w:ascii="Times New Roman" w:eastAsia="標楷體" w:hAnsi="Times New Roman" w:cs="Times New Roman"/>
          <w:b/>
          <w:sz w:val="24"/>
          <w:szCs w:val="24"/>
          <w:lang w:eastAsia="zh-HK"/>
        </w:rPr>
        <w:t>Table 2</w:t>
      </w:r>
      <w:r>
        <w:rPr>
          <w:rFonts w:ascii="Times New Roman" w:eastAsia="標楷體" w:hAnsi="Times New Roman" w:cs="Times New Roman"/>
          <w:sz w:val="24"/>
          <w:szCs w:val="24"/>
          <w:lang w:eastAsia="zh-HK"/>
        </w:rPr>
        <w:t xml:space="preserve"> shows the results of</w:t>
      </w:r>
      <w:r w:rsidR="00547B0F">
        <w:rPr>
          <w:rFonts w:ascii="Times New Roman" w:eastAsia="標楷體" w:hAnsi="Times New Roman" w:cs="Times New Roman"/>
          <w:sz w:val="24"/>
          <w:szCs w:val="24"/>
          <w:lang w:eastAsia="zh-HK"/>
        </w:rPr>
        <w:t xml:space="preserve"> </w:t>
      </w:r>
      <w:r w:rsidR="0059470F">
        <w:rPr>
          <w:rFonts w:ascii="Times New Roman" w:eastAsia="標楷體" w:hAnsi="Times New Roman" w:cs="Times New Roman"/>
          <w:sz w:val="24"/>
          <w:szCs w:val="24"/>
          <w:lang w:eastAsia="zh-HK"/>
        </w:rPr>
        <w:t>Johansen</w:t>
      </w:r>
      <w:r w:rsidR="0059470F">
        <w:rPr>
          <w:rStyle w:val="FootnoteReference"/>
          <w:rFonts w:ascii="Times New Roman" w:eastAsia="標楷體" w:hAnsi="Times New Roman" w:cs="Times New Roman"/>
          <w:sz w:val="24"/>
          <w:szCs w:val="24"/>
          <w:lang w:eastAsia="zh-HK"/>
        </w:rPr>
        <w:footnoteReference w:id="22"/>
      </w:r>
      <w:r w:rsidR="00264504">
        <w:rPr>
          <w:rFonts w:ascii="Times New Roman" w:eastAsia="標楷體" w:hAnsi="Times New Roman" w:cs="Times New Roman"/>
          <w:sz w:val="24"/>
          <w:szCs w:val="24"/>
          <w:lang w:eastAsia="zh-HK"/>
        </w:rPr>
        <w:t xml:space="preserve"> test</w:t>
      </w:r>
      <w:r>
        <w:rPr>
          <w:rFonts w:ascii="Times New Roman" w:eastAsia="標楷體" w:hAnsi="Times New Roman" w:cs="Times New Roman"/>
          <w:sz w:val="24"/>
          <w:szCs w:val="24"/>
          <w:lang w:eastAsia="zh-HK"/>
        </w:rPr>
        <w:t xml:space="preserve">s, with time trends, for the following set of variables: the </w:t>
      </w:r>
      <w:r w:rsidR="00937EE9">
        <w:rPr>
          <w:rFonts w:ascii="Times New Roman" w:eastAsia="標楷體" w:hAnsi="Times New Roman" w:cs="Times New Roman"/>
          <w:sz w:val="24"/>
          <w:szCs w:val="24"/>
          <w:lang w:eastAsia="zh-HK"/>
        </w:rPr>
        <w:t xml:space="preserve">log </w:t>
      </w:r>
      <w:r>
        <w:rPr>
          <w:rFonts w:ascii="Times New Roman" w:eastAsia="標楷體" w:hAnsi="Times New Roman" w:cs="Times New Roman"/>
          <w:sz w:val="24"/>
          <w:szCs w:val="24"/>
          <w:lang w:eastAsia="zh-HK"/>
        </w:rPr>
        <w:t>housing CCPI</w:t>
      </w:r>
      <w:r w:rsidR="00937EE9">
        <w:rPr>
          <w:rFonts w:ascii="Times New Roman" w:eastAsia="標楷體" w:hAnsi="Times New Roman" w:cs="Times New Roman"/>
          <w:sz w:val="24"/>
          <w:szCs w:val="24"/>
          <w:lang w:eastAsia="zh-HK"/>
        </w:rPr>
        <w:t xml:space="preserve"> index</w:t>
      </w:r>
      <w:r>
        <w:rPr>
          <w:rFonts w:ascii="Times New Roman" w:eastAsia="標楷體" w:hAnsi="Times New Roman" w:cs="Times New Roman"/>
          <w:sz w:val="24"/>
          <w:szCs w:val="24"/>
          <w:lang w:eastAsia="zh-HK"/>
        </w:rPr>
        <w:t xml:space="preserve">; </w:t>
      </w:r>
      <w:r w:rsidR="00E152C8">
        <w:rPr>
          <w:rFonts w:ascii="Times New Roman" w:eastAsia="標楷體" w:hAnsi="Times New Roman" w:cs="Times New Roman"/>
          <w:sz w:val="24"/>
          <w:szCs w:val="24"/>
          <w:lang w:eastAsia="zh-HK"/>
        </w:rPr>
        <w:t xml:space="preserve">the log overall CCPI index; </w:t>
      </w:r>
      <w:r>
        <w:rPr>
          <w:rFonts w:ascii="Times New Roman" w:eastAsia="標楷體" w:hAnsi="Times New Roman" w:cs="Times New Roman"/>
          <w:sz w:val="24"/>
          <w:szCs w:val="24"/>
          <w:lang w:eastAsia="zh-HK"/>
        </w:rPr>
        <w:t xml:space="preserve">the </w:t>
      </w:r>
      <w:r w:rsidR="00937EE9">
        <w:rPr>
          <w:rFonts w:ascii="Times New Roman" w:eastAsia="標楷體" w:hAnsi="Times New Roman" w:cs="Times New Roman"/>
          <w:sz w:val="24"/>
          <w:szCs w:val="24"/>
          <w:lang w:eastAsia="zh-HK"/>
        </w:rPr>
        <w:t xml:space="preserve">log </w:t>
      </w:r>
      <w:r>
        <w:rPr>
          <w:rFonts w:ascii="Times New Roman" w:eastAsia="標楷體" w:hAnsi="Times New Roman" w:cs="Times New Roman"/>
          <w:sz w:val="24"/>
          <w:szCs w:val="24"/>
          <w:lang w:eastAsia="zh-HK"/>
        </w:rPr>
        <w:t>overall private domestic property price index;</w:t>
      </w:r>
      <w:r w:rsidRPr="00921C6D">
        <w:rPr>
          <w:rFonts w:ascii="Times New Roman" w:eastAsia="標楷體" w:hAnsi="Times New Roman" w:cs="Times New Roman"/>
          <w:sz w:val="24"/>
          <w:szCs w:val="24"/>
          <w:lang w:eastAsia="zh-HK"/>
        </w:rPr>
        <w:t xml:space="preserve"> log real GDP; the seasonally adjusted unemployment rate; the log import-weighted effective exchange rate index for the Hong Kong dollar; the US federal funds rate; the log World Bank “Pink Sheet” commodity price index for agriculture</w:t>
      </w:r>
      <w:r w:rsidRPr="00921C6D">
        <w:rPr>
          <w:rFonts w:ascii="Times New Roman" w:eastAsia="標楷體" w:hAnsi="Times New Roman" w:cs="Times New Roman"/>
          <w:sz w:val="24"/>
          <w:szCs w:val="24"/>
          <w:vertAlign w:val="superscript"/>
          <w:lang w:eastAsia="zh-HK"/>
        </w:rPr>
        <w:footnoteReference w:id="23"/>
      </w:r>
      <w:r w:rsidR="00937EE9">
        <w:rPr>
          <w:rFonts w:ascii="Times New Roman" w:eastAsia="標楷體" w:hAnsi="Times New Roman" w:cs="Times New Roman"/>
          <w:sz w:val="24"/>
          <w:szCs w:val="24"/>
          <w:lang w:eastAsia="zh-HK"/>
        </w:rPr>
        <w:t xml:space="preserve">; and the log ratio of domestic households (from C&amp;SD) to domestic living quarters (from RVD, the Hong Kong Housing Authority, and the Hong </w:t>
      </w:r>
      <w:r w:rsidR="00256291">
        <w:rPr>
          <w:rFonts w:ascii="Times New Roman" w:eastAsia="標楷體" w:hAnsi="Times New Roman" w:cs="Times New Roman"/>
          <w:sz w:val="24"/>
          <w:szCs w:val="24"/>
          <w:lang w:eastAsia="zh-HK"/>
        </w:rPr>
        <w:t>K</w:t>
      </w:r>
      <w:r w:rsidR="00937EE9">
        <w:rPr>
          <w:rFonts w:ascii="Times New Roman" w:eastAsia="標楷體" w:hAnsi="Times New Roman" w:cs="Times New Roman"/>
          <w:sz w:val="24"/>
          <w:szCs w:val="24"/>
          <w:lang w:eastAsia="zh-HK"/>
        </w:rPr>
        <w:t>ong Housing Society, interpolated as needed).</w:t>
      </w:r>
    </w:p>
    <w:p w14:paraId="52746491" w14:textId="2914221C" w:rsidR="001F0F89" w:rsidRPr="001F0F89" w:rsidRDefault="001F0F89" w:rsidP="00937EE9">
      <w:pPr>
        <w:jc w:val="center"/>
        <w:rPr>
          <w:rFonts w:ascii="Times New Roman" w:hAnsi="Times New Roman" w:cs="Times New Roman"/>
          <w:b/>
          <w:sz w:val="24"/>
          <w:szCs w:val="26"/>
        </w:rPr>
      </w:pPr>
      <w:r w:rsidRPr="001F0F89">
        <w:rPr>
          <w:rFonts w:ascii="Times New Roman" w:hAnsi="Times New Roman" w:cs="Times New Roman"/>
          <w:b/>
          <w:sz w:val="24"/>
          <w:szCs w:val="26"/>
        </w:rPr>
        <w:lastRenderedPageBreak/>
        <w:t>Table 2: Johansen Cointegration Tests*</w:t>
      </w:r>
    </w:p>
    <w:tbl>
      <w:tblPr>
        <w:tblStyle w:val="TableGrid"/>
        <w:tblW w:w="5000" w:type="pct"/>
        <w:tblLook w:val="04A0" w:firstRow="1" w:lastRow="0" w:firstColumn="1" w:lastColumn="0" w:noHBand="0" w:noVBand="1"/>
      </w:tblPr>
      <w:tblGrid>
        <w:gridCol w:w="3292"/>
        <w:gridCol w:w="2500"/>
        <w:gridCol w:w="2504"/>
      </w:tblGrid>
      <w:tr w:rsidR="00FC5171" w:rsidRPr="00D71305" w14:paraId="491832ED" w14:textId="77777777" w:rsidTr="00FC5171">
        <w:trPr>
          <w:trHeight w:val="690"/>
        </w:trPr>
        <w:tc>
          <w:tcPr>
            <w:tcW w:w="1984" w:type="pct"/>
            <w:tcBorders>
              <w:bottom w:val="single" w:sz="8" w:space="0" w:color="auto"/>
            </w:tcBorders>
            <w:shd w:val="clear" w:color="auto" w:fill="F2F2F2" w:themeFill="background1" w:themeFillShade="F2"/>
            <w:vAlign w:val="center"/>
          </w:tcPr>
          <w:p w14:paraId="53371614" w14:textId="54179992" w:rsidR="00FC5171" w:rsidRPr="00D71305" w:rsidRDefault="00FC5171" w:rsidP="00921C6D">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Hypothesis</w:t>
            </w:r>
          </w:p>
        </w:tc>
        <w:tc>
          <w:tcPr>
            <w:tcW w:w="1507" w:type="pct"/>
            <w:tcBorders>
              <w:bottom w:val="single" w:sz="8" w:space="0" w:color="auto"/>
            </w:tcBorders>
            <w:shd w:val="clear" w:color="auto" w:fill="F2F2F2" w:themeFill="background1" w:themeFillShade="F2"/>
            <w:vAlign w:val="center"/>
          </w:tcPr>
          <w:p w14:paraId="0356E14D" w14:textId="77777777" w:rsidR="00FC5171" w:rsidRPr="00D71305" w:rsidRDefault="00FC5171" w:rsidP="001B7D78">
            <w:pPr>
              <w:pStyle w:val="ListParagraph"/>
              <w:overflowPunct w:val="0"/>
              <w:snapToGrid w:val="0"/>
              <w:spacing w:line="300" w:lineRule="auto"/>
              <w:ind w:left="0"/>
              <w:jc w:val="center"/>
              <w:rPr>
                <w:rFonts w:ascii="Symbol" w:eastAsia="標楷體" w:hAnsi="Symbol" w:cs="Times New Roman"/>
                <w:sz w:val="24"/>
                <w:szCs w:val="24"/>
                <w:vertAlign w:val="subscript"/>
                <w:lang w:eastAsia="zh-HK"/>
              </w:rPr>
            </w:pPr>
            <w:r w:rsidRPr="00D71305">
              <w:rPr>
                <w:rFonts w:ascii="Times New Roman" w:eastAsia="標楷體" w:hAnsi="Times New Roman" w:cs="Times New Roman"/>
                <w:sz w:val="24"/>
                <w:szCs w:val="24"/>
                <w:lang w:eastAsia="zh-HK"/>
              </w:rPr>
              <w:t>Trace Statistic</w:t>
            </w:r>
          </w:p>
        </w:tc>
        <w:tc>
          <w:tcPr>
            <w:tcW w:w="1509" w:type="pct"/>
            <w:tcBorders>
              <w:bottom w:val="single" w:sz="8" w:space="0" w:color="auto"/>
            </w:tcBorders>
            <w:shd w:val="clear" w:color="auto" w:fill="F2F2F2" w:themeFill="background1" w:themeFillShade="F2"/>
            <w:vAlign w:val="center"/>
          </w:tcPr>
          <w:p w14:paraId="370DE6E5" w14:textId="77777777" w:rsidR="00FC5171" w:rsidRPr="00D71305" w:rsidRDefault="00FC5171" w:rsidP="001B7D78">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sidRPr="00D71305">
              <w:rPr>
                <w:rFonts w:ascii="Times New Roman" w:eastAsia="標楷體" w:hAnsi="Times New Roman" w:cs="Times New Roman"/>
                <w:sz w:val="24"/>
                <w:szCs w:val="24"/>
                <w:lang w:eastAsia="zh-HK"/>
              </w:rPr>
              <w:t>5% Critical Value</w:t>
            </w:r>
          </w:p>
        </w:tc>
      </w:tr>
      <w:tr w:rsidR="00107897" w:rsidRPr="00D71305" w14:paraId="01BF6EC0" w14:textId="77777777" w:rsidTr="00107897">
        <w:trPr>
          <w:trHeight w:val="504"/>
        </w:trPr>
        <w:tc>
          <w:tcPr>
            <w:tcW w:w="1984" w:type="pct"/>
            <w:tcBorders>
              <w:top w:val="single" w:sz="8" w:space="0" w:color="auto"/>
            </w:tcBorders>
            <w:vAlign w:val="center"/>
          </w:tcPr>
          <w:p w14:paraId="40667847" w14:textId="78AD3FFA" w:rsidR="00107897" w:rsidRPr="00D71305" w:rsidRDefault="00107897" w:rsidP="00107897">
            <w:pPr>
              <w:pStyle w:val="ListParagraph"/>
              <w:overflowPunct w:val="0"/>
              <w:snapToGrid w:val="0"/>
              <w:spacing w:line="300" w:lineRule="auto"/>
              <w:ind w:left="0"/>
              <w:rPr>
                <w:rFonts w:ascii="Times New Roman" w:eastAsia="標楷體" w:hAnsi="Times New Roman" w:cs="Times New Roman"/>
                <w:sz w:val="24"/>
                <w:szCs w:val="24"/>
                <w:lang w:eastAsia="zh-HK"/>
              </w:rPr>
            </w:pPr>
            <w:r w:rsidRPr="00D71305">
              <w:rPr>
                <w:rFonts w:ascii="Times New Roman" w:eastAsia="標楷體" w:hAnsi="Times New Roman" w:cs="Times New Roman"/>
                <w:sz w:val="24"/>
                <w:szCs w:val="24"/>
                <w:lang w:eastAsia="zh-HK"/>
              </w:rPr>
              <w:t>H</w:t>
            </w:r>
            <w:r w:rsidRPr="00D71305">
              <w:rPr>
                <w:rFonts w:ascii="Times New Roman" w:eastAsia="標楷體" w:hAnsi="Times New Roman" w:cs="Times New Roman"/>
                <w:sz w:val="24"/>
                <w:szCs w:val="24"/>
                <w:vertAlign w:val="subscript"/>
                <w:lang w:eastAsia="zh-HK"/>
              </w:rPr>
              <w:t>0</w:t>
            </w:r>
            <w:r w:rsidRPr="00D71305">
              <w:rPr>
                <w:rFonts w:ascii="Times New Roman" w:eastAsia="標楷體" w:hAnsi="Times New Roman" w:cs="Times New Roman"/>
                <w:sz w:val="24"/>
                <w:szCs w:val="24"/>
                <w:lang w:eastAsia="zh-HK"/>
              </w:rPr>
              <w:t xml:space="preserve">: </w:t>
            </w:r>
            <w:r w:rsidRPr="00D71305">
              <w:rPr>
                <w:rFonts w:ascii="Times New Roman" w:eastAsia="標楷體" w:hAnsi="Times New Roman" w:cs="Times New Roman"/>
                <w:i/>
                <w:sz w:val="24"/>
                <w:szCs w:val="24"/>
                <w:lang w:eastAsia="zh-HK"/>
              </w:rPr>
              <w:t>r</w:t>
            </w:r>
            <w:r w:rsidRPr="00D71305">
              <w:rPr>
                <w:rFonts w:ascii="Times New Roman" w:eastAsia="標楷體" w:hAnsi="Times New Roman" w:cs="Times New Roman"/>
                <w:sz w:val="24"/>
                <w:szCs w:val="24"/>
                <w:lang w:eastAsia="zh-HK"/>
              </w:rPr>
              <w:t xml:space="preserve"> </w:t>
            </w:r>
            <w:r>
              <w:rPr>
                <w:rFonts w:ascii="Times New Roman" w:eastAsia="標楷體" w:hAnsi="Times New Roman" w:cs="Times New Roman"/>
                <w:sz w:val="24"/>
                <w:szCs w:val="24"/>
                <w:lang w:eastAsia="zh-HK"/>
              </w:rPr>
              <w:t>=</w:t>
            </w:r>
            <w:r w:rsidRPr="00D71305">
              <w:rPr>
                <w:rFonts w:ascii="Times New Roman" w:eastAsia="標楷體" w:hAnsi="Times New Roman" w:cs="Times New Roman"/>
                <w:sz w:val="24"/>
                <w:szCs w:val="24"/>
                <w:lang w:eastAsia="zh-HK"/>
              </w:rPr>
              <w:t xml:space="preserve"> 0</w:t>
            </w:r>
          </w:p>
        </w:tc>
        <w:tc>
          <w:tcPr>
            <w:tcW w:w="1507" w:type="pct"/>
            <w:tcBorders>
              <w:top w:val="single" w:sz="8" w:space="0" w:color="auto"/>
            </w:tcBorders>
            <w:vAlign w:val="center"/>
          </w:tcPr>
          <w:p w14:paraId="36210EE4" w14:textId="10FB4AF5" w:rsidR="00107897" w:rsidRPr="00107897" w:rsidRDefault="00107897" w:rsidP="0010789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sidRPr="00107897">
              <w:rPr>
                <w:rFonts w:ascii="Times New Roman" w:hAnsi="Times New Roman" w:cs="Times New Roman"/>
                <w:sz w:val="24"/>
              </w:rPr>
              <w:t>443.33</w:t>
            </w:r>
            <w:r>
              <w:rPr>
                <w:rFonts w:ascii="Times New Roman" w:hAnsi="Times New Roman" w:cs="Times New Roman"/>
                <w:sz w:val="24"/>
              </w:rPr>
              <w:t>**</w:t>
            </w:r>
          </w:p>
        </w:tc>
        <w:tc>
          <w:tcPr>
            <w:tcW w:w="1509" w:type="pct"/>
            <w:tcBorders>
              <w:top w:val="single" w:sz="8" w:space="0" w:color="auto"/>
            </w:tcBorders>
            <w:vAlign w:val="center"/>
          </w:tcPr>
          <w:p w14:paraId="2D45052A" w14:textId="419B155F" w:rsidR="00107897" w:rsidRPr="00107897" w:rsidRDefault="00107897" w:rsidP="0010789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sidRPr="00107897">
              <w:rPr>
                <w:rFonts w:ascii="Times New Roman" w:hAnsi="Times New Roman" w:cs="Times New Roman"/>
                <w:sz w:val="24"/>
              </w:rPr>
              <w:t>208.97</w:t>
            </w:r>
          </w:p>
        </w:tc>
      </w:tr>
      <w:tr w:rsidR="00107897" w:rsidRPr="00D71305" w14:paraId="11F0CF92" w14:textId="77777777" w:rsidTr="00107897">
        <w:trPr>
          <w:trHeight w:val="504"/>
        </w:trPr>
        <w:tc>
          <w:tcPr>
            <w:tcW w:w="1984" w:type="pct"/>
            <w:vAlign w:val="center"/>
          </w:tcPr>
          <w:p w14:paraId="28086E68" w14:textId="44BA9961" w:rsidR="00107897" w:rsidRPr="00D71305" w:rsidRDefault="00107897" w:rsidP="00107897">
            <w:pPr>
              <w:pStyle w:val="ListParagraph"/>
              <w:overflowPunct w:val="0"/>
              <w:snapToGrid w:val="0"/>
              <w:spacing w:line="300" w:lineRule="auto"/>
              <w:ind w:left="0"/>
              <w:rPr>
                <w:rFonts w:ascii="Times New Roman" w:eastAsia="標楷體" w:hAnsi="Times New Roman" w:cs="Times New Roman"/>
                <w:sz w:val="24"/>
                <w:szCs w:val="24"/>
                <w:lang w:eastAsia="zh-HK"/>
              </w:rPr>
            </w:pPr>
            <w:r w:rsidRPr="00D71305">
              <w:rPr>
                <w:rFonts w:ascii="Times New Roman" w:eastAsia="標楷體" w:hAnsi="Times New Roman" w:cs="Times New Roman"/>
                <w:sz w:val="24"/>
                <w:szCs w:val="24"/>
                <w:lang w:eastAsia="zh-HK"/>
              </w:rPr>
              <w:t>H</w:t>
            </w:r>
            <w:r w:rsidRPr="00D71305">
              <w:rPr>
                <w:rFonts w:ascii="Times New Roman" w:eastAsia="標楷體" w:hAnsi="Times New Roman" w:cs="Times New Roman"/>
                <w:sz w:val="24"/>
                <w:szCs w:val="24"/>
                <w:vertAlign w:val="subscript"/>
                <w:lang w:eastAsia="zh-HK"/>
              </w:rPr>
              <w:t>0</w:t>
            </w:r>
            <w:r w:rsidRPr="00D71305">
              <w:rPr>
                <w:rFonts w:ascii="Times New Roman" w:eastAsia="標楷體" w:hAnsi="Times New Roman" w:cs="Times New Roman"/>
                <w:sz w:val="24"/>
                <w:szCs w:val="24"/>
                <w:lang w:eastAsia="zh-HK"/>
              </w:rPr>
              <w:t xml:space="preserve">: </w:t>
            </w:r>
            <w:r w:rsidRPr="00D71305">
              <w:rPr>
                <w:rFonts w:ascii="Times New Roman" w:eastAsia="標楷體" w:hAnsi="Times New Roman" w:cs="Times New Roman"/>
                <w:i/>
                <w:sz w:val="24"/>
                <w:szCs w:val="24"/>
                <w:lang w:eastAsia="zh-HK"/>
              </w:rPr>
              <w:t>r</w:t>
            </w:r>
            <w:r w:rsidRPr="00D71305">
              <w:rPr>
                <w:rFonts w:ascii="Times New Roman" w:eastAsia="標楷體" w:hAnsi="Times New Roman" w:cs="Times New Roman"/>
                <w:sz w:val="24"/>
                <w:szCs w:val="24"/>
                <w:lang w:eastAsia="zh-HK"/>
              </w:rPr>
              <w:t xml:space="preserve"> </w:t>
            </w:r>
            <w:r>
              <w:rPr>
                <w:rFonts w:ascii="Times New Roman" w:eastAsia="標楷體" w:hAnsi="Times New Roman" w:cs="Times New Roman"/>
                <w:sz w:val="24"/>
                <w:szCs w:val="24"/>
                <w:lang w:eastAsia="zh-HK"/>
              </w:rPr>
              <w:t>≤</w:t>
            </w:r>
            <w:r w:rsidRPr="00D71305">
              <w:rPr>
                <w:rFonts w:ascii="Times New Roman" w:eastAsia="標楷體" w:hAnsi="Times New Roman" w:cs="Times New Roman"/>
                <w:sz w:val="24"/>
                <w:szCs w:val="24"/>
                <w:lang w:eastAsia="zh-HK"/>
              </w:rPr>
              <w:t xml:space="preserve"> </w:t>
            </w:r>
            <w:r>
              <w:rPr>
                <w:rFonts w:ascii="Times New Roman" w:eastAsia="標楷體" w:hAnsi="Times New Roman" w:cs="Times New Roman"/>
                <w:sz w:val="24"/>
                <w:szCs w:val="24"/>
                <w:lang w:eastAsia="zh-HK"/>
              </w:rPr>
              <w:t>1</w:t>
            </w:r>
          </w:p>
        </w:tc>
        <w:tc>
          <w:tcPr>
            <w:tcW w:w="1507" w:type="pct"/>
            <w:vAlign w:val="center"/>
          </w:tcPr>
          <w:p w14:paraId="668042A9" w14:textId="3326B0A0" w:rsidR="00107897" w:rsidRPr="00107897" w:rsidRDefault="00107897" w:rsidP="0010789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sidRPr="00107897">
              <w:rPr>
                <w:rFonts w:ascii="Times New Roman" w:hAnsi="Times New Roman" w:cs="Times New Roman"/>
                <w:sz w:val="24"/>
              </w:rPr>
              <w:t>294.02</w:t>
            </w:r>
            <w:r>
              <w:rPr>
                <w:rFonts w:ascii="Times New Roman" w:hAnsi="Times New Roman" w:cs="Times New Roman"/>
                <w:sz w:val="24"/>
              </w:rPr>
              <w:t>**</w:t>
            </w:r>
          </w:p>
        </w:tc>
        <w:tc>
          <w:tcPr>
            <w:tcW w:w="1509" w:type="pct"/>
            <w:vAlign w:val="center"/>
          </w:tcPr>
          <w:p w14:paraId="618A4BC2" w14:textId="758FC67C" w:rsidR="00107897" w:rsidRPr="00107897" w:rsidRDefault="00107897" w:rsidP="0010789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sidRPr="00107897">
              <w:rPr>
                <w:rFonts w:ascii="Times New Roman" w:hAnsi="Times New Roman" w:cs="Times New Roman"/>
                <w:sz w:val="24"/>
              </w:rPr>
              <w:t>170.8</w:t>
            </w:r>
          </w:p>
        </w:tc>
      </w:tr>
      <w:tr w:rsidR="00107897" w:rsidRPr="00D71305" w14:paraId="63B171A2" w14:textId="77777777" w:rsidTr="00107897">
        <w:trPr>
          <w:trHeight w:val="504"/>
        </w:trPr>
        <w:tc>
          <w:tcPr>
            <w:tcW w:w="1984" w:type="pct"/>
            <w:vAlign w:val="center"/>
          </w:tcPr>
          <w:p w14:paraId="5E57C32B" w14:textId="6AD275B8" w:rsidR="00107897" w:rsidRPr="00D71305" w:rsidRDefault="00107897" w:rsidP="00107897">
            <w:pPr>
              <w:pStyle w:val="ListParagraph"/>
              <w:overflowPunct w:val="0"/>
              <w:snapToGrid w:val="0"/>
              <w:spacing w:line="300" w:lineRule="auto"/>
              <w:ind w:left="0"/>
              <w:rPr>
                <w:rFonts w:ascii="Times New Roman" w:eastAsia="標楷體" w:hAnsi="Times New Roman" w:cs="Times New Roman"/>
                <w:sz w:val="24"/>
                <w:szCs w:val="24"/>
                <w:lang w:eastAsia="zh-HK"/>
              </w:rPr>
            </w:pPr>
            <w:r w:rsidRPr="00D71305">
              <w:rPr>
                <w:rFonts w:ascii="Times New Roman" w:eastAsia="標楷體" w:hAnsi="Times New Roman" w:cs="Times New Roman"/>
                <w:sz w:val="24"/>
                <w:szCs w:val="24"/>
                <w:lang w:eastAsia="zh-HK"/>
              </w:rPr>
              <w:t>H</w:t>
            </w:r>
            <w:r w:rsidRPr="00D71305">
              <w:rPr>
                <w:rFonts w:ascii="Times New Roman" w:eastAsia="標楷體" w:hAnsi="Times New Roman" w:cs="Times New Roman"/>
                <w:sz w:val="24"/>
                <w:szCs w:val="24"/>
                <w:vertAlign w:val="subscript"/>
                <w:lang w:eastAsia="zh-HK"/>
              </w:rPr>
              <w:t>0</w:t>
            </w:r>
            <w:r w:rsidRPr="00D71305">
              <w:rPr>
                <w:rFonts w:ascii="Times New Roman" w:eastAsia="標楷體" w:hAnsi="Times New Roman" w:cs="Times New Roman"/>
                <w:sz w:val="24"/>
                <w:szCs w:val="24"/>
                <w:lang w:eastAsia="zh-HK"/>
              </w:rPr>
              <w:t xml:space="preserve">: </w:t>
            </w:r>
            <w:r w:rsidRPr="00D71305">
              <w:rPr>
                <w:rFonts w:ascii="Times New Roman" w:eastAsia="標楷體" w:hAnsi="Times New Roman" w:cs="Times New Roman"/>
                <w:i/>
                <w:sz w:val="24"/>
                <w:szCs w:val="24"/>
                <w:lang w:eastAsia="zh-HK"/>
              </w:rPr>
              <w:t>r</w:t>
            </w:r>
            <w:r w:rsidRPr="00D71305">
              <w:rPr>
                <w:rFonts w:ascii="Times New Roman" w:eastAsia="標楷體" w:hAnsi="Times New Roman" w:cs="Times New Roman"/>
                <w:sz w:val="24"/>
                <w:szCs w:val="24"/>
                <w:lang w:eastAsia="zh-HK"/>
              </w:rPr>
              <w:t xml:space="preserve"> </w:t>
            </w:r>
            <w:r>
              <w:rPr>
                <w:rFonts w:ascii="Times New Roman" w:eastAsia="標楷體" w:hAnsi="Times New Roman" w:cs="Times New Roman"/>
                <w:sz w:val="24"/>
                <w:szCs w:val="24"/>
                <w:lang w:eastAsia="zh-HK"/>
              </w:rPr>
              <w:t>≤</w:t>
            </w:r>
            <w:r w:rsidRPr="00D71305">
              <w:rPr>
                <w:rFonts w:ascii="Times New Roman" w:eastAsia="標楷體" w:hAnsi="Times New Roman" w:cs="Times New Roman"/>
                <w:sz w:val="24"/>
                <w:szCs w:val="24"/>
                <w:lang w:eastAsia="zh-HK"/>
              </w:rPr>
              <w:t xml:space="preserve"> </w:t>
            </w:r>
            <w:r>
              <w:rPr>
                <w:rFonts w:ascii="Times New Roman" w:eastAsia="標楷體" w:hAnsi="Times New Roman" w:cs="Times New Roman"/>
                <w:sz w:val="24"/>
                <w:szCs w:val="24"/>
                <w:lang w:eastAsia="zh-HK"/>
              </w:rPr>
              <w:t>2</w:t>
            </w:r>
          </w:p>
        </w:tc>
        <w:tc>
          <w:tcPr>
            <w:tcW w:w="1507" w:type="pct"/>
            <w:vAlign w:val="center"/>
          </w:tcPr>
          <w:p w14:paraId="67E72C20" w14:textId="2E9934BB" w:rsidR="00107897" w:rsidRPr="00107897" w:rsidRDefault="00107897" w:rsidP="0010789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sidRPr="00107897">
              <w:rPr>
                <w:rFonts w:ascii="Times New Roman" w:hAnsi="Times New Roman" w:cs="Times New Roman"/>
                <w:sz w:val="24"/>
              </w:rPr>
              <w:t>200.03</w:t>
            </w:r>
            <w:r>
              <w:rPr>
                <w:rFonts w:ascii="Times New Roman" w:hAnsi="Times New Roman" w:cs="Times New Roman"/>
                <w:sz w:val="24"/>
              </w:rPr>
              <w:t>**</w:t>
            </w:r>
          </w:p>
        </w:tc>
        <w:tc>
          <w:tcPr>
            <w:tcW w:w="1509" w:type="pct"/>
            <w:vAlign w:val="center"/>
          </w:tcPr>
          <w:p w14:paraId="2A94A9DC" w14:textId="27BE6F3F" w:rsidR="00107897" w:rsidRPr="00107897" w:rsidRDefault="00107897" w:rsidP="0010789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sidRPr="00107897">
              <w:rPr>
                <w:rFonts w:ascii="Times New Roman" w:hAnsi="Times New Roman" w:cs="Times New Roman"/>
                <w:sz w:val="24"/>
              </w:rPr>
              <w:t>136.61</w:t>
            </w:r>
          </w:p>
        </w:tc>
      </w:tr>
      <w:tr w:rsidR="00107897" w:rsidRPr="00D71305" w14:paraId="71164906" w14:textId="77777777" w:rsidTr="00107897">
        <w:trPr>
          <w:trHeight w:val="504"/>
        </w:trPr>
        <w:tc>
          <w:tcPr>
            <w:tcW w:w="1984" w:type="pct"/>
            <w:vAlign w:val="center"/>
          </w:tcPr>
          <w:p w14:paraId="29613B2E" w14:textId="74C88B26" w:rsidR="00107897" w:rsidRPr="00D71305" w:rsidRDefault="00107897" w:rsidP="00107897">
            <w:pPr>
              <w:pStyle w:val="ListParagraph"/>
              <w:overflowPunct w:val="0"/>
              <w:snapToGrid w:val="0"/>
              <w:spacing w:line="300" w:lineRule="auto"/>
              <w:ind w:left="0"/>
              <w:rPr>
                <w:rFonts w:ascii="Times New Roman" w:eastAsia="標楷體" w:hAnsi="Times New Roman" w:cs="Times New Roman"/>
                <w:sz w:val="24"/>
                <w:szCs w:val="24"/>
                <w:lang w:eastAsia="zh-HK"/>
              </w:rPr>
            </w:pPr>
            <w:r w:rsidRPr="00D71305">
              <w:rPr>
                <w:rFonts w:ascii="Times New Roman" w:eastAsia="標楷體" w:hAnsi="Times New Roman" w:cs="Times New Roman"/>
                <w:sz w:val="24"/>
                <w:szCs w:val="24"/>
                <w:lang w:eastAsia="zh-HK"/>
              </w:rPr>
              <w:t>H</w:t>
            </w:r>
            <w:r w:rsidRPr="00D71305">
              <w:rPr>
                <w:rFonts w:ascii="Times New Roman" w:eastAsia="標楷體" w:hAnsi="Times New Roman" w:cs="Times New Roman"/>
                <w:sz w:val="24"/>
                <w:szCs w:val="24"/>
                <w:vertAlign w:val="subscript"/>
                <w:lang w:eastAsia="zh-HK"/>
              </w:rPr>
              <w:t>0</w:t>
            </w:r>
            <w:r w:rsidRPr="00D71305">
              <w:rPr>
                <w:rFonts w:ascii="Times New Roman" w:eastAsia="標楷體" w:hAnsi="Times New Roman" w:cs="Times New Roman"/>
                <w:sz w:val="24"/>
                <w:szCs w:val="24"/>
                <w:lang w:eastAsia="zh-HK"/>
              </w:rPr>
              <w:t xml:space="preserve">: </w:t>
            </w:r>
            <w:r w:rsidRPr="00D71305">
              <w:rPr>
                <w:rFonts w:ascii="Times New Roman" w:eastAsia="標楷體" w:hAnsi="Times New Roman" w:cs="Times New Roman"/>
                <w:i/>
                <w:sz w:val="24"/>
                <w:szCs w:val="24"/>
                <w:lang w:eastAsia="zh-HK"/>
              </w:rPr>
              <w:t>r</w:t>
            </w:r>
            <w:r w:rsidRPr="00D71305">
              <w:rPr>
                <w:rFonts w:ascii="Times New Roman" w:eastAsia="標楷體" w:hAnsi="Times New Roman" w:cs="Times New Roman"/>
                <w:sz w:val="24"/>
                <w:szCs w:val="24"/>
                <w:lang w:eastAsia="zh-HK"/>
              </w:rPr>
              <w:t xml:space="preserve"> </w:t>
            </w:r>
            <w:r>
              <w:rPr>
                <w:rFonts w:ascii="Times New Roman" w:eastAsia="標楷體" w:hAnsi="Times New Roman" w:cs="Times New Roman"/>
                <w:sz w:val="24"/>
                <w:szCs w:val="24"/>
                <w:lang w:eastAsia="zh-HK"/>
              </w:rPr>
              <w:t>≤</w:t>
            </w:r>
            <w:r w:rsidRPr="00D71305">
              <w:rPr>
                <w:rFonts w:ascii="Times New Roman" w:eastAsia="標楷體" w:hAnsi="Times New Roman" w:cs="Times New Roman"/>
                <w:sz w:val="24"/>
                <w:szCs w:val="24"/>
                <w:lang w:eastAsia="zh-HK"/>
              </w:rPr>
              <w:t xml:space="preserve"> </w:t>
            </w:r>
            <w:r>
              <w:rPr>
                <w:rFonts w:ascii="Times New Roman" w:eastAsia="標楷體" w:hAnsi="Times New Roman" w:cs="Times New Roman"/>
                <w:sz w:val="24"/>
                <w:szCs w:val="24"/>
                <w:lang w:eastAsia="zh-HK"/>
              </w:rPr>
              <w:t>3</w:t>
            </w:r>
          </w:p>
        </w:tc>
        <w:tc>
          <w:tcPr>
            <w:tcW w:w="1507" w:type="pct"/>
            <w:vAlign w:val="center"/>
          </w:tcPr>
          <w:p w14:paraId="122819B2" w14:textId="67206193" w:rsidR="00107897" w:rsidRPr="00107897" w:rsidRDefault="00107897" w:rsidP="0010789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sidRPr="00107897">
              <w:rPr>
                <w:rFonts w:ascii="Times New Roman" w:hAnsi="Times New Roman" w:cs="Times New Roman"/>
                <w:sz w:val="24"/>
              </w:rPr>
              <w:t>114.04</w:t>
            </w:r>
            <w:r>
              <w:rPr>
                <w:rFonts w:ascii="Times New Roman" w:hAnsi="Times New Roman" w:cs="Times New Roman"/>
                <w:sz w:val="24"/>
              </w:rPr>
              <w:t>**</w:t>
            </w:r>
          </w:p>
        </w:tc>
        <w:tc>
          <w:tcPr>
            <w:tcW w:w="1509" w:type="pct"/>
            <w:vAlign w:val="center"/>
          </w:tcPr>
          <w:p w14:paraId="276E8E2B" w14:textId="4FBE8274" w:rsidR="00107897" w:rsidRPr="00107897" w:rsidRDefault="00107897" w:rsidP="00107897">
            <w:pPr>
              <w:pStyle w:val="ListParagraph"/>
              <w:overflowPunct w:val="0"/>
              <w:snapToGrid w:val="0"/>
              <w:spacing w:line="300" w:lineRule="auto"/>
              <w:ind w:left="0"/>
              <w:jc w:val="center"/>
              <w:rPr>
                <w:rFonts w:ascii="Times New Roman" w:eastAsia="標楷體" w:hAnsi="Times New Roman" w:cs="Times New Roman"/>
                <w:sz w:val="24"/>
                <w:szCs w:val="24"/>
                <w:lang w:eastAsia="zh-HK"/>
              </w:rPr>
            </w:pPr>
            <w:r w:rsidRPr="00107897">
              <w:rPr>
                <w:rFonts w:ascii="Times New Roman" w:hAnsi="Times New Roman" w:cs="Times New Roman"/>
                <w:sz w:val="24"/>
              </w:rPr>
              <w:t>104.94</w:t>
            </w:r>
          </w:p>
        </w:tc>
      </w:tr>
      <w:tr w:rsidR="00107897" w:rsidRPr="00D71305" w14:paraId="0F5756C8" w14:textId="77777777" w:rsidTr="00107897">
        <w:trPr>
          <w:trHeight w:val="504"/>
        </w:trPr>
        <w:tc>
          <w:tcPr>
            <w:tcW w:w="1984" w:type="pct"/>
            <w:vAlign w:val="center"/>
          </w:tcPr>
          <w:p w14:paraId="5C13C599" w14:textId="33A9EADF" w:rsidR="00107897" w:rsidRPr="00D71305" w:rsidRDefault="00107897" w:rsidP="00107897">
            <w:pPr>
              <w:pStyle w:val="ListParagraph"/>
              <w:overflowPunct w:val="0"/>
              <w:snapToGrid w:val="0"/>
              <w:spacing w:line="300" w:lineRule="auto"/>
              <w:ind w:left="0"/>
              <w:rPr>
                <w:rFonts w:ascii="Times New Roman" w:eastAsia="標楷體" w:hAnsi="Times New Roman" w:cs="Times New Roman"/>
                <w:sz w:val="24"/>
                <w:szCs w:val="24"/>
                <w:lang w:eastAsia="zh-HK"/>
              </w:rPr>
            </w:pPr>
            <w:r w:rsidRPr="00D71305">
              <w:rPr>
                <w:rFonts w:ascii="Times New Roman" w:eastAsia="標楷體" w:hAnsi="Times New Roman" w:cs="Times New Roman"/>
                <w:sz w:val="24"/>
                <w:szCs w:val="24"/>
                <w:lang w:eastAsia="zh-HK"/>
              </w:rPr>
              <w:t>H</w:t>
            </w:r>
            <w:r w:rsidRPr="00D71305">
              <w:rPr>
                <w:rFonts w:ascii="Times New Roman" w:eastAsia="標楷體" w:hAnsi="Times New Roman" w:cs="Times New Roman"/>
                <w:sz w:val="24"/>
                <w:szCs w:val="24"/>
                <w:vertAlign w:val="subscript"/>
                <w:lang w:eastAsia="zh-HK"/>
              </w:rPr>
              <w:t>0</w:t>
            </w:r>
            <w:r w:rsidRPr="00D71305">
              <w:rPr>
                <w:rFonts w:ascii="Times New Roman" w:eastAsia="標楷體" w:hAnsi="Times New Roman" w:cs="Times New Roman"/>
                <w:sz w:val="24"/>
                <w:szCs w:val="24"/>
                <w:lang w:eastAsia="zh-HK"/>
              </w:rPr>
              <w:t xml:space="preserve">: </w:t>
            </w:r>
            <w:r w:rsidRPr="00D71305">
              <w:rPr>
                <w:rFonts w:ascii="Times New Roman" w:eastAsia="標楷體" w:hAnsi="Times New Roman" w:cs="Times New Roman"/>
                <w:i/>
                <w:sz w:val="24"/>
                <w:szCs w:val="24"/>
                <w:lang w:eastAsia="zh-HK"/>
              </w:rPr>
              <w:t>r</w:t>
            </w:r>
            <w:r w:rsidRPr="00D71305">
              <w:rPr>
                <w:rFonts w:ascii="Times New Roman" w:eastAsia="標楷體" w:hAnsi="Times New Roman" w:cs="Times New Roman"/>
                <w:sz w:val="24"/>
                <w:szCs w:val="24"/>
                <w:lang w:eastAsia="zh-HK"/>
              </w:rPr>
              <w:t xml:space="preserve"> </w:t>
            </w:r>
            <w:r>
              <w:rPr>
                <w:rFonts w:ascii="Times New Roman" w:eastAsia="標楷體" w:hAnsi="Times New Roman" w:cs="Times New Roman"/>
                <w:sz w:val="24"/>
                <w:szCs w:val="24"/>
                <w:lang w:eastAsia="zh-HK"/>
              </w:rPr>
              <w:t>≤</w:t>
            </w:r>
            <w:r w:rsidRPr="00D71305">
              <w:rPr>
                <w:rFonts w:ascii="Times New Roman" w:eastAsia="標楷體" w:hAnsi="Times New Roman" w:cs="Times New Roman"/>
                <w:sz w:val="24"/>
                <w:szCs w:val="24"/>
                <w:lang w:eastAsia="zh-HK"/>
              </w:rPr>
              <w:t xml:space="preserve"> </w:t>
            </w:r>
            <w:r>
              <w:rPr>
                <w:rFonts w:ascii="Times New Roman" w:eastAsia="標楷體" w:hAnsi="Times New Roman" w:cs="Times New Roman"/>
                <w:sz w:val="24"/>
                <w:szCs w:val="24"/>
                <w:lang w:eastAsia="zh-HK"/>
              </w:rPr>
              <w:t>4</w:t>
            </w:r>
          </w:p>
        </w:tc>
        <w:tc>
          <w:tcPr>
            <w:tcW w:w="1507" w:type="pct"/>
            <w:vAlign w:val="center"/>
          </w:tcPr>
          <w:p w14:paraId="7D9052F3" w14:textId="01719A37" w:rsidR="00107897" w:rsidRPr="00107897" w:rsidRDefault="00107897" w:rsidP="00107897">
            <w:pPr>
              <w:pStyle w:val="ListParagraph"/>
              <w:overflowPunct w:val="0"/>
              <w:snapToGrid w:val="0"/>
              <w:spacing w:line="300" w:lineRule="auto"/>
              <w:ind w:left="0"/>
              <w:jc w:val="center"/>
              <w:rPr>
                <w:rFonts w:ascii="Times New Roman" w:hAnsi="Times New Roman" w:cs="Times New Roman"/>
                <w:sz w:val="24"/>
                <w:szCs w:val="24"/>
              </w:rPr>
            </w:pPr>
            <w:r w:rsidRPr="00107897">
              <w:rPr>
                <w:rFonts w:ascii="Times New Roman" w:hAnsi="Times New Roman" w:cs="Times New Roman"/>
                <w:sz w:val="24"/>
              </w:rPr>
              <w:t>66.43</w:t>
            </w:r>
          </w:p>
        </w:tc>
        <w:tc>
          <w:tcPr>
            <w:tcW w:w="1509" w:type="pct"/>
            <w:vAlign w:val="center"/>
          </w:tcPr>
          <w:p w14:paraId="24CB2259" w14:textId="5A9F6951" w:rsidR="00107897" w:rsidRPr="00107897" w:rsidRDefault="00107897" w:rsidP="00107897">
            <w:pPr>
              <w:pStyle w:val="ListParagraph"/>
              <w:overflowPunct w:val="0"/>
              <w:snapToGrid w:val="0"/>
              <w:spacing w:line="300" w:lineRule="auto"/>
              <w:ind w:left="0"/>
              <w:jc w:val="center"/>
              <w:rPr>
                <w:rFonts w:ascii="Times New Roman" w:hAnsi="Times New Roman" w:cs="Times New Roman"/>
                <w:sz w:val="24"/>
                <w:szCs w:val="24"/>
              </w:rPr>
            </w:pPr>
            <w:r w:rsidRPr="00107897">
              <w:rPr>
                <w:rFonts w:ascii="Times New Roman" w:hAnsi="Times New Roman" w:cs="Times New Roman"/>
                <w:sz w:val="24"/>
              </w:rPr>
              <w:t>77.74</w:t>
            </w:r>
          </w:p>
        </w:tc>
      </w:tr>
    </w:tbl>
    <w:p w14:paraId="7EFC6A54" w14:textId="2D168355" w:rsidR="001F0F89" w:rsidRPr="001F0F89" w:rsidRDefault="001F0F89" w:rsidP="001F0F89">
      <w:pPr>
        <w:overflowPunct w:val="0"/>
        <w:snapToGrid w:val="0"/>
        <w:spacing w:before="20" w:after="0" w:line="240" w:lineRule="auto"/>
        <w:ind w:left="709" w:hanging="709"/>
        <w:jc w:val="both"/>
        <w:rPr>
          <w:rFonts w:ascii="Times New Roman" w:eastAsia="標楷體" w:hAnsi="Times New Roman" w:cs="Times New Roman"/>
          <w:sz w:val="16"/>
          <w:szCs w:val="18"/>
          <w:lang w:eastAsia="zh-HK"/>
        </w:rPr>
      </w:pPr>
      <w:r w:rsidRPr="001F0F89">
        <w:rPr>
          <w:rFonts w:ascii="Times New Roman" w:eastAsia="標楷體" w:hAnsi="Times New Roman" w:cs="Times New Roman"/>
          <w:sz w:val="16"/>
          <w:szCs w:val="18"/>
          <w:lang w:eastAsia="zh-HK"/>
        </w:rPr>
        <w:t>Notes (*</w:t>
      </w:r>
      <w:proofErr w:type="gramStart"/>
      <w:r w:rsidRPr="001F0F89">
        <w:rPr>
          <w:rFonts w:ascii="Times New Roman" w:eastAsia="標楷體" w:hAnsi="Times New Roman" w:cs="Times New Roman"/>
          <w:sz w:val="16"/>
          <w:szCs w:val="18"/>
          <w:lang w:eastAsia="zh-HK"/>
        </w:rPr>
        <w:t>) :</w:t>
      </w:r>
      <w:proofErr w:type="gramEnd"/>
      <w:r w:rsidRPr="001F0F89">
        <w:rPr>
          <w:rFonts w:ascii="Times New Roman" w:eastAsia="標楷體" w:hAnsi="Times New Roman" w:cs="Times New Roman"/>
          <w:sz w:val="16"/>
          <w:szCs w:val="18"/>
          <w:lang w:eastAsia="zh-HK"/>
        </w:rPr>
        <w:tab/>
        <w:t xml:space="preserve">Tests are of the null hypothesis that the cointegrating rank </w:t>
      </w:r>
      <w:r w:rsidRPr="001F0F89">
        <w:rPr>
          <w:rFonts w:ascii="Times New Roman" w:eastAsia="標楷體" w:hAnsi="Times New Roman" w:cs="Times New Roman"/>
          <w:i/>
          <w:sz w:val="16"/>
          <w:szCs w:val="18"/>
          <w:lang w:eastAsia="zh-HK"/>
        </w:rPr>
        <w:t>r</w:t>
      </w:r>
      <w:r w:rsidRPr="001F0F89">
        <w:rPr>
          <w:rFonts w:ascii="Times New Roman" w:eastAsia="標楷體" w:hAnsi="Times New Roman" w:cs="Times New Roman"/>
          <w:sz w:val="16"/>
          <w:szCs w:val="18"/>
          <w:lang w:eastAsia="zh-HK"/>
        </w:rPr>
        <w:t xml:space="preserve"> (number of linearly independent cointegrating vectors) of the system is </w:t>
      </w:r>
      <w:r w:rsidR="002202B8">
        <w:rPr>
          <w:rFonts w:ascii="Times New Roman" w:eastAsia="標楷體" w:hAnsi="Times New Roman" w:cs="Times New Roman"/>
          <w:sz w:val="16"/>
          <w:szCs w:val="18"/>
          <w:lang w:eastAsia="zh-HK"/>
        </w:rPr>
        <w:t xml:space="preserve">less than or </w:t>
      </w:r>
      <w:r w:rsidRPr="001F0F89">
        <w:rPr>
          <w:rFonts w:ascii="Times New Roman" w:eastAsia="標楷體" w:hAnsi="Times New Roman" w:cs="Times New Roman"/>
          <w:sz w:val="16"/>
          <w:szCs w:val="18"/>
          <w:lang w:eastAsia="zh-HK"/>
        </w:rPr>
        <w:t>equal to the number indicated.  The cointegrating regression includes a time trend.</w:t>
      </w:r>
    </w:p>
    <w:p w14:paraId="34882229" w14:textId="2C2E0E3E" w:rsidR="001F0F89" w:rsidRDefault="001F0F89" w:rsidP="001F0F89">
      <w:pPr>
        <w:overflowPunct w:val="0"/>
        <w:snapToGrid w:val="0"/>
        <w:spacing w:before="20" w:after="0" w:line="240" w:lineRule="auto"/>
        <w:ind w:left="709" w:hanging="709"/>
        <w:jc w:val="both"/>
        <w:rPr>
          <w:rFonts w:ascii="Times New Roman" w:eastAsia="標楷體" w:hAnsi="Times New Roman" w:cs="Times New Roman"/>
          <w:sz w:val="16"/>
          <w:szCs w:val="18"/>
          <w:lang w:eastAsia="zh-HK"/>
        </w:rPr>
      </w:pPr>
      <w:r>
        <w:rPr>
          <w:rFonts w:ascii="Times New Roman" w:eastAsia="標楷體" w:hAnsi="Times New Roman" w:cs="Times New Roman"/>
          <w:sz w:val="16"/>
          <w:szCs w:val="18"/>
          <w:lang w:eastAsia="zh-HK"/>
        </w:rPr>
        <w:t xml:space="preserve">        (**</w:t>
      </w:r>
      <w:proofErr w:type="gramStart"/>
      <w:r>
        <w:rPr>
          <w:rFonts w:ascii="Times New Roman" w:eastAsia="標楷體" w:hAnsi="Times New Roman" w:cs="Times New Roman"/>
          <w:sz w:val="16"/>
          <w:szCs w:val="18"/>
          <w:lang w:eastAsia="zh-HK"/>
        </w:rPr>
        <w:t>) :</w:t>
      </w:r>
      <w:proofErr w:type="gramEnd"/>
      <w:r>
        <w:rPr>
          <w:rFonts w:ascii="Times New Roman" w:eastAsia="標楷體" w:hAnsi="Times New Roman" w:cs="Times New Roman"/>
          <w:sz w:val="16"/>
          <w:szCs w:val="18"/>
          <w:lang w:eastAsia="zh-HK"/>
        </w:rPr>
        <w:tab/>
      </w:r>
      <w:r w:rsidRPr="001F0F89">
        <w:rPr>
          <w:rFonts w:ascii="Times New Roman" w:eastAsia="標楷體" w:hAnsi="Times New Roman" w:cs="Times New Roman"/>
          <w:sz w:val="16"/>
          <w:szCs w:val="18"/>
          <w:lang w:eastAsia="zh-HK"/>
        </w:rPr>
        <w:t>The null hypothesis is rejected at the 5% level.</w:t>
      </w:r>
    </w:p>
    <w:p w14:paraId="26BE8335" w14:textId="77777777" w:rsidR="001F0F89" w:rsidRPr="00F468DB" w:rsidRDefault="001F0F89" w:rsidP="001F0F89">
      <w:pPr>
        <w:overflowPunct w:val="0"/>
        <w:snapToGrid w:val="0"/>
        <w:spacing w:before="20" w:after="0" w:line="240" w:lineRule="auto"/>
        <w:ind w:left="709" w:hanging="709"/>
        <w:jc w:val="both"/>
        <w:rPr>
          <w:rFonts w:ascii="Times New Roman" w:eastAsia="標楷體" w:hAnsi="Times New Roman" w:cs="Times New Roman"/>
          <w:sz w:val="24"/>
          <w:szCs w:val="18"/>
          <w:lang w:eastAsia="zh-HK"/>
        </w:rPr>
      </w:pPr>
    </w:p>
    <w:p w14:paraId="3FE0D854" w14:textId="40AF41FC" w:rsidR="00DF1C14" w:rsidRDefault="00005E2C" w:rsidP="001F0F89">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sidRPr="00DF1C14">
        <w:rPr>
          <w:rFonts w:ascii="Times New Roman" w:eastAsia="標楷體" w:hAnsi="Times New Roman" w:cs="Times New Roman"/>
          <w:b/>
          <w:sz w:val="24"/>
          <w:szCs w:val="24"/>
          <w:lang w:eastAsia="zh-HK"/>
        </w:rPr>
        <w:t>Table 2</w:t>
      </w:r>
      <w:r w:rsidRPr="00DF1C14">
        <w:rPr>
          <w:rFonts w:ascii="Times New Roman" w:eastAsia="標楷體" w:hAnsi="Times New Roman" w:cs="Times New Roman"/>
          <w:sz w:val="24"/>
          <w:szCs w:val="24"/>
          <w:lang w:eastAsia="zh-HK"/>
        </w:rPr>
        <w:t xml:space="preserve"> show</w:t>
      </w:r>
      <w:r w:rsidR="00404024">
        <w:rPr>
          <w:rFonts w:ascii="Times New Roman" w:eastAsia="標楷體" w:hAnsi="Times New Roman" w:cs="Times New Roman"/>
          <w:sz w:val="24"/>
          <w:szCs w:val="24"/>
          <w:lang w:eastAsia="zh-HK"/>
        </w:rPr>
        <w:t xml:space="preserve">s that there appear to be at least </w:t>
      </w:r>
      <w:r w:rsidR="001871F4">
        <w:rPr>
          <w:rFonts w:ascii="Times New Roman" w:eastAsia="標楷體" w:hAnsi="Times New Roman" w:cs="Times New Roman"/>
          <w:sz w:val="24"/>
          <w:szCs w:val="24"/>
          <w:lang w:eastAsia="zh-HK"/>
        </w:rPr>
        <w:t>four</w:t>
      </w:r>
      <w:r w:rsidR="00404024">
        <w:rPr>
          <w:rFonts w:ascii="Times New Roman" w:eastAsia="標楷體" w:hAnsi="Times New Roman" w:cs="Times New Roman"/>
          <w:sz w:val="24"/>
          <w:szCs w:val="24"/>
          <w:lang w:eastAsia="zh-HK"/>
        </w:rPr>
        <w:t xml:space="preserve"> linearly independent cointegrating vectors in the system, or at </w:t>
      </w:r>
      <w:r w:rsidR="009D4B0C">
        <w:rPr>
          <w:rFonts w:ascii="Times New Roman" w:eastAsia="標楷體" w:hAnsi="Times New Roman" w:cs="Times New Roman"/>
          <w:sz w:val="24"/>
          <w:szCs w:val="24"/>
          <w:lang w:eastAsia="zh-HK"/>
        </w:rPr>
        <w:t>most five</w:t>
      </w:r>
      <w:r w:rsidR="00404024">
        <w:rPr>
          <w:rFonts w:ascii="Times New Roman" w:eastAsia="標楷體" w:hAnsi="Times New Roman" w:cs="Times New Roman"/>
          <w:sz w:val="24"/>
          <w:szCs w:val="24"/>
          <w:lang w:eastAsia="zh-HK"/>
        </w:rPr>
        <w:t xml:space="preserve"> common stochastic trends</w:t>
      </w:r>
      <w:r w:rsidR="001D76C1">
        <w:rPr>
          <w:rFonts w:ascii="Times New Roman" w:eastAsia="標楷體" w:hAnsi="Times New Roman" w:cs="Times New Roman"/>
          <w:sz w:val="24"/>
          <w:szCs w:val="24"/>
          <w:lang w:eastAsia="zh-HK"/>
        </w:rPr>
        <w:t>.</w:t>
      </w:r>
      <w:r w:rsidR="009D4B0C">
        <w:rPr>
          <w:rFonts w:ascii="Times New Roman" w:eastAsia="標楷體" w:hAnsi="Times New Roman" w:cs="Times New Roman"/>
          <w:sz w:val="24"/>
          <w:szCs w:val="24"/>
          <w:lang w:eastAsia="zh-HK"/>
        </w:rPr>
        <w:t xml:space="preserve">  Generally, given </w:t>
      </w:r>
      <w:r w:rsidR="003353C7">
        <w:rPr>
          <w:rFonts w:ascii="Times New Roman" w:eastAsia="標楷體" w:hAnsi="Times New Roman" w:cs="Times New Roman"/>
          <w:sz w:val="24"/>
          <w:szCs w:val="24"/>
          <w:lang w:eastAsia="zh-HK"/>
        </w:rPr>
        <w:t>the interrelationships among the variables</w:t>
      </w:r>
      <w:r w:rsidR="00F468DB">
        <w:rPr>
          <w:rFonts w:ascii="Times New Roman" w:eastAsia="標楷體" w:hAnsi="Times New Roman" w:cs="Times New Roman"/>
          <w:sz w:val="24"/>
          <w:szCs w:val="24"/>
          <w:lang w:eastAsia="zh-HK"/>
        </w:rPr>
        <w:t xml:space="preserve">—e.g., </w:t>
      </w:r>
      <w:r w:rsidR="003353C7">
        <w:rPr>
          <w:rFonts w:ascii="Times New Roman" w:eastAsia="標楷體" w:hAnsi="Times New Roman" w:cs="Times New Roman"/>
          <w:sz w:val="24"/>
          <w:szCs w:val="24"/>
          <w:lang w:eastAsia="zh-HK"/>
        </w:rPr>
        <w:t xml:space="preserve">present value theory links </w:t>
      </w:r>
      <w:r w:rsidR="00F468DB">
        <w:rPr>
          <w:rFonts w:ascii="Times New Roman" w:eastAsia="標楷體" w:hAnsi="Times New Roman" w:cs="Times New Roman"/>
          <w:sz w:val="24"/>
          <w:szCs w:val="24"/>
          <w:lang w:eastAsia="zh-HK"/>
        </w:rPr>
        <w:t xml:space="preserve">residential property prices </w:t>
      </w:r>
      <w:r w:rsidR="003353C7">
        <w:rPr>
          <w:rFonts w:ascii="Times New Roman" w:eastAsia="標楷體" w:hAnsi="Times New Roman" w:cs="Times New Roman"/>
          <w:sz w:val="24"/>
          <w:szCs w:val="24"/>
          <w:lang w:eastAsia="zh-HK"/>
        </w:rPr>
        <w:t>to housing costs, and other variables relate</w:t>
      </w:r>
      <w:r w:rsidR="00F468DB">
        <w:rPr>
          <w:rFonts w:ascii="Times New Roman" w:eastAsia="標楷體" w:hAnsi="Times New Roman" w:cs="Times New Roman"/>
          <w:sz w:val="24"/>
          <w:szCs w:val="24"/>
          <w:lang w:eastAsia="zh-HK"/>
        </w:rPr>
        <w:t xml:space="preserve"> to supply and demand factors which may have some common components—it </w:t>
      </w:r>
      <w:r w:rsidR="009D4B0C">
        <w:rPr>
          <w:rFonts w:ascii="Times New Roman" w:eastAsia="標楷體" w:hAnsi="Times New Roman" w:cs="Times New Roman"/>
          <w:sz w:val="24"/>
          <w:szCs w:val="24"/>
          <w:lang w:eastAsia="zh-HK"/>
        </w:rPr>
        <w:t xml:space="preserve">is expected that </w:t>
      </w:r>
      <w:r w:rsidR="00F468DB">
        <w:rPr>
          <w:rFonts w:ascii="Times New Roman" w:eastAsia="標楷體" w:hAnsi="Times New Roman" w:cs="Times New Roman"/>
          <w:sz w:val="24"/>
          <w:szCs w:val="24"/>
          <w:lang w:eastAsia="zh-HK"/>
        </w:rPr>
        <w:t>they will be cointegrated to some extent</w:t>
      </w:r>
      <w:r w:rsidR="009D4B0C">
        <w:rPr>
          <w:rFonts w:ascii="Times New Roman" w:eastAsia="標楷體" w:hAnsi="Times New Roman" w:cs="Times New Roman"/>
          <w:sz w:val="24"/>
          <w:szCs w:val="24"/>
          <w:lang w:eastAsia="zh-HK"/>
        </w:rPr>
        <w:t>.</w:t>
      </w:r>
      <w:r w:rsidR="00F468DB">
        <w:rPr>
          <w:rFonts w:ascii="Times New Roman" w:eastAsia="標楷體" w:hAnsi="Times New Roman" w:cs="Times New Roman"/>
          <w:sz w:val="24"/>
          <w:szCs w:val="24"/>
          <w:lang w:eastAsia="zh-HK"/>
        </w:rPr>
        <w:t xml:space="preserve">  The system is modelled accordingly.</w:t>
      </w:r>
    </w:p>
    <w:p w14:paraId="6095210C" w14:textId="77777777" w:rsidR="00140337" w:rsidRDefault="00140337" w:rsidP="00140337">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6664F6E7" w14:textId="70936152" w:rsidR="00DF1C14" w:rsidRDefault="00DF1C14" w:rsidP="00DF1C14">
      <w:pPr>
        <w:pStyle w:val="ListParagraph"/>
        <w:overflowPunct w:val="0"/>
        <w:snapToGrid w:val="0"/>
        <w:spacing w:after="0" w:line="300" w:lineRule="auto"/>
        <w:ind w:left="0"/>
        <w:jc w:val="both"/>
        <w:rPr>
          <w:rFonts w:ascii="Times New Roman" w:eastAsia="標楷體" w:hAnsi="Times New Roman" w:cs="Times New Roman"/>
          <w:b/>
          <w:sz w:val="24"/>
          <w:szCs w:val="24"/>
          <w:lang w:eastAsia="zh-HK"/>
        </w:rPr>
      </w:pPr>
      <w:r>
        <w:rPr>
          <w:rFonts w:ascii="Times New Roman" w:eastAsia="標楷體" w:hAnsi="Times New Roman" w:cs="Times New Roman"/>
          <w:b/>
          <w:sz w:val="24"/>
          <w:szCs w:val="24"/>
          <w:lang w:eastAsia="zh-HK"/>
        </w:rPr>
        <w:t>IV.</w:t>
      </w:r>
      <w:r>
        <w:rPr>
          <w:rFonts w:ascii="Times New Roman" w:eastAsia="標楷體" w:hAnsi="Times New Roman" w:cs="Times New Roman"/>
          <w:b/>
          <w:sz w:val="24"/>
          <w:szCs w:val="24"/>
          <w:lang w:eastAsia="zh-HK"/>
        </w:rPr>
        <w:tab/>
        <w:t>MODEL</w:t>
      </w:r>
    </w:p>
    <w:p w14:paraId="7E415475" w14:textId="6A953C39" w:rsidR="00DF1C14" w:rsidRDefault="00DF1C14" w:rsidP="00DF1C14">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5FEDCF2F" w14:textId="22F4155F" w:rsidR="0012106D" w:rsidRPr="00904B20" w:rsidRDefault="00E61E83" w:rsidP="0012106D">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 xml:space="preserve">The time series properties of the variables </w:t>
      </w:r>
      <w:r w:rsidR="00904B20">
        <w:rPr>
          <w:rFonts w:ascii="Times New Roman" w:eastAsia="標楷體" w:hAnsi="Times New Roman" w:cs="Times New Roman"/>
          <w:sz w:val="24"/>
          <w:szCs w:val="24"/>
          <w:lang w:eastAsia="zh-HK"/>
        </w:rPr>
        <w:t xml:space="preserve">from the previous section </w:t>
      </w:r>
      <w:r>
        <w:rPr>
          <w:rFonts w:ascii="Times New Roman" w:eastAsia="標楷體" w:hAnsi="Times New Roman" w:cs="Times New Roman"/>
          <w:sz w:val="24"/>
          <w:szCs w:val="24"/>
          <w:lang w:eastAsia="zh-HK"/>
        </w:rPr>
        <w:t xml:space="preserve">suggest that the most appropriate starting point for modelling the link between residential property prices and consumer price inflation </w:t>
      </w:r>
      <w:r w:rsidR="00904B20">
        <w:rPr>
          <w:rFonts w:ascii="Times New Roman" w:eastAsia="標楷體" w:hAnsi="Times New Roman" w:cs="Times New Roman"/>
          <w:sz w:val="24"/>
          <w:szCs w:val="24"/>
          <w:lang w:eastAsia="zh-HK"/>
        </w:rPr>
        <w:t xml:space="preserve">is a vector error correction model with </w:t>
      </w:r>
      <w:r w:rsidR="00904B20">
        <w:rPr>
          <w:rFonts w:ascii="Times New Roman" w:eastAsia="標楷體" w:hAnsi="Times New Roman" w:cs="Times New Roman"/>
          <w:i/>
          <w:sz w:val="24"/>
          <w:szCs w:val="24"/>
          <w:lang w:eastAsia="zh-HK"/>
        </w:rPr>
        <w:t>r</w:t>
      </w:r>
      <w:r w:rsidR="00904B20">
        <w:rPr>
          <w:rFonts w:ascii="Times New Roman" w:eastAsia="標楷體" w:hAnsi="Times New Roman" w:cs="Times New Roman"/>
          <w:sz w:val="24"/>
          <w:szCs w:val="24"/>
          <w:lang w:eastAsia="zh-HK"/>
        </w:rPr>
        <w:t xml:space="preserve"> = </w:t>
      </w:r>
      <w:r w:rsidR="00E37291">
        <w:rPr>
          <w:rFonts w:ascii="Times New Roman" w:eastAsia="標楷體" w:hAnsi="Times New Roman" w:cs="Times New Roman"/>
          <w:sz w:val="24"/>
          <w:szCs w:val="24"/>
          <w:lang w:eastAsia="zh-HK"/>
        </w:rPr>
        <w:t>4</w:t>
      </w:r>
      <w:r w:rsidR="00904B20">
        <w:rPr>
          <w:rFonts w:ascii="Times New Roman" w:eastAsia="標楷體" w:hAnsi="Times New Roman" w:cs="Times New Roman"/>
          <w:sz w:val="24"/>
          <w:szCs w:val="24"/>
          <w:lang w:eastAsia="zh-HK"/>
        </w:rPr>
        <w:t xml:space="preserve"> (i.e., with </w:t>
      </w:r>
      <w:r w:rsidR="00E37291">
        <w:rPr>
          <w:rFonts w:ascii="Times New Roman" w:eastAsia="標楷體" w:hAnsi="Times New Roman" w:cs="Times New Roman"/>
          <w:sz w:val="24"/>
          <w:szCs w:val="24"/>
          <w:lang w:eastAsia="zh-HK"/>
        </w:rPr>
        <w:t>four</w:t>
      </w:r>
      <w:r w:rsidR="00904B20">
        <w:rPr>
          <w:rFonts w:ascii="Times New Roman" w:eastAsia="標楷體" w:hAnsi="Times New Roman" w:cs="Times New Roman"/>
          <w:sz w:val="24"/>
          <w:szCs w:val="24"/>
          <w:lang w:eastAsia="zh-HK"/>
        </w:rPr>
        <w:t xml:space="preserve"> linearly independent cointegrating vectors).  Formally, the model is written as</w:t>
      </w:r>
    </w:p>
    <w:p w14:paraId="00B24198" w14:textId="3CB5D307" w:rsidR="0012106D" w:rsidRPr="00D71305" w:rsidRDefault="0012106D" w:rsidP="0012106D">
      <w:pPr>
        <w:spacing w:after="0"/>
        <w:contextualSpacing/>
        <w:rPr>
          <w:rFonts w:ascii="Times New Roman" w:eastAsia="標楷體" w:hAnsi="Times New Roman" w:cs="Times New Roman"/>
          <w:sz w:val="24"/>
          <w:szCs w:val="24"/>
          <w:lang w:eastAsia="zh-HK"/>
        </w:rPr>
      </w:pPr>
    </w:p>
    <w:p w14:paraId="518B1CF0" w14:textId="455D5DF6" w:rsidR="0012106D" w:rsidRPr="00D71305" w:rsidRDefault="0012106D" w:rsidP="0012106D">
      <w:pPr>
        <w:pStyle w:val="ListParagraph"/>
        <w:overflowPunct w:val="0"/>
        <w:snapToGrid w:val="0"/>
        <w:spacing w:after="0" w:line="300" w:lineRule="auto"/>
        <w:ind w:left="0"/>
        <w:jc w:val="both"/>
        <w:rPr>
          <w:rFonts w:ascii="Cambria Math" w:eastAsia="標楷體" w:hAnsi="Cambria Math" w:cs="Times New Roman"/>
          <w:i/>
          <w:sz w:val="24"/>
          <w:szCs w:val="24"/>
          <w:lang w:eastAsia="zh-HK"/>
        </w:rPr>
      </w:pPr>
      <m:oMathPara>
        <m:oMath>
          <m:r>
            <w:rPr>
              <w:rFonts w:ascii="Cambria Math" w:eastAsia="標楷體" w:hAnsi="Cambria Math" w:cs="Times New Roman"/>
              <w:sz w:val="24"/>
              <w:szCs w:val="24"/>
              <w:lang w:eastAsia="zh-HK"/>
            </w:rPr>
            <m:t>∆</m:t>
          </m:r>
          <m:sSub>
            <m:sSubPr>
              <m:ctrlPr>
                <w:rPr>
                  <w:rFonts w:ascii="Cambria Math" w:eastAsia="標楷體" w:hAnsi="Cambria Math" w:cs="Times New Roman"/>
                  <w:i/>
                  <w:sz w:val="24"/>
                  <w:szCs w:val="24"/>
                  <w:lang w:eastAsia="zh-HK"/>
                </w:rPr>
              </m:ctrlPr>
            </m:sSubPr>
            <m:e>
              <m:r>
                <m:rPr>
                  <m:sty m:val="bi"/>
                </m:rPr>
                <w:rPr>
                  <w:rFonts w:ascii="Cambria Math" w:eastAsia="標楷體" w:hAnsi="Cambria Math" w:cs="Times New Roman"/>
                  <w:sz w:val="24"/>
                  <w:szCs w:val="24"/>
                  <w:lang w:eastAsia="zh-HK"/>
                </w:rPr>
                <m:t>y</m:t>
              </m:r>
            </m:e>
            <m:sub>
              <m:r>
                <w:rPr>
                  <w:rFonts w:ascii="Cambria Math" w:eastAsia="標楷體" w:hAnsi="Cambria Math" w:cs="Times New Roman"/>
                  <w:sz w:val="24"/>
                  <w:szCs w:val="24"/>
                  <w:lang w:eastAsia="zh-HK"/>
                </w:rPr>
                <m:t>t</m:t>
              </m:r>
            </m:sub>
          </m:sSub>
          <m:r>
            <w:rPr>
              <w:rFonts w:ascii="Cambria Math" w:eastAsia="標楷體" w:hAnsi="Cambria Math" w:cs="Times New Roman"/>
              <w:sz w:val="24"/>
              <w:szCs w:val="24"/>
              <w:lang w:eastAsia="zh-HK"/>
            </w:rPr>
            <m:t>=</m:t>
          </m:r>
          <m:r>
            <m:rPr>
              <m:sty m:val="bi"/>
            </m:rPr>
            <w:rPr>
              <w:rFonts w:ascii="Cambria Math" w:eastAsia="標楷體" w:hAnsi="Cambria Math" w:cs="Times New Roman"/>
              <w:sz w:val="24"/>
              <w:szCs w:val="24"/>
              <w:lang w:eastAsia="zh-HK"/>
            </w:rPr>
            <m:t>γ</m:t>
          </m:r>
          <m:r>
            <w:rPr>
              <w:rFonts w:ascii="Cambria Math" w:eastAsia="標楷體" w:hAnsi="Cambria Math" w:cs="Times New Roman"/>
              <w:sz w:val="24"/>
              <w:szCs w:val="24"/>
              <w:lang w:eastAsia="zh-HK"/>
            </w:rPr>
            <m:t>+</m:t>
          </m:r>
          <m:r>
            <m:rPr>
              <m:sty m:val="b"/>
            </m:rPr>
            <w:rPr>
              <w:rFonts w:ascii="Cambria Math" w:eastAsia="標楷體" w:hAnsi="Cambria Math" w:cs="Times New Roman"/>
              <w:b/>
              <w:sz w:val="24"/>
              <w:szCs w:val="24"/>
              <w:lang w:eastAsia="zh-HK"/>
            </w:rPr>
            <w:sym w:font="Symbol" w:char="F047"/>
          </m:r>
          <m:r>
            <m:rPr>
              <m:sty m:val="b"/>
            </m:rPr>
            <w:rPr>
              <w:rFonts w:ascii="Cambria Math" w:eastAsia="標楷體" w:hAnsi="Cambria Math" w:cs="Times New Roman"/>
              <w:sz w:val="24"/>
              <w:szCs w:val="24"/>
              <w:lang w:eastAsia="zh-HK"/>
            </w:rPr>
            <m:t>∙</m:t>
          </m:r>
          <m:r>
            <w:rPr>
              <w:rFonts w:ascii="Cambria Math" w:eastAsia="標楷體" w:hAnsi="Cambria Math" w:cs="Times New Roman"/>
              <w:sz w:val="24"/>
              <w:szCs w:val="24"/>
              <w:lang w:eastAsia="zh-HK"/>
            </w:rPr>
            <m:t>∆</m:t>
          </m:r>
          <m:sSub>
            <m:sSubPr>
              <m:ctrlPr>
                <w:rPr>
                  <w:rFonts w:ascii="Cambria Math" w:eastAsia="標楷體" w:hAnsi="Cambria Math" w:cs="Times New Roman"/>
                  <w:i/>
                  <w:sz w:val="24"/>
                  <w:szCs w:val="24"/>
                  <w:lang w:eastAsia="zh-HK"/>
                </w:rPr>
              </m:ctrlPr>
            </m:sSubPr>
            <m:e>
              <m:r>
                <m:rPr>
                  <m:sty m:val="bi"/>
                </m:rPr>
                <w:rPr>
                  <w:rFonts w:ascii="Cambria Math" w:eastAsia="標楷體" w:hAnsi="Cambria Math" w:cs="Times New Roman"/>
                  <w:sz w:val="24"/>
                  <w:szCs w:val="24"/>
                  <w:lang w:eastAsia="zh-HK"/>
                </w:rPr>
                <m:t>y</m:t>
              </m:r>
            </m:e>
            <m:sub>
              <m:r>
                <w:rPr>
                  <w:rFonts w:ascii="Cambria Math" w:eastAsia="標楷體" w:hAnsi="Cambria Math" w:cs="Times New Roman"/>
                  <w:sz w:val="24"/>
                  <w:szCs w:val="24"/>
                  <w:lang w:eastAsia="zh-HK"/>
                </w:rPr>
                <m:t>t-1</m:t>
              </m:r>
            </m:sub>
          </m:sSub>
          <m:r>
            <w:rPr>
              <w:rFonts w:ascii="Cambria Math" w:eastAsia="標楷體" w:hAnsi="Cambria Math" w:cs="Times New Roman"/>
              <w:sz w:val="24"/>
              <w:szCs w:val="24"/>
              <w:lang w:eastAsia="zh-HK"/>
            </w:rPr>
            <m:t>+</m:t>
          </m:r>
          <m:nary>
            <m:naryPr>
              <m:chr m:val="∑"/>
              <m:limLoc m:val="undOvr"/>
              <m:ctrlPr>
                <w:rPr>
                  <w:rFonts w:ascii="Cambria Math" w:eastAsia="標楷體" w:hAnsi="Cambria Math" w:cs="Times New Roman"/>
                  <w:b/>
                  <w:i/>
                  <w:sz w:val="24"/>
                  <w:szCs w:val="24"/>
                  <w:lang w:eastAsia="zh-HK"/>
                </w:rPr>
              </m:ctrlPr>
            </m:naryPr>
            <m:sub>
              <m:r>
                <w:rPr>
                  <w:rFonts w:ascii="Cambria Math" w:eastAsia="標楷體" w:hAnsi="Cambria Math" w:cs="Times New Roman"/>
                  <w:sz w:val="24"/>
                  <w:szCs w:val="24"/>
                  <w:lang w:eastAsia="zh-HK"/>
                </w:rPr>
                <m:t>i=1</m:t>
              </m:r>
            </m:sub>
            <m:sup>
              <m:r>
                <w:rPr>
                  <w:rFonts w:ascii="Cambria Math" w:eastAsia="標楷體" w:hAnsi="Cambria Math" w:cs="Times New Roman"/>
                  <w:sz w:val="24"/>
                  <w:szCs w:val="24"/>
                  <w:lang w:eastAsia="zh-HK"/>
                </w:rPr>
                <m:t>4</m:t>
              </m:r>
            </m:sup>
            <m:e>
              <m:sSub>
                <m:sSubPr>
                  <m:ctrlPr>
                    <w:rPr>
                      <w:rFonts w:ascii="Cambria Math" w:eastAsia="標楷體" w:hAnsi="Cambria Math" w:cs="Times New Roman"/>
                      <w:b/>
                      <w:i/>
                      <w:sz w:val="24"/>
                      <w:szCs w:val="24"/>
                      <w:lang w:eastAsia="zh-HK"/>
                    </w:rPr>
                  </m:ctrlPr>
                </m:sSubPr>
                <m:e>
                  <m:r>
                    <m:rPr>
                      <m:sty m:val="bi"/>
                    </m:rPr>
                    <w:rPr>
                      <w:rFonts w:ascii="Cambria Math" w:eastAsia="標楷體" w:hAnsi="Cambria Math" w:cs="Times New Roman"/>
                      <w:b/>
                      <w:i/>
                      <w:sz w:val="24"/>
                      <w:szCs w:val="24"/>
                      <w:lang w:eastAsia="zh-HK"/>
                    </w:rPr>
                    <w:sym w:font="Symbol" w:char="F06C"/>
                  </m:r>
                </m:e>
                <m:sub>
                  <m:r>
                    <w:rPr>
                      <w:rFonts w:ascii="Cambria Math" w:eastAsia="標楷體" w:hAnsi="Cambria Math" w:cs="Times New Roman"/>
                      <w:sz w:val="24"/>
                      <w:szCs w:val="24"/>
                      <w:lang w:eastAsia="zh-HK"/>
                    </w:rPr>
                    <m:t>i</m:t>
                  </m:r>
                </m:sub>
              </m:sSub>
              <m:r>
                <w:rPr>
                  <w:rFonts w:ascii="Cambria Math" w:eastAsia="標楷體" w:hAnsi="Cambria Math" w:cs="Times New Roman"/>
                  <w:sz w:val="24"/>
                  <w:szCs w:val="24"/>
                  <w:lang w:eastAsia="zh-HK"/>
                </w:rPr>
                <m:t>∙</m:t>
              </m:r>
              <m:d>
                <m:dPr>
                  <m:ctrlPr>
                    <w:rPr>
                      <w:rFonts w:ascii="Cambria Math" w:eastAsia="標楷體" w:hAnsi="Cambria Math" w:cs="Times New Roman"/>
                      <w:i/>
                      <w:sz w:val="24"/>
                      <w:szCs w:val="24"/>
                      <w:lang w:eastAsia="zh-HK"/>
                    </w:rPr>
                  </m:ctrlPr>
                </m:dPr>
                <m:e>
                  <m:sSub>
                    <m:sSubPr>
                      <m:ctrlPr>
                        <w:rPr>
                          <w:rFonts w:ascii="Cambria Math" w:eastAsia="標楷體" w:hAnsi="Cambria Math" w:cs="Times New Roman"/>
                          <w:i/>
                          <w:sz w:val="24"/>
                          <w:szCs w:val="24"/>
                          <w:lang w:eastAsia="zh-HK"/>
                        </w:rPr>
                      </m:ctrlPr>
                    </m:sSubPr>
                    <m:e>
                      <m:r>
                        <w:rPr>
                          <w:rFonts w:ascii="Cambria Math" w:eastAsia="標楷體" w:hAnsi="Cambria Math" w:cs="Times New Roman"/>
                          <w:sz w:val="24"/>
                          <w:szCs w:val="24"/>
                          <w:lang w:eastAsia="zh-HK"/>
                        </w:rPr>
                        <m:t>y</m:t>
                      </m:r>
                    </m:e>
                    <m:sub>
                      <m:r>
                        <w:rPr>
                          <w:rFonts w:ascii="Cambria Math" w:eastAsia="標楷體" w:hAnsi="Cambria Math" w:cs="Times New Roman"/>
                          <w:sz w:val="24"/>
                          <w:szCs w:val="24"/>
                          <w:lang w:eastAsia="zh-HK"/>
                        </w:rPr>
                        <m:t>i,t-1</m:t>
                      </m:r>
                    </m:sub>
                  </m:sSub>
                  <m:r>
                    <m:rPr>
                      <m:sty m:val="bi"/>
                    </m:rPr>
                    <w:rPr>
                      <w:rFonts w:ascii="Cambria Math" w:eastAsia="標楷體" w:hAnsi="Cambria Math" w:cs="Times New Roman"/>
                      <w:sz w:val="24"/>
                      <w:szCs w:val="24"/>
                      <w:lang w:eastAsia="zh-HK"/>
                    </w:rPr>
                    <m:t>+</m:t>
                  </m:r>
                  <m:sSub>
                    <m:sSubPr>
                      <m:ctrlPr>
                        <w:rPr>
                          <w:rFonts w:ascii="Cambria Math" w:eastAsia="標楷體" w:hAnsi="Cambria Math" w:cs="Times New Roman"/>
                          <w:b/>
                          <w:i/>
                          <w:sz w:val="24"/>
                          <w:szCs w:val="24"/>
                          <w:lang w:eastAsia="zh-HK"/>
                        </w:rPr>
                      </m:ctrlPr>
                    </m:sSubPr>
                    <m:e>
                      <m:r>
                        <m:rPr>
                          <m:sty m:val="bi"/>
                        </m:rPr>
                        <w:rPr>
                          <w:rFonts w:ascii="Cambria Math" w:eastAsia="標楷體" w:hAnsi="Cambria Math" w:cs="Times New Roman"/>
                          <w:sz w:val="24"/>
                          <w:szCs w:val="24"/>
                          <w:lang w:eastAsia="zh-HK"/>
                        </w:rPr>
                        <m:t>β</m:t>
                      </m:r>
                    </m:e>
                    <m:sub>
                      <m:r>
                        <w:rPr>
                          <w:rFonts w:ascii="Cambria Math" w:eastAsia="標楷體" w:hAnsi="Cambria Math" w:cs="Times New Roman"/>
                          <w:sz w:val="24"/>
                          <w:szCs w:val="24"/>
                          <w:lang w:eastAsia="zh-HK"/>
                        </w:rPr>
                        <m:t>i</m:t>
                      </m:r>
                    </m:sub>
                  </m:sSub>
                  <m:r>
                    <w:rPr>
                      <w:rFonts w:ascii="Cambria Math" w:eastAsia="標楷體" w:hAnsi="Cambria Math" w:cs="Times New Roman"/>
                      <w:sz w:val="24"/>
                      <w:szCs w:val="24"/>
                      <w:lang w:eastAsia="zh-HK"/>
                    </w:rPr>
                    <m:t>∙</m:t>
                  </m:r>
                  <m:sSub>
                    <m:sSubPr>
                      <m:ctrlPr>
                        <w:rPr>
                          <w:rFonts w:ascii="Cambria Math" w:eastAsia="標楷體" w:hAnsi="Cambria Math" w:cs="Times New Roman"/>
                          <w:i/>
                          <w:sz w:val="24"/>
                          <w:szCs w:val="24"/>
                          <w:lang w:eastAsia="zh-HK"/>
                        </w:rPr>
                      </m:ctrlPr>
                    </m:sSubPr>
                    <m:e>
                      <m:r>
                        <m:rPr>
                          <m:sty m:val="bi"/>
                        </m:rPr>
                        <w:rPr>
                          <w:rFonts w:ascii="Cambria Math" w:eastAsia="標楷體" w:hAnsi="Cambria Math" w:cs="Times New Roman"/>
                          <w:sz w:val="24"/>
                          <w:szCs w:val="24"/>
                          <w:lang w:eastAsia="zh-HK"/>
                        </w:rPr>
                        <m:t>y</m:t>
                      </m:r>
                    </m:e>
                    <m:sub>
                      <m:r>
                        <w:rPr>
                          <w:rFonts w:ascii="Cambria Math" w:eastAsia="標楷體" w:hAnsi="Cambria Math" w:cs="Times New Roman"/>
                          <w:sz w:val="24"/>
                          <w:szCs w:val="24"/>
                          <w:lang w:eastAsia="zh-HK"/>
                        </w:rPr>
                        <m:t>j,t-1</m:t>
                      </m:r>
                    </m:sub>
                  </m:sSub>
                  <m:r>
                    <w:rPr>
                      <w:rFonts w:ascii="Cambria Math" w:eastAsia="標楷體" w:hAnsi="Cambria Math" w:cs="Times New Roman"/>
                      <w:sz w:val="24"/>
                      <w:szCs w:val="24"/>
                      <w:lang w:eastAsia="zh-HK"/>
                    </w:rPr>
                    <m:t>+</m:t>
                  </m:r>
                  <m:sSub>
                    <m:sSubPr>
                      <m:ctrlPr>
                        <w:rPr>
                          <w:rFonts w:ascii="Cambria Math" w:eastAsia="標楷體" w:hAnsi="Cambria Math" w:cs="Times New Roman"/>
                          <w:i/>
                          <w:sz w:val="24"/>
                          <w:szCs w:val="24"/>
                          <w:lang w:eastAsia="zh-HK"/>
                        </w:rPr>
                      </m:ctrlPr>
                    </m:sSubPr>
                    <m:e>
                      <m:r>
                        <w:rPr>
                          <w:rFonts w:ascii="Cambria Math" w:eastAsia="標楷體" w:hAnsi="Cambria Math" w:cs="Times New Roman"/>
                          <w:sz w:val="24"/>
                          <w:szCs w:val="24"/>
                          <w:lang w:eastAsia="zh-HK"/>
                        </w:rPr>
                        <m:t>μ</m:t>
                      </m:r>
                    </m:e>
                    <m:sub>
                      <m:r>
                        <w:rPr>
                          <w:rFonts w:ascii="Cambria Math" w:eastAsia="標楷體" w:hAnsi="Cambria Math" w:cs="Times New Roman"/>
                          <w:sz w:val="24"/>
                          <w:szCs w:val="24"/>
                          <w:lang w:eastAsia="zh-HK"/>
                        </w:rPr>
                        <m:t>i</m:t>
                      </m:r>
                    </m:sub>
                  </m:sSub>
                  <m:r>
                    <w:rPr>
                      <w:rFonts w:ascii="Cambria Math" w:eastAsia="標楷體" w:hAnsi="Cambria Math" w:cs="Times New Roman"/>
                      <w:sz w:val="24"/>
                      <w:szCs w:val="24"/>
                      <w:lang w:eastAsia="zh-HK"/>
                    </w:rPr>
                    <m:t>+</m:t>
                  </m:r>
                  <m:sSub>
                    <m:sSubPr>
                      <m:ctrlPr>
                        <w:rPr>
                          <w:rFonts w:ascii="Cambria Math" w:eastAsia="標楷體" w:hAnsi="Cambria Math" w:cs="Times New Roman"/>
                          <w:i/>
                          <w:sz w:val="24"/>
                          <w:szCs w:val="24"/>
                          <w:lang w:eastAsia="zh-HK"/>
                        </w:rPr>
                      </m:ctrlPr>
                    </m:sSubPr>
                    <m:e>
                      <m:r>
                        <w:rPr>
                          <w:rFonts w:ascii="Cambria Math" w:eastAsia="標楷體" w:hAnsi="Cambria Math" w:cs="Times New Roman"/>
                          <w:sz w:val="24"/>
                          <w:szCs w:val="24"/>
                          <w:lang w:eastAsia="zh-HK"/>
                        </w:rPr>
                        <m:t>ρ</m:t>
                      </m:r>
                    </m:e>
                    <m:sub>
                      <m:r>
                        <w:rPr>
                          <w:rFonts w:ascii="Cambria Math" w:eastAsia="標楷體" w:hAnsi="Cambria Math" w:cs="Times New Roman"/>
                          <w:sz w:val="24"/>
                          <w:szCs w:val="24"/>
                          <w:lang w:eastAsia="zh-HK"/>
                        </w:rPr>
                        <m:t>i</m:t>
                      </m:r>
                    </m:sub>
                  </m:sSub>
                  <m:r>
                    <w:rPr>
                      <w:rFonts w:ascii="Cambria Math" w:eastAsia="標楷體" w:hAnsi="Cambria Math" w:cs="Times New Roman"/>
                      <w:sz w:val="24"/>
                      <w:szCs w:val="24"/>
                      <w:lang w:eastAsia="zh-HK"/>
                    </w:rPr>
                    <m:t>∙t</m:t>
                  </m:r>
                </m:e>
              </m:d>
            </m:e>
          </m:nary>
          <m:r>
            <w:rPr>
              <w:rFonts w:ascii="Cambria Math" w:eastAsia="標楷體" w:hAnsi="Cambria Math" w:cs="Times New Roman"/>
              <w:sz w:val="24"/>
              <w:szCs w:val="24"/>
              <w:lang w:eastAsia="zh-HK"/>
            </w:rPr>
            <m:t>+</m:t>
          </m:r>
          <m:sSub>
            <m:sSubPr>
              <m:ctrlPr>
                <w:rPr>
                  <w:rFonts w:ascii="Cambria Math" w:eastAsia="標楷體" w:hAnsi="Cambria Math" w:cs="Times New Roman"/>
                  <w:i/>
                  <w:sz w:val="24"/>
                  <w:szCs w:val="24"/>
                  <w:lang w:eastAsia="zh-HK"/>
                </w:rPr>
              </m:ctrlPr>
            </m:sSubPr>
            <m:e>
              <m:r>
                <m:rPr>
                  <m:sty m:val="bi"/>
                </m:rPr>
                <w:rPr>
                  <w:rFonts w:ascii="Cambria Math" w:eastAsia="標楷體" w:hAnsi="Cambria Math" w:cs="Times New Roman"/>
                  <w:sz w:val="24"/>
                  <w:szCs w:val="24"/>
                  <w:lang w:eastAsia="zh-HK"/>
                </w:rPr>
                <m:t>ε</m:t>
              </m:r>
            </m:e>
            <m:sub>
              <m:r>
                <w:rPr>
                  <w:rFonts w:ascii="Cambria Math" w:eastAsia="標楷體" w:hAnsi="Cambria Math" w:cs="Times New Roman"/>
                  <w:sz w:val="24"/>
                  <w:szCs w:val="24"/>
                  <w:lang w:eastAsia="zh-HK"/>
                </w:rPr>
                <m:t>t</m:t>
              </m:r>
            </m:sub>
          </m:sSub>
        </m:oMath>
      </m:oMathPara>
    </w:p>
    <w:p w14:paraId="477949BD" w14:textId="4C5CD57A" w:rsidR="00815020" w:rsidRPr="00625176" w:rsidRDefault="00815020" w:rsidP="008529C5">
      <w:pPr>
        <w:pStyle w:val="ListParagraph"/>
        <w:overflowPunct w:val="0"/>
        <w:snapToGrid w:val="0"/>
        <w:spacing w:after="0" w:line="240" w:lineRule="auto"/>
        <w:ind w:left="0"/>
        <w:jc w:val="both"/>
        <w:rPr>
          <w:rFonts w:ascii="Times New Roman" w:eastAsia="標楷體" w:hAnsi="Times New Roman" w:cs="Times New Roman"/>
          <w:sz w:val="24"/>
          <w:szCs w:val="24"/>
          <w:lang w:eastAsia="zh-HK"/>
        </w:rPr>
      </w:pPr>
    </w:p>
    <w:p w14:paraId="3F7C78B0" w14:textId="53FB6A06" w:rsidR="0093558A" w:rsidRDefault="00902C48" w:rsidP="0093558A">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roofErr w:type="gramStart"/>
      <w:r>
        <w:rPr>
          <w:rFonts w:ascii="Times New Roman" w:eastAsia="標楷體" w:hAnsi="Times New Roman" w:cs="Times New Roman"/>
          <w:sz w:val="24"/>
          <w:szCs w:val="24"/>
          <w:lang w:eastAsia="zh-HK"/>
        </w:rPr>
        <w:t>w</w:t>
      </w:r>
      <w:r w:rsidR="00815020">
        <w:rPr>
          <w:rFonts w:ascii="Times New Roman" w:eastAsia="標楷體" w:hAnsi="Times New Roman" w:cs="Times New Roman"/>
          <w:sz w:val="24"/>
          <w:szCs w:val="24"/>
          <w:lang w:eastAsia="zh-HK"/>
        </w:rPr>
        <w:t>here</w:t>
      </w:r>
      <w:proofErr w:type="gramEnd"/>
      <w:r>
        <w:rPr>
          <w:rFonts w:ascii="Times New Roman" w:eastAsia="標楷體" w:hAnsi="Times New Roman" w:cs="Times New Roman"/>
          <w:sz w:val="24"/>
          <w:szCs w:val="24"/>
          <w:lang w:eastAsia="zh-HK"/>
        </w:rPr>
        <w:t xml:space="preserve"> </w:t>
      </w:r>
      <m:oMath>
        <m:sSub>
          <m:sSubPr>
            <m:ctrlPr>
              <w:rPr>
                <w:rFonts w:ascii="Cambria Math" w:eastAsia="標楷體" w:hAnsi="Cambria Math" w:cs="Times New Roman"/>
                <w:i/>
                <w:sz w:val="24"/>
                <w:szCs w:val="24"/>
                <w:lang w:eastAsia="zh-HK"/>
              </w:rPr>
            </m:ctrlPr>
          </m:sSubPr>
          <m:e>
            <m:r>
              <m:rPr>
                <m:sty m:val="bi"/>
              </m:rPr>
              <w:rPr>
                <w:rFonts w:ascii="Cambria Math" w:eastAsia="標楷體" w:hAnsi="Cambria Math" w:cs="Times New Roman"/>
                <w:sz w:val="24"/>
                <w:szCs w:val="24"/>
                <w:lang w:eastAsia="zh-HK"/>
              </w:rPr>
              <m:t>y</m:t>
            </m:r>
          </m:e>
          <m:sub>
            <m:r>
              <w:rPr>
                <w:rFonts w:ascii="Cambria Math" w:eastAsia="標楷體" w:hAnsi="Cambria Math" w:cs="Times New Roman"/>
                <w:sz w:val="24"/>
                <w:szCs w:val="24"/>
                <w:lang w:eastAsia="zh-HK"/>
              </w:rPr>
              <m:t>t</m:t>
            </m:r>
          </m:sub>
        </m:sSub>
      </m:oMath>
      <w:r>
        <w:rPr>
          <w:rFonts w:ascii="Times New Roman" w:eastAsia="標楷體" w:hAnsi="Times New Roman" w:cs="Times New Roman"/>
          <w:sz w:val="24"/>
          <w:szCs w:val="24"/>
          <w:lang w:eastAsia="zh-HK"/>
        </w:rPr>
        <w:t xml:space="preserve"> are the variables in the system</w:t>
      </w:r>
      <w:r w:rsidR="00C2608A">
        <w:rPr>
          <w:rFonts w:ascii="Times New Roman" w:eastAsia="標楷體" w:hAnsi="Times New Roman" w:cs="Times New Roman"/>
          <w:sz w:val="24"/>
          <w:szCs w:val="24"/>
          <w:lang w:eastAsia="zh-HK"/>
        </w:rPr>
        <w:t xml:space="preserve"> (as listed in para. 9)</w:t>
      </w:r>
      <w:r>
        <w:rPr>
          <w:rFonts w:ascii="Times New Roman" w:eastAsia="標楷體" w:hAnsi="Times New Roman" w:cs="Times New Roman"/>
          <w:sz w:val="24"/>
          <w:szCs w:val="24"/>
          <w:lang w:eastAsia="zh-HK"/>
        </w:rPr>
        <w:t xml:space="preserve">, split into first </w:t>
      </w:r>
      <w:r w:rsidR="006E5362">
        <w:rPr>
          <w:rFonts w:ascii="Times New Roman" w:eastAsia="標楷體" w:hAnsi="Times New Roman" w:cs="Times New Roman"/>
          <w:sz w:val="24"/>
          <w:szCs w:val="24"/>
          <w:lang w:eastAsia="zh-HK"/>
        </w:rPr>
        <w:t>four</w:t>
      </w:r>
      <w:r>
        <w:rPr>
          <w:rFonts w:ascii="Times New Roman" w:eastAsia="標楷體" w:hAnsi="Times New Roman" w:cs="Times New Roman"/>
          <w:sz w:val="24"/>
          <w:szCs w:val="24"/>
          <w:lang w:eastAsia="zh-HK"/>
        </w:rPr>
        <w:t xml:space="preserve"> variables </w:t>
      </w:r>
      <m:oMath>
        <m:sSub>
          <m:sSubPr>
            <m:ctrlPr>
              <w:rPr>
                <w:rFonts w:ascii="Cambria Math" w:eastAsia="標楷體" w:hAnsi="Cambria Math" w:cs="Times New Roman"/>
                <w:i/>
                <w:sz w:val="24"/>
                <w:szCs w:val="24"/>
                <w:lang w:eastAsia="zh-HK"/>
              </w:rPr>
            </m:ctrlPr>
          </m:sSubPr>
          <m:e>
            <m:r>
              <w:rPr>
                <w:rFonts w:ascii="Cambria Math" w:eastAsia="標楷體" w:hAnsi="Cambria Math" w:cs="Times New Roman"/>
                <w:sz w:val="24"/>
                <w:szCs w:val="24"/>
                <w:lang w:eastAsia="zh-HK"/>
              </w:rPr>
              <m:t>y</m:t>
            </m:r>
          </m:e>
          <m:sub>
            <m:r>
              <w:rPr>
                <w:rFonts w:ascii="Cambria Math" w:eastAsia="標楷體" w:hAnsi="Cambria Math" w:cs="Times New Roman"/>
                <w:sz w:val="24"/>
                <w:szCs w:val="24"/>
                <w:lang w:eastAsia="zh-HK"/>
              </w:rPr>
              <m:t>1,t-1</m:t>
            </m:r>
          </m:sub>
        </m:sSub>
      </m:oMath>
      <w:r>
        <w:rPr>
          <w:rFonts w:ascii="Times New Roman" w:eastAsia="標楷體" w:hAnsi="Times New Roman" w:cs="Times New Roman"/>
          <w:sz w:val="24"/>
          <w:szCs w:val="24"/>
          <w:lang w:eastAsia="zh-HK"/>
        </w:rPr>
        <w:t xml:space="preserve">, </w:t>
      </w:r>
      <m:oMath>
        <m:sSub>
          <m:sSubPr>
            <m:ctrlPr>
              <w:rPr>
                <w:rFonts w:ascii="Cambria Math" w:eastAsia="標楷體" w:hAnsi="Cambria Math" w:cs="Times New Roman"/>
                <w:i/>
                <w:sz w:val="24"/>
                <w:szCs w:val="24"/>
                <w:lang w:eastAsia="zh-HK"/>
              </w:rPr>
            </m:ctrlPr>
          </m:sSubPr>
          <m:e>
            <m:r>
              <w:rPr>
                <w:rFonts w:ascii="Cambria Math" w:eastAsia="標楷體" w:hAnsi="Cambria Math" w:cs="Times New Roman"/>
                <w:sz w:val="24"/>
                <w:szCs w:val="24"/>
                <w:lang w:eastAsia="zh-HK"/>
              </w:rPr>
              <m:t>y</m:t>
            </m:r>
          </m:e>
          <m:sub>
            <m:r>
              <w:rPr>
                <w:rFonts w:ascii="Cambria Math" w:eastAsia="標楷體" w:hAnsi="Cambria Math" w:cs="Times New Roman"/>
                <w:sz w:val="24"/>
                <w:szCs w:val="24"/>
                <w:lang w:eastAsia="zh-HK"/>
              </w:rPr>
              <m:t>2,t-1</m:t>
            </m:r>
          </m:sub>
        </m:sSub>
      </m:oMath>
      <w:r>
        <w:rPr>
          <w:rFonts w:ascii="Times New Roman" w:eastAsia="標楷體" w:hAnsi="Times New Roman" w:cs="Times New Roman"/>
          <w:sz w:val="24"/>
          <w:szCs w:val="24"/>
          <w:lang w:eastAsia="zh-HK"/>
        </w:rPr>
        <w:t xml:space="preserve">, </w:t>
      </w:r>
      <m:oMath>
        <m:sSub>
          <m:sSubPr>
            <m:ctrlPr>
              <w:rPr>
                <w:rFonts w:ascii="Cambria Math" w:eastAsia="標楷體" w:hAnsi="Cambria Math" w:cs="Times New Roman"/>
                <w:i/>
                <w:sz w:val="24"/>
                <w:szCs w:val="24"/>
                <w:lang w:eastAsia="zh-HK"/>
              </w:rPr>
            </m:ctrlPr>
          </m:sSubPr>
          <m:e>
            <m:r>
              <w:rPr>
                <w:rFonts w:ascii="Cambria Math" w:eastAsia="標楷體" w:hAnsi="Cambria Math" w:cs="Times New Roman"/>
                <w:sz w:val="24"/>
                <w:szCs w:val="24"/>
                <w:lang w:eastAsia="zh-HK"/>
              </w:rPr>
              <m:t>y</m:t>
            </m:r>
          </m:e>
          <m:sub>
            <m:r>
              <w:rPr>
                <w:rFonts w:ascii="Cambria Math" w:eastAsia="標楷體" w:hAnsi="Cambria Math" w:cs="Times New Roman"/>
                <w:sz w:val="24"/>
                <w:szCs w:val="24"/>
                <w:lang w:eastAsia="zh-HK"/>
              </w:rPr>
              <m:t>3,t-1</m:t>
            </m:r>
          </m:sub>
        </m:sSub>
      </m:oMath>
      <w:r w:rsidR="00E37291">
        <w:rPr>
          <w:rFonts w:ascii="Times New Roman" w:eastAsia="標楷體" w:hAnsi="Times New Roman" w:cs="Times New Roman"/>
          <w:sz w:val="24"/>
          <w:szCs w:val="24"/>
          <w:lang w:eastAsia="zh-HK"/>
        </w:rPr>
        <w:t xml:space="preserve">, </w:t>
      </w:r>
      <w:r>
        <w:rPr>
          <w:rFonts w:ascii="Times New Roman" w:eastAsia="標楷體" w:hAnsi="Times New Roman" w:cs="Times New Roman"/>
          <w:sz w:val="24"/>
          <w:szCs w:val="24"/>
          <w:lang w:eastAsia="zh-HK"/>
        </w:rPr>
        <w:t xml:space="preserve">and </w:t>
      </w:r>
      <m:oMath>
        <m:sSub>
          <m:sSubPr>
            <m:ctrlPr>
              <w:rPr>
                <w:rFonts w:ascii="Cambria Math" w:eastAsia="標楷體" w:hAnsi="Cambria Math" w:cs="Times New Roman"/>
                <w:i/>
                <w:sz w:val="24"/>
                <w:szCs w:val="24"/>
                <w:lang w:eastAsia="zh-HK"/>
              </w:rPr>
            </m:ctrlPr>
          </m:sSubPr>
          <m:e>
            <m:r>
              <w:rPr>
                <w:rFonts w:ascii="Cambria Math" w:eastAsia="標楷體" w:hAnsi="Cambria Math" w:cs="Times New Roman"/>
                <w:sz w:val="24"/>
                <w:szCs w:val="24"/>
                <w:lang w:eastAsia="zh-HK"/>
              </w:rPr>
              <m:t>y</m:t>
            </m:r>
          </m:e>
          <m:sub>
            <m:r>
              <w:rPr>
                <w:rFonts w:ascii="Cambria Math" w:eastAsia="標楷體" w:hAnsi="Cambria Math" w:cs="Times New Roman"/>
                <w:sz w:val="24"/>
                <w:szCs w:val="24"/>
                <w:lang w:eastAsia="zh-HK"/>
              </w:rPr>
              <m:t>4,t-1</m:t>
            </m:r>
          </m:sub>
        </m:sSub>
      </m:oMath>
      <w:r>
        <w:rPr>
          <w:rFonts w:ascii="Times New Roman" w:eastAsia="標楷體" w:hAnsi="Times New Roman" w:cs="Times New Roman"/>
          <w:sz w:val="24"/>
          <w:szCs w:val="24"/>
          <w:lang w:eastAsia="zh-HK"/>
        </w:rPr>
        <w:t xml:space="preserve"> and the remainder </w:t>
      </w:r>
      <m:oMath>
        <m:sSub>
          <m:sSubPr>
            <m:ctrlPr>
              <w:rPr>
                <w:rFonts w:ascii="Cambria Math" w:eastAsia="標楷體" w:hAnsi="Cambria Math" w:cs="Times New Roman"/>
                <w:i/>
                <w:sz w:val="24"/>
                <w:szCs w:val="24"/>
                <w:lang w:eastAsia="zh-HK"/>
              </w:rPr>
            </m:ctrlPr>
          </m:sSubPr>
          <m:e>
            <m:r>
              <m:rPr>
                <m:sty m:val="bi"/>
              </m:rPr>
              <w:rPr>
                <w:rFonts w:ascii="Cambria Math" w:eastAsia="標楷體" w:hAnsi="Cambria Math" w:cs="Times New Roman"/>
                <w:sz w:val="24"/>
                <w:szCs w:val="24"/>
                <w:lang w:eastAsia="zh-HK"/>
              </w:rPr>
              <m:t>y</m:t>
            </m:r>
          </m:e>
          <m:sub>
            <m:r>
              <w:rPr>
                <w:rFonts w:ascii="Cambria Math" w:eastAsia="標楷體" w:hAnsi="Cambria Math" w:cs="Times New Roman"/>
                <w:sz w:val="24"/>
                <w:szCs w:val="24"/>
                <w:lang w:eastAsia="zh-HK"/>
              </w:rPr>
              <m:t>j,t-1</m:t>
            </m:r>
          </m:sub>
        </m:sSub>
      </m:oMath>
      <w:r>
        <w:rPr>
          <w:rFonts w:ascii="Times New Roman" w:eastAsia="標楷體" w:hAnsi="Times New Roman" w:cs="Times New Roman"/>
          <w:sz w:val="24"/>
          <w:szCs w:val="24"/>
          <w:lang w:eastAsia="zh-HK"/>
        </w:rPr>
        <w:t xml:space="preserve"> as needed.  Short-term dynamics are captured by the difference autoregressive </w:t>
      </w:r>
      <w:proofErr w:type="gramStart"/>
      <w:r>
        <w:rPr>
          <w:rFonts w:ascii="Times New Roman" w:eastAsia="標楷體" w:hAnsi="Times New Roman" w:cs="Times New Roman"/>
          <w:sz w:val="24"/>
          <w:szCs w:val="24"/>
          <w:lang w:eastAsia="zh-HK"/>
        </w:rPr>
        <w:t xml:space="preserve">component </w:t>
      </w:r>
      <w:proofErr w:type="gramEnd"/>
      <m:oMath>
        <m:r>
          <m:rPr>
            <m:sty m:val="b"/>
          </m:rPr>
          <w:rPr>
            <w:rFonts w:ascii="Cambria Math" w:eastAsia="標楷體" w:hAnsi="Cambria Math" w:cs="Times New Roman"/>
            <w:b/>
            <w:sz w:val="24"/>
            <w:szCs w:val="24"/>
            <w:lang w:eastAsia="zh-HK"/>
          </w:rPr>
          <w:sym w:font="Symbol" w:char="F047"/>
        </m:r>
        <m:r>
          <m:rPr>
            <m:sty m:val="b"/>
          </m:rPr>
          <w:rPr>
            <w:rFonts w:ascii="Cambria Math" w:eastAsia="標楷體" w:hAnsi="Cambria Math" w:cs="Times New Roman"/>
            <w:sz w:val="24"/>
            <w:szCs w:val="24"/>
            <w:lang w:eastAsia="zh-HK"/>
          </w:rPr>
          <m:t>∙</m:t>
        </m:r>
        <m:r>
          <w:rPr>
            <w:rFonts w:ascii="Cambria Math" w:eastAsia="標楷體" w:hAnsi="Cambria Math" w:cs="Times New Roman"/>
            <w:sz w:val="24"/>
            <w:szCs w:val="24"/>
            <w:lang w:eastAsia="zh-HK"/>
          </w:rPr>
          <m:t>∆</m:t>
        </m:r>
        <m:sSub>
          <m:sSubPr>
            <m:ctrlPr>
              <w:rPr>
                <w:rFonts w:ascii="Cambria Math" w:eastAsia="標楷體" w:hAnsi="Cambria Math" w:cs="Times New Roman"/>
                <w:i/>
                <w:sz w:val="24"/>
                <w:szCs w:val="24"/>
                <w:lang w:eastAsia="zh-HK"/>
              </w:rPr>
            </m:ctrlPr>
          </m:sSubPr>
          <m:e>
            <m:r>
              <m:rPr>
                <m:sty m:val="bi"/>
              </m:rPr>
              <w:rPr>
                <w:rFonts w:ascii="Cambria Math" w:eastAsia="標楷體" w:hAnsi="Cambria Math" w:cs="Times New Roman"/>
                <w:sz w:val="24"/>
                <w:szCs w:val="24"/>
                <w:lang w:eastAsia="zh-HK"/>
              </w:rPr>
              <m:t>y</m:t>
            </m:r>
          </m:e>
          <m:sub>
            <m:r>
              <w:rPr>
                <w:rFonts w:ascii="Cambria Math" w:eastAsia="標楷體" w:hAnsi="Cambria Math" w:cs="Times New Roman"/>
                <w:sz w:val="24"/>
                <w:szCs w:val="24"/>
                <w:lang w:eastAsia="zh-HK"/>
              </w:rPr>
              <m:t>t-1</m:t>
            </m:r>
          </m:sub>
        </m:sSub>
      </m:oMath>
      <w:r>
        <w:rPr>
          <w:rFonts w:ascii="Times New Roman" w:eastAsia="標楷體" w:hAnsi="Times New Roman" w:cs="Times New Roman"/>
          <w:sz w:val="24"/>
          <w:szCs w:val="24"/>
          <w:lang w:eastAsia="zh-HK"/>
        </w:rPr>
        <w:t xml:space="preserve">, </w:t>
      </w:r>
      <w:r w:rsidR="00AF28F7">
        <w:rPr>
          <w:rFonts w:ascii="Times New Roman" w:eastAsia="標楷體" w:hAnsi="Times New Roman" w:cs="Times New Roman"/>
          <w:sz w:val="24"/>
          <w:szCs w:val="24"/>
          <w:lang w:eastAsia="zh-HK"/>
        </w:rPr>
        <w:t>with one lag as suggested by the Bayesian information criterion</w:t>
      </w:r>
      <w:r w:rsidR="00650AD9">
        <w:rPr>
          <w:rFonts w:ascii="Times New Roman" w:eastAsia="標楷體" w:hAnsi="Times New Roman" w:cs="Times New Roman"/>
          <w:sz w:val="24"/>
          <w:szCs w:val="24"/>
          <w:lang w:eastAsia="zh-HK"/>
        </w:rPr>
        <w:t>.</w:t>
      </w:r>
      <w:r w:rsidR="00AF28F7">
        <w:rPr>
          <w:rFonts w:ascii="Times New Roman" w:eastAsia="標楷體" w:hAnsi="Times New Roman" w:cs="Times New Roman"/>
          <w:sz w:val="24"/>
          <w:szCs w:val="24"/>
          <w:lang w:eastAsia="zh-HK"/>
        </w:rPr>
        <w:t xml:space="preserve"> </w:t>
      </w:r>
      <w:r w:rsidR="00650AD9">
        <w:rPr>
          <w:rFonts w:ascii="Times New Roman" w:eastAsia="標楷體" w:hAnsi="Times New Roman" w:cs="Times New Roman"/>
          <w:sz w:val="24"/>
          <w:szCs w:val="24"/>
          <w:lang w:eastAsia="zh-HK"/>
        </w:rPr>
        <w:t xml:space="preserve"> T</w:t>
      </w:r>
      <w:r>
        <w:rPr>
          <w:rFonts w:ascii="Times New Roman" w:eastAsia="標楷體" w:hAnsi="Times New Roman" w:cs="Times New Roman"/>
          <w:sz w:val="24"/>
          <w:szCs w:val="24"/>
          <w:lang w:eastAsia="zh-HK"/>
        </w:rPr>
        <w:t xml:space="preserve">he </w:t>
      </w:r>
      <w:r w:rsidR="00AF28F7">
        <w:rPr>
          <w:rFonts w:ascii="Times New Roman" w:eastAsia="標楷體" w:hAnsi="Times New Roman" w:cs="Times New Roman"/>
          <w:sz w:val="24"/>
          <w:szCs w:val="24"/>
          <w:lang w:eastAsia="zh-HK"/>
        </w:rPr>
        <w:t xml:space="preserve">summation term captures the long-term relationships represented by the </w:t>
      </w:r>
      <w:r w:rsidR="006E5362">
        <w:rPr>
          <w:rFonts w:ascii="Times New Roman" w:eastAsia="標楷體" w:hAnsi="Times New Roman" w:cs="Times New Roman"/>
          <w:sz w:val="24"/>
          <w:szCs w:val="24"/>
          <w:lang w:eastAsia="zh-HK"/>
        </w:rPr>
        <w:t>four</w:t>
      </w:r>
      <w:r w:rsidR="00AF28F7">
        <w:rPr>
          <w:rFonts w:ascii="Times New Roman" w:eastAsia="標楷體" w:hAnsi="Times New Roman" w:cs="Times New Roman"/>
          <w:sz w:val="24"/>
          <w:szCs w:val="24"/>
          <w:lang w:eastAsia="zh-HK"/>
        </w:rPr>
        <w:t xml:space="preserve"> cointegrating vectors</w:t>
      </w:r>
      <w:r w:rsidR="00650AD9">
        <w:rPr>
          <w:rFonts w:ascii="Times New Roman" w:eastAsia="標楷體" w:hAnsi="Times New Roman" w:cs="Times New Roman"/>
          <w:sz w:val="24"/>
          <w:szCs w:val="24"/>
          <w:lang w:eastAsia="zh-HK"/>
        </w:rPr>
        <w:t xml:space="preserve">, </w:t>
      </w:r>
      <w:r w:rsidR="00BC62D3">
        <w:rPr>
          <w:rFonts w:ascii="Times New Roman" w:eastAsia="標楷體" w:hAnsi="Times New Roman" w:cs="Times New Roman"/>
          <w:sz w:val="24"/>
          <w:szCs w:val="24"/>
          <w:lang w:eastAsia="zh-HK"/>
        </w:rPr>
        <w:t xml:space="preserve">which are estimated </w:t>
      </w:r>
      <w:r w:rsidR="00650AD9">
        <w:rPr>
          <w:rFonts w:ascii="Times New Roman" w:eastAsia="標楷體" w:hAnsi="Times New Roman" w:cs="Times New Roman"/>
          <w:sz w:val="24"/>
          <w:szCs w:val="24"/>
          <w:lang w:eastAsia="zh-HK"/>
        </w:rPr>
        <w:t>subject to Johansen’s (1996) identification restrictions</w:t>
      </w:r>
      <w:r w:rsidR="00650AD9" w:rsidRPr="00D71305">
        <w:rPr>
          <w:rStyle w:val="FootnoteReference"/>
          <w:rFonts w:ascii="Times New Roman" w:eastAsia="標楷體" w:hAnsi="Times New Roman" w:cs="Times New Roman"/>
          <w:sz w:val="24"/>
          <w:szCs w:val="24"/>
          <w:lang w:eastAsia="zh-HK"/>
        </w:rPr>
        <w:footnoteReference w:id="24"/>
      </w:r>
      <w:r w:rsidR="00AF28F7">
        <w:rPr>
          <w:rFonts w:ascii="Times New Roman" w:eastAsia="標楷體" w:hAnsi="Times New Roman" w:cs="Times New Roman"/>
          <w:sz w:val="24"/>
          <w:szCs w:val="24"/>
          <w:lang w:eastAsia="zh-HK"/>
        </w:rPr>
        <w:t>.</w:t>
      </w:r>
    </w:p>
    <w:p w14:paraId="736CCFDF" w14:textId="25AF6E72" w:rsidR="00F35EE4" w:rsidRDefault="006A324A" w:rsidP="00F35EE4">
      <w:pPr>
        <w:pStyle w:val="ListParagraph"/>
        <w:numPr>
          <w:ilvl w:val="0"/>
          <w:numId w:val="3"/>
        </w:numPr>
        <w:overflowPunct w:val="0"/>
        <w:snapToGrid w:val="0"/>
        <w:spacing w:after="120" w:line="300" w:lineRule="auto"/>
        <w:ind w:left="0" w:firstLine="0"/>
        <w:jc w:val="both"/>
        <w:rPr>
          <w:rFonts w:ascii="Times New Roman" w:eastAsia="標楷體" w:hAnsi="Times New Roman" w:cs="Times New Roman"/>
          <w:sz w:val="24"/>
          <w:szCs w:val="24"/>
          <w:lang w:eastAsia="zh-HK"/>
        </w:rPr>
      </w:pPr>
      <w:r w:rsidRPr="006A324A">
        <w:rPr>
          <w:rFonts w:ascii="Times New Roman" w:eastAsia="標楷體" w:hAnsi="Times New Roman" w:cs="Times New Roman"/>
          <w:sz w:val="24"/>
          <w:szCs w:val="24"/>
          <w:lang w:eastAsia="zh-HK"/>
        </w:rPr>
        <w:lastRenderedPageBreak/>
        <w:t xml:space="preserve">As the dynamics of the model are quite complex, it is difficult to interpret the coefficients directly.  </w:t>
      </w:r>
      <w:r w:rsidR="0096410A">
        <w:rPr>
          <w:rFonts w:ascii="Times New Roman" w:eastAsia="標楷體" w:hAnsi="Times New Roman" w:cs="Times New Roman"/>
          <w:sz w:val="24"/>
          <w:szCs w:val="24"/>
          <w:lang w:eastAsia="zh-HK"/>
        </w:rPr>
        <w:t xml:space="preserve">In this </w:t>
      </w:r>
      <w:r w:rsidR="00633C60">
        <w:rPr>
          <w:rFonts w:ascii="Times New Roman" w:eastAsia="標楷體" w:hAnsi="Times New Roman" w:cs="Times New Roman"/>
          <w:sz w:val="24"/>
          <w:szCs w:val="24"/>
          <w:lang w:eastAsia="zh-HK"/>
        </w:rPr>
        <w:t>circumstance</w:t>
      </w:r>
      <w:r w:rsidR="009C4E52">
        <w:rPr>
          <w:rFonts w:ascii="Times New Roman" w:eastAsia="標楷體" w:hAnsi="Times New Roman" w:cs="Times New Roman"/>
          <w:sz w:val="24"/>
          <w:szCs w:val="24"/>
          <w:lang w:eastAsia="zh-HK"/>
        </w:rPr>
        <w:t xml:space="preserve">, impulse response functions are useful to further explore the effect of one variable on another.  </w:t>
      </w:r>
      <w:r w:rsidR="0096410A">
        <w:rPr>
          <w:rFonts w:ascii="Times New Roman" w:eastAsia="標楷體" w:hAnsi="Times New Roman" w:cs="Times New Roman"/>
          <w:sz w:val="24"/>
          <w:szCs w:val="24"/>
          <w:lang w:eastAsia="zh-HK"/>
        </w:rPr>
        <w:t>To this end</w:t>
      </w:r>
      <w:r w:rsidRPr="006A324A">
        <w:rPr>
          <w:rFonts w:ascii="Times New Roman" w:eastAsia="標楷體" w:hAnsi="Times New Roman" w:cs="Times New Roman"/>
          <w:sz w:val="24"/>
          <w:szCs w:val="24"/>
          <w:lang w:eastAsia="zh-HK"/>
        </w:rPr>
        <w:t xml:space="preserve">, </w:t>
      </w:r>
      <w:r w:rsidRPr="006A324A">
        <w:rPr>
          <w:rFonts w:ascii="Times New Roman" w:eastAsia="標楷體" w:hAnsi="Times New Roman" w:cs="Times New Roman"/>
          <w:b/>
          <w:sz w:val="24"/>
          <w:szCs w:val="24"/>
          <w:lang w:eastAsia="zh-HK"/>
        </w:rPr>
        <w:t>Chart 2</w:t>
      </w:r>
      <w:r>
        <w:rPr>
          <w:rFonts w:ascii="Times New Roman" w:eastAsia="標楷體" w:hAnsi="Times New Roman" w:cs="Times New Roman"/>
          <w:sz w:val="24"/>
          <w:szCs w:val="24"/>
          <w:lang w:eastAsia="zh-HK"/>
        </w:rPr>
        <w:t xml:space="preserve"> plots the impulse response function for the effect of a current change in residential property prices on </w:t>
      </w:r>
      <w:r w:rsidR="00F215FA">
        <w:rPr>
          <w:rFonts w:ascii="Times New Roman" w:eastAsia="標楷體" w:hAnsi="Times New Roman" w:cs="Times New Roman"/>
          <w:sz w:val="24"/>
          <w:szCs w:val="24"/>
          <w:lang w:eastAsia="zh-HK"/>
        </w:rPr>
        <w:t>the housing and overall CCPI indices</w:t>
      </w:r>
      <w:r>
        <w:rPr>
          <w:rFonts w:ascii="Times New Roman" w:eastAsia="標楷體" w:hAnsi="Times New Roman" w:cs="Times New Roman"/>
          <w:sz w:val="24"/>
          <w:szCs w:val="24"/>
          <w:lang w:eastAsia="zh-HK"/>
        </w:rPr>
        <w:t xml:space="preserve">.  </w:t>
      </w:r>
      <w:r w:rsidR="009C4E52" w:rsidRPr="009C4E52">
        <w:rPr>
          <w:rFonts w:ascii="Times New Roman" w:eastAsia="標楷體" w:hAnsi="Times New Roman" w:cs="Times New Roman"/>
          <w:sz w:val="24"/>
          <w:szCs w:val="24"/>
          <w:lang w:eastAsia="zh-HK"/>
        </w:rPr>
        <w:t>A</w:t>
      </w:r>
      <w:r w:rsidR="00EB7939">
        <w:rPr>
          <w:rFonts w:ascii="Times New Roman" w:eastAsia="標楷體" w:hAnsi="Times New Roman" w:cs="Times New Roman"/>
          <w:sz w:val="24"/>
          <w:szCs w:val="24"/>
          <w:lang w:eastAsia="zh-HK"/>
        </w:rPr>
        <w:t xml:space="preserve">s implied by present value theory, </w:t>
      </w:r>
      <w:r w:rsidR="00E11AC1">
        <w:rPr>
          <w:rFonts w:ascii="Times New Roman" w:eastAsia="標楷體" w:hAnsi="Times New Roman" w:cs="Times New Roman"/>
          <w:sz w:val="24"/>
          <w:szCs w:val="24"/>
          <w:lang w:eastAsia="zh-HK"/>
        </w:rPr>
        <w:t>the elasticity of CCPI housing costs with respect to</w:t>
      </w:r>
      <w:r w:rsidR="00EB7939">
        <w:rPr>
          <w:rFonts w:ascii="Times New Roman" w:eastAsia="標楷體" w:hAnsi="Times New Roman" w:cs="Times New Roman"/>
          <w:sz w:val="24"/>
          <w:szCs w:val="24"/>
          <w:lang w:eastAsia="zh-HK"/>
        </w:rPr>
        <w:t xml:space="preserve"> residential property prices </w:t>
      </w:r>
      <w:r w:rsidR="00E11AC1">
        <w:rPr>
          <w:rFonts w:ascii="Times New Roman" w:eastAsia="標楷體" w:hAnsi="Times New Roman" w:cs="Times New Roman"/>
          <w:sz w:val="24"/>
          <w:szCs w:val="24"/>
          <w:lang w:eastAsia="zh-HK"/>
        </w:rPr>
        <w:t>approaches 0.9</w:t>
      </w:r>
      <w:r w:rsidR="00EB7939">
        <w:rPr>
          <w:rFonts w:ascii="Times New Roman" w:eastAsia="標楷體" w:hAnsi="Times New Roman" w:cs="Times New Roman"/>
          <w:sz w:val="24"/>
          <w:szCs w:val="24"/>
          <w:lang w:eastAsia="zh-HK"/>
        </w:rPr>
        <w:t xml:space="preserve"> over the long term</w:t>
      </w:r>
      <w:r w:rsidR="00E11AC1">
        <w:rPr>
          <w:rStyle w:val="FootnoteReference"/>
          <w:rFonts w:ascii="Times New Roman" w:eastAsia="標楷體" w:hAnsi="Times New Roman" w:cs="Times New Roman"/>
          <w:sz w:val="24"/>
          <w:szCs w:val="24"/>
          <w:lang w:eastAsia="zh-HK"/>
        </w:rPr>
        <w:footnoteReference w:id="25"/>
      </w:r>
      <w:r w:rsidR="005C72D6">
        <w:rPr>
          <w:rFonts w:ascii="Times New Roman" w:eastAsia="標楷體" w:hAnsi="Times New Roman" w:cs="Times New Roman"/>
          <w:sz w:val="24"/>
          <w:szCs w:val="24"/>
          <w:lang w:eastAsia="zh-HK"/>
        </w:rPr>
        <w:t xml:space="preserve">.  </w:t>
      </w:r>
      <w:r w:rsidR="00167F0B">
        <w:rPr>
          <w:rFonts w:ascii="Times New Roman" w:eastAsia="標楷體" w:hAnsi="Times New Roman" w:cs="Times New Roman"/>
          <w:sz w:val="24"/>
          <w:szCs w:val="24"/>
          <w:lang w:eastAsia="zh-HK"/>
        </w:rPr>
        <w:t>For instance</w:t>
      </w:r>
      <w:r w:rsidR="005C72D6">
        <w:rPr>
          <w:rFonts w:ascii="Times New Roman" w:eastAsia="標楷體" w:hAnsi="Times New Roman" w:cs="Times New Roman"/>
          <w:sz w:val="24"/>
          <w:szCs w:val="24"/>
          <w:lang w:eastAsia="zh-HK"/>
        </w:rPr>
        <w:t xml:space="preserve">, a 10% increase in private residential property prices is expected to </w:t>
      </w:r>
      <w:r w:rsidR="00F35EE4">
        <w:rPr>
          <w:rFonts w:ascii="Times New Roman" w:eastAsia="標楷體" w:hAnsi="Times New Roman" w:cs="Times New Roman"/>
          <w:sz w:val="24"/>
          <w:szCs w:val="24"/>
          <w:lang w:eastAsia="zh-HK"/>
        </w:rPr>
        <w:t>foreshadow</w:t>
      </w:r>
      <w:r w:rsidR="005C72D6">
        <w:rPr>
          <w:rFonts w:ascii="Times New Roman" w:eastAsia="標楷體" w:hAnsi="Times New Roman" w:cs="Times New Roman"/>
          <w:sz w:val="24"/>
          <w:szCs w:val="24"/>
          <w:lang w:eastAsia="zh-HK"/>
        </w:rPr>
        <w:t xml:space="preserve"> 2.25% higher housing costs one year later, 4.46% higher housing costs two years later, and so on until the </w:t>
      </w:r>
      <w:r w:rsidR="0096410A">
        <w:rPr>
          <w:rFonts w:ascii="Times New Roman" w:eastAsia="標楷體" w:hAnsi="Times New Roman" w:cs="Times New Roman"/>
          <w:sz w:val="24"/>
          <w:szCs w:val="24"/>
          <w:lang w:eastAsia="zh-HK"/>
        </w:rPr>
        <w:t xml:space="preserve">full </w:t>
      </w:r>
      <w:r w:rsidR="005C72D6">
        <w:rPr>
          <w:rFonts w:ascii="Times New Roman" w:eastAsia="標楷體" w:hAnsi="Times New Roman" w:cs="Times New Roman"/>
          <w:sz w:val="24"/>
          <w:szCs w:val="24"/>
          <w:lang w:eastAsia="zh-HK"/>
        </w:rPr>
        <w:t>effect is eventually around 9% in the long run.</w:t>
      </w:r>
    </w:p>
    <w:p w14:paraId="6E8A6AD8" w14:textId="77777777" w:rsidR="0096410A" w:rsidRPr="0096410A" w:rsidRDefault="0096410A" w:rsidP="0096410A">
      <w:pPr>
        <w:pStyle w:val="ListParagraph"/>
        <w:overflowPunct w:val="0"/>
        <w:snapToGrid w:val="0"/>
        <w:spacing w:after="120" w:line="300" w:lineRule="auto"/>
        <w:ind w:left="0"/>
        <w:jc w:val="both"/>
        <w:rPr>
          <w:rFonts w:ascii="Times New Roman" w:eastAsia="標楷體" w:hAnsi="Times New Roman" w:cs="Times New Roman"/>
          <w:sz w:val="16"/>
          <w:szCs w:val="24"/>
          <w:lang w:eastAsia="zh-HK"/>
        </w:rPr>
      </w:pPr>
    </w:p>
    <w:p w14:paraId="34D5AB36" w14:textId="147F7889" w:rsidR="009A1EA6" w:rsidRDefault="009A1EA6" w:rsidP="009A1EA6">
      <w:pPr>
        <w:pStyle w:val="ListParagraph"/>
        <w:overflowPunct w:val="0"/>
        <w:snapToGrid w:val="0"/>
        <w:spacing w:after="120" w:line="300" w:lineRule="auto"/>
        <w:ind w:left="0"/>
        <w:jc w:val="center"/>
        <w:rPr>
          <w:rFonts w:ascii="Times New Roman" w:eastAsia="標楷體" w:hAnsi="Times New Roman" w:cs="Times New Roman"/>
          <w:b/>
          <w:sz w:val="24"/>
          <w:szCs w:val="24"/>
          <w:lang w:eastAsia="zh-HK"/>
        </w:rPr>
      </w:pPr>
      <w:r w:rsidRPr="00D71305">
        <w:rPr>
          <w:rFonts w:ascii="Times New Roman" w:eastAsia="標楷體" w:hAnsi="Times New Roman" w:cs="Times New Roman"/>
          <w:b/>
          <w:sz w:val="24"/>
          <w:szCs w:val="24"/>
          <w:lang w:eastAsia="zh-HK"/>
        </w:rPr>
        <w:t xml:space="preserve">Chart 2: Impulse </w:t>
      </w:r>
      <w:r>
        <w:rPr>
          <w:rFonts w:ascii="Times New Roman" w:eastAsia="標楷體" w:hAnsi="Times New Roman" w:cs="Times New Roman"/>
          <w:b/>
          <w:sz w:val="24"/>
          <w:szCs w:val="24"/>
          <w:lang w:eastAsia="zh-HK"/>
        </w:rPr>
        <w:t>Response</w:t>
      </w:r>
      <w:r w:rsidR="002940EE">
        <w:rPr>
          <w:rFonts w:ascii="Times New Roman" w:eastAsia="標楷體" w:hAnsi="Times New Roman" w:cs="Times New Roman"/>
          <w:b/>
          <w:sz w:val="24"/>
          <w:szCs w:val="24"/>
          <w:lang w:eastAsia="zh-HK"/>
        </w:rPr>
        <w:t>s</w:t>
      </w:r>
      <w:r w:rsidRPr="00D71305">
        <w:rPr>
          <w:rFonts w:ascii="Times New Roman" w:eastAsia="標楷體" w:hAnsi="Times New Roman" w:cs="Times New Roman"/>
          <w:b/>
          <w:sz w:val="24"/>
          <w:szCs w:val="24"/>
          <w:lang w:eastAsia="zh-HK"/>
        </w:rPr>
        <w:t xml:space="preserve"> of Log </w:t>
      </w:r>
      <w:r>
        <w:rPr>
          <w:rFonts w:ascii="Times New Roman" w:eastAsia="標楷體" w:hAnsi="Times New Roman" w:cs="Times New Roman"/>
          <w:b/>
          <w:sz w:val="24"/>
          <w:szCs w:val="24"/>
          <w:lang w:eastAsia="zh-HK"/>
        </w:rPr>
        <w:t xml:space="preserve">CCPI </w:t>
      </w:r>
      <w:r w:rsidR="002940EE">
        <w:rPr>
          <w:rFonts w:ascii="Times New Roman" w:eastAsia="標楷體" w:hAnsi="Times New Roman" w:cs="Times New Roman"/>
          <w:b/>
          <w:sz w:val="24"/>
          <w:szCs w:val="24"/>
          <w:lang w:eastAsia="zh-HK"/>
        </w:rPr>
        <w:t>Indices</w:t>
      </w:r>
      <w:r>
        <w:rPr>
          <w:rFonts w:ascii="Times New Roman" w:eastAsia="標楷體" w:hAnsi="Times New Roman" w:cs="Times New Roman"/>
          <w:b/>
          <w:sz w:val="24"/>
          <w:szCs w:val="24"/>
          <w:lang w:eastAsia="zh-HK"/>
        </w:rPr>
        <w:t xml:space="preserve"> to</w:t>
      </w:r>
    </w:p>
    <w:p w14:paraId="5B204F39" w14:textId="0F75F68A" w:rsidR="006A324A" w:rsidRDefault="009A1EA6" w:rsidP="009A1EA6">
      <w:pPr>
        <w:pStyle w:val="ListParagraph"/>
        <w:overflowPunct w:val="0"/>
        <w:snapToGrid w:val="0"/>
        <w:spacing w:after="120" w:line="300" w:lineRule="auto"/>
        <w:ind w:left="0"/>
        <w:jc w:val="center"/>
        <w:rPr>
          <w:rFonts w:ascii="Times New Roman" w:eastAsia="標楷體" w:hAnsi="Times New Roman" w:cs="Times New Roman"/>
          <w:sz w:val="24"/>
          <w:szCs w:val="24"/>
          <w:lang w:eastAsia="zh-HK"/>
        </w:rPr>
      </w:pPr>
      <w:r w:rsidRPr="00D71305">
        <w:rPr>
          <w:rFonts w:ascii="Times New Roman" w:eastAsia="標楷體" w:hAnsi="Times New Roman" w:cs="Times New Roman"/>
          <w:b/>
          <w:sz w:val="24"/>
          <w:szCs w:val="24"/>
          <w:lang w:eastAsia="zh-HK"/>
        </w:rPr>
        <w:t xml:space="preserve">Log </w:t>
      </w:r>
      <w:r>
        <w:rPr>
          <w:rFonts w:ascii="Times New Roman" w:eastAsia="標楷體" w:hAnsi="Times New Roman" w:cs="Times New Roman"/>
          <w:b/>
          <w:sz w:val="24"/>
          <w:szCs w:val="24"/>
          <w:lang w:eastAsia="zh-HK"/>
        </w:rPr>
        <w:t>Private Domestic Property Price Index (Overall)</w:t>
      </w:r>
    </w:p>
    <w:p w14:paraId="4DA1BDD3" w14:textId="6E0081A5" w:rsidR="005846AB" w:rsidRPr="006A324A" w:rsidRDefault="00047878" w:rsidP="006A324A">
      <w:pPr>
        <w:pStyle w:val="ListParagraph"/>
        <w:overflowPunct w:val="0"/>
        <w:snapToGrid w:val="0"/>
        <w:spacing w:after="120" w:line="300" w:lineRule="auto"/>
        <w:ind w:left="0"/>
        <w:jc w:val="both"/>
        <w:rPr>
          <w:rFonts w:ascii="Times New Roman" w:eastAsia="標楷體" w:hAnsi="Times New Roman" w:cs="Times New Roman"/>
          <w:sz w:val="24"/>
          <w:szCs w:val="24"/>
          <w:lang w:eastAsia="zh-HK"/>
        </w:rPr>
      </w:pPr>
      <w:r>
        <w:rPr>
          <w:noProof/>
        </w:rPr>
        <w:drawing>
          <wp:inline distT="0" distB="0" distL="0" distR="0" wp14:anchorId="3C7A0C7D" wp14:editId="18087BEE">
            <wp:extent cx="5274310" cy="3265170"/>
            <wp:effectExtent l="0" t="0" r="254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7B21E9" w14:textId="12549007" w:rsidR="00A95683" w:rsidRPr="00A95683" w:rsidRDefault="00DA2D0C" w:rsidP="00625176">
      <w:pPr>
        <w:pStyle w:val="ListParagraph"/>
        <w:numPr>
          <w:ilvl w:val="0"/>
          <w:numId w:val="3"/>
        </w:numPr>
        <w:overflowPunct w:val="0"/>
        <w:snapToGrid w:val="0"/>
        <w:spacing w:after="24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As for the overall CCPI, t</w:t>
      </w:r>
      <w:r w:rsidR="009716A2">
        <w:rPr>
          <w:rFonts w:ascii="Times New Roman" w:eastAsia="標楷體" w:hAnsi="Times New Roman" w:cs="Times New Roman"/>
          <w:sz w:val="24"/>
          <w:szCs w:val="24"/>
          <w:lang w:eastAsia="zh-HK"/>
        </w:rPr>
        <w:t xml:space="preserve">he </w:t>
      </w:r>
      <w:r w:rsidR="009C4E52">
        <w:rPr>
          <w:rFonts w:ascii="Times New Roman" w:eastAsia="標楷體" w:hAnsi="Times New Roman" w:cs="Times New Roman"/>
          <w:sz w:val="24"/>
          <w:szCs w:val="24"/>
          <w:lang w:eastAsia="zh-HK"/>
        </w:rPr>
        <w:t xml:space="preserve">estimated </w:t>
      </w:r>
      <w:r w:rsidR="009716A2">
        <w:rPr>
          <w:rFonts w:ascii="Times New Roman" w:eastAsia="標楷體" w:hAnsi="Times New Roman" w:cs="Times New Roman"/>
          <w:sz w:val="24"/>
          <w:szCs w:val="24"/>
          <w:lang w:eastAsia="zh-HK"/>
        </w:rPr>
        <w:t>pass-through</w:t>
      </w:r>
      <w:r w:rsidR="009C4E52">
        <w:rPr>
          <w:rFonts w:ascii="Times New Roman" w:eastAsia="標楷體" w:hAnsi="Times New Roman" w:cs="Times New Roman"/>
          <w:sz w:val="24"/>
          <w:szCs w:val="24"/>
          <w:lang w:eastAsia="zh-HK"/>
        </w:rPr>
        <w:t xml:space="preserve"> of a 10% increase in private residential property prices</w:t>
      </w:r>
      <w:r w:rsidR="009716A2">
        <w:rPr>
          <w:rFonts w:ascii="Times New Roman" w:eastAsia="標楷體" w:hAnsi="Times New Roman" w:cs="Times New Roman"/>
          <w:sz w:val="24"/>
          <w:szCs w:val="24"/>
          <w:lang w:eastAsia="zh-HK"/>
        </w:rPr>
        <w:t xml:space="preserve"> is 1.74% one year later, 3.08% two years later, and eventually </w:t>
      </w:r>
      <w:r w:rsidR="00B3657F">
        <w:rPr>
          <w:rFonts w:ascii="Times New Roman" w:eastAsia="標楷體" w:hAnsi="Times New Roman" w:cs="Times New Roman"/>
          <w:sz w:val="24"/>
          <w:szCs w:val="24"/>
          <w:lang w:eastAsia="zh-HK"/>
        </w:rPr>
        <w:t>around</w:t>
      </w:r>
      <w:r w:rsidR="009716A2">
        <w:rPr>
          <w:rFonts w:ascii="Times New Roman" w:eastAsia="標楷體" w:hAnsi="Times New Roman" w:cs="Times New Roman"/>
          <w:sz w:val="24"/>
          <w:szCs w:val="24"/>
          <w:lang w:eastAsia="zh-HK"/>
        </w:rPr>
        <w:t xml:space="preserve"> 6% in the long run.</w:t>
      </w:r>
      <w:r>
        <w:rPr>
          <w:rFonts w:ascii="Times New Roman" w:eastAsia="標楷體" w:hAnsi="Times New Roman" w:cs="Times New Roman"/>
          <w:sz w:val="24"/>
          <w:szCs w:val="24"/>
          <w:lang w:eastAsia="zh-HK"/>
        </w:rPr>
        <w:t xml:space="preserve">  Notably</w:t>
      </w:r>
      <w:r w:rsidR="005C72D6">
        <w:rPr>
          <w:rFonts w:ascii="Times New Roman" w:eastAsia="標楷體" w:hAnsi="Times New Roman" w:cs="Times New Roman"/>
          <w:sz w:val="24"/>
          <w:szCs w:val="24"/>
          <w:lang w:eastAsia="zh-HK"/>
        </w:rPr>
        <w:t>, the eventual effect</w:t>
      </w:r>
      <w:r w:rsidR="00887C6A">
        <w:rPr>
          <w:rFonts w:ascii="Times New Roman" w:eastAsia="標楷體" w:hAnsi="Times New Roman" w:cs="Times New Roman"/>
          <w:sz w:val="24"/>
          <w:szCs w:val="24"/>
          <w:lang w:eastAsia="zh-HK"/>
        </w:rPr>
        <w:t>, a long-run elasticity of about 0.6,</w:t>
      </w:r>
      <w:r w:rsidR="005C72D6">
        <w:rPr>
          <w:rFonts w:ascii="Times New Roman" w:eastAsia="標楷體" w:hAnsi="Times New Roman" w:cs="Times New Roman"/>
          <w:sz w:val="24"/>
          <w:szCs w:val="24"/>
          <w:lang w:eastAsia="zh-HK"/>
        </w:rPr>
        <w:t xml:space="preserve"> is somewhat larger</w:t>
      </w:r>
      <w:r w:rsidR="009C4E52">
        <w:rPr>
          <w:rFonts w:ascii="Times New Roman" w:eastAsia="標楷體" w:hAnsi="Times New Roman" w:cs="Times New Roman"/>
          <w:sz w:val="24"/>
          <w:szCs w:val="24"/>
          <w:lang w:eastAsia="zh-HK"/>
        </w:rPr>
        <w:t xml:space="preserve"> than the </w:t>
      </w:r>
      <w:r>
        <w:rPr>
          <w:rFonts w:ascii="Times New Roman" w:eastAsia="標楷體" w:hAnsi="Times New Roman" w:cs="Times New Roman"/>
          <w:sz w:val="24"/>
          <w:szCs w:val="24"/>
          <w:lang w:eastAsia="zh-HK"/>
        </w:rPr>
        <w:t xml:space="preserve">expected impact </w:t>
      </w:r>
      <w:r w:rsidR="004F2385">
        <w:rPr>
          <w:rFonts w:ascii="Times New Roman" w:eastAsia="標楷體" w:hAnsi="Times New Roman" w:cs="Times New Roman"/>
          <w:sz w:val="24"/>
          <w:szCs w:val="24"/>
          <w:lang w:eastAsia="zh-HK"/>
        </w:rPr>
        <w:t>from the rise in housing costs alone</w:t>
      </w:r>
      <w:r w:rsidR="0096410A">
        <w:rPr>
          <w:rStyle w:val="FootnoteReference"/>
          <w:rFonts w:ascii="Times New Roman" w:eastAsia="標楷體" w:hAnsi="Times New Roman" w:cs="Times New Roman"/>
          <w:sz w:val="24"/>
          <w:szCs w:val="24"/>
          <w:lang w:eastAsia="zh-HK"/>
        </w:rPr>
        <w:footnoteReference w:id="26"/>
      </w:r>
      <w:r w:rsidR="00B3657F">
        <w:rPr>
          <w:rFonts w:ascii="Times New Roman" w:eastAsia="標楷體" w:hAnsi="Times New Roman" w:cs="Times New Roman"/>
          <w:sz w:val="24"/>
          <w:szCs w:val="24"/>
          <w:lang w:eastAsia="zh-HK"/>
        </w:rPr>
        <w:t>.</w:t>
      </w:r>
      <w:r>
        <w:rPr>
          <w:rFonts w:ascii="Times New Roman" w:eastAsia="標楷體" w:hAnsi="Times New Roman" w:cs="Times New Roman"/>
          <w:sz w:val="24"/>
          <w:szCs w:val="24"/>
          <w:lang w:eastAsia="zh-HK"/>
        </w:rPr>
        <w:t xml:space="preserve">  C</w:t>
      </w:r>
      <w:r w:rsidR="005C72D6">
        <w:rPr>
          <w:rFonts w:ascii="Times New Roman" w:eastAsia="標楷體" w:hAnsi="Times New Roman" w:cs="Times New Roman"/>
          <w:sz w:val="24"/>
          <w:szCs w:val="24"/>
          <w:lang w:eastAsia="zh-HK"/>
        </w:rPr>
        <w:t>onceivably</w:t>
      </w:r>
      <w:r>
        <w:rPr>
          <w:rFonts w:ascii="Times New Roman" w:eastAsia="標楷體" w:hAnsi="Times New Roman" w:cs="Times New Roman"/>
          <w:sz w:val="24"/>
          <w:szCs w:val="24"/>
          <w:lang w:eastAsia="zh-HK"/>
        </w:rPr>
        <w:t xml:space="preserve">, </w:t>
      </w:r>
      <w:r w:rsidR="00B3657F">
        <w:rPr>
          <w:rFonts w:ascii="Times New Roman" w:eastAsia="標楷體" w:hAnsi="Times New Roman" w:cs="Times New Roman"/>
          <w:sz w:val="24"/>
          <w:szCs w:val="24"/>
          <w:lang w:eastAsia="zh-HK"/>
        </w:rPr>
        <w:t xml:space="preserve">the </w:t>
      </w:r>
      <w:proofErr w:type="spellStart"/>
      <w:r w:rsidR="004F2385">
        <w:rPr>
          <w:rFonts w:ascii="Times New Roman" w:eastAsia="標楷體" w:hAnsi="Times New Roman" w:cs="Times New Roman"/>
          <w:sz w:val="24"/>
          <w:szCs w:val="24"/>
          <w:lang w:eastAsia="zh-HK"/>
        </w:rPr>
        <w:t>spillover</w:t>
      </w:r>
      <w:proofErr w:type="spellEnd"/>
      <w:r w:rsidR="004F2385">
        <w:rPr>
          <w:rFonts w:ascii="Times New Roman" w:eastAsia="標楷體" w:hAnsi="Times New Roman" w:cs="Times New Roman"/>
          <w:sz w:val="24"/>
          <w:szCs w:val="24"/>
          <w:lang w:eastAsia="zh-HK"/>
        </w:rPr>
        <w:t xml:space="preserve"> effects</w:t>
      </w:r>
      <w:r>
        <w:rPr>
          <w:rFonts w:ascii="Times New Roman" w:eastAsia="標楷體" w:hAnsi="Times New Roman" w:cs="Times New Roman"/>
          <w:sz w:val="24"/>
          <w:szCs w:val="24"/>
          <w:lang w:eastAsia="zh-HK"/>
        </w:rPr>
        <w:t xml:space="preserve"> arise</w:t>
      </w:r>
      <w:r w:rsidR="005C72D6">
        <w:rPr>
          <w:rFonts w:ascii="Times New Roman" w:eastAsia="標楷體" w:hAnsi="Times New Roman" w:cs="Times New Roman"/>
          <w:sz w:val="24"/>
          <w:szCs w:val="24"/>
          <w:lang w:eastAsia="zh-HK"/>
        </w:rPr>
        <w:t xml:space="preserve"> </w:t>
      </w:r>
      <w:r w:rsidR="004F2385">
        <w:rPr>
          <w:rFonts w:ascii="Times New Roman" w:eastAsia="標楷體" w:hAnsi="Times New Roman" w:cs="Times New Roman"/>
          <w:sz w:val="24"/>
          <w:szCs w:val="24"/>
          <w:lang w:eastAsia="zh-HK"/>
        </w:rPr>
        <w:t>because of</w:t>
      </w:r>
      <w:r w:rsidR="005C72D6">
        <w:rPr>
          <w:rFonts w:ascii="Times New Roman" w:eastAsia="標楷體" w:hAnsi="Times New Roman" w:cs="Times New Roman"/>
          <w:sz w:val="24"/>
          <w:szCs w:val="24"/>
          <w:lang w:eastAsia="zh-HK"/>
        </w:rPr>
        <w:t xml:space="preserve"> </w:t>
      </w:r>
      <w:r w:rsidR="004F2385">
        <w:rPr>
          <w:rFonts w:ascii="Times New Roman" w:eastAsia="標楷體" w:hAnsi="Times New Roman" w:cs="Times New Roman"/>
          <w:sz w:val="24"/>
          <w:szCs w:val="24"/>
          <w:lang w:eastAsia="zh-HK"/>
        </w:rPr>
        <w:t xml:space="preserve">housing </w:t>
      </w:r>
      <w:r w:rsidR="005C72D6">
        <w:rPr>
          <w:rFonts w:ascii="Times New Roman" w:eastAsia="標楷體" w:hAnsi="Times New Roman" w:cs="Times New Roman"/>
          <w:sz w:val="24"/>
          <w:szCs w:val="24"/>
          <w:lang w:eastAsia="zh-HK"/>
        </w:rPr>
        <w:t>wealth effects or correlations between the demand for housing and the demand for other goods and services.</w:t>
      </w:r>
    </w:p>
    <w:p w14:paraId="6698BD63" w14:textId="7598A95D" w:rsidR="00191584" w:rsidRDefault="004F2385" w:rsidP="009C4E52">
      <w:pPr>
        <w:rPr>
          <w:rFonts w:ascii="Times New Roman" w:eastAsia="標楷體" w:hAnsi="Times New Roman" w:cs="Times New Roman"/>
          <w:b/>
          <w:sz w:val="24"/>
          <w:szCs w:val="24"/>
          <w:lang w:eastAsia="zh-HK"/>
        </w:rPr>
      </w:pPr>
      <w:r>
        <w:rPr>
          <w:rFonts w:ascii="Times New Roman" w:eastAsia="標楷體" w:hAnsi="Times New Roman" w:cs="Times New Roman"/>
          <w:b/>
          <w:sz w:val="24"/>
          <w:szCs w:val="24"/>
          <w:lang w:eastAsia="zh-HK"/>
        </w:rPr>
        <w:br w:type="page"/>
      </w:r>
      <w:r w:rsidR="00191584">
        <w:rPr>
          <w:rFonts w:ascii="Times New Roman" w:eastAsia="標楷體" w:hAnsi="Times New Roman" w:cs="Times New Roman"/>
          <w:b/>
          <w:sz w:val="24"/>
          <w:szCs w:val="24"/>
          <w:lang w:eastAsia="zh-HK"/>
        </w:rPr>
        <w:lastRenderedPageBreak/>
        <w:t>V.</w:t>
      </w:r>
      <w:r w:rsidR="00191584">
        <w:rPr>
          <w:rFonts w:ascii="Times New Roman" w:eastAsia="標楷體" w:hAnsi="Times New Roman" w:cs="Times New Roman"/>
          <w:b/>
          <w:sz w:val="24"/>
          <w:szCs w:val="24"/>
          <w:lang w:eastAsia="zh-HK"/>
        </w:rPr>
        <w:tab/>
        <w:t>CONCLUSIONS</w:t>
      </w:r>
    </w:p>
    <w:p w14:paraId="0CA664B9" w14:textId="77777777" w:rsidR="00191584" w:rsidRDefault="00191584" w:rsidP="00191584">
      <w:pPr>
        <w:pStyle w:val="ListParagraph"/>
        <w:overflowPunct w:val="0"/>
        <w:snapToGrid w:val="0"/>
        <w:spacing w:after="0" w:line="300" w:lineRule="auto"/>
        <w:ind w:left="0"/>
        <w:jc w:val="both"/>
        <w:rPr>
          <w:rFonts w:ascii="Times New Roman" w:eastAsia="標楷體" w:hAnsi="Times New Roman" w:cs="Times New Roman"/>
          <w:sz w:val="24"/>
          <w:szCs w:val="24"/>
          <w:lang w:eastAsia="zh-HK"/>
        </w:rPr>
      </w:pPr>
    </w:p>
    <w:p w14:paraId="697C28A4" w14:textId="722054AD" w:rsidR="00191584" w:rsidRPr="00F065EA" w:rsidRDefault="00B3657F" w:rsidP="00F065EA">
      <w:pPr>
        <w:pStyle w:val="ListParagraph"/>
        <w:numPr>
          <w:ilvl w:val="0"/>
          <w:numId w:val="3"/>
        </w:numPr>
        <w:overflowPunct w:val="0"/>
        <w:snapToGrid w:val="0"/>
        <w:spacing w:after="0" w:line="300" w:lineRule="auto"/>
        <w:ind w:left="0" w:firstLine="0"/>
        <w:jc w:val="both"/>
        <w:rPr>
          <w:rFonts w:ascii="Times New Roman" w:eastAsia="標楷體" w:hAnsi="Times New Roman" w:cs="Times New Roman"/>
          <w:sz w:val="24"/>
          <w:szCs w:val="24"/>
          <w:lang w:eastAsia="zh-HK"/>
        </w:rPr>
      </w:pPr>
      <w:r>
        <w:rPr>
          <w:rFonts w:ascii="Times New Roman" w:eastAsia="標楷體" w:hAnsi="Times New Roman" w:cs="Times New Roman"/>
          <w:sz w:val="24"/>
          <w:szCs w:val="24"/>
          <w:lang w:eastAsia="zh-HK"/>
        </w:rPr>
        <w:t xml:space="preserve">Residential property prices, as asset prices, are key indicators of future </w:t>
      </w:r>
      <w:r w:rsidR="006F4DA6">
        <w:rPr>
          <w:rFonts w:ascii="Times New Roman" w:eastAsia="標楷體" w:hAnsi="Times New Roman" w:cs="Times New Roman"/>
          <w:sz w:val="24"/>
          <w:szCs w:val="24"/>
          <w:lang w:eastAsia="zh-HK"/>
        </w:rPr>
        <w:t>trends in housing costs</w:t>
      </w:r>
      <w:r>
        <w:rPr>
          <w:rFonts w:ascii="Times New Roman" w:eastAsia="標楷體" w:hAnsi="Times New Roman" w:cs="Times New Roman"/>
          <w:sz w:val="24"/>
          <w:szCs w:val="24"/>
          <w:lang w:eastAsia="zh-HK"/>
        </w:rPr>
        <w:t xml:space="preserve"> and, by extension, the future path of consumer prices.  </w:t>
      </w:r>
      <w:r w:rsidR="006F4DA6">
        <w:rPr>
          <w:rFonts w:ascii="Times New Roman" w:eastAsia="標楷體" w:hAnsi="Times New Roman" w:cs="Times New Roman"/>
          <w:sz w:val="24"/>
          <w:szCs w:val="24"/>
          <w:lang w:eastAsia="zh-HK"/>
        </w:rPr>
        <w:t xml:space="preserve">The </w:t>
      </w:r>
      <w:r w:rsidR="00A96449">
        <w:rPr>
          <w:rFonts w:ascii="Times New Roman" w:eastAsia="標楷體" w:hAnsi="Times New Roman" w:cs="Times New Roman"/>
          <w:sz w:val="24"/>
          <w:szCs w:val="24"/>
          <w:lang w:eastAsia="zh-HK"/>
        </w:rPr>
        <w:t>channels</w:t>
      </w:r>
      <w:r w:rsidR="006F4DA6">
        <w:rPr>
          <w:rFonts w:ascii="Times New Roman" w:eastAsia="標楷體" w:hAnsi="Times New Roman" w:cs="Times New Roman"/>
          <w:sz w:val="24"/>
          <w:szCs w:val="24"/>
          <w:lang w:eastAsia="zh-HK"/>
        </w:rPr>
        <w:t xml:space="preserve"> </w:t>
      </w:r>
      <w:r w:rsidR="006173D0">
        <w:rPr>
          <w:rFonts w:ascii="Times New Roman" w:eastAsia="標楷體" w:hAnsi="Times New Roman" w:cs="Times New Roman"/>
          <w:sz w:val="24"/>
          <w:szCs w:val="24"/>
          <w:lang w:eastAsia="zh-HK"/>
        </w:rPr>
        <w:t xml:space="preserve">for predicting consumer prices </w:t>
      </w:r>
      <w:r w:rsidR="006F4DA6">
        <w:rPr>
          <w:rFonts w:ascii="Times New Roman" w:eastAsia="標楷體" w:hAnsi="Times New Roman" w:cs="Times New Roman"/>
          <w:sz w:val="24"/>
          <w:szCs w:val="24"/>
          <w:lang w:eastAsia="zh-HK"/>
        </w:rPr>
        <w:t xml:space="preserve">can be either direct, through private housing rent, or indirect, through wealth effects or correlations with the demand for other types of goods and services.  </w:t>
      </w:r>
      <w:r>
        <w:rPr>
          <w:rFonts w:ascii="Times New Roman" w:eastAsia="標楷體" w:hAnsi="Times New Roman" w:cs="Times New Roman"/>
          <w:sz w:val="24"/>
          <w:szCs w:val="24"/>
          <w:lang w:eastAsia="zh-HK"/>
        </w:rPr>
        <w:t xml:space="preserve">Hong Kong is no exception.  Though the process may take years, changes in </w:t>
      </w:r>
      <w:r w:rsidR="006F4DA6">
        <w:rPr>
          <w:rFonts w:ascii="Times New Roman" w:eastAsia="標楷體" w:hAnsi="Times New Roman" w:cs="Times New Roman"/>
          <w:sz w:val="24"/>
          <w:szCs w:val="24"/>
          <w:lang w:eastAsia="zh-HK"/>
        </w:rPr>
        <w:t xml:space="preserve">private </w:t>
      </w:r>
      <w:r>
        <w:rPr>
          <w:rFonts w:ascii="Times New Roman" w:eastAsia="標楷體" w:hAnsi="Times New Roman" w:cs="Times New Roman"/>
          <w:sz w:val="24"/>
          <w:szCs w:val="24"/>
          <w:lang w:eastAsia="zh-HK"/>
        </w:rPr>
        <w:t>residential property prices</w:t>
      </w:r>
      <w:r w:rsidR="00F065EA">
        <w:rPr>
          <w:rFonts w:ascii="Times New Roman" w:eastAsia="標楷體" w:hAnsi="Times New Roman" w:cs="Times New Roman"/>
          <w:sz w:val="24"/>
          <w:szCs w:val="24"/>
          <w:lang w:eastAsia="zh-HK"/>
        </w:rPr>
        <w:t xml:space="preserve"> are</w:t>
      </w:r>
      <w:r>
        <w:rPr>
          <w:rFonts w:ascii="Times New Roman" w:eastAsia="標楷體" w:hAnsi="Times New Roman" w:cs="Times New Roman"/>
          <w:sz w:val="24"/>
          <w:szCs w:val="24"/>
          <w:lang w:eastAsia="zh-HK"/>
        </w:rPr>
        <w:t xml:space="preserve"> eventually fully reflected in </w:t>
      </w:r>
      <w:r w:rsidR="00F83EA6">
        <w:rPr>
          <w:rFonts w:ascii="Times New Roman" w:eastAsia="標楷體" w:hAnsi="Times New Roman" w:cs="Times New Roman"/>
          <w:sz w:val="24"/>
          <w:szCs w:val="24"/>
          <w:lang w:eastAsia="zh-HK"/>
        </w:rPr>
        <w:t>the private rental</w:t>
      </w:r>
      <w:r>
        <w:rPr>
          <w:rFonts w:ascii="Times New Roman" w:eastAsia="標楷體" w:hAnsi="Times New Roman" w:cs="Times New Roman"/>
          <w:sz w:val="24"/>
          <w:szCs w:val="24"/>
          <w:lang w:eastAsia="zh-HK"/>
        </w:rPr>
        <w:t xml:space="preserve"> housing </w:t>
      </w:r>
      <w:r w:rsidR="00F83EA6">
        <w:rPr>
          <w:rFonts w:ascii="Times New Roman" w:eastAsia="標楷體" w:hAnsi="Times New Roman" w:cs="Times New Roman"/>
          <w:sz w:val="24"/>
          <w:szCs w:val="24"/>
          <w:lang w:eastAsia="zh-HK"/>
        </w:rPr>
        <w:t>component of</w:t>
      </w:r>
      <w:r w:rsidR="006F4DA6">
        <w:rPr>
          <w:rFonts w:ascii="Times New Roman" w:eastAsia="標楷體" w:hAnsi="Times New Roman" w:cs="Times New Roman"/>
          <w:sz w:val="24"/>
          <w:szCs w:val="24"/>
          <w:lang w:eastAsia="zh-HK"/>
        </w:rPr>
        <w:t xml:space="preserve"> the CCPI.</w:t>
      </w:r>
      <w:r w:rsidR="00F065EA">
        <w:rPr>
          <w:rFonts w:ascii="Times New Roman" w:eastAsia="標楷體" w:hAnsi="Times New Roman" w:cs="Times New Roman"/>
          <w:sz w:val="24"/>
          <w:szCs w:val="24"/>
          <w:lang w:eastAsia="zh-HK"/>
        </w:rPr>
        <w:t xml:space="preserve">  </w:t>
      </w:r>
      <w:r w:rsidR="00A96449">
        <w:rPr>
          <w:rFonts w:ascii="Times New Roman" w:eastAsia="標楷體" w:hAnsi="Times New Roman" w:cs="Times New Roman"/>
          <w:sz w:val="24"/>
          <w:szCs w:val="24"/>
          <w:lang w:eastAsia="zh-HK"/>
        </w:rPr>
        <w:t>For the CCPI as a whole</w:t>
      </w:r>
      <w:r w:rsidR="00F065EA">
        <w:rPr>
          <w:rFonts w:ascii="Times New Roman" w:eastAsia="標楷體" w:hAnsi="Times New Roman" w:cs="Times New Roman"/>
          <w:sz w:val="24"/>
          <w:szCs w:val="24"/>
          <w:lang w:eastAsia="zh-HK"/>
        </w:rPr>
        <w:t xml:space="preserve">, </w:t>
      </w:r>
      <w:r w:rsidR="00887C6A">
        <w:rPr>
          <w:rFonts w:ascii="Times New Roman" w:eastAsia="標楷體" w:hAnsi="Times New Roman" w:cs="Times New Roman"/>
          <w:sz w:val="24"/>
          <w:szCs w:val="24"/>
          <w:lang w:eastAsia="zh-HK"/>
        </w:rPr>
        <w:t xml:space="preserve">the long-run elasticity of consumer prices with respect to </w:t>
      </w:r>
      <w:r w:rsidR="00F065EA">
        <w:rPr>
          <w:rFonts w:ascii="Times New Roman" w:eastAsia="標楷體" w:hAnsi="Times New Roman" w:cs="Times New Roman"/>
          <w:sz w:val="24"/>
          <w:szCs w:val="24"/>
          <w:lang w:eastAsia="zh-HK"/>
        </w:rPr>
        <w:t xml:space="preserve">private residential property prices </w:t>
      </w:r>
      <w:r w:rsidR="00887C6A">
        <w:rPr>
          <w:rFonts w:ascii="Times New Roman" w:eastAsia="標楷體" w:hAnsi="Times New Roman" w:cs="Times New Roman"/>
          <w:sz w:val="24"/>
          <w:szCs w:val="24"/>
          <w:lang w:eastAsia="zh-HK"/>
        </w:rPr>
        <w:t>is about 0.6</w:t>
      </w:r>
      <w:r w:rsidR="00F065EA">
        <w:rPr>
          <w:rFonts w:ascii="Times New Roman" w:eastAsia="標楷體" w:hAnsi="Times New Roman" w:cs="Times New Roman"/>
          <w:sz w:val="24"/>
          <w:szCs w:val="24"/>
          <w:lang w:eastAsia="zh-HK"/>
        </w:rPr>
        <w:t>.</w:t>
      </w:r>
    </w:p>
    <w:sectPr w:rsidR="00191584" w:rsidRPr="00F065EA" w:rsidSect="00DF0B99">
      <w:footerReference w:type="default" r:id="rId10"/>
      <w:headerReference w:type="first" r:id="rId11"/>
      <w:pgSz w:w="11906" w:h="16838"/>
      <w:pgMar w:top="1440" w:right="1800" w:bottom="1440" w:left="1800" w:header="113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C7BEA" w14:textId="77777777" w:rsidR="001C36B8" w:rsidRDefault="001C36B8" w:rsidP="00D3388D">
      <w:pPr>
        <w:spacing w:after="0" w:line="240" w:lineRule="auto"/>
      </w:pPr>
      <w:r>
        <w:separator/>
      </w:r>
    </w:p>
  </w:endnote>
  <w:endnote w:type="continuationSeparator" w:id="0">
    <w:p w14:paraId="1BD7259D" w14:textId="77777777" w:rsidR="001C36B8" w:rsidRDefault="001C36B8" w:rsidP="00D3388D">
      <w:pPr>
        <w:spacing w:after="0" w:line="240" w:lineRule="auto"/>
      </w:pPr>
      <w:r>
        <w:continuationSeparator/>
      </w:r>
    </w:p>
  </w:endnote>
  <w:endnote w:type="continuationNotice" w:id="1">
    <w:p w14:paraId="2819701F" w14:textId="77777777" w:rsidR="001C36B8" w:rsidRDefault="001C3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B5D7D" w14:textId="07696C5E" w:rsidR="001B0990" w:rsidRPr="00EA1508" w:rsidRDefault="001B0990" w:rsidP="003457FE">
    <w:pPr>
      <w:pStyle w:val="Footer"/>
      <w:pBdr>
        <w:top w:val="single" w:sz="4" w:space="1" w:color="A5A5A5" w:themeColor="background1" w:themeShade="A5"/>
      </w:pBdr>
      <w:tabs>
        <w:tab w:val="clear" w:pos="4153"/>
        <w:tab w:val="clear" w:pos="8306"/>
        <w:tab w:val="right" w:pos="8301"/>
      </w:tabs>
      <w:spacing w:before="60"/>
      <w:rPr>
        <w:rFonts w:ascii="Times New Roman" w:eastAsia="標楷體" w:hAnsi="Times New Roman"/>
        <w:color w:val="808080" w:themeColor="background1" w:themeShade="80"/>
        <w:sz w:val="24"/>
        <w:szCs w:val="24"/>
        <w:lang w:val="en-US"/>
      </w:rPr>
    </w:pPr>
    <w:r w:rsidRPr="00EA1508">
      <w:rPr>
        <w:rFonts w:ascii="Times New Roman" w:eastAsia="標楷體" w:hAnsi="Times New Roman"/>
        <w:color w:val="808080" w:themeColor="background1" w:themeShade="80"/>
        <w:sz w:val="24"/>
        <w:szCs w:val="24"/>
        <w:lang w:val="en-US"/>
      </w:rPr>
      <w:t xml:space="preserve">Office of the Government Economist – Economic Letter </w:t>
    </w:r>
    <w:r>
      <w:rPr>
        <w:rFonts w:ascii="Times New Roman" w:eastAsia="標楷體" w:hAnsi="Times New Roman"/>
        <w:color w:val="808080" w:themeColor="background1" w:themeShade="80"/>
        <w:sz w:val="24"/>
        <w:szCs w:val="24"/>
        <w:lang w:val="en-US"/>
      </w:rPr>
      <w:t>202</w:t>
    </w:r>
    <w:r w:rsidR="00076A0C">
      <w:rPr>
        <w:rFonts w:ascii="Times New Roman" w:eastAsia="標楷體" w:hAnsi="Times New Roman"/>
        <w:color w:val="808080" w:themeColor="background1" w:themeShade="80"/>
        <w:sz w:val="24"/>
        <w:szCs w:val="24"/>
        <w:lang w:val="en-US"/>
      </w:rPr>
      <w:t>2</w:t>
    </w:r>
    <w:r>
      <w:rPr>
        <w:rFonts w:ascii="Times New Roman" w:eastAsia="標楷體" w:hAnsi="Times New Roman"/>
        <w:color w:val="808080" w:themeColor="background1" w:themeShade="80"/>
        <w:sz w:val="24"/>
        <w:szCs w:val="24"/>
        <w:lang w:val="en-US"/>
      </w:rPr>
      <w:t>/</w:t>
    </w:r>
    <w:r w:rsidR="00E34B1E">
      <w:rPr>
        <w:rFonts w:ascii="Times New Roman" w:eastAsia="標楷體" w:hAnsi="Times New Roman"/>
        <w:color w:val="808080" w:themeColor="background1" w:themeShade="80"/>
        <w:sz w:val="24"/>
        <w:szCs w:val="24"/>
        <w:lang w:val="en-US"/>
      </w:rPr>
      <w:t>0</w:t>
    </w:r>
    <w:r w:rsidR="00895341">
      <w:rPr>
        <w:rFonts w:ascii="Times New Roman" w:eastAsia="標楷體" w:hAnsi="Times New Roman"/>
        <w:color w:val="808080" w:themeColor="background1" w:themeShade="80"/>
        <w:sz w:val="24"/>
        <w:szCs w:val="24"/>
        <w:lang w:val="en-US"/>
      </w:rPr>
      <w:t>4</w:t>
    </w:r>
    <w:r w:rsidRPr="00EA1508">
      <w:rPr>
        <w:rFonts w:ascii="Times New Roman" w:eastAsia="標楷體" w:hAnsi="Times New Roman" w:hint="eastAsia"/>
        <w:color w:val="808080" w:themeColor="background1" w:themeShade="80"/>
        <w:sz w:val="24"/>
        <w:szCs w:val="24"/>
        <w:lang w:val="en-US"/>
      </w:rPr>
      <w:tab/>
    </w:r>
    <w:r w:rsidRPr="00EA1508">
      <w:rPr>
        <w:rFonts w:ascii="Times New Roman" w:eastAsia="標楷體" w:hAnsi="Times New Roman"/>
        <w:color w:val="808080" w:themeColor="background1" w:themeShade="80"/>
        <w:sz w:val="24"/>
        <w:szCs w:val="24"/>
        <w:lang w:val="en-US"/>
      </w:rPr>
      <w:fldChar w:fldCharType="begin"/>
    </w:r>
    <w:r w:rsidRPr="00EA1508">
      <w:rPr>
        <w:rFonts w:ascii="Times New Roman" w:eastAsia="標楷體" w:hAnsi="Times New Roman"/>
        <w:color w:val="808080" w:themeColor="background1" w:themeShade="80"/>
        <w:sz w:val="24"/>
        <w:szCs w:val="24"/>
        <w:lang w:val="en-US"/>
      </w:rPr>
      <w:instrText xml:space="preserve"> PAGE  \* Arabic  \* MERGEFORMAT </w:instrText>
    </w:r>
    <w:r w:rsidRPr="00EA1508">
      <w:rPr>
        <w:rFonts w:ascii="Times New Roman" w:eastAsia="標楷體" w:hAnsi="Times New Roman"/>
        <w:color w:val="808080" w:themeColor="background1" w:themeShade="80"/>
        <w:sz w:val="24"/>
        <w:szCs w:val="24"/>
        <w:lang w:val="en-US"/>
      </w:rPr>
      <w:fldChar w:fldCharType="separate"/>
    </w:r>
    <w:r w:rsidR="00895341">
      <w:rPr>
        <w:rFonts w:ascii="Times New Roman" w:eastAsia="標楷體" w:hAnsi="Times New Roman"/>
        <w:noProof/>
        <w:color w:val="808080" w:themeColor="background1" w:themeShade="80"/>
        <w:sz w:val="24"/>
        <w:szCs w:val="24"/>
        <w:lang w:val="en-US"/>
      </w:rPr>
      <w:t>8</w:t>
    </w:r>
    <w:r w:rsidRPr="00EA1508">
      <w:rPr>
        <w:rFonts w:ascii="Times New Roman" w:eastAsia="標楷體" w:hAnsi="Times New Roman"/>
        <w:color w:val="808080" w:themeColor="background1" w:themeShade="80"/>
        <w:sz w:val="24"/>
        <w:szCs w:val="2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28607" w14:textId="77777777" w:rsidR="001C36B8" w:rsidRDefault="001C36B8" w:rsidP="00D3388D">
      <w:pPr>
        <w:spacing w:after="0" w:line="240" w:lineRule="auto"/>
      </w:pPr>
      <w:r>
        <w:separator/>
      </w:r>
    </w:p>
  </w:footnote>
  <w:footnote w:type="continuationSeparator" w:id="0">
    <w:p w14:paraId="12C62754" w14:textId="77777777" w:rsidR="001C36B8" w:rsidRDefault="001C36B8" w:rsidP="00D3388D">
      <w:pPr>
        <w:spacing w:after="0" w:line="240" w:lineRule="auto"/>
      </w:pPr>
      <w:r>
        <w:continuationSeparator/>
      </w:r>
    </w:p>
  </w:footnote>
  <w:footnote w:type="continuationNotice" w:id="1">
    <w:p w14:paraId="58A8C2A3" w14:textId="77777777" w:rsidR="001C36B8" w:rsidRDefault="001C36B8">
      <w:pPr>
        <w:spacing w:after="0" w:line="240" w:lineRule="auto"/>
      </w:pPr>
    </w:p>
  </w:footnote>
  <w:footnote w:id="2">
    <w:p w14:paraId="14039644" w14:textId="4C82C957" w:rsidR="00FB12F7" w:rsidRPr="00FB12F7" w:rsidRDefault="00FB12F7" w:rsidP="00A608B3">
      <w:pPr>
        <w:pStyle w:val="FootnoteText"/>
        <w:spacing w:after="66"/>
        <w:rPr>
          <w:rFonts w:ascii="Times New Roman" w:hAnsi="Times New Roman" w:cs="Times New Roman"/>
        </w:rPr>
      </w:pPr>
      <w:r w:rsidRPr="00FB12F7">
        <w:rPr>
          <w:rStyle w:val="FootnoteReference"/>
          <w:rFonts w:ascii="Times New Roman" w:hAnsi="Times New Roman" w:cs="Times New Roman"/>
        </w:rPr>
        <w:footnoteRef/>
      </w:r>
      <w:r w:rsidRPr="00FB12F7">
        <w:rPr>
          <w:rFonts w:ascii="Times New Roman" w:hAnsi="Times New Roman" w:cs="Times New Roman"/>
        </w:rPr>
        <w:t xml:space="preserve"> </w:t>
      </w:r>
      <w:r>
        <w:rPr>
          <w:rFonts w:ascii="Times New Roman" w:hAnsi="Times New Roman" w:cs="Times New Roman"/>
        </w:rPr>
        <w:t xml:space="preserve">C&amp;SD.  2021.  </w:t>
      </w:r>
      <w:r w:rsidRPr="00FB12F7">
        <w:rPr>
          <w:rFonts w:ascii="Times New Roman" w:hAnsi="Times New Roman" w:cs="Times New Roman"/>
          <w:i/>
        </w:rPr>
        <w:t>2019/20 Household Expenditure Survey and the rebasing of the Consumer Price Indices</w:t>
      </w:r>
      <w:r>
        <w:rPr>
          <w:rFonts w:ascii="Times New Roman" w:hAnsi="Times New Roman" w:cs="Times New Roman"/>
        </w:rPr>
        <w:t xml:space="preserve">. </w:t>
      </w:r>
      <w:r w:rsidRPr="00FB12F7">
        <w:t xml:space="preserve"> </w:t>
      </w:r>
      <w:hyperlink r:id="rId1" w:history="1">
        <w:r w:rsidRPr="00D74E5C">
          <w:rPr>
            <w:rStyle w:val="Hyperlink"/>
            <w:rFonts w:ascii="Times New Roman" w:hAnsi="Times New Roman" w:cs="Times New Roman"/>
          </w:rPr>
          <w:t>https://www.censtatd.gov.hk/en/EIndexbySubject.html?pcode=B1060003&amp;scode=270</w:t>
        </w:r>
      </w:hyperlink>
      <w:r>
        <w:rPr>
          <w:rFonts w:ascii="Times New Roman" w:hAnsi="Times New Roman" w:cs="Times New Roman"/>
        </w:rPr>
        <w:t xml:space="preserve"> </w:t>
      </w:r>
    </w:p>
  </w:footnote>
  <w:footnote w:id="3">
    <w:p w14:paraId="4779F927" w14:textId="636B48EF" w:rsidR="00A608B3" w:rsidRPr="00A608B3" w:rsidRDefault="00A608B3" w:rsidP="00A70CF7">
      <w:pPr>
        <w:pStyle w:val="FootnoteText"/>
        <w:spacing w:after="66"/>
        <w:rPr>
          <w:rFonts w:ascii="Times New Roman" w:hAnsi="Times New Roman" w:cs="Times New Roman"/>
        </w:rPr>
      </w:pPr>
      <w:r w:rsidRPr="00A608B3">
        <w:rPr>
          <w:rStyle w:val="FootnoteReference"/>
          <w:rFonts w:ascii="Times New Roman" w:hAnsi="Times New Roman" w:cs="Times New Roman"/>
        </w:rPr>
        <w:footnoteRef/>
      </w:r>
      <w:r w:rsidRPr="00A608B3">
        <w:rPr>
          <w:rFonts w:ascii="Times New Roman" w:hAnsi="Times New Roman" w:cs="Times New Roman"/>
        </w:rPr>
        <w:t xml:space="preserve"> Cheung, L., K. Chow, M. Cheng and P. Ng.  2016.  “Inflation mechanism and monetary policy: perspectives from Hong Kong.”</w:t>
      </w:r>
      <w:r>
        <w:rPr>
          <w:rFonts w:ascii="Times New Roman" w:hAnsi="Times New Roman" w:cs="Times New Roman"/>
        </w:rPr>
        <w:t xml:space="preserve">  </w:t>
      </w:r>
      <w:r w:rsidRPr="00A608B3">
        <w:rPr>
          <w:rFonts w:ascii="Times New Roman" w:hAnsi="Times New Roman" w:cs="Times New Roman"/>
          <w:i/>
        </w:rPr>
        <w:t>BIS Papers</w:t>
      </w:r>
      <w:r w:rsidRPr="00A608B3">
        <w:rPr>
          <w:rFonts w:ascii="Times New Roman" w:hAnsi="Times New Roman" w:cs="Times New Roman"/>
        </w:rPr>
        <w:t xml:space="preserve"> 89, pp. 169-177. </w:t>
      </w:r>
      <w:hyperlink r:id="rId2" w:history="1">
        <w:r w:rsidRPr="00A608B3">
          <w:rPr>
            <w:rStyle w:val="Hyperlink"/>
            <w:rFonts w:ascii="Times New Roman" w:hAnsi="Times New Roman" w:cs="Times New Roman"/>
          </w:rPr>
          <w:t>https://www.bis.org/publ/bppdf/bispap89k.pdf</w:t>
        </w:r>
      </w:hyperlink>
      <w:r w:rsidRPr="00A608B3">
        <w:rPr>
          <w:rFonts w:ascii="Times New Roman" w:hAnsi="Times New Roman" w:cs="Times New Roman"/>
        </w:rPr>
        <w:t xml:space="preserve"> </w:t>
      </w:r>
    </w:p>
  </w:footnote>
  <w:footnote w:id="4">
    <w:p w14:paraId="6D7019DE" w14:textId="729E30E1" w:rsidR="00A70CF7" w:rsidRPr="00A70CF7" w:rsidRDefault="00A70CF7" w:rsidP="00AA1E88">
      <w:pPr>
        <w:pStyle w:val="FootnoteText"/>
        <w:spacing w:after="66"/>
        <w:rPr>
          <w:rFonts w:ascii="Times New Roman" w:hAnsi="Times New Roman" w:cs="Times New Roman"/>
        </w:rPr>
      </w:pPr>
      <w:r w:rsidRPr="00A70CF7">
        <w:rPr>
          <w:rStyle w:val="FootnoteReference"/>
          <w:rFonts w:ascii="Times New Roman" w:hAnsi="Times New Roman" w:cs="Times New Roman"/>
        </w:rPr>
        <w:footnoteRef/>
      </w:r>
      <w:r w:rsidRPr="00A70CF7">
        <w:rPr>
          <w:rFonts w:ascii="Times New Roman" w:hAnsi="Times New Roman" w:cs="Times New Roman"/>
        </w:rPr>
        <w:t xml:space="preserve"> </w:t>
      </w:r>
      <w:proofErr w:type="spellStart"/>
      <w:r w:rsidRPr="00A70CF7">
        <w:rPr>
          <w:rFonts w:ascii="Times New Roman" w:hAnsi="Times New Roman" w:cs="Times New Roman"/>
        </w:rPr>
        <w:t>Glaeser</w:t>
      </w:r>
      <w:proofErr w:type="spellEnd"/>
      <w:r w:rsidRPr="00A70CF7">
        <w:rPr>
          <w:rFonts w:ascii="Times New Roman" w:hAnsi="Times New Roman" w:cs="Times New Roman"/>
        </w:rPr>
        <w:t xml:space="preserve">, E. and C. </w:t>
      </w:r>
      <w:proofErr w:type="spellStart"/>
      <w:r w:rsidRPr="00A70CF7">
        <w:rPr>
          <w:rFonts w:ascii="Times New Roman" w:hAnsi="Times New Roman" w:cs="Times New Roman"/>
        </w:rPr>
        <w:t>Nathanson</w:t>
      </w:r>
      <w:proofErr w:type="spellEnd"/>
      <w:r w:rsidRPr="00A70CF7">
        <w:rPr>
          <w:rFonts w:ascii="Times New Roman" w:hAnsi="Times New Roman" w:cs="Times New Roman"/>
        </w:rPr>
        <w:t xml:space="preserve">.  2017.  “An extrapolative model of house price dynamics.”  </w:t>
      </w:r>
      <w:r w:rsidRPr="00A70CF7">
        <w:rPr>
          <w:rFonts w:ascii="Times New Roman" w:hAnsi="Times New Roman" w:cs="Times New Roman"/>
          <w:i/>
        </w:rPr>
        <w:t>Journal of Financial Economics</w:t>
      </w:r>
      <w:r w:rsidRPr="00A70CF7">
        <w:rPr>
          <w:rFonts w:ascii="Times New Roman" w:hAnsi="Times New Roman" w:cs="Times New Roman"/>
        </w:rPr>
        <w:t xml:space="preserve"> 126(1), pp. 147-170.</w:t>
      </w:r>
      <w:r>
        <w:rPr>
          <w:rFonts w:ascii="Times New Roman" w:hAnsi="Times New Roman" w:cs="Times New Roman"/>
        </w:rPr>
        <w:t xml:space="preserve">  </w:t>
      </w:r>
      <w:hyperlink r:id="rId3" w:history="1">
        <w:r w:rsidRPr="003E6D46">
          <w:rPr>
            <w:rStyle w:val="Hyperlink"/>
            <w:rFonts w:ascii="Times New Roman" w:hAnsi="Times New Roman" w:cs="Times New Roman"/>
          </w:rPr>
          <w:t>https://doi.org/10.1016/j.jfineco.2017.06.012</w:t>
        </w:r>
      </w:hyperlink>
      <w:r>
        <w:rPr>
          <w:rFonts w:ascii="Times New Roman" w:hAnsi="Times New Roman" w:cs="Times New Roman"/>
        </w:rPr>
        <w:t xml:space="preserve"> </w:t>
      </w:r>
    </w:p>
  </w:footnote>
  <w:footnote w:id="5">
    <w:p w14:paraId="2A7A2618" w14:textId="2A2BCA4E" w:rsidR="00AA1E88" w:rsidRPr="00922F49" w:rsidRDefault="00AA1E88" w:rsidP="00315DA1">
      <w:pPr>
        <w:pStyle w:val="FootnoteText"/>
        <w:spacing w:after="66"/>
        <w:rPr>
          <w:rFonts w:ascii="Times New Roman" w:hAnsi="Times New Roman" w:cs="Times New Roman"/>
        </w:rPr>
      </w:pPr>
      <w:r w:rsidRPr="00922F49">
        <w:rPr>
          <w:rStyle w:val="FootnoteReference"/>
          <w:rFonts w:ascii="Times New Roman" w:hAnsi="Times New Roman" w:cs="Times New Roman"/>
        </w:rPr>
        <w:footnoteRef/>
      </w:r>
      <w:r w:rsidRPr="00922F49">
        <w:rPr>
          <w:rFonts w:ascii="Times New Roman" w:hAnsi="Times New Roman" w:cs="Times New Roman"/>
        </w:rPr>
        <w:t xml:space="preserve"> RVD.  (</w:t>
      </w:r>
      <w:proofErr w:type="spellStart"/>
      <w:r w:rsidRPr="00922F49">
        <w:rPr>
          <w:rFonts w:ascii="Times New Roman" w:hAnsi="Times New Roman" w:cs="Times New Roman"/>
        </w:rPr>
        <w:t>n.d.</w:t>
      </w:r>
      <w:proofErr w:type="spellEnd"/>
      <w:r w:rsidRPr="00922F49">
        <w:rPr>
          <w:rFonts w:ascii="Times New Roman" w:hAnsi="Times New Roman" w:cs="Times New Roman"/>
        </w:rPr>
        <w:t xml:space="preserve">)  “Property market statistics.”  </w:t>
      </w:r>
      <w:hyperlink r:id="rId4" w:history="1">
        <w:r w:rsidRPr="00922F49">
          <w:rPr>
            <w:rStyle w:val="Hyperlink"/>
            <w:rFonts w:ascii="Times New Roman" w:hAnsi="Times New Roman" w:cs="Times New Roman"/>
          </w:rPr>
          <w:t>https://www.rvd.gov.hk/en/publications/property_market_statistics.html</w:t>
        </w:r>
      </w:hyperlink>
      <w:r w:rsidRPr="00922F49">
        <w:rPr>
          <w:rFonts w:ascii="Times New Roman" w:hAnsi="Times New Roman" w:cs="Times New Roman"/>
        </w:rPr>
        <w:t xml:space="preserve"> </w:t>
      </w:r>
    </w:p>
  </w:footnote>
  <w:footnote w:id="6">
    <w:p w14:paraId="70FE9FCC" w14:textId="10748CF5" w:rsidR="00315DA1" w:rsidRPr="00922F49" w:rsidRDefault="00315DA1" w:rsidP="00315DA1">
      <w:pPr>
        <w:pStyle w:val="FootnoteText"/>
        <w:spacing w:after="66"/>
        <w:rPr>
          <w:rFonts w:ascii="Times New Roman" w:hAnsi="Times New Roman" w:cs="Times New Roman"/>
        </w:rPr>
      </w:pPr>
      <w:r w:rsidRPr="00922F49">
        <w:rPr>
          <w:rStyle w:val="FootnoteReference"/>
          <w:rFonts w:ascii="Times New Roman" w:hAnsi="Times New Roman" w:cs="Times New Roman"/>
        </w:rPr>
        <w:footnoteRef/>
      </w:r>
      <w:r w:rsidRPr="00922F49">
        <w:rPr>
          <w:rFonts w:ascii="Times New Roman" w:hAnsi="Times New Roman" w:cs="Times New Roman"/>
        </w:rPr>
        <w:t xml:space="preserve"> RVD.  (</w:t>
      </w:r>
      <w:proofErr w:type="spellStart"/>
      <w:r w:rsidRPr="00922F49">
        <w:rPr>
          <w:rFonts w:ascii="Times New Roman" w:hAnsi="Times New Roman" w:cs="Times New Roman"/>
        </w:rPr>
        <w:t>n.d.</w:t>
      </w:r>
      <w:proofErr w:type="spellEnd"/>
      <w:r w:rsidRPr="00922F49">
        <w:rPr>
          <w:rFonts w:ascii="Times New Roman" w:hAnsi="Times New Roman" w:cs="Times New Roman"/>
        </w:rPr>
        <w:t xml:space="preserve">)  “Technical note.”  </w:t>
      </w:r>
      <w:hyperlink r:id="rId5" w:history="1">
        <w:r w:rsidRPr="00922F49">
          <w:rPr>
            <w:rStyle w:val="Hyperlink"/>
            <w:rFonts w:ascii="Times New Roman" w:hAnsi="Times New Roman" w:cs="Times New Roman"/>
          </w:rPr>
          <w:t>https://www.rvd.gov.hk/doc/en/statistics/15_technotes.pdf</w:t>
        </w:r>
      </w:hyperlink>
      <w:r w:rsidRPr="00922F49">
        <w:rPr>
          <w:rFonts w:ascii="Times New Roman" w:hAnsi="Times New Roman" w:cs="Times New Roman"/>
        </w:rPr>
        <w:t xml:space="preserve"> </w:t>
      </w:r>
    </w:p>
  </w:footnote>
  <w:footnote w:id="7">
    <w:p w14:paraId="49ACAFFC" w14:textId="59DCD903" w:rsidR="00315DA1" w:rsidRDefault="00315DA1">
      <w:pPr>
        <w:pStyle w:val="FootnoteText"/>
      </w:pPr>
      <w:r w:rsidRPr="00922F49">
        <w:rPr>
          <w:rStyle w:val="FootnoteReference"/>
          <w:rFonts w:ascii="Times New Roman" w:hAnsi="Times New Roman" w:cs="Times New Roman"/>
        </w:rPr>
        <w:footnoteRef/>
      </w:r>
      <w:r w:rsidRPr="00922F49">
        <w:rPr>
          <w:rFonts w:ascii="Times New Roman" w:hAnsi="Times New Roman" w:cs="Times New Roman"/>
        </w:rPr>
        <w:t xml:space="preserve"> RVD</w:t>
      </w:r>
      <w:r w:rsidRPr="00AA1E88">
        <w:rPr>
          <w:rFonts w:ascii="Times New Roman" w:hAnsi="Times New Roman" w:cs="Times New Roman"/>
        </w:rPr>
        <w:t>.  (</w:t>
      </w:r>
      <w:proofErr w:type="spellStart"/>
      <w:r w:rsidRPr="00AA1E88">
        <w:rPr>
          <w:rFonts w:ascii="Times New Roman" w:hAnsi="Times New Roman" w:cs="Times New Roman"/>
        </w:rPr>
        <w:t>n.d.</w:t>
      </w:r>
      <w:proofErr w:type="spellEnd"/>
      <w:r w:rsidRPr="00AA1E88">
        <w:rPr>
          <w:rFonts w:ascii="Times New Roman" w:hAnsi="Times New Roman" w:cs="Times New Roman"/>
        </w:rPr>
        <w:t>)  “</w:t>
      </w:r>
      <w:r>
        <w:rPr>
          <w:rFonts w:ascii="Times New Roman" w:hAnsi="Times New Roman" w:cs="Times New Roman"/>
        </w:rPr>
        <w:t>Rates</w:t>
      </w:r>
      <w:r w:rsidRPr="00AA1E88">
        <w:rPr>
          <w:rFonts w:ascii="Times New Roman" w:hAnsi="Times New Roman" w:cs="Times New Roman"/>
        </w:rPr>
        <w:t xml:space="preserve">.”  </w:t>
      </w:r>
      <w:hyperlink r:id="rId6" w:history="1">
        <w:r w:rsidRPr="003E6D46">
          <w:rPr>
            <w:rStyle w:val="Hyperlink"/>
            <w:rFonts w:ascii="Times New Roman" w:hAnsi="Times New Roman" w:cs="Times New Roman"/>
          </w:rPr>
          <w:t>https://www.rvd.gov.hk/en/faqs/rates.html</w:t>
        </w:r>
      </w:hyperlink>
      <w:r>
        <w:rPr>
          <w:rFonts w:ascii="Times New Roman" w:hAnsi="Times New Roman" w:cs="Times New Roman"/>
        </w:rPr>
        <w:t xml:space="preserve"> </w:t>
      </w:r>
    </w:p>
  </w:footnote>
  <w:footnote w:id="8">
    <w:p w14:paraId="6D76F971" w14:textId="03EF4B3E" w:rsidR="007B6819" w:rsidRPr="00BE30FD" w:rsidRDefault="007B6819" w:rsidP="00651BBA">
      <w:pPr>
        <w:pStyle w:val="FootnoteText"/>
        <w:spacing w:after="66"/>
        <w:rPr>
          <w:rFonts w:ascii="Times New Roman" w:hAnsi="Times New Roman" w:cs="Times New Roman"/>
        </w:rPr>
      </w:pPr>
      <w:r w:rsidRPr="00BE30FD">
        <w:rPr>
          <w:rStyle w:val="FootnoteReference"/>
          <w:rFonts w:ascii="Times New Roman" w:hAnsi="Times New Roman" w:cs="Times New Roman"/>
        </w:rPr>
        <w:footnoteRef/>
      </w:r>
      <w:r w:rsidRPr="00BE30FD">
        <w:rPr>
          <w:rFonts w:ascii="Times New Roman" w:hAnsi="Times New Roman" w:cs="Times New Roman"/>
        </w:rPr>
        <w:t xml:space="preserve"> </w:t>
      </w:r>
      <w:r>
        <w:rPr>
          <w:rFonts w:ascii="Times New Roman" w:hAnsi="Times New Roman" w:cs="Times New Roman"/>
        </w:rPr>
        <w:t>C&amp;SD.  (</w:t>
      </w:r>
      <w:proofErr w:type="spellStart"/>
      <w:r>
        <w:rPr>
          <w:rFonts w:ascii="Times New Roman" w:hAnsi="Times New Roman" w:cs="Times New Roman"/>
        </w:rPr>
        <w:t>n.d.</w:t>
      </w:r>
      <w:proofErr w:type="spellEnd"/>
      <w:r>
        <w:rPr>
          <w:rFonts w:ascii="Times New Roman" w:hAnsi="Times New Roman" w:cs="Times New Roman"/>
        </w:rPr>
        <w:t>)  “Table 52</w:t>
      </w:r>
      <w:r w:rsidRPr="00BE30FD">
        <w:rPr>
          <w:rFonts w:ascii="Times New Roman" w:hAnsi="Times New Roman" w:cs="Times New Roman"/>
        </w:rPr>
        <w:t xml:space="preserve">: Consumer Price Indices (October 2019 – September 2020 = 100).”  </w:t>
      </w:r>
      <w:hyperlink r:id="rId7" w:history="1">
        <w:r w:rsidRPr="00BE30FD">
          <w:rPr>
            <w:rStyle w:val="Hyperlink"/>
            <w:rFonts w:ascii="Times New Roman" w:hAnsi="Times New Roman" w:cs="Times New Roman"/>
          </w:rPr>
          <w:t>https://www.censtatd.gov.hk/en/web_table.html?id=52</w:t>
        </w:r>
      </w:hyperlink>
      <w:r w:rsidRPr="00BE30FD">
        <w:rPr>
          <w:rFonts w:ascii="Times New Roman" w:hAnsi="Times New Roman" w:cs="Times New Roman"/>
        </w:rPr>
        <w:t xml:space="preserve"> </w:t>
      </w:r>
    </w:p>
  </w:footnote>
  <w:footnote w:id="9">
    <w:p w14:paraId="0EA4005B" w14:textId="1F9E09FE" w:rsidR="00651BBA" w:rsidRPr="00651BBA" w:rsidRDefault="00651BBA" w:rsidP="00FA5E4F">
      <w:pPr>
        <w:pStyle w:val="FootnoteText"/>
        <w:spacing w:after="66"/>
        <w:rPr>
          <w:rFonts w:ascii="Times New Roman" w:hAnsi="Times New Roman" w:cs="Times New Roman"/>
        </w:rPr>
      </w:pPr>
      <w:r w:rsidRPr="00651BBA">
        <w:rPr>
          <w:rStyle w:val="FootnoteReference"/>
          <w:rFonts w:ascii="Times New Roman" w:hAnsi="Times New Roman" w:cs="Times New Roman"/>
        </w:rPr>
        <w:footnoteRef/>
      </w:r>
      <w:r w:rsidRPr="00651BBA">
        <w:rPr>
          <w:rFonts w:ascii="Times New Roman" w:hAnsi="Times New Roman" w:cs="Times New Roman"/>
        </w:rPr>
        <w:t xml:space="preserve"> C&amp;SD.  2021.  “Table 5.1</w:t>
      </w:r>
      <w:r w:rsidR="00FA5E4F">
        <w:rPr>
          <w:rFonts w:ascii="Times New Roman" w:hAnsi="Times New Roman" w:cs="Times New Roman"/>
        </w:rPr>
        <w:t>:</w:t>
      </w:r>
      <w:r w:rsidRPr="00651BBA">
        <w:rPr>
          <w:rFonts w:ascii="Times New Roman" w:hAnsi="Times New Roman" w:cs="Times New Roman"/>
        </w:rPr>
        <w:t xml:space="preserve"> Composite CPI at commodity/service group level (Oct. 2019 - Sep. 2020 = 100).”  </w:t>
      </w:r>
      <w:r w:rsidRPr="00651BBA">
        <w:rPr>
          <w:rFonts w:ascii="Times New Roman" w:hAnsi="Times New Roman" w:cs="Times New Roman"/>
          <w:i/>
        </w:rPr>
        <w:t>Annual Report on the Consumer Price Index 2021</w:t>
      </w:r>
      <w:r w:rsidRPr="00651BBA">
        <w:rPr>
          <w:rFonts w:ascii="Times New Roman" w:hAnsi="Times New Roman" w:cs="Times New Roman"/>
        </w:rPr>
        <w:t xml:space="preserve">. </w:t>
      </w:r>
      <w:hyperlink r:id="rId8" w:history="1">
        <w:r w:rsidRPr="00651BBA">
          <w:rPr>
            <w:rStyle w:val="Hyperlink"/>
            <w:rFonts w:ascii="Times New Roman" w:hAnsi="Times New Roman" w:cs="Times New Roman"/>
          </w:rPr>
          <w:t>https://www.censtatd.gov.hk/en/EIndexbySubject.html?pcode=B1060002&amp;scode=270</w:t>
        </w:r>
      </w:hyperlink>
      <w:r w:rsidRPr="00651BBA">
        <w:rPr>
          <w:rFonts w:ascii="Times New Roman" w:hAnsi="Times New Roman" w:cs="Times New Roman"/>
        </w:rPr>
        <w:t xml:space="preserve"> </w:t>
      </w:r>
    </w:p>
  </w:footnote>
  <w:footnote w:id="10">
    <w:p w14:paraId="014A628F" w14:textId="3B9ED9EF" w:rsidR="00423AA9" w:rsidRPr="00FA5E4F" w:rsidRDefault="00423AA9" w:rsidP="00491934">
      <w:pPr>
        <w:pStyle w:val="FootnoteText"/>
        <w:spacing w:after="66"/>
        <w:rPr>
          <w:rFonts w:ascii="Times New Roman" w:hAnsi="Times New Roman" w:cs="Times New Roman"/>
        </w:rPr>
      </w:pPr>
      <w:r w:rsidRPr="00FA5E4F">
        <w:rPr>
          <w:rStyle w:val="FootnoteReference"/>
          <w:rFonts w:ascii="Times New Roman" w:hAnsi="Times New Roman" w:cs="Times New Roman"/>
        </w:rPr>
        <w:footnoteRef/>
      </w:r>
      <w:r w:rsidRPr="00FA5E4F">
        <w:rPr>
          <w:rFonts w:ascii="Times New Roman" w:hAnsi="Times New Roman" w:cs="Times New Roman"/>
        </w:rPr>
        <w:t xml:space="preserve"> C&amp;SD.  2022.  </w:t>
      </w:r>
      <w:r w:rsidR="00FA5E4F" w:rsidRPr="00FA5E4F">
        <w:rPr>
          <w:rFonts w:ascii="Times New Roman" w:hAnsi="Times New Roman" w:cs="Times New Roman"/>
        </w:rPr>
        <w:t xml:space="preserve">“Table 9.11: Domestic households by type of housing.” </w:t>
      </w:r>
      <w:r w:rsidRPr="00FA5E4F">
        <w:rPr>
          <w:rFonts w:ascii="Times New Roman" w:hAnsi="Times New Roman" w:cs="Times New Roman"/>
          <w:i/>
        </w:rPr>
        <w:t>Hong Kong Annual Digest of Statistics 2021</w:t>
      </w:r>
      <w:r w:rsidRPr="00FA5E4F">
        <w:rPr>
          <w:rFonts w:ascii="Times New Roman" w:hAnsi="Times New Roman" w:cs="Times New Roman"/>
        </w:rPr>
        <w:t>.</w:t>
      </w:r>
      <w:r w:rsidR="00FA5E4F" w:rsidRPr="00FA5E4F">
        <w:rPr>
          <w:rFonts w:ascii="Times New Roman" w:hAnsi="Times New Roman" w:cs="Times New Roman"/>
        </w:rPr>
        <w:t xml:space="preserve">  </w:t>
      </w:r>
      <w:hyperlink r:id="rId9" w:history="1">
        <w:r w:rsidR="00FA5E4F" w:rsidRPr="00FA5E4F">
          <w:rPr>
            <w:rStyle w:val="Hyperlink"/>
            <w:rFonts w:ascii="Times New Roman" w:hAnsi="Times New Roman" w:cs="Times New Roman"/>
          </w:rPr>
          <w:t>https://www.censtatd.gov.hk/en/EIndexbySubject.html?pcode=B1010003&amp;scode=460</w:t>
        </w:r>
      </w:hyperlink>
      <w:r w:rsidR="00FA5E4F" w:rsidRPr="00FA5E4F">
        <w:rPr>
          <w:rFonts w:ascii="Times New Roman" w:hAnsi="Times New Roman" w:cs="Times New Roman"/>
        </w:rPr>
        <w:t xml:space="preserve"> </w:t>
      </w:r>
    </w:p>
  </w:footnote>
  <w:footnote w:id="11">
    <w:p w14:paraId="4643D515" w14:textId="78898AD9" w:rsidR="00491934" w:rsidRPr="00491934" w:rsidRDefault="00491934">
      <w:pPr>
        <w:pStyle w:val="FootnoteText"/>
        <w:rPr>
          <w:rFonts w:ascii="Times New Roman" w:hAnsi="Times New Roman" w:cs="Times New Roman"/>
        </w:rPr>
      </w:pPr>
      <w:r w:rsidRPr="00491934">
        <w:rPr>
          <w:rStyle w:val="FootnoteReference"/>
          <w:rFonts w:ascii="Times New Roman" w:hAnsi="Times New Roman" w:cs="Times New Roman"/>
        </w:rPr>
        <w:footnoteRef/>
      </w:r>
      <w:r w:rsidRPr="00491934">
        <w:rPr>
          <w:rFonts w:ascii="Times New Roman" w:hAnsi="Times New Roman" w:cs="Times New Roman"/>
        </w:rPr>
        <w:t xml:space="preserve"> </w:t>
      </w:r>
      <w:r>
        <w:rPr>
          <w:rFonts w:ascii="Times New Roman" w:hAnsi="Times New Roman" w:cs="Times New Roman"/>
        </w:rPr>
        <w:t>Fisher, I</w:t>
      </w:r>
      <w:r w:rsidRPr="00491934">
        <w:rPr>
          <w:rFonts w:ascii="Times New Roman" w:hAnsi="Times New Roman" w:cs="Times New Roman"/>
        </w:rPr>
        <w:t>.</w:t>
      </w:r>
      <w:r>
        <w:rPr>
          <w:rFonts w:ascii="Times New Roman" w:hAnsi="Times New Roman" w:cs="Times New Roman"/>
        </w:rPr>
        <w:t xml:space="preserve"> </w:t>
      </w:r>
      <w:r w:rsidRPr="00491934">
        <w:rPr>
          <w:rFonts w:ascii="Times New Roman" w:hAnsi="Times New Roman" w:cs="Times New Roman"/>
        </w:rPr>
        <w:t xml:space="preserve"> 1930.  </w:t>
      </w:r>
      <w:r w:rsidRPr="00491934">
        <w:rPr>
          <w:rFonts w:ascii="Times New Roman" w:hAnsi="Times New Roman" w:cs="Times New Roman"/>
          <w:i/>
        </w:rPr>
        <w:t>The Theory of Interest</w:t>
      </w:r>
      <w:r w:rsidRPr="00491934">
        <w:rPr>
          <w:rFonts w:ascii="Times New Roman" w:hAnsi="Times New Roman" w:cs="Times New Roman"/>
        </w:rPr>
        <w:t xml:space="preserve">. </w:t>
      </w:r>
      <w:r>
        <w:rPr>
          <w:rFonts w:ascii="Times New Roman" w:hAnsi="Times New Roman" w:cs="Times New Roman"/>
        </w:rPr>
        <w:t xml:space="preserve"> </w:t>
      </w:r>
      <w:r w:rsidRPr="00491934">
        <w:rPr>
          <w:rFonts w:ascii="Times New Roman" w:hAnsi="Times New Roman" w:cs="Times New Roman"/>
        </w:rPr>
        <w:t>Macmillan.</w:t>
      </w:r>
    </w:p>
    <w:p w14:paraId="662D6453" w14:textId="3084F693" w:rsidR="00491934" w:rsidRDefault="00895341" w:rsidP="000F17AD">
      <w:pPr>
        <w:pStyle w:val="FootnoteText"/>
        <w:spacing w:after="66"/>
      </w:pPr>
      <w:hyperlink r:id="rId10" w:history="1">
        <w:r w:rsidR="00491934" w:rsidRPr="00491934">
          <w:rPr>
            <w:rStyle w:val="Hyperlink"/>
            <w:rFonts w:ascii="Times New Roman" w:hAnsi="Times New Roman" w:cs="Times New Roman"/>
          </w:rPr>
          <w:t>https://oll.libertyfund.org/title/fisher-the-theory-of-interest</w:t>
        </w:r>
      </w:hyperlink>
    </w:p>
  </w:footnote>
  <w:footnote w:id="12">
    <w:p w14:paraId="537C9BFE" w14:textId="673B849C" w:rsidR="000F17AD" w:rsidRPr="000F17AD" w:rsidRDefault="000F17AD" w:rsidP="00943A8E">
      <w:pPr>
        <w:pStyle w:val="FootnoteText"/>
        <w:spacing w:after="66"/>
        <w:rPr>
          <w:rFonts w:ascii="Times New Roman" w:hAnsi="Times New Roman" w:cs="Times New Roman"/>
        </w:rPr>
      </w:pPr>
      <w:r w:rsidRPr="000F17AD">
        <w:rPr>
          <w:rStyle w:val="FootnoteReference"/>
          <w:rFonts w:ascii="Times New Roman" w:hAnsi="Times New Roman" w:cs="Times New Roman"/>
        </w:rPr>
        <w:footnoteRef/>
      </w:r>
      <w:r w:rsidRPr="000F17AD">
        <w:rPr>
          <w:rFonts w:ascii="Times New Roman" w:hAnsi="Times New Roman" w:cs="Times New Roman"/>
        </w:rPr>
        <w:t xml:space="preserve"> C&amp;SD.  2002.  “Rent indices in the Consumer Price Indices.”  </w:t>
      </w:r>
      <w:r w:rsidRPr="000F17AD">
        <w:rPr>
          <w:rFonts w:ascii="Times New Roman" w:hAnsi="Times New Roman" w:cs="Times New Roman"/>
          <w:i/>
        </w:rPr>
        <w:t>Hong Kong Monthly Digest of Statistics</w:t>
      </w:r>
      <w:r w:rsidRPr="000F17AD">
        <w:rPr>
          <w:rFonts w:ascii="Times New Roman" w:hAnsi="Times New Roman" w:cs="Times New Roman"/>
        </w:rPr>
        <w:t xml:space="preserve">, November, pp. FC1-FC9.  </w:t>
      </w:r>
      <w:hyperlink r:id="rId11" w:history="1">
        <w:r w:rsidRPr="00F05806">
          <w:rPr>
            <w:rStyle w:val="Hyperlink"/>
            <w:rFonts w:ascii="Times New Roman" w:hAnsi="Times New Roman" w:cs="Times New Roman"/>
          </w:rPr>
          <w:t>https://www.censtatd.gov.hk/en/EIndexbySubject.html?pcode=FA100215&amp;scode=270</w:t>
        </w:r>
      </w:hyperlink>
      <w:r>
        <w:rPr>
          <w:rFonts w:ascii="Times New Roman" w:hAnsi="Times New Roman" w:cs="Times New Roman"/>
        </w:rPr>
        <w:t xml:space="preserve"> </w:t>
      </w:r>
    </w:p>
  </w:footnote>
  <w:footnote w:id="13">
    <w:p w14:paraId="25AD60C0" w14:textId="345890E0" w:rsidR="00943A8E" w:rsidRPr="00943A8E" w:rsidRDefault="00943A8E">
      <w:pPr>
        <w:pStyle w:val="FootnoteText"/>
        <w:rPr>
          <w:rFonts w:ascii="Times New Roman" w:hAnsi="Times New Roman" w:cs="Times New Roman"/>
        </w:rPr>
      </w:pPr>
      <w:r w:rsidRPr="00943A8E">
        <w:rPr>
          <w:rStyle w:val="FootnoteReference"/>
          <w:rFonts w:ascii="Times New Roman" w:hAnsi="Times New Roman" w:cs="Times New Roman"/>
        </w:rPr>
        <w:footnoteRef/>
      </w:r>
      <w:r w:rsidRPr="00943A8E">
        <w:rPr>
          <w:rFonts w:ascii="Times New Roman" w:hAnsi="Times New Roman" w:cs="Times New Roman"/>
        </w:rPr>
        <w:t xml:space="preserve"> The </w:t>
      </w:r>
      <w:r w:rsidR="003D670B">
        <w:rPr>
          <w:rFonts w:ascii="Times New Roman" w:hAnsi="Times New Roman" w:cs="Times New Roman"/>
        </w:rPr>
        <w:t>more specific</w:t>
      </w:r>
      <w:r w:rsidRPr="00943A8E">
        <w:rPr>
          <w:rFonts w:ascii="Times New Roman" w:hAnsi="Times New Roman" w:cs="Times New Roman"/>
        </w:rPr>
        <w:t xml:space="preserve"> private housing rent index is only available </w:t>
      </w:r>
      <w:r w:rsidR="00FE5CE9">
        <w:rPr>
          <w:rFonts w:ascii="Times New Roman" w:hAnsi="Times New Roman" w:cs="Times New Roman"/>
        </w:rPr>
        <w:t>since</w:t>
      </w:r>
      <w:r w:rsidRPr="00943A8E">
        <w:rPr>
          <w:rFonts w:ascii="Times New Roman" w:hAnsi="Times New Roman" w:cs="Times New Roman"/>
        </w:rPr>
        <w:t xml:space="preserve"> 1994. </w:t>
      </w:r>
    </w:p>
  </w:footnote>
  <w:footnote w:id="14">
    <w:p w14:paraId="6DC61BFF" w14:textId="77777777" w:rsidR="00644C62" w:rsidRPr="00644C62" w:rsidRDefault="00644C62" w:rsidP="00644C62">
      <w:pPr>
        <w:pStyle w:val="FootnoteText"/>
        <w:rPr>
          <w:rFonts w:ascii="Times New Roman" w:hAnsi="Times New Roman" w:cs="Times New Roman"/>
        </w:rPr>
      </w:pPr>
      <w:r w:rsidRPr="00644C62">
        <w:rPr>
          <w:rStyle w:val="FootnoteReference"/>
          <w:rFonts w:ascii="Times New Roman" w:hAnsi="Times New Roman" w:cs="Times New Roman"/>
        </w:rPr>
        <w:footnoteRef/>
      </w:r>
      <w:r w:rsidRPr="00644C62">
        <w:rPr>
          <w:rFonts w:ascii="Times New Roman" w:hAnsi="Times New Roman" w:cs="Times New Roman"/>
        </w:rPr>
        <w:t xml:space="preserve"> Peng, W.  2002.  “What drives property prices in Hong Kong?”  </w:t>
      </w:r>
      <w:r w:rsidRPr="00644C62">
        <w:rPr>
          <w:rFonts w:ascii="Times New Roman" w:hAnsi="Times New Roman" w:cs="Times New Roman"/>
          <w:i/>
        </w:rPr>
        <w:t>HKMA Quarterly Bulletin</w:t>
      </w:r>
      <w:r w:rsidRPr="00644C62">
        <w:rPr>
          <w:rFonts w:ascii="Times New Roman" w:hAnsi="Times New Roman" w:cs="Times New Roman"/>
        </w:rPr>
        <w:t xml:space="preserve"> 32, pp. 19-33.</w:t>
      </w:r>
    </w:p>
    <w:p w14:paraId="7D437535" w14:textId="3D11C52D" w:rsidR="00644C62" w:rsidRPr="00644C62" w:rsidRDefault="00895341" w:rsidP="00644C62">
      <w:pPr>
        <w:pStyle w:val="FootnoteText"/>
        <w:spacing w:after="66"/>
        <w:rPr>
          <w:rFonts w:ascii="Times New Roman" w:hAnsi="Times New Roman" w:cs="Times New Roman"/>
        </w:rPr>
      </w:pPr>
      <w:hyperlink r:id="rId12" w:history="1">
        <w:r w:rsidR="00644C62" w:rsidRPr="00644C62">
          <w:rPr>
            <w:rStyle w:val="Hyperlink"/>
            <w:rFonts w:ascii="Times New Roman" w:hAnsi="Times New Roman" w:cs="Times New Roman"/>
          </w:rPr>
          <w:t>https://www.hkma.gov.hk/media/eng/publication-and-research/quarterly-bulletin/qb200208/fa2.pdf</w:t>
        </w:r>
      </w:hyperlink>
      <w:r w:rsidR="00644C62" w:rsidRPr="00644C62">
        <w:rPr>
          <w:rFonts w:ascii="Times New Roman" w:hAnsi="Times New Roman" w:cs="Times New Roman"/>
        </w:rPr>
        <w:t xml:space="preserve"> </w:t>
      </w:r>
    </w:p>
  </w:footnote>
  <w:footnote w:id="15">
    <w:p w14:paraId="64E006CA" w14:textId="77777777" w:rsidR="00E60D4A" w:rsidRPr="00F97541" w:rsidRDefault="00E60D4A" w:rsidP="00E60D4A">
      <w:pPr>
        <w:pStyle w:val="FootnoteText"/>
        <w:rPr>
          <w:rFonts w:ascii="Times New Roman" w:hAnsi="Times New Roman" w:cs="Times New Roman"/>
        </w:rPr>
      </w:pPr>
      <w:r w:rsidRPr="00F97541">
        <w:rPr>
          <w:rStyle w:val="FootnoteReference"/>
          <w:rFonts w:ascii="Times New Roman" w:hAnsi="Times New Roman" w:cs="Times New Roman"/>
        </w:rPr>
        <w:footnoteRef/>
      </w:r>
      <w:r w:rsidRPr="00F97541">
        <w:rPr>
          <w:rFonts w:ascii="Times New Roman" w:hAnsi="Times New Roman" w:cs="Times New Roman"/>
        </w:rPr>
        <w:t xml:space="preserve"> Cutler, J., C. Chan and U. Li.  2005.  “The relationship between commodity and consumer</w:t>
      </w:r>
    </w:p>
    <w:p w14:paraId="01716A99" w14:textId="77777777" w:rsidR="00E60D4A" w:rsidRDefault="00E60D4A" w:rsidP="00E60D4A">
      <w:pPr>
        <w:pStyle w:val="FootnoteText"/>
        <w:rPr>
          <w:rFonts w:ascii="Times New Roman" w:hAnsi="Times New Roman" w:cs="Times New Roman"/>
        </w:rPr>
      </w:pPr>
      <w:proofErr w:type="gramStart"/>
      <w:r w:rsidRPr="00F97541">
        <w:rPr>
          <w:rFonts w:ascii="Times New Roman" w:hAnsi="Times New Roman" w:cs="Times New Roman"/>
        </w:rPr>
        <w:t>prices</w:t>
      </w:r>
      <w:proofErr w:type="gramEnd"/>
      <w:r w:rsidRPr="00F97541">
        <w:rPr>
          <w:rFonts w:ascii="Times New Roman" w:hAnsi="Times New Roman" w:cs="Times New Roman"/>
        </w:rPr>
        <w:t xml:space="preserve"> in Mainland China and Hong Kong.”  </w:t>
      </w:r>
      <w:r>
        <w:rPr>
          <w:rFonts w:ascii="Times New Roman" w:hAnsi="Times New Roman" w:cs="Times New Roman"/>
          <w:i/>
        </w:rPr>
        <w:t>HKMA</w:t>
      </w:r>
      <w:r w:rsidRPr="00F97541">
        <w:rPr>
          <w:rFonts w:ascii="Times New Roman" w:hAnsi="Times New Roman" w:cs="Times New Roman"/>
          <w:i/>
        </w:rPr>
        <w:t xml:space="preserve"> Quarterly Bulletin</w:t>
      </w:r>
      <w:r w:rsidRPr="00F97541">
        <w:rPr>
          <w:rFonts w:ascii="Times New Roman" w:hAnsi="Times New Roman" w:cs="Times New Roman"/>
        </w:rPr>
        <w:t xml:space="preserve"> 43, pp. 16-</w:t>
      </w:r>
      <w:r>
        <w:rPr>
          <w:rFonts w:ascii="Times New Roman" w:hAnsi="Times New Roman" w:cs="Times New Roman"/>
        </w:rPr>
        <w:t>31.</w:t>
      </w:r>
    </w:p>
    <w:p w14:paraId="771322AE" w14:textId="77777777" w:rsidR="00E60D4A" w:rsidRDefault="00895341" w:rsidP="004F2D9B">
      <w:pPr>
        <w:pStyle w:val="FootnoteText"/>
        <w:spacing w:after="66"/>
      </w:pPr>
      <w:hyperlink r:id="rId13" w:history="1">
        <w:r w:rsidR="00E60D4A" w:rsidRPr="00F97541">
          <w:rPr>
            <w:rStyle w:val="Hyperlink"/>
            <w:rFonts w:ascii="Times New Roman" w:hAnsi="Times New Roman" w:cs="Times New Roman"/>
          </w:rPr>
          <w:t>https://www.hkma.gov.hk/media/eng/publication-and-research/quarterly-bulletin/qb200506/fa2.pdf</w:t>
        </w:r>
      </w:hyperlink>
      <w:r w:rsidR="00E60D4A">
        <w:t xml:space="preserve"> </w:t>
      </w:r>
    </w:p>
  </w:footnote>
  <w:footnote w:id="16">
    <w:p w14:paraId="589BB804" w14:textId="77777777" w:rsidR="000E17A5" w:rsidRPr="008C4591" w:rsidRDefault="000E17A5" w:rsidP="000E17A5">
      <w:pPr>
        <w:pStyle w:val="FootnoteText"/>
        <w:spacing w:after="66"/>
        <w:rPr>
          <w:rFonts w:ascii="Times New Roman" w:hAnsi="Times New Roman" w:cs="Times New Roman"/>
        </w:rPr>
      </w:pPr>
      <w:r w:rsidRPr="008C4591">
        <w:rPr>
          <w:rStyle w:val="FootnoteReference"/>
          <w:rFonts w:ascii="Times New Roman" w:hAnsi="Times New Roman" w:cs="Times New Roman"/>
        </w:rPr>
        <w:footnoteRef/>
      </w:r>
      <w:r w:rsidRPr="008C4591">
        <w:rPr>
          <w:rFonts w:ascii="Times New Roman" w:hAnsi="Times New Roman" w:cs="Times New Roman"/>
        </w:rPr>
        <w:t xml:space="preserve"> Phillips, P. and P. </w:t>
      </w:r>
      <w:proofErr w:type="spellStart"/>
      <w:r w:rsidRPr="008C4591">
        <w:rPr>
          <w:rFonts w:ascii="Times New Roman" w:hAnsi="Times New Roman" w:cs="Times New Roman"/>
        </w:rPr>
        <w:t>Perron</w:t>
      </w:r>
      <w:proofErr w:type="spellEnd"/>
      <w:r w:rsidRPr="008C4591">
        <w:rPr>
          <w:rFonts w:ascii="Times New Roman" w:hAnsi="Times New Roman" w:cs="Times New Roman"/>
        </w:rPr>
        <w:t xml:space="preserve">.  1988.  “Testing for a unit root in time series regression.”  </w:t>
      </w:r>
      <w:proofErr w:type="spellStart"/>
      <w:r w:rsidRPr="008C4591">
        <w:rPr>
          <w:rFonts w:ascii="Times New Roman" w:hAnsi="Times New Roman" w:cs="Times New Roman"/>
          <w:i/>
        </w:rPr>
        <w:t>Biometrika</w:t>
      </w:r>
      <w:proofErr w:type="spellEnd"/>
      <w:r w:rsidRPr="008C4591">
        <w:rPr>
          <w:rFonts w:ascii="Times New Roman" w:hAnsi="Times New Roman" w:cs="Times New Roman"/>
        </w:rPr>
        <w:t xml:space="preserve"> 7</w:t>
      </w:r>
      <w:r>
        <w:rPr>
          <w:rFonts w:ascii="Times New Roman" w:hAnsi="Times New Roman" w:cs="Times New Roman"/>
        </w:rPr>
        <w:t>5</w:t>
      </w:r>
      <w:r w:rsidRPr="008C4591">
        <w:rPr>
          <w:rFonts w:ascii="Times New Roman" w:hAnsi="Times New Roman" w:cs="Times New Roman"/>
        </w:rPr>
        <w:t>(2), pp. 335</w:t>
      </w:r>
      <w:r>
        <w:rPr>
          <w:rFonts w:ascii="Times New Roman" w:hAnsi="Times New Roman" w:cs="Times New Roman"/>
        </w:rPr>
        <w:t>-</w:t>
      </w:r>
      <w:r w:rsidRPr="008C4591">
        <w:rPr>
          <w:rFonts w:ascii="Times New Roman" w:hAnsi="Times New Roman" w:cs="Times New Roman"/>
        </w:rPr>
        <w:t>346.</w:t>
      </w:r>
      <w:r>
        <w:rPr>
          <w:rFonts w:ascii="Times New Roman" w:hAnsi="Times New Roman" w:cs="Times New Roman"/>
        </w:rPr>
        <w:t xml:space="preserve">  </w:t>
      </w:r>
      <w:hyperlink r:id="rId14" w:history="1">
        <w:r w:rsidRPr="00335C62">
          <w:rPr>
            <w:rStyle w:val="Hyperlink"/>
            <w:rFonts w:ascii="Times New Roman" w:hAnsi="Times New Roman" w:cs="Times New Roman"/>
          </w:rPr>
          <w:t>https://www.jstor.org/stable/2336182</w:t>
        </w:r>
      </w:hyperlink>
    </w:p>
  </w:footnote>
  <w:footnote w:id="17">
    <w:p w14:paraId="726DD0E2" w14:textId="77777777" w:rsidR="00661BBC" w:rsidRPr="00292E04" w:rsidRDefault="00661BBC" w:rsidP="00661BBC">
      <w:pPr>
        <w:pStyle w:val="FootnoteText"/>
        <w:spacing w:after="66"/>
        <w:rPr>
          <w:rFonts w:ascii="Times New Roman" w:hAnsi="Times New Roman" w:cs="Times New Roman"/>
        </w:rPr>
      </w:pPr>
      <w:r w:rsidRPr="00292E04">
        <w:rPr>
          <w:rStyle w:val="FootnoteReference"/>
          <w:rFonts w:ascii="Times New Roman" w:hAnsi="Times New Roman" w:cs="Times New Roman"/>
        </w:rPr>
        <w:footnoteRef/>
      </w:r>
      <w:r w:rsidRPr="00292E04">
        <w:rPr>
          <w:rFonts w:ascii="Times New Roman" w:hAnsi="Times New Roman" w:cs="Times New Roman"/>
        </w:rPr>
        <w:t xml:space="preserve"> Newey, W., and K. West.  1987.  </w:t>
      </w:r>
      <w:r>
        <w:rPr>
          <w:rFonts w:ascii="Times New Roman" w:hAnsi="Times New Roman" w:cs="Times New Roman"/>
        </w:rPr>
        <w:t>“</w:t>
      </w:r>
      <w:r w:rsidRPr="00292E04">
        <w:rPr>
          <w:rFonts w:ascii="Times New Roman" w:hAnsi="Times New Roman" w:cs="Times New Roman"/>
        </w:rPr>
        <w:t xml:space="preserve">A simple, positive semi-definite, </w:t>
      </w:r>
      <w:proofErr w:type="spellStart"/>
      <w:r w:rsidRPr="00292E04">
        <w:rPr>
          <w:rFonts w:ascii="Times New Roman" w:hAnsi="Times New Roman" w:cs="Times New Roman"/>
        </w:rPr>
        <w:t>heteroskedasticity</w:t>
      </w:r>
      <w:proofErr w:type="spellEnd"/>
      <w:r w:rsidRPr="00292E04">
        <w:rPr>
          <w:rFonts w:ascii="Times New Roman" w:hAnsi="Times New Roman" w:cs="Times New Roman"/>
        </w:rPr>
        <w:t xml:space="preserve"> and autocorrelation consistent covariance matrix.</w:t>
      </w:r>
      <w:r>
        <w:rPr>
          <w:rFonts w:ascii="Times New Roman" w:hAnsi="Times New Roman" w:cs="Times New Roman"/>
        </w:rPr>
        <w:t>”</w:t>
      </w:r>
      <w:r w:rsidRPr="00292E04">
        <w:rPr>
          <w:rFonts w:ascii="Times New Roman" w:hAnsi="Times New Roman" w:cs="Times New Roman"/>
        </w:rPr>
        <w:t xml:space="preserve"> </w:t>
      </w:r>
      <w:r>
        <w:rPr>
          <w:rFonts w:ascii="Times New Roman" w:hAnsi="Times New Roman" w:cs="Times New Roman"/>
        </w:rPr>
        <w:t xml:space="preserve"> </w:t>
      </w:r>
      <w:proofErr w:type="spellStart"/>
      <w:r w:rsidRPr="00292E04">
        <w:rPr>
          <w:rFonts w:ascii="Times New Roman" w:hAnsi="Times New Roman" w:cs="Times New Roman"/>
          <w:i/>
        </w:rPr>
        <w:t>Econometrica</w:t>
      </w:r>
      <w:proofErr w:type="spellEnd"/>
      <w:r w:rsidRPr="00292E04">
        <w:rPr>
          <w:rFonts w:ascii="Times New Roman" w:hAnsi="Times New Roman" w:cs="Times New Roman"/>
        </w:rPr>
        <w:t xml:space="preserve"> 55</w:t>
      </w:r>
      <w:r>
        <w:rPr>
          <w:rFonts w:ascii="Times New Roman" w:hAnsi="Times New Roman" w:cs="Times New Roman"/>
        </w:rPr>
        <w:t>(3), pp.</w:t>
      </w:r>
      <w:r w:rsidRPr="00292E04">
        <w:rPr>
          <w:rFonts w:ascii="Times New Roman" w:hAnsi="Times New Roman" w:cs="Times New Roman"/>
        </w:rPr>
        <w:t xml:space="preserve"> </w:t>
      </w:r>
      <w:r>
        <w:rPr>
          <w:rFonts w:ascii="Times New Roman" w:hAnsi="Times New Roman" w:cs="Times New Roman"/>
        </w:rPr>
        <w:t>703-</w:t>
      </w:r>
      <w:r w:rsidRPr="00292E04">
        <w:rPr>
          <w:rFonts w:ascii="Times New Roman" w:hAnsi="Times New Roman" w:cs="Times New Roman"/>
        </w:rPr>
        <w:t xml:space="preserve">708.  </w:t>
      </w:r>
      <w:hyperlink r:id="rId15" w:history="1">
        <w:r w:rsidRPr="00292E04">
          <w:rPr>
            <w:rStyle w:val="Hyperlink"/>
            <w:rFonts w:ascii="Times New Roman" w:hAnsi="Times New Roman" w:cs="Times New Roman"/>
          </w:rPr>
          <w:t>https://www.jstor.org/stable/1913610</w:t>
        </w:r>
      </w:hyperlink>
      <w:r w:rsidRPr="00292E04">
        <w:rPr>
          <w:rFonts w:ascii="Times New Roman" w:hAnsi="Times New Roman" w:cs="Times New Roman"/>
        </w:rPr>
        <w:t xml:space="preserve"> </w:t>
      </w:r>
    </w:p>
  </w:footnote>
  <w:footnote w:id="18">
    <w:p w14:paraId="79F35BF1" w14:textId="77777777" w:rsidR="00661BBC" w:rsidRPr="00066736" w:rsidRDefault="00661BBC" w:rsidP="00661BBC">
      <w:pPr>
        <w:pStyle w:val="FootnoteText"/>
        <w:spacing w:after="66"/>
        <w:jc w:val="both"/>
        <w:rPr>
          <w:rFonts w:ascii="Times New Roman" w:hAnsi="Times New Roman" w:cs="Times New Roman"/>
        </w:rPr>
      </w:pPr>
      <w:r w:rsidRPr="00066736">
        <w:rPr>
          <w:rStyle w:val="FootnoteReference"/>
          <w:rFonts w:ascii="Times New Roman" w:hAnsi="Times New Roman" w:cs="Times New Roman"/>
        </w:rPr>
        <w:footnoteRef/>
      </w:r>
      <w:r w:rsidRPr="00066736">
        <w:rPr>
          <w:rFonts w:ascii="Times New Roman" w:hAnsi="Times New Roman" w:cs="Times New Roman"/>
        </w:rPr>
        <w:t xml:space="preserve"> </w:t>
      </w:r>
      <w:r>
        <w:rPr>
          <w:rFonts w:ascii="Times New Roman" w:hAnsi="Times New Roman" w:cs="Times New Roman"/>
        </w:rPr>
        <w:t xml:space="preserve">Newey and West suggest setting the number of lags equal to </w:t>
      </w:r>
      <w:r w:rsidRPr="00066736">
        <w:rPr>
          <w:rFonts w:ascii="Times New Roman" w:hAnsi="Times New Roman" w:cs="Times New Roman"/>
        </w:rPr>
        <w:t>the integer part of 4(</w:t>
      </w:r>
      <w:r w:rsidRPr="00066736">
        <w:rPr>
          <w:rFonts w:ascii="Times New Roman" w:hAnsi="Times New Roman" w:cs="Times New Roman"/>
          <w:i/>
        </w:rPr>
        <w:t>N</w:t>
      </w:r>
      <w:r w:rsidRPr="00066736">
        <w:rPr>
          <w:rFonts w:ascii="Times New Roman" w:hAnsi="Times New Roman" w:cs="Times New Roman"/>
        </w:rPr>
        <w:t>/100)</w:t>
      </w:r>
      <w:r w:rsidRPr="00066736">
        <w:rPr>
          <w:rFonts w:ascii="Times New Roman" w:hAnsi="Times New Roman" w:cs="Times New Roman"/>
          <w:vertAlign w:val="superscript"/>
        </w:rPr>
        <w:t>2/9</w:t>
      </w:r>
      <w:r w:rsidRPr="00066736">
        <w:rPr>
          <w:rFonts w:ascii="Times New Roman" w:hAnsi="Times New Roman" w:cs="Times New Roman"/>
        </w:rPr>
        <w:t xml:space="preserve">, where </w:t>
      </w:r>
      <w:r w:rsidRPr="00066736">
        <w:rPr>
          <w:rFonts w:ascii="Times New Roman" w:hAnsi="Times New Roman" w:cs="Times New Roman"/>
          <w:i/>
        </w:rPr>
        <w:t>N</w:t>
      </w:r>
      <w:r w:rsidRPr="00066736">
        <w:rPr>
          <w:rFonts w:ascii="Times New Roman" w:hAnsi="Times New Roman" w:cs="Times New Roman"/>
        </w:rPr>
        <w:t xml:space="preserve"> is the sample size</w:t>
      </w:r>
      <w:r>
        <w:rPr>
          <w:rFonts w:ascii="Times New Roman" w:hAnsi="Times New Roman" w:cs="Times New Roman"/>
        </w:rPr>
        <w:t xml:space="preserve">.  In this case, </w:t>
      </w:r>
      <w:r w:rsidRPr="00066736">
        <w:rPr>
          <w:rFonts w:ascii="Times New Roman" w:hAnsi="Times New Roman" w:cs="Times New Roman"/>
          <w:i/>
        </w:rPr>
        <w:t>N</w:t>
      </w:r>
      <w:r>
        <w:rPr>
          <w:rFonts w:ascii="Times New Roman" w:hAnsi="Times New Roman" w:cs="Times New Roman"/>
        </w:rPr>
        <w:t xml:space="preserve"> is 152 quarters.</w:t>
      </w:r>
    </w:p>
  </w:footnote>
  <w:footnote w:id="19">
    <w:p w14:paraId="4D0EA7AD" w14:textId="54552993" w:rsidR="001A6337" w:rsidRPr="001A6337" w:rsidRDefault="001A6337" w:rsidP="00D42468">
      <w:pPr>
        <w:pStyle w:val="FootnoteText"/>
        <w:spacing w:after="66"/>
        <w:rPr>
          <w:rFonts w:ascii="Times New Roman" w:hAnsi="Times New Roman" w:cs="Times New Roman"/>
        </w:rPr>
      </w:pPr>
      <w:r w:rsidRPr="001A6337">
        <w:rPr>
          <w:rStyle w:val="FootnoteReference"/>
          <w:rFonts w:ascii="Times New Roman" w:hAnsi="Times New Roman" w:cs="Times New Roman"/>
        </w:rPr>
        <w:footnoteRef/>
      </w:r>
      <w:r w:rsidRPr="001A6337">
        <w:rPr>
          <w:rFonts w:ascii="Times New Roman" w:hAnsi="Times New Roman" w:cs="Times New Roman"/>
        </w:rPr>
        <w:t xml:space="preserve"> Campbell, J.</w:t>
      </w:r>
      <w:r>
        <w:rPr>
          <w:rFonts w:ascii="Times New Roman" w:hAnsi="Times New Roman" w:cs="Times New Roman"/>
        </w:rPr>
        <w:t xml:space="preserve"> and R. Shiller.  1987</w:t>
      </w:r>
      <w:r w:rsidRPr="001A6337">
        <w:rPr>
          <w:rFonts w:ascii="Times New Roman" w:hAnsi="Times New Roman" w:cs="Times New Roman"/>
        </w:rPr>
        <w:t xml:space="preserve">. </w:t>
      </w:r>
      <w:r>
        <w:rPr>
          <w:rFonts w:ascii="Times New Roman" w:hAnsi="Times New Roman" w:cs="Times New Roman"/>
        </w:rPr>
        <w:t xml:space="preserve"> “</w:t>
      </w:r>
      <w:r w:rsidRPr="001A6337">
        <w:rPr>
          <w:rFonts w:ascii="Times New Roman" w:hAnsi="Times New Roman" w:cs="Times New Roman"/>
        </w:rPr>
        <w:t xml:space="preserve">Cointegration and </w:t>
      </w:r>
      <w:r>
        <w:rPr>
          <w:rFonts w:ascii="Times New Roman" w:hAnsi="Times New Roman" w:cs="Times New Roman"/>
        </w:rPr>
        <w:t>t</w:t>
      </w:r>
      <w:r w:rsidRPr="001A6337">
        <w:rPr>
          <w:rFonts w:ascii="Times New Roman" w:hAnsi="Times New Roman" w:cs="Times New Roman"/>
        </w:rPr>
        <w:t xml:space="preserve">ests of </w:t>
      </w:r>
      <w:r>
        <w:rPr>
          <w:rFonts w:ascii="Times New Roman" w:hAnsi="Times New Roman" w:cs="Times New Roman"/>
        </w:rPr>
        <w:t>p</w:t>
      </w:r>
      <w:r w:rsidRPr="001A6337">
        <w:rPr>
          <w:rFonts w:ascii="Times New Roman" w:hAnsi="Times New Roman" w:cs="Times New Roman"/>
        </w:rPr>
        <w:t xml:space="preserve">resent </w:t>
      </w:r>
      <w:r>
        <w:rPr>
          <w:rFonts w:ascii="Times New Roman" w:hAnsi="Times New Roman" w:cs="Times New Roman"/>
        </w:rPr>
        <w:t>v</w:t>
      </w:r>
      <w:r w:rsidRPr="001A6337">
        <w:rPr>
          <w:rFonts w:ascii="Times New Roman" w:hAnsi="Times New Roman" w:cs="Times New Roman"/>
        </w:rPr>
        <w:t xml:space="preserve">alue </w:t>
      </w:r>
      <w:r>
        <w:rPr>
          <w:rFonts w:ascii="Times New Roman" w:hAnsi="Times New Roman" w:cs="Times New Roman"/>
        </w:rPr>
        <w:t>m</w:t>
      </w:r>
      <w:r w:rsidRPr="001A6337">
        <w:rPr>
          <w:rFonts w:ascii="Times New Roman" w:hAnsi="Times New Roman" w:cs="Times New Roman"/>
        </w:rPr>
        <w:t>odels.</w:t>
      </w:r>
      <w:r>
        <w:rPr>
          <w:rFonts w:ascii="Times New Roman" w:hAnsi="Times New Roman" w:cs="Times New Roman"/>
        </w:rPr>
        <w:t>”</w:t>
      </w:r>
      <w:r w:rsidRPr="001A6337">
        <w:rPr>
          <w:rFonts w:ascii="Times New Roman" w:hAnsi="Times New Roman" w:cs="Times New Roman"/>
        </w:rPr>
        <w:t xml:space="preserve"> </w:t>
      </w:r>
      <w:r>
        <w:rPr>
          <w:rFonts w:ascii="Times New Roman" w:hAnsi="Times New Roman" w:cs="Times New Roman"/>
        </w:rPr>
        <w:t xml:space="preserve"> </w:t>
      </w:r>
      <w:r w:rsidRPr="001A6337">
        <w:rPr>
          <w:rFonts w:ascii="Times New Roman" w:hAnsi="Times New Roman" w:cs="Times New Roman"/>
          <w:i/>
        </w:rPr>
        <w:t>Journal of Political Economy</w:t>
      </w:r>
      <w:r w:rsidRPr="001A6337">
        <w:rPr>
          <w:rFonts w:ascii="Times New Roman" w:hAnsi="Times New Roman" w:cs="Times New Roman"/>
        </w:rPr>
        <w:t xml:space="preserve"> 95(5), </w:t>
      </w:r>
      <w:r>
        <w:rPr>
          <w:rFonts w:ascii="Times New Roman" w:hAnsi="Times New Roman" w:cs="Times New Roman"/>
        </w:rPr>
        <w:t xml:space="preserve">pp. </w:t>
      </w:r>
      <w:r w:rsidRPr="001A6337">
        <w:rPr>
          <w:rFonts w:ascii="Times New Roman" w:hAnsi="Times New Roman" w:cs="Times New Roman"/>
        </w:rPr>
        <w:t>1062–1088.</w:t>
      </w:r>
      <w:r w:rsidR="00D42468">
        <w:rPr>
          <w:rFonts w:ascii="Times New Roman" w:hAnsi="Times New Roman" w:cs="Times New Roman"/>
        </w:rPr>
        <w:t xml:space="preserve">  </w:t>
      </w:r>
      <w:hyperlink r:id="rId16" w:history="1">
        <w:r w:rsidR="00D42468" w:rsidRPr="00EA361B">
          <w:rPr>
            <w:rStyle w:val="Hyperlink"/>
            <w:rFonts w:ascii="Times New Roman" w:hAnsi="Times New Roman" w:cs="Times New Roman"/>
          </w:rPr>
          <w:t>http://nrs.harvard.edu/urn-3:HUL.InstRepos:3122490</w:t>
        </w:r>
      </w:hyperlink>
      <w:r w:rsidR="00D42468">
        <w:rPr>
          <w:rFonts w:ascii="Times New Roman" w:hAnsi="Times New Roman" w:cs="Times New Roman"/>
        </w:rPr>
        <w:t xml:space="preserve"> </w:t>
      </w:r>
    </w:p>
  </w:footnote>
  <w:footnote w:id="20">
    <w:p w14:paraId="4DA31374" w14:textId="77777777" w:rsidR="00E966A8" w:rsidRPr="00EB35E0" w:rsidRDefault="00E966A8" w:rsidP="00E966A8">
      <w:pPr>
        <w:pStyle w:val="FootnoteText"/>
        <w:spacing w:after="66"/>
        <w:rPr>
          <w:rFonts w:ascii="Times New Roman" w:hAnsi="Times New Roman" w:cs="Times New Roman"/>
        </w:rPr>
      </w:pPr>
      <w:r w:rsidRPr="00EB35E0">
        <w:rPr>
          <w:rStyle w:val="FootnoteReference"/>
          <w:rFonts w:ascii="Times New Roman" w:hAnsi="Times New Roman" w:cs="Times New Roman"/>
        </w:rPr>
        <w:footnoteRef/>
      </w:r>
      <w:r w:rsidRPr="00EB35E0">
        <w:rPr>
          <w:rFonts w:ascii="Times New Roman" w:hAnsi="Times New Roman" w:cs="Times New Roman"/>
        </w:rPr>
        <w:t xml:space="preserve"> Gordon, R.  2011.  “The history of the Phillips curve: consensus and bifurcation.”  </w:t>
      </w:r>
      <w:proofErr w:type="spellStart"/>
      <w:r w:rsidRPr="00EB35E0">
        <w:rPr>
          <w:rFonts w:ascii="Times New Roman" w:hAnsi="Times New Roman" w:cs="Times New Roman"/>
          <w:i/>
        </w:rPr>
        <w:t>Economica</w:t>
      </w:r>
      <w:proofErr w:type="spellEnd"/>
      <w:r w:rsidRPr="00EB35E0">
        <w:rPr>
          <w:rFonts w:ascii="Times New Roman" w:hAnsi="Times New Roman" w:cs="Times New Roman"/>
        </w:rPr>
        <w:t xml:space="preserve"> 78(309), pp. 10-50.  </w:t>
      </w:r>
      <w:hyperlink r:id="rId17" w:history="1">
        <w:r w:rsidRPr="00EB35E0">
          <w:rPr>
            <w:rStyle w:val="Hyperlink"/>
            <w:rFonts w:ascii="Times New Roman" w:hAnsi="Times New Roman" w:cs="Times New Roman"/>
          </w:rPr>
          <w:t>https://www.jstor.org/stable/41236106</w:t>
        </w:r>
      </w:hyperlink>
      <w:r w:rsidRPr="00EB35E0">
        <w:rPr>
          <w:rFonts w:ascii="Times New Roman" w:hAnsi="Times New Roman" w:cs="Times New Roman"/>
        </w:rPr>
        <w:t xml:space="preserve"> </w:t>
      </w:r>
    </w:p>
  </w:footnote>
  <w:footnote w:id="21">
    <w:p w14:paraId="22D93AD3" w14:textId="22EB0572" w:rsidR="002D45DA" w:rsidRPr="002D45DA" w:rsidRDefault="002D45DA" w:rsidP="002D45DA">
      <w:pPr>
        <w:pStyle w:val="FootnoteText"/>
        <w:spacing w:after="66"/>
        <w:rPr>
          <w:rFonts w:ascii="Times New Roman" w:hAnsi="Times New Roman" w:cs="Times New Roman"/>
        </w:rPr>
      </w:pPr>
      <w:r w:rsidRPr="002D45DA">
        <w:rPr>
          <w:rStyle w:val="FootnoteReference"/>
          <w:rFonts w:ascii="Times New Roman" w:hAnsi="Times New Roman" w:cs="Times New Roman"/>
        </w:rPr>
        <w:footnoteRef/>
      </w:r>
      <w:r w:rsidRPr="002D45DA">
        <w:rPr>
          <w:rFonts w:ascii="Times New Roman" w:hAnsi="Times New Roman" w:cs="Times New Roman"/>
        </w:rPr>
        <w:t xml:space="preserve"> </w:t>
      </w:r>
      <w:proofErr w:type="spellStart"/>
      <w:r w:rsidRPr="002D45DA">
        <w:rPr>
          <w:rFonts w:ascii="Times New Roman" w:hAnsi="Times New Roman" w:cs="Times New Roman"/>
        </w:rPr>
        <w:t>Duca</w:t>
      </w:r>
      <w:proofErr w:type="spellEnd"/>
      <w:r w:rsidRPr="002D45DA">
        <w:rPr>
          <w:rFonts w:ascii="Times New Roman" w:hAnsi="Times New Roman" w:cs="Times New Roman"/>
        </w:rPr>
        <w:t xml:space="preserve">, J., J. </w:t>
      </w:r>
      <w:proofErr w:type="spellStart"/>
      <w:r w:rsidRPr="002D45DA">
        <w:rPr>
          <w:rFonts w:ascii="Times New Roman" w:hAnsi="Times New Roman" w:cs="Times New Roman"/>
        </w:rPr>
        <w:t>Muellbauer</w:t>
      </w:r>
      <w:proofErr w:type="spellEnd"/>
      <w:r w:rsidRPr="002D45DA">
        <w:rPr>
          <w:rFonts w:ascii="Times New Roman" w:hAnsi="Times New Roman" w:cs="Times New Roman"/>
        </w:rPr>
        <w:t xml:space="preserve">, and A. Murphy.  2021.  “What drives house price cycles?  International experience and policy issues.” </w:t>
      </w:r>
      <w:r w:rsidRPr="002D45DA">
        <w:rPr>
          <w:rFonts w:ascii="Times New Roman" w:hAnsi="Times New Roman" w:cs="Times New Roman"/>
          <w:i/>
        </w:rPr>
        <w:t>Journal of Economic Literature</w:t>
      </w:r>
      <w:r w:rsidRPr="002D45DA">
        <w:rPr>
          <w:rFonts w:ascii="Times New Roman" w:hAnsi="Times New Roman" w:cs="Times New Roman"/>
        </w:rPr>
        <w:t xml:space="preserve"> 59(3), pp. 773-864.</w:t>
      </w:r>
      <w:r>
        <w:rPr>
          <w:rFonts w:ascii="Times New Roman" w:hAnsi="Times New Roman" w:cs="Times New Roman"/>
        </w:rPr>
        <w:t xml:space="preserve">  </w:t>
      </w:r>
      <w:hyperlink r:id="rId18" w:history="1">
        <w:r w:rsidRPr="006756E2">
          <w:rPr>
            <w:rStyle w:val="Hyperlink"/>
            <w:rFonts w:ascii="Times New Roman" w:hAnsi="Times New Roman" w:cs="Times New Roman"/>
          </w:rPr>
          <w:t>https://www.aeaweb.org/articles?id=10.1257/jel.20201325</w:t>
        </w:r>
      </w:hyperlink>
      <w:r>
        <w:rPr>
          <w:rFonts w:ascii="Times New Roman" w:hAnsi="Times New Roman" w:cs="Times New Roman"/>
        </w:rPr>
        <w:t xml:space="preserve"> </w:t>
      </w:r>
    </w:p>
  </w:footnote>
  <w:footnote w:id="22">
    <w:p w14:paraId="005C1956" w14:textId="77777777" w:rsidR="0059470F" w:rsidRPr="0086672B" w:rsidRDefault="0059470F" w:rsidP="002202B8">
      <w:pPr>
        <w:pStyle w:val="FootnoteText"/>
        <w:spacing w:after="66"/>
        <w:rPr>
          <w:rFonts w:ascii="Times New Roman" w:hAnsi="Times New Roman" w:cs="Times New Roman"/>
        </w:rPr>
      </w:pPr>
      <w:r w:rsidRPr="0086672B">
        <w:rPr>
          <w:rStyle w:val="FootnoteReference"/>
          <w:rFonts w:ascii="Times New Roman" w:hAnsi="Times New Roman" w:cs="Times New Roman"/>
        </w:rPr>
        <w:footnoteRef/>
      </w:r>
      <w:r w:rsidRPr="0086672B">
        <w:rPr>
          <w:rFonts w:ascii="Times New Roman" w:hAnsi="Times New Roman" w:cs="Times New Roman"/>
        </w:rPr>
        <w:t xml:space="preserve"> Johansen, S.  1995. </w:t>
      </w:r>
      <w:r>
        <w:rPr>
          <w:rFonts w:ascii="Times New Roman" w:hAnsi="Times New Roman" w:cs="Times New Roman"/>
        </w:rPr>
        <w:t xml:space="preserve"> </w:t>
      </w:r>
      <w:r w:rsidRPr="0086672B">
        <w:rPr>
          <w:rFonts w:ascii="Times New Roman" w:hAnsi="Times New Roman" w:cs="Times New Roman"/>
          <w:i/>
        </w:rPr>
        <w:t>Likelihood-</w:t>
      </w:r>
      <w:r>
        <w:rPr>
          <w:rFonts w:ascii="Times New Roman" w:hAnsi="Times New Roman" w:cs="Times New Roman"/>
          <w:i/>
        </w:rPr>
        <w:t>b</w:t>
      </w:r>
      <w:r w:rsidRPr="0086672B">
        <w:rPr>
          <w:rFonts w:ascii="Times New Roman" w:hAnsi="Times New Roman" w:cs="Times New Roman"/>
          <w:i/>
        </w:rPr>
        <w:t xml:space="preserve">ased </w:t>
      </w:r>
      <w:r>
        <w:rPr>
          <w:rFonts w:ascii="Times New Roman" w:hAnsi="Times New Roman" w:cs="Times New Roman"/>
          <w:i/>
        </w:rPr>
        <w:t>i</w:t>
      </w:r>
      <w:r w:rsidRPr="0086672B">
        <w:rPr>
          <w:rFonts w:ascii="Times New Roman" w:hAnsi="Times New Roman" w:cs="Times New Roman"/>
          <w:i/>
        </w:rPr>
        <w:t xml:space="preserve">nference in </w:t>
      </w:r>
      <w:r>
        <w:rPr>
          <w:rFonts w:ascii="Times New Roman" w:hAnsi="Times New Roman" w:cs="Times New Roman"/>
          <w:i/>
        </w:rPr>
        <w:t>c</w:t>
      </w:r>
      <w:r w:rsidRPr="0086672B">
        <w:rPr>
          <w:rFonts w:ascii="Times New Roman" w:hAnsi="Times New Roman" w:cs="Times New Roman"/>
          <w:i/>
        </w:rPr>
        <w:t xml:space="preserve">ointegrated </w:t>
      </w:r>
      <w:r>
        <w:rPr>
          <w:rFonts w:ascii="Times New Roman" w:hAnsi="Times New Roman" w:cs="Times New Roman"/>
          <w:i/>
        </w:rPr>
        <w:t>v</w:t>
      </w:r>
      <w:r w:rsidRPr="0086672B">
        <w:rPr>
          <w:rFonts w:ascii="Times New Roman" w:hAnsi="Times New Roman" w:cs="Times New Roman"/>
          <w:i/>
        </w:rPr>
        <w:t xml:space="preserve">ector </w:t>
      </w:r>
      <w:r>
        <w:rPr>
          <w:rFonts w:ascii="Times New Roman" w:hAnsi="Times New Roman" w:cs="Times New Roman"/>
          <w:i/>
        </w:rPr>
        <w:t>a</w:t>
      </w:r>
      <w:r w:rsidRPr="0086672B">
        <w:rPr>
          <w:rFonts w:ascii="Times New Roman" w:hAnsi="Times New Roman" w:cs="Times New Roman"/>
          <w:i/>
        </w:rPr>
        <w:t xml:space="preserve">utoregressive </w:t>
      </w:r>
      <w:r>
        <w:rPr>
          <w:rFonts w:ascii="Times New Roman" w:hAnsi="Times New Roman" w:cs="Times New Roman"/>
          <w:i/>
        </w:rPr>
        <w:t>m</w:t>
      </w:r>
      <w:r w:rsidRPr="0086672B">
        <w:rPr>
          <w:rFonts w:ascii="Times New Roman" w:hAnsi="Times New Roman" w:cs="Times New Roman"/>
          <w:i/>
        </w:rPr>
        <w:t>odels.</w:t>
      </w:r>
      <w:r w:rsidRPr="0086672B">
        <w:rPr>
          <w:rFonts w:ascii="Times New Roman" w:hAnsi="Times New Roman" w:cs="Times New Roman"/>
        </w:rPr>
        <w:t xml:space="preserve"> Oxford: Oxford University Press.</w:t>
      </w:r>
    </w:p>
  </w:footnote>
  <w:footnote w:id="23">
    <w:p w14:paraId="25A4BC0F" w14:textId="77777777" w:rsidR="00921C6D" w:rsidRPr="00537FB3" w:rsidRDefault="00921C6D" w:rsidP="00921C6D">
      <w:pPr>
        <w:pStyle w:val="FootnoteText"/>
        <w:spacing w:after="66"/>
        <w:rPr>
          <w:rFonts w:ascii="Times New Roman" w:hAnsi="Times New Roman" w:cs="Times New Roman"/>
        </w:rPr>
      </w:pPr>
      <w:r w:rsidRPr="00537FB3">
        <w:rPr>
          <w:rStyle w:val="FootnoteReference"/>
          <w:rFonts w:ascii="Times New Roman" w:hAnsi="Times New Roman" w:cs="Times New Roman"/>
        </w:rPr>
        <w:footnoteRef/>
      </w:r>
      <w:r w:rsidRPr="00537FB3">
        <w:rPr>
          <w:rFonts w:ascii="Times New Roman" w:hAnsi="Times New Roman" w:cs="Times New Roman"/>
        </w:rPr>
        <w:t xml:space="preserve"> World Bank.  (</w:t>
      </w:r>
      <w:proofErr w:type="spellStart"/>
      <w:r w:rsidRPr="00537FB3">
        <w:rPr>
          <w:rFonts w:ascii="Times New Roman" w:hAnsi="Times New Roman" w:cs="Times New Roman"/>
        </w:rPr>
        <w:t>n.d.</w:t>
      </w:r>
      <w:proofErr w:type="spellEnd"/>
      <w:r w:rsidRPr="00537FB3">
        <w:rPr>
          <w:rFonts w:ascii="Times New Roman" w:hAnsi="Times New Roman" w:cs="Times New Roman"/>
        </w:rPr>
        <w:t>)  “Commodity markets.”</w:t>
      </w:r>
      <w:r>
        <w:rPr>
          <w:rFonts w:ascii="Times New Roman" w:hAnsi="Times New Roman" w:cs="Times New Roman"/>
        </w:rPr>
        <w:t xml:space="preserve">  </w:t>
      </w:r>
      <w:hyperlink r:id="rId19" w:history="1">
        <w:r w:rsidRPr="00DF5EE8">
          <w:rPr>
            <w:rStyle w:val="Hyperlink"/>
            <w:rFonts w:ascii="Times New Roman" w:hAnsi="Times New Roman" w:cs="Times New Roman"/>
          </w:rPr>
          <w:t>https://www.worldbank.org/commodities</w:t>
        </w:r>
      </w:hyperlink>
      <w:r>
        <w:rPr>
          <w:rFonts w:ascii="Times New Roman" w:hAnsi="Times New Roman" w:cs="Times New Roman"/>
        </w:rPr>
        <w:t xml:space="preserve"> </w:t>
      </w:r>
    </w:p>
  </w:footnote>
  <w:footnote w:id="24">
    <w:p w14:paraId="6E9C6D6B" w14:textId="77777777" w:rsidR="00650AD9" w:rsidRPr="0086672B" w:rsidRDefault="00650AD9" w:rsidP="00650AD9">
      <w:pPr>
        <w:pStyle w:val="FootnoteText"/>
        <w:rPr>
          <w:rFonts w:ascii="Times New Roman" w:hAnsi="Times New Roman" w:cs="Times New Roman"/>
        </w:rPr>
      </w:pPr>
      <w:r w:rsidRPr="0086672B">
        <w:rPr>
          <w:rStyle w:val="FootnoteReference"/>
          <w:rFonts w:ascii="Times New Roman" w:hAnsi="Times New Roman" w:cs="Times New Roman"/>
        </w:rPr>
        <w:footnoteRef/>
      </w:r>
      <w:r w:rsidRPr="0086672B">
        <w:rPr>
          <w:rFonts w:ascii="Times New Roman" w:hAnsi="Times New Roman" w:cs="Times New Roman"/>
        </w:rPr>
        <w:t xml:space="preserve"> Johansen, S.  1995. </w:t>
      </w:r>
      <w:r>
        <w:rPr>
          <w:rFonts w:ascii="Times New Roman" w:hAnsi="Times New Roman" w:cs="Times New Roman"/>
        </w:rPr>
        <w:t xml:space="preserve"> </w:t>
      </w:r>
      <w:r w:rsidRPr="0086672B">
        <w:rPr>
          <w:rFonts w:ascii="Times New Roman" w:hAnsi="Times New Roman" w:cs="Times New Roman"/>
          <w:i/>
        </w:rPr>
        <w:t>Likelihood-</w:t>
      </w:r>
      <w:r>
        <w:rPr>
          <w:rFonts w:ascii="Times New Roman" w:hAnsi="Times New Roman" w:cs="Times New Roman"/>
          <w:i/>
        </w:rPr>
        <w:t>b</w:t>
      </w:r>
      <w:r w:rsidRPr="0086672B">
        <w:rPr>
          <w:rFonts w:ascii="Times New Roman" w:hAnsi="Times New Roman" w:cs="Times New Roman"/>
          <w:i/>
        </w:rPr>
        <w:t xml:space="preserve">ased </w:t>
      </w:r>
      <w:r>
        <w:rPr>
          <w:rFonts w:ascii="Times New Roman" w:hAnsi="Times New Roman" w:cs="Times New Roman"/>
          <w:i/>
        </w:rPr>
        <w:t>i</w:t>
      </w:r>
      <w:r w:rsidRPr="0086672B">
        <w:rPr>
          <w:rFonts w:ascii="Times New Roman" w:hAnsi="Times New Roman" w:cs="Times New Roman"/>
          <w:i/>
        </w:rPr>
        <w:t xml:space="preserve">nference in </w:t>
      </w:r>
      <w:r>
        <w:rPr>
          <w:rFonts w:ascii="Times New Roman" w:hAnsi="Times New Roman" w:cs="Times New Roman"/>
          <w:i/>
        </w:rPr>
        <w:t>c</w:t>
      </w:r>
      <w:r w:rsidRPr="0086672B">
        <w:rPr>
          <w:rFonts w:ascii="Times New Roman" w:hAnsi="Times New Roman" w:cs="Times New Roman"/>
          <w:i/>
        </w:rPr>
        <w:t xml:space="preserve">ointegrated </w:t>
      </w:r>
      <w:r>
        <w:rPr>
          <w:rFonts w:ascii="Times New Roman" w:hAnsi="Times New Roman" w:cs="Times New Roman"/>
          <w:i/>
        </w:rPr>
        <w:t>v</w:t>
      </w:r>
      <w:r w:rsidRPr="0086672B">
        <w:rPr>
          <w:rFonts w:ascii="Times New Roman" w:hAnsi="Times New Roman" w:cs="Times New Roman"/>
          <w:i/>
        </w:rPr>
        <w:t xml:space="preserve">ector </w:t>
      </w:r>
      <w:r>
        <w:rPr>
          <w:rFonts w:ascii="Times New Roman" w:hAnsi="Times New Roman" w:cs="Times New Roman"/>
          <w:i/>
        </w:rPr>
        <w:t>a</w:t>
      </w:r>
      <w:r w:rsidRPr="0086672B">
        <w:rPr>
          <w:rFonts w:ascii="Times New Roman" w:hAnsi="Times New Roman" w:cs="Times New Roman"/>
          <w:i/>
        </w:rPr>
        <w:t xml:space="preserve">utoregressive </w:t>
      </w:r>
      <w:r>
        <w:rPr>
          <w:rFonts w:ascii="Times New Roman" w:hAnsi="Times New Roman" w:cs="Times New Roman"/>
          <w:i/>
        </w:rPr>
        <w:t>m</w:t>
      </w:r>
      <w:r w:rsidRPr="0086672B">
        <w:rPr>
          <w:rFonts w:ascii="Times New Roman" w:hAnsi="Times New Roman" w:cs="Times New Roman"/>
          <w:i/>
        </w:rPr>
        <w:t>odels.</w:t>
      </w:r>
      <w:r w:rsidRPr="0086672B">
        <w:rPr>
          <w:rFonts w:ascii="Times New Roman" w:hAnsi="Times New Roman" w:cs="Times New Roman"/>
        </w:rPr>
        <w:t xml:space="preserve"> Oxford: Oxford University Press.</w:t>
      </w:r>
    </w:p>
  </w:footnote>
  <w:footnote w:id="25">
    <w:p w14:paraId="7C8C5EFA" w14:textId="4FE362B2" w:rsidR="00E11AC1" w:rsidRPr="00E33508" w:rsidRDefault="00E11AC1" w:rsidP="00E33508">
      <w:pPr>
        <w:pStyle w:val="FootnoteText"/>
        <w:spacing w:after="66"/>
        <w:jc w:val="both"/>
        <w:rPr>
          <w:rFonts w:ascii="Times New Roman" w:hAnsi="Times New Roman" w:cs="Times New Roman"/>
        </w:rPr>
      </w:pPr>
      <w:r w:rsidRPr="00E33508">
        <w:rPr>
          <w:rStyle w:val="FootnoteReference"/>
          <w:rFonts w:ascii="Times New Roman" w:hAnsi="Times New Roman" w:cs="Times New Roman"/>
        </w:rPr>
        <w:footnoteRef/>
      </w:r>
      <w:r w:rsidRPr="00E33508">
        <w:rPr>
          <w:rFonts w:ascii="Times New Roman" w:hAnsi="Times New Roman" w:cs="Times New Roman"/>
        </w:rPr>
        <w:t xml:space="preserve"> </w:t>
      </w:r>
      <w:r w:rsidR="00167F0B">
        <w:rPr>
          <w:rFonts w:ascii="Times New Roman" w:hAnsi="Times New Roman" w:cs="Times New Roman"/>
        </w:rPr>
        <w:t>This is because p</w:t>
      </w:r>
      <w:r w:rsidRPr="00E33508">
        <w:rPr>
          <w:rFonts w:ascii="Times New Roman" w:hAnsi="Times New Roman" w:cs="Times New Roman"/>
        </w:rPr>
        <w:t>rivate housing rent comprises around 88% of the housing component of the 2019/20-rebased CCPI.</w:t>
      </w:r>
    </w:p>
  </w:footnote>
  <w:footnote w:id="26">
    <w:p w14:paraId="77510E6D" w14:textId="681F0B2F" w:rsidR="0096410A" w:rsidRDefault="0096410A" w:rsidP="0096410A">
      <w:pPr>
        <w:pStyle w:val="FootnoteText"/>
        <w:jc w:val="both"/>
      </w:pPr>
      <w:r w:rsidRPr="00E33508">
        <w:rPr>
          <w:rStyle w:val="FootnoteReference"/>
          <w:rFonts w:ascii="Times New Roman" w:hAnsi="Times New Roman" w:cs="Times New Roman"/>
        </w:rPr>
        <w:footnoteRef/>
      </w:r>
      <w:r w:rsidRPr="00E33508">
        <w:rPr>
          <w:rFonts w:ascii="Times New Roman" w:hAnsi="Times New Roman" w:cs="Times New Roman"/>
        </w:rPr>
        <w:t xml:space="preserve"> Taking the </w:t>
      </w:r>
      <w:r w:rsidRPr="00E33508">
        <w:rPr>
          <w:rFonts w:ascii="Times New Roman" w:eastAsia="標楷體" w:hAnsi="Times New Roman" w:cs="Times New Roman"/>
          <w:lang w:eastAsia="zh-HK"/>
        </w:rPr>
        <w:t xml:space="preserve">2019/2020 rebased series as a reference point, if the </w:t>
      </w:r>
      <w:r w:rsidR="00256607">
        <w:rPr>
          <w:rFonts w:ascii="Times New Roman" w:eastAsia="標楷體" w:hAnsi="Times New Roman" w:cs="Times New Roman"/>
          <w:lang w:eastAsia="zh-HK"/>
        </w:rPr>
        <w:t xml:space="preserve">long-run </w:t>
      </w:r>
      <w:r w:rsidRPr="00E33508">
        <w:rPr>
          <w:rFonts w:ascii="Times New Roman" w:eastAsia="標楷體" w:hAnsi="Times New Roman" w:cs="Times New Roman"/>
          <w:lang w:eastAsia="zh-HK"/>
        </w:rPr>
        <w:t>elasticity of CCPI housing costs with respect to residential property prices is 0.9 and the weight on housing in the CCPI</w:t>
      </w:r>
      <w:r>
        <w:rPr>
          <w:rFonts w:ascii="Times New Roman" w:eastAsia="標楷體" w:hAnsi="Times New Roman" w:cs="Times New Roman"/>
          <w:lang w:eastAsia="zh-HK"/>
        </w:rPr>
        <w:t xml:space="preserve"> is 40%, then the </w:t>
      </w:r>
      <w:r w:rsidR="00256607">
        <w:rPr>
          <w:rFonts w:ascii="Times New Roman" w:eastAsia="標楷體" w:hAnsi="Times New Roman" w:cs="Times New Roman"/>
          <w:lang w:eastAsia="zh-HK"/>
        </w:rPr>
        <w:t xml:space="preserve">long-run </w:t>
      </w:r>
      <w:r>
        <w:rPr>
          <w:rFonts w:ascii="Times New Roman" w:eastAsia="標楷體" w:hAnsi="Times New Roman" w:cs="Times New Roman"/>
          <w:lang w:eastAsia="zh-HK"/>
        </w:rPr>
        <w:t xml:space="preserve">elasticity of the overall CCPI with respect to private residential property prices without any </w:t>
      </w:r>
      <w:proofErr w:type="spellStart"/>
      <w:r>
        <w:rPr>
          <w:rFonts w:ascii="Times New Roman" w:eastAsia="標楷體" w:hAnsi="Times New Roman" w:cs="Times New Roman"/>
          <w:lang w:eastAsia="zh-HK"/>
        </w:rPr>
        <w:t>spillovers</w:t>
      </w:r>
      <w:proofErr w:type="spellEnd"/>
      <w:r>
        <w:rPr>
          <w:rFonts w:ascii="Times New Roman" w:eastAsia="標楷體" w:hAnsi="Times New Roman" w:cs="Times New Roman"/>
          <w:lang w:eastAsia="zh-HK"/>
        </w:rPr>
        <w:t xml:space="preserve"> should be</w:t>
      </w:r>
      <w:r w:rsidRPr="00E33508">
        <w:rPr>
          <w:rFonts w:ascii="Times New Roman" w:eastAsia="標楷體" w:hAnsi="Times New Roman" w:cs="Times New Roman"/>
          <w:lang w:eastAsia="zh-HK"/>
        </w:rPr>
        <w:t xml:space="preserve"> 0.9 × </w:t>
      </w:r>
      <w:r>
        <w:rPr>
          <w:rFonts w:ascii="Times New Roman" w:eastAsia="標楷體" w:hAnsi="Times New Roman" w:cs="Times New Roman"/>
          <w:lang w:eastAsia="zh-HK"/>
        </w:rPr>
        <w:t>0.4</w:t>
      </w:r>
      <w:r w:rsidRPr="00E33508">
        <w:rPr>
          <w:rFonts w:ascii="Times New Roman" w:eastAsia="標楷體" w:hAnsi="Times New Roman" w:cs="Times New Roman"/>
          <w:lang w:eastAsia="zh-HK"/>
        </w:rPr>
        <w:t xml:space="preserve"> = </w:t>
      </w:r>
      <w:r>
        <w:rPr>
          <w:rFonts w:ascii="Times New Roman" w:eastAsia="標楷體" w:hAnsi="Times New Roman" w:cs="Times New Roman"/>
          <w:lang w:eastAsia="zh-HK"/>
        </w:rPr>
        <w:t>0.36.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E962" w14:textId="21B5D515" w:rsidR="001B0990" w:rsidRPr="00130A91" w:rsidRDefault="00895341" w:rsidP="00DF0B99">
    <w:pPr>
      <w:pStyle w:val="Header"/>
      <w:tabs>
        <w:tab w:val="left" w:pos="2580"/>
        <w:tab w:val="left" w:pos="2985"/>
      </w:tabs>
      <w:spacing w:after="60"/>
      <w:rPr>
        <w:rFonts w:ascii="Times New Roman" w:eastAsia="標楷體" w:hAnsi="Times New Roman"/>
        <w:b/>
        <w:bCs/>
        <w:color w:val="808080" w:themeColor="background1" w:themeShade="80"/>
        <w:sz w:val="24"/>
        <w:szCs w:val="28"/>
      </w:rPr>
    </w:pPr>
    <w:sdt>
      <w:sdtPr>
        <w:rPr>
          <w:rFonts w:ascii="Times New Roman" w:eastAsia="標楷體" w:hAnsi="Times New Roman"/>
          <w:b/>
          <w:bCs/>
          <w:color w:val="808080" w:themeColor="background1" w:themeShade="80"/>
          <w:sz w:val="24"/>
          <w:szCs w:val="28"/>
        </w:rPr>
        <w:alias w:val="標題"/>
        <w:id w:val="250248460"/>
        <w:placeholder>
          <w:docPart w:val="714297712B1A444B815D650F78A95484"/>
        </w:placeholder>
        <w:dataBinding w:prefixMappings="xmlns:ns0='http://schemas.openxmlformats.org/package/2006/metadata/core-properties' xmlns:ns1='http://purl.org/dc/elements/1.1/'" w:xpath="/ns0:coreProperties[1]/ns1:title[1]" w:storeItemID="{6C3C8BC8-F283-45AE-878A-BAB7291924A1}"/>
        <w:text/>
      </w:sdtPr>
      <w:sdtEndPr/>
      <w:sdtContent>
        <w:r w:rsidR="001B0990" w:rsidRPr="00130A91">
          <w:rPr>
            <w:rFonts w:ascii="Times New Roman" w:eastAsia="標楷體" w:hAnsi="Times New Roman"/>
            <w:b/>
            <w:bCs/>
            <w:color w:val="808080" w:themeColor="background1" w:themeShade="80"/>
            <w:sz w:val="24"/>
            <w:szCs w:val="28"/>
          </w:rPr>
          <w:t>Office of the Government Economist</w:t>
        </w:r>
      </w:sdtContent>
    </w:sdt>
    <w:r w:rsidR="001B0990">
      <w:rPr>
        <w:rFonts w:ascii="Times New Roman" w:eastAsia="標楷體" w:hAnsi="Times New Roman"/>
        <w:b/>
        <w:bCs/>
        <w:color w:val="808080" w:themeColor="background1" w:themeShade="80"/>
        <w:sz w:val="24"/>
        <w:szCs w:val="28"/>
      </w:rPr>
      <w:tab/>
    </w:r>
    <w:r w:rsidR="001B0990">
      <w:rPr>
        <w:rFonts w:ascii="Times New Roman" w:eastAsia="標楷體" w:hAnsi="Times New Roman"/>
        <w:b/>
        <w:bCs/>
        <w:color w:val="808080" w:themeColor="background1" w:themeShade="80"/>
        <w:sz w:val="24"/>
        <w:szCs w:val="28"/>
      </w:rPr>
      <w:tab/>
    </w:r>
  </w:p>
  <w:sdt>
    <w:sdtPr>
      <w:rPr>
        <w:rFonts w:ascii="Times New Roman" w:eastAsia="標楷體" w:hAnsi="Times New Roman"/>
        <w:color w:val="808080" w:themeColor="background1" w:themeShade="80"/>
        <w:sz w:val="24"/>
        <w:szCs w:val="24"/>
      </w:rPr>
      <w:alias w:val="副標題"/>
      <w:id w:val="-1656225911"/>
      <w:placeholder>
        <w:docPart w:val="572538952BF44F40BF8F526DDF38F44B"/>
      </w:placeholder>
      <w:dataBinding w:prefixMappings="xmlns:ns0='http://schemas.openxmlformats.org/package/2006/metadata/core-properties' xmlns:ns1='http://purl.org/dc/elements/1.1/'" w:xpath="/ns0:coreProperties[1]/ns1:subject[1]" w:storeItemID="{6C3C8BC8-F283-45AE-878A-BAB7291924A1}"/>
      <w:text/>
    </w:sdtPr>
    <w:sdtEndPr/>
    <w:sdtContent>
      <w:p w14:paraId="5C462A78" w14:textId="77777777" w:rsidR="001B0990" w:rsidRPr="00EA1508" w:rsidRDefault="001B0990" w:rsidP="00DF0B99">
        <w:pPr>
          <w:pStyle w:val="Header"/>
          <w:tabs>
            <w:tab w:val="left" w:pos="2580"/>
            <w:tab w:val="left" w:pos="2985"/>
          </w:tabs>
          <w:spacing w:after="60"/>
          <w:rPr>
            <w:rFonts w:ascii="Times New Roman" w:eastAsia="標楷體" w:hAnsi="Times New Roman"/>
            <w:color w:val="808080" w:themeColor="background1" w:themeShade="80"/>
            <w:sz w:val="24"/>
            <w:szCs w:val="24"/>
          </w:rPr>
        </w:pPr>
        <w:r w:rsidRPr="00EA1508">
          <w:rPr>
            <w:rFonts w:ascii="Times New Roman" w:eastAsia="標楷體" w:hAnsi="Times New Roman"/>
            <w:color w:val="808080" w:themeColor="background1" w:themeShade="80"/>
            <w:sz w:val="24"/>
            <w:szCs w:val="24"/>
          </w:rPr>
          <w:t>The Government of the Hong Kong Special Administrative Region</w:t>
        </w:r>
      </w:p>
    </w:sdtContent>
  </w:sdt>
  <w:p w14:paraId="0AD81D95" w14:textId="409FA2EB" w:rsidR="001B0990" w:rsidRPr="00232F83" w:rsidRDefault="001B0990" w:rsidP="00DF0B99">
    <w:pPr>
      <w:pStyle w:val="Header"/>
      <w:pBdr>
        <w:bottom w:val="single" w:sz="4" w:space="0" w:color="A5A5A5" w:themeColor="background1" w:themeShade="A5"/>
      </w:pBdr>
      <w:tabs>
        <w:tab w:val="left" w:pos="2580"/>
        <w:tab w:val="left" w:pos="2985"/>
      </w:tabs>
      <w:spacing w:after="120" w:line="276" w:lineRule="auto"/>
      <w:rPr>
        <w:rFonts w:ascii="Times New Roman" w:hAnsi="Times New Roman" w:cs="Times New Roman"/>
        <w:color w:val="7F7F7F" w:themeColor="text1" w:themeTint="8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88B"/>
    <w:multiLevelType w:val="hybridMultilevel"/>
    <w:tmpl w:val="DDFE0C04"/>
    <w:lvl w:ilvl="0" w:tplc="38A80148">
      <w:start w:val="1"/>
      <w:numFmt w:val="decimal"/>
      <w:lvlText w:val="%1."/>
      <w:lvlJc w:val="left"/>
      <w:pPr>
        <w:ind w:left="1920" w:hanging="360"/>
      </w:pPr>
      <w:rPr>
        <w:rFonts w:hint="default"/>
        <w:b w:val="0"/>
        <w:sz w:val="24"/>
        <w:szCs w:val="28"/>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 w15:restartNumberingAfterBreak="0">
    <w:nsid w:val="3CE31D6C"/>
    <w:multiLevelType w:val="hybridMultilevel"/>
    <w:tmpl w:val="CD2CA464"/>
    <w:lvl w:ilvl="0" w:tplc="ABE4C66C">
      <w:start w:val="3"/>
      <w:numFmt w:val="bullet"/>
      <w:lvlText w:val="-"/>
      <w:lvlJc w:val="left"/>
      <w:pPr>
        <w:ind w:left="1275" w:hanging="360"/>
      </w:pPr>
      <w:rPr>
        <w:rFonts w:ascii="Times New Roman" w:eastAsia="標楷體" w:hAnsi="Times New Roman" w:cs="Times New Roman"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44813EE1"/>
    <w:multiLevelType w:val="hybridMultilevel"/>
    <w:tmpl w:val="06845E6A"/>
    <w:lvl w:ilvl="0" w:tplc="944A5014">
      <w:start w:val="6"/>
      <w:numFmt w:val="decimal"/>
      <w:lvlText w:val="%1."/>
      <w:lvlJc w:val="left"/>
      <w:pPr>
        <w:ind w:left="360" w:hanging="36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BA44BB"/>
    <w:multiLevelType w:val="hybridMultilevel"/>
    <w:tmpl w:val="48962400"/>
    <w:lvl w:ilvl="0" w:tplc="641603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CA2A44"/>
    <w:multiLevelType w:val="hybridMultilevel"/>
    <w:tmpl w:val="E1180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73682E"/>
    <w:multiLevelType w:val="hybridMultilevel"/>
    <w:tmpl w:val="00AE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D2583F"/>
    <w:multiLevelType w:val="hybridMultilevel"/>
    <w:tmpl w:val="279C1556"/>
    <w:lvl w:ilvl="0" w:tplc="E38CFB24">
      <w:start w:val="24"/>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AB37CD"/>
    <w:multiLevelType w:val="hybridMultilevel"/>
    <w:tmpl w:val="6218A332"/>
    <w:lvl w:ilvl="0" w:tplc="C6EE12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6325DE"/>
    <w:multiLevelType w:val="hybridMultilevel"/>
    <w:tmpl w:val="025CE8FA"/>
    <w:lvl w:ilvl="0" w:tplc="BD98F148">
      <w:start w:val="1"/>
      <w:numFmt w:val="decimal"/>
      <w:lvlText w:val="%1."/>
      <w:lvlJc w:val="left"/>
      <w:pPr>
        <w:ind w:left="2847" w:hanging="720"/>
      </w:pPr>
      <w:rPr>
        <w:rFonts w:ascii="Times New Roman" w:hAnsi="Times New Roman" w:cs="Times New Roman" w:hint="default"/>
        <w:b w:val="0"/>
        <w:sz w:val="24"/>
        <w:szCs w:val="24"/>
      </w:rPr>
    </w:lvl>
    <w:lvl w:ilvl="1" w:tplc="08090019" w:tentative="1">
      <w:start w:val="1"/>
      <w:numFmt w:val="lowerLetter"/>
      <w:lvlText w:val="%2."/>
      <w:lvlJc w:val="left"/>
      <w:pPr>
        <w:ind w:left="-1538" w:hanging="360"/>
      </w:pPr>
    </w:lvl>
    <w:lvl w:ilvl="2" w:tplc="0809001B" w:tentative="1">
      <w:start w:val="1"/>
      <w:numFmt w:val="lowerRoman"/>
      <w:lvlText w:val="%3."/>
      <w:lvlJc w:val="right"/>
      <w:pPr>
        <w:ind w:left="-818" w:hanging="180"/>
      </w:pPr>
    </w:lvl>
    <w:lvl w:ilvl="3" w:tplc="0809000F" w:tentative="1">
      <w:start w:val="1"/>
      <w:numFmt w:val="decimal"/>
      <w:lvlText w:val="%4."/>
      <w:lvlJc w:val="left"/>
      <w:pPr>
        <w:ind w:left="-98" w:hanging="360"/>
      </w:pPr>
    </w:lvl>
    <w:lvl w:ilvl="4" w:tplc="08090019" w:tentative="1">
      <w:start w:val="1"/>
      <w:numFmt w:val="lowerLetter"/>
      <w:lvlText w:val="%5."/>
      <w:lvlJc w:val="left"/>
      <w:pPr>
        <w:ind w:left="622" w:hanging="360"/>
      </w:pPr>
    </w:lvl>
    <w:lvl w:ilvl="5" w:tplc="0809001B" w:tentative="1">
      <w:start w:val="1"/>
      <w:numFmt w:val="lowerRoman"/>
      <w:lvlText w:val="%6."/>
      <w:lvlJc w:val="right"/>
      <w:pPr>
        <w:ind w:left="1342" w:hanging="180"/>
      </w:pPr>
    </w:lvl>
    <w:lvl w:ilvl="6" w:tplc="0809000F" w:tentative="1">
      <w:start w:val="1"/>
      <w:numFmt w:val="decimal"/>
      <w:lvlText w:val="%7."/>
      <w:lvlJc w:val="left"/>
      <w:pPr>
        <w:ind w:left="2062" w:hanging="360"/>
      </w:pPr>
    </w:lvl>
    <w:lvl w:ilvl="7" w:tplc="08090019" w:tentative="1">
      <w:start w:val="1"/>
      <w:numFmt w:val="lowerLetter"/>
      <w:lvlText w:val="%8."/>
      <w:lvlJc w:val="left"/>
      <w:pPr>
        <w:ind w:left="2782" w:hanging="360"/>
      </w:pPr>
    </w:lvl>
    <w:lvl w:ilvl="8" w:tplc="0809001B" w:tentative="1">
      <w:start w:val="1"/>
      <w:numFmt w:val="lowerRoman"/>
      <w:lvlText w:val="%9."/>
      <w:lvlJc w:val="right"/>
      <w:pPr>
        <w:ind w:left="3502" w:hanging="180"/>
      </w:pPr>
    </w:lvl>
  </w:abstractNum>
  <w:abstractNum w:abstractNumId="9" w15:restartNumberingAfterBreak="0">
    <w:nsid w:val="64D04EEC"/>
    <w:multiLevelType w:val="hybridMultilevel"/>
    <w:tmpl w:val="CF941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B23EBC"/>
    <w:multiLevelType w:val="hybridMultilevel"/>
    <w:tmpl w:val="ECD6918E"/>
    <w:lvl w:ilvl="0" w:tplc="40A2FA82">
      <w:start w:val="25"/>
      <w:numFmt w:val="decimal"/>
      <w:lvlText w:val="%1."/>
      <w:lvlJc w:val="left"/>
      <w:pPr>
        <w:ind w:left="2847" w:hanging="72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016F92"/>
    <w:multiLevelType w:val="hybridMultilevel"/>
    <w:tmpl w:val="2A4028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E84F05"/>
    <w:multiLevelType w:val="hybridMultilevel"/>
    <w:tmpl w:val="68E809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5"/>
  </w:num>
  <w:num w:numId="5">
    <w:abstractNumId w:val="2"/>
  </w:num>
  <w:num w:numId="6">
    <w:abstractNumId w:val="0"/>
  </w:num>
  <w:num w:numId="7">
    <w:abstractNumId w:val="11"/>
  </w:num>
  <w:num w:numId="8">
    <w:abstractNumId w:val="4"/>
  </w:num>
  <w:num w:numId="9">
    <w:abstractNumId w:val="6"/>
  </w:num>
  <w:num w:numId="10">
    <w:abstractNumId w:val="10"/>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890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DE"/>
    <w:rsid w:val="0000010D"/>
    <w:rsid w:val="0000021A"/>
    <w:rsid w:val="00001506"/>
    <w:rsid w:val="00002208"/>
    <w:rsid w:val="000022D6"/>
    <w:rsid w:val="00003383"/>
    <w:rsid w:val="00003CB3"/>
    <w:rsid w:val="00004028"/>
    <w:rsid w:val="00004A67"/>
    <w:rsid w:val="00004D2B"/>
    <w:rsid w:val="0000585F"/>
    <w:rsid w:val="00005E2C"/>
    <w:rsid w:val="00006A3E"/>
    <w:rsid w:val="000106EB"/>
    <w:rsid w:val="000111D5"/>
    <w:rsid w:val="00012A89"/>
    <w:rsid w:val="00013822"/>
    <w:rsid w:val="000140AD"/>
    <w:rsid w:val="0001414B"/>
    <w:rsid w:val="000143A4"/>
    <w:rsid w:val="00014974"/>
    <w:rsid w:val="000149B5"/>
    <w:rsid w:val="00014BE1"/>
    <w:rsid w:val="00014FA7"/>
    <w:rsid w:val="000158C8"/>
    <w:rsid w:val="00015B13"/>
    <w:rsid w:val="00015D42"/>
    <w:rsid w:val="0002074C"/>
    <w:rsid w:val="00020B55"/>
    <w:rsid w:val="000211A5"/>
    <w:rsid w:val="0002310B"/>
    <w:rsid w:val="0002369A"/>
    <w:rsid w:val="00023CCB"/>
    <w:rsid w:val="00024187"/>
    <w:rsid w:val="0002428C"/>
    <w:rsid w:val="00024D00"/>
    <w:rsid w:val="00025101"/>
    <w:rsid w:val="00025163"/>
    <w:rsid w:val="00025618"/>
    <w:rsid w:val="00026504"/>
    <w:rsid w:val="0002694B"/>
    <w:rsid w:val="00026973"/>
    <w:rsid w:val="0002719C"/>
    <w:rsid w:val="00027723"/>
    <w:rsid w:val="00027C2B"/>
    <w:rsid w:val="000301E7"/>
    <w:rsid w:val="00030433"/>
    <w:rsid w:val="00031496"/>
    <w:rsid w:val="0003185E"/>
    <w:rsid w:val="00031DDC"/>
    <w:rsid w:val="000327C3"/>
    <w:rsid w:val="00032A79"/>
    <w:rsid w:val="00032E44"/>
    <w:rsid w:val="0003356E"/>
    <w:rsid w:val="00033866"/>
    <w:rsid w:val="00033A07"/>
    <w:rsid w:val="0003488F"/>
    <w:rsid w:val="00034B84"/>
    <w:rsid w:val="00035B8B"/>
    <w:rsid w:val="00036429"/>
    <w:rsid w:val="00036619"/>
    <w:rsid w:val="00036EE5"/>
    <w:rsid w:val="00037120"/>
    <w:rsid w:val="00037A84"/>
    <w:rsid w:val="00040CEB"/>
    <w:rsid w:val="0004131F"/>
    <w:rsid w:val="00041872"/>
    <w:rsid w:val="00043082"/>
    <w:rsid w:val="00043D13"/>
    <w:rsid w:val="0004555D"/>
    <w:rsid w:val="0004596E"/>
    <w:rsid w:val="00045A9C"/>
    <w:rsid w:val="00045BAF"/>
    <w:rsid w:val="00045EC8"/>
    <w:rsid w:val="000465D3"/>
    <w:rsid w:val="00047878"/>
    <w:rsid w:val="00051C13"/>
    <w:rsid w:val="000535B2"/>
    <w:rsid w:val="000538A6"/>
    <w:rsid w:val="000540AC"/>
    <w:rsid w:val="000542D3"/>
    <w:rsid w:val="00054D0E"/>
    <w:rsid w:val="00054F06"/>
    <w:rsid w:val="000558C2"/>
    <w:rsid w:val="00055D34"/>
    <w:rsid w:val="0005652F"/>
    <w:rsid w:val="000601EF"/>
    <w:rsid w:val="000614AD"/>
    <w:rsid w:val="0006159E"/>
    <w:rsid w:val="000617EA"/>
    <w:rsid w:val="00061F17"/>
    <w:rsid w:val="0006262E"/>
    <w:rsid w:val="00062A6F"/>
    <w:rsid w:val="0006302D"/>
    <w:rsid w:val="00064B35"/>
    <w:rsid w:val="00066444"/>
    <w:rsid w:val="00066523"/>
    <w:rsid w:val="00066736"/>
    <w:rsid w:val="00066851"/>
    <w:rsid w:val="00070153"/>
    <w:rsid w:val="00070654"/>
    <w:rsid w:val="00071E09"/>
    <w:rsid w:val="00072B5C"/>
    <w:rsid w:val="00072F3B"/>
    <w:rsid w:val="00072FB8"/>
    <w:rsid w:val="00073808"/>
    <w:rsid w:val="0007391C"/>
    <w:rsid w:val="000757F1"/>
    <w:rsid w:val="00075D40"/>
    <w:rsid w:val="00076A0C"/>
    <w:rsid w:val="00076BFE"/>
    <w:rsid w:val="00077BF0"/>
    <w:rsid w:val="00080A10"/>
    <w:rsid w:val="00081039"/>
    <w:rsid w:val="00081FD7"/>
    <w:rsid w:val="00082317"/>
    <w:rsid w:val="00082669"/>
    <w:rsid w:val="00082E3C"/>
    <w:rsid w:val="00082F11"/>
    <w:rsid w:val="00082FA0"/>
    <w:rsid w:val="00083751"/>
    <w:rsid w:val="00083783"/>
    <w:rsid w:val="00083917"/>
    <w:rsid w:val="00084B7D"/>
    <w:rsid w:val="0008536E"/>
    <w:rsid w:val="00085FD1"/>
    <w:rsid w:val="000864AA"/>
    <w:rsid w:val="00086B78"/>
    <w:rsid w:val="00086EE8"/>
    <w:rsid w:val="00087AB9"/>
    <w:rsid w:val="00090842"/>
    <w:rsid w:val="00090BA7"/>
    <w:rsid w:val="00091771"/>
    <w:rsid w:val="00091E4B"/>
    <w:rsid w:val="00092577"/>
    <w:rsid w:val="000925DE"/>
    <w:rsid w:val="00093BD2"/>
    <w:rsid w:val="00095B50"/>
    <w:rsid w:val="000975EA"/>
    <w:rsid w:val="000A0E04"/>
    <w:rsid w:val="000A2575"/>
    <w:rsid w:val="000A3E6B"/>
    <w:rsid w:val="000A4D79"/>
    <w:rsid w:val="000A5B9C"/>
    <w:rsid w:val="000A6537"/>
    <w:rsid w:val="000A68DE"/>
    <w:rsid w:val="000A6C62"/>
    <w:rsid w:val="000B00DE"/>
    <w:rsid w:val="000B0273"/>
    <w:rsid w:val="000B0446"/>
    <w:rsid w:val="000B0C18"/>
    <w:rsid w:val="000B0EF9"/>
    <w:rsid w:val="000B1B93"/>
    <w:rsid w:val="000B1C6A"/>
    <w:rsid w:val="000B1CE3"/>
    <w:rsid w:val="000B1E8C"/>
    <w:rsid w:val="000B33CA"/>
    <w:rsid w:val="000B565F"/>
    <w:rsid w:val="000B6277"/>
    <w:rsid w:val="000B6DB6"/>
    <w:rsid w:val="000B7C7B"/>
    <w:rsid w:val="000C04A1"/>
    <w:rsid w:val="000C0509"/>
    <w:rsid w:val="000C2264"/>
    <w:rsid w:val="000C2493"/>
    <w:rsid w:val="000C3F9F"/>
    <w:rsid w:val="000C40DC"/>
    <w:rsid w:val="000C4F00"/>
    <w:rsid w:val="000C575F"/>
    <w:rsid w:val="000C58AA"/>
    <w:rsid w:val="000C603C"/>
    <w:rsid w:val="000C6081"/>
    <w:rsid w:val="000C71E5"/>
    <w:rsid w:val="000C7F15"/>
    <w:rsid w:val="000D1433"/>
    <w:rsid w:val="000D1BDF"/>
    <w:rsid w:val="000D2903"/>
    <w:rsid w:val="000D2FDD"/>
    <w:rsid w:val="000D42FB"/>
    <w:rsid w:val="000D57FE"/>
    <w:rsid w:val="000D5EC8"/>
    <w:rsid w:val="000D5FC7"/>
    <w:rsid w:val="000D60E9"/>
    <w:rsid w:val="000E17A5"/>
    <w:rsid w:val="000E1CF1"/>
    <w:rsid w:val="000E3D48"/>
    <w:rsid w:val="000E3D6D"/>
    <w:rsid w:val="000E49CA"/>
    <w:rsid w:val="000E56ED"/>
    <w:rsid w:val="000E59E4"/>
    <w:rsid w:val="000E5DCE"/>
    <w:rsid w:val="000E5EE1"/>
    <w:rsid w:val="000E6981"/>
    <w:rsid w:val="000E6989"/>
    <w:rsid w:val="000F10D9"/>
    <w:rsid w:val="000F128E"/>
    <w:rsid w:val="000F17AD"/>
    <w:rsid w:val="000F18C0"/>
    <w:rsid w:val="000F1CF6"/>
    <w:rsid w:val="000F28F0"/>
    <w:rsid w:val="000F3DDE"/>
    <w:rsid w:val="000F4F03"/>
    <w:rsid w:val="000F516A"/>
    <w:rsid w:val="000F5803"/>
    <w:rsid w:val="000F5A0F"/>
    <w:rsid w:val="000F5CA6"/>
    <w:rsid w:val="000F664A"/>
    <w:rsid w:val="000F68C5"/>
    <w:rsid w:val="000F71F4"/>
    <w:rsid w:val="000F7454"/>
    <w:rsid w:val="000F787C"/>
    <w:rsid w:val="00100060"/>
    <w:rsid w:val="001011E0"/>
    <w:rsid w:val="001027D2"/>
    <w:rsid w:val="00103A73"/>
    <w:rsid w:val="001040FA"/>
    <w:rsid w:val="00104308"/>
    <w:rsid w:val="00105898"/>
    <w:rsid w:val="001061F4"/>
    <w:rsid w:val="0010627C"/>
    <w:rsid w:val="00107495"/>
    <w:rsid w:val="00107897"/>
    <w:rsid w:val="001103BC"/>
    <w:rsid w:val="00110E80"/>
    <w:rsid w:val="00110F5F"/>
    <w:rsid w:val="00111307"/>
    <w:rsid w:val="00111C49"/>
    <w:rsid w:val="00111FFF"/>
    <w:rsid w:val="00112178"/>
    <w:rsid w:val="00112CC5"/>
    <w:rsid w:val="001135E8"/>
    <w:rsid w:val="001137B7"/>
    <w:rsid w:val="001144C9"/>
    <w:rsid w:val="00114CDE"/>
    <w:rsid w:val="00114D73"/>
    <w:rsid w:val="001154B4"/>
    <w:rsid w:val="001163C8"/>
    <w:rsid w:val="001164F6"/>
    <w:rsid w:val="00117C55"/>
    <w:rsid w:val="00117CCF"/>
    <w:rsid w:val="00117CFE"/>
    <w:rsid w:val="00120406"/>
    <w:rsid w:val="0012106D"/>
    <w:rsid w:val="00121089"/>
    <w:rsid w:val="00121902"/>
    <w:rsid w:val="00123035"/>
    <w:rsid w:val="00123269"/>
    <w:rsid w:val="001243CC"/>
    <w:rsid w:val="00124633"/>
    <w:rsid w:val="00125C82"/>
    <w:rsid w:val="00125FF4"/>
    <w:rsid w:val="00127ED5"/>
    <w:rsid w:val="00130A91"/>
    <w:rsid w:val="00131977"/>
    <w:rsid w:val="00131A70"/>
    <w:rsid w:val="00132156"/>
    <w:rsid w:val="00132249"/>
    <w:rsid w:val="0013365F"/>
    <w:rsid w:val="001340B8"/>
    <w:rsid w:val="00134D5A"/>
    <w:rsid w:val="00135552"/>
    <w:rsid w:val="00136501"/>
    <w:rsid w:val="00136777"/>
    <w:rsid w:val="0013689E"/>
    <w:rsid w:val="001369C3"/>
    <w:rsid w:val="00136E65"/>
    <w:rsid w:val="00140337"/>
    <w:rsid w:val="001407D4"/>
    <w:rsid w:val="00140F44"/>
    <w:rsid w:val="00141B9F"/>
    <w:rsid w:val="001423AC"/>
    <w:rsid w:val="00142722"/>
    <w:rsid w:val="001437A6"/>
    <w:rsid w:val="00145202"/>
    <w:rsid w:val="00145A0A"/>
    <w:rsid w:val="00145BA2"/>
    <w:rsid w:val="00145F9B"/>
    <w:rsid w:val="00146CDA"/>
    <w:rsid w:val="001479F8"/>
    <w:rsid w:val="00150070"/>
    <w:rsid w:val="00150262"/>
    <w:rsid w:val="001505C6"/>
    <w:rsid w:val="00150770"/>
    <w:rsid w:val="00150A72"/>
    <w:rsid w:val="0015109A"/>
    <w:rsid w:val="00153026"/>
    <w:rsid w:val="00154AE0"/>
    <w:rsid w:val="001550A8"/>
    <w:rsid w:val="00155C52"/>
    <w:rsid w:val="00155EEE"/>
    <w:rsid w:val="0015680F"/>
    <w:rsid w:val="00157E6F"/>
    <w:rsid w:val="00157E98"/>
    <w:rsid w:val="00161A34"/>
    <w:rsid w:val="00161B7F"/>
    <w:rsid w:val="00161C54"/>
    <w:rsid w:val="00162A7E"/>
    <w:rsid w:val="00163545"/>
    <w:rsid w:val="001649FC"/>
    <w:rsid w:val="00164ABA"/>
    <w:rsid w:val="00164F04"/>
    <w:rsid w:val="00165510"/>
    <w:rsid w:val="00165C43"/>
    <w:rsid w:val="00165D36"/>
    <w:rsid w:val="00165FEF"/>
    <w:rsid w:val="0016657D"/>
    <w:rsid w:val="00166717"/>
    <w:rsid w:val="00166E91"/>
    <w:rsid w:val="00167F0B"/>
    <w:rsid w:val="001700B9"/>
    <w:rsid w:val="0017063E"/>
    <w:rsid w:val="001712E2"/>
    <w:rsid w:val="00171502"/>
    <w:rsid w:val="0017164C"/>
    <w:rsid w:val="00171E95"/>
    <w:rsid w:val="00171FC8"/>
    <w:rsid w:val="0017206E"/>
    <w:rsid w:val="00172EC4"/>
    <w:rsid w:val="0017386E"/>
    <w:rsid w:val="00175D34"/>
    <w:rsid w:val="00176490"/>
    <w:rsid w:val="00177F9C"/>
    <w:rsid w:val="00180069"/>
    <w:rsid w:val="00181CE5"/>
    <w:rsid w:val="00182EF6"/>
    <w:rsid w:val="00182F9D"/>
    <w:rsid w:val="0018327D"/>
    <w:rsid w:val="0018469B"/>
    <w:rsid w:val="0018513E"/>
    <w:rsid w:val="001851C4"/>
    <w:rsid w:val="00185F9E"/>
    <w:rsid w:val="00186460"/>
    <w:rsid w:val="00186655"/>
    <w:rsid w:val="0018683D"/>
    <w:rsid w:val="00187041"/>
    <w:rsid w:val="00187177"/>
    <w:rsid w:val="001871F4"/>
    <w:rsid w:val="001877C7"/>
    <w:rsid w:val="00187CE5"/>
    <w:rsid w:val="00187D85"/>
    <w:rsid w:val="001900F7"/>
    <w:rsid w:val="00191302"/>
    <w:rsid w:val="00191584"/>
    <w:rsid w:val="00191FA4"/>
    <w:rsid w:val="00192F73"/>
    <w:rsid w:val="001934FB"/>
    <w:rsid w:val="0019433A"/>
    <w:rsid w:val="00194BFA"/>
    <w:rsid w:val="0019542B"/>
    <w:rsid w:val="00195799"/>
    <w:rsid w:val="001968B7"/>
    <w:rsid w:val="001975C7"/>
    <w:rsid w:val="00197E9E"/>
    <w:rsid w:val="001A01C5"/>
    <w:rsid w:val="001A1290"/>
    <w:rsid w:val="001A1F06"/>
    <w:rsid w:val="001A381B"/>
    <w:rsid w:val="001A3C0A"/>
    <w:rsid w:val="001A58D1"/>
    <w:rsid w:val="001A5B5B"/>
    <w:rsid w:val="001A6337"/>
    <w:rsid w:val="001A6614"/>
    <w:rsid w:val="001A661C"/>
    <w:rsid w:val="001A7AA7"/>
    <w:rsid w:val="001A7CD4"/>
    <w:rsid w:val="001B057A"/>
    <w:rsid w:val="001B0716"/>
    <w:rsid w:val="001B0990"/>
    <w:rsid w:val="001B0EFC"/>
    <w:rsid w:val="001B1B6C"/>
    <w:rsid w:val="001B211D"/>
    <w:rsid w:val="001B257C"/>
    <w:rsid w:val="001B26FC"/>
    <w:rsid w:val="001B2B1F"/>
    <w:rsid w:val="001B2BDD"/>
    <w:rsid w:val="001B3FBD"/>
    <w:rsid w:val="001B483F"/>
    <w:rsid w:val="001B58D9"/>
    <w:rsid w:val="001B5FC3"/>
    <w:rsid w:val="001C030A"/>
    <w:rsid w:val="001C0795"/>
    <w:rsid w:val="001C0991"/>
    <w:rsid w:val="001C0CBA"/>
    <w:rsid w:val="001C14F5"/>
    <w:rsid w:val="001C16C5"/>
    <w:rsid w:val="001C18F1"/>
    <w:rsid w:val="001C1A3B"/>
    <w:rsid w:val="001C1FE5"/>
    <w:rsid w:val="001C20FA"/>
    <w:rsid w:val="001C2B5B"/>
    <w:rsid w:val="001C2F77"/>
    <w:rsid w:val="001C325A"/>
    <w:rsid w:val="001C34AC"/>
    <w:rsid w:val="001C36B8"/>
    <w:rsid w:val="001C3742"/>
    <w:rsid w:val="001C44C4"/>
    <w:rsid w:val="001C4C3B"/>
    <w:rsid w:val="001C4E33"/>
    <w:rsid w:val="001C7C19"/>
    <w:rsid w:val="001C7D17"/>
    <w:rsid w:val="001D0FCE"/>
    <w:rsid w:val="001D1755"/>
    <w:rsid w:val="001D22DA"/>
    <w:rsid w:val="001D23A8"/>
    <w:rsid w:val="001D2C87"/>
    <w:rsid w:val="001D49EB"/>
    <w:rsid w:val="001D49FE"/>
    <w:rsid w:val="001D58A1"/>
    <w:rsid w:val="001D62E9"/>
    <w:rsid w:val="001D6883"/>
    <w:rsid w:val="001D6B04"/>
    <w:rsid w:val="001D76C1"/>
    <w:rsid w:val="001E00B0"/>
    <w:rsid w:val="001E0433"/>
    <w:rsid w:val="001E21EE"/>
    <w:rsid w:val="001E2463"/>
    <w:rsid w:val="001E2622"/>
    <w:rsid w:val="001E275A"/>
    <w:rsid w:val="001E28CE"/>
    <w:rsid w:val="001E2D66"/>
    <w:rsid w:val="001E3210"/>
    <w:rsid w:val="001E41DA"/>
    <w:rsid w:val="001E47CB"/>
    <w:rsid w:val="001E49AB"/>
    <w:rsid w:val="001E54ED"/>
    <w:rsid w:val="001E587B"/>
    <w:rsid w:val="001E628A"/>
    <w:rsid w:val="001E6ED1"/>
    <w:rsid w:val="001F08CF"/>
    <w:rsid w:val="001F0C79"/>
    <w:rsid w:val="001F0F89"/>
    <w:rsid w:val="001F1D5F"/>
    <w:rsid w:val="001F20AB"/>
    <w:rsid w:val="001F31D8"/>
    <w:rsid w:val="001F3B0F"/>
    <w:rsid w:val="001F4BBD"/>
    <w:rsid w:val="001F5CE7"/>
    <w:rsid w:val="001F649F"/>
    <w:rsid w:val="001F64FC"/>
    <w:rsid w:val="001F6D08"/>
    <w:rsid w:val="001F6F1B"/>
    <w:rsid w:val="001F6FCB"/>
    <w:rsid w:val="001F7A0D"/>
    <w:rsid w:val="00200736"/>
    <w:rsid w:val="00201001"/>
    <w:rsid w:val="00201392"/>
    <w:rsid w:val="002017F4"/>
    <w:rsid w:val="00201BE1"/>
    <w:rsid w:val="00201EC9"/>
    <w:rsid w:val="00202084"/>
    <w:rsid w:val="0020239D"/>
    <w:rsid w:val="00202C98"/>
    <w:rsid w:val="0020358D"/>
    <w:rsid w:val="002040B6"/>
    <w:rsid w:val="002045B6"/>
    <w:rsid w:val="00205132"/>
    <w:rsid w:val="00205140"/>
    <w:rsid w:val="002052E9"/>
    <w:rsid w:val="002053F0"/>
    <w:rsid w:val="00205E08"/>
    <w:rsid w:val="002063C8"/>
    <w:rsid w:val="002063FA"/>
    <w:rsid w:val="00207219"/>
    <w:rsid w:val="00207323"/>
    <w:rsid w:val="00207E41"/>
    <w:rsid w:val="00207FCD"/>
    <w:rsid w:val="0021084C"/>
    <w:rsid w:val="00210D0E"/>
    <w:rsid w:val="00210E58"/>
    <w:rsid w:val="00211068"/>
    <w:rsid w:val="00211FF7"/>
    <w:rsid w:val="0021234B"/>
    <w:rsid w:val="00212DAB"/>
    <w:rsid w:val="0021392C"/>
    <w:rsid w:val="00213D13"/>
    <w:rsid w:val="00214275"/>
    <w:rsid w:val="002148A8"/>
    <w:rsid w:val="00214A88"/>
    <w:rsid w:val="00214FBB"/>
    <w:rsid w:val="002156BF"/>
    <w:rsid w:val="002162D3"/>
    <w:rsid w:val="002202B8"/>
    <w:rsid w:val="002207C3"/>
    <w:rsid w:val="00220D1F"/>
    <w:rsid w:val="00220E97"/>
    <w:rsid w:val="00221A23"/>
    <w:rsid w:val="00221BF6"/>
    <w:rsid w:val="00221C79"/>
    <w:rsid w:val="00223223"/>
    <w:rsid w:val="0022328F"/>
    <w:rsid w:val="00223DD0"/>
    <w:rsid w:val="002247F4"/>
    <w:rsid w:val="0022527B"/>
    <w:rsid w:val="00225BEC"/>
    <w:rsid w:val="002267B9"/>
    <w:rsid w:val="00226841"/>
    <w:rsid w:val="0022786F"/>
    <w:rsid w:val="00227F3A"/>
    <w:rsid w:val="00231BC5"/>
    <w:rsid w:val="00231C58"/>
    <w:rsid w:val="002325B4"/>
    <w:rsid w:val="00232F83"/>
    <w:rsid w:val="0023324C"/>
    <w:rsid w:val="0023328A"/>
    <w:rsid w:val="00233B3D"/>
    <w:rsid w:val="00233FC2"/>
    <w:rsid w:val="002344EB"/>
    <w:rsid w:val="00235455"/>
    <w:rsid w:val="0023554E"/>
    <w:rsid w:val="00235741"/>
    <w:rsid w:val="00235D95"/>
    <w:rsid w:val="00236236"/>
    <w:rsid w:val="002364D4"/>
    <w:rsid w:val="0023666D"/>
    <w:rsid w:val="00236877"/>
    <w:rsid w:val="002368F2"/>
    <w:rsid w:val="002403F6"/>
    <w:rsid w:val="0024062C"/>
    <w:rsid w:val="00241581"/>
    <w:rsid w:val="00243F27"/>
    <w:rsid w:val="00244A79"/>
    <w:rsid w:val="00244CD2"/>
    <w:rsid w:val="00244DD5"/>
    <w:rsid w:val="002450D0"/>
    <w:rsid w:val="00245869"/>
    <w:rsid w:val="00245CC7"/>
    <w:rsid w:val="00247FCF"/>
    <w:rsid w:val="002500FD"/>
    <w:rsid w:val="00253069"/>
    <w:rsid w:val="00253BBB"/>
    <w:rsid w:val="00253E05"/>
    <w:rsid w:val="00254833"/>
    <w:rsid w:val="002552A5"/>
    <w:rsid w:val="0025569B"/>
    <w:rsid w:val="002561E3"/>
    <w:rsid w:val="00256291"/>
    <w:rsid w:val="00256505"/>
    <w:rsid w:val="00256607"/>
    <w:rsid w:val="00256D08"/>
    <w:rsid w:val="002606BF"/>
    <w:rsid w:val="0026081E"/>
    <w:rsid w:val="00260FD0"/>
    <w:rsid w:val="0026157E"/>
    <w:rsid w:val="00262601"/>
    <w:rsid w:val="00263BE3"/>
    <w:rsid w:val="00264167"/>
    <w:rsid w:val="00264504"/>
    <w:rsid w:val="00264ED0"/>
    <w:rsid w:val="00264FF7"/>
    <w:rsid w:val="00265E6C"/>
    <w:rsid w:val="002673EF"/>
    <w:rsid w:val="00267D8D"/>
    <w:rsid w:val="00270B78"/>
    <w:rsid w:val="00270EB3"/>
    <w:rsid w:val="00270F87"/>
    <w:rsid w:val="00271AAE"/>
    <w:rsid w:val="00271DB0"/>
    <w:rsid w:val="00272541"/>
    <w:rsid w:val="00272DEC"/>
    <w:rsid w:val="00273356"/>
    <w:rsid w:val="00274067"/>
    <w:rsid w:val="002751A7"/>
    <w:rsid w:val="00275575"/>
    <w:rsid w:val="00275E46"/>
    <w:rsid w:val="00276D13"/>
    <w:rsid w:val="002772AD"/>
    <w:rsid w:val="002778D2"/>
    <w:rsid w:val="00280C91"/>
    <w:rsid w:val="00282AA6"/>
    <w:rsid w:val="00282EB2"/>
    <w:rsid w:val="002834C0"/>
    <w:rsid w:val="00283752"/>
    <w:rsid w:val="002837FD"/>
    <w:rsid w:val="002848AB"/>
    <w:rsid w:val="0028597C"/>
    <w:rsid w:val="00286D6C"/>
    <w:rsid w:val="00286FF8"/>
    <w:rsid w:val="00287014"/>
    <w:rsid w:val="00290E53"/>
    <w:rsid w:val="002911A9"/>
    <w:rsid w:val="0029186E"/>
    <w:rsid w:val="00291BE7"/>
    <w:rsid w:val="00292E04"/>
    <w:rsid w:val="002940EE"/>
    <w:rsid w:val="00295027"/>
    <w:rsid w:val="00295577"/>
    <w:rsid w:val="00295632"/>
    <w:rsid w:val="002958D4"/>
    <w:rsid w:val="00295B6F"/>
    <w:rsid w:val="00296752"/>
    <w:rsid w:val="00297AAD"/>
    <w:rsid w:val="002A0313"/>
    <w:rsid w:val="002A0A0F"/>
    <w:rsid w:val="002A13FE"/>
    <w:rsid w:val="002A28E9"/>
    <w:rsid w:val="002A2DE3"/>
    <w:rsid w:val="002A3727"/>
    <w:rsid w:val="002A42BF"/>
    <w:rsid w:val="002A47E5"/>
    <w:rsid w:val="002A4803"/>
    <w:rsid w:val="002A53B7"/>
    <w:rsid w:val="002A57FA"/>
    <w:rsid w:val="002A5B0C"/>
    <w:rsid w:val="002A626C"/>
    <w:rsid w:val="002A62EB"/>
    <w:rsid w:val="002A7180"/>
    <w:rsid w:val="002A798A"/>
    <w:rsid w:val="002A7A4B"/>
    <w:rsid w:val="002A7AD9"/>
    <w:rsid w:val="002B064C"/>
    <w:rsid w:val="002B0C64"/>
    <w:rsid w:val="002B1312"/>
    <w:rsid w:val="002B3560"/>
    <w:rsid w:val="002B3858"/>
    <w:rsid w:val="002B4482"/>
    <w:rsid w:val="002B46C3"/>
    <w:rsid w:val="002B5F9A"/>
    <w:rsid w:val="002B6C80"/>
    <w:rsid w:val="002B7918"/>
    <w:rsid w:val="002B7D0E"/>
    <w:rsid w:val="002C02F7"/>
    <w:rsid w:val="002C0997"/>
    <w:rsid w:val="002C0E2A"/>
    <w:rsid w:val="002C1540"/>
    <w:rsid w:val="002C1569"/>
    <w:rsid w:val="002C2952"/>
    <w:rsid w:val="002C2C6F"/>
    <w:rsid w:val="002C2EBA"/>
    <w:rsid w:val="002C2F39"/>
    <w:rsid w:val="002C309E"/>
    <w:rsid w:val="002C337A"/>
    <w:rsid w:val="002C35EC"/>
    <w:rsid w:val="002C3CB8"/>
    <w:rsid w:val="002C40ED"/>
    <w:rsid w:val="002C46F4"/>
    <w:rsid w:val="002C4A42"/>
    <w:rsid w:val="002C4CB4"/>
    <w:rsid w:val="002C5758"/>
    <w:rsid w:val="002C59C2"/>
    <w:rsid w:val="002D081E"/>
    <w:rsid w:val="002D0927"/>
    <w:rsid w:val="002D0D66"/>
    <w:rsid w:val="002D2A93"/>
    <w:rsid w:val="002D30E4"/>
    <w:rsid w:val="002D45DA"/>
    <w:rsid w:val="002D62C4"/>
    <w:rsid w:val="002E06D0"/>
    <w:rsid w:val="002E1D9C"/>
    <w:rsid w:val="002E4FF9"/>
    <w:rsid w:val="002E58F2"/>
    <w:rsid w:val="002E5D79"/>
    <w:rsid w:val="002E60E9"/>
    <w:rsid w:val="002E63B9"/>
    <w:rsid w:val="002E65D1"/>
    <w:rsid w:val="002E6CAC"/>
    <w:rsid w:val="002E711F"/>
    <w:rsid w:val="002E7248"/>
    <w:rsid w:val="002E769B"/>
    <w:rsid w:val="002E7820"/>
    <w:rsid w:val="002F0B47"/>
    <w:rsid w:val="002F1215"/>
    <w:rsid w:val="002F1337"/>
    <w:rsid w:val="002F1554"/>
    <w:rsid w:val="002F1FD8"/>
    <w:rsid w:val="002F29EF"/>
    <w:rsid w:val="002F302D"/>
    <w:rsid w:val="002F3AB0"/>
    <w:rsid w:val="002F479B"/>
    <w:rsid w:val="002F48FD"/>
    <w:rsid w:val="002F4B02"/>
    <w:rsid w:val="002F5AE9"/>
    <w:rsid w:val="002F5FC1"/>
    <w:rsid w:val="002F6DAB"/>
    <w:rsid w:val="002F749B"/>
    <w:rsid w:val="002F7ADD"/>
    <w:rsid w:val="002F7F02"/>
    <w:rsid w:val="00300017"/>
    <w:rsid w:val="003015B0"/>
    <w:rsid w:val="003028B8"/>
    <w:rsid w:val="00302EA0"/>
    <w:rsid w:val="003032F7"/>
    <w:rsid w:val="00303380"/>
    <w:rsid w:val="00303DA2"/>
    <w:rsid w:val="003041BD"/>
    <w:rsid w:val="003045EF"/>
    <w:rsid w:val="00304F38"/>
    <w:rsid w:val="00305797"/>
    <w:rsid w:val="00305E16"/>
    <w:rsid w:val="00305EA3"/>
    <w:rsid w:val="003061CB"/>
    <w:rsid w:val="003066AE"/>
    <w:rsid w:val="00306DBE"/>
    <w:rsid w:val="0030726B"/>
    <w:rsid w:val="00307FB7"/>
    <w:rsid w:val="00310E8E"/>
    <w:rsid w:val="0031150B"/>
    <w:rsid w:val="003116F8"/>
    <w:rsid w:val="003117D1"/>
    <w:rsid w:val="00311CC8"/>
    <w:rsid w:val="0031374B"/>
    <w:rsid w:val="00313C9E"/>
    <w:rsid w:val="00314250"/>
    <w:rsid w:val="00314400"/>
    <w:rsid w:val="0031446D"/>
    <w:rsid w:val="00314A5C"/>
    <w:rsid w:val="00314BD7"/>
    <w:rsid w:val="00315DA1"/>
    <w:rsid w:val="003161DA"/>
    <w:rsid w:val="003162E1"/>
    <w:rsid w:val="00317001"/>
    <w:rsid w:val="0031719F"/>
    <w:rsid w:val="00322533"/>
    <w:rsid w:val="00322BBF"/>
    <w:rsid w:val="00323EF9"/>
    <w:rsid w:val="003277AB"/>
    <w:rsid w:val="00327BB6"/>
    <w:rsid w:val="00327BEF"/>
    <w:rsid w:val="00330E39"/>
    <w:rsid w:val="00332657"/>
    <w:rsid w:val="003329E3"/>
    <w:rsid w:val="003334D6"/>
    <w:rsid w:val="00333546"/>
    <w:rsid w:val="00333E81"/>
    <w:rsid w:val="003341A7"/>
    <w:rsid w:val="00334DA2"/>
    <w:rsid w:val="00334EF6"/>
    <w:rsid w:val="003352DA"/>
    <w:rsid w:val="003353C7"/>
    <w:rsid w:val="00336B80"/>
    <w:rsid w:val="00340F3F"/>
    <w:rsid w:val="003414A1"/>
    <w:rsid w:val="0034296F"/>
    <w:rsid w:val="00342C5F"/>
    <w:rsid w:val="00343DC7"/>
    <w:rsid w:val="00344385"/>
    <w:rsid w:val="003448F7"/>
    <w:rsid w:val="003457FE"/>
    <w:rsid w:val="00345C4F"/>
    <w:rsid w:val="00345DF0"/>
    <w:rsid w:val="00347090"/>
    <w:rsid w:val="0034737D"/>
    <w:rsid w:val="003477D8"/>
    <w:rsid w:val="00347A96"/>
    <w:rsid w:val="00347B39"/>
    <w:rsid w:val="00350820"/>
    <w:rsid w:val="00351123"/>
    <w:rsid w:val="003525DC"/>
    <w:rsid w:val="00353DB5"/>
    <w:rsid w:val="00354899"/>
    <w:rsid w:val="00354D3F"/>
    <w:rsid w:val="0035546C"/>
    <w:rsid w:val="00355B04"/>
    <w:rsid w:val="003564D3"/>
    <w:rsid w:val="003568E6"/>
    <w:rsid w:val="00360567"/>
    <w:rsid w:val="00361186"/>
    <w:rsid w:val="0036176E"/>
    <w:rsid w:val="00361963"/>
    <w:rsid w:val="00361ADC"/>
    <w:rsid w:val="00361E33"/>
    <w:rsid w:val="00362478"/>
    <w:rsid w:val="003624C5"/>
    <w:rsid w:val="00363BCD"/>
    <w:rsid w:val="00365D6A"/>
    <w:rsid w:val="00366931"/>
    <w:rsid w:val="00370E93"/>
    <w:rsid w:val="0037123A"/>
    <w:rsid w:val="00372A60"/>
    <w:rsid w:val="00373DA2"/>
    <w:rsid w:val="003743F9"/>
    <w:rsid w:val="00375AB7"/>
    <w:rsid w:val="00376BF4"/>
    <w:rsid w:val="00376D64"/>
    <w:rsid w:val="00377B44"/>
    <w:rsid w:val="00377BCC"/>
    <w:rsid w:val="00381109"/>
    <w:rsid w:val="003815B5"/>
    <w:rsid w:val="00381ADE"/>
    <w:rsid w:val="00382414"/>
    <w:rsid w:val="0038304C"/>
    <w:rsid w:val="00383065"/>
    <w:rsid w:val="00383597"/>
    <w:rsid w:val="00384735"/>
    <w:rsid w:val="00385155"/>
    <w:rsid w:val="00386EB9"/>
    <w:rsid w:val="003870E9"/>
    <w:rsid w:val="00387C7D"/>
    <w:rsid w:val="00390BF0"/>
    <w:rsid w:val="0039192E"/>
    <w:rsid w:val="00391B4F"/>
    <w:rsid w:val="00391E27"/>
    <w:rsid w:val="00391E78"/>
    <w:rsid w:val="00392B65"/>
    <w:rsid w:val="00393594"/>
    <w:rsid w:val="00393F5F"/>
    <w:rsid w:val="003943A9"/>
    <w:rsid w:val="00394B12"/>
    <w:rsid w:val="00394B21"/>
    <w:rsid w:val="00394E2D"/>
    <w:rsid w:val="00397E13"/>
    <w:rsid w:val="003A056B"/>
    <w:rsid w:val="003A15B1"/>
    <w:rsid w:val="003A1675"/>
    <w:rsid w:val="003A1CF6"/>
    <w:rsid w:val="003A26CA"/>
    <w:rsid w:val="003A2822"/>
    <w:rsid w:val="003A2B6D"/>
    <w:rsid w:val="003A307B"/>
    <w:rsid w:val="003A4596"/>
    <w:rsid w:val="003A4AF6"/>
    <w:rsid w:val="003A5169"/>
    <w:rsid w:val="003A5470"/>
    <w:rsid w:val="003A5F2F"/>
    <w:rsid w:val="003A6079"/>
    <w:rsid w:val="003A7E55"/>
    <w:rsid w:val="003B02DB"/>
    <w:rsid w:val="003B0912"/>
    <w:rsid w:val="003B0BA1"/>
    <w:rsid w:val="003B1424"/>
    <w:rsid w:val="003B2280"/>
    <w:rsid w:val="003B3115"/>
    <w:rsid w:val="003B3365"/>
    <w:rsid w:val="003B34A7"/>
    <w:rsid w:val="003B5186"/>
    <w:rsid w:val="003B571B"/>
    <w:rsid w:val="003B605D"/>
    <w:rsid w:val="003B71C8"/>
    <w:rsid w:val="003B7236"/>
    <w:rsid w:val="003B7536"/>
    <w:rsid w:val="003B7D5D"/>
    <w:rsid w:val="003C0057"/>
    <w:rsid w:val="003C23B1"/>
    <w:rsid w:val="003C2E69"/>
    <w:rsid w:val="003C374B"/>
    <w:rsid w:val="003C441A"/>
    <w:rsid w:val="003C541A"/>
    <w:rsid w:val="003C62B1"/>
    <w:rsid w:val="003C6914"/>
    <w:rsid w:val="003D0652"/>
    <w:rsid w:val="003D1DF7"/>
    <w:rsid w:val="003D25EC"/>
    <w:rsid w:val="003D2EAD"/>
    <w:rsid w:val="003D36E7"/>
    <w:rsid w:val="003D41A9"/>
    <w:rsid w:val="003D49D6"/>
    <w:rsid w:val="003D5265"/>
    <w:rsid w:val="003D57E2"/>
    <w:rsid w:val="003D65E4"/>
    <w:rsid w:val="003D670B"/>
    <w:rsid w:val="003D7B23"/>
    <w:rsid w:val="003E0081"/>
    <w:rsid w:val="003E0684"/>
    <w:rsid w:val="003E0CF6"/>
    <w:rsid w:val="003E0FF3"/>
    <w:rsid w:val="003E2EEF"/>
    <w:rsid w:val="003E3A7B"/>
    <w:rsid w:val="003E3C5F"/>
    <w:rsid w:val="003E3FC2"/>
    <w:rsid w:val="003E4106"/>
    <w:rsid w:val="003E5753"/>
    <w:rsid w:val="003E579E"/>
    <w:rsid w:val="003E5B9B"/>
    <w:rsid w:val="003E7CC3"/>
    <w:rsid w:val="003F14B6"/>
    <w:rsid w:val="003F14F5"/>
    <w:rsid w:val="003F189B"/>
    <w:rsid w:val="003F18CE"/>
    <w:rsid w:val="003F25A6"/>
    <w:rsid w:val="003F5AC8"/>
    <w:rsid w:val="003F62E0"/>
    <w:rsid w:val="003F70C2"/>
    <w:rsid w:val="003F7588"/>
    <w:rsid w:val="003F7CFC"/>
    <w:rsid w:val="0040095C"/>
    <w:rsid w:val="0040135C"/>
    <w:rsid w:val="00401F46"/>
    <w:rsid w:val="00403445"/>
    <w:rsid w:val="00403668"/>
    <w:rsid w:val="00404024"/>
    <w:rsid w:val="00405112"/>
    <w:rsid w:val="00405536"/>
    <w:rsid w:val="00405C35"/>
    <w:rsid w:val="00406C60"/>
    <w:rsid w:val="004078A1"/>
    <w:rsid w:val="00407E71"/>
    <w:rsid w:val="00410257"/>
    <w:rsid w:val="00410312"/>
    <w:rsid w:val="004112B8"/>
    <w:rsid w:val="004115B1"/>
    <w:rsid w:val="00411BE0"/>
    <w:rsid w:val="004121AD"/>
    <w:rsid w:val="00412C10"/>
    <w:rsid w:val="00412EC4"/>
    <w:rsid w:val="00412EE0"/>
    <w:rsid w:val="00412FB8"/>
    <w:rsid w:val="004154C2"/>
    <w:rsid w:val="004161C1"/>
    <w:rsid w:val="00416DC8"/>
    <w:rsid w:val="0041701B"/>
    <w:rsid w:val="00420226"/>
    <w:rsid w:val="00420A8D"/>
    <w:rsid w:val="004212E7"/>
    <w:rsid w:val="0042157F"/>
    <w:rsid w:val="00421978"/>
    <w:rsid w:val="00421ECE"/>
    <w:rsid w:val="00421F4D"/>
    <w:rsid w:val="00422374"/>
    <w:rsid w:val="00423918"/>
    <w:rsid w:val="00423AA9"/>
    <w:rsid w:val="004240DF"/>
    <w:rsid w:val="00424802"/>
    <w:rsid w:val="00424B7A"/>
    <w:rsid w:val="004261D4"/>
    <w:rsid w:val="00426469"/>
    <w:rsid w:val="00427510"/>
    <w:rsid w:val="00427911"/>
    <w:rsid w:val="00427ACF"/>
    <w:rsid w:val="0043053E"/>
    <w:rsid w:val="00432A35"/>
    <w:rsid w:val="00432B48"/>
    <w:rsid w:val="00433B5A"/>
    <w:rsid w:val="0043429B"/>
    <w:rsid w:val="00434685"/>
    <w:rsid w:val="00434A57"/>
    <w:rsid w:val="00435352"/>
    <w:rsid w:val="00436462"/>
    <w:rsid w:val="0044114F"/>
    <w:rsid w:val="00441284"/>
    <w:rsid w:val="0044140E"/>
    <w:rsid w:val="00441BA5"/>
    <w:rsid w:val="00441DF7"/>
    <w:rsid w:val="004430B6"/>
    <w:rsid w:val="00443796"/>
    <w:rsid w:val="00444413"/>
    <w:rsid w:val="004455A5"/>
    <w:rsid w:val="0044668F"/>
    <w:rsid w:val="004473B5"/>
    <w:rsid w:val="004478ED"/>
    <w:rsid w:val="0044790C"/>
    <w:rsid w:val="0045014D"/>
    <w:rsid w:val="00450430"/>
    <w:rsid w:val="004512A6"/>
    <w:rsid w:val="00451B3C"/>
    <w:rsid w:val="00452860"/>
    <w:rsid w:val="00453B43"/>
    <w:rsid w:val="00454738"/>
    <w:rsid w:val="00454790"/>
    <w:rsid w:val="00454B02"/>
    <w:rsid w:val="00456304"/>
    <w:rsid w:val="00456A50"/>
    <w:rsid w:val="00457A5F"/>
    <w:rsid w:val="004601C4"/>
    <w:rsid w:val="0046044C"/>
    <w:rsid w:val="00461A39"/>
    <w:rsid w:val="0046281E"/>
    <w:rsid w:val="0046295F"/>
    <w:rsid w:val="00462A13"/>
    <w:rsid w:val="00462B53"/>
    <w:rsid w:val="00463958"/>
    <w:rsid w:val="00463F60"/>
    <w:rsid w:val="00463F77"/>
    <w:rsid w:val="0046436D"/>
    <w:rsid w:val="00464454"/>
    <w:rsid w:val="00464FBE"/>
    <w:rsid w:val="00465D89"/>
    <w:rsid w:val="0046608B"/>
    <w:rsid w:val="004663DF"/>
    <w:rsid w:val="00466450"/>
    <w:rsid w:val="00470580"/>
    <w:rsid w:val="00470DF0"/>
    <w:rsid w:val="00470EE6"/>
    <w:rsid w:val="00471DEE"/>
    <w:rsid w:val="004722AE"/>
    <w:rsid w:val="00472613"/>
    <w:rsid w:val="004729AB"/>
    <w:rsid w:val="00472EA7"/>
    <w:rsid w:val="00473160"/>
    <w:rsid w:val="004732CF"/>
    <w:rsid w:val="004741E8"/>
    <w:rsid w:val="004742E9"/>
    <w:rsid w:val="00474945"/>
    <w:rsid w:val="00474B48"/>
    <w:rsid w:val="004751A6"/>
    <w:rsid w:val="00475D6D"/>
    <w:rsid w:val="004819B4"/>
    <w:rsid w:val="00481E10"/>
    <w:rsid w:val="00481E41"/>
    <w:rsid w:val="00481F8A"/>
    <w:rsid w:val="00482EBB"/>
    <w:rsid w:val="0048333A"/>
    <w:rsid w:val="0048371F"/>
    <w:rsid w:val="004860ED"/>
    <w:rsid w:val="0048664A"/>
    <w:rsid w:val="00486F2A"/>
    <w:rsid w:val="00487110"/>
    <w:rsid w:val="004879A0"/>
    <w:rsid w:val="00487A98"/>
    <w:rsid w:val="00490F50"/>
    <w:rsid w:val="004918E0"/>
    <w:rsid w:val="00491934"/>
    <w:rsid w:val="00492046"/>
    <w:rsid w:val="00492D94"/>
    <w:rsid w:val="00493EE3"/>
    <w:rsid w:val="00494452"/>
    <w:rsid w:val="00495008"/>
    <w:rsid w:val="004959BC"/>
    <w:rsid w:val="004961F2"/>
    <w:rsid w:val="004974AA"/>
    <w:rsid w:val="004A0C60"/>
    <w:rsid w:val="004A0F5B"/>
    <w:rsid w:val="004A15B8"/>
    <w:rsid w:val="004A1DD4"/>
    <w:rsid w:val="004A215E"/>
    <w:rsid w:val="004A2DCA"/>
    <w:rsid w:val="004A2FF3"/>
    <w:rsid w:val="004A38D0"/>
    <w:rsid w:val="004A77B2"/>
    <w:rsid w:val="004A7942"/>
    <w:rsid w:val="004B184B"/>
    <w:rsid w:val="004B1FF6"/>
    <w:rsid w:val="004B32B5"/>
    <w:rsid w:val="004B36CF"/>
    <w:rsid w:val="004B584E"/>
    <w:rsid w:val="004B6222"/>
    <w:rsid w:val="004B6AF5"/>
    <w:rsid w:val="004B6F48"/>
    <w:rsid w:val="004B79B1"/>
    <w:rsid w:val="004B7DFE"/>
    <w:rsid w:val="004C0B75"/>
    <w:rsid w:val="004C0C4F"/>
    <w:rsid w:val="004C26F3"/>
    <w:rsid w:val="004C2DE5"/>
    <w:rsid w:val="004C2F62"/>
    <w:rsid w:val="004C2FCF"/>
    <w:rsid w:val="004C3087"/>
    <w:rsid w:val="004C3166"/>
    <w:rsid w:val="004C3234"/>
    <w:rsid w:val="004C37CF"/>
    <w:rsid w:val="004C457F"/>
    <w:rsid w:val="004C458C"/>
    <w:rsid w:val="004C482B"/>
    <w:rsid w:val="004C554F"/>
    <w:rsid w:val="004C6C2A"/>
    <w:rsid w:val="004C7352"/>
    <w:rsid w:val="004C7441"/>
    <w:rsid w:val="004C757B"/>
    <w:rsid w:val="004C7BEA"/>
    <w:rsid w:val="004C7E53"/>
    <w:rsid w:val="004D09F0"/>
    <w:rsid w:val="004D0F47"/>
    <w:rsid w:val="004D13B4"/>
    <w:rsid w:val="004D1D5E"/>
    <w:rsid w:val="004D1DD1"/>
    <w:rsid w:val="004D21F0"/>
    <w:rsid w:val="004D2853"/>
    <w:rsid w:val="004D3052"/>
    <w:rsid w:val="004D3DD1"/>
    <w:rsid w:val="004D3FD1"/>
    <w:rsid w:val="004D4179"/>
    <w:rsid w:val="004D4A82"/>
    <w:rsid w:val="004D5D27"/>
    <w:rsid w:val="004D6441"/>
    <w:rsid w:val="004D6603"/>
    <w:rsid w:val="004D7030"/>
    <w:rsid w:val="004D7905"/>
    <w:rsid w:val="004E048F"/>
    <w:rsid w:val="004E0C37"/>
    <w:rsid w:val="004E0D19"/>
    <w:rsid w:val="004E190A"/>
    <w:rsid w:val="004E1A81"/>
    <w:rsid w:val="004E1C0C"/>
    <w:rsid w:val="004E2556"/>
    <w:rsid w:val="004E2A13"/>
    <w:rsid w:val="004E3EA7"/>
    <w:rsid w:val="004E5904"/>
    <w:rsid w:val="004E5C68"/>
    <w:rsid w:val="004E5FC3"/>
    <w:rsid w:val="004E6867"/>
    <w:rsid w:val="004E7111"/>
    <w:rsid w:val="004E7B58"/>
    <w:rsid w:val="004F01D7"/>
    <w:rsid w:val="004F17E3"/>
    <w:rsid w:val="004F1DFD"/>
    <w:rsid w:val="004F228E"/>
    <w:rsid w:val="004F2385"/>
    <w:rsid w:val="004F26DB"/>
    <w:rsid w:val="004F2A00"/>
    <w:rsid w:val="004F2B97"/>
    <w:rsid w:val="004F2D9B"/>
    <w:rsid w:val="004F52FC"/>
    <w:rsid w:val="004F6006"/>
    <w:rsid w:val="004F60D7"/>
    <w:rsid w:val="004F61C5"/>
    <w:rsid w:val="004F72B4"/>
    <w:rsid w:val="00500DC4"/>
    <w:rsid w:val="00501EC5"/>
    <w:rsid w:val="00502400"/>
    <w:rsid w:val="00504897"/>
    <w:rsid w:val="005060A4"/>
    <w:rsid w:val="00506CA8"/>
    <w:rsid w:val="00507FF5"/>
    <w:rsid w:val="00510239"/>
    <w:rsid w:val="0051169E"/>
    <w:rsid w:val="0051247D"/>
    <w:rsid w:val="00512644"/>
    <w:rsid w:val="005136D6"/>
    <w:rsid w:val="00513962"/>
    <w:rsid w:val="005139F7"/>
    <w:rsid w:val="00513AF0"/>
    <w:rsid w:val="005143A1"/>
    <w:rsid w:val="005143A3"/>
    <w:rsid w:val="005145B5"/>
    <w:rsid w:val="0051547B"/>
    <w:rsid w:val="005155AE"/>
    <w:rsid w:val="0051620A"/>
    <w:rsid w:val="00516501"/>
    <w:rsid w:val="0051688B"/>
    <w:rsid w:val="00517099"/>
    <w:rsid w:val="00517304"/>
    <w:rsid w:val="005173DB"/>
    <w:rsid w:val="00520F9E"/>
    <w:rsid w:val="00522F1C"/>
    <w:rsid w:val="005237C7"/>
    <w:rsid w:val="00523C0A"/>
    <w:rsid w:val="005253F4"/>
    <w:rsid w:val="0052701B"/>
    <w:rsid w:val="00527BAC"/>
    <w:rsid w:val="005309BE"/>
    <w:rsid w:val="00530AB5"/>
    <w:rsid w:val="00531B2F"/>
    <w:rsid w:val="00531CFF"/>
    <w:rsid w:val="005348C4"/>
    <w:rsid w:val="00534C52"/>
    <w:rsid w:val="00534E90"/>
    <w:rsid w:val="00535F55"/>
    <w:rsid w:val="0053626D"/>
    <w:rsid w:val="00537600"/>
    <w:rsid w:val="00537FB3"/>
    <w:rsid w:val="00537FC2"/>
    <w:rsid w:val="005401C2"/>
    <w:rsid w:val="0054023A"/>
    <w:rsid w:val="00541C1E"/>
    <w:rsid w:val="0054247B"/>
    <w:rsid w:val="005437C9"/>
    <w:rsid w:val="00543EDF"/>
    <w:rsid w:val="005461D4"/>
    <w:rsid w:val="00546340"/>
    <w:rsid w:val="00547B0F"/>
    <w:rsid w:val="00547C20"/>
    <w:rsid w:val="00547E6F"/>
    <w:rsid w:val="0055054A"/>
    <w:rsid w:val="00550D96"/>
    <w:rsid w:val="00550DC3"/>
    <w:rsid w:val="00550E4B"/>
    <w:rsid w:val="005513E8"/>
    <w:rsid w:val="00551432"/>
    <w:rsid w:val="00552798"/>
    <w:rsid w:val="00552A06"/>
    <w:rsid w:val="00552B35"/>
    <w:rsid w:val="00553AC3"/>
    <w:rsid w:val="00553B87"/>
    <w:rsid w:val="00553FC9"/>
    <w:rsid w:val="0055416F"/>
    <w:rsid w:val="005545DB"/>
    <w:rsid w:val="00554FC4"/>
    <w:rsid w:val="00555109"/>
    <w:rsid w:val="0055791A"/>
    <w:rsid w:val="00557CEA"/>
    <w:rsid w:val="00560317"/>
    <w:rsid w:val="00560605"/>
    <w:rsid w:val="0056197A"/>
    <w:rsid w:val="00562A15"/>
    <w:rsid w:val="00562B91"/>
    <w:rsid w:val="00563473"/>
    <w:rsid w:val="00563913"/>
    <w:rsid w:val="00564C0C"/>
    <w:rsid w:val="00565B6A"/>
    <w:rsid w:val="00566319"/>
    <w:rsid w:val="00566979"/>
    <w:rsid w:val="005669F1"/>
    <w:rsid w:val="005671A6"/>
    <w:rsid w:val="00567460"/>
    <w:rsid w:val="00567573"/>
    <w:rsid w:val="00567CA6"/>
    <w:rsid w:val="00570B28"/>
    <w:rsid w:val="00570F11"/>
    <w:rsid w:val="00571B55"/>
    <w:rsid w:val="005745B4"/>
    <w:rsid w:val="00574696"/>
    <w:rsid w:val="00574DDE"/>
    <w:rsid w:val="00575979"/>
    <w:rsid w:val="00576571"/>
    <w:rsid w:val="005776C4"/>
    <w:rsid w:val="005811E2"/>
    <w:rsid w:val="00581274"/>
    <w:rsid w:val="00581B4A"/>
    <w:rsid w:val="0058225D"/>
    <w:rsid w:val="0058285B"/>
    <w:rsid w:val="00584097"/>
    <w:rsid w:val="005842AA"/>
    <w:rsid w:val="005842DF"/>
    <w:rsid w:val="005846AB"/>
    <w:rsid w:val="00584DE6"/>
    <w:rsid w:val="00584E6B"/>
    <w:rsid w:val="00585DD4"/>
    <w:rsid w:val="0058630A"/>
    <w:rsid w:val="00586364"/>
    <w:rsid w:val="005866D0"/>
    <w:rsid w:val="00587162"/>
    <w:rsid w:val="005875CF"/>
    <w:rsid w:val="0059025E"/>
    <w:rsid w:val="00590357"/>
    <w:rsid w:val="005905CC"/>
    <w:rsid w:val="0059069C"/>
    <w:rsid w:val="00591B50"/>
    <w:rsid w:val="005926D6"/>
    <w:rsid w:val="00594391"/>
    <w:rsid w:val="005944B4"/>
    <w:rsid w:val="00594621"/>
    <w:rsid w:val="0059462F"/>
    <w:rsid w:val="0059470F"/>
    <w:rsid w:val="00594C42"/>
    <w:rsid w:val="00594D31"/>
    <w:rsid w:val="005950EC"/>
    <w:rsid w:val="00595497"/>
    <w:rsid w:val="00595700"/>
    <w:rsid w:val="00595B3C"/>
    <w:rsid w:val="00595B7E"/>
    <w:rsid w:val="00597310"/>
    <w:rsid w:val="00597D2A"/>
    <w:rsid w:val="005A0B2C"/>
    <w:rsid w:val="005A20E6"/>
    <w:rsid w:val="005A20EF"/>
    <w:rsid w:val="005A2A87"/>
    <w:rsid w:val="005A46C1"/>
    <w:rsid w:val="005A52B4"/>
    <w:rsid w:val="005A57BE"/>
    <w:rsid w:val="005A6151"/>
    <w:rsid w:val="005A6D04"/>
    <w:rsid w:val="005A6DDF"/>
    <w:rsid w:val="005A6E33"/>
    <w:rsid w:val="005A713F"/>
    <w:rsid w:val="005B0043"/>
    <w:rsid w:val="005B01B4"/>
    <w:rsid w:val="005B0D05"/>
    <w:rsid w:val="005B0FF4"/>
    <w:rsid w:val="005B12FC"/>
    <w:rsid w:val="005B1510"/>
    <w:rsid w:val="005B182C"/>
    <w:rsid w:val="005B29DD"/>
    <w:rsid w:val="005B29EA"/>
    <w:rsid w:val="005B2AEB"/>
    <w:rsid w:val="005B2E0E"/>
    <w:rsid w:val="005B348C"/>
    <w:rsid w:val="005B3C74"/>
    <w:rsid w:val="005B535A"/>
    <w:rsid w:val="005B5A2D"/>
    <w:rsid w:val="005B653F"/>
    <w:rsid w:val="005B696F"/>
    <w:rsid w:val="005B75DE"/>
    <w:rsid w:val="005B79E8"/>
    <w:rsid w:val="005B7C1C"/>
    <w:rsid w:val="005B7FE7"/>
    <w:rsid w:val="005C133F"/>
    <w:rsid w:val="005C1532"/>
    <w:rsid w:val="005C1855"/>
    <w:rsid w:val="005C1D80"/>
    <w:rsid w:val="005C2433"/>
    <w:rsid w:val="005C337D"/>
    <w:rsid w:val="005C5DE9"/>
    <w:rsid w:val="005C61F9"/>
    <w:rsid w:val="005C72D6"/>
    <w:rsid w:val="005D0333"/>
    <w:rsid w:val="005D043E"/>
    <w:rsid w:val="005D045C"/>
    <w:rsid w:val="005D0F6F"/>
    <w:rsid w:val="005D13B7"/>
    <w:rsid w:val="005D1A51"/>
    <w:rsid w:val="005D1CE8"/>
    <w:rsid w:val="005D2032"/>
    <w:rsid w:val="005D3526"/>
    <w:rsid w:val="005D428D"/>
    <w:rsid w:val="005D45E4"/>
    <w:rsid w:val="005D4828"/>
    <w:rsid w:val="005D4E85"/>
    <w:rsid w:val="005D58D0"/>
    <w:rsid w:val="005D5A00"/>
    <w:rsid w:val="005D5CE4"/>
    <w:rsid w:val="005D68C9"/>
    <w:rsid w:val="005D70F4"/>
    <w:rsid w:val="005D7C33"/>
    <w:rsid w:val="005E01ED"/>
    <w:rsid w:val="005E082F"/>
    <w:rsid w:val="005E0DEC"/>
    <w:rsid w:val="005E1579"/>
    <w:rsid w:val="005E1D3A"/>
    <w:rsid w:val="005E263D"/>
    <w:rsid w:val="005E2EE7"/>
    <w:rsid w:val="005E3F5A"/>
    <w:rsid w:val="005E4405"/>
    <w:rsid w:val="005E6553"/>
    <w:rsid w:val="005E71AE"/>
    <w:rsid w:val="005E7FBD"/>
    <w:rsid w:val="005F088C"/>
    <w:rsid w:val="005F1949"/>
    <w:rsid w:val="005F1956"/>
    <w:rsid w:val="005F1ED9"/>
    <w:rsid w:val="005F245D"/>
    <w:rsid w:val="005F2AE3"/>
    <w:rsid w:val="005F2D83"/>
    <w:rsid w:val="005F3259"/>
    <w:rsid w:val="005F3FF5"/>
    <w:rsid w:val="005F408E"/>
    <w:rsid w:val="005F4518"/>
    <w:rsid w:val="005F46B5"/>
    <w:rsid w:val="005F539B"/>
    <w:rsid w:val="005F53B0"/>
    <w:rsid w:val="005F758D"/>
    <w:rsid w:val="005F786D"/>
    <w:rsid w:val="005F78E4"/>
    <w:rsid w:val="005F794D"/>
    <w:rsid w:val="006016C3"/>
    <w:rsid w:val="00601846"/>
    <w:rsid w:val="00601DA0"/>
    <w:rsid w:val="006021F4"/>
    <w:rsid w:val="00602AD2"/>
    <w:rsid w:val="00602E12"/>
    <w:rsid w:val="0060379C"/>
    <w:rsid w:val="00603AA4"/>
    <w:rsid w:val="00603B76"/>
    <w:rsid w:val="00603BD0"/>
    <w:rsid w:val="006047DE"/>
    <w:rsid w:val="0060485B"/>
    <w:rsid w:val="00604993"/>
    <w:rsid w:val="006065D9"/>
    <w:rsid w:val="00606D8B"/>
    <w:rsid w:val="006070F9"/>
    <w:rsid w:val="00607A9A"/>
    <w:rsid w:val="0061056B"/>
    <w:rsid w:val="0061085A"/>
    <w:rsid w:val="006128CF"/>
    <w:rsid w:val="00612CFA"/>
    <w:rsid w:val="0061320D"/>
    <w:rsid w:val="00613B28"/>
    <w:rsid w:val="00615003"/>
    <w:rsid w:val="006151F2"/>
    <w:rsid w:val="0061528E"/>
    <w:rsid w:val="0061612B"/>
    <w:rsid w:val="0061663D"/>
    <w:rsid w:val="00616DC9"/>
    <w:rsid w:val="006173D0"/>
    <w:rsid w:val="006204F4"/>
    <w:rsid w:val="006222EE"/>
    <w:rsid w:val="006239F5"/>
    <w:rsid w:val="00625176"/>
    <w:rsid w:val="00625761"/>
    <w:rsid w:val="00625B08"/>
    <w:rsid w:val="006260AF"/>
    <w:rsid w:val="00626471"/>
    <w:rsid w:val="00626C00"/>
    <w:rsid w:val="00627D57"/>
    <w:rsid w:val="006304FD"/>
    <w:rsid w:val="00630C29"/>
    <w:rsid w:val="006310F4"/>
    <w:rsid w:val="00631623"/>
    <w:rsid w:val="0063162F"/>
    <w:rsid w:val="00632773"/>
    <w:rsid w:val="00632A25"/>
    <w:rsid w:val="006336E5"/>
    <w:rsid w:val="00633C60"/>
    <w:rsid w:val="00633F19"/>
    <w:rsid w:val="006350CB"/>
    <w:rsid w:val="006356E1"/>
    <w:rsid w:val="00636BCB"/>
    <w:rsid w:val="00636E01"/>
    <w:rsid w:val="00637089"/>
    <w:rsid w:val="00637243"/>
    <w:rsid w:val="00640450"/>
    <w:rsid w:val="00640781"/>
    <w:rsid w:val="00640C01"/>
    <w:rsid w:val="0064176E"/>
    <w:rsid w:val="00641E4B"/>
    <w:rsid w:val="0064260D"/>
    <w:rsid w:val="00642BEA"/>
    <w:rsid w:val="0064304B"/>
    <w:rsid w:val="00644173"/>
    <w:rsid w:val="00644C62"/>
    <w:rsid w:val="00644DF0"/>
    <w:rsid w:val="006457DD"/>
    <w:rsid w:val="0064596E"/>
    <w:rsid w:val="00645EE0"/>
    <w:rsid w:val="0064603B"/>
    <w:rsid w:val="00646105"/>
    <w:rsid w:val="00646969"/>
    <w:rsid w:val="0065064E"/>
    <w:rsid w:val="00650AD9"/>
    <w:rsid w:val="00650B1E"/>
    <w:rsid w:val="00651BBA"/>
    <w:rsid w:val="006535C6"/>
    <w:rsid w:val="00655E70"/>
    <w:rsid w:val="006564C3"/>
    <w:rsid w:val="00656624"/>
    <w:rsid w:val="00656F16"/>
    <w:rsid w:val="0065720A"/>
    <w:rsid w:val="00657674"/>
    <w:rsid w:val="00657D51"/>
    <w:rsid w:val="00657F5A"/>
    <w:rsid w:val="00660034"/>
    <w:rsid w:val="006603A6"/>
    <w:rsid w:val="00660BD2"/>
    <w:rsid w:val="00660C38"/>
    <w:rsid w:val="006615BA"/>
    <w:rsid w:val="006617DE"/>
    <w:rsid w:val="00661BBC"/>
    <w:rsid w:val="0066251C"/>
    <w:rsid w:val="0066256D"/>
    <w:rsid w:val="00662747"/>
    <w:rsid w:val="00662F6A"/>
    <w:rsid w:val="006630A4"/>
    <w:rsid w:val="00663981"/>
    <w:rsid w:val="00664AE8"/>
    <w:rsid w:val="00664DED"/>
    <w:rsid w:val="00665331"/>
    <w:rsid w:val="006654C5"/>
    <w:rsid w:val="006656F5"/>
    <w:rsid w:val="00666AB6"/>
    <w:rsid w:val="0066715D"/>
    <w:rsid w:val="006676F4"/>
    <w:rsid w:val="006676F7"/>
    <w:rsid w:val="006678A8"/>
    <w:rsid w:val="006700F7"/>
    <w:rsid w:val="006702A3"/>
    <w:rsid w:val="00671F5E"/>
    <w:rsid w:val="00672D09"/>
    <w:rsid w:val="0067328D"/>
    <w:rsid w:val="00673510"/>
    <w:rsid w:val="006743BB"/>
    <w:rsid w:val="006766C4"/>
    <w:rsid w:val="00676A05"/>
    <w:rsid w:val="0067713F"/>
    <w:rsid w:val="006777E4"/>
    <w:rsid w:val="00677B9C"/>
    <w:rsid w:val="0068097E"/>
    <w:rsid w:val="006816F6"/>
    <w:rsid w:val="00681BC9"/>
    <w:rsid w:val="00681D00"/>
    <w:rsid w:val="00684205"/>
    <w:rsid w:val="00685439"/>
    <w:rsid w:val="00685753"/>
    <w:rsid w:val="0068708B"/>
    <w:rsid w:val="006871A6"/>
    <w:rsid w:val="006877D8"/>
    <w:rsid w:val="00690327"/>
    <w:rsid w:val="0069083A"/>
    <w:rsid w:val="00690C19"/>
    <w:rsid w:val="0069138F"/>
    <w:rsid w:val="00692DB6"/>
    <w:rsid w:val="00692F12"/>
    <w:rsid w:val="00693926"/>
    <w:rsid w:val="00693D46"/>
    <w:rsid w:val="00694DD2"/>
    <w:rsid w:val="00694F1C"/>
    <w:rsid w:val="006951BD"/>
    <w:rsid w:val="006951D6"/>
    <w:rsid w:val="00695461"/>
    <w:rsid w:val="006958CF"/>
    <w:rsid w:val="0069661E"/>
    <w:rsid w:val="00696A9A"/>
    <w:rsid w:val="006A16A1"/>
    <w:rsid w:val="006A1805"/>
    <w:rsid w:val="006A1B29"/>
    <w:rsid w:val="006A2547"/>
    <w:rsid w:val="006A288A"/>
    <w:rsid w:val="006A2C41"/>
    <w:rsid w:val="006A324A"/>
    <w:rsid w:val="006A6464"/>
    <w:rsid w:val="006A68F1"/>
    <w:rsid w:val="006A7372"/>
    <w:rsid w:val="006A7409"/>
    <w:rsid w:val="006B053A"/>
    <w:rsid w:val="006B0C37"/>
    <w:rsid w:val="006B1A25"/>
    <w:rsid w:val="006B25AC"/>
    <w:rsid w:val="006B2FAD"/>
    <w:rsid w:val="006B5194"/>
    <w:rsid w:val="006B62C8"/>
    <w:rsid w:val="006C14A7"/>
    <w:rsid w:val="006C1525"/>
    <w:rsid w:val="006C1FE2"/>
    <w:rsid w:val="006C2080"/>
    <w:rsid w:val="006C210C"/>
    <w:rsid w:val="006C35B2"/>
    <w:rsid w:val="006C4DBC"/>
    <w:rsid w:val="006C4E20"/>
    <w:rsid w:val="006C53F0"/>
    <w:rsid w:val="006C5D68"/>
    <w:rsid w:val="006C75D8"/>
    <w:rsid w:val="006D0E7A"/>
    <w:rsid w:val="006D10BB"/>
    <w:rsid w:val="006D18E3"/>
    <w:rsid w:val="006D1C55"/>
    <w:rsid w:val="006D32F5"/>
    <w:rsid w:val="006D3408"/>
    <w:rsid w:val="006D37F1"/>
    <w:rsid w:val="006D4B1D"/>
    <w:rsid w:val="006D53A3"/>
    <w:rsid w:val="006D60FC"/>
    <w:rsid w:val="006D768C"/>
    <w:rsid w:val="006E0345"/>
    <w:rsid w:val="006E076B"/>
    <w:rsid w:val="006E1814"/>
    <w:rsid w:val="006E2899"/>
    <w:rsid w:val="006E31E9"/>
    <w:rsid w:val="006E3A19"/>
    <w:rsid w:val="006E4B2E"/>
    <w:rsid w:val="006E5362"/>
    <w:rsid w:val="006E60CB"/>
    <w:rsid w:val="006E67C8"/>
    <w:rsid w:val="006E7CA6"/>
    <w:rsid w:val="006F021C"/>
    <w:rsid w:val="006F049C"/>
    <w:rsid w:val="006F183B"/>
    <w:rsid w:val="006F1FC9"/>
    <w:rsid w:val="006F2801"/>
    <w:rsid w:val="006F4154"/>
    <w:rsid w:val="006F462A"/>
    <w:rsid w:val="006F4DA6"/>
    <w:rsid w:val="006F4DCC"/>
    <w:rsid w:val="006F582F"/>
    <w:rsid w:val="006F5E0D"/>
    <w:rsid w:val="006F6403"/>
    <w:rsid w:val="006F6FEC"/>
    <w:rsid w:val="006F7D8B"/>
    <w:rsid w:val="006F7FCE"/>
    <w:rsid w:val="007002EB"/>
    <w:rsid w:val="00700BA1"/>
    <w:rsid w:val="00701396"/>
    <w:rsid w:val="00701967"/>
    <w:rsid w:val="0070202A"/>
    <w:rsid w:val="00702984"/>
    <w:rsid w:val="00703307"/>
    <w:rsid w:val="007034B7"/>
    <w:rsid w:val="00703784"/>
    <w:rsid w:val="0070389A"/>
    <w:rsid w:val="007039A0"/>
    <w:rsid w:val="00703B65"/>
    <w:rsid w:val="00703EDD"/>
    <w:rsid w:val="007047F9"/>
    <w:rsid w:val="007052A9"/>
    <w:rsid w:val="007054DE"/>
    <w:rsid w:val="007055CE"/>
    <w:rsid w:val="00706845"/>
    <w:rsid w:val="0070772C"/>
    <w:rsid w:val="00712786"/>
    <w:rsid w:val="007154F9"/>
    <w:rsid w:val="00716A35"/>
    <w:rsid w:val="00717465"/>
    <w:rsid w:val="00717567"/>
    <w:rsid w:val="00717C70"/>
    <w:rsid w:val="0072162C"/>
    <w:rsid w:val="007220CE"/>
    <w:rsid w:val="007230F3"/>
    <w:rsid w:val="0072560C"/>
    <w:rsid w:val="00725F11"/>
    <w:rsid w:val="0072621B"/>
    <w:rsid w:val="00727434"/>
    <w:rsid w:val="00727503"/>
    <w:rsid w:val="00730B77"/>
    <w:rsid w:val="007316DD"/>
    <w:rsid w:val="007321E1"/>
    <w:rsid w:val="00733691"/>
    <w:rsid w:val="0073427B"/>
    <w:rsid w:val="00734BFF"/>
    <w:rsid w:val="00734E07"/>
    <w:rsid w:val="0073548D"/>
    <w:rsid w:val="00736BCC"/>
    <w:rsid w:val="00736FC7"/>
    <w:rsid w:val="00737B0C"/>
    <w:rsid w:val="00737B8F"/>
    <w:rsid w:val="00737F71"/>
    <w:rsid w:val="007404CA"/>
    <w:rsid w:val="00740C51"/>
    <w:rsid w:val="0074169E"/>
    <w:rsid w:val="0074193E"/>
    <w:rsid w:val="00742B9D"/>
    <w:rsid w:val="00742EB3"/>
    <w:rsid w:val="00743BEC"/>
    <w:rsid w:val="00743DAF"/>
    <w:rsid w:val="00743E16"/>
    <w:rsid w:val="00744214"/>
    <w:rsid w:val="00746992"/>
    <w:rsid w:val="007473AC"/>
    <w:rsid w:val="0074785B"/>
    <w:rsid w:val="00750473"/>
    <w:rsid w:val="00750A3A"/>
    <w:rsid w:val="00750DAF"/>
    <w:rsid w:val="007510BC"/>
    <w:rsid w:val="007510C4"/>
    <w:rsid w:val="007510E8"/>
    <w:rsid w:val="0075124C"/>
    <w:rsid w:val="007536FA"/>
    <w:rsid w:val="00753E6C"/>
    <w:rsid w:val="00754506"/>
    <w:rsid w:val="0075674A"/>
    <w:rsid w:val="00757534"/>
    <w:rsid w:val="00757AEE"/>
    <w:rsid w:val="00757D59"/>
    <w:rsid w:val="00761488"/>
    <w:rsid w:val="0076170A"/>
    <w:rsid w:val="00761AE4"/>
    <w:rsid w:val="00761AF9"/>
    <w:rsid w:val="007626CF"/>
    <w:rsid w:val="00763D8C"/>
    <w:rsid w:val="00764198"/>
    <w:rsid w:val="00764595"/>
    <w:rsid w:val="0076564D"/>
    <w:rsid w:val="0076636D"/>
    <w:rsid w:val="007663C6"/>
    <w:rsid w:val="007668C5"/>
    <w:rsid w:val="00767177"/>
    <w:rsid w:val="0076790C"/>
    <w:rsid w:val="00767BFA"/>
    <w:rsid w:val="00770B69"/>
    <w:rsid w:val="00770E45"/>
    <w:rsid w:val="0077100B"/>
    <w:rsid w:val="00771EB8"/>
    <w:rsid w:val="007729FE"/>
    <w:rsid w:val="00772E4D"/>
    <w:rsid w:val="00772F04"/>
    <w:rsid w:val="007734E0"/>
    <w:rsid w:val="00773EAA"/>
    <w:rsid w:val="007742F0"/>
    <w:rsid w:val="00774DBD"/>
    <w:rsid w:val="00775454"/>
    <w:rsid w:val="00775DBE"/>
    <w:rsid w:val="00776C85"/>
    <w:rsid w:val="00777A96"/>
    <w:rsid w:val="00777C6C"/>
    <w:rsid w:val="00777CAB"/>
    <w:rsid w:val="00777E88"/>
    <w:rsid w:val="007813CB"/>
    <w:rsid w:val="00781E28"/>
    <w:rsid w:val="00782615"/>
    <w:rsid w:val="00782CF3"/>
    <w:rsid w:val="00782EBD"/>
    <w:rsid w:val="007835DE"/>
    <w:rsid w:val="00784880"/>
    <w:rsid w:val="00784C2E"/>
    <w:rsid w:val="007851ED"/>
    <w:rsid w:val="00785F34"/>
    <w:rsid w:val="007872D1"/>
    <w:rsid w:val="00787E4C"/>
    <w:rsid w:val="0079021B"/>
    <w:rsid w:val="00790F4F"/>
    <w:rsid w:val="00791018"/>
    <w:rsid w:val="00792A92"/>
    <w:rsid w:val="00792E21"/>
    <w:rsid w:val="00793DB9"/>
    <w:rsid w:val="007948FD"/>
    <w:rsid w:val="00794F82"/>
    <w:rsid w:val="00795052"/>
    <w:rsid w:val="00797D1A"/>
    <w:rsid w:val="007A06D3"/>
    <w:rsid w:val="007A0B0B"/>
    <w:rsid w:val="007A142A"/>
    <w:rsid w:val="007A14F0"/>
    <w:rsid w:val="007A159F"/>
    <w:rsid w:val="007A1F1B"/>
    <w:rsid w:val="007A2E49"/>
    <w:rsid w:val="007A45F4"/>
    <w:rsid w:val="007A4940"/>
    <w:rsid w:val="007A4D39"/>
    <w:rsid w:val="007A528C"/>
    <w:rsid w:val="007A539A"/>
    <w:rsid w:val="007A54CE"/>
    <w:rsid w:val="007A5EC3"/>
    <w:rsid w:val="007A6684"/>
    <w:rsid w:val="007A694C"/>
    <w:rsid w:val="007A70FE"/>
    <w:rsid w:val="007B0542"/>
    <w:rsid w:val="007B1410"/>
    <w:rsid w:val="007B2050"/>
    <w:rsid w:val="007B5C4C"/>
    <w:rsid w:val="007B6819"/>
    <w:rsid w:val="007B7695"/>
    <w:rsid w:val="007B7957"/>
    <w:rsid w:val="007C1161"/>
    <w:rsid w:val="007C1378"/>
    <w:rsid w:val="007C14DE"/>
    <w:rsid w:val="007C4AD7"/>
    <w:rsid w:val="007C5351"/>
    <w:rsid w:val="007C5AA8"/>
    <w:rsid w:val="007C678E"/>
    <w:rsid w:val="007C6B29"/>
    <w:rsid w:val="007C6BC4"/>
    <w:rsid w:val="007C6D55"/>
    <w:rsid w:val="007C7014"/>
    <w:rsid w:val="007D0F5E"/>
    <w:rsid w:val="007D1246"/>
    <w:rsid w:val="007D23D9"/>
    <w:rsid w:val="007D291A"/>
    <w:rsid w:val="007D3AF3"/>
    <w:rsid w:val="007D584D"/>
    <w:rsid w:val="007D5F6A"/>
    <w:rsid w:val="007D7253"/>
    <w:rsid w:val="007D75CB"/>
    <w:rsid w:val="007D7A9B"/>
    <w:rsid w:val="007E0335"/>
    <w:rsid w:val="007E1387"/>
    <w:rsid w:val="007E1DF0"/>
    <w:rsid w:val="007E1F2B"/>
    <w:rsid w:val="007E1FCA"/>
    <w:rsid w:val="007E3DA3"/>
    <w:rsid w:val="007E4202"/>
    <w:rsid w:val="007E5AA0"/>
    <w:rsid w:val="007E6139"/>
    <w:rsid w:val="007E626A"/>
    <w:rsid w:val="007E6B97"/>
    <w:rsid w:val="007E76F8"/>
    <w:rsid w:val="007E7CA0"/>
    <w:rsid w:val="007F0441"/>
    <w:rsid w:val="007F0788"/>
    <w:rsid w:val="007F30FF"/>
    <w:rsid w:val="007F31D1"/>
    <w:rsid w:val="007F3CF9"/>
    <w:rsid w:val="007F4A19"/>
    <w:rsid w:val="007F4AF6"/>
    <w:rsid w:val="007F4D73"/>
    <w:rsid w:val="007F6511"/>
    <w:rsid w:val="007F67D4"/>
    <w:rsid w:val="00800818"/>
    <w:rsid w:val="008009E2"/>
    <w:rsid w:val="0080188F"/>
    <w:rsid w:val="00802B65"/>
    <w:rsid w:val="008031E2"/>
    <w:rsid w:val="0080320B"/>
    <w:rsid w:val="00803FCB"/>
    <w:rsid w:val="008051FE"/>
    <w:rsid w:val="0080616F"/>
    <w:rsid w:val="0081193A"/>
    <w:rsid w:val="00811B6E"/>
    <w:rsid w:val="008120A0"/>
    <w:rsid w:val="008123C0"/>
    <w:rsid w:val="0081271A"/>
    <w:rsid w:val="0081286E"/>
    <w:rsid w:val="00812D28"/>
    <w:rsid w:val="00812D51"/>
    <w:rsid w:val="00812FDA"/>
    <w:rsid w:val="00813338"/>
    <w:rsid w:val="00813D13"/>
    <w:rsid w:val="00813DAD"/>
    <w:rsid w:val="00814A09"/>
    <w:rsid w:val="00815020"/>
    <w:rsid w:val="00815450"/>
    <w:rsid w:val="008156FB"/>
    <w:rsid w:val="00815ABA"/>
    <w:rsid w:val="00815CB2"/>
    <w:rsid w:val="00815E79"/>
    <w:rsid w:val="008173C5"/>
    <w:rsid w:val="008206AB"/>
    <w:rsid w:val="008215BF"/>
    <w:rsid w:val="00821690"/>
    <w:rsid w:val="008220D1"/>
    <w:rsid w:val="008225CC"/>
    <w:rsid w:val="0082294E"/>
    <w:rsid w:val="00825A6A"/>
    <w:rsid w:val="00825B46"/>
    <w:rsid w:val="00826657"/>
    <w:rsid w:val="008267EB"/>
    <w:rsid w:val="008268F8"/>
    <w:rsid w:val="008273A9"/>
    <w:rsid w:val="00827408"/>
    <w:rsid w:val="00827936"/>
    <w:rsid w:val="008301BF"/>
    <w:rsid w:val="0083063E"/>
    <w:rsid w:val="00830B89"/>
    <w:rsid w:val="00832C26"/>
    <w:rsid w:val="008333B1"/>
    <w:rsid w:val="008333FC"/>
    <w:rsid w:val="008348E8"/>
    <w:rsid w:val="00834C09"/>
    <w:rsid w:val="00834F5B"/>
    <w:rsid w:val="008355CD"/>
    <w:rsid w:val="00835852"/>
    <w:rsid w:val="00835BF9"/>
    <w:rsid w:val="0083606F"/>
    <w:rsid w:val="008360AB"/>
    <w:rsid w:val="00840940"/>
    <w:rsid w:val="00841082"/>
    <w:rsid w:val="00841C41"/>
    <w:rsid w:val="00842F9D"/>
    <w:rsid w:val="008438CF"/>
    <w:rsid w:val="00844615"/>
    <w:rsid w:val="008454B2"/>
    <w:rsid w:val="008455A6"/>
    <w:rsid w:val="00847883"/>
    <w:rsid w:val="008506AC"/>
    <w:rsid w:val="008509DB"/>
    <w:rsid w:val="008519F1"/>
    <w:rsid w:val="00852652"/>
    <w:rsid w:val="008529C5"/>
    <w:rsid w:val="00852DBE"/>
    <w:rsid w:val="008530A7"/>
    <w:rsid w:val="00853FE6"/>
    <w:rsid w:val="00854056"/>
    <w:rsid w:val="00854326"/>
    <w:rsid w:val="00854747"/>
    <w:rsid w:val="00854861"/>
    <w:rsid w:val="00855BC3"/>
    <w:rsid w:val="00856E4A"/>
    <w:rsid w:val="0085749A"/>
    <w:rsid w:val="00857FC3"/>
    <w:rsid w:val="00861086"/>
    <w:rsid w:val="008610AB"/>
    <w:rsid w:val="008610E3"/>
    <w:rsid w:val="00861134"/>
    <w:rsid w:val="00861408"/>
    <w:rsid w:val="008616D9"/>
    <w:rsid w:val="00861994"/>
    <w:rsid w:val="00861C6E"/>
    <w:rsid w:val="00862D4A"/>
    <w:rsid w:val="00864D5A"/>
    <w:rsid w:val="00865177"/>
    <w:rsid w:val="008653DE"/>
    <w:rsid w:val="00865503"/>
    <w:rsid w:val="008657D4"/>
    <w:rsid w:val="0086631B"/>
    <w:rsid w:val="008664F8"/>
    <w:rsid w:val="0086672B"/>
    <w:rsid w:val="0086679B"/>
    <w:rsid w:val="00866AED"/>
    <w:rsid w:val="00867073"/>
    <w:rsid w:val="008678DF"/>
    <w:rsid w:val="00867A07"/>
    <w:rsid w:val="0087081C"/>
    <w:rsid w:val="0087106E"/>
    <w:rsid w:val="00871677"/>
    <w:rsid w:val="00871B12"/>
    <w:rsid w:val="00871F7A"/>
    <w:rsid w:val="00872126"/>
    <w:rsid w:val="00872721"/>
    <w:rsid w:val="008729D5"/>
    <w:rsid w:val="00872AF5"/>
    <w:rsid w:val="00872BA3"/>
    <w:rsid w:val="00874441"/>
    <w:rsid w:val="008752A8"/>
    <w:rsid w:val="00875D9D"/>
    <w:rsid w:val="00876153"/>
    <w:rsid w:val="00877643"/>
    <w:rsid w:val="00877EB9"/>
    <w:rsid w:val="0088048E"/>
    <w:rsid w:val="00880569"/>
    <w:rsid w:val="00880650"/>
    <w:rsid w:val="008814EE"/>
    <w:rsid w:val="0088250D"/>
    <w:rsid w:val="00882679"/>
    <w:rsid w:val="0088277A"/>
    <w:rsid w:val="00882F63"/>
    <w:rsid w:val="00883245"/>
    <w:rsid w:val="008834AE"/>
    <w:rsid w:val="00883F78"/>
    <w:rsid w:val="00884C6D"/>
    <w:rsid w:val="00885438"/>
    <w:rsid w:val="00885BB7"/>
    <w:rsid w:val="00885C74"/>
    <w:rsid w:val="00885EBC"/>
    <w:rsid w:val="0088696D"/>
    <w:rsid w:val="0088751B"/>
    <w:rsid w:val="00887C0A"/>
    <w:rsid w:val="00887C6A"/>
    <w:rsid w:val="00887DBD"/>
    <w:rsid w:val="00887FB8"/>
    <w:rsid w:val="0089027D"/>
    <w:rsid w:val="008904DF"/>
    <w:rsid w:val="008911B2"/>
    <w:rsid w:val="00891509"/>
    <w:rsid w:val="008918E1"/>
    <w:rsid w:val="00892869"/>
    <w:rsid w:val="00892A3A"/>
    <w:rsid w:val="00892D7A"/>
    <w:rsid w:val="0089361F"/>
    <w:rsid w:val="00893638"/>
    <w:rsid w:val="00893D94"/>
    <w:rsid w:val="0089402B"/>
    <w:rsid w:val="008951AF"/>
    <w:rsid w:val="00895341"/>
    <w:rsid w:val="00896498"/>
    <w:rsid w:val="00896C29"/>
    <w:rsid w:val="00897FBB"/>
    <w:rsid w:val="008A0095"/>
    <w:rsid w:val="008A1941"/>
    <w:rsid w:val="008A1985"/>
    <w:rsid w:val="008A1C2B"/>
    <w:rsid w:val="008A1F2D"/>
    <w:rsid w:val="008A24D1"/>
    <w:rsid w:val="008A2895"/>
    <w:rsid w:val="008A2B1D"/>
    <w:rsid w:val="008A2E27"/>
    <w:rsid w:val="008A3540"/>
    <w:rsid w:val="008A545B"/>
    <w:rsid w:val="008A54BD"/>
    <w:rsid w:val="008A6E16"/>
    <w:rsid w:val="008B0518"/>
    <w:rsid w:val="008B0DC0"/>
    <w:rsid w:val="008B175C"/>
    <w:rsid w:val="008B1BAF"/>
    <w:rsid w:val="008B20CF"/>
    <w:rsid w:val="008B2112"/>
    <w:rsid w:val="008B3D50"/>
    <w:rsid w:val="008B44D7"/>
    <w:rsid w:val="008B51A5"/>
    <w:rsid w:val="008B5486"/>
    <w:rsid w:val="008B5644"/>
    <w:rsid w:val="008B5DFA"/>
    <w:rsid w:val="008B6941"/>
    <w:rsid w:val="008B6F29"/>
    <w:rsid w:val="008B7959"/>
    <w:rsid w:val="008C0D41"/>
    <w:rsid w:val="008C16C0"/>
    <w:rsid w:val="008C25A6"/>
    <w:rsid w:val="008C305A"/>
    <w:rsid w:val="008C4591"/>
    <w:rsid w:val="008C4D27"/>
    <w:rsid w:val="008C4F10"/>
    <w:rsid w:val="008C540A"/>
    <w:rsid w:val="008C741F"/>
    <w:rsid w:val="008D030D"/>
    <w:rsid w:val="008D06B0"/>
    <w:rsid w:val="008D12AB"/>
    <w:rsid w:val="008D1CD0"/>
    <w:rsid w:val="008D2234"/>
    <w:rsid w:val="008D27A8"/>
    <w:rsid w:val="008D3AED"/>
    <w:rsid w:val="008D3E90"/>
    <w:rsid w:val="008D43A4"/>
    <w:rsid w:val="008D4545"/>
    <w:rsid w:val="008D5224"/>
    <w:rsid w:val="008D5E8F"/>
    <w:rsid w:val="008D60D2"/>
    <w:rsid w:val="008D67F8"/>
    <w:rsid w:val="008D6C61"/>
    <w:rsid w:val="008D6E47"/>
    <w:rsid w:val="008D7064"/>
    <w:rsid w:val="008D7444"/>
    <w:rsid w:val="008E0309"/>
    <w:rsid w:val="008E0608"/>
    <w:rsid w:val="008E07C7"/>
    <w:rsid w:val="008E12E0"/>
    <w:rsid w:val="008E1A88"/>
    <w:rsid w:val="008E1CF3"/>
    <w:rsid w:val="008E22D8"/>
    <w:rsid w:val="008E2C7B"/>
    <w:rsid w:val="008E2D14"/>
    <w:rsid w:val="008E312B"/>
    <w:rsid w:val="008E3BD9"/>
    <w:rsid w:val="008E3D39"/>
    <w:rsid w:val="008E4090"/>
    <w:rsid w:val="008E4A94"/>
    <w:rsid w:val="008E55C6"/>
    <w:rsid w:val="008E5FF8"/>
    <w:rsid w:val="008E6233"/>
    <w:rsid w:val="008E647E"/>
    <w:rsid w:val="008E7214"/>
    <w:rsid w:val="008E7288"/>
    <w:rsid w:val="008F0528"/>
    <w:rsid w:val="008F1CF3"/>
    <w:rsid w:val="008F1F97"/>
    <w:rsid w:val="008F2E8B"/>
    <w:rsid w:val="008F38DE"/>
    <w:rsid w:val="008F5A0A"/>
    <w:rsid w:val="008F5DAE"/>
    <w:rsid w:val="008F5EA1"/>
    <w:rsid w:val="008F5ED7"/>
    <w:rsid w:val="008F6560"/>
    <w:rsid w:val="008F6D2E"/>
    <w:rsid w:val="008F79A7"/>
    <w:rsid w:val="008F7B45"/>
    <w:rsid w:val="008F7DAD"/>
    <w:rsid w:val="008F7E68"/>
    <w:rsid w:val="008F7FEC"/>
    <w:rsid w:val="00900FE2"/>
    <w:rsid w:val="009011D4"/>
    <w:rsid w:val="0090169B"/>
    <w:rsid w:val="00901787"/>
    <w:rsid w:val="009018EE"/>
    <w:rsid w:val="00902C48"/>
    <w:rsid w:val="00903E0F"/>
    <w:rsid w:val="00904AC7"/>
    <w:rsid w:val="00904B20"/>
    <w:rsid w:val="009074F3"/>
    <w:rsid w:val="00910122"/>
    <w:rsid w:val="00910B74"/>
    <w:rsid w:val="00910BC6"/>
    <w:rsid w:val="00910EB2"/>
    <w:rsid w:val="00911C32"/>
    <w:rsid w:val="009126DE"/>
    <w:rsid w:val="009127A9"/>
    <w:rsid w:val="00912BEE"/>
    <w:rsid w:val="00912F22"/>
    <w:rsid w:val="0091335A"/>
    <w:rsid w:val="009144CC"/>
    <w:rsid w:val="00914CEC"/>
    <w:rsid w:val="009152B6"/>
    <w:rsid w:val="00915334"/>
    <w:rsid w:val="009153B8"/>
    <w:rsid w:val="009156EE"/>
    <w:rsid w:val="0091590B"/>
    <w:rsid w:val="009203E4"/>
    <w:rsid w:val="009205AA"/>
    <w:rsid w:val="00921151"/>
    <w:rsid w:val="009213E9"/>
    <w:rsid w:val="0092155A"/>
    <w:rsid w:val="00921C6D"/>
    <w:rsid w:val="0092211A"/>
    <w:rsid w:val="00922F49"/>
    <w:rsid w:val="00922F82"/>
    <w:rsid w:val="00923BE1"/>
    <w:rsid w:val="00926C59"/>
    <w:rsid w:val="0092788B"/>
    <w:rsid w:val="00927AB0"/>
    <w:rsid w:val="00927C32"/>
    <w:rsid w:val="00930397"/>
    <w:rsid w:val="009310BD"/>
    <w:rsid w:val="00933DCB"/>
    <w:rsid w:val="0093444A"/>
    <w:rsid w:val="00934DDA"/>
    <w:rsid w:val="00934E10"/>
    <w:rsid w:val="0093558A"/>
    <w:rsid w:val="00935808"/>
    <w:rsid w:val="009358AB"/>
    <w:rsid w:val="00935FDB"/>
    <w:rsid w:val="009364E8"/>
    <w:rsid w:val="00936610"/>
    <w:rsid w:val="00936829"/>
    <w:rsid w:val="00936874"/>
    <w:rsid w:val="00937180"/>
    <w:rsid w:val="009374EE"/>
    <w:rsid w:val="00937EE9"/>
    <w:rsid w:val="00940226"/>
    <w:rsid w:val="00941872"/>
    <w:rsid w:val="00941B05"/>
    <w:rsid w:val="00941D4A"/>
    <w:rsid w:val="009426EF"/>
    <w:rsid w:val="00943A8E"/>
    <w:rsid w:val="00943CBE"/>
    <w:rsid w:val="009441D9"/>
    <w:rsid w:val="00945AAE"/>
    <w:rsid w:val="00945EB5"/>
    <w:rsid w:val="00950A92"/>
    <w:rsid w:val="00950AB6"/>
    <w:rsid w:val="00951358"/>
    <w:rsid w:val="00951389"/>
    <w:rsid w:val="009525CD"/>
    <w:rsid w:val="009528EE"/>
    <w:rsid w:val="00952DCE"/>
    <w:rsid w:val="00952E91"/>
    <w:rsid w:val="00953AAC"/>
    <w:rsid w:val="00953C6E"/>
    <w:rsid w:val="00954490"/>
    <w:rsid w:val="00955B27"/>
    <w:rsid w:val="009560B9"/>
    <w:rsid w:val="00956306"/>
    <w:rsid w:val="00960E87"/>
    <w:rsid w:val="0096109A"/>
    <w:rsid w:val="009610D1"/>
    <w:rsid w:val="00961173"/>
    <w:rsid w:val="00962EA0"/>
    <w:rsid w:val="0096366E"/>
    <w:rsid w:val="00963EC9"/>
    <w:rsid w:val="0096410A"/>
    <w:rsid w:val="00964695"/>
    <w:rsid w:val="009647A7"/>
    <w:rsid w:val="00964ABF"/>
    <w:rsid w:val="00964E4B"/>
    <w:rsid w:val="00965655"/>
    <w:rsid w:val="009657D4"/>
    <w:rsid w:val="00965C2C"/>
    <w:rsid w:val="00965CA7"/>
    <w:rsid w:val="00965E2E"/>
    <w:rsid w:val="009678A9"/>
    <w:rsid w:val="00967A6A"/>
    <w:rsid w:val="00967C8A"/>
    <w:rsid w:val="00967D65"/>
    <w:rsid w:val="00970282"/>
    <w:rsid w:val="009716A2"/>
    <w:rsid w:val="00972CFA"/>
    <w:rsid w:val="0097353F"/>
    <w:rsid w:val="00974883"/>
    <w:rsid w:val="009751E2"/>
    <w:rsid w:val="00975337"/>
    <w:rsid w:val="0097654C"/>
    <w:rsid w:val="00977159"/>
    <w:rsid w:val="00977FC9"/>
    <w:rsid w:val="00980574"/>
    <w:rsid w:val="00980655"/>
    <w:rsid w:val="00980FC7"/>
    <w:rsid w:val="00981CEE"/>
    <w:rsid w:val="00982491"/>
    <w:rsid w:val="00983457"/>
    <w:rsid w:val="00983471"/>
    <w:rsid w:val="00983783"/>
    <w:rsid w:val="009840BE"/>
    <w:rsid w:val="0098470F"/>
    <w:rsid w:val="00984EB2"/>
    <w:rsid w:val="00985642"/>
    <w:rsid w:val="00986210"/>
    <w:rsid w:val="00986B6D"/>
    <w:rsid w:val="00986BCD"/>
    <w:rsid w:val="00987362"/>
    <w:rsid w:val="009873A7"/>
    <w:rsid w:val="00987A10"/>
    <w:rsid w:val="009908D3"/>
    <w:rsid w:val="009917AE"/>
    <w:rsid w:val="0099254D"/>
    <w:rsid w:val="00992D21"/>
    <w:rsid w:val="009937B0"/>
    <w:rsid w:val="009944B3"/>
    <w:rsid w:val="00994CBF"/>
    <w:rsid w:val="00994EF6"/>
    <w:rsid w:val="00995FB7"/>
    <w:rsid w:val="00996FC4"/>
    <w:rsid w:val="00997CDB"/>
    <w:rsid w:val="009A0183"/>
    <w:rsid w:val="009A05CD"/>
    <w:rsid w:val="009A05EE"/>
    <w:rsid w:val="009A0957"/>
    <w:rsid w:val="009A1B07"/>
    <w:rsid w:val="009A1EA6"/>
    <w:rsid w:val="009A1F8B"/>
    <w:rsid w:val="009A2788"/>
    <w:rsid w:val="009A2B78"/>
    <w:rsid w:val="009A2D20"/>
    <w:rsid w:val="009A35E2"/>
    <w:rsid w:val="009A3E32"/>
    <w:rsid w:val="009A47B8"/>
    <w:rsid w:val="009A4911"/>
    <w:rsid w:val="009A5F5C"/>
    <w:rsid w:val="009A6422"/>
    <w:rsid w:val="009A66A3"/>
    <w:rsid w:val="009A6808"/>
    <w:rsid w:val="009A7703"/>
    <w:rsid w:val="009A772E"/>
    <w:rsid w:val="009B0CCF"/>
    <w:rsid w:val="009B0E1F"/>
    <w:rsid w:val="009B1925"/>
    <w:rsid w:val="009B21F5"/>
    <w:rsid w:val="009B222A"/>
    <w:rsid w:val="009B41FC"/>
    <w:rsid w:val="009B42DC"/>
    <w:rsid w:val="009B55D3"/>
    <w:rsid w:val="009B635F"/>
    <w:rsid w:val="009B68FE"/>
    <w:rsid w:val="009B6EEB"/>
    <w:rsid w:val="009B7063"/>
    <w:rsid w:val="009B7D6F"/>
    <w:rsid w:val="009B7E72"/>
    <w:rsid w:val="009C0630"/>
    <w:rsid w:val="009C06A8"/>
    <w:rsid w:val="009C0A0D"/>
    <w:rsid w:val="009C1CEC"/>
    <w:rsid w:val="009C2858"/>
    <w:rsid w:val="009C314A"/>
    <w:rsid w:val="009C3787"/>
    <w:rsid w:val="009C411B"/>
    <w:rsid w:val="009C4307"/>
    <w:rsid w:val="009C49FD"/>
    <w:rsid w:val="009C4E21"/>
    <w:rsid w:val="009C4E52"/>
    <w:rsid w:val="009C549E"/>
    <w:rsid w:val="009C6610"/>
    <w:rsid w:val="009C6BCF"/>
    <w:rsid w:val="009C7902"/>
    <w:rsid w:val="009D1462"/>
    <w:rsid w:val="009D2976"/>
    <w:rsid w:val="009D3067"/>
    <w:rsid w:val="009D30C5"/>
    <w:rsid w:val="009D4B0C"/>
    <w:rsid w:val="009D4E08"/>
    <w:rsid w:val="009D50A0"/>
    <w:rsid w:val="009D6CDF"/>
    <w:rsid w:val="009D7CBD"/>
    <w:rsid w:val="009E1AF3"/>
    <w:rsid w:val="009E1B57"/>
    <w:rsid w:val="009E2231"/>
    <w:rsid w:val="009E24F8"/>
    <w:rsid w:val="009E2FD2"/>
    <w:rsid w:val="009E34F7"/>
    <w:rsid w:val="009E3F71"/>
    <w:rsid w:val="009E40ED"/>
    <w:rsid w:val="009E4982"/>
    <w:rsid w:val="009E4D39"/>
    <w:rsid w:val="009E4F5E"/>
    <w:rsid w:val="009E58D8"/>
    <w:rsid w:val="009E5C50"/>
    <w:rsid w:val="009E6245"/>
    <w:rsid w:val="009E6329"/>
    <w:rsid w:val="009E67A0"/>
    <w:rsid w:val="009F00EB"/>
    <w:rsid w:val="009F0234"/>
    <w:rsid w:val="009F1F61"/>
    <w:rsid w:val="009F347A"/>
    <w:rsid w:val="009F403D"/>
    <w:rsid w:val="009F4B09"/>
    <w:rsid w:val="009F4D85"/>
    <w:rsid w:val="009F4F53"/>
    <w:rsid w:val="009F5C16"/>
    <w:rsid w:val="009F5C74"/>
    <w:rsid w:val="009F6443"/>
    <w:rsid w:val="009F69EA"/>
    <w:rsid w:val="009F7646"/>
    <w:rsid w:val="00A001BE"/>
    <w:rsid w:val="00A01674"/>
    <w:rsid w:val="00A02175"/>
    <w:rsid w:val="00A02F00"/>
    <w:rsid w:val="00A03960"/>
    <w:rsid w:val="00A03D48"/>
    <w:rsid w:val="00A03FAF"/>
    <w:rsid w:val="00A040C8"/>
    <w:rsid w:val="00A0485C"/>
    <w:rsid w:val="00A04DD4"/>
    <w:rsid w:val="00A05B48"/>
    <w:rsid w:val="00A05B7C"/>
    <w:rsid w:val="00A0643F"/>
    <w:rsid w:val="00A07402"/>
    <w:rsid w:val="00A07EBE"/>
    <w:rsid w:val="00A104A6"/>
    <w:rsid w:val="00A11337"/>
    <w:rsid w:val="00A1188D"/>
    <w:rsid w:val="00A11A77"/>
    <w:rsid w:val="00A11FF1"/>
    <w:rsid w:val="00A12CDB"/>
    <w:rsid w:val="00A14162"/>
    <w:rsid w:val="00A14817"/>
    <w:rsid w:val="00A148FD"/>
    <w:rsid w:val="00A14928"/>
    <w:rsid w:val="00A15EF9"/>
    <w:rsid w:val="00A17464"/>
    <w:rsid w:val="00A17AF8"/>
    <w:rsid w:val="00A20A20"/>
    <w:rsid w:val="00A2218E"/>
    <w:rsid w:val="00A228AD"/>
    <w:rsid w:val="00A22E0F"/>
    <w:rsid w:val="00A235DE"/>
    <w:rsid w:val="00A23EB8"/>
    <w:rsid w:val="00A241C6"/>
    <w:rsid w:val="00A2463F"/>
    <w:rsid w:val="00A24887"/>
    <w:rsid w:val="00A25DC6"/>
    <w:rsid w:val="00A2644D"/>
    <w:rsid w:val="00A26BAE"/>
    <w:rsid w:val="00A27110"/>
    <w:rsid w:val="00A27BFC"/>
    <w:rsid w:val="00A308E7"/>
    <w:rsid w:val="00A314BB"/>
    <w:rsid w:val="00A31DD2"/>
    <w:rsid w:val="00A3207A"/>
    <w:rsid w:val="00A324D5"/>
    <w:rsid w:val="00A33B84"/>
    <w:rsid w:val="00A341C1"/>
    <w:rsid w:val="00A34887"/>
    <w:rsid w:val="00A35402"/>
    <w:rsid w:val="00A35CB8"/>
    <w:rsid w:val="00A36209"/>
    <w:rsid w:val="00A36A4B"/>
    <w:rsid w:val="00A37A4E"/>
    <w:rsid w:val="00A37E6A"/>
    <w:rsid w:val="00A402AC"/>
    <w:rsid w:val="00A41A14"/>
    <w:rsid w:val="00A41E1B"/>
    <w:rsid w:val="00A41EDB"/>
    <w:rsid w:val="00A420E9"/>
    <w:rsid w:val="00A43430"/>
    <w:rsid w:val="00A43768"/>
    <w:rsid w:val="00A43F86"/>
    <w:rsid w:val="00A44092"/>
    <w:rsid w:val="00A440DF"/>
    <w:rsid w:val="00A446BC"/>
    <w:rsid w:val="00A44EC6"/>
    <w:rsid w:val="00A45E98"/>
    <w:rsid w:val="00A4600E"/>
    <w:rsid w:val="00A464C4"/>
    <w:rsid w:val="00A46812"/>
    <w:rsid w:val="00A46B80"/>
    <w:rsid w:val="00A47E03"/>
    <w:rsid w:val="00A50306"/>
    <w:rsid w:val="00A510C2"/>
    <w:rsid w:val="00A51110"/>
    <w:rsid w:val="00A523A5"/>
    <w:rsid w:val="00A5336F"/>
    <w:rsid w:val="00A53AC6"/>
    <w:rsid w:val="00A53AE0"/>
    <w:rsid w:val="00A53B31"/>
    <w:rsid w:val="00A549A3"/>
    <w:rsid w:val="00A54AAC"/>
    <w:rsid w:val="00A54AD7"/>
    <w:rsid w:val="00A54CEE"/>
    <w:rsid w:val="00A54F81"/>
    <w:rsid w:val="00A558FF"/>
    <w:rsid w:val="00A56435"/>
    <w:rsid w:val="00A56750"/>
    <w:rsid w:val="00A56CB8"/>
    <w:rsid w:val="00A56F2F"/>
    <w:rsid w:val="00A57C96"/>
    <w:rsid w:val="00A6006B"/>
    <w:rsid w:val="00A601B4"/>
    <w:rsid w:val="00A603B4"/>
    <w:rsid w:val="00A608B3"/>
    <w:rsid w:val="00A614A2"/>
    <w:rsid w:val="00A61FA3"/>
    <w:rsid w:val="00A62126"/>
    <w:rsid w:val="00A62D0A"/>
    <w:rsid w:val="00A641E8"/>
    <w:rsid w:val="00A64447"/>
    <w:rsid w:val="00A6583F"/>
    <w:rsid w:val="00A65874"/>
    <w:rsid w:val="00A65EBE"/>
    <w:rsid w:val="00A66824"/>
    <w:rsid w:val="00A67FB3"/>
    <w:rsid w:val="00A700DB"/>
    <w:rsid w:val="00A707CE"/>
    <w:rsid w:val="00A70875"/>
    <w:rsid w:val="00A70CF7"/>
    <w:rsid w:val="00A70E6B"/>
    <w:rsid w:val="00A7180E"/>
    <w:rsid w:val="00A71ABC"/>
    <w:rsid w:val="00A72F49"/>
    <w:rsid w:val="00A73F46"/>
    <w:rsid w:val="00A7401F"/>
    <w:rsid w:val="00A751A4"/>
    <w:rsid w:val="00A758F4"/>
    <w:rsid w:val="00A80190"/>
    <w:rsid w:val="00A80B94"/>
    <w:rsid w:val="00A80DD5"/>
    <w:rsid w:val="00A81223"/>
    <w:rsid w:val="00A8294A"/>
    <w:rsid w:val="00A829AA"/>
    <w:rsid w:val="00A85593"/>
    <w:rsid w:val="00A85916"/>
    <w:rsid w:val="00A860EE"/>
    <w:rsid w:val="00A902DE"/>
    <w:rsid w:val="00A919C8"/>
    <w:rsid w:val="00A91AE5"/>
    <w:rsid w:val="00A92183"/>
    <w:rsid w:val="00A93341"/>
    <w:rsid w:val="00A94111"/>
    <w:rsid w:val="00A94132"/>
    <w:rsid w:val="00A94E40"/>
    <w:rsid w:val="00A95683"/>
    <w:rsid w:val="00A95B90"/>
    <w:rsid w:val="00A95D14"/>
    <w:rsid w:val="00A95E4E"/>
    <w:rsid w:val="00A96449"/>
    <w:rsid w:val="00A96611"/>
    <w:rsid w:val="00A970C1"/>
    <w:rsid w:val="00AA0392"/>
    <w:rsid w:val="00AA1B46"/>
    <w:rsid w:val="00AA1E88"/>
    <w:rsid w:val="00AA2D1B"/>
    <w:rsid w:val="00AA2FF6"/>
    <w:rsid w:val="00AA3C81"/>
    <w:rsid w:val="00AA4BBB"/>
    <w:rsid w:val="00AA55FE"/>
    <w:rsid w:val="00AA5619"/>
    <w:rsid w:val="00AA63AE"/>
    <w:rsid w:val="00AA672D"/>
    <w:rsid w:val="00AA6FEB"/>
    <w:rsid w:val="00AA7379"/>
    <w:rsid w:val="00AB0E0B"/>
    <w:rsid w:val="00AB1453"/>
    <w:rsid w:val="00AB18B3"/>
    <w:rsid w:val="00AB1D1C"/>
    <w:rsid w:val="00AB1D7D"/>
    <w:rsid w:val="00AB23B4"/>
    <w:rsid w:val="00AB2760"/>
    <w:rsid w:val="00AB29AF"/>
    <w:rsid w:val="00AB302F"/>
    <w:rsid w:val="00AB304C"/>
    <w:rsid w:val="00AB3A7F"/>
    <w:rsid w:val="00AB4D11"/>
    <w:rsid w:val="00AB4F89"/>
    <w:rsid w:val="00AB5308"/>
    <w:rsid w:val="00AB608D"/>
    <w:rsid w:val="00AB65C6"/>
    <w:rsid w:val="00AB6A4E"/>
    <w:rsid w:val="00AB6B6C"/>
    <w:rsid w:val="00AB6F1E"/>
    <w:rsid w:val="00AB7BDB"/>
    <w:rsid w:val="00AC06CA"/>
    <w:rsid w:val="00AC0C09"/>
    <w:rsid w:val="00AC0DDD"/>
    <w:rsid w:val="00AC0EBD"/>
    <w:rsid w:val="00AC18D9"/>
    <w:rsid w:val="00AC2431"/>
    <w:rsid w:val="00AC39FD"/>
    <w:rsid w:val="00AC463A"/>
    <w:rsid w:val="00AC62DE"/>
    <w:rsid w:val="00AC6377"/>
    <w:rsid w:val="00AC6508"/>
    <w:rsid w:val="00AC661D"/>
    <w:rsid w:val="00AC72B3"/>
    <w:rsid w:val="00AC7767"/>
    <w:rsid w:val="00AD1144"/>
    <w:rsid w:val="00AD1E1C"/>
    <w:rsid w:val="00AD20E4"/>
    <w:rsid w:val="00AD29DD"/>
    <w:rsid w:val="00AD29E4"/>
    <w:rsid w:val="00AD2A4E"/>
    <w:rsid w:val="00AD2E5C"/>
    <w:rsid w:val="00AD2E8E"/>
    <w:rsid w:val="00AD3F28"/>
    <w:rsid w:val="00AD40CB"/>
    <w:rsid w:val="00AD57B4"/>
    <w:rsid w:val="00AD6F7F"/>
    <w:rsid w:val="00AD6FC8"/>
    <w:rsid w:val="00AD7B8A"/>
    <w:rsid w:val="00AE0D1E"/>
    <w:rsid w:val="00AE0F3E"/>
    <w:rsid w:val="00AE13AE"/>
    <w:rsid w:val="00AE1505"/>
    <w:rsid w:val="00AE3158"/>
    <w:rsid w:val="00AE3175"/>
    <w:rsid w:val="00AE3330"/>
    <w:rsid w:val="00AE3DE2"/>
    <w:rsid w:val="00AE4015"/>
    <w:rsid w:val="00AE4084"/>
    <w:rsid w:val="00AE42F6"/>
    <w:rsid w:val="00AE4908"/>
    <w:rsid w:val="00AE4B5E"/>
    <w:rsid w:val="00AE4F98"/>
    <w:rsid w:val="00AE50F7"/>
    <w:rsid w:val="00AE54A1"/>
    <w:rsid w:val="00AE65D7"/>
    <w:rsid w:val="00AE6E26"/>
    <w:rsid w:val="00AE7B52"/>
    <w:rsid w:val="00AF0651"/>
    <w:rsid w:val="00AF0715"/>
    <w:rsid w:val="00AF08CF"/>
    <w:rsid w:val="00AF0ED8"/>
    <w:rsid w:val="00AF1A5B"/>
    <w:rsid w:val="00AF2516"/>
    <w:rsid w:val="00AF28F7"/>
    <w:rsid w:val="00AF2BCC"/>
    <w:rsid w:val="00AF3688"/>
    <w:rsid w:val="00AF440D"/>
    <w:rsid w:val="00AF5B4B"/>
    <w:rsid w:val="00AF5E99"/>
    <w:rsid w:val="00AF616E"/>
    <w:rsid w:val="00AF6EB5"/>
    <w:rsid w:val="00B0103B"/>
    <w:rsid w:val="00B02296"/>
    <w:rsid w:val="00B02A21"/>
    <w:rsid w:val="00B02F0D"/>
    <w:rsid w:val="00B04266"/>
    <w:rsid w:val="00B044D3"/>
    <w:rsid w:val="00B04AE0"/>
    <w:rsid w:val="00B04C43"/>
    <w:rsid w:val="00B059BB"/>
    <w:rsid w:val="00B05AF8"/>
    <w:rsid w:val="00B06637"/>
    <w:rsid w:val="00B068EA"/>
    <w:rsid w:val="00B06A7C"/>
    <w:rsid w:val="00B077C6"/>
    <w:rsid w:val="00B07A1B"/>
    <w:rsid w:val="00B100CF"/>
    <w:rsid w:val="00B1228D"/>
    <w:rsid w:val="00B13B9B"/>
    <w:rsid w:val="00B14345"/>
    <w:rsid w:val="00B14A3A"/>
    <w:rsid w:val="00B14E0E"/>
    <w:rsid w:val="00B14ED3"/>
    <w:rsid w:val="00B16CA2"/>
    <w:rsid w:val="00B17908"/>
    <w:rsid w:val="00B17C23"/>
    <w:rsid w:val="00B2151C"/>
    <w:rsid w:val="00B21547"/>
    <w:rsid w:val="00B2154D"/>
    <w:rsid w:val="00B21CD9"/>
    <w:rsid w:val="00B22963"/>
    <w:rsid w:val="00B2393B"/>
    <w:rsid w:val="00B23B62"/>
    <w:rsid w:val="00B24127"/>
    <w:rsid w:val="00B25315"/>
    <w:rsid w:val="00B25D20"/>
    <w:rsid w:val="00B261BE"/>
    <w:rsid w:val="00B275A0"/>
    <w:rsid w:val="00B27D41"/>
    <w:rsid w:val="00B3077B"/>
    <w:rsid w:val="00B307D1"/>
    <w:rsid w:val="00B30B8F"/>
    <w:rsid w:val="00B30BE8"/>
    <w:rsid w:val="00B30BF7"/>
    <w:rsid w:val="00B30DAF"/>
    <w:rsid w:val="00B33453"/>
    <w:rsid w:val="00B34251"/>
    <w:rsid w:val="00B34483"/>
    <w:rsid w:val="00B34519"/>
    <w:rsid w:val="00B346F2"/>
    <w:rsid w:val="00B355FF"/>
    <w:rsid w:val="00B35722"/>
    <w:rsid w:val="00B3657F"/>
    <w:rsid w:val="00B3695E"/>
    <w:rsid w:val="00B36F39"/>
    <w:rsid w:val="00B40212"/>
    <w:rsid w:val="00B404A5"/>
    <w:rsid w:val="00B40793"/>
    <w:rsid w:val="00B4113F"/>
    <w:rsid w:val="00B42BCD"/>
    <w:rsid w:val="00B447CC"/>
    <w:rsid w:val="00B449D6"/>
    <w:rsid w:val="00B45A08"/>
    <w:rsid w:val="00B45D34"/>
    <w:rsid w:val="00B4668B"/>
    <w:rsid w:val="00B469B7"/>
    <w:rsid w:val="00B46A76"/>
    <w:rsid w:val="00B477AC"/>
    <w:rsid w:val="00B47EBF"/>
    <w:rsid w:val="00B50687"/>
    <w:rsid w:val="00B513DF"/>
    <w:rsid w:val="00B55026"/>
    <w:rsid w:val="00B55112"/>
    <w:rsid w:val="00B56B47"/>
    <w:rsid w:val="00B56C1A"/>
    <w:rsid w:val="00B575A0"/>
    <w:rsid w:val="00B57868"/>
    <w:rsid w:val="00B578FB"/>
    <w:rsid w:val="00B60AFD"/>
    <w:rsid w:val="00B60D00"/>
    <w:rsid w:val="00B619E4"/>
    <w:rsid w:val="00B62653"/>
    <w:rsid w:val="00B6283F"/>
    <w:rsid w:val="00B63C8F"/>
    <w:rsid w:val="00B65A81"/>
    <w:rsid w:val="00B65E24"/>
    <w:rsid w:val="00B67B69"/>
    <w:rsid w:val="00B713D2"/>
    <w:rsid w:val="00B7174E"/>
    <w:rsid w:val="00B727A8"/>
    <w:rsid w:val="00B74083"/>
    <w:rsid w:val="00B741C7"/>
    <w:rsid w:val="00B7661A"/>
    <w:rsid w:val="00B773C9"/>
    <w:rsid w:val="00B77651"/>
    <w:rsid w:val="00B777BB"/>
    <w:rsid w:val="00B77854"/>
    <w:rsid w:val="00B77BDE"/>
    <w:rsid w:val="00B8046E"/>
    <w:rsid w:val="00B81194"/>
    <w:rsid w:val="00B82349"/>
    <w:rsid w:val="00B82B74"/>
    <w:rsid w:val="00B8324C"/>
    <w:rsid w:val="00B8351D"/>
    <w:rsid w:val="00B835E9"/>
    <w:rsid w:val="00B8367B"/>
    <w:rsid w:val="00B845E2"/>
    <w:rsid w:val="00B84ABE"/>
    <w:rsid w:val="00B84BF0"/>
    <w:rsid w:val="00B84C96"/>
    <w:rsid w:val="00B85201"/>
    <w:rsid w:val="00B865F7"/>
    <w:rsid w:val="00B90476"/>
    <w:rsid w:val="00B9116D"/>
    <w:rsid w:val="00B9283A"/>
    <w:rsid w:val="00B92988"/>
    <w:rsid w:val="00B92FFA"/>
    <w:rsid w:val="00B93813"/>
    <w:rsid w:val="00B95193"/>
    <w:rsid w:val="00B951F0"/>
    <w:rsid w:val="00B95961"/>
    <w:rsid w:val="00B95968"/>
    <w:rsid w:val="00B95AAA"/>
    <w:rsid w:val="00B96C9D"/>
    <w:rsid w:val="00BA0DD8"/>
    <w:rsid w:val="00BA1935"/>
    <w:rsid w:val="00BA1AE3"/>
    <w:rsid w:val="00BA1C38"/>
    <w:rsid w:val="00BA1E8E"/>
    <w:rsid w:val="00BA3012"/>
    <w:rsid w:val="00BA326A"/>
    <w:rsid w:val="00BA4366"/>
    <w:rsid w:val="00BA4890"/>
    <w:rsid w:val="00BA5CEA"/>
    <w:rsid w:val="00BA5FBA"/>
    <w:rsid w:val="00BA6AE3"/>
    <w:rsid w:val="00BB03F9"/>
    <w:rsid w:val="00BB07BE"/>
    <w:rsid w:val="00BB0F51"/>
    <w:rsid w:val="00BB173A"/>
    <w:rsid w:val="00BB19D7"/>
    <w:rsid w:val="00BB1D11"/>
    <w:rsid w:val="00BB2229"/>
    <w:rsid w:val="00BB27DF"/>
    <w:rsid w:val="00BB2CEF"/>
    <w:rsid w:val="00BB2E69"/>
    <w:rsid w:val="00BB3284"/>
    <w:rsid w:val="00BB36F0"/>
    <w:rsid w:val="00BB5345"/>
    <w:rsid w:val="00BB6BA6"/>
    <w:rsid w:val="00BB77AB"/>
    <w:rsid w:val="00BC012E"/>
    <w:rsid w:val="00BC0431"/>
    <w:rsid w:val="00BC0A14"/>
    <w:rsid w:val="00BC13C3"/>
    <w:rsid w:val="00BC1934"/>
    <w:rsid w:val="00BC1B83"/>
    <w:rsid w:val="00BC1F29"/>
    <w:rsid w:val="00BC34BA"/>
    <w:rsid w:val="00BC3D1D"/>
    <w:rsid w:val="00BC459E"/>
    <w:rsid w:val="00BC4925"/>
    <w:rsid w:val="00BC4D06"/>
    <w:rsid w:val="00BC5497"/>
    <w:rsid w:val="00BC62D3"/>
    <w:rsid w:val="00BC7D6D"/>
    <w:rsid w:val="00BD02CA"/>
    <w:rsid w:val="00BD10F8"/>
    <w:rsid w:val="00BD15D2"/>
    <w:rsid w:val="00BD36CA"/>
    <w:rsid w:val="00BD4066"/>
    <w:rsid w:val="00BD4AFC"/>
    <w:rsid w:val="00BD6A37"/>
    <w:rsid w:val="00BD70DD"/>
    <w:rsid w:val="00BD774F"/>
    <w:rsid w:val="00BD7898"/>
    <w:rsid w:val="00BE07C7"/>
    <w:rsid w:val="00BE1402"/>
    <w:rsid w:val="00BE156A"/>
    <w:rsid w:val="00BE157A"/>
    <w:rsid w:val="00BE1A50"/>
    <w:rsid w:val="00BE2192"/>
    <w:rsid w:val="00BE260E"/>
    <w:rsid w:val="00BE2EBD"/>
    <w:rsid w:val="00BE30FD"/>
    <w:rsid w:val="00BE3817"/>
    <w:rsid w:val="00BE421F"/>
    <w:rsid w:val="00BE435B"/>
    <w:rsid w:val="00BE55B9"/>
    <w:rsid w:val="00BE574A"/>
    <w:rsid w:val="00BE5D4F"/>
    <w:rsid w:val="00BE691A"/>
    <w:rsid w:val="00BE6D5A"/>
    <w:rsid w:val="00BE7560"/>
    <w:rsid w:val="00BE75E1"/>
    <w:rsid w:val="00BE776D"/>
    <w:rsid w:val="00BF0C63"/>
    <w:rsid w:val="00BF0FF2"/>
    <w:rsid w:val="00BF1579"/>
    <w:rsid w:val="00BF1661"/>
    <w:rsid w:val="00BF189D"/>
    <w:rsid w:val="00BF26F3"/>
    <w:rsid w:val="00BF2E20"/>
    <w:rsid w:val="00BF3060"/>
    <w:rsid w:val="00BF47F9"/>
    <w:rsid w:val="00BF4C60"/>
    <w:rsid w:val="00BF5724"/>
    <w:rsid w:val="00BF5CE2"/>
    <w:rsid w:val="00BF5D01"/>
    <w:rsid w:val="00BF5F21"/>
    <w:rsid w:val="00BF72C5"/>
    <w:rsid w:val="00BF7764"/>
    <w:rsid w:val="00C00D16"/>
    <w:rsid w:val="00C012C2"/>
    <w:rsid w:val="00C01A9E"/>
    <w:rsid w:val="00C042B9"/>
    <w:rsid w:val="00C046F5"/>
    <w:rsid w:val="00C053BD"/>
    <w:rsid w:val="00C05A5D"/>
    <w:rsid w:val="00C05C91"/>
    <w:rsid w:val="00C05D42"/>
    <w:rsid w:val="00C067BC"/>
    <w:rsid w:val="00C06873"/>
    <w:rsid w:val="00C06BCC"/>
    <w:rsid w:val="00C06BD7"/>
    <w:rsid w:val="00C07A6B"/>
    <w:rsid w:val="00C108E6"/>
    <w:rsid w:val="00C109D5"/>
    <w:rsid w:val="00C10C75"/>
    <w:rsid w:val="00C10DAC"/>
    <w:rsid w:val="00C11819"/>
    <w:rsid w:val="00C11983"/>
    <w:rsid w:val="00C11984"/>
    <w:rsid w:val="00C11DD0"/>
    <w:rsid w:val="00C12B7B"/>
    <w:rsid w:val="00C14777"/>
    <w:rsid w:val="00C14E24"/>
    <w:rsid w:val="00C15C74"/>
    <w:rsid w:val="00C1640A"/>
    <w:rsid w:val="00C17D1B"/>
    <w:rsid w:val="00C204FC"/>
    <w:rsid w:val="00C207FB"/>
    <w:rsid w:val="00C232D4"/>
    <w:rsid w:val="00C24DD7"/>
    <w:rsid w:val="00C25215"/>
    <w:rsid w:val="00C254A7"/>
    <w:rsid w:val="00C2608A"/>
    <w:rsid w:val="00C27395"/>
    <w:rsid w:val="00C27857"/>
    <w:rsid w:val="00C278A3"/>
    <w:rsid w:val="00C302D9"/>
    <w:rsid w:val="00C305C5"/>
    <w:rsid w:val="00C30803"/>
    <w:rsid w:val="00C30954"/>
    <w:rsid w:val="00C3251F"/>
    <w:rsid w:val="00C32C05"/>
    <w:rsid w:val="00C32C59"/>
    <w:rsid w:val="00C3349A"/>
    <w:rsid w:val="00C33754"/>
    <w:rsid w:val="00C344DD"/>
    <w:rsid w:val="00C3574A"/>
    <w:rsid w:val="00C35B1F"/>
    <w:rsid w:val="00C3641B"/>
    <w:rsid w:val="00C36DE1"/>
    <w:rsid w:val="00C36E50"/>
    <w:rsid w:val="00C37629"/>
    <w:rsid w:val="00C3783F"/>
    <w:rsid w:val="00C40933"/>
    <w:rsid w:val="00C40A90"/>
    <w:rsid w:val="00C40C7E"/>
    <w:rsid w:val="00C413C6"/>
    <w:rsid w:val="00C41563"/>
    <w:rsid w:val="00C42BFD"/>
    <w:rsid w:val="00C43572"/>
    <w:rsid w:val="00C43845"/>
    <w:rsid w:val="00C43EE7"/>
    <w:rsid w:val="00C442C2"/>
    <w:rsid w:val="00C455D4"/>
    <w:rsid w:val="00C4615F"/>
    <w:rsid w:val="00C463A7"/>
    <w:rsid w:val="00C46BEF"/>
    <w:rsid w:val="00C46C03"/>
    <w:rsid w:val="00C475FD"/>
    <w:rsid w:val="00C50301"/>
    <w:rsid w:val="00C504AD"/>
    <w:rsid w:val="00C50B31"/>
    <w:rsid w:val="00C51474"/>
    <w:rsid w:val="00C5292B"/>
    <w:rsid w:val="00C54A6E"/>
    <w:rsid w:val="00C54C6C"/>
    <w:rsid w:val="00C54EB6"/>
    <w:rsid w:val="00C553C1"/>
    <w:rsid w:val="00C56BC3"/>
    <w:rsid w:val="00C56E0D"/>
    <w:rsid w:val="00C576D2"/>
    <w:rsid w:val="00C57A8F"/>
    <w:rsid w:val="00C604A0"/>
    <w:rsid w:val="00C60C99"/>
    <w:rsid w:val="00C62B4B"/>
    <w:rsid w:val="00C6477E"/>
    <w:rsid w:val="00C67CF7"/>
    <w:rsid w:val="00C67F5C"/>
    <w:rsid w:val="00C700B3"/>
    <w:rsid w:val="00C7036D"/>
    <w:rsid w:val="00C71131"/>
    <w:rsid w:val="00C71CB2"/>
    <w:rsid w:val="00C71D01"/>
    <w:rsid w:val="00C71F21"/>
    <w:rsid w:val="00C7259B"/>
    <w:rsid w:val="00C72694"/>
    <w:rsid w:val="00C73448"/>
    <w:rsid w:val="00C75445"/>
    <w:rsid w:val="00C754FC"/>
    <w:rsid w:val="00C77120"/>
    <w:rsid w:val="00C77D94"/>
    <w:rsid w:val="00C8002B"/>
    <w:rsid w:val="00C8008A"/>
    <w:rsid w:val="00C80450"/>
    <w:rsid w:val="00C80CFA"/>
    <w:rsid w:val="00C80E1E"/>
    <w:rsid w:val="00C81244"/>
    <w:rsid w:val="00C813AF"/>
    <w:rsid w:val="00C82BC5"/>
    <w:rsid w:val="00C8431E"/>
    <w:rsid w:val="00C8451F"/>
    <w:rsid w:val="00C85421"/>
    <w:rsid w:val="00C85E73"/>
    <w:rsid w:val="00C8612B"/>
    <w:rsid w:val="00C86466"/>
    <w:rsid w:val="00C86CE4"/>
    <w:rsid w:val="00C9011F"/>
    <w:rsid w:val="00C90173"/>
    <w:rsid w:val="00C902E6"/>
    <w:rsid w:val="00C9031E"/>
    <w:rsid w:val="00C915B8"/>
    <w:rsid w:val="00C92C07"/>
    <w:rsid w:val="00C92C8C"/>
    <w:rsid w:val="00C93009"/>
    <w:rsid w:val="00C93226"/>
    <w:rsid w:val="00C932ED"/>
    <w:rsid w:val="00C93AC2"/>
    <w:rsid w:val="00C948EE"/>
    <w:rsid w:val="00C94F6D"/>
    <w:rsid w:val="00C94FF8"/>
    <w:rsid w:val="00C95895"/>
    <w:rsid w:val="00C95CC0"/>
    <w:rsid w:val="00C96973"/>
    <w:rsid w:val="00C9697B"/>
    <w:rsid w:val="00C974B4"/>
    <w:rsid w:val="00CA01CF"/>
    <w:rsid w:val="00CA082A"/>
    <w:rsid w:val="00CA14C2"/>
    <w:rsid w:val="00CA1C68"/>
    <w:rsid w:val="00CA2DD2"/>
    <w:rsid w:val="00CA2F72"/>
    <w:rsid w:val="00CA3738"/>
    <w:rsid w:val="00CA44F3"/>
    <w:rsid w:val="00CA55B4"/>
    <w:rsid w:val="00CA58D3"/>
    <w:rsid w:val="00CA5A7A"/>
    <w:rsid w:val="00CA649A"/>
    <w:rsid w:val="00CA6767"/>
    <w:rsid w:val="00CA6BC6"/>
    <w:rsid w:val="00CA7CC8"/>
    <w:rsid w:val="00CB0793"/>
    <w:rsid w:val="00CB0E04"/>
    <w:rsid w:val="00CB2437"/>
    <w:rsid w:val="00CB2DE0"/>
    <w:rsid w:val="00CB3431"/>
    <w:rsid w:val="00CB36B3"/>
    <w:rsid w:val="00CB3C6A"/>
    <w:rsid w:val="00CB47F2"/>
    <w:rsid w:val="00CB4872"/>
    <w:rsid w:val="00CB5DBE"/>
    <w:rsid w:val="00CB6D25"/>
    <w:rsid w:val="00CB732B"/>
    <w:rsid w:val="00CB7388"/>
    <w:rsid w:val="00CB7C05"/>
    <w:rsid w:val="00CC057F"/>
    <w:rsid w:val="00CC1A29"/>
    <w:rsid w:val="00CC3100"/>
    <w:rsid w:val="00CC32BA"/>
    <w:rsid w:val="00CC3D35"/>
    <w:rsid w:val="00CC4573"/>
    <w:rsid w:val="00CC5633"/>
    <w:rsid w:val="00CC6B7B"/>
    <w:rsid w:val="00CD103C"/>
    <w:rsid w:val="00CD1636"/>
    <w:rsid w:val="00CD29B9"/>
    <w:rsid w:val="00CD2AEC"/>
    <w:rsid w:val="00CD78F9"/>
    <w:rsid w:val="00CE029F"/>
    <w:rsid w:val="00CE082B"/>
    <w:rsid w:val="00CE16C5"/>
    <w:rsid w:val="00CE1845"/>
    <w:rsid w:val="00CE2346"/>
    <w:rsid w:val="00CE3233"/>
    <w:rsid w:val="00CE3256"/>
    <w:rsid w:val="00CE3BB1"/>
    <w:rsid w:val="00CE51AF"/>
    <w:rsid w:val="00CE548D"/>
    <w:rsid w:val="00CE5CCC"/>
    <w:rsid w:val="00CE60EF"/>
    <w:rsid w:val="00CE6C74"/>
    <w:rsid w:val="00CE6D6C"/>
    <w:rsid w:val="00CE7CE2"/>
    <w:rsid w:val="00CF12D9"/>
    <w:rsid w:val="00CF1447"/>
    <w:rsid w:val="00CF1931"/>
    <w:rsid w:val="00CF19D7"/>
    <w:rsid w:val="00CF1EE5"/>
    <w:rsid w:val="00CF2E90"/>
    <w:rsid w:val="00CF33D6"/>
    <w:rsid w:val="00CF446C"/>
    <w:rsid w:val="00CF47AF"/>
    <w:rsid w:val="00CF4C5F"/>
    <w:rsid w:val="00CF50FE"/>
    <w:rsid w:val="00CF6C22"/>
    <w:rsid w:val="00CF7A5A"/>
    <w:rsid w:val="00CF7C67"/>
    <w:rsid w:val="00CF7E0F"/>
    <w:rsid w:val="00D00741"/>
    <w:rsid w:val="00D00751"/>
    <w:rsid w:val="00D011C0"/>
    <w:rsid w:val="00D0137F"/>
    <w:rsid w:val="00D014CB"/>
    <w:rsid w:val="00D01D26"/>
    <w:rsid w:val="00D030D4"/>
    <w:rsid w:val="00D0371B"/>
    <w:rsid w:val="00D044CF"/>
    <w:rsid w:val="00D04871"/>
    <w:rsid w:val="00D04EC7"/>
    <w:rsid w:val="00D069AE"/>
    <w:rsid w:val="00D07132"/>
    <w:rsid w:val="00D079DE"/>
    <w:rsid w:val="00D07B7A"/>
    <w:rsid w:val="00D07CC2"/>
    <w:rsid w:val="00D07F5A"/>
    <w:rsid w:val="00D11130"/>
    <w:rsid w:val="00D11A85"/>
    <w:rsid w:val="00D1479A"/>
    <w:rsid w:val="00D15412"/>
    <w:rsid w:val="00D16177"/>
    <w:rsid w:val="00D1758E"/>
    <w:rsid w:val="00D17BFA"/>
    <w:rsid w:val="00D17C2D"/>
    <w:rsid w:val="00D21D1E"/>
    <w:rsid w:val="00D23CF6"/>
    <w:rsid w:val="00D23E71"/>
    <w:rsid w:val="00D23F5F"/>
    <w:rsid w:val="00D24D87"/>
    <w:rsid w:val="00D25272"/>
    <w:rsid w:val="00D25617"/>
    <w:rsid w:val="00D25E2E"/>
    <w:rsid w:val="00D260B4"/>
    <w:rsid w:val="00D266CE"/>
    <w:rsid w:val="00D27179"/>
    <w:rsid w:val="00D2736E"/>
    <w:rsid w:val="00D275E2"/>
    <w:rsid w:val="00D27B7C"/>
    <w:rsid w:val="00D30284"/>
    <w:rsid w:val="00D30979"/>
    <w:rsid w:val="00D30A6A"/>
    <w:rsid w:val="00D31230"/>
    <w:rsid w:val="00D32109"/>
    <w:rsid w:val="00D32AC6"/>
    <w:rsid w:val="00D3388D"/>
    <w:rsid w:val="00D352CC"/>
    <w:rsid w:val="00D3704B"/>
    <w:rsid w:val="00D407B0"/>
    <w:rsid w:val="00D41E4F"/>
    <w:rsid w:val="00D421E5"/>
    <w:rsid w:val="00D42468"/>
    <w:rsid w:val="00D42C8D"/>
    <w:rsid w:val="00D43526"/>
    <w:rsid w:val="00D43E40"/>
    <w:rsid w:val="00D43ED7"/>
    <w:rsid w:val="00D44553"/>
    <w:rsid w:val="00D446C3"/>
    <w:rsid w:val="00D44AE7"/>
    <w:rsid w:val="00D44C4C"/>
    <w:rsid w:val="00D45297"/>
    <w:rsid w:val="00D454D1"/>
    <w:rsid w:val="00D45C79"/>
    <w:rsid w:val="00D473FB"/>
    <w:rsid w:val="00D47C69"/>
    <w:rsid w:val="00D50B2D"/>
    <w:rsid w:val="00D51743"/>
    <w:rsid w:val="00D518A6"/>
    <w:rsid w:val="00D522A5"/>
    <w:rsid w:val="00D52599"/>
    <w:rsid w:val="00D5288D"/>
    <w:rsid w:val="00D52944"/>
    <w:rsid w:val="00D55138"/>
    <w:rsid w:val="00D5539D"/>
    <w:rsid w:val="00D562BC"/>
    <w:rsid w:val="00D56684"/>
    <w:rsid w:val="00D56E2F"/>
    <w:rsid w:val="00D60068"/>
    <w:rsid w:val="00D602AF"/>
    <w:rsid w:val="00D6078E"/>
    <w:rsid w:val="00D622F0"/>
    <w:rsid w:val="00D6257D"/>
    <w:rsid w:val="00D64013"/>
    <w:rsid w:val="00D642BF"/>
    <w:rsid w:val="00D642E9"/>
    <w:rsid w:val="00D64964"/>
    <w:rsid w:val="00D6505C"/>
    <w:rsid w:val="00D662E2"/>
    <w:rsid w:val="00D66389"/>
    <w:rsid w:val="00D6652B"/>
    <w:rsid w:val="00D668FE"/>
    <w:rsid w:val="00D6751E"/>
    <w:rsid w:val="00D70080"/>
    <w:rsid w:val="00D70379"/>
    <w:rsid w:val="00D71AB8"/>
    <w:rsid w:val="00D71D69"/>
    <w:rsid w:val="00D72ECE"/>
    <w:rsid w:val="00D73B84"/>
    <w:rsid w:val="00D74077"/>
    <w:rsid w:val="00D7499F"/>
    <w:rsid w:val="00D74B53"/>
    <w:rsid w:val="00D74CCB"/>
    <w:rsid w:val="00D75196"/>
    <w:rsid w:val="00D7615A"/>
    <w:rsid w:val="00D76460"/>
    <w:rsid w:val="00D76E73"/>
    <w:rsid w:val="00D77461"/>
    <w:rsid w:val="00D77F61"/>
    <w:rsid w:val="00D8015D"/>
    <w:rsid w:val="00D82600"/>
    <w:rsid w:val="00D82778"/>
    <w:rsid w:val="00D82B2E"/>
    <w:rsid w:val="00D837B1"/>
    <w:rsid w:val="00D839D8"/>
    <w:rsid w:val="00D84261"/>
    <w:rsid w:val="00D85A82"/>
    <w:rsid w:val="00D8705A"/>
    <w:rsid w:val="00D902AB"/>
    <w:rsid w:val="00D90997"/>
    <w:rsid w:val="00D91B44"/>
    <w:rsid w:val="00D9304C"/>
    <w:rsid w:val="00D939BD"/>
    <w:rsid w:val="00D940FB"/>
    <w:rsid w:val="00D95892"/>
    <w:rsid w:val="00D95930"/>
    <w:rsid w:val="00D964D9"/>
    <w:rsid w:val="00D973E2"/>
    <w:rsid w:val="00D97B47"/>
    <w:rsid w:val="00DA03FB"/>
    <w:rsid w:val="00DA16D3"/>
    <w:rsid w:val="00DA1E10"/>
    <w:rsid w:val="00DA2D0C"/>
    <w:rsid w:val="00DA2FF9"/>
    <w:rsid w:val="00DA3572"/>
    <w:rsid w:val="00DA37E5"/>
    <w:rsid w:val="00DA4A7A"/>
    <w:rsid w:val="00DA500F"/>
    <w:rsid w:val="00DA5209"/>
    <w:rsid w:val="00DA5872"/>
    <w:rsid w:val="00DA6A6A"/>
    <w:rsid w:val="00DA792F"/>
    <w:rsid w:val="00DA7F75"/>
    <w:rsid w:val="00DB0374"/>
    <w:rsid w:val="00DB0969"/>
    <w:rsid w:val="00DB0EF7"/>
    <w:rsid w:val="00DB1846"/>
    <w:rsid w:val="00DB18CD"/>
    <w:rsid w:val="00DB1910"/>
    <w:rsid w:val="00DB1C5F"/>
    <w:rsid w:val="00DB322F"/>
    <w:rsid w:val="00DB363B"/>
    <w:rsid w:val="00DB4381"/>
    <w:rsid w:val="00DB53EE"/>
    <w:rsid w:val="00DB59EE"/>
    <w:rsid w:val="00DB5BC9"/>
    <w:rsid w:val="00DB5D7C"/>
    <w:rsid w:val="00DB5DAE"/>
    <w:rsid w:val="00DB6EE6"/>
    <w:rsid w:val="00DC0324"/>
    <w:rsid w:val="00DC0A54"/>
    <w:rsid w:val="00DC15CB"/>
    <w:rsid w:val="00DC3859"/>
    <w:rsid w:val="00DC4B96"/>
    <w:rsid w:val="00DC4BCB"/>
    <w:rsid w:val="00DC526A"/>
    <w:rsid w:val="00DC5572"/>
    <w:rsid w:val="00DC5A24"/>
    <w:rsid w:val="00DC5BFF"/>
    <w:rsid w:val="00DC5EFB"/>
    <w:rsid w:val="00DC6635"/>
    <w:rsid w:val="00DC667C"/>
    <w:rsid w:val="00DC66A1"/>
    <w:rsid w:val="00DC6EC7"/>
    <w:rsid w:val="00DC7DDD"/>
    <w:rsid w:val="00DC7E89"/>
    <w:rsid w:val="00DD03DC"/>
    <w:rsid w:val="00DD0F64"/>
    <w:rsid w:val="00DD1B92"/>
    <w:rsid w:val="00DD28A5"/>
    <w:rsid w:val="00DD2C0E"/>
    <w:rsid w:val="00DD30EA"/>
    <w:rsid w:val="00DD3611"/>
    <w:rsid w:val="00DD387C"/>
    <w:rsid w:val="00DD3CD8"/>
    <w:rsid w:val="00DD460F"/>
    <w:rsid w:val="00DD48D7"/>
    <w:rsid w:val="00DD5150"/>
    <w:rsid w:val="00DD586E"/>
    <w:rsid w:val="00DD58D9"/>
    <w:rsid w:val="00DD5FC0"/>
    <w:rsid w:val="00DD641E"/>
    <w:rsid w:val="00DD724B"/>
    <w:rsid w:val="00DD750C"/>
    <w:rsid w:val="00DD797B"/>
    <w:rsid w:val="00DE0137"/>
    <w:rsid w:val="00DE0177"/>
    <w:rsid w:val="00DE027F"/>
    <w:rsid w:val="00DE0DAE"/>
    <w:rsid w:val="00DE0E38"/>
    <w:rsid w:val="00DE0F76"/>
    <w:rsid w:val="00DE215A"/>
    <w:rsid w:val="00DE2378"/>
    <w:rsid w:val="00DE41DB"/>
    <w:rsid w:val="00DE48A5"/>
    <w:rsid w:val="00DE57A9"/>
    <w:rsid w:val="00DE5A0E"/>
    <w:rsid w:val="00DE6533"/>
    <w:rsid w:val="00DE7A26"/>
    <w:rsid w:val="00DE7D21"/>
    <w:rsid w:val="00DF0427"/>
    <w:rsid w:val="00DF0A84"/>
    <w:rsid w:val="00DF0B99"/>
    <w:rsid w:val="00DF0E8B"/>
    <w:rsid w:val="00DF1C14"/>
    <w:rsid w:val="00DF2122"/>
    <w:rsid w:val="00DF23C9"/>
    <w:rsid w:val="00DF2487"/>
    <w:rsid w:val="00DF2703"/>
    <w:rsid w:val="00DF2875"/>
    <w:rsid w:val="00DF3077"/>
    <w:rsid w:val="00DF4FD2"/>
    <w:rsid w:val="00DF65A7"/>
    <w:rsid w:val="00DF6629"/>
    <w:rsid w:val="00E0016F"/>
    <w:rsid w:val="00E00708"/>
    <w:rsid w:val="00E02FBD"/>
    <w:rsid w:val="00E0328D"/>
    <w:rsid w:val="00E03FA2"/>
    <w:rsid w:val="00E053CB"/>
    <w:rsid w:val="00E05A2E"/>
    <w:rsid w:val="00E06221"/>
    <w:rsid w:val="00E06764"/>
    <w:rsid w:val="00E06E4F"/>
    <w:rsid w:val="00E06EB1"/>
    <w:rsid w:val="00E07A6E"/>
    <w:rsid w:val="00E102C8"/>
    <w:rsid w:val="00E1093B"/>
    <w:rsid w:val="00E116E2"/>
    <w:rsid w:val="00E11854"/>
    <w:rsid w:val="00E11AC1"/>
    <w:rsid w:val="00E12C24"/>
    <w:rsid w:val="00E12CDD"/>
    <w:rsid w:val="00E1374A"/>
    <w:rsid w:val="00E1504F"/>
    <w:rsid w:val="00E152C8"/>
    <w:rsid w:val="00E15BDC"/>
    <w:rsid w:val="00E17379"/>
    <w:rsid w:val="00E17401"/>
    <w:rsid w:val="00E17889"/>
    <w:rsid w:val="00E17B30"/>
    <w:rsid w:val="00E202DB"/>
    <w:rsid w:val="00E21CD4"/>
    <w:rsid w:val="00E2200E"/>
    <w:rsid w:val="00E22454"/>
    <w:rsid w:val="00E22DE1"/>
    <w:rsid w:val="00E23DA0"/>
    <w:rsid w:val="00E2429B"/>
    <w:rsid w:val="00E2493E"/>
    <w:rsid w:val="00E24F41"/>
    <w:rsid w:val="00E250B8"/>
    <w:rsid w:val="00E26489"/>
    <w:rsid w:val="00E2655A"/>
    <w:rsid w:val="00E26577"/>
    <w:rsid w:val="00E269E4"/>
    <w:rsid w:val="00E27239"/>
    <w:rsid w:val="00E274C2"/>
    <w:rsid w:val="00E27B8D"/>
    <w:rsid w:val="00E27BD1"/>
    <w:rsid w:val="00E301D1"/>
    <w:rsid w:val="00E3026C"/>
    <w:rsid w:val="00E307D6"/>
    <w:rsid w:val="00E31040"/>
    <w:rsid w:val="00E3196D"/>
    <w:rsid w:val="00E31F01"/>
    <w:rsid w:val="00E3222D"/>
    <w:rsid w:val="00E33508"/>
    <w:rsid w:val="00E3359D"/>
    <w:rsid w:val="00E33630"/>
    <w:rsid w:val="00E33784"/>
    <w:rsid w:val="00E33BE9"/>
    <w:rsid w:val="00E342CC"/>
    <w:rsid w:val="00E347A1"/>
    <w:rsid w:val="00E34A37"/>
    <w:rsid w:val="00E34A81"/>
    <w:rsid w:val="00E34B1E"/>
    <w:rsid w:val="00E354E5"/>
    <w:rsid w:val="00E35E16"/>
    <w:rsid w:val="00E35E6C"/>
    <w:rsid w:val="00E36A3F"/>
    <w:rsid w:val="00E36C22"/>
    <w:rsid w:val="00E37291"/>
    <w:rsid w:val="00E37584"/>
    <w:rsid w:val="00E37CCB"/>
    <w:rsid w:val="00E41DA5"/>
    <w:rsid w:val="00E41EA1"/>
    <w:rsid w:val="00E424C7"/>
    <w:rsid w:val="00E4377E"/>
    <w:rsid w:val="00E448EB"/>
    <w:rsid w:val="00E4508D"/>
    <w:rsid w:val="00E45478"/>
    <w:rsid w:val="00E454AA"/>
    <w:rsid w:val="00E454FF"/>
    <w:rsid w:val="00E4598F"/>
    <w:rsid w:val="00E45EC9"/>
    <w:rsid w:val="00E46E17"/>
    <w:rsid w:val="00E46EC2"/>
    <w:rsid w:val="00E4757A"/>
    <w:rsid w:val="00E47EE6"/>
    <w:rsid w:val="00E50BA8"/>
    <w:rsid w:val="00E51666"/>
    <w:rsid w:val="00E525C4"/>
    <w:rsid w:val="00E5299A"/>
    <w:rsid w:val="00E54082"/>
    <w:rsid w:val="00E54219"/>
    <w:rsid w:val="00E54431"/>
    <w:rsid w:val="00E547CD"/>
    <w:rsid w:val="00E54C43"/>
    <w:rsid w:val="00E55798"/>
    <w:rsid w:val="00E55BB1"/>
    <w:rsid w:val="00E55D2A"/>
    <w:rsid w:val="00E56D38"/>
    <w:rsid w:val="00E56F54"/>
    <w:rsid w:val="00E57A0D"/>
    <w:rsid w:val="00E57A33"/>
    <w:rsid w:val="00E57B9A"/>
    <w:rsid w:val="00E6081B"/>
    <w:rsid w:val="00E60A27"/>
    <w:rsid w:val="00E60D4A"/>
    <w:rsid w:val="00E6100D"/>
    <w:rsid w:val="00E610E2"/>
    <w:rsid w:val="00E618B5"/>
    <w:rsid w:val="00E6194C"/>
    <w:rsid w:val="00E61B96"/>
    <w:rsid w:val="00E61E83"/>
    <w:rsid w:val="00E62330"/>
    <w:rsid w:val="00E64098"/>
    <w:rsid w:val="00E641F2"/>
    <w:rsid w:val="00E655FC"/>
    <w:rsid w:val="00E6574A"/>
    <w:rsid w:val="00E659B7"/>
    <w:rsid w:val="00E65BBE"/>
    <w:rsid w:val="00E66AB6"/>
    <w:rsid w:val="00E675AA"/>
    <w:rsid w:val="00E70A29"/>
    <w:rsid w:val="00E70B28"/>
    <w:rsid w:val="00E71D56"/>
    <w:rsid w:val="00E7262D"/>
    <w:rsid w:val="00E728A9"/>
    <w:rsid w:val="00E745D6"/>
    <w:rsid w:val="00E74937"/>
    <w:rsid w:val="00E74954"/>
    <w:rsid w:val="00E7508C"/>
    <w:rsid w:val="00E75318"/>
    <w:rsid w:val="00E762B6"/>
    <w:rsid w:val="00E762F1"/>
    <w:rsid w:val="00E77B22"/>
    <w:rsid w:val="00E8056B"/>
    <w:rsid w:val="00E8200F"/>
    <w:rsid w:val="00E82CDA"/>
    <w:rsid w:val="00E834C6"/>
    <w:rsid w:val="00E83630"/>
    <w:rsid w:val="00E8426A"/>
    <w:rsid w:val="00E847C1"/>
    <w:rsid w:val="00E84F1F"/>
    <w:rsid w:val="00E85708"/>
    <w:rsid w:val="00E86400"/>
    <w:rsid w:val="00E8750E"/>
    <w:rsid w:val="00E87525"/>
    <w:rsid w:val="00E91135"/>
    <w:rsid w:val="00E91304"/>
    <w:rsid w:val="00E91E65"/>
    <w:rsid w:val="00E95B38"/>
    <w:rsid w:val="00E95F82"/>
    <w:rsid w:val="00E961D9"/>
    <w:rsid w:val="00E966A8"/>
    <w:rsid w:val="00E968D3"/>
    <w:rsid w:val="00E96DEE"/>
    <w:rsid w:val="00E9706C"/>
    <w:rsid w:val="00E973C8"/>
    <w:rsid w:val="00E97E72"/>
    <w:rsid w:val="00E97E80"/>
    <w:rsid w:val="00EA003D"/>
    <w:rsid w:val="00EA0044"/>
    <w:rsid w:val="00EA078C"/>
    <w:rsid w:val="00EA0994"/>
    <w:rsid w:val="00EA0AD1"/>
    <w:rsid w:val="00EA0CD6"/>
    <w:rsid w:val="00EA1508"/>
    <w:rsid w:val="00EA453D"/>
    <w:rsid w:val="00EA5CAD"/>
    <w:rsid w:val="00EA795E"/>
    <w:rsid w:val="00EA7EB4"/>
    <w:rsid w:val="00EB05A1"/>
    <w:rsid w:val="00EB2807"/>
    <w:rsid w:val="00EB285A"/>
    <w:rsid w:val="00EB35E0"/>
    <w:rsid w:val="00EB39BB"/>
    <w:rsid w:val="00EB3DFA"/>
    <w:rsid w:val="00EB4AEA"/>
    <w:rsid w:val="00EB5E6F"/>
    <w:rsid w:val="00EB73D4"/>
    <w:rsid w:val="00EB7939"/>
    <w:rsid w:val="00EC0C0F"/>
    <w:rsid w:val="00EC112B"/>
    <w:rsid w:val="00EC11EE"/>
    <w:rsid w:val="00EC1677"/>
    <w:rsid w:val="00EC1BD0"/>
    <w:rsid w:val="00EC2BE5"/>
    <w:rsid w:val="00EC2F13"/>
    <w:rsid w:val="00EC3636"/>
    <w:rsid w:val="00EC3CD5"/>
    <w:rsid w:val="00EC42C7"/>
    <w:rsid w:val="00EC493F"/>
    <w:rsid w:val="00EC4A3D"/>
    <w:rsid w:val="00EC4EB6"/>
    <w:rsid w:val="00EC509B"/>
    <w:rsid w:val="00EC56B7"/>
    <w:rsid w:val="00EC7E3D"/>
    <w:rsid w:val="00EC7FC7"/>
    <w:rsid w:val="00ED0106"/>
    <w:rsid w:val="00ED0122"/>
    <w:rsid w:val="00ED13C1"/>
    <w:rsid w:val="00ED1E43"/>
    <w:rsid w:val="00ED2B55"/>
    <w:rsid w:val="00ED3022"/>
    <w:rsid w:val="00ED32FD"/>
    <w:rsid w:val="00ED4782"/>
    <w:rsid w:val="00ED4854"/>
    <w:rsid w:val="00ED4E05"/>
    <w:rsid w:val="00ED4E5B"/>
    <w:rsid w:val="00ED539B"/>
    <w:rsid w:val="00ED55C6"/>
    <w:rsid w:val="00ED6C95"/>
    <w:rsid w:val="00ED728D"/>
    <w:rsid w:val="00EE025B"/>
    <w:rsid w:val="00EE0296"/>
    <w:rsid w:val="00EE05E9"/>
    <w:rsid w:val="00EE102F"/>
    <w:rsid w:val="00EE142C"/>
    <w:rsid w:val="00EE2D9D"/>
    <w:rsid w:val="00EE3214"/>
    <w:rsid w:val="00EE344B"/>
    <w:rsid w:val="00EE3659"/>
    <w:rsid w:val="00EE3C18"/>
    <w:rsid w:val="00EE4C38"/>
    <w:rsid w:val="00EE52DD"/>
    <w:rsid w:val="00EE6398"/>
    <w:rsid w:val="00EE66E4"/>
    <w:rsid w:val="00EE79AB"/>
    <w:rsid w:val="00EF02A8"/>
    <w:rsid w:val="00EF0D2F"/>
    <w:rsid w:val="00EF12CE"/>
    <w:rsid w:val="00EF2D0D"/>
    <w:rsid w:val="00EF3DFF"/>
    <w:rsid w:val="00EF3EF2"/>
    <w:rsid w:val="00EF41C5"/>
    <w:rsid w:val="00EF7938"/>
    <w:rsid w:val="00F01256"/>
    <w:rsid w:val="00F0301B"/>
    <w:rsid w:val="00F03727"/>
    <w:rsid w:val="00F03C24"/>
    <w:rsid w:val="00F03CBE"/>
    <w:rsid w:val="00F03D12"/>
    <w:rsid w:val="00F03E7B"/>
    <w:rsid w:val="00F043B0"/>
    <w:rsid w:val="00F054AF"/>
    <w:rsid w:val="00F05713"/>
    <w:rsid w:val="00F05FA5"/>
    <w:rsid w:val="00F0620F"/>
    <w:rsid w:val="00F0624A"/>
    <w:rsid w:val="00F065EA"/>
    <w:rsid w:val="00F06C40"/>
    <w:rsid w:val="00F07677"/>
    <w:rsid w:val="00F10AE1"/>
    <w:rsid w:val="00F10B22"/>
    <w:rsid w:val="00F113EE"/>
    <w:rsid w:val="00F116BC"/>
    <w:rsid w:val="00F11A86"/>
    <w:rsid w:val="00F121E6"/>
    <w:rsid w:val="00F127EF"/>
    <w:rsid w:val="00F136FA"/>
    <w:rsid w:val="00F138E9"/>
    <w:rsid w:val="00F13EE4"/>
    <w:rsid w:val="00F14402"/>
    <w:rsid w:val="00F14744"/>
    <w:rsid w:val="00F16600"/>
    <w:rsid w:val="00F1683F"/>
    <w:rsid w:val="00F1779D"/>
    <w:rsid w:val="00F17B80"/>
    <w:rsid w:val="00F17FDD"/>
    <w:rsid w:val="00F200A1"/>
    <w:rsid w:val="00F20A8C"/>
    <w:rsid w:val="00F20C78"/>
    <w:rsid w:val="00F215FA"/>
    <w:rsid w:val="00F2208A"/>
    <w:rsid w:val="00F22749"/>
    <w:rsid w:val="00F22D05"/>
    <w:rsid w:val="00F23E98"/>
    <w:rsid w:val="00F24C54"/>
    <w:rsid w:val="00F2557B"/>
    <w:rsid w:val="00F2603A"/>
    <w:rsid w:val="00F26495"/>
    <w:rsid w:val="00F27222"/>
    <w:rsid w:val="00F279CC"/>
    <w:rsid w:val="00F279F0"/>
    <w:rsid w:val="00F30D9F"/>
    <w:rsid w:val="00F33A6E"/>
    <w:rsid w:val="00F33A90"/>
    <w:rsid w:val="00F34B58"/>
    <w:rsid w:val="00F3571D"/>
    <w:rsid w:val="00F35B67"/>
    <w:rsid w:val="00F35EE4"/>
    <w:rsid w:val="00F3640B"/>
    <w:rsid w:val="00F365C5"/>
    <w:rsid w:val="00F368D2"/>
    <w:rsid w:val="00F3703F"/>
    <w:rsid w:val="00F401F9"/>
    <w:rsid w:val="00F41A96"/>
    <w:rsid w:val="00F41C96"/>
    <w:rsid w:val="00F42613"/>
    <w:rsid w:val="00F42B87"/>
    <w:rsid w:val="00F45619"/>
    <w:rsid w:val="00F45FE9"/>
    <w:rsid w:val="00F4613A"/>
    <w:rsid w:val="00F463A3"/>
    <w:rsid w:val="00F468DB"/>
    <w:rsid w:val="00F46A57"/>
    <w:rsid w:val="00F46C85"/>
    <w:rsid w:val="00F47363"/>
    <w:rsid w:val="00F47ADB"/>
    <w:rsid w:val="00F51C97"/>
    <w:rsid w:val="00F527C8"/>
    <w:rsid w:val="00F52FB3"/>
    <w:rsid w:val="00F53E10"/>
    <w:rsid w:val="00F541D8"/>
    <w:rsid w:val="00F549BC"/>
    <w:rsid w:val="00F559AE"/>
    <w:rsid w:val="00F55BB2"/>
    <w:rsid w:val="00F564F5"/>
    <w:rsid w:val="00F56F4A"/>
    <w:rsid w:val="00F56FF7"/>
    <w:rsid w:val="00F60617"/>
    <w:rsid w:val="00F609C0"/>
    <w:rsid w:val="00F6137B"/>
    <w:rsid w:val="00F63D80"/>
    <w:rsid w:val="00F63F90"/>
    <w:rsid w:val="00F6407D"/>
    <w:rsid w:val="00F64A9B"/>
    <w:rsid w:val="00F650D8"/>
    <w:rsid w:val="00F65B1B"/>
    <w:rsid w:val="00F6689C"/>
    <w:rsid w:val="00F66D3D"/>
    <w:rsid w:val="00F66E07"/>
    <w:rsid w:val="00F671D4"/>
    <w:rsid w:val="00F67294"/>
    <w:rsid w:val="00F71135"/>
    <w:rsid w:val="00F71E30"/>
    <w:rsid w:val="00F71E49"/>
    <w:rsid w:val="00F73684"/>
    <w:rsid w:val="00F73DC4"/>
    <w:rsid w:val="00F74483"/>
    <w:rsid w:val="00F74DBC"/>
    <w:rsid w:val="00F75877"/>
    <w:rsid w:val="00F75FA7"/>
    <w:rsid w:val="00F76C9D"/>
    <w:rsid w:val="00F77030"/>
    <w:rsid w:val="00F77D78"/>
    <w:rsid w:val="00F811C9"/>
    <w:rsid w:val="00F8166E"/>
    <w:rsid w:val="00F81922"/>
    <w:rsid w:val="00F82859"/>
    <w:rsid w:val="00F8366A"/>
    <w:rsid w:val="00F83EA6"/>
    <w:rsid w:val="00F844FE"/>
    <w:rsid w:val="00F8502F"/>
    <w:rsid w:val="00F855AA"/>
    <w:rsid w:val="00F85A80"/>
    <w:rsid w:val="00F86534"/>
    <w:rsid w:val="00F86902"/>
    <w:rsid w:val="00F86F04"/>
    <w:rsid w:val="00F87174"/>
    <w:rsid w:val="00F90B15"/>
    <w:rsid w:val="00F91CAF"/>
    <w:rsid w:val="00F93B65"/>
    <w:rsid w:val="00F94D70"/>
    <w:rsid w:val="00F94FC8"/>
    <w:rsid w:val="00F951FD"/>
    <w:rsid w:val="00F95FBE"/>
    <w:rsid w:val="00F96B9D"/>
    <w:rsid w:val="00F96BA5"/>
    <w:rsid w:val="00F97541"/>
    <w:rsid w:val="00F97607"/>
    <w:rsid w:val="00FA1077"/>
    <w:rsid w:val="00FA2787"/>
    <w:rsid w:val="00FA3A77"/>
    <w:rsid w:val="00FA4723"/>
    <w:rsid w:val="00FA5172"/>
    <w:rsid w:val="00FA5E4F"/>
    <w:rsid w:val="00FA7ABC"/>
    <w:rsid w:val="00FA7D99"/>
    <w:rsid w:val="00FB0100"/>
    <w:rsid w:val="00FB0291"/>
    <w:rsid w:val="00FB0B01"/>
    <w:rsid w:val="00FB0DE2"/>
    <w:rsid w:val="00FB12F7"/>
    <w:rsid w:val="00FB1FF9"/>
    <w:rsid w:val="00FB2271"/>
    <w:rsid w:val="00FB2321"/>
    <w:rsid w:val="00FB2B84"/>
    <w:rsid w:val="00FB4B82"/>
    <w:rsid w:val="00FB4BAD"/>
    <w:rsid w:val="00FB4C68"/>
    <w:rsid w:val="00FB5911"/>
    <w:rsid w:val="00FB619E"/>
    <w:rsid w:val="00FB65A8"/>
    <w:rsid w:val="00FB672C"/>
    <w:rsid w:val="00FB6BB6"/>
    <w:rsid w:val="00FB6BE0"/>
    <w:rsid w:val="00FB79D8"/>
    <w:rsid w:val="00FC0242"/>
    <w:rsid w:val="00FC1155"/>
    <w:rsid w:val="00FC1355"/>
    <w:rsid w:val="00FC1613"/>
    <w:rsid w:val="00FC1FC2"/>
    <w:rsid w:val="00FC20FC"/>
    <w:rsid w:val="00FC2BEC"/>
    <w:rsid w:val="00FC34BD"/>
    <w:rsid w:val="00FC4759"/>
    <w:rsid w:val="00FC47D2"/>
    <w:rsid w:val="00FC48E1"/>
    <w:rsid w:val="00FC5171"/>
    <w:rsid w:val="00FC5333"/>
    <w:rsid w:val="00FC625F"/>
    <w:rsid w:val="00FC63C9"/>
    <w:rsid w:val="00FC662D"/>
    <w:rsid w:val="00FC7594"/>
    <w:rsid w:val="00FC7D78"/>
    <w:rsid w:val="00FD12D4"/>
    <w:rsid w:val="00FD1A82"/>
    <w:rsid w:val="00FD298E"/>
    <w:rsid w:val="00FD2BAA"/>
    <w:rsid w:val="00FD2EF8"/>
    <w:rsid w:val="00FD3C7F"/>
    <w:rsid w:val="00FD3C9D"/>
    <w:rsid w:val="00FD5471"/>
    <w:rsid w:val="00FD57F3"/>
    <w:rsid w:val="00FD592B"/>
    <w:rsid w:val="00FD5DF5"/>
    <w:rsid w:val="00FD65E0"/>
    <w:rsid w:val="00FD6659"/>
    <w:rsid w:val="00FD695D"/>
    <w:rsid w:val="00FD6AF2"/>
    <w:rsid w:val="00FD6CAC"/>
    <w:rsid w:val="00FE0622"/>
    <w:rsid w:val="00FE1254"/>
    <w:rsid w:val="00FE12F3"/>
    <w:rsid w:val="00FE1FFA"/>
    <w:rsid w:val="00FE2089"/>
    <w:rsid w:val="00FE22AD"/>
    <w:rsid w:val="00FE2481"/>
    <w:rsid w:val="00FE2B2E"/>
    <w:rsid w:val="00FE3015"/>
    <w:rsid w:val="00FE3C69"/>
    <w:rsid w:val="00FE4F43"/>
    <w:rsid w:val="00FE5BF7"/>
    <w:rsid w:val="00FE5CE9"/>
    <w:rsid w:val="00FE5F93"/>
    <w:rsid w:val="00FE615D"/>
    <w:rsid w:val="00FE767D"/>
    <w:rsid w:val="00FE7CB6"/>
    <w:rsid w:val="00FF15E3"/>
    <w:rsid w:val="00FF2156"/>
    <w:rsid w:val="00FF3124"/>
    <w:rsid w:val="00FF4868"/>
    <w:rsid w:val="00FF4E0F"/>
    <w:rsid w:val="00FF6784"/>
    <w:rsid w:val="00FF6C1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7A7187D4"/>
  <w15:docId w15:val="{7D4E0A81-6A9B-4A94-9FCE-3018B39B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53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C60"/>
    <w:pPr>
      <w:ind w:left="720"/>
      <w:contextualSpacing/>
    </w:pPr>
  </w:style>
  <w:style w:type="paragraph" w:styleId="BalloonText">
    <w:name w:val="Balloon Text"/>
    <w:basedOn w:val="Normal"/>
    <w:link w:val="BalloonTextChar"/>
    <w:uiPriority w:val="99"/>
    <w:semiHidden/>
    <w:unhideWhenUsed/>
    <w:rsid w:val="00BB2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7DF"/>
    <w:rPr>
      <w:rFonts w:ascii="Tahoma" w:hAnsi="Tahoma" w:cs="Tahoma"/>
      <w:sz w:val="16"/>
      <w:szCs w:val="16"/>
    </w:rPr>
  </w:style>
  <w:style w:type="paragraph" w:styleId="FootnoteText">
    <w:name w:val="footnote text"/>
    <w:basedOn w:val="Normal"/>
    <w:link w:val="FootnoteTextChar"/>
    <w:uiPriority w:val="99"/>
    <w:unhideWhenUsed/>
    <w:rsid w:val="00D3388D"/>
    <w:pPr>
      <w:spacing w:after="0" w:line="240" w:lineRule="auto"/>
    </w:pPr>
    <w:rPr>
      <w:sz w:val="20"/>
      <w:szCs w:val="20"/>
    </w:rPr>
  </w:style>
  <w:style w:type="character" w:customStyle="1" w:styleId="FootnoteTextChar">
    <w:name w:val="Footnote Text Char"/>
    <w:basedOn w:val="DefaultParagraphFont"/>
    <w:link w:val="FootnoteText"/>
    <w:uiPriority w:val="99"/>
    <w:rsid w:val="00D3388D"/>
    <w:rPr>
      <w:sz w:val="20"/>
      <w:szCs w:val="20"/>
    </w:rPr>
  </w:style>
  <w:style w:type="character" w:styleId="FootnoteReference">
    <w:name w:val="footnote reference"/>
    <w:basedOn w:val="DefaultParagraphFont"/>
    <w:uiPriority w:val="99"/>
    <w:semiHidden/>
    <w:unhideWhenUsed/>
    <w:rsid w:val="00D3388D"/>
    <w:rPr>
      <w:vertAlign w:val="superscript"/>
    </w:rPr>
  </w:style>
  <w:style w:type="character" w:styleId="Hyperlink">
    <w:name w:val="Hyperlink"/>
    <w:basedOn w:val="DefaultParagraphFont"/>
    <w:uiPriority w:val="99"/>
    <w:unhideWhenUsed/>
    <w:rsid w:val="00194BFA"/>
    <w:rPr>
      <w:color w:val="0000FF" w:themeColor="hyperlink"/>
      <w:u w:val="single"/>
    </w:rPr>
  </w:style>
  <w:style w:type="character" w:styleId="PlaceholderText">
    <w:name w:val="Placeholder Text"/>
    <w:basedOn w:val="DefaultParagraphFont"/>
    <w:uiPriority w:val="99"/>
    <w:semiHidden/>
    <w:rsid w:val="00333E81"/>
    <w:rPr>
      <w:color w:val="808080"/>
    </w:rPr>
  </w:style>
  <w:style w:type="paragraph" w:styleId="Header">
    <w:name w:val="header"/>
    <w:basedOn w:val="Normal"/>
    <w:link w:val="HeaderChar"/>
    <w:uiPriority w:val="99"/>
    <w:unhideWhenUsed/>
    <w:rsid w:val="001D17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1755"/>
  </w:style>
  <w:style w:type="paragraph" w:styleId="Footer">
    <w:name w:val="footer"/>
    <w:basedOn w:val="Normal"/>
    <w:link w:val="FooterChar"/>
    <w:uiPriority w:val="99"/>
    <w:unhideWhenUsed/>
    <w:rsid w:val="001D17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1755"/>
  </w:style>
  <w:style w:type="table" w:styleId="TableGrid">
    <w:name w:val="Table Grid"/>
    <w:basedOn w:val="TableNormal"/>
    <w:uiPriority w:val="59"/>
    <w:rsid w:val="001D1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142722"/>
    <w:pPr>
      <w:jc w:val="right"/>
    </w:pPr>
  </w:style>
  <w:style w:type="character" w:customStyle="1" w:styleId="DateChar">
    <w:name w:val="Date Char"/>
    <w:basedOn w:val="DefaultParagraphFont"/>
    <w:link w:val="Date"/>
    <w:uiPriority w:val="99"/>
    <w:semiHidden/>
    <w:rsid w:val="00142722"/>
  </w:style>
  <w:style w:type="character" w:styleId="CommentReference">
    <w:name w:val="annotation reference"/>
    <w:basedOn w:val="DefaultParagraphFont"/>
    <w:uiPriority w:val="99"/>
    <w:semiHidden/>
    <w:unhideWhenUsed/>
    <w:rsid w:val="00211FF7"/>
    <w:rPr>
      <w:sz w:val="18"/>
      <w:szCs w:val="18"/>
    </w:rPr>
  </w:style>
  <w:style w:type="paragraph" w:styleId="CommentText">
    <w:name w:val="annotation text"/>
    <w:basedOn w:val="Normal"/>
    <w:link w:val="CommentTextChar"/>
    <w:uiPriority w:val="99"/>
    <w:semiHidden/>
    <w:unhideWhenUsed/>
    <w:rsid w:val="00211FF7"/>
  </w:style>
  <w:style w:type="character" w:customStyle="1" w:styleId="CommentTextChar">
    <w:name w:val="Comment Text Char"/>
    <w:basedOn w:val="DefaultParagraphFont"/>
    <w:link w:val="CommentText"/>
    <w:uiPriority w:val="99"/>
    <w:semiHidden/>
    <w:rsid w:val="00211FF7"/>
  </w:style>
  <w:style w:type="paragraph" w:styleId="CommentSubject">
    <w:name w:val="annotation subject"/>
    <w:basedOn w:val="CommentText"/>
    <w:next w:val="CommentText"/>
    <w:link w:val="CommentSubjectChar"/>
    <w:uiPriority w:val="99"/>
    <w:semiHidden/>
    <w:unhideWhenUsed/>
    <w:rsid w:val="00211FF7"/>
    <w:rPr>
      <w:b/>
      <w:bCs/>
    </w:rPr>
  </w:style>
  <w:style w:type="character" w:customStyle="1" w:styleId="CommentSubjectChar">
    <w:name w:val="Comment Subject Char"/>
    <w:basedOn w:val="CommentTextChar"/>
    <w:link w:val="CommentSubject"/>
    <w:uiPriority w:val="99"/>
    <w:semiHidden/>
    <w:rsid w:val="00211FF7"/>
    <w:rPr>
      <w:b/>
      <w:bCs/>
    </w:rPr>
  </w:style>
  <w:style w:type="character" w:customStyle="1" w:styleId="UnresolvedMention">
    <w:name w:val="Unresolved Mention"/>
    <w:basedOn w:val="DefaultParagraphFont"/>
    <w:uiPriority w:val="99"/>
    <w:semiHidden/>
    <w:unhideWhenUsed/>
    <w:rsid w:val="007F4D73"/>
    <w:rPr>
      <w:color w:val="605E5C"/>
      <w:shd w:val="clear" w:color="auto" w:fill="E1DFDD"/>
    </w:rPr>
  </w:style>
  <w:style w:type="paragraph" w:styleId="Revision">
    <w:name w:val="Revision"/>
    <w:hidden/>
    <w:uiPriority w:val="99"/>
    <w:semiHidden/>
    <w:rsid w:val="00370E93"/>
    <w:pPr>
      <w:spacing w:after="0" w:line="240" w:lineRule="auto"/>
    </w:pPr>
  </w:style>
  <w:style w:type="paragraph" w:styleId="NormalWeb">
    <w:name w:val="Normal (Web)"/>
    <w:basedOn w:val="Normal"/>
    <w:uiPriority w:val="99"/>
    <w:semiHidden/>
    <w:unhideWhenUsed/>
    <w:rsid w:val="00CA649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F088C"/>
    <w:rPr>
      <w:color w:val="800080" w:themeColor="followedHyperlink"/>
      <w:u w:val="single"/>
    </w:rPr>
  </w:style>
  <w:style w:type="character" w:customStyle="1" w:styleId="Heading1Char">
    <w:name w:val="Heading 1 Char"/>
    <w:basedOn w:val="DefaultParagraphFont"/>
    <w:link w:val="Heading1"/>
    <w:uiPriority w:val="9"/>
    <w:rsid w:val="00B25315"/>
    <w:rPr>
      <w:rFonts w:ascii="Times New Roman" w:eastAsia="Times New Roman" w:hAnsi="Times New Roman" w:cs="Times New Roman"/>
      <w:b/>
      <w:bCs/>
      <w:kern w:val="36"/>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574179">
      <w:bodyDiv w:val="1"/>
      <w:marLeft w:val="0"/>
      <w:marRight w:val="0"/>
      <w:marTop w:val="0"/>
      <w:marBottom w:val="0"/>
      <w:divBdr>
        <w:top w:val="none" w:sz="0" w:space="0" w:color="auto"/>
        <w:left w:val="none" w:sz="0" w:space="0" w:color="auto"/>
        <w:bottom w:val="none" w:sz="0" w:space="0" w:color="auto"/>
        <w:right w:val="none" w:sz="0" w:space="0" w:color="auto"/>
      </w:divBdr>
    </w:div>
    <w:div w:id="353264491">
      <w:bodyDiv w:val="1"/>
      <w:marLeft w:val="0"/>
      <w:marRight w:val="0"/>
      <w:marTop w:val="0"/>
      <w:marBottom w:val="0"/>
      <w:divBdr>
        <w:top w:val="none" w:sz="0" w:space="0" w:color="auto"/>
        <w:left w:val="none" w:sz="0" w:space="0" w:color="auto"/>
        <w:bottom w:val="none" w:sz="0" w:space="0" w:color="auto"/>
        <w:right w:val="none" w:sz="0" w:space="0" w:color="auto"/>
      </w:divBdr>
    </w:div>
    <w:div w:id="574246307">
      <w:bodyDiv w:val="1"/>
      <w:marLeft w:val="0"/>
      <w:marRight w:val="0"/>
      <w:marTop w:val="0"/>
      <w:marBottom w:val="0"/>
      <w:divBdr>
        <w:top w:val="none" w:sz="0" w:space="0" w:color="auto"/>
        <w:left w:val="none" w:sz="0" w:space="0" w:color="auto"/>
        <w:bottom w:val="none" w:sz="0" w:space="0" w:color="auto"/>
        <w:right w:val="none" w:sz="0" w:space="0" w:color="auto"/>
      </w:divBdr>
    </w:div>
    <w:div w:id="605691875">
      <w:bodyDiv w:val="1"/>
      <w:marLeft w:val="0"/>
      <w:marRight w:val="0"/>
      <w:marTop w:val="0"/>
      <w:marBottom w:val="0"/>
      <w:divBdr>
        <w:top w:val="none" w:sz="0" w:space="0" w:color="auto"/>
        <w:left w:val="none" w:sz="0" w:space="0" w:color="auto"/>
        <w:bottom w:val="none" w:sz="0" w:space="0" w:color="auto"/>
        <w:right w:val="none" w:sz="0" w:space="0" w:color="auto"/>
      </w:divBdr>
    </w:div>
    <w:div w:id="905190037">
      <w:bodyDiv w:val="1"/>
      <w:marLeft w:val="0"/>
      <w:marRight w:val="0"/>
      <w:marTop w:val="0"/>
      <w:marBottom w:val="0"/>
      <w:divBdr>
        <w:top w:val="none" w:sz="0" w:space="0" w:color="auto"/>
        <w:left w:val="none" w:sz="0" w:space="0" w:color="auto"/>
        <w:bottom w:val="none" w:sz="0" w:space="0" w:color="auto"/>
        <w:right w:val="none" w:sz="0" w:space="0" w:color="auto"/>
      </w:divBdr>
    </w:div>
    <w:div w:id="987704256">
      <w:bodyDiv w:val="1"/>
      <w:marLeft w:val="0"/>
      <w:marRight w:val="0"/>
      <w:marTop w:val="0"/>
      <w:marBottom w:val="0"/>
      <w:divBdr>
        <w:top w:val="none" w:sz="0" w:space="0" w:color="auto"/>
        <w:left w:val="none" w:sz="0" w:space="0" w:color="auto"/>
        <w:bottom w:val="none" w:sz="0" w:space="0" w:color="auto"/>
        <w:right w:val="none" w:sz="0" w:space="0" w:color="auto"/>
      </w:divBdr>
    </w:div>
    <w:div w:id="1073897434">
      <w:bodyDiv w:val="1"/>
      <w:marLeft w:val="0"/>
      <w:marRight w:val="0"/>
      <w:marTop w:val="0"/>
      <w:marBottom w:val="0"/>
      <w:divBdr>
        <w:top w:val="none" w:sz="0" w:space="0" w:color="auto"/>
        <w:left w:val="none" w:sz="0" w:space="0" w:color="auto"/>
        <w:bottom w:val="none" w:sz="0" w:space="0" w:color="auto"/>
        <w:right w:val="none" w:sz="0" w:space="0" w:color="auto"/>
      </w:divBdr>
    </w:div>
    <w:div w:id="1096754970">
      <w:bodyDiv w:val="1"/>
      <w:marLeft w:val="0"/>
      <w:marRight w:val="0"/>
      <w:marTop w:val="0"/>
      <w:marBottom w:val="0"/>
      <w:divBdr>
        <w:top w:val="none" w:sz="0" w:space="0" w:color="auto"/>
        <w:left w:val="none" w:sz="0" w:space="0" w:color="auto"/>
        <w:bottom w:val="none" w:sz="0" w:space="0" w:color="auto"/>
        <w:right w:val="none" w:sz="0" w:space="0" w:color="auto"/>
      </w:divBdr>
    </w:div>
    <w:div w:id="1139616764">
      <w:bodyDiv w:val="1"/>
      <w:marLeft w:val="0"/>
      <w:marRight w:val="0"/>
      <w:marTop w:val="0"/>
      <w:marBottom w:val="0"/>
      <w:divBdr>
        <w:top w:val="none" w:sz="0" w:space="0" w:color="auto"/>
        <w:left w:val="none" w:sz="0" w:space="0" w:color="auto"/>
        <w:bottom w:val="none" w:sz="0" w:space="0" w:color="auto"/>
        <w:right w:val="none" w:sz="0" w:space="0" w:color="auto"/>
      </w:divBdr>
    </w:div>
    <w:div w:id="1227303210">
      <w:bodyDiv w:val="1"/>
      <w:marLeft w:val="0"/>
      <w:marRight w:val="0"/>
      <w:marTop w:val="0"/>
      <w:marBottom w:val="0"/>
      <w:divBdr>
        <w:top w:val="none" w:sz="0" w:space="0" w:color="auto"/>
        <w:left w:val="none" w:sz="0" w:space="0" w:color="auto"/>
        <w:bottom w:val="none" w:sz="0" w:space="0" w:color="auto"/>
        <w:right w:val="none" w:sz="0" w:space="0" w:color="auto"/>
      </w:divBdr>
    </w:div>
    <w:div w:id="1274628322">
      <w:bodyDiv w:val="1"/>
      <w:marLeft w:val="0"/>
      <w:marRight w:val="0"/>
      <w:marTop w:val="0"/>
      <w:marBottom w:val="0"/>
      <w:divBdr>
        <w:top w:val="none" w:sz="0" w:space="0" w:color="auto"/>
        <w:left w:val="none" w:sz="0" w:space="0" w:color="auto"/>
        <w:bottom w:val="none" w:sz="0" w:space="0" w:color="auto"/>
        <w:right w:val="none" w:sz="0" w:space="0" w:color="auto"/>
      </w:divBdr>
    </w:div>
    <w:div w:id="1395469539">
      <w:bodyDiv w:val="1"/>
      <w:marLeft w:val="0"/>
      <w:marRight w:val="0"/>
      <w:marTop w:val="0"/>
      <w:marBottom w:val="0"/>
      <w:divBdr>
        <w:top w:val="none" w:sz="0" w:space="0" w:color="auto"/>
        <w:left w:val="none" w:sz="0" w:space="0" w:color="auto"/>
        <w:bottom w:val="none" w:sz="0" w:space="0" w:color="auto"/>
        <w:right w:val="none" w:sz="0" w:space="0" w:color="auto"/>
      </w:divBdr>
    </w:div>
    <w:div w:id="201372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enstatd.gov.hk/en/EIndexbySubject.html?pcode=B1060002&amp;scode=270" TargetMode="External"/><Relationship Id="rId13" Type="http://schemas.openxmlformats.org/officeDocument/2006/relationships/hyperlink" Target="https://www.hkma.gov.hk/media/eng/publication-and-research/quarterly-bulletin/qb200506/fa2.pdf" TargetMode="External"/><Relationship Id="rId18" Type="http://schemas.openxmlformats.org/officeDocument/2006/relationships/hyperlink" Target="https://www.aeaweb.org/articles?id=10.1257/jel.20201325" TargetMode="External"/><Relationship Id="rId3" Type="http://schemas.openxmlformats.org/officeDocument/2006/relationships/hyperlink" Target="https://doi.org/10.1016/j.jfineco.2017.06.012" TargetMode="External"/><Relationship Id="rId7" Type="http://schemas.openxmlformats.org/officeDocument/2006/relationships/hyperlink" Target="https://www.censtatd.gov.hk/en/web_table.html?id=52" TargetMode="External"/><Relationship Id="rId12" Type="http://schemas.openxmlformats.org/officeDocument/2006/relationships/hyperlink" Target="https://www.hkma.gov.hk/media/eng/publication-and-research/quarterly-bulletin/qb200208/fa2.pdf" TargetMode="External"/><Relationship Id="rId17" Type="http://schemas.openxmlformats.org/officeDocument/2006/relationships/hyperlink" Target="https://www.jstor.org/stable/41236106" TargetMode="External"/><Relationship Id="rId2" Type="http://schemas.openxmlformats.org/officeDocument/2006/relationships/hyperlink" Target="https://www.bis.org/publ/bppdf/bispap89k.pdf" TargetMode="External"/><Relationship Id="rId16" Type="http://schemas.openxmlformats.org/officeDocument/2006/relationships/hyperlink" Target="http://nrs.harvard.edu/urn-3:HUL.InstRepos:3122490" TargetMode="External"/><Relationship Id="rId1" Type="http://schemas.openxmlformats.org/officeDocument/2006/relationships/hyperlink" Target="https://www.censtatd.gov.hk/en/EIndexbySubject.html?pcode=B1060003&amp;scode=270" TargetMode="External"/><Relationship Id="rId6" Type="http://schemas.openxmlformats.org/officeDocument/2006/relationships/hyperlink" Target="https://www.rvd.gov.hk/en/faqs/rates.html" TargetMode="External"/><Relationship Id="rId11" Type="http://schemas.openxmlformats.org/officeDocument/2006/relationships/hyperlink" Target="https://www.censtatd.gov.hk/en/EIndexbySubject.html?pcode=FA100215&amp;scode=270" TargetMode="External"/><Relationship Id="rId5" Type="http://schemas.openxmlformats.org/officeDocument/2006/relationships/hyperlink" Target="https://www.rvd.gov.hk/doc/en/statistics/15_technotes.pdf" TargetMode="External"/><Relationship Id="rId15" Type="http://schemas.openxmlformats.org/officeDocument/2006/relationships/hyperlink" Target="https://www.jstor.org/stable/1913610" TargetMode="External"/><Relationship Id="rId10" Type="http://schemas.openxmlformats.org/officeDocument/2006/relationships/hyperlink" Target="https://oll.libertyfund.org/title/fisher-the-theory-of-interest" TargetMode="External"/><Relationship Id="rId19" Type="http://schemas.openxmlformats.org/officeDocument/2006/relationships/hyperlink" Target="https://www.worldbank.org/commodities" TargetMode="External"/><Relationship Id="rId4" Type="http://schemas.openxmlformats.org/officeDocument/2006/relationships/hyperlink" Target="https://www.rvd.gov.hk/en/publications/property_market_statistics.html" TargetMode="External"/><Relationship Id="rId9" Type="http://schemas.openxmlformats.org/officeDocument/2006/relationships/hyperlink" Target="https://www.censtatd.gov.hk/en/EIndexbySubject.html?pcode=B1010003&amp;scode=460" TargetMode="External"/><Relationship Id="rId14" Type="http://schemas.openxmlformats.org/officeDocument/2006/relationships/hyperlink" Target="https://www.jstor.org/stable/233618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Sheet1!$D$2</c:f>
              <c:strCache>
                <c:ptCount val="1"/>
                <c:pt idx="0">
                  <c:v>Private Domestic Property Price Index (Overall, LHS)</c:v>
                </c:pt>
              </c:strCache>
            </c:strRef>
          </c:tx>
          <c:spPr>
            <a:ln w="28575" cap="rnd">
              <a:solidFill>
                <a:schemeClr val="accent1"/>
              </a:solidFill>
              <a:round/>
            </a:ln>
            <a:effectLst/>
          </c:spPr>
          <c:marker>
            <c:symbol val="none"/>
          </c:marker>
          <c:cat>
            <c:numRef>
              <c:f>Sheet1!$A$4:$A$41</c:f>
              <c:numCache>
                <c:formatCode>General</c:formatCode>
                <c:ptCount val="38"/>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pt idx="30">
                  <c:v>2014</c:v>
                </c:pt>
                <c:pt idx="31">
                  <c:v>2015</c:v>
                </c:pt>
                <c:pt idx="32">
                  <c:v>2016</c:v>
                </c:pt>
                <c:pt idx="33">
                  <c:v>2017</c:v>
                </c:pt>
                <c:pt idx="34">
                  <c:v>2018</c:v>
                </c:pt>
                <c:pt idx="35">
                  <c:v>2019</c:v>
                </c:pt>
                <c:pt idx="36">
                  <c:v>2020</c:v>
                </c:pt>
                <c:pt idx="37">
                  <c:v>2021</c:v>
                </c:pt>
              </c:numCache>
            </c:numRef>
          </c:cat>
          <c:val>
            <c:numRef>
              <c:f>Sheet1!$D$4:$D$41</c:f>
              <c:numCache>
                <c:formatCode>General</c:formatCode>
                <c:ptCount val="38"/>
                <c:pt idx="0">
                  <c:v>-4.4444444444444509E-2</c:v>
                </c:pt>
                <c:pt idx="1">
                  <c:v>0.10465116279069764</c:v>
                </c:pt>
                <c:pt idx="2">
                  <c:v>0.1210526315789473</c:v>
                </c:pt>
                <c:pt idx="3">
                  <c:v>0.23474178403755874</c:v>
                </c:pt>
                <c:pt idx="4">
                  <c:v>0.21292775665399222</c:v>
                </c:pt>
                <c:pt idx="5">
                  <c:v>0.26018808777429481</c:v>
                </c:pt>
                <c:pt idx="6">
                  <c:v>0.11442786069651723</c:v>
                </c:pt>
                <c:pt idx="7">
                  <c:v>0.36383928571428581</c:v>
                </c:pt>
                <c:pt idx="8">
                  <c:v>0.39443535188216039</c:v>
                </c:pt>
                <c:pt idx="9">
                  <c:v>9.1549295774647765E-2</c:v>
                </c:pt>
                <c:pt idx="10">
                  <c:v>0.23548387096774204</c:v>
                </c:pt>
                <c:pt idx="11">
                  <c:v>-6.6144473455178487E-2</c:v>
                </c:pt>
                <c:pt idx="12">
                  <c:v>8.9468779123951681E-2</c:v>
                </c:pt>
                <c:pt idx="13">
                  <c:v>0.39520958083832314</c:v>
                </c:pt>
                <c:pt idx="14">
                  <c:v>-0.28203556100551808</c:v>
                </c:pt>
                <c:pt idx="15">
                  <c:v>-0.1460290350128095</c:v>
                </c:pt>
                <c:pt idx="16">
                  <c:v>-0.10400000000000009</c:v>
                </c:pt>
                <c:pt idx="17">
                  <c:v>-0.12165178571428559</c:v>
                </c:pt>
                <c:pt idx="18">
                  <c:v>-0.1118170266836086</c:v>
                </c:pt>
                <c:pt idx="19">
                  <c:v>-0.11874105865522178</c:v>
                </c:pt>
                <c:pt idx="20">
                  <c:v>0.26623376623376616</c:v>
                </c:pt>
                <c:pt idx="21">
                  <c:v>0.17948717948717952</c:v>
                </c:pt>
                <c:pt idx="22">
                  <c:v>7.6086956521739246E-3</c:v>
                </c:pt>
                <c:pt idx="23">
                  <c:v>0.11650485436893199</c:v>
                </c:pt>
                <c:pt idx="24">
                  <c:v>0.16425120772946866</c:v>
                </c:pt>
                <c:pt idx="25">
                  <c:v>6.6390041493775698E-3</c:v>
                </c:pt>
                <c:pt idx="26">
                  <c:v>0.24402308326463329</c:v>
                </c:pt>
                <c:pt idx="27">
                  <c:v>0.20675944333996021</c:v>
                </c:pt>
                <c:pt idx="28">
                  <c:v>0.1323448654585393</c:v>
                </c:pt>
                <c:pt idx="29">
                  <c:v>0.17555771096023287</c:v>
                </c:pt>
                <c:pt idx="30">
                  <c:v>5.9818481848184613E-2</c:v>
                </c:pt>
                <c:pt idx="31">
                  <c:v>0.15531335149863779</c:v>
                </c:pt>
                <c:pt idx="32">
                  <c:v>-3.6051212938005395E-2</c:v>
                </c:pt>
                <c:pt idx="33">
                  <c:v>0.16707444949318395</c:v>
                </c:pt>
                <c:pt idx="34">
                  <c:v>0.12997903563941304</c:v>
                </c:pt>
                <c:pt idx="35">
                  <c:v>1.5107341637953908E-2</c:v>
                </c:pt>
                <c:pt idx="36">
                  <c:v>-4.6997389033942572E-3</c:v>
                </c:pt>
                <c:pt idx="37">
                  <c:v>3.0167890870933967E-2</c:v>
                </c:pt>
              </c:numCache>
            </c:numRef>
          </c:val>
          <c:smooth val="0"/>
          <c:extLst>
            <c:ext xmlns:c16="http://schemas.microsoft.com/office/drawing/2014/chart" uri="{C3380CC4-5D6E-409C-BE32-E72D297353CC}">
              <c16:uniqueId val="{00000000-9688-4624-B672-4325817F7770}"/>
            </c:ext>
          </c:extLst>
        </c:ser>
        <c:dLbls>
          <c:showLegendKey val="0"/>
          <c:showVal val="0"/>
          <c:showCatName val="0"/>
          <c:showSerName val="0"/>
          <c:showPercent val="0"/>
          <c:showBubbleSize val="0"/>
        </c:dLbls>
        <c:marker val="1"/>
        <c:smooth val="0"/>
        <c:axId val="319092760"/>
        <c:axId val="319092432"/>
      </c:lineChart>
      <c:lineChart>
        <c:grouping val="standard"/>
        <c:varyColors val="0"/>
        <c:ser>
          <c:idx val="1"/>
          <c:order val="1"/>
          <c:tx>
            <c:strRef>
              <c:f>Sheet1!$E$2</c:f>
              <c:strCache>
                <c:ptCount val="1"/>
                <c:pt idx="0">
                  <c:v>CCPI (Housing, RHS)</c:v>
                </c:pt>
              </c:strCache>
            </c:strRef>
          </c:tx>
          <c:spPr>
            <a:ln w="28575" cap="rnd">
              <a:solidFill>
                <a:schemeClr val="accent2"/>
              </a:solidFill>
              <a:round/>
            </a:ln>
            <a:effectLst/>
          </c:spPr>
          <c:marker>
            <c:symbol val="none"/>
          </c:marker>
          <c:val>
            <c:numRef>
              <c:f>Sheet1!$E$4:$E$41</c:f>
              <c:numCache>
                <c:formatCode>General</c:formatCode>
                <c:ptCount val="38"/>
                <c:pt idx="0">
                  <c:v>7.6999999999999999E-2</c:v>
                </c:pt>
                <c:pt idx="1">
                  <c:v>5.5999999999999994E-2</c:v>
                </c:pt>
                <c:pt idx="2">
                  <c:v>5.2000000000000005E-2</c:v>
                </c:pt>
                <c:pt idx="3">
                  <c:v>0.05</c:v>
                </c:pt>
                <c:pt idx="4">
                  <c:v>0.05</c:v>
                </c:pt>
                <c:pt idx="5">
                  <c:v>8.4000000000000005E-2</c:v>
                </c:pt>
                <c:pt idx="6">
                  <c:v>0.11199999999999999</c:v>
                </c:pt>
                <c:pt idx="7">
                  <c:v>0.129</c:v>
                </c:pt>
                <c:pt idx="8">
                  <c:v>0.129</c:v>
                </c:pt>
                <c:pt idx="9">
                  <c:v>0.13100000000000001</c:v>
                </c:pt>
                <c:pt idx="10">
                  <c:v>0.126</c:v>
                </c:pt>
                <c:pt idx="11">
                  <c:v>0.13</c:v>
                </c:pt>
                <c:pt idx="12">
                  <c:v>0.10199999999999999</c:v>
                </c:pt>
                <c:pt idx="13">
                  <c:v>9.1999999999999998E-2</c:v>
                </c:pt>
                <c:pt idx="14">
                  <c:v>4.7E-2</c:v>
                </c:pt>
                <c:pt idx="15">
                  <c:v>-5.0999999999999997E-2</c:v>
                </c:pt>
                <c:pt idx="16">
                  <c:v>-8.199999999999999E-2</c:v>
                </c:pt>
                <c:pt idx="17">
                  <c:v>-3.1E-2</c:v>
                </c:pt>
                <c:pt idx="18">
                  <c:v>-5.7000000000000002E-2</c:v>
                </c:pt>
                <c:pt idx="19">
                  <c:v>-4.8000000000000001E-2</c:v>
                </c:pt>
                <c:pt idx="20">
                  <c:v>-5.2000000000000005E-2</c:v>
                </c:pt>
                <c:pt idx="21">
                  <c:v>1E-3</c:v>
                </c:pt>
                <c:pt idx="22">
                  <c:v>4.7E-2</c:v>
                </c:pt>
                <c:pt idx="23">
                  <c:v>0.02</c:v>
                </c:pt>
                <c:pt idx="24">
                  <c:v>4.0999999999999995E-2</c:v>
                </c:pt>
                <c:pt idx="25">
                  <c:v>3.7000000000000005E-2</c:v>
                </c:pt>
                <c:pt idx="26">
                  <c:v>4.0000000000000001E-3</c:v>
                </c:pt>
                <c:pt idx="27">
                  <c:v>7.2000000000000008E-2</c:v>
                </c:pt>
                <c:pt idx="28">
                  <c:v>5.5999999999999994E-2</c:v>
                </c:pt>
                <c:pt idx="29">
                  <c:v>6.7000000000000004E-2</c:v>
                </c:pt>
                <c:pt idx="30">
                  <c:v>6.7000000000000004E-2</c:v>
                </c:pt>
                <c:pt idx="31">
                  <c:v>5.0999999999999997E-2</c:v>
                </c:pt>
                <c:pt idx="32">
                  <c:v>3.7000000000000005E-2</c:v>
                </c:pt>
                <c:pt idx="33">
                  <c:v>0.02</c:v>
                </c:pt>
                <c:pt idx="34">
                  <c:v>2.5000000000000001E-2</c:v>
                </c:pt>
                <c:pt idx="35">
                  <c:v>3.5000000000000003E-2</c:v>
                </c:pt>
                <c:pt idx="36">
                  <c:v>-1E-3</c:v>
                </c:pt>
                <c:pt idx="37">
                  <c:v>3.0000000000000001E-3</c:v>
                </c:pt>
              </c:numCache>
            </c:numRef>
          </c:val>
          <c:smooth val="0"/>
          <c:extLst>
            <c:ext xmlns:c16="http://schemas.microsoft.com/office/drawing/2014/chart" uri="{C3380CC4-5D6E-409C-BE32-E72D297353CC}">
              <c16:uniqueId val="{00000001-9688-4624-B672-4325817F7770}"/>
            </c:ext>
          </c:extLst>
        </c:ser>
        <c:dLbls>
          <c:showLegendKey val="0"/>
          <c:showVal val="0"/>
          <c:showCatName val="0"/>
          <c:showSerName val="0"/>
          <c:showPercent val="0"/>
          <c:showBubbleSize val="0"/>
        </c:dLbls>
        <c:marker val="1"/>
        <c:smooth val="0"/>
        <c:axId val="485420792"/>
        <c:axId val="485422104"/>
      </c:lineChart>
      <c:catAx>
        <c:axId val="31909276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9092432"/>
        <c:crosses val="autoZero"/>
        <c:auto val="1"/>
        <c:lblAlgn val="ctr"/>
        <c:lblOffset val="100"/>
        <c:noMultiLvlLbl val="0"/>
      </c:catAx>
      <c:valAx>
        <c:axId val="319092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solidFill>
                      <a:sysClr val="windowText" lastClr="000000"/>
                    </a:solidFill>
                    <a:latin typeface="Times New Roman" panose="02020603050405020304" pitchFamily="18" charset="0"/>
                    <a:cs typeface="Times New Roman" panose="02020603050405020304" pitchFamily="18" charset="0"/>
                  </a:rPr>
                  <a:t>Year-on-Year</a:t>
                </a:r>
                <a:r>
                  <a:rPr lang="en-GB" baseline="0">
                    <a:solidFill>
                      <a:sysClr val="windowText" lastClr="000000"/>
                    </a:solidFill>
                    <a:latin typeface="Times New Roman" panose="02020603050405020304" pitchFamily="18" charset="0"/>
                    <a:cs typeface="Times New Roman" panose="02020603050405020304" pitchFamily="18" charset="0"/>
                  </a:rPr>
                  <a:t> Change</a:t>
                </a:r>
                <a:endParaRPr lang="en-GB">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solidFill>
                <a:latin typeface="Times New Roman" panose="02020603050405020304" pitchFamily="18" charset="0"/>
                <a:ea typeface="+mn-ea"/>
                <a:cs typeface="Times New Roman" panose="02020603050405020304" pitchFamily="18" charset="0"/>
              </a:defRPr>
            </a:pPr>
            <a:endParaRPr lang="en-US"/>
          </a:p>
        </c:txPr>
        <c:crossAx val="319092760"/>
        <c:crosses val="autoZero"/>
        <c:crossBetween val="between"/>
      </c:valAx>
      <c:valAx>
        <c:axId val="485422104"/>
        <c:scaling>
          <c:orientation val="minMax"/>
          <c:max val="0.2"/>
          <c:min val="-0.16000000000000003"/>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2"/>
                </a:solidFill>
                <a:latin typeface="Times New Roman" panose="02020603050405020304" pitchFamily="18" charset="0"/>
                <a:ea typeface="+mn-ea"/>
                <a:cs typeface="Times New Roman" panose="02020603050405020304" pitchFamily="18" charset="0"/>
              </a:defRPr>
            </a:pPr>
            <a:endParaRPr lang="en-US"/>
          </a:p>
        </c:txPr>
        <c:crossAx val="485420792"/>
        <c:crosses val="max"/>
        <c:crossBetween val="between"/>
        <c:majorUnit val="4.0000000000000008E-2"/>
      </c:valAx>
      <c:catAx>
        <c:axId val="485420792"/>
        <c:scaling>
          <c:orientation val="minMax"/>
        </c:scaling>
        <c:delete val="1"/>
        <c:axPos val="b"/>
        <c:majorTickMark val="out"/>
        <c:minorTickMark val="none"/>
        <c:tickLblPos val="nextTo"/>
        <c:crossAx val="48542210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Housing CCPI</c:v>
                </c:pt>
              </c:strCache>
            </c:strRef>
          </c:tx>
          <c:spPr>
            <a:ln w="28575" cap="rnd">
              <a:solidFill>
                <a:schemeClr val="accent1"/>
              </a:solidFill>
              <a:round/>
            </a:ln>
            <a:effectLst/>
          </c:spPr>
          <c:marker>
            <c:symbol val="none"/>
          </c:marker>
          <c:dLbls>
            <c:dLbl>
              <c:idx val="4"/>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68E-48B2-AD8D-8597D91B6717}"/>
                </c:ext>
              </c:extLst>
            </c:dLbl>
            <c:dLbl>
              <c:idx val="8"/>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68E-48B2-AD8D-8597D91B6717}"/>
                </c:ext>
              </c:extLst>
            </c:dLbl>
            <c:dLbl>
              <c:idx val="12"/>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68E-48B2-AD8D-8597D91B6717}"/>
                </c:ext>
              </c:extLst>
            </c:dLbl>
            <c:dLbl>
              <c:idx val="16"/>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68E-48B2-AD8D-8597D91B6717}"/>
                </c:ext>
              </c:extLst>
            </c:dLbl>
            <c:dLbl>
              <c:idx val="20"/>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68E-48B2-AD8D-8597D91B6717}"/>
                </c:ext>
              </c:extLst>
            </c:dLbl>
            <c:dLbl>
              <c:idx val="24"/>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68E-48B2-AD8D-8597D91B6717}"/>
                </c:ext>
              </c:extLst>
            </c:dLbl>
            <c:dLbl>
              <c:idx val="28"/>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68E-48B2-AD8D-8597D91B6717}"/>
                </c:ext>
              </c:extLst>
            </c:dLbl>
            <c:dLbl>
              <c:idx val="32"/>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68E-48B2-AD8D-8597D91B6717}"/>
                </c:ext>
              </c:extLst>
            </c:dLbl>
            <c:dLbl>
              <c:idx val="36"/>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68E-48B2-AD8D-8597D91B6717}"/>
                </c:ext>
              </c:extLst>
            </c:dLbl>
            <c:dLbl>
              <c:idx val="40"/>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68E-48B2-AD8D-8597D91B6717}"/>
                </c:ext>
              </c:extLst>
            </c:dLbl>
            <c:numFmt formatCode="#,##0.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Sheet1!$A$2:$A$42</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Sheet1!$B$2:$B$42</c:f>
              <c:numCache>
                <c:formatCode>General</c:formatCode>
                <c:ptCount val="41"/>
                <c:pt idx="0">
                  <c:v>0</c:v>
                </c:pt>
                <c:pt idx="1">
                  <c:v>1.1445E-2</c:v>
                </c:pt>
                <c:pt idx="2">
                  <c:v>8.8903999999999997E-2</c:v>
                </c:pt>
                <c:pt idx="3">
                  <c:v>0.15817300000000001</c:v>
                </c:pt>
                <c:pt idx="4">
                  <c:v>0.22506300000000001</c:v>
                </c:pt>
                <c:pt idx="5">
                  <c:v>0.29121399999999997</c:v>
                </c:pt>
                <c:pt idx="6">
                  <c:v>0.35271799999999998</c:v>
                </c:pt>
                <c:pt idx="7">
                  <c:v>0.40387499999999998</c:v>
                </c:pt>
                <c:pt idx="8">
                  <c:v>0.44618999999999998</c:v>
                </c:pt>
                <c:pt idx="9">
                  <c:v>0.484176</c:v>
                </c:pt>
                <c:pt idx="10">
                  <c:v>0.51984600000000003</c:v>
                </c:pt>
                <c:pt idx="11">
                  <c:v>0.55277200000000004</c:v>
                </c:pt>
                <c:pt idx="12">
                  <c:v>0.58272800000000002</c:v>
                </c:pt>
                <c:pt idx="13">
                  <c:v>0.61035899999999998</c:v>
                </c:pt>
                <c:pt idx="14">
                  <c:v>0.63620600000000005</c:v>
                </c:pt>
                <c:pt idx="15">
                  <c:v>0.660242</c:v>
                </c:pt>
                <c:pt idx="16">
                  <c:v>0.682307</c:v>
                </c:pt>
                <c:pt idx="17">
                  <c:v>0.70246600000000003</c:v>
                </c:pt>
                <c:pt idx="18">
                  <c:v>0.72091400000000005</c:v>
                </c:pt>
                <c:pt idx="19">
                  <c:v>0.73778600000000005</c:v>
                </c:pt>
                <c:pt idx="20">
                  <c:v>0.75315900000000002</c:v>
                </c:pt>
                <c:pt idx="21">
                  <c:v>0.76713299999999995</c:v>
                </c:pt>
                <c:pt idx="22">
                  <c:v>0.77984600000000004</c:v>
                </c:pt>
                <c:pt idx="23">
                  <c:v>0.79142699999999999</c:v>
                </c:pt>
                <c:pt idx="24">
                  <c:v>0.80197799999999997</c:v>
                </c:pt>
                <c:pt idx="25">
                  <c:v>0.811589</c:v>
                </c:pt>
                <c:pt idx="26">
                  <c:v>0.82034499999999999</c:v>
                </c:pt>
                <c:pt idx="27">
                  <c:v>0.82832899999999998</c:v>
                </c:pt>
                <c:pt idx="28">
                  <c:v>0.83561099999999999</c:v>
                </c:pt>
                <c:pt idx="29">
                  <c:v>0.842252</c:v>
                </c:pt>
                <c:pt idx="30">
                  <c:v>0.84830899999999998</c:v>
                </c:pt>
                <c:pt idx="31">
                  <c:v>0.85383200000000004</c:v>
                </c:pt>
                <c:pt idx="32">
                  <c:v>0.85887000000000002</c:v>
                </c:pt>
                <c:pt idx="33">
                  <c:v>0.86346500000000004</c:v>
                </c:pt>
                <c:pt idx="34">
                  <c:v>0.86765400000000004</c:v>
                </c:pt>
                <c:pt idx="35">
                  <c:v>0.87147399999999997</c:v>
                </c:pt>
                <c:pt idx="36">
                  <c:v>0.87495800000000001</c:v>
                </c:pt>
                <c:pt idx="37">
                  <c:v>0.87813399999999997</c:v>
                </c:pt>
                <c:pt idx="38">
                  <c:v>0.88103100000000001</c:v>
                </c:pt>
                <c:pt idx="39">
                  <c:v>0.88367099999999998</c:v>
                </c:pt>
                <c:pt idx="40">
                  <c:v>0.88607899999999995</c:v>
                </c:pt>
              </c:numCache>
            </c:numRef>
          </c:val>
          <c:smooth val="0"/>
          <c:extLst>
            <c:ext xmlns:c16="http://schemas.microsoft.com/office/drawing/2014/chart" uri="{C3380CC4-5D6E-409C-BE32-E72D297353CC}">
              <c16:uniqueId val="{0000000A-868E-48B2-AD8D-8597D91B6717}"/>
            </c:ext>
          </c:extLst>
        </c:ser>
        <c:ser>
          <c:idx val="1"/>
          <c:order val="1"/>
          <c:tx>
            <c:strRef>
              <c:f>Sheet1!$C$1</c:f>
              <c:strCache>
                <c:ptCount val="1"/>
                <c:pt idx="0">
                  <c:v>Overall CCPI</c:v>
                </c:pt>
              </c:strCache>
            </c:strRef>
          </c:tx>
          <c:spPr>
            <a:ln w="28575" cap="rnd">
              <a:solidFill>
                <a:schemeClr val="accent2"/>
              </a:solidFill>
              <a:round/>
            </a:ln>
            <a:effectLst/>
          </c:spPr>
          <c:marker>
            <c:symbol val="none"/>
          </c:marker>
          <c:dLbls>
            <c:dLbl>
              <c:idx val="4"/>
              <c:layout/>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868E-48B2-AD8D-8597D91B6717}"/>
                </c:ext>
              </c:extLst>
            </c:dLbl>
            <c:dLbl>
              <c:idx val="8"/>
              <c:layout/>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868E-48B2-AD8D-8597D91B6717}"/>
                </c:ext>
              </c:extLst>
            </c:dLbl>
            <c:dLbl>
              <c:idx val="12"/>
              <c:layout/>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868E-48B2-AD8D-8597D91B6717}"/>
                </c:ext>
              </c:extLst>
            </c:dLbl>
            <c:dLbl>
              <c:idx val="16"/>
              <c:layout/>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868E-48B2-AD8D-8597D91B6717}"/>
                </c:ext>
              </c:extLst>
            </c:dLbl>
            <c:dLbl>
              <c:idx val="20"/>
              <c:layout/>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868E-48B2-AD8D-8597D91B6717}"/>
                </c:ext>
              </c:extLst>
            </c:dLbl>
            <c:dLbl>
              <c:idx val="24"/>
              <c:layout/>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868E-48B2-AD8D-8597D91B6717}"/>
                </c:ext>
              </c:extLst>
            </c:dLbl>
            <c:dLbl>
              <c:idx val="28"/>
              <c:layout/>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868E-48B2-AD8D-8597D91B6717}"/>
                </c:ext>
              </c:extLst>
            </c:dLbl>
            <c:dLbl>
              <c:idx val="32"/>
              <c:layout/>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868E-48B2-AD8D-8597D91B6717}"/>
                </c:ext>
              </c:extLst>
            </c:dLbl>
            <c:dLbl>
              <c:idx val="36"/>
              <c:layout/>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868E-48B2-AD8D-8597D91B6717}"/>
                </c:ext>
              </c:extLst>
            </c:dLbl>
            <c:dLbl>
              <c:idx val="40"/>
              <c:layout/>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868E-48B2-AD8D-8597D91B6717}"/>
                </c:ext>
              </c:extLst>
            </c:dLbl>
            <c:numFmt formatCode="#,##0.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Sheet1!$A$2:$A$42</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Sheet1!$C$2:$C$42</c:f>
              <c:numCache>
                <c:formatCode>General</c:formatCode>
                <c:ptCount val="41"/>
                <c:pt idx="0">
                  <c:v>0</c:v>
                </c:pt>
                <c:pt idx="1">
                  <c:v>2.4527E-2</c:v>
                </c:pt>
                <c:pt idx="2">
                  <c:v>7.6381000000000004E-2</c:v>
                </c:pt>
                <c:pt idx="3">
                  <c:v>0.12781699999999999</c:v>
                </c:pt>
                <c:pt idx="4">
                  <c:v>0.174042</c:v>
                </c:pt>
                <c:pt idx="5">
                  <c:v>0.21410399999999999</c:v>
                </c:pt>
                <c:pt idx="6">
                  <c:v>0.249445</c:v>
                </c:pt>
                <c:pt idx="7">
                  <c:v>0.280609</c:v>
                </c:pt>
                <c:pt idx="8">
                  <c:v>0.30793799999999999</c:v>
                </c:pt>
                <c:pt idx="9">
                  <c:v>0.332123</c:v>
                </c:pt>
                <c:pt idx="10">
                  <c:v>0.35401500000000002</c:v>
                </c:pt>
                <c:pt idx="11">
                  <c:v>0.37417699999999998</c:v>
                </c:pt>
                <c:pt idx="12">
                  <c:v>0.39282699999999998</c:v>
                </c:pt>
                <c:pt idx="13">
                  <c:v>0.41004099999999999</c:v>
                </c:pt>
                <c:pt idx="14">
                  <c:v>0.425902</c:v>
                </c:pt>
                <c:pt idx="15">
                  <c:v>0.44050099999999998</c:v>
                </c:pt>
                <c:pt idx="16">
                  <c:v>0.45390900000000001</c:v>
                </c:pt>
                <c:pt idx="17">
                  <c:v>0.46618599999999999</c:v>
                </c:pt>
                <c:pt idx="18">
                  <c:v>0.47739900000000002</c:v>
                </c:pt>
                <c:pt idx="19">
                  <c:v>0.487624</c:v>
                </c:pt>
                <c:pt idx="20">
                  <c:v>0.49694199999999999</c:v>
                </c:pt>
                <c:pt idx="21">
                  <c:v>0.50542699999999996</c:v>
                </c:pt>
                <c:pt idx="22">
                  <c:v>0.51315200000000005</c:v>
                </c:pt>
                <c:pt idx="23">
                  <c:v>0.52018799999999998</c:v>
                </c:pt>
                <c:pt idx="24">
                  <c:v>0.52659800000000001</c:v>
                </c:pt>
                <c:pt idx="25">
                  <c:v>0.53244000000000002</c:v>
                </c:pt>
                <c:pt idx="26">
                  <c:v>0.53776500000000005</c:v>
                </c:pt>
                <c:pt idx="27">
                  <c:v>0.54262100000000002</c:v>
                </c:pt>
                <c:pt idx="28">
                  <c:v>0.54704799999999998</c:v>
                </c:pt>
                <c:pt idx="29">
                  <c:v>0.55108599999999996</c:v>
                </c:pt>
                <c:pt idx="30">
                  <c:v>0.55476899999999996</c:v>
                </c:pt>
                <c:pt idx="31">
                  <c:v>0.55812700000000004</c:v>
                </c:pt>
                <c:pt idx="32">
                  <c:v>0.56118999999999997</c:v>
                </c:pt>
                <c:pt idx="33">
                  <c:v>0.56398300000000001</c:v>
                </c:pt>
                <c:pt idx="34">
                  <c:v>0.56652999999999998</c:v>
                </c:pt>
                <c:pt idx="35">
                  <c:v>0.56885200000000002</c:v>
                </c:pt>
                <c:pt idx="36">
                  <c:v>0.57096999999999998</c:v>
                </c:pt>
                <c:pt idx="37">
                  <c:v>0.57289999999999996</c:v>
                </c:pt>
                <c:pt idx="38">
                  <c:v>0.57466099999999998</c:v>
                </c:pt>
                <c:pt idx="39">
                  <c:v>0.57626599999999994</c:v>
                </c:pt>
                <c:pt idx="40">
                  <c:v>0.57772999999999997</c:v>
                </c:pt>
              </c:numCache>
            </c:numRef>
          </c:val>
          <c:smooth val="0"/>
          <c:extLst>
            <c:ext xmlns:c16="http://schemas.microsoft.com/office/drawing/2014/chart" uri="{C3380CC4-5D6E-409C-BE32-E72D297353CC}">
              <c16:uniqueId val="{00000015-868E-48B2-AD8D-8597D91B6717}"/>
            </c:ext>
          </c:extLst>
        </c:ser>
        <c:dLbls>
          <c:showLegendKey val="0"/>
          <c:showVal val="0"/>
          <c:showCatName val="0"/>
          <c:showSerName val="0"/>
          <c:showPercent val="0"/>
          <c:showBubbleSize val="0"/>
        </c:dLbls>
        <c:smooth val="0"/>
        <c:axId val="212183112"/>
        <c:axId val="212181800"/>
      </c:lineChart>
      <c:catAx>
        <c:axId val="2121831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sz="1100">
                    <a:solidFill>
                      <a:schemeClr val="tx1"/>
                    </a:solidFill>
                    <a:latin typeface="Times New Roman" panose="02020603050405020304" pitchFamily="18" charset="0"/>
                    <a:cs typeface="Times New Roman" panose="02020603050405020304" pitchFamily="18" charset="0"/>
                  </a:rPr>
                  <a:t>Quarter</a:t>
                </a:r>
              </a:p>
            </c:rich>
          </c:tx>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2181800"/>
        <c:crosses val="autoZero"/>
        <c:auto val="1"/>
        <c:lblAlgn val="ctr"/>
        <c:lblOffset val="100"/>
        <c:tickLblSkip val="4"/>
        <c:tickMarkSkip val="4"/>
        <c:noMultiLvlLbl val="0"/>
      </c:catAx>
      <c:valAx>
        <c:axId val="212181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sz="1050">
                    <a:latin typeface="Times New Roman" panose="02020603050405020304" pitchFamily="18" charset="0"/>
                    <a:cs typeface="Times New Roman" panose="02020603050405020304" pitchFamily="18" charset="0"/>
                  </a:rPr>
                  <a:t>Response of Log  Housing/Overall CCPI</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2183112"/>
        <c:crosses val="autoZero"/>
        <c:crossBetween val="midCat"/>
      </c:valAx>
      <c:spPr>
        <a:noFill/>
        <a:ln>
          <a:noFill/>
        </a:ln>
        <a:effectLst/>
      </c:spPr>
    </c:plotArea>
    <c:legend>
      <c:legendPos val="r"/>
      <c:layout>
        <c:manualLayout>
          <c:xMode val="edge"/>
          <c:yMode val="edge"/>
          <c:x val="0.72505370370721467"/>
          <c:y val="0.67940444142265177"/>
          <c:w val="0.21338791235251625"/>
          <c:h val="0.13196556381444152"/>
        </c:manualLayout>
      </c:layout>
      <c:overlay val="1"/>
      <c:spPr>
        <a:solidFill>
          <a:schemeClr val="bg1"/>
        </a:solidFill>
        <a:ln>
          <a:solidFill>
            <a:schemeClr val="bg1">
              <a:lumMod val="75000"/>
            </a:schemeClr>
          </a:solid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4297712B1A444B815D650F78A95484"/>
        <w:category>
          <w:name w:val="General"/>
          <w:gallery w:val="placeholder"/>
        </w:category>
        <w:types>
          <w:type w:val="bbPlcHdr"/>
        </w:types>
        <w:behaviors>
          <w:behavior w:val="content"/>
        </w:behaviors>
        <w:guid w:val="{171B5C02-981F-4A7B-B048-99A3F5AD47EB}"/>
      </w:docPartPr>
      <w:docPartBody>
        <w:p w:rsidR="009336D4" w:rsidRDefault="00C46B37" w:rsidP="00C46B37">
          <w:pPr>
            <w:pStyle w:val="714297712B1A444B815D650F78A95484"/>
          </w:pPr>
          <w:r>
            <w:rPr>
              <w:b/>
              <w:bCs/>
              <w:color w:val="44546A" w:themeColor="text2"/>
              <w:sz w:val="28"/>
              <w:szCs w:val="28"/>
              <w:lang w:val="zh-TW"/>
            </w:rPr>
            <w:t>[</w:t>
          </w:r>
          <w:r>
            <w:rPr>
              <w:b/>
              <w:bCs/>
              <w:color w:val="44546A" w:themeColor="text2"/>
              <w:sz w:val="28"/>
              <w:szCs w:val="28"/>
              <w:lang w:val="zh-TW"/>
            </w:rPr>
            <w:t>鍵入文件標題</w:t>
          </w:r>
          <w:r>
            <w:rPr>
              <w:b/>
              <w:bCs/>
              <w:color w:val="44546A" w:themeColor="text2"/>
              <w:sz w:val="28"/>
              <w:szCs w:val="28"/>
              <w:lang w:val="zh-TW"/>
            </w:rPr>
            <w:t>]</w:t>
          </w:r>
        </w:p>
      </w:docPartBody>
    </w:docPart>
    <w:docPart>
      <w:docPartPr>
        <w:name w:val="572538952BF44F40BF8F526DDF38F44B"/>
        <w:category>
          <w:name w:val="General"/>
          <w:gallery w:val="placeholder"/>
        </w:category>
        <w:types>
          <w:type w:val="bbPlcHdr"/>
        </w:types>
        <w:behaviors>
          <w:behavior w:val="content"/>
        </w:behaviors>
        <w:guid w:val="{B0A6242F-12FC-4487-A4EF-0A4BD08C5BFB}"/>
      </w:docPartPr>
      <w:docPartBody>
        <w:p w:rsidR="009336D4" w:rsidRDefault="00C46B37" w:rsidP="00C46B37">
          <w:pPr>
            <w:pStyle w:val="572538952BF44F40BF8F526DDF38F44B"/>
          </w:pPr>
          <w:r>
            <w:rPr>
              <w:color w:val="5B9BD5" w:themeColor="accent1"/>
              <w:lang w:val="zh-TW"/>
            </w:rPr>
            <w:t>[</w:t>
          </w:r>
          <w:r>
            <w:rPr>
              <w:color w:val="5B9BD5" w:themeColor="accent1"/>
              <w:lang w:val="zh-TW"/>
            </w:rPr>
            <w:t>鍵入文件副標題</w:t>
          </w:r>
          <w:r>
            <w:rPr>
              <w:color w:val="5B9BD5" w:themeColor="accent1"/>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37"/>
    <w:rsid w:val="00095FD8"/>
    <w:rsid w:val="000D4836"/>
    <w:rsid w:val="000E74E4"/>
    <w:rsid w:val="000F201A"/>
    <w:rsid w:val="0010399E"/>
    <w:rsid w:val="002A35DB"/>
    <w:rsid w:val="002F6649"/>
    <w:rsid w:val="00303FCC"/>
    <w:rsid w:val="00376ECF"/>
    <w:rsid w:val="003A7853"/>
    <w:rsid w:val="004B3C59"/>
    <w:rsid w:val="00737A4E"/>
    <w:rsid w:val="00793865"/>
    <w:rsid w:val="00832D1B"/>
    <w:rsid w:val="0089096F"/>
    <w:rsid w:val="008E2E91"/>
    <w:rsid w:val="009336D4"/>
    <w:rsid w:val="00A85756"/>
    <w:rsid w:val="00AA6967"/>
    <w:rsid w:val="00B373FC"/>
    <w:rsid w:val="00C46B37"/>
    <w:rsid w:val="00D51F32"/>
    <w:rsid w:val="00DE1181"/>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標楷體" w:hAnsiTheme="minorHAnsi" w:cstheme="minorBidi"/>
        <w:sz w:val="22"/>
        <w:szCs w:val="22"/>
        <w:lang w:val="en-GB" w:eastAsia="zh-H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A7691308994446A1B78B67721DB17B">
    <w:name w:val="68A7691308994446A1B78B67721DB17B"/>
    <w:rsid w:val="00C46B37"/>
  </w:style>
  <w:style w:type="paragraph" w:customStyle="1" w:styleId="0A31E088F3B74143A35829DC9EB3A593">
    <w:name w:val="0A31E088F3B74143A35829DC9EB3A593"/>
    <w:rsid w:val="00C46B37"/>
  </w:style>
  <w:style w:type="paragraph" w:customStyle="1" w:styleId="714297712B1A444B815D650F78A95484">
    <w:name w:val="714297712B1A444B815D650F78A95484"/>
    <w:rsid w:val="00C46B37"/>
  </w:style>
  <w:style w:type="paragraph" w:customStyle="1" w:styleId="572538952BF44F40BF8F526DDF38F44B">
    <w:name w:val="572538952BF44F40BF8F526DDF38F44B"/>
    <w:rsid w:val="00C46B37"/>
  </w:style>
  <w:style w:type="character" w:styleId="PlaceholderText">
    <w:name w:val="Placeholder Text"/>
    <w:basedOn w:val="DefaultParagraphFont"/>
    <w:uiPriority w:val="99"/>
    <w:semiHidden/>
    <w:rsid w:val="000E74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asgg</b:Tag>
    <b:SourceType>Book</b:SourceType>
    <b:Guid>{96B48BE9-92ED-4D59-8A3A-A4DCEF61DA04}</b:Guid>
    <b:Title>saf</b:Title>
    <b:Year>g</b:Year>
    <b:City>asf</b:City>
    <b:Publisher>rsg</b:Publisher>
    <b:Author>
      <b:Author>
        <b:NameList>
          <b:Person>
            <b:Last>asg</b:Last>
          </b:Person>
        </b:NameList>
      </b:Author>
    </b:Author>
    <b:RefOrder>1</b:RefOrder>
  </b:Source>
</b:Sources>
</file>

<file path=customXml/itemProps1.xml><?xml version="1.0" encoding="utf-8"?>
<ds:datastoreItem xmlns:ds="http://schemas.openxmlformats.org/officeDocument/2006/customXml" ds:itemID="{F58E561C-3867-4142-A828-85ADEBF1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6050</TotalTime>
  <Pages>8</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Office of the Government Economist</vt:lpstr>
    </vt:vector>
  </TitlesOfParts>
  <Company>Hewlett-Packard Company</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Government Economist</dc:title>
  <dc:subject>The Government of the Hong Kong Special Administrative Region</dc:subject>
  <dc:creator>ECON-4C</dc:creator>
  <cp:keywords/>
  <dc:description/>
  <cp:lastModifiedBy>James Patrick VERE</cp:lastModifiedBy>
  <cp:revision>275</cp:revision>
  <cp:lastPrinted>2022-04-26T02:33:00Z</cp:lastPrinted>
  <dcterms:created xsi:type="dcterms:W3CDTF">2022-04-26T04:08:00Z</dcterms:created>
  <dcterms:modified xsi:type="dcterms:W3CDTF">2022-11-15T04:16:00Z</dcterms:modified>
</cp:coreProperties>
</file>