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r w:rsidR="00B16AC9" w:rsidRPr="00327CE5">
        <w:t xml:space="preserve"> </w:t>
      </w:r>
    </w:p>
    <w:p w:rsidR="00121EBA" w:rsidRDefault="00121EBA">
      <w:pPr>
        <w:pStyle w:val="a5"/>
        <w:tabs>
          <w:tab w:val="left" w:pos="1080"/>
        </w:tabs>
        <w:spacing w:line="240" w:lineRule="auto"/>
        <w:ind w:right="28"/>
        <w:jc w:val="both"/>
        <w:rPr>
          <w:rFonts w:ascii="Times New Roman"/>
          <w:b/>
          <w:i/>
          <w:kern w:val="0"/>
          <w:lang w:val="en-GB"/>
        </w:rPr>
      </w:pPr>
    </w:p>
    <w:p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5842D6" w:rsidRPr="00257BF8" w:rsidRDefault="007D6917" w:rsidP="00CC1A73">
      <w:pPr>
        <w:pStyle w:val="a5"/>
        <w:numPr>
          <w:ilvl w:val="0"/>
          <w:numId w:val="1"/>
        </w:numPr>
        <w:tabs>
          <w:tab w:val="num" w:pos="840"/>
        </w:tabs>
        <w:overflowPunct w:val="0"/>
        <w:spacing w:before="120" w:after="120" w:line="240" w:lineRule="auto"/>
        <w:ind w:right="28"/>
        <w:jc w:val="both"/>
        <w:rPr>
          <w:rFonts w:ascii="Times New Roman"/>
          <w:bCs/>
          <w:i/>
          <w:kern w:val="0"/>
          <w:lang w:val="en-GB"/>
        </w:rPr>
      </w:pPr>
      <w:r w:rsidRPr="00866A25">
        <w:rPr>
          <w:rFonts w:ascii="Times New Roman"/>
          <w:i/>
          <w:kern w:val="0"/>
          <w:lang w:val="en-GB"/>
        </w:rPr>
        <w:t xml:space="preserve">The </w:t>
      </w:r>
      <w:r w:rsidRPr="00866A25">
        <w:rPr>
          <w:rFonts w:ascii="Times New Roman"/>
          <w:bCs/>
          <w:i/>
          <w:kern w:val="0"/>
          <w:lang w:val="en-GB"/>
        </w:rPr>
        <w:t xml:space="preserve">Hong Kong economy </w:t>
      </w:r>
      <w:r w:rsidR="00CE416D">
        <w:rPr>
          <w:rFonts w:ascii="Times New Roman"/>
          <w:bCs/>
          <w:i/>
          <w:kern w:val="0"/>
          <w:lang w:val="en-GB"/>
        </w:rPr>
        <w:t xml:space="preserve">continued to </w:t>
      </w:r>
      <w:r w:rsidR="00CC1A73">
        <w:rPr>
          <w:rFonts w:ascii="Times New Roman"/>
          <w:bCs/>
          <w:i/>
          <w:kern w:val="0"/>
          <w:lang w:val="en-GB"/>
        </w:rPr>
        <w:t xml:space="preserve">record moderate growth </w:t>
      </w:r>
      <w:r w:rsidR="00A17BFA" w:rsidRPr="00A17BFA">
        <w:rPr>
          <w:rFonts w:ascii="Times New Roman"/>
          <w:bCs/>
          <w:i/>
          <w:kern w:val="0"/>
          <w:lang w:val="en-GB"/>
        </w:rPr>
        <w:t xml:space="preserve">in the </w:t>
      </w:r>
      <w:r w:rsidR="00CE416D">
        <w:rPr>
          <w:rFonts w:ascii="Times New Roman"/>
          <w:bCs/>
          <w:i/>
          <w:kern w:val="0"/>
          <w:lang w:val="en-GB"/>
        </w:rPr>
        <w:t>second</w:t>
      </w:r>
      <w:r w:rsidR="00CE416D" w:rsidRPr="00A17BFA">
        <w:rPr>
          <w:rFonts w:ascii="Times New Roman"/>
          <w:bCs/>
          <w:i/>
          <w:kern w:val="0"/>
          <w:lang w:val="en-GB"/>
        </w:rPr>
        <w:t xml:space="preserve"> </w:t>
      </w:r>
      <w:r w:rsidR="00A17BFA" w:rsidRPr="00A17BFA">
        <w:rPr>
          <w:rFonts w:ascii="Times New Roman"/>
          <w:bCs/>
          <w:i/>
          <w:kern w:val="0"/>
          <w:lang w:val="en-GB"/>
        </w:rPr>
        <w:t>quarter of 2024</w:t>
      </w:r>
      <w:r w:rsidR="00CE416D">
        <w:rPr>
          <w:rFonts w:ascii="Times New Roman"/>
          <w:bCs/>
          <w:i/>
          <w:kern w:val="0"/>
          <w:lang w:val="en-GB"/>
        </w:rPr>
        <w:t xml:space="preserve">, </w:t>
      </w:r>
      <w:r w:rsidR="0056272B">
        <w:rPr>
          <w:rFonts w:ascii="Times New Roman"/>
          <w:bCs/>
          <w:i/>
          <w:kern w:val="0"/>
          <w:lang w:val="en-HK"/>
        </w:rPr>
        <w:t xml:space="preserve">though </w:t>
      </w:r>
      <w:r w:rsidR="004B7355">
        <w:rPr>
          <w:rFonts w:ascii="Times New Roman"/>
          <w:bCs/>
          <w:i/>
          <w:kern w:val="0"/>
          <w:lang w:val="en-HK"/>
        </w:rPr>
        <w:t xml:space="preserve">the performance of </w:t>
      </w:r>
      <w:r w:rsidR="00D01EC6">
        <w:rPr>
          <w:rFonts w:ascii="Times New Roman"/>
          <w:bCs/>
          <w:i/>
          <w:kern w:val="0"/>
          <w:lang w:val="en-GB"/>
        </w:rPr>
        <w:t>individual segments</w:t>
      </w:r>
      <w:r w:rsidR="004B7355">
        <w:rPr>
          <w:rFonts w:ascii="Times New Roman"/>
          <w:bCs/>
          <w:i/>
          <w:kern w:val="0"/>
          <w:lang w:val="en-GB"/>
        </w:rPr>
        <w:t xml:space="preserve"> varied</w:t>
      </w:r>
      <w:r w:rsidR="0056272B">
        <w:rPr>
          <w:rFonts w:ascii="Times New Roman"/>
          <w:bCs/>
          <w:i/>
          <w:kern w:val="0"/>
          <w:lang w:val="en-GB"/>
        </w:rPr>
        <w:t>.</w:t>
      </w:r>
      <w:r w:rsidR="0056272B" w:rsidRPr="0056272B">
        <w:rPr>
          <w:rFonts w:ascii="Times New Roman"/>
          <w:bCs/>
          <w:i/>
          <w:kern w:val="0"/>
          <w:lang w:val="en-GB"/>
        </w:rPr>
        <w:t xml:space="preserve"> </w:t>
      </w:r>
      <w:r w:rsidR="0056272B">
        <w:rPr>
          <w:rFonts w:ascii="Times New Roman"/>
          <w:bCs/>
          <w:i/>
          <w:kern w:val="0"/>
          <w:lang w:val="en-GB"/>
        </w:rPr>
        <w:t xml:space="preserve"> </w:t>
      </w:r>
      <w:r w:rsidR="00BF196F">
        <w:rPr>
          <w:rFonts w:ascii="Times New Roman"/>
          <w:bCs/>
          <w:i/>
          <w:kern w:val="0"/>
          <w:lang w:val="en-GB"/>
        </w:rPr>
        <w:t>R</w:t>
      </w:r>
      <w:r w:rsidR="00BF196F" w:rsidRPr="00257BF8">
        <w:rPr>
          <w:rFonts w:ascii="Times New Roman"/>
          <w:i/>
          <w:kern w:val="0"/>
          <w:lang w:val="en-GB"/>
        </w:rPr>
        <w:t>eal Gross Domestic Product (GDP</w:t>
      </w:r>
      <w:proofErr w:type="gramStart"/>
      <w:r w:rsidR="00BF196F" w:rsidRPr="00257BF8">
        <w:rPr>
          <w:rFonts w:ascii="Times New Roman"/>
          <w:i/>
          <w:kern w:val="0"/>
          <w:lang w:val="en-GB"/>
        </w:rPr>
        <w:t>)</w:t>
      </w:r>
      <w:r w:rsidR="00BF196F" w:rsidRPr="00257BF8">
        <w:rPr>
          <w:rFonts w:ascii="Times New Roman"/>
          <w:i/>
          <w:kern w:val="0"/>
          <w:vertAlign w:val="superscript"/>
          <w:lang w:val="en-GB"/>
        </w:rPr>
        <w:t>(</w:t>
      </w:r>
      <w:proofErr w:type="gramEnd"/>
      <w:r w:rsidR="00BF196F" w:rsidRPr="00257BF8">
        <w:rPr>
          <w:rFonts w:ascii="Times New Roman"/>
          <w:i/>
          <w:kern w:val="0"/>
          <w:vertAlign w:val="superscript"/>
          <w:lang w:val="en-GB"/>
        </w:rPr>
        <w:t>1)</w:t>
      </w:r>
      <w:r w:rsidR="00BF196F" w:rsidRPr="00257BF8">
        <w:rPr>
          <w:rFonts w:ascii="Times New Roman"/>
          <w:i/>
          <w:kern w:val="0"/>
          <w:lang w:val="en-GB"/>
        </w:rPr>
        <w:t xml:space="preserve"> </w:t>
      </w:r>
      <w:r w:rsidR="00BF196F" w:rsidRPr="00257BF8">
        <w:rPr>
          <w:rFonts w:ascii="Times New Roman"/>
          <w:bCs/>
          <w:i/>
          <w:kern w:val="0"/>
          <w:lang w:val="en-GB"/>
        </w:rPr>
        <w:t xml:space="preserve">grew </w:t>
      </w:r>
      <w:r w:rsidR="00BF196F">
        <w:rPr>
          <w:rFonts w:ascii="Times New Roman"/>
          <w:bCs/>
          <w:i/>
          <w:kern w:val="0"/>
          <w:lang w:val="en-GB"/>
        </w:rPr>
        <w:t xml:space="preserve">further </w:t>
      </w:r>
      <w:r w:rsidR="00BF196F" w:rsidRPr="00257BF8">
        <w:rPr>
          <w:rFonts w:ascii="Times New Roman"/>
          <w:bCs/>
          <w:i/>
          <w:kern w:val="0"/>
          <w:lang w:val="en-GB"/>
        </w:rPr>
        <w:t xml:space="preserve">by </w:t>
      </w:r>
      <w:r w:rsidR="00BF196F">
        <w:rPr>
          <w:rFonts w:ascii="Times New Roman"/>
          <w:bCs/>
          <w:i/>
          <w:kern w:val="0"/>
          <w:lang w:val="en-GB"/>
        </w:rPr>
        <w:t>3.</w:t>
      </w:r>
      <w:r w:rsidR="00D50FAB">
        <w:rPr>
          <w:rFonts w:ascii="Times New Roman" w:hint="eastAsia"/>
          <w:bCs/>
          <w:i/>
          <w:kern w:val="0"/>
          <w:lang w:val="en-GB"/>
        </w:rPr>
        <w:t>3</w:t>
      </w:r>
      <w:r w:rsidR="00BF196F" w:rsidRPr="00257BF8">
        <w:rPr>
          <w:rFonts w:ascii="Times New Roman"/>
          <w:bCs/>
          <w:i/>
          <w:kern w:val="0"/>
          <w:lang w:val="en-GB"/>
        </w:rPr>
        <w:t>% over a year earlier</w:t>
      </w:r>
      <w:r w:rsidR="00BF196F" w:rsidRPr="00257BF8">
        <w:rPr>
          <w:rFonts w:ascii="Times New Roman"/>
          <w:i/>
          <w:kern w:val="0"/>
          <w:lang w:val="en-GB"/>
        </w:rPr>
        <w:t xml:space="preserve">.  </w:t>
      </w:r>
      <w:r w:rsidR="002E225E">
        <w:rPr>
          <w:rFonts w:ascii="Times New Roman"/>
          <w:i/>
          <w:kern w:val="0"/>
          <w:lang w:val="en-GB"/>
        </w:rPr>
        <w:t xml:space="preserve">Total </w:t>
      </w:r>
      <w:r w:rsidR="002E225E">
        <w:rPr>
          <w:rFonts w:ascii="Times New Roman"/>
          <w:bCs/>
          <w:i/>
          <w:kern w:val="0"/>
          <w:lang w:val="en-GB"/>
        </w:rPr>
        <w:t>e</w:t>
      </w:r>
      <w:r w:rsidR="00CE416D">
        <w:rPr>
          <w:rFonts w:ascii="Times New Roman"/>
          <w:bCs/>
          <w:i/>
          <w:kern w:val="0"/>
          <w:lang w:val="en-GB"/>
        </w:rPr>
        <w:t>xports of goods</w:t>
      </w:r>
      <w:r w:rsidR="0056272B">
        <w:rPr>
          <w:rFonts w:ascii="Times New Roman"/>
          <w:bCs/>
          <w:i/>
          <w:kern w:val="0"/>
          <w:lang w:val="en-GB"/>
        </w:rPr>
        <w:t xml:space="preserve"> </w:t>
      </w:r>
      <w:r w:rsidR="00CB3416">
        <w:rPr>
          <w:rFonts w:ascii="Times New Roman"/>
          <w:bCs/>
          <w:i/>
          <w:kern w:val="0"/>
          <w:lang w:val="en-GB"/>
        </w:rPr>
        <w:t xml:space="preserve">continued to grow </w:t>
      </w:r>
      <w:r w:rsidR="00731A60">
        <w:rPr>
          <w:rFonts w:ascii="Times New Roman"/>
          <w:bCs/>
          <w:i/>
          <w:kern w:val="0"/>
          <w:lang w:val="en-GB"/>
        </w:rPr>
        <w:t>strongly</w:t>
      </w:r>
      <w:r w:rsidR="001B2CD5">
        <w:rPr>
          <w:rFonts w:ascii="Times New Roman"/>
          <w:bCs/>
          <w:i/>
          <w:kern w:val="0"/>
          <w:lang w:val="en-GB"/>
        </w:rPr>
        <w:t>, while exports of services saw decelerated growth</w:t>
      </w:r>
      <w:r w:rsidR="00CB3416">
        <w:rPr>
          <w:rFonts w:ascii="Times New Roman"/>
          <w:bCs/>
          <w:i/>
          <w:kern w:val="0"/>
          <w:lang w:val="en-GB"/>
        </w:rPr>
        <w:t>.  O</w:t>
      </w:r>
      <w:r w:rsidR="00322223">
        <w:rPr>
          <w:rFonts w:ascii="Times New Roman"/>
          <w:bCs/>
          <w:i/>
          <w:kern w:val="0"/>
          <w:lang w:val="en-GB"/>
        </w:rPr>
        <w:t xml:space="preserve">verall </w:t>
      </w:r>
      <w:r w:rsidR="008E7622">
        <w:rPr>
          <w:rFonts w:ascii="Times New Roman"/>
          <w:bCs/>
          <w:i/>
          <w:kern w:val="0"/>
          <w:lang w:val="en-GB"/>
        </w:rPr>
        <w:t>investment</w:t>
      </w:r>
      <w:r w:rsidR="00A37546">
        <w:rPr>
          <w:rFonts w:ascii="Times New Roman"/>
          <w:bCs/>
          <w:i/>
          <w:kern w:val="0"/>
          <w:lang w:val="en-GB"/>
        </w:rPr>
        <w:t xml:space="preserve"> </w:t>
      </w:r>
      <w:r w:rsidR="00636F98">
        <w:rPr>
          <w:rFonts w:ascii="Times New Roman" w:hint="eastAsia"/>
          <w:bCs/>
          <w:i/>
          <w:kern w:val="0"/>
          <w:lang w:val="en-GB"/>
        </w:rPr>
        <w:t>e</w:t>
      </w:r>
      <w:r w:rsidR="00636F98">
        <w:rPr>
          <w:rFonts w:ascii="Times New Roman"/>
          <w:bCs/>
          <w:i/>
          <w:kern w:val="0"/>
          <w:lang w:val="en-GB"/>
        </w:rPr>
        <w:t>xpenditure</w:t>
      </w:r>
      <w:r w:rsidR="00F642B9">
        <w:rPr>
          <w:rFonts w:ascii="Times New Roman"/>
          <w:bCs/>
          <w:i/>
          <w:kern w:val="0"/>
          <w:lang w:val="en-GB"/>
        </w:rPr>
        <w:t xml:space="preserve"> </w:t>
      </w:r>
      <w:r w:rsidR="00AA5CC7">
        <w:rPr>
          <w:rFonts w:ascii="Times New Roman"/>
          <w:bCs/>
          <w:i/>
          <w:kern w:val="0"/>
          <w:lang w:val="en-GB"/>
        </w:rPr>
        <w:t xml:space="preserve">rose </w:t>
      </w:r>
      <w:r w:rsidR="00CF7461">
        <w:rPr>
          <w:rFonts w:ascii="Times New Roman"/>
          <w:bCs/>
          <w:i/>
          <w:kern w:val="0"/>
          <w:lang w:val="en-GB"/>
        </w:rPr>
        <w:t>further</w:t>
      </w:r>
      <w:r w:rsidR="0056272B">
        <w:rPr>
          <w:rFonts w:ascii="Times New Roman"/>
          <w:bCs/>
          <w:i/>
          <w:kern w:val="0"/>
          <w:lang w:val="en-GB"/>
        </w:rPr>
        <w:t>.</w:t>
      </w:r>
      <w:r w:rsidR="00956748">
        <w:rPr>
          <w:rFonts w:ascii="Times New Roman"/>
          <w:bCs/>
          <w:i/>
          <w:kern w:val="0"/>
          <w:lang w:val="en-GB"/>
        </w:rPr>
        <w:t xml:space="preserve"> </w:t>
      </w:r>
      <w:r w:rsidR="0056272B">
        <w:rPr>
          <w:rFonts w:ascii="Times New Roman"/>
          <w:bCs/>
          <w:i/>
          <w:kern w:val="0"/>
          <w:lang w:val="en-GB"/>
        </w:rPr>
        <w:t xml:space="preserve"> </w:t>
      </w:r>
      <w:r w:rsidR="001B2CD5">
        <w:rPr>
          <w:rFonts w:ascii="Times New Roman"/>
          <w:bCs/>
          <w:i/>
          <w:kern w:val="0"/>
          <w:lang w:val="en-GB"/>
        </w:rPr>
        <w:t>However, p</w:t>
      </w:r>
      <w:r w:rsidR="00956748">
        <w:rPr>
          <w:rFonts w:ascii="Times New Roman"/>
          <w:bCs/>
          <w:i/>
          <w:kern w:val="0"/>
          <w:lang w:val="en-GB"/>
        </w:rPr>
        <w:t xml:space="preserve">rivate consumption expenditure </w:t>
      </w:r>
      <w:r w:rsidR="0056272B">
        <w:rPr>
          <w:rFonts w:ascii="Times New Roman"/>
          <w:bCs/>
          <w:i/>
          <w:kern w:val="0"/>
          <w:lang w:val="en-GB"/>
        </w:rPr>
        <w:t xml:space="preserve">turned to a </w:t>
      </w:r>
      <w:r w:rsidR="00E52108">
        <w:rPr>
          <w:rFonts w:ascii="Times New Roman"/>
          <w:bCs/>
          <w:i/>
          <w:kern w:val="0"/>
          <w:lang w:val="en-GB"/>
        </w:rPr>
        <w:t xml:space="preserve">slight </w:t>
      </w:r>
      <w:r w:rsidR="001B2CD5">
        <w:rPr>
          <w:rFonts w:ascii="Times New Roman"/>
          <w:bCs/>
          <w:i/>
          <w:kern w:val="0"/>
          <w:lang w:val="en-GB"/>
        </w:rPr>
        <w:t>decline</w:t>
      </w:r>
      <w:r w:rsidR="008E7622">
        <w:rPr>
          <w:rFonts w:ascii="Times New Roman"/>
          <w:bCs/>
          <w:i/>
          <w:kern w:val="0"/>
          <w:lang w:val="en-GB"/>
        </w:rPr>
        <w:t xml:space="preserve">.  </w:t>
      </w:r>
      <w:r w:rsidR="005842D6" w:rsidRPr="00257BF8">
        <w:rPr>
          <w:rFonts w:ascii="Times New Roman"/>
          <w:bCs/>
          <w:i/>
          <w:kern w:val="0"/>
          <w:lang w:val="en-GB"/>
        </w:rPr>
        <w:t xml:space="preserve">On a seasonally adjusted quarter-to-quarter </w:t>
      </w:r>
      <w:proofErr w:type="gramStart"/>
      <w:r w:rsidR="000A495F" w:rsidRPr="00257BF8">
        <w:rPr>
          <w:rFonts w:ascii="Times New Roman"/>
          <w:bCs/>
          <w:i/>
          <w:kern w:val="0"/>
          <w:lang w:val="en-GB"/>
        </w:rPr>
        <w:t>comparison</w:t>
      </w:r>
      <w:r w:rsidR="000A495F" w:rsidRPr="00257BF8">
        <w:rPr>
          <w:rFonts w:ascii="Times New Roman"/>
          <w:i/>
          <w:kern w:val="0"/>
          <w:vertAlign w:val="superscript"/>
          <w:lang w:val="en-GB"/>
        </w:rPr>
        <w:t>(</w:t>
      </w:r>
      <w:proofErr w:type="gramEnd"/>
      <w:r w:rsidR="000A495F" w:rsidRPr="00257BF8">
        <w:rPr>
          <w:rFonts w:ascii="Times New Roman"/>
          <w:i/>
          <w:kern w:val="0"/>
          <w:vertAlign w:val="superscript"/>
          <w:lang w:val="en-GB"/>
        </w:rPr>
        <w:t>2)</w:t>
      </w:r>
      <w:r w:rsidR="005842D6" w:rsidRPr="00257BF8">
        <w:rPr>
          <w:rFonts w:ascii="Times New Roman"/>
          <w:bCs/>
          <w:i/>
          <w:kern w:val="0"/>
          <w:lang w:val="en-GB"/>
        </w:rPr>
        <w:t xml:space="preserve">, real GDP increased by </w:t>
      </w:r>
      <w:r w:rsidR="00D26D18">
        <w:rPr>
          <w:rFonts w:ascii="Times New Roman"/>
          <w:bCs/>
          <w:i/>
          <w:kern w:val="0"/>
          <w:lang w:val="en-GB"/>
        </w:rPr>
        <w:t>0.</w:t>
      </w:r>
      <w:r w:rsidR="00D50FAB">
        <w:rPr>
          <w:rFonts w:ascii="Times New Roman" w:hint="eastAsia"/>
          <w:bCs/>
          <w:i/>
          <w:kern w:val="0"/>
          <w:lang w:val="en-GB"/>
        </w:rPr>
        <w:t>4</w:t>
      </w:r>
      <w:r w:rsidR="005842D6" w:rsidRPr="00257BF8">
        <w:rPr>
          <w:rFonts w:ascii="Times New Roman"/>
          <w:bCs/>
          <w:i/>
          <w:kern w:val="0"/>
          <w:lang w:val="en-GB"/>
        </w:rPr>
        <w:t>%</w:t>
      </w:r>
      <w:r w:rsidR="0004564A" w:rsidRPr="00257BF8">
        <w:rPr>
          <w:rFonts w:ascii="Times New Roman"/>
          <w:bCs/>
          <w:i/>
          <w:kern w:val="0"/>
          <w:lang w:val="en-GB"/>
        </w:rPr>
        <w:t>.</w:t>
      </w:r>
    </w:p>
    <w:p w:rsidR="00CD4872" w:rsidRPr="004E47E7" w:rsidRDefault="00D64974" w:rsidP="005E0A72">
      <w:pPr>
        <w:pStyle w:val="a5"/>
        <w:numPr>
          <w:ilvl w:val="0"/>
          <w:numId w:val="1"/>
        </w:numPr>
        <w:tabs>
          <w:tab w:val="num" w:pos="840"/>
        </w:tabs>
        <w:spacing w:before="120" w:after="120" w:line="240" w:lineRule="auto"/>
        <w:ind w:right="28"/>
        <w:jc w:val="both"/>
        <w:rPr>
          <w:rFonts w:ascii="Times New Roman"/>
          <w:i/>
          <w:kern w:val="0"/>
          <w:lang w:val="en-GB"/>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BF196F">
        <w:rPr>
          <w:rFonts w:ascii="Times New Roman"/>
          <w:i/>
          <w:kern w:val="0"/>
          <w:lang w:val="en-GB"/>
        </w:rPr>
        <w:t xml:space="preserve">continued to </w:t>
      </w:r>
      <w:r w:rsidR="00573C1F">
        <w:rPr>
          <w:rFonts w:ascii="Times New Roman"/>
          <w:i/>
          <w:kern w:val="0"/>
          <w:lang w:val="en-GB"/>
        </w:rPr>
        <w:t>gr</w:t>
      </w:r>
      <w:r w:rsidR="00BF196F">
        <w:rPr>
          <w:rFonts w:ascii="Times New Roman"/>
          <w:i/>
          <w:kern w:val="0"/>
          <w:lang w:val="en-GB"/>
        </w:rPr>
        <w:t>o</w:t>
      </w:r>
      <w:r w:rsidR="00573C1F">
        <w:rPr>
          <w:rFonts w:ascii="Times New Roman"/>
          <w:i/>
          <w:kern w:val="0"/>
          <w:lang w:val="en-GB"/>
        </w:rPr>
        <w:t>w strongly in</w:t>
      </w:r>
      <w:r w:rsidR="00BD6A96">
        <w:rPr>
          <w:rFonts w:ascii="Times New Roman"/>
          <w:i/>
          <w:kern w:val="0"/>
          <w:lang w:val="en-GB"/>
        </w:rPr>
        <w:t xml:space="preserve"> the </w:t>
      </w:r>
      <w:r w:rsidR="00573C1F">
        <w:rPr>
          <w:rFonts w:ascii="Times New Roman"/>
          <w:i/>
          <w:kern w:val="0"/>
          <w:lang w:val="en-GB"/>
        </w:rPr>
        <w:t>second</w:t>
      </w:r>
      <w:r w:rsidR="00AA65CD">
        <w:rPr>
          <w:rFonts w:ascii="Times New Roman"/>
          <w:i/>
          <w:kern w:val="0"/>
          <w:lang w:val="en-GB"/>
        </w:rPr>
        <w:t xml:space="preserve"> quarter, </w:t>
      </w:r>
      <w:r w:rsidR="00AA65CD" w:rsidRPr="00AA65CD">
        <w:rPr>
          <w:rFonts w:ascii="Times New Roman"/>
          <w:i/>
          <w:kern w:val="0"/>
          <w:lang w:val="en-GB"/>
        </w:rPr>
        <w:t xml:space="preserve">supported by the sustained external demand for goods.  Exports to the Mainland continued to rise notably.  Exports to the US returned to a visible increase, while those to the EU recorded a narrowed decline.  Exports </w:t>
      </w:r>
      <w:proofErr w:type="gramStart"/>
      <w:r w:rsidR="00AA65CD" w:rsidRPr="00AA65CD">
        <w:rPr>
          <w:rFonts w:ascii="Times New Roman"/>
          <w:i/>
          <w:kern w:val="0"/>
          <w:lang w:val="en-GB"/>
        </w:rPr>
        <w:t>to</w:t>
      </w:r>
      <w:proofErr w:type="gramEnd"/>
      <w:r w:rsidR="00AA65CD" w:rsidRPr="00AA65CD">
        <w:rPr>
          <w:rFonts w:ascii="Times New Roman"/>
          <w:i/>
          <w:kern w:val="0"/>
          <w:lang w:val="en-GB"/>
        </w:rPr>
        <w:t xml:space="preserve"> </w:t>
      </w:r>
      <w:r w:rsidR="00C81473">
        <w:rPr>
          <w:rFonts w:ascii="Times New Roman"/>
          <w:i/>
          <w:kern w:val="0"/>
          <w:lang w:val="en-GB"/>
        </w:rPr>
        <w:t>many</w:t>
      </w:r>
      <w:r w:rsidR="00C81473" w:rsidRPr="00AA65CD">
        <w:rPr>
          <w:rFonts w:ascii="Times New Roman"/>
          <w:i/>
          <w:kern w:val="0"/>
          <w:lang w:val="en-GB"/>
        </w:rPr>
        <w:t xml:space="preserve"> </w:t>
      </w:r>
      <w:r w:rsidR="00AA65CD" w:rsidRPr="00AA65CD">
        <w:rPr>
          <w:rFonts w:ascii="Times New Roman"/>
          <w:i/>
          <w:kern w:val="0"/>
          <w:lang w:val="en-GB"/>
        </w:rPr>
        <w:t xml:space="preserve">major Asian markets </w:t>
      </w:r>
      <w:r w:rsidR="00C81473" w:rsidRPr="00C81473">
        <w:rPr>
          <w:rFonts w:ascii="Times New Roman"/>
          <w:i/>
          <w:kern w:val="0"/>
          <w:lang w:val="en-GB"/>
        </w:rPr>
        <w:t>also showed improvements</w:t>
      </w:r>
      <w:r w:rsidR="0082664A" w:rsidRPr="00D110CB">
        <w:rPr>
          <w:rFonts w:ascii="Times New Roman" w:eastAsiaTheme="minorEastAsia"/>
          <w:i/>
          <w:kern w:val="0"/>
          <w:lang w:val="en-GB" w:eastAsia="zh-HK"/>
        </w:rPr>
        <w:t>.</w:t>
      </w:r>
      <w:r w:rsidR="009C154B" w:rsidRPr="00D110CB">
        <w:rPr>
          <w:rFonts w:ascii="Times New Roman" w:eastAsiaTheme="minorEastAsia"/>
          <w:i/>
          <w:kern w:val="0"/>
          <w:lang w:val="en-GB" w:eastAsia="zh-HK"/>
        </w:rPr>
        <w:t xml:space="preserve"> </w:t>
      </w:r>
      <w:r w:rsidR="00C70DCA" w:rsidRPr="00E3684C">
        <w:rPr>
          <w:rFonts w:ascii="Times New Roman"/>
          <w:i/>
          <w:kern w:val="0"/>
          <w:lang w:val="en-GB"/>
        </w:rPr>
        <w:t xml:space="preserve"> </w:t>
      </w:r>
      <w:r w:rsidR="00A37546" w:rsidRPr="00963F16">
        <w:rPr>
          <w:rFonts w:ascii="Times New Roman"/>
          <w:i/>
          <w:kern w:val="0"/>
          <w:lang w:val="en-GB"/>
        </w:rPr>
        <w:t>Meanwhile,</w:t>
      </w:r>
      <w:r w:rsidR="00A37546" w:rsidRPr="006E4E92">
        <w:rPr>
          <w:rFonts w:ascii="Times New Roman"/>
          <w:i/>
          <w:kern w:val="0"/>
          <w:lang w:val="en-GB"/>
        </w:rPr>
        <w:t xml:space="preserve"> e</w:t>
      </w:r>
      <w:r w:rsidR="00BD6A96" w:rsidRPr="006E4E92">
        <w:rPr>
          <w:rFonts w:ascii="Times New Roman"/>
          <w:i/>
          <w:kern w:val="0"/>
          <w:lang w:val="en-GB"/>
        </w:rPr>
        <w:t xml:space="preserve">xports of services </w:t>
      </w:r>
      <w:r w:rsidR="00BF196F" w:rsidRPr="006E4E92">
        <w:rPr>
          <w:rFonts w:ascii="Times New Roman"/>
          <w:i/>
          <w:kern w:val="0"/>
          <w:lang w:val="en-GB"/>
        </w:rPr>
        <w:t>recorded decelerated growth</w:t>
      </w:r>
      <w:r w:rsidR="00BD6A96" w:rsidRPr="006E4E92">
        <w:rPr>
          <w:rFonts w:ascii="Times New Roman"/>
          <w:i/>
          <w:kern w:val="0"/>
          <w:lang w:val="en-GB"/>
        </w:rPr>
        <w:t xml:space="preserve">.  </w:t>
      </w:r>
      <w:r w:rsidR="00AA65CD" w:rsidRPr="006E4E92">
        <w:rPr>
          <w:rFonts w:ascii="Times New Roman"/>
          <w:i/>
          <w:kern w:val="0"/>
          <w:lang w:val="en-HK"/>
        </w:rPr>
        <w:t>E</w:t>
      </w:r>
      <w:r w:rsidR="00AA65CD" w:rsidRPr="00AA65CD">
        <w:rPr>
          <w:rFonts w:ascii="Times New Roman"/>
          <w:i/>
          <w:kern w:val="0"/>
          <w:lang w:val="en-HK"/>
        </w:rPr>
        <w:t xml:space="preserve">xports of transport services </w:t>
      </w:r>
      <w:r w:rsidR="00E27B7B">
        <w:rPr>
          <w:rFonts w:ascii="Times New Roman"/>
          <w:i/>
          <w:kern w:val="0"/>
          <w:lang w:val="en-HK"/>
        </w:rPr>
        <w:t>grew</w:t>
      </w:r>
      <w:r w:rsidR="00FA2CDB" w:rsidRPr="00FA2CDB">
        <w:rPr>
          <w:rFonts w:ascii="Times New Roman"/>
          <w:i/>
          <w:kern w:val="0"/>
          <w:lang w:val="en-HK"/>
        </w:rPr>
        <w:t xml:space="preserve"> further</w:t>
      </w:r>
      <w:r w:rsidR="00FA2CDB" w:rsidRPr="00FA2CDB">
        <w:rPr>
          <w:rFonts w:ascii="Times New Roman"/>
          <w:i/>
          <w:sz w:val="24"/>
          <w:szCs w:val="28"/>
          <w:lang w:val="en-HK"/>
        </w:rPr>
        <w:t xml:space="preserve"> </w:t>
      </w:r>
      <w:r w:rsidR="00FA2CDB" w:rsidRPr="00FA2CDB">
        <w:rPr>
          <w:rFonts w:ascii="Times New Roman"/>
          <w:i/>
          <w:kern w:val="0"/>
          <w:lang w:val="en-HK"/>
        </w:rPr>
        <w:t>in tandem with increased visitors and regional trade flows</w:t>
      </w:r>
      <w:r w:rsidR="006843D9">
        <w:rPr>
          <w:rFonts w:ascii="Times New Roman"/>
          <w:i/>
          <w:kern w:val="0"/>
          <w:lang w:val="en-HK"/>
        </w:rPr>
        <w:t>.</w:t>
      </w:r>
      <w:r w:rsidR="00AA65CD" w:rsidRPr="00AA65CD">
        <w:rPr>
          <w:rFonts w:ascii="Times New Roman"/>
          <w:i/>
          <w:kern w:val="0"/>
          <w:lang w:val="en-HK"/>
        </w:rPr>
        <w:t xml:space="preserve"> </w:t>
      </w:r>
      <w:r w:rsidR="006843D9">
        <w:rPr>
          <w:rFonts w:ascii="Times New Roman"/>
          <w:i/>
          <w:kern w:val="0"/>
          <w:lang w:val="en-HK"/>
        </w:rPr>
        <w:t xml:space="preserve"> </w:t>
      </w:r>
      <w:r w:rsidR="006843D9">
        <w:rPr>
          <w:rFonts w:ascii="Times New Roman"/>
          <w:i/>
          <w:kern w:val="0"/>
          <w:lang w:val="en-GB"/>
        </w:rPr>
        <w:t>E</w:t>
      </w:r>
      <w:r w:rsidR="00AA65CD" w:rsidRPr="00AA65CD">
        <w:rPr>
          <w:rFonts w:ascii="Times New Roman"/>
          <w:i/>
          <w:kern w:val="0"/>
          <w:lang w:val="en-GB"/>
        </w:rPr>
        <w:t>xports of financial services</w:t>
      </w:r>
      <w:r w:rsidR="00AA65CD" w:rsidRPr="00AA65CD">
        <w:rPr>
          <w:rFonts w:ascii="Times New Roman"/>
          <w:i/>
          <w:kern w:val="0"/>
          <w:lang w:val="en-HK"/>
        </w:rPr>
        <w:t xml:space="preserve"> </w:t>
      </w:r>
      <w:r w:rsidR="00AA65CD" w:rsidRPr="00AA65CD">
        <w:rPr>
          <w:rFonts w:ascii="Times New Roman"/>
          <w:i/>
          <w:kern w:val="0"/>
          <w:lang w:val="en-GB"/>
        </w:rPr>
        <w:t>reverted to an increase</w:t>
      </w:r>
      <w:r w:rsidR="00E27B7B">
        <w:rPr>
          <w:rFonts w:ascii="Times New Roman"/>
          <w:i/>
          <w:kern w:val="0"/>
          <w:lang w:val="en-GB"/>
        </w:rPr>
        <w:t>.  E</w:t>
      </w:r>
      <w:r w:rsidR="00AA65CD" w:rsidRPr="00AA65CD">
        <w:rPr>
          <w:rFonts w:ascii="Times New Roman"/>
          <w:i/>
          <w:kern w:val="0"/>
          <w:lang w:val="en-GB"/>
        </w:rPr>
        <w:t xml:space="preserve">xports of business and other services continued to grow </w:t>
      </w:r>
      <w:r w:rsidR="00FA2CDB">
        <w:rPr>
          <w:rFonts w:ascii="Times New Roman"/>
          <w:i/>
          <w:kern w:val="0"/>
          <w:lang w:val="en-GB"/>
        </w:rPr>
        <w:t>moderately</w:t>
      </w:r>
      <w:r w:rsidR="00AA65CD" w:rsidRPr="00AA65CD">
        <w:rPr>
          <w:rFonts w:ascii="Times New Roman"/>
          <w:i/>
          <w:kern w:val="0"/>
          <w:lang w:val="en-GB"/>
        </w:rPr>
        <w:t xml:space="preserve">.  </w:t>
      </w:r>
      <w:r w:rsidR="00C06C3F">
        <w:rPr>
          <w:rFonts w:ascii="Times New Roman"/>
          <w:i/>
          <w:kern w:val="0"/>
          <w:lang w:val="en-HK"/>
        </w:rPr>
        <w:t xml:space="preserve">Yet, </w:t>
      </w:r>
      <w:r w:rsidR="00AA65CD" w:rsidRPr="00C06C3F">
        <w:rPr>
          <w:rFonts w:ascii="Times New Roman"/>
          <w:i/>
          <w:kern w:val="0"/>
          <w:lang w:val="en-GB"/>
        </w:rPr>
        <w:t>e</w:t>
      </w:r>
      <w:r w:rsidR="00AA65CD" w:rsidRPr="00AA65CD">
        <w:rPr>
          <w:rFonts w:ascii="Times New Roman"/>
          <w:i/>
          <w:kern w:val="0"/>
          <w:lang w:val="en-GB"/>
        </w:rPr>
        <w:t>xports of travel services turned to a contraction amid the change in consumption patterns of visitors and the strength of the Hong Kong dollar</w:t>
      </w:r>
      <w:r w:rsidR="008F39C6">
        <w:rPr>
          <w:rFonts w:ascii="Times New Roman"/>
          <w:i/>
          <w:kern w:val="0"/>
          <w:lang w:val="en-GB"/>
        </w:rPr>
        <w:t>.</w:t>
      </w:r>
    </w:p>
    <w:p w:rsidR="00CD4872" w:rsidRPr="008314F8" w:rsidRDefault="00D47BD7"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Domestically, p</w:t>
      </w:r>
      <w:r w:rsidR="00751398" w:rsidRPr="008314F8">
        <w:rPr>
          <w:rFonts w:ascii="Times New Roman"/>
          <w:bCs/>
          <w:i/>
          <w:kern w:val="0"/>
          <w:lang w:val="en-GB" w:eastAsia="zh-HK"/>
        </w:rPr>
        <w:t xml:space="preserve">rivate </w:t>
      </w:r>
      <w:r w:rsidR="007C295D" w:rsidRPr="008314F8">
        <w:rPr>
          <w:rFonts w:ascii="Times New Roman"/>
          <w:bCs/>
          <w:i/>
          <w:kern w:val="0"/>
          <w:lang w:val="en-GB" w:eastAsia="zh-HK"/>
        </w:rPr>
        <w:t>consumption</w:t>
      </w:r>
      <w:r w:rsidR="00084056" w:rsidRPr="008314F8">
        <w:rPr>
          <w:rFonts w:ascii="Times New Roman"/>
          <w:bCs/>
          <w:i/>
          <w:kern w:val="0"/>
          <w:lang w:val="en-GB" w:eastAsia="zh-HK"/>
        </w:rPr>
        <w:t xml:space="preserve"> expenditure</w:t>
      </w:r>
      <w:r w:rsidR="00AB01D8" w:rsidRPr="008314F8">
        <w:rPr>
          <w:rFonts w:ascii="Times New Roman"/>
          <w:bCs/>
          <w:i/>
          <w:kern w:val="0"/>
          <w:lang w:val="en-GB" w:eastAsia="zh-HK"/>
        </w:rPr>
        <w:t xml:space="preserve"> </w:t>
      </w:r>
      <w:r w:rsidR="00956748">
        <w:rPr>
          <w:rFonts w:ascii="Times New Roman"/>
          <w:bCs/>
          <w:i/>
          <w:kern w:val="0"/>
          <w:lang w:val="en-GB" w:eastAsia="zh-HK"/>
        </w:rPr>
        <w:t>turned to a slight decline</w:t>
      </w:r>
      <w:r w:rsidR="003949DC">
        <w:rPr>
          <w:rFonts w:ascii="Times New Roman"/>
          <w:bCs/>
          <w:i/>
          <w:kern w:val="0"/>
          <w:lang w:val="en-GB" w:eastAsia="zh-HK"/>
        </w:rPr>
        <w:t xml:space="preserve"> in the </w:t>
      </w:r>
      <w:r w:rsidR="007146AA">
        <w:rPr>
          <w:rFonts w:ascii="Times New Roman"/>
          <w:bCs/>
          <w:i/>
          <w:kern w:val="0"/>
          <w:lang w:val="en-GB" w:eastAsia="zh-HK"/>
        </w:rPr>
        <w:t xml:space="preserve">second </w:t>
      </w:r>
      <w:r w:rsidR="003949DC">
        <w:rPr>
          <w:rFonts w:ascii="Times New Roman"/>
          <w:bCs/>
          <w:i/>
          <w:kern w:val="0"/>
          <w:lang w:val="en-GB" w:eastAsia="zh-HK"/>
        </w:rPr>
        <w:t>quarter</w:t>
      </w:r>
      <w:r w:rsidR="009F5BF4">
        <w:rPr>
          <w:rFonts w:ascii="Times New Roman"/>
          <w:bCs/>
          <w:i/>
          <w:kern w:val="0"/>
          <w:lang w:val="en-GB" w:eastAsia="zh-HK"/>
        </w:rPr>
        <w:t>,</w:t>
      </w:r>
      <w:r w:rsidR="00956748">
        <w:rPr>
          <w:rFonts w:ascii="Times New Roman"/>
          <w:bCs/>
          <w:i/>
          <w:kern w:val="0"/>
          <w:lang w:val="en-GB" w:eastAsia="zh-HK"/>
        </w:rPr>
        <w:t xml:space="preserve"> mainly affected by the changes in </w:t>
      </w:r>
      <w:r w:rsidR="006966DF">
        <w:rPr>
          <w:rFonts w:ascii="Times New Roman"/>
          <w:bCs/>
          <w:i/>
          <w:kern w:val="0"/>
          <w:lang w:val="en-GB" w:eastAsia="zh-HK"/>
        </w:rPr>
        <w:t xml:space="preserve">the </w:t>
      </w:r>
      <w:r w:rsidR="00956748">
        <w:rPr>
          <w:rFonts w:ascii="Times New Roman"/>
          <w:bCs/>
          <w:i/>
          <w:kern w:val="0"/>
          <w:lang w:val="en-GB" w:eastAsia="zh-HK"/>
        </w:rPr>
        <w:t xml:space="preserve">consumption patterns </w:t>
      </w:r>
      <w:r w:rsidR="00E52108">
        <w:rPr>
          <w:rFonts w:ascii="Times New Roman"/>
          <w:bCs/>
          <w:i/>
          <w:kern w:val="0"/>
          <w:lang w:val="en-GB" w:eastAsia="zh-HK"/>
        </w:rPr>
        <w:t>of residents</w:t>
      </w:r>
      <w:r w:rsidR="00956748">
        <w:rPr>
          <w:rFonts w:ascii="Times New Roman"/>
          <w:bCs/>
          <w:i/>
          <w:kern w:val="0"/>
          <w:lang w:val="en-GB" w:eastAsia="zh-HK"/>
        </w:rPr>
        <w:t>.</w:t>
      </w:r>
      <w:r w:rsidR="00B863C2" w:rsidRPr="008314F8">
        <w:rPr>
          <w:rFonts w:ascii="Times New Roman"/>
          <w:bCs/>
          <w:i/>
          <w:kern w:val="0"/>
          <w:lang w:val="en-GB" w:eastAsia="zh-HK"/>
        </w:rPr>
        <w:t xml:space="preserve"> </w:t>
      </w:r>
      <w:r w:rsidR="00B863C2" w:rsidRPr="008314F8">
        <w:rPr>
          <w:rFonts w:ascii="Times New Roman"/>
          <w:i/>
          <w:kern w:val="0"/>
          <w:lang w:val="en-GB" w:eastAsia="zh-HK"/>
        </w:rPr>
        <w:t xml:space="preserve"> </w:t>
      </w:r>
      <w:r w:rsidR="00956748">
        <w:rPr>
          <w:rFonts w:ascii="Times New Roman"/>
          <w:i/>
          <w:kern w:val="0"/>
          <w:lang w:val="en-GB" w:eastAsia="zh-HK"/>
        </w:rPr>
        <w:t xml:space="preserve">Meanwhile, </w:t>
      </w:r>
      <w:r w:rsidR="00956748">
        <w:rPr>
          <w:rFonts w:ascii="Times New Roman"/>
          <w:i/>
          <w:kern w:val="0"/>
          <w:lang w:val="en-GB"/>
        </w:rPr>
        <w:t>o</w:t>
      </w:r>
      <w:r w:rsidR="00FD0F30" w:rsidRPr="008314F8">
        <w:rPr>
          <w:rFonts w:ascii="Times New Roman"/>
          <w:i/>
          <w:kern w:val="0"/>
          <w:lang w:val="en-GB"/>
        </w:rPr>
        <w:t>verall i</w:t>
      </w:r>
      <w:r w:rsidR="006F51B2" w:rsidRPr="008314F8">
        <w:rPr>
          <w:rFonts w:ascii="Times New Roman"/>
          <w:i/>
          <w:kern w:val="0"/>
          <w:lang w:val="en-GB"/>
        </w:rPr>
        <w:t xml:space="preserve">nvestment expenditure </w:t>
      </w:r>
      <w:r w:rsidR="006966DF">
        <w:rPr>
          <w:rFonts w:ascii="Times New Roman"/>
          <w:i/>
          <w:kern w:val="0"/>
          <w:lang w:val="en-GB"/>
        </w:rPr>
        <w:t xml:space="preserve">rose </w:t>
      </w:r>
      <w:r w:rsidR="00CF7461">
        <w:rPr>
          <w:rFonts w:ascii="Times New Roman"/>
          <w:i/>
          <w:kern w:val="0"/>
          <w:lang w:val="en-GB"/>
        </w:rPr>
        <w:t xml:space="preserve">further </w:t>
      </w:r>
      <w:r w:rsidR="009E55D5">
        <w:rPr>
          <w:rFonts w:ascii="Times New Roman"/>
          <w:i/>
          <w:kern w:val="0"/>
          <w:lang w:val="en-GB"/>
        </w:rPr>
        <w:t>alongside</w:t>
      </w:r>
      <w:r w:rsidR="009E55D5" w:rsidRPr="008314F8">
        <w:rPr>
          <w:rFonts w:ascii="Times New Roman"/>
          <w:i/>
          <w:kern w:val="0"/>
          <w:lang w:val="en-GB"/>
        </w:rPr>
        <w:t xml:space="preserve"> </w:t>
      </w:r>
      <w:r w:rsidR="00450E5C">
        <w:rPr>
          <w:rFonts w:ascii="Times New Roman"/>
          <w:i/>
          <w:kern w:val="0"/>
          <w:lang w:val="en-GB"/>
        </w:rPr>
        <w:t xml:space="preserve">the </w:t>
      </w:r>
      <w:r w:rsidR="00956748">
        <w:rPr>
          <w:rFonts w:ascii="Times New Roman"/>
          <w:i/>
          <w:kern w:val="0"/>
          <w:lang w:val="en-GB"/>
        </w:rPr>
        <w:t xml:space="preserve">overall </w:t>
      </w:r>
      <w:r w:rsidR="00854D09" w:rsidRPr="008314F8">
        <w:rPr>
          <w:rFonts w:ascii="Times New Roman"/>
          <w:i/>
          <w:kern w:val="0"/>
          <w:lang w:val="en-GB"/>
        </w:rPr>
        <w:t>economic</w:t>
      </w:r>
      <w:r w:rsidR="00C627D7">
        <w:rPr>
          <w:rFonts w:ascii="Times New Roman"/>
          <w:i/>
          <w:kern w:val="0"/>
          <w:lang w:val="en-GB"/>
        </w:rPr>
        <w:t xml:space="preserve"> </w:t>
      </w:r>
      <w:r w:rsidR="00E52108">
        <w:rPr>
          <w:rFonts w:ascii="Times New Roman"/>
          <w:i/>
          <w:kern w:val="0"/>
          <w:lang w:val="en-GB"/>
        </w:rPr>
        <w:t>growth</w:t>
      </w:r>
      <w:r w:rsidR="008314F8" w:rsidRPr="008314F8">
        <w:rPr>
          <w:rFonts w:ascii="Times New Roman"/>
          <w:i/>
          <w:kern w:val="0"/>
          <w:lang w:val="en-GB"/>
        </w:rPr>
        <w:t>.</w:t>
      </w:r>
    </w:p>
    <w:p w:rsidR="005238C0" w:rsidRPr="00E93EF1" w:rsidRDefault="00E62D47" w:rsidP="0030653F">
      <w:pPr>
        <w:pStyle w:val="a5"/>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labour market </w:t>
      </w:r>
      <w:r w:rsidR="002A34F7">
        <w:rPr>
          <w:rFonts w:ascii="Times New Roman"/>
          <w:i/>
          <w:kern w:val="0"/>
          <w:lang w:val="en-HK"/>
        </w:rPr>
        <w:t>stayed</w:t>
      </w:r>
      <w:r w:rsidR="00613951" w:rsidRPr="00613951">
        <w:rPr>
          <w:rFonts w:ascii="Times New Roman"/>
          <w:i/>
          <w:kern w:val="0"/>
          <w:lang w:val="en-HK"/>
        </w:rPr>
        <w:t xml:space="preserve"> tight in the </w:t>
      </w:r>
      <w:r w:rsidR="00A94EC9">
        <w:rPr>
          <w:rFonts w:ascii="Times New Roman" w:hint="eastAsia"/>
          <w:i/>
          <w:kern w:val="0"/>
          <w:lang w:val="en-HK"/>
        </w:rPr>
        <w:t>second</w:t>
      </w:r>
      <w:r w:rsidR="00613951" w:rsidRPr="00613951">
        <w:rPr>
          <w:rFonts w:ascii="Times New Roman"/>
          <w:i/>
          <w:kern w:val="0"/>
          <w:lang w:val="en-HK"/>
        </w:rPr>
        <w:t xml:space="preserve"> quarter</w:t>
      </w:r>
      <w:r w:rsidR="00267796" w:rsidRPr="00267796">
        <w:rPr>
          <w:rFonts w:ascii="Times New Roman"/>
          <w:i/>
          <w:kern w:val="0"/>
          <w:lang w:val="en-HK"/>
        </w:rPr>
        <w:t xml:space="preserve">.  </w:t>
      </w:r>
      <w:r w:rsidR="002A34F7" w:rsidRPr="002A34F7">
        <w:rPr>
          <w:rFonts w:ascii="Times New Roman"/>
          <w:i/>
          <w:kern w:val="0"/>
          <w:lang w:val="en-HK"/>
        </w:rPr>
        <w:t xml:space="preserve">The seasonally adjusted unemployment rate stayed low at 3.0%, same as the preceding quarter.  The underemployment rate was also low at 1.2%, though slightly higher than the level of 1.1% in the preceding quarter.  </w:t>
      </w:r>
    </w:p>
    <w:p w:rsidR="004367BC" w:rsidRPr="00566240" w:rsidRDefault="001B7C3B" w:rsidP="00566240">
      <w:pPr>
        <w:pStyle w:val="a5"/>
        <w:numPr>
          <w:ilvl w:val="0"/>
          <w:numId w:val="1"/>
        </w:numPr>
        <w:spacing w:before="120" w:after="120" w:line="240" w:lineRule="auto"/>
        <w:ind w:right="28"/>
        <w:jc w:val="both"/>
        <w:rPr>
          <w:rFonts w:ascii="Times New Roman"/>
          <w:i/>
          <w:kern w:val="0"/>
          <w:lang w:val="en-GB"/>
        </w:rPr>
      </w:pPr>
      <w:r w:rsidRPr="00566240">
        <w:rPr>
          <w:rFonts w:ascii="Times New Roman"/>
          <w:i/>
          <w:kern w:val="0"/>
          <w:lang w:val="en-GB"/>
        </w:rPr>
        <w:t xml:space="preserve">The </w:t>
      </w:r>
      <w:r w:rsidR="00F2658C" w:rsidRPr="00F2658C">
        <w:rPr>
          <w:rFonts w:ascii="Times New Roman"/>
          <w:i/>
          <w:kern w:val="0"/>
          <w:lang w:val="en-GB"/>
        </w:rPr>
        <w:t xml:space="preserve">local stock market fared better in the second quarter.  As market sentiment improved following the announcement of enhancement measures on mutual access between the capital markets of the Mainland and Hong Kong, the Hang Seng Index (HSI) rose markedly to a near 10-month high of 19 636 on 20 May.  Yet, dampened by expectations for delayed US interest rate cuts and concerns about the Mainland’s economic recovery momentum, it </w:t>
      </w:r>
      <w:r w:rsidR="00BF196F">
        <w:rPr>
          <w:rFonts w:ascii="Times New Roman"/>
          <w:i/>
          <w:kern w:val="0"/>
          <w:lang w:val="en-GB"/>
        </w:rPr>
        <w:t xml:space="preserve">then </w:t>
      </w:r>
      <w:r w:rsidR="00F2658C" w:rsidRPr="00F2658C">
        <w:rPr>
          <w:rFonts w:ascii="Times New Roman"/>
          <w:i/>
          <w:kern w:val="0"/>
          <w:lang w:val="en-GB"/>
        </w:rPr>
        <w:t>retreated</w:t>
      </w:r>
      <w:r w:rsidR="00E365FD">
        <w:rPr>
          <w:rFonts w:ascii="Times New Roman"/>
          <w:i/>
          <w:kern w:val="0"/>
          <w:lang w:val="en-GB"/>
        </w:rPr>
        <w:t xml:space="preserve"> </w:t>
      </w:r>
      <w:r w:rsidR="00F2658C" w:rsidRPr="00F2658C">
        <w:rPr>
          <w:rFonts w:ascii="Times New Roman"/>
          <w:i/>
          <w:kern w:val="0"/>
          <w:lang w:val="en-GB"/>
        </w:rPr>
        <w:t>and</w:t>
      </w:r>
      <w:r w:rsidR="00102F3D">
        <w:rPr>
          <w:rFonts w:ascii="Times New Roman"/>
          <w:i/>
          <w:kern w:val="0"/>
          <w:lang w:val="en-GB"/>
        </w:rPr>
        <w:t xml:space="preserve"> </w:t>
      </w:r>
      <w:r w:rsidR="00F2658C" w:rsidRPr="00F2658C">
        <w:rPr>
          <w:rFonts w:ascii="Times New Roman"/>
          <w:i/>
          <w:kern w:val="0"/>
          <w:lang w:val="en-GB"/>
        </w:rPr>
        <w:t>clos</w:t>
      </w:r>
      <w:r w:rsidR="00BF196F">
        <w:rPr>
          <w:rFonts w:ascii="Times New Roman"/>
          <w:i/>
          <w:kern w:val="0"/>
          <w:lang w:val="en-GB"/>
        </w:rPr>
        <w:t>ed</w:t>
      </w:r>
      <w:r w:rsidR="00F2658C" w:rsidRPr="00F2658C">
        <w:rPr>
          <w:rFonts w:ascii="Times New Roman"/>
          <w:i/>
          <w:kern w:val="0"/>
          <w:lang w:val="en-GB"/>
        </w:rPr>
        <w:t xml:space="preserve"> the quarter at 17 719 or 7.1% higher than end-March</w:t>
      </w:r>
      <w:r w:rsidR="00676A47" w:rsidRPr="00566240">
        <w:rPr>
          <w:rFonts w:ascii="Times New Roman"/>
          <w:i/>
          <w:kern w:val="0"/>
          <w:lang w:val="en-GB"/>
        </w:rPr>
        <w:t xml:space="preserve">.  </w:t>
      </w:r>
      <w:r w:rsidR="00DD3BFC" w:rsidRPr="00DD3BFC">
        <w:rPr>
          <w:rFonts w:ascii="Times New Roman"/>
          <w:i/>
          <w:iCs/>
          <w:kern w:val="0"/>
          <w:lang w:val="en-GB"/>
        </w:rPr>
        <w:t xml:space="preserve">The </w:t>
      </w:r>
      <w:r w:rsidR="000A2EC9" w:rsidRPr="000A2EC9">
        <w:rPr>
          <w:rFonts w:ascii="Times New Roman"/>
          <w:i/>
          <w:iCs/>
          <w:kern w:val="0"/>
          <w:lang w:val="en-GB"/>
        </w:rPr>
        <w:t xml:space="preserve">residential property market was very active at the beginning of the second quarter following the cancellation of the demand-side management measures (DSMMs) for residential properties, but quietened </w:t>
      </w:r>
      <w:r w:rsidR="000A2EC9" w:rsidRPr="000A2EC9">
        <w:rPr>
          <w:rFonts w:ascii="Times New Roman"/>
          <w:i/>
          <w:iCs/>
          <w:kern w:val="0"/>
          <w:lang w:val="en-GB"/>
        </w:rPr>
        <w:lastRenderedPageBreak/>
        <w:t xml:space="preserve">progressively thereafter as pent-up demand faded.  Market sentiment turned increasingly cautious during the quarter as the prospect of </w:t>
      </w:r>
      <w:r w:rsidR="00BF6DEC">
        <w:rPr>
          <w:rFonts w:ascii="Times New Roman"/>
          <w:i/>
          <w:iCs/>
          <w:kern w:val="0"/>
          <w:lang w:val="en-GB"/>
        </w:rPr>
        <w:t xml:space="preserve">US </w:t>
      </w:r>
      <w:r w:rsidR="000A2EC9" w:rsidRPr="000A2EC9">
        <w:rPr>
          <w:rFonts w:ascii="Times New Roman"/>
          <w:i/>
          <w:iCs/>
          <w:kern w:val="0"/>
          <w:lang w:val="en-GB"/>
        </w:rPr>
        <w:t>interest rate cuts dimmed.  Flat prices declined for the quarter as a whole</w:t>
      </w:r>
      <w:r w:rsidR="000C5A75" w:rsidRPr="00566240">
        <w:rPr>
          <w:rFonts w:ascii="Times New Roman"/>
          <w:i/>
          <w:kern w:val="0"/>
          <w:lang w:val="en-GB"/>
        </w:rPr>
        <w:t>.</w:t>
      </w:r>
    </w:p>
    <w:p w:rsidR="002F4C2B" w:rsidRPr="00DC5F66" w:rsidRDefault="004B4979"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6D0D3A">
        <w:rPr>
          <w:rFonts w:ascii="Times New Roman"/>
          <w:i/>
          <w:kern w:val="0"/>
          <w:lang w:val="en-GB"/>
        </w:rPr>
        <w:t xml:space="preserve">Underlying consumer price inflation </w:t>
      </w:r>
      <w:r w:rsidR="00A94EC9">
        <w:rPr>
          <w:rFonts w:ascii="Times New Roman"/>
          <w:i/>
          <w:kern w:val="0"/>
          <w:lang w:val="en-GB"/>
        </w:rPr>
        <w:t>remained</w:t>
      </w:r>
      <w:r w:rsidR="009C154B" w:rsidRPr="009C154B">
        <w:rPr>
          <w:rFonts w:ascii="Times New Roman"/>
          <w:i/>
          <w:kern w:val="0"/>
          <w:lang w:val="en-GB"/>
        </w:rPr>
        <w:t xml:space="preserve"> </w:t>
      </w:r>
      <w:r w:rsidR="00287A02">
        <w:rPr>
          <w:rFonts w:ascii="Times New Roman"/>
          <w:i/>
          <w:kern w:val="0"/>
          <w:lang w:val="en-GB"/>
        </w:rPr>
        <w:t>modest</w:t>
      </w:r>
      <w:r w:rsidR="00287A02" w:rsidRPr="009C154B">
        <w:rPr>
          <w:rFonts w:ascii="Times New Roman"/>
          <w:i/>
          <w:kern w:val="0"/>
          <w:lang w:val="en-GB"/>
        </w:rPr>
        <w:t xml:space="preserve"> </w:t>
      </w:r>
      <w:r w:rsidR="009C154B" w:rsidRPr="009C154B">
        <w:rPr>
          <w:rFonts w:ascii="Times New Roman"/>
          <w:i/>
          <w:kern w:val="0"/>
          <w:lang w:val="en-GB"/>
        </w:rPr>
        <w:t xml:space="preserve">in the </w:t>
      </w:r>
      <w:r w:rsidR="00A94EC9">
        <w:rPr>
          <w:rFonts w:ascii="Times New Roman"/>
          <w:i/>
          <w:kern w:val="0"/>
          <w:lang w:val="en-GB"/>
        </w:rPr>
        <w:t>second</w:t>
      </w:r>
      <w:r w:rsidR="009C154B" w:rsidRPr="009C154B">
        <w:rPr>
          <w:rFonts w:ascii="Times New Roman"/>
          <w:i/>
          <w:kern w:val="0"/>
          <w:lang w:val="en-GB"/>
        </w:rPr>
        <w:t xml:space="preserve"> quarter.  </w:t>
      </w:r>
      <w:r w:rsidR="00D26D18" w:rsidRPr="00D26D18">
        <w:rPr>
          <w:rFonts w:ascii="Times New Roman"/>
          <w:i/>
          <w:kern w:val="0"/>
          <w:lang w:val="en-GB"/>
        </w:rPr>
        <w:t xml:space="preserve">Prices of meals out and takeaway food continued to increase at a relatively fast pace over a year earlier.  Increases in private housing rentals remained </w:t>
      </w:r>
      <w:r w:rsidR="006966DF">
        <w:rPr>
          <w:rFonts w:ascii="Times New Roman"/>
          <w:i/>
          <w:kern w:val="0"/>
          <w:lang w:val="en-GB"/>
        </w:rPr>
        <w:t>small</w:t>
      </w:r>
      <w:r w:rsidR="00D26D18" w:rsidRPr="00D26D18">
        <w:rPr>
          <w:rFonts w:ascii="Times New Roman"/>
          <w:i/>
          <w:kern w:val="0"/>
          <w:lang w:val="en-GB"/>
        </w:rPr>
        <w:t>.  Meanwhile, prices of electricity continued to decrease notably against a high base of comparison.  Price pressures on other major components were broadly in check.</w:t>
      </w:r>
    </w:p>
    <w:p w:rsidR="00E87895" w:rsidRDefault="00E87895" w:rsidP="0007769F">
      <w:pPr>
        <w:widowControl/>
        <w:rPr>
          <w:b/>
        </w:rPr>
      </w:pPr>
    </w:p>
    <w:p w:rsidR="00662CF9" w:rsidRPr="0007769F" w:rsidRDefault="00662CF9" w:rsidP="0007769F">
      <w:pPr>
        <w:widowControl/>
        <w:rPr>
          <w:rFonts w:eastAsiaTheme="minorEastAsia"/>
          <w:bCs/>
        </w:rPr>
      </w:pPr>
      <w:r w:rsidRPr="0007769F">
        <w:rPr>
          <w:b/>
          <w:sz w:val="28"/>
          <w:szCs w:val="20"/>
        </w:rPr>
        <w:t>Overall situation</w:t>
      </w:r>
    </w:p>
    <w:p w:rsidR="00662CF9" w:rsidRPr="00622ED9" w:rsidRDefault="00662CF9" w:rsidP="00DA5B9C">
      <w:pPr>
        <w:rPr>
          <w:b/>
          <w:bCs/>
        </w:rPr>
      </w:pPr>
    </w:p>
    <w:p w:rsidR="00847596" w:rsidRPr="00B51E18" w:rsidRDefault="00C70DCA" w:rsidP="00294024">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sidRPr="00294024">
        <w:rPr>
          <w:rFonts w:ascii="Times New Roman"/>
          <w:lang w:val="en-GB"/>
        </w:rPr>
        <w:t xml:space="preserve">The Hong Kong economy </w:t>
      </w:r>
      <w:r w:rsidR="00FE3CAE" w:rsidRPr="00294024">
        <w:rPr>
          <w:rFonts w:ascii="Times New Roman"/>
          <w:lang w:val="en-GB"/>
        </w:rPr>
        <w:t xml:space="preserve">continued to </w:t>
      </w:r>
      <w:r w:rsidR="00BF196F">
        <w:rPr>
          <w:rFonts w:ascii="Times New Roman"/>
          <w:lang w:val="en-GB"/>
        </w:rPr>
        <w:t>record moderate growth</w:t>
      </w:r>
      <w:r w:rsidR="006966DF" w:rsidRPr="00294024">
        <w:rPr>
          <w:rFonts w:ascii="Times New Roman"/>
          <w:lang w:val="en-GB"/>
        </w:rPr>
        <w:t xml:space="preserve"> </w:t>
      </w:r>
      <w:r w:rsidR="00FE3CAE" w:rsidRPr="00294024">
        <w:rPr>
          <w:rFonts w:ascii="Times New Roman"/>
          <w:lang w:val="en-GB"/>
        </w:rPr>
        <w:t xml:space="preserve">in the second quarter of 2024, </w:t>
      </w:r>
      <w:r w:rsidR="0056272B" w:rsidRPr="00294024">
        <w:rPr>
          <w:rFonts w:ascii="Times New Roman"/>
          <w:lang w:val="en-GB"/>
        </w:rPr>
        <w:t xml:space="preserve">though </w:t>
      </w:r>
      <w:r w:rsidR="00B51E18" w:rsidRPr="00294024">
        <w:rPr>
          <w:rFonts w:ascii="Times New Roman"/>
          <w:lang w:val="en-GB"/>
        </w:rPr>
        <w:t>the performance of individual segments varied</w:t>
      </w:r>
      <w:r w:rsidR="0056272B" w:rsidRPr="00294024">
        <w:rPr>
          <w:rFonts w:ascii="Times New Roman"/>
          <w:lang w:val="en-GB"/>
        </w:rPr>
        <w:t xml:space="preserve">.  </w:t>
      </w:r>
      <w:r w:rsidR="002E225E">
        <w:rPr>
          <w:rFonts w:ascii="Times New Roman"/>
          <w:lang w:val="en-GB"/>
        </w:rPr>
        <w:t>Total e</w:t>
      </w:r>
      <w:r w:rsidR="00B51E18" w:rsidRPr="00294024">
        <w:rPr>
          <w:rFonts w:ascii="Times New Roman"/>
          <w:lang w:val="en-GB"/>
        </w:rPr>
        <w:t xml:space="preserve">xports of goods continued to grow </w:t>
      </w:r>
      <w:r w:rsidR="00AA26C1">
        <w:rPr>
          <w:rFonts w:ascii="Times New Roman"/>
          <w:lang w:val="en-GB"/>
        </w:rPr>
        <w:t>strong</w:t>
      </w:r>
      <w:r w:rsidR="00B51E18" w:rsidRPr="00294024">
        <w:rPr>
          <w:rFonts w:ascii="Times New Roman"/>
          <w:lang w:val="en-GB"/>
        </w:rPr>
        <w:t>ly,</w:t>
      </w:r>
      <w:r w:rsidR="00AA26C1" w:rsidRPr="00294024">
        <w:rPr>
          <w:rFonts w:ascii="Times New Roman"/>
          <w:lang w:val="en-GB"/>
        </w:rPr>
        <w:t xml:space="preserve"> while exports of services saw </w:t>
      </w:r>
      <w:r w:rsidR="00B51E18" w:rsidRPr="00294024">
        <w:rPr>
          <w:rFonts w:ascii="Times New Roman"/>
          <w:lang w:val="en-GB"/>
        </w:rPr>
        <w:t xml:space="preserve">decelerated growth.  Overall investment expenditure </w:t>
      </w:r>
      <w:r w:rsidR="006966DF">
        <w:rPr>
          <w:rFonts w:ascii="Times New Roman"/>
          <w:lang w:val="en-GB"/>
        </w:rPr>
        <w:t>rose further</w:t>
      </w:r>
      <w:r w:rsidR="00B51E18" w:rsidRPr="00294024">
        <w:rPr>
          <w:rFonts w:ascii="Times New Roman"/>
          <w:lang w:val="en-GB"/>
        </w:rPr>
        <w:t xml:space="preserve">.  However, private consumption expenditure turned to a slight decline.  </w:t>
      </w:r>
    </w:p>
    <w:p w:rsidR="00B51E18" w:rsidRPr="00294024" w:rsidRDefault="00B51E18" w:rsidP="00294024">
      <w:pPr>
        <w:pStyle w:val="a5"/>
        <w:tabs>
          <w:tab w:val="left" w:pos="1260"/>
        </w:tabs>
        <w:overflowPunct w:val="0"/>
        <w:ind w:right="28"/>
        <w:jc w:val="both"/>
        <w:rPr>
          <w:rFonts w:ascii="Times New Roman" w:eastAsiaTheme="minorEastAsia"/>
          <w:spacing w:val="-4"/>
          <w:kern w:val="0"/>
          <w:szCs w:val="28"/>
          <w:lang w:val="en-GB" w:eastAsia="zh-HK"/>
        </w:rPr>
      </w:pPr>
    </w:p>
    <w:p w:rsidR="00C70DCA" w:rsidRPr="00ED600C" w:rsidRDefault="00C70DCA"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 xml:space="preserve">grew by </w:t>
      </w:r>
      <w:r w:rsidR="0038012B">
        <w:rPr>
          <w:rFonts w:ascii="Times New Roman"/>
          <w:lang w:val="en-GB"/>
        </w:rPr>
        <w:t>3.</w:t>
      </w:r>
      <w:r w:rsidR="00C311E0">
        <w:rPr>
          <w:rFonts w:ascii="Times New Roman"/>
          <w:lang w:val="en-GB"/>
        </w:rPr>
        <w:t>3</w:t>
      </w:r>
      <w:r w:rsidRPr="00162B4D">
        <w:rPr>
          <w:rFonts w:ascii="Times New Roman"/>
          <w:lang w:val="en-GB"/>
        </w:rPr>
        <w:t>%</w:t>
      </w:r>
      <w:r>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FE3CAE">
        <w:rPr>
          <w:rFonts w:ascii="Times New Roman"/>
          <w:lang w:val="en-GB"/>
        </w:rPr>
        <w:t>second</w:t>
      </w:r>
      <w:r w:rsidR="00FE3CAE" w:rsidRPr="00162B4D">
        <w:rPr>
          <w:rFonts w:ascii="Times New Roman"/>
          <w:lang w:val="en-GB"/>
        </w:rPr>
        <w:t xml:space="preserve"> </w:t>
      </w:r>
      <w:r w:rsidRPr="00162B4D">
        <w:rPr>
          <w:rFonts w:ascii="Times New Roman"/>
          <w:lang w:val="en-GB"/>
        </w:rPr>
        <w:t>quarter</w:t>
      </w:r>
      <w:r>
        <w:rPr>
          <w:rFonts w:ascii="Times New Roman"/>
          <w:lang w:val="en-GB"/>
        </w:rPr>
        <w:t xml:space="preserve"> </w:t>
      </w:r>
      <w:r w:rsidRPr="00162B4D">
        <w:rPr>
          <w:rFonts w:ascii="Times New Roman"/>
          <w:lang w:val="en-GB"/>
        </w:rPr>
        <w:t>(</w:t>
      </w:r>
      <w:r>
        <w:rPr>
          <w:rFonts w:ascii="Times New Roman"/>
          <w:lang w:val="en-GB"/>
        </w:rPr>
        <w:t>same as the advance estimate</w:t>
      </w:r>
      <w:r w:rsidRPr="00162B4D">
        <w:rPr>
          <w:rFonts w:ascii="Times New Roman"/>
          <w:lang w:val="en-GB"/>
        </w:rPr>
        <w:t xml:space="preserve">), </w:t>
      </w:r>
      <w:r>
        <w:rPr>
          <w:rFonts w:ascii="Times New Roman"/>
          <w:lang w:val="en-GB"/>
        </w:rPr>
        <w:t xml:space="preserve">having </w:t>
      </w:r>
      <w:r w:rsidR="0067641D">
        <w:rPr>
          <w:rFonts w:ascii="Times New Roman"/>
          <w:lang w:val="en-GB"/>
        </w:rPr>
        <w:t>increased</w:t>
      </w:r>
      <w:r>
        <w:rPr>
          <w:rFonts w:ascii="Times New Roman"/>
          <w:lang w:val="en-GB"/>
        </w:rPr>
        <w:t xml:space="preserve"> by</w:t>
      </w:r>
      <w:r w:rsidRPr="00162B4D">
        <w:rPr>
          <w:rFonts w:ascii="Times New Roman"/>
          <w:lang w:val="en-GB" w:eastAsia="zh-HK"/>
        </w:rPr>
        <w:t xml:space="preserve"> </w:t>
      </w:r>
      <w:r w:rsidR="00FE3CAE">
        <w:rPr>
          <w:rFonts w:ascii="Times New Roman"/>
          <w:lang w:val="en-GB" w:eastAsia="zh-HK"/>
        </w:rPr>
        <w:t>2.</w:t>
      </w:r>
      <w:r w:rsidR="0038012B">
        <w:rPr>
          <w:rFonts w:ascii="Times New Roman"/>
          <w:lang w:val="en-GB" w:eastAsia="zh-HK"/>
        </w:rPr>
        <w:t>8</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On a seasonally adjusted quarter-to-quarter comparison, real GDP</w:t>
      </w:r>
      <w:r w:rsidR="005A20FE">
        <w:rPr>
          <w:rFonts w:ascii="Times New Roman"/>
          <w:lang w:val="en-GB"/>
        </w:rPr>
        <w:t xml:space="preserve"> </w:t>
      </w:r>
      <w:r w:rsidR="0067641D">
        <w:rPr>
          <w:rFonts w:ascii="Times New Roman"/>
          <w:lang w:val="en-GB"/>
        </w:rPr>
        <w:t>increased</w:t>
      </w:r>
      <w:r w:rsidRPr="009C6DF3">
        <w:rPr>
          <w:rFonts w:ascii="Times New Roman"/>
          <w:lang w:val="en-GB"/>
        </w:rPr>
        <w:t xml:space="preserve"> by </w:t>
      </w:r>
      <w:r w:rsidR="0038012B">
        <w:rPr>
          <w:rFonts w:ascii="Times New Roman"/>
          <w:lang w:val="en-GB"/>
        </w:rPr>
        <w:t>0.</w:t>
      </w:r>
      <w:r w:rsidR="00C311E0">
        <w:rPr>
          <w:rFonts w:ascii="Times New Roman"/>
          <w:lang w:val="en-GB"/>
        </w:rPr>
        <w:t>4</w:t>
      </w:r>
      <w:r w:rsidRPr="009C6DF3">
        <w:rPr>
          <w:rFonts w:ascii="Times New Roman"/>
          <w:lang w:val="en-GB"/>
        </w:rPr>
        <w:t>% (</w:t>
      </w:r>
      <w:r>
        <w:rPr>
          <w:rFonts w:ascii="Times New Roman"/>
          <w:lang w:val="en-GB"/>
        </w:rPr>
        <w:t>same as the advance estimate</w:t>
      </w:r>
      <w:r w:rsidRPr="009C6DF3">
        <w:rPr>
          <w:rFonts w:ascii="Times New Roman"/>
          <w:lang w:val="en-GB"/>
        </w:rPr>
        <w:t>)</w:t>
      </w:r>
      <w:r>
        <w:rPr>
          <w:rFonts w:ascii="Times New Roman"/>
          <w:lang w:val="en-GB"/>
        </w:rPr>
        <w:t>,</w:t>
      </w:r>
      <w:r w:rsidRPr="009C6DF3">
        <w:rPr>
          <w:rFonts w:ascii="Times New Roman" w:hint="eastAsia"/>
          <w:lang w:val="en-GB"/>
        </w:rPr>
        <w:t xml:space="preserve"> </w:t>
      </w:r>
      <w:r>
        <w:rPr>
          <w:rFonts w:ascii="Times New Roman"/>
          <w:lang w:val="en-GB"/>
        </w:rPr>
        <w:t xml:space="preserve">after </w:t>
      </w:r>
      <w:r w:rsidR="0067641D">
        <w:rPr>
          <w:rFonts w:ascii="Times New Roman"/>
          <w:lang w:val="en-GB"/>
        </w:rPr>
        <w:t xml:space="preserve">a </w:t>
      </w:r>
      <w:r w:rsidR="0038012B">
        <w:rPr>
          <w:rFonts w:ascii="Times New Roman"/>
          <w:lang w:val="en-GB"/>
        </w:rPr>
        <w:t>2.5</w:t>
      </w:r>
      <w:r w:rsidR="0067641D">
        <w:rPr>
          <w:rFonts w:ascii="Times New Roman"/>
          <w:lang w:val="en-GB"/>
        </w:rPr>
        <w:t>% increase in the preceding quarter</w:t>
      </w:r>
      <w:r w:rsidRPr="009C6DF3">
        <w:rPr>
          <w:rFonts w:ascii="Times New Roman"/>
          <w:lang w:val="en-GB"/>
        </w:rPr>
        <w:t>.</w:t>
      </w:r>
    </w:p>
    <w:p w:rsidR="0079343F" w:rsidRDefault="00FA2CDB" w:rsidP="003B2C30">
      <w:pPr>
        <w:rPr>
          <w:b/>
          <w:sz w:val="28"/>
          <w:szCs w:val="20"/>
          <w:lang w:eastAsia="zh-HK"/>
        </w:rPr>
      </w:pPr>
      <w:r w:rsidRPr="00FA2CDB">
        <w:rPr>
          <w:noProof/>
        </w:rPr>
        <w:drawing>
          <wp:inline distT="0" distB="0" distL="0" distR="0">
            <wp:extent cx="5731510" cy="3491496"/>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5A20FE" w:rsidRDefault="005A20FE">
      <w:pPr>
        <w:widowControl/>
        <w:rPr>
          <w:b/>
          <w:sz w:val="28"/>
          <w:szCs w:val="20"/>
        </w:rPr>
      </w:pPr>
      <w:r>
        <w:rPr>
          <w:b/>
          <w:sz w:val="28"/>
          <w:szCs w:val="20"/>
        </w:rPr>
        <w:br w:type="page"/>
      </w:r>
    </w:p>
    <w:p w:rsidR="00745453" w:rsidRPr="00F87C1D" w:rsidRDefault="00FF4670" w:rsidP="00726DF5">
      <w:pPr>
        <w:widowControl/>
        <w:rPr>
          <w:b/>
          <w:sz w:val="28"/>
          <w:szCs w:val="20"/>
        </w:rPr>
      </w:pPr>
      <w:r w:rsidRPr="00F87C1D">
        <w:rPr>
          <w:b/>
          <w:sz w:val="28"/>
          <w:szCs w:val="20"/>
        </w:rPr>
        <w:lastRenderedPageBreak/>
        <w:t>The external sector</w:t>
      </w:r>
    </w:p>
    <w:p w:rsidR="00FF4670" w:rsidRPr="007F0867" w:rsidRDefault="00FF4670" w:rsidP="00FF4670">
      <w:pPr>
        <w:rPr>
          <w:b/>
          <w:bCs/>
        </w:rPr>
      </w:pPr>
    </w:p>
    <w:p w:rsidR="00B37B72" w:rsidRPr="00832742" w:rsidRDefault="00DD3BFC" w:rsidP="00832742">
      <w:pPr>
        <w:pStyle w:val="a5"/>
        <w:numPr>
          <w:ilvl w:val="1"/>
          <w:numId w:val="19"/>
        </w:numPr>
        <w:tabs>
          <w:tab w:val="left" w:pos="1260"/>
        </w:tabs>
        <w:overflowPunct w:val="0"/>
        <w:ind w:left="0" w:right="28" w:firstLine="0"/>
        <w:jc w:val="both"/>
        <w:rPr>
          <w:rFonts w:ascii="Times New Roman" w:eastAsia="SimSun"/>
          <w:kern w:val="0"/>
          <w:lang w:val="en-GB" w:eastAsia="zh-HK"/>
        </w:rPr>
      </w:pPr>
      <w:r w:rsidRPr="00DD3BFC">
        <w:rPr>
          <w:rFonts w:ascii="Times New Roman"/>
          <w:i/>
          <w:kern w:val="0"/>
          <w:lang w:val="en-GB" w:eastAsia="zh-HK"/>
        </w:rPr>
        <w:t>T</w:t>
      </w:r>
      <w:r w:rsidR="00924FD8" w:rsidRPr="00AB50A4">
        <w:rPr>
          <w:rFonts w:ascii="Times New Roman"/>
          <w:i/>
          <w:kern w:val="0"/>
          <w:lang w:val="en-GB" w:eastAsia="zh-HK"/>
        </w:rPr>
        <w: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Pr>
          <w:rFonts w:ascii="Times New Roman"/>
          <w:kern w:val="0"/>
          <w:lang w:val="en-GB" w:eastAsia="zh-HK"/>
        </w:rPr>
        <w:t>grew strongly</w:t>
      </w:r>
      <w:r w:rsidR="008F39C6" w:rsidRPr="008F39C6">
        <w:rPr>
          <w:rFonts w:ascii="Times New Roman"/>
          <w:kern w:val="0"/>
          <w:lang w:val="en-GB" w:eastAsia="zh-HK"/>
        </w:rPr>
        <w:t xml:space="preserve"> by </w:t>
      </w:r>
      <w:r w:rsidR="005A20FE">
        <w:rPr>
          <w:rFonts w:ascii="Times New Roman" w:hint="eastAsia"/>
          <w:kern w:val="0"/>
          <w:lang w:val="en-GB"/>
        </w:rPr>
        <w:t>7.5</w:t>
      </w:r>
      <w:r w:rsidR="008F39C6" w:rsidRPr="008F39C6">
        <w:rPr>
          <w:rFonts w:ascii="Times New Roman"/>
          <w:kern w:val="0"/>
          <w:lang w:val="en-GB" w:eastAsia="zh-HK"/>
        </w:rPr>
        <w:t xml:space="preserve">% </w:t>
      </w:r>
      <w:r>
        <w:rPr>
          <w:rFonts w:ascii="Times New Roman"/>
          <w:kern w:val="0"/>
          <w:lang w:val="en-GB" w:eastAsia="zh-HK"/>
        </w:rPr>
        <w:t>year-on-year</w:t>
      </w:r>
      <w:r w:rsidR="00B70864">
        <w:rPr>
          <w:rFonts w:ascii="Times New Roman"/>
          <w:kern w:val="0"/>
          <w:lang w:val="en-GB" w:eastAsia="zh-HK"/>
        </w:rPr>
        <w:t xml:space="preserve"> in real terms</w:t>
      </w:r>
      <w:r>
        <w:rPr>
          <w:rFonts w:ascii="Times New Roman"/>
          <w:kern w:val="0"/>
          <w:lang w:val="en-GB" w:eastAsia="zh-HK"/>
        </w:rPr>
        <w:t xml:space="preserve"> </w:t>
      </w:r>
      <w:r w:rsidR="008F39C6" w:rsidRPr="008F39C6">
        <w:rPr>
          <w:rFonts w:ascii="Times New Roman"/>
          <w:kern w:val="0"/>
          <w:lang w:val="en-GB" w:eastAsia="zh-HK"/>
        </w:rPr>
        <w:t xml:space="preserve">in </w:t>
      </w:r>
      <w:r w:rsidR="00BD6A96">
        <w:rPr>
          <w:rFonts w:ascii="Times New Roman"/>
          <w:kern w:val="0"/>
          <w:lang w:val="en-GB" w:eastAsia="zh-HK"/>
        </w:rPr>
        <w:t xml:space="preserve">the </w:t>
      </w:r>
      <w:r>
        <w:rPr>
          <w:rFonts w:ascii="Times New Roman"/>
          <w:kern w:val="0"/>
          <w:lang w:val="en-GB" w:eastAsia="zh-HK"/>
        </w:rPr>
        <w:t>second</w:t>
      </w:r>
      <w:r w:rsidR="00BD6A96">
        <w:rPr>
          <w:rFonts w:ascii="Times New Roman"/>
          <w:kern w:val="0"/>
          <w:lang w:val="en-GB" w:eastAsia="zh-HK"/>
        </w:rPr>
        <w:t xml:space="preserve"> quarter of </w:t>
      </w:r>
      <w:r w:rsidR="008F39C6" w:rsidRPr="008F39C6">
        <w:rPr>
          <w:rFonts w:ascii="Times New Roman"/>
          <w:kern w:val="0"/>
          <w:lang w:val="en-GB" w:eastAsia="zh-HK"/>
        </w:rPr>
        <w:t>202</w:t>
      </w:r>
      <w:r>
        <w:rPr>
          <w:rFonts w:ascii="Times New Roman"/>
          <w:kern w:val="0"/>
          <w:lang w:val="en-GB" w:eastAsia="zh-HK"/>
        </w:rPr>
        <w:t>4</w:t>
      </w:r>
      <w:r w:rsidRPr="00DD3BFC">
        <w:rPr>
          <w:rFonts w:ascii="Times New Roman"/>
          <w:kern w:val="0"/>
          <w:lang w:val="en-GB" w:eastAsia="zh-HK"/>
        </w:rPr>
        <w:t xml:space="preserve">, after rising by </w:t>
      </w:r>
      <w:r>
        <w:rPr>
          <w:rFonts w:ascii="Times New Roman"/>
          <w:kern w:val="0"/>
          <w:lang w:val="en-GB" w:eastAsia="zh-HK"/>
        </w:rPr>
        <w:t>6.8</w:t>
      </w:r>
      <w:r w:rsidRPr="00DD3BFC">
        <w:rPr>
          <w:rFonts w:ascii="Times New Roman"/>
          <w:kern w:val="0"/>
          <w:lang w:val="en-GB" w:eastAsia="zh-HK"/>
        </w:rPr>
        <w:t>% in the preceding quarter</w:t>
      </w:r>
      <w:r w:rsidR="008F39C6" w:rsidRPr="008F39C6">
        <w:rPr>
          <w:rFonts w:ascii="Times New Roman"/>
          <w:kern w:val="0"/>
          <w:lang w:val="en-GB" w:eastAsia="zh-HK"/>
        </w:rPr>
        <w:t>.</w:t>
      </w:r>
      <w:r w:rsidR="00BD6A96">
        <w:rPr>
          <w:rFonts w:ascii="Times New Roman"/>
          <w:kern w:val="0"/>
          <w:lang w:val="en-GB" w:eastAsia="zh-HK"/>
        </w:rPr>
        <w:t xml:space="preserve"> </w:t>
      </w:r>
      <w:r w:rsidR="008F39C6" w:rsidRPr="008F39C6">
        <w:rPr>
          <w:rFonts w:ascii="Times New Roman"/>
          <w:kern w:val="0"/>
          <w:lang w:val="en-GB" w:eastAsia="zh-HK"/>
        </w:rPr>
        <w:t xml:space="preserve"> </w:t>
      </w:r>
      <w:r w:rsidR="00AA65CD" w:rsidRPr="00AA65CD">
        <w:rPr>
          <w:rFonts w:ascii="Times New Roman"/>
          <w:kern w:val="0"/>
          <w:lang w:val="en-GB" w:eastAsia="zh-HK"/>
        </w:rPr>
        <w:t>The sustained external demand for goods rendered sup</w:t>
      </w:r>
      <w:bookmarkStart w:id="0" w:name="_GoBack"/>
      <w:bookmarkEnd w:id="0"/>
      <w:r w:rsidR="00AA65CD" w:rsidRPr="00AA65CD">
        <w:rPr>
          <w:rFonts w:ascii="Times New Roman"/>
          <w:kern w:val="0"/>
          <w:lang w:val="en-GB" w:eastAsia="zh-HK"/>
        </w:rPr>
        <w:t>port to export performance</w:t>
      </w:r>
      <w:r w:rsidR="00AA65CD">
        <w:rPr>
          <w:rFonts w:ascii="Times New Roman"/>
          <w:kern w:val="0"/>
          <w:lang w:val="en-GB" w:eastAsia="zh-HK"/>
        </w:rPr>
        <w:t>.</w:t>
      </w:r>
      <w:r w:rsidR="00AA65CD" w:rsidRPr="00AA65CD">
        <w:rPr>
          <w:rFonts w:ascii="Times New Roman"/>
          <w:kern w:val="0"/>
          <w:lang w:val="en-GB" w:eastAsia="zh-HK"/>
        </w:rPr>
        <w:t xml:space="preserve"> </w:t>
      </w:r>
      <w:r w:rsidR="00AA65CD">
        <w:rPr>
          <w:rFonts w:ascii="Times New Roman"/>
          <w:kern w:val="0"/>
          <w:lang w:val="en-GB" w:eastAsia="zh-HK"/>
        </w:rPr>
        <w:t xml:space="preserve"> </w:t>
      </w:r>
      <w:r w:rsidR="008B64C4" w:rsidRPr="00832742">
        <w:rPr>
          <w:rFonts w:ascii="Times New Roman"/>
          <w:kern w:val="0"/>
          <w:lang w:val="en-GB" w:eastAsia="zh-HK"/>
        </w:rPr>
        <w:t>Analysed by major market</w:t>
      </w:r>
      <w:r w:rsidR="00C04697" w:rsidRPr="00832742">
        <w:rPr>
          <w:rFonts w:ascii="Times New Roman"/>
          <w:kern w:val="0"/>
          <w:lang w:val="en-GB" w:eastAsia="zh-HK"/>
        </w:rPr>
        <w:t xml:space="preserve"> and </w:t>
      </w:r>
      <w:r w:rsidR="00BA1BEB" w:rsidRPr="00832742">
        <w:rPr>
          <w:rFonts w:ascii="Times New Roman"/>
          <w:kern w:val="0"/>
          <w:lang w:val="en-GB" w:eastAsia="zh-HK"/>
        </w:rPr>
        <w:t xml:space="preserve">by </w:t>
      </w:r>
      <w:r w:rsidR="00BA1BEB" w:rsidRPr="00832742">
        <w:rPr>
          <w:rFonts w:ascii="Times New Roman"/>
          <w:kern w:val="0"/>
          <w:lang w:val="en-GB"/>
        </w:rPr>
        <w:t>reference</w:t>
      </w:r>
      <w:r w:rsidR="00BA1BEB" w:rsidRPr="00832742">
        <w:rPr>
          <w:rFonts w:ascii="Times New Roman"/>
          <w:kern w:val="0"/>
          <w:lang w:val="en-GB" w:eastAsia="zh-HK"/>
        </w:rPr>
        <w:t xml:space="preserve"> to </w:t>
      </w:r>
      <w:r w:rsidR="00B560C5" w:rsidRPr="00832742">
        <w:rPr>
          <w:rFonts w:ascii="Times New Roman"/>
          <w:kern w:val="0"/>
          <w:lang w:val="en-GB" w:eastAsia="zh-HK"/>
        </w:rPr>
        <w:t>external</w:t>
      </w:r>
      <w:r w:rsidR="00BA1BEB" w:rsidRPr="00832742">
        <w:rPr>
          <w:rFonts w:ascii="Times New Roman"/>
          <w:kern w:val="0"/>
          <w:lang w:val="en-GB" w:eastAsia="zh-HK"/>
        </w:rPr>
        <w:t xml:space="preserve"> merchandise </w:t>
      </w:r>
      <w:r w:rsidR="00B560C5" w:rsidRPr="00832742">
        <w:rPr>
          <w:rFonts w:ascii="Times New Roman"/>
          <w:kern w:val="0"/>
          <w:lang w:val="en-GB" w:eastAsia="zh-HK"/>
        </w:rPr>
        <w:t>trade statistics</w:t>
      </w:r>
      <w:r w:rsidR="008B64C4" w:rsidRPr="00832742">
        <w:rPr>
          <w:rFonts w:ascii="Times New Roman"/>
          <w:kern w:val="0"/>
          <w:lang w:val="en-GB" w:eastAsia="zh-HK"/>
        </w:rPr>
        <w:t xml:space="preserve">, </w:t>
      </w:r>
      <w:r w:rsidR="00AA65CD" w:rsidRPr="00AA65CD">
        <w:rPr>
          <w:rFonts w:ascii="Times New Roman"/>
          <w:kern w:val="0"/>
          <w:lang w:val="en-GB" w:eastAsia="zh-HK"/>
        </w:rPr>
        <w:t xml:space="preserve">exports to the Mainland continued to rise notably in the second quarter over a year earlier.  Exports to the US returned to a visible increase, while those to the EU recorded a narrowed decline.  Exports </w:t>
      </w:r>
      <w:proofErr w:type="gramStart"/>
      <w:r w:rsidR="00AA65CD" w:rsidRPr="00AA65CD">
        <w:rPr>
          <w:rFonts w:ascii="Times New Roman"/>
          <w:kern w:val="0"/>
          <w:lang w:val="en-GB" w:eastAsia="zh-HK"/>
        </w:rPr>
        <w:t>to</w:t>
      </w:r>
      <w:proofErr w:type="gramEnd"/>
      <w:r w:rsidR="00AA65CD" w:rsidRPr="00AA65CD">
        <w:rPr>
          <w:rFonts w:ascii="Times New Roman"/>
          <w:kern w:val="0"/>
          <w:lang w:val="en-GB" w:eastAsia="zh-HK"/>
        </w:rPr>
        <w:t xml:space="preserve"> </w:t>
      </w:r>
      <w:r w:rsidR="00C311E0">
        <w:rPr>
          <w:rFonts w:ascii="Times New Roman"/>
          <w:kern w:val="0"/>
          <w:lang w:val="en-GB" w:eastAsia="zh-HK"/>
        </w:rPr>
        <w:t>many</w:t>
      </w:r>
      <w:r w:rsidR="00C311E0" w:rsidRPr="00AA65CD">
        <w:rPr>
          <w:rFonts w:ascii="Times New Roman"/>
          <w:kern w:val="0"/>
          <w:lang w:val="en-GB" w:eastAsia="zh-HK"/>
        </w:rPr>
        <w:t xml:space="preserve"> </w:t>
      </w:r>
      <w:r w:rsidR="00AA65CD" w:rsidRPr="00AA65CD">
        <w:rPr>
          <w:rFonts w:ascii="Times New Roman"/>
          <w:kern w:val="0"/>
          <w:lang w:val="en-GB" w:eastAsia="zh-HK"/>
        </w:rPr>
        <w:t xml:space="preserve">major Asian markets </w:t>
      </w:r>
      <w:r w:rsidR="00C311E0">
        <w:rPr>
          <w:rFonts w:ascii="Times New Roman"/>
          <w:kern w:val="0"/>
          <w:lang w:val="en-GB" w:eastAsia="zh-HK"/>
        </w:rPr>
        <w:t xml:space="preserve">also </w:t>
      </w:r>
      <w:r w:rsidR="00AA65CD" w:rsidRPr="00AA65CD">
        <w:rPr>
          <w:rFonts w:ascii="Times New Roman"/>
          <w:kern w:val="0"/>
          <w:lang w:val="en-GB" w:eastAsia="zh-HK"/>
        </w:rPr>
        <w:t xml:space="preserve">showed </w:t>
      </w:r>
      <w:r w:rsidR="00C311E0">
        <w:rPr>
          <w:rFonts w:ascii="Times New Roman"/>
          <w:kern w:val="0"/>
          <w:lang w:val="en-GB" w:eastAsia="zh-HK"/>
        </w:rPr>
        <w:t>improvements</w:t>
      </w:r>
      <w:r w:rsidR="005659F0" w:rsidRPr="00832742">
        <w:rPr>
          <w:rFonts w:ascii="Times New Roman"/>
          <w:kern w:val="0"/>
          <w:lang w:val="en-GB" w:eastAsia="zh-HK"/>
        </w:rPr>
        <w:t>.</w:t>
      </w:r>
    </w:p>
    <w:p w:rsidR="00DD2A1D" w:rsidRPr="00B0360E" w:rsidRDefault="00DD2A1D" w:rsidP="00EC03DF">
      <w:pPr>
        <w:pStyle w:val="a5"/>
        <w:tabs>
          <w:tab w:val="left" w:pos="1260"/>
        </w:tabs>
        <w:ind w:right="26"/>
        <w:jc w:val="both"/>
        <w:rPr>
          <w:rFonts w:ascii="Times New Roman"/>
          <w:highlight w:val="lightGray"/>
          <w:lang w:val="en-GB" w:eastAsia="zh-HK"/>
        </w:rPr>
      </w:pPr>
    </w:p>
    <w:p w:rsidR="00061E45" w:rsidRPr="00F2672A" w:rsidRDefault="00832742" w:rsidP="00287DED">
      <w:pPr>
        <w:pStyle w:val="a5"/>
        <w:numPr>
          <w:ilvl w:val="1"/>
          <w:numId w:val="19"/>
        </w:numPr>
        <w:tabs>
          <w:tab w:val="left" w:pos="1260"/>
        </w:tabs>
        <w:overflowPunct w:val="0"/>
        <w:ind w:left="0" w:right="28" w:firstLine="0"/>
        <w:jc w:val="both"/>
        <w:rPr>
          <w:rFonts w:ascii="Times New Roman"/>
          <w:kern w:val="0"/>
          <w:lang w:val="en-GB" w:eastAsia="zh-HK"/>
        </w:rPr>
      </w:pPr>
      <w:r w:rsidRPr="00832742">
        <w:rPr>
          <w:rFonts w:ascii="Times New Roman"/>
          <w:i/>
          <w:kern w:val="0"/>
          <w:lang w:val="en-GB" w:eastAsia="zh-HK"/>
        </w:rPr>
        <w:t>Exports of services</w:t>
      </w:r>
      <w:r w:rsidR="00716C0D">
        <w:rPr>
          <w:rFonts w:ascii="Times New Roman"/>
          <w:kern w:val="0"/>
          <w:lang w:val="en-GB" w:eastAsia="zh-HK"/>
        </w:rPr>
        <w:t xml:space="preserve"> </w:t>
      </w:r>
      <w:r w:rsidR="00C81473" w:rsidRPr="00C81473">
        <w:rPr>
          <w:rFonts w:ascii="Times New Roman"/>
          <w:kern w:val="0"/>
          <w:lang w:val="en-GB" w:eastAsia="zh-HK"/>
        </w:rPr>
        <w:t xml:space="preserve">recorded decelerated growth </w:t>
      </w:r>
      <w:r w:rsidR="00CF7A6B">
        <w:rPr>
          <w:rFonts w:ascii="Times New Roman"/>
          <w:kern w:val="0"/>
          <w:lang w:val="en-GB" w:eastAsia="zh-HK"/>
        </w:rPr>
        <w:t>of</w:t>
      </w:r>
      <w:r w:rsidR="00DD3BFC" w:rsidRPr="00DD3BFC">
        <w:rPr>
          <w:rFonts w:ascii="Times New Roman"/>
          <w:kern w:val="0"/>
          <w:lang w:val="en-GB" w:eastAsia="zh-HK"/>
        </w:rPr>
        <w:t xml:space="preserve"> </w:t>
      </w:r>
      <w:r w:rsidR="005A20FE">
        <w:rPr>
          <w:rFonts w:ascii="Times New Roman"/>
          <w:kern w:val="0"/>
          <w:lang w:val="en-GB" w:eastAsia="zh-HK"/>
        </w:rPr>
        <w:t>1.4</w:t>
      </w:r>
      <w:r w:rsidR="00DD3BFC" w:rsidRPr="00DD3BFC">
        <w:rPr>
          <w:rFonts w:ascii="Times New Roman"/>
          <w:kern w:val="0"/>
          <w:lang w:val="en-GB" w:eastAsia="zh-HK"/>
        </w:rPr>
        <w:t>% year-on-year in real terms in the s</w:t>
      </w:r>
      <w:r w:rsidR="005A20FE">
        <w:rPr>
          <w:rFonts w:ascii="Times New Roman"/>
          <w:kern w:val="0"/>
          <w:lang w:val="en-GB" w:eastAsia="zh-HK"/>
        </w:rPr>
        <w:t xml:space="preserve">econd quarter, after growing by </w:t>
      </w:r>
      <w:r w:rsidR="005B352A">
        <w:rPr>
          <w:rFonts w:ascii="Times New Roman"/>
          <w:kern w:val="0"/>
          <w:lang w:val="en-GB" w:eastAsia="zh-HK"/>
        </w:rPr>
        <w:t>9</w:t>
      </w:r>
      <w:r w:rsidR="00DD3BFC" w:rsidRPr="00DD3BFC">
        <w:rPr>
          <w:rFonts w:ascii="Times New Roman"/>
          <w:kern w:val="0"/>
          <w:lang w:val="en-GB" w:eastAsia="zh-HK"/>
        </w:rPr>
        <w:t xml:space="preserve">.4% in the preceding quarter.  </w:t>
      </w:r>
      <w:r w:rsidR="005A20FE">
        <w:rPr>
          <w:rFonts w:ascii="Times New Roman"/>
          <w:kern w:val="0"/>
          <w:lang w:val="en-GB" w:eastAsia="zh-HK"/>
        </w:rPr>
        <w:t xml:space="preserve">Exports of transport services </w:t>
      </w:r>
      <w:r w:rsidR="006A3FD1" w:rsidRPr="006A3FD1">
        <w:rPr>
          <w:rFonts w:ascii="Times New Roman"/>
          <w:kern w:val="0"/>
          <w:lang w:val="en-GB" w:eastAsia="zh-HK"/>
        </w:rPr>
        <w:t xml:space="preserve">grew further in tandem with increased visitors and regional trade flows. </w:t>
      </w:r>
      <w:r w:rsidR="005A20FE">
        <w:rPr>
          <w:rFonts w:ascii="Times New Roman"/>
          <w:kern w:val="0"/>
          <w:lang w:val="en-GB" w:eastAsia="zh-HK"/>
        </w:rPr>
        <w:t xml:space="preserve"> Exports of financial services </w:t>
      </w:r>
      <w:r w:rsidR="006A3FD1" w:rsidRPr="006A3FD1">
        <w:rPr>
          <w:rFonts w:ascii="Times New Roman"/>
          <w:kern w:val="0"/>
          <w:lang w:val="en-GB" w:eastAsia="zh-HK"/>
        </w:rPr>
        <w:t xml:space="preserve">reverted to an increase as cross-border financial and fund raising activities showed improvement.  Exports </w:t>
      </w:r>
      <w:r w:rsidR="005A20FE">
        <w:rPr>
          <w:rFonts w:ascii="Times New Roman"/>
          <w:kern w:val="0"/>
          <w:lang w:val="en-GB" w:eastAsia="zh-HK"/>
        </w:rPr>
        <w:t>of business and other services continued to grow moderately</w:t>
      </w:r>
      <w:r w:rsidR="006A3FD1" w:rsidRPr="006A3FD1">
        <w:rPr>
          <w:rFonts w:ascii="Times New Roman"/>
          <w:kern w:val="0"/>
          <w:lang w:val="en-GB" w:eastAsia="zh-HK"/>
        </w:rPr>
        <w:t>.  Meanwhile, exports of travel services</w:t>
      </w:r>
      <w:r w:rsidR="005A20FE">
        <w:rPr>
          <w:rFonts w:ascii="Times New Roman"/>
          <w:kern w:val="0"/>
          <w:lang w:val="en-GB" w:eastAsia="zh-HK"/>
        </w:rPr>
        <w:t xml:space="preserve"> </w:t>
      </w:r>
      <w:r w:rsidR="006A3FD1" w:rsidRPr="006A3FD1">
        <w:rPr>
          <w:rFonts w:ascii="Times New Roman"/>
          <w:kern w:val="0"/>
          <w:lang w:val="en-GB" w:eastAsia="zh-HK"/>
        </w:rPr>
        <w:t>turned to a contraction amid the change in consumption patterns of visitors and the s</w:t>
      </w:r>
      <w:r w:rsidR="005A20FE">
        <w:rPr>
          <w:rFonts w:ascii="Times New Roman"/>
          <w:kern w:val="0"/>
          <w:lang w:val="en-GB" w:eastAsia="zh-HK"/>
        </w:rPr>
        <w:t>trength of the Hong Kong dollar</w:t>
      </w:r>
      <w:r>
        <w:rPr>
          <w:rFonts w:ascii="Times New Roman"/>
          <w:kern w:val="0"/>
          <w:lang w:val="en-GB" w:eastAsia="zh-HK"/>
        </w:rPr>
        <w:t>.</w:t>
      </w:r>
    </w:p>
    <w:p w:rsidR="00507FC4" w:rsidRPr="004D757A" w:rsidRDefault="00507FC4" w:rsidP="00924FD8">
      <w:pPr>
        <w:pStyle w:val="a5"/>
        <w:tabs>
          <w:tab w:val="left" w:pos="1260"/>
        </w:tabs>
        <w:ind w:right="26"/>
        <w:jc w:val="both"/>
        <w:rPr>
          <w:rFonts w:ascii="Times New Roman"/>
          <w:lang w:val="en-GB" w:eastAsia="zh-HK"/>
        </w:rPr>
      </w:pPr>
    </w:p>
    <w:p w:rsidR="007F37F3" w:rsidRPr="004110C3" w:rsidRDefault="007F37F3" w:rsidP="00CE7A2F">
      <w:pPr>
        <w:pStyle w:val="a5"/>
        <w:pageBreakBefore/>
        <w:tabs>
          <w:tab w:val="left" w:pos="1260"/>
        </w:tabs>
        <w:ind w:right="28"/>
        <w:jc w:val="center"/>
        <w:rPr>
          <w:rFonts w:ascii="Times New Roman"/>
          <w:b/>
          <w:szCs w:val="28"/>
          <w:lang w:val="en-GB"/>
        </w:rPr>
      </w:pPr>
      <w:r w:rsidRPr="004110C3">
        <w:rPr>
          <w:rFonts w:ascii="Times New Roman"/>
          <w:b/>
          <w:szCs w:val="28"/>
          <w:lang w:val="en-GB"/>
        </w:rPr>
        <w:lastRenderedPageBreak/>
        <w:t xml:space="preserve">Table </w:t>
      </w:r>
      <w:proofErr w:type="gramStart"/>
      <w:r w:rsidRPr="004110C3">
        <w:rPr>
          <w:rFonts w:ascii="Times New Roman"/>
          <w:b/>
          <w:szCs w:val="28"/>
          <w:lang w:val="en-GB"/>
        </w:rPr>
        <w:t>1.1 :</w:t>
      </w:r>
      <w:proofErr w:type="gramEnd"/>
      <w:r w:rsidRPr="004110C3">
        <w:rPr>
          <w:rFonts w:ascii="Times New Roman"/>
          <w:b/>
          <w:szCs w:val="28"/>
          <w:lang w:val="en-GB"/>
        </w:rPr>
        <w:t xml:space="preserve">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proofErr w:type="gramStart"/>
      <w:r w:rsidRPr="00327CE5">
        <w:rPr>
          <w:b/>
          <w:sz w:val="28"/>
          <w:szCs w:val="28"/>
        </w:rPr>
        <w:t>and</w:t>
      </w:r>
      <w:proofErr w:type="gramEnd"/>
      <w:r w:rsidRPr="00327CE5">
        <w:rPr>
          <w:b/>
          <w:sz w:val="28"/>
          <w:szCs w:val="28"/>
        </w:rPr>
        <w:t xml:space="preserve"> the main price indicators</w:t>
      </w:r>
    </w:p>
    <w:p w:rsidR="006966DF" w:rsidRDefault="007F37F3">
      <w:pPr>
        <w:tabs>
          <w:tab w:val="left" w:pos="3168"/>
          <w:tab w:val="left" w:pos="4032"/>
          <w:tab w:val="center" w:pos="5832"/>
        </w:tabs>
        <w:snapToGrid w:val="0"/>
        <w:spacing w:line="360" w:lineRule="auto"/>
        <w:ind w:right="28"/>
        <w:jc w:val="center"/>
        <w:rPr>
          <w:b/>
          <w:sz w:val="28"/>
          <w:szCs w:val="28"/>
        </w:rPr>
      </w:pPr>
      <w:r w:rsidRPr="00327CE5">
        <w:rPr>
          <w:b/>
          <w:sz w:val="28"/>
          <w:szCs w:val="28"/>
        </w:rPr>
        <w:t>(</w:t>
      </w:r>
      <w:proofErr w:type="gramStart"/>
      <w:r w:rsidRPr="00327CE5">
        <w:rPr>
          <w:b/>
          <w:sz w:val="28"/>
          <w:szCs w:val="28"/>
        </w:rPr>
        <w:t>year-on-year</w:t>
      </w:r>
      <w:proofErr w:type="gramEnd"/>
      <w:r w:rsidRPr="00327CE5">
        <w:rPr>
          <w:b/>
          <w:sz w:val="28"/>
          <w:szCs w:val="28"/>
        </w:rPr>
        <w:t xml:space="preserve"> rate of change (%))</w:t>
      </w:r>
    </w:p>
    <w:tbl>
      <w:tblPr>
        <w:tblW w:w="9298"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gridCol w:w="737"/>
        <w:gridCol w:w="737"/>
      </w:tblGrid>
      <w:tr w:rsidR="00E36221" w:rsidRPr="005256F7" w:rsidTr="00E36221">
        <w:trPr>
          <w:jc w:val="center"/>
        </w:trPr>
        <w:tc>
          <w:tcPr>
            <w:tcW w:w="3402" w:type="dxa"/>
          </w:tcPr>
          <w:p w:rsidR="00E36221" w:rsidRPr="005256F7" w:rsidRDefault="00E36221" w:rsidP="00C70DCA">
            <w:pPr>
              <w:tabs>
                <w:tab w:val="left" w:pos="1080"/>
              </w:tabs>
              <w:snapToGrid w:val="0"/>
              <w:spacing w:line="230" w:lineRule="exact"/>
              <w:ind w:right="-108"/>
              <w:rPr>
                <w:i/>
                <w:sz w:val="22"/>
                <w:szCs w:val="22"/>
              </w:rPr>
            </w:pPr>
          </w:p>
        </w:tc>
        <w:tc>
          <w:tcPr>
            <w:tcW w:w="737" w:type="dxa"/>
          </w:tcPr>
          <w:p w:rsidR="00E36221" w:rsidRPr="005256F7" w:rsidRDefault="00E36221" w:rsidP="00C70DCA">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737" w:type="dxa"/>
          </w:tcPr>
          <w:p w:rsidR="00E36221" w:rsidRPr="005256F7" w:rsidRDefault="00E36221" w:rsidP="00C70DCA">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r w:rsidRPr="005256F7">
              <w:rPr>
                <w:rFonts w:ascii="Times New Roman"/>
                <w:sz w:val="22"/>
                <w:szCs w:val="22"/>
                <w:vertAlign w:val="superscript"/>
                <w:lang w:val="en-GB"/>
              </w:rPr>
              <w:t>#</w:t>
            </w:r>
          </w:p>
        </w:tc>
        <w:tc>
          <w:tcPr>
            <w:tcW w:w="2948" w:type="dxa"/>
            <w:gridSpan w:val="4"/>
          </w:tcPr>
          <w:p w:rsidR="00E36221" w:rsidRPr="0059545F" w:rsidRDefault="00E36221" w:rsidP="00C70DCA">
            <w:pPr>
              <w:pStyle w:val="a7"/>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p>
        </w:tc>
        <w:tc>
          <w:tcPr>
            <w:tcW w:w="1474" w:type="dxa"/>
            <w:gridSpan w:val="2"/>
          </w:tcPr>
          <w:p w:rsidR="00E36221" w:rsidRPr="005256F7" w:rsidRDefault="00E36221" w:rsidP="00C70DCA">
            <w:pPr>
              <w:pStyle w:val="a7"/>
              <w:tabs>
                <w:tab w:val="decimal" w:pos="408"/>
              </w:tabs>
              <w:spacing w:line="230" w:lineRule="exact"/>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r>
      <w:tr w:rsidR="00E36221" w:rsidRPr="005256F7" w:rsidTr="00E36221">
        <w:trPr>
          <w:jc w:val="center"/>
        </w:trPr>
        <w:tc>
          <w:tcPr>
            <w:tcW w:w="3402" w:type="dxa"/>
          </w:tcPr>
          <w:p w:rsidR="00E36221" w:rsidRPr="005256F7" w:rsidRDefault="00E36221" w:rsidP="00E36221">
            <w:pPr>
              <w:tabs>
                <w:tab w:val="left" w:pos="1080"/>
              </w:tabs>
              <w:snapToGrid w:val="0"/>
              <w:spacing w:line="230" w:lineRule="exact"/>
              <w:ind w:right="-108"/>
              <w:rPr>
                <w:i/>
                <w:sz w:val="22"/>
                <w:szCs w:val="22"/>
              </w:rPr>
            </w:pPr>
          </w:p>
        </w:tc>
        <w:tc>
          <w:tcPr>
            <w:tcW w:w="737" w:type="dxa"/>
          </w:tcPr>
          <w:p w:rsidR="00E36221" w:rsidRPr="005256F7" w:rsidRDefault="00E36221" w:rsidP="00E36221">
            <w:pPr>
              <w:pStyle w:val="a7"/>
              <w:tabs>
                <w:tab w:val="decimal" w:pos="408"/>
              </w:tabs>
              <w:spacing w:line="230" w:lineRule="exact"/>
              <w:jc w:val="both"/>
              <w:rPr>
                <w:rFonts w:ascii="Times New Roman"/>
                <w:sz w:val="22"/>
                <w:szCs w:val="22"/>
                <w:highlight w:val="yellow"/>
                <w:lang w:val="en-GB"/>
              </w:rPr>
            </w:pPr>
          </w:p>
        </w:tc>
        <w:tc>
          <w:tcPr>
            <w:tcW w:w="737" w:type="dxa"/>
          </w:tcPr>
          <w:p w:rsidR="00E36221" w:rsidRPr="005256F7" w:rsidRDefault="00E36221" w:rsidP="00E36221">
            <w:pPr>
              <w:pStyle w:val="a7"/>
              <w:tabs>
                <w:tab w:val="decimal" w:pos="408"/>
              </w:tabs>
              <w:spacing w:line="230" w:lineRule="exact"/>
              <w:jc w:val="both"/>
              <w:rPr>
                <w:rFonts w:ascii="Times New Roman"/>
                <w:sz w:val="22"/>
                <w:szCs w:val="22"/>
                <w:highlight w:val="yellow"/>
                <w:lang w:val="en-GB"/>
              </w:rPr>
            </w:pPr>
          </w:p>
        </w:tc>
        <w:tc>
          <w:tcPr>
            <w:tcW w:w="737" w:type="dxa"/>
          </w:tcPr>
          <w:p w:rsidR="00E36221" w:rsidRPr="00A06ABA" w:rsidRDefault="00E36221" w:rsidP="00E36221">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rsidR="00E36221" w:rsidRPr="00A06ABA" w:rsidRDefault="00E36221" w:rsidP="00E36221">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rsidR="00E36221" w:rsidRPr="00A06ABA" w:rsidRDefault="00E36221" w:rsidP="00E36221">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rsidR="00E36221" w:rsidRPr="0059545F" w:rsidRDefault="00E36221" w:rsidP="00E36221">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rsidR="00E36221" w:rsidRPr="0059545F" w:rsidRDefault="00E36221" w:rsidP="00E36221">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c>
          <w:tcPr>
            <w:tcW w:w="737" w:type="dxa"/>
          </w:tcPr>
          <w:p w:rsidR="00E36221" w:rsidRPr="0059545F" w:rsidRDefault="00E36221" w:rsidP="00E36221">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2</w:t>
            </w:r>
            <w:r w:rsidRPr="005256F7">
              <w:rPr>
                <w:rFonts w:ascii="Times New Roman"/>
                <w:sz w:val="22"/>
                <w:szCs w:val="22"/>
                <w:vertAlign w:val="superscript"/>
                <w:lang w:val="en-GB"/>
              </w:rPr>
              <w:t>#</w:t>
            </w:r>
          </w:p>
        </w:tc>
      </w:tr>
      <w:tr w:rsidR="00E36221" w:rsidRPr="005256F7" w:rsidTr="00E36221">
        <w:trPr>
          <w:trHeight w:val="626"/>
          <w:jc w:val="center"/>
        </w:trPr>
        <w:tc>
          <w:tcPr>
            <w:tcW w:w="3402" w:type="dxa"/>
          </w:tcPr>
          <w:p w:rsidR="00E36221" w:rsidRPr="005256F7" w:rsidRDefault="00E36221" w:rsidP="00E36221">
            <w:pPr>
              <w:tabs>
                <w:tab w:val="left" w:pos="1080"/>
              </w:tabs>
              <w:snapToGrid w:val="0"/>
              <w:spacing w:line="230" w:lineRule="exact"/>
              <w:ind w:right="-108"/>
              <w:rPr>
                <w:i/>
                <w:sz w:val="22"/>
                <w:szCs w:val="22"/>
              </w:rPr>
            </w:pPr>
            <w:r w:rsidRPr="005256F7">
              <w:rPr>
                <w:i/>
                <w:sz w:val="22"/>
                <w:szCs w:val="22"/>
              </w:rPr>
              <w:t>Change in real terms of GDP and</w:t>
            </w:r>
          </w:p>
          <w:p w:rsidR="00E36221" w:rsidRPr="005256F7" w:rsidRDefault="00E36221" w:rsidP="00E36221">
            <w:pPr>
              <w:pStyle w:val="a7"/>
              <w:tabs>
                <w:tab w:val="right" w:pos="647"/>
              </w:tabs>
              <w:spacing w:line="230" w:lineRule="exact"/>
              <w:ind w:left="21" w:hanging="21"/>
              <w:rPr>
                <w:rFonts w:ascii="Times New Roman"/>
                <w:i/>
                <w:sz w:val="22"/>
                <w:szCs w:val="22"/>
                <w:u w:val="single"/>
                <w:lang w:val="en-GB"/>
              </w:rPr>
            </w:pPr>
            <w:proofErr w:type="gramStart"/>
            <w:r w:rsidRPr="005256F7">
              <w:rPr>
                <w:rFonts w:ascii="Times New Roman"/>
                <w:i/>
                <w:sz w:val="22"/>
                <w:szCs w:val="22"/>
                <w:u w:val="single"/>
                <w:lang w:val="en-GB"/>
              </w:rPr>
              <w:t>its</w:t>
            </w:r>
            <w:proofErr w:type="gramEnd"/>
            <w:r w:rsidRPr="005256F7">
              <w:rPr>
                <w:rFonts w:ascii="Times New Roman"/>
                <w:i/>
                <w:sz w:val="22"/>
                <w:szCs w:val="22"/>
                <w:u w:val="single"/>
                <w:lang w:val="en-GB"/>
              </w:rPr>
              <w:t xml:space="preserve"> main expenditure components (%)</w:t>
            </w:r>
          </w:p>
        </w:tc>
        <w:tc>
          <w:tcPr>
            <w:tcW w:w="737" w:type="dxa"/>
          </w:tcPr>
          <w:p w:rsidR="00E36221" w:rsidRPr="005256F7" w:rsidRDefault="00E36221" w:rsidP="00E36221">
            <w:pPr>
              <w:pStyle w:val="a7"/>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E36221" w:rsidRPr="005256F7" w:rsidRDefault="00E36221" w:rsidP="00E36221">
            <w:pPr>
              <w:pStyle w:val="a7"/>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E36221" w:rsidRPr="00A06ABA" w:rsidRDefault="00E36221" w:rsidP="00E36221">
            <w:pPr>
              <w:pStyle w:val="a7"/>
              <w:tabs>
                <w:tab w:val="decimal" w:pos="326"/>
              </w:tabs>
              <w:spacing w:line="230" w:lineRule="exact"/>
              <w:ind w:right="-15"/>
              <w:jc w:val="both"/>
              <w:rPr>
                <w:rFonts w:ascii="Times New Roman"/>
                <w:sz w:val="22"/>
                <w:szCs w:val="22"/>
                <w:lang w:val="en-GB"/>
              </w:rPr>
            </w:pPr>
          </w:p>
        </w:tc>
        <w:tc>
          <w:tcPr>
            <w:tcW w:w="737" w:type="dxa"/>
          </w:tcPr>
          <w:p w:rsidR="00E36221" w:rsidRPr="00A06ABA" w:rsidRDefault="00E36221" w:rsidP="00E36221">
            <w:pPr>
              <w:pStyle w:val="a7"/>
              <w:tabs>
                <w:tab w:val="decimal" w:pos="326"/>
              </w:tabs>
              <w:spacing w:line="230" w:lineRule="exact"/>
              <w:ind w:right="-15"/>
              <w:jc w:val="both"/>
              <w:rPr>
                <w:rFonts w:ascii="Times New Roman"/>
                <w:sz w:val="22"/>
                <w:szCs w:val="22"/>
                <w:lang w:val="en-GB"/>
              </w:rPr>
            </w:pPr>
          </w:p>
        </w:tc>
        <w:tc>
          <w:tcPr>
            <w:tcW w:w="737" w:type="dxa"/>
          </w:tcPr>
          <w:p w:rsidR="00E36221" w:rsidRPr="00A06ABA" w:rsidRDefault="00E36221" w:rsidP="00E36221">
            <w:pPr>
              <w:pStyle w:val="a7"/>
              <w:tabs>
                <w:tab w:val="decimal" w:pos="326"/>
              </w:tabs>
              <w:spacing w:line="230" w:lineRule="exact"/>
              <w:ind w:right="-15"/>
              <w:jc w:val="both"/>
              <w:rPr>
                <w:rFonts w:ascii="Times New Roman"/>
                <w:sz w:val="22"/>
                <w:szCs w:val="22"/>
                <w:lang w:val="en-GB"/>
              </w:rPr>
            </w:pPr>
          </w:p>
        </w:tc>
        <w:tc>
          <w:tcPr>
            <w:tcW w:w="737" w:type="dxa"/>
          </w:tcPr>
          <w:p w:rsidR="00E36221" w:rsidRPr="0059545F" w:rsidRDefault="00E36221" w:rsidP="00E36221">
            <w:pPr>
              <w:pStyle w:val="a7"/>
              <w:tabs>
                <w:tab w:val="decimal" w:pos="326"/>
              </w:tabs>
              <w:spacing w:line="230" w:lineRule="exact"/>
              <w:ind w:right="-15"/>
              <w:jc w:val="both"/>
              <w:rPr>
                <w:rFonts w:ascii="Times New Roman"/>
                <w:sz w:val="22"/>
                <w:szCs w:val="22"/>
                <w:lang w:val="en-GB"/>
              </w:rPr>
            </w:pPr>
          </w:p>
        </w:tc>
        <w:tc>
          <w:tcPr>
            <w:tcW w:w="737" w:type="dxa"/>
          </w:tcPr>
          <w:p w:rsidR="00E36221" w:rsidRPr="0059545F" w:rsidRDefault="00E36221" w:rsidP="00E36221">
            <w:pPr>
              <w:pStyle w:val="a7"/>
              <w:tabs>
                <w:tab w:val="decimal" w:pos="326"/>
              </w:tabs>
              <w:spacing w:line="230" w:lineRule="exact"/>
              <w:ind w:right="-15"/>
              <w:jc w:val="both"/>
              <w:rPr>
                <w:rFonts w:ascii="Times New Roman"/>
                <w:sz w:val="22"/>
                <w:szCs w:val="22"/>
                <w:lang w:val="en-GB"/>
              </w:rPr>
            </w:pPr>
          </w:p>
        </w:tc>
        <w:tc>
          <w:tcPr>
            <w:tcW w:w="737" w:type="dxa"/>
          </w:tcPr>
          <w:p w:rsidR="00E36221" w:rsidRPr="0059545F" w:rsidRDefault="00E36221" w:rsidP="00E36221">
            <w:pPr>
              <w:pStyle w:val="a7"/>
              <w:tabs>
                <w:tab w:val="decimal" w:pos="326"/>
              </w:tabs>
              <w:spacing w:line="230" w:lineRule="exact"/>
              <w:ind w:right="-15"/>
              <w:jc w:val="both"/>
              <w:rPr>
                <w:rFonts w:ascii="Times New Roman"/>
                <w:sz w:val="22"/>
                <w:szCs w:val="22"/>
                <w:lang w:val="en-GB"/>
              </w:rPr>
            </w:pPr>
          </w:p>
        </w:tc>
      </w:tr>
      <w:tr w:rsidR="00E36221" w:rsidRPr="00BF6DEC" w:rsidTr="00E36221">
        <w:trPr>
          <w:jc w:val="center"/>
        </w:trPr>
        <w:tc>
          <w:tcPr>
            <w:tcW w:w="3402" w:type="dxa"/>
            <w:vAlign w:val="center"/>
          </w:tcPr>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E36221" w:rsidRPr="00A356C4" w:rsidRDefault="00E36221" w:rsidP="00E36221">
            <w:pPr>
              <w:tabs>
                <w:tab w:val="decimal" w:pos="408"/>
              </w:tabs>
              <w:jc w:val="both"/>
              <w:rPr>
                <w:sz w:val="22"/>
                <w:szCs w:val="22"/>
                <w:lang w:eastAsia="zh-HK"/>
              </w:rPr>
            </w:pPr>
            <w:r>
              <w:rPr>
                <w:sz w:val="22"/>
                <w:szCs w:val="22"/>
                <w:lang w:eastAsia="zh-HK"/>
              </w:rPr>
              <w:t>-2.2</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7.7</w:t>
            </w:r>
          </w:p>
        </w:tc>
        <w:tc>
          <w:tcPr>
            <w:tcW w:w="737" w:type="dxa"/>
          </w:tcPr>
          <w:p w:rsidR="00E36221" w:rsidRPr="00716C0D" w:rsidRDefault="00E36221" w:rsidP="00E36221">
            <w:pPr>
              <w:tabs>
                <w:tab w:val="decimal" w:pos="408"/>
              </w:tabs>
              <w:jc w:val="both"/>
              <w:rPr>
                <w:sz w:val="22"/>
                <w:szCs w:val="22"/>
                <w:lang w:eastAsia="zh-HK"/>
              </w:rPr>
            </w:pPr>
            <w:r>
              <w:rPr>
                <w:sz w:val="22"/>
                <w:szCs w:val="22"/>
              </w:rPr>
              <w:t>13.0</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sidRPr="00716C0D">
              <w:rPr>
                <w:rFonts w:hint="eastAsia"/>
                <w:sz w:val="22"/>
                <w:szCs w:val="22"/>
              </w:rPr>
              <w:t>1</w:t>
            </w:r>
            <w:r w:rsidRPr="00716C0D">
              <w:rPr>
                <w:sz w:val="22"/>
                <w:szCs w:val="22"/>
                <w:lang w:eastAsia="zh-HK"/>
              </w:rPr>
              <w:t>.</w:t>
            </w:r>
            <w:r>
              <w:rPr>
                <w:sz w:val="22"/>
                <w:szCs w:val="22"/>
                <w:lang w:eastAsia="zh-HK"/>
              </w:rPr>
              <w:t>5</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Pr>
                <w:sz w:val="22"/>
                <w:szCs w:val="22"/>
              </w:rPr>
              <w:t>8.4</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sidRPr="00716C0D">
              <w:rPr>
                <w:sz w:val="22"/>
                <w:szCs w:val="22"/>
              </w:rPr>
              <w:t>3.</w:t>
            </w:r>
            <w:r>
              <w:rPr>
                <w:sz w:val="22"/>
                <w:szCs w:val="22"/>
              </w:rPr>
              <w:t>6</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Pr>
                <w:sz w:val="22"/>
                <w:szCs w:val="22"/>
              </w:rPr>
              <w:t>6.7</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sidRPr="00716C0D">
              <w:rPr>
                <w:sz w:val="22"/>
                <w:szCs w:val="22"/>
              </w:rPr>
              <w:t>-0.</w:t>
            </w:r>
            <w:r>
              <w:rPr>
                <w:sz w:val="22"/>
                <w:szCs w:val="22"/>
              </w:rPr>
              <w:t>8</w:t>
            </w:r>
            <w:r w:rsidRPr="00716C0D">
              <w:rPr>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3.5</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(-0.</w:t>
            </w:r>
            <w:r>
              <w:rPr>
                <w:kern w:val="0"/>
                <w:sz w:val="22"/>
                <w:szCs w:val="22"/>
                <w:lang w:eastAsia="zh-HK"/>
              </w:rPr>
              <w:t>7</w:t>
            </w:r>
            <w:r w:rsidRPr="00716C0D">
              <w:rPr>
                <w:kern w:val="0"/>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1.</w:t>
            </w:r>
            <w:r w:rsidR="00FD29A7">
              <w:rPr>
                <w:kern w:val="0"/>
                <w:sz w:val="22"/>
                <w:szCs w:val="22"/>
                <w:lang w:eastAsia="zh-HK"/>
              </w:rPr>
              <w:t>2</w:t>
            </w:r>
          </w:p>
          <w:p w:rsidR="00E36221" w:rsidRPr="00716C0D" w:rsidRDefault="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0.</w:t>
            </w:r>
            <w:r w:rsidR="00FD29A7">
              <w:rPr>
                <w:kern w:val="0"/>
                <w:sz w:val="22"/>
                <w:szCs w:val="22"/>
                <w:lang w:eastAsia="zh-HK"/>
              </w:rPr>
              <w:t>7</w:t>
            </w:r>
            <w:r w:rsidRPr="00716C0D">
              <w:rPr>
                <w:kern w:val="0"/>
                <w:sz w:val="22"/>
                <w:szCs w:val="22"/>
                <w:lang w:eastAsia="zh-HK"/>
              </w:rPr>
              <w:t>)</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-1.</w:t>
            </w:r>
            <w:r w:rsidR="005A20FE" w:rsidRPr="005A20FE">
              <w:rPr>
                <w:kern w:val="0"/>
                <w:sz w:val="22"/>
                <w:szCs w:val="22"/>
                <w:lang w:eastAsia="zh-HK"/>
              </w:rPr>
              <w:t>5</w:t>
            </w:r>
          </w:p>
          <w:p w:rsidR="00E36221" w:rsidRPr="005A20FE" w:rsidRDefault="00E36221" w:rsidP="005A20FE">
            <w:pPr>
              <w:widowControl/>
              <w:tabs>
                <w:tab w:val="decimal" w:pos="408"/>
              </w:tabs>
              <w:jc w:val="both"/>
              <w:rPr>
                <w:kern w:val="0"/>
                <w:sz w:val="22"/>
                <w:szCs w:val="22"/>
                <w:lang w:eastAsia="zh-HK"/>
              </w:rPr>
            </w:pPr>
            <w:r w:rsidRPr="005A20FE">
              <w:rPr>
                <w:kern w:val="0"/>
                <w:sz w:val="22"/>
                <w:szCs w:val="22"/>
                <w:lang w:eastAsia="zh-HK"/>
              </w:rPr>
              <w:t>(</w:t>
            </w:r>
            <w:r w:rsidR="00FD29A7" w:rsidRPr="005A20FE">
              <w:rPr>
                <w:kern w:val="0"/>
                <w:sz w:val="22"/>
                <w:szCs w:val="22"/>
                <w:lang w:eastAsia="zh-HK"/>
              </w:rPr>
              <w:t>0.</w:t>
            </w:r>
            <w:r w:rsidR="005A20FE" w:rsidRPr="005A20FE">
              <w:rPr>
                <w:kern w:val="0"/>
                <w:sz w:val="22"/>
                <w:szCs w:val="22"/>
                <w:lang w:eastAsia="zh-HK"/>
              </w:rPr>
              <w:t>7</w:t>
            </w:r>
            <w:r w:rsidRPr="005A20FE">
              <w:rPr>
                <w:kern w:val="0"/>
                <w:sz w:val="22"/>
                <w:szCs w:val="22"/>
                <w:lang w:eastAsia="zh-HK"/>
              </w:rPr>
              <w:t>)</w:t>
            </w:r>
          </w:p>
        </w:tc>
      </w:tr>
      <w:tr w:rsidR="00E36221" w:rsidRPr="00BF6DEC" w:rsidTr="00E36221">
        <w:trPr>
          <w:jc w:val="center"/>
        </w:trPr>
        <w:tc>
          <w:tcPr>
            <w:tcW w:w="3402" w:type="dxa"/>
            <w:vAlign w:val="center"/>
          </w:tcPr>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E36221" w:rsidRPr="00BE38DD" w:rsidRDefault="00E36221" w:rsidP="00E36221">
            <w:pPr>
              <w:tabs>
                <w:tab w:val="decimal" w:pos="408"/>
              </w:tabs>
              <w:jc w:val="both"/>
              <w:rPr>
                <w:sz w:val="22"/>
                <w:szCs w:val="22"/>
                <w:lang w:eastAsia="zh-HK"/>
              </w:rPr>
            </w:pPr>
            <w:r>
              <w:rPr>
                <w:sz w:val="22"/>
                <w:szCs w:val="22"/>
              </w:rPr>
              <w:t>8.0</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-4.3</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1.</w:t>
            </w:r>
            <w:r>
              <w:rPr>
                <w:sz w:val="22"/>
                <w:szCs w:val="22"/>
              </w:rPr>
              <w:t>2</w:t>
            </w:r>
          </w:p>
          <w:p w:rsidR="00E36221" w:rsidRPr="00716C0D" w:rsidRDefault="00E36221" w:rsidP="00E36221">
            <w:pPr>
              <w:tabs>
                <w:tab w:val="decimal" w:pos="408"/>
              </w:tabs>
              <w:jc w:val="both"/>
              <w:rPr>
                <w:sz w:val="22"/>
                <w:szCs w:val="22"/>
                <w:lang w:eastAsia="zh-HK"/>
              </w:rPr>
            </w:pPr>
            <w:r w:rsidRPr="00716C0D">
              <w:rPr>
                <w:sz w:val="22"/>
                <w:szCs w:val="22"/>
                <w:lang w:eastAsia="zh-HK"/>
              </w:rPr>
              <w:t>(-3.</w:t>
            </w:r>
            <w:r>
              <w:rPr>
                <w:sz w:val="22"/>
                <w:szCs w:val="22"/>
                <w:lang w:eastAsia="zh-HK"/>
              </w:rPr>
              <w:t>7</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-9.</w:t>
            </w:r>
            <w:r>
              <w:rPr>
                <w:sz w:val="22"/>
                <w:szCs w:val="22"/>
              </w:rPr>
              <w:t>5</w:t>
            </w:r>
          </w:p>
          <w:p w:rsidR="00E36221" w:rsidRPr="00716C0D" w:rsidRDefault="00E36221" w:rsidP="00E36221">
            <w:pPr>
              <w:tabs>
                <w:tab w:val="decimal" w:pos="408"/>
              </w:tabs>
              <w:jc w:val="both"/>
              <w:rPr>
                <w:sz w:val="22"/>
                <w:szCs w:val="22"/>
                <w:lang w:eastAsia="zh-HK"/>
              </w:rPr>
            </w:pPr>
            <w:r w:rsidRPr="00716C0D">
              <w:rPr>
                <w:sz w:val="22"/>
                <w:szCs w:val="22"/>
                <w:lang w:eastAsia="zh-HK"/>
              </w:rPr>
              <w:t>(-4.</w:t>
            </w:r>
            <w:r>
              <w:rPr>
                <w:sz w:val="22"/>
                <w:szCs w:val="22"/>
                <w:lang w:eastAsia="zh-HK"/>
              </w:rPr>
              <w:t>4</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w:t>
            </w:r>
            <w:r>
              <w:rPr>
                <w:sz w:val="22"/>
                <w:szCs w:val="22"/>
              </w:rPr>
              <w:t>3.9</w:t>
            </w:r>
          </w:p>
          <w:p w:rsidR="00E36221" w:rsidRPr="00716C0D" w:rsidRDefault="00E36221" w:rsidP="00E36221">
            <w:pPr>
              <w:tabs>
                <w:tab w:val="decimal" w:pos="408"/>
              </w:tabs>
              <w:jc w:val="both"/>
              <w:rPr>
                <w:sz w:val="22"/>
                <w:szCs w:val="22"/>
                <w:lang w:eastAsia="zh-HK"/>
              </w:rPr>
            </w:pPr>
            <w:r w:rsidRPr="00716C0D">
              <w:rPr>
                <w:sz w:val="22"/>
                <w:szCs w:val="22"/>
                <w:lang w:eastAsia="zh-HK"/>
              </w:rPr>
              <w:t>(1.8)</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-5.2</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(1.</w:t>
            </w:r>
            <w:r>
              <w:rPr>
                <w:kern w:val="0"/>
                <w:sz w:val="22"/>
                <w:szCs w:val="22"/>
                <w:lang w:eastAsia="zh-HK"/>
              </w:rPr>
              <w:t>3</w:t>
            </w:r>
            <w:r w:rsidRPr="00716C0D">
              <w:rPr>
                <w:kern w:val="0"/>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sidR="00FD29A7">
              <w:rPr>
                <w:kern w:val="0"/>
                <w:sz w:val="22"/>
                <w:szCs w:val="22"/>
                <w:lang w:eastAsia="zh-HK"/>
              </w:rPr>
              <w:t>2.2</w:t>
            </w:r>
          </w:p>
          <w:p w:rsidR="00E36221" w:rsidRPr="00716C0D" w:rsidRDefault="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w:t>
            </w:r>
            <w:r w:rsidR="00FD29A7">
              <w:rPr>
                <w:kern w:val="0"/>
                <w:sz w:val="22"/>
                <w:szCs w:val="22"/>
                <w:lang w:eastAsia="zh-HK"/>
              </w:rPr>
              <w:t>0.9</w:t>
            </w:r>
            <w:r w:rsidRPr="00716C0D">
              <w:rPr>
                <w:kern w:val="0"/>
                <w:sz w:val="22"/>
                <w:szCs w:val="22"/>
                <w:lang w:eastAsia="zh-HK"/>
              </w:rPr>
              <w:t>)</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2.0</w:t>
            </w:r>
          </w:p>
          <w:p w:rsidR="00E36221" w:rsidRPr="005A20FE" w:rsidRDefault="00E36221">
            <w:pPr>
              <w:widowControl/>
              <w:tabs>
                <w:tab w:val="decimal" w:pos="408"/>
              </w:tabs>
              <w:jc w:val="both"/>
              <w:rPr>
                <w:kern w:val="0"/>
                <w:sz w:val="22"/>
                <w:szCs w:val="22"/>
                <w:lang w:eastAsia="zh-HK"/>
              </w:rPr>
            </w:pPr>
            <w:r w:rsidRPr="005A20FE">
              <w:rPr>
                <w:kern w:val="0"/>
                <w:sz w:val="22"/>
                <w:szCs w:val="22"/>
                <w:lang w:eastAsia="zh-HK"/>
              </w:rPr>
              <w:t>(-</w:t>
            </w:r>
            <w:r w:rsidR="00FD29A7" w:rsidRPr="005A20FE">
              <w:rPr>
                <w:kern w:val="0"/>
                <w:sz w:val="22"/>
                <w:szCs w:val="22"/>
                <w:lang w:eastAsia="zh-HK"/>
              </w:rPr>
              <w:t>0.4</w:t>
            </w:r>
            <w:r w:rsidRPr="005A20FE">
              <w:rPr>
                <w:kern w:val="0"/>
                <w:sz w:val="22"/>
                <w:szCs w:val="22"/>
                <w:lang w:eastAsia="zh-HK"/>
              </w:rPr>
              <w:t>)</w:t>
            </w:r>
          </w:p>
        </w:tc>
      </w:tr>
      <w:tr w:rsidR="00E36221" w:rsidRPr="00BF6DEC" w:rsidTr="00E36221">
        <w:trPr>
          <w:jc w:val="center"/>
        </w:trPr>
        <w:tc>
          <w:tcPr>
            <w:tcW w:w="3402" w:type="dxa"/>
            <w:vAlign w:val="center"/>
          </w:tcPr>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E36221" w:rsidRPr="005256F7" w:rsidRDefault="00E36221" w:rsidP="00E36221">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rsidR="00E36221" w:rsidRPr="00212B47" w:rsidRDefault="00E36221" w:rsidP="00E36221">
            <w:pPr>
              <w:tabs>
                <w:tab w:val="decimal" w:pos="408"/>
              </w:tabs>
              <w:jc w:val="both"/>
              <w:rPr>
                <w:sz w:val="22"/>
                <w:szCs w:val="22"/>
                <w:lang w:eastAsia="zh-HK"/>
              </w:rPr>
            </w:pPr>
            <w:r>
              <w:rPr>
                <w:rFonts w:hint="eastAsia"/>
                <w:sz w:val="22"/>
                <w:szCs w:val="22"/>
              </w:rPr>
              <w:t>-7.</w:t>
            </w:r>
            <w:r>
              <w:rPr>
                <w:sz w:val="22"/>
                <w:szCs w:val="22"/>
              </w:rPr>
              <w:t>4</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11.1</w:t>
            </w:r>
          </w:p>
        </w:tc>
        <w:tc>
          <w:tcPr>
            <w:tcW w:w="737" w:type="dxa"/>
          </w:tcPr>
          <w:p w:rsidR="00E36221" w:rsidRPr="00716C0D" w:rsidRDefault="00E36221" w:rsidP="00E36221">
            <w:pPr>
              <w:tabs>
                <w:tab w:val="decimal" w:pos="408"/>
              </w:tabs>
              <w:jc w:val="both"/>
              <w:rPr>
                <w:sz w:val="22"/>
                <w:szCs w:val="22"/>
                <w:lang w:eastAsia="zh-HK"/>
              </w:rPr>
            </w:pPr>
            <w:r>
              <w:rPr>
                <w:sz w:val="22"/>
                <w:szCs w:val="22"/>
              </w:rPr>
              <w:t>8.9</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-1.9</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21.</w:t>
            </w:r>
            <w:r>
              <w:rPr>
                <w:sz w:val="22"/>
                <w:szCs w:val="22"/>
              </w:rPr>
              <w:t>7</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17.5</w:t>
            </w:r>
          </w:p>
        </w:tc>
        <w:tc>
          <w:tcPr>
            <w:tcW w:w="737" w:type="dxa"/>
          </w:tcPr>
          <w:p w:rsidR="00E36221" w:rsidRPr="00716C0D" w:rsidRDefault="00FD29A7" w:rsidP="00E36221">
            <w:pPr>
              <w:widowControl/>
              <w:tabs>
                <w:tab w:val="decimal" w:pos="408"/>
              </w:tabs>
              <w:jc w:val="both"/>
              <w:rPr>
                <w:kern w:val="0"/>
                <w:sz w:val="22"/>
                <w:szCs w:val="22"/>
                <w:lang w:eastAsia="zh-HK"/>
              </w:rPr>
            </w:pPr>
            <w:r>
              <w:rPr>
                <w:kern w:val="0"/>
                <w:sz w:val="22"/>
                <w:szCs w:val="22"/>
                <w:lang w:eastAsia="zh-HK"/>
              </w:rPr>
              <w:t>0.1</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6.0</w:t>
            </w:r>
          </w:p>
        </w:tc>
      </w:tr>
      <w:tr w:rsidR="00E36221" w:rsidRPr="00BF6DEC" w:rsidTr="00E36221">
        <w:trPr>
          <w:jc w:val="center"/>
        </w:trPr>
        <w:tc>
          <w:tcPr>
            <w:tcW w:w="3402" w:type="dxa"/>
            <w:vAlign w:val="center"/>
          </w:tcPr>
          <w:p w:rsidR="00E36221" w:rsidRPr="005256F7" w:rsidRDefault="00E36221" w:rsidP="00E36221">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rsidR="00E36221" w:rsidRPr="00DE1FA0" w:rsidRDefault="00E36221" w:rsidP="00E36221">
            <w:pPr>
              <w:tabs>
                <w:tab w:val="decimal" w:pos="408"/>
              </w:tabs>
              <w:jc w:val="both"/>
              <w:rPr>
                <w:sz w:val="22"/>
                <w:szCs w:val="22"/>
                <w:lang w:eastAsia="zh-HK"/>
              </w:rPr>
            </w:pPr>
            <w:r>
              <w:rPr>
                <w:sz w:val="22"/>
                <w:szCs w:val="22"/>
              </w:rPr>
              <w:t>7.4</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7.5</w:t>
            </w:r>
          </w:p>
        </w:tc>
        <w:tc>
          <w:tcPr>
            <w:tcW w:w="737" w:type="dxa"/>
          </w:tcPr>
          <w:p w:rsidR="00E36221" w:rsidRPr="00716C0D" w:rsidRDefault="00E36221" w:rsidP="00E36221">
            <w:pPr>
              <w:tabs>
                <w:tab w:val="decimal" w:pos="408"/>
              </w:tabs>
              <w:jc w:val="both"/>
              <w:rPr>
                <w:sz w:val="22"/>
                <w:szCs w:val="22"/>
                <w:lang w:eastAsia="zh-HK"/>
              </w:rPr>
            </w:pPr>
            <w:r>
              <w:rPr>
                <w:sz w:val="22"/>
                <w:szCs w:val="22"/>
              </w:rPr>
              <w:t>0.7</w:t>
            </w:r>
          </w:p>
        </w:tc>
        <w:tc>
          <w:tcPr>
            <w:tcW w:w="737" w:type="dxa"/>
          </w:tcPr>
          <w:p w:rsidR="00E36221" w:rsidRPr="00716C0D" w:rsidRDefault="00E36221" w:rsidP="00E36221">
            <w:pPr>
              <w:tabs>
                <w:tab w:val="decimal" w:pos="408"/>
              </w:tabs>
              <w:jc w:val="both"/>
              <w:rPr>
                <w:sz w:val="22"/>
                <w:szCs w:val="22"/>
                <w:lang w:eastAsia="zh-HK"/>
              </w:rPr>
            </w:pPr>
            <w:r>
              <w:rPr>
                <w:sz w:val="22"/>
                <w:szCs w:val="22"/>
              </w:rPr>
              <w:t>8.0</w:t>
            </w:r>
          </w:p>
        </w:tc>
        <w:tc>
          <w:tcPr>
            <w:tcW w:w="737" w:type="dxa"/>
          </w:tcPr>
          <w:p w:rsidR="00E36221" w:rsidRPr="00716C0D" w:rsidRDefault="00E36221" w:rsidP="00E36221">
            <w:pPr>
              <w:tabs>
                <w:tab w:val="decimal" w:pos="408"/>
              </w:tabs>
              <w:jc w:val="both"/>
              <w:rPr>
                <w:sz w:val="22"/>
                <w:szCs w:val="22"/>
                <w:lang w:eastAsia="zh-HK"/>
              </w:rPr>
            </w:pPr>
            <w:r>
              <w:rPr>
                <w:sz w:val="22"/>
                <w:szCs w:val="22"/>
              </w:rPr>
              <w:t>16.0</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6.1</w:t>
            </w:r>
          </w:p>
        </w:tc>
        <w:tc>
          <w:tcPr>
            <w:tcW w:w="737" w:type="dxa"/>
          </w:tcPr>
          <w:p w:rsidR="00E36221" w:rsidRPr="00716C0D" w:rsidRDefault="00FD29A7" w:rsidP="00E36221">
            <w:pPr>
              <w:widowControl/>
              <w:tabs>
                <w:tab w:val="decimal" w:pos="408"/>
              </w:tabs>
              <w:jc w:val="both"/>
              <w:rPr>
                <w:kern w:val="0"/>
                <w:sz w:val="22"/>
                <w:szCs w:val="22"/>
                <w:lang w:eastAsia="zh-HK"/>
              </w:rPr>
            </w:pPr>
            <w:r>
              <w:rPr>
                <w:kern w:val="0"/>
                <w:sz w:val="22"/>
                <w:szCs w:val="22"/>
                <w:lang w:eastAsia="zh-HK"/>
              </w:rPr>
              <w:t>10.6</w:t>
            </w:r>
          </w:p>
        </w:tc>
        <w:tc>
          <w:tcPr>
            <w:tcW w:w="737" w:type="dxa"/>
          </w:tcPr>
          <w:p w:rsidR="00E36221" w:rsidRPr="005A20FE" w:rsidRDefault="005A20FE" w:rsidP="00E36221">
            <w:pPr>
              <w:widowControl/>
              <w:tabs>
                <w:tab w:val="decimal" w:pos="408"/>
              </w:tabs>
              <w:jc w:val="both"/>
              <w:rPr>
                <w:kern w:val="0"/>
                <w:sz w:val="22"/>
                <w:szCs w:val="22"/>
                <w:lang w:eastAsia="zh-HK"/>
              </w:rPr>
            </w:pPr>
            <w:r w:rsidRPr="005A20FE">
              <w:rPr>
                <w:kern w:val="0"/>
                <w:sz w:val="22"/>
                <w:szCs w:val="22"/>
                <w:lang w:eastAsia="zh-HK"/>
              </w:rPr>
              <w:t>16.0</w:t>
            </w:r>
          </w:p>
        </w:tc>
      </w:tr>
      <w:tr w:rsidR="00E36221" w:rsidRPr="00BF6DEC" w:rsidTr="00E36221">
        <w:trPr>
          <w:jc w:val="center"/>
        </w:trPr>
        <w:tc>
          <w:tcPr>
            <w:tcW w:w="3402" w:type="dxa"/>
            <w:vAlign w:val="center"/>
          </w:tcPr>
          <w:p w:rsidR="00E36221" w:rsidRPr="005256F7" w:rsidRDefault="00E36221" w:rsidP="00E36221">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rsidR="00E36221" w:rsidRPr="00C40F77" w:rsidRDefault="00E36221" w:rsidP="00E36221">
            <w:pPr>
              <w:tabs>
                <w:tab w:val="decimal" w:pos="408"/>
              </w:tabs>
              <w:jc w:val="both"/>
              <w:rPr>
                <w:sz w:val="22"/>
                <w:szCs w:val="22"/>
                <w:lang w:eastAsia="zh-HK"/>
              </w:rPr>
            </w:pPr>
            <w:r>
              <w:rPr>
                <w:rFonts w:hint="eastAsia"/>
                <w:sz w:val="22"/>
                <w:szCs w:val="22"/>
              </w:rPr>
              <w:t>-</w:t>
            </w:r>
            <w:r>
              <w:rPr>
                <w:sz w:val="22"/>
                <w:szCs w:val="22"/>
              </w:rPr>
              <w:t>43.2</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0.2</w:t>
            </w:r>
          </w:p>
        </w:tc>
        <w:tc>
          <w:tcPr>
            <w:tcW w:w="737" w:type="dxa"/>
          </w:tcPr>
          <w:p w:rsidR="00E36221" w:rsidRPr="00716C0D" w:rsidRDefault="00E36221" w:rsidP="00E36221">
            <w:pPr>
              <w:tabs>
                <w:tab w:val="decimal" w:pos="408"/>
              </w:tabs>
              <w:jc w:val="both"/>
              <w:rPr>
                <w:sz w:val="22"/>
                <w:szCs w:val="22"/>
                <w:lang w:eastAsia="zh-HK"/>
              </w:rPr>
            </w:pPr>
            <w:r>
              <w:rPr>
                <w:sz w:val="22"/>
                <w:szCs w:val="22"/>
              </w:rPr>
              <w:t>25.8</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w:t>
            </w:r>
            <w:r>
              <w:rPr>
                <w:sz w:val="22"/>
                <w:szCs w:val="22"/>
              </w:rPr>
              <w:t>6</w:t>
            </w:r>
            <w:r w:rsidRPr="00716C0D">
              <w:rPr>
                <w:sz w:val="22"/>
                <w:szCs w:val="22"/>
              </w:rPr>
              <w:t>.0</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w:t>
            </w:r>
            <w:r>
              <w:rPr>
                <w:sz w:val="22"/>
                <w:szCs w:val="22"/>
              </w:rPr>
              <w:t>15.6</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-3.</w:t>
            </w:r>
            <w:r>
              <w:rPr>
                <w:kern w:val="0"/>
                <w:sz w:val="22"/>
                <w:szCs w:val="22"/>
                <w:lang w:eastAsia="zh-HK"/>
              </w:rPr>
              <w:t>4</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27.</w:t>
            </w:r>
            <w:r w:rsidR="00FD29A7">
              <w:rPr>
                <w:kern w:val="0"/>
                <w:sz w:val="22"/>
                <w:szCs w:val="22"/>
                <w:lang w:eastAsia="zh-HK"/>
              </w:rPr>
              <w:t>6</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36.0</w:t>
            </w:r>
          </w:p>
        </w:tc>
      </w:tr>
      <w:tr w:rsidR="00E36221" w:rsidRPr="00BF6DEC" w:rsidTr="00E36221">
        <w:trPr>
          <w:jc w:val="center"/>
        </w:trPr>
        <w:tc>
          <w:tcPr>
            <w:tcW w:w="3402" w:type="dxa"/>
            <w:vAlign w:val="center"/>
          </w:tcPr>
          <w:p w:rsidR="00E36221" w:rsidRPr="005256F7" w:rsidRDefault="00E36221" w:rsidP="00E36221">
            <w:pPr>
              <w:tabs>
                <w:tab w:val="left" w:pos="1080"/>
              </w:tabs>
              <w:spacing w:line="230" w:lineRule="exact"/>
              <w:ind w:right="-108"/>
              <w:jc w:val="both"/>
              <w:rPr>
                <w:sz w:val="22"/>
                <w:szCs w:val="22"/>
              </w:rPr>
            </w:pPr>
            <w:r w:rsidRPr="005256F7">
              <w:rPr>
                <w:sz w:val="22"/>
                <w:szCs w:val="22"/>
              </w:rPr>
              <w:t xml:space="preserve">   Machinery, equipment and</w:t>
            </w:r>
          </w:p>
          <w:p w:rsidR="00E36221" w:rsidRPr="005256F7" w:rsidRDefault="00E36221" w:rsidP="00E36221">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rsidR="00E36221" w:rsidRPr="00EC00F1" w:rsidRDefault="00E36221" w:rsidP="00E36221">
            <w:pPr>
              <w:tabs>
                <w:tab w:val="decimal" w:pos="408"/>
              </w:tabs>
              <w:jc w:val="both"/>
              <w:rPr>
                <w:sz w:val="22"/>
                <w:szCs w:val="22"/>
                <w:lang w:eastAsia="zh-HK"/>
              </w:rPr>
            </w:pPr>
            <w:r>
              <w:rPr>
                <w:rFonts w:hint="eastAsia"/>
                <w:sz w:val="22"/>
                <w:szCs w:val="22"/>
              </w:rPr>
              <w:t>-</w:t>
            </w:r>
            <w:r>
              <w:rPr>
                <w:sz w:val="22"/>
                <w:szCs w:val="22"/>
              </w:rPr>
              <w:t>18.9</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20.5</w:t>
            </w:r>
          </w:p>
        </w:tc>
        <w:tc>
          <w:tcPr>
            <w:tcW w:w="737" w:type="dxa"/>
          </w:tcPr>
          <w:p w:rsidR="00E36221" w:rsidRPr="00716C0D" w:rsidRDefault="00E36221" w:rsidP="00E36221">
            <w:pPr>
              <w:tabs>
                <w:tab w:val="decimal" w:pos="408"/>
              </w:tabs>
              <w:jc w:val="both"/>
              <w:rPr>
                <w:sz w:val="22"/>
                <w:szCs w:val="22"/>
                <w:lang w:eastAsia="zh-HK"/>
              </w:rPr>
            </w:pPr>
            <w:r>
              <w:rPr>
                <w:sz w:val="22"/>
                <w:szCs w:val="22"/>
              </w:rPr>
              <w:t>25.4</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-1</w:t>
            </w:r>
            <w:r>
              <w:rPr>
                <w:sz w:val="22"/>
                <w:szCs w:val="22"/>
              </w:rPr>
              <w:t>7.1</w:t>
            </w:r>
          </w:p>
        </w:tc>
        <w:tc>
          <w:tcPr>
            <w:tcW w:w="737" w:type="dxa"/>
          </w:tcPr>
          <w:p w:rsidR="00E36221" w:rsidRPr="00716C0D" w:rsidRDefault="00E36221" w:rsidP="00E36221">
            <w:pPr>
              <w:tabs>
                <w:tab w:val="decimal" w:pos="408"/>
              </w:tabs>
              <w:jc w:val="both"/>
              <w:rPr>
                <w:sz w:val="22"/>
                <w:szCs w:val="22"/>
                <w:lang w:eastAsia="zh-HK"/>
              </w:rPr>
            </w:pPr>
            <w:r>
              <w:rPr>
                <w:sz w:val="22"/>
                <w:szCs w:val="22"/>
              </w:rPr>
              <w:t>42.0</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43.</w:t>
            </w:r>
            <w:r>
              <w:rPr>
                <w:kern w:val="0"/>
                <w:sz w:val="22"/>
                <w:szCs w:val="22"/>
                <w:lang w:eastAsia="zh-HK"/>
              </w:rPr>
              <w:t>7</w:t>
            </w:r>
          </w:p>
        </w:tc>
        <w:tc>
          <w:tcPr>
            <w:tcW w:w="737" w:type="dxa"/>
          </w:tcPr>
          <w:p w:rsidR="00E36221" w:rsidRPr="00716C0D" w:rsidRDefault="00FD29A7" w:rsidP="00E36221">
            <w:pPr>
              <w:widowControl/>
              <w:tabs>
                <w:tab w:val="decimal" w:pos="408"/>
              </w:tabs>
              <w:jc w:val="both"/>
              <w:rPr>
                <w:kern w:val="0"/>
                <w:sz w:val="22"/>
                <w:szCs w:val="22"/>
                <w:lang w:eastAsia="zh-HK"/>
              </w:rPr>
            </w:pPr>
            <w:r>
              <w:rPr>
                <w:kern w:val="0"/>
                <w:sz w:val="22"/>
                <w:szCs w:val="22"/>
                <w:lang w:eastAsia="zh-HK"/>
              </w:rPr>
              <w:t>-14.2</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-21.8</w:t>
            </w:r>
          </w:p>
        </w:tc>
      </w:tr>
      <w:tr w:rsidR="00E36221" w:rsidRPr="00BF6DEC" w:rsidTr="00E36221">
        <w:trPr>
          <w:jc w:val="center"/>
        </w:trPr>
        <w:tc>
          <w:tcPr>
            <w:tcW w:w="3402" w:type="dxa"/>
          </w:tcPr>
          <w:p w:rsidR="00E36221" w:rsidRPr="005256F7" w:rsidRDefault="00E36221" w:rsidP="00E36221">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rsidR="00E36221" w:rsidRPr="007C41FA" w:rsidRDefault="00E36221" w:rsidP="00E36221">
            <w:pPr>
              <w:tabs>
                <w:tab w:val="decimal" w:pos="408"/>
              </w:tabs>
              <w:jc w:val="both"/>
              <w:rPr>
                <w:sz w:val="22"/>
                <w:szCs w:val="22"/>
                <w:lang w:eastAsia="zh-HK"/>
              </w:rPr>
            </w:pPr>
            <w:r>
              <w:rPr>
                <w:rFonts w:hint="eastAsia"/>
                <w:sz w:val="22"/>
                <w:szCs w:val="22"/>
              </w:rPr>
              <w:t>-</w:t>
            </w:r>
            <w:r>
              <w:rPr>
                <w:sz w:val="22"/>
                <w:szCs w:val="22"/>
              </w:rPr>
              <w:t>14.0</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-10.3</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-19.</w:t>
            </w:r>
            <w:r>
              <w:rPr>
                <w:sz w:val="22"/>
                <w:szCs w:val="22"/>
              </w:rPr>
              <w:t>1</w:t>
            </w:r>
          </w:p>
          <w:p w:rsidR="00E36221" w:rsidRPr="00716C0D" w:rsidRDefault="00E36221" w:rsidP="00E36221">
            <w:pPr>
              <w:tabs>
                <w:tab w:val="decimal" w:pos="408"/>
              </w:tabs>
              <w:jc w:val="both"/>
              <w:rPr>
                <w:sz w:val="22"/>
                <w:szCs w:val="22"/>
                <w:lang w:eastAsia="zh-HK"/>
              </w:rPr>
            </w:pPr>
            <w:r w:rsidRPr="00716C0D">
              <w:rPr>
                <w:sz w:val="22"/>
                <w:szCs w:val="22"/>
                <w:lang w:eastAsia="zh-HK"/>
              </w:rPr>
              <w:t>(0.4)</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-15.1</w:t>
            </w:r>
          </w:p>
          <w:p w:rsidR="00E36221" w:rsidRPr="00716C0D" w:rsidRDefault="00E36221" w:rsidP="00E36221">
            <w:pPr>
              <w:tabs>
                <w:tab w:val="decimal" w:pos="408"/>
              </w:tabs>
              <w:jc w:val="both"/>
              <w:rPr>
                <w:sz w:val="22"/>
                <w:szCs w:val="22"/>
                <w:lang w:eastAsia="zh-HK"/>
              </w:rPr>
            </w:pPr>
            <w:r w:rsidRPr="00716C0D">
              <w:rPr>
                <w:sz w:val="22"/>
                <w:szCs w:val="22"/>
                <w:lang w:eastAsia="zh-HK"/>
              </w:rPr>
              <w:t>(-0.2)</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-8.7</w:t>
            </w:r>
          </w:p>
          <w:p w:rsidR="00E36221" w:rsidRPr="00716C0D" w:rsidRDefault="00E36221" w:rsidP="00E36221">
            <w:pPr>
              <w:tabs>
                <w:tab w:val="decimal" w:pos="408"/>
              </w:tabs>
              <w:jc w:val="both"/>
              <w:rPr>
                <w:sz w:val="22"/>
                <w:szCs w:val="22"/>
                <w:lang w:eastAsia="zh-HK"/>
              </w:rPr>
            </w:pPr>
            <w:r w:rsidRPr="00716C0D">
              <w:rPr>
                <w:sz w:val="22"/>
                <w:szCs w:val="22"/>
                <w:lang w:eastAsia="zh-HK"/>
              </w:rPr>
              <w:t>(0.1)</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2.</w:t>
            </w:r>
            <w:r>
              <w:rPr>
                <w:kern w:val="0"/>
                <w:sz w:val="22"/>
                <w:szCs w:val="22"/>
                <w:lang w:eastAsia="zh-HK"/>
              </w:rPr>
              <w:t>8</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3.0</w:t>
            </w:r>
            <w:r w:rsidRPr="00716C0D">
              <w:rPr>
                <w:kern w:val="0"/>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6.8</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4.0</w:t>
            </w:r>
            <w:r w:rsidRPr="00716C0D">
              <w:rPr>
                <w:kern w:val="0"/>
                <w:sz w:val="22"/>
                <w:szCs w:val="22"/>
                <w:lang w:eastAsia="zh-HK"/>
              </w:rPr>
              <w:t>)</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lang w:eastAsia="zh-HK"/>
              </w:rPr>
              <w:t>7.</w:t>
            </w:r>
            <w:r w:rsidR="005A20FE" w:rsidRPr="005A20FE">
              <w:rPr>
                <w:kern w:val="0"/>
                <w:sz w:val="22"/>
                <w:szCs w:val="22"/>
                <w:lang w:eastAsia="zh-HK"/>
              </w:rPr>
              <w:t>5</w:t>
            </w:r>
          </w:p>
          <w:p w:rsidR="00E36221" w:rsidRPr="005A20FE" w:rsidRDefault="00E36221" w:rsidP="005A20FE">
            <w:pPr>
              <w:widowControl/>
              <w:tabs>
                <w:tab w:val="decimal" w:pos="408"/>
              </w:tabs>
              <w:jc w:val="both"/>
              <w:rPr>
                <w:kern w:val="0"/>
                <w:sz w:val="22"/>
                <w:szCs w:val="22"/>
                <w:lang w:eastAsia="zh-HK"/>
              </w:rPr>
            </w:pPr>
            <w:r w:rsidRPr="005A20FE">
              <w:rPr>
                <w:kern w:val="0"/>
                <w:sz w:val="22"/>
                <w:szCs w:val="22"/>
                <w:lang w:eastAsia="zh-HK"/>
              </w:rPr>
              <w:t>(</w:t>
            </w:r>
            <w:r w:rsidR="00D352F5" w:rsidRPr="005A20FE">
              <w:rPr>
                <w:kern w:val="0"/>
                <w:sz w:val="22"/>
                <w:szCs w:val="22"/>
                <w:lang w:eastAsia="zh-HK"/>
              </w:rPr>
              <w:t>0.</w:t>
            </w:r>
            <w:r w:rsidR="005A20FE" w:rsidRPr="005A20FE">
              <w:rPr>
                <w:kern w:val="0"/>
                <w:sz w:val="22"/>
                <w:szCs w:val="22"/>
                <w:lang w:eastAsia="zh-HK"/>
              </w:rPr>
              <w:t>2</w:t>
            </w:r>
            <w:r w:rsidRPr="005A20FE">
              <w:rPr>
                <w:kern w:val="0"/>
                <w:sz w:val="22"/>
                <w:szCs w:val="22"/>
                <w:lang w:eastAsia="zh-HK"/>
              </w:rPr>
              <w:t>)</w:t>
            </w:r>
          </w:p>
        </w:tc>
      </w:tr>
      <w:tr w:rsidR="00E36221" w:rsidRPr="00BF6DEC" w:rsidTr="00E36221">
        <w:trPr>
          <w:jc w:val="center"/>
        </w:trPr>
        <w:tc>
          <w:tcPr>
            <w:tcW w:w="3402" w:type="dxa"/>
          </w:tcPr>
          <w:p w:rsidR="00E36221" w:rsidRPr="005256F7" w:rsidRDefault="00E36221" w:rsidP="00E36221">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rsidR="00E36221" w:rsidRPr="00D72F29" w:rsidRDefault="00E36221" w:rsidP="00E36221">
            <w:pPr>
              <w:tabs>
                <w:tab w:val="decimal" w:pos="408"/>
              </w:tabs>
              <w:jc w:val="both"/>
              <w:rPr>
                <w:sz w:val="22"/>
                <w:szCs w:val="22"/>
                <w:lang w:eastAsia="zh-HK"/>
              </w:rPr>
            </w:pPr>
            <w:r>
              <w:rPr>
                <w:rFonts w:hint="eastAsia"/>
                <w:sz w:val="22"/>
                <w:szCs w:val="22"/>
              </w:rPr>
              <w:t>-13.2</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-8.6</w:t>
            </w:r>
          </w:p>
        </w:tc>
        <w:tc>
          <w:tcPr>
            <w:tcW w:w="737" w:type="dxa"/>
          </w:tcPr>
          <w:p w:rsidR="00E36221" w:rsidRPr="00716C0D" w:rsidRDefault="00E36221" w:rsidP="00E36221">
            <w:pPr>
              <w:tabs>
                <w:tab w:val="decimal" w:pos="408"/>
              </w:tabs>
              <w:jc w:val="both"/>
              <w:rPr>
                <w:sz w:val="22"/>
                <w:szCs w:val="22"/>
                <w:lang w:eastAsia="zh-HK"/>
              </w:rPr>
            </w:pPr>
            <w:r w:rsidRPr="00716C0D">
              <w:rPr>
                <w:rFonts w:hint="eastAsia"/>
                <w:sz w:val="22"/>
                <w:szCs w:val="22"/>
              </w:rPr>
              <w:t>-</w:t>
            </w:r>
            <w:r w:rsidRPr="00716C0D">
              <w:rPr>
                <w:sz w:val="22"/>
                <w:szCs w:val="22"/>
              </w:rPr>
              <w:t>14.8</w:t>
            </w:r>
          </w:p>
          <w:p w:rsidR="00E36221" w:rsidRPr="00716C0D" w:rsidRDefault="00E36221" w:rsidP="00E36221">
            <w:pPr>
              <w:tabs>
                <w:tab w:val="decimal" w:pos="408"/>
              </w:tabs>
              <w:jc w:val="both"/>
              <w:rPr>
                <w:sz w:val="22"/>
                <w:szCs w:val="22"/>
                <w:lang w:eastAsia="zh-HK"/>
              </w:rPr>
            </w:pPr>
            <w:r w:rsidRPr="00716C0D">
              <w:rPr>
                <w:sz w:val="22"/>
                <w:szCs w:val="22"/>
                <w:lang w:eastAsia="zh-HK"/>
              </w:rPr>
              <w:t>(2.</w:t>
            </w:r>
            <w:r w:rsidRPr="00716C0D">
              <w:rPr>
                <w:sz w:val="22"/>
                <w:szCs w:val="22"/>
              </w:rPr>
              <w:t>3</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rFonts w:hint="eastAsia"/>
                <w:sz w:val="22"/>
                <w:szCs w:val="22"/>
              </w:rPr>
              <w:t>-</w:t>
            </w:r>
            <w:r w:rsidRPr="00716C0D">
              <w:rPr>
                <w:sz w:val="22"/>
                <w:szCs w:val="22"/>
              </w:rPr>
              <w:t>16.0</w:t>
            </w:r>
          </w:p>
          <w:p w:rsidR="00E36221" w:rsidRPr="00716C0D" w:rsidRDefault="00E36221" w:rsidP="00E36221">
            <w:pPr>
              <w:tabs>
                <w:tab w:val="decimal" w:pos="408"/>
              </w:tabs>
              <w:jc w:val="both"/>
              <w:rPr>
                <w:sz w:val="22"/>
                <w:szCs w:val="22"/>
                <w:lang w:eastAsia="zh-HK"/>
              </w:rPr>
            </w:pPr>
            <w:r w:rsidRPr="00716C0D">
              <w:rPr>
                <w:sz w:val="22"/>
                <w:szCs w:val="22"/>
                <w:lang w:eastAsia="zh-HK"/>
              </w:rPr>
              <w:t>(-1.1)</w:t>
            </w:r>
          </w:p>
        </w:tc>
        <w:tc>
          <w:tcPr>
            <w:tcW w:w="737" w:type="dxa"/>
          </w:tcPr>
          <w:p w:rsidR="00E36221" w:rsidRPr="00716C0D" w:rsidRDefault="00E36221" w:rsidP="00E36221">
            <w:pPr>
              <w:tabs>
                <w:tab w:val="decimal" w:pos="408"/>
              </w:tabs>
              <w:jc w:val="both"/>
              <w:rPr>
                <w:sz w:val="22"/>
                <w:szCs w:val="22"/>
                <w:lang w:eastAsia="zh-HK"/>
              </w:rPr>
            </w:pPr>
            <w:r w:rsidRPr="00716C0D">
              <w:rPr>
                <w:rFonts w:hint="eastAsia"/>
                <w:sz w:val="22"/>
                <w:szCs w:val="22"/>
              </w:rPr>
              <w:t>-</w:t>
            </w:r>
            <w:r w:rsidRPr="00716C0D">
              <w:rPr>
                <w:sz w:val="22"/>
                <w:szCs w:val="22"/>
              </w:rPr>
              <w:t>6.1</w:t>
            </w:r>
          </w:p>
          <w:p w:rsidR="00E36221" w:rsidRPr="00716C0D" w:rsidRDefault="00E36221" w:rsidP="00E36221">
            <w:pPr>
              <w:tabs>
                <w:tab w:val="decimal" w:pos="408"/>
              </w:tabs>
              <w:jc w:val="both"/>
              <w:rPr>
                <w:sz w:val="22"/>
                <w:szCs w:val="22"/>
                <w:lang w:eastAsia="zh-HK"/>
              </w:rPr>
            </w:pPr>
            <w:r w:rsidRPr="00716C0D">
              <w:rPr>
                <w:sz w:val="22"/>
                <w:szCs w:val="22"/>
                <w:lang w:eastAsia="zh-HK"/>
              </w:rPr>
              <w:t>(1.3)</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rPr>
              <w:t>3.</w:t>
            </w:r>
            <w:r>
              <w:rPr>
                <w:kern w:val="0"/>
                <w:sz w:val="22"/>
                <w:szCs w:val="22"/>
              </w:rPr>
              <w:t>8</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(1.</w:t>
            </w:r>
            <w:r>
              <w:rPr>
                <w:kern w:val="0"/>
                <w:sz w:val="22"/>
                <w:szCs w:val="22"/>
                <w:lang w:eastAsia="zh-HK"/>
              </w:rPr>
              <w:t>8</w:t>
            </w:r>
            <w:r w:rsidRPr="00716C0D">
              <w:rPr>
                <w:kern w:val="0"/>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rPr>
              <w:t>3.</w:t>
            </w:r>
            <w:r>
              <w:rPr>
                <w:kern w:val="0"/>
                <w:sz w:val="22"/>
                <w:szCs w:val="22"/>
              </w:rPr>
              <w:t>3</w:t>
            </w:r>
          </w:p>
          <w:p w:rsidR="00E36221" w:rsidRPr="00716C0D" w:rsidRDefault="00E36221" w:rsidP="00E36221">
            <w:pPr>
              <w:widowControl/>
              <w:tabs>
                <w:tab w:val="decimal" w:pos="408"/>
              </w:tabs>
              <w:jc w:val="both"/>
              <w:rPr>
                <w:kern w:val="0"/>
                <w:sz w:val="22"/>
                <w:szCs w:val="22"/>
              </w:rPr>
            </w:pPr>
            <w:r w:rsidRPr="00716C0D">
              <w:rPr>
                <w:kern w:val="0"/>
                <w:sz w:val="22"/>
                <w:szCs w:val="22"/>
                <w:lang w:eastAsia="zh-HK"/>
              </w:rPr>
              <w:t>(1.</w:t>
            </w:r>
            <w:r>
              <w:rPr>
                <w:kern w:val="0"/>
                <w:sz w:val="22"/>
                <w:szCs w:val="22"/>
                <w:lang w:eastAsia="zh-HK"/>
              </w:rPr>
              <w:t>4</w:t>
            </w:r>
            <w:r w:rsidRPr="00716C0D">
              <w:rPr>
                <w:kern w:val="0"/>
                <w:sz w:val="22"/>
                <w:szCs w:val="22"/>
                <w:lang w:eastAsia="zh-HK"/>
              </w:rPr>
              <w:t>)</w:t>
            </w:r>
          </w:p>
        </w:tc>
        <w:tc>
          <w:tcPr>
            <w:tcW w:w="737" w:type="dxa"/>
          </w:tcPr>
          <w:p w:rsidR="00E36221" w:rsidRPr="005A20FE" w:rsidRDefault="00E36221" w:rsidP="00E36221">
            <w:pPr>
              <w:widowControl/>
              <w:tabs>
                <w:tab w:val="decimal" w:pos="408"/>
              </w:tabs>
              <w:jc w:val="both"/>
              <w:rPr>
                <w:kern w:val="0"/>
                <w:sz w:val="22"/>
                <w:szCs w:val="22"/>
                <w:lang w:eastAsia="zh-HK"/>
              </w:rPr>
            </w:pPr>
            <w:r w:rsidRPr="005A20FE">
              <w:rPr>
                <w:kern w:val="0"/>
                <w:sz w:val="22"/>
                <w:szCs w:val="22"/>
              </w:rPr>
              <w:t>3.</w:t>
            </w:r>
            <w:r w:rsidR="00FD29A7" w:rsidRPr="005A20FE">
              <w:rPr>
                <w:kern w:val="0"/>
                <w:sz w:val="22"/>
                <w:szCs w:val="22"/>
              </w:rPr>
              <w:t>4</w:t>
            </w:r>
          </w:p>
          <w:p w:rsidR="00E36221" w:rsidRPr="005A20FE" w:rsidRDefault="00E36221">
            <w:pPr>
              <w:widowControl/>
              <w:tabs>
                <w:tab w:val="decimal" w:pos="408"/>
              </w:tabs>
              <w:jc w:val="both"/>
              <w:rPr>
                <w:kern w:val="0"/>
                <w:sz w:val="22"/>
                <w:szCs w:val="22"/>
              </w:rPr>
            </w:pPr>
            <w:r w:rsidRPr="005A20FE">
              <w:rPr>
                <w:kern w:val="0"/>
                <w:sz w:val="22"/>
                <w:szCs w:val="22"/>
                <w:lang w:eastAsia="zh-HK"/>
              </w:rPr>
              <w:t>(</w:t>
            </w:r>
            <w:r w:rsidR="00D352F5" w:rsidRPr="005A20FE">
              <w:rPr>
                <w:kern w:val="0"/>
                <w:sz w:val="22"/>
                <w:szCs w:val="22"/>
                <w:lang w:eastAsia="zh-HK"/>
              </w:rPr>
              <w:t>-1.3</w:t>
            </w:r>
            <w:r w:rsidRPr="005A20FE">
              <w:rPr>
                <w:kern w:val="0"/>
                <w:sz w:val="22"/>
                <w:szCs w:val="22"/>
                <w:lang w:eastAsia="zh-HK"/>
              </w:rPr>
              <w:t>)</w:t>
            </w:r>
          </w:p>
        </w:tc>
      </w:tr>
      <w:tr w:rsidR="00E36221" w:rsidRPr="00BF6DEC" w:rsidTr="00E36221">
        <w:trPr>
          <w:jc w:val="center"/>
        </w:trPr>
        <w:tc>
          <w:tcPr>
            <w:tcW w:w="3402" w:type="dxa"/>
          </w:tcPr>
          <w:p w:rsidR="00E36221" w:rsidRPr="005256F7" w:rsidRDefault="00E36221" w:rsidP="00E36221">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rsidR="00E36221" w:rsidRPr="00D72F29" w:rsidRDefault="00E36221" w:rsidP="00E36221">
            <w:pPr>
              <w:tabs>
                <w:tab w:val="decimal" w:pos="408"/>
              </w:tabs>
              <w:jc w:val="both"/>
              <w:rPr>
                <w:sz w:val="22"/>
                <w:szCs w:val="22"/>
                <w:lang w:eastAsia="zh-HK"/>
              </w:rPr>
            </w:pPr>
            <w:r>
              <w:rPr>
                <w:sz w:val="22"/>
                <w:szCs w:val="22"/>
              </w:rPr>
              <w:t>-0.5</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20.9</w:t>
            </w:r>
          </w:p>
        </w:tc>
        <w:tc>
          <w:tcPr>
            <w:tcW w:w="737" w:type="dxa"/>
          </w:tcPr>
          <w:p w:rsidR="00E36221" w:rsidRPr="00716C0D" w:rsidRDefault="00E36221" w:rsidP="00E36221">
            <w:pPr>
              <w:tabs>
                <w:tab w:val="decimal" w:pos="408"/>
              </w:tabs>
              <w:jc w:val="both"/>
              <w:rPr>
                <w:sz w:val="22"/>
                <w:szCs w:val="22"/>
                <w:lang w:eastAsia="zh-HK"/>
              </w:rPr>
            </w:pPr>
            <w:r w:rsidRPr="00716C0D">
              <w:rPr>
                <w:rFonts w:hint="eastAsia"/>
                <w:sz w:val="22"/>
                <w:szCs w:val="22"/>
              </w:rPr>
              <w:t>1</w:t>
            </w:r>
            <w:r>
              <w:rPr>
                <w:sz w:val="22"/>
                <w:szCs w:val="22"/>
              </w:rPr>
              <w:t>5.7</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sidRPr="00716C0D">
              <w:rPr>
                <w:sz w:val="22"/>
                <w:szCs w:val="22"/>
              </w:rPr>
              <w:t>1</w:t>
            </w:r>
            <w:r>
              <w:rPr>
                <w:sz w:val="22"/>
                <w:szCs w:val="22"/>
              </w:rPr>
              <w:t>2</w:t>
            </w:r>
            <w:r w:rsidRPr="00716C0D">
              <w:rPr>
                <w:sz w:val="22"/>
                <w:szCs w:val="22"/>
              </w:rPr>
              <w:t>.3</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23.</w:t>
            </w:r>
            <w:r>
              <w:rPr>
                <w:sz w:val="22"/>
                <w:szCs w:val="22"/>
              </w:rPr>
              <w:t>4</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Pr>
                <w:sz w:val="22"/>
                <w:szCs w:val="22"/>
              </w:rPr>
              <w:t>5</w:t>
            </w:r>
            <w:r w:rsidRPr="00716C0D">
              <w:rPr>
                <w:sz w:val="22"/>
                <w:szCs w:val="22"/>
              </w:rPr>
              <w:t>.3</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23.</w:t>
            </w:r>
            <w:r>
              <w:rPr>
                <w:sz w:val="22"/>
                <w:szCs w:val="22"/>
              </w:rPr>
              <w:t>4</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Pr>
                <w:sz w:val="22"/>
                <w:szCs w:val="22"/>
              </w:rPr>
              <w:t>2.0</w:t>
            </w:r>
            <w:r w:rsidRPr="00716C0D">
              <w:rPr>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rPr>
              <w:t>2</w:t>
            </w:r>
            <w:r>
              <w:rPr>
                <w:kern w:val="0"/>
                <w:sz w:val="22"/>
                <w:szCs w:val="22"/>
              </w:rPr>
              <w:t>1</w:t>
            </w:r>
            <w:r w:rsidRPr="00716C0D">
              <w:rPr>
                <w:kern w:val="0"/>
                <w:sz w:val="22"/>
                <w:szCs w:val="22"/>
              </w:rPr>
              <w:t>.2</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1.9</w:t>
            </w:r>
            <w:r w:rsidRPr="00716C0D">
              <w:rPr>
                <w:kern w:val="0"/>
                <w:sz w:val="22"/>
                <w:szCs w:val="22"/>
                <w:lang w:eastAsia="zh-HK"/>
              </w:rPr>
              <w:t>)</w:t>
            </w:r>
          </w:p>
        </w:tc>
        <w:tc>
          <w:tcPr>
            <w:tcW w:w="737" w:type="dxa"/>
          </w:tcPr>
          <w:p w:rsidR="00E36221" w:rsidRPr="00716C0D" w:rsidRDefault="00FD29A7" w:rsidP="00E36221">
            <w:pPr>
              <w:widowControl/>
              <w:tabs>
                <w:tab w:val="decimal" w:pos="408"/>
              </w:tabs>
              <w:jc w:val="both"/>
              <w:rPr>
                <w:kern w:val="0"/>
                <w:sz w:val="22"/>
                <w:szCs w:val="22"/>
                <w:lang w:eastAsia="zh-HK"/>
              </w:rPr>
            </w:pPr>
            <w:r>
              <w:rPr>
                <w:kern w:val="0"/>
                <w:sz w:val="22"/>
                <w:szCs w:val="22"/>
              </w:rPr>
              <w:t>9</w:t>
            </w:r>
            <w:r w:rsidR="00E36221">
              <w:rPr>
                <w:kern w:val="0"/>
                <w:sz w:val="22"/>
                <w:szCs w:val="22"/>
              </w:rPr>
              <w:t>.4</w:t>
            </w:r>
          </w:p>
          <w:p w:rsidR="00E36221" w:rsidRPr="00716C0D" w:rsidRDefault="00E36221">
            <w:pPr>
              <w:widowControl/>
              <w:tabs>
                <w:tab w:val="decimal" w:pos="408"/>
              </w:tabs>
              <w:jc w:val="both"/>
              <w:rPr>
                <w:kern w:val="0"/>
                <w:sz w:val="22"/>
                <w:szCs w:val="22"/>
              </w:rPr>
            </w:pPr>
            <w:r w:rsidRPr="00716C0D">
              <w:rPr>
                <w:kern w:val="0"/>
                <w:sz w:val="22"/>
                <w:szCs w:val="22"/>
                <w:lang w:eastAsia="zh-HK"/>
              </w:rPr>
              <w:t>(</w:t>
            </w:r>
            <w:r>
              <w:rPr>
                <w:kern w:val="0"/>
                <w:sz w:val="22"/>
                <w:szCs w:val="22"/>
                <w:lang w:eastAsia="zh-HK"/>
              </w:rPr>
              <w:t>-</w:t>
            </w:r>
            <w:r w:rsidR="00D352F5">
              <w:rPr>
                <w:kern w:val="0"/>
                <w:sz w:val="22"/>
                <w:szCs w:val="22"/>
                <w:lang w:eastAsia="zh-HK"/>
              </w:rPr>
              <w:t>0.2</w:t>
            </w:r>
            <w:r w:rsidRPr="00716C0D">
              <w:rPr>
                <w:kern w:val="0"/>
                <w:sz w:val="22"/>
                <w:szCs w:val="22"/>
                <w:lang w:eastAsia="zh-HK"/>
              </w:rPr>
              <w:t>)</w:t>
            </w:r>
          </w:p>
        </w:tc>
        <w:tc>
          <w:tcPr>
            <w:tcW w:w="737" w:type="dxa"/>
          </w:tcPr>
          <w:p w:rsidR="00E36221" w:rsidRPr="005A20FE" w:rsidRDefault="00FD29A7" w:rsidP="00E36221">
            <w:pPr>
              <w:widowControl/>
              <w:tabs>
                <w:tab w:val="decimal" w:pos="408"/>
              </w:tabs>
              <w:jc w:val="both"/>
              <w:rPr>
                <w:kern w:val="0"/>
                <w:sz w:val="22"/>
                <w:szCs w:val="22"/>
                <w:lang w:eastAsia="zh-HK"/>
              </w:rPr>
            </w:pPr>
            <w:r w:rsidRPr="005A20FE">
              <w:rPr>
                <w:kern w:val="0"/>
                <w:sz w:val="22"/>
                <w:szCs w:val="22"/>
              </w:rPr>
              <w:t>1.</w:t>
            </w:r>
            <w:r w:rsidR="005A20FE" w:rsidRPr="005A20FE">
              <w:rPr>
                <w:kern w:val="0"/>
                <w:sz w:val="22"/>
                <w:szCs w:val="22"/>
              </w:rPr>
              <w:t>4</w:t>
            </w:r>
          </w:p>
          <w:p w:rsidR="00E36221" w:rsidRPr="005A20FE" w:rsidRDefault="00E36221" w:rsidP="005A20FE">
            <w:pPr>
              <w:widowControl/>
              <w:tabs>
                <w:tab w:val="decimal" w:pos="408"/>
              </w:tabs>
              <w:jc w:val="both"/>
              <w:rPr>
                <w:kern w:val="0"/>
                <w:sz w:val="22"/>
                <w:szCs w:val="22"/>
              </w:rPr>
            </w:pPr>
            <w:r w:rsidRPr="005A20FE">
              <w:rPr>
                <w:kern w:val="0"/>
                <w:sz w:val="22"/>
                <w:szCs w:val="22"/>
                <w:lang w:eastAsia="zh-HK"/>
              </w:rPr>
              <w:t>(-</w:t>
            </w:r>
            <w:r w:rsidR="00D352F5" w:rsidRPr="005A20FE">
              <w:rPr>
                <w:kern w:val="0"/>
                <w:sz w:val="22"/>
                <w:szCs w:val="22"/>
                <w:lang w:eastAsia="zh-HK"/>
              </w:rPr>
              <w:t>2.</w:t>
            </w:r>
            <w:r w:rsidR="005A20FE" w:rsidRPr="005A20FE">
              <w:rPr>
                <w:kern w:val="0"/>
                <w:sz w:val="22"/>
                <w:szCs w:val="22"/>
                <w:lang w:eastAsia="zh-HK"/>
              </w:rPr>
              <w:t>2</w:t>
            </w:r>
            <w:r w:rsidRPr="005A20FE">
              <w:rPr>
                <w:kern w:val="0"/>
                <w:sz w:val="22"/>
                <w:szCs w:val="22"/>
                <w:lang w:eastAsia="zh-HK"/>
              </w:rPr>
              <w:t>)</w:t>
            </w:r>
          </w:p>
        </w:tc>
      </w:tr>
      <w:tr w:rsidR="00E36221" w:rsidRPr="00BF6DEC" w:rsidTr="00E36221">
        <w:trPr>
          <w:jc w:val="center"/>
        </w:trPr>
        <w:tc>
          <w:tcPr>
            <w:tcW w:w="3402" w:type="dxa"/>
          </w:tcPr>
          <w:p w:rsidR="00E36221" w:rsidRPr="005256F7" w:rsidRDefault="00E36221" w:rsidP="00E36221">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rsidR="00E36221" w:rsidRPr="00F53090" w:rsidRDefault="00E36221" w:rsidP="00E36221">
            <w:pPr>
              <w:tabs>
                <w:tab w:val="decimal" w:pos="408"/>
              </w:tabs>
              <w:jc w:val="both"/>
              <w:rPr>
                <w:sz w:val="22"/>
                <w:szCs w:val="22"/>
                <w:lang w:eastAsia="zh-HK"/>
              </w:rPr>
            </w:pPr>
            <w:r>
              <w:rPr>
                <w:rFonts w:hint="eastAsia"/>
                <w:sz w:val="22"/>
                <w:szCs w:val="22"/>
              </w:rPr>
              <w:t>-1.</w:t>
            </w:r>
            <w:r>
              <w:rPr>
                <w:sz w:val="22"/>
                <w:szCs w:val="22"/>
              </w:rPr>
              <w:t>2</w:t>
            </w:r>
          </w:p>
        </w:tc>
        <w:tc>
          <w:tcPr>
            <w:tcW w:w="737" w:type="dxa"/>
          </w:tcPr>
          <w:p w:rsidR="00E36221" w:rsidRPr="00716C0D" w:rsidRDefault="00E36221" w:rsidP="00E36221">
            <w:pPr>
              <w:widowControl/>
              <w:tabs>
                <w:tab w:val="decimal" w:pos="408"/>
              </w:tabs>
              <w:jc w:val="both"/>
              <w:rPr>
                <w:kern w:val="0"/>
                <w:sz w:val="22"/>
                <w:szCs w:val="22"/>
                <w:lang w:eastAsia="zh-HK"/>
              </w:rPr>
            </w:pPr>
            <w:r>
              <w:rPr>
                <w:kern w:val="0"/>
                <w:sz w:val="22"/>
                <w:szCs w:val="22"/>
                <w:lang w:eastAsia="zh-HK"/>
              </w:rPr>
              <w:t>25.9</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w:t>
            </w:r>
            <w:r>
              <w:rPr>
                <w:sz w:val="22"/>
                <w:szCs w:val="22"/>
              </w:rPr>
              <w:t>1.1</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sidRPr="00716C0D">
              <w:rPr>
                <w:sz w:val="22"/>
                <w:szCs w:val="22"/>
              </w:rPr>
              <w:t>12.</w:t>
            </w:r>
            <w:r>
              <w:rPr>
                <w:sz w:val="22"/>
                <w:szCs w:val="22"/>
              </w:rPr>
              <w:t>3</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w:t>
            </w:r>
            <w:r>
              <w:rPr>
                <w:sz w:val="22"/>
                <w:szCs w:val="22"/>
              </w:rPr>
              <w:t>7.0</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Pr>
                <w:sz w:val="22"/>
                <w:szCs w:val="22"/>
              </w:rPr>
              <w:t>5.9</w:t>
            </w:r>
            <w:r w:rsidRPr="00716C0D">
              <w:rPr>
                <w:sz w:val="22"/>
                <w:szCs w:val="22"/>
                <w:lang w:eastAsia="zh-HK"/>
              </w:rPr>
              <w:t>)</w:t>
            </w:r>
          </w:p>
        </w:tc>
        <w:tc>
          <w:tcPr>
            <w:tcW w:w="737" w:type="dxa"/>
          </w:tcPr>
          <w:p w:rsidR="00E36221" w:rsidRPr="00716C0D" w:rsidRDefault="00E36221" w:rsidP="00E36221">
            <w:pPr>
              <w:tabs>
                <w:tab w:val="decimal" w:pos="408"/>
              </w:tabs>
              <w:jc w:val="both"/>
              <w:rPr>
                <w:sz w:val="22"/>
                <w:szCs w:val="22"/>
                <w:lang w:eastAsia="zh-HK"/>
              </w:rPr>
            </w:pPr>
            <w:r w:rsidRPr="00716C0D">
              <w:rPr>
                <w:sz w:val="22"/>
                <w:szCs w:val="22"/>
              </w:rPr>
              <w:t>28.</w:t>
            </w:r>
            <w:r>
              <w:rPr>
                <w:sz w:val="22"/>
                <w:szCs w:val="22"/>
              </w:rPr>
              <w:t>7</w:t>
            </w:r>
          </w:p>
          <w:p w:rsidR="00E36221" w:rsidRPr="00716C0D" w:rsidRDefault="00E36221" w:rsidP="00E36221">
            <w:pPr>
              <w:tabs>
                <w:tab w:val="decimal" w:pos="408"/>
              </w:tabs>
              <w:jc w:val="both"/>
              <w:rPr>
                <w:sz w:val="22"/>
                <w:szCs w:val="22"/>
                <w:lang w:eastAsia="zh-HK"/>
              </w:rPr>
            </w:pPr>
            <w:r w:rsidRPr="00716C0D">
              <w:rPr>
                <w:sz w:val="22"/>
                <w:szCs w:val="22"/>
                <w:lang w:eastAsia="zh-HK"/>
              </w:rPr>
              <w:t>(</w:t>
            </w:r>
            <w:r>
              <w:rPr>
                <w:sz w:val="22"/>
                <w:szCs w:val="22"/>
              </w:rPr>
              <w:t>2.9</w:t>
            </w:r>
            <w:r w:rsidRPr="00716C0D">
              <w:rPr>
                <w:sz w:val="22"/>
                <w:szCs w:val="22"/>
                <w:lang w:eastAsia="zh-HK"/>
              </w:rPr>
              <w:t>)</w:t>
            </w:r>
          </w:p>
        </w:tc>
        <w:tc>
          <w:tcPr>
            <w:tcW w:w="737" w:type="dxa"/>
          </w:tcPr>
          <w:p w:rsidR="00E36221" w:rsidRPr="00716C0D" w:rsidRDefault="00E36221" w:rsidP="00E36221">
            <w:pPr>
              <w:widowControl/>
              <w:tabs>
                <w:tab w:val="decimal" w:pos="408"/>
              </w:tabs>
              <w:jc w:val="both"/>
              <w:rPr>
                <w:kern w:val="0"/>
                <w:sz w:val="22"/>
                <w:szCs w:val="22"/>
                <w:lang w:eastAsia="zh-HK"/>
              </w:rPr>
            </w:pPr>
            <w:r w:rsidRPr="00716C0D">
              <w:rPr>
                <w:kern w:val="0"/>
                <w:sz w:val="22"/>
                <w:szCs w:val="22"/>
              </w:rPr>
              <w:t>2</w:t>
            </w:r>
            <w:r>
              <w:rPr>
                <w:kern w:val="0"/>
                <w:sz w:val="22"/>
                <w:szCs w:val="22"/>
              </w:rPr>
              <w:t>6.7</w:t>
            </w:r>
          </w:p>
          <w:p w:rsidR="00E36221" w:rsidRPr="00716C0D" w:rsidRDefault="00E36221" w:rsidP="00E36221">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3</w:t>
            </w:r>
            <w:r w:rsidRPr="00716C0D">
              <w:rPr>
                <w:kern w:val="0"/>
                <w:sz w:val="22"/>
                <w:szCs w:val="22"/>
                <w:lang w:eastAsia="zh-HK"/>
              </w:rPr>
              <w:t>.8)</w:t>
            </w:r>
          </w:p>
        </w:tc>
        <w:tc>
          <w:tcPr>
            <w:tcW w:w="737" w:type="dxa"/>
          </w:tcPr>
          <w:p w:rsidR="00E36221" w:rsidRPr="00716C0D" w:rsidRDefault="00FD29A7" w:rsidP="00E36221">
            <w:pPr>
              <w:widowControl/>
              <w:tabs>
                <w:tab w:val="decimal" w:pos="408"/>
              </w:tabs>
              <w:jc w:val="both"/>
              <w:rPr>
                <w:kern w:val="0"/>
                <w:sz w:val="22"/>
                <w:szCs w:val="22"/>
                <w:lang w:eastAsia="zh-HK"/>
              </w:rPr>
            </w:pPr>
            <w:r>
              <w:rPr>
                <w:kern w:val="0"/>
                <w:sz w:val="22"/>
                <w:szCs w:val="22"/>
              </w:rPr>
              <w:t>18.0</w:t>
            </w:r>
          </w:p>
          <w:p w:rsidR="00E36221" w:rsidRPr="00716C0D" w:rsidRDefault="00E36221">
            <w:pPr>
              <w:widowControl/>
              <w:tabs>
                <w:tab w:val="decimal" w:pos="408"/>
              </w:tabs>
              <w:jc w:val="both"/>
              <w:rPr>
                <w:kern w:val="0"/>
                <w:sz w:val="22"/>
                <w:szCs w:val="22"/>
              </w:rPr>
            </w:pPr>
            <w:r w:rsidRPr="00716C0D">
              <w:rPr>
                <w:kern w:val="0"/>
                <w:sz w:val="22"/>
                <w:szCs w:val="22"/>
                <w:lang w:eastAsia="zh-HK"/>
              </w:rPr>
              <w:t>(</w:t>
            </w:r>
            <w:r w:rsidR="00D352F5">
              <w:rPr>
                <w:kern w:val="0"/>
                <w:sz w:val="22"/>
                <w:szCs w:val="22"/>
                <w:lang w:eastAsia="zh-HK"/>
              </w:rPr>
              <w:t>4.3</w:t>
            </w:r>
            <w:r w:rsidRPr="00716C0D">
              <w:rPr>
                <w:kern w:val="0"/>
                <w:sz w:val="22"/>
                <w:szCs w:val="22"/>
                <w:lang w:eastAsia="zh-HK"/>
              </w:rPr>
              <w:t>)</w:t>
            </w:r>
          </w:p>
        </w:tc>
        <w:tc>
          <w:tcPr>
            <w:tcW w:w="737" w:type="dxa"/>
          </w:tcPr>
          <w:p w:rsidR="00E36221" w:rsidRPr="005A20FE" w:rsidRDefault="00E36221" w:rsidP="00E36221">
            <w:pPr>
              <w:widowControl/>
              <w:tabs>
                <w:tab w:val="decimal" w:pos="408"/>
              </w:tabs>
              <w:jc w:val="both"/>
              <w:rPr>
                <w:kern w:val="0"/>
                <w:sz w:val="22"/>
                <w:szCs w:val="22"/>
                <w:lang w:eastAsia="zh-HK"/>
              </w:rPr>
            </w:pPr>
            <w:r w:rsidRPr="005A20FE">
              <w:rPr>
                <w:kern w:val="0"/>
                <w:sz w:val="22"/>
                <w:szCs w:val="22"/>
              </w:rPr>
              <w:t>1</w:t>
            </w:r>
            <w:r w:rsidR="00FD29A7" w:rsidRPr="005A20FE">
              <w:rPr>
                <w:kern w:val="0"/>
                <w:sz w:val="22"/>
                <w:szCs w:val="22"/>
              </w:rPr>
              <w:t>2.4</w:t>
            </w:r>
          </w:p>
          <w:p w:rsidR="00E36221" w:rsidRPr="005A20FE" w:rsidRDefault="00E36221">
            <w:pPr>
              <w:widowControl/>
              <w:tabs>
                <w:tab w:val="decimal" w:pos="408"/>
              </w:tabs>
              <w:jc w:val="both"/>
              <w:rPr>
                <w:kern w:val="0"/>
                <w:sz w:val="22"/>
                <w:szCs w:val="22"/>
              </w:rPr>
            </w:pPr>
            <w:r w:rsidRPr="005A20FE">
              <w:rPr>
                <w:kern w:val="0"/>
                <w:sz w:val="22"/>
                <w:szCs w:val="22"/>
                <w:lang w:eastAsia="zh-HK"/>
              </w:rPr>
              <w:t>(</w:t>
            </w:r>
            <w:r w:rsidR="00D352F5" w:rsidRPr="005A20FE">
              <w:rPr>
                <w:kern w:val="0"/>
                <w:sz w:val="22"/>
                <w:szCs w:val="22"/>
                <w:lang w:eastAsia="zh-HK"/>
              </w:rPr>
              <w:t>0.7</w:t>
            </w:r>
            <w:r w:rsidRPr="005A20FE">
              <w:rPr>
                <w:kern w:val="0"/>
                <w:sz w:val="22"/>
                <w:szCs w:val="22"/>
                <w:lang w:eastAsia="zh-HK"/>
              </w:rPr>
              <w:t>)</w:t>
            </w:r>
          </w:p>
        </w:tc>
      </w:tr>
      <w:tr w:rsidR="00E36221" w:rsidRPr="00BF6DEC" w:rsidTr="00E36221">
        <w:trPr>
          <w:jc w:val="center"/>
        </w:trPr>
        <w:tc>
          <w:tcPr>
            <w:tcW w:w="3402" w:type="dxa"/>
          </w:tcPr>
          <w:p w:rsidR="00E36221" w:rsidRPr="005256F7" w:rsidRDefault="00E36221" w:rsidP="00E36221">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rsidR="00E36221" w:rsidRPr="00360C49" w:rsidRDefault="00E36221" w:rsidP="00E36221">
            <w:pPr>
              <w:tabs>
                <w:tab w:val="decimal" w:pos="408"/>
              </w:tabs>
              <w:jc w:val="both"/>
              <w:rPr>
                <w:b/>
                <w:sz w:val="22"/>
                <w:szCs w:val="22"/>
                <w:lang w:eastAsia="zh-HK"/>
              </w:rPr>
            </w:pPr>
            <w:r>
              <w:rPr>
                <w:rFonts w:hint="eastAsia"/>
                <w:b/>
                <w:sz w:val="22"/>
                <w:szCs w:val="22"/>
              </w:rPr>
              <w:t>-3.</w:t>
            </w:r>
            <w:r>
              <w:rPr>
                <w:b/>
                <w:sz w:val="22"/>
                <w:szCs w:val="22"/>
              </w:rPr>
              <w:t>7</w:t>
            </w:r>
          </w:p>
        </w:tc>
        <w:tc>
          <w:tcPr>
            <w:tcW w:w="737" w:type="dxa"/>
          </w:tcPr>
          <w:p w:rsidR="00E36221" w:rsidRPr="00716C0D" w:rsidRDefault="00E36221" w:rsidP="00E36221">
            <w:pPr>
              <w:widowControl/>
              <w:tabs>
                <w:tab w:val="decimal" w:pos="408"/>
              </w:tabs>
              <w:jc w:val="both"/>
              <w:rPr>
                <w:b/>
                <w:kern w:val="0"/>
                <w:sz w:val="22"/>
                <w:szCs w:val="22"/>
                <w:lang w:eastAsia="zh-HK"/>
              </w:rPr>
            </w:pPr>
            <w:r>
              <w:rPr>
                <w:b/>
                <w:kern w:val="0"/>
                <w:sz w:val="22"/>
                <w:szCs w:val="22"/>
                <w:lang w:eastAsia="zh-HK"/>
              </w:rPr>
              <w:t>3.3</w:t>
            </w:r>
          </w:p>
        </w:tc>
        <w:tc>
          <w:tcPr>
            <w:tcW w:w="737" w:type="dxa"/>
          </w:tcPr>
          <w:p w:rsidR="00E36221" w:rsidRPr="00716C0D" w:rsidRDefault="00E36221" w:rsidP="00E36221">
            <w:pPr>
              <w:tabs>
                <w:tab w:val="decimal" w:pos="408"/>
              </w:tabs>
              <w:jc w:val="both"/>
              <w:rPr>
                <w:b/>
                <w:sz w:val="22"/>
                <w:szCs w:val="22"/>
              </w:rPr>
            </w:pPr>
            <w:r w:rsidRPr="00716C0D">
              <w:rPr>
                <w:rFonts w:hint="eastAsia"/>
                <w:b/>
                <w:sz w:val="22"/>
                <w:szCs w:val="22"/>
              </w:rPr>
              <w:t>2.</w:t>
            </w:r>
            <w:r>
              <w:rPr>
                <w:b/>
                <w:sz w:val="22"/>
                <w:szCs w:val="22"/>
              </w:rPr>
              <w:t>8</w:t>
            </w:r>
          </w:p>
          <w:p w:rsidR="00E36221" w:rsidRPr="00716C0D" w:rsidRDefault="00E36221" w:rsidP="00E36221">
            <w:pPr>
              <w:tabs>
                <w:tab w:val="decimal" w:pos="408"/>
              </w:tabs>
              <w:jc w:val="both"/>
              <w:rPr>
                <w:b/>
                <w:sz w:val="22"/>
                <w:szCs w:val="22"/>
              </w:rPr>
            </w:pPr>
            <w:r w:rsidRPr="00716C0D">
              <w:rPr>
                <w:b/>
                <w:sz w:val="22"/>
                <w:szCs w:val="22"/>
              </w:rPr>
              <w:t>(4.</w:t>
            </w:r>
            <w:r>
              <w:rPr>
                <w:b/>
                <w:sz w:val="22"/>
                <w:szCs w:val="22"/>
              </w:rPr>
              <w:t>1</w:t>
            </w:r>
            <w:r w:rsidRPr="00716C0D">
              <w:rPr>
                <w:b/>
                <w:sz w:val="22"/>
                <w:szCs w:val="22"/>
              </w:rPr>
              <w:t>)</w:t>
            </w:r>
          </w:p>
        </w:tc>
        <w:tc>
          <w:tcPr>
            <w:tcW w:w="737" w:type="dxa"/>
          </w:tcPr>
          <w:p w:rsidR="00E36221" w:rsidRPr="00716C0D" w:rsidRDefault="00E36221" w:rsidP="00E36221">
            <w:pPr>
              <w:tabs>
                <w:tab w:val="decimal" w:pos="408"/>
              </w:tabs>
              <w:jc w:val="both"/>
              <w:rPr>
                <w:b/>
                <w:sz w:val="22"/>
                <w:szCs w:val="22"/>
              </w:rPr>
            </w:pPr>
            <w:r w:rsidRPr="00716C0D">
              <w:rPr>
                <w:b/>
                <w:sz w:val="22"/>
                <w:szCs w:val="22"/>
              </w:rPr>
              <w:t>1.</w:t>
            </w:r>
            <w:r>
              <w:rPr>
                <w:b/>
                <w:sz w:val="22"/>
                <w:szCs w:val="22"/>
              </w:rPr>
              <w:t>6</w:t>
            </w:r>
          </w:p>
          <w:p w:rsidR="00E36221" w:rsidRPr="00716C0D" w:rsidRDefault="00E36221" w:rsidP="00E36221">
            <w:pPr>
              <w:tabs>
                <w:tab w:val="decimal" w:pos="408"/>
              </w:tabs>
              <w:jc w:val="both"/>
              <w:rPr>
                <w:b/>
                <w:sz w:val="22"/>
                <w:szCs w:val="22"/>
              </w:rPr>
            </w:pPr>
            <w:r>
              <w:rPr>
                <w:b/>
                <w:sz w:val="22"/>
                <w:szCs w:val="22"/>
              </w:rPr>
              <w:t xml:space="preserve">   </w:t>
            </w:r>
            <w:r w:rsidRPr="00716C0D">
              <w:rPr>
                <w:b/>
                <w:sz w:val="22"/>
                <w:szCs w:val="22"/>
              </w:rPr>
              <w:t>(</w:t>
            </w:r>
            <w:r>
              <w:rPr>
                <w:b/>
                <w:sz w:val="22"/>
                <w:szCs w:val="22"/>
              </w:rPr>
              <w:t>*</w:t>
            </w:r>
            <w:r w:rsidRPr="00716C0D">
              <w:rPr>
                <w:b/>
                <w:sz w:val="22"/>
                <w:szCs w:val="22"/>
              </w:rPr>
              <w:t>)</w:t>
            </w:r>
          </w:p>
        </w:tc>
        <w:tc>
          <w:tcPr>
            <w:tcW w:w="737" w:type="dxa"/>
          </w:tcPr>
          <w:p w:rsidR="00E36221" w:rsidRPr="00716C0D" w:rsidRDefault="00E36221" w:rsidP="00E36221">
            <w:pPr>
              <w:tabs>
                <w:tab w:val="decimal" w:pos="408"/>
              </w:tabs>
              <w:jc w:val="both"/>
              <w:rPr>
                <w:b/>
                <w:sz w:val="22"/>
                <w:szCs w:val="22"/>
              </w:rPr>
            </w:pPr>
            <w:r w:rsidRPr="00716C0D">
              <w:rPr>
                <w:b/>
                <w:sz w:val="22"/>
                <w:szCs w:val="22"/>
              </w:rPr>
              <w:t>4.</w:t>
            </w:r>
            <w:r>
              <w:rPr>
                <w:b/>
                <w:sz w:val="22"/>
                <w:szCs w:val="22"/>
              </w:rPr>
              <w:t>2</w:t>
            </w:r>
          </w:p>
          <w:p w:rsidR="00E36221" w:rsidRPr="00716C0D" w:rsidRDefault="00E36221" w:rsidP="00E36221">
            <w:pPr>
              <w:tabs>
                <w:tab w:val="decimal" w:pos="408"/>
              </w:tabs>
              <w:jc w:val="both"/>
              <w:rPr>
                <w:b/>
                <w:sz w:val="22"/>
                <w:szCs w:val="22"/>
              </w:rPr>
            </w:pPr>
            <w:r w:rsidRPr="00716C0D">
              <w:rPr>
                <w:b/>
                <w:sz w:val="22"/>
                <w:szCs w:val="22"/>
              </w:rPr>
              <w:t>(0.2)</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4.3</w:t>
            </w:r>
          </w:p>
          <w:p w:rsidR="00E36221" w:rsidRPr="00716C0D" w:rsidRDefault="00E36221" w:rsidP="00E36221">
            <w:pPr>
              <w:widowControl/>
              <w:tabs>
                <w:tab w:val="decimal" w:pos="408"/>
              </w:tabs>
              <w:jc w:val="both"/>
              <w:rPr>
                <w:b/>
                <w:kern w:val="0"/>
                <w:sz w:val="22"/>
                <w:szCs w:val="22"/>
              </w:rPr>
            </w:pPr>
            <w:r w:rsidRPr="00716C0D">
              <w:rPr>
                <w:b/>
                <w:kern w:val="0"/>
                <w:sz w:val="22"/>
                <w:szCs w:val="22"/>
              </w:rPr>
              <w:t>(0.</w:t>
            </w:r>
            <w:r>
              <w:rPr>
                <w:b/>
                <w:kern w:val="0"/>
                <w:sz w:val="22"/>
                <w:szCs w:val="22"/>
              </w:rPr>
              <w:t>2</w:t>
            </w:r>
            <w:r w:rsidRPr="00716C0D">
              <w:rPr>
                <w:b/>
                <w:kern w:val="0"/>
                <w:sz w:val="22"/>
                <w:szCs w:val="22"/>
              </w:rPr>
              <w:t>)</w:t>
            </w:r>
          </w:p>
        </w:tc>
        <w:tc>
          <w:tcPr>
            <w:tcW w:w="737" w:type="dxa"/>
          </w:tcPr>
          <w:p w:rsidR="00E36221" w:rsidRPr="00716C0D" w:rsidRDefault="00E36221" w:rsidP="00E36221">
            <w:pPr>
              <w:widowControl/>
              <w:tabs>
                <w:tab w:val="decimal" w:pos="408"/>
              </w:tabs>
              <w:jc w:val="both"/>
              <w:rPr>
                <w:b/>
                <w:kern w:val="0"/>
                <w:sz w:val="22"/>
                <w:szCs w:val="22"/>
              </w:rPr>
            </w:pPr>
            <w:r>
              <w:rPr>
                <w:b/>
                <w:kern w:val="0"/>
                <w:sz w:val="22"/>
                <w:szCs w:val="22"/>
              </w:rPr>
              <w:t>2.</w:t>
            </w:r>
            <w:r w:rsidR="00FD29A7">
              <w:rPr>
                <w:b/>
                <w:kern w:val="0"/>
                <w:sz w:val="22"/>
                <w:szCs w:val="22"/>
              </w:rPr>
              <w:t>8</w:t>
            </w:r>
          </w:p>
          <w:p w:rsidR="00E36221" w:rsidRPr="00716C0D" w:rsidRDefault="00E36221">
            <w:pPr>
              <w:widowControl/>
              <w:tabs>
                <w:tab w:val="decimal" w:pos="408"/>
              </w:tabs>
              <w:jc w:val="both"/>
              <w:rPr>
                <w:b/>
                <w:kern w:val="0"/>
                <w:sz w:val="22"/>
                <w:szCs w:val="22"/>
              </w:rPr>
            </w:pPr>
            <w:r w:rsidRPr="00716C0D">
              <w:rPr>
                <w:b/>
                <w:kern w:val="0"/>
                <w:sz w:val="22"/>
                <w:szCs w:val="22"/>
              </w:rPr>
              <w:t>(</w:t>
            </w:r>
            <w:r>
              <w:rPr>
                <w:b/>
                <w:kern w:val="0"/>
                <w:sz w:val="22"/>
                <w:szCs w:val="22"/>
              </w:rPr>
              <w:t>2.</w:t>
            </w:r>
            <w:r w:rsidR="00D352F5">
              <w:rPr>
                <w:b/>
                <w:kern w:val="0"/>
                <w:sz w:val="22"/>
                <w:szCs w:val="22"/>
              </w:rPr>
              <w:t>5</w:t>
            </w:r>
            <w:r w:rsidRPr="00716C0D">
              <w:rPr>
                <w:b/>
                <w:kern w:val="0"/>
                <w:sz w:val="22"/>
                <w:szCs w:val="22"/>
              </w:rPr>
              <w:t>)</w:t>
            </w:r>
          </w:p>
        </w:tc>
        <w:tc>
          <w:tcPr>
            <w:tcW w:w="737" w:type="dxa"/>
          </w:tcPr>
          <w:p w:rsidR="00E36221" w:rsidRPr="005A20FE" w:rsidRDefault="00FD29A7" w:rsidP="00E36221">
            <w:pPr>
              <w:widowControl/>
              <w:tabs>
                <w:tab w:val="decimal" w:pos="408"/>
              </w:tabs>
              <w:jc w:val="both"/>
              <w:rPr>
                <w:b/>
                <w:kern w:val="0"/>
                <w:sz w:val="22"/>
                <w:szCs w:val="22"/>
              </w:rPr>
            </w:pPr>
            <w:r w:rsidRPr="005A20FE">
              <w:rPr>
                <w:b/>
                <w:kern w:val="0"/>
                <w:sz w:val="22"/>
                <w:szCs w:val="22"/>
              </w:rPr>
              <w:t>3.3</w:t>
            </w:r>
          </w:p>
          <w:p w:rsidR="00E36221" w:rsidRPr="005A20FE" w:rsidRDefault="00E36221">
            <w:pPr>
              <w:widowControl/>
              <w:tabs>
                <w:tab w:val="decimal" w:pos="408"/>
              </w:tabs>
              <w:jc w:val="both"/>
              <w:rPr>
                <w:b/>
                <w:kern w:val="0"/>
                <w:sz w:val="22"/>
                <w:szCs w:val="22"/>
              </w:rPr>
            </w:pPr>
            <w:r w:rsidRPr="005A20FE">
              <w:rPr>
                <w:b/>
                <w:kern w:val="0"/>
                <w:sz w:val="22"/>
                <w:szCs w:val="22"/>
              </w:rPr>
              <w:t>(</w:t>
            </w:r>
            <w:r w:rsidR="00D352F5" w:rsidRPr="005A20FE">
              <w:rPr>
                <w:b/>
                <w:kern w:val="0"/>
                <w:sz w:val="22"/>
                <w:szCs w:val="22"/>
              </w:rPr>
              <w:t>0.4</w:t>
            </w:r>
            <w:r w:rsidRPr="005A20FE">
              <w:rPr>
                <w:b/>
                <w:kern w:val="0"/>
                <w:sz w:val="22"/>
                <w:szCs w:val="22"/>
              </w:rPr>
              <w:t>)</w:t>
            </w:r>
          </w:p>
        </w:tc>
      </w:tr>
      <w:tr w:rsidR="00E36221" w:rsidRPr="00BF6DEC" w:rsidTr="00E36221">
        <w:trPr>
          <w:jc w:val="center"/>
        </w:trPr>
        <w:tc>
          <w:tcPr>
            <w:tcW w:w="3402" w:type="dxa"/>
            <w:vAlign w:val="bottom"/>
          </w:tcPr>
          <w:p w:rsidR="00E36221" w:rsidRPr="005256F7" w:rsidRDefault="00E36221" w:rsidP="00E36221">
            <w:pPr>
              <w:tabs>
                <w:tab w:val="left" w:pos="1080"/>
              </w:tabs>
              <w:spacing w:line="230" w:lineRule="exact"/>
              <w:ind w:right="-108"/>
              <w:jc w:val="both"/>
              <w:rPr>
                <w:i/>
                <w:sz w:val="22"/>
                <w:szCs w:val="22"/>
              </w:rPr>
            </w:pPr>
            <w:r w:rsidRPr="005256F7">
              <w:rPr>
                <w:i/>
                <w:sz w:val="22"/>
                <w:szCs w:val="22"/>
              </w:rPr>
              <w:t xml:space="preserve">Change in the main </w:t>
            </w:r>
          </w:p>
          <w:p w:rsidR="00E36221" w:rsidRPr="005256F7" w:rsidRDefault="00E36221" w:rsidP="00E36221">
            <w:pPr>
              <w:tabs>
                <w:tab w:val="left" w:pos="1080"/>
              </w:tabs>
              <w:spacing w:line="230" w:lineRule="exact"/>
              <w:ind w:right="-108"/>
              <w:jc w:val="both"/>
              <w:rPr>
                <w:i/>
                <w:sz w:val="22"/>
                <w:szCs w:val="22"/>
                <w:u w:val="single"/>
              </w:rPr>
            </w:pPr>
            <w:proofErr w:type="gramStart"/>
            <w:r w:rsidRPr="005256F7">
              <w:rPr>
                <w:i/>
                <w:sz w:val="22"/>
                <w:szCs w:val="22"/>
                <w:u w:val="single"/>
              </w:rPr>
              <w:t>price</w:t>
            </w:r>
            <w:proofErr w:type="gramEnd"/>
            <w:r w:rsidRPr="005256F7">
              <w:rPr>
                <w:i/>
                <w:sz w:val="22"/>
                <w:szCs w:val="22"/>
                <w:u w:val="single"/>
              </w:rPr>
              <w:t xml:space="preserve"> indicators (%)</w:t>
            </w:r>
          </w:p>
          <w:p w:rsidR="00E36221" w:rsidRPr="005256F7" w:rsidRDefault="00E36221" w:rsidP="00E36221">
            <w:pPr>
              <w:tabs>
                <w:tab w:val="left" w:pos="1080"/>
              </w:tabs>
              <w:spacing w:line="180" w:lineRule="exact"/>
              <w:ind w:right="-113"/>
              <w:jc w:val="both"/>
              <w:rPr>
                <w:i/>
                <w:sz w:val="22"/>
                <w:szCs w:val="22"/>
              </w:rPr>
            </w:pPr>
            <w:r w:rsidRPr="005256F7">
              <w:rPr>
                <w:i/>
                <w:sz w:val="22"/>
                <w:szCs w:val="22"/>
              </w:rPr>
              <w:t xml:space="preserve"> </w:t>
            </w:r>
          </w:p>
        </w:tc>
        <w:tc>
          <w:tcPr>
            <w:tcW w:w="737" w:type="dxa"/>
          </w:tcPr>
          <w:p w:rsidR="00E36221" w:rsidRPr="00F3534C" w:rsidRDefault="00E36221" w:rsidP="00E36221">
            <w:pPr>
              <w:pStyle w:val="a7"/>
              <w:tabs>
                <w:tab w:val="decimal" w:pos="408"/>
              </w:tabs>
              <w:spacing w:line="230" w:lineRule="exact"/>
              <w:jc w:val="both"/>
              <w:rPr>
                <w:rFonts w:ascii="Times New Roman"/>
                <w:b/>
                <w:sz w:val="22"/>
                <w:szCs w:val="22"/>
                <w:lang w:val="en-GB"/>
              </w:rPr>
            </w:pPr>
          </w:p>
        </w:tc>
        <w:tc>
          <w:tcPr>
            <w:tcW w:w="737" w:type="dxa"/>
          </w:tcPr>
          <w:p w:rsidR="00E36221" w:rsidRPr="00716C0D" w:rsidRDefault="00E36221" w:rsidP="00E36221">
            <w:pPr>
              <w:pStyle w:val="a7"/>
              <w:tabs>
                <w:tab w:val="decimal" w:pos="408"/>
              </w:tabs>
              <w:spacing w:line="230" w:lineRule="exact"/>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5A20FE" w:rsidRDefault="00E36221" w:rsidP="00E36221">
            <w:pPr>
              <w:pStyle w:val="a7"/>
              <w:tabs>
                <w:tab w:val="decimal" w:pos="326"/>
              </w:tabs>
              <w:jc w:val="both"/>
              <w:rPr>
                <w:rFonts w:ascii="Times New Roman"/>
                <w:b/>
                <w:sz w:val="22"/>
                <w:szCs w:val="22"/>
                <w:lang w:val="en-GB"/>
              </w:rPr>
            </w:pPr>
          </w:p>
        </w:tc>
      </w:tr>
      <w:tr w:rsidR="00E36221" w:rsidRPr="00BF6DEC" w:rsidTr="00E36221">
        <w:trPr>
          <w:jc w:val="center"/>
        </w:trPr>
        <w:tc>
          <w:tcPr>
            <w:tcW w:w="3402" w:type="dxa"/>
          </w:tcPr>
          <w:p w:rsidR="00E36221" w:rsidRPr="005256F7" w:rsidRDefault="00E36221" w:rsidP="00E36221">
            <w:pPr>
              <w:tabs>
                <w:tab w:val="left" w:pos="1080"/>
              </w:tabs>
              <w:spacing w:line="230" w:lineRule="exact"/>
              <w:ind w:right="-108"/>
              <w:rPr>
                <w:b/>
                <w:sz w:val="22"/>
                <w:szCs w:val="22"/>
              </w:rPr>
            </w:pPr>
            <w:r w:rsidRPr="005256F7">
              <w:rPr>
                <w:b/>
                <w:sz w:val="22"/>
                <w:szCs w:val="22"/>
              </w:rPr>
              <w:t>GDP deflator</w:t>
            </w:r>
          </w:p>
        </w:tc>
        <w:tc>
          <w:tcPr>
            <w:tcW w:w="737" w:type="dxa"/>
          </w:tcPr>
          <w:p w:rsidR="00E36221" w:rsidRPr="00F3534C" w:rsidRDefault="00E36221" w:rsidP="00E36221">
            <w:pPr>
              <w:widowControl/>
              <w:tabs>
                <w:tab w:val="decimal" w:pos="408"/>
              </w:tabs>
              <w:jc w:val="both"/>
              <w:rPr>
                <w:b/>
                <w:kern w:val="0"/>
                <w:sz w:val="22"/>
                <w:szCs w:val="22"/>
              </w:rPr>
            </w:pPr>
            <w:r>
              <w:rPr>
                <w:b/>
                <w:kern w:val="0"/>
                <w:sz w:val="22"/>
                <w:szCs w:val="22"/>
              </w:rPr>
              <w:t>1.7</w:t>
            </w:r>
          </w:p>
        </w:tc>
        <w:tc>
          <w:tcPr>
            <w:tcW w:w="737" w:type="dxa"/>
          </w:tcPr>
          <w:p w:rsidR="00E36221" w:rsidRPr="00716C0D" w:rsidRDefault="00E36221" w:rsidP="00E36221">
            <w:pPr>
              <w:widowControl/>
              <w:tabs>
                <w:tab w:val="decimal" w:pos="408"/>
              </w:tabs>
              <w:jc w:val="both"/>
              <w:rPr>
                <w:b/>
                <w:kern w:val="0"/>
                <w:sz w:val="22"/>
                <w:szCs w:val="22"/>
              </w:rPr>
            </w:pPr>
            <w:r>
              <w:rPr>
                <w:b/>
                <w:kern w:val="0"/>
                <w:sz w:val="22"/>
                <w:szCs w:val="22"/>
              </w:rPr>
              <w:t>2.8</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2.</w:t>
            </w:r>
            <w:r>
              <w:rPr>
                <w:b/>
                <w:kern w:val="0"/>
                <w:sz w:val="22"/>
                <w:szCs w:val="22"/>
              </w:rPr>
              <w:t>1</w:t>
            </w:r>
          </w:p>
          <w:p w:rsidR="00E36221" w:rsidRPr="00716C0D" w:rsidRDefault="00E36221" w:rsidP="00E36221">
            <w:pPr>
              <w:widowControl/>
              <w:tabs>
                <w:tab w:val="decimal" w:pos="408"/>
              </w:tabs>
              <w:jc w:val="both"/>
              <w:rPr>
                <w:b/>
                <w:kern w:val="0"/>
                <w:sz w:val="22"/>
                <w:szCs w:val="22"/>
              </w:rPr>
            </w:pPr>
            <w:r w:rsidRPr="00716C0D">
              <w:rPr>
                <w:b/>
                <w:kern w:val="0"/>
                <w:sz w:val="22"/>
                <w:szCs w:val="22"/>
              </w:rPr>
              <w:t>(</w:t>
            </w:r>
            <w:r>
              <w:rPr>
                <w:b/>
                <w:kern w:val="0"/>
                <w:sz w:val="22"/>
                <w:szCs w:val="22"/>
              </w:rPr>
              <w:t>0.8</w:t>
            </w:r>
            <w:r w:rsidRPr="00716C0D">
              <w:rPr>
                <w:b/>
                <w:kern w:val="0"/>
                <w:sz w:val="22"/>
                <w:szCs w:val="22"/>
              </w:rPr>
              <w:t>)</w:t>
            </w:r>
          </w:p>
        </w:tc>
        <w:tc>
          <w:tcPr>
            <w:tcW w:w="737" w:type="dxa"/>
          </w:tcPr>
          <w:p w:rsidR="00E36221" w:rsidRPr="00716C0D" w:rsidRDefault="00E36221" w:rsidP="00E36221">
            <w:pPr>
              <w:widowControl/>
              <w:tabs>
                <w:tab w:val="decimal" w:pos="408"/>
              </w:tabs>
              <w:jc w:val="both"/>
              <w:rPr>
                <w:b/>
                <w:kern w:val="0"/>
                <w:sz w:val="22"/>
                <w:szCs w:val="22"/>
              </w:rPr>
            </w:pPr>
            <w:r>
              <w:rPr>
                <w:b/>
                <w:kern w:val="0"/>
                <w:sz w:val="22"/>
                <w:szCs w:val="22"/>
              </w:rPr>
              <w:t>2.7</w:t>
            </w:r>
          </w:p>
          <w:p w:rsidR="00E36221" w:rsidRPr="00716C0D" w:rsidRDefault="00E36221" w:rsidP="00E36221">
            <w:pPr>
              <w:widowControl/>
              <w:tabs>
                <w:tab w:val="decimal" w:pos="408"/>
              </w:tabs>
              <w:jc w:val="both"/>
              <w:rPr>
                <w:b/>
                <w:kern w:val="0"/>
                <w:sz w:val="22"/>
                <w:szCs w:val="22"/>
              </w:rPr>
            </w:pPr>
            <w:r w:rsidRPr="00716C0D">
              <w:rPr>
                <w:b/>
                <w:kern w:val="0"/>
                <w:sz w:val="22"/>
                <w:szCs w:val="22"/>
              </w:rPr>
              <w:t>(</w:t>
            </w:r>
            <w:r>
              <w:rPr>
                <w:b/>
                <w:kern w:val="0"/>
                <w:sz w:val="22"/>
                <w:szCs w:val="22"/>
              </w:rPr>
              <w:t>0.8</w:t>
            </w:r>
            <w:r w:rsidRPr="00716C0D">
              <w:rPr>
                <w:b/>
                <w:kern w:val="0"/>
                <w:sz w:val="22"/>
                <w:szCs w:val="22"/>
              </w:rPr>
              <w:t>)</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2.</w:t>
            </w:r>
            <w:r>
              <w:rPr>
                <w:b/>
                <w:kern w:val="0"/>
                <w:sz w:val="22"/>
                <w:szCs w:val="22"/>
              </w:rPr>
              <w:t>4</w:t>
            </w:r>
          </w:p>
          <w:p w:rsidR="00E36221" w:rsidRPr="00716C0D" w:rsidRDefault="00E36221" w:rsidP="00E36221">
            <w:pPr>
              <w:widowControl/>
              <w:tabs>
                <w:tab w:val="decimal" w:pos="408"/>
              </w:tabs>
              <w:jc w:val="both"/>
              <w:rPr>
                <w:b/>
                <w:kern w:val="0"/>
                <w:sz w:val="22"/>
                <w:szCs w:val="22"/>
              </w:rPr>
            </w:pPr>
            <w:r w:rsidRPr="00716C0D">
              <w:rPr>
                <w:b/>
                <w:kern w:val="0"/>
                <w:sz w:val="22"/>
                <w:szCs w:val="22"/>
              </w:rPr>
              <w:t>(1.6)</w:t>
            </w:r>
          </w:p>
        </w:tc>
        <w:tc>
          <w:tcPr>
            <w:tcW w:w="737" w:type="dxa"/>
          </w:tcPr>
          <w:p w:rsidR="00E36221" w:rsidRPr="00716C0D" w:rsidRDefault="00E36221" w:rsidP="00E36221">
            <w:pPr>
              <w:widowControl/>
              <w:tabs>
                <w:tab w:val="decimal" w:pos="408"/>
              </w:tabs>
              <w:jc w:val="both"/>
              <w:rPr>
                <w:b/>
                <w:kern w:val="0"/>
                <w:sz w:val="22"/>
                <w:szCs w:val="22"/>
              </w:rPr>
            </w:pPr>
            <w:r>
              <w:rPr>
                <w:b/>
                <w:kern w:val="0"/>
                <w:sz w:val="22"/>
                <w:szCs w:val="22"/>
              </w:rPr>
              <w:t>3.8</w:t>
            </w:r>
          </w:p>
          <w:p w:rsidR="00E36221" w:rsidRPr="00716C0D" w:rsidRDefault="00E36221" w:rsidP="00E36221">
            <w:pPr>
              <w:widowControl/>
              <w:tabs>
                <w:tab w:val="decimal" w:pos="408"/>
              </w:tabs>
              <w:jc w:val="both"/>
              <w:rPr>
                <w:b/>
                <w:kern w:val="0"/>
                <w:sz w:val="22"/>
                <w:szCs w:val="22"/>
              </w:rPr>
            </w:pPr>
            <w:r w:rsidRPr="00716C0D">
              <w:rPr>
                <w:b/>
                <w:kern w:val="0"/>
                <w:sz w:val="22"/>
                <w:szCs w:val="22"/>
              </w:rPr>
              <w:t>(0.</w:t>
            </w:r>
            <w:r>
              <w:rPr>
                <w:b/>
                <w:kern w:val="0"/>
                <w:sz w:val="22"/>
                <w:szCs w:val="22"/>
              </w:rPr>
              <w:t>6</w:t>
            </w:r>
            <w:r w:rsidRPr="00716C0D">
              <w:rPr>
                <w:b/>
                <w:kern w:val="0"/>
                <w:sz w:val="22"/>
                <w:szCs w:val="22"/>
              </w:rPr>
              <w:t>)</w:t>
            </w:r>
          </w:p>
        </w:tc>
        <w:tc>
          <w:tcPr>
            <w:tcW w:w="737" w:type="dxa"/>
          </w:tcPr>
          <w:p w:rsidR="00E36221" w:rsidRPr="00716C0D" w:rsidRDefault="00FD29A7" w:rsidP="00E36221">
            <w:pPr>
              <w:widowControl/>
              <w:tabs>
                <w:tab w:val="decimal" w:pos="408"/>
              </w:tabs>
              <w:jc w:val="both"/>
              <w:rPr>
                <w:b/>
                <w:kern w:val="0"/>
                <w:sz w:val="22"/>
                <w:szCs w:val="22"/>
              </w:rPr>
            </w:pPr>
            <w:r>
              <w:rPr>
                <w:b/>
                <w:kern w:val="0"/>
                <w:sz w:val="22"/>
                <w:szCs w:val="22"/>
              </w:rPr>
              <w:t>3.8</w:t>
            </w:r>
          </w:p>
          <w:p w:rsidR="00E36221" w:rsidRPr="00716C0D" w:rsidRDefault="00E36221">
            <w:pPr>
              <w:widowControl/>
              <w:tabs>
                <w:tab w:val="decimal" w:pos="408"/>
              </w:tabs>
              <w:jc w:val="both"/>
              <w:rPr>
                <w:b/>
                <w:kern w:val="0"/>
                <w:sz w:val="22"/>
                <w:szCs w:val="22"/>
              </w:rPr>
            </w:pPr>
            <w:r w:rsidRPr="00716C0D">
              <w:rPr>
                <w:b/>
                <w:kern w:val="0"/>
                <w:sz w:val="22"/>
                <w:szCs w:val="22"/>
              </w:rPr>
              <w:t>(</w:t>
            </w:r>
            <w:r w:rsidR="00D352F5">
              <w:rPr>
                <w:b/>
                <w:kern w:val="0"/>
                <w:sz w:val="22"/>
                <w:szCs w:val="22"/>
              </w:rPr>
              <w:t>0.8</w:t>
            </w:r>
            <w:r w:rsidRPr="00716C0D">
              <w:rPr>
                <w:b/>
                <w:kern w:val="0"/>
                <w:sz w:val="22"/>
                <w:szCs w:val="22"/>
              </w:rPr>
              <w:t>)</w:t>
            </w:r>
          </w:p>
        </w:tc>
        <w:tc>
          <w:tcPr>
            <w:tcW w:w="737" w:type="dxa"/>
          </w:tcPr>
          <w:p w:rsidR="00E36221" w:rsidRPr="005A20FE" w:rsidRDefault="00E36221" w:rsidP="00E36221">
            <w:pPr>
              <w:widowControl/>
              <w:tabs>
                <w:tab w:val="decimal" w:pos="408"/>
              </w:tabs>
              <w:jc w:val="both"/>
              <w:rPr>
                <w:b/>
                <w:kern w:val="0"/>
                <w:sz w:val="22"/>
                <w:szCs w:val="22"/>
              </w:rPr>
            </w:pPr>
            <w:r w:rsidRPr="005A20FE">
              <w:rPr>
                <w:b/>
                <w:kern w:val="0"/>
                <w:sz w:val="22"/>
                <w:szCs w:val="22"/>
              </w:rPr>
              <w:t>4.</w:t>
            </w:r>
            <w:r w:rsidR="005A20FE" w:rsidRPr="005A20FE">
              <w:rPr>
                <w:b/>
                <w:kern w:val="0"/>
                <w:sz w:val="22"/>
                <w:szCs w:val="22"/>
              </w:rPr>
              <w:t>2</w:t>
            </w:r>
          </w:p>
          <w:p w:rsidR="00E36221" w:rsidRPr="005A20FE" w:rsidRDefault="00E36221" w:rsidP="005A20FE">
            <w:pPr>
              <w:widowControl/>
              <w:tabs>
                <w:tab w:val="decimal" w:pos="408"/>
              </w:tabs>
              <w:jc w:val="both"/>
              <w:rPr>
                <w:b/>
                <w:kern w:val="0"/>
                <w:sz w:val="22"/>
                <w:szCs w:val="22"/>
              </w:rPr>
            </w:pPr>
            <w:r w:rsidRPr="005A20FE">
              <w:rPr>
                <w:b/>
                <w:kern w:val="0"/>
                <w:sz w:val="22"/>
                <w:szCs w:val="22"/>
              </w:rPr>
              <w:t>(1.</w:t>
            </w:r>
            <w:r w:rsidR="005A20FE" w:rsidRPr="005A20FE">
              <w:rPr>
                <w:b/>
                <w:kern w:val="0"/>
                <w:sz w:val="22"/>
                <w:szCs w:val="22"/>
              </w:rPr>
              <w:t>1</w:t>
            </w:r>
            <w:r w:rsidRPr="005A20FE">
              <w:rPr>
                <w:b/>
                <w:kern w:val="0"/>
                <w:sz w:val="22"/>
                <w:szCs w:val="22"/>
              </w:rPr>
              <w:t>)</w:t>
            </w:r>
          </w:p>
        </w:tc>
      </w:tr>
      <w:tr w:rsidR="00E36221" w:rsidRPr="00BF6DEC" w:rsidTr="00E36221">
        <w:trPr>
          <w:trHeight w:val="277"/>
          <w:jc w:val="center"/>
        </w:trPr>
        <w:tc>
          <w:tcPr>
            <w:tcW w:w="3402" w:type="dxa"/>
            <w:vAlign w:val="center"/>
          </w:tcPr>
          <w:p w:rsidR="00E36221" w:rsidRPr="005256F7" w:rsidRDefault="00E36221" w:rsidP="00E36221">
            <w:pPr>
              <w:tabs>
                <w:tab w:val="left" w:pos="1080"/>
              </w:tabs>
              <w:snapToGrid w:val="0"/>
              <w:ind w:right="-108"/>
              <w:jc w:val="both"/>
              <w:rPr>
                <w:b/>
                <w:sz w:val="22"/>
                <w:szCs w:val="22"/>
              </w:rPr>
            </w:pPr>
            <w:r w:rsidRPr="005256F7">
              <w:rPr>
                <w:b/>
                <w:sz w:val="22"/>
                <w:szCs w:val="22"/>
              </w:rPr>
              <w:t>Composite CPI</w:t>
            </w:r>
          </w:p>
        </w:tc>
        <w:tc>
          <w:tcPr>
            <w:tcW w:w="737" w:type="dxa"/>
          </w:tcPr>
          <w:p w:rsidR="00E36221" w:rsidRPr="00F3534C" w:rsidRDefault="00E36221" w:rsidP="00E36221">
            <w:pPr>
              <w:widowControl/>
              <w:tabs>
                <w:tab w:val="decimal" w:pos="408"/>
              </w:tabs>
              <w:jc w:val="both"/>
              <w:rPr>
                <w:b/>
                <w:kern w:val="0"/>
                <w:sz w:val="22"/>
                <w:szCs w:val="22"/>
              </w:rPr>
            </w:pPr>
          </w:p>
        </w:tc>
        <w:tc>
          <w:tcPr>
            <w:tcW w:w="737" w:type="dxa"/>
          </w:tcPr>
          <w:p w:rsidR="00E36221" w:rsidRPr="00716C0D" w:rsidRDefault="00E36221" w:rsidP="00E36221">
            <w:pPr>
              <w:widowControl/>
              <w:tabs>
                <w:tab w:val="decimal" w:pos="408"/>
              </w:tabs>
              <w:jc w:val="both"/>
              <w:rPr>
                <w:b/>
                <w:kern w:val="0"/>
                <w:sz w:val="22"/>
                <w:szCs w:val="22"/>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716C0D" w:rsidRDefault="00E36221" w:rsidP="00E36221">
            <w:pPr>
              <w:pStyle w:val="a7"/>
              <w:tabs>
                <w:tab w:val="decimal" w:pos="326"/>
              </w:tabs>
              <w:jc w:val="both"/>
              <w:rPr>
                <w:rFonts w:ascii="Times New Roman"/>
                <w:b/>
                <w:sz w:val="22"/>
                <w:szCs w:val="22"/>
                <w:lang w:val="en-GB"/>
              </w:rPr>
            </w:pPr>
          </w:p>
        </w:tc>
        <w:tc>
          <w:tcPr>
            <w:tcW w:w="737" w:type="dxa"/>
          </w:tcPr>
          <w:p w:rsidR="00E36221" w:rsidRPr="005A20FE" w:rsidRDefault="00E36221" w:rsidP="00E36221">
            <w:pPr>
              <w:pStyle w:val="a7"/>
              <w:tabs>
                <w:tab w:val="decimal" w:pos="326"/>
              </w:tabs>
              <w:jc w:val="both"/>
              <w:rPr>
                <w:rFonts w:ascii="Times New Roman"/>
                <w:b/>
                <w:color w:val="FF0000"/>
                <w:sz w:val="22"/>
                <w:szCs w:val="22"/>
                <w:lang w:val="en-GB"/>
              </w:rPr>
            </w:pPr>
          </w:p>
        </w:tc>
      </w:tr>
      <w:tr w:rsidR="00E36221" w:rsidRPr="00BF6DEC" w:rsidTr="00E36221">
        <w:trPr>
          <w:jc w:val="center"/>
        </w:trPr>
        <w:tc>
          <w:tcPr>
            <w:tcW w:w="3402" w:type="dxa"/>
          </w:tcPr>
          <w:p w:rsidR="00E36221" w:rsidRPr="005256F7" w:rsidRDefault="00E36221" w:rsidP="00E36221">
            <w:pPr>
              <w:tabs>
                <w:tab w:val="left" w:pos="1080"/>
              </w:tabs>
              <w:snapToGrid w:val="0"/>
              <w:spacing w:line="360" w:lineRule="auto"/>
              <w:ind w:left="142" w:right="-108"/>
              <w:rPr>
                <w:b/>
                <w:sz w:val="22"/>
                <w:szCs w:val="22"/>
              </w:rPr>
            </w:pPr>
            <w:r w:rsidRPr="005256F7">
              <w:rPr>
                <w:b/>
                <w:sz w:val="22"/>
                <w:szCs w:val="22"/>
              </w:rPr>
              <w:t>Headline</w:t>
            </w:r>
          </w:p>
        </w:tc>
        <w:tc>
          <w:tcPr>
            <w:tcW w:w="737" w:type="dxa"/>
          </w:tcPr>
          <w:p w:rsidR="00E36221" w:rsidRPr="00C83A7C" w:rsidRDefault="00E36221" w:rsidP="00E36221">
            <w:pPr>
              <w:tabs>
                <w:tab w:val="decimal" w:pos="408"/>
              </w:tabs>
              <w:jc w:val="both"/>
              <w:rPr>
                <w:b/>
                <w:sz w:val="22"/>
                <w:szCs w:val="22"/>
                <w:lang w:eastAsia="zh-HK"/>
              </w:rPr>
            </w:pPr>
            <w:r>
              <w:rPr>
                <w:rFonts w:hint="eastAsia"/>
                <w:b/>
                <w:sz w:val="22"/>
                <w:szCs w:val="22"/>
              </w:rPr>
              <w:t>1.9</w:t>
            </w:r>
          </w:p>
        </w:tc>
        <w:tc>
          <w:tcPr>
            <w:tcW w:w="737" w:type="dxa"/>
          </w:tcPr>
          <w:p w:rsidR="00E36221" w:rsidRPr="00716C0D" w:rsidRDefault="00E36221" w:rsidP="00E36221">
            <w:pPr>
              <w:widowControl/>
              <w:tabs>
                <w:tab w:val="decimal" w:pos="408"/>
              </w:tabs>
              <w:jc w:val="both"/>
              <w:rPr>
                <w:b/>
                <w:kern w:val="0"/>
                <w:sz w:val="22"/>
                <w:szCs w:val="22"/>
                <w:lang w:eastAsia="zh-HK"/>
              </w:rPr>
            </w:pPr>
            <w:r w:rsidRPr="00716C0D">
              <w:rPr>
                <w:b/>
                <w:kern w:val="0"/>
                <w:sz w:val="22"/>
                <w:szCs w:val="22"/>
                <w:lang w:eastAsia="zh-HK"/>
              </w:rPr>
              <w:t>2.1</w:t>
            </w:r>
          </w:p>
        </w:tc>
        <w:tc>
          <w:tcPr>
            <w:tcW w:w="737" w:type="dxa"/>
          </w:tcPr>
          <w:p w:rsidR="00E36221" w:rsidRPr="00716C0D" w:rsidRDefault="00E36221" w:rsidP="00E36221">
            <w:pPr>
              <w:tabs>
                <w:tab w:val="decimal" w:pos="408"/>
              </w:tabs>
              <w:jc w:val="both"/>
              <w:rPr>
                <w:b/>
                <w:sz w:val="22"/>
                <w:szCs w:val="22"/>
              </w:rPr>
            </w:pPr>
            <w:r w:rsidRPr="00716C0D">
              <w:rPr>
                <w:b/>
                <w:sz w:val="22"/>
                <w:szCs w:val="22"/>
              </w:rPr>
              <w:t>1.</w:t>
            </w:r>
            <w:r w:rsidRPr="00716C0D">
              <w:rPr>
                <w:rFonts w:hint="eastAsia"/>
                <w:b/>
                <w:sz w:val="22"/>
                <w:szCs w:val="22"/>
              </w:rPr>
              <w:t>9</w:t>
            </w:r>
          </w:p>
          <w:p w:rsidR="00E36221" w:rsidRPr="00716C0D" w:rsidRDefault="00E36221" w:rsidP="00E36221">
            <w:pPr>
              <w:tabs>
                <w:tab w:val="decimal" w:pos="408"/>
              </w:tabs>
              <w:jc w:val="both"/>
              <w:rPr>
                <w:b/>
                <w:sz w:val="22"/>
                <w:szCs w:val="22"/>
              </w:rPr>
            </w:pPr>
            <w:r w:rsidRPr="00716C0D">
              <w:rPr>
                <w:b/>
                <w:sz w:val="22"/>
                <w:szCs w:val="22"/>
              </w:rPr>
              <w:t>(0.6)</w:t>
            </w:r>
          </w:p>
        </w:tc>
        <w:tc>
          <w:tcPr>
            <w:tcW w:w="737" w:type="dxa"/>
          </w:tcPr>
          <w:p w:rsidR="00E36221" w:rsidRPr="00716C0D" w:rsidRDefault="00E36221" w:rsidP="00E36221">
            <w:pPr>
              <w:tabs>
                <w:tab w:val="decimal" w:pos="408"/>
              </w:tabs>
              <w:jc w:val="both"/>
              <w:rPr>
                <w:b/>
                <w:sz w:val="22"/>
                <w:szCs w:val="22"/>
              </w:rPr>
            </w:pPr>
            <w:r w:rsidRPr="00716C0D">
              <w:rPr>
                <w:b/>
                <w:sz w:val="22"/>
                <w:szCs w:val="22"/>
              </w:rPr>
              <w:t>2.0</w:t>
            </w:r>
          </w:p>
          <w:p w:rsidR="00E36221" w:rsidRPr="00716C0D" w:rsidRDefault="00E36221" w:rsidP="00E36221">
            <w:pPr>
              <w:tabs>
                <w:tab w:val="decimal" w:pos="408"/>
              </w:tabs>
              <w:jc w:val="both"/>
              <w:rPr>
                <w:b/>
                <w:sz w:val="22"/>
                <w:szCs w:val="22"/>
              </w:rPr>
            </w:pPr>
            <w:r w:rsidRPr="00716C0D">
              <w:rPr>
                <w:b/>
                <w:sz w:val="22"/>
                <w:szCs w:val="22"/>
              </w:rPr>
              <w:t>(0.2)</w:t>
            </w:r>
          </w:p>
        </w:tc>
        <w:tc>
          <w:tcPr>
            <w:tcW w:w="737" w:type="dxa"/>
          </w:tcPr>
          <w:p w:rsidR="00E36221" w:rsidRPr="00716C0D" w:rsidRDefault="00E36221" w:rsidP="00E36221">
            <w:pPr>
              <w:tabs>
                <w:tab w:val="decimal" w:pos="408"/>
              </w:tabs>
              <w:jc w:val="both"/>
              <w:rPr>
                <w:b/>
                <w:sz w:val="22"/>
                <w:szCs w:val="22"/>
              </w:rPr>
            </w:pPr>
            <w:r w:rsidRPr="00716C0D">
              <w:rPr>
                <w:b/>
                <w:sz w:val="22"/>
                <w:szCs w:val="22"/>
              </w:rPr>
              <w:t>1.9</w:t>
            </w:r>
          </w:p>
          <w:p w:rsidR="00E36221" w:rsidRPr="00716C0D" w:rsidRDefault="00E36221" w:rsidP="00E36221">
            <w:pPr>
              <w:tabs>
                <w:tab w:val="decimal" w:pos="408"/>
              </w:tabs>
              <w:jc w:val="both"/>
              <w:rPr>
                <w:b/>
                <w:sz w:val="22"/>
                <w:szCs w:val="22"/>
              </w:rPr>
            </w:pPr>
            <w:r w:rsidRPr="00716C0D">
              <w:rPr>
                <w:b/>
                <w:sz w:val="22"/>
                <w:szCs w:val="22"/>
              </w:rPr>
              <w:t>(0.4)</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2.6</w:t>
            </w:r>
          </w:p>
          <w:p w:rsidR="00E36221" w:rsidRPr="00716C0D" w:rsidRDefault="00E36221" w:rsidP="00E36221">
            <w:pPr>
              <w:widowControl/>
              <w:tabs>
                <w:tab w:val="decimal" w:pos="408"/>
              </w:tabs>
              <w:jc w:val="both"/>
              <w:rPr>
                <w:b/>
                <w:kern w:val="0"/>
                <w:sz w:val="22"/>
                <w:szCs w:val="22"/>
              </w:rPr>
            </w:pPr>
            <w:r w:rsidRPr="00716C0D">
              <w:rPr>
                <w:b/>
                <w:kern w:val="0"/>
                <w:sz w:val="22"/>
                <w:szCs w:val="22"/>
              </w:rPr>
              <w:t>(1.3)</w:t>
            </w:r>
          </w:p>
        </w:tc>
        <w:tc>
          <w:tcPr>
            <w:tcW w:w="737" w:type="dxa"/>
          </w:tcPr>
          <w:p w:rsidR="00E36221" w:rsidRPr="00716C0D" w:rsidRDefault="00E36221" w:rsidP="00E36221">
            <w:pPr>
              <w:widowControl/>
              <w:tabs>
                <w:tab w:val="decimal" w:pos="408"/>
              </w:tabs>
              <w:jc w:val="both"/>
              <w:rPr>
                <w:b/>
                <w:kern w:val="0"/>
                <w:sz w:val="22"/>
                <w:szCs w:val="22"/>
              </w:rPr>
            </w:pPr>
            <w:r>
              <w:rPr>
                <w:b/>
                <w:kern w:val="0"/>
                <w:sz w:val="22"/>
                <w:szCs w:val="22"/>
              </w:rPr>
              <w:t>1.9</w:t>
            </w:r>
          </w:p>
          <w:p w:rsidR="00E36221" w:rsidRPr="00716C0D" w:rsidRDefault="00E36221" w:rsidP="00E36221">
            <w:pPr>
              <w:widowControl/>
              <w:tabs>
                <w:tab w:val="decimal" w:pos="408"/>
              </w:tabs>
              <w:jc w:val="both"/>
              <w:rPr>
                <w:b/>
                <w:kern w:val="0"/>
                <w:sz w:val="22"/>
                <w:szCs w:val="22"/>
              </w:rPr>
            </w:pPr>
            <w:r w:rsidRPr="00716C0D">
              <w:rPr>
                <w:b/>
                <w:kern w:val="0"/>
                <w:sz w:val="22"/>
                <w:szCs w:val="22"/>
              </w:rPr>
              <w:t>(</w:t>
            </w:r>
            <w:r>
              <w:rPr>
                <w:b/>
                <w:kern w:val="0"/>
                <w:sz w:val="22"/>
                <w:szCs w:val="22"/>
              </w:rPr>
              <w:t>0.1</w:t>
            </w:r>
            <w:r w:rsidRPr="00716C0D">
              <w:rPr>
                <w:b/>
                <w:kern w:val="0"/>
                <w:sz w:val="22"/>
                <w:szCs w:val="22"/>
              </w:rPr>
              <w:t>)</w:t>
            </w:r>
          </w:p>
        </w:tc>
        <w:tc>
          <w:tcPr>
            <w:tcW w:w="737" w:type="dxa"/>
          </w:tcPr>
          <w:p w:rsidR="00E36221" w:rsidRPr="005A20FE" w:rsidRDefault="00E36221" w:rsidP="00E36221">
            <w:pPr>
              <w:widowControl/>
              <w:tabs>
                <w:tab w:val="decimal" w:pos="408"/>
              </w:tabs>
              <w:jc w:val="both"/>
              <w:rPr>
                <w:b/>
                <w:kern w:val="0"/>
                <w:sz w:val="22"/>
                <w:szCs w:val="22"/>
              </w:rPr>
            </w:pPr>
            <w:r w:rsidRPr="005A20FE">
              <w:rPr>
                <w:b/>
                <w:kern w:val="0"/>
                <w:sz w:val="22"/>
                <w:szCs w:val="22"/>
              </w:rPr>
              <w:t>1.</w:t>
            </w:r>
            <w:r w:rsidR="00D50FAB" w:rsidRPr="005A20FE">
              <w:rPr>
                <w:b/>
                <w:kern w:val="0"/>
                <w:sz w:val="22"/>
                <w:szCs w:val="22"/>
              </w:rPr>
              <w:t>2</w:t>
            </w:r>
          </w:p>
          <w:p w:rsidR="00E36221" w:rsidRPr="005A20FE" w:rsidRDefault="00E36221" w:rsidP="00D50FAB">
            <w:pPr>
              <w:widowControl/>
              <w:tabs>
                <w:tab w:val="decimal" w:pos="408"/>
              </w:tabs>
              <w:jc w:val="both"/>
              <w:rPr>
                <w:b/>
                <w:kern w:val="0"/>
                <w:sz w:val="22"/>
                <w:szCs w:val="22"/>
              </w:rPr>
            </w:pPr>
            <w:r w:rsidRPr="005A20FE">
              <w:rPr>
                <w:b/>
                <w:kern w:val="0"/>
                <w:sz w:val="22"/>
                <w:szCs w:val="22"/>
              </w:rPr>
              <w:t>(</w:t>
            </w:r>
            <w:r w:rsidR="00D50FAB" w:rsidRPr="005A20FE">
              <w:rPr>
                <w:b/>
                <w:kern w:val="0"/>
                <w:sz w:val="22"/>
                <w:szCs w:val="22"/>
              </w:rPr>
              <w:t>-</w:t>
            </w:r>
            <w:r w:rsidRPr="005A20FE">
              <w:rPr>
                <w:b/>
                <w:kern w:val="0"/>
                <w:sz w:val="22"/>
                <w:szCs w:val="22"/>
              </w:rPr>
              <w:t>0.</w:t>
            </w:r>
            <w:r w:rsidR="00D50FAB" w:rsidRPr="005A20FE">
              <w:rPr>
                <w:b/>
                <w:kern w:val="0"/>
                <w:sz w:val="22"/>
                <w:szCs w:val="22"/>
              </w:rPr>
              <w:t>5</w:t>
            </w:r>
            <w:r w:rsidRPr="005A20FE">
              <w:rPr>
                <w:b/>
                <w:kern w:val="0"/>
                <w:sz w:val="22"/>
                <w:szCs w:val="22"/>
              </w:rPr>
              <w:t>)</w:t>
            </w:r>
          </w:p>
        </w:tc>
      </w:tr>
      <w:tr w:rsidR="00E36221" w:rsidRPr="00BF6DEC" w:rsidTr="00E36221">
        <w:trPr>
          <w:jc w:val="center"/>
        </w:trPr>
        <w:tc>
          <w:tcPr>
            <w:tcW w:w="3402" w:type="dxa"/>
          </w:tcPr>
          <w:p w:rsidR="00E36221" w:rsidRPr="005256F7" w:rsidRDefault="00E36221" w:rsidP="00E36221">
            <w:pPr>
              <w:tabs>
                <w:tab w:val="left" w:pos="1080"/>
              </w:tabs>
              <w:snapToGrid w:val="0"/>
              <w:spacing w:line="360" w:lineRule="auto"/>
              <w:ind w:left="142" w:right="-108"/>
              <w:rPr>
                <w:b/>
                <w:sz w:val="22"/>
                <w:szCs w:val="22"/>
              </w:rPr>
            </w:pPr>
            <w:r w:rsidRPr="005256F7">
              <w:rPr>
                <w:b/>
                <w:sz w:val="22"/>
                <w:szCs w:val="22"/>
              </w:rPr>
              <w:t>Underlying^</w:t>
            </w:r>
          </w:p>
        </w:tc>
        <w:tc>
          <w:tcPr>
            <w:tcW w:w="737" w:type="dxa"/>
          </w:tcPr>
          <w:p w:rsidR="00E36221" w:rsidRPr="00F678AE" w:rsidRDefault="00E36221" w:rsidP="00E36221">
            <w:pPr>
              <w:tabs>
                <w:tab w:val="decimal" w:pos="408"/>
              </w:tabs>
              <w:jc w:val="both"/>
              <w:rPr>
                <w:b/>
                <w:sz w:val="22"/>
                <w:szCs w:val="22"/>
                <w:lang w:eastAsia="zh-HK"/>
              </w:rPr>
            </w:pPr>
            <w:r>
              <w:rPr>
                <w:rFonts w:hint="eastAsia"/>
                <w:b/>
                <w:sz w:val="22"/>
                <w:szCs w:val="22"/>
              </w:rPr>
              <w:t>1.7</w:t>
            </w:r>
          </w:p>
        </w:tc>
        <w:tc>
          <w:tcPr>
            <w:tcW w:w="737" w:type="dxa"/>
          </w:tcPr>
          <w:p w:rsidR="00E36221" w:rsidRPr="00716C0D" w:rsidRDefault="00E36221" w:rsidP="00E36221">
            <w:pPr>
              <w:widowControl/>
              <w:tabs>
                <w:tab w:val="decimal" w:pos="408"/>
              </w:tabs>
              <w:jc w:val="both"/>
              <w:rPr>
                <w:b/>
                <w:kern w:val="0"/>
                <w:sz w:val="22"/>
                <w:szCs w:val="22"/>
                <w:lang w:eastAsia="zh-HK"/>
              </w:rPr>
            </w:pPr>
            <w:r w:rsidRPr="00716C0D">
              <w:rPr>
                <w:b/>
                <w:kern w:val="0"/>
                <w:sz w:val="22"/>
                <w:szCs w:val="22"/>
                <w:lang w:eastAsia="zh-HK"/>
              </w:rPr>
              <w:t>1.7</w:t>
            </w:r>
          </w:p>
        </w:tc>
        <w:tc>
          <w:tcPr>
            <w:tcW w:w="737" w:type="dxa"/>
          </w:tcPr>
          <w:p w:rsidR="00E36221" w:rsidRPr="00716C0D" w:rsidRDefault="00E36221" w:rsidP="00E36221">
            <w:pPr>
              <w:tabs>
                <w:tab w:val="decimal" w:pos="408"/>
              </w:tabs>
              <w:jc w:val="both"/>
              <w:rPr>
                <w:b/>
                <w:sz w:val="22"/>
                <w:szCs w:val="22"/>
              </w:rPr>
            </w:pPr>
            <w:r w:rsidRPr="00716C0D">
              <w:rPr>
                <w:b/>
                <w:sz w:val="22"/>
                <w:szCs w:val="22"/>
              </w:rPr>
              <w:t>1.</w:t>
            </w:r>
            <w:r w:rsidRPr="00716C0D">
              <w:rPr>
                <w:rFonts w:hint="eastAsia"/>
                <w:b/>
                <w:sz w:val="22"/>
                <w:szCs w:val="22"/>
              </w:rPr>
              <w:t>9</w:t>
            </w:r>
          </w:p>
          <w:p w:rsidR="00E36221" w:rsidRPr="00716C0D" w:rsidRDefault="00E36221" w:rsidP="00E36221">
            <w:pPr>
              <w:tabs>
                <w:tab w:val="decimal" w:pos="408"/>
              </w:tabs>
              <w:jc w:val="both"/>
              <w:rPr>
                <w:b/>
                <w:sz w:val="22"/>
                <w:szCs w:val="22"/>
              </w:rPr>
            </w:pPr>
            <w:r w:rsidRPr="00716C0D">
              <w:rPr>
                <w:b/>
                <w:sz w:val="22"/>
                <w:szCs w:val="22"/>
              </w:rPr>
              <w:t>(0.</w:t>
            </w:r>
            <w:r w:rsidRPr="00716C0D">
              <w:rPr>
                <w:rFonts w:hint="eastAsia"/>
                <w:b/>
                <w:sz w:val="22"/>
                <w:szCs w:val="22"/>
              </w:rPr>
              <w:t>7</w:t>
            </w:r>
            <w:r w:rsidRPr="00716C0D">
              <w:rPr>
                <w:b/>
                <w:sz w:val="22"/>
                <w:szCs w:val="22"/>
              </w:rPr>
              <w:t>)</w:t>
            </w:r>
          </w:p>
        </w:tc>
        <w:tc>
          <w:tcPr>
            <w:tcW w:w="737" w:type="dxa"/>
          </w:tcPr>
          <w:p w:rsidR="00E36221" w:rsidRPr="00716C0D" w:rsidRDefault="00E36221" w:rsidP="00E36221">
            <w:pPr>
              <w:tabs>
                <w:tab w:val="decimal" w:pos="408"/>
              </w:tabs>
              <w:jc w:val="both"/>
              <w:rPr>
                <w:b/>
                <w:sz w:val="22"/>
                <w:szCs w:val="22"/>
              </w:rPr>
            </w:pPr>
            <w:r w:rsidRPr="00716C0D">
              <w:rPr>
                <w:b/>
                <w:sz w:val="22"/>
                <w:szCs w:val="22"/>
              </w:rPr>
              <w:t>1.7</w:t>
            </w:r>
          </w:p>
          <w:p w:rsidR="00E36221" w:rsidRPr="00716C0D" w:rsidRDefault="00E36221" w:rsidP="00E36221">
            <w:pPr>
              <w:tabs>
                <w:tab w:val="decimal" w:pos="408"/>
              </w:tabs>
              <w:jc w:val="both"/>
              <w:rPr>
                <w:b/>
                <w:sz w:val="22"/>
                <w:szCs w:val="22"/>
              </w:rPr>
            </w:pPr>
            <w:r w:rsidRPr="00716C0D">
              <w:rPr>
                <w:b/>
                <w:sz w:val="22"/>
                <w:szCs w:val="22"/>
              </w:rPr>
              <w:t>(0.3)</w:t>
            </w:r>
          </w:p>
        </w:tc>
        <w:tc>
          <w:tcPr>
            <w:tcW w:w="737" w:type="dxa"/>
          </w:tcPr>
          <w:p w:rsidR="00E36221" w:rsidRPr="00716C0D" w:rsidRDefault="00E36221" w:rsidP="00E36221">
            <w:pPr>
              <w:tabs>
                <w:tab w:val="decimal" w:pos="408"/>
              </w:tabs>
              <w:jc w:val="both"/>
              <w:rPr>
                <w:b/>
                <w:sz w:val="22"/>
                <w:szCs w:val="22"/>
              </w:rPr>
            </w:pPr>
            <w:r w:rsidRPr="00716C0D">
              <w:rPr>
                <w:b/>
                <w:sz w:val="22"/>
                <w:szCs w:val="22"/>
              </w:rPr>
              <w:t>1.6</w:t>
            </w:r>
          </w:p>
          <w:p w:rsidR="00E36221" w:rsidRPr="00716C0D" w:rsidRDefault="00E36221" w:rsidP="00E36221">
            <w:pPr>
              <w:tabs>
                <w:tab w:val="decimal" w:pos="408"/>
              </w:tabs>
              <w:jc w:val="both"/>
              <w:rPr>
                <w:b/>
                <w:sz w:val="22"/>
                <w:szCs w:val="22"/>
              </w:rPr>
            </w:pPr>
            <w:r w:rsidRPr="00716C0D">
              <w:rPr>
                <w:b/>
                <w:sz w:val="22"/>
                <w:szCs w:val="22"/>
              </w:rPr>
              <w:t>(0.3)</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1.6</w:t>
            </w:r>
          </w:p>
          <w:p w:rsidR="00E36221" w:rsidRPr="00716C0D" w:rsidRDefault="00E36221" w:rsidP="00E36221">
            <w:pPr>
              <w:widowControl/>
              <w:tabs>
                <w:tab w:val="decimal" w:pos="408"/>
              </w:tabs>
              <w:jc w:val="both"/>
              <w:rPr>
                <w:b/>
                <w:kern w:val="0"/>
                <w:sz w:val="22"/>
                <w:szCs w:val="22"/>
              </w:rPr>
            </w:pPr>
            <w:r w:rsidRPr="00716C0D">
              <w:rPr>
                <w:b/>
                <w:kern w:val="0"/>
                <w:sz w:val="22"/>
                <w:szCs w:val="22"/>
              </w:rPr>
              <w:t>(0.3)</w:t>
            </w:r>
          </w:p>
        </w:tc>
        <w:tc>
          <w:tcPr>
            <w:tcW w:w="737" w:type="dxa"/>
          </w:tcPr>
          <w:p w:rsidR="00E36221" w:rsidRPr="00716C0D" w:rsidRDefault="00E36221" w:rsidP="00E36221">
            <w:pPr>
              <w:widowControl/>
              <w:tabs>
                <w:tab w:val="decimal" w:pos="408"/>
              </w:tabs>
              <w:jc w:val="both"/>
              <w:rPr>
                <w:b/>
                <w:kern w:val="0"/>
                <w:sz w:val="22"/>
                <w:szCs w:val="22"/>
              </w:rPr>
            </w:pPr>
            <w:r w:rsidRPr="00716C0D">
              <w:rPr>
                <w:b/>
                <w:kern w:val="0"/>
                <w:sz w:val="22"/>
                <w:szCs w:val="22"/>
              </w:rPr>
              <w:t>1.</w:t>
            </w:r>
            <w:r>
              <w:rPr>
                <w:b/>
                <w:kern w:val="0"/>
                <w:sz w:val="22"/>
                <w:szCs w:val="22"/>
              </w:rPr>
              <w:t>0</w:t>
            </w:r>
          </w:p>
          <w:p w:rsidR="00E36221" w:rsidRPr="00716C0D" w:rsidRDefault="00E36221" w:rsidP="00E36221">
            <w:pPr>
              <w:widowControl/>
              <w:tabs>
                <w:tab w:val="decimal" w:pos="408"/>
              </w:tabs>
              <w:jc w:val="both"/>
              <w:rPr>
                <w:b/>
                <w:kern w:val="0"/>
                <w:sz w:val="22"/>
                <w:szCs w:val="22"/>
              </w:rPr>
            </w:pPr>
            <w:r>
              <w:rPr>
                <w:b/>
                <w:kern w:val="0"/>
                <w:sz w:val="22"/>
                <w:szCs w:val="22"/>
              </w:rPr>
              <w:t xml:space="preserve">   </w:t>
            </w:r>
            <w:r w:rsidRPr="00716C0D">
              <w:rPr>
                <w:b/>
                <w:kern w:val="0"/>
                <w:sz w:val="22"/>
                <w:szCs w:val="22"/>
              </w:rPr>
              <w:t>(</w:t>
            </w:r>
            <w:r>
              <w:rPr>
                <w:b/>
                <w:kern w:val="0"/>
                <w:sz w:val="22"/>
                <w:szCs w:val="22"/>
              </w:rPr>
              <w:t>*</w:t>
            </w:r>
            <w:r w:rsidRPr="00716C0D">
              <w:rPr>
                <w:b/>
                <w:kern w:val="0"/>
                <w:sz w:val="22"/>
                <w:szCs w:val="22"/>
              </w:rPr>
              <w:t>)</w:t>
            </w:r>
          </w:p>
        </w:tc>
        <w:tc>
          <w:tcPr>
            <w:tcW w:w="737" w:type="dxa"/>
          </w:tcPr>
          <w:p w:rsidR="00E36221" w:rsidRPr="005A20FE" w:rsidRDefault="00E36221" w:rsidP="00E36221">
            <w:pPr>
              <w:widowControl/>
              <w:tabs>
                <w:tab w:val="decimal" w:pos="408"/>
              </w:tabs>
              <w:jc w:val="both"/>
              <w:rPr>
                <w:b/>
                <w:kern w:val="0"/>
                <w:sz w:val="22"/>
                <w:szCs w:val="22"/>
              </w:rPr>
            </w:pPr>
            <w:r w:rsidRPr="005A20FE">
              <w:rPr>
                <w:b/>
                <w:kern w:val="0"/>
                <w:sz w:val="22"/>
                <w:szCs w:val="22"/>
              </w:rPr>
              <w:t>1.0</w:t>
            </w:r>
          </w:p>
          <w:p w:rsidR="00E36221" w:rsidRPr="005A20FE" w:rsidRDefault="00D50FAB" w:rsidP="00D50FAB">
            <w:pPr>
              <w:widowControl/>
              <w:tabs>
                <w:tab w:val="decimal" w:pos="408"/>
              </w:tabs>
              <w:jc w:val="both"/>
              <w:rPr>
                <w:b/>
                <w:kern w:val="0"/>
                <w:sz w:val="22"/>
                <w:szCs w:val="22"/>
              </w:rPr>
            </w:pPr>
            <w:r w:rsidRPr="005A20FE">
              <w:rPr>
                <w:b/>
                <w:kern w:val="0"/>
                <w:sz w:val="22"/>
                <w:szCs w:val="22"/>
              </w:rPr>
              <w:t xml:space="preserve"> (0.3</w:t>
            </w:r>
            <w:r w:rsidR="00E36221" w:rsidRPr="005A20FE">
              <w:rPr>
                <w:b/>
                <w:kern w:val="0"/>
                <w:sz w:val="22"/>
                <w:szCs w:val="22"/>
              </w:rPr>
              <w:t>)</w:t>
            </w:r>
          </w:p>
        </w:tc>
      </w:tr>
      <w:tr w:rsidR="00E36221" w:rsidRPr="00D50FAB" w:rsidTr="00E36221">
        <w:trPr>
          <w:trHeight w:val="399"/>
          <w:jc w:val="center"/>
        </w:trPr>
        <w:tc>
          <w:tcPr>
            <w:tcW w:w="3402" w:type="dxa"/>
            <w:vAlign w:val="center"/>
          </w:tcPr>
          <w:p w:rsidR="00E36221" w:rsidRPr="005256F7" w:rsidRDefault="00E36221" w:rsidP="00E36221">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rsidR="00E36221" w:rsidRPr="00034A28" w:rsidRDefault="00E36221" w:rsidP="00E36221">
            <w:pPr>
              <w:tabs>
                <w:tab w:val="decimal" w:pos="408"/>
              </w:tabs>
              <w:rPr>
                <w:b/>
                <w:sz w:val="22"/>
                <w:szCs w:val="22"/>
                <w:lang w:eastAsia="zh-HK"/>
              </w:rPr>
            </w:pPr>
            <w:r>
              <w:rPr>
                <w:rFonts w:hint="eastAsia"/>
                <w:b/>
                <w:sz w:val="22"/>
                <w:szCs w:val="22"/>
              </w:rPr>
              <w:t>-</w:t>
            </w:r>
            <w:r>
              <w:rPr>
                <w:b/>
                <w:sz w:val="22"/>
                <w:szCs w:val="22"/>
              </w:rPr>
              <w:t>2.1</w:t>
            </w:r>
          </w:p>
        </w:tc>
        <w:tc>
          <w:tcPr>
            <w:tcW w:w="737" w:type="dxa"/>
            <w:vAlign w:val="center"/>
          </w:tcPr>
          <w:p w:rsidR="00E36221" w:rsidRPr="00716C0D" w:rsidRDefault="00E36221" w:rsidP="00E36221">
            <w:pPr>
              <w:widowControl/>
              <w:tabs>
                <w:tab w:val="decimal" w:pos="408"/>
              </w:tabs>
              <w:rPr>
                <w:b/>
                <w:kern w:val="0"/>
                <w:sz w:val="22"/>
                <w:szCs w:val="22"/>
                <w:lang w:eastAsia="zh-HK"/>
              </w:rPr>
            </w:pPr>
            <w:r w:rsidRPr="00716C0D">
              <w:rPr>
                <w:b/>
                <w:kern w:val="0"/>
                <w:sz w:val="22"/>
                <w:szCs w:val="22"/>
                <w:lang w:eastAsia="zh-HK"/>
              </w:rPr>
              <w:t>6.</w:t>
            </w:r>
            <w:r>
              <w:rPr>
                <w:b/>
                <w:kern w:val="0"/>
                <w:sz w:val="22"/>
                <w:szCs w:val="22"/>
                <w:lang w:eastAsia="zh-HK"/>
              </w:rPr>
              <w:t>1</w:t>
            </w:r>
          </w:p>
        </w:tc>
        <w:tc>
          <w:tcPr>
            <w:tcW w:w="737" w:type="dxa"/>
            <w:vAlign w:val="center"/>
          </w:tcPr>
          <w:p w:rsidR="00E36221" w:rsidRPr="00716C0D" w:rsidRDefault="00E36221" w:rsidP="00E36221">
            <w:pPr>
              <w:tabs>
                <w:tab w:val="decimal" w:pos="408"/>
              </w:tabs>
              <w:rPr>
                <w:b/>
                <w:sz w:val="22"/>
                <w:szCs w:val="22"/>
              </w:rPr>
            </w:pPr>
            <w:r>
              <w:rPr>
                <w:b/>
                <w:sz w:val="22"/>
                <w:szCs w:val="22"/>
              </w:rPr>
              <w:t>5.0</w:t>
            </w:r>
          </w:p>
        </w:tc>
        <w:tc>
          <w:tcPr>
            <w:tcW w:w="737" w:type="dxa"/>
            <w:vAlign w:val="center"/>
          </w:tcPr>
          <w:p w:rsidR="00E36221" w:rsidRPr="00716C0D" w:rsidRDefault="00E36221" w:rsidP="00E36221">
            <w:pPr>
              <w:tabs>
                <w:tab w:val="decimal" w:pos="408"/>
              </w:tabs>
              <w:rPr>
                <w:b/>
                <w:sz w:val="22"/>
                <w:szCs w:val="22"/>
              </w:rPr>
            </w:pPr>
            <w:r>
              <w:rPr>
                <w:b/>
                <w:sz w:val="22"/>
                <w:szCs w:val="22"/>
              </w:rPr>
              <w:t>4.3</w:t>
            </w:r>
          </w:p>
        </w:tc>
        <w:tc>
          <w:tcPr>
            <w:tcW w:w="737" w:type="dxa"/>
            <w:vAlign w:val="center"/>
          </w:tcPr>
          <w:p w:rsidR="00E36221" w:rsidRPr="00716C0D" w:rsidRDefault="00E36221" w:rsidP="00E36221">
            <w:pPr>
              <w:tabs>
                <w:tab w:val="decimal" w:pos="408"/>
              </w:tabs>
              <w:rPr>
                <w:b/>
                <w:sz w:val="22"/>
                <w:szCs w:val="22"/>
              </w:rPr>
            </w:pPr>
            <w:r>
              <w:rPr>
                <w:b/>
                <w:sz w:val="22"/>
                <w:szCs w:val="22"/>
              </w:rPr>
              <w:t>6.7</w:t>
            </w:r>
          </w:p>
        </w:tc>
        <w:tc>
          <w:tcPr>
            <w:tcW w:w="737" w:type="dxa"/>
            <w:vAlign w:val="center"/>
          </w:tcPr>
          <w:p w:rsidR="00E36221" w:rsidRPr="00716C0D" w:rsidRDefault="00E36221" w:rsidP="00E36221">
            <w:pPr>
              <w:widowControl/>
              <w:tabs>
                <w:tab w:val="decimal" w:pos="408"/>
              </w:tabs>
              <w:rPr>
                <w:b/>
                <w:kern w:val="0"/>
                <w:sz w:val="22"/>
                <w:szCs w:val="22"/>
              </w:rPr>
            </w:pPr>
            <w:r>
              <w:rPr>
                <w:b/>
                <w:kern w:val="0"/>
                <w:sz w:val="22"/>
                <w:szCs w:val="22"/>
              </w:rPr>
              <w:t>8.3</w:t>
            </w:r>
          </w:p>
        </w:tc>
        <w:tc>
          <w:tcPr>
            <w:tcW w:w="737" w:type="dxa"/>
            <w:vAlign w:val="center"/>
          </w:tcPr>
          <w:p w:rsidR="00E36221" w:rsidRPr="00716C0D" w:rsidRDefault="001B0196" w:rsidP="00E36221">
            <w:pPr>
              <w:widowControl/>
              <w:tabs>
                <w:tab w:val="decimal" w:pos="408"/>
              </w:tabs>
              <w:rPr>
                <w:b/>
                <w:kern w:val="0"/>
                <w:sz w:val="22"/>
                <w:szCs w:val="22"/>
              </w:rPr>
            </w:pPr>
            <w:r>
              <w:rPr>
                <w:b/>
                <w:kern w:val="0"/>
                <w:sz w:val="22"/>
                <w:szCs w:val="22"/>
              </w:rPr>
              <w:t>6.8</w:t>
            </w:r>
          </w:p>
        </w:tc>
        <w:tc>
          <w:tcPr>
            <w:tcW w:w="737" w:type="dxa"/>
            <w:vAlign w:val="center"/>
          </w:tcPr>
          <w:p w:rsidR="00E36221" w:rsidRPr="005A20FE" w:rsidRDefault="00E36221" w:rsidP="005A20FE">
            <w:pPr>
              <w:widowControl/>
              <w:tabs>
                <w:tab w:val="decimal" w:pos="408"/>
              </w:tabs>
              <w:rPr>
                <w:b/>
                <w:kern w:val="0"/>
                <w:sz w:val="22"/>
                <w:szCs w:val="22"/>
              </w:rPr>
            </w:pPr>
            <w:r w:rsidRPr="005A20FE">
              <w:rPr>
                <w:b/>
                <w:kern w:val="0"/>
                <w:sz w:val="22"/>
                <w:szCs w:val="22"/>
              </w:rPr>
              <w:t>7.</w:t>
            </w:r>
            <w:r w:rsidR="005A20FE" w:rsidRPr="005A20FE">
              <w:rPr>
                <w:b/>
                <w:kern w:val="0"/>
                <w:sz w:val="22"/>
                <w:szCs w:val="22"/>
              </w:rPr>
              <w:t>6</w:t>
            </w:r>
          </w:p>
        </w:tc>
      </w:tr>
    </w:tbl>
    <w:p w:rsidR="007F37F3" w:rsidRPr="00327CE5" w:rsidRDefault="007F37F3" w:rsidP="007772F9">
      <w:pPr>
        <w:tabs>
          <w:tab w:val="left" w:pos="5094"/>
        </w:tabs>
        <w:snapToGrid w:val="0"/>
        <w:spacing w:line="140" w:lineRule="exact"/>
        <w:ind w:right="-516"/>
        <w:jc w:val="both"/>
        <w:rPr>
          <w:sz w:val="22"/>
        </w:rPr>
      </w:pPr>
    </w:p>
    <w:p w:rsidR="007F37F3" w:rsidRPr="00327CE5" w:rsidRDefault="007F37F3" w:rsidP="004218E5">
      <w:pPr>
        <w:snapToGrid w:val="0"/>
        <w:spacing w:line="220" w:lineRule="exact"/>
        <w:ind w:right="-514" w:hanging="851"/>
        <w:jc w:val="both"/>
        <w:rPr>
          <w:sz w:val="21"/>
          <w:szCs w:val="21"/>
        </w:rPr>
      </w:pPr>
    </w:p>
    <w:p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w:t>
      </w:r>
      <w:r w:rsidR="00094624">
        <w:rPr>
          <w:sz w:val="22"/>
        </w:rPr>
        <w:t>-</w:t>
      </w:r>
      <w:r w:rsidRPr="005256F7">
        <w:rPr>
          <w:sz w:val="22"/>
        </w:rPr>
        <w:t>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w:t>
      </w:r>
      <w:proofErr w:type="spellStart"/>
      <w:r w:rsidRPr="005256F7">
        <w:rPr>
          <w:sz w:val="22"/>
          <w:lang w:eastAsia="zh-HK"/>
        </w:rPr>
        <w:t>merchanting</w:t>
      </w:r>
      <w:proofErr w:type="spellEnd"/>
      <w:r w:rsidRPr="005256F7">
        <w:rPr>
          <w:sz w:val="22"/>
          <w:lang w:eastAsia="zh-HK"/>
        </w:rPr>
        <w:t xml:space="preserve">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lastRenderedPageBreak/>
        <w:t>The domestic sector</w:t>
      </w:r>
    </w:p>
    <w:p w:rsidR="00074916" w:rsidRPr="004110C3" w:rsidRDefault="00074916">
      <w:pPr>
        <w:pStyle w:val="a5"/>
        <w:tabs>
          <w:tab w:val="left" w:pos="1080"/>
        </w:tabs>
        <w:ind w:right="26"/>
        <w:jc w:val="both"/>
        <w:rPr>
          <w:rFonts w:ascii="Times New Roman"/>
          <w:lang w:val="en-GB"/>
        </w:rPr>
      </w:pPr>
    </w:p>
    <w:p w:rsidR="00561155" w:rsidRPr="00B25A11" w:rsidRDefault="00C70DCA" w:rsidP="00AE2F42">
      <w:pPr>
        <w:pStyle w:val="a5"/>
        <w:numPr>
          <w:ilvl w:val="1"/>
          <w:numId w:val="19"/>
        </w:numPr>
        <w:tabs>
          <w:tab w:val="left" w:pos="1260"/>
        </w:tabs>
        <w:overflowPunct w:val="0"/>
        <w:ind w:left="0" w:right="28" w:firstLine="0"/>
        <w:jc w:val="both"/>
      </w:pPr>
      <w:r>
        <w:rPr>
          <w:rFonts w:ascii="Times New Roman"/>
          <w:lang w:val="en-GB"/>
        </w:rPr>
        <w:t xml:space="preserve">Consumption activities </w:t>
      </w:r>
      <w:r w:rsidR="00956748">
        <w:rPr>
          <w:rFonts w:ascii="Times New Roman"/>
          <w:lang w:val="en-GB"/>
        </w:rPr>
        <w:t>weakened</w:t>
      </w:r>
      <w:r w:rsidR="00B6501A">
        <w:rPr>
          <w:rFonts w:ascii="Times New Roman"/>
          <w:lang w:val="en-GB"/>
        </w:rPr>
        <w:t xml:space="preserve"> </w:t>
      </w:r>
      <w:r>
        <w:rPr>
          <w:rFonts w:ascii="Times New Roman"/>
          <w:lang w:val="en-GB"/>
        </w:rPr>
        <w:t xml:space="preserve">in the </w:t>
      </w:r>
      <w:r w:rsidR="000E7952">
        <w:rPr>
          <w:rFonts w:ascii="Times New Roman"/>
          <w:lang w:val="en-GB"/>
        </w:rPr>
        <w:t xml:space="preserve">second </w:t>
      </w:r>
      <w:r>
        <w:rPr>
          <w:rFonts w:ascii="Times New Roman"/>
          <w:lang w:val="en-GB"/>
        </w:rPr>
        <w:t>quarter of 202</w:t>
      </w:r>
      <w:r w:rsidR="007A21C0">
        <w:rPr>
          <w:rFonts w:ascii="Times New Roman"/>
          <w:lang w:val="en-GB"/>
        </w:rPr>
        <w:t>4</w:t>
      </w:r>
      <w:r w:rsidR="000E7952">
        <w:rPr>
          <w:rFonts w:ascii="Times New Roman"/>
          <w:lang w:val="en-GB"/>
        </w:rPr>
        <w:t xml:space="preserve">, </w:t>
      </w:r>
      <w:r w:rsidR="00956748">
        <w:rPr>
          <w:rFonts w:ascii="Times New Roman"/>
          <w:lang w:val="en-GB"/>
        </w:rPr>
        <w:t xml:space="preserve">mainly affected by </w:t>
      </w:r>
      <w:r w:rsidR="000E7952">
        <w:rPr>
          <w:rFonts w:ascii="Times New Roman"/>
          <w:lang w:val="en-GB"/>
        </w:rPr>
        <w:t>t</w:t>
      </w:r>
      <w:r w:rsidR="004E5736">
        <w:rPr>
          <w:rFonts w:ascii="Times New Roman"/>
          <w:lang w:val="en-GB"/>
        </w:rPr>
        <w:t xml:space="preserve">he </w:t>
      </w:r>
      <w:r w:rsidR="00956748" w:rsidRPr="00956748">
        <w:rPr>
          <w:rFonts w:ascii="Times New Roman"/>
          <w:lang w:val="en-GB"/>
        </w:rPr>
        <w:t>changes in the consumption patterns of residents</w:t>
      </w:r>
      <w:r w:rsidR="00956748" w:rsidRPr="00956748">
        <w:rPr>
          <w:rFonts w:ascii="Times New Roman"/>
          <w:bCs/>
          <w:lang w:val="en-GB"/>
        </w:rPr>
        <w:t>.</w:t>
      </w:r>
      <w:r w:rsidR="00956748">
        <w:rPr>
          <w:rFonts w:ascii="Times New Roman"/>
          <w:bCs/>
          <w:lang w:val="en-GB"/>
        </w:rPr>
        <w:t xml:space="preserve">  </w:t>
      </w:r>
      <w:r>
        <w:rPr>
          <w:rFonts w:ascii="Times New Roman"/>
          <w:kern w:val="0"/>
          <w:lang w:val="en-GB"/>
        </w:rPr>
        <w:t>A</w:t>
      </w:r>
      <w:r>
        <w:rPr>
          <w:rFonts w:ascii="Times New Roman"/>
          <w:kern w:val="0"/>
          <w:lang w:val="en-GB" w:eastAsia="zh-HK"/>
        </w:rPr>
        <w:t xml:space="preserve">fter increasing by </w:t>
      </w:r>
      <w:r w:rsidR="00FE3CAE">
        <w:rPr>
          <w:rFonts w:ascii="Times New Roman"/>
          <w:kern w:val="0"/>
          <w:lang w:val="en-GB" w:eastAsia="zh-HK"/>
        </w:rPr>
        <w:t>1.</w:t>
      </w:r>
      <w:r w:rsidR="000B330F">
        <w:rPr>
          <w:rFonts w:ascii="Times New Roman"/>
          <w:kern w:val="0"/>
          <w:lang w:val="en-GB" w:eastAsia="zh-HK"/>
        </w:rPr>
        <w:t>2</w:t>
      </w:r>
      <w:r w:rsidRPr="00E77331">
        <w:rPr>
          <w:rFonts w:ascii="Times New Roman"/>
          <w:kern w:val="0"/>
          <w:lang w:val="en-GB" w:eastAsia="zh-HK"/>
        </w:rPr>
        <w:t>%</w:t>
      </w:r>
      <w:r>
        <w:rPr>
          <w:rFonts w:ascii="Times New Roman"/>
          <w:kern w:val="0"/>
          <w:lang w:val="en-GB" w:eastAsia="zh-HK"/>
        </w:rPr>
        <w:t xml:space="preserve"> </w:t>
      </w:r>
      <w:r w:rsidR="00255D7A">
        <w:rPr>
          <w:rFonts w:ascii="Times New Roman"/>
          <w:kern w:val="0"/>
          <w:lang w:val="en-GB" w:eastAsia="zh-HK"/>
        </w:rPr>
        <w:t xml:space="preserve">year-on-year </w:t>
      </w:r>
      <w:r>
        <w:rPr>
          <w:rFonts w:ascii="Times New Roman"/>
          <w:kern w:val="0"/>
          <w:lang w:val="en-GB" w:eastAsia="zh-HK"/>
        </w:rPr>
        <w:t xml:space="preserve">in real terms </w:t>
      </w:r>
      <w:r w:rsidRPr="00E77331">
        <w:rPr>
          <w:rFonts w:ascii="Times New Roman" w:hint="eastAsia"/>
          <w:kern w:val="0"/>
          <w:lang w:val="en-GB" w:eastAsia="zh-HK"/>
        </w:rPr>
        <w:t>in the preceding quarter</w:t>
      </w:r>
      <w:r>
        <w:rPr>
          <w:rFonts w:ascii="Times New Roman"/>
          <w:kern w:val="0"/>
          <w:lang w:val="en-GB" w:eastAsia="zh-HK"/>
        </w:rPr>
        <w:t xml:space="preserve">, </w:t>
      </w:r>
      <w:r>
        <w:rPr>
          <w:rFonts w:ascii="Times New Roman"/>
          <w:i/>
          <w:kern w:val="0"/>
          <w:lang w:val="en-GB"/>
        </w:rPr>
        <w:t>p</w:t>
      </w:r>
      <w:r w:rsidRPr="00E77331">
        <w:rPr>
          <w:rFonts w:ascii="Times New Roman"/>
          <w:i/>
          <w:kern w:val="0"/>
          <w:lang w:val="en-GB"/>
        </w:rPr>
        <w:t>rivate consumption expenditure</w:t>
      </w:r>
      <w:r w:rsidRPr="00E77331">
        <w:rPr>
          <w:rFonts w:ascii="Times New Roman"/>
          <w:kern w:val="0"/>
          <w:lang w:val="en-GB"/>
        </w:rPr>
        <w:t xml:space="preserve"> </w:t>
      </w:r>
      <w:r w:rsidR="00956748">
        <w:rPr>
          <w:rFonts w:ascii="Times New Roman"/>
          <w:kern w:val="0"/>
          <w:lang w:val="en-GB"/>
        </w:rPr>
        <w:t>decline</w:t>
      </w:r>
      <w:r w:rsidR="00F512E5">
        <w:rPr>
          <w:rFonts w:ascii="Times New Roman"/>
          <w:kern w:val="0"/>
          <w:lang w:val="en-GB"/>
        </w:rPr>
        <w:t>d</w:t>
      </w:r>
      <w:r w:rsidR="00956748">
        <w:rPr>
          <w:rFonts w:ascii="Times New Roman"/>
          <w:kern w:val="0"/>
          <w:lang w:val="en-GB"/>
        </w:rPr>
        <w:t xml:space="preserve"> </w:t>
      </w:r>
      <w:r w:rsidR="00F512E5">
        <w:rPr>
          <w:rFonts w:ascii="Times New Roman"/>
          <w:kern w:val="0"/>
          <w:lang w:val="en-GB"/>
        </w:rPr>
        <w:t xml:space="preserve">by </w:t>
      </w:r>
      <w:r w:rsidR="000B330F">
        <w:rPr>
          <w:rFonts w:ascii="Times New Roman"/>
          <w:kern w:val="0"/>
          <w:lang w:val="en-GB"/>
        </w:rPr>
        <w:t>1.</w:t>
      </w:r>
      <w:r w:rsidR="005A20FE">
        <w:rPr>
          <w:rFonts w:ascii="Times New Roman"/>
          <w:kern w:val="0"/>
          <w:lang w:val="en-GB"/>
        </w:rPr>
        <w:t>5</w:t>
      </w:r>
      <w:r>
        <w:rPr>
          <w:rFonts w:ascii="Times New Roman"/>
          <w:kern w:val="0"/>
          <w:lang w:val="en-GB"/>
        </w:rPr>
        <w:t xml:space="preserve">% in the </w:t>
      </w:r>
      <w:r w:rsidR="00FE3CAE">
        <w:rPr>
          <w:rFonts w:ascii="Times New Roman"/>
          <w:kern w:val="0"/>
          <w:lang w:val="en-GB"/>
        </w:rPr>
        <w:t xml:space="preserve">second </w:t>
      </w:r>
      <w:r>
        <w:rPr>
          <w:rFonts w:ascii="Times New Roman"/>
          <w:kern w:val="0"/>
          <w:lang w:val="en-GB"/>
        </w:rPr>
        <w:t>quarter</w:t>
      </w:r>
      <w:r w:rsidRPr="00E77331">
        <w:rPr>
          <w:rFonts w:ascii="Times New Roman"/>
          <w:kern w:val="0"/>
          <w:lang w:val="en-GB"/>
        </w:rPr>
        <w:t xml:space="preserve">. </w:t>
      </w:r>
      <w:r>
        <w:rPr>
          <w:rFonts w:ascii="Times New Roman"/>
          <w:kern w:val="0"/>
          <w:lang w:val="en-GB"/>
        </w:rPr>
        <w:t xml:space="preserve"> </w:t>
      </w:r>
      <w:r w:rsidRPr="00E77331">
        <w:rPr>
          <w:rFonts w:ascii="Times New Roman"/>
          <w:kern w:val="0"/>
          <w:lang w:val="en-GB"/>
        </w:rPr>
        <w:t>On</w:t>
      </w:r>
      <w:r>
        <w:rPr>
          <w:rFonts w:ascii="Times New Roman"/>
          <w:kern w:val="0"/>
          <w:lang w:val="en-GB"/>
        </w:rPr>
        <w:t xml:space="preserve"> a seasonally adjusted quarter</w:t>
      </w:r>
      <w:r>
        <w:rPr>
          <w:rFonts w:ascii="Times New Roman"/>
          <w:kern w:val="0"/>
          <w:lang w:val="en-GB"/>
        </w:rPr>
        <w:noBreakHyphen/>
        <w:t>to</w:t>
      </w:r>
      <w:r>
        <w:rPr>
          <w:rFonts w:ascii="Times New Roman"/>
          <w:kern w:val="0"/>
          <w:lang w:val="en-GB"/>
        </w:rPr>
        <w:noBreakHyphen/>
        <w:t xml:space="preserve">quarter basis, private consumption expenditure </w:t>
      </w:r>
      <w:r w:rsidR="00FD29A7">
        <w:rPr>
          <w:rFonts w:ascii="Times New Roman"/>
          <w:kern w:val="0"/>
          <w:lang w:val="en-GB"/>
        </w:rPr>
        <w:t xml:space="preserve">increased </w:t>
      </w:r>
      <w:r>
        <w:rPr>
          <w:rFonts w:ascii="Times New Roman"/>
          <w:kern w:val="0"/>
          <w:lang w:val="en-GB"/>
        </w:rPr>
        <w:t xml:space="preserve">by </w:t>
      </w:r>
      <w:r w:rsidR="003514EE">
        <w:rPr>
          <w:rFonts w:ascii="Times New Roman"/>
          <w:kern w:val="0"/>
          <w:lang w:val="en-GB"/>
        </w:rPr>
        <w:t>0.</w:t>
      </w:r>
      <w:r w:rsidR="005A20FE">
        <w:rPr>
          <w:rFonts w:ascii="Times New Roman"/>
          <w:kern w:val="0"/>
          <w:lang w:val="en-GB"/>
        </w:rPr>
        <w:t>7</w:t>
      </w:r>
      <w:r>
        <w:rPr>
          <w:rFonts w:ascii="Times New Roman"/>
          <w:kern w:val="0"/>
          <w:lang w:val="en-GB"/>
        </w:rPr>
        <w:t>%</w:t>
      </w:r>
      <w:r w:rsidRPr="0004439A">
        <w:rPr>
          <w:rFonts w:ascii="Times New Roman" w:hint="eastAsia"/>
          <w:lang w:val="en-GB"/>
        </w:rPr>
        <w:t xml:space="preserve">.  </w:t>
      </w:r>
      <w:r>
        <w:rPr>
          <w:rFonts w:ascii="Times New Roman"/>
          <w:kern w:val="0"/>
          <w:lang w:val="en-GB"/>
        </w:rPr>
        <w:t>Meanwhile</w:t>
      </w:r>
      <w:r w:rsidRPr="00A06ABA">
        <w:rPr>
          <w:rFonts w:ascii="Times New Roman" w:hint="eastAsia"/>
          <w:kern w:val="0"/>
          <w:lang w:val="en-GB"/>
        </w:rPr>
        <w:t xml:space="preserve">, </w:t>
      </w:r>
      <w:r w:rsidRPr="00E66109">
        <w:rPr>
          <w:rFonts w:ascii="Times New Roman"/>
          <w:i/>
          <w:lang w:val="en-GB"/>
        </w:rPr>
        <w:t>government consumption expenditure</w:t>
      </w:r>
      <w:r w:rsidRPr="00E66109">
        <w:rPr>
          <w:rFonts w:ascii="Times New Roman"/>
          <w:lang w:val="en-GB"/>
        </w:rPr>
        <w:t xml:space="preserve"> </w:t>
      </w:r>
      <w:r w:rsidR="006966DF">
        <w:rPr>
          <w:rFonts w:ascii="Times New Roman"/>
          <w:lang w:val="en-GB"/>
        </w:rPr>
        <w:t xml:space="preserve">rose </w:t>
      </w:r>
      <w:r w:rsidRPr="00E66109">
        <w:rPr>
          <w:rFonts w:ascii="Times New Roman"/>
          <w:lang w:val="en-GB"/>
        </w:rPr>
        <w:t xml:space="preserve">by </w:t>
      </w:r>
      <w:r w:rsidR="000B330F">
        <w:rPr>
          <w:rFonts w:ascii="Times New Roman"/>
          <w:lang w:val="en-GB"/>
        </w:rPr>
        <w:t>2.0</w:t>
      </w:r>
      <w:r w:rsidRPr="00E66109">
        <w:rPr>
          <w:rFonts w:ascii="Times New Roman"/>
          <w:lang w:val="en-GB"/>
        </w:rPr>
        <w:t xml:space="preserve">% </w:t>
      </w:r>
      <w:r>
        <w:rPr>
          <w:rFonts w:ascii="Times New Roman"/>
          <w:lang w:val="en-GB"/>
        </w:rPr>
        <w:t>year-on-year</w:t>
      </w:r>
      <w:r w:rsidRPr="00E66109">
        <w:rPr>
          <w:rFonts w:ascii="Times New Roman"/>
          <w:lang w:val="en-GB"/>
        </w:rPr>
        <w:t xml:space="preserve"> in </w:t>
      </w:r>
      <w:r>
        <w:rPr>
          <w:rFonts w:ascii="Times New Roman"/>
          <w:lang w:val="en-GB"/>
        </w:rPr>
        <w:t xml:space="preserve">the </w:t>
      </w:r>
      <w:r w:rsidR="00781096">
        <w:rPr>
          <w:rFonts w:ascii="Times New Roman"/>
          <w:lang w:val="en-GB"/>
        </w:rPr>
        <w:t xml:space="preserve">second </w:t>
      </w:r>
      <w:r>
        <w:rPr>
          <w:rFonts w:ascii="Times New Roman"/>
          <w:lang w:val="en-GB"/>
        </w:rPr>
        <w:t>quarter</w:t>
      </w:r>
      <w:r w:rsidRPr="00E66109">
        <w:rPr>
          <w:rFonts w:ascii="Times New Roman"/>
          <w:lang w:val="en-GB"/>
        </w:rPr>
        <w:t xml:space="preserve">, </w:t>
      </w:r>
      <w:r w:rsidR="0095256B">
        <w:rPr>
          <w:rFonts w:ascii="Times New Roman"/>
          <w:lang w:val="en-GB"/>
        </w:rPr>
        <w:t>after</w:t>
      </w:r>
      <w:r>
        <w:rPr>
          <w:rFonts w:ascii="Times New Roman"/>
          <w:lang w:val="en-GB"/>
        </w:rPr>
        <w:t xml:space="preserve"> a</w:t>
      </w:r>
      <w:r>
        <w:rPr>
          <w:rFonts w:ascii="Times New Roman" w:hint="eastAsia"/>
          <w:lang w:val="en-GB"/>
        </w:rPr>
        <w:t xml:space="preserve"> </w:t>
      </w:r>
      <w:r w:rsidR="005A20FE">
        <w:rPr>
          <w:rFonts w:ascii="Times New Roman"/>
          <w:lang w:val="en-GB"/>
        </w:rPr>
        <w:t>2.2</w:t>
      </w:r>
      <w:r w:rsidRPr="00E66109">
        <w:rPr>
          <w:rFonts w:ascii="Times New Roman"/>
          <w:lang w:val="en-GB"/>
        </w:rPr>
        <w:t>%</w:t>
      </w:r>
      <w:r w:rsidRPr="00E66109">
        <w:rPr>
          <w:rFonts w:ascii="Times New Roman" w:hint="eastAsia"/>
          <w:lang w:val="en-GB"/>
        </w:rPr>
        <w:t xml:space="preserve"> </w:t>
      </w:r>
      <w:r w:rsidR="0095256B">
        <w:rPr>
          <w:rFonts w:ascii="Times New Roman"/>
          <w:lang w:val="en-GB"/>
        </w:rPr>
        <w:t>de</w:t>
      </w:r>
      <w:r>
        <w:rPr>
          <w:rFonts w:ascii="Times New Roman"/>
          <w:lang w:val="en-GB"/>
        </w:rPr>
        <w:t xml:space="preserve">crease </w:t>
      </w:r>
      <w:r w:rsidRPr="00E66109">
        <w:rPr>
          <w:rFonts w:ascii="Times New Roman" w:hint="eastAsia"/>
          <w:lang w:val="en-GB"/>
        </w:rPr>
        <w:t xml:space="preserve">in </w:t>
      </w:r>
      <w:r>
        <w:rPr>
          <w:rFonts w:ascii="Times New Roman"/>
          <w:lang w:val="en-GB"/>
        </w:rPr>
        <w:t>the preceding quarter</w:t>
      </w:r>
      <w:r w:rsidR="005C7F7E" w:rsidRPr="00E66109">
        <w:rPr>
          <w:rFonts w:ascii="Times New Roman"/>
          <w:lang w:val="en-GB"/>
        </w:rPr>
        <w:t>.</w:t>
      </w:r>
    </w:p>
    <w:p w:rsidR="00C17673" w:rsidRDefault="00C17673" w:rsidP="00B25A11">
      <w:pPr>
        <w:pStyle w:val="a5"/>
        <w:tabs>
          <w:tab w:val="left" w:pos="1260"/>
        </w:tabs>
        <w:overflowPunct w:val="0"/>
        <w:ind w:right="28"/>
        <w:jc w:val="both"/>
        <w:rPr>
          <w:rFonts w:ascii="Times New Roman"/>
          <w:bCs/>
          <w:i/>
          <w:kern w:val="0"/>
          <w:lang w:eastAsia="zh-HK"/>
        </w:rPr>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 xml:space="preserve">Table </w:t>
      </w:r>
      <w:proofErr w:type="gramStart"/>
      <w:r w:rsidRPr="00327CE5">
        <w:rPr>
          <w:b/>
          <w:kern w:val="0"/>
          <w:sz w:val="28"/>
        </w:rPr>
        <w:t>1.2 :</w:t>
      </w:r>
      <w:proofErr w:type="gramEnd"/>
      <w:r w:rsidRPr="00327CE5">
        <w:rPr>
          <w:b/>
          <w:kern w:val="0"/>
          <w:sz w:val="28"/>
        </w:rPr>
        <w:t xml:space="preserve"> Consumer spending by major component</w:t>
      </w:r>
      <w:r w:rsidRPr="00327CE5">
        <w:rPr>
          <w:b/>
          <w:kern w:val="0"/>
          <w:sz w:val="28"/>
          <w:vertAlign w:val="superscript"/>
        </w:rPr>
        <w:t>(a)</w:t>
      </w:r>
    </w:p>
    <w:p w:rsidR="006966DF" w:rsidRPr="00E34C47" w:rsidRDefault="00C821DE" w:rsidP="00E34C47">
      <w:pPr>
        <w:spacing w:afterLines="50" w:after="180"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C821DE" w:rsidRPr="00327CE5" w:rsidTr="00382C00">
        <w:trPr>
          <w:jc w:val="center"/>
        </w:trPr>
        <w:tc>
          <w:tcPr>
            <w:tcW w:w="62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r>
      <w:tr w:rsidR="00C821DE" w:rsidRPr="00327CE5" w:rsidTr="00382C00">
        <w:trPr>
          <w:jc w:val="center"/>
        </w:trPr>
        <w:tc>
          <w:tcPr>
            <w:tcW w:w="62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4C649D" w:rsidRPr="00327CE5" w:rsidTr="00D87308">
        <w:trPr>
          <w:trHeight w:val="287"/>
          <w:jc w:val="center"/>
        </w:trPr>
        <w:tc>
          <w:tcPr>
            <w:tcW w:w="620" w:type="dxa"/>
            <w:tcBorders>
              <w:top w:val="nil"/>
              <w:left w:val="nil"/>
              <w:bottom w:val="nil"/>
              <w:right w:val="nil"/>
            </w:tcBorders>
            <w:shd w:val="clear" w:color="auto" w:fill="auto"/>
            <w:noWrap/>
            <w:hideMark/>
          </w:tcPr>
          <w:p w:rsidR="004C649D" w:rsidRPr="004110C3" w:rsidRDefault="004C649D" w:rsidP="004C649D">
            <w:pPr>
              <w:widowControl/>
              <w:rPr>
                <w:color w:val="000000"/>
                <w:kern w:val="0"/>
              </w:rPr>
            </w:pPr>
          </w:p>
        </w:tc>
        <w:tc>
          <w:tcPr>
            <w:tcW w:w="860" w:type="dxa"/>
            <w:tcBorders>
              <w:top w:val="nil"/>
              <w:left w:val="nil"/>
              <w:bottom w:val="nil"/>
              <w:right w:val="nil"/>
            </w:tcBorders>
            <w:shd w:val="clear" w:color="auto" w:fill="auto"/>
            <w:noWrap/>
            <w:hideMark/>
          </w:tcPr>
          <w:p w:rsidR="004C649D" w:rsidRPr="00577A9B" w:rsidRDefault="004C649D" w:rsidP="002B27D0">
            <w:pPr>
              <w:widowControl/>
              <w:jc w:val="right"/>
              <w:rPr>
                <w:color w:val="000000"/>
                <w:kern w:val="0"/>
              </w:rPr>
            </w:pPr>
          </w:p>
        </w:tc>
        <w:tc>
          <w:tcPr>
            <w:tcW w:w="1400" w:type="dxa"/>
            <w:tcBorders>
              <w:top w:val="nil"/>
              <w:left w:val="nil"/>
              <w:bottom w:val="nil"/>
              <w:right w:val="nil"/>
            </w:tcBorders>
            <w:shd w:val="clear" w:color="auto" w:fill="auto"/>
            <w:noWrap/>
          </w:tcPr>
          <w:p w:rsidR="004C649D" w:rsidRPr="00CD40D7" w:rsidRDefault="004C649D" w:rsidP="004C649D">
            <w:pPr>
              <w:pStyle w:val="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rsidR="004C649D" w:rsidRPr="00CD40D7" w:rsidRDefault="004C649D" w:rsidP="004C649D">
            <w:pPr>
              <w:pStyle w:val="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rsidR="004C649D" w:rsidRPr="00CD40D7" w:rsidRDefault="004C649D" w:rsidP="004C649D">
            <w:pPr>
              <w:pStyle w:val="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rsidR="004C649D" w:rsidRPr="00CD40D7" w:rsidRDefault="004C649D" w:rsidP="004C649D">
            <w:pPr>
              <w:pStyle w:val="5"/>
              <w:tabs>
                <w:tab w:val="right" w:pos="888"/>
              </w:tabs>
              <w:overflowPunct w:val="0"/>
              <w:spacing w:line="240" w:lineRule="exact"/>
              <w:ind w:left="-108"/>
              <w:jc w:val="left"/>
              <w:rPr>
                <w:rFonts w:ascii="Times New Roman"/>
                <w:kern w:val="0"/>
                <w:sz w:val="24"/>
                <w:szCs w:val="24"/>
                <w:lang w:val="en-GB"/>
              </w:rPr>
            </w:pPr>
          </w:p>
        </w:tc>
      </w:tr>
      <w:tr w:rsidR="004C649D" w:rsidRPr="006A0497" w:rsidTr="00CB3067">
        <w:trPr>
          <w:trHeight w:val="182"/>
          <w:jc w:val="center"/>
        </w:trPr>
        <w:tc>
          <w:tcPr>
            <w:tcW w:w="620" w:type="dxa"/>
            <w:tcBorders>
              <w:top w:val="nil"/>
              <w:left w:val="nil"/>
              <w:bottom w:val="nil"/>
              <w:right w:val="nil"/>
            </w:tcBorders>
            <w:shd w:val="clear" w:color="auto" w:fill="auto"/>
            <w:noWrap/>
            <w:vAlign w:val="center"/>
            <w:hideMark/>
          </w:tcPr>
          <w:p w:rsidR="004C649D" w:rsidRPr="006A0497" w:rsidRDefault="004C649D" w:rsidP="002B27D0">
            <w:pPr>
              <w:widowControl/>
              <w:jc w:val="both"/>
              <w:rPr>
                <w:color w:val="000000"/>
                <w:kern w:val="0"/>
              </w:rPr>
            </w:pPr>
            <w:r w:rsidRPr="006A0497">
              <w:rPr>
                <w:color w:val="000000"/>
                <w:kern w:val="0"/>
              </w:rPr>
              <w:t>20</w:t>
            </w:r>
            <w:r>
              <w:rPr>
                <w:color w:val="000000"/>
                <w:kern w:val="0"/>
              </w:rPr>
              <w:t>2</w:t>
            </w:r>
            <w:r w:rsidR="002B27D0">
              <w:rPr>
                <w:color w:val="000000"/>
                <w:kern w:val="0"/>
              </w:rPr>
              <w:t>3</w:t>
            </w: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4C649D" w:rsidRPr="00CD40D7" w:rsidRDefault="0051543A">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8.</w:t>
            </w:r>
            <w:r w:rsidR="006E1C04">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0.</w:t>
            </w:r>
            <w:r w:rsidR="00CD40D7" w:rsidRPr="00CD40D7">
              <w:rPr>
                <w:rFonts w:ascii="Times New Roman"/>
                <w:kern w:val="0"/>
                <w:sz w:val="24"/>
                <w:szCs w:val="24"/>
                <w:u w:val="none"/>
                <w:lang w:val="en-GB"/>
              </w:rPr>
              <w:t>4</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12.1</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22.</w:t>
            </w:r>
            <w:r w:rsidR="00CD40D7" w:rsidRPr="00CD40D7">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4C649D" w:rsidRPr="00CD40D7" w:rsidRDefault="006E1C04" w:rsidP="004C649D">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6.0</w:t>
            </w:r>
          </w:p>
        </w:tc>
        <w:tc>
          <w:tcPr>
            <w:tcW w:w="130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292.1</w:t>
            </w:r>
          </w:p>
        </w:tc>
        <w:tc>
          <w:tcPr>
            <w:tcW w:w="104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499.6</w:t>
            </w:r>
          </w:p>
        </w:tc>
        <w:tc>
          <w:tcPr>
            <w:tcW w:w="148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912"/>
              </w:tabs>
              <w:overflowPunct w:val="0"/>
              <w:spacing w:line="240" w:lineRule="exact"/>
              <w:ind w:left="-108"/>
              <w:rPr>
                <w:rFonts w:ascii="Times New Roman"/>
                <w:kern w:val="0"/>
                <w:sz w:val="24"/>
                <w:szCs w:val="24"/>
                <w:u w:val="none"/>
                <w:lang w:val="en-HK" w:eastAsia="zh-HK"/>
              </w:rPr>
            </w:pPr>
            <w:r w:rsidRPr="00CD40D7">
              <w:rPr>
                <w:rFonts w:ascii="Times New Roman"/>
                <w:kern w:val="0"/>
                <w:sz w:val="24"/>
                <w:szCs w:val="24"/>
                <w:u w:val="none"/>
                <w:lang w:val="en-GB" w:eastAsia="zh-HK"/>
              </w:rPr>
              <w:t>7.</w:t>
            </w:r>
            <w:r w:rsidR="006E1C04">
              <w:rPr>
                <w:rFonts w:ascii="Times New Roman"/>
                <w:kern w:val="0"/>
                <w:sz w:val="24"/>
                <w:szCs w:val="24"/>
                <w:u w:val="none"/>
                <w:lang w:val="en-GB" w:eastAsia="zh-HK"/>
              </w:rPr>
              <w:t>7</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14.2</w:t>
            </w:r>
          </w:p>
        </w:tc>
        <w:tc>
          <w:tcPr>
            <w:tcW w:w="74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24.9</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3</w:t>
            </w:r>
            <w:r w:rsidRPr="00CD40D7">
              <w:rPr>
                <w:rFonts w:ascii="Times New Roman"/>
                <w:kern w:val="0"/>
                <w:sz w:val="24"/>
                <w:szCs w:val="24"/>
                <w:u w:val="none"/>
                <w:lang w:val="en-GB"/>
              </w:rPr>
              <w:t>2</w:t>
            </w:r>
            <w:r w:rsidRPr="00CD40D7">
              <w:rPr>
                <w:rFonts w:ascii="Times New Roman" w:hint="eastAsia"/>
                <w:kern w:val="0"/>
                <w:sz w:val="24"/>
                <w:szCs w:val="24"/>
                <w:u w:val="none"/>
                <w:lang w:val="en-GB"/>
              </w:rPr>
              <w:t>.2</w:t>
            </w:r>
          </w:p>
        </w:tc>
        <w:tc>
          <w:tcPr>
            <w:tcW w:w="100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576"/>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5</w:t>
            </w:r>
          </w:p>
        </w:tc>
        <w:tc>
          <w:tcPr>
            <w:tcW w:w="13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317.7</w:t>
            </w:r>
          </w:p>
        </w:tc>
        <w:tc>
          <w:tcPr>
            <w:tcW w:w="104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48</w:t>
            </w:r>
            <w:r w:rsidR="006E1C04">
              <w:rPr>
                <w:rFonts w:ascii="Times New Roman"/>
                <w:kern w:val="0"/>
                <w:sz w:val="24"/>
                <w:szCs w:val="24"/>
                <w:u w:val="none"/>
                <w:lang w:val="en-GB"/>
              </w:rPr>
              <w:t>5.0</w:t>
            </w:r>
          </w:p>
        </w:tc>
        <w:tc>
          <w:tcPr>
            <w:tcW w:w="148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w:t>
            </w:r>
            <w:r w:rsidR="006E1C04">
              <w:rPr>
                <w:rFonts w:ascii="Times New Roman"/>
                <w:kern w:val="0"/>
                <w:sz w:val="24"/>
                <w:szCs w:val="24"/>
                <w:u w:val="none"/>
                <w:lang w:val="en-GB"/>
              </w:rPr>
              <w:t>3.0</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2B27D0" w:rsidRPr="00CD40D7" w:rsidRDefault="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23.5</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21.3</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6.1</w:t>
            </w:r>
          </w:p>
        </w:tc>
        <w:tc>
          <w:tcPr>
            <w:tcW w:w="130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w:t>
            </w:r>
            <w:r w:rsidR="006E1C04">
              <w:rPr>
                <w:rFonts w:ascii="Times New Roman"/>
                <w:kern w:val="0"/>
                <w:sz w:val="24"/>
                <w:szCs w:val="24"/>
                <w:u w:val="none"/>
                <w:lang w:val="en-GB"/>
              </w:rPr>
              <w:t>11.4</w:t>
            </w:r>
          </w:p>
        </w:tc>
        <w:tc>
          <w:tcPr>
            <w:tcW w:w="104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73</w:t>
            </w:r>
            <w:r w:rsidR="006E1C04">
              <w:rPr>
                <w:rFonts w:ascii="Times New Roman"/>
                <w:kern w:val="0"/>
                <w:sz w:val="24"/>
                <w:szCs w:val="24"/>
                <w:u w:val="none"/>
                <w:lang w:val="en-GB"/>
              </w:rPr>
              <w:t>6.5</w:t>
            </w:r>
          </w:p>
        </w:tc>
        <w:tc>
          <w:tcPr>
            <w:tcW w:w="148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8.4</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2B27D0" w:rsidRPr="00CD40D7" w:rsidRDefault="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w:t>
            </w:r>
            <w:r w:rsidR="006E1C04">
              <w:rPr>
                <w:rFonts w:ascii="Times New Roman"/>
                <w:kern w:val="0"/>
                <w:sz w:val="24"/>
                <w:szCs w:val="24"/>
                <w:u w:val="none"/>
                <w:lang w:val="en-GB"/>
              </w:rPr>
              <w:t>7</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-1.3</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9.7</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21.7</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5.3</w:t>
            </w:r>
          </w:p>
        </w:tc>
        <w:tc>
          <w:tcPr>
            <w:tcW w:w="130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3</w:t>
            </w:r>
            <w:r w:rsidR="006E1C04">
              <w:rPr>
                <w:rFonts w:ascii="Times New Roman"/>
                <w:kern w:val="0"/>
                <w:sz w:val="24"/>
                <w:szCs w:val="24"/>
                <w:u w:val="none"/>
                <w:lang w:val="en-GB"/>
              </w:rPr>
              <w:t>81.7</w:t>
            </w:r>
          </w:p>
        </w:tc>
        <w:tc>
          <w:tcPr>
            <w:tcW w:w="104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74</w:t>
            </w:r>
            <w:r w:rsidR="006E1C04">
              <w:rPr>
                <w:rFonts w:ascii="Times New Roman"/>
                <w:kern w:val="0"/>
                <w:sz w:val="24"/>
                <w:szCs w:val="24"/>
                <w:u w:val="none"/>
                <w:lang w:val="en-GB"/>
              </w:rPr>
              <w:t>0.6</w:t>
            </w:r>
          </w:p>
        </w:tc>
        <w:tc>
          <w:tcPr>
            <w:tcW w:w="1480" w:type="dxa"/>
            <w:tcBorders>
              <w:top w:val="nil"/>
              <w:left w:val="nil"/>
              <w:bottom w:val="nil"/>
              <w:right w:val="nil"/>
            </w:tcBorders>
            <w:shd w:val="clear" w:color="auto" w:fill="auto"/>
            <w:noWrap/>
            <w:vAlign w:val="center"/>
          </w:tcPr>
          <w:p w:rsidR="002B27D0" w:rsidRPr="00CD40D7" w:rsidRDefault="00B25A1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6.</w:t>
            </w:r>
            <w:r w:rsidR="006E1C04">
              <w:rPr>
                <w:rFonts w:ascii="Times New Roman"/>
                <w:kern w:val="0"/>
                <w:sz w:val="24"/>
                <w:szCs w:val="24"/>
                <w:u w:val="none"/>
                <w:lang w:val="en-GB"/>
              </w:rPr>
              <w:t>7</w:t>
            </w:r>
          </w:p>
        </w:tc>
      </w:tr>
      <w:tr w:rsidR="004C649D" w:rsidRPr="006A0497" w:rsidTr="004110C3">
        <w:trPr>
          <w:trHeight w:val="360"/>
          <w:jc w:val="center"/>
        </w:trPr>
        <w:tc>
          <w:tcPr>
            <w:tcW w:w="620" w:type="dxa"/>
            <w:tcBorders>
              <w:top w:val="nil"/>
              <w:left w:val="nil"/>
              <w:bottom w:val="nil"/>
              <w:right w:val="nil"/>
            </w:tcBorders>
            <w:shd w:val="clear" w:color="auto" w:fill="auto"/>
            <w:noWrap/>
            <w:hideMark/>
          </w:tcPr>
          <w:p w:rsidR="004C649D" w:rsidRPr="006A0497" w:rsidRDefault="004C649D" w:rsidP="004C649D">
            <w:pPr>
              <w:widowControl/>
              <w:rPr>
                <w:color w:val="000000"/>
                <w:kern w:val="0"/>
              </w:rPr>
            </w:pP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4C649D" w:rsidRPr="00CD40D7" w:rsidRDefault="0051543A">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4.</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4C649D" w:rsidRPr="00CD40D7" w:rsidRDefault="004C649D" w:rsidP="00CD40D7">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w:t>
            </w:r>
            <w:r w:rsidR="0051543A" w:rsidRPr="00CD40D7">
              <w:rPr>
                <w:rFonts w:ascii="Times New Roman" w:hint="eastAsia"/>
                <w:kern w:val="0"/>
                <w:sz w:val="24"/>
                <w:szCs w:val="24"/>
                <w:u w:val="none"/>
                <w:lang w:val="en-GB"/>
              </w:rPr>
              <w:t>4.</w:t>
            </w:r>
            <w:r w:rsidR="00CD40D7" w:rsidRPr="00CD40D7">
              <w:rPr>
                <w:rFonts w:ascii="Times New Roman"/>
                <w:kern w:val="0"/>
                <w:sz w:val="24"/>
                <w:szCs w:val="24"/>
                <w:u w:val="none"/>
                <w:lang w:val="en-GB"/>
              </w:rPr>
              <w:t>3</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-1.5</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18.</w:t>
            </w:r>
            <w:r w:rsidR="00CD40D7" w:rsidRPr="00CD40D7">
              <w:rPr>
                <w:rFonts w:ascii="Times New Roman"/>
                <w:kern w:val="0"/>
                <w:sz w:val="24"/>
                <w:szCs w:val="24"/>
                <w:u w:val="none"/>
                <w:lang w:val="en-GB" w:eastAsia="zh-HK"/>
              </w:rPr>
              <w:t>1</w:t>
            </w:r>
          </w:p>
        </w:tc>
        <w:tc>
          <w:tcPr>
            <w:tcW w:w="100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3.4</w:t>
            </w:r>
          </w:p>
        </w:tc>
        <w:tc>
          <w:tcPr>
            <w:tcW w:w="130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w:t>
            </w:r>
            <w:r w:rsidR="006E1C04">
              <w:rPr>
                <w:rFonts w:ascii="Times New Roman"/>
                <w:kern w:val="0"/>
                <w:sz w:val="24"/>
                <w:szCs w:val="24"/>
                <w:u w:val="none"/>
                <w:lang w:val="en-GB" w:eastAsia="zh-HK"/>
              </w:rPr>
              <w:t>79.8</w:t>
            </w:r>
          </w:p>
        </w:tc>
        <w:tc>
          <w:tcPr>
            <w:tcW w:w="104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30</w:t>
            </w:r>
            <w:r w:rsidR="006E1C04">
              <w:rPr>
                <w:rFonts w:ascii="Times New Roman"/>
                <w:kern w:val="0"/>
                <w:sz w:val="24"/>
                <w:szCs w:val="24"/>
                <w:u w:val="none"/>
                <w:lang w:val="en-GB" w:eastAsia="zh-HK"/>
              </w:rPr>
              <w:t>0.5</w:t>
            </w:r>
          </w:p>
        </w:tc>
        <w:tc>
          <w:tcPr>
            <w:tcW w:w="1480" w:type="dxa"/>
            <w:tcBorders>
              <w:top w:val="nil"/>
              <w:left w:val="nil"/>
              <w:bottom w:val="nil"/>
              <w:right w:val="nil"/>
            </w:tcBorders>
            <w:shd w:val="clear" w:color="auto" w:fill="auto"/>
            <w:noWrap/>
            <w:vAlign w:val="center"/>
          </w:tcPr>
          <w:p w:rsidR="004C649D" w:rsidRPr="00CD40D7" w:rsidRDefault="00B25A1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w:t>
            </w:r>
            <w:r w:rsidR="006E1C04">
              <w:rPr>
                <w:rFonts w:ascii="Times New Roman"/>
                <w:kern w:val="0"/>
                <w:sz w:val="24"/>
                <w:szCs w:val="24"/>
                <w:u w:val="none"/>
                <w:lang w:val="en-GB" w:eastAsia="zh-HK"/>
              </w:rPr>
              <w:t>5</w:t>
            </w:r>
          </w:p>
        </w:tc>
      </w:tr>
      <w:tr w:rsidR="00C70DCA" w:rsidRPr="006A0497" w:rsidTr="004110C3">
        <w:trPr>
          <w:trHeight w:val="360"/>
          <w:jc w:val="center"/>
        </w:trPr>
        <w:tc>
          <w:tcPr>
            <w:tcW w:w="620" w:type="dxa"/>
            <w:tcBorders>
              <w:top w:val="nil"/>
              <w:left w:val="nil"/>
              <w:bottom w:val="nil"/>
              <w:right w:val="nil"/>
            </w:tcBorders>
            <w:shd w:val="clear" w:color="auto" w:fill="auto"/>
            <w:noWrap/>
          </w:tcPr>
          <w:p w:rsidR="00C70DCA" w:rsidRPr="006A0497" w:rsidRDefault="00C70DCA" w:rsidP="004C649D">
            <w:pPr>
              <w:widowControl/>
              <w:rPr>
                <w:color w:val="000000"/>
                <w:kern w:val="0"/>
              </w:rPr>
            </w:pP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p>
        </w:tc>
        <w:tc>
          <w:tcPr>
            <w:tcW w:w="14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E20FC1">
            <w:pPr>
              <w:pStyle w:val="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912"/>
              </w:tabs>
              <w:overflowPunct w:val="0"/>
              <w:spacing w:line="240" w:lineRule="exact"/>
              <w:ind w:left="-108"/>
              <w:rPr>
                <w:rFonts w:ascii="Times New Roman"/>
                <w:kern w:val="0"/>
                <w:sz w:val="24"/>
                <w:szCs w:val="24"/>
                <w:u w:val="none"/>
                <w:lang w:val="en-GB" w:eastAsia="zh-HK"/>
              </w:rPr>
            </w:pPr>
          </w:p>
        </w:tc>
      </w:tr>
      <w:tr w:rsidR="00C70DCA" w:rsidRPr="006A0497" w:rsidTr="00AB195E">
        <w:trPr>
          <w:trHeight w:val="360"/>
          <w:jc w:val="center"/>
        </w:trPr>
        <w:tc>
          <w:tcPr>
            <w:tcW w:w="620" w:type="dxa"/>
            <w:tcBorders>
              <w:top w:val="nil"/>
              <w:left w:val="nil"/>
              <w:bottom w:val="nil"/>
              <w:right w:val="nil"/>
            </w:tcBorders>
            <w:shd w:val="clear" w:color="auto" w:fill="auto"/>
            <w:noWrap/>
            <w:vAlign w:val="center"/>
          </w:tcPr>
          <w:p w:rsidR="00C70DCA" w:rsidRPr="006A0497" w:rsidRDefault="00C70DCA" w:rsidP="00AB195E">
            <w:pPr>
              <w:widowControl/>
              <w:rPr>
                <w:color w:val="000000"/>
                <w:kern w:val="0"/>
              </w:rPr>
            </w:pPr>
            <w:r>
              <w:rPr>
                <w:color w:val="000000"/>
                <w:kern w:val="0"/>
              </w:rPr>
              <w:t>2024</w:t>
            </w: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rsidR="00C70DCA" w:rsidRPr="00CD40D7" w:rsidRDefault="009F6949">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w:t>
            </w:r>
            <w:r w:rsidR="003514EE">
              <w:rPr>
                <w:rFonts w:ascii="Times New Roman"/>
                <w:kern w:val="0"/>
                <w:sz w:val="24"/>
                <w:szCs w:val="24"/>
                <w:u w:val="none"/>
                <w:lang w:val="en-GB"/>
              </w:rPr>
              <w:t>3</w:t>
            </w:r>
          </w:p>
        </w:tc>
        <w:tc>
          <w:tcPr>
            <w:tcW w:w="740" w:type="dxa"/>
            <w:tcBorders>
              <w:top w:val="nil"/>
              <w:left w:val="nil"/>
              <w:bottom w:val="nil"/>
              <w:right w:val="nil"/>
            </w:tcBorders>
            <w:shd w:val="clear" w:color="auto" w:fill="auto"/>
            <w:noWrap/>
            <w:vAlign w:val="center"/>
          </w:tcPr>
          <w:p w:rsidR="00C70DCA" w:rsidRPr="00CD40D7" w:rsidRDefault="006E1C04">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w:t>
            </w:r>
            <w:r w:rsidR="009F6949">
              <w:rPr>
                <w:rFonts w:ascii="Times New Roman"/>
                <w:kern w:val="0"/>
                <w:sz w:val="24"/>
                <w:szCs w:val="24"/>
                <w:u w:val="none"/>
                <w:lang w:val="en-GB" w:eastAsia="zh-HK"/>
              </w:rPr>
              <w:t>2</w:t>
            </w:r>
          </w:p>
        </w:tc>
        <w:tc>
          <w:tcPr>
            <w:tcW w:w="1000" w:type="dxa"/>
            <w:tcBorders>
              <w:top w:val="nil"/>
              <w:left w:val="nil"/>
              <w:bottom w:val="nil"/>
              <w:right w:val="nil"/>
            </w:tcBorders>
            <w:shd w:val="clear" w:color="auto" w:fill="auto"/>
            <w:noWrap/>
            <w:vAlign w:val="center"/>
          </w:tcPr>
          <w:p w:rsidR="00C70DCA" w:rsidRPr="00CD40D7" w:rsidRDefault="009F6949" w:rsidP="00E20FC1">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rsidR="00C70DCA" w:rsidRPr="00CD40D7" w:rsidRDefault="009F6949" w:rsidP="00CD40D7">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rsidR="00C70DCA" w:rsidRPr="00CD40D7" w:rsidRDefault="001E4754">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w:t>
            </w:r>
            <w:r w:rsidR="00236F3D">
              <w:rPr>
                <w:rFonts w:ascii="Times New Roman"/>
                <w:kern w:val="0"/>
                <w:sz w:val="24"/>
                <w:szCs w:val="24"/>
                <w:u w:val="none"/>
                <w:lang w:val="en-GB" w:eastAsia="zh-HK"/>
              </w:rPr>
              <w:t>5</w:t>
            </w:r>
          </w:p>
        </w:tc>
        <w:tc>
          <w:tcPr>
            <w:tcW w:w="1300" w:type="dxa"/>
            <w:tcBorders>
              <w:top w:val="nil"/>
              <w:left w:val="nil"/>
              <w:bottom w:val="nil"/>
              <w:right w:val="nil"/>
            </w:tcBorders>
            <w:shd w:val="clear" w:color="auto" w:fill="auto"/>
            <w:noWrap/>
            <w:vAlign w:val="center"/>
          </w:tcPr>
          <w:p w:rsidR="00C70DCA" w:rsidRPr="00CD40D7" w:rsidRDefault="00236F3D" w:rsidP="00CD40D7">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64.7</w:t>
            </w:r>
          </w:p>
        </w:tc>
        <w:tc>
          <w:tcPr>
            <w:tcW w:w="1040" w:type="dxa"/>
            <w:tcBorders>
              <w:top w:val="nil"/>
              <w:left w:val="nil"/>
              <w:bottom w:val="nil"/>
              <w:right w:val="nil"/>
            </w:tcBorders>
            <w:shd w:val="clear" w:color="auto" w:fill="auto"/>
            <w:noWrap/>
            <w:vAlign w:val="center"/>
          </w:tcPr>
          <w:p w:rsidR="00C70DCA" w:rsidRPr="00CD40D7" w:rsidRDefault="00236F3D"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42.9</w:t>
            </w:r>
          </w:p>
        </w:tc>
        <w:tc>
          <w:tcPr>
            <w:tcW w:w="1480" w:type="dxa"/>
            <w:tcBorders>
              <w:top w:val="nil"/>
              <w:left w:val="nil"/>
              <w:bottom w:val="nil"/>
              <w:right w:val="nil"/>
            </w:tcBorders>
            <w:shd w:val="clear" w:color="auto" w:fill="auto"/>
            <w:noWrap/>
            <w:vAlign w:val="center"/>
          </w:tcPr>
          <w:p w:rsidR="00C70DCA" w:rsidRPr="00CD40D7" w:rsidRDefault="006E1C04">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w:t>
            </w:r>
            <w:r w:rsidR="00236F3D">
              <w:rPr>
                <w:rFonts w:ascii="Times New Roman"/>
                <w:kern w:val="0"/>
                <w:sz w:val="24"/>
                <w:szCs w:val="24"/>
                <w:u w:val="none"/>
                <w:lang w:val="en-GB" w:eastAsia="zh-HK"/>
              </w:rPr>
              <w:t>2</w:t>
            </w:r>
          </w:p>
        </w:tc>
      </w:tr>
      <w:tr w:rsidR="00F359AC" w:rsidRPr="00BF6DEC" w:rsidTr="00AB195E">
        <w:trPr>
          <w:trHeight w:val="360"/>
          <w:jc w:val="center"/>
        </w:trPr>
        <w:tc>
          <w:tcPr>
            <w:tcW w:w="620" w:type="dxa"/>
            <w:tcBorders>
              <w:top w:val="nil"/>
              <w:left w:val="nil"/>
              <w:bottom w:val="nil"/>
              <w:right w:val="nil"/>
            </w:tcBorders>
            <w:shd w:val="clear" w:color="auto" w:fill="auto"/>
            <w:noWrap/>
            <w:vAlign w:val="center"/>
          </w:tcPr>
          <w:p w:rsidR="00F359AC" w:rsidRDefault="00F359AC" w:rsidP="00F359AC">
            <w:pPr>
              <w:widowControl/>
              <w:rPr>
                <w:color w:val="000000"/>
                <w:kern w:val="0"/>
              </w:rPr>
            </w:pPr>
          </w:p>
        </w:tc>
        <w:tc>
          <w:tcPr>
            <w:tcW w:w="860" w:type="dxa"/>
            <w:tcBorders>
              <w:top w:val="nil"/>
              <w:left w:val="nil"/>
              <w:bottom w:val="nil"/>
              <w:right w:val="nil"/>
            </w:tcBorders>
            <w:shd w:val="clear" w:color="auto" w:fill="auto"/>
            <w:noWrap/>
            <w:vAlign w:val="center"/>
          </w:tcPr>
          <w:p w:rsidR="00F359AC" w:rsidRPr="005A20FE" w:rsidRDefault="00F359AC" w:rsidP="00F359AC">
            <w:pPr>
              <w:widowControl/>
              <w:jc w:val="right"/>
              <w:rPr>
                <w:color w:val="000000"/>
                <w:kern w:val="0"/>
              </w:rPr>
            </w:pPr>
            <w:r w:rsidRPr="005A20FE">
              <w:rPr>
                <w:color w:val="000000"/>
                <w:kern w:val="0"/>
              </w:rPr>
              <w:t>Q2</w:t>
            </w:r>
          </w:p>
        </w:tc>
        <w:tc>
          <w:tcPr>
            <w:tcW w:w="1400" w:type="dxa"/>
            <w:tcBorders>
              <w:top w:val="nil"/>
              <w:left w:val="nil"/>
              <w:bottom w:val="nil"/>
              <w:right w:val="nil"/>
            </w:tcBorders>
            <w:shd w:val="clear" w:color="auto" w:fill="auto"/>
            <w:noWrap/>
            <w:vAlign w:val="center"/>
          </w:tcPr>
          <w:p w:rsidR="00F359AC" w:rsidRPr="005A20FE" w:rsidRDefault="00236F3D" w:rsidP="005A20FE">
            <w:pPr>
              <w:pStyle w:val="5"/>
              <w:tabs>
                <w:tab w:val="right" w:pos="528"/>
              </w:tabs>
              <w:spacing w:line="240" w:lineRule="exact"/>
              <w:ind w:left="-108"/>
              <w:rPr>
                <w:rFonts w:ascii="Times New Roman"/>
                <w:kern w:val="0"/>
                <w:sz w:val="24"/>
                <w:szCs w:val="24"/>
                <w:u w:val="none"/>
                <w:lang w:val="en-GB"/>
              </w:rPr>
            </w:pPr>
            <w:r w:rsidRPr="005A20FE">
              <w:rPr>
                <w:rFonts w:ascii="Times New Roman"/>
                <w:kern w:val="0"/>
                <w:sz w:val="24"/>
                <w:szCs w:val="24"/>
                <w:u w:val="none"/>
                <w:lang w:val="en-GB"/>
              </w:rPr>
              <w:t>-4.</w:t>
            </w:r>
            <w:r w:rsidR="005A20FE" w:rsidRPr="005A20FE">
              <w:rPr>
                <w:rFonts w:ascii="Times New Roman"/>
                <w:kern w:val="0"/>
                <w:sz w:val="24"/>
                <w:szCs w:val="24"/>
                <w:u w:val="none"/>
                <w:lang w:val="en-GB"/>
              </w:rPr>
              <w:t>2</w:t>
            </w:r>
          </w:p>
        </w:tc>
        <w:tc>
          <w:tcPr>
            <w:tcW w:w="740" w:type="dxa"/>
            <w:tcBorders>
              <w:top w:val="nil"/>
              <w:left w:val="nil"/>
              <w:bottom w:val="nil"/>
              <w:right w:val="nil"/>
            </w:tcBorders>
            <w:shd w:val="clear" w:color="auto" w:fill="auto"/>
            <w:noWrap/>
            <w:vAlign w:val="center"/>
          </w:tcPr>
          <w:p w:rsidR="00F359AC" w:rsidRPr="005A20FE" w:rsidRDefault="00F359AC" w:rsidP="005A20FE">
            <w:pPr>
              <w:pStyle w:val="5"/>
              <w:tabs>
                <w:tab w:val="right" w:pos="528"/>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w:t>
            </w:r>
            <w:r w:rsidR="005A20FE" w:rsidRPr="005A20FE">
              <w:rPr>
                <w:rFonts w:ascii="Times New Roman"/>
                <w:kern w:val="0"/>
                <w:sz w:val="24"/>
                <w:szCs w:val="24"/>
                <w:u w:val="none"/>
                <w:lang w:val="en-GB" w:eastAsia="zh-HK"/>
              </w:rPr>
              <w:t>6</w:t>
            </w:r>
            <w:r w:rsidR="00236F3D" w:rsidRPr="005A20FE">
              <w:rPr>
                <w:rFonts w:ascii="Times New Roman"/>
                <w:kern w:val="0"/>
                <w:sz w:val="24"/>
                <w:szCs w:val="24"/>
                <w:u w:val="none"/>
                <w:lang w:val="en-GB" w:eastAsia="zh-HK"/>
              </w:rPr>
              <w:t>.1</w:t>
            </w:r>
          </w:p>
        </w:tc>
        <w:tc>
          <w:tcPr>
            <w:tcW w:w="1000" w:type="dxa"/>
            <w:tcBorders>
              <w:top w:val="nil"/>
              <w:left w:val="nil"/>
              <w:bottom w:val="nil"/>
              <w:right w:val="nil"/>
            </w:tcBorders>
            <w:shd w:val="clear" w:color="auto" w:fill="auto"/>
            <w:noWrap/>
            <w:vAlign w:val="center"/>
          </w:tcPr>
          <w:p w:rsidR="00F359AC" w:rsidRPr="005A20FE" w:rsidRDefault="00F359AC" w:rsidP="005A20FE">
            <w:pPr>
              <w:pStyle w:val="5"/>
              <w:tabs>
                <w:tab w:val="right" w:pos="528"/>
                <w:tab w:val="right" w:pos="648"/>
              </w:tabs>
              <w:spacing w:line="240" w:lineRule="exact"/>
              <w:ind w:left="-108"/>
              <w:rPr>
                <w:rFonts w:ascii="Times New Roman"/>
                <w:kern w:val="0"/>
                <w:sz w:val="24"/>
                <w:szCs w:val="24"/>
                <w:u w:val="none"/>
                <w:lang w:val="en-GB"/>
              </w:rPr>
            </w:pPr>
            <w:r w:rsidRPr="005A20FE">
              <w:rPr>
                <w:rFonts w:ascii="Times New Roman"/>
                <w:kern w:val="0"/>
                <w:sz w:val="24"/>
                <w:szCs w:val="24"/>
                <w:u w:val="none"/>
                <w:lang w:val="en-GB"/>
              </w:rPr>
              <w:t>-1</w:t>
            </w:r>
            <w:r w:rsidR="00236F3D" w:rsidRPr="005A20FE">
              <w:rPr>
                <w:rFonts w:ascii="Times New Roman"/>
                <w:kern w:val="0"/>
                <w:sz w:val="24"/>
                <w:szCs w:val="24"/>
                <w:u w:val="none"/>
                <w:lang w:val="en-GB"/>
              </w:rPr>
              <w:t>4.</w:t>
            </w:r>
            <w:r w:rsidR="005A20FE" w:rsidRPr="005A20FE">
              <w:rPr>
                <w:rFonts w:ascii="Times New Roman"/>
                <w:kern w:val="0"/>
                <w:sz w:val="24"/>
                <w:szCs w:val="24"/>
                <w:u w:val="none"/>
                <w:lang w:val="en-GB"/>
              </w:rPr>
              <w:t>4</w:t>
            </w:r>
          </w:p>
        </w:tc>
        <w:tc>
          <w:tcPr>
            <w:tcW w:w="1040" w:type="dxa"/>
            <w:tcBorders>
              <w:top w:val="nil"/>
              <w:left w:val="nil"/>
              <w:bottom w:val="nil"/>
              <w:right w:val="nil"/>
            </w:tcBorders>
            <w:shd w:val="clear" w:color="auto" w:fill="auto"/>
            <w:noWrap/>
            <w:vAlign w:val="center"/>
          </w:tcPr>
          <w:p w:rsidR="00F359AC" w:rsidRPr="005A20FE" w:rsidRDefault="00236F3D" w:rsidP="005A20FE">
            <w:pPr>
              <w:pStyle w:val="5"/>
              <w:tabs>
                <w:tab w:val="right" w:pos="528"/>
                <w:tab w:val="right" w:pos="617"/>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w:t>
            </w:r>
            <w:r w:rsidR="005A20FE" w:rsidRPr="005A20FE">
              <w:rPr>
                <w:rFonts w:ascii="Times New Roman"/>
                <w:kern w:val="0"/>
                <w:sz w:val="24"/>
                <w:szCs w:val="24"/>
                <w:u w:val="none"/>
                <w:lang w:val="en-GB" w:eastAsia="zh-HK"/>
              </w:rPr>
              <w:t>6.4</w:t>
            </w:r>
          </w:p>
        </w:tc>
        <w:tc>
          <w:tcPr>
            <w:tcW w:w="1000" w:type="dxa"/>
            <w:tcBorders>
              <w:top w:val="nil"/>
              <w:left w:val="nil"/>
              <w:bottom w:val="nil"/>
              <w:right w:val="nil"/>
            </w:tcBorders>
            <w:shd w:val="clear" w:color="auto" w:fill="auto"/>
            <w:noWrap/>
            <w:vAlign w:val="center"/>
          </w:tcPr>
          <w:p w:rsidR="00F359AC" w:rsidRPr="005A20FE" w:rsidRDefault="005A20FE" w:rsidP="00F359AC">
            <w:pPr>
              <w:pStyle w:val="5"/>
              <w:tabs>
                <w:tab w:val="right" w:pos="528"/>
                <w:tab w:val="right" w:pos="576"/>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1.8</w:t>
            </w:r>
          </w:p>
        </w:tc>
        <w:tc>
          <w:tcPr>
            <w:tcW w:w="1300" w:type="dxa"/>
            <w:tcBorders>
              <w:top w:val="nil"/>
              <w:left w:val="nil"/>
              <w:bottom w:val="nil"/>
              <w:right w:val="nil"/>
            </w:tcBorders>
            <w:shd w:val="clear" w:color="auto" w:fill="auto"/>
            <w:noWrap/>
            <w:vAlign w:val="center"/>
          </w:tcPr>
          <w:p w:rsidR="00F359AC" w:rsidRPr="005A20FE" w:rsidRDefault="00236F3D" w:rsidP="005A20FE">
            <w:pPr>
              <w:pStyle w:val="5"/>
              <w:tabs>
                <w:tab w:val="right" w:pos="528"/>
                <w:tab w:val="right" w:pos="703"/>
              </w:tabs>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29.</w:t>
            </w:r>
            <w:r w:rsidR="005A20FE" w:rsidRPr="005A20FE">
              <w:rPr>
                <w:rFonts w:ascii="Times New Roman"/>
                <w:kern w:val="0"/>
                <w:sz w:val="24"/>
                <w:szCs w:val="24"/>
                <w:u w:val="none"/>
                <w:lang w:val="en-GB" w:eastAsia="zh-HK"/>
              </w:rPr>
              <w:t>3</w:t>
            </w:r>
          </w:p>
        </w:tc>
        <w:tc>
          <w:tcPr>
            <w:tcW w:w="1040" w:type="dxa"/>
            <w:tcBorders>
              <w:top w:val="nil"/>
              <w:left w:val="nil"/>
              <w:bottom w:val="nil"/>
              <w:right w:val="nil"/>
            </w:tcBorders>
            <w:shd w:val="clear" w:color="auto" w:fill="auto"/>
            <w:noWrap/>
            <w:vAlign w:val="center"/>
          </w:tcPr>
          <w:p w:rsidR="00F359AC" w:rsidRPr="005A20FE" w:rsidRDefault="00236F3D" w:rsidP="005A20FE">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w:t>
            </w:r>
            <w:r w:rsidR="005A20FE" w:rsidRPr="005A20FE">
              <w:rPr>
                <w:rFonts w:ascii="Times New Roman"/>
                <w:kern w:val="0"/>
                <w:sz w:val="24"/>
                <w:szCs w:val="24"/>
                <w:u w:val="none"/>
                <w:lang w:val="en-GB" w:eastAsia="zh-HK"/>
              </w:rPr>
              <w:t>8.0</w:t>
            </w:r>
          </w:p>
        </w:tc>
        <w:tc>
          <w:tcPr>
            <w:tcW w:w="1480" w:type="dxa"/>
            <w:tcBorders>
              <w:top w:val="nil"/>
              <w:left w:val="nil"/>
              <w:bottom w:val="nil"/>
              <w:right w:val="nil"/>
            </w:tcBorders>
            <w:shd w:val="clear" w:color="auto" w:fill="auto"/>
            <w:noWrap/>
            <w:vAlign w:val="center"/>
          </w:tcPr>
          <w:p w:rsidR="00F359AC" w:rsidRPr="005A20FE" w:rsidRDefault="00236F3D" w:rsidP="005A20FE">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5A20FE">
              <w:rPr>
                <w:rFonts w:ascii="Times New Roman"/>
                <w:kern w:val="0"/>
                <w:sz w:val="24"/>
                <w:szCs w:val="24"/>
                <w:u w:val="none"/>
                <w:lang w:val="en-GB" w:eastAsia="zh-HK"/>
              </w:rPr>
              <w:t>-1.</w:t>
            </w:r>
            <w:r w:rsidR="005A20FE" w:rsidRPr="005A20FE">
              <w:rPr>
                <w:rFonts w:ascii="Times New Roman"/>
                <w:kern w:val="0"/>
                <w:sz w:val="24"/>
                <w:szCs w:val="24"/>
                <w:u w:val="none"/>
                <w:lang w:val="en-GB" w:eastAsia="zh-HK"/>
              </w:rPr>
              <w:t>5</w:t>
            </w:r>
          </w:p>
        </w:tc>
      </w:tr>
    </w:tbl>
    <w:p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6E1C04" w:rsidRDefault="006E1C04" w:rsidP="006E1C04">
      <w:pPr>
        <w:tabs>
          <w:tab w:val="left" w:pos="142"/>
          <w:tab w:val="left" w:pos="1276"/>
        </w:tabs>
        <w:snapToGrid w:val="0"/>
        <w:spacing w:after="120" w:line="240" w:lineRule="exact"/>
        <w:ind w:left="709" w:right="-17" w:hanging="1418"/>
        <w:jc w:val="both"/>
        <w:rPr>
          <w:sz w:val="21"/>
          <w:szCs w:val="21"/>
        </w:rPr>
      </w:pPr>
      <w:r w:rsidRPr="00327CE5">
        <w:rPr>
          <w:kern w:val="0"/>
          <w:sz w:val="22"/>
        </w:rPr>
        <w:tab/>
      </w:r>
    </w:p>
    <w:p w:rsidR="006E1C04" w:rsidRDefault="006E1C04" w:rsidP="004218E5">
      <w:pPr>
        <w:tabs>
          <w:tab w:val="left" w:pos="142"/>
          <w:tab w:val="left" w:pos="1276"/>
        </w:tabs>
        <w:snapToGrid w:val="0"/>
        <w:spacing w:after="120" w:line="240" w:lineRule="exact"/>
        <w:ind w:left="709" w:right="-17" w:hanging="1418"/>
        <w:jc w:val="both"/>
        <w:rPr>
          <w:kern w:val="0"/>
          <w:sz w:val="22"/>
          <w:szCs w:val="20"/>
        </w:rPr>
      </w:pPr>
    </w:p>
    <w:p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rsidR="000D5459" w:rsidRDefault="0042741D" w:rsidP="004218E5">
      <w:pPr>
        <w:tabs>
          <w:tab w:val="left" w:pos="142"/>
          <w:tab w:val="left" w:pos="1276"/>
        </w:tabs>
        <w:snapToGrid w:val="0"/>
        <w:spacing w:after="120" w:line="240" w:lineRule="exact"/>
        <w:ind w:left="709" w:right="-17" w:hanging="1418"/>
        <w:jc w:val="both"/>
        <w:rPr>
          <w:sz w:val="22"/>
        </w:rPr>
      </w:pPr>
      <w:r>
        <w:rPr>
          <w:sz w:val="22"/>
        </w:rPr>
        <w:tab/>
      </w:r>
    </w:p>
    <w:p w:rsidR="00CF157D" w:rsidRDefault="00CF157D">
      <w:pPr>
        <w:widowControl/>
      </w:pPr>
      <w:r>
        <w:br w:type="page"/>
      </w:r>
    </w:p>
    <w:p w:rsidR="00102084" w:rsidRDefault="009B266D" w:rsidP="00652623">
      <w:pPr>
        <w:tabs>
          <w:tab w:val="left" w:pos="775"/>
        </w:tabs>
        <w:jc w:val="both"/>
      </w:pPr>
      <w:r w:rsidRPr="009B266D">
        <w:rPr>
          <w:noProof/>
        </w:rPr>
        <w:lastRenderedPageBreak/>
        <w:drawing>
          <wp:inline distT="0" distB="0" distL="0" distR="0">
            <wp:extent cx="5731510" cy="3491496"/>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9F5BF4" w:rsidRDefault="009F5BF4" w:rsidP="001848B4">
      <w:pPr>
        <w:pStyle w:val="a5"/>
        <w:tabs>
          <w:tab w:val="left" w:pos="1260"/>
        </w:tabs>
        <w:overflowPunct w:val="0"/>
        <w:ind w:right="28"/>
        <w:jc w:val="both"/>
        <w:rPr>
          <w:rFonts w:ascii="Times New Roman"/>
          <w:kern w:val="0"/>
          <w:lang w:val="en-GB"/>
        </w:rPr>
      </w:pPr>
    </w:p>
    <w:p w:rsidR="00B028D2" w:rsidRPr="00BA0700" w:rsidRDefault="006966DF" w:rsidP="00CC77BD">
      <w:pPr>
        <w:pStyle w:val="a5"/>
        <w:numPr>
          <w:ilvl w:val="1"/>
          <w:numId w:val="19"/>
        </w:numPr>
        <w:tabs>
          <w:tab w:val="left" w:pos="1260"/>
        </w:tabs>
        <w:overflowPunct w:val="0"/>
        <w:ind w:left="0" w:right="28" w:firstLine="0"/>
        <w:jc w:val="both"/>
        <w:rPr>
          <w:rFonts w:ascii="Times New Roman"/>
          <w:kern w:val="0"/>
          <w:lang w:val="en-GB"/>
        </w:rPr>
      </w:pPr>
      <w:r>
        <w:rPr>
          <w:rFonts w:ascii="Times New Roman"/>
          <w:kern w:val="0"/>
          <w:lang w:val="en-GB"/>
        </w:rPr>
        <w:t>Alongside the overall economic growth, o</w:t>
      </w:r>
      <w:r w:rsidR="00C70DCA" w:rsidRPr="005B4F22">
        <w:rPr>
          <w:rFonts w:ascii="Times New Roman"/>
          <w:kern w:val="0"/>
          <w:lang w:val="en-GB"/>
        </w:rPr>
        <w:t xml:space="preserve">verall investment </w:t>
      </w:r>
      <w:r w:rsidR="00C311E0">
        <w:rPr>
          <w:rFonts w:ascii="Times New Roman"/>
          <w:kern w:val="0"/>
          <w:lang w:val="en-GB"/>
        </w:rPr>
        <w:t>expenditure</w:t>
      </w:r>
      <w:r w:rsidR="00C311E0" w:rsidRPr="005B4F22">
        <w:rPr>
          <w:rFonts w:ascii="Times New Roman"/>
          <w:kern w:val="0"/>
          <w:lang w:val="en-GB"/>
        </w:rPr>
        <w:t xml:space="preserve"> </w:t>
      </w:r>
      <w:r w:rsidR="00C70DCA" w:rsidRPr="005B4F22">
        <w:rPr>
          <w:rFonts w:ascii="Times New Roman"/>
          <w:kern w:val="0"/>
          <w:lang w:val="en-GB"/>
        </w:rPr>
        <w:t xml:space="preserve">in terms of </w:t>
      </w:r>
      <w:r w:rsidR="00C70DCA" w:rsidRPr="005B4F22">
        <w:rPr>
          <w:rFonts w:ascii="Times New Roman"/>
          <w:i/>
          <w:kern w:val="0"/>
          <w:lang w:val="en-GB"/>
        </w:rPr>
        <w:t xml:space="preserve">gross domestic fixed capital </w:t>
      </w:r>
      <w:r w:rsidR="00C70DCA" w:rsidRPr="00AF26F4">
        <w:rPr>
          <w:rFonts w:ascii="Times New Roman"/>
          <w:i/>
          <w:kern w:val="0"/>
          <w:lang w:val="en-GB"/>
        </w:rPr>
        <w:t>fo</w:t>
      </w:r>
      <w:r w:rsidR="00C70DCA" w:rsidRPr="008E7622">
        <w:rPr>
          <w:rFonts w:ascii="Times New Roman"/>
          <w:i/>
          <w:kern w:val="0"/>
          <w:lang w:val="en-GB"/>
        </w:rPr>
        <w:t xml:space="preserve">rmation </w:t>
      </w:r>
      <w:r>
        <w:rPr>
          <w:rFonts w:ascii="Times New Roman"/>
          <w:kern w:val="0"/>
          <w:lang w:val="en-GB"/>
        </w:rPr>
        <w:t xml:space="preserve">rose </w:t>
      </w:r>
      <w:r w:rsidR="00C70DCA">
        <w:rPr>
          <w:rFonts w:ascii="Times New Roman"/>
          <w:kern w:val="0"/>
          <w:lang w:val="en-GB"/>
        </w:rPr>
        <w:t xml:space="preserve">by </w:t>
      </w:r>
      <w:r w:rsidR="00BF6DEC">
        <w:rPr>
          <w:rFonts w:ascii="Times New Roman"/>
          <w:kern w:val="0"/>
          <w:lang w:val="en-GB"/>
        </w:rPr>
        <w:t>6.</w:t>
      </w:r>
      <w:r w:rsidR="00236F3D">
        <w:rPr>
          <w:rFonts w:ascii="Times New Roman"/>
          <w:kern w:val="0"/>
          <w:lang w:val="en-GB"/>
        </w:rPr>
        <w:t>0</w:t>
      </w:r>
      <w:r w:rsidR="00C70DCA">
        <w:rPr>
          <w:rFonts w:ascii="Times New Roman"/>
          <w:kern w:val="0"/>
          <w:lang w:val="en-GB"/>
        </w:rPr>
        <w:t>%</w:t>
      </w:r>
      <w:r w:rsidR="00C70DCA">
        <w:rPr>
          <w:rFonts w:ascii="Times New Roman" w:hint="eastAsia"/>
          <w:kern w:val="0"/>
          <w:lang w:val="en-GB"/>
        </w:rPr>
        <w:t xml:space="preserve"> in real terms in </w:t>
      </w:r>
      <w:r w:rsidR="00C70DCA">
        <w:rPr>
          <w:rFonts w:ascii="Times New Roman"/>
          <w:kern w:val="0"/>
          <w:lang w:val="en-GB"/>
        </w:rPr>
        <w:t xml:space="preserve">the </w:t>
      </w:r>
      <w:r w:rsidR="00387338">
        <w:rPr>
          <w:rFonts w:ascii="Times New Roman"/>
          <w:kern w:val="0"/>
          <w:lang w:val="en-GB"/>
        </w:rPr>
        <w:t xml:space="preserve">second </w:t>
      </w:r>
      <w:r w:rsidR="00C70DCA">
        <w:rPr>
          <w:rFonts w:ascii="Times New Roman"/>
          <w:kern w:val="0"/>
          <w:lang w:val="en-GB"/>
        </w:rPr>
        <w:t>quarter over a year earlier</w:t>
      </w:r>
      <w:r w:rsidR="00844DD1">
        <w:rPr>
          <w:rFonts w:ascii="Times New Roman"/>
          <w:kern w:val="0"/>
          <w:lang w:val="en-GB"/>
        </w:rPr>
        <w:t>,</w:t>
      </w:r>
      <w:r w:rsidR="00C70DCA">
        <w:rPr>
          <w:rFonts w:ascii="Times New Roman"/>
          <w:kern w:val="0"/>
          <w:lang w:val="en-GB"/>
        </w:rPr>
        <w:t xml:space="preserve"> </w:t>
      </w:r>
      <w:r w:rsidR="000E7952">
        <w:rPr>
          <w:rFonts w:ascii="Times New Roman"/>
          <w:kern w:val="0"/>
          <w:lang w:val="en-GB"/>
        </w:rPr>
        <w:t xml:space="preserve">after </w:t>
      </w:r>
      <w:r w:rsidR="00C70DCA">
        <w:rPr>
          <w:rFonts w:ascii="Times New Roman"/>
          <w:kern w:val="0"/>
          <w:lang w:val="en-GB"/>
        </w:rPr>
        <w:t xml:space="preserve">a </w:t>
      </w:r>
      <w:r w:rsidR="000E7952">
        <w:rPr>
          <w:rFonts w:ascii="Times New Roman"/>
          <w:kern w:val="0"/>
          <w:lang w:val="en-GB"/>
        </w:rPr>
        <w:t>0.</w:t>
      </w:r>
      <w:r w:rsidR="00BF6DEC">
        <w:rPr>
          <w:rFonts w:ascii="Times New Roman"/>
          <w:kern w:val="0"/>
          <w:lang w:val="en-GB"/>
        </w:rPr>
        <w:t>1</w:t>
      </w:r>
      <w:r w:rsidR="00C70DCA">
        <w:rPr>
          <w:rFonts w:ascii="Times New Roman"/>
          <w:kern w:val="0"/>
          <w:lang w:val="en-GB"/>
        </w:rPr>
        <w:t xml:space="preserve">% </w:t>
      </w:r>
      <w:r w:rsidR="0095256B">
        <w:rPr>
          <w:rFonts w:ascii="Times New Roman"/>
          <w:kern w:val="0"/>
          <w:lang w:val="en-GB"/>
        </w:rPr>
        <w:t>in</w:t>
      </w:r>
      <w:r w:rsidR="00C70DCA">
        <w:rPr>
          <w:rFonts w:ascii="Times New Roman"/>
          <w:kern w:val="0"/>
          <w:lang w:val="en-GB"/>
        </w:rPr>
        <w:t>crease in the preceding quarter</w:t>
      </w:r>
      <w:r w:rsidR="000E7952">
        <w:rPr>
          <w:rFonts w:ascii="Times New Roman"/>
          <w:szCs w:val="28"/>
          <w:lang w:val="en-GB"/>
        </w:rPr>
        <w:t>.</w:t>
      </w:r>
      <w:r w:rsidR="00F359AC">
        <w:rPr>
          <w:rFonts w:ascii="Times New Roman"/>
          <w:szCs w:val="28"/>
          <w:lang w:val="en-GB"/>
        </w:rPr>
        <w:t xml:space="preserve"> </w:t>
      </w:r>
      <w:r w:rsidR="00B32556">
        <w:rPr>
          <w:rFonts w:ascii="Times New Roman"/>
          <w:szCs w:val="28"/>
          <w:lang w:val="en-GB"/>
        </w:rPr>
        <w:t xml:space="preserve"> </w:t>
      </w:r>
      <w:r w:rsidR="00C70DCA">
        <w:rPr>
          <w:rFonts w:ascii="Times New Roman"/>
          <w:kern w:val="0"/>
          <w:lang w:val="en-GB"/>
        </w:rPr>
        <w:t>E</w:t>
      </w:r>
      <w:r w:rsidR="00C70DCA" w:rsidRPr="005C0D7B">
        <w:rPr>
          <w:rFonts w:ascii="Times New Roman"/>
          <w:kern w:val="0"/>
          <w:lang w:val="en-GB"/>
        </w:rPr>
        <w:t xml:space="preserve">xpenditure on </w:t>
      </w:r>
      <w:r w:rsidR="00C70DCA" w:rsidRPr="005C0D7B">
        <w:rPr>
          <w:rFonts w:ascii="Times New Roman" w:hint="eastAsia"/>
          <w:kern w:val="0"/>
          <w:lang w:val="en-GB"/>
        </w:rPr>
        <w:t>building and construct</w:t>
      </w:r>
      <w:r w:rsidR="00C70DCA" w:rsidRPr="003E14A2">
        <w:rPr>
          <w:rFonts w:ascii="Times New Roman" w:hint="eastAsia"/>
          <w:kern w:val="0"/>
          <w:lang w:val="en-GB"/>
        </w:rPr>
        <w:t xml:space="preserve">ion </w:t>
      </w:r>
      <w:r w:rsidR="00C30016">
        <w:rPr>
          <w:rFonts w:ascii="Times New Roman"/>
          <w:kern w:val="0"/>
          <w:lang w:val="en-GB"/>
        </w:rPr>
        <w:t xml:space="preserve">rose </w:t>
      </w:r>
      <w:r w:rsidR="00C70DCA">
        <w:rPr>
          <w:rFonts w:ascii="Times New Roman"/>
          <w:kern w:val="0"/>
          <w:lang w:val="en-GB"/>
        </w:rPr>
        <w:t>by</w:t>
      </w:r>
      <w:r w:rsidR="00B32556">
        <w:rPr>
          <w:rFonts w:ascii="Times New Roman"/>
          <w:kern w:val="0"/>
          <w:lang w:val="en-GB"/>
        </w:rPr>
        <w:t xml:space="preserve"> an accelerated</w:t>
      </w:r>
      <w:r w:rsidR="00C70DCA" w:rsidRPr="003E14A2">
        <w:rPr>
          <w:rFonts w:ascii="Times New Roman" w:hint="eastAsia"/>
          <w:kern w:val="0"/>
          <w:lang w:val="en-GB"/>
        </w:rPr>
        <w:t xml:space="preserve"> </w:t>
      </w:r>
      <w:r w:rsidR="005A20FE">
        <w:rPr>
          <w:rFonts w:ascii="Times New Roman"/>
          <w:kern w:val="0"/>
          <w:lang w:val="en-GB"/>
        </w:rPr>
        <w:t>16.0</w:t>
      </w:r>
      <w:r w:rsidR="00C70DCA" w:rsidRPr="007005B5">
        <w:rPr>
          <w:rFonts w:ascii="Times New Roman"/>
          <w:kern w:val="0"/>
          <w:lang w:val="en-GB"/>
        </w:rPr>
        <w:t>%</w:t>
      </w:r>
      <w:r w:rsidR="00C70DCA" w:rsidRPr="008B52FA">
        <w:rPr>
          <w:rFonts w:ascii="Times New Roman"/>
          <w:kern w:val="0"/>
          <w:lang w:val="en-GB"/>
        </w:rPr>
        <w:t>,</w:t>
      </w:r>
      <w:r w:rsidR="00B43800">
        <w:rPr>
          <w:rFonts w:ascii="Times New Roman"/>
          <w:kern w:val="0"/>
          <w:lang w:val="en-GB"/>
        </w:rPr>
        <w:t xml:space="preserve"> with public sector spending</w:t>
      </w:r>
      <w:r w:rsidR="00A8535C">
        <w:rPr>
          <w:rFonts w:ascii="Times New Roman"/>
          <w:kern w:val="0"/>
          <w:lang w:val="en-GB"/>
        </w:rPr>
        <w:t xml:space="preserve"> </w:t>
      </w:r>
      <w:r w:rsidR="00844DD1">
        <w:rPr>
          <w:rFonts w:ascii="Times New Roman"/>
          <w:kern w:val="0"/>
          <w:lang w:val="en-GB"/>
        </w:rPr>
        <w:t>showing particularly strong growth</w:t>
      </w:r>
      <w:r w:rsidR="00C70DCA" w:rsidRPr="008B52FA">
        <w:rPr>
          <w:rFonts w:ascii="Times New Roman"/>
          <w:kern w:val="0"/>
          <w:lang w:val="en-GB"/>
        </w:rPr>
        <w:t xml:space="preserve">.  </w:t>
      </w:r>
      <w:r w:rsidR="002B1996">
        <w:rPr>
          <w:rFonts w:ascii="Times New Roman"/>
          <w:kern w:val="0"/>
          <w:lang w:val="en-GB"/>
        </w:rPr>
        <w:t>E</w:t>
      </w:r>
      <w:r w:rsidR="002B1996" w:rsidRPr="005B4F22">
        <w:rPr>
          <w:rFonts w:ascii="Times New Roman" w:hint="eastAsia"/>
          <w:kern w:val="0"/>
          <w:lang w:val="en-GB"/>
        </w:rPr>
        <w:t xml:space="preserve">xpenditure </w:t>
      </w:r>
      <w:r w:rsidR="002B1996" w:rsidRPr="005B4F22">
        <w:rPr>
          <w:rFonts w:ascii="Times New Roman"/>
          <w:kern w:val="0"/>
          <w:lang w:val="en-GB"/>
        </w:rPr>
        <w:t xml:space="preserve">on acquisitions of machinery, equipment and intellectual property products </w:t>
      </w:r>
      <w:r>
        <w:rPr>
          <w:rFonts w:ascii="Times New Roman"/>
          <w:kern w:val="0"/>
          <w:lang w:val="en-GB"/>
        </w:rPr>
        <w:t xml:space="preserve">continued to </w:t>
      </w:r>
      <w:r w:rsidR="00D20F2D">
        <w:rPr>
          <w:rFonts w:ascii="Times New Roman"/>
          <w:kern w:val="0"/>
          <w:lang w:val="en-GB"/>
        </w:rPr>
        <w:t>decline</w:t>
      </w:r>
      <w:r w:rsidR="002B1996">
        <w:rPr>
          <w:rFonts w:ascii="Times New Roman"/>
          <w:kern w:val="0"/>
          <w:lang w:val="en-GB"/>
        </w:rPr>
        <w:t xml:space="preserve"> by </w:t>
      </w:r>
      <w:r w:rsidR="00236F3D">
        <w:rPr>
          <w:rFonts w:ascii="Times New Roman"/>
          <w:kern w:val="0"/>
          <w:lang w:val="en-GB"/>
        </w:rPr>
        <w:t>21.8</w:t>
      </w:r>
      <w:r w:rsidR="002B1996" w:rsidRPr="005B4F22">
        <w:rPr>
          <w:rFonts w:ascii="Times New Roman" w:hint="eastAsia"/>
          <w:kern w:val="0"/>
          <w:lang w:val="en-GB"/>
        </w:rPr>
        <w:t>%</w:t>
      </w:r>
      <w:r w:rsidR="002B1996">
        <w:rPr>
          <w:rFonts w:ascii="Times New Roman"/>
          <w:kern w:val="0"/>
          <w:lang w:val="en-GB"/>
        </w:rPr>
        <w:t xml:space="preserve"> amid tight financial conditions</w:t>
      </w:r>
      <w:r w:rsidR="00844DD1">
        <w:rPr>
          <w:rFonts w:ascii="Times New Roman"/>
          <w:kern w:val="0"/>
          <w:lang w:val="en-GB"/>
        </w:rPr>
        <w:t xml:space="preserve"> and </w:t>
      </w:r>
      <w:r w:rsidR="00AC70CA">
        <w:rPr>
          <w:rFonts w:ascii="Times New Roman"/>
          <w:kern w:val="0"/>
          <w:lang w:val="en-GB"/>
        </w:rPr>
        <w:t>generally weakened</w:t>
      </w:r>
      <w:r w:rsidR="00AC70CA" w:rsidRPr="005B4F22">
        <w:rPr>
          <w:rFonts w:ascii="Times New Roman"/>
          <w:kern w:val="0"/>
          <w:lang w:val="en-GB"/>
        </w:rPr>
        <w:t xml:space="preserve"> </w:t>
      </w:r>
      <w:r w:rsidR="00844DD1">
        <w:rPr>
          <w:rFonts w:ascii="Times New Roman"/>
          <w:kern w:val="0"/>
          <w:lang w:val="en-GB"/>
        </w:rPr>
        <w:t>business sentiment</w:t>
      </w:r>
      <w:r w:rsidR="00AC70CA">
        <w:rPr>
          <w:rFonts w:ascii="Times New Roman"/>
          <w:kern w:val="0"/>
          <w:lang w:val="en-GB"/>
        </w:rPr>
        <w:t xml:space="preserve"> </w:t>
      </w:r>
      <w:r w:rsidR="00844DD1" w:rsidRPr="00B43CD6">
        <w:rPr>
          <w:rFonts w:ascii="Times New Roman"/>
          <w:szCs w:val="28"/>
          <w:lang w:val="en-GB"/>
        </w:rPr>
        <w:t xml:space="preserve">(see </w:t>
      </w:r>
      <w:r w:rsidR="00844DD1" w:rsidRPr="00B43CD6">
        <w:rPr>
          <w:rFonts w:ascii="Times New Roman"/>
          <w:b/>
          <w:i/>
          <w:szCs w:val="28"/>
          <w:lang w:val="en-GB"/>
        </w:rPr>
        <w:t>Box 1.</w:t>
      </w:r>
      <w:r w:rsidR="00844DD1">
        <w:rPr>
          <w:rFonts w:ascii="Times New Roman"/>
          <w:b/>
          <w:i/>
          <w:szCs w:val="28"/>
          <w:lang w:val="en-GB"/>
        </w:rPr>
        <w:t>1</w:t>
      </w:r>
      <w:r w:rsidR="00844DD1" w:rsidRPr="00B43CD6">
        <w:rPr>
          <w:rFonts w:ascii="Times New Roman"/>
          <w:szCs w:val="28"/>
          <w:lang w:val="en-GB"/>
        </w:rPr>
        <w:t>)</w:t>
      </w:r>
      <w:r w:rsidR="002B1996" w:rsidRPr="008B52FA">
        <w:rPr>
          <w:rFonts w:ascii="Times New Roman"/>
          <w:kern w:val="0"/>
          <w:lang w:val="en-GB"/>
        </w:rPr>
        <w:t xml:space="preserve">.  </w:t>
      </w:r>
      <w:r w:rsidR="00C70DCA">
        <w:rPr>
          <w:rFonts w:ascii="Times New Roman" w:hint="eastAsia"/>
          <w:kern w:val="0"/>
          <w:lang w:val="en-GB"/>
        </w:rPr>
        <w:t>Separately,</w:t>
      </w:r>
      <w:r w:rsidR="00C70DCA" w:rsidRPr="00A357B5">
        <w:rPr>
          <w:rFonts w:ascii="Times New Roman" w:hint="eastAsia"/>
          <w:kern w:val="0"/>
          <w:lang w:val="en-GB"/>
        </w:rPr>
        <w:t xml:space="preserve"> t</w:t>
      </w:r>
      <w:r w:rsidR="00C70DCA" w:rsidRPr="00A357B5">
        <w:rPr>
          <w:rFonts w:ascii="Times New Roman"/>
          <w:kern w:val="0"/>
          <w:lang w:val="en-GB"/>
        </w:rPr>
        <w:t>he costs of ownership transfer</w:t>
      </w:r>
      <w:r w:rsidR="00C70DCA">
        <w:rPr>
          <w:rFonts w:ascii="Times New Roman"/>
          <w:kern w:val="0"/>
          <w:lang w:val="en-GB"/>
        </w:rPr>
        <w:t xml:space="preserve"> </w:t>
      </w:r>
      <w:r w:rsidR="002F23CA">
        <w:rPr>
          <w:rFonts w:ascii="Times New Roman"/>
          <w:kern w:val="0"/>
          <w:lang w:val="en-GB"/>
        </w:rPr>
        <w:t xml:space="preserve">rebounded </w:t>
      </w:r>
      <w:r w:rsidR="00D20F2D">
        <w:rPr>
          <w:rFonts w:ascii="Times New Roman"/>
          <w:kern w:val="0"/>
          <w:lang w:val="en-GB"/>
        </w:rPr>
        <w:t xml:space="preserve">strongly </w:t>
      </w:r>
      <w:r w:rsidR="00C70DCA">
        <w:rPr>
          <w:rFonts w:ascii="Times New Roman"/>
          <w:kern w:val="0"/>
          <w:lang w:val="en-GB"/>
        </w:rPr>
        <w:t xml:space="preserve">as property transactions </w:t>
      </w:r>
      <w:r w:rsidR="002F23CA">
        <w:rPr>
          <w:rFonts w:ascii="Times New Roman"/>
          <w:kern w:val="0"/>
          <w:lang w:val="en-GB"/>
        </w:rPr>
        <w:t xml:space="preserve">increased after the cancellation of all </w:t>
      </w:r>
      <w:r w:rsidR="004A6884" w:rsidRPr="004A6884">
        <w:rPr>
          <w:rFonts w:ascii="Times New Roman"/>
          <w:kern w:val="0"/>
          <w:lang w:val="en-GB"/>
        </w:rPr>
        <w:t>DSMMs</w:t>
      </w:r>
      <w:r w:rsidR="002F23CA">
        <w:rPr>
          <w:rFonts w:ascii="Times New Roman"/>
          <w:kern w:val="0"/>
          <w:lang w:val="en-GB"/>
        </w:rPr>
        <w:t xml:space="preserve"> for residential properties</w:t>
      </w:r>
      <w:r w:rsidR="000E3109" w:rsidRPr="000E3109">
        <w:rPr>
          <w:rFonts w:ascii="Times New Roman"/>
          <w:i/>
          <w:kern w:val="0"/>
          <w:sz w:val="24"/>
          <w:szCs w:val="24"/>
          <w:lang w:val="en-GB"/>
        </w:rPr>
        <w:t xml:space="preserve"> </w:t>
      </w:r>
      <w:r w:rsidR="000E3109" w:rsidRPr="000E3109">
        <w:rPr>
          <w:rFonts w:ascii="Times New Roman"/>
          <w:kern w:val="0"/>
          <w:lang w:val="en-GB"/>
        </w:rPr>
        <w:t xml:space="preserve">and the adjustments of </w:t>
      </w:r>
      <w:proofErr w:type="spellStart"/>
      <w:r w:rsidR="000E3109" w:rsidRPr="000E3109">
        <w:rPr>
          <w:rFonts w:ascii="Times New Roman"/>
          <w:kern w:val="0"/>
          <w:lang w:val="en-GB"/>
        </w:rPr>
        <w:t>macroprudential</w:t>
      </w:r>
      <w:proofErr w:type="spellEnd"/>
      <w:r w:rsidR="000E3109" w:rsidRPr="000E3109">
        <w:rPr>
          <w:rFonts w:ascii="Times New Roman"/>
          <w:kern w:val="0"/>
          <w:lang w:val="en-GB"/>
        </w:rPr>
        <w:t xml:space="preserve"> measures</w:t>
      </w:r>
      <w:r w:rsidR="00305681">
        <w:rPr>
          <w:rFonts w:ascii="Times New Roman" w:hint="eastAsia"/>
          <w:kern w:val="0"/>
          <w:lang w:val="en-GB"/>
        </w:rPr>
        <w:t>.</w:t>
      </w:r>
    </w:p>
    <w:p w:rsidR="001E08F8" w:rsidRPr="006C7562" w:rsidRDefault="00F359AC" w:rsidP="001E08F8">
      <w:pPr>
        <w:widowControl/>
        <w:rPr>
          <w:b/>
          <w:lang w:eastAsia="zh-HK"/>
        </w:rPr>
      </w:pPr>
      <w:r>
        <w:rPr>
          <w:b/>
          <w:sz w:val="28"/>
          <w:szCs w:val="20"/>
        </w:rPr>
        <w:br w:type="page"/>
      </w:r>
      <w:r w:rsidR="001E08F8">
        <w:rPr>
          <w:noProof/>
        </w:rPr>
        <w:lastRenderedPageBreak/>
        <mc:AlternateContent>
          <mc:Choice Requires="wps">
            <w:drawing>
              <wp:anchor distT="0" distB="0" distL="114300" distR="114300" simplePos="0" relativeHeight="251660288" behindDoc="1" locked="0" layoutInCell="1" allowOverlap="1" wp14:anchorId="16E5E55E" wp14:editId="0C9CF2C3">
                <wp:simplePos x="0" y="0"/>
                <wp:positionH relativeFrom="margin">
                  <wp:posOffset>-158583</wp:posOffset>
                </wp:positionH>
                <wp:positionV relativeFrom="margin">
                  <wp:posOffset>-209670</wp:posOffset>
                </wp:positionV>
                <wp:extent cx="6174000" cy="9651600"/>
                <wp:effectExtent l="0" t="0" r="17780" b="1143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94E65" id="矩形 21" o:spid="_x0000_s1026" style="position:absolute;margin-left:-12.5pt;margin-top:-16.5pt;width:486.15pt;height:759.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">
                <w10:wrap anchorx="margin" anchory="margin"/>
              </v:rect>
            </w:pict>
          </mc:Fallback>
        </mc:AlternateContent>
      </w:r>
      <w:r w:rsidR="001E08F8" w:rsidRPr="006C7562">
        <w:rPr>
          <w:b/>
        </w:rPr>
        <w:t xml:space="preserve">Box </w:t>
      </w:r>
      <w:r w:rsidR="001E08F8" w:rsidRPr="001151E0">
        <w:rPr>
          <w:b/>
        </w:rPr>
        <w:t>1.1</w:t>
      </w:r>
    </w:p>
    <w:p w:rsidR="001E08F8" w:rsidRPr="00FC3719" w:rsidRDefault="001E08F8" w:rsidP="001E08F8">
      <w:pPr>
        <w:spacing w:beforeLines="50" w:before="180" w:afterLines="50" w:after="180" w:line="200" w:lineRule="exact"/>
        <w:jc w:val="center"/>
      </w:pPr>
      <w:r w:rsidRPr="00FC3719">
        <w:rPr>
          <w:b/>
        </w:rPr>
        <w:t>Business sentiment in Hong Kong</w:t>
      </w:r>
    </w:p>
    <w:p w:rsidR="001E08F8" w:rsidRPr="000F0C63" w:rsidRDefault="001E08F8" w:rsidP="001E08F8">
      <w:pPr>
        <w:overflowPunct w:val="0"/>
        <w:snapToGrid w:val="0"/>
        <w:spacing w:afterLines="50" w:after="180"/>
        <w:jc w:val="both"/>
        <w:rPr>
          <w:rFonts w:eastAsiaTheme="minorEastAsia"/>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Survey results indicate that overall business sentiment in the past few months </w:t>
      </w:r>
      <w:r>
        <w:rPr>
          <w:rFonts w:eastAsia="SimSun"/>
          <w:lang w:eastAsia="zh-CN"/>
        </w:rPr>
        <w:t xml:space="preserve">generally </w:t>
      </w:r>
      <w:r w:rsidRPr="000F0C63">
        <w:rPr>
          <w:rFonts w:eastAsia="SimSun"/>
          <w:lang w:eastAsia="zh-CN"/>
        </w:rPr>
        <w:t>weakened</w:t>
      </w:r>
      <w:r w:rsidRPr="000F0C63">
        <w:rPr>
          <w:rFonts w:eastAsiaTheme="minorEastAsia"/>
        </w:rPr>
        <w:t xml:space="preserve">.  </w:t>
      </w:r>
    </w:p>
    <w:p w:rsidR="001E08F8" w:rsidRPr="005D4BE4" w:rsidRDefault="001E08F8" w:rsidP="001E08F8">
      <w:pPr>
        <w:overflowPunct w:val="0"/>
        <w:snapToGrid w:val="0"/>
        <w:spacing w:afterLines="50" w:after="180"/>
        <w:jc w:val="both"/>
      </w:pPr>
      <w:r w:rsidRPr="00411BF5">
        <w:t>According to the results of the Census and Statistics Department (C&amp;SD)’s Quarterly Business Tendency Survey (QBTS)</w:t>
      </w:r>
      <w:r w:rsidRPr="00411BF5">
        <w:rPr>
          <w:rFonts w:eastAsia="SimSun"/>
          <w:vertAlign w:val="superscript"/>
          <w:lang w:eastAsia="zh-CN"/>
        </w:rPr>
        <w:t>(1)</w:t>
      </w:r>
      <w:r w:rsidRPr="00411BF5">
        <w:rPr>
          <w:vertAlign w:val="superscript"/>
        </w:rPr>
        <w:t xml:space="preserve"> </w:t>
      </w:r>
      <w:r w:rsidRPr="00411BF5">
        <w:t>conducted</w:t>
      </w:r>
      <w:r w:rsidRPr="00411BF5">
        <w:rPr>
          <w:lang w:eastAsia="zh-HK"/>
        </w:rPr>
        <w:t xml:space="preserve"> </w:t>
      </w:r>
      <w:r w:rsidRPr="00411BF5">
        <w:t>during</w:t>
      </w:r>
      <w:r w:rsidRPr="00411BF5">
        <w:rPr>
          <w:lang w:eastAsia="zh-HK"/>
        </w:rPr>
        <w:t xml:space="preserve"> </w:t>
      </w:r>
      <w:r>
        <w:rPr>
          <w:lang w:eastAsia="zh-HK"/>
        </w:rPr>
        <w:t>1 June</w:t>
      </w:r>
      <w:r w:rsidRPr="00411BF5">
        <w:rPr>
          <w:lang w:eastAsia="zh-HK"/>
        </w:rPr>
        <w:t xml:space="preserve"> 2024 to </w:t>
      </w:r>
      <w:r>
        <w:rPr>
          <w:lang w:eastAsia="zh-HK"/>
        </w:rPr>
        <w:t>8 July</w:t>
      </w:r>
      <w:r w:rsidRPr="00411BF5">
        <w:rPr>
          <w:lang w:eastAsia="zh-HK"/>
        </w:rPr>
        <w:t xml:space="preserve"> 2024,</w:t>
      </w:r>
      <w:r w:rsidRPr="00411BF5">
        <w:t xml:space="preserve"> business sentiment among large enterprises in Hong Kong </w:t>
      </w:r>
      <w:r>
        <w:t>softened slightly</w:t>
      </w:r>
      <w:r w:rsidRPr="00411BF5">
        <w:t xml:space="preserve"> in overall terms as compared to three months ago (</w:t>
      </w:r>
      <w:r w:rsidRPr="00411BF5">
        <w:rPr>
          <w:b/>
          <w:i/>
        </w:rPr>
        <w:t>Chart 1</w:t>
      </w:r>
      <w:r w:rsidRPr="00411BF5">
        <w:t>)</w:t>
      </w:r>
      <w:r w:rsidRPr="00411BF5">
        <w:rPr>
          <w:lang w:eastAsia="zh-HK"/>
        </w:rPr>
        <w:t>.</w:t>
      </w:r>
      <w:r w:rsidRPr="00411BF5">
        <w:t xml:space="preserve">  </w:t>
      </w:r>
      <w:r w:rsidRPr="00411BF5">
        <w:rPr>
          <w:rFonts w:hint="eastAsia"/>
        </w:rPr>
        <w:t>T</w:t>
      </w:r>
      <w:r w:rsidRPr="00411BF5">
        <w:rPr>
          <w:lang w:eastAsia="zh-HK"/>
        </w:rPr>
        <w:t xml:space="preserve">he proportion of large enterprises expecting their business situation to improve in the </w:t>
      </w:r>
      <w:r>
        <w:rPr>
          <w:lang w:eastAsia="zh-HK"/>
        </w:rPr>
        <w:t>third</w:t>
      </w:r>
      <w:r w:rsidRPr="00411BF5">
        <w:rPr>
          <w:lang w:eastAsia="zh-HK"/>
        </w:rPr>
        <w:t xml:space="preserve"> quarter of 2024 over the </w:t>
      </w:r>
      <w:r>
        <w:rPr>
          <w:lang w:eastAsia="zh-HK"/>
        </w:rPr>
        <w:t>second</w:t>
      </w:r>
      <w:r w:rsidRPr="00411BF5">
        <w:rPr>
          <w:lang w:eastAsia="zh-HK"/>
        </w:rPr>
        <w:t xml:space="preserve"> quarter was </w:t>
      </w:r>
      <w:r>
        <w:rPr>
          <w:lang w:eastAsia="zh-HK"/>
        </w:rPr>
        <w:t>less</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1</w:t>
      </w:r>
      <w:r w:rsidRPr="00411BF5">
        <w:rPr>
          <w:lang w:eastAsia="zh-HK"/>
        </w:rPr>
        <w:t xml:space="preserve"> percentage point (i.e. a net balance of </w:t>
      </w:r>
      <w:r>
        <w:rPr>
          <w:lang w:eastAsia="zh-HK"/>
        </w:rPr>
        <w:t>-1</w:t>
      </w:r>
      <w:r w:rsidRPr="00411BF5">
        <w:rPr>
          <w:lang w:eastAsia="zh-HK"/>
        </w:rPr>
        <w:t xml:space="preserve">), </w:t>
      </w:r>
      <w:r>
        <w:rPr>
          <w:lang w:eastAsia="zh-HK"/>
        </w:rPr>
        <w:t>down from</w:t>
      </w:r>
      <w:r w:rsidRPr="005D4BE4">
        <w:rPr>
          <w:lang w:eastAsia="zh-HK"/>
        </w:rPr>
        <w:t xml:space="preserve"> the net balance of +2 </w:t>
      </w:r>
      <w:r w:rsidRPr="005D4BE4">
        <w:t>in the previous round.</w:t>
      </w:r>
    </w:p>
    <w:p w:rsidR="001E08F8" w:rsidRDefault="001E08F8" w:rsidP="001E08F8">
      <w:pPr>
        <w:overflowPunct w:val="0"/>
        <w:snapToGrid w:val="0"/>
        <w:spacing w:afterLines="30" w:after="108"/>
        <w:jc w:val="both"/>
      </w:pPr>
      <w:r>
        <w:t>Business sentiment of l</w:t>
      </w:r>
      <w:r w:rsidRPr="000F3A7E">
        <w:t xml:space="preserve">arge enterprises </w:t>
      </w:r>
      <w:r>
        <w:t>eased</w:t>
      </w:r>
      <w:r w:rsidRPr="000F3A7E">
        <w:t xml:space="preserve"> in </w:t>
      </w:r>
      <w:r>
        <w:t xml:space="preserve">most </w:t>
      </w:r>
      <w:r w:rsidRPr="000F3A7E">
        <w:t>sect</w:t>
      </w:r>
      <w:r>
        <w:t>ors</w:t>
      </w:r>
      <w:r w:rsidRPr="000F3A7E">
        <w:t xml:space="preserve"> </w:t>
      </w:r>
      <w:r w:rsidRPr="005D4BE4">
        <w:t>(</w:t>
      </w:r>
      <w:r w:rsidRPr="005D4BE4">
        <w:rPr>
          <w:b/>
          <w:i/>
        </w:rPr>
        <w:t>T</w:t>
      </w:r>
      <w:r w:rsidRPr="0061078D">
        <w:rPr>
          <w:b/>
          <w:i/>
        </w:rPr>
        <w:t>able 1</w:t>
      </w:r>
      <w:r w:rsidRPr="0061078D">
        <w:t>).  The net balance</w:t>
      </w:r>
      <w:r>
        <w:t>s</w:t>
      </w:r>
      <w:r w:rsidRPr="0061078D">
        <w:t xml:space="preserve"> of the “acco</w:t>
      </w:r>
      <w:r w:rsidRPr="004B75E9">
        <w:t xml:space="preserve">mmodation and food services” and “financing and insurance” sectors </w:t>
      </w:r>
      <w:r>
        <w:t>declined in the positive zone, while that of “real estate” fell to zero</w:t>
      </w:r>
      <w:r w:rsidRPr="004B75E9">
        <w:t xml:space="preserve">. </w:t>
      </w:r>
      <w:r>
        <w:t xml:space="preserve"> The net balances of </w:t>
      </w:r>
      <w:r w:rsidRPr="0061078D">
        <w:t>“manufacturing”</w:t>
      </w:r>
      <w:r>
        <w:t>,</w:t>
      </w:r>
      <w:r w:rsidRPr="0061078D">
        <w:t xml:space="preserve"> “transportation, storage and courier services” and “information and communications” </w:t>
      </w:r>
      <w:r>
        <w:t xml:space="preserve">dipped into the </w:t>
      </w:r>
      <w:r w:rsidRPr="0061078D">
        <w:t>negative</w:t>
      </w:r>
      <w:r>
        <w:t xml:space="preserve"> zone</w:t>
      </w:r>
      <w:r w:rsidRPr="0061078D">
        <w:t>, while th</w:t>
      </w:r>
      <w:r>
        <w:t>ose of</w:t>
      </w:r>
      <w:r w:rsidRPr="0061078D">
        <w:t xml:space="preserve"> “construction” and “retail” sectors stayed </w:t>
      </w:r>
      <w:r>
        <w:t xml:space="preserve">deeply </w:t>
      </w:r>
      <w:r w:rsidRPr="0061078D">
        <w:t>negative.</w:t>
      </w:r>
      <w:r>
        <w:t xml:space="preserve">  </w:t>
      </w:r>
      <w:r w:rsidRPr="0061078D">
        <w:t>The</w:t>
      </w:r>
      <w:r>
        <w:t xml:space="preserve"> net balances of</w:t>
      </w:r>
      <w:r w:rsidRPr="0061078D">
        <w:t xml:space="preserve"> “import/export trade and wholesale” and “professional and business services” showed relative improvement</w:t>
      </w:r>
      <w:r>
        <w:t xml:space="preserve"> within the negative </w:t>
      </w:r>
      <w:r w:rsidRPr="000D2C75">
        <w:t>zone</w:t>
      </w:r>
      <w:r w:rsidRPr="0061078D">
        <w:t xml:space="preserve">.  </w:t>
      </w:r>
      <w:r>
        <w:t>Meanwhile, l</w:t>
      </w:r>
      <w:r w:rsidRPr="004B75E9">
        <w:t>arge enterprises’ appetite for hiring stayed largely positive (</w:t>
      </w:r>
      <w:r w:rsidRPr="004B75E9">
        <w:rPr>
          <w:b/>
          <w:i/>
        </w:rPr>
        <w:t>Table 2</w:t>
      </w:r>
      <w:r w:rsidRPr="004B75E9">
        <w:t xml:space="preserve">). </w:t>
      </w:r>
    </w:p>
    <w:p w:rsidR="001E08F8" w:rsidRPr="009D6AB5" w:rsidRDefault="001E08F8" w:rsidP="001E08F8">
      <w:pPr>
        <w:overflowPunct w:val="0"/>
        <w:snapToGrid w:val="0"/>
        <w:spacing w:afterLines="30" w:after="108"/>
        <w:jc w:val="both"/>
        <w:rPr>
          <w:highlight w:val="lightGray"/>
        </w:rPr>
      </w:pPr>
    </w:p>
    <w:p w:rsidR="001E08F8" w:rsidRPr="009D6AB5" w:rsidRDefault="001E08F8" w:rsidP="001E08F8">
      <w:pPr>
        <w:overflowPunct w:val="0"/>
        <w:snapToGrid w:val="0"/>
        <w:spacing w:afterLines="30" w:after="108"/>
        <w:jc w:val="both"/>
        <w:rPr>
          <w:noProof/>
          <w:sz w:val="2"/>
          <w:highlight w:val="lightGray"/>
        </w:rPr>
      </w:pPr>
    </w:p>
    <w:tbl>
      <w:tblPr>
        <w:tblW w:w="9322" w:type="dxa"/>
        <w:tblLayout w:type="fixed"/>
        <w:tblLook w:val="04A0" w:firstRow="1" w:lastRow="0" w:firstColumn="1" w:lastColumn="0" w:noHBand="0" w:noVBand="1"/>
      </w:tblPr>
      <w:tblGrid>
        <w:gridCol w:w="817"/>
        <w:gridCol w:w="3827"/>
        <w:gridCol w:w="851"/>
        <w:gridCol w:w="3685"/>
        <w:gridCol w:w="142"/>
      </w:tblGrid>
      <w:tr w:rsidR="001E08F8" w:rsidRPr="009D6AB5" w:rsidTr="005A20FE">
        <w:trPr>
          <w:gridAfter w:val="1"/>
          <w:wAfter w:w="142" w:type="dxa"/>
        </w:trPr>
        <w:tc>
          <w:tcPr>
            <w:tcW w:w="9180" w:type="dxa"/>
            <w:gridSpan w:val="4"/>
            <w:shd w:val="clear" w:color="auto" w:fill="auto"/>
          </w:tcPr>
          <w:p w:rsidR="001E08F8" w:rsidRPr="009D6AB5" w:rsidRDefault="001E08F8" w:rsidP="005A20FE">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Chart 1 : Business sentiment of large enterprises softened slightly in overall terms</w:t>
            </w:r>
          </w:p>
        </w:tc>
      </w:tr>
      <w:tr w:rsidR="001E08F8" w:rsidRPr="009D6AB5" w:rsidTr="005A20FE">
        <w:trPr>
          <w:gridAfter w:val="1"/>
          <w:wAfter w:w="142" w:type="dxa"/>
        </w:trPr>
        <w:tc>
          <w:tcPr>
            <w:tcW w:w="9180" w:type="dxa"/>
            <w:gridSpan w:val="4"/>
            <w:shd w:val="clear" w:color="auto" w:fill="auto"/>
          </w:tcPr>
          <w:p w:rsidR="001E08F8" w:rsidRPr="005853F0" w:rsidRDefault="001E08F8" w:rsidP="005A20FE">
            <w:pPr>
              <w:snapToGrid w:val="0"/>
              <w:jc w:val="center"/>
              <w:rPr>
                <w:lang w:eastAsia="zh-HK"/>
              </w:rPr>
            </w:pPr>
            <w:r w:rsidRPr="003407E2">
              <w:rPr>
                <w:noProof/>
              </w:rPr>
              <w:drawing>
                <wp:inline distT="0" distB="0" distL="0" distR="0" wp14:anchorId="7C19CB5F" wp14:editId="049C05FC">
                  <wp:extent cx="5443714" cy="390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3714" cy="3906000"/>
                          </a:xfrm>
                          <a:prstGeom prst="rect">
                            <a:avLst/>
                          </a:prstGeom>
                          <a:noFill/>
                          <a:ln>
                            <a:noFill/>
                          </a:ln>
                        </pic:spPr>
                      </pic:pic>
                    </a:graphicData>
                  </a:graphic>
                </wp:inline>
              </w:drawing>
            </w:r>
          </w:p>
          <w:p w:rsidR="001E08F8" w:rsidRPr="005853F0" w:rsidRDefault="001E08F8" w:rsidP="005A20FE">
            <w:pPr>
              <w:overflowPunct w:val="0"/>
              <w:autoSpaceDE w:val="0"/>
              <w:autoSpaceDN w:val="0"/>
              <w:adjustRightInd w:val="0"/>
              <w:snapToGrid w:val="0"/>
              <w:spacing w:afterLines="30" w:after="108"/>
              <w:ind w:rightChars="73" w:right="175"/>
              <w:textAlignment w:val="baseline"/>
              <w:rPr>
                <w:b/>
                <w:sz w:val="22"/>
              </w:rPr>
            </w:pPr>
            <w:r w:rsidRPr="005853F0">
              <w:rPr>
                <w:noProof/>
                <w:sz w:val="36"/>
              </w:rPr>
              <mc:AlternateContent>
                <mc:Choice Requires="wps">
                  <w:drawing>
                    <wp:anchor distT="4294967293" distB="4294967293" distL="114300" distR="114300" simplePos="0" relativeHeight="251661312" behindDoc="0" locked="0" layoutInCell="1" allowOverlap="1" wp14:anchorId="709E3B6F" wp14:editId="015AF595">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E292D"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1E08F8" w:rsidRPr="005853F0" w:rsidRDefault="001E08F8" w:rsidP="001E08F8">
            <w:pPr>
              <w:pStyle w:val="af3"/>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rsidR="001E08F8" w:rsidRPr="005853F0" w:rsidRDefault="001E08F8" w:rsidP="005A20FE">
            <w:pPr>
              <w:pStyle w:val="a5"/>
              <w:tabs>
                <w:tab w:val="left" w:pos="1260"/>
              </w:tabs>
              <w:spacing w:line="240" w:lineRule="auto"/>
              <w:ind w:right="28"/>
              <w:jc w:val="both"/>
              <w:rPr>
                <w:rFonts w:ascii="Times New Roman"/>
                <w:b/>
                <w:sz w:val="24"/>
                <w:szCs w:val="24"/>
                <w:lang w:val="en-GB"/>
              </w:rPr>
            </w:pPr>
          </w:p>
          <w:p w:rsidR="001E08F8" w:rsidRDefault="001E08F8" w:rsidP="005A20FE">
            <w:pPr>
              <w:pStyle w:val="a5"/>
              <w:tabs>
                <w:tab w:val="left" w:pos="1260"/>
              </w:tabs>
              <w:spacing w:line="240" w:lineRule="auto"/>
              <w:ind w:right="28"/>
              <w:jc w:val="both"/>
              <w:rPr>
                <w:rFonts w:ascii="Times New Roman"/>
                <w:b/>
                <w:sz w:val="24"/>
                <w:szCs w:val="24"/>
                <w:lang w:val="en-GB"/>
              </w:rPr>
            </w:pPr>
          </w:p>
          <w:p w:rsidR="001E08F8" w:rsidRPr="005853F0" w:rsidRDefault="001E08F8" w:rsidP="005A20FE">
            <w:pPr>
              <w:pStyle w:val="a5"/>
              <w:tabs>
                <w:tab w:val="left" w:pos="1260"/>
              </w:tabs>
              <w:spacing w:line="240" w:lineRule="auto"/>
              <w:ind w:right="28"/>
              <w:jc w:val="both"/>
              <w:rPr>
                <w:rFonts w:ascii="Times New Roman"/>
                <w:b/>
                <w:sz w:val="24"/>
                <w:szCs w:val="24"/>
                <w:lang w:val="en-GB"/>
              </w:rPr>
            </w:pPr>
          </w:p>
          <w:p w:rsidR="001E08F8" w:rsidRPr="005853F0" w:rsidRDefault="001E08F8" w:rsidP="005A20FE">
            <w:pPr>
              <w:pStyle w:val="a5"/>
              <w:tabs>
                <w:tab w:val="left" w:pos="1260"/>
              </w:tabs>
              <w:spacing w:line="240" w:lineRule="auto"/>
              <w:ind w:right="28"/>
              <w:jc w:val="both"/>
              <w:rPr>
                <w:rFonts w:ascii="Times New Roman"/>
                <w:b/>
                <w:sz w:val="24"/>
                <w:szCs w:val="24"/>
                <w:lang w:val="en-GB"/>
              </w:rPr>
            </w:pPr>
            <w:r w:rsidRPr="005853F0">
              <w:rPr>
                <w:rFonts w:ascii="Times New Roman"/>
                <w:b/>
                <w:sz w:val="24"/>
                <w:szCs w:val="24"/>
                <w:lang w:val="en-GB"/>
              </w:rPr>
              <w:t>Box 1.1 (Cont’d)</w:t>
            </w:r>
          </w:p>
          <w:p w:rsidR="001E08F8" w:rsidRPr="005853F0" w:rsidRDefault="001E08F8" w:rsidP="005A20FE">
            <w:pPr>
              <w:snapToGrid w:val="0"/>
              <w:jc w:val="both"/>
            </w:pPr>
          </w:p>
        </w:tc>
      </w:tr>
      <w:tr w:rsidR="001E08F8" w:rsidRPr="009D6AB5" w:rsidTr="005A20FE">
        <w:trPr>
          <w:trHeight w:val="602"/>
        </w:trPr>
        <w:tc>
          <w:tcPr>
            <w:tcW w:w="4644" w:type="dxa"/>
            <w:gridSpan w:val="2"/>
            <w:shd w:val="clear" w:color="auto" w:fill="auto"/>
          </w:tcPr>
          <w:p w:rsidR="001E08F8" w:rsidRPr="005853F0" w:rsidRDefault="001E08F8" w:rsidP="005A20FE">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1 : Business sentiment of large enterprises </w:t>
            </w:r>
            <w:r w:rsidRPr="000D2C75">
              <w:rPr>
                <w:b/>
                <w:sz w:val="21"/>
                <w:szCs w:val="21"/>
                <w:lang w:eastAsia="zh-HK"/>
              </w:rPr>
              <w:t>eased in most sectors</w:t>
            </w:r>
          </w:p>
        </w:tc>
        <w:tc>
          <w:tcPr>
            <w:tcW w:w="4678" w:type="dxa"/>
            <w:gridSpan w:val="3"/>
            <w:shd w:val="clear" w:color="auto" w:fill="auto"/>
          </w:tcPr>
          <w:p w:rsidR="001E08F8" w:rsidRPr="005853F0" w:rsidRDefault="001E08F8" w:rsidP="005A20FE">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 xml:space="preserve">Table 2 : Hiring sentiment of large enterprises </w:t>
            </w:r>
            <w:r>
              <w:rPr>
                <w:b/>
                <w:sz w:val="21"/>
                <w:szCs w:val="21"/>
                <w:lang w:eastAsia="zh-HK"/>
              </w:rPr>
              <w:t>stayed</w:t>
            </w:r>
            <w:r w:rsidRPr="005853F0">
              <w:rPr>
                <w:b/>
                <w:sz w:val="21"/>
                <w:szCs w:val="21"/>
                <w:lang w:eastAsia="zh-HK"/>
              </w:rPr>
              <w:t xml:space="preserve"> </w:t>
            </w:r>
            <w:r>
              <w:rPr>
                <w:b/>
                <w:sz w:val="21"/>
                <w:szCs w:val="21"/>
                <w:lang w:eastAsia="zh-HK"/>
              </w:rPr>
              <w:t>largely positive</w:t>
            </w:r>
          </w:p>
        </w:tc>
      </w:tr>
      <w:tr w:rsidR="001E08F8" w:rsidRPr="009D6AB5" w:rsidTr="005A20FE">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53"/>
              <w:gridCol w:w="425"/>
              <w:gridCol w:w="429"/>
              <w:gridCol w:w="430"/>
              <w:gridCol w:w="440"/>
              <w:gridCol w:w="418"/>
              <w:gridCol w:w="428"/>
            </w:tblGrid>
            <w:tr w:rsidR="001E08F8" w:rsidRPr="005853F0" w:rsidTr="005A20FE">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1E08F8" w:rsidRPr="005853F0" w:rsidRDefault="001E08F8" w:rsidP="005A20FE">
                  <w:pPr>
                    <w:jc w:val="center"/>
                    <w:rPr>
                      <w:b/>
                      <w:bCs/>
                      <w:sz w:val="18"/>
                      <w:szCs w:val="18"/>
                    </w:rPr>
                  </w:pPr>
                  <w:r w:rsidRPr="005853F0">
                    <w:rPr>
                      <w:b/>
                      <w:bCs/>
                      <w:sz w:val="18"/>
                      <w:szCs w:val="18"/>
                    </w:rPr>
                    <w:t>QBTS: Expected changes in business situation</w:t>
                  </w:r>
                </w:p>
              </w:tc>
            </w:tr>
            <w:tr w:rsidR="001E08F8" w:rsidRPr="005853F0" w:rsidTr="005A20FE">
              <w:trPr>
                <w:trHeight w:val="162"/>
              </w:trPr>
              <w:tc>
                <w:tcPr>
                  <w:tcW w:w="1853" w:type="dxa"/>
                  <w:vMerge w:val="restart"/>
                  <w:shd w:val="clear" w:color="auto" w:fill="auto"/>
                  <w:tcMar>
                    <w:top w:w="15" w:type="dxa"/>
                    <w:left w:w="15" w:type="dxa"/>
                    <w:bottom w:w="0" w:type="dxa"/>
                    <w:right w:w="15" w:type="dxa"/>
                  </w:tcMar>
                  <w:hideMark/>
                </w:tcPr>
                <w:p w:rsidR="001E08F8" w:rsidRPr="005853F0" w:rsidRDefault="001E08F8" w:rsidP="005A20FE">
                  <w:pPr>
                    <w:spacing w:line="200" w:lineRule="exact"/>
                    <w:rPr>
                      <w:sz w:val="18"/>
                      <w:szCs w:val="18"/>
                    </w:rPr>
                  </w:pPr>
                </w:p>
              </w:tc>
              <w:tc>
                <w:tcPr>
                  <w:tcW w:w="2570" w:type="dxa"/>
                  <w:gridSpan w:val="6"/>
                  <w:shd w:val="clear" w:color="auto" w:fill="auto"/>
                  <w:tcMar>
                    <w:top w:w="15" w:type="dxa"/>
                    <w:left w:w="15" w:type="dxa"/>
                    <w:bottom w:w="0" w:type="dxa"/>
                    <w:right w:w="15" w:type="dxa"/>
                  </w:tcMar>
                  <w:hideMark/>
                </w:tcPr>
                <w:p w:rsidR="001E08F8" w:rsidRPr="005853F0" w:rsidRDefault="001E08F8" w:rsidP="005A20FE">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1E08F8" w:rsidRPr="005853F0" w:rsidTr="005A20FE">
              <w:trPr>
                <w:trHeight w:val="227"/>
              </w:trPr>
              <w:tc>
                <w:tcPr>
                  <w:tcW w:w="1853" w:type="dxa"/>
                  <w:vMerge/>
                  <w:shd w:val="clear" w:color="auto" w:fill="auto"/>
                  <w:tcMar>
                    <w:top w:w="15" w:type="dxa"/>
                    <w:left w:w="15" w:type="dxa"/>
                    <w:bottom w:w="0" w:type="dxa"/>
                    <w:right w:w="15" w:type="dxa"/>
                  </w:tcMar>
                </w:tcPr>
                <w:p w:rsidR="001E08F8" w:rsidRPr="005853F0" w:rsidRDefault="001E08F8" w:rsidP="005A20FE">
                  <w:pPr>
                    <w:spacing w:line="200" w:lineRule="exact"/>
                    <w:rPr>
                      <w:sz w:val="18"/>
                      <w:szCs w:val="18"/>
                    </w:rPr>
                  </w:pPr>
                </w:p>
              </w:tc>
              <w:tc>
                <w:tcPr>
                  <w:tcW w:w="1284" w:type="dxa"/>
                  <w:gridSpan w:val="3"/>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2023</w:t>
                  </w:r>
                </w:p>
              </w:tc>
              <w:tc>
                <w:tcPr>
                  <w:tcW w:w="1286" w:type="dxa"/>
                  <w:gridSpan w:val="3"/>
                  <w:shd w:val="clear" w:color="auto" w:fill="auto"/>
                  <w:vAlign w:val="center"/>
                </w:tcPr>
                <w:p w:rsidR="001E08F8" w:rsidRPr="005853F0" w:rsidRDefault="001E08F8" w:rsidP="005A20FE">
                  <w:pPr>
                    <w:spacing w:line="200" w:lineRule="exact"/>
                    <w:jc w:val="center"/>
                    <w:rPr>
                      <w:sz w:val="18"/>
                      <w:szCs w:val="18"/>
                    </w:rPr>
                  </w:pPr>
                  <w:r>
                    <w:rPr>
                      <w:sz w:val="18"/>
                      <w:szCs w:val="18"/>
                    </w:rPr>
                    <w:t>2024</w:t>
                  </w:r>
                </w:p>
              </w:tc>
            </w:tr>
            <w:tr w:rsidR="001E08F8" w:rsidRPr="005853F0" w:rsidTr="005A20FE">
              <w:trPr>
                <w:trHeight w:val="261"/>
              </w:trPr>
              <w:tc>
                <w:tcPr>
                  <w:tcW w:w="1853" w:type="dxa"/>
                  <w:vMerge/>
                  <w:shd w:val="clear" w:color="auto" w:fill="auto"/>
                  <w:tcMar>
                    <w:top w:w="15" w:type="dxa"/>
                    <w:left w:w="15" w:type="dxa"/>
                    <w:bottom w:w="0" w:type="dxa"/>
                    <w:right w:w="15" w:type="dxa"/>
                  </w:tcMar>
                  <w:hideMark/>
                </w:tcPr>
                <w:p w:rsidR="001E08F8" w:rsidRPr="005853F0" w:rsidRDefault="001E08F8" w:rsidP="005A20FE">
                  <w:pPr>
                    <w:spacing w:line="200" w:lineRule="exact"/>
                    <w:rPr>
                      <w:sz w:val="18"/>
                      <w:szCs w:val="18"/>
                    </w:rPr>
                  </w:pP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Q2</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Q3</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Q4</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Q1</w:t>
                  </w:r>
                </w:p>
              </w:tc>
              <w:tc>
                <w:tcPr>
                  <w:tcW w:w="418" w:type="dxa"/>
                  <w:vAlign w:val="center"/>
                </w:tcPr>
                <w:p w:rsidR="001E08F8" w:rsidRPr="005853F0" w:rsidRDefault="001E08F8" w:rsidP="005A20FE">
                  <w:pPr>
                    <w:spacing w:line="200" w:lineRule="exact"/>
                    <w:jc w:val="center"/>
                    <w:rPr>
                      <w:sz w:val="18"/>
                      <w:szCs w:val="18"/>
                    </w:rPr>
                  </w:pPr>
                  <w:r w:rsidRPr="005853F0">
                    <w:rPr>
                      <w:sz w:val="18"/>
                      <w:szCs w:val="18"/>
                    </w:rPr>
                    <w:t>Q2</w:t>
                  </w:r>
                </w:p>
              </w:tc>
              <w:tc>
                <w:tcPr>
                  <w:tcW w:w="428" w:type="dxa"/>
                  <w:vAlign w:val="center"/>
                </w:tcPr>
                <w:p w:rsidR="001E08F8" w:rsidRPr="005853F0" w:rsidRDefault="001E08F8" w:rsidP="005A20FE">
                  <w:pPr>
                    <w:spacing w:line="200" w:lineRule="exact"/>
                    <w:jc w:val="center"/>
                    <w:rPr>
                      <w:sz w:val="18"/>
                      <w:szCs w:val="18"/>
                    </w:rPr>
                  </w:pPr>
                  <w:r w:rsidRPr="005853F0">
                    <w:rPr>
                      <w:sz w:val="18"/>
                      <w:szCs w:val="18"/>
                    </w:rPr>
                    <w:t>Q</w:t>
                  </w:r>
                  <w:r>
                    <w:rPr>
                      <w:sz w:val="18"/>
                      <w:szCs w:val="18"/>
                    </w:rPr>
                    <w:t>3</w:t>
                  </w:r>
                </w:p>
              </w:tc>
            </w:tr>
            <w:tr w:rsidR="001E08F8" w:rsidRPr="005853F0" w:rsidTr="005A20FE">
              <w:trPr>
                <w:trHeight w:val="190"/>
              </w:trPr>
              <w:tc>
                <w:tcPr>
                  <w:tcW w:w="1853"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Manufacturing</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+36</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+20</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-2</w:t>
                  </w:r>
                </w:p>
              </w:tc>
            </w:tr>
            <w:tr w:rsidR="001E08F8" w:rsidRPr="005853F0" w:rsidTr="005A20FE">
              <w:trPr>
                <w:trHeight w:val="137"/>
              </w:trPr>
              <w:tc>
                <w:tcPr>
                  <w:tcW w:w="1853"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Construction</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-16</w:t>
                  </w:r>
                </w:p>
              </w:tc>
            </w:tr>
            <w:tr w:rsidR="001E08F8" w:rsidRPr="005853F0" w:rsidTr="005A20FE">
              <w:trPr>
                <w:trHeight w:val="308"/>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Import/export trade and wholesale</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+5</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-1</w:t>
                  </w:r>
                </w:p>
              </w:tc>
            </w:tr>
            <w:tr w:rsidR="001E08F8" w:rsidRPr="005853F0" w:rsidTr="005A20FE">
              <w:trPr>
                <w:trHeight w:val="192"/>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Retail</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+34</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+18</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+32</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-16</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-16</w:t>
                  </w:r>
                </w:p>
              </w:tc>
            </w:tr>
            <w:tr w:rsidR="001E08F8" w:rsidRPr="005853F0" w:rsidTr="005A20FE">
              <w:trPr>
                <w:trHeight w:val="232"/>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Accommodation and food services</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+64</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+41</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+33</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+6</w:t>
                  </w:r>
                </w:p>
              </w:tc>
            </w:tr>
            <w:tr w:rsidR="001E08F8" w:rsidRPr="005853F0" w:rsidTr="005A20FE">
              <w:trPr>
                <w:trHeight w:val="401"/>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Transportation, storage and courier services</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+13</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+5</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-2</w:t>
                  </w:r>
                </w:p>
              </w:tc>
            </w:tr>
            <w:tr w:rsidR="001E08F8" w:rsidRPr="005853F0" w:rsidTr="005A20FE">
              <w:trPr>
                <w:trHeight w:val="222"/>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Information and communications</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r w:rsidR="001E08F8" w:rsidRPr="005853F0" w:rsidTr="005A20FE">
              <w:trPr>
                <w:trHeight w:val="256"/>
              </w:trPr>
              <w:tc>
                <w:tcPr>
                  <w:tcW w:w="1853"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Financing and insurance</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+25</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+14</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+19</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+7</w:t>
                  </w:r>
                </w:p>
              </w:tc>
            </w:tr>
            <w:tr w:rsidR="001E08F8" w:rsidRPr="005853F0" w:rsidTr="005A20FE">
              <w:trPr>
                <w:trHeight w:val="164"/>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Real estate</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+13</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0</w:t>
                  </w:r>
                </w:p>
              </w:tc>
            </w:tr>
            <w:tr w:rsidR="001E08F8" w:rsidRPr="005853F0" w:rsidTr="005A20FE">
              <w:trPr>
                <w:trHeight w:val="288"/>
              </w:trPr>
              <w:tc>
                <w:tcPr>
                  <w:tcW w:w="1853"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Professional and business services</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+5</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r w:rsidR="001E08F8" w:rsidRPr="005853F0" w:rsidTr="005A20FE">
              <w:trPr>
                <w:trHeight w:val="288"/>
              </w:trPr>
              <w:tc>
                <w:tcPr>
                  <w:tcW w:w="1853"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All sectors above</w:t>
                  </w:r>
                </w:p>
              </w:tc>
              <w:tc>
                <w:tcPr>
                  <w:tcW w:w="42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+15</w:t>
                  </w:r>
                </w:p>
              </w:tc>
              <w:tc>
                <w:tcPr>
                  <w:tcW w:w="429"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3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40"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18"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28"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-1</w:t>
                  </w:r>
                </w:p>
              </w:tc>
            </w:tr>
          </w:tbl>
          <w:p w:rsidR="001E08F8" w:rsidRPr="005853F0" w:rsidRDefault="001E08F8" w:rsidP="005A20FE">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52"/>
              <w:gridCol w:w="422"/>
              <w:gridCol w:w="426"/>
              <w:gridCol w:w="435"/>
              <w:gridCol w:w="478"/>
              <w:gridCol w:w="379"/>
              <w:gridCol w:w="431"/>
            </w:tblGrid>
            <w:tr w:rsidR="001E08F8" w:rsidRPr="005853F0" w:rsidTr="005A20FE">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1E08F8" w:rsidRPr="005853F0" w:rsidRDefault="001E08F8" w:rsidP="005A20FE">
                  <w:pPr>
                    <w:jc w:val="center"/>
                    <w:rPr>
                      <w:b/>
                      <w:bCs/>
                      <w:sz w:val="18"/>
                      <w:szCs w:val="18"/>
                    </w:rPr>
                  </w:pPr>
                  <w:r w:rsidRPr="005853F0">
                    <w:rPr>
                      <w:b/>
                      <w:bCs/>
                      <w:sz w:val="18"/>
                      <w:szCs w:val="18"/>
                    </w:rPr>
                    <w:t>QBTS: Expected changes in number of persons engaged</w:t>
                  </w:r>
                </w:p>
              </w:tc>
            </w:tr>
            <w:tr w:rsidR="001E08F8" w:rsidRPr="005853F0" w:rsidTr="005A20FE">
              <w:trPr>
                <w:trHeight w:val="162"/>
              </w:trPr>
              <w:tc>
                <w:tcPr>
                  <w:tcW w:w="1852" w:type="dxa"/>
                  <w:vMerge w:val="restart"/>
                  <w:shd w:val="clear" w:color="auto" w:fill="auto"/>
                  <w:tcMar>
                    <w:top w:w="15" w:type="dxa"/>
                    <w:left w:w="15" w:type="dxa"/>
                    <w:bottom w:w="0" w:type="dxa"/>
                    <w:right w:w="15" w:type="dxa"/>
                  </w:tcMar>
                  <w:hideMark/>
                </w:tcPr>
                <w:p w:rsidR="001E08F8" w:rsidRPr="005853F0" w:rsidRDefault="001E08F8" w:rsidP="005A20FE">
                  <w:pPr>
                    <w:spacing w:line="200" w:lineRule="exact"/>
                    <w:rPr>
                      <w:sz w:val="18"/>
                      <w:szCs w:val="18"/>
                    </w:rPr>
                  </w:pPr>
                </w:p>
              </w:tc>
              <w:tc>
                <w:tcPr>
                  <w:tcW w:w="2571" w:type="dxa"/>
                  <w:gridSpan w:val="6"/>
                  <w:shd w:val="clear" w:color="auto" w:fill="auto"/>
                  <w:tcMar>
                    <w:top w:w="15" w:type="dxa"/>
                    <w:left w:w="15" w:type="dxa"/>
                    <w:bottom w:w="0" w:type="dxa"/>
                    <w:right w:w="15" w:type="dxa"/>
                  </w:tcMar>
                  <w:hideMark/>
                </w:tcPr>
                <w:p w:rsidR="001E08F8" w:rsidRPr="005853F0" w:rsidRDefault="001E08F8" w:rsidP="005A20FE">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1E08F8" w:rsidRPr="005853F0" w:rsidTr="005A20FE">
              <w:trPr>
                <w:trHeight w:val="227"/>
              </w:trPr>
              <w:tc>
                <w:tcPr>
                  <w:tcW w:w="1852" w:type="dxa"/>
                  <w:vMerge/>
                  <w:shd w:val="clear" w:color="auto" w:fill="auto"/>
                  <w:tcMar>
                    <w:top w:w="15" w:type="dxa"/>
                    <w:left w:w="15" w:type="dxa"/>
                    <w:bottom w:w="0" w:type="dxa"/>
                    <w:right w:w="15" w:type="dxa"/>
                  </w:tcMar>
                </w:tcPr>
                <w:p w:rsidR="001E08F8" w:rsidRPr="005853F0" w:rsidRDefault="001E08F8" w:rsidP="005A20FE">
                  <w:pPr>
                    <w:spacing w:line="200" w:lineRule="exact"/>
                    <w:rPr>
                      <w:sz w:val="18"/>
                      <w:szCs w:val="18"/>
                    </w:rPr>
                  </w:pPr>
                </w:p>
              </w:tc>
              <w:tc>
                <w:tcPr>
                  <w:tcW w:w="1283" w:type="dxa"/>
                  <w:gridSpan w:val="3"/>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2023</w:t>
                  </w:r>
                </w:p>
              </w:tc>
              <w:tc>
                <w:tcPr>
                  <w:tcW w:w="1288" w:type="dxa"/>
                  <w:gridSpan w:val="3"/>
                  <w:shd w:val="clear" w:color="auto" w:fill="auto"/>
                  <w:vAlign w:val="center"/>
                </w:tcPr>
                <w:p w:rsidR="001E08F8" w:rsidRPr="005853F0" w:rsidRDefault="001E08F8" w:rsidP="005A20FE">
                  <w:pPr>
                    <w:spacing w:line="200" w:lineRule="exact"/>
                    <w:jc w:val="center"/>
                    <w:rPr>
                      <w:sz w:val="18"/>
                      <w:szCs w:val="18"/>
                    </w:rPr>
                  </w:pPr>
                  <w:r>
                    <w:rPr>
                      <w:sz w:val="18"/>
                      <w:szCs w:val="18"/>
                    </w:rPr>
                    <w:t>2024</w:t>
                  </w:r>
                </w:p>
              </w:tc>
            </w:tr>
            <w:tr w:rsidR="001E08F8" w:rsidRPr="005853F0" w:rsidTr="005A20FE">
              <w:trPr>
                <w:trHeight w:val="261"/>
              </w:trPr>
              <w:tc>
                <w:tcPr>
                  <w:tcW w:w="1852" w:type="dxa"/>
                  <w:vMerge/>
                  <w:shd w:val="clear" w:color="auto" w:fill="auto"/>
                  <w:tcMar>
                    <w:top w:w="15" w:type="dxa"/>
                    <w:left w:w="15" w:type="dxa"/>
                    <w:bottom w:w="0" w:type="dxa"/>
                    <w:right w:w="15" w:type="dxa"/>
                  </w:tcMar>
                  <w:hideMark/>
                </w:tcPr>
                <w:p w:rsidR="001E08F8" w:rsidRPr="005853F0" w:rsidRDefault="001E08F8" w:rsidP="005A20FE">
                  <w:pPr>
                    <w:spacing w:line="200" w:lineRule="exact"/>
                    <w:rPr>
                      <w:sz w:val="18"/>
                      <w:szCs w:val="18"/>
                    </w:rPr>
                  </w:pP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Q2</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Q3</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Q4</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8"/>
                      <w:szCs w:val="18"/>
                    </w:rPr>
                  </w:pPr>
                  <w:r w:rsidRPr="005853F0">
                    <w:rPr>
                      <w:sz w:val="18"/>
                      <w:szCs w:val="18"/>
                    </w:rPr>
                    <w:t>Q1</w:t>
                  </w:r>
                </w:p>
              </w:tc>
              <w:tc>
                <w:tcPr>
                  <w:tcW w:w="379" w:type="dxa"/>
                  <w:vAlign w:val="center"/>
                </w:tcPr>
                <w:p w:rsidR="001E08F8" w:rsidRPr="005853F0" w:rsidRDefault="001E08F8" w:rsidP="005A20FE">
                  <w:pPr>
                    <w:spacing w:line="200" w:lineRule="exact"/>
                    <w:jc w:val="center"/>
                    <w:rPr>
                      <w:sz w:val="18"/>
                      <w:szCs w:val="18"/>
                    </w:rPr>
                  </w:pPr>
                  <w:r w:rsidRPr="005853F0">
                    <w:rPr>
                      <w:sz w:val="18"/>
                      <w:szCs w:val="18"/>
                    </w:rPr>
                    <w:t>Q2</w:t>
                  </w:r>
                </w:p>
              </w:tc>
              <w:tc>
                <w:tcPr>
                  <w:tcW w:w="431" w:type="dxa"/>
                  <w:vAlign w:val="center"/>
                </w:tcPr>
                <w:p w:rsidR="001E08F8" w:rsidRPr="005853F0" w:rsidRDefault="001E08F8" w:rsidP="005A20FE">
                  <w:pPr>
                    <w:spacing w:line="200" w:lineRule="exact"/>
                    <w:jc w:val="center"/>
                    <w:rPr>
                      <w:sz w:val="18"/>
                      <w:szCs w:val="18"/>
                    </w:rPr>
                  </w:pPr>
                  <w:r w:rsidRPr="005853F0">
                    <w:rPr>
                      <w:sz w:val="18"/>
                      <w:szCs w:val="18"/>
                    </w:rPr>
                    <w:t>Q</w:t>
                  </w:r>
                  <w:r>
                    <w:rPr>
                      <w:sz w:val="18"/>
                      <w:szCs w:val="18"/>
                    </w:rPr>
                    <w:t>3</w:t>
                  </w:r>
                </w:p>
              </w:tc>
            </w:tr>
            <w:tr w:rsidR="001E08F8" w:rsidRPr="005853F0" w:rsidTr="005A20FE">
              <w:trPr>
                <w:trHeight w:val="190"/>
              </w:trPr>
              <w:tc>
                <w:tcPr>
                  <w:tcW w:w="1852"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Manufacturing</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+18</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+26</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+13</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+13</w:t>
                  </w:r>
                </w:p>
              </w:tc>
            </w:tr>
            <w:tr w:rsidR="001E08F8" w:rsidRPr="005853F0" w:rsidTr="005A20FE">
              <w:trPr>
                <w:trHeight w:val="137"/>
              </w:trPr>
              <w:tc>
                <w:tcPr>
                  <w:tcW w:w="1852"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Construction</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r w:rsidR="001E08F8" w:rsidRPr="005853F0" w:rsidTr="005A20FE">
              <w:trPr>
                <w:trHeight w:val="308"/>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Import/export trade and wholesale</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0</w:t>
                  </w:r>
                </w:p>
              </w:tc>
            </w:tr>
            <w:tr w:rsidR="001E08F8" w:rsidRPr="005853F0" w:rsidTr="005A20FE">
              <w:trPr>
                <w:trHeight w:val="192"/>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Retail</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+20</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+14</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r w:rsidR="001E08F8" w:rsidRPr="005853F0" w:rsidTr="005A20FE">
              <w:trPr>
                <w:trHeight w:val="390"/>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Accommodation and food services</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+50</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+31</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+23</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+21</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+4</w:t>
                  </w:r>
                </w:p>
              </w:tc>
            </w:tr>
            <w:tr w:rsidR="001E08F8" w:rsidRPr="005853F0" w:rsidTr="005A20FE">
              <w:trPr>
                <w:trHeight w:val="401"/>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Transportation, storage and courier services</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0</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+9</w:t>
                  </w:r>
                </w:p>
              </w:tc>
            </w:tr>
            <w:tr w:rsidR="001E08F8" w:rsidRPr="005853F0" w:rsidTr="005A20FE">
              <w:trPr>
                <w:trHeight w:val="222"/>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Information and communications</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-2</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-15</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-8</w:t>
                  </w:r>
                </w:p>
              </w:tc>
            </w:tr>
            <w:tr w:rsidR="001E08F8" w:rsidRPr="005853F0" w:rsidTr="005A20FE">
              <w:trPr>
                <w:trHeight w:val="256"/>
              </w:trPr>
              <w:tc>
                <w:tcPr>
                  <w:tcW w:w="1852"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Financing and insurance</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+13</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+12</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+7</w:t>
                  </w:r>
                </w:p>
              </w:tc>
            </w:tr>
            <w:tr w:rsidR="001E08F8" w:rsidRPr="005853F0" w:rsidTr="005A20FE">
              <w:trPr>
                <w:trHeight w:val="164"/>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Real estate</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+19</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+10</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+15</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+9</w:t>
                  </w:r>
                </w:p>
              </w:tc>
            </w:tr>
            <w:tr w:rsidR="001E08F8" w:rsidRPr="005853F0" w:rsidTr="005A20FE">
              <w:trPr>
                <w:trHeight w:val="288"/>
              </w:trPr>
              <w:tc>
                <w:tcPr>
                  <w:tcW w:w="1852" w:type="dxa"/>
                  <w:shd w:val="clear" w:color="auto" w:fill="auto"/>
                  <w:tcMar>
                    <w:top w:w="15" w:type="dxa"/>
                    <w:left w:w="15" w:type="dxa"/>
                    <w:bottom w:w="0" w:type="dxa"/>
                    <w:right w:w="15" w:type="dxa"/>
                  </w:tcMar>
                  <w:vAlign w:val="center"/>
                  <w:hideMark/>
                </w:tcPr>
                <w:p w:rsidR="001E08F8" w:rsidRPr="005853F0" w:rsidRDefault="001E08F8" w:rsidP="005A20FE">
                  <w:pPr>
                    <w:spacing w:line="200" w:lineRule="exact"/>
                    <w:ind w:leftChars="5" w:left="12"/>
                    <w:rPr>
                      <w:sz w:val="19"/>
                      <w:szCs w:val="19"/>
                    </w:rPr>
                  </w:pPr>
                  <w:r w:rsidRPr="005853F0">
                    <w:rPr>
                      <w:sz w:val="19"/>
                      <w:szCs w:val="19"/>
                    </w:rPr>
                    <w:t>Professional and business services</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+4</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+5</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r w:rsidR="001E08F8" w:rsidRPr="005853F0" w:rsidTr="005A20FE">
              <w:trPr>
                <w:trHeight w:val="288"/>
              </w:trPr>
              <w:tc>
                <w:tcPr>
                  <w:tcW w:w="1852" w:type="dxa"/>
                  <w:shd w:val="clear" w:color="auto" w:fill="auto"/>
                  <w:tcMar>
                    <w:top w:w="15" w:type="dxa"/>
                    <w:left w:w="15" w:type="dxa"/>
                    <w:bottom w:w="0" w:type="dxa"/>
                    <w:right w:w="15" w:type="dxa"/>
                  </w:tcMar>
                  <w:vAlign w:val="center"/>
                </w:tcPr>
                <w:p w:rsidR="001E08F8" w:rsidRPr="005853F0" w:rsidRDefault="001E08F8" w:rsidP="005A20FE">
                  <w:pPr>
                    <w:spacing w:line="200" w:lineRule="exact"/>
                    <w:ind w:leftChars="5" w:left="12"/>
                    <w:rPr>
                      <w:sz w:val="19"/>
                      <w:szCs w:val="19"/>
                    </w:rPr>
                  </w:pPr>
                  <w:r w:rsidRPr="005853F0">
                    <w:rPr>
                      <w:sz w:val="19"/>
                      <w:szCs w:val="19"/>
                    </w:rPr>
                    <w:t>All sectors above</w:t>
                  </w:r>
                </w:p>
              </w:tc>
              <w:tc>
                <w:tcPr>
                  <w:tcW w:w="422"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+11</w:t>
                  </w:r>
                </w:p>
              </w:tc>
              <w:tc>
                <w:tcPr>
                  <w:tcW w:w="426"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+8</w:t>
                  </w:r>
                </w:p>
              </w:tc>
              <w:tc>
                <w:tcPr>
                  <w:tcW w:w="435"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+9</w:t>
                  </w:r>
                </w:p>
              </w:tc>
              <w:tc>
                <w:tcPr>
                  <w:tcW w:w="478" w:type="dxa"/>
                  <w:shd w:val="clear" w:color="auto" w:fill="auto"/>
                  <w:tcMar>
                    <w:top w:w="15" w:type="dxa"/>
                    <w:left w:w="15" w:type="dxa"/>
                    <w:bottom w:w="0" w:type="dxa"/>
                    <w:right w:w="15" w:type="dxa"/>
                  </w:tcMar>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+6</w:t>
                  </w:r>
                </w:p>
              </w:tc>
              <w:tc>
                <w:tcPr>
                  <w:tcW w:w="379" w:type="dxa"/>
                  <w:vAlign w:val="center"/>
                </w:tcPr>
                <w:p w:rsidR="001E08F8" w:rsidRPr="005853F0" w:rsidRDefault="001E08F8" w:rsidP="005A20FE">
                  <w:pPr>
                    <w:spacing w:line="200" w:lineRule="exact"/>
                    <w:jc w:val="center"/>
                    <w:rPr>
                      <w:sz w:val="19"/>
                      <w:szCs w:val="19"/>
                      <w:lang w:eastAsia="zh-HK"/>
                    </w:rPr>
                  </w:pPr>
                  <w:r w:rsidRPr="005853F0">
                    <w:rPr>
                      <w:sz w:val="19"/>
                      <w:szCs w:val="19"/>
                      <w:lang w:eastAsia="zh-HK"/>
                    </w:rPr>
                    <w:t>+7</w:t>
                  </w:r>
                </w:p>
              </w:tc>
              <w:tc>
                <w:tcPr>
                  <w:tcW w:w="431" w:type="dxa"/>
                  <w:vAlign w:val="center"/>
                </w:tcPr>
                <w:p w:rsidR="001E08F8" w:rsidRPr="00E45F1E" w:rsidRDefault="001E08F8" w:rsidP="005A20FE">
                  <w:pPr>
                    <w:spacing w:line="200" w:lineRule="exact"/>
                    <w:jc w:val="center"/>
                    <w:rPr>
                      <w:sz w:val="19"/>
                      <w:szCs w:val="19"/>
                      <w:lang w:eastAsia="zh-HK"/>
                    </w:rPr>
                  </w:pPr>
                  <w:r w:rsidRPr="00E45F1E">
                    <w:rPr>
                      <w:sz w:val="19"/>
                      <w:szCs w:val="19"/>
                      <w:lang w:eastAsia="zh-HK"/>
                    </w:rPr>
                    <w:t>+3</w:t>
                  </w:r>
                </w:p>
              </w:tc>
            </w:tr>
          </w:tbl>
          <w:p w:rsidR="001E08F8" w:rsidRPr="005853F0" w:rsidRDefault="001E08F8" w:rsidP="005A20FE">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1E08F8" w:rsidRPr="009D6AB5" w:rsidTr="005A20FE">
        <w:trPr>
          <w:trHeight w:val="1301"/>
        </w:trPr>
        <w:tc>
          <w:tcPr>
            <w:tcW w:w="817" w:type="dxa"/>
            <w:shd w:val="clear" w:color="auto" w:fill="auto"/>
          </w:tcPr>
          <w:p w:rsidR="001E08F8" w:rsidRPr="005853F0" w:rsidRDefault="001E08F8" w:rsidP="005A20FE">
            <w:pPr>
              <w:jc w:val="center"/>
              <w:rPr>
                <w:bCs/>
                <w:sz w:val="18"/>
                <w:szCs w:val="18"/>
              </w:rPr>
            </w:pPr>
            <w:r w:rsidRPr="005853F0">
              <w:rPr>
                <w:sz w:val="16"/>
                <w:szCs w:val="16"/>
              </w:rPr>
              <w:t>Note: (*)</w:t>
            </w:r>
          </w:p>
        </w:tc>
        <w:tc>
          <w:tcPr>
            <w:tcW w:w="3827" w:type="dxa"/>
            <w:shd w:val="clear" w:color="auto" w:fill="auto"/>
          </w:tcPr>
          <w:p w:rsidR="001E08F8" w:rsidRPr="005853F0" w:rsidRDefault="001E08F8" w:rsidP="005A20FE">
            <w:pPr>
              <w:spacing w:afterLines="25" w:after="90"/>
              <w:jc w:val="both"/>
              <w:rPr>
                <w:bCs/>
                <w:sz w:val="18"/>
                <w:szCs w:val="18"/>
              </w:rPr>
            </w:pPr>
            <w:r w:rsidRPr="005853F0">
              <w:rPr>
                <w:sz w:val="16"/>
                <w:szCs w:val="16"/>
              </w:rPr>
              <w:t xml:space="preserve">Net balance indicates the direction of expected change in the business situation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rsidR="001E08F8" w:rsidRPr="005853F0" w:rsidRDefault="001E08F8" w:rsidP="005A20FE">
            <w:pPr>
              <w:spacing w:afterLines="25" w:after="90"/>
              <w:jc w:val="both"/>
              <w:rPr>
                <w:bCs/>
                <w:sz w:val="18"/>
                <w:szCs w:val="18"/>
              </w:rPr>
            </w:pPr>
            <w:r w:rsidRPr="005853F0">
              <w:rPr>
                <w:sz w:val="16"/>
                <w:szCs w:val="16"/>
              </w:rPr>
              <w:t>Note: (*)</w:t>
            </w:r>
          </w:p>
        </w:tc>
        <w:tc>
          <w:tcPr>
            <w:tcW w:w="3827" w:type="dxa"/>
            <w:gridSpan w:val="2"/>
            <w:shd w:val="clear" w:color="auto" w:fill="auto"/>
          </w:tcPr>
          <w:p w:rsidR="001E08F8" w:rsidRPr="005853F0" w:rsidRDefault="001E08F8" w:rsidP="005A20FE">
            <w:pPr>
              <w:spacing w:afterLines="25" w:after="90"/>
              <w:jc w:val="both"/>
              <w:rPr>
                <w:bCs/>
                <w:sz w:val="18"/>
                <w:szCs w:val="18"/>
              </w:rPr>
            </w:pPr>
            <w:r w:rsidRPr="005853F0">
              <w:rPr>
                <w:sz w:val="16"/>
                <w:szCs w:val="16"/>
              </w:rPr>
              <w:t xml:space="preserve">Net balance indicates the direction of expected change in the number of persons engaged versus the preceding quarter.  It refers to the difference in percentage points between the </w:t>
            </w:r>
            <w:proofErr w:type="gramStart"/>
            <w:r w:rsidRPr="005853F0">
              <w:rPr>
                <w:sz w:val="16"/>
                <w:szCs w:val="16"/>
              </w:rPr>
              <w:t>proportion</w:t>
            </w:r>
            <w:proofErr w:type="gramEnd"/>
            <w:r w:rsidRPr="005853F0">
              <w:rPr>
                <w:sz w:val="16"/>
                <w:szCs w:val="16"/>
              </w:rPr>
              <w:t xml:space="preserve"> of establishments choosing “up” over that choosing “down”.  A positive sign indicates a likely upward trend while a negative sign, a likely downward trend.</w:t>
            </w:r>
          </w:p>
        </w:tc>
      </w:tr>
    </w:tbl>
    <w:p w:rsidR="001E08F8" w:rsidRPr="009D6AB5" w:rsidRDefault="001E08F8" w:rsidP="001E08F8">
      <w:pPr>
        <w:overflowPunct w:val="0"/>
        <w:snapToGrid w:val="0"/>
        <w:spacing w:afterLines="50" w:after="180"/>
        <w:jc w:val="both"/>
        <w:rPr>
          <w:highlight w:val="lightGray"/>
        </w:rPr>
      </w:pPr>
      <w:r w:rsidRPr="009D6AB5">
        <w:rPr>
          <w:noProof/>
          <w:highlight w:val="lightGray"/>
        </w:rPr>
        <mc:AlternateContent>
          <mc:Choice Requires="wps">
            <w:drawing>
              <wp:anchor distT="0" distB="0" distL="114300" distR="114300" simplePos="0" relativeHeight="251659264" behindDoc="0" locked="0" layoutInCell="1" allowOverlap="1" wp14:anchorId="198C0A1B" wp14:editId="2C6C7166">
                <wp:simplePos x="0" y="0"/>
                <wp:positionH relativeFrom="column">
                  <wp:posOffset>-223935</wp:posOffset>
                </wp:positionH>
                <wp:positionV relativeFrom="paragraph">
                  <wp:posOffset>-4733653</wp:posOffset>
                </wp:positionV>
                <wp:extent cx="6173470" cy="9489233"/>
                <wp:effectExtent l="0" t="0" r="17780" b="17145"/>
                <wp:wrapNone/>
                <wp:docPr id="4" name="Rectangle 4"/>
                <wp:cNvGraphicFramePr/>
                <a:graphic xmlns:a="http://schemas.openxmlformats.org/drawingml/2006/main">
                  <a:graphicData uri="http://schemas.microsoft.com/office/word/2010/wordprocessingShape">
                    <wps:wsp>
                      <wps:cNvSpPr/>
                      <wps:spPr>
                        <a:xfrm>
                          <a:off x="0" y="0"/>
                          <a:ext cx="6173470" cy="948923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82239B" id="Rectangle 4" o:spid="_x0000_s1026" style="position:absolute;margin-left:-17.65pt;margin-top:-372.75pt;width:486.1pt;height:747.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" filled="f" strokecolor="black [3213]"/>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The overall index on the current situation eased </w:t>
      </w:r>
      <w:r>
        <w:t>to</w:t>
      </w:r>
      <w:r w:rsidRPr="003D71AC">
        <w:t xml:space="preserve"> 43.</w:t>
      </w:r>
      <w:r>
        <w:t>0</w:t>
      </w:r>
      <w:r w:rsidRPr="003D71AC">
        <w:t xml:space="preserve"> in </w:t>
      </w:r>
      <w:r>
        <w:t>May</w:t>
      </w:r>
      <w:r w:rsidRPr="003D71AC">
        <w:t xml:space="preserve"> </w:t>
      </w:r>
      <w:r>
        <w:t>and</w:t>
      </w:r>
      <w:r w:rsidRPr="003D71AC">
        <w:t xml:space="preserve"> 41.4 in June, </w:t>
      </w:r>
      <w:r>
        <w:t xml:space="preserve">before edging up </w:t>
      </w:r>
      <w:r w:rsidRPr="003D71AC">
        <w:t>to 4</w:t>
      </w:r>
      <w:r>
        <w:t>1.8</w:t>
      </w:r>
      <w:r w:rsidRPr="003D71AC">
        <w:t xml:space="preserve"> in July</w:t>
      </w:r>
      <w:r w:rsidRPr="003D71AC" w:rsidDel="001D1B27">
        <w:t xml:space="preserve"> </w:t>
      </w:r>
      <w:r w:rsidRPr="003D71AC">
        <w:t>(</w:t>
      </w:r>
      <w:r w:rsidRPr="003D71AC">
        <w:rPr>
          <w:b/>
          <w:i/>
        </w:rPr>
        <w:t>Chart 2a</w:t>
      </w:r>
      <w:r w:rsidRPr="003D71AC">
        <w:t>).  Employment sentiment among SMEs</w:t>
      </w:r>
      <w:r>
        <w:t xml:space="preserve"> was generally </w:t>
      </w:r>
      <w:r w:rsidRPr="00EF6E62">
        <w:t>stable</w:t>
      </w:r>
      <w:r>
        <w:t xml:space="preserve"> in May and June, but softened in July.  Mean</w:t>
      </w:r>
      <w:r w:rsidRPr="003D71AC">
        <w:t>while</w:t>
      </w:r>
      <w:r>
        <w:t>,</w:t>
      </w:r>
      <w:r w:rsidRPr="003D71AC">
        <w:t xml:space="preserve"> credit conditions stayed accommodative.</w:t>
      </w:r>
    </w:p>
    <w:p w:rsidR="001E08F8" w:rsidRDefault="001E08F8" w:rsidP="001E08F8">
      <w:pPr>
        <w:overflowPunct w:val="0"/>
        <w:snapToGrid w:val="0"/>
        <w:spacing w:afterLines="50" w:after="180"/>
        <w:jc w:val="both"/>
      </w:pPr>
      <w:r w:rsidRPr="00FD0097">
        <w:t>As for other surveys in the public domain, the S&amp;P Global Purchasing Managers’ Index (PMI) of Hong Kong</w:t>
      </w:r>
      <w:r w:rsidRPr="00FD0097">
        <w:rPr>
          <w:vertAlign w:val="superscript"/>
        </w:rPr>
        <w:t>(</w:t>
      </w:r>
      <w:r w:rsidR="00431E96">
        <w:rPr>
          <w:vertAlign w:val="superscript"/>
          <w:lang w:eastAsia="zh-HK"/>
        </w:rPr>
        <w:t>3</w:t>
      </w:r>
      <w:r w:rsidRPr="00FD0097">
        <w:rPr>
          <w:vertAlign w:val="superscript"/>
        </w:rPr>
        <w:t>)</w:t>
      </w:r>
      <w:r w:rsidRPr="00FD0097">
        <w:t xml:space="preserve">, which gauges the performance of the private sector’s business </w:t>
      </w:r>
      <w:r w:rsidRPr="006B52B5">
        <w:t xml:space="preserve">activity, dipped into the contractionary zone in May and </w:t>
      </w:r>
      <w:r>
        <w:t xml:space="preserve">stayed below the boom-bust line in </w:t>
      </w:r>
      <w:r w:rsidRPr="006B52B5">
        <w:t>June</w:t>
      </w:r>
      <w:r>
        <w:t xml:space="preserve"> an</w:t>
      </w:r>
      <w:r w:rsidRPr="00886D40">
        <w:t xml:space="preserve">d July. </w:t>
      </w:r>
      <w:r w:rsidRPr="006B52B5">
        <w:t xml:space="preserve"> </w:t>
      </w:r>
      <w:r w:rsidRPr="004A51BC">
        <w:t>T</w:t>
      </w:r>
      <w:r w:rsidRPr="004A51BC">
        <w:rPr>
          <w:lang w:eastAsia="zh-HK"/>
        </w:rPr>
        <w:t>he Hong Kong Trade Development Council (HKTDC)</w:t>
      </w:r>
      <w:r w:rsidRPr="004A51BC">
        <w:t xml:space="preserve"> </w:t>
      </w:r>
      <w:r w:rsidRPr="004A51BC">
        <w:rPr>
          <w:lang w:eastAsia="zh-HK"/>
        </w:rPr>
        <w:t xml:space="preserve">Export Confidence </w:t>
      </w:r>
      <w:proofErr w:type="gramStart"/>
      <w:r w:rsidRPr="004A51BC">
        <w:rPr>
          <w:lang w:eastAsia="zh-HK"/>
        </w:rPr>
        <w:t>Index</w:t>
      </w:r>
      <w:r w:rsidRPr="004A51BC">
        <w:rPr>
          <w:vertAlign w:val="superscript"/>
        </w:rPr>
        <w:t>(</w:t>
      </w:r>
      <w:proofErr w:type="gramEnd"/>
      <w:r w:rsidR="00431E96">
        <w:rPr>
          <w:vertAlign w:val="superscript"/>
          <w:lang w:eastAsia="zh-HK"/>
        </w:rPr>
        <w:t>4</w:t>
      </w:r>
      <w:r w:rsidRPr="004A51BC">
        <w:rPr>
          <w:vertAlign w:val="superscript"/>
        </w:rPr>
        <w:t>)</w:t>
      </w:r>
      <w:r w:rsidRPr="004A51BC">
        <w:t xml:space="preserve"> </w:t>
      </w:r>
      <w:r>
        <w:t>showed</w:t>
      </w:r>
      <w:r w:rsidRPr="009A4B69">
        <w:t xml:space="preserve"> improvement in the current export </w:t>
      </w:r>
      <w:r w:rsidRPr="00EA2F04">
        <w:t>environment, and strong</w:t>
      </w:r>
      <w:r>
        <w:t>er</w:t>
      </w:r>
      <w:r w:rsidRPr="00EA2F04">
        <w:t xml:space="preserve"> confidence </w:t>
      </w:r>
      <w:r>
        <w:rPr>
          <w:rFonts w:hint="eastAsia"/>
        </w:rPr>
        <w:t>a</w:t>
      </w:r>
      <w:r>
        <w:t>mong exporters in</w:t>
      </w:r>
      <w:r w:rsidRPr="00EA2F04">
        <w:t xml:space="preserve"> future export performance</w:t>
      </w:r>
      <w:r w:rsidRPr="00EA2F04">
        <w:rPr>
          <w:rFonts w:hint="eastAsia"/>
        </w:rPr>
        <w:t xml:space="preserve">.  </w:t>
      </w:r>
      <w:r>
        <w:t>Exporters showed general optimism</w:t>
      </w:r>
      <w:r w:rsidRPr="00882D9C">
        <w:t xml:space="preserve"> </w:t>
      </w:r>
      <w:r>
        <w:t xml:space="preserve">in export performance in major export markets such as the Mainland, US, EU and the ASEAN.  </w:t>
      </w:r>
      <w:r w:rsidRPr="00F604EA">
        <w:t>Among the exporters surveyed</w:t>
      </w:r>
      <w:r>
        <w:t xml:space="preserve">, </w:t>
      </w:r>
      <w:r w:rsidRPr="00EA2F04">
        <w:t xml:space="preserve">the top three challenges </w:t>
      </w:r>
      <w:r w:rsidRPr="00F604EA">
        <w:t xml:space="preserve">to their businesses in the next twelve months </w:t>
      </w:r>
      <w:r w:rsidRPr="00EA2F04">
        <w:t>were rising transport costs, high capital costs</w:t>
      </w:r>
      <w:r>
        <w:t>,</w:t>
      </w:r>
      <w:r w:rsidRPr="00EA2F04">
        <w:t xml:space="preserve"> and exchange-rate fluctuations, currency devaluations in target markets</w:t>
      </w:r>
      <w:r>
        <w:t xml:space="preserve">. </w:t>
      </w:r>
    </w:p>
    <w:p w:rsidR="00A326E3" w:rsidRDefault="00A326E3" w:rsidP="001E08F8">
      <w:pPr>
        <w:overflowPunct w:val="0"/>
        <w:snapToGrid w:val="0"/>
        <w:spacing w:afterLines="50" w:after="180"/>
        <w:jc w:val="both"/>
      </w:pPr>
    </w:p>
    <w:p w:rsidR="00A326E3" w:rsidRDefault="00A326E3" w:rsidP="001E08F8">
      <w:pPr>
        <w:overflowPunct w:val="0"/>
        <w:snapToGrid w:val="0"/>
        <w:spacing w:afterLines="50" w:after="180"/>
        <w:jc w:val="both"/>
      </w:pPr>
    </w:p>
    <w:p w:rsidR="001E08F8" w:rsidRDefault="001E08F8" w:rsidP="001E08F8">
      <w:pPr>
        <w:overflowPunct w:val="0"/>
        <w:snapToGrid w:val="0"/>
        <w:spacing w:afterLines="50" w:after="180"/>
        <w:jc w:val="both"/>
      </w:pPr>
      <w:r w:rsidRPr="00FD0097">
        <w:rPr>
          <w:noProof/>
        </w:rPr>
        <mc:AlternateContent>
          <mc:Choice Requires="wps">
            <w:drawing>
              <wp:anchor distT="4294967293" distB="4294967293" distL="114300" distR="114300" simplePos="0" relativeHeight="251662336" behindDoc="0" locked="0" layoutInCell="1" allowOverlap="1" wp14:anchorId="57470EE3" wp14:editId="5C12FED4">
                <wp:simplePos x="0" y="0"/>
                <wp:positionH relativeFrom="column">
                  <wp:posOffset>2072640</wp:posOffset>
                </wp:positionH>
                <wp:positionV relativeFrom="paragraph">
                  <wp:posOffset>63500</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0D7EB"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5pt" to="28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"/>
            </w:pict>
          </mc:Fallback>
        </mc:AlternateContent>
      </w:r>
    </w:p>
    <w:p w:rsidR="001E08F8" w:rsidRPr="004C5EA0" w:rsidRDefault="001E08F8" w:rsidP="001E08F8">
      <w:pPr>
        <w:numPr>
          <w:ilvl w:val="0"/>
          <w:numId w:val="13"/>
        </w:numPr>
        <w:snapToGrid w:val="0"/>
        <w:spacing w:beforeLines="10" w:before="36" w:afterLines="10" w:after="36"/>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rsidR="001E08F8" w:rsidRPr="004C5EA0" w:rsidRDefault="001E08F8" w:rsidP="001E08F8">
      <w:pPr>
        <w:snapToGrid w:val="0"/>
        <w:spacing w:beforeLines="10" w:before="36" w:afterLines="10" w:after="36"/>
        <w:ind w:left="357"/>
        <w:jc w:val="both"/>
        <w:rPr>
          <w:kern w:val="0"/>
          <w:sz w:val="20"/>
          <w:szCs w:val="20"/>
          <w:lang w:eastAsia="zh-HK"/>
        </w:rPr>
      </w:pPr>
    </w:p>
    <w:p w:rsidR="001E08F8" w:rsidRPr="009D6AB5" w:rsidRDefault="001E08F8" w:rsidP="001E08F8">
      <w:pPr>
        <w:snapToGrid w:val="0"/>
        <w:spacing w:beforeLines="10" w:before="36" w:afterLines="10" w:after="36"/>
        <w:ind w:left="357"/>
        <w:jc w:val="both"/>
        <w:rPr>
          <w:kern w:val="0"/>
          <w:sz w:val="20"/>
          <w:szCs w:val="20"/>
          <w:highlight w:val="lightGray"/>
          <w:lang w:eastAsia="zh-HK"/>
        </w:rPr>
      </w:pPr>
    </w:p>
    <w:p w:rsidR="001E08F8" w:rsidRPr="00D2416C" w:rsidRDefault="001E08F8" w:rsidP="001E08F8">
      <w:pPr>
        <w:snapToGrid w:val="0"/>
        <w:spacing w:beforeLines="10" w:before="36" w:afterLines="10" w:after="36"/>
        <w:jc w:val="both"/>
        <w:rPr>
          <w:b/>
        </w:rPr>
      </w:pPr>
      <w:r w:rsidRPr="00D2416C">
        <w:rPr>
          <w:noProof/>
        </w:rPr>
        <w:lastRenderedPageBreak/>
        <mc:AlternateContent>
          <mc:Choice Requires="wps">
            <w:drawing>
              <wp:anchor distT="0" distB="0" distL="114300" distR="114300" simplePos="0" relativeHeight="251664384" behindDoc="0" locked="0" layoutInCell="1" allowOverlap="1" wp14:anchorId="5FC703CC" wp14:editId="70E9A1D1">
                <wp:simplePos x="0" y="0"/>
                <wp:positionH relativeFrom="column">
                  <wp:posOffset>-169545</wp:posOffset>
                </wp:positionH>
                <wp:positionV relativeFrom="paragraph">
                  <wp:posOffset>-89181</wp:posOffset>
                </wp:positionV>
                <wp:extent cx="6173470" cy="9537405"/>
                <wp:effectExtent l="0" t="0" r="17780" b="26035"/>
                <wp:wrapNone/>
                <wp:docPr id="8" name="Rectangle 5"/>
                <wp:cNvGraphicFramePr/>
                <a:graphic xmlns:a="http://schemas.openxmlformats.org/drawingml/2006/main">
                  <a:graphicData uri="http://schemas.microsoft.com/office/word/2010/wordprocessingShape">
                    <wps:wsp>
                      <wps:cNvSpPr/>
                      <wps:spPr>
                        <a:xfrm>
                          <a:off x="0" y="0"/>
                          <a:ext cx="6173470" cy="95374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F13BE5" id="Rectangle 5" o:spid="_x0000_s1026" style="position:absolute;margin-left:-13.35pt;margin-top:-7pt;width:486.1pt;height:75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" filled="f" strokecolor="black [3213]"/>
            </w:pict>
          </mc:Fallback>
        </mc:AlternateContent>
      </w:r>
      <w:r w:rsidRPr="00D2416C">
        <w:rPr>
          <w:b/>
        </w:rPr>
        <w:t>Box 1.1 (Cont’d)</w:t>
      </w:r>
      <w:r w:rsidRPr="00D2416C">
        <w:t xml:space="preserve"> </w:t>
      </w:r>
    </w:p>
    <w:p w:rsidR="001E08F8" w:rsidRDefault="001E08F8" w:rsidP="001E08F8">
      <w:pPr>
        <w:snapToGrid w:val="0"/>
        <w:jc w:val="center"/>
        <w:rPr>
          <w:highlight w:val="yellow"/>
        </w:rPr>
      </w:pPr>
    </w:p>
    <w:p w:rsidR="001E08F8" w:rsidRDefault="001E08F8" w:rsidP="001E08F8">
      <w:pPr>
        <w:snapToGrid w:val="0"/>
        <w:jc w:val="center"/>
        <w:rPr>
          <w:b/>
          <w:noProof/>
          <w:sz w:val="21"/>
          <w:szCs w:val="21"/>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Business sentiment indicators </w:t>
      </w:r>
      <w:r>
        <w:rPr>
          <w:b/>
          <w:sz w:val="21"/>
          <w:szCs w:val="21"/>
          <w:lang w:eastAsia="zh-HK"/>
        </w:rPr>
        <w:t xml:space="preserve">generally weakened </w:t>
      </w:r>
      <w:r w:rsidRPr="00D2416C">
        <w:rPr>
          <w:b/>
          <w:sz w:val="21"/>
          <w:szCs w:val="21"/>
          <w:lang w:eastAsia="zh-HK"/>
        </w:rPr>
        <w:t>in the past few months</w:t>
      </w:r>
      <w:r>
        <w:rPr>
          <w:b/>
          <w:noProof/>
          <w:sz w:val="21"/>
          <w:szCs w:val="21"/>
        </w:rPr>
        <w:t xml:space="preserve">, </w:t>
      </w:r>
    </w:p>
    <w:p w:rsidR="001E08F8" w:rsidRPr="00D2416C" w:rsidRDefault="001E08F8" w:rsidP="001E08F8">
      <w:pPr>
        <w:snapToGrid w:val="0"/>
        <w:jc w:val="center"/>
        <w:rPr>
          <w:b/>
          <w:sz w:val="21"/>
        </w:rPr>
      </w:pPr>
      <w:r>
        <w:rPr>
          <w:b/>
          <w:noProof/>
          <w:sz w:val="21"/>
          <w:szCs w:val="21"/>
        </w:rPr>
        <w:t>though confidence among exporters improved</w:t>
      </w:r>
    </w:p>
    <w:p w:rsidR="001E08F8" w:rsidRPr="009D6AB5" w:rsidRDefault="001E08F8" w:rsidP="001E08F8">
      <w:pPr>
        <w:snapToGrid w:val="0"/>
        <w:jc w:val="center"/>
        <w:rPr>
          <w:b/>
          <w:sz w:val="21"/>
          <w:szCs w:val="21"/>
          <w:highlight w:val="lightGray"/>
          <w:lang w:eastAsia="zh-HK"/>
        </w:rPr>
      </w:pPr>
      <w:r w:rsidRPr="005A20FE">
        <w:rPr>
          <w:noProof/>
        </w:rPr>
        <w:drawing>
          <wp:inline distT="0" distB="0" distL="0" distR="0" wp14:anchorId="4DF1C0AB" wp14:editId="4E792FC5">
            <wp:extent cx="5731160" cy="3978457"/>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179"/>
                    <a:stretch/>
                  </pic:blipFill>
                  <pic:spPr bwMode="auto">
                    <a:xfrm>
                      <a:off x="0" y="0"/>
                      <a:ext cx="5731510" cy="3978700"/>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1E08F8" w:rsidRPr="009D6AB5" w:rsidTr="005A20FE">
        <w:tc>
          <w:tcPr>
            <w:tcW w:w="752" w:type="dxa"/>
            <w:shd w:val="clear" w:color="auto" w:fill="auto"/>
          </w:tcPr>
          <w:p w:rsidR="001E08F8" w:rsidRPr="00D2416C" w:rsidRDefault="001E08F8" w:rsidP="005A20FE">
            <w:pPr>
              <w:snapToGrid w:val="0"/>
              <w:spacing w:afterLines="10" w:after="36" w:line="200" w:lineRule="exact"/>
              <w:rPr>
                <w:sz w:val="18"/>
                <w:szCs w:val="18"/>
                <w:lang w:eastAsia="zh-HK"/>
              </w:rPr>
            </w:pPr>
            <w:r w:rsidRPr="00D2416C">
              <w:rPr>
                <w:sz w:val="18"/>
                <w:szCs w:val="18"/>
                <w:lang w:eastAsia="zh-HK"/>
              </w:rPr>
              <w:t>Notes:</w:t>
            </w:r>
          </w:p>
        </w:tc>
        <w:tc>
          <w:tcPr>
            <w:tcW w:w="280" w:type="dxa"/>
            <w:shd w:val="clear" w:color="auto" w:fill="auto"/>
          </w:tcPr>
          <w:p w:rsidR="001E08F8" w:rsidRPr="00D2416C" w:rsidRDefault="001E08F8" w:rsidP="005A20FE">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rsidR="001E08F8" w:rsidRPr="00D2416C" w:rsidRDefault="001E08F8" w:rsidP="005A20FE">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1E08F8" w:rsidRPr="009D6AB5" w:rsidTr="005A20FE">
        <w:tc>
          <w:tcPr>
            <w:tcW w:w="752" w:type="dxa"/>
            <w:shd w:val="clear" w:color="auto" w:fill="auto"/>
          </w:tcPr>
          <w:p w:rsidR="001E08F8" w:rsidRPr="00D2416C" w:rsidRDefault="001E08F8" w:rsidP="005A20FE">
            <w:pPr>
              <w:snapToGrid w:val="0"/>
              <w:spacing w:afterLines="20" w:after="72" w:line="200" w:lineRule="exact"/>
              <w:rPr>
                <w:sz w:val="18"/>
                <w:szCs w:val="18"/>
              </w:rPr>
            </w:pPr>
          </w:p>
        </w:tc>
        <w:tc>
          <w:tcPr>
            <w:tcW w:w="280" w:type="dxa"/>
            <w:shd w:val="clear" w:color="auto" w:fill="auto"/>
          </w:tcPr>
          <w:p w:rsidR="001E08F8" w:rsidRPr="00D2416C" w:rsidRDefault="001E08F8" w:rsidP="005A20FE">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rsidR="001E08F8" w:rsidRPr="00D2416C" w:rsidRDefault="001E08F8" w:rsidP="005A20FE">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rsidR="001E08F8" w:rsidRPr="009D6AB5" w:rsidRDefault="001E08F8" w:rsidP="001E08F8">
      <w:pPr>
        <w:snapToGrid w:val="0"/>
        <w:spacing w:afterLines="30" w:after="108"/>
        <w:jc w:val="both"/>
        <w:rPr>
          <w:highlight w:val="lightGray"/>
        </w:rPr>
      </w:pPr>
    </w:p>
    <w:p w:rsidR="001E08F8" w:rsidRPr="009D6AB5" w:rsidRDefault="001E08F8" w:rsidP="001E08F8">
      <w:pPr>
        <w:snapToGrid w:val="0"/>
        <w:spacing w:afterLines="30" w:after="108"/>
        <w:jc w:val="both"/>
        <w:rPr>
          <w:highlight w:val="lightGray"/>
        </w:rPr>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The</w:t>
      </w:r>
      <w:r w:rsidRPr="003E4391">
        <w:rPr>
          <w:rFonts w:hint="eastAsia"/>
        </w:rPr>
        <w:t>se</w:t>
      </w:r>
      <w:r w:rsidRPr="003E4391">
        <w:t xml:space="preserve"> survey findings taken together suggest that </w:t>
      </w:r>
      <w:r w:rsidRPr="003E4391">
        <w:rPr>
          <w:rFonts w:hint="eastAsia"/>
        </w:rPr>
        <w:t xml:space="preserve">overall </w:t>
      </w:r>
      <w:r w:rsidRPr="003E4391">
        <w:t xml:space="preserve">business sentiment in the past few months </w:t>
      </w:r>
      <w:r>
        <w:t xml:space="preserve">generally </w:t>
      </w:r>
      <w:r w:rsidRPr="003E4391">
        <w:t xml:space="preserve">weakened.  </w:t>
      </w:r>
      <w:r w:rsidRPr="007E1BF3">
        <w:t xml:space="preserve">Looking ahead, while </w:t>
      </w:r>
      <w:r>
        <w:t xml:space="preserve">uncertainties surrounding the global economy </w:t>
      </w:r>
      <w:r w:rsidRPr="007E1BF3">
        <w:t xml:space="preserve">will affect business sentiment, the Central Government’s various measures that benefit Hong Kong and continued growth of the local economy should provide support.  </w:t>
      </w:r>
    </w:p>
    <w:p w:rsidR="001E08F8" w:rsidRPr="009D6AB5" w:rsidRDefault="001E08F8" w:rsidP="001E08F8">
      <w:pPr>
        <w:snapToGrid w:val="0"/>
        <w:jc w:val="both"/>
        <w:rPr>
          <w:b/>
          <w:highlight w:val="lightGray"/>
        </w:rPr>
      </w:pPr>
    </w:p>
    <w:p w:rsidR="001E08F8" w:rsidRPr="00AE7BF9" w:rsidRDefault="001E08F8" w:rsidP="001E08F8">
      <w:pPr>
        <w:snapToGrid w:val="0"/>
        <w:jc w:val="both"/>
        <w:rPr>
          <w:b/>
        </w:rPr>
      </w:pPr>
      <w:r w:rsidRPr="009D6AB5">
        <w:rPr>
          <w:noProof/>
          <w:highlight w:val="lightGray"/>
        </w:rPr>
        <mc:AlternateContent>
          <mc:Choice Requires="wps">
            <w:drawing>
              <wp:anchor distT="4294967293" distB="4294967293" distL="114300" distR="114300" simplePos="0" relativeHeight="251663360" behindDoc="0" locked="0" layoutInCell="1" allowOverlap="1" wp14:anchorId="1A2A75A1" wp14:editId="69EF6BE4">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8697F"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1E08F8" w:rsidRPr="00AE7BF9" w:rsidRDefault="001E08F8" w:rsidP="001E08F8">
      <w:pPr>
        <w:numPr>
          <w:ilvl w:val="0"/>
          <w:numId w:val="13"/>
        </w:numPr>
        <w:autoSpaceDE w:val="0"/>
        <w:autoSpaceDN w:val="0"/>
        <w:adjustRightInd w:val="0"/>
        <w:snapToGrid w:val="0"/>
        <w:spacing w:beforeLines="20" w:before="72" w:afterLines="30" w:after="108"/>
        <w:jc w:val="both"/>
        <w:rPr>
          <w:lang w:val="en-US" w:eastAsia="zh-HK"/>
        </w:rPr>
      </w:pPr>
      <w:r w:rsidRPr="00AE7BF9">
        <w:rPr>
          <w:kern w:val="0"/>
          <w:sz w:val="20"/>
          <w:szCs w:val="20"/>
          <w:lang w:eastAsia="zh-HK"/>
        </w:rPr>
        <w:t>According to the press release by S&amp;P Global, 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rsidR="001E08F8" w:rsidRPr="007E1BF3" w:rsidRDefault="001E08F8" w:rsidP="001E08F8">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rsidR="00E67131" w:rsidRDefault="004603FC" w:rsidP="00AA3189">
      <w:pPr>
        <w:rPr>
          <w:b/>
          <w:sz w:val="28"/>
          <w:szCs w:val="20"/>
        </w:rPr>
      </w:pPr>
      <w:r w:rsidRPr="004110C3">
        <w:rPr>
          <w:b/>
          <w:sz w:val="28"/>
          <w:szCs w:val="20"/>
        </w:rPr>
        <w:lastRenderedPageBreak/>
        <w:t>The labour sector</w:t>
      </w:r>
      <w:r w:rsidR="00560BF3" w:rsidRPr="00AA3189">
        <w:rPr>
          <w:b/>
          <w:sz w:val="28"/>
          <w:szCs w:val="20"/>
        </w:rPr>
        <w:t xml:space="preserve"> </w:t>
      </w:r>
    </w:p>
    <w:p w:rsidR="00AA3189" w:rsidRPr="00AA3189" w:rsidRDefault="00AA3189" w:rsidP="00AA3189">
      <w:pPr>
        <w:rPr>
          <w:b/>
          <w:sz w:val="28"/>
          <w:szCs w:val="20"/>
        </w:rPr>
      </w:pPr>
    </w:p>
    <w:p w:rsidR="00EF24CB" w:rsidRPr="00F50D36" w:rsidRDefault="009C154B" w:rsidP="00E66B0B">
      <w:pPr>
        <w:pStyle w:val="a5"/>
        <w:numPr>
          <w:ilvl w:val="1"/>
          <w:numId w:val="19"/>
        </w:numPr>
        <w:tabs>
          <w:tab w:val="left" w:pos="1260"/>
        </w:tabs>
        <w:overflowPunct w:val="0"/>
        <w:ind w:left="0" w:right="28" w:firstLine="0"/>
        <w:jc w:val="both"/>
        <w:rPr>
          <w:rFonts w:ascii="Times New Roman"/>
          <w:kern w:val="0"/>
          <w:lang w:val="en-GB"/>
        </w:rPr>
      </w:pPr>
      <w:r w:rsidRPr="009C154B">
        <w:rPr>
          <w:rFonts w:ascii="Times New Roman"/>
          <w:kern w:val="0"/>
          <w:lang w:val="en-HK"/>
        </w:rPr>
        <w:t xml:space="preserve">The labour market </w:t>
      </w:r>
      <w:r w:rsidR="00A94EC9">
        <w:rPr>
          <w:rFonts w:ascii="Times New Roman"/>
          <w:kern w:val="0"/>
          <w:lang w:val="en-HK"/>
        </w:rPr>
        <w:t>stayed</w:t>
      </w:r>
      <w:r w:rsidRPr="009C154B">
        <w:rPr>
          <w:rFonts w:ascii="Times New Roman"/>
          <w:kern w:val="0"/>
          <w:lang w:val="en-HK"/>
        </w:rPr>
        <w:t xml:space="preserve"> tight in the </w:t>
      </w:r>
      <w:r w:rsidR="00A94EC9">
        <w:rPr>
          <w:rFonts w:ascii="Times New Roman"/>
          <w:kern w:val="0"/>
          <w:lang w:val="en-HK"/>
        </w:rPr>
        <w:t>second</w:t>
      </w:r>
      <w:r w:rsidRPr="009C154B">
        <w:rPr>
          <w:rFonts w:ascii="Times New Roman"/>
          <w:kern w:val="0"/>
          <w:lang w:val="en-HK"/>
        </w:rPr>
        <w:t xml:space="preserve"> quarter of 2024.  </w:t>
      </w:r>
      <w:r w:rsidR="00F8387D" w:rsidRPr="00F8387D">
        <w:rPr>
          <w:rFonts w:ascii="Times New Roman"/>
          <w:kern w:val="0"/>
          <w:lang w:val="en-HK"/>
        </w:rPr>
        <w:t xml:space="preserve">The seasonally adjusted </w:t>
      </w:r>
      <w:r w:rsidR="00F8387D" w:rsidRPr="00F8387D">
        <w:rPr>
          <w:rFonts w:ascii="Times New Roman"/>
          <w:i/>
          <w:kern w:val="0"/>
          <w:lang w:val="en-HK"/>
        </w:rPr>
        <w:t>unemployment rate</w:t>
      </w:r>
      <w:r w:rsidR="00F8387D" w:rsidRPr="00F8387D">
        <w:rPr>
          <w:rFonts w:ascii="Times New Roman"/>
          <w:kern w:val="0"/>
          <w:lang w:val="en-HK"/>
        </w:rPr>
        <w:t xml:space="preserve"> </w:t>
      </w:r>
      <w:r w:rsidR="002A34F7" w:rsidRPr="002A34F7">
        <w:rPr>
          <w:rFonts w:ascii="Times New Roman"/>
          <w:kern w:val="0"/>
          <w:lang w:val="en-HK"/>
        </w:rPr>
        <w:t xml:space="preserve">stayed low at 3.0% </w:t>
      </w:r>
      <w:r w:rsidR="002A34F7" w:rsidRPr="002A34F7">
        <w:rPr>
          <w:rFonts w:ascii="Times New Roman"/>
          <w:kern w:val="0"/>
          <w:lang w:val="en-GB"/>
        </w:rPr>
        <w:t>in the second quarter, same as the preceding quarter</w:t>
      </w:r>
      <w:r w:rsidRPr="009C154B">
        <w:rPr>
          <w:rFonts w:ascii="Times New Roman"/>
          <w:kern w:val="0"/>
          <w:lang w:val="en-HK"/>
        </w:rPr>
        <w:t xml:space="preserve">. </w:t>
      </w:r>
      <w:r w:rsidR="00F8387D" w:rsidRPr="00F8387D">
        <w:rPr>
          <w:rFonts w:ascii="Times New Roman"/>
          <w:kern w:val="0"/>
          <w:lang w:val="en-HK"/>
        </w:rPr>
        <w:t xml:space="preserve"> The </w:t>
      </w:r>
      <w:r w:rsidR="00F8387D" w:rsidRPr="00F8387D">
        <w:rPr>
          <w:rFonts w:ascii="Times New Roman"/>
          <w:i/>
          <w:kern w:val="0"/>
          <w:lang w:val="en-HK"/>
        </w:rPr>
        <w:t>underemployment rate</w:t>
      </w:r>
      <w:r w:rsidR="00F8387D" w:rsidRPr="00F8387D">
        <w:rPr>
          <w:rFonts w:ascii="Times New Roman"/>
          <w:kern w:val="0"/>
          <w:lang w:val="en-HK"/>
        </w:rPr>
        <w:t xml:space="preserve"> </w:t>
      </w:r>
      <w:r w:rsidR="002A34F7" w:rsidRPr="002A34F7">
        <w:rPr>
          <w:rFonts w:ascii="Times New Roman"/>
          <w:kern w:val="0"/>
          <w:lang w:val="en-HK"/>
        </w:rPr>
        <w:t>was also low at 1.2%, though slightly higher than the level of 1.1% in the preceding quarter</w:t>
      </w:r>
      <w:r w:rsidR="00F8387D" w:rsidRPr="00F8387D">
        <w:rPr>
          <w:rFonts w:ascii="Times New Roman"/>
          <w:kern w:val="0"/>
          <w:lang w:val="en-HK"/>
        </w:rPr>
        <w:t>.</w:t>
      </w:r>
      <w:r w:rsidR="008F696F" w:rsidRPr="00AB50A4">
        <w:rPr>
          <w:rFonts w:ascii="Times New Roman"/>
          <w:kern w:val="0"/>
          <w:lang w:val="en-HK"/>
        </w:rPr>
        <w:t xml:space="preserve">  </w:t>
      </w:r>
      <w:r w:rsidR="002A34F7" w:rsidRPr="002A34F7">
        <w:rPr>
          <w:rFonts w:ascii="Times New Roman"/>
          <w:kern w:val="0"/>
          <w:lang w:val="en-HK"/>
        </w:rPr>
        <w:t>The unemployment rates of major sectors were generally low</w:t>
      </w:r>
      <w:r w:rsidR="002A34F7" w:rsidRPr="00F50D36">
        <w:rPr>
          <w:rFonts w:ascii="Times New Roman"/>
          <w:kern w:val="0"/>
          <w:lang w:val="en-HK"/>
        </w:rPr>
        <w:t xml:space="preserve"> in the second quarter, though showing diverse movements compared with the preceding quarter</w:t>
      </w:r>
      <w:r w:rsidR="00A94EC9" w:rsidRPr="00F50D36">
        <w:rPr>
          <w:rFonts w:ascii="Times New Roman"/>
          <w:kern w:val="0"/>
          <w:lang w:val="en-HK"/>
        </w:rPr>
        <w:t xml:space="preserve">.  </w:t>
      </w:r>
      <w:r w:rsidRPr="00F50D36">
        <w:rPr>
          <w:rFonts w:ascii="Times New Roman"/>
          <w:kern w:val="0"/>
          <w:lang w:val="en-HK"/>
        </w:rPr>
        <w:t xml:space="preserve">Wages and labour earnings </w:t>
      </w:r>
      <w:r w:rsidR="00A94EC9" w:rsidRPr="00F50D36">
        <w:rPr>
          <w:rFonts w:ascii="Times New Roman"/>
          <w:kern w:val="0"/>
          <w:lang w:val="en-HK"/>
        </w:rPr>
        <w:t>continued to attain decent increases in the first quarter over a year earlier</w:t>
      </w:r>
      <w:r w:rsidR="00746645" w:rsidRPr="00F50D36">
        <w:rPr>
          <w:rFonts w:ascii="Times New Roman"/>
          <w:kern w:val="0"/>
          <w:lang w:val="en-HK"/>
        </w:rPr>
        <w:t xml:space="preserve">.  </w:t>
      </w:r>
      <w:proofErr w:type="gramStart"/>
      <w:r w:rsidRPr="00F50D36">
        <w:rPr>
          <w:rFonts w:ascii="Times New Roman"/>
          <w:kern w:val="0"/>
          <w:lang w:val="en-HK"/>
        </w:rPr>
        <w:t>More recent General Household Survey data</w:t>
      </w:r>
      <w:proofErr w:type="gramEnd"/>
      <w:r w:rsidRPr="00F50D36">
        <w:rPr>
          <w:rFonts w:ascii="Times New Roman"/>
          <w:kern w:val="0"/>
          <w:lang w:val="en-HK"/>
        </w:rPr>
        <w:t xml:space="preserve"> </w:t>
      </w:r>
      <w:r w:rsidR="002A34F7" w:rsidRPr="00F50D36">
        <w:rPr>
          <w:rFonts w:ascii="Times New Roman"/>
          <w:kern w:val="0"/>
          <w:lang w:val="en-HK"/>
        </w:rPr>
        <w:t>indicated that employment earnings continued to record solid growth in the second quarter over a year earlier</w:t>
      </w:r>
      <w:r w:rsidR="00746645" w:rsidRPr="00F50D36">
        <w:rPr>
          <w:rFonts w:ascii="Times New Roman"/>
          <w:kern w:val="0"/>
          <w:lang w:val="en-HK"/>
        </w:rPr>
        <w:t>.</w:t>
      </w:r>
    </w:p>
    <w:p w:rsidR="00577A92" w:rsidRDefault="00577A92" w:rsidP="00B3589D">
      <w:pPr>
        <w:tabs>
          <w:tab w:val="num" w:pos="1080"/>
        </w:tabs>
        <w:autoSpaceDE w:val="0"/>
        <w:autoSpaceDN w:val="0"/>
        <w:adjustRightInd w:val="0"/>
        <w:spacing w:afterLines="50" w:after="180" w:line="240" w:lineRule="atLeast"/>
        <w:jc w:val="both"/>
        <w:rPr>
          <w:b/>
          <w:sz w:val="28"/>
          <w:szCs w:val="20"/>
        </w:rPr>
      </w:pPr>
    </w:p>
    <w:p w:rsidR="00E67131" w:rsidRDefault="00E67131" w:rsidP="00AA3189">
      <w:pPr>
        <w:rPr>
          <w:b/>
          <w:sz w:val="28"/>
          <w:szCs w:val="20"/>
        </w:rPr>
      </w:pPr>
      <w:r w:rsidRPr="004110C3">
        <w:rPr>
          <w:b/>
          <w:sz w:val="28"/>
          <w:szCs w:val="20"/>
        </w:rPr>
        <w:t>The asset markets</w:t>
      </w:r>
      <w:r w:rsidR="00041CD7">
        <w:rPr>
          <w:b/>
          <w:sz w:val="28"/>
          <w:szCs w:val="20"/>
        </w:rPr>
        <w:t xml:space="preserve"> </w:t>
      </w:r>
    </w:p>
    <w:p w:rsidR="00AA3189" w:rsidRPr="00E3684C" w:rsidRDefault="00AA3189" w:rsidP="00AA3189">
      <w:pPr>
        <w:rPr>
          <w:b/>
          <w:sz w:val="28"/>
          <w:szCs w:val="20"/>
        </w:rPr>
      </w:pPr>
    </w:p>
    <w:p w:rsidR="007472D2" w:rsidRPr="00987D5D" w:rsidRDefault="002B34A3" w:rsidP="00CC77BD">
      <w:pPr>
        <w:pStyle w:val="a5"/>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0D22A1" w:rsidRPr="000D22A1">
        <w:rPr>
          <w:rFonts w:ascii="Times New Roman"/>
          <w:kern w:val="0"/>
          <w:lang w:val="en-GB"/>
        </w:rPr>
        <w:t>fared better in the second quarter</w:t>
      </w:r>
      <w:r w:rsidR="000D22A1">
        <w:rPr>
          <w:rFonts w:ascii="Times New Roman"/>
          <w:kern w:val="0"/>
          <w:lang w:val="en-GB"/>
        </w:rPr>
        <w:t xml:space="preserve"> of 2024</w:t>
      </w:r>
      <w:r w:rsidR="000D22A1" w:rsidRPr="000D22A1">
        <w:rPr>
          <w:rFonts w:ascii="Times New Roman"/>
          <w:kern w:val="0"/>
          <w:lang w:val="en-GB"/>
        </w:rPr>
        <w:t xml:space="preserve">.  </w:t>
      </w:r>
      <w:r w:rsidR="00F2658C" w:rsidRPr="00F2658C">
        <w:rPr>
          <w:rFonts w:ascii="Times New Roman"/>
          <w:kern w:val="0"/>
          <w:lang w:val="en-GB"/>
        </w:rPr>
        <w:t xml:space="preserve">Market sentiment improved following the announcement of enhancement measures on mutual access between the capital markets of the Mainland and Hong Kong in late April.  The HSI rose markedly to 19 636 on 20 May, the highest in almost 10 months.  Yet, dampened by expectations for delayed US interest rate cuts and concerns about the Mainland’s economic recovery momentum, the HSI </w:t>
      </w:r>
      <w:r w:rsidR="00166381">
        <w:rPr>
          <w:rFonts w:ascii="Times New Roman"/>
          <w:kern w:val="0"/>
          <w:lang w:val="en-GB"/>
        </w:rPr>
        <w:t xml:space="preserve">then </w:t>
      </w:r>
      <w:r w:rsidR="00F2658C" w:rsidRPr="00F2658C">
        <w:rPr>
          <w:rFonts w:ascii="Times New Roman"/>
          <w:kern w:val="0"/>
          <w:lang w:val="en-GB"/>
        </w:rPr>
        <w:t xml:space="preserve">retreated </w:t>
      </w:r>
      <w:r w:rsidR="00166381">
        <w:rPr>
          <w:rFonts w:ascii="Times New Roman"/>
          <w:kern w:val="0"/>
          <w:lang w:val="en-GB"/>
        </w:rPr>
        <w:t xml:space="preserve">and </w:t>
      </w:r>
      <w:r w:rsidR="00166381" w:rsidRPr="00F2658C">
        <w:rPr>
          <w:rFonts w:ascii="Times New Roman"/>
          <w:kern w:val="0"/>
          <w:lang w:val="en-GB"/>
        </w:rPr>
        <w:t>clos</w:t>
      </w:r>
      <w:r w:rsidR="00166381">
        <w:rPr>
          <w:rFonts w:ascii="Times New Roman"/>
          <w:kern w:val="0"/>
          <w:lang w:val="en-GB"/>
        </w:rPr>
        <w:t>ed</w:t>
      </w:r>
      <w:r w:rsidR="00166381" w:rsidRPr="00F2658C">
        <w:rPr>
          <w:rFonts w:ascii="Times New Roman"/>
          <w:kern w:val="0"/>
          <w:lang w:val="en-GB"/>
        </w:rPr>
        <w:t xml:space="preserve"> </w:t>
      </w:r>
      <w:r w:rsidR="00F2658C" w:rsidRPr="00F2658C">
        <w:rPr>
          <w:rFonts w:ascii="Times New Roman"/>
          <w:kern w:val="0"/>
          <w:lang w:val="en-GB"/>
        </w:rPr>
        <w:t>the quarter at 17 719 or 7.1% higher than end-March.</w:t>
      </w:r>
      <w:r w:rsidR="00D168F3" w:rsidRPr="008F1A92">
        <w:rPr>
          <w:rFonts w:ascii="Times New Roman"/>
          <w:kern w:val="0"/>
          <w:lang w:val="en-GB"/>
        </w:rPr>
        <w:t xml:space="preserve">  Trading </w:t>
      </w:r>
      <w:r w:rsidR="00904153">
        <w:rPr>
          <w:rFonts w:ascii="Times New Roman"/>
          <w:kern w:val="0"/>
          <w:lang w:val="en-GB"/>
        </w:rPr>
        <w:t xml:space="preserve">activities </w:t>
      </w:r>
      <w:r w:rsidR="000D22A1" w:rsidRPr="000D22A1">
        <w:rPr>
          <w:rFonts w:ascii="Times New Roman"/>
          <w:kern w:val="0"/>
          <w:lang w:val="en-GB"/>
        </w:rPr>
        <w:t>picked up further</w:t>
      </w:r>
      <w:r w:rsidR="00613951">
        <w:rPr>
          <w:rFonts w:ascii="Times New Roman"/>
          <w:kern w:val="0"/>
          <w:lang w:val="en-GB"/>
        </w:rPr>
        <w:t>.</w:t>
      </w:r>
      <w:r w:rsidR="0048493A">
        <w:rPr>
          <w:rFonts w:ascii="Times New Roman"/>
          <w:kern w:val="0"/>
          <w:lang w:val="en-GB"/>
        </w:rPr>
        <w:t xml:space="preserve"> </w:t>
      </w:r>
      <w:r w:rsidR="00267796" w:rsidRPr="00267796">
        <w:rPr>
          <w:rFonts w:ascii="Times New Roman"/>
          <w:kern w:val="0"/>
          <w:lang w:val="en-GB"/>
        </w:rPr>
        <w:t xml:space="preserve"> </w:t>
      </w:r>
      <w:r w:rsidR="00613951">
        <w:rPr>
          <w:rFonts w:ascii="Times New Roman"/>
          <w:bCs/>
          <w:kern w:val="0"/>
          <w:lang w:val="en-GB" w:eastAsia="zh-HK"/>
        </w:rPr>
        <w:t>T</w:t>
      </w:r>
      <w:r w:rsidR="00EC780D" w:rsidRPr="008F1A92">
        <w:rPr>
          <w:rFonts w:ascii="Times New Roman"/>
          <w:kern w:val="0"/>
          <w:lang w:val="en-GB" w:eastAsia="zh-HK"/>
        </w:rPr>
        <w:t xml:space="preserve">he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0D22A1" w:rsidRPr="000D22A1">
        <w:rPr>
          <w:rFonts w:ascii="Times New Roman"/>
          <w:kern w:val="0"/>
          <w:lang w:val="en-GB"/>
        </w:rPr>
        <w:t>rose by 2</w:t>
      </w:r>
      <w:r w:rsidR="000D22A1" w:rsidRPr="000D22A1">
        <w:rPr>
          <w:rFonts w:ascii="Times New Roman"/>
          <w:kern w:val="0"/>
          <w:lang w:val="en-HK"/>
        </w:rPr>
        <w:t>2</w:t>
      </w:r>
      <w:r w:rsidR="000D22A1" w:rsidRPr="000D22A1">
        <w:rPr>
          <w:rFonts w:ascii="Times New Roman"/>
          <w:kern w:val="0"/>
          <w:lang w:val="en-GB"/>
        </w:rPr>
        <w:t>.</w:t>
      </w:r>
      <w:r w:rsidR="000D22A1" w:rsidRPr="000D22A1">
        <w:rPr>
          <w:rFonts w:ascii="Times New Roman"/>
          <w:kern w:val="0"/>
          <w:lang w:val="en-HK"/>
        </w:rPr>
        <w:t>4</w:t>
      </w:r>
      <w:r w:rsidR="000D22A1" w:rsidRPr="000D22A1">
        <w:rPr>
          <w:rFonts w:ascii="Times New Roman"/>
          <w:kern w:val="0"/>
          <w:lang w:val="en-GB"/>
        </w:rPr>
        <w:t xml:space="preserve">% over the preceding quarter or </w:t>
      </w:r>
      <w:r w:rsidR="000D22A1" w:rsidRPr="000D22A1">
        <w:rPr>
          <w:rFonts w:ascii="Times New Roman"/>
          <w:kern w:val="0"/>
          <w:lang w:val="en-HK"/>
        </w:rPr>
        <w:t>18</w:t>
      </w:r>
      <w:r w:rsidR="000D22A1" w:rsidRPr="000D22A1">
        <w:rPr>
          <w:rFonts w:ascii="Times New Roman"/>
          <w:kern w:val="0"/>
          <w:lang w:val="en-GB"/>
        </w:rPr>
        <w:t>.</w:t>
      </w:r>
      <w:r w:rsidR="000D22A1" w:rsidRPr="000D22A1">
        <w:rPr>
          <w:rFonts w:ascii="Times New Roman"/>
          <w:kern w:val="0"/>
          <w:lang w:val="en-HK"/>
        </w:rPr>
        <w:t>2</w:t>
      </w:r>
      <w:r w:rsidR="000D22A1" w:rsidRPr="000D22A1">
        <w:rPr>
          <w:rFonts w:ascii="Times New Roman"/>
          <w:kern w:val="0"/>
          <w:lang w:val="en-GB"/>
        </w:rPr>
        <w:t>% over a year earlier to $12</w:t>
      </w:r>
      <w:r w:rsidR="000D22A1" w:rsidRPr="000D22A1">
        <w:rPr>
          <w:rFonts w:ascii="Times New Roman"/>
          <w:kern w:val="0"/>
          <w:lang w:val="en-HK"/>
        </w:rPr>
        <w:t>1</w:t>
      </w:r>
      <w:r w:rsidR="000D22A1" w:rsidRPr="000D22A1">
        <w:rPr>
          <w:rFonts w:ascii="Times New Roman"/>
          <w:kern w:val="0"/>
          <w:lang w:val="en-GB"/>
        </w:rPr>
        <w:t>.</w:t>
      </w:r>
      <w:r w:rsidR="000D22A1" w:rsidRPr="000D22A1">
        <w:rPr>
          <w:rFonts w:ascii="Times New Roman"/>
          <w:kern w:val="0"/>
          <w:lang w:val="en-HK"/>
        </w:rPr>
        <w:t>6</w:t>
      </w:r>
      <w:r w:rsidR="000D22A1" w:rsidRPr="000D22A1">
        <w:rPr>
          <w:rFonts w:ascii="Times New Roman"/>
          <w:kern w:val="0"/>
          <w:lang w:val="en-GB"/>
        </w:rPr>
        <w:t> billion</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0D22A1" w:rsidRPr="000D22A1">
        <w:rPr>
          <w:rFonts w:ascii="Times New Roman"/>
          <w:kern w:val="0"/>
          <w:lang w:val="en-GB"/>
        </w:rPr>
        <w:t>revived somewhat</w:t>
      </w:r>
      <w:r w:rsidR="00EE016F">
        <w:rPr>
          <w:rFonts w:ascii="Times New Roman"/>
          <w:kern w:val="0"/>
          <w:lang w:val="en-GB"/>
        </w:rPr>
        <w:t>.</w:t>
      </w:r>
    </w:p>
    <w:p w:rsidR="005F17A0" w:rsidRPr="00987D5D" w:rsidRDefault="005F17A0" w:rsidP="00355E94">
      <w:pPr>
        <w:pStyle w:val="a5"/>
        <w:tabs>
          <w:tab w:val="left" w:pos="1260"/>
        </w:tabs>
        <w:ind w:right="26"/>
        <w:jc w:val="both"/>
        <w:rPr>
          <w:rFonts w:ascii="Times New Roman"/>
          <w:kern w:val="0"/>
          <w:lang w:val="en-GB" w:eastAsia="zh-HK"/>
        </w:rPr>
      </w:pPr>
    </w:p>
    <w:p w:rsidR="005F430D" w:rsidRDefault="00DD3BFC" w:rsidP="00CC77BD">
      <w:pPr>
        <w:pStyle w:val="a5"/>
        <w:numPr>
          <w:ilvl w:val="1"/>
          <w:numId w:val="19"/>
        </w:numPr>
        <w:tabs>
          <w:tab w:val="left" w:pos="1260"/>
        </w:tabs>
        <w:overflowPunct w:val="0"/>
        <w:ind w:left="0" w:right="28" w:firstLine="0"/>
        <w:jc w:val="both"/>
        <w:rPr>
          <w:rFonts w:ascii="Times New Roman"/>
          <w:kern w:val="0"/>
          <w:lang w:val="en-GB"/>
        </w:rPr>
      </w:pPr>
      <w:r w:rsidRPr="00DD3BFC">
        <w:rPr>
          <w:rFonts w:ascii="Times New Roman"/>
          <w:kern w:val="0"/>
          <w:lang w:val="en-GB"/>
        </w:rPr>
        <w:t xml:space="preserve">The </w:t>
      </w:r>
      <w:r w:rsidRPr="00DD3BFC">
        <w:rPr>
          <w:rFonts w:ascii="Times New Roman"/>
          <w:i/>
          <w:kern w:val="0"/>
          <w:lang w:val="en-GB"/>
        </w:rPr>
        <w:t>residential property market</w:t>
      </w:r>
      <w:r w:rsidRPr="00DD3BFC">
        <w:rPr>
          <w:rFonts w:ascii="Times New Roman"/>
          <w:kern w:val="0"/>
          <w:lang w:val="en-GB"/>
        </w:rPr>
        <w:t xml:space="preserve"> </w:t>
      </w:r>
      <w:r w:rsidR="000A2EC9" w:rsidRPr="000A2EC9">
        <w:rPr>
          <w:rFonts w:ascii="Times New Roman"/>
          <w:kern w:val="0"/>
          <w:lang w:val="en-GB"/>
        </w:rPr>
        <w:t xml:space="preserve">was very active at the beginning of the second quarter following the cancellation of the DSMMs for residential properties, but quietened progressively thereafter as pent-up demand faded.  Market sentiment turned increasingly cautious during the quarter as the prospect of </w:t>
      </w:r>
      <w:r w:rsidR="009B5FF7">
        <w:rPr>
          <w:rFonts w:ascii="Times New Roman"/>
          <w:kern w:val="0"/>
          <w:lang w:val="en-GB"/>
        </w:rPr>
        <w:t xml:space="preserve">US </w:t>
      </w:r>
      <w:r w:rsidR="000A2EC9" w:rsidRPr="000A2EC9">
        <w:rPr>
          <w:rFonts w:ascii="Times New Roman"/>
          <w:kern w:val="0"/>
          <w:lang w:val="en-GB"/>
        </w:rPr>
        <w:t>interest rate cuts dimmed.  Flat prices declined for the quarter as a whole, and many developers adopted a conservative pricing strategy when launching new projects</w:t>
      </w:r>
      <w:r w:rsidR="008314F8" w:rsidRPr="008314F8">
        <w:rPr>
          <w:rFonts w:ascii="Times New Roman"/>
          <w:kern w:val="0"/>
          <w:lang w:val="en-GB"/>
        </w:rPr>
        <w:t>.</w:t>
      </w:r>
      <w:r w:rsidR="008314F8">
        <w:rPr>
          <w:rFonts w:ascii="Times New Roman"/>
          <w:kern w:val="0"/>
          <w:lang w:val="en-GB"/>
        </w:rPr>
        <w:t xml:space="preserve">  </w:t>
      </w:r>
      <w:r w:rsidR="00AA3EEF">
        <w:rPr>
          <w:rFonts w:ascii="Times New Roman"/>
          <w:kern w:val="0"/>
          <w:lang w:val="en-GB"/>
        </w:rPr>
        <w:t>T</w:t>
      </w:r>
      <w:r w:rsidR="008314F8" w:rsidRPr="000C5A75">
        <w:rPr>
          <w:rFonts w:ascii="Times New Roman" w:hint="eastAsia"/>
          <w:kern w:val="0"/>
          <w:lang w:val="en-GB"/>
        </w:rPr>
        <w:t xml:space="preserve">he </w:t>
      </w:r>
      <w:r w:rsidR="00A809A0" w:rsidRPr="000C5A75">
        <w:rPr>
          <w:rFonts w:ascii="Times New Roman" w:hint="eastAsia"/>
          <w:kern w:val="0"/>
          <w:lang w:val="en-GB"/>
        </w:rPr>
        <w:t>number of transactions, in terms of the total number of sale and purchase agreements for residential property received by the Land Registry,</w:t>
      </w:r>
      <w:r w:rsidR="003F6EBF" w:rsidRPr="000C5A75">
        <w:rPr>
          <w:rFonts w:ascii="Times New Roman"/>
          <w:szCs w:val="28"/>
          <w:lang w:val="en-GB"/>
        </w:rPr>
        <w:t xml:space="preserve"> </w:t>
      </w:r>
      <w:r w:rsidR="000A2EC9" w:rsidRPr="000A2EC9">
        <w:rPr>
          <w:rFonts w:ascii="Times New Roman"/>
          <w:szCs w:val="28"/>
          <w:lang w:val="en-GB"/>
        </w:rPr>
        <w:t>surged to 8 551 in April, the highest level since October 2012, and then fell to 5 546 in May and 3 856 in June.  There were in total 17 953 sale and purchase agreements received in the second quarter, up by 83%</w:t>
      </w:r>
      <w:r w:rsidR="000A2EC9" w:rsidRPr="000A2EC9">
        <w:rPr>
          <w:rFonts w:ascii="Times New Roman" w:hint="eastAsia"/>
          <w:szCs w:val="28"/>
          <w:lang w:val="en-GB"/>
        </w:rPr>
        <w:t xml:space="preserve"> </w:t>
      </w:r>
      <w:r w:rsidR="000A2EC9" w:rsidRPr="000A2EC9">
        <w:rPr>
          <w:rFonts w:ascii="Times New Roman"/>
          <w:szCs w:val="28"/>
          <w:lang w:val="en-GB"/>
        </w:rPr>
        <w:t xml:space="preserve">over the </w:t>
      </w:r>
      <w:r w:rsidR="000A2EC9" w:rsidRPr="000A2EC9">
        <w:rPr>
          <w:rFonts w:ascii="Times New Roman" w:hint="eastAsia"/>
          <w:szCs w:val="28"/>
          <w:lang w:val="en-GB"/>
        </w:rPr>
        <w:t xml:space="preserve">preceding quarter </w:t>
      </w:r>
      <w:r w:rsidR="000A2EC9" w:rsidRPr="000A2EC9">
        <w:rPr>
          <w:rFonts w:ascii="Times New Roman"/>
          <w:szCs w:val="28"/>
          <w:lang w:val="en-GB"/>
        </w:rPr>
        <w:t>or 47% over a year earlier</w:t>
      </w:r>
      <w:r w:rsidRPr="00DD3BFC">
        <w:rPr>
          <w:rFonts w:ascii="Times New Roman"/>
          <w:szCs w:val="28"/>
          <w:lang w:val="en-GB"/>
        </w:rPr>
        <w:t>.</w:t>
      </w:r>
      <w:r w:rsidR="000C5A75" w:rsidRPr="000C5A75">
        <w:rPr>
          <w:rFonts w:ascii="Times New Roman"/>
          <w:szCs w:val="28"/>
          <w:lang w:val="en-GB"/>
        </w:rPr>
        <w:t xml:space="preserve"> </w:t>
      </w:r>
      <w:r w:rsidR="000C5A75">
        <w:rPr>
          <w:rFonts w:ascii="Times New Roman"/>
          <w:szCs w:val="28"/>
          <w:lang w:val="en-GB"/>
        </w:rPr>
        <w:t xml:space="preserve"> </w:t>
      </w:r>
      <w:r w:rsidR="00AA3EEF" w:rsidRPr="00AA3EEF">
        <w:rPr>
          <w:rFonts w:ascii="Times New Roman"/>
          <w:szCs w:val="28"/>
          <w:lang w:val="en-GB"/>
        </w:rPr>
        <w:t xml:space="preserve">Overall flat prices </w:t>
      </w:r>
      <w:r w:rsidRPr="00DD3BFC">
        <w:rPr>
          <w:rFonts w:ascii="Times New Roman"/>
          <w:szCs w:val="28"/>
          <w:lang w:val="en-GB"/>
        </w:rPr>
        <w:t xml:space="preserve">recorded a 2% decline during the second quarter, </w:t>
      </w:r>
      <w:r w:rsidR="000A2EC9" w:rsidRPr="000A2EC9">
        <w:rPr>
          <w:rFonts w:ascii="Times New Roman"/>
          <w:szCs w:val="28"/>
          <w:lang w:val="en-GB"/>
        </w:rPr>
        <w:t>with the small increase in April more than offset by the decreases in May and June</w:t>
      </w:r>
      <w:r w:rsidRPr="00DD3BFC">
        <w:rPr>
          <w:rFonts w:ascii="Times New Roman"/>
          <w:szCs w:val="28"/>
          <w:lang w:val="en-GB"/>
        </w:rPr>
        <w:t>.</w:t>
      </w:r>
      <w:r w:rsidR="000C5A75" w:rsidRPr="000C5A75">
        <w:rPr>
          <w:rFonts w:ascii="Times New Roman"/>
          <w:kern w:val="0"/>
          <w:lang w:val="en-GB"/>
        </w:rPr>
        <w:t xml:space="preserve">  </w:t>
      </w:r>
      <w:r w:rsidR="004A30B1">
        <w:rPr>
          <w:rFonts w:ascii="Times New Roman"/>
          <w:kern w:val="0"/>
          <w:lang w:val="en-GB"/>
        </w:rPr>
        <w:t>T</w:t>
      </w:r>
      <w:r w:rsidR="00A3485C" w:rsidRPr="000C5A75">
        <w:rPr>
          <w:rFonts w:ascii="Times New Roman"/>
          <w:kern w:val="0"/>
          <w:lang w:val="en-GB"/>
        </w:rPr>
        <w:t>he</w:t>
      </w:r>
      <w:r w:rsidR="00A3485C" w:rsidRPr="000C5A75">
        <w:rPr>
          <w:rFonts w:ascii="Times New Roman" w:hint="eastAsia"/>
          <w:kern w:val="0"/>
          <w:lang w:val="en-GB"/>
        </w:rPr>
        <w:t xml:space="preserve"> index of</w:t>
      </w:r>
      <w:r w:rsidR="00A3485C" w:rsidRPr="000C5A75">
        <w:rPr>
          <w:rFonts w:ascii="Times New Roman"/>
          <w:kern w:val="0"/>
          <w:lang w:val="en-GB"/>
        </w:rPr>
        <w:t xml:space="preserve"> home purchase affordability </w:t>
      </w:r>
      <w:r w:rsidR="00CF2550" w:rsidRPr="00CF2550">
        <w:rPr>
          <w:rFonts w:ascii="Times New Roman"/>
          <w:kern w:val="0"/>
          <w:lang w:val="en-GB"/>
        </w:rPr>
        <w:t xml:space="preserve">was virtually unchanged at around 65% in the second quarter, and it remained above the </w:t>
      </w:r>
      <w:r w:rsidR="00CF2550" w:rsidRPr="00CF2550">
        <w:rPr>
          <w:rFonts w:ascii="Times New Roman"/>
          <w:kern w:val="0"/>
          <w:lang w:val="en-GB"/>
        </w:rPr>
        <w:lastRenderedPageBreak/>
        <w:t>long</w:t>
      </w:r>
      <w:r w:rsidR="00CF2550" w:rsidRPr="00CF2550">
        <w:rPr>
          <w:rFonts w:ascii="Times New Roman"/>
          <w:kern w:val="0"/>
          <w:lang w:val="en-GB"/>
        </w:rPr>
        <w:noBreakHyphen/>
        <w:t>term average of 54% over 2004</w:t>
      </w:r>
      <w:r w:rsidR="00CF2550" w:rsidRPr="00CF2550">
        <w:rPr>
          <w:rFonts w:ascii="Times New Roman"/>
          <w:kern w:val="0"/>
          <w:lang w:val="en-GB"/>
        </w:rPr>
        <w:noBreakHyphen/>
        <w:t>2023</w:t>
      </w:r>
      <w:r w:rsidR="00A3485C" w:rsidRPr="000C5A75">
        <w:rPr>
          <w:rFonts w:ascii="Times New Roman"/>
          <w:kern w:val="0"/>
          <w:lang w:val="en-GB"/>
        </w:rPr>
        <w:t>.</w:t>
      </w:r>
      <w:r w:rsidR="00E51BD0" w:rsidRPr="000C5A75">
        <w:rPr>
          <w:rFonts w:ascii="Times New Roman"/>
          <w:kern w:val="0"/>
          <w:lang w:val="en-GB"/>
        </w:rPr>
        <w:t xml:space="preserve">  </w:t>
      </w:r>
      <w:r w:rsidR="00AA3EEF" w:rsidRPr="00AA3EEF">
        <w:rPr>
          <w:rFonts w:ascii="Times New Roman"/>
          <w:kern w:val="0"/>
          <w:lang w:val="en-GB"/>
        </w:rPr>
        <w:t xml:space="preserve">Meanwhile, overall flat rentals </w:t>
      </w:r>
      <w:r w:rsidRPr="00DD3BFC">
        <w:rPr>
          <w:rFonts w:ascii="Times New Roman"/>
          <w:kern w:val="0"/>
          <w:lang w:val="en-GB"/>
        </w:rPr>
        <w:t xml:space="preserve">rose by </w:t>
      </w:r>
      <w:r w:rsidR="00CF2550">
        <w:rPr>
          <w:rFonts w:ascii="Times New Roman"/>
          <w:kern w:val="0"/>
          <w:lang w:val="en-GB"/>
        </w:rPr>
        <w:t>2</w:t>
      </w:r>
      <w:r w:rsidRPr="00DD3BFC">
        <w:rPr>
          <w:rFonts w:ascii="Times New Roman"/>
          <w:kern w:val="0"/>
          <w:lang w:val="en-GB"/>
        </w:rPr>
        <w:t>% during the second quarter</w:t>
      </w:r>
      <w:r w:rsidR="00325C2F" w:rsidRPr="00325C2F">
        <w:rPr>
          <w:rFonts w:ascii="Times New Roman"/>
          <w:kern w:val="0"/>
          <w:lang w:val="en-GB"/>
        </w:rPr>
        <w:t xml:space="preserve">.  </w:t>
      </w:r>
      <w:r w:rsidR="00427AC9" w:rsidRPr="00427AC9">
        <w:rPr>
          <w:rFonts w:ascii="Times New Roman"/>
          <w:bCs/>
          <w:kern w:val="0"/>
          <w:lang w:val="en-GB"/>
        </w:rPr>
        <w:t xml:space="preserve">The </w:t>
      </w:r>
      <w:r w:rsidR="00427AC9" w:rsidRPr="00427AC9">
        <w:rPr>
          <w:rFonts w:ascii="Times New Roman"/>
          <w:bCs/>
          <w:i/>
          <w:kern w:val="0"/>
          <w:lang w:val="en-GB"/>
        </w:rPr>
        <w:t>non-residential property market</w:t>
      </w:r>
      <w:r w:rsidR="00427AC9" w:rsidRPr="00427AC9">
        <w:rPr>
          <w:rFonts w:ascii="Times New Roman"/>
          <w:bCs/>
          <w:kern w:val="0"/>
          <w:lang w:val="en-GB"/>
        </w:rPr>
        <w:t xml:space="preserve"> </w:t>
      </w:r>
      <w:r w:rsidRPr="00DD3BFC">
        <w:rPr>
          <w:rFonts w:ascii="Times New Roman"/>
          <w:bCs/>
          <w:kern w:val="0"/>
          <w:lang w:val="en-GB"/>
        </w:rPr>
        <w:t xml:space="preserve">remained sluggish.  </w:t>
      </w:r>
      <w:r w:rsidR="00166381" w:rsidRPr="00166381">
        <w:rPr>
          <w:rFonts w:ascii="Times New Roman"/>
          <w:bCs/>
          <w:kern w:val="0"/>
          <w:lang w:val="en-GB"/>
        </w:rPr>
        <w:t>Despite some rebound from the low levels in the preceding quarter, trading activities for all major market segments stayed generally subdued.  Prices and rentals fell further</w:t>
      </w:r>
      <w:r w:rsidR="00325C2F" w:rsidRPr="00AA3EEF">
        <w:rPr>
          <w:rFonts w:ascii="Times New Roman"/>
          <w:kern w:val="0"/>
          <w:lang w:val="en-GB"/>
        </w:rPr>
        <w:t>.</w:t>
      </w:r>
    </w:p>
    <w:p w:rsidR="00AA3189" w:rsidRDefault="00AA3189" w:rsidP="0007769F">
      <w:pPr>
        <w:tabs>
          <w:tab w:val="num" w:pos="1080"/>
        </w:tabs>
        <w:autoSpaceDE w:val="0"/>
        <w:autoSpaceDN w:val="0"/>
        <w:adjustRightInd w:val="0"/>
        <w:spacing w:afterLines="50" w:after="180" w:line="240" w:lineRule="atLeast"/>
        <w:jc w:val="both"/>
        <w:rPr>
          <w:kern w:val="0"/>
        </w:rPr>
      </w:pPr>
    </w:p>
    <w:p w:rsidR="00421F52" w:rsidRDefault="00421F52" w:rsidP="0007769F">
      <w:pPr>
        <w:rPr>
          <w:b/>
          <w:sz w:val="28"/>
          <w:szCs w:val="20"/>
        </w:rPr>
      </w:pPr>
      <w:r w:rsidRPr="004110C3">
        <w:rPr>
          <w:b/>
          <w:sz w:val="28"/>
          <w:szCs w:val="20"/>
        </w:rPr>
        <w:t>Inflation</w:t>
      </w:r>
      <w:r w:rsidR="00A546C4">
        <w:rPr>
          <w:b/>
          <w:sz w:val="28"/>
          <w:szCs w:val="20"/>
        </w:rPr>
        <w:t xml:space="preserve"> </w:t>
      </w:r>
    </w:p>
    <w:p w:rsidR="00AA3189" w:rsidRDefault="00AA3189" w:rsidP="00AA3189">
      <w:pPr>
        <w:rPr>
          <w:b/>
          <w:sz w:val="28"/>
          <w:szCs w:val="20"/>
        </w:rPr>
      </w:pPr>
    </w:p>
    <w:p w:rsidR="00CC77BD" w:rsidRDefault="00AF0FCE" w:rsidP="00CC77BD">
      <w:pPr>
        <w:pStyle w:val="a5"/>
        <w:numPr>
          <w:ilvl w:val="1"/>
          <w:numId w:val="19"/>
        </w:numPr>
        <w:tabs>
          <w:tab w:val="left" w:pos="1260"/>
        </w:tabs>
        <w:overflowPunct w:val="0"/>
        <w:ind w:left="0" w:right="28" w:firstLine="0"/>
        <w:jc w:val="both"/>
      </w:pPr>
      <w:r w:rsidRPr="00AF0FCE">
        <w:rPr>
          <w:rFonts w:ascii="Times New Roman"/>
          <w:kern w:val="0"/>
          <w:lang w:val="en-GB"/>
        </w:rPr>
        <w:t xml:space="preserve">Underlying consumer price inflation </w:t>
      </w:r>
      <w:r w:rsidR="0064702D" w:rsidRPr="0064702D">
        <w:rPr>
          <w:rFonts w:ascii="Times New Roman"/>
          <w:kern w:val="0"/>
          <w:lang w:val="en-GB"/>
        </w:rPr>
        <w:t xml:space="preserve">remained modest in the second quarter of 2024.  </w:t>
      </w:r>
      <w:r w:rsidR="00D26D18" w:rsidRPr="00D26D18">
        <w:rPr>
          <w:rFonts w:ascii="Times New Roman"/>
          <w:kern w:val="0"/>
          <w:lang w:val="en-GB"/>
        </w:rPr>
        <w:t xml:space="preserve">Prices of meals out and takeaway food continued to increase at a relatively fast pace over a year earlier.  Increases in private housing rentals remained </w:t>
      </w:r>
      <w:r w:rsidR="006966DF">
        <w:rPr>
          <w:rFonts w:ascii="Times New Roman"/>
          <w:kern w:val="0"/>
          <w:lang w:val="en-GB"/>
        </w:rPr>
        <w:t>small</w:t>
      </w:r>
      <w:r w:rsidR="00D26D18" w:rsidRPr="00D26D18">
        <w:rPr>
          <w:rFonts w:ascii="Times New Roman"/>
          <w:kern w:val="0"/>
          <w:lang w:val="en-GB"/>
        </w:rPr>
        <w:t>.  Meanwhile, prices of electricity continued to decrease notably against a high base of comparison.  Price pressures on other major components were broadly in check.</w:t>
      </w:r>
      <w:r>
        <w:rPr>
          <w:rFonts w:ascii="Times New Roman"/>
          <w:kern w:val="0"/>
          <w:lang w:val="en-GB"/>
        </w:rPr>
        <w:t xml:space="preserve">  </w:t>
      </w:r>
      <w:r w:rsidR="00CC77BD" w:rsidRPr="00CC77BD">
        <w:rPr>
          <w:rFonts w:ascii="Times New Roman"/>
          <w:kern w:val="0"/>
          <w:lang w:val="en-GB"/>
        </w:rPr>
        <w:t xml:space="preserve">Netting out the </w:t>
      </w:r>
      <w:r w:rsidR="00CC77BD" w:rsidRPr="009D1CC2">
        <w:rPr>
          <w:rFonts w:ascii="Times New Roman"/>
          <w:kern w:val="0"/>
          <w:lang w:val="en-GB"/>
        </w:rPr>
        <w:t xml:space="preserve">effects of the Government’s one-off relief measures, </w:t>
      </w:r>
      <w:r w:rsidR="0064702D">
        <w:rPr>
          <w:rFonts w:ascii="Times New Roman"/>
          <w:kern w:val="0"/>
          <w:lang w:val="en-GB"/>
        </w:rPr>
        <w:t xml:space="preserve">the </w:t>
      </w:r>
      <w:r w:rsidR="00CC77BD" w:rsidRPr="009D1CC2">
        <w:rPr>
          <w:rFonts w:ascii="Times New Roman"/>
          <w:i/>
          <w:kern w:val="0"/>
          <w:lang w:val="en-GB"/>
        </w:rPr>
        <w:t xml:space="preserve">underlying Composite </w:t>
      </w:r>
      <w:r w:rsidR="00C311E0">
        <w:rPr>
          <w:rFonts w:ascii="Times New Roman"/>
          <w:i/>
          <w:kern w:val="0"/>
          <w:lang w:val="en-GB"/>
        </w:rPr>
        <w:t xml:space="preserve">Consumer Price Index (Composite </w:t>
      </w:r>
      <w:r w:rsidR="00CC77BD" w:rsidRPr="009D1CC2">
        <w:rPr>
          <w:rFonts w:ascii="Times New Roman"/>
          <w:i/>
          <w:kern w:val="0"/>
          <w:lang w:val="en-GB"/>
        </w:rPr>
        <w:t>CPI</w:t>
      </w:r>
      <w:r w:rsidR="00C311E0">
        <w:rPr>
          <w:rFonts w:ascii="Times New Roman"/>
          <w:i/>
          <w:kern w:val="0"/>
          <w:lang w:val="en-GB"/>
        </w:rPr>
        <w:t>)</w:t>
      </w:r>
      <w:r w:rsidR="00CC77BD" w:rsidRPr="009D1CC2">
        <w:rPr>
          <w:rFonts w:ascii="Times New Roman"/>
          <w:i/>
          <w:kern w:val="0"/>
          <w:lang w:val="en-GB"/>
        </w:rPr>
        <w:t xml:space="preserve"> </w:t>
      </w:r>
      <w:r w:rsidR="0064702D">
        <w:rPr>
          <w:rFonts w:ascii="Times New Roman"/>
          <w:kern w:val="0"/>
          <w:lang w:val="en-GB"/>
        </w:rPr>
        <w:t>rose by</w:t>
      </w:r>
      <w:r w:rsidRPr="009D1CC2">
        <w:rPr>
          <w:rFonts w:ascii="Times New Roman"/>
          <w:kern w:val="0"/>
          <w:lang w:val="en-GB"/>
        </w:rPr>
        <w:t xml:space="preserve"> </w:t>
      </w:r>
      <w:r w:rsidR="00D26D18">
        <w:rPr>
          <w:rFonts w:ascii="Times New Roman"/>
          <w:kern w:val="0"/>
          <w:lang w:val="en-GB"/>
        </w:rPr>
        <w:t>1.0</w:t>
      </w:r>
      <w:r w:rsidRPr="009D1CC2">
        <w:rPr>
          <w:rFonts w:ascii="Times New Roman"/>
          <w:kern w:val="0"/>
          <w:lang w:val="en-GB"/>
        </w:rPr>
        <w:t xml:space="preserve">% </w:t>
      </w:r>
      <w:r w:rsidR="00001A89">
        <w:rPr>
          <w:rFonts w:ascii="Times New Roman"/>
          <w:kern w:val="0"/>
          <w:lang w:val="en-GB"/>
        </w:rPr>
        <w:t xml:space="preserve">year-on-year </w:t>
      </w:r>
      <w:r w:rsidRPr="009D1CC2">
        <w:rPr>
          <w:rFonts w:ascii="Times New Roman"/>
          <w:kern w:val="0"/>
          <w:lang w:val="en-GB"/>
        </w:rPr>
        <w:t xml:space="preserve">in the </w:t>
      </w:r>
      <w:r w:rsidR="00001A89">
        <w:rPr>
          <w:rFonts w:ascii="Times New Roman"/>
          <w:kern w:val="0"/>
          <w:lang w:val="en-GB"/>
        </w:rPr>
        <w:t>second</w:t>
      </w:r>
      <w:r w:rsidRPr="009D1CC2">
        <w:rPr>
          <w:rFonts w:ascii="Times New Roman"/>
          <w:kern w:val="0"/>
          <w:lang w:val="en-GB"/>
        </w:rPr>
        <w:t xml:space="preserve"> quarter, </w:t>
      </w:r>
      <w:r w:rsidR="00D26D18" w:rsidRPr="00D26D18">
        <w:rPr>
          <w:rFonts w:ascii="Times New Roman"/>
          <w:kern w:val="0"/>
          <w:lang w:val="en-GB"/>
        </w:rPr>
        <w:t>same as that in the preceding quarter</w:t>
      </w:r>
      <w:r w:rsidR="00CC77BD" w:rsidRPr="009D1CC2">
        <w:rPr>
          <w:rFonts w:ascii="Times New Roman"/>
          <w:kern w:val="0"/>
          <w:lang w:val="en-GB"/>
        </w:rPr>
        <w:t xml:space="preserve">.  </w:t>
      </w:r>
      <w:r w:rsidR="00D26D18" w:rsidRPr="00D26D18">
        <w:rPr>
          <w:rFonts w:ascii="Times New Roman"/>
          <w:kern w:val="0"/>
          <w:lang w:val="en-GB"/>
        </w:rPr>
        <w:t xml:space="preserve">Domestic business cost pressures remained largely contained.  Nominal wages continued to record moderate growth, while commercial rentals stayed soft.  External price pressures </w:t>
      </w:r>
      <w:r w:rsidR="006966DF">
        <w:rPr>
          <w:rFonts w:ascii="Times New Roman"/>
          <w:kern w:val="0"/>
          <w:lang w:val="en-GB"/>
        </w:rPr>
        <w:t>eased</w:t>
      </w:r>
      <w:r w:rsidR="006966DF" w:rsidRPr="00D26D18">
        <w:rPr>
          <w:rFonts w:ascii="Times New Roman"/>
          <w:kern w:val="0"/>
          <w:lang w:val="en-GB"/>
        </w:rPr>
        <w:t xml:space="preserve"> </w:t>
      </w:r>
      <w:r w:rsidR="00D26D18" w:rsidRPr="00D26D18">
        <w:rPr>
          <w:rFonts w:ascii="Times New Roman"/>
          <w:kern w:val="0"/>
          <w:lang w:val="en-GB"/>
        </w:rPr>
        <w:t>for most end-use categories</w:t>
      </w:r>
      <w:r w:rsidRPr="009D1CC2">
        <w:rPr>
          <w:rFonts w:ascii="Times New Roman"/>
          <w:kern w:val="0"/>
          <w:lang w:val="en-GB"/>
        </w:rPr>
        <w:t xml:space="preserve">. </w:t>
      </w:r>
      <w:r w:rsidR="006A56C0" w:rsidRPr="009D1CC2">
        <w:rPr>
          <w:rFonts w:ascii="Times New Roman"/>
          <w:kern w:val="0"/>
          <w:lang w:val="en-GB"/>
        </w:rPr>
        <w:t xml:space="preserve"> </w:t>
      </w:r>
      <w:r w:rsidR="00182F1C" w:rsidRPr="009D1CC2">
        <w:rPr>
          <w:rFonts w:ascii="Times New Roman"/>
          <w:kern w:val="0"/>
          <w:lang w:val="en-GB"/>
        </w:rPr>
        <w:t>Meanwhile</w:t>
      </w:r>
      <w:r w:rsidR="00CC77BD" w:rsidRPr="009D1CC2">
        <w:rPr>
          <w:rFonts w:ascii="Times New Roman"/>
          <w:kern w:val="0"/>
          <w:lang w:val="en-GB"/>
        </w:rPr>
        <w:t xml:space="preserve">, </w:t>
      </w:r>
      <w:r w:rsidR="00CC77BD" w:rsidRPr="009D1CC2">
        <w:rPr>
          <w:rFonts w:ascii="Times New Roman"/>
          <w:i/>
          <w:kern w:val="0"/>
          <w:lang w:val="en-GB"/>
        </w:rPr>
        <w:t xml:space="preserve">headline Composite CPI </w:t>
      </w:r>
      <w:r w:rsidR="0064702D">
        <w:rPr>
          <w:rFonts w:ascii="Times New Roman"/>
          <w:kern w:val="0"/>
          <w:lang w:val="en-GB"/>
        </w:rPr>
        <w:t>rose by</w:t>
      </w:r>
      <w:r w:rsidR="004F6D9A" w:rsidRPr="009D1CC2">
        <w:rPr>
          <w:rFonts w:ascii="Times New Roman"/>
          <w:kern w:val="0"/>
          <w:lang w:val="en-GB"/>
        </w:rPr>
        <w:t xml:space="preserve"> </w:t>
      </w:r>
      <w:r w:rsidR="00D26D18">
        <w:rPr>
          <w:rFonts w:ascii="Times New Roman"/>
          <w:kern w:val="0"/>
          <w:lang w:val="en-GB"/>
        </w:rPr>
        <w:t>1.2</w:t>
      </w:r>
      <w:r w:rsidR="004F6D9A" w:rsidRPr="009D1CC2">
        <w:rPr>
          <w:rFonts w:ascii="Times New Roman"/>
          <w:kern w:val="0"/>
          <w:lang w:val="en-GB"/>
        </w:rPr>
        <w:t xml:space="preserve">% in the </w:t>
      </w:r>
      <w:r w:rsidR="00D26D18" w:rsidRPr="00D26D18">
        <w:rPr>
          <w:rFonts w:ascii="Times New Roman"/>
          <w:kern w:val="0"/>
          <w:lang w:val="en-GB"/>
        </w:rPr>
        <w:t>second quarter, compared with</w:t>
      </w:r>
      <w:r w:rsidR="00D26D18">
        <w:rPr>
          <w:rFonts w:ascii="Times New Roman"/>
          <w:kern w:val="0"/>
          <w:lang w:val="en-GB"/>
        </w:rPr>
        <w:t xml:space="preserve"> a</w:t>
      </w:r>
      <w:r w:rsidR="00D26D18" w:rsidRPr="00D26D18">
        <w:rPr>
          <w:rFonts w:ascii="Times New Roman"/>
          <w:kern w:val="0"/>
          <w:lang w:val="en-GB"/>
        </w:rPr>
        <w:t xml:space="preserve"> 1.9%</w:t>
      </w:r>
      <w:r w:rsidR="00D26D18">
        <w:rPr>
          <w:rFonts w:ascii="Times New Roman"/>
          <w:kern w:val="0"/>
          <w:lang w:val="en-GB"/>
        </w:rPr>
        <w:t xml:space="preserve"> increase</w:t>
      </w:r>
      <w:r w:rsidR="00D26D18" w:rsidRPr="00D26D18">
        <w:rPr>
          <w:rFonts w:ascii="Times New Roman"/>
          <w:kern w:val="0"/>
          <w:lang w:val="en-GB"/>
        </w:rPr>
        <w:t xml:space="preserve"> in the preceding quarter.  The headline inflation rate was higher than its underlying counterpart in the second quarter, mainly due to the decrease in electricity charges subsidy</w:t>
      </w:r>
      <w:r w:rsidR="006966DF">
        <w:rPr>
          <w:rFonts w:ascii="Times New Roman"/>
          <w:kern w:val="0"/>
          <w:lang w:val="en-GB"/>
        </w:rPr>
        <w:t xml:space="preserve"> provided by the Government</w:t>
      </w:r>
      <w:r w:rsidR="00D26D18" w:rsidRPr="00D26D18">
        <w:rPr>
          <w:rFonts w:ascii="Times New Roman"/>
          <w:kern w:val="0"/>
          <w:lang w:val="en-GB"/>
        </w:rPr>
        <w:t xml:space="preserve"> </w:t>
      </w:r>
      <w:r w:rsidR="001B6D8F">
        <w:rPr>
          <w:rFonts w:ascii="Times New Roman"/>
          <w:kern w:val="0"/>
          <w:lang w:val="en-GB"/>
        </w:rPr>
        <w:t>during the</w:t>
      </w:r>
      <w:r w:rsidR="00D26D18" w:rsidRPr="00D26D18">
        <w:rPr>
          <w:rFonts w:ascii="Times New Roman"/>
          <w:kern w:val="0"/>
          <w:lang w:val="en-GB"/>
        </w:rPr>
        <w:t xml:space="preserve"> quarter compared to the same period last year</w:t>
      </w:r>
      <w:r w:rsidR="003F4F02" w:rsidRPr="009D1CC2">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CC77BD" w:rsidRDefault="00CC77BD" w:rsidP="00CC77BD">
      <w:pPr>
        <w:pStyle w:val="a5"/>
        <w:numPr>
          <w:ilvl w:val="1"/>
          <w:numId w:val="19"/>
        </w:numPr>
        <w:tabs>
          <w:tab w:val="left" w:pos="1260"/>
        </w:tabs>
        <w:overflowPunct w:val="0"/>
        <w:ind w:left="0" w:right="28" w:firstLine="0"/>
        <w:jc w:val="both"/>
        <w:rPr>
          <w:szCs w:val="28"/>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001A89" w:rsidRPr="00001A89">
        <w:rPr>
          <w:rFonts w:ascii="Times New Roman"/>
          <w:kern w:val="0"/>
          <w:lang w:val="en-GB"/>
        </w:rPr>
        <w:t xml:space="preserve">rose further by </w:t>
      </w:r>
      <w:r w:rsidR="001B6D8F">
        <w:rPr>
          <w:rFonts w:ascii="Times New Roman"/>
          <w:kern w:val="0"/>
          <w:lang w:val="en-GB"/>
        </w:rPr>
        <w:t>4.</w:t>
      </w:r>
      <w:r w:rsidR="005A20FE">
        <w:rPr>
          <w:rFonts w:ascii="Times New Roman"/>
          <w:kern w:val="0"/>
          <w:lang w:val="en-GB"/>
        </w:rPr>
        <w:t>2</w:t>
      </w:r>
      <w:r w:rsidR="00001A89" w:rsidRPr="00001A89">
        <w:rPr>
          <w:rFonts w:ascii="Times New Roman"/>
          <w:kern w:val="0"/>
          <w:lang w:val="en-GB"/>
        </w:rPr>
        <w:t>% year-on-year in the secon</w:t>
      </w:r>
      <w:r w:rsidR="005A20FE">
        <w:rPr>
          <w:rFonts w:ascii="Times New Roman"/>
          <w:kern w:val="0"/>
          <w:lang w:val="en-GB"/>
        </w:rPr>
        <w:t xml:space="preserve">d quarter, after increasing by </w:t>
      </w:r>
      <w:r w:rsidR="001B6D8F">
        <w:rPr>
          <w:rFonts w:ascii="Times New Roman"/>
          <w:kern w:val="0"/>
          <w:lang w:val="en-GB"/>
        </w:rPr>
        <w:t>3.8</w:t>
      </w:r>
      <w:r w:rsidR="00001A89" w:rsidRPr="00001A89">
        <w:rPr>
          <w:rFonts w:ascii="Times New Roman"/>
          <w:kern w:val="0"/>
          <w:lang w:val="en-GB"/>
        </w:rPr>
        <w:t xml:space="preserve">% in the preceding quarter.  The </w:t>
      </w:r>
      <w:r w:rsidR="00001A89" w:rsidRPr="00001A89">
        <w:rPr>
          <w:rFonts w:ascii="Times New Roman"/>
          <w:i/>
          <w:kern w:val="0"/>
          <w:lang w:val="en-GB"/>
        </w:rPr>
        <w:t>terms of trade</w:t>
      </w:r>
      <w:r w:rsidR="00001A89" w:rsidRPr="00001A89">
        <w:rPr>
          <w:rFonts w:ascii="Times New Roman"/>
          <w:kern w:val="0"/>
          <w:lang w:val="en-GB"/>
        </w:rPr>
        <w:t xml:space="preserve"> increased further by </w:t>
      </w:r>
      <w:r w:rsidR="001B6D8F">
        <w:rPr>
          <w:rFonts w:ascii="Times New Roman"/>
          <w:kern w:val="0"/>
          <w:lang w:val="en-GB"/>
        </w:rPr>
        <w:t>1.</w:t>
      </w:r>
      <w:r w:rsidR="005A20FE">
        <w:rPr>
          <w:rFonts w:ascii="Times New Roman"/>
          <w:kern w:val="0"/>
          <w:lang w:val="en-GB"/>
        </w:rPr>
        <w:t>2</w:t>
      </w:r>
      <w:r w:rsidR="00001A89" w:rsidRPr="00001A89">
        <w:rPr>
          <w:rFonts w:ascii="Times New Roman"/>
          <w:kern w:val="0"/>
          <w:lang w:val="en-GB"/>
        </w:rPr>
        <w:t>%.  Taking out the external trade components, the domestic demand deflator</w:t>
      </w:r>
      <w:r w:rsidR="00445DB8">
        <w:rPr>
          <w:rFonts w:ascii="Times New Roman"/>
          <w:kern w:val="0"/>
          <w:lang w:val="en-GB"/>
        </w:rPr>
        <w:t xml:space="preserve"> </w:t>
      </w:r>
      <w:r w:rsidR="00001A89" w:rsidRPr="00001A89">
        <w:rPr>
          <w:rFonts w:ascii="Times New Roman"/>
          <w:kern w:val="0"/>
          <w:lang w:val="en-GB"/>
        </w:rPr>
        <w:t xml:space="preserve">increased by </w:t>
      </w:r>
      <w:r w:rsidR="00995E77">
        <w:rPr>
          <w:rFonts w:ascii="Times New Roman"/>
          <w:kern w:val="0"/>
          <w:lang w:val="en-GB"/>
        </w:rPr>
        <w:t>1.9</w:t>
      </w:r>
      <w:r w:rsidR="00001A89" w:rsidRPr="00001A89">
        <w:rPr>
          <w:rFonts w:ascii="Times New Roman"/>
          <w:kern w:val="0"/>
          <w:lang w:val="en-GB"/>
        </w:rPr>
        <w:t>% over a year earlier in the second quarter, after rising by 3.0% in the preceding quarter</w:t>
      </w:r>
      <w:r w:rsidR="00AF0FCE">
        <w:rPr>
          <w:rFonts w:ascii="Times New Roman"/>
          <w:kern w:val="0"/>
          <w:lang w:val="en-GB"/>
        </w:rPr>
        <w:t>.</w:t>
      </w:r>
    </w:p>
    <w:p w:rsidR="006A56C0" w:rsidRDefault="006A56C0">
      <w:pPr>
        <w:widowControl/>
        <w:rPr>
          <w:sz w:val="28"/>
          <w:szCs w:val="28"/>
        </w:rPr>
      </w:pPr>
      <w:r>
        <w:rPr>
          <w:sz w:val="28"/>
          <w:szCs w:val="28"/>
        </w:rPr>
        <w:br w:type="page"/>
      </w:r>
    </w:p>
    <w:p w:rsidR="002B34A3" w:rsidRDefault="00CC634B" w:rsidP="00080617">
      <w:pPr>
        <w:rPr>
          <w:sz w:val="28"/>
          <w:lang w:eastAsia="zh-HK"/>
        </w:rPr>
      </w:pPr>
      <w:r w:rsidRPr="00CC634B">
        <w:rPr>
          <w:noProof/>
        </w:rPr>
        <w:lastRenderedPageBreak/>
        <w:drawing>
          <wp:inline distT="0" distB="0" distL="0" distR="0">
            <wp:extent cx="5731510" cy="3491496"/>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95256B" w:rsidRDefault="0095256B" w:rsidP="00080617">
      <w:pPr>
        <w:rPr>
          <w:sz w:val="28"/>
          <w:lang w:eastAsia="zh-HK"/>
        </w:rPr>
      </w:pPr>
    </w:p>
    <w:p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proofErr w:type="gramStart"/>
      <w:r w:rsidRPr="004110C3">
        <w:rPr>
          <w:rFonts w:ascii="Times New Roman"/>
          <w:color w:val="000000"/>
          <w:sz w:val="22"/>
          <w:szCs w:val="22"/>
          <w:lang w:val="en-GB"/>
        </w:rPr>
        <w:t>Note :</w:t>
      </w:r>
      <w:proofErr w:type="gramEnd"/>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Pr="00B20155" w:rsidRDefault="00731989" w:rsidP="00E7285B">
      <w:pPr>
        <w:tabs>
          <w:tab w:val="num" w:pos="1080"/>
        </w:tabs>
        <w:jc w:val="both"/>
        <w:rPr>
          <w:b/>
          <w:color w:val="00B0F0"/>
          <w:sz w:val="28"/>
          <w:szCs w:val="28"/>
        </w:rPr>
      </w:pPr>
      <w:r w:rsidRPr="00327CE5">
        <w:rPr>
          <w:b/>
          <w:sz w:val="28"/>
          <w:szCs w:val="28"/>
        </w:rPr>
        <w:lastRenderedPageBreak/>
        <w:t>GDP by major economic sector</w:t>
      </w:r>
      <w:r w:rsidR="00E03C95" w:rsidRPr="00246CDF">
        <w:rPr>
          <w:rFonts w:hint="eastAsia"/>
          <w:sz w:val="28"/>
          <w:szCs w:val="28"/>
        </w:rPr>
        <w:t xml:space="preserve"> </w:t>
      </w:r>
    </w:p>
    <w:p w:rsidR="00731989" w:rsidRPr="00327CE5" w:rsidRDefault="00731989" w:rsidP="008D2A96">
      <w:pPr>
        <w:pStyle w:val="a5"/>
        <w:tabs>
          <w:tab w:val="num" w:pos="1080"/>
        </w:tabs>
        <w:ind w:right="28"/>
        <w:jc w:val="both"/>
        <w:rPr>
          <w:rFonts w:ascii="Times New Roman"/>
          <w:kern w:val="0"/>
          <w:highlight w:val="yellow"/>
          <w:lang w:val="en-GB"/>
        </w:rPr>
      </w:pPr>
    </w:p>
    <w:p w:rsidR="007E645C" w:rsidRPr="00FC1FD6" w:rsidRDefault="00C70DCA" w:rsidP="00726DF5">
      <w:pPr>
        <w:pStyle w:val="a5"/>
        <w:numPr>
          <w:ilvl w:val="1"/>
          <w:numId w:val="19"/>
        </w:numPr>
        <w:tabs>
          <w:tab w:val="left" w:pos="1260"/>
        </w:tabs>
        <w:overflowPunct w:val="0"/>
        <w:ind w:left="0" w:right="28" w:firstLine="0"/>
        <w:jc w:val="both"/>
        <w:rPr>
          <w:rFonts w:ascii="Times New Roman"/>
          <w:kern w:val="0"/>
          <w:lang w:val="en-GB"/>
        </w:rPr>
      </w:pPr>
      <w:bookmarkStart w:id="1" w:name="OLE_LINK1"/>
      <w:r w:rsidRPr="00E25AB5">
        <w:rPr>
          <w:rFonts w:ascii="Times New Roman"/>
          <w:kern w:val="0"/>
          <w:lang w:val="en-GB"/>
        </w:rPr>
        <w:t xml:space="preserve">The net output of the services sector </w:t>
      </w:r>
      <w:r w:rsidR="007E645C">
        <w:rPr>
          <w:rFonts w:ascii="Times New Roman"/>
          <w:kern w:val="0"/>
          <w:lang w:val="en-GB"/>
        </w:rPr>
        <w:t>increased further</w:t>
      </w:r>
      <w:r w:rsidRPr="00E25AB5">
        <w:rPr>
          <w:rFonts w:ascii="Times New Roman"/>
          <w:kern w:val="0"/>
          <w:lang w:val="en-GB"/>
        </w:rPr>
        <w:t xml:space="preserve"> by </w:t>
      </w:r>
      <w:r w:rsidR="00995E77">
        <w:rPr>
          <w:rFonts w:ascii="Times New Roman"/>
          <w:kern w:val="0"/>
          <w:lang w:val="en-GB"/>
        </w:rPr>
        <w:t>3.1</w:t>
      </w:r>
      <w:r w:rsidRPr="00E25AB5">
        <w:rPr>
          <w:rFonts w:ascii="Times New Roman"/>
          <w:kern w:val="0"/>
          <w:lang w:val="en-GB"/>
        </w:rPr>
        <w:t xml:space="preserve">% in real terms </w:t>
      </w:r>
      <w:r w:rsidR="003954F7" w:rsidRPr="00E25AB5">
        <w:rPr>
          <w:rFonts w:ascii="Times New Roman"/>
          <w:kern w:val="0"/>
          <w:lang w:val="en-GB"/>
        </w:rPr>
        <w:t xml:space="preserve">in </w:t>
      </w:r>
      <w:r w:rsidR="007E645C">
        <w:rPr>
          <w:rFonts w:ascii="Times New Roman"/>
          <w:kern w:val="0"/>
          <w:lang w:val="en-GB"/>
        </w:rPr>
        <w:t xml:space="preserve">the first quarter of </w:t>
      </w:r>
      <w:r w:rsidR="003954F7" w:rsidRPr="00E25AB5">
        <w:rPr>
          <w:rFonts w:ascii="Times New Roman"/>
          <w:kern w:val="0"/>
          <w:lang w:val="en-GB"/>
        </w:rPr>
        <w:t>202</w:t>
      </w:r>
      <w:r w:rsidR="007E645C">
        <w:rPr>
          <w:rFonts w:ascii="Times New Roman"/>
          <w:kern w:val="0"/>
          <w:lang w:val="en-GB"/>
        </w:rPr>
        <w:t>4</w:t>
      </w:r>
      <w:r w:rsidRPr="00E25AB5">
        <w:rPr>
          <w:rFonts w:ascii="Times New Roman"/>
          <w:kern w:val="0"/>
          <w:lang w:val="en-GB"/>
        </w:rPr>
        <w:t>, after</w:t>
      </w:r>
      <w:r w:rsidR="00FD0505" w:rsidRPr="00E25AB5">
        <w:rPr>
          <w:rFonts w:ascii="Times New Roman"/>
          <w:kern w:val="0"/>
          <w:lang w:val="en-GB"/>
        </w:rPr>
        <w:t xml:space="preserve"> </w:t>
      </w:r>
      <w:r w:rsidR="00C311E0">
        <w:rPr>
          <w:rFonts w:ascii="Times New Roman"/>
          <w:kern w:val="0"/>
          <w:lang w:val="en-GB"/>
        </w:rPr>
        <w:t xml:space="preserve">increasing by 5.3% in the preceding quarter and </w:t>
      </w:r>
      <w:r w:rsidR="007E645C">
        <w:rPr>
          <w:rFonts w:ascii="Times New Roman"/>
          <w:kern w:val="0"/>
          <w:lang w:val="en-GB"/>
        </w:rPr>
        <w:t>3.7% for 2023 as a whole</w:t>
      </w:r>
      <w:r w:rsidRPr="00E25AB5">
        <w:rPr>
          <w:rFonts w:ascii="Times New Roman"/>
          <w:kern w:val="0"/>
          <w:lang w:val="en-GB"/>
        </w:rPr>
        <w:t xml:space="preserve">.  </w:t>
      </w:r>
      <w:r w:rsidR="006B126D">
        <w:rPr>
          <w:rFonts w:ascii="Times New Roman"/>
          <w:kern w:val="0"/>
          <w:lang w:val="en-GB"/>
        </w:rPr>
        <w:t>The n</w:t>
      </w:r>
      <w:r w:rsidR="007E645C" w:rsidRPr="00DF4883">
        <w:rPr>
          <w:rFonts w:ascii="Times New Roman"/>
          <w:bCs/>
          <w:szCs w:val="28"/>
          <w:lang w:val="en-GB"/>
        </w:rPr>
        <w:t>et</w:t>
      </w:r>
      <w:r w:rsidR="007E645C" w:rsidRPr="00DF4883">
        <w:rPr>
          <w:rFonts w:ascii="Times New Roman"/>
          <w:szCs w:val="28"/>
          <w:lang w:val="en-GB"/>
        </w:rPr>
        <w:t xml:space="preserve"> </w:t>
      </w:r>
      <w:r w:rsidR="007E645C" w:rsidRPr="00DF4883">
        <w:rPr>
          <w:rFonts w:ascii="Times New Roman"/>
          <w:bCs/>
          <w:szCs w:val="28"/>
          <w:lang w:val="en-GB"/>
        </w:rPr>
        <w:t xml:space="preserve">outputs of many major service sectors </w:t>
      </w:r>
      <w:r w:rsidR="007E645C">
        <w:rPr>
          <w:rFonts w:ascii="Times New Roman"/>
          <w:bCs/>
          <w:szCs w:val="28"/>
          <w:lang w:val="en-GB"/>
        </w:rPr>
        <w:t xml:space="preserve">continued to grow, </w:t>
      </w:r>
      <w:r w:rsidR="006B126D">
        <w:rPr>
          <w:rFonts w:ascii="Times New Roman"/>
          <w:bCs/>
          <w:szCs w:val="28"/>
          <w:lang w:val="en-GB"/>
        </w:rPr>
        <w:t xml:space="preserve">albeit </w:t>
      </w:r>
      <w:r w:rsidR="007E645C">
        <w:rPr>
          <w:rFonts w:ascii="Times New Roman"/>
          <w:bCs/>
          <w:szCs w:val="28"/>
          <w:lang w:val="en-GB"/>
        </w:rPr>
        <w:t>at a moderated pace</w:t>
      </w:r>
      <w:r w:rsidR="007E645C" w:rsidRPr="00DF4883">
        <w:rPr>
          <w:rFonts w:ascii="Times New Roman"/>
          <w:szCs w:val="28"/>
          <w:lang w:val="en-GB"/>
        </w:rPr>
        <w:t xml:space="preserve">. </w:t>
      </w:r>
      <w:r w:rsidR="006A186E">
        <w:rPr>
          <w:rFonts w:ascii="Times New Roman"/>
          <w:szCs w:val="28"/>
          <w:lang w:val="en-GB"/>
        </w:rPr>
        <w:t xml:space="preserve"> </w:t>
      </w:r>
      <w:r w:rsidR="00267DA9">
        <w:rPr>
          <w:rFonts w:ascii="Times New Roman"/>
          <w:szCs w:val="28"/>
          <w:lang w:val="en-GB"/>
        </w:rPr>
        <w:t>T</w:t>
      </w:r>
      <w:r w:rsidR="00FC1FD6">
        <w:rPr>
          <w:rFonts w:ascii="Times New Roman"/>
          <w:szCs w:val="28"/>
          <w:lang w:val="en-GB"/>
        </w:rPr>
        <w:t>he net output of</w:t>
      </w:r>
      <w:r w:rsidR="007E645C" w:rsidRPr="00E44FE4">
        <w:rPr>
          <w:rFonts w:ascii="Times New Roman"/>
          <w:szCs w:val="28"/>
          <w:lang w:val="en-GB"/>
        </w:rPr>
        <w:t xml:space="preserve"> </w:t>
      </w:r>
      <w:r w:rsidR="00FC1FD6">
        <w:rPr>
          <w:rFonts w:ascii="Times New Roman"/>
          <w:szCs w:val="28"/>
          <w:lang w:val="en-GB"/>
        </w:rPr>
        <w:t xml:space="preserve">transportation and storage </w:t>
      </w:r>
      <w:r w:rsidR="006A186E">
        <w:rPr>
          <w:rFonts w:ascii="Times New Roman"/>
          <w:szCs w:val="28"/>
          <w:lang w:val="en-GB"/>
        </w:rPr>
        <w:t>register</w:t>
      </w:r>
      <w:r w:rsidR="00837089">
        <w:rPr>
          <w:rFonts w:ascii="Times New Roman"/>
          <w:szCs w:val="28"/>
          <w:lang w:val="en-GB"/>
        </w:rPr>
        <w:t>ed</w:t>
      </w:r>
      <w:r w:rsidR="006A186E">
        <w:rPr>
          <w:rFonts w:ascii="Times New Roman"/>
          <w:szCs w:val="28"/>
          <w:lang w:val="en-GB"/>
        </w:rPr>
        <w:t xml:space="preserve"> double</w:t>
      </w:r>
      <w:r w:rsidR="00837089">
        <w:rPr>
          <w:rFonts w:ascii="Times New Roman"/>
          <w:szCs w:val="28"/>
          <w:lang w:val="en-GB"/>
        </w:rPr>
        <w:t>-</w:t>
      </w:r>
      <w:r w:rsidR="006A186E">
        <w:rPr>
          <w:rFonts w:ascii="Times New Roman"/>
          <w:szCs w:val="28"/>
          <w:lang w:val="en-GB"/>
        </w:rPr>
        <w:t>digit</w:t>
      </w:r>
      <w:r w:rsidR="006B126D" w:rsidRPr="006B126D">
        <w:rPr>
          <w:rFonts w:ascii="Times New Roman"/>
          <w:szCs w:val="28"/>
          <w:lang w:val="en-GB"/>
        </w:rPr>
        <w:t xml:space="preserve"> </w:t>
      </w:r>
      <w:r w:rsidR="006B126D">
        <w:rPr>
          <w:rFonts w:ascii="Times New Roman"/>
          <w:szCs w:val="28"/>
          <w:lang w:val="en-GB"/>
        </w:rPr>
        <w:t>year-on-year</w:t>
      </w:r>
      <w:r w:rsidR="006A186E">
        <w:rPr>
          <w:rFonts w:ascii="Times New Roman"/>
          <w:szCs w:val="28"/>
          <w:lang w:val="en-GB"/>
        </w:rPr>
        <w:t xml:space="preserve"> growth</w:t>
      </w:r>
      <w:r w:rsidR="007040F9">
        <w:rPr>
          <w:rFonts w:ascii="Times New Roman"/>
          <w:szCs w:val="28"/>
          <w:lang w:val="en-GB"/>
        </w:rPr>
        <w:t xml:space="preserve"> </w:t>
      </w:r>
      <w:r w:rsidR="006B126D">
        <w:rPr>
          <w:rFonts w:ascii="Times New Roman"/>
          <w:szCs w:val="28"/>
          <w:lang w:val="en-GB"/>
        </w:rPr>
        <w:t xml:space="preserve">alongside the recovery of </w:t>
      </w:r>
      <w:r w:rsidR="007040F9">
        <w:rPr>
          <w:rFonts w:ascii="Times New Roman"/>
          <w:szCs w:val="28"/>
          <w:lang w:val="en-GB"/>
        </w:rPr>
        <w:t>handling capacity</w:t>
      </w:r>
      <w:r w:rsidR="00FC1FD6">
        <w:rPr>
          <w:rFonts w:ascii="Times New Roman"/>
          <w:szCs w:val="28"/>
          <w:lang w:val="en-GB"/>
        </w:rPr>
        <w:t xml:space="preserve">, while </w:t>
      </w:r>
      <w:r w:rsidR="006A186E">
        <w:rPr>
          <w:rFonts w:ascii="Times New Roman"/>
          <w:szCs w:val="28"/>
          <w:lang w:val="en-GB"/>
        </w:rPr>
        <w:t xml:space="preserve">those of </w:t>
      </w:r>
      <w:r w:rsidR="00FC1FD6" w:rsidRPr="00FC1FD6">
        <w:rPr>
          <w:rFonts w:ascii="Times New Roman"/>
          <w:szCs w:val="28"/>
          <w:lang w:val="en-GB"/>
        </w:rPr>
        <w:t>public administration, social and personal services, import and export trade</w:t>
      </w:r>
      <w:r w:rsidR="004623CB">
        <w:rPr>
          <w:rFonts w:ascii="Times New Roman"/>
          <w:szCs w:val="28"/>
          <w:lang w:val="en-GB"/>
        </w:rPr>
        <w:t>,</w:t>
      </w:r>
      <w:r w:rsidR="00FC1FD6" w:rsidRPr="00FC1FD6">
        <w:rPr>
          <w:rFonts w:ascii="Times New Roman"/>
          <w:szCs w:val="28"/>
          <w:lang w:val="en-GB"/>
        </w:rPr>
        <w:t xml:space="preserve"> real estate</w:t>
      </w:r>
      <w:r w:rsidR="00FC1FD6">
        <w:rPr>
          <w:rFonts w:ascii="Times New Roman"/>
          <w:szCs w:val="28"/>
          <w:lang w:val="en-GB"/>
        </w:rPr>
        <w:t xml:space="preserve">, </w:t>
      </w:r>
      <w:r w:rsidR="00FC1FD6" w:rsidRPr="00FC1FD6">
        <w:rPr>
          <w:rFonts w:ascii="Times New Roman"/>
          <w:szCs w:val="28"/>
          <w:lang w:val="en-GB"/>
        </w:rPr>
        <w:t xml:space="preserve">information and communications, </w:t>
      </w:r>
      <w:r w:rsidR="00FC1FD6">
        <w:rPr>
          <w:rFonts w:ascii="Times New Roman"/>
          <w:szCs w:val="28"/>
          <w:lang w:val="en-GB"/>
        </w:rPr>
        <w:t>accommodation and food services</w:t>
      </w:r>
      <w:r w:rsidR="00FC1FD6" w:rsidRPr="00FC1FD6">
        <w:rPr>
          <w:rFonts w:ascii="Times New Roman"/>
          <w:szCs w:val="28"/>
          <w:lang w:val="en-GB"/>
        </w:rPr>
        <w:t>, and professional and business services</w:t>
      </w:r>
      <w:r w:rsidR="00FC1FD6">
        <w:rPr>
          <w:rFonts w:ascii="Times New Roman"/>
          <w:szCs w:val="28"/>
          <w:lang w:val="en-GB"/>
        </w:rPr>
        <w:t xml:space="preserve"> </w:t>
      </w:r>
      <w:r w:rsidR="004623CB">
        <w:rPr>
          <w:rFonts w:ascii="Times New Roman"/>
          <w:szCs w:val="28"/>
          <w:lang w:val="en-GB"/>
        </w:rPr>
        <w:t xml:space="preserve">recorded </w:t>
      </w:r>
      <w:r w:rsidR="00C311E0">
        <w:rPr>
          <w:rFonts w:ascii="Times New Roman"/>
          <w:szCs w:val="28"/>
          <w:lang w:val="en-GB"/>
        </w:rPr>
        <w:t xml:space="preserve">mild </w:t>
      </w:r>
      <w:r w:rsidR="00FC1FD6">
        <w:rPr>
          <w:rFonts w:ascii="Times New Roman"/>
          <w:szCs w:val="28"/>
          <w:lang w:val="en-GB"/>
        </w:rPr>
        <w:t>increase</w:t>
      </w:r>
      <w:r w:rsidR="006B126D">
        <w:rPr>
          <w:rFonts w:ascii="Times New Roman"/>
          <w:szCs w:val="28"/>
          <w:lang w:val="en-GB"/>
        </w:rPr>
        <w:t>s</w:t>
      </w:r>
      <w:r w:rsidR="00FC1FD6">
        <w:rPr>
          <w:rFonts w:ascii="Times New Roman"/>
          <w:szCs w:val="28"/>
          <w:lang w:val="en-GB"/>
        </w:rPr>
        <w:t>.</w:t>
      </w:r>
      <w:r w:rsidR="006A186E">
        <w:rPr>
          <w:rFonts w:ascii="Times New Roman"/>
          <w:szCs w:val="28"/>
          <w:lang w:val="en-GB"/>
        </w:rPr>
        <w:t xml:space="preserve">  </w:t>
      </w:r>
      <w:r w:rsidR="006A186E" w:rsidRPr="006A186E">
        <w:rPr>
          <w:rFonts w:ascii="Times New Roman"/>
          <w:szCs w:val="28"/>
          <w:lang w:val="en-GB"/>
        </w:rPr>
        <w:t>Meanwhile, net output</w:t>
      </w:r>
      <w:r w:rsidR="006A186E">
        <w:rPr>
          <w:rFonts w:ascii="Times New Roman"/>
          <w:szCs w:val="28"/>
          <w:lang w:val="en-GB"/>
        </w:rPr>
        <w:t>s</w:t>
      </w:r>
      <w:r w:rsidR="006A186E" w:rsidRPr="006A186E">
        <w:rPr>
          <w:rFonts w:ascii="Times New Roman"/>
          <w:szCs w:val="28"/>
          <w:lang w:val="en-GB"/>
        </w:rPr>
        <w:t xml:space="preserve"> of financing and insurance</w:t>
      </w:r>
      <w:r w:rsidR="006B126D">
        <w:rPr>
          <w:rFonts w:ascii="Times New Roman"/>
          <w:szCs w:val="28"/>
          <w:lang w:val="en-GB"/>
        </w:rPr>
        <w:t xml:space="preserve">, as well as </w:t>
      </w:r>
      <w:r w:rsidR="006A186E" w:rsidRPr="006A186E">
        <w:rPr>
          <w:rFonts w:ascii="Times New Roman"/>
          <w:szCs w:val="28"/>
          <w:lang w:val="en-GB"/>
        </w:rPr>
        <w:t xml:space="preserve">postal and courier services </w:t>
      </w:r>
      <w:r w:rsidR="006A186E">
        <w:rPr>
          <w:rFonts w:ascii="Times New Roman"/>
          <w:szCs w:val="28"/>
          <w:lang w:val="en-GB"/>
        </w:rPr>
        <w:t>saw</w:t>
      </w:r>
      <w:r w:rsidR="006A186E" w:rsidRPr="006A186E">
        <w:rPr>
          <w:rFonts w:ascii="Times New Roman"/>
          <w:szCs w:val="28"/>
          <w:lang w:val="en-GB"/>
        </w:rPr>
        <w:t xml:space="preserve"> </w:t>
      </w:r>
      <w:r w:rsidR="006A186E">
        <w:rPr>
          <w:rFonts w:ascii="Times New Roman"/>
          <w:szCs w:val="28"/>
          <w:lang w:val="en-GB"/>
        </w:rPr>
        <w:t>narrowed declines</w:t>
      </w:r>
      <w:r w:rsidR="006A186E" w:rsidRPr="006A186E">
        <w:rPr>
          <w:rFonts w:ascii="Times New Roman"/>
          <w:szCs w:val="28"/>
          <w:lang w:val="en-GB"/>
        </w:rPr>
        <w:t>. </w:t>
      </w:r>
      <w:r w:rsidR="006A186E">
        <w:rPr>
          <w:rFonts w:ascii="Times New Roman"/>
          <w:szCs w:val="28"/>
          <w:lang w:val="en-GB"/>
        </w:rPr>
        <w:t xml:space="preserve"> However, </w:t>
      </w:r>
      <w:r w:rsidR="006A186E" w:rsidRPr="006A186E">
        <w:rPr>
          <w:rFonts w:ascii="Times New Roman"/>
          <w:szCs w:val="28"/>
          <w:lang w:val="en-GB"/>
        </w:rPr>
        <w:t>the</w:t>
      </w:r>
      <w:r w:rsidR="006A186E">
        <w:rPr>
          <w:rFonts w:ascii="Times New Roman"/>
          <w:szCs w:val="28"/>
          <w:lang w:val="en-GB"/>
        </w:rPr>
        <w:t xml:space="preserve"> net output of the</w:t>
      </w:r>
      <w:r w:rsidR="006A186E" w:rsidRPr="006A186E">
        <w:rPr>
          <w:rFonts w:ascii="Times New Roman"/>
          <w:szCs w:val="28"/>
          <w:lang w:val="en-GB"/>
        </w:rPr>
        <w:t xml:space="preserve"> wholesale and retail trades turned to a decline.</w:t>
      </w:r>
      <w:r w:rsidR="00964D90">
        <w:rPr>
          <w:rFonts w:ascii="Times New Roman"/>
          <w:szCs w:val="28"/>
          <w:lang w:val="en-GB"/>
        </w:rPr>
        <w:t xml:space="preserve">  </w:t>
      </w:r>
      <w:r w:rsidR="00964D90" w:rsidRPr="00964D90">
        <w:rPr>
          <w:rFonts w:ascii="Times New Roman"/>
          <w:szCs w:val="28"/>
          <w:lang w:val="en-GB"/>
        </w:rPr>
        <w:t>As for the secondary sector, the net output</w:t>
      </w:r>
      <w:r w:rsidR="00A8535C">
        <w:rPr>
          <w:rFonts w:ascii="Times New Roman"/>
          <w:szCs w:val="28"/>
          <w:lang w:val="en-GB"/>
        </w:rPr>
        <w:t>s</w:t>
      </w:r>
      <w:r w:rsidR="00964D90" w:rsidRPr="00964D90">
        <w:rPr>
          <w:rFonts w:ascii="Times New Roman"/>
          <w:szCs w:val="28"/>
          <w:lang w:val="en-GB"/>
        </w:rPr>
        <w:t xml:space="preserve"> of the </w:t>
      </w:r>
      <w:r w:rsidR="004623CB">
        <w:rPr>
          <w:rFonts w:ascii="Times New Roman"/>
          <w:szCs w:val="28"/>
          <w:lang w:val="en-GB"/>
        </w:rPr>
        <w:t xml:space="preserve">manufacturing </w:t>
      </w:r>
      <w:r w:rsidR="00AD779D">
        <w:rPr>
          <w:rFonts w:ascii="Times New Roman"/>
          <w:szCs w:val="28"/>
          <w:lang w:val="en-GB"/>
        </w:rPr>
        <w:t xml:space="preserve">sector </w:t>
      </w:r>
      <w:r w:rsidR="00A8535C">
        <w:rPr>
          <w:rFonts w:ascii="Times New Roman"/>
          <w:szCs w:val="28"/>
          <w:lang w:val="en-GB"/>
        </w:rPr>
        <w:t xml:space="preserve">and </w:t>
      </w:r>
      <w:r w:rsidR="00AD779D">
        <w:rPr>
          <w:rFonts w:ascii="Times New Roman"/>
          <w:szCs w:val="28"/>
          <w:lang w:val="en-GB"/>
        </w:rPr>
        <w:t xml:space="preserve">the </w:t>
      </w:r>
      <w:r w:rsidR="004623CB" w:rsidRPr="00964D90">
        <w:rPr>
          <w:rFonts w:ascii="Times New Roman"/>
          <w:szCs w:val="28"/>
          <w:lang w:val="en-GB"/>
        </w:rPr>
        <w:t>construction sector</w:t>
      </w:r>
      <w:r w:rsidR="004623CB">
        <w:rPr>
          <w:rFonts w:ascii="Times New Roman"/>
          <w:szCs w:val="28"/>
          <w:lang w:val="en-GB"/>
        </w:rPr>
        <w:t xml:space="preserve"> </w:t>
      </w:r>
      <w:r w:rsidR="00A8535C">
        <w:rPr>
          <w:rFonts w:ascii="Times New Roman"/>
          <w:szCs w:val="28"/>
          <w:lang w:val="en-GB"/>
        </w:rPr>
        <w:t xml:space="preserve">continued to </w:t>
      </w:r>
      <w:r w:rsidR="004623CB">
        <w:rPr>
          <w:rFonts w:ascii="Times New Roman"/>
          <w:szCs w:val="28"/>
          <w:lang w:val="en-GB"/>
        </w:rPr>
        <w:t>increase.</w:t>
      </w:r>
    </w:p>
    <w:bookmarkEnd w:id="1"/>
    <w:p w:rsidR="00561155" w:rsidRPr="00327CE5" w:rsidRDefault="00561155" w:rsidP="00CE7A2F">
      <w:pPr>
        <w:pageBreakBefore/>
        <w:jc w:val="center"/>
        <w:rPr>
          <w:b/>
          <w:kern w:val="0"/>
          <w:sz w:val="28"/>
        </w:rPr>
      </w:pPr>
      <w:r w:rsidRPr="00327CE5">
        <w:rPr>
          <w:b/>
          <w:kern w:val="0"/>
          <w:sz w:val="28"/>
        </w:rPr>
        <w:lastRenderedPageBreak/>
        <w:t xml:space="preserve">Table </w:t>
      </w:r>
      <w:proofErr w:type="gramStart"/>
      <w:r w:rsidRPr="00327CE5">
        <w:rPr>
          <w:b/>
          <w:kern w:val="0"/>
          <w:sz w:val="28"/>
        </w:rPr>
        <w:t>1.3 :</w:t>
      </w:r>
      <w:proofErr w:type="gramEnd"/>
      <w:r w:rsidRPr="00327CE5">
        <w:rPr>
          <w:b/>
          <w:kern w:val="0"/>
          <w:sz w:val="28"/>
        </w:rPr>
        <w:t xml:space="preserve"> GDP by economic activity</w:t>
      </w:r>
      <w:r w:rsidRPr="00327CE5">
        <w:rPr>
          <w:b/>
          <w:kern w:val="0"/>
          <w:sz w:val="28"/>
          <w:vertAlign w:val="superscript"/>
        </w:rPr>
        <w:t>(a)</w:t>
      </w:r>
    </w:p>
    <w:p w:rsidR="009723EC" w:rsidRDefault="00561155">
      <w:pPr>
        <w:spacing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p w:rsidR="007F6814" w:rsidRDefault="007F6814">
      <w:pPr>
        <w:spacing w:line="320" w:lineRule="exact"/>
        <w:ind w:right="-505"/>
        <w:jc w:val="center"/>
        <w:rPr>
          <w:b/>
          <w:kern w:val="0"/>
          <w:sz w:val="28"/>
        </w:rPr>
      </w:pPr>
    </w:p>
    <w:tbl>
      <w:tblPr>
        <w:tblW w:w="8789" w:type="dxa"/>
        <w:jc w:val="center"/>
        <w:tblLayout w:type="fixed"/>
        <w:tblLook w:val="0000" w:firstRow="0" w:lastRow="0" w:firstColumn="0" w:lastColumn="0" w:noHBand="0" w:noVBand="0"/>
      </w:tblPr>
      <w:tblGrid>
        <w:gridCol w:w="3542"/>
        <w:gridCol w:w="1004"/>
        <w:gridCol w:w="848"/>
        <w:gridCol w:w="848"/>
        <w:gridCol w:w="848"/>
        <w:gridCol w:w="848"/>
        <w:gridCol w:w="851"/>
      </w:tblGrid>
      <w:tr w:rsidR="00F359AC" w:rsidRPr="00327CE5" w:rsidTr="007E645C">
        <w:trPr>
          <w:jc w:val="center"/>
        </w:trPr>
        <w:tc>
          <w:tcPr>
            <w:tcW w:w="3542" w:type="dxa"/>
          </w:tcPr>
          <w:p w:rsidR="00F359AC" w:rsidRPr="004110C3" w:rsidRDefault="00F359AC" w:rsidP="007E645C">
            <w:pPr>
              <w:pStyle w:val="aa"/>
              <w:tabs>
                <w:tab w:val="left" w:pos="840"/>
                <w:tab w:val="left" w:pos="895"/>
              </w:tabs>
              <w:snapToGrid w:val="0"/>
              <w:spacing w:afterLines="50" w:after="180" w:line="220" w:lineRule="exact"/>
              <w:ind w:left="1321" w:right="-17" w:hanging="1202"/>
              <w:rPr>
                <w:kern w:val="0"/>
                <w:sz w:val="22"/>
                <w:szCs w:val="22"/>
                <w:u w:val="single"/>
                <w:lang w:val="en-GB"/>
              </w:rPr>
            </w:pPr>
          </w:p>
        </w:tc>
        <w:tc>
          <w:tcPr>
            <w:tcW w:w="1004" w:type="dxa"/>
          </w:tcPr>
          <w:p w:rsidR="00F359AC" w:rsidRPr="00404903" w:rsidRDefault="00F359AC" w:rsidP="00F359AC">
            <w:pPr>
              <w:pStyle w:val="aa"/>
              <w:tabs>
                <w:tab w:val="left" w:pos="840"/>
                <w:tab w:val="left" w:pos="895"/>
              </w:tabs>
              <w:snapToGrid w:val="0"/>
              <w:spacing w:afterLines="50" w:after="180" w:line="220" w:lineRule="exact"/>
              <w:ind w:left="1321" w:right="-17" w:hanging="1202"/>
              <w:rPr>
                <w:rFonts w:ascii="Times New Roman"/>
                <w:kern w:val="0"/>
                <w:sz w:val="22"/>
                <w:szCs w:val="22"/>
                <w:u w:val="single"/>
                <w:lang w:val="en-GB"/>
              </w:rPr>
            </w:pPr>
            <w:r w:rsidRPr="00404903">
              <w:rPr>
                <w:rFonts w:ascii="Times New Roman"/>
                <w:kern w:val="0"/>
                <w:sz w:val="22"/>
                <w:szCs w:val="22"/>
                <w:u w:val="single"/>
                <w:lang w:val="en-GB"/>
              </w:rPr>
              <w:t>202</w:t>
            </w:r>
            <w:r>
              <w:rPr>
                <w:rFonts w:ascii="Times New Roman"/>
                <w:kern w:val="0"/>
                <w:sz w:val="22"/>
                <w:szCs w:val="22"/>
                <w:u w:val="single"/>
                <w:lang w:val="en-GB"/>
              </w:rPr>
              <w:t>3</w:t>
            </w:r>
          </w:p>
        </w:tc>
        <w:tc>
          <w:tcPr>
            <w:tcW w:w="3392" w:type="dxa"/>
            <w:gridSpan w:val="4"/>
          </w:tcPr>
          <w:p w:rsidR="00F359AC" w:rsidRPr="004110C3" w:rsidRDefault="00F359AC" w:rsidP="00F359AC">
            <w:pPr>
              <w:pStyle w:val="aa"/>
              <w:tabs>
                <w:tab w:val="left" w:pos="840"/>
                <w:tab w:val="left" w:pos="895"/>
              </w:tabs>
              <w:snapToGrid w:val="0"/>
              <w:spacing w:afterLines="50" w:after="180" w:line="220" w:lineRule="exact"/>
              <w:ind w:left="1321" w:right="-17" w:hanging="1202"/>
              <w:jc w:val="center"/>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23</w:t>
            </w:r>
          </w:p>
        </w:tc>
        <w:tc>
          <w:tcPr>
            <w:tcW w:w="851" w:type="dxa"/>
          </w:tcPr>
          <w:p w:rsidR="00F359AC" w:rsidRPr="004110C3" w:rsidRDefault="00F359AC" w:rsidP="00F359AC">
            <w:pPr>
              <w:pStyle w:val="aa"/>
              <w:tabs>
                <w:tab w:val="left" w:pos="840"/>
                <w:tab w:val="left" w:pos="895"/>
              </w:tabs>
              <w:snapToGrid w:val="0"/>
              <w:spacing w:afterLines="50" w:after="180" w:line="220" w:lineRule="exact"/>
              <w:ind w:right="-17" w:hanging="1320"/>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24</w:t>
            </w:r>
          </w:p>
        </w:tc>
      </w:tr>
      <w:tr w:rsidR="00F359AC" w:rsidRPr="00327CE5" w:rsidTr="007E645C">
        <w:trPr>
          <w:trHeight w:val="342"/>
          <w:jc w:val="center"/>
        </w:trPr>
        <w:tc>
          <w:tcPr>
            <w:tcW w:w="3542" w:type="dxa"/>
          </w:tcPr>
          <w:p w:rsidR="00F359AC" w:rsidRPr="00327CE5" w:rsidRDefault="00F359AC" w:rsidP="007E645C">
            <w:pPr>
              <w:spacing w:line="240" w:lineRule="exact"/>
              <w:jc w:val="center"/>
              <w:rPr>
                <w:kern w:val="0"/>
                <w:sz w:val="22"/>
                <w:szCs w:val="22"/>
                <w:u w:val="single"/>
              </w:rPr>
            </w:pPr>
          </w:p>
        </w:tc>
        <w:tc>
          <w:tcPr>
            <w:tcW w:w="1004" w:type="dxa"/>
          </w:tcPr>
          <w:p w:rsidR="00F359AC" w:rsidRPr="004110C3" w:rsidRDefault="00F359AC" w:rsidP="007E645C">
            <w:pPr>
              <w:pStyle w:val="5"/>
              <w:spacing w:line="240" w:lineRule="exact"/>
              <w:ind w:left="0"/>
              <w:jc w:val="left"/>
              <w:rPr>
                <w:rFonts w:ascii="Times New Roman"/>
                <w:kern w:val="0"/>
                <w:sz w:val="22"/>
                <w:szCs w:val="22"/>
                <w:lang w:val="en-GB"/>
              </w:rPr>
            </w:pPr>
          </w:p>
        </w:tc>
        <w:tc>
          <w:tcPr>
            <w:tcW w:w="848" w:type="dxa"/>
          </w:tcPr>
          <w:p w:rsidR="00F359AC" w:rsidRPr="004110C3" w:rsidRDefault="00F359AC" w:rsidP="007E645C">
            <w:pPr>
              <w:pStyle w:val="5"/>
              <w:tabs>
                <w:tab w:val="decimal" w:pos="336"/>
              </w:tabs>
              <w:overflowPunct w:val="0"/>
              <w:spacing w:line="240" w:lineRule="exact"/>
              <w:ind w:left="-125" w:right="-57"/>
              <w:jc w:val="left"/>
              <w:rPr>
                <w:rFonts w:ascii="Times New Roman"/>
                <w:kern w:val="0"/>
                <w:sz w:val="22"/>
                <w:szCs w:val="22"/>
                <w:lang w:val="en-GB"/>
              </w:rPr>
            </w:pPr>
            <w:r w:rsidRPr="004110C3">
              <w:rPr>
                <w:rFonts w:ascii="Times New Roman"/>
                <w:kern w:val="0"/>
                <w:sz w:val="22"/>
                <w:szCs w:val="22"/>
                <w:u w:val="none"/>
                <w:lang w:val="en-GB"/>
              </w:rPr>
              <w:t xml:space="preserve">   </w:t>
            </w:r>
            <w:r w:rsidRPr="004110C3">
              <w:rPr>
                <w:rFonts w:ascii="Times New Roman"/>
                <w:kern w:val="0"/>
                <w:sz w:val="22"/>
                <w:szCs w:val="22"/>
                <w:lang w:val="en-GB"/>
              </w:rPr>
              <w:t>Q1</w:t>
            </w:r>
          </w:p>
        </w:tc>
        <w:tc>
          <w:tcPr>
            <w:tcW w:w="848" w:type="dxa"/>
          </w:tcPr>
          <w:p w:rsidR="00F359AC" w:rsidRPr="004110C3" w:rsidRDefault="00F359AC" w:rsidP="007E645C">
            <w:pPr>
              <w:pStyle w:val="5"/>
              <w:spacing w:line="240" w:lineRule="exact"/>
              <w:ind w:left="-108"/>
              <w:rPr>
                <w:rFonts w:ascii="Times New Roman"/>
                <w:kern w:val="0"/>
                <w:sz w:val="22"/>
                <w:szCs w:val="22"/>
                <w:lang w:val="en-GB"/>
              </w:rPr>
            </w:pPr>
            <w:r w:rsidRPr="004110C3">
              <w:rPr>
                <w:rFonts w:ascii="Times New Roman"/>
                <w:kern w:val="0"/>
                <w:sz w:val="22"/>
                <w:szCs w:val="22"/>
                <w:lang w:val="en-GB"/>
              </w:rPr>
              <w:t>Q2</w:t>
            </w:r>
          </w:p>
        </w:tc>
        <w:tc>
          <w:tcPr>
            <w:tcW w:w="848" w:type="dxa"/>
          </w:tcPr>
          <w:p w:rsidR="00F359AC" w:rsidRPr="004110C3" w:rsidRDefault="00F359AC" w:rsidP="007E645C">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Q3</w:t>
            </w:r>
          </w:p>
        </w:tc>
        <w:tc>
          <w:tcPr>
            <w:tcW w:w="848" w:type="dxa"/>
          </w:tcPr>
          <w:p w:rsidR="00F359AC" w:rsidRPr="000758FE" w:rsidRDefault="00F359AC" w:rsidP="007E645C">
            <w:pPr>
              <w:pStyle w:val="5"/>
              <w:spacing w:line="240" w:lineRule="exact"/>
              <w:ind w:left="-108" w:right="-57"/>
              <w:rPr>
                <w:rFonts w:ascii="Times New Roman"/>
                <w:kern w:val="0"/>
                <w:sz w:val="22"/>
                <w:szCs w:val="22"/>
                <w:lang w:val="en-GB"/>
              </w:rPr>
            </w:pPr>
            <w:r w:rsidRPr="000758FE">
              <w:rPr>
                <w:rFonts w:ascii="Times New Roman"/>
                <w:kern w:val="0"/>
                <w:sz w:val="22"/>
                <w:szCs w:val="22"/>
                <w:lang w:val="en-GB"/>
              </w:rPr>
              <w:t>Q4</w:t>
            </w:r>
          </w:p>
        </w:tc>
        <w:tc>
          <w:tcPr>
            <w:tcW w:w="851" w:type="dxa"/>
          </w:tcPr>
          <w:p w:rsidR="00F359AC" w:rsidRPr="000758FE" w:rsidRDefault="00F359AC" w:rsidP="007E645C">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Q1</w:t>
            </w:r>
          </w:p>
        </w:tc>
      </w:tr>
      <w:tr w:rsidR="00F359AC" w:rsidRPr="00327CE5" w:rsidTr="007E645C">
        <w:trPr>
          <w:trHeight w:val="197"/>
          <w:jc w:val="center"/>
        </w:trPr>
        <w:tc>
          <w:tcPr>
            <w:tcW w:w="3542" w:type="dxa"/>
          </w:tcPr>
          <w:p w:rsidR="00F359AC" w:rsidRPr="00327CE5" w:rsidRDefault="00F359AC" w:rsidP="00F359AC">
            <w:pPr>
              <w:tabs>
                <w:tab w:val="left" w:pos="492"/>
              </w:tabs>
              <w:snapToGrid w:val="0"/>
              <w:spacing w:line="240" w:lineRule="exact"/>
              <w:ind w:left="-108"/>
              <w:rPr>
                <w:kern w:val="0"/>
                <w:sz w:val="22"/>
                <w:szCs w:val="22"/>
              </w:rPr>
            </w:pPr>
            <w:r w:rsidRPr="00327CE5">
              <w:rPr>
                <w:kern w:val="0"/>
                <w:sz w:val="22"/>
                <w:szCs w:val="22"/>
              </w:rPr>
              <w:t>Manufacturing</w:t>
            </w:r>
          </w:p>
          <w:p w:rsidR="00F359AC" w:rsidRPr="004110C3" w:rsidRDefault="00F359AC" w:rsidP="00F359AC">
            <w:pPr>
              <w:tabs>
                <w:tab w:val="left" w:pos="492"/>
              </w:tabs>
              <w:snapToGrid w:val="0"/>
              <w:spacing w:line="240" w:lineRule="exact"/>
              <w:rPr>
                <w:kern w:val="0"/>
                <w:sz w:val="22"/>
                <w:szCs w:val="22"/>
              </w:rPr>
            </w:pPr>
          </w:p>
        </w:tc>
        <w:tc>
          <w:tcPr>
            <w:tcW w:w="1004" w:type="dxa"/>
            <w:shd w:val="clear" w:color="auto" w:fill="auto"/>
          </w:tcPr>
          <w:p w:rsidR="00F359AC" w:rsidRPr="00CD0337" w:rsidRDefault="00F359AC" w:rsidP="00F359AC">
            <w:pPr>
              <w:pStyle w:val="5"/>
              <w:tabs>
                <w:tab w:val="decimal" w:pos="298"/>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3.7</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3.8</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2.7</w:t>
            </w:r>
          </w:p>
        </w:tc>
        <w:tc>
          <w:tcPr>
            <w:tcW w:w="848" w:type="dxa"/>
            <w:shd w:val="clear" w:color="auto" w:fill="auto"/>
          </w:tcPr>
          <w:p w:rsidR="00F359AC" w:rsidRPr="00CD0337" w:rsidRDefault="00F359AC" w:rsidP="00F359AC">
            <w:pPr>
              <w:tabs>
                <w:tab w:val="decimal" w:pos="298"/>
              </w:tabs>
              <w:rPr>
                <w:sz w:val="22"/>
              </w:rPr>
            </w:pPr>
            <w:r w:rsidRPr="00CD0337">
              <w:rPr>
                <w:sz w:val="22"/>
              </w:rPr>
              <w:t>4.3</w:t>
            </w:r>
          </w:p>
        </w:tc>
        <w:tc>
          <w:tcPr>
            <w:tcW w:w="848" w:type="dxa"/>
          </w:tcPr>
          <w:p w:rsidR="00F359AC" w:rsidRPr="00CD0337" w:rsidRDefault="00F359AC" w:rsidP="00F359AC">
            <w:pPr>
              <w:tabs>
                <w:tab w:val="decimal" w:pos="298"/>
              </w:tabs>
              <w:rPr>
                <w:sz w:val="22"/>
              </w:rPr>
            </w:pPr>
            <w:r w:rsidRPr="00CD0337">
              <w:rPr>
                <w:sz w:val="22"/>
              </w:rPr>
              <w:t>4.1</w:t>
            </w:r>
          </w:p>
        </w:tc>
        <w:tc>
          <w:tcPr>
            <w:tcW w:w="851" w:type="dxa"/>
          </w:tcPr>
          <w:p w:rsidR="00F359AC" w:rsidRPr="009B266D" w:rsidRDefault="00AB2D16" w:rsidP="00F359AC">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1.8</w:t>
            </w:r>
          </w:p>
        </w:tc>
      </w:tr>
      <w:tr w:rsidR="00F359AC" w:rsidRPr="00327CE5" w:rsidTr="007E645C">
        <w:trPr>
          <w:trHeight w:val="197"/>
          <w:jc w:val="center"/>
        </w:trPr>
        <w:tc>
          <w:tcPr>
            <w:tcW w:w="3542" w:type="dxa"/>
          </w:tcPr>
          <w:p w:rsidR="00F359AC" w:rsidRPr="00327CE5" w:rsidRDefault="00F359AC" w:rsidP="00F359AC">
            <w:pPr>
              <w:tabs>
                <w:tab w:val="left" w:pos="492"/>
              </w:tabs>
              <w:snapToGrid w:val="0"/>
              <w:spacing w:line="240" w:lineRule="exact"/>
              <w:ind w:left="-108"/>
              <w:rPr>
                <w:kern w:val="0"/>
                <w:sz w:val="22"/>
                <w:szCs w:val="22"/>
              </w:rPr>
            </w:pPr>
            <w:r w:rsidRPr="00327CE5">
              <w:rPr>
                <w:kern w:val="0"/>
                <w:sz w:val="22"/>
                <w:szCs w:val="22"/>
              </w:rPr>
              <w:t>Construction</w:t>
            </w:r>
          </w:p>
          <w:p w:rsidR="00F359AC" w:rsidRPr="00327CE5" w:rsidRDefault="00F359AC" w:rsidP="00F359AC">
            <w:pPr>
              <w:tabs>
                <w:tab w:val="left" w:pos="492"/>
              </w:tabs>
              <w:snapToGrid w:val="0"/>
              <w:spacing w:line="240" w:lineRule="exact"/>
              <w:ind w:left="-108"/>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5.6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-0.3</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6.6</w:t>
            </w:r>
          </w:p>
        </w:tc>
        <w:tc>
          <w:tcPr>
            <w:tcW w:w="848" w:type="dxa"/>
            <w:shd w:val="clear" w:color="auto" w:fill="auto"/>
          </w:tcPr>
          <w:p w:rsidR="00F359AC" w:rsidRPr="00CD0337" w:rsidRDefault="00F359AC" w:rsidP="00F359AC">
            <w:pPr>
              <w:tabs>
                <w:tab w:val="decimal" w:pos="298"/>
              </w:tabs>
              <w:rPr>
                <w:sz w:val="22"/>
              </w:rPr>
            </w:pPr>
            <w:r w:rsidRPr="00CD0337">
              <w:rPr>
                <w:sz w:val="22"/>
              </w:rPr>
              <w:t>13.5</w:t>
            </w:r>
          </w:p>
        </w:tc>
        <w:tc>
          <w:tcPr>
            <w:tcW w:w="848" w:type="dxa"/>
          </w:tcPr>
          <w:p w:rsidR="00F359AC" w:rsidRPr="00CD0337" w:rsidRDefault="00F359AC" w:rsidP="00F359AC">
            <w:pPr>
              <w:tabs>
                <w:tab w:val="decimal" w:pos="298"/>
              </w:tabs>
              <w:rPr>
                <w:sz w:val="22"/>
              </w:rPr>
            </w:pPr>
            <w:r w:rsidRPr="00CD0337">
              <w:rPr>
                <w:sz w:val="22"/>
              </w:rPr>
              <w:t>3.8</w:t>
            </w:r>
          </w:p>
        </w:tc>
        <w:tc>
          <w:tcPr>
            <w:tcW w:w="851" w:type="dxa"/>
          </w:tcPr>
          <w:p w:rsidR="00F359AC" w:rsidRPr="009B266D" w:rsidRDefault="00E66B0B" w:rsidP="00F359AC">
            <w:pPr>
              <w:pStyle w:val="5"/>
              <w:tabs>
                <w:tab w:val="decimal" w:pos="252"/>
              </w:tabs>
              <w:overflowPunct w:val="0"/>
              <w:spacing w:line="240" w:lineRule="exact"/>
              <w:ind w:left="-108" w:rightChars="-45"/>
              <w:jc w:val="left"/>
              <w:rPr>
                <w:rFonts w:ascii="Times New Roman"/>
                <w:sz w:val="22"/>
                <w:szCs w:val="22"/>
                <w:u w:val="none"/>
              </w:rPr>
            </w:pPr>
            <w:r>
              <w:rPr>
                <w:rFonts w:ascii="Times New Roman"/>
                <w:sz w:val="22"/>
                <w:szCs w:val="22"/>
                <w:u w:val="none"/>
              </w:rPr>
              <w:t>9.2</w:t>
            </w:r>
          </w:p>
        </w:tc>
      </w:tr>
      <w:tr w:rsidR="00F359AC" w:rsidRPr="00327CE5" w:rsidTr="007E645C">
        <w:trPr>
          <w:trHeight w:val="197"/>
          <w:jc w:val="center"/>
        </w:trPr>
        <w:tc>
          <w:tcPr>
            <w:tcW w:w="3542" w:type="dxa"/>
          </w:tcPr>
          <w:p w:rsidR="00F359AC" w:rsidRPr="00327CE5" w:rsidRDefault="00F359AC" w:rsidP="00F359AC">
            <w:pPr>
              <w:tabs>
                <w:tab w:val="left" w:pos="492"/>
              </w:tabs>
              <w:snapToGrid w:val="0"/>
              <w:spacing w:line="240" w:lineRule="exact"/>
              <w:ind w:left="-108"/>
              <w:rPr>
                <w:kern w:val="0"/>
                <w:sz w:val="22"/>
                <w:szCs w:val="22"/>
                <w:vertAlign w:val="superscript"/>
              </w:rPr>
            </w:pPr>
            <w:r w:rsidRPr="00327CE5">
              <w:rPr>
                <w:kern w:val="0"/>
                <w:sz w:val="22"/>
                <w:szCs w:val="22"/>
              </w:rPr>
              <w:t>Services</w:t>
            </w:r>
            <w:r w:rsidRPr="00327CE5">
              <w:rPr>
                <w:kern w:val="0"/>
                <w:sz w:val="22"/>
                <w:szCs w:val="22"/>
                <w:vertAlign w:val="superscript"/>
              </w:rPr>
              <w:t>(b)</w:t>
            </w:r>
          </w:p>
          <w:p w:rsidR="00F359AC" w:rsidRPr="00327CE5" w:rsidRDefault="00F359AC" w:rsidP="00F359AC">
            <w:pPr>
              <w:tabs>
                <w:tab w:val="left" w:pos="492"/>
              </w:tabs>
              <w:snapToGrid w:val="0"/>
              <w:spacing w:line="240" w:lineRule="exact"/>
              <w:ind w:left="-108"/>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3.7</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3.4</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1.7</w:t>
            </w:r>
          </w:p>
        </w:tc>
        <w:tc>
          <w:tcPr>
            <w:tcW w:w="848" w:type="dxa"/>
            <w:shd w:val="clear" w:color="auto" w:fill="auto"/>
          </w:tcPr>
          <w:p w:rsidR="00F359AC" w:rsidRPr="00CD0337" w:rsidRDefault="00F359AC" w:rsidP="00F359AC">
            <w:pPr>
              <w:tabs>
                <w:tab w:val="decimal" w:pos="298"/>
              </w:tabs>
              <w:rPr>
                <w:sz w:val="22"/>
              </w:rPr>
            </w:pPr>
            <w:r w:rsidRPr="00CD0337">
              <w:rPr>
                <w:sz w:val="22"/>
              </w:rPr>
              <w:t>4.2</w:t>
            </w:r>
          </w:p>
        </w:tc>
        <w:tc>
          <w:tcPr>
            <w:tcW w:w="848" w:type="dxa"/>
          </w:tcPr>
          <w:p w:rsidR="00F359AC" w:rsidRPr="00CD0337" w:rsidRDefault="00F359AC" w:rsidP="00F359AC">
            <w:pPr>
              <w:tabs>
                <w:tab w:val="decimal" w:pos="298"/>
              </w:tabs>
              <w:rPr>
                <w:sz w:val="22"/>
              </w:rPr>
            </w:pPr>
            <w:r w:rsidRPr="00CD0337">
              <w:rPr>
                <w:sz w:val="22"/>
              </w:rPr>
              <w:t>5.3</w:t>
            </w:r>
          </w:p>
        </w:tc>
        <w:tc>
          <w:tcPr>
            <w:tcW w:w="851" w:type="dxa"/>
          </w:tcPr>
          <w:p w:rsidR="00F359AC" w:rsidRPr="009B266D"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3.1</w:t>
            </w:r>
          </w:p>
        </w:tc>
      </w:tr>
      <w:tr w:rsidR="00F359AC" w:rsidRPr="00327CE5" w:rsidTr="007E645C">
        <w:trPr>
          <w:trHeight w:val="680"/>
          <w:jc w:val="center"/>
        </w:trPr>
        <w:tc>
          <w:tcPr>
            <w:tcW w:w="3542" w:type="dxa"/>
          </w:tcPr>
          <w:p w:rsidR="00F359AC" w:rsidRPr="004110C3"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-0.4</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-7.1</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-3.6</w:t>
            </w:r>
          </w:p>
        </w:tc>
        <w:tc>
          <w:tcPr>
            <w:tcW w:w="848" w:type="dxa"/>
            <w:shd w:val="clear" w:color="auto" w:fill="auto"/>
          </w:tcPr>
          <w:p w:rsidR="00F359AC" w:rsidRPr="00CD0337" w:rsidRDefault="00F359AC" w:rsidP="00F359AC">
            <w:pPr>
              <w:tabs>
                <w:tab w:val="decimal" w:pos="298"/>
              </w:tabs>
              <w:rPr>
                <w:sz w:val="22"/>
              </w:rPr>
            </w:pPr>
            <w:r w:rsidRPr="00CD0337">
              <w:rPr>
                <w:sz w:val="22"/>
              </w:rPr>
              <w:t>1.5</w:t>
            </w:r>
          </w:p>
        </w:tc>
        <w:tc>
          <w:tcPr>
            <w:tcW w:w="848" w:type="dxa"/>
          </w:tcPr>
          <w:p w:rsidR="00F359AC" w:rsidRPr="00CD0337" w:rsidRDefault="00F359AC" w:rsidP="00F359AC">
            <w:pPr>
              <w:tabs>
                <w:tab w:val="decimal" w:pos="298"/>
              </w:tabs>
              <w:rPr>
                <w:sz w:val="22"/>
              </w:rPr>
            </w:pPr>
            <w:r w:rsidRPr="00CD0337">
              <w:rPr>
                <w:sz w:val="22"/>
              </w:rPr>
              <w:t>6.5</w:t>
            </w:r>
          </w:p>
        </w:tc>
        <w:tc>
          <w:tcPr>
            <w:tcW w:w="851" w:type="dxa"/>
          </w:tcPr>
          <w:p w:rsidR="00F359AC" w:rsidRPr="009B266D" w:rsidRDefault="00E66B0B" w:rsidP="00F359AC">
            <w:pPr>
              <w:pStyle w:val="5"/>
              <w:tabs>
                <w:tab w:val="decimal" w:pos="252"/>
              </w:tabs>
              <w:overflowPunct w:val="0"/>
              <w:spacing w:line="240" w:lineRule="exact"/>
              <w:ind w:left="-108" w:rightChars="-45"/>
              <w:jc w:val="left"/>
              <w:rPr>
                <w:rFonts w:ascii="Times New Roman"/>
                <w:sz w:val="22"/>
                <w:szCs w:val="22"/>
                <w:u w:val="none"/>
              </w:rPr>
            </w:pPr>
            <w:r>
              <w:rPr>
                <w:rFonts w:ascii="Times New Roman"/>
                <w:sz w:val="22"/>
                <w:szCs w:val="22"/>
                <w:u w:val="none"/>
              </w:rPr>
              <w:t>0.9</w:t>
            </w:r>
          </w:p>
        </w:tc>
      </w:tr>
      <w:tr w:rsidR="00F359AC" w:rsidRPr="00327CE5" w:rsidTr="007E645C">
        <w:trPr>
          <w:trHeight w:val="479"/>
          <w:jc w:val="center"/>
        </w:trPr>
        <w:tc>
          <w:tcPr>
            <w:tcW w:w="3542" w:type="dxa"/>
          </w:tcPr>
          <w:p w:rsidR="00F359AC" w:rsidRPr="004110C3" w:rsidRDefault="00F359AC" w:rsidP="00F359AC">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-4.4</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-12.8</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-7.5</w:t>
            </w:r>
          </w:p>
        </w:tc>
        <w:tc>
          <w:tcPr>
            <w:tcW w:w="848" w:type="dxa"/>
            <w:shd w:val="clear" w:color="auto" w:fill="auto"/>
          </w:tcPr>
          <w:p w:rsidR="00F359AC" w:rsidRPr="00CD0337" w:rsidRDefault="00F359AC" w:rsidP="00F359AC">
            <w:pPr>
              <w:tabs>
                <w:tab w:val="decimal" w:pos="298"/>
              </w:tabs>
              <w:rPr>
                <w:sz w:val="22"/>
              </w:rPr>
            </w:pPr>
            <w:r w:rsidRPr="00CD0337">
              <w:rPr>
                <w:sz w:val="22"/>
              </w:rPr>
              <w:t>-1.8</w:t>
            </w:r>
          </w:p>
        </w:tc>
        <w:tc>
          <w:tcPr>
            <w:tcW w:w="848" w:type="dxa"/>
          </w:tcPr>
          <w:p w:rsidR="00F359AC" w:rsidRPr="00CD0337" w:rsidRDefault="00F359AC" w:rsidP="00F359AC">
            <w:pPr>
              <w:tabs>
                <w:tab w:val="decimal" w:pos="298"/>
              </w:tabs>
              <w:rPr>
                <w:sz w:val="22"/>
              </w:rPr>
            </w:pPr>
            <w:r w:rsidRPr="00CD0337">
              <w:rPr>
                <w:sz w:val="22"/>
              </w:rPr>
              <w:t>4.3</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2.</w:t>
            </w:r>
            <w:r w:rsidR="00E66B0B">
              <w:rPr>
                <w:rFonts w:ascii="Times New Roman"/>
                <w:sz w:val="22"/>
                <w:szCs w:val="22"/>
                <w:u w:val="none"/>
              </w:rPr>
              <w:t>2</w:t>
            </w:r>
          </w:p>
        </w:tc>
      </w:tr>
      <w:tr w:rsidR="00F359AC" w:rsidRPr="00327CE5" w:rsidTr="007E645C">
        <w:trPr>
          <w:trHeight w:val="609"/>
          <w:jc w:val="center"/>
        </w:trPr>
        <w:tc>
          <w:tcPr>
            <w:tcW w:w="3542" w:type="dxa"/>
          </w:tcPr>
          <w:p w:rsidR="00F359AC" w:rsidRPr="00327CE5" w:rsidRDefault="00F359AC" w:rsidP="00F359AC">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26.0</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43.6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22.4</w:t>
            </w:r>
          </w:p>
        </w:tc>
        <w:tc>
          <w:tcPr>
            <w:tcW w:w="848" w:type="dxa"/>
            <w:shd w:val="clear" w:color="auto" w:fill="auto"/>
          </w:tcPr>
          <w:p w:rsidR="00F359AC" w:rsidRPr="00CD0337" w:rsidRDefault="00F359AC" w:rsidP="00F359AC">
            <w:pPr>
              <w:tabs>
                <w:tab w:val="decimal" w:pos="298"/>
              </w:tabs>
              <w:rPr>
                <w:sz w:val="22"/>
              </w:rPr>
            </w:pPr>
            <w:r w:rsidRPr="00CD0337">
              <w:rPr>
                <w:sz w:val="22"/>
              </w:rPr>
              <w:t>24.5</w:t>
            </w:r>
          </w:p>
        </w:tc>
        <w:tc>
          <w:tcPr>
            <w:tcW w:w="848" w:type="dxa"/>
          </w:tcPr>
          <w:p w:rsidR="00F359AC" w:rsidRPr="00CD0337" w:rsidRDefault="00F359AC" w:rsidP="00F359AC">
            <w:pPr>
              <w:tabs>
                <w:tab w:val="decimal" w:pos="298"/>
              </w:tabs>
              <w:rPr>
                <w:sz w:val="22"/>
              </w:rPr>
            </w:pPr>
            <w:r w:rsidRPr="00CD0337">
              <w:rPr>
                <w:sz w:val="22"/>
              </w:rPr>
              <w:t>19.8</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w:t>
            </w:r>
            <w:r w:rsidR="00E66B0B">
              <w:rPr>
                <w:rFonts w:ascii="Times New Roman"/>
                <w:sz w:val="22"/>
                <w:szCs w:val="22"/>
                <w:u w:val="none"/>
              </w:rPr>
              <w:t>6.2</w:t>
            </w:r>
          </w:p>
        </w:tc>
      </w:tr>
      <w:tr w:rsidR="00F359AC" w:rsidRPr="00327CE5" w:rsidTr="007E645C">
        <w:trPr>
          <w:trHeight w:val="436"/>
          <w:jc w:val="center"/>
        </w:trPr>
        <w:tc>
          <w:tcPr>
            <w:tcW w:w="3542" w:type="dxa"/>
          </w:tcPr>
          <w:p w:rsidR="00F359AC" w:rsidRPr="00327CE5"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rsidR="00F359AC" w:rsidRPr="00327CE5" w:rsidRDefault="00F359AC" w:rsidP="00F359AC">
            <w:pPr>
              <w:tabs>
                <w:tab w:val="left" w:pos="252"/>
                <w:tab w:val="left" w:pos="612"/>
              </w:tabs>
              <w:snapToGrid w:val="0"/>
              <w:spacing w:line="240" w:lineRule="exact"/>
              <w:ind w:leftChars="254" w:left="610"/>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29.3</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83.9</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22.8</w:t>
            </w:r>
          </w:p>
        </w:tc>
        <w:tc>
          <w:tcPr>
            <w:tcW w:w="848" w:type="dxa"/>
            <w:shd w:val="clear" w:color="auto" w:fill="auto"/>
          </w:tcPr>
          <w:p w:rsidR="00F359AC" w:rsidRPr="00CD0337" w:rsidRDefault="00F359AC" w:rsidP="00F359AC">
            <w:pPr>
              <w:tabs>
                <w:tab w:val="decimal" w:pos="298"/>
              </w:tabs>
              <w:rPr>
                <w:sz w:val="22"/>
              </w:rPr>
            </w:pPr>
            <w:r w:rsidRPr="00CD0337">
              <w:rPr>
                <w:sz w:val="22"/>
              </w:rPr>
              <w:t>18.4</w:t>
            </w:r>
          </w:p>
        </w:tc>
        <w:tc>
          <w:tcPr>
            <w:tcW w:w="848" w:type="dxa"/>
          </w:tcPr>
          <w:p w:rsidR="00F359AC" w:rsidRPr="00CD0337" w:rsidRDefault="00F359AC" w:rsidP="00F359AC">
            <w:pPr>
              <w:tabs>
                <w:tab w:val="decimal" w:pos="298"/>
              </w:tabs>
              <w:rPr>
                <w:sz w:val="22"/>
              </w:rPr>
            </w:pPr>
            <w:r w:rsidRPr="00CD0337">
              <w:rPr>
                <w:sz w:val="22"/>
              </w:rPr>
              <w:t>14.6</w:t>
            </w:r>
          </w:p>
        </w:tc>
        <w:tc>
          <w:tcPr>
            <w:tcW w:w="851" w:type="dxa"/>
          </w:tcPr>
          <w:p w:rsidR="00F359AC" w:rsidRPr="009B266D" w:rsidRDefault="00E66B0B" w:rsidP="00F359AC">
            <w:pPr>
              <w:pStyle w:val="5"/>
              <w:tabs>
                <w:tab w:val="decimal" w:pos="252"/>
              </w:tabs>
              <w:overflowPunct w:val="0"/>
              <w:spacing w:line="240" w:lineRule="exact"/>
              <w:ind w:left="-108" w:rightChars="-45"/>
              <w:jc w:val="left"/>
              <w:rPr>
                <w:rFonts w:ascii="Times New Roman"/>
                <w:sz w:val="22"/>
                <w:szCs w:val="22"/>
                <w:u w:val="none"/>
              </w:rPr>
            </w:pPr>
            <w:r>
              <w:rPr>
                <w:rFonts w:ascii="Times New Roman"/>
                <w:sz w:val="22"/>
                <w:szCs w:val="22"/>
                <w:u w:val="none"/>
              </w:rPr>
              <w:t>0.9</w:t>
            </w:r>
          </w:p>
        </w:tc>
      </w:tr>
      <w:tr w:rsidR="00F359AC" w:rsidRPr="00327CE5" w:rsidTr="007E645C">
        <w:trPr>
          <w:trHeight w:val="690"/>
          <w:jc w:val="center"/>
        </w:trPr>
        <w:tc>
          <w:tcPr>
            <w:tcW w:w="3542" w:type="dxa"/>
          </w:tcPr>
          <w:p w:rsidR="00F359AC" w:rsidRPr="004110C3"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30.2</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30.3</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26.8</w:t>
            </w:r>
          </w:p>
        </w:tc>
        <w:tc>
          <w:tcPr>
            <w:tcW w:w="848" w:type="dxa"/>
            <w:shd w:val="clear" w:color="auto" w:fill="auto"/>
          </w:tcPr>
          <w:p w:rsidR="00F359AC" w:rsidRPr="00CD0337" w:rsidRDefault="00F359AC" w:rsidP="00F359AC">
            <w:pPr>
              <w:tabs>
                <w:tab w:val="decimal" w:pos="298"/>
              </w:tabs>
              <w:rPr>
                <w:sz w:val="22"/>
              </w:rPr>
            </w:pPr>
            <w:r w:rsidRPr="00CD0337">
              <w:rPr>
                <w:sz w:val="22"/>
              </w:rPr>
              <w:t>31.4</w:t>
            </w:r>
          </w:p>
        </w:tc>
        <w:tc>
          <w:tcPr>
            <w:tcW w:w="848" w:type="dxa"/>
          </w:tcPr>
          <w:p w:rsidR="00F359AC" w:rsidRPr="00CD0337" w:rsidRDefault="00F359AC" w:rsidP="00F359AC">
            <w:pPr>
              <w:tabs>
                <w:tab w:val="decimal" w:pos="298"/>
              </w:tabs>
              <w:rPr>
                <w:sz w:val="22"/>
              </w:rPr>
            </w:pPr>
            <w:r w:rsidRPr="00CD0337">
              <w:rPr>
                <w:sz w:val="22"/>
              </w:rPr>
              <w:t>31.8</w:t>
            </w:r>
          </w:p>
        </w:tc>
        <w:tc>
          <w:tcPr>
            <w:tcW w:w="851" w:type="dxa"/>
          </w:tcPr>
          <w:p w:rsidR="00F359AC" w:rsidRPr="009B266D" w:rsidRDefault="00AB2D16" w:rsidP="00F359AC">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19.5</w:t>
            </w:r>
          </w:p>
        </w:tc>
      </w:tr>
      <w:tr w:rsidR="00F359AC" w:rsidRPr="00327CE5" w:rsidTr="007E645C">
        <w:trPr>
          <w:trHeight w:val="430"/>
          <w:jc w:val="center"/>
        </w:trPr>
        <w:tc>
          <w:tcPr>
            <w:tcW w:w="3542" w:type="dxa"/>
          </w:tcPr>
          <w:p w:rsidR="00F359AC" w:rsidRPr="004110C3" w:rsidRDefault="00F359AC" w:rsidP="00F359AC">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32.8</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33.0</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29.5</w:t>
            </w:r>
          </w:p>
        </w:tc>
        <w:tc>
          <w:tcPr>
            <w:tcW w:w="848" w:type="dxa"/>
            <w:shd w:val="clear" w:color="auto" w:fill="auto"/>
          </w:tcPr>
          <w:p w:rsidR="00F359AC" w:rsidRPr="00CD0337" w:rsidRDefault="00F359AC" w:rsidP="00F359AC">
            <w:pPr>
              <w:tabs>
                <w:tab w:val="decimal" w:pos="298"/>
              </w:tabs>
              <w:rPr>
                <w:sz w:val="22"/>
              </w:rPr>
            </w:pPr>
            <w:r w:rsidRPr="00CD0337">
              <w:rPr>
                <w:sz w:val="22"/>
              </w:rPr>
              <w:t>33.4</w:t>
            </w:r>
          </w:p>
        </w:tc>
        <w:tc>
          <w:tcPr>
            <w:tcW w:w="848" w:type="dxa"/>
          </w:tcPr>
          <w:p w:rsidR="00F359AC" w:rsidRPr="00CD0337" w:rsidRDefault="00F359AC" w:rsidP="00F359AC">
            <w:pPr>
              <w:tabs>
                <w:tab w:val="decimal" w:pos="298"/>
              </w:tabs>
              <w:rPr>
                <w:sz w:val="22"/>
              </w:rPr>
            </w:pPr>
            <w:r w:rsidRPr="00CD0337">
              <w:rPr>
                <w:sz w:val="22"/>
              </w:rPr>
              <w:t>34.6</w:t>
            </w:r>
          </w:p>
        </w:tc>
        <w:tc>
          <w:tcPr>
            <w:tcW w:w="851" w:type="dxa"/>
          </w:tcPr>
          <w:p w:rsidR="00F359AC" w:rsidRPr="009B266D" w:rsidRDefault="00AB2D16" w:rsidP="00F359AC">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20.4</w:t>
            </w:r>
          </w:p>
        </w:tc>
      </w:tr>
      <w:tr w:rsidR="00F359AC" w:rsidRPr="00327CE5" w:rsidTr="007E645C">
        <w:trPr>
          <w:trHeight w:val="590"/>
          <w:jc w:val="center"/>
        </w:trPr>
        <w:tc>
          <w:tcPr>
            <w:tcW w:w="3542" w:type="dxa"/>
          </w:tcPr>
          <w:p w:rsidR="00F359AC" w:rsidRPr="00327CE5" w:rsidRDefault="00F359AC" w:rsidP="00F359AC">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rsidR="00F359AC" w:rsidRPr="00327CE5" w:rsidRDefault="00F359AC" w:rsidP="00F359AC">
            <w:pPr>
              <w:tabs>
                <w:tab w:val="left" w:pos="252"/>
                <w:tab w:val="left" w:pos="612"/>
              </w:tabs>
              <w:snapToGrid w:val="0"/>
              <w:spacing w:line="240" w:lineRule="exact"/>
              <w:ind w:left="612" w:hanging="720"/>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-17.7</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-15.7</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-19.5</w:t>
            </w:r>
          </w:p>
        </w:tc>
        <w:tc>
          <w:tcPr>
            <w:tcW w:w="848" w:type="dxa"/>
            <w:shd w:val="clear" w:color="auto" w:fill="auto"/>
          </w:tcPr>
          <w:p w:rsidR="00F359AC" w:rsidRPr="00CD0337" w:rsidRDefault="00F359AC" w:rsidP="00F359AC">
            <w:pPr>
              <w:tabs>
                <w:tab w:val="decimal" w:pos="298"/>
              </w:tabs>
              <w:rPr>
                <w:sz w:val="22"/>
              </w:rPr>
            </w:pPr>
            <w:r w:rsidRPr="00CD0337">
              <w:rPr>
                <w:sz w:val="22"/>
              </w:rPr>
              <w:t>-16.8</w:t>
            </w:r>
          </w:p>
        </w:tc>
        <w:tc>
          <w:tcPr>
            <w:tcW w:w="848" w:type="dxa"/>
          </w:tcPr>
          <w:p w:rsidR="00F359AC" w:rsidRPr="00CD0337" w:rsidRDefault="00F359AC" w:rsidP="00F359AC">
            <w:pPr>
              <w:tabs>
                <w:tab w:val="decimal" w:pos="298"/>
              </w:tabs>
              <w:rPr>
                <w:sz w:val="22"/>
              </w:rPr>
            </w:pPr>
            <w:r w:rsidRPr="00CD0337">
              <w:rPr>
                <w:sz w:val="22"/>
              </w:rPr>
              <w:t>-18.9</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-6.</w:t>
            </w:r>
            <w:r w:rsidR="00E66B0B">
              <w:rPr>
                <w:rFonts w:ascii="Times New Roman"/>
                <w:sz w:val="22"/>
                <w:szCs w:val="22"/>
                <w:u w:val="none"/>
              </w:rPr>
              <w:t>5</w:t>
            </w:r>
          </w:p>
        </w:tc>
      </w:tr>
      <w:tr w:rsidR="00F359AC" w:rsidRPr="00327CE5" w:rsidTr="007E645C">
        <w:trPr>
          <w:trHeight w:val="571"/>
          <w:jc w:val="center"/>
        </w:trPr>
        <w:tc>
          <w:tcPr>
            <w:tcW w:w="3542" w:type="dxa"/>
          </w:tcPr>
          <w:p w:rsidR="00F359AC" w:rsidRPr="00327CE5"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1.0</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0.4</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-0.4</w:t>
            </w:r>
          </w:p>
        </w:tc>
        <w:tc>
          <w:tcPr>
            <w:tcW w:w="848" w:type="dxa"/>
            <w:shd w:val="clear" w:color="auto" w:fill="auto"/>
          </w:tcPr>
          <w:p w:rsidR="00F359AC" w:rsidRPr="00CD0337" w:rsidRDefault="00F359AC" w:rsidP="00F359AC">
            <w:pPr>
              <w:tabs>
                <w:tab w:val="decimal" w:pos="298"/>
              </w:tabs>
              <w:rPr>
                <w:sz w:val="22"/>
              </w:rPr>
            </w:pPr>
            <w:r w:rsidRPr="00CD0337">
              <w:rPr>
                <w:sz w:val="22"/>
              </w:rPr>
              <w:t>1.8</w:t>
            </w:r>
          </w:p>
        </w:tc>
        <w:tc>
          <w:tcPr>
            <w:tcW w:w="848" w:type="dxa"/>
          </w:tcPr>
          <w:p w:rsidR="00F359AC" w:rsidRPr="00CD0337" w:rsidRDefault="00F359AC" w:rsidP="00F359AC">
            <w:pPr>
              <w:tabs>
                <w:tab w:val="decimal" w:pos="298"/>
              </w:tabs>
              <w:rPr>
                <w:sz w:val="22"/>
              </w:rPr>
            </w:pPr>
            <w:r w:rsidRPr="00CD0337">
              <w:rPr>
                <w:sz w:val="22"/>
              </w:rPr>
              <w:t>2.1</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2.</w:t>
            </w:r>
            <w:r w:rsidR="00E66B0B">
              <w:rPr>
                <w:rFonts w:ascii="Times New Roman"/>
                <w:sz w:val="22"/>
                <w:szCs w:val="22"/>
                <w:u w:val="none"/>
              </w:rPr>
              <w:t>2</w:t>
            </w:r>
          </w:p>
        </w:tc>
      </w:tr>
      <w:tr w:rsidR="00F359AC" w:rsidRPr="00327CE5" w:rsidTr="007E645C">
        <w:trPr>
          <w:trHeight w:val="564"/>
          <w:jc w:val="center"/>
        </w:trPr>
        <w:tc>
          <w:tcPr>
            <w:tcW w:w="3542" w:type="dxa"/>
          </w:tcPr>
          <w:p w:rsidR="00F359AC" w:rsidRPr="00327CE5"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rsidR="00F359AC" w:rsidRPr="00327CE5" w:rsidRDefault="00F359AC" w:rsidP="00F359AC">
            <w:pPr>
              <w:tabs>
                <w:tab w:val="left" w:pos="252"/>
                <w:tab w:val="left" w:pos="612"/>
              </w:tabs>
              <w:snapToGrid w:val="0"/>
              <w:spacing w:line="240" w:lineRule="exact"/>
              <w:ind w:left="612"/>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-1.6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-2.6</w:t>
            </w:r>
          </w:p>
        </w:tc>
        <w:tc>
          <w:tcPr>
            <w:tcW w:w="848" w:type="dxa"/>
            <w:shd w:val="clear" w:color="auto" w:fill="auto"/>
          </w:tcPr>
          <w:p w:rsidR="00F359AC" w:rsidRPr="00CD0337" w:rsidRDefault="00F359AC" w:rsidP="00F359AC">
            <w:pPr>
              <w:tabs>
                <w:tab w:val="decimal" w:pos="298"/>
              </w:tabs>
              <w:rPr>
                <w:sz w:val="22"/>
              </w:rPr>
            </w:pPr>
            <w:r w:rsidRPr="00CD0337">
              <w:rPr>
                <w:sz w:val="22"/>
              </w:rPr>
              <w:t>-0.2</w:t>
            </w:r>
          </w:p>
        </w:tc>
        <w:tc>
          <w:tcPr>
            <w:tcW w:w="848" w:type="dxa"/>
          </w:tcPr>
          <w:p w:rsidR="00F359AC" w:rsidRPr="00CD0337" w:rsidRDefault="00F359AC" w:rsidP="00F359AC">
            <w:pPr>
              <w:tabs>
                <w:tab w:val="decimal" w:pos="298"/>
              </w:tabs>
              <w:rPr>
                <w:sz w:val="22"/>
              </w:rPr>
            </w:pPr>
            <w:r w:rsidRPr="00CD0337">
              <w:rPr>
                <w:sz w:val="22"/>
              </w:rPr>
              <w:t>-1.4</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-0.</w:t>
            </w:r>
            <w:r w:rsidR="00E66B0B">
              <w:rPr>
                <w:rFonts w:ascii="Times New Roman"/>
                <w:sz w:val="22"/>
                <w:szCs w:val="22"/>
                <w:u w:val="none"/>
              </w:rPr>
              <w:t>5</w:t>
            </w:r>
          </w:p>
        </w:tc>
      </w:tr>
      <w:tr w:rsidR="00F359AC" w:rsidRPr="00327CE5" w:rsidTr="007E645C">
        <w:trPr>
          <w:trHeight w:val="676"/>
          <w:jc w:val="center"/>
        </w:trPr>
        <w:tc>
          <w:tcPr>
            <w:tcW w:w="3542" w:type="dxa"/>
          </w:tcPr>
          <w:p w:rsidR="00F359AC" w:rsidRPr="004110C3" w:rsidRDefault="00F359AC" w:rsidP="00F359AC">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2.6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5.5</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-0.8</w:t>
            </w:r>
          </w:p>
        </w:tc>
        <w:tc>
          <w:tcPr>
            <w:tcW w:w="848" w:type="dxa"/>
            <w:shd w:val="clear" w:color="auto" w:fill="auto"/>
          </w:tcPr>
          <w:p w:rsidR="00F359AC" w:rsidRPr="00CD0337" w:rsidRDefault="00F359AC" w:rsidP="00F359AC">
            <w:pPr>
              <w:tabs>
                <w:tab w:val="decimal" w:pos="298"/>
              </w:tabs>
              <w:rPr>
                <w:sz w:val="22"/>
              </w:rPr>
            </w:pPr>
            <w:r w:rsidRPr="00CD0337">
              <w:rPr>
                <w:sz w:val="22"/>
              </w:rPr>
              <w:t>2.8</w:t>
            </w:r>
          </w:p>
        </w:tc>
        <w:tc>
          <w:tcPr>
            <w:tcW w:w="848" w:type="dxa"/>
          </w:tcPr>
          <w:p w:rsidR="00F359AC" w:rsidRPr="00CD0337" w:rsidRDefault="00F359AC" w:rsidP="00F359AC">
            <w:pPr>
              <w:tabs>
                <w:tab w:val="decimal" w:pos="298"/>
              </w:tabs>
              <w:rPr>
                <w:sz w:val="22"/>
              </w:rPr>
            </w:pPr>
            <w:r w:rsidRPr="00CD0337">
              <w:rPr>
                <w:sz w:val="22"/>
              </w:rPr>
              <w:t>2.7</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1.</w:t>
            </w:r>
            <w:r w:rsidR="00E66B0B">
              <w:rPr>
                <w:rFonts w:ascii="Times New Roman"/>
                <w:sz w:val="22"/>
                <w:szCs w:val="22"/>
                <w:u w:val="none"/>
              </w:rPr>
              <w:t>2</w:t>
            </w:r>
          </w:p>
        </w:tc>
      </w:tr>
      <w:tr w:rsidR="00F359AC" w:rsidRPr="00327CE5" w:rsidTr="007E645C">
        <w:trPr>
          <w:trHeight w:val="430"/>
          <w:jc w:val="center"/>
        </w:trPr>
        <w:tc>
          <w:tcPr>
            <w:tcW w:w="3542" w:type="dxa"/>
          </w:tcPr>
          <w:p w:rsidR="00F359AC" w:rsidRPr="00327CE5" w:rsidRDefault="00F359AC" w:rsidP="00F359AC">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6.6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11.5</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1.7</w:t>
            </w:r>
          </w:p>
        </w:tc>
        <w:tc>
          <w:tcPr>
            <w:tcW w:w="848" w:type="dxa"/>
            <w:shd w:val="clear" w:color="auto" w:fill="auto"/>
          </w:tcPr>
          <w:p w:rsidR="00F359AC" w:rsidRPr="00CD0337" w:rsidRDefault="00F359AC" w:rsidP="00F359AC">
            <w:pPr>
              <w:tabs>
                <w:tab w:val="decimal" w:pos="298"/>
              </w:tabs>
              <w:rPr>
                <w:sz w:val="22"/>
              </w:rPr>
            </w:pPr>
            <w:r w:rsidRPr="00CD0337">
              <w:rPr>
                <w:sz w:val="22"/>
              </w:rPr>
              <w:t>8.0</w:t>
            </w:r>
          </w:p>
        </w:tc>
        <w:tc>
          <w:tcPr>
            <w:tcW w:w="848" w:type="dxa"/>
          </w:tcPr>
          <w:p w:rsidR="00F359AC" w:rsidRPr="00CD0337" w:rsidRDefault="00F359AC" w:rsidP="00F359AC">
            <w:pPr>
              <w:tabs>
                <w:tab w:val="decimal" w:pos="298"/>
              </w:tabs>
              <w:rPr>
                <w:sz w:val="22"/>
              </w:rPr>
            </w:pPr>
            <w:r w:rsidRPr="00CD0337">
              <w:rPr>
                <w:sz w:val="22"/>
              </w:rPr>
              <w:t>5.0</w:t>
            </w:r>
          </w:p>
        </w:tc>
        <w:tc>
          <w:tcPr>
            <w:tcW w:w="851" w:type="dxa"/>
          </w:tcPr>
          <w:p w:rsidR="00F359AC" w:rsidRPr="009B266D" w:rsidRDefault="00E66B0B" w:rsidP="00F359AC">
            <w:pPr>
              <w:pStyle w:val="5"/>
              <w:tabs>
                <w:tab w:val="decimal" w:pos="252"/>
              </w:tabs>
              <w:overflowPunct w:val="0"/>
              <w:spacing w:line="240" w:lineRule="exact"/>
              <w:ind w:left="-108" w:rightChars="-45"/>
              <w:jc w:val="left"/>
              <w:rPr>
                <w:rFonts w:ascii="Times New Roman"/>
                <w:sz w:val="22"/>
                <w:szCs w:val="22"/>
                <w:u w:val="none"/>
              </w:rPr>
            </w:pPr>
            <w:r>
              <w:rPr>
                <w:rFonts w:ascii="Times New Roman"/>
                <w:sz w:val="22"/>
                <w:szCs w:val="22"/>
                <w:u w:val="none"/>
              </w:rPr>
              <w:t>1.9</w:t>
            </w:r>
          </w:p>
        </w:tc>
      </w:tr>
      <w:tr w:rsidR="00F359AC" w:rsidRPr="00327CE5" w:rsidTr="007E645C">
        <w:trPr>
          <w:trHeight w:val="730"/>
          <w:jc w:val="center"/>
        </w:trPr>
        <w:tc>
          <w:tcPr>
            <w:tcW w:w="3542" w:type="dxa"/>
          </w:tcPr>
          <w:p w:rsidR="00F359AC" w:rsidRPr="00327CE5" w:rsidRDefault="00F359AC" w:rsidP="00F359AC">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rsidR="00F359AC" w:rsidRPr="00327CE5" w:rsidRDefault="00F359AC" w:rsidP="00F359AC">
            <w:pPr>
              <w:tabs>
                <w:tab w:val="left" w:pos="252"/>
                <w:tab w:val="left" w:pos="612"/>
              </w:tabs>
              <w:snapToGrid w:val="0"/>
              <w:spacing w:line="240" w:lineRule="exact"/>
              <w:ind w:left="612"/>
              <w:rPr>
                <w:kern w:val="0"/>
                <w:sz w:val="22"/>
                <w:szCs w:val="22"/>
              </w:rPr>
            </w:pPr>
          </w:p>
        </w:tc>
        <w:tc>
          <w:tcPr>
            <w:tcW w:w="1004" w:type="dxa"/>
            <w:shd w:val="clear" w:color="auto" w:fill="auto"/>
          </w:tcPr>
          <w:p w:rsidR="00F359AC" w:rsidRPr="00CD0337" w:rsidRDefault="00F359AC" w:rsidP="00F359AC">
            <w:pPr>
              <w:tabs>
                <w:tab w:val="decimal" w:pos="298"/>
              </w:tabs>
              <w:rPr>
                <w:sz w:val="22"/>
                <w:szCs w:val="22"/>
              </w:rPr>
            </w:pPr>
            <w:r w:rsidRPr="00CD0337">
              <w:rPr>
                <w:sz w:val="22"/>
                <w:szCs w:val="22"/>
              </w:rPr>
              <w:t>0.2</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2.0</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-2.5</w:t>
            </w:r>
          </w:p>
        </w:tc>
        <w:tc>
          <w:tcPr>
            <w:tcW w:w="848" w:type="dxa"/>
            <w:shd w:val="clear" w:color="auto" w:fill="auto"/>
          </w:tcPr>
          <w:p w:rsidR="00F359AC" w:rsidRPr="00CD0337" w:rsidRDefault="00F359AC" w:rsidP="00F359AC">
            <w:pPr>
              <w:tabs>
                <w:tab w:val="decimal" w:pos="298"/>
              </w:tabs>
              <w:rPr>
                <w:sz w:val="22"/>
              </w:rPr>
            </w:pPr>
            <w:r w:rsidRPr="00CD0337">
              <w:rPr>
                <w:sz w:val="22"/>
              </w:rPr>
              <w:t>-0.2</w:t>
            </w:r>
          </w:p>
        </w:tc>
        <w:tc>
          <w:tcPr>
            <w:tcW w:w="848" w:type="dxa"/>
          </w:tcPr>
          <w:p w:rsidR="00F359AC" w:rsidRPr="00CD0337" w:rsidRDefault="00F359AC" w:rsidP="00F359AC">
            <w:pPr>
              <w:tabs>
                <w:tab w:val="decimal" w:pos="298"/>
              </w:tabs>
              <w:rPr>
                <w:sz w:val="22"/>
              </w:rPr>
            </w:pPr>
            <w:r w:rsidRPr="00CD0337">
              <w:rPr>
                <w:sz w:val="22"/>
              </w:rPr>
              <w:t>1.2</w:t>
            </w:r>
          </w:p>
        </w:tc>
        <w:tc>
          <w:tcPr>
            <w:tcW w:w="851" w:type="dxa"/>
          </w:tcPr>
          <w:p w:rsidR="00F359AC" w:rsidRPr="009B266D" w:rsidRDefault="00AB2D16" w:rsidP="00E66B0B">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0.</w:t>
            </w:r>
            <w:r w:rsidR="00E66B0B">
              <w:rPr>
                <w:rFonts w:ascii="Times New Roman"/>
                <w:sz w:val="22"/>
                <w:szCs w:val="22"/>
                <w:u w:val="none"/>
              </w:rPr>
              <w:t>7</w:t>
            </w:r>
          </w:p>
        </w:tc>
      </w:tr>
      <w:tr w:rsidR="00F359AC" w:rsidRPr="00327CE5" w:rsidTr="007E645C">
        <w:trPr>
          <w:jc w:val="center"/>
        </w:trPr>
        <w:tc>
          <w:tcPr>
            <w:tcW w:w="3542" w:type="dxa"/>
          </w:tcPr>
          <w:p w:rsidR="00F359AC" w:rsidRPr="00327CE5" w:rsidRDefault="00F359AC" w:rsidP="00F359AC">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rsidR="00F359AC" w:rsidRPr="00327CE5" w:rsidRDefault="00F359AC" w:rsidP="00F359AC">
            <w:pPr>
              <w:tabs>
                <w:tab w:val="left" w:pos="252"/>
                <w:tab w:val="left" w:pos="612"/>
              </w:tabs>
              <w:snapToGrid w:val="0"/>
              <w:spacing w:line="240" w:lineRule="exact"/>
              <w:ind w:left="612"/>
              <w:rPr>
                <w:kern w:val="0"/>
                <w:sz w:val="20"/>
                <w:szCs w:val="22"/>
              </w:rPr>
            </w:pPr>
          </w:p>
        </w:tc>
        <w:tc>
          <w:tcPr>
            <w:tcW w:w="1004" w:type="dxa"/>
            <w:shd w:val="clear" w:color="auto" w:fill="auto"/>
          </w:tcPr>
          <w:p w:rsidR="00F359AC" w:rsidRPr="000859DF" w:rsidRDefault="00AB2D16" w:rsidP="00AB2D16">
            <w:pPr>
              <w:tabs>
                <w:tab w:val="decimal" w:pos="298"/>
              </w:tabs>
              <w:rPr>
                <w:kern w:val="0"/>
                <w:sz w:val="22"/>
                <w:szCs w:val="22"/>
                <w:lang w:eastAsia="zh-HK"/>
              </w:rPr>
            </w:pPr>
            <w:r>
              <w:rPr>
                <w:kern w:val="0"/>
                <w:sz w:val="22"/>
                <w:szCs w:val="22"/>
                <w:lang w:eastAsia="zh-HK"/>
              </w:rPr>
              <w:t>3.6</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5.7</w:t>
            </w:r>
          </w:p>
        </w:tc>
        <w:tc>
          <w:tcPr>
            <w:tcW w:w="848" w:type="dxa"/>
            <w:shd w:val="clear" w:color="auto" w:fill="auto"/>
          </w:tcPr>
          <w:p w:rsidR="00F359AC" w:rsidRPr="00CD0337" w:rsidRDefault="00F359AC" w:rsidP="00F359AC">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2.4</w:t>
            </w:r>
          </w:p>
        </w:tc>
        <w:tc>
          <w:tcPr>
            <w:tcW w:w="848" w:type="dxa"/>
            <w:shd w:val="clear" w:color="auto" w:fill="auto"/>
          </w:tcPr>
          <w:p w:rsidR="00F359AC" w:rsidRPr="00CD0337" w:rsidRDefault="00F359AC" w:rsidP="00F359AC">
            <w:pPr>
              <w:tabs>
                <w:tab w:val="decimal" w:pos="298"/>
              </w:tabs>
            </w:pPr>
            <w:r w:rsidRPr="00CD0337">
              <w:rPr>
                <w:sz w:val="22"/>
              </w:rPr>
              <w:t>2.9</w:t>
            </w:r>
          </w:p>
        </w:tc>
        <w:tc>
          <w:tcPr>
            <w:tcW w:w="848" w:type="dxa"/>
          </w:tcPr>
          <w:p w:rsidR="00F359AC" w:rsidRPr="00CD0337" w:rsidRDefault="00F359AC" w:rsidP="00F359AC">
            <w:pPr>
              <w:tabs>
                <w:tab w:val="decimal" w:pos="298"/>
              </w:tabs>
              <w:rPr>
                <w:sz w:val="22"/>
              </w:rPr>
            </w:pPr>
            <w:r w:rsidRPr="00CD0337">
              <w:rPr>
                <w:sz w:val="22"/>
              </w:rPr>
              <w:t>3.6</w:t>
            </w:r>
          </w:p>
        </w:tc>
        <w:tc>
          <w:tcPr>
            <w:tcW w:w="851" w:type="dxa"/>
          </w:tcPr>
          <w:p w:rsidR="00F359AC" w:rsidRPr="009B266D" w:rsidRDefault="00AB2D16" w:rsidP="00F359AC">
            <w:pPr>
              <w:pStyle w:val="5"/>
              <w:tabs>
                <w:tab w:val="decimal" w:pos="252"/>
              </w:tabs>
              <w:overflowPunct w:val="0"/>
              <w:spacing w:line="240" w:lineRule="exact"/>
              <w:ind w:left="-108" w:rightChars="-45"/>
              <w:jc w:val="left"/>
              <w:rPr>
                <w:rFonts w:ascii="Times New Roman"/>
                <w:sz w:val="22"/>
                <w:szCs w:val="22"/>
                <w:u w:val="none"/>
              </w:rPr>
            </w:pPr>
            <w:r w:rsidRPr="009B266D">
              <w:rPr>
                <w:rFonts w:ascii="Times New Roman"/>
                <w:sz w:val="22"/>
                <w:szCs w:val="22"/>
                <w:u w:val="none"/>
              </w:rPr>
              <w:t>3.1</w:t>
            </w:r>
          </w:p>
        </w:tc>
      </w:tr>
    </w:tbl>
    <w:p w:rsidR="00720106" w:rsidRDefault="00720106" w:rsidP="001B3CE6">
      <w:pPr>
        <w:spacing w:line="320" w:lineRule="exact"/>
        <w:ind w:right="-505"/>
        <w:rPr>
          <w:sz w:val="28"/>
          <w:szCs w:val="28"/>
        </w:rPr>
      </w:pPr>
    </w:p>
    <w:p w:rsidR="002B27D0" w:rsidRPr="004110C3" w:rsidRDefault="002B27D0" w:rsidP="002B27D0">
      <w:pPr>
        <w:pStyle w:val="aa"/>
        <w:tabs>
          <w:tab w:val="clear" w:pos="720"/>
          <w:tab w:val="left" w:pos="840"/>
          <w:tab w:val="left" w:pos="895"/>
        </w:tabs>
        <w:snapToGrid w:val="0"/>
        <w:spacing w:afterLines="50" w:after="180" w:line="220" w:lineRule="exact"/>
        <w:ind w:left="1321" w:right="-330" w:hanging="1202"/>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 xml:space="preserve">Figures are subject to revision later on as more data become available. </w:t>
      </w:r>
    </w:p>
    <w:p w:rsidR="002B27D0" w:rsidRPr="004110C3" w:rsidRDefault="002B27D0" w:rsidP="002B27D0">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t>(a)</w:t>
      </w:r>
      <w:r w:rsidRPr="004110C3">
        <w:rPr>
          <w:rFonts w:ascii="Times New Roman"/>
          <w:kern w:val="0"/>
          <w:sz w:val="22"/>
          <w:lang w:val="en-GB"/>
        </w:rPr>
        <w:tab/>
        <w:t xml:space="preserve">The GDP figures shown in this table are compiled from the production approach, </w:t>
      </w:r>
      <w:r>
        <w:rPr>
          <w:rFonts w:ascii="Times New Roman" w:hint="eastAsia"/>
          <w:kern w:val="0"/>
          <w:sz w:val="22"/>
          <w:lang w:val="en-GB"/>
        </w:rPr>
        <w:t>while</w:t>
      </w:r>
      <w:r w:rsidRPr="004110C3">
        <w:rPr>
          <w:rFonts w:ascii="Times New Roman"/>
          <w:kern w:val="0"/>
          <w:sz w:val="22"/>
          <w:lang w:val="en-GB"/>
        </w:rPr>
        <w:t xml:space="preserve"> those shown in Table 1.1 are compiled from the expenditure approach.  For details, see Note (1) to this chapter.</w:t>
      </w:r>
    </w:p>
    <w:p w:rsidR="002B27D0" w:rsidRDefault="002B27D0" w:rsidP="002B27D0">
      <w:pPr>
        <w:pStyle w:val="aa"/>
        <w:numPr>
          <w:ilvl w:val="0"/>
          <w:numId w:val="4"/>
        </w:numPr>
        <w:tabs>
          <w:tab w:val="clear" w:pos="720"/>
          <w:tab w:val="clear" w:pos="1199"/>
          <w:tab w:val="left" w:pos="840"/>
        </w:tabs>
        <w:snapToGrid w:val="0"/>
        <w:spacing w:afterLines="50" w:after="180" w:line="220" w:lineRule="exact"/>
        <w:ind w:left="1316" w:right="-330" w:hanging="477"/>
        <w:rPr>
          <w:rFonts w:ascii="Times New Roman"/>
          <w:kern w:val="0"/>
          <w:sz w:val="22"/>
          <w:lang w:val="en-GB"/>
        </w:rPr>
      </w:pPr>
      <w:r w:rsidRPr="004110C3">
        <w:rPr>
          <w:rFonts w:ascii="Times New Roman"/>
          <w:kern w:val="0"/>
          <w:sz w:val="22"/>
          <w:lang w:val="en-GB"/>
        </w:rPr>
        <w:t>In the context of value-added contribution to GDP, the services sectors include ownership of premises as well, which is analytically a service activity.</w:t>
      </w:r>
    </w:p>
    <w:p w:rsidR="0076412F" w:rsidRDefault="001370ED" w:rsidP="00F21EB5">
      <w:pPr>
        <w:tabs>
          <w:tab w:val="num" w:pos="1260"/>
        </w:tabs>
        <w:spacing w:line="360" w:lineRule="atLeast"/>
        <w:jc w:val="both"/>
        <w:rPr>
          <w:b/>
          <w:sz w:val="28"/>
          <w:szCs w:val="28"/>
        </w:rPr>
      </w:pPr>
      <w:r w:rsidRPr="004110C3">
        <w:rPr>
          <w:sz w:val="28"/>
          <w:szCs w:val="20"/>
        </w:rPr>
        <w:br w:type="page"/>
      </w:r>
      <w:r w:rsidR="00ED15F0"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p>
    <w:p w:rsidR="004A6884" w:rsidRPr="00EA7E5B" w:rsidRDefault="004A6884" w:rsidP="00F21EB5">
      <w:pPr>
        <w:tabs>
          <w:tab w:val="num" w:pos="1260"/>
        </w:tabs>
        <w:spacing w:line="360" w:lineRule="atLeast"/>
        <w:jc w:val="both"/>
        <w:rPr>
          <w:color w:val="FF0000"/>
          <w:sz w:val="28"/>
          <w:szCs w:val="28"/>
          <w:highlight w:val="yellow"/>
        </w:rPr>
      </w:pPr>
    </w:p>
    <w:p w:rsidR="00EA5F3A" w:rsidRDefault="00C054B4" w:rsidP="005E0A72">
      <w:pPr>
        <w:pStyle w:val="a5"/>
        <w:numPr>
          <w:ilvl w:val="1"/>
          <w:numId w:val="19"/>
        </w:numPr>
        <w:tabs>
          <w:tab w:val="left" w:pos="1260"/>
        </w:tabs>
        <w:overflowPunct w:val="0"/>
        <w:ind w:left="0" w:right="28" w:firstLine="0"/>
        <w:jc w:val="both"/>
        <w:rPr>
          <w:rFonts w:ascii="Times New Roman"/>
          <w:kern w:val="0"/>
          <w:lang w:val="en-GB"/>
        </w:rPr>
      </w:pPr>
      <w:r>
        <w:rPr>
          <w:rFonts w:ascii="Times New Roman" w:hint="eastAsia"/>
          <w:kern w:val="0"/>
          <w:lang w:val="en-GB"/>
        </w:rPr>
        <w:t xml:space="preserve">In May </w:t>
      </w:r>
      <w:r w:rsidR="00E365FD">
        <w:rPr>
          <w:rFonts w:ascii="Times New Roman"/>
          <w:kern w:val="0"/>
          <w:lang w:val="en-GB"/>
        </w:rPr>
        <w:t>t</w:t>
      </w:r>
      <w:r w:rsidR="0075149B">
        <w:rPr>
          <w:rFonts w:ascii="Times New Roman"/>
          <w:kern w:val="0"/>
          <w:lang w:val="en-GB"/>
        </w:rPr>
        <w:t xml:space="preserve">he Government announced </w:t>
      </w:r>
      <w:r w:rsidR="00E434C4">
        <w:rPr>
          <w:rFonts w:ascii="Times New Roman"/>
          <w:kern w:val="0"/>
          <w:lang w:val="en-GB"/>
        </w:rPr>
        <w:t>th</w:t>
      </w:r>
      <w:r w:rsidR="00B84A34">
        <w:rPr>
          <w:rFonts w:ascii="Times New Roman"/>
          <w:kern w:val="0"/>
          <w:lang w:val="en-GB"/>
        </w:rPr>
        <w:t xml:space="preserve">e calendar of mega events </w:t>
      </w:r>
      <w:r w:rsidR="001D2680" w:rsidRPr="00E66B0B">
        <w:rPr>
          <w:rFonts w:ascii="Times New Roman"/>
          <w:kern w:val="0"/>
          <w:lang w:val="en-GB"/>
        </w:rPr>
        <w:t xml:space="preserve">in Hong Kong </w:t>
      </w:r>
      <w:r w:rsidR="00B84A34">
        <w:rPr>
          <w:rFonts w:ascii="Times New Roman"/>
          <w:kern w:val="0"/>
          <w:lang w:val="en-GB"/>
        </w:rPr>
        <w:t xml:space="preserve">for the second half of 2024, </w:t>
      </w:r>
      <w:r w:rsidR="006966DF">
        <w:rPr>
          <w:rFonts w:ascii="Times New Roman"/>
          <w:kern w:val="0"/>
          <w:lang w:val="en-GB"/>
        </w:rPr>
        <w:t xml:space="preserve">featuring </w:t>
      </w:r>
      <w:r w:rsidR="00B84A34">
        <w:rPr>
          <w:rFonts w:ascii="Times New Roman"/>
          <w:kern w:val="0"/>
          <w:lang w:val="en-GB"/>
        </w:rPr>
        <w:t>more than 100 mega events</w:t>
      </w:r>
      <w:r w:rsidR="006966DF">
        <w:rPr>
          <w:rFonts w:ascii="Times New Roman"/>
          <w:kern w:val="0"/>
          <w:lang w:val="en-GB"/>
        </w:rPr>
        <w:t xml:space="preserve"> and </w:t>
      </w:r>
      <w:r w:rsidR="00B84A34">
        <w:rPr>
          <w:rFonts w:ascii="Times New Roman"/>
          <w:kern w:val="0"/>
          <w:lang w:val="en-GB"/>
        </w:rPr>
        <w:t xml:space="preserve">bringing the total number of mega events to </w:t>
      </w:r>
      <w:r w:rsidR="00BB048C">
        <w:rPr>
          <w:rFonts w:ascii="Times New Roman"/>
          <w:kern w:val="0"/>
          <w:lang w:val="en-GB"/>
        </w:rPr>
        <w:t>a</w:t>
      </w:r>
      <w:r w:rsidR="0075149B" w:rsidRPr="0075149B">
        <w:rPr>
          <w:rFonts w:ascii="Times New Roman"/>
          <w:kern w:val="0"/>
          <w:lang w:val="en-GB"/>
        </w:rPr>
        <w:t>t least 210</w:t>
      </w:r>
      <w:r w:rsidR="00B84A34">
        <w:rPr>
          <w:rFonts w:ascii="Times New Roman"/>
          <w:kern w:val="0"/>
          <w:lang w:val="en-GB"/>
        </w:rPr>
        <w:t xml:space="preserve"> </w:t>
      </w:r>
      <w:r w:rsidR="00E365FD">
        <w:rPr>
          <w:rFonts w:ascii="Times New Roman"/>
          <w:kern w:val="0"/>
          <w:lang w:val="en-GB"/>
        </w:rPr>
        <w:t>for the whole year</w:t>
      </w:r>
      <w:r w:rsidR="003D4F9E">
        <w:rPr>
          <w:rFonts w:ascii="Times New Roman"/>
          <w:kern w:val="0"/>
          <w:lang w:val="en-GB"/>
        </w:rPr>
        <w:t>.  The</w:t>
      </w:r>
      <w:r w:rsidR="00EA5F3A">
        <w:rPr>
          <w:rFonts w:ascii="Times New Roman"/>
          <w:kern w:val="0"/>
          <w:lang w:val="en-GB"/>
        </w:rPr>
        <w:t>se mega events</w:t>
      </w:r>
      <w:r w:rsidR="00BB048C">
        <w:rPr>
          <w:rFonts w:ascii="Times New Roman"/>
          <w:kern w:val="0"/>
          <w:lang w:val="en-GB"/>
        </w:rPr>
        <w:t xml:space="preserve"> </w:t>
      </w:r>
      <w:r w:rsidR="003D4F9E">
        <w:rPr>
          <w:rFonts w:ascii="Times New Roman"/>
          <w:kern w:val="0"/>
          <w:lang w:val="en-GB"/>
        </w:rPr>
        <w:t>are expected to</w:t>
      </w:r>
      <w:r w:rsidR="00AF78EA">
        <w:rPr>
          <w:rFonts w:ascii="Times New Roman"/>
          <w:kern w:val="0"/>
          <w:lang w:val="en-GB"/>
        </w:rPr>
        <w:t xml:space="preserve"> </w:t>
      </w:r>
      <w:r w:rsidR="00AF78EA" w:rsidRPr="00AF78EA">
        <w:rPr>
          <w:rFonts w:ascii="Times New Roman"/>
          <w:kern w:val="0"/>
          <w:lang w:val="en-GB"/>
        </w:rPr>
        <w:t>attract</w:t>
      </w:r>
      <w:r w:rsidR="00AF78EA">
        <w:rPr>
          <w:rFonts w:ascii="Times New Roman"/>
          <w:kern w:val="0"/>
          <w:lang w:val="en-GB"/>
        </w:rPr>
        <w:t xml:space="preserve"> more</w:t>
      </w:r>
      <w:r w:rsidR="00AF78EA" w:rsidRPr="00AF78EA">
        <w:rPr>
          <w:rFonts w:ascii="Times New Roman"/>
          <w:kern w:val="0"/>
          <w:lang w:val="en-GB"/>
        </w:rPr>
        <w:t xml:space="preserve"> tourists </w:t>
      </w:r>
      <w:r w:rsidR="003B0C6B">
        <w:rPr>
          <w:rFonts w:ascii="Times New Roman"/>
          <w:kern w:val="0"/>
          <w:lang w:val="en-GB"/>
        </w:rPr>
        <w:t xml:space="preserve">and </w:t>
      </w:r>
      <w:r w:rsidR="00E434C4">
        <w:rPr>
          <w:rFonts w:ascii="Times New Roman"/>
          <w:kern w:val="0"/>
          <w:lang w:val="en-GB"/>
        </w:rPr>
        <w:t xml:space="preserve">stimulate </w:t>
      </w:r>
      <w:r w:rsidR="006966DF">
        <w:rPr>
          <w:rFonts w:ascii="Times New Roman"/>
          <w:kern w:val="0"/>
          <w:lang w:val="en-GB"/>
        </w:rPr>
        <w:t xml:space="preserve">local </w:t>
      </w:r>
      <w:r w:rsidR="00E434C4">
        <w:rPr>
          <w:rFonts w:ascii="Times New Roman"/>
          <w:kern w:val="0"/>
          <w:lang w:val="en-GB"/>
        </w:rPr>
        <w:t>consum</w:t>
      </w:r>
      <w:r w:rsidR="00EA5F3A">
        <w:rPr>
          <w:rFonts w:ascii="Times New Roman"/>
          <w:kern w:val="0"/>
          <w:lang w:val="en-GB"/>
        </w:rPr>
        <w:t>er</w:t>
      </w:r>
      <w:r w:rsidR="00E434C4">
        <w:rPr>
          <w:rFonts w:ascii="Times New Roman"/>
          <w:kern w:val="0"/>
          <w:lang w:val="en-GB"/>
        </w:rPr>
        <w:t xml:space="preserve"> </w:t>
      </w:r>
      <w:r w:rsidR="003B0C6B">
        <w:rPr>
          <w:rFonts w:ascii="Times New Roman"/>
          <w:kern w:val="0"/>
          <w:lang w:val="en-GB"/>
        </w:rPr>
        <w:t>sentiment,</w:t>
      </w:r>
      <w:r w:rsidR="00EA5F3A">
        <w:rPr>
          <w:rFonts w:ascii="Times New Roman"/>
          <w:kern w:val="0"/>
          <w:lang w:val="en-GB"/>
        </w:rPr>
        <w:t xml:space="preserve"> thereby</w:t>
      </w:r>
      <w:r w:rsidR="003B0C6B">
        <w:rPr>
          <w:rFonts w:ascii="Times New Roman"/>
          <w:kern w:val="0"/>
          <w:lang w:val="en-GB"/>
        </w:rPr>
        <w:t xml:space="preserve"> </w:t>
      </w:r>
      <w:r w:rsidR="00AF78EA" w:rsidRPr="00AF78EA">
        <w:rPr>
          <w:rFonts w:ascii="Times New Roman"/>
          <w:kern w:val="0"/>
          <w:lang w:val="en-GB"/>
        </w:rPr>
        <w:t>generat</w:t>
      </w:r>
      <w:r w:rsidR="003B0C6B">
        <w:rPr>
          <w:rFonts w:ascii="Times New Roman"/>
          <w:kern w:val="0"/>
          <w:lang w:val="en-GB"/>
        </w:rPr>
        <w:t>ing</w:t>
      </w:r>
      <w:r w:rsidR="00AF78EA" w:rsidRPr="00AF78EA">
        <w:rPr>
          <w:rFonts w:ascii="Times New Roman"/>
          <w:kern w:val="0"/>
          <w:lang w:val="en-GB"/>
        </w:rPr>
        <w:t xml:space="preserve"> business opportunities </w:t>
      </w:r>
      <w:r w:rsidR="003D4F9E">
        <w:rPr>
          <w:rFonts w:ascii="Times New Roman"/>
          <w:kern w:val="0"/>
          <w:lang w:val="en-GB"/>
        </w:rPr>
        <w:t xml:space="preserve">for </w:t>
      </w:r>
      <w:r w:rsidR="00AF78EA" w:rsidRPr="00AF78EA">
        <w:rPr>
          <w:rFonts w:ascii="Times New Roman"/>
          <w:kern w:val="0"/>
          <w:lang w:val="en-GB"/>
        </w:rPr>
        <w:t>tourism, hotel, catering, retail and other sectors</w:t>
      </w:r>
      <w:r w:rsidR="0075149B" w:rsidRPr="0075149B">
        <w:rPr>
          <w:rFonts w:ascii="Times New Roman"/>
          <w:kern w:val="0"/>
          <w:lang w:val="en-GB"/>
        </w:rPr>
        <w:t xml:space="preserve">. </w:t>
      </w:r>
      <w:r w:rsidR="0075149B">
        <w:rPr>
          <w:rFonts w:ascii="Times New Roman"/>
          <w:kern w:val="0"/>
          <w:lang w:val="en-GB"/>
        </w:rPr>
        <w:t xml:space="preserve"> </w:t>
      </w:r>
      <w:r w:rsidR="00F22488">
        <w:rPr>
          <w:rFonts w:ascii="Times New Roman"/>
          <w:kern w:val="0"/>
          <w:lang w:val="en-GB"/>
        </w:rPr>
        <w:t>These mega events</w:t>
      </w:r>
      <w:r w:rsidR="00BF6549">
        <w:rPr>
          <w:rFonts w:ascii="Times New Roman"/>
          <w:kern w:val="0"/>
          <w:lang w:val="en-GB"/>
        </w:rPr>
        <w:t xml:space="preserve">, coupled </w:t>
      </w:r>
      <w:r w:rsidR="00F22488">
        <w:rPr>
          <w:rFonts w:ascii="Times New Roman"/>
          <w:kern w:val="0"/>
          <w:lang w:val="en-GB"/>
        </w:rPr>
        <w:t xml:space="preserve">with </w:t>
      </w:r>
      <w:r w:rsidR="0001442E">
        <w:rPr>
          <w:rFonts w:ascii="Times New Roman"/>
          <w:kern w:val="0"/>
          <w:lang w:val="en-GB"/>
        </w:rPr>
        <w:t>t</w:t>
      </w:r>
      <w:r w:rsidR="00EA5F3A">
        <w:rPr>
          <w:rFonts w:ascii="Times New Roman"/>
          <w:kern w:val="0"/>
          <w:lang w:val="en-GB"/>
        </w:rPr>
        <w:t>he Central Government’s recently announced measures benefitting Hong Kong, including the further enhanced Individual Visit Scheme and the increase of duty-free allowance for luggage articles for Mainland resident visitors</w:t>
      </w:r>
      <w:r w:rsidR="00BF6549">
        <w:rPr>
          <w:rFonts w:ascii="Times New Roman"/>
          <w:kern w:val="0"/>
          <w:lang w:val="en-GB"/>
        </w:rPr>
        <w:t xml:space="preserve">, are expected to have a synergy effect in boosting various sectors. </w:t>
      </w:r>
    </w:p>
    <w:p w:rsidR="0075149B" w:rsidRPr="0075149B" w:rsidRDefault="0075149B" w:rsidP="0075149B">
      <w:pPr>
        <w:pStyle w:val="a5"/>
        <w:tabs>
          <w:tab w:val="left" w:pos="1260"/>
        </w:tabs>
        <w:overflowPunct w:val="0"/>
        <w:ind w:right="28"/>
        <w:jc w:val="both"/>
        <w:rPr>
          <w:rFonts w:ascii="Times New Roman"/>
          <w:kern w:val="0"/>
          <w:lang w:val="en-GB"/>
        </w:rPr>
      </w:pPr>
    </w:p>
    <w:p w:rsidR="007E0D16" w:rsidRPr="007E0D16" w:rsidRDefault="004F7C1F" w:rsidP="004F7C1F">
      <w:pPr>
        <w:pStyle w:val="a5"/>
        <w:numPr>
          <w:ilvl w:val="1"/>
          <w:numId w:val="19"/>
        </w:numPr>
        <w:tabs>
          <w:tab w:val="left" w:pos="1260"/>
        </w:tabs>
        <w:overflowPunct w:val="0"/>
        <w:ind w:left="0" w:right="28" w:firstLine="0"/>
        <w:jc w:val="both"/>
        <w:rPr>
          <w:rFonts w:ascii="Times New Roman"/>
          <w:kern w:val="0"/>
          <w:lang w:val="en-GB"/>
        </w:rPr>
      </w:pPr>
      <w:r w:rsidRPr="00B21321">
        <w:rPr>
          <w:rFonts w:ascii="Times New Roman"/>
          <w:szCs w:val="28"/>
          <w:lang w:val="en-GB"/>
        </w:rPr>
        <w:t xml:space="preserve">In the </w:t>
      </w:r>
      <w:r w:rsidRPr="00B21321">
        <w:rPr>
          <w:rFonts w:ascii="Times New Roman"/>
          <w:i/>
          <w:szCs w:val="28"/>
          <w:lang w:val="en-GB"/>
        </w:rPr>
        <w:t>World Competitiveness Yearbook 202</w:t>
      </w:r>
      <w:r w:rsidR="007E0D16">
        <w:rPr>
          <w:rFonts w:ascii="Times New Roman"/>
          <w:i/>
          <w:szCs w:val="28"/>
          <w:lang w:val="en-GB"/>
        </w:rPr>
        <w:t>4</w:t>
      </w:r>
      <w:r w:rsidRPr="00B21321">
        <w:rPr>
          <w:rFonts w:ascii="Times New Roman"/>
          <w:szCs w:val="28"/>
          <w:lang w:val="en-GB"/>
        </w:rPr>
        <w:t xml:space="preserve"> published by the International Institute for Management Development, </w:t>
      </w:r>
      <w:r w:rsidR="007E0D16" w:rsidRPr="007E0D16">
        <w:rPr>
          <w:rFonts w:ascii="Times New Roman"/>
          <w:szCs w:val="28"/>
          <w:lang w:val="en-GB"/>
        </w:rPr>
        <w:t>Hong Kong</w:t>
      </w:r>
      <w:r w:rsidR="007E0D16">
        <w:rPr>
          <w:rFonts w:ascii="Times New Roman"/>
          <w:szCs w:val="28"/>
          <w:lang w:val="en-GB"/>
        </w:rPr>
        <w:t>’</w:t>
      </w:r>
      <w:r w:rsidR="007E0D16" w:rsidRPr="007E0D16">
        <w:rPr>
          <w:rFonts w:ascii="Times New Roman"/>
          <w:szCs w:val="28"/>
          <w:lang w:val="en-GB"/>
        </w:rPr>
        <w:t>s ranking improved by two places to fifth globally</w:t>
      </w:r>
      <w:r w:rsidRPr="00B21321">
        <w:rPr>
          <w:rFonts w:ascii="Times New Roman"/>
          <w:szCs w:val="28"/>
          <w:lang w:val="en-GB"/>
        </w:rPr>
        <w:t xml:space="preserve">.  </w:t>
      </w:r>
      <w:r w:rsidR="007E0D16">
        <w:rPr>
          <w:rFonts w:ascii="Times New Roman"/>
          <w:szCs w:val="28"/>
          <w:lang w:val="en-GB"/>
        </w:rPr>
        <w:t xml:space="preserve"> </w:t>
      </w:r>
      <w:r w:rsidR="007E0D16" w:rsidRPr="00B21321">
        <w:rPr>
          <w:rFonts w:ascii="Times New Roman" w:hint="eastAsia"/>
          <w:szCs w:val="28"/>
          <w:lang w:val="en-GB"/>
        </w:rPr>
        <w:t xml:space="preserve">Among the four competitiveness factors, </w:t>
      </w:r>
      <w:r w:rsidR="007E0D16" w:rsidRPr="007E0D16">
        <w:rPr>
          <w:rFonts w:ascii="Times New Roman"/>
          <w:szCs w:val="28"/>
          <w:lang w:val="en-GB"/>
        </w:rPr>
        <w:t>Hong Kong</w:t>
      </w:r>
      <w:r w:rsidR="007E0D16">
        <w:rPr>
          <w:rFonts w:ascii="Times New Roman"/>
          <w:szCs w:val="28"/>
          <w:lang w:val="en-GB"/>
        </w:rPr>
        <w:t>’</w:t>
      </w:r>
      <w:r w:rsidR="007E0D16" w:rsidRPr="007E0D16">
        <w:rPr>
          <w:rFonts w:ascii="Times New Roman"/>
          <w:szCs w:val="28"/>
          <w:lang w:val="en-GB"/>
        </w:rPr>
        <w:t xml:space="preserve">s rankings in </w:t>
      </w:r>
      <w:r w:rsidR="007E0D16">
        <w:rPr>
          <w:rFonts w:ascii="Times New Roman"/>
          <w:szCs w:val="28"/>
          <w:lang w:val="en-GB"/>
        </w:rPr>
        <w:t>“</w:t>
      </w:r>
      <w:r w:rsidR="007E0D16" w:rsidRPr="007E0D16">
        <w:rPr>
          <w:rFonts w:ascii="Times New Roman"/>
          <w:szCs w:val="28"/>
          <w:lang w:val="en-GB"/>
        </w:rPr>
        <w:t>Business efficiency</w:t>
      </w:r>
      <w:r w:rsidR="007E0D16">
        <w:rPr>
          <w:rFonts w:ascii="Times New Roman"/>
          <w:szCs w:val="28"/>
          <w:lang w:val="en-GB"/>
        </w:rPr>
        <w:t>”</w:t>
      </w:r>
      <w:r w:rsidR="007E0D16" w:rsidRPr="007E0D16">
        <w:rPr>
          <w:rFonts w:ascii="Times New Roman"/>
          <w:szCs w:val="28"/>
          <w:lang w:val="en-GB"/>
        </w:rPr>
        <w:t xml:space="preserve"> and </w:t>
      </w:r>
      <w:r w:rsidR="007E0D16">
        <w:rPr>
          <w:rFonts w:ascii="Times New Roman"/>
          <w:szCs w:val="28"/>
          <w:lang w:val="en-GB"/>
        </w:rPr>
        <w:t>“</w:t>
      </w:r>
      <w:r w:rsidR="007E0D16" w:rsidRPr="007E0D16">
        <w:rPr>
          <w:rFonts w:ascii="Times New Roman"/>
          <w:szCs w:val="28"/>
          <w:lang w:val="en-GB"/>
        </w:rPr>
        <w:t>Infrastructure</w:t>
      </w:r>
      <w:r w:rsidR="007E0D16">
        <w:rPr>
          <w:rFonts w:ascii="Times New Roman"/>
          <w:szCs w:val="28"/>
          <w:lang w:val="en-GB"/>
        </w:rPr>
        <w:t>”</w:t>
      </w:r>
      <w:r w:rsidR="007E0D16" w:rsidRPr="007E0D16">
        <w:rPr>
          <w:rFonts w:ascii="Times New Roman"/>
          <w:szCs w:val="28"/>
          <w:lang w:val="en-GB"/>
        </w:rPr>
        <w:t xml:space="preserve"> rose notably and came within the top 10 globally.</w:t>
      </w:r>
      <w:r w:rsidR="007E0D16">
        <w:rPr>
          <w:rFonts w:ascii="Times New Roman"/>
          <w:szCs w:val="28"/>
          <w:lang w:val="en-GB"/>
        </w:rPr>
        <w:t xml:space="preserve"> </w:t>
      </w:r>
      <w:r w:rsidR="007E0D16" w:rsidRPr="007E0D16">
        <w:rPr>
          <w:rFonts w:ascii="Times New Roman"/>
          <w:szCs w:val="28"/>
          <w:lang w:val="en-GB"/>
        </w:rPr>
        <w:t xml:space="preserve"> Our ranking in </w:t>
      </w:r>
      <w:r w:rsidR="007E0D16">
        <w:rPr>
          <w:rFonts w:ascii="Times New Roman"/>
          <w:szCs w:val="28"/>
          <w:lang w:val="en-GB"/>
        </w:rPr>
        <w:t>“</w:t>
      </w:r>
      <w:r w:rsidR="007E0D16" w:rsidRPr="007E0D16">
        <w:rPr>
          <w:rFonts w:ascii="Times New Roman"/>
          <w:szCs w:val="28"/>
          <w:lang w:val="en-GB"/>
        </w:rPr>
        <w:t>Government efficiency</w:t>
      </w:r>
      <w:r w:rsidR="007E0D16">
        <w:rPr>
          <w:rFonts w:ascii="Times New Roman"/>
          <w:szCs w:val="28"/>
          <w:lang w:val="en-GB"/>
        </w:rPr>
        <w:t>”</w:t>
      </w:r>
      <w:r w:rsidR="007E0D16" w:rsidRPr="007E0D16">
        <w:rPr>
          <w:rFonts w:ascii="Times New Roman"/>
          <w:szCs w:val="28"/>
          <w:lang w:val="en-GB"/>
        </w:rPr>
        <w:t xml:space="preserve"> stayed high among the top three. </w:t>
      </w:r>
      <w:r w:rsidR="007E0D16">
        <w:rPr>
          <w:rFonts w:ascii="Times New Roman"/>
          <w:szCs w:val="28"/>
          <w:lang w:val="en-GB"/>
        </w:rPr>
        <w:t xml:space="preserve"> </w:t>
      </w:r>
      <w:r w:rsidR="007E0D16" w:rsidRPr="007E0D16">
        <w:rPr>
          <w:rFonts w:ascii="Times New Roman"/>
          <w:szCs w:val="28"/>
          <w:lang w:val="en-GB"/>
        </w:rPr>
        <w:t xml:space="preserve">Our ranking in </w:t>
      </w:r>
      <w:r w:rsidR="007E0D16">
        <w:rPr>
          <w:rFonts w:ascii="Times New Roman"/>
          <w:szCs w:val="28"/>
          <w:lang w:val="en-GB"/>
        </w:rPr>
        <w:t>“</w:t>
      </w:r>
      <w:r w:rsidR="007E0D16" w:rsidRPr="007E0D16">
        <w:rPr>
          <w:rFonts w:ascii="Times New Roman"/>
          <w:szCs w:val="28"/>
          <w:lang w:val="en-GB"/>
        </w:rPr>
        <w:t>Economic performance</w:t>
      </w:r>
      <w:r w:rsidR="007E0D16">
        <w:rPr>
          <w:rFonts w:ascii="Times New Roman"/>
          <w:szCs w:val="28"/>
          <w:lang w:val="en-GB"/>
        </w:rPr>
        <w:t>”</w:t>
      </w:r>
      <w:r w:rsidR="007E0D16" w:rsidRPr="007E0D16">
        <w:rPr>
          <w:rFonts w:ascii="Times New Roman"/>
          <w:szCs w:val="28"/>
          <w:lang w:val="en-GB"/>
        </w:rPr>
        <w:t> also saw significant improvement, reflecting the economic recovery in 2023.</w:t>
      </w:r>
      <w:r w:rsidR="007E0D16">
        <w:rPr>
          <w:rFonts w:ascii="Times New Roman"/>
          <w:szCs w:val="28"/>
          <w:lang w:val="en-GB"/>
        </w:rPr>
        <w:t xml:space="preserve">  </w:t>
      </w:r>
      <w:r w:rsidR="007E0D16" w:rsidRPr="007E0D16">
        <w:rPr>
          <w:rFonts w:ascii="Times New Roman"/>
          <w:szCs w:val="28"/>
          <w:lang w:val="en-GB"/>
        </w:rPr>
        <w:t xml:space="preserve">The Government </w:t>
      </w:r>
      <w:r w:rsidR="007E0D16">
        <w:rPr>
          <w:rFonts w:ascii="Times New Roman"/>
          <w:szCs w:val="28"/>
          <w:lang w:val="en-GB"/>
        </w:rPr>
        <w:t>is</w:t>
      </w:r>
      <w:r w:rsidR="007E0D16" w:rsidRPr="007E0D16">
        <w:rPr>
          <w:rFonts w:ascii="Times New Roman"/>
          <w:szCs w:val="28"/>
          <w:lang w:val="en-GB"/>
        </w:rPr>
        <w:t xml:space="preserve"> vigorously attracting enterprises, capital and talent from around the world to come to Hong Kong, proactively driving the development of areas including financial services, innovation and technology, and </w:t>
      </w:r>
      <w:r w:rsidR="00970D22" w:rsidRPr="007E0D16">
        <w:rPr>
          <w:rFonts w:ascii="Times New Roman"/>
          <w:szCs w:val="28"/>
          <w:lang w:val="en-GB"/>
        </w:rPr>
        <w:t>trad</w:t>
      </w:r>
      <w:r w:rsidR="00970D22">
        <w:rPr>
          <w:rFonts w:ascii="Times New Roman"/>
          <w:szCs w:val="28"/>
          <w:lang w:val="en-GB"/>
        </w:rPr>
        <w:t>e</w:t>
      </w:r>
      <w:r w:rsidR="00970D22" w:rsidRPr="007E0D16">
        <w:rPr>
          <w:rFonts w:ascii="Times New Roman"/>
          <w:szCs w:val="28"/>
          <w:lang w:val="en-GB"/>
        </w:rPr>
        <w:t xml:space="preserve"> </w:t>
      </w:r>
      <w:r w:rsidR="007E0D16" w:rsidRPr="007E0D16">
        <w:rPr>
          <w:rFonts w:ascii="Times New Roman"/>
          <w:szCs w:val="28"/>
          <w:lang w:val="en-GB"/>
        </w:rPr>
        <w:t>where Hong Kong enjoys an edge, and embracing green transformation and digital economy development, so as to expedite the formation of new quality productive forces and spearhead the high-quality development of our economy in the medium to long run.</w:t>
      </w:r>
      <w:r w:rsidR="006966DF">
        <w:rPr>
          <w:rFonts w:ascii="Times New Roman"/>
          <w:szCs w:val="28"/>
          <w:lang w:val="en-GB"/>
        </w:rPr>
        <w:t xml:space="preserve">  </w:t>
      </w:r>
      <w:r w:rsidR="006966DF" w:rsidRPr="00896F07">
        <w:rPr>
          <w:rFonts w:ascii="Times New Roman"/>
          <w:szCs w:val="28"/>
          <w:lang w:val="en-GB"/>
        </w:rPr>
        <w:t>Work in these areas is being implemented steadily and has made good progress</w:t>
      </w:r>
      <w:r w:rsidR="006966DF">
        <w:rPr>
          <w:rFonts w:ascii="Times New Roman"/>
          <w:szCs w:val="28"/>
          <w:lang w:val="en-GB"/>
        </w:rPr>
        <w:t>.</w:t>
      </w:r>
    </w:p>
    <w:p w:rsidR="00081C57" w:rsidRDefault="00081C57">
      <w:pPr>
        <w:widowControl/>
        <w:rPr>
          <w:b/>
          <w:bCs/>
          <w:kern w:val="0"/>
          <w:sz w:val="28"/>
        </w:rPr>
      </w:pPr>
      <w:r>
        <w:rPr>
          <w:b/>
          <w:bCs/>
          <w:kern w:val="0"/>
          <w:sz w:val="28"/>
        </w:rPr>
        <w:br w:type="page"/>
      </w:r>
    </w:p>
    <w:p w:rsidR="00662CF9" w:rsidRPr="00327CE5" w:rsidRDefault="00662CF9" w:rsidP="00B25A11">
      <w:pPr>
        <w:widowControl/>
        <w:rPr>
          <w:b/>
          <w:bCs/>
          <w:kern w:val="0"/>
          <w:sz w:val="28"/>
        </w:rPr>
      </w:pPr>
      <w:proofErr w:type="gramStart"/>
      <w:r w:rsidRPr="00327CE5">
        <w:rPr>
          <w:b/>
          <w:bCs/>
          <w:kern w:val="0"/>
          <w:sz w:val="28"/>
        </w:rPr>
        <w:lastRenderedPageBreak/>
        <w:t>Notes :</w:t>
      </w:r>
      <w:proofErr w:type="gramEnd"/>
    </w:p>
    <w:p w:rsidR="00C127A9" w:rsidRPr="004110C3" w:rsidRDefault="00C127A9" w:rsidP="00C127A9">
      <w:pPr>
        <w:tabs>
          <w:tab w:val="left" w:pos="1080"/>
          <w:tab w:val="left" w:pos="2790"/>
        </w:tabs>
        <w:snapToGrid w:val="0"/>
        <w:spacing w:line="220" w:lineRule="exact"/>
        <w:ind w:right="28"/>
        <w:jc w:val="both"/>
        <w:rPr>
          <w:kern w:val="0"/>
        </w:rPr>
      </w:pPr>
    </w:p>
    <w:p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C127A9" w:rsidRPr="00327CE5" w:rsidRDefault="00C127A9" w:rsidP="00C127A9">
      <w:pPr>
        <w:tabs>
          <w:tab w:val="left" w:pos="900"/>
          <w:tab w:val="left" w:pos="1080"/>
          <w:tab w:val="left" w:pos="2790"/>
        </w:tabs>
        <w:snapToGrid w:val="0"/>
        <w:spacing w:line="260" w:lineRule="exact"/>
        <w:ind w:right="28"/>
        <w:jc w:val="both"/>
        <w:rPr>
          <w:kern w:val="0"/>
        </w:rPr>
      </w:pPr>
    </w:p>
    <w:p w:rsidR="006843D9" w:rsidRPr="00327CE5" w:rsidRDefault="00C127A9" w:rsidP="00D52957">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E260B5" w:rsidRPr="008E197A"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8E197A"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0FE" w:rsidRDefault="005A20FE">
      <w:r>
        <w:separator/>
      </w:r>
    </w:p>
  </w:endnote>
  <w:endnote w:type="continuationSeparator" w:id="0">
    <w:p w:rsidR="005A20FE" w:rsidRDefault="005A20FE">
      <w:r>
        <w:continuationSeparator/>
      </w:r>
    </w:p>
  </w:endnote>
  <w:endnote w:type="continuationNotice" w:id="1">
    <w:p w:rsidR="005A20FE" w:rsidRDefault="005A2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9DFFFFF" w:usb2="00000037" w:usb3="00000000" w:csb0="003F00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FE" w:rsidRDefault="005A20FE">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A20FE" w:rsidRDefault="005A20F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FE" w:rsidRDefault="005A20FE">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FC010A">
      <w:rPr>
        <w:rStyle w:val="ab"/>
        <w:rFonts w:ascii="Times New Roman"/>
        <w:noProof/>
        <w:sz w:val="28"/>
      </w:rPr>
      <w:t>3</w:t>
    </w:r>
    <w:r>
      <w:rPr>
        <w:rStyle w:val="ab"/>
        <w:rFonts w:ascii="Times New Roman"/>
        <w:sz w:val="28"/>
      </w:rPr>
      <w:fldChar w:fldCharType="end"/>
    </w:r>
  </w:p>
  <w:p w:rsidR="005A20FE" w:rsidRDefault="005A20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0FE" w:rsidRDefault="005A20FE">
      <w:pPr>
        <w:jc w:val="center"/>
      </w:pPr>
      <w:r>
        <w:separator/>
      </w:r>
    </w:p>
  </w:footnote>
  <w:footnote w:type="continuationSeparator" w:id="0">
    <w:p w:rsidR="005A20FE" w:rsidRDefault="005A20FE">
      <w:r>
        <w:continuationSeparator/>
      </w:r>
    </w:p>
  </w:footnote>
  <w:footnote w:type="continuationNotice" w:id="1">
    <w:p w:rsidR="005A20FE" w:rsidRDefault="005A20F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8F61BC8"/>
    <w:multiLevelType w:val="multilevel"/>
    <w:tmpl w:val="B1B4BC4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1"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5"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6172503"/>
    <w:multiLevelType w:val="multilevel"/>
    <w:tmpl w:val="5E880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19"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8"/>
  </w:num>
  <w:num w:numId="2">
    <w:abstractNumId w:val="19"/>
  </w:num>
  <w:num w:numId="3">
    <w:abstractNumId w:val="0"/>
  </w:num>
  <w:num w:numId="4">
    <w:abstractNumId w:val="10"/>
  </w:num>
  <w:num w:numId="5">
    <w:abstractNumId w:val="15"/>
  </w:num>
  <w:num w:numId="6">
    <w:abstractNumId w:val="14"/>
  </w:num>
  <w:num w:numId="7">
    <w:abstractNumId w:val="4"/>
  </w:num>
  <w:num w:numId="8">
    <w:abstractNumId w:val="11"/>
  </w:num>
  <w:num w:numId="9">
    <w:abstractNumId w:val="3"/>
  </w:num>
  <w:num w:numId="10">
    <w:abstractNumId w:val="8"/>
  </w:num>
  <w:num w:numId="11">
    <w:abstractNumId w:val="9"/>
  </w:num>
  <w:num w:numId="12">
    <w:abstractNumId w:val="5"/>
  </w:num>
  <w:num w:numId="13">
    <w:abstractNumId w:val="12"/>
  </w:num>
  <w:num w:numId="14">
    <w:abstractNumId w:val="1"/>
  </w:num>
  <w:num w:numId="15">
    <w:abstractNumId w:val="17"/>
  </w:num>
  <w:num w:numId="16">
    <w:abstractNumId w:val="13"/>
  </w:num>
  <w:num w:numId="17">
    <w:abstractNumId w:val="7"/>
  </w:num>
  <w:num w:numId="18">
    <w:abstractNumId w:val="2"/>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isplayHorizontalDrawingGridEvery w:val="0"/>
  <w:displayVerticalDrawingGridEvery w:val="2"/>
  <w:characterSpacingControl w:val="compressPunctuation"/>
  <w:hdrShapeDefaults>
    <o:shapedefaults v:ext="edit" spidmax="5120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A89"/>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2E"/>
    <w:rsid w:val="0001443F"/>
    <w:rsid w:val="000144DD"/>
    <w:rsid w:val="00014A23"/>
    <w:rsid w:val="00014C4B"/>
    <w:rsid w:val="00014EDA"/>
    <w:rsid w:val="0001516B"/>
    <w:rsid w:val="00015241"/>
    <w:rsid w:val="00015295"/>
    <w:rsid w:val="0001529C"/>
    <w:rsid w:val="000152B2"/>
    <w:rsid w:val="0001597F"/>
    <w:rsid w:val="0001599D"/>
    <w:rsid w:val="0001648C"/>
    <w:rsid w:val="000165B4"/>
    <w:rsid w:val="00016849"/>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266F"/>
    <w:rsid w:val="000229B0"/>
    <w:rsid w:val="00022A5B"/>
    <w:rsid w:val="00022D5E"/>
    <w:rsid w:val="0002356A"/>
    <w:rsid w:val="00024050"/>
    <w:rsid w:val="00024265"/>
    <w:rsid w:val="0002453A"/>
    <w:rsid w:val="0002481B"/>
    <w:rsid w:val="0002486B"/>
    <w:rsid w:val="00024908"/>
    <w:rsid w:val="00024DCA"/>
    <w:rsid w:val="00024E6E"/>
    <w:rsid w:val="00024EC5"/>
    <w:rsid w:val="00024EE2"/>
    <w:rsid w:val="000250B0"/>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5FC"/>
    <w:rsid w:val="0002761E"/>
    <w:rsid w:val="000277D9"/>
    <w:rsid w:val="00027B1C"/>
    <w:rsid w:val="00027CDC"/>
    <w:rsid w:val="00027D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4A"/>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BED"/>
    <w:rsid w:val="00047D87"/>
    <w:rsid w:val="00047EF0"/>
    <w:rsid w:val="00047EF8"/>
    <w:rsid w:val="00047F41"/>
    <w:rsid w:val="000506FF"/>
    <w:rsid w:val="00050787"/>
    <w:rsid w:val="000508C0"/>
    <w:rsid w:val="00050B01"/>
    <w:rsid w:val="00050BAC"/>
    <w:rsid w:val="00050D13"/>
    <w:rsid w:val="00050FDF"/>
    <w:rsid w:val="000518E6"/>
    <w:rsid w:val="00051913"/>
    <w:rsid w:val="00051A6B"/>
    <w:rsid w:val="00051C71"/>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C9"/>
    <w:rsid w:val="00055C67"/>
    <w:rsid w:val="00055E16"/>
    <w:rsid w:val="0005611B"/>
    <w:rsid w:val="000563DD"/>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24F"/>
    <w:rsid w:val="00062332"/>
    <w:rsid w:val="00062615"/>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07"/>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3EB"/>
    <w:rsid w:val="0007652F"/>
    <w:rsid w:val="000767A4"/>
    <w:rsid w:val="00076EC2"/>
    <w:rsid w:val="0007732A"/>
    <w:rsid w:val="00077633"/>
    <w:rsid w:val="0007766F"/>
    <w:rsid w:val="0007769F"/>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C57"/>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A6"/>
    <w:rsid w:val="00083E0C"/>
    <w:rsid w:val="00083F27"/>
    <w:rsid w:val="00084056"/>
    <w:rsid w:val="00084730"/>
    <w:rsid w:val="00084A5A"/>
    <w:rsid w:val="00084A7A"/>
    <w:rsid w:val="00084A8F"/>
    <w:rsid w:val="00084B35"/>
    <w:rsid w:val="00084BEC"/>
    <w:rsid w:val="00084D6B"/>
    <w:rsid w:val="00084EBF"/>
    <w:rsid w:val="0008505A"/>
    <w:rsid w:val="0008554B"/>
    <w:rsid w:val="0008581D"/>
    <w:rsid w:val="00085AE1"/>
    <w:rsid w:val="00085D8F"/>
    <w:rsid w:val="000860F0"/>
    <w:rsid w:val="000861CC"/>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07F"/>
    <w:rsid w:val="00093163"/>
    <w:rsid w:val="000931FA"/>
    <w:rsid w:val="000937D1"/>
    <w:rsid w:val="000938B0"/>
    <w:rsid w:val="00093AE1"/>
    <w:rsid w:val="00093FB4"/>
    <w:rsid w:val="00094284"/>
    <w:rsid w:val="000943BD"/>
    <w:rsid w:val="0009442D"/>
    <w:rsid w:val="000945CD"/>
    <w:rsid w:val="0009461D"/>
    <w:rsid w:val="00094624"/>
    <w:rsid w:val="00094A8D"/>
    <w:rsid w:val="00094C6B"/>
    <w:rsid w:val="00094EA7"/>
    <w:rsid w:val="0009507D"/>
    <w:rsid w:val="0009509F"/>
    <w:rsid w:val="000950AC"/>
    <w:rsid w:val="0009516A"/>
    <w:rsid w:val="00095245"/>
    <w:rsid w:val="0009535C"/>
    <w:rsid w:val="000959CC"/>
    <w:rsid w:val="00095C9F"/>
    <w:rsid w:val="00095CA9"/>
    <w:rsid w:val="00095D71"/>
    <w:rsid w:val="00095E07"/>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C9"/>
    <w:rsid w:val="000A2ED3"/>
    <w:rsid w:val="000A3015"/>
    <w:rsid w:val="000A3715"/>
    <w:rsid w:val="000A3AC2"/>
    <w:rsid w:val="000A3B98"/>
    <w:rsid w:val="000A3C2B"/>
    <w:rsid w:val="000A4064"/>
    <w:rsid w:val="000A4362"/>
    <w:rsid w:val="000A495F"/>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F3A"/>
    <w:rsid w:val="000B0F82"/>
    <w:rsid w:val="000B106B"/>
    <w:rsid w:val="000B1D80"/>
    <w:rsid w:val="000B1F93"/>
    <w:rsid w:val="000B24EF"/>
    <w:rsid w:val="000B2D16"/>
    <w:rsid w:val="000B2F85"/>
    <w:rsid w:val="000B330F"/>
    <w:rsid w:val="000B36A1"/>
    <w:rsid w:val="000B37AD"/>
    <w:rsid w:val="000B3E0F"/>
    <w:rsid w:val="000B3F8C"/>
    <w:rsid w:val="000B3FFA"/>
    <w:rsid w:val="000B440B"/>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84B"/>
    <w:rsid w:val="000C6883"/>
    <w:rsid w:val="000C6BE8"/>
    <w:rsid w:val="000C6D60"/>
    <w:rsid w:val="000C7159"/>
    <w:rsid w:val="000C76A6"/>
    <w:rsid w:val="000C77D9"/>
    <w:rsid w:val="000D014C"/>
    <w:rsid w:val="000D0347"/>
    <w:rsid w:val="000D069D"/>
    <w:rsid w:val="000D0812"/>
    <w:rsid w:val="000D0922"/>
    <w:rsid w:val="000D0EC9"/>
    <w:rsid w:val="000D1218"/>
    <w:rsid w:val="000D1CFE"/>
    <w:rsid w:val="000D1F82"/>
    <w:rsid w:val="000D1F98"/>
    <w:rsid w:val="000D22A1"/>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83E"/>
    <w:rsid w:val="000D4928"/>
    <w:rsid w:val="000D4BA9"/>
    <w:rsid w:val="000D4E03"/>
    <w:rsid w:val="000D5459"/>
    <w:rsid w:val="000D5F36"/>
    <w:rsid w:val="000D5F48"/>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109"/>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95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5F0"/>
    <w:rsid w:val="000F1755"/>
    <w:rsid w:val="000F1945"/>
    <w:rsid w:val="000F1D22"/>
    <w:rsid w:val="000F1D46"/>
    <w:rsid w:val="000F22F5"/>
    <w:rsid w:val="000F2436"/>
    <w:rsid w:val="000F24FE"/>
    <w:rsid w:val="000F25E7"/>
    <w:rsid w:val="000F2861"/>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382"/>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0F7FD1"/>
    <w:rsid w:val="00100057"/>
    <w:rsid w:val="0010018F"/>
    <w:rsid w:val="00100C49"/>
    <w:rsid w:val="00100CD5"/>
    <w:rsid w:val="00100D2E"/>
    <w:rsid w:val="00100E66"/>
    <w:rsid w:val="00100F4F"/>
    <w:rsid w:val="00101091"/>
    <w:rsid w:val="00101274"/>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DCC"/>
    <w:rsid w:val="00102E63"/>
    <w:rsid w:val="00102F3D"/>
    <w:rsid w:val="00103271"/>
    <w:rsid w:val="00103283"/>
    <w:rsid w:val="00103445"/>
    <w:rsid w:val="001034E5"/>
    <w:rsid w:val="0010362D"/>
    <w:rsid w:val="00103692"/>
    <w:rsid w:val="001036DF"/>
    <w:rsid w:val="00103851"/>
    <w:rsid w:val="00103B53"/>
    <w:rsid w:val="00103B55"/>
    <w:rsid w:val="00103BD3"/>
    <w:rsid w:val="0010420D"/>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557"/>
    <w:rsid w:val="00107808"/>
    <w:rsid w:val="00107C55"/>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4E5"/>
    <w:rsid w:val="0011551A"/>
    <w:rsid w:val="00115642"/>
    <w:rsid w:val="0011578C"/>
    <w:rsid w:val="00115B5B"/>
    <w:rsid w:val="001163EA"/>
    <w:rsid w:val="001164C7"/>
    <w:rsid w:val="001165A5"/>
    <w:rsid w:val="0011669B"/>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6FAE"/>
    <w:rsid w:val="00127109"/>
    <w:rsid w:val="0012746E"/>
    <w:rsid w:val="00127646"/>
    <w:rsid w:val="00127827"/>
    <w:rsid w:val="00127B90"/>
    <w:rsid w:val="00127BE3"/>
    <w:rsid w:val="00127E02"/>
    <w:rsid w:val="00127EFB"/>
    <w:rsid w:val="00127F77"/>
    <w:rsid w:val="00130350"/>
    <w:rsid w:val="00130969"/>
    <w:rsid w:val="00130970"/>
    <w:rsid w:val="00130B79"/>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A"/>
    <w:rsid w:val="00133872"/>
    <w:rsid w:val="00133A37"/>
    <w:rsid w:val="00133D1A"/>
    <w:rsid w:val="00133DBA"/>
    <w:rsid w:val="00133F91"/>
    <w:rsid w:val="001340E4"/>
    <w:rsid w:val="00134355"/>
    <w:rsid w:val="0013456D"/>
    <w:rsid w:val="001348D6"/>
    <w:rsid w:val="00134963"/>
    <w:rsid w:val="00134A40"/>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0C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78"/>
    <w:rsid w:val="0016479D"/>
    <w:rsid w:val="00164887"/>
    <w:rsid w:val="00164AD5"/>
    <w:rsid w:val="00164DEE"/>
    <w:rsid w:val="00164EE3"/>
    <w:rsid w:val="0016535E"/>
    <w:rsid w:val="00165442"/>
    <w:rsid w:val="001654EF"/>
    <w:rsid w:val="00165685"/>
    <w:rsid w:val="0016580B"/>
    <w:rsid w:val="00165858"/>
    <w:rsid w:val="001658A7"/>
    <w:rsid w:val="00165E8F"/>
    <w:rsid w:val="00166131"/>
    <w:rsid w:val="00166381"/>
    <w:rsid w:val="00166468"/>
    <w:rsid w:val="0016662F"/>
    <w:rsid w:val="001668CD"/>
    <w:rsid w:val="00166963"/>
    <w:rsid w:val="00166A52"/>
    <w:rsid w:val="00166AF7"/>
    <w:rsid w:val="00166D76"/>
    <w:rsid w:val="00167431"/>
    <w:rsid w:val="001674A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B93"/>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87D50"/>
    <w:rsid w:val="0019010A"/>
    <w:rsid w:val="00190235"/>
    <w:rsid w:val="0019030E"/>
    <w:rsid w:val="00190448"/>
    <w:rsid w:val="001904F0"/>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880"/>
    <w:rsid w:val="00194A50"/>
    <w:rsid w:val="00194AF2"/>
    <w:rsid w:val="00194CA2"/>
    <w:rsid w:val="00194F85"/>
    <w:rsid w:val="0019518A"/>
    <w:rsid w:val="0019547B"/>
    <w:rsid w:val="00195794"/>
    <w:rsid w:val="001957A8"/>
    <w:rsid w:val="001957C1"/>
    <w:rsid w:val="00195969"/>
    <w:rsid w:val="00195EB7"/>
    <w:rsid w:val="00195FAD"/>
    <w:rsid w:val="0019623C"/>
    <w:rsid w:val="001968C9"/>
    <w:rsid w:val="00196A21"/>
    <w:rsid w:val="00196A26"/>
    <w:rsid w:val="0019711B"/>
    <w:rsid w:val="001972AE"/>
    <w:rsid w:val="001972EC"/>
    <w:rsid w:val="00197406"/>
    <w:rsid w:val="00197432"/>
    <w:rsid w:val="001978EF"/>
    <w:rsid w:val="00197E2C"/>
    <w:rsid w:val="001A0018"/>
    <w:rsid w:val="001A0187"/>
    <w:rsid w:val="001A097C"/>
    <w:rsid w:val="001A0CF8"/>
    <w:rsid w:val="001A0FD8"/>
    <w:rsid w:val="001A11C8"/>
    <w:rsid w:val="001A1209"/>
    <w:rsid w:val="001A1294"/>
    <w:rsid w:val="001A1622"/>
    <w:rsid w:val="001A19EC"/>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3B3"/>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96"/>
    <w:rsid w:val="001B01C3"/>
    <w:rsid w:val="001B0500"/>
    <w:rsid w:val="001B073E"/>
    <w:rsid w:val="001B0740"/>
    <w:rsid w:val="001B0920"/>
    <w:rsid w:val="001B0921"/>
    <w:rsid w:val="001B0AD8"/>
    <w:rsid w:val="001B0DF4"/>
    <w:rsid w:val="001B1354"/>
    <w:rsid w:val="001B1392"/>
    <w:rsid w:val="001B15F1"/>
    <w:rsid w:val="001B1607"/>
    <w:rsid w:val="001B16EC"/>
    <w:rsid w:val="001B1949"/>
    <w:rsid w:val="001B1E67"/>
    <w:rsid w:val="001B1FE4"/>
    <w:rsid w:val="001B2111"/>
    <w:rsid w:val="001B24A5"/>
    <w:rsid w:val="001B24F0"/>
    <w:rsid w:val="001B2CD5"/>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650C"/>
    <w:rsid w:val="001B66B9"/>
    <w:rsid w:val="001B6751"/>
    <w:rsid w:val="001B6C48"/>
    <w:rsid w:val="001B6D8F"/>
    <w:rsid w:val="001B6DD7"/>
    <w:rsid w:val="001B6E06"/>
    <w:rsid w:val="001B7396"/>
    <w:rsid w:val="001B785D"/>
    <w:rsid w:val="001B7C3B"/>
    <w:rsid w:val="001B7D75"/>
    <w:rsid w:val="001B7E9B"/>
    <w:rsid w:val="001C0036"/>
    <w:rsid w:val="001C01D8"/>
    <w:rsid w:val="001C030D"/>
    <w:rsid w:val="001C0473"/>
    <w:rsid w:val="001C0756"/>
    <w:rsid w:val="001C0B0C"/>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C94"/>
    <w:rsid w:val="001C4EDE"/>
    <w:rsid w:val="001C4F34"/>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7B3"/>
    <w:rsid w:val="001D10E0"/>
    <w:rsid w:val="001D12BC"/>
    <w:rsid w:val="001D1402"/>
    <w:rsid w:val="001D14AB"/>
    <w:rsid w:val="001D1638"/>
    <w:rsid w:val="001D1748"/>
    <w:rsid w:val="001D180E"/>
    <w:rsid w:val="001D1F1C"/>
    <w:rsid w:val="001D1F1D"/>
    <w:rsid w:val="001D1F7E"/>
    <w:rsid w:val="001D22D0"/>
    <w:rsid w:val="001D23F5"/>
    <w:rsid w:val="001D25D5"/>
    <w:rsid w:val="001D266E"/>
    <w:rsid w:val="001D2680"/>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0F"/>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8F8"/>
    <w:rsid w:val="001E0B41"/>
    <w:rsid w:val="001E0BCE"/>
    <w:rsid w:val="001E0D89"/>
    <w:rsid w:val="001E0E3D"/>
    <w:rsid w:val="001E118D"/>
    <w:rsid w:val="001E1449"/>
    <w:rsid w:val="001E15AE"/>
    <w:rsid w:val="001E1612"/>
    <w:rsid w:val="001E1C45"/>
    <w:rsid w:val="001E1E5C"/>
    <w:rsid w:val="001E1EB6"/>
    <w:rsid w:val="001E1FE9"/>
    <w:rsid w:val="001E21FC"/>
    <w:rsid w:val="001E2256"/>
    <w:rsid w:val="001E23CF"/>
    <w:rsid w:val="001E26E3"/>
    <w:rsid w:val="001E27CA"/>
    <w:rsid w:val="001E2C4C"/>
    <w:rsid w:val="001E2DB0"/>
    <w:rsid w:val="001E2F1F"/>
    <w:rsid w:val="001E3331"/>
    <w:rsid w:val="001E3D4E"/>
    <w:rsid w:val="001E46B6"/>
    <w:rsid w:val="001E4754"/>
    <w:rsid w:val="001E47E7"/>
    <w:rsid w:val="001E5052"/>
    <w:rsid w:val="001E52B1"/>
    <w:rsid w:val="001E55E9"/>
    <w:rsid w:val="001E5603"/>
    <w:rsid w:val="001E5909"/>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3E8"/>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670"/>
    <w:rsid w:val="001F17F9"/>
    <w:rsid w:val="001F185A"/>
    <w:rsid w:val="001F1BF1"/>
    <w:rsid w:val="001F1C0E"/>
    <w:rsid w:val="001F1CEA"/>
    <w:rsid w:val="001F1E09"/>
    <w:rsid w:val="001F1E52"/>
    <w:rsid w:val="001F21A0"/>
    <w:rsid w:val="001F21DC"/>
    <w:rsid w:val="001F25AC"/>
    <w:rsid w:val="001F26DD"/>
    <w:rsid w:val="001F27F5"/>
    <w:rsid w:val="001F2887"/>
    <w:rsid w:val="001F2FB0"/>
    <w:rsid w:val="001F31F4"/>
    <w:rsid w:val="001F320F"/>
    <w:rsid w:val="001F322A"/>
    <w:rsid w:val="001F37B1"/>
    <w:rsid w:val="001F3B9C"/>
    <w:rsid w:val="001F3FA7"/>
    <w:rsid w:val="001F41A3"/>
    <w:rsid w:val="001F45DE"/>
    <w:rsid w:val="001F482E"/>
    <w:rsid w:val="001F485D"/>
    <w:rsid w:val="001F497A"/>
    <w:rsid w:val="001F4A81"/>
    <w:rsid w:val="001F4E6F"/>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C7"/>
    <w:rsid w:val="001F6EFD"/>
    <w:rsid w:val="001F7191"/>
    <w:rsid w:val="001F7239"/>
    <w:rsid w:val="001F746A"/>
    <w:rsid w:val="001F777C"/>
    <w:rsid w:val="001F78C9"/>
    <w:rsid w:val="002005B2"/>
    <w:rsid w:val="00200B18"/>
    <w:rsid w:val="00200CFC"/>
    <w:rsid w:val="00201362"/>
    <w:rsid w:val="00201620"/>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C"/>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7EA"/>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511"/>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6F3D"/>
    <w:rsid w:val="0023734B"/>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B3A"/>
    <w:rsid w:val="00246CDF"/>
    <w:rsid w:val="00246CE4"/>
    <w:rsid w:val="00246D7B"/>
    <w:rsid w:val="00246FC4"/>
    <w:rsid w:val="00247017"/>
    <w:rsid w:val="00247296"/>
    <w:rsid w:val="0024730E"/>
    <w:rsid w:val="002474AE"/>
    <w:rsid w:val="002475B3"/>
    <w:rsid w:val="0024762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5D7A"/>
    <w:rsid w:val="00256154"/>
    <w:rsid w:val="00256235"/>
    <w:rsid w:val="00256276"/>
    <w:rsid w:val="0025686C"/>
    <w:rsid w:val="00256B18"/>
    <w:rsid w:val="00256E66"/>
    <w:rsid w:val="00256E8C"/>
    <w:rsid w:val="00257352"/>
    <w:rsid w:val="00257711"/>
    <w:rsid w:val="0025773D"/>
    <w:rsid w:val="00257950"/>
    <w:rsid w:val="002579BF"/>
    <w:rsid w:val="00257BF8"/>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6F47"/>
    <w:rsid w:val="00267132"/>
    <w:rsid w:val="00267796"/>
    <w:rsid w:val="0026790D"/>
    <w:rsid w:val="00267979"/>
    <w:rsid w:val="00267ADF"/>
    <w:rsid w:val="00267C74"/>
    <w:rsid w:val="00267DA9"/>
    <w:rsid w:val="00267F4F"/>
    <w:rsid w:val="0027023C"/>
    <w:rsid w:val="002703A2"/>
    <w:rsid w:val="00270610"/>
    <w:rsid w:val="0027079E"/>
    <w:rsid w:val="002709CE"/>
    <w:rsid w:val="00270A31"/>
    <w:rsid w:val="00270AC6"/>
    <w:rsid w:val="00270D96"/>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6E2"/>
    <w:rsid w:val="002767A4"/>
    <w:rsid w:val="002768DA"/>
    <w:rsid w:val="00277112"/>
    <w:rsid w:val="00277248"/>
    <w:rsid w:val="00277283"/>
    <w:rsid w:val="00277862"/>
    <w:rsid w:val="00277867"/>
    <w:rsid w:val="00277890"/>
    <w:rsid w:val="00277CE7"/>
    <w:rsid w:val="00277D04"/>
    <w:rsid w:val="00277D7E"/>
    <w:rsid w:val="00277DE8"/>
    <w:rsid w:val="00277E7D"/>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10B"/>
    <w:rsid w:val="00286328"/>
    <w:rsid w:val="002863BB"/>
    <w:rsid w:val="00286D5B"/>
    <w:rsid w:val="00286E9F"/>
    <w:rsid w:val="002870BF"/>
    <w:rsid w:val="0028727A"/>
    <w:rsid w:val="002874AD"/>
    <w:rsid w:val="00287603"/>
    <w:rsid w:val="00287A02"/>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024"/>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4F7"/>
    <w:rsid w:val="002A3931"/>
    <w:rsid w:val="002A396B"/>
    <w:rsid w:val="002A4294"/>
    <w:rsid w:val="002A44A9"/>
    <w:rsid w:val="002A452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82"/>
    <w:rsid w:val="002B16F2"/>
    <w:rsid w:val="002B1996"/>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93"/>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5FD"/>
    <w:rsid w:val="002C49D5"/>
    <w:rsid w:val="002C4AEE"/>
    <w:rsid w:val="002C4BA9"/>
    <w:rsid w:val="002C4BD9"/>
    <w:rsid w:val="002C4C0C"/>
    <w:rsid w:val="002C4CAA"/>
    <w:rsid w:val="002C4CD3"/>
    <w:rsid w:val="002C4F27"/>
    <w:rsid w:val="002C5030"/>
    <w:rsid w:val="002C558B"/>
    <w:rsid w:val="002C58F5"/>
    <w:rsid w:val="002C5C19"/>
    <w:rsid w:val="002C5F77"/>
    <w:rsid w:val="002C611F"/>
    <w:rsid w:val="002C645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0F76"/>
    <w:rsid w:val="002E102F"/>
    <w:rsid w:val="002E104E"/>
    <w:rsid w:val="002E12D1"/>
    <w:rsid w:val="002E141D"/>
    <w:rsid w:val="002E14A2"/>
    <w:rsid w:val="002E151F"/>
    <w:rsid w:val="002E1910"/>
    <w:rsid w:val="002E1B54"/>
    <w:rsid w:val="002E1D2D"/>
    <w:rsid w:val="002E2155"/>
    <w:rsid w:val="002E225E"/>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E1E"/>
    <w:rsid w:val="002E4EEE"/>
    <w:rsid w:val="002E509E"/>
    <w:rsid w:val="002E5410"/>
    <w:rsid w:val="002E5428"/>
    <w:rsid w:val="002E54A3"/>
    <w:rsid w:val="002E5569"/>
    <w:rsid w:val="002E55C8"/>
    <w:rsid w:val="002E571B"/>
    <w:rsid w:val="002E589B"/>
    <w:rsid w:val="002E5C44"/>
    <w:rsid w:val="002E5C98"/>
    <w:rsid w:val="002E5E66"/>
    <w:rsid w:val="002E6221"/>
    <w:rsid w:val="002E664D"/>
    <w:rsid w:val="002E6737"/>
    <w:rsid w:val="002E6DA8"/>
    <w:rsid w:val="002E6E99"/>
    <w:rsid w:val="002E7026"/>
    <w:rsid w:val="002E72BD"/>
    <w:rsid w:val="002E7A68"/>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CA"/>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306"/>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C87"/>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E1"/>
    <w:rsid w:val="00320AD5"/>
    <w:rsid w:val="00320C00"/>
    <w:rsid w:val="00320DA4"/>
    <w:rsid w:val="00320DEB"/>
    <w:rsid w:val="00320F84"/>
    <w:rsid w:val="0032140B"/>
    <w:rsid w:val="00321513"/>
    <w:rsid w:val="00321A47"/>
    <w:rsid w:val="00321CBA"/>
    <w:rsid w:val="00322223"/>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829"/>
    <w:rsid w:val="00350904"/>
    <w:rsid w:val="00350A2D"/>
    <w:rsid w:val="003511BE"/>
    <w:rsid w:val="00351397"/>
    <w:rsid w:val="00351458"/>
    <w:rsid w:val="003514EE"/>
    <w:rsid w:val="003515F3"/>
    <w:rsid w:val="00351675"/>
    <w:rsid w:val="003518ED"/>
    <w:rsid w:val="00351A28"/>
    <w:rsid w:val="00351AE1"/>
    <w:rsid w:val="00351C8B"/>
    <w:rsid w:val="00351CF3"/>
    <w:rsid w:val="00351FA5"/>
    <w:rsid w:val="003525D2"/>
    <w:rsid w:val="0035279B"/>
    <w:rsid w:val="00352951"/>
    <w:rsid w:val="00352D3F"/>
    <w:rsid w:val="00352EFE"/>
    <w:rsid w:val="0035319E"/>
    <w:rsid w:val="00353577"/>
    <w:rsid w:val="003536FC"/>
    <w:rsid w:val="003538E9"/>
    <w:rsid w:val="00353A83"/>
    <w:rsid w:val="00353AD6"/>
    <w:rsid w:val="00353F0F"/>
    <w:rsid w:val="00353F5E"/>
    <w:rsid w:val="00354692"/>
    <w:rsid w:val="00354B7F"/>
    <w:rsid w:val="00354C9B"/>
    <w:rsid w:val="00354F79"/>
    <w:rsid w:val="00355113"/>
    <w:rsid w:val="003551A6"/>
    <w:rsid w:val="003552FE"/>
    <w:rsid w:val="00355B70"/>
    <w:rsid w:val="00355B75"/>
    <w:rsid w:val="00355B8B"/>
    <w:rsid w:val="00355E94"/>
    <w:rsid w:val="0035612C"/>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CE"/>
    <w:rsid w:val="00370216"/>
    <w:rsid w:val="0037042D"/>
    <w:rsid w:val="00370591"/>
    <w:rsid w:val="003705CD"/>
    <w:rsid w:val="0037075E"/>
    <w:rsid w:val="00370773"/>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DA8"/>
    <w:rsid w:val="00377F1B"/>
    <w:rsid w:val="0038006B"/>
    <w:rsid w:val="0038012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6B1"/>
    <w:rsid w:val="003829F2"/>
    <w:rsid w:val="00382C00"/>
    <w:rsid w:val="00382CB7"/>
    <w:rsid w:val="00382CBC"/>
    <w:rsid w:val="00382D1D"/>
    <w:rsid w:val="00382F8E"/>
    <w:rsid w:val="003835B9"/>
    <w:rsid w:val="00383732"/>
    <w:rsid w:val="0038392B"/>
    <w:rsid w:val="00383975"/>
    <w:rsid w:val="00383B61"/>
    <w:rsid w:val="00383BAC"/>
    <w:rsid w:val="003841A8"/>
    <w:rsid w:val="00384735"/>
    <w:rsid w:val="0038475E"/>
    <w:rsid w:val="00384984"/>
    <w:rsid w:val="00384AD9"/>
    <w:rsid w:val="00384ADF"/>
    <w:rsid w:val="00384EEC"/>
    <w:rsid w:val="00384F59"/>
    <w:rsid w:val="0038502E"/>
    <w:rsid w:val="00385208"/>
    <w:rsid w:val="00385213"/>
    <w:rsid w:val="0038549D"/>
    <w:rsid w:val="003857F2"/>
    <w:rsid w:val="0038589A"/>
    <w:rsid w:val="003858EE"/>
    <w:rsid w:val="00385B65"/>
    <w:rsid w:val="00385C07"/>
    <w:rsid w:val="00386071"/>
    <w:rsid w:val="003861EF"/>
    <w:rsid w:val="00386A0F"/>
    <w:rsid w:val="00386B0D"/>
    <w:rsid w:val="003872BA"/>
    <w:rsid w:val="00387338"/>
    <w:rsid w:val="003873CC"/>
    <w:rsid w:val="003873ED"/>
    <w:rsid w:val="00387490"/>
    <w:rsid w:val="0038767E"/>
    <w:rsid w:val="00387722"/>
    <w:rsid w:val="00387CDA"/>
    <w:rsid w:val="00387D9D"/>
    <w:rsid w:val="00387FCC"/>
    <w:rsid w:val="00390000"/>
    <w:rsid w:val="0039013B"/>
    <w:rsid w:val="00390529"/>
    <w:rsid w:val="0039052F"/>
    <w:rsid w:val="003905F8"/>
    <w:rsid w:val="00390690"/>
    <w:rsid w:val="00390A3C"/>
    <w:rsid w:val="00390C76"/>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3C6F"/>
    <w:rsid w:val="003940B7"/>
    <w:rsid w:val="0039428E"/>
    <w:rsid w:val="003945AD"/>
    <w:rsid w:val="0039471B"/>
    <w:rsid w:val="003949DC"/>
    <w:rsid w:val="00394C2E"/>
    <w:rsid w:val="00394D22"/>
    <w:rsid w:val="00394F07"/>
    <w:rsid w:val="00394FA1"/>
    <w:rsid w:val="00394FCF"/>
    <w:rsid w:val="00395205"/>
    <w:rsid w:val="00395278"/>
    <w:rsid w:val="0039542B"/>
    <w:rsid w:val="00395443"/>
    <w:rsid w:val="003954F7"/>
    <w:rsid w:val="003958DD"/>
    <w:rsid w:val="00395AE8"/>
    <w:rsid w:val="00395D66"/>
    <w:rsid w:val="00395EB3"/>
    <w:rsid w:val="00395F3D"/>
    <w:rsid w:val="00396146"/>
    <w:rsid w:val="0039621D"/>
    <w:rsid w:val="00396280"/>
    <w:rsid w:val="0039649D"/>
    <w:rsid w:val="003964DC"/>
    <w:rsid w:val="00396563"/>
    <w:rsid w:val="003971B7"/>
    <w:rsid w:val="003972F6"/>
    <w:rsid w:val="003973C2"/>
    <w:rsid w:val="003976F6"/>
    <w:rsid w:val="00397D2B"/>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C6B"/>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97B"/>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650"/>
    <w:rsid w:val="003C26BE"/>
    <w:rsid w:val="003C2893"/>
    <w:rsid w:val="003C2AA0"/>
    <w:rsid w:val="003C2B1A"/>
    <w:rsid w:val="003C31C6"/>
    <w:rsid w:val="003C3435"/>
    <w:rsid w:val="003C40D1"/>
    <w:rsid w:val="003C4179"/>
    <w:rsid w:val="003C47AB"/>
    <w:rsid w:val="003C4AE5"/>
    <w:rsid w:val="003C4B0C"/>
    <w:rsid w:val="003C4BC0"/>
    <w:rsid w:val="003C4E92"/>
    <w:rsid w:val="003C5428"/>
    <w:rsid w:val="003C59A0"/>
    <w:rsid w:val="003C5C2E"/>
    <w:rsid w:val="003C6060"/>
    <w:rsid w:val="003C6068"/>
    <w:rsid w:val="003C622B"/>
    <w:rsid w:val="003C63AA"/>
    <w:rsid w:val="003C6544"/>
    <w:rsid w:val="003C718B"/>
    <w:rsid w:val="003C798A"/>
    <w:rsid w:val="003C79F3"/>
    <w:rsid w:val="003C7AC6"/>
    <w:rsid w:val="003C7BE0"/>
    <w:rsid w:val="003D0685"/>
    <w:rsid w:val="003D0713"/>
    <w:rsid w:val="003D095A"/>
    <w:rsid w:val="003D0D8D"/>
    <w:rsid w:val="003D12A4"/>
    <w:rsid w:val="003D12EE"/>
    <w:rsid w:val="003D182A"/>
    <w:rsid w:val="003D1AB4"/>
    <w:rsid w:val="003D1E77"/>
    <w:rsid w:val="003D21F7"/>
    <w:rsid w:val="003D22E7"/>
    <w:rsid w:val="003D2575"/>
    <w:rsid w:val="003D28FA"/>
    <w:rsid w:val="003D353A"/>
    <w:rsid w:val="003D35BA"/>
    <w:rsid w:val="003D3683"/>
    <w:rsid w:val="003D380B"/>
    <w:rsid w:val="003D3A86"/>
    <w:rsid w:val="003D3E58"/>
    <w:rsid w:val="003D3F01"/>
    <w:rsid w:val="003D40FB"/>
    <w:rsid w:val="003D4385"/>
    <w:rsid w:val="003D440F"/>
    <w:rsid w:val="003D4721"/>
    <w:rsid w:val="003D4960"/>
    <w:rsid w:val="003D4B46"/>
    <w:rsid w:val="003D4F9E"/>
    <w:rsid w:val="003D52ED"/>
    <w:rsid w:val="003D5367"/>
    <w:rsid w:val="003D56FA"/>
    <w:rsid w:val="003D583B"/>
    <w:rsid w:val="003D5A94"/>
    <w:rsid w:val="003D5B28"/>
    <w:rsid w:val="003D5B4F"/>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C5"/>
    <w:rsid w:val="003E24B5"/>
    <w:rsid w:val="003E24D0"/>
    <w:rsid w:val="003E278A"/>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6F"/>
    <w:rsid w:val="003E7070"/>
    <w:rsid w:val="003E708C"/>
    <w:rsid w:val="003E7256"/>
    <w:rsid w:val="003E7698"/>
    <w:rsid w:val="003E776D"/>
    <w:rsid w:val="003E7A80"/>
    <w:rsid w:val="003E7B7D"/>
    <w:rsid w:val="003E7DC8"/>
    <w:rsid w:val="003E7E2F"/>
    <w:rsid w:val="003E7E95"/>
    <w:rsid w:val="003E7ECC"/>
    <w:rsid w:val="003F01E9"/>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2AD7"/>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CD6"/>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2E"/>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BEB"/>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71E6"/>
    <w:rsid w:val="00417614"/>
    <w:rsid w:val="004177B2"/>
    <w:rsid w:val="004178EA"/>
    <w:rsid w:val="0041795B"/>
    <w:rsid w:val="004179BA"/>
    <w:rsid w:val="00417C9B"/>
    <w:rsid w:val="00417D43"/>
    <w:rsid w:val="00417EAC"/>
    <w:rsid w:val="00420319"/>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8CE"/>
    <w:rsid w:val="00427AC9"/>
    <w:rsid w:val="00427FC7"/>
    <w:rsid w:val="004303E7"/>
    <w:rsid w:val="00430458"/>
    <w:rsid w:val="0043063B"/>
    <w:rsid w:val="004306DB"/>
    <w:rsid w:val="004307B3"/>
    <w:rsid w:val="00430BB6"/>
    <w:rsid w:val="00430D75"/>
    <w:rsid w:val="004310DA"/>
    <w:rsid w:val="0043151F"/>
    <w:rsid w:val="004316B1"/>
    <w:rsid w:val="00431AA9"/>
    <w:rsid w:val="00431B31"/>
    <w:rsid w:val="00431BB0"/>
    <w:rsid w:val="00431DDD"/>
    <w:rsid w:val="00431E96"/>
    <w:rsid w:val="004320C8"/>
    <w:rsid w:val="004322FD"/>
    <w:rsid w:val="0043275C"/>
    <w:rsid w:val="00432A0B"/>
    <w:rsid w:val="00432A3E"/>
    <w:rsid w:val="00432AA2"/>
    <w:rsid w:val="00432E1C"/>
    <w:rsid w:val="00432F28"/>
    <w:rsid w:val="00433016"/>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DB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3A2"/>
    <w:rsid w:val="004523BD"/>
    <w:rsid w:val="00452ACB"/>
    <w:rsid w:val="00452BD5"/>
    <w:rsid w:val="00452C3E"/>
    <w:rsid w:val="00453064"/>
    <w:rsid w:val="004531EB"/>
    <w:rsid w:val="00453299"/>
    <w:rsid w:val="004532B5"/>
    <w:rsid w:val="0045348B"/>
    <w:rsid w:val="00453C12"/>
    <w:rsid w:val="00454085"/>
    <w:rsid w:val="0045424A"/>
    <w:rsid w:val="00454540"/>
    <w:rsid w:val="004545AF"/>
    <w:rsid w:val="004547D6"/>
    <w:rsid w:val="0045488D"/>
    <w:rsid w:val="004548CD"/>
    <w:rsid w:val="00454EB7"/>
    <w:rsid w:val="00455062"/>
    <w:rsid w:val="0045530B"/>
    <w:rsid w:val="004555E4"/>
    <w:rsid w:val="00455730"/>
    <w:rsid w:val="004557CE"/>
    <w:rsid w:val="00455E8A"/>
    <w:rsid w:val="004560E8"/>
    <w:rsid w:val="0045651C"/>
    <w:rsid w:val="00456696"/>
    <w:rsid w:val="00456B3B"/>
    <w:rsid w:val="00456C0E"/>
    <w:rsid w:val="00456EAD"/>
    <w:rsid w:val="00456F3F"/>
    <w:rsid w:val="00456F65"/>
    <w:rsid w:val="00456FCF"/>
    <w:rsid w:val="00457293"/>
    <w:rsid w:val="0045730F"/>
    <w:rsid w:val="004574A5"/>
    <w:rsid w:val="00457518"/>
    <w:rsid w:val="0045767A"/>
    <w:rsid w:val="0045770C"/>
    <w:rsid w:val="00457782"/>
    <w:rsid w:val="00457920"/>
    <w:rsid w:val="00457E42"/>
    <w:rsid w:val="00457E89"/>
    <w:rsid w:val="004603FC"/>
    <w:rsid w:val="004605B4"/>
    <w:rsid w:val="0046072C"/>
    <w:rsid w:val="004609E9"/>
    <w:rsid w:val="00460A49"/>
    <w:rsid w:val="00460D85"/>
    <w:rsid w:val="0046140F"/>
    <w:rsid w:val="00461530"/>
    <w:rsid w:val="0046156E"/>
    <w:rsid w:val="004616D4"/>
    <w:rsid w:val="0046172C"/>
    <w:rsid w:val="00461853"/>
    <w:rsid w:val="00461C9E"/>
    <w:rsid w:val="00461F24"/>
    <w:rsid w:val="0046203A"/>
    <w:rsid w:val="00462060"/>
    <w:rsid w:val="004623CB"/>
    <w:rsid w:val="0046243D"/>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2A9"/>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37"/>
    <w:rsid w:val="0047489E"/>
    <w:rsid w:val="004749D7"/>
    <w:rsid w:val="004749FE"/>
    <w:rsid w:val="00474A13"/>
    <w:rsid w:val="00474A73"/>
    <w:rsid w:val="00474B0D"/>
    <w:rsid w:val="00474C07"/>
    <w:rsid w:val="00474CD0"/>
    <w:rsid w:val="00475182"/>
    <w:rsid w:val="0047530A"/>
    <w:rsid w:val="00475468"/>
    <w:rsid w:val="0047565F"/>
    <w:rsid w:val="0047570F"/>
    <w:rsid w:val="00475721"/>
    <w:rsid w:val="004757B0"/>
    <w:rsid w:val="004757F8"/>
    <w:rsid w:val="00475B5A"/>
    <w:rsid w:val="00475CC1"/>
    <w:rsid w:val="00475CC5"/>
    <w:rsid w:val="00476048"/>
    <w:rsid w:val="00476213"/>
    <w:rsid w:val="0047627C"/>
    <w:rsid w:val="00476280"/>
    <w:rsid w:val="0047642D"/>
    <w:rsid w:val="004764C3"/>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34"/>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57B"/>
    <w:rsid w:val="0048368C"/>
    <w:rsid w:val="004836AC"/>
    <w:rsid w:val="00483700"/>
    <w:rsid w:val="00483884"/>
    <w:rsid w:val="00483B1E"/>
    <w:rsid w:val="00483B82"/>
    <w:rsid w:val="00483E4E"/>
    <w:rsid w:val="00484147"/>
    <w:rsid w:val="00484520"/>
    <w:rsid w:val="00484525"/>
    <w:rsid w:val="004845DD"/>
    <w:rsid w:val="004847DB"/>
    <w:rsid w:val="0048493A"/>
    <w:rsid w:val="0048495A"/>
    <w:rsid w:val="00484A77"/>
    <w:rsid w:val="00484FC9"/>
    <w:rsid w:val="00485001"/>
    <w:rsid w:val="00485053"/>
    <w:rsid w:val="0048546D"/>
    <w:rsid w:val="00485549"/>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580"/>
    <w:rsid w:val="00490D21"/>
    <w:rsid w:val="00491389"/>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D65"/>
    <w:rsid w:val="00494E67"/>
    <w:rsid w:val="00494F95"/>
    <w:rsid w:val="004951ED"/>
    <w:rsid w:val="004953DE"/>
    <w:rsid w:val="0049567D"/>
    <w:rsid w:val="00495725"/>
    <w:rsid w:val="00495ACA"/>
    <w:rsid w:val="00495BD2"/>
    <w:rsid w:val="00495D21"/>
    <w:rsid w:val="00495EA5"/>
    <w:rsid w:val="00496096"/>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42C2"/>
    <w:rsid w:val="004A4632"/>
    <w:rsid w:val="004A4CAE"/>
    <w:rsid w:val="004A5687"/>
    <w:rsid w:val="004A5D88"/>
    <w:rsid w:val="004A60CA"/>
    <w:rsid w:val="004A639F"/>
    <w:rsid w:val="004A662B"/>
    <w:rsid w:val="004A678B"/>
    <w:rsid w:val="004A6884"/>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7B1"/>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355"/>
    <w:rsid w:val="004B76EF"/>
    <w:rsid w:val="004B7E9F"/>
    <w:rsid w:val="004C0110"/>
    <w:rsid w:val="004C01DF"/>
    <w:rsid w:val="004C0396"/>
    <w:rsid w:val="004C0918"/>
    <w:rsid w:val="004C092D"/>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46D5"/>
    <w:rsid w:val="004C46ED"/>
    <w:rsid w:val="004C47B5"/>
    <w:rsid w:val="004C4A0C"/>
    <w:rsid w:val="004C4BB1"/>
    <w:rsid w:val="004C4CBE"/>
    <w:rsid w:val="004C4D51"/>
    <w:rsid w:val="004C5188"/>
    <w:rsid w:val="004C5204"/>
    <w:rsid w:val="004C5298"/>
    <w:rsid w:val="004C55DA"/>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408D"/>
    <w:rsid w:val="004E4600"/>
    <w:rsid w:val="004E4752"/>
    <w:rsid w:val="004E47E7"/>
    <w:rsid w:val="004E47EE"/>
    <w:rsid w:val="004E49CA"/>
    <w:rsid w:val="004E4C7B"/>
    <w:rsid w:val="004E4FD9"/>
    <w:rsid w:val="004E500F"/>
    <w:rsid w:val="004E5423"/>
    <w:rsid w:val="004E5471"/>
    <w:rsid w:val="004E5736"/>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FC"/>
    <w:rsid w:val="004F20E0"/>
    <w:rsid w:val="004F2299"/>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6D9A"/>
    <w:rsid w:val="004F73DC"/>
    <w:rsid w:val="004F74E0"/>
    <w:rsid w:val="004F74E8"/>
    <w:rsid w:val="004F750A"/>
    <w:rsid w:val="004F7668"/>
    <w:rsid w:val="004F7687"/>
    <w:rsid w:val="004F7B67"/>
    <w:rsid w:val="004F7C1F"/>
    <w:rsid w:val="004F7D08"/>
    <w:rsid w:val="004F7D9E"/>
    <w:rsid w:val="004F7F88"/>
    <w:rsid w:val="00500030"/>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929"/>
    <w:rsid w:val="00503A27"/>
    <w:rsid w:val="00503FEA"/>
    <w:rsid w:val="005041EC"/>
    <w:rsid w:val="00504654"/>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793"/>
    <w:rsid w:val="00516D8E"/>
    <w:rsid w:val="005170F5"/>
    <w:rsid w:val="00517156"/>
    <w:rsid w:val="0051774E"/>
    <w:rsid w:val="00517B26"/>
    <w:rsid w:val="00517C3D"/>
    <w:rsid w:val="00517D1A"/>
    <w:rsid w:val="00517D81"/>
    <w:rsid w:val="00517D8F"/>
    <w:rsid w:val="00517F8A"/>
    <w:rsid w:val="0052026F"/>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CF"/>
    <w:rsid w:val="005255EF"/>
    <w:rsid w:val="0052575B"/>
    <w:rsid w:val="00525BB8"/>
    <w:rsid w:val="00525BF0"/>
    <w:rsid w:val="00525C09"/>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A1C"/>
    <w:rsid w:val="00530A73"/>
    <w:rsid w:val="00530B76"/>
    <w:rsid w:val="00530D62"/>
    <w:rsid w:val="00531290"/>
    <w:rsid w:val="005313A8"/>
    <w:rsid w:val="00531839"/>
    <w:rsid w:val="00531952"/>
    <w:rsid w:val="00531981"/>
    <w:rsid w:val="00531BD8"/>
    <w:rsid w:val="00532349"/>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61A9"/>
    <w:rsid w:val="00546771"/>
    <w:rsid w:val="00546D07"/>
    <w:rsid w:val="00546D78"/>
    <w:rsid w:val="00546F2E"/>
    <w:rsid w:val="00546F85"/>
    <w:rsid w:val="005470DC"/>
    <w:rsid w:val="0054726F"/>
    <w:rsid w:val="005476B3"/>
    <w:rsid w:val="005477DF"/>
    <w:rsid w:val="00547820"/>
    <w:rsid w:val="005478B4"/>
    <w:rsid w:val="005479DA"/>
    <w:rsid w:val="00550493"/>
    <w:rsid w:val="005507D2"/>
    <w:rsid w:val="00550C06"/>
    <w:rsid w:val="00550C4A"/>
    <w:rsid w:val="0055146F"/>
    <w:rsid w:val="00551484"/>
    <w:rsid w:val="00551564"/>
    <w:rsid w:val="00551825"/>
    <w:rsid w:val="00551837"/>
    <w:rsid w:val="005518B4"/>
    <w:rsid w:val="005519D6"/>
    <w:rsid w:val="00551B3A"/>
    <w:rsid w:val="00551ECC"/>
    <w:rsid w:val="0055208D"/>
    <w:rsid w:val="005521BE"/>
    <w:rsid w:val="00552560"/>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2B"/>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C2F"/>
    <w:rsid w:val="00567C35"/>
    <w:rsid w:val="00567EBE"/>
    <w:rsid w:val="00570003"/>
    <w:rsid w:val="005701FD"/>
    <w:rsid w:val="005702E8"/>
    <w:rsid w:val="0057077E"/>
    <w:rsid w:val="00570A13"/>
    <w:rsid w:val="00570B47"/>
    <w:rsid w:val="00570F72"/>
    <w:rsid w:val="005710BE"/>
    <w:rsid w:val="00571270"/>
    <w:rsid w:val="00571274"/>
    <w:rsid w:val="00571283"/>
    <w:rsid w:val="00571344"/>
    <w:rsid w:val="005713ED"/>
    <w:rsid w:val="0057156C"/>
    <w:rsid w:val="005718C4"/>
    <w:rsid w:val="005718CC"/>
    <w:rsid w:val="005719AB"/>
    <w:rsid w:val="005719EE"/>
    <w:rsid w:val="0057236A"/>
    <w:rsid w:val="0057258A"/>
    <w:rsid w:val="005726A9"/>
    <w:rsid w:val="005728A2"/>
    <w:rsid w:val="00572A1C"/>
    <w:rsid w:val="00572A54"/>
    <w:rsid w:val="00573006"/>
    <w:rsid w:val="00573428"/>
    <w:rsid w:val="005739ED"/>
    <w:rsid w:val="00573BE3"/>
    <w:rsid w:val="00573C1F"/>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B49"/>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D6"/>
    <w:rsid w:val="005842E8"/>
    <w:rsid w:val="005843BF"/>
    <w:rsid w:val="00584463"/>
    <w:rsid w:val="00584585"/>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5397"/>
    <w:rsid w:val="005953DB"/>
    <w:rsid w:val="00595483"/>
    <w:rsid w:val="0059562D"/>
    <w:rsid w:val="00595694"/>
    <w:rsid w:val="00595954"/>
    <w:rsid w:val="00595D95"/>
    <w:rsid w:val="00595D99"/>
    <w:rsid w:val="00596057"/>
    <w:rsid w:val="00596067"/>
    <w:rsid w:val="00596280"/>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A6E"/>
    <w:rsid w:val="005A0B66"/>
    <w:rsid w:val="005A0B79"/>
    <w:rsid w:val="005A0DB6"/>
    <w:rsid w:val="005A1032"/>
    <w:rsid w:val="005A1190"/>
    <w:rsid w:val="005A11DD"/>
    <w:rsid w:val="005A13C5"/>
    <w:rsid w:val="005A1596"/>
    <w:rsid w:val="005A17BF"/>
    <w:rsid w:val="005A18A0"/>
    <w:rsid w:val="005A18D4"/>
    <w:rsid w:val="005A1B2C"/>
    <w:rsid w:val="005A1C4F"/>
    <w:rsid w:val="005A1D4E"/>
    <w:rsid w:val="005A20FE"/>
    <w:rsid w:val="005A2105"/>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C2C"/>
    <w:rsid w:val="005A5D04"/>
    <w:rsid w:val="005A5E16"/>
    <w:rsid w:val="005A5E22"/>
    <w:rsid w:val="005A5FE3"/>
    <w:rsid w:val="005A6144"/>
    <w:rsid w:val="005A616B"/>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52A"/>
    <w:rsid w:val="005B3609"/>
    <w:rsid w:val="005B3748"/>
    <w:rsid w:val="005B3A7B"/>
    <w:rsid w:val="005B3BE8"/>
    <w:rsid w:val="005B3D33"/>
    <w:rsid w:val="005B3E64"/>
    <w:rsid w:val="005B4795"/>
    <w:rsid w:val="005B47EA"/>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236"/>
    <w:rsid w:val="005B72C3"/>
    <w:rsid w:val="005B733E"/>
    <w:rsid w:val="005B7A2B"/>
    <w:rsid w:val="005B7CFD"/>
    <w:rsid w:val="005C0134"/>
    <w:rsid w:val="005C0415"/>
    <w:rsid w:val="005C0659"/>
    <w:rsid w:val="005C06AF"/>
    <w:rsid w:val="005C074C"/>
    <w:rsid w:val="005C07C1"/>
    <w:rsid w:val="005C0D7B"/>
    <w:rsid w:val="005C0DF5"/>
    <w:rsid w:val="005C0DF9"/>
    <w:rsid w:val="005C1371"/>
    <w:rsid w:val="005C15FB"/>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03"/>
    <w:rsid w:val="005D35C1"/>
    <w:rsid w:val="005D36B9"/>
    <w:rsid w:val="005D3A53"/>
    <w:rsid w:val="005D3ACF"/>
    <w:rsid w:val="005D3CFD"/>
    <w:rsid w:val="005D4859"/>
    <w:rsid w:val="005D4C05"/>
    <w:rsid w:val="005D4EDB"/>
    <w:rsid w:val="005D5804"/>
    <w:rsid w:val="005D59D3"/>
    <w:rsid w:val="005D5A69"/>
    <w:rsid w:val="005D60C9"/>
    <w:rsid w:val="005D60DC"/>
    <w:rsid w:val="005D64A6"/>
    <w:rsid w:val="005D65BE"/>
    <w:rsid w:val="005D68F5"/>
    <w:rsid w:val="005D6934"/>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A72"/>
    <w:rsid w:val="005E0F56"/>
    <w:rsid w:val="005E1030"/>
    <w:rsid w:val="005E12EC"/>
    <w:rsid w:val="005E1593"/>
    <w:rsid w:val="005E159A"/>
    <w:rsid w:val="005E1E20"/>
    <w:rsid w:val="005E1F06"/>
    <w:rsid w:val="005E1F5B"/>
    <w:rsid w:val="005E24A4"/>
    <w:rsid w:val="005E259F"/>
    <w:rsid w:val="005E2619"/>
    <w:rsid w:val="005E262C"/>
    <w:rsid w:val="005E2674"/>
    <w:rsid w:val="005E26C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137"/>
    <w:rsid w:val="005F1204"/>
    <w:rsid w:val="005F122F"/>
    <w:rsid w:val="005F17A0"/>
    <w:rsid w:val="005F1983"/>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4FE"/>
    <w:rsid w:val="006105E1"/>
    <w:rsid w:val="00610921"/>
    <w:rsid w:val="00610A5A"/>
    <w:rsid w:val="00610DA9"/>
    <w:rsid w:val="0061106A"/>
    <w:rsid w:val="006111AF"/>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951"/>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ED9"/>
    <w:rsid w:val="00622FC0"/>
    <w:rsid w:val="00623006"/>
    <w:rsid w:val="00623055"/>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9ED"/>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87B"/>
    <w:rsid w:val="006349BB"/>
    <w:rsid w:val="00634C16"/>
    <w:rsid w:val="00634DB8"/>
    <w:rsid w:val="00635017"/>
    <w:rsid w:val="00635301"/>
    <w:rsid w:val="006354F9"/>
    <w:rsid w:val="006356DA"/>
    <w:rsid w:val="0063592D"/>
    <w:rsid w:val="00635AB8"/>
    <w:rsid w:val="00635B5C"/>
    <w:rsid w:val="00635C5D"/>
    <w:rsid w:val="006360DA"/>
    <w:rsid w:val="00636488"/>
    <w:rsid w:val="006364EF"/>
    <w:rsid w:val="00636514"/>
    <w:rsid w:val="006365FA"/>
    <w:rsid w:val="00636C56"/>
    <w:rsid w:val="00636F98"/>
    <w:rsid w:val="00636FCA"/>
    <w:rsid w:val="0063714E"/>
    <w:rsid w:val="006377CD"/>
    <w:rsid w:val="00637CCB"/>
    <w:rsid w:val="0064009B"/>
    <w:rsid w:val="00640710"/>
    <w:rsid w:val="0064073F"/>
    <w:rsid w:val="00640913"/>
    <w:rsid w:val="006412D1"/>
    <w:rsid w:val="006412D5"/>
    <w:rsid w:val="00641325"/>
    <w:rsid w:val="00641563"/>
    <w:rsid w:val="006415CD"/>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84A"/>
    <w:rsid w:val="00646A37"/>
    <w:rsid w:val="00646AB1"/>
    <w:rsid w:val="00646CDE"/>
    <w:rsid w:val="00646D93"/>
    <w:rsid w:val="00646DBF"/>
    <w:rsid w:val="0064702D"/>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C57"/>
    <w:rsid w:val="00651DCA"/>
    <w:rsid w:val="00652003"/>
    <w:rsid w:val="00652128"/>
    <w:rsid w:val="00652623"/>
    <w:rsid w:val="006528C6"/>
    <w:rsid w:val="00652C2A"/>
    <w:rsid w:val="00652D69"/>
    <w:rsid w:val="00652EF1"/>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731"/>
    <w:rsid w:val="00667AE7"/>
    <w:rsid w:val="00667B17"/>
    <w:rsid w:val="00667E09"/>
    <w:rsid w:val="006700D1"/>
    <w:rsid w:val="006700D2"/>
    <w:rsid w:val="006704EA"/>
    <w:rsid w:val="006706FD"/>
    <w:rsid w:val="006709E8"/>
    <w:rsid w:val="00670B2D"/>
    <w:rsid w:val="00670D6C"/>
    <w:rsid w:val="00670D76"/>
    <w:rsid w:val="00670EA9"/>
    <w:rsid w:val="00671299"/>
    <w:rsid w:val="006714CD"/>
    <w:rsid w:val="006718FE"/>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C83"/>
    <w:rsid w:val="00675422"/>
    <w:rsid w:val="00675D63"/>
    <w:rsid w:val="00675DA2"/>
    <w:rsid w:val="0067641D"/>
    <w:rsid w:val="00676582"/>
    <w:rsid w:val="00676A27"/>
    <w:rsid w:val="00676A41"/>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CAB"/>
    <w:rsid w:val="00677EAA"/>
    <w:rsid w:val="00680094"/>
    <w:rsid w:val="00680165"/>
    <w:rsid w:val="00680C58"/>
    <w:rsid w:val="00680C6A"/>
    <w:rsid w:val="00680DB8"/>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40EE"/>
    <w:rsid w:val="00684244"/>
    <w:rsid w:val="0068425E"/>
    <w:rsid w:val="006843D9"/>
    <w:rsid w:val="0068471B"/>
    <w:rsid w:val="006849B1"/>
    <w:rsid w:val="00684A0C"/>
    <w:rsid w:val="00684BD0"/>
    <w:rsid w:val="00684DE6"/>
    <w:rsid w:val="00684F84"/>
    <w:rsid w:val="006853D2"/>
    <w:rsid w:val="006854B7"/>
    <w:rsid w:val="00685556"/>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79"/>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9FA"/>
    <w:rsid w:val="00695AA2"/>
    <w:rsid w:val="00695B64"/>
    <w:rsid w:val="00695DEC"/>
    <w:rsid w:val="00696208"/>
    <w:rsid w:val="00696209"/>
    <w:rsid w:val="0069649B"/>
    <w:rsid w:val="00696607"/>
    <w:rsid w:val="006966DF"/>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87F"/>
    <w:rsid w:val="006A09D7"/>
    <w:rsid w:val="006A1197"/>
    <w:rsid w:val="006A1599"/>
    <w:rsid w:val="006A186E"/>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3FD1"/>
    <w:rsid w:val="006A43F9"/>
    <w:rsid w:val="006A44DD"/>
    <w:rsid w:val="006A4554"/>
    <w:rsid w:val="006A45FA"/>
    <w:rsid w:val="006A4C80"/>
    <w:rsid w:val="006A4F6C"/>
    <w:rsid w:val="006A4FE7"/>
    <w:rsid w:val="006A5139"/>
    <w:rsid w:val="006A52BF"/>
    <w:rsid w:val="006A554F"/>
    <w:rsid w:val="006A56C0"/>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126D"/>
    <w:rsid w:val="006B17D7"/>
    <w:rsid w:val="006B1C48"/>
    <w:rsid w:val="006B22CB"/>
    <w:rsid w:val="006B2436"/>
    <w:rsid w:val="006B25D9"/>
    <w:rsid w:val="006B2EC3"/>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33C"/>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678"/>
    <w:rsid w:val="006C6706"/>
    <w:rsid w:val="006C696E"/>
    <w:rsid w:val="006C69A1"/>
    <w:rsid w:val="006C6B17"/>
    <w:rsid w:val="006C6BFE"/>
    <w:rsid w:val="006C7047"/>
    <w:rsid w:val="006C7068"/>
    <w:rsid w:val="006C72D9"/>
    <w:rsid w:val="006C737B"/>
    <w:rsid w:val="006C784D"/>
    <w:rsid w:val="006C7AB1"/>
    <w:rsid w:val="006C7B1C"/>
    <w:rsid w:val="006C7B69"/>
    <w:rsid w:val="006C7C73"/>
    <w:rsid w:val="006D01B7"/>
    <w:rsid w:val="006D04DC"/>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8D"/>
    <w:rsid w:val="006D39CE"/>
    <w:rsid w:val="006D3F01"/>
    <w:rsid w:val="006D408C"/>
    <w:rsid w:val="006D4379"/>
    <w:rsid w:val="006D44F3"/>
    <w:rsid w:val="006D44FE"/>
    <w:rsid w:val="006D4543"/>
    <w:rsid w:val="006D45B4"/>
    <w:rsid w:val="006D4874"/>
    <w:rsid w:val="006D4942"/>
    <w:rsid w:val="006D4BE5"/>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1C04"/>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92"/>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BCC"/>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F43"/>
    <w:rsid w:val="00703642"/>
    <w:rsid w:val="00703895"/>
    <w:rsid w:val="00703897"/>
    <w:rsid w:val="00703B70"/>
    <w:rsid w:val="00703F5B"/>
    <w:rsid w:val="00704063"/>
    <w:rsid w:val="007040F9"/>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C50"/>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D40"/>
    <w:rsid w:val="00712EE9"/>
    <w:rsid w:val="00713288"/>
    <w:rsid w:val="0071330C"/>
    <w:rsid w:val="0071395B"/>
    <w:rsid w:val="0071407F"/>
    <w:rsid w:val="007142AB"/>
    <w:rsid w:val="00714477"/>
    <w:rsid w:val="0071453F"/>
    <w:rsid w:val="007146A4"/>
    <w:rsid w:val="007146AA"/>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7B1"/>
    <w:rsid w:val="007177C3"/>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413"/>
    <w:rsid w:val="0072651D"/>
    <w:rsid w:val="007265B1"/>
    <w:rsid w:val="00726718"/>
    <w:rsid w:val="0072683B"/>
    <w:rsid w:val="00726ABE"/>
    <w:rsid w:val="00726AC0"/>
    <w:rsid w:val="00726CE5"/>
    <w:rsid w:val="00726D20"/>
    <w:rsid w:val="00726DF5"/>
    <w:rsid w:val="007271FE"/>
    <w:rsid w:val="0072741E"/>
    <w:rsid w:val="007276BF"/>
    <w:rsid w:val="007277DD"/>
    <w:rsid w:val="00727BA6"/>
    <w:rsid w:val="00727DF1"/>
    <w:rsid w:val="00727F75"/>
    <w:rsid w:val="007300AE"/>
    <w:rsid w:val="00730129"/>
    <w:rsid w:val="00730411"/>
    <w:rsid w:val="00730698"/>
    <w:rsid w:val="0073087A"/>
    <w:rsid w:val="00730AD1"/>
    <w:rsid w:val="00730C14"/>
    <w:rsid w:val="00730D17"/>
    <w:rsid w:val="00730E8F"/>
    <w:rsid w:val="00730FF6"/>
    <w:rsid w:val="0073112A"/>
    <w:rsid w:val="00731160"/>
    <w:rsid w:val="00731172"/>
    <w:rsid w:val="0073133E"/>
    <w:rsid w:val="00731661"/>
    <w:rsid w:val="00731989"/>
    <w:rsid w:val="00731A60"/>
    <w:rsid w:val="00731B21"/>
    <w:rsid w:val="00731B7B"/>
    <w:rsid w:val="00731BB1"/>
    <w:rsid w:val="00731E40"/>
    <w:rsid w:val="007321B2"/>
    <w:rsid w:val="007323FA"/>
    <w:rsid w:val="007325EF"/>
    <w:rsid w:val="00732781"/>
    <w:rsid w:val="0073280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82A"/>
    <w:rsid w:val="00736A9C"/>
    <w:rsid w:val="00736D06"/>
    <w:rsid w:val="00736D84"/>
    <w:rsid w:val="00736DD9"/>
    <w:rsid w:val="007370EC"/>
    <w:rsid w:val="007370FF"/>
    <w:rsid w:val="00737C09"/>
    <w:rsid w:val="00737C63"/>
    <w:rsid w:val="00737C7B"/>
    <w:rsid w:val="00737E77"/>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CE6"/>
    <w:rsid w:val="00746D07"/>
    <w:rsid w:val="00746F87"/>
    <w:rsid w:val="00747081"/>
    <w:rsid w:val="007472D2"/>
    <w:rsid w:val="00747337"/>
    <w:rsid w:val="0074733F"/>
    <w:rsid w:val="00747474"/>
    <w:rsid w:val="007476A3"/>
    <w:rsid w:val="00747983"/>
    <w:rsid w:val="007479A4"/>
    <w:rsid w:val="00747A2B"/>
    <w:rsid w:val="00747AEC"/>
    <w:rsid w:val="00747B8F"/>
    <w:rsid w:val="0075074F"/>
    <w:rsid w:val="007508A7"/>
    <w:rsid w:val="007509FA"/>
    <w:rsid w:val="00750A30"/>
    <w:rsid w:val="00750EE9"/>
    <w:rsid w:val="00751063"/>
    <w:rsid w:val="00751398"/>
    <w:rsid w:val="0075149B"/>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880"/>
    <w:rsid w:val="00760A94"/>
    <w:rsid w:val="007615A5"/>
    <w:rsid w:val="0076166E"/>
    <w:rsid w:val="00761709"/>
    <w:rsid w:val="00761891"/>
    <w:rsid w:val="00761944"/>
    <w:rsid w:val="00761978"/>
    <w:rsid w:val="00761E3A"/>
    <w:rsid w:val="00761FB3"/>
    <w:rsid w:val="0076205D"/>
    <w:rsid w:val="007624A7"/>
    <w:rsid w:val="00763296"/>
    <w:rsid w:val="0076339C"/>
    <w:rsid w:val="007633AE"/>
    <w:rsid w:val="0076358B"/>
    <w:rsid w:val="0076361D"/>
    <w:rsid w:val="007638B8"/>
    <w:rsid w:val="007639A1"/>
    <w:rsid w:val="00763AA9"/>
    <w:rsid w:val="007640DC"/>
    <w:rsid w:val="0076412F"/>
    <w:rsid w:val="007641CD"/>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384"/>
    <w:rsid w:val="007676AA"/>
    <w:rsid w:val="00767B55"/>
    <w:rsid w:val="00767F4A"/>
    <w:rsid w:val="00770067"/>
    <w:rsid w:val="0077028E"/>
    <w:rsid w:val="007702B9"/>
    <w:rsid w:val="007708A2"/>
    <w:rsid w:val="007708A4"/>
    <w:rsid w:val="00770EC7"/>
    <w:rsid w:val="00770FAB"/>
    <w:rsid w:val="00771144"/>
    <w:rsid w:val="007712B4"/>
    <w:rsid w:val="007713B5"/>
    <w:rsid w:val="007716C6"/>
    <w:rsid w:val="00771AAB"/>
    <w:rsid w:val="00771DB7"/>
    <w:rsid w:val="00771FF3"/>
    <w:rsid w:val="00772266"/>
    <w:rsid w:val="0077263F"/>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0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BA5"/>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096"/>
    <w:rsid w:val="0078157F"/>
    <w:rsid w:val="007815B3"/>
    <w:rsid w:val="00781B8B"/>
    <w:rsid w:val="00781DF7"/>
    <w:rsid w:val="00781EFC"/>
    <w:rsid w:val="00781F3D"/>
    <w:rsid w:val="007823B0"/>
    <w:rsid w:val="00782434"/>
    <w:rsid w:val="00782816"/>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50B"/>
    <w:rsid w:val="00790560"/>
    <w:rsid w:val="007907D1"/>
    <w:rsid w:val="00790B73"/>
    <w:rsid w:val="00790BB7"/>
    <w:rsid w:val="00790BD5"/>
    <w:rsid w:val="00790C52"/>
    <w:rsid w:val="0079113E"/>
    <w:rsid w:val="00791563"/>
    <w:rsid w:val="0079175E"/>
    <w:rsid w:val="00791D2B"/>
    <w:rsid w:val="00792315"/>
    <w:rsid w:val="00792485"/>
    <w:rsid w:val="00792753"/>
    <w:rsid w:val="00792C0A"/>
    <w:rsid w:val="00792E14"/>
    <w:rsid w:val="00792F21"/>
    <w:rsid w:val="0079343F"/>
    <w:rsid w:val="007934B5"/>
    <w:rsid w:val="007935B3"/>
    <w:rsid w:val="007935D4"/>
    <w:rsid w:val="007936CC"/>
    <w:rsid w:val="00793963"/>
    <w:rsid w:val="00793A50"/>
    <w:rsid w:val="00793CD9"/>
    <w:rsid w:val="00793F48"/>
    <w:rsid w:val="007940BE"/>
    <w:rsid w:val="00794744"/>
    <w:rsid w:val="0079490D"/>
    <w:rsid w:val="00794BAF"/>
    <w:rsid w:val="00794C0E"/>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1C0"/>
    <w:rsid w:val="007A23C1"/>
    <w:rsid w:val="007A24E3"/>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DCE"/>
    <w:rsid w:val="007B326F"/>
    <w:rsid w:val="007B35F6"/>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74"/>
    <w:rsid w:val="007B5CBC"/>
    <w:rsid w:val="007B5D95"/>
    <w:rsid w:val="007B6096"/>
    <w:rsid w:val="007B613C"/>
    <w:rsid w:val="007B6377"/>
    <w:rsid w:val="007B66A9"/>
    <w:rsid w:val="007B687F"/>
    <w:rsid w:val="007B6BEA"/>
    <w:rsid w:val="007B70A9"/>
    <w:rsid w:val="007B71E9"/>
    <w:rsid w:val="007B74C8"/>
    <w:rsid w:val="007B76BC"/>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83D"/>
    <w:rsid w:val="007D1B08"/>
    <w:rsid w:val="007D1F9C"/>
    <w:rsid w:val="007D20ED"/>
    <w:rsid w:val="007D2BD0"/>
    <w:rsid w:val="007D2EA2"/>
    <w:rsid w:val="007D2EDC"/>
    <w:rsid w:val="007D32AC"/>
    <w:rsid w:val="007D3302"/>
    <w:rsid w:val="007D37D9"/>
    <w:rsid w:val="007D3B68"/>
    <w:rsid w:val="007D3FAB"/>
    <w:rsid w:val="007D40F0"/>
    <w:rsid w:val="007D42C6"/>
    <w:rsid w:val="007D47A7"/>
    <w:rsid w:val="007D47CB"/>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E22"/>
    <w:rsid w:val="007E0600"/>
    <w:rsid w:val="007E0618"/>
    <w:rsid w:val="007E087F"/>
    <w:rsid w:val="007E0D16"/>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5125"/>
    <w:rsid w:val="007E552C"/>
    <w:rsid w:val="007E5559"/>
    <w:rsid w:val="007E569A"/>
    <w:rsid w:val="007E58BD"/>
    <w:rsid w:val="007E5C24"/>
    <w:rsid w:val="007E5CDC"/>
    <w:rsid w:val="007E5F84"/>
    <w:rsid w:val="007E621C"/>
    <w:rsid w:val="007E6417"/>
    <w:rsid w:val="007E645C"/>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EA5"/>
    <w:rsid w:val="007F1F13"/>
    <w:rsid w:val="007F2112"/>
    <w:rsid w:val="007F2165"/>
    <w:rsid w:val="007F2593"/>
    <w:rsid w:val="007F29DD"/>
    <w:rsid w:val="007F2B2E"/>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628"/>
    <w:rsid w:val="00800ADC"/>
    <w:rsid w:val="00800CE8"/>
    <w:rsid w:val="00801085"/>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6FD"/>
    <w:rsid w:val="00804827"/>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614"/>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2D74"/>
    <w:rsid w:val="008130EC"/>
    <w:rsid w:val="0081343A"/>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17FC4"/>
    <w:rsid w:val="008202A7"/>
    <w:rsid w:val="008202FD"/>
    <w:rsid w:val="0082032A"/>
    <w:rsid w:val="008207C5"/>
    <w:rsid w:val="00820B78"/>
    <w:rsid w:val="008210E7"/>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8F9"/>
    <w:rsid w:val="00823B12"/>
    <w:rsid w:val="00823C70"/>
    <w:rsid w:val="00823D68"/>
    <w:rsid w:val="00824058"/>
    <w:rsid w:val="00824643"/>
    <w:rsid w:val="00824BA0"/>
    <w:rsid w:val="00824D8B"/>
    <w:rsid w:val="00824DCD"/>
    <w:rsid w:val="00825058"/>
    <w:rsid w:val="0082522E"/>
    <w:rsid w:val="008252E4"/>
    <w:rsid w:val="00825324"/>
    <w:rsid w:val="00825F07"/>
    <w:rsid w:val="00825F13"/>
    <w:rsid w:val="0082600A"/>
    <w:rsid w:val="0082664A"/>
    <w:rsid w:val="00826A97"/>
    <w:rsid w:val="00826AD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4F8"/>
    <w:rsid w:val="00831558"/>
    <w:rsid w:val="008317FF"/>
    <w:rsid w:val="00831AE9"/>
    <w:rsid w:val="0083204E"/>
    <w:rsid w:val="00832626"/>
    <w:rsid w:val="00832742"/>
    <w:rsid w:val="00832881"/>
    <w:rsid w:val="00833076"/>
    <w:rsid w:val="008331FA"/>
    <w:rsid w:val="00833574"/>
    <w:rsid w:val="008339EF"/>
    <w:rsid w:val="00833AD3"/>
    <w:rsid w:val="00833D4A"/>
    <w:rsid w:val="00833F39"/>
    <w:rsid w:val="00834075"/>
    <w:rsid w:val="008343A0"/>
    <w:rsid w:val="008345B9"/>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089"/>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3FA"/>
    <w:rsid w:val="00844520"/>
    <w:rsid w:val="008445D8"/>
    <w:rsid w:val="008446A4"/>
    <w:rsid w:val="00844AF0"/>
    <w:rsid w:val="00844CA9"/>
    <w:rsid w:val="00844D4B"/>
    <w:rsid w:val="00844DA5"/>
    <w:rsid w:val="00844DD1"/>
    <w:rsid w:val="00844E07"/>
    <w:rsid w:val="008456A1"/>
    <w:rsid w:val="00845845"/>
    <w:rsid w:val="00845C18"/>
    <w:rsid w:val="00845C1A"/>
    <w:rsid w:val="00845D6B"/>
    <w:rsid w:val="00846E5E"/>
    <w:rsid w:val="00846FAD"/>
    <w:rsid w:val="00847390"/>
    <w:rsid w:val="008473E8"/>
    <w:rsid w:val="00847596"/>
    <w:rsid w:val="00847819"/>
    <w:rsid w:val="00847A91"/>
    <w:rsid w:val="00847BBC"/>
    <w:rsid w:val="00847D1F"/>
    <w:rsid w:val="00847DFE"/>
    <w:rsid w:val="00847E8F"/>
    <w:rsid w:val="00850052"/>
    <w:rsid w:val="008501E8"/>
    <w:rsid w:val="008507BB"/>
    <w:rsid w:val="008507EF"/>
    <w:rsid w:val="00850ABC"/>
    <w:rsid w:val="00851221"/>
    <w:rsid w:val="00851337"/>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84C"/>
    <w:rsid w:val="008539B4"/>
    <w:rsid w:val="00853ACA"/>
    <w:rsid w:val="00853BA6"/>
    <w:rsid w:val="00853CE9"/>
    <w:rsid w:val="00853D8A"/>
    <w:rsid w:val="00854639"/>
    <w:rsid w:val="008546FA"/>
    <w:rsid w:val="0085483C"/>
    <w:rsid w:val="00854930"/>
    <w:rsid w:val="00854B09"/>
    <w:rsid w:val="00854BC9"/>
    <w:rsid w:val="00854D0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443"/>
    <w:rsid w:val="008635BA"/>
    <w:rsid w:val="00863797"/>
    <w:rsid w:val="00863876"/>
    <w:rsid w:val="00863CFB"/>
    <w:rsid w:val="00863E61"/>
    <w:rsid w:val="00863E6E"/>
    <w:rsid w:val="00863FCD"/>
    <w:rsid w:val="0086414A"/>
    <w:rsid w:val="00864912"/>
    <w:rsid w:val="00864AC2"/>
    <w:rsid w:val="00864C91"/>
    <w:rsid w:val="00864E15"/>
    <w:rsid w:val="008652E8"/>
    <w:rsid w:val="0086552A"/>
    <w:rsid w:val="008655C3"/>
    <w:rsid w:val="008657EC"/>
    <w:rsid w:val="00865954"/>
    <w:rsid w:val="00865A32"/>
    <w:rsid w:val="00866177"/>
    <w:rsid w:val="0086624A"/>
    <w:rsid w:val="00866A25"/>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339"/>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23C"/>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2FC7"/>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A0191"/>
    <w:rsid w:val="008A03DD"/>
    <w:rsid w:val="008A03F7"/>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048"/>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702C"/>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CCE"/>
    <w:rsid w:val="008B1D73"/>
    <w:rsid w:val="008B22E3"/>
    <w:rsid w:val="008B2447"/>
    <w:rsid w:val="008B27D1"/>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2FA"/>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1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AEC"/>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B85"/>
    <w:rsid w:val="008C7F9C"/>
    <w:rsid w:val="008D0094"/>
    <w:rsid w:val="008D02FB"/>
    <w:rsid w:val="008D0536"/>
    <w:rsid w:val="008D06FA"/>
    <w:rsid w:val="008D093A"/>
    <w:rsid w:val="008D1076"/>
    <w:rsid w:val="008D12D0"/>
    <w:rsid w:val="008D1466"/>
    <w:rsid w:val="008D14D5"/>
    <w:rsid w:val="008D1618"/>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6C1"/>
    <w:rsid w:val="008E1744"/>
    <w:rsid w:val="008E197A"/>
    <w:rsid w:val="008E1A49"/>
    <w:rsid w:val="008E1B57"/>
    <w:rsid w:val="008E1DCB"/>
    <w:rsid w:val="008E25D4"/>
    <w:rsid w:val="008E2941"/>
    <w:rsid w:val="008E2D28"/>
    <w:rsid w:val="008E2F94"/>
    <w:rsid w:val="008E349C"/>
    <w:rsid w:val="008E38FF"/>
    <w:rsid w:val="008E3994"/>
    <w:rsid w:val="008E3AEE"/>
    <w:rsid w:val="008E3B0F"/>
    <w:rsid w:val="008E3C33"/>
    <w:rsid w:val="008E3D38"/>
    <w:rsid w:val="008E42E7"/>
    <w:rsid w:val="008E4645"/>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622"/>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9C6"/>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9DB"/>
    <w:rsid w:val="00905FFA"/>
    <w:rsid w:val="0090604B"/>
    <w:rsid w:val="00906279"/>
    <w:rsid w:val="009064BC"/>
    <w:rsid w:val="0090668E"/>
    <w:rsid w:val="009068DC"/>
    <w:rsid w:val="009069B1"/>
    <w:rsid w:val="009069F9"/>
    <w:rsid w:val="00906F2C"/>
    <w:rsid w:val="009074BB"/>
    <w:rsid w:val="0090751E"/>
    <w:rsid w:val="0090764C"/>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0BA"/>
    <w:rsid w:val="0091427D"/>
    <w:rsid w:val="009142F2"/>
    <w:rsid w:val="009143AA"/>
    <w:rsid w:val="0091464F"/>
    <w:rsid w:val="009148F9"/>
    <w:rsid w:val="00914B5F"/>
    <w:rsid w:val="00914C57"/>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01B"/>
    <w:rsid w:val="009221AF"/>
    <w:rsid w:val="00922462"/>
    <w:rsid w:val="0092248E"/>
    <w:rsid w:val="009226CB"/>
    <w:rsid w:val="00922836"/>
    <w:rsid w:val="00922AEE"/>
    <w:rsid w:val="00922CC7"/>
    <w:rsid w:val="00922E42"/>
    <w:rsid w:val="00922F4E"/>
    <w:rsid w:val="009230C9"/>
    <w:rsid w:val="0092314C"/>
    <w:rsid w:val="009231C9"/>
    <w:rsid w:val="00923418"/>
    <w:rsid w:val="00923577"/>
    <w:rsid w:val="00923632"/>
    <w:rsid w:val="00923644"/>
    <w:rsid w:val="00923726"/>
    <w:rsid w:val="00923A70"/>
    <w:rsid w:val="00923C32"/>
    <w:rsid w:val="00923D12"/>
    <w:rsid w:val="00923E10"/>
    <w:rsid w:val="00923FCA"/>
    <w:rsid w:val="00924011"/>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693B"/>
    <w:rsid w:val="009372F1"/>
    <w:rsid w:val="00937513"/>
    <w:rsid w:val="009376DA"/>
    <w:rsid w:val="009377A5"/>
    <w:rsid w:val="009378C2"/>
    <w:rsid w:val="00937A98"/>
    <w:rsid w:val="00937C59"/>
    <w:rsid w:val="00937FDB"/>
    <w:rsid w:val="009402DE"/>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CD7"/>
    <w:rsid w:val="00943D0A"/>
    <w:rsid w:val="009440A2"/>
    <w:rsid w:val="00944664"/>
    <w:rsid w:val="00944894"/>
    <w:rsid w:val="00944A47"/>
    <w:rsid w:val="00944E4A"/>
    <w:rsid w:val="00945B14"/>
    <w:rsid w:val="00945DCE"/>
    <w:rsid w:val="00945E14"/>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56B"/>
    <w:rsid w:val="0095297B"/>
    <w:rsid w:val="00952B6A"/>
    <w:rsid w:val="00952BC0"/>
    <w:rsid w:val="00952E74"/>
    <w:rsid w:val="0095308B"/>
    <w:rsid w:val="009532C4"/>
    <w:rsid w:val="009533E0"/>
    <w:rsid w:val="0095363B"/>
    <w:rsid w:val="009537CA"/>
    <w:rsid w:val="009539E8"/>
    <w:rsid w:val="00953A0F"/>
    <w:rsid w:val="00953D1B"/>
    <w:rsid w:val="009541DA"/>
    <w:rsid w:val="00954640"/>
    <w:rsid w:val="0095478B"/>
    <w:rsid w:val="00954837"/>
    <w:rsid w:val="0095490F"/>
    <w:rsid w:val="00954A4F"/>
    <w:rsid w:val="00954AC0"/>
    <w:rsid w:val="00954F17"/>
    <w:rsid w:val="00955592"/>
    <w:rsid w:val="00955641"/>
    <w:rsid w:val="00955662"/>
    <w:rsid w:val="00956748"/>
    <w:rsid w:val="009567AE"/>
    <w:rsid w:val="00956BBE"/>
    <w:rsid w:val="0095736B"/>
    <w:rsid w:val="00957382"/>
    <w:rsid w:val="009573ED"/>
    <w:rsid w:val="009574CB"/>
    <w:rsid w:val="00957854"/>
    <w:rsid w:val="00957F6E"/>
    <w:rsid w:val="0096039F"/>
    <w:rsid w:val="0096057B"/>
    <w:rsid w:val="00960775"/>
    <w:rsid w:val="009607E1"/>
    <w:rsid w:val="00960893"/>
    <w:rsid w:val="00960EC2"/>
    <w:rsid w:val="00960F1C"/>
    <w:rsid w:val="00960F1F"/>
    <w:rsid w:val="0096106B"/>
    <w:rsid w:val="0096132A"/>
    <w:rsid w:val="00961408"/>
    <w:rsid w:val="00962116"/>
    <w:rsid w:val="009623DD"/>
    <w:rsid w:val="00962CC7"/>
    <w:rsid w:val="00962E48"/>
    <w:rsid w:val="0096305B"/>
    <w:rsid w:val="009633B5"/>
    <w:rsid w:val="009638F0"/>
    <w:rsid w:val="00963DCD"/>
    <w:rsid w:val="00963E48"/>
    <w:rsid w:val="00963F16"/>
    <w:rsid w:val="00964121"/>
    <w:rsid w:val="00964479"/>
    <w:rsid w:val="00964610"/>
    <w:rsid w:val="00964AD0"/>
    <w:rsid w:val="00964B2B"/>
    <w:rsid w:val="00964B8F"/>
    <w:rsid w:val="00964BBA"/>
    <w:rsid w:val="00964D3D"/>
    <w:rsid w:val="00964D90"/>
    <w:rsid w:val="0096569A"/>
    <w:rsid w:val="00965774"/>
    <w:rsid w:val="00965B6C"/>
    <w:rsid w:val="00965F9B"/>
    <w:rsid w:val="009660DA"/>
    <w:rsid w:val="00966479"/>
    <w:rsid w:val="00966551"/>
    <w:rsid w:val="009665A0"/>
    <w:rsid w:val="0096663D"/>
    <w:rsid w:val="009667CA"/>
    <w:rsid w:val="00966A6B"/>
    <w:rsid w:val="009670E1"/>
    <w:rsid w:val="009672E7"/>
    <w:rsid w:val="009677C3"/>
    <w:rsid w:val="009679E7"/>
    <w:rsid w:val="00967DA4"/>
    <w:rsid w:val="00967EA8"/>
    <w:rsid w:val="00970311"/>
    <w:rsid w:val="009703D8"/>
    <w:rsid w:val="009704C6"/>
    <w:rsid w:val="00970529"/>
    <w:rsid w:val="00970D22"/>
    <w:rsid w:val="00971212"/>
    <w:rsid w:val="00971507"/>
    <w:rsid w:val="00971B0C"/>
    <w:rsid w:val="00971B96"/>
    <w:rsid w:val="00971BD3"/>
    <w:rsid w:val="00971CFD"/>
    <w:rsid w:val="00971F48"/>
    <w:rsid w:val="00971F4C"/>
    <w:rsid w:val="0097228E"/>
    <w:rsid w:val="009723EC"/>
    <w:rsid w:val="00972686"/>
    <w:rsid w:val="00972688"/>
    <w:rsid w:val="009726F1"/>
    <w:rsid w:val="00972783"/>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2FA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8F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41"/>
    <w:rsid w:val="00995297"/>
    <w:rsid w:val="0099598B"/>
    <w:rsid w:val="00995BB9"/>
    <w:rsid w:val="00995DBA"/>
    <w:rsid w:val="00995E77"/>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E08"/>
    <w:rsid w:val="009A1560"/>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46"/>
    <w:rsid w:val="009A7BA1"/>
    <w:rsid w:val="009B03CC"/>
    <w:rsid w:val="009B05BF"/>
    <w:rsid w:val="009B08C9"/>
    <w:rsid w:val="009B0AA6"/>
    <w:rsid w:val="009B1274"/>
    <w:rsid w:val="009B18BD"/>
    <w:rsid w:val="009B20C8"/>
    <w:rsid w:val="009B213B"/>
    <w:rsid w:val="009B2222"/>
    <w:rsid w:val="009B2250"/>
    <w:rsid w:val="009B266D"/>
    <w:rsid w:val="009B2703"/>
    <w:rsid w:val="009B2AA8"/>
    <w:rsid w:val="009B2ADA"/>
    <w:rsid w:val="009B2BCE"/>
    <w:rsid w:val="009B2C3C"/>
    <w:rsid w:val="009B2F54"/>
    <w:rsid w:val="009B3311"/>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5FF7"/>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636"/>
    <w:rsid w:val="009C0A1B"/>
    <w:rsid w:val="009C0D9E"/>
    <w:rsid w:val="009C0DAB"/>
    <w:rsid w:val="009C132B"/>
    <w:rsid w:val="009C1398"/>
    <w:rsid w:val="009C14CC"/>
    <w:rsid w:val="009C14DA"/>
    <w:rsid w:val="009C154B"/>
    <w:rsid w:val="009C19F7"/>
    <w:rsid w:val="009C1BB4"/>
    <w:rsid w:val="009C1BBD"/>
    <w:rsid w:val="009C1C78"/>
    <w:rsid w:val="009C1FB6"/>
    <w:rsid w:val="009C20C6"/>
    <w:rsid w:val="009C2A89"/>
    <w:rsid w:val="009C2ADB"/>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CC2"/>
    <w:rsid w:val="009D1DFA"/>
    <w:rsid w:val="009D217C"/>
    <w:rsid w:val="009D2339"/>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A0F"/>
    <w:rsid w:val="009D7D00"/>
    <w:rsid w:val="009D7D52"/>
    <w:rsid w:val="009E02A1"/>
    <w:rsid w:val="009E0936"/>
    <w:rsid w:val="009E1593"/>
    <w:rsid w:val="009E1972"/>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D54"/>
    <w:rsid w:val="009E4FC0"/>
    <w:rsid w:val="009E5089"/>
    <w:rsid w:val="009E525D"/>
    <w:rsid w:val="009E5509"/>
    <w:rsid w:val="009E55D5"/>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BF4"/>
    <w:rsid w:val="009F5FF2"/>
    <w:rsid w:val="009F61B8"/>
    <w:rsid w:val="009F6939"/>
    <w:rsid w:val="009F6949"/>
    <w:rsid w:val="009F6A16"/>
    <w:rsid w:val="009F6CFD"/>
    <w:rsid w:val="009F6F51"/>
    <w:rsid w:val="009F71D3"/>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AF9"/>
    <w:rsid w:val="00A01E9D"/>
    <w:rsid w:val="00A023FF"/>
    <w:rsid w:val="00A02B1B"/>
    <w:rsid w:val="00A02B2D"/>
    <w:rsid w:val="00A02E79"/>
    <w:rsid w:val="00A02F47"/>
    <w:rsid w:val="00A0311E"/>
    <w:rsid w:val="00A032CE"/>
    <w:rsid w:val="00A03371"/>
    <w:rsid w:val="00A0341E"/>
    <w:rsid w:val="00A03586"/>
    <w:rsid w:val="00A03937"/>
    <w:rsid w:val="00A03BF7"/>
    <w:rsid w:val="00A03FC9"/>
    <w:rsid w:val="00A04310"/>
    <w:rsid w:val="00A047D1"/>
    <w:rsid w:val="00A04B62"/>
    <w:rsid w:val="00A04BC8"/>
    <w:rsid w:val="00A0523C"/>
    <w:rsid w:val="00A055AE"/>
    <w:rsid w:val="00A0632B"/>
    <w:rsid w:val="00A06443"/>
    <w:rsid w:val="00A06564"/>
    <w:rsid w:val="00A06C1E"/>
    <w:rsid w:val="00A06C67"/>
    <w:rsid w:val="00A06F65"/>
    <w:rsid w:val="00A07267"/>
    <w:rsid w:val="00A0743E"/>
    <w:rsid w:val="00A076DA"/>
    <w:rsid w:val="00A077B8"/>
    <w:rsid w:val="00A100CD"/>
    <w:rsid w:val="00A1017B"/>
    <w:rsid w:val="00A1075E"/>
    <w:rsid w:val="00A10F49"/>
    <w:rsid w:val="00A10FA7"/>
    <w:rsid w:val="00A11148"/>
    <w:rsid w:val="00A112D6"/>
    <w:rsid w:val="00A113E3"/>
    <w:rsid w:val="00A1156B"/>
    <w:rsid w:val="00A115D0"/>
    <w:rsid w:val="00A117A8"/>
    <w:rsid w:val="00A118EE"/>
    <w:rsid w:val="00A11BF7"/>
    <w:rsid w:val="00A11BFD"/>
    <w:rsid w:val="00A1201D"/>
    <w:rsid w:val="00A1211D"/>
    <w:rsid w:val="00A121F9"/>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5B6"/>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BFA"/>
    <w:rsid w:val="00A17C46"/>
    <w:rsid w:val="00A20072"/>
    <w:rsid w:val="00A201CE"/>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1EDC"/>
    <w:rsid w:val="00A21FD4"/>
    <w:rsid w:val="00A2230A"/>
    <w:rsid w:val="00A22721"/>
    <w:rsid w:val="00A22ED9"/>
    <w:rsid w:val="00A22EF6"/>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9D7"/>
    <w:rsid w:val="00A30DDA"/>
    <w:rsid w:val="00A3152B"/>
    <w:rsid w:val="00A317F8"/>
    <w:rsid w:val="00A31996"/>
    <w:rsid w:val="00A31CBA"/>
    <w:rsid w:val="00A31CCB"/>
    <w:rsid w:val="00A31F5B"/>
    <w:rsid w:val="00A31F90"/>
    <w:rsid w:val="00A3206B"/>
    <w:rsid w:val="00A32582"/>
    <w:rsid w:val="00A326E3"/>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46"/>
    <w:rsid w:val="00A375BD"/>
    <w:rsid w:val="00A378F7"/>
    <w:rsid w:val="00A37D30"/>
    <w:rsid w:val="00A37D60"/>
    <w:rsid w:val="00A40099"/>
    <w:rsid w:val="00A402A4"/>
    <w:rsid w:val="00A405DA"/>
    <w:rsid w:val="00A407BE"/>
    <w:rsid w:val="00A40B42"/>
    <w:rsid w:val="00A40C48"/>
    <w:rsid w:val="00A40DD2"/>
    <w:rsid w:val="00A40E09"/>
    <w:rsid w:val="00A40EBA"/>
    <w:rsid w:val="00A40F10"/>
    <w:rsid w:val="00A41FB2"/>
    <w:rsid w:val="00A4224B"/>
    <w:rsid w:val="00A423DE"/>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44"/>
    <w:rsid w:val="00A46BAA"/>
    <w:rsid w:val="00A471A2"/>
    <w:rsid w:val="00A474B6"/>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740"/>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C0A"/>
    <w:rsid w:val="00A65CF3"/>
    <w:rsid w:val="00A65D68"/>
    <w:rsid w:val="00A65E19"/>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0F79"/>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BFC"/>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08B"/>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35C"/>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FA7"/>
    <w:rsid w:val="00A87228"/>
    <w:rsid w:val="00A878E7"/>
    <w:rsid w:val="00A8796B"/>
    <w:rsid w:val="00A87EF5"/>
    <w:rsid w:val="00A87F79"/>
    <w:rsid w:val="00A90089"/>
    <w:rsid w:val="00A900C1"/>
    <w:rsid w:val="00A90336"/>
    <w:rsid w:val="00A909A6"/>
    <w:rsid w:val="00A909E1"/>
    <w:rsid w:val="00A90B18"/>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4C94"/>
    <w:rsid w:val="00A94EC9"/>
    <w:rsid w:val="00A9531D"/>
    <w:rsid w:val="00A95431"/>
    <w:rsid w:val="00A954E9"/>
    <w:rsid w:val="00A95547"/>
    <w:rsid w:val="00A95A64"/>
    <w:rsid w:val="00A95AE2"/>
    <w:rsid w:val="00A95BF5"/>
    <w:rsid w:val="00A95D05"/>
    <w:rsid w:val="00A95D3F"/>
    <w:rsid w:val="00A960D9"/>
    <w:rsid w:val="00A962B9"/>
    <w:rsid w:val="00A96882"/>
    <w:rsid w:val="00A969C8"/>
    <w:rsid w:val="00A97068"/>
    <w:rsid w:val="00A9769B"/>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C6B"/>
    <w:rsid w:val="00AA212F"/>
    <w:rsid w:val="00AA22E2"/>
    <w:rsid w:val="00AA2411"/>
    <w:rsid w:val="00AA26C1"/>
    <w:rsid w:val="00AA29BE"/>
    <w:rsid w:val="00AA2C24"/>
    <w:rsid w:val="00AA2E0D"/>
    <w:rsid w:val="00AA2E14"/>
    <w:rsid w:val="00AA300A"/>
    <w:rsid w:val="00AA3174"/>
    <w:rsid w:val="00AA3189"/>
    <w:rsid w:val="00AA3410"/>
    <w:rsid w:val="00AA3EEF"/>
    <w:rsid w:val="00AA3FB2"/>
    <w:rsid w:val="00AA4498"/>
    <w:rsid w:val="00AA48A8"/>
    <w:rsid w:val="00AA4AFA"/>
    <w:rsid w:val="00AA4C5F"/>
    <w:rsid w:val="00AA4F25"/>
    <w:rsid w:val="00AA539B"/>
    <w:rsid w:val="00AA5761"/>
    <w:rsid w:val="00AA5846"/>
    <w:rsid w:val="00AA588F"/>
    <w:rsid w:val="00AA5CC7"/>
    <w:rsid w:val="00AA6000"/>
    <w:rsid w:val="00AA65CD"/>
    <w:rsid w:val="00AA66CA"/>
    <w:rsid w:val="00AA67FD"/>
    <w:rsid w:val="00AA696B"/>
    <w:rsid w:val="00AA6C55"/>
    <w:rsid w:val="00AA703D"/>
    <w:rsid w:val="00AA71F6"/>
    <w:rsid w:val="00AA7232"/>
    <w:rsid w:val="00AA7550"/>
    <w:rsid w:val="00AA78CE"/>
    <w:rsid w:val="00AA79DA"/>
    <w:rsid w:val="00AA7A17"/>
    <w:rsid w:val="00AA7DEF"/>
    <w:rsid w:val="00AA7F18"/>
    <w:rsid w:val="00AA7FF4"/>
    <w:rsid w:val="00AB0088"/>
    <w:rsid w:val="00AB01D8"/>
    <w:rsid w:val="00AB02F3"/>
    <w:rsid w:val="00AB05D4"/>
    <w:rsid w:val="00AB0B41"/>
    <w:rsid w:val="00AB0C8D"/>
    <w:rsid w:val="00AB0D29"/>
    <w:rsid w:val="00AB11DA"/>
    <w:rsid w:val="00AB13DF"/>
    <w:rsid w:val="00AB1497"/>
    <w:rsid w:val="00AB16D4"/>
    <w:rsid w:val="00AB195E"/>
    <w:rsid w:val="00AB197F"/>
    <w:rsid w:val="00AB1E9A"/>
    <w:rsid w:val="00AB1FED"/>
    <w:rsid w:val="00AB221B"/>
    <w:rsid w:val="00AB2468"/>
    <w:rsid w:val="00AB280C"/>
    <w:rsid w:val="00AB2D16"/>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8"/>
    <w:rsid w:val="00AC0EBD"/>
    <w:rsid w:val="00AC120C"/>
    <w:rsid w:val="00AC126E"/>
    <w:rsid w:val="00AC1428"/>
    <w:rsid w:val="00AC1596"/>
    <w:rsid w:val="00AC175A"/>
    <w:rsid w:val="00AC1870"/>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0CA"/>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67C"/>
    <w:rsid w:val="00AD1681"/>
    <w:rsid w:val="00AD16C9"/>
    <w:rsid w:val="00AD1741"/>
    <w:rsid w:val="00AD1778"/>
    <w:rsid w:val="00AD19F0"/>
    <w:rsid w:val="00AD1AAD"/>
    <w:rsid w:val="00AD1BF3"/>
    <w:rsid w:val="00AD1C21"/>
    <w:rsid w:val="00AD1DE5"/>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79D"/>
    <w:rsid w:val="00AD7DC8"/>
    <w:rsid w:val="00AD7E9D"/>
    <w:rsid w:val="00AE00B3"/>
    <w:rsid w:val="00AE03D8"/>
    <w:rsid w:val="00AE03E3"/>
    <w:rsid w:val="00AE04B7"/>
    <w:rsid w:val="00AE081F"/>
    <w:rsid w:val="00AE1051"/>
    <w:rsid w:val="00AE12A5"/>
    <w:rsid w:val="00AE16F4"/>
    <w:rsid w:val="00AE17C9"/>
    <w:rsid w:val="00AE1B0C"/>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21"/>
    <w:rsid w:val="00AE61E6"/>
    <w:rsid w:val="00AE64FD"/>
    <w:rsid w:val="00AE65E2"/>
    <w:rsid w:val="00AE6816"/>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0FCE"/>
    <w:rsid w:val="00AF1244"/>
    <w:rsid w:val="00AF131A"/>
    <w:rsid w:val="00AF131D"/>
    <w:rsid w:val="00AF177C"/>
    <w:rsid w:val="00AF1841"/>
    <w:rsid w:val="00AF1CAA"/>
    <w:rsid w:val="00AF1E5A"/>
    <w:rsid w:val="00AF202B"/>
    <w:rsid w:val="00AF2169"/>
    <w:rsid w:val="00AF26F4"/>
    <w:rsid w:val="00AF27C2"/>
    <w:rsid w:val="00AF2D0C"/>
    <w:rsid w:val="00AF31E5"/>
    <w:rsid w:val="00AF3234"/>
    <w:rsid w:val="00AF32D2"/>
    <w:rsid w:val="00AF34DE"/>
    <w:rsid w:val="00AF3504"/>
    <w:rsid w:val="00AF3670"/>
    <w:rsid w:val="00AF371F"/>
    <w:rsid w:val="00AF3D6A"/>
    <w:rsid w:val="00AF3F0B"/>
    <w:rsid w:val="00AF41D2"/>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1C"/>
    <w:rsid w:val="00AF6D4E"/>
    <w:rsid w:val="00AF7104"/>
    <w:rsid w:val="00AF726B"/>
    <w:rsid w:val="00AF7505"/>
    <w:rsid w:val="00AF777A"/>
    <w:rsid w:val="00AF787C"/>
    <w:rsid w:val="00AF78CB"/>
    <w:rsid w:val="00AF78EA"/>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516"/>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408"/>
    <w:rsid w:val="00B1074A"/>
    <w:rsid w:val="00B1093C"/>
    <w:rsid w:val="00B1098E"/>
    <w:rsid w:val="00B1099B"/>
    <w:rsid w:val="00B10F79"/>
    <w:rsid w:val="00B110A9"/>
    <w:rsid w:val="00B110C5"/>
    <w:rsid w:val="00B113C0"/>
    <w:rsid w:val="00B1144E"/>
    <w:rsid w:val="00B1157B"/>
    <w:rsid w:val="00B115A8"/>
    <w:rsid w:val="00B11614"/>
    <w:rsid w:val="00B117D5"/>
    <w:rsid w:val="00B11D9A"/>
    <w:rsid w:val="00B11FC6"/>
    <w:rsid w:val="00B1209E"/>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3B0"/>
    <w:rsid w:val="00B225AD"/>
    <w:rsid w:val="00B22A16"/>
    <w:rsid w:val="00B22A36"/>
    <w:rsid w:val="00B22A73"/>
    <w:rsid w:val="00B22B59"/>
    <w:rsid w:val="00B22EFB"/>
    <w:rsid w:val="00B23318"/>
    <w:rsid w:val="00B2345A"/>
    <w:rsid w:val="00B23CEC"/>
    <w:rsid w:val="00B2407E"/>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C3"/>
    <w:rsid w:val="00B3212D"/>
    <w:rsid w:val="00B3226D"/>
    <w:rsid w:val="00B32384"/>
    <w:rsid w:val="00B32556"/>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688"/>
    <w:rsid w:val="00B36697"/>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106C"/>
    <w:rsid w:val="00B41118"/>
    <w:rsid w:val="00B4127F"/>
    <w:rsid w:val="00B4132B"/>
    <w:rsid w:val="00B41474"/>
    <w:rsid w:val="00B41875"/>
    <w:rsid w:val="00B418DC"/>
    <w:rsid w:val="00B41EDF"/>
    <w:rsid w:val="00B4243B"/>
    <w:rsid w:val="00B4268D"/>
    <w:rsid w:val="00B42A0D"/>
    <w:rsid w:val="00B42D31"/>
    <w:rsid w:val="00B42D6E"/>
    <w:rsid w:val="00B42DA5"/>
    <w:rsid w:val="00B431DD"/>
    <w:rsid w:val="00B43314"/>
    <w:rsid w:val="00B43492"/>
    <w:rsid w:val="00B434CE"/>
    <w:rsid w:val="00B4368F"/>
    <w:rsid w:val="00B43800"/>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9D"/>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E18"/>
    <w:rsid w:val="00B51FF7"/>
    <w:rsid w:val="00B5237A"/>
    <w:rsid w:val="00B5251E"/>
    <w:rsid w:val="00B527CD"/>
    <w:rsid w:val="00B5338B"/>
    <w:rsid w:val="00B5339A"/>
    <w:rsid w:val="00B53586"/>
    <w:rsid w:val="00B53A1D"/>
    <w:rsid w:val="00B53B82"/>
    <w:rsid w:val="00B53C4E"/>
    <w:rsid w:val="00B53D9D"/>
    <w:rsid w:val="00B54082"/>
    <w:rsid w:val="00B54319"/>
    <w:rsid w:val="00B54375"/>
    <w:rsid w:val="00B54642"/>
    <w:rsid w:val="00B54648"/>
    <w:rsid w:val="00B546AE"/>
    <w:rsid w:val="00B54958"/>
    <w:rsid w:val="00B551BB"/>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01A"/>
    <w:rsid w:val="00B653F0"/>
    <w:rsid w:val="00B65402"/>
    <w:rsid w:val="00B6545A"/>
    <w:rsid w:val="00B6570B"/>
    <w:rsid w:val="00B658E3"/>
    <w:rsid w:val="00B65932"/>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864"/>
    <w:rsid w:val="00B709F6"/>
    <w:rsid w:val="00B70A3F"/>
    <w:rsid w:val="00B70AFA"/>
    <w:rsid w:val="00B70B92"/>
    <w:rsid w:val="00B70D16"/>
    <w:rsid w:val="00B70D24"/>
    <w:rsid w:val="00B70D68"/>
    <w:rsid w:val="00B70DE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A62"/>
    <w:rsid w:val="00B83B4B"/>
    <w:rsid w:val="00B8405B"/>
    <w:rsid w:val="00B84162"/>
    <w:rsid w:val="00B841B7"/>
    <w:rsid w:val="00B84222"/>
    <w:rsid w:val="00B8456C"/>
    <w:rsid w:val="00B845B3"/>
    <w:rsid w:val="00B84635"/>
    <w:rsid w:val="00B84781"/>
    <w:rsid w:val="00B847C9"/>
    <w:rsid w:val="00B84806"/>
    <w:rsid w:val="00B84A34"/>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3C2"/>
    <w:rsid w:val="00B864B4"/>
    <w:rsid w:val="00B86622"/>
    <w:rsid w:val="00B866ED"/>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C4"/>
    <w:rsid w:val="00B9280D"/>
    <w:rsid w:val="00B9282F"/>
    <w:rsid w:val="00B928BA"/>
    <w:rsid w:val="00B929F4"/>
    <w:rsid w:val="00B92AA4"/>
    <w:rsid w:val="00B92CE5"/>
    <w:rsid w:val="00B92E37"/>
    <w:rsid w:val="00B930D1"/>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A017E"/>
    <w:rsid w:val="00BA020F"/>
    <w:rsid w:val="00BA0388"/>
    <w:rsid w:val="00BA0432"/>
    <w:rsid w:val="00BA0465"/>
    <w:rsid w:val="00BA0667"/>
    <w:rsid w:val="00BA0700"/>
    <w:rsid w:val="00BA0E65"/>
    <w:rsid w:val="00BA118D"/>
    <w:rsid w:val="00BA1615"/>
    <w:rsid w:val="00BA1851"/>
    <w:rsid w:val="00BA1B28"/>
    <w:rsid w:val="00BA1BEB"/>
    <w:rsid w:val="00BA1E01"/>
    <w:rsid w:val="00BA2108"/>
    <w:rsid w:val="00BA2141"/>
    <w:rsid w:val="00BA233F"/>
    <w:rsid w:val="00BA24D8"/>
    <w:rsid w:val="00BA2538"/>
    <w:rsid w:val="00BA281B"/>
    <w:rsid w:val="00BA2BD3"/>
    <w:rsid w:val="00BA36C9"/>
    <w:rsid w:val="00BA36DE"/>
    <w:rsid w:val="00BA383A"/>
    <w:rsid w:val="00BA3916"/>
    <w:rsid w:val="00BA39BC"/>
    <w:rsid w:val="00BA450F"/>
    <w:rsid w:val="00BA486A"/>
    <w:rsid w:val="00BA4B82"/>
    <w:rsid w:val="00BA4CB6"/>
    <w:rsid w:val="00BA4FB6"/>
    <w:rsid w:val="00BA50D0"/>
    <w:rsid w:val="00BA54D2"/>
    <w:rsid w:val="00BA5647"/>
    <w:rsid w:val="00BA57D8"/>
    <w:rsid w:val="00BA5AE1"/>
    <w:rsid w:val="00BA5D9F"/>
    <w:rsid w:val="00BA5FFF"/>
    <w:rsid w:val="00BA6019"/>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A7FFC"/>
    <w:rsid w:val="00BB01C6"/>
    <w:rsid w:val="00BB048C"/>
    <w:rsid w:val="00BB0AEF"/>
    <w:rsid w:val="00BB0DD5"/>
    <w:rsid w:val="00BB1174"/>
    <w:rsid w:val="00BB1225"/>
    <w:rsid w:val="00BB1527"/>
    <w:rsid w:val="00BB1A69"/>
    <w:rsid w:val="00BB1E4E"/>
    <w:rsid w:val="00BB203C"/>
    <w:rsid w:val="00BB21AB"/>
    <w:rsid w:val="00BB2737"/>
    <w:rsid w:val="00BB288B"/>
    <w:rsid w:val="00BB28C0"/>
    <w:rsid w:val="00BB2CFC"/>
    <w:rsid w:val="00BB2DC1"/>
    <w:rsid w:val="00BB2E84"/>
    <w:rsid w:val="00BB3253"/>
    <w:rsid w:val="00BB3655"/>
    <w:rsid w:val="00BB36FC"/>
    <w:rsid w:val="00BB3783"/>
    <w:rsid w:val="00BB3C3E"/>
    <w:rsid w:val="00BB4224"/>
    <w:rsid w:val="00BB428E"/>
    <w:rsid w:val="00BB4860"/>
    <w:rsid w:val="00BB4C5D"/>
    <w:rsid w:val="00BB51D7"/>
    <w:rsid w:val="00BB5379"/>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6E4E"/>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1FA4"/>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51FD"/>
    <w:rsid w:val="00BD5228"/>
    <w:rsid w:val="00BD562D"/>
    <w:rsid w:val="00BD5717"/>
    <w:rsid w:val="00BD594B"/>
    <w:rsid w:val="00BD5C62"/>
    <w:rsid w:val="00BD5F7A"/>
    <w:rsid w:val="00BD6159"/>
    <w:rsid w:val="00BD6324"/>
    <w:rsid w:val="00BD63B4"/>
    <w:rsid w:val="00BD6494"/>
    <w:rsid w:val="00BD6A96"/>
    <w:rsid w:val="00BD6AAD"/>
    <w:rsid w:val="00BD6BAC"/>
    <w:rsid w:val="00BD6E75"/>
    <w:rsid w:val="00BD6F23"/>
    <w:rsid w:val="00BD6FE7"/>
    <w:rsid w:val="00BD6FFE"/>
    <w:rsid w:val="00BD73FD"/>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0CC9"/>
    <w:rsid w:val="00BF125F"/>
    <w:rsid w:val="00BF14B1"/>
    <w:rsid w:val="00BF1546"/>
    <w:rsid w:val="00BF196F"/>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443"/>
    <w:rsid w:val="00BF3575"/>
    <w:rsid w:val="00BF358B"/>
    <w:rsid w:val="00BF36AA"/>
    <w:rsid w:val="00BF41A5"/>
    <w:rsid w:val="00BF42D5"/>
    <w:rsid w:val="00BF466D"/>
    <w:rsid w:val="00BF4854"/>
    <w:rsid w:val="00BF497E"/>
    <w:rsid w:val="00BF4A15"/>
    <w:rsid w:val="00BF4A46"/>
    <w:rsid w:val="00BF4B68"/>
    <w:rsid w:val="00BF4EE6"/>
    <w:rsid w:val="00BF557B"/>
    <w:rsid w:val="00BF57E6"/>
    <w:rsid w:val="00BF58BF"/>
    <w:rsid w:val="00BF5DEC"/>
    <w:rsid w:val="00BF5F9A"/>
    <w:rsid w:val="00BF60CA"/>
    <w:rsid w:val="00BF6387"/>
    <w:rsid w:val="00BF6453"/>
    <w:rsid w:val="00BF64E3"/>
    <w:rsid w:val="00BF6549"/>
    <w:rsid w:val="00BF65A0"/>
    <w:rsid w:val="00BF6774"/>
    <w:rsid w:val="00BF680B"/>
    <w:rsid w:val="00BF6A4F"/>
    <w:rsid w:val="00BF6A9F"/>
    <w:rsid w:val="00BF6DEC"/>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28D"/>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4B4"/>
    <w:rsid w:val="00C05533"/>
    <w:rsid w:val="00C05595"/>
    <w:rsid w:val="00C05880"/>
    <w:rsid w:val="00C05AE8"/>
    <w:rsid w:val="00C05D66"/>
    <w:rsid w:val="00C0610C"/>
    <w:rsid w:val="00C06409"/>
    <w:rsid w:val="00C0645B"/>
    <w:rsid w:val="00C06499"/>
    <w:rsid w:val="00C0657F"/>
    <w:rsid w:val="00C066C3"/>
    <w:rsid w:val="00C06950"/>
    <w:rsid w:val="00C06975"/>
    <w:rsid w:val="00C06C3F"/>
    <w:rsid w:val="00C06DA1"/>
    <w:rsid w:val="00C06DBA"/>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468"/>
    <w:rsid w:val="00C124C5"/>
    <w:rsid w:val="00C12660"/>
    <w:rsid w:val="00C1271C"/>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1FA3"/>
    <w:rsid w:val="00C22306"/>
    <w:rsid w:val="00C22684"/>
    <w:rsid w:val="00C2295E"/>
    <w:rsid w:val="00C22A6B"/>
    <w:rsid w:val="00C22CBE"/>
    <w:rsid w:val="00C22E79"/>
    <w:rsid w:val="00C2313D"/>
    <w:rsid w:val="00C233B2"/>
    <w:rsid w:val="00C236CB"/>
    <w:rsid w:val="00C236D5"/>
    <w:rsid w:val="00C237EE"/>
    <w:rsid w:val="00C23AEA"/>
    <w:rsid w:val="00C23F07"/>
    <w:rsid w:val="00C24338"/>
    <w:rsid w:val="00C24AF5"/>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A00"/>
    <w:rsid w:val="00C30016"/>
    <w:rsid w:val="00C300B0"/>
    <w:rsid w:val="00C3069F"/>
    <w:rsid w:val="00C307E5"/>
    <w:rsid w:val="00C30811"/>
    <w:rsid w:val="00C309FA"/>
    <w:rsid w:val="00C30C9F"/>
    <w:rsid w:val="00C30CCC"/>
    <w:rsid w:val="00C30D05"/>
    <w:rsid w:val="00C30EFC"/>
    <w:rsid w:val="00C30F32"/>
    <w:rsid w:val="00C311E0"/>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5AC"/>
    <w:rsid w:val="00C34795"/>
    <w:rsid w:val="00C3496E"/>
    <w:rsid w:val="00C34A3C"/>
    <w:rsid w:val="00C35282"/>
    <w:rsid w:val="00C358CC"/>
    <w:rsid w:val="00C35945"/>
    <w:rsid w:val="00C35C7C"/>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D48"/>
    <w:rsid w:val="00C46163"/>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1B20"/>
    <w:rsid w:val="00C52576"/>
    <w:rsid w:val="00C52831"/>
    <w:rsid w:val="00C5290A"/>
    <w:rsid w:val="00C53A1E"/>
    <w:rsid w:val="00C53B69"/>
    <w:rsid w:val="00C53C26"/>
    <w:rsid w:val="00C53CFD"/>
    <w:rsid w:val="00C53EEA"/>
    <w:rsid w:val="00C53F45"/>
    <w:rsid w:val="00C542E9"/>
    <w:rsid w:val="00C544E8"/>
    <w:rsid w:val="00C54659"/>
    <w:rsid w:val="00C54728"/>
    <w:rsid w:val="00C54979"/>
    <w:rsid w:val="00C549DE"/>
    <w:rsid w:val="00C54C5A"/>
    <w:rsid w:val="00C54F06"/>
    <w:rsid w:val="00C5510F"/>
    <w:rsid w:val="00C5511A"/>
    <w:rsid w:val="00C55388"/>
    <w:rsid w:val="00C55432"/>
    <w:rsid w:val="00C55E47"/>
    <w:rsid w:val="00C56047"/>
    <w:rsid w:val="00C56B12"/>
    <w:rsid w:val="00C56B67"/>
    <w:rsid w:val="00C56CF8"/>
    <w:rsid w:val="00C56DBC"/>
    <w:rsid w:val="00C5740F"/>
    <w:rsid w:val="00C5743B"/>
    <w:rsid w:val="00C575AE"/>
    <w:rsid w:val="00C578AD"/>
    <w:rsid w:val="00C57B27"/>
    <w:rsid w:val="00C57B77"/>
    <w:rsid w:val="00C57BFA"/>
    <w:rsid w:val="00C6010D"/>
    <w:rsid w:val="00C60355"/>
    <w:rsid w:val="00C603DF"/>
    <w:rsid w:val="00C60628"/>
    <w:rsid w:val="00C608E9"/>
    <w:rsid w:val="00C613A4"/>
    <w:rsid w:val="00C61517"/>
    <w:rsid w:val="00C617AD"/>
    <w:rsid w:val="00C61C41"/>
    <w:rsid w:val="00C61CA7"/>
    <w:rsid w:val="00C62051"/>
    <w:rsid w:val="00C6229B"/>
    <w:rsid w:val="00C627D7"/>
    <w:rsid w:val="00C62A44"/>
    <w:rsid w:val="00C62A7D"/>
    <w:rsid w:val="00C62B2B"/>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F3E"/>
    <w:rsid w:val="00C7014B"/>
    <w:rsid w:val="00C70532"/>
    <w:rsid w:val="00C70A7C"/>
    <w:rsid w:val="00C70DCA"/>
    <w:rsid w:val="00C70DDD"/>
    <w:rsid w:val="00C70EE7"/>
    <w:rsid w:val="00C70F9A"/>
    <w:rsid w:val="00C71218"/>
    <w:rsid w:val="00C71299"/>
    <w:rsid w:val="00C713A9"/>
    <w:rsid w:val="00C71440"/>
    <w:rsid w:val="00C716FF"/>
    <w:rsid w:val="00C71806"/>
    <w:rsid w:val="00C71807"/>
    <w:rsid w:val="00C7186C"/>
    <w:rsid w:val="00C72130"/>
    <w:rsid w:val="00C72973"/>
    <w:rsid w:val="00C72A86"/>
    <w:rsid w:val="00C72F93"/>
    <w:rsid w:val="00C730AE"/>
    <w:rsid w:val="00C73A08"/>
    <w:rsid w:val="00C740E5"/>
    <w:rsid w:val="00C74336"/>
    <w:rsid w:val="00C7455F"/>
    <w:rsid w:val="00C74BDD"/>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D13"/>
    <w:rsid w:val="00C77D8F"/>
    <w:rsid w:val="00C8001A"/>
    <w:rsid w:val="00C80057"/>
    <w:rsid w:val="00C8012C"/>
    <w:rsid w:val="00C804C7"/>
    <w:rsid w:val="00C804F9"/>
    <w:rsid w:val="00C8065A"/>
    <w:rsid w:val="00C80EB4"/>
    <w:rsid w:val="00C81050"/>
    <w:rsid w:val="00C8106C"/>
    <w:rsid w:val="00C81473"/>
    <w:rsid w:val="00C81601"/>
    <w:rsid w:val="00C81860"/>
    <w:rsid w:val="00C81875"/>
    <w:rsid w:val="00C81E46"/>
    <w:rsid w:val="00C821DE"/>
    <w:rsid w:val="00C8227E"/>
    <w:rsid w:val="00C82335"/>
    <w:rsid w:val="00C82654"/>
    <w:rsid w:val="00C8277B"/>
    <w:rsid w:val="00C82BB5"/>
    <w:rsid w:val="00C82BFF"/>
    <w:rsid w:val="00C830D3"/>
    <w:rsid w:val="00C83105"/>
    <w:rsid w:val="00C83622"/>
    <w:rsid w:val="00C83A7C"/>
    <w:rsid w:val="00C83B59"/>
    <w:rsid w:val="00C83BE0"/>
    <w:rsid w:val="00C83C68"/>
    <w:rsid w:val="00C83C99"/>
    <w:rsid w:val="00C84514"/>
    <w:rsid w:val="00C84741"/>
    <w:rsid w:val="00C8480E"/>
    <w:rsid w:val="00C848F3"/>
    <w:rsid w:val="00C84977"/>
    <w:rsid w:val="00C84C4F"/>
    <w:rsid w:val="00C84F11"/>
    <w:rsid w:val="00C85073"/>
    <w:rsid w:val="00C8534F"/>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0CC"/>
    <w:rsid w:val="00C90161"/>
    <w:rsid w:val="00C9076C"/>
    <w:rsid w:val="00C90A5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ADF"/>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F9"/>
    <w:rsid w:val="00CA4F1E"/>
    <w:rsid w:val="00CA50A8"/>
    <w:rsid w:val="00CA50E8"/>
    <w:rsid w:val="00CA50F2"/>
    <w:rsid w:val="00CA512E"/>
    <w:rsid w:val="00CA53EA"/>
    <w:rsid w:val="00CA5484"/>
    <w:rsid w:val="00CA5506"/>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16"/>
    <w:rsid w:val="00CB3488"/>
    <w:rsid w:val="00CB34F3"/>
    <w:rsid w:val="00CB367F"/>
    <w:rsid w:val="00CB36B2"/>
    <w:rsid w:val="00CB38D3"/>
    <w:rsid w:val="00CB391E"/>
    <w:rsid w:val="00CB3A6A"/>
    <w:rsid w:val="00CB3C9D"/>
    <w:rsid w:val="00CB3E4C"/>
    <w:rsid w:val="00CB3FE0"/>
    <w:rsid w:val="00CB4092"/>
    <w:rsid w:val="00CB445A"/>
    <w:rsid w:val="00CB4825"/>
    <w:rsid w:val="00CB49F5"/>
    <w:rsid w:val="00CB4B74"/>
    <w:rsid w:val="00CB4F8F"/>
    <w:rsid w:val="00CB4FFE"/>
    <w:rsid w:val="00CB51FD"/>
    <w:rsid w:val="00CB53B6"/>
    <w:rsid w:val="00CB59A3"/>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A73"/>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470"/>
    <w:rsid w:val="00CC55E6"/>
    <w:rsid w:val="00CC57E0"/>
    <w:rsid w:val="00CC5A75"/>
    <w:rsid w:val="00CC6104"/>
    <w:rsid w:val="00CC618A"/>
    <w:rsid w:val="00CC634B"/>
    <w:rsid w:val="00CC6386"/>
    <w:rsid w:val="00CC64FE"/>
    <w:rsid w:val="00CC6A67"/>
    <w:rsid w:val="00CC6D4B"/>
    <w:rsid w:val="00CC6DB3"/>
    <w:rsid w:val="00CC73EA"/>
    <w:rsid w:val="00CC74CF"/>
    <w:rsid w:val="00CC75C8"/>
    <w:rsid w:val="00CC77BD"/>
    <w:rsid w:val="00CC78EC"/>
    <w:rsid w:val="00CD0079"/>
    <w:rsid w:val="00CD0261"/>
    <w:rsid w:val="00CD0337"/>
    <w:rsid w:val="00CD0355"/>
    <w:rsid w:val="00CD0731"/>
    <w:rsid w:val="00CD089E"/>
    <w:rsid w:val="00CD0D7D"/>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5E88"/>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3C6"/>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16D"/>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57D"/>
    <w:rsid w:val="00CF17E1"/>
    <w:rsid w:val="00CF1920"/>
    <w:rsid w:val="00CF1A9C"/>
    <w:rsid w:val="00CF1EA4"/>
    <w:rsid w:val="00CF20F2"/>
    <w:rsid w:val="00CF241E"/>
    <w:rsid w:val="00CF2550"/>
    <w:rsid w:val="00CF26F6"/>
    <w:rsid w:val="00CF284E"/>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4DE"/>
    <w:rsid w:val="00CF6B79"/>
    <w:rsid w:val="00CF6D01"/>
    <w:rsid w:val="00CF7096"/>
    <w:rsid w:val="00CF742D"/>
    <w:rsid w:val="00CF7461"/>
    <w:rsid w:val="00CF747E"/>
    <w:rsid w:val="00CF7595"/>
    <w:rsid w:val="00CF75C9"/>
    <w:rsid w:val="00CF7659"/>
    <w:rsid w:val="00CF7A6B"/>
    <w:rsid w:val="00CF7A8D"/>
    <w:rsid w:val="00D00152"/>
    <w:rsid w:val="00D003B3"/>
    <w:rsid w:val="00D00421"/>
    <w:rsid w:val="00D0063C"/>
    <w:rsid w:val="00D00B85"/>
    <w:rsid w:val="00D00D4C"/>
    <w:rsid w:val="00D01479"/>
    <w:rsid w:val="00D01673"/>
    <w:rsid w:val="00D016D6"/>
    <w:rsid w:val="00D017AB"/>
    <w:rsid w:val="00D01B90"/>
    <w:rsid w:val="00D01EC6"/>
    <w:rsid w:val="00D02378"/>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D78"/>
    <w:rsid w:val="00D110CB"/>
    <w:rsid w:val="00D118AE"/>
    <w:rsid w:val="00D118B3"/>
    <w:rsid w:val="00D120C2"/>
    <w:rsid w:val="00D120C5"/>
    <w:rsid w:val="00D12354"/>
    <w:rsid w:val="00D12502"/>
    <w:rsid w:val="00D1252A"/>
    <w:rsid w:val="00D125AE"/>
    <w:rsid w:val="00D126DF"/>
    <w:rsid w:val="00D1293B"/>
    <w:rsid w:val="00D129F6"/>
    <w:rsid w:val="00D12B8C"/>
    <w:rsid w:val="00D13286"/>
    <w:rsid w:val="00D13510"/>
    <w:rsid w:val="00D13659"/>
    <w:rsid w:val="00D13AEA"/>
    <w:rsid w:val="00D13BD6"/>
    <w:rsid w:val="00D13CED"/>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E38"/>
    <w:rsid w:val="00D14F2D"/>
    <w:rsid w:val="00D151CC"/>
    <w:rsid w:val="00D152FE"/>
    <w:rsid w:val="00D15335"/>
    <w:rsid w:val="00D156A4"/>
    <w:rsid w:val="00D15976"/>
    <w:rsid w:val="00D15B47"/>
    <w:rsid w:val="00D15C0F"/>
    <w:rsid w:val="00D15DE7"/>
    <w:rsid w:val="00D15F31"/>
    <w:rsid w:val="00D15FEA"/>
    <w:rsid w:val="00D165B9"/>
    <w:rsid w:val="00D166C1"/>
    <w:rsid w:val="00D16825"/>
    <w:rsid w:val="00D16838"/>
    <w:rsid w:val="00D168F3"/>
    <w:rsid w:val="00D16AC9"/>
    <w:rsid w:val="00D16E2C"/>
    <w:rsid w:val="00D1710A"/>
    <w:rsid w:val="00D173B9"/>
    <w:rsid w:val="00D17457"/>
    <w:rsid w:val="00D175A7"/>
    <w:rsid w:val="00D17B3B"/>
    <w:rsid w:val="00D17CF9"/>
    <w:rsid w:val="00D17D05"/>
    <w:rsid w:val="00D17E6E"/>
    <w:rsid w:val="00D17F21"/>
    <w:rsid w:val="00D2016F"/>
    <w:rsid w:val="00D20383"/>
    <w:rsid w:val="00D20822"/>
    <w:rsid w:val="00D20B7A"/>
    <w:rsid w:val="00D20E9F"/>
    <w:rsid w:val="00D20F2D"/>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80F"/>
    <w:rsid w:val="00D248AD"/>
    <w:rsid w:val="00D24B12"/>
    <w:rsid w:val="00D24B2A"/>
    <w:rsid w:val="00D2536A"/>
    <w:rsid w:val="00D2545E"/>
    <w:rsid w:val="00D25563"/>
    <w:rsid w:val="00D257D8"/>
    <w:rsid w:val="00D25E4E"/>
    <w:rsid w:val="00D25F31"/>
    <w:rsid w:val="00D25F62"/>
    <w:rsid w:val="00D2608A"/>
    <w:rsid w:val="00D262E4"/>
    <w:rsid w:val="00D268EF"/>
    <w:rsid w:val="00D26D18"/>
    <w:rsid w:val="00D26FFD"/>
    <w:rsid w:val="00D270AF"/>
    <w:rsid w:val="00D270EC"/>
    <w:rsid w:val="00D27278"/>
    <w:rsid w:val="00D272FA"/>
    <w:rsid w:val="00D2753D"/>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24E"/>
    <w:rsid w:val="00D32389"/>
    <w:rsid w:val="00D32609"/>
    <w:rsid w:val="00D327D1"/>
    <w:rsid w:val="00D32F7B"/>
    <w:rsid w:val="00D33231"/>
    <w:rsid w:val="00D33271"/>
    <w:rsid w:val="00D33CEC"/>
    <w:rsid w:val="00D3412E"/>
    <w:rsid w:val="00D343F5"/>
    <w:rsid w:val="00D34BF7"/>
    <w:rsid w:val="00D34C5B"/>
    <w:rsid w:val="00D3507A"/>
    <w:rsid w:val="00D351FF"/>
    <w:rsid w:val="00D352F5"/>
    <w:rsid w:val="00D35F5E"/>
    <w:rsid w:val="00D3611A"/>
    <w:rsid w:val="00D3611B"/>
    <w:rsid w:val="00D361D1"/>
    <w:rsid w:val="00D3633A"/>
    <w:rsid w:val="00D3655F"/>
    <w:rsid w:val="00D3694D"/>
    <w:rsid w:val="00D36A05"/>
    <w:rsid w:val="00D36A7C"/>
    <w:rsid w:val="00D37582"/>
    <w:rsid w:val="00D375BA"/>
    <w:rsid w:val="00D376AE"/>
    <w:rsid w:val="00D379D6"/>
    <w:rsid w:val="00D37A93"/>
    <w:rsid w:val="00D37BC3"/>
    <w:rsid w:val="00D37D96"/>
    <w:rsid w:val="00D4017B"/>
    <w:rsid w:val="00D40534"/>
    <w:rsid w:val="00D409F9"/>
    <w:rsid w:val="00D40BDC"/>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341"/>
    <w:rsid w:val="00D43502"/>
    <w:rsid w:val="00D43721"/>
    <w:rsid w:val="00D43AD9"/>
    <w:rsid w:val="00D43B79"/>
    <w:rsid w:val="00D43E22"/>
    <w:rsid w:val="00D4412A"/>
    <w:rsid w:val="00D44138"/>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47BD7"/>
    <w:rsid w:val="00D50315"/>
    <w:rsid w:val="00D5047B"/>
    <w:rsid w:val="00D504CF"/>
    <w:rsid w:val="00D50738"/>
    <w:rsid w:val="00D50B5A"/>
    <w:rsid w:val="00D50E41"/>
    <w:rsid w:val="00D50FAB"/>
    <w:rsid w:val="00D51310"/>
    <w:rsid w:val="00D51822"/>
    <w:rsid w:val="00D51A47"/>
    <w:rsid w:val="00D51E60"/>
    <w:rsid w:val="00D5226F"/>
    <w:rsid w:val="00D5235C"/>
    <w:rsid w:val="00D52957"/>
    <w:rsid w:val="00D52999"/>
    <w:rsid w:val="00D52A78"/>
    <w:rsid w:val="00D5304A"/>
    <w:rsid w:val="00D539B4"/>
    <w:rsid w:val="00D53B34"/>
    <w:rsid w:val="00D53BEC"/>
    <w:rsid w:val="00D53D22"/>
    <w:rsid w:val="00D53D5E"/>
    <w:rsid w:val="00D53D88"/>
    <w:rsid w:val="00D53FB2"/>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95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D54"/>
    <w:rsid w:val="00D75DFB"/>
    <w:rsid w:val="00D75E6A"/>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1060"/>
    <w:rsid w:val="00D81121"/>
    <w:rsid w:val="00D81154"/>
    <w:rsid w:val="00D81223"/>
    <w:rsid w:val="00D815AE"/>
    <w:rsid w:val="00D81633"/>
    <w:rsid w:val="00D81706"/>
    <w:rsid w:val="00D818C9"/>
    <w:rsid w:val="00D81B03"/>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D2D"/>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37E"/>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8B7"/>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561"/>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876"/>
    <w:rsid w:val="00DB0C7C"/>
    <w:rsid w:val="00DB0FC8"/>
    <w:rsid w:val="00DB1E76"/>
    <w:rsid w:val="00DB1F34"/>
    <w:rsid w:val="00DB20B8"/>
    <w:rsid w:val="00DB227D"/>
    <w:rsid w:val="00DB238C"/>
    <w:rsid w:val="00DB247F"/>
    <w:rsid w:val="00DB24AF"/>
    <w:rsid w:val="00DB2669"/>
    <w:rsid w:val="00DB2B9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839"/>
    <w:rsid w:val="00DC2B89"/>
    <w:rsid w:val="00DC2C7F"/>
    <w:rsid w:val="00DC2FD5"/>
    <w:rsid w:val="00DC3070"/>
    <w:rsid w:val="00DC3D62"/>
    <w:rsid w:val="00DC3DAE"/>
    <w:rsid w:val="00DC40EA"/>
    <w:rsid w:val="00DC40F7"/>
    <w:rsid w:val="00DC417A"/>
    <w:rsid w:val="00DC4253"/>
    <w:rsid w:val="00DC4712"/>
    <w:rsid w:val="00DC4EBD"/>
    <w:rsid w:val="00DC4FA9"/>
    <w:rsid w:val="00DC55BC"/>
    <w:rsid w:val="00DC55DB"/>
    <w:rsid w:val="00DC5684"/>
    <w:rsid w:val="00DC58AA"/>
    <w:rsid w:val="00DC5F66"/>
    <w:rsid w:val="00DC60F3"/>
    <w:rsid w:val="00DC618B"/>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4BB"/>
    <w:rsid w:val="00DD15EF"/>
    <w:rsid w:val="00DD1709"/>
    <w:rsid w:val="00DD17D2"/>
    <w:rsid w:val="00DD1BBA"/>
    <w:rsid w:val="00DD1DE3"/>
    <w:rsid w:val="00DD1F74"/>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BFC"/>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C31"/>
    <w:rsid w:val="00DD5F5A"/>
    <w:rsid w:val="00DD61EA"/>
    <w:rsid w:val="00DD6305"/>
    <w:rsid w:val="00DD6867"/>
    <w:rsid w:val="00DD6B13"/>
    <w:rsid w:val="00DD6CE7"/>
    <w:rsid w:val="00DD6D71"/>
    <w:rsid w:val="00DD6DC9"/>
    <w:rsid w:val="00DD6F91"/>
    <w:rsid w:val="00DD6FC7"/>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C84"/>
    <w:rsid w:val="00DE2DA8"/>
    <w:rsid w:val="00DE2E3A"/>
    <w:rsid w:val="00DE3371"/>
    <w:rsid w:val="00DE367F"/>
    <w:rsid w:val="00DE37B5"/>
    <w:rsid w:val="00DE3A35"/>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A10"/>
    <w:rsid w:val="00DF0F83"/>
    <w:rsid w:val="00DF1326"/>
    <w:rsid w:val="00DF194F"/>
    <w:rsid w:val="00DF19D1"/>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113"/>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8C"/>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D1"/>
    <w:rsid w:val="00E10E2C"/>
    <w:rsid w:val="00E115E1"/>
    <w:rsid w:val="00E117D4"/>
    <w:rsid w:val="00E11A81"/>
    <w:rsid w:val="00E11C34"/>
    <w:rsid w:val="00E11F9F"/>
    <w:rsid w:val="00E12211"/>
    <w:rsid w:val="00E12276"/>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390"/>
    <w:rsid w:val="00E145B7"/>
    <w:rsid w:val="00E1464B"/>
    <w:rsid w:val="00E14719"/>
    <w:rsid w:val="00E14F8A"/>
    <w:rsid w:val="00E15134"/>
    <w:rsid w:val="00E15365"/>
    <w:rsid w:val="00E15384"/>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91E"/>
    <w:rsid w:val="00E23AC0"/>
    <w:rsid w:val="00E23FE1"/>
    <w:rsid w:val="00E2421A"/>
    <w:rsid w:val="00E244F8"/>
    <w:rsid w:val="00E248A2"/>
    <w:rsid w:val="00E24C1D"/>
    <w:rsid w:val="00E24C67"/>
    <w:rsid w:val="00E24D4D"/>
    <w:rsid w:val="00E25147"/>
    <w:rsid w:val="00E25553"/>
    <w:rsid w:val="00E25752"/>
    <w:rsid w:val="00E25AB5"/>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B7B"/>
    <w:rsid w:val="00E27C87"/>
    <w:rsid w:val="00E27D32"/>
    <w:rsid w:val="00E27DC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9B5"/>
    <w:rsid w:val="00E34AAF"/>
    <w:rsid w:val="00E34C47"/>
    <w:rsid w:val="00E34E55"/>
    <w:rsid w:val="00E35144"/>
    <w:rsid w:val="00E3516C"/>
    <w:rsid w:val="00E35996"/>
    <w:rsid w:val="00E35B14"/>
    <w:rsid w:val="00E35B30"/>
    <w:rsid w:val="00E35BFC"/>
    <w:rsid w:val="00E35CAE"/>
    <w:rsid w:val="00E36221"/>
    <w:rsid w:val="00E36252"/>
    <w:rsid w:val="00E36383"/>
    <w:rsid w:val="00E365FD"/>
    <w:rsid w:val="00E3684C"/>
    <w:rsid w:val="00E37180"/>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07D"/>
    <w:rsid w:val="00E434C4"/>
    <w:rsid w:val="00E434F2"/>
    <w:rsid w:val="00E436E1"/>
    <w:rsid w:val="00E437BB"/>
    <w:rsid w:val="00E438D2"/>
    <w:rsid w:val="00E43A6C"/>
    <w:rsid w:val="00E43B17"/>
    <w:rsid w:val="00E43BF9"/>
    <w:rsid w:val="00E43E16"/>
    <w:rsid w:val="00E43EDC"/>
    <w:rsid w:val="00E444FA"/>
    <w:rsid w:val="00E44710"/>
    <w:rsid w:val="00E44813"/>
    <w:rsid w:val="00E44919"/>
    <w:rsid w:val="00E44DD7"/>
    <w:rsid w:val="00E451EE"/>
    <w:rsid w:val="00E45390"/>
    <w:rsid w:val="00E45397"/>
    <w:rsid w:val="00E4539F"/>
    <w:rsid w:val="00E45496"/>
    <w:rsid w:val="00E4576C"/>
    <w:rsid w:val="00E45820"/>
    <w:rsid w:val="00E45988"/>
    <w:rsid w:val="00E459E4"/>
    <w:rsid w:val="00E45D12"/>
    <w:rsid w:val="00E45E8D"/>
    <w:rsid w:val="00E45F3D"/>
    <w:rsid w:val="00E460E1"/>
    <w:rsid w:val="00E46132"/>
    <w:rsid w:val="00E46310"/>
    <w:rsid w:val="00E46345"/>
    <w:rsid w:val="00E4635A"/>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108"/>
    <w:rsid w:val="00E52796"/>
    <w:rsid w:val="00E52A08"/>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491"/>
    <w:rsid w:val="00E618EC"/>
    <w:rsid w:val="00E61BA7"/>
    <w:rsid w:val="00E6210F"/>
    <w:rsid w:val="00E6228F"/>
    <w:rsid w:val="00E62358"/>
    <w:rsid w:val="00E62552"/>
    <w:rsid w:val="00E626EF"/>
    <w:rsid w:val="00E62BF2"/>
    <w:rsid w:val="00E62C1B"/>
    <w:rsid w:val="00E62D47"/>
    <w:rsid w:val="00E62ED3"/>
    <w:rsid w:val="00E6309C"/>
    <w:rsid w:val="00E633F9"/>
    <w:rsid w:val="00E63541"/>
    <w:rsid w:val="00E63750"/>
    <w:rsid w:val="00E637E7"/>
    <w:rsid w:val="00E63AAC"/>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4A"/>
    <w:rsid w:val="00E6658D"/>
    <w:rsid w:val="00E665BE"/>
    <w:rsid w:val="00E665D1"/>
    <w:rsid w:val="00E668C3"/>
    <w:rsid w:val="00E669AD"/>
    <w:rsid w:val="00E66B0B"/>
    <w:rsid w:val="00E66B82"/>
    <w:rsid w:val="00E66D48"/>
    <w:rsid w:val="00E66E57"/>
    <w:rsid w:val="00E67114"/>
    <w:rsid w:val="00E67131"/>
    <w:rsid w:val="00E675BA"/>
    <w:rsid w:val="00E703C0"/>
    <w:rsid w:val="00E703C4"/>
    <w:rsid w:val="00E70776"/>
    <w:rsid w:val="00E707C5"/>
    <w:rsid w:val="00E707F9"/>
    <w:rsid w:val="00E70C6E"/>
    <w:rsid w:val="00E7110E"/>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A58"/>
    <w:rsid w:val="00E74BB7"/>
    <w:rsid w:val="00E74BD8"/>
    <w:rsid w:val="00E74D62"/>
    <w:rsid w:val="00E74E8A"/>
    <w:rsid w:val="00E75487"/>
    <w:rsid w:val="00E758C4"/>
    <w:rsid w:val="00E758E2"/>
    <w:rsid w:val="00E75999"/>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25E"/>
    <w:rsid w:val="00E81348"/>
    <w:rsid w:val="00E8135D"/>
    <w:rsid w:val="00E81426"/>
    <w:rsid w:val="00E81900"/>
    <w:rsid w:val="00E82381"/>
    <w:rsid w:val="00E823BA"/>
    <w:rsid w:val="00E827AE"/>
    <w:rsid w:val="00E8284C"/>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996"/>
    <w:rsid w:val="00E85ADA"/>
    <w:rsid w:val="00E85CF2"/>
    <w:rsid w:val="00E85D83"/>
    <w:rsid w:val="00E86102"/>
    <w:rsid w:val="00E865C8"/>
    <w:rsid w:val="00E8681F"/>
    <w:rsid w:val="00E8687E"/>
    <w:rsid w:val="00E86B3D"/>
    <w:rsid w:val="00E86D3C"/>
    <w:rsid w:val="00E871B8"/>
    <w:rsid w:val="00E87220"/>
    <w:rsid w:val="00E872D9"/>
    <w:rsid w:val="00E87442"/>
    <w:rsid w:val="00E87895"/>
    <w:rsid w:val="00E879A9"/>
    <w:rsid w:val="00E87B9C"/>
    <w:rsid w:val="00E87BB1"/>
    <w:rsid w:val="00E87D44"/>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58C"/>
    <w:rsid w:val="00E947F3"/>
    <w:rsid w:val="00E94D66"/>
    <w:rsid w:val="00E94FEE"/>
    <w:rsid w:val="00E9509E"/>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2E76"/>
    <w:rsid w:val="00EA341B"/>
    <w:rsid w:val="00EA34D4"/>
    <w:rsid w:val="00EA35FE"/>
    <w:rsid w:val="00EA367E"/>
    <w:rsid w:val="00EA3A75"/>
    <w:rsid w:val="00EA3E3A"/>
    <w:rsid w:val="00EA4157"/>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3A"/>
    <w:rsid w:val="00EA5F64"/>
    <w:rsid w:val="00EA6578"/>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103"/>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442"/>
    <w:rsid w:val="00EC74A1"/>
    <w:rsid w:val="00EC77AD"/>
    <w:rsid w:val="00EC780D"/>
    <w:rsid w:val="00EC79EC"/>
    <w:rsid w:val="00EC7BB4"/>
    <w:rsid w:val="00EC7C6E"/>
    <w:rsid w:val="00ED01CF"/>
    <w:rsid w:val="00ED0807"/>
    <w:rsid w:val="00ED0A1F"/>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B1"/>
    <w:rsid w:val="00ED46CF"/>
    <w:rsid w:val="00ED4725"/>
    <w:rsid w:val="00ED4896"/>
    <w:rsid w:val="00ED48B4"/>
    <w:rsid w:val="00ED4B73"/>
    <w:rsid w:val="00ED4ED4"/>
    <w:rsid w:val="00ED531E"/>
    <w:rsid w:val="00ED5341"/>
    <w:rsid w:val="00ED543C"/>
    <w:rsid w:val="00ED5634"/>
    <w:rsid w:val="00ED5987"/>
    <w:rsid w:val="00ED5E1C"/>
    <w:rsid w:val="00ED5E24"/>
    <w:rsid w:val="00ED600C"/>
    <w:rsid w:val="00ED65B3"/>
    <w:rsid w:val="00ED662A"/>
    <w:rsid w:val="00ED6E54"/>
    <w:rsid w:val="00ED6F0C"/>
    <w:rsid w:val="00ED6F4A"/>
    <w:rsid w:val="00ED7205"/>
    <w:rsid w:val="00ED7268"/>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770"/>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2E"/>
    <w:rsid w:val="00EF66E4"/>
    <w:rsid w:val="00EF6872"/>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7B1"/>
    <w:rsid w:val="00F041D4"/>
    <w:rsid w:val="00F043F6"/>
    <w:rsid w:val="00F04415"/>
    <w:rsid w:val="00F04DA6"/>
    <w:rsid w:val="00F04F76"/>
    <w:rsid w:val="00F0533C"/>
    <w:rsid w:val="00F0544E"/>
    <w:rsid w:val="00F057A0"/>
    <w:rsid w:val="00F05AB9"/>
    <w:rsid w:val="00F05C40"/>
    <w:rsid w:val="00F05C57"/>
    <w:rsid w:val="00F05D94"/>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8D3"/>
    <w:rsid w:val="00F16CE6"/>
    <w:rsid w:val="00F16F98"/>
    <w:rsid w:val="00F17247"/>
    <w:rsid w:val="00F17678"/>
    <w:rsid w:val="00F1769B"/>
    <w:rsid w:val="00F17897"/>
    <w:rsid w:val="00F178CB"/>
    <w:rsid w:val="00F17BB8"/>
    <w:rsid w:val="00F17E9E"/>
    <w:rsid w:val="00F20031"/>
    <w:rsid w:val="00F2040B"/>
    <w:rsid w:val="00F204BA"/>
    <w:rsid w:val="00F20783"/>
    <w:rsid w:val="00F2089A"/>
    <w:rsid w:val="00F20F22"/>
    <w:rsid w:val="00F21175"/>
    <w:rsid w:val="00F213D1"/>
    <w:rsid w:val="00F2165D"/>
    <w:rsid w:val="00F21925"/>
    <w:rsid w:val="00F21E24"/>
    <w:rsid w:val="00F21EB5"/>
    <w:rsid w:val="00F220DF"/>
    <w:rsid w:val="00F223D5"/>
    <w:rsid w:val="00F22488"/>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58C"/>
    <w:rsid w:val="00F2672A"/>
    <w:rsid w:val="00F26FA6"/>
    <w:rsid w:val="00F26FD7"/>
    <w:rsid w:val="00F2724C"/>
    <w:rsid w:val="00F273FD"/>
    <w:rsid w:val="00F274F3"/>
    <w:rsid w:val="00F27622"/>
    <w:rsid w:val="00F2775E"/>
    <w:rsid w:val="00F27B73"/>
    <w:rsid w:val="00F27C19"/>
    <w:rsid w:val="00F27C40"/>
    <w:rsid w:val="00F27F54"/>
    <w:rsid w:val="00F30092"/>
    <w:rsid w:val="00F300EF"/>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44F1"/>
    <w:rsid w:val="00F34C40"/>
    <w:rsid w:val="00F34C7C"/>
    <w:rsid w:val="00F34E43"/>
    <w:rsid w:val="00F350CA"/>
    <w:rsid w:val="00F350DB"/>
    <w:rsid w:val="00F3534C"/>
    <w:rsid w:val="00F355A9"/>
    <w:rsid w:val="00F35768"/>
    <w:rsid w:val="00F359AC"/>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252"/>
    <w:rsid w:val="00F4138F"/>
    <w:rsid w:val="00F416F2"/>
    <w:rsid w:val="00F417DC"/>
    <w:rsid w:val="00F41A19"/>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FF3"/>
    <w:rsid w:val="00F4712E"/>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D36"/>
    <w:rsid w:val="00F50EF5"/>
    <w:rsid w:val="00F512E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2B9"/>
    <w:rsid w:val="00F647BA"/>
    <w:rsid w:val="00F64A84"/>
    <w:rsid w:val="00F64F91"/>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6C2"/>
    <w:rsid w:val="00F73AD1"/>
    <w:rsid w:val="00F740A7"/>
    <w:rsid w:val="00F7424C"/>
    <w:rsid w:val="00F7470E"/>
    <w:rsid w:val="00F74855"/>
    <w:rsid w:val="00F74937"/>
    <w:rsid w:val="00F75657"/>
    <w:rsid w:val="00F757B1"/>
    <w:rsid w:val="00F75A17"/>
    <w:rsid w:val="00F75A1C"/>
    <w:rsid w:val="00F75A7B"/>
    <w:rsid w:val="00F75C0A"/>
    <w:rsid w:val="00F75D8C"/>
    <w:rsid w:val="00F75DED"/>
    <w:rsid w:val="00F7642A"/>
    <w:rsid w:val="00F76681"/>
    <w:rsid w:val="00F766E9"/>
    <w:rsid w:val="00F767CD"/>
    <w:rsid w:val="00F769A4"/>
    <w:rsid w:val="00F769C5"/>
    <w:rsid w:val="00F76B4F"/>
    <w:rsid w:val="00F76B5D"/>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1A2"/>
    <w:rsid w:val="00F83514"/>
    <w:rsid w:val="00F83550"/>
    <w:rsid w:val="00F83787"/>
    <w:rsid w:val="00F8387D"/>
    <w:rsid w:val="00F83E2D"/>
    <w:rsid w:val="00F83F69"/>
    <w:rsid w:val="00F84FE2"/>
    <w:rsid w:val="00F8543F"/>
    <w:rsid w:val="00F85770"/>
    <w:rsid w:val="00F85AB3"/>
    <w:rsid w:val="00F863D0"/>
    <w:rsid w:val="00F864AC"/>
    <w:rsid w:val="00F86659"/>
    <w:rsid w:val="00F8675C"/>
    <w:rsid w:val="00F86779"/>
    <w:rsid w:val="00F86890"/>
    <w:rsid w:val="00F86A8E"/>
    <w:rsid w:val="00F86ACD"/>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0E1"/>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CDB"/>
    <w:rsid w:val="00FA2EB2"/>
    <w:rsid w:val="00FA32DC"/>
    <w:rsid w:val="00FA3444"/>
    <w:rsid w:val="00FA38B7"/>
    <w:rsid w:val="00FA3CF8"/>
    <w:rsid w:val="00FA3D2D"/>
    <w:rsid w:val="00FA3E18"/>
    <w:rsid w:val="00FA3F09"/>
    <w:rsid w:val="00FA40B5"/>
    <w:rsid w:val="00FA41FE"/>
    <w:rsid w:val="00FA435D"/>
    <w:rsid w:val="00FA45A7"/>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A7B07"/>
    <w:rsid w:val="00FA7E2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10A"/>
    <w:rsid w:val="00FC02DA"/>
    <w:rsid w:val="00FC05EE"/>
    <w:rsid w:val="00FC078A"/>
    <w:rsid w:val="00FC08C7"/>
    <w:rsid w:val="00FC0AF4"/>
    <w:rsid w:val="00FC116A"/>
    <w:rsid w:val="00FC1397"/>
    <w:rsid w:val="00FC1681"/>
    <w:rsid w:val="00FC186F"/>
    <w:rsid w:val="00FC1C6F"/>
    <w:rsid w:val="00FC1F0F"/>
    <w:rsid w:val="00FC1FD6"/>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505"/>
    <w:rsid w:val="00FD07B9"/>
    <w:rsid w:val="00FD07BF"/>
    <w:rsid w:val="00FD0BEB"/>
    <w:rsid w:val="00FD0E11"/>
    <w:rsid w:val="00FD0F30"/>
    <w:rsid w:val="00FD101A"/>
    <w:rsid w:val="00FD11D4"/>
    <w:rsid w:val="00FD19CD"/>
    <w:rsid w:val="00FD1E16"/>
    <w:rsid w:val="00FD20ED"/>
    <w:rsid w:val="00FD2104"/>
    <w:rsid w:val="00FD2209"/>
    <w:rsid w:val="00FD26BF"/>
    <w:rsid w:val="00FD276C"/>
    <w:rsid w:val="00FD2922"/>
    <w:rsid w:val="00FD299C"/>
    <w:rsid w:val="00FD29A7"/>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A60"/>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502"/>
    <w:rsid w:val="00FD76FA"/>
    <w:rsid w:val="00FD7911"/>
    <w:rsid w:val="00FD7953"/>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CAE"/>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82"/>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pPr>
      <w:tabs>
        <w:tab w:val="center" w:pos="4153"/>
        <w:tab w:val="right" w:pos="8306"/>
      </w:tabs>
      <w:snapToGrid w:val="0"/>
    </w:pPr>
    <w:rPr>
      <w:sz w:val="20"/>
      <w:szCs w:val="20"/>
    </w:rPr>
  </w:style>
  <w:style w:type="paragraph" w:styleId="af3">
    <w:name w:val="footnote text"/>
    <w:basedOn w:val="a0"/>
    <w:link w:val="af4"/>
    <w:uiPriority w:val="99"/>
    <w:pPr>
      <w:snapToGrid w:val="0"/>
    </w:pPr>
    <w:rPr>
      <w:kern w:val="0"/>
      <w:sz w:val="20"/>
      <w:szCs w:val="20"/>
    </w:rPr>
  </w:style>
  <w:style w:type="table" w:styleId="af5">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6">
    <w:name w:val="Hyperlink"/>
    <w:rsid w:val="00745453"/>
    <w:rPr>
      <w:color w:val="0000FF"/>
      <w:u w:val="single"/>
    </w:rPr>
  </w:style>
  <w:style w:type="paragraph" w:customStyle="1" w:styleId="af7">
    <w:name w:val="字元"/>
    <w:basedOn w:val="a0"/>
    <w:locked/>
    <w:rsid w:val="002C4BA9"/>
    <w:pPr>
      <w:widowControl/>
      <w:spacing w:after="160" w:line="240" w:lineRule="exact"/>
    </w:pPr>
    <w:rPr>
      <w:rFonts w:ascii="Verdana" w:hAnsi="Verdana"/>
      <w:kern w:val="0"/>
      <w:sz w:val="20"/>
      <w:szCs w:val="20"/>
      <w:lang w:val="en-US" w:eastAsia="en-AU"/>
    </w:rPr>
  </w:style>
  <w:style w:type="paragraph" w:styleId="af8">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9">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a">
    <w:name w:val="List Paragraph"/>
    <w:basedOn w:val="a0"/>
    <w:link w:val="afb"/>
    <w:uiPriority w:val="34"/>
    <w:qFormat/>
    <w:rsid w:val="00C127A9"/>
    <w:pPr>
      <w:ind w:leftChars="200" w:left="480"/>
    </w:pPr>
  </w:style>
  <w:style w:type="paragraph" w:styleId="afc">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4">
    <w:name w:val="註腳文字 字元"/>
    <w:link w:val="af3"/>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b">
    <w:name w:val="清單段落 字元"/>
    <w:link w:val="afa"/>
    <w:uiPriority w:val="34"/>
    <w:qFormat/>
    <w:locked/>
    <w:rsid w:val="00D548B1"/>
    <w:rPr>
      <w:kern w:val="2"/>
      <w:sz w:val="24"/>
      <w:szCs w:val="24"/>
      <w:lang w:val="en-GB"/>
    </w:rPr>
  </w:style>
  <w:style w:type="character" w:styleId="afd">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483429361">
      <w:bodyDiv w:val="1"/>
      <w:marLeft w:val="0"/>
      <w:marRight w:val="0"/>
      <w:marTop w:val="0"/>
      <w:marBottom w:val="0"/>
      <w:divBdr>
        <w:top w:val="none" w:sz="0" w:space="0" w:color="auto"/>
        <w:left w:val="none" w:sz="0" w:space="0" w:color="auto"/>
        <w:bottom w:val="none" w:sz="0" w:space="0" w:color="auto"/>
        <w:right w:val="none" w:sz="0" w:space="0" w:color="auto"/>
      </w:divBdr>
    </w:div>
    <w:div w:id="150956413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1B5C9-7FEA-4A3F-81F6-BA2DB90E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16</Pages>
  <Words>4420</Words>
  <Characters>24135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47</cp:revision>
  <cp:lastPrinted>2024-08-12T03:08:00Z</cp:lastPrinted>
  <dcterms:created xsi:type="dcterms:W3CDTF">2024-07-29T06:59:00Z</dcterms:created>
  <dcterms:modified xsi:type="dcterms:W3CDTF">2024-08-12T03:09:00Z</dcterms:modified>
</cp:coreProperties>
</file>