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4ED92" w14:textId="0883089B" w:rsidR="00FA13F1" w:rsidRPr="005E1A8E" w:rsidRDefault="00FA13F1" w:rsidP="00FA13F1">
      <w:pPr>
        <w:pStyle w:val="2"/>
        <w:spacing w:line="360" w:lineRule="exact"/>
        <w:ind w:firstLine="240"/>
        <w:rPr>
          <w:szCs w:val="28"/>
          <w:lang w:val="en-GB"/>
        </w:rPr>
      </w:pPr>
      <w:r w:rsidRPr="005E1A8E">
        <w:rPr>
          <w:szCs w:val="28"/>
          <w:lang w:val="en-GB"/>
        </w:rPr>
        <w:t xml:space="preserve">CHAPTER </w:t>
      </w:r>
      <w:proofErr w:type="gramStart"/>
      <w:r w:rsidR="002228BA">
        <w:rPr>
          <w:szCs w:val="28"/>
          <w:lang w:val="en-GB"/>
        </w:rPr>
        <w:t>3</w:t>
      </w:r>
      <w:r w:rsidRPr="005E1A8E">
        <w:rPr>
          <w:szCs w:val="28"/>
          <w:lang w:val="en-GB"/>
        </w:rPr>
        <w:t xml:space="preserve"> :</w:t>
      </w:r>
      <w:proofErr w:type="gramEnd"/>
      <w:r w:rsidRPr="005E1A8E">
        <w:rPr>
          <w:szCs w:val="28"/>
          <w:lang w:val="en-GB"/>
        </w:rPr>
        <w:t xml:space="preserve"> DEVELOPMENTS IN SELECTED SECTORS</w:t>
      </w:r>
    </w:p>
    <w:p w14:paraId="050A184F" w14:textId="0225AF30" w:rsidR="00DE10F8" w:rsidRDefault="00DE10F8" w:rsidP="00FA13F1">
      <w:pPr>
        <w:pStyle w:val="a5"/>
        <w:widowControl w:val="0"/>
        <w:autoSpaceDE/>
        <w:autoSpaceDN/>
        <w:adjustRightInd/>
        <w:spacing w:line="360" w:lineRule="exact"/>
        <w:ind w:right="0"/>
        <w:textAlignment w:val="auto"/>
        <w:rPr>
          <w:b/>
          <w:i/>
          <w:iCs/>
          <w:szCs w:val="28"/>
          <w:lang w:val="en-GB" w:eastAsia="zh-TW"/>
        </w:rPr>
      </w:pPr>
    </w:p>
    <w:p w14:paraId="15B892AA" w14:textId="398D1A2A" w:rsidR="00FA13F1" w:rsidRPr="005E1A8E" w:rsidRDefault="00FA13F1" w:rsidP="00FA13F1">
      <w:pPr>
        <w:pStyle w:val="a5"/>
        <w:widowControl w:val="0"/>
        <w:autoSpaceDE/>
        <w:autoSpaceDN/>
        <w:adjustRightInd/>
        <w:spacing w:line="360" w:lineRule="exact"/>
        <w:ind w:right="0"/>
        <w:textAlignment w:val="auto"/>
        <w:rPr>
          <w:b/>
          <w:i/>
          <w:iCs/>
          <w:szCs w:val="28"/>
          <w:lang w:val="en-GB"/>
        </w:rPr>
      </w:pPr>
      <w:r w:rsidRPr="005E1A8E">
        <w:rPr>
          <w:b/>
          <w:i/>
          <w:iCs/>
          <w:szCs w:val="28"/>
          <w:lang w:val="en-GB"/>
        </w:rPr>
        <w:t>Summary</w:t>
      </w:r>
    </w:p>
    <w:p w14:paraId="64DF4D09" w14:textId="77777777" w:rsidR="00FA13F1" w:rsidRPr="005E1A8E" w:rsidRDefault="00FA13F1" w:rsidP="00FA13F1">
      <w:pPr>
        <w:pStyle w:val="a5"/>
        <w:widowControl w:val="0"/>
        <w:autoSpaceDE/>
        <w:autoSpaceDN/>
        <w:adjustRightInd/>
        <w:spacing w:line="360" w:lineRule="exact"/>
        <w:ind w:right="0"/>
        <w:textAlignment w:val="auto"/>
        <w:rPr>
          <w:rFonts w:eastAsia="DengXian"/>
          <w:b/>
          <w:i/>
          <w:iCs/>
          <w:szCs w:val="28"/>
          <w:lang w:val="en-GB" w:eastAsia="zh-CN"/>
        </w:rPr>
      </w:pPr>
    </w:p>
    <w:p w14:paraId="659B44D5" w14:textId="4551E2E6" w:rsidR="00FB1C5C" w:rsidRPr="006A55E3" w:rsidRDefault="001F5D85" w:rsidP="00E86D7A">
      <w:pPr>
        <w:pStyle w:val="a5"/>
        <w:numPr>
          <w:ilvl w:val="0"/>
          <w:numId w:val="29"/>
        </w:numPr>
        <w:spacing w:line="360" w:lineRule="exact"/>
        <w:rPr>
          <w:i/>
          <w:iCs/>
          <w:szCs w:val="28"/>
          <w:lang w:val="en-GB"/>
        </w:rPr>
      </w:pPr>
      <w:r w:rsidRPr="001F5D85">
        <w:rPr>
          <w:i/>
          <w:iCs/>
          <w:szCs w:val="28"/>
          <w:lang w:val="en-GB"/>
        </w:rPr>
        <w:t>The residential property market was very active at the beginning of the second quarter of 2024</w:t>
      </w:r>
      <w:r w:rsidR="00B00F39" w:rsidRPr="00B00F39">
        <w:rPr>
          <w:i/>
          <w:iCs/>
          <w:szCs w:val="28"/>
          <w:lang w:val="en-GB"/>
        </w:rPr>
        <w:t xml:space="preserve"> </w:t>
      </w:r>
      <w:r w:rsidR="00B00F39">
        <w:rPr>
          <w:i/>
          <w:iCs/>
          <w:szCs w:val="28"/>
          <w:lang w:val="en-GB"/>
        </w:rPr>
        <w:t>following the cancellation of the demand-side management measures (</w:t>
      </w:r>
      <w:r w:rsidR="00B00F39" w:rsidRPr="007422AF">
        <w:rPr>
          <w:i/>
          <w:iCs/>
          <w:szCs w:val="28"/>
          <w:lang w:val="en-GB"/>
        </w:rPr>
        <w:t>DSMMs</w:t>
      </w:r>
      <w:r w:rsidR="00B00F39">
        <w:rPr>
          <w:i/>
          <w:iCs/>
          <w:szCs w:val="28"/>
          <w:lang w:val="en-GB"/>
        </w:rPr>
        <w:t>) for residential properties</w:t>
      </w:r>
      <w:r w:rsidRPr="001F5D85">
        <w:rPr>
          <w:i/>
          <w:iCs/>
          <w:szCs w:val="28"/>
          <w:lang w:val="en-GB"/>
        </w:rPr>
        <w:t>, but quietened progressively thereafter</w:t>
      </w:r>
      <w:r w:rsidR="00D00786">
        <w:rPr>
          <w:i/>
          <w:iCs/>
          <w:szCs w:val="28"/>
          <w:lang w:val="en-GB"/>
        </w:rPr>
        <w:t xml:space="preserve"> as </w:t>
      </w:r>
      <w:r w:rsidR="00F21D51">
        <w:rPr>
          <w:i/>
          <w:iCs/>
          <w:szCs w:val="28"/>
          <w:lang w:val="en-GB"/>
        </w:rPr>
        <w:t xml:space="preserve">pent-up demand </w:t>
      </w:r>
      <w:r w:rsidR="00D00786">
        <w:rPr>
          <w:i/>
          <w:iCs/>
          <w:szCs w:val="28"/>
          <w:lang w:val="en-GB"/>
        </w:rPr>
        <w:t>faded</w:t>
      </w:r>
      <w:r w:rsidRPr="001F5D85">
        <w:rPr>
          <w:i/>
          <w:iCs/>
          <w:szCs w:val="28"/>
          <w:lang w:val="en-GB"/>
        </w:rPr>
        <w:t xml:space="preserve">.  Market sentiment turned increasingly cautious during the quarter as the prospect of </w:t>
      </w:r>
      <w:r w:rsidR="00222201" w:rsidRPr="001041CE">
        <w:rPr>
          <w:i/>
          <w:iCs/>
          <w:szCs w:val="28"/>
          <w:lang w:val="en-GB"/>
        </w:rPr>
        <w:t xml:space="preserve">US </w:t>
      </w:r>
      <w:r w:rsidRPr="001F5D85">
        <w:rPr>
          <w:i/>
          <w:iCs/>
          <w:szCs w:val="28"/>
          <w:lang w:val="en-GB"/>
        </w:rPr>
        <w:t>interest rate cut</w:t>
      </w:r>
      <w:r w:rsidR="00D00786">
        <w:rPr>
          <w:i/>
          <w:iCs/>
          <w:szCs w:val="28"/>
          <w:lang w:val="en-GB"/>
        </w:rPr>
        <w:t>s</w:t>
      </w:r>
      <w:r w:rsidRPr="001F5D85">
        <w:rPr>
          <w:i/>
          <w:iCs/>
          <w:szCs w:val="28"/>
          <w:lang w:val="en-GB"/>
        </w:rPr>
        <w:t xml:space="preserve"> dimmed.  Flat prices declined for the quarter as a whole</w:t>
      </w:r>
      <w:r w:rsidR="00B00F39">
        <w:rPr>
          <w:i/>
          <w:iCs/>
          <w:szCs w:val="28"/>
          <w:lang w:val="en-GB"/>
        </w:rPr>
        <w:t>,</w:t>
      </w:r>
      <w:r w:rsidR="00B00F39" w:rsidRPr="00B00F39">
        <w:rPr>
          <w:i/>
          <w:iCs/>
          <w:szCs w:val="28"/>
          <w:lang w:val="en-GB"/>
        </w:rPr>
        <w:t xml:space="preserve"> </w:t>
      </w:r>
      <w:r w:rsidR="00B00F39" w:rsidRPr="001F5D85">
        <w:rPr>
          <w:i/>
          <w:iCs/>
          <w:szCs w:val="28"/>
          <w:lang w:val="en-GB"/>
        </w:rPr>
        <w:t xml:space="preserve">and many developers adopted </w:t>
      </w:r>
      <w:r w:rsidR="00B00F39">
        <w:rPr>
          <w:i/>
          <w:iCs/>
          <w:szCs w:val="28"/>
          <w:lang w:val="en-GB"/>
        </w:rPr>
        <w:t xml:space="preserve">a </w:t>
      </w:r>
      <w:r w:rsidR="00B00F39" w:rsidRPr="001F5D85">
        <w:rPr>
          <w:i/>
          <w:iCs/>
          <w:szCs w:val="28"/>
          <w:lang w:val="en-GB"/>
        </w:rPr>
        <w:t>conservative pricing strategy when launching new projects</w:t>
      </w:r>
      <w:r w:rsidRPr="001F5D85">
        <w:rPr>
          <w:i/>
          <w:iCs/>
          <w:szCs w:val="28"/>
          <w:lang w:val="en-GB"/>
        </w:rPr>
        <w:t>.</w:t>
      </w:r>
    </w:p>
    <w:p w14:paraId="10AC952B" w14:textId="77777777" w:rsidR="00FB1C5C" w:rsidRPr="006A55E3" w:rsidRDefault="00FB1C5C" w:rsidP="006A55E3">
      <w:pPr>
        <w:pStyle w:val="a5"/>
        <w:spacing w:line="360" w:lineRule="exact"/>
        <w:ind w:left="425"/>
        <w:rPr>
          <w:i/>
          <w:iCs/>
          <w:szCs w:val="28"/>
          <w:highlight w:val="yellow"/>
          <w:lang w:val="en-GB"/>
        </w:rPr>
      </w:pPr>
    </w:p>
    <w:p w14:paraId="7B6B754F" w14:textId="365E7BC3" w:rsidR="00F45EC2" w:rsidRPr="00911FA7" w:rsidRDefault="00FB1C5C" w:rsidP="004B2860">
      <w:pPr>
        <w:pStyle w:val="a5"/>
        <w:numPr>
          <w:ilvl w:val="0"/>
          <w:numId w:val="29"/>
        </w:numPr>
        <w:spacing w:line="360" w:lineRule="exact"/>
        <w:rPr>
          <w:i/>
          <w:lang w:val="en-GB"/>
        </w:rPr>
      </w:pPr>
      <w:r w:rsidRPr="00F15E59">
        <w:rPr>
          <w:i/>
          <w:lang w:val="en-GB"/>
        </w:rPr>
        <w:t xml:space="preserve">Reflecting the Government’s sustained efforts </w:t>
      </w:r>
      <w:r w:rsidR="00707FD8">
        <w:rPr>
          <w:i/>
          <w:lang w:val="en-GB"/>
        </w:rPr>
        <w:t>to</w:t>
      </w:r>
      <w:r w:rsidR="00707FD8" w:rsidRPr="00F15E59">
        <w:rPr>
          <w:i/>
          <w:lang w:val="en-GB"/>
        </w:rPr>
        <w:t xml:space="preserve"> </w:t>
      </w:r>
      <w:r w:rsidR="00F45EC2" w:rsidRPr="005E3DF9">
        <w:rPr>
          <w:i/>
          <w:lang w:val="en-GB"/>
        </w:rPr>
        <w:t>rais</w:t>
      </w:r>
      <w:r w:rsidR="00707FD8">
        <w:rPr>
          <w:i/>
          <w:lang w:val="en-GB"/>
        </w:rPr>
        <w:t>e</w:t>
      </w:r>
      <w:r w:rsidR="00F45EC2" w:rsidRPr="00F15E59">
        <w:rPr>
          <w:i/>
          <w:lang w:val="en-GB"/>
        </w:rPr>
        <w:t xml:space="preserve"> </w:t>
      </w:r>
      <w:r w:rsidRPr="00F15E59">
        <w:rPr>
          <w:i/>
          <w:lang w:val="en-GB"/>
        </w:rPr>
        <w:t xml:space="preserve">land and </w:t>
      </w:r>
      <w:r w:rsidRPr="0013013D">
        <w:rPr>
          <w:i/>
          <w:lang w:val="en-GB"/>
        </w:rPr>
        <w:t>flat</w:t>
      </w:r>
      <w:r w:rsidRPr="00F15E59">
        <w:rPr>
          <w:i/>
          <w:lang w:val="en-GB"/>
        </w:rPr>
        <w:t xml:space="preserve"> supply, </w:t>
      </w:r>
      <w:r w:rsidR="00C40C78" w:rsidRPr="005E3DF9">
        <w:rPr>
          <w:i/>
          <w:lang w:val="en-GB"/>
        </w:rPr>
        <w:t>the</w:t>
      </w:r>
      <w:r w:rsidR="00C40C78" w:rsidRPr="00F15E59">
        <w:rPr>
          <w:i/>
          <w:lang w:val="en-GB"/>
        </w:rPr>
        <w:t xml:space="preserve"> </w:t>
      </w:r>
      <w:r w:rsidRPr="00F15E59">
        <w:rPr>
          <w:i/>
          <w:lang w:val="en-GB"/>
        </w:rPr>
        <w:t xml:space="preserve">total private first-hand flat supply in the coming three to four years </w:t>
      </w:r>
      <w:r w:rsidR="0001644C" w:rsidRPr="00F15E59">
        <w:rPr>
          <w:i/>
          <w:lang w:val="en-GB"/>
        </w:rPr>
        <w:t xml:space="preserve">would </w:t>
      </w:r>
      <w:r w:rsidR="004B2860" w:rsidRPr="004B2860">
        <w:rPr>
          <w:i/>
          <w:lang w:val="en-GB"/>
        </w:rPr>
        <w:t xml:space="preserve">remain at a </w:t>
      </w:r>
      <w:r w:rsidR="004B2860" w:rsidRPr="003E2457">
        <w:rPr>
          <w:i/>
          <w:lang w:val="en-GB"/>
        </w:rPr>
        <w:t xml:space="preserve">high level </w:t>
      </w:r>
      <w:r w:rsidR="004B2860" w:rsidRPr="00911FA7">
        <w:rPr>
          <w:i/>
          <w:lang w:val="en-GB"/>
        </w:rPr>
        <w:t>of</w:t>
      </w:r>
      <w:r w:rsidR="0001644C" w:rsidRPr="00911FA7">
        <w:rPr>
          <w:i/>
          <w:lang w:val="en-GB"/>
        </w:rPr>
        <w:t xml:space="preserve"> </w:t>
      </w:r>
      <w:r w:rsidR="00CD2AA8" w:rsidRPr="00911FA7">
        <w:rPr>
          <w:i/>
          <w:lang w:val="en-GB"/>
        </w:rPr>
        <w:t>1</w:t>
      </w:r>
      <w:r w:rsidR="00BE6F8E" w:rsidRPr="00911FA7">
        <w:rPr>
          <w:i/>
          <w:lang w:val="en-GB"/>
        </w:rPr>
        <w:t>09</w:t>
      </w:r>
      <w:r w:rsidR="00CD2AA8" w:rsidRPr="00911FA7">
        <w:rPr>
          <w:i/>
          <w:lang w:val="en-GB"/>
        </w:rPr>
        <w:t> </w:t>
      </w:r>
      <w:r w:rsidRPr="00911FA7">
        <w:rPr>
          <w:i/>
          <w:lang w:val="en-GB"/>
        </w:rPr>
        <w:t>000 units as estimated at end</w:t>
      </w:r>
      <w:r w:rsidR="00F15E59" w:rsidRPr="00911FA7">
        <w:rPr>
          <w:i/>
          <w:lang w:val="en-GB"/>
        </w:rPr>
        <w:noBreakHyphen/>
      </w:r>
      <w:r w:rsidR="004B2860" w:rsidRPr="00911FA7">
        <w:rPr>
          <w:i/>
          <w:lang w:val="en-GB"/>
        </w:rPr>
        <w:t>June</w:t>
      </w:r>
      <w:r w:rsidR="00874D28" w:rsidRPr="00911FA7">
        <w:rPr>
          <w:i/>
          <w:lang w:val="en-GB"/>
        </w:rPr>
        <w:t> 2024</w:t>
      </w:r>
      <w:r w:rsidRPr="00911FA7">
        <w:rPr>
          <w:i/>
          <w:lang w:val="en-GB"/>
        </w:rPr>
        <w:t>.</w:t>
      </w:r>
    </w:p>
    <w:p w14:paraId="781E5B0F" w14:textId="77777777" w:rsidR="00FB1C5C" w:rsidRPr="00911FA7" w:rsidRDefault="00FB1C5C" w:rsidP="006A55E3">
      <w:pPr>
        <w:pStyle w:val="a5"/>
        <w:spacing w:line="360" w:lineRule="exact"/>
        <w:ind w:left="425"/>
        <w:rPr>
          <w:i/>
          <w:lang w:val="en-GB"/>
        </w:rPr>
      </w:pPr>
    </w:p>
    <w:p w14:paraId="53D9982D" w14:textId="1846AF70" w:rsidR="003E2457" w:rsidRPr="00911FA7" w:rsidRDefault="003E2457" w:rsidP="00096FC0">
      <w:pPr>
        <w:pStyle w:val="a5"/>
        <w:numPr>
          <w:ilvl w:val="0"/>
          <w:numId w:val="29"/>
        </w:numPr>
        <w:spacing w:line="360" w:lineRule="exact"/>
        <w:rPr>
          <w:i/>
        </w:rPr>
      </w:pPr>
      <w:r w:rsidRPr="00911FA7">
        <w:rPr>
          <w:i/>
        </w:rPr>
        <w:t xml:space="preserve">The non-residential property market remained sluggish in the second quarter.  Trading activities for all major market segments </w:t>
      </w:r>
      <w:r w:rsidR="0055159D" w:rsidRPr="00A23F50">
        <w:rPr>
          <w:i/>
          <w:lang w:val="en-GB"/>
        </w:rPr>
        <w:t>stayed</w:t>
      </w:r>
      <w:r w:rsidR="006E4866" w:rsidRPr="00A23F50">
        <w:rPr>
          <w:i/>
          <w:lang w:val="en-GB"/>
        </w:rPr>
        <w:t xml:space="preserve"> generally</w:t>
      </w:r>
      <w:r w:rsidR="00050563" w:rsidRPr="00A23F50">
        <w:rPr>
          <w:i/>
          <w:lang w:val="en-GB"/>
        </w:rPr>
        <w:t xml:space="preserve"> subdued</w:t>
      </w:r>
      <w:r w:rsidR="00096FC0" w:rsidRPr="001041CE">
        <w:t xml:space="preserve"> </w:t>
      </w:r>
      <w:r w:rsidRPr="00911FA7">
        <w:rPr>
          <w:i/>
        </w:rPr>
        <w:t>while prices and rentals fell further.</w:t>
      </w:r>
    </w:p>
    <w:p w14:paraId="4D5ABA48" w14:textId="77777777" w:rsidR="003E2457" w:rsidRPr="001041CE" w:rsidRDefault="003E2457" w:rsidP="003E2457">
      <w:pPr>
        <w:pStyle w:val="afa"/>
        <w:rPr>
          <w:i/>
          <w:lang w:val="x-none"/>
        </w:rPr>
      </w:pPr>
    </w:p>
    <w:p w14:paraId="53AB9EC5" w14:textId="5495C178" w:rsidR="003B65A9" w:rsidRPr="00911FA7" w:rsidRDefault="00DF11FC" w:rsidP="003B65A9">
      <w:pPr>
        <w:pStyle w:val="a5"/>
        <w:numPr>
          <w:ilvl w:val="0"/>
          <w:numId w:val="29"/>
        </w:numPr>
        <w:spacing w:line="360" w:lineRule="exact"/>
        <w:rPr>
          <w:i/>
          <w:szCs w:val="28"/>
          <w:shd w:val="pct15" w:color="auto" w:fill="FFFFFF"/>
        </w:rPr>
      </w:pPr>
      <w:r w:rsidRPr="003B65A9">
        <w:rPr>
          <w:i/>
          <w:szCs w:val="28"/>
          <w:lang w:val="en-GB"/>
        </w:rPr>
        <w:t xml:space="preserve">The tourism sector </w:t>
      </w:r>
      <w:r w:rsidRPr="00911FA7">
        <w:rPr>
          <w:i/>
          <w:szCs w:val="28"/>
          <w:lang w:val="en-GB"/>
        </w:rPr>
        <w:t xml:space="preserve">continued to recover in the second quarter, though the pace moderated.  Visitor arrivals rose by </w:t>
      </w:r>
      <w:r w:rsidRPr="00DF11FC">
        <w:rPr>
          <w:i/>
          <w:szCs w:val="28"/>
          <w:lang w:val="en-GB"/>
        </w:rPr>
        <w:t>17.2</w:t>
      </w:r>
      <w:r w:rsidR="00BF6E71" w:rsidRPr="00911FA7">
        <w:rPr>
          <w:i/>
          <w:szCs w:val="28"/>
          <w:lang w:val="en-GB"/>
        </w:rPr>
        <w:t>%</w:t>
      </w:r>
      <w:r w:rsidRPr="00DF11FC">
        <w:rPr>
          <w:i/>
          <w:szCs w:val="28"/>
          <w:lang w:val="en-GB"/>
        </w:rPr>
        <w:t xml:space="preserve"> year-on-year in the second quarter to 9.9 million, equivalent to 66</w:t>
      </w:r>
      <w:r w:rsidR="00BF6E71" w:rsidRPr="00911FA7">
        <w:rPr>
          <w:i/>
          <w:szCs w:val="28"/>
          <w:lang w:val="en-GB"/>
        </w:rPr>
        <w:t>%</w:t>
      </w:r>
      <w:r w:rsidRPr="00DF11FC">
        <w:rPr>
          <w:i/>
          <w:szCs w:val="28"/>
          <w:lang w:val="en-GB"/>
        </w:rPr>
        <w:t xml:space="preserve"> of t</w:t>
      </w:r>
      <w:r w:rsidRPr="00911FA7">
        <w:rPr>
          <w:i/>
          <w:szCs w:val="28"/>
          <w:lang w:val="en-GB"/>
        </w:rPr>
        <w:t>he level in the same period in 2018.</w:t>
      </w:r>
    </w:p>
    <w:p w14:paraId="0747EB79" w14:textId="77777777" w:rsidR="00D600BC" w:rsidRPr="003E2457" w:rsidRDefault="00D600BC" w:rsidP="00D600BC">
      <w:pPr>
        <w:pStyle w:val="a5"/>
        <w:spacing w:line="360" w:lineRule="exact"/>
        <w:ind w:left="425"/>
        <w:rPr>
          <w:i/>
          <w:iCs/>
          <w:szCs w:val="28"/>
          <w:lang w:val="en-GB"/>
        </w:rPr>
      </w:pPr>
    </w:p>
    <w:p w14:paraId="576AB3C5" w14:textId="6092F1CA" w:rsidR="003E2457" w:rsidRPr="00911FA7" w:rsidRDefault="003E2457" w:rsidP="001F491E">
      <w:pPr>
        <w:pStyle w:val="a5"/>
        <w:numPr>
          <w:ilvl w:val="0"/>
          <w:numId w:val="29"/>
        </w:numPr>
        <w:spacing w:line="360" w:lineRule="exact"/>
        <w:rPr>
          <w:i/>
          <w:szCs w:val="28"/>
          <w:lang w:val="en-GB"/>
        </w:rPr>
      </w:pPr>
      <w:r w:rsidRPr="003E2457">
        <w:rPr>
          <w:i/>
          <w:szCs w:val="28"/>
          <w:lang w:val="en-GB"/>
        </w:rPr>
        <w:t xml:space="preserve">The logistics sector put </w:t>
      </w:r>
      <w:r w:rsidRPr="00911FA7">
        <w:rPr>
          <w:i/>
          <w:szCs w:val="28"/>
          <w:lang w:val="en-GB"/>
        </w:rPr>
        <w:t xml:space="preserve">up mixed performance in the second quarter.  Total container throughput decreased by another </w:t>
      </w:r>
      <w:r w:rsidR="00D004B1">
        <w:rPr>
          <w:i/>
          <w:szCs w:val="28"/>
          <w:lang w:val="en-GB"/>
        </w:rPr>
        <w:t>7.</w:t>
      </w:r>
      <w:r w:rsidR="005F49B8">
        <w:rPr>
          <w:i/>
          <w:szCs w:val="28"/>
          <w:lang w:val="en-GB"/>
        </w:rPr>
        <w:t>2</w:t>
      </w:r>
      <w:r w:rsidRPr="00911FA7">
        <w:rPr>
          <w:i/>
          <w:szCs w:val="28"/>
          <w:lang w:val="en-GB"/>
        </w:rPr>
        <w:t xml:space="preserve">% from a year earlier, while air freight throughput </w:t>
      </w:r>
      <w:r w:rsidRPr="00911FA7">
        <w:rPr>
          <w:i/>
          <w:lang w:val="en-GB"/>
        </w:rPr>
        <w:t>increased</w:t>
      </w:r>
      <w:r w:rsidRPr="00911FA7">
        <w:rPr>
          <w:i/>
          <w:szCs w:val="28"/>
          <w:lang w:val="en-GB"/>
        </w:rPr>
        <w:t xml:space="preserve"> </w:t>
      </w:r>
      <w:r w:rsidR="00773CEE">
        <w:rPr>
          <w:i/>
          <w:szCs w:val="28"/>
          <w:lang w:val="en-GB"/>
        </w:rPr>
        <w:t xml:space="preserve">further </w:t>
      </w:r>
      <w:r w:rsidRPr="00911FA7">
        <w:rPr>
          <w:i/>
          <w:szCs w:val="28"/>
          <w:lang w:val="en-GB"/>
        </w:rPr>
        <w:t xml:space="preserve">by </w:t>
      </w:r>
      <w:r w:rsidR="005F49B8">
        <w:rPr>
          <w:i/>
          <w:szCs w:val="28"/>
          <w:lang w:val="en-GB"/>
        </w:rPr>
        <w:t>16.8</w:t>
      </w:r>
      <w:r w:rsidRPr="00911FA7">
        <w:rPr>
          <w:i/>
          <w:szCs w:val="28"/>
          <w:lang w:val="en-GB"/>
        </w:rPr>
        <w:t>%.</w:t>
      </w:r>
    </w:p>
    <w:p w14:paraId="083CB99A" w14:textId="77777777" w:rsidR="0094686A" w:rsidRPr="003E2457" w:rsidRDefault="0094686A" w:rsidP="0094686A">
      <w:pPr>
        <w:pStyle w:val="afa"/>
        <w:rPr>
          <w:i/>
        </w:rPr>
      </w:pPr>
    </w:p>
    <w:p w14:paraId="595DF541" w14:textId="39A7C0DB" w:rsidR="00FB1C5C" w:rsidRPr="006A55E3" w:rsidRDefault="00C00959" w:rsidP="00A95406">
      <w:pPr>
        <w:pStyle w:val="a5"/>
        <w:spacing w:line="360" w:lineRule="exact"/>
        <w:rPr>
          <w:b/>
          <w:i/>
          <w:iCs/>
          <w:szCs w:val="28"/>
          <w:highlight w:val="yellow"/>
        </w:rPr>
      </w:pPr>
      <w:r w:rsidRPr="003E2457">
        <w:rPr>
          <w:szCs w:val="28"/>
        </w:rPr>
        <w:br w:type="page"/>
      </w:r>
      <w:r w:rsidR="00FB1C5C" w:rsidRPr="006A55E3">
        <w:rPr>
          <w:b/>
          <w:szCs w:val="28"/>
        </w:rPr>
        <w:lastRenderedPageBreak/>
        <w:t>Property</w:t>
      </w:r>
    </w:p>
    <w:p w14:paraId="04969A41" w14:textId="77777777" w:rsidR="00FB1C5C" w:rsidRPr="006A55E3" w:rsidRDefault="00FB1C5C" w:rsidP="00FB1C5C">
      <w:pPr>
        <w:keepNext/>
        <w:tabs>
          <w:tab w:val="left" w:pos="1080"/>
        </w:tabs>
        <w:overflowPunct w:val="0"/>
        <w:spacing w:line="360" w:lineRule="atLeast"/>
        <w:jc w:val="both"/>
        <w:rPr>
          <w:sz w:val="28"/>
          <w:szCs w:val="28"/>
        </w:rPr>
      </w:pPr>
    </w:p>
    <w:p w14:paraId="77C5D153" w14:textId="20AE307B" w:rsidR="00FB1C5C" w:rsidRPr="00BE6F8E" w:rsidRDefault="0026478E" w:rsidP="00222201">
      <w:pPr>
        <w:numPr>
          <w:ilvl w:val="1"/>
          <w:numId w:val="3"/>
        </w:numPr>
        <w:tabs>
          <w:tab w:val="left" w:pos="1080"/>
        </w:tabs>
        <w:spacing w:line="360" w:lineRule="atLeast"/>
        <w:jc w:val="both"/>
        <w:rPr>
          <w:sz w:val="28"/>
          <w:szCs w:val="28"/>
          <w:shd w:val="pct15" w:color="auto" w:fill="FFFFFF"/>
        </w:rPr>
      </w:pPr>
      <w:r w:rsidRPr="006A55E3">
        <w:rPr>
          <w:sz w:val="28"/>
          <w:szCs w:val="28"/>
        </w:rPr>
        <w:t xml:space="preserve">The </w:t>
      </w:r>
      <w:r w:rsidRPr="006A55E3">
        <w:rPr>
          <w:i/>
          <w:sz w:val="28"/>
          <w:szCs w:val="28"/>
        </w:rPr>
        <w:t>residential property</w:t>
      </w:r>
      <w:r w:rsidRPr="00BE6F8E">
        <w:rPr>
          <w:i/>
          <w:sz w:val="28"/>
          <w:szCs w:val="28"/>
        </w:rPr>
        <w:t xml:space="preserve"> market</w:t>
      </w:r>
      <w:r w:rsidRPr="00BE6F8E">
        <w:rPr>
          <w:sz w:val="28"/>
          <w:szCs w:val="28"/>
        </w:rPr>
        <w:t xml:space="preserve"> </w:t>
      </w:r>
      <w:r w:rsidR="00AD1093">
        <w:rPr>
          <w:sz w:val="28"/>
          <w:szCs w:val="28"/>
        </w:rPr>
        <w:t xml:space="preserve">was </w:t>
      </w:r>
      <w:r w:rsidR="00AD1093" w:rsidRPr="00B6415F">
        <w:rPr>
          <w:sz w:val="28"/>
          <w:szCs w:val="28"/>
        </w:rPr>
        <w:t xml:space="preserve">very </w:t>
      </w:r>
      <w:r w:rsidRPr="00BE6F8E">
        <w:rPr>
          <w:sz w:val="28"/>
          <w:szCs w:val="28"/>
        </w:rPr>
        <w:t>active</w:t>
      </w:r>
      <w:r w:rsidR="00A42FC7">
        <w:rPr>
          <w:sz w:val="28"/>
          <w:szCs w:val="28"/>
        </w:rPr>
        <w:t xml:space="preserve"> at the beginning of</w:t>
      </w:r>
      <w:r w:rsidRPr="00BE6F8E">
        <w:rPr>
          <w:sz w:val="28"/>
          <w:szCs w:val="28"/>
        </w:rPr>
        <w:t xml:space="preserve"> the second quarter of 2024</w:t>
      </w:r>
      <w:r w:rsidR="00E5003B">
        <w:rPr>
          <w:sz w:val="28"/>
          <w:szCs w:val="28"/>
        </w:rPr>
        <w:t xml:space="preserve"> </w:t>
      </w:r>
      <w:r w:rsidR="00E5003B" w:rsidRPr="00E5003B">
        <w:rPr>
          <w:sz w:val="28"/>
          <w:szCs w:val="28"/>
        </w:rPr>
        <w:t xml:space="preserve">following the cancellation of the </w:t>
      </w:r>
      <w:r w:rsidR="00E5003B">
        <w:rPr>
          <w:sz w:val="28"/>
          <w:szCs w:val="28"/>
        </w:rPr>
        <w:t>DSMMs</w:t>
      </w:r>
      <w:r w:rsidR="00E5003B" w:rsidRPr="00E5003B">
        <w:rPr>
          <w:sz w:val="28"/>
          <w:szCs w:val="28"/>
        </w:rPr>
        <w:t xml:space="preserve"> for residential properties</w:t>
      </w:r>
      <w:r w:rsidRPr="00BE6F8E">
        <w:rPr>
          <w:sz w:val="28"/>
          <w:szCs w:val="28"/>
        </w:rPr>
        <w:t xml:space="preserve">, but </w:t>
      </w:r>
      <w:r w:rsidR="00A42FC7">
        <w:rPr>
          <w:sz w:val="28"/>
          <w:szCs w:val="28"/>
        </w:rPr>
        <w:t xml:space="preserve">quietened progressively </w:t>
      </w:r>
      <w:r w:rsidRPr="00BE6F8E">
        <w:rPr>
          <w:sz w:val="28"/>
          <w:szCs w:val="28"/>
        </w:rPr>
        <w:t>thereafter</w:t>
      </w:r>
      <w:r w:rsidR="00D00786">
        <w:rPr>
          <w:sz w:val="28"/>
          <w:szCs w:val="28"/>
        </w:rPr>
        <w:t xml:space="preserve"> as </w:t>
      </w:r>
      <w:r w:rsidR="00F21D51">
        <w:rPr>
          <w:sz w:val="28"/>
          <w:szCs w:val="28"/>
        </w:rPr>
        <w:t xml:space="preserve">pent-up demand </w:t>
      </w:r>
      <w:r w:rsidR="00D00786">
        <w:rPr>
          <w:sz w:val="28"/>
          <w:szCs w:val="28"/>
        </w:rPr>
        <w:t>faded</w:t>
      </w:r>
      <w:r w:rsidRPr="00BE6F8E">
        <w:rPr>
          <w:sz w:val="28"/>
          <w:szCs w:val="28"/>
        </w:rPr>
        <w:t xml:space="preserve">.  Market sentiment turned </w:t>
      </w:r>
      <w:r w:rsidR="00E9532F">
        <w:rPr>
          <w:sz w:val="28"/>
          <w:szCs w:val="28"/>
        </w:rPr>
        <w:t xml:space="preserve">increasingly </w:t>
      </w:r>
      <w:r w:rsidRPr="00BE6F8E">
        <w:rPr>
          <w:sz w:val="28"/>
          <w:szCs w:val="28"/>
        </w:rPr>
        <w:t>cautious</w:t>
      </w:r>
      <w:r w:rsidR="00E9532F">
        <w:rPr>
          <w:sz w:val="28"/>
          <w:szCs w:val="28"/>
        </w:rPr>
        <w:t xml:space="preserve"> during the quarter</w:t>
      </w:r>
      <w:r w:rsidRPr="00BE6F8E">
        <w:rPr>
          <w:sz w:val="28"/>
          <w:szCs w:val="28"/>
        </w:rPr>
        <w:t xml:space="preserve"> </w:t>
      </w:r>
      <w:r w:rsidR="00112C70" w:rsidRPr="00BE6F8E">
        <w:rPr>
          <w:sz w:val="28"/>
          <w:szCs w:val="28"/>
        </w:rPr>
        <w:t>as</w:t>
      </w:r>
      <w:r w:rsidR="00A42FC7">
        <w:rPr>
          <w:sz w:val="28"/>
          <w:szCs w:val="28"/>
        </w:rPr>
        <w:t xml:space="preserve"> the prospect </w:t>
      </w:r>
      <w:r w:rsidR="00A42FC7" w:rsidRPr="00F935D0">
        <w:rPr>
          <w:sz w:val="28"/>
          <w:szCs w:val="28"/>
        </w:rPr>
        <w:t xml:space="preserve">of </w:t>
      </w:r>
      <w:r w:rsidR="00222201" w:rsidRPr="00CF7D97">
        <w:rPr>
          <w:sz w:val="28"/>
          <w:szCs w:val="28"/>
        </w:rPr>
        <w:t xml:space="preserve">US </w:t>
      </w:r>
      <w:r w:rsidR="00E9532F" w:rsidRPr="00F935D0">
        <w:rPr>
          <w:sz w:val="28"/>
          <w:szCs w:val="28"/>
        </w:rPr>
        <w:t>interest</w:t>
      </w:r>
      <w:r w:rsidR="00E9532F">
        <w:rPr>
          <w:sz w:val="28"/>
          <w:szCs w:val="28"/>
        </w:rPr>
        <w:t xml:space="preserve"> rate cut</w:t>
      </w:r>
      <w:r w:rsidR="005E075D">
        <w:rPr>
          <w:sz w:val="28"/>
          <w:szCs w:val="28"/>
        </w:rPr>
        <w:t>s</w:t>
      </w:r>
      <w:r w:rsidR="00E9532F">
        <w:rPr>
          <w:sz w:val="28"/>
          <w:szCs w:val="28"/>
        </w:rPr>
        <w:t xml:space="preserve"> dimmed</w:t>
      </w:r>
      <w:r w:rsidR="00112C70" w:rsidRPr="00BE6F8E">
        <w:rPr>
          <w:sz w:val="28"/>
          <w:szCs w:val="28"/>
        </w:rPr>
        <w:t xml:space="preserve">.  </w:t>
      </w:r>
      <w:r w:rsidR="00BE6F8E" w:rsidRPr="00BE6F8E">
        <w:rPr>
          <w:sz w:val="28"/>
          <w:szCs w:val="28"/>
        </w:rPr>
        <w:t>F</w:t>
      </w:r>
      <w:r w:rsidR="00112C70" w:rsidRPr="00BE6F8E">
        <w:rPr>
          <w:sz w:val="28"/>
          <w:szCs w:val="28"/>
        </w:rPr>
        <w:t xml:space="preserve">lat prices </w:t>
      </w:r>
      <w:r w:rsidR="00A42FC7">
        <w:rPr>
          <w:sz w:val="28"/>
          <w:szCs w:val="28"/>
        </w:rPr>
        <w:t xml:space="preserve">declined </w:t>
      </w:r>
      <w:r w:rsidR="00E9532F">
        <w:rPr>
          <w:sz w:val="28"/>
          <w:szCs w:val="28"/>
        </w:rPr>
        <w:t xml:space="preserve">for </w:t>
      </w:r>
      <w:r w:rsidR="00112C70" w:rsidRPr="00BE6F8E">
        <w:rPr>
          <w:sz w:val="28"/>
          <w:szCs w:val="28"/>
        </w:rPr>
        <w:t>the quarter</w:t>
      </w:r>
      <w:r w:rsidR="00E9532F">
        <w:rPr>
          <w:sz w:val="28"/>
          <w:szCs w:val="28"/>
        </w:rPr>
        <w:t xml:space="preserve"> as a whole</w:t>
      </w:r>
      <w:r w:rsidR="00E5003B">
        <w:rPr>
          <w:sz w:val="28"/>
          <w:szCs w:val="28"/>
        </w:rPr>
        <w:t>,</w:t>
      </w:r>
      <w:r w:rsidR="00E5003B" w:rsidRPr="00E5003B">
        <w:rPr>
          <w:sz w:val="28"/>
          <w:szCs w:val="28"/>
        </w:rPr>
        <w:t xml:space="preserve"> </w:t>
      </w:r>
      <w:r w:rsidR="00E5003B">
        <w:rPr>
          <w:sz w:val="28"/>
          <w:szCs w:val="28"/>
        </w:rPr>
        <w:t>and many developers adopted a conservative pricing strategy when launching new projects</w:t>
      </w:r>
      <w:r w:rsidR="00112C70" w:rsidRPr="00BE6F8E">
        <w:rPr>
          <w:sz w:val="28"/>
          <w:szCs w:val="28"/>
        </w:rPr>
        <w:t>.</w:t>
      </w:r>
    </w:p>
    <w:p w14:paraId="16049684" w14:textId="77777777" w:rsidR="00BE6F8E" w:rsidRPr="00BE6F8E" w:rsidRDefault="00BE6F8E" w:rsidP="00BE6F8E">
      <w:pPr>
        <w:tabs>
          <w:tab w:val="left" w:pos="1080"/>
        </w:tabs>
        <w:spacing w:line="360" w:lineRule="atLeast"/>
        <w:jc w:val="both"/>
        <w:rPr>
          <w:sz w:val="28"/>
          <w:szCs w:val="28"/>
          <w:shd w:val="pct15" w:color="auto" w:fill="FFFFFF"/>
        </w:rPr>
      </w:pPr>
    </w:p>
    <w:p w14:paraId="7AFC5ABB" w14:textId="1831CE04" w:rsidR="00FB1C5C" w:rsidRPr="004B2860" w:rsidRDefault="0031673F" w:rsidP="00640EFC">
      <w:pPr>
        <w:numPr>
          <w:ilvl w:val="1"/>
          <w:numId w:val="3"/>
        </w:numPr>
        <w:tabs>
          <w:tab w:val="left" w:pos="1080"/>
        </w:tabs>
        <w:spacing w:line="360" w:lineRule="atLeast"/>
        <w:jc w:val="both"/>
        <w:rPr>
          <w:sz w:val="28"/>
          <w:szCs w:val="28"/>
          <w:shd w:val="pct15" w:color="auto" w:fill="FFFFFF"/>
          <w:lang w:val="en-US"/>
        </w:rPr>
      </w:pPr>
      <w:r>
        <w:rPr>
          <w:sz w:val="28"/>
          <w:szCs w:val="28"/>
        </w:rPr>
        <w:t>T</w:t>
      </w:r>
      <w:r w:rsidR="003C0CBA" w:rsidRPr="00C60F70">
        <w:rPr>
          <w:rFonts w:hint="eastAsia"/>
          <w:sz w:val="28"/>
          <w:szCs w:val="28"/>
        </w:rPr>
        <w:t xml:space="preserve">he total number of </w:t>
      </w:r>
      <w:r w:rsidR="003C0CBA" w:rsidRPr="00C60F70">
        <w:rPr>
          <w:sz w:val="28"/>
          <w:szCs w:val="28"/>
        </w:rPr>
        <w:t xml:space="preserve">sale and purchase </w:t>
      </w:r>
      <w:r w:rsidR="009A637C">
        <w:rPr>
          <w:sz w:val="28"/>
          <w:szCs w:val="28"/>
        </w:rPr>
        <w:t xml:space="preserve">(S&amp;P) </w:t>
      </w:r>
      <w:r w:rsidR="003C0CBA" w:rsidRPr="00C60F70">
        <w:rPr>
          <w:sz w:val="28"/>
          <w:szCs w:val="28"/>
        </w:rPr>
        <w:t>agreements for residential property received by the Land Registry</w:t>
      </w:r>
      <w:r w:rsidR="00D423D8">
        <w:rPr>
          <w:sz w:val="28"/>
          <w:szCs w:val="28"/>
        </w:rPr>
        <w:t xml:space="preserve"> surged to </w:t>
      </w:r>
      <w:r w:rsidR="00AD1093">
        <w:rPr>
          <w:sz w:val="28"/>
          <w:szCs w:val="28"/>
        </w:rPr>
        <w:t>8 </w:t>
      </w:r>
      <w:r w:rsidR="00F4067C">
        <w:rPr>
          <w:sz w:val="28"/>
          <w:szCs w:val="28"/>
        </w:rPr>
        <w:t xml:space="preserve">551 </w:t>
      </w:r>
      <w:r w:rsidR="00AD1093">
        <w:rPr>
          <w:sz w:val="28"/>
          <w:szCs w:val="28"/>
        </w:rPr>
        <w:t xml:space="preserve">in April, the highest level since </w:t>
      </w:r>
      <w:r w:rsidR="00F4067C">
        <w:rPr>
          <w:sz w:val="28"/>
          <w:szCs w:val="28"/>
        </w:rPr>
        <w:t>October 2012</w:t>
      </w:r>
      <w:r w:rsidR="00AD1093">
        <w:rPr>
          <w:sz w:val="28"/>
          <w:szCs w:val="28"/>
        </w:rPr>
        <w:t>, and then fell to 5 </w:t>
      </w:r>
      <w:r w:rsidR="00F4067C">
        <w:rPr>
          <w:sz w:val="28"/>
          <w:szCs w:val="28"/>
        </w:rPr>
        <w:t xml:space="preserve">546 </w:t>
      </w:r>
      <w:r w:rsidR="00AD1093">
        <w:rPr>
          <w:sz w:val="28"/>
          <w:szCs w:val="28"/>
        </w:rPr>
        <w:t>in May and 3 </w:t>
      </w:r>
      <w:r w:rsidR="00F4067C">
        <w:rPr>
          <w:sz w:val="28"/>
          <w:szCs w:val="28"/>
        </w:rPr>
        <w:t xml:space="preserve">856 </w:t>
      </w:r>
      <w:r w:rsidR="00AD1093">
        <w:rPr>
          <w:sz w:val="28"/>
          <w:szCs w:val="28"/>
        </w:rPr>
        <w:t xml:space="preserve">in June.  There were in total </w:t>
      </w:r>
      <w:r w:rsidR="00F4067C">
        <w:rPr>
          <w:sz w:val="28"/>
          <w:szCs w:val="28"/>
        </w:rPr>
        <w:t>17 95</w:t>
      </w:r>
      <w:r w:rsidR="00AD1093">
        <w:rPr>
          <w:sz w:val="28"/>
          <w:szCs w:val="28"/>
        </w:rPr>
        <w:t xml:space="preserve">3 </w:t>
      </w:r>
      <w:r w:rsidR="00BB58A9">
        <w:rPr>
          <w:sz w:val="28"/>
          <w:szCs w:val="28"/>
        </w:rPr>
        <w:t>S&amp;P</w:t>
      </w:r>
      <w:r w:rsidR="00AD1093">
        <w:rPr>
          <w:sz w:val="28"/>
          <w:szCs w:val="28"/>
        </w:rPr>
        <w:t xml:space="preserve"> agreements received in the second quarter, up</w:t>
      </w:r>
      <w:r w:rsidR="003C0CBA" w:rsidRPr="00401E2E">
        <w:rPr>
          <w:sz w:val="28"/>
          <w:szCs w:val="28"/>
          <w:lang w:val="en-US"/>
        </w:rPr>
        <w:t xml:space="preserve"> by </w:t>
      </w:r>
      <w:r w:rsidR="00401E2E" w:rsidRPr="00401E2E">
        <w:rPr>
          <w:sz w:val="28"/>
          <w:szCs w:val="28"/>
          <w:lang w:val="en-US"/>
        </w:rPr>
        <w:t>83</w:t>
      </w:r>
      <w:r w:rsidR="003C0CBA" w:rsidRPr="008820A6">
        <w:rPr>
          <w:sz w:val="28"/>
          <w:szCs w:val="28"/>
          <w:lang w:val="en-US"/>
        </w:rPr>
        <w:t>%</w:t>
      </w:r>
      <w:r w:rsidR="003C0CBA" w:rsidRPr="008820A6">
        <w:rPr>
          <w:rFonts w:hint="eastAsia"/>
          <w:sz w:val="28"/>
          <w:szCs w:val="28"/>
          <w:lang w:val="en-US"/>
        </w:rPr>
        <w:t xml:space="preserve"> </w:t>
      </w:r>
      <w:r w:rsidR="00F96287">
        <w:rPr>
          <w:sz w:val="28"/>
          <w:szCs w:val="28"/>
          <w:lang w:val="en-US"/>
        </w:rPr>
        <w:t xml:space="preserve">over </w:t>
      </w:r>
      <w:r w:rsidR="003C0CBA" w:rsidRPr="00C60F70">
        <w:rPr>
          <w:sz w:val="28"/>
          <w:szCs w:val="28"/>
          <w:lang w:val="en-US"/>
        </w:rPr>
        <w:t xml:space="preserve">the </w:t>
      </w:r>
      <w:r w:rsidR="003C0CBA" w:rsidRPr="00C60F70">
        <w:rPr>
          <w:rFonts w:hint="eastAsia"/>
          <w:sz w:val="28"/>
          <w:szCs w:val="28"/>
          <w:lang w:val="en-US"/>
        </w:rPr>
        <w:t>preceding quarter</w:t>
      </w:r>
      <w:r w:rsidR="0051636D" w:rsidRPr="00C60F70">
        <w:rPr>
          <w:rFonts w:hint="eastAsia"/>
          <w:sz w:val="28"/>
          <w:szCs w:val="28"/>
          <w:lang w:val="en-US"/>
        </w:rPr>
        <w:t xml:space="preserve"> </w:t>
      </w:r>
      <w:r w:rsidR="00401E2E" w:rsidRPr="00670D06">
        <w:rPr>
          <w:sz w:val="28"/>
          <w:szCs w:val="28"/>
          <w:lang w:val="en-US"/>
        </w:rPr>
        <w:t xml:space="preserve">or </w:t>
      </w:r>
      <w:r w:rsidR="00401E2E">
        <w:rPr>
          <w:sz w:val="28"/>
          <w:szCs w:val="28"/>
          <w:lang w:val="en-US"/>
        </w:rPr>
        <w:t>47</w:t>
      </w:r>
      <w:r w:rsidR="00401E2E" w:rsidRPr="00670D06">
        <w:rPr>
          <w:sz w:val="28"/>
          <w:szCs w:val="28"/>
          <w:lang w:val="en-US"/>
        </w:rPr>
        <w:t>% over a year earlier</w:t>
      </w:r>
      <w:r w:rsidR="003C0CBA" w:rsidRPr="00A07548">
        <w:rPr>
          <w:sz w:val="28"/>
          <w:szCs w:val="28"/>
        </w:rPr>
        <w:t>.</w:t>
      </w:r>
      <w:r w:rsidR="002A4EDF">
        <w:rPr>
          <w:sz w:val="28"/>
          <w:szCs w:val="28"/>
        </w:rPr>
        <w:t xml:space="preserve">  </w:t>
      </w:r>
      <w:r w:rsidR="003C0CBA" w:rsidRPr="0031673F">
        <w:rPr>
          <w:rFonts w:hint="eastAsia"/>
          <w:sz w:val="28"/>
          <w:szCs w:val="28"/>
        </w:rPr>
        <w:t xml:space="preserve">Within the total, </w:t>
      </w:r>
      <w:r w:rsidR="003C0CBA" w:rsidRPr="0031673F">
        <w:rPr>
          <w:sz w:val="28"/>
          <w:szCs w:val="28"/>
        </w:rPr>
        <w:t>primary</w:t>
      </w:r>
      <w:r w:rsidR="004345FE" w:rsidRPr="0031673F">
        <w:rPr>
          <w:sz w:val="28"/>
          <w:szCs w:val="28"/>
        </w:rPr>
        <w:t xml:space="preserve"> and secondary</w:t>
      </w:r>
      <w:r w:rsidR="003C0CBA" w:rsidRPr="0031673F">
        <w:rPr>
          <w:rFonts w:hint="eastAsia"/>
          <w:sz w:val="28"/>
          <w:szCs w:val="28"/>
        </w:rPr>
        <w:t xml:space="preserve"> </w:t>
      </w:r>
      <w:r w:rsidR="003C0CBA" w:rsidRPr="0031673F">
        <w:rPr>
          <w:sz w:val="28"/>
          <w:szCs w:val="28"/>
        </w:rPr>
        <w:t xml:space="preserve">market transactions </w:t>
      </w:r>
      <w:r w:rsidR="004345FE" w:rsidRPr="0031673F">
        <w:rPr>
          <w:sz w:val="28"/>
          <w:szCs w:val="28"/>
        </w:rPr>
        <w:t>increased</w:t>
      </w:r>
      <w:r w:rsidR="003C0CBA" w:rsidRPr="0031673F">
        <w:rPr>
          <w:sz w:val="28"/>
          <w:szCs w:val="28"/>
        </w:rPr>
        <w:t xml:space="preserve"> by </w:t>
      </w:r>
      <w:r w:rsidRPr="004A5FC0">
        <w:rPr>
          <w:sz w:val="28"/>
          <w:szCs w:val="28"/>
        </w:rPr>
        <w:t>12</w:t>
      </w:r>
      <w:r w:rsidR="004A5FC0" w:rsidRPr="004A5FC0">
        <w:rPr>
          <w:sz w:val="28"/>
          <w:szCs w:val="28"/>
        </w:rPr>
        <w:t>8</w:t>
      </w:r>
      <w:r w:rsidR="003C0CBA" w:rsidRPr="004A5FC0">
        <w:rPr>
          <w:sz w:val="28"/>
          <w:szCs w:val="28"/>
        </w:rPr>
        <w:t>%</w:t>
      </w:r>
      <w:r w:rsidR="00D908F3" w:rsidRPr="004A5FC0">
        <w:rPr>
          <w:sz w:val="28"/>
          <w:szCs w:val="28"/>
        </w:rPr>
        <w:t xml:space="preserve"> and </w:t>
      </w:r>
      <w:r w:rsidRPr="004A5FC0">
        <w:rPr>
          <w:sz w:val="28"/>
          <w:szCs w:val="28"/>
        </w:rPr>
        <w:t>6</w:t>
      </w:r>
      <w:r w:rsidR="004A5FC0" w:rsidRPr="004A5FC0">
        <w:rPr>
          <w:sz w:val="28"/>
          <w:szCs w:val="28"/>
        </w:rPr>
        <w:t>4</w:t>
      </w:r>
      <w:r w:rsidR="00D908F3" w:rsidRPr="004A5FC0">
        <w:rPr>
          <w:sz w:val="28"/>
          <w:szCs w:val="28"/>
        </w:rPr>
        <w:t>%</w:t>
      </w:r>
      <w:r w:rsidR="003C0CBA" w:rsidRPr="0031673F">
        <w:rPr>
          <w:sz w:val="28"/>
          <w:szCs w:val="28"/>
        </w:rPr>
        <w:t xml:space="preserve"> over</w:t>
      </w:r>
      <w:r w:rsidR="004345FE" w:rsidRPr="0031673F">
        <w:rPr>
          <w:sz w:val="28"/>
          <w:szCs w:val="28"/>
        </w:rPr>
        <w:t xml:space="preserve"> the preceding quarter</w:t>
      </w:r>
      <w:r w:rsidR="00D908F3" w:rsidRPr="0031673F">
        <w:rPr>
          <w:sz w:val="28"/>
          <w:szCs w:val="28"/>
        </w:rPr>
        <w:t xml:space="preserve"> respectively</w:t>
      </w:r>
      <w:r w:rsidR="003C0CBA" w:rsidRPr="0031673F">
        <w:rPr>
          <w:sz w:val="28"/>
          <w:szCs w:val="28"/>
        </w:rPr>
        <w:t xml:space="preserve">. </w:t>
      </w:r>
      <w:r w:rsidR="003C0CBA" w:rsidRPr="00A07548">
        <w:rPr>
          <w:sz w:val="28"/>
          <w:szCs w:val="28"/>
        </w:rPr>
        <w:t xml:space="preserve"> </w:t>
      </w:r>
      <w:r w:rsidR="006E277F" w:rsidRPr="00A07548">
        <w:rPr>
          <w:sz w:val="28"/>
          <w:szCs w:val="28"/>
        </w:rPr>
        <w:t>In parallel, t</w:t>
      </w:r>
      <w:r w:rsidR="003C0CBA" w:rsidRPr="00A07548">
        <w:rPr>
          <w:sz w:val="28"/>
          <w:szCs w:val="28"/>
        </w:rPr>
        <w:t xml:space="preserve">otal consideration </w:t>
      </w:r>
      <w:r w:rsidR="00A07548" w:rsidRPr="00A07548">
        <w:rPr>
          <w:sz w:val="28"/>
          <w:szCs w:val="28"/>
        </w:rPr>
        <w:t>leapt</w:t>
      </w:r>
      <w:r w:rsidR="003C0CBA" w:rsidRPr="00A07548">
        <w:rPr>
          <w:sz w:val="28"/>
          <w:szCs w:val="28"/>
        </w:rPr>
        <w:t xml:space="preserve"> by </w:t>
      </w:r>
      <w:r w:rsidR="00A07548" w:rsidRPr="00A07548">
        <w:rPr>
          <w:sz w:val="28"/>
          <w:szCs w:val="28"/>
        </w:rPr>
        <w:t>115</w:t>
      </w:r>
      <w:r w:rsidR="003C0CBA" w:rsidRPr="00A07548">
        <w:rPr>
          <w:sz w:val="28"/>
          <w:szCs w:val="28"/>
        </w:rPr>
        <w:t xml:space="preserve">% </w:t>
      </w:r>
      <w:r w:rsidR="006E277F" w:rsidRPr="00A07548">
        <w:rPr>
          <w:sz w:val="28"/>
          <w:szCs w:val="28"/>
        </w:rPr>
        <w:t>over</w:t>
      </w:r>
      <w:r w:rsidR="003C0CBA" w:rsidRPr="00A07548">
        <w:rPr>
          <w:sz w:val="28"/>
          <w:szCs w:val="28"/>
        </w:rPr>
        <w:t xml:space="preserve"> the preceding quarter to $</w:t>
      </w:r>
      <w:r w:rsidR="00A07548" w:rsidRPr="00A07548">
        <w:rPr>
          <w:sz w:val="28"/>
          <w:szCs w:val="28"/>
        </w:rPr>
        <w:t>165.3</w:t>
      </w:r>
      <w:r w:rsidR="003C0CBA" w:rsidRPr="00A07548">
        <w:rPr>
          <w:sz w:val="28"/>
          <w:szCs w:val="28"/>
        </w:rPr>
        <w:t> billion.</w:t>
      </w:r>
      <w:r w:rsidR="00414DD3" w:rsidRPr="00A07548">
        <w:rPr>
          <w:sz w:val="28"/>
          <w:szCs w:val="28"/>
        </w:rPr>
        <w:t xml:space="preserve"> </w:t>
      </w:r>
      <w:r w:rsidR="002A4EDF">
        <w:rPr>
          <w:sz w:val="28"/>
          <w:szCs w:val="28"/>
        </w:rPr>
        <w:t xml:space="preserve"> </w:t>
      </w:r>
      <w:r w:rsidR="002A4EDF" w:rsidRPr="00670D06">
        <w:rPr>
          <w:sz w:val="28"/>
          <w:szCs w:val="28"/>
        </w:rPr>
        <w:t>For the first half of 202</w:t>
      </w:r>
      <w:r w:rsidR="002A4EDF">
        <w:rPr>
          <w:sz w:val="28"/>
          <w:szCs w:val="28"/>
        </w:rPr>
        <w:t>4</w:t>
      </w:r>
      <w:r w:rsidR="002A4EDF" w:rsidRPr="00670D06">
        <w:rPr>
          <w:sz w:val="28"/>
          <w:szCs w:val="28"/>
        </w:rPr>
        <w:t xml:space="preserve"> as a whole, the number of S&amp;P agreements went up by </w:t>
      </w:r>
      <w:r w:rsidR="002A4EDF">
        <w:rPr>
          <w:sz w:val="28"/>
          <w:szCs w:val="28"/>
        </w:rPr>
        <w:t>66</w:t>
      </w:r>
      <w:r w:rsidR="002A4EDF" w:rsidRPr="00670D06">
        <w:rPr>
          <w:sz w:val="28"/>
          <w:szCs w:val="28"/>
        </w:rPr>
        <w:t>% over the second half of 202</w:t>
      </w:r>
      <w:r w:rsidR="002A4EDF">
        <w:rPr>
          <w:sz w:val="28"/>
          <w:szCs w:val="28"/>
        </w:rPr>
        <w:t>3</w:t>
      </w:r>
      <w:r w:rsidR="002A4EDF" w:rsidRPr="00670D06">
        <w:rPr>
          <w:sz w:val="28"/>
          <w:szCs w:val="28"/>
        </w:rPr>
        <w:t xml:space="preserve"> to 2</w:t>
      </w:r>
      <w:r w:rsidR="002A4EDF">
        <w:rPr>
          <w:sz w:val="28"/>
          <w:szCs w:val="28"/>
        </w:rPr>
        <w:t>7</w:t>
      </w:r>
      <w:r w:rsidR="002A4EDF" w:rsidRPr="00670D06">
        <w:rPr>
          <w:sz w:val="28"/>
          <w:szCs w:val="28"/>
        </w:rPr>
        <w:t> </w:t>
      </w:r>
      <w:r w:rsidR="002A4EDF">
        <w:rPr>
          <w:sz w:val="28"/>
          <w:szCs w:val="28"/>
        </w:rPr>
        <w:t>776</w:t>
      </w:r>
      <w:r w:rsidR="002A4EDF" w:rsidRPr="00670D06">
        <w:rPr>
          <w:sz w:val="28"/>
          <w:szCs w:val="28"/>
        </w:rPr>
        <w:t xml:space="preserve">, and total consideration by </w:t>
      </w:r>
      <w:r w:rsidR="002A4EDF">
        <w:rPr>
          <w:sz w:val="28"/>
          <w:szCs w:val="28"/>
        </w:rPr>
        <w:t>65</w:t>
      </w:r>
      <w:r w:rsidR="002A4EDF" w:rsidRPr="00670D06">
        <w:rPr>
          <w:sz w:val="28"/>
          <w:szCs w:val="28"/>
        </w:rPr>
        <w:t>% to $242.</w:t>
      </w:r>
      <w:r w:rsidR="002A4EDF">
        <w:rPr>
          <w:sz w:val="28"/>
          <w:szCs w:val="28"/>
        </w:rPr>
        <w:t>3</w:t>
      </w:r>
      <w:r w:rsidR="002A4EDF" w:rsidRPr="00670D06">
        <w:rPr>
          <w:sz w:val="28"/>
          <w:szCs w:val="28"/>
        </w:rPr>
        <w:t> billion.</w:t>
      </w:r>
    </w:p>
    <w:p w14:paraId="3E31A242" w14:textId="2930C8BC" w:rsidR="00FB1C5C" w:rsidRPr="004B2860" w:rsidRDefault="00FB1C5C" w:rsidP="005B7363">
      <w:pPr>
        <w:tabs>
          <w:tab w:val="left" w:pos="1080"/>
          <w:tab w:val="left" w:pos="6000"/>
        </w:tabs>
        <w:overflowPunct w:val="0"/>
        <w:spacing w:line="360" w:lineRule="atLeast"/>
        <w:jc w:val="both"/>
        <w:rPr>
          <w:sz w:val="28"/>
          <w:szCs w:val="28"/>
          <w:shd w:val="pct15" w:color="auto" w:fill="FFFFFF"/>
        </w:rPr>
      </w:pPr>
    </w:p>
    <w:p w14:paraId="112A8E3A" w14:textId="6DBE3922" w:rsidR="00FB1C5C" w:rsidRPr="00D40DCA" w:rsidRDefault="00956C12" w:rsidP="00FB1C5C">
      <w:pPr>
        <w:tabs>
          <w:tab w:val="left" w:pos="1080"/>
        </w:tabs>
        <w:overflowPunct w:val="0"/>
        <w:spacing w:line="360" w:lineRule="atLeast"/>
        <w:jc w:val="both"/>
        <w:rPr>
          <w:highlight w:val="yellow"/>
        </w:rPr>
      </w:pPr>
      <w:r w:rsidRPr="000C6542">
        <w:rPr>
          <w:noProof/>
        </w:rPr>
        <w:drawing>
          <wp:inline distT="0" distB="0" distL="0" distR="0" wp14:anchorId="35A2C29E" wp14:editId="14DB387F">
            <wp:extent cx="5733415" cy="3496171"/>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496171"/>
                    </a:xfrm>
                    <a:prstGeom prst="rect">
                      <a:avLst/>
                    </a:prstGeom>
                    <a:noFill/>
                    <a:ln>
                      <a:noFill/>
                    </a:ln>
                  </pic:spPr>
                </pic:pic>
              </a:graphicData>
            </a:graphic>
          </wp:inline>
        </w:drawing>
      </w:r>
    </w:p>
    <w:p w14:paraId="2F479F10" w14:textId="58840CD0" w:rsidR="00437439" w:rsidRPr="00D40DCA" w:rsidRDefault="00F15FFB" w:rsidP="007F628C">
      <w:pPr>
        <w:widowControl/>
        <w:rPr>
          <w:highlight w:val="yellow"/>
        </w:rPr>
      </w:pPr>
      <w:r w:rsidRPr="00D40DCA">
        <w:br w:type="page"/>
      </w:r>
    </w:p>
    <w:p w14:paraId="79151AF7" w14:textId="0035D6FD" w:rsidR="00FB1C5C" w:rsidRPr="00911FA7" w:rsidRDefault="000038DF" w:rsidP="002228BA">
      <w:pPr>
        <w:numPr>
          <w:ilvl w:val="1"/>
          <w:numId w:val="3"/>
        </w:numPr>
        <w:tabs>
          <w:tab w:val="left" w:pos="1080"/>
        </w:tabs>
        <w:spacing w:line="360" w:lineRule="atLeast"/>
        <w:jc w:val="both"/>
        <w:rPr>
          <w:sz w:val="32"/>
          <w:szCs w:val="28"/>
        </w:rPr>
      </w:pPr>
      <w:r w:rsidRPr="00670D06">
        <w:rPr>
          <w:sz w:val="28"/>
          <w:szCs w:val="28"/>
          <w:lang w:eastAsia="zh-HK"/>
        </w:rPr>
        <w:lastRenderedPageBreak/>
        <w:t xml:space="preserve">Overall flat </w:t>
      </w:r>
      <w:r w:rsidRPr="00911FA7">
        <w:rPr>
          <w:sz w:val="28"/>
          <w:szCs w:val="28"/>
          <w:lang w:eastAsia="zh-HK"/>
        </w:rPr>
        <w:t xml:space="preserve">prices recorded a </w:t>
      </w:r>
      <w:r w:rsidRPr="00911FA7">
        <w:rPr>
          <w:sz w:val="28"/>
          <w:szCs w:val="28"/>
        </w:rPr>
        <w:t>2% decline during the second quarter</w:t>
      </w:r>
      <w:r w:rsidRPr="00911FA7">
        <w:rPr>
          <w:sz w:val="28"/>
          <w:szCs w:val="28"/>
          <w:lang w:eastAsia="zh-HK"/>
        </w:rPr>
        <w:t xml:space="preserve">, with the small increase in April </w:t>
      </w:r>
      <w:r w:rsidR="00BB230C" w:rsidRPr="00911FA7">
        <w:rPr>
          <w:sz w:val="28"/>
          <w:szCs w:val="28"/>
          <w:lang w:eastAsia="zh-HK"/>
        </w:rPr>
        <w:t xml:space="preserve">more than offset </w:t>
      </w:r>
      <w:r w:rsidRPr="00911FA7">
        <w:rPr>
          <w:sz w:val="28"/>
          <w:szCs w:val="28"/>
          <w:lang w:eastAsia="zh-HK"/>
        </w:rPr>
        <w:t xml:space="preserve">by the decreases in May and June.  </w:t>
      </w:r>
      <w:r w:rsidR="00FB1C5C" w:rsidRPr="00911FA7">
        <w:rPr>
          <w:sz w:val="28"/>
          <w:szCs w:val="28"/>
        </w:rPr>
        <w:t>Analysed by size,</w:t>
      </w:r>
      <w:r w:rsidR="00FB1C5C" w:rsidRPr="00911FA7">
        <w:rPr>
          <w:rFonts w:hint="eastAsia"/>
          <w:sz w:val="28"/>
          <w:szCs w:val="28"/>
          <w:lang w:eastAsia="zh-HK"/>
        </w:rPr>
        <w:t xml:space="preserve"> prices of small/medium</w:t>
      </w:r>
      <w:r w:rsidR="004872F0" w:rsidRPr="00911FA7">
        <w:rPr>
          <w:sz w:val="28"/>
          <w:szCs w:val="28"/>
          <w:lang w:eastAsia="zh-HK"/>
        </w:rPr>
        <w:noBreakHyphen/>
      </w:r>
      <w:r w:rsidR="00FB1C5C" w:rsidRPr="00911FA7">
        <w:rPr>
          <w:rFonts w:hint="eastAsia"/>
          <w:sz w:val="28"/>
          <w:szCs w:val="28"/>
          <w:lang w:eastAsia="zh-HK"/>
        </w:rPr>
        <w:t xml:space="preserve">sized flats </w:t>
      </w:r>
      <w:r w:rsidRPr="00911FA7">
        <w:rPr>
          <w:sz w:val="28"/>
          <w:szCs w:val="28"/>
          <w:lang w:eastAsia="zh-HK"/>
        </w:rPr>
        <w:t>fell</w:t>
      </w:r>
      <w:r w:rsidR="00B37B75" w:rsidRPr="00911FA7">
        <w:rPr>
          <w:rFonts w:hint="eastAsia"/>
          <w:sz w:val="28"/>
          <w:szCs w:val="28"/>
          <w:lang w:eastAsia="zh-HK"/>
        </w:rPr>
        <w:t xml:space="preserve"> </w:t>
      </w:r>
      <w:r w:rsidR="00FB1C5C" w:rsidRPr="00911FA7">
        <w:rPr>
          <w:rFonts w:hint="eastAsia"/>
          <w:sz w:val="28"/>
          <w:szCs w:val="28"/>
          <w:lang w:eastAsia="zh-HK"/>
        </w:rPr>
        <w:t xml:space="preserve">by </w:t>
      </w:r>
      <w:r w:rsidR="005A5C4E" w:rsidRPr="00911FA7">
        <w:rPr>
          <w:sz w:val="28"/>
          <w:szCs w:val="28"/>
          <w:lang w:eastAsia="zh-HK"/>
        </w:rPr>
        <w:t>2</w:t>
      </w:r>
      <w:r w:rsidR="009454FD" w:rsidRPr="00911FA7">
        <w:rPr>
          <w:sz w:val="28"/>
          <w:szCs w:val="28"/>
          <w:lang w:eastAsia="zh-HK"/>
        </w:rPr>
        <w:t>%</w:t>
      </w:r>
      <w:r w:rsidR="002A074C" w:rsidRPr="00911FA7">
        <w:rPr>
          <w:sz w:val="28"/>
          <w:szCs w:val="28"/>
          <w:lang w:eastAsia="zh-HK"/>
        </w:rPr>
        <w:t xml:space="preserve"> </w:t>
      </w:r>
      <w:r w:rsidR="00B16061" w:rsidRPr="00911FA7">
        <w:rPr>
          <w:sz w:val="28"/>
          <w:szCs w:val="28"/>
          <w:lang w:eastAsia="zh-HK"/>
        </w:rPr>
        <w:t xml:space="preserve">during the </w:t>
      </w:r>
      <w:r w:rsidR="002A074C" w:rsidRPr="00911FA7">
        <w:rPr>
          <w:sz w:val="28"/>
          <w:szCs w:val="28"/>
          <w:lang w:eastAsia="zh-HK"/>
        </w:rPr>
        <w:t>quarter</w:t>
      </w:r>
      <w:r w:rsidR="0095622E">
        <w:rPr>
          <w:sz w:val="28"/>
          <w:szCs w:val="28"/>
          <w:lang w:eastAsia="zh-HK"/>
        </w:rPr>
        <w:t>,</w:t>
      </w:r>
      <w:r w:rsidR="002A074C" w:rsidRPr="00911FA7">
        <w:rPr>
          <w:sz w:val="28"/>
          <w:szCs w:val="28"/>
          <w:lang w:eastAsia="zh-HK"/>
        </w:rPr>
        <w:t xml:space="preserve"> </w:t>
      </w:r>
      <w:r w:rsidR="007A099F">
        <w:rPr>
          <w:sz w:val="28"/>
          <w:szCs w:val="28"/>
          <w:lang w:eastAsia="zh-HK"/>
        </w:rPr>
        <w:t>while those of</w:t>
      </w:r>
      <w:r w:rsidR="007A099F" w:rsidRPr="00911FA7">
        <w:rPr>
          <w:sz w:val="28"/>
          <w:szCs w:val="28"/>
          <w:lang w:eastAsia="zh-HK"/>
        </w:rPr>
        <w:t xml:space="preserve"> large flats </w:t>
      </w:r>
      <w:r w:rsidR="007A099F">
        <w:rPr>
          <w:sz w:val="28"/>
          <w:szCs w:val="28"/>
          <w:lang w:eastAsia="zh-HK"/>
        </w:rPr>
        <w:t>were little changed</w:t>
      </w:r>
      <w:r w:rsidR="00FB1C5C" w:rsidRPr="00911FA7">
        <w:rPr>
          <w:rFonts w:hint="eastAsia"/>
          <w:sz w:val="28"/>
          <w:szCs w:val="28"/>
          <w:lang w:eastAsia="zh-HK"/>
        </w:rPr>
        <w:t>.</w:t>
      </w:r>
      <w:r w:rsidR="00FB1C5C" w:rsidRPr="00911FA7">
        <w:rPr>
          <w:sz w:val="28"/>
          <w:szCs w:val="28"/>
          <w:lang w:eastAsia="zh-HK"/>
        </w:rPr>
        <w:t xml:space="preserve">  </w:t>
      </w:r>
      <w:r w:rsidR="002A074C" w:rsidRPr="00911FA7">
        <w:rPr>
          <w:sz w:val="28"/>
          <w:szCs w:val="28"/>
          <w:lang w:eastAsia="zh-HK"/>
        </w:rPr>
        <w:t>F</w:t>
      </w:r>
      <w:r w:rsidR="002A074C" w:rsidRPr="00911FA7">
        <w:rPr>
          <w:rFonts w:hint="eastAsia"/>
          <w:sz w:val="28"/>
          <w:szCs w:val="28"/>
          <w:lang w:eastAsia="zh-HK"/>
        </w:rPr>
        <w:t xml:space="preserve">lat prices </w:t>
      </w:r>
      <w:r w:rsidR="002A074C" w:rsidRPr="00911FA7">
        <w:rPr>
          <w:sz w:val="28"/>
          <w:szCs w:val="28"/>
          <w:lang w:eastAsia="zh-HK"/>
        </w:rPr>
        <w:t xml:space="preserve">in </w:t>
      </w:r>
      <w:r w:rsidRPr="00911FA7">
        <w:rPr>
          <w:sz w:val="28"/>
          <w:szCs w:val="28"/>
          <w:lang w:eastAsia="zh-HK"/>
        </w:rPr>
        <w:t>June</w:t>
      </w:r>
      <w:r w:rsidR="002A074C" w:rsidRPr="00911FA7">
        <w:rPr>
          <w:sz w:val="28"/>
          <w:szCs w:val="28"/>
          <w:lang w:eastAsia="zh-HK"/>
        </w:rPr>
        <w:t> 202</w:t>
      </w:r>
      <w:r w:rsidR="00E00826" w:rsidRPr="00911FA7">
        <w:rPr>
          <w:sz w:val="28"/>
          <w:szCs w:val="28"/>
          <w:lang w:eastAsia="zh-HK"/>
        </w:rPr>
        <w:t>4</w:t>
      </w:r>
      <w:r w:rsidR="002A074C" w:rsidRPr="00911FA7">
        <w:rPr>
          <w:sz w:val="28"/>
          <w:szCs w:val="28"/>
          <w:lang w:eastAsia="zh-HK"/>
        </w:rPr>
        <w:t xml:space="preserve"> were on average </w:t>
      </w:r>
      <w:r w:rsidR="00C81D88" w:rsidRPr="00911FA7">
        <w:rPr>
          <w:sz w:val="28"/>
          <w:szCs w:val="28"/>
          <w:lang w:eastAsia="zh-HK"/>
        </w:rPr>
        <w:t>3</w:t>
      </w:r>
      <w:r w:rsidRPr="00911FA7">
        <w:rPr>
          <w:sz w:val="28"/>
          <w:szCs w:val="28"/>
          <w:lang w:eastAsia="zh-HK"/>
        </w:rPr>
        <w:t xml:space="preserve">% lower than in December 2023 and </w:t>
      </w:r>
      <w:r w:rsidR="008B543D" w:rsidRPr="00911FA7">
        <w:rPr>
          <w:sz w:val="28"/>
          <w:szCs w:val="28"/>
          <w:lang w:eastAsia="zh-HK"/>
        </w:rPr>
        <w:t>2</w:t>
      </w:r>
      <w:r w:rsidR="00C81D88" w:rsidRPr="00911FA7">
        <w:rPr>
          <w:sz w:val="28"/>
          <w:szCs w:val="28"/>
          <w:lang w:eastAsia="zh-HK"/>
        </w:rPr>
        <w:t>4</w:t>
      </w:r>
      <w:r w:rsidR="00984545">
        <w:rPr>
          <w:sz w:val="28"/>
          <w:szCs w:val="28"/>
          <w:lang w:eastAsia="zh-HK"/>
        </w:rPr>
        <w:t>% below the peak in September </w:t>
      </w:r>
      <w:r w:rsidR="002A074C" w:rsidRPr="00911FA7">
        <w:rPr>
          <w:sz w:val="28"/>
          <w:szCs w:val="28"/>
          <w:lang w:eastAsia="zh-HK"/>
        </w:rPr>
        <w:t>2021</w:t>
      </w:r>
      <w:r w:rsidR="002A074C" w:rsidRPr="00911FA7">
        <w:rPr>
          <w:sz w:val="28"/>
          <w:szCs w:val="28"/>
        </w:rPr>
        <w:t>.</w:t>
      </w:r>
      <w:r w:rsidR="002A074C" w:rsidRPr="00911FA7">
        <w:rPr>
          <w:sz w:val="28"/>
          <w:szCs w:val="28"/>
          <w:lang w:eastAsia="zh-HK"/>
        </w:rPr>
        <w:t xml:space="preserve">  </w:t>
      </w:r>
    </w:p>
    <w:p w14:paraId="6CFFC244" w14:textId="6DE78D19" w:rsidR="0094568D" w:rsidRPr="00911FA7" w:rsidRDefault="0094568D">
      <w:pPr>
        <w:widowControl/>
        <w:rPr>
          <w:sz w:val="32"/>
          <w:szCs w:val="28"/>
          <w:shd w:val="pct15" w:color="auto" w:fill="FFFFFF"/>
        </w:rPr>
      </w:pPr>
    </w:p>
    <w:p w14:paraId="39B860BB" w14:textId="7B8F2BD6" w:rsidR="00FB1C5C" w:rsidRPr="00911FA7" w:rsidRDefault="00B16061" w:rsidP="002228BA">
      <w:pPr>
        <w:numPr>
          <w:ilvl w:val="1"/>
          <w:numId w:val="3"/>
        </w:numPr>
        <w:tabs>
          <w:tab w:val="left" w:pos="1080"/>
        </w:tabs>
        <w:spacing w:line="360" w:lineRule="atLeast"/>
        <w:jc w:val="both"/>
        <w:rPr>
          <w:sz w:val="28"/>
          <w:szCs w:val="28"/>
        </w:rPr>
      </w:pPr>
      <w:r w:rsidRPr="00911FA7">
        <w:rPr>
          <w:sz w:val="28"/>
          <w:szCs w:val="28"/>
          <w:lang w:eastAsia="zh-HK"/>
        </w:rPr>
        <w:t xml:space="preserve">Meanwhile, </w:t>
      </w:r>
      <w:r w:rsidR="00831D96" w:rsidRPr="00911FA7">
        <w:rPr>
          <w:sz w:val="28"/>
          <w:szCs w:val="28"/>
          <w:lang w:eastAsia="zh-HK"/>
        </w:rPr>
        <w:t>o</w:t>
      </w:r>
      <w:r w:rsidR="003D0E8B" w:rsidRPr="00911FA7">
        <w:rPr>
          <w:sz w:val="28"/>
          <w:szCs w:val="28"/>
          <w:lang w:eastAsia="zh-HK"/>
        </w:rPr>
        <w:t>verall f</w:t>
      </w:r>
      <w:r w:rsidR="00FB1C5C" w:rsidRPr="00911FA7">
        <w:rPr>
          <w:sz w:val="28"/>
          <w:szCs w:val="28"/>
          <w:lang w:eastAsia="zh-HK"/>
        </w:rPr>
        <w:t xml:space="preserve">lat rentals </w:t>
      </w:r>
      <w:r w:rsidR="00B523AB" w:rsidRPr="00911FA7">
        <w:rPr>
          <w:sz w:val="28"/>
        </w:rPr>
        <w:t xml:space="preserve">rose by </w:t>
      </w:r>
      <w:r w:rsidR="00C81D88" w:rsidRPr="00911FA7">
        <w:rPr>
          <w:sz w:val="28"/>
        </w:rPr>
        <w:t>2</w:t>
      </w:r>
      <w:r w:rsidR="00B523AB" w:rsidRPr="00911FA7">
        <w:rPr>
          <w:sz w:val="28"/>
        </w:rPr>
        <w:t>%</w:t>
      </w:r>
      <w:r w:rsidR="00831D96" w:rsidRPr="00911FA7">
        <w:rPr>
          <w:sz w:val="28"/>
          <w:szCs w:val="28"/>
          <w:lang w:eastAsia="zh-HK"/>
        </w:rPr>
        <w:t xml:space="preserve"> during the </w:t>
      </w:r>
      <w:r w:rsidR="00B523AB" w:rsidRPr="00911FA7">
        <w:rPr>
          <w:sz w:val="28"/>
          <w:szCs w:val="28"/>
          <w:lang w:eastAsia="zh-HK"/>
        </w:rPr>
        <w:t>second</w:t>
      </w:r>
      <w:r w:rsidR="00831D96" w:rsidRPr="00911FA7">
        <w:rPr>
          <w:sz w:val="28"/>
          <w:szCs w:val="28"/>
          <w:lang w:eastAsia="zh-HK"/>
        </w:rPr>
        <w:t xml:space="preserve"> quarter</w:t>
      </w:r>
      <w:r w:rsidR="00FB1C5C" w:rsidRPr="00911FA7">
        <w:rPr>
          <w:sz w:val="28"/>
          <w:szCs w:val="28"/>
          <w:lang w:eastAsia="zh-HK"/>
        </w:rPr>
        <w:t xml:space="preserve">.  </w:t>
      </w:r>
      <w:r w:rsidR="00FB1C5C" w:rsidRPr="00911FA7">
        <w:rPr>
          <w:rFonts w:hint="eastAsia"/>
          <w:sz w:val="28"/>
          <w:szCs w:val="28"/>
        </w:rPr>
        <w:t xml:space="preserve">Analysed by size, </w:t>
      </w:r>
      <w:r w:rsidR="00FB1C5C" w:rsidRPr="00911FA7">
        <w:rPr>
          <w:sz w:val="28"/>
          <w:szCs w:val="28"/>
        </w:rPr>
        <w:t>rentals of small/medium-sized flats</w:t>
      </w:r>
      <w:r w:rsidR="00572A57" w:rsidRPr="00911FA7">
        <w:rPr>
          <w:sz w:val="28"/>
          <w:szCs w:val="28"/>
        </w:rPr>
        <w:t xml:space="preserve"> and large flats </w:t>
      </w:r>
      <w:r w:rsidR="00B523AB" w:rsidRPr="00911FA7">
        <w:rPr>
          <w:sz w:val="28"/>
          <w:szCs w:val="28"/>
        </w:rPr>
        <w:t xml:space="preserve">went up by </w:t>
      </w:r>
      <w:r w:rsidR="00C81D88" w:rsidRPr="00911FA7">
        <w:rPr>
          <w:sz w:val="28"/>
          <w:szCs w:val="28"/>
        </w:rPr>
        <w:t>2</w:t>
      </w:r>
      <w:r w:rsidR="00B523AB" w:rsidRPr="00911FA7">
        <w:rPr>
          <w:sz w:val="28"/>
          <w:szCs w:val="28"/>
        </w:rPr>
        <w:t xml:space="preserve">% and </w:t>
      </w:r>
      <w:r w:rsidR="00C81D88" w:rsidRPr="00911FA7">
        <w:rPr>
          <w:sz w:val="28"/>
          <w:szCs w:val="28"/>
        </w:rPr>
        <w:t>1</w:t>
      </w:r>
      <w:r w:rsidR="00B523AB" w:rsidRPr="00911FA7">
        <w:rPr>
          <w:sz w:val="28"/>
          <w:szCs w:val="28"/>
        </w:rPr>
        <w:t>% respectively</w:t>
      </w:r>
      <w:r w:rsidR="00FB1C5C" w:rsidRPr="00911FA7">
        <w:rPr>
          <w:sz w:val="28"/>
          <w:szCs w:val="28"/>
        </w:rPr>
        <w:t xml:space="preserve">.  </w:t>
      </w:r>
      <w:r w:rsidR="0052462B" w:rsidRPr="00911FA7">
        <w:rPr>
          <w:sz w:val="28"/>
          <w:szCs w:val="28"/>
        </w:rPr>
        <w:t xml:space="preserve">Flat rentals in June 2024 were on average </w:t>
      </w:r>
      <w:r w:rsidR="0052462B" w:rsidRPr="00911FA7">
        <w:rPr>
          <w:sz w:val="28"/>
          <w:szCs w:val="28"/>
          <w:lang w:eastAsia="zh-HK"/>
        </w:rPr>
        <w:t xml:space="preserve">2% higher than in December 2023, but </w:t>
      </w:r>
      <w:r w:rsidR="0095622E">
        <w:rPr>
          <w:sz w:val="28"/>
          <w:szCs w:val="28"/>
        </w:rPr>
        <w:t>6</w:t>
      </w:r>
      <w:r w:rsidR="0052462B" w:rsidRPr="00911FA7">
        <w:rPr>
          <w:sz w:val="28"/>
          <w:szCs w:val="28"/>
        </w:rPr>
        <w:t xml:space="preserve">% below the peak in August 2019.  </w:t>
      </w:r>
      <w:r w:rsidR="00A91E54" w:rsidRPr="00911FA7">
        <w:rPr>
          <w:sz w:val="28"/>
          <w:szCs w:val="28"/>
        </w:rPr>
        <w:t>T</w:t>
      </w:r>
      <w:r w:rsidR="00FB1C5C" w:rsidRPr="00911FA7">
        <w:rPr>
          <w:sz w:val="28"/>
          <w:szCs w:val="28"/>
        </w:rPr>
        <w:t xml:space="preserve">he average rental yield for residential property </w:t>
      </w:r>
      <w:r w:rsidR="003029C2" w:rsidRPr="00911FA7">
        <w:rPr>
          <w:sz w:val="28"/>
          <w:szCs w:val="28"/>
        </w:rPr>
        <w:t xml:space="preserve">edged up </w:t>
      </w:r>
      <w:r w:rsidR="00A91E54" w:rsidRPr="00911FA7">
        <w:rPr>
          <w:sz w:val="28"/>
          <w:szCs w:val="28"/>
        </w:rPr>
        <w:t>from</w:t>
      </w:r>
      <w:r w:rsidR="00F3614C" w:rsidRPr="00911FA7">
        <w:rPr>
          <w:sz w:val="28"/>
          <w:szCs w:val="28"/>
        </w:rPr>
        <w:t xml:space="preserve"> </w:t>
      </w:r>
      <w:r w:rsidR="00F3614C" w:rsidRPr="00911FA7">
        <w:rPr>
          <w:sz w:val="28"/>
        </w:rPr>
        <w:t>2.</w:t>
      </w:r>
      <w:r w:rsidR="00A91E54" w:rsidRPr="00911FA7">
        <w:rPr>
          <w:sz w:val="28"/>
        </w:rPr>
        <w:t>8</w:t>
      </w:r>
      <w:r w:rsidR="00F3614C" w:rsidRPr="00911FA7">
        <w:rPr>
          <w:sz w:val="28"/>
          <w:szCs w:val="28"/>
        </w:rPr>
        <w:t xml:space="preserve">% in </w:t>
      </w:r>
      <w:r w:rsidR="00B523AB" w:rsidRPr="00911FA7">
        <w:rPr>
          <w:sz w:val="28"/>
          <w:szCs w:val="28"/>
        </w:rPr>
        <w:t>March</w:t>
      </w:r>
      <w:r w:rsidR="00F3614C" w:rsidRPr="00911FA7">
        <w:rPr>
          <w:sz w:val="28"/>
          <w:szCs w:val="28"/>
        </w:rPr>
        <w:t xml:space="preserve"> </w:t>
      </w:r>
      <w:r w:rsidR="00A91E54" w:rsidRPr="00911FA7">
        <w:rPr>
          <w:sz w:val="28"/>
          <w:szCs w:val="28"/>
        </w:rPr>
        <w:t xml:space="preserve">to </w:t>
      </w:r>
      <w:r w:rsidR="00A91E54" w:rsidRPr="00911FA7">
        <w:rPr>
          <w:sz w:val="28"/>
        </w:rPr>
        <w:t>2.9</w:t>
      </w:r>
      <w:r w:rsidR="00A91E54" w:rsidRPr="00911FA7">
        <w:rPr>
          <w:sz w:val="28"/>
          <w:szCs w:val="28"/>
        </w:rPr>
        <w:t>%</w:t>
      </w:r>
      <w:r w:rsidR="00FB1C5C" w:rsidRPr="00911FA7">
        <w:rPr>
          <w:sz w:val="28"/>
          <w:szCs w:val="28"/>
        </w:rPr>
        <w:t xml:space="preserve"> </w:t>
      </w:r>
      <w:r w:rsidR="00A91E54" w:rsidRPr="00911FA7">
        <w:rPr>
          <w:sz w:val="28"/>
          <w:szCs w:val="28"/>
        </w:rPr>
        <w:t>in</w:t>
      </w:r>
      <w:r w:rsidR="00FB1C5C" w:rsidRPr="00911FA7">
        <w:rPr>
          <w:sz w:val="28"/>
          <w:szCs w:val="28"/>
        </w:rPr>
        <w:t xml:space="preserve"> </w:t>
      </w:r>
      <w:r w:rsidR="00B523AB" w:rsidRPr="00911FA7">
        <w:rPr>
          <w:sz w:val="28"/>
          <w:szCs w:val="28"/>
        </w:rPr>
        <w:t>June</w:t>
      </w:r>
      <w:r w:rsidR="00FB1C5C" w:rsidRPr="00911FA7">
        <w:rPr>
          <w:sz w:val="28"/>
          <w:szCs w:val="28"/>
        </w:rPr>
        <w:t>.</w:t>
      </w:r>
      <w:r w:rsidR="005F57A1" w:rsidRPr="00911FA7">
        <w:rPr>
          <w:sz w:val="28"/>
          <w:szCs w:val="28"/>
        </w:rPr>
        <w:t xml:space="preserve">  </w:t>
      </w:r>
    </w:p>
    <w:p w14:paraId="7163A818" w14:textId="0A1DC8D5" w:rsidR="00FB1C5C" w:rsidRPr="004B2860" w:rsidRDefault="00FB1C5C" w:rsidP="00FB1C5C">
      <w:pPr>
        <w:keepLines/>
        <w:overflowPunct w:val="0"/>
        <w:spacing w:line="360" w:lineRule="atLeast"/>
        <w:jc w:val="both"/>
        <w:rPr>
          <w:sz w:val="28"/>
          <w:szCs w:val="28"/>
          <w:shd w:val="pct15" w:color="auto" w:fill="FFFFFF"/>
        </w:rPr>
      </w:pPr>
    </w:p>
    <w:p w14:paraId="31BA321C" w14:textId="28789FD1" w:rsidR="00BA7F2C" w:rsidRPr="004B2860" w:rsidRDefault="00D50875" w:rsidP="00FB1C5C">
      <w:pPr>
        <w:tabs>
          <w:tab w:val="left" w:pos="1080"/>
        </w:tabs>
        <w:overflowPunct w:val="0"/>
        <w:spacing w:line="360" w:lineRule="atLeast"/>
        <w:jc w:val="both"/>
        <w:rPr>
          <w:sz w:val="28"/>
          <w:szCs w:val="28"/>
          <w:highlight w:val="yellow"/>
          <w:shd w:val="pct15" w:color="auto" w:fill="FFFFFF"/>
        </w:rPr>
      </w:pPr>
      <w:r w:rsidRPr="00F8041D">
        <w:rPr>
          <w:noProof/>
          <w:sz w:val="28"/>
          <w:szCs w:val="28"/>
        </w:rPr>
        <w:drawing>
          <wp:inline distT="0" distB="0" distL="0" distR="0" wp14:anchorId="570D7790" wp14:editId="0C497B69">
            <wp:extent cx="5734800" cy="3501392"/>
            <wp:effectExtent l="0" t="0" r="0" b="381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4800" cy="3501392"/>
                    </a:xfrm>
                    <a:prstGeom prst="rect">
                      <a:avLst/>
                    </a:prstGeom>
                    <a:noFill/>
                    <a:ln>
                      <a:noFill/>
                    </a:ln>
                  </pic:spPr>
                </pic:pic>
              </a:graphicData>
            </a:graphic>
          </wp:inline>
        </w:drawing>
      </w:r>
    </w:p>
    <w:p w14:paraId="050629F8" w14:textId="77777777" w:rsidR="00775BE5" w:rsidRPr="004B2860" w:rsidRDefault="00775BE5" w:rsidP="00775BE5">
      <w:pPr>
        <w:tabs>
          <w:tab w:val="left" w:pos="1080"/>
        </w:tabs>
        <w:overflowPunct w:val="0"/>
        <w:spacing w:line="360" w:lineRule="atLeast"/>
        <w:jc w:val="both"/>
        <w:rPr>
          <w:sz w:val="28"/>
          <w:szCs w:val="28"/>
          <w:highlight w:val="yellow"/>
          <w:shd w:val="pct15" w:color="auto" w:fill="FFFFFF"/>
        </w:rPr>
      </w:pPr>
    </w:p>
    <w:p w14:paraId="19532AC7" w14:textId="3349921C" w:rsidR="00911FA7" w:rsidRPr="00911FA7" w:rsidRDefault="00FB1C5C" w:rsidP="002228BA">
      <w:pPr>
        <w:numPr>
          <w:ilvl w:val="1"/>
          <w:numId w:val="3"/>
        </w:numPr>
        <w:tabs>
          <w:tab w:val="left" w:pos="1080"/>
        </w:tabs>
        <w:spacing w:line="360" w:lineRule="atLeast"/>
        <w:jc w:val="both"/>
        <w:rPr>
          <w:sz w:val="28"/>
          <w:szCs w:val="28"/>
        </w:rPr>
      </w:pPr>
      <w:r w:rsidRPr="00384582">
        <w:rPr>
          <w:rFonts w:hint="eastAsia"/>
          <w:sz w:val="28"/>
          <w:szCs w:val="28"/>
        </w:rPr>
        <w:t>T</w:t>
      </w:r>
      <w:r w:rsidRPr="00384582">
        <w:rPr>
          <w:sz w:val="28"/>
          <w:szCs w:val="28"/>
        </w:rPr>
        <w:t>he</w:t>
      </w:r>
      <w:r w:rsidRPr="00384582">
        <w:rPr>
          <w:rFonts w:hint="eastAsia"/>
          <w:sz w:val="28"/>
          <w:szCs w:val="28"/>
        </w:rPr>
        <w:t xml:space="preserve"> index of</w:t>
      </w:r>
      <w:r w:rsidRPr="00384582">
        <w:rPr>
          <w:sz w:val="28"/>
          <w:szCs w:val="28"/>
        </w:rPr>
        <w:t xml:space="preserve"> home purchase affordability (i.e. the ratio of mortgage payment for a 45-square </w:t>
      </w:r>
      <w:r w:rsidRPr="00911FA7">
        <w:rPr>
          <w:sz w:val="28"/>
          <w:szCs w:val="28"/>
        </w:rPr>
        <w:t>metre flat to median income of households, excluding those living in public</w:t>
      </w:r>
      <w:r w:rsidRPr="00911FA7">
        <w:rPr>
          <w:rFonts w:hint="eastAsia"/>
          <w:sz w:val="28"/>
          <w:szCs w:val="28"/>
        </w:rPr>
        <w:t xml:space="preserve"> </w:t>
      </w:r>
      <w:r w:rsidRPr="00911FA7">
        <w:rPr>
          <w:sz w:val="28"/>
          <w:szCs w:val="28"/>
        </w:rPr>
        <w:t xml:space="preserve">rental housing and public temporary housing) </w:t>
      </w:r>
      <w:r w:rsidR="004029DA" w:rsidRPr="005908B7">
        <w:rPr>
          <w:sz w:val="28"/>
        </w:rPr>
        <w:t>was virtually unchanged at</w:t>
      </w:r>
      <w:r w:rsidRPr="005908B7">
        <w:rPr>
          <w:sz w:val="28"/>
          <w:szCs w:val="28"/>
        </w:rPr>
        <w:t xml:space="preserve"> around </w:t>
      </w:r>
      <w:r w:rsidR="004029DA" w:rsidRPr="005908B7">
        <w:rPr>
          <w:sz w:val="28"/>
        </w:rPr>
        <w:t>65</w:t>
      </w:r>
      <w:r w:rsidRPr="005908B7">
        <w:rPr>
          <w:sz w:val="28"/>
          <w:szCs w:val="28"/>
        </w:rPr>
        <w:t>%</w:t>
      </w:r>
      <w:r w:rsidRPr="00911FA7">
        <w:rPr>
          <w:sz w:val="28"/>
          <w:szCs w:val="28"/>
        </w:rPr>
        <w:t xml:space="preserve"> in the </w:t>
      </w:r>
      <w:r w:rsidR="00384582" w:rsidRPr="00911FA7">
        <w:rPr>
          <w:sz w:val="28"/>
          <w:szCs w:val="28"/>
        </w:rPr>
        <w:t>second</w:t>
      </w:r>
      <w:r w:rsidRPr="00911FA7">
        <w:rPr>
          <w:sz w:val="28"/>
          <w:szCs w:val="28"/>
        </w:rPr>
        <w:t xml:space="preserve"> quarter</w:t>
      </w:r>
      <w:r w:rsidR="009D4C72" w:rsidRPr="00911FA7">
        <w:rPr>
          <w:sz w:val="28"/>
          <w:szCs w:val="28"/>
        </w:rPr>
        <w:t xml:space="preserve">, </w:t>
      </w:r>
      <w:r w:rsidR="005E64C6">
        <w:rPr>
          <w:sz w:val="28"/>
          <w:szCs w:val="28"/>
        </w:rPr>
        <w:t>and</w:t>
      </w:r>
      <w:r w:rsidR="005E64C6" w:rsidRPr="00911FA7">
        <w:rPr>
          <w:sz w:val="28"/>
          <w:szCs w:val="28"/>
        </w:rPr>
        <w:t xml:space="preserve"> </w:t>
      </w:r>
      <w:r w:rsidR="00B115C5" w:rsidRPr="00911FA7">
        <w:rPr>
          <w:sz w:val="28"/>
          <w:szCs w:val="28"/>
        </w:rPr>
        <w:t xml:space="preserve">it </w:t>
      </w:r>
      <w:r w:rsidR="009C0FEC" w:rsidRPr="00911FA7">
        <w:rPr>
          <w:sz w:val="28"/>
          <w:szCs w:val="28"/>
        </w:rPr>
        <w:t>remained above the long</w:t>
      </w:r>
      <w:r w:rsidR="00911FA7" w:rsidRPr="00911FA7">
        <w:rPr>
          <w:sz w:val="28"/>
          <w:szCs w:val="28"/>
        </w:rPr>
        <w:noBreakHyphen/>
      </w:r>
      <w:r w:rsidR="009C0FEC" w:rsidRPr="00911FA7">
        <w:rPr>
          <w:sz w:val="28"/>
          <w:szCs w:val="28"/>
        </w:rPr>
        <w:t xml:space="preserve">term average of </w:t>
      </w:r>
      <w:r w:rsidR="009C0FEC" w:rsidRPr="00911FA7">
        <w:rPr>
          <w:sz w:val="28"/>
        </w:rPr>
        <w:t>5</w:t>
      </w:r>
      <w:r w:rsidR="00175FD0" w:rsidRPr="00911FA7">
        <w:rPr>
          <w:sz w:val="28"/>
        </w:rPr>
        <w:t>4</w:t>
      </w:r>
      <w:r w:rsidR="009C0FEC" w:rsidRPr="00911FA7">
        <w:rPr>
          <w:sz w:val="28"/>
          <w:szCs w:val="28"/>
        </w:rPr>
        <w:t>% over 200</w:t>
      </w:r>
      <w:r w:rsidR="00E4212B" w:rsidRPr="00911FA7">
        <w:rPr>
          <w:sz w:val="28"/>
          <w:szCs w:val="28"/>
        </w:rPr>
        <w:t>4</w:t>
      </w:r>
      <w:r w:rsidR="009C0FEC" w:rsidRPr="00911FA7">
        <w:rPr>
          <w:sz w:val="28"/>
          <w:szCs w:val="28"/>
        </w:rPr>
        <w:noBreakHyphen/>
        <w:t>202</w:t>
      </w:r>
      <w:r w:rsidR="00E4212B" w:rsidRPr="00911FA7">
        <w:rPr>
          <w:sz w:val="28"/>
          <w:szCs w:val="28"/>
        </w:rPr>
        <w:t>3</w:t>
      </w:r>
      <w:r w:rsidRPr="00911FA7">
        <w:rPr>
          <w:sz w:val="28"/>
          <w:szCs w:val="28"/>
          <w:vertAlign w:val="superscript"/>
        </w:rPr>
        <w:t>(</w:t>
      </w:r>
      <w:r w:rsidRPr="00911FA7">
        <w:rPr>
          <w:rFonts w:hint="eastAsia"/>
          <w:sz w:val="28"/>
          <w:szCs w:val="28"/>
          <w:vertAlign w:val="superscript"/>
        </w:rPr>
        <w:t>1</w:t>
      </w:r>
      <w:r w:rsidRPr="00911FA7">
        <w:rPr>
          <w:sz w:val="28"/>
          <w:szCs w:val="28"/>
          <w:vertAlign w:val="superscript"/>
        </w:rPr>
        <w:t>)</w:t>
      </w:r>
      <w:r w:rsidR="00A60916" w:rsidRPr="00911FA7">
        <w:rPr>
          <w:sz w:val="28"/>
          <w:szCs w:val="28"/>
        </w:rPr>
        <w:t>.</w:t>
      </w:r>
      <w:r w:rsidRPr="00911FA7">
        <w:rPr>
          <w:sz w:val="28"/>
          <w:szCs w:val="28"/>
        </w:rPr>
        <w:t xml:space="preserve">  </w:t>
      </w:r>
    </w:p>
    <w:p w14:paraId="6EAF8486" w14:textId="77777777" w:rsidR="00FB1C5C" w:rsidRPr="004B2860" w:rsidRDefault="00FB1C5C" w:rsidP="00FB1C5C">
      <w:pPr>
        <w:tabs>
          <w:tab w:val="left" w:pos="1080"/>
        </w:tabs>
        <w:overflowPunct w:val="0"/>
        <w:spacing w:line="360" w:lineRule="atLeast"/>
        <w:jc w:val="both"/>
        <w:rPr>
          <w:sz w:val="28"/>
          <w:szCs w:val="28"/>
          <w:shd w:val="pct15" w:color="auto" w:fill="FFFFFF"/>
        </w:rPr>
      </w:pPr>
    </w:p>
    <w:p w14:paraId="5E7BF147" w14:textId="0C379021" w:rsidR="00FB1C5C" w:rsidRPr="004B2860" w:rsidRDefault="00B223FA" w:rsidP="00FB1C5C">
      <w:pPr>
        <w:overflowPunct w:val="0"/>
        <w:rPr>
          <w:shd w:val="pct15" w:color="auto" w:fill="FFFFFF"/>
        </w:rPr>
      </w:pPr>
      <w:r w:rsidRPr="00B223FA">
        <w:rPr>
          <w:noProof/>
        </w:rPr>
        <w:lastRenderedPageBreak/>
        <w:drawing>
          <wp:inline distT="0" distB="0" distL="0" distR="0" wp14:anchorId="2DD00A13" wp14:editId="61C79C94">
            <wp:extent cx="5733415" cy="3497209"/>
            <wp:effectExtent l="0" t="0" r="635" b="825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3497209"/>
                    </a:xfrm>
                    <a:prstGeom prst="rect">
                      <a:avLst/>
                    </a:prstGeom>
                    <a:noFill/>
                    <a:ln>
                      <a:noFill/>
                    </a:ln>
                  </pic:spPr>
                </pic:pic>
              </a:graphicData>
            </a:graphic>
          </wp:inline>
        </w:drawing>
      </w:r>
    </w:p>
    <w:p w14:paraId="53E42083" w14:textId="77777777" w:rsidR="00FB1C5C" w:rsidRPr="004B2860" w:rsidRDefault="00FB1C5C" w:rsidP="00FB1C5C">
      <w:pPr>
        <w:overflowPunct w:val="0"/>
        <w:rPr>
          <w:sz w:val="28"/>
          <w:szCs w:val="28"/>
          <w:shd w:val="pct15" w:color="auto" w:fill="FFFFFF"/>
        </w:rPr>
      </w:pPr>
    </w:p>
    <w:p w14:paraId="38FEBC62" w14:textId="146CDF88" w:rsidR="00366434" w:rsidRPr="008B5020" w:rsidRDefault="00FB1C5C" w:rsidP="008219E1">
      <w:pPr>
        <w:numPr>
          <w:ilvl w:val="1"/>
          <w:numId w:val="3"/>
        </w:numPr>
        <w:tabs>
          <w:tab w:val="left" w:pos="1080"/>
        </w:tabs>
        <w:spacing w:line="360" w:lineRule="atLeast"/>
        <w:jc w:val="both"/>
        <w:rPr>
          <w:sz w:val="28"/>
          <w:szCs w:val="28"/>
          <w:shd w:val="pct15" w:color="auto" w:fill="FFFFFF"/>
        </w:rPr>
      </w:pPr>
      <w:r w:rsidRPr="00F831B3">
        <w:rPr>
          <w:sz w:val="28"/>
          <w:szCs w:val="28"/>
        </w:rPr>
        <w:t xml:space="preserve">Increasing housing land supply is </w:t>
      </w:r>
      <w:r w:rsidRPr="00F831B3">
        <w:rPr>
          <w:rFonts w:hint="eastAsia"/>
          <w:sz w:val="28"/>
          <w:szCs w:val="28"/>
          <w:lang w:eastAsia="zh-HK"/>
        </w:rPr>
        <w:t>a policy</w:t>
      </w:r>
      <w:r w:rsidRPr="00F831B3">
        <w:rPr>
          <w:sz w:val="28"/>
          <w:szCs w:val="28"/>
          <w:lang w:eastAsia="zh-HK"/>
        </w:rPr>
        <w:t xml:space="preserve"> priority</w:t>
      </w:r>
      <w:r w:rsidRPr="00F831B3">
        <w:rPr>
          <w:rFonts w:hint="eastAsia"/>
          <w:sz w:val="28"/>
          <w:szCs w:val="28"/>
          <w:lang w:eastAsia="zh-HK"/>
        </w:rPr>
        <w:t xml:space="preserve"> of the </w:t>
      </w:r>
      <w:r w:rsidRPr="00F831B3">
        <w:rPr>
          <w:sz w:val="28"/>
          <w:szCs w:val="28"/>
        </w:rPr>
        <w:t xml:space="preserve">Government. </w:t>
      </w:r>
      <w:r w:rsidR="006B2A67" w:rsidRPr="00F831B3">
        <w:rPr>
          <w:sz w:val="28"/>
          <w:szCs w:val="28"/>
        </w:rPr>
        <w:t xml:space="preserve"> </w:t>
      </w:r>
      <w:r w:rsidR="00366434" w:rsidRPr="00F831B3">
        <w:rPr>
          <w:sz w:val="28"/>
          <w:szCs w:val="28"/>
        </w:rPr>
        <w:t>In July, the Government</w:t>
      </w:r>
      <w:r w:rsidR="00366434" w:rsidRPr="00670D06">
        <w:rPr>
          <w:sz w:val="28"/>
          <w:szCs w:val="28"/>
        </w:rPr>
        <w:t xml:space="preserve"> announced </w:t>
      </w:r>
      <w:r w:rsidR="00B00F39">
        <w:rPr>
          <w:sz w:val="28"/>
          <w:szCs w:val="28"/>
        </w:rPr>
        <w:t xml:space="preserve">that </w:t>
      </w:r>
      <w:r w:rsidR="005E64C6">
        <w:rPr>
          <w:sz w:val="28"/>
          <w:szCs w:val="28"/>
        </w:rPr>
        <w:t>it would</w:t>
      </w:r>
      <w:r w:rsidR="005E64C6" w:rsidRPr="00670D06">
        <w:rPr>
          <w:sz w:val="28"/>
          <w:szCs w:val="28"/>
        </w:rPr>
        <w:t xml:space="preserve"> </w:t>
      </w:r>
      <w:r w:rsidR="00366434" w:rsidRPr="00670D06">
        <w:rPr>
          <w:sz w:val="28"/>
          <w:szCs w:val="28"/>
        </w:rPr>
        <w:t xml:space="preserve">put up </w:t>
      </w:r>
      <w:r w:rsidR="00366434">
        <w:rPr>
          <w:sz w:val="28"/>
          <w:szCs w:val="28"/>
        </w:rPr>
        <w:t>one residential site</w:t>
      </w:r>
      <w:r w:rsidR="00366434" w:rsidRPr="00670D06">
        <w:rPr>
          <w:sz w:val="28"/>
          <w:szCs w:val="28"/>
        </w:rPr>
        <w:t xml:space="preserve"> for sale in the third quarter</w:t>
      </w:r>
      <w:r w:rsidR="00366434" w:rsidRPr="00670D06">
        <w:rPr>
          <w:sz w:val="28"/>
          <w:szCs w:val="28"/>
          <w:lang w:val="en-US"/>
        </w:rPr>
        <w:t xml:space="preserve">.  </w:t>
      </w:r>
      <w:r w:rsidR="00366434" w:rsidRPr="00670D06">
        <w:rPr>
          <w:sz w:val="28"/>
          <w:szCs w:val="28"/>
        </w:rPr>
        <w:t>Taking into account the</w:t>
      </w:r>
      <w:r w:rsidR="00366434" w:rsidRPr="00670D06">
        <w:rPr>
          <w:rFonts w:eastAsia="細明體"/>
          <w:sz w:val="28"/>
          <w:szCs w:val="28"/>
        </w:rPr>
        <w:t xml:space="preserve"> Government land sale</w:t>
      </w:r>
      <w:r w:rsidR="001E7ECC">
        <w:rPr>
          <w:rFonts w:eastAsia="細明體"/>
          <w:sz w:val="28"/>
          <w:szCs w:val="28"/>
        </w:rPr>
        <w:t xml:space="preserve">, </w:t>
      </w:r>
      <w:r w:rsidR="001E7ECC">
        <w:rPr>
          <w:rFonts w:eastAsia="細明體"/>
          <w:kern w:val="0"/>
          <w:sz w:val="28"/>
          <w:szCs w:val="28"/>
        </w:rPr>
        <w:t>an</w:t>
      </w:r>
      <w:r w:rsidR="001E7ECC" w:rsidRPr="009210C9">
        <w:rPr>
          <w:rFonts w:eastAsia="細明體"/>
          <w:kern w:val="0"/>
          <w:sz w:val="28"/>
          <w:szCs w:val="28"/>
        </w:rPr>
        <w:t xml:space="preserve"> Urban Renewal Authority project</w:t>
      </w:r>
      <w:r w:rsidR="008219E1">
        <w:rPr>
          <w:rFonts w:eastAsia="細明體"/>
          <w:kern w:val="0"/>
          <w:sz w:val="28"/>
          <w:szCs w:val="28"/>
        </w:rPr>
        <w:t>,</w:t>
      </w:r>
      <w:r w:rsidR="00366434" w:rsidRPr="00670D06">
        <w:rPr>
          <w:rFonts w:eastAsia="細明體"/>
          <w:sz w:val="28"/>
          <w:szCs w:val="28"/>
        </w:rPr>
        <w:t xml:space="preserve"> </w:t>
      </w:r>
      <w:r w:rsidR="00366434" w:rsidRPr="008219E1">
        <w:rPr>
          <w:rFonts w:eastAsia="細明體"/>
          <w:sz w:val="28"/>
          <w:szCs w:val="28"/>
        </w:rPr>
        <w:t>and</w:t>
      </w:r>
      <w:r w:rsidR="008219E1" w:rsidRPr="008219E1">
        <w:rPr>
          <w:rFonts w:eastAsia="細明體"/>
          <w:sz w:val="28"/>
          <w:szCs w:val="28"/>
        </w:rPr>
        <w:t xml:space="preserve"> private development and redevelopment projects</w:t>
      </w:r>
      <w:r w:rsidR="00366434" w:rsidRPr="00670D06">
        <w:rPr>
          <w:rFonts w:eastAsia="細明體"/>
          <w:sz w:val="28"/>
          <w:szCs w:val="28"/>
        </w:rPr>
        <w:t xml:space="preserve">, the total private housing land supply in the third quarter is expected to produce around </w:t>
      </w:r>
      <w:r w:rsidR="00F831B3">
        <w:rPr>
          <w:rFonts w:eastAsia="細明體"/>
          <w:sz w:val="28"/>
          <w:szCs w:val="28"/>
        </w:rPr>
        <w:t>1 7</w:t>
      </w:r>
      <w:r w:rsidR="008219E1">
        <w:rPr>
          <w:rFonts w:eastAsia="細明體"/>
          <w:sz w:val="28"/>
          <w:szCs w:val="28"/>
        </w:rPr>
        <w:t>9</w:t>
      </w:r>
      <w:r w:rsidR="00F831B3">
        <w:rPr>
          <w:rFonts w:eastAsia="細明體"/>
          <w:sz w:val="28"/>
          <w:szCs w:val="28"/>
        </w:rPr>
        <w:t>0</w:t>
      </w:r>
      <w:r w:rsidR="00366434" w:rsidRPr="00670D06">
        <w:rPr>
          <w:rFonts w:eastAsia="細明體"/>
          <w:sz w:val="28"/>
          <w:szCs w:val="28"/>
        </w:rPr>
        <w:t> flats.  Together with the supply in the preceding quarter, the total private housing land supply for the first half of 202</w:t>
      </w:r>
      <w:r w:rsidR="00366434">
        <w:rPr>
          <w:rFonts w:eastAsia="細明體"/>
          <w:sz w:val="28"/>
          <w:szCs w:val="28"/>
        </w:rPr>
        <w:t>4</w:t>
      </w:r>
      <w:r w:rsidR="00366434" w:rsidRPr="00670D06">
        <w:rPr>
          <w:rFonts w:eastAsia="細明體"/>
          <w:sz w:val="28"/>
          <w:szCs w:val="28"/>
        </w:rPr>
        <w:noBreakHyphen/>
        <w:t>2</w:t>
      </w:r>
      <w:r w:rsidR="00366434">
        <w:rPr>
          <w:rFonts w:eastAsia="細明體"/>
          <w:sz w:val="28"/>
          <w:szCs w:val="28"/>
        </w:rPr>
        <w:t>5</w:t>
      </w:r>
      <w:r w:rsidR="00366434" w:rsidRPr="00670D06">
        <w:rPr>
          <w:rFonts w:eastAsia="細明體"/>
          <w:sz w:val="28"/>
          <w:szCs w:val="28"/>
        </w:rPr>
        <w:t xml:space="preserve"> </w:t>
      </w:r>
      <w:r w:rsidR="00366434" w:rsidRPr="001E7ECC">
        <w:rPr>
          <w:rFonts w:eastAsia="細明體"/>
          <w:kern w:val="0"/>
          <w:sz w:val="28"/>
          <w:szCs w:val="28"/>
        </w:rPr>
        <w:t>financial year</w:t>
      </w:r>
      <w:r w:rsidR="00366434" w:rsidRPr="001E7ECC">
        <w:rPr>
          <w:rFonts w:eastAsia="細明體"/>
          <w:sz w:val="28"/>
          <w:szCs w:val="28"/>
        </w:rPr>
        <w:t xml:space="preserve"> is </w:t>
      </w:r>
      <w:r w:rsidR="00366434" w:rsidRPr="001E7ECC">
        <w:rPr>
          <w:rFonts w:eastAsia="細明體"/>
          <w:sz w:val="28"/>
          <w:szCs w:val="28"/>
          <w:lang w:eastAsia="zh-HK"/>
        </w:rPr>
        <w:t>estimated to produce about</w:t>
      </w:r>
      <w:r w:rsidR="00366434" w:rsidRPr="001E7ECC">
        <w:rPr>
          <w:rFonts w:eastAsia="細明體"/>
          <w:sz w:val="28"/>
          <w:szCs w:val="28"/>
        </w:rPr>
        <w:t xml:space="preserve"> </w:t>
      </w:r>
      <w:r w:rsidR="008B5020">
        <w:rPr>
          <w:rFonts w:eastAsia="細明體"/>
          <w:sz w:val="28"/>
          <w:szCs w:val="28"/>
        </w:rPr>
        <w:t>4 065</w:t>
      </w:r>
      <w:r w:rsidR="00366434" w:rsidRPr="001E7ECC">
        <w:rPr>
          <w:sz w:val="28"/>
          <w:szCs w:val="28"/>
          <w:lang w:val="en-US"/>
        </w:rPr>
        <w:t> unit</w:t>
      </w:r>
      <w:r w:rsidR="00366434" w:rsidRPr="001E7ECC">
        <w:rPr>
          <w:rFonts w:eastAsia="細明體"/>
          <w:sz w:val="28"/>
          <w:szCs w:val="28"/>
        </w:rPr>
        <w:t xml:space="preserve">s, reaching around </w:t>
      </w:r>
      <w:r w:rsidR="008B5020">
        <w:rPr>
          <w:rFonts w:eastAsia="細明體"/>
          <w:sz w:val="28"/>
          <w:szCs w:val="28"/>
        </w:rPr>
        <w:t>30</w:t>
      </w:r>
      <w:r w:rsidR="00366434" w:rsidRPr="001E7ECC">
        <w:rPr>
          <w:rFonts w:eastAsia="細明體"/>
          <w:sz w:val="28"/>
          <w:szCs w:val="28"/>
        </w:rPr>
        <w:t>% of the</w:t>
      </w:r>
      <w:r w:rsidR="00366434" w:rsidRPr="00670D06">
        <w:rPr>
          <w:rFonts w:eastAsia="細明體"/>
          <w:sz w:val="28"/>
          <w:szCs w:val="28"/>
        </w:rPr>
        <w:t xml:space="preserve"> annual </w:t>
      </w:r>
      <w:r w:rsidR="00F831B3">
        <w:rPr>
          <w:rFonts w:eastAsia="細明體"/>
          <w:sz w:val="28"/>
          <w:szCs w:val="28"/>
        </w:rPr>
        <w:t xml:space="preserve">private housing supply </w:t>
      </w:r>
      <w:r w:rsidR="005E64C6" w:rsidRPr="00670D06">
        <w:rPr>
          <w:rFonts w:eastAsia="細明體"/>
          <w:sz w:val="28"/>
          <w:szCs w:val="28"/>
        </w:rPr>
        <w:t>targ</w:t>
      </w:r>
      <w:r w:rsidR="005E64C6">
        <w:rPr>
          <w:rFonts w:eastAsia="細明體"/>
          <w:sz w:val="28"/>
          <w:szCs w:val="28"/>
        </w:rPr>
        <w:t xml:space="preserve">et </w:t>
      </w:r>
      <w:r w:rsidR="00F831B3">
        <w:rPr>
          <w:rFonts w:eastAsia="細明體"/>
          <w:sz w:val="28"/>
          <w:szCs w:val="28"/>
        </w:rPr>
        <w:t>(13 2</w:t>
      </w:r>
      <w:r w:rsidR="00366434" w:rsidRPr="00670D06">
        <w:rPr>
          <w:rFonts w:eastAsia="細明體"/>
          <w:sz w:val="28"/>
          <w:szCs w:val="28"/>
        </w:rPr>
        <w:t>00 units).</w:t>
      </w:r>
    </w:p>
    <w:p w14:paraId="70E94824" w14:textId="59BC6C18" w:rsidR="00FB1C5C" w:rsidRPr="004B2860" w:rsidRDefault="00FB1C5C" w:rsidP="00FB1C5C">
      <w:pPr>
        <w:overflowPunct w:val="0"/>
        <w:spacing w:line="360" w:lineRule="atLeast"/>
        <w:jc w:val="both"/>
        <w:rPr>
          <w:sz w:val="28"/>
          <w:szCs w:val="28"/>
          <w:highlight w:val="yellow"/>
          <w:shd w:val="pct15" w:color="auto" w:fill="FFFFFF"/>
        </w:rPr>
      </w:pPr>
    </w:p>
    <w:p w14:paraId="63F62ADE" w14:textId="56182402" w:rsidR="00AF1E01" w:rsidRPr="00AF1E01" w:rsidRDefault="00FB1C5C" w:rsidP="001E7ECC">
      <w:pPr>
        <w:widowControl/>
        <w:numPr>
          <w:ilvl w:val="1"/>
          <w:numId w:val="3"/>
        </w:numPr>
        <w:tabs>
          <w:tab w:val="left" w:pos="1080"/>
        </w:tabs>
        <w:spacing w:line="360" w:lineRule="atLeast"/>
        <w:jc w:val="both"/>
        <w:rPr>
          <w:rFonts w:eastAsia="細明體"/>
          <w:kern w:val="0"/>
          <w:sz w:val="28"/>
          <w:szCs w:val="28"/>
          <w:shd w:val="pct15" w:color="auto" w:fill="FFFFFF"/>
        </w:rPr>
      </w:pPr>
      <w:r w:rsidRPr="001E7ECC">
        <w:rPr>
          <w:sz w:val="28"/>
          <w:szCs w:val="28"/>
        </w:rPr>
        <w:t xml:space="preserve">Reflecting the Government’s sustained efforts </w:t>
      </w:r>
      <w:r w:rsidR="00707FD8" w:rsidRPr="001E7ECC">
        <w:rPr>
          <w:sz w:val="28"/>
          <w:szCs w:val="28"/>
        </w:rPr>
        <w:t xml:space="preserve">to </w:t>
      </w:r>
      <w:r w:rsidRPr="001E7ECC">
        <w:rPr>
          <w:sz w:val="28"/>
          <w:szCs w:val="28"/>
        </w:rPr>
        <w:t>rais</w:t>
      </w:r>
      <w:r w:rsidR="00707FD8" w:rsidRPr="001E7ECC">
        <w:rPr>
          <w:sz w:val="28"/>
          <w:szCs w:val="28"/>
        </w:rPr>
        <w:t>e</w:t>
      </w:r>
      <w:r w:rsidRPr="001E7ECC">
        <w:rPr>
          <w:sz w:val="28"/>
          <w:szCs w:val="28"/>
        </w:rPr>
        <w:t xml:space="preserve"> land </w:t>
      </w:r>
      <w:r w:rsidR="008426CD" w:rsidRPr="001E7ECC">
        <w:rPr>
          <w:sz w:val="28"/>
          <w:szCs w:val="28"/>
        </w:rPr>
        <w:t xml:space="preserve">and flat </w:t>
      </w:r>
      <w:r w:rsidRPr="001E7ECC">
        <w:rPr>
          <w:sz w:val="28"/>
          <w:szCs w:val="28"/>
        </w:rPr>
        <w:t xml:space="preserve">supply, </w:t>
      </w:r>
      <w:r w:rsidRPr="001E7ECC">
        <w:rPr>
          <w:rFonts w:hint="eastAsia"/>
          <w:sz w:val="28"/>
          <w:szCs w:val="28"/>
        </w:rPr>
        <w:t>t</w:t>
      </w:r>
      <w:r w:rsidRPr="001E7ECC">
        <w:rPr>
          <w:sz w:val="28"/>
          <w:szCs w:val="28"/>
        </w:rPr>
        <w:t xml:space="preserve">he </w:t>
      </w:r>
      <w:r w:rsidRPr="001E7ECC">
        <w:rPr>
          <w:i/>
          <w:sz w:val="28"/>
          <w:szCs w:val="28"/>
        </w:rPr>
        <w:t>total supply of first-hand flats</w:t>
      </w:r>
      <w:r w:rsidRPr="001E7ECC">
        <w:rPr>
          <w:sz w:val="28"/>
          <w:szCs w:val="28"/>
        </w:rPr>
        <w:t xml:space="preserve"> </w:t>
      </w:r>
      <w:r w:rsidRPr="001E7ECC">
        <w:rPr>
          <w:rFonts w:hint="eastAsia"/>
          <w:i/>
          <w:sz w:val="28"/>
          <w:szCs w:val="28"/>
          <w:lang w:eastAsia="zh-HK"/>
        </w:rPr>
        <w:t>in the private sector</w:t>
      </w:r>
      <w:r w:rsidRPr="001E7ECC">
        <w:rPr>
          <w:rFonts w:hint="eastAsia"/>
          <w:sz w:val="28"/>
          <w:szCs w:val="28"/>
          <w:lang w:eastAsia="zh-HK"/>
        </w:rPr>
        <w:t xml:space="preserve"> </w:t>
      </w:r>
      <w:r w:rsidRPr="001E7ECC">
        <w:rPr>
          <w:sz w:val="28"/>
          <w:szCs w:val="28"/>
        </w:rPr>
        <w:t>in the coming three to four years (</w:t>
      </w:r>
      <w:r w:rsidRPr="00911FA7">
        <w:rPr>
          <w:sz w:val="28"/>
          <w:szCs w:val="28"/>
        </w:rPr>
        <w:t xml:space="preserve">comprising unsold flats of completed projects, flats under construction but not yet sold and flats on disposed sites where construction can start any time) </w:t>
      </w:r>
      <w:r w:rsidR="001E7ECC" w:rsidRPr="00911FA7">
        <w:rPr>
          <w:w w:val="105"/>
          <w:sz w:val="28"/>
        </w:rPr>
        <w:t>would remain at a high level of</w:t>
      </w:r>
      <w:r w:rsidR="00EC7D58" w:rsidRPr="00911FA7">
        <w:rPr>
          <w:w w:val="105"/>
          <w:sz w:val="28"/>
        </w:rPr>
        <w:t xml:space="preserve"> </w:t>
      </w:r>
      <w:r w:rsidR="00E745C0" w:rsidRPr="00911FA7">
        <w:rPr>
          <w:sz w:val="28"/>
          <w:szCs w:val="28"/>
          <w:lang w:val="en-US"/>
        </w:rPr>
        <w:t>1</w:t>
      </w:r>
      <w:r w:rsidR="001E7ECC" w:rsidRPr="00911FA7">
        <w:rPr>
          <w:sz w:val="28"/>
          <w:szCs w:val="28"/>
          <w:lang w:val="en-US"/>
        </w:rPr>
        <w:t>09</w:t>
      </w:r>
      <w:r w:rsidR="00E745C0" w:rsidRPr="00911FA7">
        <w:rPr>
          <w:rFonts w:hint="eastAsia"/>
          <w:sz w:val="28"/>
          <w:lang w:val="en-US"/>
        </w:rPr>
        <w:t> </w:t>
      </w:r>
      <w:r w:rsidRPr="00911FA7">
        <w:rPr>
          <w:sz w:val="28"/>
          <w:lang w:val="en-US"/>
        </w:rPr>
        <w:t>000</w:t>
      </w:r>
      <w:r w:rsidRPr="00911FA7">
        <w:rPr>
          <w:sz w:val="28"/>
          <w:szCs w:val="28"/>
          <w:lang w:val="en-US"/>
        </w:rPr>
        <w:t> </w:t>
      </w:r>
      <w:r w:rsidRPr="00911FA7">
        <w:rPr>
          <w:rFonts w:hint="eastAsia"/>
          <w:sz w:val="28"/>
          <w:szCs w:val="28"/>
          <w:lang w:val="en-US"/>
        </w:rPr>
        <w:t xml:space="preserve">units as estimated at </w:t>
      </w:r>
      <w:r w:rsidRPr="00911FA7">
        <w:rPr>
          <w:sz w:val="28"/>
          <w:szCs w:val="28"/>
        </w:rPr>
        <w:t>end</w:t>
      </w:r>
      <w:r w:rsidR="002C351B" w:rsidRPr="00911FA7">
        <w:rPr>
          <w:sz w:val="28"/>
          <w:szCs w:val="28"/>
        </w:rPr>
        <w:noBreakHyphen/>
      </w:r>
      <w:r w:rsidR="001E7ECC" w:rsidRPr="00911FA7">
        <w:rPr>
          <w:sz w:val="28"/>
          <w:szCs w:val="28"/>
        </w:rPr>
        <w:t>June</w:t>
      </w:r>
      <w:r w:rsidR="00175FD0" w:rsidRPr="00911FA7">
        <w:rPr>
          <w:sz w:val="28"/>
          <w:szCs w:val="28"/>
        </w:rPr>
        <w:t> </w:t>
      </w:r>
      <w:r w:rsidRPr="00911FA7">
        <w:rPr>
          <w:sz w:val="28"/>
          <w:szCs w:val="28"/>
        </w:rPr>
        <w:t>202</w:t>
      </w:r>
      <w:r w:rsidR="00175FD0" w:rsidRPr="00911FA7">
        <w:rPr>
          <w:sz w:val="28"/>
          <w:szCs w:val="28"/>
        </w:rPr>
        <w:t>4</w:t>
      </w:r>
      <w:r w:rsidRPr="00911FA7">
        <w:rPr>
          <w:sz w:val="28"/>
          <w:szCs w:val="28"/>
        </w:rPr>
        <w:t xml:space="preserve">.  </w:t>
      </w:r>
      <w:r w:rsidRPr="00911FA7">
        <w:rPr>
          <w:rFonts w:hint="eastAsia"/>
          <w:sz w:val="28"/>
          <w:szCs w:val="28"/>
          <w:lang w:val="en-US"/>
        </w:rPr>
        <w:t>Another</w:t>
      </w:r>
      <w:r w:rsidRPr="00911FA7">
        <w:rPr>
          <w:sz w:val="28"/>
          <w:szCs w:val="28"/>
        </w:rPr>
        <w:t xml:space="preserve"> </w:t>
      </w:r>
      <w:r w:rsidR="006F166E" w:rsidRPr="00911FA7">
        <w:rPr>
          <w:sz w:val="28"/>
          <w:szCs w:val="28"/>
        </w:rPr>
        <w:t>2 </w:t>
      </w:r>
      <w:r w:rsidR="0095622E">
        <w:rPr>
          <w:sz w:val="28"/>
          <w:szCs w:val="28"/>
        </w:rPr>
        <w:t>0</w:t>
      </w:r>
      <w:r w:rsidR="00E745C0" w:rsidRPr="00911FA7">
        <w:rPr>
          <w:sz w:val="28"/>
          <w:szCs w:val="28"/>
        </w:rPr>
        <w:t>00</w:t>
      </w:r>
      <w:r w:rsidRPr="00911FA7">
        <w:rPr>
          <w:sz w:val="28"/>
          <w:szCs w:val="28"/>
          <w:lang w:val="en-US"/>
        </w:rPr>
        <w:t> </w:t>
      </w:r>
      <w:r w:rsidRPr="00911FA7">
        <w:rPr>
          <w:sz w:val="28"/>
          <w:szCs w:val="28"/>
        </w:rPr>
        <w:t>units could be added to</w:t>
      </w:r>
      <w:r w:rsidRPr="006F166E">
        <w:rPr>
          <w:sz w:val="28"/>
          <w:szCs w:val="28"/>
        </w:rPr>
        <w:t xml:space="preserve"> the total supply after the conversion of a number of residential sites into “disposed sites”.</w:t>
      </w:r>
      <w:r w:rsidR="008F6629" w:rsidRPr="006F166E">
        <w:rPr>
          <w:sz w:val="28"/>
          <w:szCs w:val="28"/>
        </w:rPr>
        <w:t xml:space="preserve">  </w:t>
      </w:r>
    </w:p>
    <w:p w14:paraId="207B54C5" w14:textId="77777777" w:rsidR="009246CD" w:rsidRPr="009246CD" w:rsidRDefault="009246CD" w:rsidP="009246CD">
      <w:pPr>
        <w:widowControl/>
        <w:spacing w:line="360" w:lineRule="atLeast"/>
        <w:jc w:val="both"/>
        <w:rPr>
          <w:rFonts w:eastAsia="細明體"/>
          <w:kern w:val="0"/>
          <w:sz w:val="28"/>
          <w:szCs w:val="28"/>
          <w:shd w:val="pct15" w:color="auto" w:fill="FFFFFF"/>
        </w:rPr>
      </w:pPr>
    </w:p>
    <w:p w14:paraId="72FABB73" w14:textId="77777777" w:rsidR="00A41512" w:rsidRDefault="00A41512">
      <w:pPr>
        <w:widowControl/>
        <w:rPr>
          <w:bCs/>
          <w:sz w:val="28"/>
          <w:szCs w:val="28"/>
          <w:lang w:eastAsia="zh-HK"/>
        </w:rPr>
      </w:pPr>
      <w:r>
        <w:rPr>
          <w:bCs/>
          <w:sz w:val="28"/>
          <w:szCs w:val="28"/>
          <w:lang w:eastAsia="zh-HK"/>
        </w:rPr>
        <w:br w:type="page"/>
      </w:r>
    </w:p>
    <w:p w14:paraId="4EBB8D1A" w14:textId="21493580" w:rsidR="00F07ECA" w:rsidRPr="00911FA7" w:rsidRDefault="00FB1C5C" w:rsidP="00F07ECA">
      <w:pPr>
        <w:numPr>
          <w:ilvl w:val="1"/>
          <w:numId w:val="3"/>
        </w:numPr>
        <w:tabs>
          <w:tab w:val="left" w:pos="1080"/>
        </w:tabs>
        <w:spacing w:line="360" w:lineRule="atLeast"/>
        <w:jc w:val="both"/>
        <w:rPr>
          <w:kern w:val="0"/>
          <w:sz w:val="28"/>
          <w:szCs w:val="28"/>
        </w:rPr>
      </w:pPr>
      <w:r w:rsidRPr="005B7816">
        <w:rPr>
          <w:bCs/>
          <w:sz w:val="28"/>
          <w:szCs w:val="28"/>
          <w:lang w:eastAsia="zh-HK"/>
        </w:rPr>
        <w:lastRenderedPageBreak/>
        <w:t xml:space="preserve">The </w:t>
      </w:r>
      <w:r w:rsidRPr="005B7816">
        <w:rPr>
          <w:bCs/>
          <w:i/>
          <w:sz w:val="28"/>
          <w:szCs w:val="28"/>
          <w:lang w:eastAsia="zh-HK"/>
        </w:rPr>
        <w:t>non-residential property market</w:t>
      </w:r>
      <w:r w:rsidRPr="005B7816">
        <w:rPr>
          <w:bCs/>
          <w:sz w:val="28"/>
          <w:szCs w:val="28"/>
          <w:lang w:eastAsia="zh-HK"/>
        </w:rPr>
        <w:t xml:space="preserve"> </w:t>
      </w:r>
      <w:r w:rsidR="005B7816" w:rsidRPr="005B7816">
        <w:rPr>
          <w:bCs/>
          <w:sz w:val="28"/>
          <w:szCs w:val="28"/>
          <w:lang w:eastAsia="zh-HK"/>
        </w:rPr>
        <w:t xml:space="preserve">remained </w:t>
      </w:r>
      <w:r w:rsidR="005B7816">
        <w:rPr>
          <w:bCs/>
          <w:sz w:val="28"/>
          <w:szCs w:val="28"/>
          <w:lang w:eastAsia="zh-HK"/>
        </w:rPr>
        <w:t>sluggish</w:t>
      </w:r>
      <w:r w:rsidR="005B7816" w:rsidRPr="005B7816">
        <w:rPr>
          <w:bCs/>
          <w:sz w:val="28"/>
          <w:szCs w:val="28"/>
          <w:lang w:eastAsia="zh-HK"/>
        </w:rPr>
        <w:t xml:space="preserve"> </w:t>
      </w:r>
      <w:r w:rsidR="00191F9D" w:rsidRPr="005B7816">
        <w:rPr>
          <w:bCs/>
          <w:sz w:val="28"/>
          <w:szCs w:val="28"/>
          <w:lang w:eastAsia="zh-HK"/>
        </w:rPr>
        <w:t xml:space="preserve">in the </w:t>
      </w:r>
      <w:r w:rsidR="005B7816" w:rsidRPr="005B7816">
        <w:rPr>
          <w:bCs/>
          <w:sz w:val="28"/>
          <w:szCs w:val="28"/>
          <w:lang w:eastAsia="zh-HK"/>
        </w:rPr>
        <w:t>second</w:t>
      </w:r>
      <w:r w:rsidR="00191F9D" w:rsidRPr="005B7816">
        <w:rPr>
          <w:bCs/>
          <w:sz w:val="28"/>
          <w:szCs w:val="28"/>
          <w:lang w:eastAsia="zh-HK"/>
        </w:rPr>
        <w:t xml:space="preserve"> quarter</w:t>
      </w:r>
      <w:r w:rsidRPr="001A7C43">
        <w:rPr>
          <w:bCs/>
          <w:sz w:val="28"/>
          <w:szCs w:val="28"/>
          <w:lang w:eastAsia="zh-HK"/>
        </w:rPr>
        <w:t xml:space="preserve">.  </w:t>
      </w:r>
      <w:r w:rsidR="00292E58" w:rsidRPr="00A23F50">
        <w:rPr>
          <w:bCs/>
          <w:sz w:val="28"/>
          <w:szCs w:val="28"/>
          <w:lang w:eastAsia="zh-HK"/>
        </w:rPr>
        <w:t>Despite</w:t>
      </w:r>
      <w:r w:rsidR="00292E58" w:rsidRPr="00A23F50">
        <w:rPr>
          <w:sz w:val="28"/>
        </w:rPr>
        <w:t xml:space="preserve"> some rebound from the low levels in the preceding quarter</w:t>
      </w:r>
      <w:r w:rsidR="00292E58" w:rsidRPr="00A23F50">
        <w:rPr>
          <w:sz w:val="28"/>
          <w:szCs w:val="28"/>
        </w:rPr>
        <w:t>,</w:t>
      </w:r>
      <w:r w:rsidR="00292E58" w:rsidRPr="00A23F50">
        <w:rPr>
          <w:bCs/>
          <w:sz w:val="28"/>
          <w:szCs w:val="28"/>
          <w:lang w:eastAsia="zh-HK"/>
        </w:rPr>
        <w:t xml:space="preserve"> trading activities for </w:t>
      </w:r>
      <w:r w:rsidR="00292E58" w:rsidRPr="00A23F50">
        <w:rPr>
          <w:sz w:val="28"/>
        </w:rPr>
        <w:t xml:space="preserve">all major market segments stayed </w:t>
      </w:r>
      <w:r w:rsidR="00C23009" w:rsidRPr="00A23F50">
        <w:rPr>
          <w:sz w:val="28"/>
        </w:rPr>
        <w:t xml:space="preserve">generally </w:t>
      </w:r>
      <w:r w:rsidR="00292E58" w:rsidRPr="00A23F50">
        <w:rPr>
          <w:sz w:val="28"/>
        </w:rPr>
        <w:t>subdued</w:t>
      </w:r>
      <w:r w:rsidR="003647BE" w:rsidRPr="00A23F50">
        <w:rPr>
          <w:sz w:val="28"/>
        </w:rPr>
        <w:t>.</w:t>
      </w:r>
      <w:r w:rsidR="003647BE" w:rsidRPr="00911FA7">
        <w:rPr>
          <w:sz w:val="28"/>
        </w:rPr>
        <w:t xml:space="preserve">  </w:t>
      </w:r>
      <w:r w:rsidR="003647BE" w:rsidRPr="00911FA7">
        <w:rPr>
          <w:bCs/>
          <w:sz w:val="28"/>
          <w:szCs w:val="28"/>
          <w:lang w:eastAsia="zh-HK"/>
        </w:rPr>
        <w:t>P</w:t>
      </w:r>
      <w:r w:rsidRPr="00911FA7">
        <w:rPr>
          <w:bCs/>
          <w:sz w:val="28"/>
          <w:szCs w:val="28"/>
          <w:lang w:eastAsia="zh-HK"/>
        </w:rPr>
        <w:t xml:space="preserve">rices </w:t>
      </w:r>
      <w:r w:rsidR="00191F9D" w:rsidRPr="00911FA7">
        <w:rPr>
          <w:bCs/>
          <w:sz w:val="28"/>
          <w:szCs w:val="28"/>
          <w:lang w:eastAsia="zh-HK"/>
        </w:rPr>
        <w:t>and</w:t>
      </w:r>
      <w:r w:rsidR="00173A44" w:rsidRPr="00911FA7">
        <w:rPr>
          <w:bCs/>
          <w:sz w:val="28"/>
          <w:szCs w:val="28"/>
          <w:lang w:eastAsia="zh-HK"/>
        </w:rPr>
        <w:t xml:space="preserve"> </w:t>
      </w:r>
      <w:r w:rsidRPr="00911FA7">
        <w:rPr>
          <w:bCs/>
          <w:sz w:val="28"/>
          <w:szCs w:val="28"/>
          <w:lang w:eastAsia="zh-HK"/>
        </w:rPr>
        <w:t xml:space="preserve">rentals </w:t>
      </w:r>
      <w:r w:rsidR="005B7816" w:rsidRPr="00911FA7">
        <w:rPr>
          <w:sz w:val="28"/>
        </w:rPr>
        <w:t>fell further</w:t>
      </w:r>
      <w:r w:rsidR="0098147A" w:rsidRPr="00911FA7">
        <w:rPr>
          <w:color w:val="000000"/>
          <w:sz w:val="28"/>
          <w:szCs w:val="28"/>
        </w:rPr>
        <w:t>.</w:t>
      </w:r>
    </w:p>
    <w:p w14:paraId="46235392" w14:textId="77777777" w:rsidR="00F07ECA" w:rsidRPr="00F07ECA" w:rsidRDefault="00F07ECA" w:rsidP="00F07ECA">
      <w:pPr>
        <w:spacing w:line="360" w:lineRule="atLeast"/>
        <w:jc w:val="both"/>
        <w:rPr>
          <w:kern w:val="0"/>
          <w:sz w:val="28"/>
          <w:szCs w:val="28"/>
        </w:rPr>
      </w:pPr>
    </w:p>
    <w:p w14:paraId="7065350F" w14:textId="356C6C51" w:rsidR="00FB1C5C" w:rsidRPr="001264A9" w:rsidRDefault="004C7BA0" w:rsidP="002228BA">
      <w:pPr>
        <w:numPr>
          <w:ilvl w:val="1"/>
          <w:numId w:val="3"/>
        </w:numPr>
        <w:tabs>
          <w:tab w:val="left" w:pos="1080"/>
        </w:tabs>
        <w:spacing w:line="360" w:lineRule="atLeast"/>
        <w:jc w:val="both"/>
        <w:rPr>
          <w:color w:val="000000"/>
          <w:sz w:val="28"/>
          <w:szCs w:val="28"/>
        </w:rPr>
      </w:pPr>
      <w:r w:rsidRPr="00670D06">
        <w:rPr>
          <w:sz w:val="28"/>
          <w:szCs w:val="28"/>
        </w:rPr>
        <w:t xml:space="preserve">Prices </w:t>
      </w:r>
      <w:r w:rsidRPr="001264A9">
        <w:rPr>
          <w:sz w:val="28"/>
          <w:szCs w:val="28"/>
        </w:rPr>
        <w:t xml:space="preserve">of </w:t>
      </w:r>
      <w:r w:rsidRPr="001264A9">
        <w:rPr>
          <w:i/>
          <w:sz w:val="28"/>
          <w:szCs w:val="28"/>
        </w:rPr>
        <w:t>office space</w:t>
      </w:r>
      <w:r w:rsidRPr="001264A9">
        <w:rPr>
          <w:sz w:val="28"/>
          <w:szCs w:val="28"/>
        </w:rPr>
        <w:t xml:space="preserve"> on average </w:t>
      </w:r>
      <w:r w:rsidR="00D73690" w:rsidRPr="001264A9">
        <w:rPr>
          <w:sz w:val="28"/>
          <w:szCs w:val="28"/>
        </w:rPr>
        <w:t xml:space="preserve">went down visibly </w:t>
      </w:r>
      <w:r w:rsidRPr="001264A9">
        <w:rPr>
          <w:sz w:val="28"/>
          <w:szCs w:val="28"/>
        </w:rPr>
        <w:t xml:space="preserve">by </w:t>
      </w:r>
      <w:r w:rsidR="008A1B5B">
        <w:rPr>
          <w:sz w:val="28"/>
          <w:szCs w:val="28"/>
        </w:rPr>
        <w:t>6</w:t>
      </w:r>
      <w:r w:rsidRPr="001264A9">
        <w:rPr>
          <w:sz w:val="28"/>
          <w:szCs w:val="28"/>
        </w:rPr>
        <w:t xml:space="preserve">% during the second quarter, with prices of </w:t>
      </w:r>
      <w:r w:rsidR="00797A0F" w:rsidRPr="001264A9">
        <w:rPr>
          <w:sz w:val="28"/>
          <w:szCs w:val="28"/>
        </w:rPr>
        <w:t xml:space="preserve">Grade </w:t>
      </w:r>
      <w:r w:rsidRPr="001264A9">
        <w:rPr>
          <w:kern w:val="0"/>
          <w:sz w:val="28"/>
          <w:szCs w:val="28"/>
        </w:rPr>
        <w:t xml:space="preserve">A, B, and C </w:t>
      </w:r>
      <w:r w:rsidRPr="001264A9">
        <w:rPr>
          <w:rFonts w:hint="eastAsia"/>
          <w:kern w:val="0"/>
          <w:sz w:val="28"/>
          <w:szCs w:val="28"/>
        </w:rPr>
        <w:t>office space</w:t>
      </w:r>
      <w:r w:rsidRPr="001264A9">
        <w:rPr>
          <w:kern w:val="0"/>
          <w:sz w:val="28"/>
          <w:szCs w:val="28"/>
        </w:rPr>
        <w:t xml:space="preserve"> </w:t>
      </w:r>
      <w:r w:rsidR="005E64C6">
        <w:rPr>
          <w:kern w:val="0"/>
          <w:sz w:val="28"/>
          <w:szCs w:val="28"/>
        </w:rPr>
        <w:t xml:space="preserve">falling </w:t>
      </w:r>
      <w:r w:rsidRPr="001264A9">
        <w:rPr>
          <w:kern w:val="0"/>
          <w:sz w:val="28"/>
          <w:szCs w:val="28"/>
        </w:rPr>
        <w:t xml:space="preserve">by </w:t>
      </w:r>
      <w:r w:rsidR="008A1B5B">
        <w:rPr>
          <w:kern w:val="0"/>
          <w:sz w:val="28"/>
          <w:szCs w:val="28"/>
        </w:rPr>
        <w:t>5</w:t>
      </w:r>
      <w:r w:rsidRPr="001264A9">
        <w:rPr>
          <w:kern w:val="0"/>
          <w:sz w:val="28"/>
          <w:szCs w:val="28"/>
        </w:rPr>
        <w:t>%,</w:t>
      </w:r>
      <w:r w:rsidR="005A6765">
        <w:rPr>
          <w:kern w:val="0"/>
          <w:sz w:val="28"/>
          <w:szCs w:val="28"/>
        </w:rPr>
        <w:t xml:space="preserve"> </w:t>
      </w:r>
      <w:r w:rsidR="008A1B5B">
        <w:rPr>
          <w:kern w:val="0"/>
          <w:sz w:val="28"/>
          <w:szCs w:val="28"/>
        </w:rPr>
        <w:t>7</w:t>
      </w:r>
      <w:r w:rsidRPr="001264A9">
        <w:rPr>
          <w:kern w:val="0"/>
          <w:sz w:val="28"/>
          <w:szCs w:val="28"/>
        </w:rPr>
        <w:t xml:space="preserve">% and </w:t>
      </w:r>
      <w:r w:rsidR="008A1B5B">
        <w:rPr>
          <w:kern w:val="0"/>
          <w:sz w:val="28"/>
          <w:szCs w:val="28"/>
        </w:rPr>
        <w:t>5</w:t>
      </w:r>
      <w:r w:rsidRPr="001264A9">
        <w:rPr>
          <w:kern w:val="0"/>
          <w:sz w:val="28"/>
          <w:szCs w:val="28"/>
        </w:rPr>
        <w:t>% respectively</w:t>
      </w:r>
      <w:r w:rsidRPr="001264A9">
        <w:rPr>
          <w:sz w:val="28"/>
          <w:szCs w:val="28"/>
        </w:rPr>
        <w:t xml:space="preserve">.  </w:t>
      </w:r>
      <w:r w:rsidR="009E7BF3" w:rsidRPr="001264A9">
        <w:rPr>
          <w:kern w:val="0"/>
          <w:sz w:val="28"/>
        </w:rPr>
        <w:t>Meanwhile, o</w:t>
      </w:r>
      <w:r w:rsidR="00BA33F4" w:rsidRPr="001264A9">
        <w:rPr>
          <w:kern w:val="0"/>
          <w:sz w:val="28"/>
        </w:rPr>
        <w:t xml:space="preserve">verall </w:t>
      </w:r>
      <w:r w:rsidR="00BA33F4" w:rsidRPr="001264A9">
        <w:rPr>
          <w:sz w:val="28"/>
        </w:rPr>
        <w:t xml:space="preserve">office rentals </w:t>
      </w:r>
      <w:r w:rsidR="0021233C" w:rsidRPr="001264A9">
        <w:rPr>
          <w:sz w:val="28"/>
          <w:szCs w:val="28"/>
          <w:lang w:eastAsia="zh-HK"/>
        </w:rPr>
        <w:t>fell</w:t>
      </w:r>
      <w:r w:rsidR="006B2507" w:rsidRPr="001264A9">
        <w:rPr>
          <w:sz w:val="28"/>
          <w:szCs w:val="28"/>
          <w:lang w:eastAsia="zh-HK"/>
        </w:rPr>
        <w:t xml:space="preserve"> by </w:t>
      </w:r>
      <w:r w:rsidR="008A1B5B">
        <w:rPr>
          <w:sz w:val="28"/>
          <w:szCs w:val="28"/>
          <w:lang w:eastAsia="zh-HK"/>
        </w:rPr>
        <w:t>1</w:t>
      </w:r>
      <w:r w:rsidR="006B2507" w:rsidRPr="001264A9">
        <w:rPr>
          <w:sz w:val="28"/>
          <w:szCs w:val="28"/>
          <w:lang w:eastAsia="zh-HK"/>
        </w:rPr>
        <w:t>% between</w:t>
      </w:r>
      <w:r w:rsidR="00BA33F4" w:rsidRPr="001264A9">
        <w:rPr>
          <w:sz w:val="28"/>
          <w:szCs w:val="28"/>
          <w:lang w:eastAsia="zh-HK"/>
        </w:rPr>
        <w:t xml:space="preserve"> </w:t>
      </w:r>
      <w:r w:rsidR="0042426E" w:rsidRPr="001264A9">
        <w:rPr>
          <w:w w:val="105"/>
          <w:sz w:val="28"/>
          <w:szCs w:val="28"/>
        </w:rPr>
        <w:t>March</w:t>
      </w:r>
      <w:r w:rsidR="006B2507" w:rsidRPr="001264A9">
        <w:rPr>
          <w:w w:val="105"/>
          <w:sz w:val="28"/>
          <w:szCs w:val="28"/>
        </w:rPr>
        <w:t xml:space="preserve"> and </w:t>
      </w:r>
      <w:r w:rsidR="0042426E" w:rsidRPr="001264A9">
        <w:rPr>
          <w:w w:val="105"/>
          <w:sz w:val="28"/>
          <w:szCs w:val="28"/>
        </w:rPr>
        <w:t>June</w:t>
      </w:r>
      <w:r w:rsidR="00BA33F4" w:rsidRPr="001264A9">
        <w:rPr>
          <w:sz w:val="28"/>
          <w:szCs w:val="28"/>
          <w:lang w:eastAsia="zh-HK"/>
        </w:rPr>
        <w:t>.</w:t>
      </w:r>
      <w:r w:rsidR="00FB1C5C" w:rsidRPr="001264A9">
        <w:rPr>
          <w:rFonts w:hint="eastAsia"/>
          <w:kern w:val="0"/>
          <w:sz w:val="28"/>
          <w:szCs w:val="28"/>
          <w:lang w:eastAsia="zh-HK"/>
        </w:rPr>
        <w:t xml:space="preserve">  Within the total, rentals of</w:t>
      </w:r>
      <w:r w:rsidR="00FB1C5C" w:rsidRPr="001264A9">
        <w:rPr>
          <w:kern w:val="0"/>
          <w:sz w:val="28"/>
          <w:szCs w:val="28"/>
        </w:rPr>
        <w:t xml:space="preserve"> Grade</w:t>
      </w:r>
      <w:r w:rsidR="00A77444" w:rsidRPr="001264A9">
        <w:rPr>
          <w:kern w:val="0"/>
          <w:sz w:val="28"/>
          <w:szCs w:val="28"/>
        </w:rPr>
        <w:t> </w:t>
      </w:r>
      <w:r w:rsidR="00FB1C5C" w:rsidRPr="001264A9">
        <w:rPr>
          <w:kern w:val="0"/>
          <w:sz w:val="28"/>
          <w:szCs w:val="28"/>
        </w:rPr>
        <w:t>A</w:t>
      </w:r>
      <w:r w:rsidR="00434DE0" w:rsidRPr="001264A9">
        <w:rPr>
          <w:kern w:val="0"/>
          <w:sz w:val="28"/>
          <w:szCs w:val="28"/>
        </w:rPr>
        <w:t>, B, and</w:t>
      </w:r>
      <w:r w:rsidR="000C338B">
        <w:rPr>
          <w:kern w:val="0"/>
          <w:sz w:val="28"/>
          <w:szCs w:val="28"/>
        </w:rPr>
        <w:t> </w:t>
      </w:r>
      <w:r w:rsidR="00434DE0" w:rsidRPr="001264A9">
        <w:rPr>
          <w:kern w:val="0"/>
          <w:sz w:val="28"/>
          <w:szCs w:val="28"/>
        </w:rPr>
        <w:t xml:space="preserve">C </w:t>
      </w:r>
      <w:r w:rsidR="00047D7E" w:rsidRPr="001264A9">
        <w:rPr>
          <w:rFonts w:hint="eastAsia"/>
          <w:kern w:val="0"/>
          <w:sz w:val="28"/>
          <w:szCs w:val="28"/>
        </w:rPr>
        <w:t>office space</w:t>
      </w:r>
      <w:r w:rsidR="00047D7E" w:rsidRPr="001264A9">
        <w:rPr>
          <w:kern w:val="0"/>
          <w:sz w:val="28"/>
          <w:szCs w:val="28"/>
        </w:rPr>
        <w:t xml:space="preserve"> </w:t>
      </w:r>
      <w:r w:rsidR="00E12468" w:rsidRPr="001264A9">
        <w:rPr>
          <w:kern w:val="0"/>
          <w:sz w:val="28"/>
        </w:rPr>
        <w:t>retreated</w:t>
      </w:r>
      <w:r w:rsidR="00E12468" w:rsidRPr="001264A9">
        <w:rPr>
          <w:kern w:val="0"/>
          <w:sz w:val="28"/>
          <w:szCs w:val="28"/>
        </w:rPr>
        <w:t xml:space="preserve"> </w:t>
      </w:r>
      <w:r w:rsidR="00047D7E" w:rsidRPr="001264A9">
        <w:rPr>
          <w:kern w:val="0"/>
          <w:sz w:val="28"/>
          <w:szCs w:val="28"/>
        </w:rPr>
        <w:t xml:space="preserve">by </w:t>
      </w:r>
      <w:r w:rsidR="008A1B5B">
        <w:rPr>
          <w:kern w:val="0"/>
          <w:sz w:val="28"/>
        </w:rPr>
        <w:t>1</w:t>
      </w:r>
      <w:r w:rsidR="00A77444" w:rsidRPr="001264A9">
        <w:rPr>
          <w:kern w:val="0"/>
          <w:sz w:val="28"/>
          <w:szCs w:val="28"/>
        </w:rPr>
        <w:t>%</w:t>
      </w:r>
      <w:r w:rsidR="00434DE0" w:rsidRPr="001264A9">
        <w:rPr>
          <w:kern w:val="0"/>
          <w:sz w:val="28"/>
          <w:szCs w:val="28"/>
        </w:rPr>
        <w:t xml:space="preserve">, </w:t>
      </w:r>
      <w:r w:rsidR="008A1B5B">
        <w:rPr>
          <w:kern w:val="0"/>
          <w:sz w:val="28"/>
          <w:szCs w:val="28"/>
        </w:rPr>
        <w:t>2</w:t>
      </w:r>
      <w:r w:rsidR="00434DE0" w:rsidRPr="001264A9">
        <w:rPr>
          <w:kern w:val="0"/>
          <w:sz w:val="28"/>
          <w:szCs w:val="28"/>
        </w:rPr>
        <w:t xml:space="preserve">% and </w:t>
      </w:r>
      <w:r w:rsidR="008A1B5B">
        <w:rPr>
          <w:kern w:val="0"/>
          <w:sz w:val="28"/>
          <w:szCs w:val="28"/>
        </w:rPr>
        <w:t>1</w:t>
      </w:r>
      <w:r w:rsidR="00434DE0" w:rsidRPr="001264A9">
        <w:rPr>
          <w:kern w:val="0"/>
          <w:sz w:val="28"/>
          <w:szCs w:val="28"/>
        </w:rPr>
        <w:t>% respectively</w:t>
      </w:r>
      <w:r w:rsidR="00FB1C5C" w:rsidRPr="001264A9">
        <w:rPr>
          <w:kern w:val="0"/>
          <w:sz w:val="28"/>
          <w:szCs w:val="28"/>
        </w:rPr>
        <w:t xml:space="preserve">.  Compared with the respective peaks in 2018 and 2019, prices and rentals </w:t>
      </w:r>
      <w:r w:rsidR="00CD245F">
        <w:rPr>
          <w:kern w:val="0"/>
          <w:sz w:val="28"/>
          <w:szCs w:val="28"/>
        </w:rPr>
        <w:t xml:space="preserve">of office space </w:t>
      </w:r>
      <w:r w:rsidR="00FB1C5C" w:rsidRPr="001264A9">
        <w:rPr>
          <w:kern w:val="0"/>
          <w:sz w:val="28"/>
          <w:szCs w:val="28"/>
        </w:rPr>
        <w:t xml:space="preserve">in </w:t>
      </w:r>
      <w:r w:rsidR="001F0CC8">
        <w:rPr>
          <w:kern w:val="0"/>
          <w:sz w:val="28"/>
          <w:szCs w:val="28"/>
        </w:rPr>
        <w:t>June</w:t>
      </w:r>
      <w:r w:rsidR="00FB1C5C" w:rsidRPr="001264A9">
        <w:rPr>
          <w:kern w:val="0"/>
          <w:sz w:val="28"/>
          <w:szCs w:val="28"/>
        </w:rPr>
        <w:t xml:space="preserve"> </w:t>
      </w:r>
      <w:r w:rsidR="00F76417">
        <w:rPr>
          <w:kern w:val="0"/>
          <w:sz w:val="28"/>
          <w:szCs w:val="28"/>
        </w:rPr>
        <w:t xml:space="preserve">2024 </w:t>
      </w:r>
      <w:r w:rsidR="00FB1C5C" w:rsidRPr="001264A9">
        <w:rPr>
          <w:kern w:val="0"/>
          <w:sz w:val="28"/>
          <w:szCs w:val="28"/>
        </w:rPr>
        <w:t xml:space="preserve">on average were </w:t>
      </w:r>
      <w:r w:rsidR="003261C5" w:rsidRPr="001264A9">
        <w:rPr>
          <w:kern w:val="0"/>
          <w:sz w:val="28"/>
          <w:szCs w:val="28"/>
        </w:rPr>
        <w:t>3</w:t>
      </w:r>
      <w:r w:rsidR="008A1B5B">
        <w:rPr>
          <w:kern w:val="0"/>
          <w:sz w:val="28"/>
          <w:szCs w:val="28"/>
        </w:rPr>
        <w:t>5</w:t>
      </w:r>
      <w:r w:rsidR="00FB1C5C" w:rsidRPr="001264A9">
        <w:rPr>
          <w:kern w:val="0"/>
          <w:sz w:val="28"/>
          <w:szCs w:val="28"/>
        </w:rPr>
        <w:t xml:space="preserve">% and </w:t>
      </w:r>
      <w:r w:rsidR="003261C5" w:rsidRPr="001264A9">
        <w:rPr>
          <w:kern w:val="0"/>
          <w:sz w:val="28"/>
          <w:szCs w:val="28"/>
        </w:rPr>
        <w:t>1</w:t>
      </w:r>
      <w:r w:rsidR="008A1B5B">
        <w:rPr>
          <w:kern w:val="0"/>
          <w:sz w:val="28"/>
          <w:szCs w:val="28"/>
        </w:rPr>
        <w:t>7</w:t>
      </w:r>
      <w:r w:rsidR="00FB1C5C" w:rsidRPr="001264A9">
        <w:rPr>
          <w:kern w:val="0"/>
          <w:sz w:val="28"/>
          <w:szCs w:val="28"/>
        </w:rPr>
        <w:t xml:space="preserve">% lower.  </w:t>
      </w:r>
      <w:r w:rsidR="00FB1C5C" w:rsidRPr="001264A9">
        <w:rPr>
          <w:rFonts w:hint="eastAsia"/>
          <w:kern w:val="0"/>
          <w:sz w:val="28"/>
          <w:szCs w:val="28"/>
        </w:rPr>
        <w:t>T</w:t>
      </w:r>
      <w:r w:rsidR="00FB1C5C" w:rsidRPr="001264A9">
        <w:rPr>
          <w:kern w:val="0"/>
          <w:sz w:val="28"/>
          <w:szCs w:val="28"/>
        </w:rPr>
        <w:t>he average rental yield</w:t>
      </w:r>
      <w:r w:rsidR="00FB1C5C" w:rsidRPr="001264A9">
        <w:rPr>
          <w:rFonts w:hint="eastAsia"/>
          <w:kern w:val="0"/>
          <w:sz w:val="28"/>
          <w:szCs w:val="28"/>
        </w:rPr>
        <w:t>s</w:t>
      </w:r>
      <w:r w:rsidR="00FB1C5C" w:rsidRPr="001264A9">
        <w:rPr>
          <w:kern w:val="0"/>
          <w:sz w:val="28"/>
          <w:szCs w:val="28"/>
        </w:rPr>
        <w:t xml:space="preserve"> of Grade A</w:t>
      </w:r>
      <w:r w:rsidR="00FB1C5C" w:rsidRPr="001264A9">
        <w:rPr>
          <w:rFonts w:hint="eastAsia"/>
          <w:kern w:val="0"/>
          <w:sz w:val="28"/>
          <w:szCs w:val="28"/>
        </w:rPr>
        <w:t xml:space="preserve">, </w:t>
      </w:r>
      <w:r w:rsidR="00FB1C5C" w:rsidRPr="001264A9">
        <w:rPr>
          <w:kern w:val="0"/>
          <w:sz w:val="28"/>
          <w:szCs w:val="28"/>
        </w:rPr>
        <w:t xml:space="preserve">B </w:t>
      </w:r>
      <w:r w:rsidR="00FB1C5C" w:rsidRPr="001264A9">
        <w:rPr>
          <w:rFonts w:hint="eastAsia"/>
          <w:kern w:val="0"/>
          <w:sz w:val="28"/>
          <w:szCs w:val="28"/>
        </w:rPr>
        <w:t xml:space="preserve">and C </w:t>
      </w:r>
      <w:r w:rsidR="00FB1C5C" w:rsidRPr="001264A9">
        <w:rPr>
          <w:kern w:val="0"/>
          <w:sz w:val="28"/>
          <w:szCs w:val="28"/>
        </w:rPr>
        <w:t xml:space="preserve">office space </w:t>
      </w:r>
      <w:r w:rsidR="008A1B5B">
        <w:rPr>
          <w:kern w:val="0"/>
          <w:sz w:val="28"/>
          <w:szCs w:val="28"/>
        </w:rPr>
        <w:t xml:space="preserve">rose to </w:t>
      </w:r>
      <w:r w:rsidR="006F33E3">
        <w:rPr>
          <w:kern w:val="0"/>
          <w:sz w:val="28"/>
          <w:szCs w:val="28"/>
        </w:rPr>
        <w:t>3.1</w:t>
      </w:r>
      <w:r w:rsidR="00FB1C5C" w:rsidRPr="001264A9">
        <w:rPr>
          <w:rFonts w:hint="eastAsia"/>
          <w:kern w:val="0"/>
          <w:sz w:val="28"/>
          <w:szCs w:val="28"/>
        </w:rPr>
        <w:t>%,</w:t>
      </w:r>
      <w:r w:rsidR="00844B8A" w:rsidRPr="001264A9">
        <w:rPr>
          <w:kern w:val="0"/>
          <w:sz w:val="28"/>
          <w:szCs w:val="28"/>
        </w:rPr>
        <w:t xml:space="preserve"> </w:t>
      </w:r>
      <w:r w:rsidR="006F33E3">
        <w:rPr>
          <w:kern w:val="0"/>
          <w:sz w:val="28"/>
          <w:szCs w:val="28"/>
        </w:rPr>
        <w:t>3.3</w:t>
      </w:r>
      <w:r w:rsidR="00B07000" w:rsidRPr="001264A9">
        <w:rPr>
          <w:rFonts w:hint="eastAsia"/>
          <w:kern w:val="0"/>
          <w:sz w:val="28"/>
          <w:szCs w:val="28"/>
        </w:rPr>
        <w:t>%</w:t>
      </w:r>
      <w:r w:rsidR="00FB1C5C" w:rsidRPr="001264A9">
        <w:rPr>
          <w:rFonts w:hint="eastAsia"/>
          <w:kern w:val="0"/>
          <w:sz w:val="28"/>
          <w:szCs w:val="28"/>
        </w:rPr>
        <w:t xml:space="preserve"> and </w:t>
      </w:r>
      <w:r w:rsidR="006F33E3">
        <w:rPr>
          <w:kern w:val="0"/>
          <w:sz w:val="28"/>
          <w:szCs w:val="28"/>
        </w:rPr>
        <w:t>3.5</w:t>
      </w:r>
      <w:r w:rsidR="00B07000" w:rsidRPr="001264A9">
        <w:rPr>
          <w:rFonts w:hint="eastAsia"/>
          <w:kern w:val="0"/>
          <w:sz w:val="28"/>
          <w:szCs w:val="28"/>
        </w:rPr>
        <w:t>%</w:t>
      </w:r>
      <w:r w:rsidR="00FB1C5C" w:rsidRPr="001264A9">
        <w:rPr>
          <w:rFonts w:hint="eastAsia"/>
          <w:kern w:val="0"/>
          <w:sz w:val="28"/>
          <w:szCs w:val="28"/>
        </w:rPr>
        <w:t xml:space="preserve"> respectively in </w:t>
      </w:r>
      <w:r w:rsidR="00BD687D" w:rsidRPr="001264A9">
        <w:rPr>
          <w:kern w:val="0"/>
          <w:sz w:val="28"/>
          <w:szCs w:val="28"/>
        </w:rPr>
        <w:t>June</w:t>
      </w:r>
      <w:r w:rsidR="00BD687D" w:rsidRPr="001264A9">
        <w:rPr>
          <w:sz w:val="28"/>
          <w:szCs w:val="28"/>
        </w:rPr>
        <w:t xml:space="preserve">, </w:t>
      </w:r>
      <w:r w:rsidR="00616FFD">
        <w:rPr>
          <w:sz w:val="28"/>
          <w:szCs w:val="28"/>
        </w:rPr>
        <w:t>from</w:t>
      </w:r>
      <w:r w:rsidR="00FB1C5C" w:rsidRPr="001264A9">
        <w:rPr>
          <w:kern w:val="0"/>
          <w:sz w:val="28"/>
          <w:szCs w:val="28"/>
        </w:rPr>
        <w:t xml:space="preserve"> </w:t>
      </w:r>
      <w:r w:rsidR="00BD687D" w:rsidRPr="001264A9">
        <w:rPr>
          <w:kern w:val="0"/>
          <w:sz w:val="28"/>
        </w:rPr>
        <w:t>2.</w:t>
      </w:r>
      <w:r w:rsidR="00BD687D" w:rsidRPr="001264A9">
        <w:rPr>
          <w:kern w:val="0"/>
          <w:sz w:val="28"/>
          <w:szCs w:val="28"/>
        </w:rPr>
        <w:t>9</w:t>
      </w:r>
      <w:r w:rsidR="00BD687D" w:rsidRPr="001264A9">
        <w:rPr>
          <w:rFonts w:hint="eastAsia"/>
          <w:kern w:val="0"/>
          <w:sz w:val="28"/>
          <w:szCs w:val="28"/>
        </w:rPr>
        <w:t>%,</w:t>
      </w:r>
      <w:r w:rsidR="00BD687D" w:rsidRPr="001264A9">
        <w:rPr>
          <w:kern w:val="0"/>
          <w:sz w:val="28"/>
          <w:szCs w:val="28"/>
        </w:rPr>
        <w:t xml:space="preserve"> </w:t>
      </w:r>
      <w:r w:rsidR="00BD687D" w:rsidRPr="001264A9">
        <w:rPr>
          <w:kern w:val="0"/>
          <w:sz w:val="28"/>
        </w:rPr>
        <w:t>3.1</w:t>
      </w:r>
      <w:r w:rsidR="00BD687D" w:rsidRPr="001264A9">
        <w:rPr>
          <w:rFonts w:hint="eastAsia"/>
          <w:kern w:val="0"/>
          <w:sz w:val="28"/>
          <w:szCs w:val="28"/>
        </w:rPr>
        <w:t xml:space="preserve">% and </w:t>
      </w:r>
      <w:r w:rsidR="00BD687D" w:rsidRPr="001264A9">
        <w:rPr>
          <w:kern w:val="0"/>
          <w:sz w:val="28"/>
        </w:rPr>
        <w:t>3</w:t>
      </w:r>
      <w:r w:rsidR="00BD687D" w:rsidRPr="001264A9">
        <w:rPr>
          <w:kern w:val="0"/>
          <w:sz w:val="28"/>
          <w:szCs w:val="28"/>
        </w:rPr>
        <w:t>.4</w:t>
      </w:r>
      <w:r w:rsidR="00BD687D" w:rsidRPr="001264A9">
        <w:rPr>
          <w:rFonts w:hint="eastAsia"/>
          <w:kern w:val="0"/>
          <w:sz w:val="28"/>
          <w:szCs w:val="28"/>
        </w:rPr>
        <w:t>%</w:t>
      </w:r>
      <w:r w:rsidR="00FB1C5C" w:rsidRPr="001264A9">
        <w:rPr>
          <w:rFonts w:hint="eastAsia"/>
          <w:kern w:val="0"/>
          <w:sz w:val="28"/>
          <w:szCs w:val="28"/>
        </w:rPr>
        <w:t xml:space="preserve"> </w:t>
      </w:r>
      <w:r w:rsidR="00756882" w:rsidRPr="001264A9">
        <w:rPr>
          <w:kern w:val="0"/>
          <w:sz w:val="28"/>
          <w:szCs w:val="28"/>
        </w:rPr>
        <w:t xml:space="preserve">in </w:t>
      </w:r>
      <w:r w:rsidR="00BD687D" w:rsidRPr="001264A9">
        <w:rPr>
          <w:kern w:val="0"/>
          <w:sz w:val="28"/>
          <w:szCs w:val="28"/>
        </w:rPr>
        <w:t>March</w:t>
      </w:r>
      <w:r w:rsidR="00FB1C5C" w:rsidRPr="001264A9">
        <w:rPr>
          <w:kern w:val="0"/>
          <w:sz w:val="28"/>
          <w:szCs w:val="28"/>
        </w:rPr>
        <w:t>.</w:t>
      </w:r>
      <w:r w:rsidR="00FB1C5C" w:rsidRPr="001264A9">
        <w:rPr>
          <w:kern w:val="0"/>
          <w:sz w:val="28"/>
          <w:szCs w:val="28"/>
          <w:lang w:eastAsia="zh-HK"/>
        </w:rPr>
        <w:t xml:space="preserve">  </w:t>
      </w:r>
      <w:r w:rsidR="00FB1C5C" w:rsidRPr="001264A9">
        <w:rPr>
          <w:kern w:val="0"/>
          <w:sz w:val="28"/>
          <w:szCs w:val="28"/>
        </w:rPr>
        <w:t xml:space="preserve">Transactions for office space </w:t>
      </w:r>
      <w:r w:rsidR="00773A38" w:rsidRPr="001264A9">
        <w:rPr>
          <w:kern w:val="0"/>
          <w:sz w:val="28"/>
          <w:szCs w:val="28"/>
          <w:lang w:eastAsia="zh-HK"/>
        </w:rPr>
        <w:t>increased</w:t>
      </w:r>
      <w:r w:rsidR="00083588" w:rsidRPr="001264A9">
        <w:rPr>
          <w:kern w:val="0"/>
          <w:sz w:val="28"/>
          <w:szCs w:val="28"/>
        </w:rPr>
        <w:t xml:space="preserve"> by </w:t>
      </w:r>
      <w:r w:rsidR="006F33E3">
        <w:rPr>
          <w:kern w:val="0"/>
          <w:sz w:val="28"/>
          <w:szCs w:val="28"/>
        </w:rPr>
        <w:t>16</w:t>
      </w:r>
      <w:r w:rsidR="00852A1A" w:rsidRPr="001264A9">
        <w:rPr>
          <w:kern w:val="0"/>
          <w:sz w:val="28"/>
          <w:szCs w:val="28"/>
        </w:rPr>
        <w:t>%</w:t>
      </w:r>
      <w:r w:rsidR="00FB1C5C" w:rsidRPr="001264A9">
        <w:rPr>
          <w:kern w:val="0"/>
          <w:sz w:val="28"/>
          <w:szCs w:val="28"/>
        </w:rPr>
        <w:t xml:space="preserve"> </w:t>
      </w:r>
      <w:r w:rsidR="00C61C56">
        <w:rPr>
          <w:kern w:val="0"/>
          <w:sz w:val="28"/>
        </w:rPr>
        <w:t>over</w:t>
      </w:r>
      <w:r w:rsidR="00AE5E49" w:rsidRPr="001264A9">
        <w:rPr>
          <w:kern w:val="0"/>
          <w:sz w:val="28"/>
          <w:szCs w:val="28"/>
          <w:lang w:eastAsia="zh-HK"/>
        </w:rPr>
        <w:t xml:space="preserve"> the preceding quarter to</w:t>
      </w:r>
      <w:r w:rsidR="00FB1C5C" w:rsidRPr="001264A9">
        <w:rPr>
          <w:kern w:val="0"/>
          <w:sz w:val="28"/>
          <w:szCs w:val="28"/>
          <w:lang w:eastAsia="zh-HK"/>
        </w:rPr>
        <w:t xml:space="preserve"> </w:t>
      </w:r>
      <w:r w:rsidR="00812CC8" w:rsidRPr="001264A9">
        <w:rPr>
          <w:kern w:val="0"/>
          <w:sz w:val="28"/>
          <w:szCs w:val="28"/>
          <w:lang w:eastAsia="zh-HK"/>
        </w:rPr>
        <w:t>1</w:t>
      </w:r>
      <w:r w:rsidR="006F33E3">
        <w:rPr>
          <w:kern w:val="0"/>
          <w:sz w:val="28"/>
          <w:szCs w:val="28"/>
          <w:lang w:eastAsia="zh-HK"/>
        </w:rPr>
        <w:t>5</w:t>
      </w:r>
      <w:r w:rsidR="00D73690" w:rsidRPr="001264A9">
        <w:rPr>
          <w:kern w:val="0"/>
          <w:sz w:val="28"/>
          <w:szCs w:val="28"/>
          <w:lang w:eastAsia="zh-HK"/>
        </w:rPr>
        <w:t>0</w:t>
      </w:r>
      <w:r w:rsidR="00756882" w:rsidRPr="001264A9">
        <w:rPr>
          <w:kern w:val="0"/>
          <w:sz w:val="28"/>
          <w:szCs w:val="28"/>
          <w:lang w:eastAsia="zh-HK"/>
        </w:rPr>
        <w:t> </w:t>
      </w:r>
      <w:r w:rsidR="00FB1C5C" w:rsidRPr="001264A9">
        <w:rPr>
          <w:kern w:val="0"/>
          <w:sz w:val="28"/>
          <w:szCs w:val="28"/>
          <w:lang w:eastAsia="zh-HK"/>
        </w:rPr>
        <w:t xml:space="preserve">cases in </w:t>
      </w:r>
      <w:r w:rsidR="00AE5E49" w:rsidRPr="001264A9">
        <w:rPr>
          <w:kern w:val="0"/>
          <w:sz w:val="28"/>
          <w:szCs w:val="28"/>
          <w:lang w:eastAsia="zh-HK"/>
        </w:rPr>
        <w:t xml:space="preserve">the </w:t>
      </w:r>
      <w:r w:rsidR="00812CC8" w:rsidRPr="001264A9">
        <w:rPr>
          <w:kern w:val="0"/>
          <w:sz w:val="28"/>
          <w:szCs w:val="28"/>
          <w:lang w:eastAsia="zh-HK"/>
        </w:rPr>
        <w:t>second</w:t>
      </w:r>
      <w:r w:rsidR="00AE5E49" w:rsidRPr="001264A9">
        <w:rPr>
          <w:kern w:val="0"/>
          <w:sz w:val="28"/>
          <w:szCs w:val="28"/>
          <w:lang w:eastAsia="zh-HK"/>
        </w:rPr>
        <w:t xml:space="preserve"> quarter</w:t>
      </w:r>
      <w:r w:rsidR="000001A6" w:rsidRPr="001264A9">
        <w:rPr>
          <w:kern w:val="0"/>
          <w:sz w:val="28"/>
          <w:szCs w:val="28"/>
        </w:rPr>
        <w:t xml:space="preserve">, </w:t>
      </w:r>
      <w:r w:rsidR="00812CC8" w:rsidRPr="001264A9">
        <w:rPr>
          <w:kern w:val="0"/>
          <w:sz w:val="28"/>
          <w:szCs w:val="28"/>
        </w:rPr>
        <w:t xml:space="preserve">but </w:t>
      </w:r>
      <w:r w:rsidR="00236703">
        <w:rPr>
          <w:kern w:val="0"/>
          <w:sz w:val="28"/>
          <w:szCs w:val="28"/>
        </w:rPr>
        <w:t xml:space="preserve">were </w:t>
      </w:r>
      <w:r w:rsidR="00812CC8" w:rsidRPr="001264A9">
        <w:rPr>
          <w:kern w:val="0"/>
          <w:sz w:val="28"/>
          <w:szCs w:val="28"/>
        </w:rPr>
        <w:t xml:space="preserve">still </w:t>
      </w:r>
      <w:r w:rsidR="006F33E3">
        <w:rPr>
          <w:kern w:val="0"/>
          <w:sz w:val="28"/>
          <w:szCs w:val="28"/>
        </w:rPr>
        <w:t>20</w:t>
      </w:r>
      <w:r w:rsidR="00812CC8" w:rsidRPr="001264A9">
        <w:rPr>
          <w:kern w:val="0"/>
          <w:sz w:val="28"/>
          <w:szCs w:val="28"/>
        </w:rPr>
        <w:t xml:space="preserve">% lower than the level a year earlier and </w:t>
      </w:r>
      <w:r w:rsidR="00C23009">
        <w:rPr>
          <w:kern w:val="0"/>
          <w:sz w:val="28"/>
          <w:szCs w:val="28"/>
        </w:rPr>
        <w:t xml:space="preserve">visibly </w:t>
      </w:r>
      <w:r w:rsidR="000001A6" w:rsidRPr="001264A9">
        <w:rPr>
          <w:kern w:val="0"/>
          <w:sz w:val="28"/>
        </w:rPr>
        <w:t>below</w:t>
      </w:r>
      <w:r w:rsidR="000001A6" w:rsidRPr="001264A9">
        <w:rPr>
          <w:kern w:val="0"/>
          <w:sz w:val="28"/>
          <w:szCs w:val="28"/>
        </w:rPr>
        <w:t xml:space="preserve"> the quarterly average of </w:t>
      </w:r>
      <w:r w:rsidR="00221C5A" w:rsidRPr="001264A9">
        <w:rPr>
          <w:kern w:val="0"/>
          <w:sz w:val="28"/>
        </w:rPr>
        <w:t>200</w:t>
      </w:r>
      <w:r w:rsidR="00221C5A" w:rsidRPr="001264A9">
        <w:rPr>
          <w:kern w:val="0"/>
          <w:sz w:val="28"/>
          <w:szCs w:val="28"/>
        </w:rPr>
        <w:t> </w:t>
      </w:r>
      <w:r w:rsidR="000001A6" w:rsidRPr="001264A9">
        <w:rPr>
          <w:kern w:val="0"/>
          <w:sz w:val="28"/>
          <w:szCs w:val="28"/>
        </w:rPr>
        <w:t>cases</w:t>
      </w:r>
      <w:r w:rsidR="00D73690" w:rsidRPr="001264A9">
        <w:rPr>
          <w:kern w:val="0"/>
          <w:sz w:val="28"/>
          <w:szCs w:val="28"/>
        </w:rPr>
        <w:t xml:space="preserve"> </w:t>
      </w:r>
      <w:r w:rsidR="000001A6" w:rsidRPr="001264A9">
        <w:rPr>
          <w:kern w:val="0"/>
          <w:sz w:val="28"/>
          <w:szCs w:val="28"/>
        </w:rPr>
        <w:t>in 2019</w:t>
      </w:r>
      <w:r w:rsidR="000001A6" w:rsidRPr="001264A9">
        <w:rPr>
          <w:kern w:val="0"/>
          <w:sz w:val="28"/>
          <w:szCs w:val="28"/>
        </w:rPr>
        <w:noBreakHyphen/>
        <w:t>2023</w:t>
      </w:r>
      <w:r w:rsidR="00FB1C5C" w:rsidRPr="001264A9">
        <w:rPr>
          <w:kern w:val="0"/>
          <w:sz w:val="28"/>
          <w:szCs w:val="28"/>
          <w:lang w:eastAsia="zh-HK"/>
        </w:rPr>
        <w:t xml:space="preserve">.  </w:t>
      </w:r>
    </w:p>
    <w:p w14:paraId="0AC403AD" w14:textId="1F162E92" w:rsidR="00FE4A07" w:rsidRPr="004B2860" w:rsidRDefault="00FE4A07">
      <w:pPr>
        <w:widowControl/>
        <w:rPr>
          <w:color w:val="000000"/>
          <w:sz w:val="28"/>
          <w:szCs w:val="28"/>
          <w:highlight w:val="yellow"/>
          <w:shd w:val="pct15" w:color="auto" w:fill="FFFFFF"/>
        </w:rPr>
      </w:pPr>
    </w:p>
    <w:p w14:paraId="35E09592" w14:textId="364C33BB" w:rsidR="00FB1C5C" w:rsidRPr="001264A9" w:rsidRDefault="00FB1C5C" w:rsidP="006E1E35">
      <w:pPr>
        <w:numPr>
          <w:ilvl w:val="1"/>
          <w:numId w:val="3"/>
        </w:numPr>
        <w:tabs>
          <w:tab w:val="left" w:pos="1080"/>
        </w:tabs>
        <w:spacing w:line="360" w:lineRule="atLeast"/>
        <w:jc w:val="both"/>
        <w:rPr>
          <w:color w:val="000000"/>
          <w:sz w:val="28"/>
          <w:szCs w:val="28"/>
        </w:rPr>
      </w:pPr>
      <w:r w:rsidRPr="000F077E">
        <w:rPr>
          <w:kern w:val="0"/>
          <w:sz w:val="28"/>
          <w:szCs w:val="28"/>
        </w:rPr>
        <w:t xml:space="preserve">Prices </w:t>
      </w:r>
      <w:r w:rsidRPr="001264A9">
        <w:rPr>
          <w:kern w:val="0"/>
          <w:sz w:val="28"/>
          <w:szCs w:val="28"/>
        </w:rPr>
        <w:t xml:space="preserve">of </w:t>
      </w:r>
      <w:r w:rsidRPr="001264A9">
        <w:rPr>
          <w:i/>
          <w:kern w:val="0"/>
          <w:sz w:val="28"/>
          <w:szCs w:val="28"/>
        </w:rPr>
        <w:t>retail shop space</w:t>
      </w:r>
      <w:r w:rsidRPr="001264A9">
        <w:rPr>
          <w:kern w:val="0"/>
          <w:sz w:val="28"/>
          <w:szCs w:val="28"/>
        </w:rPr>
        <w:t xml:space="preserve"> </w:t>
      </w:r>
      <w:r w:rsidR="00CD1828">
        <w:rPr>
          <w:kern w:val="0"/>
          <w:sz w:val="28"/>
          <w:szCs w:val="28"/>
        </w:rPr>
        <w:t xml:space="preserve">declined by </w:t>
      </w:r>
      <w:r w:rsidR="006F33E3">
        <w:rPr>
          <w:kern w:val="0"/>
          <w:sz w:val="28"/>
          <w:szCs w:val="28"/>
        </w:rPr>
        <w:t>a visible</w:t>
      </w:r>
      <w:r w:rsidR="006F33E3" w:rsidRPr="001264A9" w:rsidDel="006F33E3">
        <w:rPr>
          <w:kern w:val="0"/>
          <w:sz w:val="28"/>
          <w:szCs w:val="28"/>
        </w:rPr>
        <w:t xml:space="preserve"> </w:t>
      </w:r>
      <w:r w:rsidR="006F33E3">
        <w:rPr>
          <w:kern w:val="0"/>
          <w:sz w:val="28"/>
          <w:szCs w:val="28"/>
        </w:rPr>
        <w:t>6</w:t>
      </w:r>
      <w:r w:rsidRPr="001264A9">
        <w:rPr>
          <w:kern w:val="0"/>
          <w:sz w:val="28"/>
          <w:szCs w:val="28"/>
        </w:rPr>
        <w:t>%</w:t>
      </w:r>
      <w:r w:rsidR="00CD1828">
        <w:rPr>
          <w:kern w:val="0"/>
          <w:sz w:val="28"/>
          <w:szCs w:val="28"/>
        </w:rPr>
        <w:t xml:space="preserve"> </w:t>
      </w:r>
      <w:r w:rsidR="00CD1828" w:rsidRPr="001264A9">
        <w:rPr>
          <w:kern w:val="0"/>
          <w:sz w:val="28"/>
          <w:szCs w:val="28"/>
        </w:rPr>
        <w:t>during the second quarter</w:t>
      </w:r>
      <w:r w:rsidR="00CD1828">
        <w:rPr>
          <w:kern w:val="0"/>
          <w:sz w:val="28"/>
          <w:szCs w:val="28"/>
        </w:rPr>
        <w:t xml:space="preserve">, while rentals </w:t>
      </w:r>
      <w:r w:rsidR="007866D1" w:rsidRPr="001264A9">
        <w:rPr>
          <w:kern w:val="0"/>
          <w:sz w:val="28"/>
        </w:rPr>
        <w:t>went down</w:t>
      </w:r>
      <w:r w:rsidR="009868C4" w:rsidRPr="001264A9">
        <w:rPr>
          <w:kern w:val="0"/>
          <w:sz w:val="28"/>
          <w:szCs w:val="28"/>
        </w:rPr>
        <w:t xml:space="preserve"> </w:t>
      </w:r>
      <w:r w:rsidRPr="001264A9">
        <w:rPr>
          <w:kern w:val="0"/>
          <w:sz w:val="28"/>
          <w:szCs w:val="28"/>
        </w:rPr>
        <w:t xml:space="preserve">by </w:t>
      </w:r>
      <w:r w:rsidR="00D73690" w:rsidRPr="001264A9">
        <w:rPr>
          <w:kern w:val="0"/>
          <w:sz w:val="28"/>
          <w:szCs w:val="28"/>
        </w:rPr>
        <w:t>1</w:t>
      </w:r>
      <w:r w:rsidR="00A00744" w:rsidRPr="001264A9">
        <w:rPr>
          <w:kern w:val="0"/>
          <w:sz w:val="28"/>
          <w:szCs w:val="28"/>
        </w:rPr>
        <w:t>%</w:t>
      </w:r>
      <w:r w:rsidRPr="001264A9">
        <w:rPr>
          <w:kern w:val="0"/>
          <w:sz w:val="28"/>
          <w:szCs w:val="28"/>
        </w:rPr>
        <w:t xml:space="preserve">.  Compared with the respective peaks in 2018 and 2019, prices and rentals in </w:t>
      </w:r>
      <w:r w:rsidR="00A00744" w:rsidRPr="001264A9">
        <w:rPr>
          <w:kern w:val="0"/>
          <w:sz w:val="28"/>
          <w:szCs w:val="28"/>
        </w:rPr>
        <w:t>June</w:t>
      </w:r>
      <w:r w:rsidRPr="001264A9">
        <w:rPr>
          <w:kern w:val="0"/>
          <w:sz w:val="28"/>
          <w:szCs w:val="28"/>
        </w:rPr>
        <w:t xml:space="preserve"> 202</w:t>
      </w:r>
      <w:r w:rsidR="005026D7" w:rsidRPr="001264A9">
        <w:rPr>
          <w:kern w:val="0"/>
          <w:sz w:val="28"/>
          <w:szCs w:val="28"/>
        </w:rPr>
        <w:t>4</w:t>
      </w:r>
      <w:r w:rsidRPr="001264A9">
        <w:rPr>
          <w:kern w:val="0"/>
          <w:sz w:val="28"/>
          <w:szCs w:val="28"/>
        </w:rPr>
        <w:t xml:space="preserve"> were </w:t>
      </w:r>
      <w:r w:rsidR="00A00744" w:rsidRPr="001264A9">
        <w:rPr>
          <w:kern w:val="0"/>
          <w:sz w:val="28"/>
          <w:szCs w:val="28"/>
        </w:rPr>
        <w:t>2</w:t>
      </w:r>
      <w:r w:rsidR="006F33E3">
        <w:rPr>
          <w:kern w:val="0"/>
          <w:sz w:val="28"/>
          <w:szCs w:val="28"/>
        </w:rPr>
        <w:t>9</w:t>
      </w:r>
      <w:r w:rsidRPr="001264A9">
        <w:rPr>
          <w:kern w:val="0"/>
          <w:sz w:val="28"/>
          <w:szCs w:val="28"/>
        </w:rPr>
        <w:t xml:space="preserve">% and </w:t>
      </w:r>
      <w:r w:rsidR="00AB5DCA" w:rsidRPr="001264A9">
        <w:rPr>
          <w:kern w:val="0"/>
          <w:sz w:val="28"/>
          <w:szCs w:val="28"/>
        </w:rPr>
        <w:t>1</w:t>
      </w:r>
      <w:r w:rsidR="00A7159E" w:rsidRPr="001264A9">
        <w:rPr>
          <w:kern w:val="0"/>
          <w:sz w:val="28"/>
          <w:szCs w:val="28"/>
        </w:rPr>
        <w:t>4</w:t>
      </w:r>
      <w:r w:rsidRPr="001264A9">
        <w:rPr>
          <w:kern w:val="0"/>
          <w:sz w:val="28"/>
          <w:szCs w:val="28"/>
        </w:rPr>
        <w:t xml:space="preserve">% lower.  The average rental yield </w:t>
      </w:r>
      <w:r w:rsidR="003C0E34">
        <w:rPr>
          <w:kern w:val="0"/>
          <w:sz w:val="28"/>
          <w:szCs w:val="28"/>
        </w:rPr>
        <w:t>rose</w:t>
      </w:r>
      <w:r w:rsidRPr="001264A9">
        <w:rPr>
          <w:kern w:val="0"/>
          <w:sz w:val="28"/>
          <w:szCs w:val="28"/>
        </w:rPr>
        <w:t xml:space="preserve"> </w:t>
      </w:r>
      <w:r w:rsidRPr="001264A9">
        <w:rPr>
          <w:kern w:val="0"/>
          <w:sz w:val="28"/>
        </w:rPr>
        <w:t>from</w:t>
      </w:r>
      <w:r w:rsidRPr="001264A9">
        <w:rPr>
          <w:kern w:val="0"/>
          <w:sz w:val="28"/>
          <w:szCs w:val="28"/>
        </w:rPr>
        <w:t xml:space="preserve"> </w:t>
      </w:r>
      <w:r w:rsidR="00F94298" w:rsidRPr="001264A9">
        <w:rPr>
          <w:kern w:val="0"/>
          <w:sz w:val="28"/>
        </w:rPr>
        <w:t>2.</w:t>
      </w:r>
      <w:r w:rsidR="000F077E" w:rsidRPr="001264A9">
        <w:rPr>
          <w:kern w:val="0"/>
          <w:sz w:val="28"/>
        </w:rPr>
        <w:t>8</w:t>
      </w:r>
      <w:r w:rsidR="007F5CAE" w:rsidRPr="001264A9">
        <w:rPr>
          <w:kern w:val="0"/>
          <w:sz w:val="28"/>
          <w:szCs w:val="28"/>
        </w:rPr>
        <w:t>%</w:t>
      </w:r>
      <w:r w:rsidR="00F94298" w:rsidRPr="001264A9">
        <w:rPr>
          <w:kern w:val="0"/>
          <w:sz w:val="28"/>
          <w:szCs w:val="28"/>
        </w:rPr>
        <w:t xml:space="preserve"> in </w:t>
      </w:r>
      <w:r w:rsidR="00A00744" w:rsidRPr="001264A9">
        <w:rPr>
          <w:kern w:val="0"/>
          <w:sz w:val="28"/>
          <w:szCs w:val="28"/>
        </w:rPr>
        <w:t>March</w:t>
      </w:r>
      <w:r w:rsidRPr="001264A9">
        <w:rPr>
          <w:kern w:val="0"/>
          <w:sz w:val="28"/>
          <w:szCs w:val="28"/>
        </w:rPr>
        <w:t xml:space="preserve"> to </w:t>
      </w:r>
      <w:r w:rsidR="00AF4037">
        <w:rPr>
          <w:kern w:val="0"/>
          <w:sz w:val="28"/>
          <w:szCs w:val="28"/>
        </w:rPr>
        <w:t>3.0</w:t>
      </w:r>
      <w:r w:rsidRPr="001264A9">
        <w:rPr>
          <w:kern w:val="0"/>
          <w:sz w:val="28"/>
          <w:szCs w:val="28"/>
        </w:rPr>
        <w:t>%</w:t>
      </w:r>
      <w:r w:rsidR="007F5CAE" w:rsidRPr="001264A9">
        <w:rPr>
          <w:kern w:val="0"/>
          <w:sz w:val="28"/>
          <w:szCs w:val="28"/>
        </w:rPr>
        <w:t xml:space="preserve"> in </w:t>
      </w:r>
      <w:r w:rsidR="00A00744" w:rsidRPr="001264A9">
        <w:rPr>
          <w:kern w:val="0"/>
          <w:sz w:val="28"/>
          <w:szCs w:val="28"/>
        </w:rPr>
        <w:t>June</w:t>
      </w:r>
      <w:r w:rsidRPr="001264A9">
        <w:rPr>
          <w:kern w:val="0"/>
          <w:sz w:val="28"/>
          <w:szCs w:val="28"/>
        </w:rPr>
        <w:t>.</w:t>
      </w:r>
      <w:r w:rsidRPr="001264A9">
        <w:rPr>
          <w:color w:val="000000"/>
          <w:sz w:val="28"/>
          <w:szCs w:val="28"/>
        </w:rPr>
        <w:t xml:space="preserve">  For commercial spaces,</w:t>
      </w:r>
      <w:r w:rsidRPr="001264A9">
        <w:rPr>
          <w:kern w:val="0"/>
          <w:sz w:val="28"/>
          <w:szCs w:val="28"/>
        </w:rPr>
        <w:t xml:space="preserve"> transactions </w:t>
      </w:r>
      <w:r w:rsidR="00BD687D" w:rsidRPr="001264A9">
        <w:rPr>
          <w:kern w:val="0"/>
          <w:sz w:val="28"/>
        </w:rPr>
        <w:t>rebounded</w:t>
      </w:r>
      <w:r w:rsidRPr="001264A9">
        <w:rPr>
          <w:kern w:val="0"/>
          <w:sz w:val="28"/>
          <w:szCs w:val="28"/>
          <w:lang w:eastAsia="zh-HK"/>
        </w:rPr>
        <w:t xml:space="preserve"> </w:t>
      </w:r>
      <w:r w:rsidRPr="001264A9">
        <w:rPr>
          <w:kern w:val="0"/>
          <w:sz w:val="28"/>
          <w:szCs w:val="28"/>
        </w:rPr>
        <w:t xml:space="preserve">by </w:t>
      </w:r>
      <w:r w:rsidR="00F60DD1" w:rsidRPr="001264A9">
        <w:rPr>
          <w:kern w:val="0"/>
          <w:sz w:val="28"/>
          <w:szCs w:val="28"/>
        </w:rPr>
        <w:t>72</w:t>
      </w:r>
      <w:r w:rsidRPr="001264A9">
        <w:rPr>
          <w:kern w:val="0"/>
          <w:sz w:val="28"/>
          <w:szCs w:val="28"/>
        </w:rPr>
        <w:t xml:space="preserve">% </w:t>
      </w:r>
      <w:r w:rsidR="00773A38" w:rsidRPr="001264A9">
        <w:rPr>
          <w:sz w:val="28"/>
          <w:szCs w:val="28"/>
          <w:lang w:eastAsia="zh-HK"/>
        </w:rPr>
        <w:t>over the low level</w:t>
      </w:r>
      <w:r w:rsidR="00773A38" w:rsidRPr="001264A9">
        <w:rPr>
          <w:kern w:val="0"/>
          <w:sz w:val="28"/>
          <w:szCs w:val="28"/>
        </w:rPr>
        <w:t xml:space="preserve"> in </w:t>
      </w:r>
      <w:r w:rsidR="00047D6D" w:rsidRPr="001264A9">
        <w:rPr>
          <w:kern w:val="0"/>
          <w:sz w:val="28"/>
          <w:szCs w:val="28"/>
        </w:rPr>
        <w:t xml:space="preserve">the preceding quarter </w:t>
      </w:r>
      <w:r w:rsidR="00725A3A" w:rsidRPr="001264A9">
        <w:rPr>
          <w:kern w:val="0"/>
          <w:sz w:val="28"/>
          <w:szCs w:val="28"/>
        </w:rPr>
        <w:t xml:space="preserve">or by </w:t>
      </w:r>
      <w:r w:rsidR="00AF4037">
        <w:rPr>
          <w:kern w:val="0"/>
          <w:sz w:val="28"/>
          <w:szCs w:val="28"/>
        </w:rPr>
        <w:t>20</w:t>
      </w:r>
      <w:r w:rsidR="00725A3A" w:rsidRPr="001264A9">
        <w:rPr>
          <w:kern w:val="0"/>
          <w:sz w:val="28"/>
          <w:szCs w:val="28"/>
        </w:rPr>
        <w:t xml:space="preserve">% </w:t>
      </w:r>
      <w:r w:rsidR="00D00379">
        <w:rPr>
          <w:kern w:val="0"/>
          <w:sz w:val="28"/>
          <w:szCs w:val="28"/>
        </w:rPr>
        <w:t>over</w:t>
      </w:r>
      <w:r w:rsidR="00725A3A" w:rsidRPr="001264A9">
        <w:rPr>
          <w:kern w:val="0"/>
          <w:sz w:val="28"/>
          <w:szCs w:val="28"/>
        </w:rPr>
        <w:t xml:space="preserve"> a year earlier </w:t>
      </w:r>
      <w:r w:rsidR="00047D6D" w:rsidRPr="001264A9">
        <w:rPr>
          <w:kern w:val="0"/>
          <w:sz w:val="28"/>
          <w:szCs w:val="28"/>
        </w:rPr>
        <w:t>to</w:t>
      </w:r>
      <w:r w:rsidR="00EE1F26" w:rsidRPr="001264A9">
        <w:rPr>
          <w:kern w:val="0"/>
          <w:sz w:val="28"/>
          <w:szCs w:val="28"/>
        </w:rPr>
        <w:t xml:space="preserve"> </w:t>
      </w:r>
      <w:r w:rsidR="000F077E" w:rsidRPr="001264A9">
        <w:rPr>
          <w:kern w:val="0"/>
          <w:sz w:val="28"/>
        </w:rPr>
        <w:t>3</w:t>
      </w:r>
      <w:r w:rsidR="00F60DD1" w:rsidRPr="001264A9">
        <w:rPr>
          <w:kern w:val="0"/>
          <w:sz w:val="28"/>
        </w:rPr>
        <w:t>4</w:t>
      </w:r>
      <w:r w:rsidR="00D73690" w:rsidRPr="001264A9">
        <w:rPr>
          <w:kern w:val="0"/>
          <w:sz w:val="28"/>
        </w:rPr>
        <w:t>0</w:t>
      </w:r>
      <w:r w:rsidR="008851F2" w:rsidRPr="001264A9">
        <w:rPr>
          <w:kern w:val="0"/>
          <w:sz w:val="28"/>
          <w:szCs w:val="28"/>
          <w:lang w:val="en-US"/>
        </w:rPr>
        <w:t> </w:t>
      </w:r>
      <w:r w:rsidRPr="001264A9">
        <w:rPr>
          <w:rFonts w:hint="eastAsia"/>
          <w:kern w:val="0"/>
          <w:sz w:val="28"/>
          <w:szCs w:val="28"/>
        </w:rPr>
        <w:t>cases</w:t>
      </w:r>
      <w:r w:rsidRPr="001264A9">
        <w:rPr>
          <w:kern w:val="0"/>
          <w:sz w:val="28"/>
          <w:szCs w:val="28"/>
          <w:vertAlign w:val="superscript"/>
        </w:rPr>
        <w:t>(</w:t>
      </w:r>
      <w:r w:rsidR="00236703">
        <w:rPr>
          <w:kern w:val="0"/>
          <w:sz w:val="28"/>
          <w:szCs w:val="28"/>
          <w:vertAlign w:val="superscript"/>
        </w:rPr>
        <w:t>2</w:t>
      </w:r>
      <w:r w:rsidRPr="001264A9">
        <w:rPr>
          <w:kern w:val="0"/>
          <w:sz w:val="28"/>
          <w:szCs w:val="28"/>
          <w:vertAlign w:val="superscript"/>
        </w:rPr>
        <w:t>)</w:t>
      </w:r>
      <w:r w:rsidRPr="001264A9">
        <w:rPr>
          <w:rFonts w:hint="eastAsia"/>
          <w:kern w:val="0"/>
          <w:sz w:val="28"/>
          <w:szCs w:val="28"/>
        </w:rPr>
        <w:t xml:space="preserve"> in </w:t>
      </w:r>
      <w:r w:rsidR="00EF2994" w:rsidRPr="001264A9">
        <w:rPr>
          <w:kern w:val="0"/>
          <w:sz w:val="28"/>
          <w:szCs w:val="28"/>
        </w:rPr>
        <w:t xml:space="preserve">the </w:t>
      </w:r>
      <w:r w:rsidR="000F077E" w:rsidRPr="001264A9">
        <w:rPr>
          <w:kern w:val="0"/>
          <w:sz w:val="28"/>
          <w:szCs w:val="28"/>
        </w:rPr>
        <w:t>second</w:t>
      </w:r>
      <w:r w:rsidR="00EF2994" w:rsidRPr="001264A9">
        <w:rPr>
          <w:kern w:val="0"/>
          <w:sz w:val="28"/>
          <w:szCs w:val="28"/>
        </w:rPr>
        <w:t xml:space="preserve"> quarter</w:t>
      </w:r>
      <w:r w:rsidR="00650399" w:rsidRPr="001264A9">
        <w:rPr>
          <w:kern w:val="0"/>
          <w:sz w:val="28"/>
          <w:szCs w:val="28"/>
        </w:rPr>
        <w:t xml:space="preserve">, </w:t>
      </w:r>
      <w:r w:rsidR="00FB3ED0" w:rsidRPr="001264A9">
        <w:rPr>
          <w:kern w:val="0"/>
          <w:sz w:val="28"/>
          <w:szCs w:val="28"/>
        </w:rPr>
        <w:t xml:space="preserve">though </w:t>
      </w:r>
      <w:r w:rsidR="00236703">
        <w:rPr>
          <w:kern w:val="0"/>
          <w:sz w:val="28"/>
          <w:szCs w:val="28"/>
        </w:rPr>
        <w:t xml:space="preserve">they were </w:t>
      </w:r>
      <w:r w:rsidR="00FB3ED0" w:rsidRPr="001264A9">
        <w:rPr>
          <w:kern w:val="0"/>
          <w:sz w:val="28"/>
          <w:szCs w:val="28"/>
        </w:rPr>
        <w:t xml:space="preserve">still </w:t>
      </w:r>
      <w:r w:rsidR="00D37782" w:rsidRPr="001264A9">
        <w:rPr>
          <w:kern w:val="0"/>
          <w:sz w:val="28"/>
          <w:szCs w:val="28"/>
        </w:rPr>
        <w:t xml:space="preserve">somewhat </w:t>
      </w:r>
      <w:r w:rsidR="00650399" w:rsidRPr="001264A9">
        <w:rPr>
          <w:kern w:val="0"/>
          <w:sz w:val="28"/>
          <w:szCs w:val="28"/>
        </w:rPr>
        <w:t xml:space="preserve">below the quarterly average of </w:t>
      </w:r>
      <w:r w:rsidR="00221C5A" w:rsidRPr="001264A9">
        <w:rPr>
          <w:kern w:val="0"/>
          <w:sz w:val="28"/>
        </w:rPr>
        <w:t>360</w:t>
      </w:r>
      <w:r w:rsidR="00221C5A" w:rsidRPr="001264A9">
        <w:rPr>
          <w:kern w:val="0"/>
          <w:sz w:val="28"/>
          <w:szCs w:val="28"/>
        </w:rPr>
        <w:t> </w:t>
      </w:r>
      <w:r w:rsidR="00650399" w:rsidRPr="001264A9">
        <w:rPr>
          <w:kern w:val="0"/>
          <w:sz w:val="28"/>
          <w:szCs w:val="28"/>
        </w:rPr>
        <w:t>cases in 2019</w:t>
      </w:r>
      <w:r w:rsidR="00650399" w:rsidRPr="001264A9">
        <w:rPr>
          <w:kern w:val="0"/>
          <w:sz w:val="28"/>
          <w:szCs w:val="28"/>
        </w:rPr>
        <w:noBreakHyphen/>
        <w:t>2023</w:t>
      </w:r>
      <w:r w:rsidRPr="001264A9">
        <w:rPr>
          <w:kern w:val="0"/>
          <w:sz w:val="28"/>
          <w:szCs w:val="28"/>
        </w:rPr>
        <w:t xml:space="preserve">.  </w:t>
      </w:r>
    </w:p>
    <w:p w14:paraId="03D6D48A" w14:textId="6D607996" w:rsidR="00E45C12" w:rsidRPr="00FB3ED0" w:rsidRDefault="00E45C12" w:rsidP="009116E5">
      <w:pPr>
        <w:widowControl/>
        <w:rPr>
          <w:color w:val="000000"/>
          <w:sz w:val="28"/>
        </w:rPr>
      </w:pPr>
    </w:p>
    <w:p w14:paraId="63A46515" w14:textId="2F99BC6B" w:rsidR="00FB1C5C" w:rsidRPr="001264A9" w:rsidRDefault="00FB1C5C" w:rsidP="002228BA">
      <w:pPr>
        <w:numPr>
          <w:ilvl w:val="1"/>
          <w:numId w:val="3"/>
        </w:numPr>
        <w:tabs>
          <w:tab w:val="left" w:pos="1080"/>
        </w:tabs>
        <w:spacing w:line="360" w:lineRule="atLeast"/>
        <w:jc w:val="both"/>
        <w:rPr>
          <w:color w:val="000000"/>
          <w:sz w:val="28"/>
          <w:szCs w:val="28"/>
        </w:rPr>
      </w:pPr>
      <w:r w:rsidRPr="009246CD">
        <w:rPr>
          <w:rFonts w:hint="eastAsia"/>
          <w:kern w:val="0"/>
          <w:sz w:val="28"/>
          <w:szCs w:val="28"/>
          <w:lang w:eastAsia="zh-HK"/>
        </w:rPr>
        <w:t>P</w:t>
      </w:r>
      <w:r w:rsidRPr="009246CD">
        <w:rPr>
          <w:kern w:val="0"/>
          <w:sz w:val="28"/>
          <w:szCs w:val="28"/>
        </w:rPr>
        <w:t xml:space="preserve">rices </w:t>
      </w:r>
      <w:r w:rsidR="00CE5C7B" w:rsidRPr="000F077E">
        <w:rPr>
          <w:kern w:val="0"/>
          <w:sz w:val="28"/>
          <w:szCs w:val="28"/>
        </w:rPr>
        <w:t xml:space="preserve">and rentals </w:t>
      </w:r>
      <w:r w:rsidRPr="009246CD">
        <w:rPr>
          <w:kern w:val="0"/>
          <w:sz w:val="28"/>
          <w:szCs w:val="28"/>
        </w:rPr>
        <w:t xml:space="preserve">of </w:t>
      </w:r>
      <w:r w:rsidRPr="009246CD">
        <w:rPr>
          <w:i/>
          <w:kern w:val="0"/>
          <w:sz w:val="28"/>
          <w:szCs w:val="28"/>
        </w:rPr>
        <w:t xml:space="preserve">flatted </w:t>
      </w:r>
      <w:r w:rsidRPr="001264A9">
        <w:rPr>
          <w:i/>
          <w:kern w:val="0"/>
          <w:sz w:val="28"/>
          <w:szCs w:val="28"/>
        </w:rPr>
        <w:t>factory space</w:t>
      </w:r>
      <w:r w:rsidRPr="001264A9">
        <w:rPr>
          <w:kern w:val="0"/>
          <w:sz w:val="28"/>
          <w:szCs w:val="28"/>
        </w:rPr>
        <w:t xml:space="preserve"> </w:t>
      </w:r>
      <w:r w:rsidR="00CE5C7B" w:rsidRPr="001264A9">
        <w:rPr>
          <w:kern w:val="0"/>
          <w:sz w:val="28"/>
        </w:rPr>
        <w:t>fell</w:t>
      </w:r>
      <w:r w:rsidR="00CE5C7B" w:rsidRPr="001264A9">
        <w:rPr>
          <w:kern w:val="0"/>
          <w:sz w:val="28"/>
          <w:szCs w:val="28"/>
        </w:rPr>
        <w:t xml:space="preserve"> by </w:t>
      </w:r>
      <w:r w:rsidR="00CE5C7B" w:rsidRPr="001264A9">
        <w:rPr>
          <w:kern w:val="0"/>
          <w:sz w:val="28"/>
        </w:rPr>
        <w:t>2</w:t>
      </w:r>
      <w:r w:rsidR="007E6E07" w:rsidRPr="001264A9">
        <w:rPr>
          <w:kern w:val="0"/>
          <w:sz w:val="28"/>
          <w:szCs w:val="28"/>
        </w:rPr>
        <w:t>%</w:t>
      </w:r>
      <w:r w:rsidR="00CE5C7B">
        <w:rPr>
          <w:kern w:val="0"/>
          <w:sz w:val="28"/>
          <w:szCs w:val="28"/>
        </w:rPr>
        <w:t xml:space="preserve"> and 1% respectively</w:t>
      </w:r>
      <w:r w:rsidR="00982C25" w:rsidRPr="001264A9">
        <w:rPr>
          <w:kern w:val="0"/>
          <w:sz w:val="28"/>
          <w:szCs w:val="28"/>
        </w:rPr>
        <w:t xml:space="preserve"> during the quarter</w:t>
      </w:r>
      <w:r w:rsidR="00400415" w:rsidRPr="001264A9">
        <w:rPr>
          <w:kern w:val="0"/>
          <w:sz w:val="28"/>
          <w:szCs w:val="28"/>
        </w:rPr>
        <w:t xml:space="preserve">.  </w:t>
      </w:r>
      <w:r w:rsidR="00F32B1D" w:rsidRPr="001264A9">
        <w:rPr>
          <w:kern w:val="0"/>
          <w:sz w:val="28"/>
          <w:szCs w:val="28"/>
        </w:rPr>
        <w:t>Compared with the respective peaks in 2019 and 202</w:t>
      </w:r>
      <w:r w:rsidR="0022016B" w:rsidRPr="001264A9">
        <w:rPr>
          <w:kern w:val="0"/>
          <w:sz w:val="28"/>
          <w:szCs w:val="28"/>
        </w:rPr>
        <w:t>3</w:t>
      </w:r>
      <w:r w:rsidR="00F32B1D" w:rsidRPr="001264A9">
        <w:rPr>
          <w:kern w:val="0"/>
          <w:sz w:val="28"/>
          <w:szCs w:val="28"/>
        </w:rPr>
        <w:t xml:space="preserve">, </w:t>
      </w:r>
      <w:r w:rsidR="00F32B1D" w:rsidRPr="001264A9">
        <w:rPr>
          <w:sz w:val="28"/>
          <w:szCs w:val="28"/>
        </w:rPr>
        <w:t>p</w:t>
      </w:r>
      <w:r w:rsidR="00400415" w:rsidRPr="001264A9">
        <w:rPr>
          <w:sz w:val="28"/>
          <w:szCs w:val="28"/>
        </w:rPr>
        <w:t>rices</w:t>
      </w:r>
      <w:r w:rsidR="00F32B1D" w:rsidRPr="001264A9">
        <w:rPr>
          <w:sz w:val="28"/>
          <w:szCs w:val="28"/>
        </w:rPr>
        <w:t xml:space="preserve"> and rentals</w:t>
      </w:r>
      <w:r w:rsidR="00400415" w:rsidRPr="001264A9">
        <w:rPr>
          <w:sz w:val="28"/>
          <w:szCs w:val="28"/>
        </w:rPr>
        <w:t xml:space="preserve"> in </w:t>
      </w:r>
      <w:r w:rsidR="00982C25" w:rsidRPr="001264A9">
        <w:rPr>
          <w:sz w:val="28"/>
          <w:szCs w:val="28"/>
        </w:rPr>
        <w:t>June 2024</w:t>
      </w:r>
      <w:r w:rsidR="00400415" w:rsidRPr="001264A9">
        <w:rPr>
          <w:sz w:val="28"/>
          <w:szCs w:val="28"/>
        </w:rPr>
        <w:t xml:space="preserve"> were </w:t>
      </w:r>
      <w:r w:rsidR="00EE1877" w:rsidRPr="001264A9">
        <w:rPr>
          <w:sz w:val="28"/>
          <w:szCs w:val="28"/>
        </w:rPr>
        <w:t>2</w:t>
      </w:r>
      <w:r w:rsidR="004E3757">
        <w:rPr>
          <w:sz w:val="28"/>
          <w:szCs w:val="28"/>
        </w:rPr>
        <w:t>2</w:t>
      </w:r>
      <w:r w:rsidR="00400415" w:rsidRPr="001264A9">
        <w:rPr>
          <w:sz w:val="28"/>
          <w:szCs w:val="28"/>
        </w:rPr>
        <w:t xml:space="preserve">% </w:t>
      </w:r>
      <w:r w:rsidR="00F32B1D" w:rsidRPr="001264A9">
        <w:rPr>
          <w:sz w:val="28"/>
          <w:szCs w:val="28"/>
        </w:rPr>
        <w:t xml:space="preserve">and </w:t>
      </w:r>
      <w:r w:rsidR="00AF4037">
        <w:rPr>
          <w:sz w:val="28"/>
          <w:szCs w:val="28"/>
        </w:rPr>
        <w:t>3</w:t>
      </w:r>
      <w:r w:rsidR="00F32B1D" w:rsidRPr="001264A9">
        <w:rPr>
          <w:sz w:val="28"/>
          <w:szCs w:val="28"/>
        </w:rPr>
        <w:t xml:space="preserve">% </w:t>
      </w:r>
      <w:r w:rsidR="00400415" w:rsidRPr="001264A9">
        <w:rPr>
          <w:sz w:val="28"/>
          <w:szCs w:val="28"/>
        </w:rPr>
        <w:t>lower</w:t>
      </w:r>
      <w:r w:rsidR="00F97CB6" w:rsidRPr="001264A9">
        <w:rPr>
          <w:sz w:val="28"/>
          <w:szCs w:val="28"/>
        </w:rPr>
        <w:t>.</w:t>
      </w:r>
      <w:r w:rsidRPr="001264A9">
        <w:rPr>
          <w:kern w:val="0"/>
          <w:sz w:val="28"/>
          <w:szCs w:val="28"/>
        </w:rPr>
        <w:t xml:space="preserve">  The average rental yield </w:t>
      </w:r>
      <w:r w:rsidR="009246CD" w:rsidRPr="001264A9">
        <w:rPr>
          <w:kern w:val="0"/>
          <w:sz w:val="28"/>
          <w:szCs w:val="28"/>
        </w:rPr>
        <w:t xml:space="preserve">remained unchanged at 3.5% </w:t>
      </w:r>
      <w:r w:rsidR="009246CD" w:rsidRPr="001264A9">
        <w:rPr>
          <w:sz w:val="28"/>
          <w:szCs w:val="28"/>
          <w:lang w:eastAsia="zh-HK"/>
        </w:rPr>
        <w:t>in June as compared with that in March</w:t>
      </w:r>
      <w:r w:rsidRPr="001264A9">
        <w:rPr>
          <w:kern w:val="0"/>
          <w:sz w:val="28"/>
          <w:szCs w:val="28"/>
        </w:rPr>
        <w:t xml:space="preserve">.  Transactions </w:t>
      </w:r>
      <w:r w:rsidR="009246CD" w:rsidRPr="001264A9">
        <w:rPr>
          <w:kern w:val="0"/>
          <w:sz w:val="28"/>
          <w:szCs w:val="28"/>
        </w:rPr>
        <w:t>rose</w:t>
      </w:r>
      <w:r w:rsidR="00852E64" w:rsidRPr="001264A9">
        <w:rPr>
          <w:kern w:val="0"/>
          <w:sz w:val="28"/>
          <w:szCs w:val="28"/>
        </w:rPr>
        <w:t xml:space="preserve"> </w:t>
      </w:r>
      <w:r w:rsidRPr="001264A9">
        <w:rPr>
          <w:kern w:val="0"/>
          <w:sz w:val="28"/>
          <w:szCs w:val="28"/>
        </w:rPr>
        <w:t xml:space="preserve">by </w:t>
      </w:r>
      <w:r w:rsidR="00AF4037">
        <w:rPr>
          <w:kern w:val="0"/>
          <w:sz w:val="28"/>
          <w:szCs w:val="28"/>
        </w:rPr>
        <w:t>13</w:t>
      </w:r>
      <w:r w:rsidRPr="001264A9">
        <w:rPr>
          <w:kern w:val="0"/>
          <w:sz w:val="28"/>
          <w:szCs w:val="28"/>
        </w:rPr>
        <w:t xml:space="preserve">% </w:t>
      </w:r>
      <w:r w:rsidR="00882A61">
        <w:rPr>
          <w:kern w:val="0"/>
          <w:sz w:val="28"/>
        </w:rPr>
        <w:t>over</w:t>
      </w:r>
      <w:r w:rsidR="00191F9D" w:rsidRPr="001264A9">
        <w:rPr>
          <w:kern w:val="0"/>
          <w:sz w:val="28"/>
          <w:szCs w:val="28"/>
        </w:rPr>
        <w:t xml:space="preserve"> the preceding quarter to </w:t>
      </w:r>
      <w:r w:rsidR="009246CD" w:rsidRPr="001264A9">
        <w:rPr>
          <w:kern w:val="0"/>
          <w:sz w:val="28"/>
          <w:szCs w:val="28"/>
        </w:rPr>
        <w:t>4</w:t>
      </w:r>
      <w:r w:rsidR="00AF4037">
        <w:rPr>
          <w:kern w:val="0"/>
          <w:sz w:val="28"/>
          <w:szCs w:val="28"/>
        </w:rPr>
        <w:t>0</w:t>
      </w:r>
      <w:r w:rsidR="00D73690" w:rsidRPr="001264A9">
        <w:rPr>
          <w:kern w:val="0"/>
          <w:sz w:val="28"/>
          <w:szCs w:val="28"/>
        </w:rPr>
        <w:t>0</w:t>
      </w:r>
      <w:r w:rsidR="00191F9D" w:rsidRPr="001264A9">
        <w:rPr>
          <w:kern w:val="0"/>
          <w:sz w:val="28"/>
          <w:szCs w:val="28"/>
        </w:rPr>
        <w:t xml:space="preserve"> cases in the </w:t>
      </w:r>
      <w:r w:rsidR="009246CD" w:rsidRPr="001264A9">
        <w:rPr>
          <w:kern w:val="0"/>
          <w:sz w:val="28"/>
          <w:szCs w:val="28"/>
        </w:rPr>
        <w:t>second</w:t>
      </w:r>
      <w:r w:rsidR="00191F9D" w:rsidRPr="001264A9">
        <w:rPr>
          <w:kern w:val="0"/>
          <w:sz w:val="28"/>
          <w:szCs w:val="28"/>
        </w:rPr>
        <w:t xml:space="preserve"> quarter, </w:t>
      </w:r>
      <w:r w:rsidR="009246CD" w:rsidRPr="001264A9">
        <w:rPr>
          <w:kern w:val="0"/>
          <w:sz w:val="28"/>
          <w:szCs w:val="28"/>
        </w:rPr>
        <w:t>but were still 2</w:t>
      </w:r>
      <w:r w:rsidR="00AF4037">
        <w:rPr>
          <w:kern w:val="0"/>
          <w:sz w:val="28"/>
          <w:szCs w:val="28"/>
        </w:rPr>
        <w:t>7</w:t>
      </w:r>
      <w:r w:rsidR="009246CD" w:rsidRPr="001264A9">
        <w:rPr>
          <w:kern w:val="0"/>
          <w:sz w:val="28"/>
          <w:szCs w:val="28"/>
        </w:rPr>
        <w:t xml:space="preserve">% lower than a year earlier and </w:t>
      </w:r>
      <w:r w:rsidR="00191F9D" w:rsidRPr="001264A9">
        <w:rPr>
          <w:kern w:val="0"/>
          <w:sz w:val="28"/>
          <w:szCs w:val="28"/>
        </w:rPr>
        <w:t xml:space="preserve">far below the </w:t>
      </w:r>
      <w:r w:rsidR="00445608" w:rsidRPr="001264A9">
        <w:rPr>
          <w:kern w:val="0"/>
          <w:sz w:val="28"/>
          <w:szCs w:val="28"/>
        </w:rPr>
        <w:t xml:space="preserve">quarterly average of </w:t>
      </w:r>
      <w:r w:rsidR="00221C5A" w:rsidRPr="001264A9">
        <w:rPr>
          <w:kern w:val="0"/>
          <w:sz w:val="28"/>
          <w:szCs w:val="28"/>
        </w:rPr>
        <w:t>600 </w:t>
      </w:r>
      <w:r w:rsidR="00191F9D" w:rsidRPr="001264A9">
        <w:rPr>
          <w:kern w:val="0"/>
          <w:sz w:val="28"/>
          <w:szCs w:val="28"/>
        </w:rPr>
        <w:t>cases in 2019</w:t>
      </w:r>
      <w:r w:rsidR="00191F9D" w:rsidRPr="001264A9">
        <w:rPr>
          <w:kern w:val="0"/>
          <w:sz w:val="28"/>
          <w:szCs w:val="28"/>
        </w:rPr>
        <w:noBreakHyphen/>
        <w:t>2023.</w:t>
      </w:r>
    </w:p>
    <w:p w14:paraId="3BBEF097" w14:textId="16AD4661" w:rsidR="00ED595A" w:rsidRPr="004B2860" w:rsidRDefault="00ED595A" w:rsidP="00FB4909">
      <w:pPr>
        <w:tabs>
          <w:tab w:val="left" w:pos="1080"/>
        </w:tabs>
        <w:overflowPunct w:val="0"/>
        <w:spacing w:line="360" w:lineRule="atLeast"/>
        <w:jc w:val="both"/>
        <w:rPr>
          <w:color w:val="000000"/>
          <w:sz w:val="28"/>
          <w:szCs w:val="28"/>
          <w:shd w:val="pct15" w:color="auto" w:fill="FFFFFF"/>
        </w:rPr>
      </w:pPr>
    </w:p>
    <w:p w14:paraId="3042E63B" w14:textId="3EBAAE8A" w:rsidR="00FB1C5C" w:rsidRPr="004B2860" w:rsidRDefault="000F1762" w:rsidP="00FB1C5C">
      <w:pPr>
        <w:pStyle w:val="afa"/>
        <w:overflowPunct w:val="0"/>
        <w:ind w:leftChars="0" w:left="0"/>
        <w:rPr>
          <w:shd w:val="pct15" w:color="auto" w:fill="FFFFFF"/>
        </w:rPr>
      </w:pPr>
      <w:r w:rsidRPr="001041CE">
        <w:rPr>
          <w:noProof/>
        </w:rPr>
        <w:lastRenderedPageBreak/>
        <w:drawing>
          <wp:inline distT="0" distB="0" distL="0" distR="0" wp14:anchorId="3555490B" wp14:editId="5FD64EC2">
            <wp:extent cx="5733415" cy="3496949"/>
            <wp:effectExtent l="0" t="0" r="635"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3415" cy="3496949"/>
                    </a:xfrm>
                    <a:prstGeom prst="rect">
                      <a:avLst/>
                    </a:prstGeom>
                    <a:noFill/>
                    <a:ln>
                      <a:noFill/>
                    </a:ln>
                  </pic:spPr>
                </pic:pic>
              </a:graphicData>
            </a:graphic>
          </wp:inline>
        </w:drawing>
      </w:r>
    </w:p>
    <w:p w14:paraId="35EA7366" w14:textId="44BB4891" w:rsidR="00FB1C5C" w:rsidRPr="004B2860" w:rsidRDefault="00FB1C5C" w:rsidP="00126437">
      <w:pPr>
        <w:pStyle w:val="afa"/>
        <w:overflowPunct w:val="0"/>
        <w:ind w:leftChars="0" w:left="0"/>
        <w:rPr>
          <w:sz w:val="28"/>
          <w:szCs w:val="28"/>
          <w:highlight w:val="green"/>
          <w:shd w:val="pct15" w:color="auto" w:fill="FFFFFF"/>
        </w:rPr>
      </w:pPr>
    </w:p>
    <w:p w14:paraId="7E59ECBD" w14:textId="743D25D5" w:rsidR="001027E2" w:rsidRPr="005B7816" w:rsidRDefault="001027E2">
      <w:pPr>
        <w:widowControl/>
        <w:rPr>
          <w:sz w:val="28"/>
          <w:szCs w:val="28"/>
        </w:rPr>
      </w:pPr>
    </w:p>
    <w:p w14:paraId="5ADC02F3" w14:textId="4E0821D8" w:rsidR="00FB1C5C" w:rsidRPr="005B7816" w:rsidRDefault="00FB1C5C" w:rsidP="00FB1C5C">
      <w:pPr>
        <w:pStyle w:val="afa"/>
        <w:overflowPunct w:val="0"/>
        <w:ind w:leftChars="0" w:left="0"/>
        <w:rPr>
          <w:b/>
          <w:sz w:val="28"/>
          <w:szCs w:val="28"/>
        </w:rPr>
      </w:pPr>
      <w:r w:rsidRPr="005B7816">
        <w:rPr>
          <w:b/>
          <w:sz w:val="28"/>
          <w:szCs w:val="28"/>
        </w:rPr>
        <w:t>Land</w:t>
      </w:r>
    </w:p>
    <w:p w14:paraId="4569FA85" w14:textId="77777777" w:rsidR="00FB1C5C" w:rsidRPr="005B7816" w:rsidRDefault="00FB1C5C" w:rsidP="00FB1C5C">
      <w:pPr>
        <w:pStyle w:val="afa"/>
        <w:overflowPunct w:val="0"/>
        <w:ind w:leftChars="0" w:left="0"/>
        <w:rPr>
          <w:sz w:val="28"/>
          <w:szCs w:val="28"/>
          <w:highlight w:val="green"/>
        </w:rPr>
      </w:pPr>
    </w:p>
    <w:p w14:paraId="36165D70" w14:textId="74604A40" w:rsidR="00CC28EB" w:rsidRPr="001264A9" w:rsidRDefault="00C746A6" w:rsidP="006F4D55">
      <w:pPr>
        <w:numPr>
          <w:ilvl w:val="1"/>
          <w:numId w:val="3"/>
        </w:numPr>
        <w:tabs>
          <w:tab w:val="left" w:pos="1080"/>
        </w:tabs>
        <w:spacing w:line="360" w:lineRule="atLeast"/>
        <w:jc w:val="both"/>
        <w:rPr>
          <w:kern w:val="0"/>
          <w:sz w:val="28"/>
          <w:szCs w:val="28"/>
          <w:lang w:eastAsia="zh-HK"/>
        </w:rPr>
      </w:pPr>
      <w:r>
        <w:rPr>
          <w:sz w:val="28"/>
          <w:szCs w:val="28"/>
          <w:lang w:eastAsia="zh-HK"/>
        </w:rPr>
        <w:t>O</w:t>
      </w:r>
      <w:r w:rsidRPr="00670D06">
        <w:rPr>
          <w:sz w:val="28"/>
          <w:szCs w:val="28"/>
          <w:lang w:eastAsia="zh-HK"/>
        </w:rPr>
        <w:t xml:space="preserve">ne site for </w:t>
      </w:r>
      <w:r>
        <w:rPr>
          <w:sz w:val="28"/>
          <w:szCs w:val="28"/>
          <w:lang w:eastAsia="zh-HK"/>
        </w:rPr>
        <w:t>an electric vehicle charging</w:t>
      </w:r>
      <w:r w:rsidRPr="00670D06">
        <w:rPr>
          <w:sz w:val="28"/>
          <w:szCs w:val="28"/>
          <w:lang w:eastAsia="zh-HK"/>
        </w:rPr>
        <w:t xml:space="preserve"> station</w:t>
      </w:r>
      <w:r>
        <w:rPr>
          <w:sz w:val="28"/>
          <w:szCs w:val="28"/>
          <w:lang w:eastAsia="zh-HK"/>
        </w:rPr>
        <w:t xml:space="preserve"> with an </w:t>
      </w:r>
      <w:r w:rsidRPr="00670D06">
        <w:rPr>
          <w:sz w:val="28"/>
          <w:szCs w:val="28"/>
          <w:lang w:eastAsia="zh-HK"/>
        </w:rPr>
        <w:t xml:space="preserve">area of about </w:t>
      </w:r>
      <w:r>
        <w:rPr>
          <w:sz w:val="28"/>
          <w:szCs w:val="28"/>
          <w:lang w:eastAsia="zh-HK"/>
        </w:rPr>
        <w:t>0.1</w:t>
      </w:r>
      <w:r w:rsidRPr="00670D06">
        <w:rPr>
          <w:sz w:val="28"/>
          <w:szCs w:val="28"/>
          <w:lang w:eastAsia="zh-HK"/>
        </w:rPr>
        <w:t xml:space="preserve"> hectare </w:t>
      </w:r>
      <w:r>
        <w:rPr>
          <w:sz w:val="28"/>
          <w:szCs w:val="28"/>
          <w:lang w:eastAsia="zh-HK"/>
        </w:rPr>
        <w:t>was</w:t>
      </w:r>
      <w:r w:rsidRPr="00670D06">
        <w:rPr>
          <w:sz w:val="28"/>
          <w:szCs w:val="28"/>
          <w:lang w:eastAsia="zh-HK"/>
        </w:rPr>
        <w:t xml:space="preserve"> disposed of in the </w:t>
      </w:r>
      <w:r>
        <w:rPr>
          <w:sz w:val="28"/>
          <w:szCs w:val="28"/>
          <w:lang w:eastAsia="zh-HK"/>
        </w:rPr>
        <w:t>second</w:t>
      </w:r>
      <w:r w:rsidRPr="00670D06">
        <w:rPr>
          <w:sz w:val="28"/>
          <w:szCs w:val="28"/>
          <w:lang w:eastAsia="zh-HK"/>
        </w:rPr>
        <w:t xml:space="preserve"> quarter, fetching a land premium of about $</w:t>
      </w:r>
      <w:r>
        <w:rPr>
          <w:sz w:val="28"/>
          <w:szCs w:val="28"/>
          <w:lang w:eastAsia="zh-HK"/>
        </w:rPr>
        <w:t>82</w:t>
      </w:r>
      <w:r w:rsidRPr="00670D06">
        <w:rPr>
          <w:sz w:val="28"/>
          <w:szCs w:val="28"/>
          <w:lang w:eastAsia="zh-HK"/>
        </w:rPr>
        <w:t> </w:t>
      </w:r>
      <w:r>
        <w:rPr>
          <w:sz w:val="28"/>
          <w:szCs w:val="28"/>
          <w:lang w:eastAsia="zh-HK"/>
        </w:rPr>
        <w:t>m</w:t>
      </w:r>
      <w:r w:rsidRPr="00670D06">
        <w:rPr>
          <w:sz w:val="28"/>
          <w:szCs w:val="28"/>
          <w:lang w:eastAsia="zh-HK"/>
        </w:rPr>
        <w:t>illion.</w:t>
      </w:r>
      <w:r w:rsidRPr="005B7816">
        <w:rPr>
          <w:kern w:val="0"/>
          <w:sz w:val="28"/>
          <w:szCs w:val="28"/>
          <w:lang w:eastAsia="zh-HK"/>
        </w:rPr>
        <w:t xml:space="preserve">  </w:t>
      </w:r>
      <w:r w:rsidRPr="00670D06">
        <w:rPr>
          <w:sz w:val="28"/>
          <w:szCs w:val="28"/>
          <w:lang w:eastAsia="zh-HK"/>
        </w:rPr>
        <w:t>I</w:t>
      </w:r>
      <w:r>
        <w:rPr>
          <w:sz w:val="28"/>
          <w:szCs w:val="28"/>
          <w:lang w:eastAsia="zh-HK"/>
        </w:rPr>
        <w:t xml:space="preserve">n addition, </w:t>
      </w:r>
      <w:r w:rsidRPr="001264A9">
        <w:rPr>
          <w:sz w:val="28"/>
          <w:szCs w:val="28"/>
          <w:lang w:eastAsia="zh-HK"/>
        </w:rPr>
        <w:t xml:space="preserve">the tender exercise for a residential site in </w:t>
      </w:r>
      <w:proofErr w:type="spellStart"/>
      <w:r w:rsidRPr="001264A9">
        <w:rPr>
          <w:sz w:val="28"/>
          <w:szCs w:val="28"/>
          <w:lang w:eastAsia="zh-HK"/>
        </w:rPr>
        <w:t>Sha</w:t>
      </w:r>
      <w:proofErr w:type="spellEnd"/>
      <w:r w:rsidRPr="001264A9">
        <w:rPr>
          <w:sz w:val="28"/>
          <w:szCs w:val="28"/>
          <w:lang w:eastAsia="zh-HK"/>
        </w:rPr>
        <w:t xml:space="preserve"> Tin commenced in the quarter and the tender closing date of an industrial site in Yuen Long has been extended from 28 June 2024 to 27 December 2024.  </w:t>
      </w:r>
      <w:r w:rsidRPr="001264A9">
        <w:rPr>
          <w:kern w:val="0"/>
          <w:sz w:val="28"/>
          <w:szCs w:val="28"/>
          <w:lang w:eastAsia="zh-HK"/>
        </w:rPr>
        <w:t xml:space="preserve">In the second quarter, lease modifications of </w:t>
      </w:r>
      <w:r>
        <w:rPr>
          <w:kern w:val="0"/>
          <w:sz w:val="28"/>
        </w:rPr>
        <w:t>five</w:t>
      </w:r>
      <w:r w:rsidRPr="001264A9">
        <w:rPr>
          <w:kern w:val="0"/>
          <w:sz w:val="28"/>
          <w:szCs w:val="28"/>
          <w:lang w:eastAsia="zh-HK"/>
        </w:rPr>
        <w:t xml:space="preserve"> sites were approved.</w:t>
      </w:r>
    </w:p>
    <w:p w14:paraId="3C319874" w14:textId="2E5607F4" w:rsidR="0094568D" w:rsidRPr="00485221" w:rsidRDefault="0094568D">
      <w:pPr>
        <w:widowControl/>
        <w:rPr>
          <w:b/>
          <w:kern w:val="0"/>
          <w:sz w:val="28"/>
        </w:rPr>
      </w:pPr>
      <w:r w:rsidRPr="00485221">
        <w:rPr>
          <w:b/>
          <w:kern w:val="0"/>
          <w:sz w:val="28"/>
        </w:rPr>
        <w:br w:type="page"/>
      </w:r>
    </w:p>
    <w:p w14:paraId="79905AB2" w14:textId="70084DF8" w:rsidR="00BF6E71" w:rsidRPr="00CF64A7" w:rsidRDefault="00BF6E71" w:rsidP="00BF6E71">
      <w:pPr>
        <w:pStyle w:val="a5"/>
        <w:spacing w:line="360" w:lineRule="exact"/>
        <w:rPr>
          <w:b/>
          <w:szCs w:val="28"/>
          <w:lang w:val="en-GB" w:eastAsia="zh-TW"/>
        </w:rPr>
      </w:pPr>
      <w:r w:rsidRPr="00E73514">
        <w:rPr>
          <w:b/>
          <w:szCs w:val="28"/>
        </w:rPr>
        <w:lastRenderedPageBreak/>
        <w:t>Tourism</w:t>
      </w:r>
      <w:r>
        <w:rPr>
          <w:b/>
          <w:szCs w:val="28"/>
          <w:lang w:val="en-GB"/>
        </w:rPr>
        <w:t xml:space="preserve"> </w:t>
      </w:r>
    </w:p>
    <w:p w14:paraId="31F4495D" w14:textId="77777777" w:rsidR="00BF6E71" w:rsidRPr="00E73514" w:rsidRDefault="00BF6E71" w:rsidP="00BF6E71">
      <w:pPr>
        <w:pStyle w:val="afa"/>
        <w:overflowPunct w:val="0"/>
        <w:ind w:leftChars="0" w:left="0"/>
        <w:rPr>
          <w:b/>
          <w:sz w:val="28"/>
          <w:szCs w:val="28"/>
        </w:rPr>
      </w:pPr>
    </w:p>
    <w:p w14:paraId="408A39BF" w14:textId="284759B3" w:rsidR="00E02E0F" w:rsidRPr="00E02E0F" w:rsidRDefault="00E02E0F" w:rsidP="00E02E0F">
      <w:pPr>
        <w:numPr>
          <w:ilvl w:val="1"/>
          <w:numId w:val="3"/>
        </w:numPr>
        <w:tabs>
          <w:tab w:val="left" w:pos="1080"/>
        </w:tabs>
        <w:spacing w:line="360" w:lineRule="atLeast"/>
        <w:jc w:val="both"/>
        <w:rPr>
          <w:color w:val="000000"/>
          <w:sz w:val="28"/>
          <w:szCs w:val="28"/>
          <w:shd w:val="pct15" w:color="auto" w:fill="FFFFFF"/>
        </w:rPr>
      </w:pPr>
      <w:r w:rsidRPr="0037134F">
        <w:rPr>
          <w:color w:val="000000"/>
          <w:sz w:val="28"/>
          <w:szCs w:val="28"/>
        </w:rPr>
        <w:t xml:space="preserve">The </w:t>
      </w:r>
      <w:r w:rsidRPr="00845698">
        <w:rPr>
          <w:color w:val="000000"/>
          <w:sz w:val="28"/>
          <w:szCs w:val="28"/>
        </w:rPr>
        <w:t xml:space="preserve">tourism sector continued to recover, though the pace moderated.  </w:t>
      </w:r>
      <w:r w:rsidRPr="00845698">
        <w:rPr>
          <w:i/>
          <w:color w:val="000000"/>
          <w:sz w:val="28"/>
          <w:szCs w:val="28"/>
        </w:rPr>
        <w:t>Visitor arrivals</w:t>
      </w:r>
      <w:r w:rsidRPr="00845698">
        <w:rPr>
          <w:color w:val="000000"/>
          <w:sz w:val="28"/>
          <w:szCs w:val="28"/>
        </w:rPr>
        <w:t xml:space="preserve"> increased by </w:t>
      </w:r>
      <w:r w:rsidRPr="00E02E0F">
        <w:rPr>
          <w:color w:val="000000"/>
          <w:sz w:val="28"/>
          <w:szCs w:val="28"/>
        </w:rPr>
        <w:t>17.2</w:t>
      </w:r>
      <w:r w:rsidR="00BF6E71" w:rsidRPr="00845698">
        <w:rPr>
          <w:color w:val="000000"/>
          <w:sz w:val="28"/>
          <w:szCs w:val="28"/>
        </w:rPr>
        <w:t>%</w:t>
      </w:r>
      <w:r w:rsidRPr="00E02E0F">
        <w:rPr>
          <w:color w:val="000000"/>
          <w:sz w:val="28"/>
          <w:szCs w:val="28"/>
        </w:rPr>
        <w:t xml:space="preserve"> over a year earlier to 9.9 million in the second quarter, equivalent to 66</w:t>
      </w:r>
      <w:r w:rsidR="00BF6E71" w:rsidRPr="00845698">
        <w:rPr>
          <w:color w:val="000000"/>
          <w:sz w:val="28"/>
          <w:szCs w:val="28"/>
        </w:rPr>
        <w:t>%</w:t>
      </w:r>
      <w:r w:rsidRPr="00E02E0F">
        <w:rPr>
          <w:color w:val="000000"/>
          <w:sz w:val="28"/>
          <w:szCs w:val="28"/>
        </w:rPr>
        <w:t xml:space="preserve"> of the level in the same period in 2018.  Mainland visitors, which accounted for 75</w:t>
      </w:r>
      <w:r w:rsidR="00BF6E71" w:rsidRPr="00845698">
        <w:rPr>
          <w:color w:val="000000"/>
          <w:sz w:val="28"/>
          <w:szCs w:val="28"/>
        </w:rPr>
        <w:t>%</w:t>
      </w:r>
      <w:r w:rsidRPr="00E02E0F">
        <w:rPr>
          <w:color w:val="000000"/>
          <w:sz w:val="28"/>
          <w:szCs w:val="28"/>
        </w:rPr>
        <w:t xml:space="preserve"> of the total in the quarter, grew by 10.</w:t>
      </w:r>
      <w:r w:rsidR="00A456F0">
        <w:rPr>
          <w:color w:val="000000"/>
          <w:sz w:val="28"/>
          <w:szCs w:val="28"/>
        </w:rPr>
        <w:t>3</w:t>
      </w:r>
      <w:r w:rsidR="00BF6E71" w:rsidRPr="00845698">
        <w:rPr>
          <w:color w:val="000000"/>
          <w:sz w:val="28"/>
          <w:szCs w:val="28"/>
        </w:rPr>
        <w:t>%</w:t>
      </w:r>
      <w:r w:rsidRPr="00E02E0F">
        <w:rPr>
          <w:color w:val="000000"/>
          <w:sz w:val="28"/>
          <w:szCs w:val="28"/>
        </w:rPr>
        <w:t xml:space="preserve"> over a year earlier to 7.4 million.  Visitor arrivals from other short</w:t>
      </w:r>
      <w:r w:rsidRPr="00E02E0F">
        <w:rPr>
          <w:color w:val="000000"/>
          <w:sz w:val="28"/>
          <w:szCs w:val="28"/>
        </w:rPr>
        <w:noBreakHyphen/>
        <w:t>haul markets and long-haul markets grew by 40.9</w:t>
      </w:r>
      <w:r w:rsidR="00BF6E71" w:rsidRPr="00845698">
        <w:rPr>
          <w:color w:val="000000"/>
          <w:sz w:val="28"/>
          <w:szCs w:val="28"/>
        </w:rPr>
        <w:t>%</w:t>
      </w:r>
      <w:r w:rsidRPr="00E02E0F">
        <w:rPr>
          <w:color w:val="000000"/>
          <w:sz w:val="28"/>
          <w:szCs w:val="28"/>
        </w:rPr>
        <w:t xml:space="preserve"> and </w:t>
      </w:r>
      <w:r w:rsidR="00A456F0" w:rsidRPr="00E02E0F">
        <w:rPr>
          <w:color w:val="000000"/>
          <w:sz w:val="28"/>
          <w:szCs w:val="28"/>
        </w:rPr>
        <w:t>51.8</w:t>
      </w:r>
      <w:r w:rsidR="00BF6E71" w:rsidRPr="00845698">
        <w:rPr>
          <w:color w:val="000000"/>
          <w:sz w:val="28"/>
          <w:szCs w:val="28"/>
        </w:rPr>
        <w:t>%</w:t>
      </w:r>
      <w:r w:rsidRPr="00E02E0F">
        <w:rPr>
          <w:color w:val="000000"/>
          <w:sz w:val="28"/>
          <w:szCs w:val="28"/>
        </w:rPr>
        <w:t xml:space="preserve"> over a year earlier to 1.7 million and 0.8 million </w:t>
      </w:r>
      <w:proofErr w:type="gramStart"/>
      <w:r w:rsidRPr="00E02E0F">
        <w:rPr>
          <w:color w:val="000000"/>
          <w:sz w:val="28"/>
          <w:szCs w:val="28"/>
        </w:rPr>
        <w:t>respectively</w:t>
      </w:r>
      <w:r w:rsidRPr="00E02E0F">
        <w:rPr>
          <w:color w:val="000000"/>
          <w:sz w:val="28"/>
          <w:vertAlign w:val="superscript"/>
        </w:rPr>
        <w:t>(</w:t>
      </w:r>
      <w:proofErr w:type="gramEnd"/>
      <w:r w:rsidRPr="00E02E0F">
        <w:rPr>
          <w:color w:val="000000"/>
          <w:sz w:val="28"/>
          <w:vertAlign w:val="superscript"/>
        </w:rPr>
        <w:t>3</w:t>
      </w:r>
      <w:r w:rsidRPr="00E02E0F">
        <w:rPr>
          <w:color w:val="000000"/>
          <w:sz w:val="28"/>
          <w:szCs w:val="28"/>
          <w:vertAlign w:val="superscript"/>
        </w:rPr>
        <w:t>)</w:t>
      </w:r>
      <w:r w:rsidRPr="00E02E0F">
        <w:rPr>
          <w:color w:val="000000"/>
          <w:sz w:val="28"/>
          <w:szCs w:val="28"/>
        </w:rPr>
        <w:t>.  Analysed by length of stay, overnight and same</w:t>
      </w:r>
      <w:r w:rsidR="00F1211C">
        <w:rPr>
          <w:color w:val="000000"/>
          <w:sz w:val="28"/>
          <w:szCs w:val="28"/>
        </w:rPr>
        <w:noBreakHyphen/>
      </w:r>
      <w:r w:rsidRPr="00E02E0F">
        <w:rPr>
          <w:color w:val="000000"/>
          <w:sz w:val="28"/>
          <w:szCs w:val="28"/>
        </w:rPr>
        <w:t xml:space="preserve">day visitors rose by </w:t>
      </w:r>
      <w:r w:rsidR="00A456F0" w:rsidRPr="00E02E0F">
        <w:rPr>
          <w:color w:val="000000"/>
          <w:sz w:val="28"/>
          <w:szCs w:val="28"/>
        </w:rPr>
        <w:t>16.3</w:t>
      </w:r>
      <w:r w:rsidR="00BF6E71" w:rsidRPr="00845698">
        <w:rPr>
          <w:color w:val="000000"/>
          <w:sz w:val="28"/>
          <w:szCs w:val="28"/>
        </w:rPr>
        <w:t>%</w:t>
      </w:r>
      <w:r w:rsidRPr="00E02E0F">
        <w:rPr>
          <w:color w:val="000000"/>
          <w:sz w:val="28"/>
          <w:szCs w:val="28"/>
        </w:rPr>
        <w:t xml:space="preserve"> and 18.</w:t>
      </w:r>
      <w:r w:rsidR="00A456F0">
        <w:rPr>
          <w:color w:val="000000"/>
          <w:sz w:val="28"/>
          <w:szCs w:val="28"/>
        </w:rPr>
        <w:t>0</w:t>
      </w:r>
      <w:r w:rsidR="00BF6E71" w:rsidRPr="00845698">
        <w:rPr>
          <w:color w:val="000000"/>
          <w:sz w:val="28"/>
          <w:szCs w:val="28"/>
        </w:rPr>
        <w:t>%</w:t>
      </w:r>
      <w:r w:rsidRPr="00E02E0F">
        <w:rPr>
          <w:color w:val="000000"/>
          <w:sz w:val="28"/>
          <w:szCs w:val="28"/>
        </w:rPr>
        <w:t xml:space="preserve"> over a year earlier </w:t>
      </w:r>
      <w:r w:rsidRPr="00E02E0F">
        <w:rPr>
          <w:color w:val="000000"/>
          <w:sz w:val="28"/>
        </w:rPr>
        <w:t>to 4.9 million and 5.0 million respectively</w:t>
      </w:r>
      <w:r w:rsidRPr="00E02E0F">
        <w:rPr>
          <w:color w:val="000000"/>
          <w:sz w:val="28"/>
          <w:szCs w:val="28"/>
        </w:rPr>
        <w:t xml:space="preserve">.  </w:t>
      </w:r>
      <w:r w:rsidR="00A456F0" w:rsidRPr="00E02E0F">
        <w:rPr>
          <w:color w:val="000000"/>
          <w:sz w:val="28"/>
          <w:szCs w:val="28"/>
        </w:rPr>
        <w:t xml:space="preserve">Meanwhile, </w:t>
      </w:r>
      <w:r w:rsidRPr="00E02E0F">
        <w:rPr>
          <w:color w:val="000000"/>
          <w:sz w:val="28"/>
          <w:szCs w:val="28"/>
        </w:rPr>
        <w:t xml:space="preserve">visitor spending, as measured by exports of travel services, </w:t>
      </w:r>
      <w:r w:rsidRPr="005908B7">
        <w:rPr>
          <w:color w:val="000000"/>
          <w:sz w:val="28"/>
          <w:szCs w:val="28"/>
        </w:rPr>
        <w:t xml:space="preserve">fell by </w:t>
      </w:r>
      <w:r w:rsidRPr="005908B7">
        <w:rPr>
          <w:color w:val="000000"/>
          <w:sz w:val="28"/>
          <w:szCs w:val="28"/>
          <w:lang w:val="en-US"/>
        </w:rPr>
        <w:t>8.8%</w:t>
      </w:r>
      <w:r w:rsidRPr="00E02E0F">
        <w:rPr>
          <w:color w:val="000000"/>
          <w:sz w:val="28"/>
          <w:szCs w:val="28"/>
        </w:rPr>
        <w:t xml:space="preserve"> in real terms </w:t>
      </w:r>
      <w:r w:rsidR="006C0181">
        <w:rPr>
          <w:color w:val="000000"/>
          <w:sz w:val="28"/>
          <w:szCs w:val="28"/>
        </w:rPr>
        <w:t>from</w:t>
      </w:r>
      <w:r w:rsidRPr="00E02E0F">
        <w:rPr>
          <w:color w:val="000000"/>
          <w:sz w:val="28"/>
          <w:szCs w:val="28"/>
        </w:rPr>
        <w:t xml:space="preserve"> a year earlier </w:t>
      </w:r>
      <w:r w:rsidR="002014D0" w:rsidRPr="001041CE">
        <w:rPr>
          <w:iCs/>
          <w:sz w:val="28"/>
          <w:szCs w:val="28"/>
        </w:rPr>
        <w:t>amid the change in consumption patterns of visitors and the strength of the Hong Kong dollar</w:t>
      </w:r>
      <w:r w:rsidR="00BF6E71" w:rsidRPr="00845698">
        <w:rPr>
          <w:color w:val="000000"/>
          <w:sz w:val="28"/>
          <w:szCs w:val="28"/>
        </w:rPr>
        <w:t>.</w:t>
      </w:r>
    </w:p>
    <w:p w14:paraId="4084AE40" w14:textId="77777777" w:rsidR="00BF6E71" w:rsidRPr="004B2860" w:rsidRDefault="00BF6E71" w:rsidP="00BF6E71">
      <w:pPr>
        <w:spacing w:line="360" w:lineRule="atLeast"/>
        <w:jc w:val="both"/>
        <w:rPr>
          <w:color w:val="000000"/>
          <w:sz w:val="28"/>
          <w:szCs w:val="28"/>
          <w:shd w:val="pct15" w:color="auto" w:fill="FFFFFF"/>
        </w:rPr>
      </w:pPr>
    </w:p>
    <w:p w14:paraId="3D1DA97D" w14:textId="77777777" w:rsidR="00BF6E71" w:rsidRPr="00E73514" w:rsidRDefault="00BF6E71" w:rsidP="00BF6E71">
      <w:pPr>
        <w:widowControl/>
        <w:rPr>
          <w:color w:val="000000"/>
          <w:sz w:val="28"/>
          <w:szCs w:val="28"/>
        </w:rPr>
      </w:pPr>
      <w:r>
        <w:rPr>
          <w:color w:val="000000"/>
          <w:sz w:val="28"/>
          <w:szCs w:val="28"/>
        </w:rPr>
        <w:br w:type="page"/>
      </w:r>
    </w:p>
    <w:p w14:paraId="35FBEAE4" w14:textId="77777777" w:rsidR="00BF6E71" w:rsidRPr="00E73514" w:rsidRDefault="00BF6E71" w:rsidP="00BF6E71">
      <w:pPr>
        <w:jc w:val="center"/>
        <w:rPr>
          <w:rFonts w:eastAsia="Times New Roman"/>
          <w:b/>
          <w:color w:val="000000"/>
          <w:sz w:val="28"/>
        </w:rPr>
      </w:pPr>
      <w:r w:rsidRPr="00E73514">
        <w:rPr>
          <w:rFonts w:eastAsia="Times New Roman"/>
          <w:b/>
          <w:color w:val="000000"/>
          <w:sz w:val="28"/>
        </w:rPr>
        <w:lastRenderedPageBreak/>
        <w:t xml:space="preserve">Table </w:t>
      </w:r>
      <w:proofErr w:type="gramStart"/>
      <w:r w:rsidRPr="00E73514">
        <w:rPr>
          <w:rFonts w:eastAsia="Times New Roman"/>
          <w:b/>
          <w:color w:val="000000"/>
          <w:sz w:val="28"/>
        </w:rPr>
        <w:t>3.1 :</w:t>
      </w:r>
      <w:proofErr w:type="gramEnd"/>
      <w:r w:rsidRPr="00E73514">
        <w:rPr>
          <w:rFonts w:eastAsia="Times New Roman"/>
          <w:b/>
          <w:color w:val="000000"/>
          <w:sz w:val="28"/>
        </w:rPr>
        <w:t xml:space="preserve"> Number of visitor arrivals</w:t>
      </w:r>
    </w:p>
    <w:p w14:paraId="1C6EF570" w14:textId="77777777" w:rsidR="00BF6E71" w:rsidRDefault="00BF6E71" w:rsidP="00BF6E71">
      <w:pPr>
        <w:jc w:val="center"/>
        <w:rPr>
          <w:rFonts w:eastAsia="Times New Roman"/>
          <w:b/>
          <w:color w:val="000000"/>
          <w:sz w:val="28"/>
          <w:shd w:val="pct15" w:color="auto" w:fill="FFFFFF"/>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BF6E71" w:rsidRPr="00444DF4" w14:paraId="3A85221F" w14:textId="77777777" w:rsidTr="00A7159E">
        <w:trPr>
          <w:trHeight w:val="282"/>
        </w:trPr>
        <w:tc>
          <w:tcPr>
            <w:tcW w:w="955" w:type="dxa"/>
            <w:shd w:val="clear" w:color="auto" w:fill="auto"/>
            <w:noWrap/>
            <w:vAlign w:val="bottom"/>
            <w:hideMark/>
          </w:tcPr>
          <w:p w14:paraId="67CA7D89" w14:textId="77777777" w:rsidR="00BF6E71" w:rsidRPr="00444DF4" w:rsidRDefault="00BF6E71" w:rsidP="00A7159E">
            <w:pPr>
              <w:jc w:val="center"/>
              <w:rPr>
                <w:rFonts w:eastAsia="Times New Roman"/>
                <w:sz w:val="20"/>
                <w:szCs w:val="20"/>
              </w:rPr>
            </w:pPr>
          </w:p>
        </w:tc>
        <w:tc>
          <w:tcPr>
            <w:tcW w:w="805" w:type="dxa"/>
            <w:shd w:val="clear" w:color="auto" w:fill="auto"/>
            <w:noWrap/>
            <w:vAlign w:val="bottom"/>
            <w:hideMark/>
          </w:tcPr>
          <w:p w14:paraId="5E3EE548" w14:textId="77777777" w:rsidR="00BF6E71" w:rsidRPr="00444DF4" w:rsidRDefault="00BF6E71" w:rsidP="00A7159E">
            <w:pPr>
              <w:jc w:val="center"/>
              <w:rPr>
                <w:rFonts w:eastAsia="Times New Roman"/>
                <w:sz w:val="20"/>
                <w:szCs w:val="20"/>
              </w:rPr>
            </w:pPr>
          </w:p>
        </w:tc>
        <w:tc>
          <w:tcPr>
            <w:tcW w:w="1792" w:type="dxa"/>
            <w:shd w:val="clear" w:color="auto" w:fill="auto"/>
            <w:noWrap/>
            <w:vAlign w:val="bottom"/>
            <w:hideMark/>
          </w:tcPr>
          <w:p w14:paraId="2DEEE64E" w14:textId="77777777" w:rsidR="00BF6E71" w:rsidRPr="00444DF4" w:rsidRDefault="00BF6E71" w:rsidP="00A7159E">
            <w:pPr>
              <w:jc w:val="center"/>
              <w:rPr>
                <w:rFonts w:eastAsia="Times New Roman"/>
                <w:color w:val="000000"/>
                <w:sz w:val="20"/>
                <w:szCs w:val="20"/>
                <w:u w:val="single"/>
              </w:rPr>
            </w:pPr>
            <w:r w:rsidRPr="00444DF4">
              <w:rPr>
                <w:rFonts w:eastAsia="Times New Roman"/>
                <w:color w:val="000000"/>
                <w:sz w:val="20"/>
                <w:szCs w:val="20"/>
                <w:u w:val="single"/>
              </w:rPr>
              <w:t>All sources</w:t>
            </w:r>
          </w:p>
        </w:tc>
        <w:tc>
          <w:tcPr>
            <w:tcW w:w="2181" w:type="dxa"/>
            <w:shd w:val="clear" w:color="auto" w:fill="auto"/>
            <w:noWrap/>
            <w:vAlign w:val="bottom"/>
            <w:hideMark/>
          </w:tcPr>
          <w:p w14:paraId="41060E6F" w14:textId="77777777" w:rsidR="00BF6E71" w:rsidRPr="00444DF4" w:rsidRDefault="00BF6E71" w:rsidP="00A7159E">
            <w:pPr>
              <w:jc w:val="center"/>
              <w:rPr>
                <w:rFonts w:eastAsia="Times New Roman"/>
                <w:color w:val="000000"/>
                <w:sz w:val="20"/>
                <w:szCs w:val="20"/>
                <w:u w:val="single"/>
              </w:rPr>
            </w:pPr>
            <w:r w:rsidRPr="00444DF4">
              <w:rPr>
                <w:rFonts w:eastAsia="Times New Roman"/>
                <w:color w:val="000000"/>
                <w:sz w:val="20"/>
                <w:szCs w:val="20"/>
                <w:u w:val="single"/>
              </w:rPr>
              <w:t>Mainland China</w:t>
            </w:r>
          </w:p>
        </w:tc>
        <w:tc>
          <w:tcPr>
            <w:tcW w:w="2410" w:type="dxa"/>
            <w:shd w:val="clear" w:color="auto" w:fill="auto"/>
            <w:noWrap/>
            <w:vAlign w:val="bottom"/>
            <w:hideMark/>
          </w:tcPr>
          <w:p w14:paraId="206498D6" w14:textId="77777777" w:rsidR="00BF6E71" w:rsidRPr="00444DF4" w:rsidRDefault="00BF6E71" w:rsidP="00A7159E">
            <w:pPr>
              <w:jc w:val="center"/>
              <w:rPr>
                <w:rFonts w:eastAsia="Times New Roman"/>
                <w:color w:val="000000"/>
                <w:sz w:val="20"/>
                <w:szCs w:val="20"/>
                <w:u w:val="single"/>
              </w:rPr>
            </w:pPr>
            <w:r w:rsidRPr="00444DF4">
              <w:rPr>
                <w:rFonts w:eastAsia="Times New Roman"/>
                <w:color w:val="000000"/>
                <w:sz w:val="20"/>
                <w:szCs w:val="20"/>
                <w:u w:val="single"/>
              </w:rPr>
              <w:t>Other short-haul markets</w:t>
            </w:r>
            <w:r w:rsidRPr="00444DF4">
              <w:rPr>
                <w:rFonts w:eastAsia="Times New Roman"/>
                <w:color w:val="000000"/>
                <w:sz w:val="20"/>
                <w:szCs w:val="20"/>
              </w:rPr>
              <w:t>*</w:t>
            </w:r>
          </w:p>
        </w:tc>
        <w:tc>
          <w:tcPr>
            <w:tcW w:w="2049" w:type="dxa"/>
            <w:shd w:val="clear" w:color="auto" w:fill="auto"/>
            <w:noWrap/>
            <w:vAlign w:val="bottom"/>
            <w:hideMark/>
          </w:tcPr>
          <w:p w14:paraId="4E47FB6B" w14:textId="77777777" w:rsidR="00BF6E71" w:rsidRPr="00444DF4" w:rsidRDefault="00BF6E71" w:rsidP="00A7159E">
            <w:pPr>
              <w:jc w:val="center"/>
              <w:rPr>
                <w:rFonts w:eastAsia="Times New Roman"/>
                <w:color w:val="000000"/>
                <w:sz w:val="20"/>
                <w:szCs w:val="20"/>
                <w:u w:val="single"/>
              </w:rPr>
            </w:pPr>
            <w:r w:rsidRPr="00444DF4">
              <w:rPr>
                <w:rFonts w:eastAsia="Times New Roman"/>
                <w:color w:val="000000"/>
                <w:sz w:val="20"/>
                <w:szCs w:val="20"/>
                <w:u w:val="single"/>
              </w:rPr>
              <w:t>Long-haul markets</w:t>
            </w:r>
            <w:r w:rsidRPr="00444DF4">
              <w:rPr>
                <w:rFonts w:eastAsia="Times New Roman"/>
                <w:color w:val="000000"/>
                <w:sz w:val="20"/>
                <w:szCs w:val="20"/>
              </w:rPr>
              <w:t>*</w:t>
            </w:r>
          </w:p>
        </w:tc>
      </w:tr>
      <w:tr w:rsidR="00BF6E71" w:rsidRPr="00444DF4" w14:paraId="6EBAB97E" w14:textId="77777777" w:rsidTr="00A7159E">
        <w:trPr>
          <w:trHeight w:val="20"/>
        </w:trPr>
        <w:tc>
          <w:tcPr>
            <w:tcW w:w="955" w:type="dxa"/>
            <w:shd w:val="clear" w:color="auto" w:fill="auto"/>
            <w:noWrap/>
            <w:vAlign w:val="bottom"/>
          </w:tcPr>
          <w:p w14:paraId="207AC878" w14:textId="77777777" w:rsidR="00BF6E71" w:rsidRPr="00444DF4" w:rsidRDefault="00BF6E71" w:rsidP="00A7159E">
            <w:pPr>
              <w:jc w:val="center"/>
              <w:rPr>
                <w:rFonts w:eastAsia="Times New Roman"/>
                <w:color w:val="000000"/>
                <w:sz w:val="10"/>
                <w:szCs w:val="10"/>
              </w:rPr>
            </w:pPr>
          </w:p>
        </w:tc>
        <w:tc>
          <w:tcPr>
            <w:tcW w:w="805" w:type="dxa"/>
            <w:shd w:val="clear" w:color="auto" w:fill="auto"/>
            <w:noWrap/>
            <w:vAlign w:val="bottom"/>
          </w:tcPr>
          <w:p w14:paraId="216968D4" w14:textId="77777777" w:rsidR="00BF6E71" w:rsidRPr="00444DF4" w:rsidRDefault="00BF6E71" w:rsidP="00A7159E">
            <w:pPr>
              <w:jc w:val="center"/>
              <w:rPr>
                <w:rFonts w:eastAsia="Times New Roman"/>
                <w:color w:val="000000"/>
                <w:sz w:val="10"/>
                <w:szCs w:val="10"/>
              </w:rPr>
            </w:pPr>
          </w:p>
        </w:tc>
        <w:tc>
          <w:tcPr>
            <w:tcW w:w="1792" w:type="dxa"/>
            <w:shd w:val="clear" w:color="auto" w:fill="auto"/>
            <w:noWrap/>
            <w:vAlign w:val="bottom"/>
          </w:tcPr>
          <w:p w14:paraId="63E7608F" w14:textId="77777777" w:rsidR="00BF6E71" w:rsidRPr="00444DF4" w:rsidRDefault="00BF6E71" w:rsidP="00A7159E">
            <w:pPr>
              <w:jc w:val="center"/>
              <w:rPr>
                <w:rFonts w:eastAsia="Times New Roman"/>
                <w:color w:val="000000"/>
                <w:sz w:val="10"/>
                <w:szCs w:val="10"/>
              </w:rPr>
            </w:pPr>
          </w:p>
        </w:tc>
        <w:tc>
          <w:tcPr>
            <w:tcW w:w="2181" w:type="dxa"/>
            <w:shd w:val="clear" w:color="auto" w:fill="auto"/>
            <w:noWrap/>
            <w:vAlign w:val="bottom"/>
          </w:tcPr>
          <w:p w14:paraId="3E703C18" w14:textId="77777777" w:rsidR="00BF6E71" w:rsidRPr="00444DF4" w:rsidRDefault="00BF6E71" w:rsidP="00A7159E">
            <w:pPr>
              <w:jc w:val="center"/>
              <w:rPr>
                <w:rFonts w:eastAsia="Times New Roman"/>
                <w:color w:val="000000"/>
                <w:sz w:val="10"/>
                <w:szCs w:val="10"/>
              </w:rPr>
            </w:pPr>
          </w:p>
        </w:tc>
        <w:tc>
          <w:tcPr>
            <w:tcW w:w="2410" w:type="dxa"/>
            <w:shd w:val="clear" w:color="auto" w:fill="auto"/>
            <w:noWrap/>
            <w:vAlign w:val="bottom"/>
          </w:tcPr>
          <w:p w14:paraId="72BE3F01" w14:textId="77777777" w:rsidR="00BF6E71" w:rsidRPr="00444DF4" w:rsidRDefault="00BF6E71" w:rsidP="00A7159E">
            <w:pPr>
              <w:jc w:val="center"/>
              <w:rPr>
                <w:rFonts w:eastAsia="Times New Roman"/>
                <w:color w:val="000000"/>
                <w:sz w:val="10"/>
                <w:szCs w:val="10"/>
              </w:rPr>
            </w:pPr>
          </w:p>
        </w:tc>
        <w:tc>
          <w:tcPr>
            <w:tcW w:w="2049" w:type="dxa"/>
            <w:shd w:val="clear" w:color="auto" w:fill="auto"/>
            <w:noWrap/>
            <w:vAlign w:val="bottom"/>
          </w:tcPr>
          <w:p w14:paraId="078404D9" w14:textId="77777777" w:rsidR="00BF6E71" w:rsidRPr="00444DF4" w:rsidRDefault="00BF6E71" w:rsidP="00A7159E">
            <w:pPr>
              <w:jc w:val="center"/>
              <w:rPr>
                <w:rFonts w:eastAsia="Times New Roman"/>
                <w:color w:val="000000"/>
                <w:sz w:val="10"/>
                <w:szCs w:val="10"/>
              </w:rPr>
            </w:pPr>
          </w:p>
        </w:tc>
      </w:tr>
      <w:tr w:rsidR="00BF6E71" w:rsidRPr="00444DF4" w14:paraId="42F115C0" w14:textId="77777777" w:rsidTr="00A7159E">
        <w:trPr>
          <w:trHeight w:val="282"/>
        </w:trPr>
        <w:tc>
          <w:tcPr>
            <w:tcW w:w="955" w:type="dxa"/>
            <w:shd w:val="clear" w:color="auto" w:fill="auto"/>
            <w:noWrap/>
            <w:vAlign w:val="bottom"/>
            <w:hideMark/>
          </w:tcPr>
          <w:p w14:paraId="0C6B0D9D"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2019</w:t>
            </w:r>
          </w:p>
        </w:tc>
        <w:tc>
          <w:tcPr>
            <w:tcW w:w="805" w:type="dxa"/>
            <w:shd w:val="clear" w:color="auto" w:fill="auto"/>
            <w:noWrap/>
            <w:vAlign w:val="bottom"/>
            <w:hideMark/>
          </w:tcPr>
          <w:p w14:paraId="01F5F6D0"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hideMark/>
          </w:tcPr>
          <w:p w14:paraId="540A349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18 234 400</w:t>
            </w:r>
          </w:p>
        </w:tc>
        <w:tc>
          <w:tcPr>
            <w:tcW w:w="2181" w:type="dxa"/>
            <w:shd w:val="clear" w:color="auto" w:fill="auto"/>
            <w:noWrap/>
            <w:vAlign w:val="bottom"/>
            <w:hideMark/>
          </w:tcPr>
          <w:p w14:paraId="268FA8E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14 582 200</w:t>
            </w:r>
          </w:p>
        </w:tc>
        <w:tc>
          <w:tcPr>
            <w:tcW w:w="2410" w:type="dxa"/>
            <w:shd w:val="clear" w:color="auto" w:fill="auto"/>
            <w:noWrap/>
            <w:vAlign w:val="bottom"/>
            <w:hideMark/>
          </w:tcPr>
          <w:p w14:paraId="70503515"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2 486 500</w:t>
            </w:r>
          </w:p>
        </w:tc>
        <w:tc>
          <w:tcPr>
            <w:tcW w:w="2049" w:type="dxa"/>
            <w:shd w:val="clear" w:color="auto" w:fill="auto"/>
            <w:noWrap/>
            <w:vAlign w:val="bottom"/>
            <w:hideMark/>
          </w:tcPr>
          <w:p w14:paraId="50114E2E"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1 165 700</w:t>
            </w:r>
          </w:p>
        </w:tc>
      </w:tr>
      <w:tr w:rsidR="00BF6E71" w:rsidRPr="00444DF4" w14:paraId="49892EBE" w14:textId="77777777" w:rsidTr="00A7159E">
        <w:trPr>
          <w:trHeight w:val="282"/>
        </w:trPr>
        <w:tc>
          <w:tcPr>
            <w:tcW w:w="955" w:type="dxa"/>
            <w:shd w:val="clear" w:color="auto" w:fill="auto"/>
            <w:noWrap/>
            <w:vAlign w:val="bottom"/>
            <w:hideMark/>
          </w:tcPr>
          <w:p w14:paraId="35DC34D4"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hideMark/>
          </w:tcPr>
          <w:p w14:paraId="5BE366D5"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hideMark/>
          </w:tcPr>
          <w:p w14:paraId="3DECCD99"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16 637 500</w:t>
            </w:r>
          </w:p>
        </w:tc>
        <w:tc>
          <w:tcPr>
            <w:tcW w:w="2181" w:type="dxa"/>
            <w:shd w:val="clear" w:color="auto" w:fill="auto"/>
            <w:noWrap/>
            <w:vAlign w:val="bottom"/>
            <w:hideMark/>
          </w:tcPr>
          <w:p w14:paraId="409846B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12 991 300</w:t>
            </w:r>
          </w:p>
        </w:tc>
        <w:tc>
          <w:tcPr>
            <w:tcW w:w="2410" w:type="dxa"/>
            <w:shd w:val="clear" w:color="auto" w:fill="auto"/>
            <w:noWrap/>
            <w:vAlign w:val="bottom"/>
            <w:hideMark/>
          </w:tcPr>
          <w:p w14:paraId="2CDDB60B"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2 448 200</w:t>
            </w:r>
          </w:p>
        </w:tc>
        <w:tc>
          <w:tcPr>
            <w:tcW w:w="2049" w:type="dxa"/>
            <w:shd w:val="clear" w:color="auto" w:fill="auto"/>
            <w:noWrap/>
            <w:vAlign w:val="bottom"/>
            <w:hideMark/>
          </w:tcPr>
          <w:p w14:paraId="509D9C7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1 198 000</w:t>
            </w:r>
          </w:p>
        </w:tc>
      </w:tr>
      <w:tr w:rsidR="00BF6E71" w:rsidRPr="00444DF4" w14:paraId="3481BFEE" w14:textId="77777777" w:rsidTr="00A7159E">
        <w:trPr>
          <w:trHeight w:val="282"/>
        </w:trPr>
        <w:tc>
          <w:tcPr>
            <w:tcW w:w="955" w:type="dxa"/>
            <w:shd w:val="clear" w:color="auto" w:fill="auto"/>
            <w:noWrap/>
            <w:vAlign w:val="bottom"/>
            <w:hideMark/>
          </w:tcPr>
          <w:p w14:paraId="2ED305DE"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hideMark/>
          </w:tcPr>
          <w:p w14:paraId="7094DD2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hideMark/>
          </w:tcPr>
          <w:p w14:paraId="19F41FC5"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11 891 600</w:t>
            </w:r>
          </w:p>
        </w:tc>
        <w:tc>
          <w:tcPr>
            <w:tcW w:w="2181" w:type="dxa"/>
            <w:shd w:val="clear" w:color="auto" w:fill="auto"/>
            <w:noWrap/>
            <w:vAlign w:val="bottom"/>
            <w:hideMark/>
          </w:tcPr>
          <w:p w14:paraId="457387E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9 356 000</w:t>
            </w:r>
          </w:p>
        </w:tc>
        <w:tc>
          <w:tcPr>
            <w:tcW w:w="2410" w:type="dxa"/>
            <w:shd w:val="clear" w:color="auto" w:fill="auto"/>
            <w:noWrap/>
            <w:vAlign w:val="bottom"/>
            <w:hideMark/>
          </w:tcPr>
          <w:p w14:paraId="7C30AF3B"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1 648 000</w:t>
            </w:r>
          </w:p>
        </w:tc>
        <w:tc>
          <w:tcPr>
            <w:tcW w:w="2049" w:type="dxa"/>
            <w:shd w:val="clear" w:color="auto" w:fill="auto"/>
            <w:noWrap/>
            <w:vAlign w:val="bottom"/>
            <w:hideMark/>
          </w:tcPr>
          <w:p w14:paraId="72BF6B3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887 600</w:t>
            </w:r>
          </w:p>
        </w:tc>
      </w:tr>
      <w:tr w:rsidR="00BF6E71" w:rsidRPr="00444DF4" w14:paraId="005EA723" w14:textId="77777777" w:rsidTr="00A7159E">
        <w:trPr>
          <w:trHeight w:val="282"/>
        </w:trPr>
        <w:tc>
          <w:tcPr>
            <w:tcW w:w="955" w:type="dxa"/>
            <w:shd w:val="clear" w:color="auto" w:fill="auto"/>
            <w:noWrap/>
            <w:vAlign w:val="bottom"/>
          </w:tcPr>
          <w:p w14:paraId="70ACCCEC"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303E742B"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66FB67F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9 149 200</w:t>
            </w:r>
          </w:p>
        </w:tc>
        <w:tc>
          <w:tcPr>
            <w:tcW w:w="2181" w:type="dxa"/>
            <w:shd w:val="clear" w:color="auto" w:fill="auto"/>
            <w:noWrap/>
            <w:vAlign w:val="bottom"/>
          </w:tcPr>
          <w:p w14:paraId="55D06078"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6 845 100</w:t>
            </w:r>
          </w:p>
        </w:tc>
        <w:tc>
          <w:tcPr>
            <w:tcW w:w="2410" w:type="dxa"/>
            <w:shd w:val="clear" w:color="auto" w:fill="auto"/>
            <w:noWrap/>
            <w:vAlign w:val="bottom"/>
          </w:tcPr>
          <w:p w14:paraId="3611D175"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1 356 900</w:t>
            </w:r>
          </w:p>
        </w:tc>
        <w:tc>
          <w:tcPr>
            <w:tcW w:w="2049" w:type="dxa"/>
            <w:shd w:val="clear" w:color="auto" w:fill="auto"/>
            <w:noWrap/>
            <w:vAlign w:val="bottom"/>
          </w:tcPr>
          <w:p w14:paraId="649D44A0"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947 100</w:t>
            </w:r>
          </w:p>
        </w:tc>
      </w:tr>
      <w:tr w:rsidR="00BF6E71" w:rsidRPr="00444DF4" w14:paraId="0A411488" w14:textId="77777777" w:rsidTr="00A7159E">
        <w:trPr>
          <w:trHeight w:val="20"/>
        </w:trPr>
        <w:tc>
          <w:tcPr>
            <w:tcW w:w="955" w:type="dxa"/>
            <w:shd w:val="clear" w:color="auto" w:fill="auto"/>
            <w:noWrap/>
            <w:vAlign w:val="bottom"/>
          </w:tcPr>
          <w:p w14:paraId="4A3EAA9A" w14:textId="77777777" w:rsidR="00BF6E71" w:rsidRPr="00444DF4" w:rsidRDefault="00BF6E71" w:rsidP="00A7159E">
            <w:pPr>
              <w:jc w:val="center"/>
              <w:rPr>
                <w:rFonts w:eastAsia="Times New Roman"/>
                <w:color w:val="000000"/>
                <w:sz w:val="10"/>
                <w:szCs w:val="10"/>
              </w:rPr>
            </w:pPr>
          </w:p>
        </w:tc>
        <w:tc>
          <w:tcPr>
            <w:tcW w:w="805" w:type="dxa"/>
            <w:shd w:val="clear" w:color="auto" w:fill="auto"/>
            <w:noWrap/>
            <w:vAlign w:val="bottom"/>
          </w:tcPr>
          <w:p w14:paraId="6123BB53" w14:textId="77777777" w:rsidR="00BF6E71" w:rsidRPr="00444DF4" w:rsidRDefault="00BF6E71" w:rsidP="00A7159E">
            <w:pPr>
              <w:jc w:val="center"/>
              <w:rPr>
                <w:rFonts w:eastAsia="Times New Roman"/>
                <w:color w:val="000000"/>
                <w:sz w:val="10"/>
                <w:szCs w:val="10"/>
              </w:rPr>
            </w:pPr>
          </w:p>
        </w:tc>
        <w:tc>
          <w:tcPr>
            <w:tcW w:w="1792" w:type="dxa"/>
            <w:shd w:val="clear" w:color="auto" w:fill="auto"/>
            <w:noWrap/>
            <w:vAlign w:val="bottom"/>
          </w:tcPr>
          <w:p w14:paraId="32D63E2A" w14:textId="77777777" w:rsidR="00BF6E71" w:rsidRPr="00444DF4" w:rsidRDefault="00BF6E71" w:rsidP="00A7159E">
            <w:pPr>
              <w:jc w:val="center"/>
              <w:rPr>
                <w:rFonts w:eastAsia="Times New Roman"/>
                <w:color w:val="000000"/>
                <w:sz w:val="10"/>
                <w:szCs w:val="10"/>
              </w:rPr>
            </w:pPr>
          </w:p>
        </w:tc>
        <w:tc>
          <w:tcPr>
            <w:tcW w:w="2181" w:type="dxa"/>
            <w:shd w:val="clear" w:color="auto" w:fill="auto"/>
            <w:noWrap/>
            <w:vAlign w:val="bottom"/>
          </w:tcPr>
          <w:p w14:paraId="601B9105" w14:textId="77777777" w:rsidR="00BF6E71" w:rsidRPr="00444DF4" w:rsidRDefault="00BF6E71" w:rsidP="00A7159E">
            <w:pPr>
              <w:jc w:val="center"/>
              <w:rPr>
                <w:rFonts w:eastAsia="Times New Roman"/>
                <w:color w:val="000000"/>
                <w:sz w:val="10"/>
                <w:szCs w:val="10"/>
              </w:rPr>
            </w:pPr>
          </w:p>
        </w:tc>
        <w:tc>
          <w:tcPr>
            <w:tcW w:w="2410" w:type="dxa"/>
            <w:shd w:val="clear" w:color="auto" w:fill="auto"/>
            <w:noWrap/>
            <w:vAlign w:val="bottom"/>
          </w:tcPr>
          <w:p w14:paraId="1C975CC3" w14:textId="77777777" w:rsidR="00BF6E71" w:rsidRPr="00444DF4" w:rsidRDefault="00BF6E71" w:rsidP="00A7159E">
            <w:pPr>
              <w:jc w:val="center"/>
              <w:rPr>
                <w:rFonts w:eastAsia="Times New Roman"/>
                <w:color w:val="000000"/>
                <w:sz w:val="10"/>
                <w:szCs w:val="10"/>
              </w:rPr>
            </w:pPr>
          </w:p>
        </w:tc>
        <w:tc>
          <w:tcPr>
            <w:tcW w:w="2049" w:type="dxa"/>
            <w:shd w:val="clear" w:color="auto" w:fill="auto"/>
            <w:noWrap/>
            <w:vAlign w:val="bottom"/>
          </w:tcPr>
          <w:p w14:paraId="75CE668D" w14:textId="77777777" w:rsidR="00BF6E71" w:rsidRPr="00444DF4" w:rsidRDefault="00BF6E71" w:rsidP="00A7159E">
            <w:pPr>
              <w:jc w:val="center"/>
              <w:rPr>
                <w:rFonts w:eastAsia="Times New Roman"/>
                <w:color w:val="000000"/>
                <w:sz w:val="10"/>
                <w:szCs w:val="10"/>
              </w:rPr>
            </w:pPr>
          </w:p>
        </w:tc>
      </w:tr>
      <w:tr w:rsidR="00BF6E71" w:rsidRPr="00444DF4" w14:paraId="44B1E3B1" w14:textId="77777777" w:rsidTr="00A7159E">
        <w:trPr>
          <w:trHeight w:val="282"/>
        </w:trPr>
        <w:tc>
          <w:tcPr>
            <w:tcW w:w="955" w:type="dxa"/>
            <w:shd w:val="clear" w:color="auto" w:fill="auto"/>
            <w:noWrap/>
            <w:vAlign w:val="bottom"/>
            <w:hideMark/>
          </w:tcPr>
          <w:p w14:paraId="7DBD48B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2020</w:t>
            </w:r>
          </w:p>
        </w:tc>
        <w:tc>
          <w:tcPr>
            <w:tcW w:w="805" w:type="dxa"/>
            <w:shd w:val="clear" w:color="auto" w:fill="auto"/>
            <w:noWrap/>
            <w:vAlign w:val="bottom"/>
            <w:hideMark/>
          </w:tcPr>
          <w:p w14:paraId="619AC3B5"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hideMark/>
          </w:tcPr>
          <w:p w14:paraId="0952D81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3 489 200</w:t>
            </w:r>
          </w:p>
        </w:tc>
        <w:tc>
          <w:tcPr>
            <w:tcW w:w="2181" w:type="dxa"/>
            <w:shd w:val="clear" w:color="auto" w:fill="auto"/>
            <w:noWrap/>
            <w:vAlign w:val="bottom"/>
            <w:hideMark/>
          </w:tcPr>
          <w:p w14:paraId="4A389BF5"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2 665 900</w:t>
            </w:r>
          </w:p>
        </w:tc>
        <w:tc>
          <w:tcPr>
            <w:tcW w:w="2410" w:type="dxa"/>
            <w:shd w:val="clear" w:color="auto" w:fill="auto"/>
            <w:noWrap/>
            <w:vAlign w:val="bottom"/>
            <w:hideMark/>
          </w:tcPr>
          <w:p w14:paraId="78C3E948"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483 500</w:t>
            </w:r>
          </w:p>
        </w:tc>
        <w:tc>
          <w:tcPr>
            <w:tcW w:w="2049" w:type="dxa"/>
            <w:shd w:val="clear" w:color="auto" w:fill="auto"/>
            <w:noWrap/>
            <w:vAlign w:val="bottom"/>
            <w:hideMark/>
          </w:tcPr>
          <w:p w14:paraId="0ED962D9"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339 800</w:t>
            </w:r>
          </w:p>
        </w:tc>
      </w:tr>
      <w:tr w:rsidR="00BF6E71" w:rsidRPr="00444DF4" w14:paraId="3B0EAC9E" w14:textId="77777777" w:rsidTr="00A7159E">
        <w:trPr>
          <w:trHeight w:val="282"/>
        </w:trPr>
        <w:tc>
          <w:tcPr>
            <w:tcW w:w="955" w:type="dxa"/>
            <w:shd w:val="clear" w:color="auto" w:fill="auto"/>
            <w:noWrap/>
            <w:vAlign w:val="bottom"/>
            <w:hideMark/>
          </w:tcPr>
          <w:p w14:paraId="7778D45D"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hideMark/>
          </w:tcPr>
          <w:p w14:paraId="7177F688"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hideMark/>
          </w:tcPr>
          <w:p w14:paraId="2239BE4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26 900</w:t>
            </w:r>
          </w:p>
        </w:tc>
        <w:tc>
          <w:tcPr>
            <w:tcW w:w="2181" w:type="dxa"/>
            <w:shd w:val="clear" w:color="auto" w:fill="auto"/>
            <w:noWrap/>
            <w:vAlign w:val="bottom"/>
            <w:hideMark/>
          </w:tcPr>
          <w:p w14:paraId="1C44D7C0"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15 300</w:t>
            </w:r>
          </w:p>
        </w:tc>
        <w:tc>
          <w:tcPr>
            <w:tcW w:w="2410" w:type="dxa"/>
            <w:shd w:val="clear" w:color="auto" w:fill="auto"/>
            <w:noWrap/>
            <w:vAlign w:val="bottom"/>
            <w:hideMark/>
          </w:tcPr>
          <w:p w14:paraId="1815983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4 800</w:t>
            </w:r>
          </w:p>
        </w:tc>
        <w:tc>
          <w:tcPr>
            <w:tcW w:w="2049" w:type="dxa"/>
            <w:shd w:val="clear" w:color="auto" w:fill="auto"/>
            <w:noWrap/>
            <w:vAlign w:val="bottom"/>
            <w:hideMark/>
          </w:tcPr>
          <w:p w14:paraId="0F7C9FE4"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6 700</w:t>
            </w:r>
          </w:p>
        </w:tc>
      </w:tr>
      <w:tr w:rsidR="00BF6E71" w:rsidRPr="00444DF4" w14:paraId="12BC3470" w14:textId="77777777" w:rsidTr="00A7159E">
        <w:trPr>
          <w:trHeight w:val="282"/>
        </w:trPr>
        <w:tc>
          <w:tcPr>
            <w:tcW w:w="955" w:type="dxa"/>
            <w:shd w:val="clear" w:color="auto" w:fill="auto"/>
            <w:noWrap/>
            <w:vAlign w:val="bottom"/>
            <w:hideMark/>
          </w:tcPr>
          <w:p w14:paraId="3D010B7B"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hideMark/>
          </w:tcPr>
          <w:p w14:paraId="6C223E9B"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hideMark/>
          </w:tcPr>
          <w:p w14:paraId="78C8A0BD"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34 100</w:t>
            </w:r>
          </w:p>
        </w:tc>
        <w:tc>
          <w:tcPr>
            <w:tcW w:w="2181" w:type="dxa"/>
            <w:shd w:val="clear" w:color="auto" w:fill="auto"/>
            <w:noWrap/>
            <w:vAlign w:val="bottom"/>
            <w:hideMark/>
          </w:tcPr>
          <w:p w14:paraId="43CB6A2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14 300</w:t>
            </w:r>
          </w:p>
        </w:tc>
        <w:tc>
          <w:tcPr>
            <w:tcW w:w="2410" w:type="dxa"/>
            <w:shd w:val="clear" w:color="auto" w:fill="auto"/>
            <w:noWrap/>
            <w:vAlign w:val="bottom"/>
            <w:hideMark/>
          </w:tcPr>
          <w:p w14:paraId="6DB4E908"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10 200</w:t>
            </w:r>
          </w:p>
        </w:tc>
        <w:tc>
          <w:tcPr>
            <w:tcW w:w="2049" w:type="dxa"/>
            <w:shd w:val="clear" w:color="auto" w:fill="auto"/>
            <w:noWrap/>
            <w:vAlign w:val="bottom"/>
            <w:hideMark/>
          </w:tcPr>
          <w:p w14:paraId="505CC9F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9 700</w:t>
            </w:r>
          </w:p>
        </w:tc>
      </w:tr>
      <w:tr w:rsidR="00BF6E71" w:rsidRPr="00444DF4" w14:paraId="6E0C0016" w14:textId="77777777" w:rsidTr="00A7159E">
        <w:trPr>
          <w:trHeight w:val="282"/>
        </w:trPr>
        <w:tc>
          <w:tcPr>
            <w:tcW w:w="955" w:type="dxa"/>
            <w:shd w:val="clear" w:color="auto" w:fill="auto"/>
            <w:noWrap/>
            <w:vAlign w:val="bottom"/>
          </w:tcPr>
          <w:p w14:paraId="59347943"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4D1CF19B"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6A6DA138"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18 600</w:t>
            </w:r>
          </w:p>
        </w:tc>
        <w:tc>
          <w:tcPr>
            <w:tcW w:w="2181" w:type="dxa"/>
            <w:shd w:val="clear" w:color="auto" w:fill="auto"/>
            <w:noWrap/>
            <w:vAlign w:val="bottom"/>
          </w:tcPr>
          <w:p w14:paraId="0ACEE05A"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10 900</w:t>
            </w:r>
          </w:p>
        </w:tc>
        <w:tc>
          <w:tcPr>
            <w:tcW w:w="2410" w:type="dxa"/>
            <w:shd w:val="clear" w:color="auto" w:fill="auto"/>
            <w:noWrap/>
            <w:vAlign w:val="bottom"/>
          </w:tcPr>
          <w:p w14:paraId="3D818B9A"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5 100</w:t>
            </w:r>
          </w:p>
        </w:tc>
        <w:tc>
          <w:tcPr>
            <w:tcW w:w="2049" w:type="dxa"/>
            <w:shd w:val="clear" w:color="auto" w:fill="auto"/>
            <w:noWrap/>
            <w:vAlign w:val="bottom"/>
          </w:tcPr>
          <w:p w14:paraId="2DD5618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2 700</w:t>
            </w:r>
          </w:p>
        </w:tc>
      </w:tr>
      <w:tr w:rsidR="00BF6E71" w:rsidRPr="00444DF4" w14:paraId="7FE66410" w14:textId="77777777" w:rsidTr="00A7159E">
        <w:trPr>
          <w:trHeight w:val="20"/>
        </w:trPr>
        <w:tc>
          <w:tcPr>
            <w:tcW w:w="955" w:type="dxa"/>
            <w:shd w:val="clear" w:color="auto" w:fill="auto"/>
            <w:noWrap/>
            <w:vAlign w:val="bottom"/>
          </w:tcPr>
          <w:p w14:paraId="5D6C5017" w14:textId="77777777" w:rsidR="00BF6E71" w:rsidRPr="00444DF4" w:rsidRDefault="00BF6E71" w:rsidP="00A7159E">
            <w:pPr>
              <w:jc w:val="center"/>
              <w:rPr>
                <w:rFonts w:eastAsia="Times New Roman"/>
                <w:color w:val="000000"/>
                <w:sz w:val="10"/>
                <w:szCs w:val="10"/>
              </w:rPr>
            </w:pPr>
          </w:p>
        </w:tc>
        <w:tc>
          <w:tcPr>
            <w:tcW w:w="805" w:type="dxa"/>
            <w:shd w:val="clear" w:color="auto" w:fill="auto"/>
            <w:noWrap/>
            <w:vAlign w:val="bottom"/>
          </w:tcPr>
          <w:p w14:paraId="1F496530" w14:textId="77777777" w:rsidR="00BF6E71" w:rsidRPr="00444DF4" w:rsidRDefault="00BF6E71" w:rsidP="00A7159E">
            <w:pPr>
              <w:jc w:val="center"/>
              <w:rPr>
                <w:rFonts w:eastAsia="Times New Roman"/>
                <w:color w:val="000000"/>
                <w:sz w:val="10"/>
                <w:szCs w:val="10"/>
              </w:rPr>
            </w:pPr>
          </w:p>
        </w:tc>
        <w:tc>
          <w:tcPr>
            <w:tcW w:w="1792" w:type="dxa"/>
            <w:shd w:val="clear" w:color="auto" w:fill="auto"/>
            <w:noWrap/>
            <w:vAlign w:val="bottom"/>
          </w:tcPr>
          <w:p w14:paraId="5DBBAC51" w14:textId="77777777" w:rsidR="00BF6E71" w:rsidRPr="00444DF4" w:rsidRDefault="00BF6E71" w:rsidP="00A7159E">
            <w:pPr>
              <w:jc w:val="center"/>
              <w:rPr>
                <w:rFonts w:eastAsia="Times New Roman"/>
                <w:color w:val="000000"/>
                <w:sz w:val="10"/>
                <w:szCs w:val="10"/>
              </w:rPr>
            </w:pPr>
          </w:p>
        </w:tc>
        <w:tc>
          <w:tcPr>
            <w:tcW w:w="2181" w:type="dxa"/>
            <w:shd w:val="clear" w:color="auto" w:fill="auto"/>
            <w:noWrap/>
            <w:vAlign w:val="bottom"/>
          </w:tcPr>
          <w:p w14:paraId="03CE7D04" w14:textId="77777777" w:rsidR="00BF6E71" w:rsidRPr="00444DF4" w:rsidRDefault="00BF6E71" w:rsidP="00A7159E">
            <w:pPr>
              <w:jc w:val="center"/>
              <w:rPr>
                <w:rFonts w:eastAsia="Times New Roman"/>
                <w:color w:val="000000"/>
                <w:sz w:val="10"/>
                <w:szCs w:val="10"/>
              </w:rPr>
            </w:pPr>
          </w:p>
        </w:tc>
        <w:tc>
          <w:tcPr>
            <w:tcW w:w="2410" w:type="dxa"/>
            <w:shd w:val="clear" w:color="auto" w:fill="auto"/>
            <w:noWrap/>
            <w:vAlign w:val="bottom"/>
          </w:tcPr>
          <w:p w14:paraId="239EB0E9" w14:textId="77777777" w:rsidR="00BF6E71" w:rsidRPr="00444DF4" w:rsidRDefault="00BF6E71" w:rsidP="00A7159E">
            <w:pPr>
              <w:jc w:val="center"/>
              <w:rPr>
                <w:rFonts w:eastAsia="Times New Roman"/>
                <w:color w:val="000000"/>
                <w:sz w:val="10"/>
                <w:szCs w:val="10"/>
              </w:rPr>
            </w:pPr>
          </w:p>
        </w:tc>
        <w:tc>
          <w:tcPr>
            <w:tcW w:w="2049" w:type="dxa"/>
            <w:shd w:val="clear" w:color="auto" w:fill="auto"/>
            <w:noWrap/>
            <w:vAlign w:val="bottom"/>
          </w:tcPr>
          <w:p w14:paraId="19F5A5CD" w14:textId="77777777" w:rsidR="00BF6E71" w:rsidRPr="00444DF4" w:rsidRDefault="00BF6E71" w:rsidP="00A7159E">
            <w:pPr>
              <w:jc w:val="center"/>
              <w:rPr>
                <w:rFonts w:eastAsia="Times New Roman"/>
                <w:color w:val="000000"/>
                <w:sz w:val="10"/>
                <w:szCs w:val="10"/>
              </w:rPr>
            </w:pPr>
          </w:p>
        </w:tc>
      </w:tr>
      <w:tr w:rsidR="00BF6E71" w:rsidRPr="00444DF4" w14:paraId="7641F8AE" w14:textId="77777777" w:rsidTr="00A7159E">
        <w:trPr>
          <w:trHeight w:val="282"/>
        </w:trPr>
        <w:tc>
          <w:tcPr>
            <w:tcW w:w="955" w:type="dxa"/>
            <w:shd w:val="clear" w:color="auto" w:fill="auto"/>
            <w:noWrap/>
            <w:vAlign w:val="bottom"/>
            <w:hideMark/>
          </w:tcPr>
          <w:p w14:paraId="4499BBAA"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2021</w:t>
            </w:r>
          </w:p>
        </w:tc>
        <w:tc>
          <w:tcPr>
            <w:tcW w:w="805" w:type="dxa"/>
            <w:shd w:val="clear" w:color="auto" w:fill="auto"/>
            <w:noWrap/>
            <w:vAlign w:val="bottom"/>
            <w:hideMark/>
          </w:tcPr>
          <w:p w14:paraId="58C13A5B"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hideMark/>
          </w:tcPr>
          <w:p w14:paraId="07E8877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16 500</w:t>
            </w:r>
          </w:p>
        </w:tc>
        <w:tc>
          <w:tcPr>
            <w:tcW w:w="2181" w:type="dxa"/>
            <w:shd w:val="clear" w:color="auto" w:fill="auto"/>
            <w:noWrap/>
            <w:vAlign w:val="bottom"/>
            <w:hideMark/>
          </w:tcPr>
          <w:p w14:paraId="7EA24C0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11 600</w:t>
            </w:r>
          </w:p>
        </w:tc>
        <w:tc>
          <w:tcPr>
            <w:tcW w:w="2410" w:type="dxa"/>
            <w:shd w:val="clear" w:color="auto" w:fill="auto"/>
            <w:noWrap/>
            <w:vAlign w:val="bottom"/>
            <w:hideMark/>
          </w:tcPr>
          <w:p w14:paraId="334B9A49"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3 100</w:t>
            </w:r>
          </w:p>
        </w:tc>
        <w:tc>
          <w:tcPr>
            <w:tcW w:w="2049" w:type="dxa"/>
            <w:shd w:val="clear" w:color="auto" w:fill="auto"/>
            <w:noWrap/>
            <w:vAlign w:val="bottom"/>
            <w:hideMark/>
          </w:tcPr>
          <w:p w14:paraId="766AB22A"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1 900</w:t>
            </w:r>
          </w:p>
        </w:tc>
      </w:tr>
      <w:tr w:rsidR="00BF6E71" w:rsidRPr="00444DF4" w14:paraId="5190F2E2" w14:textId="77777777" w:rsidTr="00A7159E">
        <w:trPr>
          <w:trHeight w:val="282"/>
        </w:trPr>
        <w:tc>
          <w:tcPr>
            <w:tcW w:w="955" w:type="dxa"/>
            <w:shd w:val="clear" w:color="auto" w:fill="auto"/>
            <w:noWrap/>
            <w:vAlign w:val="bottom"/>
          </w:tcPr>
          <w:p w14:paraId="5BEE1C20"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58B9EDA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tcPr>
          <w:p w14:paraId="6FDE6346"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17 200</w:t>
            </w:r>
          </w:p>
        </w:tc>
        <w:tc>
          <w:tcPr>
            <w:tcW w:w="2181" w:type="dxa"/>
            <w:shd w:val="clear" w:color="auto" w:fill="auto"/>
            <w:noWrap/>
            <w:vAlign w:val="bottom"/>
          </w:tcPr>
          <w:p w14:paraId="4193653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12 700</w:t>
            </w:r>
          </w:p>
        </w:tc>
        <w:tc>
          <w:tcPr>
            <w:tcW w:w="2410" w:type="dxa"/>
            <w:shd w:val="clear" w:color="auto" w:fill="auto"/>
            <w:noWrap/>
            <w:vAlign w:val="bottom"/>
          </w:tcPr>
          <w:p w14:paraId="4E9E173D"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2 400</w:t>
            </w:r>
          </w:p>
        </w:tc>
        <w:tc>
          <w:tcPr>
            <w:tcW w:w="2049" w:type="dxa"/>
            <w:shd w:val="clear" w:color="auto" w:fill="auto"/>
            <w:noWrap/>
            <w:vAlign w:val="bottom"/>
          </w:tcPr>
          <w:p w14:paraId="21EE647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2 100</w:t>
            </w:r>
          </w:p>
        </w:tc>
      </w:tr>
      <w:tr w:rsidR="00BF6E71" w:rsidRPr="00444DF4" w14:paraId="608E1491" w14:textId="77777777" w:rsidTr="00A7159E">
        <w:trPr>
          <w:trHeight w:val="282"/>
        </w:trPr>
        <w:tc>
          <w:tcPr>
            <w:tcW w:w="955" w:type="dxa"/>
            <w:shd w:val="clear" w:color="auto" w:fill="auto"/>
            <w:noWrap/>
            <w:vAlign w:val="bottom"/>
          </w:tcPr>
          <w:p w14:paraId="40C2B725"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08F8E7A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tcPr>
          <w:p w14:paraId="4FDAAF2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29 400</w:t>
            </w:r>
          </w:p>
        </w:tc>
        <w:tc>
          <w:tcPr>
            <w:tcW w:w="2181" w:type="dxa"/>
            <w:shd w:val="clear" w:color="auto" w:fill="auto"/>
            <w:noWrap/>
            <w:vAlign w:val="bottom"/>
          </w:tcPr>
          <w:p w14:paraId="137E56B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21 800</w:t>
            </w:r>
          </w:p>
        </w:tc>
        <w:tc>
          <w:tcPr>
            <w:tcW w:w="2410" w:type="dxa"/>
            <w:shd w:val="clear" w:color="auto" w:fill="auto"/>
            <w:noWrap/>
            <w:vAlign w:val="bottom"/>
          </w:tcPr>
          <w:p w14:paraId="70D090E0"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4 300</w:t>
            </w:r>
          </w:p>
        </w:tc>
        <w:tc>
          <w:tcPr>
            <w:tcW w:w="2049" w:type="dxa"/>
            <w:shd w:val="clear" w:color="auto" w:fill="auto"/>
            <w:noWrap/>
            <w:vAlign w:val="bottom"/>
          </w:tcPr>
          <w:p w14:paraId="0C52D3A5"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3 200</w:t>
            </w:r>
          </w:p>
        </w:tc>
      </w:tr>
      <w:tr w:rsidR="00BF6E71" w:rsidRPr="00444DF4" w14:paraId="0C843908" w14:textId="77777777" w:rsidTr="00A7159E">
        <w:trPr>
          <w:trHeight w:val="282"/>
        </w:trPr>
        <w:tc>
          <w:tcPr>
            <w:tcW w:w="955" w:type="dxa"/>
            <w:shd w:val="clear" w:color="auto" w:fill="auto"/>
            <w:noWrap/>
            <w:vAlign w:val="bottom"/>
          </w:tcPr>
          <w:p w14:paraId="45B7DE49"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39D767AB"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17B0DA19"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28 300</w:t>
            </w:r>
          </w:p>
        </w:tc>
        <w:tc>
          <w:tcPr>
            <w:tcW w:w="2181" w:type="dxa"/>
            <w:shd w:val="clear" w:color="auto" w:fill="auto"/>
            <w:noWrap/>
            <w:vAlign w:val="bottom"/>
          </w:tcPr>
          <w:p w14:paraId="76ABB5CA"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19 700</w:t>
            </w:r>
          </w:p>
        </w:tc>
        <w:tc>
          <w:tcPr>
            <w:tcW w:w="2410" w:type="dxa"/>
            <w:shd w:val="clear" w:color="auto" w:fill="auto"/>
            <w:noWrap/>
            <w:vAlign w:val="bottom"/>
          </w:tcPr>
          <w:p w14:paraId="3469F5E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5 200</w:t>
            </w:r>
          </w:p>
        </w:tc>
        <w:tc>
          <w:tcPr>
            <w:tcW w:w="2049" w:type="dxa"/>
            <w:shd w:val="clear" w:color="auto" w:fill="auto"/>
            <w:noWrap/>
            <w:vAlign w:val="bottom"/>
          </w:tcPr>
          <w:p w14:paraId="600A770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3 500</w:t>
            </w:r>
          </w:p>
        </w:tc>
      </w:tr>
      <w:tr w:rsidR="00BF6E71" w:rsidRPr="00444DF4" w14:paraId="1F93CE1B" w14:textId="77777777" w:rsidTr="00A7159E">
        <w:trPr>
          <w:trHeight w:val="80"/>
        </w:trPr>
        <w:tc>
          <w:tcPr>
            <w:tcW w:w="955" w:type="dxa"/>
            <w:shd w:val="clear" w:color="auto" w:fill="auto"/>
            <w:noWrap/>
            <w:vAlign w:val="bottom"/>
          </w:tcPr>
          <w:p w14:paraId="478CAF50" w14:textId="77777777" w:rsidR="00BF6E71" w:rsidRPr="00444DF4" w:rsidRDefault="00BF6E71" w:rsidP="00A7159E">
            <w:pPr>
              <w:jc w:val="center"/>
              <w:rPr>
                <w:rFonts w:eastAsia="Times New Roman"/>
                <w:color w:val="000000"/>
                <w:sz w:val="10"/>
                <w:szCs w:val="12"/>
              </w:rPr>
            </w:pPr>
          </w:p>
        </w:tc>
        <w:tc>
          <w:tcPr>
            <w:tcW w:w="805" w:type="dxa"/>
            <w:shd w:val="clear" w:color="auto" w:fill="auto"/>
            <w:noWrap/>
            <w:vAlign w:val="bottom"/>
          </w:tcPr>
          <w:p w14:paraId="7B2E6DDF" w14:textId="77777777" w:rsidR="00BF6E71" w:rsidRPr="00444DF4" w:rsidRDefault="00BF6E71" w:rsidP="00A7159E">
            <w:pPr>
              <w:jc w:val="center"/>
              <w:rPr>
                <w:rFonts w:eastAsia="Times New Roman"/>
                <w:color w:val="000000"/>
                <w:sz w:val="10"/>
                <w:szCs w:val="12"/>
              </w:rPr>
            </w:pPr>
          </w:p>
        </w:tc>
        <w:tc>
          <w:tcPr>
            <w:tcW w:w="1792" w:type="dxa"/>
            <w:shd w:val="clear" w:color="auto" w:fill="auto"/>
            <w:noWrap/>
            <w:vAlign w:val="bottom"/>
          </w:tcPr>
          <w:p w14:paraId="3F39EDBC" w14:textId="77777777" w:rsidR="00BF6E71" w:rsidRPr="00444DF4" w:rsidRDefault="00BF6E71" w:rsidP="00A7159E">
            <w:pPr>
              <w:jc w:val="center"/>
              <w:rPr>
                <w:rFonts w:eastAsia="Times New Roman"/>
                <w:color w:val="000000"/>
                <w:sz w:val="10"/>
                <w:szCs w:val="12"/>
              </w:rPr>
            </w:pPr>
          </w:p>
        </w:tc>
        <w:tc>
          <w:tcPr>
            <w:tcW w:w="2181" w:type="dxa"/>
            <w:shd w:val="clear" w:color="auto" w:fill="auto"/>
            <w:noWrap/>
            <w:vAlign w:val="bottom"/>
          </w:tcPr>
          <w:p w14:paraId="2C622A87" w14:textId="77777777" w:rsidR="00BF6E71" w:rsidRPr="00444DF4" w:rsidRDefault="00BF6E71" w:rsidP="00A7159E">
            <w:pPr>
              <w:jc w:val="center"/>
              <w:rPr>
                <w:rFonts w:eastAsia="Times New Roman"/>
                <w:color w:val="000000"/>
                <w:sz w:val="10"/>
                <w:szCs w:val="12"/>
              </w:rPr>
            </w:pPr>
          </w:p>
        </w:tc>
        <w:tc>
          <w:tcPr>
            <w:tcW w:w="2410" w:type="dxa"/>
            <w:shd w:val="clear" w:color="auto" w:fill="auto"/>
            <w:noWrap/>
            <w:vAlign w:val="bottom"/>
          </w:tcPr>
          <w:p w14:paraId="4D063FBB" w14:textId="77777777" w:rsidR="00BF6E71" w:rsidRPr="00444DF4" w:rsidRDefault="00BF6E71" w:rsidP="00A7159E">
            <w:pPr>
              <w:jc w:val="center"/>
              <w:rPr>
                <w:rFonts w:eastAsia="Times New Roman"/>
                <w:color w:val="000000"/>
                <w:sz w:val="10"/>
                <w:szCs w:val="12"/>
              </w:rPr>
            </w:pPr>
          </w:p>
        </w:tc>
        <w:tc>
          <w:tcPr>
            <w:tcW w:w="2049" w:type="dxa"/>
            <w:shd w:val="clear" w:color="auto" w:fill="auto"/>
            <w:noWrap/>
            <w:vAlign w:val="bottom"/>
          </w:tcPr>
          <w:p w14:paraId="03C7B5BD" w14:textId="77777777" w:rsidR="00BF6E71" w:rsidRPr="00444DF4" w:rsidRDefault="00BF6E71" w:rsidP="00A7159E">
            <w:pPr>
              <w:jc w:val="center"/>
              <w:rPr>
                <w:rFonts w:eastAsia="Times New Roman"/>
                <w:color w:val="000000"/>
                <w:sz w:val="10"/>
                <w:szCs w:val="12"/>
              </w:rPr>
            </w:pPr>
          </w:p>
        </w:tc>
      </w:tr>
      <w:tr w:rsidR="00BF6E71" w:rsidRPr="00444DF4" w14:paraId="7CB5221F" w14:textId="77777777" w:rsidTr="00A7159E">
        <w:trPr>
          <w:trHeight w:val="282"/>
        </w:trPr>
        <w:tc>
          <w:tcPr>
            <w:tcW w:w="955" w:type="dxa"/>
            <w:shd w:val="clear" w:color="auto" w:fill="auto"/>
            <w:noWrap/>
            <w:vAlign w:val="bottom"/>
          </w:tcPr>
          <w:p w14:paraId="0456AF5D"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2022</w:t>
            </w:r>
          </w:p>
        </w:tc>
        <w:tc>
          <w:tcPr>
            <w:tcW w:w="805" w:type="dxa"/>
            <w:shd w:val="clear" w:color="auto" w:fill="auto"/>
            <w:noWrap/>
            <w:vAlign w:val="bottom"/>
          </w:tcPr>
          <w:p w14:paraId="0C923630"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tcPr>
          <w:p w14:paraId="60359A24"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11 500</w:t>
            </w:r>
          </w:p>
        </w:tc>
        <w:tc>
          <w:tcPr>
            <w:tcW w:w="2181" w:type="dxa"/>
            <w:shd w:val="clear" w:color="auto" w:fill="auto"/>
            <w:noWrap/>
            <w:vAlign w:val="bottom"/>
          </w:tcPr>
          <w:p w14:paraId="03673498"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8 600</w:t>
            </w:r>
          </w:p>
        </w:tc>
        <w:tc>
          <w:tcPr>
            <w:tcW w:w="2410" w:type="dxa"/>
            <w:shd w:val="clear" w:color="auto" w:fill="auto"/>
            <w:noWrap/>
            <w:vAlign w:val="bottom"/>
          </w:tcPr>
          <w:p w14:paraId="295952B5"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2 000</w:t>
            </w:r>
          </w:p>
        </w:tc>
        <w:tc>
          <w:tcPr>
            <w:tcW w:w="2049" w:type="dxa"/>
            <w:shd w:val="clear" w:color="auto" w:fill="auto"/>
            <w:noWrap/>
            <w:vAlign w:val="bottom"/>
          </w:tcPr>
          <w:p w14:paraId="62C6B907"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900</w:t>
            </w:r>
          </w:p>
        </w:tc>
      </w:tr>
      <w:tr w:rsidR="00BF6E71" w:rsidRPr="00444DF4" w14:paraId="3EC17586" w14:textId="77777777" w:rsidTr="00A7159E">
        <w:trPr>
          <w:trHeight w:val="282"/>
        </w:trPr>
        <w:tc>
          <w:tcPr>
            <w:tcW w:w="955" w:type="dxa"/>
            <w:shd w:val="clear" w:color="auto" w:fill="auto"/>
            <w:noWrap/>
            <w:vAlign w:val="bottom"/>
          </w:tcPr>
          <w:p w14:paraId="4BEB04A2"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121DA0FB"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tcPr>
          <w:p w14:paraId="15B586C4"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64 500</w:t>
            </w:r>
          </w:p>
        </w:tc>
        <w:tc>
          <w:tcPr>
            <w:tcW w:w="2181" w:type="dxa"/>
            <w:shd w:val="clear" w:color="auto" w:fill="auto"/>
            <w:noWrap/>
            <w:vAlign w:val="bottom"/>
          </w:tcPr>
          <w:p w14:paraId="6FFFCEEA"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53 400</w:t>
            </w:r>
          </w:p>
        </w:tc>
        <w:tc>
          <w:tcPr>
            <w:tcW w:w="2410" w:type="dxa"/>
            <w:shd w:val="clear" w:color="auto" w:fill="auto"/>
            <w:noWrap/>
            <w:vAlign w:val="bottom"/>
          </w:tcPr>
          <w:p w14:paraId="43B1CC50"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5 700</w:t>
            </w:r>
          </w:p>
        </w:tc>
        <w:tc>
          <w:tcPr>
            <w:tcW w:w="2049" w:type="dxa"/>
            <w:shd w:val="clear" w:color="auto" w:fill="auto"/>
            <w:noWrap/>
            <w:vAlign w:val="bottom"/>
          </w:tcPr>
          <w:p w14:paraId="16F7E2B8"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5 500</w:t>
            </w:r>
          </w:p>
        </w:tc>
      </w:tr>
      <w:tr w:rsidR="00BF6E71" w:rsidRPr="00444DF4" w14:paraId="71DA8B5E" w14:textId="77777777" w:rsidTr="00A7159E">
        <w:trPr>
          <w:trHeight w:val="282"/>
        </w:trPr>
        <w:tc>
          <w:tcPr>
            <w:tcW w:w="955" w:type="dxa"/>
            <w:shd w:val="clear" w:color="auto" w:fill="auto"/>
            <w:noWrap/>
            <w:vAlign w:val="bottom"/>
          </w:tcPr>
          <w:p w14:paraId="1EC676DD"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3ECAC65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tcPr>
          <w:p w14:paraId="0426D697" w14:textId="77777777" w:rsidR="00BF6E71" w:rsidRPr="00444DF4" w:rsidRDefault="00BF6E71" w:rsidP="00A7159E">
            <w:pPr>
              <w:overflowPunct w:val="0"/>
              <w:jc w:val="center"/>
              <w:rPr>
                <w:color w:val="000000"/>
                <w:sz w:val="20"/>
                <w:szCs w:val="20"/>
              </w:rPr>
            </w:pPr>
            <w:r w:rsidRPr="00444DF4">
              <w:rPr>
                <w:color w:val="000000"/>
                <w:sz w:val="20"/>
                <w:szCs w:val="20"/>
              </w:rPr>
              <w:t>173 700</w:t>
            </w:r>
          </w:p>
        </w:tc>
        <w:tc>
          <w:tcPr>
            <w:tcW w:w="2181" w:type="dxa"/>
            <w:shd w:val="clear" w:color="auto" w:fill="auto"/>
            <w:noWrap/>
            <w:vAlign w:val="bottom"/>
          </w:tcPr>
          <w:p w14:paraId="61030511" w14:textId="77777777" w:rsidR="00BF6E71" w:rsidRPr="00444DF4" w:rsidRDefault="00BF6E71" w:rsidP="00A7159E">
            <w:pPr>
              <w:overflowPunct w:val="0"/>
              <w:jc w:val="center"/>
              <w:rPr>
                <w:color w:val="000000"/>
                <w:sz w:val="20"/>
                <w:szCs w:val="20"/>
              </w:rPr>
            </w:pPr>
            <w:r w:rsidRPr="00444DF4">
              <w:rPr>
                <w:color w:val="000000"/>
                <w:sz w:val="20"/>
                <w:szCs w:val="20"/>
              </w:rPr>
              <w:t>139 600</w:t>
            </w:r>
          </w:p>
        </w:tc>
        <w:tc>
          <w:tcPr>
            <w:tcW w:w="2410" w:type="dxa"/>
            <w:shd w:val="clear" w:color="auto" w:fill="auto"/>
            <w:noWrap/>
            <w:vAlign w:val="bottom"/>
          </w:tcPr>
          <w:p w14:paraId="4BE64F71" w14:textId="77777777" w:rsidR="00BF6E71" w:rsidRPr="00444DF4" w:rsidRDefault="00BF6E71" w:rsidP="00A7159E">
            <w:pPr>
              <w:overflowPunct w:val="0"/>
              <w:jc w:val="center"/>
              <w:rPr>
                <w:color w:val="000000"/>
                <w:sz w:val="20"/>
                <w:szCs w:val="20"/>
              </w:rPr>
            </w:pPr>
            <w:r w:rsidRPr="00444DF4">
              <w:rPr>
                <w:color w:val="000000"/>
                <w:sz w:val="20"/>
                <w:szCs w:val="20"/>
              </w:rPr>
              <w:t>17 300</w:t>
            </w:r>
          </w:p>
        </w:tc>
        <w:tc>
          <w:tcPr>
            <w:tcW w:w="2049" w:type="dxa"/>
            <w:shd w:val="clear" w:color="auto" w:fill="auto"/>
            <w:noWrap/>
            <w:vAlign w:val="bottom"/>
          </w:tcPr>
          <w:p w14:paraId="5D827BF7" w14:textId="77777777" w:rsidR="00BF6E71" w:rsidRPr="00444DF4" w:rsidRDefault="00BF6E71" w:rsidP="00A7159E">
            <w:pPr>
              <w:overflowPunct w:val="0"/>
              <w:jc w:val="center"/>
              <w:rPr>
                <w:color w:val="000000"/>
                <w:sz w:val="20"/>
                <w:szCs w:val="20"/>
              </w:rPr>
            </w:pPr>
            <w:r w:rsidRPr="00444DF4">
              <w:rPr>
                <w:color w:val="000000"/>
                <w:sz w:val="20"/>
                <w:szCs w:val="20"/>
              </w:rPr>
              <w:t>16 800</w:t>
            </w:r>
          </w:p>
        </w:tc>
      </w:tr>
      <w:tr w:rsidR="00BF6E71" w:rsidRPr="00444DF4" w14:paraId="2D108810" w14:textId="77777777" w:rsidTr="00A7159E">
        <w:trPr>
          <w:trHeight w:val="282"/>
        </w:trPr>
        <w:tc>
          <w:tcPr>
            <w:tcW w:w="955" w:type="dxa"/>
            <w:shd w:val="clear" w:color="auto" w:fill="auto"/>
            <w:noWrap/>
            <w:vAlign w:val="bottom"/>
          </w:tcPr>
          <w:p w14:paraId="682190C7"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6ABC176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4CDAC6F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354 900</w:t>
            </w:r>
          </w:p>
        </w:tc>
        <w:tc>
          <w:tcPr>
            <w:tcW w:w="2181" w:type="dxa"/>
            <w:shd w:val="clear" w:color="auto" w:fill="auto"/>
            <w:noWrap/>
            <w:vAlign w:val="bottom"/>
          </w:tcPr>
          <w:p w14:paraId="000F2DC6"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173 500</w:t>
            </w:r>
          </w:p>
        </w:tc>
        <w:tc>
          <w:tcPr>
            <w:tcW w:w="2410" w:type="dxa"/>
            <w:shd w:val="clear" w:color="auto" w:fill="auto"/>
            <w:noWrap/>
            <w:vAlign w:val="bottom"/>
          </w:tcPr>
          <w:p w14:paraId="615BC21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103 700</w:t>
            </w:r>
          </w:p>
        </w:tc>
        <w:tc>
          <w:tcPr>
            <w:tcW w:w="2049" w:type="dxa"/>
            <w:shd w:val="clear" w:color="auto" w:fill="auto"/>
            <w:noWrap/>
            <w:vAlign w:val="bottom"/>
          </w:tcPr>
          <w:p w14:paraId="18310EC6"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77 600</w:t>
            </w:r>
          </w:p>
        </w:tc>
      </w:tr>
      <w:tr w:rsidR="00BF6E71" w:rsidRPr="00444DF4" w14:paraId="68929B4F" w14:textId="77777777" w:rsidTr="00A7159E">
        <w:trPr>
          <w:trHeight w:val="20"/>
        </w:trPr>
        <w:tc>
          <w:tcPr>
            <w:tcW w:w="955" w:type="dxa"/>
            <w:shd w:val="clear" w:color="auto" w:fill="auto"/>
            <w:noWrap/>
            <w:vAlign w:val="bottom"/>
          </w:tcPr>
          <w:p w14:paraId="6E40A840" w14:textId="77777777" w:rsidR="00BF6E71" w:rsidRPr="00444DF4" w:rsidRDefault="00BF6E71" w:rsidP="00A7159E">
            <w:pPr>
              <w:jc w:val="center"/>
              <w:rPr>
                <w:rFonts w:eastAsia="Times New Roman"/>
                <w:color w:val="000000"/>
                <w:sz w:val="10"/>
                <w:szCs w:val="12"/>
              </w:rPr>
            </w:pPr>
          </w:p>
        </w:tc>
        <w:tc>
          <w:tcPr>
            <w:tcW w:w="805" w:type="dxa"/>
            <w:shd w:val="clear" w:color="auto" w:fill="auto"/>
            <w:noWrap/>
            <w:vAlign w:val="bottom"/>
          </w:tcPr>
          <w:p w14:paraId="4183824E" w14:textId="77777777" w:rsidR="00BF6E71" w:rsidRPr="00444DF4" w:rsidRDefault="00BF6E71" w:rsidP="00A7159E">
            <w:pPr>
              <w:jc w:val="center"/>
              <w:rPr>
                <w:rFonts w:eastAsia="Times New Roman"/>
                <w:color w:val="000000"/>
                <w:sz w:val="10"/>
                <w:szCs w:val="12"/>
              </w:rPr>
            </w:pPr>
          </w:p>
        </w:tc>
        <w:tc>
          <w:tcPr>
            <w:tcW w:w="1792" w:type="dxa"/>
            <w:shd w:val="clear" w:color="auto" w:fill="auto"/>
            <w:noWrap/>
            <w:vAlign w:val="bottom"/>
          </w:tcPr>
          <w:p w14:paraId="6D2AC945" w14:textId="77777777" w:rsidR="00BF6E71" w:rsidRPr="00444DF4" w:rsidRDefault="00BF6E71" w:rsidP="00A7159E">
            <w:pPr>
              <w:jc w:val="center"/>
              <w:rPr>
                <w:rFonts w:eastAsia="Times New Roman"/>
                <w:color w:val="000000"/>
                <w:sz w:val="10"/>
                <w:szCs w:val="12"/>
              </w:rPr>
            </w:pPr>
          </w:p>
        </w:tc>
        <w:tc>
          <w:tcPr>
            <w:tcW w:w="2181" w:type="dxa"/>
            <w:shd w:val="clear" w:color="auto" w:fill="auto"/>
            <w:noWrap/>
            <w:vAlign w:val="bottom"/>
          </w:tcPr>
          <w:p w14:paraId="1D783B3A" w14:textId="77777777" w:rsidR="00BF6E71" w:rsidRPr="00444DF4" w:rsidRDefault="00BF6E71" w:rsidP="00A7159E">
            <w:pPr>
              <w:jc w:val="center"/>
              <w:rPr>
                <w:rFonts w:eastAsia="Times New Roman"/>
                <w:color w:val="000000"/>
                <w:sz w:val="10"/>
                <w:szCs w:val="12"/>
              </w:rPr>
            </w:pPr>
          </w:p>
        </w:tc>
        <w:tc>
          <w:tcPr>
            <w:tcW w:w="2410" w:type="dxa"/>
            <w:shd w:val="clear" w:color="auto" w:fill="auto"/>
            <w:noWrap/>
            <w:vAlign w:val="bottom"/>
          </w:tcPr>
          <w:p w14:paraId="2884EDEC" w14:textId="77777777" w:rsidR="00BF6E71" w:rsidRPr="00444DF4" w:rsidRDefault="00BF6E71" w:rsidP="00A7159E">
            <w:pPr>
              <w:jc w:val="center"/>
              <w:rPr>
                <w:rFonts w:eastAsia="Times New Roman"/>
                <w:color w:val="000000"/>
                <w:sz w:val="10"/>
                <w:szCs w:val="12"/>
              </w:rPr>
            </w:pPr>
          </w:p>
        </w:tc>
        <w:tc>
          <w:tcPr>
            <w:tcW w:w="2049" w:type="dxa"/>
            <w:shd w:val="clear" w:color="auto" w:fill="auto"/>
            <w:noWrap/>
            <w:vAlign w:val="bottom"/>
          </w:tcPr>
          <w:p w14:paraId="0EA84603" w14:textId="77777777" w:rsidR="00BF6E71" w:rsidRPr="00444DF4" w:rsidRDefault="00BF6E71" w:rsidP="00A7159E">
            <w:pPr>
              <w:jc w:val="center"/>
              <w:rPr>
                <w:rFonts w:eastAsia="Times New Roman"/>
                <w:color w:val="000000"/>
                <w:sz w:val="10"/>
                <w:szCs w:val="12"/>
              </w:rPr>
            </w:pPr>
          </w:p>
        </w:tc>
      </w:tr>
      <w:tr w:rsidR="00BF6E71" w:rsidRPr="00444DF4" w14:paraId="0ED1E762" w14:textId="77777777" w:rsidTr="00A7159E">
        <w:trPr>
          <w:trHeight w:val="282"/>
        </w:trPr>
        <w:tc>
          <w:tcPr>
            <w:tcW w:w="955" w:type="dxa"/>
            <w:shd w:val="clear" w:color="auto" w:fill="auto"/>
            <w:noWrap/>
            <w:vAlign w:val="bottom"/>
          </w:tcPr>
          <w:p w14:paraId="5B5D04B5"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2023</w:t>
            </w:r>
          </w:p>
        </w:tc>
        <w:tc>
          <w:tcPr>
            <w:tcW w:w="805" w:type="dxa"/>
            <w:shd w:val="clear" w:color="auto" w:fill="auto"/>
            <w:noWrap/>
            <w:vAlign w:val="bottom"/>
          </w:tcPr>
          <w:p w14:paraId="1A8A79E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tcPr>
          <w:p w14:paraId="4D729CAE"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4 414 800</w:t>
            </w:r>
          </w:p>
        </w:tc>
        <w:tc>
          <w:tcPr>
            <w:tcW w:w="2181" w:type="dxa"/>
            <w:shd w:val="clear" w:color="auto" w:fill="auto"/>
            <w:noWrap/>
            <w:vAlign w:val="bottom"/>
          </w:tcPr>
          <w:p w14:paraId="40F1A749"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3 361 200</w:t>
            </w:r>
          </w:p>
        </w:tc>
        <w:tc>
          <w:tcPr>
            <w:tcW w:w="2410" w:type="dxa"/>
            <w:shd w:val="clear" w:color="auto" w:fill="auto"/>
            <w:noWrap/>
            <w:vAlign w:val="bottom"/>
          </w:tcPr>
          <w:p w14:paraId="11AB80D3"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779 100</w:t>
            </w:r>
          </w:p>
        </w:tc>
        <w:tc>
          <w:tcPr>
            <w:tcW w:w="2049" w:type="dxa"/>
            <w:shd w:val="clear" w:color="auto" w:fill="auto"/>
            <w:noWrap/>
            <w:vAlign w:val="bottom"/>
          </w:tcPr>
          <w:p w14:paraId="7B79E84E"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274 400</w:t>
            </w:r>
          </w:p>
        </w:tc>
      </w:tr>
      <w:tr w:rsidR="00BF6E71" w:rsidRPr="00444DF4" w14:paraId="104C47DA" w14:textId="77777777" w:rsidTr="00A7159E">
        <w:trPr>
          <w:trHeight w:val="282"/>
        </w:trPr>
        <w:tc>
          <w:tcPr>
            <w:tcW w:w="955" w:type="dxa"/>
            <w:shd w:val="clear" w:color="auto" w:fill="auto"/>
            <w:noWrap/>
            <w:vAlign w:val="bottom"/>
          </w:tcPr>
          <w:p w14:paraId="25A65592"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792D9A00" w14:textId="77777777" w:rsidR="00BF6E71" w:rsidRPr="00444DF4" w:rsidRDefault="00BF6E71" w:rsidP="00A7159E">
            <w:pPr>
              <w:jc w:val="center"/>
              <w:rPr>
                <w:rFonts w:eastAsia="Times New Roman"/>
                <w:color w:val="000000"/>
                <w:sz w:val="20"/>
                <w:szCs w:val="20"/>
              </w:rPr>
            </w:pPr>
            <w:r>
              <w:rPr>
                <w:rFonts w:eastAsia="Times New Roman"/>
                <w:color w:val="000000"/>
                <w:sz w:val="20"/>
                <w:szCs w:val="20"/>
              </w:rPr>
              <w:t>Q2</w:t>
            </w:r>
          </w:p>
        </w:tc>
        <w:tc>
          <w:tcPr>
            <w:tcW w:w="1792" w:type="dxa"/>
            <w:shd w:val="clear" w:color="auto" w:fill="auto"/>
            <w:noWrap/>
            <w:vAlign w:val="bottom"/>
          </w:tcPr>
          <w:p w14:paraId="6579FBA4"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8 469 100</w:t>
            </w:r>
          </w:p>
        </w:tc>
        <w:tc>
          <w:tcPr>
            <w:tcW w:w="2181" w:type="dxa"/>
            <w:shd w:val="clear" w:color="auto" w:fill="auto"/>
            <w:noWrap/>
            <w:vAlign w:val="bottom"/>
          </w:tcPr>
          <w:p w14:paraId="13B7B658"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6 749 600</w:t>
            </w:r>
          </w:p>
        </w:tc>
        <w:tc>
          <w:tcPr>
            <w:tcW w:w="2410" w:type="dxa"/>
            <w:shd w:val="clear" w:color="auto" w:fill="auto"/>
            <w:noWrap/>
            <w:vAlign w:val="bottom"/>
          </w:tcPr>
          <w:p w14:paraId="09DB19CD"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1 224 100</w:t>
            </w:r>
          </w:p>
        </w:tc>
        <w:tc>
          <w:tcPr>
            <w:tcW w:w="2049" w:type="dxa"/>
            <w:shd w:val="clear" w:color="auto" w:fill="auto"/>
            <w:noWrap/>
            <w:vAlign w:val="bottom"/>
          </w:tcPr>
          <w:p w14:paraId="35797A0E"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495 500</w:t>
            </w:r>
          </w:p>
        </w:tc>
      </w:tr>
      <w:tr w:rsidR="00BF6E71" w:rsidRPr="00444DF4" w14:paraId="145D2FB9" w14:textId="77777777" w:rsidTr="00A7159E">
        <w:trPr>
          <w:trHeight w:val="282"/>
        </w:trPr>
        <w:tc>
          <w:tcPr>
            <w:tcW w:w="955" w:type="dxa"/>
            <w:shd w:val="clear" w:color="auto" w:fill="auto"/>
            <w:noWrap/>
            <w:vAlign w:val="bottom"/>
          </w:tcPr>
          <w:p w14:paraId="596D24B9"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4B26C5B1" w14:textId="77777777" w:rsidR="00BF6E71" w:rsidRDefault="00BF6E71" w:rsidP="00A7159E">
            <w:pPr>
              <w:jc w:val="center"/>
              <w:rPr>
                <w:rFonts w:eastAsia="Times New Roman"/>
                <w:color w:val="000000"/>
                <w:sz w:val="20"/>
                <w:szCs w:val="20"/>
              </w:rPr>
            </w:pPr>
            <w:r>
              <w:rPr>
                <w:rFonts w:eastAsia="Times New Roman"/>
                <w:color w:val="000000"/>
                <w:sz w:val="20"/>
                <w:szCs w:val="20"/>
              </w:rPr>
              <w:t>Q3</w:t>
            </w:r>
          </w:p>
        </w:tc>
        <w:tc>
          <w:tcPr>
            <w:tcW w:w="1792" w:type="dxa"/>
            <w:shd w:val="clear" w:color="auto" w:fill="auto"/>
            <w:noWrap/>
            <w:vAlign w:val="bottom"/>
          </w:tcPr>
          <w:p w14:paraId="297AF423"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10 438 100</w:t>
            </w:r>
          </w:p>
        </w:tc>
        <w:tc>
          <w:tcPr>
            <w:tcW w:w="2181" w:type="dxa"/>
            <w:shd w:val="clear" w:color="auto" w:fill="auto"/>
            <w:noWrap/>
            <w:vAlign w:val="bottom"/>
          </w:tcPr>
          <w:p w14:paraId="6CF4BE93"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8 574 500</w:t>
            </w:r>
          </w:p>
        </w:tc>
        <w:tc>
          <w:tcPr>
            <w:tcW w:w="2410" w:type="dxa"/>
            <w:shd w:val="clear" w:color="auto" w:fill="auto"/>
            <w:noWrap/>
            <w:vAlign w:val="bottom"/>
          </w:tcPr>
          <w:p w14:paraId="044001C5"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1 331 700</w:t>
            </w:r>
          </w:p>
        </w:tc>
        <w:tc>
          <w:tcPr>
            <w:tcW w:w="2049" w:type="dxa"/>
            <w:shd w:val="clear" w:color="auto" w:fill="auto"/>
            <w:noWrap/>
            <w:vAlign w:val="bottom"/>
          </w:tcPr>
          <w:p w14:paraId="2690997E" w14:textId="77777777" w:rsidR="00BF6E71" w:rsidRPr="00901BDB" w:rsidRDefault="00BF6E71" w:rsidP="00A7159E">
            <w:pPr>
              <w:jc w:val="center"/>
              <w:rPr>
                <w:rFonts w:eastAsia="Times New Roman"/>
                <w:color w:val="000000"/>
                <w:sz w:val="20"/>
                <w:szCs w:val="20"/>
              </w:rPr>
            </w:pPr>
            <w:r w:rsidRPr="00901BDB">
              <w:rPr>
                <w:rFonts w:eastAsia="Times New Roman"/>
                <w:color w:val="000000"/>
                <w:sz w:val="20"/>
                <w:szCs w:val="20"/>
              </w:rPr>
              <w:t>531 800</w:t>
            </w:r>
          </w:p>
        </w:tc>
      </w:tr>
      <w:tr w:rsidR="00BF6E71" w:rsidRPr="00444DF4" w14:paraId="0D16B40C" w14:textId="77777777" w:rsidTr="00A7159E">
        <w:trPr>
          <w:trHeight w:val="282"/>
        </w:trPr>
        <w:tc>
          <w:tcPr>
            <w:tcW w:w="955" w:type="dxa"/>
            <w:shd w:val="clear" w:color="auto" w:fill="auto"/>
            <w:noWrap/>
            <w:vAlign w:val="bottom"/>
          </w:tcPr>
          <w:p w14:paraId="55FC817B" w14:textId="77777777" w:rsidR="00BF6E71" w:rsidRPr="00444DF4" w:rsidRDefault="00BF6E71" w:rsidP="00A7159E">
            <w:pPr>
              <w:jc w:val="center"/>
              <w:rPr>
                <w:rFonts w:eastAsia="Times New Roman"/>
                <w:color w:val="000000"/>
                <w:sz w:val="20"/>
                <w:szCs w:val="20"/>
              </w:rPr>
            </w:pPr>
          </w:p>
        </w:tc>
        <w:tc>
          <w:tcPr>
            <w:tcW w:w="805" w:type="dxa"/>
            <w:shd w:val="clear" w:color="auto" w:fill="auto"/>
            <w:noWrap/>
            <w:vAlign w:val="bottom"/>
          </w:tcPr>
          <w:p w14:paraId="53002B24" w14:textId="77777777" w:rsidR="00BF6E71" w:rsidRDefault="00BF6E71" w:rsidP="00A7159E">
            <w:pPr>
              <w:jc w:val="center"/>
              <w:rPr>
                <w:rFonts w:eastAsia="Times New Roman"/>
                <w:color w:val="000000"/>
                <w:sz w:val="20"/>
                <w:szCs w:val="20"/>
              </w:rPr>
            </w:pPr>
            <w:r>
              <w:rPr>
                <w:rFonts w:eastAsia="Times New Roman"/>
                <w:color w:val="000000"/>
                <w:sz w:val="20"/>
                <w:szCs w:val="20"/>
              </w:rPr>
              <w:t>Q4</w:t>
            </w:r>
          </w:p>
        </w:tc>
        <w:tc>
          <w:tcPr>
            <w:tcW w:w="1792" w:type="dxa"/>
            <w:shd w:val="clear" w:color="auto" w:fill="auto"/>
            <w:noWrap/>
            <w:vAlign w:val="bottom"/>
          </w:tcPr>
          <w:p w14:paraId="4883EDA7" w14:textId="77777777" w:rsidR="00BF6E71" w:rsidRPr="00444DF4" w:rsidRDefault="00BF6E71" w:rsidP="00A7159E">
            <w:pPr>
              <w:overflowPunct w:val="0"/>
              <w:jc w:val="center"/>
              <w:rPr>
                <w:rFonts w:eastAsia="Times New Roman"/>
                <w:color w:val="000000"/>
                <w:sz w:val="20"/>
                <w:szCs w:val="20"/>
              </w:rPr>
            </w:pPr>
            <w:r w:rsidRPr="00901BDB">
              <w:rPr>
                <w:rFonts w:eastAsia="Times New Roman"/>
                <w:color w:val="000000"/>
                <w:sz w:val="20"/>
                <w:szCs w:val="20"/>
              </w:rPr>
              <w:t>10 </w:t>
            </w:r>
            <w:r>
              <w:rPr>
                <w:rFonts w:eastAsia="Times New Roman"/>
                <w:color w:val="000000"/>
                <w:sz w:val="20"/>
                <w:szCs w:val="20"/>
              </w:rPr>
              <w:t>677</w:t>
            </w:r>
            <w:r w:rsidRPr="00901BDB">
              <w:rPr>
                <w:rFonts w:eastAsia="Times New Roman"/>
                <w:color w:val="000000"/>
                <w:sz w:val="20"/>
                <w:szCs w:val="20"/>
              </w:rPr>
              <w:t> </w:t>
            </w:r>
            <w:r>
              <w:rPr>
                <w:rFonts w:eastAsia="Times New Roman"/>
                <w:color w:val="000000"/>
                <w:sz w:val="20"/>
                <w:szCs w:val="20"/>
              </w:rPr>
              <w:t>7</w:t>
            </w:r>
            <w:r w:rsidRPr="00901BDB">
              <w:rPr>
                <w:rFonts w:eastAsia="Times New Roman"/>
                <w:color w:val="000000"/>
                <w:sz w:val="20"/>
                <w:szCs w:val="20"/>
              </w:rPr>
              <w:t>00</w:t>
            </w:r>
          </w:p>
        </w:tc>
        <w:tc>
          <w:tcPr>
            <w:tcW w:w="2181" w:type="dxa"/>
            <w:shd w:val="clear" w:color="auto" w:fill="auto"/>
            <w:noWrap/>
            <w:vAlign w:val="bottom"/>
          </w:tcPr>
          <w:p w14:paraId="0840F6E3" w14:textId="77777777" w:rsidR="00BF6E71" w:rsidRPr="00145084" w:rsidRDefault="00BF6E71" w:rsidP="00A7159E">
            <w:pPr>
              <w:overflowPunct w:val="0"/>
              <w:jc w:val="center"/>
              <w:rPr>
                <w:rFonts w:eastAsia="Times New Roman"/>
                <w:color w:val="000000"/>
                <w:sz w:val="20"/>
                <w:szCs w:val="20"/>
              </w:rPr>
            </w:pPr>
            <w:r w:rsidRPr="00145084">
              <w:rPr>
                <w:rFonts w:eastAsia="Times New Roman"/>
                <w:color w:val="000000"/>
                <w:sz w:val="20"/>
                <w:szCs w:val="20"/>
              </w:rPr>
              <w:t>8 </w:t>
            </w:r>
            <w:r w:rsidRPr="00145084">
              <w:rPr>
                <w:rFonts w:eastAsia="DengXian"/>
                <w:color w:val="000000"/>
                <w:sz w:val="20"/>
                <w:szCs w:val="20"/>
                <w:lang w:eastAsia="zh-CN"/>
              </w:rPr>
              <w:t>075</w:t>
            </w:r>
            <w:r w:rsidRPr="00145084">
              <w:rPr>
                <w:rFonts w:eastAsia="Times New Roman"/>
                <w:color w:val="000000"/>
                <w:sz w:val="20"/>
                <w:szCs w:val="20"/>
              </w:rPr>
              <w:t> </w:t>
            </w:r>
            <w:r w:rsidRPr="00145084">
              <w:rPr>
                <w:rFonts w:eastAsia="DengXian"/>
                <w:color w:val="000000"/>
                <w:sz w:val="20"/>
                <w:szCs w:val="20"/>
                <w:lang w:eastAsia="zh-CN"/>
              </w:rPr>
              <w:t>2</w:t>
            </w:r>
            <w:r w:rsidRPr="00145084">
              <w:rPr>
                <w:rFonts w:eastAsia="Times New Roman"/>
                <w:color w:val="000000"/>
                <w:sz w:val="20"/>
                <w:szCs w:val="20"/>
              </w:rPr>
              <w:t>00</w:t>
            </w:r>
          </w:p>
        </w:tc>
        <w:tc>
          <w:tcPr>
            <w:tcW w:w="2410" w:type="dxa"/>
            <w:shd w:val="clear" w:color="auto" w:fill="auto"/>
            <w:noWrap/>
            <w:vAlign w:val="bottom"/>
          </w:tcPr>
          <w:p w14:paraId="3F4C266D" w14:textId="77777777" w:rsidR="00BF6E71" w:rsidRPr="00444DF4" w:rsidRDefault="00BF6E71" w:rsidP="00A7159E">
            <w:pPr>
              <w:overflowPunct w:val="0"/>
              <w:jc w:val="center"/>
              <w:rPr>
                <w:rFonts w:eastAsia="Times New Roman"/>
                <w:color w:val="000000"/>
                <w:sz w:val="20"/>
                <w:szCs w:val="20"/>
              </w:rPr>
            </w:pPr>
            <w:r w:rsidRPr="00901BDB">
              <w:rPr>
                <w:rFonts w:eastAsia="Times New Roman"/>
                <w:color w:val="000000"/>
                <w:sz w:val="20"/>
                <w:szCs w:val="20"/>
              </w:rPr>
              <w:t>1 </w:t>
            </w:r>
            <w:r>
              <w:rPr>
                <w:rFonts w:eastAsia="Times New Roman"/>
                <w:color w:val="000000"/>
                <w:sz w:val="20"/>
                <w:szCs w:val="20"/>
              </w:rPr>
              <w:t>842</w:t>
            </w:r>
            <w:r w:rsidRPr="00901BDB">
              <w:rPr>
                <w:rFonts w:eastAsia="Times New Roman"/>
                <w:color w:val="000000"/>
                <w:sz w:val="20"/>
                <w:szCs w:val="20"/>
              </w:rPr>
              <w:t> </w:t>
            </w:r>
            <w:r>
              <w:rPr>
                <w:rFonts w:eastAsia="Times New Roman"/>
                <w:color w:val="000000"/>
                <w:sz w:val="20"/>
                <w:szCs w:val="20"/>
              </w:rPr>
              <w:t>9</w:t>
            </w:r>
            <w:r w:rsidRPr="00901BDB">
              <w:rPr>
                <w:rFonts w:eastAsia="Times New Roman"/>
                <w:color w:val="000000"/>
                <w:sz w:val="20"/>
                <w:szCs w:val="20"/>
              </w:rPr>
              <w:t>00</w:t>
            </w:r>
          </w:p>
        </w:tc>
        <w:tc>
          <w:tcPr>
            <w:tcW w:w="2049" w:type="dxa"/>
            <w:shd w:val="clear" w:color="auto" w:fill="auto"/>
            <w:noWrap/>
            <w:vAlign w:val="bottom"/>
          </w:tcPr>
          <w:p w14:paraId="676AF3C5" w14:textId="77777777" w:rsidR="00BF6E71" w:rsidRPr="00444DF4" w:rsidRDefault="00BF6E71" w:rsidP="00A7159E">
            <w:pPr>
              <w:overflowPunct w:val="0"/>
              <w:jc w:val="center"/>
              <w:rPr>
                <w:rFonts w:eastAsia="Times New Roman"/>
                <w:color w:val="000000"/>
                <w:sz w:val="20"/>
                <w:szCs w:val="20"/>
              </w:rPr>
            </w:pPr>
            <w:r>
              <w:rPr>
                <w:rFonts w:eastAsia="Times New Roman"/>
                <w:color w:val="000000"/>
                <w:sz w:val="20"/>
                <w:szCs w:val="20"/>
              </w:rPr>
              <w:t>759</w:t>
            </w:r>
            <w:r w:rsidRPr="00901BDB">
              <w:rPr>
                <w:rFonts w:eastAsia="Times New Roman"/>
                <w:color w:val="000000"/>
                <w:sz w:val="20"/>
                <w:szCs w:val="20"/>
              </w:rPr>
              <w:t> </w:t>
            </w:r>
            <w:r>
              <w:rPr>
                <w:rFonts w:eastAsia="Times New Roman"/>
                <w:color w:val="000000"/>
                <w:sz w:val="20"/>
                <w:szCs w:val="20"/>
              </w:rPr>
              <w:t>6</w:t>
            </w:r>
            <w:r w:rsidRPr="00901BDB">
              <w:rPr>
                <w:rFonts w:eastAsia="Times New Roman"/>
                <w:color w:val="000000"/>
                <w:sz w:val="20"/>
                <w:szCs w:val="20"/>
              </w:rPr>
              <w:t>00</w:t>
            </w:r>
          </w:p>
        </w:tc>
      </w:tr>
      <w:tr w:rsidR="00BF6E71" w:rsidRPr="00444DF4" w14:paraId="29E37C59" w14:textId="77777777" w:rsidTr="00A7159E">
        <w:trPr>
          <w:trHeight w:val="70"/>
        </w:trPr>
        <w:tc>
          <w:tcPr>
            <w:tcW w:w="955" w:type="dxa"/>
            <w:shd w:val="clear" w:color="auto" w:fill="auto"/>
            <w:noWrap/>
            <w:vAlign w:val="bottom"/>
          </w:tcPr>
          <w:p w14:paraId="3B05DDEB" w14:textId="77777777" w:rsidR="00BF6E71" w:rsidRPr="00444DF4" w:rsidRDefault="00BF6E71" w:rsidP="00A7159E">
            <w:pPr>
              <w:jc w:val="center"/>
              <w:rPr>
                <w:rFonts w:eastAsia="Times New Roman"/>
                <w:color w:val="000000"/>
                <w:sz w:val="10"/>
                <w:szCs w:val="12"/>
              </w:rPr>
            </w:pPr>
          </w:p>
        </w:tc>
        <w:tc>
          <w:tcPr>
            <w:tcW w:w="805" w:type="dxa"/>
            <w:shd w:val="clear" w:color="auto" w:fill="auto"/>
            <w:noWrap/>
            <w:vAlign w:val="bottom"/>
          </w:tcPr>
          <w:p w14:paraId="6B1F44A1" w14:textId="77777777" w:rsidR="00BF6E71" w:rsidRPr="00444DF4" w:rsidRDefault="00BF6E71" w:rsidP="00A7159E">
            <w:pPr>
              <w:jc w:val="center"/>
              <w:rPr>
                <w:rFonts w:eastAsia="Times New Roman"/>
                <w:color w:val="000000"/>
                <w:sz w:val="10"/>
                <w:szCs w:val="12"/>
              </w:rPr>
            </w:pPr>
          </w:p>
        </w:tc>
        <w:tc>
          <w:tcPr>
            <w:tcW w:w="1792" w:type="dxa"/>
            <w:shd w:val="clear" w:color="auto" w:fill="auto"/>
            <w:noWrap/>
            <w:vAlign w:val="bottom"/>
          </w:tcPr>
          <w:p w14:paraId="2998C089" w14:textId="77777777" w:rsidR="00BF6E71" w:rsidRPr="00444DF4" w:rsidRDefault="00BF6E71" w:rsidP="00A7159E">
            <w:pPr>
              <w:jc w:val="center"/>
              <w:rPr>
                <w:rFonts w:eastAsia="Times New Roman"/>
                <w:color w:val="000000"/>
                <w:sz w:val="10"/>
                <w:szCs w:val="12"/>
              </w:rPr>
            </w:pPr>
          </w:p>
        </w:tc>
        <w:tc>
          <w:tcPr>
            <w:tcW w:w="2181" w:type="dxa"/>
            <w:shd w:val="clear" w:color="auto" w:fill="auto"/>
            <w:noWrap/>
            <w:vAlign w:val="bottom"/>
          </w:tcPr>
          <w:p w14:paraId="641F1EE9" w14:textId="77777777" w:rsidR="00BF6E71" w:rsidRPr="00444DF4" w:rsidRDefault="00BF6E71" w:rsidP="00A7159E">
            <w:pPr>
              <w:jc w:val="center"/>
              <w:rPr>
                <w:rFonts w:eastAsia="Times New Roman"/>
                <w:color w:val="000000"/>
                <w:sz w:val="10"/>
                <w:szCs w:val="12"/>
              </w:rPr>
            </w:pPr>
          </w:p>
        </w:tc>
        <w:tc>
          <w:tcPr>
            <w:tcW w:w="2410" w:type="dxa"/>
            <w:shd w:val="clear" w:color="auto" w:fill="auto"/>
            <w:noWrap/>
            <w:vAlign w:val="bottom"/>
          </w:tcPr>
          <w:p w14:paraId="18F1B401" w14:textId="77777777" w:rsidR="00BF6E71" w:rsidRPr="00444DF4" w:rsidRDefault="00BF6E71" w:rsidP="00A7159E">
            <w:pPr>
              <w:jc w:val="center"/>
              <w:rPr>
                <w:rFonts w:eastAsia="Times New Roman"/>
                <w:color w:val="000000"/>
                <w:sz w:val="10"/>
                <w:szCs w:val="12"/>
              </w:rPr>
            </w:pPr>
          </w:p>
        </w:tc>
        <w:tc>
          <w:tcPr>
            <w:tcW w:w="2049" w:type="dxa"/>
            <w:shd w:val="clear" w:color="auto" w:fill="auto"/>
            <w:noWrap/>
            <w:vAlign w:val="bottom"/>
          </w:tcPr>
          <w:p w14:paraId="0B93384C" w14:textId="77777777" w:rsidR="00BF6E71" w:rsidRPr="00444DF4" w:rsidRDefault="00BF6E71" w:rsidP="00A7159E">
            <w:pPr>
              <w:jc w:val="center"/>
              <w:rPr>
                <w:rFonts w:eastAsia="Times New Roman"/>
                <w:color w:val="000000"/>
                <w:sz w:val="10"/>
                <w:szCs w:val="12"/>
              </w:rPr>
            </w:pPr>
          </w:p>
        </w:tc>
      </w:tr>
      <w:tr w:rsidR="00BF6E71" w:rsidRPr="00444DF4" w14:paraId="6FB6A399" w14:textId="77777777" w:rsidTr="00A7159E">
        <w:trPr>
          <w:trHeight w:val="70"/>
        </w:trPr>
        <w:tc>
          <w:tcPr>
            <w:tcW w:w="955" w:type="dxa"/>
            <w:shd w:val="clear" w:color="auto" w:fill="auto"/>
            <w:noWrap/>
            <w:vAlign w:val="bottom"/>
          </w:tcPr>
          <w:p w14:paraId="172639C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202</w:t>
            </w:r>
            <w:r>
              <w:rPr>
                <w:rFonts w:eastAsia="Times New Roman"/>
                <w:color w:val="000000"/>
                <w:sz w:val="20"/>
                <w:szCs w:val="20"/>
              </w:rPr>
              <w:t>4</w:t>
            </w:r>
          </w:p>
        </w:tc>
        <w:tc>
          <w:tcPr>
            <w:tcW w:w="805" w:type="dxa"/>
            <w:shd w:val="clear" w:color="auto" w:fill="auto"/>
            <w:noWrap/>
            <w:vAlign w:val="bottom"/>
          </w:tcPr>
          <w:p w14:paraId="308339C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tcPr>
          <w:p w14:paraId="354D0AEC" w14:textId="77777777" w:rsidR="00BF6E71" w:rsidRPr="005779C4" w:rsidRDefault="00BF6E71" w:rsidP="00A7159E">
            <w:pPr>
              <w:overflowPunct w:val="0"/>
              <w:jc w:val="center"/>
              <w:rPr>
                <w:color w:val="000000"/>
                <w:sz w:val="20"/>
              </w:rPr>
            </w:pPr>
            <w:r w:rsidRPr="005779C4">
              <w:rPr>
                <w:color w:val="000000"/>
                <w:sz w:val="20"/>
              </w:rPr>
              <w:t>11 </w:t>
            </w:r>
            <w:r w:rsidRPr="00784AD5">
              <w:rPr>
                <w:rFonts w:eastAsia="Times New Roman"/>
                <w:color w:val="000000"/>
                <w:sz w:val="20"/>
                <w:szCs w:val="20"/>
              </w:rPr>
              <w:t>228 800</w:t>
            </w:r>
          </w:p>
        </w:tc>
        <w:tc>
          <w:tcPr>
            <w:tcW w:w="2181" w:type="dxa"/>
            <w:shd w:val="clear" w:color="auto" w:fill="auto"/>
            <w:noWrap/>
            <w:vAlign w:val="bottom"/>
          </w:tcPr>
          <w:p w14:paraId="67A8C1F8" w14:textId="77777777" w:rsidR="00BF6E71" w:rsidRPr="00533DE0" w:rsidRDefault="00BF6E71" w:rsidP="00A7159E">
            <w:pPr>
              <w:overflowPunct w:val="0"/>
              <w:jc w:val="center"/>
              <w:rPr>
                <w:rFonts w:eastAsia="Times New Roman"/>
                <w:color w:val="000000"/>
                <w:sz w:val="20"/>
                <w:szCs w:val="20"/>
                <w:highlight w:val="yellow"/>
              </w:rPr>
            </w:pPr>
            <w:r w:rsidRPr="005779C4">
              <w:rPr>
                <w:color w:val="000000"/>
                <w:sz w:val="20"/>
              </w:rPr>
              <w:t>8 </w:t>
            </w:r>
            <w:r w:rsidRPr="00784AD5">
              <w:rPr>
                <w:rFonts w:eastAsia="Times New Roman"/>
                <w:color w:val="000000"/>
                <w:sz w:val="20"/>
                <w:szCs w:val="20"/>
              </w:rPr>
              <w:t>694 900</w:t>
            </w:r>
          </w:p>
        </w:tc>
        <w:tc>
          <w:tcPr>
            <w:tcW w:w="2410" w:type="dxa"/>
            <w:shd w:val="clear" w:color="auto" w:fill="auto"/>
            <w:noWrap/>
            <w:vAlign w:val="bottom"/>
          </w:tcPr>
          <w:p w14:paraId="502636D0" w14:textId="77777777" w:rsidR="00BF6E71" w:rsidRPr="00533DE0" w:rsidRDefault="00BF6E71" w:rsidP="00A7159E">
            <w:pPr>
              <w:overflowPunct w:val="0"/>
              <w:jc w:val="center"/>
              <w:rPr>
                <w:rFonts w:eastAsia="Times New Roman"/>
                <w:color w:val="000000"/>
                <w:sz w:val="20"/>
                <w:szCs w:val="20"/>
                <w:highlight w:val="yellow"/>
              </w:rPr>
            </w:pPr>
            <w:r w:rsidRPr="005779C4">
              <w:rPr>
                <w:color w:val="000000"/>
                <w:sz w:val="20"/>
              </w:rPr>
              <w:t>1 </w:t>
            </w:r>
            <w:r w:rsidRPr="00784AD5">
              <w:rPr>
                <w:rFonts w:eastAsia="Times New Roman"/>
                <w:color w:val="000000"/>
                <w:sz w:val="20"/>
                <w:szCs w:val="20"/>
              </w:rPr>
              <w:t>778 700</w:t>
            </w:r>
          </w:p>
        </w:tc>
        <w:tc>
          <w:tcPr>
            <w:tcW w:w="2049" w:type="dxa"/>
            <w:shd w:val="clear" w:color="auto" w:fill="auto"/>
            <w:noWrap/>
            <w:vAlign w:val="bottom"/>
          </w:tcPr>
          <w:p w14:paraId="65119CBB" w14:textId="77777777" w:rsidR="00BF6E71" w:rsidRPr="00533DE0" w:rsidRDefault="00BF6E71" w:rsidP="00A7159E">
            <w:pPr>
              <w:overflowPunct w:val="0"/>
              <w:jc w:val="center"/>
              <w:rPr>
                <w:rFonts w:eastAsia="Times New Roman"/>
                <w:color w:val="000000"/>
                <w:sz w:val="20"/>
                <w:szCs w:val="20"/>
                <w:highlight w:val="yellow"/>
              </w:rPr>
            </w:pPr>
            <w:r w:rsidRPr="00784AD5">
              <w:rPr>
                <w:rFonts w:eastAsia="Times New Roman"/>
                <w:color w:val="000000"/>
                <w:sz w:val="20"/>
                <w:szCs w:val="20"/>
              </w:rPr>
              <w:t>755 200</w:t>
            </w:r>
          </w:p>
        </w:tc>
      </w:tr>
      <w:tr w:rsidR="002E5C66" w:rsidRPr="00444DF4" w14:paraId="3622EC58" w14:textId="77777777" w:rsidTr="00A7159E">
        <w:trPr>
          <w:trHeight w:val="70"/>
        </w:trPr>
        <w:tc>
          <w:tcPr>
            <w:tcW w:w="955" w:type="dxa"/>
            <w:shd w:val="clear" w:color="auto" w:fill="auto"/>
            <w:noWrap/>
            <w:vAlign w:val="bottom"/>
          </w:tcPr>
          <w:p w14:paraId="4CAF137A" w14:textId="77777777" w:rsidR="002E5C66" w:rsidRPr="00444DF4" w:rsidRDefault="002E5C66" w:rsidP="002E5C66">
            <w:pPr>
              <w:jc w:val="center"/>
              <w:rPr>
                <w:rFonts w:eastAsia="Times New Roman"/>
                <w:color w:val="000000"/>
                <w:sz w:val="20"/>
                <w:szCs w:val="20"/>
              </w:rPr>
            </w:pPr>
          </w:p>
        </w:tc>
        <w:tc>
          <w:tcPr>
            <w:tcW w:w="805" w:type="dxa"/>
            <w:shd w:val="clear" w:color="auto" w:fill="auto"/>
            <w:noWrap/>
            <w:vAlign w:val="bottom"/>
          </w:tcPr>
          <w:p w14:paraId="738B0290" w14:textId="77777777" w:rsidR="002E5C66" w:rsidRPr="00444DF4" w:rsidRDefault="002E5C66" w:rsidP="002E5C66">
            <w:pPr>
              <w:jc w:val="center"/>
              <w:rPr>
                <w:rFonts w:eastAsia="Times New Roman"/>
                <w:color w:val="000000"/>
                <w:sz w:val="20"/>
                <w:szCs w:val="20"/>
              </w:rPr>
            </w:pPr>
            <w:r>
              <w:rPr>
                <w:rFonts w:eastAsia="Times New Roman"/>
                <w:color w:val="000000"/>
                <w:sz w:val="20"/>
                <w:szCs w:val="20"/>
              </w:rPr>
              <w:t>Q2</w:t>
            </w:r>
          </w:p>
        </w:tc>
        <w:tc>
          <w:tcPr>
            <w:tcW w:w="1792" w:type="dxa"/>
            <w:shd w:val="clear" w:color="auto" w:fill="auto"/>
            <w:noWrap/>
            <w:vAlign w:val="bottom"/>
          </w:tcPr>
          <w:p w14:paraId="36EE46F3" w14:textId="155C350D" w:rsidR="002E5C66" w:rsidRPr="002E5C66" w:rsidRDefault="002E5C66">
            <w:pPr>
              <w:overflowPunct w:val="0"/>
              <w:jc w:val="center"/>
              <w:rPr>
                <w:color w:val="000000"/>
                <w:sz w:val="20"/>
              </w:rPr>
            </w:pPr>
            <w:r w:rsidRPr="002E5C66">
              <w:rPr>
                <w:rFonts w:hint="eastAsia"/>
                <w:color w:val="000000"/>
                <w:sz w:val="20"/>
              </w:rPr>
              <w:t>9</w:t>
            </w:r>
            <w:r w:rsidRPr="002E5C66">
              <w:rPr>
                <w:color w:val="000000"/>
                <w:sz w:val="20"/>
                <w:lang w:val="en-US"/>
              </w:rPr>
              <w:t> </w:t>
            </w:r>
            <w:r w:rsidRPr="001041CE">
              <w:rPr>
                <w:color w:val="000000"/>
                <w:sz w:val="20"/>
                <w:lang w:val="en-US"/>
              </w:rPr>
              <w:t>922 </w:t>
            </w:r>
            <w:r w:rsidR="0038473E">
              <w:rPr>
                <w:color w:val="000000"/>
                <w:sz w:val="20"/>
                <w:lang w:val="en-US"/>
              </w:rPr>
              <w:t>4</w:t>
            </w:r>
            <w:r w:rsidR="00BF6E71">
              <w:rPr>
                <w:color w:val="000000"/>
                <w:sz w:val="20"/>
              </w:rPr>
              <w:t>00</w:t>
            </w:r>
          </w:p>
        </w:tc>
        <w:tc>
          <w:tcPr>
            <w:tcW w:w="2181" w:type="dxa"/>
            <w:shd w:val="clear" w:color="auto" w:fill="auto"/>
            <w:noWrap/>
            <w:vAlign w:val="bottom"/>
          </w:tcPr>
          <w:p w14:paraId="6E249CD6" w14:textId="794C81B6" w:rsidR="002E5C66" w:rsidRPr="002E5C66" w:rsidRDefault="002E5C66" w:rsidP="002E5C66">
            <w:pPr>
              <w:overflowPunct w:val="0"/>
              <w:jc w:val="center"/>
              <w:rPr>
                <w:color w:val="000000"/>
                <w:sz w:val="20"/>
              </w:rPr>
            </w:pPr>
            <w:r w:rsidRPr="002E5C66">
              <w:rPr>
                <w:color w:val="000000"/>
                <w:sz w:val="20"/>
              </w:rPr>
              <w:t>7 </w:t>
            </w:r>
            <w:r w:rsidR="00BF6E71">
              <w:rPr>
                <w:color w:val="000000"/>
                <w:sz w:val="20"/>
              </w:rPr>
              <w:t>44</w:t>
            </w:r>
            <w:r w:rsidR="0038473E">
              <w:rPr>
                <w:color w:val="000000"/>
                <w:sz w:val="20"/>
              </w:rPr>
              <w:t>6</w:t>
            </w:r>
            <w:r w:rsidR="00BF6E71">
              <w:rPr>
                <w:color w:val="000000"/>
                <w:sz w:val="20"/>
              </w:rPr>
              <w:t> </w:t>
            </w:r>
            <w:r w:rsidR="0038473E">
              <w:rPr>
                <w:color w:val="000000"/>
                <w:sz w:val="20"/>
              </w:rPr>
              <w:t>0</w:t>
            </w:r>
            <w:r w:rsidR="00BF6E71">
              <w:rPr>
                <w:color w:val="000000"/>
                <w:sz w:val="20"/>
              </w:rPr>
              <w:t>00</w:t>
            </w:r>
          </w:p>
        </w:tc>
        <w:tc>
          <w:tcPr>
            <w:tcW w:w="2410" w:type="dxa"/>
            <w:shd w:val="clear" w:color="auto" w:fill="auto"/>
            <w:noWrap/>
            <w:vAlign w:val="bottom"/>
          </w:tcPr>
          <w:p w14:paraId="0DA19F4D" w14:textId="60691EC0" w:rsidR="002E5C66" w:rsidRPr="002E5C66" w:rsidRDefault="002E5C66" w:rsidP="002E5C66">
            <w:pPr>
              <w:overflowPunct w:val="0"/>
              <w:jc w:val="center"/>
              <w:rPr>
                <w:color w:val="000000"/>
                <w:sz w:val="20"/>
                <w:lang w:val="en-US"/>
              </w:rPr>
            </w:pPr>
            <w:r w:rsidRPr="002E5C66">
              <w:rPr>
                <w:color w:val="000000"/>
                <w:sz w:val="20"/>
                <w:lang w:val="en-US"/>
              </w:rPr>
              <w:t>1 </w:t>
            </w:r>
            <w:r w:rsidR="0038473E">
              <w:rPr>
                <w:color w:val="000000"/>
                <w:sz w:val="20"/>
                <w:lang w:val="en-US"/>
              </w:rPr>
              <w:t>724</w:t>
            </w:r>
            <w:r w:rsidR="00BF6E71">
              <w:rPr>
                <w:color w:val="000000"/>
                <w:sz w:val="20"/>
                <w:lang w:val="en-US"/>
              </w:rPr>
              <w:t> </w:t>
            </w:r>
            <w:r w:rsidR="0038473E">
              <w:rPr>
                <w:color w:val="000000"/>
                <w:sz w:val="20"/>
                <w:lang w:val="en-US"/>
              </w:rPr>
              <w:t>2</w:t>
            </w:r>
            <w:r w:rsidR="00BF6E71">
              <w:rPr>
                <w:color w:val="000000"/>
                <w:sz w:val="20"/>
                <w:lang w:val="en-US"/>
              </w:rPr>
              <w:t>00</w:t>
            </w:r>
          </w:p>
        </w:tc>
        <w:tc>
          <w:tcPr>
            <w:tcW w:w="2049" w:type="dxa"/>
            <w:shd w:val="clear" w:color="auto" w:fill="auto"/>
            <w:noWrap/>
            <w:vAlign w:val="bottom"/>
          </w:tcPr>
          <w:p w14:paraId="0C6913A2" w14:textId="48DCDFC5" w:rsidR="002E5C66" w:rsidRPr="002E5C66" w:rsidRDefault="00BF6E71" w:rsidP="002E5C66">
            <w:pPr>
              <w:overflowPunct w:val="0"/>
              <w:jc w:val="center"/>
              <w:rPr>
                <w:rFonts w:eastAsia="Times New Roman"/>
                <w:color w:val="000000"/>
                <w:sz w:val="20"/>
                <w:szCs w:val="20"/>
                <w:lang w:val="en-US"/>
              </w:rPr>
            </w:pPr>
            <w:r>
              <w:rPr>
                <w:rFonts w:eastAsia="Times New Roman"/>
                <w:color w:val="000000"/>
                <w:sz w:val="20"/>
                <w:szCs w:val="20"/>
                <w:lang w:val="en-US"/>
              </w:rPr>
              <w:t>7</w:t>
            </w:r>
            <w:r w:rsidR="0038473E">
              <w:rPr>
                <w:rFonts w:eastAsia="Times New Roman"/>
                <w:color w:val="000000"/>
                <w:sz w:val="20"/>
                <w:szCs w:val="20"/>
                <w:lang w:val="en-US"/>
              </w:rPr>
              <w:t>52</w:t>
            </w:r>
            <w:r>
              <w:rPr>
                <w:rFonts w:eastAsia="Times New Roman"/>
                <w:color w:val="000000"/>
                <w:sz w:val="20"/>
                <w:szCs w:val="20"/>
                <w:lang w:val="en-US"/>
              </w:rPr>
              <w:t> </w:t>
            </w:r>
            <w:r w:rsidR="0038473E">
              <w:rPr>
                <w:rFonts w:eastAsia="Times New Roman"/>
                <w:color w:val="000000"/>
                <w:sz w:val="20"/>
                <w:szCs w:val="20"/>
                <w:lang w:val="en-US"/>
              </w:rPr>
              <w:t>3</w:t>
            </w:r>
            <w:r>
              <w:rPr>
                <w:rFonts w:eastAsia="Times New Roman"/>
                <w:color w:val="000000"/>
                <w:sz w:val="20"/>
                <w:szCs w:val="20"/>
                <w:lang w:val="en-US"/>
              </w:rPr>
              <w:t>00</w:t>
            </w:r>
          </w:p>
        </w:tc>
      </w:tr>
    </w:tbl>
    <w:p w14:paraId="74D1B22C" w14:textId="77777777" w:rsidR="00BF6E71" w:rsidRPr="004B2860" w:rsidRDefault="00BF6E71" w:rsidP="00BF6E71">
      <w:pPr>
        <w:jc w:val="center"/>
        <w:rPr>
          <w:rFonts w:eastAsia="Times New Roman"/>
          <w:color w:val="000000"/>
          <w:sz w:val="28"/>
          <w:szCs w:val="28"/>
          <w:shd w:val="pct15" w:color="auto" w:fill="FFFFFF"/>
        </w:rPr>
      </w:pPr>
    </w:p>
    <w:p w14:paraId="2BAD49C2" w14:textId="77777777" w:rsidR="00BF6E71" w:rsidRPr="00E73514" w:rsidRDefault="00BF6E71" w:rsidP="00BF6E71">
      <w:pPr>
        <w:tabs>
          <w:tab w:val="left" w:pos="426"/>
          <w:tab w:val="left" w:pos="851"/>
        </w:tabs>
        <w:snapToGrid w:val="0"/>
        <w:spacing w:beforeLines="30" w:before="72" w:line="240" w:lineRule="exact"/>
        <w:ind w:left="1418" w:right="29" w:hanging="1418"/>
        <w:jc w:val="both"/>
        <w:rPr>
          <w:color w:val="000000"/>
          <w:sz w:val="22"/>
        </w:rPr>
      </w:pPr>
      <w:proofErr w:type="gramStart"/>
      <w:r w:rsidRPr="00E73514">
        <w:rPr>
          <w:color w:val="000000"/>
          <w:sz w:val="22"/>
        </w:rPr>
        <w:t>Notes :</w:t>
      </w:r>
      <w:proofErr w:type="gramEnd"/>
      <w:r w:rsidRPr="00E73514">
        <w:rPr>
          <w:color w:val="000000"/>
          <w:sz w:val="22"/>
        </w:rPr>
        <w:tab/>
        <w:t>(*)</w:t>
      </w:r>
      <w:r w:rsidRPr="00E73514">
        <w:rPr>
          <w:color w:val="000000"/>
          <w:sz w:val="22"/>
        </w:rPr>
        <w:tab/>
        <w:t>See note (</w:t>
      </w:r>
      <w:r>
        <w:rPr>
          <w:color w:val="000000"/>
          <w:sz w:val="22"/>
        </w:rPr>
        <w:t>3</w:t>
      </w:r>
      <w:r w:rsidRPr="00E73514">
        <w:rPr>
          <w:color w:val="000000"/>
          <w:sz w:val="22"/>
        </w:rPr>
        <w:t>) at the end of this chapter for the definitions of other short-haul and long</w:t>
      </w:r>
      <w:r w:rsidRPr="00E73514">
        <w:rPr>
          <w:color w:val="000000"/>
          <w:sz w:val="22"/>
        </w:rPr>
        <w:noBreakHyphen/>
        <w:t>haul markets.</w:t>
      </w:r>
    </w:p>
    <w:p w14:paraId="31F3500C" w14:textId="77777777" w:rsidR="00BF6E71" w:rsidRPr="00E73514" w:rsidRDefault="00BF6E71" w:rsidP="00BF6E71">
      <w:pPr>
        <w:tabs>
          <w:tab w:val="left" w:pos="426"/>
          <w:tab w:val="left" w:pos="851"/>
        </w:tabs>
        <w:snapToGrid w:val="0"/>
        <w:spacing w:beforeLines="30" w:before="72" w:line="240" w:lineRule="exact"/>
        <w:ind w:left="1418" w:right="29" w:hanging="1418"/>
        <w:jc w:val="both"/>
        <w:rPr>
          <w:color w:val="000000"/>
          <w:sz w:val="22"/>
          <w:szCs w:val="28"/>
        </w:rPr>
      </w:pPr>
      <w:r w:rsidRPr="00E73514">
        <w:rPr>
          <w:color w:val="000000"/>
          <w:sz w:val="22"/>
        </w:rPr>
        <w:tab/>
      </w:r>
      <w:r w:rsidRPr="00E73514">
        <w:rPr>
          <w:color w:val="000000"/>
          <w:sz w:val="22"/>
        </w:rPr>
        <w:tab/>
        <w:t xml:space="preserve">Figures may not add up to the corresponding totals due to rounding. </w:t>
      </w:r>
    </w:p>
    <w:p w14:paraId="5E52BB84" w14:textId="77777777" w:rsidR="00BF6E71" w:rsidRPr="009F4CD4" w:rsidRDefault="00BF6E71" w:rsidP="00BF6E71">
      <w:pPr>
        <w:pStyle w:val="afa"/>
        <w:ind w:leftChars="0" w:left="0"/>
        <w:jc w:val="center"/>
        <w:rPr>
          <w:rFonts w:eastAsia="Times New Roman"/>
          <w:b/>
          <w:color w:val="000000"/>
          <w:sz w:val="28"/>
          <w:szCs w:val="28"/>
        </w:rPr>
      </w:pPr>
      <w:r w:rsidRPr="00E73514">
        <w:rPr>
          <w:color w:val="000000"/>
          <w:sz w:val="28"/>
          <w:szCs w:val="28"/>
          <w:highlight w:val="yellow"/>
        </w:rPr>
        <w:br w:type="page"/>
      </w:r>
      <w:r w:rsidRPr="009F4CD4">
        <w:rPr>
          <w:rFonts w:eastAsia="Times New Roman"/>
          <w:b/>
          <w:color w:val="000000"/>
          <w:sz w:val="28"/>
          <w:szCs w:val="28"/>
        </w:rPr>
        <w:lastRenderedPageBreak/>
        <w:t xml:space="preserve">Table </w:t>
      </w:r>
      <w:proofErr w:type="gramStart"/>
      <w:r w:rsidRPr="009F4CD4">
        <w:rPr>
          <w:rFonts w:eastAsia="Times New Roman"/>
          <w:b/>
          <w:color w:val="000000"/>
          <w:sz w:val="28"/>
          <w:szCs w:val="28"/>
        </w:rPr>
        <w:t>3.2 :</w:t>
      </w:r>
      <w:proofErr w:type="gramEnd"/>
      <w:r w:rsidRPr="009F4CD4">
        <w:rPr>
          <w:rFonts w:eastAsia="Times New Roman"/>
          <w:b/>
          <w:color w:val="000000"/>
          <w:sz w:val="28"/>
          <w:szCs w:val="28"/>
        </w:rPr>
        <w:t xml:space="preserve"> Number of overnight and same-day visitor arrivals</w:t>
      </w:r>
    </w:p>
    <w:p w14:paraId="26F0AB05" w14:textId="77777777" w:rsidR="00BF6E71" w:rsidRDefault="00BF6E71" w:rsidP="00BF6E71">
      <w:pPr>
        <w:jc w:val="center"/>
        <w:rPr>
          <w:rFonts w:eastAsia="Times New Roman"/>
          <w:b/>
          <w:color w:val="000000"/>
          <w:sz w:val="28"/>
          <w:szCs w:val="28"/>
          <w:shd w:val="pct15" w:color="auto" w:fill="FFFFFF"/>
        </w:rPr>
      </w:pPr>
    </w:p>
    <w:tbl>
      <w:tblPr>
        <w:tblW w:w="7189" w:type="dxa"/>
        <w:jc w:val="center"/>
        <w:tblLook w:val="04A0" w:firstRow="1" w:lastRow="0" w:firstColumn="1" w:lastColumn="0" w:noHBand="0" w:noVBand="1"/>
      </w:tblPr>
      <w:tblGrid>
        <w:gridCol w:w="1136"/>
        <w:gridCol w:w="961"/>
        <w:gridCol w:w="2552"/>
        <w:gridCol w:w="2540"/>
      </w:tblGrid>
      <w:tr w:rsidR="00BF6E71" w:rsidRPr="00444DF4" w14:paraId="7376F815" w14:textId="77777777" w:rsidTr="00A7159E">
        <w:trPr>
          <w:trHeight w:val="246"/>
          <w:jc w:val="center"/>
        </w:trPr>
        <w:tc>
          <w:tcPr>
            <w:tcW w:w="1136" w:type="dxa"/>
            <w:shd w:val="clear" w:color="auto" w:fill="auto"/>
            <w:noWrap/>
            <w:vAlign w:val="bottom"/>
            <w:hideMark/>
          </w:tcPr>
          <w:p w14:paraId="79DDA027" w14:textId="77777777" w:rsidR="00BF6E71" w:rsidRPr="00444DF4" w:rsidRDefault="00BF6E71" w:rsidP="00A7159E">
            <w:pPr>
              <w:jc w:val="center"/>
              <w:rPr>
                <w:rFonts w:eastAsia="Times New Roman"/>
                <w:sz w:val="20"/>
                <w:szCs w:val="20"/>
              </w:rPr>
            </w:pPr>
          </w:p>
        </w:tc>
        <w:tc>
          <w:tcPr>
            <w:tcW w:w="961" w:type="dxa"/>
            <w:shd w:val="clear" w:color="auto" w:fill="auto"/>
            <w:noWrap/>
            <w:vAlign w:val="bottom"/>
            <w:hideMark/>
          </w:tcPr>
          <w:p w14:paraId="4655E0FE" w14:textId="77777777" w:rsidR="00BF6E71" w:rsidRPr="00444DF4" w:rsidRDefault="00BF6E71" w:rsidP="00A7159E">
            <w:pPr>
              <w:jc w:val="center"/>
              <w:rPr>
                <w:rFonts w:eastAsia="Times New Roman"/>
                <w:sz w:val="20"/>
                <w:szCs w:val="20"/>
              </w:rPr>
            </w:pPr>
          </w:p>
        </w:tc>
        <w:tc>
          <w:tcPr>
            <w:tcW w:w="2552" w:type="dxa"/>
            <w:shd w:val="clear" w:color="auto" w:fill="auto"/>
            <w:noWrap/>
            <w:vAlign w:val="bottom"/>
            <w:hideMark/>
          </w:tcPr>
          <w:p w14:paraId="67A54E9B" w14:textId="77777777" w:rsidR="00BF6E71" w:rsidRPr="00444DF4" w:rsidRDefault="00BF6E71" w:rsidP="00A7159E">
            <w:pPr>
              <w:jc w:val="center"/>
              <w:rPr>
                <w:rFonts w:eastAsia="Times New Roman"/>
                <w:color w:val="000000"/>
                <w:sz w:val="20"/>
                <w:szCs w:val="20"/>
                <w:u w:val="single"/>
              </w:rPr>
            </w:pPr>
            <w:r w:rsidRPr="00444DF4">
              <w:rPr>
                <w:rFonts w:eastAsia="Times New Roman"/>
                <w:color w:val="000000"/>
                <w:sz w:val="20"/>
                <w:szCs w:val="20"/>
                <w:u w:val="single"/>
              </w:rPr>
              <w:t>Overnight visitor arrivals</w:t>
            </w:r>
          </w:p>
        </w:tc>
        <w:tc>
          <w:tcPr>
            <w:tcW w:w="2540" w:type="dxa"/>
            <w:shd w:val="clear" w:color="auto" w:fill="auto"/>
            <w:noWrap/>
            <w:vAlign w:val="bottom"/>
            <w:hideMark/>
          </w:tcPr>
          <w:p w14:paraId="4BC58472" w14:textId="77777777" w:rsidR="00BF6E71" w:rsidRPr="00444DF4" w:rsidRDefault="00BF6E71" w:rsidP="00A7159E">
            <w:pPr>
              <w:jc w:val="center"/>
              <w:rPr>
                <w:rFonts w:eastAsia="Times New Roman"/>
                <w:color w:val="000000"/>
                <w:sz w:val="20"/>
                <w:szCs w:val="20"/>
                <w:u w:val="single"/>
              </w:rPr>
            </w:pPr>
            <w:r w:rsidRPr="00444DF4">
              <w:rPr>
                <w:rFonts w:eastAsia="Times New Roman"/>
                <w:color w:val="000000"/>
                <w:sz w:val="20"/>
                <w:szCs w:val="20"/>
                <w:u w:val="single"/>
              </w:rPr>
              <w:t>Same-day visitor arrivals</w:t>
            </w:r>
          </w:p>
        </w:tc>
      </w:tr>
      <w:tr w:rsidR="00BF6E71" w:rsidRPr="00444DF4" w14:paraId="278ABC2C" w14:textId="77777777" w:rsidTr="00A7159E">
        <w:trPr>
          <w:trHeight w:val="70"/>
          <w:jc w:val="center"/>
        </w:trPr>
        <w:tc>
          <w:tcPr>
            <w:tcW w:w="1136" w:type="dxa"/>
            <w:shd w:val="clear" w:color="auto" w:fill="auto"/>
            <w:noWrap/>
            <w:vAlign w:val="bottom"/>
          </w:tcPr>
          <w:p w14:paraId="36182255" w14:textId="77777777" w:rsidR="00BF6E71" w:rsidRPr="00444DF4" w:rsidRDefault="00BF6E71" w:rsidP="00A7159E">
            <w:pPr>
              <w:jc w:val="center"/>
              <w:rPr>
                <w:rFonts w:eastAsia="Times New Roman"/>
                <w:color w:val="000000"/>
                <w:sz w:val="4"/>
                <w:szCs w:val="20"/>
              </w:rPr>
            </w:pPr>
          </w:p>
        </w:tc>
        <w:tc>
          <w:tcPr>
            <w:tcW w:w="961" w:type="dxa"/>
            <w:shd w:val="clear" w:color="auto" w:fill="auto"/>
            <w:noWrap/>
            <w:vAlign w:val="bottom"/>
          </w:tcPr>
          <w:p w14:paraId="56E9F583" w14:textId="77777777" w:rsidR="00BF6E71" w:rsidRPr="00444DF4" w:rsidRDefault="00BF6E71" w:rsidP="00A7159E">
            <w:pPr>
              <w:jc w:val="center"/>
              <w:rPr>
                <w:rFonts w:eastAsia="Times New Roman"/>
                <w:color w:val="000000"/>
                <w:sz w:val="4"/>
                <w:szCs w:val="20"/>
              </w:rPr>
            </w:pPr>
          </w:p>
        </w:tc>
        <w:tc>
          <w:tcPr>
            <w:tcW w:w="2552" w:type="dxa"/>
            <w:shd w:val="clear" w:color="auto" w:fill="auto"/>
            <w:noWrap/>
            <w:vAlign w:val="bottom"/>
          </w:tcPr>
          <w:p w14:paraId="687C8C3D" w14:textId="77777777" w:rsidR="00BF6E71" w:rsidRPr="00444DF4" w:rsidRDefault="00BF6E71" w:rsidP="00A7159E">
            <w:pPr>
              <w:jc w:val="center"/>
              <w:rPr>
                <w:rFonts w:eastAsia="Times New Roman"/>
                <w:color w:val="000000"/>
                <w:sz w:val="4"/>
                <w:szCs w:val="20"/>
              </w:rPr>
            </w:pPr>
          </w:p>
        </w:tc>
        <w:tc>
          <w:tcPr>
            <w:tcW w:w="2540" w:type="dxa"/>
            <w:shd w:val="clear" w:color="auto" w:fill="auto"/>
            <w:noWrap/>
            <w:vAlign w:val="bottom"/>
          </w:tcPr>
          <w:p w14:paraId="0D1CDE59" w14:textId="77777777" w:rsidR="00BF6E71" w:rsidRPr="00444DF4" w:rsidRDefault="00BF6E71" w:rsidP="00A7159E">
            <w:pPr>
              <w:jc w:val="center"/>
              <w:rPr>
                <w:rFonts w:eastAsia="Times New Roman"/>
                <w:color w:val="000000"/>
                <w:sz w:val="4"/>
                <w:szCs w:val="20"/>
              </w:rPr>
            </w:pPr>
          </w:p>
        </w:tc>
      </w:tr>
      <w:tr w:rsidR="00BF6E71" w:rsidRPr="00444DF4" w14:paraId="0977DB35" w14:textId="77777777" w:rsidTr="00A7159E">
        <w:trPr>
          <w:trHeight w:val="70"/>
          <w:jc w:val="center"/>
        </w:trPr>
        <w:tc>
          <w:tcPr>
            <w:tcW w:w="1136" w:type="dxa"/>
            <w:shd w:val="clear" w:color="auto" w:fill="auto"/>
            <w:noWrap/>
            <w:vAlign w:val="bottom"/>
          </w:tcPr>
          <w:p w14:paraId="1061B489" w14:textId="77777777" w:rsidR="00BF6E71" w:rsidRPr="00444DF4" w:rsidRDefault="00BF6E71" w:rsidP="00A7159E">
            <w:pPr>
              <w:jc w:val="center"/>
              <w:rPr>
                <w:rFonts w:eastAsia="Times New Roman"/>
                <w:color w:val="000000"/>
                <w:sz w:val="10"/>
                <w:szCs w:val="20"/>
              </w:rPr>
            </w:pPr>
          </w:p>
        </w:tc>
        <w:tc>
          <w:tcPr>
            <w:tcW w:w="961" w:type="dxa"/>
            <w:shd w:val="clear" w:color="auto" w:fill="auto"/>
            <w:noWrap/>
            <w:vAlign w:val="bottom"/>
          </w:tcPr>
          <w:p w14:paraId="0F57A95D" w14:textId="77777777" w:rsidR="00BF6E71" w:rsidRPr="00444DF4" w:rsidRDefault="00BF6E71" w:rsidP="00A7159E">
            <w:pPr>
              <w:jc w:val="center"/>
              <w:rPr>
                <w:rFonts w:eastAsia="Times New Roman"/>
                <w:color w:val="000000"/>
                <w:sz w:val="10"/>
                <w:szCs w:val="20"/>
              </w:rPr>
            </w:pPr>
          </w:p>
        </w:tc>
        <w:tc>
          <w:tcPr>
            <w:tcW w:w="2552" w:type="dxa"/>
            <w:shd w:val="clear" w:color="auto" w:fill="auto"/>
            <w:noWrap/>
            <w:vAlign w:val="bottom"/>
          </w:tcPr>
          <w:p w14:paraId="3109141A" w14:textId="77777777" w:rsidR="00BF6E71" w:rsidRPr="00444DF4" w:rsidRDefault="00BF6E71" w:rsidP="00A7159E">
            <w:pPr>
              <w:jc w:val="center"/>
              <w:rPr>
                <w:rFonts w:eastAsia="Times New Roman"/>
                <w:color w:val="000000"/>
                <w:sz w:val="10"/>
                <w:szCs w:val="20"/>
              </w:rPr>
            </w:pPr>
          </w:p>
        </w:tc>
        <w:tc>
          <w:tcPr>
            <w:tcW w:w="2540" w:type="dxa"/>
            <w:shd w:val="clear" w:color="auto" w:fill="auto"/>
            <w:noWrap/>
            <w:vAlign w:val="bottom"/>
          </w:tcPr>
          <w:p w14:paraId="4454EF94" w14:textId="77777777" w:rsidR="00BF6E71" w:rsidRPr="00444DF4" w:rsidRDefault="00BF6E71" w:rsidP="00A7159E">
            <w:pPr>
              <w:jc w:val="center"/>
              <w:rPr>
                <w:rFonts w:eastAsia="Times New Roman"/>
                <w:color w:val="000000"/>
                <w:sz w:val="10"/>
                <w:szCs w:val="20"/>
              </w:rPr>
            </w:pPr>
          </w:p>
        </w:tc>
      </w:tr>
      <w:tr w:rsidR="00BF6E71" w:rsidRPr="00444DF4" w14:paraId="596741C0" w14:textId="77777777" w:rsidTr="00A7159E">
        <w:trPr>
          <w:trHeight w:val="246"/>
          <w:jc w:val="center"/>
        </w:trPr>
        <w:tc>
          <w:tcPr>
            <w:tcW w:w="1136" w:type="dxa"/>
            <w:shd w:val="clear" w:color="auto" w:fill="auto"/>
            <w:noWrap/>
            <w:vAlign w:val="bottom"/>
            <w:hideMark/>
          </w:tcPr>
          <w:p w14:paraId="56213CF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2019</w:t>
            </w:r>
          </w:p>
        </w:tc>
        <w:tc>
          <w:tcPr>
            <w:tcW w:w="961" w:type="dxa"/>
            <w:shd w:val="clear" w:color="auto" w:fill="auto"/>
            <w:noWrap/>
            <w:vAlign w:val="bottom"/>
            <w:hideMark/>
          </w:tcPr>
          <w:p w14:paraId="542BEEB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Q1</w:t>
            </w:r>
          </w:p>
        </w:tc>
        <w:tc>
          <w:tcPr>
            <w:tcW w:w="2552" w:type="dxa"/>
            <w:shd w:val="clear" w:color="auto" w:fill="auto"/>
            <w:noWrap/>
            <w:vAlign w:val="bottom"/>
            <w:hideMark/>
          </w:tcPr>
          <w:p w14:paraId="34711A40"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7 775 100</w:t>
            </w:r>
          </w:p>
        </w:tc>
        <w:tc>
          <w:tcPr>
            <w:tcW w:w="2540" w:type="dxa"/>
            <w:shd w:val="clear" w:color="auto" w:fill="auto"/>
            <w:noWrap/>
            <w:vAlign w:val="bottom"/>
            <w:hideMark/>
          </w:tcPr>
          <w:p w14:paraId="7208DF3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10 459 300</w:t>
            </w:r>
          </w:p>
        </w:tc>
      </w:tr>
      <w:tr w:rsidR="00BF6E71" w:rsidRPr="00444DF4" w14:paraId="63318C32" w14:textId="77777777" w:rsidTr="00A7159E">
        <w:trPr>
          <w:trHeight w:val="246"/>
          <w:jc w:val="center"/>
        </w:trPr>
        <w:tc>
          <w:tcPr>
            <w:tcW w:w="1136" w:type="dxa"/>
            <w:shd w:val="clear" w:color="auto" w:fill="auto"/>
            <w:noWrap/>
            <w:vAlign w:val="bottom"/>
            <w:hideMark/>
          </w:tcPr>
          <w:p w14:paraId="695252C4"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hideMark/>
          </w:tcPr>
          <w:p w14:paraId="163E1840"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hideMark/>
          </w:tcPr>
          <w:p w14:paraId="67350A1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7 145 100</w:t>
            </w:r>
          </w:p>
        </w:tc>
        <w:tc>
          <w:tcPr>
            <w:tcW w:w="2540" w:type="dxa"/>
            <w:shd w:val="clear" w:color="auto" w:fill="auto"/>
            <w:noWrap/>
            <w:vAlign w:val="bottom"/>
            <w:hideMark/>
          </w:tcPr>
          <w:p w14:paraId="78D01E9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9 492 400</w:t>
            </w:r>
          </w:p>
        </w:tc>
      </w:tr>
      <w:tr w:rsidR="00BF6E71" w:rsidRPr="00444DF4" w14:paraId="734EAA46" w14:textId="77777777" w:rsidTr="00A7159E">
        <w:trPr>
          <w:trHeight w:val="246"/>
          <w:jc w:val="center"/>
        </w:trPr>
        <w:tc>
          <w:tcPr>
            <w:tcW w:w="1136" w:type="dxa"/>
            <w:shd w:val="clear" w:color="auto" w:fill="auto"/>
            <w:noWrap/>
            <w:vAlign w:val="bottom"/>
            <w:hideMark/>
          </w:tcPr>
          <w:p w14:paraId="7EDC4D2D"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hideMark/>
          </w:tcPr>
          <w:p w14:paraId="6489B094"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hideMark/>
          </w:tcPr>
          <w:p w14:paraId="11481A1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5 108 400</w:t>
            </w:r>
          </w:p>
        </w:tc>
        <w:tc>
          <w:tcPr>
            <w:tcW w:w="2540" w:type="dxa"/>
            <w:shd w:val="clear" w:color="auto" w:fill="auto"/>
            <w:noWrap/>
            <w:vAlign w:val="bottom"/>
            <w:hideMark/>
          </w:tcPr>
          <w:p w14:paraId="161D0B7E"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6 783 200</w:t>
            </w:r>
          </w:p>
        </w:tc>
      </w:tr>
      <w:tr w:rsidR="00BF6E71" w:rsidRPr="00444DF4" w14:paraId="7AEB0AD2" w14:textId="77777777" w:rsidTr="00A7159E">
        <w:trPr>
          <w:trHeight w:val="246"/>
          <w:jc w:val="center"/>
        </w:trPr>
        <w:tc>
          <w:tcPr>
            <w:tcW w:w="1136" w:type="dxa"/>
            <w:shd w:val="clear" w:color="auto" w:fill="auto"/>
            <w:noWrap/>
            <w:vAlign w:val="bottom"/>
          </w:tcPr>
          <w:p w14:paraId="2BE746E7"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tcPr>
          <w:p w14:paraId="6297CEFA"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74EC3C76"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3 723 700</w:t>
            </w:r>
          </w:p>
        </w:tc>
        <w:tc>
          <w:tcPr>
            <w:tcW w:w="2540" w:type="dxa"/>
            <w:shd w:val="clear" w:color="auto" w:fill="auto"/>
            <w:noWrap/>
            <w:vAlign w:val="bottom"/>
          </w:tcPr>
          <w:p w14:paraId="25D86D6F"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5 425 500</w:t>
            </w:r>
          </w:p>
        </w:tc>
      </w:tr>
      <w:tr w:rsidR="00BF6E71" w:rsidRPr="00444DF4" w14:paraId="51F553CC" w14:textId="77777777" w:rsidTr="00A7159E">
        <w:trPr>
          <w:trHeight w:val="246"/>
          <w:jc w:val="center"/>
        </w:trPr>
        <w:tc>
          <w:tcPr>
            <w:tcW w:w="1136" w:type="dxa"/>
            <w:shd w:val="clear" w:color="auto" w:fill="auto"/>
            <w:noWrap/>
            <w:vAlign w:val="bottom"/>
          </w:tcPr>
          <w:p w14:paraId="260B0FC7"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tcPr>
          <w:p w14:paraId="116917F1" w14:textId="77777777" w:rsidR="00BF6E71" w:rsidRPr="00444DF4" w:rsidRDefault="00BF6E71" w:rsidP="00A7159E">
            <w:pPr>
              <w:jc w:val="center"/>
              <w:rPr>
                <w:rFonts w:eastAsia="Times New Roman"/>
                <w:color w:val="000000"/>
                <w:sz w:val="20"/>
                <w:szCs w:val="20"/>
              </w:rPr>
            </w:pPr>
          </w:p>
        </w:tc>
        <w:tc>
          <w:tcPr>
            <w:tcW w:w="2552" w:type="dxa"/>
            <w:shd w:val="clear" w:color="auto" w:fill="auto"/>
            <w:noWrap/>
            <w:vAlign w:val="bottom"/>
          </w:tcPr>
          <w:p w14:paraId="07C83971" w14:textId="77777777" w:rsidR="00BF6E71" w:rsidRPr="00444DF4" w:rsidRDefault="00BF6E71" w:rsidP="00A7159E">
            <w:pPr>
              <w:jc w:val="center"/>
              <w:rPr>
                <w:rFonts w:eastAsia="Times New Roman"/>
                <w:color w:val="000000"/>
                <w:sz w:val="20"/>
                <w:szCs w:val="20"/>
              </w:rPr>
            </w:pPr>
          </w:p>
        </w:tc>
        <w:tc>
          <w:tcPr>
            <w:tcW w:w="2540" w:type="dxa"/>
            <w:shd w:val="clear" w:color="auto" w:fill="auto"/>
            <w:noWrap/>
            <w:vAlign w:val="bottom"/>
          </w:tcPr>
          <w:p w14:paraId="27506311" w14:textId="77777777" w:rsidR="00BF6E71" w:rsidRPr="00444DF4" w:rsidRDefault="00BF6E71" w:rsidP="00A7159E">
            <w:pPr>
              <w:jc w:val="center"/>
              <w:rPr>
                <w:rFonts w:eastAsia="Times New Roman"/>
                <w:color w:val="000000"/>
                <w:sz w:val="20"/>
                <w:szCs w:val="20"/>
              </w:rPr>
            </w:pPr>
          </w:p>
        </w:tc>
      </w:tr>
      <w:tr w:rsidR="00BF6E71" w:rsidRPr="00444DF4" w14:paraId="6167DC37" w14:textId="77777777" w:rsidTr="00A7159E">
        <w:trPr>
          <w:trHeight w:val="246"/>
          <w:jc w:val="center"/>
        </w:trPr>
        <w:tc>
          <w:tcPr>
            <w:tcW w:w="1136" w:type="dxa"/>
            <w:shd w:val="clear" w:color="auto" w:fill="auto"/>
            <w:noWrap/>
            <w:vAlign w:val="bottom"/>
            <w:hideMark/>
          </w:tcPr>
          <w:p w14:paraId="4B9CA408"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2020</w:t>
            </w:r>
          </w:p>
        </w:tc>
        <w:tc>
          <w:tcPr>
            <w:tcW w:w="961" w:type="dxa"/>
            <w:shd w:val="clear" w:color="auto" w:fill="auto"/>
            <w:noWrap/>
            <w:vAlign w:val="bottom"/>
            <w:hideMark/>
          </w:tcPr>
          <w:p w14:paraId="534DA876"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Q1</w:t>
            </w:r>
          </w:p>
        </w:tc>
        <w:tc>
          <w:tcPr>
            <w:tcW w:w="2552" w:type="dxa"/>
            <w:shd w:val="clear" w:color="auto" w:fill="auto"/>
            <w:noWrap/>
            <w:vAlign w:val="bottom"/>
            <w:hideMark/>
          </w:tcPr>
          <w:p w14:paraId="6544A3B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1 280 900</w:t>
            </w:r>
          </w:p>
        </w:tc>
        <w:tc>
          <w:tcPr>
            <w:tcW w:w="2540" w:type="dxa"/>
            <w:shd w:val="clear" w:color="auto" w:fill="auto"/>
            <w:noWrap/>
            <w:vAlign w:val="bottom"/>
            <w:hideMark/>
          </w:tcPr>
          <w:p w14:paraId="154A6094"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2 208 300</w:t>
            </w:r>
          </w:p>
        </w:tc>
      </w:tr>
      <w:tr w:rsidR="00BF6E71" w:rsidRPr="00444DF4" w14:paraId="224579B9" w14:textId="77777777" w:rsidTr="00A7159E">
        <w:trPr>
          <w:trHeight w:val="246"/>
          <w:jc w:val="center"/>
        </w:trPr>
        <w:tc>
          <w:tcPr>
            <w:tcW w:w="1136" w:type="dxa"/>
            <w:shd w:val="clear" w:color="auto" w:fill="auto"/>
            <w:noWrap/>
            <w:vAlign w:val="bottom"/>
            <w:hideMark/>
          </w:tcPr>
          <w:p w14:paraId="68780AA3"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hideMark/>
          </w:tcPr>
          <w:p w14:paraId="603CF531"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hideMark/>
          </w:tcPr>
          <w:p w14:paraId="1D973ACF"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26 500</w:t>
            </w:r>
          </w:p>
        </w:tc>
        <w:tc>
          <w:tcPr>
            <w:tcW w:w="2540" w:type="dxa"/>
            <w:shd w:val="clear" w:color="auto" w:fill="auto"/>
            <w:noWrap/>
            <w:vAlign w:val="bottom"/>
            <w:hideMark/>
          </w:tcPr>
          <w:p w14:paraId="4DB7E12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300</w:t>
            </w:r>
          </w:p>
        </w:tc>
      </w:tr>
      <w:tr w:rsidR="00BF6E71" w:rsidRPr="00444DF4" w14:paraId="7BA77158" w14:textId="77777777" w:rsidTr="00A7159E">
        <w:trPr>
          <w:trHeight w:val="246"/>
          <w:jc w:val="center"/>
        </w:trPr>
        <w:tc>
          <w:tcPr>
            <w:tcW w:w="1136" w:type="dxa"/>
            <w:shd w:val="clear" w:color="auto" w:fill="auto"/>
            <w:noWrap/>
            <w:vAlign w:val="bottom"/>
            <w:hideMark/>
          </w:tcPr>
          <w:p w14:paraId="5E5B7EE7"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hideMark/>
          </w:tcPr>
          <w:p w14:paraId="772055CE"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hideMark/>
          </w:tcPr>
          <w:p w14:paraId="2E88C3A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33 800</w:t>
            </w:r>
          </w:p>
        </w:tc>
        <w:tc>
          <w:tcPr>
            <w:tcW w:w="2540" w:type="dxa"/>
            <w:shd w:val="clear" w:color="auto" w:fill="auto"/>
            <w:noWrap/>
            <w:vAlign w:val="bottom"/>
            <w:hideMark/>
          </w:tcPr>
          <w:p w14:paraId="4FC60B2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300</w:t>
            </w:r>
          </w:p>
        </w:tc>
      </w:tr>
      <w:tr w:rsidR="00BF6E71" w:rsidRPr="00444DF4" w14:paraId="0EBC80E5" w14:textId="77777777" w:rsidTr="00A7159E">
        <w:trPr>
          <w:trHeight w:val="246"/>
          <w:jc w:val="center"/>
        </w:trPr>
        <w:tc>
          <w:tcPr>
            <w:tcW w:w="1136" w:type="dxa"/>
            <w:shd w:val="clear" w:color="auto" w:fill="auto"/>
            <w:noWrap/>
            <w:vAlign w:val="bottom"/>
          </w:tcPr>
          <w:p w14:paraId="61B43F6B"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tcPr>
          <w:p w14:paraId="5AF1CEDA"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09995904"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18 100</w:t>
            </w:r>
          </w:p>
        </w:tc>
        <w:tc>
          <w:tcPr>
            <w:tcW w:w="2540" w:type="dxa"/>
            <w:shd w:val="clear" w:color="auto" w:fill="auto"/>
            <w:noWrap/>
            <w:vAlign w:val="bottom"/>
          </w:tcPr>
          <w:p w14:paraId="5AF89D6F"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500</w:t>
            </w:r>
          </w:p>
        </w:tc>
      </w:tr>
      <w:tr w:rsidR="00BF6E71" w:rsidRPr="00444DF4" w14:paraId="01752F39" w14:textId="77777777" w:rsidTr="00A7159E">
        <w:trPr>
          <w:trHeight w:val="246"/>
          <w:jc w:val="center"/>
        </w:trPr>
        <w:tc>
          <w:tcPr>
            <w:tcW w:w="1136" w:type="dxa"/>
            <w:shd w:val="clear" w:color="auto" w:fill="auto"/>
            <w:noWrap/>
            <w:vAlign w:val="bottom"/>
          </w:tcPr>
          <w:p w14:paraId="70A9954C"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tcPr>
          <w:p w14:paraId="34D18915" w14:textId="77777777" w:rsidR="00BF6E71" w:rsidRPr="00444DF4" w:rsidRDefault="00BF6E71" w:rsidP="00A7159E">
            <w:pPr>
              <w:jc w:val="center"/>
              <w:rPr>
                <w:rFonts w:eastAsia="Times New Roman"/>
                <w:color w:val="000000"/>
                <w:sz w:val="20"/>
                <w:szCs w:val="20"/>
              </w:rPr>
            </w:pPr>
          </w:p>
        </w:tc>
        <w:tc>
          <w:tcPr>
            <w:tcW w:w="2552" w:type="dxa"/>
            <w:shd w:val="clear" w:color="auto" w:fill="auto"/>
            <w:noWrap/>
            <w:vAlign w:val="bottom"/>
          </w:tcPr>
          <w:p w14:paraId="6584C9DC" w14:textId="77777777" w:rsidR="00BF6E71" w:rsidRPr="00444DF4" w:rsidRDefault="00BF6E71" w:rsidP="00A7159E">
            <w:pPr>
              <w:jc w:val="center"/>
              <w:rPr>
                <w:rFonts w:eastAsia="Times New Roman"/>
                <w:color w:val="000000"/>
                <w:sz w:val="20"/>
                <w:szCs w:val="20"/>
              </w:rPr>
            </w:pPr>
          </w:p>
        </w:tc>
        <w:tc>
          <w:tcPr>
            <w:tcW w:w="2540" w:type="dxa"/>
            <w:shd w:val="clear" w:color="auto" w:fill="auto"/>
            <w:noWrap/>
            <w:vAlign w:val="bottom"/>
          </w:tcPr>
          <w:p w14:paraId="3240F7F5" w14:textId="77777777" w:rsidR="00BF6E71" w:rsidRPr="00444DF4" w:rsidRDefault="00BF6E71" w:rsidP="00A7159E">
            <w:pPr>
              <w:jc w:val="center"/>
              <w:rPr>
                <w:rFonts w:eastAsia="Times New Roman"/>
                <w:color w:val="000000"/>
                <w:sz w:val="20"/>
                <w:szCs w:val="20"/>
              </w:rPr>
            </w:pPr>
          </w:p>
        </w:tc>
      </w:tr>
      <w:tr w:rsidR="00BF6E71" w:rsidRPr="00444DF4" w14:paraId="561503FE" w14:textId="77777777" w:rsidTr="00A7159E">
        <w:trPr>
          <w:trHeight w:val="246"/>
          <w:jc w:val="center"/>
        </w:trPr>
        <w:tc>
          <w:tcPr>
            <w:tcW w:w="1136" w:type="dxa"/>
            <w:shd w:val="clear" w:color="auto" w:fill="auto"/>
            <w:noWrap/>
            <w:vAlign w:val="bottom"/>
          </w:tcPr>
          <w:p w14:paraId="07A1608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2021</w:t>
            </w:r>
          </w:p>
        </w:tc>
        <w:tc>
          <w:tcPr>
            <w:tcW w:w="961" w:type="dxa"/>
            <w:shd w:val="clear" w:color="auto" w:fill="auto"/>
            <w:noWrap/>
            <w:vAlign w:val="bottom"/>
          </w:tcPr>
          <w:p w14:paraId="55018F3C"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Q1</w:t>
            </w:r>
          </w:p>
        </w:tc>
        <w:tc>
          <w:tcPr>
            <w:tcW w:w="2552" w:type="dxa"/>
            <w:shd w:val="clear" w:color="auto" w:fill="auto"/>
            <w:noWrap/>
            <w:vAlign w:val="bottom"/>
          </w:tcPr>
          <w:p w14:paraId="37E0D4DD"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16 300</w:t>
            </w:r>
          </w:p>
        </w:tc>
        <w:tc>
          <w:tcPr>
            <w:tcW w:w="2540" w:type="dxa"/>
            <w:shd w:val="clear" w:color="auto" w:fill="auto"/>
            <w:noWrap/>
            <w:vAlign w:val="bottom"/>
          </w:tcPr>
          <w:p w14:paraId="4752FF3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200</w:t>
            </w:r>
          </w:p>
        </w:tc>
      </w:tr>
      <w:tr w:rsidR="00BF6E71" w:rsidRPr="00444DF4" w14:paraId="3100D798" w14:textId="77777777" w:rsidTr="00A7159E">
        <w:trPr>
          <w:trHeight w:val="246"/>
          <w:jc w:val="center"/>
        </w:trPr>
        <w:tc>
          <w:tcPr>
            <w:tcW w:w="1136" w:type="dxa"/>
            <w:shd w:val="clear" w:color="auto" w:fill="auto"/>
            <w:noWrap/>
            <w:vAlign w:val="bottom"/>
            <w:hideMark/>
          </w:tcPr>
          <w:p w14:paraId="7F471783"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hideMark/>
          </w:tcPr>
          <w:p w14:paraId="655E0089"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hideMark/>
          </w:tcPr>
          <w:p w14:paraId="62478306"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16 900</w:t>
            </w:r>
          </w:p>
        </w:tc>
        <w:tc>
          <w:tcPr>
            <w:tcW w:w="2540" w:type="dxa"/>
            <w:shd w:val="clear" w:color="auto" w:fill="auto"/>
            <w:noWrap/>
            <w:vAlign w:val="bottom"/>
            <w:hideMark/>
          </w:tcPr>
          <w:p w14:paraId="6C7A75A9"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300</w:t>
            </w:r>
          </w:p>
        </w:tc>
      </w:tr>
      <w:tr w:rsidR="00BF6E71" w:rsidRPr="00444DF4" w14:paraId="06DA6E48" w14:textId="77777777" w:rsidTr="00A7159E">
        <w:trPr>
          <w:trHeight w:val="246"/>
          <w:jc w:val="center"/>
        </w:trPr>
        <w:tc>
          <w:tcPr>
            <w:tcW w:w="1136" w:type="dxa"/>
            <w:shd w:val="clear" w:color="auto" w:fill="auto"/>
            <w:noWrap/>
            <w:vAlign w:val="bottom"/>
          </w:tcPr>
          <w:p w14:paraId="085BBE29"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tcPr>
          <w:p w14:paraId="429AD980"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tcPr>
          <w:p w14:paraId="4996DC9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29 000</w:t>
            </w:r>
          </w:p>
        </w:tc>
        <w:tc>
          <w:tcPr>
            <w:tcW w:w="2540" w:type="dxa"/>
            <w:shd w:val="clear" w:color="auto" w:fill="auto"/>
            <w:noWrap/>
            <w:vAlign w:val="bottom"/>
          </w:tcPr>
          <w:p w14:paraId="3B99659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300</w:t>
            </w:r>
          </w:p>
        </w:tc>
      </w:tr>
      <w:tr w:rsidR="00BF6E71" w:rsidRPr="00444DF4" w14:paraId="1D816D64" w14:textId="77777777" w:rsidTr="00A7159E">
        <w:trPr>
          <w:trHeight w:val="246"/>
          <w:jc w:val="center"/>
        </w:trPr>
        <w:tc>
          <w:tcPr>
            <w:tcW w:w="1136" w:type="dxa"/>
            <w:shd w:val="clear" w:color="auto" w:fill="auto"/>
            <w:noWrap/>
            <w:vAlign w:val="bottom"/>
          </w:tcPr>
          <w:p w14:paraId="04C56447"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tcPr>
          <w:p w14:paraId="23A49A0A"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7CB6257B"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26 900</w:t>
            </w:r>
          </w:p>
        </w:tc>
        <w:tc>
          <w:tcPr>
            <w:tcW w:w="2540" w:type="dxa"/>
            <w:shd w:val="clear" w:color="auto" w:fill="auto"/>
            <w:noWrap/>
            <w:vAlign w:val="bottom"/>
          </w:tcPr>
          <w:p w14:paraId="72C8D43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1 400</w:t>
            </w:r>
          </w:p>
        </w:tc>
      </w:tr>
      <w:tr w:rsidR="00BF6E71" w:rsidRPr="00444DF4" w14:paraId="1AAA5799" w14:textId="77777777" w:rsidTr="00A7159E">
        <w:trPr>
          <w:trHeight w:val="246"/>
          <w:jc w:val="center"/>
        </w:trPr>
        <w:tc>
          <w:tcPr>
            <w:tcW w:w="1136" w:type="dxa"/>
            <w:shd w:val="clear" w:color="auto" w:fill="auto"/>
            <w:noWrap/>
            <w:vAlign w:val="bottom"/>
          </w:tcPr>
          <w:p w14:paraId="094E461C" w14:textId="77777777" w:rsidR="00BF6E71" w:rsidRPr="00444DF4" w:rsidRDefault="00BF6E71" w:rsidP="00A7159E">
            <w:pPr>
              <w:jc w:val="center"/>
              <w:rPr>
                <w:rFonts w:eastAsia="Times New Roman"/>
                <w:color w:val="000000"/>
                <w:sz w:val="20"/>
                <w:szCs w:val="20"/>
              </w:rPr>
            </w:pPr>
          </w:p>
        </w:tc>
        <w:tc>
          <w:tcPr>
            <w:tcW w:w="961" w:type="dxa"/>
            <w:shd w:val="clear" w:color="auto" w:fill="auto"/>
            <w:noWrap/>
            <w:vAlign w:val="bottom"/>
          </w:tcPr>
          <w:p w14:paraId="1AE45D2B" w14:textId="77777777" w:rsidR="00BF6E71" w:rsidRPr="00444DF4" w:rsidRDefault="00BF6E71" w:rsidP="00A7159E">
            <w:pPr>
              <w:jc w:val="center"/>
              <w:rPr>
                <w:rFonts w:eastAsia="Times New Roman"/>
                <w:color w:val="000000"/>
                <w:sz w:val="20"/>
                <w:szCs w:val="20"/>
              </w:rPr>
            </w:pPr>
          </w:p>
        </w:tc>
        <w:tc>
          <w:tcPr>
            <w:tcW w:w="2552" w:type="dxa"/>
            <w:shd w:val="clear" w:color="auto" w:fill="auto"/>
            <w:noWrap/>
            <w:vAlign w:val="bottom"/>
          </w:tcPr>
          <w:p w14:paraId="45D6E88D" w14:textId="77777777" w:rsidR="00BF6E71" w:rsidRPr="00444DF4" w:rsidRDefault="00BF6E71" w:rsidP="00A7159E">
            <w:pPr>
              <w:jc w:val="center"/>
              <w:rPr>
                <w:rFonts w:eastAsia="Times New Roman"/>
                <w:color w:val="000000"/>
                <w:sz w:val="20"/>
                <w:szCs w:val="20"/>
              </w:rPr>
            </w:pPr>
          </w:p>
        </w:tc>
        <w:tc>
          <w:tcPr>
            <w:tcW w:w="2540" w:type="dxa"/>
            <w:shd w:val="clear" w:color="auto" w:fill="auto"/>
            <w:noWrap/>
            <w:vAlign w:val="bottom"/>
          </w:tcPr>
          <w:p w14:paraId="60A45053" w14:textId="77777777" w:rsidR="00BF6E71" w:rsidRPr="00444DF4" w:rsidRDefault="00BF6E71" w:rsidP="00A7159E">
            <w:pPr>
              <w:jc w:val="center"/>
              <w:rPr>
                <w:rFonts w:eastAsia="Times New Roman"/>
                <w:color w:val="000000"/>
                <w:sz w:val="20"/>
                <w:szCs w:val="20"/>
              </w:rPr>
            </w:pPr>
          </w:p>
        </w:tc>
      </w:tr>
      <w:tr w:rsidR="00BF6E71" w:rsidRPr="00444DF4" w14:paraId="43037026" w14:textId="77777777" w:rsidTr="00A7159E">
        <w:trPr>
          <w:trHeight w:val="246"/>
          <w:jc w:val="center"/>
        </w:trPr>
        <w:tc>
          <w:tcPr>
            <w:tcW w:w="1136" w:type="dxa"/>
            <w:shd w:val="clear" w:color="auto" w:fill="auto"/>
            <w:noWrap/>
            <w:vAlign w:val="bottom"/>
          </w:tcPr>
          <w:p w14:paraId="13EF3B16" w14:textId="77777777" w:rsidR="00BF6E71" w:rsidRPr="00444DF4" w:rsidRDefault="00BF6E71" w:rsidP="00A7159E">
            <w:pPr>
              <w:jc w:val="center"/>
              <w:rPr>
                <w:color w:val="000000"/>
                <w:sz w:val="20"/>
                <w:szCs w:val="20"/>
              </w:rPr>
            </w:pPr>
            <w:r w:rsidRPr="00444DF4">
              <w:rPr>
                <w:rFonts w:hint="eastAsia"/>
                <w:color w:val="000000"/>
                <w:sz w:val="20"/>
                <w:szCs w:val="20"/>
              </w:rPr>
              <w:t>2022</w:t>
            </w:r>
          </w:p>
        </w:tc>
        <w:tc>
          <w:tcPr>
            <w:tcW w:w="961" w:type="dxa"/>
            <w:shd w:val="clear" w:color="auto" w:fill="auto"/>
            <w:noWrap/>
            <w:vAlign w:val="bottom"/>
          </w:tcPr>
          <w:p w14:paraId="5BBA7ECD" w14:textId="77777777" w:rsidR="00BF6E71" w:rsidRPr="00444DF4" w:rsidRDefault="00BF6E71" w:rsidP="00A7159E">
            <w:pPr>
              <w:jc w:val="center"/>
              <w:rPr>
                <w:color w:val="000000"/>
                <w:sz w:val="20"/>
                <w:szCs w:val="20"/>
              </w:rPr>
            </w:pPr>
            <w:r w:rsidRPr="00444DF4">
              <w:rPr>
                <w:rFonts w:hint="eastAsia"/>
                <w:color w:val="000000"/>
                <w:sz w:val="20"/>
                <w:szCs w:val="20"/>
              </w:rPr>
              <w:t>Q1</w:t>
            </w:r>
          </w:p>
        </w:tc>
        <w:tc>
          <w:tcPr>
            <w:tcW w:w="2552" w:type="dxa"/>
            <w:shd w:val="clear" w:color="auto" w:fill="auto"/>
            <w:noWrap/>
            <w:vAlign w:val="bottom"/>
          </w:tcPr>
          <w:p w14:paraId="1C9F671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10 700</w:t>
            </w:r>
          </w:p>
        </w:tc>
        <w:tc>
          <w:tcPr>
            <w:tcW w:w="2540" w:type="dxa"/>
            <w:shd w:val="clear" w:color="auto" w:fill="auto"/>
            <w:noWrap/>
            <w:vAlign w:val="bottom"/>
          </w:tcPr>
          <w:p w14:paraId="2A420D42"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800</w:t>
            </w:r>
          </w:p>
        </w:tc>
      </w:tr>
      <w:tr w:rsidR="00BF6E71" w:rsidRPr="00444DF4" w14:paraId="1A532DF9" w14:textId="77777777" w:rsidTr="00A7159E">
        <w:trPr>
          <w:trHeight w:val="246"/>
          <w:jc w:val="center"/>
        </w:trPr>
        <w:tc>
          <w:tcPr>
            <w:tcW w:w="1136" w:type="dxa"/>
            <w:shd w:val="clear" w:color="auto" w:fill="auto"/>
            <w:noWrap/>
            <w:vAlign w:val="bottom"/>
          </w:tcPr>
          <w:p w14:paraId="75F22D1B" w14:textId="77777777" w:rsidR="00BF6E71" w:rsidRPr="00444DF4" w:rsidRDefault="00BF6E71" w:rsidP="00A7159E">
            <w:pPr>
              <w:jc w:val="center"/>
              <w:rPr>
                <w:color w:val="000000"/>
                <w:sz w:val="20"/>
                <w:szCs w:val="20"/>
              </w:rPr>
            </w:pPr>
          </w:p>
        </w:tc>
        <w:tc>
          <w:tcPr>
            <w:tcW w:w="961" w:type="dxa"/>
            <w:shd w:val="clear" w:color="auto" w:fill="auto"/>
            <w:noWrap/>
            <w:vAlign w:val="bottom"/>
          </w:tcPr>
          <w:p w14:paraId="66B953B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tcPr>
          <w:p w14:paraId="6ECCF3A2"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62 700</w:t>
            </w:r>
          </w:p>
        </w:tc>
        <w:tc>
          <w:tcPr>
            <w:tcW w:w="2540" w:type="dxa"/>
            <w:shd w:val="clear" w:color="auto" w:fill="auto"/>
            <w:noWrap/>
            <w:vAlign w:val="bottom"/>
          </w:tcPr>
          <w:p w14:paraId="47AB867C" w14:textId="77777777" w:rsidR="00BF6E71" w:rsidRPr="00444DF4" w:rsidRDefault="00BF6E71" w:rsidP="00A7159E">
            <w:pPr>
              <w:overflowPunct w:val="0"/>
              <w:jc w:val="center"/>
              <w:rPr>
                <w:rFonts w:eastAsia="Times New Roman"/>
                <w:color w:val="000000"/>
                <w:sz w:val="20"/>
                <w:szCs w:val="20"/>
              </w:rPr>
            </w:pPr>
            <w:r w:rsidRPr="00444DF4">
              <w:rPr>
                <w:rFonts w:eastAsia="Times New Roman"/>
                <w:color w:val="000000"/>
                <w:sz w:val="20"/>
                <w:szCs w:val="20"/>
              </w:rPr>
              <w:t>1 800</w:t>
            </w:r>
          </w:p>
        </w:tc>
      </w:tr>
      <w:tr w:rsidR="00BF6E71" w:rsidRPr="00444DF4" w14:paraId="05E1FDD4" w14:textId="77777777" w:rsidTr="00A7159E">
        <w:trPr>
          <w:trHeight w:val="246"/>
          <w:jc w:val="center"/>
        </w:trPr>
        <w:tc>
          <w:tcPr>
            <w:tcW w:w="1136" w:type="dxa"/>
            <w:shd w:val="clear" w:color="auto" w:fill="auto"/>
            <w:noWrap/>
            <w:vAlign w:val="bottom"/>
          </w:tcPr>
          <w:p w14:paraId="041764A8" w14:textId="77777777" w:rsidR="00BF6E71" w:rsidRPr="00444DF4" w:rsidRDefault="00BF6E71" w:rsidP="00A7159E">
            <w:pPr>
              <w:jc w:val="center"/>
              <w:rPr>
                <w:color w:val="000000"/>
                <w:sz w:val="20"/>
                <w:szCs w:val="20"/>
              </w:rPr>
            </w:pPr>
          </w:p>
        </w:tc>
        <w:tc>
          <w:tcPr>
            <w:tcW w:w="961" w:type="dxa"/>
            <w:shd w:val="clear" w:color="auto" w:fill="auto"/>
            <w:noWrap/>
            <w:vAlign w:val="bottom"/>
          </w:tcPr>
          <w:p w14:paraId="107D212E"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tcPr>
          <w:p w14:paraId="2B6E9244" w14:textId="77777777" w:rsidR="00BF6E71" w:rsidRPr="00444DF4" w:rsidRDefault="00BF6E71" w:rsidP="00A7159E">
            <w:pPr>
              <w:overflowPunct w:val="0"/>
              <w:jc w:val="center"/>
              <w:rPr>
                <w:color w:val="000000"/>
                <w:sz w:val="20"/>
                <w:szCs w:val="20"/>
              </w:rPr>
            </w:pPr>
            <w:r w:rsidRPr="00444DF4">
              <w:rPr>
                <w:color w:val="000000"/>
                <w:sz w:val="20"/>
                <w:szCs w:val="20"/>
              </w:rPr>
              <w:t>164 600</w:t>
            </w:r>
          </w:p>
        </w:tc>
        <w:tc>
          <w:tcPr>
            <w:tcW w:w="2540" w:type="dxa"/>
            <w:shd w:val="clear" w:color="auto" w:fill="auto"/>
            <w:noWrap/>
            <w:vAlign w:val="bottom"/>
          </w:tcPr>
          <w:p w14:paraId="4BEE0927" w14:textId="77777777" w:rsidR="00BF6E71" w:rsidRPr="00444DF4" w:rsidRDefault="00BF6E71" w:rsidP="00A7159E">
            <w:pPr>
              <w:overflowPunct w:val="0"/>
              <w:jc w:val="center"/>
              <w:rPr>
                <w:color w:val="000000"/>
                <w:sz w:val="20"/>
                <w:szCs w:val="20"/>
              </w:rPr>
            </w:pPr>
            <w:r w:rsidRPr="00444DF4">
              <w:rPr>
                <w:color w:val="000000"/>
                <w:sz w:val="20"/>
                <w:szCs w:val="20"/>
              </w:rPr>
              <w:t>9 100</w:t>
            </w:r>
          </w:p>
        </w:tc>
      </w:tr>
      <w:tr w:rsidR="00BF6E71" w:rsidRPr="00444DF4" w14:paraId="62A8E257" w14:textId="77777777" w:rsidTr="00A7159E">
        <w:trPr>
          <w:trHeight w:val="246"/>
          <w:jc w:val="center"/>
        </w:trPr>
        <w:tc>
          <w:tcPr>
            <w:tcW w:w="1136" w:type="dxa"/>
            <w:shd w:val="clear" w:color="auto" w:fill="auto"/>
            <w:noWrap/>
            <w:vAlign w:val="bottom"/>
          </w:tcPr>
          <w:p w14:paraId="49D36DA1" w14:textId="77777777" w:rsidR="00BF6E71" w:rsidRPr="00444DF4" w:rsidRDefault="00BF6E71" w:rsidP="00A7159E">
            <w:pPr>
              <w:jc w:val="center"/>
              <w:rPr>
                <w:color w:val="000000"/>
                <w:sz w:val="20"/>
                <w:szCs w:val="20"/>
              </w:rPr>
            </w:pPr>
          </w:p>
        </w:tc>
        <w:tc>
          <w:tcPr>
            <w:tcW w:w="961" w:type="dxa"/>
            <w:shd w:val="clear" w:color="auto" w:fill="auto"/>
            <w:noWrap/>
            <w:vAlign w:val="bottom"/>
          </w:tcPr>
          <w:p w14:paraId="4F219B7E"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57572117"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329 800</w:t>
            </w:r>
          </w:p>
        </w:tc>
        <w:tc>
          <w:tcPr>
            <w:tcW w:w="2540" w:type="dxa"/>
            <w:shd w:val="clear" w:color="auto" w:fill="auto"/>
            <w:noWrap/>
            <w:vAlign w:val="bottom"/>
          </w:tcPr>
          <w:p w14:paraId="449D53E9"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25 100</w:t>
            </w:r>
          </w:p>
        </w:tc>
      </w:tr>
      <w:tr w:rsidR="00BF6E71" w:rsidRPr="00444DF4" w14:paraId="4A392437" w14:textId="77777777" w:rsidTr="00A7159E">
        <w:trPr>
          <w:trHeight w:val="246"/>
          <w:jc w:val="center"/>
        </w:trPr>
        <w:tc>
          <w:tcPr>
            <w:tcW w:w="1136" w:type="dxa"/>
            <w:shd w:val="clear" w:color="auto" w:fill="auto"/>
            <w:noWrap/>
            <w:vAlign w:val="bottom"/>
          </w:tcPr>
          <w:p w14:paraId="04001580" w14:textId="77777777" w:rsidR="00BF6E71" w:rsidRPr="00444DF4" w:rsidRDefault="00BF6E71" w:rsidP="00A7159E">
            <w:pPr>
              <w:jc w:val="center"/>
              <w:rPr>
                <w:color w:val="000000"/>
                <w:sz w:val="20"/>
                <w:szCs w:val="20"/>
              </w:rPr>
            </w:pPr>
          </w:p>
        </w:tc>
        <w:tc>
          <w:tcPr>
            <w:tcW w:w="961" w:type="dxa"/>
            <w:shd w:val="clear" w:color="auto" w:fill="auto"/>
            <w:noWrap/>
            <w:vAlign w:val="bottom"/>
          </w:tcPr>
          <w:p w14:paraId="12458693" w14:textId="77777777" w:rsidR="00BF6E71" w:rsidRPr="00444DF4" w:rsidRDefault="00BF6E71" w:rsidP="00A7159E">
            <w:pPr>
              <w:jc w:val="center"/>
              <w:rPr>
                <w:color w:val="000000"/>
                <w:sz w:val="20"/>
                <w:szCs w:val="20"/>
              </w:rPr>
            </w:pPr>
          </w:p>
        </w:tc>
        <w:tc>
          <w:tcPr>
            <w:tcW w:w="2552" w:type="dxa"/>
            <w:shd w:val="clear" w:color="auto" w:fill="auto"/>
            <w:noWrap/>
            <w:vAlign w:val="bottom"/>
          </w:tcPr>
          <w:p w14:paraId="10487C4A" w14:textId="77777777" w:rsidR="00BF6E71" w:rsidRPr="00444DF4" w:rsidRDefault="00BF6E71" w:rsidP="00A7159E">
            <w:pPr>
              <w:jc w:val="center"/>
              <w:rPr>
                <w:rFonts w:eastAsia="Times New Roman"/>
                <w:color w:val="000000"/>
                <w:sz w:val="20"/>
                <w:szCs w:val="20"/>
              </w:rPr>
            </w:pPr>
          </w:p>
        </w:tc>
        <w:tc>
          <w:tcPr>
            <w:tcW w:w="2540" w:type="dxa"/>
            <w:shd w:val="clear" w:color="auto" w:fill="auto"/>
            <w:noWrap/>
            <w:vAlign w:val="bottom"/>
          </w:tcPr>
          <w:p w14:paraId="47D4CFEA" w14:textId="77777777" w:rsidR="00BF6E71" w:rsidRPr="00444DF4" w:rsidRDefault="00BF6E71" w:rsidP="00A7159E">
            <w:pPr>
              <w:jc w:val="center"/>
              <w:rPr>
                <w:rFonts w:eastAsia="Times New Roman"/>
                <w:color w:val="000000"/>
                <w:sz w:val="20"/>
                <w:szCs w:val="20"/>
              </w:rPr>
            </w:pPr>
          </w:p>
        </w:tc>
      </w:tr>
      <w:tr w:rsidR="00BF6E71" w:rsidRPr="00444DF4" w14:paraId="729A29F2" w14:textId="77777777" w:rsidTr="00A7159E">
        <w:trPr>
          <w:trHeight w:val="246"/>
          <w:jc w:val="center"/>
        </w:trPr>
        <w:tc>
          <w:tcPr>
            <w:tcW w:w="1136" w:type="dxa"/>
            <w:shd w:val="clear" w:color="auto" w:fill="auto"/>
            <w:noWrap/>
            <w:vAlign w:val="bottom"/>
          </w:tcPr>
          <w:p w14:paraId="0D2F3484" w14:textId="77777777" w:rsidR="00BF6E71" w:rsidRPr="00444DF4" w:rsidRDefault="00BF6E71" w:rsidP="00A7159E">
            <w:pPr>
              <w:jc w:val="center"/>
              <w:rPr>
                <w:color w:val="000000"/>
                <w:sz w:val="20"/>
                <w:szCs w:val="20"/>
              </w:rPr>
            </w:pPr>
            <w:r w:rsidRPr="00444DF4">
              <w:rPr>
                <w:color w:val="000000"/>
                <w:sz w:val="20"/>
                <w:szCs w:val="20"/>
              </w:rPr>
              <w:t>2023</w:t>
            </w:r>
          </w:p>
        </w:tc>
        <w:tc>
          <w:tcPr>
            <w:tcW w:w="961" w:type="dxa"/>
            <w:shd w:val="clear" w:color="auto" w:fill="auto"/>
            <w:noWrap/>
            <w:vAlign w:val="bottom"/>
          </w:tcPr>
          <w:p w14:paraId="66FE59F5" w14:textId="77777777" w:rsidR="00BF6E71" w:rsidRPr="00444DF4" w:rsidRDefault="00BF6E71" w:rsidP="00A7159E">
            <w:pPr>
              <w:jc w:val="center"/>
              <w:rPr>
                <w:color w:val="000000"/>
                <w:sz w:val="20"/>
                <w:szCs w:val="20"/>
              </w:rPr>
            </w:pPr>
            <w:r w:rsidRPr="00444DF4">
              <w:rPr>
                <w:color w:val="000000"/>
                <w:sz w:val="20"/>
                <w:szCs w:val="20"/>
              </w:rPr>
              <w:t>Q1</w:t>
            </w:r>
          </w:p>
        </w:tc>
        <w:tc>
          <w:tcPr>
            <w:tcW w:w="2552" w:type="dxa"/>
            <w:shd w:val="clear" w:color="auto" w:fill="auto"/>
            <w:noWrap/>
            <w:vAlign w:val="bottom"/>
          </w:tcPr>
          <w:p w14:paraId="46CDFA13"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2 340 400</w:t>
            </w:r>
          </w:p>
        </w:tc>
        <w:tc>
          <w:tcPr>
            <w:tcW w:w="2540" w:type="dxa"/>
            <w:shd w:val="clear" w:color="auto" w:fill="auto"/>
            <w:noWrap/>
            <w:vAlign w:val="bottom"/>
          </w:tcPr>
          <w:p w14:paraId="66FF7E38" w14:textId="77777777" w:rsidR="00BF6E71" w:rsidRPr="00444DF4" w:rsidRDefault="00BF6E71" w:rsidP="00A7159E">
            <w:pPr>
              <w:jc w:val="center"/>
              <w:rPr>
                <w:rFonts w:eastAsia="Times New Roman"/>
                <w:color w:val="000000"/>
                <w:sz w:val="20"/>
                <w:szCs w:val="20"/>
              </w:rPr>
            </w:pPr>
            <w:r w:rsidRPr="00444DF4">
              <w:rPr>
                <w:rFonts w:eastAsia="Times New Roman"/>
                <w:color w:val="000000"/>
                <w:sz w:val="20"/>
                <w:szCs w:val="20"/>
              </w:rPr>
              <w:t>2 074 400</w:t>
            </w:r>
          </w:p>
        </w:tc>
      </w:tr>
      <w:tr w:rsidR="00BF6E71" w:rsidRPr="00444DF4" w14:paraId="67E2B1C4" w14:textId="77777777" w:rsidTr="00A7159E">
        <w:trPr>
          <w:trHeight w:val="246"/>
          <w:jc w:val="center"/>
        </w:trPr>
        <w:tc>
          <w:tcPr>
            <w:tcW w:w="1136" w:type="dxa"/>
            <w:shd w:val="clear" w:color="auto" w:fill="auto"/>
            <w:noWrap/>
            <w:vAlign w:val="bottom"/>
          </w:tcPr>
          <w:p w14:paraId="1F480F91" w14:textId="77777777" w:rsidR="00BF6E71" w:rsidRPr="00444DF4" w:rsidRDefault="00BF6E71" w:rsidP="00A7159E">
            <w:pPr>
              <w:jc w:val="center"/>
              <w:rPr>
                <w:color w:val="000000"/>
                <w:sz w:val="20"/>
                <w:szCs w:val="20"/>
              </w:rPr>
            </w:pPr>
          </w:p>
        </w:tc>
        <w:tc>
          <w:tcPr>
            <w:tcW w:w="961" w:type="dxa"/>
            <w:shd w:val="clear" w:color="auto" w:fill="auto"/>
            <w:noWrap/>
            <w:vAlign w:val="bottom"/>
          </w:tcPr>
          <w:p w14:paraId="2A8A01D2" w14:textId="77777777" w:rsidR="00BF6E71" w:rsidRPr="00340A4D" w:rsidRDefault="00BF6E71" w:rsidP="00A7159E">
            <w:pPr>
              <w:jc w:val="center"/>
              <w:rPr>
                <w:color w:val="000000"/>
                <w:sz w:val="20"/>
                <w:szCs w:val="20"/>
              </w:rPr>
            </w:pPr>
            <w:r w:rsidRPr="00340A4D">
              <w:rPr>
                <w:color w:val="000000"/>
                <w:sz w:val="20"/>
                <w:szCs w:val="20"/>
              </w:rPr>
              <w:t>Q2</w:t>
            </w:r>
          </w:p>
        </w:tc>
        <w:tc>
          <w:tcPr>
            <w:tcW w:w="2552" w:type="dxa"/>
            <w:shd w:val="clear" w:color="auto" w:fill="auto"/>
            <w:noWrap/>
          </w:tcPr>
          <w:p w14:paraId="0B74AE75" w14:textId="77777777" w:rsidR="00BF6E71" w:rsidRPr="00340A4D" w:rsidRDefault="00BF6E71" w:rsidP="00A7159E">
            <w:pPr>
              <w:jc w:val="center"/>
              <w:rPr>
                <w:rFonts w:eastAsia="Times New Roman"/>
                <w:color w:val="000000"/>
                <w:sz w:val="20"/>
                <w:szCs w:val="20"/>
              </w:rPr>
            </w:pPr>
            <w:r>
              <w:rPr>
                <w:rFonts w:eastAsia="Times New Roman"/>
                <w:color w:val="000000"/>
                <w:sz w:val="20"/>
                <w:szCs w:val="20"/>
              </w:rPr>
              <w:t>4</w:t>
            </w:r>
            <w:r w:rsidRPr="004C487F">
              <w:rPr>
                <w:rFonts w:eastAsia="Times New Roman"/>
                <w:color w:val="000000"/>
                <w:sz w:val="20"/>
                <w:szCs w:val="20"/>
              </w:rPr>
              <w:t> </w:t>
            </w:r>
            <w:r>
              <w:rPr>
                <w:rFonts w:eastAsia="Times New Roman"/>
                <w:color w:val="000000"/>
                <w:sz w:val="20"/>
                <w:szCs w:val="20"/>
              </w:rPr>
              <w:t>237</w:t>
            </w:r>
            <w:r w:rsidRPr="004C487F">
              <w:rPr>
                <w:rFonts w:eastAsia="Times New Roman"/>
                <w:color w:val="000000"/>
                <w:sz w:val="20"/>
                <w:szCs w:val="20"/>
              </w:rPr>
              <w:t> </w:t>
            </w:r>
            <w:r>
              <w:rPr>
                <w:rFonts w:eastAsia="Times New Roman"/>
                <w:color w:val="000000"/>
                <w:sz w:val="20"/>
                <w:szCs w:val="20"/>
              </w:rPr>
              <w:t>5</w:t>
            </w:r>
            <w:r w:rsidRPr="004C487F">
              <w:rPr>
                <w:rFonts w:eastAsia="Times New Roman"/>
                <w:color w:val="000000"/>
                <w:sz w:val="20"/>
                <w:szCs w:val="20"/>
              </w:rPr>
              <w:t>00</w:t>
            </w:r>
          </w:p>
        </w:tc>
        <w:tc>
          <w:tcPr>
            <w:tcW w:w="2540" w:type="dxa"/>
            <w:shd w:val="clear" w:color="auto" w:fill="auto"/>
            <w:noWrap/>
          </w:tcPr>
          <w:p w14:paraId="165577D4" w14:textId="77777777" w:rsidR="00BF6E71" w:rsidRPr="00340A4D" w:rsidRDefault="00BF6E71" w:rsidP="00A7159E">
            <w:pPr>
              <w:jc w:val="center"/>
              <w:rPr>
                <w:rFonts w:eastAsia="Times New Roman"/>
                <w:color w:val="000000"/>
                <w:sz w:val="20"/>
                <w:szCs w:val="20"/>
              </w:rPr>
            </w:pPr>
            <w:r>
              <w:rPr>
                <w:rFonts w:eastAsia="Times New Roman"/>
                <w:color w:val="000000"/>
                <w:sz w:val="20"/>
                <w:szCs w:val="20"/>
              </w:rPr>
              <w:t>4</w:t>
            </w:r>
            <w:r w:rsidRPr="00E340C1">
              <w:rPr>
                <w:rFonts w:eastAsia="Times New Roman"/>
                <w:color w:val="000000"/>
                <w:sz w:val="20"/>
                <w:szCs w:val="20"/>
              </w:rPr>
              <w:t> </w:t>
            </w:r>
            <w:r>
              <w:rPr>
                <w:rFonts w:eastAsia="Times New Roman"/>
                <w:color w:val="000000"/>
                <w:sz w:val="20"/>
                <w:szCs w:val="20"/>
              </w:rPr>
              <w:t>231</w:t>
            </w:r>
            <w:r w:rsidRPr="00E340C1">
              <w:rPr>
                <w:rFonts w:eastAsia="Times New Roman"/>
                <w:color w:val="000000"/>
                <w:sz w:val="20"/>
                <w:szCs w:val="20"/>
              </w:rPr>
              <w:t> </w:t>
            </w:r>
            <w:r>
              <w:rPr>
                <w:rFonts w:eastAsia="Times New Roman"/>
                <w:color w:val="000000"/>
                <w:sz w:val="20"/>
                <w:szCs w:val="20"/>
              </w:rPr>
              <w:t>7</w:t>
            </w:r>
            <w:r w:rsidRPr="00E340C1">
              <w:rPr>
                <w:rFonts w:eastAsia="Times New Roman"/>
                <w:color w:val="000000"/>
                <w:sz w:val="20"/>
                <w:szCs w:val="20"/>
              </w:rPr>
              <w:t>00</w:t>
            </w:r>
          </w:p>
        </w:tc>
      </w:tr>
      <w:tr w:rsidR="00BF6E71" w:rsidRPr="00444DF4" w14:paraId="5F0D7996" w14:textId="77777777" w:rsidTr="00A7159E">
        <w:trPr>
          <w:trHeight w:val="246"/>
          <w:jc w:val="center"/>
        </w:trPr>
        <w:tc>
          <w:tcPr>
            <w:tcW w:w="1136" w:type="dxa"/>
            <w:shd w:val="clear" w:color="auto" w:fill="auto"/>
            <w:noWrap/>
            <w:vAlign w:val="bottom"/>
          </w:tcPr>
          <w:p w14:paraId="7ECA9D6B" w14:textId="77777777" w:rsidR="00BF6E71" w:rsidRPr="00444DF4" w:rsidRDefault="00BF6E71" w:rsidP="00A7159E">
            <w:pPr>
              <w:jc w:val="center"/>
              <w:rPr>
                <w:color w:val="000000"/>
                <w:sz w:val="20"/>
                <w:szCs w:val="20"/>
              </w:rPr>
            </w:pPr>
          </w:p>
        </w:tc>
        <w:tc>
          <w:tcPr>
            <w:tcW w:w="961" w:type="dxa"/>
            <w:shd w:val="clear" w:color="auto" w:fill="auto"/>
            <w:noWrap/>
            <w:vAlign w:val="bottom"/>
          </w:tcPr>
          <w:p w14:paraId="3E05FD52" w14:textId="77777777" w:rsidR="00BF6E71" w:rsidRPr="00340A4D" w:rsidRDefault="00BF6E71" w:rsidP="00A7159E">
            <w:pPr>
              <w:jc w:val="center"/>
              <w:rPr>
                <w:color w:val="000000"/>
                <w:sz w:val="20"/>
                <w:szCs w:val="20"/>
              </w:rPr>
            </w:pPr>
            <w:r w:rsidRPr="00340A4D">
              <w:rPr>
                <w:color w:val="000000"/>
                <w:sz w:val="20"/>
                <w:szCs w:val="20"/>
              </w:rPr>
              <w:t>Q3</w:t>
            </w:r>
          </w:p>
        </w:tc>
        <w:tc>
          <w:tcPr>
            <w:tcW w:w="2552" w:type="dxa"/>
            <w:shd w:val="clear" w:color="auto" w:fill="auto"/>
            <w:noWrap/>
          </w:tcPr>
          <w:p w14:paraId="06D3F88D" w14:textId="77777777" w:rsidR="00BF6E71" w:rsidRPr="00340A4D" w:rsidRDefault="00BF6E71" w:rsidP="00A7159E">
            <w:pPr>
              <w:jc w:val="center"/>
              <w:rPr>
                <w:rFonts w:eastAsia="Times New Roman"/>
                <w:color w:val="000000"/>
                <w:sz w:val="20"/>
                <w:szCs w:val="20"/>
              </w:rPr>
            </w:pPr>
            <w:r>
              <w:rPr>
                <w:rFonts w:eastAsia="Times New Roman"/>
                <w:color w:val="000000"/>
                <w:sz w:val="20"/>
                <w:szCs w:val="20"/>
              </w:rPr>
              <w:t>5</w:t>
            </w:r>
            <w:r w:rsidRPr="004C487F">
              <w:rPr>
                <w:rFonts w:eastAsia="Times New Roman"/>
                <w:color w:val="000000"/>
                <w:sz w:val="20"/>
                <w:szCs w:val="20"/>
              </w:rPr>
              <w:t> </w:t>
            </w:r>
            <w:r>
              <w:rPr>
                <w:rFonts w:eastAsia="Times New Roman"/>
                <w:color w:val="000000"/>
                <w:sz w:val="20"/>
                <w:szCs w:val="20"/>
              </w:rPr>
              <w:t>267</w:t>
            </w:r>
            <w:r w:rsidRPr="004C487F">
              <w:rPr>
                <w:rFonts w:eastAsia="Times New Roman"/>
                <w:color w:val="000000"/>
                <w:sz w:val="20"/>
                <w:szCs w:val="20"/>
              </w:rPr>
              <w:t> </w:t>
            </w:r>
            <w:r>
              <w:rPr>
                <w:rFonts w:eastAsia="Times New Roman"/>
                <w:color w:val="000000"/>
                <w:sz w:val="20"/>
                <w:szCs w:val="20"/>
              </w:rPr>
              <w:t>6</w:t>
            </w:r>
            <w:r w:rsidRPr="004C487F">
              <w:rPr>
                <w:rFonts w:eastAsia="Times New Roman"/>
                <w:color w:val="000000"/>
                <w:sz w:val="20"/>
                <w:szCs w:val="20"/>
              </w:rPr>
              <w:t>00</w:t>
            </w:r>
          </w:p>
        </w:tc>
        <w:tc>
          <w:tcPr>
            <w:tcW w:w="2540" w:type="dxa"/>
            <w:shd w:val="clear" w:color="auto" w:fill="auto"/>
            <w:noWrap/>
          </w:tcPr>
          <w:p w14:paraId="0CF2F0D3" w14:textId="77777777" w:rsidR="00BF6E71" w:rsidRPr="00340A4D" w:rsidRDefault="00BF6E71" w:rsidP="00A7159E">
            <w:pPr>
              <w:jc w:val="center"/>
              <w:rPr>
                <w:rFonts w:eastAsia="Times New Roman"/>
                <w:color w:val="000000"/>
                <w:sz w:val="20"/>
                <w:szCs w:val="20"/>
              </w:rPr>
            </w:pPr>
            <w:r>
              <w:rPr>
                <w:rFonts w:eastAsia="Times New Roman"/>
                <w:color w:val="000000"/>
                <w:sz w:val="20"/>
                <w:szCs w:val="20"/>
              </w:rPr>
              <w:t>5</w:t>
            </w:r>
            <w:r w:rsidRPr="00E340C1">
              <w:rPr>
                <w:rFonts w:eastAsia="Times New Roman"/>
                <w:color w:val="000000"/>
                <w:sz w:val="20"/>
                <w:szCs w:val="20"/>
              </w:rPr>
              <w:t> </w:t>
            </w:r>
            <w:r>
              <w:rPr>
                <w:rFonts w:eastAsia="Times New Roman"/>
                <w:color w:val="000000"/>
                <w:sz w:val="20"/>
                <w:szCs w:val="20"/>
              </w:rPr>
              <w:t>170</w:t>
            </w:r>
            <w:r w:rsidRPr="00E340C1">
              <w:rPr>
                <w:rFonts w:eastAsia="Times New Roman"/>
                <w:color w:val="000000"/>
                <w:sz w:val="20"/>
                <w:szCs w:val="20"/>
              </w:rPr>
              <w:t> </w:t>
            </w:r>
            <w:r>
              <w:rPr>
                <w:rFonts w:eastAsia="Times New Roman"/>
                <w:color w:val="000000"/>
                <w:sz w:val="20"/>
                <w:szCs w:val="20"/>
              </w:rPr>
              <w:t>5</w:t>
            </w:r>
            <w:r w:rsidRPr="00E340C1">
              <w:rPr>
                <w:rFonts w:eastAsia="Times New Roman"/>
                <w:color w:val="000000"/>
                <w:sz w:val="20"/>
                <w:szCs w:val="20"/>
              </w:rPr>
              <w:t>00</w:t>
            </w:r>
          </w:p>
        </w:tc>
      </w:tr>
      <w:tr w:rsidR="00BF6E71" w:rsidRPr="00444DF4" w14:paraId="5E51DE38" w14:textId="77777777" w:rsidTr="00A7159E">
        <w:trPr>
          <w:trHeight w:val="246"/>
          <w:jc w:val="center"/>
        </w:trPr>
        <w:tc>
          <w:tcPr>
            <w:tcW w:w="1136" w:type="dxa"/>
            <w:shd w:val="clear" w:color="auto" w:fill="auto"/>
            <w:noWrap/>
            <w:vAlign w:val="bottom"/>
          </w:tcPr>
          <w:p w14:paraId="22FE4C68" w14:textId="77777777" w:rsidR="00BF6E71" w:rsidRPr="00444DF4" w:rsidRDefault="00BF6E71" w:rsidP="00A7159E">
            <w:pPr>
              <w:jc w:val="center"/>
              <w:rPr>
                <w:color w:val="000000"/>
                <w:sz w:val="20"/>
                <w:szCs w:val="20"/>
              </w:rPr>
            </w:pPr>
          </w:p>
        </w:tc>
        <w:tc>
          <w:tcPr>
            <w:tcW w:w="961" w:type="dxa"/>
            <w:shd w:val="clear" w:color="auto" w:fill="auto"/>
            <w:noWrap/>
            <w:vAlign w:val="bottom"/>
          </w:tcPr>
          <w:p w14:paraId="10C5EE40" w14:textId="77777777" w:rsidR="00BF6E71" w:rsidRPr="00340A4D" w:rsidRDefault="00BF6E71" w:rsidP="00A7159E">
            <w:pPr>
              <w:jc w:val="center"/>
              <w:rPr>
                <w:color w:val="000000"/>
                <w:sz w:val="20"/>
                <w:szCs w:val="20"/>
              </w:rPr>
            </w:pPr>
            <w:r w:rsidRPr="00340A4D">
              <w:rPr>
                <w:color w:val="000000"/>
                <w:sz w:val="20"/>
                <w:szCs w:val="20"/>
              </w:rPr>
              <w:t>Q4</w:t>
            </w:r>
          </w:p>
        </w:tc>
        <w:tc>
          <w:tcPr>
            <w:tcW w:w="2552" w:type="dxa"/>
            <w:shd w:val="clear" w:color="auto" w:fill="auto"/>
            <w:noWrap/>
          </w:tcPr>
          <w:p w14:paraId="1451D722" w14:textId="77777777" w:rsidR="00BF6E71" w:rsidRPr="00340A4D" w:rsidRDefault="00BF6E71" w:rsidP="00A7159E">
            <w:pPr>
              <w:jc w:val="center"/>
              <w:rPr>
                <w:rFonts w:eastAsia="Times New Roman"/>
                <w:color w:val="000000"/>
                <w:sz w:val="20"/>
                <w:szCs w:val="20"/>
              </w:rPr>
            </w:pPr>
            <w:r>
              <w:rPr>
                <w:rFonts w:eastAsia="Times New Roman"/>
                <w:color w:val="000000"/>
                <w:sz w:val="20"/>
                <w:szCs w:val="20"/>
              </w:rPr>
              <w:t>5</w:t>
            </w:r>
            <w:r w:rsidRPr="004C487F">
              <w:rPr>
                <w:rFonts w:eastAsia="Times New Roman"/>
                <w:color w:val="000000"/>
                <w:sz w:val="20"/>
                <w:szCs w:val="20"/>
              </w:rPr>
              <w:t> </w:t>
            </w:r>
            <w:r>
              <w:rPr>
                <w:rFonts w:eastAsia="Times New Roman"/>
                <w:color w:val="000000"/>
                <w:sz w:val="20"/>
                <w:szCs w:val="20"/>
              </w:rPr>
              <w:t>313</w:t>
            </w:r>
            <w:r w:rsidRPr="004C487F">
              <w:rPr>
                <w:rFonts w:eastAsia="Times New Roman"/>
                <w:color w:val="000000"/>
                <w:sz w:val="20"/>
                <w:szCs w:val="20"/>
              </w:rPr>
              <w:t> </w:t>
            </w:r>
            <w:r>
              <w:rPr>
                <w:rFonts w:eastAsia="Times New Roman"/>
                <w:color w:val="000000"/>
                <w:sz w:val="20"/>
                <w:szCs w:val="20"/>
              </w:rPr>
              <w:t>9</w:t>
            </w:r>
            <w:r w:rsidRPr="004C487F">
              <w:rPr>
                <w:rFonts w:eastAsia="Times New Roman"/>
                <w:color w:val="000000"/>
                <w:sz w:val="20"/>
                <w:szCs w:val="20"/>
              </w:rPr>
              <w:t>00</w:t>
            </w:r>
          </w:p>
        </w:tc>
        <w:tc>
          <w:tcPr>
            <w:tcW w:w="2540" w:type="dxa"/>
            <w:shd w:val="clear" w:color="auto" w:fill="auto"/>
            <w:noWrap/>
          </w:tcPr>
          <w:p w14:paraId="22B6EA93" w14:textId="77777777" w:rsidR="00BF6E71" w:rsidRPr="00340A4D" w:rsidRDefault="00BF6E71" w:rsidP="00A7159E">
            <w:pPr>
              <w:jc w:val="center"/>
              <w:rPr>
                <w:rFonts w:eastAsia="Times New Roman"/>
                <w:color w:val="000000"/>
                <w:sz w:val="20"/>
                <w:szCs w:val="20"/>
              </w:rPr>
            </w:pPr>
            <w:r>
              <w:rPr>
                <w:rFonts w:eastAsia="Times New Roman"/>
                <w:color w:val="000000"/>
                <w:sz w:val="20"/>
                <w:szCs w:val="20"/>
              </w:rPr>
              <w:t>5</w:t>
            </w:r>
            <w:r w:rsidRPr="00E340C1">
              <w:rPr>
                <w:rFonts w:eastAsia="Times New Roman"/>
                <w:color w:val="000000"/>
                <w:sz w:val="20"/>
                <w:szCs w:val="20"/>
              </w:rPr>
              <w:t> </w:t>
            </w:r>
            <w:r>
              <w:rPr>
                <w:rFonts w:eastAsia="Times New Roman"/>
                <w:color w:val="000000"/>
                <w:sz w:val="20"/>
                <w:szCs w:val="20"/>
              </w:rPr>
              <w:t>363</w:t>
            </w:r>
            <w:r w:rsidRPr="00E340C1">
              <w:rPr>
                <w:rFonts w:eastAsia="Times New Roman"/>
                <w:color w:val="000000"/>
                <w:sz w:val="20"/>
                <w:szCs w:val="20"/>
              </w:rPr>
              <w:t> </w:t>
            </w:r>
            <w:r>
              <w:rPr>
                <w:rFonts w:eastAsia="Times New Roman"/>
                <w:color w:val="000000"/>
                <w:sz w:val="20"/>
                <w:szCs w:val="20"/>
              </w:rPr>
              <w:t>8</w:t>
            </w:r>
            <w:r w:rsidRPr="00E340C1">
              <w:rPr>
                <w:rFonts w:eastAsia="Times New Roman"/>
                <w:color w:val="000000"/>
                <w:sz w:val="20"/>
                <w:szCs w:val="20"/>
              </w:rPr>
              <w:t>00</w:t>
            </w:r>
          </w:p>
        </w:tc>
      </w:tr>
      <w:tr w:rsidR="00BF6E71" w:rsidRPr="00444DF4" w14:paraId="116D5AAD" w14:textId="77777777" w:rsidTr="00A7159E">
        <w:trPr>
          <w:trHeight w:val="246"/>
          <w:jc w:val="center"/>
        </w:trPr>
        <w:tc>
          <w:tcPr>
            <w:tcW w:w="1136" w:type="dxa"/>
            <w:shd w:val="clear" w:color="auto" w:fill="auto"/>
            <w:noWrap/>
            <w:vAlign w:val="bottom"/>
          </w:tcPr>
          <w:p w14:paraId="05C6FBDD" w14:textId="77777777" w:rsidR="00BF6E71" w:rsidRPr="00444DF4" w:rsidRDefault="00BF6E71" w:rsidP="00A7159E">
            <w:pPr>
              <w:jc w:val="center"/>
              <w:rPr>
                <w:color w:val="000000"/>
                <w:sz w:val="20"/>
                <w:szCs w:val="20"/>
              </w:rPr>
            </w:pPr>
          </w:p>
        </w:tc>
        <w:tc>
          <w:tcPr>
            <w:tcW w:w="961" w:type="dxa"/>
            <w:shd w:val="clear" w:color="auto" w:fill="auto"/>
            <w:noWrap/>
            <w:vAlign w:val="bottom"/>
          </w:tcPr>
          <w:p w14:paraId="3DB907E1" w14:textId="77777777" w:rsidR="00BF6E71" w:rsidRPr="00444DF4" w:rsidRDefault="00BF6E71" w:rsidP="00A7159E">
            <w:pPr>
              <w:jc w:val="center"/>
              <w:rPr>
                <w:color w:val="000000"/>
                <w:sz w:val="20"/>
                <w:szCs w:val="20"/>
              </w:rPr>
            </w:pPr>
          </w:p>
        </w:tc>
        <w:tc>
          <w:tcPr>
            <w:tcW w:w="2552" w:type="dxa"/>
            <w:shd w:val="clear" w:color="auto" w:fill="auto"/>
            <w:noWrap/>
            <w:vAlign w:val="bottom"/>
          </w:tcPr>
          <w:p w14:paraId="7E701E39" w14:textId="77777777" w:rsidR="00BF6E71" w:rsidRPr="00444DF4" w:rsidRDefault="00BF6E71" w:rsidP="00A7159E">
            <w:pPr>
              <w:jc w:val="center"/>
              <w:rPr>
                <w:rFonts w:eastAsia="Times New Roman"/>
                <w:color w:val="000000"/>
                <w:sz w:val="20"/>
                <w:szCs w:val="20"/>
              </w:rPr>
            </w:pPr>
          </w:p>
        </w:tc>
        <w:tc>
          <w:tcPr>
            <w:tcW w:w="2540" w:type="dxa"/>
            <w:shd w:val="clear" w:color="auto" w:fill="auto"/>
            <w:noWrap/>
            <w:vAlign w:val="bottom"/>
          </w:tcPr>
          <w:p w14:paraId="2E446898" w14:textId="77777777" w:rsidR="00BF6E71" w:rsidRPr="00444DF4" w:rsidRDefault="00BF6E71" w:rsidP="00A7159E">
            <w:pPr>
              <w:jc w:val="center"/>
              <w:rPr>
                <w:rFonts w:eastAsia="Times New Roman"/>
                <w:color w:val="000000"/>
                <w:sz w:val="20"/>
                <w:szCs w:val="20"/>
              </w:rPr>
            </w:pPr>
          </w:p>
        </w:tc>
      </w:tr>
      <w:tr w:rsidR="00BF6E71" w:rsidRPr="00444DF4" w14:paraId="434D0DEE" w14:textId="77777777" w:rsidTr="00A7159E">
        <w:trPr>
          <w:trHeight w:val="246"/>
          <w:jc w:val="center"/>
        </w:trPr>
        <w:tc>
          <w:tcPr>
            <w:tcW w:w="1136" w:type="dxa"/>
            <w:shd w:val="clear" w:color="auto" w:fill="auto"/>
            <w:noWrap/>
            <w:vAlign w:val="bottom"/>
          </w:tcPr>
          <w:p w14:paraId="2B3C4EF4" w14:textId="77777777" w:rsidR="00BF6E71" w:rsidRPr="00444DF4" w:rsidRDefault="00BF6E71" w:rsidP="00A7159E">
            <w:pPr>
              <w:jc w:val="center"/>
              <w:rPr>
                <w:color w:val="000000"/>
                <w:sz w:val="20"/>
                <w:szCs w:val="20"/>
              </w:rPr>
            </w:pPr>
            <w:r w:rsidRPr="00444DF4">
              <w:rPr>
                <w:color w:val="000000"/>
                <w:sz w:val="20"/>
                <w:szCs w:val="20"/>
              </w:rPr>
              <w:t>202</w:t>
            </w:r>
            <w:r>
              <w:rPr>
                <w:color w:val="000000"/>
                <w:sz w:val="20"/>
                <w:szCs w:val="20"/>
              </w:rPr>
              <w:t>4</w:t>
            </w:r>
          </w:p>
        </w:tc>
        <w:tc>
          <w:tcPr>
            <w:tcW w:w="961" w:type="dxa"/>
            <w:shd w:val="clear" w:color="auto" w:fill="auto"/>
            <w:noWrap/>
            <w:vAlign w:val="bottom"/>
          </w:tcPr>
          <w:p w14:paraId="43ADB1A5" w14:textId="77777777" w:rsidR="00BF6E71" w:rsidRPr="00444DF4" w:rsidRDefault="00BF6E71" w:rsidP="00A7159E">
            <w:pPr>
              <w:jc w:val="center"/>
              <w:rPr>
                <w:color w:val="000000"/>
                <w:sz w:val="20"/>
                <w:szCs w:val="20"/>
              </w:rPr>
            </w:pPr>
            <w:r w:rsidRPr="00444DF4">
              <w:rPr>
                <w:color w:val="000000"/>
                <w:sz w:val="20"/>
                <w:szCs w:val="20"/>
              </w:rPr>
              <w:t>Q1</w:t>
            </w:r>
          </w:p>
        </w:tc>
        <w:tc>
          <w:tcPr>
            <w:tcW w:w="2552" w:type="dxa"/>
            <w:shd w:val="clear" w:color="auto" w:fill="auto"/>
            <w:noWrap/>
            <w:vAlign w:val="bottom"/>
          </w:tcPr>
          <w:p w14:paraId="7984D9F5" w14:textId="77777777" w:rsidR="00BF6E71" w:rsidRPr="00533DE0" w:rsidRDefault="00BF6E71" w:rsidP="00A7159E">
            <w:pPr>
              <w:jc w:val="center"/>
              <w:rPr>
                <w:rFonts w:eastAsia="Times New Roman"/>
                <w:color w:val="000000"/>
                <w:sz w:val="20"/>
                <w:szCs w:val="20"/>
                <w:highlight w:val="yellow"/>
              </w:rPr>
            </w:pPr>
            <w:r w:rsidRPr="005779C4">
              <w:rPr>
                <w:color w:val="000000"/>
                <w:sz w:val="20"/>
              </w:rPr>
              <w:t>5 </w:t>
            </w:r>
            <w:r w:rsidRPr="00E72AA9">
              <w:rPr>
                <w:rFonts w:eastAsia="Times New Roman"/>
                <w:color w:val="000000"/>
                <w:sz w:val="20"/>
                <w:szCs w:val="20"/>
              </w:rPr>
              <w:t>613 400</w:t>
            </w:r>
          </w:p>
        </w:tc>
        <w:tc>
          <w:tcPr>
            <w:tcW w:w="2540" w:type="dxa"/>
            <w:shd w:val="clear" w:color="auto" w:fill="auto"/>
            <w:noWrap/>
            <w:vAlign w:val="bottom"/>
          </w:tcPr>
          <w:p w14:paraId="78AA9618" w14:textId="77777777" w:rsidR="00BF6E71" w:rsidRPr="00533DE0" w:rsidRDefault="00BF6E71" w:rsidP="00A7159E">
            <w:pPr>
              <w:jc w:val="center"/>
              <w:rPr>
                <w:rFonts w:eastAsia="Times New Roman"/>
                <w:color w:val="000000"/>
                <w:sz w:val="20"/>
                <w:szCs w:val="20"/>
                <w:highlight w:val="yellow"/>
              </w:rPr>
            </w:pPr>
            <w:r w:rsidRPr="005779C4">
              <w:rPr>
                <w:color w:val="000000"/>
                <w:sz w:val="20"/>
              </w:rPr>
              <w:t>5 </w:t>
            </w:r>
            <w:r w:rsidRPr="00E72AA9">
              <w:rPr>
                <w:rFonts w:eastAsia="Times New Roman"/>
                <w:color w:val="000000"/>
                <w:sz w:val="20"/>
                <w:szCs w:val="20"/>
              </w:rPr>
              <w:t>615 400</w:t>
            </w:r>
          </w:p>
        </w:tc>
      </w:tr>
      <w:tr w:rsidR="002E5C66" w:rsidRPr="00444DF4" w14:paraId="3C35CBDE" w14:textId="77777777" w:rsidTr="00A7159E">
        <w:trPr>
          <w:trHeight w:val="246"/>
          <w:jc w:val="center"/>
        </w:trPr>
        <w:tc>
          <w:tcPr>
            <w:tcW w:w="1136" w:type="dxa"/>
            <w:shd w:val="clear" w:color="auto" w:fill="auto"/>
            <w:noWrap/>
            <w:vAlign w:val="bottom"/>
          </w:tcPr>
          <w:p w14:paraId="7E1C3CFF" w14:textId="77777777" w:rsidR="002E5C66" w:rsidRPr="00444DF4" w:rsidRDefault="002E5C66" w:rsidP="002E5C66">
            <w:pPr>
              <w:jc w:val="center"/>
              <w:rPr>
                <w:color w:val="000000"/>
                <w:sz w:val="20"/>
                <w:szCs w:val="20"/>
              </w:rPr>
            </w:pPr>
          </w:p>
        </w:tc>
        <w:tc>
          <w:tcPr>
            <w:tcW w:w="961" w:type="dxa"/>
            <w:shd w:val="clear" w:color="auto" w:fill="auto"/>
            <w:noWrap/>
            <w:vAlign w:val="bottom"/>
          </w:tcPr>
          <w:p w14:paraId="1C5D052A" w14:textId="77777777" w:rsidR="002E5C66" w:rsidRPr="00444DF4" w:rsidRDefault="002E5C66" w:rsidP="002E5C66">
            <w:pPr>
              <w:jc w:val="center"/>
              <w:rPr>
                <w:color w:val="000000"/>
                <w:sz w:val="20"/>
                <w:szCs w:val="20"/>
              </w:rPr>
            </w:pPr>
            <w:r>
              <w:rPr>
                <w:color w:val="000000"/>
                <w:sz w:val="20"/>
                <w:szCs w:val="20"/>
              </w:rPr>
              <w:t>Q2</w:t>
            </w:r>
          </w:p>
        </w:tc>
        <w:tc>
          <w:tcPr>
            <w:tcW w:w="2552" w:type="dxa"/>
            <w:shd w:val="clear" w:color="auto" w:fill="auto"/>
            <w:noWrap/>
            <w:vAlign w:val="bottom"/>
          </w:tcPr>
          <w:p w14:paraId="379BDFEB" w14:textId="1D6BC5B8" w:rsidR="002E5C66" w:rsidRPr="002E5C66" w:rsidRDefault="002E5C66" w:rsidP="002E5C66">
            <w:pPr>
              <w:jc w:val="center"/>
              <w:rPr>
                <w:color w:val="000000"/>
                <w:sz w:val="20"/>
              </w:rPr>
            </w:pPr>
            <w:r w:rsidRPr="002E5C66">
              <w:rPr>
                <w:color w:val="000000"/>
                <w:sz w:val="20"/>
              </w:rPr>
              <w:t>4</w:t>
            </w:r>
            <w:r w:rsidRPr="001041CE">
              <w:rPr>
                <w:color w:val="000000"/>
                <w:sz w:val="20"/>
              </w:rPr>
              <w:t> </w:t>
            </w:r>
            <w:r w:rsidR="00BF6E71">
              <w:rPr>
                <w:color w:val="000000"/>
                <w:sz w:val="20"/>
              </w:rPr>
              <w:t>9</w:t>
            </w:r>
            <w:r w:rsidR="00F5165B">
              <w:rPr>
                <w:color w:val="000000"/>
                <w:sz w:val="20"/>
              </w:rPr>
              <w:t>28</w:t>
            </w:r>
            <w:r w:rsidR="00BF6E71">
              <w:rPr>
                <w:color w:val="000000"/>
                <w:sz w:val="20"/>
              </w:rPr>
              <w:t> </w:t>
            </w:r>
            <w:r w:rsidR="00F5165B">
              <w:rPr>
                <w:color w:val="000000"/>
                <w:sz w:val="20"/>
              </w:rPr>
              <w:t>9</w:t>
            </w:r>
            <w:r w:rsidR="00BF6E71">
              <w:rPr>
                <w:color w:val="000000"/>
                <w:sz w:val="20"/>
              </w:rPr>
              <w:t>00</w:t>
            </w:r>
          </w:p>
        </w:tc>
        <w:tc>
          <w:tcPr>
            <w:tcW w:w="2540" w:type="dxa"/>
            <w:shd w:val="clear" w:color="auto" w:fill="auto"/>
            <w:noWrap/>
            <w:vAlign w:val="bottom"/>
          </w:tcPr>
          <w:p w14:paraId="71EA1508" w14:textId="7FBD8B76" w:rsidR="002E5C66" w:rsidRPr="002E5C66" w:rsidRDefault="002E5C66" w:rsidP="002E5C66">
            <w:pPr>
              <w:jc w:val="center"/>
              <w:rPr>
                <w:color w:val="000000"/>
                <w:sz w:val="20"/>
              </w:rPr>
            </w:pPr>
            <w:r w:rsidRPr="002E5C66">
              <w:rPr>
                <w:color w:val="000000"/>
                <w:sz w:val="20"/>
              </w:rPr>
              <w:t>4 993 600</w:t>
            </w:r>
          </w:p>
        </w:tc>
      </w:tr>
    </w:tbl>
    <w:p w14:paraId="76DAD624" w14:textId="77777777" w:rsidR="00BF6E71" w:rsidRPr="004B2860" w:rsidRDefault="00BF6E71" w:rsidP="00BF6E71">
      <w:pPr>
        <w:jc w:val="center"/>
        <w:rPr>
          <w:rFonts w:eastAsia="Times New Roman"/>
          <w:color w:val="000000"/>
          <w:sz w:val="10"/>
          <w:szCs w:val="28"/>
          <w:shd w:val="pct15" w:color="auto" w:fill="FFFFFF"/>
        </w:rPr>
      </w:pPr>
    </w:p>
    <w:p w14:paraId="445622C2" w14:textId="77777777" w:rsidR="00BF6E71" w:rsidRPr="00E73514" w:rsidRDefault="00BF6E71" w:rsidP="00BF6E71">
      <w:pPr>
        <w:snapToGrid w:val="0"/>
        <w:spacing w:beforeLines="30" w:before="72" w:line="240" w:lineRule="exact"/>
        <w:ind w:left="1288" w:right="29"/>
        <w:jc w:val="both"/>
        <w:rPr>
          <w:color w:val="000000"/>
          <w:sz w:val="22"/>
        </w:rPr>
      </w:pPr>
      <w:proofErr w:type="gramStart"/>
      <w:r w:rsidRPr="00E73514">
        <w:rPr>
          <w:color w:val="000000"/>
          <w:sz w:val="22"/>
        </w:rPr>
        <w:t>Note :</w:t>
      </w:r>
      <w:proofErr w:type="gramEnd"/>
      <w:r w:rsidRPr="00E73514">
        <w:rPr>
          <w:color w:val="000000"/>
          <w:sz w:val="22"/>
        </w:rPr>
        <w:tab/>
        <w:t xml:space="preserve">  Figures may not add up to total visitor arrivals due to rounding. </w:t>
      </w:r>
    </w:p>
    <w:p w14:paraId="378033BC" w14:textId="77777777" w:rsidR="00BF6E71" w:rsidRPr="004B2860" w:rsidRDefault="00BF6E71" w:rsidP="00BF6E71">
      <w:pPr>
        <w:overflowPunct w:val="0"/>
        <w:spacing w:line="360" w:lineRule="atLeast"/>
        <w:jc w:val="center"/>
        <w:rPr>
          <w:b/>
          <w:sz w:val="28"/>
          <w:szCs w:val="28"/>
          <w:shd w:val="pct15" w:color="auto" w:fill="FFFFFF"/>
          <w:lang w:eastAsia="zh-HK"/>
        </w:rPr>
      </w:pPr>
    </w:p>
    <w:p w14:paraId="1383CB8D" w14:textId="7B2191FE" w:rsidR="002E5C66" w:rsidRPr="002E5C66" w:rsidRDefault="002E5C66" w:rsidP="002E5C66">
      <w:pPr>
        <w:numPr>
          <w:ilvl w:val="1"/>
          <w:numId w:val="3"/>
        </w:numPr>
        <w:tabs>
          <w:tab w:val="left" w:pos="1080"/>
        </w:tabs>
        <w:spacing w:line="360" w:lineRule="atLeast"/>
        <w:jc w:val="both"/>
        <w:rPr>
          <w:color w:val="000000"/>
          <w:sz w:val="28"/>
          <w:szCs w:val="28"/>
          <w:shd w:val="pct15" w:color="auto" w:fill="FFFFFF"/>
        </w:rPr>
      </w:pPr>
      <w:r w:rsidRPr="002E5C66">
        <w:rPr>
          <w:sz w:val="28"/>
          <w:szCs w:val="28"/>
        </w:rPr>
        <w:t>T</w:t>
      </w:r>
      <w:r w:rsidRPr="002E5C66">
        <w:rPr>
          <w:color w:val="000000"/>
          <w:sz w:val="28"/>
          <w:szCs w:val="28"/>
        </w:rPr>
        <w:t xml:space="preserve">he average hotel room occupancy rate retreated from 83% a year earlier to </w:t>
      </w:r>
      <w:r w:rsidR="00BF6E71">
        <w:rPr>
          <w:color w:val="000000"/>
          <w:sz w:val="28"/>
          <w:szCs w:val="28"/>
        </w:rPr>
        <w:t>8</w:t>
      </w:r>
      <w:r w:rsidR="00F5165B">
        <w:rPr>
          <w:color w:val="000000"/>
          <w:sz w:val="28"/>
          <w:szCs w:val="28"/>
        </w:rPr>
        <w:t>1</w:t>
      </w:r>
      <w:r w:rsidR="00BF6E71">
        <w:rPr>
          <w:color w:val="000000"/>
          <w:sz w:val="28"/>
          <w:szCs w:val="28"/>
        </w:rPr>
        <w:t>%</w:t>
      </w:r>
      <w:r w:rsidR="00F5165B">
        <w:rPr>
          <w:color w:val="000000"/>
          <w:sz w:val="28"/>
          <w:szCs w:val="28"/>
        </w:rPr>
        <w:t xml:space="preserve"> </w:t>
      </w:r>
      <w:r w:rsidR="00F5165B" w:rsidRPr="002E5C66">
        <w:rPr>
          <w:color w:val="000000"/>
          <w:sz w:val="28"/>
          <w:szCs w:val="28"/>
        </w:rPr>
        <w:t>in the second quarter</w:t>
      </w:r>
      <w:r w:rsidR="00BF6E71">
        <w:rPr>
          <w:color w:val="000000"/>
          <w:sz w:val="28"/>
          <w:szCs w:val="28"/>
        </w:rPr>
        <w:t>,</w:t>
      </w:r>
      <w:r w:rsidRPr="002E5C66">
        <w:rPr>
          <w:color w:val="000000"/>
          <w:sz w:val="28"/>
          <w:szCs w:val="28"/>
        </w:rPr>
        <w:t xml:space="preserve"> and remained below the 90% recorded in the same quarter in 2018.  Meanwhile, the average achieved hotel room rate fell by </w:t>
      </w:r>
      <w:r w:rsidR="00F5165B">
        <w:rPr>
          <w:color w:val="000000"/>
          <w:sz w:val="28"/>
          <w:szCs w:val="28"/>
        </w:rPr>
        <w:t>7.1</w:t>
      </w:r>
      <w:r w:rsidR="00BF6E71">
        <w:rPr>
          <w:color w:val="000000"/>
          <w:sz w:val="28"/>
          <w:szCs w:val="28"/>
        </w:rPr>
        <w:t>%</w:t>
      </w:r>
      <w:r w:rsidRPr="002E5C66">
        <w:rPr>
          <w:color w:val="000000"/>
          <w:sz w:val="28"/>
          <w:szCs w:val="28"/>
        </w:rPr>
        <w:t xml:space="preserve"> </w:t>
      </w:r>
      <w:r w:rsidR="007C7F87">
        <w:rPr>
          <w:color w:val="000000"/>
          <w:sz w:val="28"/>
          <w:szCs w:val="28"/>
        </w:rPr>
        <w:t>from</w:t>
      </w:r>
      <w:r w:rsidRPr="002E5C66">
        <w:rPr>
          <w:color w:val="000000"/>
          <w:sz w:val="28"/>
          <w:szCs w:val="28"/>
        </w:rPr>
        <w:t xml:space="preserve"> a year earlier to </w:t>
      </w:r>
      <w:r w:rsidR="00BF6E71">
        <w:rPr>
          <w:color w:val="000000"/>
          <w:sz w:val="28"/>
          <w:szCs w:val="28"/>
        </w:rPr>
        <w:t>$</w:t>
      </w:r>
      <w:r w:rsidR="00F5165B">
        <w:rPr>
          <w:color w:val="000000"/>
          <w:sz w:val="28"/>
          <w:szCs w:val="28"/>
        </w:rPr>
        <w:t>1,305</w:t>
      </w:r>
      <w:r w:rsidRPr="002E5C66">
        <w:rPr>
          <w:color w:val="000000"/>
          <w:sz w:val="28"/>
          <w:szCs w:val="28"/>
          <w:vertAlign w:val="superscript"/>
        </w:rPr>
        <w:t>(</w:t>
      </w:r>
      <w:r w:rsidRPr="002E5C66">
        <w:rPr>
          <w:color w:val="000000"/>
          <w:sz w:val="28"/>
          <w:vertAlign w:val="superscript"/>
        </w:rPr>
        <w:t>4)</w:t>
      </w:r>
      <w:r w:rsidRPr="002E5C66">
        <w:rPr>
          <w:color w:val="000000"/>
          <w:sz w:val="28"/>
          <w:szCs w:val="28"/>
        </w:rPr>
        <w:t xml:space="preserve">. </w:t>
      </w:r>
    </w:p>
    <w:p w14:paraId="2B27AA51" w14:textId="77777777" w:rsidR="00BF6E71" w:rsidRPr="004B2860" w:rsidRDefault="00BF6E71" w:rsidP="00BF6E71">
      <w:pPr>
        <w:spacing w:line="360" w:lineRule="atLeast"/>
        <w:jc w:val="both"/>
        <w:rPr>
          <w:color w:val="000000"/>
          <w:sz w:val="28"/>
          <w:szCs w:val="28"/>
          <w:shd w:val="pct15" w:color="auto" w:fill="FFFFFF"/>
        </w:rPr>
      </w:pPr>
    </w:p>
    <w:p w14:paraId="46090298" w14:textId="73A190E9" w:rsidR="003507A2" w:rsidRPr="003507A2" w:rsidRDefault="003507A2" w:rsidP="008B4F92">
      <w:pPr>
        <w:numPr>
          <w:ilvl w:val="1"/>
          <w:numId w:val="3"/>
        </w:numPr>
        <w:tabs>
          <w:tab w:val="left" w:pos="1080"/>
        </w:tabs>
        <w:spacing w:line="360" w:lineRule="atLeast"/>
        <w:jc w:val="both"/>
        <w:rPr>
          <w:color w:val="000000"/>
          <w:sz w:val="28"/>
          <w:szCs w:val="28"/>
          <w:shd w:val="pct15" w:color="auto" w:fill="FFFFFF"/>
        </w:rPr>
      </w:pPr>
      <w:r>
        <w:rPr>
          <w:sz w:val="28"/>
          <w:szCs w:val="28"/>
        </w:rPr>
        <w:t>The Central Government introduced various measures to support Hong Kong’s tourism and economic develo</w:t>
      </w:r>
      <w:r w:rsidRPr="00126F55">
        <w:rPr>
          <w:sz w:val="28"/>
          <w:szCs w:val="28"/>
        </w:rPr>
        <w:t xml:space="preserve">pment in recent months.  </w:t>
      </w:r>
      <w:r w:rsidRPr="00096FC0">
        <w:rPr>
          <w:sz w:val="28"/>
          <w:szCs w:val="28"/>
        </w:rPr>
        <w:t>Following the expansion to Xi</w:t>
      </w:r>
      <w:r w:rsidR="00064A14">
        <w:rPr>
          <w:sz w:val="28"/>
          <w:szCs w:val="28"/>
        </w:rPr>
        <w:t>’</w:t>
      </w:r>
      <w:r w:rsidRPr="00096FC0">
        <w:rPr>
          <w:sz w:val="28"/>
          <w:szCs w:val="28"/>
        </w:rPr>
        <w:t xml:space="preserve">an and Qingdao on 6 March 2024, </w:t>
      </w:r>
      <w:r w:rsidRPr="00126F55">
        <w:rPr>
          <w:sz w:val="28"/>
          <w:szCs w:val="28"/>
        </w:rPr>
        <w:t xml:space="preserve">the Individual Visit Scheme </w:t>
      </w:r>
      <w:r w:rsidRPr="00096FC0">
        <w:rPr>
          <w:sz w:val="28"/>
          <w:szCs w:val="28"/>
        </w:rPr>
        <w:t xml:space="preserve">(IVS) </w:t>
      </w:r>
      <w:r w:rsidRPr="00126F55">
        <w:rPr>
          <w:sz w:val="28"/>
          <w:szCs w:val="28"/>
        </w:rPr>
        <w:t>was further expanded to cover eight more Mainland cities, namely Taiyuan, Hohhot, Harbin, Lhasa, Lanzhou, Xining, Yinchuan and Urumqi starting from 27 May 2024</w:t>
      </w:r>
      <w:r w:rsidRPr="00096FC0">
        <w:rPr>
          <w:sz w:val="28"/>
          <w:szCs w:val="28"/>
        </w:rPr>
        <w:t>, </w:t>
      </w:r>
      <w:r w:rsidR="00064A14">
        <w:rPr>
          <w:sz w:val="28"/>
          <w:szCs w:val="28"/>
        </w:rPr>
        <w:t>raising</w:t>
      </w:r>
      <w:r w:rsidRPr="00096FC0">
        <w:rPr>
          <w:sz w:val="28"/>
          <w:szCs w:val="28"/>
        </w:rPr>
        <w:t xml:space="preserve"> the </w:t>
      </w:r>
      <w:r>
        <w:rPr>
          <w:sz w:val="28"/>
          <w:szCs w:val="28"/>
        </w:rPr>
        <w:t xml:space="preserve">number of </w:t>
      </w:r>
      <w:r w:rsidRPr="00096FC0">
        <w:rPr>
          <w:sz w:val="28"/>
          <w:szCs w:val="28"/>
        </w:rPr>
        <w:t>applicable cities of IVS to 59 and cover</w:t>
      </w:r>
      <w:r w:rsidR="00064A14">
        <w:rPr>
          <w:sz w:val="28"/>
          <w:szCs w:val="28"/>
        </w:rPr>
        <w:t>ing</w:t>
      </w:r>
      <w:r w:rsidRPr="00096FC0">
        <w:rPr>
          <w:sz w:val="28"/>
          <w:szCs w:val="28"/>
        </w:rPr>
        <w:t xml:space="preserve"> all provincial capital cities</w:t>
      </w:r>
      <w:r w:rsidRPr="00126F55">
        <w:rPr>
          <w:sz w:val="28"/>
          <w:szCs w:val="28"/>
        </w:rPr>
        <w:t>.  Besides, the duty-free a</w:t>
      </w:r>
      <w:r w:rsidR="0017752B">
        <w:rPr>
          <w:sz w:val="28"/>
          <w:szCs w:val="28"/>
        </w:rPr>
        <w:t xml:space="preserve">llowance was increased from </w:t>
      </w:r>
      <w:proofErr w:type="spellStart"/>
      <w:r w:rsidR="0017752B">
        <w:rPr>
          <w:sz w:val="28"/>
          <w:szCs w:val="28"/>
        </w:rPr>
        <w:t>RMB</w:t>
      </w:r>
      <w:r w:rsidRPr="00126F55">
        <w:rPr>
          <w:sz w:val="28"/>
          <w:szCs w:val="28"/>
        </w:rPr>
        <w:t>5,000</w:t>
      </w:r>
      <w:proofErr w:type="spellEnd"/>
      <w:r w:rsidRPr="00126F55">
        <w:rPr>
          <w:sz w:val="28"/>
          <w:szCs w:val="28"/>
        </w:rPr>
        <w:t xml:space="preserve"> to </w:t>
      </w:r>
      <w:proofErr w:type="spellStart"/>
      <w:r w:rsidRPr="00126F55">
        <w:rPr>
          <w:sz w:val="28"/>
          <w:szCs w:val="28"/>
        </w:rPr>
        <w:t>RMB12,000</w:t>
      </w:r>
      <w:proofErr w:type="spellEnd"/>
      <w:r w:rsidRPr="00126F55">
        <w:rPr>
          <w:sz w:val="28"/>
          <w:szCs w:val="28"/>
        </w:rPr>
        <w:t xml:space="preserve"> for luggage articles brought into the Mainland from Hong Kong by visitors who are Mainland residents starting from 1 July 2024.  Together with the measure for additional duty-free goods at the value of </w:t>
      </w:r>
      <w:proofErr w:type="spellStart"/>
      <w:r w:rsidRPr="00126F55">
        <w:rPr>
          <w:sz w:val="28"/>
          <w:szCs w:val="28"/>
        </w:rPr>
        <w:t>RMB3</w:t>
      </w:r>
      <w:proofErr w:type="gramStart"/>
      <w:r w:rsidRPr="00126F55">
        <w:rPr>
          <w:sz w:val="28"/>
          <w:szCs w:val="28"/>
        </w:rPr>
        <w:t>,000</w:t>
      </w:r>
      <w:proofErr w:type="spellEnd"/>
      <w:proofErr w:type="gramEnd"/>
      <w:r w:rsidRPr="00126F55">
        <w:rPr>
          <w:sz w:val="28"/>
          <w:szCs w:val="28"/>
        </w:rPr>
        <w:t xml:space="preserve"> purchased at port entry duty-free stores, this brought the total </w:t>
      </w:r>
      <w:r w:rsidRPr="00F935D0">
        <w:rPr>
          <w:sz w:val="28"/>
          <w:szCs w:val="28"/>
        </w:rPr>
        <w:t>amount of a</w:t>
      </w:r>
      <w:r>
        <w:rPr>
          <w:sz w:val="28"/>
          <w:szCs w:val="28"/>
        </w:rPr>
        <w:t xml:space="preserve">llowance </w:t>
      </w:r>
      <w:r w:rsidR="0017752B">
        <w:rPr>
          <w:sz w:val="28"/>
          <w:szCs w:val="28"/>
        </w:rPr>
        <w:t xml:space="preserve">to </w:t>
      </w:r>
      <w:proofErr w:type="spellStart"/>
      <w:r w:rsidR="0017752B">
        <w:rPr>
          <w:sz w:val="28"/>
          <w:szCs w:val="28"/>
        </w:rPr>
        <w:t>RMB</w:t>
      </w:r>
      <w:r>
        <w:rPr>
          <w:sz w:val="28"/>
          <w:szCs w:val="28"/>
        </w:rPr>
        <w:t>15,000</w:t>
      </w:r>
      <w:proofErr w:type="spellEnd"/>
      <w:r>
        <w:rPr>
          <w:sz w:val="28"/>
          <w:szCs w:val="28"/>
        </w:rPr>
        <w:t xml:space="preserve">.  </w:t>
      </w:r>
      <w:bookmarkStart w:id="0" w:name="_GoBack"/>
      <w:bookmarkEnd w:id="0"/>
      <w:r>
        <w:rPr>
          <w:sz w:val="28"/>
          <w:szCs w:val="28"/>
        </w:rPr>
        <w:t xml:space="preserve">Meanwhile, the </w:t>
      </w:r>
      <w:r w:rsidR="00F7258A">
        <w:rPr>
          <w:sz w:val="28"/>
          <w:szCs w:val="28"/>
        </w:rPr>
        <w:t xml:space="preserve">SAR </w:t>
      </w:r>
      <w:r>
        <w:rPr>
          <w:sz w:val="28"/>
          <w:szCs w:val="28"/>
        </w:rPr>
        <w:t xml:space="preserve">Government </w:t>
      </w:r>
      <w:r w:rsidRPr="002D4BE8">
        <w:rPr>
          <w:sz w:val="28"/>
          <w:szCs w:val="28"/>
        </w:rPr>
        <w:t xml:space="preserve">announced </w:t>
      </w:r>
      <w:r>
        <w:rPr>
          <w:sz w:val="28"/>
          <w:szCs w:val="28"/>
        </w:rPr>
        <w:t xml:space="preserve">in May the </w:t>
      </w:r>
      <w:r w:rsidRPr="002F4AB7">
        <w:rPr>
          <w:sz w:val="28"/>
          <w:szCs w:val="28"/>
        </w:rPr>
        <w:t xml:space="preserve">calendar of mega events in Hong Kong </w:t>
      </w:r>
      <w:r>
        <w:rPr>
          <w:sz w:val="28"/>
          <w:szCs w:val="28"/>
        </w:rPr>
        <w:t xml:space="preserve">for the </w:t>
      </w:r>
      <w:r w:rsidRPr="002F4AB7">
        <w:rPr>
          <w:sz w:val="28"/>
          <w:szCs w:val="28"/>
        </w:rPr>
        <w:t>second half</w:t>
      </w:r>
      <w:r w:rsidRPr="00D33BC5">
        <w:rPr>
          <w:sz w:val="28"/>
          <w:szCs w:val="28"/>
        </w:rPr>
        <w:t xml:space="preserve"> of</w:t>
      </w:r>
      <w:r w:rsidRPr="00554306">
        <w:rPr>
          <w:sz w:val="28"/>
          <w:szCs w:val="28"/>
        </w:rPr>
        <w:t xml:space="preserve"> 2024</w:t>
      </w:r>
      <w:r>
        <w:rPr>
          <w:sz w:val="28"/>
          <w:szCs w:val="28"/>
        </w:rPr>
        <w:t>, with</w:t>
      </w:r>
      <w:r w:rsidRPr="002D4BE8">
        <w:rPr>
          <w:sz w:val="28"/>
          <w:szCs w:val="28"/>
        </w:rPr>
        <w:t xml:space="preserve"> </w:t>
      </w:r>
      <w:r w:rsidRPr="002D4BE8">
        <w:rPr>
          <w:sz w:val="28"/>
          <w:szCs w:val="28"/>
        </w:rPr>
        <w:lastRenderedPageBreak/>
        <w:t>more than 100 mega events</w:t>
      </w:r>
      <w:r>
        <w:rPr>
          <w:sz w:val="28"/>
          <w:szCs w:val="28"/>
        </w:rPr>
        <w:t xml:space="preserve"> to</w:t>
      </w:r>
      <w:r w:rsidRPr="002D4BE8">
        <w:rPr>
          <w:sz w:val="28"/>
          <w:szCs w:val="28"/>
        </w:rPr>
        <w:t xml:space="preserve"> be </w:t>
      </w:r>
      <w:r w:rsidRPr="0088574C">
        <w:rPr>
          <w:sz w:val="28"/>
          <w:szCs w:val="28"/>
        </w:rPr>
        <w:t>held, which will bring the total number of mega events in the city to at least 210 this year.  Separately, the Hospitality Campaign was launched in June to promote hospitality and reinforce Hong Kong</w:t>
      </w:r>
      <w:r>
        <w:rPr>
          <w:sz w:val="28"/>
          <w:szCs w:val="28"/>
        </w:rPr>
        <w:t>’</w:t>
      </w:r>
      <w:r w:rsidRPr="0088574C">
        <w:rPr>
          <w:sz w:val="28"/>
          <w:szCs w:val="28"/>
        </w:rPr>
        <w:t>s brand as the best tourism destination</w:t>
      </w:r>
      <w:r w:rsidRPr="00E73514">
        <w:rPr>
          <w:sz w:val="28"/>
          <w:szCs w:val="28"/>
        </w:rPr>
        <w:t>.</w:t>
      </w:r>
      <w:r w:rsidR="009E46B2">
        <w:rPr>
          <w:sz w:val="28"/>
          <w:szCs w:val="28"/>
        </w:rPr>
        <w:t xml:space="preserve">  </w:t>
      </w:r>
    </w:p>
    <w:p w14:paraId="44940315" w14:textId="77777777" w:rsidR="00BF6E71" w:rsidRDefault="00BF6E71" w:rsidP="00BF6E71">
      <w:pPr>
        <w:tabs>
          <w:tab w:val="left" w:pos="1080"/>
        </w:tabs>
        <w:overflowPunct w:val="0"/>
        <w:spacing w:line="360" w:lineRule="atLeast"/>
        <w:jc w:val="both"/>
        <w:rPr>
          <w:b/>
          <w:color w:val="000000"/>
          <w:sz w:val="28"/>
          <w:szCs w:val="28"/>
        </w:rPr>
      </w:pPr>
    </w:p>
    <w:p w14:paraId="5AC848A9" w14:textId="6DB673D7" w:rsidR="00FC3BF3" w:rsidRPr="004B2860" w:rsidRDefault="00FC3BF3">
      <w:pPr>
        <w:widowControl/>
        <w:rPr>
          <w:b/>
          <w:sz w:val="28"/>
          <w:szCs w:val="28"/>
          <w:shd w:val="pct15" w:color="auto" w:fill="FFFFFF"/>
        </w:rPr>
      </w:pPr>
    </w:p>
    <w:p w14:paraId="00B6DE77" w14:textId="3FAC9476" w:rsidR="0046197A" w:rsidRPr="00826529" w:rsidRDefault="0046197A" w:rsidP="0046197A">
      <w:pPr>
        <w:tabs>
          <w:tab w:val="left" w:pos="1080"/>
        </w:tabs>
        <w:overflowPunct w:val="0"/>
        <w:spacing w:line="360" w:lineRule="atLeast"/>
        <w:jc w:val="both"/>
        <w:rPr>
          <w:b/>
          <w:color w:val="000000"/>
          <w:sz w:val="28"/>
          <w:szCs w:val="28"/>
          <w:highlight w:val="yellow"/>
        </w:rPr>
      </w:pPr>
      <w:r w:rsidRPr="00826529">
        <w:rPr>
          <w:b/>
          <w:color w:val="000000"/>
          <w:sz w:val="28"/>
          <w:szCs w:val="28"/>
        </w:rPr>
        <w:t>Logistics</w:t>
      </w:r>
    </w:p>
    <w:p w14:paraId="0281286B" w14:textId="77777777" w:rsidR="0046197A" w:rsidRPr="00826529" w:rsidRDefault="0046197A" w:rsidP="0046197A">
      <w:pPr>
        <w:tabs>
          <w:tab w:val="left" w:pos="1080"/>
        </w:tabs>
        <w:overflowPunct w:val="0"/>
        <w:spacing w:line="360" w:lineRule="atLeast"/>
        <w:jc w:val="both"/>
        <w:rPr>
          <w:color w:val="000000"/>
          <w:sz w:val="28"/>
          <w:szCs w:val="28"/>
          <w:highlight w:val="yellow"/>
        </w:rPr>
      </w:pPr>
    </w:p>
    <w:p w14:paraId="2FF8324B" w14:textId="05968EDF" w:rsidR="0046197A" w:rsidRPr="00517D1A" w:rsidRDefault="0046197A" w:rsidP="002228BA">
      <w:pPr>
        <w:numPr>
          <w:ilvl w:val="1"/>
          <w:numId w:val="3"/>
        </w:numPr>
        <w:tabs>
          <w:tab w:val="left" w:pos="1080"/>
        </w:tabs>
        <w:spacing w:line="360" w:lineRule="atLeast"/>
        <w:jc w:val="both"/>
        <w:rPr>
          <w:color w:val="000000"/>
          <w:sz w:val="28"/>
          <w:szCs w:val="28"/>
        </w:rPr>
      </w:pPr>
      <w:r w:rsidRPr="00826529">
        <w:rPr>
          <w:color w:val="000000"/>
          <w:sz w:val="28"/>
          <w:szCs w:val="28"/>
        </w:rPr>
        <w:t xml:space="preserve">The logistics sector </w:t>
      </w:r>
      <w:r w:rsidR="00826529" w:rsidRPr="00826529">
        <w:rPr>
          <w:color w:val="000000"/>
          <w:sz w:val="28"/>
          <w:szCs w:val="28"/>
        </w:rPr>
        <w:t xml:space="preserve">put up </w:t>
      </w:r>
      <w:r w:rsidR="00CE39F4" w:rsidRPr="00517D1A">
        <w:rPr>
          <w:color w:val="000000"/>
          <w:sz w:val="28"/>
          <w:szCs w:val="28"/>
        </w:rPr>
        <w:t>mixed performance</w:t>
      </w:r>
      <w:r w:rsidR="009D3803" w:rsidRPr="00517D1A">
        <w:rPr>
          <w:color w:val="000000"/>
          <w:sz w:val="28"/>
          <w:szCs w:val="28"/>
        </w:rPr>
        <w:t xml:space="preserve"> in the </w:t>
      </w:r>
      <w:r w:rsidR="00826529" w:rsidRPr="00517D1A">
        <w:rPr>
          <w:color w:val="000000"/>
          <w:sz w:val="28"/>
          <w:szCs w:val="28"/>
        </w:rPr>
        <w:t>second</w:t>
      </w:r>
      <w:r w:rsidR="009D3803" w:rsidRPr="00517D1A">
        <w:rPr>
          <w:color w:val="000000"/>
          <w:sz w:val="28"/>
          <w:szCs w:val="28"/>
        </w:rPr>
        <w:t xml:space="preserve"> quarter</w:t>
      </w:r>
      <w:r w:rsidRPr="00517D1A">
        <w:rPr>
          <w:color w:val="000000"/>
          <w:sz w:val="28"/>
          <w:szCs w:val="28"/>
        </w:rPr>
        <w:t>.</w:t>
      </w:r>
      <w:r w:rsidRPr="00517D1A">
        <w:rPr>
          <w:color w:val="000000"/>
          <w:sz w:val="28"/>
          <w:szCs w:val="28"/>
          <w:shd w:val="pct15" w:color="auto" w:fill="FFFFFF"/>
        </w:rPr>
        <w:t xml:space="preserve">  </w:t>
      </w:r>
      <w:r w:rsidRPr="00517D1A">
        <w:rPr>
          <w:i/>
          <w:color w:val="000000"/>
          <w:sz w:val="28"/>
          <w:szCs w:val="28"/>
        </w:rPr>
        <w:t>Total container throughput</w:t>
      </w:r>
      <w:r w:rsidRPr="00517D1A">
        <w:rPr>
          <w:color w:val="000000"/>
          <w:sz w:val="28"/>
          <w:szCs w:val="28"/>
        </w:rPr>
        <w:t xml:space="preserve"> </w:t>
      </w:r>
      <w:r w:rsidR="00DF588F" w:rsidRPr="00517D1A">
        <w:rPr>
          <w:color w:val="000000"/>
          <w:sz w:val="28"/>
          <w:szCs w:val="28"/>
        </w:rPr>
        <w:t xml:space="preserve">decreased by another </w:t>
      </w:r>
      <w:r w:rsidR="009A7182" w:rsidRPr="00517D1A">
        <w:rPr>
          <w:color w:val="000000"/>
          <w:sz w:val="28"/>
          <w:szCs w:val="28"/>
        </w:rPr>
        <w:t>7.</w:t>
      </w:r>
      <w:r w:rsidR="00F5165B">
        <w:rPr>
          <w:color w:val="000000"/>
          <w:sz w:val="28"/>
          <w:szCs w:val="28"/>
        </w:rPr>
        <w:t>2</w:t>
      </w:r>
      <w:r w:rsidR="00DF588F" w:rsidRPr="00517D1A">
        <w:rPr>
          <w:color w:val="000000"/>
          <w:sz w:val="28"/>
          <w:szCs w:val="28"/>
        </w:rPr>
        <w:t xml:space="preserve">% </w:t>
      </w:r>
      <w:r w:rsidR="00684E84" w:rsidRPr="00517D1A">
        <w:rPr>
          <w:color w:val="000000"/>
          <w:sz w:val="28"/>
        </w:rPr>
        <w:t>from</w:t>
      </w:r>
      <w:r w:rsidR="00684E84" w:rsidRPr="00517D1A">
        <w:rPr>
          <w:color w:val="000000"/>
          <w:sz w:val="28"/>
          <w:szCs w:val="28"/>
        </w:rPr>
        <w:t xml:space="preserve"> a year earlier</w:t>
      </w:r>
      <w:r w:rsidR="0064785C" w:rsidRPr="00517D1A">
        <w:rPr>
          <w:color w:val="000000"/>
          <w:sz w:val="28"/>
          <w:szCs w:val="28"/>
        </w:rPr>
        <w:t>,</w:t>
      </w:r>
      <w:r w:rsidR="00684E84" w:rsidRPr="00517D1A">
        <w:rPr>
          <w:color w:val="000000"/>
          <w:sz w:val="28"/>
          <w:szCs w:val="28"/>
        </w:rPr>
        <w:t xml:space="preserve"> to about </w:t>
      </w:r>
      <w:r w:rsidR="00353E85" w:rsidRPr="00517D1A">
        <w:rPr>
          <w:color w:val="000000"/>
          <w:sz w:val="28"/>
        </w:rPr>
        <w:t>3.</w:t>
      </w:r>
      <w:r w:rsidR="00845698" w:rsidRPr="00517D1A">
        <w:rPr>
          <w:color w:val="000000"/>
          <w:sz w:val="28"/>
          <w:szCs w:val="28"/>
        </w:rPr>
        <w:t>4</w:t>
      </w:r>
      <w:r w:rsidR="00F22CA8" w:rsidRPr="00517D1A">
        <w:rPr>
          <w:color w:val="000000"/>
          <w:sz w:val="28"/>
          <w:szCs w:val="28"/>
        </w:rPr>
        <w:t> </w:t>
      </w:r>
      <w:r w:rsidRPr="00517D1A">
        <w:rPr>
          <w:color w:val="000000"/>
          <w:sz w:val="28"/>
          <w:szCs w:val="28"/>
        </w:rPr>
        <w:t xml:space="preserve">million twenty-foot equivalent units (TEUs).  </w:t>
      </w:r>
      <w:r w:rsidRPr="00517D1A">
        <w:rPr>
          <w:sz w:val="28"/>
          <w:szCs w:val="28"/>
        </w:rPr>
        <w:t>T</w:t>
      </w:r>
      <w:r w:rsidRPr="00517D1A">
        <w:rPr>
          <w:color w:val="000000"/>
          <w:sz w:val="28"/>
          <w:szCs w:val="28"/>
        </w:rPr>
        <w:t xml:space="preserve">he value of trade handled at the Hong Kong port </w:t>
      </w:r>
      <w:r w:rsidR="004B5D46" w:rsidRPr="00517D1A">
        <w:rPr>
          <w:color w:val="000000"/>
          <w:sz w:val="28"/>
        </w:rPr>
        <w:t>declined further</w:t>
      </w:r>
      <w:r w:rsidRPr="00517D1A">
        <w:rPr>
          <w:color w:val="000000"/>
          <w:sz w:val="28"/>
        </w:rPr>
        <w:t xml:space="preserve"> </w:t>
      </w:r>
      <w:r w:rsidRPr="00517D1A">
        <w:rPr>
          <w:color w:val="000000"/>
          <w:sz w:val="28"/>
          <w:szCs w:val="28"/>
        </w:rPr>
        <w:t xml:space="preserve">by </w:t>
      </w:r>
      <w:r w:rsidR="00F5165B">
        <w:rPr>
          <w:color w:val="000000"/>
          <w:sz w:val="28"/>
          <w:szCs w:val="28"/>
        </w:rPr>
        <w:t>3.1</w:t>
      </w:r>
      <w:r w:rsidRPr="00517D1A">
        <w:rPr>
          <w:color w:val="000000"/>
          <w:sz w:val="28"/>
          <w:szCs w:val="28"/>
        </w:rPr>
        <w:t xml:space="preserve">% and its share in total trade </w:t>
      </w:r>
      <w:r w:rsidRPr="00517D1A">
        <w:rPr>
          <w:color w:val="000000"/>
          <w:sz w:val="28"/>
        </w:rPr>
        <w:t>dropped</w:t>
      </w:r>
      <w:r w:rsidRPr="00517D1A">
        <w:rPr>
          <w:color w:val="000000"/>
          <w:sz w:val="28"/>
          <w:szCs w:val="28"/>
        </w:rPr>
        <w:t xml:space="preserve"> </w:t>
      </w:r>
      <w:r w:rsidRPr="00517D1A">
        <w:rPr>
          <w:color w:val="000000"/>
          <w:sz w:val="28"/>
        </w:rPr>
        <w:t>from</w:t>
      </w:r>
      <w:r w:rsidR="00DE3893" w:rsidRPr="00517D1A">
        <w:rPr>
          <w:color w:val="000000"/>
          <w:sz w:val="28"/>
          <w:szCs w:val="28"/>
        </w:rPr>
        <w:t xml:space="preserve"> </w:t>
      </w:r>
      <w:r w:rsidR="004B5D46" w:rsidRPr="00517D1A">
        <w:rPr>
          <w:color w:val="000000"/>
          <w:sz w:val="28"/>
          <w:szCs w:val="28"/>
        </w:rPr>
        <w:t>12.8</w:t>
      </w:r>
      <w:r w:rsidR="00DE3893" w:rsidRPr="00517D1A">
        <w:rPr>
          <w:color w:val="000000"/>
          <w:sz w:val="28"/>
          <w:szCs w:val="28"/>
        </w:rPr>
        <w:t xml:space="preserve">% a year earlier to </w:t>
      </w:r>
      <w:r w:rsidR="00DF267E" w:rsidRPr="00517D1A">
        <w:rPr>
          <w:color w:val="000000"/>
          <w:sz w:val="28"/>
          <w:szCs w:val="28"/>
        </w:rPr>
        <w:t>11.</w:t>
      </w:r>
      <w:r w:rsidR="00F5165B">
        <w:rPr>
          <w:color w:val="000000"/>
          <w:sz w:val="28"/>
          <w:szCs w:val="28"/>
        </w:rPr>
        <w:t>3</w:t>
      </w:r>
      <w:r w:rsidR="00DE3893" w:rsidRPr="00517D1A">
        <w:rPr>
          <w:color w:val="000000"/>
          <w:sz w:val="28"/>
          <w:szCs w:val="28"/>
        </w:rPr>
        <w:t>%</w:t>
      </w:r>
      <w:r w:rsidRPr="00517D1A">
        <w:rPr>
          <w:color w:val="000000"/>
          <w:sz w:val="28"/>
          <w:szCs w:val="28"/>
        </w:rPr>
        <w:t xml:space="preserve">. </w:t>
      </w:r>
    </w:p>
    <w:p w14:paraId="4C6EAA9E" w14:textId="77777777" w:rsidR="005A7012" w:rsidRPr="004B2860" w:rsidRDefault="005A7012" w:rsidP="0046197A">
      <w:pPr>
        <w:tabs>
          <w:tab w:val="left" w:pos="1080"/>
        </w:tabs>
        <w:overflowPunct w:val="0"/>
        <w:spacing w:line="360" w:lineRule="atLeast"/>
        <w:jc w:val="both"/>
        <w:rPr>
          <w:color w:val="000000"/>
          <w:sz w:val="28"/>
          <w:szCs w:val="28"/>
          <w:highlight w:val="yellow"/>
          <w:shd w:val="pct15" w:color="auto" w:fill="FFFFFF"/>
        </w:rPr>
      </w:pPr>
    </w:p>
    <w:p w14:paraId="370E6140" w14:textId="34331641" w:rsidR="0046197A" w:rsidRPr="004B2860" w:rsidRDefault="002C35D3" w:rsidP="0046197A">
      <w:pPr>
        <w:tabs>
          <w:tab w:val="left" w:pos="1080"/>
        </w:tabs>
        <w:overflowPunct w:val="0"/>
        <w:spacing w:line="360" w:lineRule="atLeast"/>
        <w:jc w:val="both"/>
        <w:rPr>
          <w:color w:val="000000"/>
          <w:sz w:val="28"/>
          <w:szCs w:val="28"/>
          <w:highlight w:val="yellow"/>
          <w:shd w:val="pct15" w:color="auto" w:fill="FFFFFF"/>
        </w:rPr>
      </w:pPr>
      <w:r w:rsidRPr="00F8041D">
        <w:rPr>
          <w:noProof/>
          <w:color w:val="000000"/>
          <w:sz w:val="28"/>
          <w:szCs w:val="28"/>
        </w:rPr>
        <w:drawing>
          <wp:inline distT="0" distB="0" distL="0" distR="0" wp14:anchorId="71912736" wp14:editId="4DAA9527">
            <wp:extent cx="5734800" cy="3498256"/>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4800" cy="3498256"/>
                    </a:xfrm>
                    <a:prstGeom prst="rect">
                      <a:avLst/>
                    </a:prstGeom>
                    <a:noFill/>
                    <a:ln>
                      <a:noFill/>
                    </a:ln>
                  </pic:spPr>
                </pic:pic>
              </a:graphicData>
            </a:graphic>
          </wp:inline>
        </w:drawing>
      </w:r>
    </w:p>
    <w:p w14:paraId="051DFE4D" w14:textId="5C7E1C2E" w:rsidR="00C83CEC" w:rsidRPr="005465AC" w:rsidRDefault="005465AC" w:rsidP="005465AC">
      <w:pPr>
        <w:widowControl/>
        <w:rPr>
          <w:sz w:val="28"/>
          <w:szCs w:val="28"/>
        </w:rPr>
      </w:pPr>
      <w:r w:rsidRPr="005465AC">
        <w:rPr>
          <w:sz w:val="28"/>
          <w:szCs w:val="28"/>
        </w:rPr>
        <w:br w:type="page"/>
      </w:r>
    </w:p>
    <w:p w14:paraId="7B8BB50E" w14:textId="6373786A" w:rsidR="0046197A" w:rsidRPr="00517D1A" w:rsidRDefault="0046197A" w:rsidP="002228BA">
      <w:pPr>
        <w:numPr>
          <w:ilvl w:val="1"/>
          <w:numId w:val="3"/>
        </w:numPr>
        <w:tabs>
          <w:tab w:val="left" w:pos="1080"/>
        </w:tabs>
        <w:spacing w:line="360" w:lineRule="atLeast"/>
        <w:jc w:val="both"/>
        <w:rPr>
          <w:color w:val="000000"/>
          <w:sz w:val="28"/>
          <w:szCs w:val="28"/>
        </w:rPr>
      </w:pPr>
      <w:r w:rsidRPr="00545365">
        <w:rPr>
          <w:i/>
          <w:color w:val="000000"/>
          <w:sz w:val="28"/>
          <w:szCs w:val="28"/>
        </w:rPr>
        <w:lastRenderedPageBreak/>
        <w:t xml:space="preserve">Air freight </w:t>
      </w:r>
      <w:r w:rsidRPr="00517D1A">
        <w:rPr>
          <w:i/>
          <w:color w:val="000000"/>
          <w:sz w:val="28"/>
          <w:szCs w:val="28"/>
        </w:rPr>
        <w:t>throughput</w:t>
      </w:r>
      <w:r w:rsidRPr="00517D1A">
        <w:rPr>
          <w:color w:val="000000"/>
          <w:sz w:val="28"/>
          <w:szCs w:val="28"/>
        </w:rPr>
        <w:t xml:space="preserve"> </w:t>
      </w:r>
      <w:r w:rsidR="00AE088D" w:rsidRPr="00517D1A">
        <w:rPr>
          <w:color w:val="000000"/>
          <w:sz w:val="28"/>
        </w:rPr>
        <w:t>increased</w:t>
      </w:r>
      <w:r w:rsidR="00AE088D" w:rsidRPr="00517D1A">
        <w:rPr>
          <w:color w:val="000000"/>
          <w:sz w:val="28"/>
          <w:szCs w:val="28"/>
        </w:rPr>
        <w:t xml:space="preserve"> </w:t>
      </w:r>
      <w:r w:rsidR="00773CEE">
        <w:rPr>
          <w:color w:val="000000"/>
          <w:sz w:val="28"/>
          <w:szCs w:val="28"/>
        </w:rPr>
        <w:t xml:space="preserve">further </w:t>
      </w:r>
      <w:r w:rsidR="00AE088D" w:rsidRPr="00517D1A">
        <w:rPr>
          <w:color w:val="000000"/>
          <w:sz w:val="28"/>
          <w:szCs w:val="28"/>
        </w:rPr>
        <w:t xml:space="preserve">by </w:t>
      </w:r>
      <w:r w:rsidR="00F5165B">
        <w:rPr>
          <w:color w:val="000000"/>
          <w:sz w:val="28"/>
          <w:szCs w:val="28"/>
        </w:rPr>
        <w:t>16.8</w:t>
      </w:r>
      <w:r w:rsidRPr="00517D1A">
        <w:rPr>
          <w:color w:val="000000"/>
          <w:sz w:val="28"/>
          <w:szCs w:val="28"/>
        </w:rPr>
        <w:t xml:space="preserve">% </w:t>
      </w:r>
      <w:r w:rsidR="000074AB" w:rsidRPr="00517D1A">
        <w:rPr>
          <w:color w:val="000000"/>
          <w:sz w:val="28"/>
          <w:szCs w:val="28"/>
        </w:rPr>
        <w:t xml:space="preserve">year-on-year </w:t>
      </w:r>
      <w:r w:rsidR="00AE088D" w:rsidRPr="00517D1A">
        <w:rPr>
          <w:color w:val="000000"/>
          <w:sz w:val="28"/>
          <w:szCs w:val="28"/>
        </w:rPr>
        <w:t xml:space="preserve">to </w:t>
      </w:r>
      <w:r w:rsidR="00AE088D" w:rsidRPr="00517D1A">
        <w:rPr>
          <w:color w:val="000000"/>
          <w:sz w:val="28"/>
        </w:rPr>
        <w:t>1</w:t>
      </w:r>
      <w:r w:rsidR="00AE088D" w:rsidRPr="00517D1A">
        <w:rPr>
          <w:color w:val="000000"/>
          <w:sz w:val="28"/>
          <w:szCs w:val="28"/>
        </w:rPr>
        <w:t>.</w:t>
      </w:r>
      <w:r w:rsidR="004B5B21" w:rsidRPr="00517D1A">
        <w:rPr>
          <w:color w:val="000000"/>
          <w:sz w:val="28"/>
          <w:szCs w:val="28"/>
        </w:rPr>
        <w:t>2</w:t>
      </w:r>
      <w:r w:rsidR="00AE088D" w:rsidRPr="00517D1A">
        <w:rPr>
          <w:color w:val="000000"/>
          <w:sz w:val="28"/>
          <w:szCs w:val="28"/>
        </w:rPr>
        <w:t xml:space="preserve"> million tonnes </w:t>
      </w:r>
      <w:r w:rsidR="004275F3" w:rsidRPr="00517D1A">
        <w:rPr>
          <w:color w:val="000000"/>
          <w:sz w:val="28"/>
          <w:szCs w:val="28"/>
        </w:rPr>
        <w:t xml:space="preserve">in the </w:t>
      </w:r>
      <w:r w:rsidR="004B5B21" w:rsidRPr="00517D1A">
        <w:rPr>
          <w:color w:val="000000"/>
          <w:sz w:val="28"/>
          <w:szCs w:val="28"/>
        </w:rPr>
        <w:t>second</w:t>
      </w:r>
      <w:r w:rsidR="004275F3" w:rsidRPr="00517D1A">
        <w:rPr>
          <w:color w:val="000000"/>
          <w:sz w:val="28"/>
          <w:szCs w:val="28"/>
        </w:rPr>
        <w:t xml:space="preserve"> quarter</w:t>
      </w:r>
      <w:r w:rsidRPr="00517D1A">
        <w:rPr>
          <w:color w:val="000000"/>
          <w:sz w:val="28"/>
          <w:szCs w:val="28"/>
        </w:rPr>
        <w:t xml:space="preserve">.  The value of trade by air </w:t>
      </w:r>
      <w:r w:rsidR="00AE3702" w:rsidRPr="00517D1A">
        <w:rPr>
          <w:color w:val="000000"/>
          <w:sz w:val="28"/>
        </w:rPr>
        <w:t>rose</w:t>
      </w:r>
      <w:r w:rsidRPr="00517D1A">
        <w:rPr>
          <w:color w:val="000000"/>
          <w:sz w:val="28"/>
          <w:szCs w:val="28"/>
        </w:rPr>
        <w:t xml:space="preserve"> by </w:t>
      </w:r>
      <w:r w:rsidR="008373A8">
        <w:rPr>
          <w:color w:val="000000"/>
          <w:sz w:val="28"/>
          <w:szCs w:val="28"/>
        </w:rPr>
        <w:t xml:space="preserve">another </w:t>
      </w:r>
      <w:r w:rsidR="00F5165B">
        <w:rPr>
          <w:color w:val="000000"/>
          <w:sz w:val="28"/>
          <w:szCs w:val="28"/>
        </w:rPr>
        <w:t>6.9</w:t>
      </w:r>
      <w:r w:rsidR="00A06CD1" w:rsidRPr="00517D1A">
        <w:rPr>
          <w:color w:val="000000"/>
          <w:sz w:val="28"/>
          <w:szCs w:val="28"/>
        </w:rPr>
        <w:t>%,</w:t>
      </w:r>
      <w:r w:rsidR="00986762" w:rsidRPr="00517D1A">
        <w:rPr>
          <w:color w:val="000000"/>
          <w:sz w:val="28"/>
          <w:szCs w:val="28"/>
        </w:rPr>
        <w:t xml:space="preserve"> </w:t>
      </w:r>
      <w:r w:rsidR="00A06CD1" w:rsidRPr="00517D1A">
        <w:rPr>
          <w:color w:val="000000"/>
          <w:sz w:val="28"/>
        </w:rPr>
        <w:t>though</w:t>
      </w:r>
      <w:r w:rsidR="00A06CD1" w:rsidRPr="00517D1A">
        <w:rPr>
          <w:color w:val="000000"/>
          <w:sz w:val="28"/>
          <w:szCs w:val="28"/>
        </w:rPr>
        <w:t xml:space="preserve"> </w:t>
      </w:r>
      <w:r w:rsidRPr="00517D1A">
        <w:rPr>
          <w:color w:val="000000"/>
          <w:sz w:val="28"/>
          <w:szCs w:val="28"/>
        </w:rPr>
        <w:t xml:space="preserve">its share in total trade </w:t>
      </w:r>
      <w:r w:rsidRPr="00517D1A">
        <w:rPr>
          <w:color w:val="000000"/>
          <w:sz w:val="28"/>
        </w:rPr>
        <w:t>decreased</w:t>
      </w:r>
      <w:r w:rsidRPr="00517D1A">
        <w:rPr>
          <w:color w:val="000000"/>
          <w:sz w:val="28"/>
          <w:szCs w:val="28"/>
        </w:rPr>
        <w:t xml:space="preserve"> from </w:t>
      </w:r>
      <w:r w:rsidR="00545365" w:rsidRPr="00517D1A">
        <w:rPr>
          <w:color w:val="000000"/>
          <w:sz w:val="28"/>
          <w:szCs w:val="28"/>
        </w:rPr>
        <w:t>46.8</w:t>
      </w:r>
      <w:r w:rsidRPr="00517D1A">
        <w:rPr>
          <w:color w:val="000000"/>
          <w:sz w:val="28"/>
          <w:szCs w:val="28"/>
        </w:rPr>
        <w:t xml:space="preserve">% to </w:t>
      </w:r>
      <w:r w:rsidR="00545365" w:rsidRPr="00517D1A">
        <w:rPr>
          <w:color w:val="000000"/>
          <w:sz w:val="28"/>
        </w:rPr>
        <w:t>4</w:t>
      </w:r>
      <w:r w:rsidR="00F5165B">
        <w:rPr>
          <w:color w:val="000000"/>
          <w:sz w:val="28"/>
        </w:rPr>
        <w:t>5.6</w:t>
      </w:r>
      <w:r w:rsidRPr="00517D1A">
        <w:rPr>
          <w:color w:val="000000"/>
          <w:sz w:val="28"/>
          <w:szCs w:val="28"/>
        </w:rPr>
        <w:t>%.</w:t>
      </w:r>
    </w:p>
    <w:p w14:paraId="39ADC4C9" w14:textId="5BB2B947" w:rsidR="0046197A" w:rsidRPr="004B2860" w:rsidRDefault="0046197A" w:rsidP="0046197A">
      <w:pPr>
        <w:tabs>
          <w:tab w:val="left" w:pos="1080"/>
        </w:tabs>
        <w:overflowPunct w:val="0"/>
        <w:spacing w:line="360" w:lineRule="atLeast"/>
        <w:jc w:val="both"/>
        <w:rPr>
          <w:color w:val="000000"/>
          <w:sz w:val="28"/>
          <w:szCs w:val="28"/>
          <w:highlight w:val="yellow"/>
          <w:shd w:val="pct15" w:color="auto" w:fill="FFFFFF"/>
        </w:rPr>
      </w:pPr>
    </w:p>
    <w:p w14:paraId="1FFD02B7" w14:textId="6A334ED3" w:rsidR="00EB08A1" w:rsidRPr="004B2860" w:rsidRDefault="00CA25A0" w:rsidP="0046197A">
      <w:pPr>
        <w:tabs>
          <w:tab w:val="left" w:pos="1080"/>
        </w:tabs>
        <w:overflowPunct w:val="0"/>
        <w:spacing w:line="360" w:lineRule="atLeast"/>
        <w:jc w:val="both"/>
        <w:rPr>
          <w:sz w:val="28"/>
          <w:szCs w:val="28"/>
          <w:highlight w:val="yellow"/>
          <w:shd w:val="pct15" w:color="auto" w:fill="FFFFFF"/>
        </w:rPr>
      </w:pPr>
      <w:r w:rsidRPr="003F26AD">
        <w:rPr>
          <w:noProof/>
          <w:sz w:val="28"/>
          <w:szCs w:val="28"/>
        </w:rPr>
        <w:drawing>
          <wp:inline distT="0" distB="0" distL="0" distR="0" wp14:anchorId="455DCE77" wp14:editId="4971F058">
            <wp:extent cx="5733415" cy="3496945"/>
            <wp:effectExtent l="0" t="0" r="0" b="825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496945"/>
                    </a:xfrm>
                    <a:prstGeom prst="rect">
                      <a:avLst/>
                    </a:prstGeom>
                    <a:noFill/>
                    <a:ln>
                      <a:noFill/>
                    </a:ln>
                  </pic:spPr>
                </pic:pic>
              </a:graphicData>
            </a:graphic>
          </wp:inline>
        </w:drawing>
      </w:r>
    </w:p>
    <w:p w14:paraId="27C2DC5B" w14:textId="0267D469" w:rsidR="0046197A" w:rsidRPr="004B2860" w:rsidRDefault="0046197A" w:rsidP="0046197A">
      <w:pPr>
        <w:tabs>
          <w:tab w:val="left" w:pos="1080"/>
        </w:tabs>
        <w:overflowPunct w:val="0"/>
        <w:spacing w:line="360" w:lineRule="atLeast"/>
        <w:jc w:val="both"/>
        <w:rPr>
          <w:b/>
          <w:color w:val="000000"/>
          <w:sz w:val="28"/>
          <w:szCs w:val="28"/>
          <w:highlight w:val="yellow"/>
          <w:shd w:val="pct15" w:color="auto" w:fill="FFFFFF"/>
        </w:rPr>
      </w:pPr>
    </w:p>
    <w:p w14:paraId="798C64D9" w14:textId="77777777" w:rsidR="0046197A" w:rsidRPr="00634B1F" w:rsidRDefault="0046197A" w:rsidP="0046197A">
      <w:pPr>
        <w:tabs>
          <w:tab w:val="left" w:pos="1080"/>
        </w:tabs>
        <w:overflowPunct w:val="0"/>
        <w:spacing w:line="360" w:lineRule="atLeast"/>
        <w:jc w:val="both"/>
        <w:rPr>
          <w:b/>
          <w:color w:val="000000"/>
          <w:sz w:val="28"/>
          <w:szCs w:val="28"/>
          <w:highlight w:val="yellow"/>
        </w:rPr>
      </w:pPr>
    </w:p>
    <w:p w14:paraId="1A05D836" w14:textId="77777777" w:rsidR="0046197A" w:rsidRPr="00634B1F" w:rsidRDefault="0046197A" w:rsidP="0046197A">
      <w:pPr>
        <w:tabs>
          <w:tab w:val="left" w:pos="1080"/>
        </w:tabs>
        <w:overflowPunct w:val="0"/>
        <w:spacing w:line="360" w:lineRule="atLeast"/>
        <w:jc w:val="both"/>
        <w:rPr>
          <w:b/>
          <w:color w:val="000000"/>
          <w:sz w:val="28"/>
          <w:szCs w:val="28"/>
        </w:rPr>
      </w:pPr>
      <w:r w:rsidRPr="00634B1F">
        <w:rPr>
          <w:b/>
          <w:color w:val="000000"/>
          <w:sz w:val="28"/>
          <w:szCs w:val="28"/>
        </w:rPr>
        <w:t>Transport</w:t>
      </w:r>
    </w:p>
    <w:p w14:paraId="6D44615D" w14:textId="77777777" w:rsidR="0046197A" w:rsidRPr="00634B1F" w:rsidRDefault="0046197A" w:rsidP="0046197A">
      <w:pPr>
        <w:tabs>
          <w:tab w:val="left" w:pos="1080"/>
        </w:tabs>
        <w:overflowPunct w:val="0"/>
        <w:spacing w:line="360" w:lineRule="atLeast"/>
        <w:jc w:val="both"/>
        <w:rPr>
          <w:b/>
          <w:color w:val="000000"/>
          <w:sz w:val="28"/>
          <w:szCs w:val="28"/>
          <w:highlight w:val="yellow"/>
        </w:rPr>
      </w:pPr>
    </w:p>
    <w:p w14:paraId="73580D24" w14:textId="4DC7B3DE" w:rsidR="0046197A" w:rsidRPr="00517D1A" w:rsidRDefault="0084003F" w:rsidP="00797C5F">
      <w:pPr>
        <w:numPr>
          <w:ilvl w:val="1"/>
          <w:numId w:val="3"/>
        </w:numPr>
        <w:tabs>
          <w:tab w:val="left" w:pos="1080"/>
        </w:tabs>
        <w:spacing w:line="360" w:lineRule="atLeast"/>
        <w:jc w:val="both"/>
        <w:rPr>
          <w:color w:val="000000"/>
          <w:sz w:val="28"/>
          <w:shd w:val="pct15" w:color="auto" w:fill="FFFFFF"/>
        </w:rPr>
      </w:pPr>
      <w:r w:rsidRPr="00E53C95">
        <w:rPr>
          <w:color w:val="000000"/>
          <w:sz w:val="28"/>
          <w:szCs w:val="28"/>
        </w:rPr>
        <w:t xml:space="preserve">Traffic flows </w:t>
      </w:r>
      <w:r w:rsidR="00F03B04" w:rsidRPr="00E53C95">
        <w:rPr>
          <w:color w:val="000000"/>
          <w:sz w:val="28"/>
          <w:szCs w:val="28"/>
        </w:rPr>
        <w:t xml:space="preserve">for </w:t>
      </w:r>
      <w:r w:rsidR="00953854">
        <w:rPr>
          <w:color w:val="000000"/>
          <w:sz w:val="28"/>
          <w:szCs w:val="28"/>
        </w:rPr>
        <w:t>most</w:t>
      </w:r>
      <w:r w:rsidR="00953854" w:rsidRPr="00E53C95">
        <w:rPr>
          <w:color w:val="000000"/>
          <w:sz w:val="28"/>
          <w:szCs w:val="28"/>
        </w:rPr>
        <w:t xml:space="preserve"> </w:t>
      </w:r>
      <w:r w:rsidR="00F03B04" w:rsidRPr="00517D1A">
        <w:rPr>
          <w:color w:val="000000"/>
          <w:sz w:val="28"/>
          <w:szCs w:val="28"/>
        </w:rPr>
        <w:t xml:space="preserve">modes </w:t>
      </w:r>
      <w:r w:rsidR="0046197A" w:rsidRPr="00517D1A">
        <w:rPr>
          <w:color w:val="000000"/>
          <w:sz w:val="28"/>
          <w:szCs w:val="28"/>
        </w:rPr>
        <w:t xml:space="preserve">of cross-boundary passenger transport </w:t>
      </w:r>
      <w:r w:rsidR="005230E8">
        <w:rPr>
          <w:color w:val="000000"/>
          <w:sz w:val="28"/>
          <w:szCs w:val="28"/>
        </w:rPr>
        <w:t xml:space="preserve">showed steady performance </w:t>
      </w:r>
      <w:r w:rsidR="005D7D6D" w:rsidRPr="00517D1A">
        <w:rPr>
          <w:color w:val="000000"/>
          <w:sz w:val="28"/>
          <w:szCs w:val="28"/>
        </w:rPr>
        <w:t>in the second quarter</w:t>
      </w:r>
      <w:r w:rsidR="0046197A" w:rsidRPr="00517D1A">
        <w:rPr>
          <w:color w:val="000000"/>
          <w:sz w:val="28"/>
          <w:szCs w:val="28"/>
        </w:rPr>
        <w:t>.</w:t>
      </w:r>
      <w:r w:rsidR="0046197A" w:rsidRPr="00517D1A">
        <w:rPr>
          <w:color w:val="000000"/>
          <w:sz w:val="28"/>
        </w:rPr>
        <w:t xml:space="preserve">  A</w:t>
      </w:r>
      <w:r w:rsidR="0046197A" w:rsidRPr="00517D1A">
        <w:rPr>
          <w:color w:val="000000"/>
          <w:sz w:val="28"/>
          <w:szCs w:val="28"/>
        </w:rPr>
        <w:t xml:space="preserve">ir passenger trips </w:t>
      </w:r>
      <w:r w:rsidR="00EE23B8" w:rsidRPr="00517D1A">
        <w:rPr>
          <w:color w:val="000000"/>
          <w:sz w:val="28"/>
          <w:szCs w:val="28"/>
        </w:rPr>
        <w:t xml:space="preserve">edged </w:t>
      </w:r>
      <w:r w:rsidR="00541064" w:rsidRPr="00517D1A">
        <w:rPr>
          <w:color w:val="000000"/>
          <w:sz w:val="28"/>
          <w:szCs w:val="28"/>
        </w:rPr>
        <w:t>down</w:t>
      </w:r>
      <w:r w:rsidR="00C976AC" w:rsidRPr="00517D1A">
        <w:rPr>
          <w:color w:val="000000"/>
          <w:sz w:val="28"/>
          <w:szCs w:val="28"/>
        </w:rPr>
        <w:t xml:space="preserve"> from </w:t>
      </w:r>
      <w:r w:rsidR="00634B1F" w:rsidRPr="00517D1A">
        <w:rPr>
          <w:color w:val="000000"/>
          <w:sz w:val="28"/>
        </w:rPr>
        <w:t>12.7</w:t>
      </w:r>
      <w:r w:rsidR="00634B1F" w:rsidRPr="00517D1A">
        <w:rPr>
          <w:color w:val="000000"/>
          <w:sz w:val="28"/>
          <w:szCs w:val="28"/>
        </w:rPr>
        <w:t> million</w:t>
      </w:r>
      <w:r w:rsidR="005D7D6D" w:rsidRPr="00517D1A">
        <w:rPr>
          <w:color w:val="000000"/>
          <w:sz w:val="28"/>
          <w:szCs w:val="28"/>
        </w:rPr>
        <w:t xml:space="preserve"> </w:t>
      </w:r>
      <w:r w:rsidR="00634B1F" w:rsidRPr="00517D1A">
        <w:rPr>
          <w:color w:val="000000"/>
          <w:sz w:val="28"/>
          <w:szCs w:val="28"/>
        </w:rPr>
        <w:t>trips</w:t>
      </w:r>
      <w:r w:rsidR="00C976AC" w:rsidRPr="00517D1A">
        <w:rPr>
          <w:color w:val="000000"/>
          <w:sz w:val="28"/>
          <w:szCs w:val="28"/>
        </w:rPr>
        <w:t xml:space="preserve"> in the preceding quarter to </w:t>
      </w:r>
      <w:r w:rsidR="009D0DCE" w:rsidRPr="00517D1A">
        <w:rPr>
          <w:color w:val="000000"/>
          <w:sz w:val="28"/>
        </w:rPr>
        <w:t>12</w:t>
      </w:r>
      <w:r w:rsidR="0046197A" w:rsidRPr="00517D1A">
        <w:rPr>
          <w:color w:val="000000"/>
          <w:sz w:val="28"/>
        </w:rPr>
        <w:t>.</w:t>
      </w:r>
      <w:r w:rsidR="00EE23B8" w:rsidRPr="00517D1A">
        <w:rPr>
          <w:color w:val="000000"/>
          <w:sz w:val="28"/>
        </w:rPr>
        <w:t>6</w:t>
      </w:r>
      <w:r w:rsidR="00C976AC" w:rsidRPr="00517D1A">
        <w:rPr>
          <w:color w:val="000000"/>
          <w:sz w:val="28"/>
          <w:szCs w:val="28"/>
        </w:rPr>
        <w:t> million</w:t>
      </w:r>
      <w:r w:rsidR="00F5165B">
        <w:rPr>
          <w:color w:val="000000"/>
          <w:sz w:val="28"/>
          <w:szCs w:val="28"/>
        </w:rPr>
        <w:t xml:space="preserve"> trips, </w:t>
      </w:r>
      <w:r w:rsidR="00DC491C">
        <w:rPr>
          <w:sz w:val="28"/>
        </w:rPr>
        <w:t>while</w:t>
      </w:r>
      <w:r w:rsidR="00953854">
        <w:rPr>
          <w:sz w:val="28"/>
        </w:rPr>
        <w:t xml:space="preserve"> </w:t>
      </w:r>
      <w:r w:rsidR="00953854">
        <w:rPr>
          <w:color w:val="000000"/>
          <w:sz w:val="28"/>
          <w:szCs w:val="28"/>
        </w:rPr>
        <w:t>w</w:t>
      </w:r>
      <w:r w:rsidR="00953854" w:rsidRPr="00517D1A">
        <w:rPr>
          <w:color w:val="000000"/>
          <w:sz w:val="28"/>
          <w:szCs w:val="28"/>
        </w:rPr>
        <w:t>ater</w:t>
      </w:r>
      <w:r w:rsidR="00953854" w:rsidRPr="00517D1A">
        <w:rPr>
          <w:color w:val="000000"/>
          <w:sz w:val="28"/>
          <w:szCs w:val="28"/>
        </w:rPr>
        <w:noBreakHyphen/>
        <w:t>borne cross</w:t>
      </w:r>
      <w:r w:rsidR="00953854" w:rsidRPr="00517D1A">
        <w:rPr>
          <w:color w:val="000000"/>
          <w:sz w:val="28"/>
          <w:szCs w:val="28"/>
        </w:rPr>
        <w:noBreakHyphen/>
        <w:t xml:space="preserve">boundary passenger trips </w:t>
      </w:r>
      <w:r w:rsidR="00953854">
        <w:rPr>
          <w:color w:val="000000"/>
          <w:sz w:val="28"/>
          <w:szCs w:val="28"/>
        </w:rPr>
        <w:t xml:space="preserve">fell from </w:t>
      </w:r>
      <w:r w:rsidR="00953854" w:rsidRPr="00517D1A">
        <w:rPr>
          <w:color w:val="000000"/>
          <w:sz w:val="28"/>
        </w:rPr>
        <w:t>2.4</w:t>
      </w:r>
      <w:r w:rsidR="00953854" w:rsidRPr="00517D1A">
        <w:rPr>
          <w:color w:val="000000"/>
          <w:sz w:val="28"/>
          <w:szCs w:val="28"/>
        </w:rPr>
        <w:t> million trips</w:t>
      </w:r>
      <w:r w:rsidR="00953854">
        <w:rPr>
          <w:color w:val="000000"/>
          <w:sz w:val="28"/>
          <w:szCs w:val="28"/>
        </w:rPr>
        <w:t xml:space="preserve"> to </w:t>
      </w:r>
      <w:r w:rsidR="00953854" w:rsidRPr="00517D1A">
        <w:rPr>
          <w:color w:val="000000"/>
          <w:sz w:val="28"/>
        </w:rPr>
        <w:t>2.</w:t>
      </w:r>
      <w:r w:rsidR="00953854">
        <w:rPr>
          <w:color w:val="000000"/>
          <w:sz w:val="28"/>
        </w:rPr>
        <w:t>1</w:t>
      </w:r>
      <w:r w:rsidR="00953854" w:rsidRPr="00517D1A">
        <w:rPr>
          <w:color w:val="000000"/>
          <w:sz w:val="28"/>
          <w:szCs w:val="28"/>
        </w:rPr>
        <w:t> million trips</w:t>
      </w:r>
      <w:r w:rsidR="00953854" w:rsidRPr="001041CE">
        <w:rPr>
          <w:color w:val="000000"/>
          <w:sz w:val="28"/>
        </w:rPr>
        <w:t xml:space="preserve">.  </w:t>
      </w:r>
      <w:r w:rsidR="005D7D6D" w:rsidRPr="00517D1A">
        <w:rPr>
          <w:sz w:val="28"/>
          <w:szCs w:val="28"/>
        </w:rPr>
        <w:t>As to land-based</w:t>
      </w:r>
      <w:r w:rsidR="005D7D6D" w:rsidRPr="00517D1A">
        <w:rPr>
          <w:color w:val="000000"/>
          <w:sz w:val="28"/>
          <w:szCs w:val="28"/>
        </w:rPr>
        <w:t xml:space="preserve"> </w:t>
      </w:r>
      <w:r w:rsidR="005D7D6D" w:rsidRPr="00517D1A">
        <w:rPr>
          <w:sz w:val="28"/>
          <w:szCs w:val="28"/>
        </w:rPr>
        <w:t>cross-boundary traffic</w:t>
      </w:r>
      <w:r w:rsidR="005D7D6D" w:rsidRPr="00517D1A">
        <w:rPr>
          <w:color w:val="000000"/>
          <w:sz w:val="28"/>
          <w:szCs w:val="28"/>
        </w:rPr>
        <w:t xml:space="preserve">, passenger trips edged up from 58.3 million to 58.4 million, </w:t>
      </w:r>
      <w:r w:rsidR="0046197A" w:rsidRPr="00517D1A">
        <w:rPr>
          <w:color w:val="000000"/>
          <w:sz w:val="28"/>
          <w:szCs w:val="28"/>
        </w:rPr>
        <w:t>while average daily cross</w:t>
      </w:r>
      <w:r w:rsidR="0046197A" w:rsidRPr="00517D1A">
        <w:rPr>
          <w:color w:val="000000"/>
          <w:sz w:val="28"/>
          <w:szCs w:val="28"/>
        </w:rPr>
        <w:noBreakHyphen/>
        <w:t xml:space="preserve">boundary vehicle movements </w:t>
      </w:r>
      <w:r w:rsidR="0023077E" w:rsidRPr="00517D1A">
        <w:rPr>
          <w:color w:val="000000"/>
          <w:sz w:val="28"/>
        </w:rPr>
        <w:t>increased</w:t>
      </w:r>
      <w:r w:rsidR="000B7054" w:rsidRPr="00517D1A">
        <w:rPr>
          <w:color w:val="000000"/>
          <w:sz w:val="28"/>
          <w:szCs w:val="28"/>
        </w:rPr>
        <w:t xml:space="preserve"> </w:t>
      </w:r>
      <w:r w:rsidR="0023077E" w:rsidRPr="00517D1A">
        <w:rPr>
          <w:color w:val="000000"/>
          <w:sz w:val="28"/>
          <w:szCs w:val="28"/>
        </w:rPr>
        <w:t xml:space="preserve">further </w:t>
      </w:r>
      <w:r w:rsidR="000B7054" w:rsidRPr="00517D1A">
        <w:rPr>
          <w:color w:val="000000"/>
          <w:sz w:val="28"/>
          <w:szCs w:val="28"/>
        </w:rPr>
        <w:t xml:space="preserve">by </w:t>
      </w:r>
      <w:r w:rsidR="00F5165B">
        <w:rPr>
          <w:color w:val="000000"/>
          <w:sz w:val="28"/>
          <w:szCs w:val="28"/>
        </w:rPr>
        <w:t>6.3</w:t>
      </w:r>
      <w:r w:rsidR="000B7054" w:rsidRPr="00517D1A">
        <w:rPr>
          <w:color w:val="000000"/>
          <w:sz w:val="28"/>
          <w:szCs w:val="28"/>
        </w:rPr>
        <w:t xml:space="preserve">% </w:t>
      </w:r>
      <w:r w:rsidR="000B7054" w:rsidRPr="00517D1A">
        <w:rPr>
          <w:color w:val="000000"/>
          <w:sz w:val="28"/>
        </w:rPr>
        <w:t>over</w:t>
      </w:r>
      <w:r w:rsidR="000B7054" w:rsidRPr="00517D1A">
        <w:rPr>
          <w:color w:val="000000"/>
          <w:sz w:val="28"/>
          <w:szCs w:val="28"/>
        </w:rPr>
        <w:t xml:space="preserve"> the preceding quarter to </w:t>
      </w:r>
      <w:r w:rsidR="0023077E" w:rsidRPr="00517D1A">
        <w:rPr>
          <w:color w:val="000000"/>
          <w:sz w:val="28"/>
          <w:szCs w:val="28"/>
        </w:rPr>
        <w:t>4</w:t>
      </w:r>
      <w:r w:rsidR="00003CF0" w:rsidRPr="00517D1A">
        <w:rPr>
          <w:color w:val="000000"/>
          <w:sz w:val="28"/>
          <w:szCs w:val="28"/>
        </w:rPr>
        <w:t>1</w:t>
      </w:r>
      <w:r w:rsidR="0023077E" w:rsidRPr="00517D1A">
        <w:rPr>
          <w:color w:val="000000"/>
          <w:sz w:val="28"/>
          <w:szCs w:val="28"/>
        </w:rPr>
        <w:t> </w:t>
      </w:r>
      <w:r w:rsidR="00F5165B">
        <w:rPr>
          <w:color w:val="000000"/>
          <w:sz w:val="28"/>
          <w:szCs w:val="28"/>
        </w:rPr>
        <w:t>272</w:t>
      </w:r>
      <w:r w:rsidR="0046197A" w:rsidRPr="00517D1A">
        <w:rPr>
          <w:color w:val="000000"/>
          <w:sz w:val="28"/>
          <w:szCs w:val="28"/>
        </w:rPr>
        <w:t xml:space="preserve">.  </w:t>
      </w:r>
    </w:p>
    <w:p w14:paraId="6E299CCD" w14:textId="078F81D4" w:rsidR="0046197A" w:rsidRPr="0023077E" w:rsidRDefault="0046197A" w:rsidP="0046197A">
      <w:pPr>
        <w:tabs>
          <w:tab w:val="left" w:pos="1080"/>
        </w:tabs>
        <w:overflowPunct w:val="0"/>
        <w:spacing w:line="360" w:lineRule="atLeast"/>
        <w:jc w:val="both"/>
        <w:rPr>
          <w:b/>
          <w:color w:val="000000"/>
          <w:sz w:val="28"/>
          <w:szCs w:val="28"/>
        </w:rPr>
      </w:pPr>
    </w:p>
    <w:p w14:paraId="27745CE9" w14:textId="77777777" w:rsidR="00811134" w:rsidRPr="0023077E" w:rsidRDefault="00811134" w:rsidP="0046197A">
      <w:pPr>
        <w:tabs>
          <w:tab w:val="left" w:pos="1080"/>
        </w:tabs>
        <w:overflowPunct w:val="0"/>
        <w:spacing w:line="360" w:lineRule="atLeast"/>
        <w:jc w:val="both"/>
        <w:rPr>
          <w:b/>
          <w:color w:val="000000"/>
          <w:sz w:val="28"/>
          <w:szCs w:val="28"/>
        </w:rPr>
      </w:pPr>
    </w:p>
    <w:p w14:paraId="7206CFBA" w14:textId="77777777" w:rsidR="0094568D" w:rsidRPr="0023077E" w:rsidRDefault="0094568D">
      <w:pPr>
        <w:widowControl/>
        <w:rPr>
          <w:b/>
          <w:color w:val="000000"/>
          <w:sz w:val="28"/>
          <w:lang w:val="en-US"/>
        </w:rPr>
      </w:pPr>
      <w:r w:rsidRPr="0023077E">
        <w:rPr>
          <w:b/>
          <w:color w:val="000000"/>
          <w:sz w:val="28"/>
          <w:lang w:val="en-US"/>
        </w:rPr>
        <w:br w:type="page"/>
      </w:r>
    </w:p>
    <w:p w14:paraId="22E69A77" w14:textId="2D22127E" w:rsidR="002228BA" w:rsidRPr="00AF47B8" w:rsidRDefault="002228BA" w:rsidP="00DE005A">
      <w:pPr>
        <w:tabs>
          <w:tab w:val="left" w:pos="1080"/>
        </w:tabs>
        <w:overflowPunct w:val="0"/>
        <w:spacing w:line="360" w:lineRule="atLeast"/>
        <w:jc w:val="both"/>
        <w:rPr>
          <w:b/>
          <w:color w:val="000000"/>
          <w:sz w:val="28"/>
        </w:rPr>
      </w:pPr>
      <w:r w:rsidRPr="00AF47B8">
        <w:rPr>
          <w:b/>
          <w:color w:val="000000"/>
          <w:sz w:val="28"/>
          <w:lang w:val="en-US"/>
        </w:rPr>
        <w:lastRenderedPageBreak/>
        <w:t>Innovation and technology</w:t>
      </w:r>
    </w:p>
    <w:p w14:paraId="03C09EFA" w14:textId="77777777" w:rsidR="002228BA" w:rsidRPr="004B2860" w:rsidRDefault="002228BA" w:rsidP="002228BA">
      <w:pPr>
        <w:tabs>
          <w:tab w:val="left" w:pos="1080"/>
        </w:tabs>
        <w:spacing w:line="360" w:lineRule="atLeast"/>
        <w:jc w:val="both"/>
        <w:rPr>
          <w:b/>
          <w:color w:val="000000"/>
          <w:sz w:val="28"/>
          <w:szCs w:val="28"/>
          <w:highlight w:val="yellow"/>
          <w:shd w:val="pct15" w:color="auto" w:fill="FFFFFF"/>
        </w:rPr>
      </w:pPr>
    </w:p>
    <w:p w14:paraId="4FE96CB9" w14:textId="793BD355" w:rsidR="00AF47B8" w:rsidRPr="00AF47B8" w:rsidRDefault="00742762" w:rsidP="00A035B2">
      <w:pPr>
        <w:numPr>
          <w:ilvl w:val="1"/>
          <w:numId w:val="3"/>
        </w:numPr>
        <w:tabs>
          <w:tab w:val="left" w:pos="1080"/>
        </w:tabs>
        <w:spacing w:line="360" w:lineRule="atLeast"/>
        <w:jc w:val="both"/>
        <w:rPr>
          <w:sz w:val="28"/>
          <w:szCs w:val="28"/>
        </w:rPr>
      </w:pPr>
      <w:r w:rsidRPr="00AF47B8">
        <w:rPr>
          <w:color w:val="000000"/>
          <w:sz w:val="28"/>
          <w:szCs w:val="28"/>
        </w:rPr>
        <w:t>On</w:t>
      </w:r>
      <w:r w:rsidRPr="00AF47B8">
        <w:rPr>
          <w:sz w:val="28"/>
          <w:szCs w:val="28"/>
        </w:rPr>
        <w:t xml:space="preserve"> 18 April</w:t>
      </w:r>
      <w:r w:rsidRPr="00AF47B8">
        <w:rPr>
          <w:rFonts w:hint="eastAsia"/>
          <w:sz w:val="28"/>
          <w:szCs w:val="28"/>
        </w:rPr>
        <w:t xml:space="preserve">, </w:t>
      </w:r>
      <w:r w:rsidRPr="00AF47B8">
        <w:rPr>
          <w:sz w:val="28"/>
          <w:szCs w:val="28"/>
        </w:rPr>
        <w:t xml:space="preserve">the Hong Kong-Shenzhen Innovation and Technology Park Limited (HSITPL) signed </w:t>
      </w:r>
      <w:r>
        <w:rPr>
          <w:sz w:val="28"/>
          <w:szCs w:val="28"/>
        </w:rPr>
        <w:t>M</w:t>
      </w:r>
      <w:r w:rsidRPr="00AF47B8">
        <w:rPr>
          <w:sz w:val="28"/>
          <w:szCs w:val="28"/>
        </w:rPr>
        <w:t xml:space="preserve">emoranda of </w:t>
      </w:r>
      <w:r>
        <w:rPr>
          <w:sz w:val="28"/>
          <w:szCs w:val="28"/>
        </w:rPr>
        <w:t>U</w:t>
      </w:r>
      <w:r w:rsidRPr="00AF47B8">
        <w:rPr>
          <w:sz w:val="28"/>
          <w:szCs w:val="28"/>
        </w:rPr>
        <w:t xml:space="preserve">nderstanding </w:t>
      </w:r>
      <w:r>
        <w:rPr>
          <w:sz w:val="28"/>
          <w:szCs w:val="28"/>
        </w:rPr>
        <w:t xml:space="preserve">(MOUs) </w:t>
      </w:r>
      <w:r w:rsidRPr="00AF47B8">
        <w:rPr>
          <w:sz w:val="28"/>
          <w:szCs w:val="28"/>
        </w:rPr>
        <w:t xml:space="preserve">to form collaborative partnerships with </w:t>
      </w:r>
      <w:r>
        <w:rPr>
          <w:sz w:val="28"/>
          <w:szCs w:val="28"/>
        </w:rPr>
        <w:t>nearly</w:t>
      </w:r>
      <w:r w:rsidRPr="00AF47B8">
        <w:rPr>
          <w:sz w:val="28"/>
          <w:szCs w:val="28"/>
        </w:rPr>
        <w:t xml:space="preserve"> 60 world-class enterprises, academia and research institutes from nine economies, marking a significant milestone of the park entering the operational phase.  45% of the partners originate from the industries of Life &amp; Health Technology, New Energy, and Microelectronics, and 24 of them would be new to set foot or expand business in Hong Kong.</w:t>
      </w:r>
      <w:r w:rsidRPr="00795060">
        <w:t xml:space="preserve"> </w:t>
      </w:r>
      <w:r>
        <w:t xml:space="preserve"> </w:t>
      </w:r>
      <w:r w:rsidRPr="00AF47B8">
        <w:rPr>
          <w:sz w:val="28"/>
          <w:szCs w:val="28"/>
        </w:rPr>
        <w:t xml:space="preserve">To realise the goal of developing Hong Kong into an international </w:t>
      </w:r>
      <w:r w:rsidRPr="00A035B2">
        <w:rPr>
          <w:sz w:val="28"/>
          <w:szCs w:val="28"/>
        </w:rPr>
        <w:t>innovation and technology</w:t>
      </w:r>
      <w:r>
        <w:rPr>
          <w:sz w:val="28"/>
          <w:szCs w:val="28"/>
        </w:rPr>
        <w:t xml:space="preserve"> (</w:t>
      </w:r>
      <w:r w:rsidRPr="00AF47B8">
        <w:rPr>
          <w:sz w:val="28"/>
          <w:szCs w:val="28"/>
        </w:rPr>
        <w:t>I&amp;T</w:t>
      </w:r>
      <w:r>
        <w:rPr>
          <w:sz w:val="28"/>
          <w:szCs w:val="28"/>
        </w:rPr>
        <w:t>)</w:t>
      </w:r>
      <w:r w:rsidRPr="00AF47B8">
        <w:rPr>
          <w:sz w:val="28"/>
          <w:szCs w:val="28"/>
        </w:rPr>
        <w:t xml:space="preserve"> centre, HSITP will leverage on Hong Kong’s competitive advantages in fund raising, tax and legal system, together with the supportive cross-boundary polices in the </w:t>
      </w:r>
      <w:proofErr w:type="spellStart"/>
      <w:r w:rsidRPr="00AF47B8">
        <w:rPr>
          <w:sz w:val="28"/>
          <w:szCs w:val="28"/>
        </w:rPr>
        <w:t>Hetao</w:t>
      </w:r>
      <w:proofErr w:type="spellEnd"/>
      <w:r w:rsidRPr="00AF47B8">
        <w:rPr>
          <w:sz w:val="28"/>
          <w:szCs w:val="28"/>
        </w:rPr>
        <w:t xml:space="preserve"> Shenzhen-Hong</w:t>
      </w:r>
      <w:r w:rsidR="00887129">
        <w:rPr>
          <w:sz w:val="28"/>
          <w:szCs w:val="28"/>
        </w:rPr>
        <w:t> </w:t>
      </w:r>
      <w:r w:rsidRPr="00AF47B8">
        <w:rPr>
          <w:sz w:val="28"/>
          <w:szCs w:val="28"/>
        </w:rPr>
        <w:t xml:space="preserve">Kong Science and Technology Innovation Co-operation Zone, to attract I&amp;T companies and </w:t>
      </w:r>
      <w:r w:rsidR="00AF47B8" w:rsidRPr="00AF47B8">
        <w:rPr>
          <w:sz w:val="28"/>
          <w:szCs w:val="28"/>
        </w:rPr>
        <w:t>talent</w:t>
      </w:r>
      <w:r w:rsidRPr="00AF47B8">
        <w:rPr>
          <w:sz w:val="28"/>
          <w:szCs w:val="28"/>
        </w:rPr>
        <w:t xml:space="preserve"> to strive and excel.</w:t>
      </w:r>
      <w:r w:rsidR="00507CF9" w:rsidRPr="001041CE">
        <w:rPr>
          <w:sz w:val="28"/>
        </w:rPr>
        <w:t xml:space="preserve"> </w:t>
      </w:r>
    </w:p>
    <w:p w14:paraId="6EEFFD64" w14:textId="1FE19A2D" w:rsidR="00AF47B8" w:rsidRDefault="00AF47B8" w:rsidP="00AF47B8">
      <w:pPr>
        <w:spacing w:line="360" w:lineRule="atLeast"/>
        <w:jc w:val="both"/>
        <w:rPr>
          <w:color w:val="000000"/>
          <w:sz w:val="28"/>
          <w:szCs w:val="28"/>
          <w:shd w:val="pct15" w:color="auto" w:fill="FFFFFF"/>
        </w:rPr>
      </w:pPr>
    </w:p>
    <w:p w14:paraId="2CE46327" w14:textId="759D9F91" w:rsidR="00AF47B8" w:rsidRPr="004B2860" w:rsidRDefault="003C140F" w:rsidP="00AF47B8">
      <w:pPr>
        <w:numPr>
          <w:ilvl w:val="1"/>
          <w:numId w:val="3"/>
        </w:numPr>
        <w:tabs>
          <w:tab w:val="left" w:pos="1080"/>
        </w:tabs>
        <w:spacing w:line="360" w:lineRule="atLeast"/>
        <w:jc w:val="both"/>
        <w:rPr>
          <w:color w:val="000000"/>
          <w:sz w:val="28"/>
          <w:szCs w:val="28"/>
          <w:shd w:val="pct15" w:color="auto" w:fill="FFFFFF"/>
        </w:rPr>
      </w:pPr>
      <w:r>
        <w:rPr>
          <w:sz w:val="28"/>
          <w:szCs w:val="28"/>
        </w:rPr>
        <w:t xml:space="preserve">The Hong Kong Science and Technology Parks Corporation signed partnerships with 11 advanced manufacturing enterprises on 28 June.  These enterprises, covering sectors </w:t>
      </w:r>
      <w:r w:rsidR="00E1400B">
        <w:rPr>
          <w:sz w:val="28"/>
          <w:szCs w:val="28"/>
        </w:rPr>
        <w:t xml:space="preserve">such </w:t>
      </w:r>
      <w:r>
        <w:rPr>
          <w:sz w:val="28"/>
          <w:szCs w:val="28"/>
        </w:rPr>
        <w:t xml:space="preserve">as </w:t>
      </w:r>
      <w:r w:rsidRPr="00801635">
        <w:rPr>
          <w:rFonts w:hint="eastAsia"/>
          <w:sz w:val="28"/>
          <w:szCs w:val="28"/>
        </w:rPr>
        <w:t>biopharmaceuticals and equipment, artificial intelligence, robotics and automation</w:t>
      </w:r>
      <w:r>
        <w:rPr>
          <w:sz w:val="28"/>
          <w:szCs w:val="28"/>
        </w:rPr>
        <w:t xml:space="preserve">, new energy vehicles, etc., will establish or expand their advanced manufacturing operations in Hong Kong, bringing in new elements and investments to further </w:t>
      </w:r>
      <w:r w:rsidRPr="003C140F">
        <w:rPr>
          <w:sz w:val="28"/>
          <w:szCs w:val="28"/>
        </w:rPr>
        <w:t>enhance</w:t>
      </w:r>
      <w:r>
        <w:rPr>
          <w:sz w:val="28"/>
          <w:szCs w:val="28"/>
        </w:rPr>
        <w:t xml:space="preserve"> the development of the I&amp;T ecosystem and promote new industrialisation in Hong Kong.</w:t>
      </w:r>
      <w:r w:rsidR="00507CF9">
        <w:rPr>
          <w:sz w:val="28"/>
          <w:szCs w:val="28"/>
        </w:rPr>
        <w:t xml:space="preserve"> </w:t>
      </w:r>
    </w:p>
    <w:p w14:paraId="3ED93A5C" w14:textId="77777777" w:rsidR="00AF47B8" w:rsidRPr="00AF47B8" w:rsidRDefault="00AF47B8" w:rsidP="0046197A">
      <w:pPr>
        <w:tabs>
          <w:tab w:val="left" w:pos="1080"/>
        </w:tabs>
        <w:overflowPunct w:val="0"/>
        <w:spacing w:line="360" w:lineRule="atLeast"/>
        <w:jc w:val="both"/>
        <w:rPr>
          <w:b/>
          <w:color w:val="000000"/>
          <w:sz w:val="28"/>
          <w:szCs w:val="28"/>
        </w:rPr>
      </w:pPr>
    </w:p>
    <w:p w14:paraId="352D5DFB" w14:textId="1175747A" w:rsidR="00304386" w:rsidRPr="00AF47B8" w:rsidRDefault="00304386">
      <w:pPr>
        <w:widowControl/>
        <w:rPr>
          <w:b/>
          <w:color w:val="000000"/>
          <w:sz w:val="28"/>
          <w:szCs w:val="28"/>
        </w:rPr>
      </w:pPr>
      <w:r w:rsidRPr="00AF47B8">
        <w:rPr>
          <w:b/>
          <w:color w:val="000000"/>
          <w:sz w:val="28"/>
          <w:szCs w:val="28"/>
        </w:rPr>
        <w:br w:type="page"/>
      </w:r>
    </w:p>
    <w:p w14:paraId="41FF4C53" w14:textId="06631C31" w:rsidR="00921B0F" w:rsidRPr="006C437F" w:rsidRDefault="002B3C10" w:rsidP="00921B0F">
      <w:pPr>
        <w:tabs>
          <w:tab w:val="left" w:pos="1080"/>
        </w:tabs>
        <w:overflowPunct w:val="0"/>
        <w:spacing w:line="360" w:lineRule="atLeast"/>
        <w:jc w:val="both"/>
        <w:rPr>
          <w:b/>
          <w:color w:val="000000"/>
          <w:sz w:val="28"/>
          <w:szCs w:val="28"/>
        </w:rPr>
      </w:pPr>
      <w:r>
        <w:rPr>
          <w:b/>
          <w:color w:val="000000"/>
          <w:sz w:val="28"/>
          <w:szCs w:val="28"/>
        </w:rPr>
        <w:lastRenderedPageBreak/>
        <w:t>Arts, Cultural and Creative Industries</w:t>
      </w:r>
    </w:p>
    <w:p w14:paraId="7B39A231" w14:textId="77777777" w:rsidR="002228BA" w:rsidRPr="004B2860" w:rsidRDefault="002228BA" w:rsidP="002228BA">
      <w:pPr>
        <w:widowControl/>
        <w:rPr>
          <w:b/>
          <w:color w:val="000000"/>
          <w:sz w:val="28"/>
          <w:szCs w:val="28"/>
          <w:shd w:val="pct15" w:color="auto" w:fill="FFFFFF"/>
        </w:rPr>
      </w:pPr>
    </w:p>
    <w:p w14:paraId="1A91705F" w14:textId="6077976A" w:rsidR="002B3C10" w:rsidRPr="00866DF9" w:rsidRDefault="008B5A3B" w:rsidP="007E20C5">
      <w:pPr>
        <w:numPr>
          <w:ilvl w:val="1"/>
          <w:numId w:val="3"/>
        </w:numPr>
        <w:tabs>
          <w:tab w:val="left" w:pos="1080"/>
        </w:tabs>
        <w:spacing w:line="360" w:lineRule="atLeast"/>
        <w:jc w:val="both"/>
        <w:rPr>
          <w:b/>
          <w:color w:val="000000"/>
          <w:sz w:val="28"/>
          <w:szCs w:val="28"/>
          <w:shd w:val="pct15" w:color="auto" w:fill="FFFFFF"/>
          <w:lang w:val="en-US"/>
        </w:rPr>
      </w:pPr>
      <w:r w:rsidRPr="001559DF">
        <w:rPr>
          <w:sz w:val="28"/>
        </w:rPr>
        <w:t>Through the collaboration between the Government and the private and art organisations, the large-scale outdoor art project “Art@Harbour2024” (AAH</w:t>
      </w:r>
      <w:r w:rsidR="00A27889">
        <w:rPr>
          <w:sz w:val="28"/>
        </w:rPr>
        <w:t> </w:t>
      </w:r>
      <w:r w:rsidRPr="001559DF">
        <w:rPr>
          <w:sz w:val="28"/>
        </w:rPr>
        <w:t>2024) was held between late March and early June 2024 to bring the public and tourists a new experience at the Victoria Harbourfront through outdoor art installations and digital art façades by integrating art, science and technology.  All five projects under the AAH 2024 were well received by the local public and tourists, with the projects “teamLab: Continuous” and “Science in Art” attracting a total attendance of over 1.3 million and the three arts projects in Tsim Sha Tsui, each attracting more than two million visitors.</w:t>
      </w:r>
      <w:r w:rsidR="003B2E19">
        <w:rPr>
          <w:sz w:val="28"/>
        </w:rPr>
        <w:t xml:space="preserve">  </w:t>
      </w:r>
    </w:p>
    <w:p w14:paraId="48821F73" w14:textId="42EA23E5" w:rsidR="00A035B2" w:rsidRPr="008373A8" w:rsidRDefault="00A035B2" w:rsidP="008373A8">
      <w:pPr>
        <w:spacing w:line="360" w:lineRule="atLeast"/>
        <w:jc w:val="both"/>
        <w:rPr>
          <w:b/>
          <w:color w:val="000000"/>
          <w:sz w:val="28"/>
          <w:szCs w:val="28"/>
          <w:shd w:val="pct15" w:color="auto" w:fill="FFFFFF"/>
          <w:lang w:val="en-US"/>
        </w:rPr>
      </w:pPr>
    </w:p>
    <w:p w14:paraId="6D102F14" w14:textId="68BC1384" w:rsidR="002228BA" w:rsidRPr="003B2E19" w:rsidRDefault="008B5A3B" w:rsidP="00D52A85">
      <w:pPr>
        <w:numPr>
          <w:ilvl w:val="1"/>
          <w:numId w:val="3"/>
        </w:numPr>
        <w:tabs>
          <w:tab w:val="left" w:pos="1080"/>
        </w:tabs>
        <w:spacing w:line="360" w:lineRule="atLeast"/>
        <w:jc w:val="both"/>
        <w:rPr>
          <w:b/>
          <w:color w:val="000000"/>
          <w:sz w:val="28"/>
          <w:szCs w:val="28"/>
          <w:shd w:val="pct15" w:color="auto" w:fill="FFFFFF"/>
          <w:lang w:val="en-US"/>
        </w:rPr>
      </w:pPr>
      <w:r w:rsidRPr="001559DF">
        <w:rPr>
          <w:sz w:val="28"/>
        </w:rPr>
        <w:t xml:space="preserve">To promote cultural exchanges between the East and the West and showcase the unique charm and diverse characteristics of Chinese culture to the world, the </w:t>
      </w:r>
      <w:r w:rsidR="00E1400B">
        <w:rPr>
          <w:sz w:val="28"/>
        </w:rPr>
        <w:t>i</w:t>
      </w:r>
      <w:r w:rsidR="003B2E19" w:rsidRPr="00505B5A">
        <w:rPr>
          <w:sz w:val="28"/>
        </w:rPr>
        <w:t>naugural</w:t>
      </w:r>
      <w:r w:rsidRPr="001559DF">
        <w:rPr>
          <w:sz w:val="28"/>
        </w:rPr>
        <w:t xml:space="preserve"> Chinese Culture Festival is being held from June to September 2024, featuring different performing arts programmes in various forms and related extension activities, such as programmes of the Chinese Opera Festival, exemplary local arts projects, film screenings, exhibitions, and talks.</w:t>
      </w:r>
      <w:r w:rsidR="009C3570">
        <w:rPr>
          <w:sz w:val="28"/>
        </w:rPr>
        <w:t xml:space="preserve">  </w:t>
      </w:r>
    </w:p>
    <w:p w14:paraId="7D68E9A1" w14:textId="64CED434" w:rsidR="002228BA" w:rsidRPr="001041CE" w:rsidRDefault="002228BA" w:rsidP="0046197A">
      <w:pPr>
        <w:tabs>
          <w:tab w:val="left" w:pos="1080"/>
        </w:tabs>
        <w:overflowPunct w:val="0"/>
        <w:spacing w:line="360" w:lineRule="atLeast"/>
        <w:jc w:val="both"/>
        <w:rPr>
          <w:b/>
          <w:color w:val="000000"/>
          <w:sz w:val="28"/>
          <w:szCs w:val="28"/>
          <w:shd w:val="pct15" w:color="auto" w:fill="FFFFFF"/>
          <w:lang w:val="en-US"/>
        </w:rPr>
      </w:pPr>
    </w:p>
    <w:p w14:paraId="6DAFB9A9" w14:textId="10D34725" w:rsidR="002B3C10" w:rsidRPr="002B3C10" w:rsidRDefault="002B3C10" w:rsidP="002B3C10">
      <w:pPr>
        <w:numPr>
          <w:ilvl w:val="1"/>
          <w:numId w:val="3"/>
        </w:numPr>
        <w:tabs>
          <w:tab w:val="left" w:pos="1080"/>
        </w:tabs>
        <w:spacing w:line="360" w:lineRule="atLeast"/>
        <w:jc w:val="both"/>
        <w:rPr>
          <w:b/>
          <w:color w:val="000000"/>
          <w:sz w:val="28"/>
          <w:szCs w:val="28"/>
          <w:shd w:val="pct15" w:color="auto" w:fill="FFFFFF"/>
        </w:rPr>
      </w:pPr>
      <w:r>
        <w:rPr>
          <w:rFonts w:hint="eastAsia"/>
          <w:sz w:val="28"/>
        </w:rPr>
        <w:t>Create Hong Kong was</w:t>
      </w:r>
      <w:r w:rsidRPr="009D555E">
        <w:rPr>
          <w:rFonts w:hint="eastAsia"/>
          <w:sz w:val="28"/>
        </w:rPr>
        <w:t xml:space="preserve"> restructured as t</w:t>
      </w:r>
      <w:r w:rsidRPr="009D555E">
        <w:rPr>
          <w:sz w:val="28"/>
        </w:rPr>
        <w:t xml:space="preserve">he Cultural and Creative Industries Development Agency (CCIDA) with effect from </w:t>
      </w:r>
      <w:r>
        <w:rPr>
          <w:sz w:val="28"/>
        </w:rPr>
        <w:t>14</w:t>
      </w:r>
      <w:r w:rsidR="003273D1">
        <w:rPr>
          <w:sz w:val="28"/>
        </w:rPr>
        <w:t> </w:t>
      </w:r>
      <w:r>
        <w:rPr>
          <w:sz w:val="28"/>
        </w:rPr>
        <w:t>June</w:t>
      </w:r>
      <w:r w:rsidR="003273D1">
        <w:rPr>
          <w:sz w:val="28"/>
        </w:rPr>
        <w:t> </w:t>
      </w:r>
      <w:r>
        <w:rPr>
          <w:sz w:val="28"/>
        </w:rPr>
        <w:t>2024</w:t>
      </w:r>
      <w:r w:rsidRPr="009D555E">
        <w:rPr>
          <w:sz w:val="28"/>
        </w:rPr>
        <w:t xml:space="preserve">, </w:t>
      </w:r>
      <w:r w:rsidRPr="005E591C">
        <w:rPr>
          <w:sz w:val="28"/>
        </w:rPr>
        <w:t>to proactively promote the development of arts, culture and creative sectors as industries under the industry-oriented prin</w:t>
      </w:r>
      <w:r w:rsidR="0070143D">
        <w:rPr>
          <w:sz w:val="28"/>
        </w:rPr>
        <w:t>ciple of implementing Hong Kong’</w:t>
      </w:r>
      <w:r w:rsidRPr="005E591C">
        <w:rPr>
          <w:sz w:val="28"/>
        </w:rPr>
        <w:t>s positioning as an East-meets-West centre for international cultural exchange under the National 14</w:t>
      </w:r>
      <w:r w:rsidRPr="005E591C">
        <w:rPr>
          <w:sz w:val="28"/>
          <w:vertAlign w:val="superscript"/>
        </w:rPr>
        <w:t>th</w:t>
      </w:r>
      <w:r w:rsidRPr="005E591C">
        <w:rPr>
          <w:sz w:val="28"/>
        </w:rPr>
        <w:t xml:space="preserve"> Five-Year Plan.</w:t>
      </w:r>
      <w:r>
        <w:rPr>
          <w:sz w:val="28"/>
        </w:rPr>
        <w:t xml:space="preserve">  Later in the same month, </w:t>
      </w:r>
      <w:r w:rsidRPr="009D555E">
        <w:rPr>
          <w:sz w:val="28"/>
        </w:rPr>
        <w:t>CCIDA signed MOUs with three prominent Mainla</w:t>
      </w:r>
      <w:r>
        <w:rPr>
          <w:sz w:val="28"/>
        </w:rPr>
        <w:t>nd cultural and creative brands, w</w:t>
      </w:r>
      <w:r w:rsidRPr="009D555E">
        <w:rPr>
          <w:sz w:val="28"/>
        </w:rPr>
        <w:t>ith a view to facilitating more collaboration between Hong Kong brands and the Mainl</w:t>
      </w:r>
      <w:r>
        <w:rPr>
          <w:sz w:val="28"/>
        </w:rPr>
        <w:t>and cultural and creative brands</w:t>
      </w:r>
      <w:r w:rsidRPr="009D555E">
        <w:rPr>
          <w:sz w:val="28"/>
        </w:rPr>
        <w:t>.</w:t>
      </w:r>
    </w:p>
    <w:p w14:paraId="1A733C69" w14:textId="77777777" w:rsidR="002B3C10" w:rsidRPr="004B2860" w:rsidRDefault="002B3C10" w:rsidP="0046197A">
      <w:pPr>
        <w:tabs>
          <w:tab w:val="left" w:pos="1080"/>
        </w:tabs>
        <w:overflowPunct w:val="0"/>
        <w:spacing w:line="360" w:lineRule="atLeast"/>
        <w:jc w:val="both"/>
        <w:rPr>
          <w:b/>
          <w:color w:val="000000"/>
          <w:sz w:val="28"/>
          <w:szCs w:val="28"/>
          <w:shd w:val="pct15" w:color="auto" w:fill="FFFFFF"/>
        </w:rPr>
      </w:pPr>
    </w:p>
    <w:p w14:paraId="531FA6F7" w14:textId="27604326" w:rsidR="003663B2" w:rsidRDefault="003663B2">
      <w:pPr>
        <w:widowControl/>
        <w:rPr>
          <w:b/>
          <w:color w:val="000000"/>
          <w:sz w:val="28"/>
          <w:szCs w:val="28"/>
        </w:rPr>
      </w:pPr>
    </w:p>
    <w:p w14:paraId="4D715204" w14:textId="0F8DEF3D" w:rsidR="0046197A" w:rsidRPr="00BF6E71" w:rsidRDefault="0046197A" w:rsidP="007F51F1">
      <w:pPr>
        <w:widowControl/>
        <w:rPr>
          <w:b/>
          <w:color w:val="000000"/>
          <w:sz w:val="28"/>
          <w:szCs w:val="28"/>
        </w:rPr>
      </w:pPr>
      <w:r w:rsidRPr="00BF6E71">
        <w:rPr>
          <w:b/>
          <w:color w:val="000000"/>
          <w:sz w:val="28"/>
          <w:szCs w:val="28"/>
        </w:rPr>
        <w:t>Environment</w:t>
      </w:r>
    </w:p>
    <w:p w14:paraId="0F6452E0" w14:textId="77777777" w:rsidR="0046197A" w:rsidRPr="004B2860" w:rsidRDefault="0046197A" w:rsidP="0046197A">
      <w:pPr>
        <w:overflowPunct w:val="0"/>
        <w:spacing w:line="360" w:lineRule="atLeast"/>
        <w:jc w:val="both"/>
        <w:rPr>
          <w:color w:val="000000"/>
          <w:sz w:val="28"/>
          <w:szCs w:val="28"/>
          <w:shd w:val="pct15" w:color="auto" w:fill="FFFFFF"/>
        </w:rPr>
      </w:pPr>
    </w:p>
    <w:p w14:paraId="1D165AD9" w14:textId="1574C13E" w:rsidR="00BF6E71" w:rsidRPr="00E73514" w:rsidRDefault="00BF6E71" w:rsidP="00BF6E71">
      <w:pPr>
        <w:numPr>
          <w:ilvl w:val="1"/>
          <w:numId w:val="3"/>
        </w:numPr>
        <w:tabs>
          <w:tab w:val="left" w:pos="1080"/>
        </w:tabs>
        <w:spacing w:line="360" w:lineRule="atLeast"/>
        <w:jc w:val="both"/>
        <w:rPr>
          <w:sz w:val="28"/>
          <w:szCs w:val="28"/>
          <w:shd w:val="pct15" w:color="auto" w:fill="FFFFFF"/>
        </w:rPr>
      </w:pPr>
      <w:r>
        <w:rPr>
          <w:sz w:val="28"/>
          <w:szCs w:val="28"/>
        </w:rPr>
        <w:t>On 17 June, t</w:t>
      </w:r>
      <w:r>
        <w:rPr>
          <w:sz w:val="28"/>
          <w:szCs w:val="28"/>
          <w:lang w:eastAsia="zh-HK"/>
        </w:rPr>
        <w:t xml:space="preserve">he Government announced the </w:t>
      </w:r>
      <w:r w:rsidRPr="00FD2001">
        <w:rPr>
          <w:sz w:val="28"/>
          <w:szCs w:val="28"/>
        </w:rPr>
        <w:t xml:space="preserve">Strategy of Hydrogen Development in Hong Kong (the </w:t>
      </w:r>
      <w:r w:rsidRPr="00A4034B">
        <w:rPr>
          <w:sz w:val="28"/>
          <w:szCs w:val="28"/>
        </w:rPr>
        <w:t xml:space="preserve">Hydrogen </w:t>
      </w:r>
      <w:r w:rsidRPr="00FD2001">
        <w:rPr>
          <w:sz w:val="28"/>
          <w:szCs w:val="28"/>
        </w:rPr>
        <w:t>Strategy)</w:t>
      </w:r>
      <w:r>
        <w:rPr>
          <w:sz w:val="28"/>
          <w:szCs w:val="28"/>
        </w:rPr>
        <w:t>.  T</w:t>
      </w:r>
      <w:r w:rsidRPr="00A4034B">
        <w:rPr>
          <w:sz w:val="28"/>
          <w:szCs w:val="28"/>
        </w:rPr>
        <w:t xml:space="preserve">he Hydrogen Strategy </w:t>
      </w:r>
      <w:r w:rsidRPr="00015416">
        <w:rPr>
          <w:sz w:val="28"/>
          <w:szCs w:val="28"/>
        </w:rPr>
        <w:t xml:space="preserve">sets out the four major strategies of improving legislation, establishing standards, aligning with the market, and advancing with prudence to create an environment conducive to the development of hydrogen energy in Hong Kong in a prudent and orderly manner, so that Hong Kong would be able to capitalise on the environmental and economic opportunities brought about by the recent developments of hydrogen energy in different parts of the world, </w:t>
      </w:r>
      <w:r>
        <w:rPr>
          <w:sz w:val="28"/>
          <w:szCs w:val="28"/>
        </w:rPr>
        <w:t>the Mainland</w:t>
      </w:r>
      <w:r w:rsidRPr="00015416">
        <w:rPr>
          <w:sz w:val="28"/>
          <w:szCs w:val="28"/>
        </w:rPr>
        <w:t xml:space="preserve"> in particular.</w:t>
      </w:r>
    </w:p>
    <w:p w14:paraId="69DC4449" w14:textId="1A9B25BC" w:rsidR="000B5EDB" w:rsidRPr="0041576F" w:rsidRDefault="0046197A" w:rsidP="00BF6E71">
      <w:pPr>
        <w:overflowPunct w:val="0"/>
        <w:spacing w:line="360" w:lineRule="exact"/>
        <w:jc w:val="both"/>
        <w:rPr>
          <w:b/>
          <w:color w:val="000000"/>
          <w:sz w:val="28"/>
          <w:szCs w:val="28"/>
        </w:rPr>
      </w:pPr>
      <w:r w:rsidRPr="004B2860">
        <w:rPr>
          <w:b/>
          <w:szCs w:val="28"/>
          <w:shd w:val="pct15" w:color="auto" w:fill="FFFFFF"/>
        </w:rPr>
        <w:br w:type="page"/>
      </w:r>
      <w:r w:rsidR="000B5EDB" w:rsidRPr="0041576F">
        <w:rPr>
          <w:b/>
          <w:sz w:val="28"/>
          <w:szCs w:val="28"/>
        </w:rPr>
        <w:lastRenderedPageBreak/>
        <w:t>Notes :</w:t>
      </w:r>
    </w:p>
    <w:p w14:paraId="423492E4" w14:textId="77777777" w:rsidR="00242BB1" w:rsidRPr="0041576F" w:rsidRDefault="00242BB1" w:rsidP="005814E7">
      <w:pPr>
        <w:keepLines/>
        <w:overflowPunct w:val="0"/>
        <w:ind w:left="539" w:right="28"/>
        <w:jc w:val="both"/>
        <w:rPr>
          <w:sz w:val="28"/>
          <w:szCs w:val="28"/>
        </w:rPr>
      </w:pPr>
    </w:p>
    <w:p w14:paraId="75F3FDA8" w14:textId="77777777" w:rsidR="00CF2D67" w:rsidRPr="0041576F" w:rsidRDefault="00CF2D67" w:rsidP="0046568A">
      <w:pPr>
        <w:keepLines/>
        <w:numPr>
          <w:ilvl w:val="0"/>
          <w:numId w:val="32"/>
        </w:numPr>
        <w:overflowPunct w:val="0"/>
        <w:ind w:left="539" w:right="28" w:hanging="539"/>
        <w:jc w:val="both"/>
      </w:pPr>
      <w:r w:rsidRPr="0041576F">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mortgages loans with reference to the BLR only.</w:t>
      </w:r>
    </w:p>
    <w:p w14:paraId="2C570527" w14:textId="77777777" w:rsidR="00CF2D67" w:rsidRPr="0041576F" w:rsidRDefault="00CF2D67" w:rsidP="00CF2D67">
      <w:pPr>
        <w:overflowPunct w:val="0"/>
        <w:ind w:left="540" w:right="28"/>
        <w:jc w:val="both"/>
      </w:pPr>
    </w:p>
    <w:p w14:paraId="7EEC19D3" w14:textId="2EEFE6AF" w:rsidR="00CF2D67" w:rsidRPr="0041576F" w:rsidRDefault="00CF2D67" w:rsidP="004B2860">
      <w:pPr>
        <w:overflowPunct w:val="0"/>
        <w:ind w:left="540" w:right="28"/>
        <w:jc w:val="both"/>
      </w:pPr>
      <w:r w:rsidRPr="0041576F">
        <w:t>Figures are subject to revision later as more data become available.</w:t>
      </w:r>
    </w:p>
    <w:p w14:paraId="049AE66B" w14:textId="77777777" w:rsidR="0073578E" w:rsidRPr="0041576F" w:rsidRDefault="0073578E" w:rsidP="009C2E14">
      <w:pPr>
        <w:pStyle w:val="afa"/>
        <w:rPr>
          <w:color w:val="000000"/>
        </w:rPr>
      </w:pPr>
    </w:p>
    <w:p w14:paraId="4B7B153D" w14:textId="007E1183" w:rsidR="00246AFF" w:rsidRPr="0041576F" w:rsidRDefault="00CF2D67" w:rsidP="00246AFF">
      <w:pPr>
        <w:keepLines/>
        <w:numPr>
          <w:ilvl w:val="0"/>
          <w:numId w:val="32"/>
        </w:numPr>
        <w:overflowPunct w:val="0"/>
        <w:ind w:left="539" w:right="28" w:hanging="539"/>
        <w:jc w:val="both"/>
        <w:rPr>
          <w:color w:val="000000"/>
        </w:rPr>
      </w:pPr>
      <w:r w:rsidRPr="0041576F">
        <w:rPr>
          <w:color w:val="000000"/>
        </w:rPr>
        <w:t>The figures on transaction</w:t>
      </w:r>
      <w:r w:rsidR="00D30C85" w:rsidRPr="0041576F">
        <w:rPr>
          <w:color w:val="000000"/>
        </w:rPr>
        <w:t>s</w:t>
      </w:r>
      <w:r w:rsidRPr="0041576F">
        <w:rPr>
          <w:color w:val="000000"/>
        </w:rPr>
        <w:t xml:space="preserve"> refer to commercial space, which comprises retail premises and other premises designed or adapted for commercial use but excludes purpose-built office space.</w:t>
      </w:r>
    </w:p>
    <w:p w14:paraId="31979458" w14:textId="77777777" w:rsidR="0046197A" w:rsidRPr="0041576F" w:rsidRDefault="0046197A" w:rsidP="0046197A">
      <w:pPr>
        <w:pStyle w:val="afa"/>
        <w:rPr>
          <w:color w:val="000000"/>
        </w:rPr>
      </w:pPr>
    </w:p>
    <w:p w14:paraId="349CC1BF" w14:textId="081FB293" w:rsidR="006E5176" w:rsidRPr="004B2860" w:rsidRDefault="00BF6E71" w:rsidP="00586ADF">
      <w:pPr>
        <w:keepLines/>
        <w:numPr>
          <w:ilvl w:val="0"/>
          <w:numId w:val="32"/>
        </w:numPr>
        <w:overflowPunct w:val="0"/>
        <w:ind w:left="539" w:right="28" w:hanging="539"/>
        <w:jc w:val="both"/>
        <w:rPr>
          <w:shd w:val="pct15" w:color="auto" w:fill="FFFFFF"/>
        </w:rPr>
      </w:pPr>
      <w:r w:rsidRPr="009F4CD4">
        <w:rPr>
          <w:color w:val="000000"/>
        </w:rPr>
        <w:t>Other short-haul markets refer to North Asia, South and Southeast Asia, Taiwan and Macao, but excluding the Mainland, while long-haul markets refer to the Americas, Europe, Africa, the Middle East, Australia, New Zealand and South Pacific.  In the second quarter of 2024, visitor arrivals from the Mainland, other short-haul and long</w:t>
      </w:r>
      <w:r w:rsidRPr="009F4CD4">
        <w:rPr>
          <w:color w:val="000000"/>
        </w:rPr>
        <w:noBreakHyphen/>
        <w:t xml:space="preserve">haul markets accounted for respective shares </w:t>
      </w:r>
      <w:r w:rsidRPr="00517D1A">
        <w:rPr>
          <w:color w:val="000000"/>
        </w:rPr>
        <w:t xml:space="preserve">of </w:t>
      </w:r>
      <w:r w:rsidR="002E5C66" w:rsidRPr="002E5C66">
        <w:rPr>
          <w:color w:val="000000"/>
        </w:rPr>
        <w:t>75</w:t>
      </w:r>
      <w:r w:rsidRPr="00517D1A">
        <w:rPr>
          <w:color w:val="000000"/>
        </w:rPr>
        <w:t xml:space="preserve">%, </w:t>
      </w:r>
      <w:r w:rsidR="002E5C66" w:rsidRPr="002E5C66">
        <w:rPr>
          <w:color w:val="000000"/>
        </w:rPr>
        <w:t>17</w:t>
      </w:r>
      <w:r w:rsidRPr="00517D1A">
        <w:rPr>
          <w:color w:val="000000"/>
        </w:rPr>
        <w:t>%</w:t>
      </w:r>
      <w:r w:rsidR="002E5C66" w:rsidRPr="002E5C66">
        <w:rPr>
          <w:color w:val="000000"/>
        </w:rPr>
        <w:t xml:space="preserve"> and 8</w:t>
      </w:r>
      <w:r w:rsidRPr="00517D1A">
        <w:rPr>
          <w:color w:val="000000"/>
        </w:rPr>
        <w:t>% of the</w:t>
      </w:r>
      <w:r w:rsidRPr="009F4CD4">
        <w:rPr>
          <w:color w:val="000000"/>
        </w:rPr>
        <w:t xml:space="preserve"> total.</w:t>
      </w:r>
    </w:p>
    <w:p w14:paraId="7CEDD364" w14:textId="77777777" w:rsidR="00EF3569" w:rsidRPr="004B2860" w:rsidRDefault="00EF3569" w:rsidP="0046197A">
      <w:pPr>
        <w:pStyle w:val="afa"/>
        <w:overflowPunct w:val="0"/>
        <w:ind w:left="1020" w:hanging="540"/>
        <w:rPr>
          <w:szCs w:val="28"/>
          <w:shd w:val="pct15" w:color="auto" w:fill="FFFFFF"/>
        </w:rPr>
      </w:pPr>
    </w:p>
    <w:p w14:paraId="7FBC49BD" w14:textId="431A3EA9" w:rsidR="0046197A" w:rsidRPr="004B2860" w:rsidRDefault="00BF6E71" w:rsidP="00586ADF">
      <w:pPr>
        <w:keepLines/>
        <w:numPr>
          <w:ilvl w:val="0"/>
          <w:numId w:val="32"/>
        </w:numPr>
        <w:overflowPunct w:val="0"/>
        <w:ind w:left="539" w:right="28" w:hanging="539"/>
        <w:jc w:val="both"/>
        <w:rPr>
          <w:shd w:val="pct15" w:color="auto" w:fill="FFFFFF"/>
        </w:rPr>
      </w:pPr>
      <w:r w:rsidRPr="009F4CD4">
        <w:rPr>
          <w:color w:val="000000"/>
        </w:rPr>
        <w:t>The figures on hotel room occupancy and achieved room rate do not include guesthouses.  The figures are subject to revision later as more data become available.</w:t>
      </w:r>
    </w:p>
    <w:sectPr w:rsidR="0046197A" w:rsidRPr="004B2860" w:rsidSect="00F45E9E">
      <w:footerReference w:type="even" r:id="rId14"/>
      <w:footerReference w:type="default" r:id="rId15"/>
      <w:footerReference w:type="first" r:id="rId16"/>
      <w:pgSz w:w="11909" w:h="16834" w:code="9"/>
      <w:pgMar w:top="1009" w:right="1440" w:bottom="318" w:left="1440" w:header="720" w:footer="397" w:gutter="0"/>
      <w:pgNumType w:start="34"/>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689E6" w14:textId="77777777" w:rsidR="00A45A3B" w:rsidRDefault="00A45A3B">
      <w:r>
        <w:separator/>
      </w:r>
    </w:p>
  </w:endnote>
  <w:endnote w:type="continuationSeparator" w:id="0">
    <w:p w14:paraId="043CF681" w14:textId="77777777" w:rsidR="00A45A3B" w:rsidRDefault="00A45A3B">
      <w:r>
        <w:continuationSeparator/>
      </w:r>
    </w:p>
  </w:endnote>
  <w:endnote w:type="continuationNotice" w:id="1">
    <w:p w14:paraId="18DA8D16" w14:textId="77777777" w:rsidR="00A45A3B" w:rsidRDefault="00A45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3B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DengXian">
    <w:altName w:val="SimSun"/>
    <w:panose1 w:val="02010600030101010101"/>
    <w:charset w:val="86"/>
    <w:family w:val="auto"/>
    <w:pitch w:val="variable"/>
    <w:sig w:usb0="A00002BF" w:usb1="38CF7CFA" w:usb2="00000016" w:usb3="00000000" w:csb0="0004000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B0D5" w14:textId="77777777" w:rsidR="008A1B5B" w:rsidRDefault="008A1B5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8A1B5B" w:rsidRDefault="008A1B5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E6DC" w14:textId="44F1EC0F" w:rsidR="008A1B5B" w:rsidRPr="00230F5C" w:rsidRDefault="008A1B5B" w:rsidP="00CE0615">
    <w:pPr>
      <w:pStyle w:val="a8"/>
      <w:jc w:val="center"/>
      <w:rPr>
        <w:rFonts w:ascii="Times New Roman" w:hAnsi="Times New Roman"/>
        <w:sz w:val="28"/>
        <w:szCs w:val="28"/>
        <w:lang w:val="en-GB"/>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17752B">
      <w:rPr>
        <w:rStyle w:val="aa"/>
        <w:rFonts w:ascii="Times New Roman" w:hAnsi="Times New Roman"/>
        <w:noProof/>
        <w:sz w:val="28"/>
        <w:szCs w:val="28"/>
      </w:rPr>
      <w:t>47</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5BBD" w14:textId="77777777" w:rsidR="008A1B5B" w:rsidRDefault="008A1B5B">
    <w:pPr>
      <w:pStyle w:val="a8"/>
    </w:pPr>
  </w:p>
  <w:p w14:paraId="3F373402" w14:textId="77777777" w:rsidR="008A1B5B" w:rsidRDefault="008A1B5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75A37" w14:textId="77777777" w:rsidR="00A45A3B" w:rsidRDefault="00A45A3B">
      <w:r>
        <w:separator/>
      </w:r>
    </w:p>
  </w:footnote>
  <w:footnote w:type="continuationSeparator" w:id="0">
    <w:p w14:paraId="15DA64BF" w14:textId="77777777" w:rsidR="00A45A3B" w:rsidRDefault="00A45A3B">
      <w:r>
        <w:continuationSeparator/>
      </w:r>
    </w:p>
  </w:footnote>
  <w:footnote w:type="continuationNotice" w:id="1">
    <w:p w14:paraId="1E8BFCB9" w14:textId="77777777" w:rsidR="00A45A3B" w:rsidRDefault="00A45A3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2pt;height:12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30B4A23"/>
    <w:multiLevelType w:val="hybridMultilevel"/>
    <w:tmpl w:val="8014FE76"/>
    <w:lvl w:ilvl="0" w:tplc="47C8295C">
      <w:numFmt w:val="bullet"/>
      <w:lvlText w:val=""/>
      <w:lvlJc w:val="left"/>
      <w:pPr>
        <w:ind w:left="480" w:hanging="480"/>
      </w:pPr>
      <w:rPr>
        <w:rFonts w:ascii="Symbol" w:hAnsi="Symbol"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9"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F2307F7"/>
    <w:multiLevelType w:val="multilevel"/>
    <w:tmpl w:val="A3826404"/>
    <w:lvl w:ilvl="0">
      <w:start w:val="3"/>
      <w:numFmt w:val="decimal"/>
      <w:lvlText w:val="%1"/>
      <w:lvlJc w:val="left"/>
      <w:pPr>
        <w:tabs>
          <w:tab w:val="num" w:pos="1080"/>
        </w:tabs>
        <w:ind w:left="1080" w:hanging="1080"/>
      </w:pPr>
      <w:rPr>
        <w:rFonts w:hint="default"/>
      </w:rPr>
    </w:lvl>
    <w:lvl w:ilvl="1">
      <w:start w:val="10"/>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2"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5"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9"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2"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3"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5"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6"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1"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0"/>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16"/>
  </w:num>
  <w:num w:numId="5">
    <w:abstractNumId w:val="9"/>
  </w:num>
  <w:num w:numId="6">
    <w:abstractNumId w:val="42"/>
  </w:num>
  <w:num w:numId="7">
    <w:abstractNumId w:val="43"/>
  </w:num>
  <w:num w:numId="8">
    <w:abstractNumId w:val="3"/>
  </w:num>
  <w:num w:numId="9">
    <w:abstractNumId w:val="13"/>
  </w:num>
  <w:num w:numId="10">
    <w:abstractNumId w:val="2"/>
  </w:num>
  <w:num w:numId="11">
    <w:abstractNumId w:val="38"/>
  </w:num>
  <w:num w:numId="12">
    <w:abstractNumId w:val="15"/>
  </w:num>
  <w:num w:numId="13">
    <w:abstractNumId w:val="23"/>
  </w:num>
  <w:num w:numId="14">
    <w:abstractNumId w:val="20"/>
  </w:num>
  <w:num w:numId="15">
    <w:abstractNumId w:val="14"/>
  </w:num>
  <w:num w:numId="16">
    <w:abstractNumId w:val="33"/>
  </w:num>
  <w:num w:numId="17">
    <w:abstractNumId w:val="21"/>
  </w:num>
  <w:num w:numId="18">
    <w:abstractNumId w:val="7"/>
  </w:num>
  <w:num w:numId="19">
    <w:abstractNumId w:val="28"/>
  </w:num>
  <w:num w:numId="20">
    <w:abstractNumId w:val="40"/>
  </w:num>
  <w:num w:numId="21">
    <w:abstractNumId w:val="12"/>
  </w:num>
  <w:num w:numId="22">
    <w:abstractNumId w:val="5"/>
  </w:num>
  <w:num w:numId="23">
    <w:abstractNumId w:val="41"/>
  </w:num>
  <w:num w:numId="24">
    <w:abstractNumId w:val="4"/>
  </w:num>
  <w:num w:numId="25">
    <w:abstractNumId w:val="44"/>
  </w:num>
  <w:num w:numId="26">
    <w:abstractNumId w:val="10"/>
  </w:num>
  <w:num w:numId="27">
    <w:abstractNumId w:val="30"/>
  </w:num>
  <w:num w:numId="28">
    <w:abstractNumId w:val="36"/>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8"/>
  </w:num>
  <w:num w:numId="32">
    <w:abstractNumId w:val="24"/>
  </w:num>
  <w:num w:numId="33">
    <w:abstractNumId w:val="19"/>
  </w:num>
  <w:num w:numId="34">
    <w:abstractNumId w:val="25"/>
  </w:num>
  <w:num w:numId="35">
    <w:abstractNumId w:val="11"/>
  </w:num>
  <w:num w:numId="36">
    <w:abstractNumId w:val="32"/>
  </w:num>
  <w:num w:numId="37">
    <w:abstractNumId w:val="22"/>
  </w:num>
  <w:num w:numId="38">
    <w:abstractNumId w:val="35"/>
  </w:num>
  <w:num w:numId="39">
    <w:abstractNumId w:val="31"/>
  </w:num>
  <w:num w:numId="40">
    <w:abstractNumId w:val="17"/>
  </w:num>
  <w:num w:numId="41">
    <w:abstractNumId w:val="27"/>
  </w:num>
  <w:num w:numId="42">
    <w:abstractNumId w:val="34"/>
  </w:num>
  <w:num w:numId="43">
    <w:abstractNumId w:val="1"/>
  </w:num>
  <w:num w:numId="44">
    <w:abstractNumId w:val="26"/>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6"/>
  </w:num>
  <w:num w:numId="48">
    <w:abstractNumId w:val="3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1A6"/>
    <w:rsid w:val="00000446"/>
    <w:rsid w:val="000004A0"/>
    <w:rsid w:val="00000541"/>
    <w:rsid w:val="000005D9"/>
    <w:rsid w:val="00000944"/>
    <w:rsid w:val="000009C8"/>
    <w:rsid w:val="00000DA9"/>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DA2"/>
    <w:rsid w:val="000030FD"/>
    <w:rsid w:val="000034D9"/>
    <w:rsid w:val="0000363B"/>
    <w:rsid w:val="000038DF"/>
    <w:rsid w:val="00003CF0"/>
    <w:rsid w:val="00003D5E"/>
    <w:rsid w:val="000041B5"/>
    <w:rsid w:val="00004243"/>
    <w:rsid w:val="00004572"/>
    <w:rsid w:val="00004794"/>
    <w:rsid w:val="00004856"/>
    <w:rsid w:val="000049D2"/>
    <w:rsid w:val="00004AE1"/>
    <w:rsid w:val="00004C13"/>
    <w:rsid w:val="00004D62"/>
    <w:rsid w:val="00004E2B"/>
    <w:rsid w:val="00004EA8"/>
    <w:rsid w:val="00004F22"/>
    <w:rsid w:val="0000502F"/>
    <w:rsid w:val="0000509C"/>
    <w:rsid w:val="0000524E"/>
    <w:rsid w:val="0000535E"/>
    <w:rsid w:val="000054F4"/>
    <w:rsid w:val="0000577E"/>
    <w:rsid w:val="00005A86"/>
    <w:rsid w:val="00005BF1"/>
    <w:rsid w:val="00005D49"/>
    <w:rsid w:val="00005ECF"/>
    <w:rsid w:val="00006073"/>
    <w:rsid w:val="00006384"/>
    <w:rsid w:val="0000657E"/>
    <w:rsid w:val="0000683F"/>
    <w:rsid w:val="00006DE1"/>
    <w:rsid w:val="00006F30"/>
    <w:rsid w:val="00006F51"/>
    <w:rsid w:val="000070C0"/>
    <w:rsid w:val="000074AB"/>
    <w:rsid w:val="00007823"/>
    <w:rsid w:val="00007CD6"/>
    <w:rsid w:val="00007E95"/>
    <w:rsid w:val="000102A9"/>
    <w:rsid w:val="000107D7"/>
    <w:rsid w:val="000108EE"/>
    <w:rsid w:val="000109AB"/>
    <w:rsid w:val="00010A80"/>
    <w:rsid w:val="00010AE7"/>
    <w:rsid w:val="00011113"/>
    <w:rsid w:val="00011499"/>
    <w:rsid w:val="0001179C"/>
    <w:rsid w:val="00011C5A"/>
    <w:rsid w:val="00011D0F"/>
    <w:rsid w:val="00011F15"/>
    <w:rsid w:val="00011F8F"/>
    <w:rsid w:val="00012067"/>
    <w:rsid w:val="000121FB"/>
    <w:rsid w:val="00012220"/>
    <w:rsid w:val="00012251"/>
    <w:rsid w:val="000122B0"/>
    <w:rsid w:val="000123A9"/>
    <w:rsid w:val="000124DA"/>
    <w:rsid w:val="00012741"/>
    <w:rsid w:val="00012A6F"/>
    <w:rsid w:val="00012ABF"/>
    <w:rsid w:val="00012BB1"/>
    <w:rsid w:val="0001303D"/>
    <w:rsid w:val="000130E7"/>
    <w:rsid w:val="0001318D"/>
    <w:rsid w:val="0001338E"/>
    <w:rsid w:val="000134FE"/>
    <w:rsid w:val="0001369E"/>
    <w:rsid w:val="00013C90"/>
    <w:rsid w:val="0001400A"/>
    <w:rsid w:val="0001406F"/>
    <w:rsid w:val="0001427A"/>
    <w:rsid w:val="000146B4"/>
    <w:rsid w:val="000147AE"/>
    <w:rsid w:val="0001483A"/>
    <w:rsid w:val="00014CE6"/>
    <w:rsid w:val="00014D18"/>
    <w:rsid w:val="00014D90"/>
    <w:rsid w:val="00014E97"/>
    <w:rsid w:val="00014FCD"/>
    <w:rsid w:val="0001508A"/>
    <w:rsid w:val="000151F9"/>
    <w:rsid w:val="0001553A"/>
    <w:rsid w:val="00015AE5"/>
    <w:rsid w:val="00015D73"/>
    <w:rsid w:val="00015F1F"/>
    <w:rsid w:val="0001601E"/>
    <w:rsid w:val="0001638D"/>
    <w:rsid w:val="0001644C"/>
    <w:rsid w:val="000165A7"/>
    <w:rsid w:val="00016A8C"/>
    <w:rsid w:val="00016BE7"/>
    <w:rsid w:val="00016C98"/>
    <w:rsid w:val="00016D01"/>
    <w:rsid w:val="00016E57"/>
    <w:rsid w:val="00016F0B"/>
    <w:rsid w:val="00016F40"/>
    <w:rsid w:val="0001723C"/>
    <w:rsid w:val="00017329"/>
    <w:rsid w:val="000173DF"/>
    <w:rsid w:val="000176E0"/>
    <w:rsid w:val="00017A17"/>
    <w:rsid w:val="00017A6B"/>
    <w:rsid w:val="00017F5F"/>
    <w:rsid w:val="0002017A"/>
    <w:rsid w:val="00020435"/>
    <w:rsid w:val="000204A2"/>
    <w:rsid w:val="000207D4"/>
    <w:rsid w:val="00020939"/>
    <w:rsid w:val="0002096E"/>
    <w:rsid w:val="000213A8"/>
    <w:rsid w:val="000213C7"/>
    <w:rsid w:val="000216FA"/>
    <w:rsid w:val="000217AE"/>
    <w:rsid w:val="00021887"/>
    <w:rsid w:val="000218A4"/>
    <w:rsid w:val="000218C7"/>
    <w:rsid w:val="00021A9B"/>
    <w:rsid w:val="00021CAE"/>
    <w:rsid w:val="00021CB5"/>
    <w:rsid w:val="00022295"/>
    <w:rsid w:val="000223C4"/>
    <w:rsid w:val="00022593"/>
    <w:rsid w:val="000225BC"/>
    <w:rsid w:val="000225C4"/>
    <w:rsid w:val="0002262A"/>
    <w:rsid w:val="00022976"/>
    <w:rsid w:val="00022E82"/>
    <w:rsid w:val="00022FA6"/>
    <w:rsid w:val="0002306C"/>
    <w:rsid w:val="00023252"/>
    <w:rsid w:val="000232B3"/>
    <w:rsid w:val="00023585"/>
    <w:rsid w:val="00023680"/>
    <w:rsid w:val="00023815"/>
    <w:rsid w:val="00023ACE"/>
    <w:rsid w:val="00023D86"/>
    <w:rsid w:val="00023DCE"/>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E3"/>
    <w:rsid w:val="0002683B"/>
    <w:rsid w:val="00026C7F"/>
    <w:rsid w:val="00026E5E"/>
    <w:rsid w:val="00026EAF"/>
    <w:rsid w:val="000271DE"/>
    <w:rsid w:val="000271E5"/>
    <w:rsid w:val="000275B5"/>
    <w:rsid w:val="00027691"/>
    <w:rsid w:val="000278ED"/>
    <w:rsid w:val="0002793D"/>
    <w:rsid w:val="000279DA"/>
    <w:rsid w:val="00027A0B"/>
    <w:rsid w:val="00027C11"/>
    <w:rsid w:val="00027D27"/>
    <w:rsid w:val="00027D31"/>
    <w:rsid w:val="00030197"/>
    <w:rsid w:val="000302B3"/>
    <w:rsid w:val="0003052B"/>
    <w:rsid w:val="00030600"/>
    <w:rsid w:val="00030607"/>
    <w:rsid w:val="00030D66"/>
    <w:rsid w:val="00030D92"/>
    <w:rsid w:val="000311C8"/>
    <w:rsid w:val="000311CB"/>
    <w:rsid w:val="00031596"/>
    <w:rsid w:val="00031719"/>
    <w:rsid w:val="000317C1"/>
    <w:rsid w:val="000317DB"/>
    <w:rsid w:val="00031DFE"/>
    <w:rsid w:val="00031FEF"/>
    <w:rsid w:val="0003201D"/>
    <w:rsid w:val="00032279"/>
    <w:rsid w:val="00032616"/>
    <w:rsid w:val="00032843"/>
    <w:rsid w:val="00032939"/>
    <w:rsid w:val="00032F3A"/>
    <w:rsid w:val="00033002"/>
    <w:rsid w:val="0003322E"/>
    <w:rsid w:val="0003324C"/>
    <w:rsid w:val="0003335E"/>
    <w:rsid w:val="00033504"/>
    <w:rsid w:val="0003364B"/>
    <w:rsid w:val="0003368D"/>
    <w:rsid w:val="00033A46"/>
    <w:rsid w:val="00033BB2"/>
    <w:rsid w:val="00033C4A"/>
    <w:rsid w:val="00034241"/>
    <w:rsid w:val="00034478"/>
    <w:rsid w:val="00034865"/>
    <w:rsid w:val="00034D18"/>
    <w:rsid w:val="00034F7F"/>
    <w:rsid w:val="000352B1"/>
    <w:rsid w:val="00035683"/>
    <w:rsid w:val="00035979"/>
    <w:rsid w:val="00035A41"/>
    <w:rsid w:val="00035A8C"/>
    <w:rsid w:val="00035B29"/>
    <w:rsid w:val="00035C6C"/>
    <w:rsid w:val="00035E2C"/>
    <w:rsid w:val="00035EC1"/>
    <w:rsid w:val="00036085"/>
    <w:rsid w:val="0003613F"/>
    <w:rsid w:val="00036321"/>
    <w:rsid w:val="00036476"/>
    <w:rsid w:val="000368D3"/>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A68"/>
    <w:rsid w:val="00040E0A"/>
    <w:rsid w:val="00041274"/>
    <w:rsid w:val="000416D1"/>
    <w:rsid w:val="0004170A"/>
    <w:rsid w:val="0004177C"/>
    <w:rsid w:val="00041A98"/>
    <w:rsid w:val="00041C5D"/>
    <w:rsid w:val="00041CBD"/>
    <w:rsid w:val="0004208D"/>
    <w:rsid w:val="000422D2"/>
    <w:rsid w:val="00042522"/>
    <w:rsid w:val="00042581"/>
    <w:rsid w:val="00042640"/>
    <w:rsid w:val="00042C53"/>
    <w:rsid w:val="00043061"/>
    <w:rsid w:val="000432F2"/>
    <w:rsid w:val="00043454"/>
    <w:rsid w:val="00043472"/>
    <w:rsid w:val="000434BB"/>
    <w:rsid w:val="00043630"/>
    <w:rsid w:val="00043973"/>
    <w:rsid w:val="00043D2F"/>
    <w:rsid w:val="00043E00"/>
    <w:rsid w:val="00043E92"/>
    <w:rsid w:val="00043FC8"/>
    <w:rsid w:val="000440FA"/>
    <w:rsid w:val="00044137"/>
    <w:rsid w:val="000441E1"/>
    <w:rsid w:val="0004439F"/>
    <w:rsid w:val="00044453"/>
    <w:rsid w:val="00044585"/>
    <w:rsid w:val="000445F1"/>
    <w:rsid w:val="00044756"/>
    <w:rsid w:val="000447A2"/>
    <w:rsid w:val="0004488A"/>
    <w:rsid w:val="000449F4"/>
    <w:rsid w:val="00044AED"/>
    <w:rsid w:val="00044D67"/>
    <w:rsid w:val="00044EEA"/>
    <w:rsid w:val="00044FCF"/>
    <w:rsid w:val="00044FE4"/>
    <w:rsid w:val="00045049"/>
    <w:rsid w:val="00045091"/>
    <w:rsid w:val="0004539C"/>
    <w:rsid w:val="000453F2"/>
    <w:rsid w:val="00045754"/>
    <w:rsid w:val="0004586D"/>
    <w:rsid w:val="00045940"/>
    <w:rsid w:val="00045AA2"/>
    <w:rsid w:val="00045BF1"/>
    <w:rsid w:val="00045EA7"/>
    <w:rsid w:val="00045FBB"/>
    <w:rsid w:val="0004603D"/>
    <w:rsid w:val="00046507"/>
    <w:rsid w:val="00046695"/>
    <w:rsid w:val="000466CD"/>
    <w:rsid w:val="000467BF"/>
    <w:rsid w:val="00046A62"/>
    <w:rsid w:val="00046CE7"/>
    <w:rsid w:val="000470A0"/>
    <w:rsid w:val="000470DC"/>
    <w:rsid w:val="00047635"/>
    <w:rsid w:val="00047682"/>
    <w:rsid w:val="00047918"/>
    <w:rsid w:val="00047BD4"/>
    <w:rsid w:val="00047BFE"/>
    <w:rsid w:val="00047D6D"/>
    <w:rsid w:val="00047D7E"/>
    <w:rsid w:val="0005054D"/>
    <w:rsid w:val="00050563"/>
    <w:rsid w:val="00050A34"/>
    <w:rsid w:val="00050B06"/>
    <w:rsid w:val="00050C82"/>
    <w:rsid w:val="00050E01"/>
    <w:rsid w:val="00051574"/>
    <w:rsid w:val="00051998"/>
    <w:rsid w:val="00051D01"/>
    <w:rsid w:val="00051F4C"/>
    <w:rsid w:val="00051F91"/>
    <w:rsid w:val="00052293"/>
    <w:rsid w:val="000523BA"/>
    <w:rsid w:val="0005250E"/>
    <w:rsid w:val="0005256E"/>
    <w:rsid w:val="000525FC"/>
    <w:rsid w:val="00052901"/>
    <w:rsid w:val="000529C7"/>
    <w:rsid w:val="000529E9"/>
    <w:rsid w:val="00052BBD"/>
    <w:rsid w:val="00052ED1"/>
    <w:rsid w:val="00052EF0"/>
    <w:rsid w:val="00052FDE"/>
    <w:rsid w:val="000532C2"/>
    <w:rsid w:val="0005341C"/>
    <w:rsid w:val="000534A5"/>
    <w:rsid w:val="00053511"/>
    <w:rsid w:val="000535A4"/>
    <w:rsid w:val="0005371F"/>
    <w:rsid w:val="0005394F"/>
    <w:rsid w:val="00053A36"/>
    <w:rsid w:val="00053D02"/>
    <w:rsid w:val="000541DC"/>
    <w:rsid w:val="000541FC"/>
    <w:rsid w:val="000548E2"/>
    <w:rsid w:val="00054B77"/>
    <w:rsid w:val="00054D80"/>
    <w:rsid w:val="00054EFA"/>
    <w:rsid w:val="00054FE3"/>
    <w:rsid w:val="000550FE"/>
    <w:rsid w:val="0005512D"/>
    <w:rsid w:val="00055141"/>
    <w:rsid w:val="000554E1"/>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A22"/>
    <w:rsid w:val="00056E1D"/>
    <w:rsid w:val="000571E2"/>
    <w:rsid w:val="0005738D"/>
    <w:rsid w:val="00057516"/>
    <w:rsid w:val="00057852"/>
    <w:rsid w:val="000602E2"/>
    <w:rsid w:val="00060461"/>
    <w:rsid w:val="00060A1A"/>
    <w:rsid w:val="00060A9E"/>
    <w:rsid w:val="00060BC6"/>
    <w:rsid w:val="00060D08"/>
    <w:rsid w:val="00061108"/>
    <w:rsid w:val="000616E0"/>
    <w:rsid w:val="0006179A"/>
    <w:rsid w:val="00061AAB"/>
    <w:rsid w:val="00061CCB"/>
    <w:rsid w:val="00061DF2"/>
    <w:rsid w:val="0006203E"/>
    <w:rsid w:val="00062A81"/>
    <w:rsid w:val="00062C12"/>
    <w:rsid w:val="00062C6C"/>
    <w:rsid w:val="00062D90"/>
    <w:rsid w:val="00062E45"/>
    <w:rsid w:val="00062E49"/>
    <w:rsid w:val="00062E6D"/>
    <w:rsid w:val="0006356D"/>
    <w:rsid w:val="00063594"/>
    <w:rsid w:val="000638CA"/>
    <w:rsid w:val="00063AEE"/>
    <w:rsid w:val="00063C93"/>
    <w:rsid w:val="00064047"/>
    <w:rsid w:val="000644B3"/>
    <w:rsid w:val="000648C8"/>
    <w:rsid w:val="00064A14"/>
    <w:rsid w:val="00064A68"/>
    <w:rsid w:val="00064E9A"/>
    <w:rsid w:val="0006505E"/>
    <w:rsid w:val="00065351"/>
    <w:rsid w:val="000656A6"/>
    <w:rsid w:val="00065A95"/>
    <w:rsid w:val="00065E18"/>
    <w:rsid w:val="00065E8A"/>
    <w:rsid w:val="00065EF7"/>
    <w:rsid w:val="000663E8"/>
    <w:rsid w:val="00066589"/>
    <w:rsid w:val="000665DC"/>
    <w:rsid w:val="00066762"/>
    <w:rsid w:val="00066B04"/>
    <w:rsid w:val="00066B6D"/>
    <w:rsid w:val="00066CC1"/>
    <w:rsid w:val="00066E32"/>
    <w:rsid w:val="00067013"/>
    <w:rsid w:val="00067354"/>
    <w:rsid w:val="00067464"/>
    <w:rsid w:val="000677FB"/>
    <w:rsid w:val="000679A1"/>
    <w:rsid w:val="00067ABB"/>
    <w:rsid w:val="00067C8A"/>
    <w:rsid w:val="00067D62"/>
    <w:rsid w:val="00070013"/>
    <w:rsid w:val="00070074"/>
    <w:rsid w:val="0007019E"/>
    <w:rsid w:val="00070638"/>
    <w:rsid w:val="00070974"/>
    <w:rsid w:val="00070B05"/>
    <w:rsid w:val="00070D5D"/>
    <w:rsid w:val="00071238"/>
    <w:rsid w:val="0007183D"/>
    <w:rsid w:val="00071B22"/>
    <w:rsid w:val="00071BF1"/>
    <w:rsid w:val="00071E4A"/>
    <w:rsid w:val="00071E8E"/>
    <w:rsid w:val="00072107"/>
    <w:rsid w:val="0007214A"/>
    <w:rsid w:val="000723DB"/>
    <w:rsid w:val="000725B0"/>
    <w:rsid w:val="000725F1"/>
    <w:rsid w:val="00072787"/>
    <w:rsid w:val="00072989"/>
    <w:rsid w:val="00072D28"/>
    <w:rsid w:val="00072FAD"/>
    <w:rsid w:val="00073005"/>
    <w:rsid w:val="0007310D"/>
    <w:rsid w:val="0007311D"/>
    <w:rsid w:val="00073135"/>
    <w:rsid w:val="0007374C"/>
    <w:rsid w:val="00073FE9"/>
    <w:rsid w:val="000742AD"/>
    <w:rsid w:val="0007452E"/>
    <w:rsid w:val="000745DB"/>
    <w:rsid w:val="000747F7"/>
    <w:rsid w:val="00074BAA"/>
    <w:rsid w:val="00074CA6"/>
    <w:rsid w:val="00074CF0"/>
    <w:rsid w:val="00074E46"/>
    <w:rsid w:val="00074F6F"/>
    <w:rsid w:val="00075018"/>
    <w:rsid w:val="000752A0"/>
    <w:rsid w:val="000752CD"/>
    <w:rsid w:val="00075930"/>
    <w:rsid w:val="00075B63"/>
    <w:rsid w:val="00075BA9"/>
    <w:rsid w:val="00076059"/>
    <w:rsid w:val="00076125"/>
    <w:rsid w:val="000762D0"/>
    <w:rsid w:val="000763E7"/>
    <w:rsid w:val="00076B14"/>
    <w:rsid w:val="00076B2F"/>
    <w:rsid w:val="0007709A"/>
    <w:rsid w:val="00077176"/>
    <w:rsid w:val="00077182"/>
    <w:rsid w:val="00077397"/>
    <w:rsid w:val="00077754"/>
    <w:rsid w:val="00077A62"/>
    <w:rsid w:val="000801B0"/>
    <w:rsid w:val="000801CE"/>
    <w:rsid w:val="00080375"/>
    <w:rsid w:val="000803BF"/>
    <w:rsid w:val="00080580"/>
    <w:rsid w:val="00080597"/>
    <w:rsid w:val="0008072E"/>
    <w:rsid w:val="00080AA2"/>
    <w:rsid w:val="00080B82"/>
    <w:rsid w:val="00080CEF"/>
    <w:rsid w:val="000810A6"/>
    <w:rsid w:val="00081399"/>
    <w:rsid w:val="000814AB"/>
    <w:rsid w:val="000815C4"/>
    <w:rsid w:val="000815E6"/>
    <w:rsid w:val="00081867"/>
    <w:rsid w:val="00081922"/>
    <w:rsid w:val="00081CBF"/>
    <w:rsid w:val="00081D79"/>
    <w:rsid w:val="00082051"/>
    <w:rsid w:val="000821C7"/>
    <w:rsid w:val="000824E6"/>
    <w:rsid w:val="0008259C"/>
    <w:rsid w:val="0008259F"/>
    <w:rsid w:val="00082843"/>
    <w:rsid w:val="00082992"/>
    <w:rsid w:val="00082A29"/>
    <w:rsid w:val="00082A3B"/>
    <w:rsid w:val="00082B97"/>
    <w:rsid w:val="00082C7E"/>
    <w:rsid w:val="00082E09"/>
    <w:rsid w:val="00082E38"/>
    <w:rsid w:val="00082E7C"/>
    <w:rsid w:val="00082ED2"/>
    <w:rsid w:val="00082FC7"/>
    <w:rsid w:val="00083045"/>
    <w:rsid w:val="000834A4"/>
    <w:rsid w:val="00083524"/>
    <w:rsid w:val="00083588"/>
    <w:rsid w:val="00083770"/>
    <w:rsid w:val="00083955"/>
    <w:rsid w:val="00083B46"/>
    <w:rsid w:val="00083D2D"/>
    <w:rsid w:val="00083D9C"/>
    <w:rsid w:val="0008431E"/>
    <w:rsid w:val="000843B8"/>
    <w:rsid w:val="000844AA"/>
    <w:rsid w:val="00084559"/>
    <w:rsid w:val="00084597"/>
    <w:rsid w:val="000845AB"/>
    <w:rsid w:val="00084609"/>
    <w:rsid w:val="00084816"/>
    <w:rsid w:val="00084874"/>
    <w:rsid w:val="00084A9E"/>
    <w:rsid w:val="00085103"/>
    <w:rsid w:val="00085502"/>
    <w:rsid w:val="000855F2"/>
    <w:rsid w:val="000856B3"/>
    <w:rsid w:val="00085790"/>
    <w:rsid w:val="00085987"/>
    <w:rsid w:val="00085D5A"/>
    <w:rsid w:val="00086479"/>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9E7"/>
    <w:rsid w:val="00087BFF"/>
    <w:rsid w:val="00087E54"/>
    <w:rsid w:val="00090194"/>
    <w:rsid w:val="00090204"/>
    <w:rsid w:val="000904B0"/>
    <w:rsid w:val="0009067F"/>
    <w:rsid w:val="0009096A"/>
    <w:rsid w:val="00090A28"/>
    <w:rsid w:val="00090CA1"/>
    <w:rsid w:val="00090D7A"/>
    <w:rsid w:val="00090D7C"/>
    <w:rsid w:val="00090FCE"/>
    <w:rsid w:val="0009125A"/>
    <w:rsid w:val="000912F2"/>
    <w:rsid w:val="00091641"/>
    <w:rsid w:val="00091891"/>
    <w:rsid w:val="00091B6C"/>
    <w:rsid w:val="00091B92"/>
    <w:rsid w:val="00091BE7"/>
    <w:rsid w:val="00091C1A"/>
    <w:rsid w:val="00091EDC"/>
    <w:rsid w:val="000924CA"/>
    <w:rsid w:val="000924E6"/>
    <w:rsid w:val="00092555"/>
    <w:rsid w:val="0009270E"/>
    <w:rsid w:val="00092951"/>
    <w:rsid w:val="000929C8"/>
    <w:rsid w:val="00092BB2"/>
    <w:rsid w:val="00092C69"/>
    <w:rsid w:val="00092CB7"/>
    <w:rsid w:val="00092D33"/>
    <w:rsid w:val="00093135"/>
    <w:rsid w:val="00093157"/>
    <w:rsid w:val="0009322C"/>
    <w:rsid w:val="00093246"/>
    <w:rsid w:val="00093479"/>
    <w:rsid w:val="0009363D"/>
    <w:rsid w:val="00093666"/>
    <w:rsid w:val="000936E5"/>
    <w:rsid w:val="00093D74"/>
    <w:rsid w:val="00093D9C"/>
    <w:rsid w:val="00094054"/>
    <w:rsid w:val="00094088"/>
    <w:rsid w:val="00094090"/>
    <w:rsid w:val="0009411D"/>
    <w:rsid w:val="0009422B"/>
    <w:rsid w:val="0009495A"/>
    <w:rsid w:val="000949B1"/>
    <w:rsid w:val="00094B35"/>
    <w:rsid w:val="00094D19"/>
    <w:rsid w:val="00094D92"/>
    <w:rsid w:val="00094DAE"/>
    <w:rsid w:val="00094E1A"/>
    <w:rsid w:val="00094F48"/>
    <w:rsid w:val="00094FC8"/>
    <w:rsid w:val="000950B9"/>
    <w:rsid w:val="0009539B"/>
    <w:rsid w:val="00095400"/>
    <w:rsid w:val="00095483"/>
    <w:rsid w:val="0009562B"/>
    <w:rsid w:val="000958C3"/>
    <w:rsid w:val="000959DD"/>
    <w:rsid w:val="00095BCE"/>
    <w:rsid w:val="00095D64"/>
    <w:rsid w:val="0009604E"/>
    <w:rsid w:val="00096191"/>
    <w:rsid w:val="000961FE"/>
    <w:rsid w:val="000965BB"/>
    <w:rsid w:val="000965CD"/>
    <w:rsid w:val="0009695E"/>
    <w:rsid w:val="00096AEE"/>
    <w:rsid w:val="00096BAA"/>
    <w:rsid w:val="00096DBA"/>
    <w:rsid w:val="00096FC0"/>
    <w:rsid w:val="000973D0"/>
    <w:rsid w:val="000974A0"/>
    <w:rsid w:val="00097573"/>
    <w:rsid w:val="00097609"/>
    <w:rsid w:val="00097769"/>
    <w:rsid w:val="00097810"/>
    <w:rsid w:val="00097B90"/>
    <w:rsid w:val="00097C2F"/>
    <w:rsid w:val="00097C32"/>
    <w:rsid w:val="00097F19"/>
    <w:rsid w:val="000A00F1"/>
    <w:rsid w:val="000A0310"/>
    <w:rsid w:val="000A033E"/>
    <w:rsid w:val="000A0392"/>
    <w:rsid w:val="000A05E9"/>
    <w:rsid w:val="000A095E"/>
    <w:rsid w:val="000A0DD1"/>
    <w:rsid w:val="000A0F23"/>
    <w:rsid w:val="000A1058"/>
    <w:rsid w:val="000A138B"/>
    <w:rsid w:val="000A1599"/>
    <w:rsid w:val="000A1618"/>
    <w:rsid w:val="000A169E"/>
    <w:rsid w:val="000A17BA"/>
    <w:rsid w:val="000A195C"/>
    <w:rsid w:val="000A19DF"/>
    <w:rsid w:val="000A1D01"/>
    <w:rsid w:val="000A1EE6"/>
    <w:rsid w:val="000A219E"/>
    <w:rsid w:val="000A23AC"/>
    <w:rsid w:val="000A272A"/>
    <w:rsid w:val="000A288D"/>
    <w:rsid w:val="000A299E"/>
    <w:rsid w:val="000A2B6D"/>
    <w:rsid w:val="000A2E31"/>
    <w:rsid w:val="000A2FB8"/>
    <w:rsid w:val="000A321F"/>
    <w:rsid w:val="000A3280"/>
    <w:rsid w:val="000A34DC"/>
    <w:rsid w:val="000A3595"/>
    <w:rsid w:val="000A35B8"/>
    <w:rsid w:val="000A3991"/>
    <w:rsid w:val="000A3A0A"/>
    <w:rsid w:val="000A3D95"/>
    <w:rsid w:val="000A3DD4"/>
    <w:rsid w:val="000A3E4B"/>
    <w:rsid w:val="000A4050"/>
    <w:rsid w:val="000A4085"/>
    <w:rsid w:val="000A44AD"/>
    <w:rsid w:val="000A466C"/>
    <w:rsid w:val="000A4740"/>
    <w:rsid w:val="000A4937"/>
    <w:rsid w:val="000A4982"/>
    <w:rsid w:val="000A49D5"/>
    <w:rsid w:val="000A4ADE"/>
    <w:rsid w:val="000A52DE"/>
    <w:rsid w:val="000A52EB"/>
    <w:rsid w:val="000A5586"/>
    <w:rsid w:val="000A5A28"/>
    <w:rsid w:val="000A5A48"/>
    <w:rsid w:val="000A5CF7"/>
    <w:rsid w:val="000A5D82"/>
    <w:rsid w:val="000A5DBA"/>
    <w:rsid w:val="000A5DE5"/>
    <w:rsid w:val="000A5E3F"/>
    <w:rsid w:val="000A5F37"/>
    <w:rsid w:val="000A616E"/>
    <w:rsid w:val="000A6293"/>
    <w:rsid w:val="000A65AF"/>
    <w:rsid w:val="000A65BF"/>
    <w:rsid w:val="000A65EE"/>
    <w:rsid w:val="000A66C2"/>
    <w:rsid w:val="000A66CC"/>
    <w:rsid w:val="000A66E3"/>
    <w:rsid w:val="000A67CE"/>
    <w:rsid w:val="000A6833"/>
    <w:rsid w:val="000A6B12"/>
    <w:rsid w:val="000A6CC5"/>
    <w:rsid w:val="000A6DFA"/>
    <w:rsid w:val="000A743B"/>
    <w:rsid w:val="000A744C"/>
    <w:rsid w:val="000A74FC"/>
    <w:rsid w:val="000A7785"/>
    <w:rsid w:val="000A7979"/>
    <w:rsid w:val="000A79F7"/>
    <w:rsid w:val="000A7AEA"/>
    <w:rsid w:val="000A7DF2"/>
    <w:rsid w:val="000B0675"/>
    <w:rsid w:val="000B06C5"/>
    <w:rsid w:val="000B090A"/>
    <w:rsid w:val="000B0A11"/>
    <w:rsid w:val="000B0C6F"/>
    <w:rsid w:val="000B0DC0"/>
    <w:rsid w:val="000B0F5D"/>
    <w:rsid w:val="000B0FD3"/>
    <w:rsid w:val="000B0FDD"/>
    <w:rsid w:val="000B0FEB"/>
    <w:rsid w:val="000B1107"/>
    <w:rsid w:val="000B1301"/>
    <w:rsid w:val="000B13DC"/>
    <w:rsid w:val="000B1437"/>
    <w:rsid w:val="000B14AE"/>
    <w:rsid w:val="000B15EC"/>
    <w:rsid w:val="000B1674"/>
    <w:rsid w:val="000B16CB"/>
    <w:rsid w:val="000B19DF"/>
    <w:rsid w:val="000B1D8E"/>
    <w:rsid w:val="000B1DEC"/>
    <w:rsid w:val="000B2264"/>
    <w:rsid w:val="000B234C"/>
    <w:rsid w:val="000B2515"/>
    <w:rsid w:val="000B282E"/>
    <w:rsid w:val="000B292A"/>
    <w:rsid w:val="000B2ECA"/>
    <w:rsid w:val="000B31BC"/>
    <w:rsid w:val="000B3566"/>
    <w:rsid w:val="000B377E"/>
    <w:rsid w:val="000B386D"/>
    <w:rsid w:val="000B3933"/>
    <w:rsid w:val="000B3A97"/>
    <w:rsid w:val="000B3B91"/>
    <w:rsid w:val="000B3DF0"/>
    <w:rsid w:val="000B4374"/>
    <w:rsid w:val="000B44D2"/>
    <w:rsid w:val="000B4568"/>
    <w:rsid w:val="000B47A9"/>
    <w:rsid w:val="000B4981"/>
    <w:rsid w:val="000B4A0A"/>
    <w:rsid w:val="000B4DD5"/>
    <w:rsid w:val="000B4FA2"/>
    <w:rsid w:val="000B5023"/>
    <w:rsid w:val="000B509D"/>
    <w:rsid w:val="000B5262"/>
    <w:rsid w:val="000B5337"/>
    <w:rsid w:val="000B534F"/>
    <w:rsid w:val="000B55F3"/>
    <w:rsid w:val="000B5A29"/>
    <w:rsid w:val="000B5AC5"/>
    <w:rsid w:val="000B5E28"/>
    <w:rsid w:val="000B5EBB"/>
    <w:rsid w:val="000B5EDB"/>
    <w:rsid w:val="000B63A3"/>
    <w:rsid w:val="000B6664"/>
    <w:rsid w:val="000B6AD5"/>
    <w:rsid w:val="000B6D77"/>
    <w:rsid w:val="000B7054"/>
    <w:rsid w:val="000B7264"/>
    <w:rsid w:val="000B72C0"/>
    <w:rsid w:val="000B79E8"/>
    <w:rsid w:val="000B7ABE"/>
    <w:rsid w:val="000B7C7D"/>
    <w:rsid w:val="000C0216"/>
    <w:rsid w:val="000C0230"/>
    <w:rsid w:val="000C05E4"/>
    <w:rsid w:val="000C081F"/>
    <w:rsid w:val="000C0CC8"/>
    <w:rsid w:val="000C0E38"/>
    <w:rsid w:val="000C1215"/>
    <w:rsid w:val="000C12A5"/>
    <w:rsid w:val="000C1445"/>
    <w:rsid w:val="000C1462"/>
    <w:rsid w:val="000C1874"/>
    <w:rsid w:val="000C1987"/>
    <w:rsid w:val="000C1A4E"/>
    <w:rsid w:val="000C1AD7"/>
    <w:rsid w:val="000C1F6F"/>
    <w:rsid w:val="000C1FCB"/>
    <w:rsid w:val="000C1FE7"/>
    <w:rsid w:val="000C21A4"/>
    <w:rsid w:val="000C2460"/>
    <w:rsid w:val="000C269D"/>
    <w:rsid w:val="000C27BC"/>
    <w:rsid w:val="000C2C3D"/>
    <w:rsid w:val="000C2DB7"/>
    <w:rsid w:val="000C2E26"/>
    <w:rsid w:val="000C30EF"/>
    <w:rsid w:val="000C30FE"/>
    <w:rsid w:val="000C319A"/>
    <w:rsid w:val="000C3261"/>
    <w:rsid w:val="000C3374"/>
    <w:rsid w:val="000C338B"/>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B65"/>
    <w:rsid w:val="000C4D93"/>
    <w:rsid w:val="000C4ED2"/>
    <w:rsid w:val="000C4F81"/>
    <w:rsid w:val="000C5149"/>
    <w:rsid w:val="000C5154"/>
    <w:rsid w:val="000C538B"/>
    <w:rsid w:val="000C54FF"/>
    <w:rsid w:val="000C55A0"/>
    <w:rsid w:val="000C571C"/>
    <w:rsid w:val="000C5AC2"/>
    <w:rsid w:val="000C5C67"/>
    <w:rsid w:val="000C5ED5"/>
    <w:rsid w:val="000C5FC8"/>
    <w:rsid w:val="000C649A"/>
    <w:rsid w:val="000C649E"/>
    <w:rsid w:val="000C6542"/>
    <w:rsid w:val="000C665A"/>
    <w:rsid w:val="000C665B"/>
    <w:rsid w:val="000C6A07"/>
    <w:rsid w:val="000C6A85"/>
    <w:rsid w:val="000C6B3F"/>
    <w:rsid w:val="000C6F96"/>
    <w:rsid w:val="000C6FD8"/>
    <w:rsid w:val="000C737B"/>
    <w:rsid w:val="000C73A1"/>
    <w:rsid w:val="000C746C"/>
    <w:rsid w:val="000C7528"/>
    <w:rsid w:val="000C75B4"/>
    <w:rsid w:val="000C75B6"/>
    <w:rsid w:val="000C76DA"/>
    <w:rsid w:val="000C77AE"/>
    <w:rsid w:val="000C77DD"/>
    <w:rsid w:val="000C79E2"/>
    <w:rsid w:val="000C7B30"/>
    <w:rsid w:val="000C7E7A"/>
    <w:rsid w:val="000D03EB"/>
    <w:rsid w:val="000D0468"/>
    <w:rsid w:val="000D06B9"/>
    <w:rsid w:val="000D0828"/>
    <w:rsid w:val="000D09FE"/>
    <w:rsid w:val="000D0A27"/>
    <w:rsid w:val="000D0A79"/>
    <w:rsid w:val="000D0D04"/>
    <w:rsid w:val="000D1438"/>
    <w:rsid w:val="000D15C5"/>
    <w:rsid w:val="000D1636"/>
    <w:rsid w:val="000D2011"/>
    <w:rsid w:val="000D2049"/>
    <w:rsid w:val="000D21EF"/>
    <w:rsid w:val="000D2313"/>
    <w:rsid w:val="000D26FE"/>
    <w:rsid w:val="000D2773"/>
    <w:rsid w:val="000D2820"/>
    <w:rsid w:val="000D2832"/>
    <w:rsid w:val="000D29DD"/>
    <w:rsid w:val="000D2D0E"/>
    <w:rsid w:val="000D2D53"/>
    <w:rsid w:val="000D2E84"/>
    <w:rsid w:val="000D342F"/>
    <w:rsid w:val="000D3512"/>
    <w:rsid w:val="000D3829"/>
    <w:rsid w:val="000D38C2"/>
    <w:rsid w:val="000D3974"/>
    <w:rsid w:val="000D3A9C"/>
    <w:rsid w:val="000D3BCF"/>
    <w:rsid w:val="000D3C1B"/>
    <w:rsid w:val="000D3C37"/>
    <w:rsid w:val="000D3D37"/>
    <w:rsid w:val="000D4045"/>
    <w:rsid w:val="000D4054"/>
    <w:rsid w:val="000D422E"/>
    <w:rsid w:val="000D49FC"/>
    <w:rsid w:val="000D4BF4"/>
    <w:rsid w:val="000D535C"/>
    <w:rsid w:val="000D5557"/>
    <w:rsid w:val="000D5819"/>
    <w:rsid w:val="000D5825"/>
    <w:rsid w:val="000D59A4"/>
    <w:rsid w:val="000D59D4"/>
    <w:rsid w:val="000D5BE2"/>
    <w:rsid w:val="000D5C44"/>
    <w:rsid w:val="000D5C46"/>
    <w:rsid w:val="000D5D57"/>
    <w:rsid w:val="000D5D81"/>
    <w:rsid w:val="000D5F5C"/>
    <w:rsid w:val="000D5FEB"/>
    <w:rsid w:val="000D6009"/>
    <w:rsid w:val="000D6248"/>
    <w:rsid w:val="000D6394"/>
    <w:rsid w:val="000D64AA"/>
    <w:rsid w:val="000D66AD"/>
    <w:rsid w:val="000D66C1"/>
    <w:rsid w:val="000D6769"/>
    <w:rsid w:val="000D6787"/>
    <w:rsid w:val="000D6A4A"/>
    <w:rsid w:val="000D6B75"/>
    <w:rsid w:val="000D6BD4"/>
    <w:rsid w:val="000D6D33"/>
    <w:rsid w:val="000D6ECB"/>
    <w:rsid w:val="000D7124"/>
    <w:rsid w:val="000D72A0"/>
    <w:rsid w:val="000D72F3"/>
    <w:rsid w:val="000D74D7"/>
    <w:rsid w:val="000D7AA3"/>
    <w:rsid w:val="000D7AB4"/>
    <w:rsid w:val="000D7DFC"/>
    <w:rsid w:val="000D7F1D"/>
    <w:rsid w:val="000D7F72"/>
    <w:rsid w:val="000E003C"/>
    <w:rsid w:val="000E00E4"/>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51F"/>
    <w:rsid w:val="000E253B"/>
    <w:rsid w:val="000E2572"/>
    <w:rsid w:val="000E2A6E"/>
    <w:rsid w:val="000E2AFF"/>
    <w:rsid w:val="000E2CCB"/>
    <w:rsid w:val="000E2D98"/>
    <w:rsid w:val="000E2F2C"/>
    <w:rsid w:val="000E3092"/>
    <w:rsid w:val="000E30B8"/>
    <w:rsid w:val="000E3168"/>
    <w:rsid w:val="000E3277"/>
    <w:rsid w:val="000E34AA"/>
    <w:rsid w:val="000E3659"/>
    <w:rsid w:val="000E3799"/>
    <w:rsid w:val="000E379B"/>
    <w:rsid w:val="000E3869"/>
    <w:rsid w:val="000E3A67"/>
    <w:rsid w:val="000E3B3C"/>
    <w:rsid w:val="000E3E48"/>
    <w:rsid w:val="000E409C"/>
    <w:rsid w:val="000E4918"/>
    <w:rsid w:val="000E4B12"/>
    <w:rsid w:val="000E50E4"/>
    <w:rsid w:val="000E56D3"/>
    <w:rsid w:val="000E56F7"/>
    <w:rsid w:val="000E5C45"/>
    <w:rsid w:val="000E5EFC"/>
    <w:rsid w:val="000E5F72"/>
    <w:rsid w:val="000E6128"/>
    <w:rsid w:val="000E629D"/>
    <w:rsid w:val="000E630A"/>
    <w:rsid w:val="000E6341"/>
    <w:rsid w:val="000E63F3"/>
    <w:rsid w:val="000E663B"/>
    <w:rsid w:val="000E66CC"/>
    <w:rsid w:val="000E6842"/>
    <w:rsid w:val="000E6850"/>
    <w:rsid w:val="000E6877"/>
    <w:rsid w:val="000E68B7"/>
    <w:rsid w:val="000E6B32"/>
    <w:rsid w:val="000E6B78"/>
    <w:rsid w:val="000E6EC9"/>
    <w:rsid w:val="000E6F5E"/>
    <w:rsid w:val="000E6F6A"/>
    <w:rsid w:val="000E750A"/>
    <w:rsid w:val="000E750B"/>
    <w:rsid w:val="000E76D9"/>
    <w:rsid w:val="000E7806"/>
    <w:rsid w:val="000E791E"/>
    <w:rsid w:val="000E795C"/>
    <w:rsid w:val="000E7B2E"/>
    <w:rsid w:val="000E7C4C"/>
    <w:rsid w:val="000E7F0B"/>
    <w:rsid w:val="000E7F6B"/>
    <w:rsid w:val="000F032B"/>
    <w:rsid w:val="000F03F8"/>
    <w:rsid w:val="000F0407"/>
    <w:rsid w:val="000F06B5"/>
    <w:rsid w:val="000F0739"/>
    <w:rsid w:val="000F077E"/>
    <w:rsid w:val="000F09BD"/>
    <w:rsid w:val="000F0B0E"/>
    <w:rsid w:val="000F0B83"/>
    <w:rsid w:val="000F0FA4"/>
    <w:rsid w:val="000F0FD5"/>
    <w:rsid w:val="000F1011"/>
    <w:rsid w:val="000F1066"/>
    <w:rsid w:val="000F125D"/>
    <w:rsid w:val="000F1276"/>
    <w:rsid w:val="000F14DA"/>
    <w:rsid w:val="000F1536"/>
    <w:rsid w:val="000F16E6"/>
    <w:rsid w:val="000F1762"/>
    <w:rsid w:val="000F1764"/>
    <w:rsid w:val="000F1806"/>
    <w:rsid w:val="000F1829"/>
    <w:rsid w:val="000F19FF"/>
    <w:rsid w:val="000F1A23"/>
    <w:rsid w:val="000F1A7A"/>
    <w:rsid w:val="000F1AF0"/>
    <w:rsid w:val="000F1B39"/>
    <w:rsid w:val="000F1E8D"/>
    <w:rsid w:val="000F20D6"/>
    <w:rsid w:val="000F23E1"/>
    <w:rsid w:val="000F2535"/>
    <w:rsid w:val="000F2910"/>
    <w:rsid w:val="000F29C2"/>
    <w:rsid w:val="000F2B5E"/>
    <w:rsid w:val="000F2EC3"/>
    <w:rsid w:val="000F2F0D"/>
    <w:rsid w:val="000F3099"/>
    <w:rsid w:val="000F3201"/>
    <w:rsid w:val="000F3228"/>
    <w:rsid w:val="000F3280"/>
    <w:rsid w:val="000F328A"/>
    <w:rsid w:val="000F334F"/>
    <w:rsid w:val="000F33AE"/>
    <w:rsid w:val="000F355F"/>
    <w:rsid w:val="000F36C2"/>
    <w:rsid w:val="000F3785"/>
    <w:rsid w:val="000F399F"/>
    <w:rsid w:val="000F3B18"/>
    <w:rsid w:val="000F3B8D"/>
    <w:rsid w:val="000F3E5A"/>
    <w:rsid w:val="000F4277"/>
    <w:rsid w:val="000F46CE"/>
    <w:rsid w:val="000F47F5"/>
    <w:rsid w:val="000F4C6A"/>
    <w:rsid w:val="000F4E05"/>
    <w:rsid w:val="000F4FD4"/>
    <w:rsid w:val="000F51D1"/>
    <w:rsid w:val="000F5310"/>
    <w:rsid w:val="000F53D5"/>
    <w:rsid w:val="000F59CD"/>
    <w:rsid w:val="000F59CE"/>
    <w:rsid w:val="000F5A65"/>
    <w:rsid w:val="000F5F01"/>
    <w:rsid w:val="000F6522"/>
    <w:rsid w:val="000F65DB"/>
    <w:rsid w:val="000F6824"/>
    <w:rsid w:val="000F69A2"/>
    <w:rsid w:val="000F6AB8"/>
    <w:rsid w:val="000F6B80"/>
    <w:rsid w:val="000F6C99"/>
    <w:rsid w:val="000F6D18"/>
    <w:rsid w:val="000F6D40"/>
    <w:rsid w:val="000F6EE7"/>
    <w:rsid w:val="000F6FC6"/>
    <w:rsid w:val="000F7489"/>
    <w:rsid w:val="000F7E74"/>
    <w:rsid w:val="000F7F02"/>
    <w:rsid w:val="000F7FBE"/>
    <w:rsid w:val="000F7FD2"/>
    <w:rsid w:val="00100003"/>
    <w:rsid w:val="00100030"/>
    <w:rsid w:val="00100063"/>
    <w:rsid w:val="00100294"/>
    <w:rsid w:val="001003CE"/>
    <w:rsid w:val="001007F5"/>
    <w:rsid w:val="00100EAD"/>
    <w:rsid w:val="00100F01"/>
    <w:rsid w:val="00101770"/>
    <w:rsid w:val="001017BA"/>
    <w:rsid w:val="0010183F"/>
    <w:rsid w:val="00101BAF"/>
    <w:rsid w:val="00101BCF"/>
    <w:rsid w:val="00101C09"/>
    <w:rsid w:val="00101C1C"/>
    <w:rsid w:val="00101CAB"/>
    <w:rsid w:val="00101EA9"/>
    <w:rsid w:val="00101F1D"/>
    <w:rsid w:val="00101F2F"/>
    <w:rsid w:val="00101F93"/>
    <w:rsid w:val="00101FAF"/>
    <w:rsid w:val="0010207F"/>
    <w:rsid w:val="00102149"/>
    <w:rsid w:val="001027E2"/>
    <w:rsid w:val="00102897"/>
    <w:rsid w:val="001028C8"/>
    <w:rsid w:val="00102C91"/>
    <w:rsid w:val="00102E44"/>
    <w:rsid w:val="00102EF9"/>
    <w:rsid w:val="00103333"/>
    <w:rsid w:val="00103363"/>
    <w:rsid w:val="0010345F"/>
    <w:rsid w:val="0010347C"/>
    <w:rsid w:val="001034E2"/>
    <w:rsid w:val="00103B32"/>
    <w:rsid w:val="00103D31"/>
    <w:rsid w:val="00103DAD"/>
    <w:rsid w:val="00103FCC"/>
    <w:rsid w:val="001041CE"/>
    <w:rsid w:val="00104226"/>
    <w:rsid w:val="0010428B"/>
    <w:rsid w:val="0010438C"/>
    <w:rsid w:val="00104465"/>
    <w:rsid w:val="001045CD"/>
    <w:rsid w:val="001049D1"/>
    <w:rsid w:val="00104C6A"/>
    <w:rsid w:val="00104ED1"/>
    <w:rsid w:val="00105108"/>
    <w:rsid w:val="00105324"/>
    <w:rsid w:val="00105584"/>
    <w:rsid w:val="0010558A"/>
    <w:rsid w:val="00105797"/>
    <w:rsid w:val="00105D95"/>
    <w:rsid w:val="00105E08"/>
    <w:rsid w:val="00105E7B"/>
    <w:rsid w:val="00105FC8"/>
    <w:rsid w:val="00106034"/>
    <w:rsid w:val="00106253"/>
    <w:rsid w:val="0010647B"/>
    <w:rsid w:val="00106744"/>
    <w:rsid w:val="001067E1"/>
    <w:rsid w:val="00106807"/>
    <w:rsid w:val="0010691A"/>
    <w:rsid w:val="00106C83"/>
    <w:rsid w:val="00106D96"/>
    <w:rsid w:val="00106FD4"/>
    <w:rsid w:val="00107402"/>
    <w:rsid w:val="0010740D"/>
    <w:rsid w:val="001074DA"/>
    <w:rsid w:val="00107651"/>
    <w:rsid w:val="0010788E"/>
    <w:rsid w:val="001078A5"/>
    <w:rsid w:val="001102F8"/>
    <w:rsid w:val="001103D4"/>
    <w:rsid w:val="00110C22"/>
    <w:rsid w:val="00110C56"/>
    <w:rsid w:val="00110F1C"/>
    <w:rsid w:val="001110A2"/>
    <w:rsid w:val="001112F7"/>
    <w:rsid w:val="0011136D"/>
    <w:rsid w:val="00111699"/>
    <w:rsid w:val="001116A7"/>
    <w:rsid w:val="001116B4"/>
    <w:rsid w:val="00111DB1"/>
    <w:rsid w:val="00111FCD"/>
    <w:rsid w:val="001120EE"/>
    <w:rsid w:val="001123F3"/>
    <w:rsid w:val="0011253C"/>
    <w:rsid w:val="00112611"/>
    <w:rsid w:val="00112A13"/>
    <w:rsid w:val="00112A9A"/>
    <w:rsid w:val="00112AB7"/>
    <w:rsid w:val="00112C70"/>
    <w:rsid w:val="00112D50"/>
    <w:rsid w:val="00112EAE"/>
    <w:rsid w:val="00112F99"/>
    <w:rsid w:val="001132BC"/>
    <w:rsid w:val="001134FC"/>
    <w:rsid w:val="0011351E"/>
    <w:rsid w:val="001136B7"/>
    <w:rsid w:val="00113809"/>
    <w:rsid w:val="001138A2"/>
    <w:rsid w:val="001139D1"/>
    <w:rsid w:val="00113D3F"/>
    <w:rsid w:val="00113EAE"/>
    <w:rsid w:val="00113F9E"/>
    <w:rsid w:val="001140D2"/>
    <w:rsid w:val="0011450B"/>
    <w:rsid w:val="00114653"/>
    <w:rsid w:val="00114B4E"/>
    <w:rsid w:val="00114E88"/>
    <w:rsid w:val="00114F08"/>
    <w:rsid w:val="0011506F"/>
    <w:rsid w:val="00115234"/>
    <w:rsid w:val="00115AC9"/>
    <w:rsid w:val="00115B1E"/>
    <w:rsid w:val="00115D21"/>
    <w:rsid w:val="00115D91"/>
    <w:rsid w:val="00115F36"/>
    <w:rsid w:val="0011602D"/>
    <w:rsid w:val="00116126"/>
    <w:rsid w:val="00116228"/>
    <w:rsid w:val="00116723"/>
    <w:rsid w:val="00116B0A"/>
    <w:rsid w:val="00116C69"/>
    <w:rsid w:val="00117230"/>
    <w:rsid w:val="00117261"/>
    <w:rsid w:val="0011757C"/>
    <w:rsid w:val="001178E9"/>
    <w:rsid w:val="00117B6A"/>
    <w:rsid w:val="00117CFE"/>
    <w:rsid w:val="00117E42"/>
    <w:rsid w:val="001201AC"/>
    <w:rsid w:val="0012029E"/>
    <w:rsid w:val="001203B1"/>
    <w:rsid w:val="0012049D"/>
    <w:rsid w:val="001204EA"/>
    <w:rsid w:val="0012053F"/>
    <w:rsid w:val="00120623"/>
    <w:rsid w:val="001208C8"/>
    <w:rsid w:val="00120A2E"/>
    <w:rsid w:val="00120B05"/>
    <w:rsid w:val="00120B38"/>
    <w:rsid w:val="00120D53"/>
    <w:rsid w:val="00120F8E"/>
    <w:rsid w:val="0012116A"/>
    <w:rsid w:val="001213BE"/>
    <w:rsid w:val="0012145C"/>
    <w:rsid w:val="00121536"/>
    <w:rsid w:val="00121AC0"/>
    <w:rsid w:val="00121D2A"/>
    <w:rsid w:val="00122008"/>
    <w:rsid w:val="00122011"/>
    <w:rsid w:val="0012242A"/>
    <w:rsid w:val="001225E7"/>
    <w:rsid w:val="0012296A"/>
    <w:rsid w:val="00122AA6"/>
    <w:rsid w:val="00122F43"/>
    <w:rsid w:val="00122F67"/>
    <w:rsid w:val="00123097"/>
    <w:rsid w:val="00123107"/>
    <w:rsid w:val="001234E1"/>
    <w:rsid w:val="00123A26"/>
    <w:rsid w:val="00123B41"/>
    <w:rsid w:val="00123B72"/>
    <w:rsid w:val="00123F52"/>
    <w:rsid w:val="00123FAF"/>
    <w:rsid w:val="0012412E"/>
    <w:rsid w:val="00124627"/>
    <w:rsid w:val="001248A9"/>
    <w:rsid w:val="00124C84"/>
    <w:rsid w:val="00124E7F"/>
    <w:rsid w:val="00125091"/>
    <w:rsid w:val="00125264"/>
    <w:rsid w:val="0012538F"/>
    <w:rsid w:val="001257B1"/>
    <w:rsid w:val="0012584A"/>
    <w:rsid w:val="00125854"/>
    <w:rsid w:val="0012598E"/>
    <w:rsid w:val="001259E6"/>
    <w:rsid w:val="00125DC3"/>
    <w:rsid w:val="00125DD2"/>
    <w:rsid w:val="00125E7B"/>
    <w:rsid w:val="0012601B"/>
    <w:rsid w:val="001260C1"/>
    <w:rsid w:val="00126437"/>
    <w:rsid w:val="001264A9"/>
    <w:rsid w:val="001267F4"/>
    <w:rsid w:val="00126A95"/>
    <w:rsid w:val="00126A9C"/>
    <w:rsid w:val="00126AD2"/>
    <w:rsid w:val="0012722E"/>
    <w:rsid w:val="00127494"/>
    <w:rsid w:val="001274B4"/>
    <w:rsid w:val="001274D7"/>
    <w:rsid w:val="001275A9"/>
    <w:rsid w:val="00127749"/>
    <w:rsid w:val="00127867"/>
    <w:rsid w:val="0012788D"/>
    <w:rsid w:val="0012798F"/>
    <w:rsid w:val="00127999"/>
    <w:rsid w:val="00127DB0"/>
    <w:rsid w:val="001300A3"/>
    <w:rsid w:val="00130105"/>
    <w:rsid w:val="0013013D"/>
    <w:rsid w:val="001301A7"/>
    <w:rsid w:val="001301AE"/>
    <w:rsid w:val="0013021B"/>
    <w:rsid w:val="00130388"/>
    <w:rsid w:val="001303C5"/>
    <w:rsid w:val="001305E4"/>
    <w:rsid w:val="00130676"/>
    <w:rsid w:val="00130E28"/>
    <w:rsid w:val="00130F64"/>
    <w:rsid w:val="00131289"/>
    <w:rsid w:val="00131616"/>
    <w:rsid w:val="0013163F"/>
    <w:rsid w:val="00131A59"/>
    <w:rsid w:val="00131C28"/>
    <w:rsid w:val="00131F18"/>
    <w:rsid w:val="00132003"/>
    <w:rsid w:val="0013245A"/>
    <w:rsid w:val="001326F0"/>
    <w:rsid w:val="00132718"/>
    <w:rsid w:val="00132984"/>
    <w:rsid w:val="00132BAE"/>
    <w:rsid w:val="00132D6A"/>
    <w:rsid w:val="00132FE9"/>
    <w:rsid w:val="00133181"/>
    <w:rsid w:val="001331E4"/>
    <w:rsid w:val="0013320B"/>
    <w:rsid w:val="00133374"/>
    <w:rsid w:val="00133406"/>
    <w:rsid w:val="001334CD"/>
    <w:rsid w:val="00133507"/>
    <w:rsid w:val="001336B3"/>
    <w:rsid w:val="00133C39"/>
    <w:rsid w:val="00133F48"/>
    <w:rsid w:val="00134288"/>
    <w:rsid w:val="001343AF"/>
    <w:rsid w:val="0013479A"/>
    <w:rsid w:val="001347DA"/>
    <w:rsid w:val="00134AD2"/>
    <w:rsid w:val="00134C29"/>
    <w:rsid w:val="00134C8E"/>
    <w:rsid w:val="00134CC9"/>
    <w:rsid w:val="00135123"/>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70DB"/>
    <w:rsid w:val="00137553"/>
    <w:rsid w:val="001375AA"/>
    <w:rsid w:val="001376B8"/>
    <w:rsid w:val="0013783B"/>
    <w:rsid w:val="0013785D"/>
    <w:rsid w:val="0014002A"/>
    <w:rsid w:val="0014019B"/>
    <w:rsid w:val="00140368"/>
    <w:rsid w:val="001404DE"/>
    <w:rsid w:val="001406C1"/>
    <w:rsid w:val="00140A84"/>
    <w:rsid w:val="00140B1D"/>
    <w:rsid w:val="00140DCE"/>
    <w:rsid w:val="00141093"/>
    <w:rsid w:val="001418A8"/>
    <w:rsid w:val="00141A06"/>
    <w:rsid w:val="00141B3B"/>
    <w:rsid w:val="00141D94"/>
    <w:rsid w:val="00141E55"/>
    <w:rsid w:val="00141E63"/>
    <w:rsid w:val="00141F94"/>
    <w:rsid w:val="0014207C"/>
    <w:rsid w:val="001421B0"/>
    <w:rsid w:val="0014246D"/>
    <w:rsid w:val="00142593"/>
    <w:rsid w:val="00142706"/>
    <w:rsid w:val="00142821"/>
    <w:rsid w:val="00142AFC"/>
    <w:rsid w:val="00142C1E"/>
    <w:rsid w:val="00142FBE"/>
    <w:rsid w:val="00143357"/>
    <w:rsid w:val="00143542"/>
    <w:rsid w:val="001437ED"/>
    <w:rsid w:val="00143807"/>
    <w:rsid w:val="0014380D"/>
    <w:rsid w:val="00143889"/>
    <w:rsid w:val="00143A41"/>
    <w:rsid w:val="00143E29"/>
    <w:rsid w:val="00143F95"/>
    <w:rsid w:val="00143F96"/>
    <w:rsid w:val="0014415D"/>
    <w:rsid w:val="0014422B"/>
    <w:rsid w:val="001442D8"/>
    <w:rsid w:val="001447F7"/>
    <w:rsid w:val="001448D3"/>
    <w:rsid w:val="0014490F"/>
    <w:rsid w:val="001449F6"/>
    <w:rsid w:val="00144F54"/>
    <w:rsid w:val="0014508F"/>
    <w:rsid w:val="0014580F"/>
    <w:rsid w:val="00145834"/>
    <w:rsid w:val="0014594A"/>
    <w:rsid w:val="001459E0"/>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3B"/>
    <w:rsid w:val="00146EC7"/>
    <w:rsid w:val="001470CB"/>
    <w:rsid w:val="0014713E"/>
    <w:rsid w:val="00147798"/>
    <w:rsid w:val="00147AC3"/>
    <w:rsid w:val="00147BA0"/>
    <w:rsid w:val="00147C12"/>
    <w:rsid w:val="00147CB1"/>
    <w:rsid w:val="001500CA"/>
    <w:rsid w:val="00150424"/>
    <w:rsid w:val="00150587"/>
    <w:rsid w:val="001507C8"/>
    <w:rsid w:val="00150935"/>
    <w:rsid w:val="00150CD0"/>
    <w:rsid w:val="00150DD5"/>
    <w:rsid w:val="00151174"/>
    <w:rsid w:val="0015154A"/>
    <w:rsid w:val="001518AA"/>
    <w:rsid w:val="0015199E"/>
    <w:rsid w:val="00151C8A"/>
    <w:rsid w:val="00151D27"/>
    <w:rsid w:val="00151E6D"/>
    <w:rsid w:val="00152038"/>
    <w:rsid w:val="00152288"/>
    <w:rsid w:val="001524C0"/>
    <w:rsid w:val="00152770"/>
    <w:rsid w:val="0015283A"/>
    <w:rsid w:val="00152AAC"/>
    <w:rsid w:val="00152B71"/>
    <w:rsid w:val="00152B88"/>
    <w:rsid w:val="00152D50"/>
    <w:rsid w:val="00152F18"/>
    <w:rsid w:val="0015317E"/>
    <w:rsid w:val="00153256"/>
    <w:rsid w:val="00153583"/>
    <w:rsid w:val="00153C10"/>
    <w:rsid w:val="00153EDC"/>
    <w:rsid w:val="00153F10"/>
    <w:rsid w:val="00154182"/>
    <w:rsid w:val="00154327"/>
    <w:rsid w:val="00154454"/>
    <w:rsid w:val="0015451A"/>
    <w:rsid w:val="00154611"/>
    <w:rsid w:val="00154839"/>
    <w:rsid w:val="0015491D"/>
    <w:rsid w:val="00154937"/>
    <w:rsid w:val="00154971"/>
    <w:rsid w:val="00154B9D"/>
    <w:rsid w:val="00154FE0"/>
    <w:rsid w:val="0015505B"/>
    <w:rsid w:val="00155393"/>
    <w:rsid w:val="0015543F"/>
    <w:rsid w:val="00155F76"/>
    <w:rsid w:val="00155FD6"/>
    <w:rsid w:val="001560B5"/>
    <w:rsid w:val="001562E6"/>
    <w:rsid w:val="00156308"/>
    <w:rsid w:val="001563C8"/>
    <w:rsid w:val="001564E3"/>
    <w:rsid w:val="00156765"/>
    <w:rsid w:val="00156816"/>
    <w:rsid w:val="00156894"/>
    <w:rsid w:val="00156A63"/>
    <w:rsid w:val="0015714E"/>
    <w:rsid w:val="001572E9"/>
    <w:rsid w:val="0015758F"/>
    <w:rsid w:val="001575EE"/>
    <w:rsid w:val="00157609"/>
    <w:rsid w:val="001576E1"/>
    <w:rsid w:val="00157A47"/>
    <w:rsid w:val="00157BE4"/>
    <w:rsid w:val="00160110"/>
    <w:rsid w:val="001601F2"/>
    <w:rsid w:val="001602FA"/>
    <w:rsid w:val="00160338"/>
    <w:rsid w:val="00160350"/>
    <w:rsid w:val="001604C1"/>
    <w:rsid w:val="00160759"/>
    <w:rsid w:val="00160778"/>
    <w:rsid w:val="001607DB"/>
    <w:rsid w:val="001609F0"/>
    <w:rsid w:val="00160AB7"/>
    <w:rsid w:val="00160B86"/>
    <w:rsid w:val="00160DE8"/>
    <w:rsid w:val="00160EBC"/>
    <w:rsid w:val="00160FC5"/>
    <w:rsid w:val="001610AF"/>
    <w:rsid w:val="001611DD"/>
    <w:rsid w:val="0016158B"/>
    <w:rsid w:val="001619A2"/>
    <w:rsid w:val="00161B7B"/>
    <w:rsid w:val="00161BBD"/>
    <w:rsid w:val="00161C13"/>
    <w:rsid w:val="00162094"/>
    <w:rsid w:val="00162649"/>
    <w:rsid w:val="0016273B"/>
    <w:rsid w:val="0016294B"/>
    <w:rsid w:val="00162A04"/>
    <w:rsid w:val="00162ACE"/>
    <w:rsid w:val="00162AF8"/>
    <w:rsid w:val="00162B16"/>
    <w:rsid w:val="00162ECF"/>
    <w:rsid w:val="00163017"/>
    <w:rsid w:val="00163145"/>
    <w:rsid w:val="00163205"/>
    <w:rsid w:val="001633A2"/>
    <w:rsid w:val="00163567"/>
    <w:rsid w:val="001636AD"/>
    <w:rsid w:val="00163A61"/>
    <w:rsid w:val="00163A6F"/>
    <w:rsid w:val="00163AB7"/>
    <w:rsid w:val="00163B8E"/>
    <w:rsid w:val="00163F3A"/>
    <w:rsid w:val="00164066"/>
    <w:rsid w:val="001640C2"/>
    <w:rsid w:val="0016438F"/>
    <w:rsid w:val="00164727"/>
    <w:rsid w:val="00164B23"/>
    <w:rsid w:val="00164C1A"/>
    <w:rsid w:val="00164C8A"/>
    <w:rsid w:val="00164D2B"/>
    <w:rsid w:val="00164E71"/>
    <w:rsid w:val="001650B8"/>
    <w:rsid w:val="00165295"/>
    <w:rsid w:val="001654BC"/>
    <w:rsid w:val="001655B4"/>
    <w:rsid w:val="00165668"/>
    <w:rsid w:val="0016581C"/>
    <w:rsid w:val="00165B9B"/>
    <w:rsid w:val="00165CDB"/>
    <w:rsid w:val="001660DB"/>
    <w:rsid w:val="00166102"/>
    <w:rsid w:val="001662F9"/>
    <w:rsid w:val="00166326"/>
    <w:rsid w:val="00166458"/>
    <w:rsid w:val="00166528"/>
    <w:rsid w:val="0016652C"/>
    <w:rsid w:val="00166590"/>
    <w:rsid w:val="001665BE"/>
    <w:rsid w:val="00166882"/>
    <w:rsid w:val="00166B25"/>
    <w:rsid w:val="00166DC6"/>
    <w:rsid w:val="00166FED"/>
    <w:rsid w:val="001670A5"/>
    <w:rsid w:val="00167187"/>
    <w:rsid w:val="0016721F"/>
    <w:rsid w:val="0016722F"/>
    <w:rsid w:val="00167476"/>
    <w:rsid w:val="0016751A"/>
    <w:rsid w:val="001676A6"/>
    <w:rsid w:val="0016778A"/>
    <w:rsid w:val="00167A94"/>
    <w:rsid w:val="001700CF"/>
    <w:rsid w:val="00170256"/>
    <w:rsid w:val="00170319"/>
    <w:rsid w:val="0017050F"/>
    <w:rsid w:val="0017065A"/>
    <w:rsid w:val="0017094D"/>
    <w:rsid w:val="00170C1E"/>
    <w:rsid w:val="00170CD5"/>
    <w:rsid w:val="00170D0F"/>
    <w:rsid w:val="00170D70"/>
    <w:rsid w:val="00170E8F"/>
    <w:rsid w:val="001710BF"/>
    <w:rsid w:val="001711D4"/>
    <w:rsid w:val="00171527"/>
    <w:rsid w:val="0017160A"/>
    <w:rsid w:val="00171806"/>
    <w:rsid w:val="00171A2C"/>
    <w:rsid w:val="00171B09"/>
    <w:rsid w:val="00172234"/>
    <w:rsid w:val="0017234F"/>
    <w:rsid w:val="001723C3"/>
    <w:rsid w:val="00172737"/>
    <w:rsid w:val="00172818"/>
    <w:rsid w:val="0017287F"/>
    <w:rsid w:val="0017299F"/>
    <w:rsid w:val="00172BE3"/>
    <w:rsid w:val="00172D5D"/>
    <w:rsid w:val="00172DBA"/>
    <w:rsid w:val="00172E91"/>
    <w:rsid w:val="001730D2"/>
    <w:rsid w:val="00173701"/>
    <w:rsid w:val="001737FC"/>
    <w:rsid w:val="00173918"/>
    <w:rsid w:val="00173A44"/>
    <w:rsid w:val="00173A54"/>
    <w:rsid w:val="00173A55"/>
    <w:rsid w:val="00173AC9"/>
    <w:rsid w:val="00173C14"/>
    <w:rsid w:val="00173D67"/>
    <w:rsid w:val="00173DB9"/>
    <w:rsid w:val="00173F81"/>
    <w:rsid w:val="00174013"/>
    <w:rsid w:val="00174483"/>
    <w:rsid w:val="00174567"/>
    <w:rsid w:val="00174576"/>
    <w:rsid w:val="001745CB"/>
    <w:rsid w:val="00174759"/>
    <w:rsid w:val="0017495A"/>
    <w:rsid w:val="00174A3B"/>
    <w:rsid w:val="00174CE7"/>
    <w:rsid w:val="00174E6B"/>
    <w:rsid w:val="00175062"/>
    <w:rsid w:val="001750E1"/>
    <w:rsid w:val="001751A4"/>
    <w:rsid w:val="0017534F"/>
    <w:rsid w:val="0017535B"/>
    <w:rsid w:val="001753D3"/>
    <w:rsid w:val="001755FE"/>
    <w:rsid w:val="00175816"/>
    <w:rsid w:val="00175DD5"/>
    <w:rsid w:val="00175DF6"/>
    <w:rsid w:val="00175FD0"/>
    <w:rsid w:val="0017609E"/>
    <w:rsid w:val="00176325"/>
    <w:rsid w:val="001764EB"/>
    <w:rsid w:val="001765F6"/>
    <w:rsid w:val="00176664"/>
    <w:rsid w:val="001768F9"/>
    <w:rsid w:val="00176A56"/>
    <w:rsid w:val="00176C42"/>
    <w:rsid w:val="00176C76"/>
    <w:rsid w:val="00176E0B"/>
    <w:rsid w:val="0017728B"/>
    <w:rsid w:val="00177485"/>
    <w:rsid w:val="0017752B"/>
    <w:rsid w:val="001776AE"/>
    <w:rsid w:val="0017773F"/>
    <w:rsid w:val="00177B33"/>
    <w:rsid w:val="00177BD9"/>
    <w:rsid w:val="00177C87"/>
    <w:rsid w:val="00177EC2"/>
    <w:rsid w:val="00177ECD"/>
    <w:rsid w:val="00180186"/>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67"/>
    <w:rsid w:val="00180C8F"/>
    <w:rsid w:val="00180CEB"/>
    <w:rsid w:val="00180D40"/>
    <w:rsid w:val="00180D70"/>
    <w:rsid w:val="00180DE0"/>
    <w:rsid w:val="00180DF8"/>
    <w:rsid w:val="00180FB1"/>
    <w:rsid w:val="0018104E"/>
    <w:rsid w:val="0018114B"/>
    <w:rsid w:val="001813A1"/>
    <w:rsid w:val="00181A02"/>
    <w:rsid w:val="00181B1A"/>
    <w:rsid w:val="00181B30"/>
    <w:rsid w:val="00181E19"/>
    <w:rsid w:val="00181F81"/>
    <w:rsid w:val="001820D6"/>
    <w:rsid w:val="00182228"/>
    <w:rsid w:val="0018222E"/>
    <w:rsid w:val="00182287"/>
    <w:rsid w:val="001824DF"/>
    <w:rsid w:val="00182635"/>
    <w:rsid w:val="0018269B"/>
    <w:rsid w:val="001828FE"/>
    <w:rsid w:val="00182C2A"/>
    <w:rsid w:val="0018300A"/>
    <w:rsid w:val="00183091"/>
    <w:rsid w:val="0018317D"/>
    <w:rsid w:val="00183188"/>
    <w:rsid w:val="00183278"/>
    <w:rsid w:val="00183309"/>
    <w:rsid w:val="00183470"/>
    <w:rsid w:val="00183564"/>
    <w:rsid w:val="00183578"/>
    <w:rsid w:val="0018376B"/>
    <w:rsid w:val="00183806"/>
    <w:rsid w:val="00183833"/>
    <w:rsid w:val="001839FA"/>
    <w:rsid w:val="00183B62"/>
    <w:rsid w:val="00183CD6"/>
    <w:rsid w:val="00183EDB"/>
    <w:rsid w:val="00184357"/>
    <w:rsid w:val="00184AD0"/>
    <w:rsid w:val="00184C9F"/>
    <w:rsid w:val="00184E5C"/>
    <w:rsid w:val="001850CD"/>
    <w:rsid w:val="0018522B"/>
    <w:rsid w:val="001853C7"/>
    <w:rsid w:val="0018552F"/>
    <w:rsid w:val="001855D9"/>
    <w:rsid w:val="00185AA7"/>
    <w:rsid w:val="00185AF0"/>
    <w:rsid w:val="00185B38"/>
    <w:rsid w:val="00185CB2"/>
    <w:rsid w:val="0018604C"/>
    <w:rsid w:val="00186059"/>
    <w:rsid w:val="00186138"/>
    <w:rsid w:val="0018637C"/>
    <w:rsid w:val="001868E5"/>
    <w:rsid w:val="00187316"/>
    <w:rsid w:val="00187335"/>
    <w:rsid w:val="0018747D"/>
    <w:rsid w:val="001877EE"/>
    <w:rsid w:val="00187997"/>
    <w:rsid w:val="00187A49"/>
    <w:rsid w:val="00187F65"/>
    <w:rsid w:val="00190015"/>
    <w:rsid w:val="001900DE"/>
    <w:rsid w:val="001901B9"/>
    <w:rsid w:val="0019043C"/>
    <w:rsid w:val="0019047C"/>
    <w:rsid w:val="0019054C"/>
    <w:rsid w:val="001907CE"/>
    <w:rsid w:val="00190807"/>
    <w:rsid w:val="001909C7"/>
    <w:rsid w:val="00190DDE"/>
    <w:rsid w:val="00190E6D"/>
    <w:rsid w:val="001916A7"/>
    <w:rsid w:val="00191902"/>
    <w:rsid w:val="0019193D"/>
    <w:rsid w:val="001919CD"/>
    <w:rsid w:val="00191B34"/>
    <w:rsid w:val="00191B88"/>
    <w:rsid w:val="00191F17"/>
    <w:rsid w:val="00191F9D"/>
    <w:rsid w:val="00192024"/>
    <w:rsid w:val="001921A7"/>
    <w:rsid w:val="00192217"/>
    <w:rsid w:val="00192479"/>
    <w:rsid w:val="0019255F"/>
    <w:rsid w:val="001925C2"/>
    <w:rsid w:val="001926CF"/>
    <w:rsid w:val="001928B4"/>
    <w:rsid w:val="00192B39"/>
    <w:rsid w:val="00192F21"/>
    <w:rsid w:val="00192F51"/>
    <w:rsid w:val="0019305C"/>
    <w:rsid w:val="0019305F"/>
    <w:rsid w:val="0019317F"/>
    <w:rsid w:val="00193235"/>
    <w:rsid w:val="00193DA3"/>
    <w:rsid w:val="00193F75"/>
    <w:rsid w:val="00193FC7"/>
    <w:rsid w:val="00194583"/>
    <w:rsid w:val="00194712"/>
    <w:rsid w:val="00194792"/>
    <w:rsid w:val="001947CD"/>
    <w:rsid w:val="001948A6"/>
    <w:rsid w:val="00194939"/>
    <w:rsid w:val="00194E2A"/>
    <w:rsid w:val="00194F20"/>
    <w:rsid w:val="00194FB9"/>
    <w:rsid w:val="001950D9"/>
    <w:rsid w:val="0019517C"/>
    <w:rsid w:val="001951A5"/>
    <w:rsid w:val="001951AC"/>
    <w:rsid w:val="001951FF"/>
    <w:rsid w:val="0019554D"/>
    <w:rsid w:val="0019586A"/>
    <w:rsid w:val="001958C7"/>
    <w:rsid w:val="00195926"/>
    <w:rsid w:val="00195A21"/>
    <w:rsid w:val="00195D44"/>
    <w:rsid w:val="00195DF8"/>
    <w:rsid w:val="001961ED"/>
    <w:rsid w:val="0019620D"/>
    <w:rsid w:val="0019623B"/>
    <w:rsid w:val="00196412"/>
    <w:rsid w:val="001964CE"/>
    <w:rsid w:val="00196D23"/>
    <w:rsid w:val="00196D95"/>
    <w:rsid w:val="0019707E"/>
    <w:rsid w:val="0019720B"/>
    <w:rsid w:val="00197461"/>
    <w:rsid w:val="001977EF"/>
    <w:rsid w:val="0019789C"/>
    <w:rsid w:val="00197901"/>
    <w:rsid w:val="00197BEE"/>
    <w:rsid w:val="00197D7C"/>
    <w:rsid w:val="00197D8B"/>
    <w:rsid w:val="00197E4A"/>
    <w:rsid w:val="00197ED6"/>
    <w:rsid w:val="00197FA1"/>
    <w:rsid w:val="001A00EB"/>
    <w:rsid w:val="001A0256"/>
    <w:rsid w:val="001A0419"/>
    <w:rsid w:val="001A0B99"/>
    <w:rsid w:val="001A0D67"/>
    <w:rsid w:val="001A1144"/>
    <w:rsid w:val="001A124B"/>
    <w:rsid w:val="001A1342"/>
    <w:rsid w:val="001A1431"/>
    <w:rsid w:val="001A15B5"/>
    <w:rsid w:val="001A184D"/>
    <w:rsid w:val="001A1878"/>
    <w:rsid w:val="001A198E"/>
    <w:rsid w:val="001A1B3F"/>
    <w:rsid w:val="001A1C2C"/>
    <w:rsid w:val="001A1C8C"/>
    <w:rsid w:val="001A1DA9"/>
    <w:rsid w:val="001A23EA"/>
    <w:rsid w:val="001A2431"/>
    <w:rsid w:val="001A25CD"/>
    <w:rsid w:val="001A2819"/>
    <w:rsid w:val="001A2838"/>
    <w:rsid w:val="001A2CE6"/>
    <w:rsid w:val="001A2DEA"/>
    <w:rsid w:val="001A2F0C"/>
    <w:rsid w:val="001A3260"/>
    <w:rsid w:val="001A3283"/>
    <w:rsid w:val="001A3525"/>
    <w:rsid w:val="001A37B1"/>
    <w:rsid w:val="001A37E2"/>
    <w:rsid w:val="001A387E"/>
    <w:rsid w:val="001A38EC"/>
    <w:rsid w:val="001A3C7F"/>
    <w:rsid w:val="001A3D74"/>
    <w:rsid w:val="001A441D"/>
    <w:rsid w:val="001A4A31"/>
    <w:rsid w:val="001A4BA8"/>
    <w:rsid w:val="001A4ED6"/>
    <w:rsid w:val="001A52FE"/>
    <w:rsid w:val="001A5794"/>
    <w:rsid w:val="001A57A9"/>
    <w:rsid w:val="001A588A"/>
    <w:rsid w:val="001A5B2F"/>
    <w:rsid w:val="001A5CBF"/>
    <w:rsid w:val="001A5E37"/>
    <w:rsid w:val="001A5FF2"/>
    <w:rsid w:val="001A6509"/>
    <w:rsid w:val="001A6599"/>
    <w:rsid w:val="001A6747"/>
    <w:rsid w:val="001A679C"/>
    <w:rsid w:val="001A68DB"/>
    <w:rsid w:val="001A69FD"/>
    <w:rsid w:val="001A6AE7"/>
    <w:rsid w:val="001A6B7B"/>
    <w:rsid w:val="001A6CEA"/>
    <w:rsid w:val="001A6D5E"/>
    <w:rsid w:val="001A6E81"/>
    <w:rsid w:val="001A70F7"/>
    <w:rsid w:val="001A718B"/>
    <w:rsid w:val="001A7748"/>
    <w:rsid w:val="001A7801"/>
    <w:rsid w:val="001A78BD"/>
    <w:rsid w:val="001A792B"/>
    <w:rsid w:val="001A7C43"/>
    <w:rsid w:val="001A7C6B"/>
    <w:rsid w:val="001A7CD4"/>
    <w:rsid w:val="001A7DC5"/>
    <w:rsid w:val="001A7F4D"/>
    <w:rsid w:val="001B0B90"/>
    <w:rsid w:val="001B0E35"/>
    <w:rsid w:val="001B0F86"/>
    <w:rsid w:val="001B14C9"/>
    <w:rsid w:val="001B14EF"/>
    <w:rsid w:val="001B184E"/>
    <w:rsid w:val="001B1AF0"/>
    <w:rsid w:val="001B1C69"/>
    <w:rsid w:val="001B1D31"/>
    <w:rsid w:val="001B1D5E"/>
    <w:rsid w:val="001B1DE4"/>
    <w:rsid w:val="001B1FC6"/>
    <w:rsid w:val="001B2248"/>
    <w:rsid w:val="001B2411"/>
    <w:rsid w:val="001B2508"/>
    <w:rsid w:val="001B2B8A"/>
    <w:rsid w:val="001B2EF4"/>
    <w:rsid w:val="001B2F6D"/>
    <w:rsid w:val="001B328A"/>
    <w:rsid w:val="001B32E2"/>
    <w:rsid w:val="001B34DC"/>
    <w:rsid w:val="001B35D7"/>
    <w:rsid w:val="001B3868"/>
    <w:rsid w:val="001B3BF6"/>
    <w:rsid w:val="001B3DBC"/>
    <w:rsid w:val="001B4043"/>
    <w:rsid w:val="001B4241"/>
    <w:rsid w:val="001B4503"/>
    <w:rsid w:val="001B4844"/>
    <w:rsid w:val="001B4B4F"/>
    <w:rsid w:val="001B4C82"/>
    <w:rsid w:val="001B5159"/>
    <w:rsid w:val="001B52B9"/>
    <w:rsid w:val="001B52EE"/>
    <w:rsid w:val="001B57DD"/>
    <w:rsid w:val="001B58DE"/>
    <w:rsid w:val="001B5A95"/>
    <w:rsid w:val="001B5BC9"/>
    <w:rsid w:val="001B5F13"/>
    <w:rsid w:val="001B609A"/>
    <w:rsid w:val="001B61AB"/>
    <w:rsid w:val="001B62CD"/>
    <w:rsid w:val="001B64AE"/>
    <w:rsid w:val="001B6938"/>
    <w:rsid w:val="001B69BE"/>
    <w:rsid w:val="001B6B61"/>
    <w:rsid w:val="001B6B76"/>
    <w:rsid w:val="001B6BF0"/>
    <w:rsid w:val="001B6CAA"/>
    <w:rsid w:val="001B6EA5"/>
    <w:rsid w:val="001B718F"/>
    <w:rsid w:val="001B719A"/>
    <w:rsid w:val="001B71A4"/>
    <w:rsid w:val="001B75D2"/>
    <w:rsid w:val="001B7796"/>
    <w:rsid w:val="001B77BE"/>
    <w:rsid w:val="001B78F2"/>
    <w:rsid w:val="001B79FB"/>
    <w:rsid w:val="001B7BCC"/>
    <w:rsid w:val="001C0041"/>
    <w:rsid w:val="001C03D0"/>
    <w:rsid w:val="001C0421"/>
    <w:rsid w:val="001C04D6"/>
    <w:rsid w:val="001C0609"/>
    <w:rsid w:val="001C0659"/>
    <w:rsid w:val="001C07B0"/>
    <w:rsid w:val="001C0A71"/>
    <w:rsid w:val="001C0B83"/>
    <w:rsid w:val="001C0BDE"/>
    <w:rsid w:val="001C0C45"/>
    <w:rsid w:val="001C1256"/>
    <w:rsid w:val="001C1381"/>
    <w:rsid w:val="001C14B7"/>
    <w:rsid w:val="001C1587"/>
    <w:rsid w:val="001C1675"/>
    <w:rsid w:val="001C1791"/>
    <w:rsid w:val="001C18C7"/>
    <w:rsid w:val="001C1925"/>
    <w:rsid w:val="001C1B7C"/>
    <w:rsid w:val="001C1C1C"/>
    <w:rsid w:val="001C26A8"/>
    <w:rsid w:val="001C2C06"/>
    <w:rsid w:val="001C2D0F"/>
    <w:rsid w:val="001C2D37"/>
    <w:rsid w:val="001C3226"/>
    <w:rsid w:val="001C3285"/>
    <w:rsid w:val="001C33FD"/>
    <w:rsid w:val="001C37CB"/>
    <w:rsid w:val="001C388F"/>
    <w:rsid w:val="001C3890"/>
    <w:rsid w:val="001C39C4"/>
    <w:rsid w:val="001C423A"/>
    <w:rsid w:val="001C4403"/>
    <w:rsid w:val="001C47FA"/>
    <w:rsid w:val="001C4B19"/>
    <w:rsid w:val="001C4D04"/>
    <w:rsid w:val="001C4DD2"/>
    <w:rsid w:val="001C4E76"/>
    <w:rsid w:val="001C4E83"/>
    <w:rsid w:val="001C51C2"/>
    <w:rsid w:val="001C5377"/>
    <w:rsid w:val="001C53CD"/>
    <w:rsid w:val="001C5543"/>
    <w:rsid w:val="001C56D9"/>
    <w:rsid w:val="001C57B1"/>
    <w:rsid w:val="001C5E72"/>
    <w:rsid w:val="001C5F9D"/>
    <w:rsid w:val="001C639C"/>
    <w:rsid w:val="001C6580"/>
    <w:rsid w:val="001C68D6"/>
    <w:rsid w:val="001C6B3F"/>
    <w:rsid w:val="001C7034"/>
    <w:rsid w:val="001C733D"/>
    <w:rsid w:val="001C74CF"/>
    <w:rsid w:val="001C76A2"/>
    <w:rsid w:val="001C77E3"/>
    <w:rsid w:val="001C781F"/>
    <w:rsid w:val="001C7869"/>
    <w:rsid w:val="001C7B61"/>
    <w:rsid w:val="001C7F58"/>
    <w:rsid w:val="001D0079"/>
    <w:rsid w:val="001D0324"/>
    <w:rsid w:val="001D0CF9"/>
    <w:rsid w:val="001D1006"/>
    <w:rsid w:val="001D103E"/>
    <w:rsid w:val="001D10EC"/>
    <w:rsid w:val="001D133E"/>
    <w:rsid w:val="001D1896"/>
    <w:rsid w:val="001D18A7"/>
    <w:rsid w:val="001D1969"/>
    <w:rsid w:val="001D19F1"/>
    <w:rsid w:val="001D19F8"/>
    <w:rsid w:val="001D1A7E"/>
    <w:rsid w:val="001D1B4F"/>
    <w:rsid w:val="001D1EAF"/>
    <w:rsid w:val="001D1EDB"/>
    <w:rsid w:val="001D1FFB"/>
    <w:rsid w:val="001D203A"/>
    <w:rsid w:val="001D2164"/>
    <w:rsid w:val="001D26FD"/>
    <w:rsid w:val="001D28E8"/>
    <w:rsid w:val="001D29D5"/>
    <w:rsid w:val="001D2BF7"/>
    <w:rsid w:val="001D2D0C"/>
    <w:rsid w:val="001D3346"/>
    <w:rsid w:val="001D33CB"/>
    <w:rsid w:val="001D393A"/>
    <w:rsid w:val="001D3A81"/>
    <w:rsid w:val="001D3A8B"/>
    <w:rsid w:val="001D3D4F"/>
    <w:rsid w:val="001D4018"/>
    <w:rsid w:val="001D4243"/>
    <w:rsid w:val="001D43BD"/>
    <w:rsid w:val="001D45EF"/>
    <w:rsid w:val="001D46CF"/>
    <w:rsid w:val="001D48BD"/>
    <w:rsid w:val="001D495D"/>
    <w:rsid w:val="001D4B26"/>
    <w:rsid w:val="001D4D7E"/>
    <w:rsid w:val="001D4F06"/>
    <w:rsid w:val="001D4F9F"/>
    <w:rsid w:val="001D513C"/>
    <w:rsid w:val="001D544C"/>
    <w:rsid w:val="001D55CD"/>
    <w:rsid w:val="001D5AB6"/>
    <w:rsid w:val="001D5BFB"/>
    <w:rsid w:val="001D5CAD"/>
    <w:rsid w:val="001D6030"/>
    <w:rsid w:val="001D6523"/>
    <w:rsid w:val="001D6601"/>
    <w:rsid w:val="001D66A4"/>
    <w:rsid w:val="001D679B"/>
    <w:rsid w:val="001D67AF"/>
    <w:rsid w:val="001D68C9"/>
    <w:rsid w:val="001D68E6"/>
    <w:rsid w:val="001D6ABA"/>
    <w:rsid w:val="001D6BFA"/>
    <w:rsid w:val="001D6D5B"/>
    <w:rsid w:val="001D6D7F"/>
    <w:rsid w:val="001D6DFB"/>
    <w:rsid w:val="001D6FB8"/>
    <w:rsid w:val="001D7092"/>
    <w:rsid w:val="001D7153"/>
    <w:rsid w:val="001D73AA"/>
    <w:rsid w:val="001D74FA"/>
    <w:rsid w:val="001D7656"/>
    <w:rsid w:val="001D76AC"/>
    <w:rsid w:val="001D7993"/>
    <w:rsid w:val="001D7BA8"/>
    <w:rsid w:val="001E003A"/>
    <w:rsid w:val="001E0078"/>
    <w:rsid w:val="001E0233"/>
    <w:rsid w:val="001E026A"/>
    <w:rsid w:val="001E0344"/>
    <w:rsid w:val="001E05A4"/>
    <w:rsid w:val="001E05B7"/>
    <w:rsid w:val="001E09D1"/>
    <w:rsid w:val="001E0A72"/>
    <w:rsid w:val="001E0E0D"/>
    <w:rsid w:val="001E0EA3"/>
    <w:rsid w:val="001E0FCD"/>
    <w:rsid w:val="001E109D"/>
    <w:rsid w:val="001E12A6"/>
    <w:rsid w:val="001E1390"/>
    <w:rsid w:val="001E13D6"/>
    <w:rsid w:val="001E14EF"/>
    <w:rsid w:val="001E1564"/>
    <w:rsid w:val="001E16EB"/>
    <w:rsid w:val="001E180B"/>
    <w:rsid w:val="001E1876"/>
    <w:rsid w:val="001E1C9F"/>
    <w:rsid w:val="001E1DA3"/>
    <w:rsid w:val="001E1F2A"/>
    <w:rsid w:val="001E2008"/>
    <w:rsid w:val="001E2189"/>
    <w:rsid w:val="001E2278"/>
    <w:rsid w:val="001E258B"/>
    <w:rsid w:val="001E25BA"/>
    <w:rsid w:val="001E25CD"/>
    <w:rsid w:val="001E26A9"/>
    <w:rsid w:val="001E28E0"/>
    <w:rsid w:val="001E2954"/>
    <w:rsid w:val="001E2AEA"/>
    <w:rsid w:val="001E2C66"/>
    <w:rsid w:val="001E2E75"/>
    <w:rsid w:val="001E2EA2"/>
    <w:rsid w:val="001E2F86"/>
    <w:rsid w:val="001E3219"/>
    <w:rsid w:val="001E3233"/>
    <w:rsid w:val="001E3575"/>
    <w:rsid w:val="001E3631"/>
    <w:rsid w:val="001E3680"/>
    <w:rsid w:val="001E3698"/>
    <w:rsid w:val="001E36AF"/>
    <w:rsid w:val="001E393B"/>
    <w:rsid w:val="001E3B0E"/>
    <w:rsid w:val="001E3F5D"/>
    <w:rsid w:val="001E40D2"/>
    <w:rsid w:val="001E40D7"/>
    <w:rsid w:val="001E42CF"/>
    <w:rsid w:val="001E4469"/>
    <w:rsid w:val="001E4623"/>
    <w:rsid w:val="001E4B9D"/>
    <w:rsid w:val="001E4C49"/>
    <w:rsid w:val="001E4EC1"/>
    <w:rsid w:val="001E5242"/>
    <w:rsid w:val="001E53EE"/>
    <w:rsid w:val="001E54BF"/>
    <w:rsid w:val="001E5514"/>
    <w:rsid w:val="001E589A"/>
    <w:rsid w:val="001E5979"/>
    <w:rsid w:val="001E5AB9"/>
    <w:rsid w:val="001E5C29"/>
    <w:rsid w:val="001E5D30"/>
    <w:rsid w:val="001E5E60"/>
    <w:rsid w:val="001E61F8"/>
    <w:rsid w:val="001E63C2"/>
    <w:rsid w:val="001E6590"/>
    <w:rsid w:val="001E66C2"/>
    <w:rsid w:val="001E6775"/>
    <w:rsid w:val="001E6820"/>
    <w:rsid w:val="001E685A"/>
    <w:rsid w:val="001E69CA"/>
    <w:rsid w:val="001E6A24"/>
    <w:rsid w:val="001E6AE6"/>
    <w:rsid w:val="001E6BD1"/>
    <w:rsid w:val="001E6BDB"/>
    <w:rsid w:val="001E6D97"/>
    <w:rsid w:val="001E6E17"/>
    <w:rsid w:val="001E6ED3"/>
    <w:rsid w:val="001E70EB"/>
    <w:rsid w:val="001E74EB"/>
    <w:rsid w:val="001E77A4"/>
    <w:rsid w:val="001E787A"/>
    <w:rsid w:val="001E7BF5"/>
    <w:rsid w:val="001E7CF7"/>
    <w:rsid w:val="001E7D93"/>
    <w:rsid w:val="001E7ECC"/>
    <w:rsid w:val="001E7F6E"/>
    <w:rsid w:val="001F0019"/>
    <w:rsid w:val="001F0260"/>
    <w:rsid w:val="001F028A"/>
    <w:rsid w:val="001F07BB"/>
    <w:rsid w:val="001F0846"/>
    <w:rsid w:val="001F098E"/>
    <w:rsid w:val="001F0ABE"/>
    <w:rsid w:val="001F0CC8"/>
    <w:rsid w:val="001F0D64"/>
    <w:rsid w:val="001F0FFC"/>
    <w:rsid w:val="001F1834"/>
    <w:rsid w:val="001F1B4F"/>
    <w:rsid w:val="001F1FB9"/>
    <w:rsid w:val="001F1FE4"/>
    <w:rsid w:val="001F201A"/>
    <w:rsid w:val="001F249E"/>
    <w:rsid w:val="001F24D2"/>
    <w:rsid w:val="001F2A04"/>
    <w:rsid w:val="001F2D1C"/>
    <w:rsid w:val="001F2E8C"/>
    <w:rsid w:val="001F3182"/>
    <w:rsid w:val="001F341E"/>
    <w:rsid w:val="001F35FC"/>
    <w:rsid w:val="001F36E8"/>
    <w:rsid w:val="001F3A01"/>
    <w:rsid w:val="001F3AC5"/>
    <w:rsid w:val="001F3CD9"/>
    <w:rsid w:val="001F3E61"/>
    <w:rsid w:val="001F3E69"/>
    <w:rsid w:val="001F3E7B"/>
    <w:rsid w:val="001F3EE1"/>
    <w:rsid w:val="001F3F53"/>
    <w:rsid w:val="001F4092"/>
    <w:rsid w:val="001F4093"/>
    <w:rsid w:val="001F40BB"/>
    <w:rsid w:val="001F41C1"/>
    <w:rsid w:val="001F41EA"/>
    <w:rsid w:val="001F4341"/>
    <w:rsid w:val="001F44F2"/>
    <w:rsid w:val="001F45E3"/>
    <w:rsid w:val="001F461C"/>
    <w:rsid w:val="001F491E"/>
    <w:rsid w:val="001F4BC7"/>
    <w:rsid w:val="001F5303"/>
    <w:rsid w:val="001F53D2"/>
    <w:rsid w:val="001F54BE"/>
    <w:rsid w:val="001F5652"/>
    <w:rsid w:val="001F5D85"/>
    <w:rsid w:val="001F6028"/>
    <w:rsid w:val="001F603A"/>
    <w:rsid w:val="001F607F"/>
    <w:rsid w:val="001F60A2"/>
    <w:rsid w:val="001F62AA"/>
    <w:rsid w:val="001F63A1"/>
    <w:rsid w:val="001F65CD"/>
    <w:rsid w:val="001F66B0"/>
    <w:rsid w:val="001F66BA"/>
    <w:rsid w:val="001F68D1"/>
    <w:rsid w:val="001F691B"/>
    <w:rsid w:val="001F6BB1"/>
    <w:rsid w:val="001F7305"/>
    <w:rsid w:val="001F73C6"/>
    <w:rsid w:val="001F74BD"/>
    <w:rsid w:val="001F7BF9"/>
    <w:rsid w:val="001F7C77"/>
    <w:rsid w:val="001F7CC7"/>
    <w:rsid w:val="00200100"/>
    <w:rsid w:val="002005FF"/>
    <w:rsid w:val="00200754"/>
    <w:rsid w:val="002008B5"/>
    <w:rsid w:val="00200A16"/>
    <w:rsid w:val="00200BBF"/>
    <w:rsid w:val="00200C03"/>
    <w:rsid w:val="00200C67"/>
    <w:rsid w:val="002010E1"/>
    <w:rsid w:val="00201101"/>
    <w:rsid w:val="002012A9"/>
    <w:rsid w:val="002014D0"/>
    <w:rsid w:val="00201538"/>
    <w:rsid w:val="0020154B"/>
    <w:rsid w:val="00201803"/>
    <w:rsid w:val="0020184D"/>
    <w:rsid w:val="002018F9"/>
    <w:rsid w:val="0020192D"/>
    <w:rsid w:val="00201C7B"/>
    <w:rsid w:val="00201F3E"/>
    <w:rsid w:val="00201F92"/>
    <w:rsid w:val="002021E0"/>
    <w:rsid w:val="002023AC"/>
    <w:rsid w:val="002024DA"/>
    <w:rsid w:val="00202632"/>
    <w:rsid w:val="002026DC"/>
    <w:rsid w:val="00202834"/>
    <w:rsid w:val="00202AF1"/>
    <w:rsid w:val="00202DD8"/>
    <w:rsid w:val="00202F7B"/>
    <w:rsid w:val="0020311D"/>
    <w:rsid w:val="002031C5"/>
    <w:rsid w:val="00203400"/>
    <w:rsid w:val="002037AB"/>
    <w:rsid w:val="002037EA"/>
    <w:rsid w:val="0020386C"/>
    <w:rsid w:val="0020393E"/>
    <w:rsid w:val="00203B06"/>
    <w:rsid w:val="00203B30"/>
    <w:rsid w:val="00203DB9"/>
    <w:rsid w:val="00203F26"/>
    <w:rsid w:val="00204051"/>
    <w:rsid w:val="002041A9"/>
    <w:rsid w:val="002041B7"/>
    <w:rsid w:val="002042B4"/>
    <w:rsid w:val="002046B7"/>
    <w:rsid w:val="00204DA6"/>
    <w:rsid w:val="00205070"/>
    <w:rsid w:val="002051B6"/>
    <w:rsid w:val="002051C0"/>
    <w:rsid w:val="00205282"/>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7EE"/>
    <w:rsid w:val="00207B0E"/>
    <w:rsid w:val="00207C1B"/>
    <w:rsid w:val="00207FB9"/>
    <w:rsid w:val="002101BC"/>
    <w:rsid w:val="002103B4"/>
    <w:rsid w:val="00210425"/>
    <w:rsid w:val="00210443"/>
    <w:rsid w:val="00210633"/>
    <w:rsid w:val="0021070C"/>
    <w:rsid w:val="0021071D"/>
    <w:rsid w:val="00210AFC"/>
    <w:rsid w:val="00210D67"/>
    <w:rsid w:val="00210E81"/>
    <w:rsid w:val="00210E85"/>
    <w:rsid w:val="00210F20"/>
    <w:rsid w:val="0021103E"/>
    <w:rsid w:val="0021113B"/>
    <w:rsid w:val="0021148B"/>
    <w:rsid w:val="0021159A"/>
    <w:rsid w:val="00211B54"/>
    <w:rsid w:val="00211E11"/>
    <w:rsid w:val="00211EE0"/>
    <w:rsid w:val="00212069"/>
    <w:rsid w:val="0021233C"/>
    <w:rsid w:val="002128EB"/>
    <w:rsid w:val="00212A86"/>
    <w:rsid w:val="00212B61"/>
    <w:rsid w:val="00212DCF"/>
    <w:rsid w:val="00212E9F"/>
    <w:rsid w:val="00212EBC"/>
    <w:rsid w:val="00213448"/>
    <w:rsid w:val="00213646"/>
    <w:rsid w:val="00213885"/>
    <w:rsid w:val="00213979"/>
    <w:rsid w:val="002139BC"/>
    <w:rsid w:val="00213C6B"/>
    <w:rsid w:val="00213F06"/>
    <w:rsid w:val="00213FCF"/>
    <w:rsid w:val="002142C5"/>
    <w:rsid w:val="002145C4"/>
    <w:rsid w:val="00214693"/>
    <w:rsid w:val="0021494D"/>
    <w:rsid w:val="00214969"/>
    <w:rsid w:val="002149B8"/>
    <w:rsid w:val="00214AC8"/>
    <w:rsid w:val="00214B30"/>
    <w:rsid w:val="00214E6A"/>
    <w:rsid w:val="0021514E"/>
    <w:rsid w:val="0021531D"/>
    <w:rsid w:val="00215475"/>
    <w:rsid w:val="0021551C"/>
    <w:rsid w:val="00215575"/>
    <w:rsid w:val="00215980"/>
    <w:rsid w:val="00215BB6"/>
    <w:rsid w:val="00215BBA"/>
    <w:rsid w:val="00216156"/>
    <w:rsid w:val="002163E9"/>
    <w:rsid w:val="00216600"/>
    <w:rsid w:val="00216803"/>
    <w:rsid w:val="00216837"/>
    <w:rsid w:val="002169DC"/>
    <w:rsid w:val="00216B45"/>
    <w:rsid w:val="00216C37"/>
    <w:rsid w:val="00216D00"/>
    <w:rsid w:val="00216E6C"/>
    <w:rsid w:val="00216EFD"/>
    <w:rsid w:val="00216F60"/>
    <w:rsid w:val="002172BF"/>
    <w:rsid w:val="00217724"/>
    <w:rsid w:val="00217ABF"/>
    <w:rsid w:val="00217B39"/>
    <w:rsid w:val="00217D9C"/>
    <w:rsid w:val="00217DA7"/>
    <w:rsid w:val="00217ECA"/>
    <w:rsid w:val="0022016B"/>
    <w:rsid w:val="002202D0"/>
    <w:rsid w:val="0022041A"/>
    <w:rsid w:val="002205A6"/>
    <w:rsid w:val="00220946"/>
    <w:rsid w:val="00220A44"/>
    <w:rsid w:val="00220CBF"/>
    <w:rsid w:val="00220DEA"/>
    <w:rsid w:val="00220DF6"/>
    <w:rsid w:val="00220F9F"/>
    <w:rsid w:val="00221265"/>
    <w:rsid w:val="00221310"/>
    <w:rsid w:val="0022135B"/>
    <w:rsid w:val="0022168F"/>
    <w:rsid w:val="00221794"/>
    <w:rsid w:val="00221A8A"/>
    <w:rsid w:val="00221C5A"/>
    <w:rsid w:val="00221D5A"/>
    <w:rsid w:val="00222058"/>
    <w:rsid w:val="00222144"/>
    <w:rsid w:val="0022217F"/>
    <w:rsid w:val="00222201"/>
    <w:rsid w:val="002222D9"/>
    <w:rsid w:val="002223FF"/>
    <w:rsid w:val="0022252F"/>
    <w:rsid w:val="00222849"/>
    <w:rsid w:val="002228B6"/>
    <w:rsid w:val="002228BA"/>
    <w:rsid w:val="002229D7"/>
    <w:rsid w:val="00222A28"/>
    <w:rsid w:val="00222CC0"/>
    <w:rsid w:val="00222EC8"/>
    <w:rsid w:val="00223370"/>
    <w:rsid w:val="002233AE"/>
    <w:rsid w:val="002235D1"/>
    <w:rsid w:val="00223A0F"/>
    <w:rsid w:val="00223B87"/>
    <w:rsid w:val="00223C01"/>
    <w:rsid w:val="00223C29"/>
    <w:rsid w:val="00223D62"/>
    <w:rsid w:val="002241AB"/>
    <w:rsid w:val="00224466"/>
    <w:rsid w:val="002249C2"/>
    <w:rsid w:val="00224D0B"/>
    <w:rsid w:val="00224D76"/>
    <w:rsid w:val="002250B3"/>
    <w:rsid w:val="0022510C"/>
    <w:rsid w:val="00225134"/>
    <w:rsid w:val="0022556B"/>
    <w:rsid w:val="0022564A"/>
    <w:rsid w:val="002257FE"/>
    <w:rsid w:val="00225924"/>
    <w:rsid w:val="0022599F"/>
    <w:rsid w:val="002259D4"/>
    <w:rsid w:val="00225B61"/>
    <w:rsid w:val="00225C50"/>
    <w:rsid w:val="00225C8D"/>
    <w:rsid w:val="00225F18"/>
    <w:rsid w:val="0022625B"/>
    <w:rsid w:val="002264EA"/>
    <w:rsid w:val="0022669C"/>
    <w:rsid w:val="0022672E"/>
    <w:rsid w:val="00226935"/>
    <w:rsid w:val="00226A62"/>
    <w:rsid w:val="00226AB0"/>
    <w:rsid w:val="00226C11"/>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E3"/>
    <w:rsid w:val="00227EEA"/>
    <w:rsid w:val="00227FEB"/>
    <w:rsid w:val="00230025"/>
    <w:rsid w:val="002301B7"/>
    <w:rsid w:val="002302D4"/>
    <w:rsid w:val="00230466"/>
    <w:rsid w:val="002305FF"/>
    <w:rsid w:val="00230629"/>
    <w:rsid w:val="00230765"/>
    <w:rsid w:val="0023077E"/>
    <w:rsid w:val="00230AE4"/>
    <w:rsid w:val="00230CC5"/>
    <w:rsid w:val="00230D82"/>
    <w:rsid w:val="00230EC1"/>
    <w:rsid w:val="00230F5C"/>
    <w:rsid w:val="0023100E"/>
    <w:rsid w:val="002310E6"/>
    <w:rsid w:val="00231279"/>
    <w:rsid w:val="00231318"/>
    <w:rsid w:val="00231367"/>
    <w:rsid w:val="002316DD"/>
    <w:rsid w:val="002316F1"/>
    <w:rsid w:val="0023177F"/>
    <w:rsid w:val="00231A45"/>
    <w:rsid w:val="00231AB6"/>
    <w:rsid w:val="00231AE1"/>
    <w:rsid w:val="00231F0B"/>
    <w:rsid w:val="0023220B"/>
    <w:rsid w:val="00232367"/>
    <w:rsid w:val="002327F4"/>
    <w:rsid w:val="00232893"/>
    <w:rsid w:val="00232AD9"/>
    <w:rsid w:val="00232DFD"/>
    <w:rsid w:val="002330DE"/>
    <w:rsid w:val="002331AF"/>
    <w:rsid w:val="00233214"/>
    <w:rsid w:val="0023323D"/>
    <w:rsid w:val="00233288"/>
    <w:rsid w:val="00233322"/>
    <w:rsid w:val="002333D7"/>
    <w:rsid w:val="00233A6A"/>
    <w:rsid w:val="00233DF5"/>
    <w:rsid w:val="00234101"/>
    <w:rsid w:val="00234163"/>
    <w:rsid w:val="0023427A"/>
    <w:rsid w:val="0023451D"/>
    <w:rsid w:val="00234880"/>
    <w:rsid w:val="0023495B"/>
    <w:rsid w:val="002349B1"/>
    <w:rsid w:val="00234AFF"/>
    <w:rsid w:val="00234CBD"/>
    <w:rsid w:val="00234E29"/>
    <w:rsid w:val="00235148"/>
    <w:rsid w:val="00235355"/>
    <w:rsid w:val="00235358"/>
    <w:rsid w:val="002354AB"/>
    <w:rsid w:val="00235601"/>
    <w:rsid w:val="002358D2"/>
    <w:rsid w:val="00235905"/>
    <w:rsid w:val="00235921"/>
    <w:rsid w:val="00235BA1"/>
    <w:rsid w:val="00235C9B"/>
    <w:rsid w:val="00235DA8"/>
    <w:rsid w:val="00235ED3"/>
    <w:rsid w:val="002360B6"/>
    <w:rsid w:val="0023646B"/>
    <w:rsid w:val="002364AF"/>
    <w:rsid w:val="002364C1"/>
    <w:rsid w:val="0023651B"/>
    <w:rsid w:val="0023667F"/>
    <w:rsid w:val="002366B9"/>
    <w:rsid w:val="00236703"/>
    <w:rsid w:val="00236757"/>
    <w:rsid w:val="00236C3E"/>
    <w:rsid w:val="00236F7A"/>
    <w:rsid w:val="0023708D"/>
    <w:rsid w:val="002370A4"/>
    <w:rsid w:val="00237239"/>
    <w:rsid w:val="00237271"/>
    <w:rsid w:val="00237507"/>
    <w:rsid w:val="002375BB"/>
    <w:rsid w:val="00237904"/>
    <w:rsid w:val="00237C63"/>
    <w:rsid w:val="00237CD0"/>
    <w:rsid w:val="00237D69"/>
    <w:rsid w:val="00237EAA"/>
    <w:rsid w:val="00240450"/>
    <w:rsid w:val="00240570"/>
    <w:rsid w:val="002407C7"/>
    <w:rsid w:val="002409A9"/>
    <w:rsid w:val="00240ABC"/>
    <w:rsid w:val="00240EF7"/>
    <w:rsid w:val="0024102D"/>
    <w:rsid w:val="00241157"/>
    <w:rsid w:val="00241624"/>
    <w:rsid w:val="00241A63"/>
    <w:rsid w:val="00241A9F"/>
    <w:rsid w:val="00241C93"/>
    <w:rsid w:val="00241E9F"/>
    <w:rsid w:val="002423A5"/>
    <w:rsid w:val="00242661"/>
    <w:rsid w:val="002426F9"/>
    <w:rsid w:val="002427E3"/>
    <w:rsid w:val="002428C6"/>
    <w:rsid w:val="0024294E"/>
    <w:rsid w:val="002429D9"/>
    <w:rsid w:val="00242BB1"/>
    <w:rsid w:val="00242D47"/>
    <w:rsid w:val="00242E54"/>
    <w:rsid w:val="00243039"/>
    <w:rsid w:val="002435CE"/>
    <w:rsid w:val="0024369A"/>
    <w:rsid w:val="0024377E"/>
    <w:rsid w:val="002437CF"/>
    <w:rsid w:val="0024389E"/>
    <w:rsid w:val="002439BB"/>
    <w:rsid w:val="002439C9"/>
    <w:rsid w:val="00243B26"/>
    <w:rsid w:val="00243CF2"/>
    <w:rsid w:val="00243CF9"/>
    <w:rsid w:val="00243D6C"/>
    <w:rsid w:val="002444F2"/>
    <w:rsid w:val="00244625"/>
    <w:rsid w:val="00244811"/>
    <w:rsid w:val="00244B5C"/>
    <w:rsid w:val="00244B62"/>
    <w:rsid w:val="00244B7A"/>
    <w:rsid w:val="00244C99"/>
    <w:rsid w:val="00244F9E"/>
    <w:rsid w:val="00244FD3"/>
    <w:rsid w:val="002450A2"/>
    <w:rsid w:val="00245185"/>
    <w:rsid w:val="002451CD"/>
    <w:rsid w:val="002453C1"/>
    <w:rsid w:val="002454D7"/>
    <w:rsid w:val="002455A8"/>
    <w:rsid w:val="00245767"/>
    <w:rsid w:val="002457A1"/>
    <w:rsid w:val="002459F1"/>
    <w:rsid w:val="00245DFE"/>
    <w:rsid w:val="00245E52"/>
    <w:rsid w:val="00245F62"/>
    <w:rsid w:val="00245FEF"/>
    <w:rsid w:val="00246086"/>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0D8"/>
    <w:rsid w:val="00247301"/>
    <w:rsid w:val="00247397"/>
    <w:rsid w:val="002474E5"/>
    <w:rsid w:val="002475F1"/>
    <w:rsid w:val="002477ED"/>
    <w:rsid w:val="00247860"/>
    <w:rsid w:val="0024789F"/>
    <w:rsid w:val="002478C6"/>
    <w:rsid w:val="0024792C"/>
    <w:rsid w:val="00247CA1"/>
    <w:rsid w:val="00250157"/>
    <w:rsid w:val="00250430"/>
    <w:rsid w:val="00250520"/>
    <w:rsid w:val="0025055E"/>
    <w:rsid w:val="00250592"/>
    <w:rsid w:val="00250608"/>
    <w:rsid w:val="002506CA"/>
    <w:rsid w:val="002509D9"/>
    <w:rsid w:val="00250A25"/>
    <w:rsid w:val="00250AC5"/>
    <w:rsid w:val="00250C77"/>
    <w:rsid w:val="00250FE3"/>
    <w:rsid w:val="00251107"/>
    <w:rsid w:val="00251184"/>
    <w:rsid w:val="002511B9"/>
    <w:rsid w:val="002511CD"/>
    <w:rsid w:val="00251462"/>
    <w:rsid w:val="00251493"/>
    <w:rsid w:val="002518CC"/>
    <w:rsid w:val="0025199D"/>
    <w:rsid w:val="00251A25"/>
    <w:rsid w:val="00251B22"/>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A19"/>
    <w:rsid w:val="00253B1F"/>
    <w:rsid w:val="00253C9C"/>
    <w:rsid w:val="00253DC7"/>
    <w:rsid w:val="00254383"/>
    <w:rsid w:val="002543CF"/>
    <w:rsid w:val="00254603"/>
    <w:rsid w:val="0025475D"/>
    <w:rsid w:val="00254B7D"/>
    <w:rsid w:val="00254F2A"/>
    <w:rsid w:val="00254FC2"/>
    <w:rsid w:val="0025518D"/>
    <w:rsid w:val="002554A9"/>
    <w:rsid w:val="00255772"/>
    <w:rsid w:val="00255877"/>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6DA0"/>
    <w:rsid w:val="00257232"/>
    <w:rsid w:val="00257318"/>
    <w:rsid w:val="002573E5"/>
    <w:rsid w:val="0025786A"/>
    <w:rsid w:val="00257ABC"/>
    <w:rsid w:val="00257B01"/>
    <w:rsid w:val="00257B07"/>
    <w:rsid w:val="00257C7B"/>
    <w:rsid w:val="00257DB9"/>
    <w:rsid w:val="00257E37"/>
    <w:rsid w:val="002604F8"/>
    <w:rsid w:val="0026078E"/>
    <w:rsid w:val="00260B30"/>
    <w:rsid w:val="00260CB2"/>
    <w:rsid w:val="00260D05"/>
    <w:rsid w:val="00260E89"/>
    <w:rsid w:val="002610B6"/>
    <w:rsid w:val="0026126A"/>
    <w:rsid w:val="002614B4"/>
    <w:rsid w:val="00261746"/>
    <w:rsid w:val="00261755"/>
    <w:rsid w:val="002617A4"/>
    <w:rsid w:val="00261861"/>
    <w:rsid w:val="00261BC0"/>
    <w:rsid w:val="00261D40"/>
    <w:rsid w:val="00261DAA"/>
    <w:rsid w:val="00261EA0"/>
    <w:rsid w:val="00261FA5"/>
    <w:rsid w:val="00261FF6"/>
    <w:rsid w:val="00262136"/>
    <w:rsid w:val="0026228B"/>
    <w:rsid w:val="002622BA"/>
    <w:rsid w:val="002623E5"/>
    <w:rsid w:val="0026264B"/>
    <w:rsid w:val="002627CD"/>
    <w:rsid w:val="0026295D"/>
    <w:rsid w:val="00262A43"/>
    <w:rsid w:val="00262B3A"/>
    <w:rsid w:val="00262DCA"/>
    <w:rsid w:val="00262DFF"/>
    <w:rsid w:val="0026305D"/>
    <w:rsid w:val="002630C7"/>
    <w:rsid w:val="002630DA"/>
    <w:rsid w:val="00263116"/>
    <w:rsid w:val="00263735"/>
    <w:rsid w:val="00263829"/>
    <w:rsid w:val="0026392C"/>
    <w:rsid w:val="00263A71"/>
    <w:rsid w:val="00263C45"/>
    <w:rsid w:val="00263CBC"/>
    <w:rsid w:val="00263DDB"/>
    <w:rsid w:val="002640AF"/>
    <w:rsid w:val="00264236"/>
    <w:rsid w:val="00264283"/>
    <w:rsid w:val="002643BD"/>
    <w:rsid w:val="002644F0"/>
    <w:rsid w:val="0026464D"/>
    <w:rsid w:val="0026478E"/>
    <w:rsid w:val="002648D5"/>
    <w:rsid w:val="00264AC8"/>
    <w:rsid w:val="00264F1F"/>
    <w:rsid w:val="00264F84"/>
    <w:rsid w:val="002656DA"/>
    <w:rsid w:val="002661BF"/>
    <w:rsid w:val="00266229"/>
    <w:rsid w:val="0026631C"/>
    <w:rsid w:val="002664D7"/>
    <w:rsid w:val="00266615"/>
    <w:rsid w:val="002666A8"/>
    <w:rsid w:val="002666C7"/>
    <w:rsid w:val="00266890"/>
    <w:rsid w:val="00266A51"/>
    <w:rsid w:val="00266FAF"/>
    <w:rsid w:val="002670B3"/>
    <w:rsid w:val="002670C8"/>
    <w:rsid w:val="0026711B"/>
    <w:rsid w:val="00267361"/>
    <w:rsid w:val="0026791F"/>
    <w:rsid w:val="00267A85"/>
    <w:rsid w:val="00267ADE"/>
    <w:rsid w:val="00267C55"/>
    <w:rsid w:val="00267D0B"/>
    <w:rsid w:val="00267DB5"/>
    <w:rsid w:val="00267E8D"/>
    <w:rsid w:val="00267F34"/>
    <w:rsid w:val="00267FA7"/>
    <w:rsid w:val="002700AE"/>
    <w:rsid w:val="0027018C"/>
    <w:rsid w:val="00270191"/>
    <w:rsid w:val="00270430"/>
    <w:rsid w:val="0027083C"/>
    <w:rsid w:val="00270B34"/>
    <w:rsid w:val="00270B97"/>
    <w:rsid w:val="00270BAD"/>
    <w:rsid w:val="00270D37"/>
    <w:rsid w:val="00270D55"/>
    <w:rsid w:val="002713C7"/>
    <w:rsid w:val="002713FE"/>
    <w:rsid w:val="0027164E"/>
    <w:rsid w:val="002717B1"/>
    <w:rsid w:val="002717F8"/>
    <w:rsid w:val="00271837"/>
    <w:rsid w:val="002718FA"/>
    <w:rsid w:val="00271C7C"/>
    <w:rsid w:val="00271DB0"/>
    <w:rsid w:val="0027236E"/>
    <w:rsid w:val="002724D5"/>
    <w:rsid w:val="00272A39"/>
    <w:rsid w:val="00272E94"/>
    <w:rsid w:val="00273139"/>
    <w:rsid w:val="00273206"/>
    <w:rsid w:val="002732D6"/>
    <w:rsid w:val="002734E2"/>
    <w:rsid w:val="0027381B"/>
    <w:rsid w:val="00273D99"/>
    <w:rsid w:val="002740CA"/>
    <w:rsid w:val="00274102"/>
    <w:rsid w:val="00274854"/>
    <w:rsid w:val="00274A86"/>
    <w:rsid w:val="00274F36"/>
    <w:rsid w:val="00274F52"/>
    <w:rsid w:val="00274FB4"/>
    <w:rsid w:val="0027516A"/>
    <w:rsid w:val="0027524B"/>
    <w:rsid w:val="00275252"/>
    <w:rsid w:val="00275828"/>
    <w:rsid w:val="00275B54"/>
    <w:rsid w:val="00275C66"/>
    <w:rsid w:val="002760D9"/>
    <w:rsid w:val="002760DE"/>
    <w:rsid w:val="0027612A"/>
    <w:rsid w:val="00276221"/>
    <w:rsid w:val="0027636C"/>
    <w:rsid w:val="00276B37"/>
    <w:rsid w:val="00276EB0"/>
    <w:rsid w:val="00277235"/>
    <w:rsid w:val="002773E9"/>
    <w:rsid w:val="00277414"/>
    <w:rsid w:val="00277506"/>
    <w:rsid w:val="0027755B"/>
    <w:rsid w:val="00277633"/>
    <w:rsid w:val="00277685"/>
    <w:rsid w:val="0027793E"/>
    <w:rsid w:val="0027797F"/>
    <w:rsid w:val="00277A09"/>
    <w:rsid w:val="00277AF1"/>
    <w:rsid w:val="00277B9A"/>
    <w:rsid w:val="00280184"/>
    <w:rsid w:val="00280569"/>
    <w:rsid w:val="002807EE"/>
    <w:rsid w:val="00280898"/>
    <w:rsid w:val="00280A4E"/>
    <w:rsid w:val="00280C01"/>
    <w:rsid w:val="00280D36"/>
    <w:rsid w:val="00280E91"/>
    <w:rsid w:val="00280F8D"/>
    <w:rsid w:val="00280FFB"/>
    <w:rsid w:val="002815CF"/>
    <w:rsid w:val="00281855"/>
    <w:rsid w:val="0028185E"/>
    <w:rsid w:val="00281A5A"/>
    <w:rsid w:val="00281B20"/>
    <w:rsid w:val="00281C9B"/>
    <w:rsid w:val="00281DA3"/>
    <w:rsid w:val="00281E01"/>
    <w:rsid w:val="00281EE3"/>
    <w:rsid w:val="0028211D"/>
    <w:rsid w:val="00282251"/>
    <w:rsid w:val="0028225B"/>
    <w:rsid w:val="002824E2"/>
    <w:rsid w:val="002826E6"/>
    <w:rsid w:val="00282924"/>
    <w:rsid w:val="002829A5"/>
    <w:rsid w:val="00282A66"/>
    <w:rsid w:val="002830D9"/>
    <w:rsid w:val="00283606"/>
    <w:rsid w:val="0028381D"/>
    <w:rsid w:val="00283978"/>
    <w:rsid w:val="002839A9"/>
    <w:rsid w:val="00283B22"/>
    <w:rsid w:val="00283BA0"/>
    <w:rsid w:val="00283D87"/>
    <w:rsid w:val="00283E22"/>
    <w:rsid w:val="002842EE"/>
    <w:rsid w:val="0028446F"/>
    <w:rsid w:val="00284A9E"/>
    <w:rsid w:val="00284AF2"/>
    <w:rsid w:val="00284B0A"/>
    <w:rsid w:val="00284DCA"/>
    <w:rsid w:val="00284F47"/>
    <w:rsid w:val="00284F77"/>
    <w:rsid w:val="002852C6"/>
    <w:rsid w:val="0028530D"/>
    <w:rsid w:val="0028577E"/>
    <w:rsid w:val="00285821"/>
    <w:rsid w:val="00285885"/>
    <w:rsid w:val="00285A5F"/>
    <w:rsid w:val="00285AA2"/>
    <w:rsid w:val="00285FDD"/>
    <w:rsid w:val="0028605C"/>
    <w:rsid w:val="002862D6"/>
    <w:rsid w:val="00286383"/>
    <w:rsid w:val="0028644B"/>
    <w:rsid w:val="00286684"/>
    <w:rsid w:val="00286781"/>
    <w:rsid w:val="0028684D"/>
    <w:rsid w:val="00286C2B"/>
    <w:rsid w:val="00286D38"/>
    <w:rsid w:val="00286F6A"/>
    <w:rsid w:val="0028706F"/>
    <w:rsid w:val="00287089"/>
    <w:rsid w:val="00287195"/>
    <w:rsid w:val="002871CB"/>
    <w:rsid w:val="002872A3"/>
    <w:rsid w:val="002872B1"/>
    <w:rsid w:val="002874EC"/>
    <w:rsid w:val="0028756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C"/>
    <w:rsid w:val="0029150C"/>
    <w:rsid w:val="00291680"/>
    <w:rsid w:val="002917B1"/>
    <w:rsid w:val="00291C08"/>
    <w:rsid w:val="00291CB4"/>
    <w:rsid w:val="00291ECD"/>
    <w:rsid w:val="00291F40"/>
    <w:rsid w:val="00292026"/>
    <w:rsid w:val="002920BB"/>
    <w:rsid w:val="00292198"/>
    <w:rsid w:val="00292397"/>
    <w:rsid w:val="0029250C"/>
    <w:rsid w:val="0029273C"/>
    <w:rsid w:val="002929AA"/>
    <w:rsid w:val="00292D1D"/>
    <w:rsid w:val="00292E58"/>
    <w:rsid w:val="00293651"/>
    <w:rsid w:val="0029373E"/>
    <w:rsid w:val="002938D2"/>
    <w:rsid w:val="00293971"/>
    <w:rsid w:val="00293EF8"/>
    <w:rsid w:val="00293FC5"/>
    <w:rsid w:val="00294122"/>
    <w:rsid w:val="00294326"/>
    <w:rsid w:val="00294348"/>
    <w:rsid w:val="002947BC"/>
    <w:rsid w:val="00294868"/>
    <w:rsid w:val="002949D0"/>
    <w:rsid w:val="00294AC7"/>
    <w:rsid w:val="00294ADD"/>
    <w:rsid w:val="00294ADE"/>
    <w:rsid w:val="00294B97"/>
    <w:rsid w:val="00294ECF"/>
    <w:rsid w:val="00294F6A"/>
    <w:rsid w:val="00295013"/>
    <w:rsid w:val="00295039"/>
    <w:rsid w:val="0029539F"/>
    <w:rsid w:val="00295475"/>
    <w:rsid w:val="0029553E"/>
    <w:rsid w:val="00295555"/>
    <w:rsid w:val="002959B2"/>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7266"/>
    <w:rsid w:val="00297488"/>
    <w:rsid w:val="00297AB6"/>
    <w:rsid w:val="00297BF6"/>
    <w:rsid w:val="00297D1B"/>
    <w:rsid w:val="00297D41"/>
    <w:rsid w:val="00297E19"/>
    <w:rsid w:val="00297E77"/>
    <w:rsid w:val="00297F1B"/>
    <w:rsid w:val="002A012F"/>
    <w:rsid w:val="002A0130"/>
    <w:rsid w:val="002A0599"/>
    <w:rsid w:val="002A0656"/>
    <w:rsid w:val="002A06CE"/>
    <w:rsid w:val="002A074C"/>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036"/>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2B2"/>
    <w:rsid w:val="002A4347"/>
    <w:rsid w:val="002A44DD"/>
    <w:rsid w:val="002A44E8"/>
    <w:rsid w:val="002A4561"/>
    <w:rsid w:val="002A46AB"/>
    <w:rsid w:val="002A4771"/>
    <w:rsid w:val="002A48BF"/>
    <w:rsid w:val="002A49AA"/>
    <w:rsid w:val="002A49FD"/>
    <w:rsid w:val="002A4BB7"/>
    <w:rsid w:val="002A4C66"/>
    <w:rsid w:val="002A4C67"/>
    <w:rsid w:val="002A4D20"/>
    <w:rsid w:val="002A4E8D"/>
    <w:rsid w:val="002A4EDF"/>
    <w:rsid w:val="002A4FDE"/>
    <w:rsid w:val="002A502D"/>
    <w:rsid w:val="002A514B"/>
    <w:rsid w:val="002A5448"/>
    <w:rsid w:val="002A55AD"/>
    <w:rsid w:val="002A55D8"/>
    <w:rsid w:val="002A561B"/>
    <w:rsid w:val="002A5670"/>
    <w:rsid w:val="002A5868"/>
    <w:rsid w:val="002A5A09"/>
    <w:rsid w:val="002A5D05"/>
    <w:rsid w:val="002A5D48"/>
    <w:rsid w:val="002A5FA9"/>
    <w:rsid w:val="002A5FDB"/>
    <w:rsid w:val="002A6049"/>
    <w:rsid w:val="002A6550"/>
    <w:rsid w:val="002A65EA"/>
    <w:rsid w:val="002A67AA"/>
    <w:rsid w:val="002A6E46"/>
    <w:rsid w:val="002A6F48"/>
    <w:rsid w:val="002A7514"/>
    <w:rsid w:val="002A7676"/>
    <w:rsid w:val="002A77C9"/>
    <w:rsid w:val="002A7C2D"/>
    <w:rsid w:val="002A7C8E"/>
    <w:rsid w:val="002B0113"/>
    <w:rsid w:val="002B01B1"/>
    <w:rsid w:val="002B0383"/>
    <w:rsid w:val="002B045D"/>
    <w:rsid w:val="002B06CF"/>
    <w:rsid w:val="002B08DC"/>
    <w:rsid w:val="002B0995"/>
    <w:rsid w:val="002B0A98"/>
    <w:rsid w:val="002B0B12"/>
    <w:rsid w:val="002B0BC4"/>
    <w:rsid w:val="002B0C56"/>
    <w:rsid w:val="002B0E35"/>
    <w:rsid w:val="002B0F69"/>
    <w:rsid w:val="002B132A"/>
    <w:rsid w:val="002B139E"/>
    <w:rsid w:val="002B178E"/>
    <w:rsid w:val="002B1979"/>
    <w:rsid w:val="002B1B54"/>
    <w:rsid w:val="002B1DA4"/>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C10"/>
    <w:rsid w:val="002B3D3F"/>
    <w:rsid w:val="002B3DAF"/>
    <w:rsid w:val="002B40D3"/>
    <w:rsid w:val="002B4278"/>
    <w:rsid w:val="002B45B4"/>
    <w:rsid w:val="002B4666"/>
    <w:rsid w:val="002B486F"/>
    <w:rsid w:val="002B5020"/>
    <w:rsid w:val="002B5204"/>
    <w:rsid w:val="002B5682"/>
    <w:rsid w:val="002B56CF"/>
    <w:rsid w:val="002B5700"/>
    <w:rsid w:val="002B5739"/>
    <w:rsid w:val="002B5750"/>
    <w:rsid w:val="002B5B6F"/>
    <w:rsid w:val="002B5EFC"/>
    <w:rsid w:val="002B5FF6"/>
    <w:rsid w:val="002B6709"/>
    <w:rsid w:val="002B6757"/>
    <w:rsid w:val="002B6991"/>
    <w:rsid w:val="002B6A26"/>
    <w:rsid w:val="002B6C15"/>
    <w:rsid w:val="002B6D2D"/>
    <w:rsid w:val="002B6FA4"/>
    <w:rsid w:val="002B74C9"/>
    <w:rsid w:val="002B7C4F"/>
    <w:rsid w:val="002B7CAB"/>
    <w:rsid w:val="002B7CC0"/>
    <w:rsid w:val="002B7D22"/>
    <w:rsid w:val="002B7D5C"/>
    <w:rsid w:val="002B7DCE"/>
    <w:rsid w:val="002B7E8D"/>
    <w:rsid w:val="002B7EEA"/>
    <w:rsid w:val="002C00EC"/>
    <w:rsid w:val="002C02D4"/>
    <w:rsid w:val="002C080F"/>
    <w:rsid w:val="002C0B9E"/>
    <w:rsid w:val="002C1247"/>
    <w:rsid w:val="002C143E"/>
    <w:rsid w:val="002C1490"/>
    <w:rsid w:val="002C1555"/>
    <w:rsid w:val="002C1886"/>
    <w:rsid w:val="002C188E"/>
    <w:rsid w:val="002C1A00"/>
    <w:rsid w:val="002C1E5B"/>
    <w:rsid w:val="002C20A6"/>
    <w:rsid w:val="002C21E0"/>
    <w:rsid w:val="002C220E"/>
    <w:rsid w:val="002C2431"/>
    <w:rsid w:val="002C2513"/>
    <w:rsid w:val="002C29C9"/>
    <w:rsid w:val="002C2A6F"/>
    <w:rsid w:val="002C2B50"/>
    <w:rsid w:val="002C2CF2"/>
    <w:rsid w:val="002C2CF3"/>
    <w:rsid w:val="002C2E2E"/>
    <w:rsid w:val="002C331E"/>
    <w:rsid w:val="002C34F6"/>
    <w:rsid w:val="002C351B"/>
    <w:rsid w:val="002C354F"/>
    <w:rsid w:val="002C35D3"/>
    <w:rsid w:val="002C3649"/>
    <w:rsid w:val="002C39C2"/>
    <w:rsid w:val="002C3C44"/>
    <w:rsid w:val="002C3CA2"/>
    <w:rsid w:val="002C463F"/>
    <w:rsid w:val="002C47DE"/>
    <w:rsid w:val="002C4903"/>
    <w:rsid w:val="002C4A17"/>
    <w:rsid w:val="002C4BC0"/>
    <w:rsid w:val="002C4BDA"/>
    <w:rsid w:val="002C4E8A"/>
    <w:rsid w:val="002C4E96"/>
    <w:rsid w:val="002C563C"/>
    <w:rsid w:val="002C56CC"/>
    <w:rsid w:val="002C59B0"/>
    <w:rsid w:val="002C59E9"/>
    <w:rsid w:val="002C5ACA"/>
    <w:rsid w:val="002C5BBB"/>
    <w:rsid w:val="002C5CD3"/>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8A6"/>
    <w:rsid w:val="002C792B"/>
    <w:rsid w:val="002C7937"/>
    <w:rsid w:val="002C7AD8"/>
    <w:rsid w:val="002C7AE9"/>
    <w:rsid w:val="002C7AEC"/>
    <w:rsid w:val="002C7B82"/>
    <w:rsid w:val="002C7F6C"/>
    <w:rsid w:val="002D023A"/>
    <w:rsid w:val="002D045F"/>
    <w:rsid w:val="002D047B"/>
    <w:rsid w:val="002D047C"/>
    <w:rsid w:val="002D067C"/>
    <w:rsid w:val="002D074A"/>
    <w:rsid w:val="002D0760"/>
    <w:rsid w:val="002D08BB"/>
    <w:rsid w:val="002D0933"/>
    <w:rsid w:val="002D0D07"/>
    <w:rsid w:val="002D0D91"/>
    <w:rsid w:val="002D0DAC"/>
    <w:rsid w:val="002D0DB6"/>
    <w:rsid w:val="002D0E42"/>
    <w:rsid w:val="002D0FD3"/>
    <w:rsid w:val="002D10C8"/>
    <w:rsid w:val="002D14AE"/>
    <w:rsid w:val="002D157A"/>
    <w:rsid w:val="002D187F"/>
    <w:rsid w:val="002D1B63"/>
    <w:rsid w:val="002D1C8E"/>
    <w:rsid w:val="002D2000"/>
    <w:rsid w:val="002D2315"/>
    <w:rsid w:val="002D2321"/>
    <w:rsid w:val="002D2751"/>
    <w:rsid w:val="002D278D"/>
    <w:rsid w:val="002D29E2"/>
    <w:rsid w:val="002D2A19"/>
    <w:rsid w:val="002D2B9D"/>
    <w:rsid w:val="002D2D54"/>
    <w:rsid w:val="002D2D7B"/>
    <w:rsid w:val="002D2DF2"/>
    <w:rsid w:val="002D2E42"/>
    <w:rsid w:val="002D3363"/>
    <w:rsid w:val="002D342F"/>
    <w:rsid w:val="002D35D7"/>
    <w:rsid w:val="002D3690"/>
    <w:rsid w:val="002D37A7"/>
    <w:rsid w:val="002D3A50"/>
    <w:rsid w:val="002D3B7C"/>
    <w:rsid w:val="002D3C11"/>
    <w:rsid w:val="002D3D88"/>
    <w:rsid w:val="002D41BB"/>
    <w:rsid w:val="002D44E9"/>
    <w:rsid w:val="002D45FF"/>
    <w:rsid w:val="002D4655"/>
    <w:rsid w:val="002D47F5"/>
    <w:rsid w:val="002D4817"/>
    <w:rsid w:val="002D497E"/>
    <w:rsid w:val="002D4A99"/>
    <w:rsid w:val="002D4D0F"/>
    <w:rsid w:val="002D4D8C"/>
    <w:rsid w:val="002D4E5A"/>
    <w:rsid w:val="002D4FCA"/>
    <w:rsid w:val="002D5383"/>
    <w:rsid w:val="002D570B"/>
    <w:rsid w:val="002D58B8"/>
    <w:rsid w:val="002D58EB"/>
    <w:rsid w:val="002D5A39"/>
    <w:rsid w:val="002D5D22"/>
    <w:rsid w:val="002D5F90"/>
    <w:rsid w:val="002D6092"/>
    <w:rsid w:val="002D60E7"/>
    <w:rsid w:val="002D61B0"/>
    <w:rsid w:val="002D62A8"/>
    <w:rsid w:val="002D658D"/>
    <w:rsid w:val="002D6595"/>
    <w:rsid w:val="002D65B8"/>
    <w:rsid w:val="002D65BE"/>
    <w:rsid w:val="002D697B"/>
    <w:rsid w:val="002D6B04"/>
    <w:rsid w:val="002D6D85"/>
    <w:rsid w:val="002D6DBA"/>
    <w:rsid w:val="002D73FE"/>
    <w:rsid w:val="002D7782"/>
    <w:rsid w:val="002D779D"/>
    <w:rsid w:val="002D78B8"/>
    <w:rsid w:val="002D7FF8"/>
    <w:rsid w:val="002E00C2"/>
    <w:rsid w:val="002E0132"/>
    <w:rsid w:val="002E01A0"/>
    <w:rsid w:val="002E0271"/>
    <w:rsid w:val="002E040B"/>
    <w:rsid w:val="002E041D"/>
    <w:rsid w:val="002E0496"/>
    <w:rsid w:val="002E07EE"/>
    <w:rsid w:val="002E08E4"/>
    <w:rsid w:val="002E09A2"/>
    <w:rsid w:val="002E0A48"/>
    <w:rsid w:val="002E0DA9"/>
    <w:rsid w:val="002E0E53"/>
    <w:rsid w:val="002E14C9"/>
    <w:rsid w:val="002E17AA"/>
    <w:rsid w:val="002E1A08"/>
    <w:rsid w:val="002E1C38"/>
    <w:rsid w:val="002E1CF2"/>
    <w:rsid w:val="002E1F8B"/>
    <w:rsid w:val="002E227E"/>
    <w:rsid w:val="002E22CD"/>
    <w:rsid w:val="002E264E"/>
    <w:rsid w:val="002E2812"/>
    <w:rsid w:val="002E28AF"/>
    <w:rsid w:val="002E2B56"/>
    <w:rsid w:val="002E2D71"/>
    <w:rsid w:val="002E2DB3"/>
    <w:rsid w:val="002E2EFB"/>
    <w:rsid w:val="002E2FF3"/>
    <w:rsid w:val="002E30D2"/>
    <w:rsid w:val="002E3606"/>
    <w:rsid w:val="002E361B"/>
    <w:rsid w:val="002E3821"/>
    <w:rsid w:val="002E382D"/>
    <w:rsid w:val="002E3857"/>
    <w:rsid w:val="002E385B"/>
    <w:rsid w:val="002E3A75"/>
    <w:rsid w:val="002E3B6E"/>
    <w:rsid w:val="002E3E6E"/>
    <w:rsid w:val="002E3E8F"/>
    <w:rsid w:val="002E4020"/>
    <w:rsid w:val="002E46CF"/>
    <w:rsid w:val="002E4A41"/>
    <w:rsid w:val="002E4BA9"/>
    <w:rsid w:val="002E51F0"/>
    <w:rsid w:val="002E535A"/>
    <w:rsid w:val="002E53A4"/>
    <w:rsid w:val="002E54C8"/>
    <w:rsid w:val="002E54DE"/>
    <w:rsid w:val="002E557E"/>
    <w:rsid w:val="002E57CE"/>
    <w:rsid w:val="002E5815"/>
    <w:rsid w:val="002E584C"/>
    <w:rsid w:val="002E5C66"/>
    <w:rsid w:val="002E6018"/>
    <w:rsid w:val="002E6199"/>
    <w:rsid w:val="002E64FC"/>
    <w:rsid w:val="002E6606"/>
    <w:rsid w:val="002E6666"/>
    <w:rsid w:val="002E6838"/>
    <w:rsid w:val="002E6A9D"/>
    <w:rsid w:val="002E6AEC"/>
    <w:rsid w:val="002E6B04"/>
    <w:rsid w:val="002E7259"/>
    <w:rsid w:val="002E72FC"/>
    <w:rsid w:val="002E7AAB"/>
    <w:rsid w:val="002E7AAF"/>
    <w:rsid w:val="002E7E40"/>
    <w:rsid w:val="002F038B"/>
    <w:rsid w:val="002F0391"/>
    <w:rsid w:val="002F03B8"/>
    <w:rsid w:val="002F0887"/>
    <w:rsid w:val="002F0A62"/>
    <w:rsid w:val="002F0DEC"/>
    <w:rsid w:val="002F0E83"/>
    <w:rsid w:val="002F103E"/>
    <w:rsid w:val="002F10C0"/>
    <w:rsid w:val="002F12EB"/>
    <w:rsid w:val="002F13ED"/>
    <w:rsid w:val="002F1480"/>
    <w:rsid w:val="002F1663"/>
    <w:rsid w:val="002F17AF"/>
    <w:rsid w:val="002F1B70"/>
    <w:rsid w:val="002F1B94"/>
    <w:rsid w:val="002F1E89"/>
    <w:rsid w:val="002F1F51"/>
    <w:rsid w:val="002F1FB8"/>
    <w:rsid w:val="002F2340"/>
    <w:rsid w:val="002F2398"/>
    <w:rsid w:val="002F23C1"/>
    <w:rsid w:val="002F23C5"/>
    <w:rsid w:val="002F254C"/>
    <w:rsid w:val="002F2650"/>
    <w:rsid w:val="002F26D6"/>
    <w:rsid w:val="002F2873"/>
    <w:rsid w:val="002F29E7"/>
    <w:rsid w:val="002F2A73"/>
    <w:rsid w:val="002F2AC6"/>
    <w:rsid w:val="002F2B59"/>
    <w:rsid w:val="002F2EE0"/>
    <w:rsid w:val="002F3038"/>
    <w:rsid w:val="002F3136"/>
    <w:rsid w:val="002F3287"/>
    <w:rsid w:val="002F3483"/>
    <w:rsid w:val="002F3645"/>
    <w:rsid w:val="002F3924"/>
    <w:rsid w:val="002F394B"/>
    <w:rsid w:val="002F39E7"/>
    <w:rsid w:val="002F3A6E"/>
    <w:rsid w:val="002F3E48"/>
    <w:rsid w:val="002F3EDC"/>
    <w:rsid w:val="002F441D"/>
    <w:rsid w:val="002F4497"/>
    <w:rsid w:val="002F4581"/>
    <w:rsid w:val="002F4693"/>
    <w:rsid w:val="002F4732"/>
    <w:rsid w:val="002F48A8"/>
    <w:rsid w:val="002F49DA"/>
    <w:rsid w:val="002F49EA"/>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904"/>
    <w:rsid w:val="002F6965"/>
    <w:rsid w:val="002F6DA1"/>
    <w:rsid w:val="002F6E72"/>
    <w:rsid w:val="002F70CF"/>
    <w:rsid w:val="002F7130"/>
    <w:rsid w:val="002F7155"/>
    <w:rsid w:val="002F79A9"/>
    <w:rsid w:val="002F79F0"/>
    <w:rsid w:val="002F7BFF"/>
    <w:rsid w:val="002F7EEE"/>
    <w:rsid w:val="00300108"/>
    <w:rsid w:val="00300186"/>
    <w:rsid w:val="003001CC"/>
    <w:rsid w:val="0030044B"/>
    <w:rsid w:val="003004EF"/>
    <w:rsid w:val="0030061B"/>
    <w:rsid w:val="003006A7"/>
    <w:rsid w:val="00300931"/>
    <w:rsid w:val="00300B38"/>
    <w:rsid w:val="0030142E"/>
    <w:rsid w:val="00301542"/>
    <w:rsid w:val="003015A6"/>
    <w:rsid w:val="003016A5"/>
    <w:rsid w:val="00301853"/>
    <w:rsid w:val="003019AD"/>
    <w:rsid w:val="0030216B"/>
    <w:rsid w:val="0030216D"/>
    <w:rsid w:val="00302262"/>
    <w:rsid w:val="00302355"/>
    <w:rsid w:val="003023E2"/>
    <w:rsid w:val="003027E1"/>
    <w:rsid w:val="00302850"/>
    <w:rsid w:val="0030287B"/>
    <w:rsid w:val="0030291C"/>
    <w:rsid w:val="003029C2"/>
    <w:rsid w:val="00302E0B"/>
    <w:rsid w:val="00302EBC"/>
    <w:rsid w:val="00302FE3"/>
    <w:rsid w:val="0030305D"/>
    <w:rsid w:val="00303080"/>
    <w:rsid w:val="003031A9"/>
    <w:rsid w:val="00303884"/>
    <w:rsid w:val="00303A5A"/>
    <w:rsid w:val="00303F0E"/>
    <w:rsid w:val="00303F97"/>
    <w:rsid w:val="00304386"/>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34"/>
    <w:rsid w:val="00306ECE"/>
    <w:rsid w:val="0030701B"/>
    <w:rsid w:val="0030709C"/>
    <w:rsid w:val="003071DF"/>
    <w:rsid w:val="00307595"/>
    <w:rsid w:val="003076B9"/>
    <w:rsid w:val="00307852"/>
    <w:rsid w:val="00307A31"/>
    <w:rsid w:val="00307AE9"/>
    <w:rsid w:val="00307E00"/>
    <w:rsid w:val="00307F1E"/>
    <w:rsid w:val="00310701"/>
    <w:rsid w:val="00310808"/>
    <w:rsid w:val="00310C50"/>
    <w:rsid w:val="00310E1C"/>
    <w:rsid w:val="0031107D"/>
    <w:rsid w:val="003112CF"/>
    <w:rsid w:val="003115B2"/>
    <w:rsid w:val="003116E3"/>
    <w:rsid w:val="003119AA"/>
    <w:rsid w:val="00311B02"/>
    <w:rsid w:val="00311D97"/>
    <w:rsid w:val="00311DC7"/>
    <w:rsid w:val="00311DD0"/>
    <w:rsid w:val="003120A1"/>
    <w:rsid w:val="00312718"/>
    <w:rsid w:val="0031283A"/>
    <w:rsid w:val="00312A0E"/>
    <w:rsid w:val="00312D76"/>
    <w:rsid w:val="00313115"/>
    <w:rsid w:val="003132BA"/>
    <w:rsid w:val="00313560"/>
    <w:rsid w:val="0031363B"/>
    <w:rsid w:val="0031367F"/>
    <w:rsid w:val="003137EA"/>
    <w:rsid w:val="00313953"/>
    <w:rsid w:val="00313970"/>
    <w:rsid w:val="00313AE6"/>
    <w:rsid w:val="00313D79"/>
    <w:rsid w:val="00313E39"/>
    <w:rsid w:val="00313F14"/>
    <w:rsid w:val="00314006"/>
    <w:rsid w:val="00314066"/>
    <w:rsid w:val="00314339"/>
    <w:rsid w:val="003143E5"/>
    <w:rsid w:val="00314485"/>
    <w:rsid w:val="00314705"/>
    <w:rsid w:val="003148A5"/>
    <w:rsid w:val="003149AD"/>
    <w:rsid w:val="00314C30"/>
    <w:rsid w:val="00314CA7"/>
    <w:rsid w:val="00314DF9"/>
    <w:rsid w:val="00314F40"/>
    <w:rsid w:val="00315099"/>
    <w:rsid w:val="00315295"/>
    <w:rsid w:val="003153AB"/>
    <w:rsid w:val="003154B2"/>
    <w:rsid w:val="0031559D"/>
    <w:rsid w:val="003159EF"/>
    <w:rsid w:val="00315C17"/>
    <w:rsid w:val="00315D3B"/>
    <w:rsid w:val="00316454"/>
    <w:rsid w:val="00316511"/>
    <w:rsid w:val="0031673F"/>
    <w:rsid w:val="003167D5"/>
    <w:rsid w:val="0031681E"/>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53"/>
    <w:rsid w:val="00320562"/>
    <w:rsid w:val="003206E7"/>
    <w:rsid w:val="003207D4"/>
    <w:rsid w:val="00320855"/>
    <w:rsid w:val="003209AF"/>
    <w:rsid w:val="00320C98"/>
    <w:rsid w:val="00320CD0"/>
    <w:rsid w:val="00320E55"/>
    <w:rsid w:val="0032102E"/>
    <w:rsid w:val="00321213"/>
    <w:rsid w:val="00321532"/>
    <w:rsid w:val="00321902"/>
    <w:rsid w:val="00321B54"/>
    <w:rsid w:val="00321CC2"/>
    <w:rsid w:val="00321EEC"/>
    <w:rsid w:val="00321EF4"/>
    <w:rsid w:val="00322038"/>
    <w:rsid w:val="003220BB"/>
    <w:rsid w:val="00322207"/>
    <w:rsid w:val="00322223"/>
    <w:rsid w:val="0032236B"/>
    <w:rsid w:val="00322534"/>
    <w:rsid w:val="0032298D"/>
    <w:rsid w:val="003229FE"/>
    <w:rsid w:val="00322A1B"/>
    <w:rsid w:val="00322A76"/>
    <w:rsid w:val="00322B53"/>
    <w:rsid w:val="00322C46"/>
    <w:rsid w:val="00322FCC"/>
    <w:rsid w:val="003230D2"/>
    <w:rsid w:val="003231B0"/>
    <w:rsid w:val="00323226"/>
    <w:rsid w:val="003232B8"/>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851"/>
    <w:rsid w:val="00324A2C"/>
    <w:rsid w:val="00324A9A"/>
    <w:rsid w:val="00324D8A"/>
    <w:rsid w:val="00324FAD"/>
    <w:rsid w:val="0032530E"/>
    <w:rsid w:val="003253B4"/>
    <w:rsid w:val="003254C6"/>
    <w:rsid w:val="0032553A"/>
    <w:rsid w:val="003256F0"/>
    <w:rsid w:val="003258C5"/>
    <w:rsid w:val="003259C6"/>
    <w:rsid w:val="00325D00"/>
    <w:rsid w:val="00326046"/>
    <w:rsid w:val="003261C5"/>
    <w:rsid w:val="0032645F"/>
    <w:rsid w:val="00326621"/>
    <w:rsid w:val="0032676E"/>
    <w:rsid w:val="00326A45"/>
    <w:rsid w:val="00326AFA"/>
    <w:rsid w:val="00326B98"/>
    <w:rsid w:val="003270B5"/>
    <w:rsid w:val="003271F5"/>
    <w:rsid w:val="00327310"/>
    <w:rsid w:val="003273D1"/>
    <w:rsid w:val="003274D9"/>
    <w:rsid w:val="0032763B"/>
    <w:rsid w:val="00327902"/>
    <w:rsid w:val="003279D7"/>
    <w:rsid w:val="00327BEB"/>
    <w:rsid w:val="00327F88"/>
    <w:rsid w:val="003303BE"/>
    <w:rsid w:val="00330426"/>
    <w:rsid w:val="003307FE"/>
    <w:rsid w:val="00330878"/>
    <w:rsid w:val="00330C9C"/>
    <w:rsid w:val="00330CF9"/>
    <w:rsid w:val="00330E43"/>
    <w:rsid w:val="00330FEF"/>
    <w:rsid w:val="0033117F"/>
    <w:rsid w:val="003312C9"/>
    <w:rsid w:val="00331484"/>
    <w:rsid w:val="00331508"/>
    <w:rsid w:val="00331523"/>
    <w:rsid w:val="0033159D"/>
    <w:rsid w:val="00331636"/>
    <w:rsid w:val="0033163C"/>
    <w:rsid w:val="0033171C"/>
    <w:rsid w:val="003317CC"/>
    <w:rsid w:val="00331B03"/>
    <w:rsid w:val="00331C2B"/>
    <w:rsid w:val="00331D68"/>
    <w:rsid w:val="00331FD7"/>
    <w:rsid w:val="003321DF"/>
    <w:rsid w:val="003324AB"/>
    <w:rsid w:val="0033253D"/>
    <w:rsid w:val="00332545"/>
    <w:rsid w:val="00332558"/>
    <w:rsid w:val="0033269D"/>
    <w:rsid w:val="0033279F"/>
    <w:rsid w:val="0033281F"/>
    <w:rsid w:val="00332913"/>
    <w:rsid w:val="00332950"/>
    <w:rsid w:val="003329C3"/>
    <w:rsid w:val="00332EC8"/>
    <w:rsid w:val="00333040"/>
    <w:rsid w:val="003335A1"/>
    <w:rsid w:val="003336A6"/>
    <w:rsid w:val="00333721"/>
    <w:rsid w:val="0033389D"/>
    <w:rsid w:val="0033394D"/>
    <w:rsid w:val="00333C10"/>
    <w:rsid w:val="00333CD0"/>
    <w:rsid w:val="00333E10"/>
    <w:rsid w:val="00333F37"/>
    <w:rsid w:val="0033426F"/>
    <w:rsid w:val="0033436B"/>
    <w:rsid w:val="003343E0"/>
    <w:rsid w:val="00334501"/>
    <w:rsid w:val="00334593"/>
    <w:rsid w:val="0033483D"/>
    <w:rsid w:val="003349AE"/>
    <w:rsid w:val="00334AC3"/>
    <w:rsid w:val="00334BFE"/>
    <w:rsid w:val="00334CDA"/>
    <w:rsid w:val="00334DB6"/>
    <w:rsid w:val="00334F3B"/>
    <w:rsid w:val="0033540D"/>
    <w:rsid w:val="0033540F"/>
    <w:rsid w:val="003355ED"/>
    <w:rsid w:val="00335789"/>
    <w:rsid w:val="00335A0F"/>
    <w:rsid w:val="00335AB4"/>
    <w:rsid w:val="00335BA9"/>
    <w:rsid w:val="00335D57"/>
    <w:rsid w:val="003363EB"/>
    <w:rsid w:val="003367F5"/>
    <w:rsid w:val="0033685E"/>
    <w:rsid w:val="003368AE"/>
    <w:rsid w:val="00336DE8"/>
    <w:rsid w:val="00337577"/>
    <w:rsid w:val="0033777B"/>
    <w:rsid w:val="0033779D"/>
    <w:rsid w:val="00337CB3"/>
    <w:rsid w:val="00337D1F"/>
    <w:rsid w:val="00337E5D"/>
    <w:rsid w:val="00340126"/>
    <w:rsid w:val="00340301"/>
    <w:rsid w:val="00340585"/>
    <w:rsid w:val="00340628"/>
    <w:rsid w:val="00340860"/>
    <w:rsid w:val="00340A5F"/>
    <w:rsid w:val="00340BD9"/>
    <w:rsid w:val="00340D09"/>
    <w:rsid w:val="00340F83"/>
    <w:rsid w:val="00341004"/>
    <w:rsid w:val="003413D0"/>
    <w:rsid w:val="00341908"/>
    <w:rsid w:val="00341A92"/>
    <w:rsid w:val="00341BC6"/>
    <w:rsid w:val="00341C92"/>
    <w:rsid w:val="00341DD3"/>
    <w:rsid w:val="00342105"/>
    <w:rsid w:val="00342153"/>
    <w:rsid w:val="003422B8"/>
    <w:rsid w:val="003423E3"/>
    <w:rsid w:val="0034244C"/>
    <w:rsid w:val="003427D8"/>
    <w:rsid w:val="0034290B"/>
    <w:rsid w:val="003429B0"/>
    <w:rsid w:val="00342AEB"/>
    <w:rsid w:val="00342BA8"/>
    <w:rsid w:val="00342E9C"/>
    <w:rsid w:val="00342FB3"/>
    <w:rsid w:val="003430A1"/>
    <w:rsid w:val="00343143"/>
    <w:rsid w:val="003431E5"/>
    <w:rsid w:val="003434CF"/>
    <w:rsid w:val="0034381E"/>
    <w:rsid w:val="0034394C"/>
    <w:rsid w:val="00343B7D"/>
    <w:rsid w:val="00343D25"/>
    <w:rsid w:val="00344316"/>
    <w:rsid w:val="00344375"/>
    <w:rsid w:val="00344580"/>
    <w:rsid w:val="00344BB7"/>
    <w:rsid w:val="00344D0A"/>
    <w:rsid w:val="00344DEA"/>
    <w:rsid w:val="00344E5A"/>
    <w:rsid w:val="00344F5F"/>
    <w:rsid w:val="00345309"/>
    <w:rsid w:val="00345421"/>
    <w:rsid w:val="00345991"/>
    <w:rsid w:val="00345D3D"/>
    <w:rsid w:val="00345F6C"/>
    <w:rsid w:val="0034610B"/>
    <w:rsid w:val="0034638E"/>
    <w:rsid w:val="003463AE"/>
    <w:rsid w:val="00346491"/>
    <w:rsid w:val="00346622"/>
    <w:rsid w:val="00346AD2"/>
    <w:rsid w:val="00346CA0"/>
    <w:rsid w:val="00346E30"/>
    <w:rsid w:val="00346EFD"/>
    <w:rsid w:val="00346F7D"/>
    <w:rsid w:val="00347000"/>
    <w:rsid w:val="0034736D"/>
    <w:rsid w:val="003473FC"/>
    <w:rsid w:val="003477C7"/>
    <w:rsid w:val="00347A6F"/>
    <w:rsid w:val="00347C48"/>
    <w:rsid w:val="00347C52"/>
    <w:rsid w:val="00350050"/>
    <w:rsid w:val="00350482"/>
    <w:rsid w:val="003507A2"/>
    <w:rsid w:val="003507A7"/>
    <w:rsid w:val="00350844"/>
    <w:rsid w:val="00350A46"/>
    <w:rsid w:val="00350E8D"/>
    <w:rsid w:val="00350F2E"/>
    <w:rsid w:val="00350F96"/>
    <w:rsid w:val="00350FFC"/>
    <w:rsid w:val="003510C0"/>
    <w:rsid w:val="00351188"/>
    <w:rsid w:val="00351252"/>
    <w:rsid w:val="00351524"/>
    <w:rsid w:val="00351A88"/>
    <w:rsid w:val="00351DEA"/>
    <w:rsid w:val="003520AD"/>
    <w:rsid w:val="00352355"/>
    <w:rsid w:val="003523B3"/>
    <w:rsid w:val="00352693"/>
    <w:rsid w:val="00352894"/>
    <w:rsid w:val="003529C4"/>
    <w:rsid w:val="003529E7"/>
    <w:rsid w:val="00352A31"/>
    <w:rsid w:val="00352AC8"/>
    <w:rsid w:val="00352B40"/>
    <w:rsid w:val="00352B58"/>
    <w:rsid w:val="00352BB3"/>
    <w:rsid w:val="00352BBC"/>
    <w:rsid w:val="00352E82"/>
    <w:rsid w:val="00352F5C"/>
    <w:rsid w:val="00353077"/>
    <w:rsid w:val="003532C1"/>
    <w:rsid w:val="0035335C"/>
    <w:rsid w:val="0035388A"/>
    <w:rsid w:val="00353A2A"/>
    <w:rsid w:val="00353C0C"/>
    <w:rsid w:val="00353D59"/>
    <w:rsid w:val="00353E85"/>
    <w:rsid w:val="00354088"/>
    <w:rsid w:val="003540BA"/>
    <w:rsid w:val="00354164"/>
    <w:rsid w:val="003542E3"/>
    <w:rsid w:val="003545AA"/>
    <w:rsid w:val="0035462B"/>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611E"/>
    <w:rsid w:val="0035628A"/>
    <w:rsid w:val="0035634D"/>
    <w:rsid w:val="003563D0"/>
    <w:rsid w:val="003566A1"/>
    <w:rsid w:val="00356742"/>
    <w:rsid w:val="00356D47"/>
    <w:rsid w:val="00356E94"/>
    <w:rsid w:val="0035723A"/>
    <w:rsid w:val="003573ED"/>
    <w:rsid w:val="00357646"/>
    <w:rsid w:val="003577A7"/>
    <w:rsid w:val="00357967"/>
    <w:rsid w:val="00357987"/>
    <w:rsid w:val="00357A2D"/>
    <w:rsid w:val="00357C38"/>
    <w:rsid w:val="00357F8C"/>
    <w:rsid w:val="003600DA"/>
    <w:rsid w:val="0036012B"/>
    <w:rsid w:val="003604AB"/>
    <w:rsid w:val="00360559"/>
    <w:rsid w:val="0036096A"/>
    <w:rsid w:val="003616C9"/>
    <w:rsid w:val="003616E5"/>
    <w:rsid w:val="003617AE"/>
    <w:rsid w:val="00361990"/>
    <w:rsid w:val="003619CB"/>
    <w:rsid w:val="003619F5"/>
    <w:rsid w:val="00361A6A"/>
    <w:rsid w:val="00362304"/>
    <w:rsid w:val="003624FE"/>
    <w:rsid w:val="00362802"/>
    <w:rsid w:val="00362A09"/>
    <w:rsid w:val="00362A9A"/>
    <w:rsid w:val="00362C6D"/>
    <w:rsid w:val="00362C91"/>
    <w:rsid w:val="00362D2A"/>
    <w:rsid w:val="00363520"/>
    <w:rsid w:val="0036384F"/>
    <w:rsid w:val="0036397F"/>
    <w:rsid w:val="00363BC2"/>
    <w:rsid w:val="00363F1B"/>
    <w:rsid w:val="00363F5E"/>
    <w:rsid w:val="00364514"/>
    <w:rsid w:val="00364518"/>
    <w:rsid w:val="003647BE"/>
    <w:rsid w:val="00364A42"/>
    <w:rsid w:val="00364A6D"/>
    <w:rsid w:val="00364B37"/>
    <w:rsid w:val="00364CD0"/>
    <w:rsid w:val="00364D60"/>
    <w:rsid w:val="00364DB1"/>
    <w:rsid w:val="00364DBF"/>
    <w:rsid w:val="00364F3E"/>
    <w:rsid w:val="003650BA"/>
    <w:rsid w:val="00365102"/>
    <w:rsid w:val="003656F0"/>
    <w:rsid w:val="0036571B"/>
    <w:rsid w:val="00365847"/>
    <w:rsid w:val="003659F7"/>
    <w:rsid w:val="00365F4D"/>
    <w:rsid w:val="00366170"/>
    <w:rsid w:val="0036617B"/>
    <w:rsid w:val="003663B2"/>
    <w:rsid w:val="00366434"/>
    <w:rsid w:val="00366460"/>
    <w:rsid w:val="003664AB"/>
    <w:rsid w:val="0036651A"/>
    <w:rsid w:val="003665ED"/>
    <w:rsid w:val="003667E7"/>
    <w:rsid w:val="0036690B"/>
    <w:rsid w:val="00366A2A"/>
    <w:rsid w:val="00366B4F"/>
    <w:rsid w:val="00366B5A"/>
    <w:rsid w:val="00366D20"/>
    <w:rsid w:val="00366DCE"/>
    <w:rsid w:val="00366F8F"/>
    <w:rsid w:val="0036701D"/>
    <w:rsid w:val="003670F9"/>
    <w:rsid w:val="00367168"/>
    <w:rsid w:val="0036729C"/>
    <w:rsid w:val="003675A2"/>
    <w:rsid w:val="003675D8"/>
    <w:rsid w:val="00367746"/>
    <w:rsid w:val="003677AA"/>
    <w:rsid w:val="003679B5"/>
    <w:rsid w:val="00367A4A"/>
    <w:rsid w:val="00367F5C"/>
    <w:rsid w:val="00367F6D"/>
    <w:rsid w:val="0037028C"/>
    <w:rsid w:val="0037062E"/>
    <w:rsid w:val="00370922"/>
    <w:rsid w:val="00370C77"/>
    <w:rsid w:val="00370CC1"/>
    <w:rsid w:val="00370F19"/>
    <w:rsid w:val="00371028"/>
    <w:rsid w:val="003712B0"/>
    <w:rsid w:val="0037134F"/>
    <w:rsid w:val="00371501"/>
    <w:rsid w:val="003715BD"/>
    <w:rsid w:val="00371734"/>
    <w:rsid w:val="003717B4"/>
    <w:rsid w:val="0037188A"/>
    <w:rsid w:val="00371E22"/>
    <w:rsid w:val="003722D9"/>
    <w:rsid w:val="00372358"/>
    <w:rsid w:val="0037250C"/>
    <w:rsid w:val="00372634"/>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780"/>
    <w:rsid w:val="0037388C"/>
    <w:rsid w:val="003739C8"/>
    <w:rsid w:val="00373AF9"/>
    <w:rsid w:val="00373E80"/>
    <w:rsid w:val="00373F2A"/>
    <w:rsid w:val="00374062"/>
    <w:rsid w:val="00374166"/>
    <w:rsid w:val="0037417E"/>
    <w:rsid w:val="0037418C"/>
    <w:rsid w:val="00374347"/>
    <w:rsid w:val="0037454A"/>
    <w:rsid w:val="00374559"/>
    <w:rsid w:val="003745A6"/>
    <w:rsid w:val="00374637"/>
    <w:rsid w:val="0037463F"/>
    <w:rsid w:val="003746DD"/>
    <w:rsid w:val="00374D7D"/>
    <w:rsid w:val="0037520A"/>
    <w:rsid w:val="00375415"/>
    <w:rsid w:val="003755B1"/>
    <w:rsid w:val="003756FF"/>
    <w:rsid w:val="00375793"/>
    <w:rsid w:val="00375818"/>
    <w:rsid w:val="0037593C"/>
    <w:rsid w:val="00375C08"/>
    <w:rsid w:val="00375CC5"/>
    <w:rsid w:val="00375D53"/>
    <w:rsid w:val="00375DED"/>
    <w:rsid w:val="00375DF9"/>
    <w:rsid w:val="00375E62"/>
    <w:rsid w:val="00375F41"/>
    <w:rsid w:val="00375F94"/>
    <w:rsid w:val="00375FBD"/>
    <w:rsid w:val="003764EB"/>
    <w:rsid w:val="0037650A"/>
    <w:rsid w:val="00376548"/>
    <w:rsid w:val="0037657A"/>
    <w:rsid w:val="0037693C"/>
    <w:rsid w:val="00376B6F"/>
    <w:rsid w:val="00376DF8"/>
    <w:rsid w:val="00376EF3"/>
    <w:rsid w:val="0037708B"/>
    <w:rsid w:val="003774BC"/>
    <w:rsid w:val="003776F3"/>
    <w:rsid w:val="003778D9"/>
    <w:rsid w:val="00377913"/>
    <w:rsid w:val="00377E17"/>
    <w:rsid w:val="00377E75"/>
    <w:rsid w:val="00377F69"/>
    <w:rsid w:val="003803DE"/>
    <w:rsid w:val="00380470"/>
    <w:rsid w:val="003804CE"/>
    <w:rsid w:val="003805B9"/>
    <w:rsid w:val="003805F7"/>
    <w:rsid w:val="003806A3"/>
    <w:rsid w:val="00380871"/>
    <w:rsid w:val="003808F6"/>
    <w:rsid w:val="0038098B"/>
    <w:rsid w:val="00380AAA"/>
    <w:rsid w:val="00380DE1"/>
    <w:rsid w:val="00380E66"/>
    <w:rsid w:val="00380E90"/>
    <w:rsid w:val="00380EE8"/>
    <w:rsid w:val="00380F53"/>
    <w:rsid w:val="003811AE"/>
    <w:rsid w:val="00381222"/>
    <w:rsid w:val="0038128C"/>
    <w:rsid w:val="00381331"/>
    <w:rsid w:val="003816FA"/>
    <w:rsid w:val="00381F91"/>
    <w:rsid w:val="0038207C"/>
    <w:rsid w:val="0038216F"/>
    <w:rsid w:val="0038239B"/>
    <w:rsid w:val="003824D8"/>
    <w:rsid w:val="003826C3"/>
    <w:rsid w:val="003826C8"/>
    <w:rsid w:val="00382B22"/>
    <w:rsid w:val="00382D48"/>
    <w:rsid w:val="00382F79"/>
    <w:rsid w:val="00382FCA"/>
    <w:rsid w:val="00382FED"/>
    <w:rsid w:val="0038336B"/>
    <w:rsid w:val="0038346E"/>
    <w:rsid w:val="0038357F"/>
    <w:rsid w:val="00383637"/>
    <w:rsid w:val="00383641"/>
    <w:rsid w:val="003839E4"/>
    <w:rsid w:val="00383CB2"/>
    <w:rsid w:val="0038446E"/>
    <w:rsid w:val="00384582"/>
    <w:rsid w:val="0038473E"/>
    <w:rsid w:val="0038491B"/>
    <w:rsid w:val="003849C0"/>
    <w:rsid w:val="00384DCC"/>
    <w:rsid w:val="00384EF1"/>
    <w:rsid w:val="0038508D"/>
    <w:rsid w:val="00385329"/>
    <w:rsid w:val="0038546C"/>
    <w:rsid w:val="003857F7"/>
    <w:rsid w:val="00385946"/>
    <w:rsid w:val="00385D57"/>
    <w:rsid w:val="00385D77"/>
    <w:rsid w:val="00385F06"/>
    <w:rsid w:val="00385F33"/>
    <w:rsid w:val="003861B3"/>
    <w:rsid w:val="00386450"/>
    <w:rsid w:val="003865B2"/>
    <w:rsid w:val="00386677"/>
    <w:rsid w:val="00386750"/>
    <w:rsid w:val="0038691E"/>
    <w:rsid w:val="00386C07"/>
    <w:rsid w:val="00386DAD"/>
    <w:rsid w:val="00386E46"/>
    <w:rsid w:val="003871FF"/>
    <w:rsid w:val="003872BF"/>
    <w:rsid w:val="00387532"/>
    <w:rsid w:val="00387623"/>
    <w:rsid w:val="00387A93"/>
    <w:rsid w:val="00387CAF"/>
    <w:rsid w:val="003900F0"/>
    <w:rsid w:val="003901D5"/>
    <w:rsid w:val="003901F4"/>
    <w:rsid w:val="003905B3"/>
    <w:rsid w:val="00390911"/>
    <w:rsid w:val="00390A04"/>
    <w:rsid w:val="00390B7A"/>
    <w:rsid w:val="00390E0C"/>
    <w:rsid w:val="00390ED8"/>
    <w:rsid w:val="003910D1"/>
    <w:rsid w:val="003910EB"/>
    <w:rsid w:val="0039145B"/>
    <w:rsid w:val="00391538"/>
    <w:rsid w:val="00391565"/>
    <w:rsid w:val="00391589"/>
    <w:rsid w:val="00391634"/>
    <w:rsid w:val="0039186F"/>
    <w:rsid w:val="003919C6"/>
    <w:rsid w:val="00391B11"/>
    <w:rsid w:val="00392174"/>
    <w:rsid w:val="00392198"/>
    <w:rsid w:val="003924F0"/>
    <w:rsid w:val="0039266F"/>
    <w:rsid w:val="003928B0"/>
    <w:rsid w:val="00392926"/>
    <w:rsid w:val="00392A18"/>
    <w:rsid w:val="00392CC7"/>
    <w:rsid w:val="00392CF4"/>
    <w:rsid w:val="00392D98"/>
    <w:rsid w:val="003931D0"/>
    <w:rsid w:val="003931D1"/>
    <w:rsid w:val="00393274"/>
    <w:rsid w:val="003932F0"/>
    <w:rsid w:val="0039339E"/>
    <w:rsid w:val="00393657"/>
    <w:rsid w:val="003936E8"/>
    <w:rsid w:val="003938E3"/>
    <w:rsid w:val="00393915"/>
    <w:rsid w:val="0039394C"/>
    <w:rsid w:val="00393B44"/>
    <w:rsid w:val="00393B5E"/>
    <w:rsid w:val="00393D38"/>
    <w:rsid w:val="00394016"/>
    <w:rsid w:val="00394053"/>
    <w:rsid w:val="0039419C"/>
    <w:rsid w:val="0039427F"/>
    <w:rsid w:val="003943DD"/>
    <w:rsid w:val="0039448B"/>
    <w:rsid w:val="0039493D"/>
    <w:rsid w:val="00394C1C"/>
    <w:rsid w:val="00394FAC"/>
    <w:rsid w:val="0039504F"/>
    <w:rsid w:val="00395075"/>
    <w:rsid w:val="00395339"/>
    <w:rsid w:val="003953A5"/>
    <w:rsid w:val="00395404"/>
    <w:rsid w:val="00395588"/>
    <w:rsid w:val="00395A75"/>
    <w:rsid w:val="00395B71"/>
    <w:rsid w:val="00395C3C"/>
    <w:rsid w:val="00395D7F"/>
    <w:rsid w:val="0039641A"/>
    <w:rsid w:val="0039664E"/>
    <w:rsid w:val="00396725"/>
    <w:rsid w:val="003968D3"/>
    <w:rsid w:val="00396C6A"/>
    <w:rsid w:val="00396D9E"/>
    <w:rsid w:val="00397268"/>
    <w:rsid w:val="00397554"/>
    <w:rsid w:val="003976A1"/>
    <w:rsid w:val="00397753"/>
    <w:rsid w:val="00397884"/>
    <w:rsid w:val="00397A41"/>
    <w:rsid w:val="00397A4E"/>
    <w:rsid w:val="00397B96"/>
    <w:rsid w:val="00397C56"/>
    <w:rsid w:val="003A0031"/>
    <w:rsid w:val="003A009F"/>
    <w:rsid w:val="003A0580"/>
    <w:rsid w:val="003A07BD"/>
    <w:rsid w:val="003A0C09"/>
    <w:rsid w:val="003A1396"/>
    <w:rsid w:val="003A1763"/>
    <w:rsid w:val="003A1912"/>
    <w:rsid w:val="003A1A49"/>
    <w:rsid w:val="003A1CE2"/>
    <w:rsid w:val="003A1D65"/>
    <w:rsid w:val="003A1ED4"/>
    <w:rsid w:val="003A1EF3"/>
    <w:rsid w:val="003A1F50"/>
    <w:rsid w:val="003A2608"/>
    <w:rsid w:val="003A2615"/>
    <w:rsid w:val="003A26B1"/>
    <w:rsid w:val="003A275B"/>
    <w:rsid w:val="003A2B79"/>
    <w:rsid w:val="003A2C86"/>
    <w:rsid w:val="003A2E54"/>
    <w:rsid w:val="003A2F45"/>
    <w:rsid w:val="003A2F4C"/>
    <w:rsid w:val="003A2F52"/>
    <w:rsid w:val="003A2FE1"/>
    <w:rsid w:val="003A3020"/>
    <w:rsid w:val="003A30FC"/>
    <w:rsid w:val="003A3142"/>
    <w:rsid w:val="003A33D6"/>
    <w:rsid w:val="003A342A"/>
    <w:rsid w:val="003A3491"/>
    <w:rsid w:val="003A373F"/>
    <w:rsid w:val="003A39E1"/>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12"/>
    <w:rsid w:val="003A48D9"/>
    <w:rsid w:val="003A49EE"/>
    <w:rsid w:val="003A49F6"/>
    <w:rsid w:val="003A4B1B"/>
    <w:rsid w:val="003A4E7A"/>
    <w:rsid w:val="003A5530"/>
    <w:rsid w:val="003A564C"/>
    <w:rsid w:val="003A5903"/>
    <w:rsid w:val="003A591F"/>
    <w:rsid w:val="003A5B2D"/>
    <w:rsid w:val="003A5F52"/>
    <w:rsid w:val="003A5F66"/>
    <w:rsid w:val="003A5F77"/>
    <w:rsid w:val="003A5FFF"/>
    <w:rsid w:val="003A6051"/>
    <w:rsid w:val="003A609E"/>
    <w:rsid w:val="003A63DD"/>
    <w:rsid w:val="003A6657"/>
    <w:rsid w:val="003A668E"/>
    <w:rsid w:val="003A67F4"/>
    <w:rsid w:val="003A68BF"/>
    <w:rsid w:val="003A6AD2"/>
    <w:rsid w:val="003A6D5A"/>
    <w:rsid w:val="003A6DBF"/>
    <w:rsid w:val="003A6FA1"/>
    <w:rsid w:val="003A7121"/>
    <w:rsid w:val="003A71DD"/>
    <w:rsid w:val="003A738A"/>
    <w:rsid w:val="003A74CE"/>
    <w:rsid w:val="003A7715"/>
    <w:rsid w:val="003A7812"/>
    <w:rsid w:val="003A7854"/>
    <w:rsid w:val="003A78C5"/>
    <w:rsid w:val="003A78D5"/>
    <w:rsid w:val="003A7D46"/>
    <w:rsid w:val="003A7F98"/>
    <w:rsid w:val="003A7FA7"/>
    <w:rsid w:val="003B0128"/>
    <w:rsid w:val="003B02C9"/>
    <w:rsid w:val="003B0315"/>
    <w:rsid w:val="003B08ED"/>
    <w:rsid w:val="003B0AC7"/>
    <w:rsid w:val="003B0BC0"/>
    <w:rsid w:val="003B0C9F"/>
    <w:rsid w:val="003B0DA6"/>
    <w:rsid w:val="003B0F8E"/>
    <w:rsid w:val="003B0FA6"/>
    <w:rsid w:val="003B0FAE"/>
    <w:rsid w:val="003B1072"/>
    <w:rsid w:val="003B11F6"/>
    <w:rsid w:val="003B132C"/>
    <w:rsid w:val="003B13DD"/>
    <w:rsid w:val="003B14FC"/>
    <w:rsid w:val="003B193F"/>
    <w:rsid w:val="003B197C"/>
    <w:rsid w:val="003B1ACE"/>
    <w:rsid w:val="003B1B63"/>
    <w:rsid w:val="003B1BA7"/>
    <w:rsid w:val="003B20F5"/>
    <w:rsid w:val="003B2B5A"/>
    <w:rsid w:val="003B2BDC"/>
    <w:rsid w:val="003B2BEE"/>
    <w:rsid w:val="003B2D74"/>
    <w:rsid w:val="003B2DBA"/>
    <w:rsid w:val="003B2E19"/>
    <w:rsid w:val="003B2FCF"/>
    <w:rsid w:val="003B3020"/>
    <w:rsid w:val="003B30A3"/>
    <w:rsid w:val="003B3199"/>
    <w:rsid w:val="003B33CC"/>
    <w:rsid w:val="003B35F9"/>
    <w:rsid w:val="003B3644"/>
    <w:rsid w:val="003B3915"/>
    <w:rsid w:val="003B3938"/>
    <w:rsid w:val="003B3945"/>
    <w:rsid w:val="003B3A4B"/>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536"/>
    <w:rsid w:val="003B567B"/>
    <w:rsid w:val="003B58CD"/>
    <w:rsid w:val="003B5AAD"/>
    <w:rsid w:val="003B5F19"/>
    <w:rsid w:val="003B5F41"/>
    <w:rsid w:val="003B6190"/>
    <w:rsid w:val="003B61CC"/>
    <w:rsid w:val="003B62E3"/>
    <w:rsid w:val="003B64A0"/>
    <w:rsid w:val="003B64A7"/>
    <w:rsid w:val="003B65A9"/>
    <w:rsid w:val="003B6844"/>
    <w:rsid w:val="003B697E"/>
    <w:rsid w:val="003B6A58"/>
    <w:rsid w:val="003B6ABE"/>
    <w:rsid w:val="003B6BD4"/>
    <w:rsid w:val="003B6E04"/>
    <w:rsid w:val="003B6E37"/>
    <w:rsid w:val="003B73B4"/>
    <w:rsid w:val="003B73BD"/>
    <w:rsid w:val="003B766C"/>
    <w:rsid w:val="003B773D"/>
    <w:rsid w:val="003B7936"/>
    <w:rsid w:val="003B7937"/>
    <w:rsid w:val="003B7956"/>
    <w:rsid w:val="003B79A4"/>
    <w:rsid w:val="003B7A31"/>
    <w:rsid w:val="003B7BB8"/>
    <w:rsid w:val="003B7CDF"/>
    <w:rsid w:val="003C00A9"/>
    <w:rsid w:val="003C015F"/>
    <w:rsid w:val="003C0ADF"/>
    <w:rsid w:val="003C0B21"/>
    <w:rsid w:val="003C0CAB"/>
    <w:rsid w:val="003C0CBA"/>
    <w:rsid w:val="003C0D7F"/>
    <w:rsid w:val="003C0E34"/>
    <w:rsid w:val="003C0F0A"/>
    <w:rsid w:val="003C140F"/>
    <w:rsid w:val="003C1449"/>
    <w:rsid w:val="003C1618"/>
    <w:rsid w:val="003C17B7"/>
    <w:rsid w:val="003C1930"/>
    <w:rsid w:val="003C1E82"/>
    <w:rsid w:val="003C20D1"/>
    <w:rsid w:val="003C214D"/>
    <w:rsid w:val="003C2344"/>
    <w:rsid w:val="003C237A"/>
    <w:rsid w:val="003C2394"/>
    <w:rsid w:val="003C24B4"/>
    <w:rsid w:val="003C261F"/>
    <w:rsid w:val="003C28D3"/>
    <w:rsid w:val="003C2A17"/>
    <w:rsid w:val="003C2DF0"/>
    <w:rsid w:val="003C2E69"/>
    <w:rsid w:val="003C3019"/>
    <w:rsid w:val="003C3233"/>
    <w:rsid w:val="003C33A9"/>
    <w:rsid w:val="003C34A7"/>
    <w:rsid w:val="003C3522"/>
    <w:rsid w:val="003C3A6A"/>
    <w:rsid w:val="003C3B3E"/>
    <w:rsid w:val="003C44E2"/>
    <w:rsid w:val="003C4A90"/>
    <w:rsid w:val="003C4B34"/>
    <w:rsid w:val="003C4CE8"/>
    <w:rsid w:val="003C4E99"/>
    <w:rsid w:val="003C4FD6"/>
    <w:rsid w:val="003C5495"/>
    <w:rsid w:val="003C5531"/>
    <w:rsid w:val="003C5715"/>
    <w:rsid w:val="003C577C"/>
    <w:rsid w:val="003C5A31"/>
    <w:rsid w:val="003C5D6D"/>
    <w:rsid w:val="003C5D7B"/>
    <w:rsid w:val="003C5D92"/>
    <w:rsid w:val="003C5FE9"/>
    <w:rsid w:val="003C6229"/>
    <w:rsid w:val="003C624F"/>
    <w:rsid w:val="003C6332"/>
    <w:rsid w:val="003C63B5"/>
    <w:rsid w:val="003C64A5"/>
    <w:rsid w:val="003C64DE"/>
    <w:rsid w:val="003C65A3"/>
    <w:rsid w:val="003C6830"/>
    <w:rsid w:val="003C6855"/>
    <w:rsid w:val="003C68A3"/>
    <w:rsid w:val="003C68AB"/>
    <w:rsid w:val="003C6C8B"/>
    <w:rsid w:val="003C70C0"/>
    <w:rsid w:val="003C713D"/>
    <w:rsid w:val="003C7271"/>
    <w:rsid w:val="003C761D"/>
    <w:rsid w:val="003C77CF"/>
    <w:rsid w:val="003C789F"/>
    <w:rsid w:val="003C78A7"/>
    <w:rsid w:val="003C7915"/>
    <w:rsid w:val="003C7989"/>
    <w:rsid w:val="003C7A90"/>
    <w:rsid w:val="003C7B7A"/>
    <w:rsid w:val="003C7E16"/>
    <w:rsid w:val="003D0290"/>
    <w:rsid w:val="003D0314"/>
    <w:rsid w:val="003D05FF"/>
    <w:rsid w:val="003D085A"/>
    <w:rsid w:val="003D0E8B"/>
    <w:rsid w:val="003D0F50"/>
    <w:rsid w:val="003D1361"/>
    <w:rsid w:val="003D1445"/>
    <w:rsid w:val="003D1464"/>
    <w:rsid w:val="003D14AE"/>
    <w:rsid w:val="003D17C0"/>
    <w:rsid w:val="003D18F2"/>
    <w:rsid w:val="003D1C70"/>
    <w:rsid w:val="003D1E00"/>
    <w:rsid w:val="003D1E68"/>
    <w:rsid w:val="003D1F24"/>
    <w:rsid w:val="003D2078"/>
    <w:rsid w:val="003D246F"/>
    <w:rsid w:val="003D24B8"/>
    <w:rsid w:val="003D25B3"/>
    <w:rsid w:val="003D2796"/>
    <w:rsid w:val="003D2901"/>
    <w:rsid w:val="003D29BA"/>
    <w:rsid w:val="003D2C6C"/>
    <w:rsid w:val="003D32E1"/>
    <w:rsid w:val="003D330D"/>
    <w:rsid w:val="003D337B"/>
    <w:rsid w:val="003D3390"/>
    <w:rsid w:val="003D33C2"/>
    <w:rsid w:val="003D3401"/>
    <w:rsid w:val="003D3861"/>
    <w:rsid w:val="003D392D"/>
    <w:rsid w:val="003D394A"/>
    <w:rsid w:val="003D39C5"/>
    <w:rsid w:val="003D39DC"/>
    <w:rsid w:val="003D3CF8"/>
    <w:rsid w:val="003D3D98"/>
    <w:rsid w:val="003D4145"/>
    <w:rsid w:val="003D4161"/>
    <w:rsid w:val="003D489F"/>
    <w:rsid w:val="003D5140"/>
    <w:rsid w:val="003D5168"/>
    <w:rsid w:val="003D5605"/>
    <w:rsid w:val="003D5A55"/>
    <w:rsid w:val="003D5A9C"/>
    <w:rsid w:val="003D5CCE"/>
    <w:rsid w:val="003D5E78"/>
    <w:rsid w:val="003D624A"/>
    <w:rsid w:val="003D6527"/>
    <w:rsid w:val="003D6653"/>
    <w:rsid w:val="003D6A59"/>
    <w:rsid w:val="003D6ADD"/>
    <w:rsid w:val="003D6AF0"/>
    <w:rsid w:val="003D6C55"/>
    <w:rsid w:val="003D713C"/>
    <w:rsid w:val="003D71E6"/>
    <w:rsid w:val="003D735A"/>
    <w:rsid w:val="003D7502"/>
    <w:rsid w:val="003D7612"/>
    <w:rsid w:val="003D7C02"/>
    <w:rsid w:val="003D7CE0"/>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110D"/>
    <w:rsid w:val="003E11B5"/>
    <w:rsid w:val="003E1215"/>
    <w:rsid w:val="003E12B3"/>
    <w:rsid w:val="003E138F"/>
    <w:rsid w:val="003E1399"/>
    <w:rsid w:val="003E16A1"/>
    <w:rsid w:val="003E170F"/>
    <w:rsid w:val="003E1765"/>
    <w:rsid w:val="003E188D"/>
    <w:rsid w:val="003E19D2"/>
    <w:rsid w:val="003E1C47"/>
    <w:rsid w:val="003E2042"/>
    <w:rsid w:val="003E224A"/>
    <w:rsid w:val="003E2350"/>
    <w:rsid w:val="003E2457"/>
    <w:rsid w:val="003E247A"/>
    <w:rsid w:val="003E24AD"/>
    <w:rsid w:val="003E2677"/>
    <w:rsid w:val="003E268F"/>
    <w:rsid w:val="003E2773"/>
    <w:rsid w:val="003E29C7"/>
    <w:rsid w:val="003E2A88"/>
    <w:rsid w:val="003E2AE9"/>
    <w:rsid w:val="003E2E82"/>
    <w:rsid w:val="003E314B"/>
    <w:rsid w:val="003E3250"/>
    <w:rsid w:val="003E354D"/>
    <w:rsid w:val="003E39AF"/>
    <w:rsid w:val="003E3BEF"/>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AC1"/>
    <w:rsid w:val="003E5BA9"/>
    <w:rsid w:val="003E5C6C"/>
    <w:rsid w:val="003E5FD0"/>
    <w:rsid w:val="003E6053"/>
    <w:rsid w:val="003E6111"/>
    <w:rsid w:val="003E63C6"/>
    <w:rsid w:val="003E659F"/>
    <w:rsid w:val="003E65DB"/>
    <w:rsid w:val="003E677F"/>
    <w:rsid w:val="003E6FA6"/>
    <w:rsid w:val="003E72A6"/>
    <w:rsid w:val="003E7514"/>
    <w:rsid w:val="003E7713"/>
    <w:rsid w:val="003E7890"/>
    <w:rsid w:val="003E7AF6"/>
    <w:rsid w:val="003E7D13"/>
    <w:rsid w:val="003F0074"/>
    <w:rsid w:val="003F02EC"/>
    <w:rsid w:val="003F047C"/>
    <w:rsid w:val="003F04E3"/>
    <w:rsid w:val="003F065F"/>
    <w:rsid w:val="003F076A"/>
    <w:rsid w:val="003F07D2"/>
    <w:rsid w:val="003F0AB6"/>
    <w:rsid w:val="003F0C9D"/>
    <w:rsid w:val="003F0F09"/>
    <w:rsid w:val="003F107F"/>
    <w:rsid w:val="003F12CA"/>
    <w:rsid w:val="003F136B"/>
    <w:rsid w:val="003F152F"/>
    <w:rsid w:val="003F1680"/>
    <w:rsid w:val="003F16C6"/>
    <w:rsid w:val="003F1866"/>
    <w:rsid w:val="003F1A08"/>
    <w:rsid w:val="003F1B2E"/>
    <w:rsid w:val="003F1FD3"/>
    <w:rsid w:val="003F207D"/>
    <w:rsid w:val="003F2164"/>
    <w:rsid w:val="003F21C6"/>
    <w:rsid w:val="003F22CE"/>
    <w:rsid w:val="003F23C2"/>
    <w:rsid w:val="003F24CB"/>
    <w:rsid w:val="003F2697"/>
    <w:rsid w:val="003F26AD"/>
    <w:rsid w:val="003F27C6"/>
    <w:rsid w:val="003F2B99"/>
    <w:rsid w:val="003F2BAC"/>
    <w:rsid w:val="003F2F34"/>
    <w:rsid w:val="003F3062"/>
    <w:rsid w:val="003F38CD"/>
    <w:rsid w:val="003F38F9"/>
    <w:rsid w:val="003F3B72"/>
    <w:rsid w:val="003F3C62"/>
    <w:rsid w:val="003F3D4C"/>
    <w:rsid w:val="003F3E84"/>
    <w:rsid w:val="003F3EC1"/>
    <w:rsid w:val="003F3F48"/>
    <w:rsid w:val="003F40E0"/>
    <w:rsid w:val="003F4286"/>
    <w:rsid w:val="003F45A9"/>
    <w:rsid w:val="003F46B3"/>
    <w:rsid w:val="003F4E95"/>
    <w:rsid w:val="003F4EBA"/>
    <w:rsid w:val="003F4FC6"/>
    <w:rsid w:val="003F515B"/>
    <w:rsid w:val="003F52BE"/>
    <w:rsid w:val="003F58F6"/>
    <w:rsid w:val="003F5B27"/>
    <w:rsid w:val="003F5CB7"/>
    <w:rsid w:val="003F5F6B"/>
    <w:rsid w:val="003F5FE0"/>
    <w:rsid w:val="003F5FF1"/>
    <w:rsid w:val="003F6006"/>
    <w:rsid w:val="003F6407"/>
    <w:rsid w:val="003F6443"/>
    <w:rsid w:val="003F698F"/>
    <w:rsid w:val="003F713D"/>
    <w:rsid w:val="003F738E"/>
    <w:rsid w:val="003F772A"/>
    <w:rsid w:val="003F7787"/>
    <w:rsid w:val="003F77A2"/>
    <w:rsid w:val="003F78FE"/>
    <w:rsid w:val="003F791A"/>
    <w:rsid w:val="003F79BC"/>
    <w:rsid w:val="003F7D7F"/>
    <w:rsid w:val="004000F3"/>
    <w:rsid w:val="0040022B"/>
    <w:rsid w:val="0040036D"/>
    <w:rsid w:val="004003E8"/>
    <w:rsid w:val="00400415"/>
    <w:rsid w:val="004006F9"/>
    <w:rsid w:val="00400779"/>
    <w:rsid w:val="00400883"/>
    <w:rsid w:val="004008B8"/>
    <w:rsid w:val="00400BED"/>
    <w:rsid w:val="00400CB6"/>
    <w:rsid w:val="00400CF8"/>
    <w:rsid w:val="00400DDF"/>
    <w:rsid w:val="00401682"/>
    <w:rsid w:val="004016C2"/>
    <w:rsid w:val="00401948"/>
    <w:rsid w:val="00401A1F"/>
    <w:rsid w:val="00401C8A"/>
    <w:rsid w:val="00401CA6"/>
    <w:rsid w:val="00401E2E"/>
    <w:rsid w:val="0040201E"/>
    <w:rsid w:val="00402044"/>
    <w:rsid w:val="00402086"/>
    <w:rsid w:val="004020B8"/>
    <w:rsid w:val="00402244"/>
    <w:rsid w:val="004025BE"/>
    <w:rsid w:val="004025F0"/>
    <w:rsid w:val="004029DA"/>
    <w:rsid w:val="00402E77"/>
    <w:rsid w:val="00403200"/>
    <w:rsid w:val="00403296"/>
    <w:rsid w:val="004032E9"/>
    <w:rsid w:val="00403417"/>
    <w:rsid w:val="004035BB"/>
    <w:rsid w:val="00403785"/>
    <w:rsid w:val="00403B98"/>
    <w:rsid w:val="00403CBA"/>
    <w:rsid w:val="00403D30"/>
    <w:rsid w:val="00403D6E"/>
    <w:rsid w:val="00403EF0"/>
    <w:rsid w:val="00404AD2"/>
    <w:rsid w:val="00404AF9"/>
    <w:rsid w:val="00404BBB"/>
    <w:rsid w:val="00404D58"/>
    <w:rsid w:val="00404FF8"/>
    <w:rsid w:val="004050EF"/>
    <w:rsid w:val="0040545F"/>
    <w:rsid w:val="0040575D"/>
    <w:rsid w:val="00405783"/>
    <w:rsid w:val="00405952"/>
    <w:rsid w:val="00405A3A"/>
    <w:rsid w:val="00406298"/>
    <w:rsid w:val="00406337"/>
    <w:rsid w:val="004064D8"/>
    <w:rsid w:val="004069CD"/>
    <w:rsid w:val="00406CA6"/>
    <w:rsid w:val="00406D28"/>
    <w:rsid w:val="00406EAF"/>
    <w:rsid w:val="0040708C"/>
    <w:rsid w:val="0040728C"/>
    <w:rsid w:val="004072C3"/>
    <w:rsid w:val="00407695"/>
    <w:rsid w:val="004076E9"/>
    <w:rsid w:val="004077FC"/>
    <w:rsid w:val="00407819"/>
    <w:rsid w:val="00407AE3"/>
    <w:rsid w:val="00407AF7"/>
    <w:rsid w:val="00407E23"/>
    <w:rsid w:val="00407ED7"/>
    <w:rsid w:val="00410102"/>
    <w:rsid w:val="004102CA"/>
    <w:rsid w:val="004102EA"/>
    <w:rsid w:val="004103EF"/>
    <w:rsid w:val="00410592"/>
    <w:rsid w:val="00410A30"/>
    <w:rsid w:val="00410D51"/>
    <w:rsid w:val="00410DF3"/>
    <w:rsid w:val="0041128E"/>
    <w:rsid w:val="004112CE"/>
    <w:rsid w:val="004115E3"/>
    <w:rsid w:val="004119D8"/>
    <w:rsid w:val="00411A7E"/>
    <w:rsid w:val="00411BED"/>
    <w:rsid w:val="00411DD7"/>
    <w:rsid w:val="004121D4"/>
    <w:rsid w:val="00412C9F"/>
    <w:rsid w:val="00412D5F"/>
    <w:rsid w:val="00412E26"/>
    <w:rsid w:val="004132AC"/>
    <w:rsid w:val="00413349"/>
    <w:rsid w:val="0041337C"/>
    <w:rsid w:val="00413855"/>
    <w:rsid w:val="00413918"/>
    <w:rsid w:val="00413942"/>
    <w:rsid w:val="00413982"/>
    <w:rsid w:val="00413986"/>
    <w:rsid w:val="00413AC2"/>
    <w:rsid w:val="00413BE5"/>
    <w:rsid w:val="00413C6D"/>
    <w:rsid w:val="004140EE"/>
    <w:rsid w:val="00414291"/>
    <w:rsid w:val="004143DA"/>
    <w:rsid w:val="00414624"/>
    <w:rsid w:val="004147D9"/>
    <w:rsid w:val="00414AAF"/>
    <w:rsid w:val="00414ACB"/>
    <w:rsid w:val="00414DD3"/>
    <w:rsid w:val="00414E4F"/>
    <w:rsid w:val="00414FB0"/>
    <w:rsid w:val="00414FCA"/>
    <w:rsid w:val="0041508D"/>
    <w:rsid w:val="004153B6"/>
    <w:rsid w:val="00415530"/>
    <w:rsid w:val="0041576F"/>
    <w:rsid w:val="00415A5F"/>
    <w:rsid w:val="00415B9D"/>
    <w:rsid w:val="00415BF7"/>
    <w:rsid w:val="00415D40"/>
    <w:rsid w:val="00415E69"/>
    <w:rsid w:val="004162AA"/>
    <w:rsid w:val="004164A7"/>
    <w:rsid w:val="00416551"/>
    <w:rsid w:val="0041658E"/>
    <w:rsid w:val="004165A4"/>
    <w:rsid w:val="0041660B"/>
    <w:rsid w:val="00416621"/>
    <w:rsid w:val="00416720"/>
    <w:rsid w:val="0041684B"/>
    <w:rsid w:val="00416941"/>
    <w:rsid w:val="00416B37"/>
    <w:rsid w:val="00416BD4"/>
    <w:rsid w:val="004172A1"/>
    <w:rsid w:val="004172FB"/>
    <w:rsid w:val="0041744D"/>
    <w:rsid w:val="00417574"/>
    <w:rsid w:val="004177EE"/>
    <w:rsid w:val="00417816"/>
    <w:rsid w:val="00417D21"/>
    <w:rsid w:val="00417F52"/>
    <w:rsid w:val="0042009C"/>
    <w:rsid w:val="004203F3"/>
    <w:rsid w:val="00420411"/>
    <w:rsid w:val="0042075C"/>
    <w:rsid w:val="004208AA"/>
    <w:rsid w:val="004208E3"/>
    <w:rsid w:val="00420A85"/>
    <w:rsid w:val="00420EF1"/>
    <w:rsid w:val="00420FCF"/>
    <w:rsid w:val="00421007"/>
    <w:rsid w:val="00421140"/>
    <w:rsid w:val="0042116B"/>
    <w:rsid w:val="00421530"/>
    <w:rsid w:val="00421650"/>
    <w:rsid w:val="004219D5"/>
    <w:rsid w:val="00421F64"/>
    <w:rsid w:val="0042204D"/>
    <w:rsid w:val="00422289"/>
    <w:rsid w:val="004222F4"/>
    <w:rsid w:val="004223D5"/>
    <w:rsid w:val="0042249F"/>
    <w:rsid w:val="004224C3"/>
    <w:rsid w:val="004228DB"/>
    <w:rsid w:val="00422C15"/>
    <w:rsid w:val="0042306D"/>
    <w:rsid w:val="00423241"/>
    <w:rsid w:val="00423330"/>
    <w:rsid w:val="004235D6"/>
    <w:rsid w:val="00423683"/>
    <w:rsid w:val="004236AA"/>
    <w:rsid w:val="004236EF"/>
    <w:rsid w:val="00423939"/>
    <w:rsid w:val="00423EAA"/>
    <w:rsid w:val="00423F64"/>
    <w:rsid w:val="004240FE"/>
    <w:rsid w:val="004241A9"/>
    <w:rsid w:val="0042426E"/>
    <w:rsid w:val="0042437A"/>
    <w:rsid w:val="004249CD"/>
    <w:rsid w:val="00424B3A"/>
    <w:rsid w:val="00424BAB"/>
    <w:rsid w:val="00424BBF"/>
    <w:rsid w:val="00424EA0"/>
    <w:rsid w:val="00424F7B"/>
    <w:rsid w:val="00425032"/>
    <w:rsid w:val="0042519D"/>
    <w:rsid w:val="004252B0"/>
    <w:rsid w:val="00425387"/>
    <w:rsid w:val="0042549E"/>
    <w:rsid w:val="0042562B"/>
    <w:rsid w:val="0042570A"/>
    <w:rsid w:val="0042579B"/>
    <w:rsid w:val="0042581E"/>
    <w:rsid w:val="00425833"/>
    <w:rsid w:val="004258CC"/>
    <w:rsid w:val="00425A32"/>
    <w:rsid w:val="00425A69"/>
    <w:rsid w:val="00425C9C"/>
    <w:rsid w:val="0042610F"/>
    <w:rsid w:val="00426476"/>
    <w:rsid w:val="0042667E"/>
    <w:rsid w:val="00426698"/>
    <w:rsid w:val="00426ADA"/>
    <w:rsid w:val="00426DC4"/>
    <w:rsid w:val="00426E05"/>
    <w:rsid w:val="00426E0C"/>
    <w:rsid w:val="00426E31"/>
    <w:rsid w:val="00426EB0"/>
    <w:rsid w:val="00426F28"/>
    <w:rsid w:val="00427187"/>
    <w:rsid w:val="0042719D"/>
    <w:rsid w:val="00427273"/>
    <w:rsid w:val="004273D9"/>
    <w:rsid w:val="0042750F"/>
    <w:rsid w:val="004275F3"/>
    <w:rsid w:val="0042778C"/>
    <w:rsid w:val="00427790"/>
    <w:rsid w:val="0042780A"/>
    <w:rsid w:val="0042788A"/>
    <w:rsid w:val="004278D8"/>
    <w:rsid w:val="00427E16"/>
    <w:rsid w:val="00427E3D"/>
    <w:rsid w:val="004303B2"/>
    <w:rsid w:val="0043070B"/>
    <w:rsid w:val="00430897"/>
    <w:rsid w:val="00430958"/>
    <w:rsid w:val="00430DF9"/>
    <w:rsid w:val="00431132"/>
    <w:rsid w:val="00431173"/>
    <w:rsid w:val="00431189"/>
    <w:rsid w:val="004313F2"/>
    <w:rsid w:val="004319B2"/>
    <w:rsid w:val="00431D80"/>
    <w:rsid w:val="00431E7C"/>
    <w:rsid w:val="00431EFD"/>
    <w:rsid w:val="004320C0"/>
    <w:rsid w:val="004324FF"/>
    <w:rsid w:val="00432742"/>
    <w:rsid w:val="004328D3"/>
    <w:rsid w:val="004328D4"/>
    <w:rsid w:val="00432DB3"/>
    <w:rsid w:val="00432F6B"/>
    <w:rsid w:val="004331F8"/>
    <w:rsid w:val="0043320A"/>
    <w:rsid w:val="00433243"/>
    <w:rsid w:val="00433588"/>
    <w:rsid w:val="00433602"/>
    <w:rsid w:val="00433907"/>
    <w:rsid w:val="00433B7A"/>
    <w:rsid w:val="00433BC1"/>
    <w:rsid w:val="00433E6B"/>
    <w:rsid w:val="00433F5E"/>
    <w:rsid w:val="00434079"/>
    <w:rsid w:val="004342F1"/>
    <w:rsid w:val="00434313"/>
    <w:rsid w:val="004345FE"/>
    <w:rsid w:val="0043477A"/>
    <w:rsid w:val="0043494D"/>
    <w:rsid w:val="004349D3"/>
    <w:rsid w:val="00434CBA"/>
    <w:rsid w:val="00434DE0"/>
    <w:rsid w:val="00434E14"/>
    <w:rsid w:val="00434FDE"/>
    <w:rsid w:val="0043528F"/>
    <w:rsid w:val="004357B8"/>
    <w:rsid w:val="00435917"/>
    <w:rsid w:val="00435CE7"/>
    <w:rsid w:val="00435E32"/>
    <w:rsid w:val="00435F82"/>
    <w:rsid w:val="004364A1"/>
    <w:rsid w:val="0043658B"/>
    <w:rsid w:val="00436777"/>
    <w:rsid w:val="004368B1"/>
    <w:rsid w:val="004368BC"/>
    <w:rsid w:val="0043696B"/>
    <w:rsid w:val="00436E5F"/>
    <w:rsid w:val="004370BC"/>
    <w:rsid w:val="00437164"/>
    <w:rsid w:val="00437168"/>
    <w:rsid w:val="00437439"/>
    <w:rsid w:val="0043758E"/>
    <w:rsid w:val="00437638"/>
    <w:rsid w:val="00437BA0"/>
    <w:rsid w:val="00437CD7"/>
    <w:rsid w:val="00437E44"/>
    <w:rsid w:val="00440085"/>
    <w:rsid w:val="00440595"/>
    <w:rsid w:val="004407E5"/>
    <w:rsid w:val="00440815"/>
    <w:rsid w:val="004408E2"/>
    <w:rsid w:val="00440908"/>
    <w:rsid w:val="0044094D"/>
    <w:rsid w:val="00440A75"/>
    <w:rsid w:val="00440D0C"/>
    <w:rsid w:val="00440D8D"/>
    <w:rsid w:val="00440F65"/>
    <w:rsid w:val="0044111A"/>
    <w:rsid w:val="00441263"/>
    <w:rsid w:val="004414FC"/>
    <w:rsid w:val="00441788"/>
    <w:rsid w:val="0044269B"/>
    <w:rsid w:val="004427D0"/>
    <w:rsid w:val="0044288B"/>
    <w:rsid w:val="004428B2"/>
    <w:rsid w:val="00442C7E"/>
    <w:rsid w:val="00442CDD"/>
    <w:rsid w:val="00442D1F"/>
    <w:rsid w:val="00442D50"/>
    <w:rsid w:val="00442E09"/>
    <w:rsid w:val="00442F90"/>
    <w:rsid w:val="00442FCF"/>
    <w:rsid w:val="00443156"/>
    <w:rsid w:val="0044322E"/>
    <w:rsid w:val="00443284"/>
    <w:rsid w:val="00443351"/>
    <w:rsid w:val="0044335C"/>
    <w:rsid w:val="004433E2"/>
    <w:rsid w:val="0044397D"/>
    <w:rsid w:val="00443C2A"/>
    <w:rsid w:val="00443D80"/>
    <w:rsid w:val="00443DB8"/>
    <w:rsid w:val="00443E27"/>
    <w:rsid w:val="00443F39"/>
    <w:rsid w:val="00443FB9"/>
    <w:rsid w:val="00443FE9"/>
    <w:rsid w:val="0044404B"/>
    <w:rsid w:val="00444258"/>
    <w:rsid w:val="004444B7"/>
    <w:rsid w:val="0044468C"/>
    <w:rsid w:val="0044487F"/>
    <w:rsid w:val="0044526A"/>
    <w:rsid w:val="00445382"/>
    <w:rsid w:val="00445428"/>
    <w:rsid w:val="00445608"/>
    <w:rsid w:val="0044574B"/>
    <w:rsid w:val="004458C7"/>
    <w:rsid w:val="00445B4F"/>
    <w:rsid w:val="00445D06"/>
    <w:rsid w:val="00445D96"/>
    <w:rsid w:val="00445E29"/>
    <w:rsid w:val="00445EA9"/>
    <w:rsid w:val="004460C8"/>
    <w:rsid w:val="00446607"/>
    <w:rsid w:val="00446A2B"/>
    <w:rsid w:val="00446CFD"/>
    <w:rsid w:val="00446D21"/>
    <w:rsid w:val="00446E30"/>
    <w:rsid w:val="00446E34"/>
    <w:rsid w:val="00447159"/>
    <w:rsid w:val="00447188"/>
    <w:rsid w:val="0044724D"/>
    <w:rsid w:val="004473A3"/>
    <w:rsid w:val="00447470"/>
    <w:rsid w:val="0044750C"/>
    <w:rsid w:val="00447510"/>
    <w:rsid w:val="00447A79"/>
    <w:rsid w:val="00447AED"/>
    <w:rsid w:val="00447C67"/>
    <w:rsid w:val="00447D85"/>
    <w:rsid w:val="00447EEE"/>
    <w:rsid w:val="0045015B"/>
    <w:rsid w:val="004501AF"/>
    <w:rsid w:val="004501EE"/>
    <w:rsid w:val="00450329"/>
    <w:rsid w:val="0045041C"/>
    <w:rsid w:val="0045042B"/>
    <w:rsid w:val="00450454"/>
    <w:rsid w:val="0045047E"/>
    <w:rsid w:val="004505B5"/>
    <w:rsid w:val="00450646"/>
    <w:rsid w:val="0045064D"/>
    <w:rsid w:val="00450888"/>
    <w:rsid w:val="00450911"/>
    <w:rsid w:val="0045093B"/>
    <w:rsid w:val="00450EB8"/>
    <w:rsid w:val="00450F4F"/>
    <w:rsid w:val="004511CA"/>
    <w:rsid w:val="004511D5"/>
    <w:rsid w:val="0045168E"/>
    <w:rsid w:val="0045177D"/>
    <w:rsid w:val="0045192E"/>
    <w:rsid w:val="00451A1C"/>
    <w:rsid w:val="00451EE1"/>
    <w:rsid w:val="00451F36"/>
    <w:rsid w:val="00452205"/>
    <w:rsid w:val="0045246A"/>
    <w:rsid w:val="0045247D"/>
    <w:rsid w:val="00452490"/>
    <w:rsid w:val="0045279A"/>
    <w:rsid w:val="0045289D"/>
    <w:rsid w:val="004528E7"/>
    <w:rsid w:val="004530BB"/>
    <w:rsid w:val="00453274"/>
    <w:rsid w:val="00453524"/>
    <w:rsid w:val="004539C4"/>
    <w:rsid w:val="00453A9E"/>
    <w:rsid w:val="00453BEF"/>
    <w:rsid w:val="00453C2E"/>
    <w:rsid w:val="00453C40"/>
    <w:rsid w:val="00453C7A"/>
    <w:rsid w:val="00453D99"/>
    <w:rsid w:val="00453DD8"/>
    <w:rsid w:val="004542D4"/>
    <w:rsid w:val="004544C2"/>
    <w:rsid w:val="00454576"/>
    <w:rsid w:val="004549B5"/>
    <w:rsid w:val="0045501D"/>
    <w:rsid w:val="00455068"/>
    <w:rsid w:val="004550C1"/>
    <w:rsid w:val="00455485"/>
    <w:rsid w:val="0045554D"/>
    <w:rsid w:val="004555D6"/>
    <w:rsid w:val="00455996"/>
    <w:rsid w:val="00455A05"/>
    <w:rsid w:val="00455E50"/>
    <w:rsid w:val="004560C2"/>
    <w:rsid w:val="00456377"/>
    <w:rsid w:val="004563BD"/>
    <w:rsid w:val="00456427"/>
    <w:rsid w:val="00456540"/>
    <w:rsid w:val="0045658A"/>
    <w:rsid w:val="00456C49"/>
    <w:rsid w:val="00456E17"/>
    <w:rsid w:val="004570B4"/>
    <w:rsid w:val="00457126"/>
    <w:rsid w:val="0045716D"/>
    <w:rsid w:val="0045729A"/>
    <w:rsid w:val="00457421"/>
    <w:rsid w:val="004577C0"/>
    <w:rsid w:val="004578D4"/>
    <w:rsid w:val="00457BC0"/>
    <w:rsid w:val="00457D0E"/>
    <w:rsid w:val="00460015"/>
    <w:rsid w:val="004600AE"/>
    <w:rsid w:val="0046020D"/>
    <w:rsid w:val="004603EA"/>
    <w:rsid w:val="004604B4"/>
    <w:rsid w:val="004605CB"/>
    <w:rsid w:val="00460619"/>
    <w:rsid w:val="0046080C"/>
    <w:rsid w:val="00460816"/>
    <w:rsid w:val="00460983"/>
    <w:rsid w:val="00460DEC"/>
    <w:rsid w:val="00460E50"/>
    <w:rsid w:val="00460F04"/>
    <w:rsid w:val="00461084"/>
    <w:rsid w:val="00461122"/>
    <w:rsid w:val="004611C5"/>
    <w:rsid w:val="0046129D"/>
    <w:rsid w:val="0046146E"/>
    <w:rsid w:val="00461625"/>
    <w:rsid w:val="0046176D"/>
    <w:rsid w:val="0046197A"/>
    <w:rsid w:val="00461988"/>
    <w:rsid w:val="00461C41"/>
    <w:rsid w:val="00461D6D"/>
    <w:rsid w:val="00462283"/>
    <w:rsid w:val="004628CF"/>
    <w:rsid w:val="00462BD8"/>
    <w:rsid w:val="00462D72"/>
    <w:rsid w:val="00462D95"/>
    <w:rsid w:val="00462F01"/>
    <w:rsid w:val="00462F26"/>
    <w:rsid w:val="004632E4"/>
    <w:rsid w:val="00463494"/>
    <w:rsid w:val="0046354B"/>
    <w:rsid w:val="0046380C"/>
    <w:rsid w:val="004638D0"/>
    <w:rsid w:val="00463F44"/>
    <w:rsid w:val="0046403B"/>
    <w:rsid w:val="0046422B"/>
    <w:rsid w:val="0046443D"/>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FB8"/>
    <w:rsid w:val="00466FF6"/>
    <w:rsid w:val="0046749C"/>
    <w:rsid w:val="004676AA"/>
    <w:rsid w:val="0046771B"/>
    <w:rsid w:val="00467868"/>
    <w:rsid w:val="00467A74"/>
    <w:rsid w:val="00467CA9"/>
    <w:rsid w:val="00467D61"/>
    <w:rsid w:val="0047007F"/>
    <w:rsid w:val="00470715"/>
    <w:rsid w:val="004707EE"/>
    <w:rsid w:val="0047089B"/>
    <w:rsid w:val="00470ABA"/>
    <w:rsid w:val="00470B10"/>
    <w:rsid w:val="00470C58"/>
    <w:rsid w:val="00470D56"/>
    <w:rsid w:val="00470E1F"/>
    <w:rsid w:val="00470E73"/>
    <w:rsid w:val="00470F16"/>
    <w:rsid w:val="00470F68"/>
    <w:rsid w:val="004712AD"/>
    <w:rsid w:val="004712BF"/>
    <w:rsid w:val="00471366"/>
    <w:rsid w:val="004714A5"/>
    <w:rsid w:val="0047166D"/>
    <w:rsid w:val="0047169F"/>
    <w:rsid w:val="004716A3"/>
    <w:rsid w:val="0047179C"/>
    <w:rsid w:val="004718F5"/>
    <w:rsid w:val="00471A3D"/>
    <w:rsid w:val="00471A8E"/>
    <w:rsid w:val="00471D92"/>
    <w:rsid w:val="00471F14"/>
    <w:rsid w:val="00471FA4"/>
    <w:rsid w:val="00472396"/>
    <w:rsid w:val="0047248D"/>
    <w:rsid w:val="0047250E"/>
    <w:rsid w:val="00472BFA"/>
    <w:rsid w:val="00472D92"/>
    <w:rsid w:val="00472DC8"/>
    <w:rsid w:val="00472EBA"/>
    <w:rsid w:val="00472F27"/>
    <w:rsid w:val="00472F38"/>
    <w:rsid w:val="0047337E"/>
    <w:rsid w:val="0047363A"/>
    <w:rsid w:val="00473843"/>
    <w:rsid w:val="00473902"/>
    <w:rsid w:val="00473B21"/>
    <w:rsid w:val="00473BED"/>
    <w:rsid w:val="00473E55"/>
    <w:rsid w:val="004745F7"/>
    <w:rsid w:val="004746A4"/>
    <w:rsid w:val="00474A48"/>
    <w:rsid w:val="00474A4F"/>
    <w:rsid w:val="00474CF3"/>
    <w:rsid w:val="00474DA9"/>
    <w:rsid w:val="00474E4B"/>
    <w:rsid w:val="00475188"/>
    <w:rsid w:val="0047535F"/>
    <w:rsid w:val="004753BB"/>
    <w:rsid w:val="00475521"/>
    <w:rsid w:val="0047557C"/>
    <w:rsid w:val="00475757"/>
    <w:rsid w:val="00475851"/>
    <w:rsid w:val="0047595C"/>
    <w:rsid w:val="00475B83"/>
    <w:rsid w:val="00475ED6"/>
    <w:rsid w:val="004760BC"/>
    <w:rsid w:val="004760DD"/>
    <w:rsid w:val="0047678D"/>
    <w:rsid w:val="004767B8"/>
    <w:rsid w:val="004768C0"/>
    <w:rsid w:val="00476BFC"/>
    <w:rsid w:val="00476E60"/>
    <w:rsid w:val="0047787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75E"/>
    <w:rsid w:val="004819FA"/>
    <w:rsid w:val="00481BFD"/>
    <w:rsid w:val="00481DDA"/>
    <w:rsid w:val="00481E64"/>
    <w:rsid w:val="00482052"/>
    <w:rsid w:val="0048245C"/>
    <w:rsid w:val="004824AE"/>
    <w:rsid w:val="004826AE"/>
    <w:rsid w:val="004827ED"/>
    <w:rsid w:val="00482BDC"/>
    <w:rsid w:val="00482F4B"/>
    <w:rsid w:val="00483271"/>
    <w:rsid w:val="00483290"/>
    <w:rsid w:val="00483614"/>
    <w:rsid w:val="0048376D"/>
    <w:rsid w:val="0048388C"/>
    <w:rsid w:val="00483961"/>
    <w:rsid w:val="0048398B"/>
    <w:rsid w:val="00483A77"/>
    <w:rsid w:val="00483B5E"/>
    <w:rsid w:val="00483C2D"/>
    <w:rsid w:val="00483CF2"/>
    <w:rsid w:val="00483DED"/>
    <w:rsid w:val="00483DFB"/>
    <w:rsid w:val="00483FA5"/>
    <w:rsid w:val="004840F7"/>
    <w:rsid w:val="004840FB"/>
    <w:rsid w:val="00484225"/>
    <w:rsid w:val="004845C2"/>
    <w:rsid w:val="00484E02"/>
    <w:rsid w:val="0048515B"/>
    <w:rsid w:val="00485221"/>
    <w:rsid w:val="0048540F"/>
    <w:rsid w:val="0048555F"/>
    <w:rsid w:val="00485801"/>
    <w:rsid w:val="0048580F"/>
    <w:rsid w:val="0048583E"/>
    <w:rsid w:val="004858BD"/>
    <w:rsid w:val="004859D7"/>
    <w:rsid w:val="00485E28"/>
    <w:rsid w:val="00485FCB"/>
    <w:rsid w:val="00486101"/>
    <w:rsid w:val="00486204"/>
    <w:rsid w:val="00486272"/>
    <w:rsid w:val="0048627A"/>
    <w:rsid w:val="004865BC"/>
    <w:rsid w:val="004866E0"/>
    <w:rsid w:val="00486764"/>
    <w:rsid w:val="00486A45"/>
    <w:rsid w:val="00486BBB"/>
    <w:rsid w:val="00487142"/>
    <w:rsid w:val="004871DB"/>
    <w:rsid w:val="004872F0"/>
    <w:rsid w:val="004872F8"/>
    <w:rsid w:val="0048744B"/>
    <w:rsid w:val="004874CD"/>
    <w:rsid w:val="00487638"/>
    <w:rsid w:val="00487891"/>
    <w:rsid w:val="00487900"/>
    <w:rsid w:val="004879BB"/>
    <w:rsid w:val="00487EE3"/>
    <w:rsid w:val="00490080"/>
    <w:rsid w:val="00490A20"/>
    <w:rsid w:val="00490B08"/>
    <w:rsid w:val="00490B31"/>
    <w:rsid w:val="00490CEB"/>
    <w:rsid w:val="00490CF8"/>
    <w:rsid w:val="00490D1E"/>
    <w:rsid w:val="004913C9"/>
    <w:rsid w:val="004915A4"/>
    <w:rsid w:val="00491603"/>
    <w:rsid w:val="00491A9E"/>
    <w:rsid w:val="00491E7D"/>
    <w:rsid w:val="00492014"/>
    <w:rsid w:val="004920B7"/>
    <w:rsid w:val="0049210E"/>
    <w:rsid w:val="00492124"/>
    <w:rsid w:val="004921E8"/>
    <w:rsid w:val="004923B6"/>
    <w:rsid w:val="00492539"/>
    <w:rsid w:val="004925A0"/>
    <w:rsid w:val="004927A5"/>
    <w:rsid w:val="004928C8"/>
    <w:rsid w:val="00492A12"/>
    <w:rsid w:val="00492AB8"/>
    <w:rsid w:val="00492CEA"/>
    <w:rsid w:val="00492D96"/>
    <w:rsid w:val="00492F01"/>
    <w:rsid w:val="00493008"/>
    <w:rsid w:val="004931BE"/>
    <w:rsid w:val="0049339C"/>
    <w:rsid w:val="00493555"/>
    <w:rsid w:val="004935EC"/>
    <w:rsid w:val="004936CD"/>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A46"/>
    <w:rsid w:val="00494AD3"/>
    <w:rsid w:val="00494CCB"/>
    <w:rsid w:val="00494FD6"/>
    <w:rsid w:val="00494FEB"/>
    <w:rsid w:val="004951EC"/>
    <w:rsid w:val="00495314"/>
    <w:rsid w:val="00495419"/>
    <w:rsid w:val="004956E9"/>
    <w:rsid w:val="004957CC"/>
    <w:rsid w:val="00495B6A"/>
    <w:rsid w:val="00495C57"/>
    <w:rsid w:val="00495D7F"/>
    <w:rsid w:val="00495F54"/>
    <w:rsid w:val="0049688A"/>
    <w:rsid w:val="00496BB9"/>
    <w:rsid w:val="00496C57"/>
    <w:rsid w:val="00496E35"/>
    <w:rsid w:val="00496EC1"/>
    <w:rsid w:val="00496F91"/>
    <w:rsid w:val="00497020"/>
    <w:rsid w:val="0049713D"/>
    <w:rsid w:val="00497244"/>
    <w:rsid w:val="004972FB"/>
    <w:rsid w:val="004977A2"/>
    <w:rsid w:val="0049784F"/>
    <w:rsid w:val="004A01AF"/>
    <w:rsid w:val="004A0679"/>
    <w:rsid w:val="004A083D"/>
    <w:rsid w:val="004A0BEB"/>
    <w:rsid w:val="004A0E91"/>
    <w:rsid w:val="004A10A2"/>
    <w:rsid w:val="004A12BC"/>
    <w:rsid w:val="004A1548"/>
    <w:rsid w:val="004A18FE"/>
    <w:rsid w:val="004A196B"/>
    <w:rsid w:val="004A19FB"/>
    <w:rsid w:val="004A1F49"/>
    <w:rsid w:val="004A218D"/>
    <w:rsid w:val="004A238A"/>
    <w:rsid w:val="004A2590"/>
    <w:rsid w:val="004A2652"/>
    <w:rsid w:val="004A274A"/>
    <w:rsid w:val="004A274C"/>
    <w:rsid w:val="004A29F8"/>
    <w:rsid w:val="004A2A13"/>
    <w:rsid w:val="004A2B3E"/>
    <w:rsid w:val="004A2BD8"/>
    <w:rsid w:val="004A2D1C"/>
    <w:rsid w:val="004A2E08"/>
    <w:rsid w:val="004A2FFE"/>
    <w:rsid w:val="004A30B2"/>
    <w:rsid w:val="004A3154"/>
    <w:rsid w:val="004A3156"/>
    <w:rsid w:val="004A336A"/>
    <w:rsid w:val="004A35B4"/>
    <w:rsid w:val="004A36F4"/>
    <w:rsid w:val="004A3725"/>
    <w:rsid w:val="004A3B8E"/>
    <w:rsid w:val="004A3C33"/>
    <w:rsid w:val="004A3E71"/>
    <w:rsid w:val="004A3FCE"/>
    <w:rsid w:val="004A4123"/>
    <w:rsid w:val="004A4276"/>
    <w:rsid w:val="004A452B"/>
    <w:rsid w:val="004A45DF"/>
    <w:rsid w:val="004A46DE"/>
    <w:rsid w:val="004A4728"/>
    <w:rsid w:val="004A49DD"/>
    <w:rsid w:val="004A4CCE"/>
    <w:rsid w:val="004A4CD6"/>
    <w:rsid w:val="004A4DEE"/>
    <w:rsid w:val="004A4EE9"/>
    <w:rsid w:val="004A4F07"/>
    <w:rsid w:val="004A51DF"/>
    <w:rsid w:val="004A5372"/>
    <w:rsid w:val="004A5520"/>
    <w:rsid w:val="004A5538"/>
    <w:rsid w:val="004A5AC8"/>
    <w:rsid w:val="004A5BA3"/>
    <w:rsid w:val="004A5DD6"/>
    <w:rsid w:val="004A5EEF"/>
    <w:rsid w:val="004A5FC0"/>
    <w:rsid w:val="004A60B8"/>
    <w:rsid w:val="004A61A9"/>
    <w:rsid w:val="004A6337"/>
    <w:rsid w:val="004A6633"/>
    <w:rsid w:val="004A675D"/>
    <w:rsid w:val="004A68D3"/>
    <w:rsid w:val="004A69D2"/>
    <w:rsid w:val="004A6BA5"/>
    <w:rsid w:val="004A6EE9"/>
    <w:rsid w:val="004A6F55"/>
    <w:rsid w:val="004A7237"/>
    <w:rsid w:val="004A785A"/>
    <w:rsid w:val="004A78DC"/>
    <w:rsid w:val="004A7B92"/>
    <w:rsid w:val="004A7B96"/>
    <w:rsid w:val="004A7CF3"/>
    <w:rsid w:val="004A7D54"/>
    <w:rsid w:val="004A7E32"/>
    <w:rsid w:val="004A7FCA"/>
    <w:rsid w:val="004B015F"/>
    <w:rsid w:val="004B02CC"/>
    <w:rsid w:val="004B03DC"/>
    <w:rsid w:val="004B0610"/>
    <w:rsid w:val="004B07AB"/>
    <w:rsid w:val="004B0C54"/>
    <w:rsid w:val="004B109D"/>
    <w:rsid w:val="004B1160"/>
    <w:rsid w:val="004B1199"/>
    <w:rsid w:val="004B11E3"/>
    <w:rsid w:val="004B15E8"/>
    <w:rsid w:val="004B15FE"/>
    <w:rsid w:val="004B18FC"/>
    <w:rsid w:val="004B1D22"/>
    <w:rsid w:val="004B1DDC"/>
    <w:rsid w:val="004B1F7B"/>
    <w:rsid w:val="004B22A0"/>
    <w:rsid w:val="004B2484"/>
    <w:rsid w:val="004B24C8"/>
    <w:rsid w:val="004B261B"/>
    <w:rsid w:val="004B270B"/>
    <w:rsid w:val="004B2722"/>
    <w:rsid w:val="004B2848"/>
    <w:rsid w:val="004B2860"/>
    <w:rsid w:val="004B2C2D"/>
    <w:rsid w:val="004B2C63"/>
    <w:rsid w:val="004B2F21"/>
    <w:rsid w:val="004B2F4F"/>
    <w:rsid w:val="004B3225"/>
    <w:rsid w:val="004B3434"/>
    <w:rsid w:val="004B37B3"/>
    <w:rsid w:val="004B3964"/>
    <w:rsid w:val="004B3A34"/>
    <w:rsid w:val="004B4260"/>
    <w:rsid w:val="004B465A"/>
    <w:rsid w:val="004B4660"/>
    <w:rsid w:val="004B46AD"/>
    <w:rsid w:val="004B475B"/>
    <w:rsid w:val="004B478B"/>
    <w:rsid w:val="004B4920"/>
    <w:rsid w:val="004B4972"/>
    <w:rsid w:val="004B4CDB"/>
    <w:rsid w:val="004B4D07"/>
    <w:rsid w:val="004B4F52"/>
    <w:rsid w:val="004B52DB"/>
    <w:rsid w:val="004B53CF"/>
    <w:rsid w:val="004B5517"/>
    <w:rsid w:val="004B5531"/>
    <w:rsid w:val="004B556E"/>
    <w:rsid w:val="004B5903"/>
    <w:rsid w:val="004B5B21"/>
    <w:rsid w:val="004B5C0D"/>
    <w:rsid w:val="004B5D46"/>
    <w:rsid w:val="004B5D9A"/>
    <w:rsid w:val="004B60CC"/>
    <w:rsid w:val="004B632A"/>
    <w:rsid w:val="004B6696"/>
    <w:rsid w:val="004B67B2"/>
    <w:rsid w:val="004B6BE2"/>
    <w:rsid w:val="004B6E10"/>
    <w:rsid w:val="004B7380"/>
    <w:rsid w:val="004B73BD"/>
    <w:rsid w:val="004B7575"/>
    <w:rsid w:val="004B766C"/>
    <w:rsid w:val="004B76A1"/>
    <w:rsid w:val="004B78A5"/>
    <w:rsid w:val="004B7A03"/>
    <w:rsid w:val="004B7A57"/>
    <w:rsid w:val="004B7B94"/>
    <w:rsid w:val="004B7E70"/>
    <w:rsid w:val="004C0068"/>
    <w:rsid w:val="004C0168"/>
    <w:rsid w:val="004C0791"/>
    <w:rsid w:val="004C07A2"/>
    <w:rsid w:val="004C0827"/>
    <w:rsid w:val="004C089A"/>
    <w:rsid w:val="004C0A53"/>
    <w:rsid w:val="004C0BD2"/>
    <w:rsid w:val="004C0CD1"/>
    <w:rsid w:val="004C11BF"/>
    <w:rsid w:val="004C133C"/>
    <w:rsid w:val="004C1930"/>
    <w:rsid w:val="004C1A04"/>
    <w:rsid w:val="004C1D7F"/>
    <w:rsid w:val="004C1E5C"/>
    <w:rsid w:val="004C1EEE"/>
    <w:rsid w:val="004C1F0A"/>
    <w:rsid w:val="004C29E0"/>
    <w:rsid w:val="004C2A60"/>
    <w:rsid w:val="004C2A92"/>
    <w:rsid w:val="004C2BF8"/>
    <w:rsid w:val="004C2D7D"/>
    <w:rsid w:val="004C2F29"/>
    <w:rsid w:val="004C2F58"/>
    <w:rsid w:val="004C3067"/>
    <w:rsid w:val="004C34D2"/>
    <w:rsid w:val="004C3569"/>
    <w:rsid w:val="004C358A"/>
    <w:rsid w:val="004C364F"/>
    <w:rsid w:val="004C3B0C"/>
    <w:rsid w:val="004C3CB8"/>
    <w:rsid w:val="004C3D73"/>
    <w:rsid w:val="004C3E49"/>
    <w:rsid w:val="004C3EBC"/>
    <w:rsid w:val="004C44F5"/>
    <w:rsid w:val="004C48C0"/>
    <w:rsid w:val="004C48F8"/>
    <w:rsid w:val="004C4A5A"/>
    <w:rsid w:val="004C4A99"/>
    <w:rsid w:val="004C4AA6"/>
    <w:rsid w:val="004C4BB4"/>
    <w:rsid w:val="004C4E96"/>
    <w:rsid w:val="004C4EA1"/>
    <w:rsid w:val="004C4ED6"/>
    <w:rsid w:val="004C50A3"/>
    <w:rsid w:val="004C5359"/>
    <w:rsid w:val="004C543A"/>
    <w:rsid w:val="004C5488"/>
    <w:rsid w:val="004C582E"/>
    <w:rsid w:val="004C58EA"/>
    <w:rsid w:val="004C59FA"/>
    <w:rsid w:val="004C5C44"/>
    <w:rsid w:val="004C5CA6"/>
    <w:rsid w:val="004C6028"/>
    <w:rsid w:val="004C6197"/>
    <w:rsid w:val="004C6285"/>
    <w:rsid w:val="004C6339"/>
    <w:rsid w:val="004C6464"/>
    <w:rsid w:val="004C64DB"/>
    <w:rsid w:val="004C663D"/>
    <w:rsid w:val="004C6678"/>
    <w:rsid w:val="004C66F4"/>
    <w:rsid w:val="004C6939"/>
    <w:rsid w:val="004C6F6A"/>
    <w:rsid w:val="004C7141"/>
    <w:rsid w:val="004C7143"/>
    <w:rsid w:val="004C7BA0"/>
    <w:rsid w:val="004C7C49"/>
    <w:rsid w:val="004C7D33"/>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4F6"/>
    <w:rsid w:val="004D1631"/>
    <w:rsid w:val="004D1981"/>
    <w:rsid w:val="004D1B7A"/>
    <w:rsid w:val="004D1DCF"/>
    <w:rsid w:val="004D1EB7"/>
    <w:rsid w:val="004D1F0D"/>
    <w:rsid w:val="004D1F3A"/>
    <w:rsid w:val="004D224F"/>
    <w:rsid w:val="004D22AA"/>
    <w:rsid w:val="004D22E8"/>
    <w:rsid w:val="004D239E"/>
    <w:rsid w:val="004D2401"/>
    <w:rsid w:val="004D24A9"/>
    <w:rsid w:val="004D25AF"/>
    <w:rsid w:val="004D25E9"/>
    <w:rsid w:val="004D28B3"/>
    <w:rsid w:val="004D2916"/>
    <w:rsid w:val="004D29AE"/>
    <w:rsid w:val="004D2A9E"/>
    <w:rsid w:val="004D2BF0"/>
    <w:rsid w:val="004D2C85"/>
    <w:rsid w:val="004D2C97"/>
    <w:rsid w:val="004D334A"/>
    <w:rsid w:val="004D33A2"/>
    <w:rsid w:val="004D3796"/>
    <w:rsid w:val="004D37FF"/>
    <w:rsid w:val="004D3B01"/>
    <w:rsid w:val="004D3B94"/>
    <w:rsid w:val="004D3C6F"/>
    <w:rsid w:val="004D3D9B"/>
    <w:rsid w:val="004D4356"/>
    <w:rsid w:val="004D43C6"/>
    <w:rsid w:val="004D46DF"/>
    <w:rsid w:val="004D4787"/>
    <w:rsid w:val="004D48AC"/>
    <w:rsid w:val="004D48B2"/>
    <w:rsid w:val="004D49C1"/>
    <w:rsid w:val="004D4CCC"/>
    <w:rsid w:val="004D4CF7"/>
    <w:rsid w:val="004D4DAD"/>
    <w:rsid w:val="004D4E06"/>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B59"/>
    <w:rsid w:val="004D6DF9"/>
    <w:rsid w:val="004D6E14"/>
    <w:rsid w:val="004D6FED"/>
    <w:rsid w:val="004D711A"/>
    <w:rsid w:val="004D742F"/>
    <w:rsid w:val="004D74EC"/>
    <w:rsid w:val="004D7A7D"/>
    <w:rsid w:val="004D7D1B"/>
    <w:rsid w:val="004D7F73"/>
    <w:rsid w:val="004D7FAA"/>
    <w:rsid w:val="004E02E1"/>
    <w:rsid w:val="004E0445"/>
    <w:rsid w:val="004E052B"/>
    <w:rsid w:val="004E05C7"/>
    <w:rsid w:val="004E07AD"/>
    <w:rsid w:val="004E0B9A"/>
    <w:rsid w:val="004E0CE3"/>
    <w:rsid w:val="004E0D5D"/>
    <w:rsid w:val="004E10D4"/>
    <w:rsid w:val="004E1397"/>
    <w:rsid w:val="004E1425"/>
    <w:rsid w:val="004E1571"/>
    <w:rsid w:val="004E15AE"/>
    <w:rsid w:val="004E17C7"/>
    <w:rsid w:val="004E1912"/>
    <w:rsid w:val="004E1B8A"/>
    <w:rsid w:val="004E2097"/>
    <w:rsid w:val="004E2125"/>
    <w:rsid w:val="004E2305"/>
    <w:rsid w:val="004E24C9"/>
    <w:rsid w:val="004E295A"/>
    <w:rsid w:val="004E2970"/>
    <w:rsid w:val="004E2A15"/>
    <w:rsid w:val="004E2B5D"/>
    <w:rsid w:val="004E2D69"/>
    <w:rsid w:val="004E30A5"/>
    <w:rsid w:val="004E334E"/>
    <w:rsid w:val="004E33EF"/>
    <w:rsid w:val="004E350F"/>
    <w:rsid w:val="004E3512"/>
    <w:rsid w:val="004E3595"/>
    <w:rsid w:val="004E3757"/>
    <w:rsid w:val="004E3A58"/>
    <w:rsid w:val="004E3ABB"/>
    <w:rsid w:val="004E3F85"/>
    <w:rsid w:val="004E429D"/>
    <w:rsid w:val="004E42AC"/>
    <w:rsid w:val="004E44B0"/>
    <w:rsid w:val="004E45C9"/>
    <w:rsid w:val="004E4689"/>
    <w:rsid w:val="004E4790"/>
    <w:rsid w:val="004E486F"/>
    <w:rsid w:val="004E4ADA"/>
    <w:rsid w:val="004E4D20"/>
    <w:rsid w:val="004E4E56"/>
    <w:rsid w:val="004E530C"/>
    <w:rsid w:val="004E5602"/>
    <w:rsid w:val="004E572A"/>
    <w:rsid w:val="004E59BF"/>
    <w:rsid w:val="004E59E6"/>
    <w:rsid w:val="004E5B25"/>
    <w:rsid w:val="004E5DA8"/>
    <w:rsid w:val="004E5EB7"/>
    <w:rsid w:val="004E5F5B"/>
    <w:rsid w:val="004E6411"/>
    <w:rsid w:val="004E648D"/>
    <w:rsid w:val="004E67E7"/>
    <w:rsid w:val="004E6836"/>
    <w:rsid w:val="004E68C6"/>
    <w:rsid w:val="004E6A84"/>
    <w:rsid w:val="004E6B49"/>
    <w:rsid w:val="004E6BB7"/>
    <w:rsid w:val="004E6D87"/>
    <w:rsid w:val="004E6DA6"/>
    <w:rsid w:val="004E7103"/>
    <w:rsid w:val="004E7182"/>
    <w:rsid w:val="004E7238"/>
    <w:rsid w:val="004E72F2"/>
    <w:rsid w:val="004E73B7"/>
    <w:rsid w:val="004E7536"/>
    <w:rsid w:val="004E75E9"/>
    <w:rsid w:val="004E7633"/>
    <w:rsid w:val="004E799A"/>
    <w:rsid w:val="004E7F80"/>
    <w:rsid w:val="004E7FF7"/>
    <w:rsid w:val="004F0017"/>
    <w:rsid w:val="004F015B"/>
    <w:rsid w:val="004F0338"/>
    <w:rsid w:val="004F06C3"/>
    <w:rsid w:val="004F079C"/>
    <w:rsid w:val="004F08E5"/>
    <w:rsid w:val="004F0A00"/>
    <w:rsid w:val="004F0C9C"/>
    <w:rsid w:val="004F0D31"/>
    <w:rsid w:val="004F10AC"/>
    <w:rsid w:val="004F13AF"/>
    <w:rsid w:val="004F13B0"/>
    <w:rsid w:val="004F15DE"/>
    <w:rsid w:val="004F15E3"/>
    <w:rsid w:val="004F15F3"/>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264"/>
    <w:rsid w:val="004F35FC"/>
    <w:rsid w:val="004F3C52"/>
    <w:rsid w:val="004F405A"/>
    <w:rsid w:val="004F4426"/>
    <w:rsid w:val="004F453B"/>
    <w:rsid w:val="004F4578"/>
    <w:rsid w:val="004F4692"/>
    <w:rsid w:val="004F47C5"/>
    <w:rsid w:val="004F48BE"/>
    <w:rsid w:val="004F49F4"/>
    <w:rsid w:val="004F4A8E"/>
    <w:rsid w:val="004F4B75"/>
    <w:rsid w:val="004F4C65"/>
    <w:rsid w:val="004F4D8C"/>
    <w:rsid w:val="004F4E1D"/>
    <w:rsid w:val="004F5032"/>
    <w:rsid w:val="004F5098"/>
    <w:rsid w:val="004F50D0"/>
    <w:rsid w:val="004F5321"/>
    <w:rsid w:val="004F55B8"/>
    <w:rsid w:val="004F581C"/>
    <w:rsid w:val="004F5C3D"/>
    <w:rsid w:val="004F5DEB"/>
    <w:rsid w:val="004F61AE"/>
    <w:rsid w:val="004F6419"/>
    <w:rsid w:val="004F6478"/>
    <w:rsid w:val="004F6917"/>
    <w:rsid w:val="004F69BA"/>
    <w:rsid w:val="004F6A50"/>
    <w:rsid w:val="004F6A80"/>
    <w:rsid w:val="004F6FF7"/>
    <w:rsid w:val="004F700C"/>
    <w:rsid w:val="004F743F"/>
    <w:rsid w:val="004F75DC"/>
    <w:rsid w:val="004F76E8"/>
    <w:rsid w:val="004F7B51"/>
    <w:rsid w:val="004F7B94"/>
    <w:rsid w:val="0050014F"/>
    <w:rsid w:val="00500363"/>
    <w:rsid w:val="0050045A"/>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7"/>
    <w:rsid w:val="005026DB"/>
    <w:rsid w:val="0050294B"/>
    <w:rsid w:val="005029F8"/>
    <w:rsid w:val="00502A95"/>
    <w:rsid w:val="00502AA0"/>
    <w:rsid w:val="00502BA4"/>
    <w:rsid w:val="00502CA7"/>
    <w:rsid w:val="00502CE7"/>
    <w:rsid w:val="00502F7E"/>
    <w:rsid w:val="0050305A"/>
    <w:rsid w:val="00503175"/>
    <w:rsid w:val="005032A4"/>
    <w:rsid w:val="005032B3"/>
    <w:rsid w:val="005032F7"/>
    <w:rsid w:val="0050384C"/>
    <w:rsid w:val="00503AA0"/>
    <w:rsid w:val="00503CB6"/>
    <w:rsid w:val="00503CB9"/>
    <w:rsid w:val="00503D04"/>
    <w:rsid w:val="00504077"/>
    <w:rsid w:val="00504100"/>
    <w:rsid w:val="005041FC"/>
    <w:rsid w:val="005042CE"/>
    <w:rsid w:val="0050454B"/>
    <w:rsid w:val="00504750"/>
    <w:rsid w:val="005048EA"/>
    <w:rsid w:val="00504931"/>
    <w:rsid w:val="00504AC2"/>
    <w:rsid w:val="00504DE1"/>
    <w:rsid w:val="00504FED"/>
    <w:rsid w:val="005050F2"/>
    <w:rsid w:val="0050514B"/>
    <w:rsid w:val="00505210"/>
    <w:rsid w:val="00505513"/>
    <w:rsid w:val="005055C9"/>
    <w:rsid w:val="005056AC"/>
    <w:rsid w:val="005057F1"/>
    <w:rsid w:val="00505995"/>
    <w:rsid w:val="005060C1"/>
    <w:rsid w:val="0050614B"/>
    <w:rsid w:val="00506321"/>
    <w:rsid w:val="0050642C"/>
    <w:rsid w:val="0050649C"/>
    <w:rsid w:val="005064A0"/>
    <w:rsid w:val="005064D1"/>
    <w:rsid w:val="005065A9"/>
    <w:rsid w:val="005065D0"/>
    <w:rsid w:val="00506603"/>
    <w:rsid w:val="005066E9"/>
    <w:rsid w:val="00506D4D"/>
    <w:rsid w:val="00506E12"/>
    <w:rsid w:val="00506EEC"/>
    <w:rsid w:val="00506F59"/>
    <w:rsid w:val="00506FE8"/>
    <w:rsid w:val="005070D9"/>
    <w:rsid w:val="005071E4"/>
    <w:rsid w:val="005072A9"/>
    <w:rsid w:val="005073D9"/>
    <w:rsid w:val="0050791C"/>
    <w:rsid w:val="00507A5A"/>
    <w:rsid w:val="00507CF9"/>
    <w:rsid w:val="00510381"/>
    <w:rsid w:val="00510CCD"/>
    <w:rsid w:val="00510DEC"/>
    <w:rsid w:val="0051112E"/>
    <w:rsid w:val="005111D2"/>
    <w:rsid w:val="005111E6"/>
    <w:rsid w:val="0051120A"/>
    <w:rsid w:val="005112BB"/>
    <w:rsid w:val="00511427"/>
    <w:rsid w:val="0051158F"/>
    <w:rsid w:val="005115C1"/>
    <w:rsid w:val="005116A8"/>
    <w:rsid w:val="00511EB3"/>
    <w:rsid w:val="00511F00"/>
    <w:rsid w:val="00511F74"/>
    <w:rsid w:val="00512329"/>
    <w:rsid w:val="00512B14"/>
    <w:rsid w:val="00512B19"/>
    <w:rsid w:val="00512E23"/>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13E"/>
    <w:rsid w:val="00514307"/>
    <w:rsid w:val="00514329"/>
    <w:rsid w:val="00514439"/>
    <w:rsid w:val="0051490A"/>
    <w:rsid w:val="00514B16"/>
    <w:rsid w:val="00514DC0"/>
    <w:rsid w:val="005150D5"/>
    <w:rsid w:val="00515203"/>
    <w:rsid w:val="005156C2"/>
    <w:rsid w:val="00515845"/>
    <w:rsid w:val="00515B1D"/>
    <w:rsid w:val="00515E2A"/>
    <w:rsid w:val="005161AA"/>
    <w:rsid w:val="00516228"/>
    <w:rsid w:val="0051636D"/>
    <w:rsid w:val="005163CB"/>
    <w:rsid w:val="00516561"/>
    <w:rsid w:val="0051660D"/>
    <w:rsid w:val="00516950"/>
    <w:rsid w:val="00516C64"/>
    <w:rsid w:val="00516D94"/>
    <w:rsid w:val="00517102"/>
    <w:rsid w:val="00517268"/>
    <w:rsid w:val="00517314"/>
    <w:rsid w:val="0051735C"/>
    <w:rsid w:val="00517371"/>
    <w:rsid w:val="0051795E"/>
    <w:rsid w:val="00517A21"/>
    <w:rsid w:val="00517CD1"/>
    <w:rsid w:val="00517D1A"/>
    <w:rsid w:val="00517DAA"/>
    <w:rsid w:val="00520158"/>
    <w:rsid w:val="00520317"/>
    <w:rsid w:val="005208CB"/>
    <w:rsid w:val="005210DA"/>
    <w:rsid w:val="0052115A"/>
    <w:rsid w:val="005211ED"/>
    <w:rsid w:val="00521486"/>
    <w:rsid w:val="005215FD"/>
    <w:rsid w:val="0052178E"/>
    <w:rsid w:val="005218F4"/>
    <w:rsid w:val="00521CED"/>
    <w:rsid w:val="00521E8E"/>
    <w:rsid w:val="00521F2C"/>
    <w:rsid w:val="00521F7B"/>
    <w:rsid w:val="00522074"/>
    <w:rsid w:val="00522193"/>
    <w:rsid w:val="00522634"/>
    <w:rsid w:val="00522692"/>
    <w:rsid w:val="0052284F"/>
    <w:rsid w:val="00522B26"/>
    <w:rsid w:val="00522C79"/>
    <w:rsid w:val="00522D72"/>
    <w:rsid w:val="00522F1F"/>
    <w:rsid w:val="005230E8"/>
    <w:rsid w:val="005237CE"/>
    <w:rsid w:val="005238A9"/>
    <w:rsid w:val="005239D3"/>
    <w:rsid w:val="00523CF5"/>
    <w:rsid w:val="00524051"/>
    <w:rsid w:val="00524444"/>
    <w:rsid w:val="0052447A"/>
    <w:rsid w:val="0052462B"/>
    <w:rsid w:val="005248B9"/>
    <w:rsid w:val="0052496F"/>
    <w:rsid w:val="00524975"/>
    <w:rsid w:val="00524A8F"/>
    <w:rsid w:val="00524D15"/>
    <w:rsid w:val="0052502E"/>
    <w:rsid w:val="0052507F"/>
    <w:rsid w:val="005250D8"/>
    <w:rsid w:val="00525107"/>
    <w:rsid w:val="005251FA"/>
    <w:rsid w:val="00525412"/>
    <w:rsid w:val="0052575F"/>
    <w:rsid w:val="00525850"/>
    <w:rsid w:val="005258E0"/>
    <w:rsid w:val="00525A3E"/>
    <w:rsid w:val="00525AD4"/>
    <w:rsid w:val="00525BCD"/>
    <w:rsid w:val="00525BFB"/>
    <w:rsid w:val="00525D19"/>
    <w:rsid w:val="00525DBC"/>
    <w:rsid w:val="00526042"/>
    <w:rsid w:val="00526244"/>
    <w:rsid w:val="005263C4"/>
    <w:rsid w:val="005265A5"/>
    <w:rsid w:val="00526672"/>
    <w:rsid w:val="00526ABF"/>
    <w:rsid w:val="00526CD6"/>
    <w:rsid w:val="005271E9"/>
    <w:rsid w:val="00527225"/>
    <w:rsid w:val="00527313"/>
    <w:rsid w:val="00527431"/>
    <w:rsid w:val="005276AD"/>
    <w:rsid w:val="00527A96"/>
    <w:rsid w:val="00527CDF"/>
    <w:rsid w:val="00530145"/>
    <w:rsid w:val="005301C2"/>
    <w:rsid w:val="00530EA6"/>
    <w:rsid w:val="00530F46"/>
    <w:rsid w:val="00531150"/>
    <w:rsid w:val="005311BE"/>
    <w:rsid w:val="005311E3"/>
    <w:rsid w:val="00531285"/>
    <w:rsid w:val="005315D7"/>
    <w:rsid w:val="005316AD"/>
    <w:rsid w:val="005319E3"/>
    <w:rsid w:val="00531A22"/>
    <w:rsid w:val="00531A87"/>
    <w:rsid w:val="00531F12"/>
    <w:rsid w:val="00531F58"/>
    <w:rsid w:val="00531F8B"/>
    <w:rsid w:val="00532182"/>
    <w:rsid w:val="0053223C"/>
    <w:rsid w:val="00532456"/>
    <w:rsid w:val="0053294A"/>
    <w:rsid w:val="0053294D"/>
    <w:rsid w:val="00532B2E"/>
    <w:rsid w:val="00532DCF"/>
    <w:rsid w:val="0053315C"/>
    <w:rsid w:val="005331C8"/>
    <w:rsid w:val="005331F3"/>
    <w:rsid w:val="0053331E"/>
    <w:rsid w:val="005333DE"/>
    <w:rsid w:val="00533856"/>
    <w:rsid w:val="005338B0"/>
    <w:rsid w:val="0053398A"/>
    <w:rsid w:val="00533CD2"/>
    <w:rsid w:val="00533D63"/>
    <w:rsid w:val="00533DE0"/>
    <w:rsid w:val="00534095"/>
    <w:rsid w:val="0053415E"/>
    <w:rsid w:val="00534200"/>
    <w:rsid w:val="00534337"/>
    <w:rsid w:val="0053446E"/>
    <w:rsid w:val="00534BBD"/>
    <w:rsid w:val="00534D9E"/>
    <w:rsid w:val="00534DD0"/>
    <w:rsid w:val="0053506A"/>
    <w:rsid w:val="005350D0"/>
    <w:rsid w:val="00535208"/>
    <w:rsid w:val="0053532B"/>
    <w:rsid w:val="00535573"/>
    <w:rsid w:val="005355C4"/>
    <w:rsid w:val="005357F0"/>
    <w:rsid w:val="00535902"/>
    <w:rsid w:val="00535CE0"/>
    <w:rsid w:val="00535FA3"/>
    <w:rsid w:val="00535FDA"/>
    <w:rsid w:val="005362B9"/>
    <w:rsid w:val="005362F0"/>
    <w:rsid w:val="00536310"/>
    <w:rsid w:val="005364F9"/>
    <w:rsid w:val="00536517"/>
    <w:rsid w:val="00536630"/>
    <w:rsid w:val="00536721"/>
    <w:rsid w:val="00536737"/>
    <w:rsid w:val="0053677A"/>
    <w:rsid w:val="00536A14"/>
    <w:rsid w:val="00536A31"/>
    <w:rsid w:val="00536A7E"/>
    <w:rsid w:val="00536D24"/>
    <w:rsid w:val="005370EE"/>
    <w:rsid w:val="0053711E"/>
    <w:rsid w:val="00537605"/>
    <w:rsid w:val="00537641"/>
    <w:rsid w:val="0053786E"/>
    <w:rsid w:val="00537C22"/>
    <w:rsid w:val="0054005C"/>
    <w:rsid w:val="005407D6"/>
    <w:rsid w:val="005408FA"/>
    <w:rsid w:val="00540A16"/>
    <w:rsid w:val="00540C23"/>
    <w:rsid w:val="00540F19"/>
    <w:rsid w:val="00541064"/>
    <w:rsid w:val="0054119A"/>
    <w:rsid w:val="0054126D"/>
    <w:rsid w:val="0054131A"/>
    <w:rsid w:val="00541403"/>
    <w:rsid w:val="005418FF"/>
    <w:rsid w:val="0054192D"/>
    <w:rsid w:val="0054199F"/>
    <w:rsid w:val="00541AA3"/>
    <w:rsid w:val="00541C21"/>
    <w:rsid w:val="00541C92"/>
    <w:rsid w:val="00541CAA"/>
    <w:rsid w:val="00541DA3"/>
    <w:rsid w:val="00541EC5"/>
    <w:rsid w:val="00542484"/>
    <w:rsid w:val="0054265B"/>
    <w:rsid w:val="00542666"/>
    <w:rsid w:val="00542724"/>
    <w:rsid w:val="00542755"/>
    <w:rsid w:val="00542B1E"/>
    <w:rsid w:val="00542DA6"/>
    <w:rsid w:val="00542FC7"/>
    <w:rsid w:val="00543083"/>
    <w:rsid w:val="0054311B"/>
    <w:rsid w:val="0054373A"/>
    <w:rsid w:val="00543A90"/>
    <w:rsid w:val="00543AD5"/>
    <w:rsid w:val="00543BE4"/>
    <w:rsid w:val="00543DD3"/>
    <w:rsid w:val="005440E4"/>
    <w:rsid w:val="00544225"/>
    <w:rsid w:val="00544379"/>
    <w:rsid w:val="005444E6"/>
    <w:rsid w:val="00544545"/>
    <w:rsid w:val="00544863"/>
    <w:rsid w:val="00544DC1"/>
    <w:rsid w:val="00545256"/>
    <w:rsid w:val="00545341"/>
    <w:rsid w:val="00545365"/>
    <w:rsid w:val="00545419"/>
    <w:rsid w:val="0054559D"/>
    <w:rsid w:val="005458DD"/>
    <w:rsid w:val="005459EA"/>
    <w:rsid w:val="00545F62"/>
    <w:rsid w:val="00545F79"/>
    <w:rsid w:val="00546162"/>
    <w:rsid w:val="00546396"/>
    <w:rsid w:val="005465AC"/>
    <w:rsid w:val="00546649"/>
    <w:rsid w:val="005466D8"/>
    <w:rsid w:val="005467B0"/>
    <w:rsid w:val="0054688D"/>
    <w:rsid w:val="00546C23"/>
    <w:rsid w:val="00547005"/>
    <w:rsid w:val="0054718B"/>
    <w:rsid w:val="005471C6"/>
    <w:rsid w:val="00547411"/>
    <w:rsid w:val="005474AE"/>
    <w:rsid w:val="0054763A"/>
    <w:rsid w:val="00547A9A"/>
    <w:rsid w:val="00547C86"/>
    <w:rsid w:val="00550157"/>
    <w:rsid w:val="0055019C"/>
    <w:rsid w:val="0055038D"/>
    <w:rsid w:val="005503C8"/>
    <w:rsid w:val="005503F9"/>
    <w:rsid w:val="005506E7"/>
    <w:rsid w:val="00550910"/>
    <w:rsid w:val="005509EA"/>
    <w:rsid w:val="00550BCA"/>
    <w:rsid w:val="00550F0E"/>
    <w:rsid w:val="00551010"/>
    <w:rsid w:val="00551159"/>
    <w:rsid w:val="005512B6"/>
    <w:rsid w:val="00551319"/>
    <w:rsid w:val="00551444"/>
    <w:rsid w:val="00551472"/>
    <w:rsid w:val="0055159D"/>
    <w:rsid w:val="00551674"/>
    <w:rsid w:val="00551981"/>
    <w:rsid w:val="005519BF"/>
    <w:rsid w:val="00551B54"/>
    <w:rsid w:val="00551CC0"/>
    <w:rsid w:val="00551CE2"/>
    <w:rsid w:val="00551DEB"/>
    <w:rsid w:val="005520A1"/>
    <w:rsid w:val="00552183"/>
    <w:rsid w:val="00552344"/>
    <w:rsid w:val="005523B6"/>
    <w:rsid w:val="00552875"/>
    <w:rsid w:val="005529D3"/>
    <w:rsid w:val="00552AD8"/>
    <w:rsid w:val="00552CBC"/>
    <w:rsid w:val="00552D0B"/>
    <w:rsid w:val="00552E2B"/>
    <w:rsid w:val="0055305B"/>
    <w:rsid w:val="005532AB"/>
    <w:rsid w:val="00553399"/>
    <w:rsid w:val="005534C5"/>
    <w:rsid w:val="00553672"/>
    <w:rsid w:val="00553C82"/>
    <w:rsid w:val="00554306"/>
    <w:rsid w:val="00554592"/>
    <w:rsid w:val="005545FB"/>
    <w:rsid w:val="005549DA"/>
    <w:rsid w:val="00554D18"/>
    <w:rsid w:val="00554D1D"/>
    <w:rsid w:val="00555174"/>
    <w:rsid w:val="00555298"/>
    <w:rsid w:val="00555519"/>
    <w:rsid w:val="0055553A"/>
    <w:rsid w:val="00555625"/>
    <w:rsid w:val="00555703"/>
    <w:rsid w:val="00555A98"/>
    <w:rsid w:val="00555B36"/>
    <w:rsid w:val="00555E22"/>
    <w:rsid w:val="00556105"/>
    <w:rsid w:val="005565B3"/>
    <w:rsid w:val="00556696"/>
    <w:rsid w:val="00556891"/>
    <w:rsid w:val="00556AD6"/>
    <w:rsid w:val="00556B31"/>
    <w:rsid w:val="00556C54"/>
    <w:rsid w:val="00556F6F"/>
    <w:rsid w:val="00557135"/>
    <w:rsid w:val="005571F4"/>
    <w:rsid w:val="0055726C"/>
    <w:rsid w:val="00557355"/>
    <w:rsid w:val="005575C1"/>
    <w:rsid w:val="005575D2"/>
    <w:rsid w:val="00557684"/>
    <w:rsid w:val="00557BD5"/>
    <w:rsid w:val="00557DE1"/>
    <w:rsid w:val="005600FA"/>
    <w:rsid w:val="005601AB"/>
    <w:rsid w:val="00560280"/>
    <w:rsid w:val="00560658"/>
    <w:rsid w:val="00560673"/>
    <w:rsid w:val="00560A0C"/>
    <w:rsid w:val="00560CE3"/>
    <w:rsid w:val="00561032"/>
    <w:rsid w:val="00561116"/>
    <w:rsid w:val="005614C4"/>
    <w:rsid w:val="00561540"/>
    <w:rsid w:val="005616F9"/>
    <w:rsid w:val="00561BBA"/>
    <w:rsid w:val="00561EF6"/>
    <w:rsid w:val="0056211F"/>
    <w:rsid w:val="005627B7"/>
    <w:rsid w:val="005628E1"/>
    <w:rsid w:val="00562B1E"/>
    <w:rsid w:val="00562FB5"/>
    <w:rsid w:val="00563026"/>
    <w:rsid w:val="005630F4"/>
    <w:rsid w:val="00563115"/>
    <w:rsid w:val="00563168"/>
    <w:rsid w:val="005633A2"/>
    <w:rsid w:val="00563422"/>
    <w:rsid w:val="00563569"/>
    <w:rsid w:val="005636E7"/>
    <w:rsid w:val="0056374F"/>
    <w:rsid w:val="005638BD"/>
    <w:rsid w:val="0056397E"/>
    <w:rsid w:val="00563A6B"/>
    <w:rsid w:val="00563AE2"/>
    <w:rsid w:val="00563BCE"/>
    <w:rsid w:val="00563D3D"/>
    <w:rsid w:val="00563D58"/>
    <w:rsid w:val="00564047"/>
    <w:rsid w:val="00564083"/>
    <w:rsid w:val="005641CD"/>
    <w:rsid w:val="0056423C"/>
    <w:rsid w:val="005642EA"/>
    <w:rsid w:val="0056471D"/>
    <w:rsid w:val="0056474E"/>
    <w:rsid w:val="005649EA"/>
    <w:rsid w:val="00564AFD"/>
    <w:rsid w:val="00564C28"/>
    <w:rsid w:val="00564CAE"/>
    <w:rsid w:val="00565292"/>
    <w:rsid w:val="00565573"/>
    <w:rsid w:val="00565668"/>
    <w:rsid w:val="00565BEC"/>
    <w:rsid w:val="00566139"/>
    <w:rsid w:val="0056635F"/>
    <w:rsid w:val="00566520"/>
    <w:rsid w:val="00566768"/>
    <w:rsid w:val="00566793"/>
    <w:rsid w:val="005667E2"/>
    <w:rsid w:val="00566996"/>
    <w:rsid w:val="00566B89"/>
    <w:rsid w:val="00566D6E"/>
    <w:rsid w:val="0056717D"/>
    <w:rsid w:val="005671AC"/>
    <w:rsid w:val="005676ED"/>
    <w:rsid w:val="00567715"/>
    <w:rsid w:val="0056777B"/>
    <w:rsid w:val="005677FC"/>
    <w:rsid w:val="00567A10"/>
    <w:rsid w:val="00567B80"/>
    <w:rsid w:val="00570127"/>
    <w:rsid w:val="0057017E"/>
    <w:rsid w:val="00570387"/>
    <w:rsid w:val="005703AA"/>
    <w:rsid w:val="0057071E"/>
    <w:rsid w:val="00570871"/>
    <w:rsid w:val="00570A4A"/>
    <w:rsid w:val="00570C26"/>
    <w:rsid w:val="00570C30"/>
    <w:rsid w:val="00570E54"/>
    <w:rsid w:val="0057106D"/>
    <w:rsid w:val="005712BD"/>
    <w:rsid w:val="005712BE"/>
    <w:rsid w:val="00571355"/>
    <w:rsid w:val="00571473"/>
    <w:rsid w:val="00571691"/>
    <w:rsid w:val="005717AD"/>
    <w:rsid w:val="00571B45"/>
    <w:rsid w:val="00571B47"/>
    <w:rsid w:val="00572009"/>
    <w:rsid w:val="005720CB"/>
    <w:rsid w:val="00572186"/>
    <w:rsid w:val="0057239A"/>
    <w:rsid w:val="00572418"/>
    <w:rsid w:val="005725EA"/>
    <w:rsid w:val="00572897"/>
    <w:rsid w:val="005728D5"/>
    <w:rsid w:val="0057294A"/>
    <w:rsid w:val="00572A4A"/>
    <w:rsid w:val="00572A57"/>
    <w:rsid w:val="00572C27"/>
    <w:rsid w:val="00572E6F"/>
    <w:rsid w:val="00573018"/>
    <w:rsid w:val="00573214"/>
    <w:rsid w:val="00573257"/>
    <w:rsid w:val="00573571"/>
    <w:rsid w:val="005735B1"/>
    <w:rsid w:val="0057365F"/>
    <w:rsid w:val="00573AC2"/>
    <w:rsid w:val="00573D40"/>
    <w:rsid w:val="00573DB7"/>
    <w:rsid w:val="00573E57"/>
    <w:rsid w:val="00574378"/>
    <w:rsid w:val="0057442D"/>
    <w:rsid w:val="0057454D"/>
    <w:rsid w:val="00574760"/>
    <w:rsid w:val="00574BA3"/>
    <w:rsid w:val="00574BC7"/>
    <w:rsid w:val="0057501A"/>
    <w:rsid w:val="0057517D"/>
    <w:rsid w:val="0057532D"/>
    <w:rsid w:val="005753C5"/>
    <w:rsid w:val="0057552F"/>
    <w:rsid w:val="0057554C"/>
    <w:rsid w:val="0057561E"/>
    <w:rsid w:val="00575665"/>
    <w:rsid w:val="0057566C"/>
    <w:rsid w:val="00575836"/>
    <w:rsid w:val="00575D92"/>
    <w:rsid w:val="00575F1B"/>
    <w:rsid w:val="005761B6"/>
    <w:rsid w:val="00576240"/>
    <w:rsid w:val="0057634C"/>
    <w:rsid w:val="00576484"/>
    <w:rsid w:val="005764A2"/>
    <w:rsid w:val="0057678C"/>
    <w:rsid w:val="00576840"/>
    <w:rsid w:val="00576B3A"/>
    <w:rsid w:val="00576DC8"/>
    <w:rsid w:val="00576F07"/>
    <w:rsid w:val="00576F3B"/>
    <w:rsid w:val="005774C3"/>
    <w:rsid w:val="005776E0"/>
    <w:rsid w:val="005776FC"/>
    <w:rsid w:val="0057776D"/>
    <w:rsid w:val="005778F8"/>
    <w:rsid w:val="005779C4"/>
    <w:rsid w:val="005779EE"/>
    <w:rsid w:val="00577B18"/>
    <w:rsid w:val="00577B7B"/>
    <w:rsid w:val="00577C83"/>
    <w:rsid w:val="00577F50"/>
    <w:rsid w:val="0058039B"/>
    <w:rsid w:val="005803FE"/>
    <w:rsid w:val="005806BF"/>
    <w:rsid w:val="00580753"/>
    <w:rsid w:val="00581214"/>
    <w:rsid w:val="005814E7"/>
    <w:rsid w:val="00581621"/>
    <w:rsid w:val="00581864"/>
    <w:rsid w:val="00581AFE"/>
    <w:rsid w:val="00581E70"/>
    <w:rsid w:val="005828C0"/>
    <w:rsid w:val="00582B44"/>
    <w:rsid w:val="00582C0C"/>
    <w:rsid w:val="00583303"/>
    <w:rsid w:val="005835B5"/>
    <w:rsid w:val="005836E9"/>
    <w:rsid w:val="00583815"/>
    <w:rsid w:val="00583955"/>
    <w:rsid w:val="00583DE4"/>
    <w:rsid w:val="00583FF2"/>
    <w:rsid w:val="005841AF"/>
    <w:rsid w:val="00584276"/>
    <w:rsid w:val="0058433C"/>
    <w:rsid w:val="005845BD"/>
    <w:rsid w:val="0058478D"/>
    <w:rsid w:val="005849FF"/>
    <w:rsid w:val="005851C9"/>
    <w:rsid w:val="0058527D"/>
    <w:rsid w:val="005857AD"/>
    <w:rsid w:val="00585AD8"/>
    <w:rsid w:val="00585EB4"/>
    <w:rsid w:val="005861CA"/>
    <w:rsid w:val="005865E3"/>
    <w:rsid w:val="00586842"/>
    <w:rsid w:val="0058688B"/>
    <w:rsid w:val="00586911"/>
    <w:rsid w:val="00586ADF"/>
    <w:rsid w:val="00586C29"/>
    <w:rsid w:val="00586C41"/>
    <w:rsid w:val="00586D36"/>
    <w:rsid w:val="005870C8"/>
    <w:rsid w:val="0058711F"/>
    <w:rsid w:val="005871DC"/>
    <w:rsid w:val="00587348"/>
    <w:rsid w:val="00587448"/>
    <w:rsid w:val="00587777"/>
    <w:rsid w:val="005878FD"/>
    <w:rsid w:val="0058793B"/>
    <w:rsid w:val="00587C79"/>
    <w:rsid w:val="00587D21"/>
    <w:rsid w:val="00587D82"/>
    <w:rsid w:val="00587E17"/>
    <w:rsid w:val="005900A0"/>
    <w:rsid w:val="0059023E"/>
    <w:rsid w:val="00590248"/>
    <w:rsid w:val="005902A4"/>
    <w:rsid w:val="005904D7"/>
    <w:rsid w:val="0059058E"/>
    <w:rsid w:val="00590631"/>
    <w:rsid w:val="0059069D"/>
    <w:rsid w:val="005908B7"/>
    <w:rsid w:val="005908D5"/>
    <w:rsid w:val="00590A8A"/>
    <w:rsid w:val="00590A97"/>
    <w:rsid w:val="00590AD5"/>
    <w:rsid w:val="00590BEC"/>
    <w:rsid w:val="00590D60"/>
    <w:rsid w:val="005912E4"/>
    <w:rsid w:val="005913F7"/>
    <w:rsid w:val="005914FA"/>
    <w:rsid w:val="00591660"/>
    <w:rsid w:val="0059172B"/>
    <w:rsid w:val="005919D8"/>
    <w:rsid w:val="00591AA2"/>
    <w:rsid w:val="00591CDD"/>
    <w:rsid w:val="00591D74"/>
    <w:rsid w:val="00591E88"/>
    <w:rsid w:val="00591F76"/>
    <w:rsid w:val="00592040"/>
    <w:rsid w:val="00592392"/>
    <w:rsid w:val="00592425"/>
    <w:rsid w:val="00592634"/>
    <w:rsid w:val="005929DB"/>
    <w:rsid w:val="00592ED7"/>
    <w:rsid w:val="00592F4A"/>
    <w:rsid w:val="00593048"/>
    <w:rsid w:val="00593206"/>
    <w:rsid w:val="0059339D"/>
    <w:rsid w:val="00593EAE"/>
    <w:rsid w:val="00593EFD"/>
    <w:rsid w:val="005942AE"/>
    <w:rsid w:val="005942BB"/>
    <w:rsid w:val="00594331"/>
    <w:rsid w:val="00594356"/>
    <w:rsid w:val="0059498D"/>
    <w:rsid w:val="00594A7E"/>
    <w:rsid w:val="00594C82"/>
    <w:rsid w:val="00595014"/>
    <w:rsid w:val="005950BE"/>
    <w:rsid w:val="00595122"/>
    <w:rsid w:val="00595384"/>
    <w:rsid w:val="005954DB"/>
    <w:rsid w:val="00595785"/>
    <w:rsid w:val="00595B46"/>
    <w:rsid w:val="00595B8A"/>
    <w:rsid w:val="00595BCE"/>
    <w:rsid w:val="00595EF4"/>
    <w:rsid w:val="00596280"/>
    <w:rsid w:val="00596497"/>
    <w:rsid w:val="005964B4"/>
    <w:rsid w:val="005964FA"/>
    <w:rsid w:val="00596505"/>
    <w:rsid w:val="005965DF"/>
    <w:rsid w:val="00596783"/>
    <w:rsid w:val="00596897"/>
    <w:rsid w:val="00596990"/>
    <w:rsid w:val="00596A61"/>
    <w:rsid w:val="00596C94"/>
    <w:rsid w:val="00596F06"/>
    <w:rsid w:val="00596F20"/>
    <w:rsid w:val="005970C1"/>
    <w:rsid w:val="00597389"/>
    <w:rsid w:val="005975C9"/>
    <w:rsid w:val="0059777A"/>
    <w:rsid w:val="005978F2"/>
    <w:rsid w:val="00597A34"/>
    <w:rsid w:val="00597BB8"/>
    <w:rsid w:val="00597BFF"/>
    <w:rsid w:val="00597F5A"/>
    <w:rsid w:val="005A000C"/>
    <w:rsid w:val="005A004D"/>
    <w:rsid w:val="005A053C"/>
    <w:rsid w:val="005A09EB"/>
    <w:rsid w:val="005A0C38"/>
    <w:rsid w:val="005A0DB4"/>
    <w:rsid w:val="005A0DE8"/>
    <w:rsid w:val="005A0FA5"/>
    <w:rsid w:val="005A0FC9"/>
    <w:rsid w:val="005A10B2"/>
    <w:rsid w:val="005A110E"/>
    <w:rsid w:val="005A113C"/>
    <w:rsid w:val="005A1208"/>
    <w:rsid w:val="005A12D0"/>
    <w:rsid w:val="005A145C"/>
    <w:rsid w:val="005A198B"/>
    <w:rsid w:val="005A1AAF"/>
    <w:rsid w:val="005A1ABD"/>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517"/>
    <w:rsid w:val="005A3685"/>
    <w:rsid w:val="005A3887"/>
    <w:rsid w:val="005A3963"/>
    <w:rsid w:val="005A3CC2"/>
    <w:rsid w:val="005A40C9"/>
    <w:rsid w:val="005A40ED"/>
    <w:rsid w:val="005A426E"/>
    <w:rsid w:val="005A42AF"/>
    <w:rsid w:val="005A4686"/>
    <w:rsid w:val="005A4873"/>
    <w:rsid w:val="005A4DED"/>
    <w:rsid w:val="005A4E36"/>
    <w:rsid w:val="005A502A"/>
    <w:rsid w:val="005A5484"/>
    <w:rsid w:val="005A549A"/>
    <w:rsid w:val="005A574E"/>
    <w:rsid w:val="005A5C4E"/>
    <w:rsid w:val="005A5D17"/>
    <w:rsid w:val="005A5DC4"/>
    <w:rsid w:val="005A6097"/>
    <w:rsid w:val="005A60CD"/>
    <w:rsid w:val="005A6646"/>
    <w:rsid w:val="005A6765"/>
    <w:rsid w:val="005A6930"/>
    <w:rsid w:val="005A6A5C"/>
    <w:rsid w:val="005A6B04"/>
    <w:rsid w:val="005A6BF3"/>
    <w:rsid w:val="005A6D08"/>
    <w:rsid w:val="005A7012"/>
    <w:rsid w:val="005A7159"/>
    <w:rsid w:val="005A71D4"/>
    <w:rsid w:val="005A7228"/>
    <w:rsid w:val="005A76EA"/>
    <w:rsid w:val="005A77C1"/>
    <w:rsid w:val="005A7890"/>
    <w:rsid w:val="005A7998"/>
    <w:rsid w:val="005A79DC"/>
    <w:rsid w:val="005A7E0C"/>
    <w:rsid w:val="005B0213"/>
    <w:rsid w:val="005B0309"/>
    <w:rsid w:val="005B066B"/>
    <w:rsid w:val="005B0858"/>
    <w:rsid w:val="005B09AA"/>
    <w:rsid w:val="005B0A55"/>
    <w:rsid w:val="005B0D16"/>
    <w:rsid w:val="005B0E79"/>
    <w:rsid w:val="005B0F98"/>
    <w:rsid w:val="005B0FA9"/>
    <w:rsid w:val="005B126C"/>
    <w:rsid w:val="005B13DC"/>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BF"/>
    <w:rsid w:val="005B2AD7"/>
    <w:rsid w:val="005B2B72"/>
    <w:rsid w:val="005B2E72"/>
    <w:rsid w:val="005B372A"/>
    <w:rsid w:val="005B3B21"/>
    <w:rsid w:val="005B3C15"/>
    <w:rsid w:val="005B3CBE"/>
    <w:rsid w:val="005B416F"/>
    <w:rsid w:val="005B41F5"/>
    <w:rsid w:val="005B423B"/>
    <w:rsid w:val="005B44FA"/>
    <w:rsid w:val="005B464F"/>
    <w:rsid w:val="005B4906"/>
    <w:rsid w:val="005B56DF"/>
    <w:rsid w:val="005B593D"/>
    <w:rsid w:val="005B5C29"/>
    <w:rsid w:val="005B5EDD"/>
    <w:rsid w:val="005B5EE6"/>
    <w:rsid w:val="005B5F56"/>
    <w:rsid w:val="005B5FCC"/>
    <w:rsid w:val="005B6059"/>
    <w:rsid w:val="005B6069"/>
    <w:rsid w:val="005B607F"/>
    <w:rsid w:val="005B62C5"/>
    <w:rsid w:val="005B6465"/>
    <w:rsid w:val="005B65E0"/>
    <w:rsid w:val="005B6703"/>
    <w:rsid w:val="005B67D2"/>
    <w:rsid w:val="005B6947"/>
    <w:rsid w:val="005B69DC"/>
    <w:rsid w:val="005B6A22"/>
    <w:rsid w:val="005B6A81"/>
    <w:rsid w:val="005B6ADE"/>
    <w:rsid w:val="005B6B54"/>
    <w:rsid w:val="005B6DFC"/>
    <w:rsid w:val="005B6EBB"/>
    <w:rsid w:val="005B71A4"/>
    <w:rsid w:val="005B7264"/>
    <w:rsid w:val="005B72AB"/>
    <w:rsid w:val="005B7331"/>
    <w:rsid w:val="005B7363"/>
    <w:rsid w:val="005B747D"/>
    <w:rsid w:val="005B7816"/>
    <w:rsid w:val="005B783C"/>
    <w:rsid w:val="005B7B1E"/>
    <w:rsid w:val="005B7B28"/>
    <w:rsid w:val="005B7BC9"/>
    <w:rsid w:val="005C0079"/>
    <w:rsid w:val="005C00E5"/>
    <w:rsid w:val="005C014D"/>
    <w:rsid w:val="005C0151"/>
    <w:rsid w:val="005C01EE"/>
    <w:rsid w:val="005C052F"/>
    <w:rsid w:val="005C054E"/>
    <w:rsid w:val="005C06F2"/>
    <w:rsid w:val="005C080C"/>
    <w:rsid w:val="005C083E"/>
    <w:rsid w:val="005C0E45"/>
    <w:rsid w:val="005C12E7"/>
    <w:rsid w:val="005C1E29"/>
    <w:rsid w:val="005C1EAE"/>
    <w:rsid w:val="005C2149"/>
    <w:rsid w:val="005C2435"/>
    <w:rsid w:val="005C2533"/>
    <w:rsid w:val="005C27A2"/>
    <w:rsid w:val="005C292F"/>
    <w:rsid w:val="005C2B30"/>
    <w:rsid w:val="005C2CA5"/>
    <w:rsid w:val="005C2D7C"/>
    <w:rsid w:val="005C2F16"/>
    <w:rsid w:val="005C316C"/>
    <w:rsid w:val="005C3195"/>
    <w:rsid w:val="005C3A29"/>
    <w:rsid w:val="005C3AAA"/>
    <w:rsid w:val="005C3BC4"/>
    <w:rsid w:val="005C41B4"/>
    <w:rsid w:val="005C432F"/>
    <w:rsid w:val="005C4707"/>
    <w:rsid w:val="005C47A8"/>
    <w:rsid w:val="005C48A6"/>
    <w:rsid w:val="005C4A75"/>
    <w:rsid w:val="005C4BA9"/>
    <w:rsid w:val="005C4C32"/>
    <w:rsid w:val="005C4E82"/>
    <w:rsid w:val="005C51BF"/>
    <w:rsid w:val="005C544F"/>
    <w:rsid w:val="005C558F"/>
    <w:rsid w:val="005C5599"/>
    <w:rsid w:val="005C5859"/>
    <w:rsid w:val="005C58D8"/>
    <w:rsid w:val="005C590E"/>
    <w:rsid w:val="005C592E"/>
    <w:rsid w:val="005C5FB8"/>
    <w:rsid w:val="005C6000"/>
    <w:rsid w:val="005C607B"/>
    <w:rsid w:val="005C60F5"/>
    <w:rsid w:val="005C61E3"/>
    <w:rsid w:val="005C6290"/>
    <w:rsid w:val="005C6369"/>
    <w:rsid w:val="005C65CC"/>
    <w:rsid w:val="005C6A04"/>
    <w:rsid w:val="005C6A37"/>
    <w:rsid w:val="005C6A6D"/>
    <w:rsid w:val="005C6DD9"/>
    <w:rsid w:val="005C6E77"/>
    <w:rsid w:val="005C6EBE"/>
    <w:rsid w:val="005C70A7"/>
    <w:rsid w:val="005C74BB"/>
    <w:rsid w:val="005C7523"/>
    <w:rsid w:val="005C763F"/>
    <w:rsid w:val="005C7819"/>
    <w:rsid w:val="005C78C2"/>
    <w:rsid w:val="005C7BB3"/>
    <w:rsid w:val="005C7E15"/>
    <w:rsid w:val="005C7FC9"/>
    <w:rsid w:val="005D0051"/>
    <w:rsid w:val="005D0316"/>
    <w:rsid w:val="005D0338"/>
    <w:rsid w:val="005D085A"/>
    <w:rsid w:val="005D0B4D"/>
    <w:rsid w:val="005D0C35"/>
    <w:rsid w:val="005D0C64"/>
    <w:rsid w:val="005D0E14"/>
    <w:rsid w:val="005D10AB"/>
    <w:rsid w:val="005D130F"/>
    <w:rsid w:val="005D139C"/>
    <w:rsid w:val="005D18AA"/>
    <w:rsid w:val="005D19A6"/>
    <w:rsid w:val="005D1DE0"/>
    <w:rsid w:val="005D2331"/>
    <w:rsid w:val="005D25D7"/>
    <w:rsid w:val="005D260B"/>
    <w:rsid w:val="005D272A"/>
    <w:rsid w:val="005D2831"/>
    <w:rsid w:val="005D2AEB"/>
    <w:rsid w:val="005D2B48"/>
    <w:rsid w:val="005D2EBF"/>
    <w:rsid w:val="005D3311"/>
    <w:rsid w:val="005D3474"/>
    <w:rsid w:val="005D3984"/>
    <w:rsid w:val="005D3BB7"/>
    <w:rsid w:val="005D3C82"/>
    <w:rsid w:val="005D3DB4"/>
    <w:rsid w:val="005D3EB1"/>
    <w:rsid w:val="005D3F9C"/>
    <w:rsid w:val="005D3FF4"/>
    <w:rsid w:val="005D4363"/>
    <w:rsid w:val="005D43E3"/>
    <w:rsid w:val="005D47A3"/>
    <w:rsid w:val="005D4856"/>
    <w:rsid w:val="005D49F2"/>
    <w:rsid w:val="005D4CBF"/>
    <w:rsid w:val="005D4DCC"/>
    <w:rsid w:val="005D4F13"/>
    <w:rsid w:val="005D4FF5"/>
    <w:rsid w:val="005D545A"/>
    <w:rsid w:val="005D54BD"/>
    <w:rsid w:val="005D5734"/>
    <w:rsid w:val="005D57BA"/>
    <w:rsid w:val="005D57EB"/>
    <w:rsid w:val="005D58A9"/>
    <w:rsid w:val="005D5A28"/>
    <w:rsid w:val="005D5D00"/>
    <w:rsid w:val="005D5F11"/>
    <w:rsid w:val="005D6019"/>
    <w:rsid w:val="005D605A"/>
    <w:rsid w:val="005D6296"/>
    <w:rsid w:val="005D6382"/>
    <w:rsid w:val="005D63C6"/>
    <w:rsid w:val="005D64E6"/>
    <w:rsid w:val="005D65FD"/>
    <w:rsid w:val="005D6788"/>
    <w:rsid w:val="005D67F9"/>
    <w:rsid w:val="005D69AD"/>
    <w:rsid w:val="005D6BBD"/>
    <w:rsid w:val="005D6C26"/>
    <w:rsid w:val="005D6E0D"/>
    <w:rsid w:val="005D6E22"/>
    <w:rsid w:val="005D6F25"/>
    <w:rsid w:val="005D70ED"/>
    <w:rsid w:val="005D718E"/>
    <w:rsid w:val="005D7723"/>
    <w:rsid w:val="005D77D9"/>
    <w:rsid w:val="005D7829"/>
    <w:rsid w:val="005D790C"/>
    <w:rsid w:val="005D7AB9"/>
    <w:rsid w:val="005D7D0D"/>
    <w:rsid w:val="005D7D6D"/>
    <w:rsid w:val="005D7EE8"/>
    <w:rsid w:val="005E0223"/>
    <w:rsid w:val="005E0346"/>
    <w:rsid w:val="005E0446"/>
    <w:rsid w:val="005E075D"/>
    <w:rsid w:val="005E0AA6"/>
    <w:rsid w:val="005E0AB6"/>
    <w:rsid w:val="005E1123"/>
    <w:rsid w:val="005E134D"/>
    <w:rsid w:val="005E143E"/>
    <w:rsid w:val="005E14A0"/>
    <w:rsid w:val="005E1563"/>
    <w:rsid w:val="005E159C"/>
    <w:rsid w:val="005E15E1"/>
    <w:rsid w:val="005E16C0"/>
    <w:rsid w:val="005E176C"/>
    <w:rsid w:val="005E177A"/>
    <w:rsid w:val="005E1A8E"/>
    <w:rsid w:val="005E1CCE"/>
    <w:rsid w:val="005E2293"/>
    <w:rsid w:val="005E272B"/>
    <w:rsid w:val="005E2734"/>
    <w:rsid w:val="005E27C4"/>
    <w:rsid w:val="005E29B7"/>
    <w:rsid w:val="005E29CD"/>
    <w:rsid w:val="005E2A25"/>
    <w:rsid w:val="005E2E62"/>
    <w:rsid w:val="005E2E71"/>
    <w:rsid w:val="005E310A"/>
    <w:rsid w:val="005E3221"/>
    <w:rsid w:val="005E32DC"/>
    <w:rsid w:val="005E3430"/>
    <w:rsid w:val="005E3461"/>
    <w:rsid w:val="005E36EC"/>
    <w:rsid w:val="005E38ED"/>
    <w:rsid w:val="005E3B25"/>
    <w:rsid w:val="005E3B41"/>
    <w:rsid w:val="005E3C1D"/>
    <w:rsid w:val="005E3C86"/>
    <w:rsid w:val="005E3DF9"/>
    <w:rsid w:val="005E3E19"/>
    <w:rsid w:val="005E3EAF"/>
    <w:rsid w:val="005E3EE0"/>
    <w:rsid w:val="005E3FCF"/>
    <w:rsid w:val="005E4315"/>
    <w:rsid w:val="005E43B1"/>
    <w:rsid w:val="005E4478"/>
    <w:rsid w:val="005E44B5"/>
    <w:rsid w:val="005E45AF"/>
    <w:rsid w:val="005E48B0"/>
    <w:rsid w:val="005E4CBC"/>
    <w:rsid w:val="005E4CFC"/>
    <w:rsid w:val="005E4EF1"/>
    <w:rsid w:val="005E507E"/>
    <w:rsid w:val="005E5354"/>
    <w:rsid w:val="005E53B3"/>
    <w:rsid w:val="005E545D"/>
    <w:rsid w:val="005E54C7"/>
    <w:rsid w:val="005E564F"/>
    <w:rsid w:val="005E578A"/>
    <w:rsid w:val="005E58F7"/>
    <w:rsid w:val="005E5956"/>
    <w:rsid w:val="005E5960"/>
    <w:rsid w:val="005E5CE2"/>
    <w:rsid w:val="005E5EA2"/>
    <w:rsid w:val="005E5ED6"/>
    <w:rsid w:val="005E5F1F"/>
    <w:rsid w:val="005E5F35"/>
    <w:rsid w:val="005E5FE8"/>
    <w:rsid w:val="005E605F"/>
    <w:rsid w:val="005E61E5"/>
    <w:rsid w:val="005E64C6"/>
    <w:rsid w:val="005E6A22"/>
    <w:rsid w:val="005E6A71"/>
    <w:rsid w:val="005E6BF0"/>
    <w:rsid w:val="005E6D9B"/>
    <w:rsid w:val="005E6E80"/>
    <w:rsid w:val="005E72E9"/>
    <w:rsid w:val="005E72F1"/>
    <w:rsid w:val="005E7377"/>
    <w:rsid w:val="005E73BF"/>
    <w:rsid w:val="005E73F5"/>
    <w:rsid w:val="005E74BF"/>
    <w:rsid w:val="005E751A"/>
    <w:rsid w:val="005E7596"/>
    <w:rsid w:val="005E7691"/>
    <w:rsid w:val="005E76E0"/>
    <w:rsid w:val="005E7858"/>
    <w:rsid w:val="005E7A61"/>
    <w:rsid w:val="005E7C48"/>
    <w:rsid w:val="005E7CA6"/>
    <w:rsid w:val="005E7E0E"/>
    <w:rsid w:val="005F0034"/>
    <w:rsid w:val="005F017B"/>
    <w:rsid w:val="005F056F"/>
    <w:rsid w:val="005F07F1"/>
    <w:rsid w:val="005F09C7"/>
    <w:rsid w:val="005F0AF9"/>
    <w:rsid w:val="005F0E43"/>
    <w:rsid w:val="005F1000"/>
    <w:rsid w:val="005F1477"/>
    <w:rsid w:val="005F1537"/>
    <w:rsid w:val="005F15CC"/>
    <w:rsid w:val="005F15D3"/>
    <w:rsid w:val="005F160B"/>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824"/>
    <w:rsid w:val="005F3940"/>
    <w:rsid w:val="005F39A1"/>
    <w:rsid w:val="005F3AF9"/>
    <w:rsid w:val="005F3BFE"/>
    <w:rsid w:val="005F3E7C"/>
    <w:rsid w:val="005F3E83"/>
    <w:rsid w:val="005F40D6"/>
    <w:rsid w:val="005F4487"/>
    <w:rsid w:val="005F44FF"/>
    <w:rsid w:val="005F45E1"/>
    <w:rsid w:val="005F45EF"/>
    <w:rsid w:val="005F484C"/>
    <w:rsid w:val="005F49B8"/>
    <w:rsid w:val="005F4AA2"/>
    <w:rsid w:val="005F5018"/>
    <w:rsid w:val="005F515E"/>
    <w:rsid w:val="005F52FA"/>
    <w:rsid w:val="005F5330"/>
    <w:rsid w:val="005F536F"/>
    <w:rsid w:val="005F539E"/>
    <w:rsid w:val="005F57A1"/>
    <w:rsid w:val="005F58F2"/>
    <w:rsid w:val="005F5973"/>
    <w:rsid w:val="005F5B30"/>
    <w:rsid w:val="005F605A"/>
    <w:rsid w:val="005F60D3"/>
    <w:rsid w:val="005F6600"/>
    <w:rsid w:val="005F664F"/>
    <w:rsid w:val="005F6673"/>
    <w:rsid w:val="005F673B"/>
    <w:rsid w:val="005F6762"/>
    <w:rsid w:val="005F67C9"/>
    <w:rsid w:val="005F68D6"/>
    <w:rsid w:val="005F6974"/>
    <w:rsid w:val="005F6A68"/>
    <w:rsid w:val="005F6A6A"/>
    <w:rsid w:val="005F6AE2"/>
    <w:rsid w:val="005F6B3E"/>
    <w:rsid w:val="005F6D55"/>
    <w:rsid w:val="005F6DED"/>
    <w:rsid w:val="005F711A"/>
    <w:rsid w:val="005F7273"/>
    <w:rsid w:val="005F72BA"/>
    <w:rsid w:val="005F7750"/>
    <w:rsid w:val="005F79C4"/>
    <w:rsid w:val="005F79EA"/>
    <w:rsid w:val="005F7A95"/>
    <w:rsid w:val="005F7C33"/>
    <w:rsid w:val="005F7F01"/>
    <w:rsid w:val="0060023E"/>
    <w:rsid w:val="006003DD"/>
    <w:rsid w:val="006005B2"/>
    <w:rsid w:val="006005BD"/>
    <w:rsid w:val="00600BFA"/>
    <w:rsid w:val="00600C09"/>
    <w:rsid w:val="00600D69"/>
    <w:rsid w:val="00600DD6"/>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6D9"/>
    <w:rsid w:val="00602795"/>
    <w:rsid w:val="006027A6"/>
    <w:rsid w:val="006028D7"/>
    <w:rsid w:val="00602A84"/>
    <w:rsid w:val="00602B69"/>
    <w:rsid w:val="00602C40"/>
    <w:rsid w:val="00602DEA"/>
    <w:rsid w:val="00602E04"/>
    <w:rsid w:val="00603310"/>
    <w:rsid w:val="00603418"/>
    <w:rsid w:val="00603769"/>
    <w:rsid w:val="00603972"/>
    <w:rsid w:val="00603A1E"/>
    <w:rsid w:val="00603C80"/>
    <w:rsid w:val="00603EA2"/>
    <w:rsid w:val="00603F0F"/>
    <w:rsid w:val="006040F4"/>
    <w:rsid w:val="00604226"/>
    <w:rsid w:val="00604586"/>
    <w:rsid w:val="006049ED"/>
    <w:rsid w:val="00604A4B"/>
    <w:rsid w:val="0060503A"/>
    <w:rsid w:val="00605160"/>
    <w:rsid w:val="006052C3"/>
    <w:rsid w:val="0060537B"/>
    <w:rsid w:val="0060542D"/>
    <w:rsid w:val="00605571"/>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70CE"/>
    <w:rsid w:val="00607555"/>
    <w:rsid w:val="006076A7"/>
    <w:rsid w:val="00607782"/>
    <w:rsid w:val="00607917"/>
    <w:rsid w:val="00607E1C"/>
    <w:rsid w:val="00607EC8"/>
    <w:rsid w:val="0061027C"/>
    <w:rsid w:val="006102DC"/>
    <w:rsid w:val="006106B0"/>
    <w:rsid w:val="006108C3"/>
    <w:rsid w:val="006108FD"/>
    <w:rsid w:val="00610B2E"/>
    <w:rsid w:val="00610C86"/>
    <w:rsid w:val="00610D12"/>
    <w:rsid w:val="00610DC6"/>
    <w:rsid w:val="00610E4A"/>
    <w:rsid w:val="0061114A"/>
    <w:rsid w:val="00611206"/>
    <w:rsid w:val="00611311"/>
    <w:rsid w:val="00611698"/>
    <w:rsid w:val="00611A29"/>
    <w:rsid w:val="00611A37"/>
    <w:rsid w:val="00611E84"/>
    <w:rsid w:val="00612256"/>
    <w:rsid w:val="00612326"/>
    <w:rsid w:val="00612479"/>
    <w:rsid w:val="00612595"/>
    <w:rsid w:val="00612735"/>
    <w:rsid w:val="006127F9"/>
    <w:rsid w:val="006128D7"/>
    <w:rsid w:val="0061299F"/>
    <w:rsid w:val="00612E04"/>
    <w:rsid w:val="00612F3C"/>
    <w:rsid w:val="00613124"/>
    <w:rsid w:val="006132B3"/>
    <w:rsid w:val="00613380"/>
    <w:rsid w:val="00613579"/>
    <w:rsid w:val="00613617"/>
    <w:rsid w:val="006136A7"/>
    <w:rsid w:val="00613704"/>
    <w:rsid w:val="006137FF"/>
    <w:rsid w:val="0061399C"/>
    <w:rsid w:val="00613A9E"/>
    <w:rsid w:val="00613B40"/>
    <w:rsid w:val="00613B65"/>
    <w:rsid w:val="00613D43"/>
    <w:rsid w:val="00613FB2"/>
    <w:rsid w:val="006140FC"/>
    <w:rsid w:val="00614357"/>
    <w:rsid w:val="00614A0C"/>
    <w:rsid w:val="00614AE4"/>
    <w:rsid w:val="00614DA3"/>
    <w:rsid w:val="00614DDD"/>
    <w:rsid w:val="00614F54"/>
    <w:rsid w:val="00615089"/>
    <w:rsid w:val="006150F5"/>
    <w:rsid w:val="00615332"/>
    <w:rsid w:val="006155AD"/>
    <w:rsid w:val="006157F2"/>
    <w:rsid w:val="00615856"/>
    <w:rsid w:val="00615DF8"/>
    <w:rsid w:val="006160BA"/>
    <w:rsid w:val="0061667C"/>
    <w:rsid w:val="00616734"/>
    <w:rsid w:val="00616F41"/>
    <w:rsid w:val="00616F65"/>
    <w:rsid w:val="00616FFD"/>
    <w:rsid w:val="0061713A"/>
    <w:rsid w:val="0061736B"/>
    <w:rsid w:val="00617585"/>
    <w:rsid w:val="00617631"/>
    <w:rsid w:val="006176E3"/>
    <w:rsid w:val="006176F2"/>
    <w:rsid w:val="00617905"/>
    <w:rsid w:val="00617947"/>
    <w:rsid w:val="00617948"/>
    <w:rsid w:val="006179C3"/>
    <w:rsid w:val="006179CA"/>
    <w:rsid w:val="00617B9F"/>
    <w:rsid w:val="00617F6B"/>
    <w:rsid w:val="00617F70"/>
    <w:rsid w:val="006201D4"/>
    <w:rsid w:val="006204DD"/>
    <w:rsid w:val="00620629"/>
    <w:rsid w:val="0062067E"/>
    <w:rsid w:val="0062078D"/>
    <w:rsid w:val="006209C3"/>
    <w:rsid w:val="00620BA7"/>
    <w:rsid w:val="00620F17"/>
    <w:rsid w:val="00620F5F"/>
    <w:rsid w:val="00620F73"/>
    <w:rsid w:val="00620FF7"/>
    <w:rsid w:val="006212AE"/>
    <w:rsid w:val="00621369"/>
    <w:rsid w:val="006213AF"/>
    <w:rsid w:val="006216D8"/>
    <w:rsid w:val="006216F8"/>
    <w:rsid w:val="00621934"/>
    <w:rsid w:val="0062198B"/>
    <w:rsid w:val="00621A80"/>
    <w:rsid w:val="00621B84"/>
    <w:rsid w:val="00621C58"/>
    <w:rsid w:val="00622010"/>
    <w:rsid w:val="0062221B"/>
    <w:rsid w:val="006223B4"/>
    <w:rsid w:val="0062269E"/>
    <w:rsid w:val="0062284F"/>
    <w:rsid w:val="00622E09"/>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95"/>
    <w:rsid w:val="00623ADB"/>
    <w:rsid w:val="00623C64"/>
    <w:rsid w:val="00623EF9"/>
    <w:rsid w:val="006242CB"/>
    <w:rsid w:val="006245BA"/>
    <w:rsid w:val="00624790"/>
    <w:rsid w:val="00624AB1"/>
    <w:rsid w:val="00624B0B"/>
    <w:rsid w:val="00624B14"/>
    <w:rsid w:val="00624BFA"/>
    <w:rsid w:val="00624D9A"/>
    <w:rsid w:val="0062523B"/>
    <w:rsid w:val="006257FB"/>
    <w:rsid w:val="00625EF7"/>
    <w:rsid w:val="006264CB"/>
    <w:rsid w:val="00626507"/>
    <w:rsid w:val="00626657"/>
    <w:rsid w:val="0062677B"/>
    <w:rsid w:val="00626A5F"/>
    <w:rsid w:val="00626F60"/>
    <w:rsid w:val="00627192"/>
    <w:rsid w:val="0062748F"/>
    <w:rsid w:val="006274C4"/>
    <w:rsid w:val="006277E0"/>
    <w:rsid w:val="00627F09"/>
    <w:rsid w:val="0063001B"/>
    <w:rsid w:val="0063021E"/>
    <w:rsid w:val="006303A9"/>
    <w:rsid w:val="006304C5"/>
    <w:rsid w:val="00630566"/>
    <w:rsid w:val="006308ED"/>
    <w:rsid w:val="00630A6B"/>
    <w:rsid w:val="00630B3C"/>
    <w:rsid w:val="00630B5F"/>
    <w:rsid w:val="00630EBF"/>
    <w:rsid w:val="00631085"/>
    <w:rsid w:val="006310F1"/>
    <w:rsid w:val="006312EA"/>
    <w:rsid w:val="00631619"/>
    <w:rsid w:val="00631737"/>
    <w:rsid w:val="0063191B"/>
    <w:rsid w:val="00631972"/>
    <w:rsid w:val="00631AB8"/>
    <w:rsid w:val="006323B7"/>
    <w:rsid w:val="0063259F"/>
    <w:rsid w:val="006325E2"/>
    <w:rsid w:val="006326BB"/>
    <w:rsid w:val="00632704"/>
    <w:rsid w:val="00632AB8"/>
    <w:rsid w:val="00632C64"/>
    <w:rsid w:val="00632CED"/>
    <w:rsid w:val="00632D95"/>
    <w:rsid w:val="00632EE6"/>
    <w:rsid w:val="006330CB"/>
    <w:rsid w:val="0063362A"/>
    <w:rsid w:val="0063365A"/>
    <w:rsid w:val="00633A73"/>
    <w:rsid w:val="00633D85"/>
    <w:rsid w:val="00633ED5"/>
    <w:rsid w:val="0063404F"/>
    <w:rsid w:val="00634281"/>
    <w:rsid w:val="006342E8"/>
    <w:rsid w:val="00634349"/>
    <w:rsid w:val="0063435C"/>
    <w:rsid w:val="00634392"/>
    <w:rsid w:val="0063451C"/>
    <w:rsid w:val="0063458D"/>
    <w:rsid w:val="00634732"/>
    <w:rsid w:val="00634862"/>
    <w:rsid w:val="00634965"/>
    <w:rsid w:val="0063498E"/>
    <w:rsid w:val="006349DA"/>
    <w:rsid w:val="00634B1F"/>
    <w:rsid w:val="00634C11"/>
    <w:rsid w:val="00634CE1"/>
    <w:rsid w:val="00635003"/>
    <w:rsid w:val="00635264"/>
    <w:rsid w:val="00635661"/>
    <w:rsid w:val="006356D7"/>
    <w:rsid w:val="00635B62"/>
    <w:rsid w:val="00635BAD"/>
    <w:rsid w:val="00635BF3"/>
    <w:rsid w:val="00635F31"/>
    <w:rsid w:val="00635FB6"/>
    <w:rsid w:val="006364E1"/>
    <w:rsid w:val="00636616"/>
    <w:rsid w:val="0063682C"/>
    <w:rsid w:val="00636B35"/>
    <w:rsid w:val="006370B7"/>
    <w:rsid w:val="0063764E"/>
    <w:rsid w:val="00637750"/>
    <w:rsid w:val="00637836"/>
    <w:rsid w:val="00637937"/>
    <w:rsid w:val="006379E5"/>
    <w:rsid w:val="00637B28"/>
    <w:rsid w:val="00637ED5"/>
    <w:rsid w:val="00637F82"/>
    <w:rsid w:val="006400E2"/>
    <w:rsid w:val="0064058D"/>
    <w:rsid w:val="00640685"/>
    <w:rsid w:val="0064082C"/>
    <w:rsid w:val="0064095A"/>
    <w:rsid w:val="006409B0"/>
    <w:rsid w:val="00640C47"/>
    <w:rsid w:val="00640C67"/>
    <w:rsid w:val="00640D13"/>
    <w:rsid w:val="00640D46"/>
    <w:rsid w:val="00640EFC"/>
    <w:rsid w:val="006410FA"/>
    <w:rsid w:val="00641346"/>
    <w:rsid w:val="006416EA"/>
    <w:rsid w:val="00641BE0"/>
    <w:rsid w:val="00641C49"/>
    <w:rsid w:val="00642129"/>
    <w:rsid w:val="00642193"/>
    <w:rsid w:val="00642342"/>
    <w:rsid w:val="0064266E"/>
    <w:rsid w:val="006426BB"/>
    <w:rsid w:val="00642908"/>
    <w:rsid w:val="00642933"/>
    <w:rsid w:val="00642AD3"/>
    <w:rsid w:val="00642AF9"/>
    <w:rsid w:val="00642B4A"/>
    <w:rsid w:val="00642E35"/>
    <w:rsid w:val="00642FEB"/>
    <w:rsid w:val="00642FEF"/>
    <w:rsid w:val="0064300A"/>
    <w:rsid w:val="00643A6B"/>
    <w:rsid w:val="00643AA9"/>
    <w:rsid w:val="006441FC"/>
    <w:rsid w:val="00644291"/>
    <w:rsid w:val="0064430E"/>
    <w:rsid w:val="00644464"/>
    <w:rsid w:val="006445FF"/>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A06"/>
    <w:rsid w:val="00646D68"/>
    <w:rsid w:val="00646D6F"/>
    <w:rsid w:val="00646DD7"/>
    <w:rsid w:val="00646E60"/>
    <w:rsid w:val="00646EC6"/>
    <w:rsid w:val="00647242"/>
    <w:rsid w:val="00647459"/>
    <w:rsid w:val="006474C0"/>
    <w:rsid w:val="006475BF"/>
    <w:rsid w:val="00647794"/>
    <w:rsid w:val="0064785C"/>
    <w:rsid w:val="00647ACD"/>
    <w:rsid w:val="00647C0E"/>
    <w:rsid w:val="00650399"/>
    <w:rsid w:val="00650516"/>
    <w:rsid w:val="0065064A"/>
    <w:rsid w:val="00650662"/>
    <w:rsid w:val="006507EB"/>
    <w:rsid w:val="00650C92"/>
    <w:rsid w:val="00650CAD"/>
    <w:rsid w:val="00651284"/>
    <w:rsid w:val="0065132B"/>
    <w:rsid w:val="00651335"/>
    <w:rsid w:val="006513CF"/>
    <w:rsid w:val="0065140D"/>
    <w:rsid w:val="006515B1"/>
    <w:rsid w:val="006515FB"/>
    <w:rsid w:val="00651739"/>
    <w:rsid w:val="00651785"/>
    <w:rsid w:val="006517E1"/>
    <w:rsid w:val="00651CAB"/>
    <w:rsid w:val="00651CAD"/>
    <w:rsid w:val="006520AE"/>
    <w:rsid w:val="0065234A"/>
    <w:rsid w:val="00652457"/>
    <w:rsid w:val="00652497"/>
    <w:rsid w:val="006526E9"/>
    <w:rsid w:val="00652832"/>
    <w:rsid w:val="0065288C"/>
    <w:rsid w:val="00652A49"/>
    <w:rsid w:val="00652AE8"/>
    <w:rsid w:val="00652B97"/>
    <w:rsid w:val="00653383"/>
    <w:rsid w:val="0065338F"/>
    <w:rsid w:val="006536A2"/>
    <w:rsid w:val="00653B6E"/>
    <w:rsid w:val="00653D7E"/>
    <w:rsid w:val="00653EBD"/>
    <w:rsid w:val="006540D7"/>
    <w:rsid w:val="00654200"/>
    <w:rsid w:val="0065425D"/>
    <w:rsid w:val="0065428E"/>
    <w:rsid w:val="00654328"/>
    <w:rsid w:val="00654473"/>
    <w:rsid w:val="006548E0"/>
    <w:rsid w:val="00654C9C"/>
    <w:rsid w:val="00655443"/>
    <w:rsid w:val="0065597A"/>
    <w:rsid w:val="00655AC6"/>
    <w:rsid w:val="00655B08"/>
    <w:rsid w:val="00655CAE"/>
    <w:rsid w:val="00655D09"/>
    <w:rsid w:val="00655D7E"/>
    <w:rsid w:val="00655DE9"/>
    <w:rsid w:val="0065611C"/>
    <w:rsid w:val="0065617F"/>
    <w:rsid w:val="006562F6"/>
    <w:rsid w:val="00656388"/>
    <w:rsid w:val="0065646B"/>
    <w:rsid w:val="006567E5"/>
    <w:rsid w:val="00656F7F"/>
    <w:rsid w:val="006572EF"/>
    <w:rsid w:val="0065731F"/>
    <w:rsid w:val="00657414"/>
    <w:rsid w:val="0065764A"/>
    <w:rsid w:val="00657886"/>
    <w:rsid w:val="0065795E"/>
    <w:rsid w:val="00657B3B"/>
    <w:rsid w:val="00657DB0"/>
    <w:rsid w:val="00657F14"/>
    <w:rsid w:val="006601EA"/>
    <w:rsid w:val="00660316"/>
    <w:rsid w:val="006603B8"/>
    <w:rsid w:val="00660558"/>
    <w:rsid w:val="0066073A"/>
    <w:rsid w:val="00660812"/>
    <w:rsid w:val="00660838"/>
    <w:rsid w:val="006609AA"/>
    <w:rsid w:val="00660A47"/>
    <w:rsid w:val="00660B15"/>
    <w:rsid w:val="00660C42"/>
    <w:rsid w:val="00660EA1"/>
    <w:rsid w:val="006612DB"/>
    <w:rsid w:val="006612DF"/>
    <w:rsid w:val="0066157D"/>
    <w:rsid w:val="0066160D"/>
    <w:rsid w:val="00661E5A"/>
    <w:rsid w:val="00662007"/>
    <w:rsid w:val="006621DD"/>
    <w:rsid w:val="0066222F"/>
    <w:rsid w:val="00662404"/>
    <w:rsid w:val="00662574"/>
    <w:rsid w:val="006627AF"/>
    <w:rsid w:val="00662845"/>
    <w:rsid w:val="0066287A"/>
    <w:rsid w:val="00662888"/>
    <w:rsid w:val="006628AF"/>
    <w:rsid w:val="00662A25"/>
    <w:rsid w:val="00662B77"/>
    <w:rsid w:val="00662C81"/>
    <w:rsid w:val="00662EBB"/>
    <w:rsid w:val="00662FA0"/>
    <w:rsid w:val="00662FD5"/>
    <w:rsid w:val="0066313A"/>
    <w:rsid w:val="006632B1"/>
    <w:rsid w:val="0066354A"/>
    <w:rsid w:val="0066372E"/>
    <w:rsid w:val="006638E0"/>
    <w:rsid w:val="00663A47"/>
    <w:rsid w:val="00663D94"/>
    <w:rsid w:val="00663EDA"/>
    <w:rsid w:val="0066428E"/>
    <w:rsid w:val="0066477B"/>
    <w:rsid w:val="0066485E"/>
    <w:rsid w:val="00664B72"/>
    <w:rsid w:val="00664C82"/>
    <w:rsid w:val="00664E2F"/>
    <w:rsid w:val="0066512C"/>
    <w:rsid w:val="00665245"/>
    <w:rsid w:val="00665599"/>
    <w:rsid w:val="006655B1"/>
    <w:rsid w:val="0066569D"/>
    <w:rsid w:val="006656B3"/>
    <w:rsid w:val="006658BB"/>
    <w:rsid w:val="00665911"/>
    <w:rsid w:val="00665AA6"/>
    <w:rsid w:val="00665AFA"/>
    <w:rsid w:val="00666172"/>
    <w:rsid w:val="00666634"/>
    <w:rsid w:val="00666B44"/>
    <w:rsid w:val="00666BE1"/>
    <w:rsid w:val="00666C12"/>
    <w:rsid w:val="00666E16"/>
    <w:rsid w:val="00667153"/>
    <w:rsid w:val="0066717C"/>
    <w:rsid w:val="00667688"/>
    <w:rsid w:val="00667716"/>
    <w:rsid w:val="0066772B"/>
    <w:rsid w:val="006677F9"/>
    <w:rsid w:val="00670033"/>
    <w:rsid w:val="0067011A"/>
    <w:rsid w:val="00670124"/>
    <w:rsid w:val="00670250"/>
    <w:rsid w:val="0067026A"/>
    <w:rsid w:val="00670589"/>
    <w:rsid w:val="006705DD"/>
    <w:rsid w:val="00670650"/>
    <w:rsid w:val="00670666"/>
    <w:rsid w:val="006706E3"/>
    <w:rsid w:val="006707AD"/>
    <w:rsid w:val="006709EB"/>
    <w:rsid w:val="006709F4"/>
    <w:rsid w:val="00670CEE"/>
    <w:rsid w:val="00670D20"/>
    <w:rsid w:val="00670F90"/>
    <w:rsid w:val="00671596"/>
    <w:rsid w:val="00671720"/>
    <w:rsid w:val="006718A2"/>
    <w:rsid w:val="00671F4C"/>
    <w:rsid w:val="006721D9"/>
    <w:rsid w:val="006723A5"/>
    <w:rsid w:val="0067253E"/>
    <w:rsid w:val="00672540"/>
    <w:rsid w:val="0067268E"/>
    <w:rsid w:val="00672735"/>
    <w:rsid w:val="00672777"/>
    <w:rsid w:val="00672A39"/>
    <w:rsid w:val="00672A81"/>
    <w:rsid w:val="00672A82"/>
    <w:rsid w:val="00672BC8"/>
    <w:rsid w:val="00672E4A"/>
    <w:rsid w:val="00672E7A"/>
    <w:rsid w:val="006730CA"/>
    <w:rsid w:val="006732AC"/>
    <w:rsid w:val="00673350"/>
    <w:rsid w:val="006735A0"/>
    <w:rsid w:val="0067385A"/>
    <w:rsid w:val="00673B27"/>
    <w:rsid w:val="00673B40"/>
    <w:rsid w:val="00673BAE"/>
    <w:rsid w:val="00673E63"/>
    <w:rsid w:val="00673FC9"/>
    <w:rsid w:val="006741F3"/>
    <w:rsid w:val="00674252"/>
    <w:rsid w:val="00674532"/>
    <w:rsid w:val="0067463F"/>
    <w:rsid w:val="006748EB"/>
    <w:rsid w:val="00674B8F"/>
    <w:rsid w:val="00674CD8"/>
    <w:rsid w:val="00674E66"/>
    <w:rsid w:val="00674EBF"/>
    <w:rsid w:val="00674FD1"/>
    <w:rsid w:val="006750FF"/>
    <w:rsid w:val="00675141"/>
    <w:rsid w:val="0067515B"/>
    <w:rsid w:val="006754D9"/>
    <w:rsid w:val="006755B8"/>
    <w:rsid w:val="006755E2"/>
    <w:rsid w:val="00675601"/>
    <w:rsid w:val="00675785"/>
    <w:rsid w:val="00675927"/>
    <w:rsid w:val="00675C4E"/>
    <w:rsid w:val="00675DCC"/>
    <w:rsid w:val="00675EBE"/>
    <w:rsid w:val="00675FEF"/>
    <w:rsid w:val="00676172"/>
    <w:rsid w:val="0067621B"/>
    <w:rsid w:val="0067682C"/>
    <w:rsid w:val="00676854"/>
    <w:rsid w:val="00676C97"/>
    <w:rsid w:val="00676D68"/>
    <w:rsid w:val="00677154"/>
    <w:rsid w:val="0067729A"/>
    <w:rsid w:val="0067745A"/>
    <w:rsid w:val="00677624"/>
    <w:rsid w:val="00677630"/>
    <w:rsid w:val="00677699"/>
    <w:rsid w:val="00677CFD"/>
    <w:rsid w:val="00680167"/>
    <w:rsid w:val="00680279"/>
    <w:rsid w:val="006803A2"/>
    <w:rsid w:val="00680598"/>
    <w:rsid w:val="006806C4"/>
    <w:rsid w:val="00680915"/>
    <w:rsid w:val="00680A76"/>
    <w:rsid w:val="00680AB4"/>
    <w:rsid w:val="00680B11"/>
    <w:rsid w:val="00680B26"/>
    <w:rsid w:val="00680D94"/>
    <w:rsid w:val="00680E70"/>
    <w:rsid w:val="006810FC"/>
    <w:rsid w:val="0068111D"/>
    <w:rsid w:val="00681127"/>
    <w:rsid w:val="00681437"/>
    <w:rsid w:val="0068160E"/>
    <w:rsid w:val="00681728"/>
    <w:rsid w:val="006817D9"/>
    <w:rsid w:val="006818FB"/>
    <w:rsid w:val="00681AB4"/>
    <w:rsid w:val="00681EFE"/>
    <w:rsid w:val="006820F3"/>
    <w:rsid w:val="00682309"/>
    <w:rsid w:val="006825C6"/>
    <w:rsid w:val="00682767"/>
    <w:rsid w:val="00682881"/>
    <w:rsid w:val="006828C8"/>
    <w:rsid w:val="00682AE3"/>
    <w:rsid w:val="00682AE4"/>
    <w:rsid w:val="00682B00"/>
    <w:rsid w:val="00682B40"/>
    <w:rsid w:val="00682CE0"/>
    <w:rsid w:val="00682E0B"/>
    <w:rsid w:val="006830CD"/>
    <w:rsid w:val="006832C7"/>
    <w:rsid w:val="006834D5"/>
    <w:rsid w:val="0068350C"/>
    <w:rsid w:val="00683610"/>
    <w:rsid w:val="00683692"/>
    <w:rsid w:val="006837DC"/>
    <w:rsid w:val="00683895"/>
    <w:rsid w:val="006839A6"/>
    <w:rsid w:val="006839B6"/>
    <w:rsid w:val="00683C55"/>
    <w:rsid w:val="00683CB4"/>
    <w:rsid w:val="00683E5A"/>
    <w:rsid w:val="00683E8A"/>
    <w:rsid w:val="0068429A"/>
    <w:rsid w:val="0068434E"/>
    <w:rsid w:val="0068484F"/>
    <w:rsid w:val="00684868"/>
    <w:rsid w:val="00684A3D"/>
    <w:rsid w:val="00684E84"/>
    <w:rsid w:val="00684F09"/>
    <w:rsid w:val="0068532F"/>
    <w:rsid w:val="00685539"/>
    <w:rsid w:val="006855E6"/>
    <w:rsid w:val="0068562A"/>
    <w:rsid w:val="00685690"/>
    <w:rsid w:val="006858C3"/>
    <w:rsid w:val="00685C76"/>
    <w:rsid w:val="00685CA4"/>
    <w:rsid w:val="00685CBB"/>
    <w:rsid w:val="00685CE4"/>
    <w:rsid w:val="00685F8F"/>
    <w:rsid w:val="0068607D"/>
    <w:rsid w:val="006861F3"/>
    <w:rsid w:val="006861FE"/>
    <w:rsid w:val="0068625B"/>
    <w:rsid w:val="00686263"/>
    <w:rsid w:val="0068674C"/>
    <w:rsid w:val="0068680F"/>
    <w:rsid w:val="00686AFE"/>
    <w:rsid w:val="00686BA1"/>
    <w:rsid w:val="00686EA8"/>
    <w:rsid w:val="00686F4D"/>
    <w:rsid w:val="00686FD6"/>
    <w:rsid w:val="0068700C"/>
    <w:rsid w:val="00687053"/>
    <w:rsid w:val="006870C1"/>
    <w:rsid w:val="00687159"/>
    <w:rsid w:val="006872D0"/>
    <w:rsid w:val="00687488"/>
    <w:rsid w:val="00687CB9"/>
    <w:rsid w:val="00687F93"/>
    <w:rsid w:val="0069015B"/>
    <w:rsid w:val="006902E2"/>
    <w:rsid w:val="0069045A"/>
    <w:rsid w:val="0069085D"/>
    <w:rsid w:val="006909D1"/>
    <w:rsid w:val="00690AC7"/>
    <w:rsid w:val="00691058"/>
    <w:rsid w:val="00691133"/>
    <w:rsid w:val="006914B7"/>
    <w:rsid w:val="00691560"/>
    <w:rsid w:val="006918A2"/>
    <w:rsid w:val="006918F9"/>
    <w:rsid w:val="00691929"/>
    <w:rsid w:val="00691964"/>
    <w:rsid w:val="00691B8F"/>
    <w:rsid w:val="00691C87"/>
    <w:rsid w:val="00691D6E"/>
    <w:rsid w:val="00691DBD"/>
    <w:rsid w:val="00691EAB"/>
    <w:rsid w:val="006920B3"/>
    <w:rsid w:val="00692553"/>
    <w:rsid w:val="00692751"/>
    <w:rsid w:val="00692A6C"/>
    <w:rsid w:val="00692CB4"/>
    <w:rsid w:val="00692E62"/>
    <w:rsid w:val="00693275"/>
    <w:rsid w:val="006932EA"/>
    <w:rsid w:val="006934FA"/>
    <w:rsid w:val="0069365A"/>
    <w:rsid w:val="006936C3"/>
    <w:rsid w:val="00693781"/>
    <w:rsid w:val="006937A1"/>
    <w:rsid w:val="00693A1F"/>
    <w:rsid w:val="00693B19"/>
    <w:rsid w:val="00694097"/>
    <w:rsid w:val="006940C2"/>
    <w:rsid w:val="0069471E"/>
    <w:rsid w:val="006947AF"/>
    <w:rsid w:val="00694995"/>
    <w:rsid w:val="00694AD4"/>
    <w:rsid w:val="00694B7C"/>
    <w:rsid w:val="00694B92"/>
    <w:rsid w:val="00694C29"/>
    <w:rsid w:val="00694DB3"/>
    <w:rsid w:val="00694E73"/>
    <w:rsid w:val="0069539F"/>
    <w:rsid w:val="0069562A"/>
    <w:rsid w:val="00695932"/>
    <w:rsid w:val="00695976"/>
    <w:rsid w:val="00695AA3"/>
    <w:rsid w:val="00695D23"/>
    <w:rsid w:val="00695F20"/>
    <w:rsid w:val="0069602A"/>
    <w:rsid w:val="006960F1"/>
    <w:rsid w:val="006963CD"/>
    <w:rsid w:val="0069645A"/>
    <w:rsid w:val="006964B1"/>
    <w:rsid w:val="006965D1"/>
    <w:rsid w:val="006965F3"/>
    <w:rsid w:val="006967A0"/>
    <w:rsid w:val="006967AD"/>
    <w:rsid w:val="00696800"/>
    <w:rsid w:val="0069680C"/>
    <w:rsid w:val="006969E0"/>
    <w:rsid w:val="00696CD4"/>
    <w:rsid w:val="0069711C"/>
    <w:rsid w:val="00697148"/>
    <w:rsid w:val="00697307"/>
    <w:rsid w:val="006973CD"/>
    <w:rsid w:val="006979F8"/>
    <w:rsid w:val="00697E8D"/>
    <w:rsid w:val="00697FAA"/>
    <w:rsid w:val="00697FC0"/>
    <w:rsid w:val="006A027A"/>
    <w:rsid w:val="006A0492"/>
    <w:rsid w:val="006A0524"/>
    <w:rsid w:val="006A066D"/>
    <w:rsid w:val="006A0848"/>
    <w:rsid w:val="006A08E0"/>
    <w:rsid w:val="006A0C29"/>
    <w:rsid w:val="006A0C50"/>
    <w:rsid w:val="006A11BD"/>
    <w:rsid w:val="006A1229"/>
    <w:rsid w:val="006A1234"/>
    <w:rsid w:val="006A1269"/>
    <w:rsid w:val="006A1475"/>
    <w:rsid w:val="006A15E6"/>
    <w:rsid w:val="006A164F"/>
    <w:rsid w:val="006A165D"/>
    <w:rsid w:val="006A1922"/>
    <w:rsid w:val="006A1C1E"/>
    <w:rsid w:val="006A1C4A"/>
    <w:rsid w:val="006A20F7"/>
    <w:rsid w:val="006A2461"/>
    <w:rsid w:val="006A26FF"/>
    <w:rsid w:val="006A2F60"/>
    <w:rsid w:val="006A307C"/>
    <w:rsid w:val="006A3149"/>
    <w:rsid w:val="006A31E5"/>
    <w:rsid w:val="006A3264"/>
    <w:rsid w:val="006A3562"/>
    <w:rsid w:val="006A3AB5"/>
    <w:rsid w:val="006A3BF9"/>
    <w:rsid w:val="006A3C07"/>
    <w:rsid w:val="006A3C32"/>
    <w:rsid w:val="006A40DB"/>
    <w:rsid w:val="006A42A2"/>
    <w:rsid w:val="006A437A"/>
    <w:rsid w:val="006A46C4"/>
    <w:rsid w:val="006A4767"/>
    <w:rsid w:val="006A4C98"/>
    <w:rsid w:val="006A4D42"/>
    <w:rsid w:val="006A516A"/>
    <w:rsid w:val="006A55E3"/>
    <w:rsid w:val="006A568B"/>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F1A"/>
    <w:rsid w:val="006A74B5"/>
    <w:rsid w:val="006A74FD"/>
    <w:rsid w:val="006A75CE"/>
    <w:rsid w:val="006A78EA"/>
    <w:rsid w:val="006A7980"/>
    <w:rsid w:val="006A7BBD"/>
    <w:rsid w:val="006A7EC9"/>
    <w:rsid w:val="006A7ED9"/>
    <w:rsid w:val="006B00AA"/>
    <w:rsid w:val="006B00D2"/>
    <w:rsid w:val="006B0220"/>
    <w:rsid w:val="006B0266"/>
    <w:rsid w:val="006B03D2"/>
    <w:rsid w:val="006B07F1"/>
    <w:rsid w:val="006B07F6"/>
    <w:rsid w:val="006B09B6"/>
    <w:rsid w:val="006B0BBD"/>
    <w:rsid w:val="006B0DC7"/>
    <w:rsid w:val="006B0EBA"/>
    <w:rsid w:val="006B0EF5"/>
    <w:rsid w:val="006B1ADC"/>
    <w:rsid w:val="006B1BAF"/>
    <w:rsid w:val="006B1D27"/>
    <w:rsid w:val="006B1E38"/>
    <w:rsid w:val="006B1E3A"/>
    <w:rsid w:val="006B1FFC"/>
    <w:rsid w:val="006B2507"/>
    <w:rsid w:val="006B251C"/>
    <w:rsid w:val="006B257F"/>
    <w:rsid w:val="006B2A67"/>
    <w:rsid w:val="006B2B9F"/>
    <w:rsid w:val="006B2BA9"/>
    <w:rsid w:val="006B2C98"/>
    <w:rsid w:val="006B2CF0"/>
    <w:rsid w:val="006B2E9E"/>
    <w:rsid w:val="006B2EE4"/>
    <w:rsid w:val="006B2FD9"/>
    <w:rsid w:val="006B32B6"/>
    <w:rsid w:val="006B32F9"/>
    <w:rsid w:val="006B33ED"/>
    <w:rsid w:val="006B3469"/>
    <w:rsid w:val="006B3699"/>
    <w:rsid w:val="006B392C"/>
    <w:rsid w:val="006B3B4C"/>
    <w:rsid w:val="006B3BE7"/>
    <w:rsid w:val="006B3BF2"/>
    <w:rsid w:val="006B3D20"/>
    <w:rsid w:val="006B3D7C"/>
    <w:rsid w:val="006B3E32"/>
    <w:rsid w:val="006B428C"/>
    <w:rsid w:val="006B460B"/>
    <w:rsid w:val="006B46B9"/>
    <w:rsid w:val="006B4936"/>
    <w:rsid w:val="006B4965"/>
    <w:rsid w:val="006B49C0"/>
    <w:rsid w:val="006B4AD4"/>
    <w:rsid w:val="006B4B64"/>
    <w:rsid w:val="006B4C21"/>
    <w:rsid w:val="006B4FD5"/>
    <w:rsid w:val="006B52F7"/>
    <w:rsid w:val="006B53C5"/>
    <w:rsid w:val="006B5725"/>
    <w:rsid w:val="006B5A44"/>
    <w:rsid w:val="006B5B82"/>
    <w:rsid w:val="006B6270"/>
    <w:rsid w:val="006B63B5"/>
    <w:rsid w:val="006B65D9"/>
    <w:rsid w:val="006B66A9"/>
    <w:rsid w:val="006B6A31"/>
    <w:rsid w:val="006B7163"/>
    <w:rsid w:val="006B7604"/>
    <w:rsid w:val="006B76CA"/>
    <w:rsid w:val="006B773A"/>
    <w:rsid w:val="006B79B3"/>
    <w:rsid w:val="006B7E09"/>
    <w:rsid w:val="006B7E98"/>
    <w:rsid w:val="006C0181"/>
    <w:rsid w:val="006C01DD"/>
    <w:rsid w:val="006C02FA"/>
    <w:rsid w:val="006C056D"/>
    <w:rsid w:val="006C05F3"/>
    <w:rsid w:val="006C06B1"/>
    <w:rsid w:val="006C08CB"/>
    <w:rsid w:val="006C09AB"/>
    <w:rsid w:val="006C0B64"/>
    <w:rsid w:val="006C154C"/>
    <w:rsid w:val="006C1560"/>
    <w:rsid w:val="006C17BD"/>
    <w:rsid w:val="006C18BF"/>
    <w:rsid w:val="006C19F3"/>
    <w:rsid w:val="006C1BFF"/>
    <w:rsid w:val="006C1CBA"/>
    <w:rsid w:val="006C1D22"/>
    <w:rsid w:val="006C1DEF"/>
    <w:rsid w:val="006C1E07"/>
    <w:rsid w:val="006C1F18"/>
    <w:rsid w:val="006C1F27"/>
    <w:rsid w:val="006C2065"/>
    <w:rsid w:val="006C22DD"/>
    <w:rsid w:val="006C2342"/>
    <w:rsid w:val="006C2363"/>
    <w:rsid w:val="006C25EF"/>
    <w:rsid w:val="006C263B"/>
    <w:rsid w:val="006C2A30"/>
    <w:rsid w:val="006C2B35"/>
    <w:rsid w:val="006C2D4E"/>
    <w:rsid w:val="006C2F2A"/>
    <w:rsid w:val="006C3052"/>
    <w:rsid w:val="006C315E"/>
    <w:rsid w:val="006C32BF"/>
    <w:rsid w:val="006C3379"/>
    <w:rsid w:val="006C3588"/>
    <w:rsid w:val="006C35A1"/>
    <w:rsid w:val="006C37C0"/>
    <w:rsid w:val="006C3B08"/>
    <w:rsid w:val="006C3CAF"/>
    <w:rsid w:val="006C3E10"/>
    <w:rsid w:val="006C3E6D"/>
    <w:rsid w:val="006C4070"/>
    <w:rsid w:val="006C4103"/>
    <w:rsid w:val="006C42AD"/>
    <w:rsid w:val="006C437F"/>
    <w:rsid w:val="006C4388"/>
    <w:rsid w:val="006C468A"/>
    <w:rsid w:val="006C4916"/>
    <w:rsid w:val="006C4948"/>
    <w:rsid w:val="006C49EA"/>
    <w:rsid w:val="006C4A64"/>
    <w:rsid w:val="006C4B8B"/>
    <w:rsid w:val="006C4C40"/>
    <w:rsid w:val="006C5195"/>
    <w:rsid w:val="006C51E9"/>
    <w:rsid w:val="006C529D"/>
    <w:rsid w:val="006C53ED"/>
    <w:rsid w:val="006C55BB"/>
    <w:rsid w:val="006C563F"/>
    <w:rsid w:val="006C56F3"/>
    <w:rsid w:val="006C570D"/>
    <w:rsid w:val="006C5726"/>
    <w:rsid w:val="006C5881"/>
    <w:rsid w:val="006C59A1"/>
    <w:rsid w:val="006C5A46"/>
    <w:rsid w:val="006C5A8B"/>
    <w:rsid w:val="006C5BA4"/>
    <w:rsid w:val="006C5CCA"/>
    <w:rsid w:val="006C5F0A"/>
    <w:rsid w:val="006C607A"/>
    <w:rsid w:val="006C6109"/>
    <w:rsid w:val="006C6110"/>
    <w:rsid w:val="006C636D"/>
    <w:rsid w:val="006C6376"/>
    <w:rsid w:val="006C6C5E"/>
    <w:rsid w:val="006C6D28"/>
    <w:rsid w:val="006C6E47"/>
    <w:rsid w:val="006C704C"/>
    <w:rsid w:val="006C7073"/>
    <w:rsid w:val="006C70F3"/>
    <w:rsid w:val="006C7224"/>
    <w:rsid w:val="006C729A"/>
    <w:rsid w:val="006C73E8"/>
    <w:rsid w:val="006C7747"/>
    <w:rsid w:val="006C78D7"/>
    <w:rsid w:val="006C7B28"/>
    <w:rsid w:val="006C7BF9"/>
    <w:rsid w:val="006C7C2A"/>
    <w:rsid w:val="006C7C2B"/>
    <w:rsid w:val="006C7C56"/>
    <w:rsid w:val="006D0016"/>
    <w:rsid w:val="006D005D"/>
    <w:rsid w:val="006D0365"/>
    <w:rsid w:val="006D037A"/>
    <w:rsid w:val="006D0538"/>
    <w:rsid w:val="006D074F"/>
    <w:rsid w:val="006D08C8"/>
    <w:rsid w:val="006D0953"/>
    <w:rsid w:val="006D1207"/>
    <w:rsid w:val="006D129B"/>
    <w:rsid w:val="006D15B1"/>
    <w:rsid w:val="006D1809"/>
    <w:rsid w:val="006D1816"/>
    <w:rsid w:val="006D19A7"/>
    <w:rsid w:val="006D1E7A"/>
    <w:rsid w:val="006D1F19"/>
    <w:rsid w:val="006D1F62"/>
    <w:rsid w:val="006D1FB5"/>
    <w:rsid w:val="006D2731"/>
    <w:rsid w:val="006D27D0"/>
    <w:rsid w:val="006D2872"/>
    <w:rsid w:val="006D2B20"/>
    <w:rsid w:val="006D2C13"/>
    <w:rsid w:val="006D2DFA"/>
    <w:rsid w:val="006D314D"/>
    <w:rsid w:val="006D31A7"/>
    <w:rsid w:val="006D324D"/>
    <w:rsid w:val="006D332C"/>
    <w:rsid w:val="006D3505"/>
    <w:rsid w:val="006D35E2"/>
    <w:rsid w:val="006D3699"/>
    <w:rsid w:val="006D380F"/>
    <w:rsid w:val="006D3A7E"/>
    <w:rsid w:val="006D3B47"/>
    <w:rsid w:val="006D4157"/>
    <w:rsid w:val="006D4431"/>
    <w:rsid w:val="006D456E"/>
    <w:rsid w:val="006D46F4"/>
    <w:rsid w:val="006D4711"/>
    <w:rsid w:val="006D473C"/>
    <w:rsid w:val="006D4A66"/>
    <w:rsid w:val="006D4DC0"/>
    <w:rsid w:val="006D4F9C"/>
    <w:rsid w:val="006D4FD5"/>
    <w:rsid w:val="006D501D"/>
    <w:rsid w:val="006D50FA"/>
    <w:rsid w:val="006D55FC"/>
    <w:rsid w:val="006D5939"/>
    <w:rsid w:val="006D5A43"/>
    <w:rsid w:val="006D5B71"/>
    <w:rsid w:val="006D5C21"/>
    <w:rsid w:val="006D628E"/>
    <w:rsid w:val="006D650A"/>
    <w:rsid w:val="006D664A"/>
    <w:rsid w:val="006D6748"/>
    <w:rsid w:val="006D6A8B"/>
    <w:rsid w:val="006D6B33"/>
    <w:rsid w:val="006D6D95"/>
    <w:rsid w:val="006D6DD0"/>
    <w:rsid w:val="006D6EDE"/>
    <w:rsid w:val="006D6EF9"/>
    <w:rsid w:val="006D6F0F"/>
    <w:rsid w:val="006D7008"/>
    <w:rsid w:val="006D7189"/>
    <w:rsid w:val="006D724D"/>
    <w:rsid w:val="006D72D2"/>
    <w:rsid w:val="006D748F"/>
    <w:rsid w:val="006D75A7"/>
    <w:rsid w:val="006D76E4"/>
    <w:rsid w:val="006D7908"/>
    <w:rsid w:val="006D7C4D"/>
    <w:rsid w:val="006D7C76"/>
    <w:rsid w:val="006D7D8C"/>
    <w:rsid w:val="006D7DAA"/>
    <w:rsid w:val="006E005B"/>
    <w:rsid w:val="006E019B"/>
    <w:rsid w:val="006E01F6"/>
    <w:rsid w:val="006E038B"/>
    <w:rsid w:val="006E03C7"/>
    <w:rsid w:val="006E04D3"/>
    <w:rsid w:val="006E08DE"/>
    <w:rsid w:val="006E0A63"/>
    <w:rsid w:val="006E0AD4"/>
    <w:rsid w:val="006E0DE7"/>
    <w:rsid w:val="006E11A7"/>
    <w:rsid w:val="006E11ED"/>
    <w:rsid w:val="006E12B9"/>
    <w:rsid w:val="006E148D"/>
    <w:rsid w:val="006E14AC"/>
    <w:rsid w:val="006E1583"/>
    <w:rsid w:val="006E16CF"/>
    <w:rsid w:val="006E171C"/>
    <w:rsid w:val="006E18ED"/>
    <w:rsid w:val="006E1AD5"/>
    <w:rsid w:val="006E1DEF"/>
    <w:rsid w:val="006E1E35"/>
    <w:rsid w:val="006E1FC4"/>
    <w:rsid w:val="006E205B"/>
    <w:rsid w:val="006E2164"/>
    <w:rsid w:val="006E26E0"/>
    <w:rsid w:val="006E277F"/>
    <w:rsid w:val="006E28F5"/>
    <w:rsid w:val="006E29F4"/>
    <w:rsid w:val="006E2A15"/>
    <w:rsid w:val="006E2E21"/>
    <w:rsid w:val="006E2EAA"/>
    <w:rsid w:val="006E2F91"/>
    <w:rsid w:val="006E2FA5"/>
    <w:rsid w:val="006E3000"/>
    <w:rsid w:val="006E3051"/>
    <w:rsid w:val="006E3279"/>
    <w:rsid w:val="006E32C1"/>
    <w:rsid w:val="006E3393"/>
    <w:rsid w:val="006E3448"/>
    <w:rsid w:val="006E348D"/>
    <w:rsid w:val="006E3604"/>
    <w:rsid w:val="006E3977"/>
    <w:rsid w:val="006E3BD7"/>
    <w:rsid w:val="006E3D0D"/>
    <w:rsid w:val="006E3D23"/>
    <w:rsid w:val="006E405A"/>
    <w:rsid w:val="006E41E7"/>
    <w:rsid w:val="006E4580"/>
    <w:rsid w:val="006E45EF"/>
    <w:rsid w:val="006E4866"/>
    <w:rsid w:val="006E49AD"/>
    <w:rsid w:val="006E4D13"/>
    <w:rsid w:val="006E4D30"/>
    <w:rsid w:val="006E4E39"/>
    <w:rsid w:val="006E5176"/>
    <w:rsid w:val="006E554C"/>
    <w:rsid w:val="006E55B5"/>
    <w:rsid w:val="006E56E1"/>
    <w:rsid w:val="006E57CB"/>
    <w:rsid w:val="006E5B49"/>
    <w:rsid w:val="006E5BAB"/>
    <w:rsid w:val="006E5CAE"/>
    <w:rsid w:val="006E5DAC"/>
    <w:rsid w:val="006E5DF1"/>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6BC"/>
    <w:rsid w:val="006F0724"/>
    <w:rsid w:val="006F0865"/>
    <w:rsid w:val="006F09AC"/>
    <w:rsid w:val="006F0AC3"/>
    <w:rsid w:val="006F0CAC"/>
    <w:rsid w:val="006F0CCE"/>
    <w:rsid w:val="006F0FE4"/>
    <w:rsid w:val="006F15F5"/>
    <w:rsid w:val="006F166E"/>
    <w:rsid w:val="006F17C9"/>
    <w:rsid w:val="006F18F9"/>
    <w:rsid w:val="006F1A33"/>
    <w:rsid w:val="006F1AB6"/>
    <w:rsid w:val="006F1BAB"/>
    <w:rsid w:val="006F1D2E"/>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3E3"/>
    <w:rsid w:val="006F3617"/>
    <w:rsid w:val="006F36D2"/>
    <w:rsid w:val="006F370C"/>
    <w:rsid w:val="006F3888"/>
    <w:rsid w:val="006F3B10"/>
    <w:rsid w:val="006F3BD5"/>
    <w:rsid w:val="006F3C39"/>
    <w:rsid w:val="006F4016"/>
    <w:rsid w:val="006F40AE"/>
    <w:rsid w:val="006F40EA"/>
    <w:rsid w:val="006F4207"/>
    <w:rsid w:val="006F4211"/>
    <w:rsid w:val="006F4228"/>
    <w:rsid w:val="006F452A"/>
    <w:rsid w:val="006F4590"/>
    <w:rsid w:val="006F46A0"/>
    <w:rsid w:val="006F4823"/>
    <w:rsid w:val="006F48EE"/>
    <w:rsid w:val="006F4CFD"/>
    <w:rsid w:val="006F4D55"/>
    <w:rsid w:val="006F4D9A"/>
    <w:rsid w:val="006F4F0A"/>
    <w:rsid w:val="006F4FE2"/>
    <w:rsid w:val="006F5095"/>
    <w:rsid w:val="006F50F7"/>
    <w:rsid w:val="006F545A"/>
    <w:rsid w:val="006F54BE"/>
    <w:rsid w:val="006F5563"/>
    <w:rsid w:val="006F5614"/>
    <w:rsid w:val="006F57FD"/>
    <w:rsid w:val="006F5803"/>
    <w:rsid w:val="006F596C"/>
    <w:rsid w:val="006F5C85"/>
    <w:rsid w:val="006F5DC7"/>
    <w:rsid w:val="006F5E5C"/>
    <w:rsid w:val="006F61E4"/>
    <w:rsid w:val="006F6272"/>
    <w:rsid w:val="006F62AF"/>
    <w:rsid w:val="006F62EE"/>
    <w:rsid w:val="006F640F"/>
    <w:rsid w:val="006F661A"/>
    <w:rsid w:val="006F66A1"/>
    <w:rsid w:val="006F67D6"/>
    <w:rsid w:val="006F68D9"/>
    <w:rsid w:val="006F695E"/>
    <w:rsid w:val="006F6A92"/>
    <w:rsid w:val="006F6CEF"/>
    <w:rsid w:val="006F70DD"/>
    <w:rsid w:val="006F7296"/>
    <w:rsid w:val="006F7350"/>
    <w:rsid w:val="006F7663"/>
    <w:rsid w:val="006F76CA"/>
    <w:rsid w:val="006F7C73"/>
    <w:rsid w:val="006F7D1F"/>
    <w:rsid w:val="006F7D45"/>
    <w:rsid w:val="00700239"/>
    <w:rsid w:val="00700405"/>
    <w:rsid w:val="00700603"/>
    <w:rsid w:val="007008E1"/>
    <w:rsid w:val="0070090D"/>
    <w:rsid w:val="00700E59"/>
    <w:rsid w:val="007012EC"/>
    <w:rsid w:val="0070143D"/>
    <w:rsid w:val="00701B3E"/>
    <w:rsid w:val="00701BCD"/>
    <w:rsid w:val="00701C5B"/>
    <w:rsid w:val="00701DCC"/>
    <w:rsid w:val="00701F90"/>
    <w:rsid w:val="00702015"/>
    <w:rsid w:val="007021C7"/>
    <w:rsid w:val="007022D4"/>
    <w:rsid w:val="007023CE"/>
    <w:rsid w:val="00702705"/>
    <w:rsid w:val="0070281B"/>
    <w:rsid w:val="007028C2"/>
    <w:rsid w:val="00702BFD"/>
    <w:rsid w:val="00702DD4"/>
    <w:rsid w:val="00703075"/>
    <w:rsid w:val="007031DB"/>
    <w:rsid w:val="007033A3"/>
    <w:rsid w:val="0070347D"/>
    <w:rsid w:val="007035A3"/>
    <w:rsid w:val="0070370E"/>
    <w:rsid w:val="00703A06"/>
    <w:rsid w:val="00703D82"/>
    <w:rsid w:val="00703E40"/>
    <w:rsid w:val="00704077"/>
    <w:rsid w:val="007040A7"/>
    <w:rsid w:val="007042A6"/>
    <w:rsid w:val="007042B3"/>
    <w:rsid w:val="007042F9"/>
    <w:rsid w:val="0070444F"/>
    <w:rsid w:val="007044F3"/>
    <w:rsid w:val="00704663"/>
    <w:rsid w:val="0070491C"/>
    <w:rsid w:val="00704B03"/>
    <w:rsid w:val="00704C2B"/>
    <w:rsid w:val="00704CC1"/>
    <w:rsid w:val="00704E5D"/>
    <w:rsid w:val="00704F2D"/>
    <w:rsid w:val="00704FB3"/>
    <w:rsid w:val="007050AE"/>
    <w:rsid w:val="00705189"/>
    <w:rsid w:val="007051E4"/>
    <w:rsid w:val="007056D3"/>
    <w:rsid w:val="0070575E"/>
    <w:rsid w:val="007058EF"/>
    <w:rsid w:val="007058F4"/>
    <w:rsid w:val="00705991"/>
    <w:rsid w:val="00705999"/>
    <w:rsid w:val="00705B56"/>
    <w:rsid w:val="00705C68"/>
    <w:rsid w:val="00705DDE"/>
    <w:rsid w:val="00705E11"/>
    <w:rsid w:val="00705FA8"/>
    <w:rsid w:val="00706053"/>
    <w:rsid w:val="0070620A"/>
    <w:rsid w:val="0070652F"/>
    <w:rsid w:val="007066E6"/>
    <w:rsid w:val="007069B7"/>
    <w:rsid w:val="00706A01"/>
    <w:rsid w:val="00706AD6"/>
    <w:rsid w:val="00706B37"/>
    <w:rsid w:val="00706B70"/>
    <w:rsid w:val="00706CCB"/>
    <w:rsid w:val="00706EE3"/>
    <w:rsid w:val="0070703F"/>
    <w:rsid w:val="007070D1"/>
    <w:rsid w:val="007072DF"/>
    <w:rsid w:val="007074DC"/>
    <w:rsid w:val="007075A8"/>
    <w:rsid w:val="0070783C"/>
    <w:rsid w:val="00707AE5"/>
    <w:rsid w:val="00707BE9"/>
    <w:rsid w:val="00707D38"/>
    <w:rsid w:val="00707ED9"/>
    <w:rsid w:val="00707FD8"/>
    <w:rsid w:val="007100CB"/>
    <w:rsid w:val="0071012F"/>
    <w:rsid w:val="00710321"/>
    <w:rsid w:val="007108E1"/>
    <w:rsid w:val="00710A62"/>
    <w:rsid w:val="00710EB4"/>
    <w:rsid w:val="00710F90"/>
    <w:rsid w:val="00711115"/>
    <w:rsid w:val="00711328"/>
    <w:rsid w:val="007116BA"/>
    <w:rsid w:val="00711897"/>
    <w:rsid w:val="007119A3"/>
    <w:rsid w:val="007119D0"/>
    <w:rsid w:val="00711F33"/>
    <w:rsid w:val="00711FA8"/>
    <w:rsid w:val="0071206A"/>
    <w:rsid w:val="00712339"/>
    <w:rsid w:val="00712425"/>
    <w:rsid w:val="00712540"/>
    <w:rsid w:val="0071257E"/>
    <w:rsid w:val="0071273F"/>
    <w:rsid w:val="0071276D"/>
    <w:rsid w:val="007127C5"/>
    <w:rsid w:val="00712983"/>
    <w:rsid w:val="007129B4"/>
    <w:rsid w:val="00712A6D"/>
    <w:rsid w:val="00712AA7"/>
    <w:rsid w:val="00712B23"/>
    <w:rsid w:val="00712C23"/>
    <w:rsid w:val="007131A7"/>
    <w:rsid w:val="00713377"/>
    <w:rsid w:val="00713421"/>
    <w:rsid w:val="00713512"/>
    <w:rsid w:val="0071380B"/>
    <w:rsid w:val="0071387C"/>
    <w:rsid w:val="007139BB"/>
    <w:rsid w:val="00713B3C"/>
    <w:rsid w:val="00713BF2"/>
    <w:rsid w:val="00713DE7"/>
    <w:rsid w:val="00713DFB"/>
    <w:rsid w:val="00713EAD"/>
    <w:rsid w:val="00713F1D"/>
    <w:rsid w:val="00713F8C"/>
    <w:rsid w:val="007145BE"/>
    <w:rsid w:val="007148C3"/>
    <w:rsid w:val="00714B0F"/>
    <w:rsid w:val="00714B2D"/>
    <w:rsid w:val="00714C9F"/>
    <w:rsid w:val="00714F36"/>
    <w:rsid w:val="00715B9B"/>
    <w:rsid w:val="00715CFB"/>
    <w:rsid w:val="00715D81"/>
    <w:rsid w:val="00715FCE"/>
    <w:rsid w:val="00716041"/>
    <w:rsid w:val="00716221"/>
    <w:rsid w:val="0071624D"/>
    <w:rsid w:val="00716305"/>
    <w:rsid w:val="00716485"/>
    <w:rsid w:val="007164DB"/>
    <w:rsid w:val="00716532"/>
    <w:rsid w:val="007165C0"/>
    <w:rsid w:val="007167B1"/>
    <w:rsid w:val="007167ED"/>
    <w:rsid w:val="00716A83"/>
    <w:rsid w:val="00716ABB"/>
    <w:rsid w:val="00716BB0"/>
    <w:rsid w:val="00716CA8"/>
    <w:rsid w:val="00716CB1"/>
    <w:rsid w:val="00716CF9"/>
    <w:rsid w:val="00716D6B"/>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52"/>
    <w:rsid w:val="00721741"/>
    <w:rsid w:val="007218C0"/>
    <w:rsid w:val="00721927"/>
    <w:rsid w:val="00721C22"/>
    <w:rsid w:val="00721C6C"/>
    <w:rsid w:val="00721FDE"/>
    <w:rsid w:val="00722388"/>
    <w:rsid w:val="007224D5"/>
    <w:rsid w:val="007227E6"/>
    <w:rsid w:val="00722915"/>
    <w:rsid w:val="00722A24"/>
    <w:rsid w:val="007230B7"/>
    <w:rsid w:val="0072331A"/>
    <w:rsid w:val="0072335C"/>
    <w:rsid w:val="007235A4"/>
    <w:rsid w:val="007236AD"/>
    <w:rsid w:val="007237CD"/>
    <w:rsid w:val="007237FB"/>
    <w:rsid w:val="00723A33"/>
    <w:rsid w:val="00723BA9"/>
    <w:rsid w:val="00723CD3"/>
    <w:rsid w:val="00723E57"/>
    <w:rsid w:val="007244E8"/>
    <w:rsid w:val="007245EC"/>
    <w:rsid w:val="0072479B"/>
    <w:rsid w:val="00724971"/>
    <w:rsid w:val="007249EA"/>
    <w:rsid w:val="00724E4B"/>
    <w:rsid w:val="00724E6C"/>
    <w:rsid w:val="00724F08"/>
    <w:rsid w:val="00725235"/>
    <w:rsid w:val="00725361"/>
    <w:rsid w:val="0072539F"/>
    <w:rsid w:val="007254E2"/>
    <w:rsid w:val="00725602"/>
    <w:rsid w:val="007257ED"/>
    <w:rsid w:val="007258DA"/>
    <w:rsid w:val="007259BF"/>
    <w:rsid w:val="00725A3A"/>
    <w:rsid w:val="00725B9E"/>
    <w:rsid w:val="00725E95"/>
    <w:rsid w:val="00725F47"/>
    <w:rsid w:val="00726431"/>
    <w:rsid w:val="0072645D"/>
    <w:rsid w:val="007264B4"/>
    <w:rsid w:val="007264D6"/>
    <w:rsid w:val="007265C8"/>
    <w:rsid w:val="007266C5"/>
    <w:rsid w:val="007268F6"/>
    <w:rsid w:val="007269F6"/>
    <w:rsid w:val="00726A0F"/>
    <w:rsid w:val="00726C16"/>
    <w:rsid w:val="00726E11"/>
    <w:rsid w:val="00726E45"/>
    <w:rsid w:val="00726FCF"/>
    <w:rsid w:val="00727BF7"/>
    <w:rsid w:val="00727F09"/>
    <w:rsid w:val="007304AA"/>
    <w:rsid w:val="0073078F"/>
    <w:rsid w:val="0073080E"/>
    <w:rsid w:val="00730874"/>
    <w:rsid w:val="00730992"/>
    <w:rsid w:val="007309F5"/>
    <w:rsid w:val="00730CBA"/>
    <w:rsid w:val="00730EBD"/>
    <w:rsid w:val="00730FAE"/>
    <w:rsid w:val="00730FDD"/>
    <w:rsid w:val="00731654"/>
    <w:rsid w:val="007316AC"/>
    <w:rsid w:val="007317F2"/>
    <w:rsid w:val="007318AE"/>
    <w:rsid w:val="0073191C"/>
    <w:rsid w:val="00731D7D"/>
    <w:rsid w:val="00732273"/>
    <w:rsid w:val="0073234D"/>
    <w:rsid w:val="00732489"/>
    <w:rsid w:val="00732517"/>
    <w:rsid w:val="007327E6"/>
    <w:rsid w:val="00732A61"/>
    <w:rsid w:val="00732DD0"/>
    <w:rsid w:val="00733009"/>
    <w:rsid w:val="007330C7"/>
    <w:rsid w:val="0073343E"/>
    <w:rsid w:val="00733448"/>
    <w:rsid w:val="0073369A"/>
    <w:rsid w:val="007336E8"/>
    <w:rsid w:val="00733961"/>
    <w:rsid w:val="0073396E"/>
    <w:rsid w:val="00733C8A"/>
    <w:rsid w:val="00733C8F"/>
    <w:rsid w:val="00733E81"/>
    <w:rsid w:val="00733F6D"/>
    <w:rsid w:val="00734281"/>
    <w:rsid w:val="007342A0"/>
    <w:rsid w:val="00734326"/>
    <w:rsid w:val="00734352"/>
    <w:rsid w:val="007343D9"/>
    <w:rsid w:val="0073440B"/>
    <w:rsid w:val="0073461B"/>
    <w:rsid w:val="007346A6"/>
    <w:rsid w:val="00734850"/>
    <w:rsid w:val="00734DF8"/>
    <w:rsid w:val="00735088"/>
    <w:rsid w:val="007350B0"/>
    <w:rsid w:val="007354B9"/>
    <w:rsid w:val="007356C8"/>
    <w:rsid w:val="0073578E"/>
    <w:rsid w:val="00735AE4"/>
    <w:rsid w:val="00735C5C"/>
    <w:rsid w:val="00735D12"/>
    <w:rsid w:val="00735D24"/>
    <w:rsid w:val="0073609E"/>
    <w:rsid w:val="007361A7"/>
    <w:rsid w:val="0073628D"/>
    <w:rsid w:val="0073638C"/>
    <w:rsid w:val="0073647F"/>
    <w:rsid w:val="007364D7"/>
    <w:rsid w:val="00736870"/>
    <w:rsid w:val="007368DC"/>
    <w:rsid w:val="00736971"/>
    <w:rsid w:val="00736A57"/>
    <w:rsid w:val="00736AAB"/>
    <w:rsid w:val="00736BAB"/>
    <w:rsid w:val="00736F2E"/>
    <w:rsid w:val="00736FF2"/>
    <w:rsid w:val="00737009"/>
    <w:rsid w:val="007373B3"/>
    <w:rsid w:val="00737635"/>
    <w:rsid w:val="007376FE"/>
    <w:rsid w:val="0073785A"/>
    <w:rsid w:val="00737AF2"/>
    <w:rsid w:val="00737C1C"/>
    <w:rsid w:val="00737D59"/>
    <w:rsid w:val="00737F21"/>
    <w:rsid w:val="007401B4"/>
    <w:rsid w:val="007402C7"/>
    <w:rsid w:val="007402FB"/>
    <w:rsid w:val="00740767"/>
    <w:rsid w:val="0074079B"/>
    <w:rsid w:val="00741032"/>
    <w:rsid w:val="007411E1"/>
    <w:rsid w:val="007412FA"/>
    <w:rsid w:val="00741943"/>
    <w:rsid w:val="00741B3E"/>
    <w:rsid w:val="00741D75"/>
    <w:rsid w:val="00741F1C"/>
    <w:rsid w:val="00742159"/>
    <w:rsid w:val="007421EF"/>
    <w:rsid w:val="007422AF"/>
    <w:rsid w:val="007426DD"/>
    <w:rsid w:val="00742762"/>
    <w:rsid w:val="007427F3"/>
    <w:rsid w:val="007428CF"/>
    <w:rsid w:val="007428D1"/>
    <w:rsid w:val="00742B7F"/>
    <w:rsid w:val="00742D0B"/>
    <w:rsid w:val="00743112"/>
    <w:rsid w:val="007431C1"/>
    <w:rsid w:val="00743356"/>
    <w:rsid w:val="007433DE"/>
    <w:rsid w:val="007434E3"/>
    <w:rsid w:val="0074355F"/>
    <w:rsid w:val="00743ACD"/>
    <w:rsid w:val="00743BF9"/>
    <w:rsid w:val="00743EB3"/>
    <w:rsid w:val="00743F47"/>
    <w:rsid w:val="00744144"/>
    <w:rsid w:val="00744478"/>
    <w:rsid w:val="007447FB"/>
    <w:rsid w:val="00744996"/>
    <w:rsid w:val="007452E7"/>
    <w:rsid w:val="00745522"/>
    <w:rsid w:val="00745828"/>
    <w:rsid w:val="00745883"/>
    <w:rsid w:val="00745E2D"/>
    <w:rsid w:val="00746628"/>
    <w:rsid w:val="007466F2"/>
    <w:rsid w:val="0074682D"/>
    <w:rsid w:val="00746AD6"/>
    <w:rsid w:val="00746BE0"/>
    <w:rsid w:val="00746BEE"/>
    <w:rsid w:val="00746D17"/>
    <w:rsid w:val="007476C1"/>
    <w:rsid w:val="007477F4"/>
    <w:rsid w:val="0074799C"/>
    <w:rsid w:val="007479D0"/>
    <w:rsid w:val="00747B43"/>
    <w:rsid w:val="007500F7"/>
    <w:rsid w:val="00750180"/>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8C2"/>
    <w:rsid w:val="007518C8"/>
    <w:rsid w:val="00751ABB"/>
    <w:rsid w:val="00751DC0"/>
    <w:rsid w:val="00751F8B"/>
    <w:rsid w:val="007525EA"/>
    <w:rsid w:val="0075262B"/>
    <w:rsid w:val="00752BBC"/>
    <w:rsid w:val="00752D6E"/>
    <w:rsid w:val="00753393"/>
    <w:rsid w:val="007536AB"/>
    <w:rsid w:val="00753977"/>
    <w:rsid w:val="007539D2"/>
    <w:rsid w:val="00753C1A"/>
    <w:rsid w:val="00753CDA"/>
    <w:rsid w:val="00753D52"/>
    <w:rsid w:val="00753E8E"/>
    <w:rsid w:val="00753EE3"/>
    <w:rsid w:val="00753F2A"/>
    <w:rsid w:val="007540DB"/>
    <w:rsid w:val="0075431E"/>
    <w:rsid w:val="00754400"/>
    <w:rsid w:val="00754A4A"/>
    <w:rsid w:val="00754B9B"/>
    <w:rsid w:val="00754EE1"/>
    <w:rsid w:val="00754FB4"/>
    <w:rsid w:val="007552FB"/>
    <w:rsid w:val="00755822"/>
    <w:rsid w:val="0075592B"/>
    <w:rsid w:val="007559F0"/>
    <w:rsid w:val="00755D83"/>
    <w:rsid w:val="00755E9C"/>
    <w:rsid w:val="00755F81"/>
    <w:rsid w:val="00755FB0"/>
    <w:rsid w:val="00756122"/>
    <w:rsid w:val="0075612A"/>
    <w:rsid w:val="0075678B"/>
    <w:rsid w:val="00756882"/>
    <w:rsid w:val="007568F2"/>
    <w:rsid w:val="00756A33"/>
    <w:rsid w:val="00756D9E"/>
    <w:rsid w:val="007570B6"/>
    <w:rsid w:val="007570BC"/>
    <w:rsid w:val="0075718F"/>
    <w:rsid w:val="00757593"/>
    <w:rsid w:val="00757606"/>
    <w:rsid w:val="0075764A"/>
    <w:rsid w:val="007577DD"/>
    <w:rsid w:val="00757A03"/>
    <w:rsid w:val="00757D00"/>
    <w:rsid w:val="00757E67"/>
    <w:rsid w:val="00760101"/>
    <w:rsid w:val="0076014E"/>
    <w:rsid w:val="007602AE"/>
    <w:rsid w:val="00760429"/>
    <w:rsid w:val="0076046E"/>
    <w:rsid w:val="007604AC"/>
    <w:rsid w:val="00760961"/>
    <w:rsid w:val="00760988"/>
    <w:rsid w:val="00760AD4"/>
    <w:rsid w:val="00760C34"/>
    <w:rsid w:val="00760F3F"/>
    <w:rsid w:val="007610EE"/>
    <w:rsid w:val="0076114B"/>
    <w:rsid w:val="00761233"/>
    <w:rsid w:val="007615DE"/>
    <w:rsid w:val="00761ABB"/>
    <w:rsid w:val="007625C6"/>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4237"/>
    <w:rsid w:val="00764251"/>
    <w:rsid w:val="0076473E"/>
    <w:rsid w:val="0076480A"/>
    <w:rsid w:val="0076490F"/>
    <w:rsid w:val="00764AD8"/>
    <w:rsid w:val="00764BBF"/>
    <w:rsid w:val="00764D06"/>
    <w:rsid w:val="00764D99"/>
    <w:rsid w:val="00764E66"/>
    <w:rsid w:val="00765187"/>
    <w:rsid w:val="007652C4"/>
    <w:rsid w:val="00765314"/>
    <w:rsid w:val="00765363"/>
    <w:rsid w:val="007653AE"/>
    <w:rsid w:val="00765A63"/>
    <w:rsid w:val="00765CEF"/>
    <w:rsid w:val="00765FA1"/>
    <w:rsid w:val="0076604A"/>
    <w:rsid w:val="00766830"/>
    <w:rsid w:val="00766922"/>
    <w:rsid w:val="0076698C"/>
    <w:rsid w:val="00766B78"/>
    <w:rsid w:val="00766B8C"/>
    <w:rsid w:val="00766C6A"/>
    <w:rsid w:val="00766D1E"/>
    <w:rsid w:val="0076705D"/>
    <w:rsid w:val="0076732B"/>
    <w:rsid w:val="0076770D"/>
    <w:rsid w:val="00767A81"/>
    <w:rsid w:val="00767B6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C4C"/>
    <w:rsid w:val="00772059"/>
    <w:rsid w:val="0077220C"/>
    <w:rsid w:val="00772406"/>
    <w:rsid w:val="0077245F"/>
    <w:rsid w:val="00772559"/>
    <w:rsid w:val="007727D4"/>
    <w:rsid w:val="00772927"/>
    <w:rsid w:val="00772976"/>
    <w:rsid w:val="00772984"/>
    <w:rsid w:val="00772DBC"/>
    <w:rsid w:val="0077316F"/>
    <w:rsid w:val="007731FB"/>
    <w:rsid w:val="0077335D"/>
    <w:rsid w:val="00773806"/>
    <w:rsid w:val="007738EC"/>
    <w:rsid w:val="007739EF"/>
    <w:rsid w:val="00773A38"/>
    <w:rsid w:val="00773A98"/>
    <w:rsid w:val="00773AC5"/>
    <w:rsid w:val="00773C0F"/>
    <w:rsid w:val="00773CCB"/>
    <w:rsid w:val="00773CEE"/>
    <w:rsid w:val="00773D2C"/>
    <w:rsid w:val="00773EB6"/>
    <w:rsid w:val="0077434A"/>
    <w:rsid w:val="007743D9"/>
    <w:rsid w:val="007743DE"/>
    <w:rsid w:val="007745C1"/>
    <w:rsid w:val="0077493A"/>
    <w:rsid w:val="00774AD4"/>
    <w:rsid w:val="00774FAA"/>
    <w:rsid w:val="0077536D"/>
    <w:rsid w:val="00775BE5"/>
    <w:rsid w:val="00775E69"/>
    <w:rsid w:val="00775E6E"/>
    <w:rsid w:val="00775F58"/>
    <w:rsid w:val="007760C7"/>
    <w:rsid w:val="007763D0"/>
    <w:rsid w:val="007764EC"/>
    <w:rsid w:val="00776B93"/>
    <w:rsid w:val="00776C64"/>
    <w:rsid w:val="00776E0C"/>
    <w:rsid w:val="00777227"/>
    <w:rsid w:val="0077743E"/>
    <w:rsid w:val="007775CC"/>
    <w:rsid w:val="007775FA"/>
    <w:rsid w:val="00777732"/>
    <w:rsid w:val="0077793C"/>
    <w:rsid w:val="00777A16"/>
    <w:rsid w:val="00777B73"/>
    <w:rsid w:val="00777F19"/>
    <w:rsid w:val="0078028A"/>
    <w:rsid w:val="00780303"/>
    <w:rsid w:val="0078038E"/>
    <w:rsid w:val="007804C4"/>
    <w:rsid w:val="0078051F"/>
    <w:rsid w:val="0078053D"/>
    <w:rsid w:val="00780624"/>
    <w:rsid w:val="0078098E"/>
    <w:rsid w:val="00780A02"/>
    <w:rsid w:val="00780B2E"/>
    <w:rsid w:val="00780DB2"/>
    <w:rsid w:val="00780F5D"/>
    <w:rsid w:val="00781031"/>
    <w:rsid w:val="0078126A"/>
    <w:rsid w:val="0078175F"/>
    <w:rsid w:val="00781972"/>
    <w:rsid w:val="00781A63"/>
    <w:rsid w:val="00781A76"/>
    <w:rsid w:val="00781A96"/>
    <w:rsid w:val="00781C2E"/>
    <w:rsid w:val="00782053"/>
    <w:rsid w:val="007820E8"/>
    <w:rsid w:val="0078216C"/>
    <w:rsid w:val="0078225A"/>
    <w:rsid w:val="007822BD"/>
    <w:rsid w:val="00782537"/>
    <w:rsid w:val="00782BAB"/>
    <w:rsid w:val="00782BB0"/>
    <w:rsid w:val="00782C95"/>
    <w:rsid w:val="00782EEC"/>
    <w:rsid w:val="00783042"/>
    <w:rsid w:val="00783056"/>
    <w:rsid w:val="0078310E"/>
    <w:rsid w:val="007832C8"/>
    <w:rsid w:val="0078361A"/>
    <w:rsid w:val="007836AC"/>
    <w:rsid w:val="007838B6"/>
    <w:rsid w:val="007838CB"/>
    <w:rsid w:val="00783D05"/>
    <w:rsid w:val="00783D5B"/>
    <w:rsid w:val="00783EB0"/>
    <w:rsid w:val="00784252"/>
    <w:rsid w:val="007842C1"/>
    <w:rsid w:val="0078435C"/>
    <w:rsid w:val="007843E7"/>
    <w:rsid w:val="00784405"/>
    <w:rsid w:val="007844BE"/>
    <w:rsid w:val="007844FC"/>
    <w:rsid w:val="0078457A"/>
    <w:rsid w:val="0078467E"/>
    <w:rsid w:val="00784784"/>
    <w:rsid w:val="0078482E"/>
    <w:rsid w:val="0078494A"/>
    <w:rsid w:val="00784AC8"/>
    <w:rsid w:val="00784AD5"/>
    <w:rsid w:val="00784FA0"/>
    <w:rsid w:val="007850F5"/>
    <w:rsid w:val="0078518C"/>
    <w:rsid w:val="007851C1"/>
    <w:rsid w:val="007852B1"/>
    <w:rsid w:val="007854A6"/>
    <w:rsid w:val="007856AF"/>
    <w:rsid w:val="00785799"/>
    <w:rsid w:val="007857F5"/>
    <w:rsid w:val="00785865"/>
    <w:rsid w:val="00785A0E"/>
    <w:rsid w:val="00785D40"/>
    <w:rsid w:val="00785D8F"/>
    <w:rsid w:val="00785FF3"/>
    <w:rsid w:val="007860F2"/>
    <w:rsid w:val="0078613F"/>
    <w:rsid w:val="0078624F"/>
    <w:rsid w:val="0078649E"/>
    <w:rsid w:val="0078650F"/>
    <w:rsid w:val="007866D1"/>
    <w:rsid w:val="00786CD8"/>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0C"/>
    <w:rsid w:val="007906D2"/>
    <w:rsid w:val="007907FA"/>
    <w:rsid w:val="00790B91"/>
    <w:rsid w:val="00790C2E"/>
    <w:rsid w:val="00790D24"/>
    <w:rsid w:val="00791021"/>
    <w:rsid w:val="007911A8"/>
    <w:rsid w:val="007911B5"/>
    <w:rsid w:val="007917FC"/>
    <w:rsid w:val="007919DE"/>
    <w:rsid w:val="00791C55"/>
    <w:rsid w:val="00791EBA"/>
    <w:rsid w:val="00791F00"/>
    <w:rsid w:val="007920F2"/>
    <w:rsid w:val="0079222A"/>
    <w:rsid w:val="0079222E"/>
    <w:rsid w:val="00792275"/>
    <w:rsid w:val="00792700"/>
    <w:rsid w:val="00792768"/>
    <w:rsid w:val="00792799"/>
    <w:rsid w:val="0079292F"/>
    <w:rsid w:val="007929E3"/>
    <w:rsid w:val="00792B01"/>
    <w:rsid w:val="00792CAF"/>
    <w:rsid w:val="00792E9B"/>
    <w:rsid w:val="00792ECA"/>
    <w:rsid w:val="00793116"/>
    <w:rsid w:val="007937FE"/>
    <w:rsid w:val="007938D1"/>
    <w:rsid w:val="00793C42"/>
    <w:rsid w:val="00794073"/>
    <w:rsid w:val="007941F6"/>
    <w:rsid w:val="00794297"/>
    <w:rsid w:val="007943F2"/>
    <w:rsid w:val="00794514"/>
    <w:rsid w:val="00794622"/>
    <w:rsid w:val="00794DDF"/>
    <w:rsid w:val="00794E4C"/>
    <w:rsid w:val="00794E51"/>
    <w:rsid w:val="007952AE"/>
    <w:rsid w:val="00795348"/>
    <w:rsid w:val="007955AC"/>
    <w:rsid w:val="00795756"/>
    <w:rsid w:val="0079581F"/>
    <w:rsid w:val="00795ACC"/>
    <w:rsid w:val="00795AFE"/>
    <w:rsid w:val="00795C6C"/>
    <w:rsid w:val="00795D83"/>
    <w:rsid w:val="00796002"/>
    <w:rsid w:val="007961FB"/>
    <w:rsid w:val="00796302"/>
    <w:rsid w:val="00796596"/>
    <w:rsid w:val="007969D2"/>
    <w:rsid w:val="00796CF3"/>
    <w:rsid w:val="00796DA7"/>
    <w:rsid w:val="0079725A"/>
    <w:rsid w:val="00797378"/>
    <w:rsid w:val="00797401"/>
    <w:rsid w:val="0079746D"/>
    <w:rsid w:val="007974A3"/>
    <w:rsid w:val="00797542"/>
    <w:rsid w:val="0079787F"/>
    <w:rsid w:val="00797A0F"/>
    <w:rsid w:val="00797B86"/>
    <w:rsid w:val="00797C5F"/>
    <w:rsid w:val="00797C82"/>
    <w:rsid w:val="00797DFA"/>
    <w:rsid w:val="00797F0A"/>
    <w:rsid w:val="00797F88"/>
    <w:rsid w:val="00797F94"/>
    <w:rsid w:val="00797FA5"/>
    <w:rsid w:val="007A044C"/>
    <w:rsid w:val="007A0684"/>
    <w:rsid w:val="007A099F"/>
    <w:rsid w:val="007A09B3"/>
    <w:rsid w:val="007A0B57"/>
    <w:rsid w:val="007A0EEC"/>
    <w:rsid w:val="007A0F0F"/>
    <w:rsid w:val="007A100E"/>
    <w:rsid w:val="007A10C4"/>
    <w:rsid w:val="007A1208"/>
    <w:rsid w:val="007A12A3"/>
    <w:rsid w:val="007A139F"/>
    <w:rsid w:val="007A1471"/>
    <w:rsid w:val="007A163E"/>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B04"/>
    <w:rsid w:val="007A2C70"/>
    <w:rsid w:val="007A2EBA"/>
    <w:rsid w:val="007A3017"/>
    <w:rsid w:val="007A319F"/>
    <w:rsid w:val="007A3205"/>
    <w:rsid w:val="007A3383"/>
    <w:rsid w:val="007A3706"/>
    <w:rsid w:val="007A3867"/>
    <w:rsid w:val="007A3AD0"/>
    <w:rsid w:val="007A3E79"/>
    <w:rsid w:val="007A3FA3"/>
    <w:rsid w:val="007A4104"/>
    <w:rsid w:val="007A420D"/>
    <w:rsid w:val="007A45B6"/>
    <w:rsid w:val="007A492D"/>
    <w:rsid w:val="007A4A53"/>
    <w:rsid w:val="007A4ACF"/>
    <w:rsid w:val="007A4ADC"/>
    <w:rsid w:val="007A4B45"/>
    <w:rsid w:val="007A4BD3"/>
    <w:rsid w:val="007A4CF4"/>
    <w:rsid w:val="007A4D39"/>
    <w:rsid w:val="007A5119"/>
    <w:rsid w:val="007A542E"/>
    <w:rsid w:val="007A5439"/>
    <w:rsid w:val="007A54D5"/>
    <w:rsid w:val="007A5624"/>
    <w:rsid w:val="007A5638"/>
    <w:rsid w:val="007A5656"/>
    <w:rsid w:val="007A5A3F"/>
    <w:rsid w:val="007A5B8B"/>
    <w:rsid w:val="007A5DE1"/>
    <w:rsid w:val="007A617A"/>
    <w:rsid w:val="007A6267"/>
    <w:rsid w:val="007A682C"/>
    <w:rsid w:val="007A6979"/>
    <w:rsid w:val="007A69DC"/>
    <w:rsid w:val="007A69F7"/>
    <w:rsid w:val="007A6AD6"/>
    <w:rsid w:val="007A6AFD"/>
    <w:rsid w:val="007A6B17"/>
    <w:rsid w:val="007A7047"/>
    <w:rsid w:val="007A7064"/>
    <w:rsid w:val="007A7089"/>
    <w:rsid w:val="007A70B8"/>
    <w:rsid w:val="007A7197"/>
    <w:rsid w:val="007A7250"/>
    <w:rsid w:val="007A72AD"/>
    <w:rsid w:val="007A796D"/>
    <w:rsid w:val="007A79A9"/>
    <w:rsid w:val="007A7D10"/>
    <w:rsid w:val="007A7E9C"/>
    <w:rsid w:val="007A7EED"/>
    <w:rsid w:val="007A7FFE"/>
    <w:rsid w:val="007B0026"/>
    <w:rsid w:val="007B00FB"/>
    <w:rsid w:val="007B01CF"/>
    <w:rsid w:val="007B0399"/>
    <w:rsid w:val="007B03ED"/>
    <w:rsid w:val="007B0537"/>
    <w:rsid w:val="007B0894"/>
    <w:rsid w:val="007B0A34"/>
    <w:rsid w:val="007B0C0F"/>
    <w:rsid w:val="007B0F84"/>
    <w:rsid w:val="007B0F96"/>
    <w:rsid w:val="007B116F"/>
    <w:rsid w:val="007B11B6"/>
    <w:rsid w:val="007B1310"/>
    <w:rsid w:val="007B1428"/>
    <w:rsid w:val="007B1587"/>
    <w:rsid w:val="007B1ACE"/>
    <w:rsid w:val="007B1D6F"/>
    <w:rsid w:val="007B213F"/>
    <w:rsid w:val="007B2198"/>
    <w:rsid w:val="007B2272"/>
    <w:rsid w:val="007B24F2"/>
    <w:rsid w:val="007B25F4"/>
    <w:rsid w:val="007B2663"/>
    <w:rsid w:val="007B267D"/>
    <w:rsid w:val="007B2934"/>
    <w:rsid w:val="007B2B1F"/>
    <w:rsid w:val="007B2BAF"/>
    <w:rsid w:val="007B2BBB"/>
    <w:rsid w:val="007B2BEC"/>
    <w:rsid w:val="007B2F41"/>
    <w:rsid w:val="007B301B"/>
    <w:rsid w:val="007B3231"/>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458"/>
    <w:rsid w:val="007B562A"/>
    <w:rsid w:val="007B58A9"/>
    <w:rsid w:val="007B58F3"/>
    <w:rsid w:val="007B5B84"/>
    <w:rsid w:val="007B5D07"/>
    <w:rsid w:val="007B5EB1"/>
    <w:rsid w:val="007B6096"/>
    <w:rsid w:val="007B60EB"/>
    <w:rsid w:val="007B63C9"/>
    <w:rsid w:val="007B653E"/>
    <w:rsid w:val="007B65DE"/>
    <w:rsid w:val="007B679A"/>
    <w:rsid w:val="007B67B2"/>
    <w:rsid w:val="007B68B7"/>
    <w:rsid w:val="007B68BA"/>
    <w:rsid w:val="007B6B27"/>
    <w:rsid w:val="007B6C0A"/>
    <w:rsid w:val="007B7112"/>
    <w:rsid w:val="007B712C"/>
    <w:rsid w:val="007B7191"/>
    <w:rsid w:val="007B71AC"/>
    <w:rsid w:val="007B7471"/>
    <w:rsid w:val="007B75B3"/>
    <w:rsid w:val="007B79FC"/>
    <w:rsid w:val="007B7B6B"/>
    <w:rsid w:val="007B7BC0"/>
    <w:rsid w:val="007B7C8F"/>
    <w:rsid w:val="007B7EB9"/>
    <w:rsid w:val="007B7F97"/>
    <w:rsid w:val="007C0249"/>
    <w:rsid w:val="007C0420"/>
    <w:rsid w:val="007C049E"/>
    <w:rsid w:val="007C0AAF"/>
    <w:rsid w:val="007C0B9F"/>
    <w:rsid w:val="007C0CBF"/>
    <w:rsid w:val="007C0DF9"/>
    <w:rsid w:val="007C0E2C"/>
    <w:rsid w:val="007C0FE7"/>
    <w:rsid w:val="007C1163"/>
    <w:rsid w:val="007C14CC"/>
    <w:rsid w:val="007C159A"/>
    <w:rsid w:val="007C18D6"/>
    <w:rsid w:val="007C1C84"/>
    <w:rsid w:val="007C1CE1"/>
    <w:rsid w:val="007C1E37"/>
    <w:rsid w:val="007C1F9D"/>
    <w:rsid w:val="007C1FAA"/>
    <w:rsid w:val="007C20B7"/>
    <w:rsid w:val="007C234D"/>
    <w:rsid w:val="007C23FA"/>
    <w:rsid w:val="007C2511"/>
    <w:rsid w:val="007C2520"/>
    <w:rsid w:val="007C2769"/>
    <w:rsid w:val="007C2951"/>
    <w:rsid w:val="007C2A13"/>
    <w:rsid w:val="007C2A6E"/>
    <w:rsid w:val="007C2C0C"/>
    <w:rsid w:val="007C2DEA"/>
    <w:rsid w:val="007C2FD0"/>
    <w:rsid w:val="007C3544"/>
    <w:rsid w:val="007C3635"/>
    <w:rsid w:val="007C3662"/>
    <w:rsid w:val="007C3968"/>
    <w:rsid w:val="007C3984"/>
    <w:rsid w:val="007C3A0C"/>
    <w:rsid w:val="007C3B15"/>
    <w:rsid w:val="007C3D19"/>
    <w:rsid w:val="007C3ED9"/>
    <w:rsid w:val="007C3EEF"/>
    <w:rsid w:val="007C4442"/>
    <w:rsid w:val="007C44F8"/>
    <w:rsid w:val="007C46E5"/>
    <w:rsid w:val="007C4862"/>
    <w:rsid w:val="007C4A2E"/>
    <w:rsid w:val="007C4A4F"/>
    <w:rsid w:val="007C514D"/>
    <w:rsid w:val="007C5214"/>
    <w:rsid w:val="007C528A"/>
    <w:rsid w:val="007C52B0"/>
    <w:rsid w:val="007C59E1"/>
    <w:rsid w:val="007C5D8C"/>
    <w:rsid w:val="007C68DC"/>
    <w:rsid w:val="007C68EF"/>
    <w:rsid w:val="007C6BC9"/>
    <w:rsid w:val="007C6D56"/>
    <w:rsid w:val="007C6F02"/>
    <w:rsid w:val="007C722B"/>
    <w:rsid w:val="007C72DA"/>
    <w:rsid w:val="007C72E5"/>
    <w:rsid w:val="007C7592"/>
    <w:rsid w:val="007C77AE"/>
    <w:rsid w:val="007C78CF"/>
    <w:rsid w:val="007C7AE7"/>
    <w:rsid w:val="007C7C1A"/>
    <w:rsid w:val="007C7E36"/>
    <w:rsid w:val="007C7F87"/>
    <w:rsid w:val="007D03D6"/>
    <w:rsid w:val="007D0613"/>
    <w:rsid w:val="007D0A0F"/>
    <w:rsid w:val="007D0B3F"/>
    <w:rsid w:val="007D0FA6"/>
    <w:rsid w:val="007D0FD8"/>
    <w:rsid w:val="007D1241"/>
    <w:rsid w:val="007D15EE"/>
    <w:rsid w:val="007D166E"/>
    <w:rsid w:val="007D1676"/>
    <w:rsid w:val="007D1B90"/>
    <w:rsid w:val="007D242A"/>
    <w:rsid w:val="007D2531"/>
    <w:rsid w:val="007D2578"/>
    <w:rsid w:val="007D29E4"/>
    <w:rsid w:val="007D2E40"/>
    <w:rsid w:val="007D2E44"/>
    <w:rsid w:val="007D31E0"/>
    <w:rsid w:val="007D3216"/>
    <w:rsid w:val="007D33A0"/>
    <w:rsid w:val="007D36BF"/>
    <w:rsid w:val="007D36D9"/>
    <w:rsid w:val="007D3701"/>
    <w:rsid w:val="007D38B6"/>
    <w:rsid w:val="007D3E4C"/>
    <w:rsid w:val="007D3EAB"/>
    <w:rsid w:val="007D41D8"/>
    <w:rsid w:val="007D43D2"/>
    <w:rsid w:val="007D47F2"/>
    <w:rsid w:val="007D48DF"/>
    <w:rsid w:val="007D49B5"/>
    <w:rsid w:val="007D4AE9"/>
    <w:rsid w:val="007D4BEA"/>
    <w:rsid w:val="007D4CEC"/>
    <w:rsid w:val="007D4D5D"/>
    <w:rsid w:val="007D4E63"/>
    <w:rsid w:val="007D5080"/>
    <w:rsid w:val="007D50CC"/>
    <w:rsid w:val="007D5153"/>
    <w:rsid w:val="007D5268"/>
    <w:rsid w:val="007D540E"/>
    <w:rsid w:val="007D54C9"/>
    <w:rsid w:val="007D55A4"/>
    <w:rsid w:val="007D5831"/>
    <w:rsid w:val="007D5B90"/>
    <w:rsid w:val="007D5E53"/>
    <w:rsid w:val="007D6315"/>
    <w:rsid w:val="007D64C5"/>
    <w:rsid w:val="007D65BF"/>
    <w:rsid w:val="007D6806"/>
    <w:rsid w:val="007D6864"/>
    <w:rsid w:val="007D68AF"/>
    <w:rsid w:val="007D68F6"/>
    <w:rsid w:val="007D6BEF"/>
    <w:rsid w:val="007D6D26"/>
    <w:rsid w:val="007D6D77"/>
    <w:rsid w:val="007D724E"/>
    <w:rsid w:val="007D7255"/>
    <w:rsid w:val="007D759F"/>
    <w:rsid w:val="007D774E"/>
    <w:rsid w:val="007D7BD7"/>
    <w:rsid w:val="007D7BDA"/>
    <w:rsid w:val="007D7C33"/>
    <w:rsid w:val="007D7CB2"/>
    <w:rsid w:val="007D7D32"/>
    <w:rsid w:val="007D7D8F"/>
    <w:rsid w:val="007D7F0A"/>
    <w:rsid w:val="007E0253"/>
    <w:rsid w:val="007E02C4"/>
    <w:rsid w:val="007E02CC"/>
    <w:rsid w:val="007E0875"/>
    <w:rsid w:val="007E08EE"/>
    <w:rsid w:val="007E0B3F"/>
    <w:rsid w:val="007E0C60"/>
    <w:rsid w:val="007E0FC1"/>
    <w:rsid w:val="007E13E9"/>
    <w:rsid w:val="007E14F2"/>
    <w:rsid w:val="007E15BD"/>
    <w:rsid w:val="007E16B0"/>
    <w:rsid w:val="007E180E"/>
    <w:rsid w:val="007E1954"/>
    <w:rsid w:val="007E19D7"/>
    <w:rsid w:val="007E1B7F"/>
    <w:rsid w:val="007E1D5F"/>
    <w:rsid w:val="007E20C5"/>
    <w:rsid w:val="007E214E"/>
    <w:rsid w:val="007E21EB"/>
    <w:rsid w:val="007E2242"/>
    <w:rsid w:val="007E24FA"/>
    <w:rsid w:val="007E2587"/>
    <w:rsid w:val="007E25DC"/>
    <w:rsid w:val="007E2937"/>
    <w:rsid w:val="007E2970"/>
    <w:rsid w:val="007E2BBF"/>
    <w:rsid w:val="007E2D08"/>
    <w:rsid w:val="007E2D41"/>
    <w:rsid w:val="007E2F42"/>
    <w:rsid w:val="007E2F64"/>
    <w:rsid w:val="007E3392"/>
    <w:rsid w:val="007E3835"/>
    <w:rsid w:val="007E3A75"/>
    <w:rsid w:val="007E3D69"/>
    <w:rsid w:val="007E4004"/>
    <w:rsid w:val="007E43DB"/>
    <w:rsid w:val="007E44FA"/>
    <w:rsid w:val="007E4629"/>
    <w:rsid w:val="007E46F6"/>
    <w:rsid w:val="007E47F9"/>
    <w:rsid w:val="007E49A2"/>
    <w:rsid w:val="007E4A4B"/>
    <w:rsid w:val="007E4FA0"/>
    <w:rsid w:val="007E510B"/>
    <w:rsid w:val="007E51EB"/>
    <w:rsid w:val="007E57CA"/>
    <w:rsid w:val="007E5B75"/>
    <w:rsid w:val="007E5C1D"/>
    <w:rsid w:val="007E5C7C"/>
    <w:rsid w:val="007E5D0A"/>
    <w:rsid w:val="007E5E0E"/>
    <w:rsid w:val="007E5F8D"/>
    <w:rsid w:val="007E6194"/>
    <w:rsid w:val="007E630E"/>
    <w:rsid w:val="007E6565"/>
    <w:rsid w:val="007E6611"/>
    <w:rsid w:val="007E6CB8"/>
    <w:rsid w:val="007E6E07"/>
    <w:rsid w:val="007E6F22"/>
    <w:rsid w:val="007E7116"/>
    <w:rsid w:val="007E7242"/>
    <w:rsid w:val="007E765A"/>
    <w:rsid w:val="007E77B6"/>
    <w:rsid w:val="007E78B4"/>
    <w:rsid w:val="007E7A35"/>
    <w:rsid w:val="007E7AAE"/>
    <w:rsid w:val="007E7F6A"/>
    <w:rsid w:val="007F0323"/>
    <w:rsid w:val="007F0378"/>
    <w:rsid w:val="007F05B5"/>
    <w:rsid w:val="007F05C4"/>
    <w:rsid w:val="007F0755"/>
    <w:rsid w:val="007F09ED"/>
    <w:rsid w:val="007F09F9"/>
    <w:rsid w:val="007F0BC6"/>
    <w:rsid w:val="007F0DB9"/>
    <w:rsid w:val="007F0EBB"/>
    <w:rsid w:val="007F14A3"/>
    <w:rsid w:val="007F14A8"/>
    <w:rsid w:val="007F19A6"/>
    <w:rsid w:val="007F1A06"/>
    <w:rsid w:val="007F1A37"/>
    <w:rsid w:val="007F1F5F"/>
    <w:rsid w:val="007F1F8F"/>
    <w:rsid w:val="007F200F"/>
    <w:rsid w:val="007F2232"/>
    <w:rsid w:val="007F2455"/>
    <w:rsid w:val="007F250A"/>
    <w:rsid w:val="007F25FB"/>
    <w:rsid w:val="007F26D1"/>
    <w:rsid w:val="007F27AE"/>
    <w:rsid w:val="007F296D"/>
    <w:rsid w:val="007F2D26"/>
    <w:rsid w:val="007F34F7"/>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1F1"/>
    <w:rsid w:val="007F5306"/>
    <w:rsid w:val="007F5353"/>
    <w:rsid w:val="007F53EB"/>
    <w:rsid w:val="007F5681"/>
    <w:rsid w:val="007F57FC"/>
    <w:rsid w:val="007F5A29"/>
    <w:rsid w:val="007F5B35"/>
    <w:rsid w:val="007F5BF7"/>
    <w:rsid w:val="007F5CAE"/>
    <w:rsid w:val="007F5E25"/>
    <w:rsid w:val="007F6099"/>
    <w:rsid w:val="007F628C"/>
    <w:rsid w:val="007F6566"/>
    <w:rsid w:val="007F664B"/>
    <w:rsid w:val="007F68D9"/>
    <w:rsid w:val="007F6A6E"/>
    <w:rsid w:val="007F6B1E"/>
    <w:rsid w:val="007F6DCC"/>
    <w:rsid w:val="007F72D5"/>
    <w:rsid w:val="007F769D"/>
    <w:rsid w:val="007F7998"/>
    <w:rsid w:val="007F79C2"/>
    <w:rsid w:val="007F7B5B"/>
    <w:rsid w:val="007F7BB6"/>
    <w:rsid w:val="007F7C07"/>
    <w:rsid w:val="007F7C33"/>
    <w:rsid w:val="007F7E5F"/>
    <w:rsid w:val="00800161"/>
    <w:rsid w:val="00800390"/>
    <w:rsid w:val="00800573"/>
    <w:rsid w:val="00800578"/>
    <w:rsid w:val="00800B55"/>
    <w:rsid w:val="00800DBE"/>
    <w:rsid w:val="00800DFB"/>
    <w:rsid w:val="00800E3B"/>
    <w:rsid w:val="00800EFE"/>
    <w:rsid w:val="008012B6"/>
    <w:rsid w:val="00801485"/>
    <w:rsid w:val="00801536"/>
    <w:rsid w:val="00801716"/>
    <w:rsid w:val="00801828"/>
    <w:rsid w:val="00801896"/>
    <w:rsid w:val="00801D8B"/>
    <w:rsid w:val="00801E13"/>
    <w:rsid w:val="00801F3A"/>
    <w:rsid w:val="00801F74"/>
    <w:rsid w:val="0080201C"/>
    <w:rsid w:val="008024A4"/>
    <w:rsid w:val="0080252E"/>
    <w:rsid w:val="00802741"/>
    <w:rsid w:val="008027E1"/>
    <w:rsid w:val="00802DFE"/>
    <w:rsid w:val="00802EF4"/>
    <w:rsid w:val="00802FD0"/>
    <w:rsid w:val="00803196"/>
    <w:rsid w:val="008031BD"/>
    <w:rsid w:val="00803358"/>
    <w:rsid w:val="0080335F"/>
    <w:rsid w:val="00803553"/>
    <w:rsid w:val="008036D9"/>
    <w:rsid w:val="00803915"/>
    <w:rsid w:val="00803916"/>
    <w:rsid w:val="00803C16"/>
    <w:rsid w:val="00803D90"/>
    <w:rsid w:val="00803F5A"/>
    <w:rsid w:val="00804037"/>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44"/>
    <w:rsid w:val="00805996"/>
    <w:rsid w:val="00805FB9"/>
    <w:rsid w:val="00806138"/>
    <w:rsid w:val="008061F2"/>
    <w:rsid w:val="008063FA"/>
    <w:rsid w:val="00806707"/>
    <w:rsid w:val="00806735"/>
    <w:rsid w:val="00806745"/>
    <w:rsid w:val="00806812"/>
    <w:rsid w:val="00806BE6"/>
    <w:rsid w:val="00806C4F"/>
    <w:rsid w:val="00806F89"/>
    <w:rsid w:val="00806FDA"/>
    <w:rsid w:val="008070EE"/>
    <w:rsid w:val="0080723E"/>
    <w:rsid w:val="008072A3"/>
    <w:rsid w:val="008074E7"/>
    <w:rsid w:val="00807610"/>
    <w:rsid w:val="00807735"/>
    <w:rsid w:val="00807A7D"/>
    <w:rsid w:val="00807D86"/>
    <w:rsid w:val="00807DB9"/>
    <w:rsid w:val="00810043"/>
    <w:rsid w:val="008101DA"/>
    <w:rsid w:val="00810411"/>
    <w:rsid w:val="00810675"/>
    <w:rsid w:val="00810795"/>
    <w:rsid w:val="0081084D"/>
    <w:rsid w:val="008108B6"/>
    <w:rsid w:val="00810952"/>
    <w:rsid w:val="00810DE5"/>
    <w:rsid w:val="00810E61"/>
    <w:rsid w:val="00810EF0"/>
    <w:rsid w:val="00811134"/>
    <w:rsid w:val="00811415"/>
    <w:rsid w:val="0081148C"/>
    <w:rsid w:val="00811527"/>
    <w:rsid w:val="008115A7"/>
    <w:rsid w:val="00811C2B"/>
    <w:rsid w:val="00811CB0"/>
    <w:rsid w:val="00811D1F"/>
    <w:rsid w:val="008123C8"/>
    <w:rsid w:val="008126A7"/>
    <w:rsid w:val="00812701"/>
    <w:rsid w:val="008127F4"/>
    <w:rsid w:val="0081295F"/>
    <w:rsid w:val="00812B29"/>
    <w:rsid w:val="00812CC8"/>
    <w:rsid w:val="00812D87"/>
    <w:rsid w:val="00812E8E"/>
    <w:rsid w:val="00813484"/>
    <w:rsid w:val="00813551"/>
    <w:rsid w:val="008136C2"/>
    <w:rsid w:val="0081380E"/>
    <w:rsid w:val="00813878"/>
    <w:rsid w:val="00813AC4"/>
    <w:rsid w:val="00813C0B"/>
    <w:rsid w:val="00813F0D"/>
    <w:rsid w:val="00814059"/>
    <w:rsid w:val="0081408B"/>
    <w:rsid w:val="008140AF"/>
    <w:rsid w:val="0081422F"/>
    <w:rsid w:val="008145AC"/>
    <w:rsid w:val="008145CA"/>
    <w:rsid w:val="008146F5"/>
    <w:rsid w:val="00814B30"/>
    <w:rsid w:val="00814C32"/>
    <w:rsid w:val="00814D27"/>
    <w:rsid w:val="00814D9F"/>
    <w:rsid w:val="00814E15"/>
    <w:rsid w:val="00814E1B"/>
    <w:rsid w:val="00814F63"/>
    <w:rsid w:val="008150BE"/>
    <w:rsid w:val="00815224"/>
    <w:rsid w:val="008152F7"/>
    <w:rsid w:val="00815825"/>
    <w:rsid w:val="00815B0F"/>
    <w:rsid w:val="00815D0E"/>
    <w:rsid w:val="008163DA"/>
    <w:rsid w:val="0081646C"/>
    <w:rsid w:val="0081659C"/>
    <w:rsid w:val="0081675D"/>
    <w:rsid w:val="00816849"/>
    <w:rsid w:val="0081688F"/>
    <w:rsid w:val="0081693B"/>
    <w:rsid w:val="00816B4B"/>
    <w:rsid w:val="00816C35"/>
    <w:rsid w:val="00816CFC"/>
    <w:rsid w:val="008171BC"/>
    <w:rsid w:val="008171E0"/>
    <w:rsid w:val="008171E4"/>
    <w:rsid w:val="00817399"/>
    <w:rsid w:val="008173DE"/>
    <w:rsid w:val="008174B6"/>
    <w:rsid w:val="0081762E"/>
    <w:rsid w:val="00817893"/>
    <w:rsid w:val="0081789C"/>
    <w:rsid w:val="00817B91"/>
    <w:rsid w:val="00817D4F"/>
    <w:rsid w:val="00817F13"/>
    <w:rsid w:val="0082000B"/>
    <w:rsid w:val="0082014E"/>
    <w:rsid w:val="00820170"/>
    <w:rsid w:val="008201DD"/>
    <w:rsid w:val="008202D7"/>
    <w:rsid w:val="00820385"/>
    <w:rsid w:val="00820795"/>
    <w:rsid w:val="008208C7"/>
    <w:rsid w:val="00820BB2"/>
    <w:rsid w:val="00820FA0"/>
    <w:rsid w:val="00821028"/>
    <w:rsid w:val="008211D2"/>
    <w:rsid w:val="008214A7"/>
    <w:rsid w:val="008215C3"/>
    <w:rsid w:val="008215D0"/>
    <w:rsid w:val="008219E1"/>
    <w:rsid w:val="00821B4B"/>
    <w:rsid w:val="00821B65"/>
    <w:rsid w:val="00821B68"/>
    <w:rsid w:val="00821B6E"/>
    <w:rsid w:val="00821C41"/>
    <w:rsid w:val="00821DF7"/>
    <w:rsid w:val="00821E04"/>
    <w:rsid w:val="00822091"/>
    <w:rsid w:val="008222E4"/>
    <w:rsid w:val="008225D7"/>
    <w:rsid w:val="0082298B"/>
    <w:rsid w:val="00822A8F"/>
    <w:rsid w:val="00822ACF"/>
    <w:rsid w:val="00822BF6"/>
    <w:rsid w:val="00822D42"/>
    <w:rsid w:val="00822E38"/>
    <w:rsid w:val="00823305"/>
    <w:rsid w:val="008234B5"/>
    <w:rsid w:val="0082356B"/>
    <w:rsid w:val="008236C4"/>
    <w:rsid w:val="00823955"/>
    <w:rsid w:val="00823A60"/>
    <w:rsid w:val="00823A95"/>
    <w:rsid w:val="00823CAE"/>
    <w:rsid w:val="0082420F"/>
    <w:rsid w:val="008246B9"/>
    <w:rsid w:val="0082473A"/>
    <w:rsid w:val="0082486F"/>
    <w:rsid w:val="008248E2"/>
    <w:rsid w:val="00824C94"/>
    <w:rsid w:val="008250C4"/>
    <w:rsid w:val="00825181"/>
    <w:rsid w:val="00825294"/>
    <w:rsid w:val="00825554"/>
    <w:rsid w:val="008257C8"/>
    <w:rsid w:val="00825883"/>
    <w:rsid w:val="00825B00"/>
    <w:rsid w:val="00825D69"/>
    <w:rsid w:val="00825E51"/>
    <w:rsid w:val="00826096"/>
    <w:rsid w:val="008261CB"/>
    <w:rsid w:val="00826225"/>
    <w:rsid w:val="00826258"/>
    <w:rsid w:val="008262CF"/>
    <w:rsid w:val="00826486"/>
    <w:rsid w:val="00826529"/>
    <w:rsid w:val="00826B58"/>
    <w:rsid w:val="00826DCF"/>
    <w:rsid w:val="00826EF2"/>
    <w:rsid w:val="00826F19"/>
    <w:rsid w:val="00827315"/>
    <w:rsid w:val="00827551"/>
    <w:rsid w:val="008278AA"/>
    <w:rsid w:val="0082794F"/>
    <w:rsid w:val="00827C09"/>
    <w:rsid w:val="00827C3F"/>
    <w:rsid w:val="00827CB7"/>
    <w:rsid w:val="00827E5F"/>
    <w:rsid w:val="0083018F"/>
    <w:rsid w:val="0083034B"/>
    <w:rsid w:val="00830806"/>
    <w:rsid w:val="00830BA7"/>
    <w:rsid w:val="00831079"/>
    <w:rsid w:val="00831111"/>
    <w:rsid w:val="00831487"/>
    <w:rsid w:val="0083161D"/>
    <w:rsid w:val="00831B8E"/>
    <w:rsid w:val="00831D96"/>
    <w:rsid w:val="00831F1E"/>
    <w:rsid w:val="00831F6A"/>
    <w:rsid w:val="008326F2"/>
    <w:rsid w:val="0083271C"/>
    <w:rsid w:val="00832994"/>
    <w:rsid w:val="008329DD"/>
    <w:rsid w:val="00832B87"/>
    <w:rsid w:val="00832FF9"/>
    <w:rsid w:val="00833001"/>
    <w:rsid w:val="008334AE"/>
    <w:rsid w:val="0083365A"/>
    <w:rsid w:val="00833756"/>
    <w:rsid w:val="00833828"/>
    <w:rsid w:val="00833874"/>
    <w:rsid w:val="00833ACD"/>
    <w:rsid w:val="00833B7A"/>
    <w:rsid w:val="00833CEF"/>
    <w:rsid w:val="00833E3C"/>
    <w:rsid w:val="00834495"/>
    <w:rsid w:val="008344F1"/>
    <w:rsid w:val="0083472C"/>
    <w:rsid w:val="00834756"/>
    <w:rsid w:val="00834988"/>
    <w:rsid w:val="00834A62"/>
    <w:rsid w:val="00834B5D"/>
    <w:rsid w:val="00834B6D"/>
    <w:rsid w:val="00834C82"/>
    <w:rsid w:val="00834E55"/>
    <w:rsid w:val="00834E96"/>
    <w:rsid w:val="00835087"/>
    <w:rsid w:val="008350D2"/>
    <w:rsid w:val="00835626"/>
    <w:rsid w:val="0083578B"/>
    <w:rsid w:val="008359EE"/>
    <w:rsid w:val="00835A54"/>
    <w:rsid w:val="00835ADA"/>
    <w:rsid w:val="00835B76"/>
    <w:rsid w:val="00835CB6"/>
    <w:rsid w:val="00835D2A"/>
    <w:rsid w:val="00835DE1"/>
    <w:rsid w:val="008361C2"/>
    <w:rsid w:val="00836318"/>
    <w:rsid w:val="008366A8"/>
    <w:rsid w:val="008368F6"/>
    <w:rsid w:val="00836A40"/>
    <w:rsid w:val="00836BB5"/>
    <w:rsid w:val="0083706A"/>
    <w:rsid w:val="00837281"/>
    <w:rsid w:val="008373A8"/>
    <w:rsid w:val="008376C4"/>
    <w:rsid w:val="0083785E"/>
    <w:rsid w:val="0083788C"/>
    <w:rsid w:val="00837ACF"/>
    <w:rsid w:val="00837B27"/>
    <w:rsid w:val="0084003F"/>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7D8"/>
    <w:rsid w:val="00841912"/>
    <w:rsid w:val="00841A10"/>
    <w:rsid w:val="00841ADC"/>
    <w:rsid w:val="00841CD4"/>
    <w:rsid w:val="008421B5"/>
    <w:rsid w:val="0084231A"/>
    <w:rsid w:val="00842466"/>
    <w:rsid w:val="008426B0"/>
    <w:rsid w:val="008426CD"/>
    <w:rsid w:val="008427EB"/>
    <w:rsid w:val="00842B59"/>
    <w:rsid w:val="00842BED"/>
    <w:rsid w:val="00842C26"/>
    <w:rsid w:val="00843466"/>
    <w:rsid w:val="0084360B"/>
    <w:rsid w:val="00843941"/>
    <w:rsid w:val="00843984"/>
    <w:rsid w:val="00843BCC"/>
    <w:rsid w:val="00843CC3"/>
    <w:rsid w:val="0084409E"/>
    <w:rsid w:val="008440C9"/>
    <w:rsid w:val="0084425F"/>
    <w:rsid w:val="0084448E"/>
    <w:rsid w:val="008445B8"/>
    <w:rsid w:val="00844B8A"/>
    <w:rsid w:val="00844B93"/>
    <w:rsid w:val="00844C8D"/>
    <w:rsid w:val="00844DE2"/>
    <w:rsid w:val="00844E74"/>
    <w:rsid w:val="00844FA9"/>
    <w:rsid w:val="00845002"/>
    <w:rsid w:val="00845084"/>
    <w:rsid w:val="0084520D"/>
    <w:rsid w:val="00845513"/>
    <w:rsid w:val="00845698"/>
    <w:rsid w:val="00845715"/>
    <w:rsid w:val="008457B3"/>
    <w:rsid w:val="00845853"/>
    <w:rsid w:val="00845A26"/>
    <w:rsid w:val="00845A39"/>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69"/>
    <w:rsid w:val="008516CB"/>
    <w:rsid w:val="0085181E"/>
    <w:rsid w:val="00851910"/>
    <w:rsid w:val="00851F4C"/>
    <w:rsid w:val="008526CA"/>
    <w:rsid w:val="0085275F"/>
    <w:rsid w:val="008529C9"/>
    <w:rsid w:val="00852A1A"/>
    <w:rsid w:val="00852C87"/>
    <w:rsid w:val="00852C9B"/>
    <w:rsid w:val="00852E21"/>
    <w:rsid w:val="00852E64"/>
    <w:rsid w:val="00852FAD"/>
    <w:rsid w:val="00853097"/>
    <w:rsid w:val="008532F0"/>
    <w:rsid w:val="008533FF"/>
    <w:rsid w:val="008535D9"/>
    <w:rsid w:val="00853600"/>
    <w:rsid w:val="00853889"/>
    <w:rsid w:val="00853B18"/>
    <w:rsid w:val="0085401A"/>
    <w:rsid w:val="0085410F"/>
    <w:rsid w:val="0085512D"/>
    <w:rsid w:val="00855251"/>
    <w:rsid w:val="008557ED"/>
    <w:rsid w:val="00855830"/>
    <w:rsid w:val="00855A8A"/>
    <w:rsid w:val="00855C77"/>
    <w:rsid w:val="00855CE5"/>
    <w:rsid w:val="0085601E"/>
    <w:rsid w:val="0085619A"/>
    <w:rsid w:val="008563B7"/>
    <w:rsid w:val="0085683B"/>
    <w:rsid w:val="0085696C"/>
    <w:rsid w:val="00856B31"/>
    <w:rsid w:val="00856CC1"/>
    <w:rsid w:val="00856D08"/>
    <w:rsid w:val="00856EAF"/>
    <w:rsid w:val="00856ECC"/>
    <w:rsid w:val="00856F27"/>
    <w:rsid w:val="00857091"/>
    <w:rsid w:val="0085717F"/>
    <w:rsid w:val="008572C7"/>
    <w:rsid w:val="008573EF"/>
    <w:rsid w:val="0085742A"/>
    <w:rsid w:val="008577F0"/>
    <w:rsid w:val="008578DE"/>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B8F"/>
    <w:rsid w:val="00860E18"/>
    <w:rsid w:val="00860FBE"/>
    <w:rsid w:val="008614F4"/>
    <w:rsid w:val="00861500"/>
    <w:rsid w:val="008615CA"/>
    <w:rsid w:val="0086187B"/>
    <w:rsid w:val="00861958"/>
    <w:rsid w:val="00861A87"/>
    <w:rsid w:val="00861F84"/>
    <w:rsid w:val="00862AA3"/>
    <w:rsid w:val="00862BCC"/>
    <w:rsid w:val="00862D75"/>
    <w:rsid w:val="00862DC9"/>
    <w:rsid w:val="00862E24"/>
    <w:rsid w:val="00862E3C"/>
    <w:rsid w:val="00862EE8"/>
    <w:rsid w:val="0086332C"/>
    <w:rsid w:val="008633C9"/>
    <w:rsid w:val="00863F15"/>
    <w:rsid w:val="00864052"/>
    <w:rsid w:val="008644BF"/>
    <w:rsid w:val="00864651"/>
    <w:rsid w:val="008653E1"/>
    <w:rsid w:val="00865438"/>
    <w:rsid w:val="008655DF"/>
    <w:rsid w:val="00865B4F"/>
    <w:rsid w:val="00865C43"/>
    <w:rsid w:val="00865C60"/>
    <w:rsid w:val="00865EC6"/>
    <w:rsid w:val="008660A0"/>
    <w:rsid w:val="008660FE"/>
    <w:rsid w:val="0086648A"/>
    <w:rsid w:val="008664F5"/>
    <w:rsid w:val="00866652"/>
    <w:rsid w:val="00866748"/>
    <w:rsid w:val="00866863"/>
    <w:rsid w:val="00866C95"/>
    <w:rsid w:val="00866DF9"/>
    <w:rsid w:val="00866F6A"/>
    <w:rsid w:val="008670C2"/>
    <w:rsid w:val="008671FC"/>
    <w:rsid w:val="0086727C"/>
    <w:rsid w:val="008672DD"/>
    <w:rsid w:val="008674BB"/>
    <w:rsid w:val="0086750E"/>
    <w:rsid w:val="0086751B"/>
    <w:rsid w:val="008677A4"/>
    <w:rsid w:val="00867907"/>
    <w:rsid w:val="0086796E"/>
    <w:rsid w:val="00867BC8"/>
    <w:rsid w:val="00867C4E"/>
    <w:rsid w:val="00867C90"/>
    <w:rsid w:val="00867F26"/>
    <w:rsid w:val="0087028E"/>
    <w:rsid w:val="0087031B"/>
    <w:rsid w:val="00870342"/>
    <w:rsid w:val="008703D9"/>
    <w:rsid w:val="008705A1"/>
    <w:rsid w:val="0087079C"/>
    <w:rsid w:val="00870862"/>
    <w:rsid w:val="00870B15"/>
    <w:rsid w:val="00870B4E"/>
    <w:rsid w:val="00870D4B"/>
    <w:rsid w:val="00870DD8"/>
    <w:rsid w:val="00871424"/>
    <w:rsid w:val="00871431"/>
    <w:rsid w:val="0087157C"/>
    <w:rsid w:val="008715C3"/>
    <w:rsid w:val="008715D0"/>
    <w:rsid w:val="00871779"/>
    <w:rsid w:val="00871826"/>
    <w:rsid w:val="00871878"/>
    <w:rsid w:val="008719AF"/>
    <w:rsid w:val="00871A51"/>
    <w:rsid w:val="00871B5B"/>
    <w:rsid w:val="00871BB8"/>
    <w:rsid w:val="00871F8A"/>
    <w:rsid w:val="0087210D"/>
    <w:rsid w:val="008727B5"/>
    <w:rsid w:val="00872B41"/>
    <w:rsid w:val="00872C27"/>
    <w:rsid w:val="00872C37"/>
    <w:rsid w:val="00872E6F"/>
    <w:rsid w:val="00872EE4"/>
    <w:rsid w:val="00873012"/>
    <w:rsid w:val="008732E8"/>
    <w:rsid w:val="00873499"/>
    <w:rsid w:val="00873616"/>
    <w:rsid w:val="008736CB"/>
    <w:rsid w:val="00873886"/>
    <w:rsid w:val="00873960"/>
    <w:rsid w:val="00873A04"/>
    <w:rsid w:val="00873B94"/>
    <w:rsid w:val="00873C58"/>
    <w:rsid w:val="00873CD7"/>
    <w:rsid w:val="00873DF4"/>
    <w:rsid w:val="00873EB5"/>
    <w:rsid w:val="008746E0"/>
    <w:rsid w:val="0087498A"/>
    <w:rsid w:val="008749DB"/>
    <w:rsid w:val="008749E2"/>
    <w:rsid w:val="00874A58"/>
    <w:rsid w:val="00874B70"/>
    <w:rsid w:val="00874D28"/>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D49"/>
    <w:rsid w:val="00876F03"/>
    <w:rsid w:val="008771CD"/>
    <w:rsid w:val="00877266"/>
    <w:rsid w:val="0087727D"/>
    <w:rsid w:val="008772F5"/>
    <w:rsid w:val="008773A1"/>
    <w:rsid w:val="0087745B"/>
    <w:rsid w:val="008775BE"/>
    <w:rsid w:val="008777CF"/>
    <w:rsid w:val="00877A2C"/>
    <w:rsid w:val="00880181"/>
    <w:rsid w:val="00880477"/>
    <w:rsid w:val="00880652"/>
    <w:rsid w:val="0088075F"/>
    <w:rsid w:val="008807D3"/>
    <w:rsid w:val="008808CF"/>
    <w:rsid w:val="00880AE9"/>
    <w:rsid w:val="00880D01"/>
    <w:rsid w:val="00880DE3"/>
    <w:rsid w:val="0088114A"/>
    <w:rsid w:val="00881380"/>
    <w:rsid w:val="00881664"/>
    <w:rsid w:val="00881744"/>
    <w:rsid w:val="00881924"/>
    <w:rsid w:val="008819D7"/>
    <w:rsid w:val="00881D4F"/>
    <w:rsid w:val="00881F37"/>
    <w:rsid w:val="008820A6"/>
    <w:rsid w:val="008822F5"/>
    <w:rsid w:val="00882715"/>
    <w:rsid w:val="00882A52"/>
    <w:rsid w:val="00882A61"/>
    <w:rsid w:val="00882A83"/>
    <w:rsid w:val="00882B6C"/>
    <w:rsid w:val="00882BAF"/>
    <w:rsid w:val="00882C21"/>
    <w:rsid w:val="00882E9A"/>
    <w:rsid w:val="00882F21"/>
    <w:rsid w:val="008831E6"/>
    <w:rsid w:val="0088347E"/>
    <w:rsid w:val="00883575"/>
    <w:rsid w:val="008835B8"/>
    <w:rsid w:val="00883780"/>
    <w:rsid w:val="0088395D"/>
    <w:rsid w:val="00883CFD"/>
    <w:rsid w:val="00883DFE"/>
    <w:rsid w:val="00884608"/>
    <w:rsid w:val="00884950"/>
    <w:rsid w:val="00884BDB"/>
    <w:rsid w:val="00884CAD"/>
    <w:rsid w:val="00884FA7"/>
    <w:rsid w:val="008851F2"/>
    <w:rsid w:val="00885484"/>
    <w:rsid w:val="00885511"/>
    <w:rsid w:val="00885528"/>
    <w:rsid w:val="00885587"/>
    <w:rsid w:val="00885683"/>
    <w:rsid w:val="008856A6"/>
    <w:rsid w:val="008858E8"/>
    <w:rsid w:val="00885A98"/>
    <w:rsid w:val="00885B62"/>
    <w:rsid w:val="00885C8E"/>
    <w:rsid w:val="00885D69"/>
    <w:rsid w:val="00885E0B"/>
    <w:rsid w:val="00886168"/>
    <w:rsid w:val="008862B3"/>
    <w:rsid w:val="008865C9"/>
    <w:rsid w:val="008865DC"/>
    <w:rsid w:val="0088661C"/>
    <w:rsid w:val="008867DA"/>
    <w:rsid w:val="00886832"/>
    <w:rsid w:val="0088683A"/>
    <w:rsid w:val="008868D7"/>
    <w:rsid w:val="008869B5"/>
    <w:rsid w:val="00886DB1"/>
    <w:rsid w:val="00886E52"/>
    <w:rsid w:val="0088709F"/>
    <w:rsid w:val="00887129"/>
    <w:rsid w:val="0088736B"/>
    <w:rsid w:val="00887398"/>
    <w:rsid w:val="008874FD"/>
    <w:rsid w:val="0088758B"/>
    <w:rsid w:val="0088766B"/>
    <w:rsid w:val="008877A0"/>
    <w:rsid w:val="008878BB"/>
    <w:rsid w:val="008879BA"/>
    <w:rsid w:val="0089012F"/>
    <w:rsid w:val="008901C8"/>
    <w:rsid w:val="0089039A"/>
    <w:rsid w:val="008903A4"/>
    <w:rsid w:val="008904C0"/>
    <w:rsid w:val="0089074E"/>
    <w:rsid w:val="0089090F"/>
    <w:rsid w:val="008909DF"/>
    <w:rsid w:val="00890B34"/>
    <w:rsid w:val="00890ED6"/>
    <w:rsid w:val="00890F88"/>
    <w:rsid w:val="00890FED"/>
    <w:rsid w:val="00891195"/>
    <w:rsid w:val="00891440"/>
    <w:rsid w:val="0089178F"/>
    <w:rsid w:val="00891796"/>
    <w:rsid w:val="00891B54"/>
    <w:rsid w:val="00891E9E"/>
    <w:rsid w:val="0089204A"/>
    <w:rsid w:val="008920B0"/>
    <w:rsid w:val="00892499"/>
    <w:rsid w:val="00892679"/>
    <w:rsid w:val="00892A1A"/>
    <w:rsid w:val="00892AA0"/>
    <w:rsid w:val="00892E61"/>
    <w:rsid w:val="00893032"/>
    <w:rsid w:val="008932C4"/>
    <w:rsid w:val="008932F1"/>
    <w:rsid w:val="008934CD"/>
    <w:rsid w:val="00893779"/>
    <w:rsid w:val="008937ED"/>
    <w:rsid w:val="00893880"/>
    <w:rsid w:val="0089391B"/>
    <w:rsid w:val="00893A28"/>
    <w:rsid w:val="00893D69"/>
    <w:rsid w:val="008942A3"/>
    <w:rsid w:val="008943C1"/>
    <w:rsid w:val="0089441D"/>
    <w:rsid w:val="00894641"/>
    <w:rsid w:val="0089476D"/>
    <w:rsid w:val="0089488D"/>
    <w:rsid w:val="008948A0"/>
    <w:rsid w:val="00894A52"/>
    <w:rsid w:val="00894B23"/>
    <w:rsid w:val="00894D47"/>
    <w:rsid w:val="00894D82"/>
    <w:rsid w:val="00894F73"/>
    <w:rsid w:val="008950E6"/>
    <w:rsid w:val="00895175"/>
    <w:rsid w:val="00895319"/>
    <w:rsid w:val="0089543A"/>
    <w:rsid w:val="008954AF"/>
    <w:rsid w:val="008954DE"/>
    <w:rsid w:val="008955C8"/>
    <w:rsid w:val="0089585B"/>
    <w:rsid w:val="00895890"/>
    <w:rsid w:val="008962DB"/>
    <w:rsid w:val="00896410"/>
    <w:rsid w:val="008964BE"/>
    <w:rsid w:val="00896812"/>
    <w:rsid w:val="008969E4"/>
    <w:rsid w:val="00896DA0"/>
    <w:rsid w:val="00896EFB"/>
    <w:rsid w:val="00897283"/>
    <w:rsid w:val="008973C3"/>
    <w:rsid w:val="0089747C"/>
    <w:rsid w:val="008974C1"/>
    <w:rsid w:val="008975C2"/>
    <w:rsid w:val="008975D8"/>
    <w:rsid w:val="008975FE"/>
    <w:rsid w:val="008976E8"/>
    <w:rsid w:val="00897B77"/>
    <w:rsid w:val="00897DB2"/>
    <w:rsid w:val="00897E4B"/>
    <w:rsid w:val="00897F24"/>
    <w:rsid w:val="008A0015"/>
    <w:rsid w:val="008A005A"/>
    <w:rsid w:val="008A0328"/>
    <w:rsid w:val="008A058E"/>
    <w:rsid w:val="008A081D"/>
    <w:rsid w:val="008A08BA"/>
    <w:rsid w:val="008A0D3C"/>
    <w:rsid w:val="008A0EDA"/>
    <w:rsid w:val="008A1044"/>
    <w:rsid w:val="008A117E"/>
    <w:rsid w:val="008A1209"/>
    <w:rsid w:val="008A1249"/>
    <w:rsid w:val="008A170D"/>
    <w:rsid w:val="008A1A2C"/>
    <w:rsid w:val="008A1B5B"/>
    <w:rsid w:val="008A1B8C"/>
    <w:rsid w:val="008A1C40"/>
    <w:rsid w:val="008A1D95"/>
    <w:rsid w:val="008A1F5F"/>
    <w:rsid w:val="008A222C"/>
    <w:rsid w:val="008A22E7"/>
    <w:rsid w:val="008A24CA"/>
    <w:rsid w:val="008A2774"/>
    <w:rsid w:val="008A2846"/>
    <w:rsid w:val="008A28D5"/>
    <w:rsid w:val="008A28F0"/>
    <w:rsid w:val="008A2A2A"/>
    <w:rsid w:val="008A2B62"/>
    <w:rsid w:val="008A2BC1"/>
    <w:rsid w:val="008A2F1A"/>
    <w:rsid w:val="008A2F3E"/>
    <w:rsid w:val="008A2FDB"/>
    <w:rsid w:val="008A3043"/>
    <w:rsid w:val="008A305C"/>
    <w:rsid w:val="008A30A2"/>
    <w:rsid w:val="008A3130"/>
    <w:rsid w:val="008A3317"/>
    <w:rsid w:val="008A333E"/>
    <w:rsid w:val="008A3758"/>
    <w:rsid w:val="008A3770"/>
    <w:rsid w:val="008A39AA"/>
    <w:rsid w:val="008A3DE4"/>
    <w:rsid w:val="008A3EA7"/>
    <w:rsid w:val="008A420F"/>
    <w:rsid w:val="008A42D8"/>
    <w:rsid w:val="008A441D"/>
    <w:rsid w:val="008A44DB"/>
    <w:rsid w:val="008A46BB"/>
    <w:rsid w:val="008A47C1"/>
    <w:rsid w:val="008A481C"/>
    <w:rsid w:val="008A49A0"/>
    <w:rsid w:val="008A4A0F"/>
    <w:rsid w:val="008A4BB1"/>
    <w:rsid w:val="008A4BB7"/>
    <w:rsid w:val="008A4ECB"/>
    <w:rsid w:val="008A517D"/>
    <w:rsid w:val="008A5241"/>
    <w:rsid w:val="008A5331"/>
    <w:rsid w:val="008A57F7"/>
    <w:rsid w:val="008A5913"/>
    <w:rsid w:val="008A5A1F"/>
    <w:rsid w:val="008A5AA5"/>
    <w:rsid w:val="008A5D78"/>
    <w:rsid w:val="008A5E61"/>
    <w:rsid w:val="008A5FDA"/>
    <w:rsid w:val="008A5FFE"/>
    <w:rsid w:val="008A60C5"/>
    <w:rsid w:val="008A617D"/>
    <w:rsid w:val="008A6206"/>
    <w:rsid w:val="008A64D1"/>
    <w:rsid w:val="008A6721"/>
    <w:rsid w:val="008A6772"/>
    <w:rsid w:val="008A68DB"/>
    <w:rsid w:val="008A6A40"/>
    <w:rsid w:val="008A6CDA"/>
    <w:rsid w:val="008A6D0E"/>
    <w:rsid w:val="008A7023"/>
    <w:rsid w:val="008A7110"/>
    <w:rsid w:val="008A7247"/>
    <w:rsid w:val="008A7309"/>
    <w:rsid w:val="008A7403"/>
    <w:rsid w:val="008A743E"/>
    <w:rsid w:val="008A777A"/>
    <w:rsid w:val="008A7932"/>
    <w:rsid w:val="008A7AB9"/>
    <w:rsid w:val="008A7CD0"/>
    <w:rsid w:val="008A7D55"/>
    <w:rsid w:val="008B004F"/>
    <w:rsid w:val="008B0588"/>
    <w:rsid w:val="008B0601"/>
    <w:rsid w:val="008B0626"/>
    <w:rsid w:val="008B0778"/>
    <w:rsid w:val="008B0792"/>
    <w:rsid w:val="008B087D"/>
    <w:rsid w:val="008B0D39"/>
    <w:rsid w:val="008B0FE1"/>
    <w:rsid w:val="008B1238"/>
    <w:rsid w:val="008B13B4"/>
    <w:rsid w:val="008B1426"/>
    <w:rsid w:val="008B14CE"/>
    <w:rsid w:val="008B1503"/>
    <w:rsid w:val="008B15DA"/>
    <w:rsid w:val="008B161F"/>
    <w:rsid w:val="008B1826"/>
    <w:rsid w:val="008B18FD"/>
    <w:rsid w:val="008B1A5E"/>
    <w:rsid w:val="008B2327"/>
    <w:rsid w:val="008B2398"/>
    <w:rsid w:val="008B26F0"/>
    <w:rsid w:val="008B2C1C"/>
    <w:rsid w:val="008B2E98"/>
    <w:rsid w:val="008B2F09"/>
    <w:rsid w:val="008B33D4"/>
    <w:rsid w:val="008B33D6"/>
    <w:rsid w:val="008B3409"/>
    <w:rsid w:val="008B3517"/>
    <w:rsid w:val="008B3618"/>
    <w:rsid w:val="008B36D9"/>
    <w:rsid w:val="008B374C"/>
    <w:rsid w:val="008B379A"/>
    <w:rsid w:val="008B38C8"/>
    <w:rsid w:val="008B3CC0"/>
    <w:rsid w:val="008B3D32"/>
    <w:rsid w:val="008B3D45"/>
    <w:rsid w:val="008B40F2"/>
    <w:rsid w:val="008B424A"/>
    <w:rsid w:val="008B42D9"/>
    <w:rsid w:val="008B42FD"/>
    <w:rsid w:val="008B4499"/>
    <w:rsid w:val="008B4620"/>
    <w:rsid w:val="008B4B1A"/>
    <w:rsid w:val="008B4D91"/>
    <w:rsid w:val="008B4DB1"/>
    <w:rsid w:val="008B4DED"/>
    <w:rsid w:val="008B4E8E"/>
    <w:rsid w:val="008B4EF5"/>
    <w:rsid w:val="008B4F92"/>
    <w:rsid w:val="008B5020"/>
    <w:rsid w:val="008B5052"/>
    <w:rsid w:val="008B538B"/>
    <w:rsid w:val="008B543D"/>
    <w:rsid w:val="008B5708"/>
    <w:rsid w:val="008B57ED"/>
    <w:rsid w:val="008B58DD"/>
    <w:rsid w:val="008B5A3B"/>
    <w:rsid w:val="008B5AA1"/>
    <w:rsid w:val="008B5D81"/>
    <w:rsid w:val="008B5E43"/>
    <w:rsid w:val="008B5E5E"/>
    <w:rsid w:val="008B62B9"/>
    <w:rsid w:val="008B639D"/>
    <w:rsid w:val="008B651A"/>
    <w:rsid w:val="008B678B"/>
    <w:rsid w:val="008B6A7A"/>
    <w:rsid w:val="008B6DE0"/>
    <w:rsid w:val="008B6E17"/>
    <w:rsid w:val="008B6E2B"/>
    <w:rsid w:val="008B7277"/>
    <w:rsid w:val="008B72A6"/>
    <w:rsid w:val="008B72C2"/>
    <w:rsid w:val="008B72DF"/>
    <w:rsid w:val="008B737B"/>
    <w:rsid w:val="008B75A7"/>
    <w:rsid w:val="008B794A"/>
    <w:rsid w:val="008B79AD"/>
    <w:rsid w:val="008B7E21"/>
    <w:rsid w:val="008C061C"/>
    <w:rsid w:val="008C070F"/>
    <w:rsid w:val="008C0B36"/>
    <w:rsid w:val="008C0D70"/>
    <w:rsid w:val="008C0FB8"/>
    <w:rsid w:val="008C102C"/>
    <w:rsid w:val="008C132A"/>
    <w:rsid w:val="008C1371"/>
    <w:rsid w:val="008C1698"/>
    <w:rsid w:val="008C181F"/>
    <w:rsid w:val="008C1B60"/>
    <w:rsid w:val="008C1BC5"/>
    <w:rsid w:val="008C1FB4"/>
    <w:rsid w:val="008C22D7"/>
    <w:rsid w:val="008C22F5"/>
    <w:rsid w:val="008C24C3"/>
    <w:rsid w:val="008C2684"/>
    <w:rsid w:val="008C27E7"/>
    <w:rsid w:val="008C2982"/>
    <w:rsid w:val="008C2B62"/>
    <w:rsid w:val="008C2BFA"/>
    <w:rsid w:val="008C2E58"/>
    <w:rsid w:val="008C35E0"/>
    <w:rsid w:val="008C3933"/>
    <w:rsid w:val="008C3B02"/>
    <w:rsid w:val="008C3BCB"/>
    <w:rsid w:val="008C3C29"/>
    <w:rsid w:val="008C3DFE"/>
    <w:rsid w:val="008C40F4"/>
    <w:rsid w:val="008C42A6"/>
    <w:rsid w:val="008C439A"/>
    <w:rsid w:val="008C4406"/>
    <w:rsid w:val="008C4542"/>
    <w:rsid w:val="008C45D7"/>
    <w:rsid w:val="008C4A41"/>
    <w:rsid w:val="008C4CD3"/>
    <w:rsid w:val="008C4EF1"/>
    <w:rsid w:val="008C50EB"/>
    <w:rsid w:val="008C51F8"/>
    <w:rsid w:val="008C52E8"/>
    <w:rsid w:val="008C5385"/>
    <w:rsid w:val="008C53CF"/>
    <w:rsid w:val="008C5927"/>
    <w:rsid w:val="008C5979"/>
    <w:rsid w:val="008C5AB3"/>
    <w:rsid w:val="008C5BC5"/>
    <w:rsid w:val="008C5BEC"/>
    <w:rsid w:val="008C5C71"/>
    <w:rsid w:val="008C5DD2"/>
    <w:rsid w:val="008C607C"/>
    <w:rsid w:val="008C609F"/>
    <w:rsid w:val="008C637E"/>
    <w:rsid w:val="008C650D"/>
    <w:rsid w:val="008C6537"/>
    <w:rsid w:val="008C6555"/>
    <w:rsid w:val="008C65BB"/>
    <w:rsid w:val="008C6A4A"/>
    <w:rsid w:val="008C6AC6"/>
    <w:rsid w:val="008C6C12"/>
    <w:rsid w:val="008C6C27"/>
    <w:rsid w:val="008C7079"/>
    <w:rsid w:val="008C7176"/>
    <w:rsid w:val="008C7605"/>
    <w:rsid w:val="008C7624"/>
    <w:rsid w:val="008C7789"/>
    <w:rsid w:val="008C7958"/>
    <w:rsid w:val="008C79BD"/>
    <w:rsid w:val="008C7B55"/>
    <w:rsid w:val="008C7BAB"/>
    <w:rsid w:val="008C7CBF"/>
    <w:rsid w:val="008C7E29"/>
    <w:rsid w:val="008C7E42"/>
    <w:rsid w:val="008D00F3"/>
    <w:rsid w:val="008D01D6"/>
    <w:rsid w:val="008D03D3"/>
    <w:rsid w:val="008D0486"/>
    <w:rsid w:val="008D04D4"/>
    <w:rsid w:val="008D05A1"/>
    <w:rsid w:val="008D07CD"/>
    <w:rsid w:val="008D0935"/>
    <w:rsid w:val="008D09B5"/>
    <w:rsid w:val="008D0B4F"/>
    <w:rsid w:val="008D0C39"/>
    <w:rsid w:val="008D0CFC"/>
    <w:rsid w:val="008D10F0"/>
    <w:rsid w:val="008D1574"/>
    <w:rsid w:val="008D1957"/>
    <w:rsid w:val="008D195E"/>
    <w:rsid w:val="008D19C0"/>
    <w:rsid w:val="008D1D5C"/>
    <w:rsid w:val="008D1D89"/>
    <w:rsid w:val="008D1E78"/>
    <w:rsid w:val="008D1E92"/>
    <w:rsid w:val="008D22FA"/>
    <w:rsid w:val="008D24BF"/>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239"/>
    <w:rsid w:val="008D499F"/>
    <w:rsid w:val="008D4EFE"/>
    <w:rsid w:val="008D4F6B"/>
    <w:rsid w:val="008D4FB6"/>
    <w:rsid w:val="008D50F8"/>
    <w:rsid w:val="008D517B"/>
    <w:rsid w:val="008D5399"/>
    <w:rsid w:val="008D543F"/>
    <w:rsid w:val="008D549B"/>
    <w:rsid w:val="008D580F"/>
    <w:rsid w:val="008D597C"/>
    <w:rsid w:val="008D599D"/>
    <w:rsid w:val="008D59C9"/>
    <w:rsid w:val="008D59EA"/>
    <w:rsid w:val="008D5B64"/>
    <w:rsid w:val="008D5BF3"/>
    <w:rsid w:val="008D5CE7"/>
    <w:rsid w:val="008D5D7F"/>
    <w:rsid w:val="008D5E4B"/>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569"/>
    <w:rsid w:val="008D76EC"/>
    <w:rsid w:val="008D7B2D"/>
    <w:rsid w:val="008D7C1A"/>
    <w:rsid w:val="008D7D7E"/>
    <w:rsid w:val="008E009C"/>
    <w:rsid w:val="008E0237"/>
    <w:rsid w:val="008E036D"/>
    <w:rsid w:val="008E0749"/>
    <w:rsid w:val="008E0A4D"/>
    <w:rsid w:val="008E0C6A"/>
    <w:rsid w:val="008E0CA0"/>
    <w:rsid w:val="008E0DA8"/>
    <w:rsid w:val="008E11DE"/>
    <w:rsid w:val="008E1482"/>
    <w:rsid w:val="008E18FC"/>
    <w:rsid w:val="008E1953"/>
    <w:rsid w:val="008E1B45"/>
    <w:rsid w:val="008E1C08"/>
    <w:rsid w:val="008E1C72"/>
    <w:rsid w:val="008E1ED6"/>
    <w:rsid w:val="008E20F0"/>
    <w:rsid w:val="008E2287"/>
    <w:rsid w:val="008E2702"/>
    <w:rsid w:val="008E2881"/>
    <w:rsid w:val="008E2C27"/>
    <w:rsid w:val="008E2CE7"/>
    <w:rsid w:val="008E3482"/>
    <w:rsid w:val="008E3491"/>
    <w:rsid w:val="008E3561"/>
    <w:rsid w:val="008E36FA"/>
    <w:rsid w:val="008E37B4"/>
    <w:rsid w:val="008E3A9B"/>
    <w:rsid w:val="008E3B2D"/>
    <w:rsid w:val="008E3BA5"/>
    <w:rsid w:val="008E3EA3"/>
    <w:rsid w:val="008E3EB8"/>
    <w:rsid w:val="008E4434"/>
    <w:rsid w:val="008E45BB"/>
    <w:rsid w:val="008E47C8"/>
    <w:rsid w:val="008E489B"/>
    <w:rsid w:val="008E49D3"/>
    <w:rsid w:val="008E4D08"/>
    <w:rsid w:val="008E4F89"/>
    <w:rsid w:val="008E512F"/>
    <w:rsid w:val="008E515B"/>
    <w:rsid w:val="008E5427"/>
    <w:rsid w:val="008E583A"/>
    <w:rsid w:val="008E5A68"/>
    <w:rsid w:val="008E5F81"/>
    <w:rsid w:val="008E61DA"/>
    <w:rsid w:val="008E6282"/>
    <w:rsid w:val="008E62C2"/>
    <w:rsid w:val="008E6454"/>
    <w:rsid w:val="008E66D3"/>
    <w:rsid w:val="008E689F"/>
    <w:rsid w:val="008E68F2"/>
    <w:rsid w:val="008E6BF7"/>
    <w:rsid w:val="008E6D90"/>
    <w:rsid w:val="008E6F28"/>
    <w:rsid w:val="008E714C"/>
    <w:rsid w:val="008E71E4"/>
    <w:rsid w:val="008E7395"/>
    <w:rsid w:val="008E73B6"/>
    <w:rsid w:val="008E74BE"/>
    <w:rsid w:val="008E7547"/>
    <w:rsid w:val="008E76C4"/>
    <w:rsid w:val="008E7746"/>
    <w:rsid w:val="008E783F"/>
    <w:rsid w:val="008E7BF1"/>
    <w:rsid w:val="008E7C25"/>
    <w:rsid w:val="008E7CA7"/>
    <w:rsid w:val="008E7DD3"/>
    <w:rsid w:val="008E7F8C"/>
    <w:rsid w:val="008E7FE5"/>
    <w:rsid w:val="008F007F"/>
    <w:rsid w:val="008F0121"/>
    <w:rsid w:val="008F02C7"/>
    <w:rsid w:val="008F02CF"/>
    <w:rsid w:val="008F0304"/>
    <w:rsid w:val="008F04CF"/>
    <w:rsid w:val="008F097A"/>
    <w:rsid w:val="008F0981"/>
    <w:rsid w:val="008F0A08"/>
    <w:rsid w:val="008F0A31"/>
    <w:rsid w:val="008F0F1A"/>
    <w:rsid w:val="008F0FE2"/>
    <w:rsid w:val="008F1281"/>
    <w:rsid w:val="008F136C"/>
    <w:rsid w:val="008F1AE7"/>
    <w:rsid w:val="008F1F9F"/>
    <w:rsid w:val="008F2046"/>
    <w:rsid w:val="008F20BB"/>
    <w:rsid w:val="008F218E"/>
    <w:rsid w:val="008F2478"/>
    <w:rsid w:val="008F24D1"/>
    <w:rsid w:val="008F269D"/>
    <w:rsid w:val="008F2B3A"/>
    <w:rsid w:val="008F30C2"/>
    <w:rsid w:val="008F3104"/>
    <w:rsid w:val="008F353A"/>
    <w:rsid w:val="008F37C7"/>
    <w:rsid w:val="008F3856"/>
    <w:rsid w:val="008F3873"/>
    <w:rsid w:val="008F3981"/>
    <w:rsid w:val="008F3A56"/>
    <w:rsid w:val="008F3AF0"/>
    <w:rsid w:val="008F3B2A"/>
    <w:rsid w:val="008F3B5C"/>
    <w:rsid w:val="008F3F21"/>
    <w:rsid w:val="008F4400"/>
    <w:rsid w:val="008F44B7"/>
    <w:rsid w:val="008F47A0"/>
    <w:rsid w:val="008F48C6"/>
    <w:rsid w:val="008F4CAD"/>
    <w:rsid w:val="008F4CB5"/>
    <w:rsid w:val="008F4E13"/>
    <w:rsid w:val="008F4EF3"/>
    <w:rsid w:val="008F5171"/>
    <w:rsid w:val="008F53CA"/>
    <w:rsid w:val="008F54CA"/>
    <w:rsid w:val="008F5659"/>
    <w:rsid w:val="008F56FD"/>
    <w:rsid w:val="008F5B3A"/>
    <w:rsid w:val="008F5BE2"/>
    <w:rsid w:val="008F5DA9"/>
    <w:rsid w:val="008F5DE8"/>
    <w:rsid w:val="008F6082"/>
    <w:rsid w:val="008F6117"/>
    <w:rsid w:val="008F6167"/>
    <w:rsid w:val="008F6521"/>
    <w:rsid w:val="008F6629"/>
    <w:rsid w:val="008F686A"/>
    <w:rsid w:val="008F6B2C"/>
    <w:rsid w:val="008F6CDB"/>
    <w:rsid w:val="008F6D69"/>
    <w:rsid w:val="008F6FEF"/>
    <w:rsid w:val="008F715F"/>
    <w:rsid w:val="008F71CE"/>
    <w:rsid w:val="008F7298"/>
    <w:rsid w:val="008F7361"/>
    <w:rsid w:val="008F75A5"/>
    <w:rsid w:val="008F7914"/>
    <w:rsid w:val="008F7956"/>
    <w:rsid w:val="008F7E76"/>
    <w:rsid w:val="008F7FBD"/>
    <w:rsid w:val="0090031A"/>
    <w:rsid w:val="00900343"/>
    <w:rsid w:val="009003A6"/>
    <w:rsid w:val="0090062B"/>
    <w:rsid w:val="009006D8"/>
    <w:rsid w:val="0090073D"/>
    <w:rsid w:val="0090086B"/>
    <w:rsid w:val="00900A2F"/>
    <w:rsid w:val="00900ABB"/>
    <w:rsid w:val="00900AF5"/>
    <w:rsid w:val="00900E0A"/>
    <w:rsid w:val="00900FA3"/>
    <w:rsid w:val="00900FC8"/>
    <w:rsid w:val="00901123"/>
    <w:rsid w:val="0090124E"/>
    <w:rsid w:val="00901536"/>
    <w:rsid w:val="00901537"/>
    <w:rsid w:val="0090157F"/>
    <w:rsid w:val="0090174C"/>
    <w:rsid w:val="0090192C"/>
    <w:rsid w:val="00901939"/>
    <w:rsid w:val="00901951"/>
    <w:rsid w:val="00901BAE"/>
    <w:rsid w:val="00901CFF"/>
    <w:rsid w:val="00901E11"/>
    <w:rsid w:val="00901EF4"/>
    <w:rsid w:val="00901EF9"/>
    <w:rsid w:val="009020D0"/>
    <w:rsid w:val="00902188"/>
    <w:rsid w:val="00902383"/>
    <w:rsid w:val="009023EB"/>
    <w:rsid w:val="009024A4"/>
    <w:rsid w:val="00902937"/>
    <w:rsid w:val="009029CF"/>
    <w:rsid w:val="00902A02"/>
    <w:rsid w:val="00902DAF"/>
    <w:rsid w:val="00902FFB"/>
    <w:rsid w:val="009030FA"/>
    <w:rsid w:val="00903130"/>
    <w:rsid w:val="009031F6"/>
    <w:rsid w:val="00903252"/>
    <w:rsid w:val="009034CE"/>
    <w:rsid w:val="0090355C"/>
    <w:rsid w:val="0090380D"/>
    <w:rsid w:val="00903981"/>
    <w:rsid w:val="00903A98"/>
    <w:rsid w:val="00903B73"/>
    <w:rsid w:val="00903F1F"/>
    <w:rsid w:val="00903FB4"/>
    <w:rsid w:val="00903FD7"/>
    <w:rsid w:val="00904364"/>
    <w:rsid w:val="00904459"/>
    <w:rsid w:val="0090468B"/>
    <w:rsid w:val="00904724"/>
    <w:rsid w:val="0090480B"/>
    <w:rsid w:val="009048DF"/>
    <w:rsid w:val="00904A7C"/>
    <w:rsid w:val="00904B71"/>
    <w:rsid w:val="00904D11"/>
    <w:rsid w:val="00904D4C"/>
    <w:rsid w:val="00905094"/>
    <w:rsid w:val="009050D4"/>
    <w:rsid w:val="00905470"/>
    <w:rsid w:val="009055A3"/>
    <w:rsid w:val="009055DF"/>
    <w:rsid w:val="009059C9"/>
    <w:rsid w:val="009059FF"/>
    <w:rsid w:val="00905C8B"/>
    <w:rsid w:val="0090612D"/>
    <w:rsid w:val="009063D3"/>
    <w:rsid w:val="0090656E"/>
    <w:rsid w:val="009068CD"/>
    <w:rsid w:val="009069BB"/>
    <w:rsid w:val="00906B6C"/>
    <w:rsid w:val="00906B83"/>
    <w:rsid w:val="00906D65"/>
    <w:rsid w:val="00906F53"/>
    <w:rsid w:val="00907083"/>
    <w:rsid w:val="0090776F"/>
    <w:rsid w:val="009077A3"/>
    <w:rsid w:val="00907969"/>
    <w:rsid w:val="009079AB"/>
    <w:rsid w:val="00907A71"/>
    <w:rsid w:val="00907B37"/>
    <w:rsid w:val="00907B72"/>
    <w:rsid w:val="00907CAF"/>
    <w:rsid w:val="00907E55"/>
    <w:rsid w:val="009102A8"/>
    <w:rsid w:val="00910364"/>
    <w:rsid w:val="009103F0"/>
    <w:rsid w:val="00910737"/>
    <w:rsid w:val="00910D63"/>
    <w:rsid w:val="00910EDC"/>
    <w:rsid w:val="009116E5"/>
    <w:rsid w:val="009118EE"/>
    <w:rsid w:val="00911BC1"/>
    <w:rsid w:val="00911C12"/>
    <w:rsid w:val="00911C85"/>
    <w:rsid w:val="00911E5C"/>
    <w:rsid w:val="00911ED3"/>
    <w:rsid w:val="00911FA7"/>
    <w:rsid w:val="00911FC6"/>
    <w:rsid w:val="0091257D"/>
    <w:rsid w:val="009125D9"/>
    <w:rsid w:val="00912878"/>
    <w:rsid w:val="00912A75"/>
    <w:rsid w:val="00912B27"/>
    <w:rsid w:val="00912B4F"/>
    <w:rsid w:val="00912C0B"/>
    <w:rsid w:val="00912C2B"/>
    <w:rsid w:val="00913208"/>
    <w:rsid w:val="0091325C"/>
    <w:rsid w:val="00913561"/>
    <w:rsid w:val="009138C2"/>
    <w:rsid w:val="009140C3"/>
    <w:rsid w:val="00914169"/>
    <w:rsid w:val="0091458E"/>
    <w:rsid w:val="0091474B"/>
    <w:rsid w:val="0091479C"/>
    <w:rsid w:val="009148E0"/>
    <w:rsid w:val="0091492F"/>
    <w:rsid w:val="00914A6B"/>
    <w:rsid w:val="00914B15"/>
    <w:rsid w:val="00914B34"/>
    <w:rsid w:val="00914BEA"/>
    <w:rsid w:val="00914F66"/>
    <w:rsid w:val="00915045"/>
    <w:rsid w:val="0091505F"/>
    <w:rsid w:val="009152AE"/>
    <w:rsid w:val="00915318"/>
    <w:rsid w:val="0091536A"/>
    <w:rsid w:val="009153A8"/>
    <w:rsid w:val="009157B3"/>
    <w:rsid w:val="00915863"/>
    <w:rsid w:val="00915A7C"/>
    <w:rsid w:val="00915BDD"/>
    <w:rsid w:val="00915CCE"/>
    <w:rsid w:val="00915E64"/>
    <w:rsid w:val="00915EFD"/>
    <w:rsid w:val="00916679"/>
    <w:rsid w:val="009166F2"/>
    <w:rsid w:val="009168E1"/>
    <w:rsid w:val="00916D83"/>
    <w:rsid w:val="00916D8C"/>
    <w:rsid w:val="00916E40"/>
    <w:rsid w:val="00916FB9"/>
    <w:rsid w:val="009170DF"/>
    <w:rsid w:val="00917126"/>
    <w:rsid w:val="009172E0"/>
    <w:rsid w:val="00917390"/>
    <w:rsid w:val="00917725"/>
    <w:rsid w:val="00917749"/>
    <w:rsid w:val="009177EA"/>
    <w:rsid w:val="0091781C"/>
    <w:rsid w:val="00917A68"/>
    <w:rsid w:val="00917AE1"/>
    <w:rsid w:val="00917D13"/>
    <w:rsid w:val="00917FB9"/>
    <w:rsid w:val="0092008E"/>
    <w:rsid w:val="00920213"/>
    <w:rsid w:val="0092047F"/>
    <w:rsid w:val="009206A8"/>
    <w:rsid w:val="00920768"/>
    <w:rsid w:val="00920E94"/>
    <w:rsid w:val="00920FA3"/>
    <w:rsid w:val="009210B8"/>
    <w:rsid w:val="0092130A"/>
    <w:rsid w:val="009215C2"/>
    <w:rsid w:val="0092170E"/>
    <w:rsid w:val="00921B0F"/>
    <w:rsid w:val="00921E20"/>
    <w:rsid w:val="00921E89"/>
    <w:rsid w:val="00922148"/>
    <w:rsid w:val="00922281"/>
    <w:rsid w:val="009226FD"/>
    <w:rsid w:val="00922828"/>
    <w:rsid w:val="009229C1"/>
    <w:rsid w:val="00922B84"/>
    <w:rsid w:val="00922C0F"/>
    <w:rsid w:val="00922CB0"/>
    <w:rsid w:val="00922F94"/>
    <w:rsid w:val="009232FB"/>
    <w:rsid w:val="00923450"/>
    <w:rsid w:val="009234DA"/>
    <w:rsid w:val="0092354B"/>
    <w:rsid w:val="009236D7"/>
    <w:rsid w:val="0092398E"/>
    <w:rsid w:val="00923A0D"/>
    <w:rsid w:val="00923DE4"/>
    <w:rsid w:val="00923E73"/>
    <w:rsid w:val="009241C3"/>
    <w:rsid w:val="00924301"/>
    <w:rsid w:val="0092464B"/>
    <w:rsid w:val="00924654"/>
    <w:rsid w:val="009246CD"/>
    <w:rsid w:val="00924830"/>
    <w:rsid w:val="00924935"/>
    <w:rsid w:val="00924CD1"/>
    <w:rsid w:val="00924D01"/>
    <w:rsid w:val="009250FC"/>
    <w:rsid w:val="00925449"/>
    <w:rsid w:val="0092577C"/>
    <w:rsid w:val="00925978"/>
    <w:rsid w:val="00925F08"/>
    <w:rsid w:val="00925FEA"/>
    <w:rsid w:val="00926558"/>
    <w:rsid w:val="009265C3"/>
    <w:rsid w:val="0092667A"/>
    <w:rsid w:val="009266A2"/>
    <w:rsid w:val="0092679A"/>
    <w:rsid w:val="00926AEC"/>
    <w:rsid w:val="00926B3A"/>
    <w:rsid w:val="00926C7C"/>
    <w:rsid w:val="00926C97"/>
    <w:rsid w:val="00926EB6"/>
    <w:rsid w:val="00927052"/>
    <w:rsid w:val="00927129"/>
    <w:rsid w:val="009273F0"/>
    <w:rsid w:val="009273F2"/>
    <w:rsid w:val="009275B4"/>
    <w:rsid w:val="009276EB"/>
    <w:rsid w:val="009279A0"/>
    <w:rsid w:val="00930018"/>
    <w:rsid w:val="009303B7"/>
    <w:rsid w:val="009309A5"/>
    <w:rsid w:val="00930A60"/>
    <w:rsid w:val="00930CBE"/>
    <w:rsid w:val="00930E67"/>
    <w:rsid w:val="0093106F"/>
    <w:rsid w:val="009310FC"/>
    <w:rsid w:val="0093112E"/>
    <w:rsid w:val="00931228"/>
    <w:rsid w:val="00931446"/>
    <w:rsid w:val="009316F7"/>
    <w:rsid w:val="0093177D"/>
    <w:rsid w:val="009317A6"/>
    <w:rsid w:val="009318DD"/>
    <w:rsid w:val="00931B1C"/>
    <w:rsid w:val="00931B93"/>
    <w:rsid w:val="00931E1E"/>
    <w:rsid w:val="00931F86"/>
    <w:rsid w:val="00931F9F"/>
    <w:rsid w:val="00931FFD"/>
    <w:rsid w:val="00932118"/>
    <w:rsid w:val="009321B7"/>
    <w:rsid w:val="00932C4B"/>
    <w:rsid w:val="00932C6C"/>
    <w:rsid w:val="00932E5C"/>
    <w:rsid w:val="009330B5"/>
    <w:rsid w:val="009330F5"/>
    <w:rsid w:val="0093345A"/>
    <w:rsid w:val="00933DDA"/>
    <w:rsid w:val="00933EAF"/>
    <w:rsid w:val="00933F70"/>
    <w:rsid w:val="009341C3"/>
    <w:rsid w:val="0093424E"/>
    <w:rsid w:val="00934313"/>
    <w:rsid w:val="009347D7"/>
    <w:rsid w:val="0093481F"/>
    <w:rsid w:val="00934AB6"/>
    <w:rsid w:val="00934AD4"/>
    <w:rsid w:val="00934B08"/>
    <w:rsid w:val="00934B15"/>
    <w:rsid w:val="00934C61"/>
    <w:rsid w:val="00934F6B"/>
    <w:rsid w:val="009350E4"/>
    <w:rsid w:val="009351E6"/>
    <w:rsid w:val="00935836"/>
    <w:rsid w:val="009358FB"/>
    <w:rsid w:val="0093596F"/>
    <w:rsid w:val="009359C5"/>
    <w:rsid w:val="00935A3D"/>
    <w:rsid w:val="00935D29"/>
    <w:rsid w:val="00935E3D"/>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F5C"/>
    <w:rsid w:val="00940254"/>
    <w:rsid w:val="009402BC"/>
    <w:rsid w:val="009402D8"/>
    <w:rsid w:val="0094052F"/>
    <w:rsid w:val="009405EC"/>
    <w:rsid w:val="00940687"/>
    <w:rsid w:val="00940A3B"/>
    <w:rsid w:val="00940E1B"/>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EB"/>
    <w:rsid w:val="009426AA"/>
    <w:rsid w:val="009427A1"/>
    <w:rsid w:val="00942B76"/>
    <w:rsid w:val="00942C52"/>
    <w:rsid w:val="00942C9B"/>
    <w:rsid w:val="00942E4E"/>
    <w:rsid w:val="00942EB4"/>
    <w:rsid w:val="00942F80"/>
    <w:rsid w:val="00943347"/>
    <w:rsid w:val="00943348"/>
    <w:rsid w:val="009438E8"/>
    <w:rsid w:val="00943975"/>
    <w:rsid w:val="00943998"/>
    <w:rsid w:val="00943BC0"/>
    <w:rsid w:val="00943DDF"/>
    <w:rsid w:val="00943F3E"/>
    <w:rsid w:val="0094405C"/>
    <w:rsid w:val="009441CC"/>
    <w:rsid w:val="00944306"/>
    <w:rsid w:val="0094455A"/>
    <w:rsid w:val="0094462A"/>
    <w:rsid w:val="00944B30"/>
    <w:rsid w:val="00944DEF"/>
    <w:rsid w:val="00944F01"/>
    <w:rsid w:val="00945026"/>
    <w:rsid w:val="009450C0"/>
    <w:rsid w:val="00945239"/>
    <w:rsid w:val="009454FD"/>
    <w:rsid w:val="00945579"/>
    <w:rsid w:val="0094568D"/>
    <w:rsid w:val="00945C56"/>
    <w:rsid w:val="00945C5B"/>
    <w:rsid w:val="00945DAC"/>
    <w:rsid w:val="00945DE9"/>
    <w:rsid w:val="00945EEB"/>
    <w:rsid w:val="00946217"/>
    <w:rsid w:val="0094629E"/>
    <w:rsid w:val="009463A8"/>
    <w:rsid w:val="0094647C"/>
    <w:rsid w:val="009464D7"/>
    <w:rsid w:val="0094662E"/>
    <w:rsid w:val="0094664F"/>
    <w:rsid w:val="00946678"/>
    <w:rsid w:val="0094686A"/>
    <w:rsid w:val="00946A50"/>
    <w:rsid w:val="00946C1A"/>
    <w:rsid w:val="00946DA9"/>
    <w:rsid w:val="00946E47"/>
    <w:rsid w:val="00946FA9"/>
    <w:rsid w:val="00946FBB"/>
    <w:rsid w:val="00947084"/>
    <w:rsid w:val="009471CE"/>
    <w:rsid w:val="009472D3"/>
    <w:rsid w:val="0094744B"/>
    <w:rsid w:val="009475B8"/>
    <w:rsid w:val="00947675"/>
    <w:rsid w:val="00947717"/>
    <w:rsid w:val="0094776A"/>
    <w:rsid w:val="009478F4"/>
    <w:rsid w:val="00947C45"/>
    <w:rsid w:val="00947F28"/>
    <w:rsid w:val="009504FB"/>
    <w:rsid w:val="009507A7"/>
    <w:rsid w:val="00950AAC"/>
    <w:rsid w:val="00950B7A"/>
    <w:rsid w:val="00950BC9"/>
    <w:rsid w:val="00950C35"/>
    <w:rsid w:val="00950D6B"/>
    <w:rsid w:val="00950D8A"/>
    <w:rsid w:val="00950ECB"/>
    <w:rsid w:val="00950EE6"/>
    <w:rsid w:val="009512AB"/>
    <w:rsid w:val="00951392"/>
    <w:rsid w:val="00951949"/>
    <w:rsid w:val="009519DD"/>
    <w:rsid w:val="00951A73"/>
    <w:rsid w:val="00951ACE"/>
    <w:rsid w:val="00951B0A"/>
    <w:rsid w:val="009520DC"/>
    <w:rsid w:val="00952333"/>
    <w:rsid w:val="00952376"/>
    <w:rsid w:val="00952477"/>
    <w:rsid w:val="009525F0"/>
    <w:rsid w:val="009526AC"/>
    <w:rsid w:val="00952987"/>
    <w:rsid w:val="00952A1A"/>
    <w:rsid w:val="00952AF7"/>
    <w:rsid w:val="00952B05"/>
    <w:rsid w:val="00952B96"/>
    <w:rsid w:val="0095330C"/>
    <w:rsid w:val="009535CD"/>
    <w:rsid w:val="009536A0"/>
    <w:rsid w:val="00953854"/>
    <w:rsid w:val="00953A0C"/>
    <w:rsid w:val="00953ADF"/>
    <w:rsid w:val="00953EC6"/>
    <w:rsid w:val="00953F4F"/>
    <w:rsid w:val="009542DB"/>
    <w:rsid w:val="00954388"/>
    <w:rsid w:val="00954450"/>
    <w:rsid w:val="0095453A"/>
    <w:rsid w:val="00954598"/>
    <w:rsid w:val="009545FD"/>
    <w:rsid w:val="00954742"/>
    <w:rsid w:val="0095485C"/>
    <w:rsid w:val="0095497A"/>
    <w:rsid w:val="009549CB"/>
    <w:rsid w:val="00954A86"/>
    <w:rsid w:val="00955262"/>
    <w:rsid w:val="0095538F"/>
    <w:rsid w:val="0095550E"/>
    <w:rsid w:val="00955887"/>
    <w:rsid w:val="009558A8"/>
    <w:rsid w:val="00955AAA"/>
    <w:rsid w:val="00955B6E"/>
    <w:rsid w:val="0095607A"/>
    <w:rsid w:val="009561DD"/>
    <w:rsid w:val="0095622E"/>
    <w:rsid w:val="00956598"/>
    <w:rsid w:val="009565CF"/>
    <w:rsid w:val="0095694F"/>
    <w:rsid w:val="00956A2A"/>
    <w:rsid w:val="00956C12"/>
    <w:rsid w:val="009577E0"/>
    <w:rsid w:val="00957956"/>
    <w:rsid w:val="00957D5E"/>
    <w:rsid w:val="00957EFA"/>
    <w:rsid w:val="00960049"/>
    <w:rsid w:val="009603B7"/>
    <w:rsid w:val="00960D91"/>
    <w:rsid w:val="00961015"/>
    <w:rsid w:val="00961171"/>
    <w:rsid w:val="00961523"/>
    <w:rsid w:val="00961587"/>
    <w:rsid w:val="009616DE"/>
    <w:rsid w:val="0096173F"/>
    <w:rsid w:val="00961B6A"/>
    <w:rsid w:val="00961BE5"/>
    <w:rsid w:val="00961C5C"/>
    <w:rsid w:val="00962158"/>
    <w:rsid w:val="0096218D"/>
    <w:rsid w:val="009622E2"/>
    <w:rsid w:val="00962305"/>
    <w:rsid w:val="009625FF"/>
    <w:rsid w:val="0096270C"/>
    <w:rsid w:val="00962796"/>
    <w:rsid w:val="009627F8"/>
    <w:rsid w:val="009628C3"/>
    <w:rsid w:val="0096293C"/>
    <w:rsid w:val="00962B53"/>
    <w:rsid w:val="00962CC6"/>
    <w:rsid w:val="00962F27"/>
    <w:rsid w:val="00963B0A"/>
    <w:rsid w:val="00963CF1"/>
    <w:rsid w:val="00963D03"/>
    <w:rsid w:val="00963EAF"/>
    <w:rsid w:val="00963EDA"/>
    <w:rsid w:val="009642E1"/>
    <w:rsid w:val="009643B1"/>
    <w:rsid w:val="009644A0"/>
    <w:rsid w:val="0096460C"/>
    <w:rsid w:val="009647E9"/>
    <w:rsid w:val="009649AC"/>
    <w:rsid w:val="00964A73"/>
    <w:rsid w:val="00964DAB"/>
    <w:rsid w:val="00964E5D"/>
    <w:rsid w:val="00964F18"/>
    <w:rsid w:val="009655C5"/>
    <w:rsid w:val="00965998"/>
    <w:rsid w:val="00965B10"/>
    <w:rsid w:val="00965BD2"/>
    <w:rsid w:val="00965C2B"/>
    <w:rsid w:val="00965D5C"/>
    <w:rsid w:val="00965FA0"/>
    <w:rsid w:val="0096619C"/>
    <w:rsid w:val="009661BE"/>
    <w:rsid w:val="0096633E"/>
    <w:rsid w:val="009664D1"/>
    <w:rsid w:val="009667CD"/>
    <w:rsid w:val="00966AF5"/>
    <w:rsid w:val="00966D30"/>
    <w:rsid w:val="009674A4"/>
    <w:rsid w:val="00967766"/>
    <w:rsid w:val="00967840"/>
    <w:rsid w:val="00967843"/>
    <w:rsid w:val="009679E4"/>
    <w:rsid w:val="00967C4C"/>
    <w:rsid w:val="00967FD2"/>
    <w:rsid w:val="0097002B"/>
    <w:rsid w:val="00970626"/>
    <w:rsid w:val="00970A02"/>
    <w:rsid w:val="00970B47"/>
    <w:rsid w:val="00970C3F"/>
    <w:rsid w:val="00970DD6"/>
    <w:rsid w:val="00970F12"/>
    <w:rsid w:val="00970F35"/>
    <w:rsid w:val="00971052"/>
    <w:rsid w:val="009710B5"/>
    <w:rsid w:val="009713DA"/>
    <w:rsid w:val="009713FC"/>
    <w:rsid w:val="0097146A"/>
    <w:rsid w:val="009714C7"/>
    <w:rsid w:val="00971649"/>
    <w:rsid w:val="00971754"/>
    <w:rsid w:val="00971A21"/>
    <w:rsid w:val="00971AB0"/>
    <w:rsid w:val="00971B03"/>
    <w:rsid w:val="00972045"/>
    <w:rsid w:val="0097210D"/>
    <w:rsid w:val="0097210E"/>
    <w:rsid w:val="00972A9D"/>
    <w:rsid w:val="00972B8F"/>
    <w:rsid w:val="00972C80"/>
    <w:rsid w:val="00973464"/>
    <w:rsid w:val="009735B5"/>
    <w:rsid w:val="00973873"/>
    <w:rsid w:val="0097388C"/>
    <w:rsid w:val="00973935"/>
    <w:rsid w:val="009739C5"/>
    <w:rsid w:val="00973A1F"/>
    <w:rsid w:val="00973BFE"/>
    <w:rsid w:val="00973C48"/>
    <w:rsid w:val="00973E1B"/>
    <w:rsid w:val="00974300"/>
    <w:rsid w:val="00974319"/>
    <w:rsid w:val="009743E7"/>
    <w:rsid w:val="00974924"/>
    <w:rsid w:val="00974A9D"/>
    <w:rsid w:val="00974B5E"/>
    <w:rsid w:val="00974CD2"/>
    <w:rsid w:val="00974EF1"/>
    <w:rsid w:val="00975182"/>
    <w:rsid w:val="0097559F"/>
    <w:rsid w:val="009755E4"/>
    <w:rsid w:val="009756AB"/>
    <w:rsid w:val="00975B62"/>
    <w:rsid w:val="00975C56"/>
    <w:rsid w:val="00975E9F"/>
    <w:rsid w:val="00975EAA"/>
    <w:rsid w:val="00975EF7"/>
    <w:rsid w:val="00975FE1"/>
    <w:rsid w:val="00976087"/>
    <w:rsid w:val="009760A7"/>
    <w:rsid w:val="00976303"/>
    <w:rsid w:val="0097631C"/>
    <w:rsid w:val="0097633B"/>
    <w:rsid w:val="00976618"/>
    <w:rsid w:val="009767DE"/>
    <w:rsid w:val="009769D1"/>
    <w:rsid w:val="00976B14"/>
    <w:rsid w:val="00976B87"/>
    <w:rsid w:val="00976C18"/>
    <w:rsid w:val="00976C7E"/>
    <w:rsid w:val="00976D84"/>
    <w:rsid w:val="0097702C"/>
    <w:rsid w:val="009773AD"/>
    <w:rsid w:val="009775B1"/>
    <w:rsid w:val="009777F0"/>
    <w:rsid w:val="00977B22"/>
    <w:rsid w:val="00977B2E"/>
    <w:rsid w:val="00977CFE"/>
    <w:rsid w:val="00977DD5"/>
    <w:rsid w:val="0098008C"/>
    <w:rsid w:val="009801A7"/>
    <w:rsid w:val="009804A2"/>
    <w:rsid w:val="009805D6"/>
    <w:rsid w:val="0098075B"/>
    <w:rsid w:val="00980D9E"/>
    <w:rsid w:val="00980E3A"/>
    <w:rsid w:val="00980FBF"/>
    <w:rsid w:val="0098147A"/>
    <w:rsid w:val="009815C1"/>
    <w:rsid w:val="009816C0"/>
    <w:rsid w:val="009818E1"/>
    <w:rsid w:val="00981DCC"/>
    <w:rsid w:val="00981F80"/>
    <w:rsid w:val="00982737"/>
    <w:rsid w:val="00982C25"/>
    <w:rsid w:val="00982C60"/>
    <w:rsid w:val="00982D3E"/>
    <w:rsid w:val="00982DCC"/>
    <w:rsid w:val="00983113"/>
    <w:rsid w:val="00983238"/>
    <w:rsid w:val="0098327A"/>
    <w:rsid w:val="009833C7"/>
    <w:rsid w:val="009835BC"/>
    <w:rsid w:val="0098360A"/>
    <w:rsid w:val="009836CA"/>
    <w:rsid w:val="00983CEB"/>
    <w:rsid w:val="00983EA4"/>
    <w:rsid w:val="00983EF1"/>
    <w:rsid w:val="0098405F"/>
    <w:rsid w:val="009842DA"/>
    <w:rsid w:val="00984545"/>
    <w:rsid w:val="0098459E"/>
    <w:rsid w:val="009845D0"/>
    <w:rsid w:val="009849FC"/>
    <w:rsid w:val="00984AEB"/>
    <w:rsid w:val="00984C64"/>
    <w:rsid w:val="00984E4A"/>
    <w:rsid w:val="0098511B"/>
    <w:rsid w:val="009851D8"/>
    <w:rsid w:val="009852E0"/>
    <w:rsid w:val="0098568E"/>
    <w:rsid w:val="00985EC6"/>
    <w:rsid w:val="00985F43"/>
    <w:rsid w:val="0098628A"/>
    <w:rsid w:val="009862FC"/>
    <w:rsid w:val="00986639"/>
    <w:rsid w:val="00986762"/>
    <w:rsid w:val="009868C4"/>
    <w:rsid w:val="00986A94"/>
    <w:rsid w:val="00986E7B"/>
    <w:rsid w:val="00986F82"/>
    <w:rsid w:val="009870CA"/>
    <w:rsid w:val="0098736A"/>
    <w:rsid w:val="0098738C"/>
    <w:rsid w:val="009876D5"/>
    <w:rsid w:val="009878DB"/>
    <w:rsid w:val="00987BFA"/>
    <w:rsid w:val="00987C18"/>
    <w:rsid w:val="00987CCC"/>
    <w:rsid w:val="009900AB"/>
    <w:rsid w:val="0099013D"/>
    <w:rsid w:val="00990163"/>
    <w:rsid w:val="009901CC"/>
    <w:rsid w:val="0099028F"/>
    <w:rsid w:val="00990534"/>
    <w:rsid w:val="009905DA"/>
    <w:rsid w:val="0099066D"/>
    <w:rsid w:val="0099077E"/>
    <w:rsid w:val="009907ED"/>
    <w:rsid w:val="00990A3F"/>
    <w:rsid w:val="00990B85"/>
    <w:rsid w:val="00990D53"/>
    <w:rsid w:val="00990D77"/>
    <w:rsid w:val="00990EDB"/>
    <w:rsid w:val="009910A3"/>
    <w:rsid w:val="00991162"/>
    <w:rsid w:val="00991207"/>
    <w:rsid w:val="009912E9"/>
    <w:rsid w:val="0099134E"/>
    <w:rsid w:val="0099168A"/>
    <w:rsid w:val="00991846"/>
    <w:rsid w:val="009919AC"/>
    <w:rsid w:val="00991AE3"/>
    <w:rsid w:val="00991D22"/>
    <w:rsid w:val="00991EAA"/>
    <w:rsid w:val="00991EF6"/>
    <w:rsid w:val="00991F27"/>
    <w:rsid w:val="00991F87"/>
    <w:rsid w:val="0099207E"/>
    <w:rsid w:val="00992528"/>
    <w:rsid w:val="00992558"/>
    <w:rsid w:val="00992574"/>
    <w:rsid w:val="00992583"/>
    <w:rsid w:val="009925CB"/>
    <w:rsid w:val="009926A6"/>
    <w:rsid w:val="00992910"/>
    <w:rsid w:val="00992947"/>
    <w:rsid w:val="00992A2D"/>
    <w:rsid w:val="00992B80"/>
    <w:rsid w:val="00992C8A"/>
    <w:rsid w:val="00992E6C"/>
    <w:rsid w:val="00993018"/>
    <w:rsid w:val="00993096"/>
    <w:rsid w:val="009933D7"/>
    <w:rsid w:val="00993701"/>
    <w:rsid w:val="00993C0F"/>
    <w:rsid w:val="00993FC5"/>
    <w:rsid w:val="00994034"/>
    <w:rsid w:val="00994188"/>
    <w:rsid w:val="009944CE"/>
    <w:rsid w:val="0099454A"/>
    <w:rsid w:val="009946BD"/>
    <w:rsid w:val="0099481F"/>
    <w:rsid w:val="00994C14"/>
    <w:rsid w:val="009950A7"/>
    <w:rsid w:val="0099545A"/>
    <w:rsid w:val="009955FE"/>
    <w:rsid w:val="0099596D"/>
    <w:rsid w:val="00995B9F"/>
    <w:rsid w:val="00995CF5"/>
    <w:rsid w:val="0099639D"/>
    <w:rsid w:val="009964CD"/>
    <w:rsid w:val="00996547"/>
    <w:rsid w:val="00996769"/>
    <w:rsid w:val="00996941"/>
    <w:rsid w:val="00996987"/>
    <w:rsid w:val="00996A1E"/>
    <w:rsid w:val="00996A81"/>
    <w:rsid w:val="00996BA3"/>
    <w:rsid w:val="00996BBC"/>
    <w:rsid w:val="00996D5E"/>
    <w:rsid w:val="009970CB"/>
    <w:rsid w:val="009971FA"/>
    <w:rsid w:val="00997326"/>
    <w:rsid w:val="009973C7"/>
    <w:rsid w:val="009974CC"/>
    <w:rsid w:val="00997627"/>
    <w:rsid w:val="00997649"/>
    <w:rsid w:val="009977DE"/>
    <w:rsid w:val="009977F9"/>
    <w:rsid w:val="0099783D"/>
    <w:rsid w:val="00997935"/>
    <w:rsid w:val="00997945"/>
    <w:rsid w:val="00997B4E"/>
    <w:rsid w:val="00997BA3"/>
    <w:rsid w:val="00997DE9"/>
    <w:rsid w:val="00997FC7"/>
    <w:rsid w:val="009A00A6"/>
    <w:rsid w:val="009A03D2"/>
    <w:rsid w:val="009A049C"/>
    <w:rsid w:val="009A0567"/>
    <w:rsid w:val="009A0671"/>
    <w:rsid w:val="009A06EE"/>
    <w:rsid w:val="009A0734"/>
    <w:rsid w:val="009A0741"/>
    <w:rsid w:val="009A078D"/>
    <w:rsid w:val="009A0BEF"/>
    <w:rsid w:val="009A0D4B"/>
    <w:rsid w:val="009A0E99"/>
    <w:rsid w:val="009A10A4"/>
    <w:rsid w:val="009A1199"/>
    <w:rsid w:val="009A11F2"/>
    <w:rsid w:val="009A18B3"/>
    <w:rsid w:val="009A1997"/>
    <w:rsid w:val="009A1AE7"/>
    <w:rsid w:val="009A1D1D"/>
    <w:rsid w:val="009A1D3A"/>
    <w:rsid w:val="009A1D69"/>
    <w:rsid w:val="009A1E1D"/>
    <w:rsid w:val="009A1FFF"/>
    <w:rsid w:val="009A2045"/>
    <w:rsid w:val="009A2191"/>
    <w:rsid w:val="009A2660"/>
    <w:rsid w:val="009A26C2"/>
    <w:rsid w:val="009A2747"/>
    <w:rsid w:val="009A278C"/>
    <w:rsid w:val="009A2893"/>
    <w:rsid w:val="009A298C"/>
    <w:rsid w:val="009A2A02"/>
    <w:rsid w:val="009A2A84"/>
    <w:rsid w:val="009A2C04"/>
    <w:rsid w:val="009A2F56"/>
    <w:rsid w:val="009A31B1"/>
    <w:rsid w:val="009A33B7"/>
    <w:rsid w:val="009A354C"/>
    <w:rsid w:val="009A357E"/>
    <w:rsid w:val="009A37EE"/>
    <w:rsid w:val="009A391B"/>
    <w:rsid w:val="009A3947"/>
    <w:rsid w:val="009A4330"/>
    <w:rsid w:val="009A4557"/>
    <w:rsid w:val="009A46DA"/>
    <w:rsid w:val="009A4991"/>
    <w:rsid w:val="009A4D5D"/>
    <w:rsid w:val="009A4F00"/>
    <w:rsid w:val="009A50B8"/>
    <w:rsid w:val="009A5353"/>
    <w:rsid w:val="009A59DE"/>
    <w:rsid w:val="009A5A6E"/>
    <w:rsid w:val="009A6038"/>
    <w:rsid w:val="009A6064"/>
    <w:rsid w:val="009A637C"/>
    <w:rsid w:val="009A6635"/>
    <w:rsid w:val="009A6875"/>
    <w:rsid w:val="009A68A1"/>
    <w:rsid w:val="009A6C67"/>
    <w:rsid w:val="009A6CBA"/>
    <w:rsid w:val="009A6F54"/>
    <w:rsid w:val="009A70CB"/>
    <w:rsid w:val="009A7182"/>
    <w:rsid w:val="009A7A39"/>
    <w:rsid w:val="009A7C19"/>
    <w:rsid w:val="009A7EE5"/>
    <w:rsid w:val="009B01CC"/>
    <w:rsid w:val="009B022F"/>
    <w:rsid w:val="009B0C0E"/>
    <w:rsid w:val="009B1356"/>
    <w:rsid w:val="009B17B4"/>
    <w:rsid w:val="009B18A5"/>
    <w:rsid w:val="009B1B57"/>
    <w:rsid w:val="009B1BD0"/>
    <w:rsid w:val="009B1D12"/>
    <w:rsid w:val="009B1D39"/>
    <w:rsid w:val="009B1E1C"/>
    <w:rsid w:val="009B1F4B"/>
    <w:rsid w:val="009B220A"/>
    <w:rsid w:val="009B2263"/>
    <w:rsid w:val="009B2281"/>
    <w:rsid w:val="009B22C7"/>
    <w:rsid w:val="009B2598"/>
    <w:rsid w:val="009B25B6"/>
    <w:rsid w:val="009B2834"/>
    <w:rsid w:val="009B2C0D"/>
    <w:rsid w:val="009B2C63"/>
    <w:rsid w:val="009B2DD0"/>
    <w:rsid w:val="009B2F07"/>
    <w:rsid w:val="009B2F20"/>
    <w:rsid w:val="009B313A"/>
    <w:rsid w:val="009B32C8"/>
    <w:rsid w:val="009B33BE"/>
    <w:rsid w:val="009B36D9"/>
    <w:rsid w:val="009B3745"/>
    <w:rsid w:val="009B3A7B"/>
    <w:rsid w:val="009B3AE2"/>
    <w:rsid w:val="009B3BAC"/>
    <w:rsid w:val="009B3BB3"/>
    <w:rsid w:val="009B3D53"/>
    <w:rsid w:val="009B3E28"/>
    <w:rsid w:val="009B3FCA"/>
    <w:rsid w:val="009B4185"/>
    <w:rsid w:val="009B4195"/>
    <w:rsid w:val="009B4239"/>
    <w:rsid w:val="009B4394"/>
    <w:rsid w:val="009B43D5"/>
    <w:rsid w:val="009B47F4"/>
    <w:rsid w:val="009B4874"/>
    <w:rsid w:val="009B492C"/>
    <w:rsid w:val="009B497F"/>
    <w:rsid w:val="009B4A52"/>
    <w:rsid w:val="009B4D44"/>
    <w:rsid w:val="009B4D57"/>
    <w:rsid w:val="009B536C"/>
    <w:rsid w:val="009B53A1"/>
    <w:rsid w:val="009B554B"/>
    <w:rsid w:val="009B5720"/>
    <w:rsid w:val="009B57CE"/>
    <w:rsid w:val="009B5A38"/>
    <w:rsid w:val="009B5DF2"/>
    <w:rsid w:val="009B5F04"/>
    <w:rsid w:val="009B5F2A"/>
    <w:rsid w:val="009B630B"/>
    <w:rsid w:val="009B6480"/>
    <w:rsid w:val="009B6499"/>
    <w:rsid w:val="009B66D7"/>
    <w:rsid w:val="009B6EBC"/>
    <w:rsid w:val="009B6F7E"/>
    <w:rsid w:val="009B71C8"/>
    <w:rsid w:val="009B72E3"/>
    <w:rsid w:val="009B7326"/>
    <w:rsid w:val="009B74EE"/>
    <w:rsid w:val="009B757C"/>
    <w:rsid w:val="009B7A27"/>
    <w:rsid w:val="009B7B12"/>
    <w:rsid w:val="009B7F08"/>
    <w:rsid w:val="009C007B"/>
    <w:rsid w:val="009C016A"/>
    <w:rsid w:val="009C01A1"/>
    <w:rsid w:val="009C056B"/>
    <w:rsid w:val="009C0684"/>
    <w:rsid w:val="009C0FA3"/>
    <w:rsid w:val="009C0FEC"/>
    <w:rsid w:val="009C105D"/>
    <w:rsid w:val="009C107D"/>
    <w:rsid w:val="009C1117"/>
    <w:rsid w:val="009C135F"/>
    <w:rsid w:val="009C1415"/>
    <w:rsid w:val="009C141D"/>
    <w:rsid w:val="009C1648"/>
    <w:rsid w:val="009C16BE"/>
    <w:rsid w:val="009C1775"/>
    <w:rsid w:val="009C17C3"/>
    <w:rsid w:val="009C180D"/>
    <w:rsid w:val="009C1975"/>
    <w:rsid w:val="009C19C4"/>
    <w:rsid w:val="009C1D51"/>
    <w:rsid w:val="009C1DB7"/>
    <w:rsid w:val="009C1E97"/>
    <w:rsid w:val="009C1F1F"/>
    <w:rsid w:val="009C2146"/>
    <w:rsid w:val="009C2476"/>
    <w:rsid w:val="009C26AA"/>
    <w:rsid w:val="009C26E0"/>
    <w:rsid w:val="009C2828"/>
    <w:rsid w:val="009C2BB7"/>
    <w:rsid w:val="009C2E14"/>
    <w:rsid w:val="009C3216"/>
    <w:rsid w:val="009C3511"/>
    <w:rsid w:val="009C3570"/>
    <w:rsid w:val="009C3607"/>
    <w:rsid w:val="009C364D"/>
    <w:rsid w:val="009C37C4"/>
    <w:rsid w:val="009C3D59"/>
    <w:rsid w:val="009C3FFA"/>
    <w:rsid w:val="009C41B1"/>
    <w:rsid w:val="009C42DB"/>
    <w:rsid w:val="009C4A1B"/>
    <w:rsid w:val="009C4A4C"/>
    <w:rsid w:val="009C4B77"/>
    <w:rsid w:val="009C4DF3"/>
    <w:rsid w:val="009C4EC8"/>
    <w:rsid w:val="009C510C"/>
    <w:rsid w:val="009C5280"/>
    <w:rsid w:val="009C5356"/>
    <w:rsid w:val="009C56DD"/>
    <w:rsid w:val="009C57A2"/>
    <w:rsid w:val="009C5833"/>
    <w:rsid w:val="009C617C"/>
    <w:rsid w:val="009C62DF"/>
    <w:rsid w:val="009C630F"/>
    <w:rsid w:val="009C6383"/>
    <w:rsid w:val="009C6538"/>
    <w:rsid w:val="009C66AD"/>
    <w:rsid w:val="009C6723"/>
    <w:rsid w:val="009C68A3"/>
    <w:rsid w:val="009C69D6"/>
    <w:rsid w:val="009C6BFA"/>
    <w:rsid w:val="009C6CA8"/>
    <w:rsid w:val="009C6D2C"/>
    <w:rsid w:val="009C6E58"/>
    <w:rsid w:val="009C71E1"/>
    <w:rsid w:val="009C7269"/>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488"/>
    <w:rsid w:val="009D052E"/>
    <w:rsid w:val="009D0727"/>
    <w:rsid w:val="009D0806"/>
    <w:rsid w:val="009D08A3"/>
    <w:rsid w:val="009D08CE"/>
    <w:rsid w:val="009D08EA"/>
    <w:rsid w:val="009D0B17"/>
    <w:rsid w:val="009D0CC9"/>
    <w:rsid w:val="009D0DCE"/>
    <w:rsid w:val="009D0EA4"/>
    <w:rsid w:val="009D0F3E"/>
    <w:rsid w:val="009D0FB4"/>
    <w:rsid w:val="009D106D"/>
    <w:rsid w:val="009D1335"/>
    <w:rsid w:val="009D13BC"/>
    <w:rsid w:val="009D1610"/>
    <w:rsid w:val="009D1982"/>
    <w:rsid w:val="009D1B83"/>
    <w:rsid w:val="009D1D0B"/>
    <w:rsid w:val="009D1E22"/>
    <w:rsid w:val="009D25BC"/>
    <w:rsid w:val="009D278E"/>
    <w:rsid w:val="009D27DF"/>
    <w:rsid w:val="009D27E9"/>
    <w:rsid w:val="009D27EA"/>
    <w:rsid w:val="009D28DE"/>
    <w:rsid w:val="009D2A05"/>
    <w:rsid w:val="009D2E42"/>
    <w:rsid w:val="009D30F2"/>
    <w:rsid w:val="009D3304"/>
    <w:rsid w:val="009D34FF"/>
    <w:rsid w:val="009D3680"/>
    <w:rsid w:val="009D378C"/>
    <w:rsid w:val="009D3803"/>
    <w:rsid w:val="009D383F"/>
    <w:rsid w:val="009D387C"/>
    <w:rsid w:val="009D38A4"/>
    <w:rsid w:val="009D38CC"/>
    <w:rsid w:val="009D38E7"/>
    <w:rsid w:val="009D407D"/>
    <w:rsid w:val="009D4137"/>
    <w:rsid w:val="009D4170"/>
    <w:rsid w:val="009D431B"/>
    <w:rsid w:val="009D43F7"/>
    <w:rsid w:val="009D4529"/>
    <w:rsid w:val="009D494E"/>
    <w:rsid w:val="009D4C72"/>
    <w:rsid w:val="009D4D4E"/>
    <w:rsid w:val="009D4DCE"/>
    <w:rsid w:val="009D534C"/>
    <w:rsid w:val="009D5377"/>
    <w:rsid w:val="009D5597"/>
    <w:rsid w:val="009D5678"/>
    <w:rsid w:val="009D5E71"/>
    <w:rsid w:val="009D603C"/>
    <w:rsid w:val="009D605C"/>
    <w:rsid w:val="009D60BC"/>
    <w:rsid w:val="009D631D"/>
    <w:rsid w:val="009D655B"/>
    <w:rsid w:val="009D676F"/>
    <w:rsid w:val="009D6CB5"/>
    <w:rsid w:val="009D6E8F"/>
    <w:rsid w:val="009D6F1A"/>
    <w:rsid w:val="009D7571"/>
    <w:rsid w:val="009D7B12"/>
    <w:rsid w:val="009E0477"/>
    <w:rsid w:val="009E05EA"/>
    <w:rsid w:val="009E0A55"/>
    <w:rsid w:val="009E0BA2"/>
    <w:rsid w:val="009E0CB1"/>
    <w:rsid w:val="009E0DAE"/>
    <w:rsid w:val="009E100C"/>
    <w:rsid w:val="009E10F9"/>
    <w:rsid w:val="009E11F8"/>
    <w:rsid w:val="009E154F"/>
    <w:rsid w:val="009E17A4"/>
    <w:rsid w:val="009E1B4A"/>
    <w:rsid w:val="009E1C1F"/>
    <w:rsid w:val="009E1D34"/>
    <w:rsid w:val="009E1E5F"/>
    <w:rsid w:val="009E1FD7"/>
    <w:rsid w:val="009E20C0"/>
    <w:rsid w:val="009E2137"/>
    <w:rsid w:val="009E2390"/>
    <w:rsid w:val="009E23E8"/>
    <w:rsid w:val="009E24FD"/>
    <w:rsid w:val="009E25BC"/>
    <w:rsid w:val="009E2650"/>
    <w:rsid w:val="009E2812"/>
    <w:rsid w:val="009E290F"/>
    <w:rsid w:val="009E2DA4"/>
    <w:rsid w:val="009E304D"/>
    <w:rsid w:val="009E31EF"/>
    <w:rsid w:val="009E337E"/>
    <w:rsid w:val="009E368A"/>
    <w:rsid w:val="009E386B"/>
    <w:rsid w:val="009E388F"/>
    <w:rsid w:val="009E3AE5"/>
    <w:rsid w:val="009E3FF5"/>
    <w:rsid w:val="009E407D"/>
    <w:rsid w:val="009E45CE"/>
    <w:rsid w:val="009E46B2"/>
    <w:rsid w:val="009E4804"/>
    <w:rsid w:val="009E482F"/>
    <w:rsid w:val="009E485B"/>
    <w:rsid w:val="009E4A3E"/>
    <w:rsid w:val="009E4A62"/>
    <w:rsid w:val="009E4A87"/>
    <w:rsid w:val="009E4B09"/>
    <w:rsid w:val="009E4B13"/>
    <w:rsid w:val="009E4B41"/>
    <w:rsid w:val="009E4C60"/>
    <w:rsid w:val="009E4CF7"/>
    <w:rsid w:val="009E4DA5"/>
    <w:rsid w:val="009E4EF6"/>
    <w:rsid w:val="009E5009"/>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100"/>
    <w:rsid w:val="009E7345"/>
    <w:rsid w:val="009E73F4"/>
    <w:rsid w:val="009E74B8"/>
    <w:rsid w:val="009E74EC"/>
    <w:rsid w:val="009E753F"/>
    <w:rsid w:val="009E76D0"/>
    <w:rsid w:val="009E77A7"/>
    <w:rsid w:val="009E7A85"/>
    <w:rsid w:val="009E7AE0"/>
    <w:rsid w:val="009E7BF3"/>
    <w:rsid w:val="009E7CFD"/>
    <w:rsid w:val="009E7FFE"/>
    <w:rsid w:val="009F0080"/>
    <w:rsid w:val="009F056D"/>
    <w:rsid w:val="009F064F"/>
    <w:rsid w:val="009F06B0"/>
    <w:rsid w:val="009F0903"/>
    <w:rsid w:val="009F0C4B"/>
    <w:rsid w:val="009F0E06"/>
    <w:rsid w:val="009F0E90"/>
    <w:rsid w:val="009F10B8"/>
    <w:rsid w:val="009F1346"/>
    <w:rsid w:val="009F139A"/>
    <w:rsid w:val="009F13B0"/>
    <w:rsid w:val="009F145A"/>
    <w:rsid w:val="009F15B6"/>
    <w:rsid w:val="009F187D"/>
    <w:rsid w:val="009F27FA"/>
    <w:rsid w:val="009F2997"/>
    <w:rsid w:val="009F29AA"/>
    <w:rsid w:val="009F2C85"/>
    <w:rsid w:val="009F2D89"/>
    <w:rsid w:val="009F35BF"/>
    <w:rsid w:val="009F3B39"/>
    <w:rsid w:val="009F3CFD"/>
    <w:rsid w:val="009F3EA4"/>
    <w:rsid w:val="009F411C"/>
    <w:rsid w:val="009F4244"/>
    <w:rsid w:val="009F42DD"/>
    <w:rsid w:val="009F44F3"/>
    <w:rsid w:val="009F4793"/>
    <w:rsid w:val="009F4CE9"/>
    <w:rsid w:val="009F4D96"/>
    <w:rsid w:val="009F4FA8"/>
    <w:rsid w:val="009F50CD"/>
    <w:rsid w:val="009F5148"/>
    <w:rsid w:val="009F5338"/>
    <w:rsid w:val="009F5400"/>
    <w:rsid w:val="009F54B6"/>
    <w:rsid w:val="009F55A7"/>
    <w:rsid w:val="009F57E3"/>
    <w:rsid w:val="009F5942"/>
    <w:rsid w:val="009F59A4"/>
    <w:rsid w:val="009F6015"/>
    <w:rsid w:val="009F6027"/>
    <w:rsid w:val="009F604C"/>
    <w:rsid w:val="009F6372"/>
    <w:rsid w:val="009F6579"/>
    <w:rsid w:val="009F65BF"/>
    <w:rsid w:val="009F66DA"/>
    <w:rsid w:val="009F681C"/>
    <w:rsid w:val="009F69D1"/>
    <w:rsid w:val="009F6A31"/>
    <w:rsid w:val="009F6A3E"/>
    <w:rsid w:val="009F6CA7"/>
    <w:rsid w:val="009F6D2D"/>
    <w:rsid w:val="009F7684"/>
    <w:rsid w:val="009F7755"/>
    <w:rsid w:val="009F782F"/>
    <w:rsid w:val="009F7A98"/>
    <w:rsid w:val="009F7AD1"/>
    <w:rsid w:val="009F7BD2"/>
    <w:rsid w:val="009F7E94"/>
    <w:rsid w:val="009F7EBF"/>
    <w:rsid w:val="00A0010E"/>
    <w:rsid w:val="00A00453"/>
    <w:rsid w:val="00A005F7"/>
    <w:rsid w:val="00A00744"/>
    <w:rsid w:val="00A00857"/>
    <w:rsid w:val="00A00A33"/>
    <w:rsid w:val="00A00A39"/>
    <w:rsid w:val="00A00AD4"/>
    <w:rsid w:val="00A00DD1"/>
    <w:rsid w:val="00A00E0E"/>
    <w:rsid w:val="00A00EC2"/>
    <w:rsid w:val="00A0104A"/>
    <w:rsid w:val="00A010AE"/>
    <w:rsid w:val="00A010BC"/>
    <w:rsid w:val="00A01563"/>
    <w:rsid w:val="00A0166B"/>
    <w:rsid w:val="00A0172E"/>
    <w:rsid w:val="00A01833"/>
    <w:rsid w:val="00A0191A"/>
    <w:rsid w:val="00A01946"/>
    <w:rsid w:val="00A01A37"/>
    <w:rsid w:val="00A01BB0"/>
    <w:rsid w:val="00A01DBA"/>
    <w:rsid w:val="00A01FA6"/>
    <w:rsid w:val="00A02398"/>
    <w:rsid w:val="00A0242A"/>
    <w:rsid w:val="00A0252E"/>
    <w:rsid w:val="00A02644"/>
    <w:rsid w:val="00A028E9"/>
    <w:rsid w:val="00A02A2F"/>
    <w:rsid w:val="00A02E1F"/>
    <w:rsid w:val="00A030C0"/>
    <w:rsid w:val="00A03151"/>
    <w:rsid w:val="00A03243"/>
    <w:rsid w:val="00A03511"/>
    <w:rsid w:val="00A035B2"/>
    <w:rsid w:val="00A03673"/>
    <w:rsid w:val="00A03830"/>
    <w:rsid w:val="00A03992"/>
    <w:rsid w:val="00A03ACB"/>
    <w:rsid w:val="00A03F82"/>
    <w:rsid w:val="00A0400E"/>
    <w:rsid w:val="00A040D4"/>
    <w:rsid w:val="00A04275"/>
    <w:rsid w:val="00A0433B"/>
    <w:rsid w:val="00A04353"/>
    <w:rsid w:val="00A04751"/>
    <w:rsid w:val="00A04855"/>
    <w:rsid w:val="00A048F6"/>
    <w:rsid w:val="00A0498A"/>
    <w:rsid w:val="00A04A58"/>
    <w:rsid w:val="00A04A79"/>
    <w:rsid w:val="00A051EC"/>
    <w:rsid w:val="00A0525B"/>
    <w:rsid w:val="00A052DC"/>
    <w:rsid w:val="00A05344"/>
    <w:rsid w:val="00A054EE"/>
    <w:rsid w:val="00A0551A"/>
    <w:rsid w:val="00A05821"/>
    <w:rsid w:val="00A05846"/>
    <w:rsid w:val="00A060E5"/>
    <w:rsid w:val="00A06246"/>
    <w:rsid w:val="00A0636C"/>
    <w:rsid w:val="00A064B4"/>
    <w:rsid w:val="00A06513"/>
    <w:rsid w:val="00A06589"/>
    <w:rsid w:val="00A065E3"/>
    <w:rsid w:val="00A068AD"/>
    <w:rsid w:val="00A06CD1"/>
    <w:rsid w:val="00A06D87"/>
    <w:rsid w:val="00A07029"/>
    <w:rsid w:val="00A070F3"/>
    <w:rsid w:val="00A07103"/>
    <w:rsid w:val="00A071E4"/>
    <w:rsid w:val="00A0733F"/>
    <w:rsid w:val="00A073E9"/>
    <w:rsid w:val="00A07548"/>
    <w:rsid w:val="00A076CB"/>
    <w:rsid w:val="00A077E4"/>
    <w:rsid w:val="00A078BF"/>
    <w:rsid w:val="00A079E8"/>
    <w:rsid w:val="00A07AF5"/>
    <w:rsid w:val="00A07B78"/>
    <w:rsid w:val="00A07C0F"/>
    <w:rsid w:val="00A07CB4"/>
    <w:rsid w:val="00A100A1"/>
    <w:rsid w:val="00A102FF"/>
    <w:rsid w:val="00A1036D"/>
    <w:rsid w:val="00A10AD5"/>
    <w:rsid w:val="00A10BAA"/>
    <w:rsid w:val="00A10BF2"/>
    <w:rsid w:val="00A10C6E"/>
    <w:rsid w:val="00A10EEB"/>
    <w:rsid w:val="00A10EF1"/>
    <w:rsid w:val="00A10FA0"/>
    <w:rsid w:val="00A10FDB"/>
    <w:rsid w:val="00A11158"/>
    <w:rsid w:val="00A11195"/>
    <w:rsid w:val="00A1132A"/>
    <w:rsid w:val="00A11843"/>
    <w:rsid w:val="00A11955"/>
    <w:rsid w:val="00A12223"/>
    <w:rsid w:val="00A1225F"/>
    <w:rsid w:val="00A123AF"/>
    <w:rsid w:val="00A12A35"/>
    <w:rsid w:val="00A12C3F"/>
    <w:rsid w:val="00A12D5E"/>
    <w:rsid w:val="00A12F6D"/>
    <w:rsid w:val="00A13107"/>
    <w:rsid w:val="00A13184"/>
    <w:rsid w:val="00A131BB"/>
    <w:rsid w:val="00A131E9"/>
    <w:rsid w:val="00A1325E"/>
    <w:rsid w:val="00A13822"/>
    <w:rsid w:val="00A1385B"/>
    <w:rsid w:val="00A139C5"/>
    <w:rsid w:val="00A13A4D"/>
    <w:rsid w:val="00A13B06"/>
    <w:rsid w:val="00A13BA0"/>
    <w:rsid w:val="00A13CA9"/>
    <w:rsid w:val="00A13CEA"/>
    <w:rsid w:val="00A13E21"/>
    <w:rsid w:val="00A13E4B"/>
    <w:rsid w:val="00A13F52"/>
    <w:rsid w:val="00A13F9B"/>
    <w:rsid w:val="00A1408F"/>
    <w:rsid w:val="00A14299"/>
    <w:rsid w:val="00A14554"/>
    <w:rsid w:val="00A1455D"/>
    <w:rsid w:val="00A14656"/>
    <w:rsid w:val="00A1495D"/>
    <w:rsid w:val="00A14C0B"/>
    <w:rsid w:val="00A14DEF"/>
    <w:rsid w:val="00A14E19"/>
    <w:rsid w:val="00A14E2D"/>
    <w:rsid w:val="00A15132"/>
    <w:rsid w:val="00A15180"/>
    <w:rsid w:val="00A153EE"/>
    <w:rsid w:val="00A1556F"/>
    <w:rsid w:val="00A15868"/>
    <w:rsid w:val="00A15A26"/>
    <w:rsid w:val="00A15BAB"/>
    <w:rsid w:val="00A15F95"/>
    <w:rsid w:val="00A16147"/>
    <w:rsid w:val="00A162CC"/>
    <w:rsid w:val="00A16308"/>
    <w:rsid w:val="00A1642E"/>
    <w:rsid w:val="00A1645B"/>
    <w:rsid w:val="00A164ED"/>
    <w:rsid w:val="00A166DD"/>
    <w:rsid w:val="00A16791"/>
    <w:rsid w:val="00A16A97"/>
    <w:rsid w:val="00A16AE7"/>
    <w:rsid w:val="00A16DC7"/>
    <w:rsid w:val="00A17112"/>
    <w:rsid w:val="00A172A3"/>
    <w:rsid w:val="00A172F6"/>
    <w:rsid w:val="00A17386"/>
    <w:rsid w:val="00A177B1"/>
    <w:rsid w:val="00A177D3"/>
    <w:rsid w:val="00A179D0"/>
    <w:rsid w:val="00A17A3B"/>
    <w:rsid w:val="00A17BB6"/>
    <w:rsid w:val="00A17BFD"/>
    <w:rsid w:val="00A17E6C"/>
    <w:rsid w:val="00A17E7D"/>
    <w:rsid w:val="00A17FA4"/>
    <w:rsid w:val="00A20017"/>
    <w:rsid w:val="00A201C4"/>
    <w:rsid w:val="00A204A3"/>
    <w:rsid w:val="00A204D2"/>
    <w:rsid w:val="00A209E8"/>
    <w:rsid w:val="00A20AA3"/>
    <w:rsid w:val="00A20FD6"/>
    <w:rsid w:val="00A21291"/>
    <w:rsid w:val="00A21347"/>
    <w:rsid w:val="00A2148A"/>
    <w:rsid w:val="00A218FD"/>
    <w:rsid w:val="00A21C3F"/>
    <w:rsid w:val="00A21CC6"/>
    <w:rsid w:val="00A2222D"/>
    <w:rsid w:val="00A229E3"/>
    <w:rsid w:val="00A22A2D"/>
    <w:rsid w:val="00A22A81"/>
    <w:rsid w:val="00A23076"/>
    <w:rsid w:val="00A2320F"/>
    <w:rsid w:val="00A23483"/>
    <w:rsid w:val="00A236A6"/>
    <w:rsid w:val="00A23763"/>
    <w:rsid w:val="00A23D69"/>
    <w:rsid w:val="00A23F50"/>
    <w:rsid w:val="00A2414F"/>
    <w:rsid w:val="00A24285"/>
    <w:rsid w:val="00A24456"/>
    <w:rsid w:val="00A2459B"/>
    <w:rsid w:val="00A24A65"/>
    <w:rsid w:val="00A24E32"/>
    <w:rsid w:val="00A24F4E"/>
    <w:rsid w:val="00A25146"/>
    <w:rsid w:val="00A258EA"/>
    <w:rsid w:val="00A2597B"/>
    <w:rsid w:val="00A259BC"/>
    <w:rsid w:val="00A25AF7"/>
    <w:rsid w:val="00A25C06"/>
    <w:rsid w:val="00A25E33"/>
    <w:rsid w:val="00A26122"/>
    <w:rsid w:val="00A2616F"/>
    <w:rsid w:val="00A26454"/>
    <w:rsid w:val="00A2660A"/>
    <w:rsid w:val="00A26662"/>
    <w:rsid w:val="00A266D0"/>
    <w:rsid w:val="00A269DC"/>
    <w:rsid w:val="00A269DE"/>
    <w:rsid w:val="00A26E0A"/>
    <w:rsid w:val="00A270F7"/>
    <w:rsid w:val="00A27147"/>
    <w:rsid w:val="00A27642"/>
    <w:rsid w:val="00A27889"/>
    <w:rsid w:val="00A27AE8"/>
    <w:rsid w:val="00A27EFE"/>
    <w:rsid w:val="00A27F68"/>
    <w:rsid w:val="00A27F8A"/>
    <w:rsid w:val="00A30151"/>
    <w:rsid w:val="00A303A2"/>
    <w:rsid w:val="00A30892"/>
    <w:rsid w:val="00A308B5"/>
    <w:rsid w:val="00A30988"/>
    <w:rsid w:val="00A309BB"/>
    <w:rsid w:val="00A30A74"/>
    <w:rsid w:val="00A30AF6"/>
    <w:rsid w:val="00A30C01"/>
    <w:rsid w:val="00A30C28"/>
    <w:rsid w:val="00A30C8F"/>
    <w:rsid w:val="00A30FA3"/>
    <w:rsid w:val="00A3108C"/>
    <w:rsid w:val="00A317AC"/>
    <w:rsid w:val="00A317FF"/>
    <w:rsid w:val="00A31904"/>
    <w:rsid w:val="00A319F4"/>
    <w:rsid w:val="00A319FB"/>
    <w:rsid w:val="00A31A9F"/>
    <w:rsid w:val="00A31E42"/>
    <w:rsid w:val="00A31FCE"/>
    <w:rsid w:val="00A321AC"/>
    <w:rsid w:val="00A321C5"/>
    <w:rsid w:val="00A321E8"/>
    <w:rsid w:val="00A3220F"/>
    <w:rsid w:val="00A322A9"/>
    <w:rsid w:val="00A323F0"/>
    <w:rsid w:val="00A32589"/>
    <w:rsid w:val="00A3264F"/>
    <w:rsid w:val="00A327EB"/>
    <w:rsid w:val="00A3282C"/>
    <w:rsid w:val="00A32889"/>
    <w:rsid w:val="00A32A93"/>
    <w:rsid w:val="00A332A1"/>
    <w:rsid w:val="00A33447"/>
    <w:rsid w:val="00A3384C"/>
    <w:rsid w:val="00A339A5"/>
    <w:rsid w:val="00A33B0A"/>
    <w:rsid w:val="00A33D62"/>
    <w:rsid w:val="00A33EB0"/>
    <w:rsid w:val="00A34011"/>
    <w:rsid w:val="00A341FD"/>
    <w:rsid w:val="00A34211"/>
    <w:rsid w:val="00A3443B"/>
    <w:rsid w:val="00A34489"/>
    <w:rsid w:val="00A346F8"/>
    <w:rsid w:val="00A3492C"/>
    <w:rsid w:val="00A34B04"/>
    <w:rsid w:val="00A3514D"/>
    <w:rsid w:val="00A35335"/>
    <w:rsid w:val="00A355B6"/>
    <w:rsid w:val="00A356AB"/>
    <w:rsid w:val="00A3585D"/>
    <w:rsid w:val="00A35D26"/>
    <w:rsid w:val="00A35DBF"/>
    <w:rsid w:val="00A35E20"/>
    <w:rsid w:val="00A35E85"/>
    <w:rsid w:val="00A3610C"/>
    <w:rsid w:val="00A363A1"/>
    <w:rsid w:val="00A365A3"/>
    <w:rsid w:val="00A365F6"/>
    <w:rsid w:val="00A36718"/>
    <w:rsid w:val="00A36871"/>
    <w:rsid w:val="00A36C66"/>
    <w:rsid w:val="00A36DDE"/>
    <w:rsid w:val="00A36F3C"/>
    <w:rsid w:val="00A36F6B"/>
    <w:rsid w:val="00A36FD3"/>
    <w:rsid w:val="00A37298"/>
    <w:rsid w:val="00A372B2"/>
    <w:rsid w:val="00A373BB"/>
    <w:rsid w:val="00A37939"/>
    <w:rsid w:val="00A37953"/>
    <w:rsid w:val="00A37958"/>
    <w:rsid w:val="00A37C58"/>
    <w:rsid w:val="00A37FAE"/>
    <w:rsid w:val="00A4019E"/>
    <w:rsid w:val="00A40303"/>
    <w:rsid w:val="00A404A2"/>
    <w:rsid w:val="00A40578"/>
    <w:rsid w:val="00A4072B"/>
    <w:rsid w:val="00A40771"/>
    <w:rsid w:val="00A409F4"/>
    <w:rsid w:val="00A40A10"/>
    <w:rsid w:val="00A40EBA"/>
    <w:rsid w:val="00A41056"/>
    <w:rsid w:val="00A41496"/>
    <w:rsid w:val="00A41512"/>
    <w:rsid w:val="00A416B5"/>
    <w:rsid w:val="00A419F3"/>
    <w:rsid w:val="00A41C45"/>
    <w:rsid w:val="00A41CDC"/>
    <w:rsid w:val="00A41DC7"/>
    <w:rsid w:val="00A41FC0"/>
    <w:rsid w:val="00A42188"/>
    <w:rsid w:val="00A4234A"/>
    <w:rsid w:val="00A42517"/>
    <w:rsid w:val="00A42798"/>
    <w:rsid w:val="00A427DB"/>
    <w:rsid w:val="00A42BF4"/>
    <w:rsid w:val="00A42D63"/>
    <w:rsid w:val="00A42E79"/>
    <w:rsid w:val="00A42E97"/>
    <w:rsid w:val="00A42EA5"/>
    <w:rsid w:val="00A42FC7"/>
    <w:rsid w:val="00A43041"/>
    <w:rsid w:val="00A430F6"/>
    <w:rsid w:val="00A43236"/>
    <w:rsid w:val="00A43284"/>
    <w:rsid w:val="00A433F7"/>
    <w:rsid w:val="00A43428"/>
    <w:rsid w:val="00A43442"/>
    <w:rsid w:val="00A43750"/>
    <w:rsid w:val="00A437E4"/>
    <w:rsid w:val="00A4381B"/>
    <w:rsid w:val="00A43843"/>
    <w:rsid w:val="00A43A77"/>
    <w:rsid w:val="00A43BB6"/>
    <w:rsid w:val="00A440DA"/>
    <w:rsid w:val="00A441A3"/>
    <w:rsid w:val="00A443DE"/>
    <w:rsid w:val="00A44A7C"/>
    <w:rsid w:val="00A44C09"/>
    <w:rsid w:val="00A44E4D"/>
    <w:rsid w:val="00A44F1B"/>
    <w:rsid w:val="00A44FBF"/>
    <w:rsid w:val="00A45415"/>
    <w:rsid w:val="00A454A9"/>
    <w:rsid w:val="00A4556A"/>
    <w:rsid w:val="00A456F0"/>
    <w:rsid w:val="00A45801"/>
    <w:rsid w:val="00A459E5"/>
    <w:rsid w:val="00A45A3B"/>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CC4"/>
    <w:rsid w:val="00A47F78"/>
    <w:rsid w:val="00A5012B"/>
    <w:rsid w:val="00A501A3"/>
    <w:rsid w:val="00A50227"/>
    <w:rsid w:val="00A504F9"/>
    <w:rsid w:val="00A5074C"/>
    <w:rsid w:val="00A5083C"/>
    <w:rsid w:val="00A50884"/>
    <w:rsid w:val="00A5095F"/>
    <w:rsid w:val="00A50AC7"/>
    <w:rsid w:val="00A50B9C"/>
    <w:rsid w:val="00A50F7F"/>
    <w:rsid w:val="00A50FB4"/>
    <w:rsid w:val="00A512B1"/>
    <w:rsid w:val="00A5143B"/>
    <w:rsid w:val="00A51480"/>
    <w:rsid w:val="00A51691"/>
    <w:rsid w:val="00A517A9"/>
    <w:rsid w:val="00A519E8"/>
    <w:rsid w:val="00A51EBB"/>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4095"/>
    <w:rsid w:val="00A547EE"/>
    <w:rsid w:val="00A54849"/>
    <w:rsid w:val="00A5488A"/>
    <w:rsid w:val="00A550BD"/>
    <w:rsid w:val="00A550C0"/>
    <w:rsid w:val="00A55244"/>
    <w:rsid w:val="00A552CD"/>
    <w:rsid w:val="00A55530"/>
    <w:rsid w:val="00A556E6"/>
    <w:rsid w:val="00A557C2"/>
    <w:rsid w:val="00A558C0"/>
    <w:rsid w:val="00A55CA6"/>
    <w:rsid w:val="00A56187"/>
    <w:rsid w:val="00A5670B"/>
    <w:rsid w:val="00A5698C"/>
    <w:rsid w:val="00A56C04"/>
    <w:rsid w:val="00A56F9C"/>
    <w:rsid w:val="00A57242"/>
    <w:rsid w:val="00A572A8"/>
    <w:rsid w:val="00A574AD"/>
    <w:rsid w:val="00A5756B"/>
    <w:rsid w:val="00A57987"/>
    <w:rsid w:val="00A57F35"/>
    <w:rsid w:val="00A60916"/>
    <w:rsid w:val="00A60CC3"/>
    <w:rsid w:val="00A60E8D"/>
    <w:rsid w:val="00A6109A"/>
    <w:rsid w:val="00A611A0"/>
    <w:rsid w:val="00A61241"/>
    <w:rsid w:val="00A61298"/>
    <w:rsid w:val="00A6139E"/>
    <w:rsid w:val="00A618FD"/>
    <w:rsid w:val="00A623E8"/>
    <w:rsid w:val="00A625B2"/>
    <w:rsid w:val="00A62B21"/>
    <w:rsid w:val="00A62B7F"/>
    <w:rsid w:val="00A632F7"/>
    <w:rsid w:val="00A6336B"/>
    <w:rsid w:val="00A6384E"/>
    <w:rsid w:val="00A638E4"/>
    <w:rsid w:val="00A63E2E"/>
    <w:rsid w:val="00A63E4A"/>
    <w:rsid w:val="00A63FEB"/>
    <w:rsid w:val="00A64392"/>
    <w:rsid w:val="00A64533"/>
    <w:rsid w:val="00A646E8"/>
    <w:rsid w:val="00A64719"/>
    <w:rsid w:val="00A64B48"/>
    <w:rsid w:val="00A64F7E"/>
    <w:rsid w:val="00A65404"/>
    <w:rsid w:val="00A65499"/>
    <w:rsid w:val="00A65947"/>
    <w:rsid w:val="00A659D3"/>
    <w:rsid w:val="00A65BB4"/>
    <w:rsid w:val="00A65C64"/>
    <w:rsid w:val="00A65C90"/>
    <w:rsid w:val="00A65D07"/>
    <w:rsid w:val="00A65F6F"/>
    <w:rsid w:val="00A65F7D"/>
    <w:rsid w:val="00A66113"/>
    <w:rsid w:val="00A6619B"/>
    <w:rsid w:val="00A6633E"/>
    <w:rsid w:val="00A66419"/>
    <w:rsid w:val="00A666B9"/>
    <w:rsid w:val="00A66738"/>
    <w:rsid w:val="00A667DF"/>
    <w:rsid w:val="00A669B7"/>
    <w:rsid w:val="00A66A15"/>
    <w:rsid w:val="00A66AFA"/>
    <w:rsid w:val="00A66C0B"/>
    <w:rsid w:val="00A66CBA"/>
    <w:rsid w:val="00A66F37"/>
    <w:rsid w:val="00A66F43"/>
    <w:rsid w:val="00A66FE5"/>
    <w:rsid w:val="00A67144"/>
    <w:rsid w:val="00A674FE"/>
    <w:rsid w:val="00A67AD2"/>
    <w:rsid w:val="00A67B07"/>
    <w:rsid w:val="00A67F2E"/>
    <w:rsid w:val="00A67F6D"/>
    <w:rsid w:val="00A67FD7"/>
    <w:rsid w:val="00A70273"/>
    <w:rsid w:val="00A70521"/>
    <w:rsid w:val="00A70573"/>
    <w:rsid w:val="00A7079C"/>
    <w:rsid w:val="00A708C4"/>
    <w:rsid w:val="00A708FC"/>
    <w:rsid w:val="00A709ED"/>
    <w:rsid w:val="00A70A7B"/>
    <w:rsid w:val="00A70AFF"/>
    <w:rsid w:val="00A70B43"/>
    <w:rsid w:val="00A70CA5"/>
    <w:rsid w:val="00A70DC1"/>
    <w:rsid w:val="00A7129F"/>
    <w:rsid w:val="00A714E1"/>
    <w:rsid w:val="00A7159E"/>
    <w:rsid w:val="00A7176F"/>
    <w:rsid w:val="00A71C6E"/>
    <w:rsid w:val="00A71FAC"/>
    <w:rsid w:val="00A72725"/>
    <w:rsid w:val="00A72803"/>
    <w:rsid w:val="00A729C1"/>
    <w:rsid w:val="00A72B47"/>
    <w:rsid w:val="00A72CED"/>
    <w:rsid w:val="00A72D1A"/>
    <w:rsid w:val="00A72E88"/>
    <w:rsid w:val="00A72F09"/>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682"/>
    <w:rsid w:val="00A75751"/>
    <w:rsid w:val="00A75DCA"/>
    <w:rsid w:val="00A75E37"/>
    <w:rsid w:val="00A75F19"/>
    <w:rsid w:val="00A760CB"/>
    <w:rsid w:val="00A7648B"/>
    <w:rsid w:val="00A76626"/>
    <w:rsid w:val="00A768FE"/>
    <w:rsid w:val="00A769B6"/>
    <w:rsid w:val="00A76AF8"/>
    <w:rsid w:val="00A76B5F"/>
    <w:rsid w:val="00A76C56"/>
    <w:rsid w:val="00A76DAF"/>
    <w:rsid w:val="00A76F70"/>
    <w:rsid w:val="00A76FDB"/>
    <w:rsid w:val="00A77444"/>
    <w:rsid w:val="00A775C1"/>
    <w:rsid w:val="00A77660"/>
    <w:rsid w:val="00A7770C"/>
    <w:rsid w:val="00A777EF"/>
    <w:rsid w:val="00A7789F"/>
    <w:rsid w:val="00A778E0"/>
    <w:rsid w:val="00A77B50"/>
    <w:rsid w:val="00A77C1E"/>
    <w:rsid w:val="00A77C93"/>
    <w:rsid w:val="00A77CDE"/>
    <w:rsid w:val="00A801F4"/>
    <w:rsid w:val="00A80351"/>
    <w:rsid w:val="00A8054C"/>
    <w:rsid w:val="00A80669"/>
    <w:rsid w:val="00A80869"/>
    <w:rsid w:val="00A808F4"/>
    <w:rsid w:val="00A80990"/>
    <w:rsid w:val="00A80C8D"/>
    <w:rsid w:val="00A81127"/>
    <w:rsid w:val="00A8124E"/>
    <w:rsid w:val="00A816FD"/>
    <w:rsid w:val="00A81A7C"/>
    <w:rsid w:val="00A81B47"/>
    <w:rsid w:val="00A81D12"/>
    <w:rsid w:val="00A81DE4"/>
    <w:rsid w:val="00A821F2"/>
    <w:rsid w:val="00A8221D"/>
    <w:rsid w:val="00A823D2"/>
    <w:rsid w:val="00A82461"/>
    <w:rsid w:val="00A824CC"/>
    <w:rsid w:val="00A82734"/>
    <w:rsid w:val="00A8280B"/>
    <w:rsid w:val="00A82934"/>
    <w:rsid w:val="00A829F5"/>
    <w:rsid w:val="00A82D9A"/>
    <w:rsid w:val="00A82EA8"/>
    <w:rsid w:val="00A8302C"/>
    <w:rsid w:val="00A8320C"/>
    <w:rsid w:val="00A83234"/>
    <w:rsid w:val="00A83731"/>
    <w:rsid w:val="00A83A5B"/>
    <w:rsid w:val="00A83B3E"/>
    <w:rsid w:val="00A83D48"/>
    <w:rsid w:val="00A83DBE"/>
    <w:rsid w:val="00A83F46"/>
    <w:rsid w:val="00A84035"/>
    <w:rsid w:val="00A840BA"/>
    <w:rsid w:val="00A8417C"/>
    <w:rsid w:val="00A84325"/>
    <w:rsid w:val="00A843FA"/>
    <w:rsid w:val="00A848CA"/>
    <w:rsid w:val="00A84A5A"/>
    <w:rsid w:val="00A84CDC"/>
    <w:rsid w:val="00A84D09"/>
    <w:rsid w:val="00A85126"/>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676"/>
    <w:rsid w:val="00A878A2"/>
    <w:rsid w:val="00A87B7F"/>
    <w:rsid w:val="00A87E2F"/>
    <w:rsid w:val="00A90069"/>
    <w:rsid w:val="00A902F7"/>
    <w:rsid w:val="00A9033D"/>
    <w:rsid w:val="00A90357"/>
    <w:rsid w:val="00A9041D"/>
    <w:rsid w:val="00A9046A"/>
    <w:rsid w:val="00A90CFA"/>
    <w:rsid w:val="00A90DC0"/>
    <w:rsid w:val="00A9163E"/>
    <w:rsid w:val="00A91690"/>
    <w:rsid w:val="00A91848"/>
    <w:rsid w:val="00A91A0D"/>
    <w:rsid w:val="00A91A8F"/>
    <w:rsid w:val="00A91C21"/>
    <w:rsid w:val="00A91C62"/>
    <w:rsid w:val="00A91E54"/>
    <w:rsid w:val="00A91E69"/>
    <w:rsid w:val="00A91F0F"/>
    <w:rsid w:val="00A9251F"/>
    <w:rsid w:val="00A92556"/>
    <w:rsid w:val="00A9266A"/>
    <w:rsid w:val="00A926B8"/>
    <w:rsid w:val="00A92956"/>
    <w:rsid w:val="00A92AE6"/>
    <w:rsid w:val="00A92E03"/>
    <w:rsid w:val="00A93438"/>
    <w:rsid w:val="00A934C9"/>
    <w:rsid w:val="00A937A6"/>
    <w:rsid w:val="00A938A3"/>
    <w:rsid w:val="00A93918"/>
    <w:rsid w:val="00A93993"/>
    <w:rsid w:val="00A939AE"/>
    <w:rsid w:val="00A93C71"/>
    <w:rsid w:val="00A93C9D"/>
    <w:rsid w:val="00A93D22"/>
    <w:rsid w:val="00A93E4A"/>
    <w:rsid w:val="00A93E5E"/>
    <w:rsid w:val="00A93E7A"/>
    <w:rsid w:val="00A94547"/>
    <w:rsid w:val="00A949D8"/>
    <w:rsid w:val="00A94B00"/>
    <w:rsid w:val="00A94CEF"/>
    <w:rsid w:val="00A94E83"/>
    <w:rsid w:val="00A94EA3"/>
    <w:rsid w:val="00A950B7"/>
    <w:rsid w:val="00A95165"/>
    <w:rsid w:val="00A9537C"/>
    <w:rsid w:val="00A95406"/>
    <w:rsid w:val="00A9545E"/>
    <w:rsid w:val="00A9556E"/>
    <w:rsid w:val="00A957C3"/>
    <w:rsid w:val="00A95A6A"/>
    <w:rsid w:val="00A95B31"/>
    <w:rsid w:val="00A95C62"/>
    <w:rsid w:val="00A96109"/>
    <w:rsid w:val="00A964CF"/>
    <w:rsid w:val="00A96666"/>
    <w:rsid w:val="00A96CA8"/>
    <w:rsid w:val="00A96D63"/>
    <w:rsid w:val="00A96E5B"/>
    <w:rsid w:val="00A96FA5"/>
    <w:rsid w:val="00A97008"/>
    <w:rsid w:val="00A9743B"/>
    <w:rsid w:val="00A9765E"/>
    <w:rsid w:val="00A97BA8"/>
    <w:rsid w:val="00A97CA8"/>
    <w:rsid w:val="00AA01BF"/>
    <w:rsid w:val="00AA0328"/>
    <w:rsid w:val="00AA04D6"/>
    <w:rsid w:val="00AA0803"/>
    <w:rsid w:val="00AA0E16"/>
    <w:rsid w:val="00AA0E33"/>
    <w:rsid w:val="00AA0FF8"/>
    <w:rsid w:val="00AA1251"/>
    <w:rsid w:val="00AA126D"/>
    <w:rsid w:val="00AA147E"/>
    <w:rsid w:val="00AA1B01"/>
    <w:rsid w:val="00AA1B11"/>
    <w:rsid w:val="00AA1BA3"/>
    <w:rsid w:val="00AA1CB6"/>
    <w:rsid w:val="00AA1E68"/>
    <w:rsid w:val="00AA203A"/>
    <w:rsid w:val="00AA21F1"/>
    <w:rsid w:val="00AA234C"/>
    <w:rsid w:val="00AA240C"/>
    <w:rsid w:val="00AA2B3F"/>
    <w:rsid w:val="00AA2C7B"/>
    <w:rsid w:val="00AA2E03"/>
    <w:rsid w:val="00AA2E4E"/>
    <w:rsid w:val="00AA3180"/>
    <w:rsid w:val="00AA343F"/>
    <w:rsid w:val="00AA34BA"/>
    <w:rsid w:val="00AA3A08"/>
    <w:rsid w:val="00AA3A27"/>
    <w:rsid w:val="00AA3A57"/>
    <w:rsid w:val="00AA3AB6"/>
    <w:rsid w:val="00AA3C0A"/>
    <w:rsid w:val="00AA3E6A"/>
    <w:rsid w:val="00AA3F04"/>
    <w:rsid w:val="00AA40AB"/>
    <w:rsid w:val="00AA4296"/>
    <w:rsid w:val="00AA42F2"/>
    <w:rsid w:val="00AA431C"/>
    <w:rsid w:val="00AA44D1"/>
    <w:rsid w:val="00AA45B3"/>
    <w:rsid w:val="00AA46B2"/>
    <w:rsid w:val="00AA4993"/>
    <w:rsid w:val="00AA4BDC"/>
    <w:rsid w:val="00AA4D59"/>
    <w:rsid w:val="00AA4FC7"/>
    <w:rsid w:val="00AA52E4"/>
    <w:rsid w:val="00AA5398"/>
    <w:rsid w:val="00AA5426"/>
    <w:rsid w:val="00AA543E"/>
    <w:rsid w:val="00AA55FE"/>
    <w:rsid w:val="00AA5694"/>
    <w:rsid w:val="00AA5840"/>
    <w:rsid w:val="00AA58EC"/>
    <w:rsid w:val="00AA5BB7"/>
    <w:rsid w:val="00AA5DDD"/>
    <w:rsid w:val="00AA5F32"/>
    <w:rsid w:val="00AA5FC6"/>
    <w:rsid w:val="00AA5FEA"/>
    <w:rsid w:val="00AA602F"/>
    <w:rsid w:val="00AA6617"/>
    <w:rsid w:val="00AA66DE"/>
    <w:rsid w:val="00AA6831"/>
    <w:rsid w:val="00AA6957"/>
    <w:rsid w:val="00AA6B1F"/>
    <w:rsid w:val="00AA743D"/>
    <w:rsid w:val="00AA766D"/>
    <w:rsid w:val="00AA76A0"/>
    <w:rsid w:val="00AA7C54"/>
    <w:rsid w:val="00AA7E7E"/>
    <w:rsid w:val="00AB009C"/>
    <w:rsid w:val="00AB0240"/>
    <w:rsid w:val="00AB02DC"/>
    <w:rsid w:val="00AB0375"/>
    <w:rsid w:val="00AB05B4"/>
    <w:rsid w:val="00AB06BE"/>
    <w:rsid w:val="00AB0945"/>
    <w:rsid w:val="00AB0A6C"/>
    <w:rsid w:val="00AB0D49"/>
    <w:rsid w:val="00AB0D59"/>
    <w:rsid w:val="00AB0FA1"/>
    <w:rsid w:val="00AB1083"/>
    <w:rsid w:val="00AB10EE"/>
    <w:rsid w:val="00AB134C"/>
    <w:rsid w:val="00AB1360"/>
    <w:rsid w:val="00AB151D"/>
    <w:rsid w:val="00AB1544"/>
    <w:rsid w:val="00AB1B6D"/>
    <w:rsid w:val="00AB1D7C"/>
    <w:rsid w:val="00AB1DE6"/>
    <w:rsid w:val="00AB20D8"/>
    <w:rsid w:val="00AB20EC"/>
    <w:rsid w:val="00AB2302"/>
    <w:rsid w:val="00AB23CD"/>
    <w:rsid w:val="00AB246E"/>
    <w:rsid w:val="00AB2A78"/>
    <w:rsid w:val="00AB2B3D"/>
    <w:rsid w:val="00AB338E"/>
    <w:rsid w:val="00AB3464"/>
    <w:rsid w:val="00AB3642"/>
    <w:rsid w:val="00AB3856"/>
    <w:rsid w:val="00AB38DA"/>
    <w:rsid w:val="00AB3AE8"/>
    <w:rsid w:val="00AB3D60"/>
    <w:rsid w:val="00AB3F3B"/>
    <w:rsid w:val="00AB3FF8"/>
    <w:rsid w:val="00AB47C9"/>
    <w:rsid w:val="00AB4895"/>
    <w:rsid w:val="00AB48FD"/>
    <w:rsid w:val="00AB4A17"/>
    <w:rsid w:val="00AB4B7A"/>
    <w:rsid w:val="00AB4E1A"/>
    <w:rsid w:val="00AB4E26"/>
    <w:rsid w:val="00AB557A"/>
    <w:rsid w:val="00AB5740"/>
    <w:rsid w:val="00AB5850"/>
    <w:rsid w:val="00AB5A38"/>
    <w:rsid w:val="00AB5AF5"/>
    <w:rsid w:val="00AB5D85"/>
    <w:rsid w:val="00AB5DCA"/>
    <w:rsid w:val="00AB5F16"/>
    <w:rsid w:val="00AB60CF"/>
    <w:rsid w:val="00AB637D"/>
    <w:rsid w:val="00AB6632"/>
    <w:rsid w:val="00AB6BA1"/>
    <w:rsid w:val="00AB6CB6"/>
    <w:rsid w:val="00AB6CF0"/>
    <w:rsid w:val="00AB6DBD"/>
    <w:rsid w:val="00AB6EE4"/>
    <w:rsid w:val="00AB711F"/>
    <w:rsid w:val="00AB71A6"/>
    <w:rsid w:val="00AB7259"/>
    <w:rsid w:val="00AB76AA"/>
    <w:rsid w:val="00AB77C7"/>
    <w:rsid w:val="00AB78C9"/>
    <w:rsid w:val="00AB7942"/>
    <w:rsid w:val="00AB7BCD"/>
    <w:rsid w:val="00AB7C99"/>
    <w:rsid w:val="00AB7E3B"/>
    <w:rsid w:val="00AC0690"/>
    <w:rsid w:val="00AC07F1"/>
    <w:rsid w:val="00AC0919"/>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2DA1"/>
    <w:rsid w:val="00AC3161"/>
    <w:rsid w:val="00AC339B"/>
    <w:rsid w:val="00AC3497"/>
    <w:rsid w:val="00AC350A"/>
    <w:rsid w:val="00AC3598"/>
    <w:rsid w:val="00AC3671"/>
    <w:rsid w:val="00AC3727"/>
    <w:rsid w:val="00AC394D"/>
    <w:rsid w:val="00AC3992"/>
    <w:rsid w:val="00AC3A90"/>
    <w:rsid w:val="00AC3AE1"/>
    <w:rsid w:val="00AC3C7F"/>
    <w:rsid w:val="00AC3DC0"/>
    <w:rsid w:val="00AC4204"/>
    <w:rsid w:val="00AC45D6"/>
    <w:rsid w:val="00AC46F8"/>
    <w:rsid w:val="00AC48E9"/>
    <w:rsid w:val="00AC4A1A"/>
    <w:rsid w:val="00AC4BF5"/>
    <w:rsid w:val="00AC50E9"/>
    <w:rsid w:val="00AC50EC"/>
    <w:rsid w:val="00AC56CE"/>
    <w:rsid w:val="00AC5749"/>
    <w:rsid w:val="00AC581A"/>
    <w:rsid w:val="00AC5847"/>
    <w:rsid w:val="00AC591D"/>
    <w:rsid w:val="00AC5964"/>
    <w:rsid w:val="00AC5B83"/>
    <w:rsid w:val="00AC5D76"/>
    <w:rsid w:val="00AC5E86"/>
    <w:rsid w:val="00AC5ED9"/>
    <w:rsid w:val="00AC6086"/>
    <w:rsid w:val="00AC60BD"/>
    <w:rsid w:val="00AC6124"/>
    <w:rsid w:val="00AC622A"/>
    <w:rsid w:val="00AC678A"/>
    <w:rsid w:val="00AC6A81"/>
    <w:rsid w:val="00AC6A9F"/>
    <w:rsid w:val="00AC6BF7"/>
    <w:rsid w:val="00AC6C22"/>
    <w:rsid w:val="00AC6D80"/>
    <w:rsid w:val="00AC6E66"/>
    <w:rsid w:val="00AC72DF"/>
    <w:rsid w:val="00AC74C2"/>
    <w:rsid w:val="00AC7652"/>
    <w:rsid w:val="00AC76AE"/>
    <w:rsid w:val="00AC7859"/>
    <w:rsid w:val="00AC7A9E"/>
    <w:rsid w:val="00AC7BFA"/>
    <w:rsid w:val="00AC7C4C"/>
    <w:rsid w:val="00AC7EDC"/>
    <w:rsid w:val="00AC7EE8"/>
    <w:rsid w:val="00AC7F27"/>
    <w:rsid w:val="00AD00AF"/>
    <w:rsid w:val="00AD029A"/>
    <w:rsid w:val="00AD02D7"/>
    <w:rsid w:val="00AD03E5"/>
    <w:rsid w:val="00AD0433"/>
    <w:rsid w:val="00AD0568"/>
    <w:rsid w:val="00AD0587"/>
    <w:rsid w:val="00AD0817"/>
    <w:rsid w:val="00AD096C"/>
    <w:rsid w:val="00AD0ABB"/>
    <w:rsid w:val="00AD0FB1"/>
    <w:rsid w:val="00AD1093"/>
    <w:rsid w:val="00AD159F"/>
    <w:rsid w:val="00AD1604"/>
    <w:rsid w:val="00AD170F"/>
    <w:rsid w:val="00AD19D5"/>
    <w:rsid w:val="00AD1AB8"/>
    <w:rsid w:val="00AD1AF9"/>
    <w:rsid w:val="00AD1B2F"/>
    <w:rsid w:val="00AD1CF0"/>
    <w:rsid w:val="00AD1D0E"/>
    <w:rsid w:val="00AD1D44"/>
    <w:rsid w:val="00AD1F34"/>
    <w:rsid w:val="00AD2061"/>
    <w:rsid w:val="00AD20E1"/>
    <w:rsid w:val="00AD2217"/>
    <w:rsid w:val="00AD222C"/>
    <w:rsid w:val="00AD239D"/>
    <w:rsid w:val="00AD23A1"/>
    <w:rsid w:val="00AD23E6"/>
    <w:rsid w:val="00AD2609"/>
    <w:rsid w:val="00AD2B06"/>
    <w:rsid w:val="00AD2B17"/>
    <w:rsid w:val="00AD2BAF"/>
    <w:rsid w:val="00AD3270"/>
    <w:rsid w:val="00AD32D9"/>
    <w:rsid w:val="00AD3391"/>
    <w:rsid w:val="00AD342F"/>
    <w:rsid w:val="00AD35FB"/>
    <w:rsid w:val="00AD39B2"/>
    <w:rsid w:val="00AD3D89"/>
    <w:rsid w:val="00AD3DE9"/>
    <w:rsid w:val="00AD3F2D"/>
    <w:rsid w:val="00AD413A"/>
    <w:rsid w:val="00AD4176"/>
    <w:rsid w:val="00AD417E"/>
    <w:rsid w:val="00AD4389"/>
    <w:rsid w:val="00AD463D"/>
    <w:rsid w:val="00AD46DF"/>
    <w:rsid w:val="00AD47AD"/>
    <w:rsid w:val="00AD4828"/>
    <w:rsid w:val="00AD488E"/>
    <w:rsid w:val="00AD48E1"/>
    <w:rsid w:val="00AD49BB"/>
    <w:rsid w:val="00AD5262"/>
    <w:rsid w:val="00AD5492"/>
    <w:rsid w:val="00AD54BB"/>
    <w:rsid w:val="00AD5558"/>
    <w:rsid w:val="00AD5686"/>
    <w:rsid w:val="00AD56FF"/>
    <w:rsid w:val="00AD5778"/>
    <w:rsid w:val="00AD57AC"/>
    <w:rsid w:val="00AD5915"/>
    <w:rsid w:val="00AD5C79"/>
    <w:rsid w:val="00AD608E"/>
    <w:rsid w:val="00AD60B3"/>
    <w:rsid w:val="00AD61FA"/>
    <w:rsid w:val="00AD6AA1"/>
    <w:rsid w:val="00AD6D9D"/>
    <w:rsid w:val="00AD6E80"/>
    <w:rsid w:val="00AD6E89"/>
    <w:rsid w:val="00AD707F"/>
    <w:rsid w:val="00AD72F9"/>
    <w:rsid w:val="00AD732E"/>
    <w:rsid w:val="00AD74C1"/>
    <w:rsid w:val="00AD75A7"/>
    <w:rsid w:val="00AD7661"/>
    <w:rsid w:val="00AD770F"/>
    <w:rsid w:val="00AD77C2"/>
    <w:rsid w:val="00AD77C6"/>
    <w:rsid w:val="00AD78D6"/>
    <w:rsid w:val="00AD7940"/>
    <w:rsid w:val="00AD7D08"/>
    <w:rsid w:val="00AD7D0A"/>
    <w:rsid w:val="00AD7D10"/>
    <w:rsid w:val="00AE007C"/>
    <w:rsid w:val="00AE0853"/>
    <w:rsid w:val="00AE088D"/>
    <w:rsid w:val="00AE0AAE"/>
    <w:rsid w:val="00AE0B9F"/>
    <w:rsid w:val="00AE0D18"/>
    <w:rsid w:val="00AE0D53"/>
    <w:rsid w:val="00AE0F50"/>
    <w:rsid w:val="00AE1181"/>
    <w:rsid w:val="00AE130D"/>
    <w:rsid w:val="00AE13BA"/>
    <w:rsid w:val="00AE1967"/>
    <w:rsid w:val="00AE19CC"/>
    <w:rsid w:val="00AE1B18"/>
    <w:rsid w:val="00AE1D03"/>
    <w:rsid w:val="00AE1D3E"/>
    <w:rsid w:val="00AE1FE3"/>
    <w:rsid w:val="00AE20B3"/>
    <w:rsid w:val="00AE2285"/>
    <w:rsid w:val="00AE22B2"/>
    <w:rsid w:val="00AE22E5"/>
    <w:rsid w:val="00AE27E7"/>
    <w:rsid w:val="00AE29C8"/>
    <w:rsid w:val="00AE2ACF"/>
    <w:rsid w:val="00AE2B62"/>
    <w:rsid w:val="00AE2D2B"/>
    <w:rsid w:val="00AE2D94"/>
    <w:rsid w:val="00AE2E1B"/>
    <w:rsid w:val="00AE301B"/>
    <w:rsid w:val="00AE36E3"/>
    <w:rsid w:val="00AE3702"/>
    <w:rsid w:val="00AE383E"/>
    <w:rsid w:val="00AE38AA"/>
    <w:rsid w:val="00AE3BE7"/>
    <w:rsid w:val="00AE411C"/>
    <w:rsid w:val="00AE4163"/>
    <w:rsid w:val="00AE4392"/>
    <w:rsid w:val="00AE46F6"/>
    <w:rsid w:val="00AE471C"/>
    <w:rsid w:val="00AE4998"/>
    <w:rsid w:val="00AE4B1F"/>
    <w:rsid w:val="00AE4CD5"/>
    <w:rsid w:val="00AE4CE0"/>
    <w:rsid w:val="00AE4EFF"/>
    <w:rsid w:val="00AE52F1"/>
    <w:rsid w:val="00AE55C3"/>
    <w:rsid w:val="00AE56EA"/>
    <w:rsid w:val="00AE5E49"/>
    <w:rsid w:val="00AE5FA5"/>
    <w:rsid w:val="00AE6193"/>
    <w:rsid w:val="00AE6198"/>
    <w:rsid w:val="00AE61E6"/>
    <w:rsid w:val="00AE627F"/>
    <w:rsid w:val="00AE679B"/>
    <w:rsid w:val="00AE699D"/>
    <w:rsid w:val="00AE6B0D"/>
    <w:rsid w:val="00AE6C5A"/>
    <w:rsid w:val="00AE6CF9"/>
    <w:rsid w:val="00AE6E2A"/>
    <w:rsid w:val="00AE6F2B"/>
    <w:rsid w:val="00AE6FF6"/>
    <w:rsid w:val="00AE7544"/>
    <w:rsid w:val="00AE777A"/>
    <w:rsid w:val="00AE7A57"/>
    <w:rsid w:val="00AE7BF0"/>
    <w:rsid w:val="00AE7D1A"/>
    <w:rsid w:val="00AE7EB5"/>
    <w:rsid w:val="00AE7F27"/>
    <w:rsid w:val="00AE7F6E"/>
    <w:rsid w:val="00AE7FDF"/>
    <w:rsid w:val="00AE7FE8"/>
    <w:rsid w:val="00AF008D"/>
    <w:rsid w:val="00AF013A"/>
    <w:rsid w:val="00AF0434"/>
    <w:rsid w:val="00AF0B57"/>
    <w:rsid w:val="00AF0B88"/>
    <w:rsid w:val="00AF1109"/>
    <w:rsid w:val="00AF115F"/>
    <w:rsid w:val="00AF141B"/>
    <w:rsid w:val="00AF1588"/>
    <w:rsid w:val="00AF15B7"/>
    <w:rsid w:val="00AF1983"/>
    <w:rsid w:val="00AF1AAC"/>
    <w:rsid w:val="00AF1BDF"/>
    <w:rsid w:val="00AF1D87"/>
    <w:rsid w:val="00AF1E01"/>
    <w:rsid w:val="00AF20DD"/>
    <w:rsid w:val="00AF21B3"/>
    <w:rsid w:val="00AF2559"/>
    <w:rsid w:val="00AF258B"/>
    <w:rsid w:val="00AF2676"/>
    <w:rsid w:val="00AF270A"/>
    <w:rsid w:val="00AF2B97"/>
    <w:rsid w:val="00AF2D24"/>
    <w:rsid w:val="00AF3025"/>
    <w:rsid w:val="00AF3194"/>
    <w:rsid w:val="00AF38C2"/>
    <w:rsid w:val="00AF39B8"/>
    <w:rsid w:val="00AF3DAC"/>
    <w:rsid w:val="00AF3E66"/>
    <w:rsid w:val="00AF3F7B"/>
    <w:rsid w:val="00AF4037"/>
    <w:rsid w:val="00AF404F"/>
    <w:rsid w:val="00AF41FC"/>
    <w:rsid w:val="00AF451F"/>
    <w:rsid w:val="00AF46C8"/>
    <w:rsid w:val="00AF471C"/>
    <w:rsid w:val="00AF47B8"/>
    <w:rsid w:val="00AF47DB"/>
    <w:rsid w:val="00AF495E"/>
    <w:rsid w:val="00AF4A97"/>
    <w:rsid w:val="00AF52F4"/>
    <w:rsid w:val="00AF5384"/>
    <w:rsid w:val="00AF569B"/>
    <w:rsid w:val="00AF56D3"/>
    <w:rsid w:val="00AF5721"/>
    <w:rsid w:val="00AF594B"/>
    <w:rsid w:val="00AF5A7B"/>
    <w:rsid w:val="00AF5BB5"/>
    <w:rsid w:val="00AF5DAD"/>
    <w:rsid w:val="00AF5DEF"/>
    <w:rsid w:val="00AF63A8"/>
    <w:rsid w:val="00AF654D"/>
    <w:rsid w:val="00AF6733"/>
    <w:rsid w:val="00AF67AD"/>
    <w:rsid w:val="00AF6834"/>
    <w:rsid w:val="00AF6A6F"/>
    <w:rsid w:val="00AF6A81"/>
    <w:rsid w:val="00AF6E5A"/>
    <w:rsid w:val="00AF6F50"/>
    <w:rsid w:val="00AF7049"/>
    <w:rsid w:val="00AF73EC"/>
    <w:rsid w:val="00AF79E2"/>
    <w:rsid w:val="00AF7A7C"/>
    <w:rsid w:val="00AF7CD8"/>
    <w:rsid w:val="00AF7E3E"/>
    <w:rsid w:val="00B00146"/>
    <w:rsid w:val="00B00499"/>
    <w:rsid w:val="00B0066D"/>
    <w:rsid w:val="00B006FF"/>
    <w:rsid w:val="00B0099C"/>
    <w:rsid w:val="00B00A8E"/>
    <w:rsid w:val="00B00ADB"/>
    <w:rsid w:val="00B00B9C"/>
    <w:rsid w:val="00B00C90"/>
    <w:rsid w:val="00B00D36"/>
    <w:rsid w:val="00B00F39"/>
    <w:rsid w:val="00B00F75"/>
    <w:rsid w:val="00B0100B"/>
    <w:rsid w:val="00B0100E"/>
    <w:rsid w:val="00B01078"/>
    <w:rsid w:val="00B01451"/>
    <w:rsid w:val="00B01456"/>
    <w:rsid w:val="00B014D6"/>
    <w:rsid w:val="00B016F2"/>
    <w:rsid w:val="00B0191B"/>
    <w:rsid w:val="00B01924"/>
    <w:rsid w:val="00B01D2D"/>
    <w:rsid w:val="00B02083"/>
    <w:rsid w:val="00B0214C"/>
    <w:rsid w:val="00B0241B"/>
    <w:rsid w:val="00B02448"/>
    <w:rsid w:val="00B02698"/>
    <w:rsid w:val="00B02A66"/>
    <w:rsid w:val="00B02DBD"/>
    <w:rsid w:val="00B02E8F"/>
    <w:rsid w:val="00B02EB7"/>
    <w:rsid w:val="00B03240"/>
    <w:rsid w:val="00B034B8"/>
    <w:rsid w:val="00B03958"/>
    <w:rsid w:val="00B03968"/>
    <w:rsid w:val="00B03D38"/>
    <w:rsid w:val="00B03D57"/>
    <w:rsid w:val="00B03D7E"/>
    <w:rsid w:val="00B03DB9"/>
    <w:rsid w:val="00B03EEB"/>
    <w:rsid w:val="00B0415B"/>
    <w:rsid w:val="00B042BF"/>
    <w:rsid w:val="00B044E5"/>
    <w:rsid w:val="00B0451C"/>
    <w:rsid w:val="00B045B1"/>
    <w:rsid w:val="00B04803"/>
    <w:rsid w:val="00B049CC"/>
    <w:rsid w:val="00B04B23"/>
    <w:rsid w:val="00B04D3C"/>
    <w:rsid w:val="00B04DCA"/>
    <w:rsid w:val="00B04FFA"/>
    <w:rsid w:val="00B050D8"/>
    <w:rsid w:val="00B05250"/>
    <w:rsid w:val="00B05322"/>
    <w:rsid w:val="00B05333"/>
    <w:rsid w:val="00B055B5"/>
    <w:rsid w:val="00B05720"/>
    <w:rsid w:val="00B0582E"/>
    <w:rsid w:val="00B059CE"/>
    <w:rsid w:val="00B059D1"/>
    <w:rsid w:val="00B05AEE"/>
    <w:rsid w:val="00B05B44"/>
    <w:rsid w:val="00B05B99"/>
    <w:rsid w:val="00B05D0B"/>
    <w:rsid w:val="00B05DC9"/>
    <w:rsid w:val="00B06062"/>
    <w:rsid w:val="00B06653"/>
    <w:rsid w:val="00B06722"/>
    <w:rsid w:val="00B06A5E"/>
    <w:rsid w:val="00B06DFE"/>
    <w:rsid w:val="00B06EB9"/>
    <w:rsid w:val="00B06F42"/>
    <w:rsid w:val="00B07000"/>
    <w:rsid w:val="00B07234"/>
    <w:rsid w:val="00B073EA"/>
    <w:rsid w:val="00B07486"/>
    <w:rsid w:val="00B07699"/>
    <w:rsid w:val="00B0774F"/>
    <w:rsid w:val="00B07A7E"/>
    <w:rsid w:val="00B07B3F"/>
    <w:rsid w:val="00B07D12"/>
    <w:rsid w:val="00B07D74"/>
    <w:rsid w:val="00B104C0"/>
    <w:rsid w:val="00B10560"/>
    <w:rsid w:val="00B10D4D"/>
    <w:rsid w:val="00B1103B"/>
    <w:rsid w:val="00B1128E"/>
    <w:rsid w:val="00B115C5"/>
    <w:rsid w:val="00B11852"/>
    <w:rsid w:val="00B11AE1"/>
    <w:rsid w:val="00B11AF3"/>
    <w:rsid w:val="00B11BFA"/>
    <w:rsid w:val="00B11C6D"/>
    <w:rsid w:val="00B11C91"/>
    <w:rsid w:val="00B11CE3"/>
    <w:rsid w:val="00B11D30"/>
    <w:rsid w:val="00B1206A"/>
    <w:rsid w:val="00B125D5"/>
    <w:rsid w:val="00B12747"/>
    <w:rsid w:val="00B1299E"/>
    <w:rsid w:val="00B12C3F"/>
    <w:rsid w:val="00B12D4C"/>
    <w:rsid w:val="00B12F84"/>
    <w:rsid w:val="00B13013"/>
    <w:rsid w:val="00B1307C"/>
    <w:rsid w:val="00B13092"/>
    <w:rsid w:val="00B131C0"/>
    <w:rsid w:val="00B1321F"/>
    <w:rsid w:val="00B13709"/>
    <w:rsid w:val="00B13939"/>
    <w:rsid w:val="00B1398A"/>
    <w:rsid w:val="00B13B57"/>
    <w:rsid w:val="00B13C8F"/>
    <w:rsid w:val="00B13CDA"/>
    <w:rsid w:val="00B14447"/>
    <w:rsid w:val="00B14721"/>
    <w:rsid w:val="00B14A4F"/>
    <w:rsid w:val="00B14D94"/>
    <w:rsid w:val="00B14FA8"/>
    <w:rsid w:val="00B14FB2"/>
    <w:rsid w:val="00B155AF"/>
    <w:rsid w:val="00B15705"/>
    <w:rsid w:val="00B15741"/>
    <w:rsid w:val="00B15BB0"/>
    <w:rsid w:val="00B15D87"/>
    <w:rsid w:val="00B15DD4"/>
    <w:rsid w:val="00B16061"/>
    <w:rsid w:val="00B161D8"/>
    <w:rsid w:val="00B161DA"/>
    <w:rsid w:val="00B16231"/>
    <w:rsid w:val="00B16977"/>
    <w:rsid w:val="00B169AC"/>
    <w:rsid w:val="00B16BB6"/>
    <w:rsid w:val="00B16C08"/>
    <w:rsid w:val="00B16F2D"/>
    <w:rsid w:val="00B17394"/>
    <w:rsid w:val="00B1770C"/>
    <w:rsid w:val="00B177E4"/>
    <w:rsid w:val="00B17901"/>
    <w:rsid w:val="00B17AFD"/>
    <w:rsid w:val="00B17C14"/>
    <w:rsid w:val="00B17DF8"/>
    <w:rsid w:val="00B17E98"/>
    <w:rsid w:val="00B17FC8"/>
    <w:rsid w:val="00B2025E"/>
    <w:rsid w:val="00B203C9"/>
    <w:rsid w:val="00B20555"/>
    <w:rsid w:val="00B205D8"/>
    <w:rsid w:val="00B20649"/>
    <w:rsid w:val="00B207FA"/>
    <w:rsid w:val="00B20FB8"/>
    <w:rsid w:val="00B21158"/>
    <w:rsid w:val="00B21379"/>
    <w:rsid w:val="00B2156C"/>
    <w:rsid w:val="00B21683"/>
    <w:rsid w:val="00B21721"/>
    <w:rsid w:val="00B21771"/>
    <w:rsid w:val="00B21A6D"/>
    <w:rsid w:val="00B21B64"/>
    <w:rsid w:val="00B21E3E"/>
    <w:rsid w:val="00B21F47"/>
    <w:rsid w:val="00B223FA"/>
    <w:rsid w:val="00B2277F"/>
    <w:rsid w:val="00B22A02"/>
    <w:rsid w:val="00B22AD7"/>
    <w:rsid w:val="00B22CAE"/>
    <w:rsid w:val="00B22D14"/>
    <w:rsid w:val="00B22FF7"/>
    <w:rsid w:val="00B23215"/>
    <w:rsid w:val="00B2327F"/>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4B9"/>
    <w:rsid w:val="00B25692"/>
    <w:rsid w:val="00B25813"/>
    <w:rsid w:val="00B25CA7"/>
    <w:rsid w:val="00B25E58"/>
    <w:rsid w:val="00B25EC7"/>
    <w:rsid w:val="00B260B2"/>
    <w:rsid w:val="00B261AF"/>
    <w:rsid w:val="00B2626D"/>
    <w:rsid w:val="00B263FD"/>
    <w:rsid w:val="00B264A6"/>
    <w:rsid w:val="00B2656C"/>
    <w:rsid w:val="00B26820"/>
    <w:rsid w:val="00B269EC"/>
    <w:rsid w:val="00B26D0C"/>
    <w:rsid w:val="00B26D39"/>
    <w:rsid w:val="00B26DC0"/>
    <w:rsid w:val="00B2700F"/>
    <w:rsid w:val="00B271A7"/>
    <w:rsid w:val="00B27220"/>
    <w:rsid w:val="00B272A8"/>
    <w:rsid w:val="00B27328"/>
    <w:rsid w:val="00B2767A"/>
    <w:rsid w:val="00B278CD"/>
    <w:rsid w:val="00B27A1E"/>
    <w:rsid w:val="00B27AA4"/>
    <w:rsid w:val="00B27B4A"/>
    <w:rsid w:val="00B27E25"/>
    <w:rsid w:val="00B30094"/>
    <w:rsid w:val="00B30382"/>
    <w:rsid w:val="00B3078C"/>
    <w:rsid w:val="00B307E8"/>
    <w:rsid w:val="00B309EB"/>
    <w:rsid w:val="00B30A52"/>
    <w:rsid w:val="00B30C95"/>
    <w:rsid w:val="00B30F79"/>
    <w:rsid w:val="00B31092"/>
    <w:rsid w:val="00B311A2"/>
    <w:rsid w:val="00B313BA"/>
    <w:rsid w:val="00B31479"/>
    <w:rsid w:val="00B31CC7"/>
    <w:rsid w:val="00B31CDD"/>
    <w:rsid w:val="00B31ED5"/>
    <w:rsid w:val="00B320EC"/>
    <w:rsid w:val="00B3230C"/>
    <w:rsid w:val="00B32558"/>
    <w:rsid w:val="00B327F0"/>
    <w:rsid w:val="00B329C6"/>
    <w:rsid w:val="00B32A16"/>
    <w:rsid w:val="00B32BB0"/>
    <w:rsid w:val="00B32F47"/>
    <w:rsid w:val="00B33166"/>
    <w:rsid w:val="00B332CD"/>
    <w:rsid w:val="00B3344E"/>
    <w:rsid w:val="00B336FD"/>
    <w:rsid w:val="00B33797"/>
    <w:rsid w:val="00B33941"/>
    <w:rsid w:val="00B33C1B"/>
    <w:rsid w:val="00B33F17"/>
    <w:rsid w:val="00B33F56"/>
    <w:rsid w:val="00B33F7A"/>
    <w:rsid w:val="00B3400B"/>
    <w:rsid w:val="00B3418E"/>
    <w:rsid w:val="00B341C8"/>
    <w:rsid w:val="00B341FE"/>
    <w:rsid w:val="00B34456"/>
    <w:rsid w:val="00B34860"/>
    <w:rsid w:val="00B34B90"/>
    <w:rsid w:val="00B34D34"/>
    <w:rsid w:val="00B34F44"/>
    <w:rsid w:val="00B34FCA"/>
    <w:rsid w:val="00B34FFA"/>
    <w:rsid w:val="00B3505C"/>
    <w:rsid w:val="00B3517B"/>
    <w:rsid w:val="00B351E2"/>
    <w:rsid w:val="00B352CE"/>
    <w:rsid w:val="00B35461"/>
    <w:rsid w:val="00B356F0"/>
    <w:rsid w:val="00B359DB"/>
    <w:rsid w:val="00B359FE"/>
    <w:rsid w:val="00B35A3C"/>
    <w:rsid w:val="00B35C27"/>
    <w:rsid w:val="00B35DD3"/>
    <w:rsid w:val="00B35ED5"/>
    <w:rsid w:val="00B36069"/>
    <w:rsid w:val="00B360A6"/>
    <w:rsid w:val="00B360D3"/>
    <w:rsid w:val="00B361A6"/>
    <w:rsid w:val="00B3629D"/>
    <w:rsid w:val="00B36663"/>
    <w:rsid w:val="00B36676"/>
    <w:rsid w:val="00B36CA9"/>
    <w:rsid w:val="00B36D93"/>
    <w:rsid w:val="00B36E73"/>
    <w:rsid w:val="00B36E89"/>
    <w:rsid w:val="00B36ED9"/>
    <w:rsid w:val="00B36FB3"/>
    <w:rsid w:val="00B3720A"/>
    <w:rsid w:val="00B373BA"/>
    <w:rsid w:val="00B374D9"/>
    <w:rsid w:val="00B375C1"/>
    <w:rsid w:val="00B37767"/>
    <w:rsid w:val="00B377E5"/>
    <w:rsid w:val="00B378E7"/>
    <w:rsid w:val="00B37994"/>
    <w:rsid w:val="00B37B75"/>
    <w:rsid w:val="00B37BC2"/>
    <w:rsid w:val="00B37CB6"/>
    <w:rsid w:val="00B37E97"/>
    <w:rsid w:val="00B40233"/>
    <w:rsid w:val="00B402D1"/>
    <w:rsid w:val="00B40528"/>
    <w:rsid w:val="00B40538"/>
    <w:rsid w:val="00B40BDF"/>
    <w:rsid w:val="00B40C80"/>
    <w:rsid w:val="00B40D02"/>
    <w:rsid w:val="00B40D1B"/>
    <w:rsid w:val="00B40ED3"/>
    <w:rsid w:val="00B4125B"/>
    <w:rsid w:val="00B41643"/>
    <w:rsid w:val="00B41768"/>
    <w:rsid w:val="00B41A01"/>
    <w:rsid w:val="00B41C4B"/>
    <w:rsid w:val="00B41DFA"/>
    <w:rsid w:val="00B41E04"/>
    <w:rsid w:val="00B42238"/>
    <w:rsid w:val="00B423E0"/>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5CF"/>
    <w:rsid w:val="00B438E5"/>
    <w:rsid w:val="00B43A18"/>
    <w:rsid w:val="00B43FE2"/>
    <w:rsid w:val="00B44096"/>
    <w:rsid w:val="00B440D1"/>
    <w:rsid w:val="00B44295"/>
    <w:rsid w:val="00B44360"/>
    <w:rsid w:val="00B44405"/>
    <w:rsid w:val="00B44687"/>
    <w:rsid w:val="00B44B21"/>
    <w:rsid w:val="00B44BDB"/>
    <w:rsid w:val="00B44C17"/>
    <w:rsid w:val="00B44D7A"/>
    <w:rsid w:val="00B44DFA"/>
    <w:rsid w:val="00B44EAA"/>
    <w:rsid w:val="00B4505F"/>
    <w:rsid w:val="00B45290"/>
    <w:rsid w:val="00B456E5"/>
    <w:rsid w:val="00B45703"/>
    <w:rsid w:val="00B458C5"/>
    <w:rsid w:val="00B45A53"/>
    <w:rsid w:val="00B45A6E"/>
    <w:rsid w:val="00B45A9B"/>
    <w:rsid w:val="00B45E11"/>
    <w:rsid w:val="00B4610A"/>
    <w:rsid w:val="00B4610D"/>
    <w:rsid w:val="00B4637D"/>
    <w:rsid w:val="00B463E0"/>
    <w:rsid w:val="00B46431"/>
    <w:rsid w:val="00B46700"/>
    <w:rsid w:val="00B46830"/>
    <w:rsid w:val="00B46CB6"/>
    <w:rsid w:val="00B47036"/>
    <w:rsid w:val="00B472D5"/>
    <w:rsid w:val="00B474F5"/>
    <w:rsid w:val="00B47580"/>
    <w:rsid w:val="00B47B4D"/>
    <w:rsid w:val="00B47C27"/>
    <w:rsid w:val="00B47C60"/>
    <w:rsid w:val="00B47CD3"/>
    <w:rsid w:val="00B47DB6"/>
    <w:rsid w:val="00B47DB7"/>
    <w:rsid w:val="00B47FCA"/>
    <w:rsid w:val="00B50056"/>
    <w:rsid w:val="00B501BB"/>
    <w:rsid w:val="00B5043D"/>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0CE"/>
    <w:rsid w:val="00B52123"/>
    <w:rsid w:val="00B523AB"/>
    <w:rsid w:val="00B5253C"/>
    <w:rsid w:val="00B526A1"/>
    <w:rsid w:val="00B528AA"/>
    <w:rsid w:val="00B52956"/>
    <w:rsid w:val="00B529A3"/>
    <w:rsid w:val="00B529E4"/>
    <w:rsid w:val="00B52EDA"/>
    <w:rsid w:val="00B52EFE"/>
    <w:rsid w:val="00B52FC6"/>
    <w:rsid w:val="00B531E0"/>
    <w:rsid w:val="00B531E7"/>
    <w:rsid w:val="00B53278"/>
    <w:rsid w:val="00B5370C"/>
    <w:rsid w:val="00B537E0"/>
    <w:rsid w:val="00B5385F"/>
    <w:rsid w:val="00B53AB9"/>
    <w:rsid w:val="00B53C1D"/>
    <w:rsid w:val="00B53CA5"/>
    <w:rsid w:val="00B53DA0"/>
    <w:rsid w:val="00B53DE9"/>
    <w:rsid w:val="00B53E3B"/>
    <w:rsid w:val="00B53EA9"/>
    <w:rsid w:val="00B53FE6"/>
    <w:rsid w:val="00B54085"/>
    <w:rsid w:val="00B54281"/>
    <w:rsid w:val="00B545A1"/>
    <w:rsid w:val="00B54710"/>
    <w:rsid w:val="00B54BD0"/>
    <w:rsid w:val="00B54C89"/>
    <w:rsid w:val="00B54CB4"/>
    <w:rsid w:val="00B54D37"/>
    <w:rsid w:val="00B54DB7"/>
    <w:rsid w:val="00B55087"/>
    <w:rsid w:val="00B550FD"/>
    <w:rsid w:val="00B5540E"/>
    <w:rsid w:val="00B55576"/>
    <w:rsid w:val="00B557DF"/>
    <w:rsid w:val="00B55810"/>
    <w:rsid w:val="00B55839"/>
    <w:rsid w:val="00B55929"/>
    <w:rsid w:val="00B5595F"/>
    <w:rsid w:val="00B55C8B"/>
    <w:rsid w:val="00B55E69"/>
    <w:rsid w:val="00B55F8B"/>
    <w:rsid w:val="00B56020"/>
    <w:rsid w:val="00B5610E"/>
    <w:rsid w:val="00B5623B"/>
    <w:rsid w:val="00B5626F"/>
    <w:rsid w:val="00B56298"/>
    <w:rsid w:val="00B56327"/>
    <w:rsid w:val="00B56662"/>
    <w:rsid w:val="00B56B66"/>
    <w:rsid w:val="00B56C26"/>
    <w:rsid w:val="00B56E3F"/>
    <w:rsid w:val="00B57040"/>
    <w:rsid w:val="00B572B1"/>
    <w:rsid w:val="00B5740F"/>
    <w:rsid w:val="00B57505"/>
    <w:rsid w:val="00B57639"/>
    <w:rsid w:val="00B57694"/>
    <w:rsid w:val="00B57907"/>
    <w:rsid w:val="00B57EAD"/>
    <w:rsid w:val="00B57F09"/>
    <w:rsid w:val="00B609D3"/>
    <w:rsid w:val="00B60CA3"/>
    <w:rsid w:val="00B60D85"/>
    <w:rsid w:val="00B60E4D"/>
    <w:rsid w:val="00B61062"/>
    <w:rsid w:val="00B610D4"/>
    <w:rsid w:val="00B611BC"/>
    <w:rsid w:val="00B6160B"/>
    <w:rsid w:val="00B61A75"/>
    <w:rsid w:val="00B61B16"/>
    <w:rsid w:val="00B61FEF"/>
    <w:rsid w:val="00B6225C"/>
    <w:rsid w:val="00B624CB"/>
    <w:rsid w:val="00B624EB"/>
    <w:rsid w:val="00B628B3"/>
    <w:rsid w:val="00B62925"/>
    <w:rsid w:val="00B62C1E"/>
    <w:rsid w:val="00B62ED2"/>
    <w:rsid w:val="00B63313"/>
    <w:rsid w:val="00B633E9"/>
    <w:rsid w:val="00B6340C"/>
    <w:rsid w:val="00B63701"/>
    <w:rsid w:val="00B63739"/>
    <w:rsid w:val="00B637F6"/>
    <w:rsid w:val="00B638C5"/>
    <w:rsid w:val="00B638E7"/>
    <w:rsid w:val="00B63938"/>
    <w:rsid w:val="00B63BDC"/>
    <w:rsid w:val="00B63F1B"/>
    <w:rsid w:val="00B6415F"/>
    <w:rsid w:val="00B6417A"/>
    <w:rsid w:val="00B644A8"/>
    <w:rsid w:val="00B64B54"/>
    <w:rsid w:val="00B64BAF"/>
    <w:rsid w:val="00B64C27"/>
    <w:rsid w:val="00B64EC0"/>
    <w:rsid w:val="00B64F33"/>
    <w:rsid w:val="00B64F82"/>
    <w:rsid w:val="00B653B5"/>
    <w:rsid w:val="00B654FD"/>
    <w:rsid w:val="00B656C5"/>
    <w:rsid w:val="00B656DE"/>
    <w:rsid w:val="00B656E0"/>
    <w:rsid w:val="00B6577A"/>
    <w:rsid w:val="00B65CC6"/>
    <w:rsid w:val="00B662A0"/>
    <w:rsid w:val="00B66595"/>
    <w:rsid w:val="00B666F7"/>
    <w:rsid w:val="00B66910"/>
    <w:rsid w:val="00B66CA6"/>
    <w:rsid w:val="00B67062"/>
    <w:rsid w:val="00B671EB"/>
    <w:rsid w:val="00B67667"/>
    <w:rsid w:val="00B67AAE"/>
    <w:rsid w:val="00B67E3E"/>
    <w:rsid w:val="00B67F4E"/>
    <w:rsid w:val="00B7014C"/>
    <w:rsid w:val="00B703D4"/>
    <w:rsid w:val="00B7045F"/>
    <w:rsid w:val="00B70510"/>
    <w:rsid w:val="00B70867"/>
    <w:rsid w:val="00B70A2C"/>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7F1"/>
    <w:rsid w:val="00B728C7"/>
    <w:rsid w:val="00B7290B"/>
    <w:rsid w:val="00B72AAB"/>
    <w:rsid w:val="00B72B94"/>
    <w:rsid w:val="00B72CC8"/>
    <w:rsid w:val="00B72E1F"/>
    <w:rsid w:val="00B730C8"/>
    <w:rsid w:val="00B735C5"/>
    <w:rsid w:val="00B73615"/>
    <w:rsid w:val="00B73B72"/>
    <w:rsid w:val="00B73B93"/>
    <w:rsid w:val="00B73C85"/>
    <w:rsid w:val="00B73C9E"/>
    <w:rsid w:val="00B73DBD"/>
    <w:rsid w:val="00B73F1C"/>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099"/>
    <w:rsid w:val="00B7664D"/>
    <w:rsid w:val="00B767BC"/>
    <w:rsid w:val="00B76906"/>
    <w:rsid w:val="00B769C9"/>
    <w:rsid w:val="00B76CA4"/>
    <w:rsid w:val="00B7700C"/>
    <w:rsid w:val="00B770CE"/>
    <w:rsid w:val="00B77238"/>
    <w:rsid w:val="00B7757D"/>
    <w:rsid w:val="00B77BAA"/>
    <w:rsid w:val="00B802CD"/>
    <w:rsid w:val="00B8033C"/>
    <w:rsid w:val="00B807A6"/>
    <w:rsid w:val="00B80CD2"/>
    <w:rsid w:val="00B80EDD"/>
    <w:rsid w:val="00B8115E"/>
    <w:rsid w:val="00B8165A"/>
    <w:rsid w:val="00B817F0"/>
    <w:rsid w:val="00B81A59"/>
    <w:rsid w:val="00B81B3E"/>
    <w:rsid w:val="00B81D77"/>
    <w:rsid w:val="00B81E0C"/>
    <w:rsid w:val="00B820B6"/>
    <w:rsid w:val="00B82450"/>
    <w:rsid w:val="00B824C0"/>
    <w:rsid w:val="00B824DF"/>
    <w:rsid w:val="00B826AD"/>
    <w:rsid w:val="00B826D6"/>
    <w:rsid w:val="00B82BBE"/>
    <w:rsid w:val="00B82F7A"/>
    <w:rsid w:val="00B831BB"/>
    <w:rsid w:val="00B83245"/>
    <w:rsid w:val="00B83489"/>
    <w:rsid w:val="00B83520"/>
    <w:rsid w:val="00B837D7"/>
    <w:rsid w:val="00B83930"/>
    <w:rsid w:val="00B83959"/>
    <w:rsid w:val="00B83A3F"/>
    <w:rsid w:val="00B83B81"/>
    <w:rsid w:val="00B83CCD"/>
    <w:rsid w:val="00B83D3A"/>
    <w:rsid w:val="00B83DD7"/>
    <w:rsid w:val="00B83FE5"/>
    <w:rsid w:val="00B848A0"/>
    <w:rsid w:val="00B84A46"/>
    <w:rsid w:val="00B850F9"/>
    <w:rsid w:val="00B856EF"/>
    <w:rsid w:val="00B85916"/>
    <w:rsid w:val="00B85927"/>
    <w:rsid w:val="00B8599E"/>
    <w:rsid w:val="00B85CAF"/>
    <w:rsid w:val="00B861F3"/>
    <w:rsid w:val="00B862F6"/>
    <w:rsid w:val="00B863E9"/>
    <w:rsid w:val="00B86551"/>
    <w:rsid w:val="00B8660F"/>
    <w:rsid w:val="00B867AF"/>
    <w:rsid w:val="00B86F23"/>
    <w:rsid w:val="00B8710A"/>
    <w:rsid w:val="00B872A3"/>
    <w:rsid w:val="00B875C5"/>
    <w:rsid w:val="00B87759"/>
    <w:rsid w:val="00B87782"/>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A9A"/>
    <w:rsid w:val="00B91AE4"/>
    <w:rsid w:val="00B91B21"/>
    <w:rsid w:val="00B91B70"/>
    <w:rsid w:val="00B91C04"/>
    <w:rsid w:val="00B91CA8"/>
    <w:rsid w:val="00B91D68"/>
    <w:rsid w:val="00B91DB6"/>
    <w:rsid w:val="00B92055"/>
    <w:rsid w:val="00B92407"/>
    <w:rsid w:val="00B92528"/>
    <w:rsid w:val="00B92657"/>
    <w:rsid w:val="00B92686"/>
    <w:rsid w:val="00B928F7"/>
    <w:rsid w:val="00B92D36"/>
    <w:rsid w:val="00B92F83"/>
    <w:rsid w:val="00B92F94"/>
    <w:rsid w:val="00B92FBD"/>
    <w:rsid w:val="00B9323A"/>
    <w:rsid w:val="00B9349B"/>
    <w:rsid w:val="00B9354B"/>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56"/>
    <w:rsid w:val="00B9515B"/>
    <w:rsid w:val="00B951CA"/>
    <w:rsid w:val="00B9551E"/>
    <w:rsid w:val="00B955B3"/>
    <w:rsid w:val="00B957AC"/>
    <w:rsid w:val="00B95862"/>
    <w:rsid w:val="00B95B13"/>
    <w:rsid w:val="00B95B20"/>
    <w:rsid w:val="00B95C81"/>
    <w:rsid w:val="00B95C9B"/>
    <w:rsid w:val="00B95CC5"/>
    <w:rsid w:val="00B95D0C"/>
    <w:rsid w:val="00B95D60"/>
    <w:rsid w:val="00B95ECC"/>
    <w:rsid w:val="00B96574"/>
    <w:rsid w:val="00B9697C"/>
    <w:rsid w:val="00B96AC9"/>
    <w:rsid w:val="00B96AEC"/>
    <w:rsid w:val="00B9725F"/>
    <w:rsid w:val="00B972AE"/>
    <w:rsid w:val="00B976B5"/>
    <w:rsid w:val="00B976C5"/>
    <w:rsid w:val="00B97770"/>
    <w:rsid w:val="00B97930"/>
    <w:rsid w:val="00B97931"/>
    <w:rsid w:val="00B979CE"/>
    <w:rsid w:val="00B97A14"/>
    <w:rsid w:val="00B97CAE"/>
    <w:rsid w:val="00B97CF4"/>
    <w:rsid w:val="00B97D0C"/>
    <w:rsid w:val="00B97E28"/>
    <w:rsid w:val="00B97E78"/>
    <w:rsid w:val="00BA058C"/>
    <w:rsid w:val="00BA0623"/>
    <w:rsid w:val="00BA06AB"/>
    <w:rsid w:val="00BA07C9"/>
    <w:rsid w:val="00BA087D"/>
    <w:rsid w:val="00BA0900"/>
    <w:rsid w:val="00BA091F"/>
    <w:rsid w:val="00BA0B17"/>
    <w:rsid w:val="00BA102F"/>
    <w:rsid w:val="00BA1265"/>
    <w:rsid w:val="00BA1494"/>
    <w:rsid w:val="00BA150E"/>
    <w:rsid w:val="00BA152C"/>
    <w:rsid w:val="00BA161D"/>
    <w:rsid w:val="00BA17AF"/>
    <w:rsid w:val="00BA1AC1"/>
    <w:rsid w:val="00BA1B9B"/>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3F4"/>
    <w:rsid w:val="00BA34AD"/>
    <w:rsid w:val="00BA36A6"/>
    <w:rsid w:val="00BA37ED"/>
    <w:rsid w:val="00BA38AD"/>
    <w:rsid w:val="00BA3977"/>
    <w:rsid w:val="00BA3DF4"/>
    <w:rsid w:val="00BA40D0"/>
    <w:rsid w:val="00BA440D"/>
    <w:rsid w:val="00BA45E5"/>
    <w:rsid w:val="00BA466D"/>
    <w:rsid w:val="00BA4AB3"/>
    <w:rsid w:val="00BA4D96"/>
    <w:rsid w:val="00BA5621"/>
    <w:rsid w:val="00BA5885"/>
    <w:rsid w:val="00BA5BBD"/>
    <w:rsid w:val="00BA5C22"/>
    <w:rsid w:val="00BA5C80"/>
    <w:rsid w:val="00BA6009"/>
    <w:rsid w:val="00BA6294"/>
    <w:rsid w:val="00BA6482"/>
    <w:rsid w:val="00BA6DC2"/>
    <w:rsid w:val="00BA6FAA"/>
    <w:rsid w:val="00BA728B"/>
    <w:rsid w:val="00BA7C49"/>
    <w:rsid w:val="00BA7CBE"/>
    <w:rsid w:val="00BA7D3A"/>
    <w:rsid w:val="00BA7DCA"/>
    <w:rsid w:val="00BA7F2C"/>
    <w:rsid w:val="00BB00B2"/>
    <w:rsid w:val="00BB010F"/>
    <w:rsid w:val="00BB033F"/>
    <w:rsid w:val="00BB0358"/>
    <w:rsid w:val="00BB07A2"/>
    <w:rsid w:val="00BB0889"/>
    <w:rsid w:val="00BB08CF"/>
    <w:rsid w:val="00BB08E9"/>
    <w:rsid w:val="00BB09B4"/>
    <w:rsid w:val="00BB09D7"/>
    <w:rsid w:val="00BB0BFA"/>
    <w:rsid w:val="00BB0F8B"/>
    <w:rsid w:val="00BB1054"/>
    <w:rsid w:val="00BB1148"/>
    <w:rsid w:val="00BB192D"/>
    <w:rsid w:val="00BB1CE0"/>
    <w:rsid w:val="00BB1DF1"/>
    <w:rsid w:val="00BB230C"/>
    <w:rsid w:val="00BB236D"/>
    <w:rsid w:val="00BB2756"/>
    <w:rsid w:val="00BB2759"/>
    <w:rsid w:val="00BB2F81"/>
    <w:rsid w:val="00BB31E6"/>
    <w:rsid w:val="00BB32DA"/>
    <w:rsid w:val="00BB36BB"/>
    <w:rsid w:val="00BB3766"/>
    <w:rsid w:val="00BB3A59"/>
    <w:rsid w:val="00BB3AFE"/>
    <w:rsid w:val="00BB425E"/>
    <w:rsid w:val="00BB42D8"/>
    <w:rsid w:val="00BB433C"/>
    <w:rsid w:val="00BB4393"/>
    <w:rsid w:val="00BB462E"/>
    <w:rsid w:val="00BB4645"/>
    <w:rsid w:val="00BB4669"/>
    <w:rsid w:val="00BB4A1C"/>
    <w:rsid w:val="00BB4A57"/>
    <w:rsid w:val="00BB4D23"/>
    <w:rsid w:val="00BB4D9A"/>
    <w:rsid w:val="00BB4FB2"/>
    <w:rsid w:val="00BB4FF4"/>
    <w:rsid w:val="00BB502A"/>
    <w:rsid w:val="00BB509C"/>
    <w:rsid w:val="00BB5809"/>
    <w:rsid w:val="00BB58A9"/>
    <w:rsid w:val="00BB59A1"/>
    <w:rsid w:val="00BB59B7"/>
    <w:rsid w:val="00BB5E50"/>
    <w:rsid w:val="00BB5EA7"/>
    <w:rsid w:val="00BB60AE"/>
    <w:rsid w:val="00BB60E1"/>
    <w:rsid w:val="00BB639A"/>
    <w:rsid w:val="00BB6455"/>
    <w:rsid w:val="00BB660F"/>
    <w:rsid w:val="00BB6AA8"/>
    <w:rsid w:val="00BB6D1E"/>
    <w:rsid w:val="00BB70FC"/>
    <w:rsid w:val="00BB72CA"/>
    <w:rsid w:val="00BB72EB"/>
    <w:rsid w:val="00BB748E"/>
    <w:rsid w:val="00BB7743"/>
    <w:rsid w:val="00BB77E5"/>
    <w:rsid w:val="00BB7840"/>
    <w:rsid w:val="00BC00CA"/>
    <w:rsid w:val="00BC0206"/>
    <w:rsid w:val="00BC04F0"/>
    <w:rsid w:val="00BC078E"/>
    <w:rsid w:val="00BC0967"/>
    <w:rsid w:val="00BC0B0F"/>
    <w:rsid w:val="00BC0E74"/>
    <w:rsid w:val="00BC13EA"/>
    <w:rsid w:val="00BC17EC"/>
    <w:rsid w:val="00BC1904"/>
    <w:rsid w:val="00BC1AAC"/>
    <w:rsid w:val="00BC1AD9"/>
    <w:rsid w:val="00BC1E1D"/>
    <w:rsid w:val="00BC1F57"/>
    <w:rsid w:val="00BC210B"/>
    <w:rsid w:val="00BC2162"/>
    <w:rsid w:val="00BC2204"/>
    <w:rsid w:val="00BC2669"/>
    <w:rsid w:val="00BC2776"/>
    <w:rsid w:val="00BC27F6"/>
    <w:rsid w:val="00BC2915"/>
    <w:rsid w:val="00BC298D"/>
    <w:rsid w:val="00BC2C9E"/>
    <w:rsid w:val="00BC2E08"/>
    <w:rsid w:val="00BC34C3"/>
    <w:rsid w:val="00BC3502"/>
    <w:rsid w:val="00BC360A"/>
    <w:rsid w:val="00BC39BB"/>
    <w:rsid w:val="00BC3E83"/>
    <w:rsid w:val="00BC4024"/>
    <w:rsid w:val="00BC405D"/>
    <w:rsid w:val="00BC4468"/>
    <w:rsid w:val="00BC46ED"/>
    <w:rsid w:val="00BC4714"/>
    <w:rsid w:val="00BC4869"/>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6F4"/>
    <w:rsid w:val="00BC6992"/>
    <w:rsid w:val="00BC69B6"/>
    <w:rsid w:val="00BC6B5C"/>
    <w:rsid w:val="00BC6D00"/>
    <w:rsid w:val="00BC6D7B"/>
    <w:rsid w:val="00BC6DBF"/>
    <w:rsid w:val="00BC70C7"/>
    <w:rsid w:val="00BC7193"/>
    <w:rsid w:val="00BC7273"/>
    <w:rsid w:val="00BC73F5"/>
    <w:rsid w:val="00BC7BE1"/>
    <w:rsid w:val="00BC7DB9"/>
    <w:rsid w:val="00BC7F71"/>
    <w:rsid w:val="00BD0194"/>
    <w:rsid w:val="00BD04F9"/>
    <w:rsid w:val="00BD0540"/>
    <w:rsid w:val="00BD0CC0"/>
    <w:rsid w:val="00BD0D4C"/>
    <w:rsid w:val="00BD1089"/>
    <w:rsid w:val="00BD13FD"/>
    <w:rsid w:val="00BD16EF"/>
    <w:rsid w:val="00BD1700"/>
    <w:rsid w:val="00BD19B9"/>
    <w:rsid w:val="00BD1DB1"/>
    <w:rsid w:val="00BD2113"/>
    <w:rsid w:val="00BD2134"/>
    <w:rsid w:val="00BD215C"/>
    <w:rsid w:val="00BD238A"/>
    <w:rsid w:val="00BD27DB"/>
    <w:rsid w:val="00BD2DDC"/>
    <w:rsid w:val="00BD2E02"/>
    <w:rsid w:val="00BD2ED4"/>
    <w:rsid w:val="00BD2F51"/>
    <w:rsid w:val="00BD2FEA"/>
    <w:rsid w:val="00BD324F"/>
    <w:rsid w:val="00BD3740"/>
    <w:rsid w:val="00BD389E"/>
    <w:rsid w:val="00BD38ED"/>
    <w:rsid w:val="00BD3B6E"/>
    <w:rsid w:val="00BD3CE2"/>
    <w:rsid w:val="00BD3E37"/>
    <w:rsid w:val="00BD3FB7"/>
    <w:rsid w:val="00BD412A"/>
    <w:rsid w:val="00BD4156"/>
    <w:rsid w:val="00BD41F9"/>
    <w:rsid w:val="00BD4655"/>
    <w:rsid w:val="00BD4787"/>
    <w:rsid w:val="00BD47B4"/>
    <w:rsid w:val="00BD48D3"/>
    <w:rsid w:val="00BD4F81"/>
    <w:rsid w:val="00BD5033"/>
    <w:rsid w:val="00BD5220"/>
    <w:rsid w:val="00BD57B4"/>
    <w:rsid w:val="00BD585E"/>
    <w:rsid w:val="00BD5A12"/>
    <w:rsid w:val="00BD5ABA"/>
    <w:rsid w:val="00BD5B21"/>
    <w:rsid w:val="00BD5B30"/>
    <w:rsid w:val="00BD5DE1"/>
    <w:rsid w:val="00BD5EB4"/>
    <w:rsid w:val="00BD5F76"/>
    <w:rsid w:val="00BD60AC"/>
    <w:rsid w:val="00BD6419"/>
    <w:rsid w:val="00BD687D"/>
    <w:rsid w:val="00BD69E0"/>
    <w:rsid w:val="00BD69F1"/>
    <w:rsid w:val="00BD6A34"/>
    <w:rsid w:val="00BD6C11"/>
    <w:rsid w:val="00BD6C5C"/>
    <w:rsid w:val="00BD6F01"/>
    <w:rsid w:val="00BD6FD6"/>
    <w:rsid w:val="00BD710B"/>
    <w:rsid w:val="00BD721E"/>
    <w:rsid w:val="00BD7566"/>
    <w:rsid w:val="00BD79A1"/>
    <w:rsid w:val="00BD7E05"/>
    <w:rsid w:val="00BD7E1B"/>
    <w:rsid w:val="00BD7E5A"/>
    <w:rsid w:val="00BD7E70"/>
    <w:rsid w:val="00BD7EE2"/>
    <w:rsid w:val="00BE0185"/>
    <w:rsid w:val="00BE0196"/>
    <w:rsid w:val="00BE0385"/>
    <w:rsid w:val="00BE0495"/>
    <w:rsid w:val="00BE07E3"/>
    <w:rsid w:val="00BE0948"/>
    <w:rsid w:val="00BE0A31"/>
    <w:rsid w:val="00BE14B9"/>
    <w:rsid w:val="00BE15A7"/>
    <w:rsid w:val="00BE177C"/>
    <w:rsid w:val="00BE1817"/>
    <w:rsid w:val="00BE19CC"/>
    <w:rsid w:val="00BE1A75"/>
    <w:rsid w:val="00BE1C8B"/>
    <w:rsid w:val="00BE1C9D"/>
    <w:rsid w:val="00BE1D0D"/>
    <w:rsid w:val="00BE1E25"/>
    <w:rsid w:val="00BE1E8C"/>
    <w:rsid w:val="00BE1F6A"/>
    <w:rsid w:val="00BE2028"/>
    <w:rsid w:val="00BE22B3"/>
    <w:rsid w:val="00BE249F"/>
    <w:rsid w:val="00BE24BA"/>
    <w:rsid w:val="00BE271D"/>
    <w:rsid w:val="00BE2E60"/>
    <w:rsid w:val="00BE2FAA"/>
    <w:rsid w:val="00BE313B"/>
    <w:rsid w:val="00BE317C"/>
    <w:rsid w:val="00BE329B"/>
    <w:rsid w:val="00BE3539"/>
    <w:rsid w:val="00BE35E4"/>
    <w:rsid w:val="00BE37D4"/>
    <w:rsid w:val="00BE3821"/>
    <w:rsid w:val="00BE388F"/>
    <w:rsid w:val="00BE398A"/>
    <w:rsid w:val="00BE3A24"/>
    <w:rsid w:val="00BE3C3A"/>
    <w:rsid w:val="00BE3E0F"/>
    <w:rsid w:val="00BE3E56"/>
    <w:rsid w:val="00BE3F03"/>
    <w:rsid w:val="00BE4020"/>
    <w:rsid w:val="00BE417C"/>
    <w:rsid w:val="00BE4CC3"/>
    <w:rsid w:val="00BE4E63"/>
    <w:rsid w:val="00BE5016"/>
    <w:rsid w:val="00BE560D"/>
    <w:rsid w:val="00BE580E"/>
    <w:rsid w:val="00BE5A65"/>
    <w:rsid w:val="00BE5AB4"/>
    <w:rsid w:val="00BE5B49"/>
    <w:rsid w:val="00BE5CE9"/>
    <w:rsid w:val="00BE5D9C"/>
    <w:rsid w:val="00BE5EDF"/>
    <w:rsid w:val="00BE6279"/>
    <w:rsid w:val="00BE63A5"/>
    <w:rsid w:val="00BE6A4C"/>
    <w:rsid w:val="00BE6AE3"/>
    <w:rsid w:val="00BE6C0D"/>
    <w:rsid w:val="00BE6C63"/>
    <w:rsid w:val="00BE6F2D"/>
    <w:rsid w:val="00BE6F8E"/>
    <w:rsid w:val="00BE71A5"/>
    <w:rsid w:val="00BE751D"/>
    <w:rsid w:val="00BE7821"/>
    <w:rsid w:val="00BE7A7A"/>
    <w:rsid w:val="00BE7AE1"/>
    <w:rsid w:val="00BE7AFE"/>
    <w:rsid w:val="00BF020D"/>
    <w:rsid w:val="00BF04AD"/>
    <w:rsid w:val="00BF054F"/>
    <w:rsid w:val="00BF0841"/>
    <w:rsid w:val="00BF09FA"/>
    <w:rsid w:val="00BF0CB0"/>
    <w:rsid w:val="00BF0DB6"/>
    <w:rsid w:val="00BF135C"/>
    <w:rsid w:val="00BF13AC"/>
    <w:rsid w:val="00BF18A1"/>
    <w:rsid w:val="00BF1AE7"/>
    <w:rsid w:val="00BF1BE5"/>
    <w:rsid w:val="00BF1CA9"/>
    <w:rsid w:val="00BF1F9E"/>
    <w:rsid w:val="00BF2149"/>
    <w:rsid w:val="00BF229F"/>
    <w:rsid w:val="00BF22E6"/>
    <w:rsid w:val="00BF2382"/>
    <w:rsid w:val="00BF25A7"/>
    <w:rsid w:val="00BF2859"/>
    <w:rsid w:val="00BF299E"/>
    <w:rsid w:val="00BF29B3"/>
    <w:rsid w:val="00BF2C47"/>
    <w:rsid w:val="00BF2DC2"/>
    <w:rsid w:val="00BF308A"/>
    <w:rsid w:val="00BF31E2"/>
    <w:rsid w:val="00BF3B02"/>
    <w:rsid w:val="00BF3C70"/>
    <w:rsid w:val="00BF3F0C"/>
    <w:rsid w:val="00BF414A"/>
    <w:rsid w:val="00BF417E"/>
    <w:rsid w:val="00BF431C"/>
    <w:rsid w:val="00BF44CB"/>
    <w:rsid w:val="00BF44DD"/>
    <w:rsid w:val="00BF4687"/>
    <w:rsid w:val="00BF4963"/>
    <w:rsid w:val="00BF4D97"/>
    <w:rsid w:val="00BF4E65"/>
    <w:rsid w:val="00BF501D"/>
    <w:rsid w:val="00BF50E4"/>
    <w:rsid w:val="00BF51F8"/>
    <w:rsid w:val="00BF5314"/>
    <w:rsid w:val="00BF5325"/>
    <w:rsid w:val="00BF59E5"/>
    <w:rsid w:val="00BF5B15"/>
    <w:rsid w:val="00BF5D98"/>
    <w:rsid w:val="00BF5DBE"/>
    <w:rsid w:val="00BF5E27"/>
    <w:rsid w:val="00BF5E2D"/>
    <w:rsid w:val="00BF5E30"/>
    <w:rsid w:val="00BF5F27"/>
    <w:rsid w:val="00BF6631"/>
    <w:rsid w:val="00BF6BAC"/>
    <w:rsid w:val="00BF6E71"/>
    <w:rsid w:val="00BF6F8C"/>
    <w:rsid w:val="00BF71D5"/>
    <w:rsid w:val="00BF7210"/>
    <w:rsid w:val="00BF7313"/>
    <w:rsid w:val="00BF75BA"/>
    <w:rsid w:val="00BF78F2"/>
    <w:rsid w:val="00BF7A21"/>
    <w:rsid w:val="00BF7C77"/>
    <w:rsid w:val="00BF7C91"/>
    <w:rsid w:val="00BF7D54"/>
    <w:rsid w:val="00C0006C"/>
    <w:rsid w:val="00C00158"/>
    <w:rsid w:val="00C00192"/>
    <w:rsid w:val="00C001EB"/>
    <w:rsid w:val="00C0043C"/>
    <w:rsid w:val="00C00771"/>
    <w:rsid w:val="00C00886"/>
    <w:rsid w:val="00C00958"/>
    <w:rsid w:val="00C00959"/>
    <w:rsid w:val="00C009B3"/>
    <w:rsid w:val="00C00A4A"/>
    <w:rsid w:val="00C00AAA"/>
    <w:rsid w:val="00C00B0D"/>
    <w:rsid w:val="00C00B7A"/>
    <w:rsid w:val="00C00BE2"/>
    <w:rsid w:val="00C00DAF"/>
    <w:rsid w:val="00C00FF9"/>
    <w:rsid w:val="00C0111D"/>
    <w:rsid w:val="00C01123"/>
    <w:rsid w:val="00C0140A"/>
    <w:rsid w:val="00C0153F"/>
    <w:rsid w:val="00C015B2"/>
    <w:rsid w:val="00C01737"/>
    <w:rsid w:val="00C017C1"/>
    <w:rsid w:val="00C01822"/>
    <w:rsid w:val="00C0191A"/>
    <w:rsid w:val="00C01983"/>
    <w:rsid w:val="00C01B98"/>
    <w:rsid w:val="00C01BA1"/>
    <w:rsid w:val="00C01C81"/>
    <w:rsid w:val="00C01E0B"/>
    <w:rsid w:val="00C01F3F"/>
    <w:rsid w:val="00C01F4F"/>
    <w:rsid w:val="00C01F87"/>
    <w:rsid w:val="00C02006"/>
    <w:rsid w:val="00C0253B"/>
    <w:rsid w:val="00C028C6"/>
    <w:rsid w:val="00C028CF"/>
    <w:rsid w:val="00C034BA"/>
    <w:rsid w:val="00C0367B"/>
    <w:rsid w:val="00C03789"/>
    <w:rsid w:val="00C037CA"/>
    <w:rsid w:val="00C03857"/>
    <w:rsid w:val="00C03A6C"/>
    <w:rsid w:val="00C03B79"/>
    <w:rsid w:val="00C03C8E"/>
    <w:rsid w:val="00C03D6A"/>
    <w:rsid w:val="00C03EAB"/>
    <w:rsid w:val="00C03F3E"/>
    <w:rsid w:val="00C04046"/>
    <w:rsid w:val="00C041FB"/>
    <w:rsid w:val="00C0431E"/>
    <w:rsid w:val="00C044B3"/>
    <w:rsid w:val="00C049FF"/>
    <w:rsid w:val="00C04A68"/>
    <w:rsid w:val="00C04CCC"/>
    <w:rsid w:val="00C04F7C"/>
    <w:rsid w:val="00C05158"/>
    <w:rsid w:val="00C053AF"/>
    <w:rsid w:val="00C056C9"/>
    <w:rsid w:val="00C05E07"/>
    <w:rsid w:val="00C0611D"/>
    <w:rsid w:val="00C061EE"/>
    <w:rsid w:val="00C06390"/>
    <w:rsid w:val="00C06406"/>
    <w:rsid w:val="00C0658B"/>
    <w:rsid w:val="00C0673B"/>
    <w:rsid w:val="00C06798"/>
    <w:rsid w:val="00C06884"/>
    <w:rsid w:val="00C068A2"/>
    <w:rsid w:val="00C06946"/>
    <w:rsid w:val="00C06D39"/>
    <w:rsid w:val="00C06E12"/>
    <w:rsid w:val="00C0782D"/>
    <w:rsid w:val="00C07A96"/>
    <w:rsid w:val="00C07BE0"/>
    <w:rsid w:val="00C07C7A"/>
    <w:rsid w:val="00C07CAA"/>
    <w:rsid w:val="00C07DD5"/>
    <w:rsid w:val="00C07F60"/>
    <w:rsid w:val="00C10061"/>
    <w:rsid w:val="00C1020E"/>
    <w:rsid w:val="00C10210"/>
    <w:rsid w:val="00C10256"/>
    <w:rsid w:val="00C104FA"/>
    <w:rsid w:val="00C105A6"/>
    <w:rsid w:val="00C105F1"/>
    <w:rsid w:val="00C10603"/>
    <w:rsid w:val="00C10B5B"/>
    <w:rsid w:val="00C10C44"/>
    <w:rsid w:val="00C10CF5"/>
    <w:rsid w:val="00C10D4C"/>
    <w:rsid w:val="00C110A8"/>
    <w:rsid w:val="00C1121D"/>
    <w:rsid w:val="00C114BF"/>
    <w:rsid w:val="00C114C8"/>
    <w:rsid w:val="00C114D4"/>
    <w:rsid w:val="00C11760"/>
    <w:rsid w:val="00C1195A"/>
    <w:rsid w:val="00C119FF"/>
    <w:rsid w:val="00C11E65"/>
    <w:rsid w:val="00C11F67"/>
    <w:rsid w:val="00C12099"/>
    <w:rsid w:val="00C123BF"/>
    <w:rsid w:val="00C126AC"/>
    <w:rsid w:val="00C128FA"/>
    <w:rsid w:val="00C12DFA"/>
    <w:rsid w:val="00C13064"/>
    <w:rsid w:val="00C1314E"/>
    <w:rsid w:val="00C131C1"/>
    <w:rsid w:val="00C132CE"/>
    <w:rsid w:val="00C13547"/>
    <w:rsid w:val="00C13589"/>
    <w:rsid w:val="00C13706"/>
    <w:rsid w:val="00C1370B"/>
    <w:rsid w:val="00C137C7"/>
    <w:rsid w:val="00C13F5B"/>
    <w:rsid w:val="00C14A91"/>
    <w:rsid w:val="00C14DAB"/>
    <w:rsid w:val="00C14E1F"/>
    <w:rsid w:val="00C14FD5"/>
    <w:rsid w:val="00C1511E"/>
    <w:rsid w:val="00C157A3"/>
    <w:rsid w:val="00C1587D"/>
    <w:rsid w:val="00C158C2"/>
    <w:rsid w:val="00C15957"/>
    <w:rsid w:val="00C15A72"/>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21A"/>
    <w:rsid w:val="00C204C8"/>
    <w:rsid w:val="00C207BE"/>
    <w:rsid w:val="00C20BB1"/>
    <w:rsid w:val="00C20C58"/>
    <w:rsid w:val="00C2121D"/>
    <w:rsid w:val="00C2149B"/>
    <w:rsid w:val="00C215B8"/>
    <w:rsid w:val="00C215E4"/>
    <w:rsid w:val="00C2165A"/>
    <w:rsid w:val="00C21931"/>
    <w:rsid w:val="00C219C8"/>
    <w:rsid w:val="00C2201A"/>
    <w:rsid w:val="00C22033"/>
    <w:rsid w:val="00C220F5"/>
    <w:rsid w:val="00C221ED"/>
    <w:rsid w:val="00C22391"/>
    <w:rsid w:val="00C22428"/>
    <w:rsid w:val="00C22AAB"/>
    <w:rsid w:val="00C22B52"/>
    <w:rsid w:val="00C22BB3"/>
    <w:rsid w:val="00C22C78"/>
    <w:rsid w:val="00C22D11"/>
    <w:rsid w:val="00C22E65"/>
    <w:rsid w:val="00C22ED0"/>
    <w:rsid w:val="00C22F31"/>
    <w:rsid w:val="00C22F52"/>
    <w:rsid w:val="00C23009"/>
    <w:rsid w:val="00C231BD"/>
    <w:rsid w:val="00C23465"/>
    <w:rsid w:val="00C23616"/>
    <w:rsid w:val="00C236B0"/>
    <w:rsid w:val="00C23907"/>
    <w:rsid w:val="00C23C92"/>
    <w:rsid w:val="00C23E13"/>
    <w:rsid w:val="00C23EF2"/>
    <w:rsid w:val="00C23FEB"/>
    <w:rsid w:val="00C2423E"/>
    <w:rsid w:val="00C243AA"/>
    <w:rsid w:val="00C244E8"/>
    <w:rsid w:val="00C246EF"/>
    <w:rsid w:val="00C247EA"/>
    <w:rsid w:val="00C24B26"/>
    <w:rsid w:val="00C24B99"/>
    <w:rsid w:val="00C24DA8"/>
    <w:rsid w:val="00C2508A"/>
    <w:rsid w:val="00C25217"/>
    <w:rsid w:val="00C2558E"/>
    <w:rsid w:val="00C25705"/>
    <w:rsid w:val="00C25D63"/>
    <w:rsid w:val="00C260B3"/>
    <w:rsid w:val="00C2695E"/>
    <w:rsid w:val="00C26F64"/>
    <w:rsid w:val="00C2703D"/>
    <w:rsid w:val="00C27141"/>
    <w:rsid w:val="00C27244"/>
    <w:rsid w:val="00C27348"/>
    <w:rsid w:val="00C2739B"/>
    <w:rsid w:val="00C273FD"/>
    <w:rsid w:val="00C2782A"/>
    <w:rsid w:val="00C2786E"/>
    <w:rsid w:val="00C27932"/>
    <w:rsid w:val="00C279B7"/>
    <w:rsid w:val="00C279EC"/>
    <w:rsid w:val="00C27A3C"/>
    <w:rsid w:val="00C27A7A"/>
    <w:rsid w:val="00C27A9D"/>
    <w:rsid w:val="00C27ADB"/>
    <w:rsid w:val="00C27C94"/>
    <w:rsid w:val="00C30326"/>
    <w:rsid w:val="00C308BC"/>
    <w:rsid w:val="00C30DBC"/>
    <w:rsid w:val="00C30F38"/>
    <w:rsid w:val="00C3103E"/>
    <w:rsid w:val="00C31134"/>
    <w:rsid w:val="00C315EB"/>
    <w:rsid w:val="00C31E60"/>
    <w:rsid w:val="00C31E71"/>
    <w:rsid w:val="00C3228B"/>
    <w:rsid w:val="00C3229A"/>
    <w:rsid w:val="00C324ED"/>
    <w:rsid w:val="00C3257B"/>
    <w:rsid w:val="00C326E0"/>
    <w:rsid w:val="00C32816"/>
    <w:rsid w:val="00C32827"/>
    <w:rsid w:val="00C32896"/>
    <w:rsid w:val="00C329AC"/>
    <w:rsid w:val="00C329AE"/>
    <w:rsid w:val="00C32A05"/>
    <w:rsid w:val="00C32A4F"/>
    <w:rsid w:val="00C32A9A"/>
    <w:rsid w:val="00C32BB0"/>
    <w:rsid w:val="00C32D8D"/>
    <w:rsid w:val="00C32E41"/>
    <w:rsid w:val="00C32E48"/>
    <w:rsid w:val="00C32EE7"/>
    <w:rsid w:val="00C3316D"/>
    <w:rsid w:val="00C3319B"/>
    <w:rsid w:val="00C33295"/>
    <w:rsid w:val="00C338E1"/>
    <w:rsid w:val="00C33AE3"/>
    <w:rsid w:val="00C33CC3"/>
    <w:rsid w:val="00C33ED7"/>
    <w:rsid w:val="00C3414A"/>
    <w:rsid w:val="00C342CE"/>
    <w:rsid w:val="00C345BC"/>
    <w:rsid w:val="00C345ED"/>
    <w:rsid w:val="00C3465D"/>
    <w:rsid w:val="00C34818"/>
    <w:rsid w:val="00C348F2"/>
    <w:rsid w:val="00C3490C"/>
    <w:rsid w:val="00C34938"/>
    <w:rsid w:val="00C34AE3"/>
    <w:rsid w:val="00C34E96"/>
    <w:rsid w:val="00C3529C"/>
    <w:rsid w:val="00C3535B"/>
    <w:rsid w:val="00C354BF"/>
    <w:rsid w:val="00C35620"/>
    <w:rsid w:val="00C35861"/>
    <w:rsid w:val="00C35883"/>
    <w:rsid w:val="00C35A65"/>
    <w:rsid w:val="00C35C6B"/>
    <w:rsid w:val="00C35D18"/>
    <w:rsid w:val="00C35F9F"/>
    <w:rsid w:val="00C3608B"/>
    <w:rsid w:val="00C361A0"/>
    <w:rsid w:val="00C362FD"/>
    <w:rsid w:val="00C36318"/>
    <w:rsid w:val="00C3658A"/>
    <w:rsid w:val="00C3686B"/>
    <w:rsid w:val="00C36986"/>
    <w:rsid w:val="00C3703F"/>
    <w:rsid w:val="00C371C8"/>
    <w:rsid w:val="00C3745F"/>
    <w:rsid w:val="00C3749A"/>
    <w:rsid w:val="00C377F0"/>
    <w:rsid w:val="00C37B51"/>
    <w:rsid w:val="00C37C50"/>
    <w:rsid w:val="00C37D3D"/>
    <w:rsid w:val="00C37D83"/>
    <w:rsid w:val="00C40442"/>
    <w:rsid w:val="00C404C9"/>
    <w:rsid w:val="00C405C2"/>
    <w:rsid w:val="00C405E1"/>
    <w:rsid w:val="00C40687"/>
    <w:rsid w:val="00C408E9"/>
    <w:rsid w:val="00C40AC9"/>
    <w:rsid w:val="00C40C78"/>
    <w:rsid w:val="00C41018"/>
    <w:rsid w:val="00C4110A"/>
    <w:rsid w:val="00C411AE"/>
    <w:rsid w:val="00C41583"/>
    <w:rsid w:val="00C41604"/>
    <w:rsid w:val="00C419F5"/>
    <w:rsid w:val="00C41B5D"/>
    <w:rsid w:val="00C41C2E"/>
    <w:rsid w:val="00C41C6D"/>
    <w:rsid w:val="00C41DD3"/>
    <w:rsid w:val="00C424E4"/>
    <w:rsid w:val="00C429D8"/>
    <w:rsid w:val="00C42AC6"/>
    <w:rsid w:val="00C42B0F"/>
    <w:rsid w:val="00C42BE4"/>
    <w:rsid w:val="00C42C6C"/>
    <w:rsid w:val="00C42EE2"/>
    <w:rsid w:val="00C43368"/>
    <w:rsid w:val="00C4339A"/>
    <w:rsid w:val="00C43441"/>
    <w:rsid w:val="00C435DC"/>
    <w:rsid w:val="00C4369E"/>
    <w:rsid w:val="00C437C9"/>
    <w:rsid w:val="00C437E2"/>
    <w:rsid w:val="00C4396D"/>
    <w:rsid w:val="00C43EEE"/>
    <w:rsid w:val="00C43FE6"/>
    <w:rsid w:val="00C4415A"/>
    <w:rsid w:val="00C4424B"/>
    <w:rsid w:val="00C4425D"/>
    <w:rsid w:val="00C4427A"/>
    <w:rsid w:val="00C44287"/>
    <w:rsid w:val="00C4440D"/>
    <w:rsid w:val="00C44434"/>
    <w:rsid w:val="00C44530"/>
    <w:rsid w:val="00C445A2"/>
    <w:rsid w:val="00C446E2"/>
    <w:rsid w:val="00C44742"/>
    <w:rsid w:val="00C44A8B"/>
    <w:rsid w:val="00C44AD0"/>
    <w:rsid w:val="00C44E65"/>
    <w:rsid w:val="00C451E7"/>
    <w:rsid w:val="00C4542D"/>
    <w:rsid w:val="00C455D7"/>
    <w:rsid w:val="00C45620"/>
    <w:rsid w:val="00C45860"/>
    <w:rsid w:val="00C45AE5"/>
    <w:rsid w:val="00C45E30"/>
    <w:rsid w:val="00C45E93"/>
    <w:rsid w:val="00C460C3"/>
    <w:rsid w:val="00C46257"/>
    <w:rsid w:val="00C46464"/>
    <w:rsid w:val="00C4689F"/>
    <w:rsid w:val="00C46950"/>
    <w:rsid w:val="00C46B0B"/>
    <w:rsid w:val="00C46B1B"/>
    <w:rsid w:val="00C47250"/>
    <w:rsid w:val="00C4738E"/>
    <w:rsid w:val="00C47497"/>
    <w:rsid w:val="00C47510"/>
    <w:rsid w:val="00C4759C"/>
    <w:rsid w:val="00C47643"/>
    <w:rsid w:val="00C479B1"/>
    <w:rsid w:val="00C47AFF"/>
    <w:rsid w:val="00C47C08"/>
    <w:rsid w:val="00C47C84"/>
    <w:rsid w:val="00C47F9B"/>
    <w:rsid w:val="00C50191"/>
    <w:rsid w:val="00C5081D"/>
    <w:rsid w:val="00C50B33"/>
    <w:rsid w:val="00C50C47"/>
    <w:rsid w:val="00C50F7B"/>
    <w:rsid w:val="00C51001"/>
    <w:rsid w:val="00C514D1"/>
    <w:rsid w:val="00C514FC"/>
    <w:rsid w:val="00C51575"/>
    <w:rsid w:val="00C51927"/>
    <w:rsid w:val="00C51BA5"/>
    <w:rsid w:val="00C51C0C"/>
    <w:rsid w:val="00C51C37"/>
    <w:rsid w:val="00C51C89"/>
    <w:rsid w:val="00C51E63"/>
    <w:rsid w:val="00C51FDE"/>
    <w:rsid w:val="00C521C7"/>
    <w:rsid w:val="00C5255D"/>
    <w:rsid w:val="00C52A2B"/>
    <w:rsid w:val="00C52B91"/>
    <w:rsid w:val="00C52BDC"/>
    <w:rsid w:val="00C53081"/>
    <w:rsid w:val="00C530E6"/>
    <w:rsid w:val="00C53171"/>
    <w:rsid w:val="00C53377"/>
    <w:rsid w:val="00C53617"/>
    <w:rsid w:val="00C537BB"/>
    <w:rsid w:val="00C537FE"/>
    <w:rsid w:val="00C53B8B"/>
    <w:rsid w:val="00C53EA7"/>
    <w:rsid w:val="00C54078"/>
    <w:rsid w:val="00C54525"/>
    <w:rsid w:val="00C54682"/>
    <w:rsid w:val="00C54CCF"/>
    <w:rsid w:val="00C54D56"/>
    <w:rsid w:val="00C54DF7"/>
    <w:rsid w:val="00C54E69"/>
    <w:rsid w:val="00C54FDD"/>
    <w:rsid w:val="00C55256"/>
    <w:rsid w:val="00C5539B"/>
    <w:rsid w:val="00C557F2"/>
    <w:rsid w:val="00C559FD"/>
    <w:rsid w:val="00C55BFD"/>
    <w:rsid w:val="00C55C90"/>
    <w:rsid w:val="00C56132"/>
    <w:rsid w:val="00C56883"/>
    <w:rsid w:val="00C56964"/>
    <w:rsid w:val="00C56BAF"/>
    <w:rsid w:val="00C56D73"/>
    <w:rsid w:val="00C56F9E"/>
    <w:rsid w:val="00C572AC"/>
    <w:rsid w:val="00C573E8"/>
    <w:rsid w:val="00C573FE"/>
    <w:rsid w:val="00C574B6"/>
    <w:rsid w:val="00C5764B"/>
    <w:rsid w:val="00C57745"/>
    <w:rsid w:val="00C57879"/>
    <w:rsid w:val="00C57B94"/>
    <w:rsid w:val="00C57D05"/>
    <w:rsid w:val="00C57F07"/>
    <w:rsid w:val="00C6021F"/>
    <w:rsid w:val="00C602C9"/>
    <w:rsid w:val="00C602F0"/>
    <w:rsid w:val="00C60847"/>
    <w:rsid w:val="00C60986"/>
    <w:rsid w:val="00C60B09"/>
    <w:rsid w:val="00C60E49"/>
    <w:rsid w:val="00C60F5A"/>
    <w:rsid w:val="00C60F70"/>
    <w:rsid w:val="00C6118B"/>
    <w:rsid w:val="00C611C9"/>
    <w:rsid w:val="00C615A6"/>
    <w:rsid w:val="00C615D2"/>
    <w:rsid w:val="00C61722"/>
    <w:rsid w:val="00C618B6"/>
    <w:rsid w:val="00C618B7"/>
    <w:rsid w:val="00C6199A"/>
    <w:rsid w:val="00C61A38"/>
    <w:rsid w:val="00C61A94"/>
    <w:rsid w:val="00C61C56"/>
    <w:rsid w:val="00C61D43"/>
    <w:rsid w:val="00C61EF4"/>
    <w:rsid w:val="00C62066"/>
    <w:rsid w:val="00C6219F"/>
    <w:rsid w:val="00C6220F"/>
    <w:rsid w:val="00C62378"/>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DBC"/>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9B5"/>
    <w:rsid w:val="00C659FB"/>
    <w:rsid w:val="00C65F92"/>
    <w:rsid w:val="00C6602B"/>
    <w:rsid w:val="00C6604E"/>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A31"/>
    <w:rsid w:val="00C67B07"/>
    <w:rsid w:val="00C67BAC"/>
    <w:rsid w:val="00C67C13"/>
    <w:rsid w:val="00C67D42"/>
    <w:rsid w:val="00C67E66"/>
    <w:rsid w:val="00C703F0"/>
    <w:rsid w:val="00C70455"/>
    <w:rsid w:val="00C70658"/>
    <w:rsid w:val="00C70770"/>
    <w:rsid w:val="00C70BAF"/>
    <w:rsid w:val="00C70C27"/>
    <w:rsid w:val="00C70DE0"/>
    <w:rsid w:val="00C71113"/>
    <w:rsid w:val="00C711D5"/>
    <w:rsid w:val="00C7128E"/>
    <w:rsid w:val="00C71449"/>
    <w:rsid w:val="00C7157A"/>
    <w:rsid w:val="00C7171E"/>
    <w:rsid w:val="00C71886"/>
    <w:rsid w:val="00C719E0"/>
    <w:rsid w:val="00C71A30"/>
    <w:rsid w:val="00C71E3B"/>
    <w:rsid w:val="00C71E45"/>
    <w:rsid w:val="00C71EA8"/>
    <w:rsid w:val="00C72105"/>
    <w:rsid w:val="00C7225A"/>
    <w:rsid w:val="00C722FA"/>
    <w:rsid w:val="00C7252D"/>
    <w:rsid w:val="00C7259E"/>
    <w:rsid w:val="00C7280B"/>
    <w:rsid w:val="00C72884"/>
    <w:rsid w:val="00C729AE"/>
    <w:rsid w:val="00C72D54"/>
    <w:rsid w:val="00C72D97"/>
    <w:rsid w:val="00C72DDE"/>
    <w:rsid w:val="00C72EC1"/>
    <w:rsid w:val="00C73093"/>
    <w:rsid w:val="00C733CB"/>
    <w:rsid w:val="00C73450"/>
    <w:rsid w:val="00C734D3"/>
    <w:rsid w:val="00C7363E"/>
    <w:rsid w:val="00C73762"/>
    <w:rsid w:val="00C73A65"/>
    <w:rsid w:val="00C73A9A"/>
    <w:rsid w:val="00C73B75"/>
    <w:rsid w:val="00C741D8"/>
    <w:rsid w:val="00C74318"/>
    <w:rsid w:val="00C7432D"/>
    <w:rsid w:val="00C745AD"/>
    <w:rsid w:val="00C7463A"/>
    <w:rsid w:val="00C746A6"/>
    <w:rsid w:val="00C7499B"/>
    <w:rsid w:val="00C74ED0"/>
    <w:rsid w:val="00C75375"/>
    <w:rsid w:val="00C75428"/>
    <w:rsid w:val="00C756E8"/>
    <w:rsid w:val="00C7573A"/>
    <w:rsid w:val="00C757A5"/>
    <w:rsid w:val="00C7582D"/>
    <w:rsid w:val="00C75861"/>
    <w:rsid w:val="00C758FC"/>
    <w:rsid w:val="00C759C4"/>
    <w:rsid w:val="00C75B10"/>
    <w:rsid w:val="00C75CA8"/>
    <w:rsid w:val="00C75CAA"/>
    <w:rsid w:val="00C76005"/>
    <w:rsid w:val="00C761A1"/>
    <w:rsid w:val="00C763E8"/>
    <w:rsid w:val="00C76406"/>
    <w:rsid w:val="00C76767"/>
    <w:rsid w:val="00C76818"/>
    <w:rsid w:val="00C76B13"/>
    <w:rsid w:val="00C76C0F"/>
    <w:rsid w:val="00C76C8D"/>
    <w:rsid w:val="00C76D13"/>
    <w:rsid w:val="00C77038"/>
    <w:rsid w:val="00C77047"/>
    <w:rsid w:val="00C771B7"/>
    <w:rsid w:val="00C7740B"/>
    <w:rsid w:val="00C774AD"/>
    <w:rsid w:val="00C7768B"/>
    <w:rsid w:val="00C7781A"/>
    <w:rsid w:val="00C778F1"/>
    <w:rsid w:val="00C7798B"/>
    <w:rsid w:val="00C77A2C"/>
    <w:rsid w:val="00C77B09"/>
    <w:rsid w:val="00C77FDB"/>
    <w:rsid w:val="00C808A8"/>
    <w:rsid w:val="00C80985"/>
    <w:rsid w:val="00C809CE"/>
    <w:rsid w:val="00C80BC0"/>
    <w:rsid w:val="00C80CA2"/>
    <w:rsid w:val="00C810D9"/>
    <w:rsid w:val="00C8145E"/>
    <w:rsid w:val="00C815D5"/>
    <w:rsid w:val="00C815EC"/>
    <w:rsid w:val="00C8167C"/>
    <w:rsid w:val="00C8186C"/>
    <w:rsid w:val="00C819D4"/>
    <w:rsid w:val="00C81A38"/>
    <w:rsid w:val="00C81C05"/>
    <w:rsid w:val="00C81D88"/>
    <w:rsid w:val="00C82233"/>
    <w:rsid w:val="00C82489"/>
    <w:rsid w:val="00C824D7"/>
    <w:rsid w:val="00C825CD"/>
    <w:rsid w:val="00C826B5"/>
    <w:rsid w:val="00C827A4"/>
    <w:rsid w:val="00C82ABB"/>
    <w:rsid w:val="00C82AD1"/>
    <w:rsid w:val="00C82C98"/>
    <w:rsid w:val="00C82DAA"/>
    <w:rsid w:val="00C82DEA"/>
    <w:rsid w:val="00C82E14"/>
    <w:rsid w:val="00C83120"/>
    <w:rsid w:val="00C8319B"/>
    <w:rsid w:val="00C831A3"/>
    <w:rsid w:val="00C8332C"/>
    <w:rsid w:val="00C83429"/>
    <w:rsid w:val="00C8347F"/>
    <w:rsid w:val="00C8386F"/>
    <w:rsid w:val="00C838D5"/>
    <w:rsid w:val="00C83921"/>
    <w:rsid w:val="00C8398B"/>
    <w:rsid w:val="00C83CEC"/>
    <w:rsid w:val="00C83D00"/>
    <w:rsid w:val="00C83E30"/>
    <w:rsid w:val="00C844F3"/>
    <w:rsid w:val="00C844F8"/>
    <w:rsid w:val="00C84644"/>
    <w:rsid w:val="00C846C9"/>
    <w:rsid w:val="00C84A8E"/>
    <w:rsid w:val="00C84ADE"/>
    <w:rsid w:val="00C84C1F"/>
    <w:rsid w:val="00C84C4E"/>
    <w:rsid w:val="00C84D4B"/>
    <w:rsid w:val="00C84FDE"/>
    <w:rsid w:val="00C85128"/>
    <w:rsid w:val="00C852D1"/>
    <w:rsid w:val="00C852F1"/>
    <w:rsid w:val="00C8570F"/>
    <w:rsid w:val="00C85819"/>
    <w:rsid w:val="00C85B89"/>
    <w:rsid w:val="00C85CDF"/>
    <w:rsid w:val="00C85D0C"/>
    <w:rsid w:val="00C85D8A"/>
    <w:rsid w:val="00C85DDA"/>
    <w:rsid w:val="00C85F50"/>
    <w:rsid w:val="00C86252"/>
    <w:rsid w:val="00C865FF"/>
    <w:rsid w:val="00C86716"/>
    <w:rsid w:val="00C867B9"/>
    <w:rsid w:val="00C867FE"/>
    <w:rsid w:val="00C86960"/>
    <w:rsid w:val="00C86E1D"/>
    <w:rsid w:val="00C86FDD"/>
    <w:rsid w:val="00C870E5"/>
    <w:rsid w:val="00C87229"/>
    <w:rsid w:val="00C877D7"/>
    <w:rsid w:val="00C87875"/>
    <w:rsid w:val="00C879E2"/>
    <w:rsid w:val="00C879F4"/>
    <w:rsid w:val="00C87CFC"/>
    <w:rsid w:val="00C87E26"/>
    <w:rsid w:val="00C87F6A"/>
    <w:rsid w:val="00C901D2"/>
    <w:rsid w:val="00C9039A"/>
    <w:rsid w:val="00C904C1"/>
    <w:rsid w:val="00C90511"/>
    <w:rsid w:val="00C90584"/>
    <w:rsid w:val="00C9066F"/>
    <w:rsid w:val="00C907CF"/>
    <w:rsid w:val="00C907EC"/>
    <w:rsid w:val="00C90BAC"/>
    <w:rsid w:val="00C90F00"/>
    <w:rsid w:val="00C911BF"/>
    <w:rsid w:val="00C91244"/>
    <w:rsid w:val="00C91391"/>
    <w:rsid w:val="00C913A0"/>
    <w:rsid w:val="00C914BF"/>
    <w:rsid w:val="00C91A44"/>
    <w:rsid w:val="00C91A99"/>
    <w:rsid w:val="00C91C84"/>
    <w:rsid w:val="00C91CC1"/>
    <w:rsid w:val="00C91CE6"/>
    <w:rsid w:val="00C91DB0"/>
    <w:rsid w:val="00C9221A"/>
    <w:rsid w:val="00C9226F"/>
    <w:rsid w:val="00C92371"/>
    <w:rsid w:val="00C923CD"/>
    <w:rsid w:val="00C92417"/>
    <w:rsid w:val="00C92586"/>
    <w:rsid w:val="00C927AB"/>
    <w:rsid w:val="00C927DF"/>
    <w:rsid w:val="00C928F1"/>
    <w:rsid w:val="00C92C14"/>
    <w:rsid w:val="00C92DD4"/>
    <w:rsid w:val="00C92F26"/>
    <w:rsid w:val="00C9324D"/>
    <w:rsid w:val="00C932A1"/>
    <w:rsid w:val="00C93603"/>
    <w:rsid w:val="00C9369F"/>
    <w:rsid w:val="00C936D8"/>
    <w:rsid w:val="00C9391A"/>
    <w:rsid w:val="00C939A7"/>
    <w:rsid w:val="00C939CF"/>
    <w:rsid w:val="00C93BDD"/>
    <w:rsid w:val="00C93C65"/>
    <w:rsid w:val="00C93F4A"/>
    <w:rsid w:val="00C93F6B"/>
    <w:rsid w:val="00C93F7A"/>
    <w:rsid w:val="00C94295"/>
    <w:rsid w:val="00C942F7"/>
    <w:rsid w:val="00C9496C"/>
    <w:rsid w:val="00C94B77"/>
    <w:rsid w:val="00C94D10"/>
    <w:rsid w:val="00C94D30"/>
    <w:rsid w:val="00C94DB8"/>
    <w:rsid w:val="00C94FD3"/>
    <w:rsid w:val="00C95179"/>
    <w:rsid w:val="00C951F0"/>
    <w:rsid w:val="00C95224"/>
    <w:rsid w:val="00C952B3"/>
    <w:rsid w:val="00C952FB"/>
    <w:rsid w:val="00C95330"/>
    <w:rsid w:val="00C95413"/>
    <w:rsid w:val="00C95587"/>
    <w:rsid w:val="00C95592"/>
    <w:rsid w:val="00C95630"/>
    <w:rsid w:val="00C9570C"/>
    <w:rsid w:val="00C95781"/>
    <w:rsid w:val="00C9580C"/>
    <w:rsid w:val="00C95CC1"/>
    <w:rsid w:val="00C962B4"/>
    <w:rsid w:val="00C963F6"/>
    <w:rsid w:val="00C965D1"/>
    <w:rsid w:val="00C967B5"/>
    <w:rsid w:val="00C969E7"/>
    <w:rsid w:val="00C96CC2"/>
    <w:rsid w:val="00C96CCD"/>
    <w:rsid w:val="00C97152"/>
    <w:rsid w:val="00C9725D"/>
    <w:rsid w:val="00C973D0"/>
    <w:rsid w:val="00C97487"/>
    <w:rsid w:val="00C9748E"/>
    <w:rsid w:val="00C97680"/>
    <w:rsid w:val="00C976AC"/>
    <w:rsid w:val="00C976B7"/>
    <w:rsid w:val="00C978F3"/>
    <w:rsid w:val="00C97DF2"/>
    <w:rsid w:val="00C97E7A"/>
    <w:rsid w:val="00C97F09"/>
    <w:rsid w:val="00C97F13"/>
    <w:rsid w:val="00C97F88"/>
    <w:rsid w:val="00C97FB3"/>
    <w:rsid w:val="00CA0054"/>
    <w:rsid w:val="00CA00A3"/>
    <w:rsid w:val="00CA0108"/>
    <w:rsid w:val="00CA026D"/>
    <w:rsid w:val="00CA0321"/>
    <w:rsid w:val="00CA09B4"/>
    <w:rsid w:val="00CA0BD9"/>
    <w:rsid w:val="00CA0C01"/>
    <w:rsid w:val="00CA1051"/>
    <w:rsid w:val="00CA131D"/>
    <w:rsid w:val="00CA1322"/>
    <w:rsid w:val="00CA134B"/>
    <w:rsid w:val="00CA15D5"/>
    <w:rsid w:val="00CA196B"/>
    <w:rsid w:val="00CA1C01"/>
    <w:rsid w:val="00CA223A"/>
    <w:rsid w:val="00CA24E1"/>
    <w:rsid w:val="00CA25A0"/>
    <w:rsid w:val="00CA26A7"/>
    <w:rsid w:val="00CA26E9"/>
    <w:rsid w:val="00CA2BD6"/>
    <w:rsid w:val="00CA2C04"/>
    <w:rsid w:val="00CA2CCA"/>
    <w:rsid w:val="00CA2D2F"/>
    <w:rsid w:val="00CA3058"/>
    <w:rsid w:val="00CA3204"/>
    <w:rsid w:val="00CA3245"/>
    <w:rsid w:val="00CA3571"/>
    <w:rsid w:val="00CA382B"/>
    <w:rsid w:val="00CA38DF"/>
    <w:rsid w:val="00CA3BB3"/>
    <w:rsid w:val="00CA3CBC"/>
    <w:rsid w:val="00CA3ED6"/>
    <w:rsid w:val="00CA4079"/>
    <w:rsid w:val="00CA417C"/>
    <w:rsid w:val="00CA419B"/>
    <w:rsid w:val="00CA4301"/>
    <w:rsid w:val="00CA4395"/>
    <w:rsid w:val="00CA457C"/>
    <w:rsid w:val="00CA4580"/>
    <w:rsid w:val="00CA465B"/>
    <w:rsid w:val="00CA4925"/>
    <w:rsid w:val="00CA4DB1"/>
    <w:rsid w:val="00CA4EDE"/>
    <w:rsid w:val="00CA4FE2"/>
    <w:rsid w:val="00CA509F"/>
    <w:rsid w:val="00CA51AD"/>
    <w:rsid w:val="00CA5445"/>
    <w:rsid w:val="00CA5485"/>
    <w:rsid w:val="00CA5678"/>
    <w:rsid w:val="00CA569E"/>
    <w:rsid w:val="00CA5808"/>
    <w:rsid w:val="00CA5922"/>
    <w:rsid w:val="00CA5B1A"/>
    <w:rsid w:val="00CA5BC4"/>
    <w:rsid w:val="00CA5BF0"/>
    <w:rsid w:val="00CA61A6"/>
    <w:rsid w:val="00CA6208"/>
    <w:rsid w:val="00CA6440"/>
    <w:rsid w:val="00CA650C"/>
    <w:rsid w:val="00CA6AE3"/>
    <w:rsid w:val="00CA6C3D"/>
    <w:rsid w:val="00CA6D82"/>
    <w:rsid w:val="00CA6E1B"/>
    <w:rsid w:val="00CA6E1D"/>
    <w:rsid w:val="00CA6F27"/>
    <w:rsid w:val="00CA7353"/>
    <w:rsid w:val="00CA7369"/>
    <w:rsid w:val="00CA73D5"/>
    <w:rsid w:val="00CA7565"/>
    <w:rsid w:val="00CA75CC"/>
    <w:rsid w:val="00CA7B80"/>
    <w:rsid w:val="00CA7F54"/>
    <w:rsid w:val="00CB007D"/>
    <w:rsid w:val="00CB00DE"/>
    <w:rsid w:val="00CB01FE"/>
    <w:rsid w:val="00CB02A7"/>
    <w:rsid w:val="00CB02AF"/>
    <w:rsid w:val="00CB0451"/>
    <w:rsid w:val="00CB04C1"/>
    <w:rsid w:val="00CB04E0"/>
    <w:rsid w:val="00CB0536"/>
    <w:rsid w:val="00CB0A52"/>
    <w:rsid w:val="00CB0BE1"/>
    <w:rsid w:val="00CB1067"/>
    <w:rsid w:val="00CB108C"/>
    <w:rsid w:val="00CB14A6"/>
    <w:rsid w:val="00CB1551"/>
    <w:rsid w:val="00CB1592"/>
    <w:rsid w:val="00CB16C8"/>
    <w:rsid w:val="00CB17B1"/>
    <w:rsid w:val="00CB17C1"/>
    <w:rsid w:val="00CB2149"/>
    <w:rsid w:val="00CB2380"/>
    <w:rsid w:val="00CB23BF"/>
    <w:rsid w:val="00CB23D2"/>
    <w:rsid w:val="00CB2683"/>
    <w:rsid w:val="00CB27DB"/>
    <w:rsid w:val="00CB2825"/>
    <w:rsid w:val="00CB299A"/>
    <w:rsid w:val="00CB2D83"/>
    <w:rsid w:val="00CB2F0F"/>
    <w:rsid w:val="00CB2F18"/>
    <w:rsid w:val="00CB2F6D"/>
    <w:rsid w:val="00CB322D"/>
    <w:rsid w:val="00CB3280"/>
    <w:rsid w:val="00CB33D5"/>
    <w:rsid w:val="00CB3417"/>
    <w:rsid w:val="00CB34B9"/>
    <w:rsid w:val="00CB356E"/>
    <w:rsid w:val="00CB3656"/>
    <w:rsid w:val="00CB3906"/>
    <w:rsid w:val="00CB3A99"/>
    <w:rsid w:val="00CB3C6D"/>
    <w:rsid w:val="00CB3E42"/>
    <w:rsid w:val="00CB3FAE"/>
    <w:rsid w:val="00CB3FE8"/>
    <w:rsid w:val="00CB4028"/>
    <w:rsid w:val="00CB404E"/>
    <w:rsid w:val="00CB4158"/>
    <w:rsid w:val="00CB45D6"/>
    <w:rsid w:val="00CB4653"/>
    <w:rsid w:val="00CB4859"/>
    <w:rsid w:val="00CB4ADE"/>
    <w:rsid w:val="00CB4DD1"/>
    <w:rsid w:val="00CB4E43"/>
    <w:rsid w:val="00CB4F62"/>
    <w:rsid w:val="00CB5091"/>
    <w:rsid w:val="00CB52DD"/>
    <w:rsid w:val="00CB5529"/>
    <w:rsid w:val="00CB57DD"/>
    <w:rsid w:val="00CB5922"/>
    <w:rsid w:val="00CB59E3"/>
    <w:rsid w:val="00CB5A0E"/>
    <w:rsid w:val="00CB5ACD"/>
    <w:rsid w:val="00CB5B0F"/>
    <w:rsid w:val="00CB5D80"/>
    <w:rsid w:val="00CB5FDC"/>
    <w:rsid w:val="00CB6096"/>
    <w:rsid w:val="00CB61AB"/>
    <w:rsid w:val="00CB6456"/>
    <w:rsid w:val="00CB6479"/>
    <w:rsid w:val="00CB6560"/>
    <w:rsid w:val="00CB65D2"/>
    <w:rsid w:val="00CB6781"/>
    <w:rsid w:val="00CB687A"/>
    <w:rsid w:val="00CB6897"/>
    <w:rsid w:val="00CB6C83"/>
    <w:rsid w:val="00CB6CC8"/>
    <w:rsid w:val="00CB6D3F"/>
    <w:rsid w:val="00CB724B"/>
    <w:rsid w:val="00CB741E"/>
    <w:rsid w:val="00CB7884"/>
    <w:rsid w:val="00CB797E"/>
    <w:rsid w:val="00CB7AD0"/>
    <w:rsid w:val="00CB7AFF"/>
    <w:rsid w:val="00CB7D0E"/>
    <w:rsid w:val="00CC0010"/>
    <w:rsid w:val="00CC015F"/>
    <w:rsid w:val="00CC0435"/>
    <w:rsid w:val="00CC054D"/>
    <w:rsid w:val="00CC0B3E"/>
    <w:rsid w:val="00CC0BAB"/>
    <w:rsid w:val="00CC0D6F"/>
    <w:rsid w:val="00CC0EFA"/>
    <w:rsid w:val="00CC10C0"/>
    <w:rsid w:val="00CC11FA"/>
    <w:rsid w:val="00CC13F8"/>
    <w:rsid w:val="00CC17D9"/>
    <w:rsid w:val="00CC185E"/>
    <w:rsid w:val="00CC18B4"/>
    <w:rsid w:val="00CC1BB7"/>
    <w:rsid w:val="00CC1C1B"/>
    <w:rsid w:val="00CC1DD5"/>
    <w:rsid w:val="00CC1E01"/>
    <w:rsid w:val="00CC1F56"/>
    <w:rsid w:val="00CC2014"/>
    <w:rsid w:val="00CC20C9"/>
    <w:rsid w:val="00CC2473"/>
    <w:rsid w:val="00CC2503"/>
    <w:rsid w:val="00CC25ED"/>
    <w:rsid w:val="00CC27DF"/>
    <w:rsid w:val="00CC28EB"/>
    <w:rsid w:val="00CC2CA3"/>
    <w:rsid w:val="00CC2D9F"/>
    <w:rsid w:val="00CC2E36"/>
    <w:rsid w:val="00CC327A"/>
    <w:rsid w:val="00CC342C"/>
    <w:rsid w:val="00CC34EE"/>
    <w:rsid w:val="00CC3507"/>
    <w:rsid w:val="00CC35ED"/>
    <w:rsid w:val="00CC36D7"/>
    <w:rsid w:val="00CC3B49"/>
    <w:rsid w:val="00CC3BD3"/>
    <w:rsid w:val="00CC3BD7"/>
    <w:rsid w:val="00CC3CD9"/>
    <w:rsid w:val="00CC3CF2"/>
    <w:rsid w:val="00CC3DF7"/>
    <w:rsid w:val="00CC40C8"/>
    <w:rsid w:val="00CC40E9"/>
    <w:rsid w:val="00CC43EC"/>
    <w:rsid w:val="00CC4752"/>
    <w:rsid w:val="00CC4824"/>
    <w:rsid w:val="00CC53C6"/>
    <w:rsid w:val="00CC5504"/>
    <w:rsid w:val="00CC5726"/>
    <w:rsid w:val="00CC593F"/>
    <w:rsid w:val="00CC5C33"/>
    <w:rsid w:val="00CC652C"/>
    <w:rsid w:val="00CC65C3"/>
    <w:rsid w:val="00CC672D"/>
    <w:rsid w:val="00CC687F"/>
    <w:rsid w:val="00CC689E"/>
    <w:rsid w:val="00CC6C56"/>
    <w:rsid w:val="00CC6C8A"/>
    <w:rsid w:val="00CC6ED9"/>
    <w:rsid w:val="00CC755C"/>
    <w:rsid w:val="00CC76F8"/>
    <w:rsid w:val="00CC7ADE"/>
    <w:rsid w:val="00CC7B20"/>
    <w:rsid w:val="00CC7D7D"/>
    <w:rsid w:val="00CC7FCD"/>
    <w:rsid w:val="00CD01D2"/>
    <w:rsid w:val="00CD031D"/>
    <w:rsid w:val="00CD090B"/>
    <w:rsid w:val="00CD09A7"/>
    <w:rsid w:val="00CD0B7A"/>
    <w:rsid w:val="00CD0EFE"/>
    <w:rsid w:val="00CD0F06"/>
    <w:rsid w:val="00CD1201"/>
    <w:rsid w:val="00CD14C2"/>
    <w:rsid w:val="00CD1828"/>
    <w:rsid w:val="00CD1857"/>
    <w:rsid w:val="00CD1940"/>
    <w:rsid w:val="00CD1A1C"/>
    <w:rsid w:val="00CD1A20"/>
    <w:rsid w:val="00CD1DD8"/>
    <w:rsid w:val="00CD21B3"/>
    <w:rsid w:val="00CD235F"/>
    <w:rsid w:val="00CD2362"/>
    <w:rsid w:val="00CD2420"/>
    <w:rsid w:val="00CD245F"/>
    <w:rsid w:val="00CD24C3"/>
    <w:rsid w:val="00CD2839"/>
    <w:rsid w:val="00CD2A05"/>
    <w:rsid w:val="00CD2AA8"/>
    <w:rsid w:val="00CD2AC3"/>
    <w:rsid w:val="00CD2B96"/>
    <w:rsid w:val="00CD2B98"/>
    <w:rsid w:val="00CD30BE"/>
    <w:rsid w:val="00CD32E1"/>
    <w:rsid w:val="00CD3491"/>
    <w:rsid w:val="00CD3822"/>
    <w:rsid w:val="00CD39DB"/>
    <w:rsid w:val="00CD3BE3"/>
    <w:rsid w:val="00CD3C17"/>
    <w:rsid w:val="00CD4390"/>
    <w:rsid w:val="00CD4469"/>
    <w:rsid w:val="00CD47D6"/>
    <w:rsid w:val="00CD4977"/>
    <w:rsid w:val="00CD4AB5"/>
    <w:rsid w:val="00CD4DF0"/>
    <w:rsid w:val="00CD4F22"/>
    <w:rsid w:val="00CD4F58"/>
    <w:rsid w:val="00CD5080"/>
    <w:rsid w:val="00CD50A8"/>
    <w:rsid w:val="00CD5525"/>
    <w:rsid w:val="00CD55EF"/>
    <w:rsid w:val="00CD57FB"/>
    <w:rsid w:val="00CD591E"/>
    <w:rsid w:val="00CD5B62"/>
    <w:rsid w:val="00CD5B86"/>
    <w:rsid w:val="00CD5D94"/>
    <w:rsid w:val="00CD5E78"/>
    <w:rsid w:val="00CD61F0"/>
    <w:rsid w:val="00CD649F"/>
    <w:rsid w:val="00CD67C0"/>
    <w:rsid w:val="00CD68DC"/>
    <w:rsid w:val="00CD69D5"/>
    <w:rsid w:val="00CD6A3C"/>
    <w:rsid w:val="00CD6AFF"/>
    <w:rsid w:val="00CD6E1A"/>
    <w:rsid w:val="00CD6E51"/>
    <w:rsid w:val="00CD6F34"/>
    <w:rsid w:val="00CD70B9"/>
    <w:rsid w:val="00CD71DB"/>
    <w:rsid w:val="00CD734B"/>
    <w:rsid w:val="00CD738B"/>
    <w:rsid w:val="00CD7524"/>
    <w:rsid w:val="00CD757D"/>
    <w:rsid w:val="00CD77AD"/>
    <w:rsid w:val="00CE053D"/>
    <w:rsid w:val="00CE0615"/>
    <w:rsid w:val="00CE076A"/>
    <w:rsid w:val="00CE0945"/>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4A"/>
    <w:rsid w:val="00CE1D97"/>
    <w:rsid w:val="00CE2030"/>
    <w:rsid w:val="00CE20B6"/>
    <w:rsid w:val="00CE248D"/>
    <w:rsid w:val="00CE297D"/>
    <w:rsid w:val="00CE29A9"/>
    <w:rsid w:val="00CE2A92"/>
    <w:rsid w:val="00CE2BA8"/>
    <w:rsid w:val="00CE2E09"/>
    <w:rsid w:val="00CE302A"/>
    <w:rsid w:val="00CE3047"/>
    <w:rsid w:val="00CE30A5"/>
    <w:rsid w:val="00CE30DC"/>
    <w:rsid w:val="00CE310A"/>
    <w:rsid w:val="00CE3126"/>
    <w:rsid w:val="00CE32AF"/>
    <w:rsid w:val="00CE3743"/>
    <w:rsid w:val="00CE39F4"/>
    <w:rsid w:val="00CE3B7D"/>
    <w:rsid w:val="00CE3EDB"/>
    <w:rsid w:val="00CE41F0"/>
    <w:rsid w:val="00CE47C8"/>
    <w:rsid w:val="00CE4902"/>
    <w:rsid w:val="00CE4A07"/>
    <w:rsid w:val="00CE4E0B"/>
    <w:rsid w:val="00CE501F"/>
    <w:rsid w:val="00CE5110"/>
    <w:rsid w:val="00CE5199"/>
    <w:rsid w:val="00CE5593"/>
    <w:rsid w:val="00CE5645"/>
    <w:rsid w:val="00CE5665"/>
    <w:rsid w:val="00CE5837"/>
    <w:rsid w:val="00CE5848"/>
    <w:rsid w:val="00CE5B9D"/>
    <w:rsid w:val="00CE5C7B"/>
    <w:rsid w:val="00CE61E3"/>
    <w:rsid w:val="00CE6204"/>
    <w:rsid w:val="00CE632B"/>
    <w:rsid w:val="00CE6B9B"/>
    <w:rsid w:val="00CE6EDE"/>
    <w:rsid w:val="00CE6FFA"/>
    <w:rsid w:val="00CE7049"/>
    <w:rsid w:val="00CE70DC"/>
    <w:rsid w:val="00CE7358"/>
    <w:rsid w:val="00CE736E"/>
    <w:rsid w:val="00CE74E1"/>
    <w:rsid w:val="00CE74FD"/>
    <w:rsid w:val="00CE78CD"/>
    <w:rsid w:val="00CE79BF"/>
    <w:rsid w:val="00CE7AB7"/>
    <w:rsid w:val="00CE7D27"/>
    <w:rsid w:val="00CE7EBE"/>
    <w:rsid w:val="00CE7FCA"/>
    <w:rsid w:val="00CF02A4"/>
    <w:rsid w:val="00CF078B"/>
    <w:rsid w:val="00CF09CE"/>
    <w:rsid w:val="00CF0A6F"/>
    <w:rsid w:val="00CF0CC1"/>
    <w:rsid w:val="00CF0DCF"/>
    <w:rsid w:val="00CF0EBE"/>
    <w:rsid w:val="00CF0EDB"/>
    <w:rsid w:val="00CF0FAB"/>
    <w:rsid w:val="00CF0FE5"/>
    <w:rsid w:val="00CF1091"/>
    <w:rsid w:val="00CF11BC"/>
    <w:rsid w:val="00CF1717"/>
    <w:rsid w:val="00CF17DB"/>
    <w:rsid w:val="00CF1955"/>
    <w:rsid w:val="00CF19FB"/>
    <w:rsid w:val="00CF1E38"/>
    <w:rsid w:val="00CF1FB4"/>
    <w:rsid w:val="00CF244B"/>
    <w:rsid w:val="00CF27DB"/>
    <w:rsid w:val="00CF2A6C"/>
    <w:rsid w:val="00CF2D1A"/>
    <w:rsid w:val="00CF2D67"/>
    <w:rsid w:val="00CF2E15"/>
    <w:rsid w:val="00CF3761"/>
    <w:rsid w:val="00CF3A44"/>
    <w:rsid w:val="00CF3B60"/>
    <w:rsid w:val="00CF3CA6"/>
    <w:rsid w:val="00CF449D"/>
    <w:rsid w:val="00CF4628"/>
    <w:rsid w:val="00CF499A"/>
    <w:rsid w:val="00CF4B84"/>
    <w:rsid w:val="00CF4C42"/>
    <w:rsid w:val="00CF4E32"/>
    <w:rsid w:val="00CF4E37"/>
    <w:rsid w:val="00CF4F1F"/>
    <w:rsid w:val="00CF52D1"/>
    <w:rsid w:val="00CF58AE"/>
    <w:rsid w:val="00CF5C6E"/>
    <w:rsid w:val="00CF5E5D"/>
    <w:rsid w:val="00CF5F69"/>
    <w:rsid w:val="00CF60B2"/>
    <w:rsid w:val="00CF6175"/>
    <w:rsid w:val="00CF64E1"/>
    <w:rsid w:val="00CF6515"/>
    <w:rsid w:val="00CF6689"/>
    <w:rsid w:val="00CF684F"/>
    <w:rsid w:val="00CF6A2E"/>
    <w:rsid w:val="00CF6AC2"/>
    <w:rsid w:val="00CF6B4D"/>
    <w:rsid w:val="00CF7042"/>
    <w:rsid w:val="00CF70BD"/>
    <w:rsid w:val="00CF711C"/>
    <w:rsid w:val="00CF71F3"/>
    <w:rsid w:val="00CF741A"/>
    <w:rsid w:val="00CF742C"/>
    <w:rsid w:val="00CF76E8"/>
    <w:rsid w:val="00CF7736"/>
    <w:rsid w:val="00CF78B9"/>
    <w:rsid w:val="00CF798B"/>
    <w:rsid w:val="00CF79DC"/>
    <w:rsid w:val="00CF79EE"/>
    <w:rsid w:val="00CF7D97"/>
    <w:rsid w:val="00D00262"/>
    <w:rsid w:val="00D002B9"/>
    <w:rsid w:val="00D00379"/>
    <w:rsid w:val="00D004B1"/>
    <w:rsid w:val="00D004C7"/>
    <w:rsid w:val="00D00672"/>
    <w:rsid w:val="00D0068B"/>
    <w:rsid w:val="00D00786"/>
    <w:rsid w:val="00D009EE"/>
    <w:rsid w:val="00D00B5A"/>
    <w:rsid w:val="00D00E4F"/>
    <w:rsid w:val="00D00EEC"/>
    <w:rsid w:val="00D00F81"/>
    <w:rsid w:val="00D010A4"/>
    <w:rsid w:val="00D01292"/>
    <w:rsid w:val="00D0132D"/>
    <w:rsid w:val="00D013E8"/>
    <w:rsid w:val="00D019DB"/>
    <w:rsid w:val="00D01A45"/>
    <w:rsid w:val="00D01AFA"/>
    <w:rsid w:val="00D01C06"/>
    <w:rsid w:val="00D01D26"/>
    <w:rsid w:val="00D01D38"/>
    <w:rsid w:val="00D01DEE"/>
    <w:rsid w:val="00D02148"/>
    <w:rsid w:val="00D022D6"/>
    <w:rsid w:val="00D0245A"/>
    <w:rsid w:val="00D02757"/>
    <w:rsid w:val="00D027FC"/>
    <w:rsid w:val="00D02D66"/>
    <w:rsid w:val="00D02D76"/>
    <w:rsid w:val="00D02ED0"/>
    <w:rsid w:val="00D02ED3"/>
    <w:rsid w:val="00D02F94"/>
    <w:rsid w:val="00D03234"/>
    <w:rsid w:val="00D033D7"/>
    <w:rsid w:val="00D0353B"/>
    <w:rsid w:val="00D036C4"/>
    <w:rsid w:val="00D0381F"/>
    <w:rsid w:val="00D038BA"/>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E"/>
    <w:rsid w:val="00D0565A"/>
    <w:rsid w:val="00D05AC5"/>
    <w:rsid w:val="00D05BC0"/>
    <w:rsid w:val="00D05BC8"/>
    <w:rsid w:val="00D06108"/>
    <w:rsid w:val="00D06338"/>
    <w:rsid w:val="00D0640C"/>
    <w:rsid w:val="00D06694"/>
    <w:rsid w:val="00D06851"/>
    <w:rsid w:val="00D069A7"/>
    <w:rsid w:val="00D06B17"/>
    <w:rsid w:val="00D06B97"/>
    <w:rsid w:val="00D06C17"/>
    <w:rsid w:val="00D06C64"/>
    <w:rsid w:val="00D06C70"/>
    <w:rsid w:val="00D06F8C"/>
    <w:rsid w:val="00D070ED"/>
    <w:rsid w:val="00D07672"/>
    <w:rsid w:val="00D07A02"/>
    <w:rsid w:val="00D07AC1"/>
    <w:rsid w:val="00D07B45"/>
    <w:rsid w:val="00D07C55"/>
    <w:rsid w:val="00D07DE3"/>
    <w:rsid w:val="00D07DF2"/>
    <w:rsid w:val="00D07E6B"/>
    <w:rsid w:val="00D07F3F"/>
    <w:rsid w:val="00D103AC"/>
    <w:rsid w:val="00D1044B"/>
    <w:rsid w:val="00D105DF"/>
    <w:rsid w:val="00D1072B"/>
    <w:rsid w:val="00D10834"/>
    <w:rsid w:val="00D108B2"/>
    <w:rsid w:val="00D10A6D"/>
    <w:rsid w:val="00D10A88"/>
    <w:rsid w:val="00D10CCE"/>
    <w:rsid w:val="00D10D0F"/>
    <w:rsid w:val="00D10D2E"/>
    <w:rsid w:val="00D10E4A"/>
    <w:rsid w:val="00D10E8D"/>
    <w:rsid w:val="00D1107D"/>
    <w:rsid w:val="00D11091"/>
    <w:rsid w:val="00D112BE"/>
    <w:rsid w:val="00D11639"/>
    <w:rsid w:val="00D1173E"/>
    <w:rsid w:val="00D11814"/>
    <w:rsid w:val="00D1185D"/>
    <w:rsid w:val="00D118A2"/>
    <w:rsid w:val="00D11A9C"/>
    <w:rsid w:val="00D11EB7"/>
    <w:rsid w:val="00D11FB8"/>
    <w:rsid w:val="00D12031"/>
    <w:rsid w:val="00D12088"/>
    <w:rsid w:val="00D124AD"/>
    <w:rsid w:val="00D127A7"/>
    <w:rsid w:val="00D12D30"/>
    <w:rsid w:val="00D12E0E"/>
    <w:rsid w:val="00D12E46"/>
    <w:rsid w:val="00D13C30"/>
    <w:rsid w:val="00D13C94"/>
    <w:rsid w:val="00D13DA6"/>
    <w:rsid w:val="00D13E3C"/>
    <w:rsid w:val="00D13E3F"/>
    <w:rsid w:val="00D14179"/>
    <w:rsid w:val="00D14180"/>
    <w:rsid w:val="00D14199"/>
    <w:rsid w:val="00D14226"/>
    <w:rsid w:val="00D14549"/>
    <w:rsid w:val="00D146E3"/>
    <w:rsid w:val="00D14795"/>
    <w:rsid w:val="00D1492F"/>
    <w:rsid w:val="00D14982"/>
    <w:rsid w:val="00D14A1A"/>
    <w:rsid w:val="00D14C21"/>
    <w:rsid w:val="00D14D0B"/>
    <w:rsid w:val="00D15309"/>
    <w:rsid w:val="00D153FE"/>
    <w:rsid w:val="00D15729"/>
    <w:rsid w:val="00D15791"/>
    <w:rsid w:val="00D15A19"/>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99E"/>
    <w:rsid w:val="00D17B24"/>
    <w:rsid w:val="00D17D9C"/>
    <w:rsid w:val="00D203D2"/>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2070"/>
    <w:rsid w:val="00D2240A"/>
    <w:rsid w:val="00D22875"/>
    <w:rsid w:val="00D22C7D"/>
    <w:rsid w:val="00D22DB6"/>
    <w:rsid w:val="00D22DDA"/>
    <w:rsid w:val="00D22FC3"/>
    <w:rsid w:val="00D2350E"/>
    <w:rsid w:val="00D23680"/>
    <w:rsid w:val="00D23696"/>
    <w:rsid w:val="00D23892"/>
    <w:rsid w:val="00D238A5"/>
    <w:rsid w:val="00D23BF3"/>
    <w:rsid w:val="00D23FCB"/>
    <w:rsid w:val="00D241D1"/>
    <w:rsid w:val="00D2438E"/>
    <w:rsid w:val="00D244C5"/>
    <w:rsid w:val="00D24668"/>
    <w:rsid w:val="00D24703"/>
    <w:rsid w:val="00D248C5"/>
    <w:rsid w:val="00D24A51"/>
    <w:rsid w:val="00D24A6E"/>
    <w:rsid w:val="00D24BCE"/>
    <w:rsid w:val="00D24DB2"/>
    <w:rsid w:val="00D24F39"/>
    <w:rsid w:val="00D25083"/>
    <w:rsid w:val="00D251C2"/>
    <w:rsid w:val="00D251E8"/>
    <w:rsid w:val="00D251FB"/>
    <w:rsid w:val="00D256FC"/>
    <w:rsid w:val="00D25D0E"/>
    <w:rsid w:val="00D261B2"/>
    <w:rsid w:val="00D26746"/>
    <w:rsid w:val="00D2675D"/>
    <w:rsid w:val="00D26863"/>
    <w:rsid w:val="00D268CB"/>
    <w:rsid w:val="00D26B33"/>
    <w:rsid w:val="00D26CD7"/>
    <w:rsid w:val="00D26D53"/>
    <w:rsid w:val="00D27125"/>
    <w:rsid w:val="00D273CD"/>
    <w:rsid w:val="00D27402"/>
    <w:rsid w:val="00D2752B"/>
    <w:rsid w:val="00D2787B"/>
    <w:rsid w:val="00D27927"/>
    <w:rsid w:val="00D27A5D"/>
    <w:rsid w:val="00D27A90"/>
    <w:rsid w:val="00D27DB0"/>
    <w:rsid w:val="00D27FF5"/>
    <w:rsid w:val="00D3026F"/>
    <w:rsid w:val="00D303DF"/>
    <w:rsid w:val="00D30731"/>
    <w:rsid w:val="00D309C6"/>
    <w:rsid w:val="00D309C7"/>
    <w:rsid w:val="00D309EE"/>
    <w:rsid w:val="00D30B14"/>
    <w:rsid w:val="00D30B78"/>
    <w:rsid w:val="00D30C85"/>
    <w:rsid w:val="00D30EAF"/>
    <w:rsid w:val="00D30F98"/>
    <w:rsid w:val="00D3103D"/>
    <w:rsid w:val="00D31310"/>
    <w:rsid w:val="00D31424"/>
    <w:rsid w:val="00D314B4"/>
    <w:rsid w:val="00D3161F"/>
    <w:rsid w:val="00D3162C"/>
    <w:rsid w:val="00D318BE"/>
    <w:rsid w:val="00D31CB7"/>
    <w:rsid w:val="00D320FA"/>
    <w:rsid w:val="00D3211C"/>
    <w:rsid w:val="00D3221E"/>
    <w:rsid w:val="00D3257D"/>
    <w:rsid w:val="00D3259E"/>
    <w:rsid w:val="00D3262A"/>
    <w:rsid w:val="00D3269E"/>
    <w:rsid w:val="00D329A8"/>
    <w:rsid w:val="00D32C07"/>
    <w:rsid w:val="00D32CC5"/>
    <w:rsid w:val="00D32D7E"/>
    <w:rsid w:val="00D32DFA"/>
    <w:rsid w:val="00D32E12"/>
    <w:rsid w:val="00D33040"/>
    <w:rsid w:val="00D33063"/>
    <w:rsid w:val="00D331BB"/>
    <w:rsid w:val="00D333F5"/>
    <w:rsid w:val="00D334A6"/>
    <w:rsid w:val="00D334A7"/>
    <w:rsid w:val="00D3356C"/>
    <w:rsid w:val="00D3388D"/>
    <w:rsid w:val="00D338EE"/>
    <w:rsid w:val="00D33B97"/>
    <w:rsid w:val="00D33BC5"/>
    <w:rsid w:val="00D33BDF"/>
    <w:rsid w:val="00D33FD6"/>
    <w:rsid w:val="00D34096"/>
    <w:rsid w:val="00D34134"/>
    <w:rsid w:val="00D3435A"/>
    <w:rsid w:val="00D345A3"/>
    <w:rsid w:val="00D346A2"/>
    <w:rsid w:val="00D346D0"/>
    <w:rsid w:val="00D34883"/>
    <w:rsid w:val="00D3492E"/>
    <w:rsid w:val="00D34D27"/>
    <w:rsid w:val="00D34D98"/>
    <w:rsid w:val="00D34DB7"/>
    <w:rsid w:val="00D34DDD"/>
    <w:rsid w:val="00D34F0D"/>
    <w:rsid w:val="00D34F48"/>
    <w:rsid w:val="00D3502B"/>
    <w:rsid w:val="00D35128"/>
    <w:rsid w:val="00D35216"/>
    <w:rsid w:val="00D35495"/>
    <w:rsid w:val="00D35608"/>
    <w:rsid w:val="00D35697"/>
    <w:rsid w:val="00D356BA"/>
    <w:rsid w:val="00D357BD"/>
    <w:rsid w:val="00D35AA6"/>
    <w:rsid w:val="00D35C6E"/>
    <w:rsid w:val="00D35CEE"/>
    <w:rsid w:val="00D35EFD"/>
    <w:rsid w:val="00D361EC"/>
    <w:rsid w:val="00D36936"/>
    <w:rsid w:val="00D369AE"/>
    <w:rsid w:val="00D369B1"/>
    <w:rsid w:val="00D36A2D"/>
    <w:rsid w:val="00D36AE6"/>
    <w:rsid w:val="00D36C2E"/>
    <w:rsid w:val="00D36DD0"/>
    <w:rsid w:val="00D36F68"/>
    <w:rsid w:val="00D36FF5"/>
    <w:rsid w:val="00D37117"/>
    <w:rsid w:val="00D37782"/>
    <w:rsid w:val="00D37E88"/>
    <w:rsid w:val="00D37EDE"/>
    <w:rsid w:val="00D37F38"/>
    <w:rsid w:val="00D4013D"/>
    <w:rsid w:val="00D401D7"/>
    <w:rsid w:val="00D40A50"/>
    <w:rsid w:val="00D40DCA"/>
    <w:rsid w:val="00D40FA1"/>
    <w:rsid w:val="00D4107E"/>
    <w:rsid w:val="00D410F5"/>
    <w:rsid w:val="00D41630"/>
    <w:rsid w:val="00D4181E"/>
    <w:rsid w:val="00D419E4"/>
    <w:rsid w:val="00D419FE"/>
    <w:rsid w:val="00D41E2B"/>
    <w:rsid w:val="00D4228D"/>
    <w:rsid w:val="00D423D8"/>
    <w:rsid w:val="00D4279B"/>
    <w:rsid w:val="00D42820"/>
    <w:rsid w:val="00D4290C"/>
    <w:rsid w:val="00D42C6D"/>
    <w:rsid w:val="00D42CA0"/>
    <w:rsid w:val="00D42CAB"/>
    <w:rsid w:val="00D42DC1"/>
    <w:rsid w:val="00D42FA8"/>
    <w:rsid w:val="00D43067"/>
    <w:rsid w:val="00D430AE"/>
    <w:rsid w:val="00D4312D"/>
    <w:rsid w:val="00D43225"/>
    <w:rsid w:val="00D4335C"/>
    <w:rsid w:val="00D43619"/>
    <w:rsid w:val="00D43819"/>
    <w:rsid w:val="00D4392E"/>
    <w:rsid w:val="00D43B4A"/>
    <w:rsid w:val="00D43C75"/>
    <w:rsid w:val="00D43C80"/>
    <w:rsid w:val="00D43CCE"/>
    <w:rsid w:val="00D43CD5"/>
    <w:rsid w:val="00D4424C"/>
    <w:rsid w:val="00D44409"/>
    <w:rsid w:val="00D44614"/>
    <w:rsid w:val="00D447EB"/>
    <w:rsid w:val="00D44A8D"/>
    <w:rsid w:val="00D44A90"/>
    <w:rsid w:val="00D44C79"/>
    <w:rsid w:val="00D44C7F"/>
    <w:rsid w:val="00D44CA3"/>
    <w:rsid w:val="00D44F39"/>
    <w:rsid w:val="00D45047"/>
    <w:rsid w:val="00D450AD"/>
    <w:rsid w:val="00D45392"/>
    <w:rsid w:val="00D454D3"/>
    <w:rsid w:val="00D45B2E"/>
    <w:rsid w:val="00D45C2F"/>
    <w:rsid w:val="00D45E5A"/>
    <w:rsid w:val="00D45F21"/>
    <w:rsid w:val="00D45FF0"/>
    <w:rsid w:val="00D46610"/>
    <w:rsid w:val="00D467E0"/>
    <w:rsid w:val="00D46806"/>
    <w:rsid w:val="00D46A7B"/>
    <w:rsid w:val="00D46B04"/>
    <w:rsid w:val="00D46B3A"/>
    <w:rsid w:val="00D46F10"/>
    <w:rsid w:val="00D46F8D"/>
    <w:rsid w:val="00D46F9C"/>
    <w:rsid w:val="00D4706B"/>
    <w:rsid w:val="00D47323"/>
    <w:rsid w:val="00D47630"/>
    <w:rsid w:val="00D47CE3"/>
    <w:rsid w:val="00D47EF1"/>
    <w:rsid w:val="00D501B2"/>
    <w:rsid w:val="00D5029A"/>
    <w:rsid w:val="00D50307"/>
    <w:rsid w:val="00D504AD"/>
    <w:rsid w:val="00D50875"/>
    <w:rsid w:val="00D50BC7"/>
    <w:rsid w:val="00D50E59"/>
    <w:rsid w:val="00D50F65"/>
    <w:rsid w:val="00D514F1"/>
    <w:rsid w:val="00D515AE"/>
    <w:rsid w:val="00D515E2"/>
    <w:rsid w:val="00D516B4"/>
    <w:rsid w:val="00D516DE"/>
    <w:rsid w:val="00D516EF"/>
    <w:rsid w:val="00D51932"/>
    <w:rsid w:val="00D519A6"/>
    <w:rsid w:val="00D51B88"/>
    <w:rsid w:val="00D51CBE"/>
    <w:rsid w:val="00D51CE6"/>
    <w:rsid w:val="00D51E0A"/>
    <w:rsid w:val="00D521B9"/>
    <w:rsid w:val="00D521DB"/>
    <w:rsid w:val="00D523F1"/>
    <w:rsid w:val="00D525CC"/>
    <w:rsid w:val="00D5275F"/>
    <w:rsid w:val="00D529E7"/>
    <w:rsid w:val="00D52A85"/>
    <w:rsid w:val="00D52D60"/>
    <w:rsid w:val="00D52E18"/>
    <w:rsid w:val="00D52F3E"/>
    <w:rsid w:val="00D53151"/>
    <w:rsid w:val="00D531BF"/>
    <w:rsid w:val="00D53328"/>
    <w:rsid w:val="00D53551"/>
    <w:rsid w:val="00D53590"/>
    <w:rsid w:val="00D535FA"/>
    <w:rsid w:val="00D53676"/>
    <w:rsid w:val="00D536BB"/>
    <w:rsid w:val="00D536C0"/>
    <w:rsid w:val="00D5376F"/>
    <w:rsid w:val="00D53849"/>
    <w:rsid w:val="00D5388F"/>
    <w:rsid w:val="00D53B65"/>
    <w:rsid w:val="00D53C02"/>
    <w:rsid w:val="00D53FD4"/>
    <w:rsid w:val="00D54079"/>
    <w:rsid w:val="00D540EF"/>
    <w:rsid w:val="00D54199"/>
    <w:rsid w:val="00D542AC"/>
    <w:rsid w:val="00D5430E"/>
    <w:rsid w:val="00D54854"/>
    <w:rsid w:val="00D54A3C"/>
    <w:rsid w:val="00D54DB5"/>
    <w:rsid w:val="00D54EDB"/>
    <w:rsid w:val="00D55189"/>
    <w:rsid w:val="00D551E2"/>
    <w:rsid w:val="00D552BF"/>
    <w:rsid w:val="00D555EC"/>
    <w:rsid w:val="00D55801"/>
    <w:rsid w:val="00D55A88"/>
    <w:rsid w:val="00D55AA5"/>
    <w:rsid w:val="00D55BD0"/>
    <w:rsid w:val="00D55CDC"/>
    <w:rsid w:val="00D55E17"/>
    <w:rsid w:val="00D56019"/>
    <w:rsid w:val="00D562E2"/>
    <w:rsid w:val="00D5651D"/>
    <w:rsid w:val="00D56AFE"/>
    <w:rsid w:val="00D56F69"/>
    <w:rsid w:val="00D56FA2"/>
    <w:rsid w:val="00D57024"/>
    <w:rsid w:val="00D5704A"/>
    <w:rsid w:val="00D570B9"/>
    <w:rsid w:val="00D577CE"/>
    <w:rsid w:val="00D57B2C"/>
    <w:rsid w:val="00D57C3D"/>
    <w:rsid w:val="00D57D3D"/>
    <w:rsid w:val="00D60015"/>
    <w:rsid w:val="00D600BC"/>
    <w:rsid w:val="00D6022C"/>
    <w:rsid w:val="00D6026D"/>
    <w:rsid w:val="00D6030D"/>
    <w:rsid w:val="00D604E7"/>
    <w:rsid w:val="00D6078E"/>
    <w:rsid w:val="00D60F17"/>
    <w:rsid w:val="00D60F43"/>
    <w:rsid w:val="00D60FD6"/>
    <w:rsid w:val="00D611E1"/>
    <w:rsid w:val="00D612BE"/>
    <w:rsid w:val="00D614C9"/>
    <w:rsid w:val="00D61646"/>
    <w:rsid w:val="00D618CE"/>
    <w:rsid w:val="00D61BB4"/>
    <w:rsid w:val="00D61BB9"/>
    <w:rsid w:val="00D61C6F"/>
    <w:rsid w:val="00D61F7E"/>
    <w:rsid w:val="00D61FC4"/>
    <w:rsid w:val="00D62030"/>
    <w:rsid w:val="00D62203"/>
    <w:rsid w:val="00D6229A"/>
    <w:rsid w:val="00D622AD"/>
    <w:rsid w:val="00D6251C"/>
    <w:rsid w:val="00D62703"/>
    <w:rsid w:val="00D62777"/>
    <w:rsid w:val="00D62837"/>
    <w:rsid w:val="00D62899"/>
    <w:rsid w:val="00D62A76"/>
    <w:rsid w:val="00D62A8A"/>
    <w:rsid w:val="00D62D1A"/>
    <w:rsid w:val="00D6325A"/>
    <w:rsid w:val="00D632FE"/>
    <w:rsid w:val="00D63315"/>
    <w:rsid w:val="00D634E9"/>
    <w:rsid w:val="00D63829"/>
    <w:rsid w:val="00D639BF"/>
    <w:rsid w:val="00D63BAF"/>
    <w:rsid w:val="00D64255"/>
    <w:rsid w:val="00D6461E"/>
    <w:rsid w:val="00D64670"/>
    <w:rsid w:val="00D6473E"/>
    <w:rsid w:val="00D64AFE"/>
    <w:rsid w:val="00D64F56"/>
    <w:rsid w:val="00D651AE"/>
    <w:rsid w:val="00D65211"/>
    <w:rsid w:val="00D653AA"/>
    <w:rsid w:val="00D653C4"/>
    <w:rsid w:val="00D653E7"/>
    <w:rsid w:val="00D65419"/>
    <w:rsid w:val="00D657F8"/>
    <w:rsid w:val="00D659AA"/>
    <w:rsid w:val="00D65A16"/>
    <w:rsid w:val="00D65B1C"/>
    <w:rsid w:val="00D65C23"/>
    <w:rsid w:val="00D65FFA"/>
    <w:rsid w:val="00D665B5"/>
    <w:rsid w:val="00D6669C"/>
    <w:rsid w:val="00D666BF"/>
    <w:rsid w:val="00D66BC6"/>
    <w:rsid w:val="00D66D14"/>
    <w:rsid w:val="00D6724B"/>
    <w:rsid w:val="00D67262"/>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83"/>
    <w:rsid w:val="00D7109B"/>
    <w:rsid w:val="00D712EB"/>
    <w:rsid w:val="00D71690"/>
    <w:rsid w:val="00D71FF4"/>
    <w:rsid w:val="00D72078"/>
    <w:rsid w:val="00D7219E"/>
    <w:rsid w:val="00D72491"/>
    <w:rsid w:val="00D72B23"/>
    <w:rsid w:val="00D72BF1"/>
    <w:rsid w:val="00D72CE3"/>
    <w:rsid w:val="00D72D07"/>
    <w:rsid w:val="00D730E4"/>
    <w:rsid w:val="00D7346D"/>
    <w:rsid w:val="00D73477"/>
    <w:rsid w:val="00D7356D"/>
    <w:rsid w:val="00D73690"/>
    <w:rsid w:val="00D73736"/>
    <w:rsid w:val="00D73824"/>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318"/>
    <w:rsid w:val="00D754F1"/>
    <w:rsid w:val="00D75930"/>
    <w:rsid w:val="00D7593D"/>
    <w:rsid w:val="00D75B26"/>
    <w:rsid w:val="00D75B4D"/>
    <w:rsid w:val="00D75E34"/>
    <w:rsid w:val="00D75E89"/>
    <w:rsid w:val="00D761C3"/>
    <w:rsid w:val="00D76231"/>
    <w:rsid w:val="00D7634D"/>
    <w:rsid w:val="00D763B7"/>
    <w:rsid w:val="00D763D0"/>
    <w:rsid w:val="00D765F3"/>
    <w:rsid w:val="00D766BB"/>
    <w:rsid w:val="00D7683B"/>
    <w:rsid w:val="00D76B2D"/>
    <w:rsid w:val="00D76D31"/>
    <w:rsid w:val="00D77026"/>
    <w:rsid w:val="00D77064"/>
    <w:rsid w:val="00D770C2"/>
    <w:rsid w:val="00D771AC"/>
    <w:rsid w:val="00D77348"/>
    <w:rsid w:val="00D7749D"/>
    <w:rsid w:val="00D77839"/>
    <w:rsid w:val="00D77976"/>
    <w:rsid w:val="00D77CAD"/>
    <w:rsid w:val="00D77FFD"/>
    <w:rsid w:val="00D80269"/>
    <w:rsid w:val="00D80289"/>
    <w:rsid w:val="00D80331"/>
    <w:rsid w:val="00D80435"/>
    <w:rsid w:val="00D80A2A"/>
    <w:rsid w:val="00D80C87"/>
    <w:rsid w:val="00D8107F"/>
    <w:rsid w:val="00D8109E"/>
    <w:rsid w:val="00D810AA"/>
    <w:rsid w:val="00D81456"/>
    <w:rsid w:val="00D81661"/>
    <w:rsid w:val="00D8178D"/>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243"/>
    <w:rsid w:val="00D839AD"/>
    <w:rsid w:val="00D83BFF"/>
    <w:rsid w:val="00D83DA3"/>
    <w:rsid w:val="00D83FC9"/>
    <w:rsid w:val="00D84168"/>
    <w:rsid w:val="00D84273"/>
    <w:rsid w:val="00D84281"/>
    <w:rsid w:val="00D842B5"/>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C0"/>
    <w:rsid w:val="00D857CA"/>
    <w:rsid w:val="00D85B79"/>
    <w:rsid w:val="00D85F9B"/>
    <w:rsid w:val="00D8601A"/>
    <w:rsid w:val="00D860F5"/>
    <w:rsid w:val="00D86490"/>
    <w:rsid w:val="00D864DB"/>
    <w:rsid w:val="00D865D4"/>
    <w:rsid w:val="00D86682"/>
    <w:rsid w:val="00D86893"/>
    <w:rsid w:val="00D8694B"/>
    <w:rsid w:val="00D869B1"/>
    <w:rsid w:val="00D86D65"/>
    <w:rsid w:val="00D86E30"/>
    <w:rsid w:val="00D87298"/>
    <w:rsid w:val="00D873AA"/>
    <w:rsid w:val="00D873BF"/>
    <w:rsid w:val="00D874D0"/>
    <w:rsid w:val="00D87913"/>
    <w:rsid w:val="00D87CBA"/>
    <w:rsid w:val="00D87D1A"/>
    <w:rsid w:val="00D87D5B"/>
    <w:rsid w:val="00D87DF5"/>
    <w:rsid w:val="00D87F2A"/>
    <w:rsid w:val="00D9087D"/>
    <w:rsid w:val="00D908F3"/>
    <w:rsid w:val="00D90947"/>
    <w:rsid w:val="00D90A41"/>
    <w:rsid w:val="00D90B2C"/>
    <w:rsid w:val="00D90D26"/>
    <w:rsid w:val="00D90E0B"/>
    <w:rsid w:val="00D90E2B"/>
    <w:rsid w:val="00D90EE8"/>
    <w:rsid w:val="00D90F50"/>
    <w:rsid w:val="00D912F2"/>
    <w:rsid w:val="00D913E9"/>
    <w:rsid w:val="00D914AD"/>
    <w:rsid w:val="00D91AAB"/>
    <w:rsid w:val="00D91AD0"/>
    <w:rsid w:val="00D91C77"/>
    <w:rsid w:val="00D91CDA"/>
    <w:rsid w:val="00D91DC5"/>
    <w:rsid w:val="00D91EB3"/>
    <w:rsid w:val="00D91FBA"/>
    <w:rsid w:val="00D91FC8"/>
    <w:rsid w:val="00D9204F"/>
    <w:rsid w:val="00D92117"/>
    <w:rsid w:val="00D9234C"/>
    <w:rsid w:val="00D923DF"/>
    <w:rsid w:val="00D92520"/>
    <w:rsid w:val="00D92620"/>
    <w:rsid w:val="00D92668"/>
    <w:rsid w:val="00D927C7"/>
    <w:rsid w:val="00D9286F"/>
    <w:rsid w:val="00D92A59"/>
    <w:rsid w:val="00D93133"/>
    <w:rsid w:val="00D9382D"/>
    <w:rsid w:val="00D93A30"/>
    <w:rsid w:val="00D93C22"/>
    <w:rsid w:val="00D93E10"/>
    <w:rsid w:val="00D93E1F"/>
    <w:rsid w:val="00D93EAF"/>
    <w:rsid w:val="00D93EF8"/>
    <w:rsid w:val="00D9400E"/>
    <w:rsid w:val="00D941CF"/>
    <w:rsid w:val="00D9432B"/>
    <w:rsid w:val="00D945F5"/>
    <w:rsid w:val="00D947BC"/>
    <w:rsid w:val="00D948ED"/>
    <w:rsid w:val="00D94C32"/>
    <w:rsid w:val="00D954B0"/>
    <w:rsid w:val="00D9555F"/>
    <w:rsid w:val="00D956D3"/>
    <w:rsid w:val="00D957B7"/>
    <w:rsid w:val="00D9590A"/>
    <w:rsid w:val="00D95997"/>
    <w:rsid w:val="00D95B3C"/>
    <w:rsid w:val="00D95D01"/>
    <w:rsid w:val="00D95F66"/>
    <w:rsid w:val="00D9631A"/>
    <w:rsid w:val="00D96618"/>
    <w:rsid w:val="00D967E9"/>
    <w:rsid w:val="00D96AF8"/>
    <w:rsid w:val="00D96B7F"/>
    <w:rsid w:val="00D96B91"/>
    <w:rsid w:val="00D96CBB"/>
    <w:rsid w:val="00D96D30"/>
    <w:rsid w:val="00D974BB"/>
    <w:rsid w:val="00D9750F"/>
    <w:rsid w:val="00D97844"/>
    <w:rsid w:val="00D97C8A"/>
    <w:rsid w:val="00DA00AA"/>
    <w:rsid w:val="00DA0132"/>
    <w:rsid w:val="00DA0147"/>
    <w:rsid w:val="00DA0378"/>
    <w:rsid w:val="00DA05C7"/>
    <w:rsid w:val="00DA065F"/>
    <w:rsid w:val="00DA0772"/>
    <w:rsid w:val="00DA0A34"/>
    <w:rsid w:val="00DA0D1F"/>
    <w:rsid w:val="00DA0D66"/>
    <w:rsid w:val="00DA161A"/>
    <w:rsid w:val="00DA1689"/>
    <w:rsid w:val="00DA187E"/>
    <w:rsid w:val="00DA1961"/>
    <w:rsid w:val="00DA1CBE"/>
    <w:rsid w:val="00DA2124"/>
    <w:rsid w:val="00DA21BE"/>
    <w:rsid w:val="00DA22D3"/>
    <w:rsid w:val="00DA2382"/>
    <w:rsid w:val="00DA23F7"/>
    <w:rsid w:val="00DA243C"/>
    <w:rsid w:val="00DA263A"/>
    <w:rsid w:val="00DA2673"/>
    <w:rsid w:val="00DA2E37"/>
    <w:rsid w:val="00DA2E87"/>
    <w:rsid w:val="00DA2F0A"/>
    <w:rsid w:val="00DA3214"/>
    <w:rsid w:val="00DA327F"/>
    <w:rsid w:val="00DA3419"/>
    <w:rsid w:val="00DA3561"/>
    <w:rsid w:val="00DA36BF"/>
    <w:rsid w:val="00DA3849"/>
    <w:rsid w:val="00DA3938"/>
    <w:rsid w:val="00DA3D48"/>
    <w:rsid w:val="00DA3D60"/>
    <w:rsid w:val="00DA3FDB"/>
    <w:rsid w:val="00DA42E5"/>
    <w:rsid w:val="00DA42F9"/>
    <w:rsid w:val="00DA4616"/>
    <w:rsid w:val="00DA4A26"/>
    <w:rsid w:val="00DA4AC1"/>
    <w:rsid w:val="00DA4C76"/>
    <w:rsid w:val="00DA4D37"/>
    <w:rsid w:val="00DA4D50"/>
    <w:rsid w:val="00DA4DD7"/>
    <w:rsid w:val="00DA4E31"/>
    <w:rsid w:val="00DA4F48"/>
    <w:rsid w:val="00DA50C8"/>
    <w:rsid w:val="00DA5134"/>
    <w:rsid w:val="00DA597A"/>
    <w:rsid w:val="00DA5A83"/>
    <w:rsid w:val="00DA5BD1"/>
    <w:rsid w:val="00DA5F2F"/>
    <w:rsid w:val="00DA6169"/>
    <w:rsid w:val="00DA62F2"/>
    <w:rsid w:val="00DA63D6"/>
    <w:rsid w:val="00DA6A18"/>
    <w:rsid w:val="00DA6B75"/>
    <w:rsid w:val="00DA6E46"/>
    <w:rsid w:val="00DA727C"/>
    <w:rsid w:val="00DA73C3"/>
    <w:rsid w:val="00DA7637"/>
    <w:rsid w:val="00DA78B0"/>
    <w:rsid w:val="00DA79ED"/>
    <w:rsid w:val="00DA7A51"/>
    <w:rsid w:val="00DA7D49"/>
    <w:rsid w:val="00DB005F"/>
    <w:rsid w:val="00DB0228"/>
    <w:rsid w:val="00DB0441"/>
    <w:rsid w:val="00DB0956"/>
    <w:rsid w:val="00DB0A0C"/>
    <w:rsid w:val="00DB0A8A"/>
    <w:rsid w:val="00DB0C80"/>
    <w:rsid w:val="00DB0CCA"/>
    <w:rsid w:val="00DB0CF0"/>
    <w:rsid w:val="00DB0FDC"/>
    <w:rsid w:val="00DB11B1"/>
    <w:rsid w:val="00DB11BF"/>
    <w:rsid w:val="00DB1217"/>
    <w:rsid w:val="00DB12DF"/>
    <w:rsid w:val="00DB13C2"/>
    <w:rsid w:val="00DB1538"/>
    <w:rsid w:val="00DB1593"/>
    <w:rsid w:val="00DB16BC"/>
    <w:rsid w:val="00DB1826"/>
    <w:rsid w:val="00DB18F3"/>
    <w:rsid w:val="00DB194A"/>
    <w:rsid w:val="00DB1CA0"/>
    <w:rsid w:val="00DB1E23"/>
    <w:rsid w:val="00DB210C"/>
    <w:rsid w:val="00DB214B"/>
    <w:rsid w:val="00DB2327"/>
    <w:rsid w:val="00DB23C7"/>
    <w:rsid w:val="00DB25DB"/>
    <w:rsid w:val="00DB2619"/>
    <w:rsid w:val="00DB2682"/>
    <w:rsid w:val="00DB2AAE"/>
    <w:rsid w:val="00DB2EBB"/>
    <w:rsid w:val="00DB3114"/>
    <w:rsid w:val="00DB333D"/>
    <w:rsid w:val="00DB3404"/>
    <w:rsid w:val="00DB35CF"/>
    <w:rsid w:val="00DB3849"/>
    <w:rsid w:val="00DB3969"/>
    <w:rsid w:val="00DB3B0A"/>
    <w:rsid w:val="00DB3E1B"/>
    <w:rsid w:val="00DB40EA"/>
    <w:rsid w:val="00DB41BB"/>
    <w:rsid w:val="00DB426D"/>
    <w:rsid w:val="00DB4274"/>
    <w:rsid w:val="00DB42B1"/>
    <w:rsid w:val="00DB42D5"/>
    <w:rsid w:val="00DB4381"/>
    <w:rsid w:val="00DB475A"/>
    <w:rsid w:val="00DB485B"/>
    <w:rsid w:val="00DB4975"/>
    <w:rsid w:val="00DB4CF9"/>
    <w:rsid w:val="00DB4F30"/>
    <w:rsid w:val="00DB5507"/>
    <w:rsid w:val="00DB5532"/>
    <w:rsid w:val="00DB59CD"/>
    <w:rsid w:val="00DB5A51"/>
    <w:rsid w:val="00DB5BB0"/>
    <w:rsid w:val="00DB5C25"/>
    <w:rsid w:val="00DB5FB1"/>
    <w:rsid w:val="00DB61E4"/>
    <w:rsid w:val="00DB620A"/>
    <w:rsid w:val="00DB639B"/>
    <w:rsid w:val="00DB671C"/>
    <w:rsid w:val="00DB691C"/>
    <w:rsid w:val="00DB6CF9"/>
    <w:rsid w:val="00DB6E3E"/>
    <w:rsid w:val="00DB6F5A"/>
    <w:rsid w:val="00DB6FAE"/>
    <w:rsid w:val="00DB7047"/>
    <w:rsid w:val="00DB70B9"/>
    <w:rsid w:val="00DB717C"/>
    <w:rsid w:val="00DB72CA"/>
    <w:rsid w:val="00DB761C"/>
    <w:rsid w:val="00DB78C7"/>
    <w:rsid w:val="00DB7C44"/>
    <w:rsid w:val="00DB7C76"/>
    <w:rsid w:val="00DB7CE4"/>
    <w:rsid w:val="00DB7D12"/>
    <w:rsid w:val="00DB7DE1"/>
    <w:rsid w:val="00DB7F1F"/>
    <w:rsid w:val="00DB7FC3"/>
    <w:rsid w:val="00DC007F"/>
    <w:rsid w:val="00DC00C5"/>
    <w:rsid w:val="00DC036F"/>
    <w:rsid w:val="00DC0383"/>
    <w:rsid w:val="00DC060D"/>
    <w:rsid w:val="00DC067C"/>
    <w:rsid w:val="00DC0C9D"/>
    <w:rsid w:val="00DC0E4E"/>
    <w:rsid w:val="00DC0F13"/>
    <w:rsid w:val="00DC0FDB"/>
    <w:rsid w:val="00DC0FEF"/>
    <w:rsid w:val="00DC144E"/>
    <w:rsid w:val="00DC153A"/>
    <w:rsid w:val="00DC179E"/>
    <w:rsid w:val="00DC180A"/>
    <w:rsid w:val="00DC1A23"/>
    <w:rsid w:val="00DC1D4E"/>
    <w:rsid w:val="00DC1DAF"/>
    <w:rsid w:val="00DC1E53"/>
    <w:rsid w:val="00DC1EE4"/>
    <w:rsid w:val="00DC1F2D"/>
    <w:rsid w:val="00DC20D7"/>
    <w:rsid w:val="00DC22E4"/>
    <w:rsid w:val="00DC232E"/>
    <w:rsid w:val="00DC2346"/>
    <w:rsid w:val="00DC2473"/>
    <w:rsid w:val="00DC2491"/>
    <w:rsid w:val="00DC2495"/>
    <w:rsid w:val="00DC24B2"/>
    <w:rsid w:val="00DC26CB"/>
    <w:rsid w:val="00DC27F7"/>
    <w:rsid w:val="00DC2A1C"/>
    <w:rsid w:val="00DC309F"/>
    <w:rsid w:val="00DC323B"/>
    <w:rsid w:val="00DC32E4"/>
    <w:rsid w:val="00DC36A3"/>
    <w:rsid w:val="00DC3A49"/>
    <w:rsid w:val="00DC3ACA"/>
    <w:rsid w:val="00DC3EE7"/>
    <w:rsid w:val="00DC3F60"/>
    <w:rsid w:val="00DC3FC5"/>
    <w:rsid w:val="00DC4195"/>
    <w:rsid w:val="00DC4273"/>
    <w:rsid w:val="00DC44CF"/>
    <w:rsid w:val="00DC44FC"/>
    <w:rsid w:val="00DC48D3"/>
    <w:rsid w:val="00DC491C"/>
    <w:rsid w:val="00DC4B69"/>
    <w:rsid w:val="00DC4CC4"/>
    <w:rsid w:val="00DC4D30"/>
    <w:rsid w:val="00DC5034"/>
    <w:rsid w:val="00DC52FD"/>
    <w:rsid w:val="00DC5474"/>
    <w:rsid w:val="00DC54C6"/>
    <w:rsid w:val="00DC559F"/>
    <w:rsid w:val="00DC5A50"/>
    <w:rsid w:val="00DC5BBB"/>
    <w:rsid w:val="00DC5DE3"/>
    <w:rsid w:val="00DC5F50"/>
    <w:rsid w:val="00DC6384"/>
    <w:rsid w:val="00DC649E"/>
    <w:rsid w:val="00DC6FB9"/>
    <w:rsid w:val="00DC710F"/>
    <w:rsid w:val="00DC7159"/>
    <w:rsid w:val="00DC71C5"/>
    <w:rsid w:val="00DC71D5"/>
    <w:rsid w:val="00DC76E8"/>
    <w:rsid w:val="00DC78EC"/>
    <w:rsid w:val="00DC7B69"/>
    <w:rsid w:val="00DC7CFD"/>
    <w:rsid w:val="00DC7E75"/>
    <w:rsid w:val="00DD01BE"/>
    <w:rsid w:val="00DD0232"/>
    <w:rsid w:val="00DD024A"/>
    <w:rsid w:val="00DD0284"/>
    <w:rsid w:val="00DD04D4"/>
    <w:rsid w:val="00DD0563"/>
    <w:rsid w:val="00DD0ADA"/>
    <w:rsid w:val="00DD0ADB"/>
    <w:rsid w:val="00DD0BE6"/>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1FBC"/>
    <w:rsid w:val="00DD2034"/>
    <w:rsid w:val="00DD204F"/>
    <w:rsid w:val="00DD22DA"/>
    <w:rsid w:val="00DD22EE"/>
    <w:rsid w:val="00DD2301"/>
    <w:rsid w:val="00DD2630"/>
    <w:rsid w:val="00DD2762"/>
    <w:rsid w:val="00DD2B04"/>
    <w:rsid w:val="00DD2C4F"/>
    <w:rsid w:val="00DD35A1"/>
    <w:rsid w:val="00DD36AD"/>
    <w:rsid w:val="00DD371A"/>
    <w:rsid w:val="00DD3CA9"/>
    <w:rsid w:val="00DD3D9B"/>
    <w:rsid w:val="00DD3E0C"/>
    <w:rsid w:val="00DD3EA4"/>
    <w:rsid w:val="00DD3EB7"/>
    <w:rsid w:val="00DD3ECF"/>
    <w:rsid w:val="00DD3FFF"/>
    <w:rsid w:val="00DD40A8"/>
    <w:rsid w:val="00DD42DC"/>
    <w:rsid w:val="00DD4426"/>
    <w:rsid w:val="00DD448C"/>
    <w:rsid w:val="00DD4499"/>
    <w:rsid w:val="00DD4531"/>
    <w:rsid w:val="00DD4880"/>
    <w:rsid w:val="00DD4A1E"/>
    <w:rsid w:val="00DD4B47"/>
    <w:rsid w:val="00DD4B72"/>
    <w:rsid w:val="00DD4C0A"/>
    <w:rsid w:val="00DD4D37"/>
    <w:rsid w:val="00DD4D89"/>
    <w:rsid w:val="00DD51BD"/>
    <w:rsid w:val="00DD5387"/>
    <w:rsid w:val="00DD53B8"/>
    <w:rsid w:val="00DD5417"/>
    <w:rsid w:val="00DD5475"/>
    <w:rsid w:val="00DD54DE"/>
    <w:rsid w:val="00DD55A5"/>
    <w:rsid w:val="00DD5929"/>
    <w:rsid w:val="00DD5993"/>
    <w:rsid w:val="00DD5B02"/>
    <w:rsid w:val="00DD5BA3"/>
    <w:rsid w:val="00DD5BEA"/>
    <w:rsid w:val="00DD5D9C"/>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D7FE3"/>
    <w:rsid w:val="00DE005A"/>
    <w:rsid w:val="00DE049C"/>
    <w:rsid w:val="00DE04A1"/>
    <w:rsid w:val="00DE04CD"/>
    <w:rsid w:val="00DE09E0"/>
    <w:rsid w:val="00DE0C39"/>
    <w:rsid w:val="00DE0C4C"/>
    <w:rsid w:val="00DE0DA9"/>
    <w:rsid w:val="00DE100E"/>
    <w:rsid w:val="00DE10F8"/>
    <w:rsid w:val="00DE1122"/>
    <w:rsid w:val="00DE11DB"/>
    <w:rsid w:val="00DE12A2"/>
    <w:rsid w:val="00DE1659"/>
    <w:rsid w:val="00DE169F"/>
    <w:rsid w:val="00DE19BF"/>
    <w:rsid w:val="00DE1B56"/>
    <w:rsid w:val="00DE1CBD"/>
    <w:rsid w:val="00DE1CE9"/>
    <w:rsid w:val="00DE22B8"/>
    <w:rsid w:val="00DE24A5"/>
    <w:rsid w:val="00DE2537"/>
    <w:rsid w:val="00DE2EA7"/>
    <w:rsid w:val="00DE2FF5"/>
    <w:rsid w:val="00DE31EC"/>
    <w:rsid w:val="00DE32F6"/>
    <w:rsid w:val="00DE332D"/>
    <w:rsid w:val="00DE33E2"/>
    <w:rsid w:val="00DE3893"/>
    <w:rsid w:val="00DE39DF"/>
    <w:rsid w:val="00DE39EF"/>
    <w:rsid w:val="00DE3A11"/>
    <w:rsid w:val="00DE3B51"/>
    <w:rsid w:val="00DE3C48"/>
    <w:rsid w:val="00DE3CEC"/>
    <w:rsid w:val="00DE436B"/>
    <w:rsid w:val="00DE453A"/>
    <w:rsid w:val="00DE467C"/>
    <w:rsid w:val="00DE48AC"/>
    <w:rsid w:val="00DE4916"/>
    <w:rsid w:val="00DE4BBB"/>
    <w:rsid w:val="00DE4CE1"/>
    <w:rsid w:val="00DE4DAF"/>
    <w:rsid w:val="00DE4EB6"/>
    <w:rsid w:val="00DE4F1A"/>
    <w:rsid w:val="00DE50D3"/>
    <w:rsid w:val="00DE5373"/>
    <w:rsid w:val="00DE55CD"/>
    <w:rsid w:val="00DE570B"/>
    <w:rsid w:val="00DE57E5"/>
    <w:rsid w:val="00DE57EF"/>
    <w:rsid w:val="00DE5C4C"/>
    <w:rsid w:val="00DE5CBA"/>
    <w:rsid w:val="00DE5D81"/>
    <w:rsid w:val="00DE5E10"/>
    <w:rsid w:val="00DE607D"/>
    <w:rsid w:val="00DE6251"/>
    <w:rsid w:val="00DE63A8"/>
    <w:rsid w:val="00DE6417"/>
    <w:rsid w:val="00DE6F29"/>
    <w:rsid w:val="00DE70E0"/>
    <w:rsid w:val="00DE7241"/>
    <w:rsid w:val="00DE727C"/>
    <w:rsid w:val="00DE7672"/>
    <w:rsid w:val="00DE7975"/>
    <w:rsid w:val="00DE7C0F"/>
    <w:rsid w:val="00DE7C6C"/>
    <w:rsid w:val="00DE7E0C"/>
    <w:rsid w:val="00DF00BF"/>
    <w:rsid w:val="00DF05A9"/>
    <w:rsid w:val="00DF0EDB"/>
    <w:rsid w:val="00DF0F9C"/>
    <w:rsid w:val="00DF1181"/>
    <w:rsid w:val="00DF11FC"/>
    <w:rsid w:val="00DF1426"/>
    <w:rsid w:val="00DF14EA"/>
    <w:rsid w:val="00DF1663"/>
    <w:rsid w:val="00DF1935"/>
    <w:rsid w:val="00DF1990"/>
    <w:rsid w:val="00DF1B00"/>
    <w:rsid w:val="00DF1DBB"/>
    <w:rsid w:val="00DF1F37"/>
    <w:rsid w:val="00DF1FC7"/>
    <w:rsid w:val="00DF1FCE"/>
    <w:rsid w:val="00DF23B6"/>
    <w:rsid w:val="00DF259B"/>
    <w:rsid w:val="00DF267E"/>
    <w:rsid w:val="00DF26BD"/>
    <w:rsid w:val="00DF2781"/>
    <w:rsid w:val="00DF2989"/>
    <w:rsid w:val="00DF299D"/>
    <w:rsid w:val="00DF2BC0"/>
    <w:rsid w:val="00DF2D97"/>
    <w:rsid w:val="00DF309A"/>
    <w:rsid w:val="00DF30E1"/>
    <w:rsid w:val="00DF3114"/>
    <w:rsid w:val="00DF31A0"/>
    <w:rsid w:val="00DF3325"/>
    <w:rsid w:val="00DF342A"/>
    <w:rsid w:val="00DF3772"/>
    <w:rsid w:val="00DF3B38"/>
    <w:rsid w:val="00DF3E86"/>
    <w:rsid w:val="00DF402E"/>
    <w:rsid w:val="00DF419A"/>
    <w:rsid w:val="00DF4290"/>
    <w:rsid w:val="00DF4576"/>
    <w:rsid w:val="00DF4A10"/>
    <w:rsid w:val="00DF4B64"/>
    <w:rsid w:val="00DF4D3C"/>
    <w:rsid w:val="00DF4F6C"/>
    <w:rsid w:val="00DF4FC7"/>
    <w:rsid w:val="00DF508A"/>
    <w:rsid w:val="00DF588F"/>
    <w:rsid w:val="00DF5B5D"/>
    <w:rsid w:val="00DF5BDB"/>
    <w:rsid w:val="00DF5E45"/>
    <w:rsid w:val="00DF5EAE"/>
    <w:rsid w:val="00DF5F4F"/>
    <w:rsid w:val="00DF6062"/>
    <w:rsid w:val="00DF626E"/>
    <w:rsid w:val="00DF6402"/>
    <w:rsid w:val="00DF649E"/>
    <w:rsid w:val="00DF64BC"/>
    <w:rsid w:val="00DF6704"/>
    <w:rsid w:val="00DF6AAD"/>
    <w:rsid w:val="00DF6B20"/>
    <w:rsid w:val="00DF6B65"/>
    <w:rsid w:val="00DF6C3F"/>
    <w:rsid w:val="00DF6CA2"/>
    <w:rsid w:val="00DF6D16"/>
    <w:rsid w:val="00DF74BF"/>
    <w:rsid w:val="00DF7693"/>
    <w:rsid w:val="00DF76A8"/>
    <w:rsid w:val="00DF773F"/>
    <w:rsid w:val="00DF7792"/>
    <w:rsid w:val="00DF7C61"/>
    <w:rsid w:val="00DF7CF0"/>
    <w:rsid w:val="00E00036"/>
    <w:rsid w:val="00E00133"/>
    <w:rsid w:val="00E00186"/>
    <w:rsid w:val="00E002EC"/>
    <w:rsid w:val="00E00312"/>
    <w:rsid w:val="00E004EF"/>
    <w:rsid w:val="00E005D0"/>
    <w:rsid w:val="00E0067D"/>
    <w:rsid w:val="00E00826"/>
    <w:rsid w:val="00E00A3B"/>
    <w:rsid w:val="00E00A91"/>
    <w:rsid w:val="00E00C08"/>
    <w:rsid w:val="00E00D36"/>
    <w:rsid w:val="00E00D87"/>
    <w:rsid w:val="00E00FA8"/>
    <w:rsid w:val="00E0106B"/>
    <w:rsid w:val="00E010D4"/>
    <w:rsid w:val="00E0133C"/>
    <w:rsid w:val="00E014EF"/>
    <w:rsid w:val="00E01553"/>
    <w:rsid w:val="00E016DF"/>
    <w:rsid w:val="00E01886"/>
    <w:rsid w:val="00E01A6B"/>
    <w:rsid w:val="00E01C67"/>
    <w:rsid w:val="00E01FBB"/>
    <w:rsid w:val="00E02358"/>
    <w:rsid w:val="00E02553"/>
    <w:rsid w:val="00E027B5"/>
    <w:rsid w:val="00E027DF"/>
    <w:rsid w:val="00E02845"/>
    <w:rsid w:val="00E028A4"/>
    <w:rsid w:val="00E029CB"/>
    <w:rsid w:val="00E02E0F"/>
    <w:rsid w:val="00E02E80"/>
    <w:rsid w:val="00E0303B"/>
    <w:rsid w:val="00E031C3"/>
    <w:rsid w:val="00E03598"/>
    <w:rsid w:val="00E036F9"/>
    <w:rsid w:val="00E0377B"/>
    <w:rsid w:val="00E03B00"/>
    <w:rsid w:val="00E03B35"/>
    <w:rsid w:val="00E03F33"/>
    <w:rsid w:val="00E041E6"/>
    <w:rsid w:val="00E0420D"/>
    <w:rsid w:val="00E04470"/>
    <w:rsid w:val="00E0459F"/>
    <w:rsid w:val="00E04979"/>
    <w:rsid w:val="00E04D29"/>
    <w:rsid w:val="00E04DD4"/>
    <w:rsid w:val="00E0552D"/>
    <w:rsid w:val="00E05652"/>
    <w:rsid w:val="00E05A3C"/>
    <w:rsid w:val="00E05A96"/>
    <w:rsid w:val="00E05FBE"/>
    <w:rsid w:val="00E06049"/>
    <w:rsid w:val="00E06094"/>
    <w:rsid w:val="00E064B0"/>
    <w:rsid w:val="00E0666D"/>
    <w:rsid w:val="00E067B0"/>
    <w:rsid w:val="00E0689A"/>
    <w:rsid w:val="00E069E4"/>
    <w:rsid w:val="00E06AB1"/>
    <w:rsid w:val="00E06B00"/>
    <w:rsid w:val="00E06D45"/>
    <w:rsid w:val="00E06E50"/>
    <w:rsid w:val="00E06ED8"/>
    <w:rsid w:val="00E070E7"/>
    <w:rsid w:val="00E07104"/>
    <w:rsid w:val="00E073B5"/>
    <w:rsid w:val="00E0757E"/>
    <w:rsid w:val="00E0776D"/>
    <w:rsid w:val="00E07838"/>
    <w:rsid w:val="00E07910"/>
    <w:rsid w:val="00E079CA"/>
    <w:rsid w:val="00E07A8E"/>
    <w:rsid w:val="00E07AA6"/>
    <w:rsid w:val="00E07BA8"/>
    <w:rsid w:val="00E07CBC"/>
    <w:rsid w:val="00E10631"/>
    <w:rsid w:val="00E1064D"/>
    <w:rsid w:val="00E107B3"/>
    <w:rsid w:val="00E108F0"/>
    <w:rsid w:val="00E10981"/>
    <w:rsid w:val="00E10A56"/>
    <w:rsid w:val="00E10B63"/>
    <w:rsid w:val="00E10C56"/>
    <w:rsid w:val="00E10E13"/>
    <w:rsid w:val="00E10FA9"/>
    <w:rsid w:val="00E11614"/>
    <w:rsid w:val="00E117E7"/>
    <w:rsid w:val="00E118F4"/>
    <w:rsid w:val="00E11934"/>
    <w:rsid w:val="00E11A5A"/>
    <w:rsid w:val="00E11A78"/>
    <w:rsid w:val="00E11B5C"/>
    <w:rsid w:val="00E12134"/>
    <w:rsid w:val="00E1241A"/>
    <w:rsid w:val="00E12468"/>
    <w:rsid w:val="00E124A3"/>
    <w:rsid w:val="00E12705"/>
    <w:rsid w:val="00E127E2"/>
    <w:rsid w:val="00E12862"/>
    <w:rsid w:val="00E12950"/>
    <w:rsid w:val="00E12A2E"/>
    <w:rsid w:val="00E12A91"/>
    <w:rsid w:val="00E1317D"/>
    <w:rsid w:val="00E131FC"/>
    <w:rsid w:val="00E134A2"/>
    <w:rsid w:val="00E1384C"/>
    <w:rsid w:val="00E13880"/>
    <w:rsid w:val="00E13C91"/>
    <w:rsid w:val="00E13F69"/>
    <w:rsid w:val="00E13FA2"/>
    <w:rsid w:val="00E13FC9"/>
    <w:rsid w:val="00E1400B"/>
    <w:rsid w:val="00E1400C"/>
    <w:rsid w:val="00E14263"/>
    <w:rsid w:val="00E1430E"/>
    <w:rsid w:val="00E14481"/>
    <w:rsid w:val="00E14484"/>
    <w:rsid w:val="00E14497"/>
    <w:rsid w:val="00E14655"/>
    <w:rsid w:val="00E147CD"/>
    <w:rsid w:val="00E14B44"/>
    <w:rsid w:val="00E14BFE"/>
    <w:rsid w:val="00E15039"/>
    <w:rsid w:val="00E157E3"/>
    <w:rsid w:val="00E15845"/>
    <w:rsid w:val="00E159A2"/>
    <w:rsid w:val="00E15CCC"/>
    <w:rsid w:val="00E15D62"/>
    <w:rsid w:val="00E160DA"/>
    <w:rsid w:val="00E163B1"/>
    <w:rsid w:val="00E16450"/>
    <w:rsid w:val="00E16556"/>
    <w:rsid w:val="00E1681B"/>
    <w:rsid w:val="00E16A76"/>
    <w:rsid w:val="00E16D95"/>
    <w:rsid w:val="00E16E32"/>
    <w:rsid w:val="00E16EF0"/>
    <w:rsid w:val="00E1731F"/>
    <w:rsid w:val="00E1755C"/>
    <w:rsid w:val="00E176AA"/>
    <w:rsid w:val="00E17AFC"/>
    <w:rsid w:val="00E17C8B"/>
    <w:rsid w:val="00E17CB0"/>
    <w:rsid w:val="00E17DF6"/>
    <w:rsid w:val="00E17FFE"/>
    <w:rsid w:val="00E20104"/>
    <w:rsid w:val="00E20137"/>
    <w:rsid w:val="00E20289"/>
    <w:rsid w:val="00E2078C"/>
    <w:rsid w:val="00E20A98"/>
    <w:rsid w:val="00E20BEF"/>
    <w:rsid w:val="00E20EFC"/>
    <w:rsid w:val="00E20F57"/>
    <w:rsid w:val="00E212A1"/>
    <w:rsid w:val="00E212DD"/>
    <w:rsid w:val="00E21935"/>
    <w:rsid w:val="00E219A9"/>
    <w:rsid w:val="00E21A13"/>
    <w:rsid w:val="00E21FD5"/>
    <w:rsid w:val="00E22246"/>
    <w:rsid w:val="00E224C5"/>
    <w:rsid w:val="00E22689"/>
    <w:rsid w:val="00E22690"/>
    <w:rsid w:val="00E227D9"/>
    <w:rsid w:val="00E22853"/>
    <w:rsid w:val="00E22B64"/>
    <w:rsid w:val="00E22C45"/>
    <w:rsid w:val="00E22CCB"/>
    <w:rsid w:val="00E22CE7"/>
    <w:rsid w:val="00E22FD2"/>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76D"/>
    <w:rsid w:val="00E268E5"/>
    <w:rsid w:val="00E27174"/>
    <w:rsid w:val="00E27275"/>
    <w:rsid w:val="00E274A0"/>
    <w:rsid w:val="00E277A3"/>
    <w:rsid w:val="00E27A0E"/>
    <w:rsid w:val="00E27CD7"/>
    <w:rsid w:val="00E27D80"/>
    <w:rsid w:val="00E27DDC"/>
    <w:rsid w:val="00E27DEB"/>
    <w:rsid w:val="00E27EC1"/>
    <w:rsid w:val="00E302E8"/>
    <w:rsid w:val="00E30806"/>
    <w:rsid w:val="00E3080B"/>
    <w:rsid w:val="00E3082B"/>
    <w:rsid w:val="00E30952"/>
    <w:rsid w:val="00E312E8"/>
    <w:rsid w:val="00E316F0"/>
    <w:rsid w:val="00E317C1"/>
    <w:rsid w:val="00E31A14"/>
    <w:rsid w:val="00E31B88"/>
    <w:rsid w:val="00E31C8C"/>
    <w:rsid w:val="00E31EA2"/>
    <w:rsid w:val="00E32155"/>
    <w:rsid w:val="00E3219A"/>
    <w:rsid w:val="00E329F7"/>
    <w:rsid w:val="00E32D25"/>
    <w:rsid w:val="00E32D7B"/>
    <w:rsid w:val="00E32E40"/>
    <w:rsid w:val="00E32F4D"/>
    <w:rsid w:val="00E3303C"/>
    <w:rsid w:val="00E3309F"/>
    <w:rsid w:val="00E331E8"/>
    <w:rsid w:val="00E33280"/>
    <w:rsid w:val="00E33595"/>
    <w:rsid w:val="00E335F5"/>
    <w:rsid w:val="00E337AB"/>
    <w:rsid w:val="00E3383D"/>
    <w:rsid w:val="00E33981"/>
    <w:rsid w:val="00E33BBC"/>
    <w:rsid w:val="00E33D35"/>
    <w:rsid w:val="00E33E70"/>
    <w:rsid w:val="00E33EA4"/>
    <w:rsid w:val="00E34077"/>
    <w:rsid w:val="00E3435A"/>
    <w:rsid w:val="00E348C1"/>
    <w:rsid w:val="00E34BED"/>
    <w:rsid w:val="00E35150"/>
    <w:rsid w:val="00E3515A"/>
    <w:rsid w:val="00E351B4"/>
    <w:rsid w:val="00E352E1"/>
    <w:rsid w:val="00E3540D"/>
    <w:rsid w:val="00E355F1"/>
    <w:rsid w:val="00E356E4"/>
    <w:rsid w:val="00E35784"/>
    <w:rsid w:val="00E35892"/>
    <w:rsid w:val="00E35932"/>
    <w:rsid w:val="00E359DC"/>
    <w:rsid w:val="00E36035"/>
    <w:rsid w:val="00E363B4"/>
    <w:rsid w:val="00E363B6"/>
    <w:rsid w:val="00E364F6"/>
    <w:rsid w:val="00E36740"/>
    <w:rsid w:val="00E367D3"/>
    <w:rsid w:val="00E369E3"/>
    <w:rsid w:val="00E36A3F"/>
    <w:rsid w:val="00E36BDD"/>
    <w:rsid w:val="00E36D8B"/>
    <w:rsid w:val="00E36F6D"/>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764"/>
    <w:rsid w:val="00E418C5"/>
    <w:rsid w:val="00E41CF2"/>
    <w:rsid w:val="00E41D70"/>
    <w:rsid w:val="00E41E37"/>
    <w:rsid w:val="00E41F30"/>
    <w:rsid w:val="00E4212B"/>
    <w:rsid w:val="00E421E9"/>
    <w:rsid w:val="00E422A1"/>
    <w:rsid w:val="00E42639"/>
    <w:rsid w:val="00E42668"/>
    <w:rsid w:val="00E42954"/>
    <w:rsid w:val="00E42C33"/>
    <w:rsid w:val="00E430BF"/>
    <w:rsid w:val="00E431B3"/>
    <w:rsid w:val="00E43233"/>
    <w:rsid w:val="00E43373"/>
    <w:rsid w:val="00E43482"/>
    <w:rsid w:val="00E436A7"/>
    <w:rsid w:val="00E4382E"/>
    <w:rsid w:val="00E4394A"/>
    <w:rsid w:val="00E43960"/>
    <w:rsid w:val="00E43ABC"/>
    <w:rsid w:val="00E43BAC"/>
    <w:rsid w:val="00E44043"/>
    <w:rsid w:val="00E4420C"/>
    <w:rsid w:val="00E44446"/>
    <w:rsid w:val="00E4455D"/>
    <w:rsid w:val="00E44943"/>
    <w:rsid w:val="00E44B63"/>
    <w:rsid w:val="00E44D40"/>
    <w:rsid w:val="00E44D5B"/>
    <w:rsid w:val="00E44DAB"/>
    <w:rsid w:val="00E44EE8"/>
    <w:rsid w:val="00E450B7"/>
    <w:rsid w:val="00E450EE"/>
    <w:rsid w:val="00E45302"/>
    <w:rsid w:val="00E453E5"/>
    <w:rsid w:val="00E4541D"/>
    <w:rsid w:val="00E45677"/>
    <w:rsid w:val="00E45C12"/>
    <w:rsid w:val="00E45DCB"/>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03B"/>
    <w:rsid w:val="00E501C2"/>
    <w:rsid w:val="00E50501"/>
    <w:rsid w:val="00E50639"/>
    <w:rsid w:val="00E5064A"/>
    <w:rsid w:val="00E508BB"/>
    <w:rsid w:val="00E50C07"/>
    <w:rsid w:val="00E50E7D"/>
    <w:rsid w:val="00E50FC7"/>
    <w:rsid w:val="00E51168"/>
    <w:rsid w:val="00E5124A"/>
    <w:rsid w:val="00E5126C"/>
    <w:rsid w:val="00E512C7"/>
    <w:rsid w:val="00E512E2"/>
    <w:rsid w:val="00E516C0"/>
    <w:rsid w:val="00E52004"/>
    <w:rsid w:val="00E52307"/>
    <w:rsid w:val="00E52725"/>
    <w:rsid w:val="00E52BAC"/>
    <w:rsid w:val="00E52C5C"/>
    <w:rsid w:val="00E52F7D"/>
    <w:rsid w:val="00E530C8"/>
    <w:rsid w:val="00E53152"/>
    <w:rsid w:val="00E5331C"/>
    <w:rsid w:val="00E5365C"/>
    <w:rsid w:val="00E5386D"/>
    <w:rsid w:val="00E53B17"/>
    <w:rsid w:val="00E53B73"/>
    <w:rsid w:val="00E53C13"/>
    <w:rsid w:val="00E53C95"/>
    <w:rsid w:val="00E53F28"/>
    <w:rsid w:val="00E53FE9"/>
    <w:rsid w:val="00E5418A"/>
    <w:rsid w:val="00E54581"/>
    <w:rsid w:val="00E5474A"/>
    <w:rsid w:val="00E54784"/>
    <w:rsid w:val="00E54A73"/>
    <w:rsid w:val="00E54CCC"/>
    <w:rsid w:val="00E54D17"/>
    <w:rsid w:val="00E54D76"/>
    <w:rsid w:val="00E54F65"/>
    <w:rsid w:val="00E54F9F"/>
    <w:rsid w:val="00E55446"/>
    <w:rsid w:val="00E55721"/>
    <w:rsid w:val="00E557EF"/>
    <w:rsid w:val="00E558F7"/>
    <w:rsid w:val="00E55CAB"/>
    <w:rsid w:val="00E55CF8"/>
    <w:rsid w:val="00E55F5C"/>
    <w:rsid w:val="00E563AA"/>
    <w:rsid w:val="00E56433"/>
    <w:rsid w:val="00E564D5"/>
    <w:rsid w:val="00E56813"/>
    <w:rsid w:val="00E56A47"/>
    <w:rsid w:val="00E56B17"/>
    <w:rsid w:val="00E56B6A"/>
    <w:rsid w:val="00E56B82"/>
    <w:rsid w:val="00E56BBC"/>
    <w:rsid w:val="00E5700B"/>
    <w:rsid w:val="00E5721C"/>
    <w:rsid w:val="00E57288"/>
    <w:rsid w:val="00E572A9"/>
    <w:rsid w:val="00E57308"/>
    <w:rsid w:val="00E5738C"/>
    <w:rsid w:val="00E573F0"/>
    <w:rsid w:val="00E574A9"/>
    <w:rsid w:val="00E57516"/>
    <w:rsid w:val="00E57553"/>
    <w:rsid w:val="00E577A0"/>
    <w:rsid w:val="00E57AEB"/>
    <w:rsid w:val="00E57CC9"/>
    <w:rsid w:val="00E57EB1"/>
    <w:rsid w:val="00E60042"/>
    <w:rsid w:val="00E600B7"/>
    <w:rsid w:val="00E60535"/>
    <w:rsid w:val="00E60548"/>
    <w:rsid w:val="00E605C7"/>
    <w:rsid w:val="00E60862"/>
    <w:rsid w:val="00E6092B"/>
    <w:rsid w:val="00E60B54"/>
    <w:rsid w:val="00E60BFB"/>
    <w:rsid w:val="00E60C99"/>
    <w:rsid w:val="00E6102C"/>
    <w:rsid w:val="00E610EE"/>
    <w:rsid w:val="00E61286"/>
    <w:rsid w:val="00E6153C"/>
    <w:rsid w:val="00E615FD"/>
    <w:rsid w:val="00E61616"/>
    <w:rsid w:val="00E61780"/>
    <w:rsid w:val="00E617DA"/>
    <w:rsid w:val="00E61EC2"/>
    <w:rsid w:val="00E622D6"/>
    <w:rsid w:val="00E62541"/>
    <w:rsid w:val="00E62755"/>
    <w:rsid w:val="00E6276B"/>
    <w:rsid w:val="00E62825"/>
    <w:rsid w:val="00E6298D"/>
    <w:rsid w:val="00E62AC1"/>
    <w:rsid w:val="00E62AF0"/>
    <w:rsid w:val="00E62C3B"/>
    <w:rsid w:val="00E62C7E"/>
    <w:rsid w:val="00E63451"/>
    <w:rsid w:val="00E6394B"/>
    <w:rsid w:val="00E639AE"/>
    <w:rsid w:val="00E63AAD"/>
    <w:rsid w:val="00E63D70"/>
    <w:rsid w:val="00E6437A"/>
    <w:rsid w:val="00E644F6"/>
    <w:rsid w:val="00E64526"/>
    <w:rsid w:val="00E64734"/>
    <w:rsid w:val="00E64B11"/>
    <w:rsid w:val="00E64D48"/>
    <w:rsid w:val="00E64F17"/>
    <w:rsid w:val="00E6503E"/>
    <w:rsid w:val="00E65340"/>
    <w:rsid w:val="00E65F72"/>
    <w:rsid w:val="00E6631A"/>
    <w:rsid w:val="00E664EF"/>
    <w:rsid w:val="00E6678C"/>
    <w:rsid w:val="00E66791"/>
    <w:rsid w:val="00E66820"/>
    <w:rsid w:val="00E6682B"/>
    <w:rsid w:val="00E66968"/>
    <w:rsid w:val="00E672E1"/>
    <w:rsid w:val="00E67344"/>
    <w:rsid w:val="00E67413"/>
    <w:rsid w:val="00E679FC"/>
    <w:rsid w:val="00E67D41"/>
    <w:rsid w:val="00E67D46"/>
    <w:rsid w:val="00E67FCF"/>
    <w:rsid w:val="00E70065"/>
    <w:rsid w:val="00E70129"/>
    <w:rsid w:val="00E70401"/>
    <w:rsid w:val="00E704BC"/>
    <w:rsid w:val="00E70557"/>
    <w:rsid w:val="00E706D8"/>
    <w:rsid w:val="00E70743"/>
    <w:rsid w:val="00E7080E"/>
    <w:rsid w:val="00E709CF"/>
    <w:rsid w:val="00E70B4E"/>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2E96"/>
    <w:rsid w:val="00E7321A"/>
    <w:rsid w:val="00E7343D"/>
    <w:rsid w:val="00E7357A"/>
    <w:rsid w:val="00E7368C"/>
    <w:rsid w:val="00E73758"/>
    <w:rsid w:val="00E73A63"/>
    <w:rsid w:val="00E73B34"/>
    <w:rsid w:val="00E73B57"/>
    <w:rsid w:val="00E74103"/>
    <w:rsid w:val="00E7419E"/>
    <w:rsid w:val="00E7427C"/>
    <w:rsid w:val="00E743C1"/>
    <w:rsid w:val="00E74403"/>
    <w:rsid w:val="00E74475"/>
    <w:rsid w:val="00E745C0"/>
    <w:rsid w:val="00E745FA"/>
    <w:rsid w:val="00E74676"/>
    <w:rsid w:val="00E746AE"/>
    <w:rsid w:val="00E74CC2"/>
    <w:rsid w:val="00E74CE1"/>
    <w:rsid w:val="00E74D67"/>
    <w:rsid w:val="00E74DD5"/>
    <w:rsid w:val="00E75148"/>
    <w:rsid w:val="00E7520A"/>
    <w:rsid w:val="00E752EF"/>
    <w:rsid w:val="00E7562B"/>
    <w:rsid w:val="00E7572A"/>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7A"/>
    <w:rsid w:val="00E770A7"/>
    <w:rsid w:val="00E77423"/>
    <w:rsid w:val="00E774F6"/>
    <w:rsid w:val="00E77561"/>
    <w:rsid w:val="00E775C5"/>
    <w:rsid w:val="00E779C9"/>
    <w:rsid w:val="00E77C49"/>
    <w:rsid w:val="00E77CA7"/>
    <w:rsid w:val="00E77CCB"/>
    <w:rsid w:val="00E77E57"/>
    <w:rsid w:val="00E80378"/>
    <w:rsid w:val="00E80509"/>
    <w:rsid w:val="00E80741"/>
    <w:rsid w:val="00E80B25"/>
    <w:rsid w:val="00E80D35"/>
    <w:rsid w:val="00E80E66"/>
    <w:rsid w:val="00E813AB"/>
    <w:rsid w:val="00E813B7"/>
    <w:rsid w:val="00E8146D"/>
    <w:rsid w:val="00E815C8"/>
    <w:rsid w:val="00E81657"/>
    <w:rsid w:val="00E816C0"/>
    <w:rsid w:val="00E8173A"/>
    <w:rsid w:val="00E81DE3"/>
    <w:rsid w:val="00E81FFC"/>
    <w:rsid w:val="00E820FA"/>
    <w:rsid w:val="00E821DE"/>
    <w:rsid w:val="00E82585"/>
    <w:rsid w:val="00E8271A"/>
    <w:rsid w:val="00E82765"/>
    <w:rsid w:val="00E82C63"/>
    <w:rsid w:val="00E82CBC"/>
    <w:rsid w:val="00E82D8F"/>
    <w:rsid w:val="00E82E09"/>
    <w:rsid w:val="00E82EA9"/>
    <w:rsid w:val="00E82F4D"/>
    <w:rsid w:val="00E82FEA"/>
    <w:rsid w:val="00E832D2"/>
    <w:rsid w:val="00E83521"/>
    <w:rsid w:val="00E83787"/>
    <w:rsid w:val="00E83879"/>
    <w:rsid w:val="00E83A68"/>
    <w:rsid w:val="00E83BA7"/>
    <w:rsid w:val="00E83BC6"/>
    <w:rsid w:val="00E84560"/>
    <w:rsid w:val="00E8486A"/>
    <w:rsid w:val="00E8489F"/>
    <w:rsid w:val="00E84AFE"/>
    <w:rsid w:val="00E84E40"/>
    <w:rsid w:val="00E84E95"/>
    <w:rsid w:val="00E8519E"/>
    <w:rsid w:val="00E8529E"/>
    <w:rsid w:val="00E85384"/>
    <w:rsid w:val="00E85388"/>
    <w:rsid w:val="00E855CA"/>
    <w:rsid w:val="00E85610"/>
    <w:rsid w:val="00E85A7B"/>
    <w:rsid w:val="00E85AB2"/>
    <w:rsid w:val="00E85BBF"/>
    <w:rsid w:val="00E85D61"/>
    <w:rsid w:val="00E8605E"/>
    <w:rsid w:val="00E86383"/>
    <w:rsid w:val="00E86867"/>
    <w:rsid w:val="00E86D7A"/>
    <w:rsid w:val="00E86FC9"/>
    <w:rsid w:val="00E8713F"/>
    <w:rsid w:val="00E87259"/>
    <w:rsid w:val="00E87325"/>
    <w:rsid w:val="00E87409"/>
    <w:rsid w:val="00E8742B"/>
    <w:rsid w:val="00E875E8"/>
    <w:rsid w:val="00E87A0C"/>
    <w:rsid w:val="00E87B54"/>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834"/>
    <w:rsid w:val="00E93AF5"/>
    <w:rsid w:val="00E93BA6"/>
    <w:rsid w:val="00E93C74"/>
    <w:rsid w:val="00E93EA7"/>
    <w:rsid w:val="00E940AD"/>
    <w:rsid w:val="00E941AB"/>
    <w:rsid w:val="00E9426A"/>
    <w:rsid w:val="00E9470D"/>
    <w:rsid w:val="00E948C4"/>
    <w:rsid w:val="00E949F3"/>
    <w:rsid w:val="00E94C39"/>
    <w:rsid w:val="00E94D79"/>
    <w:rsid w:val="00E94ED7"/>
    <w:rsid w:val="00E9532F"/>
    <w:rsid w:val="00E95401"/>
    <w:rsid w:val="00E95D9E"/>
    <w:rsid w:val="00E96134"/>
    <w:rsid w:val="00E9634D"/>
    <w:rsid w:val="00E964E3"/>
    <w:rsid w:val="00E96533"/>
    <w:rsid w:val="00E965EF"/>
    <w:rsid w:val="00E9660F"/>
    <w:rsid w:val="00E96A40"/>
    <w:rsid w:val="00E96B19"/>
    <w:rsid w:val="00E96BC4"/>
    <w:rsid w:val="00E96F4E"/>
    <w:rsid w:val="00E97333"/>
    <w:rsid w:val="00E975E2"/>
    <w:rsid w:val="00E97739"/>
    <w:rsid w:val="00E977BA"/>
    <w:rsid w:val="00E979CD"/>
    <w:rsid w:val="00E97ED6"/>
    <w:rsid w:val="00E97F7F"/>
    <w:rsid w:val="00E97FD3"/>
    <w:rsid w:val="00E97FFA"/>
    <w:rsid w:val="00EA016D"/>
    <w:rsid w:val="00EA0897"/>
    <w:rsid w:val="00EA096C"/>
    <w:rsid w:val="00EA0976"/>
    <w:rsid w:val="00EA09BB"/>
    <w:rsid w:val="00EA0A58"/>
    <w:rsid w:val="00EA0D89"/>
    <w:rsid w:val="00EA0DCA"/>
    <w:rsid w:val="00EA0DCB"/>
    <w:rsid w:val="00EA0E86"/>
    <w:rsid w:val="00EA0F32"/>
    <w:rsid w:val="00EA0F7C"/>
    <w:rsid w:val="00EA1326"/>
    <w:rsid w:val="00EA13CE"/>
    <w:rsid w:val="00EA14A8"/>
    <w:rsid w:val="00EA14E8"/>
    <w:rsid w:val="00EA152F"/>
    <w:rsid w:val="00EA1588"/>
    <w:rsid w:val="00EA1594"/>
    <w:rsid w:val="00EA173F"/>
    <w:rsid w:val="00EA1B79"/>
    <w:rsid w:val="00EA1DA0"/>
    <w:rsid w:val="00EA1ECA"/>
    <w:rsid w:val="00EA202C"/>
    <w:rsid w:val="00EA22E0"/>
    <w:rsid w:val="00EA234B"/>
    <w:rsid w:val="00EA23AC"/>
    <w:rsid w:val="00EA2596"/>
    <w:rsid w:val="00EA2761"/>
    <w:rsid w:val="00EA27CD"/>
    <w:rsid w:val="00EA286C"/>
    <w:rsid w:val="00EA28F7"/>
    <w:rsid w:val="00EA2B3F"/>
    <w:rsid w:val="00EA3114"/>
    <w:rsid w:val="00EA31E5"/>
    <w:rsid w:val="00EA3447"/>
    <w:rsid w:val="00EA393B"/>
    <w:rsid w:val="00EA3A89"/>
    <w:rsid w:val="00EA3BE3"/>
    <w:rsid w:val="00EA3C64"/>
    <w:rsid w:val="00EA3D89"/>
    <w:rsid w:val="00EA414E"/>
    <w:rsid w:val="00EA4273"/>
    <w:rsid w:val="00EA465B"/>
    <w:rsid w:val="00EA488F"/>
    <w:rsid w:val="00EA4C70"/>
    <w:rsid w:val="00EA4DC7"/>
    <w:rsid w:val="00EA5186"/>
    <w:rsid w:val="00EA521E"/>
    <w:rsid w:val="00EA52A5"/>
    <w:rsid w:val="00EA5561"/>
    <w:rsid w:val="00EA568D"/>
    <w:rsid w:val="00EA576C"/>
    <w:rsid w:val="00EA57F2"/>
    <w:rsid w:val="00EA580F"/>
    <w:rsid w:val="00EA581E"/>
    <w:rsid w:val="00EA5898"/>
    <w:rsid w:val="00EA58AA"/>
    <w:rsid w:val="00EA5B6B"/>
    <w:rsid w:val="00EA5D1F"/>
    <w:rsid w:val="00EA5E03"/>
    <w:rsid w:val="00EA5E2F"/>
    <w:rsid w:val="00EA5EA6"/>
    <w:rsid w:val="00EA5F57"/>
    <w:rsid w:val="00EA5FEA"/>
    <w:rsid w:val="00EA61CE"/>
    <w:rsid w:val="00EA61FC"/>
    <w:rsid w:val="00EA66C2"/>
    <w:rsid w:val="00EA676A"/>
    <w:rsid w:val="00EA6856"/>
    <w:rsid w:val="00EA69AB"/>
    <w:rsid w:val="00EA6A25"/>
    <w:rsid w:val="00EA6DF1"/>
    <w:rsid w:val="00EA6F3F"/>
    <w:rsid w:val="00EA717A"/>
    <w:rsid w:val="00EA74DA"/>
    <w:rsid w:val="00EA7617"/>
    <w:rsid w:val="00EA7803"/>
    <w:rsid w:val="00EA787C"/>
    <w:rsid w:val="00EA78D2"/>
    <w:rsid w:val="00EA7949"/>
    <w:rsid w:val="00EA7A88"/>
    <w:rsid w:val="00EA7B2E"/>
    <w:rsid w:val="00EA7BFB"/>
    <w:rsid w:val="00EA7EA2"/>
    <w:rsid w:val="00EA7F97"/>
    <w:rsid w:val="00EB0046"/>
    <w:rsid w:val="00EB008D"/>
    <w:rsid w:val="00EB00FF"/>
    <w:rsid w:val="00EB0151"/>
    <w:rsid w:val="00EB0705"/>
    <w:rsid w:val="00EB07CF"/>
    <w:rsid w:val="00EB08A1"/>
    <w:rsid w:val="00EB08BE"/>
    <w:rsid w:val="00EB0CD0"/>
    <w:rsid w:val="00EB0D84"/>
    <w:rsid w:val="00EB10CE"/>
    <w:rsid w:val="00EB1140"/>
    <w:rsid w:val="00EB182B"/>
    <w:rsid w:val="00EB1838"/>
    <w:rsid w:val="00EB1A91"/>
    <w:rsid w:val="00EB1DFB"/>
    <w:rsid w:val="00EB1E44"/>
    <w:rsid w:val="00EB20B4"/>
    <w:rsid w:val="00EB21BB"/>
    <w:rsid w:val="00EB21F3"/>
    <w:rsid w:val="00EB21F6"/>
    <w:rsid w:val="00EB25D5"/>
    <w:rsid w:val="00EB270B"/>
    <w:rsid w:val="00EB27FA"/>
    <w:rsid w:val="00EB2805"/>
    <w:rsid w:val="00EB285F"/>
    <w:rsid w:val="00EB28D4"/>
    <w:rsid w:val="00EB2ACF"/>
    <w:rsid w:val="00EB2F94"/>
    <w:rsid w:val="00EB2F95"/>
    <w:rsid w:val="00EB3063"/>
    <w:rsid w:val="00EB31DE"/>
    <w:rsid w:val="00EB32EF"/>
    <w:rsid w:val="00EB34B4"/>
    <w:rsid w:val="00EB3593"/>
    <w:rsid w:val="00EB39F5"/>
    <w:rsid w:val="00EB3A4A"/>
    <w:rsid w:val="00EB3D75"/>
    <w:rsid w:val="00EB40E6"/>
    <w:rsid w:val="00EB43F0"/>
    <w:rsid w:val="00EB4477"/>
    <w:rsid w:val="00EB4675"/>
    <w:rsid w:val="00EB47A0"/>
    <w:rsid w:val="00EB4809"/>
    <w:rsid w:val="00EB4A2A"/>
    <w:rsid w:val="00EB4A72"/>
    <w:rsid w:val="00EB4B3A"/>
    <w:rsid w:val="00EB4CCE"/>
    <w:rsid w:val="00EB4D57"/>
    <w:rsid w:val="00EB4EE8"/>
    <w:rsid w:val="00EB4FEA"/>
    <w:rsid w:val="00EB57B7"/>
    <w:rsid w:val="00EB58A3"/>
    <w:rsid w:val="00EB590A"/>
    <w:rsid w:val="00EB5D78"/>
    <w:rsid w:val="00EB5F3C"/>
    <w:rsid w:val="00EB606B"/>
    <w:rsid w:val="00EB60D8"/>
    <w:rsid w:val="00EB61BA"/>
    <w:rsid w:val="00EB62F9"/>
    <w:rsid w:val="00EB6431"/>
    <w:rsid w:val="00EB64F9"/>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CE"/>
    <w:rsid w:val="00EB7AFD"/>
    <w:rsid w:val="00EB7D64"/>
    <w:rsid w:val="00EC01C9"/>
    <w:rsid w:val="00EC01DF"/>
    <w:rsid w:val="00EC0439"/>
    <w:rsid w:val="00EC0447"/>
    <w:rsid w:val="00EC0561"/>
    <w:rsid w:val="00EC0C73"/>
    <w:rsid w:val="00EC0CC3"/>
    <w:rsid w:val="00EC0D2F"/>
    <w:rsid w:val="00EC0DEB"/>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770"/>
    <w:rsid w:val="00EC2C44"/>
    <w:rsid w:val="00EC2D6E"/>
    <w:rsid w:val="00EC3082"/>
    <w:rsid w:val="00EC311E"/>
    <w:rsid w:val="00EC3397"/>
    <w:rsid w:val="00EC359D"/>
    <w:rsid w:val="00EC3740"/>
    <w:rsid w:val="00EC3831"/>
    <w:rsid w:val="00EC38B2"/>
    <w:rsid w:val="00EC3AD2"/>
    <w:rsid w:val="00EC3AE1"/>
    <w:rsid w:val="00EC3EA0"/>
    <w:rsid w:val="00EC3FE0"/>
    <w:rsid w:val="00EC426B"/>
    <w:rsid w:val="00EC43EC"/>
    <w:rsid w:val="00EC4BB1"/>
    <w:rsid w:val="00EC4D4D"/>
    <w:rsid w:val="00EC5089"/>
    <w:rsid w:val="00EC50DF"/>
    <w:rsid w:val="00EC5244"/>
    <w:rsid w:val="00EC5275"/>
    <w:rsid w:val="00EC5286"/>
    <w:rsid w:val="00EC58F3"/>
    <w:rsid w:val="00EC5919"/>
    <w:rsid w:val="00EC5AA6"/>
    <w:rsid w:val="00EC5AA9"/>
    <w:rsid w:val="00EC5B45"/>
    <w:rsid w:val="00EC5ED8"/>
    <w:rsid w:val="00EC5F2D"/>
    <w:rsid w:val="00EC60C9"/>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6DE"/>
    <w:rsid w:val="00EC770A"/>
    <w:rsid w:val="00EC782C"/>
    <w:rsid w:val="00EC7891"/>
    <w:rsid w:val="00EC78B2"/>
    <w:rsid w:val="00EC78E7"/>
    <w:rsid w:val="00EC7B5B"/>
    <w:rsid w:val="00EC7BE1"/>
    <w:rsid w:val="00EC7D58"/>
    <w:rsid w:val="00EC7F27"/>
    <w:rsid w:val="00EC7FB5"/>
    <w:rsid w:val="00EC7FC2"/>
    <w:rsid w:val="00EC7FC3"/>
    <w:rsid w:val="00EC7FD3"/>
    <w:rsid w:val="00ED0433"/>
    <w:rsid w:val="00ED0453"/>
    <w:rsid w:val="00ED04AB"/>
    <w:rsid w:val="00ED064E"/>
    <w:rsid w:val="00ED0667"/>
    <w:rsid w:val="00ED06F8"/>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877"/>
    <w:rsid w:val="00ED198E"/>
    <w:rsid w:val="00ED19BF"/>
    <w:rsid w:val="00ED1CC2"/>
    <w:rsid w:val="00ED1E04"/>
    <w:rsid w:val="00ED2300"/>
    <w:rsid w:val="00ED2733"/>
    <w:rsid w:val="00ED2774"/>
    <w:rsid w:val="00ED27EE"/>
    <w:rsid w:val="00ED2904"/>
    <w:rsid w:val="00ED2A18"/>
    <w:rsid w:val="00ED2A4E"/>
    <w:rsid w:val="00ED2BD9"/>
    <w:rsid w:val="00ED2E8E"/>
    <w:rsid w:val="00ED2EA6"/>
    <w:rsid w:val="00ED3439"/>
    <w:rsid w:val="00ED3538"/>
    <w:rsid w:val="00ED35A7"/>
    <w:rsid w:val="00ED35BA"/>
    <w:rsid w:val="00ED36B5"/>
    <w:rsid w:val="00ED3702"/>
    <w:rsid w:val="00ED373D"/>
    <w:rsid w:val="00ED382D"/>
    <w:rsid w:val="00ED3A0C"/>
    <w:rsid w:val="00ED3A83"/>
    <w:rsid w:val="00ED3AFC"/>
    <w:rsid w:val="00ED3C90"/>
    <w:rsid w:val="00ED3D0F"/>
    <w:rsid w:val="00ED3D9B"/>
    <w:rsid w:val="00ED3E2F"/>
    <w:rsid w:val="00ED3F25"/>
    <w:rsid w:val="00ED410E"/>
    <w:rsid w:val="00ED4620"/>
    <w:rsid w:val="00ED4C3E"/>
    <w:rsid w:val="00ED4C6E"/>
    <w:rsid w:val="00ED4DCE"/>
    <w:rsid w:val="00ED4EC4"/>
    <w:rsid w:val="00ED4F8B"/>
    <w:rsid w:val="00ED5155"/>
    <w:rsid w:val="00ED51AE"/>
    <w:rsid w:val="00ED520D"/>
    <w:rsid w:val="00ED5276"/>
    <w:rsid w:val="00ED572C"/>
    <w:rsid w:val="00ED5828"/>
    <w:rsid w:val="00ED584C"/>
    <w:rsid w:val="00ED595A"/>
    <w:rsid w:val="00ED5FA3"/>
    <w:rsid w:val="00ED6444"/>
    <w:rsid w:val="00ED663B"/>
    <w:rsid w:val="00ED6970"/>
    <w:rsid w:val="00ED6B97"/>
    <w:rsid w:val="00ED6F74"/>
    <w:rsid w:val="00ED7480"/>
    <w:rsid w:val="00ED74BB"/>
    <w:rsid w:val="00ED75C2"/>
    <w:rsid w:val="00ED7603"/>
    <w:rsid w:val="00ED7813"/>
    <w:rsid w:val="00ED78AD"/>
    <w:rsid w:val="00ED7A24"/>
    <w:rsid w:val="00ED7B9F"/>
    <w:rsid w:val="00ED7C05"/>
    <w:rsid w:val="00ED7D47"/>
    <w:rsid w:val="00EE0029"/>
    <w:rsid w:val="00EE0039"/>
    <w:rsid w:val="00EE03A7"/>
    <w:rsid w:val="00EE0E5C"/>
    <w:rsid w:val="00EE10D6"/>
    <w:rsid w:val="00EE13AC"/>
    <w:rsid w:val="00EE1618"/>
    <w:rsid w:val="00EE1877"/>
    <w:rsid w:val="00EE1B58"/>
    <w:rsid w:val="00EE1D8F"/>
    <w:rsid w:val="00EE1F26"/>
    <w:rsid w:val="00EE23B8"/>
    <w:rsid w:val="00EE23D9"/>
    <w:rsid w:val="00EE25D4"/>
    <w:rsid w:val="00EE2897"/>
    <w:rsid w:val="00EE28D4"/>
    <w:rsid w:val="00EE28E3"/>
    <w:rsid w:val="00EE291A"/>
    <w:rsid w:val="00EE2B5A"/>
    <w:rsid w:val="00EE364E"/>
    <w:rsid w:val="00EE3B8B"/>
    <w:rsid w:val="00EE4126"/>
    <w:rsid w:val="00EE4A06"/>
    <w:rsid w:val="00EE4A3B"/>
    <w:rsid w:val="00EE4B2C"/>
    <w:rsid w:val="00EE4E65"/>
    <w:rsid w:val="00EE4F87"/>
    <w:rsid w:val="00EE4FB1"/>
    <w:rsid w:val="00EE5282"/>
    <w:rsid w:val="00EE530B"/>
    <w:rsid w:val="00EE5525"/>
    <w:rsid w:val="00EE56F8"/>
    <w:rsid w:val="00EE5A2F"/>
    <w:rsid w:val="00EE5A92"/>
    <w:rsid w:val="00EE5B23"/>
    <w:rsid w:val="00EE5BC5"/>
    <w:rsid w:val="00EE60B6"/>
    <w:rsid w:val="00EE61A2"/>
    <w:rsid w:val="00EE63C6"/>
    <w:rsid w:val="00EE63E5"/>
    <w:rsid w:val="00EE665E"/>
    <w:rsid w:val="00EE6907"/>
    <w:rsid w:val="00EE6E01"/>
    <w:rsid w:val="00EE71CF"/>
    <w:rsid w:val="00EE72A6"/>
    <w:rsid w:val="00EE73D8"/>
    <w:rsid w:val="00EE7454"/>
    <w:rsid w:val="00EE7490"/>
    <w:rsid w:val="00EE75E5"/>
    <w:rsid w:val="00EE7977"/>
    <w:rsid w:val="00EE7990"/>
    <w:rsid w:val="00EE7B44"/>
    <w:rsid w:val="00EE7B53"/>
    <w:rsid w:val="00EE7BD0"/>
    <w:rsid w:val="00EE7C14"/>
    <w:rsid w:val="00EE7F1D"/>
    <w:rsid w:val="00EF01CD"/>
    <w:rsid w:val="00EF02B0"/>
    <w:rsid w:val="00EF0384"/>
    <w:rsid w:val="00EF0509"/>
    <w:rsid w:val="00EF0786"/>
    <w:rsid w:val="00EF07A7"/>
    <w:rsid w:val="00EF08AF"/>
    <w:rsid w:val="00EF0BA9"/>
    <w:rsid w:val="00EF0CD9"/>
    <w:rsid w:val="00EF1647"/>
    <w:rsid w:val="00EF1672"/>
    <w:rsid w:val="00EF1806"/>
    <w:rsid w:val="00EF187B"/>
    <w:rsid w:val="00EF1AED"/>
    <w:rsid w:val="00EF1E30"/>
    <w:rsid w:val="00EF2299"/>
    <w:rsid w:val="00EF236E"/>
    <w:rsid w:val="00EF24B1"/>
    <w:rsid w:val="00EF24BC"/>
    <w:rsid w:val="00EF25EA"/>
    <w:rsid w:val="00EF282F"/>
    <w:rsid w:val="00EF288F"/>
    <w:rsid w:val="00EF2994"/>
    <w:rsid w:val="00EF2A94"/>
    <w:rsid w:val="00EF2ACF"/>
    <w:rsid w:val="00EF2B5D"/>
    <w:rsid w:val="00EF2CFA"/>
    <w:rsid w:val="00EF2E96"/>
    <w:rsid w:val="00EF315B"/>
    <w:rsid w:val="00EF355E"/>
    <w:rsid w:val="00EF3569"/>
    <w:rsid w:val="00EF35F4"/>
    <w:rsid w:val="00EF35F6"/>
    <w:rsid w:val="00EF361C"/>
    <w:rsid w:val="00EF36A9"/>
    <w:rsid w:val="00EF3700"/>
    <w:rsid w:val="00EF3900"/>
    <w:rsid w:val="00EF3B94"/>
    <w:rsid w:val="00EF3DBE"/>
    <w:rsid w:val="00EF3E1E"/>
    <w:rsid w:val="00EF401B"/>
    <w:rsid w:val="00EF4264"/>
    <w:rsid w:val="00EF4373"/>
    <w:rsid w:val="00EF4629"/>
    <w:rsid w:val="00EF4868"/>
    <w:rsid w:val="00EF4957"/>
    <w:rsid w:val="00EF4B0E"/>
    <w:rsid w:val="00EF4DCE"/>
    <w:rsid w:val="00EF4EF8"/>
    <w:rsid w:val="00EF5030"/>
    <w:rsid w:val="00EF50A3"/>
    <w:rsid w:val="00EF527E"/>
    <w:rsid w:val="00EF5493"/>
    <w:rsid w:val="00EF54A3"/>
    <w:rsid w:val="00EF54FD"/>
    <w:rsid w:val="00EF5AE4"/>
    <w:rsid w:val="00EF5C0E"/>
    <w:rsid w:val="00EF5E2D"/>
    <w:rsid w:val="00EF5E78"/>
    <w:rsid w:val="00EF5FA1"/>
    <w:rsid w:val="00EF61AB"/>
    <w:rsid w:val="00EF6384"/>
    <w:rsid w:val="00EF6731"/>
    <w:rsid w:val="00EF687E"/>
    <w:rsid w:val="00EF6A56"/>
    <w:rsid w:val="00EF6A9C"/>
    <w:rsid w:val="00EF6A9D"/>
    <w:rsid w:val="00EF6C74"/>
    <w:rsid w:val="00EF6DB0"/>
    <w:rsid w:val="00EF6DE4"/>
    <w:rsid w:val="00EF7054"/>
    <w:rsid w:val="00EF72F9"/>
    <w:rsid w:val="00EF73E1"/>
    <w:rsid w:val="00EF769A"/>
    <w:rsid w:val="00EF76BB"/>
    <w:rsid w:val="00EF7B8A"/>
    <w:rsid w:val="00EF7BA7"/>
    <w:rsid w:val="00EF7C76"/>
    <w:rsid w:val="00EF7DEC"/>
    <w:rsid w:val="00EF7E36"/>
    <w:rsid w:val="00EF7E82"/>
    <w:rsid w:val="00EF7EAD"/>
    <w:rsid w:val="00F001BB"/>
    <w:rsid w:val="00F00235"/>
    <w:rsid w:val="00F0048E"/>
    <w:rsid w:val="00F00624"/>
    <w:rsid w:val="00F00978"/>
    <w:rsid w:val="00F00B14"/>
    <w:rsid w:val="00F00C40"/>
    <w:rsid w:val="00F00EB8"/>
    <w:rsid w:val="00F00ECF"/>
    <w:rsid w:val="00F01154"/>
    <w:rsid w:val="00F01160"/>
    <w:rsid w:val="00F011AB"/>
    <w:rsid w:val="00F01231"/>
    <w:rsid w:val="00F012D7"/>
    <w:rsid w:val="00F014F1"/>
    <w:rsid w:val="00F01617"/>
    <w:rsid w:val="00F0171A"/>
    <w:rsid w:val="00F019EA"/>
    <w:rsid w:val="00F01ACC"/>
    <w:rsid w:val="00F01B1D"/>
    <w:rsid w:val="00F01B86"/>
    <w:rsid w:val="00F01E3A"/>
    <w:rsid w:val="00F01E8A"/>
    <w:rsid w:val="00F01E99"/>
    <w:rsid w:val="00F01FE9"/>
    <w:rsid w:val="00F02167"/>
    <w:rsid w:val="00F02299"/>
    <w:rsid w:val="00F022DA"/>
    <w:rsid w:val="00F023A4"/>
    <w:rsid w:val="00F0273D"/>
    <w:rsid w:val="00F027CC"/>
    <w:rsid w:val="00F0281A"/>
    <w:rsid w:val="00F028F1"/>
    <w:rsid w:val="00F0296C"/>
    <w:rsid w:val="00F02A24"/>
    <w:rsid w:val="00F02B50"/>
    <w:rsid w:val="00F02D99"/>
    <w:rsid w:val="00F0328D"/>
    <w:rsid w:val="00F032A5"/>
    <w:rsid w:val="00F03686"/>
    <w:rsid w:val="00F03B04"/>
    <w:rsid w:val="00F03BAA"/>
    <w:rsid w:val="00F03DE7"/>
    <w:rsid w:val="00F04664"/>
    <w:rsid w:val="00F04805"/>
    <w:rsid w:val="00F0485B"/>
    <w:rsid w:val="00F04921"/>
    <w:rsid w:val="00F04B46"/>
    <w:rsid w:val="00F04BC3"/>
    <w:rsid w:val="00F04BE9"/>
    <w:rsid w:val="00F04E1A"/>
    <w:rsid w:val="00F051DA"/>
    <w:rsid w:val="00F05261"/>
    <w:rsid w:val="00F054CD"/>
    <w:rsid w:val="00F0566F"/>
    <w:rsid w:val="00F05915"/>
    <w:rsid w:val="00F05A05"/>
    <w:rsid w:val="00F05E3E"/>
    <w:rsid w:val="00F06188"/>
    <w:rsid w:val="00F0650B"/>
    <w:rsid w:val="00F0679C"/>
    <w:rsid w:val="00F0685C"/>
    <w:rsid w:val="00F068FE"/>
    <w:rsid w:val="00F06CE7"/>
    <w:rsid w:val="00F06F70"/>
    <w:rsid w:val="00F06F82"/>
    <w:rsid w:val="00F073CE"/>
    <w:rsid w:val="00F074B1"/>
    <w:rsid w:val="00F07533"/>
    <w:rsid w:val="00F07712"/>
    <w:rsid w:val="00F078A6"/>
    <w:rsid w:val="00F07951"/>
    <w:rsid w:val="00F07E4F"/>
    <w:rsid w:val="00F07ECA"/>
    <w:rsid w:val="00F07ECC"/>
    <w:rsid w:val="00F1002B"/>
    <w:rsid w:val="00F10240"/>
    <w:rsid w:val="00F1027A"/>
    <w:rsid w:val="00F10871"/>
    <w:rsid w:val="00F10AD7"/>
    <w:rsid w:val="00F10CF6"/>
    <w:rsid w:val="00F10D21"/>
    <w:rsid w:val="00F10DD3"/>
    <w:rsid w:val="00F10DED"/>
    <w:rsid w:val="00F10F18"/>
    <w:rsid w:val="00F1144A"/>
    <w:rsid w:val="00F11905"/>
    <w:rsid w:val="00F11A3B"/>
    <w:rsid w:val="00F11B5D"/>
    <w:rsid w:val="00F11C59"/>
    <w:rsid w:val="00F1211C"/>
    <w:rsid w:val="00F124E0"/>
    <w:rsid w:val="00F12BCD"/>
    <w:rsid w:val="00F12DB3"/>
    <w:rsid w:val="00F12E48"/>
    <w:rsid w:val="00F12EA7"/>
    <w:rsid w:val="00F13134"/>
    <w:rsid w:val="00F1366B"/>
    <w:rsid w:val="00F138E7"/>
    <w:rsid w:val="00F138F7"/>
    <w:rsid w:val="00F13ACB"/>
    <w:rsid w:val="00F13AFB"/>
    <w:rsid w:val="00F13B4E"/>
    <w:rsid w:val="00F13D53"/>
    <w:rsid w:val="00F13E0B"/>
    <w:rsid w:val="00F14013"/>
    <w:rsid w:val="00F141EB"/>
    <w:rsid w:val="00F14213"/>
    <w:rsid w:val="00F14503"/>
    <w:rsid w:val="00F145D3"/>
    <w:rsid w:val="00F146EB"/>
    <w:rsid w:val="00F14A82"/>
    <w:rsid w:val="00F14B0C"/>
    <w:rsid w:val="00F14DE1"/>
    <w:rsid w:val="00F1506A"/>
    <w:rsid w:val="00F151B0"/>
    <w:rsid w:val="00F1524D"/>
    <w:rsid w:val="00F1568E"/>
    <w:rsid w:val="00F15DC8"/>
    <w:rsid w:val="00F15E59"/>
    <w:rsid w:val="00F15E8D"/>
    <w:rsid w:val="00F15F2C"/>
    <w:rsid w:val="00F15FEC"/>
    <w:rsid w:val="00F15FFB"/>
    <w:rsid w:val="00F16135"/>
    <w:rsid w:val="00F161F7"/>
    <w:rsid w:val="00F163C0"/>
    <w:rsid w:val="00F163DF"/>
    <w:rsid w:val="00F164D6"/>
    <w:rsid w:val="00F168B6"/>
    <w:rsid w:val="00F169EB"/>
    <w:rsid w:val="00F16BEF"/>
    <w:rsid w:val="00F16C68"/>
    <w:rsid w:val="00F16CC4"/>
    <w:rsid w:val="00F1702B"/>
    <w:rsid w:val="00F17136"/>
    <w:rsid w:val="00F171F0"/>
    <w:rsid w:val="00F17810"/>
    <w:rsid w:val="00F17EFE"/>
    <w:rsid w:val="00F20171"/>
    <w:rsid w:val="00F2020D"/>
    <w:rsid w:val="00F20411"/>
    <w:rsid w:val="00F2062B"/>
    <w:rsid w:val="00F2087E"/>
    <w:rsid w:val="00F208B9"/>
    <w:rsid w:val="00F20B90"/>
    <w:rsid w:val="00F20D1B"/>
    <w:rsid w:val="00F211E9"/>
    <w:rsid w:val="00F217A6"/>
    <w:rsid w:val="00F21955"/>
    <w:rsid w:val="00F219F6"/>
    <w:rsid w:val="00F21D51"/>
    <w:rsid w:val="00F21E88"/>
    <w:rsid w:val="00F21EE7"/>
    <w:rsid w:val="00F22167"/>
    <w:rsid w:val="00F2229E"/>
    <w:rsid w:val="00F22337"/>
    <w:rsid w:val="00F22423"/>
    <w:rsid w:val="00F225C4"/>
    <w:rsid w:val="00F22723"/>
    <w:rsid w:val="00F22A65"/>
    <w:rsid w:val="00F22C30"/>
    <w:rsid w:val="00F22CA8"/>
    <w:rsid w:val="00F22F04"/>
    <w:rsid w:val="00F22F8F"/>
    <w:rsid w:val="00F23098"/>
    <w:rsid w:val="00F23109"/>
    <w:rsid w:val="00F23243"/>
    <w:rsid w:val="00F23276"/>
    <w:rsid w:val="00F23282"/>
    <w:rsid w:val="00F234CA"/>
    <w:rsid w:val="00F235B3"/>
    <w:rsid w:val="00F23716"/>
    <w:rsid w:val="00F237D8"/>
    <w:rsid w:val="00F2380D"/>
    <w:rsid w:val="00F23868"/>
    <w:rsid w:val="00F23AD3"/>
    <w:rsid w:val="00F23E43"/>
    <w:rsid w:val="00F24099"/>
    <w:rsid w:val="00F24480"/>
    <w:rsid w:val="00F2494C"/>
    <w:rsid w:val="00F24F3C"/>
    <w:rsid w:val="00F25503"/>
    <w:rsid w:val="00F2553D"/>
    <w:rsid w:val="00F25763"/>
    <w:rsid w:val="00F2589E"/>
    <w:rsid w:val="00F25BC4"/>
    <w:rsid w:val="00F25F4A"/>
    <w:rsid w:val="00F261CC"/>
    <w:rsid w:val="00F26300"/>
    <w:rsid w:val="00F2633A"/>
    <w:rsid w:val="00F26BB6"/>
    <w:rsid w:val="00F26CB8"/>
    <w:rsid w:val="00F2700F"/>
    <w:rsid w:val="00F2703B"/>
    <w:rsid w:val="00F27311"/>
    <w:rsid w:val="00F2757F"/>
    <w:rsid w:val="00F2760F"/>
    <w:rsid w:val="00F27869"/>
    <w:rsid w:val="00F27B68"/>
    <w:rsid w:val="00F27C54"/>
    <w:rsid w:val="00F30219"/>
    <w:rsid w:val="00F303B0"/>
    <w:rsid w:val="00F305BA"/>
    <w:rsid w:val="00F307E3"/>
    <w:rsid w:val="00F30959"/>
    <w:rsid w:val="00F3098C"/>
    <w:rsid w:val="00F30B8C"/>
    <w:rsid w:val="00F30F15"/>
    <w:rsid w:val="00F30F9C"/>
    <w:rsid w:val="00F31921"/>
    <w:rsid w:val="00F31AE9"/>
    <w:rsid w:val="00F31B3E"/>
    <w:rsid w:val="00F31DAC"/>
    <w:rsid w:val="00F31E7D"/>
    <w:rsid w:val="00F31ED7"/>
    <w:rsid w:val="00F3210F"/>
    <w:rsid w:val="00F32160"/>
    <w:rsid w:val="00F321E8"/>
    <w:rsid w:val="00F32711"/>
    <w:rsid w:val="00F3289B"/>
    <w:rsid w:val="00F328C0"/>
    <w:rsid w:val="00F32B1D"/>
    <w:rsid w:val="00F32D42"/>
    <w:rsid w:val="00F32F9D"/>
    <w:rsid w:val="00F33222"/>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D45"/>
    <w:rsid w:val="00F34EC6"/>
    <w:rsid w:val="00F34F10"/>
    <w:rsid w:val="00F34FDD"/>
    <w:rsid w:val="00F3520A"/>
    <w:rsid w:val="00F35218"/>
    <w:rsid w:val="00F356A9"/>
    <w:rsid w:val="00F3571B"/>
    <w:rsid w:val="00F3576A"/>
    <w:rsid w:val="00F35F37"/>
    <w:rsid w:val="00F35FDB"/>
    <w:rsid w:val="00F3614C"/>
    <w:rsid w:val="00F3625F"/>
    <w:rsid w:val="00F364DD"/>
    <w:rsid w:val="00F364FB"/>
    <w:rsid w:val="00F3670A"/>
    <w:rsid w:val="00F36964"/>
    <w:rsid w:val="00F36B73"/>
    <w:rsid w:val="00F36CE7"/>
    <w:rsid w:val="00F36DA4"/>
    <w:rsid w:val="00F36E09"/>
    <w:rsid w:val="00F36FD4"/>
    <w:rsid w:val="00F370D1"/>
    <w:rsid w:val="00F37561"/>
    <w:rsid w:val="00F3768F"/>
    <w:rsid w:val="00F376F8"/>
    <w:rsid w:val="00F37760"/>
    <w:rsid w:val="00F378EA"/>
    <w:rsid w:val="00F37A2D"/>
    <w:rsid w:val="00F37C0F"/>
    <w:rsid w:val="00F37D7C"/>
    <w:rsid w:val="00F37E05"/>
    <w:rsid w:val="00F37E8B"/>
    <w:rsid w:val="00F4006B"/>
    <w:rsid w:val="00F400AA"/>
    <w:rsid w:val="00F40234"/>
    <w:rsid w:val="00F40647"/>
    <w:rsid w:val="00F4067C"/>
    <w:rsid w:val="00F40866"/>
    <w:rsid w:val="00F408AF"/>
    <w:rsid w:val="00F409E7"/>
    <w:rsid w:val="00F40BC3"/>
    <w:rsid w:val="00F40BFC"/>
    <w:rsid w:val="00F40CA5"/>
    <w:rsid w:val="00F41152"/>
    <w:rsid w:val="00F4115B"/>
    <w:rsid w:val="00F41710"/>
    <w:rsid w:val="00F4197D"/>
    <w:rsid w:val="00F41B6D"/>
    <w:rsid w:val="00F41B80"/>
    <w:rsid w:val="00F41E0D"/>
    <w:rsid w:val="00F421B9"/>
    <w:rsid w:val="00F42393"/>
    <w:rsid w:val="00F427A3"/>
    <w:rsid w:val="00F42918"/>
    <w:rsid w:val="00F4299C"/>
    <w:rsid w:val="00F42BCB"/>
    <w:rsid w:val="00F42C61"/>
    <w:rsid w:val="00F42D54"/>
    <w:rsid w:val="00F42DD6"/>
    <w:rsid w:val="00F42E49"/>
    <w:rsid w:val="00F42F6A"/>
    <w:rsid w:val="00F432B1"/>
    <w:rsid w:val="00F43537"/>
    <w:rsid w:val="00F435CE"/>
    <w:rsid w:val="00F436D6"/>
    <w:rsid w:val="00F43906"/>
    <w:rsid w:val="00F43C4E"/>
    <w:rsid w:val="00F43D16"/>
    <w:rsid w:val="00F43DCD"/>
    <w:rsid w:val="00F44113"/>
    <w:rsid w:val="00F4430A"/>
    <w:rsid w:val="00F4451B"/>
    <w:rsid w:val="00F4460F"/>
    <w:rsid w:val="00F446C9"/>
    <w:rsid w:val="00F447E8"/>
    <w:rsid w:val="00F4482F"/>
    <w:rsid w:val="00F44929"/>
    <w:rsid w:val="00F44C9E"/>
    <w:rsid w:val="00F44F15"/>
    <w:rsid w:val="00F454EC"/>
    <w:rsid w:val="00F4567B"/>
    <w:rsid w:val="00F4597B"/>
    <w:rsid w:val="00F45BB1"/>
    <w:rsid w:val="00F45D01"/>
    <w:rsid w:val="00F45DEF"/>
    <w:rsid w:val="00F45E43"/>
    <w:rsid w:val="00F45E9E"/>
    <w:rsid w:val="00F45EC2"/>
    <w:rsid w:val="00F45FB4"/>
    <w:rsid w:val="00F460D7"/>
    <w:rsid w:val="00F461A8"/>
    <w:rsid w:val="00F46242"/>
    <w:rsid w:val="00F462E4"/>
    <w:rsid w:val="00F46AA4"/>
    <w:rsid w:val="00F46BED"/>
    <w:rsid w:val="00F46F9A"/>
    <w:rsid w:val="00F470C9"/>
    <w:rsid w:val="00F4719D"/>
    <w:rsid w:val="00F471C8"/>
    <w:rsid w:val="00F473AA"/>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6F"/>
    <w:rsid w:val="00F51156"/>
    <w:rsid w:val="00F513E7"/>
    <w:rsid w:val="00F5154F"/>
    <w:rsid w:val="00F51647"/>
    <w:rsid w:val="00F5165B"/>
    <w:rsid w:val="00F5168F"/>
    <w:rsid w:val="00F51902"/>
    <w:rsid w:val="00F5190C"/>
    <w:rsid w:val="00F51A55"/>
    <w:rsid w:val="00F51BBE"/>
    <w:rsid w:val="00F522FE"/>
    <w:rsid w:val="00F52674"/>
    <w:rsid w:val="00F52BAE"/>
    <w:rsid w:val="00F52CAA"/>
    <w:rsid w:val="00F52DB9"/>
    <w:rsid w:val="00F53442"/>
    <w:rsid w:val="00F535A8"/>
    <w:rsid w:val="00F53672"/>
    <w:rsid w:val="00F53847"/>
    <w:rsid w:val="00F5394F"/>
    <w:rsid w:val="00F53AAB"/>
    <w:rsid w:val="00F53BDF"/>
    <w:rsid w:val="00F53CBD"/>
    <w:rsid w:val="00F53F1E"/>
    <w:rsid w:val="00F53F55"/>
    <w:rsid w:val="00F53FB7"/>
    <w:rsid w:val="00F5431B"/>
    <w:rsid w:val="00F5493E"/>
    <w:rsid w:val="00F54A61"/>
    <w:rsid w:val="00F54BBE"/>
    <w:rsid w:val="00F54FC3"/>
    <w:rsid w:val="00F54FD5"/>
    <w:rsid w:val="00F55325"/>
    <w:rsid w:val="00F55529"/>
    <w:rsid w:val="00F557F9"/>
    <w:rsid w:val="00F5585B"/>
    <w:rsid w:val="00F5590B"/>
    <w:rsid w:val="00F55948"/>
    <w:rsid w:val="00F55FC9"/>
    <w:rsid w:val="00F5618B"/>
    <w:rsid w:val="00F56490"/>
    <w:rsid w:val="00F565A6"/>
    <w:rsid w:val="00F5671E"/>
    <w:rsid w:val="00F5672A"/>
    <w:rsid w:val="00F56C8B"/>
    <w:rsid w:val="00F57096"/>
    <w:rsid w:val="00F57481"/>
    <w:rsid w:val="00F5752F"/>
    <w:rsid w:val="00F577B8"/>
    <w:rsid w:val="00F609DC"/>
    <w:rsid w:val="00F60B09"/>
    <w:rsid w:val="00F60D97"/>
    <w:rsid w:val="00F60DD1"/>
    <w:rsid w:val="00F61050"/>
    <w:rsid w:val="00F6107C"/>
    <w:rsid w:val="00F610E6"/>
    <w:rsid w:val="00F613E6"/>
    <w:rsid w:val="00F6148D"/>
    <w:rsid w:val="00F615CC"/>
    <w:rsid w:val="00F61900"/>
    <w:rsid w:val="00F61DB4"/>
    <w:rsid w:val="00F61E3B"/>
    <w:rsid w:val="00F620DA"/>
    <w:rsid w:val="00F6211E"/>
    <w:rsid w:val="00F6233A"/>
    <w:rsid w:val="00F624FF"/>
    <w:rsid w:val="00F62526"/>
    <w:rsid w:val="00F62644"/>
    <w:rsid w:val="00F62756"/>
    <w:rsid w:val="00F62843"/>
    <w:rsid w:val="00F62CC8"/>
    <w:rsid w:val="00F62FF7"/>
    <w:rsid w:val="00F631C2"/>
    <w:rsid w:val="00F63286"/>
    <w:rsid w:val="00F634C5"/>
    <w:rsid w:val="00F636CB"/>
    <w:rsid w:val="00F63DC9"/>
    <w:rsid w:val="00F64088"/>
    <w:rsid w:val="00F641EB"/>
    <w:rsid w:val="00F64278"/>
    <w:rsid w:val="00F642E0"/>
    <w:rsid w:val="00F64908"/>
    <w:rsid w:val="00F64910"/>
    <w:rsid w:val="00F649D0"/>
    <w:rsid w:val="00F64C54"/>
    <w:rsid w:val="00F64D38"/>
    <w:rsid w:val="00F64F24"/>
    <w:rsid w:val="00F652B8"/>
    <w:rsid w:val="00F653DC"/>
    <w:rsid w:val="00F655F5"/>
    <w:rsid w:val="00F659F8"/>
    <w:rsid w:val="00F65A19"/>
    <w:rsid w:val="00F65C5E"/>
    <w:rsid w:val="00F65CA6"/>
    <w:rsid w:val="00F65D40"/>
    <w:rsid w:val="00F65DB5"/>
    <w:rsid w:val="00F66020"/>
    <w:rsid w:val="00F66106"/>
    <w:rsid w:val="00F66489"/>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D1"/>
    <w:rsid w:val="00F677FC"/>
    <w:rsid w:val="00F67B6B"/>
    <w:rsid w:val="00F702F9"/>
    <w:rsid w:val="00F70342"/>
    <w:rsid w:val="00F7044D"/>
    <w:rsid w:val="00F70739"/>
    <w:rsid w:val="00F70A56"/>
    <w:rsid w:val="00F70AA7"/>
    <w:rsid w:val="00F70CB7"/>
    <w:rsid w:val="00F70EEE"/>
    <w:rsid w:val="00F70F39"/>
    <w:rsid w:val="00F70F9A"/>
    <w:rsid w:val="00F71363"/>
    <w:rsid w:val="00F71478"/>
    <w:rsid w:val="00F715CA"/>
    <w:rsid w:val="00F71AAD"/>
    <w:rsid w:val="00F71EF6"/>
    <w:rsid w:val="00F720B1"/>
    <w:rsid w:val="00F72126"/>
    <w:rsid w:val="00F7235E"/>
    <w:rsid w:val="00F7258A"/>
    <w:rsid w:val="00F72600"/>
    <w:rsid w:val="00F72665"/>
    <w:rsid w:val="00F7295F"/>
    <w:rsid w:val="00F72A25"/>
    <w:rsid w:val="00F72BD3"/>
    <w:rsid w:val="00F72D3A"/>
    <w:rsid w:val="00F7332D"/>
    <w:rsid w:val="00F73487"/>
    <w:rsid w:val="00F7382F"/>
    <w:rsid w:val="00F738E1"/>
    <w:rsid w:val="00F73A0F"/>
    <w:rsid w:val="00F73AC1"/>
    <w:rsid w:val="00F73B4C"/>
    <w:rsid w:val="00F73BB5"/>
    <w:rsid w:val="00F73CFC"/>
    <w:rsid w:val="00F73F73"/>
    <w:rsid w:val="00F73F9F"/>
    <w:rsid w:val="00F748F1"/>
    <w:rsid w:val="00F74B83"/>
    <w:rsid w:val="00F74CE5"/>
    <w:rsid w:val="00F74DBC"/>
    <w:rsid w:val="00F74EBC"/>
    <w:rsid w:val="00F753BC"/>
    <w:rsid w:val="00F757AB"/>
    <w:rsid w:val="00F759E9"/>
    <w:rsid w:val="00F75BAD"/>
    <w:rsid w:val="00F76314"/>
    <w:rsid w:val="00F7635A"/>
    <w:rsid w:val="00F76417"/>
    <w:rsid w:val="00F764EF"/>
    <w:rsid w:val="00F76D71"/>
    <w:rsid w:val="00F76F07"/>
    <w:rsid w:val="00F77408"/>
    <w:rsid w:val="00F77706"/>
    <w:rsid w:val="00F77793"/>
    <w:rsid w:val="00F77E6E"/>
    <w:rsid w:val="00F77F62"/>
    <w:rsid w:val="00F8007D"/>
    <w:rsid w:val="00F800D6"/>
    <w:rsid w:val="00F801CA"/>
    <w:rsid w:val="00F8041D"/>
    <w:rsid w:val="00F80420"/>
    <w:rsid w:val="00F8076C"/>
    <w:rsid w:val="00F809F3"/>
    <w:rsid w:val="00F80A32"/>
    <w:rsid w:val="00F80C20"/>
    <w:rsid w:val="00F80EA8"/>
    <w:rsid w:val="00F80FB3"/>
    <w:rsid w:val="00F81197"/>
    <w:rsid w:val="00F81222"/>
    <w:rsid w:val="00F81314"/>
    <w:rsid w:val="00F814F3"/>
    <w:rsid w:val="00F81758"/>
    <w:rsid w:val="00F81843"/>
    <w:rsid w:val="00F81A1F"/>
    <w:rsid w:val="00F81A98"/>
    <w:rsid w:val="00F82039"/>
    <w:rsid w:val="00F82087"/>
    <w:rsid w:val="00F82203"/>
    <w:rsid w:val="00F82208"/>
    <w:rsid w:val="00F82345"/>
    <w:rsid w:val="00F82350"/>
    <w:rsid w:val="00F8241D"/>
    <w:rsid w:val="00F8244E"/>
    <w:rsid w:val="00F824EB"/>
    <w:rsid w:val="00F82540"/>
    <w:rsid w:val="00F825F5"/>
    <w:rsid w:val="00F827A4"/>
    <w:rsid w:val="00F827DD"/>
    <w:rsid w:val="00F82892"/>
    <w:rsid w:val="00F82932"/>
    <w:rsid w:val="00F82966"/>
    <w:rsid w:val="00F829E3"/>
    <w:rsid w:val="00F82AA4"/>
    <w:rsid w:val="00F82BF4"/>
    <w:rsid w:val="00F82C3C"/>
    <w:rsid w:val="00F82E4F"/>
    <w:rsid w:val="00F82FA1"/>
    <w:rsid w:val="00F831B3"/>
    <w:rsid w:val="00F831CE"/>
    <w:rsid w:val="00F833E2"/>
    <w:rsid w:val="00F836F8"/>
    <w:rsid w:val="00F83713"/>
    <w:rsid w:val="00F83917"/>
    <w:rsid w:val="00F83A65"/>
    <w:rsid w:val="00F83B3F"/>
    <w:rsid w:val="00F83BA7"/>
    <w:rsid w:val="00F83C53"/>
    <w:rsid w:val="00F83D48"/>
    <w:rsid w:val="00F83D97"/>
    <w:rsid w:val="00F83E18"/>
    <w:rsid w:val="00F83E3A"/>
    <w:rsid w:val="00F8405C"/>
    <w:rsid w:val="00F84099"/>
    <w:rsid w:val="00F841B9"/>
    <w:rsid w:val="00F845A5"/>
    <w:rsid w:val="00F846D6"/>
    <w:rsid w:val="00F84AC3"/>
    <w:rsid w:val="00F84C30"/>
    <w:rsid w:val="00F84D1D"/>
    <w:rsid w:val="00F84EDC"/>
    <w:rsid w:val="00F85224"/>
    <w:rsid w:val="00F85330"/>
    <w:rsid w:val="00F85ADD"/>
    <w:rsid w:val="00F86529"/>
    <w:rsid w:val="00F868AF"/>
    <w:rsid w:val="00F868E4"/>
    <w:rsid w:val="00F869D5"/>
    <w:rsid w:val="00F86BB2"/>
    <w:rsid w:val="00F86BEF"/>
    <w:rsid w:val="00F86CA1"/>
    <w:rsid w:val="00F8716E"/>
    <w:rsid w:val="00F872EF"/>
    <w:rsid w:val="00F8783E"/>
    <w:rsid w:val="00F87880"/>
    <w:rsid w:val="00F879CF"/>
    <w:rsid w:val="00F87A5B"/>
    <w:rsid w:val="00F87CA6"/>
    <w:rsid w:val="00F87E76"/>
    <w:rsid w:val="00F87F4A"/>
    <w:rsid w:val="00F90043"/>
    <w:rsid w:val="00F901F9"/>
    <w:rsid w:val="00F902D4"/>
    <w:rsid w:val="00F9032A"/>
    <w:rsid w:val="00F9078F"/>
    <w:rsid w:val="00F908A2"/>
    <w:rsid w:val="00F908C9"/>
    <w:rsid w:val="00F90AFF"/>
    <w:rsid w:val="00F90B24"/>
    <w:rsid w:val="00F90BB0"/>
    <w:rsid w:val="00F90CEE"/>
    <w:rsid w:val="00F90EA8"/>
    <w:rsid w:val="00F9122D"/>
    <w:rsid w:val="00F91A23"/>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5D0"/>
    <w:rsid w:val="00F93946"/>
    <w:rsid w:val="00F93F86"/>
    <w:rsid w:val="00F94086"/>
    <w:rsid w:val="00F9417A"/>
    <w:rsid w:val="00F94298"/>
    <w:rsid w:val="00F945B0"/>
    <w:rsid w:val="00F946CF"/>
    <w:rsid w:val="00F94734"/>
    <w:rsid w:val="00F949F9"/>
    <w:rsid w:val="00F94A43"/>
    <w:rsid w:val="00F94EF0"/>
    <w:rsid w:val="00F95335"/>
    <w:rsid w:val="00F955EA"/>
    <w:rsid w:val="00F9585B"/>
    <w:rsid w:val="00F958E0"/>
    <w:rsid w:val="00F96287"/>
    <w:rsid w:val="00F966D6"/>
    <w:rsid w:val="00F96BD8"/>
    <w:rsid w:val="00F96C6E"/>
    <w:rsid w:val="00F96F9B"/>
    <w:rsid w:val="00F97065"/>
    <w:rsid w:val="00F97379"/>
    <w:rsid w:val="00F973C5"/>
    <w:rsid w:val="00F974E5"/>
    <w:rsid w:val="00F97909"/>
    <w:rsid w:val="00F97A1A"/>
    <w:rsid w:val="00F97B74"/>
    <w:rsid w:val="00F97BF8"/>
    <w:rsid w:val="00F97C6C"/>
    <w:rsid w:val="00F97CB6"/>
    <w:rsid w:val="00F97CC0"/>
    <w:rsid w:val="00F97E1C"/>
    <w:rsid w:val="00F97FCA"/>
    <w:rsid w:val="00FA033B"/>
    <w:rsid w:val="00FA035C"/>
    <w:rsid w:val="00FA046C"/>
    <w:rsid w:val="00FA0541"/>
    <w:rsid w:val="00FA0822"/>
    <w:rsid w:val="00FA0961"/>
    <w:rsid w:val="00FA0B1A"/>
    <w:rsid w:val="00FA0D3D"/>
    <w:rsid w:val="00FA0E12"/>
    <w:rsid w:val="00FA10B1"/>
    <w:rsid w:val="00FA1159"/>
    <w:rsid w:val="00FA11D2"/>
    <w:rsid w:val="00FA12A7"/>
    <w:rsid w:val="00FA1323"/>
    <w:rsid w:val="00FA13F1"/>
    <w:rsid w:val="00FA1427"/>
    <w:rsid w:val="00FA1521"/>
    <w:rsid w:val="00FA1664"/>
    <w:rsid w:val="00FA17BC"/>
    <w:rsid w:val="00FA17E9"/>
    <w:rsid w:val="00FA17F6"/>
    <w:rsid w:val="00FA1BF9"/>
    <w:rsid w:val="00FA1CF9"/>
    <w:rsid w:val="00FA21C7"/>
    <w:rsid w:val="00FA2478"/>
    <w:rsid w:val="00FA257A"/>
    <w:rsid w:val="00FA26EB"/>
    <w:rsid w:val="00FA2DFE"/>
    <w:rsid w:val="00FA2E13"/>
    <w:rsid w:val="00FA2E1E"/>
    <w:rsid w:val="00FA2F4C"/>
    <w:rsid w:val="00FA312F"/>
    <w:rsid w:val="00FA3734"/>
    <w:rsid w:val="00FA39D0"/>
    <w:rsid w:val="00FA3DD3"/>
    <w:rsid w:val="00FA42CF"/>
    <w:rsid w:val="00FA447A"/>
    <w:rsid w:val="00FA49E6"/>
    <w:rsid w:val="00FA4E2E"/>
    <w:rsid w:val="00FA4E4F"/>
    <w:rsid w:val="00FA4F65"/>
    <w:rsid w:val="00FA4F84"/>
    <w:rsid w:val="00FA4FB5"/>
    <w:rsid w:val="00FA510D"/>
    <w:rsid w:val="00FA522C"/>
    <w:rsid w:val="00FA5277"/>
    <w:rsid w:val="00FA5721"/>
    <w:rsid w:val="00FA5AE6"/>
    <w:rsid w:val="00FA6039"/>
    <w:rsid w:val="00FA6118"/>
    <w:rsid w:val="00FA62F6"/>
    <w:rsid w:val="00FA64B7"/>
    <w:rsid w:val="00FA64EB"/>
    <w:rsid w:val="00FA674F"/>
    <w:rsid w:val="00FA6863"/>
    <w:rsid w:val="00FA6904"/>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9D7"/>
    <w:rsid w:val="00FA7A6A"/>
    <w:rsid w:val="00FA7CD2"/>
    <w:rsid w:val="00FB0361"/>
    <w:rsid w:val="00FB05C8"/>
    <w:rsid w:val="00FB0911"/>
    <w:rsid w:val="00FB0CBE"/>
    <w:rsid w:val="00FB0E2F"/>
    <w:rsid w:val="00FB0F82"/>
    <w:rsid w:val="00FB112D"/>
    <w:rsid w:val="00FB1434"/>
    <w:rsid w:val="00FB14A4"/>
    <w:rsid w:val="00FB1537"/>
    <w:rsid w:val="00FB1638"/>
    <w:rsid w:val="00FB189E"/>
    <w:rsid w:val="00FB19A4"/>
    <w:rsid w:val="00FB1BD9"/>
    <w:rsid w:val="00FB1C5C"/>
    <w:rsid w:val="00FB211F"/>
    <w:rsid w:val="00FB2143"/>
    <w:rsid w:val="00FB2259"/>
    <w:rsid w:val="00FB22BB"/>
    <w:rsid w:val="00FB23C0"/>
    <w:rsid w:val="00FB2474"/>
    <w:rsid w:val="00FB2492"/>
    <w:rsid w:val="00FB24CF"/>
    <w:rsid w:val="00FB254B"/>
    <w:rsid w:val="00FB256F"/>
    <w:rsid w:val="00FB2644"/>
    <w:rsid w:val="00FB298E"/>
    <w:rsid w:val="00FB2A69"/>
    <w:rsid w:val="00FB2AFF"/>
    <w:rsid w:val="00FB3001"/>
    <w:rsid w:val="00FB30E8"/>
    <w:rsid w:val="00FB32FC"/>
    <w:rsid w:val="00FB34F5"/>
    <w:rsid w:val="00FB38A5"/>
    <w:rsid w:val="00FB3B6F"/>
    <w:rsid w:val="00FB3C07"/>
    <w:rsid w:val="00FB3D80"/>
    <w:rsid w:val="00FB3ED0"/>
    <w:rsid w:val="00FB41F1"/>
    <w:rsid w:val="00FB4723"/>
    <w:rsid w:val="00FB4885"/>
    <w:rsid w:val="00FB488B"/>
    <w:rsid w:val="00FB4909"/>
    <w:rsid w:val="00FB4A30"/>
    <w:rsid w:val="00FB4A3A"/>
    <w:rsid w:val="00FB4B28"/>
    <w:rsid w:val="00FB4CD6"/>
    <w:rsid w:val="00FB4DAC"/>
    <w:rsid w:val="00FB4EAC"/>
    <w:rsid w:val="00FB525F"/>
    <w:rsid w:val="00FB52A4"/>
    <w:rsid w:val="00FB5344"/>
    <w:rsid w:val="00FB564E"/>
    <w:rsid w:val="00FB57A4"/>
    <w:rsid w:val="00FB58BD"/>
    <w:rsid w:val="00FB5A2C"/>
    <w:rsid w:val="00FB5A91"/>
    <w:rsid w:val="00FB5C32"/>
    <w:rsid w:val="00FB5CFA"/>
    <w:rsid w:val="00FB5DFD"/>
    <w:rsid w:val="00FB5E1E"/>
    <w:rsid w:val="00FB6353"/>
    <w:rsid w:val="00FB64AE"/>
    <w:rsid w:val="00FB6549"/>
    <w:rsid w:val="00FB6680"/>
    <w:rsid w:val="00FB66F4"/>
    <w:rsid w:val="00FB671D"/>
    <w:rsid w:val="00FB676D"/>
    <w:rsid w:val="00FB6783"/>
    <w:rsid w:val="00FB6825"/>
    <w:rsid w:val="00FB690C"/>
    <w:rsid w:val="00FB6BFC"/>
    <w:rsid w:val="00FB6DDE"/>
    <w:rsid w:val="00FB6E5F"/>
    <w:rsid w:val="00FB7007"/>
    <w:rsid w:val="00FB71E9"/>
    <w:rsid w:val="00FB734D"/>
    <w:rsid w:val="00FB752F"/>
    <w:rsid w:val="00FB7690"/>
    <w:rsid w:val="00FB779F"/>
    <w:rsid w:val="00FB7988"/>
    <w:rsid w:val="00FB7D3D"/>
    <w:rsid w:val="00FB7D54"/>
    <w:rsid w:val="00FB7DAF"/>
    <w:rsid w:val="00FB7DF0"/>
    <w:rsid w:val="00FB7FB3"/>
    <w:rsid w:val="00FC04EC"/>
    <w:rsid w:val="00FC04FC"/>
    <w:rsid w:val="00FC070F"/>
    <w:rsid w:val="00FC071B"/>
    <w:rsid w:val="00FC082E"/>
    <w:rsid w:val="00FC0898"/>
    <w:rsid w:val="00FC0981"/>
    <w:rsid w:val="00FC14AA"/>
    <w:rsid w:val="00FC1617"/>
    <w:rsid w:val="00FC1657"/>
    <w:rsid w:val="00FC17FA"/>
    <w:rsid w:val="00FC183B"/>
    <w:rsid w:val="00FC199F"/>
    <w:rsid w:val="00FC19D6"/>
    <w:rsid w:val="00FC1A36"/>
    <w:rsid w:val="00FC1A82"/>
    <w:rsid w:val="00FC2133"/>
    <w:rsid w:val="00FC21FB"/>
    <w:rsid w:val="00FC2274"/>
    <w:rsid w:val="00FC26BF"/>
    <w:rsid w:val="00FC2743"/>
    <w:rsid w:val="00FC2B32"/>
    <w:rsid w:val="00FC2C45"/>
    <w:rsid w:val="00FC2CAA"/>
    <w:rsid w:val="00FC2D77"/>
    <w:rsid w:val="00FC2E04"/>
    <w:rsid w:val="00FC2FA4"/>
    <w:rsid w:val="00FC312A"/>
    <w:rsid w:val="00FC3825"/>
    <w:rsid w:val="00FC3A3A"/>
    <w:rsid w:val="00FC3AD5"/>
    <w:rsid w:val="00FC3BF3"/>
    <w:rsid w:val="00FC3CC2"/>
    <w:rsid w:val="00FC3CCD"/>
    <w:rsid w:val="00FC3D41"/>
    <w:rsid w:val="00FC3FF5"/>
    <w:rsid w:val="00FC4008"/>
    <w:rsid w:val="00FC425A"/>
    <w:rsid w:val="00FC42BF"/>
    <w:rsid w:val="00FC4487"/>
    <w:rsid w:val="00FC457D"/>
    <w:rsid w:val="00FC45FA"/>
    <w:rsid w:val="00FC46C9"/>
    <w:rsid w:val="00FC4B7F"/>
    <w:rsid w:val="00FC4F0A"/>
    <w:rsid w:val="00FC5198"/>
    <w:rsid w:val="00FC5433"/>
    <w:rsid w:val="00FC544C"/>
    <w:rsid w:val="00FC54E1"/>
    <w:rsid w:val="00FC5551"/>
    <w:rsid w:val="00FC572C"/>
    <w:rsid w:val="00FC5CED"/>
    <w:rsid w:val="00FC5D01"/>
    <w:rsid w:val="00FC5D75"/>
    <w:rsid w:val="00FC5D8D"/>
    <w:rsid w:val="00FC5E2F"/>
    <w:rsid w:val="00FC6403"/>
    <w:rsid w:val="00FC6809"/>
    <w:rsid w:val="00FC6D2E"/>
    <w:rsid w:val="00FC6DC8"/>
    <w:rsid w:val="00FC6FC2"/>
    <w:rsid w:val="00FC753E"/>
    <w:rsid w:val="00FC7709"/>
    <w:rsid w:val="00FC7B92"/>
    <w:rsid w:val="00FC7BEC"/>
    <w:rsid w:val="00FC7F03"/>
    <w:rsid w:val="00FD00FF"/>
    <w:rsid w:val="00FD024A"/>
    <w:rsid w:val="00FD065F"/>
    <w:rsid w:val="00FD06FB"/>
    <w:rsid w:val="00FD0717"/>
    <w:rsid w:val="00FD0B75"/>
    <w:rsid w:val="00FD0E4E"/>
    <w:rsid w:val="00FD0F65"/>
    <w:rsid w:val="00FD101F"/>
    <w:rsid w:val="00FD1114"/>
    <w:rsid w:val="00FD111C"/>
    <w:rsid w:val="00FD1199"/>
    <w:rsid w:val="00FD1359"/>
    <w:rsid w:val="00FD1432"/>
    <w:rsid w:val="00FD14C2"/>
    <w:rsid w:val="00FD1DC7"/>
    <w:rsid w:val="00FD1E62"/>
    <w:rsid w:val="00FD2085"/>
    <w:rsid w:val="00FD22E1"/>
    <w:rsid w:val="00FD24F9"/>
    <w:rsid w:val="00FD2828"/>
    <w:rsid w:val="00FD2979"/>
    <w:rsid w:val="00FD299B"/>
    <w:rsid w:val="00FD2B66"/>
    <w:rsid w:val="00FD2B80"/>
    <w:rsid w:val="00FD2B86"/>
    <w:rsid w:val="00FD2C98"/>
    <w:rsid w:val="00FD303F"/>
    <w:rsid w:val="00FD33F2"/>
    <w:rsid w:val="00FD37C0"/>
    <w:rsid w:val="00FD37D3"/>
    <w:rsid w:val="00FD3A77"/>
    <w:rsid w:val="00FD3CF2"/>
    <w:rsid w:val="00FD3D4C"/>
    <w:rsid w:val="00FD3EC6"/>
    <w:rsid w:val="00FD3F8A"/>
    <w:rsid w:val="00FD423E"/>
    <w:rsid w:val="00FD42F3"/>
    <w:rsid w:val="00FD443A"/>
    <w:rsid w:val="00FD496F"/>
    <w:rsid w:val="00FD4ACF"/>
    <w:rsid w:val="00FD4FA0"/>
    <w:rsid w:val="00FD50B6"/>
    <w:rsid w:val="00FD5192"/>
    <w:rsid w:val="00FD532F"/>
    <w:rsid w:val="00FD54BF"/>
    <w:rsid w:val="00FD552C"/>
    <w:rsid w:val="00FD5583"/>
    <w:rsid w:val="00FD56AC"/>
    <w:rsid w:val="00FD587D"/>
    <w:rsid w:val="00FD5A67"/>
    <w:rsid w:val="00FD5C39"/>
    <w:rsid w:val="00FD5FD2"/>
    <w:rsid w:val="00FD61DC"/>
    <w:rsid w:val="00FD641E"/>
    <w:rsid w:val="00FD6524"/>
    <w:rsid w:val="00FD672C"/>
    <w:rsid w:val="00FD6AB1"/>
    <w:rsid w:val="00FD6C77"/>
    <w:rsid w:val="00FD6F26"/>
    <w:rsid w:val="00FD700F"/>
    <w:rsid w:val="00FD702A"/>
    <w:rsid w:val="00FD73D7"/>
    <w:rsid w:val="00FD743C"/>
    <w:rsid w:val="00FD74F5"/>
    <w:rsid w:val="00FD7617"/>
    <w:rsid w:val="00FD7677"/>
    <w:rsid w:val="00FD778B"/>
    <w:rsid w:val="00FD77E3"/>
    <w:rsid w:val="00FD7995"/>
    <w:rsid w:val="00FD7B6E"/>
    <w:rsid w:val="00FD7D10"/>
    <w:rsid w:val="00FD7DA2"/>
    <w:rsid w:val="00FD7E03"/>
    <w:rsid w:val="00FE02D7"/>
    <w:rsid w:val="00FE0605"/>
    <w:rsid w:val="00FE075F"/>
    <w:rsid w:val="00FE0892"/>
    <w:rsid w:val="00FE0AF3"/>
    <w:rsid w:val="00FE0B47"/>
    <w:rsid w:val="00FE0BF6"/>
    <w:rsid w:val="00FE0CAF"/>
    <w:rsid w:val="00FE0F60"/>
    <w:rsid w:val="00FE0FCD"/>
    <w:rsid w:val="00FE15A4"/>
    <w:rsid w:val="00FE18E2"/>
    <w:rsid w:val="00FE1A2E"/>
    <w:rsid w:val="00FE1B21"/>
    <w:rsid w:val="00FE1BAC"/>
    <w:rsid w:val="00FE2102"/>
    <w:rsid w:val="00FE23C4"/>
    <w:rsid w:val="00FE2542"/>
    <w:rsid w:val="00FE254A"/>
    <w:rsid w:val="00FE2565"/>
    <w:rsid w:val="00FE2B2F"/>
    <w:rsid w:val="00FE2B9A"/>
    <w:rsid w:val="00FE2CFC"/>
    <w:rsid w:val="00FE2D33"/>
    <w:rsid w:val="00FE2DF1"/>
    <w:rsid w:val="00FE2EEE"/>
    <w:rsid w:val="00FE33BE"/>
    <w:rsid w:val="00FE36F9"/>
    <w:rsid w:val="00FE399B"/>
    <w:rsid w:val="00FE3B56"/>
    <w:rsid w:val="00FE3CD4"/>
    <w:rsid w:val="00FE3D31"/>
    <w:rsid w:val="00FE3DF9"/>
    <w:rsid w:val="00FE3EC0"/>
    <w:rsid w:val="00FE40CA"/>
    <w:rsid w:val="00FE4283"/>
    <w:rsid w:val="00FE43EF"/>
    <w:rsid w:val="00FE444A"/>
    <w:rsid w:val="00FE45D0"/>
    <w:rsid w:val="00FE46FC"/>
    <w:rsid w:val="00FE4806"/>
    <w:rsid w:val="00FE4A07"/>
    <w:rsid w:val="00FE4A87"/>
    <w:rsid w:val="00FE4B12"/>
    <w:rsid w:val="00FE4B72"/>
    <w:rsid w:val="00FE4C1E"/>
    <w:rsid w:val="00FE4CF7"/>
    <w:rsid w:val="00FE4F83"/>
    <w:rsid w:val="00FE4FB5"/>
    <w:rsid w:val="00FE516E"/>
    <w:rsid w:val="00FE51DA"/>
    <w:rsid w:val="00FE5479"/>
    <w:rsid w:val="00FE54DD"/>
    <w:rsid w:val="00FE55E2"/>
    <w:rsid w:val="00FE5734"/>
    <w:rsid w:val="00FE5901"/>
    <w:rsid w:val="00FE5BE8"/>
    <w:rsid w:val="00FE5E76"/>
    <w:rsid w:val="00FE624D"/>
    <w:rsid w:val="00FE662F"/>
    <w:rsid w:val="00FE69BE"/>
    <w:rsid w:val="00FE69DF"/>
    <w:rsid w:val="00FE6D62"/>
    <w:rsid w:val="00FE6DF6"/>
    <w:rsid w:val="00FE6F68"/>
    <w:rsid w:val="00FE70DB"/>
    <w:rsid w:val="00FE7607"/>
    <w:rsid w:val="00FE7658"/>
    <w:rsid w:val="00FE767B"/>
    <w:rsid w:val="00FE77A4"/>
    <w:rsid w:val="00FE79B0"/>
    <w:rsid w:val="00FE7A35"/>
    <w:rsid w:val="00FE7BA6"/>
    <w:rsid w:val="00FE7C62"/>
    <w:rsid w:val="00FE7C9A"/>
    <w:rsid w:val="00FE7D29"/>
    <w:rsid w:val="00FF017B"/>
    <w:rsid w:val="00FF025C"/>
    <w:rsid w:val="00FF04A6"/>
    <w:rsid w:val="00FF05B3"/>
    <w:rsid w:val="00FF0737"/>
    <w:rsid w:val="00FF07C3"/>
    <w:rsid w:val="00FF0BC1"/>
    <w:rsid w:val="00FF0C2B"/>
    <w:rsid w:val="00FF0C4B"/>
    <w:rsid w:val="00FF0D21"/>
    <w:rsid w:val="00FF0FA8"/>
    <w:rsid w:val="00FF1626"/>
    <w:rsid w:val="00FF1855"/>
    <w:rsid w:val="00FF1B10"/>
    <w:rsid w:val="00FF1D41"/>
    <w:rsid w:val="00FF1E9A"/>
    <w:rsid w:val="00FF1EB3"/>
    <w:rsid w:val="00FF1F40"/>
    <w:rsid w:val="00FF223F"/>
    <w:rsid w:val="00FF257D"/>
    <w:rsid w:val="00FF2632"/>
    <w:rsid w:val="00FF285D"/>
    <w:rsid w:val="00FF287D"/>
    <w:rsid w:val="00FF28E0"/>
    <w:rsid w:val="00FF2C35"/>
    <w:rsid w:val="00FF3333"/>
    <w:rsid w:val="00FF33E2"/>
    <w:rsid w:val="00FF33E7"/>
    <w:rsid w:val="00FF3688"/>
    <w:rsid w:val="00FF38BB"/>
    <w:rsid w:val="00FF3904"/>
    <w:rsid w:val="00FF3A20"/>
    <w:rsid w:val="00FF3B28"/>
    <w:rsid w:val="00FF3B58"/>
    <w:rsid w:val="00FF3CFB"/>
    <w:rsid w:val="00FF3EE3"/>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4"/>
    <w:rsid w:val="00FF5398"/>
    <w:rsid w:val="00FF5587"/>
    <w:rsid w:val="00FF5659"/>
    <w:rsid w:val="00FF5858"/>
    <w:rsid w:val="00FF5884"/>
    <w:rsid w:val="00FF5998"/>
    <w:rsid w:val="00FF5D40"/>
    <w:rsid w:val="00FF5F8B"/>
    <w:rsid w:val="00FF6065"/>
    <w:rsid w:val="00FF60F6"/>
    <w:rsid w:val="00FF61D6"/>
    <w:rsid w:val="00FF6248"/>
    <w:rsid w:val="00FF62C7"/>
    <w:rsid w:val="00FF63EC"/>
    <w:rsid w:val="00FF6424"/>
    <w:rsid w:val="00FF642F"/>
    <w:rsid w:val="00FF64C2"/>
    <w:rsid w:val="00FF665E"/>
    <w:rsid w:val="00FF666B"/>
    <w:rsid w:val="00FF6AF5"/>
    <w:rsid w:val="00FF6DB0"/>
    <w:rsid w:val="00FF702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5A71D4"/>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aliases w:val="Issue Action POC,List Paragraph1,3,POCG Table Text,Dot pt,F5 List Paragraph,List Paragraph Char Char Char,Indicator Text,Colorful List - Accent 11,Numbered Para 1,Bullet 1,Bullet Points,List Paragraph2,MAIN CONTENT,Normal numbered"/>
    <w:basedOn w:val="a0"/>
    <w:link w:val="afb"/>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c">
    <w:name w:val="endnote text"/>
    <w:basedOn w:val="a0"/>
    <w:link w:val="afd"/>
    <w:rsid w:val="001347DA"/>
    <w:pPr>
      <w:snapToGrid w:val="0"/>
    </w:pPr>
    <w:rPr>
      <w:lang w:eastAsia="x-none"/>
    </w:rPr>
  </w:style>
  <w:style w:type="character" w:customStyle="1" w:styleId="afd">
    <w:name w:val="章節附註文字 字元"/>
    <w:link w:val="afc"/>
    <w:rsid w:val="001347DA"/>
    <w:rPr>
      <w:kern w:val="2"/>
      <w:sz w:val="24"/>
      <w:szCs w:val="24"/>
      <w:lang w:val="en-GB"/>
    </w:rPr>
  </w:style>
  <w:style w:type="character" w:styleId="afe">
    <w:name w:val="endnote reference"/>
    <w:rsid w:val="001347DA"/>
    <w:rPr>
      <w:vertAlign w:val="superscript"/>
    </w:rPr>
  </w:style>
  <w:style w:type="paragraph" w:styleId="aff">
    <w:name w:val="Revision"/>
    <w:hidden/>
    <w:uiPriority w:val="99"/>
    <w:semiHidden/>
    <w:rsid w:val="00E87325"/>
    <w:rPr>
      <w:kern w:val="2"/>
      <w:sz w:val="24"/>
      <w:szCs w:val="24"/>
    </w:rPr>
  </w:style>
  <w:style w:type="character" w:customStyle="1" w:styleId="afb">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a"/>
    <w:uiPriority w:val="34"/>
    <w:locked/>
    <w:rsid w:val="002E2B56"/>
    <w:rPr>
      <w:kern w:val="2"/>
      <w:sz w:val="24"/>
      <w:szCs w:val="24"/>
      <w:lang w:eastAsia="zh-TW"/>
    </w:rPr>
  </w:style>
  <w:style w:type="paragraph" w:styleId="aff0">
    <w:name w:val="Plain Text"/>
    <w:basedOn w:val="a0"/>
    <w:link w:val="aff1"/>
    <w:uiPriority w:val="99"/>
    <w:unhideWhenUsed/>
    <w:rsid w:val="00246AFF"/>
    <w:pPr>
      <w:widowControl/>
    </w:pPr>
    <w:rPr>
      <w:rFonts w:ascii="Microsoft Sans Serif" w:hAnsi="Microsoft Sans Serif" w:cs="Microsoft Sans Serif"/>
      <w:kern w:val="0"/>
      <w:sz w:val="28"/>
      <w:szCs w:val="28"/>
    </w:rPr>
  </w:style>
  <w:style w:type="character" w:customStyle="1" w:styleId="aff1">
    <w:name w:val="純文字 字元"/>
    <w:link w:val="aff0"/>
    <w:uiPriority w:val="99"/>
    <w:rsid w:val="00246AFF"/>
    <w:rPr>
      <w:rFonts w:ascii="Microsoft Sans Serif" w:hAnsi="Microsoft Sans Serif" w:cs="Microsoft Sans Seri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A50C9-99ED-4CB1-863A-C381779A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14</Pages>
  <Words>3094</Words>
  <Characters>15262</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25</cp:revision>
  <cp:lastPrinted>2024-08-09T07:46:00Z</cp:lastPrinted>
  <dcterms:created xsi:type="dcterms:W3CDTF">2024-08-01T04:48:00Z</dcterms:created>
  <dcterms:modified xsi:type="dcterms:W3CDTF">2024-08-09T08:00:00Z</dcterms:modified>
</cp:coreProperties>
</file>