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CF9" w:rsidRPr="00FA6313" w:rsidRDefault="00662CF9" w:rsidP="008E0F2F">
      <w:pPr>
        <w:pStyle w:val="Title"/>
        <w:spacing w:line="240" w:lineRule="auto"/>
        <w:ind w:right="26"/>
        <w:rPr>
          <w:i/>
          <w:sz w:val="24"/>
        </w:rPr>
      </w:pPr>
      <w:r w:rsidRPr="00327CE5">
        <w:t>CHAPTER 1 : OVERVIEW OF ECONOMIC PERFORMANCE</w:t>
      </w:r>
      <w:r w:rsidR="00B16AC9" w:rsidRPr="00327CE5">
        <w:t xml:space="preserve"> </w:t>
      </w:r>
    </w:p>
    <w:p w:rsidR="00121EBA" w:rsidRDefault="00121EBA">
      <w:pPr>
        <w:pStyle w:val="BodyText"/>
        <w:tabs>
          <w:tab w:val="left" w:pos="1080"/>
        </w:tabs>
        <w:spacing w:line="240" w:lineRule="auto"/>
        <w:ind w:right="28"/>
        <w:jc w:val="both"/>
        <w:rPr>
          <w:rFonts w:ascii="Times New Roman"/>
          <w:b/>
          <w:i/>
          <w:kern w:val="0"/>
          <w:lang w:val="en-GB"/>
        </w:rPr>
      </w:pPr>
    </w:p>
    <w:p w:rsidR="00662CF9" w:rsidRPr="004110C3" w:rsidRDefault="00662CF9">
      <w:pPr>
        <w:pStyle w:val="BodyText"/>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rsidR="005842D6" w:rsidRPr="00257BF8" w:rsidRDefault="007D6917" w:rsidP="00CC1A73">
      <w:pPr>
        <w:pStyle w:val="BodyText"/>
        <w:numPr>
          <w:ilvl w:val="0"/>
          <w:numId w:val="1"/>
        </w:numPr>
        <w:tabs>
          <w:tab w:val="num" w:pos="840"/>
        </w:tabs>
        <w:overflowPunct w:val="0"/>
        <w:spacing w:before="120" w:after="120" w:line="240" w:lineRule="auto"/>
        <w:ind w:right="28"/>
        <w:jc w:val="both"/>
        <w:rPr>
          <w:rFonts w:ascii="Times New Roman"/>
          <w:bCs/>
          <w:i/>
          <w:kern w:val="0"/>
          <w:lang w:val="en-GB"/>
        </w:rPr>
      </w:pPr>
      <w:r w:rsidRPr="00866A25">
        <w:rPr>
          <w:rFonts w:ascii="Times New Roman"/>
          <w:i/>
          <w:kern w:val="0"/>
          <w:lang w:val="en-GB"/>
        </w:rPr>
        <w:t xml:space="preserve">The </w:t>
      </w:r>
      <w:r w:rsidRPr="00866A25">
        <w:rPr>
          <w:rFonts w:ascii="Times New Roman"/>
          <w:bCs/>
          <w:i/>
          <w:kern w:val="0"/>
          <w:lang w:val="en-GB"/>
        </w:rPr>
        <w:t xml:space="preserve">Hong Kong economy </w:t>
      </w:r>
      <w:r w:rsidR="00DF1D47">
        <w:rPr>
          <w:rFonts w:ascii="Times New Roman"/>
          <w:bCs/>
          <w:i/>
          <w:kern w:val="0"/>
          <w:lang w:val="en-GB"/>
        </w:rPr>
        <w:t xml:space="preserve">continued to </w:t>
      </w:r>
      <w:r w:rsidR="009E00E5">
        <w:rPr>
          <w:rFonts w:ascii="Times New Roman"/>
          <w:bCs/>
          <w:i/>
          <w:kern w:val="0"/>
          <w:lang w:val="en-GB"/>
        </w:rPr>
        <w:t>expand</w:t>
      </w:r>
      <w:r w:rsidR="0004283F">
        <w:rPr>
          <w:rFonts w:ascii="Times New Roman"/>
          <w:bCs/>
          <w:i/>
          <w:kern w:val="0"/>
          <w:lang w:val="en-GB"/>
        </w:rPr>
        <w:t>,</w:t>
      </w:r>
      <w:r w:rsidR="0004283F" w:rsidRPr="0004283F">
        <w:rPr>
          <w:rFonts w:ascii="Times New Roman"/>
          <w:bCs/>
          <w:i/>
          <w:kern w:val="0"/>
          <w:lang w:val="en-GB"/>
        </w:rPr>
        <w:t xml:space="preserve"> </w:t>
      </w:r>
      <w:r w:rsidR="0004283F">
        <w:rPr>
          <w:rFonts w:ascii="Times New Roman"/>
          <w:bCs/>
          <w:i/>
          <w:kern w:val="0"/>
          <w:lang w:val="en-GB"/>
        </w:rPr>
        <w:t>though at a moderated pace,</w:t>
      </w:r>
      <w:r w:rsidR="009E00E5">
        <w:rPr>
          <w:rFonts w:ascii="Times New Roman"/>
          <w:bCs/>
          <w:i/>
          <w:kern w:val="0"/>
          <w:lang w:val="en-GB"/>
        </w:rPr>
        <w:t xml:space="preserve"> </w:t>
      </w:r>
      <w:r w:rsidR="00A17BFA" w:rsidRPr="00A17BFA">
        <w:rPr>
          <w:rFonts w:ascii="Times New Roman"/>
          <w:bCs/>
          <w:i/>
          <w:kern w:val="0"/>
          <w:lang w:val="en-GB"/>
        </w:rPr>
        <w:t xml:space="preserve">in the </w:t>
      </w:r>
      <w:r w:rsidR="00671767">
        <w:rPr>
          <w:rFonts w:ascii="Times New Roman"/>
          <w:bCs/>
          <w:i/>
          <w:kern w:val="0"/>
          <w:lang w:val="en-GB"/>
        </w:rPr>
        <w:t>third</w:t>
      </w:r>
      <w:r w:rsidR="00671767" w:rsidRPr="00A17BFA">
        <w:rPr>
          <w:rFonts w:ascii="Times New Roman"/>
          <w:bCs/>
          <w:i/>
          <w:kern w:val="0"/>
          <w:lang w:val="en-GB"/>
        </w:rPr>
        <w:t xml:space="preserve"> </w:t>
      </w:r>
      <w:r w:rsidR="00A17BFA" w:rsidRPr="00A17BFA">
        <w:rPr>
          <w:rFonts w:ascii="Times New Roman"/>
          <w:bCs/>
          <w:i/>
          <w:kern w:val="0"/>
          <w:lang w:val="en-GB"/>
        </w:rPr>
        <w:t>quarter of 2024</w:t>
      </w:r>
      <w:r w:rsidR="005F0A82">
        <w:rPr>
          <w:rFonts w:ascii="Times New Roman"/>
          <w:bCs/>
          <w:i/>
          <w:kern w:val="0"/>
          <w:lang w:val="en-GB"/>
        </w:rPr>
        <w:t xml:space="preserve"> </w:t>
      </w:r>
      <w:r w:rsidR="005F0A82" w:rsidRPr="00257BF8">
        <w:rPr>
          <w:rFonts w:ascii="Times New Roman"/>
          <w:bCs/>
          <w:i/>
          <w:kern w:val="0"/>
          <w:lang w:val="en-GB"/>
        </w:rPr>
        <w:t>over a year earlier</w:t>
      </w:r>
      <w:r w:rsidR="0056272B">
        <w:rPr>
          <w:rFonts w:ascii="Times New Roman"/>
          <w:bCs/>
          <w:i/>
          <w:kern w:val="0"/>
          <w:lang w:val="en-GB"/>
        </w:rPr>
        <w:t>.</w:t>
      </w:r>
      <w:r w:rsidR="0056272B" w:rsidRPr="0056272B">
        <w:rPr>
          <w:rFonts w:ascii="Times New Roman"/>
          <w:bCs/>
          <w:i/>
          <w:kern w:val="0"/>
          <w:lang w:val="en-GB"/>
        </w:rPr>
        <w:t xml:space="preserve"> </w:t>
      </w:r>
      <w:r w:rsidR="0056272B">
        <w:rPr>
          <w:rFonts w:ascii="Times New Roman"/>
          <w:bCs/>
          <w:i/>
          <w:kern w:val="0"/>
          <w:lang w:val="en-GB"/>
        </w:rPr>
        <w:t xml:space="preserve"> </w:t>
      </w:r>
      <w:r w:rsidR="00BF196F">
        <w:rPr>
          <w:rFonts w:ascii="Times New Roman"/>
          <w:bCs/>
          <w:i/>
          <w:kern w:val="0"/>
          <w:lang w:val="en-GB"/>
        </w:rPr>
        <w:t>R</w:t>
      </w:r>
      <w:r w:rsidR="00BF196F" w:rsidRPr="00257BF8">
        <w:rPr>
          <w:rFonts w:ascii="Times New Roman"/>
          <w:i/>
          <w:kern w:val="0"/>
          <w:lang w:val="en-GB"/>
        </w:rPr>
        <w:t>eal Gross Domestic Product (GDP</w:t>
      </w:r>
      <w:proofErr w:type="gramStart"/>
      <w:r w:rsidR="00BF196F" w:rsidRPr="00257BF8">
        <w:rPr>
          <w:rFonts w:ascii="Times New Roman"/>
          <w:i/>
          <w:kern w:val="0"/>
          <w:lang w:val="en-GB"/>
        </w:rPr>
        <w:t>)</w:t>
      </w:r>
      <w:r w:rsidR="00BF196F" w:rsidRPr="00257BF8">
        <w:rPr>
          <w:rFonts w:ascii="Times New Roman"/>
          <w:i/>
          <w:kern w:val="0"/>
          <w:vertAlign w:val="superscript"/>
          <w:lang w:val="en-GB"/>
        </w:rPr>
        <w:t>(</w:t>
      </w:r>
      <w:proofErr w:type="gramEnd"/>
      <w:r w:rsidR="00BF196F" w:rsidRPr="00257BF8">
        <w:rPr>
          <w:rFonts w:ascii="Times New Roman"/>
          <w:i/>
          <w:kern w:val="0"/>
          <w:vertAlign w:val="superscript"/>
          <w:lang w:val="en-GB"/>
        </w:rPr>
        <w:t>1)</w:t>
      </w:r>
      <w:r w:rsidR="00BF196F" w:rsidRPr="00257BF8">
        <w:rPr>
          <w:rFonts w:ascii="Times New Roman"/>
          <w:i/>
          <w:kern w:val="0"/>
          <w:lang w:val="en-GB"/>
        </w:rPr>
        <w:t xml:space="preserve"> </w:t>
      </w:r>
      <w:r w:rsidR="00BF196F" w:rsidRPr="00257BF8">
        <w:rPr>
          <w:rFonts w:ascii="Times New Roman"/>
          <w:bCs/>
          <w:i/>
          <w:kern w:val="0"/>
          <w:lang w:val="en-GB"/>
        </w:rPr>
        <w:t xml:space="preserve">grew by </w:t>
      </w:r>
      <w:r w:rsidR="00506F91">
        <w:rPr>
          <w:rFonts w:ascii="Times New Roman"/>
          <w:bCs/>
          <w:i/>
          <w:kern w:val="0"/>
          <w:lang w:val="en-GB"/>
        </w:rPr>
        <w:t>1.8</w:t>
      </w:r>
      <w:r w:rsidR="00BF196F" w:rsidRPr="00257BF8">
        <w:rPr>
          <w:rFonts w:ascii="Times New Roman"/>
          <w:bCs/>
          <w:i/>
          <w:kern w:val="0"/>
          <w:lang w:val="en-GB"/>
        </w:rPr>
        <w:t>%</w:t>
      </w:r>
      <w:r w:rsidR="005F0A82">
        <w:rPr>
          <w:rFonts w:ascii="Times New Roman"/>
          <w:bCs/>
          <w:i/>
          <w:kern w:val="0"/>
          <w:lang w:val="en-GB"/>
        </w:rPr>
        <w:t xml:space="preserve"> year-on-year in the third quarter</w:t>
      </w:r>
      <w:r w:rsidR="0004283F">
        <w:rPr>
          <w:rFonts w:ascii="Times New Roman"/>
          <w:bCs/>
          <w:i/>
          <w:kern w:val="0"/>
          <w:lang w:val="en-GB"/>
        </w:rPr>
        <w:t>, having increased by 3.2% in the preceding quarter</w:t>
      </w:r>
      <w:r w:rsidR="00BF196F" w:rsidRPr="00257BF8">
        <w:rPr>
          <w:rFonts w:ascii="Times New Roman"/>
          <w:i/>
          <w:kern w:val="0"/>
          <w:lang w:val="en-GB"/>
        </w:rPr>
        <w:t xml:space="preserve">.  </w:t>
      </w:r>
      <w:r w:rsidR="002E225E">
        <w:rPr>
          <w:rFonts w:ascii="Times New Roman"/>
          <w:i/>
          <w:kern w:val="0"/>
          <w:lang w:val="en-GB"/>
        </w:rPr>
        <w:t xml:space="preserve">Total </w:t>
      </w:r>
      <w:r w:rsidR="002E225E">
        <w:rPr>
          <w:rFonts w:ascii="Times New Roman"/>
          <w:bCs/>
          <w:i/>
          <w:kern w:val="0"/>
          <w:lang w:val="en-GB"/>
        </w:rPr>
        <w:t>e</w:t>
      </w:r>
      <w:r w:rsidR="00CE416D">
        <w:rPr>
          <w:rFonts w:ascii="Times New Roman"/>
          <w:bCs/>
          <w:i/>
          <w:kern w:val="0"/>
          <w:lang w:val="en-GB"/>
        </w:rPr>
        <w:t>xports of goods</w:t>
      </w:r>
      <w:r w:rsidR="00234853">
        <w:rPr>
          <w:rFonts w:ascii="Times New Roman"/>
          <w:bCs/>
          <w:i/>
          <w:kern w:val="0"/>
          <w:lang w:val="en-GB"/>
        </w:rPr>
        <w:t xml:space="preserve"> saw decelerated </w:t>
      </w:r>
      <w:r w:rsidR="003C621A">
        <w:rPr>
          <w:rFonts w:ascii="Times New Roman"/>
          <w:bCs/>
          <w:i/>
          <w:kern w:val="0"/>
          <w:lang w:val="en-GB"/>
        </w:rPr>
        <w:t>growth</w:t>
      </w:r>
      <w:r w:rsidR="0004283F">
        <w:rPr>
          <w:rFonts w:ascii="Times New Roman"/>
          <w:bCs/>
          <w:i/>
          <w:kern w:val="0"/>
          <w:lang w:val="en-GB"/>
        </w:rPr>
        <w:t>, while e</w:t>
      </w:r>
      <w:r w:rsidR="001B2CD5">
        <w:rPr>
          <w:rFonts w:ascii="Times New Roman"/>
          <w:bCs/>
          <w:i/>
          <w:kern w:val="0"/>
          <w:lang w:val="en-GB"/>
        </w:rPr>
        <w:t>xports of services</w:t>
      </w:r>
      <w:r w:rsidR="005B6C30">
        <w:rPr>
          <w:rFonts w:ascii="Times New Roman"/>
          <w:bCs/>
          <w:i/>
          <w:kern w:val="0"/>
          <w:lang w:val="en-GB"/>
        </w:rPr>
        <w:t xml:space="preserve"> </w:t>
      </w:r>
      <w:r w:rsidR="009E05C6">
        <w:rPr>
          <w:rFonts w:ascii="Times New Roman"/>
          <w:bCs/>
          <w:i/>
          <w:kern w:val="0"/>
          <w:lang w:val="en-GB"/>
        </w:rPr>
        <w:t>increased further</w:t>
      </w:r>
      <w:r w:rsidR="00CB3416">
        <w:rPr>
          <w:rFonts w:ascii="Times New Roman"/>
          <w:bCs/>
          <w:i/>
          <w:kern w:val="0"/>
          <w:lang w:val="en-GB"/>
        </w:rPr>
        <w:t xml:space="preserve">.  </w:t>
      </w:r>
      <w:r w:rsidR="00DB5A67">
        <w:rPr>
          <w:rFonts w:ascii="Times New Roman"/>
          <w:bCs/>
          <w:i/>
          <w:kern w:val="0"/>
          <w:lang w:val="en-GB"/>
        </w:rPr>
        <w:t>Overall investment expenditure</w:t>
      </w:r>
      <w:r w:rsidR="005B6C30">
        <w:rPr>
          <w:rFonts w:ascii="Times New Roman"/>
          <w:bCs/>
          <w:i/>
          <w:kern w:val="0"/>
          <w:lang w:val="en-GB"/>
        </w:rPr>
        <w:t xml:space="preserve"> </w:t>
      </w:r>
      <w:r w:rsidR="00200E23">
        <w:rPr>
          <w:rFonts w:ascii="Times New Roman"/>
          <w:bCs/>
          <w:i/>
          <w:kern w:val="0"/>
          <w:lang w:val="en-GB"/>
        </w:rPr>
        <w:t>rose</w:t>
      </w:r>
      <w:r w:rsidR="005B6C30">
        <w:rPr>
          <w:rFonts w:ascii="Times New Roman"/>
          <w:bCs/>
          <w:i/>
          <w:kern w:val="0"/>
          <w:lang w:val="en-GB"/>
        </w:rPr>
        <w:t xml:space="preserve"> further</w:t>
      </w:r>
      <w:r w:rsidR="00DF1D47">
        <w:rPr>
          <w:rFonts w:ascii="Times New Roman"/>
          <w:bCs/>
          <w:i/>
          <w:kern w:val="0"/>
          <w:lang w:val="en-GB"/>
        </w:rPr>
        <w:t>.  However,</w:t>
      </w:r>
      <w:r w:rsidR="006355B9">
        <w:rPr>
          <w:rFonts w:ascii="Times New Roman"/>
          <w:bCs/>
          <w:i/>
          <w:kern w:val="0"/>
          <w:lang w:val="en-GB"/>
        </w:rPr>
        <w:t xml:space="preserve"> </w:t>
      </w:r>
      <w:r w:rsidR="001B2CD5">
        <w:rPr>
          <w:rFonts w:ascii="Times New Roman"/>
          <w:bCs/>
          <w:i/>
          <w:kern w:val="0"/>
          <w:lang w:val="en-GB"/>
        </w:rPr>
        <w:t>p</w:t>
      </w:r>
      <w:r w:rsidR="00956748">
        <w:rPr>
          <w:rFonts w:ascii="Times New Roman"/>
          <w:bCs/>
          <w:i/>
          <w:kern w:val="0"/>
          <w:lang w:val="en-GB"/>
        </w:rPr>
        <w:t>rivate consumption expenditure</w:t>
      </w:r>
      <w:r w:rsidR="00DF1D47">
        <w:rPr>
          <w:rFonts w:ascii="Times New Roman"/>
          <w:bCs/>
          <w:i/>
          <w:kern w:val="0"/>
          <w:lang w:val="en-GB"/>
        </w:rPr>
        <w:t xml:space="preserve"> continued to </w:t>
      </w:r>
      <w:r w:rsidR="00EA0EE4">
        <w:rPr>
          <w:rFonts w:ascii="Times New Roman"/>
          <w:bCs/>
          <w:i/>
          <w:kern w:val="0"/>
          <w:lang w:val="en-GB"/>
        </w:rPr>
        <w:t>decline</w:t>
      </w:r>
      <w:r w:rsidR="00AA3187">
        <w:rPr>
          <w:rFonts w:ascii="Times New Roman"/>
          <w:bCs/>
          <w:i/>
          <w:kern w:val="0"/>
          <w:lang w:val="en-GB"/>
        </w:rPr>
        <w:t xml:space="preserve">. </w:t>
      </w:r>
      <w:r w:rsidR="008E7622">
        <w:rPr>
          <w:rFonts w:ascii="Times New Roman"/>
          <w:bCs/>
          <w:i/>
          <w:kern w:val="0"/>
          <w:lang w:val="en-GB"/>
        </w:rPr>
        <w:t xml:space="preserve"> </w:t>
      </w:r>
      <w:r w:rsidR="005842D6" w:rsidRPr="00257BF8">
        <w:rPr>
          <w:rFonts w:ascii="Times New Roman"/>
          <w:bCs/>
          <w:i/>
          <w:kern w:val="0"/>
          <w:lang w:val="en-GB"/>
        </w:rPr>
        <w:t xml:space="preserve">On a seasonally adjusted quarter-to-quarter </w:t>
      </w:r>
      <w:proofErr w:type="gramStart"/>
      <w:r w:rsidR="000A495F" w:rsidRPr="00257BF8">
        <w:rPr>
          <w:rFonts w:ascii="Times New Roman"/>
          <w:bCs/>
          <w:i/>
          <w:kern w:val="0"/>
          <w:lang w:val="en-GB"/>
        </w:rPr>
        <w:t>comparison</w:t>
      </w:r>
      <w:r w:rsidR="000A495F" w:rsidRPr="00257BF8">
        <w:rPr>
          <w:rFonts w:ascii="Times New Roman"/>
          <w:i/>
          <w:kern w:val="0"/>
          <w:vertAlign w:val="superscript"/>
          <w:lang w:val="en-GB"/>
        </w:rPr>
        <w:t>(</w:t>
      </w:r>
      <w:proofErr w:type="gramEnd"/>
      <w:r w:rsidR="000A495F" w:rsidRPr="00257BF8">
        <w:rPr>
          <w:rFonts w:ascii="Times New Roman"/>
          <w:i/>
          <w:kern w:val="0"/>
          <w:vertAlign w:val="superscript"/>
          <w:lang w:val="en-GB"/>
        </w:rPr>
        <w:t>2)</w:t>
      </w:r>
      <w:r w:rsidR="005842D6" w:rsidRPr="00257BF8">
        <w:rPr>
          <w:rFonts w:ascii="Times New Roman"/>
          <w:bCs/>
          <w:i/>
          <w:kern w:val="0"/>
          <w:lang w:val="en-GB"/>
        </w:rPr>
        <w:t xml:space="preserve">, real GDP </w:t>
      </w:r>
      <w:r w:rsidR="008C2893">
        <w:rPr>
          <w:rFonts w:ascii="Times New Roman"/>
          <w:bCs/>
          <w:i/>
          <w:kern w:val="0"/>
          <w:lang w:val="en-GB"/>
        </w:rPr>
        <w:t>decreased by</w:t>
      </w:r>
      <w:r w:rsidR="005842D6" w:rsidRPr="00257BF8">
        <w:rPr>
          <w:rFonts w:ascii="Times New Roman"/>
          <w:bCs/>
          <w:i/>
          <w:kern w:val="0"/>
          <w:lang w:val="en-GB"/>
        </w:rPr>
        <w:t xml:space="preserve"> </w:t>
      </w:r>
      <w:r w:rsidR="002216F7">
        <w:rPr>
          <w:rFonts w:ascii="Times New Roman"/>
          <w:bCs/>
          <w:i/>
          <w:kern w:val="0"/>
          <w:lang w:val="en-GB"/>
        </w:rPr>
        <w:t>1.</w:t>
      </w:r>
      <w:r w:rsidR="00506F91">
        <w:rPr>
          <w:rFonts w:ascii="Times New Roman"/>
          <w:bCs/>
          <w:i/>
          <w:kern w:val="0"/>
          <w:lang w:val="en-GB"/>
        </w:rPr>
        <w:t>1</w:t>
      </w:r>
      <w:r w:rsidR="005842D6" w:rsidRPr="00257BF8">
        <w:rPr>
          <w:rFonts w:ascii="Times New Roman"/>
          <w:bCs/>
          <w:i/>
          <w:kern w:val="0"/>
          <w:lang w:val="en-GB"/>
        </w:rPr>
        <w:t>%</w:t>
      </w:r>
      <w:r w:rsidR="0004564A" w:rsidRPr="00257BF8">
        <w:rPr>
          <w:rFonts w:ascii="Times New Roman"/>
          <w:bCs/>
          <w:i/>
          <w:kern w:val="0"/>
          <w:lang w:val="en-GB"/>
        </w:rPr>
        <w:t>.</w:t>
      </w:r>
    </w:p>
    <w:p w:rsidR="00CD4872" w:rsidRPr="004E47E7" w:rsidRDefault="00D64974" w:rsidP="00936F6F">
      <w:pPr>
        <w:pStyle w:val="BodyText"/>
        <w:numPr>
          <w:ilvl w:val="0"/>
          <w:numId w:val="1"/>
        </w:numPr>
        <w:tabs>
          <w:tab w:val="num" w:pos="840"/>
        </w:tabs>
        <w:spacing w:before="120" w:after="120" w:line="240" w:lineRule="auto"/>
        <w:ind w:right="28"/>
        <w:jc w:val="both"/>
        <w:rPr>
          <w:rFonts w:ascii="Times New Roman"/>
          <w:i/>
          <w:kern w:val="0"/>
          <w:lang w:val="en-GB"/>
        </w:rPr>
      </w:pPr>
      <w:r w:rsidRPr="00B9499D">
        <w:rPr>
          <w:rFonts w:ascii="Times New Roman" w:hint="eastAsia"/>
          <w:i/>
          <w:kern w:val="0"/>
          <w:lang w:val="en-GB"/>
        </w:rPr>
        <w:t>Hong Kong</w:t>
      </w:r>
      <w:r w:rsidRPr="00B9499D">
        <w:rPr>
          <w:rFonts w:ascii="Times New Roman"/>
          <w:i/>
          <w:kern w:val="0"/>
          <w:lang w:val="en-GB"/>
        </w:rPr>
        <w:t>’</w:t>
      </w:r>
      <w:r w:rsidRPr="00B9499D">
        <w:rPr>
          <w:rFonts w:ascii="Times New Roman" w:hint="eastAsia"/>
          <w:i/>
          <w:kern w:val="0"/>
          <w:lang w:val="en-GB"/>
        </w:rPr>
        <w:t xml:space="preserve">s total </w:t>
      </w:r>
      <w:r w:rsidR="00E330AC" w:rsidRPr="00B9499D">
        <w:rPr>
          <w:rFonts w:ascii="Times New Roman" w:hint="eastAsia"/>
          <w:i/>
          <w:kern w:val="0"/>
          <w:lang w:val="en-GB"/>
        </w:rPr>
        <w:t>e</w:t>
      </w:r>
      <w:r w:rsidR="002178CA" w:rsidRPr="00B9499D">
        <w:rPr>
          <w:rFonts w:ascii="Times New Roman" w:hint="eastAsia"/>
          <w:i/>
          <w:kern w:val="0"/>
          <w:lang w:val="en-GB"/>
        </w:rPr>
        <w:t xml:space="preserve">xports of goods </w:t>
      </w:r>
      <w:r w:rsidR="001D6DAA">
        <w:rPr>
          <w:rFonts w:ascii="Times New Roman"/>
          <w:i/>
          <w:kern w:val="0"/>
          <w:lang w:val="en-GB"/>
        </w:rPr>
        <w:t>grew at a moderated pace</w:t>
      </w:r>
      <w:r w:rsidR="00573C1F">
        <w:rPr>
          <w:rFonts w:ascii="Times New Roman"/>
          <w:i/>
          <w:kern w:val="0"/>
          <w:lang w:val="en-GB"/>
        </w:rPr>
        <w:t xml:space="preserve"> in</w:t>
      </w:r>
      <w:r w:rsidR="00BD6A96">
        <w:rPr>
          <w:rFonts w:ascii="Times New Roman"/>
          <w:i/>
          <w:kern w:val="0"/>
          <w:lang w:val="en-GB"/>
        </w:rPr>
        <w:t xml:space="preserve"> the </w:t>
      </w:r>
      <w:r w:rsidR="001D6DAA">
        <w:rPr>
          <w:rFonts w:ascii="Times New Roman"/>
          <w:i/>
          <w:kern w:val="0"/>
          <w:lang w:val="en-GB"/>
        </w:rPr>
        <w:t>third</w:t>
      </w:r>
      <w:r w:rsidR="00AA65CD">
        <w:rPr>
          <w:rFonts w:ascii="Times New Roman"/>
          <w:i/>
          <w:kern w:val="0"/>
          <w:lang w:val="en-GB"/>
        </w:rPr>
        <w:t xml:space="preserve"> quarter </w:t>
      </w:r>
      <w:r w:rsidR="00CA4C80">
        <w:rPr>
          <w:rFonts w:ascii="Times New Roman"/>
          <w:i/>
          <w:kern w:val="0"/>
          <w:lang w:val="en-GB"/>
        </w:rPr>
        <w:t xml:space="preserve">alongside softening </w:t>
      </w:r>
      <w:r w:rsidR="00DD5375">
        <w:rPr>
          <w:rFonts w:ascii="Times New Roman"/>
          <w:i/>
          <w:kern w:val="0"/>
          <w:lang w:val="en-GB"/>
        </w:rPr>
        <w:t xml:space="preserve">economic </w:t>
      </w:r>
      <w:r w:rsidR="00CA4C80">
        <w:rPr>
          <w:rFonts w:ascii="Times New Roman"/>
          <w:i/>
          <w:kern w:val="0"/>
          <w:lang w:val="en-GB"/>
        </w:rPr>
        <w:t>growth in some major markets</w:t>
      </w:r>
      <w:r w:rsidR="001D6DAA" w:rsidRPr="001D6DAA">
        <w:rPr>
          <w:rFonts w:ascii="Times New Roman"/>
          <w:i/>
          <w:kern w:val="0"/>
          <w:lang w:val="en-GB"/>
        </w:rPr>
        <w:t xml:space="preserve">.  Exports to the Mainland continued to expand visibly.  Exports to the US grew at a moderated pace, while those to the EU saw a rebound.  Meanwhile, exports </w:t>
      </w:r>
      <w:proofErr w:type="gramStart"/>
      <w:r w:rsidR="001D6DAA" w:rsidRPr="001D6DAA">
        <w:rPr>
          <w:rFonts w:ascii="Times New Roman"/>
          <w:i/>
          <w:kern w:val="0"/>
          <w:lang w:val="en-GB"/>
        </w:rPr>
        <w:t>to</w:t>
      </w:r>
      <w:proofErr w:type="gramEnd"/>
      <w:r w:rsidR="001D6DAA" w:rsidRPr="001D6DAA">
        <w:rPr>
          <w:rFonts w:ascii="Times New Roman"/>
          <w:i/>
          <w:kern w:val="0"/>
          <w:lang w:val="en-GB"/>
        </w:rPr>
        <w:t xml:space="preserve"> </w:t>
      </w:r>
      <w:r w:rsidR="00BB2ADF">
        <w:rPr>
          <w:rFonts w:ascii="Times New Roman"/>
          <w:i/>
          <w:kern w:val="0"/>
          <w:lang w:val="en-GB"/>
        </w:rPr>
        <w:t>many</w:t>
      </w:r>
      <w:r w:rsidR="00506F91">
        <w:rPr>
          <w:rFonts w:ascii="Times New Roman"/>
          <w:i/>
          <w:kern w:val="0"/>
          <w:lang w:val="en-GB"/>
        </w:rPr>
        <w:t xml:space="preserve"> </w:t>
      </w:r>
      <w:r w:rsidR="001D6DAA" w:rsidRPr="001D6DAA">
        <w:rPr>
          <w:rFonts w:ascii="Times New Roman"/>
          <w:i/>
          <w:kern w:val="0"/>
          <w:lang w:val="en-GB"/>
        </w:rPr>
        <w:t xml:space="preserve">major Asian markets </w:t>
      </w:r>
      <w:r w:rsidR="00CA4C80">
        <w:rPr>
          <w:rFonts w:ascii="Times New Roman"/>
          <w:i/>
          <w:kern w:val="0"/>
          <w:lang w:val="en-GB"/>
        </w:rPr>
        <w:t>declined</w:t>
      </w:r>
      <w:r w:rsidR="0082664A" w:rsidRPr="00D110CB">
        <w:rPr>
          <w:rFonts w:ascii="Times New Roman" w:eastAsiaTheme="minorEastAsia"/>
          <w:i/>
          <w:kern w:val="0"/>
          <w:lang w:val="en-GB" w:eastAsia="zh-HK"/>
        </w:rPr>
        <w:t>.</w:t>
      </w:r>
      <w:r w:rsidR="009C154B" w:rsidRPr="00D110CB">
        <w:rPr>
          <w:rFonts w:ascii="Times New Roman" w:eastAsiaTheme="minorEastAsia"/>
          <w:i/>
          <w:kern w:val="0"/>
          <w:lang w:val="en-GB" w:eastAsia="zh-HK"/>
        </w:rPr>
        <w:t xml:space="preserve"> </w:t>
      </w:r>
      <w:r w:rsidR="00C70DCA" w:rsidRPr="00E3684C">
        <w:rPr>
          <w:rFonts w:ascii="Times New Roman"/>
          <w:i/>
          <w:kern w:val="0"/>
          <w:lang w:val="en-GB"/>
        </w:rPr>
        <w:t xml:space="preserve"> </w:t>
      </w:r>
      <w:r w:rsidR="0079430F">
        <w:rPr>
          <w:rFonts w:ascii="Times New Roman"/>
          <w:i/>
          <w:kern w:val="0"/>
          <w:lang w:val="en-GB"/>
        </w:rPr>
        <w:t>E</w:t>
      </w:r>
      <w:r w:rsidR="0079430F" w:rsidRPr="006E4E92">
        <w:rPr>
          <w:rFonts w:ascii="Times New Roman"/>
          <w:i/>
          <w:kern w:val="0"/>
          <w:lang w:val="en-GB"/>
        </w:rPr>
        <w:t xml:space="preserve">xports </w:t>
      </w:r>
      <w:r w:rsidR="00BD6A96" w:rsidRPr="006E4E92">
        <w:rPr>
          <w:rFonts w:ascii="Times New Roman"/>
          <w:i/>
          <w:kern w:val="0"/>
          <w:lang w:val="en-GB"/>
        </w:rPr>
        <w:t xml:space="preserve">of services </w:t>
      </w:r>
      <w:r w:rsidR="002D175D">
        <w:rPr>
          <w:rFonts w:ascii="Times New Roman"/>
          <w:i/>
          <w:kern w:val="0"/>
          <w:lang w:val="en-GB"/>
        </w:rPr>
        <w:t>increased further</w:t>
      </w:r>
      <w:r w:rsidR="001D6DAA" w:rsidRPr="001D6DAA">
        <w:rPr>
          <w:rFonts w:ascii="Times New Roman"/>
          <w:i/>
          <w:kern w:val="0"/>
          <w:lang w:val="en-GB"/>
        </w:rPr>
        <w:t xml:space="preserve">.  </w:t>
      </w:r>
      <w:r w:rsidR="002D175D" w:rsidRPr="002D175D">
        <w:rPr>
          <w:rFonts w:ascii="Times New Roman"/>
          <w:i/>
          <w:kern w:val="0"/>
          <w:lang w:val="en-HK"/>
        </w:rPr>
        <w:t xml:space="preserve">Exports </w:t>
      </w:r>
      <w:r w:rsidR="002D175D" w:rsidRPr="002D175D">
        <w:rPr>
          <w:rFonts w:ascii="Times New Roman"/>
          <w:i/>
          <w:kern w:val="0"/>
          <w:lang w:val="en-GB"/>
        </w:rPr>
        <w:t>of financial services</w:t>
      </w:r>
      <w:r w:rsidR="002D175D" w:rsidRPr="002D175D">
        <w:rPr>
          <w:rFonts w:ascii="Times New Roman"/>
          <w:i/>
          <w:kern w:val="0"/>
          <w:lang w:val="en-HK"/>
        </w:rPr>
        <w:t xml:space="preserve">, </w:t>
      </w:r>
      <w:r w:rsidR="002D175D" w:rsidRPr="002D175D">
        <w:rPr>
          <w:rFonts w:ascii="Times New Roman"/>
          <w:i/>
          <w:kern w:val="0"/>
          <w:lang w:val="en-GB"/>
        </w:rPr>
        <w:t>business and other se</w:t>
      </w:r>
      <w:r w:rsidR="001958D5">
        <w:rPr>
          <w:rFonts w:ascii="Times New Roman"/>
          <w:i/>
          <w:kern w:val="0"/>
          <w:lang w:val="en-GB"/>
        </w:rPr>
        <w:t xml:space="preserve">rvices, and transport services </w:t>
      </w:r>
      <w:r w:rsidR="002D175D" w:rsidRPr="002D175D">
        <w:rPr>
          <w:rFonts w:ascii="Times New Roman"/>
          <w:i/>
          <w:kern w:val="0"/>
          <w:lang w:val="en-GB"/>
        </w:rPr>
        <w:t>grew further.  Meanwhile,</w:t>
      </w:r>
      <w:r w:rsidR="001958D5">
        <w:rPr>
          <w:rFonts w:ascii="Times New Roman"/>
          <w:i/>
          <w:kern w:val="0"/>
          <w:lang w:val="en-GB"/>
        </w:rPr>
        <w:t xml:space="preserve"> exports of travel services </w:t>
      </w:r>
      <w:r w:rsidR="002D175D" w:rsidRPr="002D175D">
        <w:rPr>
          <w:rFonts w:ascii="Times New Roman"/>
          <w:i/>
          <w:kern w:val="0"/>
          <w:lang w:val="en-GB"/>
        </w:rPr>
        <w:t>continued to decline alongside the change in consumption patterns of visitors and the strength of the Hong Kong dollar</w:t>
      </w:r>
      <w:r w:rsidR="008F39C6">
        <w:rPr>
          <w:rFonts w:ascii="Times New Roman"/>
          <w:i/>
          <w:kern w:val="0"/>
          <w:lang w:val="en-GB"/>
        </w:rPr>
        <w:t>.</w:t>
      </w:r>
    </w:p>
    <w:p w:rsidR="00CD4872" w:rsidRPr="0011242C" w:rsidRDefault="00D47BD7" w:rsidP="000A08A9">
      <w:pPr>
        <w:pStyle w:val="BodyText"/>
        <w:numPr>
          <w:ilvl w:val="0"/>
          <w:numId w:val="1"/>
        </w:numPr>
        <w:spacing w:before="120" w:after="120" w:line="240" w:lineRule="auto"/>
        <w:ind w:right="28"/>
        <w:jc w:val="both"/>
        <w:rPr>
          <w:rFonts w:ascii="Times New Roman"/>
          <w:i/>
          <w:kern w:val="0"/>
          <w:lang w:val="en-GB" w:eastAsia="zh-HK"/>
        </w:rPr>
      </w:pPr>
      <w:r w:rsidRPr="0011242C">
        <w:rPr>
          <w:rFonts w:ascii="Times New Roman"/>
          <w:i/>
          <w:kern w:val="0"/>
          <w:lang w:val="en-GB" w:eastAsia="zh-HK"/>
        </w:rPr>
        <w:t>Domestically, p</w:t>
      </w:r>
      <w:r w:rsidR="00751398" w:rsidRPr="0011242C">
        <w:rPr>
          <w:rFonts w:ascii="Times New Roman"/>
          <w:bCs/>
          <w:i/>
          <w:kern w:val="0"/>
          <w:lang w:val="en-GB" w:eastAsia="zh-HK"/>
        </w:rPr>
        <w:t xml:space="preserve">rivate </w:t>
      </w:r>
      <w:r w:rsidR="007C295D" w:rsidRPr="0011242C">
        <w:rPr>
          <w:rFonts w:ascii="Times New Roman"/>
          <w:bCs/>
          <w:i/>
          <w:kern w:val="0"/>
          <w:lang w:val="en-GB" w:eastAsia="zh-HK"/>
        </w:rPr>
        <w:t>consumption</w:t>
      </w:r>
      <w:r w:rsidR="00084056" w:rsidRPr="0011242C">
        <w:rPr>
          <w:rFonts w:ascii="Times New Roman"/>
          <w:bCs/>
          <w:i/>
          <w:kern w:val="0"/>
          <w:lang w:val="en-GB" w:eastAsia="zh-HK"/>
        </w:rPr>
        <w:t xml:space="preserve"> expenditure</w:t>
      </w:r>
      <w:r w:rsidR="00AB01D8" w:rsidRPr="0011242C">
        <w:rPr>
          <w:rFonts w:ascii="Times New Roman"/>
          <w:bCs/>
          <w:i/>
          <w:kern w:val="0"/>
          <w:lang w:val="en-GB" w:eastAsia="zh-HK"/>
        </w:rPr>
        <w:t xml:space="preserve"> </w:t>
      </w:r>
      <w:r w:rsidR="005B6C30" w:rsidRPr="0011242C">
        <w:rPr>
          <w:rFonts w:ascii="Times New Roman"/>
          <w:bCs/>
          <w:i/>
          <w:kern w:val="0"/>
          <w:lang w:val="en-GB" w:eastAsia="zh-HK"/>
        </w:rPr>
        <w:t xml:space="preserve">continued to </w:t>
      </w:r>
      <w:r w:rsidR="00EA0EE4" w:rsidRPr="0011242C">
        <w:rPr>
          <w:rFonts w:ascii="Times New Roman"/>
          <w:bCs/>
          <w:i/>
          <w:kern w:val="0"/>
          <w:lang w:val="en-GB" w:eastAsia="zh-HK"/>
        </w:rPr>
        <w:t>decline</w:t>
      </w:r>
      <w:r w:rsidR="003949DC" w:rsidRPr="0011242C">
        <w:rPr>
          <w:rFonts w:ascii="Times New Roman"/>
          <w:bCs/>
          <w:i/>
          <w:kern w:val="0"/>
          <w:lang w:val="en-GB" w:eastAsia="zh-HK"/>
        </w:rPr>
        <w:t xml:space="preserve"> in the </w:t>
      </w:r>
      <w:r w:rsidR="005678AC" w:rsidRPr="0011242C">
        <w:rPr>
          <w:rFonts w:ascii="Times New Roman"/>
          <w:bCs/>
          <w:i/>
          <w:kern w:val="0"/>
          <w:lang w:val="en-GB" w:eastAsia="zh-HK"/>
        </w:rPr>
        <w:t xml:space="preserve">third </w:t>
      </w:r>
      <w:r w:rsidR="003949DC" w:rsidRPr="0011242C">
        <w:rPr>
          <w:rFonts w:ascii="Times New Roman"/>
          <w:bCs/>
          <w:i/>
          <w:kern w:val="0"/>
          <w:lang w:val="en-GB" w:eastAsia="zh-HK"/>
        </w:rPr>
        <w:t>quarter</w:t>
      </w:r>
      <w:r w:rsidR="005B6C30" w:rsidRPr="0011242C">
        <w:rPr>
          <w:rFonts w:ascii="Times New Roman"/>
          <w:bCs/>
          <w:i/>
          <w:kern w:val="0"/>
          <w:lang w:val="en-GB" w:eastAsia="zh-HK"/>
        </w:rPr>
        <w:t xml:space="preserve"> amid</w:t>
      </w:r>
      <w:r w:rsidR="009A7E11" w:rsidRPr="0011242C">
        <w:rPr>
          <w:rFonts w:ascii="Times New Roman"/>
          <w:bCs/>
          <w:i/>
          <w:kern w:val="0"/>
          <w:lang w:val="en-GB" w:eastAsia="zh-HK"/>
        </w:rPr>
        <w:t xml:space="preserve"> the</w:t>
      </w:r>
      <w:r w:rsidR="00956748" w:rsidRPr="0011242C">
        <w:rPr>
          <w:rFonts w:ascii="Times New Roman"/>
          <w:bCs/>
          <w:i/>
          <w:kern w:val="0"/>
          <w:lang w:val="en-GB" w:eastAsia="zh-HK"/>
        </w:rPr>
        <w:t xml:space="preserve"> change in consumption patterns </w:t>
      </w:r>
      <w:r w:rsidR="00E52108" w:rsidRPr="0011242C">
        <w:rPr>
          <w:rFonts w:ascii="Times New Roman"/>
          <w:bCs/>
          <w:i/>
          <w:kern w:val="0"/>
          <w:lang w:val="en-GB" w:eastAsia="zh-HK"/>
        </w:rPr>
        <w:t>of residents</w:t>
      </w:r>
      <w:r w:rsidR="00956748" w:rsidRPr="0011242C">
        <w:rPr>
          <w:rFonts w:ascii="Times New Roman"/>
          <w:bCs/>
          <w:i/>
          <w:kern w:val="0"/>
          <w:lang w:val="en-GB" w:eastAsia="zh-HK"/>
        </w:rPr>
        <w:t>.</w:t>
      </w:r>
      <w:r w:rsidR="00B863C2" w:rsidRPr="0011242C">
        <w:rPr>
          <w:rFonts w:ascii="Times New Roman"/>
          <w:bCs/>
          <w:i/>
          <w:kern w:val="0"/>
          <w:lang w:val="en-GB" w:eastAsia="zh-HK"/>
        </w:rPr>
        <w:t xml:space="preserve"> </w:t>
      </w:r>
      <w:r w:rsidR="00B863C2" w:rsidRPr="0011242C">
        <w:rPr>
          <w:rFonts w:ascii="Times New Roman"/>
          <w:i/>
          <w:kern w:val="0"/>
          <w:lang w:val="en-GB" w:eastAsia="zh-HK"/>
        </w:rPr>
        <w:t xml:space="preserve"> </w:t>
      </w:r>
      <w:r w:rsidR="001C4809">
        <w:rPr>
          <w:rFonts w:ascii="Times New Roman"/>
          <w:i/>
          <w:kern w:val="0"/>
          <w:lang w:val="en-GB" w:eastAsia="zh-HK"/>
        </w:rPr>
        <w:t>Meanwhile, o</w:t>
      </w:r>
      <w:r w:rsidR="00FD0F30" w:rsidRPr="0011242C">
        <w:rPr>
          <w:rFonts w:ascii="Times New Roman"/>
          <w:i/>
          <w:kern w:val="0"/>
          <w:lang w:val="en-GB"/>
        </w:rPr>
        <w:t>verall i</w:t>
      </w:r>
      <w:r w:rsidR="006F51B2" w:rsidRPr="0011242C">
        <w:rPr>
          <w:rFonts w:ascii="Times New Roman"/>
          <w:i/>
          <w:kern w:val="0"/>
          <w:lang w:val="en-GB"/>
        </w:rPr>
        <w:t xml:space="preserve">nvestment expenditure </w:t>
      </w:r>
      <w:r w:rsidR="008C23F8" w:rsidRPr="0011242C">
        <w:rPr>
          <w:rFonts w:ascii="Times New Roman"/>
          <w:i/>
          <w:kern w:val="0"/>
          <w:lang w:val="en-GB"/>
        </w:rPr>
        <w:t xml:space="preserve">increased </w:t>
      </w:r>
      <w:r w:rsidR="005B6C30" w:rsidRPr="0011242C">
        <w:rPr>
          <w:rFonts w:ascii="Times New Roman"/>
          <w:i/>
          <w:kern w:val="0"/>
          <w:lang w:val="en-GB"/>
        </w:rPr>
        <w:t xml:space="preserve">further </w:t>
      </w:r>
      <w:r w:rsidR="00CC7FC5" w:rsidRPr="0011242C">
        <w:rPr>
          <w:rFonts w:ascii="Times New Roman"/>
          <w:i/>
          <w:kern w:val="0"/>
          <w:lang w:val="en-GB"/>
        </w:rPr>
        <w:t xml:space="preserve">in tandem with </w:t>
      </w:r>
      <w:r w:rsidR="004B34D1" w:rsidRPr="0011242C">
        <w:rPr>
          <w:rFonts w:ascii="Times New Roman"/>
          <w:i/>
          <w:kern w:val="0"/>
          <w:lang w:val="en-GB"/>
        </w:rPr>
        <w:t>the overall economic growth</w:t>
      </w:r>
      <w:r w:rsidR="008314F8" w:rsidRPr="0011242C">
        <w:rPr>
          <w:rFonts w:ascii="Times New Roman"/>
          <w:i/>
          <w:kern w:val="0"/>
          <w:lang w:val="en-GB"/>
        </w:rPr>
        <w:t>.</w:t>
      </w:r>
    </w:p>
    <w:p w:rsidR="005238C0" w:rsidRPr="00E93EF1" w:rsidRDefault="00E62D47" w:rsidP="0030653F">
      <w:pPr>
        <w:pStyle w:val="BodyText"/>
        <w:numPr>
          <w:ilvl w:val="0"/>
          <w:numId w:val="1"/>
        </w:numPr>
        <w:spacing w:before="120" w:after="120" w:line="240" w:lineRule="auto"/>
        <w:ind w:right="28"/>
        <w:jc w:val="both"/>
        <w:rPr>
          <w:rFonts w:ascii="Times New Roman"/>
          <w:i/>
          <w:kern w:val="0"/>
          <w:lang w:val="en-GB"/>
        </w:rPr>
      </w:pPr>
      <w:r w:rsidRPr="008F696F">
        <w:rPr>
          <w:rFonts w:ascii="Times New Roman"/>
          <w:i/>
          <w:kern w:val="0"/>
          <w:lang w:val="en-GB"/>
        </w:rPr>
        <w:t xml:space="preserve">The labour market </w:t>
      </w:r>
      <w:r w:rsidR="00F3249B" w:rsidRPr="00F3249B">
        <w:rPr>
          <w:rFonts w:ascii="Times New Roman"/>
          <w:i/>
          <w:kern w:val="0"/>
          <w:lang w:val="en-HK"/>
        </w:rPr>
        <w:t>remained tight in the third quarter</w:t>
      </w:r>
      <w:r w:rsidR="00267796" w:rsidRPr="00267796">
        <w:rPr>
          <w:rFonts w:ascii="Times New Roman"/>
          <w:i/>
          <w:kern w:val="0"/>
          <w:lang w:val="en-HK"/>
        </w:rPr>
        <w:t xml:space="preserve">.  </w:t>
      </w:r>
      <w:r w:rsidR="00F3249B" w:rsidRPr="00F3249B">
        <w:rPr>
          <w:rFonts w:ascii="Times New Roman"/>
          <w:i/>
          <w:kern w:val="0"/>
          <w:lang w:val="en-HK"/>
        </w:rPr>
        <w:t>The seasonally adjusted unemployment rate stayed low at 3.0%, same as the preceding quarter.  The underemployment rate also remained unchanged at a low level of 1.2%.</w:t>
      </w:r>
      <w:r w:rsidR="002A34F7" w:rsidRPr="002A34F7">
        <w:rPr>
          <w:rFonts w:ascii="Times New Roman"/>
          <w:i/>
          <w:kern w:val="0"/>
          <w:lang w:val="en-HK"/>
        </w:rPr>
        <w:t xml:space="preserve"> </w:t>
      </w:r>
    </w:p>
    <w:p w:rsidR="004367BC" w:rsidRPr="00566240" w:rsidRDefault="004525C4" w:rsidP="00936F6F">
      <w:pPr>
        <w:pStyle w:val="BodyText"/>
        <w:numPr>
          <w:ilvl w:val="0"/>
          <w:numId w:val="1"/>
        </w:numPr>
        <w:spacing w:before="120" w:after="120" w:line="240" w:lineRule="auto"/>
        <w:ind w:right="28"/>
        <w:jc w:val="both"/>
        <w:rPr>
          <w:rFonts w:ascii="Times New Roman"/>
          <w:i/>
          <w:kern w:val="0"/>
          <w:lang w:val="en-GB"/>
        </w:rPr>
      </w:pPr>
      <w:r w:rsidRPr="004525C4">
        <w:rPr>
          <w:rFonts w:ascii="Times New Roman"/>
          <w:i/>
          <w:kern w:val="0"/>
          <w:lang w:val="en-HK"/>
        </w:rPr>
        <w:t xml:space="preserve">The local stock market stayed soft on entering the third quarter amid uncertainties surrounding the pace of US interest rate cuts and the economic outlook of major economies.  Following the US’ rate cut </w:t>
      </w:r>
      <w:r w:rsidR="000673B8">
        <w:rPr>
          <w:rFonts w:ascii="Times New Roman"/>
          <w:i/>
          <w:kern w:val="0"/>
          <w:lang w:val="en-HK"/>
        </w:rPr>
        <w:t xml:space="preserve">in mid-September </w:t>
      </w:r>
      <w:r w:rsidRPr="004525C4">
        <w:rPr>
          <w:rFonts w:ascii="Times New Roman"/>
          <w:i/>
          <w:kern w:val="0"/>
          <w:lang w:val="en-HK"/>
        </w:rPr>
        <w:t xml:space="preserve">and the Mainland’s </w:t>
      </w:r>
      <w:r w:rsidR="00E66DF2">
        <w:rPr>
          <w:rFonts w:ascii="Times New Roman"/>
          <w:i/>
          <w:kern w:val="0"/>
          <w:lang w:val="en-HK"/>
        </w:rPr>
        <w:t xml:space="preserve">subsequent </w:t>
      </w:r>
      <w:r w:rsidRPr="004525C4">
        <w:rPr>
          <w:rFonts w:ascii="Times New Roman"/>
          <w:i/>
          <w:kern w:val="0"/>
          <w:lang w:val="en-HK"/>
        </w:rPr>
        <w:t xml:space="preserve">announcement of a package of support measures, market sentiment improved visibly and the </w:t>
      </w:r>
      <w:r w:rsidR="00F317A0">
        <w:rPr>
          <w:rFonts w:ascii="Times New Roman"/>
          <w:i/>
          <w:kern w:val="0"/>
          <w:lang w:val="en-HK"/>
        </w:rPr>
        <w:t>Hang Seng Index (</w:t>
      </w:r>
      <w:r w:rsidR="00CC0C7E">
        <w:rPr>
          <w:rFonts w:ascii="Times New Roman"/>
          <w:i/>
          <w:kern w:val="0"/>
          <w:lang w:val="en-HK"/>
        </w:rPr>
        <w:t>HSI</w:t>
      </w:r>
      <w:r w:rsidR="00F317A0">
        <w:rPr>
          <w:rFonts w:ascii="Times New Roman"/>
          <w:i/>
          <w:kern w:val="0"/>
          <w:lang w:val="en-HK"/>
        </w:rPr>
        <w:t>)</w:t>
      </w:r>
      <w:r w:rsidRPr="004525C4">
        <w:rPr>
          <w:rFonts w:ascii="Times New Roman"/>
          <w:i/>
          <w:kern w:val="0"/>
          <w:lang w:val="en-HK"/>
        </w:rPr>
        <w:t xml:space="preserve"> jumped to close the quarter at 21 134, 19.3% higher than end-June</w:t>
      </w:r>
      <w:r w:rsidR="00676A47" w:rsidRPr="00566240">
        <w:rPr>
          <w:rFonts w:ascii="Times New Roman"/>
          <w:i/>
          <w:kern w:val="0"/>
          <w:lang w:val="en-GB"/>
        </w:rPr>
        <w:t xml:space="preserve">.  </w:t>
      </w:r>
      <w:r w:rsidR="00DD3BFC" w:rsidRPr="00DD3BFC">
        <w:rPr>
          <w:rFonts w:ascii="Times New Roman"/>
          <w:i/>
          <w:iCs/>
          <w:kern w:val="0"/>
          <w:lang w:val="en-GB"/>
        </w:rPr>
        <w:t xml:space="preserve">The </w:t>
      </w:r>
      <w:r w:rsidR="000A2EC9" w:rsidRPr="000A2EC9">
        <w:rPr>
          <w:rFonts w:ascii="Times New Roman"/>
          <w:i/>
          <w:iCs/>
          <w:kern w:val="0"/>
          <w:lang w:val="en-GB"/>
        </w:rPr>
        <w:t xml:space="preserve">residential property </w:t>
      </w:r>
      <w:r w:rsidR="00305795" w:rsidRPr="00305795">
        <w:rPr>
          <w:rFonts w:ascii="Times New Roman"/>
          <w:i/>
          <w:iCs/>
          <w:kern w:val="0"/>
          <w:lang w:val="en-GB"/>
        </w:rPr>
        <w:t xml:space="preserve">market was quiet for most of the third quarter, but market sentiment improved </w:t>
      </w:r>
      <w:r w:rsidR="00344D61">
        <w:rPr>
          <w:rFonts w:ascii="Times New Roman"/>
          <w:i/>
          <w:iCs/>
          <w:kern w:val="0"/>
          <w:lang w:val="en-GB"/>
        </w:rPr>
        <w:t>and</w:t>
      </w:r>
      <w:r w:rsidR="00344D61" w:rsidRPr="00305795">
        <w:rPr>
          <w:rFonts w:ascii="Times New Roman"/>
          <w:i/>
          <w:iCs/>
          <w:kern w:val="0"/>
          <w:lang w:val="en-GB"/>
        </w:rPr>
        <w:t xml:space="preserve"> </w:t>
      </w:r>
      <w:r w:rsidR="00305795" w:rsidRPr="00305795">
        <w:rPr>
          <w:rFonts w:ascii="Times New Roman"/>
          <w:i/>
          <w:iCs/>
          <w:kern w:val="0"/>
          <w:lang w:val="en-GB"/>
        </w:rPr>
        <w:t>developers stepped up launches of new projects</w:t>
      </w:r>
      <w:r w:rsidR="00344D61" w:rsidRPr="00344D61">
        <w:rPr>
          <w:rFonts w:ascii="Times New Roman"/>
          <w:i/>
          <w:iCs/>
          <w:kern w:val="0"/>
          <w:lang w:val="en-GB"/>
        </w:rPr>
        <w:t xml:space="preserve"> </w:t>
      </w:r>
      <w:r w:rsidR="00344D61" w:rsidRPr="00305795">
        <w:rPr>
          <w:rFonts w:ascii="Times New Roman"/>
          <w:i/>
          <w:iCs/>
          <w:kern w:val="0"/>
          <w:lang w:val="en-GB"/>
        </w:rPr>
        <w:t>after the US</w:t>
      </w:r>
      <w:r w:rsidR="00344D61">
        <w:rPr>
          <w:rFonts w:ascii="Times New Roman"/>
          <w:i/>
          <w:iCs/>
          <w:kern w:val="0"/>
          <w:lang w:val="en-GB"/>
        </w:rPr>
        <w:t>’</w:t>
      </w:r>
      <w:r w:rsidR="00344D61" w:rsidRPr="00305795">
        <w:rPr>
          <w:rFonts w:ascii="Times New Roman"/>
          <w:i/>
          <w:iCs/>
          <w:kern w:val="0"/>
          <w:lang w:val="en-GB"/>
        </w:rPr>
        <w:t xml:space="preserve"> rate cut</w:t>
      </w:r>
      <w:r w:rsidR="00305795" w:rsidRPr="00305795">
        <w:rPr>
          <w:rFonts w:ascii="Times New Roman"/>
          <w:i/>
          <w:iCs/>
          <w:kern w:val="0"/>
          <w:lang w:val="en-GB"/>
        </w:rPr>
        <w:t>.  For the quarter as a whole, trading activities were lower than the preceding quarter, while flat prices remained soft</w:t>
      </w:r>
      <w:r w:rsidR="000C5A75" w:rsidRPr="00566240">
        <w:rPr>
          <w:rFonts w:ascii="Times New Roman"/>
          <w:i/>
          <w:kern w:val="0"/>
          <w:lang w:val="en-GB"/>
        </w:rPr>
        <w:t>.</w:t>
      </w:r>
    </w:p>
    <w:p w:rsidR="000F01D0" w:rsidRPr="000F01D0" w:rsidRDefault="000F01D0" w:rsidP="000F01D0">
      <w:pPr>
        <w:pStyle w:val="BodyText"/>
        <w:tabs>
          <w:tab w:val="num" w:pos="840"/>
        </w:tabs>
        <w:spacing w:before="120" w:after="120" w:line="240" w:lineRule="auto"/>
        <w:ind w:left="425" w:right="28"/>
        <w:jc w:val="both"/>
        <w:rPr>
          <w:rFonts w:ascii="Times New Roman"/>
          <w:i/>
          <w:spacing w:val="-4"/>
          <w:kern w:val="0"/>
          <w:szCs w:val="28"/>
          <w:lang w:val="en-GB"/>
        </w:rPr>
      </w:pPr>
    </w:p>
    <w:p w:rsidR="002F4C2B" w:rsidRPr="00DC5F66" w:rsidRDefault="004B4979" w:rsidP="0057632C">
      <w:pPr>
        <w:pStyle w:val="BodyText"/>
        <w:numPr>
          <w:ilvl w:val="0"/>
          <w:numId w:val="1"/>
        </w:numPr>
        <w:tabs>
          <w:tab w:val="num" w:pos="840"/>
        </w:tabs>
        <w:spacing w:before="120" w:after="120" w:line="240" w:lineRule="auto"/>
        <w:ind w:right="28"/>
        <w:jc w:val="both"/>
        <w:rPr>
          <w:rFonts w:ascii="Times New Roman"/>
          <w:i/>
          <w:spacing w:val="-4"/>
          <w:kern w:val="0"/>
          <w:szCs w:val="28"/>
          <w:lang w:val="en-GB"/>
        </w:rPr>
      </w:pPr>
      <w:r w:rsidRPr="006D0D3A">
        <w:rPr>
          <w:rFonts w:ascii="Times New Roman"/>
          <w:i/>
          <w:kern w:val="0"/>
          <w:lang w:val="en-GB"/>
        </w:rPr>
        <w:lastRenderedPageBreak/>
        <w:t xml:space="preserve">Underlying consumer price inflation </w:t>
      </w:r>
      <w:r w:rsidR="00A94EC9">
        <w:rPr>
          <w:rFonts w:ascii="Times New Roman"/>
          <w:i/>
          <w:kern w:val="0"/>
          <w:lang w:val="en-GB"/>
        </w:rPr>
        <w:t>remained</w:t>
      </w:r>
      <w:r w:rsidR="009C154B" w:rsidRPr="009C154B">
        <w:rPr>
          <w:rFonts w:ascii="Times New Roman"/>
          <w:i/>
          <w:kern w:val="0"/>
          <w:lang w:val="en-GB"/>
        </w:rPr>
        <w:t xml:space="preserve"> </w:t>
      </w:r>
      <w:r w:rsidR="00287A02">
        <w:rPr>
          <w:rFonts w:ascii="Times New Roman"/>
          <w:i/>
          <w:kern w:val="0"/>
          <w:lang w:val="en-GB"/>
        </w:rPr>
        <w:t>modest</w:t>
      </w:r>
      <w:r w:rsidR="00287A02" w:rsidRPr="009C154B">
        <w:rPr>
          <w:rFonts w:ascii="Times New Roman"/>
          <w:i/>
          <w:kern w:val="0"/>
          <w:lang w:val="en-GB"/>
        </w:rPr>
        <w:t xml:space="preserve"> </w:t>
      </w:r>
      <w:r w:rsidR="009C154B" w:rsidRPr="009C154B">
        <w:rPr>
          <w:rFonts w:ascii="Times New Roman"/>
          <w:i/>
          <w:kern w:val="0"/>
          <w:lang w:val="en-GB"/>
        </w:rPr>
        <w:t xml:space="preserve">in </w:t>
      </w:r>
      <w:r w:rsidR="004D7D57">
        <w:rPr>
          <w:rFonts w:ascii="Times New Roman"/>
          <w:i/>
          <w:kern w:val="0"/>
          <w:lang w:val="en-GB"/>
        </w:rPr>
        <w:t xml:space="preserve">overall terms in </w:t>
      </w:r>
      <w:r w:rsidR="009C154B" w:rsidRPr="009C154B">
        <w:rPr>
          <w:rFonts w:ascii="Times New Roman"/>
          <w:i/>
          <w:kern w:val="0"/>
          <w:lang w:val="en-GB"/>
        </w:rPr>
        <w:t xml:space="preserve">the </w:t>
      </w:r>
      <w:r w:rsidR="004D7D57">
        <w:rPr>
          <w:rFonts w:ascii="Times New Roman"/>
          <w:i/>
          <w:kern w:val="0"/>
          <w:lang w:val="en-GB"/>
        </w:rPr>
        <w:t>third</w:t>
      </w:r>
      <w:r w:rsidR="009C154B" w:rsidRPr="009C154B">
        <w:rPr>
          <w:rFonts w:ascii="Times New Roman"/>
          <w:i/>
          <w:kern w:val="0"/>
          <w:lang w:val="en-GB"/>
        </w:rPr>
        <w:t xml:space="preserve"> quarter.  </w:t>
      </w:r>
      <w:r w:rsidR="004D7D57" w:rsidRPr="004D7D57">
        <w:rPr>
          <w:rFonts w:ascii="Times New Roman"/>
          <w:i/>
          <w:kern w:val="0"/>
          <w:lang w:val="en-GB"/>
        </w:rPr>
        <w:t>Prices of meals out and takeaway food increased at a moderated pace over a year earlier.  Increases in private housing rentals remained small.  Prices of electricity continued to record visible decline</w:t>
      </w:r>
      <w:r w:rsidR="004D7D57" w:rsidRPr="00B2619E">
        <w:rPr>
          <w:rFonts w:ascii="Times New Roman"/>
          <w:i/>
          <w:kern w:val="0"/>
          <w:lang w:val="en-GB"/>
        </w:rPr>
        <w:t>.</w:t>
      </w:r>
      <w:r w:rsidR="004D7D57" w:rsidRPr="004D7D57">
        <w:rPr>
          <w:rFonts w:ascii="Times New Roman"/>
          <w:i/>
          <w:kern w:val="0"/>
          <w:lang w:val="en-GB"/>
        </w:rPr>
        <w:t xml:space="preserve">  Price pressures on other major components were generally in check.</w:t>
      </w:r>
    </w:p>
    <w:p w:rsidR="00E87895" w:rsidRDefault="00E87895" w:rsidP="0007769F">
      <w:pPr>
        <w:widowControl/>
        <w:rPr>
          <w:b/>
        </w:rPr>
      </w:pPr>
    </w:p>
    <w:p w:rsidR="000F01D0" w:rsidRDefault="000F01D0" w:rsidP="0007769F">
      <w:pPr>
        <w:widowControl/>
        <w:rPr>
          <w:b/>
        </w:rPr>
      </w:pPr>
    </w:p>
    <w:p w:rsidR="00662CF9" w:rsidRPr="0007769F" w:rsidRDefault="00662CF9" w:rsidP="0007769F">
      <w:pPr>
        <w:widowControl/>
        <w:rPr>
          <w:rFonts w:eastAsiaTheme="minorEastAsia"/>
          <w:bCs/>
        </w:rPr>
      </w:pPr>
      <w:r w:rsidRPr="0007769F">
        <w:rPr>
          <w:b/>
          <w:sz w:val="28"/>
          <w:szCs w:val="20"/>
        </w:rPr>
        <w:t>Overall situation</w:t>
      </w:r>
    </w:p>
    <w:p w:rsidR="00662CF9" w:rsidRPr="00622ED9" w:rsidRDefault="00662CF9" w:rsidP="00DA5B9C">
      <w:pPr>
        <w:rPr>
          <w:b/>
          <w:bCs/>
        </w:rPr>
      </w:pPr>
    </w:p>
    <w:p w:rsidR="00847596" w:rsidRPr="00822A70" w:rsidRDefault="00C70DCA" w:rsidP="00294024">
      <w:pPr>
        <w:pStyle w:val="BodyText"/>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sidRPr="00294024">
        <w:rPr>
          <w:rFonts w:ascii="Times New Roman"/>
          <w:lang w:val="en-GB"/>
        </w:rPr>
        <w:t xml:space="preserve">The </w:t>
      </w:r>
      <w:r w:rsidR="00056EC0" w:rsidRPr="00840577">
        <w:rPr>
          <w:rFonts w:ascii="Times New Roman"/>
          <w:bCs/>
          <w:lang w:val="en-GB"/>
        </w:rPr>
        <w:t xml:space="preserve">Hong Kong economy </w:t>
      </w:r>
      <w:r w:rsidR="005B6C30">
        <w:rPr>
          <w:rFonts w:ascii="Times New Roman"/>
          <w:bCs/>
          <w:lang w:val="en-GB"/>
        </w:rPr>
        <w:t xml:space="preserve">continued to </w:t>
      </w:r>
      <w:r w:rsidR="009E00E5">
        <w:rPr>
          <w:rFonts w:ascii="Times New Roman"/>
          <w:bCs/>
          <w:lang w:val="en-GB"/>
        </w:rPr>
        <w:t>expand</w:t>
      </w:r>
      <w:r w:rsidR="009F78D1" w:rsidRPr="00840577">
        <w:rPr>
          <w:rFonts w:ascii="Times New Roman"/>
          <w:bCs/>
          <w:lang w:val="en-GB"/>
        </w:rPr>
        <w:t xml:space="preserve">, </w:t>
      </w:r>
      <w:r w:rsidR="005B6C30">
        <w:rPr>
          <w:rFonts w:ascii="Times New Roman"/>
          <w:bCs/>
          <w:lang w:val="en-HK"/>
        </w:rPr>
        <w:t>though at a moderated pace</w:t>
      </w:r>
      <w:r w:rsidR="0004283F">
        <w:rPr>
          <w:rFonts w:ascii="Times New Roman"/>
          <w:bCs/>
          <w:lang w:val="en-HK"/>
        </w:rPr>
        <w:t xml:space="preserve">, </w:t>
      </w:r>
      <w:r w:rsidR="0004283F" w:rsidRPr="00840577">
        <w:rPr>
          <w:rFonts w:ascii="Times New Roman"/>
          <w:bCs/>
          <w:lang w:val="en-GB"/>
        </w:rPr>
        <w:t>in the third quarter of 2024</w:t>
      </w:r>
      <w:r w:rsidR="002C1C73">
        <w:rPr>
          <w:rFonts w:ascii="Times New Roman"/>
          <w:bCs/>
          <w:lang w:val="en-GB"/>
        </w:rPr>
        <w:t xml:space="preserve"> over a year earlier</w:t>
      </w:r>
      <w:r w:rsidR="0056272B" w:rsidRPr="00294024">
        <w:rPr>
          <w:rFonts w:ascii="Times New Roman"/>
          <w:lang w:val="en-GB"/>
        </w:rPr>
        <w:t xml:space="preserve">. </w:t>
      </w:r>
      <w:r w:rsidR="0056272B" w:rsidRPr="00056EC0">
        <w:rPr>
          <w:rFonts w:ascii="Times New Roman"/>
          <w:lang w:val="en-GB"/>
        </w:rPr>
        <w:t xml:space="preserve"> </w:t>
      </w:r>
      <w:r w:rsidR="009F78D1" w:rsidRPr="00840577">
        <w:rPr>
          <w:rFonts w:ascii="Times New Roman"/>
          <w:lang w:val="en-GB"/>
        </w:rPr>
        <w:t xml:space="preserve">Total </w:t>
      </w:r>
      <w:r w:rsidR="009F78D1" w:rsidRPr="00840577">
        <w:rPr>
          <w:rFonts w:ascii="Times New Roman"/>
          <w:bCs/>
          <w:lang w:val="en-GB"/>
        </w:rPr>
        <w:t xml:space="preserve">exports of goods </w:t>
      </w:r>
      <w:r w:rsidR="00234853">
        <w:rPr>
          <w:rFonts w:ascii="Times New Roman"/>
          <w:bCs/>
          <w:lang w:val="en-GB"/>
        </w:rPr>
        <w:t xml:space="preserve">saw decelerated </w:t>
      </w:r>
      <w:r w:rsidR="00344D61">
        <w:rPr>
          <w:rFonts w:ascii="Times New Roman"/>
          <w:bCs/>
          <w:lang w:val="en-GB"/>
        </w:rPr>
        <w:t>growth</w:t>
      </w:r>
      <w:r w:rsidR="005F0A82">
        <w:rPr>
          <w:rFonts w:ascii="Times New Roman"/>
          <w:bCs/>
          <w:lang w:val="en-GB"/>
        </w:rPr>
        <w:t>, while e</w:t>
      </w:r>
      <w:r w:rsidR="009F78D1" w:rsidRPr="00840577">
        <w:rPr>
          <w:rFonts w:ascii="Times New Roman"/>
          <w:bCs/>
          <w:lang w:val="en-GB"/>
        </w:rPr>
        <w:t xml:space="preserve">xports of services </w:t>
      </w:r>
      <w:r w:rsidR="00F97192">
        <w:rPr>
          <w:rFonts w:ascii="Times New Roman"/>
          <w:bCs/>
          <w:lang w:val="en-HK"/>
        </w:rPr>
        <w:t>increased further</w:t>
      </w:r>
      <w:r w:rsidR="009F78D1" w:rsidRPr="00840577">
        <w:rPr>
          <w:rFonts w:ascii="Times New Roman"/>
          <w:bCs/>
          <w:lang w:val="en-GB"/>
        </w:rPr>
        <w:t xml:space="preserve">.  </w:t>
      </w:r>
      <w:r w:rsidR="00234853">
        <w:rPr>
          <w:rFonts w:ascii="Times New Roman"/>
          <w:bCs/>
          <w:lang w:val="en-GB"/>
        </w:rPr>
        <w:t>O</w:t>
      </w:r>
      <w:r w:rsidR="009F78D1" w:rsidRPr="00840577">
        <w:rPr>
          <w:rFonts w:ascii="Times New Roman"/>
          <w:bCs/>
          <w:lang w:val="en-GB"/>
        </w:rPr>
        <w:t xml:space="preserve">verall investment expenditure </w:t>
      </w:r>
      <w:r w:rsidR="004B34D1">
        <w:rPr>
          <w:rFonts w:ascii="Times New Roman"/>
          <w:bCs/>
          <w:lang w:val="en-GB"/>
        </w:rPr>
        <w:t xml:space="preserve">rose </w:t>
      </w:r>
      <w:r w:rsidR="00234853">
        <w:rPr>
          <w:rFonts w:ascii="Times New Roman"/>
          <w:bCs/>
          <w:lang w:val="en-GB"/>
        </w:rPr>
        <w:t>further</w:t>
      </w:r>
      <w:r w:rsidR="00B51E18" w:rsidRPr="009F78D1">
        <w:rPr>
          <w:rFonts w:ascii="Times New Roman"/>
          <w:lang w:val="en-GB"/>
        </w:rPr>
        <w:t>.</w:t>
      </w:r>
      <w:r w:rsidR="00234853">
        <w:rPr>
          <w:rFonts w:ascii="Times New Roman"/>
          <w:lang w:val="en-GB"/>
        </w:rPr>
        <w:t xml:space="preserve">  </w:t>
      </w:r>
      <w:r w:rsidR="00234853" w:rsidRPr="001D6DAA">
        <w:rPr>
          <w:rFonts w:ascii="Times New Roman"/>
          <w:bCs/>
          <w:kern w:val="0"/>
          <w:lang w:val="en-GB"/>
        </w:rPr>
        <w:t xml:space="preserve">However, private consumption expenditure continued to </w:t>
      </w:r>
      <w:r w:rsidR="006858AD">
        <w:rPr>
          <w:rFonts w:ascii="Times New Roman"/>
          <w:bCs/>
          <w:kern w:val="0"/>
          <w:lang w:val="en-GB"/>
        </w:rPr>
        <w:t>decline</w:t>
      </w:r>
      <w:r w:rsidR="00234853" w:rsidRPr="001D6DAA">
        <w:rPr>
          <w:rFonts w:ascii="Times New Roman"/>
          <w:bCs/>
          <w:kern w:val="0"/>
          <w:lang w:val="en-GB"/>
        </w:rPr>
        <w:t xml:space="preserve">.  </w:t>
      </w:r>
    </w:p>
    <w:p w:rsidR="00B51E18" w:rsidRPr="00294024" w:rsidRDefault="00B51E18" w:rsidP="00294024">
      <w:pPr>
        <w:pStyle w:val="BodyText"/>
        <w:tabs>
          <w:tab w:val="left" w:pos="1260"/>
        </w:tabs>
        <w:overflowPunct w:val="0"/>
        <w:ind w:right="28"/>
        <w:jc w:val="both"/>
        <w:rPr>
          <w:rFonts w:ascii="Times New Roman" w:eastAsiaTheme="minorEastAsia"/>
          <w:spacing w:val="-4"/>
          <w:kern w:val="0"/>
          <w:szCs w:val="28"/>
          <w:lang w:val="en-GB" w:eastAsia="zh-HK"/>
        </w:rPr>
      </w:pPr>
    </w:p>
    <w:p w:rsidR="00C70DCA" w:rsidRPr="004506CC" w:rsidRDefault="00C70DCA" w:rsidP="00EA264A">
      <w:pPr>
        <w:pStyle w:val="BodyText"/>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lang w:val="en-GB"/>
        </w:rPr>
        <w:t xml:space="preserve">Real </w:t>
      </w:r>
      <w:r w:rsidRPr="00162B4D">
        <w:rPr>
          <w:rFonts w:ascii="Times New Roman"/>
          <w:lang w:val="en-GB"/>
        </w:rPr>
        <w:t xml:space="preserve">GDP </w:t>
      </w:r>
      <w:r>
        <w:rPr>
          <w:rFonts w:ascii="Times New Roman"/>
          <w:lang w:val="en-GB"/>
        </w:rPr>
        <w:t>grew</w:t>
      </w:r>
      <w:r w:rsidR="00056EC0">
        <w:rPr>
          <w:rFonts w:ascii="Times New Roman"/>
          <w:lang w:val="en-GB"/>
        </w:rPr>
        <w:t xml:space="preserve"> </w:t>
      </w:r>
      <w:r>
        <w:rPr>
          <w:rFonts w:ascii="Times New Roman"/>
          <w:lang w:val="en-GB"/>
        </w:rPr>
        <w:t xml:space="preserve">by </w:t>
      </w:r>
      <w:r w:rsidR="00506F91">
        <w:rPr>
          <w:rFonts w:ascii="Times New Roman"/>
          <w:lang w:val="en-GB"/>
        </w:rPr>
        <w:t>1.8</w:t>
      </w:r>
      <w:r w:rsidRPr="00162B4D">
        <w:rPr>
          <w:rFonts w:ascii="Times New Roman"/>
          <w:lang w:val="en-GB"/>
        </w:rPr>
        <w:t>%</w:t>
      </w:r>
      <w:r>
        <w:rPr>
          <w:rFonts w:ascii="Times New Roman"/>
          <w:lang w:val="en-GB"/>
        </w:rPr>
        <w:t xml:space="preserve"> </w:t>
      </w:r>
      <w:r>
        <w:rPr>
          <w:rFonts w:ascii="Times New Roman"/>
          <w:lang w:val="en-GB" w:eastAsia="zh-HK"/>
        </w:rPr>
        <w:t>year-on-year</w:t>
      </w:r>
      <w:r w:rsidRPr="00162B4D">
        <w:rPr>
          <w:rFonts w:ascii="Times New Roman"/>
          <w:lang w:val="en-GB"/>
        </w:rPr>
        <w:t xml:space="preserve"> </w:t>
      </w:r>
      <w:r>
        <w:rPr>
          <w:rFonts w:ascii="Times New Roman"/>
          <w:lang w:val="en-GB"/>
        </w:rPr>
        <w:t>i</w:t>
      </w:r>
      <w:r w:rsidRPr="00162B4D">
        <w:rPr>
          <w:rFonts w:ascii="Times New Roman"/>
          <w:lang w:val="en-GB"/>
        </w:rPr>
        <w:t xml:space="preserve">n the </w:t>
      </w:r>
      <w:r w:rsidR="00056EC0">
        <w:rPr>
          <w:rFonts w:ascii="Times New Roman"/>
          <w:lang w:val="en-GB"/>
        </w:rPr>
        <w:t>third</w:t>
      </w:r>
      <w:r w:rsidR="00056EC0" w:rsidRPr="00162B4D">
        <w:rPr>
          <w:rFonts w:ascii="Times New Roman"/>
          <w:lang w:val="en-GB"/>
        </w:rPr>
        <w:t xml:space="preserve"> </w:t>
      </w:r>
      <w:r w:rsidRPr="00162B4D">
        <w:rPr>
          <w:rFonts w:ascii="Times New Roman"/>
          <w:lang w:val="en-GB"/>
        </w:rPr>
        <w:t>quarter</w:t>
      </w:r>
      <w:r>
        <w:rPr>
          <w:rFonts w:ascii="Times New Roman"/>
          <w:lang w:val="en-GB"/>
        </w:rPr>
        <w:t xml:space="preserve"> </w:t>
      </w:r>
      <w:r w:rsidRPr="00162B4D">
        <w:rPr>
          <w:rFonts w:ascii="Times New Roman"/>
          <w:lang w:val="en-GB"/>
        </w:rPr>
        <w:t>(</w:t>
      </w:r>
      <w:r>
        <w:rPr>
          <w:rFonts w:ascii="Times New Roman"/>
          <w:lang w:val="en-GB"/>
        </w:rPr>
        <w:t>same as the advance estimate</w:t>
      </w:r>
      <w:r w:rsidRPr="00162B4D">
        <w:rPr>
          <w:rFonts w:ascii="Times New Roman"/>
          <w:lang w:val="en-GB"/>
        </w:rPr>
        <w:t xml:space="preserve">), </w:t>
      </w:r>
      <w:r>
        <w:rPr>
          <w:rFonts w:ascii="Times New Roman"/>
          <w:lang w:val="en-GB"/>
        </w:rPr>
        <w:t xml:space="preserve">having </w:t>
      </w:r>
      <w:r w:rsidR="0067641D">
        <w:rPr>
          <w:rFonts w:ascii="Times New Roman"/>
          <w:lang w:val="en-GB"/>
        </w:rPr>
        <w:t>increased</w:t>
      </w:r>
      <w:r>
        <w:rPr>
          <w:rFonts w:ascii="Times New Roman"/>
          <w:lang w:val="en-GB"/>
        </w:rPr>
        <w:t xml:space="preserve"> by</w:t>
      </w:r>
      <w:r w:rsidRPr="00162B4D">
        <w:rPr>
          <w:rFonts w:ascii="Times New Roman"/>
          <w:lang w:val="en-GB" w:eastAsia="zh-HK"/>
        </w:rPr>
        <w:t xml:space="preserve"> </w:t>
      </w:r>
      <w:r w:rsidR="009A32D5">
        <w:rPr>
          <w:rFonts w:ascii="Times New Roman"/>
          <w:lang w:val="en-GB" w:eastAsia="zh-HK"/>
        </w:rPr>
        <w:t>3.</w:t>
      </w:r>
      <w:r w:rsidR="00621FC5">
        <w:rPr>
          <w:rFonts w:ascii="Times New Roman"/>
          <w:lang w:val="en-GB" w:eastAsia="zh-HK"/>
        </w:rPr>
        <w:t>2</w:t>
      </w:r>
      <w:r w:rsidRPr="00162B4D">
        <w:rPr>
          <w:rFonts w:ascii="Times New Roman"/>
          <w:lang w:val="en-GB" w:eastAsia="zh-HK"/>
        </w:rPr>
        <w:t xml:space="preserve">% </w:t>
      </w:r>
      <w:r w:rsidRPr="00162B4D">
        <w:rPr>
          <w:rFonts w:ascii="Times New Roman"/>
          <w:lang w:val="en-GB"/>
        </w:rPr>
        <w:t xml:space="preserve">in the preceding quarter.  </w:t>
      </w:r>
      <w:r w:rsidRPr="009C6DF3">
        <w:rPr>
          <w:rFonts w:ascii="Times New Roman"/>
          <w:lang w:val="en-GB"/>
        </w:rPr>
        <w:t>On a seasonally adjusted quarter-to-quarter comparison, real GDP</w:t>
      </w:r>
      <w:r w:rsidR="00621FC5">
        <w:rPr>
          <w:rFonts w:ascii="Times New Roman"/>
          <w:lang w:val="en-GB"/>
        </w:rPr>
        <w:t xml:space="preserve"> </w:t>
      </w:r>
      <w:r w:rsidR="00770953">
        <w:rPr>
          <w:rFonts w:ascii="Times New Roman"/>
          <w:lang w:val="en-GB"/>
        </w:rPr>
        <w:t>decreased by</w:t>
      </w:r>
      <w:r w:rsidR="00621FC5">
        <w:rPr>
          <w:rFonts w:ascii="Times New Roman"/>
          <w:lang w:val="en-GB"/>
        </w:rPr>
        <w:t xml:space="preserve"> </w:t>
      </w:r>
      <w:r w:rsidR="00506F91">
        <w:rPr>
          <w:rFonts w:ascii="Times New Roman"/>
          <w:lang w:val="en-GB"/>
        </w:rPr>
        <w:t>1.1</w:t>
      </w:r>
      <w:r w:rsidRPr="009C6DF3">
        <w:rPr>
          <w:rFonts w:ascii="Times New Roman"/>
          <w:lang w:val="en-GB"/>
        </w:rPr>
        <w:t>% (</w:t>
      </w:r>
      <w:r>
        <w:rPr>
          <w:rFonts w:ascii="Times New Roman"/>
          <w:lang w:val="en-GB"/>
        </w:rPr>
        <w:t>same as the advance estimate</w:t>
      </w:r>
      <w:r w:rsidRPr="009C6DF3">
        <w:rPr>
          <w:rFonts w:ascii="Times New Roman"/>
          <w:lang w:val="en-GB"/>
        </w:rPr>
        <w:t>)</w:t>
      </w:r>
      <w:r>
        <w:rPr>
          <w:rFonts w:ascii="Times New Roman"/>
          <w:lang w:val="en-GB"/>
        </w:rPr>
        <w:t>,</w:t>
      </w:r>
      <w:r w:rsidRPr="009C6DF3">
        <w:rPr>
          <w:rFonts w:ascii="Times New Roman" w:hint="eastAsia"/>
          <w:lang w:val="en-GB"/>
        </w:rPr>
        <w:t xml:space="preserve"> </w:t>
      </w:r>
      <w:r>
        <w:rPr>
          <w:rFonts w:ascii="Times New Roman"/>
          <w:lang w:val="en-GB"/>
        </w:rPr>
        <w:t xml:space="preserve">after </w:t>
      </w:r>
      <w:r w:rsidR="0067641D">
        <w:rPr>
          <w:rFonts w:ascii="Times New Roman"/>
          <w:lang w:val="en-GB"/>
        </w:rPr>
        <w:t xml:space="preserve">a </w:t>
      </w:r>
      <w:r w:rsidR="009A32D5">
        <w:rPr>
          <w:rFonts w:ascii="Times New Roman"/>
          <w:lang w:val="en-GB"/>
        </w:rPr>
        <w:t>0.</w:t>
      </w:r>
      <w:r w:rsidR="00621FC5">
        <w:rPr>
          <w:rFonts w:ascii="Times New Roman"/>
          <w:lang w:val="en-GB"/>
        </w:rPr>
        <w:t>3</w:t>
      </w:r>
      <w:r w:rsidR="0067641D">
        <w:rPr>
          <w:rFonts w:ascii="Times New Roman"/>
          <w:lang w:val="en-GB"/>
        </w:rPr>
        <w:t>% increase in the preceding quarter</w:t>
      </w:r>
      <w:r w:rsidRPr="009C6DF3">
        <w:rPr>
          <w:rFonts w:ascii="Times New Roman"/>
          <w:lang w:val="en-GB"/>
        </w:rPr>
        <w:t>.</w:t>
      </w:r>
    </w:p>
    <w:p w:rsidR="00745453" w:rsidRPr="00F87C1D" w:rsidRDefault="00B2619E" w:rsidP="00726DF5">
      <w:pPr>
        <w:widowControl/>
        <w:rPr>
          <w:b/>
          <w:sz w:val="28"/>
          <w:szCs w:val="20"/>
        </w:rPr>
      </w:pPr>
      <w:r w:rsidRPr="00B2619E">
        <w:rPr>
          <w:noProof/>
        </w:rPr>
        <w:drawing>
          <wp:inline distT="0" distB="0" distL="0" distR="0">
            <wp:extent cx="5731510" cy="34917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491700"/>
                    </a:xfrm>
                    <a:prstGeom prst="rect">
                      <a:avLst/>
                    </a:prstGeom>
                    <a:noFill/>
                    <a:ln>
                      <a:noFill/>
                    </a:ln>
                  </pic:spPr>
                </pic:pic>
              </a:graphicData>
            </a:graphic>
          </wp:inline>
        </w:drawing>
      </w:r>
      <w:r w:rsidR="000D5FFA" w:rsidRPr="000D5FFA">
        <w:t xml:space="preserve"> </w:t>
      </w:r>
      <w:r w:rsidR="005A20FE">
        <w:rPr>
          <w:b/>
          <w:sz w:val="28"/>
          <w:szCs w:val="20"/>
        </w:rPr>
        <w:br w:type="page"/>
      </w:r>
      <w:r w:rsidR="00FF4670" w:rsidRPr="00F87C1D">
        <w:rPr>
          <w:b/>
          <w:sz w:val="28"/>
          <w:szCs w:val="20"/>
        </w:rPr>
        <w:lastRenderedPageBreak/>
        <w:t>The external sector</w:t>
      </w:r>
    </w:p>
    <w:p w:rsidR="00FF4670" w:rsidRPr="007F0867" w:rsidRDefault="00FF4670" w:rsidP="00FF4670">
      <w:pPr>
        <w:rPr>
          <w:b/>
          <w:bCs/>
        </w:rPr>
      </w:pPr>
    </w:p>
    <w:p w:rsidR="00B37B72" w:rsidRPr="00832742" w:rsidRDefault="00DD3BFC" w:rsidP="00936F6F">
      <w:pPr>
        <w:pStyle w:val="BodyText"/>
        <w:numPr>
          <w:ilvl w:val="1"/>
          <w:numId w:val="19"/>
        </w:numPr>
        <w:tabs>
          <w:tab w:val="left" w:pos="1260"/>
        </w:tabs>
        <w:overflowPunct w:val="0"/>
        <w:ind w:left="0" w:right="28" w:firstLine="0"/>
        <w:jc w:val="both"/>
        <w:rPr>
          <w:rFonts w:ascii="Times New Roman" w:eastAsia="SimSun"/>
          <w:kern w:val="0"/>
          <w:lang w:val="en-GB" w:eastAsia="zh-HK"/>
        </w:rPr>
      </w:pPr>
      <w:r w:rsidRPr="00DD3BFC">
        <w:rPr>
          <w:rFonts w:ascii="Times New Roman"/>
          <w:i/>
          <w:kern w:val="0"/>
          <w:lang w:val="en-GB" w:eastAsia="zh-HK"/>
        </w:rPr>
        <w:t>T</w:t>
      </w:r>
      <w:r w:rsidR="00924FD8" w:rsidRPr="00AB50A4">
        <w:rPr>
          <w:rFonts w:ascii="Times New Roman"/>
          <w:i/>
          <w:kern w:val="0"/>
          <w:lang w:val="en-GB" w:eastAsia="zh-HK"/>
        </w:rPr>
        <w:t>otal exports of goods</w:t>
      </w:r>
      <w:r w:rsidR="0035279B" w:rsidRPr="00AB50A4">
        <w:rPr>
          <w:rFonts w:ascii="Times New Roman"/>
          <w:kern w:val="0"/>
          <w:lang w:val="en-GB" w:eastAsia="zh-HK"/>
        </w:rPr>
        <w:t xml:space="preserve"> </w:t>
      </w:r>
      <w:r w:rsidR="00E96BC8">
        <w:rPr>
          <w:rFonts w:ascii="Times New Roman"/>
          <w:kern w:val="0"/>
          <w:lang w:val="en-GB" w:eastAsia="zh-HK"/>
        </w:rPr>
        <w:t>based on</w:t>
      </w:r>
      <w:r w:rsidR="00E96BC8" w:rsidRPr="00AB50A4">
        <w:rPr>
          <w:rFonts w:ascii="Times New Roman"/>
          <w:kern w:val="0"/>
          <w:lang w:val="en-GB" w:eastAsia="zh-HK"/>
        </w:rPr>
        <w:t xml:space="preserve"> </w:t>
      </w:r>
      <w:r w:rsidR="00CF4204" w:rsidRPr="00AB50A4">
        <w:rPr>
          <w:rFonts w:ascii="Times New Roman"/>
          <w:kern w:val="0"/>
          <w:lang w:val="en-GB" w:eastAsia="zh-HK"/>
        </w:rPr>
        <w:t xml:space="preserve">the GDP </w:t>
      </w:r>
      <w:r w:rsidR="00D87696">
        <w:rPr>
          <w:rFonts w:ascii="Times New Roman"/>
          <w:kern w:val="0"/>
          <w:lang w:val="en-GB" w:eastAsia="zh-HK"/>
        </w:rPr>
        <w:t>compilation</w:t>
      </w:r>
      <w:r w:rsidR="00D87696" w:rsidRPr="00AB50A4">
        <w:rPr>
          <w:rFonts w:ascii="Times New Roman"/>
          <w:kern w:val="0"/>
          <w:lang w:val="en-GB" w:eastAsia="zh-HK"/>
        </w:rPr>
        <w:t xml:space="preserve"> </w:t>
      </w:r>
      <w:r w:rsidR="00CF4204" w:rsidRPr="00AB50A4">
        <w:rPr>
          <w:rFonts w:ascii="Times New Roman"/>
          <w:kern w:val="0"/>
          <w:lang w:val="en-GB" w:eastAsia="zh-HK"/>
        </w:rPr>
        <w:t xml:space="preserve">framework </w:t>
      </w:r>
      <w:r>
        <w:rPr>
          <w:rFonts w:ascii="Times New Roman"/>
          <w:kern w:val="0"/>
          <w:lang w:val="en-GB" w:eastAsia="zh-HK"/>
        </w:rPr>
        <w:t xml:space="preserve">grew </w:t>
      </w:r>
      <w:r w:rsidR="008F39C6" w:rsidRPr="008F39C6">
        <w:rPr>
          <w:rFonts w:ascii="Times New Roman"/>
          <w:kern w:val="0"/>
          <w:lang w:val="en-GB" w:eastAsia="zh-HK"/>
        </w:rPr>
        <w:t>by</w:t>
      </w:r>
      <w:r w:rsidR="001D6DAA">
        <w:rPr>
          <w:rFonts w:ascii="Times New Roman"/>
          <w:kern w:val="0"/>
          <w:lang w:val="en-GB" w:eastAsia="zh-HK"/>
        </w:rPr>
        <w:t xml:space="preserve"> </w:t>
      </w:r>
      <w:r w:rsidR="001958D5">
        <w:rPr>
          <w:rFonts w:ascii="Times New Roman" w:hint="eastAsia"/>
          <w:kern w:val="0"/>
          <w:lang w:val="en-GB"/>
        </w:rPr>
        <w:t>4.0</w:t>
      </w:r>
      <w:r w:rsidR="008F39C6" w:rsidRPr="008F39C6">
        <w:rPr>
          <w:rFonts w:ascii="Times New Roman"/>
          <w:kern w:val="0"/>
          <w:lang w:val="en-GB" w:eastAsia="zh-HK"/>
        </w:rPr>
        <w:t xml:space="preserve">% </w:t>
      </w:r>
      <w:r>
        <w:rPr>
          <w:rFonts w:ascii="Times New Roman"/>
          <w:kern w:val="0"/>
          <w:lang w:val="en-GB" w:eastAsia="zh-HK"/>
        </w:rPr>
        <w:t>year-on-year</w:t>
      </w:r>
      <w:r w:rsidR="00B70864">
        <w:rPr>
          <w:rFonts w:ascii="Times New Roman"/>
          <w:kern w:val="0"/>
          <w:lang w:val="en-GB" w:eastAsia="zh-HK"/>
        </w:rPr>
        <w:t xml:space="preserve"> in real terms</w:t>
      </w:r>
      <w:r>
        <w:rPr>
          <w:rFonts w:ascii="Times New Roman"/>
          <w:kern w:val="0"/>
          <w:lang w:val="en-GB" w:eastAsia="zh-HK"/>
        </w:rPr>
        <w:t xml:space="preserve"> </w:t>
      </w:r>
      <w:r w:rsidR="008F39C6" w:rsidRPr="008F39C6">
        <w:rPr>
          <w:rFonts w:ascii="Times New Roman"/>
          <w:kern w:val="0"/>
          <w:lang w:val="en-GB" w:eastAsia="zh-HK"/>
        </w:rPr>
        <w:t xml:space="preserve">in </w:t>
      </w:r>
      <w:r w:rsidR="00746B57">
        <w:rPr>
          <w:rFonts w:ascii="Times New Roman"/>
          <w:kern w:val="0"/>
          <w:lang w:val="en-GB" w:eastAsia="zh-HK"/>
        </w:rPr>
        <w:t xml:space="preserve">the </w:t>
      </w:r>
      <w:r w:rsidR="001D6DAA">
        <w:rPr>
          <w:rFonts w:ascii="Times New Roman"/>
          <w:kern w:val="0"/>
          <w:lang w:val="en-GB" w:eastAsia="zh-HK"/>
        </w:rPr>
        <w:t>third</w:t>
      </w:r>
      <w:r w:rsidR="00BD6A96">
        <w:rPr>
          <w:rFonts w:ascii="Times New Roman"/>
          <w:kern w:val="0"/>
          <w:lang w:val="en-GB" w:eastAsia="zh-HK"/>
        </w:rPr>
        <w:t xml:space="preserve"> quarter of </w:t>
      </w:r>
      <w:r w:rsidR="008F39C6" w:rsidRPr="008F39C6">
        <w:rPr>
          <w:rFonts w:ascii="Times New Roman"/>
          <w:kern w:val="0"/>
          <w:lang w:val="en-GB" w:eastAsia="zh-HK"/>
        </w:rPr>
        <w:t>202</w:t>
      </w:r>
      <w:r>
        <w:rPr>
          <w:rFonts w:ascii="Times New Roman"/>
          <w:kern w:val="0"/>
          <w:lang w:val="en-GB" w:eastAsia="zh-HK"/>
        </w:rPr>
        <w:t>4</w:t>
      </w:r>
      <w:r w:rsidRPr="00DD3BFC">
        <w:rPr>
          <w:rFonts w:ascii="Times New Roman"/>
          <w:kern w:val="0"/>
          <w:lang w:val="en-GB" w:eastAsia="zh-HK"/>
        </w:rPr>
        <w:t xml:space="preserve">, after </w:t>
      </w:r>
      <w:r w:rsidR="00B01119">
        <w:rPr>
          <w:rFonts w:ascii="Times New Roman"/>
          <w:kern w:val="0"/>
          <w:lang w:val="en-GB" w:eastAsia="zh-HK"/>
        </w:rPr>
        <w:t>an</w:t>
      </w:r>
      <w:r w:rsidR="001D6DAA" w:rsidRPr="001D6DAA">
        <w:rPr>
          <w:rFonts w:ascii="Times New Roman"/>
          <w:kern w:val="0"/>
          <w:lang w:val="en-GB" w:eastAsia="zh-HK"/>
        </w:rPr>
        <w:t xml:space="preserve"> increase of </w:t>
      </w:r>
      <w:r w:rsidR="001D6DAA">
        <w:rPr>
          <w:rFonts w:ascii="Times New Roman"/>
          <w:kern w:val="0"/>
          <w:lang w:val="en-GB" w:eastAsia="zh-HK"/>
        </w:rPr>
        <w:t>7.5</w:t>
      </w:r>
      <w:r w:rsidR="001D6DAA" w:rsidRPr="001D6DAA">
        <w:rPr>
          <w:rFonts w:ascii="Times New Roman"/>
          <w:kern w:val="0"/>
          <w:lang w:val="en-GB" w:eastAsia="zh-HK"/>
        </w:rPr>
        <w:t>% in the preceding quarter</w:t>
      </w:r>
      <w:r w:rsidR="008F39C6" w:rsidRPr="008F39C6">
        <w:rPr>
          <w:rFonts w:ascii="Times New Roman"/>
          <w:kern w:val="0"/>
          <w:lang w:val="en-GB" w:eastAsia="zh-HK"/>
        </w:rPr>
        <w:t>.</w:t>
      </w:r>
      <w:r w:rsidR="00BD6A96">
        <w:rPr>
          <w:rFonts w:ascii="Times New Roman"/>
          <w:kern w:val="0"/>
          <w:lang w:val="en-GB" w:eastAsia="zh-HK"/>
        </w:rPr>
        <w:t xml:space="preserve"> </w:t>
      </w:r>
      <w:r w:rsidR="008F39C6" w:rsidRPr="008F39C6">
        <w:rPr>
          <w:rFonts w:ascii="Times New Roman"/>
          <w:kern w:val="0"/>
          <w:lang w:val="en-GB" w:eastAsia="zh-HK"/>
        </w:rPr>
        <w:t xml:space="preserve"> </w:t>
      </w:r>
      <w:r w:rsidR="001D6DAA" w:rsidRPr="001D6DAA">
        <w:rPr>
          <w:rFonts w:ascii="Times New Roman"/>
          <w:kern w:val="0"/>
          <w:lang w:val="en-GB" w:eastAsia="zh-HK"/>
        </w:rPr>
        <w:t xml:space="preserve">The moderation was mainly due to </w:t>
      </w:r>
      <w:r w:rsidR="008C2893" w:rsidRPr="0011242C">
        <w:rPr>
          <w:rFonts w:ascii="Times New Roman"/>
          <w:kern w:val="0"/>
          <w:lang w:val="en-GB" w:eastAsia="zh-HK"/>
        </w:rPr>
        <w:t xml:space="preserve">softening </w:t>
      </w:r>
      <w:r w:rsidR="00530CBE">
        <w:rPr>
          <w:rFonts w:ascii="Times New Roman"/>
          <w:kern w:val="0"/>
          <w:lang w:val="en-GB" w:eastAsia="zh-HK"/>
        </w:rPr>
        <w:t xml:space="preserve">economic </w:t>
      </w:r>
      <w:r w:rsidR="008C2893" w:rsidRPr="0011242C">
        <w:rPr>
          <w:rFonts w:ascii="Times New Roman"/>
          <w:kern w:val="0"/>
          <w:lang w:val="en-GB" w:eastAsia="zh-HK"/>
        </w:rPr>
        <w:t>growth in some major markets</w:t>
      </w:r>
      <w:r w:rsidR="00AA65CD">
        <w:rPr>
          <w:rFonts w:ascii="Times New Roman"/>
          <w:kern w:val="0"/>
          <w:lang w:val="en-GB" w:eastAsia="zh-HK"/>
        </w:rPr>
        <w:t>.</w:t>
      </w:r>
      <w:r w:rsidR="00AA65CD" w:rsidRPr="00AA65CD">
        <w:rPr>
          <w:rFonts w:ascii="Times New Roman"/>
          <w:kern w:val="0"/>
          <w:lang w:val="en-GB" w:eastAsia="zh-HK"/>
        </w:rPr>
        <w:t xml:space="preserve"> </w:t>
      </w:r>
      <w:r w:rsidR="00AA65CD">
        <w:rPr>
          <w:rFonts w:ascii="Times New Roman"/>
          <w:kern w:val="0"/>
          <w:lang w:val="en-GB" w:eastAsia="zh-HK"/>
        </w:rPr>
        <w:t xml:space="preserve"> </w:t>
      </w:r>
      <w:r w:rsidR="008B64C4" w:rsidRPr="00832742">
        <w:rPr>
          <w:rFonts w:ascii="Times New Roman"/>
          <w:kern w:val="0"/>
          <w:lang w:val="en-GB" w:eastAsia="zh-HK"/>
        </w:rPr>
        <w:t>Analysed by major market</w:t>
      </w:r>
      <w:r w:rsidR="00C04697" w:rsidRPr="00832742">
        <w:rPr>
          <w:rFonts w:ascii="Times New Roman"/>
          <w:kern w:val="0"/>
          <w:lang w:val="en-GB" w:eastAsia="zh-HK"/>
        </w:rPr>
        <w:t xml:space="preserve"> and </w:t>
      </w:r>
      <w:r w:rsidR="00BA1BEB" w:rsidRPr="00832742">
        <w:rPr>
          <w:rFonts w:ascii="Times New Roman"/>
          <w:kern w:val="0"/>
          <w:lang w:val="en-GB" w:eastAsia="zh-HK"/>
        </w:rPr>
        <w:t xml:space="preserve">by </w:t>
      </w:r>
      <w:r w:rsidR="00BA1BEB" w:rsidRPr="00832742">
        <w:rPr>
          <w:rFonts w:ascii="Times New Roman"/>
          <w:kern w:val="0"/>
          <w:lang w:val="en-GB"/>
        </w:rPr>
        <w:t>reference</w:t>
      </w:r>
      <w:r w:rsidR="00BA1BEB" w:rsidRPr="00832742">
        <w:rPr>
          <w:rFonts w:ascii="Times New Roman"/>
          <w:kern w:val="0"/>
          <w:lang w:val="en-GB" w:eastAsia="zh-HK"/>
        </w:rPr>
        <w:t xml:space="preserve"> to </w:t>
      </w:r>
      <w:r w:rsidR="00B560C5" w:rsidRPr="00832742">
        <w:rPr>
          <w:rFonts w:ascii="Times New Roman"/>
          <w:kern w:val="0"/>
          <w:lang w:val="en-GB" w:eastAsia="zh-HK"/>
        </w:rPr>
        <w:t>external</w:t>
      </w:r>
      <w:r w:rsidR="00BA1BEB" w:rsidRPr="00832742">
        <w:rPr>
          <w:rFonts w:ascii="Times New Roman"/>
          <w:kern w:val="0"/>
          <w:lang w:val="en-GB" w:eastAsia="zh-HK"/>
        </w:rPr>
        <w:t xml:space="preserve"> merchandise </w:t>
      </w:r>
      <w:r w:rsidR="00B560C5" w:rsidRPr="00832742">
        <w:rPr>
          <w:rFonts w:ascii="Times New Roman"/>
          <w:kern w:val="0"/>
          <w:lang w:val="en-GB" w:eastAsia="zh-HK"/>
        </w:rPr>
        <w:t>trade statistics</w:t>
      </w:r>
      <w:r w:rsidR="008B64C4" w:rsidRPr="00832742">
        <w:rPr>
          <w:rFonts w:ascii="Times New Roman"/>
          <w:kern w:val="0"/>
          <w:lang w:val="en-GB" w:eastAsia="zh-HK"/>
        </w:rPr>
        <w:t xml:space="preserve">, </w:t>
      </w:r>
      <w:r w:rsidR="00AA65CD" w:rsidRPr="00AA65CD">
        <w:rPr>
          <w:rFonts w:ascii="Times New Roman"/>
          <w:kern w:val="0"/>
          <w:lang w:val="en-GB" w:eastAsia="zh-HK"/>
        </w:rPr>
        <w:t xml:space="preserve">exports </w:t>
      </w:r>
      <w:r w:rsidR="001D6DAA" w:rsidRPr="001D6DAA">
        <w:rPr>
          <w:rFonts w:ascii="Times New Roman"/>
          <w:kern w:val="0"/>
          <w:lang w:val="en-GB" w:eastAsia="zh-HK"/>
        </w:rPr>
        <w:t xml:space="preserve">to the Mainland continued to </w:t>
      </w:r>
      <w:r w:rsidR="0079430F">
        <w:rPr>
          <w:rFonts w:ascii="Times New Roman"/>
          <w:kern w:val="0"/>
          <w:lang w:val="en-GB" w:eastAsia="zh-HK"/>
        </w:rPr>
        <w:t>increase</w:t>
      </w:r>
      <w:r w:rsidR="0079430F" w:rsidRPr="001D6DAA">
        <w:rPr>
          <w:rFonts w:ascii="Times New Roman"/>
          <w:kern w:val="0"/>
          <w:lang w:val="en-GB" w:eastAsia="zh-HK"/>
        </w:rPr>
        <w:t xml:space="preserve"> </w:t>
      </w:r>
      <w:r w:rsidR="001D6DAA" w:rsidRPr="00B2619E">
        <w:rPr>
          <w:rFonts w:ascii="Times New Roman"/>
          <w:kern w:val="0"/>
          <w:lang w:val="en-GB" w:eastAsia="zh-HK"/>
        </w:rPr>
        <w:t>visibly</w:t>
      </w:r>
      <w:r w:rsidR="00094E76" w:rsidRPr="00B2619E">
        <w:rPr>
          <w:rFonts w:ascii="Times New Roman"/>
          <w:kern w:val="0"/>
          <w:lang w:val="en-GB" w:eastAsia="zh-HK"/>
        </w:rPr>
        <w:t xml:space="preserve"> in the third quarter over a year earlier</w:t>
      </w:r>
      <w:r w:rsidR="001D6DAA" w:rsidRPr="00B2619E">
        <w:rPr>
          <w:rFonts w:ascii="Times New Roman"/>
          <w:kern w:val="0"/>
          <w:lang w:val="en-GB" w:eastAsia="zh-HK"/>
        </w:rPr>
        <w:t>.  Exports to the US grew at a moderated</w:t>
      </w:r>
      <w:r w:rsidR="001D6DAA" w:rsidRPr="001D6DAA">
        <w:rPr>
          <w:rFonts w:ascii="Times New Roman"/>
          <w:kern w:val="0"/>
          <w:lang w:val="en-GB" w:eastAsia="zh-HK"/>
        </w:rPr>
        <w:t xml:space="preserve"> pace, while those to the EU saw a rebound.  Meanwhile, exports </w:t>
      </w:r>
      <w:proofErr w:type="gramStart"/>
      <w:r w:rsidR="001D6DAA" w:rsidRPr="001D6DAA">
        <w:rPr>
          <w:rFonts w:ascii="Times New Roman"/>
          <w:kern w:val="0"/>
          <w:lang w:val="en-GB" w:eastAsia="zh-HK"/>
        </w:rPr>
        <w:t>to</w:t>
      </w:r>
      <w:proofErr w:type="gramEnd"/>
      <w:r w:rsidR="001D6DAA" w:rsidRPr="001D6DAA">
        <w:rPr>
          <w:rFonts w:ascii="Times New Roman"/>
          <w:kern w:val="0"/>
          <w:lang w:val="en-GB" w:eastAsia="zh-HK"/>
        </w:rPr>
        <w:t xml:space="preserve"> </w:t>
      </w:r>
      <w:r w:rsidR="00B01119">
        <w:rPr>
          <w:rFonts w:ascii="Times New Roman"/>
          <w:kern w:val="0"/>
          <w:lang w:val="en-GB" w:eastAsia="zh-HK"/>
        </w:rPr>
        <w:t xml:space="preserve">many </w:t>
      </w:r>
      <w:r w:rsidR="001D6DAA" w:rsidRPr="001D6DAA">
        <w:rPr>
          <w:rFonts w:ascii="Times New Roman"/>
          <w:kern w:val="0"/>
          <w:lang w:val="en-GB" w:eastAsia="zh-HK"/>
        </w:rPr>
        <w:t xml:space="preserve">major Asian markets </w:t>
      </w:r>
      <w:r w:rsidR="008C2893">
        <w:rPr>
          <w:rFonts w:ascii="Times New Roman"/>
          <w:kern w:val="0"/>
          <w:lang w:val="en-GB" w:eastAsia="zh-HK"/>
        </w:rPr>
        <w:t>declined</w:t>
      </w:r>
      <w:r w:rsidR="005659F0" w:rsidRPr="001D6DAA">
        <w:rPr>
          <w:rFonts w:ascii="Times New Roman"/>
          <w:kern w:val="0"/>
          <w:lang w:val="en-GB" w:eastAsia="zh-HK"/>
        </w:rPr>
        <w:t>.</w:t>
      </w:r>
    </w:p>
    <w:p w:rsidR="00DD2A1D" w:rsidRPr="00B0360E" w:rsidRDefault="00DD2A1D" w:rsidP="00EC03DF">
      <w:pPr>
        <w:pStyle w:val="BodyText"/>
        <w:tabs>
          <w:tab w:val="left" w:pos="1260"/>
        </w:tabs>
        <w:ind w:right="26"/>
        <w:jc w:val="both"/>
        <w:rPr>
          <w:rFonts w:ascii="Times New Roman"/>
          <w:highlight w:val="lightGray"/>
          <w:lang w:val="en-GB" w:eastAsia="zh-HK"/>
        </w:rPr>
      </w:pPr>
    </w:p>
    <w:p w:rsidR="00061E45" w:rsidRPr="00F2672A" w:rsidRDefault="00832742" w:rsidP="00936F6F">
      <w:pPr>
        <w:pStyle w:val="BodyText"/>
        <w:numPr>
          <w:ilvl w:val="1"/>
          <w:numId w:val="19"/>
        </w:numPr>
        <w:tabs>
          <w:tab w:val="left" w:pos="1260"/>
        </w:tabs>
        <w:overflowPunct w:val="0"/>
        <w:ind w:left="0" w:right="28" w:firstLine="0"/>
        <w:jc w:val="both"/>
        <w:rPr>
          <w:rFonts w:ascii="Times New Roman"/>
          <w:kern w:val="0"/>
          <w:lang w:val="en-GB" w:eastAsia="zh-HK"/>
        </w:rPr>
      </w:pPr>
      <w:r w:rsidRPr="00832742">
        <w:rPr>
          <w:rFonts w:ascii="Times New Roman"/>
          <w:i/>
          <w:kern w:val="0"/>
          <w:lang w:val="en-GB" w:eastAsia="zh-HK"/>
        </w:rPr>
        <w:t>Exports of services</w:t>
      </w:r>
      <w:r w:rsidR="00716C0D">
        <w:rPr>
          <w:rFonts w:ascii="Times New Roman"/>
          <w:kern w:val="0"/>
          <w:lang w:val="en-GB" w:eastAsia="zh-HK"/>
        </w:rPr>
        <w:t xml:space="preserve"> </w:t>
      </w:r>
      <w:r w:rsidR="003C621A">
        <w:rPr>
          <w:rFonts w:ascii="Times New Roman"/>
          <w:kern w:val="0"/>
          <w:lang w:val="en-GB" w:eastAsia="zh-HK"/>
        </w:rPr>
        <w:t>increased</w:t>
      </w:r>
      <w:r w:rsidR="003C621A" w:rsidRPr="001D6DAA">
        <w:rPr>
          <w:rFonts w:ascii="Times New Roman"/>
          <w:kern w:val="0"/>
          <w:lang w:val="en-GB" w:eastAsia="zh-HK"/>
        </w:rPr>
        <w:t xml:space="preserve"> </w:t>
      </w:r>
      <w:r w:rsidR="002D175D">
        <w:rPr>
          <w:rFonts w:ascii="Times New Roman"/>
          <w:kern w:val="0"/>
          <w:lang w:val="en-GB" w:eastAsia="zh-HK"/>
        </w:rPr>
        <w:t>further</w:t>
      </w:r>
      <w:r w:rsidR="002D175D" w:rsidRPr="001D6DAA">
        <w:rPr>
          <w:rFonts w:ascii="Times New Roman"/>
          <w:kern w:val="0"/>
          <w:lang w:val="en-GB" w:eastAsia="zh-HK"/>
        </w:rPr>
        <w:t xml:space="preserve"> </w:t>
      </w:r>
      <w:r w:rsidR="001D6DAA" w:rsidRPr="001D6DAA">
        <w:rPr>
          <w:rFonts w:ascii="Times New Roman"/>
          <w:kern w:val="0"/>
          <w:lang w:val="en-GB" w:eastAsia="zh-HK"/>
        </w:rPr>
        <w:t xml:space="preserve">by </w:t>
      </w:r>
      <w:r w:rsidR="00BC71DE">
        <w:rPr>
          <w:rFonts w:ascii="Times New Roman"/>
          <w:kern w:val="0"/>
          <w:lang w:val="en-GB" w:eastAsia="zh-HK"/>
        </w:rPr>
        <w:t>2.4</w:t>
      </w:r>
      <w:r w:rsidR="001D6DAA" w:rsidRPr="001D6DAA">
        <w:rPr>
          <w:rFonts w:ascii="Times New Roman"/>
          <w:kern w:val="0"/>
          <w:lang w:val="en-GB" w:eastAsia="zh-HK"/>
        </w:rPr>
        <w:t>% year</w:t>
      </w:r>
      <w:r w:rsidR="001D6DAA" w:rsidRPr="001D6DAA">
        <w:rPr>
          <w:rFonts w:ascii="Times New Roman"/>
          <w:kern w:val="0"/>
          <w:lang w:val="en-GB" w:eastAsia="zh-HK"/>
        </w:rPr>
        <w:noBreakHyphen/>
        <w:t>on</w:t>
      </w:r>
      <w:r w:rsidR="001D6DAA" w:rsidRPr="001D6DAA">
        <w:rPr>
          <w:rFonts w:ascii="Times New Roman"/>
          <w:kern w:val="0"/>
          <w:lang w:val="en-GB" w:eastAsia="zh-HK"/>
        </w:rPr>
        <w:noBreakHyphen/>
        <w:t>year in real terms in the third quarter, after growing by 1.</w:t>
      </w:r>
      <w:r w:rsidR="0074709C">
        <w:rPr>
          <w:rFonts w:ascii="Times New Roman"/>
          <w:kern w:val="0"/>
          <w:lang w:val="en-GB" w:eastAsia="zh-HK"/>
        </w:rPr>
        <w:t>1</w:t>
      </w:r>
      <w:r w:rsidR="001D6DAA" w:rsidRPr="001D6DAA">
        <w:rPr>
          <w:rFonts w:ascii="Times New Roman"/>
          <w:kern w:val="0"/>
          <w:lang w:val="en-GB" w:eastAsia="zh-HK"/>
        </w:rPr>
        <w:t xml:space="preserve">% in the preceding quarter.  </w:t>
      </w:r>
      <w:r w:rsidR="001958D5">
        <w:rPr>
          <w:rFonts w:ascii="Times New Roman"/>
          <w:kern w:val="0"/>
          <w:lang w:val="en-GB" w:eastAsia="zh-HK"/>
        </w:rPr>
        <w:t xml:space="preserve">Exports of financial services </w:t>
      </w:r>
      <w:r w:rsidR="002D175D" w:rsidRPr="002D175D">
        <w:rPr>
          <w:rFonts w:ascii="Times New Roman"/>
          <w:kern w:val="0"/>
          <w:lang w:val="en-GB" w:eastAsia="zh-HK"/>
        </w:rPr>
        <w:t>rose further in tandem with improved cross</w:t>
      </w:r>
      <w:r w:rsidR="002D175D" w:rsidRPr="002D175D">
        <w:rPr>
          <w:rFonts w:ascii="Times New Roman"/>
          <w:kern w:val="0"/>
          <w:lang w:val="en-GB" w:eastAsia="zh-HK"/>
        </w:rPr>
        <w:noBreakHyphen/>
        <w:t xml:space="preserve">border financial and fund raising activities.  Exports of business and other services also grew further along with the economic expansion.  Exports of transport services continued to grow as visitor </w:t>
      </w:r>
      <w:r w:rsidR="002C3F94" w:rsidRPr="00B2619E">
        <w:rPr>
          <w:rFonts w:ascii="Times New Roman"/>
          <w:kern w:val="0"/>
          <w:lang w:val="en-GB" w:eastAsia="zh-HK"/>
        </w:rPr>
        <w:t>arrival</w:t>
      </w:r>
      <w:r w:rsidR="002D175D" w:rsidRPr="00B2619E">
        <w:rPr>
          <w:rFonts w:ascii="Times New Roman"/>
          <w:kern w:val="0"/>
          <w:lang w:val="en-GB" w:eastAsia="zh-HK"/>
        </w:rPr>
        <w:t>s</w:t>
      </w:r>
      <w:r w:rsidR="002D175D" w:rsidRPr="002D175D">
        <w:rPr>
          <w:rFonts w:ascii="Times New Roman"/>
          <w:kern w:val="0"/>
          <w:lang w:val="en-GB" w:eastAsia="zh-HK"/>
        </w:rPr>
        <w:t xml:space="preserve"> and regional trade flows increased.  Meanwhi</w:t>
      </w:r>
      <w:r w:rsidR="001958D5">
        <w:rPr>
          <w:rFonts w:ascii="Times New Roman"/>
          <w:kern w:val="0"/>
          <w:lang w:val="en-GB" w:eastAsia="zh-HK"/>
        </w:rPr>
        <w:t xml:space="preserve">le, exports of travel services </w:t>
      </w:r>
      <w:r w:rsidR="002D175D" w:rsidRPr="002D175D">
        <w:rPr>
          <w:rFonts w:ascii="Times New Roman"/>
          <w:kern w:val="0"/>
          <w:lang w:val="en-GB" w:eastAsia="zh-HK"/>
        </w:rPr>
        <w:t>continued to decline alongside the change in consumption patterns of visitors and the strength of the Hong Kong dollar</w:t>
      </w:r>
      <w:r>
        <w:rPr>
          <w:rFonts w:ascii="Times New Roman"/>
          <w:kern w:val="0"/>
          <w:lang w:val="en-GB" w:eastAsia="zh-HK"/>
        </w:rPr>
        <w:t>.</w:t>
      </w:r>
    </w:p>
    <w:p w:rsidR="00507FC4" w:rsidRPr="004D757A" w:rsidRDefault="00507FC4" w:rsidP="00924FD8">
      <w:pPr>
        <w:pStyle w:val="BodyText"/>
        <w:tabs>
          <w:tab w:val="left" w:pos="1260"/>
        </w:tabs>
        <w:ind w:right="26"/>
        <w:jc w:val="both"/>
        <w:rPr>
          <w:rFonts w:ascii="Times New Roman"/>
          <w:lang w:val="en-GB" w:eastAsia="zh-HK"/>
        </w:rPr>
      </w:pPr>
    </w:p>
    <w:p w:rsidR="007F37F3" w:rsidRPr="004110C3" w:rsidRDefault="007F37F3" w:rsidP="00CE7A2F">
      <w:pPr>
        <w:pStyle w:val="BodyText"/>
        <w:pageBreakBefore/>
        <w:tabs>
          <w:tab w:val="left" w:pos="1260"/>
        </w:tabs>
        <w:ind w:right="28"/>
        <w:jc w:val="center"/>
        <w:rPr>
          <w:rFonts w:ascii="Times New Roman"/>
          <w:b/>
          <w:szCs w:val="28"/>
          <w:lang w:val="en-GB"/>
        </w:rPr>
      </w:pPr>
      <w:r w:rsidRPr="004110C3">
        <w:rPr>
          <w:rFonts w:ascii="Times New Roman"/>
          <w:b/>
          <w:szCs w:val="28"/>
          <w:lang w:val="en-GB"/>
        </w:rPr>
        <w:lastRenderedPageBreak/>
        <w:t>Table 1.1 : Gross Domestic Product</w:t>
      </w:r>
      <w:r w:rsidR="00D661A4" w:rsidRPr="004110C3">
        <w:rPr>
          <w:rFonts w:ascii="Times New Roman"/>
          <w:b/>
          <w:szCs w:val="28"/>
          <w:lang w:val="en-GB" w:eastAsia="zh-HK"/>
        </w:rPr>
        <w:t>,</w:t>
      </w:r>
      <w:r w:rsidRPr="004110C3">
        <w:rPr>
          <w:rFonts w:ascii="Times New Roman"/>
          <w:b/>
          <w:szCs w:val="28"/>
          <w:lang w:val="en-GB"/>
        </w:rPr>
        <w:t xml:space="preserve"> its main expenditure components</w:t>
      </w:r>
    </w:p>
    <w:p w:rsidR="007F37F3" w:rsidRPr="00327CE5" w:rsidRDefault="007F37F3" w:rsidP="007F37F3">
      <w:pPr>
        <w:tabs>
          <w:tab w:val="left" w:pos="3168"/>
          <w:tab w:val="left" w:pos="4032"/>
          <w:tab w:val="center" w:pos="5832"/>
        </w:tabs>
        <w:snapToGrid w:val="0"/>
        <w:spacing w:line="320" w:lineRule="exact"/>
        <w:ind w:right="27"/>
        <w:jc w:val="center"/>
        <w:rPr>
          <w:b/>
          <w:sz w:val="28"/>
          <w:szCs w:val="28"/>
        </w:rPr>
      </w:pPr>
      <w:r w:rsidRPr="00327CE5">
        <w:rPr>
          <w:b/>
          <w:sz w:val="28"/>
          <w:szCs w:val="28"/>
        </w:rPr>
        <w:t>and the main price indicators</w:t>
      </w:r>
    </w:p>
    <w:p w:rsidR="006966DF" w:rsidRDefault="007F37F3">
      <w:pPr>
        <w:tabs>
          <w:tab w:val="left" w:pos="3168"/>
          <w:tab w:val="left" w:pos="4032"/>
          <w:tab w:val="center" w:pos="5832"/>
        </w:tabs>
        <w:snapToGrid w:val="0"/>
        <w:spacing w:line="360" w:lineRule="auto"/>
        <w:ind w:right="28"/>
        <w:jc w:val="center"/>
        <w:rPr>
          <w:b/>
          <w:sz w:val="28"/>
          <w:szCs w:val="28"/>
        </w:rPr>
      </w:pPr>
      <w:r w:rsidRPr="00327CE5">
        <w:rPr>
          <w:b/>
          <w:sz w:val="28"/>
          <w:szCs w:val="28"/>
        </w:rPr>
        <w:t>(year-on-year rate of change (%))</w:t>
      </w:r>
    </w:p>
    <w:tbl>
      <w:tblPr>
        <w:tblW w:w="10035" w:type="dxa"/>
        <w:jc w:val="center"/>
        <w:tblLayout w:type="fixed"/>
        <w:tblCellMar>
          <w:left w:w="28" w:type="dxa"/>
          <w:right w:w="28" w:type="dxa"/>
        </w:tblCellMar>
        <w:tblLook w:val="0000" w:firstRow="0" w:lastRow="0" w:firstColumn="0" w:lastColumn="0" w:noHBand="0" w:noVBand="0"/>
      </w:tblPr>
      <w:tblGrid>
        <w:gridCol w:w="3402"/>
        <w:gridCol w:w="737"/>
        <w:gridCol w:w="737"/>
        <w:gridCol w:w="737"/>
        <w:gridCol w:w="737"/>
        <w:gridCol w:w="737"/>
        <w:gridCol w:w="737"/>
        <w:gridCol w:w="737"/>
        <w:gridCol w:w="737"/>
        <w:gridCol w:w="737"/>
      </w:tblGrid>
      <w:tr w:rsidR="005B07E4" w:rsidRPr="005256F7" w:rsidTr="005B07E4">
        <w:trPr>
          <w:jc w:val="center"/>
        </w:trPr>
        <w:tc>
          <w:tcPr>
            <w:tcW w:w="3402" w:type="dxa"/>
          </w:tcPr>
          <w:p w:rsidR="005B07E4" w:rsidRPr="005256F7" w:rsidRDefault="005B07E4" w:rsidP="005B07E4">
            <w:pPr>
              <w:tabs>
                <w:tab w:val="left" w:pos="1080"/>
              </w:tabs>
              <w:snapToGrid w:val="0"/>
              <w:spacing w:line="230" w:lineRule="exact"/>
              <w:ind w:right="-108"/>
              <w:rPr>
                <w:i/>
                <w:sz w:val="22"/>
                <w:szCs w:val="22"/>
              </w:rPr>
            </w:pPr>
          </w:p>
        </w:tc>
        <w:tc>
          <w:tcPr>
            <w:tcW w:w="737" w:type="dxa"/>
          </w:tcPr>
          <w:p w:rsidR="005B07E4" w:rsidRPr="005256F7" w:rsidRDefault="005B07E4" w:rsidP="005B07E4">
            <w:pPr>
              <w:pStyle w:val="EndnoteText"/>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22</w:t>
            </w:r>
            <w:r w:rsidRPr="005256F7">
              <w:rPr>
                <w:rFonts w:ascii="Times New Roman"/>
                <w:sz w:val="22"/>
                <w:szCs w:val="22"/>
                <w:vertAlign w:val="superscript"/>
                <w:lang w:val="en-GB"/>
              </w:rPr>
              <w:t>#</w:t>
            </w:r>
          </w:p>
        </w:tc>
        <w:tc>
          <w:tcPr>
            <w:tcW w:w="737" w:type="dxa"/>
          </w:tcPr>
          <w:p w:rsidR="005B07E4" w:rsidRPr="005256F7" w:rsidRDefault="005B07E4" w:rsidP="005B07E4">
            <w:pPr>
              <w:pStyle w:val="EndnoteText"/>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w:t>
            </w:r>
            <w:r>
              <w:rPr>
                <w:rFonts w:ascii="Times New Roman" w:hint="eastAsia"/>
                <w:sz w:val="22"/>
                <w:szCs w:val="22"/>
                <w:u w:val="single"/>
                <w:lang w:val="en-GB"/>
              </w:rPr>
              <w:t>3</w:t>
            </w:r>
            <w:r w:rsidRPr="005256F7">
              <w:rPr>
                <w:rFonts w:ascii="Times New Roman"/>
                <w:sz w:val="22"/>
                <w:szCs w:val="22"/>
                <w:vertAlign w:val="superscript"/>
                <w:lang w:val="en-GB"/>
              </w:rPr>
              <w:t>#</w:t>
            </w:r>
          </w:p>
        </w:tc>
        <w:tc>
          <w:tcPr>
            <w:tcW w:w="2948" w:type="dxa"/>
            <w:gridSpan w:val="4"/>
          </w:tcPr>
          <w:p w:rsidR="005B07E4" w:rsidRPr="0059545F" w:rsidRDefault="005B07E4" w:rsidP="005B07E4">
            <w:pPr>
              <w:pStyle w:val="EndnoteText"/>
              <w:tabs>
                <w:tab w:val="decimal" w:pos="492"/>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w:t>
            </w:r>
            <w:r>
              <w:rPr>
                <w:rFonts w:ascii="Times New Roman" w:hint="eastAsia"/>
                <w:sz w:val="22"/>
                <w:szCs w:val="22"/>
                <w:u w:val="single"/>
                <w:lang w:val="en-GB"/>
              </w:rPr>
              <w:t>3</w:t>
            </w:r>
          </w:p>
        </w:tc>
        <w:tc>
          <w:tcPr>
            <w:tcW w:w="2211" w:type="dxa"/>
            <w:gridSpan w:val="3"/>
          </w:tcPr>
          <w:p w:rsidR="005B07E4" w:rsidRDefault="005B07E4" w:rsidP="005B07E4">
            <w:pPr>
              <w:pStyle w:val="EndnoteText"/>
              <w:tabs>
                <w:tab w:val="decimal" w:pos="492"/>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24</w:t>
            </w:r>
          </w:p>
        </w:tc>
      </w:tr>
      <w:tr w:rsidR="005B07E4" w:rsidRPr="005256F7" w:rsidTr="005B07E4">
        <w:trPr>
          <w:jc w:val="center"/>
        </w:trPr>
        <w:tc>
          <w:tcPr>
            <w:tcW w:w="3402" w:type="dxa"/>
          </w:tcPr>
          <w:p w:rsidR="005B07E4" w:rsidRPr="005256F7" w:rsidRDefault="005B07E4" w:rsidP="005B07E4">
            <w:pPr>
              <w:tabs>
                <w:tab w:val="left" w:pos="1080"/>
              </w:tabs>
              <w:snapToGrid w:val="0"/>
              <w:spacing w:line="230" w:lineRule="exact"/>
              <w:ind w:right="-108"/>
              <w:rPr>
                <w:i/>
                <w:sz w:val="22"/>
                <w:szCs w:val="22"/>
              </w:rPr>
            </w:pPr>
          </w:p>
        </w:tc>
        <w:tc>
          <w:tcPr>
            <w:tcW w:w="737" w:type="dxa"/>
          </w:tcPr>
          <w:p w:rsidR="005B07E4" w:rsidRPr="005256F7" w:rsidRDefault="005B07E4" w:rsidP="005B07E4">
            <w:pPr>
              <w:pStyle w:val="EndnoteText"/>
              <w:tabs>
                <w:tab w:val="decimal" w:pos="408"/>
              </w:tabs>
              <w:spacing w:line="230" w:lineRule="exact"/>
              <w:jc w:val="both"/>
              <w:rPr>
                <w:rFonts w:ascii="Times New Roman"/>
                <w:sz w:val="22"/>
                <w:szCs w:val="22"/>
                <w:highlight w:val="yellow"/>
                <w:lang w:val="en-GB"/>
              </w:rPr>
            </w:pPr>
          </w:p>
        </w:tc>
        <w:tc>
          <w:tcPr>
            <w:tcW w:w="737" w:type="dxa"/>
          </w:tcPr>
          <w:p w:rsidR="005B07E4" w:rsidRPr="005256F7" w:rsidRDefault="005B07E4" w:rsidP="005B07E4">
            <w:pPr>
              <w:pStyle w:val="EndnoteText"/>
              <w:tabs>
                <w:tab w:val="decimal" w:pos="408"/>
              </w:tabs>
              <w:spacing w:line="230" w:lineRule="exact"/>
              <w:jc w:val="both"/>
              <w:rPr>
                <w:rFonts w:ascii="Times New Roman"/>
                <w:sz w:val="22"/>
                <w:szCs w:val="22"/>
                <w:highlight w:val="yellow"/>
                <w:lang w:val="en-GB"/>
              </w:rPr>
            </w:pPr>
          </w:p>
        </w:tc>
        <w:tc>
          <w:tcPr>
            <w:tcW w:w="737" w:type="dxa"/>
          </w:tcPr>
          <w:p w:rsidR="005B07E4" w:rsidRPr="00A06ABA" w:rsidRDefault="005B07E4" w:rsidP="005B07E4">
            <w:pPr>
              <w:pStyle w:val="EndnoteText"/>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Q1</w:t>
            </w:r>
            <w:r w:rsidRPr="00A06ABA">
              <w:rPr>
                <w:rFonts w:ascii="Times New Roman"/>
                <w:sz w:val="22"/>
                <w:szCs w:val="22"/>
                <w:vertAlign w:val="superscript"/>
                <w:lang w:val="en-GB"/>
              </w:rPr>
              <w:t>#</w:t>
            </w:r>
          </w:p>
        </w:tc>
        <w:tc>
          <w:tcPr>
            <w:tcW w:w="737" w:type="dxa"/>
          </w:tcPr>
          <w:p w:rsidR="005B07E4" w:rsidRPr="00A06ABA" w:rsidRDefault="005B07E4" w:rsidP="005B07E4">
            <w:pPr>
              <w:pStyle w:val="EndnoteText"/>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Q2</w:t>
            </w:r>
            <w:r w:rsidRPr="00A06ABA">
              <w:rPr>
                <w:rFonts w:ascii="Times New Roman"/>
                <w:sz w:val="22"/>
                <w:szCs w:val="22"/>
                <w:vertAlign w:val="superscript"/>
                <w:lang w:val="en-GB"/>
              </w:rPr>
              <w:t>#</w:t>
            </w:r>
          </w:p>
        </w:tc>
        <w:tc>
          <w:tcPr>
            <w:tcW w:w="737" w:type="dxa"/>
          </w:tcPr>
          <w:p w:rsidR="005B07E4" w:rsidRPr="00A06ABA" w:rsidRDefault="005B07E4" w:rsidP="005B07E4">
            <w:pPr>
              <w:pStyle w:val="EndnoteText"/>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Q3</w:t>
            </w:r>
            <w:r w:rsidRPr="00A06ABA">
              <w:rPr>
                <w:rFonts w:ascii="Times New Roman"/>
                <w:sz w:val="22"/>
                <w:szCs w:val="22"/>
                <w:vertAlign w:val="superscript"/>
                <w:lang w:val="en-GB"/>
              </w:rPr>
              <w:t>#</w:t>
            </w:r>
          </w:p>
        </w:tc>
        <w:tc>
          <w:tcPr>
            <w:tcW w:w="737" w:type="dxa"/>
            <w:vAlign w:val="center"/>
          </w:tcPr>
          <w:p w:rsidR="005B07E4" w:rsidRPr="0059545F" w:rsidRDefault="005B07E4" w:rsidP="005B07E4">
            <w:pPr>
              <w:pStyle w:val="EndnoteText"/>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737" w:type="dxa"/>
          </w:tcPr>
          <w:p w:rsidR="005B07E4" w:rsidRPr="0059545F" w:rsidRDefault="005B07E4" w:rsidP="005B07E4">
            <w:pPr>
              <w:pStyle w:val="EndnoteText"/>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Q1</w:t>
            </w:r>
            <w:r w:rsidRPr="005256F7">
              <w:rPr>
                <w:rFonts w:ascii="Times New Roman"/>
                <w:sz w:val="22"/>
                <w:szCs w:val="22"/>
                <w:vertAlign w:val="superscript"/>
                <w:lang w:val="en-GB"/>
              </w:rPr>
              <w:t>#</w:t>
            </w:r>
          </w:p>
        </w:tc>
        <w:tc>
          <w:tcPr>
            <w:tcW w:w="737" w:type="dxa"/>
          </w:tcPr>
          <w:p w:rsidR="005B07E4" w:rsidRPr="0059545F" w:rsidRDefault="005B07E4" w:rsidP="005B07E4">
            <w:pPr>
              <w:pStyle w:val="EndnoteText"/>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w:t>
            </w:r>
            <w:r>
              <w:rPr>
                <w:rFonts w:ascii="Times New Roman"/>
                <w:sz w:val="22"/>
                <w:szCs w:val="22"/>
                <w:u w:val="single"/>
                <w:lang w:val="en-GB"/>
              </w:rPr>
              <w:t>2</w:t>
            </w:r>
            <w:r w:rsidRPr="005256F7">
              <w:rPr>
                <w:rFonts w:ascii="Times New Roman"/>
                <w:sz w:val="22"/>
                <w:szCs w:val="22"/>
                <w:vertAlign w:val="superscript"/>
                <w:lang w:val="en-GB"/>
              </w:rPr>
              <w:t>#</w:t>
            </w:r>
          </w:p>
        </w:tc>
        <w:tc>
          <w:tcPr>
            <w:tcW w:w="737" w:type="dxa"/>
          </w:tcPr>
          <w:p w:rsidR="005B07E4" w:rsidRPr="0059545F" w:rsidRDefault="005B07E4" w:rsidP="005B07E4">
            <w:pPr>
              <w:pStyle w:val="EndnoteText"/>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w:t>
            </w:r>
            <w:r>
              <w:rPr>
                <w:rFonts w:ascii="Times New Roman"/>
                <w:sz w:val="22"/>
                <w:szCs w:val="22"/>
                <w:u w:val="single"/>
                <w:lang w:val="en-GB"/>
              </w:rPr>
              <w:t>3</w:t>
            </w:r>
            <w:r w:rsidRPr="005256F7">
              <w:rPr>
                <w:rFonts w:ascii="Times New Roman"/>
                <w:sz w:val="22"/>
                <w:szCs w:val="22"/>
                <w:vertAlign w:val="superscript"/>
                <w:lang w:val="en-GB"/>
              </w:rPr>
              <w:t>#</w:t>
            </w:r>
          </w:p>
        </w:tc>
      </w:tr>
      <w:tr w:rsidR="005B07E4" w:rsidRPr="005256F7" w:rsidTr="005B07E4">
        <w:trPr>
          <w:trHeight w:val="626"/>
          <w:jc w:val="center"/>
        </w:trPr>
        <w:tc>
          <w:tcPr>
            <w:tcW w:w="3402" w:type="dxa"/>
          </w:tcPr>
          <w:p w:rsidR="005B07E4" w:rsidRPr="005256F7" w:rsidRDefault="005B07E4" w:rsidP="005B07E4">
            <w:pPr>
              <w:tabs>
                <w:tab w:val="left" w:pos="1080"/>
              </w:tabs>
              <w:snapToGrid w:val="0"/>
              <w:spacing w:line="230" w:lineRule="exact"/>
              <w:ind w:right="-108"/>
              <w:rPr>
                <w:i/>
                <w:sz w:val="22"/>
                <w:szCs w:val="22"/>
              </w:rPr>
            </w:pPr>
            <w:r w:rsidRPr="005256F7">
              <w:rPr>
                <w:i/>
                <w:sz w:val="22"/>
                <w:szCs w:val="22"/>
              </w:rPr>
              <w:t>Change in real terms of GDP and</w:t>
            </w:r>
          </w:p>
          <w:p w:rsidR="005B07E4" w:rsidRPr="005256F7" w:rsidRDefault="005B07E4" w:rsidP="005B07E4">
            <w:pPr>
              <w:pStyle w:val="EndnoteText"/>
              <w:tabs>
                <w:tab w:val="right" w:pos="647"/>
              </w:tabs>
              <w:spacing w:line="230" w:lineRule="exact"/>
              <w:ind w:left="21" w:hanging="21"/>
              <w:rPr>
                <w:rFonts w:ascii="Times New Roman"/>
                <w:i/>
                <w:sz w:val="22"/>
                <w:szCs w:val="22"/>
                <w:u w:val="single"/>
                <w:lang w:val="en-GB"/>
              </w:rPr>
            </w:pPr>
            <w:r w:rsidRPr="005256F7">
              <w:rPr>
                <w:rFonts w:ascii="Times New Roman"/>
                <w:i/>
                <w:sz w:val="22"/>
                <w:szCs w:val="22"/>
                <w:u w:val="single"/>
                <w:lang w:val="en-GB"/>
              </w:rPr>
              <w:t>its main expenditure components (%)</w:t>
            </w:r>
          </w:p>
        </w:tc>
        <w:tc>
          <w:tcPr>
            <w:tcW w:w="737" w:type="dxa"/>
          </w:tcPr>
          <w:p w:rsidR="005B07E4" w:rsidRPr="005256F7" w:rsidRDefault="005B07E4" w:rsidP="005B07E4">
            <w:pPr>
              <w:pStyle w:val="EndnoteText"/>
              <w:tabs>
                <w:tab w:val="decimal" w:pos="326"/>
                <w:tab w:val="decimal" w:pos="408"/>
              </w:tabs>
              <w:spacing w:line="230" w:lineRule="exact"/>
              <w:ind w:right="-15"/>
              <w:jc w:val="both"/>
              <w:rPr>
                <w:rFonts w:ascii="Times New Roman"/>
                <w:sz w:val="22"/>
                <w:szCs w:val="22"/>
                <w:highlight w:val="yellow"/>
                <w:lang w:val="en-GB"/>
              </w:rPr>
            </w:pPr>
          </w:p>
        </w:tc>
        <w:tc>
          <w:tcPr>
            <w:tcW w:w="737" w:type="dxa"/>
          </w:tcPr>
          <w:p w:rsidR="005B07E4" w:rsidRPr="005256F7" w:rsidRDefault="005B07E4" w:rsidP="005B07E4">
            <w:pPr>
              <w:pStyle w:val="EndnoteText"/>
              <w:tabs>
                <w:tab w:val="decimal" w:pos="326"/>
                <w:tab w:val="decimal" w:pos="408"/>
              </w:tabs>
              <w:spacing w:line="230" w:lineRule="exact"/>
              <w:ind w:right="-15"/>
              <w:jc w:val="both"/>
              <w:rPr>
                <w:rFonts w:ascii="Times New Roman"/>
                <w:sz w:val="22"/>
                <w:szCs w:val="22"/>
                <w:highlight w:val="yellow"/>
                <w:lang w:val="en-GB"/>
              </w:rPr>
            </w:pPr>
          </w:p>
        </w:tc>
        <w:tc>
          <w:tcPr>
            <w:tcW w:w="737" w:type="dxa"/>
          </w:tcPr>
          <w:p w:rsidR="005B07E4" w:rsidRPr="00A06ABA" w:rsidRDefault="005B07E4" w:rsidP="005B07E4">
            <w:pPr>
              <w:pStyle w:val="EndnoteText"/>
              <w:tabs>
                <w:tab w:val="decimal" w:pos="326"/>
              </w:tabs>
              <w:spacing w:line="230" w:lineRule="exact"/>
              <w:ind w:right="-15"/>
              <w:jc w:val="both"/>
              <w:rPr>
                <w:rFonts w:ascii="Times New Roman"/>
                <w:sz w:val="22"/>
                <w:szCs w:val="22"/>
                <w:lang w:val="en-GB"/>
              </w:rPr>
            </w:pPr>
          </w:p>
        </w:tc>
        <w:tc>
          <w:tcPr>
            <w:tcW w:w="737" w:type="dxa"/>
          </w:tcPr>
          <w:p w:rsidR="005B07E4" w:rsidRPr="00A06ABA" w:rsidRDefault="005B07E4" w:rsidP="005B07E4">
            <w:pPr>
              <w:pStyle w:val="EndnoteText"/>
              <w:tabs>
                <w:tab w:val="decimal" w:pos="326"/>
              </w:tabs>
              <w:spacing w:line="230" w:lineRule="exact"/>
              <w:ind w:right="-15"/>
              <w:jc w:val="both"/>
              <w:rPr>
                <w:rFonts w:ascii="Times New Roman"/>
                <w:sz w:val="22"/>
                <w:szCs w:val="22"/>
                <w:lang w:val="en-GB"/>
              </w:rPr>
            </w:pPr>
          </w:p>
        </w:tc>
        <w:tc>
          <w:tcPr>
            <w:tcW w:w="737" w:type="dxa"/>
          </w:tcPr>
          <w:p w:rsidR="005B07E4" w:rsidRPr="00A06ABA" w:rsidRDefault="005B07E4" w:rsidP="005B07E4">
            <w:pPr>
              <w:pStyle w:val="EndnoteText"/>
              <w:tabs>
                <w:tab w:val="decimal" w:pos="326"/>
              </w:tabs>
              <w:spacing w:line="230" w:lineRule="exact"/>
              <w:ind w:right="-15"/>
              <w:jc w:val="both"/>
              <w:rPr>
                <w:rFonts w:ascii="Times New Roman"/>
                <w:sz w:val="22"/>
                <w:szCs w:val="22"/>
                <w:lang w:val="en-GB"/>
              </w:rPr>
            </w:pPr>
          </w:p>
        </w:tc>
        <w:tc>
          <w:tcPr>
            <w:tcW w:w="737" w:type="dxa"/>
          </w:tcPr>
          <w:p w:rsidR="005B07E4" w:rsidRPr="0059545F" w:rsidRDefault="005B07E4" w:rsidP="005B07E4">
            <w:pPr>
              <w:pStyle w:val="EndnoteText"/>
              <w:tabs>
                <w:tab w:val="decimal" w:pos="326"/>
              </w:tabs>
              <w:spacing w:line="230" w:lineRule="exact"/>
              <w:ind w:right="-15"/>
              <w:jc w:val="both"/>
              <w:rPr>
                <w:rFonts w:ascii="Times New Roman"/>
                <w:sz w:val="22"/>
                <w:szCs w:val="22"/>
                <w:lang w:val="en-GB"/>
              </w:rPr>
            </w:pPr>
          </w:p>
        </w:tc>
        <w:tc>
          <w:tcPr>
            <w:tcW w:w="737" w:type="dxa"/>
          </w:tcPr>
          <w:p w:rsidR="005B07E4" w:rsidRPr="0059545F" w:rsidRDefault="005B07E4" w:rsidP="005B07E4">
            <w:pPr>
              <w:pStyle w:val="EndnoteText"/>
              <w:tabs>
                <w:tab w:val="decimal" w:pos="326"/>
              </w:tabs>
              <w:spacing w:line="230" w:lineRule="exact"/>
              <w:ind w:right="-15"/>
              <w:jc w:val="both"/>
              <w:rPr>
                <w:rFonts w:ascii="Times New Roman"/>
                <w:sz w:val="22"/>
                <w:szCs w:val="22"/>
                <w:lang w:val="en-GB"/>
              </w:rPr>
            </w:pPr>
          </w:p>
        </w:tc>
        <w:tc>
          <w:tcPr>
            <w:tcW w:w="737" w:type="dxa"/>
          </w:tcPr>
          <w:p w:rsidR="005B07E4" w:rsidRPr="0059545F" w:rsidRDefault="005B07E4" w:rsidP="005B07E4">
            <w:pPr>
              <w:pStyle w:val="EndnoteText"/>
              <w:tabs>
                <w:tab w:val="decimal" w:pos="326"/>
              </w:tabs>
              <w:spacing w:line="230" w:lineRule="exact"/>
              <w:ind w:right="-15"/>
              <w:jc w:val="both"/>
              <w:rPr>
                <w:rFonts w:ascii="Times New Roman"/>
                <w:sz w:val="22"/>
                <w:szCs w:val="22"/>
                <w:lang w:val="en-GB"/>
              </w:rPr>
            </w:pPr>
          </w:p>
        </w:tc>
        <w:tc>
          <w:tcPr>
            <w:tcW w:w="737" w:type="dxa"/>
          </w:tcPr>
          <w:p w:rsidR="005B07E4" w:rsidRPr="0059545F" w:rsidRDefault="005B07E4" w:rsidP="005B07E4">
            <w:pPr>
              <w:pStyle w:val="EndnoteText"/>
              <w:tabs>
                <w:tab w:val="decimal" w:pos="326"/>
              </w:tabs>
              <w:spacing w:line="230" w:lineRule="exact"/>
              <w:ind w:right="-15"/>
              <w:jc w:val="both"/>
              <w:rPr>
                <w:rFonts w:ascii="Times New Roman"/>
                <w:sz w:val="22"/>
                <w:szCs w:val="22"/>
                <w:lang w:val="en-GB"/>
              </w:rPr>
            </w:pPr>
          </w:p>
        </w:tc>
      </w:tr>
      <w:tr w:rsidR="005B07E4" w:rsidRPr="00BF6DEC" w:rsidTr="005B07E4">
        <w:trPr>
          <w:jc w:val="center"/>
        </w:trPr>
        <w:tc>
          <w:tcPr>
            <w:tcW w:w="3402" w:type="dxa"/>
            <w:vAlign w:val="center"/>
          </w:tcPr>
          <w:p w:rsidR="005B07E4" w:rsidRPr="005256F7" w:rsidRDefault="005B07E4" w:rsidP="005B07E4">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rsidR="005B07E4" w:rsidRPr="005256F7" w:rsidRDefault="005B07E4" w:rsidP="005B07E4">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rsidR="005B07E4" w:rsidRPr="00A356C4" w:rsidRDefault="005B07E4" w:rsidP="005B07E4">
            <w:pPr>
              <w:tabs>
                <w:tab w:val="decimal" w:pos="408"/>
              </w:tabs>
              <w:jc w:val="both"/>
              <w:rPr>
                <w:sz w:val="22"/>
                <w:szCs w:val="22"/>
                <w:lang w:eastAsia="zh-HK"/>
              </w:rPr>
            </w:pPr>
            <w:r>
              <w:rPr>
                <w:sz w:val="22"/>
                <w:szCs w:val="22"/>
                <w:lang w:eastAsia="zh-HK"/>
              </w:rPr>
              <w:t>-2.2</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7.7</w:t>
            </w:r>
          </w:p>
        </w:tc>
        <w:tc>
          <w:tcPr>
            <w:tcW w:w="737" w:type="dxa"/>
          </w:tcPr>
          <w:p w:rsidR="005B07E4" w:rsidRPr="00716C0D" w:rsidRDefault="005B07E4" w:rsidP="005B07E4">
            <w:pPr>
              <w:tabs>
                <w:tab w:val="decimal" w:pos="408"/>
              </w:tabs>
              <w:jc w:val="both"/>
              <w:rPr>
                <w:sz w:val="22"/>
                <w:szCs w:val="22"/>
                <w:lang w:eastAsia="zh-HK"/>
              </w:rPr>
            </w:pPr>
            <w:r>
              <w:rPr>
                <w:sz w:val="22"/>
                <w:szCs w:val="22"/>
              </w:rPr>
              <w:t>13.0</w:t>
            </w:r>
          </w:p>
          <w:p w:rsidR="005B07E4" w:rsidRPr="00716C0D" w:rsidRDefault="005B07E4" w:rsidP="005B07E4">
            <w:pPr>
              <w:tabs>
                <w:tab w:val="decimal" w:pos="408"/>
              </w:tabs>
              <w:jc w:val="both"/>
              <w:rPr>
                <w:sz w:val="22"/>
                <w:szCs w:val="22"/>
                <w:lang w:eastAsia="zh-HK"/>
              </w:rPr>
            </w:pPr>
            <w:r w:rsidRPr="00716C0D">
              <w:rPr>
                <w:sz w:val="22"/>
                <w:szCs w:val="22"/>
                <w:lang w:eastAsia="zh-HK"/>
              </w:rPr>
              <w:t>(</w:t>
            </w:r>
            <w:r w:rsidRPr="00716C0D">
              <w:rPr>
                <w:rFonts w:hint="eastAsia"/>
                <w:sz w:val="22"/>
                <w:szCs w:val="22"/>
              </w:rPr>
              <w:t>1</w:t>
            </w:r>
            <w:r w:rsidRPr="00716C0D">
              <w:rPr>
                <w:sz w:val="22"/>
                <w:szCs w:val="22"/>
                <w:lang w:eastAsia="zh-HK"/>
              </w:rPr>
              <w:t>.</w:t>
            </w:r>
            <w:r>
              <w:rPr>
                <w:sz w:val="22"/>
                <w:szCs w:val="22"/>
                <w:lang w:eastAsia="zh-HK"/>
              </w:rPr>
              <w:t>5</w:t>
            </w:r>
            <w:r w:rsidRPr="00716C0D">
              <w:rPr>
                <w:sz w:val="22"/>
                <w:szCs w:val="22"/>
                <w:lang w:eastAsia="zh-HK"/>
              </w:rPr>
              <w:t>)</w:t>
            </w:r>
          </w:p>
        </w:tc>
        <w:tc>
          <w:tcPr>
            <w:tcW w:w="737" w:type="dxa"/>
          </w:tcPr>
          <w:p w:rsidR="005B07E4" w:rsidRPr="00716C0D" w:rsidRDefault="005B07E4" w:rsidP="005B07E4">
            <w:pPr>
              <w:tabs>
                <w:tab w:val="decimal" w:pos="408"/>
              </w:tabs>
              <w:jc w:val="both"/>
              <w:rPr>
                <w:sz w:val="22"/>
                <w:szCs w:val="22"/>
                <w:lang w:eastAsia="zh-HK"/>
              </w:rPr>
            </w:pPr>
            <w:r>
              <w:rPr>
                <w:sz w:val="22"/>
                <w:szCs w:val="22"/>
              </w:rPr>
              <w:t>8.4</w:t>
            </w:r>
          </w:p>
          <w:p w:rsidR="005B07E4" w:rsidRPr="00716C0D" w:rsidRDefault="005B07E4" w:rsidP="005B07E4">
            <w:pPr>
              <w:tabs>
                <w:tab w:val="decimal" w:pos="408"/>
              </w:tabs>
              <w:jc w:val="both"/>
              <w:rPr>
                <w:sz w:val="22"/>
                <w:szCs w:val="22"/>
                <w:lang w:eastAsia="zh-HK"/>
              </w:rPr>
            </w:pPr>
            <w:r w:rsidRPr="00716C0D">
              <w:rPr>
                <w:sz w:val="22"/>
                <w:szCs w:val="22"/>
                <w:lang w:eastAsia="zh-HK"/>
              </w:rPr>
              <w:t>(</w:t>
            </w:r>
            <w:r w:rsidRPr="00716C0D">
              <w:rPr>
                <w:sz w:val="22"/>
                <w:szCs w:val="22"/>
              </w:rPr>
              <w:t>3.</w:t>
            </w:r>
            <w:r>
              <w:rPr>
                <w:sz w:val="22"/>
                <w:szCs w:val="22"/>
              </w:rPr>
              <w:t>6</w:t>
            </w:r>
            <w:r w:rsidRPr="00716C0D">
              <w:rPr>
                <w:sz w:val="22"/>
                <w:szCs w:val="22"/>
                <w:lang w:eastAsia="zh-HK"/>
              </w:rPr>
              <w:t>)</w:t>
            </w:r>
          </w:p>
        </w:tc>
        <w:tc>
          <w:tcPr>
            <w:tcW w:w="737" w:type="dxa"/>
          </w:tcPr>
          <w:p w:rsidR="005B07E4" w:rsidRPr="00716C0D" w:rsidRDefault="005B07E4" w:rsidP="005B07E4">
            <w:pPr>
              <w:tabs>
                <w:tab w:val="decimal" w:pos="408"/>
              </w:tabs>
              <w:jc w:val="both"/>
              <w:rPr>
                <w:sz w:val="22"/>
                <w:szCs w:val="22"/>
                <w:lang w:eastAsia="zh-HK"/>
              </w:rPr>
            </w:pPr>
            <w:r>
              <w:rPr>
                <w:sz w:val="22"/>
                <w:szCs w:val="22"/>
              </w:rPr>
              <w:t>6.7</w:t>
            </w:r>
          </w:p>
          <w:p w:rsidR="005B07E4" w:rsidRPr="00716C0D" w:rsidRDefault="005B07E4" w:rsidP="005B07E4">
            <w:pPr>
              <w:tabs>
                <w:tab w:val="decimal" w:pos="408"/>
              </w:tabs>
              <w:jc w:val="both"/>
              <w:rPr>
                <w:sz w:val="22"/>
                <w:szCs w:val="22"/>
                <w:lang w:eastAsia="zh-HK"/>
              </w:rPr>
            </w:pPr>
            <w:r w:rsidRPr="00716C0D">
              <w:rPr>
                <w:sz w:val="22"/>
                <w:szCs w:val="22"/>
                <w:lang w:eastAsia="zh-HK"/>
              </w:rPr>
              <w:t>(</w:t>
            </w:r>
            <w:r w:rsidRPr="00716C0D">
              <w:rPr>
                <w:sz w:val="22"/>
                <w:szCs w:val="22"/>
              </w:rPr>
              <w:t>-0.</w:t>
            </w:r>
            <w:r>
              <w:rPr>
                <w:sz w:val="22"/>
                <w:szCs w:val="22"/>
              </w:rPr>
              <w:t>8</w:t>
            </w:r>
            <w:r w:rsidRPr="00716C0D">
              <w:rPr>
                <w:sz w:val="22"/>
                <w:szCs w:val="22"/>
                <w:lang w:eastAsia="zh-HK"/>
              </w:rPr>
              <w:t>)</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3.5</w:t>
            </w:r>
          </w:p>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(-0.</w:t>
            </w:r>
            <w:r>
              <w:rPr>
                <w:kern w:val="0"/>
                <w:sz w:val="22"/>
                <w:szCs w:val="22"/>
                <w:lang w:eastAsia="zh-HK"/>
              </w:rPr>
              <w:t>7</w:t>
            </w:r>
            <w:r w:rsidRPr="00716C0D">
              <w:rPr>
                <w:kern w:val="0"/>
                <w:sz w:val="22"/>
                <w:szCs w:val="22"/>
                <w:lang w:eastAsia="zh-HK"/>
              </w:rPr>
              <w:t>)</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1.2</w:t>
            </w:r>
          </w:p>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0.7</w:t>
            </w:r>
            <w:r w:rsidRPr="00716C0D">
              <w:rPr>
                <w:kern w:val="0"/>
                <w:sz w:val="22"/>
                <w:szCs w:val="22"/>
                <w:lang w:eastAsia="zh-HK"/>
              </w:rPr>
              <w:t>)</w:t>
            </w:r>
          </w:p>
        </w:tc>
        <w:tc>
          <w:tcPr>
            <w:tcW w:w="737" w:type="dxa"/>
          </w:tcPr>
          <w:p w:rsidR="005B07E4" w:rsidRPr="005A20FE" w:rsidRDefault="005B07E4" w:rsidP="005B07E4">
            <w:pPr>
              <w:widowControl/>
              <w:tabs>
                <w:tab w:val="decimal" w:pos="408"/>
              </w:tabs>
              <w:jc w:val="both"/>
              <w:rPr>
                <w:kern w:val="0"/>
                <w:sz w:val="22"/>
                <w:szCs w:val="22"/>
                <w:lang w:eastAsia="zh-HK"/>
              </w:rPr>
            </w:pPr>
            <w:r w:rsidRPr="005A20FE">
              <w:rPr>
                <w:kern w:val="0"/>
                <w:sz w:val="22"/>
                <w:szCs w:val="22"/>
                <w:lang w:eastAsia="zh-HK"/>
              </w:rPr>
              <w:t>-1.</w:t>
            </w:r>
            <w:r w:rsidR="00C62B4D">
              <w:rPr>
                <w:kern w:val="0"/>
                <w:sz w:val="22"/>
                <w:szCs w:val="22"/>
                <w:lang w:eastAsia="zh-HK"/>
              </w:rPr>
              <w:t>6</w:t>
            </w:r>
          </w:p>
          <w:p w:rsidR="005B07E4" w:rsidRPr="005A20FE" w:rsidRDefault="005B07E4" w:rsidP="005B07E4">
            <w:pPr>
              <w:widowControl/>
              <w:tabs>
                <w:tab w:val="decimal" w:pos="408"/>
              </w:tabs>
              <w:jc w:val="both"/>
              <w:rPr>
                <w:kern w:val="0"/>
                <w:sz w:val="22"/>
                <w:szCs w:val="22"/>
                <w:lang w:eastAsia="zh-HK"/>
              </w:rPr>
            </w:pPr>
            <w:r w:rsidRPr="005A20FE">
              <w:rPr>
                <w:kern w:val="0"/>
                <w:sz w:val="22"/>
                <w:szCs w:val="22"/>
                <w:lang w:eastAsia="zh-HK"/>
              </w:rPr>
              <w:t>(0.7)</w:t>
            </w:r>
          </w:p>
        </w:tc>
        <w:tc>
          <w:tcPr>
            <w:tcW w:w="737" w:type="dxa"/>
          </w:tcPr>
          <w:p w:rsidR="005B07E4" w:rsidRPr="001958D5" w:rsidRDefault="005B07E4" w:rsidP="005B07E4">
            <w:pPr>
              <w:widowControl/>
              <w:tabs>
                <w:tab w:val="decimal" w:pos="408"/>
              </w:tabs>
              <w:jc w:val="both"/>
              <w:rPr>
                <w:kern w:val="0"/>
                <w:sz w:val="22"/>
                <w:szCs w:val="22"/>
                <w:lang w:eastAsia="zh-HK"/>
              </w:rPr>
            </w:pPr>
            <w:r w:rsidRPr="001958D5">
              <w:rPr>
                <w:kern w:val="0"/>
                <w:sz w:val="22"/>
                <w:szCs w:val="22"/>
                <w:lang w:eastAsia="zh-HK"/>
              </w:rPr>
              <w:t>-1.</w:t>
            </w:r>
            <w:r w:rsidR="001958D5" w:rsidRPr="001958D5">
              <w:rPr>
                <w:kern w:val="0"/>
                <w:sz w:val="22"/>
                <w:szCs w:val="22"/>
                <w:lang w:eastAsia="zh-HK"/>
              </w:rPr>
              <w:t>3</w:t>
            </w:r>
          </w:p>
          <w:p w:rsidR="005B07E4" w:rsidRPr="001958D5" w:rsidRDefault="005B07E4" w:rsidP="001958D5">
            <w:pPr>
              <w:widowControl/>
              <w:tabs>
                <w:tab w:val="decimal" w:pos="408"/>
              </w:tabs>
              <w:jc w:val="both"/>
              <w:rPr>
                <w:kern w:val="0"/>
                <w:sz w:val="22"/>
                <w:szCs w:val="22"/>
                <w:lang w:eastAsia="zh-HK"/>
              </w:rPr>
            </w:pPr>
            <w:r w:rsidRPr="001958D5">
              <w:rPr>
                <w:kern w:val="0"/>
                <w:sz w:val="22"/>
                <w:szCs w:val="22"/>
                <w:lang w:eastAsia="zh-HK"/>
              </w:rPr>
              <w:t>(</w:t>
            </w:r>
            <w:r w:rsidR="00BC71DE" w:rsidRPr="001958D5">
              <w:rPr>
                <w:kern w:val="0"/>
                <w:sz w:val="22"/>
                <w:szCs w:val="22"/>
                <w:lang w:eastAsia="zh-HK"/>
              </w:rPr>
              <w:t>-0.</w:t>
            </w:r>
            <w:r w:rsidR="001958D5" w:rsidRPr="001958D5">
              <w:rPr>
                <w:kern w:val="0"/>
                <w:sz w:val="22"/>
                <w:szCs w:val="22"/>
                <w:lang w:eastAsia="zh-HK"/>
              </w:rPr>
              <w:t>5</w:t>
            </w:r>
            <w:r w:rsidRPr="001958D5">
              <w:rPr>
                <w:kern w:val="0"/>
                <w:sz w:val="22"/>
                <w:szCs w:val="22"/>
                <w:lang w:eastAsia="zh-HK"/>
              </w:rPr>
              <w:t>)</w:t>
            </w:r>
          </w:p>
        </w:tc>
      </w:tr>
      <w:tr w:rsidR="005B07E4" w:rsidRPr="00BF6DEC" w:rsidTr="005B07E4">
        <w:trPr>
          <w:jc w:val="center"/>
        </w:trPr>
        <w:tc>
          <w:tcPr>
            <w:tcW w:w="3402" w:type="dxa"/>
            <w:vAlign w:val="center"/>
          </w:tcPr>
          <w:p w:rsidR="005B07E4" w:rsidRPr="005256F7" w:rsidRDefault="005B07E4" w:rsidP="005B07E4">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rsidR="005B07E4" w:rsidRPr="005256F7" w:rsidRDefault="005B07E4" w:rsidP="005B07E4">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rsidR="005B07E4" w:rsidRPr="00BE38DD" w:rsidRDefault="005B07E4" w:rsidP="005B07E4">
            <w:pPr>
              <w:tabs>
                <w:tab w:val="decimal" w:pos="408"/>
              </w:tabs>
              <w:jc w:val="both"/>
              <w:rPr>
                <w:sz w:val="22"/>
                <w:szCs w:val="22"/>
                <w:lang w:eastAsia="zh-HK"/>
              </w:rPr>
            </w:pPr>
            <w:r>
              <w:rPr>
                <w:sz w:val="22"/>
                <w:szCs w:val="22"/>
              </w:rPr>
              <w:t>8.0</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-4.3</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1.</w:t>
            </w:r>
            <w:r>
              <w:rPr>
                <w:sz w:val="22"/>
                <w:szCs w:val="22"/>
              </w:rPr>
              <w:t>2</w:t>
            </w:r>
          </w:p>
          <w:p w:rsidR="005B07E4" w:rsidRPr="00716C0D" w:rsidRDefault="005B07E4" w:rsidP="005B07E4">
            <w:pPr>
              <w:tabs>
                <w:tab w:val="decimal" w:pos="408"/>
              </w:tabs>
              <w:jc w:val="both"/>
              <w:rPr>
                <w:sz w:val="22"/>
                <w:szCs w:val="22"/>
                <w:lang w:eastAsia="zh-HK"/>
              </w:rPr>
            </w:pPr>
            <w:r w:rsidRPr="00716C0D">
              <w:rPr>
                <w:sz w:val="22"/>
                <w:szCs w:val="22"/>
                <w:lang w:eastAsia="zh-HK"/>
              </w:rPr>
              <w:t>(-3.</w:t>
            </w:r>
            <w:r>
              <w:rPr>
                <w:sz w:val="22"/>
                <w:szCs w:val="22"/>
                <w:lang w:eastAsia="zh-HK"/>
              </w:rPr>
              <w:t>7</w:t>
            </w:r>
            <w:r w:rsidRPr="00716C0D">
              <w:rPr>
                <w:sz w:val="22"/>
                <w:szCs w:val="22"/>
                <w:lang w:eastAsia="zh-HK"/>
              </w:rPr>
              <w:t>)</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-9.</w:t>
            </w:r>
            <w:r>
              <w:rPr>
                <w:sz w:val="22"/>
                <w:szCs w:val="22"/>
              </w:rPr>
              <w:t>5</w:t>
            </w:r>
          </w:p>
          <w:p w:rsidR="005B07E4" w:rsidRPr="00716C0D" w:rsidRDefault="005B07E4" w:rsidP="005B07E4">
            <w:pPr>
              <w:tabs>
                <w:tab w:val="decimal" w:pos="408"/>
              </w:tabs>
              <w:jc w:val="both"/>
              <w:rPr>
                <w:sz w:val="22"/>
                <w:szCs w:val="22"/>
                <w:lang w:eastAsia="zh-HK"/>
              </w:rPr>
            </w:pPr>
            <w:r w:rsidRPr="00716C0D">
              <w:rPr>
                <w:sz w:val="22"/>
                <w:szCs w:val="22"/>
                <w:lang w:eastAsia="zh-HK"/>
              </w:rPr>
              <w:t>(-4.</w:t>
            </w:r>
            <w:r>
              <w:rPr>
                <w:sz w:val="22"/>
                <w:szCs w:val="22"/>
                <w:lang w:eastAsia="zh-HK"/>
              </w:rPr>
              <w:t>4</w:t>
            </w:r>
            <w:r w:rsidRPr="00716C0D">
              <w:rPr>
                <w:sz w:val="22"/>
                <w:szCs w:val="22"/>
                <w:lang w:eastAsia="zh-HK"/>
              </w:rPr>
              <w:t>)</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w:t>
            </w:r>
            <w:r>
              <w:rPr>
                <w:sz w:val="22"/>
                <w:szCs w:val="22"/>
              </w:rPr>
              <w:t>3.9</w:t>
            </w:r>
          </w:p>
          <w:p w:rsidR="005B07E4" w:rsidRPr="00716C0D" w:rsidRDefault="005B07E4" w:rsidP="005B07E4">
            <w:pPr>
              <w:tabs>
                <w:tab w:val="decimal" w:pos="408"/>
              </w:tabs>
              <w:jc w:val="both"/>
              <w:rPr>
                <w:sz w:val="22"/>
                <w:szCs w:val="22"/>
                <w:lang w:eastAsia="zh-HK"/>
              </w:rPr>
            </w:pPr>
            <w:r w:rsidRPr="00716C0D">
              <w:rPr>
                <w:sz w:val="22"/>
                <w:szCs w:val="22"/>
                <w:lang w:eastAsia="zh-HK"/>
              </w:rPr>
              <w:t>(1.8)</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-5.2</w:t>
            </w:r>
          </w:p>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(1.</w:t>
            </w:r>
            <w:r>
              <w:rPr>
                <w:kern w:val="0"/>
                <w:sz w:val="22"/>
                <w:szCs w:val="22"/>
                <w:lang w:eastAsia="zh-HK"/>
              </w:rPr>
              <w:t>3</w:t>
            </w:r>
            <w:r w:rsidRPr="00716C0D">
              <w:rPr>
                <w:kern w:val="0"/>
                <w:sz w:val="22"/>
                <w:szCs w:val="22"/>
                <w:lang w:eastAsia="zh-HK"/>
              </w:rPr>
              <w:t>)</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2.2</w:t>
            </w:r>
          </w:p>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-0.9</w:t>
            </w:r>
            <w:r w:rsidRPr="00716C0D">
              <w:rPr>
                <w:kern w:val="0"/>
                <w:sz w:val="22"/>
                <w:szCs w:val="22"/>
                <w:lang w:eastAsia="zh-HK"/>
              </w:rPr>
              <w:t>)</w:t>
            </w:r>
          </w:p>
        </w:tc>
        <w:tc>
          <w:tcPr>
            <w:tcW w:w="737" w:type="dxa"/>
          </w:tcPr>
          <w:p w:rsidR="005B07E4" w:rsidRPr="005A20FE" w:rsidRDefault="005B07E4" w:rsidP="005B07E4">
            <w:pPr>
              <w:widowControl/>
              <w:tabs>
                <w:tab w:val="decimal" w:pos="408"/>
              </w:tabs>
              <w:jc w:val="both"/>
              <w:rPr>
                <w:kern w:val="0"/>
                <w:sz w:val="22"/>
                <w:szCs w:val="22"/>
                <w:lang w:eastAsia="zh-HK"/>
              </w:rPr>
            </w:pPr>
            <w:r w:rsidRPr="005A20FE">
              <w:rPr>
                <w:kern w:val="0"/>
                <w:sz w:val="22"/>
                <w:szCs w:val="22"/>
                <w:lang w:eastAsia="zh-HK"/>
              </w:rPr>
              <w:t>2.</w:t>
            </w:r>
            <w:r w:rsidR="00D85C91">
              <w:rPr>
                <w:kern w:val="0"/>
                <w:sz w:val="22"/>
                <w:szCs w:val="22"/>
                <w:lang w:eastAsia="zh-HK"/>
              </w:rPr>
              <w:t>2</w:t>
            </w:r>
          </w:p>
          <w:p w:rsidR="005B07E4" w:rsidRPr="005A20FE" w:rsidRDefault="005B07E4" w:rsidP="00BC71DE">
            <w:pPr>
              <w:widowControl/>
              <w:tabs>
                <w:tab w:val="decimal" w:pos="408"/>
              </w:tabs>
              <w:jc w:val="both"/>
              <w:rPr>
                <w:kern w:val="0"/>
                <w:sz w:val="22"/>
                <w:szCs w:val="22"/>
                <w:lang w:eastAsia="zh-HK"/>
              </w:rPr>
            </w:pPr>
            <w:r w:rsidRPr="005A20FE">
              <w:rPr>
                <w:kern w:val="0"/>
                <w:sz w:val="22"/>
                <w:szCs w:val="22"/>
                <w:lang w:eastAsia="zh-HK"/>
              </w:rPr>
              <w:t>(-0.</w:t>
            </w:r>
            <w:r w:rsidR="00BC71DE">
              <w:rPr>
                <w:kern w:val="0"/>
                <w:sz w:val="22"/>
                <w:szCs w:val="22"/>
                <w:lang w:eastAsia="zh-HK"/>
              </w:rPr>
              <w:t>2</w:t>
            </w:r>
            <w:r w:rsidRPr="005A20FE">
              <w:rPr>
                <w:kern w:val="0"/>
                <w:sz w:val="22"/>
                <w:szCs w:val="22"/>
                <w:lang w:eastAsia="zh-HK"/>
              </w:rPr>
              <w:t>)</w:t>
            </w:r>
          </w:p>
        </w:tc>
        <w:tc>
          <w:tcPr>
            <w:tcW w:w="737" w:type="dxa"/>
          </w:tcPr>
          <w:p w:rsidR="005B07E4" w:rsidRPr="001958D5" w:rsidRDefault="005B07E4" w:rsidP="005B07E4">
            <w:pPr>
              <w:widowControl/>
              <w:tabs>
                <w:tab w:val="decimal" w:pos="408"/>
              </w:tabs>
              <w:jc w:val="both"/>
              <w:rPr>
                <w:kern w:val="0"/>
                <w:sz w:val="22"/>
                <w:szCs w:val="22"/>
                <w:lang w:eastAsia="zh-HK"/>
              </w:rPr>
            </w:pPr>
            <w:r w:rsidRPr="001958D5">
              <w:rPr>
                <w:kern w:val="0"/>
                <w:sz w:val="22"/>
                <w:szCs w:val="22"/>
                <w:lang w:eastAsia="zh-HK"/>
              </w:rPr>
              <w:t>2.</w:t>
            </w:r>
            <w:r w:rsidR="00BC71DE" w:rsidRPr="001958D5">
              <w:rPr>
                <w:kern w:val="0"/>
                <w:sz w:val="22"/>
                <w:szCs w:val="22"/>
                <w:lang w:eastAsia="zh-HK"/>
              </w:rPr>
              <w:t>1</w:t>
            </w:r>
          </w:p>
          <w:p w:rsidR="005B07E4" w:rsidRPr="001958D5" w:rsidRDefault="00BC71DE" w:rsidP="001958D5">
            <w:pPr>
              <w:widowControl/>
              <w:tabs>
                <w:tab w:val="decimal" w:pos="408"/>
              </w:tabs>
              <w:jc w:val="both"/>
              <w:rPr>
                <w:kern w:val="0"/>
                <w:sz w:val="22"/>
                <w:szCs w:val="22"/>
                <w:lang w:eastAsia="zh-HK"/>
              </w:rPr>
            </w:pPr>
            <w:r w:rsidRPr="001958D5">
              <w:rPr>
                <w:kern w:val="0"/>
                <w:sz w:val="22"/>
                <w:szCs w:val="22"/>
                <w:lang w:eastAsia="zh-HK"/>
              </w:rPr>
              <w:t>(1.</w:t>
            </w:r>
            <w:r w:rsidR="001958D5" w:rsidRPr="001958D5">
              <w:rPr>
                <w:kern w:val="0"/>
                <w:sz w:val="22"/>
                <w:szCs w:val="22"/>
                <w:lang w:eastAsia="zh-HK"/>
              </w:rPr>
              <w:t>7</w:t>
            </w:r>
            <w:r w:rsidR="005B07E4" w:rsidRPr="001958D5">
              <w:rPr>
                <w:kern w:val="0"/>
                <w:sz w:val="22"/>
                <w:szCs w:val="22"/>
                <w:lang w:eastAsia="zh-HK"/>
              </w:rPr>
              <w:t>)</w:t>
            </w:r>
          </w:p>
        </w:tc>
      </w:tr>
      <w:tr w:rsidR="005B07E4" w:rsidRPr="00BF6DEC" w:rsidTr="005B07E4">
        <w:trPr>
          <w:jc w:val="center"/>
        </w:trPr>
        <w:tc>
          <w:tcPr>
            <w:tcW w:w="3402" w:type="dxa"/>
            <w:vAlign w:val="center"/>
          </w:tcPr>
          <w:p w:rsidR="005B07E4" w:rsidRPr="005256F7" w:rsidRDefault="005B07E4" w:rsidP="005B07E4">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rsidR="005B07E4" w:rsidRPr="005256F7" w:rsidRDefault="005B07E4" w:rsidP="005B07E4">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737" w:type="dxa"/>
          </w:tcPr>
          <w:p w:rsidR="005B07E4" w:rsidRPr="00212B47" w:rsidRDefault="005B07E4" w:rsidP="005B07E4">
            <w:pPr>
              <w:tabs>
                <w:tab w:val="decimal" w:pos="408"/>
              </w:tabs>
              <w:jc w:val="both"/>
              <w:rPr>
                <w:sz w:val="22"/>
                <w:szCs w:val="22"/>
                <w:lang w:eastAsia="zh-HK"/>
              </w:rPr>
            </w:pPr>
            <w:r>
              <w:rPr>
                <w:rFonts w:hint="eastAsia"/>
                <w:sz w:val="22"/>
                <w:szCs w:val="22"/>
              </w:rPr>
              <w:t>-7.</w:t>
            </w:r>
            <w:r>
              <w:rPr>
                <w:sz w:val="22"/>
                <w:szCs w:val="22"/>
              </w:rPr>
              <w:t>4</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11.1</w:t>
            </w:r>
          </w:p>
        </w:tc>
        <w:tc>
          <w:tcPr>
            <w:tcW w:w="737" w:type="dxa"/>
          </w:tcPr>
          <w:p w:rsidR="005B07E4" w:rsidRPr="00716C0D" w:rsidRDefault="005B07E4" w:rsidP="005B07E4">
            <w:pPr>
              <w:tabs>
                <w:tab w:val="decimal" w:pos="408"/>
              </w:tabs>
              <w:jc w:val="both"/>
              <w:rPr>
                <w:sz w:val="22"/>
                <w:szCs w:val="22"/>
                <w:lang w:eastAsia="zh-HK"/>
              </w:rPr>
            </w:pPr>
            <w:r>
              <w:rPr>
                <w:sz w:val="22"/>
                <w:szCs w:val="22"/>
              </w:rPr>
              <w:t>8.9</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-1.9</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21.</w:t>
            </w:r>
            <w:r>
              <w:rPr>
                <w:sz w:val="22"/>
                <w:szCs w:val="22"/>
              </w:rPr>
              <w:t>7</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17.5</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0.1</w:t>
            </w:r>
          </w:p>
        </w:tc>
        <w:tc>
          <w:tcPr>
            <w:tcW w:w="737" w:type="dxa"/>
          </w:tcPr>
          <w:p w:rsidR="005B07E4" w:rsidRPr="005A20FE" w:rsidRDefault="00D85C91" w:rsidP="005B07E4">
            <w:pPr>
              <w:widowControl/>
              <w:tabs>
                <w:tab w:val="decimal" w:pos="408"/>
              </w:tabs>
              <w:jc w:val="both"/>
              <w:rPr>
                <w:kern w:val="0"/>
                <w:sz w:val="22"/>
                <w:szCs w:val="22"/>
                <w:lang w:eastAsia="zh-HK"/>
              </w:rPr>
            </w:pPr>
            <w:r>
              <w:rPr>
                <w:kern w:val="0"/>
                <w:sz w:val="22"/>
                <w:szCs w:val="22"/>
                <w:lang w:eastAsia="zh-HK"/>
              </w:rPr>
              <w:t>4.1</w:t>
            </w:r>
          </w:p>
        </w:tc>
        <w:tc>
          <w:tcPr>
            <w:tcW w:w="737" w:type="dxa"/>
          </w:tcPr>
          <w:p w:rsidR="005B07E4" w:rsidRPr="001958D5" w:rsidRDefault="00BC71DE" w:rsidP="005B07E4">
            <w:pPr>
              <w:widowControl/>
              <w:tabs>
                <w:tab w:val="decimal" w:pos="408"/>
              </w:tabs>
              <w:jc w:val="both"/>
              <w:rPr>
                <w:kern w:val="0"/>
                <w:sz w:val="22"/>
                <w:szCs w:val="22"/>
                <w:lang w:eastAsia="zh-HK"/>
              </w:rPr>
            </w:pPr>
            <w:r w:rsidRPr="001958D5">
              <w:rPr>
                <w:kern w:val="0"/>
                <w:sz w:val="22"/>
                <w:szCs w:val="22"/>
                <w:lang w:eastAsia="zh-HK"/>
              </w:rPr>
              <w:t>3.7</w:t>
            </w:r>
          </w:p>
        </w:tc>
      </w:tr>
      <w:tr w:rsidR="005B07E4" w:rsidRPr="00BF6DEC" w:rsidTr="005B07E4">
        <w:trPr>
          <w:jc w:val="center"/>
        </w:trPr>
        <w:tc>
          <w:tcPr>
            <w:tcW w:w="3402" w:type="dxa"/>
            <w:vAlign w:val="center"/>
          </w:tcPr>
          <w:p w:rsidR="005B07E4" w:rsidRPr="005256F7" w:rsidRDefault="005B07E4" w:rsidP="005B07E4">
            <w:pPr>
              <w:tabs>
                <w:tab w:val="left" w:pos="1080"/>
              </w:tabs>
              <w:spacing w:line="360" w:lineRule="auto"/>
              <w:ind w:right="-108"/>
              <w:jc w:val="both"/>
              <w:rPr>
                <w:sz w:val="22"/>
                <w:szCs w:val="22"/>
              </w:rPr>
            </w:pPr>
            <w:r w:rsidRPr="005256F7">
              <w:rPr>
                <w:sz w:val="22"/>
                <w:szCs w:val="22"/>
              </w:rPr>
              <w:t xml:space="preserve">   Building and construction</w:t>
            </w:r>
          </w:p>
        </w:tc>
        <w:tc>
          <w:tcPr>
            <w:tcW w:w="737" w:type="dxa"/>
          </w:tcPr>
          <w:p w:rsidR="005B07E4" w:rsidRPr="00DE1FA0" w:rsidRDefault="005B07E4" w:rsidP="005B07E4">
            <w:pPr>
              <w:tabs>
                <w:tab w:val="decimal" w:pos="408"/>
              </w:tabs>
              <w:jc w:val="both"/>
              <w:rPr>
                <w:sz w:val="22"/>
                <w:szCs w:val="22"/>
                <w:lang w:eastAsia="zh-HK"/>
              </w:rPr>
            </w:pPr>
            <w:r>
              <w:rPr>
                <w:sz w:val="22"/>
                <w:szCs w:val="22"/>
              </w:rPr>
              <w:t>7.4</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7.5</w:t>
            </w:r>
          </w:p>
        </w:tc>
        <w:tc>
          <w:tcPr>
            <w:tcW w:w="737" w:type="dxa"/>
          </w:tcPr>
          <w:p w:rsidR="005B07E4" w:rsidRPr="00716C0D" w:rsidRDefault="005B07E4" w:rsidP="005B07E4">
            <w:pPr>
              <w:tabs>
                <w:tab w:val="decimal" w:pos="408"/>
              </w:tabs>
              <w:jc w:val="both"/>
              <w:rPr>
                <w:sz w:val="22"/>
                <w:szCs w:val="22"/>
                <w:lang w:eastAsia="zh-HK"/>
              </w:rPr>
            </w:pPr>
            <w:r>
              <w:rPr>
                <w:sz w:val="22"/>
                <w:szCs w:val="22"/>
              </w:rPr>
              <w:t>0.7</w:t>
            </w:r>
          </w:p>
        </w:tc>
        <w:tc>
          <w:tcPr>
            <w:tcW w:w="737" w:type="dxa"/>
          </w:tcPr>
          <w:p w:rsidR="005B07E4" w:rsidRPr="00716C0D" w:rsidRDefault="005B07E4" w:rsidP="005B07E4">
            <w:pPr>
              <w:tabs>
                <w:tab w:val="decimal" w:pos="408"/>
              </w:tabs>
              <w:jc w:val="both"/>
              <w:rPr>
                <w:sz w:val="22"/>
                <w:szCs w:val="22"/>
                <w:lang w:eastAsia="zh-HK"/>
              </w:rPr>
            </w:pPr>
            <w:r>
              <w:rPr>
                <w:sz w:val="22"/>
                <w:szCs w:val="22"/>
              </w:rPr>
              <w:t>8.0</w:t>
            </w:r>
          </w:p>
        </w:tc>
        <w:tc>
          <w:tcPr>
            <w:tcW w:w="737" w:type="dxa"/>
          </w:tcPr>
          <w:p w:rsidR="005B07E4" w:rsidRPr="00716C0D" w:rsidRDefault="005B07E4" w:rsidP="005B07E4">
            <w:pPr>
              <w:tabs>
                <w:tab w:val="decimal" w:pos="408"/>
              </w:tabs>
              <w:jc w:val="both"/>
              <w:rPr>
                <w:sz w:val="22"/>
                <w:szCs w:val="22"/>
                <w:lang w:eastAsia="zh-HK"/>
              </w:rPr>
            </w:pPr>
            <w:r>
              <w:rPr>
                <w:sz w:val="22"/>
                <w:szCs w:val="22"/>
              </w:rPr>
              <w:t>16.0</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6.1</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10.6</w:t>
            </w:r>
          </w:p>
        </w:tc>
        <w:tc>
          <w:tcPr>
            <w:tcW w:w="737" w:type="dxa"/>
          </w:tcPr>
          <w:p w:rsidR="005B07E4" w:rsidRPr="005A20FE" w:rsidRDefault="00D85C91" w:rsidP="005B07E4">
            <w:pPr>
              <w:widowControl/>
              <w:tabs>
                <w:tab w:val="decimal" w:pos="408"/>
              </w:tabs>
              <w:jc w:val="both"/>
              <w:rPr>
                <w:kern w:val="0"/>
                <w:sz w:val="22"/>
                <w:szCs w:val="22"/>
                <w:lang w:eastAsia="zh-HK"/>
              </w:rPr>
            </w:pPr>
            <w:r>
              <w:rPr>
                <w:kern w:val="0"/>
                <w:sz w:val="22"/>
                <w:szCs w:val="22"/>
                <w:lang w:eastAsia="zh-HK"/>
              </w:rPr>
              <w:t>11.3</w:t>
            </w:r>
          </w:p>
        </w:tc>
        <w:tc>
          <w:tcPr>
            <w:tcW w:w="737" w:type="dxa"/>
          </w:tcPr>
          <w:p w:rsidR="005B07E4" w:rsidRPr="001958D5" w:rsidRDefault="00D85C91" w:rsidP="00BC71DE">
            <w:pPr>
              <w:widowControl/>
              <w:tabs>
                <w:tab w:val="decimal" w:pos="408"/>
              </w:tabs>
              <w:jc w:val="both"/>
              <w:rPr>
                <w:kern w:val="0"/>
                <w:sz w:val="22"/>
                <w:szCs w:val="22"/>
                <w:lang w:eastAsia="zh-HK"/>
              </w:rPr>
            </w:pPr>
            <w:r w:rsidRPr="001958D5">
              <w:rPr>
                <w:kern w:val="0"/>
                <w:sz w:val="22"/>
                <w:szCs w:val="22"/>
                <w:lang w:eastAsia="zh-HK"/>
              </w:rPr>
              <w:t>-</w:t>
            </w:r>
            <w:r w:rsidR="00BC71DE" w:rsidRPr="001958D5">
              <w:rPr>
                <w:kern w:val="0"/>
                <w:sz w:val="22"/>
                <w:szCs w:val="22"/>
                <w:lang w:eastAsia="zh-HK"/>
              </w:rPr>
              <w:t>3.5</w:t>
            </w:r>
          </w:p>
        </w:tc>
      </w:tr>
      <w:tr w:rsidR="005B07E4" w:rsidRPr="00BF6DEC" w:rsidTr="005B07E4">
        <w:trPr>
          <w:jc w:val="center"/>
        </w:trPr>
        <w:tc>
          <w:tcPr>
            <w:tcW w:w="3402" w:type="dxa"/>
            <w:vAlign w:val="center"/>
          </w:tcPr>
          <w:p w:rsidR="005B07E4" w:rsidRPr="005256F7" w:rsidRDefault="005B07E4" w:rsidP="005B07E4">
            <w:pPr>
              <w:tabs>
                <w:tab w:val="left" w:pos="1080"/>
              </w:tabs>
              <w:spacing w:line="360" w:lineRule="auto"/>
              <w:ind w:right="-108"/>
              <w:jc w:val="both"/>
              <w:rPr>
                <w:sz w:val="22"/>
                <w:szCs w:val="22"/>
              </w:rPr>
            </w:pPr>
            <w:r w:rsidRPr="005256F7">
              <w:rPr>
                <w:sz w:val="22"/>
                <w:szCs w:val="22"/>
              </w:rPr>
              <w:t xml:space="preserve">   Costs of ownership transfer</w:t>
            </w:r>
          </w:p>
        </w:tc>
        <w:tc>
          <w:tcPr>
            <w:tcW w:w="737" w:type="dxa"/>
          </w:tcPr>
          <w:p w:rsidR="005B07E4" w:rsidRPr="00C40F77" w:rsidRDefault="005B07E4" w:rsidP="005B07E4">
            <w:pPr>
              <w:tabs>
                <w:tab w:val="decimal" w:pos="408"/>
              </w:tabs>
              <w:jc w:val="both"/>
              <w:rPr>
                <w:sz w:val="22"/>
                <w:szCs w:val="22"/>
                <w:lang w:eastAsia="zh-HK"/>
              </w:rPr>
            </w:pPr>
            <w:r>
              <w:rPr>
                <w:rFonts w:hint="eastAsia"/>
                <w:sz w:val="22"/>
                <w:szCs w:val="22"/>
              </w:rPr>
              <w:t>-</w:t>
            </w:r>
            <w:r>
              <w:rPr>
                <w:sz w:val="22"/>
                <w:szCs w:val="22"/>
              </w:rPr>
              <w:t>43.2</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0.2</w:t>
            </w:r>
          </w:p>
        </w:tc>
        <w:tc>
          <w:tcPr>
            <w:tcW w:w="737" w:type="dxa"/>
          </w:tcPr>
          <w:p w:rsidR="005B07E4" w:rsidRPr="00716C0D" w:rsidRDefault="005B07E4" w:rsidP="005B07E4">
            <w:pPr>
              <w:tabs>
                <w:tab w:val="decimal" w:pos="408"/>
              </w:tabs>
              <w:jc w:val="both"/>
              <w:rPr>
                <w:sz w:val="22"/>
                <w:szCs w:val="22"/>
                <w:lang w:eastAsia="zh-HK"/>
              </w:rPr>
            </w:pPr>
            <w:r>
              <w:rPr>
                <w:sz w:val="22"/>
                <w:szCs w:val="22"/>
              </w:rPr>
              <w:t>25.8</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w:t>
            </w:r>
            <w:r>
              <w:rPr>
                <w:sz w:val="22"/>
                <w:szCs w:val="22"/>
              </w:rPr>
              <w:t>6</w:t>
            </w:r>
            <w:r w:rsidRPr="00716C0D">
              <w:rPr>
                <w:sz w:val="22"/>
                <w:szCs w:val="22"/>
              </w:rPr>
              <w:t>.0</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w:t>
            </w:r>
            <w:r>
              <w:rPr>
                <w:sz w:val="22"/>
                <w:szCs w:val="22"/>
              </w:rPr>
              <w:t>15.6</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-3.</w:t>
            </w:r>
            <w:r>
              <w:rPr>
                <w:kern w:val="0"/>
                <w:sz w:val="22"/>
                <w:szCs w:val="22"/>
                <w:lang w:eastAsia="zh-HK"/>
              </w:rPr>
              <w:t>4</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27.6</w:t>
            </w:r>
          </w:p>
        </w:tc>
        <w:tc>
          <w:tcPr>
            <w:tcW w:w="737" w:type="dxa"/>
          </w:tcPr>
          <w:p w:rsidR="005B07E4" w:rsidRPr="005A20FE" w:rsidRDefault="00D85C91" w:rsidP="005B07E4">
            <w:pPr>
              <w:widowControl/>
              <w:tabs>
                <w:tab w:val="decimal" w:pos="408"/>
              </w:tabs>
              <w:jc w:val="both"/>
              <w:rPr>
                <w:kern w:val="0"/>
                <w:sz w:val="22"/>
                <w:szCs w:val="22"/>
                <w:lang w:eastAsia="zh-HK"/>
              </w:rPr>
            </w:pPr>
            <w:r>
              <w:rPr>
                <w:kern w:val="0"/>
                <w:sz w:val="22"/>
                <w:szCs w:val="22"/>
                <w:lang w:eastAsia="zh-HK"/>
              </w:rPr>
              <w:t>35.8</w:t>
            </w:r>
          </w:p>
        </w:tc>
        <w:tc>
          <w:tcPr>
            <w:tcW w:w="737" w:type="dxa"/>
          </w:tcPr>
          <w:p w:rsidR="005B07E4" w:rsidRPr="001958D5" w:rsidRDefault="00D85C91" w:rsidP="005B07E4">
            <w:pPr>
              <w:widowControl/>
              <w:tabs>
                <w:tab w:val="decimal" w:pos="408"/>
              </w:tabs>
              <w:jc w:val="both"/>
              <w:rPr>
                <w:kern w:val="0"/>
                <w:sz w:val="22"/>
                <w:szCs w:val="22"/>
                <w:lang w:eastAsia="zh-HK"/>
              </w:rPr>
            </w:pPr>
            <w:r w:rsidRPr="001958D5">
              <w:rPr>
                <w:kern w:val="0"/>
                <w:sz w:val="22"/>
                <w:szCs w:val="22"/>
                <w:lang w:eastAsia="zh-HK"/>
              </w:rPr>
              <w:t>9.2</w:t>
            </w:r>
          </w:p>
        </w:tc>
      </w:tr>
      <w:tr w:rsidR="005B07E4" w:rsidRPr="00BF6DEC" w:rsidTr="005B07E4">
        <w:trPr>
          <w:jc w:val="center"/>
        </w:trPr>
        <w:tc>
          <w:tcPr>
            <w:tcW w:w="3402" w:type="dxa"/>
            <w:vAlign w:val="center"/>
          </w:tcPr>
          <w:p w:rsidR="005B07E4" w:rsidRPr="005256F7" w:rsidRDefault="005B07E4" w:rsidP="005B07E4">
            <w:pPr>
              <w:tabs>
                <w:tab w:val="left" w:pos="1080"/>
              </w:tabs>
              <w:spacing w:line="230" w:lineRule="exact"/>
              <w:ind w:right="-108"/>
              <w:jc w:val="both"/>
              <w:rPr>
                <w:sz w:val="22"/>
                <w:szCs w:val="22"/>
              </w:rPr>
            </w:pPr>
            <w:r w:rsidRPr="005256F7">
              <w:rPr>
                <w:sz w:val="22"/>
                <w:szCs w:val="22"/>
              </w:rPr>
              <w:t xml:space="preserve">   Machinery, equipment and</w:t>
            </w:r>
          </w:p>
          <w:p w:rsidR="005B07E4" w:rsidRPr="005256F7" w:rsidRDefault="005B07E4" w:rsidP="005B07E4">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737" w:type="dxa"/>
          </w:tcPr>
          <w:p w:rsidR="005B07E4" w:rsidRPr="00EC00F1" w:rsidRDefault="005B07E4" w:rsidP="005B07E4">
            <w:pPr>
              <w:tabs>
                <w:tab w:val="decimal" w:pos="408"/>
              </w:tabs>
              <w:jc w:val="both"/>
              <w:rPr>
                <w:sz w:val="22"/>
                <w:szCs w:val="22"/>
                <w:lang w:eastAsia="zh-HK"/>
              </w:rPr>
            </w:pPr>
            <w:r>
              <w:rPr>
                <w:rFonts w:hint="eastAsia"/>
                <w:sz w:val="22"/>
                <w:szCs w:val="22"/>
              </w:rPr>
              <w:t>-</w:t>
            </w:r>
            <w:r>
              <w:rPr>
                <w:sz w:val="22"/>
                <w:szCs w:val="22"/>
              </w:rPr>
              <w:t>18.9</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20.5</w:t>
            </w:r>
          </w:p>
        </w:tc>
        <w:tc>
          <w:tcPr>
            <w:tcW w:w="737" w:type="dxa"/>
          </w:tcPr>
          <w:p w:rsidR="005B07E4" w:rsidRPr="00716C0D" w:rsidRDefault="005B07E4" w:rsidP="005B07E4">
            <w:pPr>
              <w:tabs>
                <w:tab w:val="decimal" w:pos="408"/>
              </w:tabs>
              <w:jc w:val="both"/>
              <w:rPr>
                <w:sz w:val="22"/>
                <w:szCs w:val="22"/>
                <w:lang w:eastAsia="zh-HK"/>
              </w:rPr>
            </w:pPr>
            <w:r>
              <w:rPr>
                <w:sz w:val="22"/>
                <w:szCs w:val="22"/>
              </w:rPr>
              <w:t>25.4</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-1</w:t>
            </w:r>
            <w:r>
              <w:rPr>
                <w:sz w:val="22"/>
                <w:szCs w:val="22"/>
              </w:rPr>
              <w:t>7.1</w:t>
            </w:r>
          </w:p>
        </w:tc>
        <w:tc>
          <w:tcPr>
            <w:tcW w:w="737" w:type="dxa"/>
          </w:tcPr>
          <w:p w:rsidR="005B07E4" w:rsidRPr="00716C0D" w:rsidRDefault="005B07E4" w:rsidP="005B07E4">
            <w:pPr>
              <w:tabs>
                <w:tab w:val="decimal" w:pos="408"/>
              </w:tabs>
              <w:jc w:val="both"/>
              <w:rPr>
                <w:sz w:val="22"/>
                <w:szCs w:val="22"/>
                <w:lang w:eastAsia="zh-HK"/>
              </w:rPr>
            </w:pPr>
            <w:r>
              <w:rPr>
                <w:sz w:val="22"/>
                <w:szCs w:val="22"/>
              </w:rPr>
              <w:t>42.0</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43.</w:t>
            </w:r>
            <w:r>
              <w:rPr>
                <w:kern w:val="0"/>
                <w:sz w:val="22"/>
                <w:szCs w:val="22"/>
                <w:lang w:eastAsia="zh-HK"/>
              </w:rPr>
              <w:t>7</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-14.2</w:t>
            </w:r>
          </w:p>
        </w:tc>
        <w:tc>
          <w:tcPr>
            <w:tcW w:w="737" w:type="dxa"/>
          </w:tcPr>
          <w:p w:rsidR="005B07E4" w:rsidRPr="005A20FE" w:rsidRDefault="00D85C91" w:rsidP="005B07E4">
            <w:pPr>
              <w:widowControl/>
              <w:tabs>
                <w:tab w:val="decimal" w:pos="408"/>
              </w:tabs>
              <w:jc w:val="both"/>
              <w:rPr>
                <w:kern w:val="0"/>
                <w:sz w:val="22"/>
                <w:szCs w:val="22"/>
                <w:lang w:eastAsia="zh-HK"/>
              </w:rPr>
            </w:pPr>
            <w:r>
              <w:rPr>
                <w:kern w:val="0"/>
                <w:sz w:val="22"/>
                <w:szCs w:val="22"/>
                <w:lang w:eastAsia="zh-HK"/>
              </w:rPr>
              <w:t>-18.5</w:t>
            </w:r>
          </w:p>
        </w:tc>
        <w:tc>
          <w:tcPr>
            <w:tcW w:w="737" w:type="dxa"/>
          </w:tcPr>
          <w:p w:rsidR="005B07E4" w:rsidRPr="001958D5" w:rsidRDefault="00BC71DE" w:rsidP="005B07E4">
            <w:pPr>
              <w:widowControl/>
              <w:tabs>
                <w:tab w:val="decimal" w:pos="408"/>
              </w:tabs>
              <w:jc w:val="both"/>
              <w:rPr>
                <w:kern w:val="0"/>
                <w:sz w:val="22"/>
                <w:szCs w:val="22"/>
                <w:lang w:eastAsia="zh-HK"/>
              </w:rPr>
            </w:pPr>
            <w:r w:rsidRPr="001958D5">
              <w:rPr>
                <w:kern w:val="0"/>
                <w:sz w:val="22"/>
                <w:szCs w:val="22"/>
                <w:lang w:eastAsia="zh-HK"/>
              </w:rPr>
              <w:t>15.1</w:t>
            </w:r>
          </w:p>
        </w:tc>
      </w:tr>
      <w:tr w:rsidR="005B07E4" w:rsidRPr="00BF6DEC" w:rsidTr="005B07E4">
        <w:trPr>
          <w:jc w:val="center"/>
        </w:trPr>
        <w:tc>
          <w:tcPr>
            <w:tcW w:w="3402" w:type="dxa"/>
          </w:tcPr>
          <w:p w:rsidR="005B07E4" w:rsidRPr="005256F7" w:rsidRDefault="005B07E4" w:rsidP="005B07E4">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737" w:type="dxa"/>
          </w:tcPr>
          <w:p w:rsidR="005B07E4" w:rsidRPr="007C41FA" w:rsidRDefault="005B07E4" w:rsidP="005B07E4">
            <w:pPr>
              <w:tabs>
                <w:tab w:val="decimal" w:pos="408"/>
              </w:tabs>
              <w:jc w:val="both"/>
              <w:rPr>
                <w:sz w:val="22"/>
                <w:szCs w:val="22"/>
                <w:lang w:eastAsia="zh-HK"/>
              </w:rPr>
            </w:pPr>
            <w:r>
              <w:rPr>
                <w:rFonts w:hint="eastAsia"/>
                <w:sz w:val="22"/>
                <w:szCs w:val="22"/>
              </w:rPr>
              <w:t>-</w:t>
            </w:r>
            <w:r>
              <w:rPr>
                <w:sz w:val="22"/>
                <w:szCs w:val="22"/>
              </w:rPr>
              <w:t>14.0</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-10.3</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-19.</w:t>
            </w:r>
            <w:r>
              <w:rPr>
                <w:sz w:val="22"/>
                <w:szCs w:val="22"/>
              </w:rPr>
              <w:t>1</w:t>
            </w:r>
          </w:p>
          <w:p w:rsidR="005B07E4" w:rsidRPr="00716C0D" w:rsidRDefault="005B07E4" w:rsidP="005B07E4">
            <w:pPr>
              <w:tabs>
                <w:tab w:val="decimal" w:pos="408"/>
              </w:tabs>
              <w:jc w:val="both"/>
              <w:rPr>
                <w:sz w:val="22"/>
                <w:szCs w:val="22"/>
                <w:lang w:eastAsia="zh-HK"/>
              </w:rPr>
            </w:pPr>
            <w:r w:rsidRPr="00716C0D">
              <w:rPr>
                <w:sz w:val="22"/>
                <w:szCs w:val="22"/>
                <w:lang w:eastAsia="zh-HK"/>
              </w:rPr>
              <w:t>(0.4)</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-15.1</w:t>
            </w:r>
          </w:p>
          <w:p w:rsidR="005B07E4" w:rsidRPr="00716C0D" w:rsidRDefault="005B07E4" w:rsidP="005B07E4">
            <w:pPr>
              <w:tabs>
                <w:tab w:val="decimal" w:pos="408"/>
              </w:tabs>
              <w:jc w:val="both"/>
              <w:rPr>
                <w:sz w:val="22"/>
                <w:szCs w:val="22"/>
                <w:lang w:eastAsia="zh-HK"/>
              </w:rPr>
            </w:pPr>
            <w:r w:rsidRPr="00716C0D">
              <w:rPr>
                <w:sz w:val="22"/>
                <w:szCs w:val="22"/>
                <w:lang w:eastAsia="zh-HK"/>
              </w:rPr>
              <w:t>(-0.2)</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-8.7</w:t>
            </w:r>
          </w:p>
          <w:p w:rsidR="005B07E4" w:rsidRPr="00716C0D" w:rsidRDefault="005B07E4" w:rsidP="005B07E4">
            <w:pPr>
              <w:tabs>
                <w:tab w:val="decimal" w:pos="408"/>
              </w:tabs>
              <w:jc w:val="both"/>
              <w:rPr>
                <w:sz w:val="22"/>
                <w:szCs w:val="22"/>
                <w:lang w:eastAsia="zh-HK"/>
              </w:rPr>
            </w:pPr>
            <w:r w:rsidRPr="00716C0D">
              <w:rPr>
                <w:sz w:val="22"/>
                <w:szCs w:val="22"/>
                <w:lang w:eastAsia="zh-HK"/>
              </w:rPr>
              <w:t>(0.1)</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2.</w:t>
            </w:r>
            <w:r>
              <w:rPr>
                <w:kern w:val="0"/>
                <w:sz w:val="22"/>
                <w:szCs w:val="22"/>
                <w:lang w:eastAsia="zh-HK"/>
              </w:rPr>
              <w:t>8</w:t>
            </w:r>
          </w:p>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3.0</w:t>
            </w:r>
            <w:r w:rsidRPr="00716C0D">
              <w:rPr>
                <w:kern w:val="0"/>
                <w:sz w:val="22"/>
                <w:szCs w:val="22"/>
                <w:lang w:eastAsia="zh-HK"/>
              </w:rPr>
              <w:t>)</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6.8</w:t>
            </w:r>
          </w:p>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4.0</w:t>
            </w:r>
            <w:r w:rsidRPr="00716C0D">
              <w:rPr>
                <w:kern w:val="0"/>
                <w:sz w:val="22"/>
                <w:szCs w:val="22"/>
                <w:lang w:eastAsia="zh-HK"/>
              </w:rPr>
              <w:t>)</w:t>
            </w:r>
          </w:p>
        </w:tc>
        <w:tc>
          <w:tcPr>
            <w:tcW w:w="737" w:type="dxa"/>
          </w:tcPr>
          <w:p w:rsidR="005B07E4" w:rsidRPr="005A20FE" w:rsidRDefault="005B07E4" w:rsidP="005B07E4">
            <w:pPr>
              <w:widowControl/>
              <w:tabs>
                <w:tab w:val="decimal" w:pos="408"/>
              </w:tabs>
              <w:jc w:val="both"/>
              <w:rPr>
                <w:kern w:val="0"/>
                <w:sz w:val="22"/>
                <w:szCs w:val="22"/>
                <w:lang w:eastAsia="zh-HK"/>
              </w:rPr>
            </w:pPr>
            <w:r w:rsidRPr="005A20FE">
              <w:rPr>
                <w:kern w:val="0"/>
                <w:sz w:val="22"/>
                <w:szCs w:val="22"/>
                <w:lang w:eastAsia="zh-HK"/>
              </w:rPr>
              <w:t>7.5</w:t>
            </w:r>
          </w:p>
          <w:p w:rsidR="005B07E4" w:rsidRPr="005A20FE" w:rsidRDefault="005B07E4" w:rsidP="005B07E4">
            <w:pPr>
              <w:widowControl/>
              <w:tabs>
                <w:tab w:val="decimal" w:pos="408"/>
              </w:tabs>
              <w:jc w:val="both"/>
              <w:rPr>
                <w:kern w:val="0"/>
                <w:sz w:val="22"/>
                <w:szCs w:val="22"/>
                <w:lang w:eastAsia="zh-HK"/>
              </w:rPr>
            </w:pPr>
            <w:r w:rsidRPr="005A20FE">
              <w:rPr>
                <w:kern w:val="0"/>
                <w:sz w:val="22"/>
                <w:szCs w:val="22"/>
                <w:lang w:eastAsia="zh-HK"/>
              </w:rPr>
              <w:t>(0.2)</w:t>
            </w:r>
          </w:p>
        </w:tc>
        <w:tc>
          <w:tcPr>
            <w:tcW w:w="737" w:type="dxa"/>
          </w:tcPr>
          <w:p w:rsidR="005B07E4" w:rsidRPr="001958D5" w:rsidRDefault="001958D5" w:rsidP="005B07E4">
            <w:pPr>
              <w:widowControl/>
              <w:tabs>
                <w:tab w:val="decimal" w:pos="408"/>
              </w:tabs>
              <w:jc w:val="both"/>
              <w:rPr>
                <w:kern w:val="0"/>
                <w:sz w:val="22"/>
                <w:szCs w:val="22"/>
                <w:lang w:eastAsia="zh-HK"/>
              </w:rPr>
            </w:pPr>
            <w:r w:rsidRPr="001958D5">
              <w:rPr>
                <w:kern w:val="0"/>
                <w:sz w:val="22"/>
                <w:szCs w:val="22"/>
                <w:lang w:eastAsia="zh-HK"/>
              </w:rPr>
              <w:t>4.0</w:t>
            </w:r>
          </w:p>
          <w:p w:rsidR="005B07E4" w:rsidRPr="001958D5" w:rsidRDefault="005B07E4" w:rsidP="00BC71DE">
            <w:pPr>
              <w:widowControl/>
              <w:tabs>
                <w:tab w:val="decimal" w:pos="408"/>
              </w:tabs>
              <w:jc w:val="both"/>
              <w:rPr>
                <w:kern w:val="0"/>
                <w:sz w:val="22"/>
                <w:szCs w:val="22"/>
                <w:lang w:eastAsia="zh-HK"/>
              </w:rPr>
            </w:pPr>
            <w:r w:rsidRPr="001958D5">
              <w:rPr>
                <w:kern w:val="0"/>
                <w:sz w:val="22"/>
                <w:szCs w:val="22"/>
                <w:lang w:eastAsia="zh-HK"/>
              </w:rPr>
              <w:t>(</w:t>
            </w:r>
            <w:r w:rsidR="00BC71DE" w:rsidRPr="001958D5">
              <w:rPr>
                <w:kern w:val="0"/>
                <w:sz w:val="22"/>
                <w:szCs w:val="22"/>
                <w:lang w:eastAsia="zh-HK"/>
              </w:rPr>
              <w:t>-3.1</w:t>
            </w:r>
            <w:r w:rsidRPr="001958D5">
              <w:rPr>
                <w:kern w:val="0"/>
                <w:sz w:val="22"/>
                <w:szCs w:val="22"/>
                <w:lang w:eastAsia="zh-HK"/>
              </w:rPr>
              <w:t>)</w:t>
            </w:r>
          </w:p>
        </w:tc>
      </w:tr>
      <w:tr w:rsidR="005B07E4" w:rsidRPr="00BF6DEC" w:rsidTr="005B07E4">
        <w:trPr>
          <w:jc w:val="center"/>
        </w:trPr>
        <w:tc>
          <w:tcPr>
            <w:tcW w:w="3402" w:type="dxa"/>
          </w:tcPr>
          <w:p w:rsidR="005B07E4" w:rsidRPr="005256F7" w:rsidRDefault="005B07E4" w:rsidP="005B07E4">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737" w:type="dxa"/>
          </w:tcPr>
          <w:p w:rsidR="005B07E4" w:rsidRPr="00D72F29" w:rsidRDefault="005B07E4" w:rsidP="005B07E4">
            <w:pPr>
              <w:tabs>
                <w:tab w:val="decimal" w:pos="408"/>
              </w:tabs>
              <w:jc w:val="both"/>
              <w:rPr>
                <w:sz w:val="22"/>
                <w:szCs w:val="22"/>
                <w:lang w:eastAsia="zh-HK"/>
              </w:rPr>
            </w:pPr>
            <w:r>
              <w:rPr>
                <w:rFonts w:hint="eastAsia"/>
                <w:sz w:val="22"/>
                <w:szCs w:val="22"/>
              </w:rPr>
              <w:t>-13.2</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-8.6</w:t>
            </w:r>
          </w:p>
        </w:tc>
        <w:tc>
          <w:tcPr>
            <w:tcW w:w="737" w:type="dxa"/>
          </w:tcPr>
          <w:p w:rsidR="005B07E4" w:rsidRPr="00716C0D" w:rsidRDefault="005B07E4" w:rsidP="005B07E4">
            <w:pPr>
              <w:tabs>
                <w:tab w:val="decimal" w:pos="408"/>
              </w:tabs>
              <w:jc w:val="both"/>
              <w:rPr>
                <w:sz w:val="22"/>
                <w:szCs w:val="22"/>
                <w:lang w:eastAsia="zh-HK"/>
              </w:rPr>
            </w:pPr>
            <w:r w:rsidRPr="00716C0D">
              <w:rPr>
                <w:rFonts w:hint="eastAsia"/>
                <w:sz w:val="22"/>
                <w:szCs w:val="22"/>
              </w:rPr>
              <w:t>-</w:t>
            </w:r>
            <w:r w:rsidRPr="00716C0D">
              <w:rPr>
                <w:sz w:val="22"/>
                <w:szCs w:val="22"/>
              </w:rPr>
              <w:t>14.8</w:t>
            </w:r>
          </w:p>
          <w:p w:rsidR="005B07E4" w:rsidRPr="00716C0D" w:rsidRDefault="005B07E4" w:rsidP="005B07E4">
            <w:pPr>
              <w:tabs>
                <w:tab w:val="decimal" w:pos="408"/>
              </w:tabs>
              <w:jc w:val="both"/>
              <w:rPr>
                <w:sz w:val="22"/>
                <w:szCs w:val="22"/>
                <w:lang w:eastAsia="zh-HK"/>
              </w:rPr>
            </w:pPr>
            <w:r w:rsidRPr="00716C0D">
              <w:rPr>
                <w:sz w:val="22"/>
                <w:szCs w:val="22"/>
                <w:lang w:eastAsia="zh-HK"/>
              </w:rPr>
              <w:t>(2.</w:t>
            </w:r>
            <w:r w:rsidRPr="00716C0D">
              <w:rPr>
                <w:sz w:val="22"/>
                <w:szCs w:val="22"/>
              </w:rPr>
              <w:t>3</w:t>
            </w:r>
            <w:r w:rsidRPr="00716C0D">
              <w:rPr>
                <w:sz w:val="22"/>
                <w:szCs w:val="22"/>
                <w:lang w:eastAsia="zh-HK"/>
              </w:rPr>
              <w:t>)</w:t>
            </w:r>
          </w:p>
        </w:tc>
        <w:tc>
          <w:tcPr>
            <w:tcW w:w="737" w:type="dxa"/>
          </w:tcPr>
          <w:p w:rsidR="005B07E4" w:rsidRPr="00716C0D" w:rsidRDefault="005B07E4" w:rsidP="005B07E4">
            <w:pPr>
              <w:tabs>
                <w:tab w:val="decimal" w:pos="408"/>
              </w:tabs>
              <w:jc w:val="both"/>
              <w:rPr>
                <w:sz w:val="22"/>
                <w:szCs w:val="22"/>
                <w:lang w:eastAsia="zh-HK"/>
              </w:rPr>
            </w:pPr>
            <w:r w:rsidRPr="00716C0D">
              <w:rPr>
                <w:rFonts w:hint="eastAsia"/>
                <w:sz w:val="22"/>
                <w:szCs w:val="22"/>
              </w:rPr>
              <w:t>-</w:t>
            </w:r>
            <w:r w:rsidRPr="00716C0D">
              <w:rPr>
                <w:sz w:val="22"/>
                <w:szCs w:val="22"/>
              </w:rPr>
              <w:t>16.0</w:t>
            </w:r>
          </w:p>
          <w:p w:rsidR="005B07E4" w:rsidRPr="00716C0D" w:rsidRDefault="005B07E4" w:rsidP="005B07E4">
            <w:pPr>
              <w:tabs>
                <w:tab w:val="decimal" w:pos="408"/>
              </w:tabs>
              <w:jc w:val="both"/>
              <w:rPr>
                <w:sz w:val="22"/>
                <w:szCs w:val="22"/>
                <w:lang w:eastAsia="zh-HK"/>
              </w:rPr>
            </w:pPr>
            <w:r w:rsidRPr="00716C0D">
              <w:rPr>
                <w:sz w:val="22"/>
                <w:szCs w:val="22"/>
                <w:lang w:eastAsia="zh-HK"/>
              </w:rPr>
              <w:t>(-1.1)</w:t>
            </w:r>
          </w:p>
        </w:tc>
        <w:tc>
          <w:tcPr>
            <w:tcW w:w="737" w:type="dxa"/>
          </w:tcPr>
          <w:p w:rsidR="005B07E4" w:rsidRPr="00716C0D" w:rsidRDefault="005B07E4" w:rsidP="005B07E4">
            <w:pPr>
              <w:tabs>
                <w:tab w:val="decimal" w:pos="408"/>
              </w:tabs>
              <w:jc w:val="both"/>
              <w:rPr>
                <w:sz w:val="22"/>
                <w:szCs w:val="22"/>
                <w:lang w:eastAsia="zh-HK"/>
              </w:rPr>
            </w:pPr>
            <w:r w:rsidRPr="00716C0D">
              <w:rPr>
                <w:rFonts w:hint="eastAsia"/>
                <w:sz w:val="22"/>
                <w:szCs w:val="22"/>
              </w:rPr>
              <w:t>-</w:t>
            </w:r>
            <w:r w:rsidRPr="00716C0D">
              <w:rPr>
                <w:sz w:val="22"/>
                <w:szCs w:val="22"/>
              </w:rPr>
              <w:t>6.1</w:t>
            </w:r>
          </w:p>
          <w:p w:rsidR="005B07E4" w:rsidRPr="00716C0D" w:rsidRDefault="005B07E4" w:rsidP="005B07E4">
            <w:pPr>
              <w:tabs>
                <w:tab w:val="decimal" w:pos="408"/>
              </w:tabs>
              <w:jc w:val="both"/>
              <w:rPr>
                <w:sz w:val="22"/>
                <w:szCs w:val="22"/>
                <w:lang w:eastAsia="zh-HK"/>
              </w:rPr>
            </w:pPr>
            <w:r w:rsidRPr="00716C0D">
              <w:rPr>
                <w:sz w:val="22"/>
                <w:szCs w:val="22"/>
                <w:lang w:eastAsia="zh-HK"/>
              </w:rPr>
              <w:t>(1.3)</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rPr>
              <w:t>3.</w:t>
            </w:r>
            <w:r>
              <w:rPr>
                <w:kern w:val="0"/>
                <w:sz w:val="22"/>
                <w:szCs w:val="22"/>
              </w:rPr>
              <w:t>8</w:t>
            </w:r>
          </w:p>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(1.</w:t>
            </w:r>
            <w:r>
              <w:rPr>
                <w:kern w:val="0"/>
                <w:sz w:val="22"/>
                <w:szCs w:val="22"/>
                <w:lang w:eastAsia="zh-HK"/>
              </w:rPr>
              <w:t>8</w:t>
            </w:r>
            <w:r w:rsidRPr="00716C0D">
              <w:rPr>
                <w:kern w:val="0"/>
                <w:sz w:val="22"/>
                <w:szCs w:val="22"/>
                <w:lang w:eastAsia="zh-HK"/>
              </w:rPr>
              <w:t>)</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rPr>
              <w:t>3.</w:t>
            </w:r>
            <w:r>
              <w:rPr>
                <w:kern w:val="0"/>
                <w:sz w:val="22"/>
                <w:szCs w:val="22"/>
              </w:rPr>
              <w:t>3</w:t>
            </w:r>
          </w:p>
          <w:p w:rsidR="005B07E4" w:rsidRPr="00716C0D" w:rsidRDefault="005B07E4" w:rsidP="005B07E4">
            <w:pPr>
              <w:widowControl/>
              <w:tabs>
                <w:tab w:val="decimal" w:pos="408"/>
              </w:tabs>
              <w:jc w:val="both"/>
              <w:rPr>
                <w:kern w:val="0"/>
                <w:sz w:val="22"/>
                <w:szCs w:val="22"/>
              </w:rPr>
            </w:pPr>
            <w:r w:rsidRPr="00716C0D">
              <w:rPr>
                <w:kern w:val="0"/>
                <w:sz w:val="22"/>
                <w:szCs w:val="22"/>
                <w:lang w:eastAsia="zh-HK"/>
              </w:rPr>
              <w:t>(1.</w:t>
            </w:r>
            <w:r>
              <w:rPr>
                <w:kern w:val="0"/>
                <w:sz w:val="22"/>
                <w:szCs w:val="22"/>
                <w:lang w:eastAsia="zh-HK"/>
              </w:rPr>
              <w:t>4</w:t>
            </w:r>
            <w:r w:rsidRPr="00716C0D">
              <w:rPr>
                <w:kern w:val="0"/>
                <w:sz w:val="22"/>
                <w:szCs w:val="22"/>
                <w:lang w:eastAsia="zh-HK"/>
              </w:rPr>
              <w:t>)</w:t>
            </w:r>
          </w:p>
        </w:tc>
        <w:tc>
          <w:tcPr>
            <w:tcW w:w="737" w:type="dxa"/>
          </w:tcPr>
          <w:p w:rsidR="005B07E4" w:rsidRPr="005A20FE" w:rsidRDefault="005B07E4" w:rsidP="005B07E4">
            <w:pPr>
              <w:widowControl/>
              <w:tabs>
                <w:tab w:val="decimal" w:pos="408"/>
              </w:tabs>
              <w:jc w:val="both"/>
              <w:rPr>
                <w:kern w:val="0"/>
                <w:sz w:val="22"/>
                <w:szCs w:val="22"/>
                <w:lang w:eastAsia="zh-HK"/>
              </w:rPr>
            </w:pPr>
            <w:r w:rsidRPr="005A20FE">
              <w:rPr>
                <w:kern w:val="0"/>
                <w:sz w:val="22"/>
                <w:szCs w:val="22"/>
              </w:rPr>
              <w:t>3.4</w:t>
            </w:r>
          </w:p>
          <w:p w:rsidR="005B07E4" w:rsidRPr="005A20FE" w:rsidRDefault="005B07E4" w:rsidP="005B07E4">
            <w:pPr>
              <w:widowControl/>
              <w:tabs>
                <w:tab w:val="decimal" w:pos="408"/>
              </w:tabs>
              <w:jc w:val="both"/>
              <w:rPr>
                <w:kern w:val="0"/>
                <w:sz w:val="22"/>
                <w:szCs w:val="22"/>
              </w:rPr>
            </w:pPr>
            <w:r w:rsidRPr="005A20FE">
              <w:rPr>
                <w:kern w:val="0"/>
                <w:sz w:val="22"/>
                <w:szCs w:val="22"/>
                <w:lang w:eastAsia="zh-HK"/>
              </w:rPr>
              <w:t>(-1.3)</w:t>
            </w:r>
          </w:p>
        </w:tc>
        <w:tc>
          <w:tcPr>
            <w:tcW w:w="737" w:type="dxa"/>
          </w:tcPr>
          <w:p w:rsidR="005B07E4" w:rsidRPr="001958D5" w:rsidRDefault="00D85C91" w:rsidP="005B07E4">
            <w:pPr>
              <w:widowControl/>
              <w:tabs>
                <w:tab w:val="decimal" w:pos="408"/>
              </w:tabs>
              <w:jc w:val="both"/>
              <w:rPr>
                <w:kern w:val="0"/>
                <w:sz w:val="22"/>
                <w:szCs w:val="22"/>
                <w:lang w:eastAsia="zh-HK"/>
              </w:rPr>
            </w:pPr>
            <w:r w:rsidRPr="001958D5">
              <w:rPr>
                <w:kern w:val="0"/>
                <w:sz w:val="22"/>
                <w:szCs w:val="22"/>
              </w:rPr>
              <w:t>2.</w:t>
            </w:r>
            <w:r w:rsidR="001958D5" w:rsidRPr="001958D5">
              <w:rPr>
                <w:kern w:val="0"/>
                <w:sz w:val="22"/>
                <w:szCs w:val="22"/>
              </w:rPr>
              <w:t>8</w:t>
            </w:r>
          </w:p>
          <w:p w:rsidR="005B07E4" w:rsidRPr="001958D5" w:rsidRDefault="00BC71DE" w:rsidP="001958D5">
            <w:pPr>
              <w:widowControl/>
              <w:tabs>
                <w:tab w:val="decimal" w:pos="408"/>
              </w:tabs>
              <w:jc w:val="both"/>
              <w:rPr>
                <w:kern w:val="0"/>
                <w:sz w:val="22"/>
                <w:szCs w:val="22"/>
              </w:rPr>
            </w:pPr>
            <w:r w:rsidRPr="001958D5">
              <w:rPr>
                <w:kern w:val="0"/>
                <w:sz w:val="22"/>
                <w:szCs w:val="22"/>
                <w:lang w:eastAsia="zh-HK"/>
              </w:rPr>
              <w:t>(0.</w:t>
            </w:r>
            <w:r w:rsidR="001958D5" w:rsidRPr="001958D5">
              <w:rPr>
                <w:kern w:val="0"/>
                <w:sz w:val="22"/>
                <w:szCs w:val="22"/>
                <w:lang w:eastAsia="zh-HK"/>
              </w:rPr>
              <w:t>8</w:t>
            </w:r>
            <w:r w:rsidR="005B07E4" w:rsidRPr="001958D5">
              <w:rPr>
                <w:kern w:val="0"/>
                <w:sz w:val="22"/>
                <w:szCs w:val="22"/>
                <w:lang w:eastAsia="zh-HK"/>
              </w:rPr>
              <w:t>)</w:t>
            </w:r>
          </w:p>
        </w:tc>
      </w:tr>
      <w:tr w:rsidR="005B07E4" w:rsidRPr="00BF6DEC" w:rsidTr="005B07E4">
        <w:trPr>
          <w:jc w:val="center"/>
        </w:trPr>
        <w:tc>
          <w:tcPr>
            <w:tcW w:w="3402" w:type="dxa"/>
          </w:tcPr>
          <w:p w:rsidR="005B07E4" w:rsidRPr="005256F7" w:rsidRDefault="005B07E4" w:rsidP="005B07E4">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737" w:type="dxa"/>
          </w:tcPr>
          <w:p w:rsidR="005B07E4" w:rsidRPr="00D72F29" w:rsidRDefault="005B07E4" w:rsidP="005B07E4">
            <w:pPr>
              <w:tabs>
                <w:tab w:val="decimal" w:pos="408"/>
              </w:tabs>
              <w:jc w:val="both"/>
              <w:rPr>
                <w:sz w:val="22"/>
                <w:szCs w:val="22"/>
                <w:lang w:eastAsia="zh-HK"/>
              </w:rPr>
            </w:pPr>
            <w:r>
              <w:rPr>
                <w:sz w:val="22"/>
                <w:szCs w:val="22"/>
              </w:rPr>
              <w:t>-0.5</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20.9</w:t>
            </w:r>
          </w:p>
        </w:tc>
        <w:tc>
          <w:tcPr>
            <w:tcW w:w="737" w:type="dxa"/>
          </w:tcPr>
          <w:p w:rsidR="005B07E4" w:rsidRPr="00716C0D" w:rsidRDefault="005B07E4" w:rsidP="005B07E4">
            <w:pPr>
              <w:tabs>
                <w:tab w:val="decimal" w:pos="408"/>
              </w:tabs>
              <w:jc w:val="both"/>
              <w:rPr>
                <w:sz w:val="22"/>
                <w:szCs w:val="22"/>
                <w:lang w:eastAsia="zh-HK"/>
              </w:rPr>
            </w:pPr>
            <w:r w:rsidRPr="00716C0D">
              <w:rPr>
                <w:rFonts w:hint="eastAsia"/>
                <w:sz w:val="22"/>
                <w:szCs w:val="22"/>
              </w:rPr>
              <w:t>1</w:t>
            </w:r>
            <w:r>
              <w:rPr>
                <w:sz w:val="22"/>
                <w:szCs w:val="22"/>
              </w:rPr>
              <w:t>5.7</w:t>
            </w:r>
          </w:p>
          <w:p w:rsidR="005B07E4" w:rsidRPr="00716C0D" w:rsidRDefault="005B07E4" w:rsidP="005B07E4">
            <w:pPr>
              <w:tabs>
                <w:tab w:val="decimal" w:pos="408"/>
              </w:tabs>
              <w:jc w:val="both"/>
              <w:rPr>
                <w:sz w:val="22"/>
                <w:szCs w:val="22"/>
                <w:lang w:eastAsia="zh-HK"/>
              </w:rPr>
            </w:pPr>
            <w:r w:rsidRPr="00716C0D">
              <w:rPr>
                <w:sz w:val="22"/>
                <w:szCs w:val="22"/>
                <w:lang w:eastAsia="zh-HK"/>
              </w:rPr>
              <w:t>(</w:t>
            </w:r>
            <w:r w:rsidRPr="00716C0D">
              <w:rPr>
                <w:sz w:val="22"/>
                <w:szCs w:val="22"/>
              </w:rPr>
              <w:t>1</w:t>
            </w:r>
            <w:r>
              <w:rPr>
                <w:sz w:val="22"/>
                <w:szCs w:val="22"/>
              </w:rPr>
              <w:t>2</w:t>
            </w:r>
            <w:r w:rsidRPr="00716C0D">
              <w:rPr>
                <w:sz w:val="22"/>
                <w:szCs w:val="22"/>
              </w:rPr>
              <w:t>.3</w:t>
            </w:r>
            <w:r w:rsidRPr="00716C0D">
              <w:rPr>
                <w:sz w:val="22"/>
                <w:szCs w:val="22"/>
                <w:lang w:eastAsia="zh-HK"/>
              </w:rPr>
              <w:t>)</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23.</w:t>
            </w:r>
            <w:r>
              <w:rPr>
                <w:sz w:val="22"/>
                <w:szCs w:val="22"/>
              </w:rPr>
              <w:t>4</w:t>
            </w:r>
          </w:p>
          <w:p w:rsidR="005B07E4" w:rsidRPr="00716C0D" w:rsidRDefault="005B07E4" w:rsidP="005B07E4">
            <w:pPr>
              <w:tabs>
                <w:tab w:val="decimal" w:pos="408"/>
              </w:tabs>
              <w:jc w:val="both"/>
              <w:rPr>
                <w:sz w:val="22"/>
                <w:szCs w:val="22"/>
                <w:lang w:eastAsia="zh-HK"/>
              </w:rPr>
            </w:pPr>
            <w:r w:rsidRPr="00716C0D">
              <w:rPr>
                <w:sz w:val="22"/>
                <w:szCs w:val="22"/>
                <w:lang w:eastAsia="zh-HK"/>
              </w:rPr>
              <w:t>(</w:t>
            </w:r>
            <w:r>
              <w:rPr>
                <w:sz w:val="22"/>
                <w:szCs w:val="22"/>
              </w:rPr>
              <w:t>5</w:t>
            </w:r>
            <w:r w:rsidRPr="00716C0D">
              <w:rPr>
                <w:sz w:val="22"/>
                <w:szCs w:val="22"/>
              </w:rPr>
              <w:t>.3</w:t>
            </w:r>
            <w:r w:rsidRPr="00716C0D">
              <w:rPr>
                <w:sz w:val="22"/>
                <w:szCs w:val="22"/>
                <w:lang w:eastAsia="zh-HK"/>
              </w:rPr>
              <w:t>)</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23.</w:t>
            </w:r>
            <w:r>
              <w:rPr>
                <w:sz w:val="22"/>
                <w:szCs w:val="22"/>
              </w:rPr>
              <w:t>4</w:t>
            </w:r>
          </w:p>
          <w:p w:rsidR="005B07E4" w:rsidRPr="00716C0D" w:rsidRDefault="005B07E4" w:rsidP="005B07E4">
            <w:pPr>
              <w:tabs>
                <w:tab w:val="decimal" w:pos="408"/>
              </w:tabs>
              <w:jc w:val="both"/>
              <w:rPr>
                <w:sz w:val="22"/>
                <w:szCs w:val="22"/>
                <w:lang w:eastAsia="zh-HK"/>
              </w:rPr>
            </w:pPr>
            <w:r w:rsidRPr="00716C0D">
              <w:rPr>
                <w:sz w:val="22"/>
                <w:szCs w:val="22"/>
                <w:lang w:eastAsia="zh-HK"/>
              </w:rPr>
              <w:t>(</w:t>
            </w:r>
            <w:r>
              <w:rPr>
                <w:sz w:val="22"/>
                <w:szCs w:val="22"/>
              </w:rPr>
              <w:t>2.0</w:t>
            </w:r>
            <w:r w:rsidRPr="00716C0D">
              <w:rPr>
                <w:sz w:val="22"/>
                <w:szCs w:val="22"/>
                <w:lang w:eastAsia="zh-HK"/>
              </w:rPr>
              <w:t>)</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rPr>
              <w:t>2</w:t>
            </w:r>
            <w:r>
              <w:rPr>
                <w:kern w:val="0"/>
                <w:sz w:val="22"/>
                <w:szCs w:val="22"/>
              </w:rPr>
              <w:t>1</w:t>
            </w:r>
            <w:r w:rsidRPr="00716C0D">
              <w:rPr>
                <w:kern w:val="0"/>
                <w:sz w:val="22"/>
                <w:szCs w:val="22"/>
              </w:rPr>
              <w:t>.2</w:t>
            </w:r>
          </w:p>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1.9</w:t>
            </w:r>
            <w:r w:rsidRPr="00716C0D">
              <w:rPr>
                <w:kern w:val="0"/>
                <w:sz w:val="22"/>
                <w:szCs w:val="22"/>
                <w:lang w:eastAsia="zh-HK"/>
              </w:rPr>
              <w:t>)</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rPr>
              <w:t>9.4</w:t>
            </w:r>
          </w:p>
          <w:p w:rsidR="005B07E4" w:rsidRPr="00716C0D" w:rsidRDefault="005B07E4" w:rsidP="005B07E4">
            <w:pPr>
              <w:widowControl/>
              <w:tabs>
                <w:tab w:val="decimal" w:pos="408"/>
              </w:tabs>
              <w:jc w:val="both"/>
              <w:rPr>
                <w:kern w:val="0"/>
                <w:sz w:val="22"/>
                <w:szCs w:val="22"/>
              </w:rPr>
            </w:pPr>
            <w:r w:rsidRPr="00716C0D">
              <w:rPr>
                <w:kern w:val="0"/>
                <w:sz w:val="22"/>
                <w:szCs w:val="22"/>
                <w:lang w:eastAsia="zh-HK"/>
              </w:rPr>
              <w:t>(</w:t>
            </w:r>
            <w:r>
              <w:rPr>
                <w:kern w:val="0"/>
                <w:sz w:val="22"/>
                <w:szCs w:val="22"/>
                <w:lang w:eastAsia="zh-HK"/>
              </w:rPr>
              <w:t>-0.2</w:t>
            </w:r>
            <w:r w:rsidRPr="00716C0D">
              <w:rPr>
                <w:kern w:val="0"/>
                <w:sz w:val="22"/>
                <w:szCs w:val="22"/>
                <w:lang w:eastAsia="zh-HK"/>
              </w:rPr>
              <w:t>)</w:t>
            </w:r>
          </w:p>
        </w:tc>
        <w:tc>
          <w:tcPr>
            <w:tcW w:w="737" w:type="dxa"/>
          </w:tcPr>
          <w:p w:rsidR="005B07E4" w:rsidRPr="005A20FE" w:rsidRDefault="005B07E4" w:rsidP="005B07E4">
            <w:pPr>
              <w:widowControl/>
              <w:tabs>
                <w:tab w:val="decimal" w:pos="408"/>
              </w:tabs>
              <w:jc w:val="both"/>
              <w:rPr>
                <w:kern w:val="0"/>
                <w:sz w:val="22"/>
                <w:szCs w:val="22"/>
                <w:lang w:eastAsia="zh-HK"/>
              </w:rPr>
            </w:pPr>
            <w:r w:rsidRPr="005A20FE">
              <w:rPr>
                <w:kern w:val="0"/>
                <w:sz w:val="22"/>
                <w:szCs w:val="22"/>
              </w:rPr>
              <w:t>1.</w:t>
            </w:r>
            <w:r w:rsidR="00D85C91">
              <w:rPr>
                <w:kern w:val="0"/>
                <w:sz w:val="22"/>
                <w:szCs w:val="22"/>
              </w:rPr>
              <w:t>1</w:t>
            </w:r>
          </w:p>
          <w:p w:rsidR="005B07E4" w:rsidRPr="005A20FE" w:rsidRDefault="005B07E4" w:rsidP="00BC71DE">
            <w:pPr>
              <w:widowControl/>
              <w:tabs>
                <w:tab w:val="decimal" w:pos="408"/>
              </w:tabs>
              <w:jc w:val="both"/>
              <w:rPr>
                <w:kern w:val="0"/>
                <w:sz w:val="22"/>
                <w:szCs w:val="22"/>
              </w:rPr>
            </w:pPr>
            <w:r w:rsidRPr="005A20FE">
              <w:rPr>
                <w:kern w:val="0"/>
                <w:sz w:val="22"/>
                <w:szCs w:val="22"/>
                <w:lang w:eastAsia="zh-HK"/>
              </w:rPr>
              <w:t>(-2.</w:t>
            </w:r>
            <w:r w:rsidR="00BC71DE">
              <w:rPr>
                <w:kern w:val="0"/>
                <w:sz w:val="22"/>
                <w:szCs w:val="22"/>
                <w:lang w:eastAsia="zh-HK"/>
              </w:rPr>
              <w:t>5</w:t>
            </w:r>
            <w:r w:rsidRPr="005A20FE">
              <w:rPr>
                <w:kern w:val="0"/>
                <w:sz w:val="22"/>
                <w:szCs w:val="22"/>
                <w:lang w:eastAsia="zh-HK"/>
              </w:rPr>
              <w:t>)</w:t>
            </w:r>
          </w:p>
        </w:tc>
        <w:tc>
          <w:tcPr>
            <w:tcW w:w="737" w:type="dxa"/>
          </w:tcPr>
          <w:p w:rsidR="005B07E4" w:rsidRPr="001958D5" w:rsidRDefault="00BC71DE" w:rsidP="005B07E4">
            <w:pPr>
              <w:widowControl/>
              <w:tabs>
                <w:tab w:val="decimal" w:pos="408"/>
              </w:tabs>
              <w:jc w:val="both"/>
              <w:rPr>
                <w:kern w:val="0"/>
                <w:sz w:val="22"/>
                <w:szCs w:val="22"/>
                <w:lang w:eastAsia="zh-HK"/>
              </w:rPr>
            </w:pPr>
            <w:r w:rsidRPr="001958D5">
              <w:rPr>
                <w:kern w:val="0"/>
                <w:sz w:val="22"/>
                <w:szCs w:val="22"/>
              </w:rPr>
              <w:t>2.4</w:t>
            </w:r>
          </w:p>
          <w:p w:rsidR="005B07E4" w:rsidRPr="001958D5" w:rsidRDefault="00BC71DE" w:rsidP="001958D5">
            <w:pPr>
              <w:widowControl/>
              <w:tabs>
                <w:tab w:val="decimal" w:pos="408"/>
              </w:tabs>
              <w:jc w:val="both"/>
              <w:rPr>
                <w:kern w:val="0"/>
                <w:sz w:val="22"/>
                <w:szCs w:val="22"/>
              </w:rPr>
            </w:pPr>
            <w:r w:rsidRPr="001958D5">
              <w:rPr>
                <w:kern w:val="0"/>
                <w:sz w:val="22"/>
                <w:szCs w:val="22"/>
                <w:lang w:eastAsia="zh-HK"/>
              </w:rPr>
              <w:t>(3.</w:t>
            </w:r>
            <w:r w:rsidR="001958D5" w:rsidRPr="001958D5">
              <w:rPr>
                <w:kern w:val="0"/>
                <w:sz w:val="22"/>
                <w:szCs w:val="22"/>
                <w:lang w:eastAsia="zh-HK"/>
              </w:rPr>
              <w:t>4</w:t>
            </w:r>
            <w:r w:rsidR="005B07E4" w:rsidRPr="001958D5">
              <w:rPr>
                <w:kern w:val="0"/>
                <w:sz w:val="22"/>
                <w:szCs w:val="22"/>
                <w:lang w:eastAsia="zh-HK"/>
              </w:rPr>
              <w:t>)</w:t>
            </w:r>
          </w:p>
        </w:tc>
      </w:tr>
      <w:tr w:rsidR="005B07E4" w:rsidRPr="00BF6DEC" w:rsidTr="005B07E4">
        <w:trPr>
          <w:jc w:val="center"/>
        </w:trPr>
        <w:tc>
          <w:tcPr>
            <w:tcW w:w="3402" w:type="dxa"/>
          </w:tcPr>
          <w:p w:rsidR="005B07E4" w:rsidRPr="005256F7" w:rsidRDefault="005B07E4" w:rsidP="005B07E4">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737" w:type="dxa"/>
          </w:tcPr>
          <w:p w:rsidR="005B07E4" w:rsidRPr="00F53090" w:rsidRDefault="005B07E4" w:rsidP="005B07E4">
            <w:pPr>
              <w:tabs>
                <w:tab w:val="decimal" w:pos="408"/>
              </w:tabs>
              <w:jc w:val="both"/>
              <w:rPr>
                <w:sz w:val="22"/>
                <w:szCs w:val="22"/>
                <w:lang w:eastAsia="zh-HK"/>
              </w:rPr>
            </w:pPr>
            <w:r>
              <w:rPr>
                <w:rFonts w:hint="eastAsia"/>
                <w:sz w:val="22"/>
                <w:szCs w:val="22"/>
              </w:rPr>
              <w:t>-1.</w:t>
            </w:r>
            <w:r>
              <w:rPr>
                <w:sz w:val="22"/>
                <w:szCs w:val="22"/>
              </w:rPr>
              <w:t>2</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lang w:eastAsia="zh-HK"/>
              </w:rPr>
              <w:t>25.9</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2</w:t>
            </w:r>
            <w:r>
              <w:rPr>
                <w:sz w:val="22"/>
                <w:szCs w:val="22"/>
              </w:rPr>
              <w:t>1.1</w:t>
            </w:r>
          </w:p>
          <w:p w:rsidR="005B07E4" w:rsidRPr="00716C0D" w:rsidRDefault="005B07E4" w:rsidP="005B07E4">
            <w:pPr>
              <w:tabs>
                <w:tab w:val="decimal" w:pos="408"/>
              </w:tabs>
              <w:jc w:val="both"/>
              <w:rPr>
                <w:sz w:val="22"/>
                <w:szCs w:val="22"/>
                <w:lang w:eastAsia="zh-HK"/>
              </w:rPr>
            </w:pPr>
            <w:r w:rsidRPr="00716C0D">
              <w:rPr>
                <w:sz w:val="22"/>
                <w:szCs w:val="22"/>
                <w:lang w:eastAsia="zh-HK"/>
              </w:rPr>
              <w:t>(</w:t>
            </w:r>
            <w:r w:rsidRPr="00716C0D">
              <w:rPr>
                <w:sz w:val="22"/>
                <w:szCs w:val="22"/>
              </w:rPr>
              <w:t>12.</w:t>
            </w:r>
            <w:r>
              <w:rPr>
                <w:sz w:val="22"/>
                <w:szCs w:val="22"/>
              </w:rPr>
              <w:t>3</w:t>
            </w:r>
            <w:r w:rsidRPr="00716C0D">
              <w:rPr>
                <w:sz w:val="22"/>
                <w:szCs w:val="22"/>
                <w:lang w:eastAsia="zh-HK"/>
              </w:rPr>
              <w:t>)</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2</w:t>
            </w:r>
            <w:r>
              <w:rPr>
                <w:sz w:val="22"/>
                <w:szCs w:val="22"/>
              </w:rPr>
              <w:t>7.0</w:t>
            </w:r>
          </w:p>
          <w:p w:rsidR="005B07E4" w:rsidRPr="00716C0D" w:rsidRDefault="005B07E4" w:rsidP="005B07E4">
            <w:pPr>
              <w:tabs>
                <w:tab w:val="decimal" w:pos="408"/>
              </w:tabs>
              <w:jc w:val="both"/>
              <w:rPr>
                <w:sz w:val="22"/>
                <w:szCs w:val="22"/>
                <w:lang w:eastAsia="zh-HK"/>
              </w:rPr>
            </w:pPr>
            <w:r w:rsidRPr="00716C0D">
              <w:rPr>
                <w:sz w:val="22"/>
                <w:szCs w:val="22"/>
                <w:lang w:eastAsia="zh-HK"/>
              </w:rPr>
              <w:t>(</w:t>
            </w:r>
            <w:r>
              <w:rPr>
                <w:sz w:val="22"/>
                <w:szCs w:val="22"/>
              </w:rPr>
              <w:t>5.9</w:t>
            </w:r>
            <w:r w:rsidRPr="00716C0D">
              <w:rPr>
                <w:sz w:val="22"/>
                <w:szCs w:val="22"/>
                <w:lang w:eastAsia="zh-HK"/>
              </w:rPr>
              <w:t>)</w:t>
            </w:r>
          </w:p>
        </w:tc>
        <w:tc>
          <w:tcPr>
            <w:tcW w:w="737" w:type="dxa"/>
          </w:tcPr>
          <w:p w:rsidR="005B07E4" w:rsidRPr="00716C0D" w:rsidRDefault="005B07E4" w:rsidP="005B07E4">
            <w:pPr>
              <w:tabs>
                <w:tab w:val="decimal" w:pos="408"/>
              </w:tabs>
              <w:jc w:val="both"/>
              <w:rPr>
                <w:sz w:val="22"/>
                <w:szCs w:val="22"/>
                <w:lang w:eastAsia="zh-HK"/>
              </w:rPr>
            </w:pPr>
            <w:r w:rsidRPr="00716C0D">
              <w:rPr>
                <w:sz w:val="22"/>
                <w:szCs w:val="22"/>
              </w:rPr>
              <w:t>28.</w:t>
            </w:r>
            <w:r>
              <w:rPr>
                <w:sz w:val="22"/>
                <w:szCs w:val="22"/>
              </w:rPr>
              <w:t>7</w:t>
            </w:r>
          </w:p>
          <w:p w:rsidR="005B07E4" w:rsidRPr="00716C0D" w:rsidRDefault="005B07E4" w:rsidP="005B07E4">
            <w:pPr>
              <w:tabs>
                <w:tab w:val="decimal" w:pos="408"/>
              </w:tabs>
              <w:jc w:val="both"/>
              <w:rPr>
                <w:sz w:val="22"/>
                <w:szCs w:val="22"/>
                <w:lang w:eastAsia="zh-HK"/>
              </w:rPr>
            </w:pPr>
            <w:r w:rsidRPr="00716C0D">
              <w:rPr>
                <w:sz w:val="22"/>
                <w:szCs w:val="22"/>
                <w:lang w:eastAsia="zh-HK"/>
              </w:rPr>
              <w:t>(</w:t>
            </w:r>
            <w:r>
              <w:rPr>
                <w:sz w:val="22"/>
                <w:szCs w:val="22"/>
              </w:rPr>
              <w:t>2.9</w:t>
            </w:r>
            <w:r w:rsidRPr="00716C0D">
              <w:rPr>
                <w:sz w:val="22"/>
                <w:szCs w:val="22"/>
                <w:lang w:eastAsia="zh-HK"/>
              </w:rPr>
              <w:t>)</w:t>
            </w:r>
          </w:p>
        </w:tc>
        <w:tc>
          <w:tcPr>
            <w:tcW w:w="737" w:type="dxa"/>
          </w:tcPr>
          <w:p w:rsidR="005B07E4" w:rsidRPr="00716C0D" w:rsidRDefault="005B07E4" w:rsidP="005B07E4">
            <w:pPr>
              <w:widowControl/>
              <w:tabs>
                <w:tab w:val="decimal" w:pos="408"/>
              </w:tabs>
              <w:jc w:val="both"/>
              <w:rPr>
                <w:kern w:val="0"/>
                <w:sz w:val="22"/>
                <w:szCs w:val="22"/>
                <w:lang w:eastAsia="zh-HK"/>
              </w:rPr>
            </w:pPr>
            <w:r w:rsidRPr="00716C0D">
              <w:rPr>
                <w:kern w:val="0"/>
                <w:sz w:val="22"/>
                <w:szCs w:val="22"/>
              </w:rPr>
              <w:t>2</w:t>
            </w:r>
            <w:r>
              <w:rPr>
                <w:kern w:val="0"/>
                <w:sz w:val="22"/>
                <w:szCs w:val="22"/>
              </w:rPr>
              <w:t>6.7</w:t>
            </w:r>
          </w:p>
          <w:p w:rsidR="005B07E4" w:rsidRPr="00716C0D" w:rsidRDefault="005B07E4" w:rsidP="005B07E4">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3</w:t>
            </w:r>
            <w:r w:rsidRPr="00716C0D">
              <w:rPr>
                <w:kern w:val="0"/>
                <w:sz w:val="22"/>
                <w:szCs w:val="22"/>
                <w:lang w:eastAsia="zh-HK"/>
              </w:rPr>
              <w:t>.8)</w:t>
            </w:r>
          </w:p>
        </w:tc>
        <w:tc>
          <w:tcPr>
            <w:tcW w:w="737" w:type="dxa"/>
          </w:tcPr>
          <w:p w:rsidR="005B07E4" w:rsidRPr="00716C0D" w:rsidRDefault="005B07E4" w:rsidP="005B07E4">
            <w:pPr>
              <w:widowControl/>
              <w:tabs>
                <w:tab w:val="decimal" w:pos="408"/>
              </w:tabs>
              <w:jc w:val="both"/>
              <w:rPr>
                <w:kern w:val="0"/>
                <w:sz w:val="22"/>
                <w:szCs w:val="22"/>
                <w:lang w:eastAsia="zh-HK"/>
              </w:rPr>
            </w:pPr>
            <w:r>
              <w:rPr>
                <w:kern w:val="0"/>
                <w:sz w:val="22"/>
                <w:szCs w:val="22"/>
              </w:rPr>
              <w:t>18.0</w:t>
            </w:r>
          </w:p>
          <w:p w:rsidR="005B07E4" w:rsidRPr="00716C0D" w:rsidRDefault="005B07E4" w:rsidP="005B07E4">
            <w:pPr>
              <w:widowControl/>
              <w:tabs>
                <w:tab w:val="decimal" w:pos="408"/>
              </w:tabs>
              <w:jc w:val="both"/>
              <w:rPr>
                <w:kern w:val="0"/>
                <w:sz w:val="22"/>
                <w:szCs w:val="22"/>
              </w:rPr>
            </w:pPr>
            <w:r w:rsidRPr="00716C0D">
              <w:rPr>
                <w:kern w:val="0"/>
                <w:sz w:val="22"/>
                <w:szCs w:val="22"/>
                <w:lang w:eastAsia="zh-HK"/>
              </w:rPr>
              <w:t>(</w:t>
            </w:r>
            <w:r>
              <w:rPr>
                <w:kern w:val="0"/>
                <w:sz w:val="22"/>
                <w:szCs w:val="22"/>
                <w:lang w:eastAsia="zh-HK"/>
              </w:rPr>
              <w:t>4.3</w:t>
            </w:r>
            <w:r w:rsidRPr="00716C0D">
              <w:rPr>
                <w:kern w:val="0"/>
                <w:sz w:val="22"/>
                <w:szCs w:val="22"/>
                <w:lang w:eastAsia="zh-HK"/>
              </w:rPr>
              <w:t>)</w:t>
            </w:r>
          </w:p>
        </w:tc>
        <w:tc>
          <w:tcPr>
            <w:tcW w:w="737" w:type="dxa"/>
          </w:tcPr>
          <w:p w:rsidR="005B07E4" w:rsidRPr="005A20FE" w:rsidRDefault="00BC71DE" w:rsidP="005B07E4">
            <w:pPr>
              <w:widowControl/>
              <w:tabs>
                <w:tab w:val="decimal" w:pos="408"/>
              </w:tabs>
              <w:jc w:val="both"/>
              <w:rPr>
                <w:kern w:val="0"/>
                <w:sz w:val="22"/>
                <w:szCs w:val="22"/>
                <w:lang w:eastAsia="zh-HK"/>
              </w:rPr>
            </w:pPr>
            <w:r>
              <w:rPr>
                <w:kern w:val="0"/>
                <w:sz w:val="22"/>
                <w:szCs w:val="22"/>
              </w:rPr>
              <w:t>12.3</w:t>
            </w:r>
          </w:p>
          <w:p w:rsidR="005B07E4" w:rsidRPr="005A20FE" w:rsidRDefault="005B07E4" w:rsidP="00BC71DE">
            <w:pPr>
              <w:widowControl/>
              <w:tabs>
                <w:tab w:val="decimal" w:pos="408"/>
              </w:tabs>
              <w:jc w:val="both"/>
              <w:rPr>
                <w:kern w:val="0"/>
                <w:sz w:val="22"/>
                <w:szCs w:val="22"/>
              </w:rPr>
            </w:pPr>
            <w:r w:rsidRPr="005A20FE">
              <w:rPr>
                <w:kern w:val="0"/>
                <w:sz w:val="22"/>
                <w:szCs w:val="22"/>
                <w:lang w:eastAsia="zh-HK"/>
              </w:rPr>
              <w:t>(0.</w:t>
            </w:r>
            <w:r w:rsidR="00BC71DE">
              <w:rPr>
                <w:kern w:val="0"/>
                <w:sz w:val="22"/>
                <w:szCs w:val="22"/>
                <w:lang w:eastAsia="zh-HK"/>
              </w:rPr>
              <w:t>6</w:t>
            </w:r>
            <w:r w:rsidRPr="005A20FE">
              <w:rPr>
                <w:kern w:val="0"/>
                <w:sz w:val="22"/>
                <w:szCs w:val="22"/>
                <w:lang w:eastAsia="zh-HK"/>
              </w:rPr>
              <w:t>)</w:t>
            </w:r>
          </w:p>
        </w:tc>
        <w:tc>
          <w:tcPr>
            <w:tcW w:w="737" w:type="dxa"/>
          </w:tcPr>
          <w:p w:rsidR="005B07E4" w:rsidRPr="001958D5" w:rsidRDefault="00D85C91" w:rsidP="005B07E4">
            <w:pPr>
              <w:widowControl/>
              <w:tabs>
                <w:tab w:val="decimal" w:pos="408"/>
              </w:tabs>
              <w:jc w:val="both"/>
              <w:rPr>
                <w:kern w:val="0"/>
                <w:sz w:val="22"/>
                <w:szCs w:val="22"/>
                <w:lang w:eastAsia="zh-HK"/>
              </w:rPr>
            </w:pPr>
            <w:r w:rsidRPr="001958D5">
              <w:rPr>
                <w:kern w:val="0"/>
                <w:sz w:val="22"/>
                <w:szCs w:val="22"/>
              </w:rPr>
              <w:t>8.2</w:t>
            </w:r>
          </w:p>
          <w:p w:rsidR="005B07E4" w:rsidRPr="001958D5" w:rsidRDefault="005B07E4" w:rsidP="00BC71DE">
            <w:pPr>
              <w:widowControl/>
              <w:tabs>
                <w:tab w:val="decimal" w:pos="408"/>
              </w:tabs>
              <w:jc w:val="both"/>
              <w:rPr>
                <w:kern w:val="0"/>
                <w:sz w:val="22"/>
                <w:szCs w:val="22"/>
              </w:rPr>
            </w:pPr>
            <w:r w:rsidRPr="001958D5">
              <w:rPr>
                <w:kern w:val="0"/>
                <w:sz w:val="22"/>
                <w:szCs w:val="22"/>
                <w:lang w:eastAsia="zh-HK"/>
              </w:rPr>
              <w:t>(</w:t>
            </w:r>
            <w:r w:rsidR="00BC71DE" w:rsidRPr="001958D5">
              <w:rPr>
                <w:kern w:val="0"/>
                <w:sz w:val="22"/>
                <w:szCs w:val="22"/>
                <w:lang w:eastAsia="zh-HK"/>
              </w:rPr>
              <w:t>-0.5</w:t>
            </w:r>
            <w:r w:rsidRPr="001958D5">
              <w:rPr>
                <w:kern w:val="0"/>
                <w:sz w:val="22"/>
                <w:szCs w:val="22"/>
                <w:lang w:eastAsia="zh-HK"/>
              </w:rPr>
              <w:t>)</w:t>
            </w:r>
          </w:p>
        </w:tc>
      </w:tr>
      <w:tr w:rsidR="005B07E4" w:rsidRPr="00BF6DEC" w:rsidTr="005B07E4">
        <w:trPr>
          <w:jc w:val="center"/>
        </w:trPr>
        <w:tc>
          <w:tcPr>
            <w:tcW w:w="3402" w:type="dxa"/>
          </w:tcPr>
          <w:p w:rsidR="005B07E4" w:rsidRPr="005256F7" w:rsidRDefault="005B07E4" w:rsidP="005B07E4">
            <w:pPr>
              <w:tabs>
                <w:tab w:val="left" w:pos="1080"/>
              </w:tabs>
              <w:snapToGrid w:val="0"/>
              <w:spacing w:line="360" w:lineRule="auto"/>
              <w:ind w:right="-108"/>
              <w:rPr>
                <w:b/>
                <w:sz w:val="22"/>
                <w:szCs w:val="22"/>
              </w:rPr>
            </w:pPr>
            <w:r w:rsidRPr="005256F7">
              <w:rPr>
                <w:b/>
                <w:sz w:val="22"/>
                <w:szCs w:val="22"/>
              </w:rPr>
              <w:t>Gross Domestic Product</w:t>
            </w:r>
          </w:p>
        </w:tc>
        <w:tc>
          <w:tcPr>
            <w:tcW w:w="737" w:type="dxa"/>
          </w:tcPr>
          <w:p w:rsidR="005B07E4" w:rsidRPr="00360C49" w:rsidRDefault="005B07E4" w:rsidP="005B07E4">
            <w:pPr>
              <w:tabs>
                <w:tab w:val="decimal" w:pos="408"/>
              </w:tabs>
              <w:jc w:val="both"/>
              <w:rPr>
                <w:b/>
                <w:sz w:val="22"/>
                <w:szCs w:val="22"/>
                <w:lang w:eastAsia="zh-HK"/>
              </w:rPr>
            </w:pPr>
            <w:r>
              <w:rPr>
                <w:rFonts w:hint="eastAsia"/>
                <w:b/>
                <w:sz w:val="22"/>
                <w:szCs w:val="22"/>
              </w:rPr>
              <w:t>-3.</w:t>
            </w:r>
            <w:r>
              <w:rPr>
                <w:b/>
                <w:sz w:val="22"/>
                <w:szCs w:val="22"/>
              </w:rPr>
              <w:t>7</w:t>
            </w:r>
          </w:p>
        </w:tc>
        <w:tc>
          <w:tcPr>
            <w:tcW w:w="737" w:type="dxa"/>
          </w:tcPr>
          <w:p w:rsidR="005B07E4" w:rsidRPr="00716C0D" w:rsidRDefault="005B07E4" w:rsidP="005B07E4">
            <w:pPr>
              <w:widowControl/>
              <w:tabs>
                <w:tab w:val="decimal" w:pos="408"/>
              </w:tabs>
              <w:jc w:val="both"/>
              <w:rPr>
                <w:b/>
                <w:kern w:val="0"/>
                <w:sz w:val="22"/>
                <w:szCs w:val="22"/>
                <w:lang w:eastAsia="zh-HK"/>
              </w:rPr>
            </w:pPr>
            <w:r>
              <w:rPr>
                <w:b/>
                <w:kern w:val="0"/>
                <w:sz w:val="22"/>
                <w:szCs w:val="22"/>
                <w:lang w:eastAsia="zh-HK"/>
              </w:rPr>
              <w:t>3.3</w:t>
            </w:r>
          </w:p>
        </w:tc>
        <w:tc>
          <w:tcPr>
            <w:tcW w:w="737" w:type="dxa"/>
          </w:tcPr>
          <w:p w:rsidR="005B07E4" w:rsidRPr="00716C0D" w:rsidRDefault="005B07E4" w:rsidP="005B07E4">
            <w:pPr>
              <w:tabs>
                <w:tab w:val="decimal" w:pos="408"/>
              </w:tabs>
              <w:jc w:val="both"/>
              <w:rPr>
                <w:b/>
                <w:sz w:val="22"/>
                <w:szCs w:val="22"/>
              </w:rPr>
            </w:pPr>
            <w:r w:rsidRPr="00716C0D">
              <w:rPr>
                <w:rFonts w:hint="eastAsia"/>
                <w:b/>
                <w:sz w:val="22"/>
                <w:szCs w:val="22"/>
              </w:rPr>
              <w:t>2.</w:t>
            </w:r>
            <w:r>
              <w:rPr>
                <w:b/>
                <w:sz w:val="22"/>
                <w:szCs w:val="22"/>
              </w:rPr>
              <w:t>8</w:t>
            </w:r>
          </w:p>
          <w:p w:rsidR="005B07E4" w:rsidRPr="00716C0D" w:rsidRDefault="005B07E4" w:rsidP="005B07E4">
            <w:pPr>
              <w:tabs>
                <w:tab w:val="decimal" w:pos="408"/>
              </w:tabs>
              <w:jc w:val="both"/>
              <w:rPr>
                <w:b/>
                <w:sz w:val="22"/>
                <w:szCs w:val="22"/>
              </w:rPr>
            </w:pPr>
            <w:r w:rsidRPr="00716C0D">
              <w:rPr>
                <w:b/>
                <w:sz w:val="22"/>
                <w:szCs w:val="22"/>
              </w:rPr>
              <w:t>(4.</w:t>
            </w:r>
            <w:r>
              <w:rPr>
                <w:b/>
                <w:sz w:val="22"/>
                <w:szCs w:val="22"/>
              </w:rPr>
              <w:t>1</w:t>
            </w:r>
            <w:r w:rsidRPr="00716C0D">
              <w:rPr>
                <w:b/>
                <w:sz w:val="22"/>
                <w:szCs w:val="22"/>
              </w:rPr>
              <w:t>)</w:t>
            </w:r>
          </w:p>
        </w:tc>
        <w:tc>
          <w:tcPr>
            <w:tcW w:w="737" w:type="dxa"/>
          </w:tcPr>
          <w:p w:rsidR="005B07E4" w:rsidRPr="00716C0D" w:rsidRDefault="005B07E4" w:rsidP="005B07E4">
            <w:pPr>
              <w:tabs>
                <w:tab w:val="decimal" w:pos="408"/>
              </w:tabs>
              <w:jc w:val="both"/>
              <w:rPr>
                <w:b/>
                <w:sz w:val="22"/>
                <w:szCs w:val="22"/>
              </w:rPr>
            </w:pPr>
            <w:r w:rsidRPr="00716C0D">
              <w:rPr>
                <w:b/>
                <w:sz w:val="22"/>
                <w:szCs w:val="22"/>
              </w:rPr>
              <w:t>1.</w:t>
            </w:r>
            <w:r>
              <w:rPr>
                <w:b/>
                <w:sz w:val="22"/>
                <w:szCs w:val="22"/>
              </w:rPr>
              <w:t>6</w:t>
            </w:r>
          </w:p>
          <w:p w:rsidR="005B07E4" w:rsidRPr="00716C0D" w:rsidRDefault="005B07E4" w:rsidP="005B07E4">
            <w:pPr>
              <w:tabs>
                <w:tab w:val="decimal" w:pos="408"/>
              </w:tabs>
              <w:jc w:val="both"/>
              <w:rPr>
                <w:b/>
                <w:sz w:val="22"/>
                <w:szCs w:val="22"/>
              </w:rPr>
            </w:pPr>
            <w:r>
              <w:rPr>
                <w:b/>
                <w:sz w:val="22"/>
                <w:szCs w:val="22"/>
              </w:rPr>
              <w:t xml:space="preserve">   </w:t>
            </w:r>
            <w:r w:rsidRPr="00716C0D">
              <w:rPr>
                <w:b/>
                <w:sz w:val="22"/>
                <w:szCs w:val="22"/>
              </w:rPr>
              <w:t>(</w:t>
            </w:r>
            <w:r>
              <w:rPr>
                <w:b/>
                <w:sz w:val="22"/>
                <w:szCs w:val="22"/>
              </w:rPr>
              <w:t>*</w:t>
            </w:r>
            <w:r w:rsidRPr="00716C0D">
              <w:rPr>
                <w:b/>
                <w:sz w:val="22"/>
                <w:szCs w:val="22"/>
              </w:rPr>
              <w:t>)</w:t>
            </w:r>
          </w:p>
        </w:tc>
        <w:tc>
          <w:tcPr>
            <w:tcW w:w="737" w:type="dxa"/>
          </w:tcPr>
          <w:p w:rsidR="005B07E4" w:rsidRPr="00716C0D" w:rsidRDefault="005B07E4" w:rsidP="005B07E4">
            <w:pPr>
              <w:tabs>
                <w:tab w:val="decimal" w:pos="408"/>
              </w:tabs>
              <w:jc w:val="both"/>
              <w:rPr>
                <w:b/>
                <w:sz w:val="22"/>
                <w:szCs w:val="22"/>
              </w:rPr>
            </w:pPr>
            <w:r w:rsidRPr="00716C0D">
              <w:rPr>
                <w:b/>
                <w:sz w:val="22"/>
                <w:szCs w:val="22"/>
              </w:rPr>
              <w:t>4.</w:t>
            </w:r>
            <w:r>
              <w:rPr>
                <w:b/>
                <w:sz w:val="22"/>
                <w:szCs w:val="22"/>
              </w:rPr>
              <w:t>2</w:t>
            </w:r>
          </w:p>
          <w:p w:rsidR="005B07E4" w:rsidRPr="00716C0D" w:rsidRDefault="005B07E4" w:rsidP="005B07E4">
            <w:pPr>
              <w:tabs>
                <w:tab w:val="decimal" w:pos="408"/>
              </w:tabs>
              <w:jc w:val="both"/>
              <w:rPr>
                <w:b/>
                <w:sz w:val="22"/>
                <w:szCs w:val="22"/>
              </w:rPr>
            </w:pPr>
            <w:r w:rsidRPr="00716C0D">
              <w:rPr>
                <w:b/>
                <w:sz w:val="22"/>
                <w:szCs w:val="22"/>
              </w:rPr>
              <w:t>(0.2)</w:t>
            </w:r>
          </w:p>
        </w:tc>
        <w:tc>
          <w:tcPr>
            <w:tcW w:w="737" w:type="dxa"/>
          </w:tcPr>
          <w:p w:rsidR="005B07E4" w:rsidRPr="00716C0D" w:rsidRDefault="005B07E4" w:rsidP="005B07E4">
            <w:pPr>
              <w:widowControl/>
              <w:tabs>
                <w:tab w:val="decimal" w:pos="408"/>
              </w:tabs>
              <w:jc w:val="both"/>
              <w:rPr>
                <w:b/>
                <w:kern w:val="0"/>
                <w:sz w:val="22"/>
                <w:szCs w:val="22"/>
              </w:rPr>
            </w:pPr>
            <w:r w:rsidRPr="00716C0D">
              <w:rPr>
                <w:b/>
                <w:kern w:val="0"/>
                <w:sz w:val="22"/>
                <w:szCs w:val="22"/>
              </w:rPr>
              <w:t>4.3</w:t>
            </w:r>
          </w:p>
          <w:p w:rsidR="005B07E4" w:rsidRPr="00716C0D" w:rsidRDefault="005B07E4" w:rsidP="005B07E4">
            <w:pPr>
              <w:widowControl/>
              <w:tabs>
                <w:tab w:val="decimal" w:pos="408"/>
              </w:tabs>
              <w:jc w:val="both"/>
              <w:rPr>
                <w:b/>
                <w:kern w:val="0"/>
                <w:sz w:val="22"/>
                <w:szCs w:val="22"/>
              </w:rPr>
            </w:pPr>
            <w:r w:rsidRPr="00716C0D">
              <w:rPr>
                <w:b/>
                <w:kern w:val="0"/>
                <w:sz w:val="22"/>
                <w:szCs w:val="22"/>
              </w:rPr>
              <w:t>(0.</w:t>
            </w:r>
            <w:r>
              <w:rPr>
                <w:b/>
                <w:kern w:val="0"/>
                <w:sz w:val="22"/>
                <w:szCs w:val="22"/>
              </w:rPr>
              <w:t>2</w:t>
            </w:r>
            <w:r w:rsidRPr="00716C0D">
              <w:rPr>
                <w:b/>
                <w:kern w:val="0"/>
                <w:sz w:val="22"/>
                <w:szCs w:val="22"/>
              </w:rPr>
              <w:t>)</w:t>
            </w:r>
          </w:p>
        </w:tc>
        <w:tc>
          <w:tcPr>
            <w:tcW w:w="737" w:type="dxa"/>
          </w:tcPr>
          <w:p w:rsidR="005B07E4" w:rsidRPr="00716C0D" w:rsidRDefault="005B07E4" w:rsidP="005B07E4">
            <w:pPr>
              <w:widowControl/>
              <w:tabs>
                <w:tab w:val="decimal" w:pos="408"/>
              </w:tabs>
              <w:jc w:val="both"/>
              <w:rPr>
                <w:b/>
                <w:kern w:val="0"/>
                <w:sz w:val="22"/>
                <w:szCs w:val="22"/>
              </w:rPr>
            </w:pPr>
            <w:r>
              <w:rPr>
                <w:b/>
                <w:kern w:val="0"/>
                <w:sz w:val="22"/>
                <w:szCs w:val="22"/>
              </w:rPr>
              <w:t>2.8</w:t>
            </w:r>
          </w:p>
          <w:p w:rsidR="005B07E4" w:rsidRPr="00716C0D" w:rsidRDefault="005B07E4" w:rsidP="005B07E4">
            <w:pPr>
              <w:widowControl/>
              <w:tabs>
                <w:tab w:val="decimal" w:pos="408"/>
              </w:tabs>
              <w:jc w:val="both"/>
              <w:rPr>
                <w:b/>
                <w:kern w:val="0"/>
                <w:sz w:val="22"/>
                <w:szCs w:val="22"/>
              </w:rPr>
            </w:pPr>
            <w:r w:rsidRPr="00716C0D">
              <w:rPr>
                <w:b/>
                <w:kern w:val="0"/>
                <w:sz w:val="22"/>
                <w:szCs w:val="22"/>
              </w:rPr>
              <w:t>(</w:t>
            </w:r>
            <w:r>
              <w:rPr>
                <w:b/>
                <w:kern w:val="0"/>
                <w:sz w:val="22"/>
                <w:szCs w:val="22"/>
              </w:rPr>
              <w:t>2.5</w:t>
            </w:r>
            <w:r w:rsidRPr="00716C0D">
              <w:rPr>
                <w:b/>
                <w:kern w:val="0"/>
                <w:sz w:val="22"/>
                <w:szCs w:val="22"/>
              </w:rPr>
              <w:t>)</w:t>
            </w:r>
          </w:p>
        </w:tc>
        <w:tc>
          <w:tcPr>
            <w:tcW w:w="737" w:type="dxa"/>
          </w:tcPr>
          <w:p w:rsidR="005B07E4" w:rsidRPr="005A20FE" w:rsidRDefault="005B07E4" w:rsidP="005B07E4">
            <w:pPr>
              <w:widowControl/>
              <w:tabs>
                <w:tab w:val="decimal" w:pos="408"/>
              </w:tabs>
              <w:jc w:val="both"/>
              <w:rPr>
                <w:b/>
                <w:kern w:val="0"/>
                <w:sz w:val="22"/>
                <w:szCs w:val="22"/>
              </w:rPr>
            </w:pPr>
            <w:r w:rsidRPr="005A20FE">
              <w:rPr>
                <w:b/>
                <w:kern w:val="0"/>
                <w:sz w:val="22"/>
                <w:szCs w:val="22"/>
              </w:rPr>
              <w:t>3.</w:t>
            </w:r>
            <w:r w:rsidR="00D85C91">
              <w:rPr>
                <w:b/>
                <w:kern w:val="0"/>
                <w:sz w:val="22"/>
                <w:szCs w:val="22"/>
              </w:rPr>
              <w:t>2</w:t>
            </w:r>
          </w:p>
          <w:p w:rsidR="005B07E4" w:rsidRPr="005A20FE" w:rsidRDefault="005B07E4" w:rsidP="00D85C91">
            <w:pPr>
              <w:widowControl/>
              <w:tabs>
                <w:tab w:val="decimal" w:pos="408"/>
              </w:tabs>
              <w:jc w:val="both"/>
              <w:rPr>
                <w:b/>
                <w:kern w:val="0"/>
                <w:sz w:val="22"/>
                <w:szCs w:val="22"/>
              </w:rPr>
            </w:pPr>
            <w:r w:rsidRPr="005A20FE">
              <w:rPr>
                <w:b/>
                <w:kern w:val="0"/>
                <w:sz w:val="22"/>
                <w:szCs w:val="22"/>
              </w:rPr>
              <w:t>(0.</w:t>
            </w:r>
            <w:r w:rsidR="00D85C91">
              <w:rPr>
                <w:b/>
                <w:kern w:val="0"/>
                <w:sz w:val="22"/>
                <w:szCs w:val="22"/>
              </w:rPr>
              <w:t>3</w:t>
            </w:r>
            <w:r w:rsidRPr="005A20FE">
              <w:rPr>
                <w:b/>
                <w:kern w:val="0"/>
                <w:sz w:val="22"/>
                <w:szCs w:val="22"/>
              </w:rPr>
              <w:t>)</w:t>
            </w:r>
          </w:p>
        </w:tc>
        <w:tc>
          <w:tcPr>
            <w:tcW w:w="737" w:type="dxa"/>
          </w:tcPr>
          <w:p w:rsidR="005B07E4" w:rsidRPr="001958D5" w:rsidRDefault="00D85C91" w:rsidP="005B07E4">
            <w:pPr>
              <w:widowControl/>
              <w:tabs>
                <w:tab w:val="decimal" w:pos="408"/>
              </w:tabs>
              <w:jc w:val="both"/>
              <w:rPr>
                <w:b/>
                <w:kern w:val="0"/>
                <w:sz w:val="22"/>
                <w:szCs w:val="22"/>
              </w:rPr>
            </w:pPr>
            <w:r w:rsidRPr="001958D5">
              <w:rPr>
                <w:b/>
                <w:kern w:val="0"/>
                <w:sz w:val="22"/>
                <w:szCs w:val="22"/>
              </w:rPr>
              <w:t>1.</w:t>
            </w:r>
            <w:r w:rsidR="00BC71DE" w:rsidRPr="001958D5">
              <w:rPr>
                <w:b/>
                <w:kern w:val="0"/>
                <w:sz w:val="22"/>
                <w:szCs w:val="22"/>
              </w:rPr>
              <w:t>8</w:t>
            </w:r>
          </w:p>
          <w:p w:rsidR="005B07E4" w:rsidRPr="001958D5" w:rsidRDefault="005B07E4" w:rsidP="00BC71DE">
            <w:pPr>
              <w:widowControl/>
              <w:tabs>
                <w:tab w:val="decimal" w:pos="408"/>
              </w:tabs>
              <w:jc w:val="both"/>
              <w:rPr>
                <w:b/>
                <w:kern w:val="0"/>
                <w:sz w:val="22"/>
                <w:szCs w:val="22"/>
              </w:rPr>
            </w:pPr>
            <w:r w:rsidRPr="001958D5">
              <w:rPr>
                <w:b/>
                <w:kern w:val="0"/>
                <w:sz w:val="22"/>
                <w:szCs w:val="22"/>
              </w:rPr>
              <w:t>(</w:t>
            </w:r>
            <w:r w:rsidR="00D85C91" w:rsidRPr="001958D5">
              <w:rPr>
                <w:b/>
                <w:kern w:val="0"/>
                <w:sz w:val="22"/>
                <w:szCs w:val="22"/>
              </w:rPr>
              <w:t>-1.</w:t>
            </w:r>
            <w:r w:rsidR="00BC71DE" w:rsidRPr="001958D5">
              <w:rPr>
                <w:b/>
                <w:kern w:val="0"/>
                <w:sz w:val="22"/>
                <w:szCs w:val="22"/>
              </w:rPr>
              <w:t>1</w:t>
            </w:r>
            <w:r w:rsidRPr="001958D5">
              <w:rPr>
                <w:b/>
                <w:kern w:val="0"/>
                <w:sz w:val="22"/>
                <w:szCs w:val="22"/>
              </w:rPr>
              <w:t>)</w:t>
            </w:r>
          </w:p>
        </w:tc>
      </w:tr>
      <w:tr w:rsidR="005B07E4" w:rsidRPr="00BF6DEC" w:rsidTr="005B07E4">
        <w:trPr>
          <w:jc w:val="center"/>
        </w:trPr>
        <w:tc>
          <w:tcPr>
            <w:tcW w:w="3402" w:type="dxa"/>
            <w:vAlign w:val="bottom"/>
          </w:tcPr>
          <w:p w:rsidR="005B07E4" w:rsidRPr="005256F7" w:rsidRDefault="005B07E4" w:rsidP="005B07E4">
            <w:pPr>
              <w:tabs>
                <w:tab w:val="left" w:pos="1080"/>
              </w:tabs>
              <w:spacing w:line="230" w:lineRule="exact"/>
              <w:ind w:right="-108"/>
              <w:jc w:val="both"/>
              <w:rPr>
                <w:i/>
                <w:sz w:val="22"/>
                <w:szCs w:val="22"/>
              </w:rPr>
            </w:pPr>
            <w:r w:rsidRPr="005256F7">
              <w:rPr>
                <w:i/>
                <w:sz w:val="22"/>
                <w:szCs w:val="22"/>
              </w:rPr>
              <w:t xml:space="preserve">Change in the main </w:t>
            </w:r>
          </w:p>
          <w:p w:rsidR="005B07E4" w:rsidRPr="005256F7" w:rsidRDefault="005B07E4" w:rsidP="005B07E4">
            <w:pPr>
              <w:tabs>
                <w:tab w:val="left" w:pos="1080"/>
              </w:tabs>
              <w:spacing w:line="230" w:lineRule="exact"/>
              <w:ind w:right="-108"/>
              <w:jc w:val="both"/>
              <w:rPr>
                <w:i/>
                <w:sz w:val="22"/>
                <w:szCs w:val="22"/>
                <w:u w:val="single"/>
              </w:rPr>
            </w:pPr>
            <w:r w:rsidRPr="005256F7">
              <w:rPr>
                <w:i/>
                <w:sz w:val="22"/>
                <w:szCs w:val="22"/>
                <w:u w:val="single"/>
              </w:rPr>
              <w:t>price indicators (%)</w:t>
            </w:r>
          </w:p>
          <w:p w:rsidR="005B07E4" w:rsidRPr="005256F7" w:rsidRDefault="005B07E4" w:rsidP="005B07E4">
            <w:pPr>
              <w:tabs>
                <w:tab w:val="left" w:pos="1080"/>
              </w:tabs>
              <w:spacing w:line="180" w:lineRule="exact"/>
              <w:ind w:right="-113"/>
              <w:jc w:val="both"/>
              <w:rPr>
                <w:i/>
                <w:sz w:val="22"/>
                <w:szCs w:val="22"/>
              </w:rPr>
            </w:pPr>
            <w:r w:rsidRPr="005256F7">
              <w:rPr>
                <w:i/>
                <w:sz w:val="22"/>
                <w:szCs w:val="22"/>
              </w:rPr>
              <w:t xml:space="preserve"> </w:t>
            </w:r>
          </w:p>
        </w:tc>
        <w:tc>
          <w:tcPr>
            <w:tcW w:w="737" w:type="dxa"/>
          </w:tcPr>
          <w:p w:rsidR="005B07E4" w:rsidRPr="00F3534C" w:rsidRDefault="005B07E4" w:rsidP="005B07E4">
            <w:pPr>
              <w:pStyle w:val="EndnoteText"/>
              <w:tabs>
                <w:tab w:val="decimal" w:pos="408"/>
              </w:tabs>
              <w:spacing w:line="230" w:lineRule="exact"/>
              <w:jc w:val="both"/>
              <w:rPr>
                <w:rFonts w:ascii="Times New Roman"/>
                <w:b/>
                <w:sz w:val="22"/>
                <w:szCs w:val="22"/>
                <w:lang w:val="en-GB"/>
              </w:rPr>
            </w:pPr>
          </w:p>
        </w:tc>
        <w:tc>
          <w:tcPr>
            <w:tcW w:w="737" w:type="dxa"/>
          </w:tcPr>
          <w:p w:rsidR="005B07E4" w:rsidRPr="00716C0D" w:rsidRDefault="005B07E4" w:rsidP="005B07E4">
            <w:pPr>
              <w:pStyle w:val="EndnoteText"/>
              <w:tabs>
                <w:tab w:val="decimal" w:pos="408"/>
              </w:tabs>
              <w:spacing w:line="230" w:lineRule="exact"/>
              <w:jc w:val="both"/>
              <w:rPr>
                <w:rFonts w:ascii="Times New Roman"/>
                <w:b/>
                <w:sz w:val="22"/>
                <w:szCs w:val="22"/>
                <w:lang w:val="en-GB"/>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5A20FE" w:rsidRDefault="005B07E4" w:rsidP="005B07E4">
            <w:pPr>
              <w:pStyle w:val="EndnoteText"/>
              <w:tabs>
                <w:tab w:val="decimal" w:pos="326"/>
              </w:tabs>
              <w:jc w:val="both"/>
              <w:rPr>
                <w:rFonts w:ascii="Times New Roman"/>
                <w:b/>
                <w:sz w:val="22"/>
                <w:szCs w:val="22"/>
                <w:lang w:val="en-GB"/>
              </w:rPr>
            </w:pPr>
          </w:p>
        </w:tc>
        <w:tc>
          <w:tcPr>
            <w:tcW w:w="737" w:type="dxa"/>
          </w:tcPr>
          <w:p w:rsidR="005B07E4" w:rsidRPr="001958D5" w:rsidRDefault="005B07E4" w:rsidP="005B07E4">
            <w:pPr>
              <w:pStyle w:val="EndnoteText"/>
              <w:tabs>
                <w:tab w:val="decimal" w:pos="326"/>
              </w:tabs>
              <w:jc w:val="both"/>
              <w:rPr>
                <w:rFonts w:ascii="Times New Roman"/>
                <w:b/>
                <w:sz w:val="22"/>
                <w:szCs w:val="22"/>
                <w:lang w:val="en-GB"/>
              </w:rPr>
            </w:pPr>
          </w:p>
        </w:tc>
      </w:tr>
      <w:tr w:rsidR="005B07E4" w:rsidRPr="00BF6DEC" w:rsidTr="005B07E4">
        <w:trPr>
          <w:jc w:val="center"/>
        </w:trPr>
        <w:tc>
          <w:tcPr>
            <w:tcW w:w="3402" w:type="dxa"/>
          </w:tcPr>
          <w:p w:rsidR="005B07E4" w:rsidRPr="005256F7" w:rsidRDefault="005B07E4" w:rsidP="005B07E4">
            <w:pPr>
              <w:tabs>
                <w:tab w:val="left" w:pos="1080"/>
              </w:tabs>
              <w:spacing w:line="230" w:lineRule="exact"/>
              <w:ind w:right="-108"/>
              <w:rPr>
                <w:b/>
                <w:sz w:val="22"/>
                <w:szCs w:val="22"/>
              </w:rPr>
            </w:pPr>
            <w:r w:rsidRPr="005256F7">
              <w:rPr>
                <w:b/>
                <w:sz w:val="22"/>
                <w:szCs w:val="22"/>
              </w:rPr>
              <w:t>GDP deflator</w:t>
            </w:r>
          </w:p>
        </w:tc>
        <w:tc>
          <w:tcPr>
            <w:tcW w:w="737" w:type="dxa"/>
          </w:tcPr>
          <w:p w:rsidR="005B07E4" w:rsidRPr="00F3534C" w:rsidRDefault="005B07E4" w:rsidP="005B07E4">
            <w:pPr>
              <w:widowControl/>
              <w:tabs>
                <w:tab w:val="decimal" w:pos="408"/>
              </w:tabs>
              <w:jc w:val="both"/>
              <w:rPr>
                <w:b/>
                <w:kern w:val="0"/>
                <w:sz w:val="22"/>
                <w:szCs w:val="22"/>
              </w:rPr>
            </w:pPr>
            <w:r>
              <w:rPr>
                <w:b/>
                <w:kern w:val="0"/>
                <w:sz w:val="22"/>
                <w:szCs w:val="22"/>
              </w:rPr>
              <w:t>1.7</w:t>
            </w:r>
          </w:p>
        </w:tc>
        <w:tc>
          <w:tcPr>
            <w:tcW w:w="737" w:type="dxa"/>
          </w:tcPr>
          <w:p w:rsidR="005B07E4" w:rsidRPr="00716C0D" w:rsidRDefault="005B07E4" w:rsidP="005B07E4">
            <w:pPr>
              <w:widowControl/>
              <w:tabs>
                <w:tab w:val="decimal" w:pos="408"/>
              </w:tabs>
              <w:jc w:val="both"/>
              <w:rPr>
                <w:b/>
                <w:kern w:val="0"/>
                <w:sz w:val="22"/>
                <w:szCs w:val="22"/>
              </w:rPr>
            </w:pPr>
            <w:r>
              <w:rPr>
                <w:b/>
                <w:kern w:val="0"/>
                <w:sz w:val="22"/>
                <w:szCs w:val="22"/>
              </w:rPr>
              <w:t>2.8</w:t>
            </w:r>
          </w:p>
        </w:tc>
        <w:tc>
          <w:tcPr>
            <w:tcW w:w="737" w:type="dxa"/>
          </w:tcPr>
          <w:p w:rsidR="005B07E4" w:rsidRPr="00716C0D" w:rsidRDefault="005B07E4" w:rsidP="005B07E4">
            <w:pPr>
              <w:widowControl/>
              <w:tabs>
                <w:tab w:val="decimal" w:pos="408"/>
              </w:tabs>
              <w:jc w:val="both"/>
              <w:rPr>
                <w:b/>
                <w:kern w:val="0"/>
                <w:sz w:val="22"/>
                <w:szCs w:val="22"/>
              </w:rPr>
            </w:pPr>
            <w:r w:rsidRPr="00716C0D">
              <w:rPr>
                <w:b/>
                <w:kern w:val="0"/>
                <w:sz w:val="22"/>
                <w:szCs w:val="22"/>
              </w:rPr>
              <w:t>2.</w:t>
            </w:r>
            <w:r>
              <w:rPr>
                <w:b/>
                <w:kern w:val="0"/>
                <w:sz w:val="22"/>
                <w:szCs w:val="22"/>
              </w:rPr>
              <w:t>1</w:t>
            </w:r>
          </w:p>
          <w:p w:rsidR="005B07E4" w:rsidRPr="00716C0D" w:rsidRDefault="005B07E4" w:rsidP="005B07E4">
            <w:pPr>
              <w:widowControl/>
              <w:tabs>
                <w:tab w:val="decimal" w:pos="408"/>
              </w:tabs>
              <w:jc w:val="both"/>
              <w:rPr>
                <w:b/>
                <w:kern w:val="0"/>
                <w:sz w:val="22"/>
                <w:szCs w:val="22"/>
              </w:rPr>
            </w:pPr>
            <w:r w:rsidRPr="00716C0D">
              <w:rPr>
                <w:b/>
                <w:kern w:val="0"/>
                <w:sz w:val="22"/>
                <w:szCs w:val="22"/>
              </w:rPr>
              <w:t>(</w:t>
            </w:r>
            <w:r>
              <w:rPr>
                <w:b/>
                <w:kern w:val="0"/>
                <w:sz w:val="22"/>
                <w:szCs w:val="22"/>
              </w:rPr>
              <w:t>0.8</w:t>
            </w:r>
            <w:r w:rsidRPr="00716C0D">
              <w:rPr>
                <w:b/>
                <w:kern w:val="0"/>
                <w:sz w:val="22"/>
                <w:szCs w:val="22"/>
              </w:rPr>
              <w:t>)</w:t>
            </w:r>
          </w:p>
        </w:tc>
        <w:tc>
          <w:tcPr>
            <w:tcW w:w="737" w:type="dxa"/>
          </w:tcPr>
          <w:p w:rsidR="005B07E4" w:rsidRPr="00716C0D" w:rsidRDefault="005B07E4" w:rsidP="005B07E4">
            <w:pPr>
              <w:widowControl/>
              <w:tabs>
                <w:tab w:val="decimal" w:pos="408"/>
              </w:tabs>
              <w:jc w:val="both"/>
              <w:rPr>
                <w:b/>
                <w:kern w:val="0"/>
                <w:sz w:val="22"/>
                <w:szCs w:val="22"/>
              </w:rPr>
            </w:pPr>
            <w:r>
              <w:rPr>
                <w:b/>
                <w:kern w:val="0"/>
                <w:sz w:val="22"/>
                <w:szCs w:val="22"/>
              </w:rPr>
              <w:t>2.7</w:t>
            </w:r>
          </w:p>
          <w:p w:rsidR="005B07E4" w:rsidRPr="00716C0D" w:rsidRDefault="005B07E4" w:rsidP="005B07E4">
            <w:pPr>
              <w:widowControl/>
              <w:tabs>
                <w:tab w:val="decimal" w:pos="408"/>
              </w:tabs>
              <w:jc w:val="both"/>
              <w:rPr>
                <w:b/>
                <w:kern w:val="0"/>
                <w:sz w:val="22"/>
                <w:szCs w:val="22"/>
              </w:rPr>
            </w:pPr>
            <w:r w:rsidRPr="00716C0D">
              <w:rPr>
                <w:b/>
                <w:kern w:val="0"/>
                <w:sz w:val="22"/>
                <w:szCs w:val="22"/>
              </w:rPr>
              <w:t>(</w:t>
            </w:r>
            <w:r>
              <w:rPr>
                <w:b/>
                <w:kern w:val="0"/>
                <w:sz w:val="22"/>
                <w:szCs w:val="22"/>
              </w:rPr>
              <w:t>0.8</w:t>
            </w:r>
            <w:r w:rsidRPr="00716C0D">
              <w:rPr>
                <w:b/>
                <w:kern w:val="0"/>
                <w:sz w:val="22"/>
                <w:szCs w:val="22"/>
              </w:rPr>
              <w:t>)</w:t>
            </w:r>
          </w:p>
        </w:tc>
        <w:tc>
          <w:tcPr>
            <w:tcW w:w="737" w:type="dxa"/>
          </w:tcPr>
          <w:p w:rsidR="005B07E4" w:rsidRPr="00716C0D" w:rsidRDefault="005B07E4" w:rsidP="005B07E4">
            <w:pPr>
              <w:widowControl/>
              <w:tabs>
                <w:tab w:val="decimal" w:pos="408"/>
              </w:tabs>
              <w:jc w:val="both"/>
              <w:rPr>
                <w:b/>
                <w:kern w:val="0"/>
                <w:sz w:val="22"/>
                <w:szCs w:val="22"/>
              </w:rPr>
            </w:pPr>
            <w:r w:rsidRPr="00716C0D">
              <w:rPr>
                <w:b/>
                <w:kern w:val="0"/>
                <w:sz w:val="22"/>
                <w:szCs w:val="22"/>
              </w:rPr>
              <w:t>2.</w:t>
            </w:r>
            <w:r>
              <w:rPr>
                <w:b/>
                <w:kern w:val="0"/>
                <w:sz w:val="22"/>
                <w:szCs w:val="22"/>
              </w:rPr>
              <w:t>4</w:t>
            </w:r>
          </w:p>
          <w:p w:rsidR="005B07E4" w:rsidRPr="00716C0D" w:rsidRDefault="005B07E4" w:rsidP="005B07E4">
            <w:pPr>
              <w:widowControl/>
              <w:tabs>
                <w:tab w:val="decimal" w:pos="408"/>
              </w:tabs>
              <w:jc w:val="both"/>
              <w:rPr>
                <w:b/>
                <w:kern w:val="0"/>
                <w:sz w:val="22"/>
                <w:szCs w:val="22"/>
              </w:rPr>
            </w:pPr>
            <w:r w:rsidRPr="00716C0D">
              <w:rPr>
                <w:b/>
                <w:kern w:val="0"/>
                <w:sz w:val="22"/>
                <w:szCs w:val="22"/>
              </w:rPr>
              <w:t>(1.6)</w:t>
            </w:r>
          </w:p>
        </w:tc>
        <w:tc>
          <w:tcPr>
            <w:tcW w:w="737" w:type="dxa"/>
          </w:tcPr>
          <w:p w:rsidR="005B07E4" w:rsidRPr="00716C0D" w:rsidRDefault="005B07E4" w:rsidP="005B07E4">
            <w:pPr>
              <w:widowControl/>
              <w:tabs>
                <w:tab w:val="decimal" w:pos="408"/>
              </w:tabs>
              <w:jc w:val="both"/>
              <w:rPr>
                <w:b/>
                <w:kern w:val="0"/>
                <w:sz w:val="22"/>
                <w:szCs w:val="22"/>
              </w:rPr>
            </w:pPr>
            <w:r>
              <w:rPr>
                <w:b/>
                <w:kern w:val="0"/>
                <w:sz w:val="22"/>
                <w:szCs w:val="22"/>
              </w:rPr>
              <w:t>3.8</w:t>
            </w:r>
          </w:p>
          <w:p w:rsidR="005B07E4" w:rsidRPr="00716C0D" w:rsidRDefault="005B07E4" w:rsidP="005B07E4">
            <w:pPr>
              <w:widowControl/>
              <w:tabs>
                <w:tab w:val="decimal" w:pos="408"/>
              </w:tabs>
              <w:jc w:val="both"/>
              <w:rPr>
                <w:b/>
                <w:kern w:val="0"/>
                <w:sz w:val="22"/>
                <w:szCs w:val="22"/>
              </w:rPr>
            </w:pPr>
            <w:r w:rsidRPr="00716C0D">
              <w:rPr>
                <w:b/>
                <w:kern w:val="0"/>
                <w:sz w:val="22"/>
                <w:szCs w:val="22"/>
              </w:rPr>
              <w:t>(0.</w:t>
            </w:r>
            <w:r>
              <w:rPr>
                <w:b/>
                <w:kern w:val="0"/>
                <w:sz w:val="22"/>
                <w:szCs w:val="22"/>
              </w:rPr>
              <w:t>6</w:t>
            </w:r>
            <w:r w:rsidRPr="00716C0D">
              <w:rPr>
                <w:b/>
                <w:kern w:val="0"/>
                <w:sz w:val="22"/>
                <w:szCs w:val="22"/>
              </w:rPr>
              <w:t>)</w:t>
            </w:r>
          </w:p>
        </w:tc>
        <w:tc>
          <w:tcPr>
            <w:tcW w:w="737" w:type="dxa"/>
          </w:tcPr>
          <w:p w:rsidR="005B07E4" w:rsidRPr="00716C0D" w:rsidRDefault="005B07E4" w:rsidP="005B07E4">
            <w:pPr>
              <w:widowControl/>
              <w:tabs>
                <w:tab w:val="decimal" w:pos="408"/>
              </w:tabs>
              <w:jc w:val="both"/>
              <w:rPr>
                <w:b/>
                <w:kern w:val="0"/>
                <w:sz w:val="22"/>
                <w:szCs w:val="22"/>
              </w:rPr>
            </w:pPr>
            <w:r>
              <w:rPr>
                <w:b/>
                <w:kern w:val="0"/>
                <w:sz w:val="22"/>
                <w:szCs w:val="22"/>
              </w:rPr>
              <w:t>3.8</w:t>
            </w:r>
          </w:p>
          <w:p w:rsidR="005B07E4" w:rsidRPr="00716C0D" w:rsidRDefault="005B07E4" w:rsidP="005B07E4">
            <w:pPr>
              <w:widowControl/>
              <w:tabs>
                <w:tab w:val="decimal" w:pos="408"/>
              </w:tabs>
              <w:jc w:val="both"/>
              <w:rPr>
                <w:b/>
                <w:kern w:val="0"/>
                <w:sz w:val="22"/>
                <w:szCs w:val="22"/>
              </w:rPr>
            </w:pPr>
            <w:r w:rsidRPr="00716C0D">
              <w:rPr>
                <w:b/>
                <w:kern w:val="0"/>
                <w:sz w:val="22"/>
                <w:szCs w:val="22"/>
              </w:rPr>
              <w:t>(</w:t>
            </w:r>
            <w:r>
              <w:rPr>
                <w:b/>
                <w:kern w:val="0"/>
                <w:sz w:val="22"/>
                <w:szCs w:val="22"/>
              </w:rPr>
              <w:t>0.8</w:t>
            </w:r>
            <w:r w:rsidRPr="00716C0D">
              <w:rPr>
                <w:b/>
                <w:kern w:val="0"/>
                <w:sz w:val="22"/>
                <w:szCs w:val="22"/>
              </w:rPr>
              <w:t>)</w:t>
            </w:r>
          </w:p>
        </w:tc>
        <w:tc>
          <w:tcPr>
            <w:tcW w:w="737" w:type="dxa"/>
          </w:tcPr>
          <w:p w:rsidR="005B07E4" w:rsidRPr="005A20FE" w:rsidRDefault="005B07E4" w:rsidP="005B07E4">
            <w:pPr>
              <w:widowControl/>
              <w:tabs>
                <w:tab w:val="decimal" w:pos="408"/>
              </w:tabs>
              <w:jc w:val="both"/>
              <w:rPr>
                <w:b/>
                <w:kern w:val="0"/>
                <w:sz w:val="22"/>
                <w:szCs w:val="22"/>
              </w:rPr>
            </w:pPr>
            <w:r w:rsidRPr="005A20FE">
              <w:rPr>
                <w:b/>
                <w:kern w:val="0"/>
                <w:sz w:val="22"/>
                <w:szCs w:val="22"/>
              </w:rPr>
              <w:t>4.</w:t>
            </w:r>
            <w:r w:rsidR="00BC71DE">
              <w:rPr>
                <w:b/>
                <w:kern w:val="0"/>
                <w:sz w:val="22"/>
                <w:szCs w:val="22"/>
              </w:rPr>
              <w:t>3</w:t>
            </w:r>
          </w:p>
          <w:p w:rsidR="005B07E4" w:rsidRPr="005A20FE" w:rsidRDefault="005B07E4" w:rsidP="001958D5">
            <w:pPr>
              <w:widowControl/>
              <w:tabs>
                <w:tab w:val="decimal" w:pos="408"/>
              </w:tabs>
              <w:jc w:val="both"/>
              <w:rPr>
                <w:b/>
                <w:kern w:val="0"/>
                <w:sz w:val="22"/>
                <w:szCs w:val="22"/>
              </w:rPr>
            </w:pPr>
            <w:r w:rsidRPr="005A20FE">
              <w:rPr>
                <w:b/>
                <w:kern w:val="0"/>
                <w:sz w:val="22"/>
                <w:szCs w:val="22"/>
              </w:rPr>
              <w:t>(1.</w:t>
            </w:r>
            <w:r w:rsidR="001958D5">
              <w:rPr>
                <w:b/>
                <w:kern w:val="0"/>
                <w:sz w:val="22"/>
                <w:szCs w:val="22"/>
              </w:rPr>
              <w:t>2</w:t>
            </w:r>
            <w:r w:rsidRPr="005A20FE">
              <w:rPr>
                <w:b/>
                <w:kern w:val="0"/>
                <w:sz w:val="22"/>
                <w:szCs w:val="22"/>
              </w:rPr>
              <w:t>)</w:t>
            </w:r>
          </w:p>
        </w:tc>
        <w:tc>
          <w:tcPr>
            <w:tcW w:w="737" w:type="dxa"/>
          </w:tcPr>
          <w:p w:rsidR="005B07E4" w:rsidRPr="001958D5" w:rsidRDefault="001958D5" w:rsidP="005B07E4">
            <w:pPr>
              <w:widowControl/>
              <w:tabs>
                <w:tab w:val="decimal" w:pos="408"/>
              </w:tabs>
              <w:jc w:val="both"/>
              <w:rPr>
                <w:b/>
                <w:kern w:val="0"/>
                <w:sz w:val="22"/>
                <w:szCs w:val="22"/>
              </w:rPr>
            </w:pPr>
            <w:r w:rsidRPr="001958D5">
              <w:rPr>
                <w:b/>
                <w:kern w:val="0"/>
                <w:sz w:val="22"/>
                <w:szCs w:val="22"/>
              </w:rPr>
              <w:t>4.2</w:t>
            </w:r>
          </w:p>
          <w:p w:rsidR="005B07E4" w:rsidRPr="001958D5" w:rsidRDefault="005B07E4" w:rsidP="001958D5">
            <w:pPr>
              <w:widowControl/>
              <w:tabs>
                <w:tab w:val="decimal" w:pos="408"/>
              </w:tabs>
              <w:jc w:val="both"/>
              <w:rPr>
                <w:b/>
                <w:kern w:val="0"/>
                <w:sz w:val="22"/>
                <w:szCs w:val="22"/>
              </w:rPr>
            </w:pPr>
            <w:r w:rsidRPr="001958D5">
              <w:rPr>
                <w:b/>
                <w:kern w:val="0"/>
                <w:sz w:val="22"/>
                <w:szCs w:val="22"/>
              </w:rPr>
              <w:t>(1.</w:t>
            </w:r>
            <w:r w:rsidR="001958D5" w:rsidRPr="001958D5">
              <w:rPr>
                <w:b/>
                <w:kern w:val="0"/>
                <w:sz w:val="22"/>
                <w:szCs w:val="22"/>
              </w:rPr>
              <w:t>4</w:t>
            </w:r>
            <w:r w:rsidRPr="001958D5">
              <w:rPr>
                <w:b/>
                <w:kern w:val="0"/>
                <w:sz w:val="22"/>
                <w:szCs w:val="22"/>
              </w:rPr>
              <w:t>)</w:t>
            </w:r>
          </w:p>
        </w:tc>
      </w:tr>
      <w:tr w:rsidR="005B07E4" w:rsidRPr="00BF6DEC" w:rsidTr="005B07E4">
        <w:trPr>
          <w:trHeight w:val="277"/>
          <w:jc w:val="center"/>
        </w:trPr>
        <w:tc>
          <w:tcPr>
            <w:tcW w:w="3402" w:type="dxa"/>
            <w:vAlign w:val="center"/>
          </w:tcPr>
          <w:p w:rsidR="005B07E4" w:rsidRPr="005256F7" w:rsidRDefault="005B07E4" w:rsidP="005B07E4">
            <w:pPr>
              <w:tabs>
                <w:tab w:val="left" w:pos="1080"/>
              </w:tabs>
              <w:snapToGrid w:val="0"/>
              <w:ind w:right="-108"/>
              <w:jc w:val="both"/>
              <w:rPr>
                <w:b/>
                <w:sz w:val="22"/>
                <w:szCs w:val="22"/>
              </w:rPr>
            </w:pPr>
            <w:r w:rsidRPr="005256F7">
              <w:rPr>
                <w:b/>
                <w:sz w:val="22"/>
                <w:szCs w:val="22"/>
              </w:rPr>
              <w:t>Composite CPI</w:t>
            </w:r>
          </w:p>
        </w:tc>
        <w:tc>
          <w:tcPr>
            <w:tcW w:w="737" w:type="dxa"/>
          </w:tcPr>
          <w:p w:rsidR="005B07E4" w:rsidRPr="00F3534C" w:rsidRDefault="005B07E4" w:rsidP="005B07E4">
            <w:pPr>
              <w:widowControl/>
              <w:tabs>
                <w:tab w:val="decimal" w:pos="408"/>
              </w:tabs>
              <w:jc w:val="both"/>
              <w:rPr>
                <w:b/>
                <w:kern w:val="0"/>
                <w:sz w:val="22"/>
                <w:szCs w:val="22"/>
              </w:rPr>
            </w:pPr>
          </w:p>
        </w:tc>
        <w:tc>
          <w:tcPr>
            <w:tcW w:w="737" w:type="dxa"/>
          </w:tcPr>
          <w:p w:rsidR="005B07E4" w:rsidRPr="00716C0D" w:rsidRDefault="005B07E4" w:rsidP="005B07E4">
            <w:pPr>
              <w:widowControl/>
              <w:tabs>
                <w:tab w:val="decimal" w:pos="408"/>
              </w:tabs>
              <w:jc w:val="both"/>
              <w:rPr>
                <w:b/>
                <w:kern w:val="0"/>
                <w:sz w:val="22"/>
                <w:szCs w:val="22"/>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716C0D" w:rsidRDefault="005B07E4" w:rsidP="005B07E4">
            <w:pPr>
              <w:pStyle w:val="EndnoteText"/>
              <w:tabs>
                <w:tab w:val="decimal" w:pos="326"/>
              </w:tabs>
              <w:jc w:val="both"/>
              <w:rPr>
                <w:rFonts w:ascii="Times New Roman"/>
                <w:b/>
                <w:sz w:val="22"/>
                <w:szCs w:val="22"/>
                <w:lang w:val="en-GB"/>
              </w:rPr>
            </w:pPr>
          </w:p>
        </w:tc>
        <w:tc>
          <w:tcPr>
            <w:tcW w:w="737" w:type="dxa"/>
          </w:tcPr>
          <w:p w:rsidR="005B07E4" w:rsidRPr="005A20FE" w:rsidRDefault="005B07E4" w:rsidP="005B07E4">
            <w:pPr>
              <w:pStyle w:val="EndnoteText"/>
              <w:tabs>
                <w:tab w:val="decimal" w:pos="326"/>
              </w:tabs>
              <w:jc w:val="both"/>
              <w:rPr>
                <w:rFonts w:ascii="Times New Roman"/>
                <w:b/>
                <w:color w:val="FF0000"/>
                <w:sz w:val="22"/>
                <w:szCs w:val="22"/>
                <w:lang w:val="en-GB"/>
              </w:rPr>
            </w:pPr>
          </w:p>
        </w:tc>
        <w:tc>
          <w:tcPr>
            <w:tcW w:w="737" w:type="dxa"/>
          </w:tcPr>
          <w:p w:rsidR="005B07E4" w:rsidRPr="001958D5" w:rsidRDefault="005B07E4" w:rsidP="005B07E4">
            <w:pPr>
              <w:pStyle w:val="EndnoteText"/>
              <w:tabs>
                <w:tab w:val="decimal" w:pos="326"/>
              </w:tabs>
              <w:jc w:val="both"/>
              <w:rPr>
                <w:rFonts w:ascii="Times New Roman"/>
                <w:b/>
                <w:color w:val="FF0000"/>
                <w:sz w:val="22"/>
                <w:szCs w:val="22"/>
                <w:lang w:val="en-GB"/>
              </w:rPr>
            </w:pPr>
          </w:p>
        </w:tc>
      </w:tr>
      <w:tr w:rsidR="005B07E4" w:rsidRPr="00BF6DEC" w:rsidTr="005B07E4">
        <w:trPr>
          <w:jc w:val="center"/>
        </w:trPr>
        <w:tc>
          <w:tcPr>
            <w:tcW w:w="3402" w:type="dxa"/>
          </w:tcPr>
          <w:p w:rsidR="005B07E4" w:rsidRPr="005256F7" w:rsidRDefault="005B07E4" w:rsidP="005B07E4">
            <w:pPr>
              <w:tabs>
                <w:tab w:val="left" w:pos="1080"/>
              </w:tabs>
              <w:snapToGrid w:val="0"/>
              <w:spacing w:line="360" w:lineRule="auto"/>
              <w:ind w:left="142" w:right="-108"/>
              <w:rPr>
                <w:b/>
                <w:sz w:val="22"/>
                <w:szCs w:val="22"/>
              </w:rPr>
            </w:pPr>
            <w:r w:rsidRPr="005256F7">
              <w:rPr>
                <w:b/>
                <w:sz w:val="22"/>
                <w:szCs w:val="22"/>
              </w:rPr>
              <w:t>Headline</w:t>
            </w:r>
          </w:p>
        </w:tc>
        <w:tc>
          <w:tcPr>
            <w:tcW w:w="737" w:type="dxa"/>
          </w:tcPr>
          <w:p w:rsidR="005B07E4" w:rsidRPr="00C83A7C" w:rsidRDefault="005B07E4" w:rsidP="005B07E4">
            <w:pPr>
              <w:tabs>
                <w:tab w:val="decimal" w:pos="408"/>
              </w:tabs>
              <w:jc w:val="both"/>
              <w:rPr>
                <w:b/>
                <w:sz w:val="22"/>
                <w:szCs w:val="22"/>
                <w:lang w:eastAsia="zh-HK"/>
              </w:rPr>
            </w:pPr>
            <w:r>
              <w:rPr>
                <w:rFonts w:hint="eastAsia"/>
                <w:b/>
                <w:sz w:val="22"/>
                <w:szCs w:val="22"/>
              </w:rPr>
              <w:t>1.9</w:t>
            </w:r>
          </w:p>
        </w:tc>
        <w:tc>
          <w:tcPr>
            <w:tcW w:w="737" w:type="dxa"/>
          </w:tcPr>
          <w:p w:rsidR="005B07E4" w:rsidRPr="00716C0D" w:rsidRDefault="005B07E4" w:rsidP="005B07E4">
            <w:pPr>
              <w:widowControl/>
              <w:tabs>
                <w:tab w:val="decimal" w:pos="408"/>
              </w:tabs>
              <w:jc w:val="both"/>
              <w:rPr>
                <w:b/>
                <w:kern w:val="0"/>
                <w:sz w:val="22"/>
                <w:szCs w:val="22"/>
                <w:lang w:eastAsia="zh-HK"/>
              </w:rPr>
            </w:pPr>
            <w:r w:rsidRPr="00716C0D">
              <w:rPr>
                <w:b/>
                <w:kern w:val="0"/>
                <w:sz w:val="22"/>
                <w:szCs w:val="22"/>
                <w:lang w:eastAsia="zh-HK"/>
              </w:rPr>
              <w:t>2.1</w:t>
            </w:r>
          </w:p>
        </w:tc>
        <w:tc>
          <w:tcPr>
            <w:tcW w:w="737" w:type="dxa"/>
          </w:tcPr>
          <w:p w:rsidR="005B07E4" w:rsidRPr="00716C0D" w:rsidRDefault="005B07E4" w:rsidP="005B07E4">
            <w:pPr>
              <w:tabs>
                <w:tab w:val="decimal" w:pos="408"/>
              </w:tabs>
              <w:jc w:val="both"/>
              <w:rPr>
                <w:b/>
                <w:sz w:val="22"/>
                <w:szCs w:val="22"/>
              </w:rPr>
            </w:pPr>
            <w:r w:rsidRPr="00716C0D">
              <w:rPr>
                <w:b/>
                <w:sz w:val="22"/>
                <w:szCs w:val="22"/>
              </w:rPr>
              <w:t>1.</w:t>
            </w:r>
            <w:r w:rsidRPr="00716C0D">
              <w:rPr>
                <w:rFonts w:hint="eastAsia"/>
                <w:b/>
                <w:sz w:val="22"/>
                <w:szCs w:val="22"/>
              </w:rPr>
              <w:t>9</w:t>
            </w:r>
          </w:p>
          <w:p w:rsidR="005B07E4" w:rsidRPr="00716C0D" w:rsidRDefault="005B07E4" w:rsidP="005B07E4">
            <w:pPr>
              <w:tabs>
                <w:tab w:val="decimal" w:pos="408"/>
              </w:tabs>
              <w:jc w:val="both"/>
              <w:rPr>
                <w:b/>
                <w:sz w:val="22"/>
                <w:szCs w:val="22"/>
              </w:rPr>
            </w:pPr>
            <w:r w:rsidRPr="00716C0D">
              <w:rPr>
                <w:b/>
                <w:sz w:val="22"/>
                <w:szCs w:val="22"/>
              </w:rPr>
              <w:t>(0.6)</w:t>
            </w:r>
          </w:p>
        </w:tc>
        <w:tc>
          <w:tcPr>
            <w:tcW w:w="737" w:type="dxa"/>
          </w:tcPr>
          <w:p w:rsidR="005B07E4" w:rsidRPr="00716C0D" w:rsidRDefault="005B07E4" w:rsidP="005B07E4">
            <w:pPr>
              <w:tabs>
                <w:tab w:val="decimal" w:pos="408"/>
              </w:tabs>
              <w:jc w:val="both"/>
              <w:rPr>
                <w:b/>
                <w:sz w:val="22"/>
                <w:szCs w:val="22"/>
              </w:rPr>
            </w:pPr>
            <w:r w:rsidRPr="00716C0D">
              <w:rPr>
                <w:b/>
                <w:sz w:val="22"/>
                <w:szCs w:val="22"/>
              </w:rPr>
              <w:t>2.0</w:t>
            </w:r>
          </w:p>
          <w:p w:rsidR="005B07E4" w:rsidRPr="00716C0D" w:rsidRDefault="005B07E4" w:rsidP="005B07E4">
            <w:pPr>
              <w:tabs>
                <w:tab w:val="decimal" w:pos="408"/>
              </w:tabs>
              <w:jc w:val="both"/>
              <w:rPr>
                <w:b/>
                <w:sz w:val="22"/>
                <w:szCs w:val="22"/>
              </w:rPr>
            </w:pPr>
            <w:r w:rsidRPr="00716C0D">
              <w:rPr>
                <w:b/>
                <w:sz w:val="22"/>
                <w:szCs w:val="22"/>
              </w:rPr>
              <w:t>(0.2)</w:t>
            </w:r>
          </w:p>
        </w:tc>
        <w:tc>
          <w:tcPr>
            <w:tcW w:w="737" w:type="dxa"/>
          </w:tcPr>
          <w:p w:rsidR="005B07E4" w:rsidRPr="00716C0D" w:rsidRDefault="005B07E4" w:rsidP="005B07E4">
            <w:pPr>
              <w:tabs>
                <w:tab w:val="decimal" w:pos="408"/>
              </w:tabs>
              <w:jc w:val="both"/>
              <w:rPr>
                <w:b/>
                <w:sz w:val="22"/>
                <w:szCs w:val="22"/>
              </w:rPr>
            </w:pPr>
            <w:r w:rsidRPr="00716C0D">
              <w:rPr>
                <w:b/>
                <w:sz w:val="22"/>
                <w:szCs w:val="22"/>
              </w:rPr>
              <w:t>1.9</w:t>
            </w:r>
          </w:p>
          <w:p w:rsidR="005B07E4" w:rsidRPr="00716C0D" w:rsidRDefault="005B07E4" w:rsidP="005B07E4">
            <w:pPr>
              <w:tabs>
                <w:tab w:val="decimal" w:pos="408"/>
              </w:tabs>
              <w:jc w:val="both"/>
              <w:rPr>
                <w:b/>
                <w:sz w:val="22"/>
                <w:szCs w:val="22"/>
              </w:rPr>
            </w:pPr>
            <w:r w:rsidRPr="00716C0D">
              <w:rPr>
                <w:b/>
                <w:sz w:val="22"/>
                <w:szCs w:val="22"/>
              </w:rPr>
              <w:t>(0.4)</w:t>
            </w:r>
          </w:p>
        </w:tc>
        <w:tc>
          <w:tcPr>
            <w:tcW w:w="737" w:type="dxa"/>
          </w:tcPr>
          <w:p w:rsidR="005B07E4" w:rsidRPr="00716C0D" w:rsidRDefault="005B07E4" w:rsidP="005B07E4">
            <w:pPr>
              <w:widowControl/>
              <w:tabs>
                <w:tab w:val="decimal" w:pos="408"/>
              </w:tabs>
              <w:jc w:val="both"/>
              <w:rPr>
                <w:b/>
                <w:kern w:val="0"/>
                <w:sz w:val="22"/>
                <w:szCs w:val="22"/>
              </w:rPr>
            </w:pPr>
            <w:r w:rsidRPr="00716C0D">
              <w:rPr>
                <w:b/>
                <w:kern w:val="0"/>
                <w:sz w:val="22"/>
                <w:szCs w:val="22"/>
              </w:rPr>
              <w:t>2.6</w:t>
            </w:r>
          </w:p>
          <w:p w:rsidR="005B07E4" w:rsidRPr="00716C0D" w:rsidRDefault="005B07E4" w:rsidP="005B07E4">
            <w:pPr>
              <w:widowControl/>
              <w:tabs>
                <w:tab w:val="decimal" w:pos="408"/>
              </w:tabs>
              <w:jc w:val="both"/>
              <w:rPr>
                <w:b/>
                <w:kern w:val="0"/>
                <w:sz w:val="22"/>
                <w:szCs w:val="22"/>
              </w:rPr>
            </w:pPr>
            <w:r w:rsidRPr="00716C0D">
              <w:rPr>
                <w:b/>
                <w:kern w:val="0"/>
                <w:sz w:val="22"/>
                <w:szCs w:val="22"/>
              </w:rPr>
              <w:t>(1.3)</w:t>
            </w:r>
          </w:p>
        </w:tc>
        <w:tc>
          <w:tcPr>
            <w:tcW w:w="737" w:type="dxa"/>
          </w:tcPr>
          <w:p w:rsidR="005B07E4" w:rsidRPr="00716C0D" w:rsidRDefault="005B07E4" w:rsidP="005B07E4">
            <w:pPr>
              <w:widowControl/>
              <w:tabs>
                <w:tab w:val="decimal" w:pos="408"/>
              </w:tabs>
              <w:jc w:val="both"/>
              <w:rPr>
                <w:b/>
                <w:kern w:val="0"/>
                <w:sz w:val="22"/>
                <w:szCs w:val="22"/>
              </w:rPr>
            </w:pPr>
            <w:r>
              <w:rPr>
                <w:b/>
                <w:kern w:val="0"/>
                <w:sz w:val="22"/>
                <w:szCs w:val="22"/>
              </w:rPr>
              <w:t>1.9</w:t>
            </w:r>
          </w:p>
          <w:p w:rsidR="005B07E4" w:rsidRPr="00716C0D" w:rsidRDefault="005B07E4" w:rsidP="005B07E4">
            <w:pPr>
              <w:widowControl/>
              <w:tabs>
                <w:tab w:val="decimal" w:pos="408"/>
              </w:tabs>
              <w:jc w:val="both"/>
              <w:rPr>
                <w:b/>
                <w:kern w:val="0"/>
                <w:sz w:val="22"/>
                <w:szCs w:val="22"/>
              </w:rPr>
            </w:pPr>
            <w:r w:rsidRPr="00716C0D">
              <w:rPr>
                <w:b/>
                <w:kern w:val="0"/>
                <w:sz w:val="22"/>
                <w:szCs w:val="22"/>
              </w:rPr>
              <w:t>(</w:t>
            </w:r>
            <w:r>
              <w:rPr>
                <w:b/>
                <w:kern w:val="0"/>
                <w:sz w:val="22"/>
                <w:szCs w:val="22"/>
              </w:rPr>
              <w:t>0.1</w:t>
            </w:r>
            <w:r w:rsidRPr="00716C0D">
              <w:rPr>
                <w:b/>
                <w:kern w:val="0"/>
                <w:sz w:val="22"/>
                <w:szCs w:val="22"/>
              </w:rPr>
              <w:t>)</w:t>
            </w:r>
          </w:p>
        </w:tc>
        <w:tc>
          <w:tcPr>
            <w:tcW w:w="737" w:type="dxa"/>
          </w:tcPr>
          <w:p w:rsidR="005B07E4" w:rsidRPr="005A20FE" w:rsidRDefault="005B07E4" w:rsidP="005B07E4">
            <w:pPr>
              <w:widowControl/>
              <w:tabs>
                <w:tab w:val="decimal" w:pos="408"/>
              </w:tabs>
              <w:jc w:val="both"/>
              <w:rPr>
                <w:b/>
                <w:kern w:val="0"/>
                <w:sz w:val="22"/>
                <w:szCs w:val="22"/>
              </w:rPr>
            </w:pPr>
            <w:r w:rsidRPr="005A20FE">
              <w:rPr>
                <w:b/>
                <w:kern w:val="0"/>
                <w:sz w:val="22"/>
                <w:szCs w:val="22"/>
              </w:rPr>
              <w:t>1.2</w:t>
            </w:r>
          </w:p>
          <w:p w:rsidR="005B07E4" w:rsidRPr="005A20FE" w:rsidRDefault="005B07E4" w:rsidP="005B07E4">
            <w:pPr>
              <w:widowControl/>
              <w:tabs>
                <w:tab w:val="decimal" w:pos="408"/>
              </w:tabs>
              <w:jc w:val="both"/>
              <w:rPr>
                <w:b/>
                <w:kern w:val="0"/>
                <w:sz w:val="22"/>
                <w:szCs w:val="22"/>
              </w:rPr>
            </w:pPr>
            <w:r w:rsidRPr="005A20FE">
              <w:rPr>
                <w:b/>
                <w:kern w:val="0"/>
                <w:sz w:val="22"/>
                <w:szCs w:val="22"/>
              </w:rPr>
              <w:t>(-0.5)</w:t>
            </w:r>
          </w:p>
        </w:tc>
        <w:tc>
          <w:tcPr>
            <w:tcW w:w="737" w:type="dxa"/>
          </w:tcPr>
          <w:p w:rsidR="005B07E4" w:rsidRPr="001958D5" w:rsidRDefault="004D7D57" w:rsidP="005B07E4">
            <w:pPr>
              <w:widowControl/>
              <w:tabs>
                <w:tab w:val="decimal" w:pos="408"/>
              </w:tabs>
              <w:jc w:val="both"/>
              <w:rPr>
                <w:b/>
                <w:kern w:val="0"/>
                <w:sz w:val="22"/>
                <w:szCs w:val="22"/>
              </w:rPr>
            </w:pPr>
            <w:r w:rsidRPr="001958D5">
              <w:rPr>
                <w:b/>
                <w:kern w:val="0"/>
                <w:sz w:val="22"/>
                <w:szCs w:val="22"/>
              </w:rPr>
              <w:t>2.4</w:t>
            </w:r>
          </w:p>
          <w:p w:rsidR="005B07E4" w:rsidRPr="001958D5" w:rsidRDefault="005B07E4" w:rsidP="004D7D57">
            <w:pPr>
              <w:widowControl/>
              <w:tabs>
                <w:tab w:val="decimal" w:pos="408"/>
              </w:tabs>
              <w:jc w:val="both"/>
              <w:rPr>
                <w:b/>
                <w:kern w:val="0"/>
                <w:sz w:val="22"/>
                <w:szCs w:val="22"/>
              </w:rPr>
            </w:pPr>
            <w:r w:rsidRPr="001958D5">
              <w:rPr>
                <w:b/>
                <w:kern w:val="0"/>
                <w:sz w:val="22"/>
                <w:szCs w:val="22"/>
              </w:rPr>
              <w:t>(</w:t>
            </w:r>
            <w:r w:rsidR="004D7D57" w:rsidRPr="001958D5">
              <w:rPr>
                <w:b/>
                <w:kern w:val="0"/>
                <w:sz w:val="22"/>
                <w:szCs w:val="22"/>
              </w:rPr>
              <w:t>1.6</w:t>
            </w:r>
            <w:r w:rsidRPr="001958D5">
              <w:rPr>
                <w:b/>
                <w:kern w:val="0"/>
                <w:sz w:val="22"/>
                <w:szCs w:val="22"/>
              </w:rPr>
              <w:t>)</w:t>
            </w:r>
          </w:p>
        </w:tc>
      </w:tr>
      <w:tr w:rsidR="005B07E4" w:rsidRPr="00BF6DEC" w:rsidTr="005B07E4">
        <w:trPr>
          <w:jc w:val="center"/>
        </w:trPr>
        <w:tc>
          <w:tcPr>
            <w:tcW w:w="3402" w:type="dxa"/>
          </w:tcPr>
          <w:p w:rsidR="005B07E4" w:rsidRPr="005256F7" w:rsidRDefault="005B07E4" w:rsidP="005B07E4">
            <w:pPr>
              <w:tabs>
                <w:tab w:val="left" w:pos="1080"/>
              </w:tabs>
              <w:snapToGrid w:val="0"/>
              <w:spacing w:line="360" w:lineRule="auto"/>
              <w:ind w:left="142" w:right="-108"/>
              <w:rPr>
                <w:b/>
                <w:sz w:val="22"/>
                <w:szCs w:val="22"/>
              </w:rPr>
            </w:pPr>
            <w:r w:rsidRPr="005256F7">
              <w:rPr>
                <w:b/>
                <w:sz w:val="22"/>
                <w:szCs w:val="22"/>
              </w:rPr>
              <w:t>Underlying^</w:t>
            </w:r>
          </w:p>
        </w:tc>
        <w:tc>
          <w:tcPr>
            <w:tcW w:w="737" w:type="dxa"/>
          </w:tcPr>
          <w:p w:rsidR="005B07E4" w:rsidRPr="00F678AE" w:rsidRDefault="005B07E4" w:rsidP="005B07E4">
            <w:pPr>
              <w:tabs>
                <w:tab w:val="decimal" w:pos="408"/>
              </w:tabs>
              <w:jc w:val="both"/>
              <w:rPr>
                <w:b/>
                <w:sz w:val="22"/>
                <w:szCs w:val="22"/>
                <w:lang w:eastAsia="zh-HK"/>
              </w:rPr>
            </w:pPr>
            <w:r>
              <w:rPr>
                <w:rFonts w:hint="eastAsia"/>
                <w:b/>
                <w:sz w:val="22"/>
                <w:szCs w:val="22"/>
              </w:rPr>
              <w:t>1.7</w:t>
            </w:r>
          </w:p>
        </w:tc>
        <w:tc>
          <w:tcPr>
            <w:tcW w:w="737" w:type="dxa"/>
          </w:tcPr>
          <w:p w:rsidR="005B07E4" w:rsidRPr="00716C0D" w:rsidRDefault="005B07E4" w:rsidP="005B07E4">
            <w:pPr>
              <w:widowControl/>
              <w:tabs>
                <w:tab w:val="decimal" w:pos="408"/>
              </w:tabs>
              <w:jc w:val="both"/>
              <w:rPr>
                <w:b/>
                <w:kern w:val="0"/>
                <w:sz w:val="22"/>
                <w:szCs w:val="22"/>
                <w:lang w:eastAsia="zh-HK"/>
              </w:rPr>
            </w:pPr>
            <w:r w:rsidRPr="00716C0D">
              <w:rPr>
                <w:b/>
                <w:kern w:val="0"/>
                <w:sz w:val="22"/>
                <w:szCs w:val="22"/>
                <w:lang w:eastAsia="zh-HK"/>
              </w:rPr>
              <w:t>1.7</w:t>
            </w:r>
          </w:p>
        </w:tc>
        <w:tc>
          <w:tcPr>
            <w:tcW w:w="737" w:type="dxa"/>
          </w:tcPr>
          <w:p w:rsidR="005B07E4" w:rsidRPr="00716C0D" w:rsidRDefault="005B07E4" w:rsidP="005B07E4">
            <w:pPr>
              <w:tabs>
                <w:tab w:val="decimal" w:pos="408"/>
              </w:tabs>
              <w:jc w:val="both"/>
              <w:rPr>
                <w:b/>
                <w:sz w:val="22"/>
                <w:szCs w:val="22"/>
              </w:rPr>
            </w:pPr>
            <w:r w:rsidRPr="00716C0D">
              <w:rPr>
                <w:b/>
                <w:sz w:val="22"/>
                <w:szCs w:val="22"/>
              </w:rPr>
              <w:t>1.</w:t>
            </w:r>
            <w:r w:rsidRPr="00716C0D">
              <w:rPr>
                <w:rFonts w:hint="eastAsia"/>
                <w:b/>
                <w:sz w:val="22"/>
                <w:szCs w:val="22"/>
              </w:rPr>
              <w:t>9</w:t>
            </w:r>
          </w:p>
          <w:p w:rsidR="005B07E4" w:rsidRPr="00716C0D" w:rsidRDefault="005B07E4" w:rsidP="005B07E4">
            <w:pPr>
              <w:tabs>
                <w:tab w:val="decimal" w:pos="408"/>
              </w:tabs>
              <w:jc w:val="both"/>
              <w:rPr>
                <w:b/>
                <w:sz w:val="22"/>
                <w:szCs w:val="22"/>
              </w:rPr>
            </w:pPr>
            <w:r w:rsidRPr="00716C0D">
              <w:rPr>
                <w:b/>
                <w:sz w:val="22"/>
                <w:szCs w:val="22"/>
              </w:rPr>
              <w:t>(0.</w:t>
            </w:r>
            <w:r w:rsidRPr="00716C0D">
              <w:rPr>
                <w:rFonts w:hint="eastAsia"/>
                <w:b/>
                <w:sz w:val="22"/>
                <w:szCs w:val="22"/>
              </w:rPr>
              <w:t>7</w:t>
            </w:r>
            <w:r w:rsidRPr="00716C0D">
              <w:rPr>
                <w:b/>
                <w:sz w:val="22"/>
                <w:szCs w:val="22"/>
              </w:rPr>
              <w:t>)</w:t>
            </w:r>
          </w:p>
        </w:tc>
        <w:tc>
          <w:tcPr>
            <w:tcW w:w="737" w:type="dxa"/>
          </w:tcPr>
          <w:p w:rsidR="005B07E4" w:rsidRPr="00716C0D" w:rsidRDefault="005B07E4" w:rsidP="005B07E4">
            <w:pPr>
              <w:tabs>
                <w:tab w:val="decimal" w:pos="408"/>
              </w:tabs>
              <w:jc w:val="both"/>
              <w:rPr>
                <w:b/>
                <w:sz w:val="22"/>
                <w:szCs w:val="22"/>
              </w:rPr>
            </w:pPr>
            <w:r w:rsidRPr="00716C0D">
              <w:rPr>
                <w:b/>
                <w:sz w:val="22"/>
                <w:szCs w:val="22"/>
              </w:rPr>
              <w:t>1.7</w:t>
            </w:r>
          </w:p>
          <w:p w:rsidR="005B07E4" w:rsidRPr="00716C0D" w:rsidRDefault="005B07E4" w:rsidP="005B07E4">
            <w:pPr>
              <w:tabs>
                <w:tab w:val="decimal" w:pos="408"/>
              </w:tabs>
              <w:jc w:val="both"/>
              <w:rPr>
                <w:b/>
                <w:sz w:val="22"/>
                <w:szCs w:val="22"/>
              </w:rPr>
            </w:pPr>
            <w:r w:rsidRPr="00716C0D">
              <w:rPr>
                <w:b/>
                <w:sz w:val="22"/>
                <w:szCs w:val="22"/>
              </w:rPr>
              <w:t>(0.3)</w:t>
            </w:r>
          </w:p>
        </w:tc>
        <w:tc>
          <w:tcPr>
            <w:tcW w:w="737" w:type="dxa"/>
          </w:tcPr>
          <w:p w:rsidR="005B07E4" w:rsidRPr="00716C0D" w:rsidRDefault="005B07E4" w:rsidP="005B07E4">
            <w:pPr>
              <w:tabs>
                <w:tab w:val="decimal" w:pos="408"/>
              </w:tabs>
              <w:jc w:val="both"/>
              <w:rPr>
                <w:b/>
                <w:sz w:val="22"/>
                <w:szCs w:val="22"/>
              </w:rPr>
            </w:pPr>
            <w:r w:rsidRPr="00716C0D">
              <w:rPr>
                <w:b/>
                <w:sz w:val="22"/>
                <w:szCs w:val="22"/>
              </w:rPr>
              <w:t>1.6</w:t>
            </w:r>
          </w:p>
          <w:p w:rsidR="005B07E4" w:rsidRPr="00716C0D" w:rsidRDefault="005B07E4" w:rsidP="005B07E4">
            <w:pPr>
              <w:tabs>
                <w:tab w:val="decimal" w:pos="408"/>
              </w:tabs>
              <w:jc w:val="both"/>
              <w:rPr>
                <w:b/>
                <w:sz w:val="22"/>
                <w:szCs w:val="22"/>
              </w:rPr>
            </w:pPr>
            <w:r w:rsidRPr="00716C0D">
              <w:rPr>
                <w:b/>
                <w:sz w:val="22"/>
                <w:szCs w:val="22"/>
              </w:rPr>
              <w:t>(0.3)</w:t>
            </w:r>
          </w:p>
        </w:tc>
        <w:tc>
          <w:tcPr>
            <w:tcW w:w="737" w:type="dxa"/>
          </w:tcPr>
          <w:p w:rsidR="005B07E4" w:rsidRPr="00716C0D" w:rsidRDefault="005B07E4" w:rsidP="005B07E4">
            <w:pPr>
              <w:widowControl/>
              <w:tabs>
                <w:tab w:val="decimal" w:pos="408"/>
              </w:tabs>
              <w:jc w:val="both"/>
              <w:rPr>
                <w:b/>
                <w:kern w:val="0"/>
                <w:sz w:val="22"/>
                <w:szCs w:val="22"/>
              </w:rPr>
            </w:pPr>
            <w:r w:rsidRPr="00716C0D">
              <w:rPr>
                <w:b/>
                <w:kern w:val="0"/>
                <w:sz w:val="22"/>
                <w:szCs w:val="22"/>
              </w:rPr>
              <w:t>1.6</w:t>
            </w:r>
          </w:p>
          <w:p w:rsidR="005B07E4" w:rsidRPr="00716C0D" w:rsidRDefault="005B07E4" w:rsidP="005B07E4">
            <w:pPr>
              <w:widowControl/>
              <w:tabs>
                <w:tab w:val="decimal" w:pos="408"/>
              </w:tabs>
              <w:jc w:val="both"/>
              <w:rPr>
                <w:b/>
                <w:kern w:val="0"/>
                <w:sz w:val="22"/>
                <w:szCs w:val="22"/>
              </w:rPr>
            </w:pPr>
            <w:r w:rsidRPr="00716C0D">
              <w:rPr>
                <w:b/>
                <w:kern w:val="0"/>
                <w:sz w:val="22"/>
                <w:szCs w:val="22"/>
              </w:rPr>
              <w:t>(0.3)</w:t>
            </w:r>
          </w:p>
        </w:tc>
        <w:tc>
          <w:tcPr>
            <w:tcW w:w="737" w:type="dxa"/>
          </w:tcPr>
          <w:p w:rsidR="005B07E4" w:rsidRPr="00716C0D" w:rsidRDefault="005B07E4" w:rsidP="005B07E4">
            <w:pPr>
              <w:widowControl/>
              <w:tabs>
                <w:tab w:val="decimal" w:pos="408"/>
              </w:tabs>
              <w:jc w:val="both"/>
              <w:rPr>
                <w:b/>
                <w:kern w:val="0"/>
                <w:sz w:val="22"/>
                <w:szCs w:val="22"/>
              </w:rPr>
            </w:pPr>
            <w:r w:rsidRPr="00716C0D">
              <w:rPr>
                <w:b/>
                <w:kern w:val="0"/>
                <w:sz w:val="22"/>
                <w:szCs w:val="22"/>
              </w:rPr>
              <w:t>1.</w:t>
            </w:r>
            <w:r>
              <w:rPr>
                <w:b/>
                <w:kern w:val="0"/>
                <w:sz w:val="22"/>
                <w:szCs w:val="22"/>
              </w:rPr>
              <w:t>0</w:t>
            </w:r>
          </w:p>
          <w:p w:rsidR="005B07E4" w:rsidRPr="00716C0D" w:rsidRDefault="005B07E4" w:rsidP="005B07E4">
            <w:pPr>
              <w:widowControl/>
              <w:tabs>
                <w:tab w:val="decimal" w:pos="408"/>
              </w:tabs>
              <w:jc w:val="both"/>
              <w:rPr>
                <w:b/>
                <w:kern w:val="0"/>
                <w:sz w:val="22"/>
                <w:szCs w:val="22"/>
              </w:rPr>
            </w:pPr>
            <w:r>
              <w:rPr>
                <w:b/>
                <w:kern w:val="0"/>
                <w:sz w:val="22"/>
                <w:szCs w:val="22"/>
              </w:rPr>
              <w:t xml:space="preserve">   </w:t>
            </w:r>
            <w:r w:rsidRPr="00716C0D">
              <w:rPr>
                <w:b/>
                <w:kern w:val="0"/>
                <w:sz w:val="22"/>
                <w:szCs w:val="22"/>
              </w:rPr>
              <w:t>(</w:t>
            </w:r>
            <w:r>
              <w:rPr>
                <w:b/>
                <w:kern w:val="0"/>
                <w:sz w:val="22"/>
                <w:szCs w:val="22"/>
              </w:rPr>
              <w:t>*</w:t>
            </w:r>
            <w:r w:rsidRPr="00716C0D">
              <w:rPr>
                <w:b/>
                <w:kern w:val="0"/>
                <w:sz w:val="22"/>
                <w:szCs w:val="22"/>
              </w:rPr>
              <w:t>)</w:t>
            </w:r>
          </w:p>
        </w:tc>
        <w:tc>
          <w:tcPr>
            <w:tcW w:w="737" w:type="dxa"/>
          </w:tcPr>
          <w:p w:rsidR="005B07E4" w:rsidRPr="005A20FE" w:rsidRDefault="005B07E4" w:rsidP="005B07E4">
            <w:pPr>
              <w:widowControl/>
              <w:tabs>
                <w:tab w:val="decimal" w:pos="408"/>
              </w:tabs>
              <w:jc w:val="both"/>
              <w:rPr>
                <w:b/>
                <w:kern w:val="0"/>
                <w:sz w:val="22"/>
                <w:szCs w:val="22"/>
              </w:rPr>
            </w:pPr>
            <w:r w:rsidRPr="005A20FE">
              <w:rPr>
                <w:b/>
                <w:kern w:val="0"/>
                <w:sz w:val="22"/>
                <w:szCs w:val="22"/>
              </w:rPr>
              <w:t>1.0</w:t>
            </w:r>
          </w:p>
          <w:p w:rsidR="005B07E4" w:rsidRPr="005A20FE" w:rsidRDefault="005B07E4" w:rsidP="005B07E4">
            <w:pPr>
              <w:widowControl/>
              <w:tabs>
                <w:tab w:val="decimal" w:pos="408"/>
              </w:tabs>
              <w:jc w:val="both"/>
              <w:rPr>
                <w:b/>
                <w:kern w:val="0"/>
                <w:sz w:val="22"/>
                <w:szCs w:val="22"/>
              </w:rPr>
            </w:pPr>
            <w:r w:rsidRPr="005A20FE">
              <w:rPr>
                <w:b/>
                <w:kern w:val="0"/>
                <w:sz w:val="22"/>
                <w:szCs w:val="22"/>
              </w:rPr>
              <w:t xml:space="preserve"> (0.3)</w:t>
            </w:r>
          </w:p>
        </w:tc>
        <w:tc>
          <w:tcPr>
            <w:tcW w:w="737" w:type="dxa"/>
          </w:tcPr>
          <w:p w:rsidR="005B07E4" w:rsidRPr="001958D5" w:rsidRDefault="005B07E4" w:rsidP="005B07E4">
            <w:pPr>
              <w:widowControl/>
              <w:tabs>
                <w:tab w:val="decimal" w:pos="408"/>
              </w:tabs>
              <w:jc w:val="both"/>
              <w:rPr>
                <w:b/>
                <w:kern w:val="0"/>
                <w:sz w:val="22"/>
                <w:szCs w:val="22"/>
              </w:rPr>
            </w:pPr>
            <w:r w:rsidRPr="001958D5">
              <w:rPr>
                <w:b/>
                <w:kern w:val="0"/>
                <w:sz w:val="22"/>
                <w:szCs w:val="22"/>
              </w:rPr>
              <w:t>1.</w:t>
            </w:r>
            <w:r w:rsidR="004D7D57" w:rsidRPr="001958D5">
              <w:rPr>
                <w:b/>
                <w:kern w:val="0"/>
                <w:sz w:val="22"/>
                <w:szCs w:val="22"/>
              </w:rPr>
              <w:t>1</w:t>
            </w:r>
          </w:p>
          <w:p w:rsidR="005B07E4" w:rsidRPr="001958D5" w:rsidRDefault="005B07E4" w:rsidP="00442EC6">
            <w:pPr>
              <w:widowControl/>
              <w:tabs>
                <w:tab w:val="decimal" w:pos="408"/>
              </w:tabs>
              <w:jc w:val="both"/>
              <w:rPr>
                <w:b/>
                <w:kern w:val="0"/>
                <w:sz w:val="22"/>
                <w:szCs w:val="22"/>
              </w:rPr>
            </w:pPr>
            <w:r w:rsidRPr="001958D5">
              <w:rPr>
                <w:b/>
                <w:kern w:val="0"/>
                <w:sz w:val="22"/>
                <w:szCs w:val="22"/>
              </w:rPr>
              <w:t xml:space="preserve"> (0.</w:t>
            </w:r>
            <w:r w:rsidR="00442EC6" w:rsidRPr="001958D5">
              <w:rPr>
                <w:b/>
                <w:kern w:val="0"/>
                <w:sz w:val="22"/>
                <w:szCs w:val="22"/>
              </w:rPr>
              <w:t>5</w:t>
            </w:r>
            <w:r w:rsidRPr="001958D5">
              <w:rPr>
                <w:b/>
                <w:kern w:val="0"/>
                <w:sz w:val="22"/>
                <w:szCs w:val="22"/>
              </w:rPr>
              <w:t>)</w:t>
            </w:r>
          </w:p>
        </w:tc>
      </w:tr>
      <w:tr w:rsidR="005B07E4" w:rsidRPr="00D50FAB" w:rsidTr="005B07E4">
        <w:trPr>
          <w:trHeight w:val="399"/>
          <w:jc w:val="center"/>
        </w:trPr>
        <w:tc>
          <w:tcPr>
            <w:tcW w:w="3402" w:type="dxa"/>
            <w:vAlign w:val="center"/>
          </w:tcPr>
          <w:p w:rsidR="005B07E4" w:rsidRPr="005256F7" w:rsidRDefault="005B07E4" w:rsidP="005B07E4">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737" w:type="dxa"/>
            <w:vAlign w:val="center"/>
          </w:tcPr>
          <w:p w:rsidR="005B07E4" w:rsidRPr="00034A28" w:rsidRDefault="005B07E4" w:rsidP="005B07E4">
            <w:pPr>
              <w:tabs>
                <w:tab w:val="decimal" w:pos="408"/>
              </w:tabs>
              <w:rPr>
                <w:b/>
                <w:sz w:val="22"/>
                <w:szCs w:val="22"/>
                <w:lang w:eastAsia="zh-HK"/>
              </w:rPr>
            </w:pPr>
            <w:r>
              <w:rPr>
                <w:rFonts w:hint="eastAsia"/>
                <w:b/>
                <w:sz w:val="22"/>
                <w:szCs w:val="22"/>
              </w:rPr>
              <w:t>-</w:t>
            </w:r>
            <w:r>
              <w:rPr>
                <w:b/>
                <w:sz w:val="22"/>
                <w:szCs w:val="22"/>
              </w:rPr>
              <w:t>2.1</w:t>
            </w:r>
          </w:p>
        </w:tc>
        <w:tc>
          <w:tcPr>
            <w:tcW w:w="737" w:type="dxa"/>
            <w:vAlign w:val="center"/>
          </w:tcPr>
          <w:p w:rsidR="005B07E4" w:rsidRPr="00716C0D" w:rsidRDefault="005B07E4" w:rsidP="005B07E4">
            <w:pPr>
              <w:widowControl/>
              <w:tabs>
                <w:tab w:val="decimal" w:pos="408"/>
              </w:tabs>
              <w:rPr>
                <w:b/>
                <w:kern w:val="0"/>
                <w:sz w:val="22"/>
                <w:szCs w:val="22"/>
                <w:lang w:eastAsia="zh-HK"/>
              </w:rPr>
            </w:pPr>
            <w:r w:rsidRPr="00716C0D">
              <w:rPr>
                <w:b/>
                <w:kern w:val="0"/>
                <w:sz w:val="22"/>
                <w:szCs w:val="22"/>
                <w:lang w:eastAsia="zh-HK"/>
              </w:rPr>
              <w:t>6.</w:t>
            </w:r>
            <w:r>
              <w:rPr>
                <w:b/>
                <w:kern w:val="0"/>
                <w:sz w:val="22"/>
                <w:szCs w:val="22"/>
                <w:lang w:eastAsia="zh-HK"/>
              </w:rPr>
              <w:t>1</w:t>
            </w:r>
          </w:p>
        </w:tc>
        <w:tc>
          <w:tcPr>
            <w:tcW w:w="737" w:type="dxa"/>
            <w:vAlign w:val="center"/>
          </w:tcPr>
          <w:p w:rsidR="005B07E4" w:rsidRPr="00716C0D" w:rsidRDefault="005B07E4" w:rsidP="005B07E4">
            <w:pPr>
              <w:tabs>
                <w:tab w:val="decimal" w:pos="408"/>
              </w:tabs>
              <w:rPr>
                <w:b/>
                <w:sz w:val="22"/>
                <w:szCs w:val="22"/>
              </w:rPr>
            </w:pPr>
            <w:r>
              <w:rPr>
                <w:b/>
                <w:sz w:val="22"/>
                <w:szCs w:val="22"/>
              </w:rPr>
              <w:t>5.0</w:t>
            </w:r>
          </w:p>
        </w:tc>
        <w:tc>
          <w:tcPr>
            <w:tcW w:w="737" w:type="dxa"/>
            <w:vAlign w:val="center"/>
          </w:tcPr>
          <w:p w:rsidR="005B07E4" w:rsidRPr="00716C0D" w:rsidRDefault="005B07E4" w:rsidP="005B07E4">
            <w:pPr>
              <w:tabs>
                <w:tab w:val="decimal" w:pos="408"/>
              </w:tabs>
              <w:rPr>
                <w:b/>
                <w:sz w:val="22"/>
                <w:szCs w:val="22"/>
              </w:rPr>
            </w:pPr>
            <w:r>
              <w:rPr>
                <w:b/>
                <w:sz w:val="22"/>
                <w:szCs w:val="22"/>
              </w:rPr>
              <w:t>4.3</w:t>
            </w:r>
          </w:p>
        </w:tc>
        <w:tc>
          <w:tcPr>
            <w:tcW w:w="737" w:type="dxa"/>
            <w:vAlign w:val="center"/>
          </w:tcPr>
          <w:p w:rsidR="005B07E4" w:rsidRPr="00716C0D" w:rsidRDefault="005B07E4" w:rsidP="005B07E4">
            <w:pPr>
              <w:tabs>
                <w:tab w:val="decimal" w:pos="408"/>
              </w:tabs>
              <w:rPr>
                <w:b/>
                <w:sz w:val="22"/>
                <w:szCs w:val="22"/>
              </w:rPr>
            </w:pPr>
            <w:r>
              <w:rPr>
                <w:b/>
                <w:sz w:val="22"/>
                <w:szCs w:val="22"/>
              </w:rPr>
              <w:t>6.7</w:t>
            </w:r>
          </w:p>
        </w:tc>
        <w:tc>
          <w:tcPr>
            <w:tcW w:w="737" w:type="dxa"/>
            <w:vAlign w:val="center"/>
          </w:tcPr>
          <w:p w:rsidR="005B07E4" w:rsidRPr="00716C0D" w:rsidRDefault="005B07E4" w:rsidP="005B07E4">
            <w:pPr>
              <w:widowControl/>
              <w:tabs>
                <w:tab w:val="decimal" w:pos="408"/>
              </w:tabs>
              <w:rPr>
                <w:b/>
                <w:kern w:val="0"/>
                <w:sz w:val="22"/>
                <w:szCs w:val="22"/>
              </w:rPr>
            </w:pPr>
            <w:r>
              <w:rPr>
                <w:b/>
                <w:kern w:val="0"/>
                <w:sz w:val="22"/>
                <w:szCs w:val="22"/>
              </w:rPr>
              <w:t>8.3</w:t>
            </w:r>
          </w:p>
        </w:tc>
        <w:tc>
          <w:tcPr>
            <w:tcW w:w="737" w:type="dxa"/>
            <w:vAlign w:val="center"/>
          </w:tcPr>
          <w:p w:rsidR="005B07E4" w:rsidRPr="00716C0D" w:rsidRDefault="005B07E4" w:rsidP="005B07E4">
            <w:pPr>
              <w:widowControl/>
              <w:tabs>
                <w:tab w:val="decimal" w:pos="408"/>
              </w:tabs>
              <w:rPr>
                <w:b/>
                <w:kern w:val="0"/>
                <w:sz w:val="22"/>
                <w:szCs w:val="22"/>
              </w:rPr>
            </w:pPr>
            <w:r>
              <w:rPr>
                <w:b/>
                <w:kern w:val="0"/>
                <w:sz w:val="22"/>
                <w:szCs w:val="22"/>
              </w:rPr>
              <w:t>6.8</w:t>
            </w:r>
          </w:p>
        </w:tc>
        <w:tc>
          <w:tcPr>
            <w:tcW w:w="737" w:type="dxa"/>
            <w:vAlign w:val="center"/>
          </w:tcPr>
          <w:p w:rsidR="005B07E4" w:rsidRPr="005A20FE" w:rsidRDefault="005B07E4" w:rsidP="005B07E4">
            <w:pPr>
              <w:widowControl/>
              <w:tabs>
                <w:tab w:val="decimal" w:pos="408"/>
              </w:tabs>
              <w:rPr>
                <w:b/>
                <w:kern w:val="0"/>
                <w:sz w:val="22"/>
                <w:szCs w:val="22"/>
              </w:rPr>
            </w:pPr>
            <w:r w:rsidRPr="005A20FE">
              <w:rPr>
                <w:b/>
                <w:kern w:val="0"/>
                <w:sz w:val="22"/>
                <w:szCs w:val="22"/>
              </w:rPr>
              <w:t>7.6</w:t>
            </w:r>
          </w:p>
        </w:tc>
        <w:tc>
          <w:tcPr>
            <w:tcW w:w="737" w:type="dxa"/>
            <w:vAlign w:val="center"/>
          </w:tcPr>
          <w:p w:rsidR="005B07E4" w:rsidRPr="001958D5" w:rsidRDefault="001958D5" w:rsidP="005B07E4">
            <w:pPr>
              <w:widowControl/>
              <w:tabs>
                <w:tab w:val="decimal" w:pos="408"/>
              </w:tabs>
              <w:rPr>
                <w:b/>
                <w:kern w:val="0"/>
                <w:sz w:val="22"/>
                <w:szCs w:val="22"/>
              </w:rPr>
            </w:pPr>
            <w:r w:rsidRPr="001958D5">
              <w:rPr>
                <w:b/>
                <w:kern w:val="0"/>
                <w:sz w:val="22"/>
                <w:szCs w:val="22"/>
              </w:rPr>
              <w:t>6.1</w:t>
            </w:r>
          </w:p>
        </w:tc>
      </w:tr>
    </w:tbl>
    <w:p w:rsidR="007F37F3" w:rsidRPr="00327CE5" w:rsidRDefault="007F37F3" w:rsidP="007772F9">
      <w:pPr>
        <w:tabs>
          <w:tab w:val="left" w:pos="5094"/>
        </w:tabs>
        <w:snapToGrid w:val="0"/>
        <w:spacing w:line="140" w:lineRule="exact"/>
        <w:ind w:right="-516"/>
        <w:jc w:val="both"/>
        <w:rPr>
          <w:sz w:val="22"/>
        </w:rPr>
      </w:pPr>
    </w:p>
    <w:p w:rsidR="007F37F3" w:rsidRPr="00327CE5" w:rsidRDefault="007F37F3" w:rsidP="004218E5">
      <w:pPr>
        <w:snapToGrid w:val="0"/>
        <w:spacing w:line="220" w:lineRule="exact"/>
        <w:ind w:right="-514" w:hanging="851"/>
        <w:jc w:val="both"/>
        <w:rPr>
          <w:sz w:val="21"/>
          <w:szCs w:val="21"/>
        </w:rPr>
      </w:pPr>
    </w:p>
    <w:p w:rsidR="00EF507D" w:rsidRPr="005256F7" w:rsidRDefault="00EF507D" w:rsidP="00EF507D">
      <w:pPr>
        <w:tabs>
          <w:tab w:val="left" w:pos="993"/>
        </w:tabs>
        <w:snapToGrid w:val="0"/>
        <w:spacing w:line="220" w:lineRule="exact"/>
        <w:ind w:left="851" w:right="237" w:hanging="851"/>
        <w:jc w:val="both"/>
        <w:rPr>
          <w:sz w:val="22"/>
        </w:rPr>
      </w:pPr>
      <w:r w:rsidRPr="005256F7">
        <w:rPr>
          <w:sz w:val="22"/>
        </w:rPr>
        <w:t>Notes :</w:t>
      </w:r>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short</w:t>
      </w:r>
      <w:r w:rsidR="00094624">
        <w:rPr>
          <w:sz w:val="22"/>
        </w:rPr>
        <w:t>-</w:t>
      </w:r>
      <w:r w:rsidRPr="005256F7">
        <w:rPr>
          <w:sz w:val="22"/>
        </w:rPr>
        <w:t>term fluctuations.</w:t>
      </w:r>
    </w:p>
    <w:p w:rsidR="00EF507D" w:rsidRPr="005256F7" w:rsidRDefault="00EF507D" w:rsidP="00EF507D">
      <w:pPr>
        <w:tabs>
          <w:tab w:val="left" w:pos="993"/>
        </w:tabs>
        <w:snapToGrid w:val="0"/>
        <w:spacing w:line="220" w:lineRule="exact"/>
        <w:ind w:left="851" w:right="237" w:hanging="851"/>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w:t>
      </w:r>
      <w:r>
        <w:rPr>
          <w:sz w:val="22"/>
          <w:lang w:eastAsia="zh-HK"/>
        </w:rPr>
        <w:tab/>
      </w:r>
      <w:r>
        <w:rPr>
          <w:sz w:val="22"/>
          <w:lang w:eastAsia="zh-HK"/>
        </w:rPr>
        <w:tab/>
      </w:r>
      <w:r w:rsidRPr="005256F7">
        <w:rPr>
          <w:sz w:val="22"/>
          <w:lang w:eastAsia="zh-HK"/>
        </w:rPr>
        <w:t xml:space="preserve">sent abroad for processing and </w:t>
      </w:r>
      <w:proofErr w:type="spellStart"/>
      <w:r w:rsidRPr="005256F7">
        <w:rPr>
          <w:sz w:val="22"/>
          <w:lang w:eastAsia="zh-HK"/>
        </w:rPr>
        <w:t>merchanting</w:t>
      </w:r>
      <w:proofErr w:type="spellEnd"/>
      <w:r w:rsidRPr="005256F7">
        <w:rPr>
          <w:sz w:val="22"/>
          <w:lang w:eastAsia="zh-HK"/>
        </w:rPr>
        <w:t xml:space="preserve"> under the standards stipulated in the </w:t>
      </w:r>
      <w:r>
        <w:rPr>
          <w:sz w:val="22"/>
          <w:lang w:eastAsia="zh-HK"/>
        </w:rPr>
        <w:tab/>
      </w:r>
      <w:r>
        <w:rPr>
          <w:sz w:val="22"/>
          <w:lang w:eastAsia="zh-HK"/>
        </w:rPr>
        <w:tab/>
      </w:r>
      <w:r w:rsidRPr="005256F7">
        <w:rPr>
          <w:i/>
          <w:sz w:val="22"/>
          <w:lang w:eastAsia="zh-HK"/>
        </w:rPr>
        <w:t>System of National Accounts 2008</w:t>
      </w:r>
      <w:r w:rsidRPr="005256F7">
        <w:rPr>
          <w:sz w:val="22"/>
          <w:lang w:eastAsia="zh-HK"/>
        </w:rPr>
        <w:t>.</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lang w:eastAsia="zh-HK"/>
        </w:rPr>
        <w:tab/>
      </w:r>
      <w:r w:rsidRPr="005256F7">
        <w:rPr>
          <w:sz w:val="22"/>
        </w:rPr>
        <w:t>(#)</w:t>
      </w:r>
      <w:r w:rsidRPr="005256F7">
        <w:rPr>
          <w:sz w:val="22"/>
        </w:rPr>
        <w:tab/>
        <w:t>Revised figures.</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rPr>
        <w:tab/>
        <w:t>(</w:t>
      </w:r>
      <w:r w:rsidRPr="005256F7">
        <w:rPr>
          <w:color w:val="FFFFFF"/>
          <w:sz w:val="22"/>
        </w:rPr>
        <w:t>+</w:t>
      </w:r>
      <w:r w:rsidRPr="005256F7">
        <w:rPr>
          <w:sz w:val="22"/>
        </w:rPr>
        <w:t>)</w:t>
      </w:r>
      <w:r w:rsidRPr="005256F7">
        <w:rPr>
          <w:sz w:val="22"/>
        </w:rPr>
        <w:tab/>
        <w:t>Seasonally adjusted quarter-to-quarter rate of change</w:t>
      </w:r>
      <w:r w:rsidR="00B775BA" w:rsidRPr="00ED600C">
        <w:rPr>
          <w:sz w:val="22"/>
          <w:vertAlign w:val="superscript"/>
        </w:rPr>
        <w:t>(2)</w:t>
      </w:r>
      <w:r w:rsidRPr="005256F7">
        <w:rPr>
          <w:sz w:val="22"/>
        </w:rPr>
        <w:t>.</w:t>
      </w:r>
    </w:p>
    <w:p w:rsidR="00EF507D" w:rsidRDefault="00EF507D" w:rsidP="00EF507D">
      <w:pPr>
        <w:tabs>
          <w:tab w:val="left" w:pos="993"/>
        </w:tabs>
        <w:snapToGrid w:val="0"/>
        <w:spacing w:line="220" w:lineRule="exact"/>
        <w:ind w:left="851" w:right="237" w:hanging="851"/>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rsidR="00EF507D" w:rsidRDefault="00EF507D" w:rsidP="00EF507D">
      <w:pPr>
        <w:tabs>
          <w:tab w:val="left" w:pos="993"/>
        </w:tabs>
        <w:snapToGrid w:val="0"/>
        <w:spacing w:line="220" w:lineRule="exact"/>
        <w:ind w:left="851" w:right="237" w:hanging="851"/>
        <w:jc w:val="both"/>
        <w:rPr>
          <w:sz w:val="21"/>
          <w:szCs w:val="21"/>
        </w:rPr>
      </w:pPr>
      <w:r>
        <w:rPr>
          <w:sz w:val="21"/>
          <w:szCs w:val="21"/>
        </w:rPr>
        <w:tab/>
      </w:r>
      <w:r w:rsidRPr="002A44A9">
        <w:rPr>
          <w:sz w:val="21"/>
          <w:szCs w:val="21"/>
        </w:rPr>
        <w:t>(*)</w:t>
      </w:r>
      <w:r w:rsidRPr="002A44A9">
        <w:rPr>
          <w:sz w:val="21"/>
          <w:szCs w:val="21"/>
        </w:rPr>
        <w:tab/>
        <w:t>Change within ± 0.05%.</w:t>
      </w:r>
      <w:r w:rsidRPr="009F567C">
        <w:rPr>
          <w:sz w:val="21"/>
          <w:szCs w:val="21"/>
        </w:rPr>
        <w:tab/>
      </w:r>
    </w:p>
    <w:p w:rsidR="00EF507D" w:rsidRPr="005256F7" w:rsidRDefault="00EF507D" w:rsidP="00EF507D">
      <w:pPr>
        <w:tabs>
          <w:tab w:val="left" w:pos="993"/>
        </w:tabs>
        <w:snapToGrid w:val="0"/>
        <w:spacing w:line="220" w:lineRule="exact"/>
        <w:ind w:left="851" w:right="237" w:hanging="851"/>
        <w:jc w:val="both"/>
        <w:rPr>
          <w:sz w:val="22"/>
        </w:rPr>
      </w:pPr>
      <w:r>
        <w:rPr>
          <w:sz w:val="21"/>
          <w:szCs w:val="21"/>
        </w:rPr>
        <w:tab/>
      </w:r>
    </w:p>
    <w:p w:rsidR="007772F9" w:rsidRDefault="007772F9">
      <w:pPr>
        <w:widowControl/>
        <w:rPr>
          <w:b/>
          <w:sz w:val="28"/>
          <w:szCs w:val="20"/>
        </w:rPr>
      </w:pPr>
      <w:r>
        <w:rPr>
          <w:b/>
          <w:sz w:val="28"/>
          <w:szCs w:val="20"/>
        </w:rPr>
        <w:br w:type="page"/>
      </w:r>
    </w:p>
    <w:p w:rsidR="00074916" w:rsidRPr="004110C3" w:rsidRDefault="00074916" w:rsidP="007227C1">
      <w:pPr>
        <w:rPr>
          <w:b/>
          <w:sz w:val="28"/>
          <w:szCs w:val="20"/>
        </w:rPr>
      </w:pPr>
      <w:r w:rsidRPr="004110C3">
        <w:rPr>
          <w:b/>
          <w:sz w:val="28"/>
          <w:szCs w:val="20"/>
        </w:rPr>
        <w:lastRenderedPageBreak/>
        <w:t>The domestic sector</w:t>
      </w:r>
    </w:p>
    <w:p w:rsidR="00074916" w:rsidRPr="004110C3" w:rsidRDefault="00074916">
      <w:pPr>
        <w:pStyle w:val="BodyText"/>
        <w:tabs>
          <w:tab w:val="left" w:pos="1080"/>
        </w:tabs>
        <w:ind w:right="26"/>
        <w:jc w:val="both"/>
        <w:rPr>
          <w:rFonts w:ascii="Times New Roman"/>
          <w:lang w:val="en-GB"/>
        </w:rPr>
      </w:pPr>
    </w:p>
    <w:p w:rsidR="00561155" w:rsidRPr="00B25A11" w:rsidRDefault="00C70DCA" w:rsidP="00AE2F42">
      <w:pPr>
        <w:pStyle w:val="BodyText"/>
        <w:numPr>
          <w:ilvl w:val="1"/>
          <w:numId w:val="19"/>
        </w:numPr>
        <w:tabs>
          <w:tab w:val="left" w:pos="1260"/>
        </w:tabs>
        <w:overflowPunct w:val="0"/>
        <w:ind w:left="0" w:right="28" w:firstLine="0"/>
        <w:jc w:val="both"/>
      </w:pPr>
      <w:r>
        <w:rPr>
          <w:rFonts w:ascii="Times New Roman"/>
          <w:lang w:val="en-GB"/>
        </w:rPr>
        <w:t xml:space="preserve">Consumption activities </w:t>
      </w:r>
      <w:r w:rsidR="00B87DE5">
        <w:rPr>
          <w:rFonts w:ascii="Times New Roman"/>
          <w:lang w:val="en-GB"/>
        </w:rPr>
        <w:t>remained weak</w:t>
      </w:r>
      <w:r w:rsidR="00B6501A">
        <w:rPr>
          <w:rFonts w:ascii="Times New Roman"/>
          <w:lang w:val="en-GB"/>
        </w:rPr>
        <w:t xml:space="preserve"> </w:t>
      </w:r>
      <w:r>
        <w:rPr>
          <w:rFonts w:ascii="Times New Roman"/>
          <w:lang w:val="en-GB"/>
        </w:rPr>
        <w:t xml:space="preserve">in the </w:t>
      </w:r>
      <w:r w:rsidR="00B87DE5">
        <w:rPr>
          <w:rFonts w:ascii="Times New Roman"/>
          <w:lang w:val="en-GB"/>
        </w:rPr>
        <w:t xml:space="preserve">third </w:t>
      </w:r>
      <w:r>
        <w:rPr>
          <w:rFonts w:ascii="Times New Roman"/>
          <w:lang w:val="en-GB"/>
        </w:rPr>
        <w:t>quarter of 202</w:t>
      </w:r>
      <w:r w:rsidR="007A21C0">
        <w:rPr>
          <w:rFonts w:ascii="Times New Roman"/>
          <w:lang w:val="en-GB"/>
        </w:rPr>
        <w:t>4</w:t>
      </w:r>
      <w:r w:rsidR="000E7952">
        <w:rPr>
          <w:rFonts w:ascii="Times New Roman"/>
          <w:lang w:val="en-GB"/>
        </w:rPr>
        <w:t xml:space="preserve"> </w:t>
      </w:r>
      <w:r w:rsidR="00B87DE5">
        <w:rPr>
          <w:rFonts w:ascii="Times New Roman"/>
          <w:lang w:val="en-GB"/>
        </w:rPr>
        <w:t>amid</w:t>
      </w:r>
      <w:r w:rsidR="004E5736">
        <w:rPr>
          <w:rFonts w:ascii="Times New Roman"/>
          <w:lang w:val="en-GB"/>
        </w:rPr>
        <w:t xml:space="preserve"> </w:t>
      </w:r>
      <w:r w:rsidR="00AC2B38">
        <w:rPr>
          <w:rFonts w:ascii="Times New Roman"/>
          <w:lang w:val="en-GB"/>
        </w:rPr>
        <w:t>the change</w:t>
      </w:r>
      <w:r w:rsidR="00AC2B38" w:rsidRPr="00956748">
        <w:rPr>
          <w:rFonts w:ascii="Times New Roman"/>
          <w:lang w:val="en-GB"/>
        </w:rPr>
        <w:t xml:space="preserve"> </w:t>
      </w:r>
      <w:r w:rsidR="00956748" w:rsidRPr="00956748">
        <w:rPr>
          <w:rFonts w:ascii="Times New Roman"/>
          <w:lang w:val="en-GB"/>
        </w:rPr>
        <w:t>in consumption patterns</w:t>
      </w:r>
      <w:r w:rsidR="002C1C73">
        <w:rPr>
          <w:rFonts w:ascii="Times New Roman"/>
          <w:lang w:val="en-GB"/>
        </w:rPr>
        <w:t xml:space="preserve"> of residents</w:t>
      </w:r>
      <w:r w:rsidR="00956748" w:rsidRPr="00956748">
        <w:rPr>
          <w:rFonts w:ascii="Times New Roman"/>
          <w:bCs/>
          <w:lang w:val="en-GB"/>
        </w:rPr>
        <w:t>.</w:t>
      </w:r>
      <w:r w:rsidR="00956748">
        <w:rPr>
          <w:rFonts w:ascii="Times New Roman"/>
          <w:bCs/>
          <w:lang w:val="en-GB"/>
        </w:rPr>
        <w:t xml:space="preserve">  </w:t>
      </w:r>
      <w:r>
        <w:rPr>
          <w:rFonts w:ascii="Times New Roman"/>
          <w:kern w:val="0"/>
          <w:lang w:val="en-GB"/>
        </w:rPr>
        <w:t>A</w:t>
      </w:r>
      <w:r>
        <w:rPr>
          <w:rFonts w:ascii="Times New Roman"/>
          <w:kern w:val="0"/>
          <w:lang w:val="en-GB" w:eastAsia="zh-HK"/>
        </w:rPr>
        <w:t xml:space="preserve">fter </w:t>
      </w:r>
      <w:r w:rsidR="00B87DE5">
        <w:rPr>
          <w:rFonts w:ascii="Times New Roman"/>
          <w:kern w:val="0"/>
          <w:lang w:val="en-GB" w:eastAsia="zh-HK"/>
        </w:rPr>
        <w:t xml:space="preserve">decreasing </w:t>
      </w:r>
      <w:r>
        <w:rPr>
          <w:rFonts w:ascii="Times New Roman"/>
          <w:kern w:val="0"/>
          <w:lang w:val="en-GB" w:eastAsia="zh-HK"/>
        </w:rPr>
        <w:t xml:space="preserve">by </w:t>
      </w:r>
      <w:r w:rsidR="00B87DE5">
        <w:rPr>
          <w:rFonts w:ascii="Times New Roman"/>
          <w:kern w:val="0"/>
          <w:lang w:val="en-GB" w:eastAsia="zh-HK"/>
        </w:rPr>
        <w:t>1.</w:t>
      </w:r>
      <w:r w:rsidR="00BC71DE">
        <w:rPr>
          <w:rFonts w:ascii="Times New Roman"/>
          <w:kern w:val="0"/>
          <w:lang w:val="en-GB" w:eastAsia="zh-HK"/>
        </w:rPr>
        <w:t>6</w:t>
      </w:r>
      <w:r w:rsidRPr="00E77331">
        <w:rPr>
          <w:rFonts w:ascii="Times New Roman"/>
          <w:kern w:val="0"/>
          <w:lang w:val="en-GB" w:eastAsia="zh-HK"/>
        </w:rPr>
        <w:t>%</w:t>
      </w:r>
      <w:r>
        <w:rPr>
          <w:rFonts w:ascii="Times New Roman"/>
          <w:kern w:val="0"/>
          <w:lang w:val="en-GB" w:eastAsia="zh-HK"/>
        </w:rPr>
        <w:t xml:space="preserve"> </w:t>
      </w:r>
      <w:r w:rsidR="00255D7A">
        <w:rPr>
          <w:rFonts w:ascii="Times New Roman"/>
          <w:kern w:val="0"/>
          <w:lang w:val="en-GB" w:eastAsia="zh-HK"/>
        </w:rPr>
        <w:t xml:space="preserve">year-on-year </w:t>
      </w:r>
      <w:r>
        <w:rPr>
          <w:rFonts w:ascii="Times New Roman"/>
          <w:kern w:val="0"/>
          <w:lang w:val="en-GB" w:eastAsia="zh-HK"/>
        </w:rPr>
        <w:t xml:space="preserve">in real terms </w:t>
      </w:r>
      <w:r w:rsidRPr="00E77331">
        <w:rPr>
          <w:rFonts w:ascii="Times New Roman" w:hint="eastAsia"/>
          <w:kern w:val="0"/>
          <w:lang w:val="en-GB" w:eastAsia="zh-HK"/>
        </w:rPr>
        <w:t>in the preceding quarter</w:t>
      </w:r>
      <w:r>
        <w:rPr>
          <w:rFonts w:ascii="Times New Roman"/>
          <w:kern w:val="0"/>
          <w:lang w:val="en-GB" w:eastAsia="zh-HK"/>
        </w:rPr>
        <w:t xml:space="preserve">, </w:t>
      </w:r>
      <w:r>
        <w:rPr>
          <w:rFonts w:ascii="Times New Roman"/>
          <w:i/>
          <w:kern w:val="0"/>
          <w:lang w:val="en-GB"/>
        </w:rPr>
        <w:t>p</w:t>
      </w:r>
      <w:r w:rsidRPr="00E77331">
        <w:rPr>
          <w:rFonts w:ascii="Times New Roman"/>
          <w:i/>
          <w:kern w:val="0"/>
          <w:lang w:val="en-GB"/>
        </w:rPr>
        <w:t>rivate consumption expenditure</w:t>
      </w:r>
      <w:r w:rsidRPr="00E77331">
        <w:rPr>
          <w:rFonts w:ascii="Times New Roman"/>
          <w:kern w:val="0"/>
          <w:lang w:val="en-GB"/>
        </w:rPr>
        <w:t xml:space="preserve"> </w:t>
      </w:r>
      <w:r w:rsidR="003A0F5B">
        <w:rPr>
          <w:rFonts w:ascii="Times New Roman"/>
          <w:kern w:val="0"/>
          <w:lang w:val="en-GB"/>
        </w:rPr>
        <w:t>decline</w:t>
      </w:r>
      <w:r w:rsidR="00845AC7">
        <w:rPr>
          <w:rFonts w:ascii="Times New Roman"/>
          <w:kern w:val="0"/>
          <w:lang w:val="en-GB"/>
        </w:rPr>
        <w:t>d further</w:t>
      </w:r>
      <w:r w:rsidR="00B87DE5">
        <w:rPr>
          <w:rFonts w:ascii="Times New Roman"/>
          <w:kern w:val="0"/>
          <w:lang w:val="en-GB"/>
        </w:rPr>
        <w:t xml:space="preserve"> </w:t>
      </w:r>
      <w:r w:rsidR="00F512E5">
        <w:rPr>
          <w:rFonts w:ascii="Times New Roman"/>
          <w:kern w:val="0"/>
          <w:lang w:val="en-GB"/>
        </w:rPr>
        <w:t xml:space="preserve">by </w:t>
      </w:r>
      <w:r w:rsidR="001958D5">
        <w:rPr>
          <w:rFonts w:ascii="Times New Roman"/>
          <w:kern w:val="0"/>
          <w:lang w:val="en-GB"/>
        </w:rPr>
        <w:t>1.3</w:t>
      </w:r>
      <w:r>
        <w:rPr>
          <w:rFonts w:ascii="Times New Roman"/>
          <w:kern w:val="0"/>
          <w:lang w:val="en-GB"/>
        </w:rPr>
        <w:t xml:space="preserve">% in the </w:t>
      </w:r>
      <w:r w:rsidR="00B87DE5">
        <w:rPr>
          <w:rFonts w:ascii="Times New Roman"/>
          <w:kern w:val="0"/>
          <w:lang w:val="en-GB"/>
        </w:rPr>
        <w:t xml:space="preserve">third </w:t>
      </w:r>
      <w:r>
        <w:rPr>
          <w:rFonts w:ascii="Times New Roman"/>
          <w:kern w:val="0"/>
          <w:lang w:val="en-GB"/>
        </w:rPr>
        <w:t>quarter</w:t>
      </w:r>
      <w:r w:rsidRPr="00E77331">
        <w:rPr>
          <w:rFonts w:ascii="Times New Roman"/>
          <w:kern w:val="0"/>
          <w:lang w:val="en-GB"/>
        </w:rPr>
        <w:t xml:space="preserve">. </w:t>
      </w:r>
      <w:r>
        <w:rPr>
          <w:rFonts w:ascii="Times New Roman"/>
          <w:kern w:val="0"/>
          <w:lang w:val="en-GB"/>
        </w:rPr>
        <w:t xml:space="preserve"> </w:t>
      </w:r>
      <w:r w:rsidRPr="00E77331">
        <w:rPr>
          <w:rFonts w:ascii="Times New Roman"/>
          <w:kern w:val="0"/>
          <w:lang w:val="en-GB"/>
        </w:rPr>
        <w:t>On</w:t>
      </w:r>
      <w:r>
        <w:rPr>
          <w:rFonts w:ascii="Times New Roman"/>
          <w:kern w:val="0"/>
          <w:lang w:val="en-GB"/>
        </w:rPr>
        <w:t xml:space="preserve"> a seasonally adjusted quarter</w:t>
      </w:r>
      <w:r>
        <w:rPr>
          <w:rFonts w:ascii="Times New Roman"/>
          <w:kern w:val="0"/>
          <w:lang w:val="en-GB"/>
        </w:rPr>
        <w:noBreakHyphen/>
        <w:t>to</w:t>
      </w:r>
      <w:r>
        <w:rPr>
          <w:rFonts w:ascii="Times New Roman"/>
          <w:kern w:val="0"/>
          <w:lang w:val="en-GB"/>
        </w:rPr>
        <w:noBreakHyphen/>
        <w:t xml:space="preserve">quarter basis, private consumption expenditure </w:t>
      </w:r>
      <w:r w:rsidR="003A0F5B">
        <w:rPr>
          <w:rFonts w:ascii="Times New Roman"/>
          <w:kern w:val="0"/>
          <w:lang w:val="en-GB"/>
        </w:rPr>
        <w:t>decreased</w:t>
      </w:r>
      <w:r w:rsidR="00FD29A7">
        <w:rPr>
          <w:rFonts w:ascii="Times New Roman"/>
          <w:kern w:val="0"/>
          <w:lang w:val="en-GB"/>
        </w:rPr>
        <w:t xml:space="preserve"> </w:t>
      </w:r>
      <w:r>
        <w:rPr>
          <w:rFonts w:ascii="Times New Roman"/>
          <w:kern w:val="0"/>
          <w:lang w:val="en-GB"/>
        </w:rPr>
        <w:t xml:space="preserve">by </w:t>
      </w:r>
      <w:r w:rsidR="001958D5">
        <w:rPr>
          <w:rFonts w:ascii="Times New Roman"/>
          <w:kern w:val="0"/>
          <w:lang w:val="en-GB"/>
        </w:rPr>
        <w:t>0.5</w:t>
      </w:r>
      <w:r>
        <w:rPr>
          <w:rFonts w:ascii="Times New Roman"/>
          <w:kern w:val="0"/>
          <w:lang w:val="en-GB"/>
        </w:rPr>
        <w:t>%</w:t>
      </w:r>
      <w:r w:rsidRPr="0004439A">
        <w:rPr>
          <w:rFonts w:ascii="Times New Roman" w:hint="eastAsia"/>
          <w:lang w:val="en-GB"/>
        </w:rPr>
        <w:t xml:space="preserve">.  </w:t>
      </w:r>
      <w:r>
        <w:rPr>
          <w:rFonts w:ascii="Times New Roman"/>
          <w:kern w:val="0"/>
          <w:lang w:val="en-GB"/>
        </w:rPr>
        <w:t>Meanwhile</w:t>
      </w:r>
      <w:r w:rsidRPr="00A06ABA">
        <w:rPr>
          <w:rFonts w:ascii="Times New Roman" w:hint="eastAsia"/>
          <w:kern w:val="0"/>
          <w:lang w:val="en-GB"/>
        </w:rPr>
        <w:t xml:space="preserve">, </w:t>
      </w:r>
      <w:r w:rsidRPr="00E66109">
        <w:rPr>
          <w:rFonts w:ascii="Times New Roman"/>
          <w:i/>
          <w:lang w:val="en-GB"/>
        </w:rPr>
        <w:t>government consumption expenditure</w:t>
      </w:r>
      <w:r w:rsidRPr="00E66109">
        <w:rPr>
          <w:rFonts w:ascii="Times New Roman"/>
          <w:lang w:val="en-GB"/>
        </w:rPr>
        <w:t xml:space="preserve"> </w:t>
      </w:r>
      <w:r w:rsidR="006966DF">
        <w:rPr>
          <w:rFonts w:ascii="Times New Roman"/>
          <w:lang w:val="en-GB"/>
        </w:rPr>
        <w:t xml:space="preserve">rose </w:t>
      </w:r>
      <w:r w:rsidRPr="00E66109">
        <w:rPr>
          <w:rFonts w:ascii="Times New Roman"/>
          <w:lang w:val="en-GB"/>
        </w:rPr>
        <w:t xml:space="preserve">by </w:t>
      </w:r>
      <w:r w:rsidR="00C44FCF">
        <w:rPr>
          <w:rFonts w:ascii="Times New Roman"/>
          <w:lang w:val="en-GB"/>
        </w:rPr>
        <w:t>2.</w:t>
      </w:r>
      <w:r w:rsidR="00BC71DE">
        <w:rPr>
          <w:rFonts w:ascii="Times New Roman"/>
          <w:lang w:val="en-GB"/>
        </w:rPr>
        <w:t>1</w:t>
      </w:r>
      <w:r w:rsidRPr="00E66109">
        <w:rPr>
          <w:rFonts w:ascii="Times New Roman"/>
          <w:lang w:val="en-GB"/>
        </w:rPr>
        <w:t xml:space="preserve">% </w:t>
      </w:r>
      <w:r>
        <w:rPr>
          <w:rFonts w:ascii="Times New Roman"/>
          <w:lang w:val="en-GB"/>
        </w:rPr>
        <w:t>year-on-year</w:t>
      </w:r>
      <w:r w:rsidRPr="00E66109">
        <w:rPr>
          <w:rFonts w:ascii="Times New Roman"/>
          <w:lang w:val="en-GB"/>
        </w:rPr>
        <w:t xml:space="preserve"> in </w:t>
      </w:r>
      <w:r>
        <w:rPr>
          <w:rFonts w:ascii="Times New Roman"/>
          <w:lang w:val="en-GB"/>
        </w:rPr>
        <w:t xml:space="preserve">the </w:t>
      </w:r>
      <w:r w:rsidR="00840577">
        <w:rPr>
          <w:rFonts w:ascii="Times New Roman"/>
          <w:lang w:val="en-GB"/>
        </w:rPr>
        <w:t xml:space="preserve">third </w:t>
      </w:r>
      <w:r>
        <w:rPr>
          <w:rFonts w:ascii="Times New Roman"/>
          <w:lang w:val="en-GB"/>
        </w:rPr>
        <w:t>quarter</w:t>
      </w:r>
      <w:r w:rsidRPr="00E66109">
        <w:rPr>
          <w:rFonts w:ascii="Times New Roman"/>
          <w:lang w:val="en-GB"/>
        </w:rPr>
        <w:t xml:space="preserve">, </w:t>
      </w:r>
      <w:r w:rsidR="0095256B">
        <w:rPr>
          <w:rFonts w:ascii="Times New Roman"/>
          <w:lang w:val="en-GB"/>
        </w:rPr>
        <w:t>after</w:t>
      </w:r>
      <w:r>
        <w:rPr>
          <w:rFonts w:ascii="Times New Roman"/>
          <w:lang w:val="en-GB"/>
        </w:rPr>
        <w:t xml:space="preserve"> </w:t>
      </w:r>
      <w:r w:rsidR="00770953">
        <w:rPr>
          <w:rFonts w:ascii="Times New Roman"/>
          <w:lang w:val="en-GB"/>
        </w:rPr>
        <w:t>rising by</w:t>
      </w:r>
      <w:r w:rsidR="00770953">
        <w:rPr>
          <w:rFonts w:ascii="Times New Roman" w:hint="eastAsia"/>
          <w:lang w:val="en-GB"/>
        </w:rPr>
        <w:t xml:space="preserve"> </w:t>
      </w:r>
      <w:r w:rsidR="005A20FE">
        <w:rPr>
          <w:rFonts w:ascii="Times New Roman"/>
          <w:lang w:val="en-GB"/>
        </w:rPr>
        <w:t>2.</w:t>
      </w:r>
      <w:r w:rsidR="00C44FCF">
        <w:rPr>
          <w:rFonts w:ascii="Times New Roman"/>
          <w:lang w:val="en-GB"/>
        </w:rPr>
        <w:t>2</w:t>
      </w:r>
      <w:r w:rsidRPr="00E66109">
        <w:rPr>
          <w:rFonts w:ascii="Times New Roman"/>
          <w:lang w:val="en-GB"/>
        </w:rPr>
        <w:t>%</w:t>
      </w:r>
      <w:r w:rsidRPr="00E66109">
        <w:rPr>
          <w:rFonts w:ascii="Times New Roman" w:hint="eastAsia"/>
          <w:lang w:val="en-GB"/>
        </w:rPr>
        <w:t xml:space="preserve"> in </w:t>
      </w:r>
      <w:r>
        <w:rPr>
          <w:rFonts w:ascii="Times New Roman"/>
          <w:lang w:val="en-GB"/>
        </w:rPr>
        <w:t>the preceding quarter</w:t>
      </w:r>
      <w:r w:rsidR="005C7F7E" w:rsidRPr="00E66109">
        <w:rPr>
          <w:rFonts w:ascii="Times New Roman"/>
          <w:lang w:val="en-GB"/>
        </w:rPr>
        <w:t>.</w:t>
      </w:r>
    </w:p>
    <w:p w:rsidR="00C17673" w:rsidRDefault="00C17673" w:rsidP="00B25A11">
      <w:pPr>
        <w:pStyle w:val="BodyText"/>
        <w:tabs>
          <w:tab w:val="left" w:pos="1260"/>
        </w:tabs>
        <w:overflowPunct w:val="0"/>
        <w:ind w:right="28"/>
        <w:jc w:val="both"/>
        <w:rPr>
          <w:rFonts w:ascii="Times New Roman"/>
          <w:bCs/>
          <w:i/>
          <w:kern w:val="0"/>
          <w:lang w:eastAsia="zh-HK"/>
        </w:rPr>
      </w:pPr>
    </w:p>
    <w:p w:rsidR="00507FC4" w:rsidRPr="004D757A" w:rsidRDefault="00507FC4" w:rsidP="004D757A">
      <w:pPr>
        <w:snapToGrid w:val="0"/>
        <w:ind w:right="-505"/>
        <w:jc w:val="center"/>
        <w:rPr>
          <w:b/>
          <w:kern w:val="0"/>
          <w:sz w:val="20"/>
          <w:szCs w:val="20"/>
          <w:lang w:eastAsia="zh-HK"/>
        </w:rPr>
      </w:pPr>
    </w:p>
    <w:p w:rsidR="00C821DE" w:rsidRPr="00327CE5" w:rsidRDefault="00C821DE" w:rsidP="00C821DE">
      <w:pPr>
        <w:spacing w:line="320" w:lineRule="exact"/>
        <w:ind w:right="-505"/>
        <w:jc w:val="center"/>
        <w:rPr>
          <w:b/>
          <w:kern w:val="0"/>
          <w:sz w:val="28"/>
        </w:rPr>
      </w:pPr>
      <w:r w:rsidRPr="00327CE5">
        <w:rPr>
          <w:b/>
          <w:kern w:val="0"/>
          <w:sz w:val="28"/>
        </w:rPr>
        <w:t>Table 1.2 : Consumer spending by major component</w:t>
      </w:r>
      <w:r w:rsidRPr="00327CE5">
        <w:rPr>
          <w:b/>
          <w:kern w:val="0"/>
          <w:sz w:val="28"/>
          <w:vertAlign w:val="superscript"/>
        </w:rPr>
        <w:t>(a)</w:t>
      </w:r>
    </w:p>
    <w:p w:rsidR="006966DF" w:rsidRPr="00E34C47" w:rsidRDefault="00C821DE" w:rsidP="00E34C47">
      <w:pPr>
        <w:spacing w:afterLines="50" w:after="180" w:line="320" w:lineRule="exact"/>
        <w:ind w:right="-505"/>
        <w:jc w:val="center"/>
        <w:rPr>
          <w:b/>
          <w:kern w:val="0"/>
          <w:sz w:val="28"/>
        </w:rPr>
      </w:pPr>
      <w:r w:rsidRPr="00327CE5">
        <w:rPr>
          <w:b/>
          <w:kern w:val="0"/>
          <w:sz w:val="28"/>
        </w:rPr>
        <w:t>(year-on-year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C821DE" w:rsidRPr="00327CE5" w:rsidTr="00382C00">
        <w:trPr>
          <w:jc w:val="center"/>
        </w:trPr>
        <w:tc>
          <w:tcPr>
            <w:tcW w:w="62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i/>
                <w:iCs/>
                <w:color w:val="000000"/>
                <w:kern w:val="0"/>
              </w:rPr>
            </w:pPr>
            <w:r w:rsidRPr="004110C3">
              <w:rPr>
                <w:i/>
                <w:iCs/>
                <w:color w:val="000000"/>
                <w:kern w:val="0"/>
              </w:rPr>
              <w:t>which :</w:t>
            </w:r>
          </w:p>
        </w:tc>
        <w:tc>
          <w:tcPr>
            <w:tcW w:w="104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r>
      <w:tr w:rsidR="00C821DE" w:rsidRPr="00327CE5" w:rsidTr="00382C00">
        <w:trPr>
          <w:jc w:val="center"/>
        </w:trPr>
        <w:tc>
          <w:tcPr>
            <w:tcW w:w="620" w:type="dxa"/>
            <w:tcBorders>
              <w:top w:val="nil"/>
              <w:left w:val="nil"/>
              <w:bottom w:val="nil"/>
              <w:right w:val="nil"/>
            </w:tcBorders>
            <w:shd w:val="clear" w:color="auto" w:fill="auto"/>
            <w:noWrap/>
            <w:vAlign w:val="bottom"/>
            <w:hideMark/>
          </w:tcPr>
          <w:p w:rsidR="00C821DE" w:rsidRPr="004110C3" w:rsidRDefault="00C821DE" w:rsidP="00C821DE">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rsidR="00C821DE" w:rsidRPr="004110C3" w:rsidRDefault="00C821DE" w:rsidP="00C821DE">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4C649D" w:rsidRPr="00327CE5" w:rsidTr="00D87308">
        <w:trPr>
          <w:trHeight w:val="287"/>
          <w:jc w:val="center"/>
        </w:trPr>
        <w:tc>
          <w:tcPr>
            <w:tcW w:w="620" w:type="dxa"/>
            <w:tcBorders>
              <w:top w:val="nil"/>
              <w:left w:val="nil"/>
              <w:bottom w:val="nil"/>
              <w:right w:val="nil"/>
            </w:tcBorders>
            <w:shd w:val="clear" w:color="auto" w:fill="auto"/>
            <w:noWrap/>
            <w:hideMark/>
          </w:tcPr>
          <w:p w:rsidR="004C649D" w:rsidRPr="004110C3" w:rsidRDefault="004C649D" w:rsidP="004C649D">
            <w:pPr>
              <w:widowControl/>
              <w:rPr>
                <w:color w:val="000000"/>
                <w:kern w:val="0"/>
              </w:rPr>
            </w:pPr>
          </w:p>
        </w:tc>
        <w:tc>
          <w:tcPr>
            <w:tcW w:w="860" w:type="dxa"/>
            <w:tcBorders>
              <w:top w:val="nil"/>
              <w:left w:val="nil"/>
              <w:bottom w:val="nil"/>
              <w:right w:val="nil"/>
            </w:tcBorders>
            <w:shd w:val="clear" w:color="auto" w:fill="auto"/>
            <w:noWrap/>
            <w:hideMark/>
          </w:tcPr>
          <w:p w:rsidR="004C649D" w:rsidRPr="00577A9B" w:rsidRDefault="004C649D" w:rsidP="002B27D0">
            <w:pPr>
              <w:widowControl/>
              <w:jc w:val="right"/>
              <w:rPr>
                <w:color w:val="000000"/>
                <w:kern w:val="0"/>
              </w:rPr>
            </w:pPr>
          </w:p>
        </w:tc>
        <w:tc>
          <w:tcPr>
            <w:tcW w:w="1400" w:type="dxa"/>
            <w:tcBorders>
              <w:top w:val="nil"/>
              <w:left w:val="nil"/>
              <w:bottom w:val="nil"/>
              <w:right w:val="nil"/>
            </w:tcBorders>
            <w:shd w:val="clear" w:color="auto" w:fill="auto"/>
            <w:noWrap/>
          </w:tcPr>
          <w:p w:rsidR="004C649D" w:rsidRPr="00CD40D7" w:rsidRDefault="004C649D" w:rsidP="004C649D">
            <w:pPr>
              <w:pStyle w:val="Heading5"/>
              <w:tabs>
                <w:tab w:val="right" w:pos="768"/>
              </w:tabs>
              <w:overflowPunct w:val="0"/>
              <w:spacing w:line="240" w:lineRule="exact"/>
              <w:ind w:left="-108"/>
              <w:jc w:val="left"/>
              <w:rPr>
                <w:rFonts w:ascii="Times New Roman"/>
                <w:color w:val="000000"/>
                <w:kern w:val="0"/>
                <w:sz w:val="24"/>
                <w:szCs w:val="24"/>
                <w:lang w:val="en-GB"/>
              </w:rPr>
            </w:pPr>
          </w:p>
        </w:tc>
        <w:tc>
          <w:tcPr>
            <w:tcW w:w="740" w:type="dxa"/>
            <w:tcBorders>
              <w:top w:val="nil"/>
              <w:left w:val="nil"/>
              <w:bottom w:val="nil"/>
              <w:right w:val="nil"/>
            </w:tcBorders>
            <w:shd w:val="clear" w:color="auto" w:fill="auto"/>
            <w:noWrap/>
            <w:vAlign w:val="center"/>
          </w:tcPr>
          <w:p w:rsidR="004C649D" w:rsidRPr="00CD40D7" w:rsidRDefault="004C649D" w:rsidP="004C649D">
            <w:pPr>
              <w:pStyle w:val="Heading5"/>
              <w:tabs>
                <w:tab w:val="right" w:pos="528"/>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rsidR="004C649D" w:rsidRPr="00CD40D7" w:rsidRDefault="004C649D" w:rsidP="004C649D">
            <w:pPr>
              <w:pStyle w:val="Heading5"/>
              <w:tabs>
                <w:tab w:val="right" w:pos="64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rsidR="004C649D" w:rsidRPr="00CD40D7" w:rsidRDefault="004C649D" w:rsidP="004C649D">
            <w:pPr>
              <w:pStyle w:val="Heading5"/>
              <w:tabs>
                <w:tab w:val="right" w:pos="624"/>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rsidR="004C649D" w:rsidRPr="00CD40D7" w:rsidRDefault="004C649D" w:rsidP="004C649D">
            <w:pPr>
              <w:pStyle w:val="Heading5"/>
              <w:tabs>
                <w:tab w:val="right" w:pos="624"/>
              </w:tabs>
              <w:overflowPunct w:val="0"/>
              <w:spacing w:line="240" w:lineRule="exact"/>
              <w:ind w:left="-108"/>
              <w:jc w:val="left"/>
              <w:rPr>
                <w:rFonts w:ascii="Times New Roman"/>
                <w:kern w:val="0"/>
                <w:sz w:val="24"/>
                <w:szCs w:val="24"/>
                <w:lang w:val="en-GB"/>
              </w:rPr>
            </w:pPr>
          </w:p>
        </w:tc>
        <w:tc>
          <w:tcPr>
            <w:tcW w:w="1300" w:type="dxa"/>
            <w:tcBorders>
              <w:top w:val="nil"/>
              <w:left w:val="nil"/>
              <w:bottom w:val="nil"/>
              <w:right w:val="nil"/>
            </w:tcBorders>
            <w:shd w:val="clear" w:color="auto" w:fill="auto"/>
            <w:noWrap/>
            <w:vAlign w:val="center"/>
          </w:tcPr>
          <w:p w:rsidR="004C649D" w:rsidRPr="00CD40D7" w:rsidRDefault="004C649D" w:rsidP="004C649D">
            <w:pPr>
              <w:pStyle w:val="Heading5"/>
              <w:tabs>
                <w:tab w:val="right" w:pos="76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rsidR="004C649D" w:rsidRPr="00CD40D7" w:rsidRDefault="004C649D" w:rsidP="004C649D">
            <w:pPr>
              <w:pStyle w:val="Heading5"/>
              <w:tabs>
                <w:tab w:val="right" w:pos="720"/>
              </w:tabs>
              <w:overflowPunct w:val="0"/>
              <w:spacing w:line="240" w:lineRule="exact"/>
              <w:ind w:left="-108"/>
              <w:jc w:val="left"/>
              <w:rPr>
                <w:rFonts w:ascii="Times New Roman"/>
                <w:kern w:val="0"/>
                <w:sz w:val="24"/>
                <w:szCs w:val="24"/>
                <w:lang w:val="en-GB"/>
              </w:rPr>
            </w:pPr>
          </w:p>
        </w:tc>
        <w:tc>
          <w:tcPr>
            <w:tcW w:w="1480" w:type="dxa"/>
            <w:tcBorders>
              <w:top w:val="nil"/>
              <w:left w:val="nil"/>
              <w:bottom w:val="nil"/>
              <w:right w:val="nil"/>
            </w:tcBorders>
            <w:shd w:val="clear" w:color="auto" w:fill="auto"/>
            <w:noWrap/>
            <w:vAlign w:val="center"/>
          </w:tcPr>
          <w:p w:rsidR="004C649D" w:rsidRPr="00CD40D7" w:rsidRDefault="004C649D" w:rsidP="004C649D">
            <w:pPr>
              <w:pStyle w:val="Heading5"/>
              <w:tabs>
                <w:tab w:val="right" w:pos="888"/>
              </w:tabs>
              <w:overflowPunct w:val="0"/>
              <w:spacing w:line="240" w:lineRule="exact"/>
              <w:ind w:left="-108"/>
              <w:jc w:val="left"/>
              <w:rPr>
                <w:rFonts w:ascii="Times New Roman"/>
                <w:kern w:val="0"/>
                <w:sz w:val="24"/>
                <w:szCs w:val="24"/>
                <w:lang w:val="en-GB"/>
              </w:rPr>
            </w:pPr>
          </w:p>
        </w:tc>
      </w:tr>
      <w:tr w:rsidR="004C649D" w:rsidRPr="006A0497" w:rsidTr="00CB3067">
        <w:trPr>
          <w:trHeight w:val="182"/>
          <w:jc w:val="center"/>
        </w:trPr>
        <w:tc>
          <w:tcPr>
            <w:tcW w:w="620" w:type="dxa"/>
            <w:tcBorders>
              <w:top w:val="nil"/>
              <w:left w:val="nil"/>
              <w:bottom w:val="nil"/>
              <w:right w:val="nil"/>
            </w:tcBorders>
            <w:shd w:val="clear" w:color="auto" w:fill="auto"/>
            <w:noWrap/>
            <w:vAlign w:val="center"/>
            <w:hideMark/>
          </w:tcPr>
          <w:p w:rsidR="004C649D" w:rsidRPr="006A0497" w:rsidRDefault="004C649D" w:rsidP="002B27D0">
            <w:pPr>
              <w:widowControl/>
              <w:jc w:val="both"/>
              <w:rPr>
                <w:color w:val="000000"/>
                <w:kern w:val="0"/>
              </w:rPr>
            </w:pPr>
            <w:r w:rsidRPr="006A0497">
              <w:rPr>
                <w:color w:val="000000"/>
                <w:kern w:val="0"/>
              </w:rPr>
              <w:t>20</w:t>
            </w:r>
            <w:r>
              <w:rPr>
                <w:color w:val="000000"/>
                <w:kern w:val="0"/>
              </w:rPr>
              <w:t>2</w:t>
            </w:r>
            <w:r w:rsidR="002B27D0">
              <w:rPr>
                <w:color w:val="000000"/>
                <w:kern w:val="0"/>
              </w:rPr>
              <w:t>3</w:t>
            </w:r>
          </w:p>
        </w:tc>
        <w:tc>
          <w:tcPr>
            <w:tcW w:w="860" w:type="dxa"/>
            <w:tcBorders>
              <w:top w:val="nil"/>
              <w:left w:val="nil"/>
              <w:bottom w:val="nil"/>
              <w:right w:val="nil"/>
            </w:tcBorders>
            <w:shd w:val="clear" w:color="auto" w:fill="auto"/>
            <w:noWrap/>
            <w:vAlign w:val="center"/>
            <w:hideMark/>
          </w:tcPr>
          <w:p w:rsidR="004C649D" w:rsidRPr="00577A9B" w:rsidRDefault="004C649D" w:rsidP="002B27D0">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rsidR="004C649D" w:rsidRPr="00CD40D7" w:rsidRDefault="0051543A">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8.</w:t>
            </w:r>
            <w:r w:rsidR="006E1C04">
              <w:rPr>
                <w:rFonts w:ascii="Times New Roman"/>
                <w:kern w:val="0"/>
                <w:sz w:val="24"/>
                <w:szCs w:val="24"/>
                <w:u w:val="none"/>
                <w:lang w:val="en-GB"/>
              </w:rPr>
              <w:t>8</w:t>
            </w:r>
          </w:p>
        </w:tc>
        <w:tc>
          <w:tcPr>
            <w:tcW w:w="740" w:type="dxa"/>
            <w:tcBorders>
              <w:top w:val="nil"/>
              <w:left w:val="nil"/>
              <w:bottom w:val="nil"/>
              <w:right w:val="nil"/>
            </w:tcBorders>
            <w:shd w:val="clear" w:color="auto" w:fill="auto"/>
            <w:noWrap/>
            <w:vAlign w:val="center"/>
          </w:tcPr>
          <w:p w:rsidR="004C649D" w:rsidRPr="00CD40D7" w:rsidRDefault="0051543A" w:rsidP="00CD40D7">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0.</w:t>
            </w:r>
            <w:r w:rsidR="00CD40D7" w:rsidRPr="00CD40D7">
              <w:rPr>
                <w:rFonts w:ascii="Times New Roman"/>
                <w:kern w:val="0"/>
                <w:sz w:val="24"/>
                <w:szCs w:val="24"/>
                <w:u w:val="none"/>
                <w:lang w:val="en-GB"/>
              </w:rPr>
              <w:t>4</w:t>
            </w:r>
          </w:p>
        </w:tc>
        <w:tc>
          <w:tcPr>
            <w:tcW w:w="1000" w:type="dxa"/>
            <w:tcBorders>
              <w:top w:val="nil"/>
              <w:left w:val="nil"/>
              <w:bottom w:val="nil"/>
              <w:right w:val="nil"/>
            </w:tcBorders>
            <w:shd w:val="clear" w:color="auto" w:fill="auto"/>
            <w:noWrap/>
            <w:vAlign w:val="center"/>
          </w:tcPr>
          <w:p w:rsidR="004C649D" w:rsidRPr="00CD40D7" w:rsidRDefault="0051543A" w:rsidP="00E20FC1">
            <w:pPr>
              <w:pStyle w:val="Heading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12.1</w:t>
            </w:r>
          </w:p>
        </w:tc>
        <w:tc>
          <w:tcPr>
            <w:tcW w:w="1040" w:type="dxa"/>
            <w:tcBorders>
              <w:top w:val="nil"/>
              <w:left w:val="nil"/>
              <w:bottom w:val="nil"/>
              <w:right w:val="nil"/>
            </w:tcBorders>
            <w:shd w:val="clear" w:color="auto" w:fill="auto"/>
            <w:noWrap/>
            <w:vAlign w:val="center"/>
          </w:tcPr>
          <w:p w:rsidR="004C649D" w:rsidRPr="00CD40D7" w:rsidRDefault="0051543A" w:rsidP="00CD40D7">
            <w:pPr>
              <w:pStyle w:val="Heading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22.</w:t>
            </w:r>
            <w:r w:rsidR="00CD40D7" w:rsidRPr="00CD40D7">
              <w:rPr>
                <w:rFonts w:ascii="Times New Roman"/>
                <w:kern w:val="0"/>
                <w:sz w:val="24"/>
                <w:szCs w:val="24"/>
                <w:u w:val="none"/>
                <w:lang w:val="en-GB" w:eastAsia="zh-HK"/>
              </w:rPr>
              <w:t>8</w:t>
            </w:r>
          </w:p>
        </w:tc>
        <w:tc>
          <w:tcPr>
            <w:tcW w:w="1000" w:type="dxa"/>
            <w:tcBorders>
              <w:top w:val="nil"/>
              <w:left w:val="nil"/>
              <w:bottom w:val="nil"/>
              <w:right w:val="nil"/>
            </w:tcBorders>
            <w:shd w:val="clear" w:color="auto" w:fill="auto"/>
            <w:noWrap/>
            <w:vAlign w:val="center"/>
          </w:tcPr>
          <w:p w:rsidR="004C649D" w:rsidRPr="00CD40D7" w:rsidRDefault="006E1C04" w:rsidP="004C649D">
            <w:pPr>
              <w:pStyle w:val="Heading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6.0</w:t>
            </w:r>
          </w:p>
        </w:tc>
        <w:tc>
          <w:tcPr>
            <w:tcW w:w="1300" w:type="dxa"/>
            <w:tcBorders>
              <w:top w:val="nil"/>
              <w:left w:val="nil"/>
              <w:bottom w:val="nil"/>
              <w:right w:val="nil"/>
            </w:tcBorders>
            <w:shd w:val="clear" w:color="auto" w:fill="auto"/>
            <w:noWrap/>
            <w:vAlign w:val="center"/>
          </w:tcPr>
          <w:p w:rsidR="004C649D" w:rsidRPr="00CD40D7" w:rsidRDefault="006E1C04" w:rsidP="00CD40D7">
            <w:pPr>
              <w:pStyle w:val="Heading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292.1</w:t>
            </w:r>
          </w:p>
        </w:tc>
        <w:tc>
          <w:tcPr>
            <w:tcW w:w="1040" w:type="dxa"/>
            <w:tcBorders>
              <w:top w:val="nil"/>
              <w:left w:val="nil"/>
              <w:bottom w:val="nil"/>
              <w:right w:val="nil"/>
            </w:tcBorders>
            <w:shd w:val="clear" w:color="auto" w:fill="auto"/>
            <w:noWrap/>
            <w:vAlign w:val="center"/>
          </w:tcPr>
          <w:p w:rsidR="004C649D" w:rsidRPr="00CD40D7" w:rsidRDefault="006E1C04" w:rsidP="00CD40D7">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499.6</w:t>
            </w:r>
          </w:p>
        </w:tc>
        <w:tc>
          <w:tcPr>
            <w:tcW w:w="1480" w:type="dxa"/>
            <w:tcBorders>
              <w:top w:val="nil"/>
              <w:left w:val="nil"/>
              <w:bottom w:val="nil"/>
              <w:right w:val="nil"/>
            </w:tcBorders>
            <w:shd w:val="clear" w:color="auto" w:fill="auto"/>
            <w:noWrap/>
            <w:vAlign w:val="center"/>
          </w:tcPr>
          <w:p w:rsidR="004C649D" w:rsidRPr="00CD40D7" w:rsidRDefault="00DE1BF0">
            <w:pPr>
              <w:pStyle w:val="Heading5"/>
              <w:tabs>
                <w:tab w:val="right" w:pos="528"/>
                <w:tab w:val="right" w:pos="912"/>
              </w:tabs>
              <w:overflowPunct w:val="0"/>
              <w:spacing w:line="240" w:lineRule="exact"/>
              <w:ind w:left="-108"/>
              <w:rPr>
                <w:rFonts w:ascii="Times New Roman"/>
                <w:kern w:val="0"/>
                <w:sz w:val="24"/>
                <w:szCs w:val="24"/>
                <w:u w:val="none"/>
                <w:lang w:val="en-HK" w:eastAsia="zh-HK"/>
              </w:rPr>
            </w:pPr>
            <w:r w:rsidRPr="00CD40D7">
              <w:rPr>
                <w:rFonts w:ascii="Times New Roman"/>
                <w:kern w:val="0"/>
                <w:sz w:val="24"/>
                <w:szCs w:val="24"/>
                <w:u w:val="none"/>
                <w:lang w:val="en-GB" w:eastAsia="zh-HK"/>
              </w:rPr>
              <w:t>7.</w:t>
            </w:r>
            <w:r w:rsidR="006E1C04">
              <w:rPr>
                <w:rFonts w:ascii="Times New Roman"/>
                <w:kern w:val="0"/>
                <w:sz w:val="24"/>
                <w:szCs w:val="24"/>
                <w:u w:val="none"/>
                <w:lang w:val="en-GB" w:eastAsia="zh-HK"/>
              </w:rPr>
              <w:t>7</w:t>
            </w:r>
          </w:p>
        </w:tc>
      </w:tr>
      <w:tr w:rsidR="002B27D0" w:rsidRPr="00327CE5" w:rsidTr="004110C3">
        <w:trPr>
          <w:trHeight w:val="360"/>
          <w:jc w:val="center"/>
        </w:trPr>
        <w:tc>
          <w:tcPr>
            <w:tcW w:w="620" w:type="dxa"/>
            <w:tcBorders>
              <w:top w:val="nil"/>
              <w:left w:val="nil"/>
              <w:bottom w:val="nil"/>
              <w:right w:val="nil"/>
            </w:tcBorders>
            <w:shd w:val="clear" w:color="auto" w:fill="auto"/>
            <w:noWrap/>
            <w:hideMark/>
          </w:tcPr>
          <w:p w:rsidR="002B27D0" w:rsidRPr="004110C3" w:rsidRDefault="002B27D0" w:rsidP="002B27D0">
            <w:pPr>
              <w:widowControl/>
              <w:rPr>
                <w:color w:val="000000"/>
                <w:kern w:val="0"/>
              </w:rPr>
            </w:pPr>
          </w:p>
        </w:tc>
        <w:tc>
          <w:tcPr>
            <w:tcW w:w="860" w:type="dxa"/>
            <w:tcBorders>
              <w:top w:val="nil"/>
              <w:left w:val="nil"/>
              <w:bottom w:val="nil"/>
              <w:right w:val="nil"/>
            </w:tcBorders>
            <w:shd w:val="clear" w:color="auto" w:fill="auto"/>
            <w:noWrap/>
            <w:vAlign w:val="center"/>
            <w:hideMark/>
          </w:tcPr>
          <w:p w:rsidR="002B27D0" w:rsidRPr="00577A9B" w:rsidRDefault="002B27D0" w:rsidP="002B27D0">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rsidR="002B27D0" w:rsidRPr="00CD40D7" w:rsidRDefault="0051543A" w:rsidP="002B27D0">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14.2</w:t>
            </w:r>
          </w:p>
        </w:tc>
        <w:tc>
          <w:tcPr>
            <w:tcW w:w="740" w:type="dxa"/>
            <w:tcBorders>
              <w:top w:val="nil"/>
              <w:left w:val="nil"/>
              <w:bottom w:val="nil"/>
              <w:right w:val="nil"/>
            </w:tcBorders>
            <w:shd w:val="clear" w:color="auto" w:fill="auto"/>
            <w:noWrap/>
            <w:vAlign w:val="center"/>
          </w:tcPr>
          <w:p w:rsidR="002B27D0" w:rsidRPr="00CD40D7" w:rsidRDefault="0051543A" w:rsidP="002B27D0">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7.2</w:t>
            </w:r>
          </w:p>
        </w:tc>
        <w:tc>
          <w:tcPr>
            <w:tcW w:w="1000" w:type="dxa"/>
            <w:tcBorders>
              <w:top w:val="nil"/>
              <w:left w:val="nil"/>
              <w:bottom w:val="nil"/>
              <w:right w:val="nil"/>
            </w:tcBorders>
            <w:shd w:val="clear" w:color="auto" w:fill="auto"/>
            <w:noWrap/>
            <w:vAlign w:val="center"/>
          </w:tcPr>
          <w:p w:rsidR="002B27D0" w:rsidRPr="00CD40D7" w:rsidRDefault="0051543A" w:rsidP="002B27D0">
            <w:pPr>
              <w:pStyle w:val="Heading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24.9</w:t>
            </w:r>
          </w:p>
        </w:tc>
        <w:tc>
          <w:tcPr>
            <w:tcW w:w="1040" w:type="dxa"/>
            <w:tcBorders>
              <w:top w:val="nil"/>
              <w:left w:val="nil"/>
              <w:bottom w:val="nil"/>
              <w:right w:val="nil"/>
            </w:tcBorders>
            <w:shd w:val="clear" w:color="auto" w:fill="auto"/>
            <w:noWrap/>
            <w:vAlign w:val="center"/>
          </w:tcPr>
          <w:p w:rsidR="002B27D0" w:rsidRPr="00CD40D7" w:rsidRDefault="002B27D0" w:rsidP="002B27D0">
            <w:pPr>
              <w:pStyle w:val="Heading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3</w:t>
            </w:r>
            <w:r w:rsidRPr="00CD40D7">
              <w:rPr>
                <w:rFonts w:ascii="Times New Roman"/>
                <w:kern w:val="0"/>
                <w:sz w:val="24"/>
                <w:szCs w:val="24"/>
                <w:u w:val="none"/>
                <w:lang w:val="en-GB"/>
              </w:rPr>
              <w:t>2</w:t>
            </w:r>
            <w:r w:rsidRPr="00CD40D7">
              <w:rPr>
                <w:rFonts w:ascii="Times New Roman" w:hint="eastAsia"/>
                <w:kern w:val="0"/>
                <w:sz w:val="24"/>
                <w:szCs w:val="24"/>
                <w:u w:val="none"/>
                <w:lang w:val="en-GB"/>
              </w:rPr>
              <w:t>.2</w:t>
            </w:r>
          </w:p>
        </w:tc>
        <w:tc>
          <w:tcPr>
            <w:tcW w:w="1000" w:type="dxa"/>
            <w:tcBorders>
              <w:top w:val="nil"/>
              <w:left w:val="nil"/>
              <w:bottom w:val="nil"/>
              <w:right w:val="nil"/>
            </w:tcBorders>
            <w:shd w:val="clear" w:color="auto" w:fill="auto"/>
            <w:noWrap/>
            <w:vAlign w:val="center"/>
          </w:tcPr>
          <w:p w:rsidR="002B27D0" w:rsidRPr="00CD40D7" w:rsidRDefault="00DE1BF0">
            <w:pPr>
              <w:pStyle w:val="Heading5"/>
              <w:tabs>
                <w:tab w:val="right" w:pos="528"/>
                <w:tab w:val="right" w:pos="576"/>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9.</w:t>
            </w:r>
            <w:r w:rsidR="006E1C04">
              <w:rPr>
                <w:rFonts w:ascii="Times New Roman"/>
                <w:kern w:val="0"/>
                <w:sz w:val="24"/>
                <w:szCs w:val="24"/>
                <w:u w:val="none"/>
                <w:lang w:val="en-GB"/>
              </w:rPr>
              <w:t>5</w:t>
            </w:r>
          </w:p>
        </w:tc>
        <w:tc>
          <w:tcPr>
            <w:tcW w:w="1300" w:type="dxa"/>
            <w:tcBorders>
              <w:top w:val="nil"/>
              <w:left w:val="nil"/>
              <w:bottom w:val="nil"/>
              <w:right w:val="nil"/>
            </w:tcBorders>
            <w:shd w:val="clear" w:color="auto" w:fill="auto"/>
            <w:noWrap/>
            <w:vAlign w:val="center"/>
          </w:tcPr>
          <w:p w:rsidR="002B27D0" w:rsidRPr="00CD40D7" w:rsidRDefault="006E1C04" w:rsidP="002B27D0">
            <w:pPr>
              <w:pStyle w:val="Heading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317.7</w:t>
            </w:r>
          </w:p>
        </w:tc>
        <w:tc>
          <w:tcPr>
            <w:tcW w:w="1040" w:type="dxa"/>
            <w:tcBorders>
              <w:top w:val="nil"/>
              <w:left w:val="nil"/>
              <w:bottom w:val="nil"/>
              <w:right w:val="nil"/>
            </w:tcBorders>
            <w:shd w:val="clear" w:color="auto" w:fill="auto"/>
            <w:noWrap/>
            <w:vAlign w:val="center"/>
          </w:tcPr>
          <w:p w:rsidR="002B27D0" w:rsidRPr="00CD40D7" w:rsidRDefault="00DE1BF0">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48</w:t>
            </w:r>
            <w:r w:rsidR="006E1C04">
              <w:rPr>
                <w:rFonts w:ascii="Times New Roman"/>
                <w:kern w:val="0"/>
                <w:sz w:val="24"/>
                <w:szCs w:val="24"/>
                <w:u w:val="none"/>
                <w:lang w:val="en-GB"/>
              </w:rPr>
              <w:t>5.0</w:t>
            </w:r>
          </w:p>
        </w:tc>
        <w:tc>
          <w:tcPr>
            <w:tcW w:w="1480" w:type="dxa"/>
            <w:tcBorders>
              <w:top w:val="nil"/>
              <w:left w:val="nil"/>
              <w:bottom w:val="nil"/>
              <w:right w:val="nil"/>
            </w:tcBorders>
            <w:shd w:val="clear" w:color="auto" w:fill="auto"/>
            <w:noWrap/>
            <w:vAlign w:val="center"/>
          </w:tcPr>
          <w:p w:rsidR="002B27D0" w:rsidRPr="00CD40D7" w:rsidRDefault="00DE1BF0">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1</w:t>
            </w:r>
            <w:r w:rsidR="006E1C04">
              <w:rPr>
                <w:rFonts w:ascii="Times New Roman"/>
                <w:kern w:val="0"/>
                <w:sz w:val="24"/>
                <w:szCs w:val="24"/>
                <w:u w:val="none"/>
                <w:lang w:val="en-GB"/>
              </w:rPr>
              <w:t>3.0</w:t>
            </w:r>
          </w:p>
        </w:tc>
      </w:tr>
      <w:tr w:rsidR="002B27D0" w:rsidRPr="00327CE5" w:rsidTr="004110C3">
        <w:trPr>
          <w:trHeight w:val="360"/>
          <w:jc w:val="center"/>
        </w:trPr>
        <w:tc>
          <w:tcPr>
            <w:tcW w:w="620" w:type="dxa"/>
            <w:tcBorders>
              <w:top w:val="nil"/>
              <w:left w:val="nil"/>
              <w:bottom w:val="nil"/>
              <w:right w:val="nil"/>
            </w:tcBorders>
            <w:shd w:val="clear" w:color="auto" w:fill="auto"/>
            <w:noWrap/>
            <w:hideMark/>
          </w:tcPr>
          <w:p w:rsidR="002B27D0" w:rsidRPr="004110C3" w:rsidRDefault="002B27D0" w:rsidP="002B27D0">
            <w:pPr>
              <w:widowControl/>
              <w:rPr>
                <w:color w:val="000000"/>
                <w:kern w:val="0"/>
              </w:rPr>
            </w:pPr>
          </w:p>
        </w:tc>
        <w:tc>
          <w:tcPr>
            <w:tcW w:w="860" w:type="dxa"/>
            <w:tcBorders>
              <w:top w:val="nil"/>
              <w:left w:val="nil"/>
              <w:bottom w:val="nil"/>
              <w:right w:val="nil"/>
            </w:tcBorders>
            <w:shd w:val="clear" w:color="auto" w:fill="auto"/>
            <w:noWrap/>
            <w:vAlign w:val="center"/>
            <w:hideMark/>
          </w:tcPr>
          <w:p w:rsidR="002B27D0" w:rsidRPr="00577A9B" w:rsidRDefault="002B27D0" w:rsidP="002B27D0">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rsidR="002B27D0" w:rsidRPr="00CD40D7" w:rsidRDefault="002B27D0">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9.</w:t>
            </w:r>
            <w:r w:rsidR="006E1C04">
              <w:rPr>
                <w:rFonts w:ascii="Times New Roman"/>
                <w:kern w:val="0"/>
                <w:sz w:val="24"/>
                <w:szCs w:val="24"/>
                <w:u w:val="none"/>
                <w:lang w:val="en-GB"/>
              </w:rPr>
              <w:t>6</w:t>
            </w:r>
          </w:p>
        </w:tc>
        <w:tc>
          <w:tcPr>
            <w:tcW w:w="740" w:type="dxa"/>
            <w:tcBorders>
              <w:top w:val="nil"/>
              <w:left w:val="nil"/>
              <w:bottom w:val="nil"/>
              <w:right w:val="nil"/>
            </w:tcBorders>
            <w:shd w:val="clear" w:color="auto" w:fill="auto"/>
            <w:noWrap/>
            <w:vAlign w:val="center"/>
          </w:tcPr>
          <w:p w:rsidR="002B27D0" w:rsidRPr="00CD40D7" w:rsidRDefault="002B27D0" w:rsidP="002B27D0">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0.6</w:t>
            </w:r>
          </w:p>
        </w:tc>
        <w:tc>
          <w:tcPr>
            <w:tcW w:w="1000" w:type="dxa"/>
            <w:tcBorders>
              <w:top w:val="nil"/>
              <w:left w:val="nil"/>
              <w:bottom w:val="nil"/>
              <w:right w:val="nil"/>
            </w:tcBorders>
            <w:shd w:val="clear" w:color="auto" w:fill="auto"/>
            <w:noWrap/>
            <w:vAlign w:val="center"/>
          </w:tcPr>
          <w:p w:rsidR="002B27D0" w:rsidRPr="00CD40D7" w:rsidRDefault="002B27D0" w:rsidP="002B27D0">
            <w:pPr>
              <w:pStyle w:val="Heading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23.5</w:t>
            </w:r>
          </w:p>
        </w:tc>
        <w:tc>
          <w:tcPr>
            <w:tcW w:w="1040" w:type="dxa"/>
            <w:tcBorders>
              <w:top w:val="nil"/>
              <w:left w:val="nil"/>
              <w:bottom w:val="nil"/>
              <w:right w:val="nil"/>
            </w:tcBorders>
            <w:shd w:val="clear" w:color="auto" w:fill="auto"/>
            <w:noWrap/>
            <w:vAlign w:val="center"/>
          </w:tcPr>
          <w:p w:rsidR="002B27D0" w:rsidRPr="00CD40D7" w:rsidRDefault="002B27D0" w:rsidP="002B27D0">
            <w:pPr>
              <w:pStyle w:val="Heading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21.3</w:t>
            </w:r>
          </w:p>
        </w:tc>
        <w:tc>
          <w:tcPr>
            <w:tcW w:w="1000" w:type="dxa"/>
            <w:tcBorders>
              <w:top w:val="nil"/>
              <w:left w:val="nil"/>
              <w:bottom w:val="nil"/>
              <w:right w:val="nil"/>
            </w:tcBorders>
            <w:shd w:val="clear" w:color="auto" w:fill="auto"/>
            <w:noWrap/>
            <w:vAlign w:val="center"/>
          </w:tcPr>
          <w:p w:rsidR="002B27D0" w:rsidRPr="00CD40D7" w:rsidRDefault="006E1C04" w:rsidP="002B27D0">
            <w:pPr>
              <w:pStyle w:val="Heading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6.1</w:t>
            </w:r>
          </w:p>
        </w:tc>
        <w:tc>
          <w:tcPr>
            <w:tcW w:w="1300" w:type="dxa"/>
            <w:tcBorders>
              <w:top w:val="nil"/>
              <w:left w:val="nil"/>
              <w:bottom w:val="nil"/>
              <w:right w:val="nil"/>
            </w:tcBorders>
            <w:shd w:val="clear" w:color="auto" w:fill="auto"/>
            <w:noWrap/>
            <w:vAlign w:val="center"/>
          </w:tcPr>
          <w:p w:rsidR="002B27D0" w:rsidRPr="00CD40D7" w:rsidRDefault="00DE1BF0">
            <w:pPr>
              <w:pStyle w:val="Heading5"/>
              <w:tabs>
                <w:tab w:val="right" w:pos="528"/>
                <w:tab w:val="right" w:pos="703"/>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4</w:t>
            </w:r>
            <w:r w:rsidR="006E1C04">
              <w:rPr>
                <w:rFonts w:ascii="Times New Roman"/>
                <w:kern w:val="0"/>
                <w:sz w:val="24"/>
                <w:szCs w:val="24"/>
                <w:u w:val="none"/>
                <w:lang w:val="en-GB"/>
              </w:rPr>
              <w:t>11.4</w:t>
            </w:r>
          </w:p>
        </w:tc>
        <w:tc>
          <w:tcPr>
            <w:tcW w:w="1040" w:type="dxa"/>
            <w:tcBorders>
              <w:top w:val="nil"/>
              <w:left w:val="nil"/>
              <w:bottom w:val="nil"/>
              <w:right w:val="nil"/>
            </w:tcBorders>
            <w:shd w:val="clear" w:color="auto" w:fill="auto"/>
            <w:noWrap/>
            <w:vAlign w:val="center"/>
          </w:tcPr>
          <w:p w:rsidR="002B27D0" w:rsidRPr="00CD40D7" w:rsidRDefault="002B27D0">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73</w:t>
            </w:r>
            <w:r w:rsidR="006E1C04">
              <w:rPr>
                <w:rFonts w:ascii="Times New Roman"/>
                <w:kern w:val="0"/>
                <w:sz w:val="24"/>
                <w:szCs w:val="24"/>
                <w:u w:val="none"/>
                <w:lang w:val="en-GB"/>
              </w:rPr>
              <w:t>6.5</w:t>
            </w:r>
          </w:p>
        </w:tc>
        <w:tc>
          <w:tcPr>
            <w:tcW w:w="1480" w:type="dxa"/>
            <w:tcBorders>
              <w:top w:val="nil"/>
              <w:left w:val="nil"/>
              <w:bottom w:val="nil"/>
              <w:right w:val="nil"/>
            </w:tcBorders>
            <w:shd w:val="clear" w:color="auto" w:fill="auto"/>
            <w:noWrap/>
            <w:vAlign w:val="center"/>
          </w:tcPr>
          <w:p w:rsidR="002B27D0" w:rsidRPr="00CD40D7" w:rsidRDefault="006E1C04" w:rsidP="002B27D0">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rPr>
              <w:t>8.4</w:t>
            </w:r>
          </w:p>
        </w:tc>
      </w:tr>
      <w:tr w:rsidR="002B27D0" w:rsidRPr="00327CE5" w:rsidTr="004110C3">
        <w:trPr>
          <w:trHeight w:val="360"/>
          <w:jc w:val="center"/>
        </w:trPr>
        <w:tc>
          <w:tcPr>
            <w:tcW w:w="620" w:type="dxa"/>
            <w:tcBorders>
              <w:top w:val="nil"/>
              <w:left w:val="nil"/>
              <w:bottom w:val="nil"/>
              <w:right w:val="nil"/>
            </w:tcBorders>
            <w:shd w:val="clear" w:color="auto" w:fill="auto"/>
            <w:noWrap/>
            <w:hideMark/>
          </w:tcPr>
          <w:p w:rsidR="002B27D0" w:rsidRPr="004110C3" w:rsidRDefault="002B27D0" w:rsidP="002B27D0">
            <w:pPr>
              <w:widowControl/>
              <w:rPr>
                <w:color w:val="000000"/>
                <w:kern w:val="0"/>
              </w:rPr>
            </w:pPr>
          </w:p>
        </w:tc>
        <w:tc>
          <w:tcPr>
            <w:tcW w:w="860" w:type="dxa"/>
            <w:tcBorders>
              <w:top w:val="nil"/>
              <w:left w:val="nil"/>
              <w:bottom w:val="nil"/>
              <w:right w:val="nil"/>
            </w:tcBorders>
            <w:shd w:val="clear" w:color="auto" w:fill="auto"/>
            <w:noWrap/>
            <w:vAlign w:val="center"/>
            <w:hideMark/>
          </w:tcPr>
          <w:p w:rsidR="002B27D0" w:rsidRPr="00577A9B" w:rsidRDefault="002B27D0" w:rsidP="002B27D0">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rsidR="002B27D0" w:rsidRPr="00CD40D7" w:rsidRDefault="002B27D0">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7.</w:t>
            </w:r>
            <w:r w:rsidR="006E1C04">
              <w:rPr>
                <w:rFonts w:ascii="Times New Roman"/>
                <w:kern w:val="0"/>
                <w:sz w:val="24"/>
                <w:szCs w:val="24"/>
                <w:u w:val="none"/>
                <w:lang w:val="en-GB"/>
              </w:rPr>
              <w:t>7</w:t>
            </w:r>
          </w:p>
        </w:tc>
        <w:tc>
          <w:tcPr>
            <w:tcW w:w="740" w:type="dxa"/>
            <w:tcBorders>
              <w:top w:val="nil"/>
              <w:left w:val="nil"/>
              <w:bottom w:val="nil"/>
              <w:right w:val="nil"/>
            </w:tcBorders>
            <w:shd w:val="clear" w:color="auto" w:fill="auto"/>
            <w:noWrap/>
            <w:vAlign w:val="center"/>
          </w:tcPr>
          <w:p w:rsidR="002B27D0" w:rsidRPr="00CD40D7" w:rsidRDefault="002B27D0" w:rsidP="002B27D0">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-1.3</w:t>
            </w:r>
          </w:p>
        </w:tc>
        <w:tc>
          <w:tcPr>
            <w:tcW w:w="1000" w:type="dxa"/>
            <w:tcBorders>
              <w:top w:val="nil"/>
              <w:left w:val="nil"/>
              <w:bottom w:val="nil"/>
              <w:right w:val="nil"/>
            </w:tcBorders>
            <w:shd w:val="clear" w:color="auto" w:fill="auto"/>
            <w:noWrap/>
            <w:vAlign w:val="center"/>
          </w:tcPr>
          <w:p w:rsidR="002B27D0" w:rsidRPr="00CD40D7" w:rsidRDefault="002B27D0" w:rsidP="002B27D0">
            <w:pPr>
              <w:pStyle w:val="Heading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9.7</w:t>
            </w:r>
          </w:p>
        </w:tc>
        <w:tc>
          <w:tcPr>
            <w:tcW w:w="1040" w:type="dxa"/>
            <w:tcBorders>
              <w:top w:val="nil"/>
              <w:left w:val="nil"/>
              <w:bottom w:val="nil"/>
              <w:right w:val="nil"/>
            </w:tcBorders>
            <w:shd w:val="clear" w:color="auto" w:fill="auto"/>
            <w:noWrap/>
            <w:vAlign w:val="center"/>
          </w:tcPr>
          <w:p w:rsidR="002B27D0" w:rsidRPr="00CD40D7" w:rsidRDefault="002B27D0" w:rsidP="002B27D0">
            <w:pPr>
              <w:pStyle w:val="Heading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21.7</w:t>
            </w:r>
          </w:p>
        </w:tc>
        <w:tc>
          <w:tcPr>
            <w:tcW w:w="1000" w:type="dxa"/>
            <w:tcBorders>
              <w:top w:val="nil"/>
              <w:left w:val="nil"/>
              <w:bottom w:val="nil"/>
              <w:right w:val="nil"/>
            </w:tcBorders>
            <w:shd w:val="clear" w:color="auto" w:fill="auto"/>
            <w:noWrap/>
            <w:vAlign w:val="center"/>
          </w:tcPr>
          <w:p w:rsidR="002B27D0" w:rsidRPr="00CD40D7" w:rsidRDefault="006E1C04" w:rsidP="002B27D0">
            <w:pPr>
              <w:pStyle w:val="Heading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5.3</w:t>
            </w:r>
          </w:p>
        </w:tc>
        <w:tc>
          <w:tcPr>
            <w:tcW w:w="1300" w:type="dxa"/>
            <w:tcBorders>
              <w:top w:val="nil"/>
              <w:left w:val="nil"/>
              <w:bottom w:val="nil"/>
              <w:right w:val="nil"/>
            </w:tcBorders>
            <w:shd w:val="clear" w:color="auto" w:fill="auto"/>
            <w:noWrap/>
            <w:vAlign w:val="center"/>
          </w:tcPr>
          <w:p w:rsidR="002B27D0" w:rsidRPr="00CD40D7" w:rsidRDefault="002B27D0">
            <w:pPr>
              <w:pStyle w:val="Heading5"/>
              <w:tabs>
                <w:tab w:val="right" w:pos="528"/>
                <w:tab w:val="right" w:pos="703"/>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3</w:t>
            </w:r>
            <w:r w:rsidR="006E1C04">
              <w:rPr>
                <w:rFonts w:ascii="Times New Roman"/>
                <w:kern w:val="0"/>
                <w:sz w:val="24"/>
                <w:szCs w:val="24"/>
                <w:u w:val="none"/>
                <w:lang w:val="en-GB"/>
              </w:rPr>
              <w:t>81.7</w:t>
            </w:r>
          </w:p>
        </w:tc>
        <w:tc>
          <w:tcPr>
            <w:tcW w:w="1040" w:type="dxa"/>
            <w:tcBorders>
              <w:top w:val="nil"/>
              <w:left w:val="nil"/>
              <w:bottom w:val="nil"/>
              <w:right w:val="nil"/>
            </w:tcBorders>
            <w:shd w:val="clear" w:color="auto" w:fill="auto"/>
            <w:noWrap/>
            <w:vAlign w:val="center"/>
          </w:tcPr>
          <w:p w:rsidR="002B27D0" w:rsidRPr="00CD40D7" w:rsidRDefault="002B27D0">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74</w:t>
            </w:r>
            <w:r w:rsidR="006E1C04">
              <w:rPr>
                <w:rFonts w:ascii="Times New Roman"/>
                <w:kern w:val="0"/>
                <w:sz w:val="24"/>
                <w:szCs w:val="24"/>
                <w:u w:val="none"/>
                <w:lang w:val="en-GB"/>
              </w:rPr>
              <w:t>0.6</w:t>
            </w:r>
          </w:p>
        </w:tc>
        <w:tc>
          <w:tcPr>
            <w:tcW w:w="1480" w:type="dxa"/>
            <w:tcBorders>
              <w:top w:val="nil"/>
              <w:left w:val="nil"/>
              <w:bottom w:val="nil"/>
              <w:right w:val="nil"/>
            </w:tcBorders>
            <w:shd w:val="clear" w:color="auto" w:fill="auto"/>
            <w:noWrap/>
            <w:vAlign w:val="center"/>
          </w:tcPr>
          <w:p w:rsidR="002B27D0" w:rsidRPr="00CD40D7" w:rsidRDefault="00B25A11">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6.</w:t>
            </w:r>
            <w:r w:rsidR="006E1C04">
              <w:rPr>
                <w:rFonts w:ascii="Times New Roman"/>
                <w:kern w:val="0"/>
                <w:sz w:val="24"/>
                <w:szCs w:val="24"/>
                <w:u w:val="none"/>
                <w:lang w:val="en-GB"/>
              </w:rPr>
              <w:t>7</w:t>
            </w:r>
          </w:p>
        </w:tc>
      </w:tr>
      <w:tr w:rsidR="004C649D" w:rsidRPr="006A0497" w:rsidTr="004110C3">
        <w:trPr>
          <w:trHeight w:val="360"/>
          <w:jc w:val="center"/>
        </w:trPr>
        <w:tc>
          <w:tcPr>
            <w:tcW w:w="620" w:type="dxa"/>
            <w:tcBorders>
              <w:top w:val="nil"/>
              <w:left w:val="nil"/>
              <w:bottom w:val="nil"/>
              <w:right w:val="nil"/>
            </w:tcBorders>
            <w:shd w:val="clear" w:color="auto" w:fill="auto"/>
            <w:noWrap/>
            <w:hideMark/>
          </w:tcPr>
          <w:p w:rsidR="004C649D" w:rsidRPr="006A0497" w:rsidRDefault="004C649D" w:rsidP="004C649D">
            <w:pPr>
              <w:widowControl/>
              <w:rPr>
                <w:color w:val="000000"/>
                <w:kern w:val="0"/>
              </w:rPr>
            </w:pPr>
          </w:p>
        </w:tc>
        <w:tc>
          <w:tcPr>
            <w:tcW w:w="860" w:type="dxa"/>
            <w:tcBorders>
              <w:top w:val="nil"/>
              <w:left w:val="nil"/>
              <w:bottom w:val="nil"/>
              <w:right w:val="nil"/>
            </w:tcBorders>
            <w:shd w:val="clear" w:color="auto" w:fill="auto"/>
            <w:noWrap/>
            <w:vAlign w:val="center"/>
            <w:hideMark/>
          </w:tcPr>
          <w:p w:rsidR="004C649D" w:rsidRPr="00577A9B" w:rsidRDefault="004C649D" w:rsidP="002B27D0">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rsidR="004C649D" w:rsidRPr="00CD40D7" w:rsidRDefault="0051543A">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4.</w:t>
            </w:r>
            <w:r w:rsidR="006E1C04">
              <w:rPr>
                <w:rFonts w:ascii="Times New Roman"/>
                <w:kern w:val="0"/>
                <w:sz w:val="24"/>
                <w:szCs w:val="24"/>
                <w:u w:val="none"/>
                <w:lang w:val="en-GB"/>
              </w:rPr>
              <w:t>6</w:t>
            </w:r>
          </w:p>
        </w:tc>
        <w:tc>
          <w:tcPr>
            <w:tcW w:w="740" w:type="dxa"/>
            <w:tcBorders>
              <w:top w:val="nil"/>
              <w:left w:val="nil"/>
              <w:bottom w:val="nil"/>
              <w:right w:val="nil"/>
            </w:tcBorders>
            <w:shd w:val="clear" w:color="auto" w:fill="auto"/>
            <w:noWrap/>
            <w:vAlign w:val="center"/>
          </w:tcPr>
          <w:p w:rsidR="004C649D" w:rsidRPr="00CD40D7" w:rsidRDefault="004C649D" w:rsidP="00CD40D7">
            <w:pPr>
              <w:pStyle w:val="Heading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w:t>
            </w:r>
            <w:r w:rsidR="0051543A" w:rsidRPr="00CD40D7">
              <w:rPr>
                <w:rFonts w:ascii="Times New Roman" w:hint="eastAsia"/>
                <w:kern w:val="0"/>
                <w:sz w:val="24"/>
                <w:szCs w:val="24"/>
                <w:u w:val="none"/>
                <w:lang w:val="en-GB"/>
              </w:rPr>
              <w:t>4.</w:t>
            </w:r>
            <w:r w:rsidR="00CD40D7" w:rsidRPr="00CD40D7">
              <w:rPr>
                <w:rFonts w:ascii="Times New Roman"/>
                <w:kern w:val="0"/>
                <w:sz w:val="24"/>
                <w:szCs w:val="24"/>
                <w:u w:val="none"/>
                <w:lang w:val="en-GB"/>
              </w:rPr>
              <w:t>3</w:t>
            </w:r>
          </w:p>
        </w:tc>
        <w:tc>
          <w:tcPr>
            <w:tcW w:w="1000" w:type="dxa"/>
            <w:tcBorders>
              <w:top w:val="nil"/>
              <w:left w:val="nil"/>
              <w:bottom w:val="nil"/>
              <w:right w:val="nil"/>
            </w:tcBorders>
            <w:shd w:val="clear" w:color="auto" w:fill="auto"/>
            <w:noWrap/>
            <w:vAlign w:val="center"/>
          </w:tcPr>
          <w:p w:rsidR="004C649D" w:rsidRPr="00CD40D7" w:rsidRDefault="0051543A" w:rsidP="00E20FC1">
            <w:pPr>
              <w:pStyle w:val="Heading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-1.5</w:t>
            </w:r>
          </w:p>
        </w:tc>
        <w:tc>
          <w:tcPr>
            <w:tcW w:w="1040" w:type="dxa"/>
            <w:tcBorders>
              <w:top w:val="nil"/>
              <w:left w:val="nil"/>
              <w:bottom w:val="nil"/>
              <w:right w:val="nil"/>
            </w:tcBorders>
            <w:shd w:val="clear" w:color="auto" w:fill="auto"/>
            <w:noWrap/>
            <w:vAlign w:val="center"/>
          </w:tcPr>
          <w:p w:rsidR="004C649D" w:rsidRPr="00CD40D7" w:rsidRDefault="0051543A" w:rsidP="00CD40D7">
            <w:pPr>
              <w:pStyle w:val="Heading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18.</w:t>
            </w:r>
            <w:r w:rsidR="00CD40D7" w:rsidRPr="00CD40D7">
              <w:rPr>
                <w:rFonts w:ascii="Times New Roman"/>
                <w:kern w:val="0"/>
                <w:sz w:val="24"/>
                <w:szCs w:val="24"/>
                <w:u w:val="none"/>
                <w:lang w:val="en-GB" w:eastAsia="zh-HK"/>
              </w:rPr>
              <w:t>1</w:t>
            </w:r>
          </w:p>
        </w:tc>
        <w:tc>
          <w:tcPr>
            <w:tcW w:w="1000" w:type="dxa"/>
            <w:tcBorders>
              <w:top w:val="nil"/>
              <w:left w:val="nil"/>
              <w:bottom w:val="nil"/>
              <w:right w:val="nil"/>
            </w:tcBorders>
            <w:shd w:val="clear" w:color="auto" w:fill="auto"/>
            <w:noWrap/>
            <w:vAlign w:val="center"/>
          </w:tcPr>
          <w:p w:rsidR="004C649D" w:rsidRPr="00CD40D7" w:rsidRDefault="006E1C04" w:rsidP="00CD40D7">
            <w:pPr>
              <w:pStyle w:val="Heading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3.4</w:t>
            </w:r>
          </w:p>
        </w:tc>
        <w:tc>
          <w:tcPr>
            <w:tcW w:w="1300" w:type="dxa"/>
            <w:tcBorders>
              <w:top w:val="nil"/>
              <w:left w:val="nil"/>
              <w:bottom w:val="nil"/>
              <w:right w:val="nil"/>
            </w:tcBorders>
            <w:shd w:val="clear" w:color="auto" w:fill="auto"/>
            <w:noWrap/>
            <w:vAlign w:val="center"/>
          </w:tcPr>
          <w:p w:rsidR="004C649D" w:rsidRPr="00CD40D7" w:rsidRDefault="00DE1BF0">
            <w:pPr>
              <w:pStyle w:val="Heading5"/>
              <w:tabs>
                <w:tab w:val="right" w:pos="528"/>
                <w:tab w:val="right" w:pos="703"/>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1</w:t>
            </w:r>
            <w:r w:rsidR="006E1C04">
              <w:rPr>
                <w:rFonts w:ascii="Times New Roman"/>
                <w:kern w:val="0"/>
                <w:sz w:val="24"/>
                <w:szCs w:val="24"/>
                <w:u w:val="none"/>
                <w:lang w:val="en-GB" w:eastAsia="zh-HK"/>
              </w:rPr>
              <w:t>79.8</w:t>
            </w:r>
          </w:p>
        </w:tc>
        <w:tc>
          <w:tcPr>
            <w:tcW w:w="1040" w:type="dxa"/>
            <w:tcBorders>
              <w:top w:val="nil"/>
              <w:left w:val="nil"/>
              <w:bottom w:val="nil"/>
              <w:right w:val="nil"/>
            </w:tcBorders>
            <w:shd w:val="clear" w:color="auto" w:fill="auto"/>
            <w:noWrap/>
            <w:vAlign w:val="center"/>
          </w:tcPr>
          <w:p w:rsidR="004C649D" w:rsidRPr="00CD40D7" w:rsidRDefault="00DE1BF0">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30</w:t>
            </w:r>
            <w:r w:rsidR="006E1C04">
              <w:rPr>
                <w:rFonts w:ascii="Times New Roman"/>
                <w:kern w:val="0"/>
                <w:sz w:val="24"/>
                <w:szCs w:val="24"/>
                <w:u w:val="none"/>
                <w:lang w:val="en-GB" w:eastAsia="zh-HK"/>
              </w:rPr>
              <w:t>0.5</w:t>
            </w:r>
          </w:p>
        </w:tc>
        <w:tc>
          <w:tcPr>
            <w:tcW w:w="1480" w:type="dxa"/>
            <w:tcBorders>
              <w:top w:val="nil"/>
              <w:left w:val="nil"/>
              <w:bottom w:val="nil"/>
              <w:right w:val="nil"/>
            </w:tcBorders>
            <w:shd w:val="clear" w:color="auto" w:fill="auto"/>
            <w:noWrap/>
            <w:vAlign w:val="center"/>
          </w:tcPr>
          <w:p w:rsidR="004C649D" w:rsidRPr="00CD40D7" w:rsidRDefault="00B25A11">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3.</w:t>
            </w:r>
            <w:r w:rsidR="006E1C04">
              <w:rPr>
                <w:rFonts w:ascii="Times New Roman"/>
                <w:kern w:val="0"/>
                <w:sz w:val="24"/>
                <w:szCs w:val="24"/>
                <w:u w:val="none"/>
                <w:lang w:val="en-GB" w:eastAsia="zh-HK"/>
              </w:rPr>
              <w:t>5</w:t>
            </w:r>
          </w:p>
        </w:tc>
      </w:tr>
      <w:tr w:rsidR="00C70DCA" w:rsidRPr="006A0497" w:rsidTr="004110C3">
        <w:trPr>
          <w:trHeight w:val="360"/>
          <w:jc w:val="center"/>
        </w:trPr>
        <w:tc>
          <w:tcPr>
            <w:tcW w:w="620" w:type="dxa"/>
            <w:tcBorders>
              <w:top w:val="nil"/>
              <w:left w:val="nil"/>
              <w:bottom w:val="nil"/>
              <w:right w:val="nil"/>
            </w:tcBorders>
            <w:shd w:val="clear" w:color="auto" w:fill="auto"/>
            <w:noWrap/>
          </w:tcPr>
          <w:p w:rsidR="00C70DCA" w:rsidRPr="006A0497" w:rsidRDefault="00C70DCA" w:rsidP="004C649D">
            <w:pPr>
              <w:widowControl/>
              <w:rPr>
                <w:color w:val="000000"/>
                <w:kern w:val="0"/>
              </w:rPr>
            </w:pPr>
          </w:p>
        </w:tc>
        <w:tc>
          <w:tcPr>
            <w:tcW w:w="860" w:type="dxa"/>
            <w:tcBorders>
              <w:top w:val="nil"/>
              <w:left w:val="nil"/>
              <w:bottom w:val="nil"/>
              <w:right w:val="nil"/>
            </w:tcBorders>
            <w:shd w:val="clear" w:color="auto" w:fill="auto"/>
            <w:noWrap/>
            <w:vAlign w:val="center"/>
          </w:tcPr>
          <w:p w:rsidR="00C70DCA" w:rsidRPr="00577A9B" w:rsidRDefault="00C70DCA" w:rsidP="002B27D0">
            <w:pPr>
              <w:widowControl/>
              <w:jc w:val="right"/>
              <w:rPr>
                <w:color w:val="000000"/>
                <w:kern w:val="0"/>
              </w:rPr>
            </w:pPr>
          </w:p>
        </w:tc>
        <w:tc>
          <w:tcPr>
            <w:tcW w:w="1400" w:type="dxa"/>
            <w:tcBorders>
              <w:top w:val="nil"/>
              <w:left w:val="nil"/>
              <w:bottom w:val="nil"/>
              <w:right w:val="nil"/>
            </w:tcBorders>
            <w:shd w:val="clear" w:color="auto" w:fill="auto"/>
            <w:noWrap/>
            <w:vAlign w:val="center"/>
          </w:tcPr>
          <w:p w:rsidR="00C70DCA" w:rsidRPr="00CD40D7" w:rsidRDefault="00C70DCA" w:rsidP="00CD40D7">
            <w:pPr>
              <w:pStyle w:val="Heading5"/>
              <w:tabs>
                <w:tab w:val="right" w:pos="528"/>
              </w:tabs>
              <w:spacing w:line="240" w:lineRule="exact"/>
              <w:ind w:left="-108"/>
              <w:rPr>
                <w:rFonts w:ascii="Times New Roman"/>
                <w:kern w:val="0"/>
                <w:sz w:val="24"/>
                <w:szCs w:val="24"/>
                <w:u w:val="none"/>
                <w:lang w:val="en-GB"/>
              </w:rPr>
            </w:pPr>
          </w:p>
        </w:tc>
        <w:tc>
          <w:tcPr>
            <w:tcW w:w="740" w:type="dxa"/>
            <w:tcBorders>
              <w:top w:val="nil"/>
              <w:left w:val="nil"/>
              <w:bottom w:val="nil"/>
              <w:right w:val="nil"/>
            </w:tcBorders>
            <w:shd w:val="clear" w:color="auto" w:fill="auto"/>
            <w:noWrap/>
            <w:vAlign w:val="center"/>
          </w:tcPr>
          <w:p w:rsidR="00C70DCA" w:rsidRPr="00CD40D7" w:rsidRDefault="00C70DCA" w:rsidP="00CD40D7">
            <w:pPr>
              <w:pStyle w:val="Heading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C70DCA" w:rsidRPr="00CD40D7" w:rsidRDefault="00C70DCA" w:rsidP="00E20FC1">
            <w:pPr>
              <w:pStyle w:val="Heading5"/>
              <w:tabs>
                <w:tab w:val="right" w:pos="528"/>
                <w:tab w:val="right" w:pos="648"/>
              </w:tabs>
              <w:spacing w:line="240" w:lineRule="exact"/>
              <w:ind w:left="-108"/>
              <w:rPr>
                <w:rFonts w:ascii="Times New Roman"/>
                <w:kern w:val="0"/>
                <w:sz w:val="24"/>
                <w:szCs w:val="24"/>
                <w:u w:val="none"/>
                <w:lang w:val="en-GB"/>
              </w:rPr>
            </w:pPr>
          </w:p>
        </w:tc>
        <w:tc>
          <w:tcPr>
            <w:tcW w:w="1040" w:type="dxa"/>
            <w:tcBorders>
              <w:top w:val="nil"/>
              <w:left w:val="nil"/>
              <w:bottom w:val="nil"/>
              <w:right w:val="nil"/>
            </w:tcBorders>
            <w:shd w:val="clear" w:color="auto" w:fill="auto"/>
            <w:noWrap/>
            <w:vAlign w:val="center"/>
          </w:tcPr>
          <w:p w:rsidR="00C70DCA" w:rsidRPr="00CD40D7" w:rsidRDefault="00C70DCA" w:rsidP="00CD40D7">
            <w:pPr>
              <w:pStyle w:val="Heading5"/>
              <w:tabs>
                <w:tab w:val="right" w:pos="528"/>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C70DCA" w:rsidRPr="00CD40D7" w:rsidRDefault="00C70DCA" w:rsidP="00CD40D7">
            <w:pPr>
              <w:pStyle w:val="Heading5"/>
              <w:tabs>
                <w:tab w:val="right" w:pos="528"/>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rsidR="00C70DCA" w:rsidRPr="00CD40D7" w:rsidRDefault="00C70DCA" w:rsidP="00CD40D7">
            <w:pPr>
              <w:pStyle w:val="Heading5"/>
              <w:tabs>
                <w:tab w:val="right" w:pos="528"/>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rsidR="00C70DCA" w:rsidRPr="00CD40D7" w:rsidRDefault="00C70DCA" w:rsidP="00CD40D7">
            <w:pPr>
              <w:pStyle w:val="Heading5"/>
              <w:tabs>
                <w:tab w:val="right" w:pos="528"/>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rsidR="00C70DCA" w:rsidRPr="00CD40D7" w:rsidRDefault="00C70DCA" w:rsidP="00CD40D7">
            <w:pPr>
              <w:pStyle w:val="Heading5"/>
              <w:tabs>
                <w:tab w:val="right" w:pos="528"/>
                <w:tab w:val="right" w:pos="912"/>
              </w:tabs>
              <w:overflowPunct w:val="0"/>
              <w:spacing w:line="240" w:lineRule="exact"/>
              <w:ind w:left="-108"/>
              <w:rPr>
                <w:rFonts w:ascii="Times New Roman"/>
                <w:kern w:val="0"/>
                <w:sz w:val="24"/>
                <w:szCs w:val="24"/>
                <w:u w:val="none"/>
                <w:lang w:val="en-GB" w:eastAsia="zh-HK"/>
              </w:rPr>
            </w:pPr>
          </w:p>
        </w:tc>
      </w:tr>
      <w:tr w:rsidR="00C70DCA" w:rsidRPr="006A0497" w:rsidTr="00AB195E">
        <w:trPr>
          <w:trHeight w:val="360"/>
          <w:jc w:val="center"/>
        </w:trPr>
        <w:tc>
          <w:tcPr>
            <w:tcW w:w="620" w:type="dxa"/>
            <w:tcBorders>
              <w:top w:val="nil"/>
              <w:left w:val="nil"/>
              <w:bottom w:val="nil"/>
              <w:right w:val="nil"/>
            </w:tcBorders>
            <w:shd w:val="clear" w:color="auto" w:fill="auto"/>
            <w:noWrap/>
            <w:vAlign w:val="center"/>
          </w:tcPr>
          <w:p w:rsidR="00C70DCA" w:rsidRPr="006A0497" w:rsidRDefault="00C70DCA" w:rsidP="00AB195E">
            <w:pPr>
              <w:widowControl/>
              <w:rPr>
                <w:color w:val="000000"/>
                <w:kern w:val="0"/>
              </w:rPr>
            </w:pPr>
            <w:r>
              <w:rPr>
                <w:color w:val="000000"/>
                <w:kern w:val="0"/>
              </w:rPr>
              <w:t>2024</w:t>
            </w:r>
          </w:p>
        </w:tc>
        <w:tc>
          <w:tcPr>
            <w:tcW w:w="860" w:type="dxa"/>
            <w:tcBorders>
              <w:top w:val="nil"/>
              <w:left w:val="nil"/>
              <w:bottom w:val="nil"/>
              <w:right w:val="nil"/>
            </w:tcBorders>
            <w:shd w:val="clear" w:color="auto" w:fill="auto"/>
            <w:noWrap/>
            <w:vAlign w:val="center"/>
          </w:tcPr>
          <w:p w:rsidR="00C70DCA" w:rsidRPr="00577A9B" w:rsidRDefault="00C70DCA" w:rsidP="002B27D0">
            <w:pPr>
              <w:widowControl/>
              <w:jc w:val="right"/>
              <w:rPr>
                <w:color w:val="000000"/>
                <w:kern w:val="0"/>
              </w:rPr>
            </w:pPr>
            <w:r>
              <w:rPr>
                <w:color w:val="000000"/>
                <w:kern w:val="0"/>
              </w:rPr>
              <w:t>Q1</w:t>
            </w:r>
          </w:p>
        </w:tc>
        <w:tc>
          <w:tcPr>
            <w:tcW w:w="1400" w:type="dxa"/>
            <w:tcBorders>
              <w:top w:val="nil"/>
              <w:left w:val="nil"/>
              <w:bottom w:val="nil"/>
              <w:right w:val="nil"/>
            </w:tcBorders>
            <w:shd w:val="clear" w:color="auto" w:fill="auto"/>
            <w:noWrap/>
            <w:vAlign w:val="center"/>
          </w:tcPr>
          <w:p w:rsidR="00C70DCA" w:rsidRPr="00CD40D7" w:rsidRDefault="009F6949">
            <w:pPr>
              <w:pStyle w:val="Heading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w:t>
            </w:r>
            <w:r w:rsidR="003514EE">
              <w:rPr>
                <w:rFonts w:ascii="Times New Roman"/>
                <w:kern w:val="0"/>
                <w:sz w:val="24"/>
                <w:szCs w:val="24"/>
                <w:u w:val="none"/>
                <w:lang w:val="en-GB"/>
              </w:rPr>
              <w:t>3</w:t>
            </w:r>
          </w:p>
        </w:tc>
        <w:tc>
          <w:tcPr>
            <w:tcW w:w="740" w:type="dxa"/>
            <w:tcBorders>
              <w:top w:val="nil"/>
              <w:left w:val="nil"/>
              <w:bottom w:val="nil"/>
              <w:right w:val="nil"/>
            </w:tcBorders>
            <w:shd w:val="clear" w:color="auto" w:fill="auto"/>
            <w:noWrap/>
            <w:vAlign w:val="center"/>
          </w:tcPr>
          <w:p w:rsidR="00C70DCA" w:rsidRPr="00CD40D7" w:rsidRDefault="006E1C04">
            <w:pPr>
              <w:pStyle w:val="Heading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w:t>
            </w:r>
            <w:r w:rsidR="009F6949">
              <w:rPr>
                <w:rFonts w:ascii="Times New Roman"/>
                <w:kern w:val="0"/>
                <w:sz w:val="24"/>
                <w:szCs w:val="24"/>
                <w:u w:val="none"/>
                <w:lang w:val="en-GB" w:eastAsia="zh-HK"/>
              </w:rPr>
              <w:t>2</w:t>
            </w:r>
          </w:p>
        </w:tc>
        <w:tc>
          <w:tcPr>
            <w:tcW w:w="1000" w:type="dxa"/>
            <w:tcBorders>
              <w:top w:val="nil"/>
              <w:left w:val="nil"/>
              <w:bottom w:val="nil"/>
              <w:right w:val="nil"/>
            </w:tcBorders>
            <w:shd w:val="clear" w:color="auto" w:fill="auto"/>
            <w:noWrap/>
            <w:vAlign w:val="center"/>
          </w:tcPr>
          <w:p w:rsidR="00C70DCA" w:rsidRPr="00CD40D7" w:rsidRDefault="009F6949" w:rsidP="00E20FC1">
            <w:pPr>
              <w:pStyle w:val="Heading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-11.8</w:t>
            </w:r>
          </w:p>
        </w:tc>
        <w:tc>
          <w:tcPr>
            <w:tcW w:w="1040" w:type="dxa"/>
            <w:tcBorders>
              <w:top w:val="nil"/>
              <w:left w:val="nil"/>
              <w:bottom w:val="nil"/>
              <w:right w:val="nil"/>
            </w:tcBorders>
            <w:shd w:val="clear" w:color="auto" w:fill="auto"/>
            <w:noWrap/>
            <w:vAlign w:val="center"/>
          </w:tcPr>
          <w:p w:rsidR="00C70DCA" w:rsidRPr="00CD40D7" w:rsidRDefault="009F6949" w:rsidP="00CD40D7">
            <w:pPr>
              <w:pStyle w:val="Heading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1.8</w:t>
            </w:r>
          </w:p>
        </w:tc>
        <w:tc>
          <w:tcPr>
            <w:tcW w:w="1000" w:type="dxa"/>
            <w:tcBorders>
              <w:top w:val="nil"/>
              <w:left w:val="nil"/>
              <w:bottom w:val="nil"/>
              <w:right w:val="nil"/>
            </w:tcBorders>
            <w:shd w:val="clear" w:color="auto" w:fill="auto"/>
            <w:noWrap/>
            <w:vAlign w:val="center"/>
          </w:tcPr>
          <w:p w:rsidR="00C70DCA" w:rsidRPr="00CD40D7" w:rsidRDefault="001E4754">
            <w:pPr>
              <w:pStyle w:val="Heading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w:t>
            </w:r>
            <w:r w:rsidR="00236F3D">
              <w:rPr>
                <w:rFonts w:ascii="Times New Roman"/>
                <w:kern w:val="0"/>
                <w:sz w:val="24"/>
                <w:szCs w:val="24"/>
                <w:u w:val="none"/>
                <w:lang w:val="en-GB" w:eastAsia="zh-HK"/>
              </w:rPr>
              <w:t>5</w:t>
            </w:r>
          </w:p>
        </w:tc>
        <w:tc>
          <w:tcPr>
            <w:tcW w:w="1300" w:type="dxa"/>
            <w:tcBorders>
              <w:top w:val="nil"/>
              <w:left w:val="nil"/>
              <w:bottom w:val="nil"/>
              <w:right w:val="nil"/>
            </w:tcBorders>
            <w:shd w:val="clear" w:color="auto" w:fill="auto"/>
            <w:noWrap/>
            <w:vAlign w:val="center"/>
          </w:tcPr>
          <w:p w:rsidR="00C70DCA" w:rsidRPr="00CD40D7" w:rsidRDefault="00236F3D" w:rsidP="00CD40D7">
            <w:pPr>
              <w:pStyle w:val="Heading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64.7</w:t>
            </w:r>
          </w:p>
        </w:tc>
        <w:tc>
          <w:tcPr>
            <w:tcW w:w="1040" w:type="dxa"/>
            <w:tcBorders>
              <w:top w:val="nil"/>
              <w:left w:val="nil"/>
              <w:bottom w:val="nil"/>
              <w:right w:val="nil"/>
            </w:tcBorders>
            <w:shd w:val="clear" w:color="auto" w:fill="auto"/>
            <w:noWrap/>
            <w:vAlign w:val="center"/>
          </w:tcPr>
          <w:p w:rsidR="00C70DCA" w:rsidRPr="00CD40D7" w:rsidRDefault="00236F3D" w:rsidP="00CD40D7">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42.9</w:t>
            </w:r>
          </w:p>
        </w:tc>
        <w:tc>
          <w:tcPr>
            <w:tcW w:w="1480" w:type="dxa"/>
            <w:tcBorders>
              <w:top w:val="nil"/>
              <w:left w:val="nil"/>
              <w:bottom w:val="nil"/>
              <w:right w:val="nil"/>
            </w:tcBorders>
            <w:shd w:val="clear" w:color="auto" w:fill="auto"/>
            <w:noWrap/>
            <w:vAlign w:val="center"/>
          </w:tcPr>
          <w:p w:rsidR="00C70DCA" w:rsidRPr="00CD40D7" w:rsidRDefault="006E1C04">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sidR="00236F3D">
              <w:rPr>
                <w:rFonts w:ascii="Times New Roman"/>
                <w:kern w:val="0"/>
                <w:sz w:val="24"/>
                <w:szCs w:val="24"/>
                <w:u w:val="none"/>
                <w:lang w:val="en-GB" w:eastAsia="zh-HK"/>
              </w:rPr>
              <w:t>2</w:t>
            </w:r>
          </w:p>
        </w:tc>
      </w:tr>
      <w:tr w:rsidR="00F359AC" w:rsidRPr="00BF6DEC" w:rsidTr="00AB195E">
        <w:trPr>
          <w:trHeight w:val="360"/>
          <w:jc w:val="center"/>
        </w:trPr>
        <w:tc>
          <w:tcPr>
            <w:tcW w:w="620" w:type="dxa"/>
            <w:tcBorders>
              <w:top w:val="nil"/>
              <w:left w:val="nil"/>
              <w:bottom w:val="nil"/>
              <w:right w:val="nil"/>
            </w:tcBorders>
            <w:shd w:val="clear" w:color="auto" w:fill="auto"/>
            <w:noWrap/>
            <w:vAlign w:val="center"/>
          </w:tcPr>
          <w:p w:rsidR="00F359AC" w:rsidRDefault="00F359AC" w:rsidP="00F359AC">
            <w:pPr>
              <w:widowControl/>
              <w:rPr>
                <w:color w:val="000000"/>
                <w:kern w:val="0"/>
              </w:rPr>
            </w:pPr>
          </w:p>
        </w:tc>
        <w:tc>
          <w:tcPr>
            <w:tcW w:w="860" w:type="dxa"/>
            <w:tcBorders>
              <w:top w:val="nil"/>
              <w:left w:val="nil"/>
              <w:bottom w:val="nil"/>
              <w:right w:val="nil"/>
            </w:tcBorders>
            <w:shd w:val="clear" w:color="auto" w:fill="auto"/>
            <w:noWrap/>
            <w:vAlign w:val="center"/>
          </w:tcPr>
          <w:p w:rsidR="00F359AC" w:rsidRPr="005A20FE" w:rsidRDefault="00F359AC" w:rsidP="00F359AC">
            <w:pPr>
              <w:widowControl/>
              <w:jc w:val="right"/>
              <w:rPr>
                <w:color w:val="000000"/>
                <w:kern w:val="0"/>
              </w:rPr>
            </w:pPr>
            <w:r w:rsidRPr="005A20FE">
              <w:rPr>
                <w:color w:val="000000"/>
                <w:kern w:val="0"/>
              </w:rPr>
              <w:t>Q2</w:t>
            </w:r>
          </w:p>
        </w:tc>
        <w:tc>
          <w:tcPr>
            <w:tcW w:w="1400" w:type="dxa"/>
            <w:tcBorders>
              <w:top w:val="nil"/>
              <w:left w:val="nil"/>
              <w:bottom w:val="nil"/>
              <w:right w:val="nil"/>
            </w:tcBorders>
            <w:shd w:val="clear" w:color="auto" w:fill="auto"/>
            <w:noWrap/>
            <w:vAlign w:val="center"/>
          </w:tcPr>
          <w:p w:rsidR="00F359AC" w:rsidRPr="005A20FE" w:rsidRDefault="00236F3D" w:rsidP="005A20FE">
            <w:pPr>
              <w:pStyle w:val="Heading5"/>
              <w:tabs>
                <w:tab w:val="right" w:pos="528"/>
              </w:tabs>
              <w:spacing w:line="240" w:lineRule="exact"/>
              <w:ind w:left="-108"/>
              <w:rPr>
                <w:rFonts w:ascii="Times New Roman"/>
                <w:kern w:val="0"/>
                <w:sz w:val="24"/>
                <w:szCs w:val="24"/>
                <w:u w:val="none"/>
                <w:lang w:val="en-GB"/>
              </w:rPr>
            </w:pPr>
            <w:r w:rsidRPr="005A20FE">
              <w:rPr>
                <w:rFonts w:ascii="Times New Roman"/>
                <w:kern w:val="0"/>
                <w:sz w:val="24"/>
                <w:szCs w:val="24"/>
                <w:u w:val="none"/>
                <w:lang w:val="en-GB"/>
              </w:rPr>
              <w:t>-4.</w:t>
            </w:r>
            <w:r w:rsidR="005A20FE" w:rsidRPr="005A20FE">
              <w:rPr>
                <w:rFonts w:ascii="Times New Roman"/>
                <w:kern w:val="0"/>
                <w:sz w:val="24"/>
                <w:szCs w:val="24"/>
                <w:u w:val="none"/>
                <w:lang w:val="en-GB"/>
              </w:rPr>
              <w:t>2</w:t>
            </w:r>
          </w:p>
        </w:tc>
        <w:tc>
          <w:tcPr>
            <w:tcW w:w="740" w:type="dxa"/>
            <w:tcBorders>
              <w:top w:val="nil"/>
              <w:left w:val="nil"/>
              <w:bottom w:val="nil"/>
              <w:right w:val="nil"/>
            </w:tcBorders>
            <w:shd w:val="clear" w:color="auto" w:fill="auto"/>
            <w:noWrap/>
            <w:vAlign w:val="center"/>
          </w:tcPr>
          <w:p w:rsidR="00F359AC" w:rsidRPr="005A20FE" w:rsidRDefault="00F359AC" w:rsidP="005A20FE">
            <w:pPr>
              <w:pStyle w:val="Heading5"/>
              <w:tabs>
                <w:tab w:val="right" w:pos="528"/>
              </w:tabs>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w:t>
            </w:r>
            <w:r w:rsidR="005A20FE" w:rsidRPr="005A20FE">
              <w:rPr>
                <w:rFonts w:ascii="Times New Roman"/>
                <w:kern w:val="0"/>
                <w:sz w:val="24"/>
                <w:szCs w:val="24"/>
                <w:u w:val="none"/>
                <w:lang w:val="en-GB" w:eastAsia="zh-HK"/>
              </w:rPr>
              <w:t>6</w:t>
            </w:r>
            <w:r w:rsidR="00236F3D" w:rsidRPr="005A20FE">
              <w:rPr>
                <w:rFonts w:ascii="Times New Roman"/>
                <w:kern w:val="0"/>
                <w:sz w:val="24"/>
                <w:szCs w:val="24"/>
                <w:u w:val="none"/>
                <w:lang w:val="en-GB" w:eastAsia="zh-HK"/>
              </w:rPr>
              <w:t>.1</w:t>
            </w:r>
          </w:p>
        </w:tc>
        <w:tc>
          <w:tcPr>
            <w:tcW w:w="1000" w:type="dxa"/>
            <w:tcBorders>
              <w:top w:val="nil"/>
              <w:left w:val="nil"/>
              <w:bottom w:val="nil"/>
              <w:right w:val="nil"/>
            </w:tcBorders>
            <w:shd w:val="clear" w:color="auto" w:fill="auto"/>
            <w:noWrap/>
            <w:vAlign w:val="center"/>
          </w:tcPr>
          <w:p w:rsidR="00F359AC" w:rsidRPr="005A20FE" w:rsidRDefault="00F359AC" w:rsidP="005A20FE">
            <w:pPr>
              <w:pStyle w:val="Heading5"/>
              <w:tabs>
                <w:tab w:val="right" w:pos="528"/>
                <w:tab w:val="right" w:pos="648"/>
              </w:tabs>
              <w:spacing w:line="240" w:lineRule="exact"/>
              <w:ind w:left="-108"/>
              <w:rPr>
                <w:rFonts w:ascii="Times New Roman"/>
                <w:kern w:val="0"/>
                <w:sz w:val="24"/>
                <w:szCs w:val="24"/>
                <w:u w:val="none"/>
                <w:lang w:val="en-GB"/>
              </w:rPr>
            </w:pPr>
            <w:r w:rsidRPr="005A20FE">
              <w:rPr>
                <w:rFonts w:ascii="Times New Roman"/>
                <w:kern w:val="0"/>
                <w:sz w:val="24"/>
                <w:szCs w:val="24"/>
                <w:u w:val="none"/>
                <w:lang w:val="en-GB"/>
              </w:rPr>
              <w:t>-1</w:t>
            </w:r>
            <w:r w:rsidR="00236F3D" w:rsidRPr="005A20FE">
              <w:rPr>
                <w:rFonts w:ascii="Times New Roman"/>
                <w:kern w:val="0"/>
                <w:sz w:val="24"/>
                <w:szCs w:val="24"/>
                <w:u w:val="none"/>
                <w:lang w:val="en-GB"/>
              </w:rPr>
              <w:t>4.</w:t>
            </w:r>
            <w:r w:rsidR="005A20FE" w:rsidRPr="005A20FE">
              <w:rPr>
                <w:rFonts w:ascii="Times New Roman"/>
                <w:kern w:val="0"/>
                <w:sz w:val="24"/>
                <w:szCs w:val="24"/>
                <w:u w:val="none"/>
                <w:lang w:val="en-GB"/>
              </w:rPr>
              <w:t>4</w:t>
            </w:r>
          </w:p>
        </w:tc>
        <w:tc>
          <w:tcPr>
            <w:tcW w:w="1040" w:type="dxa"/>
            <w:tcBorders>
              <w:top w:val="nil"/>
              <w:left w:val="nil"/>
              <w:bottom w:val="nil"/>
              <w:right w:val="nil"/>
            </w:tcBorders>
            <w:shd w:val="clear" w:color="auto" w:fill="auto"/>
            <w:noWrap/>
            <w:vAlign w:val="center"/>
          </w:tcPr>
          <w:p w:rsidR="00F359AC" w:rsidRPr="005A20FE" w:rsidRDefault="00236F3D" w:rsidP="005A20FE">
            <w:pPr>
              <w:pStyle w:val="Heading5"/>
              <w:tabs>
                <w:tab w:val="right" w:pos="528"/>
                <w:tab w:val="right" w:pos="617"/>
              </w:tabs>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-1</w:t>
            </w:r>
            <w:r w:rsidR="005A20FE" w:rsidRPr="005A20FE">
              <w:rPr>
                <w:rFonts w:ascii="Times New Roman"/>
                <w:kern w:val="0"/>
                <w:sz w:val="24"/>
                <w:szCs w:val="24"/>
                <w:u w:val="none"/>
                <w:lang w:val="en-GB" w:eastAsia="zh-HK"/>
              </w:rPr>
              <w:t>6.4</w:t>
            </w:r>
          </w:p>
        </w:tc>
        <w:tc>
          <w:tcPr>
            <w:tcW w:w="1000" w:type="dxa"/>
            <w:tcBorders>
              <w:top w:val="nil"/>
              <w:left w:val="nil"/>
              <w:bottom w:val="nil"/>
              <w:right w:val="nil"/>
            </w:tcBorders>
            <w:shd w:val="clear" w:color="auto" w:fill="auto"/>
            <w:noWrap/>
            <w:vAlign w:val="center"/>
          </w:tcPr>
          <w:p w:rsidR="00F359AC" w:rsidRPr="005A20FE" w:rsidRDefault="005A20FE" w:rsidP="00F359AC">
            <w:pPr>
              <w:pStyle w:val="Heading5"/>
              <w:tabs>
                <w:tab w:val="right" w:pos="528"/>
                <w:tab w:val="right" w:pos="576"/>
              </w:tabs>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1.8</w:t>
            </w:r>
          </w:p>
        </w:tc>
        <w:tc>
          <w:tcPr>
            <w:tcW w:w="1300" w:type="dxa"/>
            <w:tcBorders>
              <w:top w:val="nil"/>
              <w:left w:val="nil"/>
              <w:bottom w:val="nil"/>
              <w:right w:val="nil"/>
            </w:tcBorders>
            <w:shd w:val="clear" w:color="auto" w:fill="auto"/>
            <w:noWrap/>
            <w:vAlign w:val="center"/>
          </w:tcPr>
          <w:p w:rsidR="00F359AC" w:rsidRPr="005A20FE" w:rsidRDefault="00BC71DE" w:rsidP="005A20FE">
            <w:pPr>
              <w:pStyle w:val="Heading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28.4</w:t>
            </w:r>
          </w:p>
        </w:tc>
        <w:tc>
          <w:tcPr>
            <w:tcW w:w="1040" w:type="dxa"/>
            <w:tcBorders>
              <w:top w:val="nil"/>
              <w:left w:val="nil"/>
              <w:bottom w:val="nil"/>
              <w:right w:val="nil"/>
            </w:tcBorders>
            <w:shd w:val="clear" w:color="auto" w:fill="auto"/>
            <w:noWrap/>
            <w:vAlign w:val="center"/>
          </w:tcPr>
          <w:p w:rsidR="00F359AC" w:rsidRPr="005A20FE" w:rsidRDefault="00236F3D" w:rsidP="00BC71DE">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w:t>
            </w:r>
            <w:r w:rsidR="005A20FE" w:rsidRPr="005A20FE">
              <w:rPr>
                <w:rFonts w:ascii="Times New Roman"/>
                <w:kern w:val="0"/>
                <w:sz w:val="24"/>
                <w:szCs w:val="24"/>
                <w:u w:val="none"/>
                <w:lang w:val="en-GB" w:eastAsia="zh-HK"/>
              </w:rPr>
              <w:t>8.</w:t>
            </w:r>
            <w:r w:rsidR="00BC71DE">
              <w:rPr>
                <w:rFonts w:ascii="Times New Roman"/>
                <w:kern w:val="0"/>
                <w:sz w:val="24"/>
                <w:szCs w:val="24"/>
                <w:u w:val="none"/>
                <w:lang w:val="en-GB" w:eastAsia="zh-HK"/>
              </w:rPr>
              <w:t>1</w:t>
            </w:r>
          </w:p>
        </w:tc>
        <w:tc>
          <w:tcPr>
            <w:tcW w:w="1480" w:type="dxa"/>
            <w:tcBorders>
              <w:top w:val="nil"/>
              <w:left w:val="nil"/>
              <w:bottom w:val="nil"/>
              <w:right w:val="nil"/>
            </w:tcBorders>
            <w:shd w:val="clear" w:color="auto" w:fill="auto"/>
            <w:noWrap/>
            <w:vAlign w:val="center"/>
          </w:tcPr>
          <w:p w:rsidR="00F359AC" w:rsidRPr="005A20FE" w:rsidRDefault="00236F3D" w:rsidP="00BC71DE">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-1.</w:t>
            </w:r>
            <w:r w:rsidR="00BC71DE">
              <w:rPr>
                <w:rFonts w:ascii="Times New Roman"/>
                <w:kern w:val="0"/>
                <w:sz w:val="24"/>
                <w:szCs w:val="24"/>
                <w:u w:val="none"/>
                <w:lang w:val="en-GB" w:eastAsia="zh-HK"/>
              </w:rPr>
              <w:t>6</w:t>
            </w:r>
          </w:p>
        </w:tc>
      </w:tr>
      <w:tr w:rsidR="005B07E4" w:rsidRPr="00BF6DEC" w:rsidTr="00AB195E">
        <w:trPr>
          <w:trHeight w:val="360"/>
          <w:jc w:val="center"/>
        </w:trPr>
        <w:tc>
          <w:tcPr>
            <w:tcW w:w="620" w:type="dxa"/>
            <w:tcBorders>
              <w:top w:val="nil"/>
              <w:left w:val="nil"/>
              <w:bottom w:val="nil"/>
              <w:right w:val="nil"/>
            </w:tcBorders>
            <w:shd w:val="clear" w:color="auto" w:fill="auto"/>
            <w:noWrap/>
            <w:vAlign w:val="center"/>
          </w:tcPr>
          <w:p w:rsidR="005B07E4" w:rsidRDefault="005B07E4" w:rsidP="005B07E4">
            <w:pPr>
              <w:widowControl/>
              <w:rPr>
                <w:color w:val="000000"/>
                <w:kern w:val="0"/>
              </w:rPr>
            </w:pPr>
          </w:p>
        </w:tc>
        <w:tc>
          <w:tcPr>
            <w:tcW w:w="860" w:type="dxa"/>
            <w:tcBorders>
              <w:top w:val="nil"/>
              <w:left w:val="nil"/>
              <w:bottom w:val="nil"/>
              <w:right w:val="nil"/>
            </w:tcBorders>
            <w:shd w:val="clear" w:color="auto" w:fill="auto"/>
            <w:noWrap/>
            <w:vAlign w:val="center"/>
          </w:tcPr>
          <w:p w:rsidR="005B07E4" w:rsidRPr="005A20FE" w:rsidRDefault="005B07E4" w:rsidP="005B07E4">
            <w:pPr>
              <w:widowControl/>
              <w:jc w:val="right"/>
              <w:rPr>
                <w:color w:val="000000"/>
                <w:kern w:val="0"/>
              </w:rPr>
            </w:pPr>
            <w:r>
              <w:rPr>
                <w:color w:val="000000"/>
                <w:kern w:val="0"/>
              </w:rPr>
              <w:t>Q3</w:t>
            </w:r>
          </w:p>
        </w:tc>
        <w:tc>
          <w:tcPr>
            <w:tcW w:w="1400" w:type="dxa"/>
            <w:tcBorders>
              <w:top w:val="nil"/>
              <w:left w:val="nil"/>
              <w:bottom w:val="nil"/>
              <w:right w:val="nil"/>
            </w:tcBorders>
            <w:shd w:val="clear" w:color="auto" w:fill="auto"/>
            <w:noWrap/>
            <w:vAlign w:val="center"/>
          </w:tcPr>
          <w:p w:rsidR="005B07E4" w:rsidRPr="001958D5" w:rsidRDefault="005B07E4" w:rsidP="00BC71DE">
            <w:pPr>
              <w:pStyle w:val="Heading5"/>
              <w:tabs>
                <w:tab w:val="right" w:pos="528"/>
              </w:tabs>
              <w:spacing w:line="240" w:lineRule="exact"/>
              <w:ind w:left="-108"/>
              <w:rPr>
                <w:rFonts w:ascii="Times New Roman"/>
                <w:kern w:val="0"/>
                <w:sz w:val="24"/>
                <w:szCs w:val="24"/>
                <w:u w:val="none"/>
                <w:lang w:val="en-GB"/>
              </w:rPr>
            </w:pPr>
            <w:r w:rsidRPr="001958D5">
              <w:rPr>
                <w:rFonts w:ascii="Times New Roman"/>
                <w:kern w:val="0"/>
                <w:sz w:val="24"/>
                <w:szCs w:val="24"/>
                <w:u w:val="none"/>
                <w:lang w:val="en-GB"/>
              </w:rPr>
              <w:t>-</w:t>
            </w:r>
            <w:r w:rsidR="00BC71DE" w:rsidRPr="001958D5">
              <w:rPr>
                <w:rFonts w:ascii="Times New Roman"/>
                <w:kern w:val="0"/>
                <w:sz w:val="24"/>
                <w:szCs w:val="24"/>
                <w:u w:val="none"/>
                <w:lang w:val="en-GB"/>
              </w:rPr>
              <w:t>3.1</w:t>
            </w:r>
          </w:p>
        </w:tc>
        <w:tc>
          <w:tcPr>
            <w:tcW w:w="740" w:type="dxa"/>
            <w:tcBorders>
              <w:top w:val="nil"/>
              <w:left w:val="nil"/>
              <w:bottom w:val="nil"/>
              <w:right w:val="nil"/>
            </w:tcBorders>
            <w:shd w:val="clear" w:color="auto" w:fill="auto"/>
            <w:noWrap/>
            <w:vAlign w:val="center"/>
          </w:tcPr>
          <w:p w:rsidR="005B07E4" w:rsidRPr="001958D5" w:rsidRDefault="005B07E4" w:rsidP="001958D5">
            <w:pPr>
              <w:pStyle w:val="Heading5"/>
              <w:tabs>
                <w:tab w:val="right" w:pos="528"/>
              </w:tabs>
              <w:spacing w:line="240" w:lineRule="exact"/>
              <w:ind w:left="-108"/>
              <w:rPr>
                <w:rFonts w:ascii="Times New Roman"/>
                <w:kern w:val="0"/>
                <w:sz w:val="24"/>
                <w:szCs w:val="24"/>
                <w:u w:val="none"/>
                <w:lang w:val="en-GB" w:eastAsia="zh-HK"/>
              </w:rPr>
            </w:pPr>
            <w:r w:rsidRPr="001958D5">
              <w:rPr>
                <w:rFonts w:ascii="Times New Roman"/>
                <w:kern w:val="0"/>
                <w:sz w:val="24"/>
                <w:szCs w:val="24"/>
                <w:u w:val="none"/>
                <w:lang w:val="en-GB" w:eastAsia="zh-HK"/>
              </w:rPr>
              <w:t>-</w:t>
            </w:r>
            <w:r w:rsidR="001958D5" w:rsidRPr="001958D5">
              <w:rPr>
                <w:rFonts w:ascii="Times New Roman"/>
                <w:kern w:val="0"/>
                <w:sz w:val="24"/>
                <w:szCs w:val="24"/>
                <w:u w:val="none"/>
                <w:lang w:val="en-GB" w:eastAsia="zh-HK"/>
              </w:rPr>
              <w:t>1.7</w:t>
            </w:r>
          </w:p>
        </w:tc>
        <w:tc>
          <w:tcPr>
            <w:tcW w:w="1000" w:type="dxa"/>
            <w:tcBorders>
              <w:top w:val="nil"/>
              <w:left w:val="nil"/>
              <w:bottom w:val="nil"/>
              <w:right w:val="nil"/>
            </w:tcBorders>
            <w:shd w:val="clear" w:color="auto" w:fill="auto"/>
            <w:noWrap/>
            <w:vAlign w:val="center"/>
          </w:tcPr>
          <w:p w:rsidR="005B07E4" w:rsidRPr="001958D5" w:rsidRDefault="005B07E4" w:rsidP="001958D5">
            <w:pPr>
              <w:pStyle w:val="Heading5"/>
              <w:tabs>
                <w:tab w:val="right" w:pos="528"/>
                <w:tab w:val="right" w:pos="648"/>
              </w:tabs>
              <w:spacing w:line="240" w:lineRule="exact"/>
              <w:ind w:left="-108"/>
              <w:rPr>
                <w:rFonts w:ascii="Times New Roman"/>
                <w:kern w:val="0"/>
                <w:sz w:val="24"/>
                <w:szCs w:val="24"/>
                <w:u w:val="none"/>
                <w:lang w:val="en-GB"/>
              </w:rPr>
            </w:pPr>
            <w:r w:rsidRPr="001958D5">
              <w:rPr>
                <w:rFonts w:ascii="Times New Roman"/>
                <w:kern w:val="0"/>
                <w:sz w:val="24"/>
                <w:szCs w:val="24"/>
                <w:u w:val="none"/>
                <w:lang w:val="en-GB"/>
              </w:rPr>
              <w:t>-1</w:t>
            </w:r>
            <w:r w:rsidR="00BC71DE" w:rsidRPr="001958D5">
              <w:rPr>
                <w:rFonts w:ascii="Times New Roman"/>
                <w:kern w:val="0"/>
                <w:sz w:val="24"/>
                <w:szCs w:val="24"/>
                <w:u w:val="none"/>
                <w:lang w:val="en-GB"/>
              </w:rPr>
              <w:t>5</w:t>
            </w:r>
            <w:r w:rsidRPr="001958D5">
              <w:rPr>
                <w:rFonts w:ascii="Times New Roman"/>
                <w:kern w:val="0"/>
                <w:sz w:val="24"/>
                <w:szCs w:val="24"/>
                <w:u w:val="none"/>
                <w:lang w:val="en-GB"/>
              </w:rPr>
              <w:t>.</w:t>
            </w:r>
            <w:r w:rsidR="001958D5" w:rsidRPr="001958D5">
              <w:rPr>
                <w:rFonts w:ascii="Times New Roman"/>
                <w:kern w:val="0"/>
                <w:sz w:val="24"/>
                <w:szCs w:val="24"/>
                <w:u w:val="none"/>
                <w:lang w:val="en-GB"/>
              </w:rPr>
              <w:t>7</w:t>
            </w:r>
          </w:p>
        </w:tc>
        <w:tc>
          <w:tcPr>
            <w:tcW w:w="1040" w:type="dxa"/>
            <w:tcBorders>
              <w:top w:val="nil"/>
              <w:left w:val="nil"/>
              <w:bottom w:val="nil"/>
              <w:right w:val="nil"/>
            </w:tcBorders>
            <w:shd w:val="clear" w:color="auto" w:fill="auto"/>
            <w:noWrap/>
            <w:vAlign w:val="center"/>
          </w:tcPr>
          <w:p w:rsidR="005B07E4" w:rsidRPr="001958D5" w:rsidRDefault="005B07E4" w:rsidP="001958D5">
            <w:pPr>
              <w:pStyle w:val="Heading5"/>
              <w:tabs>
                <w:tab w:val="right" w:pos="528"/>
                <w:tab w:val="right" w:pos="617"/>
              </w:tabs>
              <w:spacing w:line="240" w:lineRule="exact"/>
              <w:ind w:left="-108"/>
              <w:rPr>
                <w:rFonts w:ascii="Times New Roman"/>
                <w:kern w:val="0"/>
                <w:sz w:val="24"/>
                <w:szCs w:val="24"/>
                <w:u w:val="none"/>
                <w:lang w:val="en-GB" w:eastAsia="zh-HK"/>
              </w:rPr>
            </w:pPr>
            <w:r w:rsidRPr="001958D5">
              <w:rPr>
                <w:rFonts w:ascii="Times New Roman"/>
                <w:kern w:val="0"/>
                <w:sz w:val="24"/>
                <w:szCs w:val="24"/>
                <w:u w:val="none"/>
                <w:lang w:val="en-GB" w:eastAsia="zh-HK"/>
              </w:rPr>
              <w:t>-1</w:t>
            </w:r>
            <w:r w:rsidR="00BC71DE" w:rsidRPr="001958D5">
              <w:rPr>
                <w:rFonts w:ascii="Times New Roman"/>
                <w:kern w:val="0"/>
                <w:sz w:val="24"/>
                <w:szCs w:val="24"/>
                <w:u w:val="none"/>
                <w:lang w:val="en-GB" w:eastAsia="zh-HK"/>
              </w:rPr>
              <w:t>3</w:t>
            </w:r>
            <w:r w:rsidRPr="001958D5">
              <w:rPr>
                <w:rFonts w:ascii="Times New Roman"/>
                <w:kern w:val="0"/>
                <w:sz w:val="24"/>
                <w:szCs w:val="24"/>
                <w:u w:val="none"/>
                <w:lang w:val="en-GB" w:eastAsia="zh-HK"/>
              </w:rPr>
              <w:t>.</w:t>
            </w:r>
            <w:r w:rsidR="001958D5" w:rsidRPr="001958D5">
              <w:rPr>
                <w:rFonts w:ascii="Times New Roman"/>
                <w:kern w:val="0"/>
                <w:sz w:val="24"/>
                <w:szCs w:val="24"/>
                <w:u w:val="none"/>
                <w:lang w:val="en-GB" w:eastAsia="zh-HK"/>
              </w:rPr>
              <w:t>6</w:t>
            </w:r>
          </w:p>
        </w:tc>
        <w:tc>
          <w:tcPr>
            <w:tcW w:w="1000" w:type="dxa"/>
            <w:tcBorders>
              <w:top w:val="nil"/>
              <w:left w:val="nil"/>
              <w:bottom w:val="nil"/>
              <w:right w:val="nil"/>
            </w:tcBorders>
            <w:shd w:val="clear" w:color="auto" w:fill="auto"/>
            <w:noWrap/>
            <w:vAlign w:val="center"/>
          </w:tcPr>
          <w:p w:rsidR="005B07E4" w:rsidRPr="001958D5" w:rsidRDefault="001958D5" w:rsidP="005B07E4">
            <w:pPr>
              <w:pStyle w:val="Heading5"/>
              <w:tabs>
                <w:tab w:val="right" w:pos="528"/>
                <w:tab w:val="right" w:pos="576"/>
              </w:tabs>
              <w:spacing w:line="240" w:lineRule="exact"/>
              <w:ind w:left="-108"/>
              <w:rPr>
                <w:rFonts w:ascii="Times New Roman"/>
                <w:kern w:val="0"/>
                <w:sz w:val="24"/>
                <w:szCs w:val="24"/>
                <w:u w:val="none"/>
                <w:lang w:val="en-GB" w:eastAsia="zh-HK"/>
              </w:rPr>
            </w:pPr>
            <w:r w:rsidRPr="001958D5">
              <w:rPr>
                <w:rFonts w:ascii="Times New Roman"/>
                <w:kern w:val="0"/>
                <w:sz w:val="24"/>
                <w:szCs w:val="24"/>
                <w:u w:val="none"/>
                <w:lang w:val="en-GB" w:eastAsia="zh-HK"/>
              </w:rPr>
              <w:t>1.7</w:t>
            </w:r>
          </w:p>
        </w:tc>
        <w:tc>
          <w:tcPr>
            <w:tcW w:w="1300" w:type="dxa"/>
            <w:tcBorders>
              <w:top w:val="nil"/>
              <w:left w:val="nil"/>
              <w:bottom w:val="nil"/>
              <w:right w:val="nil"/>
            </w:tcBorders>
            <w:shd w:val="clear" w:color="auto" w:fill="auto"/>
            <w:noWrap/>
            <w:vAlign w:val="center"/>
          </w:tcPr>
          <w:p w:rsidR="005B07E4" w:rsidRPr="001958D5" w:rsidRDefault="001958D5" w:rsidP="005B07E4">
            <w:pPr>
              <w:pStyle w:val="Heading5"/>
              <w:tabs>
                <w:tab w:val="right" w:pos="528"/>
                <w:tab w:val="right" w:pos="703"/>
              </w:tabs>
              <w:spacing w:line="240" w:lineRule="exact"/>
              <w:ind w:left="-108"/>
              <w:rPr>
                <w:rFonts w:ascii="Times New Roman"/>
                <w:kern w:val="0"/>
                <w:sz w:val="24"/>
                <w:szCs w:val="24"/>
                <w:u w:val="none"/>
                <w:lang w:val="en-GB" w:eastAsia="zh-HK"/>
              </w:rPr>
            </w:pPr>
            <w:r w:rsidRPr="001958D5">
              <w:rPr>
                <w:rFonts w:ascii="Times New Roman"/>
                <w:kern w:val="0"/>
                <w:sz w:val="24"/>
                <w:szCs w:val="24"/>
                <w:u w:val="none"/>
                <w:lang w:val="en-GB" w:eastAsia="zh-HK"/>
              </w:rPr>
              <w:t>20.2</w:t>
            </w:r>
          </w:p>
        </w:tc>
        <w:tc>
          <w:tcPr>
            <w:tcW w:w="1040" w:type="dxa"/>
            <w:tcBorders>
              <w:top w:val="nil"/>
              <w:left w:val="nil"/>
              <w:bottom w:val="nil"/>
              <w:right w:val="nil"/>
            </w:tcBorders>
            <w:shd w:val="clear" w:color="auto" w:fill="auto"/>
            <w:noWrap/>
            <w:vAlign w:val="center"/>
          </w:tcPr>
          <w:p w:rsidR="005B07E4" w:rsidRPr="001958D5" w:rsidRDefault="00BC71DE" w:rsidP="001958D5">
            <w:pPr>
              <w:pStyle w:val="Heading5"/>
              <w:tabs>
                <w:tab w:val="right" w:pos="528"/>
                <w:tab w:val="right" w:pos="703"/>
              </w:tabs>
              <w:overflowPunct w:val="0"/>
              <w:spacing w:line="240" w:lineRule="exact"/>
              <w:ind w:left="-108"/>
              <w:rPr>
                <w:rFonts w:ascii="Times New Roman"/>
                <w:kern w:val="0"/>
                <w:sz w:val="24"/>
                <w:szCs w:val="24"/>
                <w:u w:val="none"/>
                <w:lang w:val="en-GB" w:eastAsia="zh-HK"/>
              </w:rPr>
            </w:pPr>
            <w:r w:rsidRPr="001958D5">
              <w:rPr>
                <w:rFonts w:ascii="Times New Roman"/>
                <w:kern w:val="0"/>
                <w:sz w:val="24"/>
                <w:szCs w:val="24"/>
                <w:u w:val="none"/>
                <w:lang w:val="en-GB" w:eastAsia="zh-HK"/>
              </w:rPr>
              <w:t>-</w:t>
            </w:r>
            <w:r w:rsidR="001958D5" w:rsidRPr="001958D5">
              <w:rPr>
                <w:rFonts w:ascii="Times New Roman"/>
                <w:kern w:val="0"/>
                <w:sz w:val="24"/>
                <w:szCs w:val="24"/>
                <w:u w:val="none"/>
                <w:lang w:val="en-GB" w:eastAsia="zh-HK"/>
              </w:rPr>
              <w:t>2.6</w:t>
            </w:r>
          </w:p>
        </w:tc>
        <w:tc>
          <w:tcPr>
            <w:tcW w:w="1480" w:type="dxa"/>
            <w:tcBorders>
              <w:top w:val="nil"/>
              <w:left w:val="nil"/>
              <w:bottom w:val="nil"/>
              <w:right w:val="nil"/>
            </w:tcBorders>
            <w:shd w:val="clear" w:color="auto" w:fill="auto"/>
            <w:noWrap/>
            <w:vAlign w:val="center"/>
          </w:tcPr>
          <w:p w:rsidR="005B07E4" w:rsidRPr="001958D5" w:rsidRDefault="00BC71DE" w:rsidP="001958D5">
            <w:pPr>
              <w:pStyle w:val="Heading5"/>
              <w:tabs>
                <w:tab w:val="right" w:pos="528"/>
                <w:tab w:val="right" w:pos="912"/>
              </w:tabs>
              <w:overflowPunct w:val="0"/>
              <w:spacing w:line="240" w:lineRule="exact"/>
              <w:ind w:left="-108"/>
              <w:rPr>
                <w:rFonts w:ascii="Times New Roman"/>
                <w:kern w:val="0"/>
                <w:sz w:val="24"/>
                <w:szCs w:val="24"/>
                <w:u w:val="none"/>
                <w:lang w:val="en-GB" w:eastAsia="zh-HK"/>
              </w:rPr>
            </w:pPr>
            <w:r w:rsidRPr="001958D5">
              <w:rPr>
                <w:rFonts w:ascii="Times New Roman"/>
                <w:kern w:val="0"/>
                <w:sz w:val="24"/>
                <w:szCs w:val="24"/>
                <w:u w:val="none"/>
                <w:lang w:val="en-GB" w:eastAsia="zh-HK"/>
              </w:rPr>
              <w:t>-1.</w:t>
            </w:r>
            <w:r w:rsidR="001958D5" w:rsidRPr="001958D5">
              <w:rPr>
                <w:rFonts w:ascii="Times New Roman"/>
                <w:kern w:val="0"/>
                <w:sz w:val="24"/>
                <w:szCs w:val="24"/>
                <w:u w:val="none"/>
                <w:lang w:val="en-GB" w:eastAsia="zh-HK"/>
              </w:rPr>
              <w:t>3</w:t>
            </w:r>
          </w:p>
        </w:tc>
      </w:tr>
    </w:tbl>
    <w:p w:rsidR="00C821DE" w:rsidRPr="004110C3" w:rsidRDefault="00C821DE" w:rsidP="00652623">
      <w:pPr>
        <w:pStyle w:val="BlockText"/>
        <w:tabs>
          <w:tab w:val="clear" w:pos="720"/>
          <w:tab w:val="left" w:pos="840"/>
          <w:tab w:val="left" w:pos="1320"/>
        </w:tabs>
        <w:snapToGrid w:val="0"/>
        <w:spacing w:after="60"/>
        <w:ind w:left="1321" w:right="-17" w:hanging="1202"/>
        <w:rPr>
          <w:rFonts w:ascii="Times New Roman"/>
          <w:kern w:val="0"/>
          <w:sz w:val="16"/>
          <w:szCs w:val="16"/>
          <w:lang w:val="en-GB"/>
        </w:rPr>
      </w:pPr>
    </w:p>
    <w:p w:rsidR="00C821DE" w:rsidRPr="004110C3" w:rsidRDefault="00C821DE" w:rsidP="004218E5">
      <w:pPr>
        <w:pStyle w:val="BlockText"/>
        <w:tabs>
          <w:tab w:val="clear" w:pos="720"/>
          <w:tab w:val="left" w:pos="142"/>
          <w:tab w:val="left" w:pos="1276"/>
        </w:tabs>
        <w:snapToGrid w:val="0"/>
        <w:spacing w:after="120"/>
        <w:ind w:left="709" w:right="-17" w:hanging="1418"/>
        <w:rPr>
          <w:rFonts w:ascii="Times New Roman"/>
          <w:kern w:val="0"/>
          <w:sz w:val="22"/>
          <w:lang w:val="en-GB"/>
        </w:rPr>
      </w:pPr>
      <w:r w:rsidRPr="004110C3">
        <w:rPr>
          <w:rFonts w:ascii="Times New Roman"/>
          <w:kern w:val="0"/>
          <w:sz w:val="22"/>
          <w:lang w:val="en-GB"/>
        </w:rPr>
        <w:t>Notes :</w:t>
      </w:r>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rsidR="006E1C04" w:rsidRDefault="006E1C04" w:rsidP="006E1C04">
      <w:pPr>
        <w:tabs>
          <w:tab w:val="left" w:pos="142"/>
          <w:tab w:val="left" w:pos="1276"/>
        </w:tabs>
        <w:snapToGrid w:val="0"/>
        <w:spacing w:after="120" w:line="240" w:lineRule="exact"/>
        <w:ind w:left="709" w:right="-17" w:hanging="1418"/>
        <w:jc w:val="both"/>
        <w:rPr>
          <w:sz w:val="21"/>
          <w:szCs w:val="21"/>
        </w:rPr>
      </w:pPr>
      <w:r w:rsidRPr="00327CE5">
        <w:rPr>
          <w:kern w:val="0"/>
          <w:sz w:val="22"/>
        </w:rPr>
        <w:tab/>
      </w:r>
    </w:p>
    <w:p w:rsidR="006E1C04" w:rsidRDefault="006E1C04" w:rsidP="004218E5">
      <w:pPr>
        <w:tabs>
          <w:tab w:val="left" w:pos="142"/>
          <w:tab w:val="left" w:pos="1276"/>
        </w:tabs>
        <w:snapToGrid w:val="0"/>
        <w:spacing w:after="120" w:line="240" w:lineRule="exact"/>
        <w:ind w:left="709" w:right="-17" w:hanging="1418"/>
        <w:jc w:val="both"/>
        <w:rPr>
          <w:kern w:val="0"/>
          <w:sz w:val="22"/>
          <w:szCs w:val="20"/>
        </w:rPr>
      </w:pPr>
    </w:p>
    <w:p w:rsidR="00EF507D" w:rsidRDefault="00EF507D" w:rsidP="004218E5">
      <w:pPr>
        <w:tabs>
          <w:tab w:val="left" w:pos="142"/>
          <w:tab w:val="left" w:pos="1276"/>
        </w:tabs>
        <w:snapToGrid w:val="0"/>
        <w:spacing w:after="120" w:line="240" w:lineRule="exact"/>
        <w:ind w:left="709" w:right="-17" w:hanging="1418"/>
        <w:jc w:val="both"/>
        <w:rPr>
          <w:kern w:val="0"/>
          <w:sz w:val="22"/>
          <w:szCs w:val="20"/>
        </w:rPr>
      </w:pPr>
      <w:r>
        <w:rPr>
          <w:sz w:val="21"/>
          <w:szCs w:val="21"/>
        </w:rPr>
        <w:tab/>
      </w:r>
    </w:p>
    <w:p w:rsidR="000D5459" w:rsidRDefault="0042741D" w:rsidP="004218E5">
      <w:pPr>
        <w:tabs>
          <w:tab w:val="left" w:pos="142"/>
          <w:tab w:val="left" w:pos="1276"/>
        </w:tabs>
        <w:snapToGrid w:val="0"/>
        <w:spacing w:after="120" w:line="240" w:lineRule="exact"/>
        <w:ind w:left="709" w:right="-17" w:hanging="1418"/>
        <w:jc w:val="both"/>
        <w:rPr>
          <w:sz w:val="22"/>
        </w:rPr>
      </w:pPr>
      <w:r>
        <w:rPr>
          <w:sz w:val="22"/>
        </w:rPr>
        <w:tab/>
      </w:r>
    </w:p>
    <w:p w:rsidR="00CF157D" w:rsidRDefault="00CF157D">
      <w:pPr>
        <w:widowControl/>
      </w:pPr>
      <w:r>
        <w:br w:type="page"/>
      </w:r>
    </w:p>
    <w:p w:rsidR="00102084" w:rsidRDefault="003E0722" w:rsidP="00652623">
      <w:pPr>
        <w:tabs>
          <w:tab w:val="left" w:pos="775"/>
        </w:tabs>
        <w:jc w:val="both"/>
      </w:pPr>
      <w:r w:rsidRPr="003E0722">
        <w:rPr>
          <w:noProof/>
        </w:rPr>
        <w:lastRenderedPageBreak/>
        <w:drawing>
          <wp:inline distT="0" distB="0" distL="0" distR="0">
            <wp:extent cx="5731510" cy="3491496"/>
            <wp:effectExtent l="0" t="0" r="254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91496"/>
                    </a:xfrm>
                    <a:prstGeom prst="rect">
                      <a:avLst/>
                    </a:prstGeom>
                    <a:noFill/>
                    <a:ln>
                      <a:noFill/>
                    </a:ln>
                  </pic:spPr>
                </pic:pic>
              </a:graphicData>
            </a:graphic>
          </wp:inline>
        </w:drawing>
      </w:r>
    </w:p>
    <w:p w:rsidR="00F317A0" w:rsidRPr="004506CC" w:rsidRDefault="00F317A0" w:rsidP="001848B4">
      <w:pPr>
        <w:pStyle w:val="BodyText"/>
        <w:tabs>
          <w:tab w:val="left" w:pos="1260"/>
        </w:tabs>
        <w:overflowPunct w:val="0"/>
        <w:ind w:right="28"/>
        <w:jc w:val="both"/>
        <w:rPr>
          <w:rFonts w:ascii="Times New Roman"/>
          <w:kern w:val="0"/>
          <w:lang w:val="en-HK"/>
        </w:rPr>
      </w:pPr>
    </w:p>
    <w:p w:rsidR="005B07E4" w:rsidRDefault="00BA46ED" w:rsidP="005B07E4">
      <w:pPr>
        <w:pStyle w:val="BodyText"/>
        <w:numPr>
          <w:ilvl w:val="1"/>
          <w:numId w:val="19"/>
        </w:numPr>
        <w:tabs>
          <w:tab w:val="left" w:pos="1260"/>
        </w:tabs>
        <w:overflowPunct w:val="0"/>
        <w:ind w:left="0" w:right="28" w:firstLine="0"/>
        <w:jc w:val="both"/>
        <w:rPr>
          <w:b/>
        </w:rPr>
      </w:pPr>
      <w:r>
        <w:rPr>
          <w:rFonts w:ascii="Times New Roman"/>
          <w:kern w:val="0"/>
          <w:lang w:val="en-GB"/>
        </w:rPr>
        <w:t>O</w:t>
      </w:r>
      <w:r w:rsidR="00C70DCA" w:rsidRPr="005B4F22">
        <w:rPr>
          <w:rFonts w:ascii="Times New Roman"/>
          <w:kern w:val="0"/>
          <w:lang w:val="en-GB"/>
        </w:rPr>
        <w:t xml:space="preserve">verall investment </w:t>
      </w:r>
      <w:r w:rsidR="00C311E0">
        <w:rPr>
          <w:rFonts w:ascii="Times New Roman"/>
          <w:kern w:val="0"/>
          <w:lang w:val="en-GB"/>
        </w:rPr>
        <w:t>expenditure</w:t>
      </w:r>
      <w:r w:rsidR="00C311E0" w:rsidRPr="005B4F22">
        <w:rPr>
          <w:rFonts w:ascii="Times New Roman"/>
          <w:kern w:val="0"/>
          <w:lang w:val="en-GB"/>
        </w:rPr>
        <w:t xml:space="preserve"> </w:t>
      </w:r>
      <w:r w:rsidR="00C70DCA" w:rsidRPr="005B4F22">
        <w:rPr>
          <w:rFonts w:ascii="Times New Roman"/>
          <w:kern w:val="0"/>
          <w:lang w:val="en-GB"/>
        </w:rPr>
        <w:t xml:space="preserve">in terms of </w:t>
      </w:r>
      <w:r w:rsidR="00C70DCA" w:rsidRPr="005B4F22">
        <w:rPr>
          <w:rFonts w:ascii="Times New Roman"/>
          <w:i/>
          <w:kern w:val="0"/>
          <w:lang w:val="en-GB"/>
        </w:rPr>
        <w:t xml:space="preserve">gross domestic fixed capital </w:t>
      </w:r>
      <w:r w:rsidR="00C70DCA" w:rsidRPr="00AF26F4">
        <w:rPr>
          <w:rFonts w:ascii="Times New Roman"/>
          <w:i/>
          <w:kern w:val="0"/>
          <w:lang w:val="en-GB"/>
        </w:rPr>
        <w:t>fo</w:t>
      </w:r>
      <w:r w:rsidR="00C70DCA" w:rsidRPr="008E7622">
        <w:rPr>
          <w:rFonts w:ascii="Times New Roman"/>
          <w:i/>
          <w:kern w:val="0"/>
          <w:lang w:val="en-GB"/>
        </w:rPr>
        <w:t xml:space="preserve">rmation </w:t>
      </w:r>
      <w:r w:rsidR="00770953">
        <w:rPr>
          <w:rFonts w:ascii="Times New Roman"/>
          <w:kern w:val="0"/>
          <w:lang w:val="en-GB"/>
        </w:rPr>
        <w:t>increased</w:t>
      </w:r>
      <w:r w:rsidR="009F5BD1">
        <w:rPr>
          <w:rFonts w:ascii="Times New Roman"/>
          <w:kern w:val="0"/>
          <w:lang w:val="en-GB"/>
        </w:rPr>
        <w:t xml:space="preserve"> </w:t>
      </w:r>
      <w:r w:rsidR="00C70DCA">
        <w:rPr>
          <w:rFonts w:ascii="Times New Roman"/>
          <w:kern w:val="0"/>
          <w:lang w:val="en-GB"/>
        </w:rPr>
        <w:t xml:space="preserve">by </w:t>
      </w:r>
      <w:r w:rsidR="00BC71DE">
        <w:rPr>
          <w:rFonts w:ascii="Times New Roman"/>
          <w:kern w:val="0"/>
          <w:lang w:val="en-GB"/>
        </w:rPr>
        <w:t>3.7</w:t>
      </w:r>
      <w:r w:rsidR="00C70DCA">
        <w:rPr>
          <w:rFonts w:ascii="Times New Roman"/>
          <w:kern w:val="0"/>
          <w:lang w:val="en-GB"/>
        </w:rPr>
        <w:t>%</w:t>
      </w:r>
      <w:r w:rsidR="00C70DCA">
        <w:rPr>
          <w:rFonts w:ascii="Times New Roman" w:hint="eastAsia"/>
          <w:kern w:val="0"/>
          <w:lang w:val="en-GB"/>
        </w:rPr>
        <w:t xml:space="preserve"> in real terms in </w:t>
      </w:r>
      <w:r w:rsidR="00C70DCA">
        <w:rPr>
          <w:rFonts w:ascii="Times New Roman"/>
          <w:kern w:val="0"/>
          <w:lang w:val="en-GB"/>
        </w:rPr>
        <w:t xml:space="preserve">the </w:t>
      </w:r>
      <w:r>
        <w:rPr>
          <w:rFonts w:ascii="Times New Roman"/>
          <w:kern w:val="0"/>
          <w:lang w:val="en-GB"/>
        </w:rPr>
        <w:t xml:space="preserve">third </w:t>
      </w:r>
      <w:r w:rsidR="00C70DCA">
        <w:rPr>
          <w:rFonts w:ascii="Times New Roman"/>
          <w:kern w:val="0"/>
          <w:lang w:val="en-GB"/>
        </w:rPr>
        <w:t xml:space="preserve">quarter </w:t>
      </w:r>
      <w:r w:rsidR="009B3F7E">
        <w:rPr>
          <w:rFonts w:ascii="Times New Roman"/>
          <w:kern w:val="0"/>
          <w:lang w:val="en-GB"/>
        </w:rPr>
        <w:t xml:space="preserve">over </w:t>
      </w:r>
      <w:r w:rsidR="00C70DCA">
        <w:rPr>
          <w:rFonts w:ascii="Times New Roman"/>
          <w:kern w:val="0"/>
          <w:lang w:val="en-GB"/>
        </w:rPr>
        <w:t>a year earlier</w:t>
      </w:r>
      <w:r w:rsidR="00844DD1">
        <w:rPr>
          <w:rFonts w:ascii="Times New Roman"/>
          <w:kern w:val="0"/>
          <w:lang w:val="en-GB"/>
        </w:rPr>
        <w:t>,</w:t>
      </w:r>
      <w:r w:rsidR="00C70DCA">
        <w:rPr>
          <w:rFonts w:ascii="Times New Roman"/>
          <w:kern w:val="0"/>
          <w:lang w:val="en-GB"/>
        </w:rPr>
        <w:t xml:space="preserve"> </w:t>
      </w:r>
      <w:r w:rsidR="000E7952">
        <w:rPr>
          <w:rFonts w:ascii="Times New Roman"/>
          <w:kern w:val="0"/>
          <w:lang w:val="en-GB"/>
        </w:rPr>
        <w:t xml:space="preserve">after </w:t>
      </w:r>
      <w:r w:rsidR="00C70DCA">
        <w:rPr>
          <w:rFonts w:ascii="Times New Roman"/>
          <w:kern w:val="0"/>
          <w:lang w:val="en-GB"/>
        </w:rPr>
        <w:t xml:space="preserve">a </w:t>
      </w:r>
      <w:r w:rsidR="00C44FCF">
        <w:rPr>
          <w:rFonts w:ascii="Times New Roman"/>
          <w:kern w:val="0"/>
          <w:lang w:val="en-GB"/>
        </w:rPr>
        <w:t>4.1</w:t>
      </w:r>
      <w:r w:rsidR="00C70DCA">
        <w:rPr>
          <w:rFonts w:ascii="Times New Roman"/>
          <w:kern w:val="0"/>
          <w:lang w:val="en-GB"/>
        </w:rPr>
        <w:t xml:space="preserve">% </w:t>
      </w:r>
      <w:r w:rsidR="0095256B">
        <w:rPr>
          <w:rFonts w:ascii="Times New Roman"/>
          <w:kern w:val="0"/>
          <w:lang w:val="en-GB"/>
        </w:rPr>
        <w:t>in</w:t>
      </w:r>
      <w:r w:rsidR="00C70DCA">
        <w:rPr>
          <w:rFonts w:ascii="Times New Roman"/>
          <w:kern w:val="0"/>
          <w:lang w:val="en-GB"/>
        </w:rPr>
        <w:t>crease in the preceding quarter</w:t>
      </w:r>
      <w:r w:rsidR="000E7952">
        <w:rPr>
          <w:rFonts w:ascii="Times New Roman"/>
          <w:szCs w:val="28"/>
          <w:lang w:val="en-GB"/>
        </w:rPr>
        <w:t>.</w:t>
      </w:r>
      <w:r w:rsidR="00F359AC">
        <w:rPr>
          <w:rFonts w:ascii="Times New Roman"/>
          <w:szCs w:val="28"/>
          <w:lang w:val="en-GB"/>
        </w:rPr>
        <w:t xml:space="preserve"> </w:t>
      </w:r>
      <w:r w:rsidR="00B32556">
        <w:rPr>
          <w:rFonts w:ascii="Times New Roman"/>
          <w:szCs w:val="28"/>
          <w:lang w:val="en-GB"/>
        </w:rPr>
        <w:t xml:space="preserve"> </w:t>
      </w:r>
      <w:r w:rsidR="002B1996" w:rsidRPr="00C44FCF">
        <w:rPr>
          <w:rFonts w:ascii="Times New Roman"/>
          <w:kern w:val="0"/>
          <w:lang w:val="en-GB"/>
        </w:rPr>
        <w:t xml:space="preserve">Expenditure on acquisitions of machinery, equipment and intellectual property products </w:t>
      </w:r>
      <w:r w:rsidR="002C1C73">
        <w:rPr>
          <w:rFonts w:ascii="Times New Roman"/>
          <w:kern w:val="0"/>
          <w:lang w:val="en-GB"/>
        </w:rPr>
        <w:t>resumed growth of</w:t>
      </w:r>
      <w:r w:rsidR="00C44FCF">
        <w:rPr>
          <w:rFonts w:ascii="Times New Roman"/>
          <w:kern w:val="0"/>
          <w:lang w:val="en-GB"/>
        </w:rPr>
        <w:t xml:space="preserve"> </w:t>
      </w:r>
      <w:r w:rsidR="00BC71DE">
        <w:rPr>
          <w:rFonts w:ascii="Times New Roman"/>
          <w:kern w:val="0"/>
          <w:lang w:val="en-GB"/>
        </w:rPr>
        <w:t>15.1</w:t>
      </w:r>
      <w:r w:rsidR="002B1996" w:rsidRPr="00C44FCF">
        <w:rPr>
          <w:rFonts w:ascii="Times New Roman"/>
          <w:kern w:val="0"/>
          <w:lang w:val="en-GB"/>
        </w:rPr>
        <w:t>%</w:t>
      </w:r>
      <w:r w:rsidR="00E953B3">
        <w:rPr>
          <w:rFonts w:ascii="Times New Roman"/>
          <w:kern w:val="0"/>
          <w:lang w:val="en-GB"/>
        </w:rPr>
        <w:t xml:space="preserve"> </w:t>
      </w:r>
      <w:r w:rsidR="00341239">
        <w:rPr>
          <w:rFonts w:ascii="Times New Roman"/>
          <w:kern w:val="0"/>
          <w:lang w:val="en-GB"/>
        </w:rPr>
        <w:t xml:space="preserve">alongside </w:t>
      </w:r>
      <w:r w:rsidR="00770953">
        <w:rPr>
          <w:rFonts w:ascii="Times New Roman"/>
          <w:kern w:val="0"/>
          <w:lang w:val="en-GB"/>
        </w:rPr>
        <w:t>the overall economic growth</w:t>
      </w:r>
      <w:r w:rsidR="002B1996" w:rsidRPr="00C44FCF">
        <w:rPr>
          <w:rFonts w:ascii="Times New Roman"/>
          <w:kern w:val="0"/>
          <w:lang w:val="en-GB"/>
        </w:rPr>
        <w:t xml:space="preserve">.  </w:t>
      </w:r>
      <w:r w:rsidR="00341239" w:rsidRPr="00C44FCF">
        <w:rPr>
          <w:rFonts w:ascii="Times New Roman"/>
          <w:kern w:val="0"/>
          <w:lang w:val="en-GB"/>
        </w:rPr>
        <w:t xml:space="preserve">Expenditure on building and construction </w:t>
      </w:r>
      <w:r w:rsidR="00341239">
        <w:rPr>
          <w:rFonts w:ascii="Times New Roman"/>
          <w:kern w:val="0"/>
          <w:lang w:val="en-GB"/>
        </w:rPr>
        <w:t xml:space="preserve">declined </w:t>
      </w:r>
      <w:r w:rsidR="00341239" w:rsidRPr="00C44FCF">
        <w:rPr>
          <w:rFonts w:ascii="Times New Roman"/>
          <w:kern w:val="0"/>
          <w:lang w:val="en-GB"/>
        </w:rPr>
        <w:t xml:space="preserve">by </w:t>
      </w:r>
      <w:r w:rsidR="00BC71DE">
        <w:rPr>
          <w:rFonts w:ascii="Times New Roman"/>
          <w:kern w:val="0"/>
          <w:lang w:val="en-GB"/>
        </w:rPr>
        <w:t>3.5</w:t>
      </w:r>
      <w:r w:rsidR="00341239" w:rsidRPr="00C44FCF">
        <w:rPr>
          <w:rFonts w:ascii="Times New Roman"/>
          <w:kern w:val="0"/>
          <w:lang w:val="en-GB"/>
        </w:rPr>
        <w:t xml:space="preserve">%, </w:t>
      </w:r>
      <w:r w:rsidR="00341239">
        <w:rPr>
          <w:rFonts w:ascii="Times New Roman"/>
          <w:kern w:val="0"/>
          <w:lang w:val="en-GB"/>
        </w:rPr>
        <w:t xml:space="preserve">with the increase in </w:t>
      </w:r>
      <w:r w:rsidR="00341239" w:rsidRPr="00B2619E">
        <w:rPr>
          <w:rFonts w:ascii="Times New Roman"/>
          <w:kern w:val="0"/>
          <w:lang w:val="en-GB"/>
        </w:rPr>
        <w:t xml:space="preserve">public </w:t>
      </w:r>
      <w:r w:rsidR="002C3F94" w:rsidRPr="00B2619E">
        <w:rPr>
          <w:rFonts w:ascii="Times New Roman"/>
          <w:kern w:val="0"/>
          <w:lang w:val="en-GB"/>
        </w:rPr>
        <w:t xml:space="preserve">sector </w:t>
      </w:r>
      <w:r w:rsidR="00341239" w:rsidRPr="00B2619E">
        <w:rPr>
          <w:rFonts w:ascii="Times New Roman"/>
          <w:kern w:val="0"/>
          <w:lang w:val="en-GB"/>
        </w:rPr>
        <w:t>spending</w:t>
      </w:r>
      <w:r w:rsidR="002C1C73" w:rsidRPr="00B2619E">
        <w:rPr>
          <w:rFonts w:ascii="Times New Roman"/>
          <w:kern w:val="0"/>
          <w:lang w:val="en-GB"/>
        </w:rPr>
        <w:t xml:space="preserve"> more than offset by the decline in private </w:t>
      </w:r>
      <w:r w:rsidR="002C3F94" w:rsidRPr="00B2619E">
        <w:rPr>
          <w:rFonts w:ascii="Times New Roman"/>
          <w:kern w:val="0"/>
          <w:lang w:val="en-GB"/>
        </w:rPr>
        <w:t xml:space="preserve">sector </w:t>
      </w:r>
      <w:r w:rsidR="002C1C73" w:rsidRPr="00B2619E">
        <w:rPr>
          <w:rFonts w:ascii="Times New Roman"/>
          <w:kern w:val="0"/>
          <w:lang w:val="en-GB"/>
        </w:rPr>
        <w:t>spending</w:t>
      </w:r>
      <w:r w:rsidR="00341239" w:rsidRPr="00B2619E">
        <w:rPr>
          <w:rFonts w:ascii="Times New Roman"/>
          <w:kern w:val="0"/>
          <w:lang w:val="en-GB"/>
        </w:rPr>
        <w:t xml:space="preserve">.  </w:t>
      </w:r>
      <w:r w:rsidR="00C70DCA" w:rsidRPr="00B2619E">
        <w:rPr>
          <w:rFonts w:ascii="Times New Roman"/>
          <w:kern w:val="0"/>
          <w:lang w:val="en-GB"/>
        </w:rPr>
        <w:t>S</w:t>
      </w:r>
      <w:r w:rsidR="00C70DCA" w:rsidRPr="00C44FCF">
        <w:rPr>
          <w:rFonts w:ascii="Times New Roman"/>
          <w:kern w:val="0"/>
          <w:lang w:val="en-GB"/>
        </w:rPr>
        <w:t xml:space="preserve">eparately, the costs of ownership transfer </w:t>
      </w:r>
      <w:r w:rsidR="00FF14B7" w:rsidRPr="00C44FCF">
        <w:rPr>
          <w:rFonts w:ascii="Times New Roman"/>
          <w:kern w:val="0"/>
          <w:lang w:val="en-GB"/>
        </w:rPr>
        <w:t>rose further</w:t>
      </w:r>
      <w:r w:rsidR="00D20F2D" w:rsidRPr="00C44FCF">
        <w:rPr>
          <w:rFonts w:ascii="Times New Roman"/>
          <w:kern w:val="0"/>
          <w:lang w:val="en-GB"/>
        </w:rPr>
        <w:t xml:space="preserve"> </w:t>
      </w:r>
      <w:r w:rsidR="00C70DCA" w:rsidRPr="00C44FCF">
        <w:rPr>
          <w:rFonts w:ascii="Times New Roman"/>
          <w:kern w:val="0"/>
          <w:lang w:val="en-GB"/>
        </w:rPr>
        <w:t>as property transactions</w:t>
      </w:r>
      <w:r w:rsidR="00840577" w:rsidRPr="00C44FCF">
        <w:rPr>
          <w:rFonts w:ascii="Times New Roman"/>
          <w:kern w:val="0"/>
          <w:lang w:val="en-GB"/>
        </w:rPr>
        <w:t xml:space="preserve"> continued to</w:t>
      </w:r>
      <w:r w:rsidR="00C70DCA" w:rsidRPr="00C44FCF">
        <w:rPr>
          <w:rFonts w:ascii="Times New Roman"/>
          <w:kern w:val="0"/>
          <w:lang w:val="en-GB"/>
        </w:rPr>
        <w:t xml:space="preserve"> </w:t>
      </w:r>
      <w:r w:rsidR="002F23CA" w:rsidRPr="00C44FCF">
        <w:rPr>
          <w:rFonts w:ascii="Times New Roman"/>
          <w:kern w:val="0"/>
          <w:lang w:val="en-GB"/>
        </w:rPr>
        <w:t>increase</w:t>
      </w:r>
      <w:r w:rsidR="00305681" w:rsidRPr="00C44FCF">
        <w:rPr>
          <w:rFonts w:ascii="Times New Roman"/>
          <w:kern w:val="0"/>
          <w:lang w:val="en-GB"/>
        </w:rPr>
        <w:t>.</w:t>
      </w:r>
      <w:r w:rsidR="005B07E4" w:rsidRPr="004110C3">
        <w:rPr>
          <w:b/>
        </w:rPr>
        <w:t xml:space="preserve"> </w:t>
      </w:r>
    </w:p>
    <w:p w:rsidR="00930EBE" w:rsidRDefault="00930EBE">
      <w:pPr>
        <w:widowControl/>
        <w:rPr>
          <w:rFonts w:ascii="新細明體"/>
          <w:b/>
          <w:sz w:val="28"/>
          <w:szCs w:val="20"/>
          <w:lang w:val="en-US"/>
        </w:rPr>
      </w:pPr>
      <w:r>
        <w:rPr>
          <w:b/>
        </w:rPr>
        <w:br w:type="page"/>
      </w:r>
    </w:p>
    <w:p w:rsidR="00930EBE" w:rsidRPr="006C7562" w:rsidRDefault="00930EBE" w:rsidP="00930EBE">
      <w:pPr>
        <w:widowControl/>
        <w:rPr>
          <w:b/>
          <w:lang w:eastAsia="zh-HK"/>
        </w:rPr>
      </w:pPr>
      <w:r>
        <w:rPr>
          <w:noProof/>
        </w:rPr>
        <w:lastRenderedPageBreak/>
        <mc:AlternateContent>
          <mc:Choice Requires="wps">
            <w:drawing>
              <wp:anchor distT="0" distB="0" distL="114300" distR="114300" simplePos="0" relativeHeight="251660288" behindDoc="1" locked="0" layoutInCell="1" allowOverlap="1" wp14:anchorId="133802B0" wp14:editId="66CBD79A">
                <wp:simplePos x="0" y="0"/>
                <wp:positionH relativeFrom="margin">
                  <wp:posOffset>-158115</wp:posOffset>
                </wp:positionH>
                <wp:positionV relativeFrom="margin">
                  <wp:posOffset>-142875</wp:posOffset>
                </wp:positionV>
                <wp:extent cx="6174000" cy="9651600"/>
                <wp:effectExtent l="0" t="0" r="17780" b="11430"/>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5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AE2A6" id="矩形 21" o:spid="_x0000_s1026" style="position:absolute;margin-left:-12.45pt;margin-top:-11.25pt;width:486.15pt;height:759.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">
                <w10:wrap anchorx="margin" anchory="margin"/>
              </v:rect>
            </w:pict>
          </mc:Fallback>
        </mc:AlternateContent>
      </w:r>
      <w:r w:rsidRPr="006C7562">
        <w:rPr>
          <w:b/>
        </w:rPr>
        <w:t xml:space="preserve">Box </w:t>
      </w:r>
      <w:r w:rsidRPr="001151E0">
        <w:rPr>
          <w:b/>
        </w:rPr>
        <w:t>1.1</w:t>
      </w:r>
    </w:p>
    <w:p w:rsidR="00930EBE" w:rsidRPr="00FC3719" w:rsidRDefault="00930EBE" w:rsidP="00930EBE">
      <w:pPr>
        <w:spacing w:beforeLines="50" w:before="180" w:afterLines="50" w:after="180" w:line="200" w:lineRule="exact"/>
        <w:jc w:val="center"/>
      </w:pPr>
      <w:r w:rsidRPr="00FC3719">
        <w:rPr>
          <w:b/>
        </w:rPr>
        <w:t>Business sentiment in Hong Kong</w:t>
      </w:r>
    </w:p>
    <w:p w:rsidR="00930EBE" w:rsidRPr="000F0C63" w:rsidRDefault="00930EBE" w:rsidP="00930EBE">
      <w:pPr>
        <w:overflowPunct w:val="0"/>
        <w:snapToGrid w:val="0"/>
        <w:spacing w:afterLines="50" w:after="180"/>
        <w:jc w:val="both"/>
        <w:rPr>
          <w:rFonts w:eastAsiaTheme="minorEastAsia"/>
        </w:rPr>
      </w:pPr>
      <w:r w:rsidRPr="00FC3719">
        <w:t>This box article gives a general overview of the prevailing business sentiment</w:t>
      </w:r>
      <w:r w:rsidRPr="00FC3719">
        <w:rPr>
          <w:lang w:eastAsia="zh-HK"/>
        </w:rPr>
        <w:t xml:space="preserve"> in Hong Kong,</w:t>
      </w:r>
      <w:r w:rsidRPr="00FC3719">
        <w:t xml:space="preserve"> based on results from various surveys that are available in the public </w:t>
      </w:r>
      <w:r w:rsidRPr="000F0C63">
        <w:t>domain.</w:t>
      </w:r>
      <w:r w:rsidRPr="000F0C63">
        <w:rPr>
          <w:rFonts w:eastAsia="SimSun"/>
          <w:lang w:eastAsia="zh-CN"/>
        </w:rPr>
        <w:t xml:space="preserve">  Survey results indicate that overall business sentiment </w:t>
      </w:r>
      <w:r>
        <w:rPr>
          <w:rFonts w:eastAsia="SimSun"/>
          <w:lang w:eastAsia="zh-CN"/>
        </w:rPr>
        <w:t>stayed generally subdued in the past few months</w:t>
      </w:r>
      <w:r>
        <w:rPr>
          <w:rFonts w:eastAsiaTheme="minorEastAsia" w:hint="eastAsia"/>
        </w:rPr>
        <w:t>,</w:t>
      </w:r>
      <w:r>
        <w:rPr>
          <w:rFonts w:eastAsiaTheme="minorEastAsia"/>
        </w:rPr>
        <w:t xml:space="preserve"> </w:t>
      </w:r>
      <w:r>
        <w:rPr>
          <w:rFonts w:eastAsiaTheme="minorEastAsia"/>
          <w:lang w:eastAsia="zh-HK"/>
        </w:rPr>
        <w:t>but some indicators have shown signs of improvement most recently.</w:t>
      </w:r>
    </w:p>
    <w:p w:rsidR="00930EBE" w:rsidRPr="005D4BE4" w:rsidRDefault="00930EBE" w:rsidP="00930EBE">
      <w:pPr>
        <w:overflowPunct w:val="0"/>
        <w:snapToGrid w:val="0"/>
        <w:spacing w:afterLines="50" w:after="180"/>
        <w:jc w:val="both"/>
        <w:rPr>
          <w:lang w:eastAsia="zh-HK"/>
        </w:rPr>
      </w:pPr>
      <w:r w:rsidRPr="00411BF5">
        <w:t>According to the results of the Census and Statistics Department (C&amp;SD)’s Quarterly Business Tendency Survey (QBTS</w:t>
      </w:r>
      <w:proofErr w:type="gramStart"/>
      <w:r w:rsidRPr="00411BF5">
        <w:t>)</w:t>
      </w:r>
      <w:r w:rsidRPr="00411BF5">
        <w:rPr>
          <w:rFonts w:eastAsia="SimSun"/>
          <w:vertAlign w:val="superscript"/>
          <w:lang w:eastAsia="zh-CN"/>
        </w:rPr>
        <w:t>(</w:t>
      </w:r>
      <w:proofErr w:type="gramEnd"/>
      <w:r w:rsidRPr="00411BF5">
        <w:rPr>
          <w:rFonts w:eastAsia="SimSun"/>
          <w:vertAlign w:val="superscript"/>
          <w:lang w:eastAsia="zh-CN"/>
        </w:rPr>
        <w:t>1)</w:t>
      </w:r>
      <w:r w:rsidRPr="00411BF5">
        <w:rPr>
          <w:vertAlign w:val="superscript"/>
        </w:rPr>
        <w:t xml:space="preserve"> </w:t>
      </w:r>
      <w:r w:rsidRPr="00411BF5">
        <w:t>conducted</w:t>
      </w:r>
      <w:r w:rsidRPr="00411BF5">
        <w:rPr>
          <w:lang w:eastAsia="zh-HK"/>
        </w:rPr>
        <w:t xml:space="preserve"> </w:t>
      </w:r>
      <w:r w:rsidRPr="00411BF5">
        <w:t>during</w:t>
      </w:r>
      <w:r w:rsidRPr="00411BF5">
        <w:rPr>
          <w:lang w:eastAsia="zh-HK"/>
        </w:rPr>
        <w:t xml:space="preserve"> </w:t>
      </w:r>
      <w:r>
        <w:rPr>
          <w:lang w:eastAsia="zh-HK"/>
        </w:rPr>
        <w:t>3 September</w:t>
      </w:r>
      <w:r w:rsidRPr="00411BF5">
        <w:rPr>
          <w:lang w:eastAsia="zh-HK"/>
        </w:rPr>
        <w:t xml:space="preserve"> 2024 to </w:t>
      </w:r>
      <w:r>
        <w:rPr>
          <w:lang w:eastAsia="zh-HK"/>
        </w:rPr>
        <w:t xml:space="preserve">15 October </w:t>
      </w:r>
      <w:r w:rsidRPr="00411BF5">
        <w:rPr>
          <w:lang w:eastAsia="zh-HK"/>
        </w:rPr>
        <w:t>2024,</w:t>
      </w:r>
      <w:r w:rsidRPr="00411BF5">
        <w:t xml:space="preserve"> business sentiment among large enterprises in Hong Kong </w:t>
      </w:r>
      <w:r>
        <w:t>for the fourth quarter remained soft</w:t>
      </w:r>
      <w:r w:rsidRPr="00411BF5">
        <w:t xml:space="preserve"> </w:t>
      </w:r>
      <w:r>
        <w:rPr>
          <w:rFonts w:hint="eastAsia"/>
        </w:rPr>
        <w:t>i</w:t>
      </w:r>
      <w:r>
        <w:t xml:space="preserve">n overall terms </w:t>
      </w:r>
      <w:r w:rsidRPr="00411BF5">
        <w:t>(</w:t>
      </w:r>
      <w:r w:rsidRPr="00411BF5">
        <w:rPr>
          <w:b/>
          <w:i/>
        </w:rPr>
        <w:t>Chart 1</w:t>
      </w:r>
      <w:r w:rsidRPr="00411BF5">
        <w:t>)</w:t>
      </w:r>
      <w:r w:rsidRPr="00411BF5">
        <w:rPr>
          <w:lang w:eastAsia="zh-HK"/>
        </w:rPr>
        <w:t>.</w:t>
      </w:r>
      <w:r w:rsidRPr="00411BF5">
        <w:t xml:space="preserve">  </w:t>
      </w:r>
      <w:r w:rsidRPr="00411BF5">
        <w:rPr>
          <w:rFonts w:hint="eastAsia"/>
        </w:rPr>
        <w:t>T</w:t>
      </w:r>
      <w:r w:rsidRPr="00411BF5">
        <w:rPr>
          <w:lang w:eastAsia="zh-HK"/>
        </w:rPr>
        <w:t xml:space="preserve">he proportion of large enterprises expecting their business situation to improve in the </w:t>
      </w:r>
      <w:r>
        <w:rPr>
          <w:lang w:eastAsia="zh-HK"/>
        </w:rPr>
        <w:t>fourth</w:t>
      </w:r>
      <w:r w:rsidRPr="00411BF5">
        <w:rPr>
          <w:lang w:eastAsia="zh-HK"/>
        </w:rPr>
        <w:t xml:space="preserve"> quarter of 2024 over the </w:t>
      </w:r>
      <w:r>
        <w:rPr>
          <w:lang w:eastAsia="zh-HK"/>
        </w:rPr>
        <w:t>third</w:t>
      </w:r>
      <w:r w:rsidRPr="00411BF5">
        <w:rPr>
          <w:lang w:eastAsia="zh-HK"/>
        </w:rPr>
        <w:t xml:space="preserve"> quarter was </w:t>
      </w:r>
      <w:r>
        <w:rPr>
          <w:lang w:eastAsia="zh-HK"/>
        </w:rPr>
        <w:t>less</w:t>
      </w:r>
      <w:r w:rsidRPr="00411BF5">
        <w:rPr>
          <w:lang w:eastAsia="zh-HK"/>
        </w:rPr>
        <w:t xml:space="preserve"> than </w:t>
      </w:r>
      <w:r w:rsidRPr="00411BF5">
        <w:rPr>
          <w:rFonts w:hint="eastAsia"/>
          <w:lang w:eastAsia="zh-HK"/>
        </w:rPr>
        <w:t>the proportion</w:t>
      </w:r>
      <w:r w:rsidRPr="00411BF5">
        <w:rPr>
          <w:lang w:eastAsia="zh-HK"/>
        </w:rPr>
        <w:t xml:space="preserve"> of those expecting the situation to worsen by </w:t>
      </w:r>
      <w:r>
        <w:rPr>
          <w:lang w:eastAsia="zh-HK"/>
        </w:rPr>
        <w:t>3</w:t>
      </w:r>
      <w:r w:rsidRPr="00411BF5">
        <w:rPr>
          <w:lang w:eastAsia="zh-HK"/>
        </w:rPr>
        <w:t xml:space="preserve"> percentage point</w:t>
      </w:r>
      <w:r>
        <w:rPr>
          <w:lang w:eastAsia="zh-HK"/>
        </w:rPr>
        <w:t>s</w:t>
      </w:r>
      <w:r w:rsidRPr="00411BF5">
        <w:rPr>
          <w:lang w:eastAsia="zh-HK"/>
        </w:rPr>
        <w:t xml:space="preserve"> (i.e. a net balance of </w:t>
      </w:r>
      <w:r>
        <w:rPr>
          <w:lang w:eastAsia="zh-HK"/>
        </w:rPr>
        <w:t>-3</w:t>
      </w:r>
      <w:r w:rsidRPr="00411BF5">
        <w:rPr>
          <w:lang w:eastAsia="zh-HK"/>
        </w:rPr>
        <w:t xml:space="preserve">), </w:t>
      </w:r>
      <w:r>
        <w:rPr>
          <w:lang w:eastAsia="zh-HK"/>
        </w:rPr>
        <w:t>following</w:t>
      </w:r>
      <w:r w:rsidRPr="005D4BE4">
        <w:rPr>
          <w:lang w:eastAsia="zh-HK"/>
        </w:rPr>
        <w:t xml:space="preserve"> the net balance of </w:t>
      </w:r>
      <w:r>
        <w:rPr>
          <w:lang w:eastAsia="zh-HK"/>
        </w:rPr>
        <w:t>-1</w:t>
      </w:r>
      <w:r w:rsidRPr="005D4BE4">
        <w:rPr>
          <w:lang w:eastAsia="zh-HK"/>
        </w:rPr>
        <w:t xml:space="preserve"> </w:t>
      </w:r>
      <w:r w:rsidRPr="005D4BE4">
        <w:t>in the previous round.</w:t>
      </w:r>
    </w:p>
    <w:p w:rsidR="00930EBE" w:rsidRPr="009D6AB5" w:rsidRDefault="00930EBE" w:rsidP="00930EBE">
      <w:pPr>
        <w:overflowPunct w:val="0"/>
        <w:snapToGrid w:val="0"/>
        <w:spacing w:afterLines="30" w:after="108"/>
        <w:jc w:val="both"/>
        <w:rPr>
          <w:highlight w:val="lightGray"/>
        </w:rPr>
      </w:pPr>
      <w:r>
        <w:t>Business sentiment of l</w:t>
      </w:r>
      <w:r w:rsidRPr="000F3A7E">
        <w:t xml:space="preserve">arge enterprises </w:t>
      </w:r>
      <w:r>
        <w:t xml:space="preserve">varied across </w:t>
      </w:r>
      <w:r w:rsidRPr="000F3A7E">
        <w:t>sect</w:t>
      </w:r>
      <w:r>
        <w:t>ors</w:t>
      </w:r>
      <w:r w:rsidRPr="000F3A7E">
        <w:t xml:space="preserve"> </w:t>
      </w:r>
      <w:r w:rsidRPr="005D4BE4">
        <w:t>(</w:t>
      </w:r>
      <w:r w:rsidRPr="005D4BE4">
        <w:rPr>
          <w:b/>
          <w:i/>
        </w:rPr>
        <w:t>T</w:t>
      </w:r>
      <w:r w:rsidRPr="0061078D">
        <w:rPr>
          <w:b/>
          <w:i/>
        </w:rPr>
        <w:t>able 1</w:t>
      </w:r>
      <w:r w:rsidRPr="0061078D">
        <w:t xml:space="preserve">).  The net balance </w:t>
      </w:r>
      <w:r>
        <w:t>for</w:t>
      </w:r>
      <w:r w:rsidRPr="0061078D">
        <w:t xml:space="preserve"> </w:t>
      </w:r>
      <w:r>
        <w:t>“financing and insurance” sector remained in the positive zone, and those for</w:t>
      </w:r>
      <w:r w:rsidRPr="0061078D">
        <w:t xml:space="preserve"> the “</w:t>
      </w:r>
      <w:r>
        <w:t>real estate</w:t>
      </w:r>
      <w:r w:rsidRPr="004B75E9">
        <w:t>” and “</w:t>
      </w:r>
      <w:r>
        <w:t>professional and business services</w:t>
      </w:r>
      <w:r w:rsidRPr="004B75E9">
        <w:t xml:space="preserve">” sectors </w:t>
      </w:r>
      <w:r>
        <w:t>turned positive</w:t>
      </w:r>
      <w:r w:rsidRPr="004B75E9">
        <w:t xml:space="preserve">. </w:t>
      </w:r>
      <w:r>
        <w:t xml:space="preserve"> Those for </w:t>
      </w:r>
      <w:r w:rsidRPr="0061078D">
        <w:t>“transportation, storage and courier services”</w:t>
      </w:r>
      <w:r>
        <w:t xml:space="preserve"> and </w:t>
      </w:r>
      <w:r w:rsidRPr="0061078D">
        <w:t>“</w:t>
      </w:r>
      <w:r>
        <w:t>construction</w:t>
      </w:r>
      <w:r w:rsidRPr="0061078D">
        <w:t>”</w:t>
      </w:r>
      <w:r>
        <w:t xml:space="preserve"> sectors showed relative improvement within the negative zone.</w:t>
      </w:r>
      <w:r w:rsidRPr="0061078D">
        <w:t xml:space="preserve"> </w:t>
      </w:r>
      <w:r>
        <w:t xml:space="preserve"> </w:t>
      </w:r>
      <w:r>
        <w:rPr>
          <w:rFonts w:hint="eastAsia"/>
          <w:lang w:eastAsia="zh-HK"/>
        </w:rPr>
        <w:t>M</w:t>
      </w:r>
      <w:r>
        <w:rPr>
          <w:lang w:eastAsia="zh-HK"/>
        </w:rPr>
        <w:t>ean</w:t>
      </w:r>
      <w:r w:rsidRPr="0061078D">
        <w:t>while</w:t>
      </w:r>
      <w:r>
        <w:t>,</w:t>
      </w:r>
      <w:r w:rsidRPr="0061078D">
        <w:t xml:space="preserve"> </w:t>
      </w:r>
      <w:r>
        <w:t>the net balance for</w:t>
      </w:r>
      <w:r w:rsidRPr="0061078D">
        <w:t xml:space="preserve"> “</w:t>
      </w:r>
      <w:r>
        <w:t>accommodation and food services</w:t>
      </w:r>
      <w:r w:rsidRPr="0061078D">
        <w:t xml:space="preserve">” sector </w:t>
      </w:r>
      <w:r>
        <w:t>fell into the negative zone</w:t>
      </w:r>
      <w:r w:rsidRPr="0061078D">
        <w:t>.</w:t>
      </w:r>
      <w:r>
        <w:t xml:space="preserve">  Those for</w:t>
      </w:r>
      <w:r w:rsidRPr="0061078D">
        <w:t xml:space="preserve"> </w:t>
      </w:r>
      <w:r>
        <w:t>“information and communications”,</w:t>
      </w:r>
      <w:r w:rsidRPr="0061078D">
        <w:t xml:space="preserve"> </w:t>
      </w:r>
      <w:r>
        <w:t>“import/export trade and wholesale”,</w:t>
      </w:r>
      <w:r w:rsidRPr="0061078D">
        <w:t xml:space="preserve"> “</w:t>
      </w:r>
      <w:r>
        <w:t>manufacturing</w:t>
      </w:r>
      <w:r w:rsidRPr="0061078D">
        <w:t>”</w:t>
      </w:r>
      <w:r>
        <w:t>, and “retail” sectors fell by varying degrees within the negative zone.  L</w:t>
      </w:r>
      <w:r w:rsidRPr="004B75E9">
        <w:t xml:space="preserve">arge enterprises’ appetite for hiring stayed largely </w:t>
      </w:r>
      <w:r>
        <w:t>steady in overall terms</w:t>
      </w:r>
      <w:r w:rsidRPr="004B75E9">
        <w:t xml:space="preserve"> (</w:t>
      </w:r>
      <w:r w:rsidRPr="004B75E9">
        <w:rPr>
          <w:b/>
          <w:i/>
        </w:rPr>
        <w:t>Table 2</w:t>
      </w:r>
      <w:r w:rsidRPr="004B75E9">
        <w:t>).</w:t>
      </w:r>
      <w:r>
        <w:t xml:space="preserve"> </w:t>
      </w:r>
    </w:p>
    <w:p w:rsidR="00930EBE" w:rsidRPr="009D6AB5" w:rsidRDefault="00930EBE" w:rsidP="00930EBE">
      <w:pPr>
        <w:overflowPunct w:val="0"/>
        <w:snapToGrid w:val="0"/>
        <w:spacing w:afterLines="30" w:after="108"/>
        <w:jc w:val="both"/>
        <w:rPr>
          <w:noProof/>
          <w:sz w:val="2"/>
          <w:highlight w:val="lightGray"/>
        </w:rPr>
      </w:pPr>
    </w:p>
    <w:tbl>
      <w:tblPr>
        <w:tblW w:w="9322" w:type="dxa"/>
        <w:tblLayout w:type="fixed"/>
        <w:tblLook w:val="04A0" w:firstRow="1" w:lastRow="0" w:firstColumn="1" w:lastColumn="0" w:noHBand="0" w:noVBand="1"/>
      </w:tblPr>
      <w:tblGrid>
        <w:gridCol w:w="851"/>
        <w:gridCol w:w="3793"/>
        <w:gridCol w:w="851"/>
        <w:gridCol w:w="3685"/>
        <w:gridCol w:w="142"/>
      </w:tblGrid>
      <w:tr w:rsidR="00930EBE" w:rsidRPr="009D6AB5" w:rsidTr="005543B8">
        <w:trPr>
          <w:gridAfter w:val="1"/>
          <w:wAfter w:w="142" w:type="dxa"/>
        </w:trPr>
        <w:tc>
          <w:tcPr>
            <w:tcW w:w="9180" w:type="dxa"/>
            <w:gridSpan w:val="4"/>
            <w:shd w:val="clear" w:color="auto" w:fill="auto"/>
          </w:tcPr>
          <w:p w:rsidR="00930EBE" w:rsidRPr="009D6AB5" w:rsidRDefault="00930EBE" w:rsidP="005543B8">
            <w:pPr>
              <w:overflowPunct w:val="0"/>
              <w:autoSpaceDE w:val="0"/>
              <w:autoSpaceDN w:val="0"/>
              <w:adjustRightInd w:val="0"/>
              <w:snapToGrid w:val="0"/>
              <w:spacing w:line="260" w:lineRule="exact"/>
              <w:ind w:rightChars="73" w:right="175"/>
              <w:jc w:val="center"/>
              <w:textAlignment w:val="baseline"/>
              <w:rPr>
                <w:b/>
                <w:sz w:val="21"/>
                <w:szCs w:val="21"/>
                <w:highlight w:val="lightGray"/>
                <w:lang w:eastAsia="zh-HK"/>
              </w:rPr>
            </w:pPr>
            <w:r w:rsidRPr="009A1BFB">
              <w:rPr>
                <w:b/>
                <w:sz w:val="21"/>
                <w:szCs w:val="21"/>
                <w:lang w:eastAsia="zh-HK"/>
              </w:rPr>
              <w:t xml:space="preserve">Chart 1 : Business sentiment of large enterprises </w:t>
            </w:r>
            <w:r>
              <w:rPr>
                <w:b/>
                <w:sz w:val="21"/>
                <w:szCs w:val="21"/>
                <w:lang w:eastAsia="zh-HK"/>
              </w:rPr>
              <w:t xml:space="preserve">remained </w:t>
            </w:r>
            <w:r w:rsidRPr="009A1BFB">
              <w:rPr>
                <w:b/>
                <w:sz w:val="21"/>
                <w:szCs w:val="21"/>
                <w:lang w:eastAsia="zh-HK"/>
              </w:rPr>
              <w:t>soft in overall terms</w:t>
            </w:r>
            <w:r>
              <w:rPr>
                <w:b/>
                <w:sz w:val="21"/>
                <w:szCs w:val="21"/>
                <w:lang w:eastAsia="zh-HK"/>
              </w:rPr>
              <w:t xml:space="preserve"> </w:t>
            </w:r>
          </w:p>
        </w:tc>
      </w:tr>
      <w:tr w:rsidR="00930EBE" w:rsidRPr="009D6AB5" w:rsidTr="005543B8">
        <w:trPr>
          <w:gridAfter w:val="1"/>
          <w:wAfter w:w="142" w:type="dxa"/>
        </w:trPr>
        <w:tc>
          <w:tcPr>
            <w:tcW w:w="9180" w:type="dxa"/>
            <w:gridSpan w:val="4"/>
            <w:shd w:val="clear" w:color="auto" w:fill="auto"/>
          </w:tcPr>
          <w:p w:rsidR="00930EBE" w:rsidRPr="005853F0" w:rsidRDefault="00930EBE" w:rsidP="005543B8">
            <w:pPr>
              <w:snapToGrid w:val="0"/>
              <w:jc w:val="center"/>
              <w:rPr>
                <w:lang w:eastAsia="zh-HK"/>
              </w:rPr>
            </w:pPr>
            <w:r>
              <w:rPr>
                <w:lang w:eastAsia="zh-HK"/>
              </w:rPr>
              <w:t xml:space="preserve"> </w:t>
            </w:r>
            <w:r w:rsidRPr="006A6B1A">
              <w:rPr>
                <w:noProof/>
              </w:rPr>
              <w:drawing>
                <wp:inline distT="0" distB="0" distL="0" distR="0" wp14:anchorId="351B1B98" wp14:editId="6BFE583A">
                  <wp:extent cx="5473901" cy="3906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73901" cy="3906000"/>
                          </a:xfrm>
                          <a:prstGeom prst="rect">
                            <a:avLst/>
                          </a:prstGeom>
                          <a:noFill/>
                          <a:ln>
                            <a:noFill/>
                          </a:ln>
                        </pic:spPr>
                      </pic:pic>
                    </a:graphicData>
                  </a:graphic>
                </wp:inline>
              </w:drawing>
            </w:r>
          </w:p>
          <w:p w:rsidR="00930EBE" w:rsidRPr="005853F0" w:rsidRDefault="00930EBE" w:rsidP="005543B8">
            <w:pPr>
              <w:overflowPunct w:val="0"/>
              <w:autoSpaceDE w:val="0"/>
              <w:autoSpaceDN w:val="0"/>
              <w:adjustRightInd w:val="0"/>
              <w:snapToGrid w:val="0"/>
              <w:spacing w:afterLines="30" w:after="108"/>
              <w:ind w:rightChars="73" w:right="175"/>
              <w:textAlignment w:val="baseline"/>
              <w:rPr>
                <w:b/>
                <w:sz w:val="22"/>
              </w:rPr>
            </w:pPr>
            <w:r w:rsidRPr="005853F0">
              <w:rPr>
                <w:noProof/>
                <w:sz w:val="36"/>
              </w:rPr>
              <mc:AlternateContent>
                <mc:Choice Requires="wps">
                  <w:drawing>
                    <wp:anchor distT="4294967293" distB="4294967293" distL="114300" distR="114300" simplePos="0" relativeHeight="251661312" behindDoc="0" locked="0" layoutInCell="1" allowOverlap="1" wp14:anchorId="178BAA40" wp14:editId="640F126B">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8E3E5"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"/>
                  </w:pict>
                </mc:Fallback>
              </mc:AlternateContent>
            </w:r>
          </w:p>
          <w:p w:rsidR="00930EBE" w:rsidRPr="005853F0" w:rsidRDefault="00930EBE" w:rsidP="00930EBE">
            <w:pPr>
              <w:pStyle w:val="FootnoteText"/>
              <w:numPr>
                <w:ilvl w:val="0"/>
                <w:numId w:val="13"/>
              </w:numPr>
              <w:tabs>
                <w:tab w:val="left" w:pos="1260"/>
              </w:tabs>
              <w:spacing w:beforeLines="20" w:before="72" w:afterLines="50" w:after="180"/>
              <w:ind w:left="357" w:right="28" w:hanging="357"/>
              <w:jc w:val="both"/>
              <w:rPr>
                <w:b/>
                <w:sz w:val="24"/>
                <w:szCs w:val="24"/>
              </w:rPr>
            </w:pPr>
            <w:r w:rsidRPr="005853F0">
              <w:t>The Quarterly Business Tendency Survey collected views from around 500-600 large establishments on their near-term business outlook</w:t>
            </w:r>
            <w:r w:rsidRPr="005853F0">
              <w:rPr>
                <w:lang w:eastAsia="zh-HK"/>
              </w:rPr>
              <w:t>.  R</w:t>
            </w:r>
            <w:r w:rsidRPr="005853F0">
              <w:t>espondents were asked to exclude seasonal influences in their responses.</w:t>
            </w:r>
          </w:p>
          <w:p w:rsidR="00930EBE" w:rsidRPr="005853F0" w:rsidRDefault="00930EBE" w:rsidP="005543B8">
            <w:pPr>
              <w:pStyle w:val="BodyText"/>
              <w:tabs>
                <w:tab w:val="left" w:pos="1260"/>
              </w:tabs>
              <w:spacing w:line="240" w:lineRule="auto"/>
              <w:ind w:right="28"/>
              <w:jc w:val="both"/>
              <w:rPr>
                <w:rFonts w:ascii="Times New Roman"/>
                <w:b/>
                <w:sz w:val="24"/>
                <w:szCs w:val="24"/>
                <w:lang w:val="en-GB"/>
              </w:rPr>
            </w:pPr>
          </w:p>
          <w:p w:rsidR="00930EBE" w:rsidRPr="005853F0" w:rsidRDefault="00930EBE" w:rsidP="005543B8">
            <w:pPr>
              <w:pStyle w:val="BodyText"/>
              <w:tabs>
                <w:tab w:val="left" w:pos="1260"/>
              </w:tabs>
              <w:spacing w:line="240" w:lineRule="auto"/>
              <w:ind w:right="28"/>
              <w:jc w:val="both"/>
              <w:rPr>
                <w:rFonts w:ascii="Times New Roman"/>
                <w:b/>
                <w:sz w:val="24"/>
                <w:szCs w:val="24"/>
                <w:lang w:val="en-GB"/>
              </w:rPr>
            </w:pPr>
            <w:r w:rsidRPr="005853F0">
              <w:rPr>
                <w:rFonts w:ascii="Times New Roman"/>
                <w:b/>
                <w:sz w:val="24"/>
                <w:szCs w:val="24"/>
                <w:lang w:val="en-GB"/>
              </w:rPr>
              <w:lastRenderedPageBreak/>
              <w:t>Box 1.1 (Cont’d)</w:t>
            </w:r>
          </w:p>
          <w:p w:rsidR="00930EBE" w:rsidRPr="005853F0" w:rsidRDefault="00930EBE" w:rsidP="005543B8">
            <w:pPr>
              <w:snapToGrid w:val="0"/>
              <w:jc w:val="both"/>
            </w:pPr>
          </w:p>
        </w:tc>
      </w:tr>
      <w:tr w:rsidR="00930EBE" w:rsidRPr="009D6AB5" w:rsidTr="005543B8">
        <w:trPr>
          <w:trHeight w:val="602"/>
        </w:trPr>
        <w:tc>
          <w:tcPr>
            <w:tcW w:w="4644" w:type="dxa"/>
            <w:gridSpan w:val="2"/>
            <w:shd w:val="clear" w:color="auto" w:fill="auto"/>
          </w:tcPr>
          <w:p w:rsidR="00930EBE" w:rsidRPr="005853F0" w:rsidRDefault="00930EBE" w:rsidP="005543B8">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lastRenderedPageBreak/>
              <w:t xml:space="preserve">Table 1 : Business sentiment of large enterprises </w:t>
            </w:r>
            <w:r>
              <w:rPr>
                <w:b/>
                <w:sz w:val="21"/>
                <w:szCs w:val="21"/>
                <w:lang w:eastAsia="zh-HK"/>
              </w:rPr>
              <w:t>varied across</w:t>
            </w:r>
            <w:r w:rsidRPr="000D2C75">
              <w:rPr>
                <w:b/>
                <w:sz w:val="21"/>
                <w:szCs w:val="21"/>
                <w:lang w:eastAsia="zh-HK"/>
              </w:rPr>
              <w:t xml:space="preserve"> sectors</w:t>
            </w:r>
          </w:p>
        </w:tc>
        <w:tc>
          <w:tcPr>
            <w:tcW w:w="4678" w:type="dxa"/>
            <w:gridSpan w:val="3"/>
            <w:shd w:val="clear" w:color="auto" w:fill="auto"/>
          </w:tcPr>
          <w:p w:rsidR="00930EBE" w:rsidRPr="005853F0" w:rsidRDefault="00930EBE" w:rsidP="005543B8">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t xml:space="preserve">Table 2 : Hiring sentiment of large enterprises </w:t>
            </w:r>
            <w:r>
              <w:rPr>
                <w:b/>
                <w:sz w:val="21"/>
                <w:szCs w:val="21"/>
                <w:lang w:eastAsia="zh-HK"/>
              </w:rPr>
              <w:br/>
              <w:t>stayed</w:t>
            </w:r>
            <w:r w:rsidRPr="005853F0">
              <w:rPr>
                <w:b/>
                <w:sz w:val="21"/>
                <w:szCs w:val="21"/>
                <w:lang w:eastAsia="zh-HK"/>
              </w:rPr>
              <w:t xml:space="preserve"> </w:t>
            </w:r>
            <w:r>
              <w:rPr>
                <w:b/>
                <w:sz w:val="21"/>
                <w:szCs w:val="21"/>
                <w:lang w:eastAsia="zh-HK"/>
              </w:rPr>
              <w:t>largely steady in overall terms</w:t>
            </w:r>
          </w:p>
        </w:tc>
      </w:tr>
      <w:tr w:rsidR="00930EBE" w:rsidRPr="009D6AB5" w:rsidTr="005543B8">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50"/>
              <w:gridCol w:w="427"/>
              <w:gridCol w:w="429"/>
              <w:gridCol w:w="430"/>
              <w:gridCol w:w="440"/>
              <w:gridCol w:w="418"/>
              <w:gridCol w:w="429"/>
            </w:tblGrid>
            <w:tr w:rsidR="00930EBE" w:rsidRPr="005853F0" w:rsidTr="005543B8">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930EBE" w:rsidRPr="005853F0" w:rsidRDefault="00930EBE" w:rsidP="005543B8">
                  <w:pPr>
                    <w:jc w:val="center"/>
                    <w:rPr>
                      <w:b/>
                      <w:bCs/>
                      <w:sz w:val="18"/>
                      <w:szCs w:val="18"/>
                    </w:rPr>
                  </w:pPr>
                  <w:r w:rsidRPr="005853F0">
                    <w:rPr>
                      <w:b/>
                      <w:bCs/>
                      <w:sz w:val="18"/>
                      <w:szCs w:val="18"/>
                    </w:rPr>
                    <w:t>QBTS: Expected changes in business situation</w:t>
                  </w:r>
                </w:p>
              </w:tc>
            </w:tr>
            <w:tr w:rsidR="00930EBE" w:rsidRPr="005853F0" w:rsidTr="005543B8">
              <w:trPr>
                <w:trHeight w:val="162"/>
              </w:trPr>
              <w:tc>
                <w:tcPr>
                  <w:tcW w:w="1850" w:type="dxa"/>
                  <w:vMerge w:val="restart"/>
                  <w:shd w:val="clear" w:color="auto" w:fill="auto"/>
                  <w:tcMar>
                    <w:top w:w="15" w:type="dxa"/>
                    <w:left w:w="15" w:type="dxa"/>
                    <w:bottom w:w="0" w:type="dxa"/>
                    <w:right w:w="15" w:type="dxa"/>
                  </w:tcMar>
                  <w:hideMark/>
                </w:tcPr>
                <w:p w:rsidR="00930EBE" w:rsidRPr="005853F0" w:rsidRDefault="00930EBE" w:rsidP="005543B8">
                  <w:pPr>
                    <w:spacing w:line="200" w:lineRule="exact"/>
                    <w:rPr>
                      <w:sz w:val="18"/>
                      <w:szCs w:val="18"/>
                    </w:rPr>
                  </w:pPr>
                </w:p>
              </w:tc>
              <w:tc>
                <w:tcPr>
                  <w:tcW w:w="2573" w:type="dxa"/>
                  <w:gridSpan w:val="6"/>
                  <w:shd w:val="clear" w:color="auto" w:fill="auto"/>
                  <w:tcMar>
                    <w:top w:w="15" w:type="dxa"/>
                    <w:left w:w="15" w:type="dxa"/>
                    <w:bottom w:w="0" w:type="dxa"/>
                    <w:right w:w="15" w:type="dxa"/>
                  </w:tcMar>
                  <w:hideMark/>
                </w:tcPr>
                <w:p w:rsidR="00930EBE" w:rsidRPr="005853F0" w:rsidRDefault="00930EBE" w:rsidP="005543B8">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930EBE" w:rsidRPr="005853F0" w:rsidTr="005543B8">
              <w:trPr>
                <w:trHeight w:val="227"/>
              </w:trPr>
              <w:tc>
                <w:tcPr>
                  <w:tcW w:w="1850" w:type="dxa"/>
                  <w:vMerge/>
                  <w:shd w:val="clear" w:color="auto" w:fill="auto"/>
                  <w:tcMar>
                    <w:top w:w="15" w:type="dxa"/>
                    <w:left w:w="15" w:type="dxa"/>
                    <w:bottom w:w="0" w:type="dxa"/>
                    <w:right w:w="15" w:type="dxa"/>
                  </w:tcMar>
                </w:tcPr>
                <w:p w:rsidR="00930EBE" w:rsidRPr="005853F0" w:rsidRDefault="00930EBE" w:rsidP="005543B8">
                  <w:pPr>
                    <w:spacing w:line="200" w:lineRule="exact"/>
                    <w:rPr>
                      <w:sz w:val="18"/>
                      <w:szCs w:val="18"/>
                    </w:rPr>
                  </w:pPr>
                </w:p>
              </w:tc>
              <w:tc>
                <w:tcPr>
                  <w:tcW w:w="856" w:type="dxa"/>
                  <w:gridSpan w:val="2"/>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2023</w:t>
                  </w:r>
                </w:p>
              </w:tc>
              <w:tc>
                <w:tcPr>
                  <w:tcW w:w="1717" w:type="dxa"/>
                  <w:gridSpan w:val="4"/>
                  <w:shd w:val="clear" w:color="auto" w:fill="auto"/>
                  <w:vAlign w:val="center"/>
                </w:tcPr>
                <w:p w:rsidR="00930EBE" w:rsidRPr="005853F0" w:rsidRDefault="00930EBE" w:rsidP="005543B8">
                  <w:pPr>
                    <w:spacing w:line="200" w:lineRule="exact"/>
                    <w:jc w:val="center"/>
                    <w:rPr>
                      <w:sz w:val="18"/>
                      <w:szCs w:val="18"/>
                    </w:rPr>
                  </w:pPr>
                  <w:r>
                    <w:rPr>
                      <w:sz w:val="18"/>
                      <w:szCs w:val="18"/>
                    </w:rPr>
                    <w:t>2024</w:t>
                  </w:r>
                </w:p>
              </w:tc>
            </w:tr>
            <w:tr w:rsidR="00930EBE" w:rsidRPr="005853F0" w:rsidTr="005543B8">
              <w:trPr>
                <w:trHeight w:val="261"/>
              </w:trPr>
              <w:tc>
                <w:tcPr>
                  <w:tcW w:w="1850" w:type="dxa"/>
                  <w:vMerge/>
                  <w:shd w:val="clear" w:color="auto" w:fill="auto"/>
                  <w:tcMar>
                    <w:top w:w="15" w:type="dxa"/>
                    <w:left w:w="15" w:type="dxa"/>
                    <w:bottom w:w="0" w:type="dxa"/>
                    <w:right w:w="15" w:type="dxa"/>
                  </w:tcMar>
                  <w:hideMark/>
                </w:tcPr>
                <w:p w:rsidR="00930EBE" w:rsidRPr="005853F0" w:rsidRDefault="00930EBE" w:rsidP="005543B8">
                  <w:pPr>
                    <w:spacing w:line="200" w:lineRule="exact"/>
                    <w:rPr>
                      <w:sz w:val="18"/>
                      <w:szCs w:val="18"/>
                    </w:rPr>
                  </w:pP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Q3</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Q4</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Q1</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Q2</w:t>
                  </w:r>
                </w:p>
              </w:tc>
              <w:tc>
                <w:tcPr>
                  <w:tcW w:w="418" w:type="dxa"/>
                  <w:vAlign w:val="center"/>
                </w:tcPr>
                <w:p w:rsidR="00930EBE" w:rsidRPr="005853F0" w:rsidRDefault="00930EBE" w:rsidP="005543B8">
                  <w:pPr>
                    <w:spacing w:line="200" w:lineRule="exact"/>
                    <w:jc w:val="center"/>
                    <w:rPr>
                      <w:sz w:val="18"/>
                      <w:szCs w:val="18"/>
                    </w:rPr>
                  </w:pPr>
                  <w:r w:rsidRPr="005853F0">
                    <w:rPr>
                      <w:sz w:val="18"/>
                      <w:szCs w:val="18"/>
                    </w:rPr>
                    <w:t>Q</w:t>
                  </w:r>
                  <w:r>
                    <w:rPr>
                      <w:sz w:val="18"/>
                      <w:szCs w:val="18"/>
                    </w:rPr>
                    <w:t>3</w:t>
                  </w:r>
                </w:p>
              </w:tc>
              <w:tc>
                <w:tcPr>
                  <w:tcW w:w="429" w:type="dxa"/>
                  <w:vAlign w:val="center"/>
                </w:tcPr>
                <w:p w:rsidR="00930EBE" w:rsidRPr="005853F0" w:rsidRDefault="00930EBE" w:rsidP="005543B8">
                  <w:pPr>
                    <w:spacing w:line="200" w:lineRule="exact"/>
                    <w:jc w:val="center"/>
                    <w:rPr>
                      <w:sz w:val="18"/>
                      <w:szCs w:val="18"/>
                    </w:rPr>
                  </w:pPr>
                  <w:r>
                    <w:rPr>
                      <w:sz w:val="18"/>
                      <w:szCs w:val="18"/>
                    </w:rPr>
                    <w:t>Q4</w:t>
                  </w:r>
                </w:p>
              </w:tc>
            </w:tr>
            <w:tr w:rsidR="00930EBE" w:rsidRPr="005853F0" w:rsidTr="005543B8">
              <w:trPr>
                <w:trHeight w:val="190"/>
              </w:trPr>
              <w:tc>
                <w:tcPr>
                  <w:tcW w:w="1850" w:type="dxa"/>
                  <w:shd w:val="clear" w:color="auto" w:fill="auto"/>
                  <w:tcMar>
                    <w:top w:w="15" w:type="dxa"/>
                    <w:left w:w="15" w:type="dxa"/>
                    <w:bottom w:w="0" w:type="dxa"/>
                    <w:right w:w="15" w:type="dxa"/>
                  </w:tcMar>
                  <w:vAlign w:val="center"/>
                </w:tcPr>
                <w:p w:rsidR="00930EBE" w:rsidRPr="005853F0" w:rsidRDefault="00930EBE" w:rsidP="005543B8">
                  <w:pPr>
                    <w:spacing w:line="200" w:lineRule="exact"/>
                    <w:ind w:leftChars="5" w:left="12"/>
                    <w:rPr>
                      <w:sz w:val="19"/>
                      <w:szCs w:val="19"/>
                    </w:rPr>
                  </w:pPr>
                  <w:r w:rsidRPr="005853F0">
                    <w:rPr>
                      <w:sz w:val="19"/>
                      <w:szCs w:val="19"/>
                    </w:rPr>
                    <w:t>Manufacturing</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+20</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-2</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-19</w:t>
                  </w:r>
                </w:p>
              </w:tc>
            </w:tr>
            <w:tr w:rsidR="00930EBE" w:rsidRPr="005853F0" w:rsidTr="005543B8">
              <w:trPr>
                <w:trHeight w:val="137"/>
              </w:trPr>
              <w:tc>
                <w:tcPr>
                  <w:tcW w:w="1850" w:type="dxa"/>
                  <w:shd w:val="clear" w:color="auto" w:fill="auto"/>
                  <w:tcMar>
                    <w:top w:w="15" w:type="dxa"/>
                    <w:left w:w="15" w:type="dxa"/>
                    <w:bottom w:w="0" w:type="dxa"/>
                    <w:right w:w="15" w:type="dxa"/>
                  </w:tcMar>
                  <w:vAlign w:val="center"/>
                </w:tcPr>
                <w:p w:rsidR="00930EBE" w:rsidRPr="005853F0" w:rsidRDefault="00930EBE" w:rsidP="005543B8">
                  <w:pPr>
                    <w:spacing w:line="200" w:lineRule="exact"/>
                    <w:ind w:leftChars="5" w:left="12"/>
                    <w:rPr>
                      <w:sz w:val="19"/>
                      <w:szCs w:val="19"/>
                    </w:rPr>
                  </w:pPr>
                  <w:r w:rsidRPr="005853F0">
                    <w:rPr>
                      <w:sz w:val="19"/>
                      <w:szCs w:val="19"/>
                    </w:rPr>
                    <w:t>Construction</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+10</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-9</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-11</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-16</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-12</w:t>
                  </w:r>
                </w:p>
              </w:tc>
            </w:tr>
            <w:tr w:rsidR="00930EBE" w:rsidRPr="005853F0" w:rsidTr="005543B8">
              <w:trPr>
                <w:trHeight w:val="308"/>
              </w:trPr>
              <w:tc>
                <w:tcPr>
                  <w:tcW w:w="1850"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Import/export trade and wholesale</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+7</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+5</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-9</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-9</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-1</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-8</w:t>
                  </w:r>
                </w:p>
              </w:tc>
            </w:tr>
            <w:tr w:rsidR="00930EBE" w:rsidRPr="005853F0" w:rsidTr="005543B8">
              <w:trPr>
                <w:trHeight w:val="192"/>
              </w:trPr>
              <w:tc>
                <w:tcPr>
                  <w:tcW w:w="1850"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Retail</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+18</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+32</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+3</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-16</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-16</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-19</w:t>
                  </w:r>
                </w:p>
              </w:tc>
            </w:tr>
            <w:tr w:rsidR="00930EBE" w:rsidRPr="005853F0" w:rsidTr="005543B8">
              <w:trPr>
                <w:trHeight w:val="232"/>
              </w:trPr>
              <w:tc>
                <w:tcPr>
                  <w:tcW w:w="1850"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Accommodation and food services</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+41</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+33</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+9</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+7</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+6</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-3</w:t>
                  </w:r>
                </w:p>
              </w:tc>
            </w:tr>
            <w:tr w:rsidR="00930EBE" w:rsidRPr="005853F0" w:rsidTr="005543B8">
              <w:trPr>
                <w:trHeight w:val="401"/>
              </w:trPr>
              <w:tc>
                <w:tcPr>
                  <w:tcW w:w="1850"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Transportation, storage and courier services</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+4</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+11</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+5</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+4</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-2</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-1</w:t>
                  </w:r>
                </w:p>
              </w:tc>
            </w:tr>
            <w:tr w:rsidR="00930EBE" w:rsidRPr="005853F0" w:rsidTr="005543B8">
              <w:trPr>
                <w:trHeight w:val="222"/>
              </w:trPr>
              <w:tc>
                <w:tcPr>
                  <w:tcW w:w="1850"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Information and communications</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+9</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-4</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-3</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-5</w:t>
                  </w:r>
                </w:p>
              </w:tc>
            </w:tr>
            <w:tr w:rsidR="00930EBE" w:rsidRPr="005853F0" w:rsidTr="005543B8">
              <w:trPr>
                <w:trHeight w:val="256"/>
              </w:trPr>
              <w:tc>
                <w:tcPr>
                  <w:tcW w:w="1850" w:type="dxa"/>
                  <w:shd w:val="clear" w:color="auto" w:fill="auto"/>
                  <w:tcMar>
                    <w:top w:w="15" w:type="dxa"/>
                    <w:left w:w="15" w:type="dxa"/>
                    <w:bottom w:w="0" w:type="dxa"/>
                    <w:right w:w="15" w:type="dxa"/>
                  </w:tcMar>
                  <w:vAlign w:val="center"/>
                </w:tcPr>
                <w:p w:rsidR="00930EBE" w:rsidRPr="005853F0" w:rsidRDefault="00930EBE" w:rsidP="005543B8">
                  <w:pPr>
                    <w:spacing w:line="200" w:lineRule="exact"/>
                    <w:ind w:leftChars="5" w:left="12"/>
                    <w:rPr>
                      <w:sz w:val="19"/>
                      <w:szCs w:val="19"/>
                    </w:rPr>
                  </w:pPr>
                  <w:r w:rsidRPr="005853F0">
                    <w:rPr>
                      <w:sz w:val="19"/>
                      <w:szCs w:val="19"/>
                    </w:rPr>
                    <w:t>Financing and insurance</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+4</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+10</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+14</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+19</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+7</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+2</w:t>
                  </w:r>
                </w:p>
              </w:tc>
            </w:tr>
            <w:tr w:rsidR="00930EBE" w:rsidRPr="005853F0" w:rsidTr="005543B8">
              <w:trPr>
                <w:trHeight w:val="164"/>
              </w:trPr>
              <w:tc>
                <w:tcPr>
                  <w:tcW w:w="1850"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Real estate</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0</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+6</w:t>
                  </w:r>
                </w:p>
              </w:tc>
            </w:tr>
            <w:tr w:rsidR="00930EBE" w:rsidRPr="005853F0" w:rsidTr="005543B8">
              <w:trPr>
                <w:trHeight w:val="288"/>
              </w:trPr>
              <w:tc>
                <w:tcPr>
                  <w:tcW w:w="1850"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Professional and business services</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+5</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-9</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-3</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+3</w:t>
                  </w:r>
                </w:p>
              </w:tc>
            </w:tr>
            <w:tr w:rsidR="00930EBE" w:rsidRPr="005853F0" w:rsidTr="005543B8">
              <w:trPr>
                <w:trHeight w:val="288"/>
              </w:trPr>
              <w:tc>
                <w:tcPr>
                  <w:tcW w:w="1850" w:type="dxa"/>
                  <w:shd w:val="clear" w:color="auto" w:fill="auto"/>
                  <w:tcMar>
                    <w:top w:w="15" w:type="dxa"/>
                    <w:left w:w="15" w:type="dxa"/>
                    <w:bottom w:w="0" w:type="dxa"/>
                    <w:right w:w="15" w:type="dxa"/>
                  </w:tcMar>
                  <w:vAlign w:val="center"/>
                </w:tcPr>
                <w:p w:rsidR="00930EBE" w:rsidRPr="005853F0" w:rsidRDefault="00930EBE" w:rsidP="005543B8">
                  <w:pPr>
                    <w:spacing w:line="200" w:lineRule="exact"/>
                    <w:ind w:leftChars="5" w:left="12"/>
                    <w:rPr>
                      <w:sz w:val="19"/>
                      <w:szCs w:val="19"/>
                    </w:rPr>
                  </w:pPr>
                  <w:r w:rsidRPr="005853F0">
                    <w:rPr>
                      <w:sz w:val="19"/>
                      <w:szCs w:val="19"/>
                    </w:rPr>
                    <w:t>All sectors above</w:t>
                  </w:r>
                </w:p>
              </w:tc>
              <w:tc>
                <w:tcPr>
                  <w:tcW w:w="427"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429"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w:t>
                  </w:r>
                </w:p>
              </w:tc>
              <w:tc>
                <w:tcPr>
                  <w:tcW w:w="44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w:t>
                  </w:r>
                </w:p>
              </w:tc>
              <w:tc>
                <w:tcPr>
                  <w:tcW w:w="41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-1</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-3</w:t>
                  </w:r>
                </w:p>
              </w:tc>
            </w:tr>
          </w:tbl>
          <w:p w:rsidR="00930EBE" w:rsidRPr="005853F0" w:rsidRDefault="00930EBE" w:rsidP="005543B8">
            <w:pPr>
              <w:overflowPunct w:val="0"/>
              <w:autoSpaceDE w:val="0"/>
              <w:autoSpaceDN w:val="0"/>
              <w:adjustRightInd w:val="0"/>
              <w:snapToGrid w:val="0"/>
              <w:spacing w:afterLines="30" w:after="108"/>
              <w:jc w:val="both"/>
              <w:textAlignment w:val="baseline"/>
              <w:rPr>
                <w:b/>
                <w:lang w:eastAsia="zh-HK"/>
              </w:rPr>
            </w:pPr>
          </w:p>
        </w:tc>
        <w:tc>
          <w:tcPr>
            <w:tcW w:w="4678" w:type="dxa"/>
            <w:gridSpan w:val="3"/>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48"/>
              <w:gridCol w:w="426"/>
              <w:gridCol w:w="430"/>
              <w:gridCol w:w="436"/>
              <w:gridCol w:w="476"/>
              <w:gridCol w:w="378"/>
              <w:gridCol w:w="429"/>
            </w:tblGrid>
            <w:tr w:rsidR="00930EBE" w:rsidRPr="005853F0" w:rsidTr="005543B8">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930EBE" w:rsidRPr="005853F0" w:rsidRDefault="00930EBE" w:rsidP="005543B8">
                  <w:pPr>
                    <w:jc w:val="center"/>
                    <w:rPr>
                      <w:b/>
                      <w:bCs/>
                      <w:sz w:val="18"/>
                      <w:szCs w:val="18"/>
                    </w:rPr>
                  </w:pPr>
                  <w:r w:rsidRPr="005853F0">
                    <w:rPr>
                      <w:b/>
                      <w:bCs/>
                      <w:sz w:val="18"/>
                      <w:szCs w:val="18"/>
                    </w:rPr>
                    <w:t>QBTS: Expected changes in number of persons engaged</w:t>
                  </w:r>
                </w:p>
              </w:tc>
            </w:tr>
            <w:tr w:rsidR="00930EBE" w:rsidRPr="005853F0" w:rsidTr="005543B8">
              <w:trPr>
                <w:trHeight w:val="162"/>
              </w:trPr>
              <w:tc>
                <w:tcPr>
                  <w:tcW w:w="1848" w:type="dxa"/>
                  <w:vMerge w:val="restart"/>
                  <w:shd w:val="clear" w:color="auto" w:fill="auto"/>
                  <w:tcMar>
                    <w:top w:w="15" w:type="dxa"/>
                    <w:left w:w="15" w:type="dxa"/>
                    <w:bottom w:w="0" w:type="dxa"/>
                    <w:right w:w="15" w:type="dxa"/>
                  </w:tcMar>
                  <w:hideMark/>
                </w:tcPr>
                <w:p w:rsidR="00930EBE" w:rsidRPr="005853F0" w:rsidRDefault="00930EBE" w:rsidP="005543B8">
                  <w:pPr>
                    <w:spacing w:line="200" w:lineRule="exact"/>
                    <w:rPr>
                      <w:sz w:val="18"/>
                      <w:szCs w:val="18"/>
                    </w:rPr>
                  </w:pPr>
                </w:p>
              </w:tc>
              <w:tc>
                <w:tcPr>
                  <w:tcW w:w="2575" w:type="dxa"/>
                  <w:gridSpan w:val="6"/>
                  <w:shd w:val="clear" w:color="auto" w:fill="auto"/>
                  <w:tcMar>
                    <w:top w:w="15" w:type="dxa"/>
                    <w:left w:w="15" w:type="dxa"/>
                    <w:bottom w:w="0" w:type="dxa"/>
                    <w:right w:w="15" w:type="dxa"/>
                  </w:tcMar>
                  <w:hideMark/>
                </w:tcPr>
                <w:p w:rsidR="00930EBE" w:rsidRPr="005853F0" w:rsidRDefault="00930EBE" w:rsidP="005543B8">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930EBE" w:rsidRPr="005853F0" w:rsidTr="005543B8">
              <w:trPr>
                <w:trHeight w:val="227"/>
              </w:trPr>
              <w:tc>
                <w:tcPr>
                  <w:tcW w:w="1848" w:type="dxa"/>
                  <w:vMerge/>
                  <w:shd w:val="clear" w:color="auto" w:fill="auto"/>
                  <w:tcMar>
                    <w:top w:w="15" w:type="dxa"/>
                    <w:left w:w="15" w:type="dxa"/>
                    <w:bottom w:w="0" w:type="dxa"/>
                    <w:right w:w="15" w:type="dxa"/>
                  </w:tcMar>
                </w:tcPr>
                <w:p w:rsidR="00930EBE" w:rsidRPr="005853F0" w:rsidRDefault="00930EBE" w:rsidP="005543B8">
                  <w:pPr>
                    <w:spacing w:line="200" w:lineRule="exact"/>
                    <w:rPr>
                      <w:sz w:val="18"/>
                      <w:szCs w:val="18"/>
                    </w:rPr>
                  </w:pPr>
                </w:p>
              </w:tc>
              <w:tc>
                <w:tcPr>
                  <w:tcW w:w="856" w:type="dxa"/>
                  <w:gridSpan w:val="2"/>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2023</w:t>
                  </w:r>
                </w:p>
              </w:tc>
              <w:tc>
                <w:tcPr>
                  <w:tcW w:w="1719" w:type="dxa"/>
                  <w:gridSpan w:val="4"/>
                  <w:shd w:val="clear" w:color="auto" w:fill="auto"/>
                  <w:vAlign w:val="center"/>
                </w:tcPr>
                <w:p w:rsidR="00930EBE" w:rsidRPr="005853F0" w:rsidRDefault="00930EBE" w:rsidP="005543B8">
                  <w:pPr>
                    <w:spacing w:line="200" w:lineRule="exact"/>
                    <w:jc w:val="center"/>
                    <w:rPr>
                      <w:sz w:val="18"/>
                      <w:szCs w:val="18"/>
                    </w:rPr>
                  </w:pPr>
                  <w:r>
                    <w:rPr>
                      <w:sz w:val="18"/>
                      <w:szCs w:val="18"/>
                    </w:rPr>
                    <w:t>2024</w:t>
                  </w:r>
                </w:p>
              </w:tc>
            </w:tr>
            <w:tr w:rsidR="00930EBE" w:rsidRPr="005853F0" w:rsidTr="005543B8">
              <w:trPr>
                <w:trHeight w:val="261"/>
              </w:trPr>
              <w:tc>
                <w:tcPr>
                  <w:tcW w:w="1848" w:type="dxa"/>
                  <w:vMerge/>
                  <w:shd w:val="clear" w:color="auto" w:fill="auto"/>
                  <w:tcMar>
                    <w:top w:w="15" w:type="dxa"/>
                    <w:left w:w="15" w:type="dxa"/>
                    <w:bottom w:w="0" w:type="dxa"/>
                    <w:right w:w="15" w:type="dxa"/>
                  </w:tcMar>
                  <w:hideMark/>
                </w:tcPr>
                <w:p w:rsidR="00930EBE" w:rsidRPr="005853F0" w:rsidRDefault="00930EBE" w:rsidP="005543B8">
                  <w:pPr>
                    <w:spacing w:line="200" w:lineRule="exact"/>
                    <w:rPr>
                      <w:sz w:val="18"/>
                      <w:szCs w:val="18"/>
                    </w:rPr>
                  </w:pP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Q3</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Q4</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Q1</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8"/>
                      <w:szCs w:val="18"/>
                    </w:rPr>
                  </w:pPr>
                  <w:r w:rsidRPr="005853F0">
                    <w:rPr>
                      <w:sz w:val="18"/>
                      <w:szCs w:val="18"/>
                    </w:rPr>
                    <w:t>Q2</w:t>
                  </w:r>
                </w:p>
              </w:tc>
              <w:tc>
                <w:tcPr>
                  <w:tcW w:w="378" w:type="dxa"/>
                  <w:vAlign w:val="center"/>
                </w:tcPr>
                <w:p w:rsidR="00930EBE" w:rsidRPr="005853F0" w:rsidRDefault="00930EBE" w:rsidP="005543B8">
                  <w:pPr>
                    <w:spacing w:line="200" w:lineRule="exact"/>
                    <w:jc w:val="center"/>
                    <w:rPr>
                      <w:sz w:val="18"/>
                      <w:szCs w:val="18"/>
                    </w:rPr>
                  </w:pPr>
                  <w:r w:rsidRPr="005853F0">
                    <w:rPr>
                      <w:sz w:val="18"/>
                      <w:szCs w:val="18"/>
                    </w:rPr>
                    <w:t>Q</w:t>
                  </w:r>
                  <w:r>
                    <w:rPr>
                      <w:sz w:val="18"/>
                      <w:szCs w:val="18"/>
                    </w:rPr>
                    <w:t>3</w:t>
                  </w:r>
                </w:p>
              </w:tc>
              <w:tc>
                <w:tcPr>
                  <w:tcW w:w="429" w:type="dxa"/>
                  <w:vAlign w:val="center"/>
                </w:tcPr>
                <w:p w:rsidR="00930EBE" w:rsidRPr="005853F0" w:rsidRDefault="00930EBE" w:rsidP="005543B8">
                  <w:pPr>
                    <w:spacing w:line="200" w:lineRule="exact"/>
                    <w:jc w:val="center"/>
                    <w:rPr>
                      <w:sz w:val="18"/>
                      <w:szCs w:val="18"/>
                    </w:rPr>
                  </w:pPr>
                  <w:r>
                    <w:rPr>
                      <w:sz w:val="18"/>
                      <w:szCs w:val="18"/>
                    </w:rPr>
                    <w:t>Q4</w:t>
                  </w:r>
                </w:p>
              </w:tc>
            </w:tr>
            <w:tr w:rsidR="00930EBE" w:rsidRPr="005853F0" w:rsidTr="005543B8">
              <w:trPr>
                <w:trHeight w:val="190"/>
              </w:trPr>
              <w:tc>
                <w:tcPr>
                  <w:tcW w:w="1848" w:type="dxa"/>
                  <w:shd w:val="clear" w:color="auto" w:fill="auto"/>
                  <w:tcMar>
                    <w:top w:w="15" w:type="dxa"/>
                    <w:left w:w="15" w:type="dxa"/>
                    <w:bottom w:w="0" w:type="dxa"/>
                    <w:right w:w="15" w:type="dxa"/>
                  </w:tcMar>
                  <w:vAlign w:val="center"/>
                </w:tcPr>
                <w:p w:rsidR="00930EBE" w:rsidRPr="005853F0" w:rsidRDefault="00930EBE" w:rsidP="005543B8">
                  <w:pPr>
                    <w:spacing w:line="200" w:lineRule="exact"/>
                    <w:ind w:leftChars="5" w:left="12"/>
                    <w:rPr>
                      <w:sz w:val="19"/>
                      <w:szCs w:val="19"/>
                    </w:rPr>
                  </w:pPr>
                  <w:r w:rsidRPr="005853F0">
                    <w:rPr>
                      <w:sz w:val="19"/>
                      <w:szCs w:val="19"/>
                    </w:rPr>
                    <w:t>Manufacturing</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+26</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+11</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+13</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+7</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+13</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+3</w:t>
                  </w:r>
                </w:p>
              </w:tc>
            </w:tr>
            <w:tr w:rsidR="00930EBE" w:rsidRPr="005853F0" w:rsidTr="005543B8">
              <w:trPr>
                <w:trHeight w:val="137"/>
              </w:trPr>
              <w:tc>
                <w:tcPr>
                  <w:tcW w:w="1848" w:type="dxa"/>
                  <w:shd w:val="clear" w:color="auto" w:fill="auto"/>
                  <w:tcMar>
                    <w:top w:w="15" w:type="dxa"/>
                    <w:left w:w="15" w:type="dxa"/>
                    <w:bottom w:w="0" w:type="dxa"/>
                    <w:right w:w="15" w:type="dxa"/>
                  </w:tcMar>
                  <w:vAlign w:val="center"/>
                </w:tcPr>
                <w:p w:rsidR="00930EBE" w:rsidRPr="005853F0" w:rsidRDefault="00930EBE" w:rsidP="005543B8">
                  <w:pPr>
                    <w:spacing w:line="200" w:lineRule="exact"/>
                    <w:ind w:leftChars="5" w:left="12"/>
                    <w:rPr>
                      <w:sz w:val="19"/>
                      <w:szCs w:val="19"/>
                    </w:rPr>
                  </w:pPr>
                  <w:r w:rsidRPr="005853F0">
                    <w:rPr>
                      <w:sz w:val="19"/>
                      <w:szCs w:val="19"/>
                    </w:rPr>
                    <w:t>Construction</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+11</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+3</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-7</w:t>
                  </w:r>
                </w:p>
              </w:tc>
            </w:tr>
            <w:tr w:rsidR="00930EBE" w:rsidRPr="005853F0" w:rsidTr="005543B8">
              <w:trPr>
                <w:trHeight w:val="308"/>
              </w:trPr>
              <w:tc>
                <w:tcPr>
                  <w:tcW w:w="1848"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Import/export trade and wholesale</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0</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+4</w:t>
                  </w:r>
                </w:p>
              </w:tc>
            </w:tr>
            <w:tr w:rsidR="00930EBE" w:rsidRPr="005853F0" w:rsidTr="005543B8">
              <w:trPr>
                <w:trHeight w:val="192"/>
              </w:trPr>
              <w:tc>
                <w:tcPr>
                  <w:tcW w:w="1848"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Retail</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+14</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+7</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+3</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+2</w:t>
                  </w:r>
                </w:p>
              </w:tc>
            </w:tr>
            <w:tr w:rsidR="00930EBE" w:rsidRPr="005853F0" w:rsidTr="005543B8">
              <w:trPr>
                <w:trHeight w:val="390"/>
              </w:trPr>
              <w:tc>
                <w:tcPr>
                  <w:tcW w:w="1848"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Accommodation and food services</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+31</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+23</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+21</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+11</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+4</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-7</w:t>
                  </w:r>
                </w:p>
              </w:tc>
            </w:tr>
            <w:tr w:rsidR="00930EBE" w:rsidRPr="005853F0" w:rsidTr="005543B8">
              <w:trPr>
                <w:trHeight w:val="401"/>
              </w:trPr>
              <w:tc>
                <w:tcPr>
                  <w:tcW w:w="1848"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Transportation, storage and courier services</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+9</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+9</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+10</w:t>
                  </w:r>
                </w:p>
              </w:tc>
            </w:tr>
            <w:tr w:rsidR="00930EBE" w:rsidRPr="005853F0" w:rsidTr="005543B8">
              <w:trPr>
                <w:trHeight w:val="222"/>
              </w:trPr>
              <w:tc>
                <w:tcPr>
                  <w:tcW w:w="1848"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Information and communications</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-2</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-11</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-15</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-8</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-4</w:t>
                  </w:r>
                </w:p>
              </w:tc>
            </w:tr>
            <w:tr w:rsidR="00930EBE" w:rsidRPr="005853F0" w:rsidTr="005543B8">
              <w:trPr>
                <w:trHeight w:val="256"/>
              </w:trPr>
              <w:tc>
                <w:tcPr>
                  <w:tcW w:w="1848" w:type="dxa"/>
                  <w:shd w:val="clear" w:color="auto" w:fill="auto"/>
                  <w:tcMar>
                    <w:top w:w="15" w:type="dxa"/>
                    <w:left w:w="15" w:type="dxa"/>
                    <w:bottom w:w="0" w:type="dxa"/>
                    <w:right w:w="15" w:type="dxa"/>
                  </w:tcMar>
                  <w:vAlign w:val="center"/>
                </w:tcPr>
                <w:p w:rsidR="00930EBE" w:rsidRPr="005853F0" w:rsidRDefault="00930EBE" w:rsidP="005543B8">
                  <w:pPr>
                    <w:spacing w:line="200" w:lineRule="exact"/>
                    <w:ind w:leftChars="5" w:left="12"/>
                    <w:rPr>
                      <w:sz w:val="19"/>
                      <w:szCs w:val="19"/>
                    </w:rPr>
                  </w:pPr>
                  <w:r w:rsidRPr="005853F0">
                    <w:rPr>
                      <w:sz w:val="19"/>
                      <w:szCs w:val="19"/>
                    </w:rPr>
                    <w:t>Financing and insurance</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+10</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+10</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+12</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+7</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+5</w:t>
                  </w:r>
                </w:p>
              </w:tc>
            </w:tr>
            <w:tr w:rsidR="00930EBE" w:rsidRPr="005853F0" w:rsidTr="005543B8">
              <w:trPr>
                <w:trHeight w:val="164"/>
              </w:trPr>
              <w:tc>
                <w:tcPr>
                  <w:tcW w:w="1848"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Real estate</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+19</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+10</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+15</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+9</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+9</w:t>
                  </w:r>
                </w:p>
              </w:tc>
            </w:tr>
            <w:tr w:rsidR="00930EBE" w:rsidRPr="005853F0" w:rsidTr="005543B8">
              <w:trPr>
                <w:trHeight w:val="288"/>
              </w:trPr>
              <w:tc>
                <w:tcPr>
                  <w:tcW w:w="1848" w:type="dxa"/>
                  <w:shd w:val="clear" w:color="auto" w:fill="auto"/>
                  <w:tcMar>
                    <w:top w:w="15" w:type="dxa"/>
                    <w:left w:w="15" w:type="dxa"/>
                    <w:bottom w:w="0" w:type="dxa"/>
                    <w:right w:w="15" w:type="dxa"/>
                  </w:tcMar>
                  <w:vAlign w:val="center"/>
                  <w:hideMark/>
                </w:tcPr>
                <w:p w:rsidR="00930EBE" w:rsidRPr="005853F0" w:rsidRDefault="00930EBE" w:rsidP="005543B8">
                  <w:pPr>
                    <w:spacing w:line="200" w:lineRule="exact"/>
                    <w:ind w:leftChars="5" w:left="12"/>
                    <w:rPr>
                      <w:sz w:val="19"/>
                      <w:szCs w:val="19"/>
                    </w:rPr>
                  </w:pPr>
                  <w:r w:rsidRPr="005853F0">
                    <w:rPr>
                      <w:sz w:val="19"/>
                      <w:szCs w:val="19"/>
                    </w:rPr>
                    <w:t>Professional and business services</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+4</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+5</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-3</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-3</w:t>
                  </w:r>
                </w:p>
              </w:tc>
            </w:tr>
            <w:tr w:rsidR="00930EBE" w:rsidRPr="005853F0" w:rsidTr="005543B8">
              <w:trPr>
                <w:trHeight w:val="288"/>
              </w:trPr>
              <w:tc>
                <w:tcPr>
                  <w:tcW w:w="1848" w:type="dxa"/>
                  <w:shd w:val="clear" w:color="auto" w:fill="auto"/>
                  <w:tcMar>
                    <w:top w:w="15" w:type="dxa"/>
                    <w:left w:w="15" w:type="dxa"/>
                    <w:bottom w:w="0" w:type="dxa"/>
                    <w:right w:w="15" w:type="dxa"/>
                  </w:tcMar>
                  <w:vAlign w:val="center"/>
                </w:tcPr>
                <w:p w:rsidR="00930EBE" w:rsidRPr="005853F0" w:rsidRDefault="00930EBE" w:rsidP="005543B8">
                  <w:pPr>
                    <w:spacing w:line="200" w:lineRule="exact"/>
                    <w:ind w:leftChars="5" w:left="12"/>
                    <w:rPr>
                      <w:sz w:val="19"/>
                      <w:szCs w:val="19"/>
                    </w:rPr>
                  </w:pPr>
                  <w:r w:rsidRPr="005853F0">
                    <w:rPr>
                      <w:sz w:val="19"/>
                      <w:szCs w:val="19"/>
                    </w:rPr>
                    <w:t>All sectors above</w:t>
                  </w:r>
                </w:p>
              </w:tc>
              <w:tc>
                <w:tcPr>
                  <w:tcW w:w="42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+8</w:t>
                  </w:r>
                </w:p>
              </w:tc>
              <w:tc>
                <w:tcPr>
                  <w:tcW w:w="430"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+9</w:t>
                  </w:r>
                </w:p>
              </w:tc>
              <w:tc>
                <w:tcPr>
                  <w:tcW w:w="43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+6</w:t>
                  </w:r>
                </w:p>
              </w:tc>
              <w:tc>
                <w:tcPr>
                  <w:tcW w:w="476" w:type="dxa"/>
                  <w:shd w:val="clear" w:color="auto" w:fill="auto"/>
                  <w:tcMar>
                    <w:top w:w="15" w:type="dxa"/>
                    <w:left w:w="15" w:type="dxa"/>
                    <w:bottom w:w="0" w:type="dxa"/>
                    <w:right w:w="15" w:type="dxa"/>
                  </w:tcMar>
                  <w:vAlign w:val="center"/>
                </w:tcPr>
                <w:p w:rsidR="00930EBE" w:rsidRPr="005853F0" w:rsidRDefault="00930EBE" w:rsidP="005543B8">
                  <w:pPr>
                    <w:spacing w:line="200" w:lineRule="exact"/>
                    <w:jc w:val="center"/>
                    <w:rPr>
                      <w:sz w:val="19"/>
                      <w:szCs w:val="19"/>
                      <w:lang w:eastAsia="zh-HK"/>
                    </w:rPr>
                  </w:pPr>
                  <w:r w:rsidRPr="005853F0">
                    <w:rPr>
                      <w:sz w:val="19"/>
                      <w:szCs w:val="19"/>
                      <w:lang w:eastAsia="zh-HK"/>
                    </w:rPr>
                    <w:t>+7</w:t>
                  </w:r>
                </w:p>
              </w:tc>
              <w:tc>
                <w:tcPr>
                  <w:tcW w:w="378" w:type="dxa"/>
                  <w:vAlign w:val="center"/>
                </w:tcPr>
                <w:p w:rsidR="00930EBE" w:rsidRPr="005853F0" w:rsidRDefault="00930EBE" w:rsidP="005543B8">
                  <w:pPr>
                    <w:spacing w:line="200" w:lineRule="exact"/>
                    <w:jc w:val="center"/>
                    <w:rPr>
                      <w:sz w:val="19"/>
                      <w:szCs w:val="19"/>
                      <w:lang w:eastAsia="zh-HK"/>
                    </w:rPr>
                  </w:pPr>
                  <w:r w:rsidRPr="00E45F1E">
                    <w:rPr>
                      <w:sz w:val="19"/>
                      <w:szCs w:val="19"/>
                      <w:lang w:eastAsia="zh-HK"/>
                    </w:rPr>
                    <w:t>+3</w:t>
                  </w:r>
                </w:p>
              </w:tc>
              <w:tc>
                <w:tcPr>
                  <w:tcW w:w="429" w:type="dxa"/>
                  <w:vAlign w:val="center"/>
                </w:tcPr>
                <w:p w:rsidR="00930EBE" w:rsidRPr="00E45F1E" w:rsidRDefault="00930EBE" w:rsidP="005543B8">
                  <w:pPr>
                    <w:spacing w:line="200" w:lineRule="exact"/>
                    <w:jc w:val="center"/>
                    <w:rPr>
                      <w:sz w:val="19"/>
                      <w:szCs w:val="19"/>
                      <w:lang w:eastAsia="zh-HK"/>
                    </w:rPr>
                  </w:pPr>
                  <w:r>
                    <w:rPr>
                      <w:sz w:val="19"/>
                      <w:szCs w:val="19"/>
                      <w:lang w:eastAsia="zh-HK"/>
                    </w:rPr>
                    <w:t>+1</w:t>
                  </w:r>
                </w:p>
              </w:tc>
            </w:tr>
          </w:tbl>
          <w:p w:rsidR="00930EBE" w:rsidRPr="005853F0" w:rsidRDefault="00930EBE" w:rsidP="005543B8">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930EBE" w:rsidRPr="009D6AB5" w:rsidTr="00CC308E">
        <w:trPr>
          <w:trHeight w:val="1301"/>
        </w:trPr>
        <w:tc>
          <w:tcPr>
            <w:tcW w:w="851" w:type="dxa"/>
            <w:shd w:val="clear" w:color="auto" w:fill="auto"/>
          </w:tcPr>
          <w:p w:rsidR="00930EBE" w:rsidRPr="005853F0" w:rsidRDefault="00930EBE" w:rsidP="005543B8">
            <w:pPr>
              <w:jc w:val="center"/>
              <w:rPr>
                <w:bCs/>
                <w:sz w:val="18"/>
                <w:szCs w:val="18"/>
              </w:rPr>
            </w:pPr>
            <w:r w:rsidRPr="005853F0">
              <w:rPr>
                <w:sz w:val="16"/>
                <w:szCs w:val="16"/>
              </w:rPr>
              <w:t>Note</w:t>
            </w:r>
            <w:r w:rsidR="00CC308E">
              <w:rPr>
                <w:sz w:val="16"/>
                <w:szCs w:val="16"/>
              </w:rPr>
              <w:t xml:space="preserve"> </w:t>
            </w:r>
            <w:r w:rsidRPr="005853F0">
              <w:rPr>
                <w:sz w:val="16"/>
                <w:szCs w:val="16"/>
              </w:rPr>
              <w:t>: (*)</w:t>
            </w:r>
          </w:p>
        </w:tc>
        <w:tc>
          <w:tcPr>
            <w:tcW w:w="3793" w:type="dxa"/>
            <w:shd w:val="clear" w:color="auto" w:fill="auto"/>
          </w:tcPr>
          <w:p w:rsidR="00930EBE" w:rsidRPr="005853F0" w:rsidRDefault="00930EBE" w:rsidP="005543B8">
            <w:pPr>
              <w:spacing w:afterLines="25" w:after="90"/>
              <w:jc w:val="both"/>
              <w:rPr>
                <w:bCs/>
                <w:sz w:val="18"/>
                <w:szCs w:val="18"/>
              </w:rPr>
            </w:pPr>
            <w:r w:rsidRPr="005853F0">
              <w:rPr>
                <w:sz w:val="16"/>
                <w:szCs w:val="16"/>
              </w:rPr>
              <w:t xml:space="preserve">Net balance indicates the direction of expected change in the business situation versus the preceding quarter.  It refers to the difference in percentage points between the </w:t>
            </w:r>
            <w:proofErr w:type="gramStart"/>
            <w:r w:rsidRPr="005853F0">
              <w:rPr>
                <w:sz w:val="16"/>
                <w:szCs w:val="16"/>
              </w:rPr>
              <w:t>proportion</w:t>
            </w:r>
            <w:proofErr w:type="gramEnd"/>
            <w:r w:rsidRPr="005853F0">
              <w:rPr>
                <w:sz w:val="16"/>
                <w:szCs w:val="16"/>
              </w:rPr>
              <w:t xml:space="preserve"> of establishments choosing “better” over that choosing “worse”.  A positive sign indicates a likely upward trend while a negative sign, a likely downward trend.</w:t>
            </w:r>
          </w:p>
        </w:tc>
        <w:tc>
          <w:tcPr>
            <w:tcW w:w="851" w:type="dxa"/>
            <w:shd w:val="clear" w:color="auto" w:fill="auto"/>
          </w:tcPr>
          <w:p w:rsidR="00930EBE" w:rsidRPr="005853F0" w:rsidRDefault="00930EBE" w:rsidP="005543B8">
            <w:pPr>
              <w:spacing w:afterLines="25" w:after="90"/>
              <w:jc w:val="both"/>
              <w:rPr>
                <w:bCs/>
                <w:sz w:val="18"/>
                <w:szCs w:val="18"/>
              </w:rPr>
            </w:pPr>
            <w:r w:rsidRPr="005853F0">
              <w:rPr>
                <w:sz w:val="16"/>
                <w:szCs w:val="16"/>
              </w:rPr>
              <w:t>Note</w:t>
            </w:r>
            <w:r w:rsidR="00CC308E">
              <w:rPr>
                <w:sz w:val="16"/>
                <w:szCs w:val="16"/>
              </w:rPr>
              <w:t xml:space="preserve"> </w:t>
            </w:r>
            <w:r w:rsidRPr="005853F0">
              <w:rPr>
                <w:sz w:val="16"/>
                <w:szCs w:val="16"/>
              </w:rPr>
              <w:t>: (*)</w:t>
            </w:r>
          </w:p>
        </w:tc>
        <w:tc>
          <w:tcPr>
            <w:tcW w:w="3827" w:type="dxa"/>
            <w:gridSpan w:val="2"/>
            <w:shd w:val="clear" w:color="auto" w:fill="auto"/>
          </w:tcPr>
          <w:p w:rsidR="00930EBE" w:rsidRPr="005853F0" w:rsidRDefault="00930EBE" w:rsidP="005543B8">
            <w:pPr>
              <w:spacing w:afterLines="25" w:after="90"/>
              <w:jc w:val="both"/>
              <w:rPr>
                <w:bCs/>
                <w:sz w:val="18"/>
                <w:szCs w:val="18"/>
              </w:rPr>
            </w:pPr>
            <w:r w:rsidRPr="005853F0">
              <w:rPr>
                <w:sz w:val="16"/>
                <w:szCs w:val="16"/>
              </w:rPr>
              <w:t xml:space="preserve">Net balance indicates the direction of expected change in the number of persons engaged versus the preceding quarter.  It refers to the difference in percentage points between the </w:t>
            </w:r>
            <w:proofErr w:type="gramStart"/>
            <w:r w:rsidRPr="005853F0">
              <w:rPr>
                <w:sz w:val="16"/>
                <w:szCs w:val="16"/>
              </w:rPr>
              <w:t>proportion</w:t>
            </w:r>
            <w:proofErr w:type="gramEnd"/>
            <w:r w:rsidRPr="005853F0">
              <w:rPr>
                <w:sz w:val="16"/>
                <w:szCs w:val="16"/>
              </w:rPr>
              <w:t xml:space="preserve"> of establishments choosing “up” over that choosing “down”.  A positive sign indicates a likely upward trend while a negative sign, a likely downward trend.</w:t>
            </w:r>
          </w:p>
        </w:tc>
      </w:tr>
    </w:tbl>
    <w:p w:rsidR="00930EBE" w:rsidRPr="00CE0FAD" w:rsidRDefault="00930EBE" w:rsidP="00930EBE">
      <w:pPr>
        <w:overflowPunct w:val="0"/>
        <w:snapToGrid w:val="0"/>
        <w:spacing w:afterLines="50" w:after="180"/>
        <w:jc w:val="both"/>
      </w:pPr>
      <w:r w:rsidRPr="009D6AB5">
        <w:rPr>
          <w:noProof/>
          <w:highlight w:val="lightGray"/>
        </w:rPr>
        <mc:AlternateContent>
          <mc:Choice Requires="wps">
            <w:drawing>
              <wp:anchor distT="0" distB="0" distL="114300" distR="114300" simplePos="0" relativeHeight="251659264" behindDoc="0" locked="0" layoutInCell="1" allowOverlap="1" wp14:anchorId="3142836A" wp14:editId="5FB84C9A">
                <wp:simplePos x="0" y="0"/>
                <wp:positionH relativeFrom="column">
                  <wp:posOffset>-228600</wp:posOffset>
                </wp:positionH>
                <wp:positionV relativeFrom="paragraph">
                  <wp:posOffset>-4730750</wp:posOffset>
                </wp:positionV>
                <wp:extent cx="6173470" cy="9575800"/>
                <wp:effectExtent l="0" t="0" r="17780" b="26670"/>
                <wp:wrapNone/>
                <wp:docPr id="8" name="Rectangle 4"/>
                <wp:cNvGraphicFramePr/>
                <a:graphic xmlns:a="http://schemas.openxmlformats.org/drawingml/2006/main">
                  <a:graphicData uri="http://schemas.microsoft.com/office/word/2010/wordprocessingShape">
                    <wps:wsp>
                      <wps:cNvSpPr/>
                      <wps:spPr>
                        <a:xfrm>
                          <a:off x="0" y="0"/>
                          <a:ext cx="6173470" cy="95758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92FF59" id="Rectangle 4" o:spid="_x0000_s1026" style="position:absolute;margin-left:-18pt;margin-top:-372.5pt;width:486.1pt;height:75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" filled="f" strokecolor="black [3213]"/>
            </w:pict>
          </mc:Fallback>
        </mc:AlternateContent>
      </w:r>
      <w:r w:rsidRPr="003D71AC">
        <w:br/>
        <w:t>As for small and medium-sized enterprises (SMEs), C&amp;SD compile</w:t>
      </w:r>
      <w:r w:rsidRPr="003D71AC">
        <w:rPr>
          <w:rFonts w:hint="eastAsia"/>
        </w:rPr>
        <w:t>s</w:t>
      </w:r>
      <w:r w:rsidRPr="003D71AC">
        <w:t xml:space="preserve"> a set of diffusion indices on a monthly </w:t>
      </w:r>
      <w:proofErr w:type="gramStart"/>
      <w:r w:rsidRPr="003D71AC">
        <w:t>basis</w:t>
      </w:r>
      <w:r w:rsidRPr="003D71AC">
        <w:rPr>
          <w:rFonts w:eastAsia="SimSun"/>
          <w:vertAlign w:val="superscript"/>
          <w:lang w:eastAsia="zh-CN"/>
        </w:rPr>
        <w:t>(</w:t>
      </w:r>
      <w:proofErr w:type="gramEnd"/>
      <w:r w:rsidRPr="003D71AC">
        <w:rPr>
          <w:vertAlign w:val="superscript"/>
        </w:rPr>
        <w:t>2</w:t>
      </w:r>
      <w:r w:rsidRPr="003D71AC">
        <w:rPr>
          <w:rFonts w:eastAsia="SimSun"/>
          <w:vertAlign w:val="superscript"/>
          <w:lang w:eastAsia="zh-CN"/>
        </w:rPr>
        <w:t>)</w:t>
      </w:r>
      <w:r w:rsidRPr="003D71AC">
        <w:t xml:space="preserve"> to gauge the general direction of change in the</w:t>
      </w:r>
      <w:r w:rsidRPr="003D71AC">
        <w:rPr>
          <w:rFonts w:hint="eastAsia"/>
        </w:rPr>
        <w:t>ir</w:t>
      </w:r>
      <w:r w:rsidRPr="003D71AC">
        <w:t xml:space="preserve"> views on the business situation versus the preceding month.  The overall index on the current situation </w:t>
      </w:r>
      <w:r>
        <w:t>hovered at a relatively low level between 41.3 and 42.3 during August</w:t>
      </w:r>
      <w:r w:rsidRPr="003D71AC">
        <w:t xml:space="preserve"> </w:t>
      </w:r>
      <w:r>
        <w:t>to October</w:t>
      </w:r>
      <w:r w:rsidRPr="003D71AC" w:rsidDel="001D1B27">
        <w:t xml:space="preserve"> </w:t>
      </w:r>
      <w:r w:rsidRPr="003D71AC">
        <w:t>(</w:t>
      </w:r>
      <w:r w:rsidRPr="003D71AC">
        <w:rPr>
          <w:b/>
          <w:i/>
        </w:rPr>
        <w:t>Chart 2a</w:t>
      </w:r>
      <w:r w:rsidRPr="003D71AC">
        <w:t xml:space="preserve">). </w:t>
      </w:r>
      <w:r>
        <w:t xml:space="preserve"> </w:t>
      </w:r>
      <w:r w:rsidRPr="003D71AC">
        <w:t>Employment sentiment among SMEs</w:t>
      </w:r>
      <w:r>
        <w:t xml:space="preserve"> showed some improvement over the same period, and </w:t>
      </w:r>
      <w:r w:rsidRPr="003D71AC">
        <w:t>credit conditions stayed accommodative.</w:t>
      </w:r>
      <w:r>
        <w:t xml:space="preserve">  </w:t>
      </w:r>
      <w:r w:rsidRPr="0050100D">
        <w:t xml:space="preserve">Meanwhile, the Standard Chartered Hong Kong SME Leading Business </w:t>
      </w:r>
      <w:proofErr w:type="gramStart"/>
      <w:r w:rsidRPr="0050100D">
        <w:t>Index</w:t>
      </w:r>
      <w:r w:rsidRPr="0050100D">
        <w:rPr>
          <w:vertAlign w:val="superscript"/>
        </w:rPr>
        <w:t>(</w:t>
      </w:r>
      <w:proofErr w:type="gramEnd"/>
      <w:r w:rsidRPr="0050100D">
        <w:rPr>
          <w:vertAlign w:val="superscript"/>
          <w:lang w:eastAsia="zh-HK"/>
        </w:rPr>
        <w:t>3</w:t>
      </w:r>
      <w:r w:rsidRPr="0050100D">
        <w:rPr>
          <w:vertAlign w:val="superscript"/>
        </w:rPr>
        <w:t>)</w:t>
      </w:r>
      <w:r w:rsidRPr="0050100D">
        <w:t xml:space="preserve"> </w:t>
      </w:r>
      <w:r w:rsidRPr="00CE0FAD">
        <w:t>declined in the third quarter</w:t>
      </w:r>
      <w:r>
        <w:t>, but rose back in the fourth quarter</w:t>
      </w:r>
      <w:r w:rsidRPr="0050100D">
        <w:t>.</w:t>
      </w:r>
      <w:r>
        <w:t xml:space="preserve"> </w:t>
      </w:r>
    </w:p>
    <w:p w:rsidR="00930EBE" w:rsidRDefault="00930EBE" w:rsidP="00930EBE">
      <w:pPr>
        <w:overflowPunct w:val="0"/>
        <w:snapToGrid w:val="0"/>
        <w:spacing w:afterLines="50" w:after="180"/>
        <w:jc w:val="both"/>
      </w:pPr>
      <w:r w:rsidRPr="00FD0097">
        <w:t>As for other surveys in the public domain, the S&amp;P Global Purchasing Managers’ Index (PMI) of Hong Kong</w:t>
      </w:r>
      <w:r w:rsidRPr="00FD0097">
        <w:rPr>
          <w:vertAlign w:val="superscript"/>
        </w:rPr>
        <w:t>(</w:t>
      </w:r>
      <w:r>
        <w:rPr>
          <w:vertAlign w:val="superscript"/>
          <w:lang w:eastAsia="zh-HK"/>
        </w:rPr>
        <w:t>4</w:t>
      </w:r>
      <w:r w:rsidRPr="00FD0097">
        <w:rPr>
          <w:vertAlign w:val="superscript"/>
        </w:rPr>
        <w:t>)</w:t>
      </w:r>
      <w:r w:rsidRPr="00FD0097">
        <w:t xml:space="preserve">, which gauges the performance of the private sector’s business </w:t>
      </w:r>
      <w:r w:rsidRPr="006B52B5">
        <w:t xml:space="preserve">activity, </w:t>
      </w:r>
      <w:r>
        <w:t>stayed in</w:t>
      </w:r>
      <w:r w:rsidRPr="006B52B5">
        <w:t xml:space="preserve"> the contractionary zone in </w:t>
      </w:r>
      <w:r>
        <w:t>August, but</w:t>
      </w:r>
      <w:r w:rsidRPr="006B52B5">
        <w:t xml:space="preserve"> </w:t>
      </w:r>
      <w:r>
        <w:t xml:space="preserve">rose to the boom-bust line in September and further to 52.2 in October.  </w:t>
      </w:r>
      <w:r w:rsidRPr="009B33D9">
        <w:t>T</w:t>
      </w:r>
      <w:r w:rsidRPr="009B33D9">
        <w:rPr>
          <w:lang w:eastAsia="zh-HK"/>
        </w:rPr>
        <w:t>he Hong Kong Trade Development Council (HKTDC)</w:t>
      </w:r>
      <w:r w:rsidRPr="009B33D9">
        <w:t xml:space="preserve"> </w:t>
      </w:r>
      <w:r w:rsidRPr="009B33D9">
        <w:rPr>
          <w:lang w:eastAsia="zh-HK"/>
        </w:rPr>
        <w:t xml:space="preserve">Export Confidence </w:t>
      </w:r>
      <w:proofErr w:type="gramStart"/>
      <w:r w:rsidRPr="009B33D9">
        <w:rPr>
          <w:lang w:eastAsia="zh-HK"/>
        </w:rPr>
        <w:t>Index</w:t>
      </w:r>
      <w:r w:rsidRPr="009B33D9">
        <w:rPr>
          <w:vertAlign w:val="superscript"/>
        </w:rPr>
        <w:t>(</w:t>
      </w:r>
      <w:proofErr w:type="gramEnd"/>
      <w:r>
        <w:rPr>
          <w:vertAlign w:val="superscript"/>
          <w:lang w:eastAsia="zh-HK"/>
        </w:rPr>
        <w:t>5</w:t>
      </w:r>
      <w:r w:rsidRPr="009B33D9">
        <w:rPr>
          <w:vertAlign w:val="superscript"/>
        </w:rPr>
        <w:t>)</w:t>
      </w:r>
      <w:r w:rsidRPr="009B33D9">
        <w:t xml:space="preserve"> </w:t>
      </w:r>
      <w:r>
        <w:t xml:space="preserve">indicated optimism among exporters, with expectation of moderate and sustained export growth. </w:t>
      </w:r>
      <w:r w:rsidRPr="00EA2F04">
        <w:rPr>
          <w:rFonts w:hint="eastAsia"/>
        </w:rPr>
        <w:t xml:space="preserve"> </w:t>
      </w:r>
      <w:r>
        <w:t xml:space="preserve">Exporters remained upbeat about the ASEAN and Mainland markets.  </w:t>
      </w:r>
      <w:r w:rsidRPr="00F604EA">
        <w:t>Among the exporters surveyed</w:t>
      </w:r>
      <w:r>
        <w:t xml:space="preserve">, </w:t>
      </w:r>
      <w:r w:rsidRPr="00EA2F04">
        <w:t xml:space="preserve">the top three challenges </w:t>
      </w:r>
      <w:r w:rsidRPr="00F604EA">
        <w:t xml:space="preserve">to their businesses in the next twelve months </w:t>
      </w:r>
      <w:r w:rsidRPr="00EA2F04">
        <w:t>were rising transport costs,</w:t>
      </w:r>
      <w:r>
        <w:t xml:space="preserve"> rising labour and production costs, as well as</w:t>
      </w:r>
      <w:r w:rsidRPr="00EA2F04">
        <w:t xml:space="preserve"> high capital costs</w:t>
      </w:r>
      <w:r>
        <w:t xml:space="preserve">. </w:t>
      </w:r>
    </w:p>
    <w:p w:rsidR="00930EBE" w:rsidRDefault="00930EBE" w:rsidP="00930EBE">
      <w:pPr>
        <w:overflowPunct w:val="0"/>
        <w:snapToGrid w:val="0"/>
        <w:spacing w:afterLines="50" w:after="180"/>
        <w:jc w:val="both"/>
      </w:pPr>
      <w:r w:rsidRPr="00FD0097">
        <w:rPr>
          <w:noProof/>
        </w:rPr>
        <mc:AlternateContent>
          <mc:Choice Requires="wps">
            <w:drawing>
              <wp:anchor distT="4294967293" distB="4294967293" distL="114300" distR="114300" simplePos="0" relativeHeight="251662336" behindDoc="0" locked="0" layoutInCell="1" allowOverlap="1" wp14:anchorId="3C5F9AA5" wp14:editId="3ABC7898">
                <wp:simplePos x="0" y="0"/>
                <wp:positionH relativeFrom="column">
                  <wp:posOffset>2072640</wp:posOffset>
                </wp:positionH>
                <wp:positionV relativeFrom="paragraph">
                  <wp:posOffset>63500</wp:posOffset>
                </wp:positionV>
                <wp:extent cx="1494790" cy="0"/>
                <wp:effectExtent l="0" t="0" r="29210" b="19050"/>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EB933" id="直線接點 18"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5pt" to="28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"/>
            </w:pict>
          </mc:Fallback>
        </mc:AlternateContent>
      </w:r>
    </w:p>
    <w:p w:rsidR="00930EBE" w:rsidRPr="004A5369" w:rsidRDefault="00930EBE" w:rsidP="00930EBE">
      <w:pPr>
        <w:numPr>
          <w:ilvl w:val="0"/>
          <w:numId w:val="13"/>
        </w:numPr>
        <w:snapToGrid w:val="0"/>
        <w:spacing w:beforeLines="10" w:before="36" w:afterLines="10" w:after="36"/>
        <w:ind w:left="357" w:hanging="357"/>
        <w:jc w:val="both"/>
        <w:rPr>
          <w:kern w:val="0"/>
          <w:sz w:val="20"/>
          <w:szCs w:val="20"/>
          <w:lang w:val="en-US" w:eastAsia="zh-HK"/>
        </w:rPr>
      </w:pPr>
      <w:r w:rsidRPr="004C5EA0">
        <w:rPr>
          <w:kern w:val="0"/>
          <w:sz w:val="20"/>
          <w:szCs w:val="20"/>
          <w:lang w:eastAsia="zh-HK"/>
        </w:rPr>
        <w:t>It refers to the results from the Monthly Survey on the Business Situation of SMEs that solicits feedback from a panel sample of around 600 SMEs each month.</w:t>
      </w:r>
    </w:p>
    <w:p w:rsidR="00930EBE" w:rsidRPr="00FE4E58" w:rsidRDefault="00930EBE" w:rsidP="00930EBE">
      <w:pPr>
        <w:numPr>
          <w:ilvl w:val="0"/>
          <w:numId w:val="13"/>
        </w:numPr>
        <w:snapToGrid w:val="0"/>
        <w:spacing w:beforeLines="10" w:before="36" w:afterLines="10" w:after="36"/>
        <w:ind w:left="357" w:hanging="357"/>
        <w:jc w:val="both"/>
        <w:rPr>
          <w:b/>
        </w:rPr>
      </w:pPr>
      <w:r w:rsidRPr="009F7055">
        <w:rPr>
          <w:kern w:val="0"/>
          <w:sz w:val="20"/>
          <w:szCs w:val="20"/>
          <w:lang w:eastAsia="zh-HK"/>
        </w:rPr>
        <w:t>Conducted independently by Hong Kong Productivity Council, the quarterly survey enables the public and SMEs to gain insights into the forthcoming business climate for better forward planning.  The Overall Index comprises five areas, including local SMEs’ outlook on “Recruitment Sentiment”, “Investment Sentiment”, “Business Condition”, “Profit Margin”, and “Globa</w:t>
      </w:r>
      <w:r>
        <w:rPr>
          <w:kern w:val="0"/>
          <w:sz w:val="20"/>
          <w:szCs w:val="20"/>
          <w:lang w:eastAsia="zh-HK"/>
        </w:rPr>
        <w:t>l Economy” for the next quarter.</w:t>
      </w:r>
    </w:p>
    <w:p w:rsidR="00930EBE" w:rsidRDefault="00930EBE" w:rsidP="00930EBE">
      <w:pPr>
        <w:snapToGrid w:val="0"/>
        <w:spacing w:beforeLines="10" w:before="36" w:afterLines="10" w:after="36"/>
        <w:jc w:val="both"/>
        <w:rPr>
          <w:b/>
        </w:rPr>
      </w:pPr>
    </w:p>
    <w:p w:rsidR="00930EBE" w:rsidRDefault="00930EBE" w:rsidP="00930EBE">
      <w:pPr>
        <w:snapToGrid w:val="0"/>
        <w:spacing w:beforeLines="10" w:before="36" w:afterLines="10" w:after="36"/>
        <w:jc w:val="both"/>
        <w:rPr>
          <w:b/>
        </w:rPr>
      </w:pPr>
    </w:p>
    <w:p w:rsidR="00930EBE" w:rsidRPr="00D2416C" w:rsidRDefault="00930EBE" w:rsidP="00930EBE">
      <w:pPr>
        <w:snapToGrid w:val="0"/>
        <w:spacing w:beforeLines="10" w:before="36" w:afterLines="10" w:after="36"/>
        <w:jc w:val="both"/>
        <w:rPr>
          <w:b/>
        </w:rPr>
      </w:pPr>
      <w:r w:rsidRPr="00D2416C">
        <w:rPr>
          <w:noProof/>
        </w:rPr>
        <w:lastRenderedPageBreak/>
        <mc:AlternateContent>
          <mc:Choice Requires="wps">
            <w:drawing>
              <wp:anchor distT="0" distB="0" distL="114300" distR="114300" simplePos="0" relativeHeight="251664384" behindDoc="0" locked="0" layoutInCell="1" allowOverlap="1" wp14:anchorId="6B6B3216" wp14:editId="0A6D7227">
                <wp:simplePos x="0" y="0"/>
                <wp:positionH relativeFrom="margin">
                  <wp:posOffset>-266700</wp:posOffset>
                </wp:positionH>
                <wp:positionV relativeFrom="paragraph">
                  <wp:posOffset>-31115</wp:posOffset>
                </wp:positionV>
                <wp:extent cx="6173470" cy="9515475"/>
                <wp:effectExtent l="0" t="0" r="17780" b="28575"/>
                <wp:wrapNone/>
                <wp:docPr id="5" name="Rectangle 5"/>
                <wp:cNvGraphicFramePr/>
                <a:graphic xmlns:a="http://schemas.openxmlformats.org/drawingml/2006/main">
                  <a:graphicData uri="http://schemas.microsoft.com/office/word/2010/wordprocessingShape">
                    <wps:wsp>
                      <wps:cNvSpPr/>
                      <wps:spPr>
                        <a:xfrm>
                          <a:off x="0" y="0"/>
                          <a:ext cx="6173470" cy="95154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7A4C4E" id="Rectangle 5" o:spid="_x0000_s1026" style="position:absolute;margin-left:-21pt;margin-top:-2.45pt;width:486.1pt;height:749.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" filled="f" strokecolor="black [3213]">
                <w10:wrap anchorx="margin"/>
              </v:rect>
            </w:pict>
          </mc:Fallback>
        </mc:AlternateContent>
      </w:r>
      <w:r w:rsidRPr="00D2416C">
        <w:rPr>
          <w:b/>
        </w:rPr>
        <w:t>Box 1.1 (Cont’d)</w:t>
      </w:r>
      <w:r w:rsidRPr="00D2416C">
        <w:t xml:space="preserve"> </w:t>
      </w:r>
    </w:p>
    <w:p w:rsidR="00930EBE" w:rsidRDefault="00930EBE" w:rsidP="00930EBE">
      <w:pPr>
        <w:snapToGrid w:val="0"/>
        <w:jc w:val="center"/>
        <w:rPr>
          <w:highlight w:val="yellow"/>
        </w:rPr>
      </w:pPr>
    </w:p>
    <w:p w:rsidR="00930EBE" w:rsidRPr="00D2416C" w:rsidRDefault="00930EBE" w:rsidP="00930EBE">
      <w:pPr>
        <w:snapToGrid w:val="0"/>
        <w:jc w:val="center"/>
        <w:rPr>
          <w:b/>
          <w:sz w:val="21"/>
        </w:rPr>
      </w:pPr>
      <w:r w:rsidRPr="00D2416C">
        <w:rPr>
          <w:b/>
          <w:sz w:val="21"/>
          <w:szCs w:val="21"/>
          <w:lang w:eastAsia="zh-HK"/>
        </w:rPr>
        <w:t xml:space="preserve">Chart </w:t>
      </w:r>
      <w:proofErr w:type="gramStart"/>
      <w:r w:rsidRPr="00D2416C">
        <w:rPr>
          <w:b/>
          <w:sz w:val="21"/>
          <w:szCs w:val="21"/>
          <w:lang w:eastAsia="zh-HK"/>
        </w:rPr>
        <w:t>2 :</w:t>
      </w:r>
      <w:proofErr w:type="gramEnd"/>
      <w:r w:rsidRPr="00D2416C">
        <w:rPr>
          <w:b/>
          <w:sz w:val="21"/>
          <w:szCs w:val="21"/>
          <w:lang w:eastAsia="zh-HK"/>
        </w:rPr>
        <w:t xml:space="preserve"> </w:t>
      </w:r>
      <w:r>
        <w:rPr>
          <w:b/>
          <w:sz w:val="21"/>
          <w:szCs w:val="21"/>
          <w:lang w:eastAsia="zh-HK"/>
        </w:rPr>
        <w:t>Other b</w:t>
      </w:r>
      <w:r w:rsidRPr="00D2416C">
        <w:rPr>
          <w:b/>
          <w:sz w:val="21"/>
          <w:szCs w:val="21"/>
          <w:lang w:eastAsia="zh-HK"/>
        </w:rPr>
        <w:t xml:space="preserve">usiness sentiment indicators </w:t>
      </w:r>
      <w:r>
        <w:rPr>
          <w:b/>
          <w:sz w:val="21"/>
          <w:szCs w:val="21"/>
          <w:lang w:eastAsia="zh-HK"/>
        </w:rPr>
        <w:t xml:space="preserve">stayed generally subdued </w:t>
      </w:r>
      <w:r>
        <w:rPr>
          <w:b/>
          <w:sz w:val="21"/>
          <w:szCs w:val="21"/>
          <w:lang w:eastAsia="zh-HK"/>
        </w:rPr>
        <w:br/>
      </w:r>
      <w:r w:rsidRPr="00D2416C">
        <w:rPr>
          <w:b/>
          <w:sz w:val="21"/>
          <w:szCs w:val="21"/>
          <w:lang w:eastAsia="zh-HK"/>
        </w:rPr>
        <w:t>in the past few months</w:t>
      </w:r>
      <w:r>
        <w:rPr>
          <w:b/>
          <w:sz w:val="21"/>
          <w:szCs w:val="21"/>
          <w:lang w:eastAsia="zh-HK"/>
        </w:rPr>
        <w:t xml:space="preserve">, </w:t>
      </w:r>
      <w:r w:rsidRPr="006A6B1A">
        <w:rPr>
          <w:b/>
          <w:sz w:val="21"/>
          <w:szCs w:val="21"/>
          <w:lang w:eastAsia="zh-HK"/>
        </w:rPr>
        <w:t>but some indicators have shown signs of improvement most recently</w:t>
      </w:r>
      <w:r w:rsidDel="00235905">
        <w:rPr>
          <w:b/>
          <w:noProof/>
          <w:sz w:val="21"/>
          <w:szCs w:val="21"/>
        </w:rPr>
        <w:t xml:space="preserve"> </w:t>
      </w:r>
    </w:p>
    <w:p w:rsidR="00930EBE" w:rsidRPr="009D6AB5" w:rsidRDefault="007D3DF2" w:rsidP="00930EBE">
      <w:pPr>
        <w:snapToGrid w:val="0"/>
        <w:jc w:val="center"/>
        <w:rPr>
          <w:b/>
          <w:sz w:val="21"/>
          <w:szCs w:val="21"/>
          <w:highlight w:val="lightGray"/>
          <w:lang w:eastAsia="zh-HK"/>
        </w:rPr>
      </w:pPr>
      <w:r w:rsidRPr="007D3DF2">
        <w:rPr>
          <w:noProof/>
        </w:rPr>
        <w:drawing>
          <wp:inline distT="0" distB="0" distL="0" distR="0">
            <wp:extent cx="5731510" cy="37328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32830"/>
                    </a:xfrm>
                    <a:prstGeom prst="rect">
                      <a:avLst/>
                    </a:prstGeom>
                    <a:noFill/>
                    <a:ln>
                      <a:noFill/>
                    </a:ln>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930EBE" w:rsidRPr="009D6AB5" w:rsidTr="005543B8">
        <w:tc>
          <w:tcPr>
            <w:tcW w:w="752" w:type="dxa"/>
            <w:shd w:val="clear" w:color="auto" w:fill="auto"/>
          </w:tcPr>
          <w:p w:rsidR="00930EBE" w:rsidRPr="00D2416C" w:rsidRDefault="00930EBE" w:rsidP="005543B8">
            <w:pPr>
              <w:snapToGrid w:val="0"/>
              <w:spacing w:afterLines="10" w:after="36" w:line="200" w:lineRule="exact"/>
              <w:rPr>
                <w:sz w:val="18"/>
                <w:szCs w:val="18"/>
                <w:lang w:eastAsia="zh-HK"/>
              </w:rPr>
            </w:pPr>
            <w:r w:rsidRPr="00D2416C">
              <w:rPr>
                <w:sz w:val="18"/>
                <w:szCs w:val="18"/>
                <w:lang w:eastAsia="zh-HK"/>
              </w:rPr>
              <w:t>Notes</w:t>
            </w:r>
            <w:r w:rsidR="002E5FF0">
              <w:rPr>
                <w:sz w:val="18"/>
                <w:szCs w:val="18"/>
                <w:lang w:eastAsia="zh-HK"/>
              </w:rPr>
              <w:t xml:space="preserve"> </w:t>
            </w:r>
            <w:r w:rsidRPr="00D2416C">
              <w:rPr>
                <w:sz w:val="18"/>
                <w:szCs w:val="18"/>
                <w:lang w:eastAsia="zh-HK"/>
              </w:rPr>
              <w:t>:</w:t>
            </w:r>
          </w:p>
        </w:tc>
        <w:tc>
          <w:tcPr>
            <w:tcW w:w="280" w:type="dxa"/>
            <w:shd w:val="clear" w:color="auto" w:fill="auto"/>
          </w:tcPr>
          <w:p w:rsidR="00930EBE" w:rsidRPr="00D2416C" w:rsidRDefault="00930EBE" w:rsidP="005543B8">
            <w:pPr>
              <w:snapToGrid w:val="0"/>
              <w:spacing w:afterLines="10" w:after="36" w:line="200" w:lineRule="exact"/>
              <w:ind w:leftChars="-45" w:left="-108" w:rightChars="-45" w:right="-108"/>
              <w:rPr>
                <w:sz w:val="18"/>
                <w:szCs w:val="18"/>
              </w:rPr>
            </w:pPr>
            <w:r w:rsidRPr="00D2416C">
              <w:rPr>
                <w:sz w:val="18"/>
                <w:szCs w:val="18"/>
                <w:lang w:eastAsia="zh-HK"/>
              </w:rPr>
              <w:t>(^)</w:t>
            </w:r>
          </w:p>
        </w:tc>
        <w:tc>
          <w:tcPr>
            <w:tcW w:w="8148" w:type="dxa"/>
            <w:shd w:val="clear" w:color="auto" w:fill="auto"/>
          </w:tcPr>
          <w:p w:rsidR="00930EBE" w:rsidRPr="00D2416C" w:rsidRDefault="00930EBE" w:rsidP="005543B8">
            <w:pPr>
              <w:snapToGrid w:val="0"/>
              <w:spacing w:afterLines="10" w:after="36" w:line="200" w:lineRule="exact"/>
              <w:ind w:leftChars="-45" w:left="-108"/>
              <w:jc w:val="both"/>
              <w:rPr>
                <w:sz w:val="18"/>
                <w:szCs w:val="18"/>
              </w:rPr>
            </w:pPr>
            <w:r w:rsidRPr="00D2416C">
              <w:rPr>
                <w:sz w:val="18"/>
                <w:szCs w:val="18"/>
                <w:lang w:eastAsia="zh-HK"/>
              </w:rPr>
              <w:t>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asked to exclude seasonal effects in reporting their views.</w:t>
            </w:r>
          </w:p>
        </w:tc>
      </w:tr>
      <w:tr w:rsidR="00CC308E" w:rsidRPr="009D6AB5" w:rsidTr="005543B8">
        <w:tc>
          <w:tcPr>
            <w:tcW w:w="752" w:type="dxa"/>
            <w:shd w:val="clear" w:color="auto" w:fill="auto"/>
          </w:tcPr>
          <w:p w:rsidR="00CC308E" w:rsidRPr="00B0690C" w:rsidRDefault="00CC308E" w:rsidP="00CC308E">
            <w:pPr>
              <w:snapToGrid w:val="0"/>
              <w:spacing w:afterLines="10" w:after="36" w:line="200" w:lineRule="exact"/>
              <w:rPr>
                <w:sz w:val="18"/>
                <w:szCs w:val="18"/>
                <w:lang w:eastAsia="zh-HK"/>
              </w:rPr>
            </w:pPr>
          </w:p>
        </w:tc>
        <w:tc>
          <w:tcPr>
            <w:tcW w:w="280" w:type="dxa"/>
            <w:shd w:val="clear" w:color="auto" w:fill="auto"/>
          </w:tcPr>
          <w:p w:rsidR="00CC308E" w:rsidRPr="00B0690C" w:rsidRDefault="00CC308E" w:rsidP="00CC308E">
            <w:pPr>
              <w:snapToGrid w:val="0"/>
              <w:spacing w:afterLines="10" w:after="36" w:line="200" w:lineRule="exact"/>
              <w:ind w:leftChars="-45" w:left="-108" w:rightChars="-45" w:right="-108"/>
              <w:rPr>
                <w:sz w:val="18"/>
                <w:szCs w:val="18"/>
                <w:lang w:eastAsia="zh-HK"/>
              </w:rPr>
            </w:pPr>
            <w:r>
              <w:rPr>
                <w:sz w:val="18"/>
                <w:szCs w:val="18"/>
                <w:lang w:eastAsia="zh-HK"/>
              </w:rPr>
              <w:t>(~)</w:t>
            </w:r>
          </w:p>
        </w:tc>
        <w:tc>
          <w:tcPr>
            <w:tcW w:w="8148" w:type="dxa"/>
            <w:shd w:val="clear" w:color="auto" w:fill="auto"/>
          </w:tcPr>
          <w:p w:rsidR="00CC308E" w:rsidRPr="00B0690C" w:rsidRDefault="00CC308E" w:rsidP="00CC308E">
            <w:pPr>
              <w:snapToGrid w:val="0"/>
              <w:spacing w:afterLines="10" w:after="36" w:line="200" w:lineRule="exact"/>
              <w:ind w:leftChars="-45" w:left="-108"/>
              <w:jc w:val="both"/>
              <w:rPr>
                <w:sz w:val="18"/>
                <w:szCs w:val="18"/>
                <w:lang w:eastAsia="zh-HK"/>
              </w:rPr>
            </w:pPr>
            <w:r>
              <w:rPr>
                <w:sz w:val="18"/>
                <w:szCs w:val="18"/>
                <w:lang w:eastAsia="zh-HK"/>
              </w:rPr>
              <w:t>Quarterly data.</w:t>
            </w:r>
          </w:p>
        </w:tc>
      </w:tr>
      <w:tr w:rsidR="00CC308E" w:rsidRPr="009D6AB5" w:rsidTr="005543B8">
        <w:tc>
          <w:tcPr>
            <w:tcW w:w="752" w:type="dxa"/>
            <w:shd w:val="clear" w:color="auto" w:fill="auto"/>
          </w:tcPr>
          <w:p w:rsidR="00CC308E" w:rsidRPr="00D2416C" w:rsidRDefault="00CC308E" w:rsidP="00CC308E">
            <w:pPr>
              <w:snapToGrid w:val="0"/>
              <w:spacing w:afterLines="20" w:after="72" w:line="200" w:lineRule="exact"/>
              <w:rPr>
                <w:sz w:val="18"/>
                <w:szCs w:val="18"/>
              </w:rPr>
            </w:pPr>
          </w:p>
        </w:tc>
        <w:tc>
          <w:tcPr>
            <w:tcW w:w="280" w:type="dxa"/>
            <w:shd w:val="clear" w:color="auto" w:fill="auto"/>
          </w:tcPr>
          <w:p w:rsidR="00CC308E" w:rsidRPr="00D2416C" w:rsidRDefault="00CC308E" w:rsidP="00CC308E">
            <w:pPr>
              <w:snapToGrid w:val="0"/>
              <w:spacing w:afterLines="20" w:after="72" w:line="200" w:lineRule="exact"/>
              <w:ind w:leftChars="-45" w:left="-108" w:rightChars="-45" w:right="-108"/>
              <w:rPr>
                <w:sz w:val="18"/>
                <w:szCs w:val="18"/>
              </w:rPr>
            </w:pPr>
            <w:r w:rsidRPr="00D2416C">
              <w:rPr>
                <w:sz w:val="18"/>
                <w:szCs w:val="18"/>
                <w:lang w:eastAsia="zh-HK"/>
              </w:rPr>
              <w:t>(</w:t>
            </w:r>
            <w:r w:rsidRPr="00D2416C">
              <w:rPr>
                <w:rFonts w:hint="eastAsia"/>
                <w:sz w:val="18"/>
                <w:szCs w:val="18"/>
              </w:rPr>
              <w:t>*</w:t>
            </w:r>
            <w:r w:rsidRPr="00D2416C">
              <w:rPr>
                <w:sz w:val="18"/>
                <w:szCs w:val="18"/>
                <w:lang w:eastAsia="zh-HK"/>
              </w:rPr>
              <w:t>)</w:t>
            </w:r>
          </w:p>
        </w:tc>
        <w:tc>
          <w:tcPr>
            <w:tcW w:w="8148" w:type="dxa"/>
            <w:shd w:val="clear" w:color="auto" w:fill="auto"/>
          </w:tcPr>
          <w:p w:rsidR="00CC308E" w:rsidRPr="00D2416C" w:rsidRDefault="00CC308E" w:rsidP="00CC308E">
            <w:pPr>
              <w:snapToGrid w:val="0"/>
              <w:spacing w:afterLines="20" w:after="72" w:line="200" w:lineRule="exact"/>
              <w:ind w:leftChars="-45" w:left="-108"/>
              <w:jc w:val="both"/>
              <w:rPr>
                <w:sz w:val="18"/>
                <w:szCs w:val="18"/>
                <w:lang w:eastAsia="zh-HK"/>
              </w:rPr>
            </w:pPr>
            <w:r>
              <w:rPr>
                <w:sz w:val="18"/>
                <w:szCs w:val="18"/>
                <w:lang w:eastAsia="zh-HK"/>
              </w:rPr>
              <w:t xml:space="preserve">Quarterly data since 2024 Q1.  </w:t>
            </w:r>
            <w:r w:rsidRPr="00D2416C">
              <w:rPr>
                <w:sz w:val="18"/>
                <w:szCs w:val="18"/>
                <w:lang w:eastAsia="zh-HK"/>
              </w:rPr>
              <w:t>A reading above 50 indicates an upward trend and an optimistic outlook, while a reading below 50 indicates a downward trend and a pessimistic outlook.</w:t>
            </w:r>
          </w:p>
        </w:tc>
      </w:tr>
    </w:tbl>
    <w:p w:rsidR="00930EBE" w:rsidRPr="009D6AB5" w:rsidRDefault="00930EBE" w:rsidP="00930EBE">
      <w:pPr>
        <w:snapToGrid w:val="0"/>
        <w:spacing w:afterLines="30" w:after="108"/>
        <w:jc w:val="both"/>
        <w:rPr>
          <w:highlight w:val="lightGray"/>
        </w:rPr>
      </w:pPr>
    </w:p>
    <w:p w:rsidR="00930EBE" w:rsidRPr="009D6AB5" w:rsidRDefault="00930EBE" w:rsidP="00930EBE">
      <w:pPr>
        <w:snapToGrid w:val="0"/>
        <w:spacing w:afterLines="30" w:after="108"/>
        <w:jc w:val="both"/>
        <w:rPr>
          <w:b/>
          <w:highlight w:val="lightGray"/>
        </w:rPr>
      </w:pPr>
      <w:r w:rsidRPr="007E1BF3">
        <w:t>It is worth noting that these</w:t>
      </w:r>
      <w:r w:rsidRPr="007E1BF3">
        <w:rPr>
          <w:rFonts w:eastAsia="SimSun"/>
          <w:lang w:eastAsia="zh-CN"/>
        </w:rPr>
        <w:t xml:space="preserve"> </w:t>
      </w:r>
      <w:r w:rsidRPr="007E1BF3">
        <w:t>surveys are essentially opinion-based, thereby unavoidably subject to various limitations (e.g. results are not directly comparable) and hence the results should be interpreted with care</w:t>
      </w:r>
      <w:r w:rsidRPr="003E4391">
        <w:t>.  The</w:t>
      </w:r>
      <w:r w:rsidRPr="003E4391">
        <w:rPr>
          <w:rFonts w:hint="eastAsia"/>
        </w:rPr>
        <w:t>se</w:t>
      </w:r>
      <w:r w:rsidRPr="003E4391">
        <w:t xml:space="preserve"> survey findings taken together suggest that </w:t>
      </w:r>
      <w:r w:rsidRPr="003E4391">
        <w:rPr>
          <w:rFonts w:hint="eastAsia"/>
        </w:rPr>
        <w:t xml:space="preserve">overall </w:t>
      </w:r>
      <w:r w:rsidRPr="003E4391">
        <w:t xml:space="preserve">business sentiment </w:t>
      </w:r>
      <w:r>
        <w:t>stayed generally subdued in the past few months</w:t>
      </w:r>
      <w:r>
        <w:rPr>
          <w:rFonts w:eastAsiaTheme="minorEastAsia" w:hint="eastAsia"/>
        </w:rPr>
        <w:t>,</w:t>
      </w:r>
      <w:r>
        <w:rPr>
          <w:rFonts w:eastAsiaTheme="minorEastAsia"/>
        </w:rPr>
        <w:t xml:space="preserve"> </w:t>
      </w:r>
      <w:r>
        <w:rPr>
          <w:rFonts w:eastAsiaTheme="minorEastAsia"/>
          <w:lang w:eastAsia="zh-HK"/>
        </w:rPr>
        <w:t>but some indicators have shown signs of improvement most recently.</w:t>
      </w:r>
      <w:r w:rsidRPr="003E4391">
        <w:t xml:space="preserve">  </w:t>
      </w:r>
      <w:r w:rsidRPr="007E1BF3">
        <w:t xml:space="preserve">Looking ahead, </w:t>
      </w:r>
      <w:r w:rsidRPr="006E4C6F">
        <w:t xml:space="preserve">the gradually easing financial conditions, the Central Government’s latest policy measures for supporting the Mainland economy as well as its various measures benefitting Hong Kong should bode well for business sentiment, though global economic uncertainties and trade conflicts may pose some negative impacts.  </w:t>
      </w:r>
    </w:p>
    <w:p w:rsidR="00930EBE" w:rsidRPr="00AE7BF9" w:rsidRDefault="00930EBE" w:rsidP="00930EBE">
      <w:pPr>
        <w:snapToGrid w:val="0"/>
        <w:jc w:val="both"/>
        <w:rPr>
          <w:b/>
        </w:rPr>
      </w:pPr>
      <w:r w:rsidRPr="009D6AB5">
        <w:rPr>
          <w:noProof/>
          <w:highlight w:val="lightGray"/>
        </w:rPr>
        <mc:AlternateContent>
          <mc:Choice Requires="wps">
            <w:drawing>
              <wp:anchor distT="4294967293" distB="4294967293" distL="114300" distR="114300" simplePos="0" relativeHeight="251663360" behindDoc="0" locked="0" layoutInCell="1" allowOverlap="1" wp14:anchorId="0E0B1985" wp14:editId="5ADECDCB">
                <wp:simplePos x="0" y="0"/>
                <wp:positionH relativeFrom="column">
                  <wp:posOffset>2136775</wp:posOffset>
                </wp:positionH>
                <wp:positionV relativeFrom="paragraph">
                  <wp:posOffset>60324</wp:posOffset>
                </wp:positionV>
                <wp:extent cx="1494790" cy="0"/>
                <wp:effectExtent l="0" t="0" r="1016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01AF2" id="直線接點 15"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8.25pt,4.75pt" to="285.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"/>
            </w:pict>
          </mc:Fallback>
        </mc:AlternateContent>
      </w:r>
    </w:p>
    <w:p w:rsidR="00930EBE" w:rsidRPr="00AE7BF9" w:rsidRDefault="00930EBE" w:rsidP="00930EBE">
      <w:pPr>
        <w:numPr>
          <w:ilvl w:val="0"/>
          <w:numId w:val="13"/>
        </w:numPr>
        <w:autoSpaceDE w:val="0"/>
        <w:autoSpaceDN w:val="0"/>
        <w:adjustRightInd w:val="0"/>
        <w:snapToGrid w:val="0"/>
        <w:spacing w:beforeLines="20" w:before="72" w:afterLines="30" w:after="108"/>
        <w:jc w:val="both"/>
        <w:rPr>
          <w:lang w:val="en-US" w:eastAsia="zh-HK"/>
        </w:rPr>
      </w:pPr>
      <w:r w:rsidRPr="00AE7BF9">
        <w:rPr>
          <w:kern w:val="0"/>
          <w:sz w:val="20"/>
          <w:szCs w:val="20"/>
          <w:lang w:eastAsia="zh-HK"/>
        </w:rPr>
        <w:t>According to the press release by S&amp;P Global, the S&amp;P Global Hong Kong PMI is compiled according to monthly replies to questionnaires sent to purchasing managers in around 400 private sector companies.  It is a composite index based on five individual indices with the following weights: New Orders (30%); Output (25%); Employment (20</w:t>
      </w:r>
      <w:r w:rsidRPr="00AE7BF9">
        <w:rPr>
          <w:rFonts w:hint="eastAsia"/>
          <w:kern w:val="0"/>
          <w:sz w:val="20"/>
          <w:szCs w:val="20"/>
        </w:rPr>
        <w:t>%</w:t>
      </w:r>
      <w:r w:rsidRPr="00AE7BF9">
        <w:rPr>
          <w:kern w:val="0"/>
          <w:sz w:val="20"/>
          <w:szCs w:val="20"/>
          <w:lang w:eastAsia="zh-HK"/>
        </w:rPr>
        <w:t>); Suppliers’ Delivery Times (</w:t>
      </w:r>
      <w:r w:rsidRPr="00AE7BF9">
        <w:rPr>
          <w:rFonts w:hint="eastAsia"/>
          <w:kern w:val="0"/>
          <w:sz w:val="20"/>
          <w:szCs w:val="20"/>
        </w:rPr>
        <w:t>15%</w:t>
      </w:r>
      <w:r w:rsidRPr="00AE7BF9">
        <w:rPr>
          <w:kern w:val="0"/>
          <w:sz w:val="20"/>
          <w:szCs w:val="20"/>
          <w:lang w:eastAsia="zh-HK"/>
        </w:rPr>
        <w:t>); and Stock</w:t>
      </w:r>
      <w:r w:rsidRPr="00AE7BF9">
        <w:rPr>
          <w:rFonts w:hint="eastAsia"/>
          <w:kern w:val="0"/>
          <w:sz w:val="20"/>
          <w:szCs w:val="20"/>
          <w:lang w:eastAsia="zh-HK"/>
        </w:rPr>
        <w:t>s</w:t>
      </w:r>
      <w:r w:rsidRPr="00AE7BF9">
        <w:rPr>
          <w:kern w:val="0"/>
          <w:sz w:val="20"/>
          <w:szCs w:val="20"/>
          <w:lang w:eastAsia="zh-HK"/>
        </w:rPr>
        <w:t xml:space="preserve"> of Purchases (10%), with the Suppliers’ Delivery Times index inverted so that it moves in a comparable direction.  Survey responses reflect the change, if any, in the prevailing month compared to the previous month.</w:t>
      </w:r>
    </w:p>
    <w:p w:rsidR="00930EBE" w:rsidRPr="00930EBE" w:rsidRDefault="00930EBE" w:rsidP="00930EBE">
      <w:pPr>
        <w:numPr>
          <w:ilvl w:val="0"/>
          <w:numId w:val="13"/>
        </w:numPr>
        <w:snapToGrid w:val="0"/>
        <w:spacing w:beforeLines="10" w:before="36" w:afterLines="10" w:after="36"/>
        <w:jc w:val="both"/>
        <w:rPr>
          <w:kern w:val="0"/>
          <w:sz w:val="20"/>
          <w:szCs w:val="20"/>
          <w:lang w:eastAsia="zh-HK"/>
        </w:rPr>
      </w:pPr>
      <w:r w:rsidRPr="007E1BF3">
        <w:rPr>
          <w:kern w:val="0"/>
          <w:sz w:val="20"/>
          <w:szCs w:val="20"/>
          <w:lang w:eastAsia="zh-HK"/>
        </w:rPr>
        <w:t>The</w:t>
      </w:r>
      <w:r w:rsidRPr="007E1BF3">
        <w:rPr>
          <w:kern w:val="0"/>
          <w:sz w:val="20"/>
          <w:szCs w:val="20"/>
        </w:rPr>
        <w:t xml:space="preserve"> HKTDC Export Confidence Index</w:t>
      </w:r>
      <w:r>
        <w:rPr>
          <w:kern w:val="0"/>
          <w:sz w:val="20"/>
          <w:szCs w:val="20"/>
        </w:rPr>
        <w:t xml:space="preserve"> </w:t>
      </w:r>
      <w:r w:rsidRPr="007E1BF3">
        <w:rPr>
          <w:kern w:val="0"/>
          <w:sz w:val="20"/>
          <w:szCs w:val="20"/>
        </w:rPr>
        <w:t>aims to gauge the prospects of the near</w:t>
      </w:r>
      <w:r w:rsidRPr="007E1BF3">
        <w:rPr>
          <w:kern w:val="0"/>
          <w:sz w:val="20"/>
          <w:szCs w:val="20"/>
        </w:rPr>
        <w:noBreakHyphen/>
        <w:t xml:space="preserve">term export performance of Hong Kong traders.  It is a composite index based on five individual sub-indices with the following weight: </w:t>
      </w:r>
      <w:r w:rsidRPr="007E1BF3">
        <w:rPr>
          <w:kern w:val="0"/>
          <w:sz w:val="20"/>
          <w:szCs w:val="20"/>
          <w:lang w:eastAsia="zh-HK"/>
        </w:rPr>
        <w:t xml:space="preserve">Sales and New Orders (50.0%); Trade Value (12.5%); Cost (12.5%); Procurement (12.5%); and Inventory (12.5%), with the Cost index and Inventory index inverted so that they move in comparable direction.  The business confidence survey is conducted on a quarterly basis, with more than 500 participating Hong Kong traders from six major industry sectors interviewed, namely electronics, clothing, toys, jewellery, timepieces and equipment/materials. </w:t>
      </w:r>
    </w:p>
    <w:p w:rsidR="00E67131" w:rsidRDefault="004603FC" w:rsidP="005B07E4">
      <w:pPr>
        <w:rPr>
          <w:b/>
          <w:sz w:val="28"/>
          <w:szCs w:val="20"/>
        </w:rPr>
      </w:pPr>
      <w:r w:rsidRPr="004110C3">
        <w:rPr>
          <w:b/>
          <w:sz w:val="28"/>
          <w:szCs w:val="20"/>
        </w:rPr>
        <w:lastRenderedPageBreak/>
        <w:t>The labour sector</w:t>
      </w:r>
      <w:r w:rsidR="00560BF3" w:rsidRPr="00AA3189">
        <w:rPr>
          <w:b/>
          <w:sz w:val="28"/>
          <w:szCs w:val="20"/>
        </w:rPr>
        <w:t xml:space="preserve"> </w:t>
      </w:r>
    </w:p>
    <w:p w:rsidR="00AA3189" w:rsidRPr="00AA3189" w:rsidRDefault="00AA3189" w:rsidP="00AA3189">
      <w:pPr>
        <w:rPr>
          <w:b/>
          <w:sz w:val="28"/>
          <w:szCs w:val="20"/>
        </w:rPr>
      </w:pPr>
    </w:p>
    <w:p w:rsidR="00EF24CB" w:rsidRPr="00F50D36" w:rsidRDefault="009C154B" w:rsidP="00E66B0B">
      <w:pPr>
        <w:pStyle w:val="BodyText"/>
        <w:numPr>
          <w:ilvl w:val="1"/>
          <w:numId w:val="19"/>
        </w:numPr>
        <w:tabs>
          <w:tab w:val="left" w:pos="1260"/>
        </w:tabs>
        <w:overflowPunct w:val="0"/>
        <w:ind w:left="0" w:right="28" w:firstLine="0"/>
        <w:jc w:val="both"/>
        <w:rPr>
          <w:rFonts w:ascii="Times New Roman"/>
          <w:kern w:val="0"/>
          <w:lang w:val="en-GB"/>
        </w:rPr>
      </w:pPr>
      <w:r w:rsidRPr="009C154B">
        <w:rPr>
          <w:rFonts w:ascii="Times New Roman"/>
          <w:kern w:val="0"/>
          <w:lang w:val="en-HK"/>
        </w:rPr>
        <w:t xml:space="preserve">The labour market </w:t>
      </w:r>
      <w:r w:rsidR="00F3249B" w:rsidRPr="00F3249B">
        <w:rPr>
          <w:rFonts w:ascii="Times New Roman"/>
          <w:kern w:val="0"/>
          <w:lang w:val="en-HK"/>
        </w:rPr>
        <w:t xml:space="preserve">remained </w:t>
      </w:r>
      <w:r w:rsidRPr="009C154B">
        <w:rPr>
          <w:rFonts w:ascii="Times New Roman"/>
          <w:kern w:val="0"/>
          <w:lang w:val="en-HK"/>
        </w:rPr>
        <w:t xml:space="preserve">tight in the </w:t>
      </w:r>
      <w:r w:rsidR="00F3249B">
        <w:rPr>
          <w:rFonts w:ascii="Times New Roman"/>
          <w:kern w:val="0"/>
          <w:lang w:val="en-HK"/>
        </w:rPr>
        <w:t>third</w:t>
      </w:r>
      <w:r w:rsidRPr="009C154B">
        <w:rPr>
          <w:rFonts w:ascii="Times New Roman"/>
          <w:kern w:val="0"/>
          <w:lang w:val="en-HK"/>
        </w:rPr>
        <w:t xml:space="preserve"> quarter of 2024.  </w:t>
      </w:r>
      <w:r w:rsidR="00F8387D" w:rsidRPr="00F8387D">
        <w:rPr>
          <w:rFonts w:ascii="Times New Roman"/>
          <w:kern w:val="0"/>
          <w:lang w:val="en-HK"/>
        </w:rPr>
        <w:t xml:space="preserve">The seasonally adjusted </w:t>
      </w:r>
      <w:r w:rsidR="00F8387D" w:rsidRPr="00F8387D">
        <w:rPr>
          <w:rFonts w:ascii="Times New Roman"/>
          <w:i/>
          <w:kern w:val="0"/>
          <w:lang w:val="en-HK"/>
        </w:rPr>
        <w:t>unemployment rate</w:t>
      </w:r>
      <w:r w:rsidR="00F8387D" w:rsidRPr="00F8387D">
        <w:rPr>
          <w:rFonts w:ascii="Times New Roman"/>
          <w:kern w:val="0"/>
          <w:lang w:val="en-HK"/>
        </w:rPr>
        <w:t xml:space="preserve"> </w:t>
      </w:r>
      <w:r w:rsidR="00F3249B" w:rsidRPr="00F3249B">
        <w:rPr>
          <w:rFonts w:ascii="Times New Roman"/>
          <w:kern w:val="0"/>
          <w:lang w:val="en-HK"/>
        </w:rPr>
        <w:t>stayed low at 3.0%</w:t>
      </w:r>
      <w:r w:rsidR="00F3249B" w:rsidRPr="00F3249B">
        <w:rPr>
          <w:rFonts w:ascii="Times New Roman"/>
          <w:kern w:val="0"/>
          <w:lang w:val="en-GB"/>
        </w:rPr>
        <w:t>, same as the preceding quarter</w:t>
      </w:r>
      <w:r w:rsidRPr="009C154B">
        <w:rPr>
          <w:rFonts w:ascii="Times New Roman"/>
          <w:kern w:val="0"/>
          <w:lang w:val="en-HK"/>
        </w:rPr>
        <w:t xml:space="preserve">. </w:t>
      </w:r>
      <w:r w:rsidR="00F8387D" w:rsidRPr="00F8387D">
        <w:rPr>
          <w:rFonts w:ascii="Times New Roman"/>
          <w:kern w:val="0"/>
          <w:lang w:val="en-HK"/>
        </w:rPr>
        <w:t xml:space="preserve"> The </w:t>
      </w:r>
      <w:r w:rsidR="00F8387D" w:rsidRPr="00F8387D">
        <w:rPr>
          <w:rFonts w:ascii="Times New Roman"/>
          <w:i/>
          <w:kern w:val="0"/>
          <w:lang w:val="en-HK"/>
        </w:rPr>
        <w:t>underemployment rate</w:t>
      </w:r>
      <w:r w:rsidR="00F8387D" w:rsidRPr="00F8387D">
        <w:rPr>
          <w:rFonts w:ascii="Times New Roman"/>
          <w:kern w:val="0"/>
          <w:lang w:val="en-HK"/>
        </w:rPr>
        <w:t xml:space="preserve"> </w:t>
      </w:r>
      <w:r w:rsidR="00F3249B" w:rsidRPr="00F3249B">
        <w:rPr>
          <w:rFonts w:ascii="Times New Roman"/>
          <w:kern w:val="0"/>
          <w:lang w:val="en-HK"/>
        </w:rPr>
        <w:t>also remained unchanged at a low level of 1.2%</w:t>
      </w:r>
      <w:r w:rsidR="00F8387D" w:rsidRPr="00F8387D">
        <w:rPr>
          <w:rFonts w:ascii="Times New Roman"/>
          <w:kern w:val="0"/>
          <w:lang w:val="en-HK"/>
        </w:rPr>
        <w:t>.</w:t>
      </w:r>
      <w:r w:rsidR="008F696F" w:rsidRPr="00AB50A4">
        <w:rPr>
          <w:rFonts w:ascii="Times New Roman"/>
          <w:kern w:val="0"/>
          <w:lang w:val="en-HK"/>
        </w:rPr>
        <w:t xml:space="preserve">  </w:t>
      </w:r>
      <w:r w:rsidR="00F3249B" w:rsidRPr="00F3249B">
        <w:rPr>
          <w:rFonts w:ascii="Times New Roman"/>
          <w:kern w:val="0"/>
          <w:lang w:val="en-HK"/>
        </w:rPr>
        <w:t>The unemployment rates of major sectors showed diverse movements in the third quarter as compared with the preceding quarter</w:t>
      </w:r>
      <w:r w:rsidR="00A94EC9" w:rsidRPr="00F50D36">
        <w:rPr>
          <w:rFonts w:ascii="Times New Roman"/>
          <w:kern w:val="0"/>
          <w:lang w:val="en-HK"/>
        </w:rPr>
        <w:t xml:space="preserve">.  </w:t>
      </w:r>
      <w:r w:rsidRPr="00F50D36">
        <w:rPr>
          <w:rFonts w:ascii="Times New Roman"/>
          <w:kern w:val="0"/>
          <w:lang w:val="en-HK"/>
        </w:rPr>
        <w:t xml:space="preserve">Wages and labour earnings </w:t>
      </w:r>
      <w:r w:rsidR="00F3249B" w:rsidRPr="00F3249B">
        <w:rPr>
          <w:rFonts w:ascii="Times New Roman"/>
          <w:kern w:val="0"/>
          <w:lang w:val="en-HK"/>
        </w:rPr>
        <w:t>continued to record decent increases in the second quarter over a year earlier</w:t>
      </w:r>
      <w:r w:rsidR="00746645" w:rsidRPr="00F50D36">
        <w:rPr>
          <w:rFonts w:ascii="Times New Roman"/>
          <w:kern w:val="0"/>
          <w:lang w:val="en-HK"/>
        </w:rPr>
        <w:t xml:space="preserve">.  </w:t>
      </w:r>
      <w:r w:rsidRPr="00F50D36">
        <w:rPr>
          <w:rFonts w:ascii="Times New Roman"/>
          <w:kern w:val="0"/>
          <w:lang w:val="en-HK"/>
        </w:rPr>
        <w:t xml:space="preserve">More recent General Household Survey data </w:t>
      </w:r>
      <w:r w:rsidR="002A34F7" w:rsidRPr="00F50D36">
        <w:rPr>
          <w:rFonts w:ascii="Times New Roman"/>
          <w:kern w:val="0"/>
          <w:lang w:val="en-HK"/>
        </w:rPr>
        <w:t xml:space="preserve">indicated that </w:t>
      </w:r>
      <w:r w:rsidR="00F3249B" w:rsidRPr="00F3249B">
        <w:rPr>
          <w:rFonts w:ascii="Times New Roman"/>
          <w:kern w:val="0"/>
          <w:lang w:val="en-HK"/>
        </w:rPr>
        <w:t>employment earnings continued to record solid growth in the third quarter over a year earlier</w:t>
      </w:r>
      <w:r w:rsidR="00746645" w:rsidRPr="00F50D36">
        <w:rPr>
          <w:rFonts w:ascii="Times New Roman"/>
          <w:kern w:val="0"/>
          <w:lang w:val="en-HK"/>
        </w:rPr>
        <w:t>.</w:t>
      </w:r>
    </w:p>
    <w:p w:rsidR="00577A92" w:rsidRDefault="00577A92" w:rsidP="00B3589D">
      <w:pPr>
        <w:tabs>
          <w:tab w:val="num" w:pos="1080"/>
        </w:tabs>
        <w:autoSpaceDE w:val="0"/>
        <w:autoSpaceDN w:val="0"/>
        <w:adjustRightInd w:val="0"/>
        <w:spacing w:afterLines="50" w:after="180" w:line="240" w:lineRule="atLeast"/>
        <w:jc w:val="both"/>
        <w:rPr>
          <w:b/>
          <w:sz w:val="28"/>
          <w:szCs w:val="20"/>
        </w:rPr>
      </w:pPr>
    </w:p>
    <w:p w:rsidR="00E67131" w:rsidRDefault="00E67131" w:rsidP="00AA3189">
      <w:pPr>
        <w:rPr>
          <w:b/>
          <w:sz w:val="28"/>
          <w:szCs w:val="20"/>
        </w:rPr>
      </w:pPr>
      <w:r w:rsidRPr="004110C3">
        <w:rPr>
          <w:b/>
          <w:sz w:val="28"/>
          <w:szCs w:val="20"/>
        </w:rPr>
        <w:t>The asset markets</w:t>
      </w:r>
      <w:r w:rsidR="00041CD7">
        <w:rPr>
          <w:b/>
          <w:sz w:val="28"/>
          <w:szCs w:val="20"/>
        </w:rPr>
        <w:t xml:space="preserve"> </w:t>
      </w:r>
    </w:p>
    <w:p w:rsidR="00AA3189" w:rsidRPr="00E3684C" w:rsidRDefault="00AA3189" w:rsidP="00AA3189">
      <w:pPr>
        <w:rPr>
          <w:b/>
          <w:sz w:val="28"/>
          <w:szCs w:val="20"/>
        </w:rPr>
      </w:pPr>
    </w:p>
    <w:p w:rsidR="007472D2" w:rsidRPr="00987D5D" w:rsidRDefault="002B34A3" w:rsidP="00CC77BD">
      <w:pPr>
        <w:pStyle w:val="BodyText"/>
        <w:numPr>
          <w:ilvl w:val="1"/>
          <w:numId w:val="19"/>
        </w:numPr>
        <w:tabs>
          <w:tab w:val="left" w:pos="1260"/>
        </w:tabs>
        <w:overflowPunct w:val="0"/>
        <w:ind w:left="0" w:right="28" w:firstLine="0"/>
        <w:jc w:val="both"/>
        <w:rPr>
          <w:rFonts w:ascii="Times New Roman"/>
          <w:kern w:val="0"/>
          <w:lang w:val="en-GB" w:eastAsia="zh-HK"/>
        </w:rPr>
      </w:pPr>
      <w:r w:rsidRPr="008F1A92">
        <w:rPr>
          <w:rFonts w:ascii="Times New Roman"/>
          <w:kern w:val="0"/>
          <w:lang w:val="en-GB"/>
        </w:rPr>
        <w:t xml:space="preserve">The </w:t>
      </w:r>
      <w:r w:rsidRPr="008F1A92">
        <w:rPr>
          <w:rFonts w:ascii="Times New Roman"/>
          <w:i/>
          <w:kern w:val="0"/>
          <w:lang w:val="en-GB"/>
        </w:rPr>
        <w:t>local stock market</w:t>
      </w:r>
      <w:r w:rsidRPr="008F1A92">
        <w:rPr>
          <w:rFonts w:ascii="Times New Roman"/>
          <w:kern w:val="0"/>
          <w:lang w:val="en-GB"/>
        </w:rPr>
        <w:t xml:space="preserve"> </w:t>
      </w:r>
      <w:r w:rsidR="004525C4" w:rsidRPr="004525C4">
        <w:rPr>
          <w:rFonts w:ascii="Times New Roman"/>
          <w:kern w:val="0"/>
          <w:lang w:val="en-GB"/>
        </w:rPr>
        <w:t xml:space="preserve">stayed soft on entering the third quarter </w:t>
      </w:r>
      <w:r w:rsidR="004525C4">
        <w:rPr>
          <w:rFonts w:ascii="Times New Roman"/>
          <w:kern w:val="0"/>
          <w:lang w:val="en-GB"/>
        </w:rPr>
        <w:t xml:space="preserve">of 2024 </w:t>
      </w:r>
      <w:r w:rsidR="004525C4" w:rsidRPr="004525C4">
        <w:rPr>
          <w:rFonts w:ascii="Times New Roman"/>
          <w:kern w:val="0"/>
          <w:lang w:val="en-GB"/>
        </w:rPr>
        <w:t>amid uncertainties surrounding the pace of US interest rate cuts and the economic outlook of major economies.  The HSI was range-bound between 17</w:t>
      </w:r>
      <w:r w:rsidR="003E0722">
        <w:rPr>
          <w:rFonts w:ascii="Times New Roman"/>
          <w:kern w:val="0"/>
        </w:rPr>
        <w:t> </w:t>
      </w:r>
      <w:r w:rsidR="004525C4" w:rsidRPr="004525C4">
        <w:rPr>
          <w:rFonts w:ascii="Times New Roman"/>
          <w:kern w:val="0"/>
          <w:lang w:val="en-GB"/>
        </w:rPr>
        <w:t>000 and 18</w:t>
      </w:r>
      <w:r w:rsidR="003E0722">
        <w:rPr>
          <w:rFonts w:ascii="Times New Roman"/>
          <w:kern w:val="0"/>
        </w:rPr>
        <w:t> </w:t>
      </w:r>
      <w:r w:rsidR="004525C4" w:rsidRPr="004525C4">
        <w:rPr>
          <w:rFonts w:ascii="Times New Roman"/>
          <w:kern w:val="0"/>
          <w:lang w:val="en-GB"/>
        </w:rPr>
        <w:t xml:space="preserve">000 during most of the quarter.  Following the US’ rate cut by 50 basis points on 18 September and the Mainland’s </w:t>
      </w:r>
      <w:r w:rsidR="00E66DF2">
        <w:rPr>
          <w:rFonts w:ascii="Times New Roman"/>
          <w:kern w:val="0"/>
          <w:lang w:val="en-GB"/>
        </w:rPr>
        <w:t xml:space="preserve">subsequent </w:t>
      </w:r>
      <w:r w:rsidR="004525C4" w:rsidRPr="004525C4">
        <w:rPr>
          <w:rFonts w:ascii="Times New Roman"/>
          <w:kern w:val="0"/>
          <w:lang w:val="en-GB"/>
        </w:rPr>
        <w:t>announcement of a package of measures to shore up the economy and capital markets, market sentiment improved visibly and the HSI jumped to close the quarter at 21</w:t>
      </w:r>
      <w:r w:rsidR="004525C4">
        <w:rPr>
          <w:rFonts w:ascii="Times New Roman"/>
          <w:kern w:val="0"/>
          <w:lang w:val="en-GB"/>
        </w:rPr>
        <w:t> </w:t>
      </w:r>
      <w:r w:rsidR="004525C4" w:rsidRPr="004525C4">
        <w:rPr>
          <w:rFonts w:ascii="Times New Roman"/>
          <w:kern w:val="0"/>
          <w:lang w:val="en-GB"/>
        </w:rPr>
        <w:t>134, 19.3% higher than end-June</w:t>
      </w:r>
      <w:r w:rsidR="00F2658C" w:rsidRPr="00F2658C">
        <w:rPr>
          <w:rFonts w:ascii="Times New Roman"/>
          <w:kern w:val="0"/>
          <w:lang w:val="en-GB"/>
        </w:rPr>
        <w:t>.</w:t>
      </w:r>
      <w:r w:rsidR="00D168F3" w:rsidRPr="008F1A92">
        <w:rPr>
          <w:rFonts w:ascii="Times New Roman"/>
          <w:kern w:val="0"/>
          <w:lang w:val="en-GB"/>
        </w:rPr>
        <w:t xml:space="preserve">  Trading </w:t>
      </w:r>
      <w:r w:rsidR="00904153">
        <w:rPr>
          <w:rFonts w:ascii="Times New Roman"/>
          <w:kern w:val="0"/>
          <w:lang w:val="en-GB"/>
        </w:rPr>
        <w:t xml:space="preserve">activities </w:t>
      </w:r>
      <w:r w:rsidR="004525C4" w:rsidRPr="004525C4">
        <w:rPr>
          <w:rFonts w:ascii="Times New Roman"/>
          <w:kern w:val="0"/>
          <w:lang w:val="en-GB"/>
        </w:rPr>
        <w:t xml:space="preserve">turned more active towards the quarter-end, with daily turnover reaching </w:t>
      </w:r>
      <w:r w:rsidR="00C96F03">
        <w:rPr>
          <w:rFonts w:ascii="Times New Roman"/>
          <w:kern w:val="0"/>
          <w:lang w:val="en-GB"/>
        </w:rPr>
        <w:t>a</w:t>
      </w:r>
      <w:r w:rsidR="00C96F03" w:rsidRPr="004525C4">
        <w:rPr>
          <w:rFonts w:ascii="Times New Roman"/>
          <w:kern w:val="0"/>
          <w:lang w:val="en-GB"/>
        </w:rPr>
        <w:t xml:space="preserve"> </w:t>
      </w:r>
      <w:r w:rsidR="004525C4" w:rsidRPr="004525C4">
        <w:rPr>
          <w:rFonts w:ascii="Times New Roman"/>
          <w:kern w:val="0"/>
          <w:lang w:val="en-GB"/>
        </w:rPr>
        <w:t xml:space="preserve">record-high of $505.9 billion </w:t>
      </w:r>
      <w:r w:rsidR="00094E76">
        <w:rPr>
          <w:rFonts w:ascii="Times New Roman"/>
          <w:kern w:val="0"/>
          <w:lang w:val="en-GB"/>
        </w:rPr>
        <w:t>on</w:t>
      </w:r>
      <w:r w:rsidR="00094E76" w:rsidRPr="004525C4">
        <w:rPr>
          <w:rFonts w:ascii="Times New Roman"/>
          <w:kern w:val="0"/>
          <w:lang w:val="en-GB"/>
        </w:rPr>
        <w:t xml:space="preserve"> </w:t>
      </w:r>
      <w:r w:rsidR="004525C4" w:rsidRPr="004525C4">
        <w:rPr>
          <w:rFonts w:ascii="Times New Roman"/>
          <w:kern w:val="0"/>
          <w:lang w:val="en-GB"/>
        </w:rPr>
        <w:t>the last trading day</w:t>
      </w:r>
      <w:r w:rsidR="00613951">
        <w:rPr>
          <w:rFonts w:ascii="Times New Roman"/>
          <w:kern w:val="0"/>
          <w:lang w:val="en-GB"/>
        </w:rPr>
        <w:t>.</w:t>
      </w:r>
      <w:r w:rsidR="0048493A">
        <w:rPr>
          <w:rFonts w:ascii="Times New Roman"/>
          <w:kern w:val="0"/>
          <w:lang w:val="en-GB"/>
        </w:rPr>
        <w:t xml:space="preserve"> </w:t>
      </w:r>
      <w:r w:rsidR="00267796" w:rsidRPr="00267796">
        <w:rPr>
          <w:rFonts w:ascii="Times New Roman"/>
          <w:kern w:val="0"/>
          <w:lang w:val="en-GB"/>
        </w:rPr>
        <w:t xml:space="preserve"> </w:t>
      </w:r>
      <w:r w:rsidR="004525C4" w:rsidRPr="004525C4">
        <w:rPr>
          <w:rFonts w:ascii="Times New Roman"/>
          <w:kern w:val="0"/>
          <w:lang w:val="en-GB"/>
        </w:rPr>
        <w:t>For the quarter as a whole</w:t>
      </w:r>
      <w:r w:rsidR="004525C4">
        <w:rPr>
          <w:rFonts w:ascii="Times New Roman"/>
          <w:bCs/>
          <w:kern w:val="0"/>
          <w:lang w:val="en-GB"/>
        </w:rPr>
        <w:t xml:space="preserve">, </w:t>
      </w:r>
      <w:r w:rsidR="00103B53" w:rsidRPr="008F1A92">
        <w:rPr>
          <w:rFonts w:ascii="Times New Roman"/>
          <w:kern w:val="0"/>
          <w:lang w:val="en-GB"/>
        </w:rPr>
        <w:t>a</w:t>
      </w:r>
      <w:r w:rsidR="00E21A98" w:rsidRPr="008F1A92">
        <w:rPr>
          <w:rFonts w:ascii="Times New Roman"/>
          <w:kern w:val="0"/>
          <w:lang w:val="en-GB"/>
        </w:rPr>
        <w:t xml:space="preserve">verage </w:t>
      </w:r>
      <w:r w:rsidR="004039B5" w:rsidRPr="008F1A92">
        <w:rPr>
          <w:rFonts w:ascii="Times New Roman"/>
          <w:kern w:val="0"/>
          <w:lang w:val="en-GB"/>
        </w:rPr>
        <w:t>daily turnover</w:t>
      </w:r>
      <w:r w:rsidR="00E21A98" w:rsidRPr="008F1A92">
        <w:rPr>
          <w:rFonts w:ascii="Times New Roman"/>
          <w:kern w:val="0"/>
          <w:lang w:val="en-GB"/>
        </w:rPr>
        <w:t xml:space="preserve"> </w:t>
      </w:r>
      <w:r w:rsidR="004525C4" w:rsidRPr="004525C4">
        <w:rPr>
          <w:rFonts w:ascii="Times New Roman"/>
          <w:kern w:val="0"/>
          <w:lang w:val="en-GB"/>
        </w:rPr>
        <w:t>contracted slightly by 2.3% from the preceding quarter to $118.8 billion, though up 20.7% over a year earlier</w:t>
      </w:r>
      <w:r w:rsidR="009E6253" w:rsidRPr="008F1A92">
        <w:rPr>
          <w:rFonts w:ascii="Times New Roman"/>
          <w:kern w:val="0"/>
          <w:lang w:val="en-GB"/>
        </w:rPr>
        <w:t xml:space="preserve">.  </w:t>
      </w:r>
      <w:r w:rsidR="00D168F3" w:rsidRPr="008F1A92">
        <w:rPr>
          <w:rFonts w:ascii="Times New Roman"/>
          <w:kern w:val="0"/>
          <w:lang w:val="en-GB"/>
        </w:rPr>
        <w:t xml:space="preserve">Fund raising activities </w:t>
      </w:r>
      <w:r w:rsidR="004525C4" w:rsidRPr="004525C4">
        <w:rPr>
          <w:rFonts w:ascii="Times New Roman" w:hint="eastAsia"/>
          <w:kern w:val="0"/>
          <w:lang w:val="en-GB"/>
        </w:rPr>
        <w:t>p</w:t>
      </w:r>
      <w:r w:rsidR="004525C4" w:rsidRPr="004525C4">
        <w:rPr>
          <w:rFonts w:ascii="Times New Roman"/>
          <w:kern w:val="0"/>
          <w:lang w:val="en-GB"/>
        </w:rPr>
        <w:t>icked up notably</w:t>
      </w:r>
      <w:r w:rsidR="00EE016F">
        <w:rPr>
          <w:rFonts w:ascii="Times New Roman"/>
          <w:kern w:val="0"/>
          <w:lang w:val="en-GB"/>
        </w:rPr>
        <w:t>.</w:t>
      </w:r>
    </w:p>
    <w:p w:rsidR="005F17A0" w:rsidRPr="00987D5D" w:rsidRDefault="005F17A0" w:rsidP="00355E94">
      <w:pPr>
        <w:pStyle w:val="BodyText"/>
        <w:tabs>
          <w:tab w:val="left" w:pos="1260"/>
        </w:tabs>
        <w:ind w:right="26"/>
        <w:jc w:val="both"/>
        <w:rPr>
          <w:rFonts w:ascii="Times New Roman"/>
          <w:kern w:val="0"/>
          <w:lang w:val="en-GB" w:eastAsia="zh-HK"/>
        </w:rPr>
      </w:pPr>
    </w:p>
    <w:p w:rsidR="005F430D" w:rsidRPr="000673B8" w:rsidRDefault="00DD3BFC" w:rsidP="0067748F">
      <w:pPr>
        <w:pStyle w:val="BodyText"/>
        <w:numPr>
          <w:ilvl w:val="1"/>
          <w:numId w:val="19"/>
        </w:numPr>
        <w:tabs>
          <w:tab w:val="left" w:pos="1260"/>
        </w:tabs>
        <w:overflowPunct w:val="0"/>
        <w:ind w:left="0" w:right="28" w:firstLine="0"/>
        <w:jc w:val="both"/>
        <w:rPr>
          <w:rFonts w:ascii="Times New Roman"/>
          <w:kern w:val="0"/>
          <w:lang w:val="en-GB"/>
        </w:rPr>
      </w:pPr>
      <w:r w:rsidRPr="000673B8">
        <w:rPr>
          <w:rFonts w:ascii="Times New Roman"/>
          <w:kern w:val="0"/>
          <w:lang w:val="en-GB"/>
        </w:rPr>
        <w:t xml:space="preserve">The </w:t>
      </w:r>
      <w:r w:rsidRPr="000673B8">
        <w:rPr>
          <w:rFonts w:ascii="Times New Roman"/>
          <w:i/>
          <w:kern w:val="0"/>
          <w:lang w:val="en-GB"/>
        </w:rPr>
        <w:t>residential property market</w:t>
      </w:r>
      <w:r w:rsidRPr="000673B8">
        <w:rPr>
          <w:rFonts w:ascii="Times New Roman"/>
          <w:kern w:val="0"/>
          <w:lang w:val="en-GB"/>
        </w:rPr>
        <w:t xml:space="preserve"> </w:t>
      </w:r>
      <w:r w:rsidR="00305795" w:rsidRPr="000673B8">
        <w:rPr>
          <w:rFonts w:ascii="Times New Roman"/>
          <w:kern w:val="0"/>
          <w:lang w:val="en-GB"/>
        </w:rPr>
        <w:t xml:space="preserve">was quiet for most of the third quarter, but market sentiment improved </w:t>
      </w:r>
      <w:r w:rsidR="00B01119" w:rsidRPr="000673B8">
        <w:rPr>
          <w:rFonts w:ascii="Times New Roman"/>
          <w:kern w:val="0"/>
          <w:lang w:val="en-GB"/>
        </w:rPr>
        <w:t xml:space="preserve">and developers stepped up launches of new projects </w:t>
      </w:r>
      <w:r w:rsidR="00305795" w:rsidRPr="000673B8">
        <w:rPr>
          <w:rFonts w:ascii="Times New Roman"/>
          <w:kern w:val="0"/>
          <w:lang w:val="en-GB"/>
        </w:rPr>
        <w:t>after the US</w:t>
      </w:r>
      <w:r w:rsidR="00A637C6" w:rsidRPr="000673B8">
        <w:rPr>
          <w:rFonts w:ascii="Times New Roman"/>
          <w:kern w:val="0"/>
          <w:lang w:val="en-GB"/>
        </w:rPr>
        <w:t>’</w:t>
      </w:r>
      <w:r w:rsidR="00305795" w:rsidRPr="000673B8">
        <w:rPr>
          <w:rFonts w:ascii="Times New Roman"/>
          <w:kern w:val="0"/>
          <w:lang w:val="en-GB"/>
        </w:rPr>
        <w:t xml:space="preserve"> rate cut in September.  </w:t>
      </w:r>
      <w:r w:rsidR="00305795" w:rsidRPr="000673B8">
        <w:rPr>
          <w:rFonts w:ascii="Times New Roman" w:hint="eastAsia"/>
          <w:kern w:val="0"/>
          <w:lang w:val="en-GB"/>
        </w:rPr>
        <w:t>For the quarter as a whole</w:t>
      </w:r>
      <w:r w:rsidR="00305795" w:rsidRPr="000673B8">
        <w:rPr>
          <w:rFonts w:ascii="Times New Roman"/>
          <w:kern w:val="0"/>
          <w:lang w:val="en-GB"/>
        </w:rPr>
        <w:t>, trading activities were lower than the preceding quarter, while flat prices remained soft</w:t>
      </w:r>
      <w:r w:rsidR="008314F8" w:rsidRPr="000673B8">
        <w:rPr>
          <w:rFonts w:ascii="Times New Roman"/>
          <w:kern w:val="0"/>
          <w:lang w:val="en-GB"/>
        </w:rPr>
        <w:t xml:space="preserve">.  </w:t>
      </w:r>
      <w:r w:rsidR="00AA3EEF" w:rsidRPr="000673B8">
        <w:rPr>
          <w:rFonts w:ascii="Times New Roman"/>
          <w:kern w:val="0"/>
          <w:lang w:val="en-GB"/>
        </w:rPr>
        <w:t>T</w:t>
      </w:r>
      <w:r w:rsidR="008314F8" w:rsidRPr="000673B8">
        <w:rPr>
          <w:rFonts w:ascii="Times New Roman" w:hint="eastAsia"/>
          <w:kern w:val="0"/>
          <w:lang w:val="en-GB"/>
        </w:rPr>
        <w:t xml:space="preserve">he </w:t>
      </w:r>
      <w:r w:rsidR="00A809A0" w:rsidRPr="000673B8">
        <w:rPr>
          <w:rFonts w:ascii="Times New Roman" w:hint="eastAsia"/>
          <w:kern w:val="0"/>
          <w:lang w:val="en-GB"/>
        </w:rPr>
        <w:t>number of transactions, in terms of the total number of sale and purchase agreements for residential property received by the Land Registry,</w:t>
      </w:r>
      <w:r w:rsidR="003F6EBF" w:rsidRPr="000673B8">
        <w:rPr>
          <w:rFonts w:ascii="Times New Roman"/>
          <w:szCs w:val="28"/>
          <w:lang w:val="en-GB"/>
        </w:rPr>
        <w:t xml:space="preserve"> </w:t>
      </w:r>
      <w:r w:rsidR="00305795" w:rsidRPr="000673B8">
        <w:rPr>
          <w:rFonts w:ascii="Times New Roman"/>
          <w:szCs w:val="28"/>
          <w:lang w:val="en-GB"/>
        </w:rPr>
        <w:t>retreated by 43% from the preceding quarter to 10 225 in the third quarter, though still 11% higher than a year earlier</w:t>
      </w:r>
      <w:r w:rsidRPr="000673B8">
        <w:rPr>
          <w:rFonts w:ascii="Times New Roman"/>
          <w:szCs w:val="28"/>
          <w:lang w:val="en-GB"/>
        </w:rPr>
        <w:t>.</w:t>
      </w:r>
      <w:r w:rsidR="000C5A75" w:rsidRPr="000673B8">
        <w:rPr>
          <w:rFonts w:ascii="Times New Roman"/>
          <w:szCs w:val="28"/>
          <w:lang w:val="en-GB"/>
        </w:rPr>
        <w:t xml:space="preserve">  </w:t>
      </w:r>
      <w:r w:rsidR="00AA3EEF" w:rsidRPr="000673B8">
        <w:rPr>
          <w:rFonts w:ascii="Times New Roman"/>
          <w:szCs w:val="28"/>
          <w:lang w:val="en-GB"/>
        </w:rPr>
        <w:t xml:space="preserve">Overall flat prices </w:t>
      </w:r>
      <w:r w:rsidR="00305795" w:rsidRPr="000673B8">
        <w:rPr>
          <w:rFonts w:ascii="Times New Roman"/>
          <w:szCs w:val="28"/>
          <w:lang w:val="en-GB"/>
        </w:rPr>
        <w:t>declined by 5% during the quarter</w:t>
      </w:r>
      <w:r w:rsidRPr="000673B8">
        <w:rPr>
          <w:rFonts w:ascii="Times New Roman"/>
          <w:szCs w:val="28"/>
          <w:lang w:val="en-GB"/>
        </w:rPr>
        <w:t>.</w:t>
      </w:r>
      <w:r w:rsidR="000C5A75" w:rsidRPr="000673B8">
        <w:rPr>
          <w:rFonts w:ascii="Times New Roman"/>
          <w:kern w:val="0"/>
          <w:lang w:val="en-GB"/>
        </w:rPr>
        <w:t xml:space="preserve">  </w:t>
      </w:r>
      <w:r w:rsidR="004A30B1" w:rsidRPr="000673B8">
        <w:rPr>
          <w:rFonts w:ascii="Times New Roman"/>
          <w:kern w:val="0"/>
          <w:lang w:val="en-GB"/>
        </w:rPr>
        <w:t>T</w:t>
      </w:r>
      <w:r w:rsidR="00A3485C" w:rsidRPr="000673B8">
        <w:rPr>
          <w:rFonts w:ascii="Times New Roman"/>
          <w:kern w:val="0"/>
          <w:lang w:val="en-GB"/>
        </w:rPr>
        <w:t>he</w:t>
      </w:r>
      <w:r w:rsidR="00A3485C" w:rsidRPr="000673B8">
        <w:rPr>
          <w:rFonts w:ascii="Times New Roman" w:hint="eastAsia"/>
          <w:kern w:val="0"/>
          <w:lang w:val="en-GB"/>
        </w:rPr>
        <w:t xml:space="preserve"> index of</w:t>
      </w:r>
      <w:r w:rsidR="00A3485C" w:rsidRPr="000673B8">
        <w:rPr>
          <w:rFonts w:ascii="Times New Roman"/>
          <w:kern w:val="0"/>
          <w:lang w:val="en-GB"/>
        </w:rPr>
        <w:t xml:space="preserve"> home purchase affordability </w:t>
      </w:r>
      <w:r w:rsidR="006645C7" w:rsidRPr="000673B8">
        <w:rPr>
          <w:rFonts w:ascii="Times New Roman"/>
          <w:kern w:val="0"/>
          <w:lang w:val="en-GB"/>
        </w:rPr>
        <w:t>improved</w:t>
      </w:r>
      <w:r w:rsidR="00305795" w:rsidRPr="000673B8">
        <w:rPr>
          <w:rFonts w:ascii="Times New Roman"/>
          <w:kern w:val="0"/>
          <w:lang w:val="en-GB"/>
        </w:rPr>
        <w:t xml:space="preserve"> to around </w:t>
      </w:r>
      <w:r w:rsidR="000F01D0">
        <w:rPr>
          <w:rFonts w:ascii="Times New Roman"/>
          <w:kern w:val="0"/>
          <w:lang w:val="en-GB"/>
        </w:rPr>
        <w:t>62</w:t>
      </w:r>
      <w:r w:rsidR="00305795" w:rsidRPr="000673B8">
        <w:rPr>
          <w:rFonts w:ascii="Times New Roman"/>
          <w:kern w:val="0"/>
          <w:lang w:val="en-GB"/>
        </w:rPr>
        <w:t>% in the quarter alongside the fall in flat prices, but it remained above the long</w:t>
      </w:r>
      <w:r w:rsidR="00305795" w:rsidRPr="000673B8">
        <w:rPr>
          <w:rFonts w:ascii="Times New Roman"/>
          <w:kern w:val="0"/>
          <w:lang w:val="en-GB"/>
        </w:rPr>
        <w:noBreakHyphen/>
        <w:t>term average of 54% over 2004</w:t>
      </w:r>
      <w:r w:rsidR="00305795" w:rsidRPr="000673B8">
        <w:rPr>
          <w:rFonts w:ascii="Times New Roman"/>
          <w:kern w:val="0"/>
          <w:lang w:val="en-GB"/>
        </w:rPr>
        <w:noBreakHyphen/>
        <w:t>2023</w:t>
      </w:r>
      <w:r w:rsidR="00A3485C" w:rsidRPr="000673B8">
        <w:rPr>
          <w:rFonts w:ascii="Times New Roman"/>
          <w:kern w:val="0"/>
          <w:lang w:val="en-GB"/>
        </w:rPr>
        <w:t>.</w:t>
      </w:r>
      <w:r w:rsidR="00E51BD0" w:rsidRPr="000673B8">
        <w:rPr>
          <w:rFonts w:ascii="Times New Roman"/>
          <w:kern w:val="0"/>
          <w:lang w:val="en-GB"/>
        </w:rPr>
        <w:t xml:space="preserve">  </w:t>
      </w:r>
      <w:r w:rsidR="00AA3EEF" w:rsidRPr="000673B8">
        <w:rPr>
          <w:rFonts w:ascii="Times New Roman"/>
          <w:kern w:val="0"/>
          <w:lang w:val="en-GB"/>
        </w:rPr>
        <w:t xml:space="preserve">Meanwhile, overall flat rentals </w:t>
      </w:r>
      <w:r w:rsidR="00187C15" w:rsidRPr="000673B8">
        <w:rPr>
          <w:rFonts w:ascii="Times New Roman"/>
          <w:kern w:val="0"/>
          <w:lang w:val="en-GB"/>
        </w:rPr>
        <w:t>increased further by 2% during the quarter</w:t>
      </w:r>
      <w:r w:rsidR="00325C2F" w:rsidRPr="000673B8">
        <w:rPr>
          <w:rFonts w:ascii="Times New Roman"/>
          <w:kern w:val="0"/>
          <w:lang w:val="en-GB"/>
        </w:rPr>
        <w:t xml:space="preserve">.  </w:t>
      </w:r>
      <w:r w:rsidR="00427AC9" w:rsidRPr="000673B8">
        <w:rPr>
          <w:rFonts w:ascii="Times New Roman"/>
          <w:bCs/>
          <w:kern w:val="0"/>
          <w:lang w:val="en-GB"/>
        </w:rPr>
        <w:t xml:space="preserve">The </w:t>
      </w:r>
      <w:r w:rsidR="00427AC9" w:rsidRPr="000673B8">
        <w:rPr>
          <w:rFonts w:ascii="Times New Roman"/>
          <w:bCs/>
          <w:i/>
          <w:kern w:val="0"/>
          <w:lang w:val="en-GB"/>
        </w:rPr>
        <w:t>non-residential property market</w:t>
      </w:r>
      <w:r w:rsidR="00427AC9" w:rsidRPr="000673B8">
        <w:rPr>
          <w:rFonts w:ascii="Times New Roman"/>
          <w:bCs/>
          <w:kern w:val="0"/>
          <w:lang w:val="en-GB"/>
        </w:rPr>
        <w:t xml:space="preserve"> </w:t>
      </w:r>
      <w:r w:rsidR="00187C15" w:rsidRPr="000673B8">
        <w:rPr>
          <w:rFonts w:ascii="Times New Roman"/>
          <w:bCs/>
          <w:kern w:val="0"/>
          <w:lang w:val="en-GB"/>
        </w:rPr>
        <w:t xml:space="preserve">stayed weak.  Trading activities for all major market segments remained subdued.  </w:t>
      </w:r>
      <w:r w:rsidR="00C96F03" w:rsidRPr="000673B8">
        <w:rPr>
          <w:rFonts w:ascii="Times New Roman"/>
          <w:bCs/>
          <w:kern w:val="0"/>
          <w:lang w:val="en-GB"/>
        </w:rPr>
        <w:t>Prices and rentals stayed soft</w:t>
      </w:r>
      <w:r w:rsidR="00187C15" w:rsidRPr="000673B8">
        <w:rPr>
          <w:rFonts w:ascii="Times New Roman"/>
          <w:bCs/>
          <w:kern w:val="0"/>
          <w:lang w:val="en-GB"/>
        </w:rPr>
        <w:t>.</w:t>
      </w:r>
      <w:bookmarkStart w:id="0" w:name="_GoBack"/>
      <w:bookmarkEnd w:id="0"/>
    </w:p>
    <w:p w:rsidR="00421F52" w:rsidRDefault="00421F52" w:rsidP="0007769F">
      <w:pPr>
        <w:rPr>
          <w:b/>
          <w:sz w:val="28"/>
          <w:szCs w:val="20"/>
        </w:rPr>
      </w:pPr>
      <w:r w:rsidRPr="004110C3">
        <w:rPr>
          <w:b/>
          <w:sz w:val="28"/>
          <w:szCs w:val="20"/>
        </w:rPr>
        <w:lastRenderedPageBreak/>
        <w:t>Inflation</w:t>
      </w:r>
      <w:r w:rsidR="00A546C4">
        <w:rPr>
          <w:b/>
          <w:sz w:val="28"/>
          <w:szCs w:val="20"/>
        </w:rPr>
        <w:t xml:space="preserve"> </w:t>
      </w:r>
    </w:p>
    <w:p w:rsidR="00AA3189" w:rsidRDefault="00AA3189" w:rsidP="00AA3189">
      <w:pPr>
        <w:rPr>
          <w:b/>
          <w:sz w:val="28"/>
          <w:szCs w:val="20"/>
        </w:rPr>
      </w:pPr>
    </w:p>
    <w:p w:rsidR="00CC77BD" w:rsidRDefault="00AF0FCE" w:rsidP="00CC77BD">
      <w:pPr>
        <w:pStyle w:val="BodyText"/>
        <w:numPr>
          <w:ilvl w:val="1"/>
          <w:numId w:val="19"/>
        </w:numPr>
        <w:tabs>
          <w:tab w:val="left" w:pos="1260"/>
        </w:tabs>
        <w:overflowPunct w:val="0"/>
        <w:ind w:left="0" w:right="28" w:firstLine="0"/>
        <w:jc w:val="both"/>
      </w:pPr>
      <w:r w:rsidRPr="00AF0FCE">
        <w:rPr>
          <w:rFonts w:ascii="Times New Roman"/>
          <w:kern w:val="0"/>
          <w:lang w:val="en-GB"/>
        </w:rPr>
        <w:t xml:space="preserve">Underlying consumer price inflation </w:t>
      </w:r>
      <w:r w:rsidR="0064702D" w:rsidRPr="0064702D">
        <w:rPr>
          <w:rFonts w:ascii="Times New Roman"/>
          <w:kern w:val="0"/>
          <w:lang w:val="en-GB"/>
        </w:rPr>
        <w:t xml:space="preserve">remained modest </w:t>
      </w:r>
      <w:r w:rsidR="000D1C12">
        <w:rPr>
          <w:rFonts w:ascii="Times New Roman"/>
          <w:kern w:val="0"/>
          <w:lang w:val="en-GB"/>
        </w:rPr>
        <w:t xml:space="preserve">in overall terms </w:t>
      </w:r>
      <w:r w:rsidR="0064702D" w:rsidRPr="0064702D">
        <w:rPr>
          <w:rFonts w:ascii="Times New Roman"/>
          <w:kern w:val="0"/>
          <w:lang w:val="en-GB"/>
        </w:rPr>
        <w:t xml:space="preserve">in the </w:t>
      </w:r>
      <w:r w:rsidR="000D1C12">
        <w:rPr>
          <w:rFonts w:ascii="Times New Roman"/>
          <w:kern w:val="0"/>
          <w:lang w:val="en-GB"/>
        </w:rPr>
        <w:t>third</w:t>
      </w:r>
      <w:r w:rsidR="0064702D" w:rsidRPr="0064702D">
        <w:rPr>
          <w:rFonts w:ascii="Times New Roman"/>
          <w:kern w:val="0"/>
          <w:lang w:val="en-GB"/>
        </w:rPr>
        <w:t xml:space="preserve"> quarter of 2024.  </w:t>
      </w:r>
      <w:r w:rsidR="000D1C12" w:rsidRPr="000D1C12">
        <w:rPr>
          <w:rFonts w:ascii="Times New Roman"/>
          <w:kern w:val="0"/>
          <w:lang w:val="en-GB"/>
        </w:rPr>
        <w:t xml:space="preserve">Prices of meals out and takeaway food increased at a moderated pace over a year earlier.  Increases in private housing rentals remained small.  Prices of electricity continued to record visible decline.  Price pressures on other major components were generally in check.  </w:t>
      </w:r>
      <w:r w:rsidR="00CC77BD" w:rsidRPr="00CC77BD">
        <w:rPr>
          <w:rFonts w:ascii="Times New Roman"/>
          <w:kern w:val="0"/>
          <w:lang w:val="en-GB"/>
        </w:rPr>
        <w:t xml:space="preserve">Netting out the </w:t>
      </w:r>
      <w:r w:rsidR="00CC77BD" w:rsidRPr="009D1CC2">
        <w:rPr>
          <w:rFonts w:ascii="Times New Roman"/>
          <w:kern w:val="0"/>
          <w:lang w:val="en-GB"/>
        </w:rPr>
        <w:t xml:space="preserve">effects of the Government’s one-off relief measures, </w:t>
      </w:r>
      <w:r w:rsidR="0064702D">
        <w:rPr>
          <w:rFonts w:ascii="Times New Roman"/>
          <w:kern w:val="0"/>
          <w:lang w:val="en-GB"/>
        </w:rPr>
        <w:t xml:space="preserve">the </w:t>
      </w:r>
      <w:r w:rsidR="00CC77BD" w:rsidRPr="009D1CC2">
        <w:rPr>
          <w:rFonts w:ascii="Times New Roman"/>
          <w:i/>
          <w:kern w:val="0"/>
          <w:lang w:val="en-GB"/>
        </w:rPr>
        <w:t xml:space="preserve">underlying Composite </w:t>
      </w:r>
      <w:r w:rsidR="00C311E0">
        <w:rPr>
          <w:rFonts w:ascii="Times New Roman"/>
          <w:i/>
          <w:kern w:val="0"/>
          <w:lang w:val="en-GB"/>
        </w:rPr>
        <w:t xml:space="preserve">Consumer Price Index (Composite </w:t>
      </w:r>
      <w:r w:rsidR="00CC77BD" w:rsidRPr="009D1CC2">
        <w:rPr>
          <w:rFonts w:ascii="Times New Roman"/>
          <w:i/>
          <w:kern w:val="0"/>
          <w:lang w:val="en-GB"/>
        </w:rPr>
        <w:t>CPI</w:t>
      </w:r>
      <w:r w:rsidR="00C311E0">
        <w:rPr>
          <w:rFonts w:ascii="Times New Roman"/>
          <w:i/>
          <w:kern w:val="0"/>
          <w:lang w:val="en-GB"/>
        </w:rPr>
        <w:t>)</w:t>
      </w:r>
      <w:r w:rsidR="00CC77BD" w:rsidRPr="009D1CC2">
        <w:rPr>
          <w:rFonts w:ascii="Times New Roman"/>
          <w:i/>
          <w:kern w:val="0"/>
          <w:lang w:val="en-GB"/>
        </w:rPr>
        <w:t xml:space="preserve"> </w:t>
      </w:r>
      <w:r w:rsidR="0064702D">
        <w:rPr>
          <w:rFonts w:ascii="Times New Roman"/>
          <w:kern w:val="0"/>
          <w:lang w:val="en-GB"/>
        </w:rPr>
        <w:t>rose by</w:t>
      </w:r>
      <w:r w:rsidRPr="009D1CC2">
        <w:rPr>
          <w:rFonts w:ascii="Times New Roman"/>
          <w:kern w:val="0"/>
          <w:lang w:val="en-GB"/>
        </w:rPr>
        <w:t xml:space="preserve"> </w:t>
      </w:r>
      <w:r w:rsidR="000D1C12">
        <w:rPr>
          <w:rFonts w:ascii="Times New Roman"/>
          <w:kern w:val="0"/>
          <w:lang w:val="en-GB"/>
        </w:rPr>
        <w:t>1.1</w:t>
      </w:r>
      <w:r w:rsidRPr="009D1CC2">
        <w:rPr>
          <w:rFonts w:ascii="Times New Roman"/>
          <w:kern w:val="0"/>
          <w:lang w:val="en-GB"/>
        </w:rPr>
        <w:t xml:space="preserve">% </w:t>
      </w:r>
      <w:r w:rsidR="00001A89">
        <w:rPr>
          <w:rFonts w:ascii="Times New Roman"/>
          <w:kern w:val="0"/>
          <w:lang w:val="en-GB"/>
        </w:rPr>
        <w:t xml:space="preserve">year-on-year </w:t>
      </w:r>
      <w:r w:rsidRPr="009D1CC2">
        <w:rPr>
          <w:rFonts w:ascii="Times New Roman"/>
          <w:kern w:val="0"/>
          <w:lang w:val="en-GB"/>
        </w:rPr>
        <w:t xml:space="preserve">in the </w:t>
      </w:r>
      <w:r w:rsidR="000D1C12">
        <w:rPr>
          <w:rFonts w:ascii="Times New Roman"/>
          <w:kern w:val="0"/>
          <w:lang w:val="en-GB"/>
        </w:rPr>
        <w:t>third</w:t>
      </w:r>
      <w:r w:rsidRPr="009D1CC2">
        <w:rPr>
          <w:rFonts w:ascii="Times New Roman"/>
          <w:kern w:val="0"/>
          <w:lang w:val="en-GB"/>
        </w:rPr>
        <w:t xml:space="preserve"> quarter, </w:t>
      </w:r>
      <w:r w:rsidR="000D1C12" w:rsidRPr="000D1C12">
        <w:rPr>
          <w:rFonts w:ascii="Times New Roman"/>
          <w:kern w:val="0"/>
          <w:lang w:val="en-GB"/>
        </w:rPr>
        <w:t>compared with 1.0% in the preceding quarter</w:t>
      </w:r>
      <w:r w:rsidR="00CC77BD" w:rsidRPr="009D1CC2">
        <w:rPr>
          <w:rFonts w:ascii="Times New Roman"/>
          <w:kern w:val="0"/>
          <w:lang w:val="en-GB"/>
        </w:rPr>
        <w:t xml:space="preserve">.  </w:t>
      </w:r>
      <w:r w:rsidR="000D1C12" w:rsidRPr="000D1C12">
        <w:rPr>
          <w:rFonts w:ascii="Times New Roman"/>
          <w:kern w:val="0"/>
          <w:lang w:val="en-GB"/>
        </w:rPr>
        <w:t>Domestic business cost pressures remained largely contained.  While nominal wages continued to record growth</w:t>
      </w:r>
      <w:r w:rsidR="000D1C12" w:rsidRPr="000673B8">
        <w:rPr>
          <w:rFonts w:ascii="Times New Roman"/>
          <w:kern w:val="0"/>
          <w:lang w:val="en-GB"/>
        </w:rPr>
        <w:t>, commercial rentals declined.</w:t>
      </w:r>
      <w:r w:rsidR="000D1C12" w:rsidRPr="000D1C12">
        <w:rPr>
          <w:rFonts w:ascii="Times New Roman"/>
          <w:kern w:val="0"/>
          <w:lang w:val="en-GB"/>
        </w:rPr>
        <w:t xml:space="preserve">  External price pressures softened in overall terms</w:t>
      </w:r>
      <w:r w:rsidRPr="009D1CC2">
        <w:rPr>
          <w:rFonts w:ascii="Times New Roman"/>
          <w:kern w:val="0"/>
          <w:lang w:val="en-GB"/>
        </w:rPr>
        <w:t xml:space="preserve">. </w:t>
      </w:r>
      <w:r w:rsidR="006A56C0" w:rsidRPr="009D1CC2">
        <w:rPr>
          <w:rFonts w:ascii="Times New Roman"/>
          <w:kern w:val="0"/>
          <w:lang w:val="en-GB"/>
        </w:rPr>
        <w:t xml:space="preserve"> </w:t>
      </w:r>
      <w:r w:rsidR="00182F1C" w:rsidRPr="009D1CC2">
        <w:rPr>
          <w:rFonts w:ascii="Times New Roman"/>
          <w:kern w:val="0"/>
          <w:lang w:val="en-GB"/>
        </w:rPr>
        <w:t>Meanwhile</w:t>
      </w:r>
      <w:r w:rsidR="00CC77BD" w:rsidRPr="009D1CC2">
        <w:rPr>
          <w:rFonts w:ascii="Times New Roman"/>
          <w:kern w:val="0"/>
          <w:lang w:val="en-GB"/>
        </w:rPr>
        <w:t xml:space="preserve">, </w:t>
      </w:r>
      <w:r w:rsidR="00CC77BD" w:rsidRPr="009D1CC2">
        <w:rPr>
          <w:rFonts w:ascii="Times New Roman"/>
          <w:i/>
          <w:kern w:val="0"/>
          <w:lang w:val="en-GB"/>
        </w:rPr>
        <w:t xml:space="preserve">headline Composite CPI </w:t>
      </w:r>
      <w:r w:rsidR="0064702D">
        <w:rPr>
          <w:rFonts w:ascii="Times New Roman"/>
          <w:kern w:val="0"/>
          <w:lang w:val="en-GB"/>
        </w:rPr>
        <w:t>rose by</w:t>
      </w:r>
      <w:r w:rsidR="004F6D9A" w:rsidRPr="009D1CC2">
        <w:rPr>
          <w:rFonts w:ascii="Times New Roman"/>
          <w:kern w:val="0"/>
          <w:lang w:val="en-GB"/>
        </w:rPr>
        <w:t xml:space="preserve"> </w:t>
      </w:r>
      <w:r w:rsidR="000D1C12">
        <w:rPr>
          <w:rFonts w:ascii="Times New Roman"/>
          <w:kern w:val="0"/>
          <w:lang w:val="en-GB"/>
        </w:rPr>
        <w:t>2.4</w:t>
      </w:r>
      <w:r w:rsidR="004F6D9A" w:rsidRPr="009D1CC2">
        <w:rPr>
          <w:rFonts w:ascii="Times New Roman"/>
          <w:kern w:val="0"/>
          <w:lang w:val="en-GB"/>
        </w:rPr>
        <w:t xml:space="preserve">% </w:t>
      </w:r>
      <w:r w:rsidR="00E66DF2">
        <w:rPr>
          <w:rFonts w:ascii="Times New Roman"/>
          <w:kern w:val="0"/>
          <w:lang w:val="en-GB"/>
        </w:rPr>
        <w:t xml:space="preserve">year-on-year </w:t>
      </w:r>
      <w:r w:rsidR="004F6D9A" w:rsidRPr="009D1CC2">
        <w:rPr>
          <w:rFonts w:ascii="Times New Roman"/>
          <w:kern w:val="0"/>
          <w:lang w:val="en-GB"/>
        </w:rPr>
        <w:t xml:space="preserve">in the </w:t>
      </w:r>
      <w:r w:rsidR="000D1C12">
        <w:rPr>
          <w:rFonts w:ascii="Times New Roman"/>
          <w:kern w:val="0"/>
          <w:lang w:val="en-GB"/>
        </w:rPr>
        <w:t>third</w:t>
      </w:r>
      <w:r w:rsidR="00D26D18" w:rsidRPr="00D26D18">
        <w:rPr>
          <w:rFonts w:ascii="Times New Roman"/>
          <w:kern w:val="0"/>
          <w:lang w:val="en-GB"/>
        </w:rPr>
        <w:t xml:space="preserve"> quarter, compared with</w:t>
      </w:r>
      <w:r w:rsidR="00D26D18">
        <w:rPr>
          <w:rFonts w:ascii="Times New Roman"/>
          <w:kern w:val="0"/>
          <w:lang w:val="en-GB"/>
        </w:rPr>
        <w:t xml:space="preserve"> </w:t>
      </w:r>
      <w:r w:rsidR="00D26D18" w:rsidRPr="00D26D18">
        <w:rPr>
          <w:rFonts w:ascii="Times New Roman"/>
          <w:kern w:val="0"/>
          <w:lang w:val="en-GB"/>
        </w:rPr>
        <w:t>1.</w:t>
      </w:r>
      <w:r w:rsidR="000D1C12">
        <w:rPr>
          <w:rFonts w:ascii="Times New Roman"/>
          <w:kern w:val="0"/>
          <w:lang w:val="en-GB"/>
        </w:rPr>
        <w:t>2</w:t>
      </w:r>
      <w:r w:rsidR="00D26D18" w:rsidRPr="00D26D18">
        <w:rPr>
          <w:rFonts w:ascii="Times New Roman"/>
          <w:kern w:val="0"/>
          <w:lang w:val="en-GB"/>
        </w:rPr>
        <w:t>%</w:t>
      </w:r>
      <w:r w:rsidR="00D26D18">
        <w:rPr>
          <w:rFonts w:ascii="Times New Roman"/>
          <w:kern w:val="0"/>
          <w:lang w:val="en-GB"/>
        </w:rPr>
        <w:t xml:space="preserve"> </w:t>
      </w:r>
      <w:r w:rsidR="00D26D18" w:rsidRPr="00D26D18">
        <w:rPr>
          <w:rFonts w:ascii="Times New Roman"/>
          <w:kern w:val="0"/>
          <w:lang w:val="en-GB"/>
        </w:rPr>
        <w:t xml:space="preserve">in the preceding quarter.  </w:t>
      </w:r>
      <w:r w:rsidR="000D1C12" w:rsidRPr="000D1C12">
        <w:rPr>
          <w:rFonts w:ascii="Times New Roman"/>
          <w:kern w:val="0"/>
          <w:lang w:val="en-GB"/>
        </w:rPr>
        <w:t>The headline inflation was higher than its underlying counterpart by a large margin in the third quarter, as no rates concession was provided by the Government during the quarter and the electricity charges subsidy was smaller than the same period last year</w:t>
      </w:r>
      <w:r w:rsidR="003F4F02" w:rsidRPr="009D1CC2">
        <w:rPr>
          <w:rFonts w:ascii="Times New Roman"/>
          <w:kern w:val="0"/>
          <w:lang w:val="en-GB"/>
        </w:rPr>
        <w:t>.</w:t>
      </w:r>
    </w:p>
    <w:p w:rsidR="0035674F" w:rsidRPr="004110C3" w:rsidRDefault="0035674F" w:rsidP="0035674F">
      <w:pPr>
        <w:autoSpaceDE w:val="0"/>
        <w:autoSpaceDN w:val="0"/>
        <w:adjustRightInd w:val="0"/>
        <w:jc w:val="both"/>
        <w:rPr>
          <w:kern w:val="0"/>
          <w:sz w:val="28"/>
          <w:szCs w:val="28"/>
          <w:highlight w:val="yellow"/>
        </w:rPr>
      </w:pPr>
    </w:p>
    <w:p w:rsidR="00CC77BD" w:rsidRDefault="00CC77BD" w:rsidP="00CC77BD">
      <w:pPr>
        <w:pStyle w:val="BodyText"/>
        <w:numPr>
          <w:ilvl w:val="1"/>
          <w:numId w:val="19"/>
        </w:numPr>
        <w:tabs>
          <w:tab w:val="left" w:pos="1260"/>
        </w:tabs>
        <w:overflowPunct w:val="0"/>
        <w:ind w:left="0" w:right="28" w:firstLine="0"/>
        <w:jc w:val="both"/>
        <w:rPr>
          <w:szCs w:val="28"/>
        </w:rPr>
      </w:pPr>
      <w:r w:rsidRPr="00CC77BD">
        <w:rPr>
          <w:rFonts w:ascii="Times New Roman"/>
          <w:kern w:val="0"/>
          <w:lang w:val="en-GB"/>
        </w:rPr>
        <w:t>As a broad measure of the overall change in prices in the economy,</w:t>
      </w:r>
      <w:r w:rsidR="00033D0D">
        <w:rPr>
          <w:rFonts w:ascii="Times New Roman"/>
          <w:kern w:val="0"/>
          <w:lang w:val="en-GB"/>
        </w:rPr>
        <w:t xml:space="preserve"> the</w:t>
      </w:r>
      <w:r w:rsidRPr="00CC77BD">
        <w:rPr>
          <w:rFonts w:ascii="Times New Roman"/>
          <w:kern w:val="0"/>
          <w:lang w:val="en-GB"/>
        </w:rPr>
        <w:t xml:space="preserve"> </w:t>
      </w:r>
      <w:r w:rsidRPr="00CC77BD">
        <w:rPr>
          <w:rFonts w:ascii="Times New Roman"/>
          <w:i/>
          <w:kern w:val="0"/>
          <w:lang w:val="en-GB"/>
        </w:rPr>
        <w:t>GDP deflator</w:t>
      </w:r>
      <w:r w:rsidRPr="00CC77BD">
        <w:rPr>
          <w:rFonts w:ascii="Times New Roman"/>
          <w:kern w:val="0"/>
          <w:lang w:val="en-GB"/>
        </w:rPr>
        <w:t xml:space="preserve"> </w:t>
      </w:r>
      <w:r w:rsidR="00001A89" w:rsidRPr="00001A89">
        <w:rPr>
          <w:rFonts w:ascii="Times New Roman"/>
          <w:kern w:val="0"/>
          <w:lang w:val="en-GB"/>
        </w:rPr>
        <w:t xml:space="preserve">rose by </w:t>
      </w:r>
      <w:r w:rsidR="001958D5">
        <w:rPr>
          <w:rFonts w:ascii="Times New Roman"/>
          <w:kern w:val="0"/>
          <w:lang w:val="en-GB"/>
        </w:rPr>
        <w:t>4.2</w:t>
      </w:r>
      <w:r w:rsidR="00001A89" w:rsidRPr="00001A89">
        <w:rPr>
          <w:rFonts w:ascii="Times New Roman"/>
          <w:kern w:val="0"/>
          <w:lang w:val="en-GB"/>
        </w:rPr>
        <w:t xml:space="preserve">% year-on-year in the </w:t>
      </w:r>
      <w:r w:rsidR="000D1C12">
        <w:rPr>
          <w:rFonts w:ascii="Times New Roman"/>
          <w:kern w:val="0"/>
          <w:lang w:val="en-GB"/>
        </w:rPr>
        <w:t>third</w:t>
      </w:r>
      <w:r w:rsidR="005A20FE">
        <w:rPr>
          <w:rFonts w:ascii="Times New Roman"/>
          <w:kern w:val="0"/>
          <w:lang w:val="en-GB"/>
        </w:rPr>
        <w:t xml:space="preserve"> quarter, after increasing by </w:t>
      </w:r>
      <w:r w:rsidR="000D1C12">
        <w:rPr>
          <w:rFonts w:ascii="Times New Roman"/>
          <w:kern w:val="0"/>
          <w:lang w:val="en-GB"/>
        </w:rPr>
        <w:t>4.</w:t>
      </w:r>
      <w:r w:rsidR="00770953">
        <w:rPr>
          <w:rFonts w:ascii="Times New Roman"/>
          <w:kern w:val="0"/>
          <w:lang w:val="en-GB"/>
        </w:rPr>
        <w:t>3</w:t>
      </w:r>
      <w:r w:rsidR="00001A89" w:rsidRPr="00001A89">
        <w:rPr>
          <w:rFonts w:ascii="Times New Roman"/>
          <w:kern w:val="0"/>
          <w:lang w:val="en-GB"/>
        </w:rPr>
        <w:t xml:space="preserve">% in the preceding quarter.  The </w:t>
      </w:r>
      <w:r w:rsidR="00001A89" w:rsidRPr="00001A89">
        <w:rPr>
          <w:rFonts w:ascii="Times New Roman"/>
          <w:i/>
          <w:kern w:val="0"/>
          <w:lang w:val="en-GB"/>
        </w:rPr>
        <w:t>terms of trade</w:t>
      </w:r>
      <w:r w:rsidR="00001A89" w:rsidRPr="00001A89">
        <w:rPr>
          <w:rFonts w:ascii="Times New Roman"/>
          <w:kern w:val="0"/>
          <w:lang w:val="en-GB"/>
        </w:rPr>
        <w:t xml:space="preserve"> increased by </w:t>
      </w:r>
      <w:r w:rsidR="001958D5">
        <w:rPr>
          <w:rFonts w:ascii="Times New Roman"/>
          <w:kern w:val="0"/>
          <w:lang w:val="en-GB"/>
        </w:rPr>
        <w:t>1.0</w:t>
      </w:r>
      <w:r w:rsidR="00001A89" w:rsidRPr="00001A89">
        <w:rPr>
          <w:rFonts w:ascii="Times New Roman"/>
          <w:kern w:val="0"/>
          <w:lang w:val="en-GB"/>
        </w:rPr>
        <w:t>%.  Taking out the external trade components, the domestic demand deflator</w:t>
      </w:r>
      <w:r w:rsidR="00445DB8">
        <w:rPr>
          <w:rFonts w:ascii="Times New Roman"/>
          <w:kern w:val="0"/>
          <w:lang w:val="en-GB"/>
        </w:rPr>
        <w:t xml:space="preserve"> </w:t>
      </w:r>
      <w:r w:rsidR="00001A89" w:rsidRPr="00001A89">
        <w:rPr>
          <w:rFonts w:ascii="Times New Roman"/>
          <w:kern w:val="0"/>
          <w:lang w:val="en-GB"/>
        </w:rPr>
        <w:t xml:space="preserve">increased by </w:t>
      </w:r>
      <w:r w:rsidR="00C8398C">
        <w:rPr>
          <w:rFonts w:ascii="Times New Roman"/>
          <w:kern w:val="0"/>
          <w:lang w:val="en-GB"/>
        </w:rPr>
        <w:t>2.2</w:t>
      </w:r>
      <w:r w:rsidR="00001A89" w:rsidRPr="00001A89">
        <w:rPr>
          <w:rFonts w:ascii="Times New Roman"/>
          <w:kern w:val="0"/>
          <w:lang w:val="en-GB"/>
        </w:rPr>
        <w:t xml:space="preserve">% in the </w:t>
      </w:r>
      <w:r w:rsidR="00A637C6">
        <w:rPr>
          <w:rFonts w:ascii="Times New Roman"/>
          <w:kern w:val="0"/>
          <w:lang w:val="en-GB"/>
        </w:rPr>
        <w:t>third</w:t>
      </w:r>
      <w:r w:rsidR="00A637C6" w:rsidRPr="00001A89">
        <w:rPr>
          <w:rFonts w:ascii="Times New Roman"/>
          <w:kern w:val="0"/>
          <w:lang w:val="en-GB"/>
        </w:rPr>
        <w:t xml:space="preserve"> </w:t>
      </w:r>
      <w:r w:rsidR="00001A89" w:rsidRPr="00001A89">
        <w:rPr>
          <w:rFonts w:ascii="Times New Roman"/>
          <w:kern w:val="0"/>
          <w:lang w:val="en-GB"/>
        </w:rPr>
        <w:t>quarter</w:t>
      </w:r>
      <w:r w:rsidR="0099692B">
        <w:rPr>
          <w:rFonts w:ascii="Times New Roman"/>
          <w:kern w:val="0"/>
          <w:lang w:val="en-GB"/>
        </w:rPr>
        <w:t xml:space="preserve"> </w:t>
      </w:r>
      <w:r w:rsidR="0099692B" w:rsidRPr="00001A89">
        <w:rPr>
          <w:rFonts w:ascii="Times New Roman"/>
          <w:kern w:val="0"/>
          <w:lang w:val="en-GB"/>
        </w:rPr>
        <w:t>over a year earlier</w:t>
      </w:r>
      <w:r w:rsidR="00001A89" w:rsidRPr="00001A89">
        <w:rPr>
          <w:rFonts w:ascii="Times New Roman"/>
          <w:kern w:val="0"/>
          <w:lang w:val="en-GB"/>
        </w:rPr>
        <w:t xml:space="preserve">, after rising by </w:t>
      </w:r>
      <w:r w:rsidR="00C8398C">
        <w:rPr>
          <w:rFonts w:ascii="Times New Roman"/>
          <w:kern w:val="0"/>
          <w:lang w:val="en-GB"/>
        </w:rPr>
        <w:t>2.1</w:t>
      </w:r>
      <w:r w:rsidR="00001A89" w:rsidRPr="00001A89">
        <w:rPr>
          <w:rFonts w:ascii="Times New Roman"/>
          <w:kern w:val="0"/>
          <w:lang w:val="en-GB"/>
        </w:rPr>
        <w:t>% in the preceding quarter</w:t>
      </w:r>
      <w:r w:rsidR="00AF0FCE">
        <w:rPr>
          <w:rFonts w:ascii="Times New Roman"/>
          <w:kern w:val="0"/>
          <w:lang w:val="en-GB"/>
        </w:rPr>
        <w:t>.</w:t>
      </w:r>
    </w:p>
    <w:p w:rsidR="006A56C0" w:rsidRDefault="006A56C0">
      <w:pPr>
        <w:widowControl/>
        <w:rPr>
          <w:sz w:val="28"/>
          <w:szCs w:val="28"/>
        </w:rPr>
      </w:pPr>
      <w:r>
        <w:rPr>
          <w:sz w:val="28"/>
          <w:szCs w:val="28"/>
        </w:rPr>
        <w:br w:type="page"/>
      </w:r>
    </w:p>
    <w:p w:rsidR="002B34A3" w:rsidRDefault="0079430F" w:rsidP="00080617">
      <w:pPr>
        <w:rPr>
          <w:sz w:val="28"/>
          <w:lang w:eastAsia="zh-HK"/>
        </w:rPr>
      </w:pPr>
      <w:r w:rsidRPr="0079430F">
        <w:rPr>
          <w:noProof/>
        </w:rPr>
        <w:lastRenderedPageBreak/>
        <w:drawing>
          <wp:inline distT="0" distB="0" distL="0" distR="0">
            <wp:extent cx="5731510" cy="3491065"/>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91065"/>
                    </a:xfrm>
                    <a:prstGeom prst="rect">
                      <a:avLst/>
                    </a:prstGeom>
                    <a:noFill/>
                    <a:ln>
                      <a:noFill/>
                    </a:ln>
                  </pic:spPr>
                </pic:pic>
              </a:graphicData>
            </a:graphic>
          </wp:inline>
        </w:drawing>
      </w:r>
    </w:p>
    <w:p w:rsidR="0095256B" w:rsidRDefault="0095256B" w:rsidP="00080617">
      <w:pPr>
        <w:rPr>
          <w:sz w:val="28"/>
          <w:lang w:eastAsia="zh-HK"/>
        </w:rPr>
      </w:pPr>
    </w:p>
    <w:p w:rsidR="000D61A4" w:rsidRPr="004110C3" w:rsidRDefault="000D61A4" w:rsidP="000D61A4">
      <w:pPr>
        <w:pStyle w:val="BlockText"/>
        <w:tabs>
          <w:tab w:val="clear" w:pos="720"/>
        </w:tabs>
        <w:snapToGrid w:val="0"/>
        <w:spacing w:line="240" w:lineRule="auto"/>
        <w:ind w:left="709" w:right="95" w:hanging="709"/>
        <w:rPr>
          <w:rFonts w:ascii="Times New Roman"/>
          <w:color w:val="000000"/>
          <w:sz w:val="22"/>
          <w:szCs w:val="22"/>
          <w:lang w:val="en-GB"/>
        </w:rPr>
      </w:pPr>
      <w:r w:rsidRPr="004110C3">
        <w:rPr>
          <w:rFonts w:ascii="Times New Roman"/>
          <w:color w:val="000000"/>
          <w:sz w:val="22"/>
          <w:szCs w:val="22"/>
          <w:lang w:val="en-GB"/>
        </w:rPr>
        <w:t>Note :</w:t>
      </w:r>
      <w:r w:rsidRPr="004110C3">
        <w:rPr>
          <w:rFonts w:ascii="Times New Roman"/>
          <w:color w:val="000000"/>
          <w:sz w:val="22"/>
          <w:szCs w:val="22"/>
          <w:lang w:val="en-GB"/>
        </w:rPr>
        <w:tab/>
      </w:r>
      <w:r w:rsidRPr="007161E0">
        <w:rPr>
          <w:rFonts w:ascii="Times New Roman"/>
          <w:color w:val="000000"/>
          <w:sz w:val="22"/>
          <w:szCs w:val="22"/>
          <w:lang w:val="en-HK"/>
        </w:rPr>
        <w:t xml:space="preserve">The year-on-year rates of change of the </w:t>
      </w:r>
      <w:r w:rsidRPr="004110C3">
        <w:rPr>
          <w:rFonts w:ascii="Times New Roman"/>
          <w:color w:val="000000"/>
          <w:sz w:val="22"/>
          <w:szCs w:val="22"/>
          <w:lang w:val="en-GB"/>
        </w:rPr>
        <w:t>Composite C</w:t>
      </w:r>
      <w:r w:rsidRPr="004110C3">
        <w:rPr>
          <w:rFonts w:ascii="Times New Roman" w:eastAsia="SimSun"/>
          <w:color w:val="000000"/>
          <w:sz w:val="22"/>
          <w:szCs w:val="22"/>
          <w:lang w:val="en-GB" w:eastAsia="zh-CN"/>
        </w:rPr>
        <w:t>onsumer Price Index</w:t>
      </w:r>
      <w:r w:rsidRPr="007161E0">
        <w:rPr>
          <w:rFonts w:ascii="Times New Roman"/>
          <w:color w:val="000000"/>
          <w:sz w:val="22"/>
          <w:szCs w:val="22"/>
          <w:lang w:val="en-HK"/>
        </w:rPr>
        <w:t xml:space="preserve"> from the fourth quarter of 2020 onwards are computed from the </w:t>
      </w:r>
      <w:r w:rsidRPr="007161E0">
        <w:rPr>
          <w:rFonts w:ascii="Times New Roman" w:hint="eastAsia"/>
          <w:color w:val="000000"/>
          <w:sz w:val="22"/>
          <w:szCs w:val="22"/>
          <w:lang w:val="en-HK"/>
        </w:rPr>
        <w:t xml:space="preserve">new </w:t>
      </w:r>
      <w:r w:rsidRPr="007161E0">
        <w:rPr>
          <w:rFonts w:ascii="Times New Roman"/>
          <w:color w:val="000000"/>
          <w:sz w:val="22"/>
          <w:szCs w:val="22"/>
          <w:lang w:val="en-HK"/>
        </w:rPr>
        <w:t>20</w:t>
      </w:r>
      <w:r w:rsidRPr="007161E0">
        <w:rPr>
          <w:rFonts w:ascii="Times New Roman" w:hint="eastAsia"/>
          <w:color w:val="000000"/>
          <w:sz w:val="22"/>
          <w:szCs w:val="22"/>
          <w:lang w:val="en-HK"/>
        </w:rPr>
        <w:t>1</w:t>
      </w:r>
      <w:r w:rsidRPr="007161E0">
        <w:rPr>
          <w:rFonts w:ascii="Times New Roman"/>
          <w:color w:val="000000"/>
          <w:sz w:val="22"/>
          <w:szCs w:val="22"/>
          <w:lang w:val="en-HK"/>
        </w:rPr>
        <w:t xml:space="preserve">9/20-based series, and those before </w:t>
      </w:r>
      <w:r w:rsidRPr="007161E0">
        <w:rPr>
          <w:rFonts w:ascii="Times New Roman" w:hint="eastAsia"/>
          <w:color w:val="000000"/>
          <w:sz w:val="22"/>
          <w:szCs w:val="22"/>
          <w:lang w:val="en-HK"/>
        </w:rPr>
        <w:t>are</w:t>
      </w:r>
      <w:r w:rsidRPr="007161E0">
        <w:rPr>
          <w:rFonts w:ascii="Times New Roman"/>
          <w:color w:val="000000"/>
          <w:sz w:val="22"/>
          <w:szCs w:val="22"/>
          <w:lang w:val="en-HK"/>
        </w:rPr>
        <w:t xml:space="preserve"> from the </w:t>
      </w:r>
      <w:r w:rsidRPr="007161E0">
        <w:rPr>
          <w:rFonts w:ascii="Times New Roman" w:hint="eastAsia"/>
          <w:color w:val="000000"/>
          <w:sz w:val="22"/>
          <w:szCs w:val="22"/>
          <w:lang w:val="en-HK"/>
        </w:rPr>
        <w:t xml:space="preserve">old </w:t>
      </w:r>
      <w:r w:rsidRPr="007161E0">
        <w:rPr>
          <w:rFonts w:ascii="Times New Roman"/>
          <w:color w:val="000000"/>
          <w:sz w:val="22"/>
          <w:szCs w:val="22"/>
          <w:lang w:val="en-HK"/>
        </w:rPr>
        <w:t>2014/</w:t>
      </w:r>
      <w:r w:rsidRPr="007161E0">
        <w:rPr>
          <w:rFonts w:ascii="Times New Roman" w:hint="eastAsia"/>
          <w:color w:val="000000"/>
          <w:sz w:val="22"/>
          <w:szCs w:val="22"/>
          <w:lang w:val="en-HK"/>
        </w:rPr>
        <w:t>1</w:t>
      </w:r>
      <w:r w:rsidRPr="007161E0">
        <w:rPr>
          <w:rFonts w:ascii="Times New Roman"/>
          <w:color w:val="000000"/>
          <w:sz w:val="22"/>
          <w:szCs w:val="22"/>
          <w:lang w:val="en-HK"/>
        </w:rPr>
        <w:t>5-based series.</w:t>
      </w:r>
    </w:p>
    <w:p w:rsidR="007F2F41" w:rsidRPr="00887636" w:rsidRDefault="007F2F41" w:rsidP="00887636">
      <w:pPr>
        <w:widowControl/>
        <w:rPr>
          <w:b/>
          <w:sz w:val="28"/>
          <w:szCs w:val="28"/>
        </w:rPr>
      </w:pPr>
      <w:r w:rsidRPr="00887636">
        <w:rPr>
          <w:b/>
          <w:sz w:val="28"/>
          <w:szCs w:val="28"/>
        </w:rPr>
        <w:br w:type="page"/>
      </w:r>
    </w:p>
    <w:p w:rsidR="00731989" w:rsidRDefault="00DC33B3" w:rsidP="00E7285B">
      <w:pPr>
        <w:tabs>
          <w:tab w:val="num" w:pos="1080"/>
        </w:tabs>
        <w:jc w:val="both"/>
        <w:rPr>
          <w:sz w:val="28"/>
          <w:szCs w:val="28"/>
        </w:rPr>
      </w:pPr>
      <w:r>
        <w:rPr>
          <w:rFonts w:hint="eastAsia"/>
          <w:b/>
          <w:sz w:val="28"/>
          <w:szCs w:val="28"/>
        </w:rPr>
        <w:lastRenderedPageBreak/>
        <w:t>Ne</w:t>
      </w:r>
      <w:r>
        <w:rPr>
          <w:b/>
          <w:sz w:val="28"/>
          <w:szCs w:val="28"/>
        </w:rPr>
        <w:t>t output</w:t>
      </w:r>
      <w:r w:rsidR="005567C6">
        <w:rPr>
          <w:b/>
          <w:sz w:val="28"/>
          <w:szCs w:val="28"/>
        </w:rPr>
        <w:t xml:space="preserve"> of</w:t>
      </w:r>
      <w:r w:rsidR="00731989" w:rsidRPr="00327CE5">
        <w:rPr>
          <w:b/>
          <w:sz w:val="28"/>
          <w:szCs w:val="28"/>
        </w:rPr>
        <w:t xml:space="preserve"> major economic sector</w:t>
      </w:r>
      <w:r w:rsidR="00BB5B55">
        <w:rPr>
          <w:b/>
          <w:sz w:val="28"/>
          <w:szCs w:val="28"/>
        </w:rPr>
        <w:t>s</w:t>
      </w:r>
      <w:r w:rsidR="00E03C95" w:rsidRPr="00246CDF">
        <w:rPr>
          <w:rFonts w:hint="eastAsia"/>
          <w:sz w:val="28"/>
          <w:szCs w:val="28"/>
        </w:rPr>
        <w:t xml:space="preserve"> </w:t>
      </w:r>
    </w:p>
    <w:p w:rsidR="00624CEA" w:rsidRPr="00272202" w:rsidRDefault="00624CEA" w:rsidP="00E7285B">
      <w:pPr>
        <w:tabs>
          <w:tab w:val="num" w:pos="1080"/>
        </w:tabs>
        <w:jc w:val="both"/>
        <w:rPr>
          <w:b/>
          <w:color w:val="00B0F0"/>
          <w:sz w:val="28"/>
          <w:szCs w:val="28"/>
        </w:rPr>
      </w:pPr>
    </w:p>
    <w:p w:rsidR="007C1E46" w:rsidRPr="008E057F" w:rsidRDefault="00C70DCA" w:rsidP="00726DF5">
      <w:pPr>
        <w:pStyle w:val="BodyText"/>
        <w:numPr>
          <w:ilvl w:val="1"/>
          <w:numId w:val="19"/>
        </w:numPr>
        <w:tabs>
          <w:tab w:val="left" w:pos="1260"/>
        </w:tabs>
        <w:overflowPunct w:val="0"/>
        <w:ind w:left="0" w:right="28" w:firstLine="0"/>
        <w:jc w:val="both"/>
        <w:rPr>
          <w:rFonts w:ascii="Times New Roman"/>
          <w:kern w:val="0"/>
          <w:lang w:val="en-GB"/>
        </w:rPr>
      </w:pPr>
      <w:bookmarkStart w:id="1" w:name="OLE_LINK1"/>
      <w:r w:rsidRPr="00E25AB5">
        <w:rPr>
          <w:rFonts w:ascii="Times New Roman"/>
          <w:kern w:val="0"/>
          <w:lang w:val="en-GB"/>
        </w:rPr>
        <w:t xml:space="preserve">The net output of the services sector </w:t>
      </w:r>
      <w:r w:rsidR="007E645C">
        <w:rPr>
          <w:rFonts w:ascii="Times New Roman"/>
          <w:kern w:val="0"/>
          <w:lang w:val="en-GB"/>
        </w:rPr>
        <w:t>increased further</w:t>
      </w:r>
      <w:r w:rsidRPr="00E25AB5">
        <w:rPr>
          <w:rFonts w:ascii="Times New Roman"/>
          <w:kern w:val="0"/>
          <w:lang w:val="en-GB"/>
        </w:rPr>
        <w:t xml:space="preserve"> by </w:t>
      </w:r>
      <w:r w:rsidR="008F67BE">
        <w:rPr>
          <w:rFonts w:ascii="Times New Roman"/>
          <w:kern w:val="0"/>
          <w:lang w:val="en-GB"/>
        </w:rPr>
        <w:t>2.</w:t>
      </w:r>
      <w:r w:rsidR="00442EC6">
        <w:rPr>
          <w:rFonts w:ascii="Times New Roman"/>
          <w:kern w:val="0"/>
          <w:lang w:val="en-GB"/>
        </w:rPr>
        <w:t>0</w:t>
      </w:r>
      <w:r w:rsidRPr="00E25AB5">
        <w:rPr>
          <w:rFonts w:ascii="Times New Roman"/>
          <w:kern w:val="0"/>
          <w:lang w:val="en-GB"/>
        </w:rPr>
        <w:t>%</w:t>
      </w:r>
      <w:r w:rsidR="005A2BFF">
        <w:rPr>
          <w:rFonts w:ascii="Times New Roman"/>
          <w:kern w:val="0"/>
          <w:lang w:val="en-GB"/>
        </w:rPr>
        <w:t xml:space="preserve"> year-on-year</w:t>
      </w:r>
      <w:r w:rsidRPr="00E25AB5">
        <w:rPr>
          <w:rFonts w:ascii="Times New Roman"/>
          <w:kern w:val="0"/>
          <w:lang w:val="en-GB"/>
        </w:rPr>
        <w:t xml:space="preserve"> in real terms </w:t>
      </w:r>
      <w:r w:rsidR="003954F7" w:rsidRPr="00E25AB5">
        <w:rPr>
          <w:rFonts w:ascii="Times New Roman"/>
          <w:kern w:val="0"/>
          <w:lang w:val="en-GB"/>
        </w:rPr>
        <w:t xml:space="preserve">in </w:t>
      </w:r>
      <w:r w:rsidR="007E645C">
        <w:rPr>
          <w:rFonts w:ascii="Times New Roman"/>
          <w:kern w:val="0"/>
          <w:lang w:val="en-GB"/>
        </w:rPr>
        <w:t xml:space="preserve">the </w:t>
      </w:r>
      <w:r w:rsidR="008F67BE">
        <w:rPr>
          <w:rFonts w:ascii="Times New Roman"/>
          <w:kern w:val="0"/>
          <w:lang w:val="en-GB"/>
        </w:rPr>
        <w:t>second</w:t>
      </w:r>
      <w:r w:rsidR="007E645C">
        <w:rPr>
          <w:rFonts w:ascii="Times New Roman"/>
          <w:kern w:val="0"/>
          <w:lang w:val="en-GB"/>
        </w:rPr>
        <w:t xml:space="preserve"> quarter of </w:t>
      </w:r>
      <w:r w:rsidR="003954F7" w:rsidRPr="00E25AB5">
        <w:rPr>
          <w:rFonts w:ascii="Times New Roman"/>
          <w:kern w:val="0"/>
          <w:lang w:val="en-GB"/>
        </w:rPr>
        <w:t>202</w:t>
      </w:r>
      <w:r w:rsidR="007E645C">
        <w:rPr>
          <w:rFonts w:ascii="Times New Roman"/>
          <w:kern w:val="0"/>
          <w:lang w:val="en-GB"/>
        </w:rPr>
        <w:t>4</w:t>
      </w:r>
      <w:r w:rsidRPr="00E25AB5">
        <w:rPr>
          <w:rFonts w:ascii="Times New Roman"/>
          <w:kern w:val="0"/>
          <w:lang w:val="en-GB"/>
        </w:rPr>
        <w:t>, after</w:t>
      </w:r>
      <w:r w:rsidR="00FD0505" w:rsidRPr="00E25AB5">
        <w:rPr>
          <w:rFonts w:ascii="Times New Roman"/>
          <w:kern w:val="0"/>
          <w:lang w:val="en-GB"/>
        </w:rPr>
        <w:t xml:space="preserve"> </w:t>
      </w:r>
      <w:r w:rsidR="00822A70">
        <w:rPr>
          <w:rFonts w:ascii="Times New Roman"/>
          <w:kern w:val="0"/>
          <w:lang w:val="en-GB"/>
        </w:rPr>
        <w:t xml:space="preserve">rising </w:t>
      </w:r>
      <w:r w:rsidR="00C311E0">
        <w:rPr>
          <w:rFonts w:ascii="Times New Roman"/>
          <w:kern w:val="0"/>
          <w:lang w:val="en-GB"/>
        </w:rPr>
        <w:t xml:space="preserve">by </w:t>
      </w:r>
      <w:r w:rsidR="008F67BE">
        <w:rPr>
          <w:rFonts w:ascii="Times New Roman"/>
          <w:kern w:val="0"/>
          <w:lang w:val="en-GB"/>
        </w:rPr>
        <w:t>3.1</w:t>
      </w:r>
      <w:r w:rsidR="00C311E0">
        <w:rPr>
          <w:rFonts w:ascii="Times New Roman"/>
          <w:kern w:val="0"/>
          <w:lang w:val="en-GB"/>
        </w:rPr>
        <w:t>% in the preceding quarter</w:t>
      </w:r>
      <w:r w:rsidRPr="00E25AB5">
        <w:rPr>
          <w:rFonts w:ascii="Times New Roman"/>
          <w:kern w:val="0"/>
          <w:lang w:val="en-GB"/>
        </w:rPr>
        <w:t xml:space="preserve">.  </w:t>
      </w:r>
      <w:r w:rsidR="005A2BFF">
        <w:rPr>
          <w:rFonts w:ascii="Times New Roman"/>
          <w:bCs/>
          <w:szCs w:val="28"/>
          <w:lang w:val="en-GB"/>
        </w:rPr>
        <w:t>Most</w:t>
      </w:r>
      <w:r w:rsidR="004556D7">
        <w:rPr>
          <w:rFonts w:ascii="Times New Roman"/>
          <w:bCs/>
          <w:szCs w:val="28"/>
          <w:lang w:val="en-GB"/>
        </w:rPr>
        <w:t xml:space="preserve"> </w:t>
      </w:r>
      <w:r w:rsidR="005A2BFF" w:rsidRPr="00DF4883">
        <w:rPr>
          <w:rFonts w:ascii="Times New Roman"/>
          <w:bCs/>
          <w:szCs w:val="28"/>
          <w:lang w:val="en-GB"/>
        </w:rPr>
        <w:t xml:space="preserve">major </w:t>
      </w:r>
      <w:r w:rsidR="007C1E46" w:rsidRPr="00DF4883">
        <w:rPr>
          <w:rFonts w:ascii="Times New Roman"/>
          <w:bCs/>
          <w:szCs w:val="28"/>
          <w:lang w:val="en-GB"/>
        </w:rPr>
        <w:t xml:space="preserve">service sectors </w:t>
      </w:r>
      <w:r w:rsidR="007C1E46">
        <w:rPr>
          <w:rFonts w:ascii="Times New Roman"/>
          <w:bCs/>
          <w:szCs w:val="28"/>
          <w:lang w:val="en-GB"/>
        </w:rPr>
        <w:t>continued to</w:t>
      </w:r>
      <w:r w:rsidR="002440FB">
        <w:rPr>
          <w:rFonts w:ascii="Times New Roman"/>
          <w:bCs/>
          <w:szCs w:val="28"/>
          <w:lang w:val="en-GB"/>
        </w:rPr>
        <w:t xml:space="preserve"> record growth in</w:t>
      </w:r>
      <w:r w:rsidR="005A2BFF">
        <w:rPr>
          <w:rFonts w:ascii="Times New Roman"/>
          <w:bCs/>
          <w:szCs w:val="28"/>
          <w:lang w:val="en-GB"/>
        </w:rPr>
        <w:t xml:space="preserve"> net output</w:t>
      </w:r>
      <w:r w:rsidR="002440FB">
        <w:rPr>
          <w:rFonts w:ascii="Times New Roman"/>
          <w:bCs/>
          <w:szCs w:val="28"/>
          <w:lang w:val="en-GB"/>
        </w:rPr>
        <w:t>s</w:t>
      </w:r>
      <w:r w:rsidR="007C1E46">
        <w:rPr>
          <w:rFonts w:ascii="Times New Roman"/>
          <w:bCs/>
          <w:szCs w:val="28"/>
          <w:lang w:val="en-GB"/>
        </w:rPr>
        <w:t xml:space="preserve">, though </w:t>
      </w:r>
      <w:r w:rsidR="004556D7">
        <w:rPr>
          <w:rFonts w:ascii="Times New Roman"/>
          <w:bCs/>
          <w:szCs w:val="28"/>
          <w:lang w:val="en-GB"/>
        </w:rPr>
        <w:t xml:space="preserve">some sectors </w:t>
      </w:r>
      <w:r w:rsidR="002440FB">
        <w:rPr>
          <w:rFonts w:ascii="Times New Roman"/>
          <w:bCs/>
          <w:szCs w:val="28"/>
          <w:lang w:val="en-GB"/>
        </w:rPr>
        <w:t>showed weaker performance</w:t>
      </w:r>
      <w:r w:rsidR="00CA4CAE">
        <w:rPr>
          <w:rFonts w:ascii="Times New Roman"/>
          <w:bCs/>
          <w:szCs w:val="28"/>
          <w:lang w:val="en-GB"/>
        </w:rPr>
        <w:t xml:space="preserve">.  </w:t>
      </w:r>
      <w:r w:rsidR="00CA4CAE">
        <w:rPr>
          <w:rFonts w:ascii="Times New Roman"/>
          <w:szCs w:val="28"/>
          <w:lang w:val="en-GB"/>
        </w:rPr>
        <w:t>The net output of</w:t>
      </w:r>
      <w:r w:rsidR="00CA4CAE" w:rsidRPr="00E44FE4">
        <w:rPr>
          <w:rFonts w:ascii="Times New Roman"/>
          <w:szCs w:val="28"/>
          <w:lang w:val="en-GB"/>
        </w:rPr>
        <w:t xml:space="preserve"> </w:t>
      </w:r>
      <w:r w:rsidR="00CA4CAE">
        <w:rPr>
          <w:rFonts w:ascii="Times New Roman"/>
          <w:szCs w:val="28"/>
          <w:lang w:val="en-GB"/>
        </w:rPr>
        <w:t xml:space="preserve">transportation and storage continued to </w:t>
      </w:r>
      <w:r w:rsidR="001727F3">
        <w:rPr>
          <w:rFonts w:ascii="Times New Roman"/>
          <w:szCs w:val="28"/>
          <w:lang w:val="en-GB"/>
        </w:rPr>
        <w:t xml:space="preserve">register </w:t>
      </w:r>
      <w:r w:rsidR="00343FA8">
        <w:rPr>
          <w:rFonts w:ascii="Times New Roman"/>
          <w:szCs w:val="28"/>
          <w:lang w:val="en-GB"/>
        </w:rPr>
        <w:t xml:space="preserve">a </w:t>
      </w:r>
      <w:r w:rsidR="001727F3">
        <w:rPr>
          <w:rFonts w:ascii="Times New Roman"/>
          <w:szCs w:val="28"/>
          <w:lang w:val="en-GB"/>
        </w:rPr>
        <w:t>double-digit growth</w:t>
      </w:r>
      <w:r w:rsidR="00822A70">
        <w:rPr>
          <w:rFonts w:ascii="Times New Roman"/>
          <w:szCs w:val="28"/>
          <w:lang w:val="en-GB"/>
        </w:rPr>
        <w:t xml:space="preserve"> rate</w:t>
      </w:r>
      <w:r w:rsidR="00CA4CAE">
        <w:rPr>
          <w:rFonts w:ascii="Times New Roman"/>
          <w:szCs w:val="28"/>
          <w:lang w:val="en-GB"/>
        </w:rPr>
        <w:t xml:space="preserve"> alongside the recovery of handling capacity</w:t>
      </w:r>
      <w:r w:rsidR="004F2FD0">
        <w:rPr>
          <w:rFonts w:ascii="Times New Roman"/>
          <w:bCs/>
          <w:szCs w:val="28"/>
          <w:lang w:val="en-GB"/>
        </w:rPr>
        <w:t>.</w:t>
      </w:r>
      <w:r w:rsidR="008E057F">
        <w:rPr>
          <w:rFonts w:ascii="Times New Roman"/>
          <w:bCs/>
          <w:szCs w:val="28"/>
          <w:lang w:val="en-GB"/>
        </w:rPr>
        <w:t xml:space="preserve">  The net outpu</w:t>
      </w:r>
      <w:r w:rsidR="001727F3">
        <w:rPr>
          <w:rFonts w:ascii="Times New Roman" w:hint="eastAsia"/>
          <w:bCs/>
          <w:szCs w:val="28"/>
          <w:lang w:val="en-GB"/>
        </w:rPr>
        <w:t>t</w:t>
      </w:r>
      <w:r w:rsidR="008E057F">
        <w:rPr>
          <w:rFonts w:ascii="Times New Roman"/>
          <w:bCs/>
          <w:szCs w:val="28"/>
          <w:lang w:val="en-GB"/>
        </w:rPr>
        <w:t xml:space="preserve">s of </w:t>
      </w:r>
      <w:r w:rsidR="00343FA8">
        <w:rPr>
          <w:rFonts w:ascii="Times New Roman"/>
          <w:bCs/>
          <w:szCs w:val="28"/>
          <w:lang w:val="en-GB"/>
        </w:rPr>
        <w:t xml:space="preserve">the </w:t>
      </w:r>
      <w:r w:rsidR="001727F3">
        <w:rPr>
          <w:rFonts w:ascii="Times New Roman"/>
          <w:bCs/>
          <w:szCs w:val="28"/>
          <w:lang w:val="en-GB"/>
        </w:rPr>
        <w:t xml:space="preserve">real estate, </w:t>
      </w:r>
      <w:r w:rsidR="008E057F" w:rsidRPr="008E057F">
        <w:rPr>
          <w:rFonts w:ascii="Times New Roman"/>
          <w:bCs/>
          <w:szCs w:val="28"/>
          <w:lang w:val="en-GB"/>
        </w:rPr>
        <w:t>public administratio</w:t>
      </w:r>
      <w:r w:rsidR="008E057F">
        <w:rPr>
          <w:rFonts w:ascii="Times New Roman"/>
          <w:bCs/>
          <w:szCs w:val="28"/>
          <w:lang w:val="en-GB"/>
        </w:rPr>
        <w:t>n, social and personal services,</w:t>
      </w:r>
      <w:r w:rsidR="008E057F" w:rsidRPr="008E057F">
        <w:rPr>
          <w:rFonts w:ascii="Times New Roman"/>
          <w:bCs/>
          <w:szCs w:val="28"/>
          <w:lang w:val="en-GB"/>
        </w:rPr>
        <w:t xml:space="preserve"> import and export trade, professional and business services</w:t>
      </w:r>
      <w:r w:rsidR="00822A70">
        <w:rPr>
          <w:rFonts w:ascii="Times New Roman"/>
          <w:bCs/>
          <w:szCs w:val="28"/>
          <w:lang w:val="en-GB"/>
        </w:rPr>
        <w:t>,</w:t>
      </w:r>
      <w:r w:rsidR="008E057F" w:rsidRPr="008E057F">
        <w:rPr>
          <w:rFonts w:ascii="Times New Roman"/>
          <w:bCs/>
          <w:szCs w:val="28"/>
          <w:lang w:val="en-GB"/>
        </w:rPr>
        <w:t xml:space="preserve"> and information and communications </w:t>
      </w:r>
      <w:r w:rsidR="003C25ED">
        <w:rPr>
          <w:rFonts w:ascii="Times New Roman"/>
          <w:bCs/>
          <w:szCs w:val="28"/>
          <w:lang w:val="en-GB"/>
        </w:rPr>
        <w:t xml:space="preserve">increased </w:t>
      </w:r>
      <w:r w:rsidR="002440FB">
        <w:rPr>
          <w:rFonts w:ascii="Times New Roman"/>
          <w:bCs/>
          <w:szCs w:val="28"/>
          <w:lang w:val="en-GB"/>
        </w:rPr>
        <w:t>moderately</w:t>
      </w:r>
      <w:r w:rsidR="00822A70">
        <w:rPr>
          <w:rFonts w:ascii="Times New Roman"/>
          <w:bCs/>
          <w:szCs w:val="28"/>
          <w:lang w:val="en-GB"/>
        </w:rPr>
        <w:t>.  The net output</w:t>
      </w:r>
      <w:r w:rsidR="008E057F" w:rsidRPr="008E057F">
        <w:rPr>
          <w:rFonts w:ascii="Times New Roman"/>
          <w:bCs/>
          <w:szCs w:val="28"/>
          <w:lang w:val="en-GB"/>
        </w:rPr>
        <w:t xml:space="preserve"> of the financing and insurance sector </w:t>
      </w:r>
      <w:r w:rsidR="00E43425">
        <w:rPr>
          <w:rFonts w:ascii="Times New Roman"/>
          <w:bCs/>
          <w:szCs w:val="28"/>
          <w:lang w:val="en-GB"/>
        </w:rPr>
        <w:t xml:space="preserve">resumed modest growth </w:t>
      </w:r>
      <w:r w:rsidR="00822A70">
        <w:rPr>
          <w:rFonts w:ascii="Times New Roman"/>
          <w:bCs/>
          <w:szCs w:val="28"/>
          <w:lang w:val="en-GB"/>
        </w:rPr>
        <w:t>after quarters of contraction</w:t>
      </w:r>
      <w:r w:rsidR="001F20A4">
        <w:rPr>
          <w:rFonts w:ascii="Times New Roman"/>
          <w:bCs/>
          <w:szCs w:val="28"/>
          <w:lang w:val="en-GB"/>
        </w:rPr>
        <w:t>, whereas that of t</w:t>
      </w:r>
      <w:r w:rsidR="00096BD7">
        <w:rPr>
          <w:rFonts w:ascii="Times New Roman"/>
          <w:bCs/>
          <w:szCs w:val="28"/>
          <w:lang w:val="en-GB"/>
        </w:rPr>
        <w:t xml:space="preserve">he </w:t>
      </w:r>
      <w:r w:rsidR="008E057F" w:rsidRPr="008E057F">
        <w:rPr>
          <w:rFonts w:ascii="Times New Roman"/>
          <w:bCs/>
          <w:szCs w:val="28"/>
          <w:lang w:val="en-GB"/>
        </w:rPr>
        <w:t xml:space="preserve">postal and courier services sector </w:t>
      </w:r>
      <w:r w:rsidR="00096BD7">
        <w:rPr>
          <w:rFonts w:ascii="Times New Roman"/>
          <w:bCs/>
          <w:szCs w:val="28"/>
          <w:lang w:val="en-GB"/>
        </w:rPr>
        <w:t>showed</w:t>
      </w:r>
      <w:r w:rsidR="00096BD7" w:rsidRPr="008E057F">
        <w:rPr>
          <w:rFonts w:ascii="Times New Roman"/>
          <w:bCs/>
          <w:szCs w:val="28"/>
          <w:lang w:val="en-GB"/>
        </w:rPr>
        <w:t xml:space="preserve"> </w:t>
      </w:r>
      <w:r w:rsidR="00343FA8">
        <w:rPr>
          <w:rFonts w:ascii="Times New Roman"/>
          <w:bCs/>
          <w:szCs w:val="28"/>
          <w:lang w:val="en-GB"/>
        </w:rPr>
        <w:t xml:space="preserve">a </w:t>
      </w:r>
      <w:r w:rsidR="0062360D" w:rsidRPr="008E057F">
        <w:rPr>
          <w:rFonts w:ascii="Times New Roman"/>
          <w:bCs/>
          <w:szCs w:val="28"/>
          <w:lang w:val="en-GB"/>
        </w:rPr>
        <w:t>narrowe</w:t>
      </w:r>
      <w:r w:rsidR="0062360D">
        <w:rPr>
          <w:rFonts w:ascii="Times New Roman"/>
          <w:bCs/>
          <w:szCs w:val="28"/>
          <w:lang w:val="en-GB"/>
        </w:rPr>
        <w:t>d</w:t>
      </w:r>
      <w:r w:rsidR="0062360D" w:rsidRPr="008E057F">
        <w:rPr>
          <w:rFonts w:ascii="Times New Roman"/>
          <w:bCs/>
          <w:szCs w:val="28"/>
          <w:lang w:val="en-GB"/>
        </w:rPr>
        <w:t xml:space="preserve"> </w:t>
      </w:r>
      <w:r w:rsidR="008E057F" w:rsidRPr="008E057F">
        <w:rPr>
          <w:rFonts w:ascii="Times New Roman"/>
          <w:bCs/>
          <w:szCs w:val="28"/>
          <w:lang w:val="en-GB"/>
        </w:rPr>
        <w:t>decrease</w:t>
      </w:r>
      <w:r w:rsidR="00822A70">
        <w:rPr>
          <w:rFonts w:ascii="Times New Roman"/>
          <w:bCs/>
          <w:szCs w:val="28"/>
          <w:lang w:val="en-GB"/>
        </w:rPr>
        <w:t xml:space="preserve">.  However, </w:t>
      </w:r>
      <w:r w:rsidR="004556D7">
        <w:rPr>
          <w:rFonts w:ascii="Times New Roman"/>
          <w:bCs/>
          <w:szCs w:val="28"/>
          <w:lang w:val="en-GB"/>
        </w:rPr>
        <w:t xml:space="preserve">affected by the change in consumption patterns of residents and visitors, </w:t>
      </w:r>
      <w:r w:rsidR="00822A70">
        <w:rPr>
          <w:rFonts w:ascii="Times New Roman"/>
          <w:bCs/>
          <w:szCs w:val="28"/>
          <w:lang w:val="en-GB"/>
        </w:rPr>
        <w:t>the net output</w:t>
      </w:r>
      <w:r w:rsidR="008E057F" w:rsidRPr="008E057F">
        <w:rPr>
          <w:rFonts w:ascii="Times New Roman"/>
          <w:bCs/>
          <w:szCs w:val="28"/>
          <w:lang w:val="en-GB"/>
        </w:rPr>
        <w:t xml:space="preserve"> of the accommodation and food services sector turned to a decline</w:t>
      </w:r>
      <w:r w:rsidR="00822A70">
        <w:rPr>
          <w:rFonts w:ascii="Times New Roman"/>
          <w:bCs/>
          <w:szCs w:val="28"/>
          <w:lang w:val="en-GB"/>
        </w:rPr>
        <w:t xml:space="preserve">, while that </w:t>
      </w:r>
      <w:r w:rsidR="008E057F">
        <w:rPr>
          <w:rFonts w:ascii="Times New Roman"/>
          <w:bCs/>
          <w:szCs w:val="28"/>
          <w:lang w:val="en-GB"/>
        </w:rPr>
        <w:t xml:space="preserve">of </w:t>
      </w:r>
      <w:r w:rsidR="008E057F" w:rsidRPr="008E057F">
        <w:rPr>
          <w:rFonts w:ascii="Times New Roman"/>
          <w:bCs/>
          <w:szCs w:val="28"/>
          <w:lang w:val="en-GB"/>
        </w:rPr>
        <w:t xml:space="preserve">wholesale and retail trades sector </w:t>
      </w:r>
      <w:r w:rsidR="00E953B3">
        <w:rPr>
          <w:rFonts w:ascii="Times New Roman"/>
          <w:bCs/>
          <w:szCs w:val="28"/>
          <w:lang w:val="en-GB"/>
        </w:rPr>
        <w:t>saw</w:t>
      </w:r>
      <w:r w:rsidR="00822A70">
        <w:rPr>
          <w:rFonts w:ascii="Times New Roman"/>
          <w:bCs/>
          <w:szCs w:val="28"/>
          <w:lang w:val="en-GB"/>
        </w:rPr>
        <w:t xml:space="preserve"> a</w:t>
      </w:r>
      <w:r w:rsidR="00E953B3">
        <w:rPr>
          <w:rFonts w:ascii="Times New Roman"/>
          <w:bCs/>
          <w:szCs w:val="28"/>
          <w:lang w:val="en-GB"/>
        </w:rPr>
        <w:t xml:space="preserve"> sharper</w:t>
      </w:r>
      <w:r w:rsidR="00343FA8">
        <w:rPr>
          <w:rFonts w:ascii="Times New Roman"/>
          <w:bCs/>
          <w:szCs w:val="28"/>
          <w:lang w:val="en-GB"/>
        </w:rPr>
        <w:t xml:space="preserve"> </w:t>
      </w:r>
      <w:r w:rsidR="00822A70">
        <w:rPr>
          <w:rFonts w:ascii="Times New Roman"/>
          <w:bCs/>
          <w:szCs w:val="28"/>
          <w:lang w:val="en-GB"/>
        </w:rPr>
        <w:t>fall</w:t>
      </w:r>
      <w:r w:rsidR="008E057F">
        <w:rPr>
          <w:rFonts w:ascii="Times New Roman"/>
          <w:bCs/>
          <w:szCs w:val="28"/>
          <w:lang w:val="en-GB"/>
        </w:rPr>
        <w:t>.</w:t>
      </w:r>
      <w:r w:rsidR="008E057F" w:rsidRPr="008E057F">
        <w:rPr>
          <w:rFonts w:ascii="Times New Roman"/>
          <w:szCs w:val="28"/>
          <w:lang w:val="en-GB"/>
        </w:rPr>
        <w:t xml:space="preserve"> </w:t>
      </w:r>
      <w:r w:rsidR="008E057F">
        <w:rPr>
          <w:rFonts w:ascii="Times New Roman"/>
          <w:szCs w:val="28"/>
          <w:lang w:val="en-GB"/>
        </w:rPr>
        <w:t xml:space="preserve"> </w:t>
      </w:r>
      <w:r w:rsidR="008E057F" w:rsidRPr="00964D90">
        <w:rPr>
          <w:rFonts w:ascii="Times New Roman"/>
          <w:szCs w:val="28"/>
          <w:lang w:val="en-GB"/>
        </w:rPr>
        <w:t>As for the secondary sector, the net output</w:t>
      </w:r>
      <w:r w:rsidR="008E057F">
        <w:rPr>
          <w:rFonts w:ascii="Times New Roman"/>
          <w:szCs w:val="28"/>
          <w:lang w:val="en-GB"/>
        </w:rPr>
        <w:t>s</w:t>
      </w:r>
      <w:r w:rsidR="008E057F" w:rsidRPr="00964D90">
        <w:rPr>
          <w:rFonts w:ascii="Times New Roman"/>
          <w:szCs w:val="28"/>
          <w:lang w:val="en-GB"/>
        </w:rPr>
        <w:t xml:space="preserve"> of the </w:t>
      </w:r>
      <w:r w:rsidR="008E057F">
        <w:rPr>
          <w:rFonts w:ascii="Times New Roman"/>
          <w:szCs w:val="28"/>
          <w:lang w:val="en-GB"/>
        </w:rPr>
        <w:t xml:space="preserve">manufacturing sector </w:t>
      </w:r>
      <w:r w:rsidR="004556D7">
        <w:rPr>
          <w:rFonts w:ascii="Times New Roman"/>
          <w:szCs w:val="28"/>
          <w:lang w:val="en-GB"/>
        </w:rPr>
        <w:t xml:space="preserve">increased further, </w:t>
      </w:r>
      <w:r w:rsidR="00770953">
        <w:rPr>
          <w:rFonts w:ascii="Times New Roman"/>
          <w:szCs w:val="28"/>
          <w:lang w:val="en-GB"/>
        </w:rPr>
        <w:t xml:space="preserve">and </w:t>
      </w:r>
      <w:r w:rsidR="004556D7">
        <w:rPr>
          <w:rFonts w:ascii="Times New Roman"/>
          <w:szCs w:val="28"/>
          <w:lang w:val="en-GB"/>
        </w:rPr>
        <w:t xml:space="preserve">that of </w:t>
      </w:r>
      <w:r w:rsidR="008E057F">
        <w:rPr>
          <w:rFonts w:ascii="Times New Roman"/>
          <w:szCs w:val="28"/>
          <w:lang w:val="en-GB"/>
        </w:rPr>
        <w:t xml:space="preserve">the </w:t>
      </w:r>
      <w:r w:rsidR="008E057F" w:rsidRPr="00964D90">
        <w:rPr>
          <w:rFonts w:ascii="Times New Roman"/>
          <w:szCs w:val="28"/>
          <w:lang w:val="en-GB"/>
        </w:rPr>
        <w:t>construction sector</w:t>
      </w:r>
      <w:r w:rsidR="004556D7">
        <w:rPr>
          <w:rFonts w:ascii="Times New Roman"/>
          <w:szCs w:val="28"/>
          <w:lang w:val="en-GB"/>
        </w:rPr>
        <w:t xml:space="preserve"> showed </w:t>
      </w:r>
      <w:r w:rsidR="006645C7">
        <w:rPr>
          <w:rFonts w:ascii="Times New Roman"/>
          <w:szCs w:val="28"/>
          <w:lang w:val="en-GB"/>
        </w:rPr>
        <w:t xml:space="preserve">very sharp </w:t>
      </w:r>
      <w:r w:rsidR="00096BD7">
        <w:rPr>
          <w:rFonts w:ascii="Times New Roman"/>
          <w:szCs w:val="28"/>
          <w:lang w:val="en-GB"/>
        </w:rPr>
        <w:t>growth</w:t>
      </w:r>
      <w:r w:rsidR="006645C7">
        <w:rPr>
          <w:rFonts w:ascii="Times New Roman"/>
          <w:szCs w:val="28"/>
          <w:lang w:val="en-GB"/>
        </w:rPr>
        <w:t xml:space="preserve"> amid the strong public sector spending</w:t>
      </w:r>
      <w:r w:rsidR="008E057F">
        <w:rPr>
          <w:rFonts w:ascii="Times New Roman"/>
          <w:szCs w:val="28"/>
          <w:lang w:val="en-GB"/>
        </w:rPr>
        <w:t>.</w:t>
      </w:r>
    </w:p>
    <w:p w:rsidR="008E057F" w:rsidRDefault="008E057F" w:rsidP="008E057F">
      <w:pPr>
        <w:pStyle w:val="BodyText"/>
        <w:tabs>
          <w:tab w:val="left" w:pos="1260"/>
        </w:tabs>
        <w:overflowPunct w:val="0"/>
        <w:ind w:right="28"/>
        <w:jc w:val="both"/>
        <w:rPr>
          <w:rFonts w:ascii="Times New Roman"/>
          <w:kern w:val="0"/>
          <w:lang w:val="en-GB"/>
        </w:rPr>
      </w:pPr>
    </w:p>
    <w:bookmarkEnd w:id="1"/>
    <w:p w:rsidR="00561155" w:rsidRPr="00327CE5" w:rsidRDefault="00561155" w:rsidP="00CE7A2F">
      <w:pPr>
        <w:pageBreakBefore/>
        <w:jc w:val="center"/>
        <w:rPr>
          <w:b/>
          <w:kern w:val="0"/>
          <w:sz w:val="28"/>
        </w:rPr>
      </w:pPr>
      <w:r w:rsidRPr="00327CE5">
        <w:rPr>
          <w:b/>
          <w:kern w:val="0"/>
          <w:sz w:val="28"/>
        </w:rPr>
        <w:lastRenderedPageBreak/>
        <w:t xml:space="preserve">Table </w:t>
      </w:r>
      <w:proofErr w:type="gramStart"/>
      <w:r w:rsidRPr="00327CE5">
        <w:rPr>
          <w:b/>
          <w:kern w:val="0"/>
          <w:sz w:val="28"/>
        </w:rPr>
        <w:t>1.3 :</w:t>
      </w:r>
      <w:proofErr w:type="gramEnd"/>
      <w:r w:rsidRPr="00327CE5">
        <w:rPr>
          <w:b/>
          <w:kern w:val="0"/>
          <w:sz w:val="28"/>
        </w:rPr>
        <w:t xml:space="preserve"> </w:t>
      </w:r>
      <w:r w:rsidR="00DC33B3">
        <w:rPr>
          <w:b/>
          <w:kern w:val="0"/>
          <w:sz w:val="28"/>
        </w:rPr>
        <w:t>Net output of major economic sectors</w:t>
      </w:r>
    </w:p>
    <w:p w:rsidR="009723EC" w:rsidRDefault="00561155">
      <w:pPr>
        <w:spacing w:line="320" w:lineRule="exact"/>
        <w:ind w:right="-505"/>
        <w:jc w:val="center"/>
        <w:rPr>
          <w:b/>
          <w:kern w:val="0"/>
          <w:sz w:val="28"/>
        </w:rPr>
      </w:pPr>
      <w:r w:rsidRPr="00327CE5">
        <w:rPr>
          <w:b/>
          <w:kern w:val="0"/>
          <w:sz w:val="28"/>
        </w:rPr>
        <w:t>(year-on-year rate of change in real terms (%))</w:t>
      </w:r>
    </w:p>
    <w:p w:rsidR="007F6814" w:rsidRDefault="007F6814">
      <w:pPr>
        <w:spacing w:line="320" w:lineRule="exact"/>
        <w:ind w:right="-505"/>
        <w:jc w:val="center"/>
        <w:rPr>
          <w:b/>
          <w:kern w:val="0"/>
          <w:sz w:val="28"/>
        </w:rPr>
      </w:pPr>
    </w:p>
    <w:tbl>
      <w:tblPr>
        <w:tblW w:w="9640" w:type="dxa"/>
        <w:jc w:val="center"/>
        <w:tblLayout w:type="fixed"/>
        <w:tblLook w:val="0000" w:firstRow="0" w:lastRow="0" w:firstColumn="0" w:lastColumn="0" w:noHBand="0" w:noVBand="0"/>
      </w:tblPr>
      <w:tblGrid>
        <w:gridCol w:w="3542"/>
        <w:gridCol w:w="1004"/>
        <w:gridCol w:w="848"/>
        <w:gridCol w:w="848"/>
        <w:gridCol w:w="848"/>
        <w:gridCol w:w="848"/>
        <w:gridCol w:w="851"/>
        <w:gridCol w:w="851"/>
      </w:tblGrid>
      <w:tr w:rsidR="005B07E4" w:rsidRPr="00C0663B" w:rsidTr="005B07E4">
        <w:trPr>
          <w:jc w:val="center"/>
        </w:trPr>
        <w:tc>
          <w:tcPr>
            <w:tcW w:w="3542" w:type="dxa"/>
          </w:tcPr>
          <w:p w:rsidR="005B07E4" w:rsidRPr="00C0663B" w:rsidRDefault="005B07E4" w:rsidP="007E645C">
            <w:pPr>
              <w:pStyle w:val="BlockText"/>
              <w:tabs>
                <w:tab w:val="left" w:pos="840"/>
                <w:tab w:val="left" w:pos="895"/>
              </w:tabs>
              <w:snapToGrid w:val="0"/>
              <w:spacing w:afterLines="50" w:after="180" w:line="220" w:lineRule="exact"/>
              <w:ind w:left="1321" w:right="-17" w:hanging="1202"/>
              <w:rPr>
                <w:kern w:val="0"/>
                <w:sz w:val="24"/>
                <w:szCs w:val="22"/>
                <w:u w:val="single"/>
                <w:lang w:val="en-GB"/>
              </w:rPr>
            </w:pPr>
          </w:p>
        </w:tc>
        <w:tc>
          <w:tcPr>
            <w:tcW w:w="1004" w:type="dxa"/>
          </w:tcPr>
          <w:p w:rsidR="005B07E4" w:rsidRPr="00C0663B" w:rsidRDefault="005B07E4" w:rsidP="00F359AC">
            <w:pPr>
              <w:pStyle w:val="BlockText"/>
              <w:tabs>
                <w:tab w:val="left" w:pos="840"/>
                <w:tab w:val="left" w:pos="895"/>
              </w:tabs>
              <w:snapToGrid w:val="0"/>
              <w:spacing w:afterLines="50" w:after="180" w:line="220" w:lineRule="exact"/>
              <w:ind w:left="1321" w:right="-17" w:hanging="1202"/>
              <w:rPr>
                <w:rFonts w:ascii="Times New Roman"/>
                <w:kern w:val="0"/>
                <w:sz w:val="24"/>
                <w:szCs w:val="22"/>
                <w:u w:val="single"/>
                <w:lang w:val="en-GB"/>
              </w:rPr>
            </w:pPr>
            <w:r w:rsidRPr="00C0663B">
              <w:rPr>
                <w:rFonts w:ascii="Times New Roman"/>
                <w:kern w:val="0"/>
                <w:sz w:val="24"/>
                <w:szCs w:val="22"/>
                <w:u w:val="single"/>
                <w:lang w:val="en-GB"/>
              </w:rPr>
              <w:t>2023</w:t>
            </w:r>
          </w:p>
        </w:tc>
        <w:tc>
          <w:tcPr>
            <w:tcW w:w="3392" w:type="dxa"/>
            <w:gridSpan w:val="4"/>
          </w:tcPr>
          <w:p w:rsidR="005B07E4" w:rsidRPr="00C0663B" w:rsidRDefault="005B07E4" w:rsidP="00F359AC">
            <w:pPr>
              <w:pStyle w:val="BlockText"/>
              <w:tabs>
                <w:tab w:val="left" w:pos="840"/>
                <w:tab w:val="left" w:pos="895"/>
              </w:tabs>
              <w:snapToGrid w:val="0"/>
              <w:spacing w:afterLines="50" w:after="180" w:line="220" w:lineRule="exact"/>
              <w:ind w:left="1321" w:right="-17" w:hanging="1202"/>
              <w:jc w:val="center"/>
              <w:rPr>
                <w:rFonts w:ascii="Times New Roman"/>
                <w:kern w:val="0"/>
                <w:sz w:val="24"/>
                <w:szCs w:val="22"/>
                <w:u w:val="single"/>
                <w:lang w:val="en-GB"/>
              </w:rPr>
            </w:pPr>
            <w:r w:rsidRPr="00C0663B">
              <w:rPr>
                <w:rFonts w:ascii="Times New Roman"/>
                <w:kern w:val="0"/>
                <w:sz w:val="24"/>
                <w:szCs w:val="22"/>
                <w:u w:val="single"/>
                <w:lang w:val="en-GB"/>
              </w:rPr>
              <w:t>2023</w:t>
            </w:r>
          </w:p>
        </w:tc>
        <w:tc>
          <w:tcPr>
            <w:tcW w:w="1702" w:type="dxa"/>
            <w:gridSpan w:val="2"/>
          </w:tcPr>
          <w:p w:rsidR="005B07E4" w:rsidRPr="00C0663B" w:rsidRDefault="005B07E4" w:rsidP="005B07E4">
            <w:pPr>
              <w:pStyle w:val="BlockText"/>
              <w:tabs>
                <w:tab w:val="left" w:pos="840"/>
                <w:tab w:val="left" w:pos="895"/>
              </w:tabs>
              <w:snapToGrid w:val="0"/>
              <w:spacing w:afterLines="50" w:after="180" w:line="220" w:lineRule="exact"/>
              <w:ind w:right="-17" w:hanging="1320"/>
              <w:jc w:val="center"/>
              <w:rPr>
                <w:rFonts w:ascii="Times New Roman"/>
                <w:kern w:val="0"/>
                <w:sz w:val="24"/>
                <w:szCs w:val="22"/>
                <w:u w:val="single"/>
                <w:lang w:val="en-GB"/>
              </w:rPr>
            </w:pPr>
            <w:r w:rsidRPr="00C0663B">
              <w:rPr>
                <w:rFonts w:ascii="Times New Roman"/>
                <w:kern w:val="0"/>
                <w:sz w:val="24"/>
                <w:szCs w:val="22"/>
                <w:u w:val="single"/>
                <w:lang w:val="en-GB"/>
              </w:rPr>
              <w:t>2024</w:t>
            </w:r>
          </w:p>
        </w:tc>
      </w:tr>
      <w:tr w:rsidR="005B07E4" w:rsidRPr="00C0663B" w:rsidTr="005B07E4">
        <w:trPr>
          <w:trHeight w:val="342"/>
          <w:jc w:val="center"/>
        </w:trPr>
        <w:tc>
          <w:tcPr>
            <w:tcW w:w="3542" w:type="dxa"/>
          </w:tcPr>
          <w:p w:rsidR="005B07E4" w:rsidRPr="00C0663B" w:rsidRDefault="005B07E4" w:rsidP="005B07E4">
            <w:pPr>
              <w:spacing w:line="240" w:lineRule="exact"/>
              <w:jc w:val="center"/>
              <w:rPr>
                <w:kern w:val="0"/>
                <w:szCs w:val="22"/>
                <w:u w:val="single"/>
              </w:rPr>
            </w:pPr>
          </w:p>
        </w:tc>
        <w:tc>
          <w:tcPr>
            <w:tcW w:w="1004" w:type="dxa"/>
          </w:tcPr>
          <w:p w:rsidR="005B07E4" w:rsidRPr="00C0663B" w:rsidRDefault="005B07E4" w:rsidP="005B07E4">
            <w:pPr>
              <w:pStyle w:val="Heading5"/>
              <w:spacing w:line="240" w:lineRule="exact"/>
              <w:ind w:left="0"/>
              <w:jc w:val="left"/>
              <w:rPr>
                <w:rFonts w:ascii="Times New Roman"/>
                <w:kern w:val="0"/>
                <w:sz w:val="24"/>
                <w:szCs w:val="22"/>
                <w:lang w:val="en-GB"/>
              </w:rPr>
            </w:pPr>
          </w:p>
        </w:tc>
        <w:tc>
          <w:tcPr>
            <w:tcW w:w="848" w:type="dxa"/>
          </w:tcPr>
          <w:p w:rsidR="005B07E4" w:rsidRPr="00C0663B" w:rsidRDefault="005B07E4" w:rsidP="005B07E4">
            <w:pPr>
              <w:pStyle w:val="Heading5"/>
              <w:tabs>
                <w:tab w:val="decimal" w:pos="336"/>
              </w:tabs>
              <w:overflowPunct w:val="0"/>
              <w:spacing w:line="240" w:lineRule="exact"/>
              <w:ind w:left="-125" w:right="-57"/>
              <w:jc w:val="left"/>
              <w:rPr>
                <w:rFonts w:ascii="Times New Roman"/>
                <w:kern w:val="0"/>
                <w:sz w:val="24"/>
                <w:szCs w:val="22"/>
                <w:lang w:val="en-GB"/>
              </w:rPr>
            </w:pPr>
            <w:r w:rsidRPr="00C0663B">
              <w:rPr>
                <w:rFonts w:ascii="Times New Roman"/>
                <w:kern w:val="0"/>
                <w:sz w:val="24"/>
                <w:szCs w:val="22"/>
                <w:u w:val="none"/>
                <w:lang w:val="en-GB"/>
              </w:rPr>
              <w:t xml:space="preserve">   </w:t>
            </w:r>
            <w:r w:rsidRPr="00C0663B">
              <w:rPr>
                <w:rFonts w:ascii="Times New Roman"/>
                <w:kern w:val="0"/>
                <w:sz w:val="24"/>
                <w:szCs w:val="22"/>
                <w:lang w:val="en-GB"/>
              </w:rPr>
              <w:t>Q1</w:t>
            </w:r>
          </w:p>
        </w:tc>
        <w:tc>
          <w:tcPr>
            <w:tcW w:w="848" w:type="dxa"/>
          </w:tcPr>
          <w:p w:rsidR="005B07E4" w:rsidRPr="00C0663B" w:rsidRDefault="005B07E4" w:rsidP="005B07E4">
            <w:pPr>
              <w:pStyle w:val="Heading5"/>
              <w:spacing w:line="240" w:lineRule="exact"/>
              <w:ind w:left="-108"/>
              <w:rPr>
                <w:rFonts w:ascii="Times New Roman"/>
                <w:kern w:val="0"/>
                <w:sz w:val="24"/>
                <w:szCs w:val="22"/>
                <w:lang w:val="en-GB"/>
              </w:rPr>
            </w:pPr>
            <w:r w:rsidRPr="00C0663B">
              <w:rPr>
                <w:rFonts w:ascii="Times New Roman"/>
                <w:kern w:val="0"/>
                <w:sz w:val="24"/>
                <w:szCs w:val="22"/>
                <w:lang w:val="en-GB"/>
              </w:rPr>
              <w:t>Q2</w:t>
            </w:r>
          </w:p>
        </w:tc>
        <w:tc>
          <w:tcPr>
            <w:tcW w:w="848" w:type="dxa"/>
          </w:tcPr>
          <w:p w:rsidR="005B07E4" w:rsidRPr="00C0663B" w:rsidRDefault="005B07E4" w:rsidP="005B07E4">
            <w:pPr>
              <w:pStyle w:val="Heading5"/>
              <w:spacing w:line="240" w:lineRule="exact"/>
              <w:ind w:left="-108" w:right="-57"/>
              <w:rPr>
                <w:rFonts w:ascii="Times New Roman"/>
                <w:kern w:val="0"/>
                <w:sz w:val="24"/>
                <w:szCs w:val="22"/>
                <w:lang w:val="en-GB"/>
              </w:rPr>
            </w:pPr>
            <w:r w:rsidRPr="00C0663B">
              <w:rPr>
                <w:rFonts w:ascii="Times New Roman"/>
                <w:kern w:val="0"/>
                <w:sz w:val="24"/>
                <w:szCs w:val="22"/>
                <w:lang w:val="en-GB"/>
              </w:rPr>
              <w:t>Q3</w:t>
            </w:r>
          </w:p>
        </w:tc>
        <w:tc>
          <w:tcPr>
            <w:tcW w:w="848" w:type="dxa"/>
          </w:tcPr>
          <w:p w:rsidR="005B07E4" w:rsidRPr="00C0663B" w:rsidRDefault="005B07E4" w:rsidP="005B07E4">
            <w:pPr>
              <w:pStyle w:val="Heading5"/>
              <w:spacing w:line="240" w:lineRule="exact"/>
              <w:ind w:left="-108" w:right="-57"/>
              <w:rPr>
                <w:rFonts w:ascii="Times New Roman"/>
                <w:kern w:val="0"/>
                <w:sz w:val="24"/>
                <w:szCs w:val="22"/>
                <w:lang w:val="en-GB"/>
              </w:rPr>
            </w:pPr>
            <w:r w:rsidRPr="00C0663B">
              <w:rPr>
                <w:rFonts w:ascii="Times New Roman"/>
                <w:kern w:val="0"/>
                <w:sz w:val="24"/>
                <w:szCs w:val="22"/>
                <w:lang w:val="en-GB"/>
              </w:rPr>
              <w:t>Q4</w:t>
            </w:r>
          </w:p>
        </w:tc>
        <w:tc>
          <w:tcPr>
            <w:tcW w:w="851" w:type="dxa"/>
          </w:tcPr>
          <w:p w:rsidR="005B07E4" w:rsidRPr="00C0663B" w:rsidRDefault="005B07E4" w:rsidP="005B07E4">
            <w:pPr>
              <w:pStyle w:val="Heading5"/>
              <w:spacing w:line="240" w:lineRule="exact"/>
              <w:ind w:left="-108" w:right="-57"/>
              <w:rPr>
                <w:rFonts w:ascii="Times New Roman"/>
                <w:kern w:val="0"/>
                <w:sz w:val="24"/>
                <w:szCs w:val="22"/>
                <w:lang w:val="en-GB"/>
              </w:rPr>
            </w:pPr>
            <w:r w:rsidRPr="00C0663B">
              <w:rPr>
                <w:rFonts w:ascii="Times New Roman"/>
                <w:kern w:val="0"/>
                <w:sz w:val="24"/>
                <w:szCs w:val="22"/>
                <w:lang w:val="en-GB"/>
              </w:rPr>
              <w:t>Q1</w:t>
            </w:r>
          </w:p>
        </w:tc>
        <w:tc>
          <w:tcPr>
            <w:tcW w:w="851" w:type="dxa"/>
          </w:tcPr>
          <w:p w:rsidR="005B07E4" w:rsidRPr="00C0663B" w:rsidRDefault="005B07E4" w:rsidP="005B07E4">
            <w:pPr>
              <w:pStyle w:val="Heading5"/>
              <w:spacing w:line="240" w:lineRule="exact"/>
              <w:ind w:left="-108" w:right="-57"/>
              <w:rPr>
                <w:rFonts w:ascii="Times New Roman"/>
                <w:kern w:val="0"/>
                <w:sz w:val="24"/>
                <w:szCs w:val="22"/>
                <w:lang w:val="en-GB"/>
              </w:rPr>
            </w:pPr>
            <w:r w:rsidRPr="00C0663B">
              <w:rPr>
                <w:rFonts w:ascii="Times New Roman"/>
                <w:kern w:val="0"/>
                <w:sz w:val="24"/>
                <w:szCs w:val="22"/>
                <w:lang w:val="en-GB"/>
              </w:rPr>
              <w:t>Q2</w:t>
            </w:r>
          </w:p>
        </w:tc>
      </w:tr>
      <w:tr w:rsidR="005B07E4" w:rsidRPr="00C0663B" w:rsidTr="00C0663B">
        <w:trPr>
          <w:trHeight w:val="197"/>
          <w:jc w:val="center"/>
        </w:trPr>
        <w:tc>
          <w:tcPr>
            <w:tcW w:w="3542" w:type="dxa"/>
          </w:tcPr>
          <w:p w:rsidR="005B07E4" w:rsidRPr="00C0663B" w:rsidRDefault="005B07E4" w:rsidP="005B07E4">
            <w:pPr>
              <w:tabs>
                <w:tab w:val="left" w:pos="492"/>
              </w:tabs>
              <w:snapToGrid w:val="0"/>
              <w:spacing w:line="240" w:lineRule="exact"/>
              <w:ind w:left="-108"/>
              <w:rPr>
                <w:kern w:val="0"/>
                <w:szCs w:val="22"/>
              </w:rPr>
            </w:pPr>
            <w:r w:rsidRPr="00C0663B">
              <w:rPr>
                <w:kern w:val="0"/>
                <w:szCs w:val="22"/>
              </w:rPr>
              <w:t>Manufacturing</w:t>
            </w:r>
          </w:p>
          <w:p w:rsidR="005B07E4" w:rsidRPr="00C0663B" w:rsidRDefault="005B07E4" w:rsidP="005B07E4">
            <w:pPr>
              <w:tabs>
                <w:tab w:val="left" w:pos="492"/>
              </w:tabs>
              <w:snapToGrid w:val="0"/>
              <w:spacing w:line="240" w:lineRule="exact"/>
              <w:rPr>
                <w:kern w:val="0"/>
                <w:szCs w:val="22"/>
              </w:rPr>
            </w:pP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3.7</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3.8</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2.7</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4.3</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4.1</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1.8</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0.7</w:t>
            </w:r>
          </w:p>
        </w:tc>
      </w:tr>
      <w:tr w:rsidR="005B07E4" w:rsidRPr="00C0663B" w:rsidTr="00C0663B">
        <w:trPr>
          <w:trHeight w:val="197"/>
          <w:jc w:val="center"/>
        </w:trPr>
        <w:tc>
          <w:tcPr>
            <w:tcW w:w="3542" w:type="dxa"/>
          </w:tcPr>
          <w:p w:rsidR="005B07E4" w:rsidRPr="00C0663B" w:rsidRDefault="005B07E4" w:rsidP="005B07E4">
            <w:pPr>
              <w:tabs>
                <w:tab w:val="left" w:pos="492"/>
              </w:tabs>
              <w:snapToGrid w:val="0"/>
              <w:spacing w:line="240" w:lineRule="exact"/>
              <w:ind w:left="-108"/>
              <w:rPr>
                <w:kern w:val="0"/>
                <w:szCs w:val="22"/>
              </w:rPr>
            </w:pPr>
            <w:r w:rsidRPr="00C0663B">
              <w:rPr>
                <w:kern w:val="0"/>
                <w:szCs w:val="22"/>
              </w:rPr>
              <w:t>Construction</w:t>
            </w:r>
          </w:p>
          <w:p w:rsidR="005B07E4" w:rsidRPr="00C0663B" w:rsidRDefault="005B07E4" w:rsidP="005B07E4">
            <w:pPr>
              <w:tabs>
                <w:tab w:val="left" w:pos="492"/>
              </w:tabs>
              <w:snapToGrid w:val="0"/>
              <w:spacing w:line="240" w:lineRule="exact"/>
              <w:ind w:left="-108"/>
              <w:rPr>
                <w:kern w:val="0"/>
                <w:szCs w:val="22"/>
              </w:rPr>
            </w:pP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5.6</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-0.3</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6.6</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13.5</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3.8</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9.2</w:t>
            </w:r>
          </w:p>
        </w:tc>
        <w:tc>
          <w:tcPr>
            <w:tcW w:w="851" w:type="dxa"/>
          </w:tcPr>
          <w:p w:rsidR="005B07E4" w:rsidRPr="00C0663B" w:rsidRDefault="00442EC6"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13.2</w:t>
            </w:r>
          </w:p>
        </w:tc>
      </w:tr>
      <w:tr w:rsidR="005B07E4" w:rsidRPr="00C0663B" w:rsidTr="00C0663B">
        <w:trPr>
          <w:trHeight w:val="197"/>
          <w:jc w:val="center"/>
        </w:trPr>
        <w:tc>
          <w:tcPr>
            <w:tcW w:w="3542" w:type="dxa"/>
          </w:tcPr>
          <w:p w:rsidR="005B07E4" w:rsidRPr="00C0663B" w:rsidRDefault="005B07E4" w:rsidP="005B07E4">
            <w:pPr>
              <w:tabs>
                <w:tab w:val="left" w:pos="492"/>
              </w:tabs>
              <w:snapToGrid w:val="0"/>
              <w:spacing w:line="240" w:lineRule="exact"/>
              <w:ind w:left="-108"/>
              <w:rPr>
                <w:kern w:val="0"/>
                <w:szCs w:val="22"/>
                <w:vertAlign w:val="superscript"/>
              </w:rPr>
            </w:pPr>
            <w:r w:rsidRPr="00C0663B">
              <w:rPr>
                <w:kern w:val="0"/>
                <w:szCs w:val="22"/>
              </w:rPr>
              <w:t>Services</w:t>
            </w:r>
          </w:p>
          <w:p w:rsidR="005B07E4" w:rsidRPr="00C0663B" w:rsidRDefault="005B07E4" w:rsidP="005B07E4">
            <w:pPr>
              <w:tabs>
                <w:tab w:val="left" w:pos="492"/>
              </w:tabs>
              <w:snapToGrid w:val="0"/>
              <w:spacing w:line="240" w:lineRule="exact"/>
              <w:ind w:left="-108"/>
              <w:rPr>
                <w:kern w:val="0"/>
                <w:szCs w:val="22"/>
              </w:rPr>
            </w:pP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3.7</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3.4</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1.7</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4.2</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5.3</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3.1</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w:t>
            </w:r>
            <w:r w:rsidR="00442EC6" w:rsidRPr="00C0663B">
              <w:rPr>
                <w:rFonts w:ascii="Times New Roman"/>
                <w:sz w:val="24"/>
                <w:szCs w:val="22"/>
                <w:u w:val="none"/>
              </w:rPr>
              <w:t>0</w:t>
            </w:r>
          </w:p>
        </w:tc>
      </w:tr>
      <w:tr w:rsidR="005B07E4" w:rsidRPr="00C0663B" w:rsidTr="00C0663B">
        <w:trPr>
          <w:trHeight w:val="680"/>
          <w:jc w:val="center"/>
        </w:trPr>
        <w:tc>
          <w:tcPr>
            <w:tcW w:w="3542" w:type="dxa"/>
          </w:tcPr>
          <w:p w:rsidR="005B07E4" w:rsidRPr="00C0663B" w:rsidRDefault="005B07E4" w:rsidP="005B07E4">
            <w:pPr>
              <w:tabs>
                <w:tab w:val="left" w:pos="252"/>
                <w:tab w:val="left" w:pos="612"/>
              </w:tabs>
              <w:snapToGrid w:val="0"/>
              <w:spacing w:line="240" w:lineRule="exact"/>
              <w:ind w:leftChars="105" w:left="641" w:hangingChars="162" w:hanging="389"/>
              <w:rPr>
                <w:kern w:val="0"/>
                <w:szCs w:val="22"/>
              </w:rPr>
            </w:pPr>
            <w:r w:rsidRPr="00C0663B">
              <w:rPr>
                <w:kern w:val="0"/>
                <w:szCs w:val="22"/>
              </w:rPr>
              <w:t>Import/export, wholesale and retail trades</w:t>
            </w: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-0.4</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-7.1</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-3.6</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1.5</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6.5</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0.9</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-0.1</w:t>
            </w:r>
          </w:p>
        </w:tc>
      </w:tr>
      <w:tr w:rsidR="005B07E4" w:rsidRPr="00C0663B" w:rsidTr="00C0663B">
        <w:trPr>
          <w:trHeight w:val="479"/>
          <w:jc w:val="center"/>
        </w:trPr>
        <w:tc>
          <w:tcPr>
            <w:tcW w:w="3542" w:type="dxa"/>
          </w:tcPr>
          <w:p w:rsidR="005B07E4" w:rsidRPr="00C0663B" w:rsidRDefault="005B07E4" w:rsidP="005B07E4">
            <w:pPr>
              <w:tabs>
                <w:tab w:val="left" w:pos="252"/>
                <w:tab w:val="left" w:pos="612"/>
              </w:tabs>
              <w:snapToGrid w:val="0"/>
              <w:spacing w:line="240" w:lineRule="exact"/>
              <w:ind w:left="612" w:hanging="720"/>
              <w:rPr>
                <w:kern w:val="0"/>
                <w:szCs w:val="22"/>
              </w:rPr>
            </w:pPr>
            <w:r w:rsidRPr="00C0663B">
              <w:rPr>
                <w:kern w:val="0"/>
                <w:szCs w:val="22"/>
              </w:rPr>
              <w:tab/>
            </w:r>
            <w:r w:rsidRPr="00C0663B">
              <w:rPr>
                <w:kern w:val="0"/>
                <w:szCs w:val="22"/>
              </w:rPr>
              <w:tab/>
              <w:t xml:space="preserve">Import and export trade </w:t>
            </w: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-4.4</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-12.8</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-7.5</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-1.8</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4.3</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2.2</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2.6</w:t>
            </w:r>
          </w:p>
        </w:tc>
      </w:tr>
      <w:tr w:rsidR="005B07E4" w:rsidRPr="00C0663B" w:rsidTr="00C0663B">
        <w:trPr>
          <w:trHeight w:val="609"/>
          <w:jc w:val="center"/>
        </w:trPr>
        <w:tc>
          <w:tcPr>
            <w:tcW w:w="3542" w:type="dxa"/>
          </w:tcPr>
          <w:p w:rsidR="005B07E4" w:rsidRPr="00C0663B" w:rsidRDefault="005B07E4" w:rsidP="005B07E4">
            <w:pPr>
              <w:tabs>
                <w:tab w:val="left" w:pos="252"/>
                <w:tab w:val="left" w:pos="612"/>
              </w:tabs>
              <w:snapToGrid w:val="0"/>
              <w:spacing w:line="240" w:lineRule="exact"/>
              <w:ind w:left="612" w:hanging="720"/>
              <w:rPr>
                <w:kern w:val="0"/>
                <w:szCs w:val="22"/>
              </w:rPr>
            </w:pPr>
            <w:r w:rsidRPr="00C0663B">
              <w:rPr>
                <w:kern w:val="0"/>
                <w:szCs w:val="22"/>
              </w:rPr>
              <w:tab/>
            </w:r>
            <w:r w:rsidRPr="00C0663B">
              <w:rPr>
                <w:kern w:val="0"/>
                <w:szCs w:val="22"/>
              </w:rPr>
              <w:tab/>
              <w:t>Wholesale and retail trades</w:t>
            </w: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26.0</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43.6</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22.4</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24.5</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19.8</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-6.2</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-14.0</w:t>
            </w:r>
          </w:p>
        </w:tc>
      </w:tr>
      <w:tr w:rsidR="005B07E4" w:rsidRPr="00C0663B" w:rsidTr="00C0663B">
        <w:trPr>
          <w:trHeight w:val="436"/>
          <w:jc w:val="center"/>
        </w:trPr>
        <w:tc>
          <w:tcPr>
            <w:tcW w:w="3542" w:type="dxa"/>
          </w:tcPr>
          <w:p w:rsidR="005B07E4" w:rsidRPr="00C0663B" w:rsidRDefault="005B07E4" w:rsidP="005B07E4">
            <w:pPr>
              <w:tabs>
                <w:tab w:val="left" w:pos="252"/>
                <w:tab w:val="left" w:pos="612"/>
              </w:tabs>
              <w:snapToGrid w:val="0"/>
              <w:spacing w:line="240" w:lineRule="exact"/>
              <w:ind w:leftChars="105" w:left="641" w:hangingChars="162" w:hanging="389"/>
              <w:rPr>
                <w:kern w:val="0"/>
                <w:szCs w:val="22"/>
              </w:rPr>
            </w:pPr>
            <w:r w:rsidRPr="00C0663B">
              <w:rPr>
                <w:kern w:val="0"/>
                <w:szCs w:val="22"/>
              </w:rPr>
              <w:t>Accommodation and food services</w:t>
            </w:r>
          </w:p>
          <w:p w:rsidR="005B07E4" w:rsidRPr="00C0663B" w:rsidRDefault="005B07E4" w:rsidP="005B07E4">
            <w:pPr>
              <w:tabs>
                <w:tab w:val="left" w:pos="252"/>
                <w:tab w:val="left" w:pos="612"/>
              </w:tabs>
              <w:snapToGrid w:val="0"/>
              <w:spacing w:line="240" w:lineRule="exact"/>
              <w:ind w:leftChars="254" w:left="610"/>
              <w:rPr>
                <w:kern w:val="0"/>
                <w:szCs w:val="22"/>
              </w:rPr>
            </w:pP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29.3</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83.9</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22.8</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18.4</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14.6</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0.9</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-6.</w:t>
            </w:r>
            <w:r w:rsidR="00442EC6" w:rsidRPr="00C0663B">
              <w:rPr>
                <w:rFonts w:ascii="Times New Roman"/>
                <w:sz w:val="24"/>
                <w:szCs w:val="22"/>
                <w:u w:val="none"/>
              </w:rPr>
              <w:t>4</w:t>
            </w:r>
          </w:p>
        </w:tc>
      </w:tr>
      <w:tr w:rsidR="005B07E4" w:rsidRPr="00C0663B" w:rsidTr="00C0663B">
        <w:trPr>
          <w:trHeight w:val="690"/>
          <w:jc w:val="center"/>
        </w:trPr>
        <w:tc>
          <w:tcPr>
            <w:tcW w:w="3542" w:type="dxa"/>
          </w:tcPr>
          <w:p w:rsidR="005B07E4" w:rsidRPr="00C0663B" w:rsidRDefault="005B07E4" w:rsidP="005B07E4">
            <w:pPr>
              <w:tabs>
                <w:tab w:val="left" w:pos="252"/>
                <w:tab w:val="left" w:pos="612"/>
              </w:tabs>
              <w:snapToGrid w:val="0"/>
              <w:spacing w:line="240" w:lineRule="exact"/>
              <w:ind w:leftChars="105" w:left="641" w:hangingChars="162" w:hanging="389"/>
              <w:rPr>
                <w:kern w:val="0"/>
                <w:szCs w:val="22"/>
              </w:rPr>
            </w:pPr>
            <w:r w:rsidRPr="00C0663B">
              <w:rPr>
                <w:kern w:val="0"/>
                <w:szCs w:val="22"/>
              </w:rPr>
              <w:t>Transportation, storage, postal and courier services</w:t>
            </w: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30.2</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30.3</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26.8</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31.4</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31.8</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19.5</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10.</w:t>
            </w:r>
            <w:r w:rsidR="00442EC6" w:rsidRPr="00C0663B">
              <w:rPr>
                <w:rFonts w:ascii="Times New Roman"/>
                <w:sz w:val="24"/>
                <w:szCs w:val="22"/>
                <w:u w:val="none"/>
              </w:rPr>
              <w:t>6</w:t>
            </w:r>
          </w:p>
        </w:tc>
      </w:tr>
      <w:tr w:rsidR="005B07E4" w:rsidRPr="00C0663B" w:rsidTr="00C0663B">
        <w:trPr>
          <w:trHeight w:val="430"/>
          <w:jc w:val="center"/>
        </w:trPr>
        <w:tc>
          <w:tcPr>
            <w:tcW w:w="3542" w:type="dxa"/>
          </w:tcPr>
          <w:p w:rsidR="005B07E4" w:rsidRPr="00C0663B" w:rsidRDefault="005B07E4" w:rsidP="005B07E4">
            <w:pPr>
              <w:tabs>
                <w:tab w:val="left" w:pos="252"/>
                <w:tab w:val="left" w:pos="612"/>
              </w:tabs>
              <w:snapToGrid w:val="0"/>
              <w:spacing w:line="240" w:lineRule="exact"/>
              <w:ind w:left="612" w:hanging="720"/>
              <w:rPr>
                <w:kern w:val="0"/>
                <w:szCs w:val="22"/>
              </w:rPr>
            </w:pPr>
            <w:r w:rsidRPr="00C0663B">
              <w:rPr>
                <w:kern w:val="0"/>
                <w:szCs w:val="22"/>
              </w:rPr>
              <w:tab/>
            </w:r>
            <w:r w:rsidRPr="00C0663B">
              <w:rPr>
                <w:kern w:val="0"/>
                <w:szCs w:val="22"/>
              </w:rPr>
              <w:tab/>
              <w:t xml:space="preserve">Transportation and storage </w:t>
            </w: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32.8</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33.0</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29.5</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33.4</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34.6</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20.4</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11.0</w:t>
            </w:r>
          </w:p>
        </w:tc>
      </w:tr>
      <w:tr w:rsidR="005B07E4" w:rsidRPr="00C0663B" w:rsidTr="00C0663B">
        <w:trPr>
          <w:trHeight w:val="590"/>
          <w:jc w:val="center"/>
        </w:trPr>
        <w:tc>
          <w:tcPr>
            <w:tcW w:w="3542" w:type="dxa"/>
          </w:tcPr>
          <w:p w:rsidR="005B07E4" w:rsidRPr="00C0663B" w:rsidRDefault="005B07E4" w:rsidP="005B07E4">
            <w:pPr>
              <w:tabs>
                <w:tab w:val="left" w:pos="252"/>
                <w:tab w:val="left" w:pos="612"/>
              </w:tabs>
              <w:snapToGrid w:val="0"/>
              <w:spacing w:line="240" w:lineRule="exact"/>
              <w:ind w:left="612" w:hanging="720"/>
              <w:rPr>
                <w:kern w:val="0"/>
                <w:szCs w:val="22"/>
              </w:rPr>
            </w:pPr>
            <w:r w:rsidRPr="00C0663B">
              <w:rPr>
                <w:kern w:val="0"/>
                <w:szCs w:val="22"/>
              </w:rPr>
              <w:tab/>
            </w:r>
            <w:r w:rsidRPr="00C0663B">
              <w:rPr>
                <w:kern w:val="0"/>
                <w:szCs w:val="22"/>
              </w:rPr>
              <w:tab/>
              <w:t xml:space="preserve">Postal and courier services </w:t>
            </w:r>
          </w:p>
          <w:p w:rsidR="005B07E4" w:rsidRPr="00C0663B" w:rsidRDefault="005B07E4" w:rsidP="005B07E4">
            <w:pPr>
              <w:tabs>
                <w:tab w:val="left" w:pos="252"/>
                <w:tab w:val="left" w:pos="612"/>
              </w:tabs>
              <w:snapToGrid w:val="0"/>
              <w:spacing w:line="240" w:lineRule="exact"/>
              <w:ind w:left="612" w:hanging="720"/>
              <w:rPr>
                <w:kern w:val="0"/>
                <w:szCs w:val="22"/>
              </w:rPr>
            </w:pP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-17.7</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-15.7</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-19.5</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-16.8</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-18.9</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-6.5</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-1.4</w:t>
            </w:r>
          </w:p>
        </w:tc>
      </w:tr>
      <w:tr w:rsidR="005B07E4" w:rsidRPr="00C0663B" w:rsidTr="00C0663B">
        <w:trPr>
          <w:trHeight w:val="571"/>
          <w:jc w:val="center"/>
        </w:trPr>
        <w:tc>
          <w:tcPr>
            <w:tcW w:w="3542" w:type="dxa"/>
          </w:tcPr>
          <w:p w:rsidR="005B07E4" w:rsidRPr="00C0663B" w:rsidRDefault="005B07E4" w:rsidP="005B07E4">
            <w:pPr>
              <w:tabs>
                <w:tab w:val="left" w:pos="252"/>
                <w:tab w:val="left" w:pos="612"/>
              </w:tabs>
              <w:snapToGrid w:val="0"/>
              <w:spacing w:line="240" w:lineRule="exact"/>
              <w:ind w:leftChars="105" w:left="641" w:hangingChars="162" w:hanging="389"/>
              <w:rPr>
                <w:kern w:val="0"/>
                <w:szCs w:val="22"/>
              </w:rPr>
            </w:pPr>
            <w:r w:rsidRPr="00C0663B">
              <w:rPr>
                <w:kern w:val="0"/>
                <w:szCs w:val="22"/>
              </w:rPr>
              <w:t xml:space="preserve">Information and communications </w:t>
            </w: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1.0</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0.4</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-0.4</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1.8</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2.1</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2.2</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w:t>
            </w:r>
            <w:r w:rsidR="00442EC6" w:rsidRPr="00C0663B">
              <w:rPr>
                <w:rFonts w:ascii="Times New Roman"/>
                <w:sz w:val="24"/>
                <w:szCs w:val="22"/>
                <w:u w:val="none"/>
              </w:rPr>
              <w:t>1</w:t>
            </w:r>
          </w:p>
        </w:tc>
      </w:tr>
      <w:tr w:rsidR="005B07E4" w:rsidRPr="00C0663B" w:rsidTr="00C0663B">
        <w:trPr>
          <w:trHeight w:val="564"/>
          <w:jc w:val="center"/>
        </w:trPr>
        <w:tc>
          <w:tcPr>
            <w:tcW w:w="3542" w:type="dxa"/>
          </w:tcPr>
          <w:p w:rsidR="005B07E4" w:rsidRPr="00C0663B" w:rsidRDefault="005B07E4" w:rsidP="005B07E4">
            <w:pPr>
              <w:tabs>
                <w:tab w:val="left" w:pos="252"/>
                <w:tab w:val="left" w:pos="612"/>
              </w:tabs>
              <w:snapToGrid w:val="0"/>
              <w:spacing w:line="240" w:lineRule="exact"/>
              <w:ind w:leftChars="105" w:left="641" w:hangingChars="162" w:hanging="389"/>
              <w:rPr>
                <w:kern w:val="0"/>
                <w:szCs w:val="22"/>
              </w:rPr>
            </w:pPr>
            <w:r w:rsidRPr="00C0663B">
              <w:rPr>
                <w:kern w:val="0"/>
                <w:szCs w:val="22"/>
              </w:rPr>
              <w:t>Financing and insurance</w:t>
            </w:r>
          </w:p>
          <w:p w:rsidR="005B07E4" w:rsidRPr="00C0663B" w:rsidRDefault="005B07E4" w:rsidP="005B07E4">
            <w:pPr>
              <w:tabs>
                <w:tab w:val="left" w:pos="252"/>
                <w:tab w:val="left" w:pos="612"/>
              </w:tabs>
              <w:snapToGrid w:val="0"/>
              <w:spacing w:line="240" w:lineRule="exact"/>
              <w:ind w:left="612"/>
              <w:rPr>
                <w:kern w:val="0"/>
                <w:szCs w:val="22"/>
              </w:rPr>
            </w:pP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-1.6</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-2.2</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-2.6</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-0.2</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-1.4</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-0.5</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w:t>
            </w:r>
            <w:r w:rsidR="00442EC6" w:rsidRPr="00C0663B">
              <w:rPr>
                <w:rFonts w:ascii="Times New Roman"/>
                <w:sz w:val="24"/>
                <w:szCs w:val="22"/>
                <w:u w:val="none"/>
              </w:rPr>
              <w:t>2</w:t>
            </w:r>
          </w:p>
        </w:tc>
      </w:tr>
      <w:tr w:rsidR="005B07E4" w:rsidRPr="00C0663B" w:rsidTr="00C0663B">
        <w:trPr>
          <w:trHeight w:val="676"/>
          <w:jc w:val="center"/>
        </w:trPr>
        <w:tc>
          <w:tcPr>
            <w:tcW w:w="3542" w:type="dxa"/>
          </w:tcPr>
          <w:p w:rsidR="005B07E4" w:rsidRPr="00C0663B" w:rsidRDefault="005B07E4" w:rsidP="005B07E4">
            <w:pPr>
              <w:tabs>
                <w:tab w:val="left" w:pos="252"/>
                <w:tab w:val="left" w:pos="612"/>
              </w:tabs>
              <w:snapToGrid w:val="0"/>
              <w:spacing w:line="240" w:lineRule="exact"/>
              <w:ind w:leftChars="105" w:left="641" w:rightChars="-36" w:right="-86" w:hangingChars="162" w:hanging="389"/>
              <w:rPr>
                <w:kern w:val="0"/>
                <w:szCs w:val="22"/>
              </w:rPr>
            </w:pPr>
            <w:r w:rsidRPr="00C0663B">
              <w:rPr>
                <w:kern w:val="0"/>
                <w:szCs w:val="22"/>
              </w:rPr>
              <w:t>Real estate, professional and business services</w:t>
            </w:r>
          </w:p>
        </w:tc>
        <w:tc>
          <w:tcPr>
            <w:tcW w:w="1004" w:type="dxa"/>
            <w:shd w:val="clear" w:color="auto" w:fill="auto"/>
          </w:tcPr>
          <w:p w:rsidR="005B07E4" w:rsidRPr="00C0663B" w:rsidRDefault="005B07E4" w:rsidP="00C0663B">
            <w:pPr>
              <w:pStyle w:val="Heading5"/>
              <w:tabs>
                <w:tab w:val="decimal" w:pos="316"/>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2.6</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5.5</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-0.8</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2.8</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2.7</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1.2</w:t>
            </w:r>
          </w:p>
        </w:tc>
        <w:tc>
          <w:tcPr>
            <w:tcW w:w="851" w:type="dxa"/>
          </w:tcPr>
          <w:p w:rsidR="005B07E4" w:rsidRPr="00C0663B" w:rsidRDefault="00442EC6"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2.7</w:t>
            </w:r>
          </w:p>
        </w:tc>
      </w:tr>
      <w:tr w:rsidR="005B07E4" w:rsidRPr="00C0663B" w:rsidTr="00C0663B">
        <w:trPr>
          <w:trHeight w:val="430"/>
          <w:jc w:val="center"/>
        </w:trPr>
        <w:tc>
          <w:tcPr>
            <w:tcW w:w="3542" w:type="dxa"/>
          </w:tcPr>
          <w:p w:rsidR="005B07E4" w:rsidRPr="00C0663B" w:rsidRDefault="005B07E4" w:rsidP="005B07E4">
            <w:pPr>
              <w:tabs>
                <w:tab w:val="left" w:pos="252"/>
                <w:tab w:val="left" w:pos="612"/>
              </w:tabs>
              <w:snapToGrid w:val="0"/>
              <w:spacing w:line="240" w:lineRule="exact"/>
              <w:ind w:left="612"/>
              <w:rPr>
                <w:kern w:val="0"/>
                <w:szCs w:val="22"/>
              </w:rPr>
            </w:pPr>
            <w:r w:rsidRPr="00C0663B">
              <w:rPr>
                <w:kern w:val="0"/>
                <w:szCs w:val="22"/>
              </w:rPr>
              <w:t>Real estate</w:t>
            </w:r>
          </w:p>
        </w:tc>
        <w:tc>
          <w:tcPr>
            <w:tcW w:w="1004"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6.6</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11.5</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1.7</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8.0</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5.0</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1.9</w:t>
            </w:r>
          </w:p>
        </w:tc>
        <w:tc>
          <w:tcPr>
            <w:tcW w:w="851" w:type="dxa"/>
          </w:tcPr>
          <w:p w:rsidR="005B07E4" w:rsidRPr="00C0663B" w:rsidRDefault="00442EC6"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3.4</w:t>
            </w:r>
          </w:p>
        </w:tc>
      </w:tr>
      <w:tr w:rsidR="005B07E4" w:rsidRPr="00C0663B" w:rsidTr="00C0663B">
        <w:trPr>
          <w:trHeight w:val="730"/>
          <w:jc w:val="center"/>
        </w:trPr>
        <w:tc>
          <w:tcPr>
            <w:tcW w:w="3542" w:type="dxa"/>
          </w:tcPr>
          <w:p w:rsidR="005B07E4" w:rsidRPr="00C0663B" w:rsidRDefault="005B07E4" w:rsidP="005B07E4">
            <w:pPr>
              <w:tabs>
                <w:tab w:val="left" w:pos="252"/>
                <w:tab w:val="left" w:pos="612"/>
              </w:tabs>
              <w:snapToGrid w:val="0"/>
              <w:spacing w:line="240" w:lineRule="exact"/>
              <w:ind w:left="612"/>
              <w:rPr>
                <w:kern w:val="0"/>
                <w:szCs w:val="22"/>
              </w:rPr>
            </w:pPr>
            <w:r w:rsidRPr="00C0663B">
              <w:rPr>
                <w:kern w:val="0"/>
                <w:szCs w:val="22"/>
              </w:rPr>
              <w:t>Professional and business services</w:t>
            </w:r>
          </w:p>
          <w:p w:rsidR="005B07E4" w:rsidRPr="00C0663B" w:rsidRDefault="005B07E4" w:rsidP="005B07E4">
            <w:pPr>
              <w:tabs>
                <w:tab w:val="left" w:pos="252"/>
                <w:tab w:val="left" w:pos="612"/>
              </w:tabs>
              <w:snapToGrid w:val="0"/>
              <w:spacing w:line="240" w:lineRule="exact"/>
              <w:ind w:left="612"/>
              <w:rPr>
                <w:kern w:val="0"/>
                <w:szCs w:val="22"/>
              </w:rPr>
            </w:pPr>
          </w:p>
        </w:tc>
        <w:tc>
          <w:tcPr>
            <w:tcW w:w="1004"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0.2</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2.0</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-2.5</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-0.2</w:t>
            </w:r>
          </w:p>
        </w:tc>
        <w:tc>
          <w:tcPr>
            <w:tcW w:w="848"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1.2</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0.7</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2.3</w:t>
            </w:r>
          </w:p>
        </w:tc>
      </w:tr>
      <w:tr w:rsidR="005B07E4" w:rsidRPr="00C0663B" w:rsidTr="00C0663B">
        <w:trPr>
          <w:jc w:val="center"/>
        </w:trPr>
        <w:tc>
          <w:tcPr>
            <w:tcW w:w="3542" w:type="dxa"/>
          </w:tcPr>
          <w:p w:rsidR="005B07E4" w:rsidRPr="00C0663B" w:rsidRDefault="005B07E4" w:rsidP="005B07E4">
            <w:pPr>
              <w:tabs>
                <w:tab w:val="left" w:pos="252"/>
                <w:tab w:val="left" w:pos="612"/>
              </w:tabs>
              <w:snapToGrid w:val="0"/>
              <w:spacing w:line="240" w:lineRule="exact"/>
              <w:ind w:leftChars="105" w:left="641" w:hangingChars="162" w:hanging="389"/>
              <w:rPr>
                <w:kern w:val="0"/>
                <w:szCs w:val="22"/>
              </w:rPr>
            </w:pPr>
            <w:r w:rsidRPr="00C0663B">
              <w:rPr>
                <w:kern w:val="0"/>
                <w:szCs w:val="22"/>
              </w:rPr>
              <w:t xml:space="preserve">Public administration, social and personal services </w:t>
            </w:r>
          </w:p>
          <w:p w:rsidR="005B07E4" w:rsidRPr="00C0663B" w:rsidRDefault="005B07E4" w:rsidP="005B07E4">
            <w:pPr>
              <w:tabs>
                <w:tab w:val="left" w:pos="252"/>
                <w:tab w:val="left" w:pos="612"/>
              </w:tabs>
              <w:snapToGrid w:val="0"/>
              <w:spacing w:line="240" w:lineRule="exact"/>
              <w:ind w:left="612"/>
              <w:rPr>
                <w:kern w:val="0"/>
                <w:szCs w:val="22"/>
              </w:rPr>
            </w:pPr>
          </w:p>
        </w:tc>
        <w:tc>
          <w:tcPr>
            <w:tcW w:w="1004" w:type="dxa"/>
            <w:shd w:val="clear" w:color="auto" w:fill="auto"/>
          </w:tcPr>
          <w:p w:rsidR="005B07E4" w:rsidRPr="00C0663B" w:rsidRDefault="005B07E4" w:rsidP="00C0663B">
            <w:pPr>
              <w:tabs>
                <w:tab w:val="decimal" w:pos="298"/>
              </w:tabs>
              <w:rPr>
                <w:kern w:val="0"/>
                <w:szCs w:val="22"/>
                <w:lang w:eastAsia="zh-HK"/>
              </w:rPr>
            </w:pPr>
            <w:r w:rsidRPr="00C0663B">
              <w:rPr>
                <w:kern w:val="0"/>
                <w:szCs w:val="22"/>
                <w:lang w:eastAsia="zh-HK"/>
              </w:rPr>
              <w:t>3.6</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5.7</w:t>
            </w:r>
          </w:p>
        </w:tc>
        <w:tc>
          <w:tcPr>
            <w:tcW w:w="848" w:type="dxa"/>
            <w:shd w:val="clear" w:color="auto" w:fill="auto"/>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2.4</w:t>
            </w:r>
          </w:p>
        </w:tc>
        <w:tc>
          <w:tcPr>
            <w:tcW w:w="848" w:type="dxa"/>
            <w:shd w:val="clear" w:color="auto" w:fill="auto"/>
          </w:tcPr>
          <w:p w:rsidR="005B07E4" w:rsidRPr="00C0663B" w:rsidRDefault="005B07E4" w:rsidP="00C0663B">
            <w:pPr>
              <w:tabs>
                <w:tab w:val="decimal" w:pos="298"/>
              </w:tabs>
            </w:pPr>
            <w:r w:rsidRPr="00C0663B">
              <w:t>2.9</w:t>
            </w:r>
          </w:p>
        </w:tc>
        <w:tc>
          <w:tcPr>
            <w:tcW w:w="848" w:type="dxa"/>
          </w:tcPr>
          <w:p w:rsidR="005B07E4" w:rsidRPr="00C0663B" w:rsidRDefault="005B07E4" w:rsidP="00C0663B">
            <w:pPr>
              <w:tabs>
                <w:tab w:val="decimal" w:pos="298"/>
              </w:tabs>
            </w:pPr>
            <w:r w:rsidRPr="00C0663B">
              <w:t>3.6</w:t>
            </w:r>
          </w:p>
        </w:tc>
        <w:tc>
          <w:tcPr>
            <w:tcW w:w="851" w:type="dxa"/>
          </w:tcPr>
          <w:p w:rsidR="005B07E4" w:rsidRPr="00C0663B" w:rsidRDefault="005B07E4"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3.1</w:t>
            </w:r>
          </w:p>
        </w:tc>
        <w:tc>
          <w:tcPr>
            <w:tcW w:w="851" w:type="dxa"/>
          </w:tcPr>
          <w:p w:rsidR="005B07E4" w:rsidRPr="00C0663B" w:rsidRDefault="008F67BE" w:rsidP="00C0663B">
            <w:pPr>
              <w:pStyle w:val="Heading5"/>
              <w:tabs>
                <w:tab w:val="decimal" w:pos="252"/>
              </w:tabs>
              <w:overflowPunct w:val="0"/>
              <w:spacing w:line="240" w:lineRule="exact"/>
              <w:ind w:left="-108" w:rightChars="-45"/>
              <w:jc w:val="left"/>
              <w:rPr>
                <w:rFonts w:ascii="Times New Roman"/>
                <w:sz w:val="24"/>
                <w:szCs w:val="22"/>
                <w:u w:val="none"/>
              </w:rPr>
            </w:pPr>
            <w:r w:rsidRPr="00C0663B">
              <w:rPr>
                <w:rFonts w:ascii="Times New Roman"/>
                <w:sz w:val="24"/>
                <w:szCs w:val="22"/>
                <w:u w:val="none"/>
              </w:rPr>
              <w:t>2.</w:t>
            </w:r>
            <w:r w:rsidR="00442EC6" w:rsidRPr="00C0663B">
              <w:rPr>
                <w:rFonts w:ascii="Times New Roman"/>
                <w:sz w:val="24"/>
                <w:szCs w:val="22"/>
                <w:u w:val="none"/>
              </w:rPr>
              <w:t>9</w:t>
            </w:r>
          </w:p>
        </w:tc>
      </w:tr>
    </w:tbl>
    <w:p w:rsidR="00720106" w:rsidRDefault="00720106" w:rsidP="001B3CE6">
      <w:pPr>
        <w:spacing w:line="320" w:lineRule="exact"/>
        <w:ind w:right="-505"/>
        <w:rPr>
          <w:sz w:val="28"/>
          <w:szCs w:val="28"/>
        </w:rPr>
      </w:pPr>
    </w:p>
    <w:p w:rsidR="002B27D0" w:rsidRPr="004110C3" w:rsidRDefault="002B27D0" w:rsidP="002B27D0">
      <w:pPr>
        <w:pStyle w:val="BlockText"/>
        <w:tabs>
          <w:tab w:val="clear" w:pos="720"/>
          <w:tab w:val="left" w:pos="840"/>
          <w:tab w:val="left" w:pos="895"/>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Note :</w:t>
      </w:r>
      <w:r w:rsidRPr="004110C3">
        <w:rPr>
          <w:rFonts w:ascii="Times New Roman"/>
          <w:kern w:val="0"/>
          <w:sz w:val="22"/>
          <w:lang w:val="en-GB"/>
        </w:rPr>
        <w:tab/>
        <w:t xml:space="preserve">Figures are subject to revision later on as more data become available. </w:t>
      </w:r>
    </w:p>
    <w:p w:rsidR="002B27D0" w:rsidRDefault="002B27D0" w:rsidP="000673B8">
      <w:pPr>
        <w:pStyle w:val="BlockText"/>
        <w:tabs>
          <w:tab w:val="clear" w:pos="720"/>
          <w:tab w:val="left" w:pos="840"/>
          <w:tab w:val="left" w:pos="1320"/>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ab/>
      </w:r>
    </w:p>
    <w:p w:rsidR="0076412F" w:rsidRDefault="001370ED" w:rsidP="00F21EB5">
      <w:pPr>
        <w:tabs>
          <w:tab w:val="num" w:pos="1260"/>
        </w:tabs>
        <w:spacing w:line="360" w:lineRule="atLeast"/>
        <w:jc w:val="both"/>
        <w:rPr>
          <w:b/>
          <w:sz w:val="28"/>
          <w:szCs w:val="28"/>
        </w:rPr>
      </w:pPr>
      <w:r w:rsidRPr="004110C3">
        <w:rPr>
          <w:sz w:val="28"/>
          <w:szCs w:val="20"/>
        </w:rPr>
        <w:br w:type="page"/>
      </w:r>
      <w:r w:rsidR="00ED15F0" w:rsidRPr="00482536">
        <w:rPr>
          <w:b/>
          <w:sz w:val="28"/>
          <w:szCs w:val="28"/>
        </w:rPr>
        <w:lastRenderedPageBreak/>
        <w:t>Other</w:t>
      </w:r>
      <w:r w:rsidR="0076412F" w:rsidRPr="00482536">
        <w:rPr>
          <w:b/>
          <w:sz w:val="28"/>
          <w:szCs w:val="28"/>
        </w:rPr>
        <w:t xml:space="preserve"> economic </w:t>
      </w:r>
      <w:r w:rsidR="00A06564" w:rsidRPr="00482536">
        <w:rPr>
          <w:b/>
          <w:sz w:val="28"/>
          <w:szCs w:val="28"/>
        </w:rPr>
        <w:t>developments</w:t>
      </w:r>
    </w:p>
    <w:p w:rsidR="004A6884" w:rsidRPr="00EA7E5B" w:rsidRDefault="004A6884" w:rsidP="00F21EB5">
      <w:pPr>
        <w:tabs>
          <w:tab w:val="num" w:pos="1260"/>
        </w:tabs>
        <w:spacing w:line="360" w:lineRule="atLeast"/>
        <w:jc w:val="both"/>
        <w:rPr>
          <w:color w:val="FF0000"/>
          <w:sz w:val="28"/>
          <w:szCs w:val="28"/>
          <w:highlight w:val="yellow"/>
        </w:rPr>
      </w:pPr>
    </w:p>
    <w:p w:rsidR="007822B6" w:rsidRPr="00B36522" w:rsidRDefault="005B07E4" w:rsidP="00B36522">
      <w:pPr>
        <w:pStyle w:val="BodyText"/>
        <w:numPr>
          <w:ilvl w:val="1"/>
          <w:numId w:val="19"/>
        </w:numPr>
        <w:tabs>
          <w:tab w:val="left" w:pos="1260"/>
        </w:tabs>
        <w:overflowPunct w:val="0"/>
        <w:ind w:left="0" w:right="28" w:firstLine="0"/>
        <w:jc w:val="both"/>
        <w:rPr>
          <w:rFonts w:ascii="Times New Roman"/>
          <w:bCs/>
          <w:szCs w:val="28"/>
        </w:rPr>
      </w:pPr>
      <w:r w:rsidRPr="005605A0">
        <w:rPr>
          <w:rFonts w:ascii="Times New Roman"/>
          <w:bCs/>
          <w:szCs w:val="28"/>
          <w:lang w:val="en-GB"/>
        </w:rPr>
        <w:t>The 202</w:t>
      </w:r>
      <w:r>
        <w:rPr>
          <w:rFonts w:ascii="Times New Roman"/>
          <w:bCs/>
          <w:szCs w:val="28"/>
          <w:lang w:val="en-GB"/>
        </w:rPr>
        <w:t>4</w:t>
      </w:r>
      <w:r w:rsidRPr="005605A0">
        <w:rPr>
          <w:rFonts w:ascii="Times New Roman"/>
          <w:bCs/>
          <w:szCs w:val="28"/>
          <w:lang w:val="en-GB"/>
        </w:rPr>
        <w:t xml:space="preserve"> Policy Address</w:t>
      </w:r>
      <w:r w:rsidR="004C14CA">
        <w:rPr>
          <w:rFonts w:ascii="Times New Roman"/>
          <w:bCs/>
          <w:szCs w:val="28"/>
          <w:lang w:val="en-GB"/>
        </w:rPr>
        <w:t xml:space="preserve"> set</w:t>
      </w:r>
      <w:r w:rsidR="004C14CA" w:rsidRPr="004C14CA">
        <w:rPr>
          <w:rFonts w:ascii="Times New Roman"/>
          <w:bCs/>
          <w:szCs w:val="28"/>
          <w:lang w:val="en-GB"/>
        </w:rPr>
        <w:t xml:space="preserve"> out a range of initiatives to create new impetus for economic development</w:t>
      </w:r>
      <w:r w:rsidR="007822B6">
        <w:rPr>
          <w:rFonts w:ascii="Times New Roman"/>
          <w:bCs/>
          <w:szCs w:val="28"/>
          <w:lang w:val="en-GB"/>
        </w:rPr>
        <w:t xml:space="preserve">.  </w:t>
      </w:r>
      <w:r w:rsidR="007822B6">
        <w:rPr>
          <w:rFonts w:ascii="Times New Roman" w:hint="eastAsia"/>
          <w:bCs/>
          <w:szCs w:val="28"/>
          <w:lang w:val="en-GB"/>
        </w:rPr>
        <w:t>The</w:t>
      </w:r>
      <w:r w:rsidR="007822B6">
        <w:rPr>
          <w:rFonts w:ascii="Times New Roman"/>
          <w:bCs/>
          <w:szCs w:val="28"/>
          <w:lang w:val="en-GB"/>
        </w:rPr>
        <w:t xml:space="preserve">re were measures to consolidate and enhance our advantages, develop new quality productive forces, build Hong Kong into an international hub for high-calibre talents, as well as </w:t>
      </w:r>
      <w:r w:rsidR="006645C7">
        <w:rPr>
          <w:rFonts w:ascii="Times New Roman"/>
          <w:bCs/>
          <w:szCs w:val="28"/>
          <w:lang w:val="en-GB"/>
        </w:rPr>
        <w:t xml:space="preserve">promoting </w:t>
      </w:r>
      <w:r w:rsidR="007822B6">
        <w:rPr>
          <w:rFonts w:ascii="Times New Roman"/>
          <w:bCs/>
          <w:szCs w:val="28"/>
          <w:lang w:val="en-GB"/>
        </w:rPr>
        <w:t>integrate</w:t>
      </w:r>
      <w:r w:rsidR="002048CE">
        <w:rPr>
          <w:rFonts w:ascii="Times New Roman"/>
          <w:bCs/>
          <w:szCs w:val="28"/>
          <w:lang w:val="en-GB"/>
        </w:rPr>
        <w:t>d</w:t>
      </w:r>
      <w:r w:rsidR="007822B6">
        <w:rPr>
          <w:rFonts w:ascii="Times New Roman"/>
          <w:bCs/>
          <w:szCs w:val="28"/>
          <w:lang w:val="en-GB"/>
        </w:rPr>
        <w:t xml:space="preserve"> development of culture, sports and tourism</w:t>
      </w:r>
      <w:r w:rsidR="009B3F7E">
        <w:rPr>
          <w:rFonts w:ascii="Times New Roman"/>
          <w:bCs/>
          <w:szCs w:val="28"/>
          <w:lang w:val="en-GB"/>
        </w:rPr>
        <w:t xml:space="preserve"> for a more diversified economy</w:t>
      </w:r>
      <w:r w:rsidR="007822B6">
        <w:rPr>
          <w:rFonts w:ascii="Times New Roman"/>
          <w:bCs/>
          <w:szCs w:val="28"/>
          <w:lang w:val="en-GB"/>
        </w:rPr>
        <w:t xml:space="preserve">.  </w:t>
      </w:r>
      <w:r w:rsidR="00B36522">
        <w:rPr>
          <w:rFonts w:ascii="Times New Roman"/>
          <w:bCs/>
          <w:szCs w:val="28"/>
          <w:lang w:val="en-GB"/>
        </w:rPr>
        <w:t>Specific initiatives include</w:t>
      </w:r>
      <w:r w:rsidR="007822B6">
        <w:rPr>
          <w:rFonts w:ascii="Times New Roman"/>
          <w:bCs/>
          <w:szCs w:val="28"/>
          <w:lang w:val="en-GB"/>
        </w:rPr>
        <w:t xml:space="preserve"> </w:t>
      </w:r>
      <w:r w:rsidR="007822B6" w:rsidRPr="00B36522">
        <w:rPr>
          <w:rFonts w:ascii="Times New Roman"/>
          <w:bCs/>
          <w:szCs w:val="28"/>
          <w:lang w:val="en-GB"/>
        </w:rPr>
        <w:t>develop</w:t>
      </w:r>
      <w:r w:rsidR="00FE3C0F">
        <w:rPr>
          <w:rFonts w:ascii="Times New Roman"/>
          <w:bCs/>
          <w:szCs w:val="28"/>
          <w:lang w:val="en-GB"/>
        </w:rPr>
        <w:t>ing</w:t>
      </w:r>
      <w:r w:rsidR="007822B6" w:rsidRPr="00B36522">
        <w:rPr>
          <w:rFonts w:ascii="Times New Roman"/>
          <w:bCs/>
          <w:szCs w:val="28"/>
          <w:lang w:val="en-GB"/>
        </w:rPr>
        <w:t xml:space="preserve"> an </w:t>
      </w:r>
      <w:r w:rsidR="007822B6" w:rsidRPr="00B36522">
        <w:rPr>
          <w:rFonts w:ascii="Times New Roman" w:hint="eastAsia"/>
          <w:bCs/>
          <w:szCs w:val="28"/>
          <w:lang w:val="en-GB"/>
        </w:rPr>
        <w:t xml:space="preserve">international gold trading market </w:t>
      </w:r>
      <w:r w:rsidR="002048CE">
        <w:rPr>
          <w:rFonts w:ascii="Times New Roman"/>
          <w:bCs/>
          <w:szCs w:val="28"/>
          <w:lang w:val="en-GB"/>
        </w:rPr>
        <w:t>through measures such as building</w:t>
      </w:r>
      <w:r w:rsidR="002048CE" w:rsidRPr="00B36522">
        <w:rPr>
          <w:rFonts w:ascii="Times New Roman" w:hint="eastAsia"/>
          <w:bCs/>
          <w:szCs w:val="28"/>
          <w:lang w:val="en-GB"/>
        </w:rPr>
        <w:t xml:space="preserve"> </w:t>
      </w:r>
      <w:r w:rsidR="007822B6" w:rsidRPr="00B36522">
        <w:rPr>
          <w:rFonts w:ascii="Times New Roman" w:hint="eastAsia"/>
          <w:bCs/>
          <w:szCs w:val="28"/>
          <w:lang w:val="en-GB"/>
        </w:rPr>
        <w:t>world-class gold storage facilities</w:t>
      </w:r>
      <w:r w:rsidR="007822B6" w:rsidRPr="00B36522">
        <w:rPr>
          <w:rFonts w:ascii="Times New Roman"/>
          <w:bCs/>
          <w:szCs w:val="28"/>
          <w:lang w:val="en-GB"/>
        </w:rPr>
        <w:t xml:space="preserve">; </w:t>
      </w:r>
      <w:r w:rsidR="002048CE">
        <w:rPr>
          <w:rFonts w:ascii="Times New Roman"/>
          <w:bCs/>
          <w:szCs w:val="28"/>
          <w:lang w:val="en-GB"/>
        </w:rPr>
        <w:t>establishing</w:t>
      </w:r>
      <w:r w:rsidR="00FE3C0F">
        <w:rPr>
          <w:rFonts w:ascii="Times New Roman"/>
          <w:bCs/>
          <w:szCs w:val="28"/>
          <w:lang w:val="en-GB"/>
        </w:rPr>
        <w:t xml:space="preserve"> </w:t>
      </w:r>
      <w:r w:rsidR="007822B6" w:rsidRPr="00B36522">
        <w:rPr>
          <w:rFonts w:ascii="Times New Roman" w:hint="eastAsia"/>
          <w:bCs/>
          <w:szCs w:val="28"/>
          <w:lang w:val="en-GB"/>
        </w:rPr>
        <w:t>a commodity trading ecosystem</w:t>
      </w:r>
      <w:r w:rsidR="002048CE">
        <w:rPr>
          <w:rFonts w:ascii="Times New Roman"/>
          <w:bCs/>
          <w:szCs w:val="28"/>
          <w:lang w:val="en-GB"/>
        </w:rPr>
        <w:t xml:space="preserve"> by exploring the introduction of tax concessions and facilitating the set-up of accredited warehouses</w:t>
      </w:r>
      <w:r w:rsidR="0067748F">
        <w:rPr>
          <w:rFonts w:ascii="Times New Roman"/>
          <w:bCs/>
          <w:szCs w:val="28"/>
          <w:lang w:val="en-GB"/>
        </w:rPr>
        <w:t xml:space="preserve"> etc.</w:t>
      </w:r>
      <w:r w:rsidR="007822B6" w:rsidRPr="00B36522">
        <w:rPr>
          <w:rFonts w:ascii="Times New Roman"/>
          <w:bCs/>
          <w:szCs w:val="28"/>
          <w:lang w:val="en-GB"/>
        </w:rPr>
        <w:t xml:space="preserve">; </w:t>
      </w:r>
      <w:r w:rsidR="007822B6" w:rsidRPr="00B36522">
        <w:rPr>
          <w:rFonts w:ascii="Times New Roman"/>
          <w:bCs/>
          <w:szCs w:val="28"/>
        </w:rPr>
        <w:t>b</w:t>
      </w:r>
      <w:r w:rsidR="007822B6" w:rsidRPr="00B36522">
        <w:rPr>
          <w:rFonts w:ascii="Times New Roman" w:hint="eastAsia"/>
          <w:bCs/>
          <w:szCs w:val="28"/>
        </w:rPr>
        <w:t>uild</w:t>
      </w:r>
      <w:r w:rsidR="00FE3C0F">
        <w:rPr>
          <w:rFonts w:ascii="Times New Roman"/>
          <w:bCs/>
          <w:szCs w:val="28"/>
        </w:rPr>
        <w:t>ing</w:t>
      </w:r>
      <w:r w:rsidR="007822B6" w:rsidRPr="00B36522">
        <w:rPr>
          <w:rFonts w:ascii="Times New Roman" w:hint="eastAsia"/>
          <w:bCs/>
          <w:szCs w:val="28"/>
        </w:rPr>
        <w:t xml:space="preserve"> a high value</w:t>
      </w:r>
      <w:r w:rsidR="007822B6" w:rsidRPr="000673B8">
        <w:rPr>
          <w:rFonts w:ascii="Times New Roman" w:hint="eastAsia"/>
          <w:bCs/>
          <w:szCs w:val="28"/>
        </w:rPr>
        <w:t xml:space="preserve">-added supply chain </w:t>
      </w:r>
      <w:r w:rsidR="007822B6" w:rsidRPr="000673B8">
        <w:rPr>
          <w:rFonts w:ascii="Times New Roman"/>
          <w:bCs/>
          <w:szCs w:val="28"/>
        </w:rPr>
        <w:t xml:space="preserve">service </w:t>
      </w:r>
      <w:proofErr w:type="spellStart"/>
      <w:r w:rsidR="007822B6" w:rsidRPr="000673B8">
        <w:rPr>
          <w:rFonts w:ascii="Times New Roman"/>
          <w:bCs/>
          <w:szCs w:val="28"/>
        </w:rPr>
        <w:t>centre</w:t>
      </w:r>
      <w:proofErr w:type="spellEnd"/>
      <w:r w:rsidR="002048CE" w:rsidRPr="000673B8">
        <w:rPr>
          <w:rFonts w:ascii="Times New Roman"/>
          <w:bCs/>
          <w:szCs w:val="28"/>
        </w:rPr>
        <w:t xml:space="preserve"> to </w:t>
      </w:r>
      <w:r w:rsidR="000B1F60" w:rsidRPr="000673B8">
        <w:rPr>
          <w:rFonts w:ascii="Times New Roman"/>
          <w:bCs/>
          <w:szCs w:val="28"/>
        </w:rPr>
        <w:t xml:space="preserve">help </w:t>
      </w:r>
      <w:r w:rsidR="002048CE" w:rsidRPr="000673B8">
        <w:rPr>
          <w:rFonts w:ascii="Times New Roman"/>
          <w:bCs/>
          <w:szCs w:val="28"/>
        </w:rPr>
        <w:t>Mainland enterprises</w:t>
      </w:r>
      <w:r w:rsidR="000B1F60" w:rsidRPr="000673B8">
        <w:rPr>
          <w:rFonts w:ascii="Times New Roman"/>
          <w:bCs/>
          <w:szCs w:val="28"/>
        </w:rPr>
        <w:t xml:space="preserve"> “go global”</w:t>
      </w:r>
      <w:r w:rsidR="007822B6" w:rsidRPr="000673B8">
        <w:rPr>
          <w:rFonts w:ascii="Times New Roman"/>
          <w:bCs/>
          <w:szCs w:val="28"/>
        </w:rPr>
        <w:t>.</w:t>
      </w:r>
      <w:r w:rsidR="007822B6" w:rsidRPr="00B36522">
        <w:rPr>
          <w:rFonts w:ascii="Times New Roman"/>
          <w:bCs/>
          <w:szCs w:val="28"/>
        </w:rPr>
        <w:t xml:space="preserve">  </w:t>
      </w:r>
      <w:r w:rsidR="007822B6" w:rsidRPr="00B36522">
        <w:rPr>
          <w:rFonts w:ascii="Times New Roman"/>
          <w:bCs/>
          <w:szCs w:val="28"/>
          <w:lang w:val="en-GB"/>
        </w:rPr>
        <w:t>Moreover, the Government will reduce the import duty on liquor</w:t>
      </w:r>
      <w:r w:rsidR="002048CE">
        <w:rPr>
          <w:rFonts w:ascii="Times New Roman"/>
          <w:bCs/>
          <w:szCs w:val="28"/>
          <w:lang w:val="en-GB"/>
        </w:rPr>
        <w:t xml:space="preserve"> with a view to</w:t>
      </w:r>
      <w:r w:rsidR="002048CE" w:rsidRPr="00B36522">
        <w:rPr>
          <w:rFonts w:ascii="Times New Roman"/>
          <w:bCs/>
          <w:szCs w:val="28"/>
          <w:lang w:val="en-GB"/>
        </w:rPr>
        <w:t xml:space="preserve"> </w:t>
      </w:r>
      <w:r w:rsidR="007822B6" w:rsidRPr="00B36522">
        <w:rPr>
          <w:rFonts w:ascii="Times New Roman"/>
          <w:bCs/>
          <w:szCs w:val="28"/>
          <w:lang w:val="en-GB"/>
        </w:rPr>
        <w:t xml:space="preserve">fostering trading of liquor and boosting development of </w:t>
      </w:r>
      <w:r w:rsidR="006645C7">
        <w:rPr>
          <w:rFonts w:ascii="Times New Roman"/>
          <w:bCs/>
          <w:szCs w:val="28"/>
          <w:lang w:val="en-GB"/>
        </w:rPr>
        <w:t xml:space="preserve">related </w:t>
      </w:r>
      <w:r w:rsidR="007822B6" w:rsidRPr="00B36522">
        <w:rPr>
          <w:rFonts w:ascii="Times New Roman"/>
          <w:bCs/>
          <w:szCs w:val="28"/>
          <w:lang w:val="en-GB"/>
        </w:rPr>
        <w:t>high value-added industries</w:t>
      </w:r>
      <w:r w:rsidR="006D2C76">
        <w:rPr>
          <w:rFonts w:ascii="Times New Roman"/>
          <w:bCs/>
          <w:szCs w:val="28"/>
          <w:lang w:val="en-GB"/>
        </w:rPr>
        <w:t>.</w:t>
      </w:r>
      <w:r w:rsidR="00377BE2">
        <w:rPr>
          <w:rFonts w:ascii="Times New Roman"/>
          <w:bCs/>
          <w:szCs w:val="28"/>
          <w:lang w:val="en-GB"/>
        </w:rPr>
        <w:t xml:space="preserve">  </w:t>
      </w:r>
    </w:p>
    <w:p w:rsidR="007516E2" w:rsidRPr="0075149B" w:rsidRDefault="007516E2" w:rsidP="0075149B">
      <w:pPr>
        <w:pStyle w:val="BodyText"/>
        <w:tabs>
          <w:tab w:val="left" w:pos="1260"/>
        </w:tabs>
        <w:overflowPunct w:val="0"/>
        <w:ind w:right="28"/>
        <w:jc w:val="both"/>
        <w:rPr>
          <w:rFonts w:ascii="Times New Roman"/>
          <w:kern w:val="0"/>
          <w:lang w:val="en-GB"/>
        </w:rPr>
      </w:pPr>
    </w:p>
    <w:p w:rsidR="007E0D16" w:rsidRPr="008F67BE" w:rsidRDefault="005B07E4" w:rsidP="0067748F">
      <w:pPr>
        <w:pStyle w:val="BodyText"/>
        <w:numPr>
          <w:ilvl w:val="1"/>
          <w:numId w:val="19"/>
        </w:numPr>
        <w:tabs>
          <w:tab w:val="left" w:pos="1260"/>
        </w:tabs>
        <w:overflowPunct w:val="0"/>
        <w:ind w:left="0" w:right="28" w:firstLine="0"/>
        <w:jc w:val="both"/>
        <w:rPr>
          <w:rFonts w:ascii="Times New Roman"/>
          <w:kern w:val="0"/>
          <w:lang w:val="en-GB"/>
        </w:rPr>
      </w:pPr>
      <w:r w:rsidRPr="004C14CA">
        <w:rPr>
          <w:rFonts w:ascii="Times New Roman"/>
          <w:szCs w:val="28"/>
          <w:lang w:val="en-GB"/>
        </w:rPr>
        <w:t xml:space="preserve">In the </w:t>
      </w:r>
      <w:r w:rsidRPr="004C14CA">
        <w:rPr>
          <w:rFonts w:ascii="Times New Roman"/>
          <w:i/>
          <w:szCs w:val="28"/>
          <w:lang w:val="en-GB"/>
        </w:rPr>
        <w:t>Economic Freedom of the World 202</w:t>
      </w:r>
      <w:r w:rsidR="004C14CA">
        <w:rPr>
          <w:rFonts w:ascii="Times New Roman"/>
          <w:i/>
          <w:szCs w:val="28"/>
          <w:lang w:val="en-GB"/>
        </w:rPr>
        <w:t>4</w:t>
      </w:r>
      <w:r w:rsidRPr="004C14CA">
        <w:rPr>
          <w:rFonts w:ascii="Times New Roman"/>
          <w:i/>
          <w:szCs w:val="28"/>
          <w:lang w:val="en-GB"/>
        </w:rPr>
        <w:t xml:space="preserve"> Annual Report</w:t>
      </w:r>
      <w:r w:rsidRPr="004C14CA">
        <w:rPr>
          <w:rFonts w:ascii="Times New Roman"/>
          <w:szCs w:val="28"/>
          <w:lang w:val="en-GB"/>
        </w:rPr>
        <w:t xml:space="preserve"> </w:t>
      </w:r>
      <w:r w:rsidRPr="004C14CA">
        <w:rPr>
          <w:rFonts w:ascii="Times New Roman"/>
          <w:bCs/>
          <w:szCs w:val="28"/>
          <w:lang w:val="en-GB"/>
        </w:rPr>
        <w:t>published</w:t>
      </w:r>
      <w:r w:rsidRPr="004C14CA">
        <w:rPr>
          <w:rFonts w:ascii="Times New Roman"/>
          <w:szCs w:val="28"/>
          <w:lang w:val="en-GB"/>
        </w:rPr>
        <w:t xml:space="preserve"> by the Fraser Institute, Hong Kong </w:t>
      </w:r>
      <w:r w:rsidR="007B6631" w:rsidRPr="004C14CA">
        <w:rPr>
          <w:rFonts w:ascii="Times New Roman"/>
          <w:szCs w:val="28"/>
          <w:lang w:val="en-GB"/>
        </w:rPr>
        <w:t>rank</w:t>
      </w:r>
      <w:r w:rsidR="007B6631">
        <w:rPr>
          <w:rFonts w:ascii="Times New Roman"/>
          <w:szCs w:val="28"/>
          <w:lang w:val="en-GB"/>
        </w:rPr>
        <w:t>ed</w:t>
      </w:r>
      <w:r w:rsidR="007B6631" w:rsidRPr="004C14CA">
        <w:rPr>
          <w:rFonts w:ascii="Times New Roman"/>
          <w:szCs w:val="28"/>
          <w:lang w:val="en-GB"/>
        </w:rPr>
        <w:t xml:space="preserve"> </w:t>
      </w:r>
      <w:r w:rsidR="002E6EFC">
        <w:rPr>
          <w:rFonts w:ascii="Times New Roman"/>
          <w:szCs w:val="28"/>
          <w:lang w:val="en-GB"/>
        </w:rPr>
        <w:t>as the world’</w:t>
      </w:r>
      <w:r w:rsidR="004C14CA" w:rsidRPr="004C14CA">
        <w:rPr>
          <w:rFonts w:ascii="Times New Roman"/>
          <w:szCs w:val="28"/>
          <w:lang w:val="en-GB"/>
        </w:rPr>
        <w:t>s freest economies among 165 economies</w:t>
      </w:r>
      <w:r w:rsidRPr="004C14CA">
        <w:rPr>
          <w:rFonts w:ascii="Times New Roman"/>
          <w:szCs w:val="28"/>
          <w:lang w:val="en-GB"/>
        </w:rPr>
        <w:t xml:space="preserve">.  Among the five areas of assessment, </w:t>
      </w:r>
      <w:r w:rsidR="004C14CA" w:rsidRPr="004C14CA">
        <w:rPr>
          <w:rFonts w:ascii="Times New Roman"/>
          <w:szCs w:val="28"/>
          <w:lang w:val="en-GB"/>
        </w:rPr>
        <w:t xml:space="preserve">Hong Kong </w:t>
      </w:r>
      <w:r w:rsidR="007B6631" w:rsidRPr="004C14CA">
        <w:rPr>
          <w:rFonts w:ascii="Times New Roman"/>
          <w:szCs w:val="28"/>
          <w:lang w:val="en-GB"/>
        </w:rPr>
        <w:t>rank</w:t>
      </w:r>
      <w:r w:rsidR="007B6631">
        <w:rPr>
          <w:rFonts w:ascii="Times New Roman"/>
          <w:szCs w:val="28"/>
          <w:lang w:val="en-GB"/>
        </w:rPr>
        <w:t>ed</w:t>
      </w:r>
      <w:r w:rsidR="007B6631" w:rsidRPr="004C14CA">
        <w:rPr>
          <w:rFonts w:ascii="Times New Roman"/>
          <w:szCs w:val="28"/>
          <w:lang w:val="en-GB"/>
        </w:rPr>
        <w:t xml:space="preserve"> </w:t>
      </w:r>
      <w:r w:rsidR="004C14CA" w:rsidRPr="004C14CA">
        <w:rPr>
          <w:rFonts w:ascii="Times New Roman"/>
          <w:szCs w:val="28"/>
          <w:lang w:val="en-GB"/>
        </w:rPr>
        <w:t xml:space="preserve">top in </w:t>
      </w:r>
      <w:r w:rsidR="004C14CA">
        <w:rPr>
          <w:rFonts w:ascii="Times New Roman"/>
          <w:szCs w:val="28"/>
          <w:lang w:val="en-GB"/>
        </w:rPr>
        <w:t>“</w:t>
      </w:r>
      <w:r w:rsidR="004C14CA" w:rsidRPr="004C14CA">
        <w:rPr>
          <w:rFonts w:ascii="Times New Roman"/>
          <w:szCs w:val="28"/>
          <w:lang w:val="en-GB"/>
        </w:rPr>
        <w:t>Freedom to trade internationally</w:t>
      </w:r>
      <w:r w:rsidR="004C14CA">
        <w:rPr>
          <w:rFonts w:ascii="Times New Roman"/>
          <w:szCs w:val="28"/>
          <w:lang w:val="en-GB"/>
        </w:rPr>
        <w:t>”</w:t>
      </w:r>
      <w:r w:rsidR="004C14CA" w:rsidRPr="004C14CA">
        <w:rPr>
          <w:rFonts w:ascii="Times New Roman"/>
          <w:szCs w:val="28"/>
          <w:lang w:val="en-GB"/>
        </w:rPr>
        <w:t xml:space="preserve"> and </w:t>
      </w:r>
      <w:r w:rsidR="004C14CA">
        <w:rPr>
          <w:rFonts w:ascii="Times New Roman"/>
          <w:szCs w:val="28"/>
          <w:lang w:val="en-GB"/>
        </w:rPr>
        <w:t>“</w:t>
      </w:r>
      <w:r w:rsidR="004C14CA" w:rsidRPr="004C14CA">
        <w:rPr>
          <w:rFonts w:ascii="Times New Roman"/>
          <w:szCs w:val="28"/>
          <w:lang w:val="en-GB"/>
        </w:rPr>
        <w:t>Regulation</w:t>
      </w:r>
      <w:r w:rsidR="004C14CA">
        <w:rPr>
          <w:rFonts w:ascii="Times New Roman"/>
          <w:szCs w:val="28"/>
          <w:lang w:val="en-GB"/>
        </w:rPr>
        <w:t>”</w:t>
      </w:r>
      <w:r w:rsidR="004C14CA" w:rsidRPr="004C14CA">
        <w:rPr>
          <w:rFonts w:ascii="Times New Roman"/>
          <w:szCs w:val="28"/>
          <w:lang w:val="en-GB"/>
        </w:rPr>
        <w:t xml:space="preserve">, and its ranking in </w:t>
      </w:r>
      <w:r w:rsidR="004C14CA">
        <w:rPr>
          <w:rFonts w:ascii="Times New Roman"/>
          <w:szCs w:val="28"/>
          <w:lang w:val="en-GB"/>
        </w:rPr>
        <w:t>“</w:t>
      </w:r>
      <w:r w:rsidR="004C14CA" w:rsidRPr="004C14CA">
        <w:rPr>
          <w:rFonts w:ascii="Times New Roman"/>
          <w:szCs w:val="28"/>
          <w:lang w:val="en-GB"/>
        </w:rPr>
        <w:t>Sound money</w:t>
      </w:r>
      <w:r w:rsidR="004C14CA">
        <w:rPr>
          <w:rFonts w:ascii="Times New Roman"/>
          <w:szCs w:val="28"/>
          <w:lang w:val="en-GB"/>
        </w:rPr>
        <w:t>”</w:t>
      </w:r>
      <w:r w:rsidR="004C14CA" w:rsidRPr="004C14CA">
        <w:rPr>
          <w:rFonts w:ascii="Times New Roman"/>
          <w:szCs w:val="28"/>
          <w:lang w:val="en-GB"/>
        </w:rPr>
        <w:t xml:space="preserve"> </w:t>
      </w:r>
      <w:r w:rsidR="007B6631" w:rsidRPr="004C14CA">
        <w:rPr>
          <w:rFonts w:ascii="Times New Roman"/>
          <w:szCs w:val="28"/>
          <w:lang w:val="en-GB"/>
        </w:rPr>
        <w:t>r</w:t>
      </w:r>
      <w:r w:rsidR="007B6631">
        <w:rPr>
          <w:rFonts w:ascii="Times New Roman"/>
          <w:szCs w:val="28"/>
          <w:lang w:val="en-GB"/>
        </w:rPr>
        <w:t>ose</w:t>
      </w:r>
      <w:r w:rsidR="007B6631" w:rsidRPr="004C14CA">
        <w:rPr>
          <w:rFonts w:ascii="Times New Roman"/>
          <w:szCs w:val="28"/>
          <w:lang w:val="en-GB"/>
        </w:rPr>
        <w:t xml:space="preserve"> </w:t>
      </w:r>
      <w:r w:rsidR="004C14CA" w:rsidRPr="004C14CA">
        <w:rPr>
          <w:rFonts w:ascii="Times New Roman"/>
          <w:szCs w:val="28"/>
          <w:lang w:val="en-GB"/>
        </w:rPr>
        <w:t>to third globally</w:t>
      </w:r>
      <w:r w:rsidRPr="004C14CA">
        <w:rPr>
          <w:rFonts w:ascii="Times New Roman"/>
          <w:szCs w:val="28"/>
          <w:lang w:val="en-GB"/>
        </w:rPr>
        <w:t>.</w:t>
      </w:r>
      <w:r w:rsidRPr="007E7048">
        <w:rPr>
          <w:rFonts w:ascii="Times New Roman"/>
          <w:szCs w:val="28"/>
          <w:lang w:val="en-GB"/>
        </w:rPr>
        <w:t xml:space="preserve"> </w:t>
      </w:r>
      <w:r>
        <w:rPr>
          <w:rFonts w:ascii="Times New Roman"/>
          <w:szCs w:val="28"/>
          <w:lang w:val="en-GB"/>
        </w:rPr>
        <w:t xml:space="preserve"> </w:t>
      </w:r>
      <w:r w:rsidR="008F67BE" w:rsidRPr="008F67BE">
        <w:rPr>
          <w:rFonts w:ascii="Times New Roman"/>
          <w:kern w:val="0"/>
          <w:lang w:val="en-GB"/>
        </w:rPr>
        <w:t> </w:t>
      </w:r>
      <w:r w:rsidR="004C14CA">
        <w:rPr>
          <w:rFonts w:ascii="Times New Roman"/>
          <w:kern w:val="0"/>
          <w:lang w:val="en-GB"/>
        </w:rPr>
        <w:t>I</w:t>
      </w:r>
      <w:r w:rsidR="008F67BE" w:rsidRPr="008F67BE">
        <w:rPr>
          <w:rFonts w:ascii="Times New Roman"/>
          <w:kern w:val="0"/>
          <w:lang w:val="en-GB"/>
        </w:rPr>
        <w:t xml:space="preserve">n the </w:t>
      </w:r>
      <w:r w:rsidR="008F67BE" w:rsidRPr="004C14CA">
        <w:rPr>
          <w:rFonts w:ascii="Times New Roman"/>
          <w:i/>
          <w:kern w:val="0"/>
          <w:lang w:val="en-GB"/>
        </w:rPr>
        <w:t>Global Financial Centres Index 36 Report</w:t>
      </w:r>
      <w:r w:rsidR="008F67BE" w:rsidRPr="008F67BE">
        <w:rPr>
          <w:rFonts w:ascii="Times New Roman"/>
          <w:kern w:val="0"/>
          <w:lang w:val="en-GB"/>
        </w:rPr>
        <w:t xml:space="preserve"> published by Z/Yen from the United Kingdom and the China Development Institute from Shenzhen, </w:t>
      </w:r>
      <w:r w:rsidR="004C14CA" w:rsidRPr="004C14CA">
        <w:rPr>
          <w:rFonts w:ascii="Times New Roman"/>
          <w:kern w:val="0"/>
          <w:lang w:val="en-GB"/>
        </w:rPr>
        <w:t>Hong Kong ranked third globally</w:t>
      </w:r>
      <w:r w:rsidR="004C14CA">
        <w:rPr>
          <w:rFonts w:ascii="Times New Roman"/>
          <w:kern w:val="0"/>
          <w:lang w:val="en-GB"/>
        </w:rPr>
        <w:t>,</w:t>
      </w:r>
      <w:r w:rsidR="004C14CA" w:rsidRPr="004C14CA">
        <w:rPr>
          <w:rFonts w:ascii="Times New Roman"/>
          <w:kern w:val="0"/>
          <w:lang w:val="en-GB"/>
        </w:rPr>
        <w:t xml:space="preserve"> </w:t>
      </w:r>
      <w:r w:rsidR="008F67BE" w:rsidRPr="008F67BE">
        <w:rPr>
          <w:rFonts w:ascii="Times New Roman"/>
          <w:kern w:val="0"/>
          <w:lang w:val="en-GB"/>
        </w:rPr>
        <w:t xml:space="preserve">moving up one place from the March issue of the index this year. </w:t>
      </w:r>
      <w:r w:rsidR="00840577">
        <w:rPr>
          <w:rFonts w:ascii="Times New Roman"/>
          <w:kern w:val="0"/>
          <w:lang w:val="en-GB"/>
        </w:rPr>
        <w:t xml:space="preserve"> </w:t>
      </w:r>
      <w:r w:rsidR="008F67BE" w:rsidRPr="008F67BE">
        <w:rPr>
          <w:rFonts w:ascii="Times New Roman"/>
          <w:kern w:val="0"/>
          <w:lang w:val="en-GB"/>
        </w:rPr>
        <w:t xml:space="preserve">Hong Kong also ranked first in the Asia-Pacific region.  </w:t>
      </w:r>
      <w:r w:rsidR="001E0DA8" w:rsidRPr="008F67BE">
        <w:rPr>
          <w:rFonts w:ascii="Times New Roman"/>
          <w:szCs w:val="28"/>
          <w:lang w:val="en-GB"/>
        </w:rPr>
        <w:t xml:space="preserve">In the </w:t>
      </w:r>
      <w:r w:rsidR="001E0DA8" w:rsidRPr="000673B8">
        <w:rPr>
          <w:rFonts w:ascii="Times New Roman"/>
          <w:i/>
          <w:szCs w:val="28"/>
          <w:lang w:val="en-GB"/>
        </w:rPr>
        <w:t>World Talent Ranking 2024</w:t>
      </w:r>
      <w:r w:rsidR="001E0DA8" w:rsidRPr="008F67BE">
        <w:rPr>
          <w:rFonts w:ascii="Times New Roman"/>
          <w:szCs w:val="28"/>
          <w:lang w:val="en-GB"/>
        </w:rPr>
        <w:t xml:space="preserve"> published by the International Institute for Management Development, Hong Kong’s ranking rose visibly to nine, from 16 last year, </w:t>
      </w:r>
      <w:r w:rsidR="0067748F">
        <w:rPr>
          <w:rFonts w:ascii="Times New Roman"/>
          <w:szCs w:val="28"/>
          <w:lang w:val="en-GB"/>
        </w:rPr>
        <w:t xml:space="preserve">being </w:t>
      </w:r>
      <w:r w:rsidR="001E0DA8" w:rsidRPr="008F67BE">
        <w:rPr>
          <w:rFonts w:ascii="Times New Roman"/>
          <w:szCs w:val="28"/>
          <w:lang w:val="en-GB"/>
        </w:rPr>
        <w:t xml:space="preserve">the top 10 for the first time since 2016.  </w:t>
      </w:r>
      <w:r w:rsidRPr="001D6DAA">
        <w:rPr>
          <w:rFonts w:ascii="Times New Roman"/>
          <w:color w:val="000000" w:themeColor="text1"/>
          <w:szCs w:val="28"/>
          <w:lang w:val="en-GB"/>
        </w:rPr>
        <w:t xml:space="preserve">Separately, in the </w:t>
      </w:r>
      <w:r w:rsidRPr="001D6DAA">
        <w:rPr>
          <w:rFonts w:ascii="Times New Roman"/>
          <w:i/>
          <w:color w:val="000000" w:themeColor="text1"/>
          <w:szCs w:val="28"/>
          <w:lang w:val="en-GB"/>
        </w:rPr>
        <w:t>Global Innovation Index 202</w:t>
      </w:r>
      <w:r w:rsidR="001E0DA8" w:rsidRPr="001D6DAA">
        <w:rPr>
          <w:rFonts w:ascii="Times New Roman"/>
          <w:i/>
          <w:color w:val="000000" w:themeColor="text1"/>
          <w:szCs w:val="28"/>
          <w:lang w:val="en-GB"/>
        </w:rPr>
        <w:t>4</w:t>
      </w:r>
      <w:r w:rsidRPr="001D6DAA">
        <w:rPr>
          <w:rFonts w:ascii="Times New Roman"/>
          <w:color w:val="000000" w:themeColor="text1"/>
          <w:szCs w:val="28"/>
          <w:lang w:val="en-GB"/>
        </w:rPr>
        <w:t xml:space="preserve"> published by the World Intellectual Property Organization</w:t>
      </w:r>
      <w:r w:rsidR="00746B70">
        <w:rPr>
          <w:rFonts w:ascii="Times New Roman"/>
          <w:color w:val="000000" w:themeColor="text1"/>
          <w:szCs w:val="28"/>
          <w:lang w:val="en-GB"/>
        </w:rPr>
        <w:t xml:space="preserve">, Shenzhen-Hong Kong-Guangzhou cluster continued to rank second </w:t>
      </w:r>
      <w:r w:rsidR="0067748F">
        <w:rPr>
          <w:rFonts w:ascii="Times New Roman"/>
          <w:color w:val="000000" w:themeColor="text1"/>
          <w:szCs w:val="28"/>
          <w:lang w:val="en-GB"/>
        </w:rPr>
        <w:t xml:space="preserve">among </w:t>
      </w:r>
      <w:r w:rsidR="00487FDC">
        <w:rPr>
          <w:rFonts w:ascii="Times New Roman"/>
          <w:color w:val="000000" w:themeColor="text1"/>
          <w:szCs w:val="28"/>
          <w:lang w:val="en-GB"/>
        </w:rPr>
        <w:t xml:space="preserve">the </w:t>
      </w:r>
      <w:r w:rsidR="0067748F">
        <w:rPr>
          <w:rFonts w:ascii="Times New Roman"/>
          <w:color w:val="000000" w:themeColor="text1"/>
          <w:szCs w:val="28"/>
          <w:lang w:val="en-GB"/>
        </w:rPr>
        <w:t xml:space="preserve">top 100 science and technology clusters </w:t>
      </w:r>
      <w:r w:rsidR="00746B70">
        <w:rPr>
          <w:rFonts w:ascii="Times New Roman"/>
          <w:color w:val="000000" w:themeColor="text1"/>
          <w:szCs w:val="28"/>
          <w:lang w:val="en-GB"/>
        </w:rPr>
        <w:t xml:space="preserve">for the fifth consecutive year.  </w:t>
      </w:r>
    </w:p>
    <w:p w:rsidR="008F67BE" w:rsidRDefault="008F67BE">
      <w:pPr>
        <w:widowControl/>
        <w:rPr>
          <w:b/>
          <w:bCs/>
          <w:kern w:val="0"/>
          <w:sz w:val="28"/>
        </w:rPr>
      </w:pPr>
    </w:p>
    <w:p w:rsidR="001E0DA8" w:rsidRDefault="001E0DA8">
      <w:pPr>
        <w:widowControl/>
        <w:rPr>
          <w:b/>
          <w:bCs/>
          <w:kern w:val="0"/>
          <w:sz w:val="28"/>
        </w:rPr>
      </w:pPr>
    </w:p>
    <w:p w:rsidR="007D3D26" w:rsidRDefault="007D3D26">
      <w:pPr>
        <w:widowControl/>
        <w:rPr>
          <w:b/>
          <w:bCs/>
          <w:kern w:val="0"/>
          <w:sz w:val="28"/>
        </w:rPr>
      </w:pPr>
      <w:r>
        <w:rPr>
          <w:b/>
          <w:bCs/>
          <w:kern w:val="0"/>
          <w:sz w:val="28"/>
        </w:rPr>
        <w:br w:type="page"/>
      </w:r>
    </w:p>
    <w:p w:rsidR="00662CF9" w:rsidRPr="00327CE5" w:rsidRDefault="00662CF9" w:rsidP="00B25A11">
      <w:pPr>
        <w:widowControl/>
        <w:rPr>
          <w:b/>
          <w:bCs/>
          <w:kern w:val="0"/>
          <w:sz w:val="28"/>
        </w:rPr>
      </w:pPr>
      <w:r w:rsidRPr="00327CE5">
        <w:rPr>
          <w:b/>
          <w:bCs/>
          <w:kern w:val="0"/>
          <w:sz w:val="28"/>
        </w:rPr>
        <w:lastRenderedPageBreak/>
        <w:t>Notes :</w:t>
      </w:r>
    </w:p>
    <w:p w:rsidR="00C127A9" w:rsidRPr="004110C3" w:rsidRDefault="00C127A9" w:rsidP="00C127A9">
      <w:pPr>
        <w:tabs>
          <w:tab w:val="left" w:pos="1080"/>
          <w:tab w:val="left" w:pos="2790"/>
        </w:tabs>
        <w:snapToGrid w:val="0"/>
        <w:spacing w:line="220" w:lineRule="exact"/>
        <w:ind w:right="28"/>
        <w:jc w:val="both"/>
        <w:rPr>
          <w:kern w:val="0"/>
        </w:rPr>
      </w:pPr>
    </w:p>
    <w:p w:rsidR="00C127A9" w:rsidRPr="004110C3"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kern w:val="0"/>
        </w:rPr>
      </w:pPr>
      <w:r w:rsidRPr="00327CE5">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rsidR="00C127A9" w:rsidRPr="00327CE5" w:rsidRDefault="00C127A9" w:rsidP="00C127A9">
      <w:pPr>
        <w:tabs>
          <w:tab w:val="left" w:pos="900"/>
          <w:tab w:val="left" w:pos="1080"/>
          <w:tab w:val="left" w:pos="2790"/>
        </w:tabs>
        <w:snapToGrid w:val="0"/>
        <w:spacing w:line="260" w:lineRule="exact"/>
        <w:ind w:right="28"/>
        <w:jc w:val="both"/>
        <w:rPr>
          <w:kern w:val="0"/>
        </w:rPr>
      </w:pPr>
    </w:p>
    <w:p w:rsidR="006843D9" w:rsidRPr="00327CE5" w:rsidRDefault="00C127A9" w:rsidP="00D52957">
      <w:pPr>
        <w:numPr>
          <w:ilvl w:val="0"/>
          <w:numId w:val="2"/>
        </w:numPr>
        <w:tabs>
          <w:tab w:val="clear" w:pos="360"/>
          <w:tab w:val="num" w:pos="600"/>
          <w:tab w:val="left" w:pos="900"/>
          <w:tab w:val="left" w:pos="1080"/>
          <w:tab w:val="left" w:pos="2790"/>
        </w:tabs>
        <w:snapToGrid w:val="0"/>
        <w:spacing w:line="260" w:lineRule="exact"/>
        <w:ind w:left="600" w:right="28" w:hanging="600"/>
        <w:jc w:val="both"/>
        <w:rPr>
          <w:lang w:eastAsia="zh-HK"/>
        </w:rPr>
      </w:pPr>
      <w:r w:rsidRPr="00327CE5">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327CE5">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rsidR="00E260B5" w:rsidRPr="008E197A" w:rsidRDefault="00E260B5" w:rsidP="003958DD">
      <w:pPr>
        <w:tabs>
          <w:tab w:val="left" w:pos="900"/>
          <w:tab w:val="left" w:pos="1080"/>
          <w:tab w:val="left" w:pos="2790"/>
        </w:tabs>
        <w:snapToGrid w:val="0"/>
        <w:spacing w:line="260" w:lineRule="exact"/>
        <w:ind w:right="28"/>
        <w:jc w:val="both"/>
        <w:rPr>
          <w:kern w:val="0"/>
          <w:highlight w:val="yellow"/>
        </w:rPr>
      </w:pPr>
    </w:p>
    <w:sectPr w:rsidR="00E260B5" w:rsidRPr="008E197A" w:rsidSect="00FC02DA">
      <w:footerReference w:type="even" r:id="rId13"/>
      <w:footerReference w:type="default" r:id="rId14"/>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30F" w:rsidRDefault="0079430F">
      <w:r>
        <w:separator/>
      </w:r>
    </w:p>
  </w:endnote>
  <w:endnote w:type="continuationSeparator" w:id="0">
    <w:p w:rsidR="0079430F" w:rsidRDefault="0079430F">
      <w:r>
        <w:continuationSeparator/>
      </w:r>
    </w:p>
  </w:endnote>
  <w:endnote w:type="continuationNotice" w:id="1">
    <w:p w:rsidR="0079430F" w:rsidRDefault="007943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29DFFFFF" w:usb2="00000037" w:usb3="00000000" w:csb0="003F00FF" w:csb1="00000000"/>
  </w:font>
  <w:font w:name="華康細明體">
    <w:altName w:val="華康中黑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30F" w:rsidRDefault="007943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9430F" w:rsidRDefault="007943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30F" w:rsidRDefault="0079430F">
    <w:pPr>
      <w:pStyle w:val="Footer"/>
      <w:framePr w:wrap="around" w:vAnchor="text" w:hAnchor="margin" w:xAlign="center" w:y="1"/>
      <w:rPr>
        <w:rStyle w:val="PageNumber"/>
        <w:rFonts w:ascii="Times New Roman"/>
        <w:sz w:val="28"/>
      </w:rPr>
    </w:pPr>
    <w:r>
      <w:rPr>
        <w:rStyle w:val="PageNumber"/>
        <w:rFonts w:ascii="Times New Roman"/>
        <w:sz w:val="28"/>
      </w:rPr>
      <w:fldChar w:fldCharType="begin"/>
    </w:r>
    <w:r>
      <w:rPr>
        <w:rStyle w:val="PageNumber"/>
        <w:rFonts w:ascii="Times New Roman"/>
        <w:sz w:val="28"/>
      </w:rPr>
      <w:instrText xml:space="preserve">PAGE  </w:instrText>
    </w:r>
    <w:r>
      <w:rPr>
        <w:rStyle w:val="PageNumber"/>
        <w:rFonts w:ascii="Times New Roman"/>
        <w:sz w:val="28"/>
      </w:rPr>
      <w:fldChar w:fldCharType="separate"/>
    </w:r>
    <w:r w:rsidR="00F6502D">
      <w:rPr>
        <w:rStyle w:val="PageNumber"/>
        <w:rFonts w:ascii="Times New Roman"/>
        <w:noProof/>
        <w:sz w:val="28"/>
      </w:rPr>
      <w:t>11</w:t>
    </w:r>
    <w:r>
      <w:rPr>
        <w:rStyle w:val="PageNumber"/>
        <w:rFonts w:ascii="Times New Roman"/>
        <w:sz w:val="28"/>
      </w:rPr>
      <w:fldChar w:fldCharType="end"/>
    </w:r>
  </w:p>
  <w:p w:rsidR="0079430F" w:rsidRDefault="00794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30F" w:rsidRDefault="0079430F">
      <w:pPr>
        <w:jc w:val="center"/>
      </w:pPr>
      <w:r>
        <w:separator/>
      </w:r>
    </w:p>
  </w:footnote>
  <w:footnote w:type="continuationSeparator" w:id="0">
    <w:p w:rsidR="0079430F" w:rsidRDefault="0079430F">
      <w:r>
        <w:continuationSeparator/>
      </w:r>
    </w:p>
  </w:footnote>
  <w:footnote w:type="continuationNotice" w:id="1">
    <w:p w:rsidR="0079430F" w:rsidRDefault="0079430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7C6C45"/>
    <w:multiLevelType w:val="multilevel"/>
    <w:tmpl w:val="C19E7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28F61BC8"/>
    <w:multiLevelType w:val="multilevel"/>
    <w:tmpl w:val="2CC852B6"/>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b w:val="0"/>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2" w15:restartNumberingAfterBreak="0">
    <w:nsid w:val="41923C0B"/>
    <w:multiLevelType w:val="hybridMultilevel"/>
    <w:tmpl w:val="6408FC26"/>
    <w:lvl w:ilvl="0" w:tplc="D55CC0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76172503"/>
    <w:multiLevelType w:val="multilevel"/>
    <w:tmpl w:val="5E880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20"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21"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20"/>
  </w:num>
  <w:num w:numId="2">
    <w:abstractNumId w:val="21"/>
  </w:num>
  <w:num w:numId="3">
    <w:abstractNumId w:val="0"/>
  </w:num>
  <w:num w:numId="4">
    <w:abstractNumId w:val="11"/>
  </w:num>
  <w:num w:numId="5">
    <w:abstractNumId w:val="17"/>
  </w:num>
  <w:num w:numId="6">
    <w:abstractNumId w:val="16"/>
  </w:num>
  <w:num w:numId="7">
    <w:abstractNumId w:val="5"/>
  </w:num>
  <w:num w:numId="8">
    <w:abstractNumId w:val="13"/>
  </w:num>
  <w:num w:numId="9">
    <w:abstractNumId w:val="4"/>
  </w:num>
  <w:num w:numId="10">
    <w:abstractNumId w:val="9"/>
  </w:num>
  <w:num w:numId="11">
    <w:abstractNumId w:val="10"/>
  </w:num>
  <w:num w:numId="12">
    <w:abstractNumId w:val="6"/>
  </w:num>
  <w:num w:numId="13">
    <w:abstractNumId w:val="14"/>
  </w:num>
  <w:num w:numId="14">
    <w:abstractNumId w:val="1"/>
  </w:num>
  <w:num w:numId="15">
    <w:abstractNumId w:val="19"/>
  </w:num>
  <w:num w:numId="16">
    <w:abstractNumId w:val="15"/>
  </w:num>
  <w:num w:numId="17">
    <w:abstractNumId w:val="8"/>
  </w:num>
  <w:num w:numId="18">
    <w:abstractNumId w:val="3"/>
  </w:num>
  <w:num w:numId="19">
    <w:abstractNumId w:val="7"/>
  </w:num>
  <w:num w:numId="20">
    <w:abstractNumId w:val="18"/>
  </w:num>
  <w:num w:numId="21">
    <w:abstractNumId w:val="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61441"/>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44E"/>
    <w:rsid w:val="000007F3"/>
    <w:rsid w:val="000008D0"/>
    <w:rsid w:val="000009BA"/>
    <w:rsid w:val="00001061"/>
    <w:rsid w:val="00001205"/>
    <w:rsid w:val="00001415"/>
    <w:rsid w:val="00001573"/>
    <w:rsid w:val="00001828"/>
    <w:rsid w:val="00001A89"/>
    <w:rsid w:val="00001C4A"/>
    <w:rsid w:val="00001C53"/>
    <w:rsid w:val="00001F6D"/>
    <w:rsid w:val="00002274"/>
    <w:rsid w:val="0000263A"/>
    <w:rsid w:val="00002A5E"/>
    <w:rsid w:val="00002A88"/>
    <w:rsid w:val="00002C15"/>
    <w:rsid w:val="00003134"/>
    <w:rsid w:val="00003340"/>
    <w:rsid w:val="00003367"/>
    <w:rsid w:val="000033C2"/>
    <w:rsid w:val="00003411"/>
    <w:rsid w:val="0000352A"/>
    <w:rsid w:val="00003582"/>
    <w:rsid w:val="00003633"/>
    <w:rsid w:val="0000363E"/>
    <w:rsid w:val="00003650"/>
    <w:rsid w:val="00003830"/>
    <w:rsid w:val="0000386A"/>
    <w:rsid w:val="00003A9A"/>
    <w:rsid w:val="00003B2F"/>
    <w:rsid w:val="00003D4A"/>
    <w:rsid w:val="00003DF5"/>
    <w:rsid w:val="000043CD"/>
    <w:rsid w:val="000044E6"/>
    <w:rsid w:val="000045EF"/>
    <w:rsid w:val="0000474A"/>
    <w:rsid w:val="0000490F"/>
    <w:rsid w:val="00004B2D"/>
    <w:rsid w:val="00004BF6"/>
    <w:rsid w:val="00004D11"/>
    <w:rsid w:val="00004F03"/>
    <w:rsid w:val="0000512C"/>
    <w:rsid w:val="00005361"/>
    <w:rsid w:val="0000539B"/>
    <w:rsid w:val="00005645"/>
    <w:rsid w:val="00005A66"/>
    <w:rsid w:val="00005D06"/>
    <w:rsid w:val="00006738"/>
    <w:rsid w:val="00006760"/>
    <w:rsid w:val="0000714D"/>
    <w:rsid w:val="0000746E"/>
    <w:rsid w:val="00007619"/>
    <w:rsid w:val="0000762A"/>
    <w:rsid w:val="0000765F"/>
    <w:rsid w:val="000079E8"/>
    <w:rsid w:val="00007A8F"/>
    <w:rsid w:val="00007D1C"/>
    <w:rsid w:val="00007DFB"/>
    <w:rsid w:val="000103C8"/>
    <w:rsid w:val="00010647"/>
    <w:rsid w:val="00010924"/>
    <w:rsid w:val="00010E12"/>
    <w:rsid w:val="00010F50"/>
    <w:rsid w:val="00010FC7"/>
    <w:rsid w:val="0001114D"/>
    <w:rsid w:val="000113BA"/>
    <w:rsid w:val="00011605"/>
    <w:rsid w:val="00011768"/>
    <w:rsid w:val="00011A3A"/>
    <w:rsid w:val="000122A3"/>
    <w:rsid w:val="0001242B"/>
    <w:rsid w:val="000124CF"/>
    <w:rsid w:val="000127CA"/>
    <w:rsid w:val="00012885"/>
    <w:rsid w:val="00012B79"/>
    <w:rsid w:val="00012E20"/>
    <w:rsid w:val="00012F68"/>
    <w:rsid w:val="00012F6C"/>
    <w:rsid w:val="00012FB3"/>
    <w:rsid w:val="0001305A"/>
    <w:rsid w:val="00013082"/>
    <w:rsid w:val="00013364"/>
    <w:rsid w:val="0001342F"/>
    <w:rsid w:val="00013436"/>
    <w:rsid w:val="00013469"/>
    <w:rsid w:val="00013918"/>
    <w:rsid w:val="00013B73"/>
    <w:rsid w:val="00014006"/>
    <w:rsid w:val="0001442E"/>
    <w:rsid w:val="0001443F"/>
    <w:rsid w:val="000144DD"/>
    <w:rsid w:val="00014A23"/>
    <w:rsid w:val="00014C4B"/>
    <w:rsid w:val="00014EDA"/>
    <w:rsid w:val="0001516B"/>
    <w:rsid w:val="00015241"/>
    <w:rsid w:val="00015295"/>
    <w:rsid w:val="0001529C"/>
    <w:rsid w:val="000152B2"/>
    <w:rsid w:val="0001597F"/>
    <w:rsid w:val="0001599D"/>
    <w:rsid w:val="0001648C"/>
    <w:rsid w:val="000165B4"/>
    <w:rsid w:val="00016849"/>
    <w:rsid w:val="000168B7"/>
    <w:rsid w:val="00016C27"/>
    <w:rsid w:val="00016E09"/>
    <w:rsid w:val="0001721A"/>
    <w:rsid w:val="0001724D"/>
    <w:rsid w:val="000175C5"/>
    <w:rsid w:val="00017608"/>
    <w:rsid w:val="00017664"/>
    <w:rsid w:val="00017B48"/>
    <w:rsid w:val="00017EFE"/>
    <w:rsid w:val="00017FC4"/>
    <w:rsid w:val="00020129"/>
    <w:rsid w:val="00020850"/>
    <w:rsid w:val="0002099E"/>
    <w:rsid w:val="000209BF"/>
    <w:rsid w:val="00020B0C"/>
    <w:rsid w:val="00020BC8"/>
    <w:rsid w:val="000210FA"/>
    <w:rsid w:val="0002136F"/>
    <w:rsid w:val="0002266F"/>
    <w:rsid w:val="000229B0"/>
    <w:rsid w:val="00022A5B"/>
    <w:rsid w:val="00022D5E"/>
    <w:rsid w:val="0002356A"/>
    <w:rsid w:val="00024050"/>
    <w:rsid w:val="00024265"/>
    <w:rsid w:val="0002453A"/>
    <w:rsid w:val="0002481B"/>
    <w:rsid w:val="0002486B"/>
    <w:rsid w:val="00024908"/>
    <w:rsid w:val="00024DCA"/>
    <w:rsid w:val="00024E6E"/>
    <w:rsid w:val="00024EC5"/>
    <w:rsid w:val="00024EE2"/>
    <w:rsid w:val="000250B0"/>
    <w:rsid w:val="000250B6"/>
    <w:rsid w:val="000253BE"/>
    <w:rsid w:val="00025571"/>
    <w:rsid w:val="0002561D"/>
    <w:rsid w:val="000256BB"/>
    <w:rsid w:val="00025FAE"/>
    <w:rsid w:val="000262DD"/>
    <w:rsid w:val="00026313"/>
    <w:rsid w:val="00026714"/>
    <w:rsid w:val="00026721"/>
    <w:rsid w:val="0002678D"/>
    <w:rsid w:val="00026852"/>
    <w:rsid w:val="00026BC1"/>
    <w:rsid w:val="00026C46"/>
    <w:rsid w:val="0002738D"/>
    <w:rsid w:val="000273C0"/>
    <w:rsid w:val="000273C5"/>
    <w:rsid w:val="000275FC"/>
    <w:rsid w:val="0002761E"/>
    <w:rsid w:val="000277D9"/>
    <w:rsid w:val="00027B1C"/>
    <w:rsid w:val="00027CDC"/>
    <w:rsid w:val="00027DDC"/>
    <w:rsid w:val="00027DFC"/>
    <w:rsid w:val="00027E06"/>
    <w:rsid w:val="00030117"/>
    <w:rsid w:val="00030353"/>
    <w:rsid w:val="000307C2"/>
    <w:rsid w:val="000310BF"/>
    <w:rsid w:val="000314A7"/>
    <w:rsid w:val="00031562"/>
    <w:rsid w:val="000316B4"/>
    <w:rsid w:val="00031CD3"/>
    <w:rsid w:val="00031D36"/>
    <w:rsid w:val="00031F06"/>
    <w:rsid w:val="00032269"/>
    <w:rsid w:val="000322A6"/>
    <w:rsid w:val="000324F5"/>
    <w:rsid w:val="000325ED"/>
    <w:rsid w:val="000326A2"/>
    <w:rsid w:val="000326F9"/>
    <w:rsid w:val="00032ACF"/>
    <w:rsid w:val="00032EAC"/>
    <w:rsid w:val="00032F1F"/>
    <w:rsid w:val="00033080"/>
    <w:rsid w:val="000331E1"/>
    <w:rsid w:val="00033522"/>
    <w:rsid w:val="0003356D"/>
    <w:rsid w:val="0003375C"/>
    <w:rsid w:val="00033924"/>
    <w:rsid w:val="00033BDF"/>
    <w:rsid w:val="00033D0D"/>
    <w:rsid w:val="00033E69"/>
    <w:rsid w:val="000342C6"/>
    <w:rsid w:val="00034557"/>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2D2"/>
    <w:rsid w:val="000363D7"/>
    <w:rsid w:val="0003648A"/>
    <w:rsid w:val="00036850"/>
    <w:rsid w:val="00036875"/>
    <w:rsid w:val="0003691F"/>
    <w:rsid w:val="00036D26"/>
    <w:rsid w:val="00037289"/>
    <w:rsid w:val="000374BA"/>
    <w:rsid w:val="000378C6"/>
    <w:rsid w:val="000400E3"/>
    <w:rsid w:val="0004011B"/>
    <w:rsid w:val="0004033E"/>
    <w:rsid w:val="00040367"/>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CD7"/>
    <w:rsid w:val="00041CE2"/>
    <w:rsid w:val="00042408"/>
    <w:rsid w:val="00042573"/>
    <w:rsid w:val="0004283F"/>
    <w:rsid w:val="0004286D"/>
    <w:rsid w:val="00042AB9"/>
    <w:rsid w:val="00042E4C"/>
    <w:rsid w:val="000430F3"/>
    <w:rsid w:val="0004317D"/>
    <w:rsid w:val="00043383"/>
    <w:rsid w:val="0004358E"/>
    <w:rsid w:val="000437E2"/>
    <w:rsid w:val="000438BC"/>
    <w:rsid w:val="00043B8A"/>
    <w:rsid w:val="00043F37"/>
    <w:rsid w:val="00043F3B"/>
    <w:rsid w:val="00043F72"/>
    <w:rsid w:val="00044116"/>
    <w:rsid w:val="0004439A"/>
    <w:rsid w:val="00044411"/>
    <w:rsid w:val="000445A9"/>
    <w:rsid w:val="0004465E"/>
    <w:rsid w:val="000447A9"/>
    <w:rsid w:val="00044827"/>
    <w:rsid w:val="00044A1E"/>
    <w:rsid w:val="00044D28"/>
    <w:rsid w:val="00045061"/>
    <w:rsid w:val="0004521D"/>
    <w:rsid w:val="00045643"/>
    <w:rsid w:val="0004564A"/>
    <w:rsid w:val="00045689"/>
    <w:rsid w:val="0004594B"/>
    <w:rsid w:val="000459E8"/>
    <w:rsid w:val="00045ABF"/>
    <w:rsid w:val="00045AF9"/>
    <w:rsid w:val="00045B81"/>
    <w:rsid w:val="00045E44"/>
    <w:rsid w:val="00046140"/>
    <w:rsid w:val="0004618A"/>
    <w:rsid w:val="000462CF"/>
    <w:rsid w:val="00046410"/>
    <w:rsid w:val="000465F8"/>
    <w:rsid w:val="000467CA"/>
    <w:rsid w:val="00046A4C"/>
    <w:rsid w:val="00046B6D"/>
    <w:rsid w:val="00046BEB"/>
    <w:rsid w:val="00046DAF"/>
    <w:rsid w:val="00046E31"/>
    <w:rsid w:val="00047094"/>
    <w:rsid w:val="00047944"/>
    <w:rsid w:val="00047989"/>
    <w:rsid w:val="00047BED"/>
    <w:rsid w:val="00047D87"/>
    <w:rsid w:val="00047EF0"/>
    <w:rsid w:val="00047EF8"/>
    <w:rsid w:val="00047F41"/>
    <w:rsid w:val="000506FF"/>
    <w:rsid w:val="00050787"/>
    <w:rsid w:val="000508C0"/>
    <w:rsid w:val="00050B01"/>
    <w:rsid w:val="00050BAC"/>
    <w:rsid w:val="00050D13"/>
    <w:rsid w:val="00050FDF"/>
    <w:rsid w:val="000518E6"/>
    <w:rsid w:val="00051913"/>
    <w:rsid w:val="00051A6B"/>
    <w:rsid w:val="00051C71"/>
    <w:rsid w:val="00051ECB"/>
    <w:rsid w:val="00051F11"/>
    <w:rsid w:val="00052441"/>
    <w:rsid w:val="00052770"/>
    <w:rsid w:val="000529AE"/>
    <w:rsid w:val="00052A44"/>
    <w:rsid w:val="00052CDF"/>
    <w:rsid w:val="00052F17"/>
    <w:rsid w:val="00053AAB"/>
    <w:rsid w:val="00053C91"/>
    <w:rsid w:val="00053E13"/>
    <w:rsid w:val="00053EB9"/>
    <w:rsid w:val="000547A4"/>
    <w:rsid w:val="000547BF"/>
    <w:rsid w:val="00054A4E"/>
    <w:rsid w:val="00054AAE"/>
    <w:rsid w:val="00054D3B"/>
    <w:rsid w:val="000550F2"/>
    <w:rsid w:val="00055155"/>
    <w:rsid w:val="00055525"/>
    <w:rsid w:val="0005578F"/>
    <w:rsid w:val="000557BC"/>
    <w:rsid w:val="000558F0"/>
    <w:rsid w:val="00055974"/>
    <w:rsid w:val="00055A52"/>
    <w:rsid w:val="00055BC9"/>
    <w:rsid w:val="00055C67"/>
    <w:rsid w:val="00055E16"/>
    <w:rsid w:val="0005611B"/>
    <w:rsid w:val="000563DD"/>
    <w:rsid w:val="00056D3D"/>
    <w:rsid w:val="00056D3E"/>
    <w:rsid w:val="00056E73"/>
    <w:rsid w:val="00056E97"/>
    <w:rsid w:val="00056EC0"/>
    <w:rsid w:val="00056FAB"/>
    <w:rsid w:val="0005705B"/>
    <w:rsid w:val="00057076"/>
    <w:rsid w:val="00057422"/>
    <w:rsid w:val="00057537"/>
    <w:rsid w:val="00057565"/>
    <w:rsid w:val="0005772D"/>
    <w:rsid w:val="00057AE8"/>
    <w:rsid w:val="00057C47"/>
    <w:rsid w:val="00057C63"/>
    <w:rsid w:val="000603DC"/>
    <w:rsid w:val="00060677"/>
    <w:rsid w:val="0006097F"/>
    <w:rsid w:val="00060C02"/>
    <w:rsid w:val="00060FD6"/>
    <w:rsid w:val="00061AB2"/>
    <w:rsid w:val="00061AD2"/>
    <w:rsid w:val="00061E45"/>
    <w:rsid w:val="0006224F"/>
    <w:rsid w:val="00062332"/>
    <w:rsid w:val="00062615"/>
    <w:rsid w:val="00062BD1"/>
    <w:rsid w:val="00062C1A"/>
    <w:rsid w:val="00062E2E"/>
    <w:rsid w:val="00062ED4"/>
    <w:rsid w:val="0006314C"/>
    <w:rsid w:val="000631B3"/>
    <w:rsid w:val="000632AD"/>
    <w:rsid w:val="00063C07"/>
    <w:rsid w:val="00063C39"/>
    <w:rsid w:val="00063EA7"/>
    <w:rsid w:val="0006402A"/>
    <w:rsid w:val="00064243"/>
    <w:rsid w:val="0006444C"/>
    <w:rsid w:val="0006463F"/>
    <w:rsid w:val="000646B2"/>
    <w:rsid w:val="000648C6"/>
    <w:rsid w:val="000648DD"/>
    <w:rsid w:val="000649F8"/>
    <w:rsid w:val="00064B6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7"/>
    <w:rsid w:val="00067136"/>
    <w:rsid w:val="00067208"/>
    <w:rsid w:val="00067221"/>
    <w:rsid w:val="000673B8"/>
    <w:rsid w:val="0006746F"/>
    <w:rsid w:val="00067975"/>
    <w:rsid w:val="000679B6"/>
    <w:rsid w:val="00067B3E"/>
    <w:rsid w:val="00067D44"/>
    <w:rsid w:val="000700A2"/>
    <w:rsid w:val="00070233"/>
    <w:rsid w:val="0007040E"/>
    <w:rsid w:val="00070448"/>
    <w:rsid w:val="00070515"/>
    <w:rsid w:val="0007077A"/>
    <w:rsid w:val="00070840"/>
    <w:rsid w:val="00070A2A"/>
    <w:rsid w:val="00070B53"/>
    <w:rsid w:val="00070C9B"/>
    <w:rsid w:val="00070F50"/>
    <w:rsid w:val="0007109A"/>
    <w:rsid w:val="000711C1"/>
    <w:rsid w:val="0007123F"/>
    <w:rsid w:val="000712E1"/>
    <w:rsid w:val="00071571"/>
    <w:rsid w:val="0007185F"/>
    <w:rsid w:val="00071A76"/>
    <w:rsid w:val="00071B2B"/>
    <w:rsid w:val="00071BCC"/>
    <w:rsid w:val="00071BF4"/>
    <w:rsid w:val="00071D55"/>
    <w:rsid w:val="00071DBD"/>
    <w:rsid w:val="00071F99"/>
    <w:rsid w:val="00071FB0"/>
    <w:rsid w:val="0007203E"/>
    <w:rsid w:val="000727EE"/>
    <w:rsid w:val="000728B1"/>
    <w:rsid w:val="00072A27"/>
    <w:rsid w:val="00072C61"/>
    <w:rsid w:val="00072C6F"/>
    <w:rsid w:val="00072D70"/>
    <w:rsid w:val="00072E81"/>
    <w:rsid w:val="00073200"/>
    <w:rsid w:val="00073505"/>
    <w:rsid w:val="00073608"/>
    <w:rsid w:val="0007363D"/>
    <w:rsid w:val="00073707"/>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B61"/>
    <w:rsid w:val="00076125"/>
    <w:rsid w:val="000763EB"/>
    <w:rsid w:val="0007652F"/>
    <w:rsid w:val="000767A4"/>
    <w:rsid w:val="00076EC2"/>
    <w:rsid w:val="0007732A"/>
    <w:rsid w:val="00077633"/>
    <w:rsid w:val="0007766F"/>
    <w:rsid w:val="0007769F"/>
    <w:rsid w:val="00077CA0"/>
    <w:rsid w:val="00077DDE"/>
    <w:rsid w:val="00077E5D"/>
    <w:rsid w:val="00080617"/>
    <w:rsid w:val="0008063E"/>
    <w:rsid w:val="00080712"/>
    <w:rsid w:val="000807EB"/>
    <w:rsid w:val="00080C2B"/>
    <w:rsid w:val="00080DA3"/>
    <w:rsid w:val="00080E06"/>
    <w:rsid w:val="00080ED5"/>
    <w:rsid w:val="00080FA8"/>
    <w:rsid w:val="0008150F"/>
    <w:rsid w:val="000816A5"/>
    <w:rsid w:val="000816FD"/>
    <w:rsid w:val="00081B38"/>
    <w:rsid w:val="00081C57"/>
    <w:rsid w:val="00081D36"/>
    <w:rsid w:val="00081DBF"/>
    <w:rsid w:val="00081E9E"/>
    <w:rsid w:val="00081EBA"/>
    <w:rsid w:val="00081ECE"/>
    <w:rsid w:val="0008204A"/>
    <w:rsid w:val="000821C8"/>
    <w:rsid w:val="000823FE"/>
    <w:rsid w:val="0008240E"/>
    <w:rsid w:val="00082530"/>
    <w:rsid w:val="0008288E"/>
    <w:rsid w:val="000829E0"/>
    <w:rsid w:val="00082AC0"/>
    <w:rsid w:val="00082DD6"/>
    <w:rsid w:val="00082ECE"/>
    <w:rsid w:val="000831EC"/>
    <w:rsid w:val="00083337"/>
    <w:rsid w:val="00083644"/>
    <w:rsid w:val="00083689"/>
    <w:rsid w:val="00083810"/>
    <w:rsid w:val="00083BA6"/>
    <w:rsid w:val="00083E0C"/>
    <w:rsid w:val="00083F27"/>
    <w:rsid w:val="00084056"/>
    <w:rsid w:val="00084730"/>
    <w:rsid w:val="00084A5A"/>
    <w:rsid w:val="00084A7A"/>
    <w:rsid w:val="00084A8F"/>
    <w:rsid w:val="00084B35"/>
    <w:rsid w:val="00084BEC"/>
    <w:rsid w:val="00084D6B"/>
    <w:rsid w:val="00084EBF"/>
    <w:rsid w:val="0008505A"/>
    <w:rsid w:val="0008554B"/>
    <w:rsid w:val="0008581D"/>
    <w:rsid w:val="00085AE1"/>
    <w:rsid w:val="00085D8F"/>
    <w:rsid w:val="000860F0"/>
    <w:rsid w:val="000861CC"/>
    <w:rsid w:val="000863F4"/>
    <w:rsid w:val="000867D1"/>
    <w:rsid w:val="00086AC4"/>
    <w:rsid w:val="00086D72"/>
    <w:rsid w:val="00087186"/>
    <w:rsid w:val="000871ED"/>
    <w:rsid w:val="000876CF"/>
    <w:rsid w:val="0008777D"/>
    <w:rsid w:val="000879FF"/>
    <w:rsid w:val="00087A9F"/>
    <w:rsid w:val="00087BFA"/>
    <w:rsid w:val="00087DF7"/>
    <w:rsid w:val="00087FF6"/>
    <w:rsid w:val="00090271"/>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307F"/>
    <w:rsid w:val="00093163"/>
    <w:rsid w:val="000931FA"/>
    <w:rsid w:val="000937D1"/>
    <w:rsid w:val="000938B0"/>
    <w:rsid w:val="00093AE1"/>
    <w:rsid w:val="00093FB4"/>
    <w:rsid w:val="00094284"/>
    <w:rsid w:val="000943BD"/>
    <w:rsid w:val="0009442D"/>
    <w:rsid w:val="000945CD"/>
    <w:rsid w:val="0009461D"/>
    <w:rsid w:val="00094624"/>
    <w:rsid w:val="00094A8D"/>
    <w:rsid w:val="00094C6B"/>
    <w:rsid w:val="00094E76"/>
    <w:rsid w:val="00094EA7"/>
    <w:rsid w:val="0009507D"/>
    <w:rsid w:val="0009509F"/>
    <w:rsid w:val="000950AC"/>
    <w:rsid w:val="0009516A"/>
    <w:rsid w:val="00095245"/>
    <w:rsid w:val="0009535C"/>
    <w:rsid w:val="000959CC"/>
    <w:rsid w:val="00095C9F"/>
    <w:rsid w:val="00095CA9"/>
    <w:rsid w:val="00095D71"/>
    <w:rsid w:val="00095E07"/>
    <w:rsid w:val="00095FED"/>
    <w:rsid w:val="00096241"/>
    <w:rsid w:val="00096253"/>
    <w:rsid w:val="00096285"/>
    <w:rsid w:val="0009645A"/>
    <w:rsid w:val="000965F8"/>
    <w:rsid w:val="000967E7"/>
    <w:rsid w:val="00096BD7"/>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E78"/>
    <w:rsid w:val="000A103A"/>
    <w:rsid w:val="000A1097"/>
    <w:rsid w:val="000A14C4"/>
    <w:rsid w:val="000A15FC"/>
    <w:rsid w:val="000A166A"/>
    <w:rsid w:val="000A197F"/>
    <w:rsid w:val="000A1A86"/>
    <w:rsid w:val="000A1C43"/>
    <w:rsid w:val="000A1CAF"/>
    <w:rsid w:val="000A1CC4"/>
    <w:rsid w:val="000A21C2"/>
    <w:rsid w:val="000A22C9"/>
    <w:rsid w:val="000A23DE"/>
    <w:rsid w:val="000A2D81"/>
    <w:rsid w:val="000A2EC9"/>
    <w:rsid w:val="000A2ED3"/>
    <w:rsid w:val="000A3015"/>
    <w:rsid w:val="000A3715"/>
    <w:rsid w:val="000A3AC2"/>
    <w:rsid w:val="000A3B98"/>
    <w:rsid w:val="000A3C2B"/>
    <w:rsid w:val="000A4064"/>
    <w:rsid w:val="000A4362"/>
    <w:rsid w:val="000A495F"/>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BF0"/>
    <w:rsid w:val="000B00B4"/>
    <w:rsid w:val="000B0146"/>
    <w:rsid w:val="000B01BD"/>
    <w:rsid w:val="000B05BC"/>
    <w:rsid w:val="000B0BFA"/>
    <w:rsid w:val="000B0F3A"/>
    <w:rsid w:val="000B0F82"/>
    <w:rsid w:val="000B106B"/>
    <w:rsid w:val="000B1D80"/>
    <w:rsid w:val="000B1F60"/>
    <w:rsid w:val="000B1F93"/>
    <w:rsid w:val="000B24EF"/>
    <w:rsid w:val="000B2D16"/>
    <w:rsid w:val="000B2F85"/>
    <w:rsid w:val="000B330F"/>
    <w:rsid w:val="000B36A1"/>
    <w:rsid w:val="000B37AD"/>
    <w:rsid w:val="000B3E0F"/>
    <w:rsid w:val="000B3F8C"/>
    <w:rsid w:val="000B3FFA"/>
    <w:rsid w:val="000B440B"/>
    <w:rsid w:val="000B4437"/>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C01F9"/>
    <w:rsid w:val="000C0804"/>
    <w:rsid w:val="000C08BE"/>
    <w:rsid w:val="000C09CE"/>
    <w:rsid w:val="000C09F6"/>
    <w:rsid w:val="000C0C10"/>
    <w:rsid w:val="000C0CE5"/>
    <w:rsid w:val="000C0EDA"/>
    <w:rsid w:val="000C13A5"/>
    <w:rsid w:val="000C14DE"/>
    <w:rsid w:val="000C150C"/>
    <w:rsid w:val="000C1C9F"/>
    <w:rsid w:val="000C1CC4"/>
    <w:rsid w:val="000C22B9"/>
    <w:rsid w:val="000C2347"/>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C32"/>
    <w:rsid w:val="000C4CF3"/>
    <w:rsid w:val="000C4FBD"/>
    <w:rsid w:val="000C587E"/>
    <w:rsid w:val="000C5A75"/>
    <w:rsid w:val="000C5BD1"/>
    <w:rsid w:val="000C5E44"/>
    <w:rsid w:val="000C6086"/>
    <w:rsid w:val="000C618C"/>
    <w:rsid w:val="000C629B"/>
    <w:rsid w:val="000C6778"/>
    <w:rsid w:val="000C6847"/>
    <w:rsid w:val="000C684B"/>
    <w:rsid w:val="000C6883"/>
    <w:rsid w:val="000C6BE8"/>
    <w:rsid w:val="000C6D60"/>
    <w:rsid w:val="000C7159"/>
    <w:rsid w:val="000C76A6"/>
    <w:rsid w:val="000C77D9"/>
    <w:rsid w:val="000D014C"/>
    <w:rsid w:val="000D0347"/>
    <w:rsid w:val="000D069D"/>
    <w:rsid w:val="000D0812"/>
    <w:rsid w:val="000D0922"/>
    <w:rsid w:val="000D0EC9"/>
    <w:rsid w:val="000D1218"/>
    <w:rsid w:val="000D1C12"/>
    <w:rsid w:val="000D1CFE"/>
    <w:rsid w:val="000D1F82"/>
    <w:rsid w:val="000D1F98"/>
    <w:rsid w:val="000D22A1"/>
    <w:rsid w:val="000D2545"/>
    <w:rsid w:val="000D26D8"/>
    <w:rsid w:val="000D284F"/>
    <w:rsid w:val="000D2896"/>
    <w:rsid w:val="000D29E6"/>
    <w:rsid w:val="000D2F1C"/>
    <w:rsid w:val="000D30EB"/>
    <w:rsid w:val="000D3293"/>
    <w:rsid w:val="000D34EB"/>
    <w:rsid w:val="000D36FE"/>
    <w:rsid w:val="000D375B"/>
    <w:rsid w:val="000D3780"/>
    <w:rsid w:val="000D3871"/>
    <w:rsid w:val="000D3E0F"/>
    <w:rsid w:val="000D3E31"/>
    <w:rsid w:val="000D404B"/>
    <w:rsid w:val="000D4194"/>
    <w:rsid w:val="000D4244"/>
    <w:rsid w:val="000D4690"/>
    <w:rsid w:val="000D46A2"/>
    <w:rsid w:val="000D483E"/>
    <w:rsid w:val="000D4928"/>
    <w:rsid w:val="000D4BA9"/>
    <w:rsid w:val="000D4E03"/>
    <w:rsid w:val="000D5459"/>
    <w:rsid w:val="000D5F36"/>
    <w:rsid w:val="000D5F48"/>
    <w:rsid w:val="000D5FFA"/>
    <w:rsid w:val="000D60D7"/>
    <w:rsid w:val="000D61A4"/>
    <w:rsid w:val="000D63C0"/>
    <w:rsid w:val="000D66DA"/>
    <w:rsid w:val="000D6729"/>
    <w:rsid w:val="000D6C08"/>
    <w:rsid w:val="000D6C31"/>
    <w:rsid w:val="000D73E2"/>
    <w:rsid w:val="000D749F"/>
    <w:rsid w:val="000D77B4"/>
    <w:rsid w:val="000D782D"/>
    <w:rsid w:val="000D7A35"/>
    <w:rsid w:val="000D7A48"/>
    <w:rsid w:val="000D7C42"/>
    <w:rsid w:val="000D7CAE"/>
    <w:rsid w:val="000D7DB0"/>
    <w:rsid w:val="000E01A3"/>
    <w:rsid w:val="000E0228"/>
    <w:rsid w:val="000E0548"/>
    <w:rsid w:val="000E056C"/>
    <w:rsid w:val="000E0798"/>
    <w:rsid w:val="000E07EC"/>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109"/>
    <w:rsid w:val="000E3363"/>
    <w:rsid w:val="000E33B7"/>
    <w:rsid w:val="000E33F8"/>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71A"/>
    <w:rsid w:val="000E5CDE"/>
    <w:rsid w:val="000E5E59"/>
    <w:rsid w:val="000E5EBC"/>
    <w:rsid w:val="000E5F2B"/>
    <w:rsid w:val="000E62BB"/>
    <w:rsid w:val="000E643B"/>
    <w:rsid w:val="000E682E"/>
    <w:rsid w:val="000E6949"/>
    <w:rsid w:val="000E6957"/>
    <w:rsid w:val="000E6CEC"/>
    <w:rsid w:val="000E6D12"/>
    <w:rsid w:val="000E713D"/>
    <w:rsid w:val="000E71DF"/>
    <w:rsid w:val="000E730C"/>
    <w:rsid w:val="000E7344"/>
    <w:rsid w:val="000E73D8"/>
    <w:rsid w:val="000E73F9"/>
    <w:rsid w:val="000E76A2"/>
    <w:rsid w:val="000E7952"/>
    <w:rsid w:val="000E7AFF"/>
    <w:rsid w:val="000E7B9F"/>
    <w:rsid w:val="000E7D78"/>
    <w:rsid w:val="000E7E5E"/>
    <w:rsid w:val="000E7F76"/>
    <w:rsid w:val="000F01D0"/>
    <w:rsid w:val="000F0525"/>
    <w:rsid w:val="000F081C"/>
    <w:rsid w:val="000F0845"/>
    <w:rsid w:val="000F0CD2"/>
    <w:rsid w:val="000F0D27"/>
    <w:rsid w:val="000F1033"/>
    <w:rsid w:val="000F1219"/>
    <w:rsid w:val="000F12B6"/>
    <w:rsid w:val="000F14ED"/>
    <w:rsid w:val="000F15F0"/>
    <w:rsid w:val="000F1755"/>
    <w:rsid w:val="000F1945"/>
    <w:rsid w:val="000F1D22"/>
    <w:rsid w:val="000F1D46"/>
    <w:rsid w:val="000F22F5"/>
    <w:rsid w:val="000F2436"/>
    <w:rsid w:val="000F24FE"/>
    <w:rsid w:val="000F25E7"/>
    <w:rsid w:val="000F2861"/>
    <w:rsid w:val="000F28E2"/>
    <w:rsid w:val="000F2B1E"/>
    <w:rsid w:val="000F2F6B"/>
    <w:rsid w:val="000F3AC5"/>
    <w:rsid w:val="000F3B48"/>
    <w:rsid w:val="000F3DA6"/>
    <w:rsid w:val="000F3F02"/>
    <w:rsid w:val="000F4002"/>
    <w:rsid w:val="000F42B0"/>
    <w:rsid w:val="000F42C7"/>
    <w:rsid w:val="000F482B"/>
    <w:rsid w:val="000F48D6"/>
    <w:rsid w:val="000F48EC"/>
    <w:rsid w:val="000F4B6F"/>
    <w:rsid w:val="000F4C0A"/>
    <w:rsid w:val="000F4EC1"/>
    <w:rsid w:val="000F4FB9"/>
    <w:rsid w:val="000F5141"/>
    <w:rsid w:val="000F515A"/>
    <w:rsid w:val="000F5382"/>
    <w:rsid w:val="000F568D"/>
    <w:rsid w:val="000F5784"/>
    <w:rsid w:val="000F5A22"/>
    <w:rsid w:val="000F5AE3"/>
    <w:rsid w:val="000F5B00"/>
    <w:rsid w:val="000F5D37"/>
    <w:rsid w:val="000F5D40"/>
    <w:rsid w:val="000F5F73"/>
    <w:rsid w:val="000F6955"/>
    <w:rsid w:val="000F6D46"/>
    <w:rsid w:val="000F6DC5"/>
    <w:rsid w:val="000F6F34"/>
    <w:rsid w:val="000F7379"/>
    <w:rsid w:val="000F752C"/>
    <w:rsid w:val="000F7676"/>
    <w:rsid w:val="000F77A0"/>
    <w:rsid w:val="000F7A1D"/>
    <w:rsid w:val="000F7FD1"/>
    <w:rsid w:val="00100057"/>
    <w:rsid w:val="0010018F"/>
    <w:rsid w:val="00100C49"/>
    <w:rsid w:val="00100CD5"/>
    <w:rsid w:val="00100D2E"/>
    <w:rsid w:val="00100E66"/>
    <w:rsid w:val="00100F4F"/>
    <w:rsid w:val="00101091"/>
    <w:rsid w:val="00101274"/>
    <w:rsid w:val="00101AF8"/>
    <w:rsid w:val="00101B1E"/>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DCC"/>
    <w:rsid w:val="00102E63"/>
    <w:rsid w:val="00102F3D"/>
    <w:rsid w:val="00103271"/>
    <w:rsid w:val="00103283"/>
    <w:rsid w:val="00103445"/>
    <w:rsid w:val="001034E5"/>
    <w:rsid w:val="0010362D"/>
    <w:rsid w:val="00103692"/>
    <w:rsid w:val="001036DF"/>
    <w:rsid w:val="00103851"/>
    <w:rsid w:val="00103B53"/>
    <w:rsid w:val="00103B55"/>
    <w:rsid w:val="00103BD3"/>
    <w:rsid w:val="0010420D"/>
    <w:rsid w:val="00104891"/>
    <w:rsid w:val="00104ADB"/>
    <w:rsid w:val="00104DF8"/>
    <w:rsid w:val="00104EA0"/>
    <w:rsid w:val="0010522C"/>
    <w:rsid w:val="00105425"/>
    <w:rsid w:val="00105431"/>
    <w:rsid w:val="00105747"/>
    <w:rsid w:val="00105A87"/>
    <w:rsid w:val="00105F7D"/>
    <w:rsid w:val="00106051"/>
    <w:rsid w:val="00106241"/>
    <w:rsid w:val="0010652F"/>
    <w:rsid w:val="00106BBA"/>
    <w:rsid w:val="00107242"/>
    <w:rsid w:val="00107557"/>
    <w:rsid w:val="00107808"/>
    <w:rsid w:val="00107C55"/>
    <w:rsid w:val="00110289"/>
    <w:rsid w:val="001104B9"/>
    <w:rsid w:val="001107B0"/>
    <w:rsid w:val="00110811"/>
    <w:rsid w:val="001108D3"/>
    <w:rsid w:val="00110936"/>
    <w:rsid w:val="00110965"/>
    <w:rsid w:val="00110B0F"/>
    <w:rsid w:val="00110C84"/>
    <w:rsid w:val="00110CA3"/>
    <w:rsid w:val="00110E5E"/>
    <w:rsid w:val="00110EFF"/>
    <w:rsid w:val="001110F3"/>
    <w:rsid w:val="00111287"/>
    <w:rsid w:val="001113AD"/>
    <w:rsid w:val="001113D0"/>
    <w:rsid w:val="00111769"/>
    <w:rsid w:val="00111972"/>
    <w:rsid w:val="00111A6B"/>
    <w:rsid w:val="00111C8A"/>
    <w:rsid w:val="00112258"/>
    <w:rsid w:val="0011226C"/>
    <w:rsid w:val="0011242C"/>
    <w:rsid w:val="00112AB6"/>
    <w:rsid w:val="00112B31"/>
    <w:rsid w:val="00112B8A"/>
    <w:rsid w:val="00112F46"/>
    <w:rsid w:val="001130A5"/>
    <w:rsid w:val="0011360E"/>
    <w:rsid w:val="001138E0"/>
    <w:rsid w:val="00113B4F"/>
    <w:rsid w:val="00113CE8"/>
    <w:rsid w:val="00113FC9"/>
    <w:rsid w:val="0011439C"/>
    <w:rsid w:val="001146BA"/>
    <w:rsid w:val="00114829"/>
    <w:rsid w:val="001148D2"/>
    <w:rsid w:val="001148D5"/>
    <w:rsid w:val="00114A9C"/>
    <w:rsid w:val="00114CA4"/>
    <w:rsid w:val="001154E5"/>
    <w:rsid w:val="0011551A"/>
    <w:rsid w:val="00115642"/>
    <w:rsid w:val="0011578C"/>
    <w:rsid w:val="00115B5B"/>
    <w:rsid w:val="001163EA"/>
    <w:rsid w:val="001164C7"/>
    <w:rsid w:val="001165A5"/>
    <w:rsid w:val="0011669B"/>
    <w:rsid w:val="00116A5A"/>
    <w:rsid w:val="00116E0C"/>
    <w:rsid w:val="00116F9D"/>
    <w:rsid w:val="00117054"/>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100A"/>
    <w:rsid w:val="00121576"/>
    <w:rsid w:val="00121628"/>
    <w:rsid w:val="001216B2"/>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A52"/>
    <w:rsid w:val="00126F13"/>
    <w:rsid w:val="00126FAE"/>
    <w:rsid w:val="00127109"/>
    <w:rsid w:val="0012746E"/>
    <w:rsid w:val="00127646"/>
    <w:rsid w:val="00127827"/>
    <w:rsid w:val="00127B90"/>
    <w:rsid w:val="00127BE3"/>
    <w:rsid w:val="00127E02"/>
    <w:rsid w:val="00127EFB"/>
    <w:rsid w:val="00127F77"/>
    <w:rsid w:val="00130350"/>
    <w:rsid w:val="00130969"/>
    <w:rsid w:val="00130970"/>
    <w:rsid w:val="00130B79"/>
    <w:rsid w:val="00130E0F"/>
    <w:rsid w:val="00130E94"/>
    <w:rsid w:val="001311C8"/>
    <w:rsid w:val="00131367"/>
    <w:rsid w:val="001315AD"/>
    <w:rsid w:val="001315BC"/>
    <w:rsid w:val="0013189D"/>
    <w:rsid w:val="00131AF9"/>
    <w:rsid w:val="00131B23"/>
    <w:rsid w:val="00131B76"/>
    <w:rsid w:val="00132026"/>
    <w:rsid w:val="001320C7"/>
    <w:rsid w:val="0013219E"/>
    <w:rsid w:val="00132237"/>
    <w:rsid w:val="001323AD"/>
    <w:rsid w:val="00132A53"/>
    <w:rsid w:val="001333FF"/>
    <w:rsid w:val="0013360A"/>
    <w:rsid w:val="00133872"/>
    <w:rsid w:val="00133A37"/>
    <w:rsid w:val="00133D1A"/>
    <w:rsid w:val="00133DBA"/>
    <w:rsid w:val="00133F91"/>
    <w:rsid w:val="001340E4"/>
    <w:rsid w:val="00134355"/>
    <w:rsid w:val="0013456D"/>
    <w:rsid w:val="001348D6"/>
    <w:rsid w:val="00134963"/>
    <w:rsid w:val="00134A40"/>
    <w:rsid w:val="00134A81"/>
    <w:rsid w:val="00134F1C"/>
    <w:rsid w:val="00135C2E"/>
    <w:rsid w:val="00135D27"/>
    <w:rsid w:val="001360B0"/>
    <w:rsid w:val="0013629B"/>
    <w:rsid w:val="001364F3"/>
    <w:rsid w:val="00136565"/>
    <w:rsid w:val="00136617"/>
    <w:rsid w:val="00136A06"/>
    <w:rsid w:val="00136B6F"/>
    <w:rsid w:val="00136CBA"/>
    <w:rsid w:val="001370ED"/>
    <w:rsid w:val="00137121"/>
    <w:rsid w:val="00137160"/>
    <w:rsid w:val="001371DD"/>
    <w:rsid w:val="0013720E"/>
    <w:rsid w:val="001372BA"/>
    <w:rsid w:val="001373EB"/>
    <w:rsid w:val="0013743C"/>
    <w:rsid w:val="001375CF"/>
    <w:rsid w:val="00137A0A"/>
    <w:rsid w:val="00137A51"/>
    <w:rsid w:val="00137B9A"/>
    <w:rsid w:val="00140129"/>
    <w:rsid w:val="001401F1"/>
    <w:rsid w:val="00140203"/>
    <w:rsid w:val="0014031E"/>
    <w:rsid w:val="001405FB"/>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3036"/>
    <w:rsid w:val="0014320A"/>
    <w:rsid w:val="0014330B"/>
    <w:rsid w:val="00143789"/>
    <w:rsid w:val="001438F6"/>
    <w:rsid w:val="001439C5"/>
    <w:rsid w:val="00143BD5"/>
    <w:rsid w:val="00143DB8"/>
    <w:rsid w:val="001442FB"/>
    <w:rsid w:val="001450EC"/>
    <w:rsid w:val="00145124"/>
    <w:rsid w:val="0014546E"/>
    <w:rsid w:val="001456E7"/>
    <w:rsid w:val="00145BF3"/>
    <w:rsid w:val="00145D85"/>
    <w:rsid w:val="00145E18"/>
    <w:rsid w:val="00146501"/>
    <w:rsid w:val="0014679F"/>
    <w:rsid w:val="001469F7"/>
    <w:rsid w:val="00146A74"/>
    <w:rsid w:val="00146D99"/>
    <w:rsid w:val="00147054"/>
    <w:rsid w:val="001470F7"/>
    <w:rsid w:val="001475DF"/>
    <w:rsid w:val="00147662"/>
    <w:rsid w:val="001476B3"/>
    <w:rsid w:val="00147B6B"/>
    <w:rsid w:val="00147E34"/>
    <w:rsid w:val="00147E5A"/>
    <w:rsid w:val="00147EB0"/>
    <w:rsid w:val="00150042"/>
    <w:rsid w:val="0015011A"/>
    <w:rsid w:val="00150169"/>
    <w:rsid w:val="0015025B"/>
    <w:rsid w:val="00150420"/>
    <w:rsid w:val="001505AE"/>
    <w:rsid w:val="001509CF"/>
    <w:rsid w:val="00150F2E"/>
    <w:rsid w:val="00151039"/>
    <w:rsid w:val="001510C9"/>
    <w:rsid w:val="0015116B"/>
    <w:rsid w:val="0015151D"/>
    <w:rsid w:val="00151576"/>
    <w:rsid w:val="00151A11"/>
    <w:rsid w:val="00151E2E"/>
    <w:rsid w:val="00152336"/>
    <w:rsid w:val="00152F50"/>
    <w:rsid w:val="00152F73"/>
    <w:rsid w:val="001534D1"/>
    <w:rsid w:val="001535AF"/>
    <w:rsid w:val="001535C9"/>
    <w:rsid w:val="00153602"/>
    <w:rsid w:val="001536D8"/>
    <w:rsid w:val="001536E3"/>
    <w:rsid w:val="00153856"/>
    <w:rsid w:val="0015386B"/>
    <w:rsid w:val="00153938"/>
    <w:rsid w:val="001539C6"/>
    <w:rsid w:val="00153BAB"/>
    <w:rsid w:val="00153CF7"/>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999"/>
    <w:rsid w:val="001559FC"/>
    <w:rsid w:val="00155CBE"/>
    <w:rsid w:val="001563FE"/>
    <w:rsid w:val="001566FA"/>
    <w:rsid w:val="00156859"/>
    <w:rsid w:val="00157379"/>
    <w:rsid w:val="001573CD"/>
    <w:rsid w:val="001573E6"/>
    <w:rsid w:val="00157502"/>
    <w:rsid w:val="001578B1"/>
    <w:rsid w:val="001579EB"/>
    <w:rsid w:val="00157BC2"/>
    <w:rsid w:val="00157F51"/>
    <w:rsid w:val="001602AD"/>
    <w:rsid w:val="00160342"/>
    <w:rsid w:val="0016060F"/>
    <w:rsid w:val="0016062D"/>
    <w:rsid w:val="00160937"/>
    <w:rsid w:val="001609C7"/>
    <w:rsid w:val="001609FD"/>
    <w:rsid w:val="00160BC7"/>
    <w:rsid w:val="00161046"/>
    <w:rsid w:val="001618AD"/>
    <w:rsid w:val="001619FA"/>
    <w:rsid w:val="00161A7A"/>
    <w:rsid w:val="00161ACD"/>
    <w:rsid w:val="00161EBE"/>
    <w:rsid w:val="00162109"/>
    <w:rsid w:val="0016213B"/>
    <w:rsid w:val="0016226F"/>
    <w:rsid w:val="001623B5"/>
    <w:rsid w:val="00162A61"/>
    <w:rsid w:val="00162ED6"/>
    <w:rsid w:val="00162FEC"/>
    <w:rsid w:val="00163336"/>
    <w:rsid w:val="00163339"/>
    <w:rsid w:val="001634C0"/>
    <w:rsid w:val="00163718"/>
    <w:rsid w:val="001637EF"/>
    <w:rsid w:val="0016389D"/>
    <w:rsid w:val="001638B7"/>
    <w:rsid w:val="00163C8C"/>
    <w:rsid w:val="00163DEB"/>
    <w:rsid w:val="001641B6"/>
    <w:rsid w:val="0016426B"/>
    <w:rsid w:val="001643E6"/>
    <w:rsid w:val="00164557"/>
    <w:rsid w:val="00164778"/>
    <w:rsid w:val="0016479D"/>
    <w:rsid w:val="00164887"/>
    <w:rsid w:val="00164AD5"/>
    <w:rsid w:val="00164DEE"/>
    <w:rsid w:val="00164EE3"/>
    <w:rsid w:val="0016535E"/>
    <w:rsid w:val="00165442"/>
    <w:rsid w:val="001654EF"/>
    <w:rsid w:val="00165685"/>
    <w:rsid w:val="0016580B"/>
    <w:rsid w:val="00165858"/>
    <w:rsid w:val="001658A7"/>
    <w:rsid w:val="00165E8F"/>
    <w:rsid w:val="00166131"/>
    <w:rsid w:val="00166381"/>
    <w:rsid w:val="00166468"/>
    <w:rsid w:val="0016662F"/>
    <w:rsid w:val="001668CD"/>
    <w:rsid w:val="00166963"/>
    <w:rsid w:val="00166A52"/>
    <w:rsid w:val="00166AF7"/>
    <w:rsid w:val="00166D76"/>
    <w:rsid w:val="00167431"/>
    <w:rsid w:val="001674A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2137"/>
    <w:rsid w:val="001722FB"/>
    <w:rsid w:val="001723DC"/>
    <w:rsid w:val="00172545"/>
    <w:rsid w:val="0017254E"/>
    <w:rsid w:val="001727F3"/>
    <w:rsid w:val="00172AB0"/>
    <w:rsid w:val="001730CD"/>
    <w:rsid w:val="0017378F"/>
    <w:rsid w:val="001738EF"/>
    <w:rsid w:val="00173A3E"/>
    <w:rsid w:val="00173B58"/>
    <w:rsid w:val="00173CFF"/>
    <w:rsid w:val="00173D97"/>
    <w:rsid w:val="00173DEC"/>
    <w:rsid w:val="00173E06"/>
    <w:rsid w:val="001743CA"/>
    <w:rsid w:val="001743D9"/>
    <w:rsid w:val="00174430"/>
    <w:rsid w:val="001744E5"/>
    <w:rsid w:val="001746BD"/>
    <w:rsid w:val="00174771"/>
    <w:rsid w:val="00174AE7"/>
    <w:rsid w:val="0017524B"/>
    <w:rsid w:val="0017531B"/>
    <w:rsid w:val="00175519"/>
    <w:rsid w:val="0017585C"/>
    <w:rsid w:val="00175DFB"/>
    <w:rsid w:val="00175F6F"/>
    <w:rsid w:val="00175FB5"/>
    <w:rsid w:val="001763B2"/>
    <w:rsid w:val="001763DC"/>
    <w:rsid w:val="0017660A"/>
    <w:rsid w:val="00176D10"/>
    <w:rsid w:val="001770B4"/>
    <w:rsid w:val="001770C7"/>
    <w:rsid w:val="00177B93"/>
    <w:rsid w:val="00177D1A"/>
    <w:rsid w:val="00177E51"/>
    <w:rsid w:val="00177EA7"/>
    <w:rsid w:val="0018046E"/>
    <w:rsid w:val="001808C1"/>
    <w:rsid w:val="00180B7C"/>
    <w:rsid w:val="00180BD1"/>
    <w:rsid w:val="00181096"/>
    <w:rsid w:val="001815A6"/>
    <w:rsid w:val="0018160E"/>
    <w:rsid w:val="0018161A"/>
    <w:rsid w:val="00181694"/>
    <w:rsid w:val="001816AF"/>
    <w:rsid w:val="00181841"/>
    <w:rsid w:val="00181995"/>
    <w:rsid w:val="00181C51"/>
    <w:rsid w:val="001821F8"/>
    <w:rsid w:val="00182424"/>
    <w:rsid w:val="0018255F"/>
    <w:rsid w:val="0018259A"/>
    <w:rsid w:val="001825ED"/>
    <w:rsid w:val="00182A1C"/>
    <w:rsid w:val="00182C29"/>
    <w:rsid w:val="00182F1C"/>
    <w:rsid w:val="00182FC4"/>
    <w:rsid w:val="001831F9"/>
    <w:rsid w:val="001832BE"/>
    <w:rsid w:val="001832D1"/>
    <w:rsid w:val="001834F5"/>
    <w:rsid w:val="0018397F"/>
    <w:rsid w:val="00183AE8"/>
    <w:rsid w:val="00183C1B"/>
    <w:rsid w:val="00183C57"/>
    <w:rsid w:val="00183FEB"/>
    <w:rsid w:val="001842B1"/>
    <w:rsid w:val="001842F4"/>
    <w:rsid w:val="00184313"/>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F55"/>
    <w:rsid w:val="00186008"/>
    <w:rsid w:val="00186099"/>
    <w:rsid w:val="001860A3"/>
    <w:rsid w:val="00186212"/>
    <w:rsid w:val="00186235"/>
    <w:rsid w:val="0018659A"/>
    <w:rsid w:val="001868F8"/>
    <w:rsid w:val="00186A35"/>
    <w:rsid w:val="00186CC7"/>
    <w:rsid w:val="00186F88"/>
    <w:rsid w:val="00187052"/>
    <w:rsid w:val="00187513"/>
    <w:rsid w:val="00187A98"/>
    <w:rsid w:val="00187ADE"/>
    <w:rsid w:val="00187C15"/>
    <w:rsid w:val="00187D50"/>
    <w:rsid w:val="0019010A"/>
    <w:rsid w:val="00190235"/>
    <w:rsid w:val="0019030E"/>
    <w:rsid w:val="00190448"/>
    <w:rsid w:val="001904F0"/>
    <w:rsid w:val="00190562"/>
    <w:rsid w:val="00190DCF"/>
    <w:rsid w:val="00190E53"/>
    <w:rsid w:val="00190EA5"/>
    <w:rsid w:val="001910A8"/>
    <w:rsid w:val="001912EE"/>
    <w:rsid w:val="0019162B"/>
    <w:rsid w:val="001919C9"/>
    <w:rsid w:val="00191D2F"/>
    <w:rsid w:val="00191D73"/>
    <w:rsid w:val="00191DA4"/>
    <w:rsid w:val="00191F05"/>
    <w:rsid w:val="00192098"/>
    <w:rsid w:val="001922C5"/>
    <w:rsid w:val="00192444"/>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984"/>
    <w:rsid w:val="00193F03"/>
    <w:rsid w:val="0019479D"/>
    <w:rsid w:val="00194880"/>
    <w:rsid w:val="00194A50"/>
    <w:rsid w:val="00194AF2"/>
    <w:rsid w:val="00194CA2"/>
    <w:rsid w:val="00194F85"/>
    <w:rsid w:val="0019518A"/>
    <w:rsid w:val="0019547B"/>
    <w:rsid w:val="00195794"/>
    <w:rsid w:val="001957A8"/>
    <w:rsid w:val="001957C1"/>
    <w:rsid w:val="001958D5"/>
    <w:rsid w:val="00195969"/>
    <w:rsid w:val="00195EB7"/>
    <w:rsid w:val="00195FAD"/>
    <w:rsid w:val="0019623C"/>
    <w:rsid w:val="001968C9"/>
    <w:rsid w:val="00196A21"/>
    <w:rsid w:val="00196A26"/>
    <w:rsid w:val="0019711B"/>
    <w:rsid w:val="001972AE"/>
    <w:rsid w:val="001972EC"/>
    <w:rsid w:val="00197406"/>
    <w:rsid w:val="00197432"/>
    <w:rsid w:val="001978EF"/>
    <w:rsid w:val="00197E2C"/>
    <w:rsid w:val="001A0018"/>
    <w:rsid w:val="001A0187"/>
    <w:rsid w:val="001A097C"/>
    <w:rsid w:val="001A0CF8"/>
    <w:rsid w:val="001A0FD8"/>
    <w:rsid w:val="001A11C8"/>
    <w:rsid w:val="001A1209"/>
    <w:rsid w:val="001A1294"/>
    <w:rsid w:val="001A1622"/>
    <w:rsid w:val="001A19EC"/>
    <w:rsid w:val="001A1B1E"/>
    <w:rsid w:val="001A1DA7"/>
    <w:rsid w:val="001A1DF8"/>
    <w:rsid w:val="001A28CA"/>
    <w:rsid w:val="001A28D1"/>
    <w:rsid w:val="001A2FEA"/>
    <w:rsid w:val="001A31A9"/>
    <w:rsid w:val="001A3218"/>
    <w:rsid w:val="001A388C"/>
    <w:rsid w:val="001A38DC"/>
    <w:rsid w:val="001A40E3"/>
    <w:rsid w:val="001A4248"/>
    <w:rsid w:val="001A4837"/>
    <w:rsid w:val="001A4929"/>
    <w:rsid w:val="001A4B87"/>
    <w:rsid w:val="001A4BE9"/>
    <w:rsid w:val="001A4C86"/>
    <w:rsid w:val="001A4C9D"/>
    <w:rsid w:val="001A4D80"/>
    <w:rsid w:val="001A4F27"/>
    <w:rsid w:val="001A5552"/>
    <w:rsid w:val="001A5A24"/>
    <w:rsid w:val="001A5DD6"/>
    <w:rsid w:val="001A63B3"/>
    <w:rsid w:val="001A64C9"/>
    <w:rsid w:val="001A65D4"/>
    <w:rsid w:val="001A6B11"/>
    <w:rsid w:val="001A6B22"/>
    <w:rsid w:val="001A6B9F"/>
    <w:rsid w:val="001A6D35"/>
    <w:rsid w:val="001A7018"/>
    <w:rsid w:val="001A707E"/>
    <w:rsid w:val="001A736A"/>
    <w:rsid w:val="001A73AD"/>
    <w:rsid w:val="001A73DF"/>
    <w:rsid w:val="001A74A3"/>
    <w:rsid w:val="001A764A"/>
    <w:rsid w:val="001A764F"/>
    <w:rsid w:val="001A7A25"/>
    <w:rsid w:val="001A7BEF"/>
    <w:rsid w:val="001A7FA0"/>
    <w:rsid w:val="001B0196"/>
    <w:rsid w:val="001B01C3"/>
    <w:rsid w:val="001B0500"/>
    <w:rsid w:val="001B073E"/>
    <w:rsid w:val="001B0740"/>
    <w:rsid w:val="001B0920"/>
    <w:rsid w:val="001B0921"/>
    <w:rsid w:val="001B0AD8"/>
    <w:rsid w:val="001B0DF4"/>
    <w:rsid w:val="001B1354"/>
    <w:rsid w:val="001B1392"/>
    <w:rsid w:val="001B15F1"/>
    <w:rsid w:val="001B1607"/>
    <w:rsid w:val="001B16EC"/>
    <w:rsid w:val="001B1949"/>
    <w:rsid w:val="001B1E67"/>
    <w:rsid w:val="001B1FE4"/>
    <w:rsid w:val="001B2111"/>
    <w:rsid w:val="001B24A5"/>
    <w:rsid w:val="001B24F0"/>
    <w:rsid w:val="001B2CD5"/>
    <w:rsid w:val="001B2CF7"/>
    <w:rsid w:val="001B2D63"/>
    <w:rsid w:val="001B2FEC"/>
    <w:rsid w:val="001B30EA"/>
    <w:rsid w:val="001B3371"/>
    <w:rsid w:val="001B35D5"/>
    <w:rsid w:val="001B35E5"/>
    <w:rsid w:val="001B365C"/>
    <w:rsid w:val="001B37BD"/>
    <w:rsid w:val="001B395B"/>
    <w:rsid w:val="001B3A9A"/>
    <w:rsid w:val="001B3C44"/>
    <w:rsid w:val="001B3CDC"/>
    <w:rsid w:val="001B3CE6"/>
    <w:rsid w:val="001B438D"/>
    <w:rsid w:val="001B477A"/>
    <w:rsid w:val="001B4780"/>
    <w:rsid w:val="001B4A69"/>
    <w:rsid w:val="001B4D0B"/>
    <w:rsid w:val="001B4E36"/>
    <w:rsid w:val="001B4ECD"/>
    <w:rsid w:val="001B5081"/>
    <w:rsid w:val="001B53D5"/>
    <w:rsid w:val="001B53E6"/>
    <w:rsid w:val="001B54A0"/>
    <w:rsid w:val="001B5584"/>
    <w:rsid w:val="001B5B13"/>
    <w:rsid w:val="001B5D32"/>
    <w:rsid w:val="001B5D83"/>
    <w:rsid w:val="001B5E50"/>
    <w:rsid w:val="001B650C"/>
    <w:rsid w:val="001B66B9"/>
    <w:rsid w:val="001B6751"/>
    <w:rsid w:val="001B6C48"/>
    <w:rsid w:val="001B6D8F"/>
    <w:rsid w:val="001B6DD7"/>
    <w:rsid w:val="001B6E06"/>
    <w:rsid w:val="001B7396"/>
    <w:rsid w:val="001B785D"/>
    <w:rsid w:val="001B7C3B"/>
    <w:rsid w:val="001B7D75"/>
    <w:rsid w:val="001B7E9B"/>
    <w:rsid w:val="001C0036"/>
    <w:rsid w:val="001C01D8"/>
    <w:rsid w:val="001C030D"/>
    <w:rsid w:val="001C0473"/>
    <w:rsid w:val="001C0756"/>
    <w:rsid w:val="001C0B0C"/>
    <w:rsid w:val="001C1114"/>
    <w:rsid w:val="001C1201"/>
    <w:rsid w:val="001C138C"/>
    <w:rsid w:val="001C140C"/>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829"/>
    <w:rsid w:val="001C3956"/>
    <w:rsid w:val="001C39DD"/>
    <w:rsid w:val="001C3A44"/>
    <w:rsid w:val="001C3B93"/>
    <w:rsid w:val="001C3DEC"/>
    <w:rsid w:val="001C3E56"/>
    <w:rsid w:val="001C3EA4"/>
    <w:rsid w:val="001C3FB0"/>
    <w:rsid w:val="001C3FDF"/>
    <w:rsid w:val="001C4014"/>
    <w:rsid w:val="001C4640"/>
    <w:rsid w:val="001C4809"/>
    <w:rsid w:val="001C4C94"/>
    <w:rsid w:val="001C4EDE"/>
    <w:rsid w:val="001C4F34"/>
    <w:rsid w:val="001C4F8E"/>
    <w:rsid w:val="001C50D8"/>
    <w:rsid w:val="001C598D"/>
    <w:rsid w:val="001C5A27"/>
    <w:rsid w:val="001C5BB3"/>
    <w:rsid w:val="001C5C1B"/>
    <w:rsid w:val="001C5D6E"/>
    <w:rsid w:val="001C5DE2"/>
    <w:rsid w:val="001C5EA0"/>
    <w:rsid w:val="001C6204"/>
    <w:rsid w:val="001C6297"/>
    <w:rsid w:val="001C6728"/>
    <w:rsid w:val="001C67E2"/>
    <w:rsid w:val="001C6B8B"/>
    <w:rsid w:val="001C6F52"/>
    <w:rsid w:val="001C70C3"/>
    <w:rsid w:val="001C70E0"/>
    <w:rsid w:val="001C7109"/>
    <w:rsid w:val="001C7183"/>
    <w:rsid w:val="001C7198"/>
    <w:rsid w:val="001C736C"/>
    <w:rsid w:val="001C7372"/>
    <w:rsid w:val="001C76F4"/>
    <w:rsid w:val="001C7848"/>
    <w:rsid w:val="001C7A1B"/>
    <w:rsid w:val="001C7CDB"/>
    <w:rsid w:val="001C7DC6"/>
    <w:rsid w:val="001D0193"/>
    <w:rsid w:val="001D034E"/>
    <w:rsid w:val="001D07B3"/>
    <w:rsid w:val="001D10E0"/>
    <w:rsid w:val="001D12BC"/>
    <w:rsid w:val="001D1402"/>
    <w:rsid w:val="001D14AB"/>
    <w:rsid w:val="001D1638"/>
    <w:rsid w:val="001D1748"/>
    <w:rsid w:val="001D180E"/>
    <w:rsid w:val="001D1F1C"/>
    <w:rsid w:val="001D1F1D"/>
    <w:rsid w:val="001D1F7E"/>
    <w:rsid w:val="001D22D0"/>
    <w:rsid w:val="001D23F5"/>
    <w:rsid w:val="001D25D5"/>
    <w:rsid w:val="001D266E"/>
    <w:rsid w:val="001D2680"/>
    <w:rsid w:val="001D26D0"/>
    <w:rsid w:val="001D286C"/>
    <w:rsid w:val="001D2B7B"/>
    <w:rsid w:val="001D2D6D"/>
    <w:rsid w:val="001D303A"/>
    <w:rsid w:val="001D312E"/>
    <w:rsid w:val="001D340D"/>
    <w:rsid w:val="001D38F8"/>
    <w:rsid w:val="001D4389"/>
    <w:rsid w:val="001D44EE"/>
    <w:rsid w:val="001D4607"/>
    <w:rsid w:val="001D4923"/>
    <w:rsid w:val="001D4A53"/>
    <w:rsid w:val="001D4AC8"/>
    <w:rsid w:val="001D4E4D"/>
    <w:rsid w:val="001D4FF8"/>
    <w:rsid w:val="001D576C"/>
    <w:rsid w:val="001D579B"/>
    <w:rsid w:val="001D583E"/>
    <w:rsid w:val="001D5B89"/>
    <w:rsid w:val="001D61CE"/>
    <w:rsid w:val="001D6282"/>
    <w:rsid w:val="001D65AA"/>
    <w:rsid w:val="001D690F"/>
    <w:rsid w:val="001D698F"/>
    <w:rsid w:val="001D6A3D"/>
    <w:rsid w:val="001D6A3F"/>
    <w:rsid w:val="001D6C30"/>
    <w:rsid w:val="001D6DAA"/>
    <w:rsid w:val="001D6E45"/>
    <w:rsid w:val="001D70B2"/>
    <w:rsid w:val="001D70B9"/>
    <w:rsid w:val="001D7254"/>
    <w:rsid w:val="001D73C8"/>
    <w:rsid w:val="001D78F4"/>
    <w:rsid w:val="001D7A9E"/>
    <w:rsid w:val="001D7BBD"/>
    <w:rsid w:val="001E0241"/>
    <w:rsid w:val="001E0601"/>
    <w:rsid w:val="001E06AB"/>
    <w:rsid w:val="001E0745"/>
    <w:rsid w:val="001E08F8"/>
    <w:rsid w:val="001E0B41"/>
    <w:rsid w:val="001E0BCE"/>
    <w:rsid w:val="001E0D89"/>
    <w:rsid w:val="001E0DA8"/>
    <w:rsid w:val="001E0E3D"/>
    <w:rsid w:val="001E118D"/>
    <w:rsid w:val="001E11AB"/>
    <w:rsid w:val="001E1449"/>
    <w:rsid w:val="001E15AE"/>
    <w:rsid w:val="001E1612"/>
    <w:rsid w:val="001E1C45"/>
    <w:rsid w:val="001E1E5C"/>
    <w:rsid w:val="001E1EB6"/>
    <w:rsid w:val="001E1FE9"/>
    <w:rsid w:val="001E21FC"/>
    <w:rsid w:val="001E2256"/>
    <w:rsid w:val="001E23CF"/>
    <w:rsid w:val="001E26E3"/>
    <w:rsid w:val="001E27CA"/>
    <w:rsid w:val="001E2C4C"/>
    <w:rsid w:val="001E2DB0"/>
    <w:rsid w:val="001E2F1F"/>
    <w:rsid w:val="001E3331"/>
    <w:rsid w:val="001E3D4E"/>
    <w:rsid w:val="001E46B6"/>
    <w:rsid w:val="001E4754"/>
    <w:rsid w:val="001E47E7"/>
    <w:rsid w:val="001E5052"/>
    <w:rsid w:val="001E52B1"/>
    <w:rsid w:val="001E55E9"/>
    <w:rsid w:val="001E5603"/>
    <w:rsid w:val="001E5909"/>
    <w:rsid w:val="001E5AEE"/>
    <w:rsid w:val="001E5D12"/>
    <w:rsid w:val="001E5D69"/>
    <w:rsid w:val="001E60DF"/>
    <w:rsid w:val="001E63F4"/>
    <w:rsid w:val="001E65BB"/>
    <w:rsid w:val="001E66D0"/>
    <w:rsid w:val="001E687A"/>
    <w:rsid w:val="001E6919"/>
    <w:rsid w:val="001E69DA"/>
    <w:rsid w:val="001E700B"/>
    <w:rsid w:val="001E7080"/>
    <w:rsid w:val="001E709A"/>
    <w:rsid w:val="001E7261"/>
    <w:rsid w:val="001E73E8"/>
    <w:rsid w:val="001E744D"/>
    <w:rsid w:val="001E7675"/>
    <w:rsid w:val="001E77DF"/>
    <w:rsid w:val="001E7ACF"/>
    <w:rsid w:val="001E7CB3"/>
    <w:rsid w:val="001F0083"/>
    <w:rsid w:val="001F01F7"/>
    <w:rsid w:val="001F01FB"/>
    <w:rsid w:val="001F02CB"/>
    <w:rsid w:val="001F0424"/>
    <w:rsid w:val="001F04AF"/>
    <w:rsid w:val="001F04D9"/>
    <w:rsid w:val="001F054E"/>
    <w:rsid w:val="001F071A"/>
    <w:rsid w:val="001F09C6"/>
    <w:rsid w:val="001F09D7"/>
    <w:rsid w:val="001F0A7F"/>
    <w:rsid w:val="001F0DB8"/>
    <w:rsid w:val="001F11A4"/>
    <w:rsid w:val="001F1218"/>
    <w:rsid w:val="001F1670"/>
    <w:rsid w:val="001F17F9"/>
    <w:rsid w:val="001F185A"/>
    <w:rsid w:val="001F1BF1"/>
    <w:rsid w:val="001F1C0E"/>
    <w:rsid w:val="001F1CEA"/>
    <w:rsid w:val="001F1E09"/>
    <w:rsid w:val="001F1E52"/>
    <w:rsid w:val="001F20A4"/>
    <w:rsid w:val="001F21A0"/>
    <w:rsid w:val="001F21DC"/>
    <w:rsid w:val="001F25AC"/>
    <w:rsid w:val="001F26DD"/>
    <w:rsid w:val="001F27F5"/>
    <w:rsid w:val="001F2887"/>
    <w:rsid w:val="001F2FB0"/>
    <w:rsid w:val="001F31F4"/>
    <w:rsid w:val="001F320F"/>
    <w:rsid w:val="001F322A"/>
    <w:rsid w:val="001F37B1"/>
    <w:rsid w:val="001F3B9C"/>
    <w:rsid w:val="001F3FA7"/>
    <w:rsid w:val="001F41A3"/>
    <w:rsid w:val="001F45DE"/>
    <w:rsid w:val="001F482E"/>
    <w:rsid w:val="001F485D"/>
    <w:rsid w:val="001F497A"/>
    <w:rsid w:val="001F4A81"/>
    <w:rsid w:val="001F4E6F"/>
    <w:rsid w:val="001F5368"/>
    <w:rsid w:val="001F55FD"/>
    <w:rsid w:val="001F5679"/>
    <w:rsid w:val="001F5BF5"/>
    <w:rsid w:val="001F5CBE"/>
    <w:rsid w:val="001F5D51"/>
    <w:rsid w:val="001F5FD5"/>
    <w:rsid w:val="001F60E6"/>
    <w:rsid w:val="001F6174"/>
    <w:rsid w:val="001F62C9"/>
    <w:rsid w:val="001F6641"/>
    <w:rsid w:val="001F6A00"/>
    <w:rsid w:val="001F6B66"/>
    <w:rsid w:val="001F6BF4"/>
    <w:rsid w:val="001F6EC7"/>
    <w:rsid w:val="001F6EFD"/>
    <w:rsid w:val="001F7191"/>
    <w:rsid w:val="001F7239"/>
    <w:rsid w:val="001F746A"/>
    <w:rsid w:val="001F777C"/>
    <w:rsid w:val="001F78C9"/>
    <w:rsid w:val="002005B2"/>
    <w:rsid w:val="00200B18"/>
    <w:rsid w:val="00200CFC"/>
    <w:rsid w:val="00200E23"/>
    <w:rsid w:val="00201362"/>
    <w:rsid w:val="00201620"/>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3A1"/>
    <w:rsid w:val="0020451C"/>
    <w:rsid w:val="002046B1"/>
    <w:rsid w:val="00204718"/>
    <w:rsid w:val="002048C3"/>
    <w:rsid w:val="002048CE"/>
    <w:rsid w:val="00204AFE"/>
    <w:rsid w:val="00204D9E"/>
    <w:rsid w:val="00204EC3"/>
    <w:rsid w:val="00204F11"/>
    <w:rsid w:val="00205024"/>
    <w:rsid w:val="002050EC"/>
    <w:rsid w:val="0020534D"/>
    <w:rsid w:val="0020569D"/>
    <w:rsid w:val="0020591E"/>
    <w:rsid w:val="00205B62"/>
    <w:rsid w:val="00205DF9"/>
    <w:rsid w:val="00206242"/>
    <w:rsid w:val="00206392"/>
    <w:rsid w:val="0020662F"/>
    <w:rsid w:val="00206693"/>
    <w:rsid w:val="00206832"/>
    <w:rsid w:val="002068D4"/>
    <w:rsid w:val="002068FC"/>
    <w:rsid w:val="00206A58"/>
    <w:rsid w:val="00206B52"/>
    <w:rsid w:val="002073EC"/>
    <w:rsid w:val="002074F8"/>
    <w:rsid w:val="002076BE"/>
    <w:rsid w:val="002078FC"/>
    <w:rsid w:val="00207A34"/>
    <w:rsid w:val="00207C53"/>
    <w:rsid w:val="00207D13"/>
    <w:rsid w:val="00207F32"/>
    <w:rsid w:val="0021011A"/>
    <w:rsid w:val="0021011F"/>
    <w:rsid w:val="00210542"/>
    <w:rsid w:val="00210587"/>
    <w:rsid w:val="002105E1"/>
    <w:rsid w:val="00210B00"/>
    <w:rsid w:val="00210CD1"/>
    <w:rsid w:val="00210CD6"/>
    <w:rsid w:val="00211145"/>
    <w:rsid w:val="002116A7"/>
    <w:rsid w:val="002118C9"/>
    <w:rsid w:val="00211A01"/>
    <w:rsid w:val="00211B59"/>
    <w:rsid w:val="00211B7E"/>
    <w:rsid w:val="00211F6C"/>
    <w:rsid w:val="00211F6D"/>
    <w:rsid w:val="00212278"/>
    <w:rsid w:val="0021263B"/>
    <w:rsid w:val="002126BD"/>
    <w:rsid w:val="00212793"/>
    <w:rsid w:val="00212A3B"/>
    <w:rsid w:val="00212B47"/>
    <w:rsid w:val="00212C0F"/>
    <w:rsid w:val="00212F22"/>
    <w:rsid w:val="00213001"/>
    <w:rsid w:val="002131E2"/>
    <w:rsid w:val="002136F1"/>
    <w:rsid w:val="002138C5"/>
    <w:rsid w:val="00213934"/>
    <w:rsid w:val="00213967"/>
    <w:rsid w:val="002139DA"/>
    <w:rsid w:val="00213B49"/>
    <w:rsid w:val="00213CA9"/>
    <w:rsid w:val="00214392"/>
    <w:rsid w:val="0021441E"/>
    <w:rsid w:val="0021477D"/>
    <w:rsid w:val="0021484A"/>
    <w:rsid w:val="002150B7"/>
    <w:rsid w:val="002153B4"/>
    <w:rsid w:val="002154DB"/>
    <w:rsid w:val="002157EA"/>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5F3"/>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6F7"/>
    <w:rsid w:val="00221BA8"/>
    <w:rsid w:val="00221D48"/>
    <w:rsid w:val="00221FD0"/>
    <w:rsid w:val="002223B1"/>
    <w:rsid w:val="0022245A"/>
    <w:rsid w:val="0022255F"/>
    <w:rsid w:val="0022258C"/>
    <w:rsid w:val="00222AAA"/>
    <w:rsid w:val="00223188"/>
    <w:rsid w:val="00223391"/>
    <w:rsid w:val="002235BC"/>
    <w:rsid w:val="0022380C"/>
    <w:rsid w:val="002238DD"/>
    <w:rsid w:val="00223AD5"/>
    <w:rsid w:val="00223BD7"/>
    <w:rsid w:val="00223C0F"/>
    <w:rsid w:val="00223E47"/>
    <w:rsid w:val="00224138"/>
    <w:rsid w:val="00224182"/>
    <w:rsid w:val="00224511"/>
    <w:rsid w:val="002246A6"/>
    <w:rsid w:val="0022483D"/>
    <w:rsid w:val="0022496F"/>
    <w:rsid w:val="00224999"/>
    <w:rsid w:val="00224AEF"/>
    <w:rsid w:val="00224B7E"/>
    <w:rsid w:val="00224B92"/>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DBD"/>
    <w:rsid w:val="00227420"/>
    <w:rsid w:val="00227435"/>
    <w:rsid w:val="002275F3"/>
    <w:rsid w:val="00227B90"/>
    <w:rsid w:val="002300B0"/>
    <w:rsid w:val="0023017C"/>
    <w:rsid w:val="0023018B"/>
    <w:rsid w:val="00230808"/>
    <w:rsid w:val="0023084D"/>
    <w:rsid w:val="0023092C"/>
    <w:rsid w:val="00230A3B"/>
    <w:rsid w:val="00231015"/>
    <w:rsid w:val="0023130B"/>
    <w:rsid w:val="002317B6"/>
    <w:rsid w:val="00231941"/>
    <w:rsid w:val="00231EA3"/>
    <w:rsid w:val="00232130"/>
    <w:rsid w:val="0023218D"/>
    <w:rsid w:val="002324EB"/>
    <w:rsid w:val="002325E0"/>
    <w:rsid w:val="0023271B"/>
    <w:rsid w:val="00232B8E"/>
    <w:rsid w:val="00232D9D"/>
    <w:rsid w:val="00232ECF"/>
    <w:rsid w:val="00232EDF"/>
    <w:rsid w:val="00232F4E"/>
    <w:rsid w:val="00232FFC"/>
    <w:rsid w:val="002333E3"/>
    <w:rsid w:val="002335BE"/>
    <w:rsid w:val="002336B4"/>
    <w:rsid w:val="00233735"/>
    <w:rsid w:val="002337A2"/>
    <w:rsid w:val="00233A32"/>
    <w:rsid w:val="00233B17"/>
    <w:rsid w:val="00233C5F"/>
    <w:rsid w:val="00233CEA"/>
    <w:rsid w:val="00233D36"/>
    <w:rsid w:val="00234000"/>
    <w:rsid w:val="002341DA"/>
    <w:rsid w:val="002343D1"/>
    <w:rsid w:val="002344B2"/>
    <w:rsid w:val="0023453D"/>
    <w:rsid w:val="00234853"/>
    <w:rsid w:val="00234A27"/>
    <w:rsid w:val="00234AFC"/>
    <w:rsid w:val="00234CED"/>
    <w:rsid w:val="00234D1C"/>
    <w:rsid w:val="00234D1E"/>
    <w:rsid w:val="0023506D"/>
    <w:rsid w:val="0023525C"/>
    <w:rsid w:val="0023540B"/>
    <w:rsid w:val="002357A0"/>
    <w:rsid w:val="002358DF"/>
    <w:rsid w:val="00235944"/>
    <w:rsid w:val="002359EE"/>
    <w:rsid w:val="00235C50"/>
    <w:rsid w:val="00235D3B"/>
    <w:rsid w:val="00235F18"/>
    <w:rsid w:val="00235F45"/>
    <w:rsid w:val="00235FAD"/>
    <w:rsid w:val="00235FCD"/>
    <w:rsid w:val="002360A5"/>
    <w:rsid w:val="0023655F"/>
    <w:rsid w:val="002368AE"/>
    <w:rsid w:val="00236D9A"/>
    <w:rsid w:val="00236F3D"/>
    <w:rsid w:val="0023734B"/>
    <w:rsid w:val="0023765E"/>
    <w:rsid w:val="0023768E"/>
    <w:rsid w:val="00237759"/>
    <w:rsid w:val="00237B3B"/>
    <w:rsid w:val="00237F4C"/>
    <w:rsid w:val="00240007"/>
    <w:rsid w:val="0024001D"/>
    <w:rsid w:val="00240337"/>
    <w:rsid w:val="00240515"/>
    <w:rsid w:val="00240721"/>
    <w:rsid w:val="00240764"/>
    <w:rsid w:val="0024077B"/>
    <w:rsid w:val="002407FA"/>
    <w:rsid w:val="00240C84"/>
    <w:rsid w:val="00240D36"/>
    <w:rsid w:val="002411E3"/>
    <w:rsid w:val="002417AB"/>
    <w:rsid w:val="002417B2"/>
    <w:rsid w:val="00241F95"/>
    <w:rsid w:val="00242111"/>
    <w:rsid w:val="0024262D"/>
    <w:rsid w:val="00242899"/>
    <w:rsid w:val="002428D0"/>
    <w:rsid w:val="00242CD6"/>
    <w:rsid w:val="00242F2D"/>
    <w:rsid w:val="00242FE1"/>
    <w:rsid w:val="00243583"/>
    <w:rsid w:val="00243774"/>
    <w:rsid w:val="002437D5"/>
    <w:rsid w:val="0024399C"/>
    <w:rsid w:val="00243B9F"/>
    <w:rsid w:val="00243EC6"/>
    <w:rsid w:val="002440A4"/>
    <w:rsid w:val="002440FB"/>
    <w:rsid w:val="002444F0"/>
    <w:rsid w:val="00244B2D"/>
    <w:rsid w:val="00244B62"/>
    <w:rsid w:val="00244B79"/>
    <w:rsid w:val="00244DB8"/>
    <w:rsid w:val="00244F2B"/>
    <w:rsid w:val="00244FB9"/>
    <w:rsid w:val="00245237"/>
    <w:rsid w:val="00245346"/>
    <w:rsid w:val="002453B2"/>
    <w:rsid w:val="002454F2"/>
    <w:rsid w:val="00245844"/>
    <w:rsid w:val="00245876"/>
    <w:rsid w:val="00245DFE"/>
    <w:rsid w:val="00245F16"/>
    <w:rsid w:val="00246038"/>
    <w:rsid w:val="00246070"/>
    <w:rsid w:val="00246599"/>
    <w:rsid w:val="002468C2"/>
    <w:rsid w:val="00246B17"/>
    <w:rsid w:val="00246B3A"/>
    <w:rsid w:val="00246CDF"/>
    <w:rsid w:val="00246CE4"/>
    <w:rsid w:val="00246D7B"/>
    <w:rsid w:val="00246FC4"/>
    <w:rsid w:val="00247017"/>
    <w:rsid w:val="00247296"/>
    <w:rsid w:val="0024730E"/>
    <w:rsid w:val="002474AE"/>
    <w:rsid w:val="002475B3"/>
    <w:rsid w:val="00247625"/>
    <w:rsid w:val="00247983"/>
    <w:rsid w:val="00250147"/>
    <w:rsid w:val="00250159"/>
    <w:rsid w:val="002506CA"/>
    <w:rsid w:val="00250765"/>
    <w:rsid w:val="00250786"/>
    <w:rsid w:val="00250F1B"/>
    <w:rsid w:val="002515E4"/>
    <w:rsid w:val="00251781"/>
    <w:rsid w:val="002518FC"/>
    <w:rsid w:val="00251B0B"/>
    <w:rsid w:val="00251D31"/>
    <w:rsid w:val="00251D40"/>
    <w:rsid w:val="00251F2D"/>
    <w:rsid w:val="00251F37"/>
    <w:rsid w:val="00252240"/>
    <w:rsid w:val="002524AC"/>
    <w:rsid w:val="0025262E"/>
    <w:rsid w:val="002526AB"/>
    <w:rsid w:val="00252738"/>
    <w:rsid w:val="0025285E"/>
    <w:rsid w:val="00252A03"/>
    <w:rsid w:val="00252A1F"/>
    <w:rsid w:val="00252B32"/>
    <w:rsid w:val="00252C48"/>
    <w:rsid w:val="002535BE"/>
    <w:rsid w:val="002539E7"/>
    <w:rsid w:val="00253B69"/>
    <w:rsid w:val="00253CA1"/>
    <w:rsid w:val="00253CF5"/>
    <w:rsid w:val="00253EAA"/>
    <w:rsid w:val="00253F11"/>
    <w:rsid w:val="00253FB6"/>
    <w:rsid w:val="00254078"/>
    <w:rsid w:val="002541ED"/>
    <w:rsid w:val="002547FC"/>
    <w:rsid w:val="00254D19"/>
    <w:rsid w:val="002551BD"/>
    <w:rsid w:val="00255410"/>
    <w:rsid w:val="00255753"/>
    <w:rsid w:val="00255995"/>
    <w:rsid w:val="00255AE2"/>
    <w:rsid w:val="00255BEC"/>
    <w:rsid w:val="00255D7A"/>
    <w:rsid w:val="00256154"/>
    <w:rsid w:val="00256235"/>
    <w:rsid w:val="00256276"/>
    <w:rsid w:val="0025686C"/>
    <w:rsid w:val="00256B18"/>
    <w:rsid w:val="00256E66"/>
    <w:rsid w:val="00256E8C"/>
    <w:rsid w:val="00257352"/>
    <w:rsid w:val="00257711"/>
    <w:rsid w:val="0025773D"/>
    <w:rsid w:val="00257950"/>
    <w:rsid w:val="002579BF"/>
    <w:rsid w:val="00257BF8"/>
    <w:rsid w:val="00257D09"/>
    <w:rsid w:val="00257E01"/>
    <w:rsid w:val="0026011C"/>
    <w:rsid w:val="00260164"/>
    <w:rsid w:val="00260286"/>
    <w:rsid w:val="002604DE"/>
    <w:rsid w:val="00260710"/>
    <w:rsid w:val="002609F5"/>
    <w:rsid w:val="00260B4E"/>
    <w:rsid w:val="00260C9A"/>
    <w:rsid w:val="00260EF0"/>
    <w:rsid w:val="0026118B"/>
    <w:rsid w:val="002611C4"/>
    <w:rsid w:val="00261687"/>
    <w:rsid w:val="002616D4"/>
    <w:rsid w:val="002617DF"/>
    <w:rsid w:val="002623D2"/>
    <w:rsid w:val="0026248F"/>
    <w:rsid w:val="00262AB5"/>
    <w:rsid w:val="00262C3C"/>
    <w:rsid w:val="00262F18"/>
    <w:rsid w:val="00262F26"/>
    <w:rsid w:val="002632D0"/>
    <w:rsid w:val="0026352D"/>
    <w:rsid w:val="0026353F"/>
    <w:rsid w:val="0026364F"/>
    <w:rsid w:val="002637B4"/>
    <w:rsid w:val="0026385E"/>
    <w:rsid w:val="00263BE4"/>
    <w:rsid w:val="00263E9F"/>
    <w:rsid w:val="002640A4"/>
    <w:rsid w:val="00264196"/>
    <w:rsid w:val="002644D6"/>
    <w:rsid w:val="00264CBD"/>
    <w:rsid w:val="00265035"/>
    <w:rsid w:val="002653CE"/>
    <w:rsid w:val="002653E5"/>
    <w:rsid w:val="002654BA"/>
    <w:rsid w:val="002658E7"/>
    <w:rsid w:val="00265BE9"/>
    <w:rsid w:val="0026645E"/>
    <w:rsid w:val="00266BE7"/>
    <w:rsid w:val="00266F47"/>
    <w:rsid w:val="00267132"/>
    <w:rsid w:val="00267796"/>
    <w:rsid w:val="0026790D"/>
    <w:rsid w:val="00267979"/>
    <w:rsid w:val="00267ADF"/>
    <w:rsid w:val="00267C74"/>
    <w:rsid w:val="00267DA9"/>
    <w:rsid w:val="00267F4F"/>
    <w:rsid w:val="0027023C"/>
    <w:rsid w:val="002703A2"/>
    <w:rsid w:val="00270610"/>
    <w:rsid w:val="0027079E"/>
    <w:rsid w:val="002709CE"/>
    <w:rsid w:val="00270A31"/>
    <w:rsid w:val="00270AC6"/>
    <w:rsid w:val="00270D96"/>
    <w:rsid w:val="002717FD"/>
    <w:rsid w:val="00271A4F"/>
    <w:rsid w:val="00271A54"/>
    <w:rsid w:val="00271D17"/>
    <w:rsid w:val="0027214A"/>
    <w:rsid w:val="00272202"/>
    <w:rsid w:val="00272424"/>
    <w:rsid w:val="002724AE"/>
    <w:rsid w:val="00272884"/>
    <w:rsid w:val="00272A75"/>
    <w:rsid w:val="00272B69"/>
    <w:rsid w:val="00272D92"/>
    <w:rsid w:val="0027331D"/>
    <w:rsid w:val="002734B2"/>
    <w:rsid w:val="00273692"/>
    <w:rsid w:val="00273C9A"/>
    <w:rsid w:val="00273CBD"/>
    <w:rsid w:val="00273FE8"/>
    <w:rsid w:val="00274053"/>
    <w:rsid w:val="0027407D"/>
    <w:rsid w:val="00274539"/>
    <w:rsid w:val="00274915"/>
    <w:rsid w:val="00274B91"/>
    <w:rsid w:val="00274E0A"/>
    <w:rsid w:val="00275278"/>
    <w:rsid w:val="00275506"/>
    <w:rsid w:val="002755E7"/>
    <w:rsid w:val="002756EE"/>
    <w:rsid w:val="002759DC"/>
    <w:rsid w:val="00275E28"/>
    <w:rsid w:val="00275ED2"/>
    <w:rsid w:val="002760F6"/>
    <w:rsid w:val="00276235"/>
    <w:rsid w:val="00276430"/>
    <w:rsid w:val="002766E2"/>
    <w:rsid w:val="002767A4"/>
    <w:rsid w:val="002768DA"/>
    <w:rsid w:val="00277112"/>
    <w:rsid w:val="00277248"/>
    <w:rsid w:val="00277283"/>
    <w:rsid w:val="00277862"/>
    <w:rsid w:val="00277867"/>
    <w:rsid w:val="00277890"/>
    <w:rsid w:val="00277CE7"/>
    <w:rsid w:val="00277D04"/>
    <w:rsid w:val="00277D7E"/>
    <w:rsid w:val="00277DE8"/>
    <w:rsid w:val="00277E7D"/>
    <w:rsid w:val="00280772"/>
    <w:rsid w:val="00280C9A"/>
    <w:rsid w:val="00280DB4"/>
    <w:rsid w:val="00280DC5"/>
    <w:rsid w:val="00280E3E"/>
    <w:rsid w:val="00280EF9"/>
    <w:rsid w:val="002810F5"/>
    <w:rsid w:val="00281494"/>
    <w:rsid w:val="002818BD"/>
    <w:rsid w:val="00281BF1"/>
    <w:rsid w:val="00281CC4"/>
    <w:rsid w:val="00281DAD"/>
    <w:rsid w:val="00281E52"/>
    <w:rsid w:val="002822A2"/>
    <w:rsid w:val="002822EF"/>
    <w:rsid w:val="0028235F"/>
    <w:rsid w:val="00282C95"/>
    <w:rsid w:val="00282CA3"/>
    <w:rsid w:val="00282D3B"/>
    <w:rsid w:val="00282E1C"/>
    <w:rsid w:val="00282E8D"/>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614"/>
    <w:rsid w:val="002856DD"/>
    <w:rsid w:val="00285A37"/>
    <w:rsid w:val="00285BF8"/>
    <w:rsid w:val="00285D51"/>
    <w:rsid w:val="00285D96"/>
    <w:rsid w:val="00285EF1"/>
    <w:rsid w:val="00285F5E"/>
    <w:rsid w:val="00285FC7"/>
    <w:rsid w:val="00286087"/>
    <w:rsid w:val="0028610B"/>
    <w:rsid w:val="00286328"/>
    <w:rsid w:val="002863BB"/>
    <w:rsid w:val="00286D5B"/>
    <w:rsid w:val="00286E9F"/>
    <w:rsid w:val="002870BF"/>
    <w:rsid w:val="0028727A"/>
    <w:rsid w:val="002874AD"/>
    <w:rsid w:val="00287603"/>
    <w:rsid w:val="00287A02"/>
    <w:rsid w:val="00287A96"/>
    <w:rsid w:val="00287B81"/>
    <w:rsid w:val="00287C2B"/>
    <w:rsid w:val="00287DED"/>
    <w:rsid w:val="00290052"/>
    <w:rsid w:val="002903A6"/>
    <w:rsid w:val="0029045B"/>
    <w:rsid w:val="00290674"/>
    <w:rsid w:val="002907C9"/>
    <w:rsid w:val="002910AD"/>
    <w:rsid w:val="002911D5"/>
    <w:rsid w:val="002911E7"/>
    <w:rsid w:val="002919AF"/>
    <w:rsid w:val="00291DC8"/>
    <w:rsid w:val="0029205F"/>
    <w:rsid w:val="00292522"/>
    <w:rsid w:val="00292559"/>
    <w:rsid w:val="0029256A"/>
    <w:rsid w:val="00292ED7"/>
    <w:rsid w:val="002931BE"/>
    <w:rsid w:val="00293520"/>
    <w:rsid w:val="00293608"/>
    <w:rsid w:val="00293E20"/>
    <w:rsid w:val="00293FDA"/>
    <w:rsid w:val="00294024"/>
    <w:rsid w:val="00294187"/>
    <w:rsid w:val="0029421D"/>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6541"/>
    <w:rsid w:val="0029668F"/>
    <w:rsid w:val="00296DE9"/>
    <w:rsid w:val="00296F13"/>
    <w:rsid w:val="00296FD4"/>
    <w:rsid w:val="00297141"/>
    <w:rsid w:val="00297948"/>
    <w:rsid w:val="00297C5C"/>
    <w:rsid w:val="002A0210"/>
    <w:rsid w:val="002A05CC"/>
    <w:rsid w:val="002A0947"/>
    <w:rsid w:val="002A095B"/>
    <w:rsid w:val="002A0A4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4F7"/>
    <w:rsid w:val="002A3931"/>
    <w:rsid w:val="002A396B"/>
    <w:rsid w:val="002A4294"/>
    <w:rsid w:val="002A44A9"/>
    <w:rsid w:val="002A452C"/>
    <w:rsid w:val="002A4897"/>
    <w:rsid w:val="002A4AE9"/>
    <w:rsid w:val="002A4EC1"/>
    <w:rsid w:val="002A520B"/>
    <w:rsid w:val="002A523E"/>
    <w:rsid w:val="002A57A0"/>
    <w:rsid w:val="002A5A84"/>
    <w:rsid w:val="002A5D31"/>
    <w:rsid w:val="002A6026"/>
    <w:rsid w:val="002A61A2"/>
    <w:rsid w:val="002A6313"/>
    <w:rsid w:val="002A6432"/>
    <w:rsid w:val="002A6466"/>
    <w:rsid w:val="002A64BC"/>
    <w:rsid w:val="002A661D"/>
    <w:rsid w:val="002A6D0E"/>
    <w:rsid w:val="002A6E6B"/>
    <w:rsid w:val="002A6F03"/>
    <w:rsid w:val="002A7925"/>
    <w:rsid w:val="002A7A03"/>
    <w:rsid w:val="002A7AB6"/>
    <w:rsid w:val="002A7D75"/>
    <w:rsid w:val="002A7DAE"/>
    <w:rsid w:val="002A7F16"/>
    <w:rsid w:val="002B00F3"/>
    <w:rsid w:val="002B059D"/>
    <w:rsid w:val="002B0677"/>
    <w:rsid w:val="002B0C19"/>
    <w:rsid w:val="002B0F25"/>
    <w:rsid w:val="002B0FBE"/>
    <w:rsid w:val="002B1018"/>
    <w:rsid w:val="002B154D"/>
    <w:rsid w:val="002B1682"/>
    <w:rsid w:val="002B16F2"/>
    <w:rsid w:val="002B1996"/>
    <w:rsid w:val="002B1B70"/>
    <w:rsid w:val="002B1B87"/>
    <w:rsid w:val="002B1D18"/>
    <w:rsid w:val="002B2667"/>
    <w:rsid w:val="002B271B"/>
    <w:rsid w:val="002B275F"/>
    <w:rsid w:val="002B276E"/>
    <w:rsid w:val="002B27D0"/>
    <w:rsid w:val="002B286E"/>
    <w:rsid w:val="002B2C67"/>
    <w:rsid w:val="002B2F8E"/>
    <w:rsid w:val="002B3039"/>
    <w:rsid w:val="002B34A3"/>
    <w:rsid w:val="002B363A"/>
    <w:rsid w:val="002B38D0"/>
    <w:rsid w:val="002B3A32"/>
    <w:rsid w:val="002B3F49"/>
    <w:rsid w:val="002B3FC8"/>
    <w:rsid w:val="002B40C9"/>
    <w:rsid w:val="002B43F7"/>
    <w:rsid w:val="002B44A3"/>
    <w:rsid w:val="002B4518"/>
    <w:rsid w:val="002B4546"/>
    <w:rsid w:val="002B47EF"/>
    <w:rsid w:val="002B4AD3"/>
    <w:rsid w:val="002B5605"/>
    <w:rsid w:val="002B5638"/>
    <w:rsid w:val="002B580D"/>
    <w:rsid w:val="002B5993"/>
    <w:rsid w:val="002B5C8C"/>
    <w:rsid w:val="002B5C9C"/>
    <w:rsid w:val="002B5DD1"/>
    <w:rsid w:val="002B5F15"/>
    <w:rsid w:val="002B6194"/>
    <w:rsid w:val="002B6603"/>
    <w:rsid w:val="002B662F"/>
    <w:rsid w:val="002B666A"/>
    <w:rsid w:val="002B66E2"/>
    <w:rsid w:val="002B690B"/>
    <w:rsid w:val="002B69E0"/>
    <w:rsid w:val="002B6D98"/>
    <w:rsid w:val="002B6E91"/>
    <w:rsid w:val="002B71ED"/>
    <w:rsid w:val="002B7400"/>
    <w:rsid w:val="002B74E2"/>
    <w:rsid w:val="002B755B"/>
    <w:rsid w:val="002B7693"/>
    <w:rsid w:val="002B76B9"/>
    <w:rsid w:val="002B7A62"/>
    <w:rsid w:val="002B7B3C"/>
    <w:rsid w:val="002C0186"/>
    <w:rsid w:val="002C064E"/>
    <w:rsid w:val="002C06E1"/>
    <w:rsid w:val="002C0712"/>
    <w:rsid w:val="002C0CE0"/>
    <w:rsid w:val="002C0EEF"/>
    <w:rsid w:val="002C17F7"/>
    <w:rsid w:val="002C1C73"/>
    <w:rsid w:val="002C1F16"/>
    <w:rsid w:val="002C2104"/>
    <w:rsid w:val="002C2242"/>
    <w:rsid w:val="002C25BC"/>
    <w:rsid w:val="002C26D9"/>
    <w:rsid w:val="002C2A3E"/>
    <w:rsid w:val="002C2CB9"/>
    <w:rsid w:val="002C2F33"/>
    <w:rsid w:val="002C3433"/>
    <w:rsid w:val="002C3454"/>
    <w:rsid w:val="002C3698"/>
    <w:rsid w:val="002C372E"/>
    <w:rsid w:val="002C377C"/>
    <w:rsid w:val="002C3B3F"/>
    <w:rsid w:val="002C3C2D"/>
    <w:rsid w:val="002C3C9C"/>
    <w:rsid w:val="002C3E79"/>
    <w:rsid w:val="002C3F94"/>
    <w:rsid w:val="002C4125"/>
    <w:rsid w:val="002C45FD"/>
    <w:rsid w:val="002C49D5"/>
    <w:rsid w:val="002C4AEE"/>
    <w:rsid w:val="002C4BA9"/>
    <w:rsid w:val="002C4BD9"/>
    <w:rsid w:val="002C4C0C"/>
    <w:rsid w:val="002C4CAA"/>
    <w:rsid w:val="002C4CD3"/>
    <w:rsid w:val="002C4F27"/>
    <w:rsid w:val="002C5030"/>
    <w:rsid w:val="002C558B"/>
    <w:rsid w:val="002C58F5"/>
    <w:rsid w:val="002C5C19"/>
    <w:rsid w:val="002C5F77"/>
    <w:rsid w:val="002C611F"/>
    <w:rsid w:val="002C6459"/>
    <w:rsid w:val="002C6568"/>
    <w:rsid w:val="002C672C"/>
    <w:rsid w:val="002C6902"/>
    <w:rsid w:val="002C6B32"/>
    <w:rsid w:val="002C6B8B"/>
    <w:rsid w:val="002C6BFA"/>
    <w:rsid w:val="002C7206"/>
    <w:rsid w:val="002C73AB"/>
    <w:rsid w:val="002C77EE"/>
    <w:rsid w:val="002C7A0A"/>
    <w:rsid w:val="002C7AF7"/>
    <w:rsid w:val="002D0512"/>
    <w:rsid w:val="002D07A5"/>
    <w:rsid w:val="002D0961"/>
    <w:rsid w:val="002D0B46"/>
    <w:rsid w:val="002D0BCF"/>
    <w:rsid w:val="002D0F93"/>
    <w:rsid w:val="002D11CA"/>
    <w:rsid w:val="002D129D"/>
    <w:rsid w:val="002D175D"/>
    <w:rsid w:val="002D1899"/>
    <w:rsid w:val="002D1AB7"/>
    <w:rsid w:val="002D20F3"/>
    <w:rsid w:val="002D22C4"/>
    <w:rsid w:val="002D22FC"/>
    <w:rsid w:val="002D2A9F"/>
    <w:rsid w:val="002D31AC"/>
    <w:rsid w:val="002D3488"/>
    <w:rsid w:val="002D354E"/>
    <w:rsid w:val="002D3764"/>
    <w:rsid w:val="002D37DE"/>
    <w:rsid w:val="002D3BF7"/>
    <w:rsid w:val="002D3DBA"/>
    <w:rsid w:val="002D3FD8"/>
    <w:rsid w:val="002D432A"/>
    <w:rsid w:val="002D43F4"/>
    <w:rsid w:val="002D45AB"/>
    <w:rsid w:val="002D4616"/>
    <w:rsid w:val="002D48AA"/>
    <w:rsid w:val="002D4C31"/>
    <w:rsid w:val="002D4E25"/>
    <w:rsid w:val="002D4F4F"/>
    <w:rsid w:val="002D509A"/>
    <w:rsid w:val="002D5127"/>
    <w:rsid w:val="002D53CC"/>
    <w:rsid w:val="002D5417"/>
    <w:rsid w:val="002D5A02"/>
    <w:rsid w:val="002D5D48"/>
    <w:rsid w:val="002D6282"/>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0F76"/>
    <w:rsid w:val="002E102F"/>
    <w:rsid w:val="002E104E"/>
    <w:rsid w:val="002E12D1"/>
    <w:rsid w:val="002E141D"/>
    <w:rsid w:val="002E14A2"/>
    <w:rsid w:val="002E151F"/>
    <w:rsid w:val="002E1910"/>
    <w:rsid w:val="002E1B54"/>
    <w:rsid w:val="002E1D2D"/>
    <w:rsid w:val="002E2155"/>
    <w:rsid w:val="002E225E"/>
    <w:rsid w:val="002E2437"/>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B"/>
    <w:rsid w:val="002E4445"/>
    <w:rsid w:val="002E45FE"/>
    <w:rsid w:val="002E464F"/>
    <w:rsid w:val="002E4E1E"/>
    <w:rsid w:val="002E4EEE"/>
    <w:rsid w:val="002E509E"/>
    <w:rsid w:val="002E5410"/>
    <w:rsid w:val="002E5428"/>
    <w:rsid w:val="002E54A3"/>
    <w:rsid w:val="002E5569"/>
    <w:rsid w:val="002E55C8"/>
    <w:rsid w:val="002E571B"/>
    <w:rsid w:val="002E589B"/>
    <w:rsid w:val="002E5C44"/>
    <w:rsid w:val="002E5C98"/>
    <w:rsid w:val="002E5E66"/>
    <w:rsid w:val="002E5FF0"/>
    <w:rsid w:val="002E6221"/>
    <w:rsid w:val="002E664D"/>
    <w:rsid w:val="002E6737"/>
    <w:rsid w:val="002E6DA8"/>
    <w:rsid w:val="002E6E99"/>
    <w:rsid w:val="002E6EFC"/>
    <w:rsid w:val="002E7026"/>
    <w:rsid w:val="002E72BD"/>
    <w:rsid w:val="002E78F9"/>
    <w:rsid w:val="002E7A68"/>
    <w:rsid w:val="002E7CF6"/>
    <w:rsid w:val="002F04B7"/>
    <w:rsid w:val="002F054F"/>
    <w:rsid w:val="002F0749"/>
    <w:rsid w:val="002F099C"/>
    <w:rsid w:val="002F0B18"/>
    <w:rsid w:val="002F0B88"/>
    <w:rsid w:val="002F0FA7"/>
    <w:rsid w:val="002F1176"/>
    <w:rsid w:val="002F1363"/>
    <w:rsid w:val="002F14AF"/>
    <w:rsid w:val="002F1798"/>
    <w:rsid w:val="002F19E9"/>
    <w:rsid w:val="002F1A37"/>
    <w:rsid w:val="002F1D09"/>
    <w:rsid w:val="002F1D25"/>
    <w:rsid w:val="002F1E66"/>
    <w:rsid w:val="002F21F4"/>
    <w:rsid w:val="002F23CA"/>
    <w:rsid w:val="002F23E4"/>
    <w:rsid w:val="002F264B"/>
    <w:rsid w:val="002F2E84"/>
    <w:rsid w:val="002F2F09"/>
    <w:rsid w:val="002F2F82"/>
    <w:rsid w:val="002F2FAA"/>
    <w:rsid w:val="002F3010"/>
    <w:rsid w:val="002F3617"/>
    <w:rsid w:val="002F3A24"/>
    <w:rsid w:val="002F3C10"/>
    <w:rsid w:val="002F3DE5"/>
    <w:rsid w:val="002F3FD2"/>
    <w:rsid w:val="002F42A9"/>
    <w:rsid w:val="002F4974"/>
    <w:rsid w:val="002F4AB7"/>
    <w:rsid w:val="002F4B17"/>
    <w:rsid w:val="002F4C2B"/>
    <w:rsid w:val="002F5306"/>
    <w:rsid w:val="002F572C"/>
    <w:rsid w:val="002F58FF"/>
    <w:rsid w:val="002F5C3E"/>
    <w:rsid w:val="002F5CF5"/>
    <w:rsid w:val="002F5D6D"/>
    <w:rsid w:val="002F6210"/>
    <w:rsid w:val="002F6348"/>
    <w:rsid w:val="002F63BF"/>
    <w:rsid w:val="002F64B7"/>
    <w:rsid w:val="002F67EA"/>
    <w:rsid w:val="002F6B16"/>
    <w:rsid w:val="002F6DEB"/>
    <w:rsid w:val="002F700A"/>
    <w:rsid w:val="002F70D6"/>
    <w:rsid w:val="002F7259"/>
    <w:rsid w:val="002F75F3"/>
    <w:rsid w:val="002F78DE"/>
    <w:rsid w:val="002F791F"/>
    <w:rsid w:val="002F7C28"/>
    <w:rsid w:val="002F7C65"/>
    <w:rsid w:val="002F7CB2"/>
    <w:rsid w:val="002F7CDB"/>
    <w:rsid w:val="002F7F41"/>
    <w:rsid w:val="003000A5"/>
    <w:rsid w:val="003006A4"/>
    <w:rsid w:val="0030084F"/>
    <w:rsid w:val="00300994"/>
    <w:rsid w:val="00300AC6"/>
    <w:rsid w:val="00300BC3"/>
    <w:rsid w:val="00301681"/>
    <w:rsid w:val="003018E0"/>
    <w:rsid w:val="00301B92"/>
    <w:rsid w:val="00301D42"/>
    <w:rsid w:val="0030209A"/>
    <w:rsid w:val="00302384"/>
    <w:rsid w:val="0030265D"/>
    <w:rsid w:val="00302677"/>
    <w:rsid w:val="00302AA2"/>
    <w:rsid w:val="00302B70"/>
    <w:rsid w:val="00302BEB"/>
    <w:rsid w:val="003030A9"/>
    <w:rsid w:val="003030E2"/>
    <w:rsid w:val="003037B1"/>
    <w:rsid w:val="003039EA"/>
    <w:rsid w:val="0030414A"/>
    <w:rsid w:val="00304245"/>
    <w:rsid w:val="003042CC"/>
    <w:rsid w:val="00304535"/>
    <w:rsid w:val="0030482F"/>
    <w:rsid w:val="003048C4"/>
    <w:rsid w:val="00305028"/>
    <w:rsid w:val="00305293"/>
    <w:rsid w:val="00305517"/>
    <w:rsid w:val="00305681"/>
    <w:rsid w:val="00305795"/>
    <w:rsid w:val="0030589B"/>
    <w:rsid w:val="00305BA5"/>
    <w:rsid w:val="00305D7E"/>
    <w:rsid w:val="0030611D"/>
    <w:rsid w:val="003061C8"/>
    <w:rsid w:val="003061F7"/>
    <w:rsid w:val="00306451"/>
    <w:rsid w:val="0030653F"/>
    <w:rsid w:val="003067DA"/>
    <w:rsid w:val="003069DE"/>
    <w:rsid w:val="00306C87"/>
    <w:rsid w:val="00306D3B"/>
    <w:rsid w:val="00306E25"/>
    <w:rsid w:val="00306E59"/>
    <w:rsid w:val="00306F48"/>
    <w:rsid w:val="00307539"/>
    <w:rsid w:val="00307756"/>
    <w:rsid w:val="00307769"/>
    <w:rsid w:val="003077A8"/>
    <w:rsid w:val="00307A17"/>
    <w:rsid w:val="00307AF1"/>
    <w:rsid w:val="00310048"/>
    <w:rsid w:val="0031020A"/>
    <w:rsid w:val="00310381"/>
    <w:rsid w:val="003106A4"/>
    <w:rsid w:val="003106CC"/>
    <w:rsid w:val="003107B4"/>
    <w:rsid w:val="00310850"/>
    <w:rsid w:val="00310B3F"/>
    <w:rsid w:val="00310BA1"/>
    <w:rsid w:val="00311647"/>
    <w:rsid w:val="003118DC"/>
    <w:rsid w:val="00311D78"/>
    <w:rsid w:val="00311EF6"/>
    <w:rsid w:val="003124FF"/>
    <w:rsid w:val="00312B3F"/>
    <w:rsid w:val="00312B64"/>
    <w:rsid w:val="00312B86"/>
    <w:rsid w:val="00312D64"/>
    <w:rsid w:val="00312E99"/>
    <w:rsid w:val="00313199"/>
    <w:rsid w:val="003131BB"/>
    <w:rsid w:val="003134B5"/>
    <w:rsid w:val="0031361C"/>
    <w:rsid w:val="0031366D"/>
    <w:rsid w:val="003136BD"/>
    <w:rsid w:val="00313766"/>
    <w:rsid w:val="0031376C"/>
    <w:rsid w:val="003139FA"/>
    <w:rsid w:val="00313E26"/>
    <w:rsid w:val="00313EDD"/>
    <w:rsid w:val="0031429C"/>
    <w:rsid w:val="00314380"/>
    <w:rsid w:val="00314473"/>
    <w:rsid w:val="003144A7"/>
    <w:rsid w:val="00314506"/>
    <w:rsid w:val="00314621"/>
    <w:rsid w:val="00314649"/>
    <w:rsid w:val="0031471F"/>
    <w:rsid w:val="003149EF"/>
    <w:rsid w:val="00314F93"/>
    <w:rsid w:val="00315042"/>
    <w:rsid w:val="0031566E"/>
    <w:rsid w:val="003156B0"/>
    <w:rsid w:val="00315709"/>
    <w:rsid w:val="00315C35"/>
    <w:rsid w:val="00315CAA"/>
    <w:rsid w:val="00315D05"/>
    <w:rsid w:val="0031602B"/>
    <w:rsid w:val="00316230"/>
    <w:rsid w:val="00316328"/>
    <w:rsid w:val="00316748"/>
    <w:rsid w:val="0031681A"/>
    <w:rsid w:val="00316A08"/>
    <w:rsid w:val="00316D57"/>
    <w:rsid w:val="00316F5A"/>
    <w:rsid w:val="00317110"/>
    <w:rsid w:val="0031737C"/>
    <w:rsid w:val="00317555"/>
    <w:rsid w:val="0031773B"/>
    <w:rsid w:val="00317D7C"/>
    <w:rsid w:val="003200BF"/>
    <w:rsid w:val="00320407"/>
    <w:rsid w:val="00320427"/>
    <w:rsid w:val="003205E1"/>
    <w:rsid w:val="00320AD5"/>
    <w:rsid w:val="00320C00"/>
    <w:rsid w:val="00320DA4"/>
    <w:rsid w:val="00320DEB"/>
    <w:rsid w:val="00320F84"/>
    <w:rsid w:val="0032140B"/>
    <w:rsid w:val="00321513"/>
    <w:rsid w:val="00321A47"/>
    <w:rsid w:val="00321CBA"/>
    <w:rsid w:val="00322223"/>
    <w:rsid w:val="00322436"/>
    <w:rsid w:val="00322656"/>
    <w:rsid w:val="00322755"/>
    <w:rsid w:val="0032275D"/>
    <w:rsid w:val="003228AB"/>
    <w:rsid w:val="003228EC"/>
    <w:rsid w:val="003228F6"/>
    <w:rsid w:val="00322B94"/>
    <w:rsid w:val="00322CFC"/>
    <w:rsid w:val="00322FD0"/>
    <w:rsid w:val="00323026"/>
    <w:rsid w:val="0032328F"/>
    <w:rsid w:val="003232AD"/>
    <w:rsid w:val="00323884"/>
    <w:rsid w:val="00323FC7"/>
    <w:rsid w:val="003242B3"/>
    <w:rsid w:val="0032469B"/>
    <w:rsid w:val="003247FF"/>
    <w:rsid w:val="003248E8"/>
    <w:rsid w:val="00324CC2"/>
    <w:rsid w:val="003251A3"/>
    <w:rsid w:val="0032582D"/>
    <w:rsid w:val="003258AC"/>
    <w:rsid w:val="00325B1F"/>
    <w:rsid w:val="00325B34"/>
    <w:rsid w:val="00325C2F"/>
    <w:rsid w:val="003261C3"/>
    <w:rsid w:val="00326393"/>
    <w:rsid w:val="0032651B"/>
    <w:rsid w:val="00326778"/>
    <w:rsid w:val="003268D4"/>
    <w:rsid w:val="00326928"/>
    <w:rsid w:val="00326C89"/>
    <w:rsid w:val="00326F87"/>
    <w:rsid w:val="00326F97"/>
    <w:rsid w:val="0032703E"/>
    <w:rsid w:val="00327067"/>
    <w:rsid w:val="0032718C"/>
    <w:rsid w:val="003272BB"/>
    <w:rsid w:val="0032738A"/>
    <w:rsid w:val="003273D6"/>
    <w:rsid w:val="003279FC"/>
    <w:rsid w:val="00327CE5"/>
    <w:rsid w:val="00327E88"/>
    <w:rsid w:val="00327EEA"/>
    <w:rsid w:val="003304B6"/>
    <w:rsid w:val="00330659"/>
    <w:rsid w:val="003306DB"/>
    <w:rsid w:val="003306F2"/>
    <w:rsid w:val="003307ED"/>
    <w:rsid w:val="003308C8"/>
    <w:rsid w:val="003308CD"/>
    <w:rsid w:val="00330D9F"/>
    <w:rsid w:val="00331123"/>
    <w:rsid w:val="003312A3"/>
    <w:rsid w:val="003313F6"/>
    <w:rsid w:val="003318B1"/>
    <w:rsid w:val="00331BE1"/>
    <w:rsid w:val="00331E16"/>
    <w:rsid w:val="003323C9"/>
    <w:rsid w:val="00332669"/>
    <w:rsid w:val="0033285C"/>
    <w:rsid w:val="00332A5E"/>
    <w:rsid w:val="00332CB3"/>
    <w:rsid w:val="00332E8F"/>
    <w:rsid w:val="003330D9"/>
    <w:rsid w:val="0033318A"/>
    <w:rsid w:val="003334E7"/>
    <w:rsid w:val="0033358C"/>
    <w:rsid w:val="003335DE"/>
    <w:rsid w:val="003339F3"/>
    <w:rsid w:val="00333A3C"/>
    <w:rsid w:val="0033443E"/>
    <w:rsid w:val="003344FC"/>
    <w:rsid w:val="00334C8F"/>
    <w:rsid w:val="00334DED"/>
    <w:rsid w:val="00335128"/>
    <w:rsid w:val="0033543C"/>
    <w:rsid w:val="0033592B"/>
    <w:rsid w:val="00335C13"/>
    <w:rsid w:val="00335C70"/>
    <w:rsid w:val="00335F5D"/>
    <w:rsid w:val="00335F7A"/>
    <w:rsid w:val="00336028"/>
    <w:rsid w:val="0033612C"/>
    <w:rsid w:val="003361BE"/>
    <w:rsid w:val="00336324"/>
    <w:rsid w:val="003363E5"/>
    <w:rsid w:val="003363F1"/>
    <w:rsid w:val="003368F3"/>
    <w:rsid w:val="00336B58"/>
    <w:rsid w:val="00336D9C"/>
    <w:rsid w:val="00336F5E"/>
    <w:rsid w:val="00336F79"/>
    <w:rsid w:val="00336FF2"/>
    <w:rsid w:val="003372CB"/>
    <w:rsid w:val="003377FA"/>
    <w:rsid w:val="00337830"/>
    <w:rsid w:val="00337984"/>
    <w:rsid w:val="00337D1A"/>
    <w:rsid w:val="003403B2"/>
    <w:rsid w:val="00340495"/>
    <w:rsid w:val="00340B18"/>
    <w:rsid w:val="00340E2B"/>
    <w:rsid w:val="00341239"/>
    <w:rsid w:val="003412FA"/>
    <w:rsid w:val="0034164F"/>
    <w:rsid w:val="003417B2"/>
    <w:rsid w:val="00341D91"/>
    <w:rsid w:val="00341D95"/>
    <w:rsid w:val="00342029"/>
    <w:rsid w:val="003420DE"/>
    <w:rsid w:val="00342FB8"/>
    <w:rsid w:val="00343066"/>
    <w:rsid w:val="00343106"/>
    <w:rsid w:val="00343334"/>
    <w:rsid w:val="00343AB2"/>
    <w:rsid w:val="00343B2E"/>
    <w:rsid w:val="00343C34"/>
    <w:rsid w:val="00343C73"/>
    <w:rsid w:val="00343D39"/>
    <w:rsid w:val="00343FA8"/>
    <w:rsid w:val="00343FF6"/>
    <w:rsid w:val="00344047"/>
    <w:rsid w:val="00344119"/>
    <w:rsid w:val="003444B6"/>
    <w:rsid w:val="00344793"/>
    <w:rsid w:val="00344870"/>
    <w:rsid w:val="00344D25"/>
    <w:rsid w:val="00344D61"/>
    <w:rsid w:val="0034509A"/>
    <w:rsid w:val="00345171"/>
    <w:rsid w:val="003451AB"/>
    <w:rsid w:val="003452C7"/>
    <w:rsid w:val="003456B5"/>
    <w:rsid w:val="003458D1"/>
    <w:rsid w:val="00345E86"/>
    <w:rsid w:val="003460A7"/>
    <w:rsid w:val="003461B7"/>
    <w:rsid w:val="0034647C"/>
    <w:rsid w:val="0034648B"/>
    <w:rsid w:val="0034652F"/>
    <w:rsid w:val="00346588"/>
    <w:rsid w:val="00346D5A"/>
    <w:rsid w:val="00346E43"/>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60A"/>
    <w:rsid w:val="00350829"/>
    <w:rsid w:val="00350904"/>
    <w:rsid w:val="00350A2D"/>
    <w:rsid w:val="003511BE"/>
    <w:rsid w:val="00351397"/>
    <w:rsid w:val="00351458"/>
    <w:rsid w:val="003514EE"/>
    <w:rsid w:val="003515F3"/>
    <w:rsid w:val="00351675"/>
    <w:rsid w:val="003518ED"/>
    <w:rsid w:val="00351A28"/>
    <w:rsid w:val="00351AE1"/>
    <w:rsid w:val="00351C8B"/>
    <w:rsid w:val="00351CF3"/>
    <w:rsid w:val="00351FA5"/>
    <w:rsid w:val="003525D2"/>
    <w:rsid w:val="0035279B"/>
    <w:rsid w:val="00352951"/>
    <w:rsid w:val="00352D3F"/>
    <w:rsid w:val="00352EFE"/>
    <w:rsid w:val="0035319E"/>
    <w:rsid w:val="00353577"/>
    <w:rsid w:val="003536FC"/>
    <w:rsid w:val="003538E9"/>
    <w:rsid w:val="00353A83"/>
    <w:rsid w:val="00353AD6"/>
    <w:rsid w:val="00353F0F"/>
    <w:rsid w:val="00353F5E"/>
    <w:rsid w:val="00354692"/>
    <w:rsid w:val="00354B7F"/>
    <w:rsid w:val="00354C9B"/>
    <w:rsid w:val="00354F79"/>
    <w:rsid w:val="00355113"/>
    <w:rsid w:val="003551A6"/>
    <w:rsid w:val="003552FE"/>
    <w:rsid w:val="00355B70"/>
    <w:rsid w:val="00355B75"/>
    <w:rsid w:val="00355B8B"/>
    <w:rsid w:val="00355E94"/>
    <w:rsid w:val="0035612C"/>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0A"/>
    <w:rsid w:val="00360F98"/>
    <w:rsid w:val="00360FAB"/>
    <w:rsid w:val="003610A2"/>
    <w:rsid w:val="00361357"/>
    <w:rsid w:val="00361964"/>
    <w:rsid w:val="00361A2D"/>
    <w:rsid w:val="00361F82"/>
    <w:rsid w:val="0036230E"/>
    <w:rsid w:val="00362428"/>
    <w:rsid w:val="0036274B"/>
    <w:rsid w:val="00362761"/>
    <w:rsid w:val="003627D2"/>
    <w:rsid w:val="0036295E"/>
    <w:rsid w:val="00362B2D"/>
    <w:rsid w:val="00362E7E"/>
    <w:rsid w:val="003630E9"/>
    <w:rsid w:val="00363492"/>
    <w:rsid w:val="0036363C"/>
    <w:rsid w:val="00363740"/>
    <w:rsid w:val="00363B83"/>
    <w:rsid w:val="00363CAE"/>
    <w:rsid w:val="00363CD4"/>
    <w:rsid w:val="00363F38"/>
    <w:rsid w:val="00364029"/>
    <w:rsid w:val="00364323"/>
    <w:rsid w:val="003643AA"/>
    <w:rsid w:val="00364C49"/>
    <w:rsid w:val="003650AC"/>
    <w:rsid w:val="00365243"/>
    <w:rsid w:val="003652F4"/>
    <w:rsid w:val="00365383"/>
    <w:rsid w:val="003657F5"/>
    <w:rsid w:val="00365B68"/>
    <w:rsid w:val="00365E3C"/>
    <w:rsid w:val="003663D5"/>
    <w:rsid w:val="003669B2"/>
    <w:rsid w:val="00366FC6"/>
    <w:rsid w:val="00366FED"/>
    <w:rsid w:val="003670BC"/>
    <w:rsid w:val="00367456"/>
    <w:rsid w:val="0036784B"/>
    <w:rsid w:val="00367BCE"/>
    <w:rsid w:val="00370216"/>
    <w:rsid w:val="0037042D"/>
    <w:rsid w:val="00370591"/>
    <w:rsid w:val="003705CD"/>
    <w:rsid w:val="0037075E"/>
    <w:rsid w:val="00370773"/>
    <w:rsid w:val="00370D40"/>
    <w:rsid w:val="00370E48"/>
    <w:rsid w:val="00370EFD"/>
    <w:rsid w:val="00371540"/>
    <w:rsid w:val="00371777"/>
    <w:rsid w:val="00371B1D"/>
    <w:rsid w:val="00371C2B"/>
    <w:rsid w:val="00371DD6"/>
    <w:rsid w:val="00371DDB"/>
    <w:rsid w:val="00371EAD"/>
    <w:rsid w:val="00371ED8"/>
    <w:rsid w:val="00371FF9"/>
    <w:rsid w:val="0037217C"/>
    <w:rsid w:val="003723FD"/>
    <w:rsid w:val="00372618"/>
    <w:rsid w:val="00372B65"/>
    <w:rsid w:val="00373400"/>
    <w:rsid w:val="00373A1A"/>
    <w:rsid w:val="00373D48"/>
    <w:rsid w:val="00373D7E"/>
    <w:rsid w:val="003741A2"/>
    <w:rsid w:val="003742FA"/>
    <w:rsid w:val="00374347"/>
    <w:rsid w:val="003748D9"/>
    <w:rsid w:val="00374C52"/>
    <w:rsid w:val="00374D45"/>
    <w:rsid w:val="0037519D"/>
    <w:rsid w:val="0037529B"/>
    <w:rsid w:val="0037533D"/>
    <w:rsid w:val="00375870"/>
    <w:rsid w:val="00375A5A"/>
    <w:rsid w:val="00375ABA"/>
    <w:rsid w:val="00375C77"/>
    <w:rsid w:val="00375F3F"/>
    <w:rsid w:val="003760C6"/>
    <w:rsid w:val="00376218"/>
    <w:rsid w:val="00376BE3"/>
    <w:rsid w:val="00376EA4"/>
    <w:rsid w:val="00376EB0"/>
    <w:rsid w:val="00376F77"/>
    <w:rsid w:val="00377021"/>
    <w:rsid w:val="00377275"/>
    <w:rsid w:val="003777E1"/>
    <w:rsid w:val="00377B58"/>
    <w:rsid w:val="00377BE2"/>
    <w:rsid w:val="00377DA8"/>
    <w:rsid w:val="00377F1B"/>
    <w:rsid w:val="0038006B"/>
    <w:rsid w:val="0038012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6B1"/>
    <w:rsid w:val="003829F2"/>
    <w:rsid w:val="00382C00"/>
    <w:rsid w:val="00382CB7"/>
    <w:rsid w:val="00382CBC"/>
    <w:rsid w:val="00382D1D"/>
    <w:rsid w:val="00382F8E"/>
    <w:rsid w:val="003835B9"/>
    <w:rsid w:val="00383732"/>
    <w:rsid w:val="0038392B"/>
    <w:rsid w:val="00383975"/>
    <w:rsid w:val="00383B61"/>
    <w:rsid w:val="00383BAC"/>
    <w:rsid w:val="003841A8"/>
    <w:rsid w:val="00384735"/>
    <w:rsid w:val="0038475E"/>
    <w:rsid w:val="00384984"/>
    <w:rsid w:val="00384AD9"/>
    <w:rsid w:val="00384ADF"/>
    <w:rsid w:val="00384EEC"/>
    <w:rsid w:val="00384F59"/>
    <w:rsid w:val="0038502E"/>
    <w:rsid w:val="00385208"/>
    <w:rsid w:val="00385213"/>
    <w:rsid w:val="0038549D"/>
    <w:rsid w:val="003857F2"/>
    <w:rsid w:val="0038589A"/>
    <w:rsid w:val="003858EE"/>
    <w:rsid w:val="00385B65"/>
    <w:rsid w:val="00385C07"/>
    <w:rsid w:val="00386071"/>
    <w:rsid w:val="003861EF"/>
    <w:rsid w:val="00386A0F"/>
    <w:rsid w:val="00386B0D"/>
    <w:rsid w:val="003872BA"/>
    <w:rsid w:val="00387338"/>
    <w:rsid w:val="003873CC"/>
    <w:rsid w:val="003873ED"/>
    <w:rsid w:val="00387490"/>
    <w:rsid w:val="0038767E"/>
    <w:rsid w:val="00387722"/>
    <w:rsid w:val="00387CDA"/>
    <w:rsid w:val="00387D9D"/>
    <w:rsid w:val="00387FCC"/>
    <w:rsid w:val="00390000"/>
    <w:rsid w:val="0039013B"/>
    <w:rsid w:val="00390529"/>
    <w:rsid w:val="0039052F"/>
    <w:rsid w:val="003905F8"/>
    <w:rsid w:val="00390690"/>
    <w:rsid w:val="00390A3C"/>
    <w:rsid w:val="00390C76"/>
    <w:rsid w:val="00391070"/>
    <w:rsid w:val="003910E8"/>
    <w:rsid w:val="003914C3"/>
    <w:rsid w:val="00391680"/>
    <w:rsid w:val="00391C88"/>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3C6F"/>
    <w:rsid w:val="003940B7"/>
    <w:rsid w:val="0039411D"/>
    <w:rsid w:val="0039428E"/>
    <w:rsid w:val="003945AD"/>
    <w:rsid w:val="0039471B"/>
    <w:rsid w:val="003949DC"/>
    <w:rsid w:val="00394C2E"/>
    <w:rsid w:val="00394D22"/>
    <w:rsid w:val="00394F07"/>
    <w:rsid w:val="00394FA1"/>
    <w:rsid w:val="00394FCF"/>
    <w:rsid w:val="00395205"/>
    <w:rsid w:val="00395278"/>
    <w:rsid w:val="0039542B"/>
    <w:rsid w:val="00395443"/>
    <w:rsid w:val="003954F7"/>
    <w:rsid w:val="003958DD"/>
    <w:rsid w:val="00395AE8"/>
    <w:rsid w:val="00395D66"/>
    <w:rsid w:val="00395EB3"/>
    <w:rsid w:val="00395F3D"/>
    <w:rsid w:val="00396146"/>
    <w:rsid w:val="0039621D"/>
    <w:rsid w:val="00396280"/>
    <w:rsid w:val="0039649D"/>
    <w:rsid w:val="003964DC"/>
    <w:rsid w:val="00396563"/>
    <w:rsid w:val="003971B7"/>
    <w:rsid w:val="003972F6"/>
    <w:rsid w:val="003973C2"/>
    <w:rsid w:val="003976F6"/>
    <w:rsid w:val="00397D2B"/>
    <w:rsid w:val="00397FD9"/>
    <w:rsid w:val="003A0072"/>
    <w:rsid w:val="003A0874"/>
    <w:rsid w:val="003A0911"/>
    <w:rsid w:val="003A0AD0"/>
    <w:rsid w:val="003A0B6F"/>
    <w:rsid w:val="003A0C83"/>
    <w:rsid w:val="003A0C88"/>
    <w:rsid w:val="003A0DEB"/>
    <w:rsid w:val="003A0E47"/>
    <w:rsid w:val="003A0EE5"/>
    <w:rsid w:val="003A0F5B"/>
    <w:rsid w:val="003A1589"/>
    <w:rsid w:val="003A1771"/>
    <w:rsid w:val="003A224D"/>
    <w:rsid w:val="003A2265"/>
    <w:rsid w:val="003A22AF"/>
    <w:rsid w:val="003A232B"/>
    <w:rsid w:val="003A2808"/>
    <w:rsid w:val="003A2964"/>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695"/>
    <w:rsid w:val="003A47CE"/>
    <w:rsid w:val="003A4913"/>
    <w:rsid w:val="003A49F3"/>
    <w:rsid w:val="003A4B63"/>
    <w:rsid w:val="003A4D2E"/>
    <w:rsid w:val="003A4ED3"/>
    <w:rsid w:val="003A5059"/>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CB"/>
    <w:rsid w:val="003A7D7A"/>
    <w:rsid w:val="003B003C"/>
    <w:rsid w:val="003B0400"/>
    <w:rsid w:val="003B0547"/>
    <w:rsid w:val="003B0908"/>
    <w:rsid w:val="003B09AA"/>
    <w:rsid w:val="003B0C6B"/>
    <w:rsid w:val="003B0F3B"/>
    <w:rsid w:val="003B0F6C"/>
    <w:rsid w:val="003B119B"/>
    <w:rsid w:val="003B1406"/>
    <w:rsid w:val="003B1788"/>
    <w:rsid w:val="003B1ABE"/>
    <w:rsid w:val="003B1B00"/>
    <w:rsid w:val="003B1D84"/>
    <w:rsid w:val="003B1EF9"/>
    <w:rsid w:val="003B22C5"/>
    <w:rsid w:val="003B232B"/>
    <w:rsid w:val="003B2330"/>
    <w:rsid w:val="003B269C"/>
    <w:rsid w:val="003B2915"/>
    <w:rsid w:val="003B2A4E"/>
    <w:rsid w:val="003B2AB6"/>
    <w:rsid w:val="003B2C30"/>
    <w:rsid w:val="003B2C6D"/>
    <w:rsid w:val="003B2D0E"/>
    <w:rsid w:val="003B2D34"/>
    <w:rsid w:val="003B2D81"/>
    <w:rsid w:val="003B33AB"/>
    <w:rsid w:val="003B347A"/>
    <w:rsid w:val="003B3572"/>
    <w:rsid w:val="003B3641"/>
    <w:rsid w:val="003B37D5"/>
    <w:rsid w:val="003B39D7"/>
    <w:rsid w:val="003B3C7A"/>
    <w:rsid w:val="003B3D85"/>
    <w:rsid w:val="003B3F46"/>
    <w:rsid w:val="003B3F8E"/>
    <w:rsid w:val="003B3FEB"/>
    <w:rsid w:val="003B4037"/>
    <w:rsid w:val="003B4140"/>
    <w:rsid w:val="003B45EA"/>
    <w:rsid w:val="003B497B"/>
    <w:rsid w:val="003B4F33"/>
    <w:rsid w:val="003B4F87"/>
    <w:rsid w:val="003B5012"/>
    <w:rsid w:val="003B5020"/>
    <w:rsid w:val="003B569B"/>
    <w:rsid w:val="003B5A6A"/>
    <w:rsid w:val="003B5A8B"/>
    <w:rsid w:val="003B5C58"/>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A2"/>
    <w:rsid w:val="003C0D0E"/>
    <w:rsid w:val="003C0E82"/>
    <w:rsid w:val="003C0ED5"/>
    <w:rsid w:val="003C0FC8"/>
    <w:rsid w:val="003C10CF"/>
    <w:rsid w:val="003C12F7"/>
    <w:rsid w:val="003C152A"/>
    <w:rsid w:val="003C1621"/>
    <w:rsid w:val="003C1658"/>
    <w:rsid w:val="003C190A"/>
    <w:rsid w:val="003C19E7"/>
    <w:rsid w:val="003C1BC0"/>
    <w:rsid w:val="003C24FB"/>
    <w:rsid w:val="003C2577"/>
    <w:rsid w:val="003C25ED"/>
    <w:rsid w:val="003C2650"/>
    <w:rsid w:val="003C26BE"/>
    <w:rsid w:val="003C2893"/>
    <w:rsid w:val="003C2AA0"/>
    <w:rsid w:val="003C2B1A"/>
    <w:rsid w:val="003C31C6"/>
    <w:rsid w:val="003C3435"/>
    <w:rsid w:val="003C40D1"/>
    <w:rsid w:val="003C4179"/>
    <w:rsid w:val="003C47AB"/>
    <w:rsid w:val="003C4AE5"/>
    <w:rsid w:val="003C4B0C"/>
    <w:rsid w:val="003C4BC0"/>
    <w:rsid w:val="003C4E92"/>
    <w:rsid w:val="003C5428"/>
    <w:rsid w:val="003C59A0"/>
    <w:rsid w:val="003C5C2E"/>
    <w:rsid w:val="003C6060"/>
    <w:rsid w:val="003C6068"/>
    <w:rsid w:val="003C621A"/>
    <w:rsid w:val="003C622B"/>
    <w:rsid w:val="003C63AA"/>
    <w:rsid w:val="003C6544"/>
    <w:rsid w:val="003C718B"/>
    <w:rsid w:val="003C798A"/>
    <w:rsid w:val="003C79F3"/>
    <w:rsid w:val="003C7AC6"/>
    <w:rsid w:val="003C7BE0"/>
    <w:rsid w:val="003D0685"/>
    <w:rsid w:val="003D0713"/>
    <w:rsid w:val="003D095A"/>
    <w:rsid w:val="003D0AB6"/>
    <w:rsid w:val="003D0D8D"/>
    <w:rsid w:val="003D12A4"/>
    <w:rsid w:val="003D12EE"/>
    <w:rsid w:val="003D182A"/>
    <w:rsid w:val="003D1AB4"/>
    <w:rsid w:val="003D1E77"/>
    <w:rsid w:val="003D21F7"/>
    <w:rsid w:val="003D22E7"/>
    <w:rsid w:val="003D2575"/>
    <w:rsid w:val="003D28FA"/>
    <w:rsid w:val="003D353A"/>
    <w:rsid w:val="003D35BA"/>
    <w:rsid w:val="003D3683"/>
    <w:rsid w:val="003D380B"/>
    <w:rsid w:val="003D3A86"/>
    <w:rsid w:val="003D3E58"/>
    <w:rsid w:val="003D3F01"/>
    <w:rsid w:val="003D40FB"/>
    <w:rsid w:val="003D4385"/>
    <w:rsid w:val="003D440F"/>
    <w:rsid w:val="003D4721"/>
    <w:rsid w:val="003D4960"/>
    <w:rsid w:val="003D4B46"/>
    <w:rsid w:val="003D4F9E"/>
    <w:rsid w:val="003D52ED"/>
    <w:rsid w:val="003D5367"/>
    <w:rsid w:val="003D56FA"/>
    <w:rsid w:val="003D583B"/>
    <w:rsid w:val="003D5A94"/>
    <w:rsid w:val="003D5B28"/>
    <w:rsid w:val="003D5B4F"/>
    <w:rsid w:val="003D5C92"/>
    <w:rsid w:val="003D623E"/>
    <w:rsid w:val="003D6544"/>
    <w:rsid w:val="003D66EF"/>
    <w:rsid w:val="003D6782"/>
    <w:rsid w:val="003D67CC"/>
    <w:rsid w:val="003D6B44"/>
    <w:rsid w:val="003D6B5F"/>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22"/>
    <w:rsid w:val="003E0740"/>
    <w:rsid w:val="003E0869"/>
    <w:rsid w:val="003E0892"/>
    <w:rsid w:val="003E0A11"/>
    <w:rsid w:val="003E0C1F"/>
    <w:rsid w:val="003E1030"/>
    <w:rsid w:val="003E14A2"/>
    <w:rsid w:val="003E16C7"/>
    <w:rsid w:val="003E199F"/>
    <w:rsid w:val="003E1E56"/>
    <w:rsid w:val="003E1EDC"/>
    <w:rsid w:val="003E20C5"/>
    <w:rsid w:val="003E24B5"/>
    <w:rsid w:val="003E24D0"/>
    <w:rsid w:val="003E278A"/>
    <w:rsid w:val="003E2D8B"/>
    <w:rsid w:val="003E2DCD"/>
    <w:rsid w:val="003E2EA9"/>
    <w:rsid w:val="003E30FA"/>
    <w:rsid w:val="003E3154"/>
    <w:rsid w:val="003E317F"/>
    <w:rsid w:val="003E3488"/>
    <w:rsid w:val="003E3896"/>
    <w:rsid w:val="003E3BF4"/>
    <w:rsid w:val="003E3C97"/>
    <w:rsid w:val="003E3CB1"/>
    <w:rsid w:val="003E403F"/>
    <w:rsid w:val="003E4053"/>
    <w:rsid w:val="003E4243"/>
    <w:rsid w:val="003E4284"/>
    <w:rsid w:val="003E42BA"/>
    <w:rsid w:val="003E42F3"/>
    <w:rsid w:val="003E4958"/>
    <w:rsid w:val="003E4974"/>
    <w:rsid w:val="003E4A22"/>
    <w:rsid w:val="003E4C91"/>
    <w:rsid w:val="003E5146"/>
    <w:rsid w:val="003E5275"/>
    <w:rsid w:val="003E5957"/>
    <w:rsid w:val="003E5B9A"/>
    <w:rsid w:val="003E5FBE"/>
    <w:rsid w:val="003E61FD"/>
    <w:rsid w:val="003E632D"/>
    <w:rsid w:val="003E6DC1"/>
    <w:rsid w:val="003E6FE1"/>
    <w:rsid w:val="003E706F"/>
    <w:rsid w:val="003E7070"/>
    <w:rsid w:val="003E708C"/>
    <w:rsid w:val="003E7256"/>
    <w:rsid w:val="003E7698"/>
    <w:rsid w:val="003E776D"/>
    <w:rsid w:val="003E7A80"/>
    <w:rsid w:val="003E7B7D"/>
    <w:rsid w:val="003E7DC8"/>
    <w:rsid w:val="003E7E2F"/>
    <w:rsid w:val="003E7E95"/>
    <w:rsid w:val="003E7ECC"/>
    <w:rsid w:val="003F01E9"/>
    <w:rsid w:val="003F09B3"/>
    <w:rsid w:val="003F0E87"/>
    <w:rsid w:val="003F0F87"/>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2AD7"/>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D6"/>
    <w:rsid w:val="003F506C"/>
    <w:rsid w:val="003F516E"/>
    <w:rsid w:val="003F5807"/>
    <w:rsid w:val="003F5B7B"/>
    <w:rsid w:val="003F60A8"/>
    <w:rsid w:val="003F6260"/>
    <w:rsid w:val="003F686F"/>
    <w:rsid w:val="003F6EBF"/>
    <w:rsid w:val="003F703C"/>
    <w:rsid w:val="003F7293"/>
    <w:rsid w:val="003F7402"/>
    <w:rsid w:val="003F74C9"/>
    <w:rsid w:val="003F7658"/>
    <w:rsid w:val="003F78DF"/>
    <w:rsid w:val="003F78E2"/>
    <w:rsid w:val="003F79A5"/>
    <w:rsid w:val="003F7C9F"/>
    <w:rsid w:val="003F7E54"/>
    <w:rsid w:val="00400133"/>
    <w:rsid w:val="00400387"/>
    <w:rsid w:val="00400766"/>
    <w:rsid w:val="00400B76"/>
    <w:rsid w:val="00400C07"/>
    <w:rsid w:val="00400F5C"/>
    <w:rsid w:val="00401055"/>
    <w:rsid w:val="0040113F"/>
    <w:rsid w:val="00401261"/>
    <w:rsid w:val="00401663"/>
    <w:rsid w:val="00401E4E"/>
    <w:rsid w:val="00401F6A"/>
    <w:rsid w:val="00402040"/>
    <w:rsid w:val="0040212C"/>
    <w:rsid w:val="00402160"/>
    <w:rsid w:val="004021CA"/>
    <w:rsid w:val="004027DF"/>
    <w:rsid w:val="00402830"/>
    <w:rsid w:val="00402E04"/>
    <w:rsid w:val="00402EBE"/>
    <w:rsid w:val="004030A5"/>
    <w:rsid w:val="0040374C"/>
    <w:rsid w:val="004039B5"/>
    <w:rsid w:val="00403CC3"/>
    <w:rsid w:val="00403CD6"/>
    <w:rsid w:val="00403F91"/>
    <w:rsid w:val="00404060"/>
    <w:rsid w:val="004041E6"/>
    <w:rsid w:val="0040488C"/>
    <w:rsid w:val="00404903"/>
    <w:rsid w:val="00404A27"/>
    <w:rsid w:val="0040551C"/>
    <w:rsid w:val="00405600"/>
    <w:rsid w:val="00405809"/>
    <w:rsid w:val="00405995"/>
    <w:rsid w:val="00405A8B"/>
    <w:rsid w:val="00405E06"/>
    <w:rsid w:val="00405F65"/>
    <w:rsid w:val="00405F9F"/>
    <w:rsid w:val="00405FB5"/>
    <w:rsid w:val="0040672E"/>
    <w:rsid w:val="0040677A"/>
    <w:rsid w:val="0040687C"/>
    <w:rsid w:val="004068A5"/>
    <w:rsid w:val="00406908"/>
    <w:rsid w:val="00407347"/>
    <w:rsid w:val="004074A4"/>
    <w:rsid w:val="0040764A"/>
    <w:rsid w:val="00407831"/>
    <w:rsid w:val="0041016E"/>
    <w:rsid w:val="004103DB"/>
    <w:rsid w:val="00410809"/>
    <w:rsid w:val="00410DE0"/>
    <w:rsid w:val="00410EA9"/>
    <w:rsid w:val="004110BA"/>
    <w:rsid w:val="004110C3"/>
    <w:rsid w:val="0041117F"/>
    <w:rsid w:val="00411591"/>
    <w:rsid w:val="0041173A"/>
    <w:rsid w:val="0041190F"/>
    <w:rsid w:val="00411BDA"/>
    <w:rsid w:val="00411BEB"/>
    <w:rsid w:val="00411C2A"/>
    <w:rsid w:val="00411E6A"/>
    <w:rsid w:val="00412001"/>
    <w:rsid w:val="00412461"/>
    <w:rsid w:val="004124C1"/>
    <w:rsid w:val="00412C21"/>
    <w:rsid w:val="00412CDC"/>
    <w:rsid w:val="00412EEE"/>
    <w:rsid w:val="00412F51"/>
    <w:rsid w:val="0041378A"/>
    <w:rsid w:val="004138DF"/>
    <w:rsid w:val="0041392C"/>
    <w:rsid w:val="00413A43"/>
    <w:rsid w:val="00413C56"/>
    <w:rsid w:val="00413E64"/>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71E6"/>
    <w:rsid w:val="00417614"/>
    <w:rsid w:val="004177B2"/>
    <w:rsid w:val="004178EA"/>
    <w:rsid w:val="0041795B"/>
    <w:rsid w:val="004179BA"/>
    <w:rsid w:val="00417C9B"/>
    <w:rsid w:val="00417D43"/>
    <w:rsid w:val="00417EAC"/>
    <w:rsid w:val="00420319"/>
    <w:rsid w:val="0042065D"/>
    <w:rsid w:val="00420689"/>
    <w:rsid w:val="00420810"/>
    <w:rsid w:val="0042086D"/>
    <w:rsid w:val="00420B03"/>
    <w:rsid w:val="00420CA6"/>
    <w:rsid w:val="0042114B"/>
    <w:rsid w:val="00421287"/>
    <w:rsid w:val="004213E8"/>
    <w:rsid w:val="00421418"/>
    <w:rsid w:val="004214DE"/>
    <w:rsid w:val="004218E5"/>
    <w:rsid w:val="00421A0B"/>
    <w:rsid w:val="00421B14"/>
    <w:rsid w:val="00421F52"/>
    <w:rsid w:val="00422004"/>
    <w:rsid w:val="004220EE"/>
    <w:rsid w:val="0042214E"/>
    <w:rsid w:val="004222DE"/>
    <w:rsid w:val="00422329"/>
    <w:rsid w:val="0042285B"/>
    <w:rsid w:val="004228E9"/>
    <w:rsid w:val="00422901"/>
    <w:rsid w:val="00422B0C"/>
    <w:rsid w:val="004231E2"/>
    <w:rsid w:val="00423467"/>
    <w:rsid w:val="00423481"/>
    <w:rsid w:val="004235BB"/>
    <w:rsid w:val="00423995"/>
    <w:rsid w:val="00423E01"/>
    <w:rsid w:val="00424154"/>
    <w:rsid w:val="0042439A"/>
    <w:rsid w:val="004244C6"/>
    <w:rsid w:val="004246E0"/>
    <w:rsid w:val="00424907"/>
    <w:rsid w:val="00424AB8"/>
    <w:rsid w:val="00425059"/>
    <w:rsid w:val="004251D1"/>
    <w:rsid w:val="0042544C"/>
    <w:rsid w:val="004255C5"/>
    <w:rsid w:val="0042560A"/>
    <w:rsid w:val="00425DEE"/>
    <w:rsid w:val="00425E2C"/>
    <w:rsid w:val="00426163"/>
    <w:rsid w:val="00426283"/>
    <w:rsid w:val="004263C3"/>
    <w:rsid w:val="0042693C"/>
    <w:rsid w:val="004269FB"/>
    <w:rsid w:val="00426C21"/>
    <w:rsid w:val="00426C44"/>
    <w:rsid w:val="0042741D"/>
    <w:rsid w:val="00427538"/>
    <w:rsid w:val="004276D1"/>
    <w:rsid w:val="004278CE"/>
    <w:rsid w:val="00427AC9"/>
    <w:rsid w:val="00427FC7"/>
    <w:rsid w:val="004303E7"/>
    <w:rsid w:val="00430458"/>
    <w:rsid w:val="0043063B"/>
    <w:rsid w:val="004306DB"/>
    <w:rsid w:val="004307B3"/>
    <w:rsid w:val="00430BB6"/>
    <w:rsid w:val="00430D75"/>
    <w:rsid w:val="004310DA"/>
    <w:rsid w:val="0043151F"/>
    <w:rsid w:val="004316B1"/>
    <w:rsid w:val="00431AA9"/>
    <w:rsid w:val="00431B31"/>
    <w:rsid w:val="00431BB0"/>
    <w:rsid w:val="00431DDD"/>
    <w:rsid w:val="00431E96"/>
    <w:rsid w:val="004320C8"/>
    <w:rsid w:val="004322FD"/>
    <w:rsid w:val="0043275C"/>
    <w:rsid w:val="00432A0B"/>
    <w:rsid w:val="00432A3E"/>
    <w:rsid w:val="00432AA2"/>
    <w:rsid w:val="00432E1C"/>
    <w:rsid w:val="00432F28"/>
    <w:rsid w:val="00433016"/>
    <w:rsid w:val="00433501"/>
    <w:rsid w:val="00433B4E"/>
    <w:rsid w:val="00433C85"/>
    <w:rsid w:val="00433CD3"/>
    <w:rsid w:val="00433D7E"/>
    <w:rsid w:val="004346AA"/>
    <w:rsid w:val="00434701"/>
    <w:rsid w:val="0043476D"/>
    <w:rsid w:val="004348D4"/>
    <w:rsid w:val="00434917"/>
    <w:rsid w:val="00434A4B"/>
    <w:rsid w:val="00434DA8"/>
    <w:rsid w:val="0043504C"/>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9B4"/>
    <w:rsid w:val="004379E9"/>
    <w:rsid w:val="00437B71"/>
    <w:rsid w:val="00437CD6"/>
    <w:rsid w:val="00437D98"/>
    <w:rsid w:val="0044051E"/>
    <w:rsid w:val="00440825"/>
    <w:rsid w:val="004410C2"/>
    <w:rsid w:val="004416DB"/>
    <w:rsid w:val="0044194A"/>
    <w:rsid w:val="00441956"/>
    <w:rsid w:val="004419A9"/>
    <w:rsid w:val="00441A0B"/>
    <w:rsid w:val="00441AF6"/>
    <w:rsid w:val="00441E1A"/>
    <w:rsid w:val="00441E34"/>
    <w:rsid w:val="00442015"/>
    <w:rsid w:val="00442448"/>
    <w:rsid w:val="00442499"/>
    <w:rsid w:val="00442638"/>
    <w:rsid w:val="00442A83"/>
    <w:rsid w:val="00442EC6"/>
    <w:rsid w:val="00443307"/>
    <w:rsid w:val="004436F9"/>
    <w:rsid w:val="00443815"/>
    <w:rsid w:val="004439B6"/>
    <w:rsid w:val="00443BCF"/>
    <w:rsid w:val="00443C07"/>
    <w:rsid w:val="00443C1A"/>
    <w:rsid w:val="00443CA8"/>
    <w:rsid w:val="004440CD"/>
    <w:rsid w:val="00444285"/>
    <w:rsid w:val="00444783"/>
    <w:rsid w:val="00444A4F"/>
    <w:rsid w:val="00444A7A"/>
    <w:rsid w:val="00444D81"/>
    <w:rsid w:val="00444E54"/>
    <w:rsid w:val="00445227"/>
    <w:rsid w:val="004452F7"/>
    <w:rsid w:val="00445854"/>
    <w:rsid w:val="00445C08"/>
    <w:rsid w:val="00445C97"/>
    <w:rsid w:val="00445D18"/>
    <w:rsid w:val="00445DB8"/>
    <w:rsid w:val="00445F9D"/>
    <w:rsid w:val="00446043"/>
    <w:rsid w:val="00446270"/>
    <w:rsid w:val="004463A7"/>
    <w:rsid w:val="00446419"/>
    <w:rsid w:val="004464BD"/>
    <w:rsid w:val="0044686D"/>
    <w:rsid w:val="004468E4"/>
    <w:rsid w:val="0044696F"/>
    <w:rsid w:val="00446AA9"/>
    <w:rsid w:val="00446B1F"/>
    <w:rsid w:val="00447045"/>
    <w:rsid w:val="0044705A"/>
    <w:rsid w:val="004471DE"/>
    <w:rsid w:val="00447360"/>
    <w:rsid w:val="0044743D"/>
    <w:rsid w:val="00447633"/>
    <w:rsid w:val="00447805"/>
    <w:rsid w:val="00447824"/>
    <w:rsid w:val="00447E18"/>
    <w:rsid w:val="00447E30"/>
    <w:rsid w:val="0045019B"/>
    <w:rsid w:val="00450283"/>
    <w:rsid w:val="004504E9"/>
    <w:rsid w:val="00450565"/>
    <w:rsid w:val="004506CC"/>
    <w:rsid w:val="004506FB"/>
    <w:rsid w:val="00450939"/>
    <w:rsid w:val="00450A38"/>
    <w:rsid w:val="00450CDD"/>
    <w:rsid w:val="00450E5C"/>
    <w:rsid w:val="004510B6"/>
    <w:rsid w:val="0045115E"/>
    <w:rsid w:val="00451232"/>
    <w:rsid w:val="00451355"/>
    <w:rsid w:val="0045183B"/>
    <w:rsid w:val="004518A5"/>
    <w:rsid w:val="00451A4F"/>
    <w:rsid w:val="00451CFD"/>
    <w:rsid w:val="00451D91"/>
    <w:rsid w:val="00451FF6"/>
    <w:rsid w:val="004523A2"/>
    <w:rsid w:val="004523BD"/>
    <w:rsid w:val="004525C4"/>
    <w:rsid w:val="00452ACB"/>
    <w:rsid w:val="00452BD5"/>
    <w:rsid w:val="00452C3E"/>
    <w:rsid w:val="00453064"/>
    <w:rsid w:val="004531EB"/>
    <w:rsid w:val="00453299"/>
    <w:rsid w:val="004532B5"/>
    <w:rsid w:val="0045348B"/>
    <w:rsid w:val="00453C12"/>
    <w:rsid w:val="00454085"/>
    <w:rsid w:val="0045424A"/>
    <w:rsid w:val="00454540"/>
    <w:rsid w:val="004545AF"/>
    <w:rsid w:val="004547D6"/>
    <w:rsid w:val="0045488D"/>
    <w:rsid w:val="004548CD"/>
    <w:rsid w:val="00454EB7"/>
    <w:rsid w:val="00455062"/>
    <w:rsid w:val="0045530B"/>
    <w:rsid w:val="004555E4"/>
    <w:rsid w:val="004556D7"/>
    <w:rsid w:val="00455730"/>
    <w:rsid w:val="004557CE"/>
    <w:rsid w:val="00455E8A"/>
    <w:rsid w:val="004560E8"/>
    <w:rsid w:val="0045651C"/>
    <w:rsid w:val="00456696"/>
    <w:rsid w:val="00456B3B"/>
    <w:rsid w:val="00456C0E"/>
    <w:rsid w:val="00456EAD"/>
    <w:rsid w:val="00456F3F"/>
    <w:rsid w:val="00456F65"/>
    <w:rsid w:val="00456FCF"/>
    <w:rsid w:val="00457293"/>
    <w:rsid w:val="0045730F"/>
    <w:rsid w:val="004574A5"/>
    <w:rsid w:val="00457518"/>
    <w:rsid w:val="0045767A"/>
    <w:rsid w:val="0045770C"/>
    <w:rsid w:val="00457782"/>
    <w:rsid w:val="00457920"/>
    <w:rsid w:val="00457E42"/>
    <w:rsid w:val="00457E89"/>
    <w:rsid w:val="004603FC"/>
    <w:rsid w:val="004605B4"/>
    <w:rsid w:val="0046072C"/>
    <w:rsid w:val="004609E9"/>
    <w:rsid w:val="00460A49"/>
    <w:rsid w:val="00460D85"/>
    <w:rsid w:val="0046140F"/>
    <w:rsid w:val="00461530"/>
    <w:rsid w:val="0046156E"/>
    <w:rsid w:val="004616D4"/>
    <w:rsid w:val="0046172C"/>
    <w:rsid w:val="00461853"/>
    <w:rsid w:val="00461C9E"/>
    <w:rsid w:val="00461F24"/>
    <w:rsid w:val="0046203A"/>
    <w:rsid w:val="00462060"/>
    <w:rsid w:val="004623CB"/>
    <w:rsid w:val="0046243D"/>
    <w:rsid w:val="00462AA8"/>
    <w:rsid w:val="00462B7B"/>
    <w:rsid w:val="00462DA1"/>
    <w:rsid w:val="00462F4B"/>
    <w:rsid w:val="004636A0"/>
    <w:rsid w:val="004636CC"/>
    <w:rsid w:val="00463757"/>
    <w:rsid w:val="004637D4"/>
    <w:rsid w:val="00463AD3"/>
    <w:rsid w:val="0046472F"/>
    <w:rsid w:val="004648C2"/>
    <w:rsid w:val="00464AFE"/>
    <w:rsid w:val="00464D24"/>
    <w:rsid w:val="00464DC6"/>
    <w:rsid w:val="00464E48"/>
    <w:rsid w:val="00464F90"/>
    <w:rsid w:val="004657C5"/>
    <w:rsid w:val="00465B92"/>
    <w:rsid w:val="00465DC8"/>
    <w:rsid w:val="004662A9"/>
    <w:rsid w:val="004663E0"/>
    <w:rsid w:val="00466505"/>
    <w:rsid w:val="0046665D"/>
    <w:rsid w:val="004667E5"/>
    <w:rsid w:val="004669C0"/>
    <w:rsid w:val="00466A17"/>
    <w:rsid w:val="004670B4"/>
    <w:rsid w:val="004675DA"/>
    <w:rsid w:val="0046785B"/>
    <w:rsid w:val="0046793D"/>
    <w:rsid w:val="00467A19"/>
    <w:rsid w:val="00467EDD"/>
    <w:rsid w:val="004701D2"/>
    <w:rsid w:val="00470362"/>
    <w:rsid w:val="00470368"/>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D96"/>
    <w:rsid w:val="00472DDC"/>
    <w:rsid w:val="00472EB2"/>
    <w:rsid w:val="00472FA1"/>
    <w:rsid w:val="00472FCF"/>
    <w:rsid w:val="004730E8"/>
    <w:rsid w:val="004734C2"/>
    <w:rsid w:val="00473850"/>
    <w:rsid w:val="00473E5D"/>
    <w:rsid w:val="0047403F"/>
    <w:rsid w:val="0047427F"/>
    <w:rsid w:val="004745AB"/>
    <w:rsid w:val="0047461A"/>
    <w:rsid w:val="00474762"/>
    <w:rsid w:val="00474837"/>
    <w:rsid w:val="0047489E"/>
    <w:rsid w:val="004749D7"/>
    <w:rsid w:val="004749FE"/>
    <w:rsid w:val="00474A13"/>
    <w:rsid w:val="00474A73"/>
    <w:rsid w:val="00474B0D"/>
    <w:rsid w:val="00474C07"/>
    <w:rsid w:val="00474CD0"/>
    <w:rsid w:val="00475182"/>
    <w:rsid w:val="0047530A"/>
    <w:rsid w:val="00475468"/>
    <w:rsid w:val="0047565F"/>
    <w:rsid w:val="0047570F"/>
    <w:rsid w:val="00475721"/>
    <w:rsid w:val="004757B0"/>
    <w:rsid w:val="004757F8"/>
    <w:rsid w:val="00475B5A"/>
    <w:rsid w:val="00475CC1"/>
    <w:rsid w:val="00475CC5"/>
    <w:rsid w:val="00476048"/>
    <w:rsid w:val="00476213"/>
    <w:rsid w:val="0047627C"/>
    <w:rsid w:val="00476280"/>
    <w:rsid w:val="0047642D"/>
    <w:rsid w:val="004764C3"/>
    <w:rsid w:val="004768E0"/>
    <w:rsid w:val="00476D53"/>
    <w:rsid w:val="00476E68"/>
    <w:rsid w:val="004770A0"/>
    <w:rsid w:val="0047713B"/>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D34"/>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DB2"/>
    <w:rsid w:val="00482EE9"/>
    <w:rsid w:val="0048357B"/>
    <w:rsid w:val="0048368C"/>
    <w:rsid w:val="004836AC"/>
    <w:rsid w:val="00483700"/>
    <w:rsid w:val="00483884"/>
    <w:rsid w:val="00483B1E"/>
    <w:rsid w:val="00483B82"/>
    <w:rsid w:val="00483E4E"/>
    <w:rsid w:val="00484147"/>
    <w:rsid w:val="00484520"/>
    <w:rsid w:val="00484525"/>
    <w:rsid w:val="004845DD"/>
    <w:rsid w:val="004847DB"/>
    <w:rsid w:val="0048493A"/>
    <w:rsid w:val="0048495A"/>
    <w:rsid w:val="00484A77"/>
    <w:rsid w:val="00484FC9"/>
    <w:rsid w:val="00485001"/>
    <w:rsid w:val="00485053"/>
    <w:rsid w:val="0048546D"/>
    <w:rsid w:val="00485549"/>
    <w:rsid w:val="00486023"/>
    <w:rsid w:val="00486285"/>
    <w:rsid w:val="0048630F"/>
    <w:rsid w:val="00486516"/>
    <w:rsid w:val="00486929"/>
    <w:rsid w:val="00486A37"/>
    <w:rsid w:val="00486B2A"/>
    <w:rsid w:val="00486C28"/>
    <w:rsid w:val="00486CD9"/>
    <w:rsid w:val="00486DE4"/>
    <w:rsid w:val="00486E21"/>
    <w:rsid w:val="004875D8"/>
    <w:rsid w:val="00487740"/>
    <w:rsid w:val="00487911"/>
    <w:rsid w:val="0048794A"/>
    <w:rsid w:val="00487B15"/>
    <w:rsid w:val="00487C9B"/>
    <w:rsid w:val="00487F44"/>
    <w:rsid w:val="00487FC5"/>
    <w:rsid w:val="00487FDC"/>
    <w:rsid w:val="00490236"/>
    <w:rsid w:val="00490580"/>
    <w:rsid w:val="00490D21"/>
    <w:rsid w:val="00491389"/>
    <w:rsid w:val="00491CB7"/>
    <w:rsid w:val="00491E04"/>
    <w:rsid w:val="00491FD3"/>
    <w:rsid w:val="0049224C"/>
    <w:rsid w:val="004922B7"/>
    <w:rsid w:val="00492404"/>
    <w:rsid w:val="00492491"/>
    <w:rsid w:val="00492627"/>
    <w:rsid w:val="004927AB"/>
    <w:rsid w:val="00492B6D"/>
    <w:rsid w:val="00492F3A"/>
    <w:rsid w:val="00492F62"/>
    <w:rsid w:val="004931CE"/>
    <w:rsid w:val="004931DF"/>
    <w:rsid w:val="004935EF"/>
    <w:rsid w:val="00493964"/>
    <w:rsid w:val="00493A11"/>
    <w:rsid w:val="00493A78"/>
    <w:rsid w:val="00493DA2"/>
    <w:rsid w:val="00493E10"/>
    <w:rsid w:val="00493F61"/>
    <w:rsid w:val="004942AD"/>
    <w:rsid w:val="004942EA"/>
    <w:rsid w:val="004943E6"/>
    <w:rsid w:val="0049445F"/>
    <w:rsid w:val="00494537"/>
    <w:rsid w:val="00494D65"/>
    <w:rsid w:val="00494E67"/>
    <w:rsid w:val="00494F95"/>
    <w:rsid w:val="004951ED"/>
    <w:rsid w:val="004953DE"/>
    <w:rsid w:val="0049567D"/>
    <w:rsid w:val="00495725"/>
    <w:rsid w:val="00495ACA"/>
    <w:rsid w:val="00495BD2"/>
    <w:rsid w:val="00495D21"/>
    <w:rsid w:val="00495EA5"/>
    <w:rsid w:val="00496096"/>
    <w:rsid w:val="00496340"/>
    <w:rsid w:val="004965CB"/>
    <w:rsid w:val="004967C9"/>
    <w:rsid w:val="0049684D"/>
    <w:rsid w:val="00496C9A"/>
    <w:rsid w:val="00496D99"/>
    <w:rsid w:val="004977BE"/>
    <w:rsid w:val="00497866"/>
    <w:rsid w:val="00497C04"/>
    <w:rsid w:val="00497D21"/>
    <w:rsid w:val="00497DAF"/>
    <w:rsid w:val="004A017D"/>
    <w:rsid w:val="004A0218"/>
    <w:rsid w:val="004A04E3"/>
    <w:rsid w:val="004A064B"/>
    <w:rsid w:val="004A0A70"/>
    <w:rsid w:val="004A0B96"/>
    <w:rsid w:val="004A0F1D"/>
    <w:rsid w:val="004A11F5"/>
    <w:rsid w:val="004A1655"/>
    <w:rsid w:val="004A175C"/>
    <w:rsid w:val="004A1AAB"/>
    <w:rsid w:val="004A1E2A"/>
    <w:rsid w:val="004A1E77"/>
    <w:rsid w:val="004A25F1"/>
    <w:rsid w:val="004A2885"/>
    <w:rsid w:val="004A28ED"/>
    <w:rsid w:val="004A30B1"/>
    <w:rsid w:val="004A30F5"/>
    <w:rsid w:val="004A32F9"/>
    <w:rsid w:val="004A3535"/>
    <w:rsid w:val="004A372F"/>
    <w:rsid w:val="004A3AA5"/>
    <w:rsid w:val="004A42C2"/>
    <w:rsid w:val="004A4632"/>
    <w:rsid w:val="004A4CAE"/>
    <w:rsid w:val="004A5687"/>
    <w:rsid w:val="004A5D88"/>
    <w:rsid w:val="004A60CA"/>
    <w:rsid w:val="004A639F"/>
    <w:rsid w:val="004A662B"/>
    <w:rsid w:val="004A678B"/>
    <w:rsid w:val="004A6884"/>
    <w:rsid w:val="004A68EF"/>
    <w:rsid w:val="004A6948"/>
    <w:rsid w:val="004A69F5"/>
    <w:rsid w:val="004A6AAD"/>
    <w:rsid w:val="004A7474"/>
    <w:rsid w:val="004A7876"/>
    <w:rsid w:val="004A7B7C"/>
    <w:rsid w:val="004A7D6D"/>
    <w:rsid w:val="004A7D98"/>
    <w:rsid w:val="004A7FF3"/>
    <w:rsid w:val="004B0250"/>
    <w:rsid w:val="004B0B86"/>
    <w:rsid w:val="004B1009"/>
    <w:rsid w:val="004B103A"/>
    <w:rsid w:val="004B16A2"/>
    <w:rsid w:val="004B17B1"/>
    <w:rsid w:val="004B1907"/>
    <w:rsid w:val="004B1BBF"/>
    <w:rsid w:val="004B1C49"/>
    <w:rsid w:val="004B1C7C"/>
    <w:rsid w:val="004B1D15"/>
    <w:rsid w:val="004B2023"/>
    <w:rsid w:val="004B212D"/>
    <w:rsid w:val="004B2181"/>
    <w:rsid w:val="004B21C9"/>
    <w:rsid w:val="004B26C9"/>
    <w:rsid w:val="004B26CD"/>
    <w:rsid w:val="004B2730"/>
    <w:rsid w:val="004B29FC"/>
    <w:rsid w:val="004B2A91"/>
    <w:rsid w:val="004B2EF9"/>
    <w:rsid w:val="004B33EE"/>
    <w:rsid w:val="004B34D1"/>
    <w:rsid w:val="004B3619"/>
    <w:rsid w:val="004B3876"/>
    <w:rsid w:val="004B3918"/>
    <w:rsid w:val="004B39D1"/>
    <w:rsid w:val="004B3AD8"/>
    <w:rsid w:val="004B3F05"/>
    <w:rsid w:val="004B4206"/>
    <w:rsid w:val="004B4417"/>
    <w:rsid w:val="004B468A"/>
    <w:rsid w:val="004B482D"/>
    <w:rsid w:val="004B4979"/>
    <w:rsid w:val="004B499C"/>
    <w:rsid w:val="004B4A63"/>
    <w:rsid w:val="004B5457"/>
    <w:rsid w:val="004B5641"/>
    <w:rsid w:val="004B57B0"/>
    <w:rsid w:val="004B57F6"/>
    <w:rsid w:val="004B58A3"/>
    <w:rsid w:val="004B58B5"/>
    <w:rsid w:val="004B5B68"/>
    <w:rsid w:val="004B638A"/>
    <w:rsid w:val="004B649E"/>
    <w:rsid w:val="004B655B"/>
    <w:rsid w:val="004B664A"/>
    <w:rsid w:val="004B68A6"/>
    <w:rsid w:val="004B68BA"/>
    <w:rsid w:val="004B69E2"/>
    <w:rsid w:val="004B6A96"/>
    <w:rsid w:val="004B6CB6"/>
    <w:rsid w:val="004B7355"/>
    <w:rsid w:val="004B76EF"/>
    <w:rsid w:val="004B7E9F"/>
    <w:rsid w:val="004C0110"/>
    <w:rsid w:val="004C01DF"/>
    <w:rsid w:val="004C0396"/>
    <w:rsid w:val="004C0918"/>
    <w:rsid w:val="004C092D"/>
    <w:rsid w:val="004C0C9C"/>
    <w:rsid w:val="004C1011"/>
    <w:rsid w:val="004C1140"/>
    <w:rsid w:val="004C1430"/>
    <w:rsid w:val="004C14CA"/>
    <w:rsid w:val="004C15E8"/>
    <w:rsid w:val="004C1670"/>
    <w:rsid w:val="004C183A"/>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4E6"/>
    <w:rsid w:val="004C3BF4"/>
    <w:rsid w:val="004C3C59"/>
    <w:rsid w:val="004C3DDD"/>
    <w:rsid w:val="004C46D5"/>
    <w:rsid w:val="004C46ED"/>
    <w:rsid w:val="004C47B5"/>
    <w:rsid w:val="004C4A0C"/>
    <w:rsid w:val="004C4BB1"/>
    <w:rsid w:val="004C4CBE"/>
    <w:rsid w:val="004C4D51"/>
    <w:rsid w:val="004C5188"/>
    <w:rsid w:val="004C5204"/>
    <w:rsid w:val="004C5298"/>
    <w:rsid w:val="004C55DA"/>
    <w:rsid w:val="004C5A72"/>
    <w:rsid w:val="004C5B03"/>
    <w:rsid w:val="004C5E65"/>
    <w:rsid w:val="004C6270"/>
    <w:rsid w:val="004C6419"/>
    <w:rsid w:val="004C649D"/>
    <w:rsid w:val="004C6897"/>
    <w:rsid w:val="004C70A7"/>
    <w:rsid w:val="004C720B"/>
    <w:rsid w:val="004C7269"/>
    <w:rsid w:val="004C72F1"/>
    <w:rsid w:val="004C7792"/>
    <w:rsid w:val="004C7861"/>
    <w:rsid w:val="004C79D4"/>
    <w:rsid w:val="004C7ACD"/>
    <w:rsid w:val="004C7D84"/>
    <w:rsid w:val="004C7DEF"/>
    <w:rsid w:val="004C7FD0"/>
    <w:rsid w:val="004D0037"/>
    <w:rsid w:val="004D00D5"/>
    <w:rsid w:val="004D0117"/>
    <w:rsid w:val="004D013D"/>
    <w:rsid w:val="004D048F"/>
    <w:rsid w:val="004D0591"/>
    <w:rsid w:val="004D0957"/>
    <w:rsid w:val="004D0A8D"/>
    <w:rsid w:val="004D113B"/>
    <w:rsid w:val="004D12A0"/>
    <w:rsid w:val="004D1845"/>
    <w:rsid w:val="004D1BED"/>
    <w:rsid w:val="004D1DA9"/>
    <w:rsid w:val="004D1EED"/>
    <w:rsid w:val="004D1FB3"/>
    <w:rsid w:val="004D2384"/>
    <w:rsid w:val="004D24CC"/>
    <w:rsid w:val="004D2861"/>
    <w:rsid w:val="004D2865"/>
    <w:rsid w:val="004D2DF3"/>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B3E"/>
    <w:rsid w:val="004D6B4B"/>
    <w:rsid w:val="004D6F3E"/>
    <w:rsid w:val="004D6FAE"/>
    <w:rsid w:val="004D752A"/>
    <w:rsid w:val="004D757A"/>
    <w:rsid w:val="004D75E5"/>
    <w:rsid w:val="004D7C72"/>
    <w:rsid w:val="004D7D57"/>
    <w:rsid w:val="004D7E7C"/>
    <w:rsid w:val="004E01CC"/>
    <w:rsid w:val="004E085E"/>
    <w:rsid w:val="004E087C"/>
    <w:rsid w:val="004E08A2"/>
    <w:rsid w:val="004E08A3"/>
    <w:rsid w:val="004E0C6C"/>
    <w:rsid w:val="004E0D0C"/>
    <w:rsid w:val="004E0DB6"/>
    <w:rsid w:val="004E0DF8"/>
    <w:rsid w:val="004E0FCC"/>
    <w:rsid w:val="004E1819"/>
    <w:rsid w:val="004E18BE"/>
    <w:rsid w:val="004E19B7"/>
    <w:rsid w:val="004E1BC1"/>
    <w:rsid w:val="004E1C8B"/>
    <w:rsid w:val="004E1DA5"/>
    <w:rsid w:val="004E2119"/>
    <w:rsid w:val="004E2131"/>
    <w:rsid w:val="004E22E2"/>
    <w:rsid w:val="004E250C"/>
    <w:rsid w:val="004E276C"/>
    <w:rsid w:val="004E2893"/>
    <w:rsid w:val="004E2FB8"/>
    <w:rsid w:val="004E3187"/>
    <w:rsid w:val="004E327A"/>
    <w:rsid w:val="004E327D"/>
    <w:rsid w:val="004E408D"/>
    <w:rsid w:val="004E4600"/>
    <w:rsid w:val="004E4752"/>
    <w:rsid w:val="004E47E7"/>
    <w:rsid w:val="004E47EE"/>
    <w:rsid w:val="004E49CA"/>
    <w:rsid w:val="004E4C7B"/>
    <w:rsid w:val="004E4FD9"/>
    <w:rsid w:val="004E500F"/>
    <w:rsid w:val="004E5423"/>
    <w:rsid w:val="004E5471"/>
    <w:rsid w:val="004E5736"/>
    <w:rsid w:val="004E58ED"/>
    <w:rsid w:val="004E5AF5"/>
    <w:rsid w:val="004E60E7"/>
    <w:rsid w:val="004E63F2"/>
    <w:rsid w:val="004E65C1"/>
    <w:rsid w:val="004E661D"/>
    <w:rsid w:val="004E68A8"/>
    <w:rsid w:val="004E6CAA"/>
    <w:rsid w:val="004E6E3F"/>
    <w:rsid w:val="004E6EF3"/>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EB"/>
    <w:rsid w:val="004F1056"/>
    <w:rsid w:val="004F1238"/>
    <w:rsid w:val="004F14AD"/>
    <w:rsid w:val="004F1529"/>
    <w:rsid w:val="004F1637"/>
    <w:rsid w:val="004F169A"/>
    <w:rsid w:val="004F1A1E"/>
    <w:rsid w:val="004F1A40"/>
    <w:rsid w:val="004F1D66"/>
    <w:rsid w:val="004F1EEC"/>
    <w:rsid w:val="004F1EFC"/>
    <w:rsid w:val="004F20E0"/>
    <w:rsid w:val="004F2299"/>
    <w:rsid w:val="004F2497"/>
    <w:rsid w:val="004F27CC"/>
    <w:rsid w:val="004F28FC"/>
    <w:rsid w:val="004F2ED9"/>
    <w:rsid w:val="004F2FD0"/>
    <w:rsid w:val="004F30C7"/>
    <w:rsid w:val="004F3135"/>
    <w:rsid w:val="004F34AC"/>
    <w:rsid w:val="004F3873"/>
    <w:rsid w:val="004F38F3"/>
    <w:rsid w:val="004F39B5"/>
    <w:rsid w:val="004F39D7"/>
    <w:rsid w:val="004F3B1C"/>
    <w:rsid w:val="004F3B3A"/>
    <w:rsid w:val="004F3D94"/>
    <w:rsid w:val="004F41AF"/>
    <w:rsid w:val="004F425C"/>
    <w:rsid w:val="004F4753"/>
    <w:rsid w:val="004F4792"/>
    <w:rsid w:val="004F47B2"/>
    <w:rsid w:val="004F485D"/>
    <w:rsid w:val="004F49E9"/>
    <w:rsid w:val="004F4A34"/>
    <w:rsid w:val="004F4C60"/>
    <w:rsid w:val="004F4E33"/>
    <w:rsid w:val="004F4EB8"/>
    <w:rsid w:val="004F5807"/>
    <w:rsid w:val="004F5897"/>
    <w:rsid w:val="004F5BA3"/>
    <w:rsid w:val="004F5D3B"/>
    <w:rsid w:val="004F5D8D"/>
    <w:rsid w:val="004F5F3F"/>
    <w:rsid w:val="004F5FFB"/>
    <w:rsid w:val="004F60AB"/>
    <w:rsid w:val="004F6479"/>
    <w:rsid w:val="004F65FF"/>
    <w:rsid w:val="004F6A9D"/>
    <w:rsid w:val="004F6B94"/>
    <w:rsid w:val="004F6D9A"/>
    <w:rsid w:val="004F73DC"/>
    <w:rsid w:val="004F74E0"/>
    <w:rsid w:val="004F74E8"/>
    <w:rsid w:val="004F750A"/>
    <w:rsid w:val="004F7668"/>
    <w:rsid w:val="004F7687"/>
    <w:rsid w:val="004F7B67"/>
    <w:rsid w:val="004F7C1F"/>
    <w:rsid w:val="004F7D08"/>
    <w:rsid w:val="004F7D9E"/>
    <w:rsid w:val="004F7F88"/>
    <w:rsid w:val="00500030"/>
    <w:rsid w:val="005000B0"/>
    <w:rsid w:val="005003A9"/>
    <w:rsid w:val="00500436"/>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929"/>
    <w:rsid w:val="00503A27"/>
    <w:rsid w:val="00503FEA"/>
    <w:rsid w:val="005041EC"/>
    <w:rsid w:val="00504654"/>
    <w:rsid w:val="00504822"/>
    <w:rsid w:val="005049BC"/>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E11"/>
    <w:rsid w:val="00506EEC"/>
    <w:rsid w:val="00506F91"/>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43A"/>
    <w:rsid w:val="0051590B"/>
    <w:rsid w:val="0051607C"/>
    <w:rsid w:val="0051628C"/>
    <w:rsid w:val="00516349"/>
    <w:rsid w:val="00516793"/>
    <w:rsid w:val="00516D8E"/>
    <w:rsid w:val="005170F5"/>
    <w:rsid w:val="00517156"/>
    <w:rsid w:val="0051774E"/>
    <w:rsid w:val="00517B26"/>
    <w:rsid w:val="00517C3D"/>
    <w:rsid w:val="00517D1A"/>
    <w:rsid w:val="00517D81"/>
    <w:rsid w:val="00517D8F"/>
    <w:rsid w:val="00517F8A"/>
    <w:rsid w:val="0052026F"/>
    <w:rsid w:val="005204F7"/>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2E7"/>
    <w:rsid w:val="00523338"/>
    <w:rsid w:val="005238BE"/>
    <w:rsid w:val="005238C0"/>
    <w:rsid w:val="00523AD9"/>
    <w:rsid w:val="00523D61"/>
    <w:rsid w:val="00524278"/>
    <w:rsid w:val="00524471"/>
    <w:rsid w:val="0052469A"/>
    <w:rsid w:val="00524712"/>
    <w:rsid w:val="0052493D"/>
    <w:rsid w:val="005249E8"/>
    <w:rsid w:val="00524E10"/>
    <w:rsid w:val="0052505E"/>
    <w:rsid w:val="0052509A"/>
    <w:rsid w:val="005252AE"/>
    <w:rsid w:val="0052557F"/>
    <w:rsid w:val="00525586"/>
    <w:rsid w:val="005255CF"/>
    <w:rsid w:val="005255EF"/>
    <w:rsid w:val="0052575B"/>
    <w:rsid w:val="00525BB8"/>
    <w:rsid w:val="00525BF0"/>
    <w:rsid w:val="00525C09"/>
    <w:rsid w:val="00525FC4"/>
    <w:rsid w:val="0052617F"/>
    <w:rsid w:val="00526304"/>
    <w:rsid w:val="00526E5F"/>
    <w:rsid w:val="005270BB"/>
    <w:rsid w:val="005270CC"/>
    <w:rsid w:val="00527250"/>
    <w:rsid w:val="0052746F"/>
    <w:rsid w:val="005277B2"/>
    <w:rsid w:val="00527925"/>
    <w:rsid w:val="00527A1F"/>
    <w:rsid w:val="00527AE7"/>
    <w:rsid w:val="00527BED"/>
    <w:rsid w:val="00527EE6"/>
    <w:rsid w:val="0053027B"/>
    <w:rsid w:val="00530A1C"/>
    <w:rsid w:val="00530A73"/>
    <w:rsid w:val="00530B76"/>
    <w:rsid w:val="00530CBE"/>
    <w:rsid w:val="00530D62"/>
    <w:rsid w:val="00531290"/>
    <w:rsid w:val="005313A8"/>
    <w:rsid w:val="00531839"/>
    <w:rsid w:val="00531952"/>
    <w:rsid w:val="00531981"/>
    <w:rsid w:val="00531BD8"/>
    <w:rsid w:val="00532349"/>
    <w:rsid w:val="0053286F"/>
    <w:rsid w:val="00532BDE"/>
    <w:rsid w:val="00532C78"/>
    <w:rsid w:val="00532D39"/>
    <w:rsid w:val="00532D7D"/>
    <w:rsid w:val="00532D8C"/>
    <w:rsid w:val="00532DDC"/>
    <w:rsid w:val="005331A3"/>
    <w:rsid w:val="0053351C"/>
    <w:rsid w:val="00533713"/>
    <w:rsid w:val="00533752"/>
    <w:rsid w:val="00533A18"/>
    <w:rsid w:val="00533CE0"/>
    <w:rsid w:val="00533CE1"/>
    <w:rsid w:val="00533CF3"/>
    <w:rsid w:val="00533D25"/>
    <w:rsid w:val="005340CB"/>
    <w:rsid w:val="0053422F"/>
    <w:rsid w:val="00534232"/>
    <w:rsid w:val="0053465B"/>
    <w:rsid w:val="00534812"/>
    <w:rsid w:val="00534906"/>
    <w:rsid w:val="00535130"/>
    <w:rsid w:val="0053537A"/>
    <w:rsid w:val="0053594C"/>
    <w:rsid w:val="005359BB"/>
    <w:rsid w:val="00535ADD"/>
    <w:rsid w:val="00535BC9"/>
    <w:rsid w:val="00535C86"/>
    <w:rsid w:val="00535F63"/>
    <w:rsid w:val="00535FE3"/>
    <w:rsid w:val="0053616D"/>
    <w:rsid w:val="005364C9"/>
    <w:rsid w:val="005366AF"/>
    <w:rsid w:val="00536764"/>
    <w:rsid w:val="00536AA6"/>
    <w:rsid w:val="00536CAA"/>
    <w:rsid w:val="00536D3C"/>
    <w:rsid w:val="00536DF7"/>
    <w:rsid w:val="0053717A"/>
    <w:rsid w:val="005372A0"/>
    <w:rsid w:val="00537364"/>
    <w:rsid w:val="0053750C"/>
    <w:rsid w:val="0053797F"/>
    <w:rsid w:val="00537DAA"/>
    <w:rsid w:val="005401B8"/>
    <w:rsid w:val="00540579"/>
    <w:rsid w:val="005405C0"/>
    <w:rsid w:val="00540886"/>
    <w:rsid w:val="005408C5"/>
    <w:rsid w:val="00540C9A"/>
    <w:rsid w:val="0054132C"/>
    <w:rsid w:val="005416B5"/>
    <w:rsid w:val="00541770"/>
    <w:rsid w:val="00541A47"/>
    <w:rsid w:val="00541D82"/>
    <w:rsid w:val="00541F21"/>
    <w:rsid w:val="00541FC9"/>
    <w:rsid w:val="00542551"/>
    <w:rsid w:val="00542B9A"/>
    <w:rsid w:val="00542C13"/>
    <w:rsid w:val="00542EAB"/>
    <w:rsid w:val="00542F1B"/>
    <w:rsid w:val="00542FCF"/>
    <w:rsid w:val="005430A4"/>
    <w:rsid w:val="005430D7"/>
    <w:rsid w:val="005431E6"/>
    <w:rsid w:val="005433AD"/>
    <w:rsid w:val="0054380E"/>
    <w:rsid w:val="0054397D"/>
    <w:rsid w:val="005439AD"/>
    <w:rsid w:val="005439BA"/>
    <w:rsid w:val="00543AED"/>
    <w:rsid w:val="00543AEE"/>
    <w:rsid w:val="00543BD6"/>
    <w:rsid w:val="00543D3D"/>
    <w:rsid w:val="00543EE6"/>
    <w:rsid w:val="005440A5"/>
    <w:rsid w:val="00544158"/>
    <w:rsid w:val="00544459"/>
    <w:rsid w:val="00544E2F"/>
    <w:rsid w:val="00544E90"/>
    <w:rsid w:val="00544E9B"/>
    <w:rsid w:val="00545725"/>
    <w:rsid w:val="00545989"/>
    <w:rsid w:val="00545A07"/>
    <w:rsid w:val="00545A4D"/>
    <w:rsid w:val="00545A6C"/>
    <w:rsid w:val="00545B98"/>
    <w:rsid w:val="00545EBA"/>
    <w:rsid w:val="005461A9"/>
    <w:rsid w:val="00546771"/>
    <w:rsid w:val="00546D07"/>
    <w:rsid w:val="00546D78"/>
    <w:rsid w:val="00546F2E"/>
    <w:rsid w:val="00546F85"/>
    <w:rsid w:val="005470DC"/>
    <w:rsid w:val="0054726F"/>
    <w:rsid w:val="005476B3"/>
    <w:rsid w:val="005477DF"/>
    <w:rsid w:val="00547820"/>
    <w:rsid w:val="005478B4"/>
    <w:rsid w:val="005479DA"/>
    <w:rsid w:val="00550493"/>
    <w:rsid w:val="005507D2"/>
    <w:rsid w:val="00550C06"/>
    <w:rsid w:val="00550C4A"/>
    <w:rsid w:val="0055146F"/>
    <w:rsid w:val="00551484"/>
    <w:rsid w:val="00551564"/>
    <w:rsid w:val="00551825"/>
    <w:rsid w:val="00551837"/>
    <w:rsid w:val="005518B4"/>
    <w:rsid w:val="005519D6"/>
    <w:rsid w:val="00551B3A"/>
    <w:rsid w:val="00551ECC"/>
    <w:rsid w:val="0055208D"/>
    <w:rsid w:val="005521BE"/>
    <w:rsid w:val="00552560"/>
    <w:rsid w:val="00552759"/>
    <w:rsid w:val="00552E74"/>
    <w:rsid w:val="00552EC5"/>
    <w:rsid w:val="0055300A"/>
    <w:rsid w:val="00553071"/>
    <w:rsid w:val="00553474"/>
    <w:rsid w:val="005538F6"/>
    <w:rsid w:val="00553CB1"/>
    <w:rsid w:val="00553D63"/>
    <w:rsid w:val="00553F90"/>
    <w:rsid w:val="00553FE7"/>
    <w:rsid w:val="00554350"/>
    <w:rsid w:val="00554781"/>
    <w:rsid w:val="00554789"/>
    <w:rsid w:val="00554808"/>
    <w:rsid w:val="00554A53"/>
    <w:rsid w:val="00554C5B"/>
    <w:rsid w:val="00554FA0"/>
    <w:rsid w:val="00555196"/>
    <w:rsid w:val="00555662"/>
    <w:rsid w:val="00555902"/>
    <w:rsid w:val="00555A1A"/>
    <w:rsid w:val="00555A34"/>
    <w:rsid w:val="00555FC4"/>
    <w:rsid w:val="005561AE"/>
    <w:rsid w:val="00556239"/>
    <w:rsid w:val="00556282"/>
    <w:rsid w:val="005564B6"/>
    <w:rsid w:val="00556662"/>
    <w:rsid w:val="005567C6"/>
    <w:rsid w:val="00556D3E"/>
    <w:rsid w:val="00556E34"/>
    <w:rsid w:val="00557289"/>
    <w:rsid w:val="005574A8"/>
    <w:rsid w:val="005575E3"/>
    <w:rsid w:val="00557700"/>
    <w:rsid w:val="005578CF"/>
    <w:rsid w:val="00557A44"/>
    <w:rsid w:val="00557F7F"/>
    <w:rsid w:val="00560062"/>
    <w:rsid w:val="005601B1"/>
    <w:rsid w:val="005601B9"/>
    <w:rsid w:val="005601EA"/>
    <w:rsid w:val="00560BF3"/>
    <w:rsid w:val="00560C76"/>
    <w:rsid w:val="00560CDB"/>
    <w:rsid w:val="00560D47"/>
    <w:rsid w:val="00561155"/>
    <w:rsid w:val="005612F9"/>
    <w:rsid w:val="00561570"/>
    <w:rsid w:val="00561610"/>
    <w:rsid w:val="00561D71"/>
    <w:rsid w:val="00561E01"/>
    <w:rsid w:val="00561EE9"/>
    <w:rsid w:val="00562009"/>
    <w:rsid w:val="005622DF"/>
    <w:rsid w:val="005623CE"/>
    <w:rsid w:val="005624E6"/>
    <w:rsid w:val="0056257D"/>
    <w:rsid w:val="0056272B"/>
    <w:rsid w:val="0056278B"/>
    <w:rsid w:val="00562AD9"/>
    <w:rsid w:val="00562BBD"/>
    <w:rsid w:val="00562F3C"/>
    <w:rsid w:val="00563324"/>
    <w:rsid w:val="00563483"/>
    <w:rsid w:val="0056356C"/>
    <w:rsid w:val="005637ED"/>
    <w:rsid w:val="005638E9"/>
    <w:rsid w:val="0056399A"/>
    <w:rsid w:val="0056399E"/>
    <w:rsid w:val="00563B37"/>
    <w:rsid w:val="00563B73"/>
    <w:rsid w:val="00563E1F"/>
    <w:rsid w:val="005640C7"/>
    <w:rsid w:val="0056416C"/>
    <w:rsid w:val="0056432F"/>
    <w:rsid w:val="0056446D"/>
    <w:rsid w:val="005647F0"/>
    <w:rsid w:val="00564842"/>
    <w:rsid w:val="00564B8C"/>
    <w:rsid w:val="0056506B"/>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8AC"/>
    <w:rsid w:val="00567C2F"/>
    <w:rsid w:val="00567C35"/>
    <w:rsid w:val="00567EBE"/>
    <w:rsid w:val="00570003"/>
    <w:rsid w:val="005701FD"/>
    <w:rsid w:val="005702E8"/>
    <w:rsid w:val="0057077E"/>
    <w:rsid w:val="00570A13"/>
    <w:rsid w:val="00570B47"/>
    <w:rsid w:val="00570F72"/>
    <w:rsid w:val="005710BE"/>
    <w:rsid w:val="00571270"/>
    <w:rsid w:val="00571274"/>
    <w:rsid w:val="00571283"/>
    <w:rsid w:val="00571344"/>
    <w:rsid w:val="005713ED"/>
    <w:rsid w:val="0057156C"/>
    <w:rsid w:val="005718C4"/>
    <w:rsid w:val="005718CC"/>
    <w:rsid w:val="005719AB"/>
    <w:rsid w:val="005719EE"/>
    <w:rsid w:val="0057236A"/>
    <w:rsid w:val="0057258A"/>
    <w:rsid w:val="005726A9"/>
    <w:rsid w:val="005728A2"/>
    <w:rsid w:val="00572A1C"/>
    <w:rsid w:val="00572A54"/>
    <w:rsid w:val="00573006"/>
    <w:rsid w:val="00573428"/>
    <w:rsid w:val="005739ED"/>
    <w:rsid w:val="00573BE3"/>
    <w:rsid w:val="00573C1F"/>
    <w:rsid w:val="00573DFA"/>
    <w:rsid w:val="00574085"/>
    <w:rsid w:val="00574203"/>
    <w:rsid w:val="00574885"/>
    <w:rsid w:val="00574948"/>
    <w:rsid w:val="00574AB8"/>
    <w:rsid w:val="00574BF9"/>
    <w:rsid w:val="00574F33"/>
    <w:rsid w:val="00575227"/>
    <w:rsid w:val="005752AC"/>
    <w:rsid w:val="00575387"/>
    <w:rsid w:val="005753D1"/>
    <w:rsid w:val="0057545E"/>
    <w:rsid w:val="0057572F"/>
    <w:rsid w:val="00575774"/>
    <w:rsid w:val="00575BE8"/>
    <w:rsid w:val="00575F21"/>
    <w:rsid w:val="0057632C"/>
    <w:rsid w:val="00576333"/>
    <w:rsid w:val="0057634C"/>
    <w:rsid w:val="00576DAA"/>
    <w:rsid w:val="00576EEB"/>
    <w:rsid w:val="005776AD"/>
    <w:rsid w:val="0057777A"/>
    <w:rsid w:val="005779E8"/>
    <w:rsid w:val="00577A92"/>
    <w:rsid w:val="00577A9B"/>
    <w:rsid w:val="00577B5D"/>
    <w:rsid w:val="00577CF3"/>
    <w:rsid w:val="00580733"/>
    <w:rsid w:val="0058098A"/>
    <w:rsid w:val="00580B49"/>
    <w:rsid w:val="00580F2C"/>
    <w:rsid w:val="00581294"/>
    <w:rsid w:val="005815D0"/>
    <w:rsid w:val="0058179B"/>
    <w:rsid w:val="00581935"/>
    <w:rsid w:val="005819B8"/>
    <w:rsid w:val="0058203B"/>
    <w:rsid w:val="0058258E"/>
    <w:rsid w:val="005827EB"/>
    <w:rsid w:val="00582817"/>
    <w:rsid w:val="005829C2"/>
    <w:rsid w:val="00582ADB"/>
    <w:rsid w:val="00582BB8"/>
    <w:rsid w:val="00582CE9"/>
    <w:rsid w:val="005831E4"/>
    <w:rsid w:val="0058362B"/>
    <w:rsid w:val="00583D34"/>
    <w:rsid w:val="00583E68"/>
    <w:rsid w:val="005842D6"/>
    <w:rsid w:val="005842E8"/>
    <w:rsid w:val="005843BF"/>
    <w:rsid w:val="00584463"/>
    <w:rsid w:val="00584585"/>
    <w:rsid w:val="0058467A"/>
    <w:rsid w:val="0058470E"/>
    <w:rsid w:val="00584B10"/>
    <w:rsid w:val="00584B84"/>
    <w:rsid w:val="00584BA4"/>
    <w:rsid w:val="00584C36"/>
    <w:rsid w:val="00584CB0"/>
    <w:rsid w:val="00584ED4"/>
    <w:rsid w:val="00585036"/>
    <w:rsid w:val="0058504A"/>
    <w:rsid w:val="0058524D"/>
    <w:rsid w:val="00585618"/>
    <w:rsid w:val="00585746"/>
    <w:rsid w:val="00585797"/>
    <w:rsid w:val="00585AA6"/>
    <w:rsid w:val="00585B30"/>
    <w:rsid w:val="00585BA0"/>
    <w:rsid w:val="00585C2D"/>
    <w:rsid w:val="00585C5F"/>
    <w:rsid w:val="0058601B"/>
    <w:rsid w:val="00586134"/>
    <w:rsid w:val="005861C0"/>
    <w:rsid w:val="00586489"/>
    <w:rsid w:val="0058659B"/>
    <w:rsid w:val="00586684"/>
    <w:rsid w:val="00586909"/>
    <w:rsid w:val="00586C9B"/>
    <w:rsid w:val="00586F57"/>
    <w:rsid w:val="0058740A"/>
    <w:rsid w:val="00587A30"/>
    <w:rsid w:val="00587BB9"/>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DF"/>
    <w:rsid w:val="00592AB5"/>
    <w:rsid w:val="00592D3A"/>
    <w:rsid w:val="00592EEB"/>
    <w:rsid w:val="005931E3"/>
    <w:rsid w:val="005932E8"/>
    <w:rsid w:val="005939E5"/>
    <w:rsid w:val="00593F64"/>
    <w:rsid w:val="005940CA"/>
    <w:rsid w:val="005941B9"/>
    <w:rsid w:val="00594330"/>
    <w:rsid w:val="005943DD"/>
    <w:rsid w:val="00594838"/>
    <w:rsid w:val="005949EC"/>
    <w:rsid w:val="00594A14"/>
    <w:rsid w:val="00595397"/>
    <w:rsid w:val="005953DB"/>
    <w:rsid w:val="00595483"/>
    <w:rsid w:val="0059562D"/>
    <w:rsid w:val="00595694"/>
    <w:rsid w:val="00595954"/>
    <w:rsid w:val="00595D95"/>
    <w:rsid w:val="00595D99"/>
    <w:rsid w:val="00596057"/>
    <w:rsid w:val="00596067"/>
    <w:rsid w:val="00596280"/>
    <w:rsid w:val="00596358"/>
    <w:rsid w:val="00596651"/>
    <w:rsid w:val="005968CA"/>
    <w:rsid w:val="00596B0B"/>
    <w:rsid w:val="00596F34"/>
    <w:rsid w:val="0059707A"/>
    <w:rsid w:val="005971F6"/>
    <w:rsid w:val="005973A6"/>
    <w:rsid w:val="00597683"/>
    <w:rsid w:val="005977DF"/>
    <w:rsid w:val="005979DE"/>
    <w:rsid w:val="00597CBE"/>
    <w:rsid w:val="005A015C"/>
    <w:rsid w:val="005A043B"/>
    <w:rsid w:val="005A084E"/>
    <w:rsid w:val="005A0997"/>
    <w:rsid w:val="005A09C0"/>
    <w:rsid w:val="005A0A6E"/>
    <w:rsid w:val="005A0B66"/>
    <w:rsid w:val="005A0B79"/>
    <w:rsid w:val="005A0DB6"/>
    <w:rsid w:val="005A1032"/>
    <w:rsid w:val="005A1190"/>
    <w:rsid w:val="005A11DD"/>
    <w:rsid w:val="005A13C5"/>
    <w:rsid w:val="005A1596"/>
    <w:rsid w:val="005A17BF"/>
    <w:rsid w:val="005A18A0"/>
    <w:rsid w:val="005A18D4"/>
    <w:rsid w:val="005A1B2C"/>
    <w:rsid w:val="005A1C4F"/>
    <w:rsid w:val="005A1D4E"/>
    <w:rsid w:val="005A20FE"/>
    <w:rsid w:val="005A2105"/>
    <w:rsid w:val="005A227A"/>
    <w:rsid w:val="005A2601"/>
    <w:rsid w:val="005A27F5"/>
    <w:rsid w:val="005A28A3"/>
    <w:rsid w:val="005A299F"/>
    <w:rsid w:val="005A2BFF"/>
    <w:rsid w:val="005A2D6C"/>
    <w:rsid w:val="005A308B"/>
    <w:rsid w:val="005A317A"/>
    <w:rsid w:val="005A3251"/>
    <w:rsid w:val="005A360D"/>
    <w:rsid w:val="005A3658"/>
    <w:rsid w:val="005A3D96"/>
    <w:rsid w:val="005A3EBA"/>
    <w:rsid w:val="005A3EDC"/>
    <w:rsid w:val="005A4061"/>
    <w:rsid w:val="005A43BE"/>
    <w:rsid w:val="005A4550"/>
    <w:rsid w:val="005A46CD"/>
    <w:rsid w:val="005A4A74"/>
    <w:rsid w:val="005A4BDC"/>
    <w:rsid w:val="005A4D53"/>
    <w:rsid w:val="005A51F4"/>
    <w:rsid w:val="005A5359"/>
    <w:rsid w:val="005A53E1"/>
    <w:rsid w:val="005A57EA"/>
    <w:rsid w:val="005A5A77"/>
    <w:rsid w:val="005A5AAD"/>
    <w:rsid w:val="005A5C1D"/>
    <w:rsid w:val="005A5C2C"/>
    <w:rsid w:val="005A5D04"/>
    <w:rsid w:val="005A5E16"/>
    <w:rsid w:val="005A5E22"/>
    <w:rsid w:val="005A5FE3"/>
    <w:rsid w:val="005A6144"/>
    <w:rsid w:val="005A616B"/>
    <w:rsid w:val="005A61B4"/>
    <w:rsid w:val="005A61F5"/>
    <w:rsid w:val="005A6AC9"/>
    <w:rsid w:val="005A74B0"/>
    <w:rsid w:val="005A74C1"/>
    <w:rsid w:val="005A76B6"/>
    <w:rsid w:val="005A777C"/>
    <w:rsid w:val="005A78B9"/>
    <w:rsid w:val="005A7951"/>
    <w:rsid w:val="005A7AC0"/>
    <w:rsid w:val="005A7AEE"/>
    <w:rsid w:val="005A7C1C"/>
    <w:rsid w:val="005B0320"/>
    <w:rsid w:val="005B03BF"/>
    <w:rsid w:val="005B0492"/>
    <w:rsid w:val="005B06BC"/>
    <w:rsid w:val="005B07E4"/>
    <w:rsid w:val="005B0877"/>
    <w:rsid w:val="005B0AE4"/>
    <w:rsid w:val="005B1045"/>
    <w:rsid w:val="005B1054"/>
    <w:rsid w:val="005B1135"/>
    <w:rsid w:val="005B11ED"/>
    <w:rsid w:val="005B1356"/>
    <w:rsid w:val="005B1593"/>
    <w:rsid w:val="005B16DE"/>
    <w:rsid w:val="005B1AE4"/>
    <w:rsid w:val="005B1CD7"/>
    <w:rsid w:val="005B1DCF"/>
    <w:rsid w:val="005B2186"/>
    <w:rsid w:val="005B262F"/>
    <w:rsid w:val="005B268F"/>
    <w:rsid w:val="005B2752"/>
    <w:rsid w:val="005B2AB8"/>
    <w:rsid w:val="005B2FBE"/>
    <w:rsid w:val="005B3157"/>
    <w:rsid w:val="005B3197"/>
    <w:rsid w:val="005B352A"/>
    <w:rsid w:val="005B3609"/>
    <w:rsid w:val="005B3748"/>
    <w:rsid w:val="005B3A7B"/>
    <w:rsid w:val="005B3BE8"/>
    <w:rsid w:val="005B3D33"/>
    <w:rsid w:val="005B3E64"/>
    <w:rsid w:val="005B4795"/>
    <w:rsid w:val="005B47EA"/>
    <w:rsid w:val="005B4D1A"/>
    <w:rsid w:val="005B4E0D"/>
    <w:rsid w:val="005B4F22"/>
    <w:rsid w:val="005B5082"/>
    <w:rsid w:val="005B514A"/>
    <w:rsid w:val="005B5CFD"/>
    <w:rsid w:val="005B5D71"/>
    <w:rsid w:val="005B5E34"/>
    <w:rsid w:val="005B605C"/>
    <w:rsid w:val="005B61C7"/>
    <w:rsid w:val="005B62C3"/>
    <w:rsid w:val="005B63CD"/>
    <w:rsid w:val="005B6427"/>
    <w:rsid w:val="005B6488"/>
    <w:rsid w:val="005B6887"/>
    <w:rsid w:val="005B6B20"/>
    <w:rsid w:val="005B6BC7"/>
    <w:rsid w:val="005B6BF9"/>
    <w:rsid w:val="005B6C02"/>
    <w:rsid w:val="005B6C30"/>
    <w:rsid w:val="005B6DEC"/>
    <w:rsid w:val="005B7236"/>
    <w:rsid w:val="005B72C3"/>
    <w:rsid w:val="005B733E"/>
    <w:rsid w:val="005B7A2B"/>
    <w:rsid w:val="005B7CFD"/>
    <w:rsid w:val="005C0134"/>
    <w:rsid w:val="005C0415"/>
    <w:rsid w:val="005C0659"/>
    <w:rsid w:val="005C06AF"/>
    <w:rsid w:val="005C074C"/>
    <w:rsid w:val="005C07C1"/>
    <w:rsid w:val="005C0D7B"/>
    <w:rsid w:val="005C0DF5"/>
    <w:rsid w:val="005C0DF9"/>
    <w:rsid w:val="005C1371"/>
    <w:rsid w:val="005C15FB"/>
    <w:rsid w:val="005C1773"/>
    <w:rsid w:val="005C1790"/>
    <w:rsid w:val="005C19CA"/>
    <w:rsid w:val="005C2514"/>
    <w:rsid w:val="005C260E"/>
    <w:rsid w:val="005C26BF"/>
    <w:rsid w:val="005C2706"/>
    <w:rsid w:val="005C2774"/>
    <w:rsid w:val="005C286F"/>
    <w:rsid w:val="005C2BC2"/>
    <w:rsid w:val="005C2D80"/>
    <w:rsid w:val="005C3011"/>
    <w:rsid w:val="005C313C"/>
    <w:rsid w:val="005C317D"/>
    <w:rsid w:val="005C32C0"/>
    <w:rsid w:val="005C32F3"/>
    <w:rsid w:val="005C3345"/>
    <w:rsid w:val="005C3A3A"/>
    <w:rsid w:val="005C3BE8"/>
    <w:rsid w:val="005C3E66"/>
    <w:rsid w:val="005C40E5"/>
    <w:rsid w:val="005C4308"/>
    <w:rsid w:val="005C4327"/>
    <w:rsid w:val="005C44D1"/>
    <w:rsid w:val="005C4840"/>
    <w:rsid w:val="005C49F4"/>
    <w:rsid w:val="005C4A71"/>
    <w:rsid w:val="005C4ABC"/>
    <w:rsid w:val="005C4DD0"/>
    <w:rsid w:val="005C5236"/>
    <w:rsid w:val="005C52AD"/>
    <w:rsid w:val="005C539B"/>
    <w:rsid w:val="005C571F"/>
    <w:rsid w:val="005C58A9"/>
    <w:rsid w:val="005C5A79"/>
    <w:rsid w:val="005C5C1C"/>
    <w:rsid w:val="005C60FC"/>
    <w:rsid w:val="005C6144"/>
    <w:rsid w:val="005C6312"/>
    <w:rsid w:val="005C6ADA"/>
    <w:rsid w:val="005C6BFE"/>
    <w:rsid w:val="005C6ECE"/>
    <w:rsid w:val="005C726B"/>
    <w:rsid w:val="005C732C"/>
    <w:rsid w:val="005C7962"/>
    <w:rsid w:val="005C7C28"/>
    <w:rsid w:val="005C7F7E"/>
    <w:rsid w:val="005D02EE"/>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03"/>
    <w:rsid w:val="005D35C1"/>
    <w:rsid w:val="005D36B9"/>
    <w:rsid w:val="005D3A53"/>
    <w:rsid w:val="005D3ACF"/>
    <w:rsid w:val="005D3CFD"/>
    <w:rsid w:val="005D4859"/>
    <w:rsid w:val="005D4C05"/>
    <w:rsid w:val="005D4EDB"/>
    <w:rsid w:val="005D5804"/>
    <w:rsid w:val="005D59D3"/>
    <w:rsid w:val="005D5A69"/>
    <w:rsid w:val="005D60C9"/>
    <w:rsid w:val="005D60DC"/>
    <w:rsid w:val="005D64A6"/>
    <w:rsid w:val="005D65BE"/>
    <w:rsid w:val="005D68F5"/>
    <w:rsid w:val="005D6934"/>
    <w:rsid w:val="005D6BE4"/>
    <w:rsid w:val="005D70AF"/>
    <w:rsid w:val="005D7139"/>
    <w:rsid w:val="005D7187"/>
    <w:rsid w:val="005D7742"/>
    <w:rsid w:val="005D774E"/>
    <w:rsid w:val="005D79BE"/>
    <w:rsid w:val="005D7ABB"/>
    <w:rsid w:val="005D7CFD"/>
    <w:rsid w:val="005D7E88"/>
    <w:rsid w:val="005E0085"/>
    <w:rsid w:val="005E01A0"/>
    <w:rsid w:val="005E0340"/>
    <w:rsid w:val="005E091D"/>
    <w:rsid w:val="005E09FF"/>
    <w:rsid w:val="005E0A72"/>
    <w:rsid w:val="005E0F56"/>
    <w:rsid w:val="005E1030"/>
    <w:rsid w:val="005E12EC"/>
    <w:rsid w:val="005E1593"/>
    <w:rsid w:val="005E159A"/>
    <w:rsid w:val="005E1E20"/>
    <w:rsid w:val="005E1F06"/>
    <w:rsid w:val="005E1F5B"/>
    <w:rsid w:val="005E24A4"/>
    <w:rsid w:val="005E259F"/>
    <w:rsid w:val="005E2619"/>
    <w:rsid w:val="005E262C"/>
    <w:rsid w:val="005E2674"/>
    <w:rsid w:val="005E26C4"/>
    <w:rsid w:val="005E289B"/>
    <w:rsid w:val="005E29DE"/>
    <w:rsid w:val="005E2A88"/>
    <w:rsid w:val="005E2D5B"/>
    <w:rsid w:val="005E2DBC"/>
    <w:rsid w:val="005E2E1C"/>
    <w:rsid w:val="005E306E"/>
    <w:rsid w:val="005E3186"/>
    <w:rsid w:val="005E32E7"/>
    <w:rsid w:val="005E336C"/>
    <w:rsid w:val="005E3424"/>
    <w:rsid w:val="005E3480"/>
    <w:rsid w:val="005E3998"/>
    <w:rsid w:val="005E3ACC"/>
    <w:rsid w:val="005E3BAD"/>
    <w:rsid w:val="005E3D3F"/>
    <w:rsid w:val="005E410A"/>
    <w:rsid w:val="005E4168"/>
    <w:rsid w:val="005E429E"/>
    <w:rsid w:val="005E44B6"/>
    <w:rsid w:val="005E44CB"/>
    <w:rsid w:val="005E4B3F"/>
    <w:rsid w:val="005E4CE6"/>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0A82"/>
    <w:rsid w:val="005F1137"/>
    <w:rsid w:val="005F1204"/>
    <w:rsid w:val="005F122F"/>
    <w:rsid w:val="005F17A0"/>
    <w:rsid w:val="005F1983"/>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52CA"/>
    <w:rsid w:val="006056CC"/>
    <w:rsid w:val="0060582A"/>
    <w:rsid w:val="00605DD3"/>
    <w:rsid w:val="006062D5"/>
    <w:rsid w:val="00606A95"/>
    <w:rsid w:val="006072EE"/>
    <w:rsid w:val="0060739C"/>
    <w:rsid w:val="00607505"/>
    <w:rsid w:val="006077FD"/>
    <w:rsid w:val="00607945"/>
    <w:rsid w:val="00607D3E"/>
    <w:rsid w:val="00607D42"/>
    <w:rsid w:val="006104FE"/>
    <w:rsid w:val="006105E1"/>
    <w:rsid w:val="00610921"/>
    <w:rsid w:val="00610A5A"/>
    <w:rsid w:val="00610DA9"/>
    <w:rsid w:val="0061106A"/>
    <w:rsid w:val="006111AF"/>
    <w:rsid w:val="006113BE"/>
    <w:rsid w:val="00611B7D"/>
    <w:rsid w:val="00611BBD"/>
    <w:rsid w:val="00611BDE"/>
    <w:rsid w:val="00611C00"/>
    <w:rsid w:val="00611E9D"/>
    <w:rsid w:val="00611FEA"/>
    <w:rsid w:val="006122AA"/>
    <w:rsid w:val="00612477"/>
    <w:rsid w:val="0061270C"/>
    <w:rsid w:val="00612AB5"/>
    <w:rsid w:val="00612D83"/>
    <w:rsid w:val="00612DFF"/>
    <w:rsid w:val="00612F7D"/>
    <w:rsid w:val="00613310"/>
    <w:rsid w:val="006135BF"/>
    <w:rsid w:val="00613951"/>
    <w:rsid w:val="00613D61"/>
    <w:rsid w:val="00613DA3"/>
    <w:rsid w:val="00613E90"/>
    <w:rsid w:val="00613F05"/>
    <w:rsid w:val="00613FE5"/>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D26"/>
    <w:rsid w:val="00615DBA"/>
    <w:rsid w:val="00615F04"/>
    <w:rsid w:val="00615FE5"/>
    <w:rsid w:val="0061625D"/>
    <w:rsid w:val="00616317"/>
    <w:rsid w:val="0061659C"/>
    <w:rsid w:val="00616A30"/>
    <w:rsid w:val="00616CCA"/>
    <w:rsid w:val="00616D08"/>
    <w:rsid w:val="00616E14"/>
    <w:rsid w:val="00616F84"/>
    <w:rsid w:val="00616FD2"/>
    <w:rsid w:val="00617214"/>
    <w:rsid w:val="006174A4"/>
    <w:rsid w:val="00617551"/>
    <w:rsid w:val="006176C7"/>
    <w:rsid w:val="00617716"/>
    <w:rsid w:val="0061783E"/>
    <w:rsid w:val="006179ED"/>
    <w:rsid w:val="00617B24"/>
    <w:rsid w:val="00617B68"/>
    <w:rsid w:val="00617BEE"/>
    <w:rsid w:val="00617F6A"/>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C5"/>
    <w:rsid w:val="00621FDF"/>
    <w:rsid w:val="00622188"/>
    <w:rsid w:val="00622821"/>
    <w:rsid w:val="00622ED9"/>
    <w:rsid w:val="00622FC0"/>
    <w:rsid w:val="00623006"/>
    <w:rsid w:val="00623055"/>
    <w:rsid w:val="006230A2"/>
    <w:rsid w:val="006235B8"/>
    <w:rsid w:val="0062360D"/>
    <w:rsid w:val="006237C1"/>
    <w:rsid w:val="006238BE"/>
    <w:rsid w:val="0062393C"/>
    <w:rsid w:val="00623AEC"/>
    <w:rsid w:val="00623E4A"/>
    <w:rsid w:val="00624167"/>
    <w:rsid w:val="006241AD"/>
    <w:rsid w:val="006241F4"/>
    <w:rsid w:val="0062426D"/>
    <w:rsid w:val="0062458D"/>
    <w:rsid w:val="00624699"/>
    <w:rsid w:val="0062476E"/>
    <w:rsid w:val="00624A35"/>
    <w:rsid w:val="00624CEA"/>
    <w:rsid w:val="00624FE3"/>
    <w:rsid w:val="0062517E"/>
    <w:rsid w:val="00625189"/>
    <w:rsid w:val="0062553F"/>
    <w:rsid w:val="0062555B"/>
    <w:rsid w:val="006258F6"/>
    <w:rsid w:val="0062645E"/>
    <w:rsid w:val="0062683E"/>
    <w:rsid w:val="006269ED"/>
    <w:rsid w:val="00626F67"/>
    <w:rsid w:val="006272B9"/>
    <w:rsid w:val="006272F1"/>
    <w:rsid w:val="006273E7"/>
    <w:rsid w:val="00627407"/>
    <w:rsid w:val="006277A0"/>
    <w:rsid w:val="006279BD"/>
    <w:rsid w:val="00627B25"/>
    <w:rsid w:val="00627B95"/>
    <w:rsid w:val="00627F5E"/>
    <w:rsid w:val="00627F99"/>
    <w:rsid w:val="006300B5"/>
    <w:rsid w:val="0063010C"/>
    <w:rsid w:val="0063011A"/>
    <w:rsid w:val="00630ABD"/>
    <w:rsid w:val="00630AD6"/>
    <w:rsid w:val="00630E73"/>
    <w:rsid w:val="00630FB3"/>
    <w:rsid w:val="00631231"/>
    <w:rsid w:val="006315DB"/>
    <w:rsid w:val="006316EE"/>
    <w:rsid w:val="006317F4"/>
    <w:rsid w:val="0063180E"/>
    <w:rsid w:val="006319CB"/>
    <w:rsid w:val="00631BC4"/>
    <w:rsid w:val="00631F15"/>
    <w:rsid w:val="0063217C"/>
    <w:rsid w:val="0063249B"/>
    <w:rsid w:val="0063249F"/>
    <w:rsid w:val="006324F9"/>
    <w:rsid w:val="006327AF"/>
    <w:rsid w:val="006328DC"/>
    <w:rsid w:val="006328ED"/>
    <w:rsid w:val="00632A57"/>
    <w:rsid w:val="00632B7F"/>
    <w:rsid w:val="006331DB"/>
    <w:rsid w:val="006332D9"/>
    <w:rsid w:val="006335B8"/>
    <w:rsid w:val="00633AF8"/>
    <w:rsid w:val="00633E70"/>
    <w:rsid w:val="006343F5"/>
    <w:rsid w:val="00634687"/>
    <w:rsid w:val="0063487B"/>
    <w:rsid w:val="006349BB"/>
    <w:rsid w:val="00634C16"/>
    <w:rsid w:val="00634DB8"/>
    <w:rsid w:val="00635017"/>
    <w:rsid w:val="00635301"/>
    <w:rsid w:val="006354F9"/>
    <w:rsid w:val="006355B9"/>
    <w:rsid w:val="006356DA"/>
    <w:rsid w:val="0063592D"/>
    <w:rsid w:val="00635AB8"/>
    <w:rsid w:val="00635B5C"/>
    <w:rsid w:val="00635C5D"/>
    <w:rsid w:val="006360DA"/>
    <w:rsid w:val="00636488"/>
    <w:rsid w:val="006364EF"/>
    <w:rsid w:val="00636514"/>
    <w:rsid w:val="006365FA"/>
    <w:rsid w:val="00636C56"/>
    <w:rsid w:val="00636F98"/>
    <w:rsid w:val="00636FCA"/>
    <w:rsid w:val="0063714E"/>
    <w:rsid w:val="006377CD"/>
    <w:rsid w:val="00637CCB"/>
    <w:rsid w:val="0064009B"/>
    <w:rsid w:val="00640710"/>
    <w:rsid w:val="0064073F"/>
    <w:rsid w:val="00640913"/>
    <w:rsid w:val="006412D1"/>
    <w:rsid w:val="006412D5"/>
    <w:rsid w:val="00641325"/>
    <w:rsid w:val="00641563"/>
    <w:rsid w:val="006415CD"/>
    <w:rsid w:val="00641B31"/>
    <w:rsid w:val="00641B9C"/>
    <w:rsid w:val="00641F77"/>
    <w:rsid w:val="00642005"/>
    <w:rsid w:val="006424F5"/>
    <w:rsid w:val="0064283B"/>
    <w:rsid w:val="0064293C"/>
    <w:rsid w:val="006429CF"/>
    <w:rsid w:val="00642D10"/>
    <w:rsid w:val="00642D39"/>
    <w:rsid w:val="00642E13"/>
    <w:rsid w:val="00643670"/>
    <w:rsid w:val="006438E8"/>
    <w:rsid w:val="00643966"/>
    <w:rsid w:val="00643C37"/>
    <w:rsid w:val="00643C4D"/>
    <w:rsid w:val="00643CA9"/>
    <w:rsid w:val="00644046"/>
    <w:rsid w:val="0064412E"/>
    <w:rsid w:val="00644656"/>
    <w:rsid w:val="00644677"/>
    <w:rsid w:val="0064493A"/>
    <w:rsid w:val="00644A42"/>
    <w:rsid w:val="00644CA4"/>
    <w:rsid w:val="00645008"/>
    <w:rsid w:val="0064517E"/>
    <w:rsid w:val="00645A61"/>
    <w:rsid w:val="00645A93"/>
    <w:rsid w:val="0064622A"/>
    <w:rsid w:val="0064626B"/>
    <w:rsid w:val="0064626D"/>
    <w:rsid w:val="00646387"/>
    <w:rsid w:val="006463FC"/>
    <w:rsid w:val="0064684A"/>
    <w:rsid w:val="00646A37"/>
    <w:rsid w:val="00646AB1"/>
    <w:rsid w:val="00646CDE"/>
    <w:rsid w:val="00646D93"/>
    <w:rsid w:val="00646DBF"/>
    <w:rsid w:val="0064702D"/>
    <w:rsid w:val="0064706F"/>
    <w:rsid w:val="006474B5"/>
    <w:rsid w:val="006479C4"/>
    <w:rsid w:val="00647F01"/>
    <w:rsid w:val="00650005"/>
    <w:rsid w:val="00650116"/>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7EA"/>
    <w:rsid w:val="0065199B"/>
    <w:rsid w:val="00651C57"/>
    <w:rsid w:val="00651DCA"/>
    <w:rsid w:val="00652003"/>
    <w:rsid w:val="00652128"/>
    <w:rsid w:val="00652623"/>
    <w:rsid w:val="006528C6"/>
    <w:rsid w:val="00652C2A"/>
    <w:rsid w:val="00652D69"/>
    <w:rsid w:val="00652EF1"/>
    <w:rsid w:val="006531AB"/>
    <w:rsid w:val="006531F7"/>
    <w:rsid w:val="0065329C"/>
    <w:rsid w:val="006536D2"/>
    <w:rsid w:val="0065389A"/>
    <w:rsid w:val="0065438F"/>
    <w:rsid w:val="006544DA"/>
    <w:rsid w:val="0065491F"/>
    <w:rsid w:val="00654B20"/>
    <w:rsid w:val="00654F3A"/>
    <w:rsid w:val="006550D7"/>
    <w:rsid w:val="00655785"/>
    <w:rsid w:val="006557F3"/>
    <w:rsid w:val="00655D15"/>
    <w:rsid w:val="00655D17"/>
    <w:rsid w:val="006567EB"/>
    <w:rsid w:val="00656A39"/>
    <w:rsid w:val="00656B4E"/>
    <w:rsid w:val="00656FA4"/>
    <w:rsid w:val="0065719D"/>
    <w:rsid w:val="00657381"/>
    <w:rsid w:val="006577E9"/>
    <w:rsid w:val="0066058E"/>
    <w:rsid w:val="00660684"/>
    <w:rsid w:val="006607D4"/>
    <w:rsid w:val="00660CD2"/>
    <w:rsid w:val="00660CD6"/>
    <w:rsid w:val="00660DCD"/>
    <w:rsid w:val="00660E0B"/>
    <w:rsid w:val="00660EB3"/>
    <w:rsid w:val="0066106E"/>
    <w:rsid w:val="006611F1"/>
    <w:rsid w:val="00661437"/>
    <w:rsid w:val="006616BD"/>
    <w:rsid w:val="00661AD4"/>
    <w:rsid w:val="00661BD9"/>
    <w:rsid w:val="00661D58"/>
    <w:rsid w:val="00661F30"/>
    <w:rsid w:val="00661F9A"/>
    <w:rsid w:val="006620C3"/>
    <w:rsid w:val="00662176"/>
    <w:rsid w:val="00662258"/>
    <w:rsid w:val="006626E6"/>
    <w:rsid w:val="006629A4"/>
    <w:rsid w:val="00662CF9"/>
    <w:rsid w:val="00662F1A"/>
    <w:rsid w:val="0066313C"/>
    <w:rsid w:val="00663893"/>
    <w:rsid w:val="00663C2D"/>
    <w:rsid w:val="00663D14"/>
    <w:rsid w:val="00663E49"/>
    <w:rsid w:val="00664068"/>
    <w:rsid w:val="00664445"/>
    <w:rsid w:val="0066449A"/>
    <w:rsid w:val="006645C7"/>
    <w:rsid w:val="0066472F"/>
    <w:rsid w:val="00664931"/>
    <w:rsid w:val="00664C79"/>
    <w:rsid w:val="00664CC4"/>
    <w:rsid w:val="00664FC0"/>
    <w:rsid w:val="00665096"/>
    <w:rsid w:val="00665288"/>
    <w:rsid w:val="00665382"/>
    <w:rsid w:val="006656C1"/>
    <w:rsid w:val="0066574B"/>
    <w:rsid w:val="006658D9"/>
    <w:rsid w:val="00665E08"/>
    <w:rsid w:val="00665F19"/>
    <w:rsid w:val="00666063"/>
    <w:rsid w:val="006660BE"/>
    <w:rsid w:val="0066628E"/>
    <w:rsid w:val="006664C6"/>
    <w:rsid w:val="0066686F"/>
    <w:rsid w:val="00666BA4"/>
    <w:rsid w:val="00666D67"/>
    <w:rsid w:val="00666E4E"/>
    <w:rsid w:val="00666E6B"/>
    <w:rsid w:val="00666ED9"/>
    <w:rsid w:val="00666F8E"/>
    <w:rsid w:val="00666FB1"/>
    <w:rsid w:val="006670BB"/>
    <w:rsid w:val="0066750B"/>
    <w:rsid w:val="00667731"/>
    <w:rsid w:val="00667AE7"/>
    <w:rsid w:val="00667B17"/>
    <w:rsid w:val="00667E09"/>
    <w:rsid w:val="006700D1"/>
    <w:rsid w:val="006700D2"/>
    <w:rsid w:val="0067015A"/>
    <w:rsid w:val="006704EA"/>
    <w:rsid w:val="006706FD"/>
    <w:rsid w:val="006709E8"/>
    <w:rsid w:val="00670B2D"/>
    <w:rsid w:val="00670D6C"/>
    <w:rsid w:val="00670D76"/>
    <w:rsid w:val="00670EA9"/>
    <w:rsid w:val="00671299"/>
    <w:rsid w:val="006714CD"/>
    <w:rsid w:val="00671767"/>
    <w:rsid w:val="006718FE"/>
    <w:rsid w:val="00671CE5"/>
    <w:rsid w:val="00671EE6"/>
    <w:rsid w:val="00671F90"/>
    <w:rsid w:val="0067262A"/>
    <w:rsid w:val="00672816"/>
    <w:rsid w:val="0067291D"/>
    <w:rsid w:val="0067293F"/>
    <w:rsid w:val="00672A65"/>
    <w:rsid w:val="00672EE7"/>
    <w:rsid w:val="00672F80"/>
    <w:rsid w:val="0067302E"/>
    <w:rsid w:val="00673178"/>
    <w:rsid w:val="00673268"/>
    <w:rsid w:val="0067378B"/>
    <w:rsid w:val="00673ABE"/>
    <w:rsid w:val="00674433"/>
    <w:rsid w:val="006744AB"/>
    <w:rsid w:val="006745AA"/>
    <w:rsid w:val="00674629"/>
    <w:rsid w:val="00674789"/>
    <w:rsid w:val="00674A92"/>
    <w:rsid w:val="00674C83"/>
    <w:rsid w:val="00675422"/>
    <w:rsid w:val="00675D63"/>
    <w:rsid w:val="00675DA2"/>
    <w:rsid w:val="0067641D"/>
    <w:rsid w:val="00676582"/>
    <w:rsid w:val="00676A27"/>
    <w:rsid w:val="00676A41"/>
    <w:rsid w:val="00676A47"/>
    <w:rsid w:val="00676A9E"/>
    <w:rsid w:val="00676ADF"/>
    <w:rsid w:val="00676C10"/>
    <w:rsid w:val="00676C58"/>
    <w:rsid w:val="00676D10"/>
    <w:rsid w:val="00676E16"/>
    <w:rsid w:val="006770FE"/>
    <w:rsid w:val="0067748F"/>
    <w:rsid w:val="00677555"/>
    <w:rsid w:val="006775B7"/>
    <w:rsid w:val="00677652"/>
    <w:rsid w:val="00677863"/>
    <w:rsid w:val="00677908"/>
    <w:rsid w:val="006779B4"/>
    <w:rsid w:val="006779B7"/>
    <w:rsid w:val="00677A0F"/>
    <w:rsid w:val="00677CAB"/>
    <w:rsid w:val="00677EAA"/>
    <w:rsid w:val="00680094"/>
    <w:rsid w:val="00680165"/>
    <w:rsid w:val="00680C58"/>
    <w:rsid w:val="00680C6A"/>
    <w:rsid w:val="00680DB8"/>
    <w:rsid w:val="00680F2D"/>
    <w:rsid w:val="00680F99"/>
    <w:rsid w:val="00681357"/>
    <w:rsid w:val="00681364"/>
    <w:rsid w:val="0068183E"/>
    <w:rsid w:val="00681B20"/>
    <w:rsid w:val="00682229"/>
    <w:rsid w:val="0068236E"/>
    <w:rsid w:val="006823BD"/>
    <w:rsid w:val="006824B1"/>
    <w:rsid w:val="006826BC"/>
    <w:rsid w:val="00682A67"/>
    <w:rsid w:val="00682C74"/>
    <w:rsid w:val="00682CFE"/>
    <w:rsid w:val="00682EE5"/>
    <w:rsid w:val="00682F71"/>
    <w:rsid w:val="00683165"/>
    <w:rsid w:val="006831DE"/>
    <w:rsid w:val="00683290"/>
    <w:rsid w:val="006835C8"/>
    <w:rsid w:val="0068395D"/>
    <w:rsid w:val="006839A5"/>
    <w:rsid w:val="00683BD0"/>
    <w:rsid w:val="006840EE"/>
    <w:rsid w:val="00684244"/>
    <w:rsid w:val="0068425E"/>
    <w:rsid w:val="006843D9"/>
    <w:rsid w:val="0068471B"/>
    <w:rsid w:val="006849B1"/>
    <w:rsid w:val="00684A0C"/>
    <w:rsid w:val="00684BD0"/>
    <w:rsid w:val="00684BDC"/>
    <w:rsid w:val="00684DE6"/>
    <w:rsid w:val="00684F84"/>
    <w:rsid w:val="006853D2"/>
    <w:rsid w:val="006854B7"/>
    <w:rsid w:val="00685556"/>
    <w:rsid w:val="006858AD"/>
    <w:rsid w:val="00685E0E"/>
    <w:rsid w:val="00685E19"/>
    <w:rsid w:val="006860AD"/>
    <w:rsid w:val="006860D9"/>
    <w:rsid w:val="00686321"/>
    <w:rsid w:val="00686621"/>
    <w:rsid w:val="00686647"/>
    <w:rsid w:val="00686708"/>
    <w:rsid w:val="0068759F"/>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79"/>
    <w:rsid w:val="006916C0"/>
    <w:rsid w:val="006916C2"/>
    <w:rsid w:val="006919DF"/>
    <w:rsid w:val="00691D13"/>
    <w:rsid w:val="00691E3B"/>
    <w:rsid w:val="00691E5D"/>
    <w:rsid w:val="00691ECF"/>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5F0"/>
    <w:rsid w:val="00694643"/>
    <w:rsid w:val="00694B27"/>
    <w:rsid w:val="00694E9A"/>
    <w:rsid w:val="006952A1"/>
    <w:rsid w:val="0069584A"/>
    <w:rsid w:val="006959AE"/>
    <w:rsid w:val="006959FA"/>
    <w:rsid w:val="00695AA2"/>
    <w:rsid w:val="00695B64"/>
    <w:rsid w:val="00695DEC"/>
    <w:rsid w:val="00696208"/>
    <w:rsid w:val="00696209"/>
    <w:rsid w:val="0069649B"/>
    <w:rsid w:val="00696607"/>
    <w:rsid w:val="006966DF"/>
    <w:rsid w:val="0069684D"/>
    <w:rsid w:val="00696972"/>
    <w:rsid w:val="00696F2D"/>
    <w:rsid w:val="00696F93"/>
    <w:rsid w:val="00696FD3"/>
    <w:rsid w:val="006975B6"/>
    <w:rsid w:val="00697683"/>
    <w:rsid w:val="00697CF2"/>
    <w:rsid w:val="006A01B8"/>
    <w:rsid w:val="006A0497"/>
    <w:rsid w:val="006A0504"/>
    <w:rsid w:val="006A064A"/>
    <w:rsid w:val="006A071E"/>
    <w:rsid w:val="006A0729"/>
    <w:rsid w:val="006A087F"/>
    <w:rsid w:val="006A09D7"/>
    <w:rsid w:val="006A1197"/>
    <w:rsid w:val="006A1599"/>
    <w:rsid w:val="006A186E"/>
    <w:rsid w:val="006A19B3"/>
    <w:rsid w:val="006A1A16"/>
    <w:rsid w:val="006A1ABA"/>
    <w:rsid w:val="006A1C75"/>
    <w:rsid w:val="006A1EFD"/>
    <w:rsid w:val="006A21D7"/>
    <w:rsid w:val="006A236D"/>
    <w:rsid w:val="006A243D"/>
    <w:rsid w:val="006A27F2"/>
    <w:rsid w:val="006A2844"/>
    <w:rsid w:val="006A2F3A"/>
    <w:rsid w:val="006A3147"/>
    <w:rsid w:val="006A3220"/>
    <w:rsid w:val="006A3452"/>
    <w:rsid w:val="006A394E"/>
    <w:rsid w:val="006A3C33"/>
    <w:rsid w:val="006A3F13"/>
    <w:rsid w:val="006A3FD1"/>
    <w:rsid w:val="006A43F9"/>
    <w:rsid w:val="006A44DD"/>
    <w:rsid w:val="006A4554"/>
    <w:rsid w:val="006A45FA"/>
    <w:rsid w:val="006A4C80"/>
    <w:rsid w:val="006A4F6C"/>
    <w:rsid w:val="006A4FE7"/>
    <w:rsid w:val="006A5139"/>
    <w:rsid w:val="006A52BF"/>
    <w:rsid w:val="006A554F"/>
    <w:rsid w:val="006A56C0"/>
    <w:rsid w:val="006A5B54"/>
    <w:rsid w:val="006A5E70"/>
    <w:rsid w:val="006A6145"/>
    <w:rsid w:val="006A630D"/>
    <w:rsid w:val="006A6526"/>
    <w:rsid w:val="006A6958"/>
    <w:rsid w:val="006A6A8D"/>
    <w:rsid w:val="006A6D61"/>
    <w:rsid w:val="006A6EF8"/>
    <w:rsid w:val="006A711F"/>
    <w:rsid w:val="006A7168"/>
    <w:rsid w:val="006A734F"/>
    <w:rsid w:val="006A7752"/>
    <w:rsid w:val="006A7958"/>
    <w:rsid w:val="006A7BA7"/>
    <w:rsid w:val="006B01CD"/>
    <w:rsid w:val="006B01EA"/>
    <w:rsid w:val="006B0460"/>
    <w:rsid w:val="006B06A5"/>
    <w:rsid w:val="006B06E6"/>
    <w:rsid w:val="006B0742"/>
    <w:rsid w:val="006B09A7"/>
    <w:rsid w:val="006B0AB1"/>
    <w:rsid w:val="006B0D7B"/>
    <w:rsid w:val="006B126D"/>
    <w:rsid w:val="006B17D7"/>
    <w:rsid w:val="006B1C48"/>
    <w:rsid w:val="006B22CB"/>
    <w:rsid w:val="006B2436"/>
    <w:rsid w:val="006B25D9"/>
    <w:rsid w:val="006B2EC3"/>
    <w:rsid w:val="006B2F97"/>
    <w:rsid w:val="006B2FBD"/>
    <w:rsid w:val="006B308E"/>
    <w:rsid w:val="006B336C"/>
    <w:rsid w:val="006B33EC"/>
    <w:rsid w:val="006B375A"/>
    <w:rsid w:val="006B3B2D"/>
    <w:rsid w:val="006B3E90"/>
    <w:rsid w:val="006B432B"/>
    <w:rsid w:val="006B463F"/>
    <w:rsid w:val="006B46B0"/>
    <w:rsid w:val="006B478C"/>
    <w:rsid w:val="006B478F"/>
    <w:rsid w:val="006B47A1"/>
    <w:rsid w:val="006B51FC"/>
    <w:rsid w:val="006B59A1"/>
    <w:rsid w:val="006B5A89"/>
    <w:rsid w:val="006B5B30"/>
    <w:rsid w:val="006B5EC8"/>
    <w:rsid w:val="006B5F0C"/>
    <w:rsid w:val="006B6026"/>
    <w:rsid w:val="006B616B"/>
    <w:rsid w:val="006B64AF"/>
    <w:rsid w:val="006B665B"/>
    <w:rsid w:val="006B668E"/>
    <w:rsid w:val="006B6918"/>
    <w:rsid w:val="006B6AAE"/>
    <w:rsid w:val="006B6B5D"/>
    <w:rsid w:val="006B6D8E"/>
    <w:rsid w:val="006B6DF1"/>
    <w:rsid w:val="006B6EB1"/>
    <w:rsid w:val="006B6FB2"/>
    <w:rsid w:val="006B7254"/>
    <w:rsid w:val="006B72AD"/>
    <w:rsid w:val="006B7309"/>
    <w:rsid w:val="006B75D1"/>
    <w:rsid w:val="006B7662"/>
    <w:rsid w:val="006B7742"/>
    <w:rsid w:val="006B78A0"/>
    <w:rsid w:val="006B78E7"/>
    <w:rsid w:val="006B7A6C"/>
    <w:rsid w:val="006B7B29"/>
    <w:rsid w:val="006C0705"/>
    <w:rsid w:val="006C09C4"/>
    <w:rsid w:val="006C0A3F"/>
    <w:rsid w:val="006C0DAF"/>
    <w:rsid w:val="006C0EE4"/>
    <w:rsid w:val="006C0F09"/>
    <w:rsid w:val="006C1068"/>
    <w:rsid w:val="006C1087"/>
    <w:rsid w:val="006C11A9"/>
    <w:rsid w:val="006C1555"/>
    <w:rsid w:val="006C1676"/>
    <w:rsid w:val="006C2437"/>
    <w:rsid w:val="006C2505"/>
    <w:rsid w:val="006C2736"/>
    <w:rsid w:val="006C278E"/>
    <w:rsid w:val="006C2FC6"/>
    <w:rsid w:val="006C3019"/>
    <w:rsid w:val="006C333C"/>
    <w:rsid w:val="006C340A"/>
    <w:rsid w:val="006C36B1"/>
    <w:rsid w:val="006C37AC"/>
    <w:rsid w:val="006C37AD"/>
    <w:rsid w:val="006C3A7A"/>
    <w:rsid w:val="006C3AF0"/>
    <w:rsid w:val="006C40CA"/>
    <w:rsid w:val="006C40E3"/>
    <w:rsid w:val="006C4269"/>
    <w:rsid w:val="006C4409"/>
    <w:rsid w:val="006C44A7"/>
    <w:rsid w:val="006C45D4"/>
    <w:rsid w:val="006C4B74"/>
    <w:rsid w:val="006C4D89"/>
    <w:rsid w:val="006C504A"/>
    <w:rsid w:val="006C56C3"/>
    <w:rsid w:val="006C578F"/>
    <w:rsid w:val="006C594F"/>
    <w:rsid w:val="006C6014"/>
    <w:rsid w:val="006C611E"/>
    <w:rsid w:val="006C6678"/>
    <w:rsid w:val="006C6706"/>
    <w:rsid w:val="006C696E"/>
    <w:rsid w:val="006C69A1"/>
    <w:rsid w:val="006C6B17"/>
    <w:rsid w:val="006C6BFE"/>
    <w:rsid w:val="006C7047"/>
    <w:rsid w:val="006C7068"/>
    <w:rsid w:val="006C72D9"/>
    <w:rsid w:val="006C737B"/>
    <w:rsid w:val="006C784D"/>
    <w:rsid w:val="006C7AB1"/>
    <w:rsid w:val="006C7B1C"/>
    <w:rsid w:val="006C7B69"/>
    <w:rsid w:val="006C7C73"/>
    <w:rsid w:val="006D01B7"/>
    <w:rsid w:val="006D04DC"/>
    <w:rsid w:val="006D0B37"/>
    <w:rsid w:val="006D0BC0"/>
    <w:rsid w:val="006D0C4A"/>
    <w:rsid w:val="006D0D3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C76"/>
    <w:rsid w:val="006D2D3E"/>
    <w:rsid w:val="006D31FC"/>
    <w:rsid w:val="006D388D"/>
    <w:rsid w:val="006D39CE"/>
    <w:rsid w:val="006D3F01"/>
    <w:rsid w:val="006D408C"/>
    <w:rsid w:val="006D4379"/>
    <w:rsid w:val="006D44F3"/>
    <w:rsid w:val="006D44FE"/>
    <w:rsid w:val="006D4543"/>
    <w:rsid w:val="006D45B4"/>
    <w:rsid w:val="006D4874"/>
    <w:rsid w:val="006D4942"/>
    <w:rsid w:val="006D4BE5"/>
    <w:rsid w:val="006D4D27"/>
    <w:rsid w:val="006D4E69"/>
    <w:rsid w:val="006D50E6"/>
    <w:rsid w:val="006D53F9"/>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E00A6"/>
    <w:rsid w:val="006E01F0"/>
    <w:rsid w:val="006E0475"/>
    <w:rsid w:val="006E0600"/>
    <w:rsid w:val="006E08FF"/>
    <w:rsid w:val="006E0BB0"/>
    <w:rsid w:val="006E104F"/>
    <w:rsid w:val="006E140D"/>
    <w:rsid w:val="006E1451"/>
    <w:rsid w:val="006E150D"/>
    <w:rsid w:val="006E1561"/>
    <w:rsid w:val="006E15F1"/>
    <w:rsid w:val="006E192B"/>
    <w:rsid w:val="006E1C04"/>
    <w:rsid w:val="006E2033"/>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640"/>
    <w:rsid w:val="006E374E"/>
    <w:rsid w:val="006E3B13"/>
    <w:rsid w:val="006E4009"/>
    <w:rsid w:val="006E40D3"/>
    <w:rsid w:val="006E430A"/>
    <w:rsid w:val="006E460B"/>
    <w:rsid w:val="006E47F7"/>
    <w:rsid w:val="006E4AE9"/>
    <w:rsid w:val="006E4AEA"/>
    <w:rsid w:val="006E4C8C"/>
    <w:rsid w:val="006E4D2F"/>
    <w:rsid w:val="006E4E92"/>
    <w:rsid w:val="006E4EB1"/>
    <w:rsid w:val="006E5195"/>
    <w:rsid w:val="006E52CC"/>
    <w:rsid w:val="006E52DD"/>
    <w:rsid w:val="006E54B2"/>
    <w:rsid w:val="006E55E2"/>
    <w:rsid w:val="006E55EC"/>
    <w:rsid w:val="006E564B"/>
    <w:rsid w:val="006E56E9"/>
    <w:rsid w:val="006E59BE"/>
    <w:rsid w:val="006E5A63"/>
    <w:rsid w:val="006E5CDD"/>
    <w:rsid w:val="006E5EEC"/>
    <w:rsid w:val="006E6093"/>
    <w:rsid w:val="006E654E"/>
    <w:rsid w:val="006E6887"/>
    <w:rsid w:val="006E69A7"/>
    <w:rsid w:val="006E6CB5"/>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BCC"/>
    <w:rsid w:val="006F1EE6"/>
    <w:rsid w:val="006F1F18"/>
    <w:rsid w:val="006F216B"/>
    <w:rsid w:val="006F2B41"/>
    <w:rsid w:val="006F2DD9"/>
    <w:rsid w:val="006F331C"/>
    <w:rsid w:val="006F3489"/>
    <w:rsid w:val="006F35E8"/>
    <w:rsid w:val="006F391F"/>
    <w:rsid w:val="006F3B7C"/>
    <w:rsid w:val="006F3C41"/>
    <w:rsid w:val="006F414F"/>
    <w:rsid w:val="006F4261"/>
    <w:rsid w:val="006F4467"/>
    <w:rsid w:val="006F4C54"/>
    <w:rsid w:val="006F4CB6"/>
    <w:rsid w:val="006F51B2"/>
    <w:rsid w:val="006F51BB"/>
    <w:rsid w:val="006F525E"/>
    <w:rsid w:val="006F568B"/>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70F5"/>
    <w:rsid w:val="006F7241"/>
    <w:rsid w:val="006F72C1"/>
    <w:rsid w:val="006F7301"/>
    <w:rsid w:val="006F739C"/>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AA9"/>
    <w:rsid w:val="00702F43"/>
    <w:rsid w:val="00703642"/>
    <w:rsid w:val="00703895"/>
    <w:rsid w:val="00703897"/>
    <w:rsid w:val="00703B70"/>
    <w:rsid w:val="00703F5B"/>
    <w:rsid w:val="00704063"/>
    <w:rsid w:val="007040F9"/>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8FB"/>
    <w:rsid w:val="0070691B"/>
    <w:rsid w:val="007069F5"/>
    <w:rsid w:val="00706C50"/>
    <w:rsid w:val="00706E75"/>
    <w:rsid w:val="00707104"/>
    <w:rsid w:val="0070710C"/>
    <w:rsid w:val="007079C2"/>
    <w:rsid w:val="00707A21"/>
    <w:rsid w:val="00707D46"/>
    <w:rsid w:val="00707EA0"/>
    <w:rsid w:val="00707EEB"/>
    <w:rsid w:val="00707F63"/>
    <w:rsid w:val="0071002F"/>
    <w:rsid w:val="00710087"/>
    <w:rsid w:val="00710207"/>
    <w:rsid w:val="0071052C"/>
    <w:rsid w:val="00710900"/>
    <w:rsid w:val="00710E0E"/>
    <w:rsid w:val="00710E1A"/>
    <w:rsid w:val="00711034"/>
    <w:rsid w:val="0071174E"/>
    <w:rsid w:val="007119FE"/>
    <w:rsid w:val="00711A13"/>
    <w:rsid w:val="00711BA1"/>
    <w:rsid w:val="007121B1"/>
    <w:rsid w:val="00712311"/>
    <w:rsid w:val="00712334"/>
    <w:rsid w:val="00712560"/>
    <w:rsid w:val="00712D40"/>
    <w:rsid w:val="00712EE9"/>
    <w:rsid w:val="00713288"/>
    <w:rsid w:val="0071330C"/>
    <w:rsid w:val="0071395B"/>
    <w:rsid w:val="0071407F"/>
    <w:rsid w:val="007142AB"/>
    <w:rsid w:val="00714477"/>
    <w:rsid w:val="0071453F"/>
    <w:rsid w:val="007146A4"/>
    <w:rsid w:val="007146AA"/>
    <w:rsid w:val="0071488B"/>
    <w:rsid w:val="00714987"/>
    <w:rsid w:val="00715046"/>
    <w:rsid w:val="007150B5"/>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C0D"/>
    <w:rsid w:val="00716DB9"/>
    <w:rsid w:val="00716DE2"/>
    <w:rsid w:val="00716EA3"/>
    <w:rsid w:val="0071721F"/>
    <w:rsid w:val="007173EA"/>
    <w:rsid w:val="00717553"/>
    <w:rsid w:val="00717651"/>
    <w:rsid w:val="007177B1"/>
    <w:rsid w:val="007177C3"/>
    <w:rsid w:val="00717911"/>
    <w:rsid w:val="00717C65"/>
    <w:rsid w:val="007200DB"/>
    <w:rsid w:val="00720106"/>
    <w:rsid w:val="00720C27"/>
    <w:rsid w:val="007212ED"/>
    <w:rsid w:val="007214DF"/>
    <w:rsid w:val="007214EA"/>
    <w:rsid w:val="0072157F"/>
    <w:rsid w:val="0072169F"/>
    <w:rsid w:val="00721E51"/>
    <w:rsid w:val="00721E71"/>
    <w:rsid w:val="00722124"/>
    <w:rsid w:val="0072219A"/>
    <w:rsid w:val="00722751"/>
    <w:rsid w:val="007227C1"/>
    <w:rsid w:val="007228AE"/>
    <w:rsid w:val="007229CD"/>
    <w:rsid w:val="00722AAF"/>
    <w:rsid w:val="00722D54"/>
    <w:rsid w:val="00722E67"/>
    <w:rsid w:val="00722E99"/>
    <w:rsid w:val="00723149"/>
    <w:rsid w:val="00723210"/>
    <w:rsid w:val="007232B2"/>
    <w:rsid w:val="00723313"/>
    <w:rsid w:val="00723B50"/>
    <w:rsid w:val="00724351"/>
    <w:rsid w:val="00724A1C"/>
    <w:rsid w:val="007250F7"/>
    <w:rsid w:val="007253E7"/>
    <w:rsid w:val="00725655"/>
    <w:rsid w:val="0072596B"/>
    <w:rsid w:val="00725DC6"/>
    <w:rsid w:val="00725EAC"/>
    <w:rsid w:val="00726246"/>
    <w:rsid w:val="00726261"/>
    <w:rsid w:val="0072634B"/>
    <w:rsid w:val="00726358"/>
    <w:rsid w:val="00726413"/>
    <w:rsid w:val="0072651D"/>
    <w:rsid w:val="007265B1"/>
    <w:rsid w:val="00726718"/>
    <w:rsid w:val="0072683B"/>
    <w:rsid w:val="00726ABE"/>
    <w:rsid w:val="00726AC0"/>
    <w:rsid w:val="00726CE5"/>
    <w:rsid w:val="00726D20"/>
    <w:rsid w:val="00726DF5"/>
    <w:rsid w:val="007271FE"/>
    <w:rsid w:val="0072741E"/>
    <w:rsid w:val="007276BF"/>
    <w:rsid w:val="007277DD"/>
    <w:rsid w:val="00727BA6"/>
    <w:rsid w:val="00727DF1"/>
    <w:rsid w:val="00727F75"/>
    <w:rsid w:val="007300AE"/>
    <w:rsid w:val="00730129"/>
    <w:rsid w:val="00730411"/>
    <w:rsid w:val="00730698"/>
    <w:rsid w:val="0073087A"/>
    <w:rsid w:val="00730AD1"/>
    <w:rsid w:val="00730C14"/>
    <w:rsid w:val="00730D17"/>
    <w:rsid w:val="00730E8F"/>
    <w:rsid w:val="00730FF6"/>
    <w:rsid w:val="0073112A"/>
    <w:rsid w:val="00731160"/>
    <w:rsid w:val="00731172"/>
    <w:rsid w:val="0073133E"/>
    <w:rsid w:val="00731661"/>
    <w:rsid w:val="00731989"/>
    <w:rsid w:val="00731A60"/>
    <w:rsid w:val="00731B21"/>
    <w:rsid w:val="00731B7B"/>
    <w:rsid w:val="00731BB1"/>
    <w:rsid w:val="00731E40"/>
    <w:rsid w:val="007321B2"/>
    <w:rsid w:val="007323FA"/>
    <w:rsid w:val="00732438"/>
    <w:rsid w:val="007325EF"/>
    <w:rsid w:val="00732781"/>
    <w:rsid w:val="00732801"/>
    <w:rsid w:val="00732A20"/>
    <w:rsid w:val="00732A38"/>
    <w:rsid w:val="00732A59"/>
    <w:rsid w:val="00732CF4"/>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82A"/>
    <w:rsid w:val="00736A9C"/>
    <w:rsid w:val="00736D06"/>
    <w:rsid w:val="00736D84"/>
    <w:rsid w:val="00736DD9"/>
    <w:rsid w:val="007370EC"/>
    <w:rsid w:val="007370FF"/>
    <w:rsid w:val="00737C09"/>
    <w:rsid w:val="00737C63"/>
    <w:rsid w:val="00737C7B"/>
    <w:rsid w:val="00737E77"/>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748"/>
    <w:rsid w:val="0074291D"/>
    <w:rsid w:val="00742977"/>
    <w:rsid w:val="00742A51"/>
    <w:rsid w:val="00742D91"/>
    <w:rsid w:val="00742E79"/>
    <w:rsid w:val="0074302E"/>
    <w:rsid w:val="0074305E"/>
    <w:rsid w:val="00743131"/>
    <w:rsid w:val="007432F2"/>
    <w:rsid w:val="0074355B"/>
    <w:rsid w:val="00743693"/>
    <w:rsid w:val="00744EB9"/>
    <w:rsid w:val="00744F36"/>
    <w:rsid w:val="00745030"/>
    <w:rsid w:val="00745453"/>
    <w:rsid w:val="0074554B"/>
    <w:rsid w:val="0074569F"/>
    <w:rsid w:val="007456AA"/>
    <w:rsid w:val="00745754"/>
    <w:rsid w:val="007457D7"/>
    <w:rsid w:val="00745990"/>
    <w:rsid w:val="007460A3"/>
    <w:rsid w:val="00746224"/>
    <w:rsid w:val="007462D1"/>
    <w:rsid w:val="00746645"/>
    <w:rsid w:val="0074694F"/>
    <w:rsid w:val="00746B57"/>
    <w:rsid w:val="00746B70"/>
    <w:rsid w:val="00746CE6"/>
    <w:rsid w:val="00746D07"/>
    <w:rsid w:val="00746F87"/>
    <w:rsid w:val="00747081"/>
    <w:rsid w:val="0074709C"/>
    <w:rsid w:val="007472D2"/>
    <w:rsid w:val="00747337"/>
    <w:rsid w:val="0074733F"/>
    <w:rsid w:val="00747474"/>
    <w:rsid w:val="007476A3"/>
    <w:rsid w:val="00747983"/>
    <w:rsid w:val="007479A4"/>
    <w:rsid w:val="00747A2B"/>
    <w:rsid w:val="00747AEC"/>
    <w:rsid w:val="00747B8F"/>
    <w:rsid w:val="0075074F"/>
    <w:rsid w:val="007508A7"/>
    <w:rsid w:val="007509FA"/>
    <w:rsid w:val="00750A30"/>
    <w:rsid w:val="00750EE9"/>
    <w:rsid w:val="00751063"/>
    <w:rsid w:val="00751398"/>
    <w:rsid w:val="0075149B"/>
    <w:rsid w:val="00751686"/>
    <w:rsid w:val="007516E2"/>
    <w:rsid w:val="00751E63"/>
    <w:rsid w:val="00751E6D"/>
    <w:rsid w:val="00751F70"/>
    <w:rsid w:val="007524A3"/>
    <w:rsid w:val="0075267C"/>
    <w:rsid w:val="007527C5"/>
    <w:rsid w:val="00752BFC"/>
    <w:rsid w:val="0075323D"/>
    <w:rsid w:val="00753580"/>
    <w:rsid w:val="00753905"/>
    <w:rsid w:val="00753D26"/>
    <w:rsid w:val="00753E75"/>
    <w:rsid w:val="00753F3B"/>
    <w:rsid w:val="00753FD8"/>
    <w:rsid w:val="00754183"/>
    <w:rsid w:val="007542EF"/>
    <w:rsid w:val="0075431B"/>
    <w:rsid w:val="0075453D"/>
    <w:rsid w:val="0075485D"/>
    <w:rsid w:val="007550A8"/>
    <w:rsid w:val="0075528B"/>
    <w:rsid w:val="007552AF"/>
    <w:rsid w:val="00755367"/>
    <w:rsid w:val="00755ABB"/>
    <w:rsid w:val="00755B08"/>
    <w:rsid w:val="0075612D"/>
    <w:rsid w:val="007562E3"/>
    <w:rsid w:val="0075636B"/>
    <w:rsid w:val="00756443"/>
    <w:rsid w:val="00756880"/>
    <w:rsid w:val="00756A86"/>
    <w:rsid w:val="007574F4"/>
    <w:rsid w:val="0075783B"/>
    <w:rsid w:val="007578A8"/>
    <w:rsid w:val="00757E9F"/>
    <w:rsid w:val="00757FEF"/>
    <w:rsid w:val="00760228"/>
    <w:rsid w:val="007603A9"/>
    <w:rsid w:val="00760880"/>
    <w:rsid w:val="00760A94"/>
    <w:rsid w:val="007615A5"/>
    <w:rsid w:val="0076166E"/>
    <w:rsid w:val="00761709"/>
    <w:rsid w:val="00761891"/>
    <w:rsid w:val="00761944"/>
    <w:rsid w:val="00761978"/>
    <w:rsid w:val="00761E3A"/>
    <w:rsid w:val="00761FB3"/>
    <w:rsid w:val="0076205D"/>
    <w:rsid w:val="007624A7"/>
    <w:rsid w:val="00763296"/>
    <w:rsid w:val="0076339C"/>
    <w:rsid w:val="007633AE"/>
    <w:rsid w:val="0076358B"/>
    <w:rsid w:val="0076361D"/>
    <w:rsid w:val="007638B8"/>
    <w:rsid w:val="007639A1"/>
    <w:rsid w:val="00763AA9"/>
    <w:rsid w:val="007640DC"/>
    <w:rsid w:val="0076412F"/>
    <w:rsid w:val="007641CD"/>
    <w:rsid w:val="007644B8"/>
    <w:rsid w:val="007648BF"/>
    <w:rsid w:val="00764A03"/>
    <w:rsid w:val="00764DEE"/>
    <w:rsid w:val="007650F8"/>
    <w:rsid w:val="00765464"/>
    <w:rsid w:val="007654A3"/>
    <w:rsid w:val="00765564"/>
    <w:rsid w:val="00765778"/>
    <w:rsid w:val="00765869"/>
    <w:rsid w:val="00765897"/>
    <w:rsid w:val="0076594D"/>
    <w:rsid w:val="00765D23"/>
    <w:rsid w:val="007660C5"/>
    <w:rsid w:val="00766100"/>
    <w:rsid w:val="00766266"/>
    <w:rsid w:val="007662A3"/>
    <w:rsid w:val="0076632C"/>
    <w:rsid w:val="00766512"/>
    <w:rsid w:val="00766D8C"/>
    <w:rsid w:val="00767384"/>
    <w:rsid w:val="007676AA"/>
    <w:rsid w:val="00767B55"/>
    <w:rsid w:val="00767F4A"/>
    <w:rsid w:val="00770067"/>
    <w:rsid w:val="0077028E"/>
    <w:rsid w:val="007702B9"/>
    <w:rsid w:val="007708A2"/>
    <w:rsid w:val="007708A4"/>
    <w:rsid w:val="00770953"/>
    <w:rsid w:val="00770EC7"/>
    <w:rsid w:val="00770FAB"/>
    <w:rsid w:val="00771144"/>
    <w:rsid w:val="007712B4"/>
    <w:rsid w:val="007713B5"/>
    <w:rsid w:val="007716C6"/>
    <w:rsid w:val="00771AAB"/>
    <w:rsid w:val="00771DB7"/>
    <w:rsid w:val="00771FF3"/>
    <w:rsid w:val="00772266"/>
    <w:rsid w:val="0077263F"/>
    <w:rsid w:val="007726F9"/>
    <w:rsid w:val="00772755"/>
    <w:rsid w:val="00772E40"/>
    <w:rsid w:val="00772FD3"/>
    <w:rsid w:val="007732A9"/>
    <w:rsid w:val="007737A2"/>
    <w:rsid w:val="00773999"/>
    <w:rsid w:val="00774061"/>
    <w:rsid w:val="007740DD"/>
    <w:rsid w:val="00774125"/>
    <w:rsid w:val="0077481D"/>
    <w:rsid w:val="00774888"/>
    <w:rsid w:val="00774C84"/>
    <w:rsid w:val="00774F1E"/>
    <w:rsid w:val="007750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66D"/>
    <w:rsid w:val="007776DF"/>
    <w:rsid w:val="00777B78"/>
    <w:rsid w:val="00777BA5"/>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096"/>
    <w:rsid w:val="0078157F"/>
    <w:rsid w:val="007815B3"/>
    <w:rsid w:val="00781B8B"/>
    <w:rsid w:val="00781DF7"/>
    <w:rsid w:val="00781EFC"/>
    <w:rsid w:val="00781F3D"/>
    <w:rsid w:val="007822B6"/>
    <w:rsid w:val="007823B0"/>
    <w:rsid w:val="00782434"/>
    <w:rsid w:val="00782816"/>
    <w:rsid w:val="00782892"/>
    <w:rsid w:val="00782B7F"/>
    <w:rsid w:val="00782BD4"/>
    <w:rsid w:val="00782C43"/>
    <w:rsid w:val="00782E94"/>
    <w:rsid w:val="00782E9E"/>
    <w:rsid w:val="007830FE"/>
    <w:rsid w:val="00783112"/>
    <w:rsid w:val="0078313E"/>
    <w:rsid w:val="0078330A"/>
    <w:rsid w:val="00783930"/>
    <w:rsid w:val="00783BFC"/>
    <w:rsid w:val="00783C41"/>
    <w:rsid w:val="00783FFB"/>
    <w:rsid w:val="00784103"/>
    <w:rsid w:val="0078415A"/>
    <w:rsid w:val="007842BE"/>
    <w:rsid w:val="0078431E"/>
    <w:rsid w:val="0078441F"/>
    <w:rsid w:val="00784535"/>
    <w:rsid w:val="007849C1"/>
    <w:rsid w:val="00784B68"/>
    <w:rsid w:val="00784F66"/>
    <w:rsid w:val="007850F2"/>
    <w:rsid w:val="00785238"/>
    <w:rsid w:val="007853AB"/>
    <w:rsid w:val="007856E0"/>
    <w:rsid w:val="007858EF"/>
    <w:rsid w:val="00785F07"/>
    <w:rsid w:val="00786060"/>
    <w:rsid w:val="00786596"/>
    <w:rsid w:val="00786C46"/>
    <w:rsid w:val="00786DC4"/>
    <w:rsid w:val="00787056"/>
    <w:rsid w:val="007871A2"/>
    <w:rsid w:val="007874AA"/>
    <w:rsid w:val="007874BD"/>
    <w:rsid w:val="0078790B"/>
    <w:rsid w:val="00787930"/>
    <w:rsid w:val="00787E6B"/>
    <w:rsid w:val="00787EA5"/>
    <w:rsid w:val="00787EEF"/>
    <w:rsid w:val="00787F75"/>
    <w:rsid w:val="00787FAC"/>
    <w:rsid w:val="0079048C"/>
    <w:rsid w:val="0079050B"/>
    <w:rsid w:val="00790560"/>
    <w:rsid w:val="007907D1"/>
    <w:rsid w:val="00790B73"/>
    <w:rsid w:val="00790BB7"/>
    <w:rsid w:val="00790BD5"/>
    <w:rsid w:val="00790C52"/>
    <w:rsid w:val="0079113E"/>
    <w:rsid w:val="00791563"/>
    <w:rsid w:val="0079175E"/>
    <w:rsid w:val="00791D2B"/>
    <w:rsid w:val="00792315"/>
    <w:rsid w:val="00792485"/>
    <w:rsid w:val="00792753"/>
    <w:rsid w:val="00792C0A"/>
    <w:rsid w:val="00792E14"/>
    <w:rsid w:val="00792F21"/>
    <w:rsid w:val="0079343F"/>
    <w:rsid w:val="007934B5"/>
    <w:rsid w:val="007935B3"/>
    <w:rsid w:val="007935D4"/>
    <w:rsid w:val="007936CC"/>
    <w:rsid w:val="00793963"/>
    <w:rsid w:val="00793A50"/>
    <w:rsid w:val="00793CD9"/>
    <w:rsid w:val="00793F48"/>
    <w:rsid w:val="007940BE"/>
    <w:rsid w:val="0079430F"/>
    <w:rsid w:val="00794744"/>
    <w:rsid w:val="0079490D"/>
    <w:rsid w:val="00794BAF"/>
    <w:rsid w:val="00794C0E"/>
    <w:rsid w:val="00795426"/>
    <w:rsid w:val="007957A7"/>
    <w:rsid w:val="00795FE1"/>
    <w:rsid w:val="007966FB"/>
    <w:rsid w:val="007969C5"/>
    <w:rsid w:val="00796B02"/>
    <w:rsid w:val="00796B04"/>
    <w:rsid w:val="00796FC1"/>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0C37"/>
    <w:rsid w:val="007A1171"/>
    <w:rsid w:val="007A1397"/>
    <w:rsid w:val="007A14EE"/>
    <w:rsid w:val="007A159D"/>
    <w:rsid w:val="007A15A2"/>
    <w:rsid w:val="007A15EE"/>
    <w:rsid w:val="007A1660"/>
    <w:rsid w:val="007A1ECC"/>
    <w:rsid w:val="007A21C0"/>
    <w:rsid w:val="007A23C1"/>
    <w:rsid w:val="007A24E3"/>
    <w:rsid w:val="007A3055"/>
    <w:rsid w:val="007A34AC"/>
    <w:rsid w:val="007A375E"/>
    <w:rsid w:val="007A378A"/>
    <w:rsid w:val="007A379E"/>
    <w:rsid w:val="007A383B"/>
    <w:rsid w:val="007A389A"/>
    <w:rsid w:val="007A3AF0"/>
    <w:rsid w:val="007A3BA0"/>
    <w:rsid w:val="007A3BF2"/>
    <w:rsid w:val="007A3EF7"/>
    <w:rsid w:val="007A3F6D"/>
    <w:rsid w:val="007A40F5"/>
    <w:rsid w:val="007A4282"/>
    <w:rsid w:val="007A42E8"/>
    <w:rsid w:val="007A49D8"/>
    <w:rsid w:val="007A4A1A"/>
    <w:rsid w:val="007A4C0A"/>
    <w:rsid w:val="007A4C80"/>
    <w:rsid w:val="007A4DDC"/>
    <w:rsid w:val="007A4DFA"/>
    <w:rsid w:val="007A5042"/>
    <w:rsid w:val="007A53DC"/>
    <w:rsid w:val="007A552D"/>
    <w:rsid w:val="007A5A26"/>
    <w:rsid w:val="007A5A3C"/>
    <w:rsid w:val="007A5F08"/>
    <w:rsid w:val="007A5F3F"/>
    <w:rsid w:val="007A6138"/>
    <w:rsid w:val="007A63C9"/>
    <w:rsid w:val="007A67E6"/>
    <w:rsid w:val="007A68E6"/>
    <w:rsid w:val="007A732F"/>
    <w:rsid w:val="007A7772"/>
    <w:rsid w:val="007A7780"/>
    <w:rsid w:val="007A77BF"/>
    <w:rsid w:val="007A7861"/>
    <w:rsid w:val="007A786F"/>
    <w:rsid w:val="007A7B9E"/>
    <w:rsid w:val="007A7CCC"/>
    <w:rsid w:val="007A7CFF"/>
    <w:rsid w:val="007A7E20"/>
    <w:rsid w:val="007A7F74"/>
    <w:rsid w:val="007B023F"/>
    <w:rsid w:val="007B0317"/>
    <w:rsid w:val="007B058F"/>
    <w:rsid w:val="007B0B36"/>
    <w:rsid w:val="007B1255"/>
    <w:rsid w:val="007B1672"/>
    <w:rsid w:val="007B1B80"/>
    <w:rsid w:val="007B1F94"/>
    <w:rsid w:val="007B205F"/>
    <w:rsid w:val="007B2656"/>
    <w:rsid w:val="007B2741"/>
    <w:rsid w:val="007B2905"/>
    <w:rsid w:val="007B2AE3"/>
    <w:rsid w:val="007B2B48"/>
    <w:rsid w:val="007B2DCE"/>
    <w:rsid w:val="007B326F"/>
    <w:rsid w:val="007B35F6"/>
    <w:rsid w:val="007B3641"/>
    <w:rsid w:val="007B36ED"/>
    <w:rsid w:val="007B3902"/>
    <w:rsid w:val="007B3AA2"/>
    <w:rsid w:val="007B3BDA"/>
    <w:rsid w:val="007B3C53"/>
    <w:rsid w:val="007B3CA5"/>
    <w:rsid w:val="007B3CE1"/>
    <w:rsid w:val="007B3E49"/>
    <w:rsid w:val="007B3EF9"/>
    <w:rsid w:val="007B4705"/>
    <w:rsid w:val="007B477E"/>
    <w:rsid w:val="007B4807"/>
    <w:rsid w:val="007B4C8E"/>
    <w:rsid w:val="007B4D8E"/>
    <w:rsid w:val="007B541F"/>
    <w:rsid w:val="007B56C2"/>
    <w:rsid w:val="007B5744"/>
    <w:rsid w:val="007B5A63"/>
    <w:rsid w:val="007B5B62"/>
    <w:rsid w:val="007B5C74"/>
    <w:rsid w:val="007B5CBC"/>
    <w:rsid w:val="007B5D95"/>
    <w:rsid w:val="007B6096"/>
    <w:rsid w:val="007B613C"/>
    <w:rsid w:val="007B6377"/>
    <w:rsid w:val="007B6631"/>
    <w:rsid w:val="007B66A9"/>
    <w:rsid w:val="007B687F"/>
    <w:rsid w:val="007B6BEA"/>
    <w:rsid w:val="007B70A9"/>
    <w:rsid w:val="007B71E9"/>
    <w:rsid w:val="007B74C8"/>
    <w:rsid w:val="007B76BC"/>
    <w:rsid w:val="007B7E3E"/>
    <w:rsid w:val="007C001A"/>
    <w:rsid w:val="007C0455"/>
    <w:rsid w:val="007C049B"/>
    <w:rsid w:val="007C04BB"/>
    <w:rsid w:val="007C0587"/>
    <w:rsid w:val="007C06D0"/>
    <w:rsid w:val="007C0734"/>
    <w:rsid w:val="007C136B"/>
    <w:rsid w:val="007C1596"/>
    <w:rsid w:val="007C1998"/>
    <w:rsid w:val="007C1C55"/>
    <w:rsid w:val="007C1E46"/>
    <w:rsid w:val="007C1E6F"/>
    <w:rsid w:val="007C1F9D"/>
    <w:rsid w:val="007C1FC0"/>
    <w:rsid w:val="007C221B"/>
    <w:rsid w:val="007C22B9"/>
    <w:rsid w:val="007C232F"/>
    <w:rsid w:val="007C25C2"/>
    <w:rsid w:val="007C273D"/>
    <w:rsid w:val="007C295D"/>
    <w:rsid w:val="007C2AAB"/>
    <w:rsid w:val="007C2ACF"/>
    <w:rsid w:val="007C2C80"/>
    <w:rsid w:val="007C2D5C"/>
    <w:rsid w:val="007C32FE"/>
    <w:rsid w:val="007C332B"/>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BE4"/>
    <w:rsid w:val="007C5F49"/>
    <w:rsid w:val="007C6D4B"/>
    <w:rsid w:val="007C6E8C"/>
    <w:rsid w:val="007C6FE9"/>
    <w:rsid w:val="007C72E3"/>
    <w:rsid w:val="007C7A06"/>
    <w:rsid w:val="007C7BDC"/>
    <w:rsid w:val="007C7D67"/>
    <w:rsid w:val="007C7F2A"/>
    <w:rsid w:val="007D0050"/>
    <w:rsid w:val="007D01A4"/>
    <w:rsid w:val="007D0256"/>
    <w:rsid w:val="007D03B3"/>
    <w:rsid w:val="007D0461"/>
    <w:rsid w:val="007D0640"/>
    <w:rsid w:val="007D0B57"/>
    <w:rsid w:val="007D1098"/>
    <w:rsid w:val="007D10F6"/>
    <w:rsid w:val="007D183D"/>
    <w:rsid w:val="007D1B08"/>
    <w:rsid w:val="007D1F9C"/>
    <w:rsid w:val="007D20ED"/>
    <w:rsid w:val="007D2BD0"/>
    <w:rsid w:val="007D2EA2"/>
    <w:rsid w:val="007D2EDC"/>
    <w:rsid w:val="007D32AC"/>
    <w:rsid w:val="007D3302"/>
    <w:rsid w:val="007D37D9"/>
    <w:rsid w:val="007D3B68"/>
    <w:rsid w:val="007D3D26"/>
    <w:rsid w:val="007D3DF2"/>
    <w:rsid w:val="007D3FAB"/>
    <w:rsid w:val="007D40F0"/>
    <w:rsid w:val="007D42C6"/>
    <w:rsid w:val="007D47A7"/>
    <w:rsid w:val="007D47CB"/>
    <w:rsid w:val="007D5155"/>
    <w:rsid w:val="007D51D4"/>
    <w:rsid w:val="007D55E1"/>
    <w:rsid w:val="007D56E5"/>
    <w:rsid w:val="007D5725"/>
    <w:rsid w:val="007D57C4"/>
    <w:rsid w:val="007D5830"/>
    <w:rsid w:val="007D63D9"/>
    <w:rsid w:val="007D646F"/>
    <w:rsid w:val="007D64D2"/>
    <w:rsid w:val="007D6917"/>
    <w:rsid w:val="007D6936"/>
    <w:rsid w:val="007D6E76"/>
    <w:rsid w:val="007D6F79"/>
    <w:rsid w:val="007D71CA"/>
    <w:rsid w:val="007D7E22"/>
    <w:rsid w:val="007E0600"/>
    <w:rsid w:val="007E0618"/>
    <w:rsid w:val="007E087F"/>
    <w:rsid w:val="007E0D16"/>
    <w:rsid w:val="007E0DA8"/>
    <w:rsid w:val="007E10B1"/>
    <w:rsid w:val="007E11FB"/>
    <w:rsid w:val="007E1295"/>
    <w:rsid w:val="007E145A"/>
    <w:rsid w:val="007E187B"/>
    <w:rsid w:val="007E1D99"/>
    <w:rsid w:val="007E21E0"/>
    <w:rsid w:val="007E21EB"/>
    <w:rsid w:val="007E2455"/>
    <w:rsid w:val="007E2A17"/>
    <w:rsid w:val="007E2B06"/>
    <w:rsid w:val="007E3294"/>
    <w:rsid w:val="007E3531"/>
    <w:rsid w:val="007E39F0"/>
    <w:rsid w:val="007E3C34"/>
    <w:rsid w:val="007E3C45"/>
    <w:rsid w:val="007E415C"/>
    <w:rsid w:val="007E4855"/>
    <w:rsid w:val="007E489B"/>
    <w:rsid w:val="007E494E"/>
    <w:rsid w:val="007E5125"/>
    <w:rsid w:val="007E5292"/>
    <w:rsid w:val="007E552C"/>
    <w:rsid w:val="007E5559"/>
    <w:rsid w:val="007E569A"/>
    <w:rsid w:val="007E58BD"/>
    <w:rsid w:val="007E5C24"/>
    <w:rsid w:val="007E5CDC"/>
    <w:rsid w:val="007E5F84"/>
    <w:rsid w:val="007E621C"/>
    <w:rsid w:val="007E6417"/>
    <w:rsid w:val="007E645C"/>
    <w:rsid w:val="007E6487"/>
    <w:rsid w:val="007E66A7"/>
    <w:rsid w:val="007E67DA"/>
    <w:rsid w:val="007E6A2B"/>
    <w:rsid w:val="007E6B74"/>
    <w:rsid w:val="007E6BD3"/>
    <w:rsid w:val="007E6D4D"/>
    <w:rsid w:val="007E6DC5"/>
    <w:rsid w:val="007E6EF7"/>
    <w:rsid w:val="007E7244"/>
    <w:rsid w:val="007E7272"/>
    <w:rsid w:val="007E75B1"/>
    <w:rsid w:val="007E771A"/>
    <w:rsid w:val="007E7924"/>
    <w:rsid w:val="007F050A"/>
    <w:rsid w:val="007F052B"/>
    <w:rsid w:val="007F0867"/>
    <w:rsid w:val="007F0886"/>
    <w:rsid w:val="007F098B"/>
    <w:rsid w:val="007F09C5"/>
    <w:rsid w:val="007F0E9C"/>
    <w:rsid w:val="007F0FCD"/>
    <w:rsid w:val="007F10CA"/>
    <w:rsid w:val="007F11EC"/>
    <w:rsid w:val="007F1290"/>
    <w:rsid w:val="007F12EF"/>
    <w:rsid w:val="007F1EA5"/>
    <w:rsid w:val="007F1F13"/>
    <w:rsid w:val="007F2112"/>
    <w:rsid w:val="007F2165"/>
    <w:rsid w:val="007F2593"/>
    <w:rsid w:val="007F29DD"/>
    <w:rsid w:val="007F2B2E"/>
    <w:rsid w:val="007F2B5F"/>
    <w:rsid w:val="007F2F41"/>
    <w:rsid w:val="007F34CE"/>
    <w:rsid w:val="007F377D"/>
    <w:rsid w:val="007F37F3"/>
    <w:rsid w:val="007F38D3"/>
    <w:rsid w:val="007F391A"/>
    <w:rsid w:val="007F3CE3"/>
    <w:rsid w:val="007F40AC"/>
    <w:rsid w:val="007F4551"/>
    <w:rsid w:val="007F4C5F"/>
    <w:rsid w:val="007F4DA0"/>
    <w:rsid w:val="007F50E8"/>
    <w:rsid w:val="007F51C5"/>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B81"/>
    <w:rsid w:val="007F7BC8"/>
    <w:rsid w:val="008000BD"/>
    <w:rsid w:val="0080014B"/>
    <w:rsid w:val="008002B6"/>
    <w:rsid w:val="008002E9"/>
    <w:rsid w:val="00800319"/>
    <w:rsid w:val="008005BD"/>
    <w:rsid w:val="00800628"/>
    <w:rsid w:val="00800ADC"/>
    <w:rsid w:val="00800CE8"/>
    <w:rsid w:val="00801085"/>
    <w:rsid w:val="0080124E"/>
    <w:rsid w:val="0080138D"/>
    <w:rsid w:val="00801482"/>
    <w:rsid w:val="008015EF"/>
    <w:rsid w:val="00801792"/>
    <w:rsid w:val="00801936"/>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3200"/>
    <w:rsid w:val="008032F6"/>
    <w:rsid w:val="00803450"/>
    <w:rsid w:val="0080355F"/>
    <w:rsid w:val="00803862"/>
    <w:rsid w:val="008038DA"/>
    <w:rsid w:val="00803A86"/>
    <w:rsid w:val="00803C7E"/>
    <w:rsid w:val="00803D05"/>
    <w:rsid w:val="0080422B"/>
    <w:rsid w:val="008043BA"/>
    <w:rsid w:val="008044E3"/>
    <w:rsid w:val="008046FD"/>
    <w:rsid w:val="00804827"/>
    <w:rsid w:val="00804B6F"/>
    <w:rsid w:val="00804F21"/>
    <w:rsid w:val="00805180"/>
    <w:rsid w:val="00805307"/>
    <w:rsid w:val="00805479"/>
    <w:rsid w:val="008054D0"/>
    <w:rsid w:val="008058EE"/>
    <w:rsid w:val="0080599E"/>
    <w:rsid w:val="00805E4C"/>
    <w:rsid w:val="0080642F"/>
    <w:rsid w:val="008065B3"/>
    <w:rsid w:val="0080673B"/>
    <w:rsid w:val="00806848"/>
    <w:rsid w:val="008068D5"/>
    <w:rsid w:val="00806E63"/>
    <w:rsid w:val="00807102"/>
    <w:rsid w:val="0080714C"/>
    <w:rsid w:val="00807516"/>
    <w:rsid w:val="00807539"/>
    <w:rsid w:val="0080757A"/>
    <w:rsid w:val="00807614"/>
    <w:rsid w:val="00807C31"/>
    <w:rsid w:val="00807F7A"/>
    <w:rsid w:val="00810045"/>
    <w:rsid w:val="008100EF"/>
    <w:rsid w:val="0081019C"/>
    <w:rsid w:val="00810327"/>
    <w:rsid w:val="00810527"/>
    <w:rsid w:val="00810629"/>
    <w:rsid w:val="00810AE6"/>
    <w:rsid w:val="00810BE4"/>
    <w:rsid w:val="00810C2D"/>
    <w:rsid w:val="00810C89"/>
    <w:rsid w:val="00810CA4"/>
    <w:rsid w:val="00810CD4"/>
    <w:rsid w:val="008110E1"/>
    <w:rsid w:val="00811204"/>
    <w:rsid w:val="008113DA"/>
    <w:rsid w:val="008116D1"/>
    <w:rsid w:val="00811845"/>
    <w:rsid w:val="00811C5F"/>
    <w:rsid w:val="00811D49"/>
    <w:rsid w:val="00811D4B"/>
    <w:rsid w:val="00811F17"/>
    <w:rsid w:val="00811FDA"/>
    <w:rsid w:val="00812072"/>
    <w:rsid w:val="008124D1"/>
    <w:rsid w:val="008125DD"/>
    <w:rsid w:val="008126CA"/>
    <w:rsid w:val="00812D00"/>
    <w:rsid w:val="00812D74"/>
    <w:rsid w:val="008130EC"/>
    <w:rsid w:val="0081343A"/>
    <w:rsid w:val="00813519"/>
    <w:rsid w:val="00813895"/>
    <w:rsid w:val="008138C7"/>
    <w:rsid w:val="0081391A"/>
    <w:rsid w:val="008139DB"/>
    <w:rsid w:val="00813BC9"/>
    <w:rsid w:val="00813CDB"/>
    <w:rsid w:val="00813D23"/>
    <w:rsid w:val="00813D56"/>
    <w:rsid w:val="00813D60"/>
    <w:rsid w:val="00813D70"/>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E41"/>
    <w:rsid w:val="00817FC4"/>
    <w:rsid w:val="008202A7"/>
    <w:rsid w:val="008202FD"/>
    <w:rsid w:val="0082032A"/>
    <w:rsid w:val="008207C5"/>
    <w:rsid w:val="00820B78"/>
    <w:rsid w:val="008210E7"/>
    <w:rsid w:val="008211A1"/>
    <w:rsid w:val="0082164F"/>
    <w:rsid w:val="00821702"/>
    <w:rsid w:val="00821748"/>
    <w:rsid w:val="00821756"/>
    <w:rsid w:val="00821805"/>
    <w:rsid w:val="00821B24"/>
    <w:rsid w:val="00821D0C"/>
    <w:rsid w:val="00821D12"/>
    <w:rsid w:val="00821D6D"/>
    <w:rsid w:val="00822166"/>
    <w:rsid w:val="0082262B"/>
    <w:rsid w:val="00822763"/>
    <w:rsid w:val="008228E1"/>
    <w:rsid w:val="00822A70"/>
    <w:rsid w:val="00822E26"/>
    <w:rsid w:val="0082303C"/>
    <w:rsid w:val="008238F9"/>
    <w:rsid w:val="00823B12"/>
    <w:rsid w:val="00823C70"/>
    <w:rsid w:val="00823D68"/>
    <w:rsid w:val="00824058"/>
    <w:rsid w:val="00824643"/>
    <w:rsid w:val="00824BA0"/>
    <w:rsid w:val="00824D8B"/>
    <w:rsid w:val="00824DCD"/>
    <w:rsid w:val="00825058"/>
    <w:rsid w:val="0082522E"/>
    <w:rsid w:val="008252E4"/>
    <w:rsid w:val="00825324"/>
    <w:rsid w:val="00825F07"/>
    <w:rsid w:val="00825F13"/>
    <w:rsid w:val="0082600A"/>
    <w:rsid w:val="0082664A"/>
    <w:rsid w:val="00826A97"/>
    <w:rsid w:val="00826ADD"/>
    <w:rsid w:val="00826C11"/>
    <w:rsid w:val="00827097"/>
    <w:rsid w:val="0082722F"/>
    <w:rsid w:val="00827663"/>
    <w:rsid w:val="00827AB8"/>
    <w:rsid w:val="00827F5E"/>
    <w:rsid w:val="00827FCC"/>
    <w:rsid w:val="0083003E"/>
    <w:rsid w:val="00830051"/>
    <w:rsid w:val="008302D7"/>
    <w:rsid w:val="0083042E"/>
    <w:rsid w:val="00830644"/>
    <w:rsid w:val="00830750"/>
    <w:rsid w:val="00830804"/>
    <w:rsid w:val="00830EDD"/>
    <w:rsid w:val="008311D3"/>
    <w:rsid w:val="008314F8"/>
    <w:rsid w:val="00831558"/>
    <w:rsid w:val="008317FF"/>
    <w:rsid w:val="00831AE9"/>
    <w:rsid w:val="0083204E"/>
    <w:rsid w:val="00832626"/>
    <w:rsid w:val="00832742"/>
    <w:rsid w:val="00832881"/>
    <w:rsid w:val="00833076"/>
    <w:rsid w:val="008331FA"/>
    <w:rsid w:val="00833574"/>
    <w:rsid w:val="008339EF"/>
    <w:rsid w:val="00833AD3"/>
    <w:rsid w:val="00833D4A"/>
    <w:rsid w:val="00833F39"/>
    <w:rsid w:val="00834075"/>
    <w:rsid w:val="008343A0"/>
    <w:rsid w:val="008345B9"/>
    <w:rsid w:val="00834785"/>
    <w:rsid w:val="0083539B"/>
    <w:rsid w:val="008353D7"/>
    <w:rsid w:val="008358A2"/>
    <w:rsid w:val="008359E9"/>
    <w:rsid w:val="00835A0A"/>
    <w:rsid w:val="00835AF4"/>
    <w:rsid w:val="00835B3C"/>
    <w:rsid w:val="00835DC5"/>
    <w:rsid w:val="00835F11"/>
    <w:rsid w:val="0083622D"/>
    <w:rsid w:val="00836589"/>
    <w:rsid w:val="008365D4"/>
    <w:rsid w:val="0083668C"/>
    <w:rsid w:val="008368A3"/>
    <w:rsid w:val="00836F7D"/>
    <w:rsid w:val="00837089"/>
    <w:rsid w:val="008373CA"/>
    <w:rsid w:val="00837C89"/>
    <w:rsid w:val="00837E52"/>
    <w:rsid w:val="00837FCF"/>
    <w:rsid w:val="00840073"/>
    <w:rsid w:val="00840441"/>
    <w:rsid w:val="00840494"/>
    <w:rsid w:val="00840577"/>
    <w:rsid w:val="00840702"/>
    <w:rsid w:val="00840927"/>
    <w:rsid w:val="00840987"/>
    <w:rsid w:val="00840A7B"/>
    <w:rsid w:val="00840B1B"/>
    <w:rsid w:val="00840FD6"/>
    <w:rsid w:val="008415B6"/>
    <w:rsid w:val="00841637"/>
    <w:rsid w:val="00841FFD"/>
    <w:rsid w:val="00842064"/>
    <w:rsid w:val="008424C2"/>
    <w:rsid w:val="008426A0"/>
    <w:rsid w:val="00842D57"/>
    <w:rsid w:val="0084330E"/>
    <w:rsid w:val="0084338A"/>
    <w:rsid w:val="00843474"/>
    <w:rsid w:val="008435EB"/>
    <w:rsid w:val="008439D4"/>
    <w:rsid w:val="00843AD7"/>
    <w:rsid w:val="00843C65"/>
    <w:rsid w:val="00843CC7"/>
    <w:rsid w:val="00844005"/>
    <w:rsid w:val="008443FA"/>
    <w:rsid w:val="00844520"/>
    <w:rsid w:val="008445D8"/>
    <w:rsid w:val="008446A4"/>
    <w:rsid w:val="00844AF0"/>
    <w:rsid w:val="00844CA9"/>
    <w:rsid w:val="00844D4B"/>
    <w:rsid w:val="00844DA5"/>
    <w:rsid w:val="00844DD1"/>
    <w:rsid w:val="00844E07"/>
    <w:rsid w:val="008456A1"/>
    <w:rsid w:val="00845845"/>
    <w:rsid w:val="00845AC7"/>
    <w:rsid w:val="00845C18"/>
    <w:rsid w:val="00845C1A"/>
    <w:rsid w:val="00845D6B"/>
    <w:rsid w:val="00846E5E"/>
    <w:rsid w:val="00846FAD"/>
    <w:rsid w:val="00847390"/>
    <w:rsid w:val="008473E8"/>
    <w:rsid w:val="00847596"/>
    <w:rsid w:val="00847819"/>
    <w:rsid w:val="00847A91"/>
    <w:rsid w:val="00847BBC"/>
    <w:rsid w:val="00847D1F"/>
    <w:rsid w:val="00847DFE"/>
    <w:rsid w:val="00847E8F"/>
    <w:rsid w:val="00850052"/>
    <w:rsid w:val="008501E8"/>
    <w:rsid w:val="008507BB"/>
    <w:rsid w:val="008507EF"/>
    <w:rsid w:val="00850ABC"/>
    <w:rsid w:val="00851221"/>
    <w:rsid w:val="00851337"/>
    <w:rsid w:val="008514C2"/>
    <w:rsid w:val="00851553"/>
    <w:rsid w:val="0085180E"/>
    <w:rsid w:val="00851909"/>
    <w:rsid w:val="008519CC"/>
    <w:rsid w:val="00851C9C"/>
    <w:rsid w:val="00851DC5"/>
    <w:rsid w:val="00851EE7"/>
    <w:rsid w:val="008521CA"/>
    <w:rsid w:val="00852325"/>
    <w:rsid w:val="00852520"/>
    <w:rsid w:val="00852663"/>
    <w:rsid w:val="008528A9"/>
    <w:rsid w:val="008528E4"/>
    <w:rsid w:val="00852C43"/>
    <w:rsid w:val="00852C93"/>
    <w:rsid w:val="00853095"/>
    <w:rsid w:val="008533EF"/>
    <w:rsid w:val="0085384C"/>
    <w:rsid w:val="008539B4"/>
    <w:rsid w:val="00853ACA"/>
    <w:rsid w:val="00853BA6"/>
    <w:rsid w:val="00853CE9"/>
    <w:rsid w:val="00853D8A"/>
    <w:rsid w:val="00854639"/>
    <w:rsid w:val="008546FA"/>
    <w:rsid w:val="0085483C"/>
    <w:rsid w:val="00854930"/>
    <w:rsid w:val="00854B09"/>
    <w:rsid w:val="00854BC9"/>
    <w:rsid w:val="00854D09"/>
    <w:rsid w:val="008551AA"/>
    <w:rsid w:val="0085529B"/>
    <w:rsid w:val="008555AD"/>
    <w:rsid w:val="0085568A"/>
    <w:rsid w:val="00855807"/>
    <w:rsid w:val="00855A6F"/>
    <w:rsid w:val="008561C2"/>
    <w:rsid w:val="008562BC"/>
    <w:rsid w:val="0085652A"/>
    <w:rsid w:val="008573C0"/>
    <w:rsid w:val="008574D9"/>
    <w:rsid w:val="0085756A"/>
    <w:rsid w:val="008575C8"/>
    <w:rsid w:val="00857712"/>
    <w:rsid w:val="00857BF9"/>
    <w:rsid w:val="00857D18"/>
    <w:rsid w:val="00857FE3"/>
    <w:rsid w:val="008605A1"/>
    <w:rsid w:val="008605C4"/>
    <w:rsid w:val="00860791"/>
    <w:rsid w:val="008607C0"/>
    <w:rsid w:val="00860E07"/>
    <w:rsid w:val="0086102A"/>
    <w:rsid w:val="008610C0"/>
    <w:rsid w:val="0086190D"/>
    <w:rsid w:val="00861ABC"/>
    <w:rsid w:val="00861C6E"/>
    <w:rsid w:val="008622BE"/>
    <w:rsid w:val="0086235D"/>
    <w:rsid w:val="008625C9"/>
    <w:rsid w:val="00862654"/>
    <w:rsid w:val="00862744"/>
    <w:rsid w:val="0086275E"/>
    <w:rsid w:val="008627FB"/>
    <w:rsid w:val="00863443"/>
    <w:rsid w:val="008635BA"/>
    <w:rsid w:val="00863797"/>
    <w:rsid w:val="00863876"/>
    <w:rsid w:val="00863CFB"/>
    <w:rsid w:val="00863E61"/>
    <w:rsid w:val="00863E6E"/>
    <w:rsid w:val="00863FCD"/>
    <w:rsid w:val="0086414A"/>
    <w:rsid w:val="00864912"/>
    <w:rsid w:val="00864AC2"/>
    <w:rsid w:val="00864C91"/>
    <w:rsid w:val="00864E15"/>
    <w:rsid w:val="008652E8"/>
    <w:rsid w:val="0086552A"/>
    <w:rsid w:val="008655C3"/>
    <w:rsid w:val="008657EC"/>
    <w:rsid w:val="00865954"/>
    <w:rsid w:val="00865A32"/>
    <w:rsid w:val="00866177"/>
    <w:rsid w:val="0086624A"/>
    <w:rsid w:val="00866A25"/>
    <w:rsid w:val="00866D85"/>
    <w:rsid w:val="00867468"/>
    <w:rsid w:val="00867695"/>
    <w:rsid w:val="00867699"/>
    <w:rsid w:val="00867AA6"/>
    <w:rsid w:val="00870270"/>
    <w:rsid w:val="008702B7"/>
    <w:rsid w:val="008702DF"/>
    <w:rsid w:val="008703A3"/>
    <w:rsid w:val="008705C2"/>
    <w:rsid w:val="00870AF9"/>
    <w:rsid w:val="00870E2C"/>
    <w:rsid w:val="00871380"/>
    <w:rsid w:val="008716B4"/>
    <w:rsid w:val="00871709"/>
    <w:rsid w:val="00871BC9"/>
    <w:rsid w:val="00871D8C"/>
    <w:rsid w:val="00871EB4"/>
    <w:rsid w:val="008721A6"/>
    <w:rsid w:val="008721F5"/>
    <w:rsid w:val="008724F1"/>
    <w:rsid w:val="00872CAB"/>
    <w:rsid w:val="00872D1E"/>
    <w:rsid w:val="00873419"/>
    <w:rsid w:val="008737AD"/>
    <w:rsid w:val="0087391C"/>
    <w:rsid w:val="00873B48"/>
    <w:rsid w:val="00873BCB"/>
    <w:rsid w:val="00873C57"/>
    <w:rsid w:val="00873E14"/>
    <w:rsid w:val="00873E3B"/>
    <w:rsid w:val="00873F43"/>
    <w:rsid w:val="0087404E"/>
    <w:rsid w:val="008740B3"/>
    <w:rsid w:val="008740E8"/>
    <w:rsid w:val="0087420C"/>
    <w:rsid w:val="00874339"/>
    <w:rsid w:val="00874756"/>
    <w:rsid w:val="00874C4C"/>
    <w:rsid w:val="00874D6E"/>
    <w:rsid w:val="0087507C"/>
    <w:rsid w:val="008750CC"/>
    <w:rsid w:val="0087547D"/>
    <w:rsid w:val="00875A16"/>
    <w:rsid w:val="00875A36"/>
    <w:rsid w:val="00875A4F"/>
    <w:rsid w:val="00875B07"/>
    <w:rsid w:val="00875C90"/>
    <w:rsid w:val="00875DD9"/>
    <w:rsid w:val="00876480"/>
    <w:rsid w:val="00876496"/>
    <w:rsid w:val="00876814"/>
    <w:rsid w:val="00876AB3"/>
    <w:rsid w:val="00876C0F"/>
    <w:rsid w:val="00876DF4"/>
    <w:rsid w:val="00876EDE"/>
    <w:rsid w:val="00876EFB"/>
    <w:rsid w:val="008775DE"/>
    <w:rsid w:val="00877652"/>
    <w:rsid w:val="008777A4"/>
    <w:rsid w:val="00877F7E"/>
    <w:rsid w:val="0088040F"/>
    <w:rsid w:val="008804E7"/>
    <w:rsid w:val="00880B61"/>
    <w:rsid w:val="00881001"/>
    <w:rsid w:val="008811CA"/>
    <w:rsid w:val="008811CF"/>
    <w:rsid w:val="0088155A"/>
    <w:rsid w:val="008816FE"/>
    <w:rsid w:val="00881778"/>
    <w:rsid w:val="00881961"/>
    <w:rsid w:val="00881F5A"/>
    <w:rsid w:val="00882004"/>
    <w:rsid w:val="008820CF"/>
    <w:rsid w:val="008820EC"/>
    <w:rsid w:val="00882398"/>
    <w:rsid w:val="00882821"/>
    <w:rsid w:val="008830EA"/>
    <w:rsid w:val="00883456"/>
    <w:rsid w:val="008835A2"/>
    <w:rsid w:val="008838FD"/>
    <w:rsid w:val="0088395E"/>
    <w:rsid w:val="00883EBF"/>
    <w:rsid w:val="00883F18"/>
    <w:rsid w:val="0088441C"/>
    <w:rsid w:val="008845F5"/>
    <w:rsid w:val="00884B2D"/>
    <w:rsid w:val="00884B52"/>
    <w:rsid w:val="00884E36"/>
    <w:rsid w:val="00884EBF"/>
    <w:rsid w:val="00884F05"/>
    <w:rsid w:val="00884FB3"/>
    <w:rsid w:val="008851F2"/>
    <w:rsid w:val="008858D0"/>
    <w:rsid w:val="00885E43"/>
    <w:rsid w:val="00885F10"/>
    <w:rsid w:val="0088623C"/>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2A5"/>
    <w:rsid w:val="00890532"/>
    <w:rsid w:val="00890AF9"/>
    <w:rsid w:val="00890F2A"/>
    <w:rsid w:val="00890F39"/>
    <w:rsid w:val="008914AD"/>
    <w:rsid w:val="00891628"/>
    <w:rsid w:val="00891922"/>
    <w:rsid w:val="00891A44"/>
    <w:rsid w:val="00891A84"/>
    <w:rsid w:val="00891AAE"/>
    <w:rsid w:val="00891B7B"/>
    <w:rsid w:val="00891D8B"/>
    <w:rsid w:val="00892492"/>
    <w:rsid w:val="008924D0"/>
    <w:rsid w:val="0089250E"/>
    <w:rsid w:val="008926D5"/>
    <w:rsid w:val="00892709"/>
    <w:rsid w:val="008929CD"/>
    <w:rsid w:val="00892BEB"/>
    <w:rsid w:val="00892E44"/>
    <w:rsid w:val="00892FC7"/>
    <w:rsid w:val="0089328D"/>
    <w:rsid w:val="00893299"/>
    <w:rsid w:val="00893500"/>
    <w:rsid w:val="008937DE"/>
    <w:rsid w:val="00893BCB"/>
    <w:rsid w:val="00893BD3"/>
    <w:rsid w:val="00893D3C"/>
    <w:rsid w:val="00893EE9"/>
    <w:rsid w:val="00894072"/>
    <w:rsid w:val="00894443"/>
    <w:rsid w:val="0089489D"/>
    <w:rsid w:val="00894B0C"/>
    <w:rsid w:val="00894B50"/>
    <w:rsid w:val="00894D6B"/>
    <w:rsid w:val="00894F3D"/>
    <w:rsid w:val="008955D4"/>
    <w:rsid w:val="00895782"/>
    <w:rsid w:val="008958E3"/>
    <w:rsid w:val="00895BFF"/>
    <w:rsid w:val="00895E8E"/>
    <w:rsid w:val="008962D3"/>
    <w:rsid w:val="00896435"/>
    <w:rsid w:val="0089643E"/>
    <w:rsid w:val="008968E9"/>
    <w:rsid w:val="0089743B"/>
    <w:rsid w:val="008975C6"/>
    <w:rsid w:val="008976C5"/>
    <w:rsid w:val="00897BE6"/>
    <w:rsid w:val="00897E0A"/>
    <w:rsid w:val="00897ECE"/>
    <w:rsid w:val="008A0191"/>
    <w:rsid w:val="008A03DD"/>
    <w:rsid w:val="008A03F7"/>
    <w:rsid w:val="008A0540"/>
    <w:rsid w:val="008A056A"/>
    <w:rsid w:val="008A061A"/>
    <w:rsid w:val="008A0B62"/>
    <w:rsid w:val="008A0DD9"/>
    <w:rsid w:val="008A0F3A"/>
    <w:rsid w:val="008A11CF"/>
    <w:rsid w:val="008A1239"/>
    <w:rsid w:val="008A1436"/>
    <w:rsid w:val="008A14C4"/>
    <w:rsid w:val="008A1921"/>
    <w:rsid w:val="008A199A"/>
    <w:rsid w:val="008A223F"/>
    <w:rsid w:val="008A22DE"/>
    <w:rsid w:val="008A23AC"/>
    <w:rsid w:val="008A24D3"/>
    <w:rsid w:val="008A2A1E"/>
    <w:rsid w:val="008A2E0A"/>
    <w:rsid w:val="008A30E2"/>
    <w:rsid w:val="008A32BD"/>
    <w:rsid w:val="008A36B1"/>
    <w:rsid w:val="008A3B93"/>
    <w:rsid w:val="008A3C80"/>
    <w:rsid w:val="008A3F5B"/>
    <w:rsid w:val="008A3FB2"/>
    <w:rsid w:val="008A4048"/>
    <w:rsid w:val="008A4568"/>
    <w:rsid w:val="008A496C"/>
    <w:rsid w:val="008A4BB4"/>
    <w:rsid w:val="008A4C94"/>
    <w:rsid w:val="008A509F"/>
    <w:rsid w:val="008A50DF"/>
    <w:rsid w:val="008A516B"/>
    <w:rsid w:val="008A5D33"/>
    <w:rsid w:val="008A5DD1"/>
    <w:rsid w:val="008A5ED2"/>
    <w:rsid w:val="008A61A7"/>
    <w:rsid w:val="008A6229"/>
    <w:rsid w:val="008A6749"/>
    <w:rsid w:val="008A6913"/>
    <w:rsid w:val="008A6A94"/>
    <w:rsid w:val="008A6B33"/>
    <w:rsid w:val="008A6B46"/>
    <w:rsid w:val="008A6D13"/>
    <w:rsid w:val="008A6F4F"/>
    <w:rsid w:val="008A6FBC"/>
    <w:rsid w:val="008A702C"/>
    <w:rsid w:val="008A72C0"/>
    <w:rsid w:val="008A731F"/>
    <w:rsid w:val="008A7365"/>
    <w:rsid w:val="008A746B"/>
    <w:rsid w:val="008A778D"/>
    <w:rsid w:val="008A795E"/>
    <w:rsid w:val="008A7A2F"/>
    <w:rsid w:val="008A7B7A"/>
    <w:rsid w:val="008B0078"/>
    <w:rsid w:val="008B00E9"/>
    <w:rsid w:val="008B0410"/>
    <w:rsid w:val="008B08A7"/>
    <w:rsid w:val="008B0ACF"/>
    <w:rsid w:val="008B0EDA"/>
    <w:rsid w:val="008B0FFB"/>
    <w:rsid w:val="008B11E8"/>
    <w:rsid w:val="008B1257"/>
    <w:rsid w:val="008B1511"/>
    <w:rsid w:val="008B1610"/>
    <w:rsid w:val="008B18FD"/>
    <w:rsid w:val="008B1CCE"/>
    <w:rsid w:val="008B1D73"/>
    <w:rsid w:val="008B22E3"/>
    <w:rsid w:val="008B2447"/>
    <w:rsid w:val="008B27D1"/>
    <w:rsid w:val="008B2EA7"/>
    <w:rsid w:val="008B30BE"/>
    <w:rsid w:val="008B3239"/>
    <w:rsid w:val="008B3448"/>
    <w:rsid w:val="008B36CB"/>
    <w:rsid w:val="008B3962"/>
    <w:rsid w:val="008B3971"/>
    <w:rsid w:val="008B3A6B"/>
    <w:rsid w:val="008B3C94"/>
    <w:rsid w:val="008B3DD5"/>
    <w:rsid w:val="008B3FC4"/>
    <w:rsid w:val="008B4581"/>
    <w:rsid w:val="008B477A"/>
    <w:rsid w:val="008B4AE8"/>
    <w:rsid w:val="008B4B67"/>
    <w:rsid w:val="008B4F63"/>
    <w:rsid w:val="008B52FA"/>
    <w:rsid w:val="008B560F"/>
    <w:rsid w:val="008B5CBF"/>
    <w:rsid w:val="008B6082"/>
    <w:rsid w:val="008B6414"/>
    <w:rsid w:val="008B64C4"/>
    <w:rsid w:val="008B65D6"/>
    <w:rsid w:val="008B6608"/>
    <w:rsid w:val="008B6A2A"/>
    <w:rsid w:val="008B6B25"/>
    <w:rsid w:val="008B6B60"/>
    <w:rsid w:val="008B6FE5"/>
    <w:rsid w:val="008B70BC"/>
    <w:rsid w:val="008B720A"/>
    <w:rsid w:val="008B77F1"/>
    <w:rsid w:val="008B7811"/>
    <w:rsid w:val="008B78A6"/>
    <w:rsid w:val="008B79A9"/>
    <w:rsid w:val="008B7CFE"/>
    <w:rsid w:val="008B7F7A"/>
    <w:rsid w:val="008C0090"/>
    <w:rsid w:val="008C012B"/>
    <w:rsid w:val="008C07A4"/>
    <w:rsid w:val="008C0873"/>
    <w:rsid w:val="008C0C21"/>
    <w:rsid w:val="008C0D5E"/>
    <w:rsid w:val="008C0E62"/>
    <w:rsid w:val="008C131B"/>
    <w:rsid w:val="008C1564"/>
    <w:rsid w:val="008C157F"/>
    <w:rsid w:val="008C1771"/>
    <w:rsid w:val="008C18FD"/>
    <w:rsid w:val="008C1A19"/>
    <w:rsid w:val="008C201F"/>
    <w:rsid w:val="008C23F8"/>
    <w:rsid w:val="008C2893"/>
    <w:rsid w:val="008C2AA6"/>
    <w:rsid w:val="008C2D15"/>
    <w:rsid w:val="008C37A9"/>
    <w:rsid w:val="008C38B8"/>
    <w:rsid w:val="008C3946"/>
    <w:rsid w:val="008C3AFA"/>
    <w:rsid w:val="008C3B7B"/>
    <w:rsid w:val="008C3BC4"/>
    <w:rsid w:val="008C3E8E"/>
    <w:rsid w:val="008C42DE"/>
    <w:rsid w:val="008C46B4"/>
    <w:rsid w:val="008C48B1"/>
    <w:rsid w:val="008C4A72"/>
    <w:rsid w:val="008C4AEC"/>
    <w:rsid w:val="008C4B0E"/>
    <w:rsid w:val="008C51A7"/>
    <w:rsid w:val="008C552E"/>
    <w:rsid w:val="008C5608"/>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B85"/>
    <w:rsid w:val="008C7F9C"/>
    <w:rsid w:val="008D0094"/>
    <w:rsid w:val="008D02FB"/>
    <w:rsid w:val="008D0536"/>
    <w:rsid w:val="008D06FA"/>
    <w:rsid w:val="008D093A"/>
    <w:rsid w:val="008D1076"/>
    <w:rsid w:val="008D12D0"/>
    <w:rsid w:val="008D1466"/>
    <w:rsid w:val="008D14D5"/>
    <w:rsid w:val="008D1618"/>
    <w:rsid w:val="008D1932"/>
    <w:rsid w:val="008D1C89"/>
    <w:rsid w:val="008D1D73"/>
    <w:rsid w:val="008D20E5"/>
    <w:rsid w:val="008D22BD"/>
    <w:rsid w:val="008D23B3"/>
    <w:rsid w:val="008D249D"/>
    <w:rsid w:val="008D2947"/>
    <w:rsid w:val="008D29E7"/>
    <w:rsid w:val="008D2A96"/>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D4C"/>
    <w:rsid w:val="008D5107"/>
    <w:rsid w:val="008D52C9"/>
    <w:rsid w:val="008D5334"/>
    <w:rsid w:val="008D53DE"/>
    <w:rsid w:val="008D55CC"/>
    <w:rsid w:val="008D5608"/>
    <w:rsid w:val="008D564D"/>
    <w:rsid w:val="008D5652"/>
    <w:rsid w:val="008D5B7B"/>
    <w:rsid w:val="008D5BA3"/>
    <w:rsid w:val="008D5D15"/>
    <w:rsid w:val="008D678C"/>
    <w:rsid w:val="008D67B3"/>
    <w:rsid w:val="008D6E16"/>
    <w:rsid w:val="008D73F3"/>
    <w:rsid w:val="008D7506"/>
    <w:rsid w:val="008D75A9"/>
    <w:rsid w:val="008D779B"/>
    <w:rsid w:val="008D7DE9"/>
    <w:rsid w:val="008E0190"/>
    <w:rsid w:val="008E01E6"/>
    <w:rsid w:val="008E047E"/>
    <w:rsid w:val="008E057F"/>
    <w:rsid w:val="008E058F"/>
    <w:rsid w:val="008E0815"/>
    <w:rsid w:val="008E0A1A"/>
    <w:rsid w:val="008E0B70"/>
    <w:rsid w:val="008E0F2F"/>
    <w:rsid w:val="008E104A"/>
    <w:rsid w:val="008E10A5"/>
    <w:rsid w:val="008E1369"/>
    <w:rsid w:val="008E1386"/>
    <w:rsid w:val="008E13B7"/>
    <w:rsid w:val="008E13BA"/>
    <w:rsid w:val="008E14EB"/>
    <w:rsid w:val="008E1543"/>
    <w:rsid w:val="008E1572"/>
    <w:rsid w:val="008E16C1"/>
    <w:rsid w:val="008E1744"/>
    <w:rsid w:val="008E1803"/>
    <w:rsid w:val="008E197A"/>
    <w:rsid w:val="008E1A49"/>
    <w:rsid w:val="008E1B57"/>
    <w:rsid w:val="008E1DCB"/>
    <w:rsid w:val="008E25D4"/>
    <w:rsid w:val="008E2941"/>
    <w:rsid w:val="008E2D28"/>
    <w:rsid w:val="008E2F94"/>
    <w:rsid w:val="008E349C"/>
    <w:rsid w:val="008E38FF"/>
    <w:rsid w:val="008E3994"/>
    <w:rsid w:val="008E3AEE"/>
    <w:rsid w:val="008E3B0F"/>
    <w:rsid w:val="008E3C33"/>
    <w:rsid w:val="008E3D38"/>
    <w:rsid w:val="008E42E7"/>
    <w:rsid w:val="008E4645"/>
    <w:rsid w:val="008E46CB"/>
    <w:rsid w:val="008E4713"/>
    <w:rsid w:val="008E4768"/>
    <w:rsid w:val="008E4DA7"/>
    <w:rsid w:val="008E55A3"/>
    <w:rsid w:val="008E55D1"/>
    <w:rsid w:val="008E5711"/>
    <w:rsid w:val="008E5FC0"/>
    <w:rsid w:val="008E621B"/>
    <w:rsid w:val="008E6230"/>
    <w:rsid w:val="008E62D9"/>
    <w:rsid w:val="008E64D2"/>
    <w:rsid w:val="008E67DA"/>
    <w:rsid w:val="008E6946"/>
    <w:rsid w:val="008E6A06"/>
    <w:rsid w:val="008E6A87"/>
    <w:rsid w:val="008E709A"/>
    <w:rsid w:val="008E7622"/>
    <w:rsid w:val="008E78F3"/>
    <w:rsid w:val="008E7F8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B98"/>
    <w:rsid w:val="008F2EC8"/>
    <w:rsid w:val="008F2FBC"/>
    <w:rsid w:val="008F33BF"/>
    <w:rsid w:val="008F37EC"/>
    <w:rsid w:val="008F39C6"/>
    <w:rsid w:val="008F3D6D"/>
    <w:rsid w:val="008F41A1"/>
    <w:rsid w:val="008F425D"/>
    <w:rsid w:val="008F4B47"/>
    <w:rsid w:val="008F4B91"/>
    <w:rsid w:val="008F504A"/>
    <w:rsid w:val="008F53A3"/>
    <w:rsid w:val="008F546F"/>
    <w:rsid w:val="008F5470"/>
    <w:rsid w:val="008F55ED"/>
    <w:rsid w:val="008F5A6A"/>
    <w:rsid w:val="008F5CCB"/>
    <w:rsid w:val="008F5F1C"/>
    <w:rsid w:val="008F5F37"/>
    <w:rsid w:val="008F6150"/>
    <w:rsid w:val="008F63C2"/>
    <w:rsid w:val="008F67BE"/>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AE3"/>
    <w:rsid w:val="00903C2B"/>
    <w:rsid w:val="00904108"/>
    <w:rsid w:val="00904153"/>
    <w:rsid w:val="00904674"/>
    <w:rsid w:val="00904912"/>
    <w:rsid w:val="00904B3C"/>
    <w:rsid w:val="00904BC7"/>
    <w:rsid w:val="00904C89"/>
    <w:rsid w:val="009050C5"/>
    <w:rsid w:val="00905285"/>
    <w:rsid w:val="0090534E"/>
    <w:rsid w:val="009053D2"/>
    <w:rsid w:val="009059DB"/>
    <w:rsid w:val="00905FFA"/>
    <w:rsid w:val="0090604B"/>
    <w:rsid w:val="00906279"/>
    <w:rsid w:val="009064BC"/>
    <w:rsid w:val="0090668E"/>
    <w:rsid w:val="009068DC"/>
    <w:rsid w:val="009069B1"/>
    <w:rsid w:val="009069F9"/>
    <w:rsid w:val="00906F2C"/>
    <w:rsid w:val="009074BB"/>
    <w:rsid w:val="0090751E"/>
    <w:rsid w:val="0090764C"/>
    <w:rsid w:val="0090786D"/>
    <w:rsid w:val="009078DF"/>
    <w:rsid w:val="009078E8"/>
    <w:rsid w:val="00907A03"/>
    <w:rsid w:val="00907B29"/>
    <w:rsid w:val="00907B3D"/>
    <w:rsid w:val="00907BB8"/>
    <w:rsid w:val="00907D08"/>
    <w:rsid w:val="00907DC8"/>
    <w:rsid w:val="00910082"/>
    <w:rsid w:val="00910316"/>
    <w:rsid w:val="0091087A"/>
    <w:rsid w:val="00910973"/>
    <w:rsid w:val="00910995"/>
    <w:rsid w:val="00910FA1"/>
    <w:rsid w:val="00911261"/>
    <w:rsid w:val="009112FA"/>
    <w:rsid w:val="0091144B"/>
    <w:rsid w:val="00911718"/>
    <w:rsid w:val="009117DE"/>
    <w:rsid w:val="00911864"/>
    <w:rsid w:val="00911AAD"/>
    <w:rsid w:val="00911BF7"/>
    <w:rsid w:val="00911CCC"/>
    <w:rsid w:val="00911DD1"/>
    <w:rsid w:val="00912155"/>
    <w:rsid w:val="009121EF"/>
    <w:rsid w:val="00912813"/>
    <w:rsid w:val="0091288A"/>
    <w:rsid w:val="00912A6C"/>
    <w:rsid w:val="00912B41"/>
    <w:rsid w:val="00912ED2"/>
    <w:rsid w:val="00913071"/>
    <w:rsid w:val="00913588"/>
    <w:rsid w:val="00913794"/>
    <w:rsid w:val="00913BE5"/>
    <w:rsid w:val="0091404F"/>
    <w:rsid w:val="0091406A"/>
    <w:rsid w:val="009140BA"/>
    <w:rsid w:val="0091427D"/>
    <w:rsid w:val="009142F2"/>
    <w:rsid w:val="009143AA"/>
    <w:rsid w:val="0091464F"/>
    <w:rsid w:val="009148F9"/>
    <w:rsid w:val="00914B5F"/>
    <w:rsid w:val="00914C57"/>
    <w:rsid w:val="00915058"/>
    <w:rsid w:val="00915093"/>
    <w:rsid w:val="00915190"/>
    <w:rsid w:val="00915276"/>
    <w:rsid w:val="009153AA"/>
    <w:rsid w:val="009156C0"/>
    <w:rsid w:val="009157D3"/>
    <w:rsid w:val="00915DC9"/>
    <w:rsid w:val="00915F5B"/>
    <w:rsid w:val="00915FE2"/>
    <w:rsid w:val="00916135"/>
    <w:rsid w:val="0091679E"/>
    <w:rsid w:val="00916B0C"/>
    <w:rsid w:val="00917269"/>
    <w:rsid w:val="00917406"/>
    <w:rsid w:val="00917431"/>
    <w:rsid w:val="0091754B"/>
    <w:rsid w:val="009175C3"/>
    <w:rsid w:val="00917783"/>
    <w:rsid w:val="009177AB"/>
    <w:rsid w:val="00917860"/>
    <w:rsid w:val="00917A37"/>
    <w:rsid w:val="00917B52"/>
    <w:rsid w:val="00917C92"/>
    <w:rsid w:val="00917D53"/>
    <w:rsid w:val="00917EF9"/>
    <w:rsid w:val="00917F95"/>
    <w:rsid w:val="00920183"/>
    <w:rsid w:val="00920855"/>
    <w:rsid w:val="009208BD"/>
    <w:rsid w:val="00920AFE"/>
    <w:rsid w:val="00921085"/>
    <w:rsid w:val="009211E5"/>
    <w:rsid w:val="00921210"/>
    <w:rsid w:val="009213A3"/>
    <w:rsid w:val="009214BA"/>
    <w:rsid w:val="009214DD"/>
    <w:rsid w:val="0092152E"/>
    <w:rsid w:val="0092161B"/>
    <w:rsid w:val="00921636"/>
    <w:rsid w:val="00921A36"/>
    <w:rsid w:val="00921AB3"/>
    <w:rsid w:val="00921EE2"/>
    <w:rsid w:val="00921F0D"/>
    <w:rsid w:val="0092201B"/>
    <w:rsid w:val="009221AF"/>
    <w:rsid w:val="00922462"/>
    <w:rsid w:val="0092248E"/>
    <w:rsid w:val="009226CB"/>
    <w:rsid w:val="00922836"/>
    <w:rsid w:val="00922AEE"/>
    <w:rsid w:val="00922CC7"/>
    <w:rsid w:val="00922E42"/>
    <w:rsid w:val="00922F4E"/>
    <w:rsid w:val="009230C9"/>
    <w:rsid w:val="0092314C"/>
    <w:rsid w:val="009231C9"/>
    <w:rsid w:val="00923418"/>
    <w:rsid w:val="00923577"/>
    <w:rsid w:val="00923632"/>
    <w:rsid w:val="00923644"/>
    <w:rsid w:val="00923726"/>
    <w:rsid w:val="00923A70"/>
    <w:rsid w:val="00923C32"/>
    <w:rsid w:val="00923D12"/>
    <w:rsid w:val="00923E10"/>
    <w:rsid w:val="00923FCA"/>
    <w:rsid w:val="00924011"/>
    <w:rsid w:val="0092460E"/>
    <w:rsid w:val="00924959"/>
    <w:rsid w:val="00924F70"/>
    <w:rsid w:val="00924F90"/>
    <w:rsid w:val="00924FD8"/>
    <w:rsid w:val="00925205"/>
    <w:rsid w:val="009252EE"/>
    <w:rsid w:val="00925708"/>
    <w:rsid w:val="009258F7"/>
    <w:rsid w:val="00925CCD"/>
    <w:rsid w:val="00925DEB"/>
    <w:rsid w:val="00925FEF"/>
    <w:rsid w:val="009261C0"/>
    <w:rsid w:val="00926333"/>
    <w:rsid w:val="009265EB"/>
    <w:rsid w:val="009266A8"/>
    <w:rsid w:val="009267FD"/>
    <w:rsid w:val="009269E9"/>
    <w:rsid w:val="00926B16"/>
    <w:rsid w:val="00926B71"/>
    <w:rsid w:val="00926CD6"/>
    <w:rsid w:val="00927217"/>
    <w:rsid w:val="00927344"/>
    <w:rsid w:val="00927354"/>
    <w:rsid w:val="00927CB4"/>
    <w:rsid w:val="00927DAC"/>
    <w:rsid w:val="00927E64"/>
    <w:rsid w:val="00930050"/>
    <w:rsid w:val="00930CE0"/>
    <w:rsid w:val="00930CF0"/>
    <w:rsid w:val="00930D8B"/>
    <w:rsid w:val="00930DD2"/>
    <w:rsid w:val="00930EBE"/>
    <w:rsid w:val="00930ED6"/>
    <w:rsid w:val="00931328"/>
    <w:rsid w:val="009313D2"/>
    <w:rsid w:val="009314E7"/>
    <w:rsid w:val="009315AC"/>
    <w:rsid w:val="00931ACD"/>
    <w:rsid w:val="009322D2"/>
    <w:rsid w:val="00932489"/>
    <w:rsid w:val="009325E3"/>
    <w:rsid w:val="00932726"/>
    <w:rsid w:val="009329F3"/>
    <w:rsid w:val="00932A67"/>
    <w:rsid w:val="00932D55"/>
    <w:rsid w:val="009332DD"/>
    <w:rsid w:val="00933401"/>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FF5"/>
    <w:rsid w:val="009360AA"/>
    <w:rsid w:val="0093618C"/>
    <w:rsid w:val="009361C1"/>
    <w:rsid w:val="009363D8"/>
    <w:rsid w:val="009363ED"/>
    <w:rsid w:val="009365BA"/>
    <w:rsid w:val="0093675E"/>
    <w:rsid w:val="0093693B"/>
    <w:rsid w:val="00936F6F"/>
    <w:rsid w:val="009372F1"/>
    <w:rsid w:val="00937513"/>
    <w:rsid w:val="009376DA"/>
    <w:rsid w:val="009377A5"/>
    <w:rsid w:val="009378C2"/>
    <w:rsid w:val="00937A98"/>
    <w:rsid w:val="00937C59"/>
    <w:rsid w:val="00937D7C"/>
    <w:rsid w:val="00937FDB"/>
    <w:rsid w:val="009402DE"/>
    <w:rsid w:val="00940525"/>
    <w:rsid w:val="00940A12"/>
    <w:rsid w:val="00940EA2"/>
    <w:rsid w:val="00940FC2"/>
    <w:rsid w:val="009410F5"/>
    <w:rsid w:val="0094149B"/>
    <w:rsid w:val="00941536"/>
    <w:rsid w:val="009418E4"/>
    <w:rsid w:val="00941A8C"/>
    <w:rsid w:val="00941B27"/>
    <w:rsid w:val="00941C4B"/>
    <w:rsid w:val="00942126"/>
    <w:rsid w:val="009421D9"/>
    <w:rsid w:val="00942230"/>
    <w:rsid w:val="009422D8"/>
    <w:rsid w:val="00942445"/>
    <w:rsid w:val="009428F5"/>
    <w:rsid w:val="009429C6"/>
    <w:rsid w:val="00942E24"/>
    <w:rsid w:val="00942FA7"/>
    <w:rsid w:val="009431C9"/>
    <w:rsid w:val="009434D5"/>
    <w:rsid w:val="009435DF"/>
    <w:rsid w:val="009438E7"/>
    <w:rsid w:val="00943906"/>
    <w:rsid w:val="00943CD7"/>
    <w:rsid w:val="00943D0A"/>
    <w:rsid w:val="009440A2"/>
    <w:rsid w:val="00944664"/>
    <w:rsid w:val="00944894"/>
    <w:rsid w:val="00944A47"/>
    <w:rsid w:val="00944E4A"/>
    <w:rsid w:val="00945B14"/>
    <w:rsid w:val="00945DCE"/>
    <w:rsid w:val="00945E14"/>
    <w:rsid w:val="00945F4E"/>
    <w:rsid w:val="0094607A"/>
    <w:rsid w:val="009463AC"/>
    <w:rsid w:val="0094666D"/>
    <w:rsid w:val="00946E95"/>
    <w:rsid w:val="009501C4"/>
    <w:rsid w:val="009502D5"/>
    <w:rsid w:val="00950481"/>
    <w:rsid w:val="00950565"/>
    <w:rsid w:val="00950585"/>
    <w:rsid w:val="00950625"/>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56B"/>
    <w:rsid w:val="0095297B"/>
    <w:rsid w:val="00952B6A"/>
    <w:rsid w:val="00952BC0"/>
    <w:rsid w:val="00952E74"/>
    <w:rsid w:val="0095308B"/>
    <w:rsid w:val="009532C4"/>
    <w:rsid w:val="009533E0"/>
    <w:rsid w:val="0095363B"/>
    <w:rsid w:val="009537CA"/>
    <w:rsid w:val="009539E8"/>
    <w:rsid w:val="00953A0F"/>
    <w:rsid w:val="00953D1B"/>
    <w:rsid w:val="009541DA"/>
    <w:rsid w:val="00954640"/>
    <w:rsid w:val="0095478B"/>
    <w:rsid w:val="00954837"/>
    <w:rsid w:val="0095490F"/>
    <w:rsid w:val="00954A4F"/>
    <w:rsid w:val="00954AC0"/>
    <w:rsid w:val="00954F17"/>
    <w:rsid w:val="00955592"/>
    <w:rsid w:val="00955641"/>
    <w:rsid w:val="00955662"/>
    <w:rsid w:val="00956748"/>
    <w:rsid w:val="009567AE"/>
    <w:rsid w:val="00956BB7"/>
    <w:rsid w:val="00956BBE"/>
    <w:rsid w:val="0095736B"/>
    <w:rsid w:val="00957382"/>
    <w:rsid w:val="009573ED"/>
    <w:rsid w:val="009574CB"/>
    <w:rsid w:val="00957854"/>
    <w:rsid w:val="00957F6E"/>
    <w:rsid w:val="0096039F"/>
    <w:rsid w:val="0096057B"/>
    <w:rsid w:val="00960775"/>
    <w:rsid w:val="009607E1"/>
    <w:rsid w:val="00960893"/>
    <w:rsid w:val="00960EC2"/>
    <w:rsid w:val="00960F1C"/>
    <w:rsid w:val="00960F1F"/>
    <w:rsid w:val="0096106B"/>
    <w:rsid w:val="0096132A"/>
    <w:rsid w:val="00961408"/>
    <w:rsid w:val="00962116"/>
    <w:rsid w:val="009623DD"/>
    <w:rsid w:val="00962CC7"/>
    <w:rsid w:val="00962E48"/>
    <w:rsid w:val="0096305B"/>
    <w:rsid w:val="009633B5"/>
    <w:rsid w:val="009638F0"/>
    <w:rsid w:val="00963DCD"/>
    <w:rsid w:val="00963E48"/>
    <w:rsid w:val="00963F16"/>
    <w:rsid w:val="00964121"/>
    <w:rsid w:val="00964479"/>
    <w:rsid w:val="00964610"/>
    <w:rsid w:val="00964AD0"/>
    <w:rsid w:val="00964B2B"/>
    <w:rsid w:val="00964B8F"/>
    <w:rsid w:val="00964BBA"/>
    <w:rsid w:val="00964D3D"/>
    <w:rsid w:val="00964D90"/>
    <w:rsid w:val="0096569A"/>
    <w:rsid w:val="00965774"/>
    <w:rsid w:val="00965B6C"/>
    <w:rsid w:val="00965F9B"/>
    <w:rsid w:val="009660DA"/>
    <w:rsid w:val="00966479"/>
    <w:rsid w:val="00966551"/>
    <w:rsid w:val="009665A0"/>
    <w:rsid w:val="0096663D"/>
    <w:rsid w:val="009667CA"/>
    <w:rsid w:val="00966A6B"/>
    <w:rsid w:val="009670E1"/>
    <w:rsid w:val="009672E7"/>
    <w:rsid w:val="009677C3"/>
    <w:rsid w:val="009679E7"/>
    <w:rsid w:val="00967DA4"/>
    <w:rsid w:val="00967EA8"/>
    <w:rsid w:val="00970311"/>
    <w:rsid w:val="009703D8"/>
    <w:rsid w:val="009704C6"/>
    <w:rsid w:val="00970529"/>
    <w:rsid w:val="00970D22"/>
    <w:rsid w:val="00971212"/>
    <w:rsid w:val="00971507"/>
    <w:rsid w:val="00971B0C"/>
    <w:rsid w:val="00971B96"/>
    <w:rsid w:val="00971BD3"/>
    <w:rsid w:val="00971CFD"/>
    <w:rsid w:val="00971F48"/>
    <w:rsid w:val="00971F4C"/>
    <w:rsid w:val="0097228E"/>
    <w:rsid w:val="009723EC"/>
    <w:rsid w:val="00972686"/>
    <w:rsid w:val="00972688"/>
    <w:rsid w:val="009726F1"/>
    <w:rsid w:val="00972783"/>
    <w:rsid w:val="00972957"/>
    <w:rsid w:val="00972C4C"/>
    <w:rsid w:val="00972C99"/>
    <w:rsid w:val="00972E23"/>
    <w:rsid w:val="00972F04"/>
    <w:rsid w:val="00973542"/>
    <w:rsid w:val="00973653"/>
    <w:rsid w:val="009739A9"/>
    <w:rsid w:val="00973FD7"/>
    <w:rsid w:val="00974008"/>
    <w:rsid w:val="009744FF"/>
    <w:rsid w:val="00974582"/>
    <w:rsid w:val="0097461B"/>
    <w:rsid w:val="009747C0"/>
    <w:rsid w:val="00974949"/>
    <w:rsid w:val="00974C8B"/>
    <w:rsid w:val="00974DB6"/>
    <w:rsid w:val="00974EA4"/>
    <w:rsid w:val="0097530A"/>
    <w:rsid w:val="00975451"/>
    <w:rsid w:val="009754EB"/>
    <w:rsid w:val="009755F1"/>
    <w:rsid w:val="00975C2E"/>
    <w:rsid w:val="00975D3E"/>
    <w:rsid w:val="00975E4D"/>
    <w:rsid w:val="00976776"/>
    <w:rsid w:val="0097694D"/>
    <w:rsid w:val="00976DE1"/>
    <w:rsid w:val="0097713D"/>
    <w:rsid w:val="00977207"/>
    <w:rsid w:val="0097727B"/>
    <w:rsid w:val="00977499"/>
    <w:rsid w:val="00977558"/>
    <w:rsid w:val="00977629"/>
    <w:rsid w:val="0097763B"/>
    <w:rsid w:val="00977752"/>
    <w:rsid w:val="0097799E"/>
    <w:rsid w:val="00977B1A"/>
    <w:rsid w:val="00977E45"/>
    <w:rsid w:val="00977FD4"/>
    <w:rsid w:val="0098014E"/>
    <w:rsid w:val="00980278"/>
    <w:rsid w:val="009803E3"/>
    <w:rsid w:val="009805B8"/>
    <w:rsid w:val="009806DC"/>
    <w:rsid w:val="00980939"/>
    <w:rsid w:val="0098099A"/>
    <w:rsid w:val="00980AF6"/>
    <w:rsid w:val="00980D95"/>
    <w:rsid w:val="0098117A"/>
    <w:rsid w:val="00981294"/>
    <w:rsid w:val="009812CB"/>
    <w:rsid w:val="00981653"/>
    <w:rsid w:val="00981E83"/>
    <w:rsid w:val="00982B87"/>
    <w:rsid w:val="00982BDC"/>
    <w:rsid w:val="00982FAC"/>
    <w:rsid w:val="00983520"/>
    <w:rsid w:val="0098385A"/>
    <w:rsid w:val="00983FBA"/>
    <w:rsid w:val="00984217"/>
    <w:rsid w:val="00984227"/>
    <w:rsid w:val="0098441E"/>
    <w:rsid w:val="009846E3"/>
    <w:rsid w:val="00984750"/>
    <w:rsid w:val="00984770"/>
    <w:rsid w:val="00984908"/>
    <w:rsid w:val="009849C3"/>
    <w:rsid w:val="00984E41"/>
    <w:rsid w:val="00985148"/>
    <w:rsid w:val="00985377"/>
    <w:rsid w:val="00985391"/>
    <w:rsid w:val="009855A1"/>
    <w:rsid w:val="009856D0"/>
    <w:rsid w:val="00985A6B"/>
    <w:rsid w:val="00985AEF"/>
    <w:rsid w:val="00985F59"/>
    <w:rsid w:val="009862FB"/>
    <w:rsid w:val="0098645D"/>
    <w:rsid w:val="00986D74"/>
    <w:rsid w:val="00986E57"/>
    <w:rsid w:val="00986E5F"/>
    <w:rsid w:val="00986F2B"/>
    <w:rsid w:val="0098723B"/>
    <w:rsid w:val="00987297"/>
    <w:rsid w:val="0098742B"/>
    <w:rsid w:val="009874D1"/>
    <w:rsid w:val="0098771C"/>
    <w:rsid w:val="00987959"/>
    <w:rsid w:val="00987A4C"/>
    <w:rsid w:val="00987ABD"/>
    <w:rsid w:val="00987CB4"/>
    <w:rsid w:val="00987D5C"/>
    <w:rsid w:val="00987D5D"/>
    <w:rsid w:val="00987DF8"/>
    <w:rsid w:val="00987E60"/>
    <w:rsid w:val="00987F98"/>
    <w:rsid w:val="00990094"/>
    <w:rsid w:val="009901FE"/>
    <w:rsid w:val="009902EA"/>
    <w:rsid w:val="009904B2"/>
    <w:rsid w:val="0099054D"/>
    <w:rsid w:val="009906B2"/>
    <w:rsid w:val="009908F2"/>
    <w:rsid w:val="00990A15"/>
    <w:rsid w:val="00990A54"/>
    <w:rsid w:val="00990B3D"/>
    <w:rsid w:val="00990DEF"/>
    <w:rsid w:val="00990F81"/>
    <w:rsid w:val="00991035"/>
    <w:rsid w:val="00991057"/>
    <w:rsid w:val="00991EBB"/>
    <w:rsid w:val="00992396"/>
    <w:rsid w:val="009924A8"/>
    <w:rsid w:val="009926A7"/>
    <w:rsid w:val="009926D0"/>
    <w:rsid w:val="00992B75"/>
    <w:rsid w:val="00992DD9"/>
    <w:rsid w:val="00993081"/>
    <w:rsid w:val="009930BA"/>
    <w:rsid w:val="0099333B"/>
    <w:rsid w:val="00993E01"/>
    <w:rsid w:val="00993EE5"/>
    <w:rsid w:val="0099401A"/>
    <w:rsid w:val="0099414D"/>
    <w:rsid w:val="009943C6"/>
    <w:rsid w:val="00994510"/>
    <w:rsid w:val="009946DD"/>
    <w:rsid w:val="0099480A"/>
    <w:rsid w:val="00994ACD"/>
    <w:rsid w:val="00994EDA"/>
    <w:rsid w:val="00995212"/>
    <w:rsid w:val="00995241"/>
    <w:rsid w:val="00995297"/>
    <w:rsid w:val="0099598B"/>
    <w:rsid w:val="00995BB9"/>
    <w:rsid w:val="00995DBA"/>
    <w:rsid w:val="00995E77"/>
    <w:rsid w:val="00995EA7"/>
    <w:rsid w:val="00995F1F"/>
    <w:rsid w:val="00996001"/>
    <w:rsid w:val="009962A8"/>
    <w:rsid w:val="00996391"/>
    <w:rsid w:val="00996731"/>
    <w:rsid w:val="00996735"/>
    <w:rsid w:val="0099692B"/>
    <w:rsid w:val="00996A16"/>
    <w:rsid w:val="00996AE3"/>
    <w:rsid w:val="00996B8B"/>
    <w:rsid w:val="00996CBC"/>
    <w:rsid w:val="00996DCC"/>
    <w:rsid w:val="00997040"/>
    <w:rsid w:val="00997062"/>
    <w:rsid w:val="009971F7"/>
    <w:rsid w:val="00997265"/>
    <w:rsid w:val="0099754E"/>
    <w:rsid w:val="009976B8"/>
    <w:rsid w:val="00997C64"/>
    <w:rsid w:val="00997F48"/>
    <w:rsid w:val="009A009C"/>
    <w:rsid w:val="009A00CD"/>
    <w:rsid w:val="009A0193"/>
    <w:rsid w:val="009A04C7"/>
    <w:rsid w:val="009A0554"/>
    <w:rsid w:val="009A0E08"/>
    <w:rsid w:val="009A1560"/>
    <w:rsid w:val="009A1579"/>
    <w:rsid w:val="009A179A"/>
    <w:rsid w:val="009A1B30"/>
    <w:rsid w:val="009A1EC8"/>
    <w:rsid w:val="009A2002"/>
    <w:rsid w:val="009A2069"/>
    <w:rsid w:val="009A2098"/>
    <w:rsid w:val="009A2249"/>
    <w:rsid w:val="009A238E"/>
    <w:rsid w:val="009A2426"/>
    <w:rsid w:val="009A2552"/>
    <w:rsid w:val="009A27DC"/>
    <w:rsid w:val="009A28C1"/>
    <w:rsid w:val="009A312B"/>
    <w:rsid w:val="009A3250"/>
    <w:rsid w:val="009A32D5"/>
    <w:rsid w:val="009A37FE"/>
    <w:rsid w:val="009A3B8A"/>
    <w:rsid w:val="009A3C85"/>
    <w:rsid w:val="009A3CA6"/>
    <w:rsid w:val="009A3E48"/>
    <w:rsid w:val="009A3E50"/>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8C9"/>
    <w:rsid w:val="009A6B0E"/>
    <w:rsid w:val="009A6F58"/>
    <w:rsid w:val="009A70D7"/>
    <w:rsid w:val="009A77FC"/>
    <w:rsid w:val="009A7946"/>
    <w:rsid w:val="009A7BA1"/>
    <w:rsid w:val="009A7E11"/>
    <w:rsid w:val="009B03CC"/>
    <w:rsid w:val="009B05BF"/>
    <w:rsid w:val="009B08C9"/>
    <w:rsid w:val="009B0AA6"/>
    <w:rsid w:val="009B0AAE"/>
    <w:rsid w:val="009B0C06"/>
    <w:rsid w:val="009B1274"/>
    <w:rsid w:val="009B18BD"/>
    <w:rsid w:val="009B1DDD"/>
    <w:rsid w:val="009B2038"/>
    <w:rsid w:val="009B20C8"/>
    <w:rsid w:val="009B213B"/>
    <w:rsid w:val="009B2222"/>
    <w:rsid w:val="009B2250"/>
    <w:rsid w:val="009B266D"/>
    <w:rsid w:val="009B2703"/>
    <w:rsid w:val="009B2AA8"/>
    <w:rsid w:val="009B2ADA"/>
    <w:rsid w:val="009B2BCE"/>
    <w:rsid w:val="009B2C3C"/>
    <w:rsid w:val="009B2F54"/>
    <w:rsid w:val="009B3311"/>
    <w:rsid w:val="009B36A6"/>
    <w:rsid w:val="009B37FE"/>
    <w:rsid w:val="009B3B99"/>
    <w:rsid w:val="009B3CDC"/>
    <w:rsid w:val="009B3D1F"/>
    <w:rsid w:val="009B3F7E"/>
    <w:rsid w:val="009B4016"/>
    <w:rsid w:val="009B437E"/>
    <w:rsid w:val="009B4530"/>
    <w:rsid w:val="009B460D"/>
    <w:rsid w:val="009B49F6"/>
    <w:rsid w:val="009B4A46"/>
    <w:rsid w:val="009B4E38"/>
    <w:rsid w:val="009B4EF5"/>
    <w:rsid w:val="009B4FC8"/>
    <w:rsid w:val="009B51F1"/>
    <w:rsid w:val="009B562B"/>
    <w:rsid w:val="009B570C"/>
    <w:rsid w:val="009B5976"/>
    <w:rsid w:val="009B5F8E"/>
    <w:rsid w:val="009B5FF7"/>
    <w:rsid w:val="009B6259"/>
    <w:rsid w:val="009B64EC"/>
    <w:rsid w:val="009B6587"/>
    <w:rsid w:val="009B6830"/>
    <w:rsid w:val="009B6970"/>
    <w:rsid w:val="009B69F5"/>
    <w:rsid w:val="009B6B19"/>
    <w:rsid w:val="009B6E86"/>
    <w:rsid w:val="009B6F8C"/>
    <w:rsid w:val="009B6FA2"/>
    <w:rsid w:val="009B7183"/>
    <w:rsid w:val="009B73AB"/>
    <w:rsid w:val="009B74F1"/>
    <w:rsid w:val="009B75A6"/>
    <w:rsid w:val="009B765C"/>
    <w:rsid w:val="009B7B6E"/>
    <w:rsid w:val="009B7E10"/>
    <w:rsid w:val="009B7EAF"/>
    <w:rsid w:val="009C035D"/>
    <w:rsid w:val="009C037C"/>
    <w:rsid w:val="009C048C"/>
    <w:rsid w:val="009C0636"/>
    <w:rsid w:val="009C0A1B"/>
    <w:rsid w:val="009C0D9E"/>
    <w:rsid w:val="009C0DAB"/>
    <w:rsid w:val="009C132B"/>
    <w:rsid w:val="009C1398"/>
    <w:rsid w:val="009C14CC"/>
    <w:rsid w:val="009C14DA"/>
    <w:rsid w:val="009C154B"/>
    <w:rsid w:val="009C19F7"/>
    <w:rsid w:val="009C1BB4"/>
    <w:rsid w:val="009C1BBD"/>
    <w:rsid w:val="009C1C78"/>
    <w:rsid w:val="009C1FB6"/>
    <w:rsid w:val="009C20C6"/>
    <w:rsid w:val="009C2A89"/>
    <w:rsid w:val="009C2ADB"/>
    <w:rsid w:val="009C3087"/>
    <w:rsid w:val="009C31C9"/>
    <w:rsid w:val="009C31E7"/>
    <w:rsid w:val="009C328C"/>
    <w:rsid w:val="009C377C"/>
    <w:rsid w:val="009C3AC8"/>
    <w:rsid w:val="009C3BC7"/>
    <w:rsid w:val="009C3D24"/>
    <w:rsid w:val="009C42BA"/>
    <w:rsid w:val="009C42BC"/>
    <w:rsid w:val="009C47F8"/>
    <w:rsid w:val="009C48BD"/>
    <w:rsid w:val="009C4B9A"/>
    <w:rsid w:val="009C525C"/>
    <w:rsid w:val="009C5433"/>
    <w:rsid w:val="009C59DE"/>
    <w:rsid w:val="009C5C8E"/>
    <w:rsid w:val="009C5D7B"/>
    <w:rsid w:val="009C5F5D"/>
    <w:rsid w:val="009C6F6E"/>
    <w:rsid w:val="009C7321"/>
    <w:rsid w:val="009C796E"/>
    <w:rsid w:val="009C79C8"/>
    <w:rsid w:val="009C79CF"/>
    <w:rsid w:val="009C7AED"/>
    <w:rsid w:val="009C7C40"/>
    <w:rsid w:val="009D014E"/>
    <w:rsid w:val="009D01D3"/>
    <w:rsid w:val="009D0258"/>
    <w:rsid w:val="009D02F8"/>
    <w:rsid w:val="009D0394"/>
    <w:rsid w:val="009D03C4"/>
    <w:rsid w:val="009D03D9"/>
    <w:rsid w:val="009D0703"/>
    <w:rsid w:val="009D07FA"/>
    <w:rsid w:val="009D08D1"/>
    <w:rsid w:val="009D0D5B"/>
    <w:rsid w:val="009D0EAE"/>
    <w:rsid w:val="009D1061"/>
    <w:rsid w:val="009D12E4"/>
    <w:rsid w:val="009D12FB"/>
    <w:rsid w:val="009D1596"/>
    <w:rsid w:val="009D19AA"/>
    <w:rsid w:val="009D1BF4"/>
    <w:rsid w:val="009D1CC2"/>
    <w:rsid w:val="009D1DFA"/>
    <w:rsid w:val="009D217C"/>
    <w:rsid w:val="009D2339"/>
    <w:rsid w:val="009D2483"/>
    <w:rsid w:val="009D2754"/>
    <w:rsid w:val="009D28C2"/>
    <w:rsid w:val="009D2D6A"/>
    <w:rsid w:val="009D3162"/>
    <w:rsid w:val="009D326E"/>
    <w:rsid w:val="009D3383"/>
    <w:rsid w:val="009D339A"/>
    <w:rsid w:val="009D371A"/>
    <w:rsid w:val="009D3BC6"/>
    <w:rsid w:val="009D3C20"/>
    <w:rsid w:val="009D3EA3"/>
    <w:rsid w:val="009D4183"/>
    <w:rsid w:val="009D441E"/>
    <w:rsid w:val="009D4547"/>
    <w:rsid w:val="009D45D2"/>
    <w:rsid w:val="009D4644"/>
    <w:rsid w:val="009D4783"/>
    <w:rsid w:val="009D4A8D"/>
    <w:rsid w:val="009D4A9B"/>
    <w:rsid w:val="009D4B65"/>
    <w:rsid w:val="009D4F7B"/>
    <w:rsid w:val="009D4FC6"/>
    <w:rsid w:val="009D528D"/>
    <w:rsid w:val="009D545D"/>
    <w:rsid w:val="009D5C2B"/>
    <w:rsid w:val="009D5DCD"/>
    <w:rsid w:val="009D618D"/>
    <w:rsid w:val="009D638D"/>
    <w:rsid w:val="009D690D"/>
    <w:rsid w:val="009D6BC2"/>
    <w:rsid w:val="009D6CB3"/>
    <w:rsid w:val="009D6F7C"/>
    <w:rsid w:val="009D6FEA"/>
    <w:rsid w:val="009D73F8"/>
    <w:rsid w:val="009D7A0F"/>
    <w:rsid w:val="009D7D00"/>
    <w:rsid w:val="009D7D52"/>
    <w:rsid w:val="009E00E5"/>
    <w:rsid w:val="009E02A1"/>
    <w:rsid w:val="009E05C6"/>
    <w:rsid w:val="009E0936"/>
    <w:rsid w:val="009E1593"/>
    <w:rsid w:val="009E1972"/>
    <w:rsid w:val="009E1A7B"/>
    <w:rsid w:val="009E1B3F"/>
    <w:rsid w:val="009E25F9"/>
    <w:rsid w:val="009E2F79"/>
    <w:rsid w:val="009E2F99"/>
    <w:rsid w:val="009E30A9"/>
    <w:rsid w:val="009E3501"/>
    <w:rsid w:val="009E3546"/>
    <w:rsid w:val="009E3C8C"/>
    <w:rsid w:val="009E3DD7"/>
    <w:rsid w:val="009E3EE1"/>
    <w:rsid w:val="009E4028"/>
    <w:rsid w:val="009E4349"/>
    <w:rsid w:val="009E43FE"/>
    <w:rsid w:val="009E45C0"/>
    <w:rsid w:val="009E47F1"/>
    <w:rsid w:val="009E49F4"/>
    <w:rsid w:val="009E4C0E"/>
    <w:rsid w:val="009E4D54"/>
    <w:rsid w:val="009E4FC0"/>
    <w:rsid w:val="009E5089"/>
    <w:rsid w:val="009E525D"/>
    <w:rsid w:val="009E5509"/>
    <w:rsid w:val="009E55D5"/>
    <w:rsid w:val="009E59D9"/>
    <w:rsid w:val="009E5CA2"/>
    <w:rsid w:val="009E5EED"/>
    <w:rsid w:val="009E5F9D"/>
    <w:rsid w:val="009E6253"/>
    <w:rsid w:val="009E6366"/>
    <w:rsid w:val="009E6709"/>
    <w:rsid w:val="009E6CF6"/>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E23"/>
    <w:rsid w:val="009F10D4"/>
    <w:rsid w:val="009F11A1"/>
    <w:rsid w:val="009F1498"/>
    <w:rsid w:val="009F16A8"/>
    <w:rsid w:val="009F16D2"/>
    <w:rsid w:val="009F1762"/>
    <w:rsid w:val="009F1DBC"/>
    <w:rsid w:val="009F2062"/>
    <w:rsid w:val="009F248D"/>
    <w:rsid w:val="009F26E4"/>
    <w:rsid w:val="009F288E"/>
    <w:rsid w:val="009F2A69"/>
    <w:rsid w:val="009F2C61"/>
    <w:rsid w:val="009F2C82"/>
    <w:rsid w:val="009F2CBF"/>
    <w:rsid w:val="009F2D6C"/>
    <w:rsid w:val="009F311C"/>
    <w:rsid w:val="009F3128"/>
    <w:rsid w:val="009F3305"/>
    <w:rsid w:val="009F349A"/>
    <w:rsid w:val="009F3A05"/>
    <w:rsid w:val="009F3AE4"/>
    <w:rsid w:val="009F3C12"/>
    <w:rsid w:val="009F3C64"/>
    <w:rsid w:val="009F3CBE"/>
    <w:rsid w:val="009F3D02"/>
    <w:rsid w:val="009F3F56"/>
    <w:rsid w:val="009F3F8D"/>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BD1"/>
    <w:rsid w:val="009F5BF4"/>
    <w:rsid w:val="009F5FF2"/>
    <w:rsid w:val="009F61B8"/>
    <w:rsid w:val="009F6939"/>
    <w:rsid w:val="009F6949"/>
    <w:rsid w:val="009F6A16"/>
    <w:rsid w:val="009F6CFD"/>
    <w:rsid w:val="009F6F51"/>
    <w:rsid w:val="009F71D3"/>
    <w:rsid w:val="009F784E"/>
    <w:rsid w:val="009F78D1"/>
    <w:rsid w:val="009F78F4"/>
    <w:rsid w:val="009F7907"/>
    <w:rsid w:val="009F79E4"/>
    <w:rsid w:val="009F7A38"/>
    <w:rsid w:val="009F7C04"/>
    <w:rsid w:val="009F7D11"/>
    <w:rsid w:val="00A00049"/>
    <w:rsid w:val="00A001ED"/>
    <w:rsid w:val="00A00656"/>
    <w:rsid w:val="00A00667"/>
    <w:rsid w:val="00A00949"/>
    <w:rsid w:val="00A00BE9"/>
    <w:rsid w:val="00A00D03"/>
    <w:rsid w:val="00A00DE4"/>
    <w:rsid w:val="00A01056"/>
    <w:rsid w:val="00A010BF"/>
    <w:rsid w:val="00A01AF9"/>
    <w:rsid w:val="00A01E9D"/>
    <w:rsid w:val="00A023FF"/>
    <w:rsid w:val="00A02B1B"/>
    <w:rsid w:val="00A02B2D"/>
    <w:rsid w:val="00A02E79"/>
    <w:rsid w:val="00A02F47"/>
    <w:rsid w:val="00A0311E"/>
    <w:rsid w:val="00A032CE"/>
    <w:rsid w:val="00A03371"/>
    <w:rsid w:val="00A0341E"/>
    <w:rsid w:val="00A03586"/>
    <w:rsid w:val="00A03937"/>
    <w:rsid w:val="00A03BF7"/>
    <w:rsid w:val="00A03FC9"/>
    <w:rsid w:val="00A04310"/>
    <w:rsid w:val="00A047D1"/>
    <w:rsid w:val="00A04B62"/>
    <w:rsid w:val="00A04BC8"/>
    <w:rsid w:val="00A0523C"/>
    <w:rsid w:val="00A055AE"/>
    <w:rsid w:val="00A0632B"/>
    <w:rsid w:val="00A06443"/>
    <w:rsid w:val="00A06564"/>
    <w:rsid w:val="00A06C1E"/>
    <w:rsid w:val="00A06C67"/>
    <w:rsid w:val="00A06F65"/>
    <w:rsid w:val="00A07267"/>
    <w:rsid w:val="00A0743E"/>
    <w:rsid w:val="00A076DA"/>
    <w:rsid w:val="00A077B8"/>
    <w:rsid w:val="00A100CD"/>
    <w:rsid w:val="00A1017B"/>
    <w:rsid w:val="00A1075E"/>
    <w:rsid w:val="00A10F49"/>
    <w:rsid w:val="00A10FA7"/>
    <w:rsid w:val="00A11148"/>
    <w:rsid w:val="00A112D6"/>
    <w:rsid w:val="00A113E3"/>
    <w:rsid w:val="00A1156B"/>
    <w:rsid w:val="00A115D0"/>
    <w:rsid w:val="00A117A8"/>
    <w:rsid w:val="00A118EE"/>
    <w:rsid w:val="00A11BF7"/>
    <w:rsid w:val="00A11BFD"/>
    <w:rsid w:val="00A1201D"/>
    <w:rsid w:val="00A1211D"/>
    <w:rsid w:val="00A121F9"/>
    <w:rsid w:val="00A126F8"/>
    <w:rsid w:val="00A12981"/>
    <w:rsid w:val="00A12AEC"/>
    <w:rsid w:val="00A12E79"/>
    <w:rsid w:val="00A12EC7"/>
    <w:rsid w:val="00A12F9C"/>
    <w:rsid w:val="00A12FBB"/>
    <w:rsid w:val="00A1314A"/>
    <w:rsid w:val="00A132CA"/>
    <w:rsid w:val="00A13911"/>
    <w:rsid w:val="00A1395E"/>
    <w:rsid w:val="00A13A18"/>
    <w:rsid w:val="00A13EDC"/>
    <w:rsid w:val="00A13FDB"/>
    <w:rsid w:val="00A14336"/>
    <w:rsid w:val="00A144D4"/>
    <w:rsid w:val="00A145B6"/>
    <w:rsid w:val="00A146AC"/>
    <w:rsid w:val="00A147B9"/>
    <w:rsid w:val="00A148DC"/>
    <w:rsid w:val="00A14B0A"/>
    <w:rsid w:val="00A15454"/>
    <w:rsid w:val="00A15572"/>
    <w:rsid w:val="00A1586A"/>
    <w:rsid w:val="00A158DD"/>
    <w:rsid w:val="00A15C2F"/>
    <w:rsid w:val="00A15CA1"/>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BFA"/>
    <w:rsid w:val="00A17C46"/>
    <w:rsid w:val="00A20072"/>
    <w:rsid w:val="00A201CE"/>
    <w:rsid w:val="00A20366"/>
    <w:rsid w:val="00A20515"/>
    <w:rsid w:val="00A205BD"/>
    <w:rsid w:val="00A208C3"/>
    <w:rsid w:val="00A20B22"/>
    <w:rsid w:val="00A20CFD"/>
    <w:rsid w:val="00A20F1B"/>
    <w:rsid w:val="00A21235"/>
    <w:rsid w:val="00A21335"/>
    <w:rsid w:val="00A21427"/>
    <w:rsid w:val="00A21445"/>
    <w:rsid w:val="00A215F9"/>
    <w:rsid w:val="00A217B9"/>
    <w:rsid w:val="00A21B24"/>
    <w:rsid w:val="00A21C19"/>
    <w:rsid w:val="00A21ED1"/>
    <w:rsid w:val="00A21EDC"/>
    <w:rsid w:val="00A21FD4"/>
    <w:rsid w:val="00A2230A"/>
    <w:rsid w:val="00A22721"/>
    <w:rsid w:val="00A22ED9"/>
    <w:rsid w:val="00A22EF6"/>
    <w:rsid w:val="00A22F78"/>
    <w:rsid w:val="00A22FCC"/>
    <w:rsid w:val="00A23096"/>
    <w:rsid w:val="00A23303"/>
    <w:rsid w:val="00A233C3"/>
    <w:rsid w:val="00A23850"/>
    <w:rsid w:val="00A23A65"/>
    <w:rsid w:val="00A23F9C"/>
    <w:rsid w:val="00A23FCD"/>
    <w:rsid w:val="00A2403A"/>
    <w:rsid w:val="00A24114"/>
    <w:rsid w:val="00A241D5"/>
    <w:rsid w:val="00A24AE4"/>
    <w:rsid w:val="00A24DCE"/>
    <w:rsid w:val="00A24F9A"/>
    <w:rsid w:val="00A253D8"/>
    <w:rsid w:val="00A25926"/>
    <w:rsid w:val="00A25C0F"/>
    <w:rsid w:val="00A26444"/>
    <w:rsid w:val="00A2656E"/>
    <w:rsid w:val="00A266DF"/>
    <w:rsid w:val="00A268C1"/>
    <w:rsid w:val="00A268EC"/>
    <w:rsid w:val="00A26A4A"/>
    <w:rsid w:val="00A26DEA"/>
    <w:rsid w:val="00A26E86"/>
    <w:rsid w:val="00A27026"/>
    <w:rsid w:val="00A271D7"/>
    <w:rsid w:val="00A272A4"/>
    <w:rsid w:val="00A2774A"/>
    <w:rsid w:val="00A2791B"/>
    <w:rsid w:val="00A27B9C"/>
    <w:rsid w:val="00A3021F"/>
    <w:rsid w:val="00A3032F"/>
    <w:rsid w:val="00A303F8"/>
    <w:rsid w:val="00A309D7"/>
    <w:rsid w:val="00A30DDA"/>
    <w:rsid w:val="00A3152B"/>
    <w:rsid w:val="00A317F8"/>
    <w:rsid w:val="00A31996"/>
    <w:rsid w:val="00A31CBA"/>
    <w:rsid w:val="00A31CCB"/>
    <w:rsid w:val="00A31F5B"/>
    <w:rsid w:val="00A31F90"/>
    <w:rsid w:val="00A3206B"/>
    <w:rsid w:val="00A32582"/>
    <w:rsid w:val="00A326E3"/>
    <w:rsid w:val="00A3281F"/>
    <w:rsid w:val="00A32BB9"/>
    <w:rsid w:val="00A33208"/>
    <w:rsid w:val="00A33212"/>
    <w:rsid w:val="00A3341B"/>
    <w:rsid w:val="00A33438"/>
    <w:rsid w:val="00A334B3"/>
    <w:rsid w:val="00A33661"/>
    <w:rsid w:val="00A336C4"/>
    <w:rsid w:val="00A337D9"/>
    <w:rsid w:val="00A33F7A"/>
    <w:rsid w:val="00A3406F"/>
    <w:rsid w:val="00A34120"/>
    <w:rsid w:val="00A34591"/>
    <w:rsid w:val="00A3485C"/>
    <w:rsid w:val="00A34F6D"/>
    <w:rsid w:val="00A35532"/>
    <w:rsid w:val="00A35543"/>
    <w:rsid w:val="00A35595"/>
    <w:rsid w:val="00A356C4"/>
    <w:rsid w:val="00A357B5"/>
    <w:rsid w:val="00A35980"/>
    <w:rsid w:val="00A35BCA"/>
    <w:rsid w:val="00A35BD3"/>
    <w:rsid w:val="00A35F2B"/>
    <w:rsid w:val="00A35FE7"/>
    <w:rsid w:val="00A364E7"/>
    <w:rsid w:val="00A36581"/>
    <w:rsid w:val="00A369A3"/>
    <w:rsid w:val="00A36A5E"/>
    <w:rsid w:val="00A36A90"/>
    <w:rsid w:val="00A36C48"/>
    <w:rsid w:val="00A36D2B"/>
    <w:rsid w:val="00A36D75"/>
    <w:rsid w:val="00A36E0E"/>
    <w:rsid w:val="00A3700A"/>
    <w:rsid w:val="00A370B2"/>
    <w:rsid w:val="00A3739E"/>
    <w:rsid w:val="00A37412"/>
    <w:rsid w:val="00A374D7"/>
    <w:rsid w:val="00A37546"/>
    <w:rsid w:val="00A375BD"/>
    <w:rsid w:val="00A378F7"/>
    <w:rsid w:val="00A37D30"/>
    <w:rsid w:val="00A37D60"/>
    <w:rsid w:val="00A40099"/>
    <w:rsid w:val="00A402A4"/>
    <w:rsid w:val="00A405DA"/>
    <w:rsid w:val="00A407BE"/>
    <w:rsid w:val="00A40B42"/>
    <w:rsid w:val="00A40C48"/>
    <w:rsid w:val="00A40DD2"/>
    <w:rsid w:val="00A40E09"/>
    <w:rsid w:val="00A40EBA"/>
    <w:rsid w:val="00A40F10"/>
    <w:rsid w:val="00A41FB2"/>
    <w:rsid w:val="00A4224B"/>
    <w:rsid w:val="00A423DE"/>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8D1"/>
    <w:rsid w:val="00A4599E"/>
    <w:rsid w:val="00A45A00"/>
    <w:rsid w:val="00A45EFD"/>
    <w:rsid w:val="00A45FA3"/>
    <w:rsid w:val="00A4607D"/>
    <w:rsid w:val="00A46210"/>
    <w:rsid w:val="00A4646C"/>
    <w:rsid w:val="00A46582"/>
    <w:rsid w:val="00A466D3"/>
    <w:rsid w:val="00A46B44"/>
    <w:rsid w:val="00A46BAA"/>
    <w:rsid w:val="00A471A2"/>
    <w:rsid w:val="00A474B6"/>
    <w:rsid w:val="00A47D90"/>
    <w:rsid w:val="00A47E45"/>
    <w:rsid w:val="00A47F09"/>
    <w:rsid w:val="00A50878"/>
    <w:rsid w:val="00A50C24"/>
    <w:rsid w:val="00A50D9C"/>
    <w:rsid w:val="00A50FC1"/>
    <w:rsid w:val="00A50FF5"/>
    <w:rsid w:val="00A5150A"/>
    <w:rsid w:val="00A515F3"/>
    <w:rsid w:val="00A5171E"/>
    <w:rsid w:val="00A51907"/>
    <w:rsid w:val="00A51A68"/>
    <w:rsid w:val="00A51A8F"/>
    <w:rsid w:val="00A51C32"/>
    <w:rsid w:val="00A51C53"/>
    <w:rsid w:val="00A5225F"/>
    <w:rsid w:val="00A5226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740"/>
    <w:rsid w:val="00A53F93"/>
    <w:rsid w:val="00A54001"/>
    <w:rsid w:val="00A5403A"/>
    <w:rsid w:val="00A540E4"/>
    <w:rsid w:val="00A543AB"/>
    <w:rsid w:val="00A5468E"/>
    <w:rsid w:val="00A546C4"/>
    <w:rsid w:val="00A548D0"/>
    <w:rsid w:val="00A54D90"/>
    <w:rsid w:val="00A54DE0"/>
    <w:rsid w:val="00A54EC2"/>
    <w:rsid w:val="00A54ECB"/>
    <w:rsid w:val="00A55250"/>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909"/>
    <w:rsid w:val="00A6007D"/>
    <w:rsid w:val="00A60101"/>
    <w:rsid w:val="00A601D5"/>
    <w:rsid w:val="00A601E2"/>
    <w:rsid w:val="00A60235"/>
    <w:rsid w:val="00A607DE"/>
    <w:rsid w:val="00A609CA"/>
    <w:rsid w:val="00A609F1"/>
    <w:rsid w:val="00A60D1D"/>
    <w:rsid w:val="00A6109B"/>
    <w:rsid w:val="00A611BE"/>
    <w:rsid w:val="00A6167B"/>
    <w:rsid w:val="00A61A42"/>
    <w:rsid w:val="00A61B39"/>
    <w:rsid w:val="00A61CA9"/>
    <w:rsid w:val="00A61EA2"/>
    <w:rsid w:val="00A62093"/>
    <w:rsid w:val="00A621DC"/>
    <w:rsid w:val="00A6245F"/>
    <w:rsid w:val="00A6252A"/>
    <w:rsid w:val="00A626A0"/>
    <w:rsid w:val="00A626A4"/>
    <w:rsid w:val="00A62757"/>
    <w:rsid w:val="00A62D1C"/>
    <w:rsid w:val="00A63197"/>
    <w:rsid w:val="00A631AC"/>
    <w:rsid w:val="00A633D9"/>
    <w:rsid w:val="00A63482"/>
    <w:rsid w:val="00A637C6"/>
    <w:rsid w:val="00A63A14"/>
    <w:rsid w:val="00A63A58"/>
    <w:rsid w:val="00A63B52"/>
    <w:rsid w:val="00A63C3B"/>
    <w:rsid w:val="00A63E1F"/>
    <w:rsid w:val="00A63E76"/>
    <w:rsid w:val="00A641D1"/>
    <w:rsid w:val="00A64668"/>
    <w:rsid w:val="00A646DB"/>
    <w:rsid w:val="00A64753"/>
    <w:rsid w:val="00A64B93"/>
    <w:rsid w:val="00A64BDC"/>
    <w:rsid w:val="00A64CBF"/>
    <w:rsid w:val="00A64FBA"/>
    <w:rsid w:val="00A65009"/>
    <w:rsid w:val="00A652CE"/>
    <w:rsid w:val="00A6541D"/>
    <w:rsid w:val="00A65584"/>
    <w:rsid w:val="00A655C9"/>
    <w:rsid w:val="00A656A2"/>
    <w:rsid w:val="00A65B37"/>
    <w:rsid w:val="00A65C0A"/>
    <w:rsid w:val="00A65CF3"/>
    <w:rsid w:val="00A65D68"/>
    <w:rsid w:val="00A65E19"/>
    <w:rsid w:val="00A66218"/>
    <w:rsid w:val="00A667AA"/>
    <w:rsid w:val="00A667CE"/>
    <w:rsid w:val="00A66B26"/>
    <w:rsid w:val="00A66BA2"/>
    <w:rsid w:val="00A66FB3"/>
    <w:rsid w:val="00A675B4"/>
    <w:rsid w:val="00A67821"/>
    <w:rsid w:val="00A67907"/>
    <w:rsid w:val="00A6795C"/>
    <w:rsid w:val="00A70239"/>
    <w:rsid w:val="00A702D7"/>
    <w:rsid w:val="00A704B2"/>
    <w:rsid w:val="00A70657"/>
    <w:rsid w:val="00A709A2"/>
    <w:rsid w:val="00A70D87"/>
    <w:rsid w:val="00A70F21"/>
    <w:rsid w:val="00A70F79"/>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428"/>
    <w:rsid w:val="00A735D1"/>
    <w:rsid w:val="00A7365E"/>
    <w:rsid w:val="00A73985"/>
    <w:rsid w:val="00A73A35"/>
    <w:rsid w:val="00A73ADE"/>
    <w:rsid w:val="00A73B9F"/>
    <w:rsid w:val="00A73FBB"/>
    <w:rsid w:val="00A741D7"/>
    <w:rsid w:val="00A74237"/>
    <w:rsid w:val="00A74410"/>
    <w:rsid w:val="00A744D1"/>
    <w:rsid w:val="00A74564"/>
    <w:rsid w:val="00A74AC8"/>
    <w:rsid w:val="00A74B5A"/>
    <w:rsid w:val="00A74C03"/>
    <w:rsid w:val="00A74C9B"/>
    <w:rsid w:val="00A74EAD"/>
    <w:rsid w:val="00A74F25"/>
    <w:rsid w:val="00A74F8C"/>
    <w:rsid w:val="00A75828"/>
    <w:rsid w:val="00A7585B"/>
    <w:rsid w:val="00A75BFC"/>
    <w:rsid w:val="00A75C3C"/>
    <w:rsid w:val="00A75D8F"/>
    <w:rsid w:val="00A75E43"/>
    <w:rsid w:val="00A75E8C"/>
    <w:rsid w:val="00A7631B"/>
    <w:rsid w:val="00A769C3"/>
    <w:rsid w:val="00A76DC4"/>
    <w:rsid w:val="00A76DE2"/>
    <w:rsid w:val="00A775C1"/>
    <w:rsid w:val="00A777B6"/>
    <w:rsid w:val="00A77D29"/>
    <w:rsid w:val="00A77ED2"/>
    <w:rsid w:val="00A8017D"/>
    <w:rsid w:val="00A80611"/>
    <w:rsid w:val="00A809A0"/>
    <w:rsid w:val="00A80CB3"/>
    <w:rsid w:val="00A80E3A"/>
    <w:rsid w:val="00A8108B"/>
    <w:rsid w:val="00A81999"/>
    <w:rsid w:val="00A81B24"/>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38F"/>
    <w:rsid w:val="00A8462D"/>
    <w:rsid w:val="00A849EE"/>
    <w:rsid w:val="00A84A66"/>
    <w:rsid w:val="00A84C9D"/>
    <w:rsid w:val="00A84DFD"/>
    <w:rsid w:val="00A84FF4"/>
    <w:rsid w:val="00A8535C"/>
    <w:rsid w:val="00A8590C"/>
    <w:rsid w:val="00A85B55"/>
    <w:rsid w:val="00A85ED1"/>
    <w:rsid w:val="00A85F4A"/>
    <w:rsid w:val="00A860B8"/>
    <w:rsid w:val="00A8612D"/>
    <w:rsid w:val="00A86274"/>
    <w:rsid w:val="00A86465"/>
    <w:rsid w:val="00A864D5"/>
    <w:rsid w:val="00A86707"/>
    <w:rsid w:val="00A8688B"/>
    <w:rsid w:val="00A86AAD"/>
    <w:rsid w:val="00A86C7B"/>
    <w:rsid w:val="00A86DDB"/>
    <w:rsid w:val="00A86DE6"/>
    <w:rsid w:val="00A86E60"/>
    <w:rsid w:val="00A86FA7"/>
    <w:rsid w:val="00A87228"/>
    <w:rsid w:val="00A878E7"/>
    <w:rsid w:val="00A8796B"/>
    <w:rsid w:val="00A87EF5"/>
    <w:rsid w:val="00A87F79"/>
    <w:rsid w:val="00A90089"/>
    <w:rsid w:val="00A900C1"/>
    <w:rsid w:val="00A90336"/>
    <w:rsid w:val="00A909A6"/>
    <w:rsid w:val="00A909E1"/>
    <w:rsid w:val="00A90B18"/>
    <w:rsid w:val="00A91624"/>
    <w:rsid w:val="00A91657"/>
    <w:rsid w:val="00A91BAB"/>
    <w:rsid w:val="00A91C5A"/>
    <w:rsid w:val="00A91C82"/>
    <w:rsid w:val="00A9212C"/>
    <w:rsid w:val="00A92577"/>
    <w:rsid w:val="00A927B3"/>
    <w:rsid w:val="00A92BEC"/>
    <w:rsid w:val="00A93016"/>
    <w:rsid w:val="00A93047"/>
    <w:rsid w:val="00A93070"/>
    <w:rsid w:val="00A93692"/>
    <w:rsid w:val="00A937E2"/>
    <w:rsid w:val="00A93852"/>
    <w:rsid w:val="00A938F2"/>
    <w:rsid w:val="00A93B1A"/>
    <w:rsid w:val="00A93E64"/>
    <w:rsid w:val="00A940E7"/>
    <w:rsid w:val="00A94432"/>
    <w:rsid w:val="00A946A4"/>
    <w:rsid w:val="00A949DC"/>
    <w:rsid w:val="00A94C94"/>
    <w:rsid w:val="00A94EC9"/>
    <w:rsid w:val="00A9531D"/>
    <w:rsid w:val="00A95431"/>
    <w:rsid w:val="00A954E9"/>
    <w:rsid w:val="00A95547"/>
    <w:rsid w:val="00A95A64"/>
    <w:rsid w:val="00A95AE2"/>
    <w:rsid w:val="00A95BF5"/>
    <w:rsid w:val="00A95D05"/>
    <w:rsid w:val="00A95D3F"/>
    <w:rsid w:val="00A960D9"/>
    <w:rsid w:val="00A962B9"/>
    <w:rsid w:val="00A96882"/>
    <w:rsid w:val="00A969C8"/>
    <w:rsid w:val="00A97068"/>
    <w:rsid w:val="00A9769B"/>
    <w:rsid w:val="00A97753"/>
    <w:rsid w:val="00A97B0D"/>
    <w:rsid w:val="00A97C81"/>
    <w:rsid w:val="00AA01F3"/>
    <w:rsid w:val="00AA05BE"/>
    <w:rsid w:val="00AA0967"/>
    <w:rsid w:val="00AA0999"/>
    <w:rsid w:val="00AA0B74"/>
    <w:rsid w:val="00AA0C79"/>
    <w:rsid w:val="00AA0E83"/>
    <w:rsid w:val="00AA0F70"/>
    <w:rsid w:val="00AA0FED"/>
    <w:rsid w:val="00AA14C9"/>
    <w:rsid w:val="00AA1524"/>
    <w:rsid w:val="00AA17C5"/>
    <w:rsid w:val="00AA17D3"/>
    <w:rsid w:val="00AA1941"/>
    <w:rsid w:val="00AA19AA"/>
    <w:rsid w:val="00AA19F5"/>
    <w:rsid w:val="00AA1C6B"/>
    <w:rsid w:val="00AA212F"/>
    <w:rsid w:val="00AA22E2"/>
    <w:rsid w:val="00AA2411"/>
    <w:rsid w:val="00AA26C1"/>
    <w:rsid w:val="00AA29BE"/>
    <w:rsid w:val="00AA2C24"/>
    <w:rsid w:val="00AA2E0D"/>
    <w:rsid w:val="00AA2E14"/>
    <w:rsid w:val="00AA300A"/>
    <w:rsid w:val="00AA3174"/>
    <w:rsid w:val="00AA3187"/>
    <w:rsid w:val="00AA3189"/>
    <w:rsid w:val="00AA3410"/>
    <w:rsid w:val="00AA3EEF"/>
    <w:rsid w:val="00AA3FB2"/>
    <w:rsid w:val="00AA4498"/>
    <w:rsid w:val="00AA48A8"/>
    <w:rsid w:val="00AA4AFA"/>
    <w:rsid w:val="00AA4C5F"/>
    <w:rsid w:val="00AA4F25"/>
    <w:rsid w:val="00AA539B"/>
    <w:rsid w:val="00AA5761"/>
    <w:rsid w:val="00AA5846"/>
    <w:rsid w:val="00AA588F"/>
    <w:rsid w:val="00AA5CC7"/>
    <w:rsid w:val="00AA6000"/>
    <w:rsid w:val="00AA65CD"/>
    <w:rsid w:val="00AA66CA"/>
    <w:rsid w:val="00AA67FD"/>
    <w:rsid w:val="00AA696B"/>
    <w:rsid w:val="00AA6C55"/>
    <w:rsid w:val="00AA703D"/>
    <w:rsid w:val="00AA71F6"/>
    <w:rsid w:val="00AA7232"/>
    <w:rsid w:val="00AA7550"/>
    <w:rsid w:val="00AA78CE"/>
    <w:rsid w:val="00AA79DA"/>
    <w:rsid w:val="00AA7A17"/>
    <w:rsid w:val="00AA7DEF"/>
    <w:rsid w:val="00AA7F18"/>
    <w:rsid w:val="00AA7FF4"/>
    <w:rsid w:val="00AB0088"/>
    <w:rsid w:val="00AB01D8"/>
    <w:rsid w:val="00AB02F3"/>
    <w:rsid w:val="00AB05D4"/>
    <w:rsid w:val="00AB0B41"/>
    <w:rsid w:val="00AB0C8D"/>
    <w:rsid w:val="00AB0D29"/>
    <w:rsid w:val="00AB11DA"/>
    <w:rsid w:val="00AB13DF"/>
    <w:rsid w:val="00AB1497"/>
    <w:rsid w:val="00AB16D4"/>
    <w:rsid w:val="00AB195E"/>
    <w:rsid w:val="00AB197F"/>
    <w:rsid w:val="00AB1E9A"/>
    <w:rsid w:val="00AB1FED"/>
    <w:rsid w:val="00AB221B"/>
    <w:rsid w:val="00AB2468"/>
    <w:rsid w:val="00AB280C"/>
    <w:rsid w:val="00AB2D16"/>
    <w:rsid w:val="00AB2E2D"/>
    <w:rsid w:val="00AB2F2E"/>
    <w:rsid w:val="00AB30C7"/>
    <w:rsid w:val="00AB3245"/>
    <w:rsid w:val="00AB3271"/>
    <w:rsid w:val="00AB3424"/>
    <w:rsid w:val="00AB395D"/>
    <w:rsid w:val="00AB3994"/>
    <w:rsid w:val="00AB3B6C"/>
    <w:rsid w:val="00AB4714"/>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CB4"/>
    <w:rsid w:val="00AB7F0C"/>
    <w:rsid w:val="00AC0105"/>
    <w:rsid w:val="00AC0175"/>
    <w:rsid w:val="00AC02EA"/>
    <w:rsid w:val="00AC09A8"/>
    <w:rsid w:val="00AC09D4"/>
    <w:rsid w:val="00AC0EB8"/>
    <w:rsid w:val="00AC0EBD"/>
    <w:rsid w:val="00AC1057"/>
    <w:rsid w:val="00AC120C"/>
    <w:rsid w:val="00AC126E"/>
    <w:rsid w:val="00AC1428"/>
    <w:rsid w:val="00AC1596"/>
    <w:rsid w:val="00AC175A"/>
    <w:rsid w:val="00AC1870"/>
    <w:rsid w:val="00AC1AF4"/>
    <w:rsid w:val="00AC1B97"/>
    <w:rsid w:val="00AC1ED9"/>
    <w:rsid w:val="00AC1EE1"/>
    <w:rsid w:val="00AC1F1C"/>
    <w:rsid w:val="00AC21A3"/>
    <w:rsid w:val="00AC2511"/>
    <w:rsid w:val="00AC2741"/>
    <w:rsid w:val="00AC2B38"/>
    <w:rsid w:val="00AC31EE"/>
    <w:rsid w:val="00AC31FF"/>
    <w:rsid w:val="00AC349B"/>
    <w:rsid w:val="00AC38A6"/>
    <w:rsid w:val="00AC3B4F"/>
    <w:rsid w:val="00AC3B50"/>
    <w:rsid w:val="00AC3D8E"/>
    <w:rsid w:val="00AC3E07"/>
    <w:rsid w:val="00AC3F1A"/>
    <w:rsid w:val="00AC41F1"/>
    <w:rsid w:val="00AC42B2"/>
    <w:rsid w:val="00AC449D"/>
    <w:rsid w:val="00AC5097"/>
    <w:rsid w:val="00AC50BD"/>
    <w:rsid w:val="00AC5110"/>
    <w:rsid w:val="00AC515B"/>
    <w:rsid w:val="00AC5380"/>
    <w:rsid w:val="00AC569C"/>
    <w:rsid w:val="00AC57FD"/>
    <w:rsid w:val="00AC5886"/>
    <w:rsid w:val="00AC5A5E"/>
    <w:rsid w:val="00AC5DEA"/>
    <w:rsid w:val="00AC621A"/>
    <w:rsid w:val="00AC6232"/>
    <w:rsid w:val="00AC646B"/>
    <w:rsid w:val="00AC6628"/>
    <w:rsid w:val="00AC69B7"/>
    <w:rsid w:val="00AC7094"/>
    <w:rsid w:val="00AC70CA"/>
    <w:rsid w:val="00AC744C"/>
    <w:rsid w:val="00AC7842"/>
    <w:rsid w:val="00AC7A97"/>
    <w:rsid w:val="00AC7EC5"/>
    <w:rsid w:val="00AC7ED4"/>
    <w:rsid w:val="00AD01C0"/>
    <w:rsid w:val="00AD0242"/>
    <w:rsid w:val="00AD02D3"/>
    <w:rsid w:val="00AD0524"/>
    <w:rsid w:val="00AD0874"/>
    <w:rsid w:val="00AD087C"/>
    <w:rsid w:val="00AD08A9"/>
    <w:rsid w:val="00AD0ACB"/>
    <w:rsid w:val="00AD0C49"/>
    <w:rsid w:val="00AD0EB3"/>
    <w:rsid w:val="00AD167C"/>
    <w:rsid w:val="00AD1681"/>
    <w:rsid w:val="00AD16C9"/>
    <w:rsid w:val="00AD1741"/>
    <w:rsid w:val="00AD1778"/>
    <w:rsid w:val="00AD19F0"/>
    <w:rsid w:val="00AD1AAD"/>
    <w:rsid w:val="00AD1BF3"/>
    <w:rsid w:val="00AD1C21"/>
    <w:rsid w:val="00AD1DE5"/>
    <w:rsid w:val="00AD21FD"/>
    <w:rsid w:val="00AD2252"/>
    <w:rsid w:val="00AD2287"/>
    <w:rsid w:val="00AD240B"/>
    <w:rsid w:val="00AD2507"/>
    <w:rsid w:val="00AD2508"/>
    <w:rsid w:val="00AD252E"/>
    <w:rsid w:val="00AD2A5B"/>
    <w:rsid w:val="00AD2B90"/>
    <w:rsid w:val="00AD2D9A"/>
    <w:rsid w:val="00AD2FBE"/>
    <w:rsid w:val="00AD3007"/>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82E"/>
    <w:rsid w:val="00AD5DCD"/>
    <w:rsid w:val="00AD5F86"/>
    <w:rsid w:val="00AD6116"/>
    <w:rsid w:val="00AD68B2"/>
    <w:rsid w:val="00AD6A04"/>
    <w:rsid w:val="00AD6C4A"/>
    <w:rsid w:val="00AD6E4B"/>
    <w:rsid w:val="00AD7012"/>
    <w:rsid w:val="00AD7130"/>
    <w:rsid w:val="00AD73C3"/>
    <w:rsid w:val="00AD761E"/>
    <w:rsid w:val="00AD779D"/>
    <w:rsid w:val="00AD7DC8"/>
    <w:rsid w:val="00AD7E9D"/>
    <w:rsid w:val="00AE00B3"/>
    <w:rsid w:val="00AE03D8"/>
    <w:rsid w:val="00AE03E3"/>
    <w:rsid w:val="00AE04B7"/>
    <w:rsid w:val="00AE081F"/>
    <w:rsid w:val="00AE1051"/>
    <w:rsid w:val="00AE12A5"/>
    <w:rsid w:val="00AE16F4"/>
    <w:rsid w:val="00AE17C9"/>
    <w:rsid w:val="00AE1B0C"/>
    <w:rsid w:val="00AE1FE0"/>
    <w:rsid w:val="00AE252D"/>
    <w:rsid w:val="00AE2628"/>
    <w:rsid w:val="00AE265F"/>
    <w:rsid w:val="00AE2744"/>
    <w:rsid w:val="00AE2A57"/>
    <w:rsid w:val="00AE2D61"/>
    <w:rsid w:val="00AE2D7A"/>
    <w:rsid w:val="00AE2F06"/>
    <w:rsid w:val="00AE2F42"/>
    <w:rsid w:val="00AE2FE3"/>
    <w:rsid w:val="00AE3252"/>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21"/>
    <w:rsid w:val="00AE61E6"/>
    <w:rsid w:val="00AE64FD"/>
    <w:rsid w:val="00AE65E2"/>
    <w:rsid w:val="00AE6816"/>
    <w:rsid w:val="00AE68CC"/>
    <w:rsid w:val="00AE6A02"/>
    <w:rsid w:val="00AE6C90"/>
    <w:rsid w:val="00AE6CA6"/>
    <w:rsid w:val="00AE6CC0"/>
    <w:rsid w:val="00AE6CEF"/>
    <w:rsid w:val="00AE7149"/>
    <w:rsid w:val="00AE75C2"/>
    <w:rsid w:val="00AE75FA"/>
    <w:rsid w:val="00AE760B"/>
    <w:rsid w:val="00AE761E"/>
    <w:rsid w:val="00AE7A3E"/>
    <w:rsid w:val="00AE7ED8"/>
    <w:rsid w:val="00AE7F5B"/>
    <w:rsid w:val="00AF085A"/>
    <w:rsid w:val="00AF0B56"/>
    <w:rsid w:val="00AF0E6E"/>
    <w:rsid w:val="00AF0EC7"/>
    <w:rsid w:val="00AF0FCE"/>
    <w:rsid w:val="00AF1244"/>
    <w:rsid w:val="00AF131A"/>
    <w:rsid w:val="00AF131D"/>
    <w:rsid w:val="00AF177C"/>
    <w:rsid w:val="00AF1841"/>
    <w:rsid w:val="00AF1CAA"/>
    <w:rsid w:val="00AF1E5A"/>
    <w:rsid w:val="00AF202B"/>
    <w:rsid w:val="00AF2169"/>
    <w:rsid w:val="00AF26F4"/>
    <w:rsid w:val="00AF27C2"/>
    <w:rsid w:val="00AF2D0C"/>
    <w:rsid w:val="00AF31E5"/>
    <w:rsid w:val="00AF3234"/>
    <w:rsid w:val="00AF32D2"/>
    <w:rsid w:val="00AF34DE"/>
    <w:rsid w:val="00AF3504"/>
    <w:rsid w:val="00AF3670"/>
    <w:rsid w:val="00AF371F"/>
    <w:rsid w:val="00AF3D6A"/>
    <w:rsid w:val="00AF3F0B"/>
    <w:rsid w:val="00AF41D2"/>
    <w:rsid w:val="00AF4476"/>
    <w:rsid w:val="00AF4697"/>
    <w:rsid w:val="00AF46A5"/>
    <w:rsid w:val="00AF4828"/>
    <w:rsid w:val="00AF48F5"/>
    <w:rsid w:val="00AF4913"/>
    <w:rsid w:val="00AF4AE2"/>
    <w:rsid w:val="00AF4E74"/>
    <w:rsid w:val="00AF507F"/>
    <w:rsid w:val="00AF5326"/>
    <w:rsid w:val="00AF558E"/>
    <w:rsid w:val="00AF5665"/>
    <w:rsid w:val="00AF56C0"/>
    <w:rsid w:val="00AF58CD"/>
    <w:rsid w:val="00AF5A96"/>
    <w:rsid w:val="00AF5ECE"/>
    <w:rsid w:val="00AF60B1"/>
    <w:rsid w:val="00AF615E"/>
    <w:rsid w:val="00AF6585"/>
    <w:rsid w:val="00AF6880"/>
    <w:rsid w:val="00AF6C61"/>
    <w:rsid w:val="00AF6C90"/>
    <w:rsid w:val="00AF6D1C"/>
    <w:rsid w:val="00AF6D4E"/>
    <w:rsid w:val="00AF7104"/>
    <w:rsid w:val="00AF726B"/>
    <w:rsid w:val="00AF7505"/>
    <w:rsid w:val="00AF777A"/>
    <w:rsid w:val="00AF787C"/>
    <w:rsid w:val="00AF78CB"/>
    <w:rsid w:val="00AF78EA"/>
    <w:rsid w:val="00AF7A3E"/>
    <w:rsid w:val="00AF7BE2"/>
    <w:rsid w:val="00AF7CF4"/>
    <w:rsid w:val="00AF7EB7"/>
    <w:rsid w:val="00AF7EF2"/>
    <w:rsid w:val="00B0001B"/>
    <w:rsid w:val="00B000BE"/>
    <w:rsid w:val="00B0012D"/>
    <w:rsid w:val="00B00427"/>
    <w:rsid w:val="00B00AF9"/>
    <w:rsid w:val="00B010C3"/>
    <w:rsid w:val="00B01119"/>
    <w:rsid w:val="00B0113F"/>
    <w:rsid w:val="00B011AD"/>
    <w:rsid w:val="00B016D5"/>
    <w:rsid w:val="00B016E0"/>
    <w:rsid w:val="00B0179F"/>
    <w:rsid w:val="00B01C8A"/>
    <w:rsid w:val="00B01D59"/>
    <w:rsid w:val="00B01DF7"/>
    <w:rsid w:val="00B01E7E"/>
    <w:rsid w:val="00B01EFA"/>
    <w:rsid w:val="00B01F1D"/>
    <w:rsid w:val="00B0211E"/>
    <w:rsid w:val="00B02281"/>
    <w:rsid w:val="00B022C4"/>
    <w:rsid w:val="00B02650"/>
    <w:rsid w:val="00B02878"/>
    <w:rsid w:val="00B028D2"/>
    <w:rsid w:val="00B0296B"/>
    <w:rsid w:val="00B03136"/>
    <w:rsid w:val="00B03201"/>
    <w:rsid w:val="00B034D7"/>
    <w:rsid w:val="00B0360E"/>
    <w:rsid w:val="00B03711"/>
    <w:rsid w:val="00B03743"/>
    <w:rsid w:val="00B03828"/>
    <w:rsid w:val="00B03C7C"/>
    <w:rsid w:val="00B03CBC"/>
    <w:rsid w:val="00B0409F"/>
    <w:rsid w:val="00B04115"/>
    <w:rsid w:val="00B0417D"/>
    <w:rsid w:val="00B04314"/>
    <w:rsid w:val="00B0440B"/>
    <w:rsid w:val="00B04516"/>
    <w:rsid w:val="00B049E7"/>
    <w:rsid w:val="00B04A47"/>
    <w:rsid w:val="00B04CE5"/>
    <w:rsid w:val="00B04D53"/>
    <w:rsid w:val="00B04D69"/>
    <w:rsid w:val="00B04E8B"/>
    <w:rsid w:val="00B05120"/>
    <w:rsid w:val="00B0544E"/>
    <w:rsid w:val="00B0584E"/>
    <w:rsid w:val="00B0587A"/>
    <w:rsid w:val="00B05B2A"/>
    <w:rsid w:val="00B05C51"/>
    <w:rsid w:val="00B05D84"/>
    <w:rsid w:val="00B06308"/>
    <w:rsid w:val="00B063DF"/>
    <w:rsid w:val="00B06557"/>
    <w:rsid w:val="00B066AE"/>
    <w:rsid w:val="00B06E89"/>
    <w:rsid w:val="00B071C0"/>
    <w:rsid w:val="00B07258"/>
    <w:rsid w:val="00B07695"/>
    <w:rsid w:val="00B07942"/>
    <w:rsid w:val="00B079BE"/>
    <w:rsid w:val="00B07BC7"/>
    <w:rsid w:val="00B07CCE"/>
    <w:rsid w:val="00B1009F"/>
    <w:rsid w:val="00B100F9"/>
    <w:rsid w:val="00B101AC"/>
    <w:rsid w:val="00B10408"/>
    <w:rsid w:val="00B1074A"/>
    <w:rsid w:val="00B1093C"/>
    <w:rsid w:val="00B1098E"/>
    <w:rsid w:val="00B1099B"/>
    <w:rsid w:val="00B10F79"/>
    <w:rsid w:val="00B110A9"/>
    <w:rsid w:val="00B110C5"/>
    <w:rsid w:val="00B113C0"/>
    <w:rsid w:val="00B1144E"/>
    <w:rsid w:val="00B1157B"/>
    <w:rsid w:val="00B115A8"/>
    <w:rsid w:val="00B11614"/>
    <w:rsid w:val="00B117D5"/>
    <w:rsid w:val="00B11D9A"/>
    <w:rsid w:val="00B11FC6"/>
    <w:rsid w:val="00B1209E"/>
    <w:rsid w:val="00B1230D"/>
    <w:rsid w:val="00B1274E"/>
    <w:rsid w:val="00B1348D"/>
    <w:rsid w:val="00B13AD5"/>
    <w:rsid w:val="00B13F61"/>
    <w:rsid w:val="00B13FE8"/>
    <w:rsid w:val="00B14228"/>
    <w:rsid w:val="00B1453A"/>
    <w:rsid w:val="00B1453C"/>
    <w:rsid w:val="00B149C6"/>
    <w:rsid w:val="00B14C46"/>
    <w:rsid w:val="00B14D35"/>
    <w:rsid w:val="00B15036"/>
    <w:rsid w:val="00B1507D"/>
    <w:rsid w:val="00B15202"/>
    <w:rsid w:val="00B15A63"/>
    <w:rsid w:val="00B15A68"/>
    <w:rsid w:val="00B15AA4"/>
    <w:rsid w:val="00B15CEA"/>
    <w:rsid w:val="00B15E82"/>
    <w:rsid w:val="00B1614F"/>
    <w:rsid w:val="00B16373"/>
    <w:rsid w:val="00B167D3"/>
    <w:rsid w:val="00B16A04"/>
    <w:rsid w:val="00B16AC9"/>
    <w:rsid w:val="00B16C5D"/>
    <w:rsid w:val="00B16C77"/>
    <w:rsid w:val="00B16E62"/>
    <w:rsid w:val="00B16EE4"/>
    <w:rsid w:val="00B170CD"/>
    <w:rsid w:val="00B17113"/>
    <w:rsid w:val="00B174A4"/>
    <w:rsid w:val="00B174BA"/>
    <w:rsid w:val="00B1755E"/>
    <w:rsid w:val="00B1758B"/>
    <w:rsid w:val="00B17BC4"/>
    <w:rsid w:val="00B2010C"/>
    <w:rsid w:val="00B20137"/>
    <w:rsid w:val="00B20155"/>
    <w:rsid w:val="00B203F9"/>
    <w:rsid w:val="00B20794"/>
    <w:rsid w:val="00B20A88"/>
    <w:rsid w:val="00B20BED"/>
    <w:rsid w:val="00B20CB4"/>
    <w:rsid w:val="00B20D06"/>
    <w:rsid w:val="00B21119"/>
    <w:rsid w:val="00B21489"/>
    <w:rsid w:val="00B215BA"/>
    <w:rsid w:val="00B21833"/>
    <w:rsid w:val="00B21A7E"/>
    <w:rsid w:val="00B220B5"/>
    <w:rsid w:val="00B2217C"/>
    <w:rsid w:val="00B223B0"/>
    <w:rsid w:val="00B225AD"/>
    <w:rsid w:val="00B22A16"/>
    <w:rsid w:val="00B22A36"/>
    <w:rsid w:val="00B22A73"/>
    <w:rsid w:val="00B22B59"/>
    <w:rsid w:val="00B22EFB"/>
    <w:rsid w:val="00B23318"/>
    <w:rsid w:val="00B2345A"/>
    <w:rsid w:val="00B23CEC"/>
    <w:rsid w:val="00B2407E"/>
    <w:rsid w:val="00B24127"/>
    <w:rsid w:val="00B2455E"/>
    <w:rsid w:val="00B24681"/>
    <w:rsid w:val="00B24705"/>
    <w:rsid w:val="00B247BE"/>
    <w:rsid w:val="00B24803"/>
    <w:rsid w:val="00B248BC"/>
    <w:rsid w:val="00B24C81"/>
    <w:rsid w:val="00B24D3B"/>
    <w:rsid w:val="00B24E4E"/>
    <w:rsid w:val="00B25099"/>
    <w:rsid w:val="00B253DD"/>
    <w:rsid w:val="00B25462"/>
    <w:rsid w:val="00B257B8"/>
    <w:rsid w:val="00B2582C"/>
    <w:rsid w:val="00B25A11"/>
    <w:rsid w:val="00B25DF0"/>
    <w:rsid w:val="00B25DF5"/>
    <w:rsid w:val="00B25F0F"/>
    <w:rsid w:val="00B25F18"/>
    <w:rsid w:val="00B2611F"/>
    <w:rsid w:val="00B2619E"/>
    <w:rsid w:val="00B265E3"/>
    <w:rsid w:val="00B2661E"/>
    <w:rsid w:val="00B2680B"/>
    <w:rsid w:val="00B269A7"/>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51B"/>
    <w:rsid w:val="00B30572"/>
    <w:rsid w:val="00B305AA"/>
    <w:rsid w:val="00B307FA"/>
    <w:rsid w:val="00B30A1E"/>
    <w:rsid w:val="00B312A1"/>
    <w:rsid w:val="00B3133C"/>
    <w:rsid w:val="00B31573"/>
    <w:rsid w:val="00B315C4"/>
    <w:rsid w:val="00B31814"/>
    <w:rsid w:val="00B3193B"/>
    <w:rsid w:val="00B31B45"/>
    <w:rsid w:val="00B31D6A"/>
    <w:rsid w:val="00B31DC4"/>
    <w:rsid w:val="00B32043"/>
    <w:rsid w:val="00B320C3"/>
    <w:rsid w:val="00B3212D"/>
    <w:rsid w:val="00B3226D"/>
    <w:rsid w:val="00B32384"/>
    <w:rsid w:val="00B32556"/>
    <w:rsid w:val="00B3262F"/>
    <w:rsid w:val="00B32CF2"/>
    <w:rsid w:val="00B32EE6"/>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E06"/>
    <w:rsid w:val="00B35E81"/>
    <w:rsid w:val="00B35FCB"/>
    <w:rsid w:val="00B361B7"/>
    <w:rsid w:val="00B363F7"/>
    <w:rsid w:val="00B36522"/>
    <w:rsid w:val="00B36688"/>
    <w:rsid w:val="00B36697"/>
    <w:rsid w:val="00B36D6E"/>
    <w:rsid w:val="00B37015"/>
    <w:rsid w:val="00B370E5"/>
    <w:rsid w:val="00B37161"/>
    <w:rsid w:val="00B37356"/>
    <w:rsid w:val="00B37B72"/>
    <w:rsid w:val="00B37EDA"/>
    <w:rsid w:val="00B40184"/>
    <w:rsid w:val="00B402C9"/>
    <w:rsid w:val="00B406A3"/>
    <w:rsid w:val="00B40D25"/>
    <w:rsid w:val="00B40D5C"/>
    <w:rsid w:val="00B40D90"/>
    <w:rsid w:val="00B40F71"/>
    <w:rsid w:val="00B4106C"/>
    <w:rsid w:val="00B41118"/>
    <w:rsid w:val="00B4127F"/>
    <w:rsid w:val="00B4132B"/>
    <w:rsid w:val="00B41474"/>
    <w:rsid w:val="00B41875"/>
    <w:rsid w:val="00B418DC"/>
    <w:rsid w:val="00B41EDF"/>
    <w:rsid w:val="00B4243B"/>
    <w:rsid w:val="00B4268D"/>
    <w:rsid w:val="00B42A0D"/>
    <w:rsid w:val="00B42D31"/>
    <w:rsid w:val="00B42D6E"/>
    <w:rsid w:val="00B42DA5"/>
    <w:rsid w:val="00B431DD"/>
    <w:rsid w:val="00B43314"/>
    <w:rsid w:val="00B43492"/>
    <w:rsid w:val="00B434CE"/>
    <w:rsid w:val="00B4368F"/>
    <w:rsid w:val="00B43800"/>
    <w:rsid w:val="00B43CD6"/>
    <w:rsid w:val="00B43D7C"/>
    <w:rsid w:val="00B440AE"/>
    <w:rsid w:val="00B443C9"/>
    <w:rsid w:val="00B443D7"/>
    <w:rsid w:val="00B44476"/>
    <w:rsid w:val="00B44550"/>
    <w:rsid w:val="00B44618"/>
    <w:rsid w:val="00B4472C"/>
    <w:rsid w:val="00B449C4"/>
    <w:rsid w:val="00B44EF8"/>
    <w:rsid w:val="00B45039"/>
    <w:rsid w:val="00B451F2"/>
    <w:rsid w:val="00B45299"/>
    <w:rsid w:val="00B4529D"/>
    <w:rsid w:val="00B452EC"/>
    <w:rsid w:val="00B456F0"/>
    <w:rsid w:val="00B457D7"/>
    <w:rsid w:val="00B45C9E"/>
    <w:rsid w:val="00B45DD4"/>
    <w:rsid w:val="00B45DE4"/>
    <w:rsid w:val="00B46032"/>
    <w:rsid w:val="00B46614"/>
    <w:rsid w:val="00B46673"/>
    <w:rsid w:val="00B46733"/>
    <w:rsid w:val="00B467F4"/>
    <w:rsid w:val="00B46840"/>
    <w:rsid w:val="00B468A1"/>
    <w:rsid w:val="00B46F80"/>
    <w:rsid w:val="00B471AB"/>
    <w:rsid w:val="00B4771B"/>
    <w:rsid w:val="00B47E24"/>
    <w:rsid w:val="00B50024"/>
    <w:rsid w:val="00B501F0"/>
    <w:rsid w:val="00B50567"/>
    <w:rsid w:val="00B50A0D"/>
    <w:rsid w:val="00B50DD7"/>
    <w:rsid w:val="00B50E15"/>
    <w:rsid w:val="00B5113B"/>
    <w:rsid w:val="00B513C3"/>
    <w:rsid w:val="00B514C7"/>
    <w:rsid w:val="00B514FE"/>
    <w:rsid w:val="00B516A3"/>
    <w:rsid w:val="00B51E18"/>
    <w:rsid w:val="00B51FF7"/>
    <w:rsid w:val="00B5237A"/>
    <w:rsid w:val="00B5251E"/>
    <w:rsid w:val="00B527CD"/>
    <w:rsid w:val="00B5338B"/>
    <w:rsid w:val="00B5339A"/>
    <w:rsid w:val="00B53586"/>
    <w:rsid w:val="00B53A1D"/>
    <w:rsid w:val="00B53B82"/>
    <w:rsid w:val="00B53C4E"/>
    <w:rsid w:val="00B53D9D"/>
    <w:rsid w:val="00B54082"/>
    <w:rsid w:val="00B54319"/>
    <w:rsid w:val="00B54375"/>
    <w:rsid w:val="00B54642"/>
    <w:rsid w:val="00B54648"/>
    <w:rsid w:val="00B546AE"/>
    <w:rsid w:val="00B54958"/>
    <w:rsid w:val="00B551BB"/>
    <w:rsid w:val="00B5523F"/>
    <w:rsid w:val="00B559FD"/>
    <w:rsid w:val="00B55A1B"/>
    <w:rsid w:val="00B55C87"/>
    <w:rsid w:val="00B55ED2"/>
    <w:rsid w:val="00B55F50"/>
    <w:rsid w:val="00B5608C"/>
    <w:rsid w:val="00B560C5"/>
    <w:rsid w:val="00B562DA"/>
    <w:rsid w:val="00B5650F"/>
    <w:rsid w:val="00B56573"/>
    <w:rsid w:val="00B56DD6"/>
    <w:rsid w:val="00B57013"/>
    <w:rsid w:val="00B57AD1"/>
    <w:rsid w:val="00B57B6E"/>
    <w:rsid w:val="00B601C6"/>
    <w:rsid w:val="00B60395"/>
    <w:rsid w:val="00B60724"/>
    <w:rsid w:val="00B607D8"/>
    <w:rsid w:val="00B60DBE"/>
    <w:rsid w:val="00B60F77"/>
    <w:rsid w:val="00B612EA"/>
    <w:rsid w:val="00B618DA"/>
    <w:rsid w:val="00B61B17"/>
    <w:rsid w:val="00B61BD5"/>
    <w:rsid w:val="00B61D15"/>
    <w:rsid w:val="00B61E14"/>
    <w:rsid w:val="00B61EEB"/>
    <w:rsid w:val="00B61F9B"/>
    <w:rsid w:val="00B62093"/>
    <w:rsid w:val="00B620C3"/>
    <w:rsid w:val="00B62172"/>
    <w:rsid w:val="00B6239F"/>
    <w:rsid w:val="00B62696"/>
    <w:rsid w:val="00B626B1"/>
    <w:rsid w:val="00B629AF"/>
    <w:rsid w:val="00B62BC1"/>
    <w:rsid w:val="00B62C49"/>
    <w:rsid w:val="00B62D11"/>
    <w:rsid w:val="00B63C4F"/>
    <w:rsid w:val="00B6447B"/>
    <w:rsid w:val="00B64521"/>
    <w:rsid w:val="00B64DAF"/>
    <w:rsid w:val="00B6501A"/>
    <w:rsid w:val="00B653F0"/>
    <w:rsid w:val="00B65402"/>
    <w:rsid w:val="00B6545A"/>
    <w:rsid w:val="00B6570B"/>
    <w:rsid w:val="00B658E3"/>
    <w:rsid w:val="00B65932"/>
    <w:rsid w:val="00B65C8A"/>
    <w:rsid w:val="00B65D54"/>
    <w:rsid w:val="00B65DA9"/>
    <w:rsid w:val="00B65E32"/>
    <w:rsid w:val="00B66194"/>
    <w:rsid w:val="00B669CB"/>
    <w:rsid w:val="00B66A57"/>
    <w:rsid w:val="00B66AA7"/>
    <w:rsid w:val="00B66BF6"/>
    <w:rsid w:val="00B66C92"/>
    <w:rsid w:val="00B66CDC"/>
    <w:rsid w:val="00B6725E"/>
    <w:rsid w:val="00B6732D"/>
    <w:rsid w:val="00B67374"/>
    <w:rsid w:val="00B67D6C"/>
    <w:rsid w:val="00B67D9D"/>
    <w:rsid w:val="00B67E19"/>
    <w:rsid w:val="00B70044"/>
    <w:rsid w:val="00B702FA"/>
    <w:rsid w:val="00B703B7"/>
    <w:rsid w:val="00B70864"/>
    <w:rsid w:val="00B709F6"/>
    <w:rsid w:val="00B70A3F"/>
    <w:rsid w:val="00B70AFA"/>
    <w:rsid w:val="00B70B92"/>
    <w:rsid w:val="00B70D16"/>
    <w:rsid w:val="00B70D24"/>
    <w:rsid w:val="00B70D68"/>
    <w:rsid w:val="00B70DE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262"/>
    <w:rsid w:val="00B7241F"/>
    <w:rsid w:val="00B72785"/>
    <w:rsid w:val="00B72D24"/>
    <w:rsid w:val="00B72FFC"/>
    <w:rsid w:val="00B7341F"/>
    <w:rsid w:val="00B735B7"/>
    <w:rsid w:val="00B73755"/>
    <w:rsid w:val="00B739A2"/>
    <w:rsid w:val="00B73B77"/>
    <w:rsid w:val="00B73B98"/>
    <w:rsid w:val="00B74321"/>
    <w:rsid w:val="00B743BF"/>
    <w:rsid w:val="00B749E7"/>
    <w:rsid w:val="00B74B57"/>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73E2"/>
    <w:rsid w:val="00B775BA"/>
    <w:rsid w:val="00B77A42"/>
    <w:rsid w:val="00B77F39"/>
    <w:rsid w:val="00B77FE2"/>
    <w:rsid w:val="00B804D2"/>
    <w:rsid w:val="00B805DA"/>
    <w:rsid w:val="00B807F3"/>
    <w:rsid w:val="00B80B99"/>
    <w:rsid w:val="00B80C9E"/>
    <w:rsid w:val="00B80F73"/>
    <w:rsid w:val="00B810CF"/>
    <w:rsid w:val="00B8170F"/>
    <w:rsid w:val="00B81DC6"/>
    <w:rsid w:val="00B82368"/>
    <w:rsid w:val="00B823E7"/>
    <w:rsid w:val="00B8254A"/>
    <w:rsid w:val="00B82661"/>
    <w:rsid w:val="00B827F5"/>
    <w:rsid w:val="00B82853"/>
    <w:rsid w:val="00B82B5C"/>
    <w:rsid w:val="00B8315F"/>
    <w:rsid w:val="00B8347B"/>
    <w:rsid w:val="00B836E8"/>
    <w:rsid w:val="00B837FD"/>
    <w:rsid w:val="00B83A62"/>
    <w:rsid w:val="00B83B4B"/>
    <w:rsid w:val="00B8405B"/>
    <w:rsid w:val="00B84162"/>
    <w:rsid w:val="00B841B7"/>
    <w:rsid w:val="00B84222"/>
    <w:rsid w:val="00B8456C"/>
    <w:rsid w:val="00B845B3"/>
    <w:rsid w:val="00B84635"/>
    <w:rsid w:val="00B84781"/>
    <w:rsid w:val="00B847C9"/>
    <w:rsid w:val="00B84806"/>
    <w:rsid w:val="00B84A34"/>
    <w:rsid w:val="00B84AAC"/>
    <w:rsid w:val="00B84B90"/>
    <w:rsid w:val="00B84DFF"/>
    <w:rsid w:val="00B84E1C"/>
    <w:rsid w:val="00B84F3B"/>
    <w:rsid w:val="00B84F69"/>
    <w:rsid w:val="00B8509A"/>
    <w:rsid w:val="00B8519E"/>
    <w:rsid w:val="00B8536E"/>
    <w:rsid w:val="00B8550B"/>
    <w:rsid w:val="00B85532"/>
    <w:rsid w:val="00B856BF"/>
    <w:rsid w:val="00B856D6"/>
    <w:rsid w:val="00B8585A"/>
    <w:rsid w:val="00B85C7B"/>
    <w:rsid w:val="00B85D6B"/>
    <w:rsid w:val="00B85F21"/>
    <w:rsid w:val="00B863C2"/>
    <w:rsid w:val="00B864B4"/>
    <w:rsid w:val="00B86622"/>
    <w:rsid w:val="00B866ED"/>
    <w:rsid w:val="00B868EF"/>
    <w:rsid w:val="00B86D93"/>
    <w:rsid w:val="00B86F6B"/>
    <w:rsid w:val="00B87A55"/>
    <w:rsid w:val="00B87D70"/>
    <w:rsid w:val="00B87DE5"/>
    <w:rsid w:val="00B905CE"/>
    <w:rsid w:val="00B906B5"/>
    <w:rsid w:val="00B90953"/>
    <w:rsid w:val="00B90A8A"/>
    <w:rsid w:val="00B90A8E"/>
    <w:rsid w:val="00B90ECA"/>
    <w:rsid w:val="00B90F26"/>
    <w:rsid w:val="00B9128E"/>
    <w:rsid w:val="00B9155A"/>
    <w:rsid w:val="00B917E5"/>
    <w:rsid w:val="00B91B1E"/>
    <w:rsid w:val="00B91DF4"/>
    <w:rsid w:val="00B920CB"/>
    <w:rsid w:val="00B920FC"/>
    <w:rsid w:val="00B9210C"/>
    <w:rsid w:val="00B92126"/>
    <w:rsid w:val="00B92167"/>
    <w:rsid w:val="00B922B4"/>
    <w:rsid w:val="00B925C4"/>
    <w:rsid w:val="00B9280D"/>
    <w:rsid w:val="00B9282F"/>
    <w:rsid w:val="00B928BA"/>
    <w:rsid w:val="00B929F4"/>
    <w:rsid w:val="00B92AA4"/>
    <w:rsid w:val="00B92CE5"/>
    <w:rsid w:val="00B92E37"/>
    <w:rsid w:val="00B930D1"/>
    <w:rsid w:val="00B93261"/>
    <w:rsid w:val="00B936EA"/>
    <w:rsid w:val="00B939E2"/>
    <w:rsid w:val="00B93C0F"/>
    <w:rsid w:val="00B94073"/>
    <w:rsid w:val="00B942FD"/>
    <w:rsid w:val="00B9431E"/>
    <w:rsid w:val="00B94979"/>
    <w:rsid w:val="00B9499D"/>
    <w:rsid w:val="00B94C24"/>
    <w:rsid w:val="00B94C40"/>
    <w:rsid w:val="00B95188"/>
    <w:rsid w:val="00B953C6"/>
    <w:rsid w:val="00B9571B"/>
    <w:rsid w:val="00B959FC"/>
    <w:rsid w:val="00B95CB0"/>
    <w:rsid w:val="00B95D8D"/>
    <w:rsid w:val="00B960EA"/>
    <w:rsid w:val="00B96563"/>
    <w:rsid w:val="00B96A7E"/>
    <w:rsid w:val="00B96E68"/>
    <w:rsid w:val="00B96F35"/>
    <w:rsid w:val="00B971A8"/>
    <w:rsid w:val="00B977A7"/>
    <w:rsid w:val="00B97D3F"/>
    <w:rsid w:val="00BA017E"/>
    <w:rsid w:val="00BA020F"/>
    <w:rsid w:val="00BA0388"/>
    <w:rsid w:val="00BA0432"/>
    <w:rsid w:val="00BA0465"/>
    <w:rsid w:val="00BA0667"/>
    <w:rsid w:val="00BA0700"/>
    <w:rsid w:val="00BA0E65"/>
    <w:rsid w:val="00BA118D"/>
    <w:rsid w:val="00BA1615"/>
    <w:rsid w:val="00BA1851"/>
    <w:rsid w:val="00BA1B28"/>
    <w:rsid w:val="00BA1BEB"/>
    <w:rsid w:val="00BA1E01"/>
    <w:rsid w:val="00BA2108"/>
    <w:rsid w:val="00BA2141"/>
    <w:rsid w:val="00BA233F"/>
    <w:rsid w:val="00BA24D8"/>
    <w:rsid w:val="00BA2538"/>
    <w:rsid w:val="00BA281B"/>
    <w:rsid w:val="00BA2BD3"/>
    <w:rsid w:val="00BA36C9"/>
    <w:rsid w:val="00BA36DE"/>
    <w:rsid w:val="00BA383A"/>
    <w:rsid w:val="00BA3916"/>
    <w:rsid w:val="00BA39BC"/>
    <w:rsid w:val="00BA450F"/>
    <w:rsid w:val="00BA46ED"/>
    <w:rsid w:val="00BA486A"/>
    <w:rsid w:val="00BA4B82"/>
    <w:rsid w:val="00BA4CB6"/>
    <w:rsid w:val="00BA4FB6"/>
    <w:rsid w:val="00BA50D0"/>
    <w:rsid w:val="00BA54D2"/>
    <w:rsid w:val="00BA5647"/>
    <w:rsid w:val="00BA57D8"/>
    <w:rsid w:val="00BA5AE1"/>
    <w:rsid w:val="00BA5D9F"/>
    <w:rsid w:val="00BA5FFF"/>
    <w:rsid w:val="00BA6019"/>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A7FFC"/>
    <w:rsid w:val="00BB01C6"/>
    <w:rsid w:val="00BB048C"/>
    <w:rsid w:val="00BB0AEF"/>
    <w:rsid w:val="00BB0DD5"/>
    <w:rsid w:val="00BB1174"/>
    <w:rsid w:val="00BB1225"/>
    <w:rsid w:val="00BB1527"/>
    <w:rsid w:val="00BB1A69"/>
    <w:rsid w:val="00BB1E4E"/>
    <w:rsid w:val="00BB203C"/>
    <w:rsid w:val="00BB21AB"/>
    <w:rsid w:val="00BB2737"/>
    <w:rsid w:val="00BB288B"/>
    <w:rsid w:val="00BB28C0"/>
    <w:rsid w:val="00BB2ADF"/>
    <w:rsid w:val="00BB2CFC"/>
    <w:rsid w:val="00BB2DC1"/>
    <w:rsid w:val="00BB2E84"/>
    <w:rsid w:val="00BB3253"/>
    <w:rsid w:val="00BB3655"/>
    <w:rsid w:val="00BB36FC"/>
    <w:rsid w:val="00BB3783"/>
    <w:rsid w:val="00BB3C3E"/>
    <w:rsid w:val="00BB4224"/>
    <w:rsid w:val="00BB428E"/>
    <w:rsid w:val="00BB4860"/>
    <w:rsid w:val="00BB4C5D"/>
    <w:rsid w:val="00BB51D7"/>
    <w:rsid w:val="00BB5379"/>
    <w:rsid w:val="00BB53A8"/>
    <w:rsid w:val="00BB564F"/>
    <w:rsid w:val="00BB57AD"/>
    <w:rsid w:val="00BB5964"/>
    <w:rsid w:val="00BB5A2D"/>
    <w:rsid w:val="00BB5B3F"/>
    <w:rsid w:val="00BB5B55"/>
    <w:rsid w:val="00BB5B9C"/>
    <w:rsid w:val="00BB5F5C"/>
    <w:rsid w:val="00BB600F"/>
    <w:rsid w:val="00BB6294"/>
    <w:rsid w:val="00BB69E2"/>
    <w:rsid w:val="00BB6A0D"/>
    <w:rsid w:val="00BB6A59"/>
    <w:rsid w:val="00BB6C7C"/>
    <w:rsid w:val="00BB6E4E"/>
    <w:rsid w:val="00BB712C"/>
    <w:rsid w:val="00BB7B38"/>
    <w:rsid w:val="00BC034E"/>
    <w:rsid w:val="00BC0370"/>
    <w:rsid w:val="00BC047E"/>
    <w:rsid w:val="00BC067B"/>
    <w:rsid w:val="00BC0854"/>
    <w:rsid w:val="00BC0B79"/>
    <w:rsid w:val="00BC0C64"/>
    <w:rsid w:val="00BC13CC"/>
    <w:rsid w:val="00BC164B"/>
    <w:rsid w:val="00BC1754"/>
    <w:rsid w:val="00BC18C2"/>
    <w:rsid w:val="00BC19CD"/>
    <w:rsid w:val="00BC1D84"/>
    <w:rsid w:val="00BC1F66"/>
    <w:rsid w:val="00BC1FA4"/>
    <w:rsid w:val="00BC2D30"/>
    <w:rsid w:val="00BC2D44"/>
    <w:rsid w:val="00BC3065"/>
    <w:rsid w:val="00BC30E6"/>
    <w:rsid w:val="00BC393C"/>
    <w:rsid w:val="00BC39B7"/>
    <w:rsid w:val="00BC3A32"/>
    <w:rsid w:val="00BC3ADD"/>
    <w:rsid w:val="00BC3B19"/>
    <w:rsid w:val="00BC3E66"/>
    <w:rsid w:val="00BC40CF"/>
    <w:rsid w:val="00BC453F"/>
    <w:rsid w:val="00BC49E1"/>
    <w:rsid w:val="00BC4A2E"/>
    <w:rsid w:val="00BC4BC8"/>
    <w:rsid w:val="00BC5279"/>
    <w:rsid w:val="00BC52BB"/>
    <w:rsid w:val="00BC5436"/>
    <w:rsid w:val="00BC55A3"/>
    <w:rsid w:val="00BC573C"/>
    <w:rsid w:val="00BC577B"/>
    <w:rsid w:val="00BC5896"/>
    <w:rsid w:val="00BC5AC6"/>
    <w:rsid w:val="00BC5BBE"/>
    <w:rsid w:val="00BC5DA3"/>
    <w:rsid w:val="00BC602B"/>
    <w:rsid w:val="00BC602C"/>
    <w:rsid w:val="00BC71DE"/>
    <w:rsid w:val="00BC721E"/>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956"/>
    <w:rsid w:val="00BD19B9"/>
    <w:rsid w:val="00BD1AF1"/>
    <w:rsid w:val="00BD1B98"/>
    <w:rsid w:val="00BD20D3"/>
    <w:rsid w:val="00BD27C2"/>
    <w:rsid w:val="00BD291A"/>
    <w:rsid w:val="00BD2921"/>
    <w:rsid w:val="00BD2D43"/>
    <w:rsid w:val="00BD2D69"/>
    <w:rsid w:val="00BD2DDC"/>
    <w:rsid w:val="00BD2EFC"/>
    <w:rsid w:val="00BD2F92"/>
    <w:rsid w:val="00BD362B"/>
    <w:rsid w:val="00BD37D9"/>
    <w:rsid w:val="00BD3B24"/>
    <w:rsid w:val="00BD3C9A"/>
    <w:rsid w:val="00BD3F23"/>
    <w:rsid w:val="00BD3F42"/>
    <w:rsid w:val="00BD3FBB"/>
    <w:rsid w:val="00BD407F"/>
    <w:rsid w:val="00BD4166"/>
    <w:rsid w:val="00BD429E"/>
    <w:rsid w:val="00BD43F7"/>
    <w:rsid w:val="00BD45D5"/>
    <w:rsid w:val="00BD48FD"/>
    <w:rsid w:val="00BD493A"/>
    <w:rsid w:val="00BD4B3D"/>
    <w:rsid w:val="00BD4C91"/>
    <w:rsid w:val="00BD51FD"/>
    <w:rsid w:val="00BD5228"/>
    <w:rsid w:val="00BD562D"/>
    <w:rsid w:val="00BD5717"/>
    <w:rsid w:val="00BD594B"/>
    <w:rsid w:val="00BD5C62"/>
    <w:rsid w:val="00BD5F7A"/>
    <w:rsid w:val="00BD6159"/>
    <w:rsid w:val="00BD6324"/>
    <w:rsid w:val="00BD63B4"/>
    <w:rsid w:val="00BD6494"/>
    <w:rsid w:val="00BD6A96"/>
    <w:rsid w:val="00BD6AAD"/>
    <w:rsid w:val="00BD6BAC"/>
    <w:rsid w:val="00BD6E75"/>
    <w:rsid w:val="00BD6F23"/>
    <w:rsid w:val="00BD6FE7"/>
    <w:rsid w:val="00BD6FFE"/>
    <w:rsid w:val="00BD73FD"/>
    <w:rsid w:val="00BD743C"/>
    <w:rsid w:val="00BD750E"/>
    <w:rsid w:val="00BD77C5"/>
    <w:rsid w:val="00BD783E"/>
    <w:rsid w:val="00BD7BF7"/>
    <w:rsid w:val="00BD7C0D"/>
    <w:rsid w:val="00BD7CFB"/>
    <w:rsid w:val="00BD7D57"/>
    <w:rsid w:val="00BD7EA0"/>
    <w:rsid w:val="00BE058D"/>
    <w:rsid w:val="00BE0593"/>
    <w:rsid w:val="00BE06D6"/>
    <w:rsid w:val="00BE075B"/>
    <w:rsid w:val="00BE0886"/>
    <w:rsid w:val="00BE0C68"/>
    <w:rsid w:val="00BE0FEE"/>
    <w:rsid w:val="00BE12D9"/>
    <w:rsid w:val="00BE13AC"/>
    <w:rsid w:val="00BE1450"/>
    <w:rsid w:val="00BE1670"/>
    <w:rsid w:val="00BE171E"/>
    <w:rsid w:val="00BE18E5"/>
    <w:rsid w:val="00BE1929"/>
    <w:rsid w:val="00BE1C11"/>
    <w:rsid w:val="00BE1C35"/>
    <w:rsid w:val="00BE2243"/>
    <w:rsid w:val="00BE26CE"/>
    <w:rsid w:val="00BE2CCB"/>
    <w:rsid w:val="00BE2D18"/>
    <w:rsid w:val="00BE2E25"/>
    <w:rsid w:val="00BE3616"/>
    <w:rsid w:val="00BE384C"/>
    <w:rsid w:val="00BE38DD"/>
    <w:rsid w:val="00BE39C5"/>
    <w:rsid w:val="00BE3A9D"/>
    <w:rsid w:val="00BE3CC7"/>
    <w:rsid w:val="00BE3D5C"/>
    <w:rsid w:val="00BE3FF1"/>
    <w:rsid w:val="00BE401A"/>
    <w:rsid w:val="00BE46B0"/>
    <w:rsid w:val="00BE4979"/>
    <w:rsid w:val="00BE4A7E"/>
    <w:rsid w:val="00BE4DC8"/>
    <w:rsid w:val="00BE5008"/>
    <w:rsid w:val="00BE505B"/>
    <w:rsid w:val="00BE533D"/>
    <w:rsid w:val="00BE576F"/>
    <w:rsid w:val="00BE5C4C"/>
    <w:rsid w:val="00BE5CE5"/>
    <w:rsid w:val="00BE5F65"/>
    <w:rsid w:val="00BE5F83"/>
    <w:rsid w:val="00BE6020"/>
    <w:rsid w:val="00BE667A"/>
    <w:rsid w:val="00BE69AA"/>
    <w:rsid w:val="00BE6BA8"/>
    <w:rsid w:val="00BE6FC3"/>
    <w:rsid w:val="00BE7707"/>
    <w:rsid w:val="00BE784F"/>
    <w:rsid w:val="00BE7A33"/>
    <w:rsid w:val="00BE7CCF"/>
    <w:rsid w:val="00BE7F12"/>
    <w:rsid w:val="00BF0105"/>
    <w:rsid w:val="00BF0183"/>
    <w:rsid w:val="00BF0275"/>
    <w:rsid w:val="00BF06D7"/>
    <w:rsid w:val="00BF0792"/>
    <w:rsid w:val="00BF0CAF"/>
    <w:rsid w:val="00BF0CC9"/>
    <w:rsid w:val="00BF125F"/>
    <w:rsid w:val="00BF14B1"/>
    <w:rsid w:val="00BF1546"/>
    <w:rsid w:val="00BF196F"/>
    <w:rsid w:val="00BF1CF9"/>
    <w:rsid w:val="00BF201D"/>
    <w:rsid w:val="00BF2186"/>
    <w:rsid w:val="00BF2218"/>
    <w:rsid w:val="00BF23F5"/>
    <w:rsid w:val="00BF2403"/>
    <w:rsid w:val="00BF241B"/>
    <w:rsid w:val="00BF260F"/>
    <w:rsid w:val="00BF2699"/>
    <w:rsid w:val="00BF2B31"/>
    <w:rsid w:val="00BF2CC5"/>
    <w:rsid w:val="00BF2E54"/>
    <w:rsid w:val="00BF3171"/>
    <w:rsid w:val="00BF32AB"/>
    <w:rsid w:val="00BF3443"/>
    <w:rsid w:val="00BF3575"/>
    <w:rsid w:val="00BF358B"/>
    <w:rsid w:val="00BF36AA"/>
    <w:rsid w:val="00BF41A5"/>
    <w:rsid w:val="00BF42D5"/>
    <w:rsid w:val="00BF466D"/>
    <w:rsid w:val="00BF4854"/>
    <w:rsid w:val="00BF497E"/>
    <w:rsid w:val="00BF4A15"/>
    <w:rsid w:val="00BF4A46"/>
    <w:rsid w:val="00BF4B68"/>
    <w:rsid w:val="00BF4EE6"/>
    <w:rsid w:val="00BF557B"/>
    <w:rsid w:val="00BF57E6"/>
    <w:rsid w:val="00BF58BF"/>
    <w:rsid w:val="00BF5DEC"/>
    <w:rsid w:val="00BF5F9A"/>
    <w:rsid w:val="00BF60CA"/>
    <w:rsid w:val="00BF6387"/>
    <w:rsid w:val="00BF6453"/>
    <w:rsid w:val="00BF64E3"/>
    <w:rsid w:val="00BF6549"/>
    <w:rsid w:val="00BF65A0"/>
    <w:rsid w:val="00BF6774"/>
    <w:rsid w:val="00BF680B"/>
    <w:rsid w:val="00BF6A4F"/>
    <w:rsid w:val="00BF6A9F"/>
    <w:rsid w:val="00BF6DEC"/>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A1"/>
    <w:rsid w:val="00C01717"/>
    <w:rsid w:val="00C01C76"/>
    <w:rsid w:val="00C01E4C"/>
    <w:rsid w:val="00C01E4E"/>
    <w:rsid w:val="00C01F95"/>
    <w:rsid w:val="00C0228D"/>
    <w:rsid w:val="00C0232B"/>
    <w:rsid w:val="00C02C63"/>
    <w:rsid w:val="00C031B1"/>
    <w:rsid w:val="00C034FC"/>
    <w:rsid w:val="00C0352B"/>
    <w:rsid w:val="00C03632"/>
    <w:rsid w:val="00C03886"/>
    <w:rsid w:val="00C039EE"/>
    <w:rsid w:val="00C039FE"/>
    <w:rsid w:val="00C03BD6"/>
    <w:rsid w:val="00C041CA"/>
    <w:rsid w:val="00C041E2"/>
    <w:rsid w:val="00C042A6"/>
    <w:rsid w:val="00C04697"/>
    <w:rsid w:val="00C04BBF"/>
    <w:rsid w:val="00C04C0A"/>
    <w:rsid w:val="00C04ECA"/>
    <w:rsid w:val="00C054B4"/>
    <w:rsid w:val="00C05533"/>
    <w:rsid w:val="00C05595"/>
    <w:rsid w:val="00C05880"/>
    <w:rsid w:val="00C05AE8"/>
    <w:rsid w:val="00C05D66"/>
    <w:rsid w:val="00C0610C"/>
    <w:rsid w:val="00C06409"/>
    <w:rsid w:val="00C0645B"/>
    <w:rsid w:val="00C06499"/>
    <w:rsid w:val="00C0657F"/>
    <w:rsid w:val="00C0663B"/>
    <w:rsid w:val="00C066C3"/>
    <w:rsid w:val="00C06950"/>
    <w:rsid w:val="00C06975"/>
    <w:rsid w:val="00C06C3F"/>
    <w:rsid w:val="00C06DA1"/>
    <w:rsid w:val="00C06DBA"/>
    <w:rsid w:val="00C06E9C"/>
    <w:rsid w:val="00C06F08"/>
    <w:rsid w:val="00C075DA"/>
    <w:rsid w:val="00C07838"/>
    <w:rsid w:val="00C078B1"/>
    <w:rsid w:val="00C0799D"/>
    <w:rsid w:val="00C07F90"/>
    <w:rsid w:val="00C109F3"/>
    <w:rsid w:val="00C10C34"/>
    <w:rsid w:val="00C10E71"/>
    <w:rsid w:val="00C1129C"/>
    <w:rsid w:val="00C114F6"/>
    <w:rsid w:val="00C11555"/>
    <w:rsid w:val="00C117AB"/>
    <w:rsid w:val="00C11843"/>
    <w:rsid w:val="00C1186C"/>
    <w:rsid w:val="00C11899"/>
    <w:rsid w:val="00C11AA1"/>
    <w:rsid w:val="00C11B7E"/>
    <w:rsid w:val="00C11CD2"/>
    <w:rsid w:val="00C11E75"/>
    <w:rsid w:val="00C11F5C"/>
    <w:rsid w:val="00C12468"/>
    <w:rsid w:val="00C124C5"/>
    <w:rsid w:val="00C12660"/>
    <w:rsid w:val="00C1271C"/>
    <w:rsid w:val="00C1278D"/>
    <w:rsid w:val="00C127A9"/>
    <w:rsid w:val="00C12C17"/>
    <w:rsid w:val="00C13179"/>
    <w:rsid w:val="00C133CE"/>
    <w:rsid w:val="00C13A53"/>
    <w:rsid w:val="00C13E1F"/>
    <w:rsid w:val="00C13EAE"/>
    <w:rsid w:val="00C1404A"/>
    <w:rsid w:val="00C1407B"/>
    <w:rsid w:val="00C14083"/>
    <w:rsid w:val="00C144EE"/>
    <w:rsid w:val="00C14559"/>
    <w:rsid w:val="00C14B01"/>
    <w:rsid w:val="00C14C79"/>
    <w:rsid w:val="00C155BF"/>
    <w:rsid w:val="00C157F7"/>
    <w:rsid w:val="00C15C62"/>
    <w:rsid w:val="00C15EAD"/>
    <w:rsid w:val="00C15FC9"/>
    <w:rsid w:val="00C160FF"/>
    <w:rsid w:val="00C1622B"/>
    <w:rsid w:val="00C1634A"/>
    <w:rsid w:val="00C16778"/>
    <w:rsid w:val="00C16816"/>
    <w:rsid w:val="00C1684B"/>
    <w:rsid w:val="00C17573"/>
    <w:rsid w:val="00C175E9"/>
    <w:rsid w:val="00C17673"/>
    <w:rsid w:val="00C17815"/>
    <w:rsid w:val="00C1789C"/>
    <w:rsid w:val="00C17E28"/>
    <w:rsid w:val="00C17F6F"/>
    <w:rsid w:val="00C2070D"/>
    <w:rsid w:val="00C207EA"/>
    <w:rsid w:val="00C20821"/>
    <w:rsid w:val="00C2082A"/>
    <w:rsid w:val="00C20FAD"/>
    <w:rsid w:val="00C2103D"/>
    <w:rsid w:val="00C21350"/>
    <w:rsid w:val="00C21755"/>
    <w:rsid w:val="00C21B46"/>
    <w:rsid w:val="00C21EE8"/>
    <w:rsid w:val="00C21FA3"/>
    <w:rsid w:val="00C22306"/>
    <w:rsid w:val="00C22684"/>
    <w:rsid w:val="00C2295E"/>
    <w:rsid w:val="00C22A6B"/>
    <w:rsid w:val="00C22CBE"/>
    <w:rsid w:val="00C22E79"/>
    <w:rsid w:val="00C2313D"/>
    <w:rsid w:val="00C233B2"/>
    <w:rsid w:val="00C236CB"/>
    <w:rsid w:val="00C236D5"/>
    <w:rsid w:val="00C237EE"/>
    <w:rsid w:val="00C23AEA"/>
    <w:rsid w:val="00C23F07"/>
    <w:rsid w:val="00C24338"/>
    <w:rsid w:val="00C24AF5"/>
    <w:rsid w:val="00C24D55"/>
    <w:rsid w:val="00C24D5D"/>
    <w:rsid w:val="00C24F6A"/>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FA9"/>
    <w:rsid w:val="00C27091"/>
    <w:rsid w:val="00C27103"/>
    <w:rsid w:val="00C2719F"/>
    <w:rsid w:val="00C273B6"/>
    <w:rsid w:val="00C2776F"/>
    <w:rsid w:val="00C27A00"/>
    <w:rsid w:val="00C30016"/>
    <w:rsid w:val="00C300B0"/>
    <w:rsid w:val="00C3069F"/>
    <w:rsid w:val="00C307E5"/>
    <w:rsid w:val="00C30811"/>
    <w:rsid w:val="00C309FA"/>
    <w:rsid w:val="00C30C9F"/>
    <w:rsid w:val="00C30CCC"/>
    <w:rsid w:val="00C30D05"/>
    <w:rsid w:val="00C30EFC"/>
    <w:rsid w:val="00C30F32"/>
    <w:rsid w:val="00C311E0"/>
    <w:rsid w:val="00C31302"/>
    <w:rsid w:val="00C318A2"/>
    <w:rsid w:val="00C318E1"/>
    <w:rsid w:val="00C31C05"/>
    <w:rsid w:val="00C31D00"/>
    <w:rsid w:val="00C31D49"/>
    <w:rsid w:val="00C31DF6"/>
    <w:rsid w:val="00C31E1E"/>
    <w:rsid w:val="00C31EBF"/>
    <w:rsid w:val="00C32022"/>
    <w:rsid w:val="00C32193"/>
    <w:rsid w:val="00C3222A"/>
    <w:rsid w:val="00C32513"/>
    <w:rsid w:val="00C32749"/>
    <w:rsid w:val="00C3291F"/>
    <w:rsid w:val="00C329C8"/>
    <w:rsid w:val="00C32B0F"/>
    <w:rsid w:val="00C3309D"/>
    <w:rsid w:val="00C33291"/>
    <w:rsid w:val="00C333C0"/>
    <w:rsid w:val="00C33461"/>
    <w:rsid w:val="00C337E4"/>
    <w:rsid w:val="00C3385E"/>
    <w:rsid w:val="00C33955"/>
    <w:rsid w:val="00C33DA9"/>
    <w:rsid w:val="00C3412D"/>
    <w:rsid w:val="00C34243"/>
    <w:rsid w:val="00C34355"/>
    <w:rsid w:val="00C34486"/>
    <w:rsid w:val="00C345AC"/>
    <w:rsid w:val="00C34795"/>
    <w:rsid w:val="00C3496E"/>
    <w:rsid w:val="00C34A3C"/>
    <w:rsid w:val="00C35282"/>
    <w:rsid w:val="00C358CC"/>
    <w:rsid w:val="00C35945"/>
    <w:rsid w:val="00C35C7C"/>
    <w:rsid w:val="00C35EF0"/>
    <w:rsid w:val="00C3607B"/>
    <w:rsid w:val="00C36ADC"/>
    <w:rsid w:val="00C36FBA"/>
    <w:rsid w:val="00C371BD"/>
    <w:rsid w:val="00C37227"/>
    <w:rsid w:val="00C37404"/>
    <w:rsid w:val="00C374CA"/>
    <w:rsid w:val="00C3751D"/>
    <w:rsid w:val="00C37558"/>
    <w:rsid w:val="00C3799C"/>
    <w:rsid w:val="00C379AF"/>
    <w:rsid w:val="00C37B61"/>
    <w:rsid w:val="00C401E8"/>
    <w:rsid w:val="00C402A9"/>
    <w:rsid w:val="00C407B0"/>
    <w:rsid w:val="00C407CC"/>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582"/>
    <w:rsid w:val="00C43852"/>
    <w:rsid w:val="00C43B22"/>
    <w:rsid w:val="00C43C77"/>
    <w:rsid w:val="00C43E05"/>
    <w:rsid w:val="00C43E19"/>
    <w:rsid w:val="00C44126"/>
    <w:rsid w:val="00C442DF"/>
    <w:rsid w:val="00C44342"/>
    <w:rsid w:val="00C44F48"/>
    <w:rsid w:val="00C44FCF"/>
    <w:rsid w:val="00C45245"/>
    <w:rsid w:val="00C45258"/>
    <w:rsid w:val="00C45389"/>
    <w:rsid w:val="00C455D7"/>
    <w:rsid w:val="00C45D48"/>
    <w:rsid w:val="00C46163"/>
    <w:rsid w:val="00C4654F"/>
    <w:rsid w:val="00C466D4"/>
    <w:rsid w:val="00C46736"/>
    <w:rsid w:val="00C467E4"/>
    <w:rsid w:val="00C467FD"/>
    <w:rsid w:val="00C4688D"/>
    <w:rsid w:val="00C46B30"/>
    <w:rsid w:val="00C46B69"/>
    <w:rsid w:val="00C46BCA"/>
    <w:rsid w:val="00C4736C"/>
    <w:rsid w:val="00C4737C"/>
    <w:rsid w:val="00C47776"/>
    <w:rsid w:val="00C47C9C"/>
    <w:rsid w:val="00C47E6E"/>
    <w:rsid w:val="00C47F54"/>
    <w:rsid w:val="00C500FA"/>
    <w:rsid w:val="00C50221"/>
    <w:rsid w:val="00C5060E"/>
    <w:rsid w:val="00C506C2"/>
    <w:rsid w:val="00C50ADE"/>
    <w:rsid w:val="00C50BDD"/>
    <w:rsid w:val="00C50EE7"/>
    <w:rsid w:val="00C5105A"/>
    <w:rsid w:val="00C51101"/>
    <w:rsid w:val="00C512E2"/>
    <w:rsid w:val="00C51526"/>
    <w:rsid w:val="00C515F6"/>
    <w:rsid w:val="00C51B20"/>
    <w:rsid w:val="00C52576"/>
    <w:rsid w:val="00C52831"/>
    <w:rsid w:val="00C5290A"/>
    <w:rsid w:val="00C53A1E"/>
    <w:rsid w:val="00C53B69"/>
    <w:rsid w:val="00C53C26"/>
    <w:rsid w:val="00C53CFD"/>
    <w:rsid w:val="00C53EEA"/>
    <w:rsid w:val="00C53F45"/>
    <w:rsid w:val="00C542E9"/>
    <w:rsid w:val="00C544E8"/>
    <w:rsid w:val="00C54659"/>
    <w:rsid w:val="00C54728"/>
    <w:rsid w:val="00C54979"/>
    <w:rsid w:val="00C549DE"/>
    <w:rsid w:val="00C54C5A"/>
    <w:rsid w:val="00C54F06"/>
    <w:rsid w:val="00C5510F"/>
    <w:rsid w:val="00C5511A"/>
    <w:rsid w:val="00C55388"/>
    <w:rsid w:val="00C55432"/>
    <w:rsid w:val="00C55E47"/>
    <w:rsid w:val="00C56047"/>
    <w:rsid w:val="00C56B12"/>
    <w:rsid w:val="00C56B67"/>
    <w:rsid w:val="00C56CF8"/>
    <w:rsid w:val="00C56DBC"/>
    <w:rsid w:val="00C5740F"/>
    <w:rsid w:val="00C5743B"/>
    <w:rsid w:val="00C575AE"/>
    <w:rsid w:val="00C578AD"/>
    <w:rsid w:val="00C57B27"/>
    <w:rsid w:val="00C57B77"/>
    <w:rsid w:val="00C57BFA"/>
    <w:rsid w:val="00C6010D"/>
    <w:rsid w:val="00C60355"/>
    <w:rsid w:val="00C603DF"/>
    <w:rsid w:val="00C60628"/>
    <w:rsid w:val="00C608E9"/>
    <w:rsid w:val="00C613A4"/>
    <w:rsid w:val="00C61517"/>
    <w:rsid w:val="00C617AD"/>
    <w:rsid w:val="00C61C41"/>
    <w:rsid w:val="00C61CA7"/>
    <w:rsid w:val="00C62051"/>
    <w:rsid w:val="00C6229B"/>
    <w:rsid w:val="00C627D7"/>
    <w:rsid w:val="00C62A44"/>
    <w:rsid w:val="00C62A7D"/>
    <w:rsid w:val="00C62B2B"/>
    <w:rsid w:val="00C62B4D"/>
    <w:rsid w:val="00C62CEB"/>
    <w:rsid w:val="00C634BD"/>
    <w:rsid w:val="00C63780"/>
    <w:rsid w:val="00C6388C"/>
    <w:rsid w:val="00C63E24"/>
    <w:rsid w:val="00C63EB5"/>
    <w:rsid w:val="00C63F3E"/>
    <w:rsid w:val="00C63F78"/>
    <w:rsid w:val="00C63FCB"/>
    <w:rsid w:val="00C64243"/>
    <w:rsid w:val="00C64288"/>
    <w:rsid w:val="00C643D6"/>
    <w:rsid w:val="00C64925"/>
    <w:rsid w:val="00C64AED"/>
    <w:rsid w:val="00C64C32"/>
    <w:rsid w:val="00C6508F"/>
    <w:rsid w:val="00C657CA"/>
    <w:rsid w:val="00C6580B"/>
    <w:rsid w:val="00C65983"/>
    <w:rsid w:val="00C65F1A"/>
    <w:rsid w:val="00C65FAB"/>
    <w:rsid w:val="00C6616F"/>
    <w:rsid w:val="00C664B9"/>
    <w:rsid w:val="00C66993"/>
    <w:rsid w:val="00C66A6B"/>
    <w:rsid w:val="00C66A71"/>
    <w:rsid w:val="00C674C3"/>
    <w:rsid w:val="00C67838"/>
    <w:rsid w:val="00C67E45"/>
    <w:rsid w:val="00C67F3E"/>
    <w:rsid w:val="00C7014B"/>
    <w:rsid w:val="00C70532"/>
    <w:rsid w:val="00C70A7C"/>
    <w:rsid w:val="00C70DCA"/>
    <w:rsid w:val="00C70DDD"/>
    <w:rsid w:val="00C70EE7"/>
    <w:rsid w:val="00C70F9A"/>
    <w:rsid w:val="00C71218"/>
    <w:rsid w:val="00C71299"/>
    <w:rsid w:val="00C713A9"/>
    <w:rsid w:val="00C71440"/>
    <w:rsid w:val="00C716FF"/>
    <w:rsid w:val="00C71806"/>
    <w:rsid w:val="00C71807"/>
    <w:rsid w:val="00C7186C"/>
    <w:rsid w:val="00C72130"/>
    <w:rsid w:val="00C72973"/>
    <w:rsid w:val="00C72A86"/>
    <w:rsid w:val="00C72F93"/>
    <w:rsid w:val="00C730AE"/>
    <w:rsid w:val="00C73A08"/>
    <w:rsid w:val="00C740E5"/>
    <w:rsid w:val="00C74336"/>
    <w:rsid w:val="00C7455F"/>
    <w:rsid w:val="00C74BDD"/>
    <w:rsid w:val="00C7501A"/>
    <w:rsid w:val="00C752C1"/>
    <w:rsid w:val="00C75439"/>
    <w:rsid w:val="00C75619"/>
    <w:rsid w:val="00C75694"/>
    <w:rsid w:val="00C756DD"/>
    <w:rsid w:val="00C759E6"/>
    <w:rsid w:val="00C75A88"/>
    <w:rsid w:val="00C7624B"/>
    <w:rsid w:val="00C764A9"/>
    <w:rsid w:val="00C76569"/>
    <w:rsid w:val="00C76E83"/>
    <w:rsid w:val="00C76F63"/>
    <w:rsid w:val="00C772AA"/>
    <w:rsid w:val="00C774A4"/>
    <w:rsid w:val="00C774EE"/>
    <w:rsid w:val="00C77A04"/>
    <w:rsid w:val="00C77A19"/>
    <w:rsid w:val="00C77BF2"/>
    <w:rsid w:val="00C77C0E"/>
    <w:rsid w:val="00C77D13"/>
    <w:rsid w:val="00C77D8F"/>
    <w:rsid w:val="00C8001A"/>
    <w:rsid w:val="00C80057"/>
    <w:rsid w:val="00C8012C"/>
    <w:rsid w:val="00C804C7"/>
    <w:rsid w:val="00C804F9"/>
    <w:rsid w:val="00C8065A"/>
    <w:rsid w:val="00C80EB4"/>
    <w:rsid w:val="00C81050"/>
    <w:rsid w:val="00C8106C"/>
    <w:rsid w:val="00C81473"/>
    <w:rsid w:val="00C81601"/>
    <w:rsid w:val="00C81860"/>
    <w:rsid w:val="00C81875"/>
    <w:rsid w:val="00C81E46"/>
    <w:rsid w:val="00C821DE"/>
    <w:rsid w:val="00C8227E"/>
    <w:rsid w:val="00C82335"/>
    <w:rsid w:val="00C82654"/>
    <w:rsid w:val="00C8277B"/>
    <w:rsid w:val="00C82BB5"/>
    <w:rsid w:val="00C82BFF"/>
    <w:rsid w:val="00C830D3"/>
    <w:rsid w:val="00C83105"/>
    <w:rsid w:val="00C83622"/>
    <w:rsid w:val="00C8398C"/>
    <w:rsid w:val="00C83A7C"/>
    <w:rsid w:val="00C83B59"/>
    <w:rsid w:val="00C83BE0"/>
    <w:rsid w:val="00C83C68"/>
    <w:rsid w:val="00C83C99"/>
    <w:rsid w:val="00C84514"/>
    <w:rsid w:val="00C84741"/>
    <w:rsid w:val="00C8480E"/>
    <w:rsid w:val="00C848F3"/>
    <w:rsid w:val="00C84977"/>
    <w:rsid w:val="00C84C4F"/>
    <w:rsid w:val="00C84F11"/>
    <w:rsid w:val="00C85073"/>
    <w:rsid w:val="00C8534F"/>
    <w:rsid w:val="00C85413"/>
    <w:rsid w:val="00C85569"/>
    <w:rsid w:val="00C858C7"/>
    <w:rsid w:val="00C85A23"/>
    <w:rsid w:val="00C85A43"/>
    <w:rsid w:val="00C85D43"/>
    <w:rsid w:val="00C85F5A"/>
    <w:rsid w:val="00C8620A"/>
    <w:rsid w:val="00C86972"/>
    <w:rsid w:val="00C869D0"/>
    <w:rsid w:val="00C86F30"/>
    <w:rsid w:val="00C870D6"/>
    <w:rsid w:val="00C871A6"/>
    <w:rsid w:val="00C8738D"/>
    <w:rsid w:val="00C876CF"/>
    <w:rsid w:val="00C8784D"/>
    <w:rsid w:val="00C878A0"/>
    <w:rsid w:val="00C87908"/>
    <w:rsid w:val="00C87B37"/>
    <w:rsid w:val="00C87BD4"/>
    <w:rsid w:val="00C87CA7"/>
    <w:rsid w:val="00C87D2E"/>
    <w:rsid w:val="00C87DD5"/>
    <w:rsid w:val="00C90096"/>
    <w:rsid w:val="00C900CC"/>
    <w:rsid w:val="00C90161"/>
    <w:rsid w:val="00C9076C"/>
    <w:rsid w:val="00C90A5C"/>
    <w:rsid w:val="00C90A95"/>
    <w:rsid w:val="00C90F26"/>
    <w:rsid w:val="00C90F45"/>
    <w:rsid w:val="00C91484"/>
    <w:rsid w:val="00C9156D"/>
    <w:rsid w:val="00C9179F"/>
    <w:rsid w:val="00C91BEB"/>
    <w:rsid w:val="00C91F0A"/>
    <w:rsid w:val="00C920C4"/>
    <w:rsid w:val="00C9259E"/>
    <w:rsid w:val="00C926D6"/>
    <w:rsid w:val="00C9283C"/>
    <w:rsid w:val="00C92978"/>
    <w:rsid w:val="00C92ABF"/>
    <w:rsid w:val="00C92BED"/>
    <w:rsid w:val="00C92C5D"/>
    <w:rsid w:val="00C92CF6"/>
    <w:rsid w:val="00C93020"/>
    <w:rsid w:val="00C930D4"/>
    <w:rsid w:val="00C93846"/>
    <w:rsid w:val="00C9384B"/>
    <w:rsid w:val="00C93ABF"/>
    <w:rsid w:val="00C93BE6"/>
    <w:rsid w:val="00C93D15"/>
    <w:rsid w:val="00C944F8"/>
    <w:rsid w:val="00C9461C"/>
    <w:rsid w:val="00C94767"/>
    <w:rsid w:val="00C948CA"/>
    <w:rsid w:val="00C94995"/>
    <w:rsid w:val="00C94A31"/>
    <w:rsid w:val="00C94ADF"/>
    <w:rsid w:val="00C94F2E"/>
    <w:rsid w:val="00C9508C"/>
    <w:rsid w:val="00C951A6"/>
    <w:rsid w:val="00C952C1"/>
    <w:rsid w:val="00C955D7"/>
    <w:rsid w:val="00C95969"/>
    <w:rsid w:val="00C959F5"/>
    <w:rsid w:val="00C95DF0"/>
    <w:rsid w:val="00C95F87"/>
    <w:rsid w:val="00C95FC9"/>
    <w:rsid w:val="00C9669F"/>
    <w:rsid w:val="00C96718"/>
    <w:rsid w:val="00C96951"/>
    <w:rsid w:val="00C96AF2"/>
    <w:rsid w:val="00C96F03"/>
    <w:rsid w:val="00C970C7"/>
    <w:rsid w:val="00C974B3"/>
    <w:rsid w:val="00C9779A"/>
    <w:rsid w:val="00C9790F"/>
    <w:rsid w:val="00C97A4D"/>
    <w:rsid w:val="00C97AAD"/>
    <w:rsid w:val="00C97BCF"/>
    <w:rsid w:val="00C97C1C"/>
    <w:rsid w:val="00CA0440"/>
    <w:rsid w:val="00CA055B"/>
    <w:rsid w:val="00CA0A3E"/>
    <w:rsid w:val="00CA0B71"/>
    <w:rsid w:val="00CA0CC3"/>
    <w:rsid w:val="00CA0E8D"/>
    <w:rsid w:val="00CA0F81"/>
    <w:rsid w:val="00CA116E"/>
    <w:rsid w:val="00CA13BC"/>
    <w:rsid w:val="00CA1475"/>
    <w:rsid w:val="00CA1774"/>
    <w:rsid w:val="00CA18AC"/>
    <w:rsid w:val="00CA18BC"/>
    <w:rsid w:val="00CA1965"/>
    <w:rsid w:val="00CA1ACB"/>
    <w:rsid w:val="00CA1E13"/>
    <w:rsid w:val="00CA20F3"/>
    <w:rsid w:val="00CA2399"/>
    <w:rsid w:val="00CA2BC3"/>
    <w:rsid w:val="00CA2C4C"/>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59"/>
    <w:rsid w:val="00CA4BF9"/>
    <w:rsid w:val="00CA4C80"/>
    <w:rsid w:val="00CA4CAE"/>
    <w:rsid w:val="00CA4F1E"/>
    <w:rsid w:val="00CA50A8"/>
    <w:rsid w:val="00CA50E8"/>
    <w:rsid w:val="00CA50F2"/>
    <w:rsid w:val="00CA512E"/>
    <w:rsid w:val="00CA53EA"/>
    <w:rsid w:val="00CA5484"/>
    <w:rsid w:val="00CA5506"/>
    <w:rsid w:val="00CA56E2"/>
    <w:rsid w:val="00CA5E04"/>
    <w:rsid w:val="00CA6275"/>
    <w:rsid w:val="00CA653B"/>
    <w:rsid w:val="00CA6646"/>
    <w:rsid w:val="00CA67DA"/>
    <w:rsid w:val="00CA69BB"/>
    <w:rsid w:val="00CA6AB3"/>
    <w:rsid w:val="00CA73AB"/>
    <w:rsid w:val="00CA73EE"/>
    <w:rsid w:val="00CA7779"/>
    <w:rsid w:val="00CA7F86"/>
    <w:rsid w:val="00CB0030"/>
    <w:rsid w:val="00CB0106"/>
    <w:rsid w:val="00CB0130"/>
    <w:rsid w:val="00CB019D"/>
    <w:rsid w:val="00CB027E"/>
    <w:rsid w:val="00CB03B8"/>
    <w:rsid w:val="00CB03D6"/>
    <w:rsid w:val="00CB0814"/>
    <w:rsid w:val="00CB0901"/>
    <w:rsid w:val="00CB0B95"/>
    <w:rsid w:val="00CB0D87"/>
    <w:rsid w:val="00CB121D"/>
    <w:rsid w:val="00CB1667"/>
    <w:rsid w:val="00CB178B"/>
    <w:rsid w:val="00CB2348"/>
    <w:rsid w:val="00CB236E"/>
    <w:rsid w:val="00CB2990"/>
    <w:rsid w:val="00CB2F5C"/>
    <w:rsid w:val="00CB3067"/>
    <w:rsid w:val="00CB307E"/>
    <w:rsid w:val="00CB3416"/>
    <w:rsid w:val="00CB3488"/>
    <w:rsid w:val="00CB34F3"/>
    <w:rsid w:val="00CB367F"/>
    <w:rsid w:val="00CB36B2"/>
    <w:rsid w:val="00CB38D3"/>
    <w:rsid w:val="00CB391E"/>
    <w:rsid w:val="00CB3A6A"/>
    <w:rsid w:val="00CB3C9D"/>
    <w:rsid w:val="00CB3E4C"/>
    <w:rsid w:val="00CB3FE0"/>
    <w:rsid w:val="00CB4092"/>
    <w:rsid w:val="00CB445A"/>
    <w:rsid w:val="00CB4825"/>
    <w:rsid w:val="00CB49F5"/>
    <w:rsid w:val="00CB4B74"/>
    <w:rsid w:val="00CB4F8F"/>
    <w:rsid w:val="00CB4FFE"/>
    <w:rsid w:val="00CB51FD"/>
    <w:rsid w:val="00CB53B6"/>
    <w:rsid w:val="00CB59A3"/>
    <w:rsid w:val="00CB5B9A"/>
    <w:rsid w:val="00CB6569"/>
    <w:rsid w:val="00CB66BD"/>
    <w:rsid w:val="00CB66F6"/>
    <w:rsid w:val="00CB68D4"/>
    <w:rsid w:val="00CB68F7"/>
    <w:rsid w:val="00CB69A8"/>
    <w:rsid w:val="00CB71A0"/>
    <w:rsid w:val="00CB71DE"/>
    <w:rsid w:val="00CB7344"/>
    <w:rsid w:val="00CB734D"/>
    <w:rsid w:val="00CB7872"/>
    <w:rsid w:val="00CB7A4B"/>
    <w:rsid w:val="00CC01B4"/>
    <w:rsid w:val="00CC040F"/>
    <w:rsid w:val="00CC04B9"/>
    <w:rsid w:val="00CC04BA"/>
    <w:rsid w:val="00CC0522"/>
    <w:rsid w:val="00CC05C4"/>
    <w:rsid w:val="00CC07E9"/>
    <w:rsid w:val="00CC0937"/>
    <w:rsid w:val="00CC0A1B"/>
    <w:rsid w:val="00CC0C7E"/>
    <w:rsid w:val="00CC0CE4"/>
    <w:rsid w:val="00CC0D6C"/>
    <w:rsid w:val="00CC0E42"/>
    <w:rsid w:val="00CC0E6A"/>
    <w:rsid w:val="00CC0EE0"/>
    <w:rsid w:val="00CC1073"/>
    <w:rsid w:val="00CC10CC"/>
    <w:rsid w:val="00CC10D2"/>
    <w:rsid w:val="00CC17F7"/>
    <w:rsid w:val="00CC18B7"/>
    <w:rsid w:val="00CC1A73"/>
    <w:rsid w:val="00CC1B98"/>
    <w:rsid w:val="00CC1D4C"/>
    <w:rsid w:val="00CC1F74"/>
    <w:rsid w:val="00CC2168"/>
    <w:rsid w:val="00CC2197"/>
    <w:rsid w:val="00CC225C"/>
    <w:rsid w:val="00CC2415"/>
    <w:rsid w:val="00CC2C00"/>
    <w:rsid w:val="00CC2FE2"/>
    <w:rsid w:val="00CC3028"/>
    <w:rsid w:val="00CC308E"/>
    <w:rsid w:val="00CC30DC"/>
    <w:rsid w:val="00CC3D17"/>
    <w:rsid w:val="00CC4384"/>
    <w:rsid w:val="00CC4491"/>
    <w:rsid w:val="00CC462A"/>
    <w:rsid w:val="00CC5061"/>
    <w:rsid w:val="00CC5187"/>
    <w:rsid w:val="00CC5470"/>
    <w:rsid w:val="00CC55E6"/>
    <w:rsid w:val="00CC57E0"/>
    <w:rsid w:val="00CC5A75"/>
    <w:rsid w:val="00CC6104"/>
    <w:rsid w:val="00CC618A"/>
    <w:rsid w:val="00CC634B"/>
    <w:rsid w:val="00CC6386"/>
    <w:rsid w:val="00CC64FE"/>
    <w:rsid w:val="00CC6A67"/>
    <w:rsid w:val="00CC6D4B"/>
    <w:rsid w:val="00CC6DB3"/>
    <w:rsid w:val="00CC73EA"/>
    <w:rsid w:val="00CC74CF"/>
    <w:rsid w:val="00CC75C8"/>
    <w:rsid w:val="00CC77BD"/>
    <w:rsid w:val="00CC78EC"/>
    <w:rsid w:val="00CC7FC5"/>
    <w:rsid w:val="00CD0079"/>
    <w:rsid w:val="00CD0261"/>
    <w:rsid w:val="00CD0337"/>
    <w:rsid w:val="00CD0355"/>
    <w:rsid w:val="00CD0731"/>
    <w:rsid w:val="00CD089E"/>
    <w:rsid w:val="00CD0D7D"/>
    <w:rsid w:val="00CD1046"/>
    <w:rsid w:val="00CD1170"/>
    <w:rsid w:val="00CD12AB"/>
    <w:rsid w:val="00CD172D"/>
    <w:rsid w:val="00CD18D4"/>
    <w:rsid w:val="00CD1C01"/>
    <w:rsid w:val="00CD1C5A"/>
    <w:rsid w:val="00CD1D3A"/>
    <w:rsid w:val="00CD208F"/>
    <w:rsid w:val="00CD231D"/>
    <w:rsid w:val="00CD24FA"/>
    <w:rsid w:val="00CD251F"/>
    <w:rsid w:val="00CD2550"/>
    <w:rsid w:val="00CD26A9"/>
    <w:rsid w:val="00CD279D"/>
    <w:rsid w:val="00CD2A15"/>
    <w:rsid w:val="00CD2ED9"/>
    <w:rsid w:val="00CD316E"/>
    <w:rsid w:val="00CD35FE"/>
    <w:rsid w:val="00CD399F"/>
    <w:rsid w:val="00CD3A97"/>
    <w:rsid w:val="00CD3B65"/>
    <w:rsid w:val="00CD40D7"/>
    <w:rsid w:val="00CD457C"/>
    <w:rsid w:val="00CD4597"/>
    <w:rsid w:val="00CD4872"/>
    <w:rsid w:val="00CD49B8"/>
    <w:rsid w:val="00CD4AC2"/>
    <w:rsid w:val="00CD4BD8"/>
    <w:rsid w:val="00CD4BF2"/>
    <w:rsid w:val="00CD4D21"/>
    <w:rsid w:val="00CD4FE8"/>
    <w:rsid w:val="00CD511A"/>
    <w:rsid w:val="00CD55D7"/>
    <w:rsid w:val="00CD5811"/>
    <w:rsid w:val="00CD5DD5"/>
    <w:rsid w:val="00CD5E88"/>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BD"/>
    <w:rsid w:val="00CD733E"/>
    <w:rsid w:val="00CD7360"/>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6F"/>
    <w:rsid w:val="00CE10A7"/>
    <w:rsid w:val="00CE10FB"/>
    <w:rsid w:val="00CE11B1"/>
    <w:rsid w:val="00CE13C6"/>
    <w:rsid w:val="00CE1569"/>
    <w:rsid w:val="00CE15A9"/>
    <w:rsid w:val="00CE15F2"/>
    <w:rsid w:val="00CE1827"/>
    <w:rsid w:val="00CE1A59"/>
    <w:rsid w:val="00CE1F14"/>
    <w:rsid w:val="00CE1F51"/>
    <w:rsid w:val="00CE2004"/>
    <w:rsid w:val="00CE20A8"/>
    <w:rsid w:val="00CE21BB"/>
    <w:rsid w:val="00CE24AE"/>
    <w:rsid w:val="00CE2588"/>
    <w:rsid w:val="00CE2605"/>
    <w:rsid w:val="00CE2632"/>
    <w:rsid w:val="00CE2E3C"/>
    <w:rsid w:val="00CE30B3"/>
    <w:rsid w:val="00CE31C5"/>
    <w:rsid w:val="00CE3337"/>
    <w:rsid w:val="00CE3678"/>
    <w:rsid w:val="00CE36F2"/>
    <w:rsid w:val="00CE3945"/>
    <w:rsid w:val="00CE3988"/>
    <w:rsid w:val="00CE3E94"/>
    <w:rsid w:val="00CE3EDE"/>
    <w:rsid w:val="00CE40E7"/>
    <w:rsid w:val="00CE412A"/>
    <w:rsid w:val="00CE416D"/>
    <w:rsid w:val="00CE4228"/>
    <w:rsid w:val="00CE4261"/>
    <w:rsid w:val="00CE449C"/>
    <w:rsid w:val="00CE44F3"/>
    <w:rsid w:val="00CE47E2"/>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57D"/>
    <w:rsid w:val="00CF17E1"/>
    <w:rsid w:val="00CF1920"/>
    <w:rsid w:val="00CF1A9C"/>
    <w:rsid w:val="00CF1DC0"/>
    <w:rsid w:val="00CF1EA4"/>
    <w:rsid w:val="00CF20F2"/>
    <w:rsid w:val="00CF241E"/>
    <w:rsid w:val="00CF2550"/>
    <w:rsid w:val="00CF26F6"/>
    <w:rsid w:val="00CF284E"/>
    <w:rsid w:val="00CF288B"/>
    <w:rsid w:val="00CF298A"/>
    <w:rsid w:val="00CF2A30"/>
    <w:rsid w:val="00CF2CC9"/>
    <w:rsid w:val="00CF2D85"/>
    <w:rsid w:val="00CF2E26"/>
    <w:rsid w:val="00CF2F78"/>
    <w:rsid w:val="00CF31D8"/>
    <w:rsid w:val="00CF3626"/>
    <w:rsid w:val="00CF3B70"/>
    <w:rsid w:val="00CF3B85"/>
    <w:rsid w:val="00CF3D3A"/>
    <w:rsid w:val="00CF4204"/>
    <w:rsid w:val="00CF42A1"/>
    <w:rsid w:val="00CF4409"/>
    <w:rsid w:val="00CF4460"/>
    <w:rsid w:val="00CF4697"/>
    <w:rsid w:val="00CF4B6E"/>
    <w:rsid w:val="00CF4F27"/>
    <w:rsid w:val="00CF4FFC"/>
    <w:rsid w:val="00CF556F"/>
    <w:rsid w:val="00CF5635"/>
    <w:rsid w:val="00CF5830"/>
    <w:rsid w:val="00CF5948"/>
    <w:rsid w:val="00CF5CB4"/>
    <w:rsid w:val="00CF6324"/>
    <w:rsid w:val="00CF647C"/>
    <w:rsid w:val="00CF64DE"/>
    <w:rsid w:val="00CF6B79"/>
    <w:rsid w:val="00CF6D01"/>
    <w:rsid w:val="00CF7096"/>
    <w:rsid w:val="00CF742D"/>
    <w:rsid w:val="00CF7461"/>
    <w:rsid w:val="00CF747E"/>
    <w:rsid w:val="00CF7595"/>
    <w:rsid w:val="00CF75C9"/>
    <w:rsid w:val="00CF7659"/>
    <w:rsid w:val="00CF7A6B"/>
    <w:rsid w:val="00CF7A8D"/>
    <w:rsid w:val="00D00152"/>
    <w:rsid w:val="00D003B3"/>
    <w:rsid w:val="00D00421"/>
    <w:rsid w:val="00D0063C"/>
    <w:rsid w:val="00D00B85"/>
    <w:rsid w:val="00D00D4C"/>
    <w:rsid w:val="00D01479"/>
    <w:rsid w:val="00D01673"/>
    <w:rsid w:val="00D016D6"/>
    <w:rsid w:val="00D017AB"/>
    <w:rsid w:val="00D01B90"/>
    <w:rsid w:val="00D01EC6"/>
    <w:rsid w:val="00D02378"/>
    <w:rsid w:val="00D025DD"/>
    <w:rsid w:val="00D02610"/>
    <w:rsid w:val="00D02731"/>
    <w:rsid w:val="00D029EE"/>
    <w:rsid w:val="00D033F9"/>
    <w:rsid w:val="00D03602"/>
    <w:rsid w:val="00D03C9C"/>
    <w:rsid w:val="00D03D3A"/>
    <w:rsid w:val="00D03FAC"/>
    <w:rsid w:val="00D04036"/>
    <w:rsid w:val="00D04154"/>
    <w:rsid w:val="00D04590"/>
    <w:rsid w:val="00D047ED"/>
    <w:rsid w:val="00D0490C"/>
    <w:rsid w:val="00D04A47"/>
    <w:rsid w:val="00D04A70"/>
    <w:rsid w:val="00D04D87"/>
    <w:rsid w:val="00D04FC5"/>
    <w:rsid w:val="00D05325"/>
    <w:rsid w:val="00D0554A"/>
    <w:rsid w:val="00D0555A"/>
    <w:rsid w:val="00D0565A"/>
    <w:rsid w:val="00D05E49"/>
    <w:rsid w:val="00D06228"/>
    <w:rsid w:val="00D06508"/>
    <w:rsid w:val="00D06534"/>
    <w:rsid w:val="00D0658F"/>
    <w:rsid w:val="00D06BBD"/>
    <w:rsid w:val="00D06E05"/>
    <w:rsid w:val="00D07D3C"/>
    <w:rsid w:val="00D07E34"/>
    <w:rsid w:val="00D1005F"/>
    <w:rsid w:val="00D103BE"/>
    <w:rsid w:val="00D10D78"/>
    <w:rsid w:val="00D110CB"/>
    <w:rsid w:val="00D118AE"/>
    <w:rsid w:val="00D118B3"/>
    <w:rsid w:val="00D120C2"/>
    <w:rsid w:val="00D120C5"/>
    <w:rsid w:val="00D12354"/>
    <w:rsid w:val="00D12502"/>
    <w:rsid w:val="00D1252A"/>
    <w:rsid w:val="00D125AE"/>
    <w:rsid w:val="00D126DF"/>
    <w:rsid w:val="00D1293B"/>
    <w:rsid w:val="00D129F6"/>
    <w:rsid w:val="00D12B8C"/>
    <w:rsid w:val="00D13286"/>
    <w:rsid w:val="00D13510"/>
    <w:rsid w:val="00D13659"/>
    <w:rsid w:val="00D13AEA"/>
    <w:rsid w:val="00D13BD6"/>
    <w:rsid w:val="00D13CED"/>
    <w:rsid w:val="00D13D46"/>
    <w:rsid w:val="00D13E23"/>
    <w:rsid w:val="00D13F72"/>
    <w:rsid w:val="00D13FCE"/>
    <w:rsid w:val="00D14149"/>
    <w:rsid w:val="00D14168"/>
    <w:rsid w:val="00D14221"/>
    <w:rsid w:val="00D1432E"/>
    <w:rsid w:val="00D14398"/>
    <w:rsid w:val="00D14446"/>
    <w:rsid w:val="00D1475A"/>
    <w:rsid w:val="00D147A3"/>
    <w:rsid w:val="00D14A26"/>
    <w:rsid w:val="00D14B15"/>
    <w:rsid w:val="00D14B25"/>
    <w:rsid w:val="00D14B5D"/>
    <w:rsid w:val="00D14BB0"/>
    <w:rsid w:val="00D14E38"/>
    <w:rsid w:val="00D14F2D"/>
    <w:rsid w:val="00D151CC"/>
    <w:rsid w:val="00D152FE"/>
    <w:rsid w:val="00D15335"/>
    <w:rsid w:val="00D156A4"/>
    <w:rsid w:val="00D15976"/>
    <w:rsid w:val="00D15B47"/>
    <w:rsid w:val="00D15C0F"/>
    <w:rsid w:val="00D15DE7"/>
    <w:rsid w:val="00D15F31"/>
    <w:rsid w:val="00D15FEA"/>
    <w:rsid w:val="00D165B9"/>
    <w:rsid w:val="00D166C1"/>
    <w:rsid w:val="00D16825"/>
    <w:rsid w:val="00D16838"/>
    <w:rsid w:val="00D168F3"/>
    <w:rsid w:val="00D16AC9"/>
    <w:rsid w:val="00D16E2C"/>
    <w:rsid w:val="00D1710A"/>
    <w:rsid w:val="00D173B9"/>
    <w:rsid w:val="00D17457"/>
    <w:rsid w:val="00D175A7"/>
    <w:rsid w:val="00D17B3B"/>
    <w:rsid w:val="00D17CF9"/>
    <w:rsid w:val="00D17D05"/>
    <w:rsid w:val="00D17E6E"/>
    <w:rsid w:val="00D17F21"/>
    <w:rsid w:val="00D2016F"/>
    <w:rsid w:val="00D20383"/>
    <w:rsid w:val="00D20822"/>
    <w:rsid w:val="00D20B7A"/>
    <w:rsid w:val="00D20E9F"/>
    <w:rsid w:val="00D20F2D"/>
    <w:rsid w:val="00D20F54"/>
    <w:rsid w:val="00D2110D"/>
    <w:rsid w:val="00D21117"/>
    <w:rsid w:val="00D218DE"/>
    <w:rsid w:val="00D2229D"/>
    <w:rsid w:val="00D2273E"/>
    <w:rsid w:val="00D2274D"/>
    <w:rsid w:val="00D22A3B"/>
    <w:rsid w:val="00D22A42"/>
    <w:rsid w:val="00D22B0A"/>
    <w:rsid w:val="00D23121"/>
    <w:rsid w:val="00D233CC"/>
    <w:rsid w:val="00D233E5"/>
    <w:rsid w:val="00D235B5"/>
    <w:rsid w:val="00D24059"/>
    <w:rsid w:val="00D2441E"/>
    <w:rsid w:val="00D24665"/>
    <w:rsid w:val="00D2480F"/>
    <w:rsid w:val="00D248AD"/>
    <w:rsid w:val="00D24B12"/>
    <w:rsid w:val="00D24B2A"/>
    <w:rsid w:val="00D2536A"/>
    <w:rsid w:val="00D2545E"/>
    <w:rsid w:val="00D25563"/>
    <w:rsid w:val="00D257D8"/>
    <w:rsid w:val="00D25E4E"/>
    <w:rsid w:val="00D25F31"/>
    <w:rsid w:val="00D25F62"/>
    <w:rsid w:val="00D25F89"/>
    <w:rsid w:val="00D2608A"/>
    <w:rsid w:val="00D262E4"/>
    <w:rsid w:val="00D268EF"/>
    <w:rsid w:val="00D26D18"/>
    <w:rsid w:val="00D26FFD"/>
    <w:rsid w:val="00D270AF"/>
    <w:rsid w:val="00D270EC"/>
    <w:rsid w:val="00D27278"/>
    <w:rsid w:val="00D272FA"/>
    <w:rsid w:val="00D2753D"/>
    <w:rsid w:val="00D2795B"/>
    <w:rsid w:val="00D300DE"/>
    <w:rsid w:val="00D30244"/>
    <w:rsid w:val="00D30600"/>
    <w:rsid w:val="00D3073F"/>
    <w:rsid w:val="00D30C3E"/>
    <w:rsid w:val="00D30D9F"/>
    <w:rsid w:val="00D30DAA"/>
    <w:rsid w:val="00D30E88"/>
    <w:rsid w:val="00D30E94"/>
    <w:rsid w:val="00D30F63"/>
    <w:rsid w:val="00D30FDE"/>
    <w:rsid w:val="00D31210"/>
    <w:rsid w:val="00D312E6"/>
    <w:rsid w:val="00D31682"/>
    <w:rsid w:val="00D31802"/>
    <w:rsid w:val="00D31E6B"/>
    <w:rsid w:val="00D31ECC"/>
    <w:rsid w:val="00D3224E"/>
    <w:rsid w:val="00D32389"/>
    <w:rsid w:val="00D32609"/>
    <w:rsid w:val="00D327D1"/>
    <w:rsid w:val="00D32F7B"/>
    <w:rsid w:val="00D33231"/>
    <w:rsid w:val="00D33271"/>
    <w:rsid w:val="00D33CEC"/>
    <w:rsid w:val="00D3412E"/>
    <w:rsid w:val="00D343F5"/>
    <w:rsid w:val="00D34BF7"/>
    <w:rsid w:val="00D34C5B"/>
    <w:rsid w:val="00D3507A"/>
    <w:rsid w:val="00D351FF"/>
    <w:rsid w:val="00D352F5"/>
    <w:rsid w:val="00D35F5E"/>
    <w:rsid w:val="00D3611A"/>
    <w:rsid w:val="00D3611B"/>
    <w:rsid w:val="00D361D1"/>
    <w:rsid w:val="00D3633A"/>
    <w:rsid w:val="00D3655F"/>
    <w:rsid w:val="00D3694D"/>
    <w:rsid w:val="00D36A05"/>
    <w:rsid w:val="00D36A7C"/>
    <w:rsid w:val="00D37582"/>
    <w:rsid w:val="00D375BA"/>
    <w:rsid w:val="00D376AE"/>
    <w:rsid w:val="00D379D6"/>
    <w:rsid w:val="00D37A93"/>
    <w:rsid w:val="00D37BC3"/>
    <w:rsid w:val="00D37D96"/>
    <w:rsid w:val="00D4017B"/>
    <w:rsid w:val="00D40534"/>
    <w:rsid w:val="00D409F9"/>
    <w:rsid w:val="00D40BDC"/>
    <w:rsid w:val="00D41015"/>
    <w:rsid w:val="00D410E7"/>
    <w:rsid w:val="00D4170B"/>
    <w:rsid w:val="00D417D3"/>
    <w:rsid w:val="00D41850"/>
    <w:rsid w:val="00D41A8F"/>
    <w:rsid w:val="00D41AC8"/>
    <w:rsid w:val="00D41B4B"/>
    <w:rsid w:val="00D41F21"/>
    <w:rsid w:val="00D4229B"/>
    <w:rsid w:val="00D422E8"/>
    <w:rsid w:val="00D42446"/>
    <w:rsid w:val="00D425E7"/>
    <w:rsid w:val="00D4283D"/>
    <w:rsid w:val="00D42978"/>
    <w:rsid w:val="00D42B75"/>
    <w:rsid w:val="00D42C05"/>
    <w:rsid w:val="00D42FFF"/>
    <w:rsid w:val="00D43154"/>
    <w:rsid w:val="00D432FE"/>
    <w:rsid w:val="00D43341"/>
    <w:rsid w:val="00D43502"/>
    <w:rsid w:val="00D43721"/>
    <w:rsid w:val="00D43AD9"/>
    <w:rsid w:val="00D43B79"/>
    <w:rsid w:val="00D43E22"/>
    <w:rsid w:val="00D4412A"/>
    <w:rsid w:val="00D44138"/>
    <w:rsid w:val="00D4431E"/>
    <w:rsid w:val="00D44419"/>
    <w:rsid w:val="00D44904"/>
    <w:rsid w:val="00D4499F"/>
    <w:rsid w:val="00D44A5E"/>
    <w:rsid w:val="00D44AD9"/>
    <w:rsid w:val="00D44E0C"/>
    <w:rsid w:val="00D4571D"/>
    <w:rsid w:val="00D45733"/>
    <w:rsid w:val="00D45855"/>
    <w:rsid w:val="00D45B99"/>
    <w:rsid w:val="00D45BF8"/>
    <w:rsid w:val="00D45DDC"/>
    <w:rsid w:val="00D461C6"/>
    <w:rsid w:val="00D461DB"/>
    <w:rsid w:val="00D46281"/>
    <w:rsid w:val="00D46423"/>
    <w:rsid w:val="00D46656"/>
    <w:rsid w:val="00D46CBC"/>
    <w:rsid w:val="00D46D19"/>
    <w:rsid w:val="00D46E13"/>
    <w:rsid w:val="00D46F79"/>
    <w:rsid w:val="00D47304"/>
    <w:rsid w:val="00D476C6"/>
    <w:rsid w:val="00D477FB"/>
    <w:rsid w:val="00D47884"/>
    <w:rsid w:val="00D47BD7"/>
    <w:rsid w:val="00D50315"/>
    <w:rsid w:val="00D5047B"/>
    <w:rsid w:val="00D504CF"/>
    <w:rsid w:val="00D50738"/>
    <w:rsid w:val="00D50B5A"/>
    <w:rsid w:val="00D50E41"/>
    <w:rsid w:val="00D50FAB"/>
    <w:rsid w:val="00D51310"/>
    <w:rsid w:val="00D51822"/>
    <w:rsid w:val="00D51A47"/>
    <w:rsid w:val="00D51E60"/>
    <w:rsid w:val="00D5226F"/>
    <w:rsid w:val="00D5235C"/>
    <w:rsid w:val="00D52957"/>
    <w:rsid w:val="00D52999"/>
    <w:rsid w:val="00D52A78"/>
    <w:rsid w:val="00D5304A"/>
    <w:rsid w:val="00D539B4"/>
    <w:rsid w:val="00D53B34"/>
    <w:rsid w:val="00D53BEC"/>
    <w:rsid w:val="00D53D22"/>
    <w:rsid w:val="00D53D5E"/>
    <w:rsid w:val="00D53D88"/>
    <w:rsid w:val="00D53FB2"/>
    <w:rsid w:val="00D53FC4"/>
    <w:rsid w:val="00D54053"/>
    <w:rsid w:val="00D5412E"/>
    <w:rsid w:val="00D54290"/>
    <w:rsid w:val="00D543B9"/>
    <w:rsid w:val="00D54615"/>
    <w:rsid w:val="00D548B1"/>
    <w:rsid w:val="00D54CC6"/>
    <w:rsid w:val="00D54DBE"/>
    <w:rsid w:val="00D54DD1"/>
    <w:rsid w:val="00D54ECC"/>
    <w:rsid w:val="00D54F74"/>
    <w:rsid w:val="00D551E3"/>
    <w:rsid w:val="00D55858"/>
    <w:rsid w:val="00D55A54"/>
    <w:rsid w:val="00D55C0D"/>
    <w:rsid w:val="00D55C1D"/>
    <w:rsid w:val="00D55D52"/>
    <w:rsid w:val="00D55E5D"/>
    <w:rsid w:val="00D56CE1"/>
    <w:rsid w:val="00D56D32"/>
    <w:rsid w:val="00D57043"/>
    <w:rsid w:val="00D57508"/>
    <w:rsid w:val="00D577FE"/>
    <w:rsid w:val="00D5784A"/>
    <w:rsid w:val="00D57A5C"/>
    <w:rsid w:val="00D60140"/>
    <w:rsid w:val="00D6020B"/>
    <w:rsid w:val="00D602FF"/>
    <w:rsid w:val="00D6032D"/>
    <w:rsid w:val="00D6054C"/>
    <w:rsid w:val="00D6095B"/>
    <w:rsid w:val="00D60D2F"/>
    <w:rsid w:val="00D60E5B"/>
    <w:rsid w:val="00D6112A"/>
    <w:rsid w:val="00D61655"/>
    <w:rsid w:val="00D617E7"/>
    <w:rsid w:val="00D6185E"/>
    <w:rsid w:val="00D619CF"/>
    <w:rsid w:val="00D61A15"/>
    <w:rsid w:val="00D62201"/>
    <w:rsid w:val="00D62A51"/>
    <w:rsid w:val="00D62DA6"/>
    <w:rsid w:val="00D62DB7"/>
    <w:rsid w:val="00D62E1C"/>
    <w:rsid w:val="00D63115"/>
    <w:rsid w:val="00D632B7"/>
    <w:rsid w:val="00D63301"/>
    <w:rsid w:val="00D634F8"/>
    <w:rsid w:val="00D635CD"/>
    <w:rsid w:val="00D6365F"/>
    <w:rsid w:val="00D638C3"/>
    <w:rsid w:val="00D63925"/>
    <w:rsid w:val="00D639A8"/>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67"/>
    <w:rsid w:val="00D661A4"/>
    <w:rsid w:val="00D66584"/>
    <w:rsid w:val="00D666A5"/>
    <w:rsid w:val="00D66C05"/>
    <w:rsid w:val="00D66C6F"/>
    <w:rsid w:val="00D66CA8"/>
    <w:rsid w:val="00D66F26"/>
    <w:rsid w:val="00D67140"/>
    <w:rsid w:val="00D6719F"/>
    <w:rsid w:val="00D671C7"/>
    <w:rsid w:val="00D676F5"/>
    <w:rsid w:val="00D677BD"/>
    <w:rsid w:val="00D677D7"/>
    <w:rsid w:val="00D6785A"/>
    <w:rsid w:val="00D6799B"/>
    <w:rsid w:val="00D67A94"/>
    <w:rsid w:val="00D67CBD"/>
    <w:rsid w:val="00D67CD6"/>
    <w:rsid w:val="00D67CD7"/>
    <w:rsid w:val="00D67D91"/>
    <w:rsid w:val="00D67DCB"/>
    <w:rsid w:val="00D67E3A"/>
    <w:rsid w:val="00D70032"/>
    <w:rsid w:val="00D70103"/>
    <w:rsid w:val="00D70648"/>
    <w:rsid w:val="00D706F3"/>
    <w:rsid w:val="00D70858"/>
    <w:rsid w:val="00D7098C"/>
    <w:rsid w:val="00D70B86"/>
    <w:rsid w:val="00D70B9B"/>
    <w:rsid w:val="00D70E3E"/>
    <w:rsid w:val="00D70FC5"/>
    <w:rsid w:val="00D713A6"/>
    <w:rsid w:val="00D71491"/>
    <w:rsid w:val="00D716EA"/>
    <w:rsid w:val="00D71D9B"/>
    <w:rsid w:val="00D71E7B"/>
    <w:rsid w:val="00D71F4D"/>
    <w:rsid w:val="00D72312"/>
    <w:rsid w:val="00D72A80"/>
    <w:rsid w:val="00D72F29"/>
    <w:rsid w:val="00D73174"/>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0B3"/>
    <w:rsid w:val="00D75330"/>
    <w:rsid w:val="00D755B3"/>
    <w:rsid w:val="00D75D54"/>
    <w:rsid w:val="00D75DFB"/>
    <w:rsid w:val="00D75E6A"/>
    <w:rsid w:val="00D76530"/>
    <w:rsid w:val="00D76895"/>
    <w:rsid w:val="00D76A0A"/>
    <w:rsid w:val="00D76DA7"/>
    <w:rsid w:val="00D7733A"/>
    <w:rsid w:val="00D77501"/>
    <w:rsid w:val="00D7794C"/>
    <w:rsid w:val="00D77DDB"/>
    <w:rsid w:val="00D77FA1"/>
    <w:rsid w:val="00D77FD0"/>
    <w:rsid w:val="00D8031D"/>
    <w:rsid w:val="00D80440"/>
    <w:rsid w:val="00D80BBE"/>
    <w:rsid w:val="00D80C77"/>
    <w:rsid w:val="00D80DED"/>
    <w:rsid w:val="00D81060"/>
    <w:rsid w:val="00D81121"/>
    <w:rsid w:val="00D81154"/>
    <w:rsid w:val="00D81223"/>
    <w:rsid w:val="00D815AE"/>
    <w:rsid w:val="00D81633"/>
    <w:rsid w:val="00D81706"/>
    <w:rsid w:val="00D818C9"/>
    <w:rsid w:val="00D81B03"/>
    <w:rsid w:val="00D81CB5"/>
    <w:rsid w:val="00D81F22"/>
    <w:rsid w:val="00D81F4C"/>
    <w:rsid w:val="00D81FB2"/>
    <w:rsid w:val="00D81FB3"/>
    <w:rsid w:val="00D82221"/>
    <w:rsid w:val="00D822A9"/>
    <w:rsid w:val="00D8237A"/>
    <w:rsid w:val="00D8277C"/>
    <w:rsid w:val="00D82B5E"/>
    <w:rsid w:val="00D82E53"/>
    <w:rsid w:val="00D830E3"/>
    <w:rsid w:val="00D831CF"/>
    <w:rsid w:val="00D833E7"/>
    <w:rsid w:val="00D8353E"/>
    <w:rsid w:val="00D835A7"/>
    <w:rsid w:val="00D83772"/>
    <w:rsid w:val="00D837B4"/>
    <w:rsid w:val="00D839AD"/>
    <w:rsid w:val="00D839CD"/>
    <w:rsid w:val="00D840D7"/>
    <w:rsid w:val="00D840E5"/>
    <w:rsid w:val="00D8426C"/>
    <w:rsid w:val="00D8427A"/>
    <w:rsid w:val="00D84299"/>
    <w:rsid w:val="00D843D9"/>
    <w:rsid w:val="00D84417"/>
    <w:rsid w:val="00D844B0"/>
    <w:rsid w:val="00D84597"/>
    <w:rsid w:val="00D849AB"/>
    <w:rsid w:val="00D84AAB"/>
    <w:rsid w:val="00D84B2F"/>
    <w:rsid w:val="00D84BD5"/>
    <w:rsid w:val="00D84D2D"/>
    <w:rsid w:val="00D84F16"/>
    <w:rsid w:val="00D850AF"/>
    <w:rsid w:val="00D8573D"/>
    <w:rsid w:val="00D85B8D"/>
    <w:rsid w:val="00D85C91"/>
    <w:rsid w:val="00D860DF"/>
    <w:rsid w:val="00D8623F"/>
    <w:rsid w:val="00D863A0"/>
    <w:rsid w:val="00D86418"/>
    <w:rsid w:val="00D866AB"/>
    <w:rsid w:val="00D86770"/>
    <w:rsid w:val="00D86A32"/>
    <w:rsid w:val="00D86CF5"/>
    <w:rsid w:val="00D87142"/>
    <w:rsid w:val="00D871C1"/>
    <w:rsid w:val="00D87308"/>
    <w:rsid w:val="00D8736F"/>
    <w:rsid w:val="00D8737E"/>
    <w:rsid w:val="00D875CE"/>
    <w:rsid w:val="00D87696"/>
    <w:rsid w:val="00D878FB"/>
    <w:rsid w:val="00D87B29"/>
    <w:rsid w:val="00D87D66"/>
    <w:rsid w:val="00D90201"/>
    <w:rsid w:val="00D90465"/>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2230"/>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504E"/>
    <w:rsid w:val="00D95295"/>
    <w:rsid w:val="00D958B7"/>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DC0"/>
    <w:rsid w:val="00DA121D"/>
    <w:rsid w:val="00DA13BC"/>
    <w:rsid w:val="00DA15AF"/>
    <w:rsid w:val="00DA1610"/>
    <w:rsid w:val="00DA1718"/>
    <w:rsid w:val="00DA1A28"/>
    <w:rsid w:val="00DA1F61"/>
    <w:rsid w:val="00DA1FBA"/>
    <w:rsid w:val="00DA2137"/>
    <w:rsid w:val="00DA21F3"/>
    <w:rsid w:val="00DA23BF"/>
    <w:rsid w:val="00DA245D"/>
    <w:rsid w:val="00DA2580"/>
    <w:rsid w:val="00DA25CA"/>
    <w:rsid w:val="00DA292A"/>
    <w:rsid w:val="00DA2C7B"/>
    <w:rsid w:val="00DA329D"/>
    <w:rsid w:val="00DA33E5"/>
    <w:rsid w:val="00DA3574"/>
    <w:rsid w:val="00DA38D9"/>
    <w:rsid w:val="00DA3984"/>
    <w:rsid w:val="00DA4270"/>
    <w:rsid w:val="00DA4733"/>
    <w:rsid w:val="00DA476F"/>
    <w:rsid w:val="00DA47E4"/>
    <w:rsid w:val="00DA47F8"/>
    <w:rsid w:val="00DA49E9"/>
    <w:rsid w:val="00DA4A01"/>
    <w:rsid w:val="00DA4AA5"/>
    <w:rsid w:val="00DA4C1C"/>
    <w:rsid w:val="00DA4C55"/>
    <w:rsid w:val="00DA4CA5"/>
    <w:rsid w:val="00DA4E69"/>
    <w:rsid w:val="00DA53E8"/>
    <w:rsid w:val="00DA57CC"/>
    <w:rsid w:val="00DA5B17"/>
    <w:rsid w:val="00DA5B9C"/>
    <w:rsid w:val="00DA5CC8"/>
    <w:rsid w:val="00DA61B2"/>
    <w:rsid w:val="00DA6561"/>
    <w:rsid w:val="00DA661A"/>
    <w:rsid w:val="00DA683C"/>
    <w:rsid w:val="00DA6ADB"/>
    <w:rsid w:val="00DA6B6B"/>
    <w:rsid w:val="00DA6B92"/>
    <w:rsid w:val="00DA6BEC"/>
    <w:rsid w:val="00DA6CEE"/>
    <w:rsid w:val="00DA6FEC"/>
    <w:rsid w:val="00DA703F"/>
    <w:rsid w:val="00DA76FF"/>
    <w:rsid w:val="00DA7748"/>
    <w:rsid w:val="00DA78BB"/>
    <w:rsid w:val="00DB0154"/>
    <w:rsid w:val="00DB0195"/>
    <w:rsid w:val="00DB023E"/>
    <w:rsid w:val="00DB0876"/>
    <w:rsid w:val="00DB0C7C"/>
    <w:rsid w:val="00DB0FC8"/>
    <w:rsid w:val="00DB1E76"/>
    <w:rsid w:val="00DB1F34"/>
    <w:rsid w:val="00DB20B8"/>
    <w:rsid w:val="00DB227D"/>
    <w:rsid w:val="00DB238C"/>
    <w:rsid w:val="00DB247F"/>
    <w:rsid w:val="00DB24AF"/>
    <w:rsid w:val="00DB2669"/>
    <w:rsid w:val="00DB2B99"/>
    <w:rsid w:val="00DB2D41"/>
    <w:rsid w:val="00DB2FD8"/>
    <w:rsid w:val="00DB313E"/>
    <w:rsid w:val="00DB3173"/>
    <w:rsid w:val="00DB37C0"/>
    <w:rsid w:val="00DB38BB"/>
    <w:rsid w:val="00DB393D"/>
    <w:rsid w:val="00DB3E10"/>
    <w:rsid w:val="00DB3E3E"/>
    <w:rsid w:val="00DB472C"/>
    <w:rsid w:val="00DB48E1"/>
    <w:rsid w:val="00DB4A15"/>
    <w:rsid w:val="00DB4D91"/>
    <w:rsid w:val="00DB500A"/>
    <w:rsid w:val="00DB55B9"/>
    <w:rsid w:val="00DB56B5"/>
    <w:rsid w:val="00DB5709"/>
    <w:rsid w:val="00DB580B"/>
    <w:rsid w:val="00DB5A67"/>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65B"/>
    <w:rsid w:val="00DC166F"/>
    <w:rsid w:val="00DC1746"/>
    <w:rsid w:val="00DC1D68"/>
    <w:rsid w:val="00DC1E73"/>
    <w:rsid w:val="00DC1FAD"/>
    <w:rsid w:val="00DC2142"/>
    <w:rsid w:val="00DC2180"/>
    <w:rsid w:val="00DC2780"/>
    <w:rsid w:val="00DC2839"/>
    <w:rsid w:val="00DC2B89"/>
    <w:rsid w:val="00DC2C7F"/>
    <w:rsid w:val="00DC2FD5"/>
    <w:rsid w:val="00DC3070"/>
    <w:rsid w:val="00DC33B3"/>
    <w:rsid w:val="00DC3D62"/>
    <w:rsid w:val="00DC3DAE"/>
    <w:rsid w:val="00DC40EA"/>
    <w:rsid w:val="00DC40F7"/>
    <w:rsid w:val="00DC417A"/>
    <w:rsid w:val="00DC4253"/>
    <w:rsid w:val="00DC4712"/>
    <w:rsid w:val="00DC4EBD"/>
    <w:rsid w:val="00DC4FA9"/>
    <w:rsid w:val="00DC55BC"/>
    <w:rsid w:val="00DC55DB"/>
    <w:rsid w:val="00DC5684"/>
    <w:rsid w:val="00DC58AA"/>
    <w:rsid w:val="00DC5F66"/>
    <w:rsid w:val="00DC60F3"/>
    <w:rsid w:val="00DC618B"/>
    <w:rsid w:val="00DC6334"/>
    <w:rsid w:val="00DC69A6"/>
    <w:rsid w:val="00DC6A2E"/>
    <w:rsid w:val="00DC6A55"/>
    <w:rsid w:val="00DC6FFE"/>
    <w:rsid w:val="00DC7200"/>
    <w:rsid w:val="00DC7363"/>
    <w:rsid w:val="00DC7520"/>
    <w:rsid w:val="00DC7734"/>
    <w:rsid w:val="00DC78DF"/>
    <w:rsid w:val="00DC78FE"/>
    <w:rsid w:val="00DC7A64"/>
    <w:rsid w:val="00DC7E42"/>
    <w:rsid w:val="00DC7EBB"/>
    <w:rsid w:val="00DD01D6"/>
    <w:rsid w:val="00DD0447"/>
    <w:rsid w:val="00DD0C17"/>
    <w:rsid w:val="00DD0EB1"/>
    <w:rsid w:val="00DD0F11"/>
    <w:rsid w:val="00DD14BB"/>
    <w:rsid w:val="00DD15EF"/>
    <w:rsid w:val="00DD1709"/>
    <w:rsid w:val="00DD17D2"/>
    <w:rsid w:val="00DD1BBA"/>
    <w:rsid w:val="00DD1DE3"/>
    <w:rsid w:val="00DD1F74"/>
    <w:rsid w:val="00DD20C2"/>
    <w:rsid w:val="00DD23CC"/>
    <w:rsid w:val="00DD23DA"/>
    <w:rsid w:val="00DD25D2"/>
    <w:rsid w:val="00DD2A1D"/>
    <w:rsid w:val="00DD2B04"/>
    <w:rsid w:val="00DD2BCE"/>
    <w:rsid w:val="00DD2DBE"/>
    <w:rsid w:val="00DD3074"/>
    <w:rsid w:val="00DD3120"/>
    <w:rsid w:val="00DD33D6"/>
    <w:rsid w:val="00DD3479"/>
    <w:rsid w:val="00DD37F5"/>
    <w:rsid w:val="00DD3910"/>
    <w:rsid w:val="00DD3BFC"/>
    <w:rsid w:val="00DD3CE3"/>
    <w:rsid w:val="00DD3E91"/>
    <w:rsid w:val="00DD3F4D"/>
    <w:rsid w:val="00DD4059"/>
    <w:rsid w:val="00DD4331"/>
    <w:rsid w:val="00DD43EF"/>
    <w:rsid w:val="00DD452C"/>
    <w:rsid w:val="00DD4578"/>
    <w:rsid w:val="00DD4719"/>
    <w:rsid w:val="00DD47BE"/>
    <w:rsid w:val="00DD494D"/>
    <w:rsid w:val="00DD4D0E"/>
    <w:rsid w:val="00DD4DC9"/>
    <w:rsid w:val="00DD4EE2"/>
    <w:rsid w:val="00DD5190"/>
    <w:rsid w:val="00DD5375"/>
    <w:rsid w:val="00DD551E"/>
    <w:rsid w:val="00DD58BF"/>
    <w:rsid w:val="00DD59E6"/>
    <w:rsid w:val="00DD5C31"/>
    <w:rsid w:val="00DD5F5A"/>
    <w:rsid w:val="00DD61EA"/>
    <w:rsid w:val="00DD6305"/>
    <w:rsid w:val="00DD6867"/>
    <w:rsid w:val="00DD6B13"/>
    <w:rsid w:val="00DD6CE7"/>
    <w:rsid w:val="00DD6D71"/>
    <w:rsid w:val="00DD6DC9"/>
    <w:rsid w:val="00DD6F91"/>
    <w:rsid w:val="00DD6FC7"/>
    <w:rsid w:val="00DD7039"/>
    <w:rsid w:val="00DD7042"/>
    <w:rsid w:val="00DD71C1"/>
    <w:rsid w:val="00DD72F2"/>
    <w:rsid w:val="00DD76BD"/>
    <w:rsid w:val="00DD778F"/>
    <w:rsid w:val="00DD78D2"/>
    <w:rsid w:val="00DD7931"/>
    <w:rsid w:val="00DD7BA5"/>
    <w:rsid w:val="00DE070F"/>
    <w:rsid w:val="00DE090C"/>
    <w:rsid w:val="00DE0933"/>
    <w:rsid w:val="00DE0B8B"/>
    <w:rsid w:val="00DE0CF2"/>
    <w:rsid w:val="00DE0E24"/>
    <w:rsid w:val="00DE0F36"/>
    <w:rsid w:val="00DE103B"/>
    <w:rsid w:val="00DE110E"/>
    <w:rsid w:val="00DE1143"/>
    <w:rsid w:val="00DE12EC"/>
    <w:rsid w:val="00DE1513"/>
    <w:rsid w:val="00DE18C5"/>
    <w:rsid w:val="00DE1958"/>
    <w:rsid w:val="00DE1ABF"/>
    <w:rsid w:val="00DE1AC9"/>
    <w:rsid w:val="00DE1ACA"/>
    <w:rsid w:val="00DE1BF0"/>
    <w:rsid w:val="00DE1C77"/>
    <w:rsid w:val="00DE1CC9"/>
    <w:rsid w:val="00DE1CD4"/>
    <w:rsid w:val="00DE1F0B"/>
    <w:rsid w:val="00DE1F98"/>
    <w:rsid w:val="00DE1FA0"/>
    <w:rsid w:val="00DE222D"/>
    <w:rsid w:val="00DE224F"/>
    <w:rsid w:val="00DE24D0"/>
    <w:rsid w:val="00DE25C7"/>
    <w:rsid w:val="00DE2ACB"/>
    <w:rsid w:val="00DE2C84"/>
    <w:rsid w:val="00DE2DA8"/>
    <w:rsid w:val="00DE2E3A"/>
    <w:rsid w:val="00DE3371"/>
    <w:rsid w:val="00DE367F"/>
    <w:rsid w:val="00DE37B5"/>
    <w:rsid w:val="00DE3A35"/>
    <w:rsid w:val="00DE3C0A"/>
    <w:rsid w:val="00DE3C35"/>
    <w:rsid w:val="00DE3D1C"/>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2DD"/>
    <w:rsid w:val="00DE686D"/>
    <w:rsid w:val="00DE693D"/>
    <w:rsid w:val="00DE69DB"/>
    <w:rsid w:val="00DE6A4A"/>
    <w:rsid w:val="00DE6A70"/>
    <w:rsid w:val="00DE6DAB"/>
    <w:rsid w:val="00DE7726"/>
    <w:rsid w:val="00DE79B2"/>
    <w:rsid w:val="00DE7BE6"/>
    <w:rsid w:val="00DE7C19"/>
    <w:rsid w:val="00DE7CCE"/>
    <w:rsid w:val="00DE7DCF"/>
    <w:rsid w:val="00DE7F41"/>
    <w:rsid w:val="00DF03C1"/>
    <w:rsid w:val="00DF0410"/>
    <w:rsid w:val="00DF044F"/>
    <w:rsid w:val="00DF08C0"/>
    <w:rsid w:val="00DF0A10"/>
    <w:rsid w:val="00DF0F83"/>
    <w:rsid w:val="00DF1326"/>
    <w:rsid w:val="00DF194F"/>
    <w:rsid w:val="00DF19D1"/>
    <w:rsid w:val="00DF1D47"/>
    <w:rsid w:val="00DF1E34"/>
    <w:rsid w:val="00DF1E65"/>
    <w:rsid w:val="00DF225F"/>
    <w:rsid w:val="00DF23A5"/>
    <w:rsid w:val="00DF2665"/>
    <w:rsid w:val="00DF2AA6"/>
    <w:rsid w:val="00DF2C6C"/>
    <w:rsid w:val="00DF2FA3"/>
    <w:rsid w:val="00DF366C"/>
    <w:rsid w:val="00DF3774"/>
    <w:rsid w:val="00DF377A"/>
    <w:rsid w:val="00DF3B68"/>
    <w:rsid w:val="00DF425F"/>
    <w:rsid w:val="00DF4686"/>
    <w:rsid w:val="00DF50CA"/>
    <w:rsid w:val="00DF5151"/>
    <w:rsid w:val="00DF5160"/>
    <w:rsid w:val="00DF53D6"/>
    <w:rsid w:val="00DF5488"/>
    <w:rsid w:val="00DF54FF"/>
    <w:rsid w:val="00DF55BE"/>
    <w:rsid w:val="00DF5602"/>
    <w:rsid w:val="00DF5774"/>
    <w:rsid w:val="00DF62E6"/>
    <w:rsid w:val="00DF6535"/>
    <w:rsid w:val="00DF6552"/>
    <w:rsid w:val="00DF66AA"/>
    <w:rsid w:val="00DF69DB"/>
    <w:rsid w:val="00DF6C5C"/>
    <w:rsid w:val="00DF6E91"/>
    <w:rsid w:val="00DF6F52"/>
    <w:rsid w:val="00DF705F"/>
    <w:rsid w:val="00DF725E"/>
    <w:rsid w:val="00DF7401"/>
    <w:rsid w:val="00DF7513"/>
    <w:rsid w:val="00DF772A"/>
    <w:rsid w:val="00DF7A36"/>
    <w:rsid w:val="00DF7B22"/>
    <w:rsid w:val="00DF7BC2"/>
    <w:rsid w:val="00DF7F4D"/>
    <w:rsid w:val="00E00113"/>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8C"/>
    <w:rsid w:val="00E02C91"/>
    <w:rsid w:val="00E02C9B"/>
    <w:rsid w:val="00E02E53"/>
    <w:rsid w:val="00E03014"/>
    <w:rsid w:val="00E03205"/>
    <w:rsid w:val="00E03349"/>
    <w:rsid w:val="00E03360"/>
    <w:rsid w:val="00E03711"/>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61DD"/>
    <w:rsid w:val="00E063D4"/>
    <w:rsid w:val="00E06502"/>
    <w:rsid w:val="00E06542"/>
    <w:rsid w:val="00E0694A"/>
    <w:rsid w:val="00E06D15"/>
    <w:rsid w:val="00E07126"/>
    <w:rsid w:val="00E076E9"/>
    <w:rsid w:val="00E07D21"/>
    <w:rsid w:val="00E07ED4"/>
    <w:rsid w:val="00E105D1"/>
    <w:rsid w:val="00E10E2C"/>
    <w:rsid w:val="00E115E1"/>
    <w:rsid w:val="00E117D4"/>
    <w:rsid w:val="00E11A81"/>
    <w:rsid w:val="00E11C34"/>
    <w:rsid w:val="00E11F9F"/>
    <w:rsid w:val="00E12211"/>
    <w:rsid w:val="00E12276"/>
    <w:rsid w:val="00E12552"/>
    <w:rsid w:val="00E12665"/>
    <w:rsid w:val="00E12A88"/>
    <w:rsid w:val="00E12D04"/>
    <w:rsid w:val="00E12EB8"/>
    <w:rsid w:val="00E12F31"/>
    <w:rsid w:val="00E130CC"/>
    <w:rsid w:val="00E132DF"/>
    <w:rsid w:val="00E134A4"/>
    <w:rsid w:val="00E13594"/>
    <w:rsid w:val="00E1374B"/>
    <w:rsid w:val="00E13835"/>
    <w:rsid w:val="00E13979"/>
    <w:rsid w:val="00E13BA8"/>
    <w:rsid w:val="00E13C61"/>
    <w:rsid w:val="00E13EEB"/>
    <w:rsid w:val="00E13FF8"/>
    <w:rsid w:val="00E14390"/>
    <w:rsid w:val="00E145B7"/>
    <w:rsid w:val="00E1464B"/>
    <w:rsid w:val="00E14719"/>
    <w:rsid w:val="00E14F8A"/>
    <w:rsid w:val="00E15134"/>
    <w:rsid w:val="00E15365"/>
    <w:rsid w:val="00E15384"/>
    <w:rsid w:val="00E15E08"/>
    <w:rsid w:val="00E15E93"/>
    <w:rsid w:val="00E16176"/>
    <w:rsid w:val="00E16240"/>
    <w:rsid w:val="00E16351"/>
    <w:rsid w:val="00E16411"/>
    <w:rsid w:val="00E1676E"/>
    <w:rsid w:val="00E168DE"/>
    <w:rsid w:val="00E168EF"/>
    <w:rsid w:val="00E168FE"/>
    <w:rsid w:val="00E16A8A"/>
    <w:rsid w:val="00E16E4A"/>
    <w:rsid w:val="00E173C5"/>
    <w:rsid w:val="00E17EC1"/>
    <w:rsid w:val="00E2036C"/>
    <w:rsid w:val="00E2047B"/>
    <w:rsid w:val="00E20884"/>
    <w:rsid w:val="00E20A7C"/>
    <w:rsid w:val="00E20D07"/>
    <w:rsid w:val="00E20FC1"/>
    <w:rsid w:val="00E21557"/>
    <w:rsid w:val="00E21A98"/>
    <w:rsid w:val="00E21C87"/>
    <w:rsid w:val="00E21E1D"/>
    <w:rsid w:val="00E21E28"/>
    <w:rsid w:val="00E2259F"/>
    <w:rsid w:val="00E225ED"/>
    <w:rsid w:val="00E227BE"/>
    <w:rsid w:val="00E2391E"/>
    <w:rsid w:val="00E23AC0"/>
    <w:rsid w:val="00E23FE1"/>
    <w:rsid w:val="00E2421A"/>
    <w:rsid w:val="00E244F8"/>
    <w:rsid w:val="00E248A2"/>
    <w:rsid w:val="00E24C1D"/>
    <w:rsid w:val="00E24C67"/>
    <w:rsid w:val="00E24D4D"/>
    <w:rsid w:val="00E25147"/>
    <w:rsid w:val="00E25553"/>
    <w:rsid w:val="00E25752"/>
    <w:rsid w:val="00E25AB5"/>
    <w:rsid w:val="00E25D8A"/>
    <w:rsid w:val="00E25E39"/>
    <w:rsid w:val="00E260B5"/>
    <w:rsid w:val="00E2611B"/>
    <w:rsid w:val="00E26175"/>
    <w:rsid w:val="00E26402"/>
    <w:rsid w:val="00E265CD"/>
    <w:rsid w:val="00E2680B"/>
    <w:rsid w:val="00E26829"/>
    <w:rsid w:val="00E26BE7"/>
    <w:rsid w:val="00E27063"/>
    <w:rsid w:val="00E27243"/>
    <w:rsid w:val="00E27392"/>
    <w:rsid w:val="00E27481"/>
    <w:rsid w:val="00E274B7"/>
    <w:rsid w:val="00E2755E"/>
    <w:rsid w:val="00E2766D"/>
    <w:rsid w:val="00E27B7B"/>
    <w:rsid w:val="00E27C87"/>
    <w:rsid w:val="00E27D32"/>
    <w:rsid w:val="00E27DC7"/>
    <w:rsid w:val="00E30678"/>
    <w:rsid w:val="00E306F8"/>
    <w:rsid w:val="00E307CE"/>
    <w:rsid w:val="00E30BF5"/>
    <w:rsid w:val="00E30F88"/>
    <w:rsid w:val="00E31A06"/>
    <w:rsid w:val="00E31AFD"/>
    <w:rsid w:val="00E31B69"/>
    <w:rsid w:val="00E320AD"/>
    <w:rsid w:val="00E32349"/>
    <w:rsid w:val="00E32761"/>
    <w:rsid w:val="00E327A6"/>
    <w:rsid w:val="00E32C72"/>
    <w:rsid w:val="00E32D11"/>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448"/>
    <w:rsid w:val="00E348DF"/>
    <w:rsid w:val="00E349B5"/>
    <w:rsid w:val="00E34AAF"/>
    <w:rsid w:val="00E34C47"/>
    <w:rsid w:val="00E34E55"/>
    <w:rsid w:val="00E35144"/>
    <w:rsid w:val="00E3516C"/>
    <w:rsid w:val="00E35996"/>
    <w:rsid w:val="00E35B14"/>
    <w:rsid w:val="00E35B30"/>
    <w:rsid w:val="00E35BFC"/>
    <w:rsid w:val="00E35CAE"/>
    <w:rsid w:val="00E36221"/>
    <w:rsid w:val="00E36252"/>
    <w:rsid w:val="00E36383"/>
    <w:rsid w:val="00E365FD"/>
    <w:rsid w:val="00E3684C"/>
    <w:rsid w:val="00E37180"/>
    <w:rsid w:val="00E378BA"/>
    <w:rsid w:val="00E37F73"/>
    <w:rsid w:val="00E404E5"/>
    <w:rsid w:val="00E404EF"/>
    <w:rsid w:val="00E406A2"/>
    <w:rsid w:val="00E408DB"/>
    <w:rsid w:val="00E40A41"/>
    <w:rsid w:val="00E40E07"/>
    <w:rsid w:val="00E41724"/>
    <w:rsid w:val="00E4185A"/>
    <w:rsid w:val="00E41D53"/>
    <w:rsid w:val="00E41E7F"/>
    <w:rsid w:val="00E41F89"/>
    <w:rsid w:val="00E426DD"/>
    <w:rsid w:val="00E42B53"/>
    <w:rsid w:val="00E42C8C"/>
    <w:rsid w:val="00E42F84"/>
    <w:rsid w:val="00E4301E"/>
    <w:rsid w:val="00E4307D"/>
    <w:rsid w:val="00E43425"/>
    <w:rsid w:val="00E434C4"/>
    <w:rsid w:val="00E434F2"/>
    <w:rsid w:val="00E436E1"/>
    <w:rsid w:val="00E437BB"/>
    <w:rsid w:val="00E438D2"/>
    <w:rsid w:val="00E43A6C"/>
    <w:rsid w:val="00E43B17"/>
    <w:rsid w:val="00E43BF9"/>
    <w:rsid w:val="00E43E16"/>
    <w:rsid w:val="00E43EDC"/>
    <w:rsid w:val="00E444FA"/>
    <w:rsid w:val="00E44710"/>
    <w:rsid w:val="00E44813"/>
    <w:rsid w:val="00E44919"/>
    <w:rsid w:val="00E44DD7"/>
    <w:rsid w:val="00E451EE"/>
    <w:rsid w:val="00E45390"/>
    <w:rsid w:val="00E45397"/>
    <w:rsid w:val="00E4539F"/>
    <w:rsid w:val="00E45496"/>
    <w:rsid w:val="00E4576C"/>
    <w:rsid w:val="00E45820"/>
    <w:rsid w:val="00E45988"/>
    <w:rsid w:val="00E459E4"/>
    <w:rsid w:val="00E45D12"/>
    <w:rsid w:val="00E45E8D"/>
    <w:rsid w:val="00E45F3D"/>
    <w:rsid w:val="00E460E1"/>
    <w:rsid w:val="00E46132"/>
    <w:rsid w:val="00E46310"/>
    <w:rsid w:val="00E46345"/>
    <w:rsid w:val="00E4635A"/>
    <w:rsid w:val="00E4658A"/>
    <w:rsid w:val="00E46924"/>
    <w:rsid w:val="00E46F14"/>
    <w:rsid w:val="00E4727C"/>
    <w:rsid w:val="00E473CC"/>
    <w:rsid w:val="00E4742A"/>
    <w:rsid w:val="00E47497"/>
    <w:rsid w:val="00E474A2"/>
    <w:rsid w:val="00E47B1F"/>
    <w:rsid w:val="00E47B93"/>
    <w:rsid w:val="00E501CC"/>
    <w:rsid w:val="00E501D5"/>
    <w:rsid w:val="00E506BD"/>
    <w:rsid w:val="00E506EE"/>
    <w:rsid w:val="00E50D15"/>
    <w:rsid w:val="00E50D79"/>
    <w:rsid w:val="00E50DFF"/>
    <w:rsid w:val="00E50F16"/>
    <w:rsid w:val="00E514FA"/>
    <w:rsid w:val="00E51653"/>
    <w:rsid w:val="00E51921"/>
    <w:rsid w:val="00E51BBF"/>
    <w:rsid w:val="00E51BD0"/>
    <w:rsid w:val="00E51C54"/>
    <w:rsid w:val="00E52108"/>
    <w:rsid w:val="00E52796"/>
    <w:rsid w:val="00E52A08"/>
    <w:rsid w:val="00E52A9F"/>
    <w:rsid w:val="00E52AB8"/>
    <w:rsid w:val="00E52EAF"/>
    <w:rsid w:val="00E52EC5"/>
    <w:rsid w:val="00E52EE0"/>
    <w:rsid w:val="00E53023"/>
    <w:rsid w:val="00E532D8"/>
    <w:rsid w:val="00E53432"/>
    <w:rsid w:val="00E535C8"/>
    <w:rsid w:val="00E536DA"/>
    <w:rsid w:val="00E53815"/>
    <w:rsid w:val="00E53841"/>
    <w:rsid w:val="00E538AA"/>
    <w:rsid w:val="00E54049"/>
    <w:rsid w:val="00E54118"/>
    <w:rsid w:val="00E54B27"/>
    <w:rsid w:val="00E54C69"/>
    <w:rsid w:val="00E54D3B"/>
    <w:rsid w:val="00E55017"/>
    <w:rsid w:val="00E55209"/>
    <w:rsid w:val="00E553A6"/>
    <w:rsid w:val="00E55437"/>
    <w:rsid w:val="00E55455"/>
    <w:rsid w:val="00E5548D"/>
    <w:rsid w:val="00E555F7"/>
    <w:rsid w:val="00E557A3"/>
    <w:rsid w:val="00E55F99"/>
    <w:rsid w:val="00E5602F"/>
    <w:rsid w:val="00E56070"/>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6010C"/>
    <w:rsid w:val="00E6014D"/>
    <w:rsid w:val="00E60451"/>
    <w:rsid w:val="00E6054C"/>
    <w:rsid w:val="00E605B0"/>
    <w:rsid w:val="00E60886"/>
    <w:rsid w:val="00E60F40"/>
    <w:rsid w:val="00E610F8"/>
    <w:rsid w:val="00E612E4"/>
    <w:rsid w:val="00E61491"/>
    <w:rsid w:val="00E618EC"/>
    <w:rsid w:val="00E61BA7"/>
    <w:rsid w:val="00E6210F"/>
    <w:rsid w:val="00E6228F"/>
    <w:rsid w:val="00E62358"/>
    <w:rsid w:val="00E62552"/>
    <w:rsid w:val="00E626EF"/>
    <w:rsid w:val="00E62BF2"/>
    <w:rsid w:val="00E62C1B"/>
    <w:rsid w:val="00E62D47"/>
    <w:rsid w:val="00E62ED3"/>
    <w:rsid w:val="00E6309C"/>
    <w:rsid w:val="00E633F9"/>
    <w:rsid w:val="00E63541"/>
    <w:rsid w:val="00E63750"/>
    <w:rsid w:val="00E637E7"/>
    <w:rsid w:val="00E63AAC"/>
    <w:rsid w:val="00E63F56"/>
    <w:rsid w:val="00E6418B"/>
    <w:rsid w:val="00E6453B"/>
    <w:rsid w:val="00E6460C"/>
    <w:rsid w:val="00E647DC"/>
    <w:rsid w:val="00E64A00"/>
    <w:rsid w:val="00E64A5D"/>
    <w:rsid w:val="00E64C68"/>
    <w:rsid w:val="00E64CD0"/>
    <w:rsid w:val="00E6530F"/>
    <w:rsid w:val="00E65792"/>
    <w:rsid w:val="00E65987"/>
    <w:rsid w:val="00E66004"/>
    <w:rsid w:val="00E66109"/>
    <w:rsid w:val="00E66144"/>
    <w:rsid w:val="00E66220"/>
    <w:rsid w:val="00E662D8"/>
    <w:rsid w:val="00E6654A"/>
    <w:rsid w:val="00E6658D"/>
    <w:rsid w:val="00E665BE"/>
    <w:rsid w:val="00E665D1"/>
    <w:rsid w:val="00E668C3"/>
    <w:rsid w:val="00E669AD"/>
    <w:rsid w:val="00E66B0B"/>
    <w:rsid w:val="00E66B82"/>
    <w:rsid w:val="00E66D48"/>
    <w:rsid w:val="00E66DF2"/>
    <w:rsid w:val="00E66E57"/>
    <w:rsid w:val="00E67114"/>
    <w:rsid w:val="00E67131"/>
    <w:rsid w:val="00E675BA"/>
    <w:rsid w:val="00E703C0"/>
    <w:rsid w:val="00E703C4"/>
    <w:rsid w:val="00E70776"/>
    <w:rsid w:val="00E707C5"/>
    <w:rsid w:val="00E707F9"/>
    <w:rsid w:val="00E70C6E"/>
    <w:rsid w:val="00E7110E"/>
    <w:rsid w:val="00E71A29"/>
    <w:rsid w:val="00E71BBB"/>
    <w:rsid w:val="00E71CC5"/>
    <w:rsid w:val="00E71F5D"/>
    <w:rsid w:val="00E7240F"/>
    <w:rsid w:val="00E724CF"/>
    <w:rsid w:val="00E72686"/>
    <w:rsid w:val="00E7285B"/>
    <w:rsid w:val="00E728E0"/>
    <w:rsid w:val="00E72B55"/>
    <w:rsid w:val="00E72E27"/>
    <w:rsid w:val="00E737A8"/>
    <w:rsid w:val="00E738DA"/>
    <w:rsid w:val="00E7423E"/>
    <w:rsid w:val="00E745EB"/>
    <w:rsid w:val="00E74A58"/>
    <w:rsid w:val="00E74BB7"/>
    <w:rsid w:val="00E74BD8"/>
    <w:rsid w:val="00E74D62"/>
    <w:rsid w:val="00E74E8A"/>
    <w:rsid w:val="00E75487"/>
    <w:rsid w:val="00E758C4"/>
    <w:rsid w:val="00E758E2"/>
    <w:rsid w:val="00E75999"/>
    <w:rsid w:val="00E763A8"/>
    <w:rsid w:val="00E763B9"/>
    <w:rsid w:val="00E7640E"/>
    <w:rsid w:val="00E76714"/>
    <w:rsid w:val="00E768CA"/>
    <w:rsid w:val="00E768CF"/>
    <w:rsid w:val="00E76B3A"/>
    <w:rsid w:val="00E76D32"/>
    <w:rsid w:val="00E770BF"/>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25E"/>
    <w:rsid w:val="00E81348"/>
    <w:rsid w:val="00E8135D"/>
    <w:rsid w:val="00E81426"/>
    <w:rsid w:val="00E81900"/>
    <w:rsid w:val="00E82381"/>
    <w:rsid w:val="00E823BA"/>
    <w:rsid w:val="00E827AE"/>
    <w:rsid w:val="00E8284C"/>
    <w:rsid w:val="00E829DC"/>
    <w:rsid w:val="00E82B9E"/>
    <w:rsid w:val="00E82DAE"/>
    <w:rsid w:val="00E82F21"/>
    <w:rsid w:val="00E832C7"/>
    <w:rsid w:val="00E839DA"/>
    <w:rsid w:val="00E839EE"/>
    <w:rsid w:val="00E83BE4"/>
    <w:rsid w:val="00E84158"/>
    <w:rsid w:val="00E84862"/>
    <w:rsid w:val="00E84E3E"/>
    <w:rsid w:val="00E8524B"/>
    <w:rsid w:val="00E85529"/>
    <w:rsid w:val="00E85570"/>
    <w:rsid w:val="00E85996"/>
    <w:rsid w:val="00E85ADA"/>
    <w:rsid w:val="00E85CF2"/>
    <w:rsid w:val="00E85D83"/>
    <w:rsid w:val="00E86102"/>
    <w:rsid w:val="00E865C8"/>
    <w:rsid w:val="00E8681F"/>
    <w:rsid w:val="00E8687E"/>
    <w:rsid w:val="00E86B3D"/>
    <w:rsid w:val="00E86D3C"/>
    <w:rsid w:val="00E871B8"/>
    <w:rsid w:val="00E87220"/>
    <w:rsid w:val="00E872D9"/>
    <w:rsid w:val="00E87442"/>
    <w:rsid w:val="00E87895"/>
    <w:rsid w:val="00E879A9"/>
    <w:rsid w:val="00E87B9C"/>
    <w:rsid w:val="00E87BB1"/>
    <w:rsid w:val="00E87D44"/>
    <w:rsid w:val="00E87EAC"/>
    <w:rsid w:val="00E87F26"/>
    <w:rsid w:val="00E900A4"/>
    <w:rsid w:val="00E901B2"/>
    <w:rsid w:val="00E901C9"/>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A7A"/>
    <w:rsid w:val="00E93B4C"/>
    <w:rsid w:val="00E93C56"/>
    <w:rsid w:val="00E93CE6"/>
    <w:rsid w:val="00E93E2C"/>
    <w:rsid w:val="00E93EF1"/>
    <w:rsid w:val="00E94079"/>
    <w:rsid w:val="00E9409B"/>
    <w:rsid w:val="00E940D5"/>
    <w:rsid w:val="00E9458C"/>
    <w:rsid w:val="00E947F3"/>
    <w:rsid w:val="00E94D66"/>
    <w:rsid w:val="00E94FA6"/>
    <w:rsid w:val="00E94FEE"/>
    <w:rsid w:val="00E9509E"/>
    <w:rsid w:val="00E953B3"/>
    <w:rsid w:val="00E95434"/>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032"/>
    <w:rsid w:val="00EA02C8"/>
    <w:rsid w:val="00EA04E1"/>
    <w:rsid w:val="00EA0A12"/>
    <w:rsid w:val="00EA0A31"/>
    <w:rsid w:val="00EA0A32"/>
    <w:rsid w:val="00EA0E23"/>
    <w:rsid w:val="00EA0EE4"/>
    <w:rsid w:val="00EA0FB6"/>
    <w:rsid w:val="00EA1035"/>
    <w:rsid w:val="00EA10F5"/>
    <w:rsid w:val="00EA11B1"/>
    <w:rsid w:val="00EA13DB"/>
    <w:rsid w:val="00EA152A"/>
    <w:rsid w:val="00EA1BB1"/>
    <w:rsid w:val="00EA1F53"/>
    <w:rsid w:val="00EA2008"/>
    <w:rsid w:val="00EA242A"/>
    <w:rsid w:val="00EA246B"/>
    <w:rsid w:val="00EA264A"/>
    <w:rsid w:val="00EA2727"/>
    <w:rsid w:val="00EA28B2"/>
    <w:rsid w:val="00EA2B27"/>
    <w:rsid w:val="00EA2E76"/>
    <w:rsid w:val="00EA341B"/>
    <w:rsid w:val="00EA34D4"/>
    <w:rsid w:val="00EA35FE"/>
    <w:rsid w:val="00EA367E"/>
    <w:rsid w:val="00EA3A75"/>
    <w:rsid w:val="00EA3E3A"/>
    <w:rsid w:val="00EA4157"/>
    <w:rsid w:val="00EA462E"/>
    <w:rsid w:val="00EA46FC"/>
    <w:rsid w:val="00EA4B6C"/>
    <w:rsid w:val="00EA4BE2"/>
    <w:rsid w:val="00EA5016"/>
    <w:rsid w:val="00EA510B"/>
    <w:rsid w:val="00EA530D"/>
    <w:rsid w:val="00EA5350"/>
    <w:rsid w:val="00EA536F"/>
    <w:rsid w:val="00EA53C1"/>
    <w:rsid w:val="00EA552D"/>
    <w:rsid w:val="00EA5855"/>
    <w:rsid w:val="00EA5B5A"/>
    <w:rsid w:val="00EA5EBE"/>
    <w:rsid w:val="00EA5F3A"/>
    <w:rsid w:val="00EA5F64"/>
    <w:rsid w:val="00EA6578"/>
    <w:rsid w:val="00EA6610"/>
    <w:rsid w:val="00EA6673"/>
    <w:rsid w:val="00EA69B6"/>
    <w:rsid w:val="00EA6AAE"/>
    <w:rsid w:val="00EA6C98"/>
    <w:rsid w:val="00EA6D09"/>
    <w:rsid w:val="00EA6E6B"/>
    <w:rsid w:val="00EA70A3"/>
    <w:rsid w:val="00EA71A4"/>
    <w:rsid w:val="00EA739C"/>
    <w:rsid w:val="00EA763A"/>
    <w:rsid w:val="00EA7E5B"/>
    <w:rsid w:val="00EA7F9F"/>
    <w:rsid w:val="00EA7FA6"/>
    <w:rsid w:val="00EA7FD1"/>
    <w:rsid w:val="00EB0177"/>
    <w:rsid w:val="00EB0292"/>
    <w:rsid w:val="00EB0432"/>
    <w:rsid w:val="00EB0673"/>
    <w:rsid w:val="00EB08C6"/>
    <w:rsid w:val="00EB099B"/>
    <w:rsid w:val="00EB0A5B"/>
    <w:rsid w:val="00EB0AD5"/>
    <w:rsid w:val="00EB0F82"/>
    <w:rsid w:val="00EB1350"/>
    <w:rsid w:val="00EB1DF1"/>
    <w:rsid w:val="00EB2239"/>
    <w:rsid w:val="00EB23B0"/>
    <w:rsid w:val="00EB267A"/>
    <w:rsid w:val="00EB3246"/>
    <w:rsid w:val="00EB3866"/>
    <w:rsid w:val="00EB3A34"/>
    <w:rsid w:val="00EB3EC7"/>
    <w:rsid w:val="00EB4520"/>
    <w:rsid w:val="00EB459D"/>
    <w:rsid w:val="00EB4659"/>
    <w:rsid w:val="00EB4946"/>
    <w:rsid w:val="00EB4AFF"/>
    <w:rsid w:val="00EB4BB4"/>
    <w:rsid w:val="00EB4D20"/>
    <w:rsid w:val="00EB4EED"/>
    <w:rsid w:val="00EB5034"/>
    <w:rsid w:val="00EB5212"/>
    <w:rsid w:val="00EB52DC"/>
    <w:rsid w:val="00EB5436"/>
    <w:rsid w:val="00EB54D2"/>
    <w:rsid w:val="00EB55A5"/>
    <w:rsid w:val="00EB561F"/>
    <w:rsid w:val="00EB59AF"/>
    <w:rsid w:val="00EB5EDE"/>
    <w:rsid w:val="00EB5F79"/>
    <w:rsid w:val="00EB60B5"/>
    <w:rsid w:val="00EB61AF"/>
    <w:rsid w:val="00EB626F"/>
    <w:rsid w:val="00EB674D"/>
    <w:rsid w:val="00EB6B4F"/>
    <w:rsid w:val="00EB6C85"/>
    <w:rsid w:val="00EB6D9B"/>
    <w:rsid w:val="00EB6FD2"/>
    <w:rsid w:val="00EB711D"/>
    <w:rsid w:val="00EB7282"/>
    <w:rsid w:val="00EB74B8"/>
    <w:rsid w:val="00EB74F5"/>
    <w:rsid w:val="00EB74FB"/>
    <w:rsid w:val="00EB7552"/>
    <w:rsid w:val="00EB783F"/>
    <w:rsid w:val="00EB7D17"/>
    <w:rsid w:val="00EB7D2E"/>
    <w:rsid w:val="00EB7D95"/>
    <w:rsid w:val="00EC0047"/>
    <w:rsid w:val="00EC00F1"/>
    <w:rsid w:val="00EC03DF"/>
    <w:rsid w:val="00EC0454"/>
    <w:rsid w:val="00EC05EE"/>
    <w:rsid w:val="00EC087E"/>
    <w:rsid w:val="00EC0AAF"/>
    <w:rsid w:val="00EC0B90"/>
    <w:rsid w:val="00EC0CB6"/>
    <w:rsid w:val="00EC0D73"/>
    <w:rsid w:val="00EC0E59"/>
    <w:rsid w:val="00EC0FEA"/>
    <w:rsid w:val="00EC103B"/>
    <w:rsid w:val="00EC13D4"/>
    <w:rsid w:val="00EC1489"/>
    <w:rsid w:val="00EC14C4"/>
    <w:rsid w:val="00EC1A26"/>
    <w:rsid w:val="00EC1A5D"/>
    <w:rsid w:val="00EC1D3A"/>
    <w:rsid w:val="00EC1F6E"/>
    <w:rsid w:val="00EC20BE"/>
    <w:rsid w:val="00EC2103"/>
    <w:rsid w:val="00EC2448"/>
    <w:rsid w:val="00EC262C"/>
    <w:rsid w:val="00EC265A"/>
    <w:rsid w:val="00EC2668"/>
    <w:rsid w:val="00EC2865"/>
    <w:rsid w:val="00EC2911"/>
    <w:rsid w:val="00EC3072"/>
    <w:rsid w:val="00EC33C5"/>
    <w:rsid w:val="00EC3590"/>
    <w:rsid w:val="00EC36BA"/>
    <w:rsid w:val="00EC3A9F"/>
    <w:rsid w:val="00EC429B"/>
    <w:rsid w:val="00EC42D0"/>
    <w:rsid w:val="00EC437A"/>
    <w:rsid w:val="00EC439A"/>
    <w:rsid w:val="00EC43B8"/>
    <w:rsid w:val="00EC455E"/>
    <w:rsid w:val="00EC4B53"/>
    <w:rsid w:val="00EC4F28"/>
    <w:rsid w:val="00EC500D"/>
    <w:rsid w:val="00EC54F2"/>
    <w:rsid w:val="00EC54F6"/>
    <w:rsid w:val="00EC5611"/>
    <w:rsid w:val="00EC5873"/>
    <w:rsid w:val="00EC58F4"/>
    <w:rsid w:val="00EC5C27"/>
    <w:rsid w:val="00EC5FC1"/>
    <w:rsid w:val="00EC630B"/>
    <w:rsid w:val="00EC63A9"/>
    <w:rsid w:val="00EC6468"/>
    <w:rsid w:val="00EC6594"/>
    <w:rsid w:val="00EC675A"/>
    <w:rsid w:val="00EC6973"/>
    <w:rsid w:val="00EC6A2C"/>
    <w:rsid w:val="00EC6B90"/>
    <w:rsid w:val="00EC6CC2"/>
    <w:rsid w:val="00EC6F7D"/>
    <w:rsid w:val="00EC6FC2"/>
    <w:rsid w:val="00EC7442"/>
    <w:rsid w:val="00EC74A1"/>
    <w:rsid w:val="00EC77AD"/>
    <w:rsid w:val="00EC780D"/>
    <w:rsid w:val="00EC79EC"/>
    <w:rsid w:val="00EC7BB4"/>
    <w:rsid w:val="00EC7C6E"/>
    <w:rsid w:val="00ED01CF"/>
    <w:rsid w:val="00ED0807"/>
    <w:rsid w:val="00ED0A1F"/>
    <w:rsid w:val="00ED0A58"/>
    <w:rsid w:val="00ED0C90"/>
    <w:rsid w:val="00ED0D45"/>
    <w:rsid w:val="00ED0F15"/>
    <w:rsid w:val="00ED0F6B"/>
    <w:rsid w:val="00ED0F83"/>
    <w:rsid w:val="00ED107D"/>
    <w:rsid w:val="00ED1090"/>
    <w:rsid w:val="00ED14C4"/>
    <w:rsid w:val="00ED15BF"/>
    <w:rsid w:val="00ED15F0"/>
    <w:rsid w:val="00ED16F3"/>
    <w:rsid w:val="00ED1B60"/>
    <w:rsid w:val="00ED2087"/>
    <w:rsid w:val="00ED24CD"/>
    <w:rsid w:val="00ED278B"/>
    <w:rsid w:val="00ED278C"/>
    <w:rsid w:val="00ED2C15"/>
    <w:rsid w:val="00ED2CA1"/>
    <w:rsid w:val="00ED2DA6"/>
    <w:rsid w:val="00ED3132"/>
    <w:rsid w:val="00ED3303"/>
    <w:rsid w:val="00ED35DB"/>
    <w:rsid w:val="00ED3846"/>
    <w:rsid w:val="00ED3851"/>
    <w:rsid w:val="00ED3868"/>
    <w:rsid w:val="00ED3959"/>
    <w:rsid w:val="00ED4045"/>
    <w:rsid w:val="00ED4383"/>
    <w:rsid w:val="00ED4385"/>
    <w:rsid w:val="00ED4408"/>
    <w:rsid w:val="00ED45CA"/>
    <w:rsid w:val="00ED46B1"/>
    <w:rsid w:val="00ED46CF"/>
    <w:rsid w:val="00ED4725"/>
    <w:rsid w:val="00ED4896"/>
    <w:rsid w:val="00ED48B4"/>
    <w:rsid w:val="00ED4B73"/>
    <w:rsid w:val="00ED4ED4"/>
    <w:rsid w:val="00ED531E"/>
    <w:rsid w:val="00ED5341"/>
    <w:rsid w:val="00ED543C"/>
    <w:rsid w:val="00ED5634"/>
    <w:rsid w:val="00ED5987"/>
    <w:rsid w:val="00ED5E1C"/>
    <w:rsid w:val="00ED5E24"/>
    <w:rsid w:val="00ED600C"/>
    <w:rsid w:val="00ED65B3"/>
    <w:rsid w:val="00ED662A"/>
    <w:rsid w:val="00ED6E54"/>
    <w:rsid w:val="00ED6F0C"/>
    <w:rsid w:val="00ED6F4A"/>
    <w:rsid w:val="00ED7205"/>
    <w:rsid w:val="00ED7268"/>
    <w:rsid w:val="00ED76D5"/>
    <w:rsid w:val="00ED7A03"/>
    <w:rsid w:val="00ED7BE6"/>
    <w:rsid w:val="00EE006F"/>
    <w:rsid w:val="00EE010F"/>
    <w:rsid w:val="00EE016F"/>
    <w:rsid w:val="00EE0602"/>
    <w:rsid w:val="00EE090B"/>
    <w:rsid w:val="00EE0AA4"/>
    <w:rsid w:val="00EE0D4E"/>
    <w:rsid w:val="00EE15EC"/>
    <w:rsid w:val="00EE1652"/>
    <w:rsid w:val="00EE1AEF"/>
    <w:rsid w:val="00EE1D5A"/>
    <w:rsid w:val="00EE1FFF"/>
    <w:rsid w:val="00EE2167"/>
    <w:rsid w:val="00EE26D0"/>
    <w:rsid w:val="00EE2726"/>
    <w:rsid w:val="00EE32E9"/>
    <w:rsid w:val="00EE34C8"/>
    <w:rsid w:val="00EE3714"/>
    <w:rsid w:val="00EE3753"/>
    <w:rsid w:val="00EE3984"/>
    <w:rsid w:val="00EE3A3B"/>
    <w:rsid w:val="00EE3A53"/>
    <w:rsid w:val="00EE3AB6"/>
    <w:rsid w:val="00EE3CF3"/>
    <w:rsid w:val="00EE3DA5"/>
    <w:rsid w:val="00EE3DAA"/>
    <w:rsid w:val="00EE3EA2"/>
    <w:rsid w:val="00EE4022"/>
    <w:rsid w:val="00EE40BC"/>
    <w:rsid w:val="00EE448D"/>
    <w:rsid w:val="00EE50C4"/>
    <w:rsid w:val="00EE50CB"/>
    <w:rsid w:val="00EE50EB"/>
    <w:rsid w:val="00EE5222"/>
    <w:rsid w:val="00EE5336"/>
    <w:rsid w:val="00EE5674"/>
    <w:rsid w:val="00EE5770"/>
    <w:rsid w:val="00EE5CBD"/>
    <w:rsid w:val="00EE6046"/>
    <w:rsid w:val="00EE6338"/>
    <w:rsid w:val="00EE6395"/>
    <w:rsid w:val="00EE666E"/>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F50"/>
    <w:rsid w:val="00EF1FA6"/>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756"/>
    <w:rsid w:val="00EF59D5"/>
    <w:rsid w:val="00EF59F4"/>
    <w:rsid w:val="00EF5E86"/>
    <w:rsid w:val="00EF60DE"/>
    <w:rsid w:val="00EF619F"/>
    <w:rsid w:val="00EF662E"/>
    <w:rsid w:val="00EF66E4"/>
    <w:rsid w:val="00EF6872"/>
    <w:rsid w:val="00EF6C4A"/>
    <w:rsid w:val="00EF7967"/>
    <w:rsid w:val="00EF7B78"/>
    <w:rsid w:val="00EF7E78"/>
    <w:rsid w:val="00F008A9"/>
    <w:rsid w:val="00F00A8F"/>
    <w:rsid w:val="00F00AAE"/>
    <w:rsid w:val="00F00F6B"/>
    <w:rsid w:val="00F010FB"/>
    <w:rsid w:val="00F0129D"/>
    <w:rsid w:val="00F01586"/>
    <w:rsid w:val="00F016CB"/>
    <w:rsid w:val="00F01777"/>
    <w:rsid w:val="00F01EB8"/>
    <w:rsid w:val="00F02063"/>
    <w:rsid w:val="00F021D1"/>
    <w:rsid w:val="00F022A8"/>
    <w:rsid w:val="00F0252F"/>
    <w:rsid w:val="00F02689"/>
    <w:rsid w:val="00F02A05"/>
    <w:rsid w:val="00F02D09"/>
    <w:rsid w:val="00F03104"/>
    <w:rsid w:val="00F0330F"/>
    <w:rsid w:val="00F0355F"/>
    <w:rsid w:val="00F037B1"/>
    <w:rsid w:val="00F041D4"/>
    <w:rsid w:val="00F043F6"/>
    <w:rsid w:val="00F04415"/>
    <w:rsid w:val="00F04DA6"/>
    <w:rsid w:val="00F04F76"/>
    <w:rsid w:val="00F0533C"/>
    <w:rsid w:val="00F0544E"/>
    <w:rsid w:val="00F057A0"/>
    <w:rsid w:val="00F05AB9"/>
    <w:rsid w:val="00F05C40"/>
    <w:rsid w:val="00F05C57"/>
    <w:rsid w:val="00F05D94"/>
    <w:rsid w:val="00F062BE"/>
    <w:rsid w:val="00F062D3"/>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5C3"/>
    <w:rsid w:val="00F107A8"/>
    <w:rsid w:val="00F10CF3"/>
    <w:rsid w:val="00F10EC2"/>
    <w:rsid w:val="00F11071"/>
    <w:rsid w:val="00F11378"/>
    <w:rsid w:val="00F115D6"/>
    <w:rsid w:val="00F1167D"/>
    <w:rsid w:val="00F116D9"/>
    <w:rsid w:val="00F1176D"/>
    <w:rsid w:val="00F1178F"/>
    <w:rsid w:val="00F11A25"/>
    <w:rsid w:val="00F11B33"/>
    <w:rsid w:val="00F11CD9"/>
    <w:rsid w:val="00F11D9A"/>
    <w:rsid w:val="00F12149"/>
    <w:rsid w:val="00F125D2"/>
    <w:rsid w:val="00F126C8"/>
    <w:rsid w:val="00F12840"/>
    <w:rsid w:val="00F1285A"/>
    <w:rsid w:val="00F12A48"/>
    <w:rsid w:val="00F12ACC"/>
    <w:rsid w:val="00F12AD8"/>
    <w:rsid w:val="00F13158"/>
    <w:rsid w:val="00F131FB"/>
    <w:rsid w:val="00F133FD"/>
    <w:rsid w:val="00F1343C"/>
    <w:rsid w:val="00F13471"/>
    <w:rsid w:val="00F13575"/>
    <w:rsid w:val="00F13D06"/>
    <w:rsid w:val="00F14691"/>
    <w:rsid w:val="00F14820"/>
    <w:rsid w:val="00F14860"/>
    <w:rsid w:val="00F14863"/>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EC5"/>
    <w:rsid w:val="00F16198"/>
    <w:rsid w:val="00F161D3"/>
    <w:rsid w:val="00F162D1"/>
    <w:rsid w:val="00F16573"/>
    <w:rsid w:val="00F168D3"/>
    <w:rsid w:val="00F16CE6"/>
    <w:rsid w:val="00F16F98"/>
    <w:rsid w:val="00F17247"/>
    <w:rsid w:val="00F17678"/>
    <w:rsid w:val="00F1769B"/>
    <w:rsid w:val="00F17897"/>
    <w:rsid w:val="00F178CB"/>
    <w:rsid w:val="00F17BB8"/>
    <w:rsid w:val="00F17E9E"/>
    <w:rsid w:val="00F20031"/>
    <w:rsid w:val="00F2040B"/>
    <w:rsid w:val="00F204BA"/>
    <w:rsid w:val="00F20783"/>
    <w:rsid w:val="00F2089A"/>
    <w:rsid w:val="00F20F22"/>
    <w:rsid w:val="00F21175"/>
    <w:rsid w:val="00F213D1"/>
    <w:rsid w:val="00F2165D"/>
    <w:rsid w:val="00F21925"/>
    <w:rsid w:val="00F21E24"/>
    <w:rsid w:val="00F21EB5"/>
    <w:rsid w:val="00F220DF"/>
    <w:rsid w:val="00F223D5"/>
    <w:rsid w:val="00F22488"/>
    <w:rsid w:val="00F22C56"/>
    <w:rsid w:val="00F22C6B"/>
    <w:rsid w:val="00F22DEA"/>
    <w:rsid w:val="00F22ED7"/>
    <w:rsid w:val="00F22F6F"/>
    <w:rsid w:val="00F2306C"/>
    <w:rsid w:val="00F23130"/>
    <w:rsid w:val="00F231C5"/>
    <w:rsid w:val="00F231F5"/>
    <w:rsid w:val="00F23298"/>
    <w:rsid w:val="00F2329D"/>
    <w:rsid w:val="00F23368"/>
    <w:rsid w:val="00F233F1"/>
    <w:rsid w:val="00F23D14"/>
    <w:rsid w:val="00F23D64"/>
    <w:rsid w:val="00F23DF9"/>
    <w:rsid w:val="00F23F0D"/>
    <w:rsid w:val="00F2404A"/>
    <w:rsid w:val="00F24208"/>
    <w:rsid w:val="00F24377"/>
    <w:rsid w:val="00F245FD"/>
    <w:rsid w:val="00F247EA"/>
    <w:rsid w:val="00F24ADE"/>
    <w:rsid w:val="00F24AE1"/>
    <w:rsid w:val="00F24B78"/>
    <w:rsid w:val="00F256F7"/>
    <w:rsid w:val="00F25777"/>
    <w:rsid w:val="00F25818"/>
    <w:rsid w:val="00F25D5C"/>
    <w:rsid w:val="00F25D61"/>
    <w:rsid w:val="00F25F94"/>
    <w:rsid w:val="00F2629A"/>
    <w:rsid w:val="00F26428"/>
    <w:rsid w:val="00F26569"/>
    <w:rsid w:val="00F2658C"/>
    <w:rsid w:val="00F2672A"/>
    <w:rsid w:val="00F26FA6"/>
    <w:rsid w:val="00F26FD7"/>
    <w:rsid w:val="00F2724C"/>
    <w:rsid w:val="00F273FD"/>
    <w:rsid w:val="00F274F3"/>
    <w:rsid w:val="00F27622"/>
    <w:rsid w:val="00F2775E"/>
    <w:rsid w:val="00F27B73"/>
    <w:rsid w:val="00F27C19"/>
    <w:rsid w:val="00F27C40"/>
    <w:rsid w:val="00F27F54"/>
    <w:rsid w:val="00F30092"/>
    <w:rsid w:val="00F300EF"/>
    <w:rsid w:val="00F30237"/>
    <w:rsid w:val="00F30314"/>
    <w:rsid w:val="00F303FC"/>
    <w:rsid w:val="00F30419"/>
    <w:rsid w:val="00F30437"/>
    <w:rsid w:val="00F304FE"/>
    <w:rsid w:val="00F30B48"/>
    <w:rsid w:val="00F30D10"/>
    <w:rsid w:val="00F30EEB"/>
    <w:rsid w:val="00F30FE1"/>
    <w:rsid w:val="00F3106B"/>
    <w:rsid w:val="00F31174"/>
    <w:rsid w:val="00F311E5"/>
    <w:rsid w:val="00F314A8"/>
    <w:rsid w:val="00F315CB"/>
    <w:rsid w:val="00F3176E"/>
    <w:rsid w:val="00F317A0"/>
    <w:rsid w:val="00F31A80"/>
    <w:rsid w:val="00F31A81"/>
    <w:rsid w:val="00F31C3B"/>
    <w:rsid w:val="00F31D66"/>
    <w:rsid w:val="00F31DC2"/>
    <w:rsid w:val="00F32373"/>
    <w:rsid w:val="00F3249B"/>
    <w:rsid w:val="00F3279A"/>
    <w:rsid w:val="00F3281F"/>
    <w:rsid w:val="00F32881"/>
    <w:rsid w:val="00F32897"/>
    <w:rsid w:val="00F328D1"/>
    <w:rsid w:val="00F32BC6"/>
    <w:rsid w:val="00F32C03"/>
    <w:rsid w:val="00F32CA8"/>
    <w:rsid w:val="00F32DAA"/>
    <w:rsid w:val="00F32F56"/>
    <w:rsid w:val="00F33197"/>
    <w:rsid w:val="00F331FC"/>
    <w:rsid w:val="00F3357B"/>
    <w:rsid w:val="00F33D5A"/>
    <w:rsid w:val="00F33EFE"/>
    <w:rsid w:val="00F34351"/>
    <w:rsid w:val="00F344F1"/>
    <w:rsid w:val="00F34C40"/>
    <w:rsid w:val="00F34C7C"/>
    <w:rsid w:val="00F34E43"/>
    <w:rsid w:val="00F350CA"/>
    <w:rsid w:val="00F350DB"/>
    <w:rsid w:val="00F3534C"/>
    <w:rsid w:val="00F355A9"/>
    <w:rsid w:val="00F35768"/>
    <w:rsid w:val="00F359AC"/>
    <w:rsid w:val="00F36208"/>
    <w:rsid w:val="00F3625F"/>
    <w:rsid w:val="00F363BD"/>
    <w:rsid w:val="00F363ED"/>
    <w:rsid w:val="00F36496"/>
    <w:rsid w:val="00F36773"/>
    <w:rsid w:val="00F36D43"/>
    <w:rsid w:val="00F3758B"/>
    <w:rsid w:val="00F37628"/>
    <w:rsid w:val="00F37686"/>
    <w:rsid w:val="00F378BC"/>
    <w:rsid w:val="00F37CF9"/>
    <w:rsid w:val="00F37F30"/>
    <w:rsid w:val="00F40343"/>
    <w:rsid w:val="00F40730"/>
    <w:rsid w:val="00F40778"/>
    <w:rsid w:val="00F40C3B"/>
    <w:rsid w:val="00F41082"/>
    <w:rsid w:val="00F41252"/>
    <w:rsid w:val="00F4138F"/>
    <w:rsid w:val="00F416F2"/>
    <w:rsid w:val="00F417DC"/>
    <w:rsid w:val="00F41A19"/>
    <w:rsid w:val="00F41B8E"/>
    <w:rsid w:val="00F41C41"/>
    <w:rsid w:val="00F42480"/>
    <w:rsid w:val="00F425BB"/>
    <w:rsid w:val="00F4273A"/>
    <w:rsid w:val="00F4293D"/>
    <w:rsid w:val="00F42995"/>
    <w:rsid w:val="00F42ABF"/>
    <w:rsid w:val="00F42C4D"/>
    <w:rsid w:val="00F42F48"/>
    <w:rsid w:val="00F432DE"/>
    <w:rsid w:val="00F435A6"/>
    <w:rsid w:val="00F43766"/>
    <w:rsid w:val="00F43878"/>
    <w:rsid w:val="00F4395C"/>
    <w:rsid w:val="00F43B23"/>
    <w:rsid w:val="00F43CF3"/>
    <w:rsid w:val="00F4425A"/>
    <w:rsid w:val="00F442FB"/>
    <w:rsid w:val="00F4457C"/>
    <w:rsid w:val="00F44C2C"/>
    <w:rsid w:val="00F451B3"/>
    <w:rsid w:val="00F45264"/>
    <w:rsid w:val="00F453A1"/>
    <w:rsid w:val="00F453C1"/>
    <w:rsid w:val="00F453D1"/>
    <w:rsid w:val="00F453E9"/>
    <w:rsid w:val="00F454EC"/>
    <w:rsid w:val="00F4568F"/>
    <w:rsid w:val="00F45986"/>
    <w:rsid w:val="00F45FF0"/>
    <w:rsid w:val="00F46076"/>
    <w:rsid w:val="00F460B2"/>
    <w:rsid w:val="00F46390"/>
    <w:rsid w:val="00F46467"/>
    <w:rsid w:val="00F4682F"/>
    <w:rsid w:val="00F469D4"/>
    <w:rsid w:val="00F46FF3"/>
    <w:rsid w:val="00F4712E"/>
    <w:rsid w:val="00F47260"/>
    <w:rsid w:val="00F47317"/>
    <w:rsid w:val="00F473BA"/>
    <w:rsid w:val="00F474E0"/>
    <w:rsid w:val="00F47611"/>
    <w:rsid w:val="00F47E49"/>
    <w:rsid w:val="00F47E9D"/>
    <w:rsid w:val="00F47F93"/>
    <w:rsid w:val="00F50212"/>
    <w:rsid w:val="00F503E4"/>
    <w:rsid w:val="00F505FB"/>
    <w:rsid w:val="00F50897"/>
    <w:rsid w:val="00F50BE0"/>
    <w:rsid w:val="00F50C64"/>
    <w:rsid w:val="00F50D36"/>
    <w:rsid w:val="00F50EF5"/>
    <w:rsid w:val="00F512E5"/>
    <w:rsid w:val="00F51416"/>
    <w:rsid w:val="00F5181A"/>
    <w:rsid w:val="00F51FBE"/>
    <w:rsid w:val="00F51FEC"/>
    <w:rsid w:val="00F524A6"/>
    <w:rsid w:val="00F5259B"/>
    <w:rsid w:val="00F525CA"/>
    <w:rsid w:val="00F52639"/>
    <w:rsid w:val="00F52700"/>
    <w:rsid w:val="00F529DA"/>
    <w:rsid w:val="00F52AB7"/>
    <w:rsid w:val="00F52CF7"/>
    <w:rsid w:val="00F52D3F"/>
    <w:rsid w:val="00F52D70"/>
    <w:rsid w:val="00F5302C"/>
    <w:rsid w:val="00F53090"/>
    <w:rsid w:val="00F530AA"/>
    <w:rsid w:val="00F530C3"/>
    <w:rsid w:val="00F530EB"/>
    <w:rsid w:val="00F5311F"/>
    <w:rsid w:val="00F537C6"/>
    <w:rsid w:val="00F5389B"/>
    <w:rsid w:val="00F53D9D"/>
    <w:rsid w:val="00F54320"/>
    <w:rsid w:val="00F5467E"/>
    <w:rsid w:val="00F54744"/>
    <w:rsid w:val="00F54848"/>
    <w:rsid w:val="00F5496B"/>
    <w:rsid w:val="00F551D1"/>
    <w:rsid w:val="00F554CB"/>
    <w:rsid w:val="00F55620"/>
    <w:rsid w:val="00F556C3"/>
    <w:rsid w:val="00F559B9"/>
    <w:rsid w:val="00F55A4A"/>
    <w:rsid w:val="00F56854"/>
    <w:rsid w:val="00F56BAE"/>
    <w:rsid w:val="00F56BF8"/>
    <w:rsid w:val="00F572AD"/>
    <w:rsid w:val="00F57521"/>
    <w:rsid w:val="00F5765F"/>
    <w:rsid w:val="00F578EA"/>
    <w:rsid w:val="00F57D78"/>
    <w:rsid w:val="00F57DD9"/>
    <w:rsid w:val="00F60B11"/>
    <w:rsid w:val="00F60B64"/>
    <w:rsid w:val="00F60BAB"/>
    <w:rsid w:val="00F60E0F"/>
    <w:rsid w:val="00F60E3A"/>
    <w:rsid w:val="00F610BA"/>
    <w:rsid w:val="00F611C4"/>
    <w:rsid w:val="00F61280"/>
    <w:rsid w:val="00F613FD"/>
    <w:rsid w:val="00F616B8"/>
    <w:rsid w:val="00F61A04"/>
    <w:rsid w:val="00F61D5E"/>
    <w:rsid w:val="00F62242"/>
    <w:rsid w:val="00F62333"/>
    <w:rsid w:val="00F62336"/>
    <w:rsid w:val="00F6236E"/>
    <w:rsid w:val="00F623C5"/>
    <w:rsid w:val="00F628A4"/>
    <w:rsid w:val="00F62BAD"/>
    <w:rsid w:val="00F62C2B"/>
    <w:rsid w:val="00F63369"/>
    <w:rsid w:val="00F6337D"/>
    <w:rsid w:val="00F63572"/>
    <w:rsid w:val="00F63BD7"/>
    <w:rsid w:val="00F63BE8"/>
    <w:rsid w:val="00F63E97"/>
    <w:rsid w:val="00F6422D"/>
    <w:rsid w:val="00F6426D"/>
    <w:rsid w:val="00F642B9"/>
    <w:rsid w:val="00F647BA"/>
    <w:rsid w:val="00F64A84"/>
    <w:rsid w:val="00F64F91"/>
    <w:rsid w:val="00F6502D"/>
    <w:rsid w:val="00F6506E"/>
    <w:rsid w:val="00F653DF"/>
    <w:rsid w:val="00F655B0"/>
    <w:rsid w:val="00F65A20"/>
    <w:rsid w:val="00F65A4D"/>
    <w:rsid w:val="00F65B73"/>
    <w:rsid w:val="00F65F74"/>
    <w:rsid w:val="00F66030"/>
    <w:rsid w:val="00F662F9"/>
    <w:rsid w:val="00F665AF"/>
    <w:rsid w:val="00F66A93"/>
    <w:rsid w:val="00F66B8F"/>
    <w:rsid w:val="00F66D52"/>
    <w:rsid w:val="00F66DC8"/>
    <w:rsid w:val="00F671AF"/>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672"/>
    <w:rsid w:val="00F706EA"/>
    <w:rsid w:val="00F70700"/>
    <w:rsid w:val="00F707A7"/>
    <w:rsid w:val="00F70B16"/>
    <w:rsid w:val="00F70CC4"/>
    <w:rsid w:val="00F70E26"/>
    <w:rsid w:val="00F70FA2"/>
    <w:rsid w:val="00F70FC8"/>
    <w:rsid w:val="00F71177"/>
    <w:rsid w:val="00F713D3"/>
    <w:rsid w:val="00F7140E"/>
    <w:rsid w:val="00F71482"/>
    <w:rsid w:val="00F7179C"/>
    <w:rsid w:val="00F71939"/>
    <w:rsid w:val="00F7195B"/>
    <w:rsid w:val="00F71C0A"/>
    <w:rsid w:val="00F7236A"/>
    <w:rsid w:val="00F724B1"/>
    <w:rsid w:val="00F72533"/>
    <w:rsid w:val="00F72D65"/>
    <w:rsid w:val="00F72E7B"/>
    <w:rsid w:val="00F730C2"/>
    <w:rsid w:val="00F73273"/>
    <w:rsid w:val="00F732A7"/>
    <w:rsid w:val="00F736C2"/>
    <w:rsid w:val="00F73AD1"/>
    <w:rsid w:val="00F740A7"/>
    <w:rsid w:val="00F7424C"/>
    <w:rsid w:val="00F7470E"/>
    <w:rsid w:val="00F74855"/>
    <w:rsid w:val="00F74937"/>
    <w:rsid w:val="00F75657"/>
    <w:rsid w:val="00F757B1"/>
    <w:rsid w:val="00F75A17"/>
    <w:rsid w:val="00F75A1C"/>
    <w:rsid w:val="00F75A7B"/>
    <w:rsid w:val="00F75C0A"/>
    <w:rsid w:val="00F75D8C"/>
    <w:rsid w:val="00F75DED"/>
    <w:rsid w:val="00F7642A"/>
    <w:rsid w:val="00F76681"/>
    <w:rsid w:val="00F766E9"/>
    <w:rsid w:val="00F767CD"/>
    <w:rsid w:val="00F769A4"/>
    <w:rsid w:val="00F769C5"/>
    <w:rsid w:val="00F76B4F"/>
    <w:rsid w:val="00F76B5D"/>
    <w:rsid w:val="00F7712E"/>
    <w:rsid w:val="00F772D9"/>
    <w:rsid w:val="00F773C7"/>
    <w:rsid w:val="00F7741B"/>
    <w:rsid w:val="00F777AE"/>
    <w:rsid w:val="00F779B1"/>
    <w:rsid w:val="00F77E03"/>
    <w:rsid w:val="00F80612"/>
    <w:rsid w:val="00F8090F"/>
    <w:rsid w:val="00F80C71"/>
    <w:rsid w:val="00F8125D"/>
    <w:rsid w:val="00F81302"/>
    <w:rsid w:val="00F81339"/>
    <w:rsid w:val="00F817EB"/>
    <w:rsid w:val="00F818B2"/>
    <w:rsid w:val="00F819A0"/>
    <w:rsid w:val="00F81EF4"/>
    <w:rsid w:val="00F822FB"/>
    <w:rsid w:val="00F823B4"/>
    <w:rsid w:val="00F82709"/>
    <w:rsid w:val="00F82B9B"/>
    <w:rsid w:val="00F82CB6"/>
    <w:rsid w:val="00F82EB4"/>
    <w:rsid w:val="00F82F2D"/>
    <w:rsid w:val="00F83016"/>
    <w:rsid w:val="00F831A2"/>
    <w:rsid w:val="00F83514"/>
    <w:rsid w:val="00F83550"/>
    <w:rsid w:val="00F83787"/>
    <w:rsid w:val="00F8387D"/>
    <w:rsid w:val="00F83E2D"/>
    <w:rsid w:val="00F83F69"/>
    <w:rsid w:val="00F84FE2"/>
    <w:rsid w:val="00F8543F"/>
    <w:rsid w:val="00F85770"/>
    <w:rsid w:val="00F85AB3"/>
    <w:rsid w:val="00F863D0"/>
    <w:rsid w:val="00F864AC"/>
    <w:rsid w:val="00F86659"/>
    <w:rsid w:val="00F8675C"/>
    <w:rsid w:val="00F86779"/>
    <w:rsid w:val="00F86890"/>
    <w:rsid w:val="00F86A8E"/>
    <w:rsid w:val="00F86ACD"/>
    <w:rsid w:val="00F86F25"/>
    <w:rsid w:val="00F8708C"/>
    <w:rsid w:val="00F871D6"/>
    <w:rsid w:val="00F874B7"/>
    <w:rsid w:val="00F87978"/>
    <w:rsid w:val="00F879E9"/>
    <w:rsid w:val="00F87C1D"/>
    <w:rsid w:val="00F87C5D"/>
    <w:rsid w:val="00F87EBE"/>
    <w:rsid w:val="00F87F2D"/>
    <w:rsid w:val="00F90147"/>
    <w:rsid w:val="00F90936"/>
    <w:rsid w:val="00F90BFC"/>
    <w:rsid w:val="00F90CCE"/>
    <w:rsid w:val="00F90FB4"/>
    <w:rsid w:val="00F90FE3"/>
    <w:rsid w:val="00F91324"/>
    <w:rsid w:val="00F9165C"/>
    <w:rsid w:val="00F9182A"/>
    <w:rsid w:val="00F91DF9"/>
    <w:rsid w:val="00F92047"/>
    <w:rsid w:val="00F920E1"/>
    <w:rsid w:val="00F923E2"/>
    <w:rsid w:val="00F926E2"/>
    <w:rsid w:val="00F9297C"/>
    <w:rsid w:val="00F92980"/>
    <w:rsid w:val="00F92CBC"/>
    <w:rsid w:val="00F92D12"/>
    <w:rsid w:val="00F92FEC"/>
    <w:rsid w:val="00F93358"/>
    <w:rsid w:val="00F934C7"/>
    <w:rsid w:val="00F9351B"/>
    <w:rsid w:val="00F93757"/>
    <w:rsid w:val="00F937AB"/>
    <w:rsid w:val="00F93813"/>
    <w:rsid w:val="00F93DCA"/>
    <w:rsid w:val="00F94616"/>
    <w:rsid w:val="00F948DD"/>
    <w:rsid w:val="00F94CE5"/>
    <w:rsid w:val="00F94D0A"/>
    <w:rsid w:val="00F94D61"/>
    <w:rsid w:val="00F94F02"/>
    <w:rsid w:val="00F94FF5"/>
    <w:rsid w:val="00F95042"/>
    <w:rsid w:val="00F950E0"/>
    <w:rsid w:val="00F95218"/>
    <w:rsid w:val="00F954D5"/>
    <w:rsid w:val="00F95888"/>
    <w:rsid w:val="00F95DBD"/>
    <w:rsid w:val="00F9650D"/>
    <w:rsid w:val="00F966B0"/>
    <w:rsid w:val="00F9685A"/>
    <w:rsid w:val="00F968DB"/>
    <w:rsid w:val="00F9692E"/>
    <w:rsid w:val="00F96BD7"/>
    <w:rsid w:val="00F96D57"/>
    <w:rsid w:val="00F97081"/>
    <w:rsid w:val="00F97192"/>
    <w:rsid w:val="00F97605"/>
    <w:rsid w:val="00FA01A2"/>
    <w:rsid w:val="00FA0288"/>
    <w:rsid w:val="00FA02C9"/>
    <w:rsid w:val="00FA0355"/>
    <w:rsid w:val="00FA0FAF"/>
    <w:rsid w:val="00FA1350"/>
    <w:rsid w:val="00FA1585"/>
    <w:rsid w:val="00FA1615"/>
    <w:rsid w:val="00FA171A"/>
    <w:rsid w:val="00FA1BC6"/>
    <w:rsid w:val="00FA2092"/>
    <w:rsid w:val="00FA2323"/>
    <w:rsid w:val="00FA2365"/>
    <w:rsid w:val="00FA28A7"/>
    <w:rsid w:val="00FA29C9"/>
    <w:rsid w:val="00FA2CDB"/>
    <w:rsid w:val="00FA2EB2"/>
    <w:rsid w:val="00FA32DC"/>
    <w:rsid w:val="00FA3444"/>
    <w:rsid w:val="00FA38B7"/>
    <w:rsid w:val="00FA3CF8"/>
    <w:rsid w:val="00FA3D2D"/>
    <w:rsid w:val="00FA3E18"/>
    <w:rsid w:val="00FA3F09"/>
    <w:rsid w:val="00FA40B5"/>
    <w:rsid w:val="00FA41FE"/>
    <w:rsid w:val="00FA435D"/>
    <w:rsid w:val="00FA45A7"/>
    <w:rsid w:val="00FA4B01"/>
    <w:rsid w:val="00FA4CF8"/>
    <w:rsid w:val="00FA4D41"/>
    <w:rsid w:val="00FA4F78"/>
    <w:rsid w:val="00FA4FA1"/>
    <w:rsid w:val="00FA51A4"/>
    <w:rsid w:val="00FA5476"/>
    <w:rsid w:val="00FA5B60"/>
    <w:rsid w:val="00FA6313"/>
    <w:rsid w:val="00FA6477"/>
    <w:rsid w:val="00FA6487"/>
    <w:rsid w:val="00FA6ABA"/>
    <w:rsid w:val="00FA6E8A"/>
    <w:rsid w:val="00FA6E9C"/>
    <w:rsid w:val="00FA715F"/>
    <w:rsid w:val="00FA738F"/>
    <w:rsid w:val="00FA73BE"/>
    <w:rsid w:val="00FA7A53"/>
    <w:rsid w:val="00FA7B07"/>
    <w:rsid w:val="00FA7E23"/>
    <w:rsid w:val="00FB012C"/>
    <w:rsid w:val="00FB01A2"/>
    <w:rsid w:val="00FB0228"/>
    <w:rsid w:val="00FB0297"/>
    <w:rsid w:val="00FB05B8"/>
    <w:rsid w:val="00FB0943"/>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DB4"/>
    <w:rsid w:val="00FB4FB6"/>
    <w:rsid w:val="00FB573F"/>
    <w:rsid w:val="00FB58A0"/>
    <w:rsid w:val="00FB6481"/>
    <w:rsid w:val="00FB652A"/>
    <w:rsid w:val="00FB6922"/>
    <w:rsid w:val="00FB6AD2"/>
    <w:rsid w:val="00FB6D1D"/>
    <w:rsid w:val="00FB6F80"/>
    <w:rsid w:val="00FB722D"/>
    <w:rsid w:val="00FB7435"/>
    <w:rsid w:val="00FB74B2"/>
    <w:rsid w:val="00FB7655"/>
    <w:rsid w:val="00FB77DC"/>
    <w:rsid w:val="00FB7BF3"/>
    <w:rsid w:val="00FB7F56"/>
    <w:rsid w:val="00FC0103"/>
    <w:rsid w:val="00FC0105"/>
    <w:rsid w:val="00FC010A"/>
    <w:rsid w:val="00FC02DA"/>
    <w:rsid w:val="00FC05EE"/>
    <w:rsid w:val="00FC078A"/>
    <w:rsid w:val="00FC08C7"/>
    <w:rsid w:val="00FC0AF4"/>
    <w:rsid w:val="00FC116A"/>
    <w:rsid w:val="00FC1397"/>
    <w:rsid w:val="00FC1681"/>
    <w:rsid w:val="00FC186F"/>
    <w:rsid w:val="00FC1C6F"/>
    <w:rsid w:val="00FC1F0F"/>
    <w:rsid w:val="00FC1FD6"/>
    <w:rsid w:val="00FC2096"/>
    <w:rsid w:val="00FC2315"/>
    <w:rsid w:val="00FC264C"/>
    <w:rsid w:val="00FC26E4"/>
    <w:rsid w:val="00FC2715"/>
    <w:rsid w:val="00FC27C5"/>
    <w:rsid w:val="00FC28A3"/>
    <w:rsid w:val="00FC28EA"/>
    <w:rsid w:val="00FC293F"/>
    <w:rsid w:val="00FC2C0B"/>
    <w:rsid w:val="00FC2C5C"/>
    <w:rsid w:val="00FC2C8C"/>
    <w:rsid w:val="00FC2EB3"/>
    <w:rsid w:val="00FC33C9"/>
    <w:rsid w:val="00FC3A02"/>
    <w:rsid w:val="00FC3A6C"/>
    <w:rsid w:val="00FC3A9D"/>
    <w:rsid w:val="00FC3F09"/>
    <w:rsid w:val="00FC4436"/>
    <w:rsid w:val="00FC44ED"/>
    <w:rsid w:val="00FC463D"/>
    <w:rsid w:val="00FC47A8"/>
    <w:rsid w:val="00FC4AED"/>
    <w:rsid w:val="00FC4EF1"/>
    <w:rsid w:val="00FC4FA2"/>
    <w:rsid w:val="00FC5335"/>
    <w:rsid w:val="00FC5905"/>
    <w:rsid w:val="00FC5989"/>
    <w:rsid w:val="00FC5B15"/>
    <w:rsid w:val="00FC60AC"/>
    <w:rsid w:val="00FC678E"/>
    <w:rsid w:val="00FC6CC7"/>
    <w:rsid w:val="00FC6DBB"/>
    <w:rsid w:val="00FC6EBE"/>
    <w:rsid w:val="00FC71E1"/>
    <w:rsid w:val="00FC71EB"/>
    <w:rsid w:val="00FC74AD"/>
    <w:rsid w:val="00FC7C34"/>
    <w:rsid w:val="00FC7EC2"/>
    <w:rsid w:val="00FD026B"/>
    <w:rsid w:val="00FD02DF"/>
    <w:rsid w:val="00FD0312"/>
    <w:rsid w:val="00FD03DF"/>
    <w:rsid w:val="00FD045F"/>
    <w:rsid w:val="00FD0505"/>
    <w:rsid w:val="00FD07B9"/>
    <w:rsid w:val="00FD07BF"/>
    <w:rsid w:val="00FD0BEB"/>
    <w:rsid w:val="00FD0E11"/>
    <w:rsid w:val="00FD0F30"/>
    <w:rsid w:val="00FD101A"/>
    <w:rsid w:val="00FD11D4"/>
    <w:rsid w:val="00FD19CD"/>
    <w:rsid w:val="00FD1E16"/>
    <w:rsid w:val="00FD20ED"/>
    <w:rsid w:val="00FD2104"/>
    <w:rsid w:val="00FD2209"/>
    <w:rsid w:val="00FD26BF"/>
    <w:rsid w:val="00FD276C"/>
    <w:rsid w:val="00FD2922"/>
    <w:rsid w:val="00FD299C"/>
    <w:rsid w:val="00FD29A7"/>
    <w:rsid w:val="00FD2A2B"/>
    <w:rsid w:val="00FD2AEF"/>
    <w:rsid w:val="00FD2B9A"/>
    <w:rsid w:val="00FD2DD4"/>
    <w:rsid w:val="00FD2FEA"/>
    <w:rsid w:val="00FD30DB"/>
    <w:rsid w:val="00FD32BB"/>
    <w:rsid w:val="00FD33A1"/>
    <w:rsid w:val="00FD38CB"/>
    <w:rsid w:val="00FD3C42"/>
    <w:rsid w:val="00FD3E50"/>
    <w:rsid w:val="00FD3F21"/>
    <w:rsid w:val="00FD40BC"/>
    <w:rsid w:val="00FD41CB"/>
    <w:rsid w:val="00FD45E4"/>
    <w:rsid w:val="00FD4C2F"/>
    <w:rsid w:val="00FD4ECF"/>
    <w:rsid w:val="00FD5659"/>
    <w:rsid w:val="00FD5739"/>
    <w:rsid w:val="00FD58F7"/>
    <w:rsid w:val="00FD5A60"/>
    <w:rsid w:val="00FD5B7A"/>
    <w:rsid w:val="00FD5E08"/>
    <w:rsid w:val="00FD5E6F"/>
    <w:rsid w:val="00FD5ED9"/>
    <w:rsid w:val="00FD5F7D"/>
    <w:rsid w:val="00FD6083"/>
    <w:rsid w:val="00FD61FC"/>
    <w:rsid w:val="00FD6609"/>
    <w:rsid w:val="00FD67A5"/>
    <w:rsid w:val="00FD69D3"/>
    <w:rsid w:val="00FD6DB3"/>
    <w:rsid w:val="00FD6DD0"/>
    <w:rsid w:val="00FD6E4B"/>
    <w:rsid w:val="00FD71CE"/>
    <w:rsid w:val="00FD74E7"/>
    <w:rsid w:val="00FD7502"/>
    <w:rsid w:val="00FD76FA"/>
    <w:rsid w:val="00FD7911"/>
    <w:rsid w:val="00FD7953"/>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C0F"/>
    <w:rsid w:val="00FE3CAE"/>
    <w:rsid w:val="00FE3D83"/>
    <w:rsid w:val="00FE3DAD"/>
    <w:rsid w:val="00FE405C"/>
    <w:rsid w:val="00FE43BA"/>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82"/>
    <w:rsid w:val="00FE64AF"/>
    <w:rsid w:val="00FE680B"/>
    <w:rsid w:val="00FE6C20"/>
    <w:rsid w:val="00FE6EAF"/>
    <w:rsid w:val="00FE70A7"/>
    <w:rsid w:val="00FE74E6"/>
    <w:rsid w:val="00FE76AD"/>
    <w:rsid w:val="00FE76B7"/>
    <w:rsid w:val="00FE776B"/>
    <w:rsid w:val="00FE78B5"/>
    <w:rsid w:val="00FE7936"/>
    <w:rsid w:val="00FF0151"/>
    <w:rsid w:val="00FF08EC"/>
    <w:rsid w:val="00FF095E"/>
    <w:rsid w:val="00FF0B6F"/>
    <w:rsid w:val="00FF0D0A"/>
    <w:rsid w:val="00FF0E34"/>
    <w:rsid w:val="00FF12DA"/>
    <w:rsid w:val="00FF14B7"/>
    <w:rsid w:val="00FF14C6"/>
    <w:rsid w:val="00FF157C"/>
    <w:rsid w:val="00FF162D"/>
    <w:rsid w:val="00FF169E"/>
    <w:rsid w:val="00FF16C1"/>
    <w:rsid w:val="00FF17A1"/>
    <w:rsid w:val="00FF1A4D"/>
    <w:rsid w:val="00FF1C32"/>
    <w:rsid w:val="00FF1E27"/>
    <w:rsid w:val="00FF1E38"/>
    <w:rsid w:val="00FF1EE1"/>
    <w:rsid w:val="00FF1F3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811"/>
    <w:rsid w:val="00FF5907"/>
    <w:rsid w:val="00FF5ADF"/>
    <w:rsid w:val="00FF5CF9"/>
    <w:rsid w:val="00FF5E07"/>
    <w:rsid w:val="00FF5F92"/>
    <w:rsid w:val="00FF5FD4"/>
    <w:rsid w:val="00FF60DA"/>
    <w:rsid w:val="00FF60E4"/>
    <w:rsid w:val="00FF60F1"/>
    <w:rsid w:val="00FF62BE"/>
    <w:rsid w:val="00FF652D"/>
    <w:rsid w:val="00FF6558"/>
    <w:rsid w:val="00FF6EDD"/>
    <w:rsid w:val="00FF6FB1"/>
    <w:rsid w:val="00FF7299"/>
    <w:rsid w:val="00FF7494"/>
    <w:rsid w:val="00FF7632"/>
    <w:rsid w:val="00FF766C"/>
    <w:rsid w:val="00FF7806"/>
    <w:rsid w:val="00FF7C0E"/>
    <w:rsid w:val="00FF7C69"/>
    <w:rsid w:val="00FF7D14"/>
    <w:rsid w:val="00FF7D2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snapToGrid w:val="0"/>
      <w:jc w:val="both"/>
      <w:outlineLvl w:val="0"/>
    </w:pPr>
    <w:rPr>
      <w:b/>
      <w:bCs/>
      <w:kern w:val="0"/>
      <w:sz w:val="28"/>
      <w:lang w:val="en-US"/>
    </w:rPr>
  </w:style>
  <w:style w:type="paragraph" w:styleId="Heading2">
    <w:name w:val="heading 2"/>
    <w:basedOn w:val="Normal"/>
    <w:next w:val="NormalIndent"/>
    <w:qFormat/>
    <w:pPr>
      <w:keepNext/>
      <w:tabs>
        <w:tab w:val="left" w:pos="1200"/>
      </w:tabs>
      <w:spacing w:line="480" w:lineRule="atLeast"/>
      <w:ind w:right="-691"/>
      <w:jc w:val="both"/>
      <w:outlineLvl w:val="1"/>
    </w:pPr>
    <w:rPr>
      <w:rFonts w:ascii="新細明體"/>
      <w:b/>
      <w:sz w:val="28"/>
      <w:szCs w:val="20"/>
      <w:lang w:val="en-US"/>
    </w:rPr>
  </w:style>
  <w:style w:type="paragraph" w:styleId="Heading3">
    <w:name w:val="heading 3"/>
    <w:basedOn w:val="Normal"/>
    <w:next w:val="Normal"/>
    <w:qFormat/>
    <w:pPr>
      <w:keepNext/>
      <w:tabs>
        <w:tab w:val="left" w:pos="1080"/>
      </w:tabs>
      <w:spacing w:line="200" w:lineRule="exact"/>
      <w:ind w:right="-108"/>
      <w:jc w:val="both"/>
      <w:outlineLvl w:val="2"/>
    </w:pPr>
    <w:rPr>
      <w:b/>
      <w:sz w:val="22"/>
    </w:rPr>
  </w:style>
  <w:style w:type="paragraph" w:styleId="Heading4">
    <w:name w:val="heading 4"/>
    <w:basedOn w:val="Normal"/>
    <w:next w:val="NormalIndent"/>
    <w:qFormat/>
    <w:pPr>
      <w:keepNext/>
      <w:autoSpaceDE w:val="0"/>
      <w:snapToGrid w:val="0"/>
      <w:ind w:left="1320" w:right="-248"/>
      <w:jc w:val="both"/>
      <w:outlineLvl w:val="3"/>
    </w:pPr>
    <w:rPr>
      <w:rFonts w:eastAsia="細明體"/>
      <w:noProof/>
      <w:spacing w:val="30"/>
      <w:sz w:val="30"/>
      <w:szCs w:val="20"/>
      <w:lang w:val="en-US"/>
    </w:rPr>
  </w:style>
  <w:style w:type="paragraph" w:styleId="Heading5">
    <w:name w:val="heading 5"/>
    <w:basedOn w:val="Normal"/>
    <w:next w:val="NormalIndent"/>
    <w:link w:val="Heading5Char"/>
    <w:qFormat/>
    <w:pPr>
      <w:keepNext/>
      <w:spacing w:line="260" w:lineRule="exact"/>
      <w:ind w:left="-48" w:right="-108"/>
      <w:jc w:val="center"/>
      <w:outlineLvl w:val="4"/>
    </w:pPr>
    <w:rPr>
      <w:rFonts w:ascii="新細明體"/>
      <w:sz w:val="21"/>
      <w:szCs w:val="20"/>
      <w:u w:val="single"/>
      <w:lang w:val="en-US"/>
    </w:rPr>
  </w:style>
  <w:style w:type="paragraph" w:styleId="Heading6">
    <w:name w:val="heading 6"/>
    <w:basedOn w:val="Normal"/>
    <w:next w:val="Normal"/>
    <w:qFormat/>
    <w:pPr>
      <w:keepNext/>
      <w:snapToGrid w:val="0"/>
      <w:jc w:val="center"/>
      <w:outlineLvl w:val="5"/>
    </w:pPr>
    <w:rPr>
      <w:b/>
      <w:bCs/>
      <w:i/>
      <w:iCs/>
      <w:sz w:val="22"/>
    </w:rPr>
  </w:style>
  <w:style w:type="paragraph" w:styleId="Heading9">
    <w:name w:val="heading 9"/>
    <w:basedOn w:val="Normal"/>
    <w:next w:val="Normal"/>
    <w:qFormat/>
    <w:pPr>
      <w:keepNext/>
      <w:spacing w:line="200" w:lineRule="exact"/>
      <w:ind w:leftChars="268" w:left="643"/>
      <w:jc w:val="center"/>
      <w:outlineLvl w:val="8"/>
    </w:pPr>
    <w:rPr>
      <w:sz w:val="20"/>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Chars="200" w:left="480"/>
    </w:pPr>
  </w:style>
  <w:style w:type="paragraph" w:styleId="BodyText">
    <w:name w:val="Body Text"/>
    <w:basedOn w:val="Normal"/>
    <w:link w:val="BodyTextChar"/>
    <w:pPr>
      <w:spacing w:line="360" w:lineRule="atLeast"/>
    </w:pPr>
    <w:rPr>
      <w:rFonts w:ascii="新細明體"/>
      <w:sz w:val="28"/>
      <w:szCs w:val="20"/>
      <w:lang w:val="en-US"/>
    </w:rPr>
  </w:style>
  <w:style w:type="paragraph" w:customStyle="1" w:styleId="BodyText31">
    <w:name w:val="Body Text 31"/>
    <w:basedOn w:val="Normal"/>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Normal"/>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EndnoteText">
    <w:name w:val="endnote text"/>
    <w:basedOn w:val="Normal"/>
    <w:link w:val="EndnoteTextChar"/>
    <w:semiHidden/>
    <w:rPr>
      <w:rFonts w:ascii="新細明體"/>
      <w:sz w:val="21"/>
      <w:szCs w:val="20"/>
      <w:lang w:val="en-US"/>
    </w:rPr>
  </w:style>
  <w:style w:type="character" w:styleId="CommentReference">
    <w:name w:val="annotation reference"/>
    <w:semiHidden/>
    <w:rPr>
      <w:sz w:val="18"/>
    </w:rPr>
  </w:style>
  <w:style w:type="paragraph" w:styleId="BlockText">
    <w:name w:val="Block Text"/>
    <w:basedOn w:val="Normal"/>
    <w:pPr>
      <w:tabs>
        <w:tab w:val="left" w:pos="720"/>
      </w:tabs>
      <w:spacing w:line="240" w:lineRule="exact"/>
      <w:ind w:left="1320" w:right="29" w:hanging="1440"/>
      <w:jc w:val="both"/>
    </w:pPr>
    <w:rPr>
      <w:rFonts w:ascii="新細明體"/>
      <w:sz w:val="21"/>
      <w:szCs w:val="20"/>
      <w:lang w:val="en-US"/>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新細明體"/>
      <w:sz w:val="21"/>
      <w:szCs w:val="20"/>
      <w:lang w:val="en-US"/>
    </w:rPr>
  </w:style>
  <w:style w:type="paragraph" w:styleId="Title">
    <w:name w:val="Title"/>
    <w:basedOn w:val="Normal"/>
    <w:qFormat/>
    <w:pPr>
      <w:tabs>
        <w:tab w:val="left" w:pos="1200"/>
      </w:tabs>
      <w:snapToGrid w:val="0"/>
      <w:spacing w:line="360" w:lineRule="atLeast"/>
      <w:ind w:right="-216"/>
      <w:jc w:val="center"/>
    </w:pPr>
    <w:rPr>
      <w:b/>
      <w:kern w:val="0"/>
      <w:sz w:val="28"/>
    </w:rPr>
  </w:style>
  <w:style w:type="paragraph" w:styleId="BodyText2">
    <w:name w:val="Body Text 2"/>
    <w:basedOn w:val="Normal"/>
    <w:pPr>
      <w:tabs>
        <w:tab w:val="left" w:pos="900"/>
        <w:tab w:val="left" w:pos="1080"/>
        <w:tab w:val="left" w:pos="2790"/>
      </w:tabs>
      <w:snapToGrid w:val="0"/>
      <w:spacing w:line="260" w:lineRule="exact"/>
      <w:ind w:right="28"/>
      <w:jc w:val="both"/>
    </w:pPr>
  </w:style>
  <w:style w:type="paragraph" w:styleId="ListBullet">
    <w:name w:val="List Bullet"/>
    <w:basedOn w:val="Normal"/>
    <w:autoRedefine/>
    <w:pPr>
      <w:numPr>
        <w:numId w:val="3"/>
      </w:numPr>
    </w:pPr>
  </w:style>
  <w:style w:type="paragraph" w:customStyle="1" w:styleId="a">
    <w:name w:val="附件列"/>
    <w:basedOn w:val="BodyText"/>
    <w:pPr>
      <w:tabs>
        <w:tab w:val="left" w:pos="1080"/>
      </w:tabs>
      <w:spacing w:line="480" w:lineRule="atLeast"/>
      <w:jc w:val="both"/>
    </w:pPr>
    <w:rPr>
      <w:rFonts w:ascii="Times New Roman"/>
      <w:kern w:val="0"/>
    </w:rPr>
  </w:style>
  <w:style w:type="paragraph" w:styleId="CommentText">
    <w:name w:val="annotation text"/>
    <w:basedOn w:val="Normal"/>
    <w:semiHidden/>
    <w:rPr>
      <w:szCs w:val="20"/>
      <w:lang w:val="en-US"/>
    </w:rPr>
  </w:style>
  <w:style w:type="character" w:styleId="FootnoteReference">
    <w:name w:val="footnote reference"/>
    <w:uiPriority w:val="99"/>
    <w:semiHidden/>
    <w:qFormat/>
    <w:rPr>
      <w:vertAlign w:val="superscript"/>
    </w:rPr>
  </w:style>
  <w:style w:type="paragraph" w:customStyle="1" w:styleId="BOXE12">
    <w:name w:val="BOX_E標題12"/>
    <w:basedOn w:val="Normal"/>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Normal"/>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Normal"/>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Normal"/>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BalloonText">
    <w:name w:val="Balloon Text"/>
    <w:basedOn w:val="Normal"/>
    <w:semiHidden/>
    <w:rPr>
      <w:rFonts w:ascii="Arial" w:hAnsi="Arial"/>
      <w:sz w:val="18"/>
      <w:szCs w:val="18"/>
    </w:rPr>
  </w:style>
  <w:style w:type="paragraph" w:styleId="Header">
    <w:name w:val="header"/>
    <w:basedOn w:val="Normal"/>
    <w:pPr>
      <w:tabs>
        <w:tab w:val="center" w:pos="4153"/>
        <w:tab w:val="right" w:pos="8306"/>
      </w:tabs>
      <w:snapToGrid w:val="0"/>
    </w:pPr>
    <w:rPr>
      <w:sz w:val="20"/>
      <w:szCs w:val="20"/>
    </w:rPr>
  </w:style>
  <w:style w:type="paragraph" w:styleId="FootnoteText">
    <w:name w:val="footnote text"/>
    <w:basedOn w:val="Normal"/>
    <w:link w:val="FootnoteTextChar"/>
    <w:uiPriority w:val="99"/>
    <w:pPr>
      <w:snapToGrid w:val="0"/>
    </w:pPr>
    <w:rPr>
      <w:kern w:val="0"/>
      <w:sz w:val="20"/>
      <w:szCs w:val="20"/>
    </w:rPr>
  </w:style>
  <w:style w:type="table" w:styleId="TableGrid">
    <w:name w:val="Table Grid"/>
    <w:basedOn w:val="TableNormal"/>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C7269"/>
    <w:pPr>
      <w:widowControl/>
    </w:pPr>
    <w:rPr>
      <w:rFonts w:ascii="新細明體" w:hAnsi="新細明體" w:cs="新細明體"/>
      <w:kern w:val="0"/>
      <w:lang w:val="en-US"/>
    </w:rPr>
  </w:style>
  <w:style w:type="character" w:customStyle="1" w:styleId="apple-style-span">
    <w:name w:val="apple-style-span"/>
    <w:basedOn w:val="DefaultParagraphFont"/>
    <w:rsid w:val="00F152ED"/>
  </w:style>
  <w:style w:type="character" w:customStyle="1" w:styleId="apple-converted-space">
    <w:name w:val="apple-converted-space"/>
    <w:basedOn w:val="DefaultParagraphFont"/>
    <w:rsid w:val="00F152ED"/>
  </w:style>
  <w:style w:type="paragraph" w:customStyle="1" w:styleId="eng11ptbold">
    <w:name w:val="eng11ptbold"/>
    <w:basedOn w:val="Normal"/>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Normal"/>
    <w:locked/>
    <w:rsid w:val="00745453"/>
    <w:pPr>
      <w:widowControl/>
      <w:spacing w:after="160" w:line="240" w:lineRule="exact"/>
    </w:pPr>
    <w:rPr>
      <w:rFonts w:ascii="Verdana" w:hAnsi="Verdana"/>
      <w:kern w:val="0"/>
      <w:sz w:val="20"/>
      <w:szCs w:val="20"/>
      <w:lang w:val="en-US" w:eastAsia="en-AU"/>
    </w:rPr>
  </w:style>
  <w:style w:type="character" w:styleId="Hyperlink">
    <w:name w:val="Hyperlink"/>
    <w:rsid w:val="00745453"/>
    <w:rPr>
      <w:color w:val="0000FF"/>
      <w:u w:val="single"/>
    </w:rPr>
  </w:style>
  <w:style w:type="paragraph" w:customStyle="1" w:styleId="a0">
    <w:name w:val="字元"/>
    <w:basedOn w:val="Normal"/>
    <w:locked/>
    <w:rsid w:val="002C4BA9"/>
    <w:pPr>
      <w:widowControl/>
      <w:spacing w:after="160" w:line="240" w:lineRule="exact"/>
    </w:pPr>
    <w:rPr>
      <w:rFonts w:ascii="Verdana" w:hAnsi="Verdana"/>
      <w:kern w:val="0"/>
      <w:sz w:val="20"/>
      <w:szCs w:val="20"/>
      <w:lang w:val="en-US" w:eastAsia="en-AU"/>
    </w:rPr>
  </w:style>
  <w:style w:type="paragraph" w:styleId="Subtitle">
    <w:name w:val="Subtitle"/>
    <w:basedOn w:val="Normal"/>
    <w:qFormat/>
    <w:rsid w:val="00A97753"/>
    <w:pPr>
      <w:jc w:val="center"/>
    </w:pPr>
    <w:rPr>
      <w:rFonts w:ascii="Arial" w:hAnsi="Arial" w:cs="Arial"/>
      <w:b/>
      <w:bCs/>
      <w:sz w:val="32"/>
    </w:rPr>
  </w:style>
  <w:style w:type="paragraph" w:customStyle="1" w:styleId="CharCharChar">
    <w:name w:val="Char Char 字元 字元 Char"/>
    <w:basedOn w:val="Normal"/>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DefaultParagraphFont"/>
    <w:rsid w:val="003C0502"/>
  </w:style>
  <w:style w:type="paragraph" w:customStyle="1" w:styleId="infocontent">
    <w:name w:val="infocontent"/>
    <w:basedOn w:val="Normal"/>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EndnoteTextChar">
    <w:name w:val="Endnote Text Char"/>
    <w:link w:val="EndnoteText"/>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CommentSubject">
    <w:name w:val="annotation subject"/>
    <w:basedOn w:val="CommentText"/>
    <w:next w:val="CommentText"/>
    <w:semiHidden/>
    <w:rsid w:val="001B1607"/>
    <w:rPr>
      <w:b/>
      <w:bCs/>
      <w:szCs w:val="24"/>
      <w:lang w:val="en-GB"/>
    </w:rPr>
  </w:style>
  <w:style w:type="paragraph" w:customStyle="1" w:styleId="Char0">
    <w:name w:val="Char 字元 字元"/>
    <w:basedOn w:val="Normal"/>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Normal"/>
    <w:locked/>
    <w:rsid w:val="00707A21"/>
    <w:pPr>
      <w:widowControl/>
      <w:spacing w:after="160" w:line="240" w:lineRule="exact"/>
    </w:pPr>
    <w:rPr>
      <w:rFonts w:ascii="Verdana" w:hAnsi="Verdana"/>
      <w:kern w:val="0"/>
      <w:sz w:val="20"/>
      <w:szCs w:val="20"/>
      <w:lang w:val="en-US" w:eastAsia="en-AU"/>
    </w:rPr>
  </w:style>
  <w:style w:type="paragraph" w:styleId="ListParagraph">
    <w:name w:val="List Paragraph"/>
    <w:basedOn w:val="Normal"/>
    <w:link w:val="ListParagraphChar"/>
    <w:uiPriority w:val="34"/>
    <w:qFormat/>
    <w:rsid w:val="00C127A9"/>
    <w:pPr>
      <w:ind w:leftChars="200" w:left="480"/>
    </w:pPr>
  </w:style>
  <w:style w:type="paragraph" w:styleId="Revision">
    <w:name w:val="Revision"/>
    <w:hidden/>
    <w:uiPriority w:val="99"/>
    <w:semiHidden/>
    <w:rsid w:val="00322656"/>
    <w:rPr>
      <w:kern w:val="2"/>
      <w:sz w:val="24"/>
      <w:szCs w:val="24"/>
      <w:lang w:val="en-GB"/>
    </w:rPr>
  </w:style>
  <w:style w:type="character" w:customStyle="1" w:styleId="BodyTextChar">
    <w:name w:val="Body Text Char"/>
    <w:link w:val="BodyText"/>
    <w:rsid w:val="00EC0047"/>
    <w:rPr>
      <w:rFonts w:ascii="新細明體"/>
      <w:kern w:val="2"/>
      <w:sz w:val="28"/>
    </w:rPr>
  </w:style>
  <w:style w:type="character" w:customStyle="1" w:styleId="FootnoteTextChar">
    <w:name w:val="Footnote Text Char"/>
    <w:link w:val="FootnoteText"/>
    <w:uiPriority w:val="99"/>
    <w:rsid w:val="009E5509"/>
    <w:rPr>
      <w:lang w:val="en-GB"/>
    </w:rPr>
  </w:style>
  <w:style w:type="character" w:customStyle="1" w:styleId="Heading5Char">
    <w:name w:val="Heading 5 Char"/>
    <w:link w:val="Heading5"/>
    <w:rsid w:val="00224B7E"/>
    <w:rPr>
      <w:rFonts w:ascii="新細明體"/>
      <w:kern w:val="2"/>
      <w:sz w:val="21"/>
      <w:u w:val="single"/>
    </w:rPr>
  </w:style>
  <w:style w:type="character" w:customStyle="1" w:styleId="ListParagraphChar">
    <w:name w:val="List Paragraph Char"/>
    <w:link w:val="ListParagraph"/>
    <w:uiPriority w:val="34"/>
    <w:qFormat/>
    <w:locked/>
    <w:rsid w:val="00D548B1"/>
    <w:rPr>
      <w:kern w:val="2"/>
      <w:sz w:val="24"/>
      <w:szCs w:val="24"/>
      <w:lang w:val="en-GB"/>
    </w:rPr>
  </w:style>
  <w:style w:type="character" w:styleId="FollowedHyperlink">
    <w:name w:val="FollowedHyperlink"/>
    <w:basedOn w:val="DefaultParagraphFont"/>
    <w:semiHidden/>
    <w:unhideWhenUsed/>
    <w:rsid w:val="006658D9"/>
    <w:rPr>
      <w:color w:val="800080" w:themeColor="followedHyperlink"/>
      <w:u w:val="single"/>
    </w:rPr>
  </w:style>
  <w:style w:type="character" w:customStyle="1" w:styleId="fontsize11">
    <w:name w:val="fontsize11"/>
    <w:basedOn w:val="DefaultParagraphFont"/>
    <w:rsid w:val="00BD7C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267078416">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421370898">
      <w:bodyDiv w:val="1"/>
      <w:marLeft w:val="0"/>
      <w:marRight w:val="0"/>
      <w:marTop w:val="0"/>
      <w:marBottom w:val="0"/>
      <w:divBdr>
        <w:top w:val="none" w:sz="0" w:space="0" w:color="auto"/>
        <w:left w:val="none" w:sz="0" w:space="0" w:color="auto"/>
        <w:bottom w:val="none" w:sz="0" w:space="0" w:color="auto"/>
        <w:right w:val="none" w:sz="0" w:space="0" w:color="auto"/>
      </w:divBdr>
    </w:div>
    <w:div w:id="1483429361">
      <w:bodyDiv w:val="1"/>
      <w:marLeft w:val="0"/>
      <w:marRight w:val="0"/>
      <w:marTop w:val="0"/>
      <w:marBottom w:val="0"/>
      <w:divBdr>
        <w:top w:val="none" w:sz="0" w:space="0" w:color="auto"/>
        <w:left w:val="none" w:sz="0" w:space="0" w:color="auto"/>
        <w:bottom w:val="none" w:sz="0" w:space="0" w:color="auto"/>
        <w:right w:val="none" w:sz="0" w:space="0" w:color="auto"/>
      </w:divBdr>
    </w:div>
    <w:div w:id="150956413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703357096">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3C0CF-A54F-4133-A2F0-3E04237E8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16</Pages>
  <Words>4454</Words>
  <Characters>24202</Characters>
  <Application>Microsoft Office Word</Application>
  <DocSecurity>0</DocSecurity>
  <Lines>201</Lines>
  <Paragraphs>57</Paragraphs>
  <ScaleCrop>false</ScaleCrop>
  <HeadingPairs>
    <vt:vector size="2" baseType="variant">
      <vt:variant>
        <vt:lpstr>Title</vt:lpstr>
      </vt:variant>
      <vt:variant>
        <vt:i4>1</vt:i4>
      </vt:variant>
    </vt:vector>
  </HeadingPairs>
  <TitlesOfParts>
    <vt:vector size="1" baseType="lpstr">
      <vt:lpstr>CHAPTER 1 : OVERALL VIEW</vt:lpstr>
    </vt:vector>
  </TitlesOfParts>
  <Company>EABFU</Company>
  <LinksUpToDate>false</LinksUpToDate>
  <CharactersWithSpaces>28599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OVERALL VIEW</dc:title>
  <dc:creator>PSII/Sr Econ 1</dc:creator>
  <cp:lastModifiedBy>OGE</cp:lastModifiedBy>
  <cp:revision>78</cp:revision>
  <cp:lastPrinted>2024-11-08T08:42:00Z</cp:lastPrinted>
  <dcterms:created xsi:type="dcterms:W3CDTF">2024-10-28T08:48:00Z</dcterms:created>
  <dcterms:modified xsi:type="dcterms:W3CDTF">2024-11-11T01:52:00Z</dcterms:modified>
</cp:coreProperties>
</file>