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4ED92" w14:textId="16151140" w:rsidR="00FA13F1" w:rsidRPr="005E1A8E" w:rsidRDefault="00FA13F1" w:rsidP="00FA13F1">
      <w:pPr>
        <w:pStyle w:val="2"/>
        <w:spacing w:line="360" w:lineRule="exact"/>
        <w:ind w:firstLine="240"/>
        <w:rPr>
          <w:szCs w:val="28"/>
          <w:lang w:val="en-GB"/>
        </w:rPr>
      </w:pPr>
      <w:r w:rsidRPr="005E1A8E">
        <w:rPr>
          <w:szCs w:val="28"/>
          <w:lang w:val="en-GB"/>
        </w:rPr>
        <w:t xml:space="preserve">CHAPTER </w:t>
      </w:r>
      <w:proofErr w:type="gramStart"/>
      <w:r w:rsidRPr="005E1A8E">
        <w:rPr>
          <w:szCs w:val="28"/>
          <w:lang w:val="en-GB"/>
        </w:rPr>
        <w:t>4 :</w:t>
      </w:r>
      <w:proofErr w:type="gramEnd"/>
      <w:r w:rsidRPr="005E1A8E">
        <w:rPr>
          <w:szCs w:val="28"/>
          <w:lang w:val="en-GB"/>
        </w:rPr>
        <w:t xml:space="preserve"> DEVELOPMENTS IN SELECTED SECTORS</w:t>
      </w:r>
    </w:p>
    <w:p w14:paraId="7F1F3247" w14:textId="4F779637" w:rsidR="004A7FCA" w:rsidRDefault="004A7FCA" w:rsidP="00FA13F1">
      <w:pPr>
        <w:pStyle w:val="a5"/>
        <w:widowControl w:val="0"/>
        <w:autoSpaceDE/>
        <w:autoSpaceDN/>
        <w:adjustRightInd/>
        <w:spacing w:line="360" w:lineRule="exact"/>
        <w:ind w:right="0"/>
        <w:textAlignment w:val="auto"/>
        <w:rPr>
          <w:b/>
          <w:i/>
          <w:iCs/>
          <w:szCs w:val="28"/>
          <w:lang w:val="en-GB" w:eastAsia="zh-TW"/>
        </w:rPr>
      </w:pPr>
    </w:p>
    <w:p w14:paraId="15B892AA" w14:textId="77777777" w:rsidR="00FA13F1" w:rsidRPr="005E1A8E" w:rsidRDefault="00FA13F1" w:rsidP="00FA13F1">
      <w:pPr>
        <w:pStyle w:val="a5"/>
        <w:widowControl w:val="0"/>
        <w:autoSpaceDE/>
        <w:autoSpaceDN/>
        <w:adjustRightInd/>
        <w:spacing w:line="360" w:lineRule="exact"/>
        <w:ind w:right="0"/>
        <w:textAlignment w:val="auto"/>
        <w:rPr>
          <w:b/>
          <w:i/>
          <w:iCs/>
          <w:szCs w:val="28"/>
          <w:lang w:val="en-GB"/>
        </w:rPr>
      </w:pPr>
      <w:r w:rsidRPr="005E1A8E">
        <w:rPr>
          <w:b/>
          <w:i/>
          <w:iCs/>
          <w:szCs w:val="28"/>
          <w:lang w:val="en-GB"/>
        </w:rPr>
        <w:t>Summary</w:t>
      </w:r>
    </w:p>
    <w:p w14:paraId="64DF4D09" w14:textId="77777777" w:rsidR="00FA13F1" w:rsidRPr="00DA6C42" w:rsidRDefault="00FA13F1" w:rsidP="00DA6C42">
      <w:pPr>
        <w:pStyle w:val="a5"/>
        <w:widowControl w:val="0"/>
        <w:autoSpaceDE/>
        <w:autoSpaceDN/>
        <w:adjustRightInd/>
        <w:spacing w:line="360" w:lineRule="exact"/>
        <w:ind w:left="425" w:right="0"/>
        <w:textAlignment w:val="auto"/>
        <w:rPr>
          <w:i/>
          <w:lang w:val="en-GB"/>
        </w:rPr>
      </w:pPr>
    </w:p>
    <w:p w14:paraId="7D1D9984" w14:textId="753F2FA0" w:rsidR="00C728C8" w:rsidRPr="009E4BD6" w:rsidRDefault="00C728C8" w:rsidP="00884519">
      <w:pPr>
        <w:pStyle w:val="a5"/>
        <w:numPr>
          <w:ilvl w:val="0"/>
          <w:numId w:val="29"/>
        </w:numPr>
        <w:spacing w:line="360" w:lineRule="exact"/>
        <w:rPr>
          <w:i/>
          <w:lang w:val="en-GB"/>
        </w:rPr>
      </w:pPr>
      <w:r w:rsidRPr="00443ED2">
        <w:rPr>
          <w:i/>
          <w:lang w:val="en-GB"/>
        </w:rPr>
        <w:t>The residential property market</w:t>
      </w:r>
      <w:r w:rsidR="004750B4" w:rsidRPr="00DA6C42">
        <w:rPr>
          <w:i/>
          <w:lang w:val="en-GB"/>
        </w:rPr>
        <w:t xml:space="preserve"> stayed subdued in </w:t>
      </w:r>
      <w:r w:rsidR="00884519" w:rsidRPr="00DA6C42">
        <w:rPr>
          <w:i/>
          <w:lang w:val="en-GB"/>
        </w:rPr>
        <w:t xml:space="preserve">most of </w:t>
      </w:r>
      <w:r w:rsidR="004750B4" w:rsidRPr="00DA6C42">
        <w:rPr>
          <w:i/>
          <w:lang w:val="en-GB"/>
        </w:rPr>
        <w:t xml:space="preserve">2024 </w:t>
      </w:r>
      <w:r w:rsidR="00884519" w:rsidRPr="00DA6C42">
        <w:rPr>
          <w:i/>
          <w:lang w:val="en-GB"/>
        </w:rPr>
        <w:t>before showing some stabili</w:t>
      </w:r>
      <w:r w:rsidR="00DA6C42">
        <w:rPr>
          <w:i/>
          <w:lang w:val="en-GB"/>
        </w:rPr>
        <w:t>s</w:t>
      </w:r>
      <w:r w:rsidR="00884519" w:rsidRPr="00DA6C42">
        <w:rPr>
          <w:i/>
          <w:lang w:val="en-GB"/>
        </w:rPr>
        <w:t xml:space="preserve">ation in the </w:t>
      </w:r>
      <w:r w:rsidR="00884519">
        <w:rPr>
          <w:i/>
          <w:lang w:val="en-GB"/>
        </w:rPr>
        <w:t>latter part of the year</w:t>
      </w:r>
      <w:r w:rsidR="001A34A8" w:rsidRPr="00DA6C42">
        <w:rPr>
          <w:i/>
          <w:lang w:val="en-GB"/>
        </w:rPr>
        <w:t xml:space="preserve">.  </w:t>
      </w:r>
      <w:r w:rsidR="00884519">
        <w:rPr>
          <w:i/>
          <w:lang w:val="en-GB"/>
        </w:rPr>
        <w:t>After</w:t>
      </w:r>
      <w:r w:rsidR="00833AF5" w:rsidRPr="00DA6C42">
        <w:rPr>
          <w:i/>
          <w:lang w:val="en-GB"/>
        </w:rPr>
        <w:t xml:space="preserve"> </w:t>
      </w:r>
      <w:r w:rsidR="004D491E" w:rsidRPr="00DA6C42">
        <w:rPr>
          <w:i/>
          <w:lang w:val="en-GB"/>
        </w:rPr>
        <w:t xml:space="preserve">a </w:t>
      </w:r>
      <w:r w:rsidR="00C57AC9" w:rsidRPr="00DA6C42">
        <w:rPr>
          <w:i/>
          <w:lang w:val="en-GB"/>
        </w:rPr>
        <w:t>temporary</w:t>
      </w:r>
      <w:r w:rsidR="00833AF5" w:rsidRPr="00DA6C42">
        <w:rPr>
          <w:i/>
          <w:lang w:val="en-GB"/>
        </w:rPr>
        <w:t xml:space="preserve"> uptick </w:t>
      </w:r>
      <w:r w:rsidR="001A34A8" w:rsidRPr="00DA6C42">
        <w:rPr>
          <w:i/>
          <w:lang w:val="en-GB"/>
        </w:rPr>
        <w:t xml:space="preserve">following </w:t>
      </w:r>
      <w:r w:rsidR="004D491E" w:rsidRPr="00DA6C42">
        <w:rPr>
          <w:i/>
          <w:lang w:val="en-GB"/>
        </w:rPr>
        <w:t xml:space="preserve">the cancellation of all demand-side management measures (DSMMs) </w:t>
      </w:r>
      <w:r w:rsidR="008A67A2" w:rsidRPr="00DA6C42">
        <w:rPr>
          <w:i/>
          <w:lang w:val="en-GB"/>
        </w:rPr>
        <w:t xml:space="preserve">announced </w:t>
      </w:r>
      <w:r w:rsidR="00833AF5" w:rsidRPr="00DA6C42">
        <w:rPr>
          <w:i/>
          <w:lang w:val="en-GB"/>
        </w:rPr>
        <w:t>in the first quarter</w:t>
      </w:r>
      <w:r w:rsidR="00884519">
        <w:rPr>
          <w:i/>
          <w:lang w:val="en-GB"/>
        </w:rPr>
        <w:t>, the market</w:t>
      </w:r>
      <w:r w:rsidR="00C57AC9" w:rsidRPr="00DA6C42">
        <w:rPr>
          <w:i/>
          <w:lang w:val="en-GB"/>
        </w:rPr>
        <w:t xml:space="preserve"> eas</w:t>
      </w:r>
      <w:r w:rsidR="00884519">
        <w:rPr>
          <w:i/>
          <w:lang w:val="en-GB"/>
        </w:rPr>
        <w:t>ed</w:t>
      </w:r>
      <w:r w:rsidR="00C57AC9" w:rsidRPr="00DA6C42">
        <w:rPr>
          <w:i/>
          <w:lang w:val="en-GB"/>
        </w:rPr>
        <w:t xml:space="preserve"> </w:t>
      </w:r>
      <w:r w:rsidR="00884519">
        <w:rPr>
          <w:i/>
          <w:lang w:val="en-GB"/>
        </w:rPr>
        <w:t>back</w:t>
      </w:r>
      <w:r w:rsidR="00884519" w:rsidRPr="00DA6C42">
        <w:rPr>
          <w:i/>
          <w:lang w:val="en-GB"/>
        </w:rPr>
        <w:t xml:space="preserve"> </w:t>
      </w:r>
      <w:r w:rsidR="00884519">
        <w:rPr>
          <w:i/>
          <w:lang w:val="en-GB"/>
        </w:rPr>
        <w:t xml:space="preserve">in the second and third quarters </w:t>
      </w:r>
      <w:r w:rsidR="00884519" w:rsidRPr="00DA6C42">
        <w:rPr>
          <w:i/>
          <w:lang w:val="en-GB"/>
        </w:rPr>
        <w:t xml:space="preserve">amid tight financial conditions and </w:t>
      </w:r>
      <w:r w:rsidR="00884519">
        <w:rPr>
          <w:i/>
          <w:lang w:val="en-GB"/>
        </w:rPr>
        <w:t xml:space="preserve">an </w:t>
      </w:r>
      <w:r w:rsidR="00884519" w:rsidRPr="00DA6C42">
        <w:rPr>
          <w:i/>
          <w:lang w:val="en-GB"/>
        </w:rPr>
        <w:t>uncertain global environment</w:t>
      </w:r>
      <w:r w:rsidR="00F22DD3" w:rsidRPr="00DA6C42">
        <w:rPr>
          <w:i/>
          <w:lang w:val="en-GB"/>
        </w:rPr>
        <w:t xml:space="preserve">.  </w:t>
      </w:r>
      <w:r w:rsidR="00C57AC9" w:rsidRPr="00DA6C42">
        <w:rPr>
          <w:i/>
          <w:lang w:val="en-GB"/>
        </w:rPr>
        <w:t xml:space="preserve">It </w:t>
      </w:r>
      <w:r w:rsidR="00884519">
        <w:rPr>
          <w:i/>
          <w:lang w:val="en-GB"/>
        </w:rPr>
        <w:t>then stabilised</w:t>
      </w:r>
      <w:r w:rsidR="00ED466B" w:rsidRPr="00DA6C42">
        <w:rPr>
          <w:i/>
          <w:lang w:val="en-GB"/>
        </w:rPr>
        <w:t xml:space="preserve"> after the US started </w:t>
      </w:r>
      <w:r w:rsidR="001225DA" w:rsidRPr="00DA6C42">
        <w:rPr>
          <w:i/>
          <w:lang w:val="en-GB"/>
        </w:rPr>
        <w:t xml:space="preserve">to cut </w:t>
      </w:r>
      <w:r w:rsidR="00ED466B" w:rsidRPr="00DA6C42">
        <w:rPr>
          <w:i/>
          <w:lang w:val="en-GB"/>
        </w:rPr>
        <w:t>interest rate</w:t>
      </w:r>
      <w:r w:rsidR="001225DA" w:rsidRPr="00DA6C42">
        <w:rPr>
          <w:i/>
          <w:lang w:val="en-GB"/>
        </w:rPr>
        <w:t>s</w:t>
      </w:r>
      <w:r w:rsidR="00ED466B" w:rsidRPr="00DA6C42">
        <w:rPr>
          <w:i/>
          <w:lang w:val="en-GB"/>
        </w:rPr>
        <w:t xml:space="preserve"> in September</w:t>
      </w:r>
      <w:r w:rsidR="005647AC" w:rsidRPr="00DA6C42">
        <w:rPr>
          <w:i/>
          <w:lang w:val="en-GB"/>
        </w:rPr>
        <w:t xml:space="preserve">, </w:t>
      </w:r>
      <w:r w:rsidR="00884519">
        <w:rPr>
          <w:i/>
          <w:lang w:val="en-GB"/>
        </w:rPr>
        <w:t xml:space="preserve">later also </w:t>
      </w:r>
      <w:r w:rsidR="005647AC" w:rsidRPr="00DA6C42">
        <w:rPr>
          <w:i/>
          <w:lang w:val="en-GB"/>
        </w:rPr>
        <w:t xml:space="preserve">supported by </w:t>
      </w:r>
      <w:r w:rsidR="004D491E" w:rsidRPr="00DA6C42">
        <w:rPr>
          <w:i/>
          <w:lang w:val="en-GB"/>
        </w:rPr>
        <w:t>adjustment</w:t>
      </w:r>
      <w:r w:rsidR="00380EA3">
        <w:rPr>
          <w:i/>
          <w:lang w:val="en-GB"/>
        </w:rPr>
        <w:t>s</w:t>
      </w:r>
      <w:r w:rsidR="004D491E" w:rsidRPr="00DA6C42">
        <w:rPr>
          <w:i/>
          <w:lang w:val="en-GB"/>
        </w:rPr>
        <w:t xml:space="preserve"> to the </w:t>
      </w:r>
      <w:r w:rsidR="001D21A9" w:rsidRPr="00DA6C42">
        <w:rPr>
          <w:i/>
          <w:lang w:val="en-GB"/>
        </w:rPr>
        <w:t>maximum loan</w:t>
      </w:r>
      <w:r w:rsidR="00DA6C42">
        <w:rPr>
          <w:i/>
          <w:lang w:val="en-GB"/>
        </w:rPr>
        <w:noBreakHyphen/>
      </w:r>
      <w:r w:rsidR="001D21A9" w:rsidRPr="00DA6C42">
        <w:rPr>
          <w:i/>
          <w:lang w:val="en-GB"/>
        </w:rPr>
        <w:t>to</w:t>
      </w:r>
      <w:r w:rsidR="00DA6C42">
        <w:rPr>
          <w:i/>
          <w:lang w:val="en-GB"/>
        </w:rPr>
        <w:noBreakHyphen/>
      </w:r>
      <w:r w:rsidR="001D21A9" w:rsidRPr="00DA6C42">
        <w:rPr>
          <w:i/>
          <w:lang w:val="en-GB"/>
        </w:rPr>
        <w:t xml:space="preserve">value </w:t>
      </w:r>
      <w:r w:rsidR="00DA6C42">
        <w:rPr>
          <w:i/>
          <w:lang w:val="en-GB"/>
        </w:rPr>
        <w:t xml:space="preserve">(LTV) </w:t>
      </w:r>
      <w:r w:rsidR="001D21A9" w:rsidRPr="00DA6C42">
        <w:rPr>
          <w:i/>
          <w:lang w:val="en-GB"/>
        </w:rPr>
        <w:t xml:space="preserve">ratio and the debt servicing ratio </w:t>
      </w:r>
      <w:r w:rsidR="00DA6C42">
        <w:rPr>
          <w:i/>
          <w:lang w:val="en-GB"/>
        </w:rPr>
        <w:t xml:space="preserve">(DSR) </w:t>
      </w:r>
      <w:r w:rsidR="001D21A9" w:rsidRPr="00DA6C42">
        <w:rPr>
          <w:i/>
          <w:lang w:val="en-GB"/>
        </w:rPr>
        <w:t>limit</w:t>
      </w:r>
      <w:r w:rsidR="004750B4" w:rsidRPr="00DA6C42">
        <w:rPr>
          <w:i/>
          <w:lang w:val="en-GB"/>
        </w:rPr>
        <w:t>.</w:t>
      </w:r>
      <w:r w:rsidRPr="00DA6C42">
        <w:rPr>
          <w:i/>
          <w:lang w:val="en-GB"/>
        </w:rPr>
        <w:t xml:space="preserve">  Trading activities in 2024 as a whole rebounded </w:t>
      </w:r>
      <w:r w:rsidR="00245C71" w:rsidRPr="00DA6C42">
        <w:rPr>
          <w:i/>
          <w:lang w:val="en-GB"/>
        </w:rPr>
        <w:t xml:space="preserve">notably </w:t>
      </w:r>
      <w:r w:rsidRPr="00DA6C42">
        <w:rPr>
          <w:i/>
          <w:lang w:val="en-GB"/>
        </w:rPr>
        <w:t xml:space="preserve">from </w:t>
      </w:r>
      <w:r w:rsidR="001225DA" w:rsidRPr="00DA6C42">
        <w:rPr>
          <w:i/>
          <w:lang w:val="en-GB"/>
        </w:rPr>
        <w:t>a</w:t>
      </w:r>
      <w:r w:rsidRPr="00DA6C42">
        <w:rPr>
          <w:i/>
          <w:lang w:val="en-GB"/>
        </w:rPr>
        <w:t xml:space="preserve"> low </w:t>
      </w:r>
      <w:r w:rsidR="001225DA" w:rsidRPr="00DA6C42">
        <w:rPr>
          <w:i/>
          <w:lang w:val="en-GB"/>
        </w:rPr>
        <w:t xml:space="preserve">base </w:t>
      </w:r>
      <w:r w:rsidRPr="00DA6C42">
        <w:rPr>
          <w:i/>
          <w:lang w:val="en-GB"/>
        </w:rPr>
        <w:t xml:space="preserve">in </w:t>
      </w:r>
      <w:r w:rsidR="00ED466B" w:rsidRPr="00DA6C42">
        <w:rPr>
          <w:i/>
          <w:lang w:val="en-GB"/>
        </w:rPr>
        <w:t>2023</w:t>
      </w:r>
      <w:r w:rsidRPr="00DA6C42">
        <w:rPr>
          <w:i/>
          <w:lang w:val="en-GB"/>
        </w:rPr>
        <w:t xml:space="preserve">.  Flat prices went down by </w:t>
      </w:r>
      <w:r w:rsidR="00DF3190" w:rsidRPr="00DA6C42">
        <w:rPr>
          <w:i/>
          <w:lang w:val="en-GB"/>
        </w:rPr>
        <w:t xml:space="preserve">another </w:t>
      </w:r>
      <w:r w:rsidRPr="00DA6C42">
        <w:rPr>
          <w:i/>
          <w:lang w:val="en-GB"/>
        </w:rPr>
        <w:t>7% during the year.</w:t>
      </w:r>
    </w:p>
    <w:p w14:paraId="10AC952B" w14:textId="77777777" w:rsidR="00FB1C5C" w:rsidRPr="00FD466A" w:rsidRDefault="00FB1C5C" w:rsidP="00FB1C5C">
      <w:pPr>
        <w:pStyle w:val="a5"/>
        <w:spacing w:line="360" w:lineRule="exact"/>
        <w:rPr>
          <w:i/>
          <w:iCs/>
          <w:szCs w:val="28"/>
          <w:highlight w:val="yellow"/>
          <w:lang w:val="en-GB"/>
        </w:rPr>
      </w:pPr>
    </w:p>
    <w:p w14:paraId="47E35AC7" w14:textId="38F112A3" w:rsidR="00FB1C5C" w:rsidRPr="00D87D1A" w:rsidRDefault="00FB1C5C" w:rsidP="001A34A8">
      <w:pPr>
        <w:pStyle w:val="a5"/>
        <w:numPr>
          <w:ilvl w:val="0"/>
          <w:numId w:val="29"/>
        </w:numPr>
        <w:spacing w:line="360" w:lineRule="exact"/>
        <w:rPr>
          <w:i/>
          <w:lang w:val="en-GB"/>
        </w:rPr>
      </w:pPr>
      <w:r w:rsidRPr="00C809CE">
        <w:rPr>
          <w:i/>
          <w:lang w:val="en-GB"/>
        </w:rPr>
        <w:t>Reflecting</w:t>
      </w:r>
      <w:r w:rsidRPr="00C3704B">
        <w:rPr>
          <w:i/>
          <w:lang w:val="en-GB"/>
        </w:rPr>
        <w:t xml:space="preserve"> the Government’s sustained efforts in increasing flat supply, </w:t>
      </w:r>
      <w:r w:rsidR="00352835">
        <w:rPr>
          <w:i/>
          <w:lang w:val="en-GB"/>
        </w:rPr>
        <w:t xml:space="preserve">the </w:t>
      </w:r>
      <w:r w:rsidRPr="00C3704B">
        <w:rPr>
          <w:i/>
          <w:lang w:val="en-GB"/>
        </w:rPr>
        <w:t xml:space="preserve">total private first-hand flat supply in the coming three to four years </w:t>
      </w:r>
      <w:r w:rsidR="003670A4" w:rsidRPr="003747A0">
        <w:rPr>
          <w:i/>
          <w:lang w:val="en-GB"/>
        </w:rPr>
        <w:t>remain</w:t>
      </w:r>
      <w:r w:rsidR="003670A4">
        <w:rPr>
          <w:i/>
          <w:lang w:val="en-GB"/>
        </w:rPr>
        <w:t>ed</w:t>
      </w:r>
      <w:r w:rsidR="003670A4" w:rsidRPr="003747A0">
        <w:rPr>
          <w:i/>
          <w:lang w:val="en-GB"/>
        </w:rPr>
        <w:t xml:space="preserve"> at a high level of </w:t>
      </w:r>
      <w:r w:rsidR="003670A4" w:rsidRPr="00667E9F">
        <w:rPr>
          <w:i/>
          <w:lang w:val="en-GB"/>
        </w:rPr>
        <w:t>10</w:t>
      </w:r>
      <w:r w:rsidR="007E20F3">
        <w:rPr>
          <w:i/>
          <w:lang w:val="en-GB"/>
        </w:rPr>
        <w:t>7</w:t>
      </w:r>
      <w:r w:rsidR="003670A4" w:rsidRPr="00667E9F">
        <w:rPr>
          <w:i/>
          <w:lang w:val="en-GB"/>
        </w:rPr>
        <w:t> 000</w:t>
      </w:r>
      <w:r w:rsidRPr="00C3704B">
        <w:rPr>
          <w:i/>
          <w:lang w:val="en-GB"/>
        </w:rPr>
        <w:t> </w:t>
      </w:r>
      <w:r>
        <w:rPr>
          <w:i/>
          <w:lang w:val="en-GB"/>
        </w:rPr>
        <w:t>units as estimated at end-202</w:t>
      </w:r>
      <w:r w:rsidR="003670A4">
        <w:rPr>
          <w:i/>
          <w:lang w:val="en-GB"/>
        </w:rPr>
        <w:t>4</w:t>
      </w:r>
      <w:r w:rsidRPr="00C3704B">
        <w:rPr>
          <w:i/>
          <w:lang w:val="en-GB"/>
        </w:rPr>
        <w:t xml:space="preserve">.  </w:t>
      </w:r>
    </w:p>
    <w:p w14:paraId="781E5B0F" w14:textId="77777777" w:rsidR="00FB1C5C" w:rsidRPr="00FD466A" w:rsidRDefault="00FB1C5C" w:rsidP="00FB1C5C">
      <w:pPr>
        <w:pStyle w:val="a5"/>
        <w:spacing w:line="360" w:lineRule="exact"/>
        <w:rPr>
          <w:i/>
          <w:highlight w:val="yellow"/>
          <w:lang w:val="en-GB"/>
        </w:rPr>
      </w:pPr>
    </w:p>
    <w:p w14:paraId="3A288139" w14:textId="0ABED648" w:rsidR="00060505" w:rsidRPr="00060505" w:rsidRDefault="00060505" w:rsidP="00D136A8">
      <w:pPr>
        <w:pStyle w:val="a5"/>
        <w:numPr>
          <w:ilvl w:val="0"/>
          <w:numId w:val="29"/>
        </w:numPr>
        <w:spacing w:line="360" w:lineRule="exact"/>
        <w:rPr>
          <w:i/>
          <w:szCs w:val="28"/>
          <w:shd w:val="pct15" w:color="auto" w:fill="FFFFFF"/>
          <w:lang w:val="en-GB"/>
        </w:rPr>
      </w:pPr>
      <w:r w:rsidRPr="00060505">
        <w:rPr>
          <w:i/>
          <w:szCs w:val="28"/>
        </w:rPr>
        <w:t>The</w:t>
      </w:r>
      <w:r w:rsidRPr="00060505">
        <w:rPr>
          <w:bCs/>
          <w:i/>
          <w:szCs w:val="28"/>
          <w:lang w:eastAsia="zh-HK"/>
        </w:rPr>
        <w:t xml:space="preserve"> non-residential property market </w:t>
      </w:r>
      <w:r w:rsidR="00171552">
        <w:rPr>
          <w:bCs/>
          <w:i/>
          <w:szCs w:val="28"/>
          <w:lang w:val="en-GB" w:eastAsia="zh-HK"/>
        </w:rPr>
        <w:t xml:space="preserve">remained </w:t>
      </w:r>
      <w:r w:rsidR="00413FEE">
        <w:rPr>
          <w:bCs/>
          <w:i/>
          <w:szCs w:val="28"/>
          <w:lang w:val="en-GB" w:eastAsia="zh-HK"/>
        </w:rPr>
        <w:t>weak</w:t>
      </w:r>
      <w:r w:rsidRPr="00060505">
        <w:rPr>
          <w:bCs/>
          <w:i/>
          <w:szCs w:val="28"/>
          <w:lang w:eastAsia="zh-HK"/>
        </w:rPr>
        <w:t xml:space="preserve"> </w:t>
      </w:r>
      <w:r w:rsidR="00884519">
        <w:rPr>
          <w:bCs/>
          <w:i/>
          <w:szCs w:val="28"/>
          <w:lang w:val="en-GB" w:eastAsia="zh-HK"/>
        </w:rPr>
        <w:t xml:space="preserve">in general </w:t>
      </w:r>
      <w:r w:rsidRPr="00060505">
        <w:rPr>
          <w:bCs/>
          <w:i/>
          <w:szCs w:val="28"/>
          <w:lang w:eastAsia="zh-HK"/>
        </w:rPr>
        <w:t xml:space="preserve">in 2024.  Trading activities for all major market segments </w:t>
      </w:r>
      <w:r w:rsidR="000046D1">
        <w:rPr>
          <w:bCs/>
          <w:i/>
          <w:szCs w:val="28"/>
          <w:lang w:val="en-GB" w:eastAsia="zh-HK"/>
        </w:rPr>
        <w:t>stayed</w:t>
      </w:r>
      <w:r w:rsidR="00D136A8" w:rsidRPr="00D136A8">
        <w:rPr>
          <w:bCs/>
          <w:i/>
          <w:szCs w:val="28"/>
          <w:lang w:eastAsia="zh-HK"/>
        </w:rPr>
        <w:t xml:space="preserve"> at very low levels</w:t>
      </w:r>
      <w:r w:rsidRPr="00060505">
        <w:rPr>
          <w:bCs/>
          <w:i/>
          <w:szCs w:val="28"/>
          <w:lang w:eastAsia="zh-HK"/>
        </w:rPr>
        <w:t xml:space="preserve">.  </w:t>
      </w:r>
      <w:r w:rsidR="0095594F" w:rsidRPr="0095594F">
        <w:rPr>
          <w:bCs/>
          <w:i/>
          <w:szCs w:val="28"/>
          <w:lang w:eastAsia="zh-HK"/>
        </w:rPr>
        <w:t xml:space="preserve">Both prices and rentals </w:t>
      </w:r>
      <w:r w:rsidR="006F51BF">
        <w:rPr>
          <w:bCs/>
          <w:i/>
          <w:szCs w:val="28"/>
          <w:lang w:val="en-GB" w:eastAsia="zh-HK"/>
        </w:rPr>
        <w:t>decreased</w:t>
      </w:r>
      <w:r w:rsidRPr="00060505">
        <w:rPr>
          <w:i/>
          <w:color w:val="000000"/>
          <w:szCs w:val="28"/>
        </w:rPr>
        <w:t>.</w:t>
      </w:r>
    </w:p>
    <w:p w14:paraId="6511F629" w14:textId="77777777" w:rsidR="00060505" w:rsidRDefault="00060505" w:rsidP="00060505">
      <w:pPr>
        <w:pStyle w:val="afa"/>
        <w:rPr>
          <w:i/>
          <w:szCs w:val="28"/>
        </w:rPr>
      </w:pPr>
    </w:p>
    <w:p w14:paraId="280C9F4C" w14:textId="369DC050" w:rsidR="00D600BC" w:rsidRPr="005E1A8E" w:rsidRDefault="00DB21C3" w:rsidP="00D600BC">
      <w:pPr>
        <w:pStyle w:val="a5"/>
        <w:numPr>
          <w:ilvl w:val="0"/>
          <w:numId w:val="29"/>
        </w:numPr>
        <w:spacing w:line="360" w:lineRule="exact"/>
        <w:rPr>
          <w:i/>
          <w:szCs w:val="28"/>
          <w:shd w:val="pct15" w:color="auto" w:fill="FFFFFF"/>
          <w:lang w:val="en-GB"/>
        </w:rPr>
      </w:pPr>
      <w:r w:rsidRPr="003964F0">
        <w:rPr>
          <w:i/>
          <w:szCs w:val="28"/>
          <w:lang w:val="en-GB"/>
        </w:rPr>
        <w:t>The tourism sector continued to</w:t>
      </w:r>
      <w:r>
        <w:rPr>
          <w:i/>
          <w:szCs w:val="28"/>
          <w:lang w:val="en-GB"/>
        </w:rPr>
        <w:t xml:space="preserve"> revive in 2024</w:t>
      </w:r>
      <w:r w:rsidRPr="003964F0">
        <w:rPr>
          <w:i/>
          <w:szCs w:val="28"/>
          <w:lang w:val="en-GB"/>
        </w:rPr>
        <w:t xml:space="preserve">.  Visitor arrivals </w:t>
      </w:r>
      <w:r w:rsidRPr="0067727C">
        <w:rPr>
          <w:i/>
          <w:szCs w:val="28"/>
          <w:lang w:val="en-GB"/>
        </w:rPr>
        <w:t>rose</w:t>
      </w:r>
      <w:r w:rsidRPr="00521845">
        <w:t xml:space="preserve"> </w:t>
      </w:r>
      <w:r w:rsidRPr="00185933">
        <w:rPr>
          <w:i/>
          <w:color w:val="000000"/>
          <w:szCs w:val="28"/>
        </w:rPr>
        <w:t xml:space="preserve">by 30.9% </w:t>
      </w:r>
      <w:r w:rsidRPr="00521845">
        <w:rPr>
          <w:i/>
          <w:szCs w:val="28"/>
          <w:lang w:val="en-GB"/>
        </w:rPr>
        <w:t xml:space="preserve">to </w:t>
      </w:r>
      <w:r w:rsidR="006B7BE3">
        <w:rPr>
          <w:i/>
          <w:szCs w:val="28"/>
          <w:lang w:val="en-GB"/>
        </w:rPr>
        <w:t xml:space="preserve">nearly </w:t>
      </w:r>
      <w:r w:rsidRPr="00521845">
        <w:rPr>
          <w:i/>
          <w:szCs w:val="28"/>
          <w:lang w:val="en-GB"/>
        </w:rPr>
        <w:t>45 million</w:t>
      </w:r>
      <w:r>
        <w:rPr>
          <w:i/>
          <w:szCs w:val="28"/>
          <w:lang w:val="en-GB"/>
        </w:rPr>
        <w:t>, reaching</w:t>
      </w:r>
      <w:r w:rsidRPr="00521845">
        <w:rPr>
          <w:i/>
          <w:szCs w:val="28"/>
          <w:lang w:val="en-GB"/>
        </w:rPr>
        <w:t xml:space="preserve"> </w:t>
      </w:r>
      <w:r>
        <w:rPr>
          <w:i/>
          <w:szCs w:val="28"/>
          <w:lang w:val="en-GB"/>
        </w:rPr>
        <w:t>68</w:t>
      </w:r>
      <w:r w:rsidRPr="00521845">
        <w:rPr>
          <w:i/>
          <w:szCs w:val="28"/>
          <w:lang w:val="en-GB"/>
        </w:rPr>
        <w:t>% of the level in 2018</w:t>
      </w:r>
      <w:r w:rsidRPr="003964F0">
        <w:rPr>
          <w:i/>
          <w:szCs w:val="28"/>
          <w:lang w:val="en-GB"/>
        </w:rPr>
        <w:t>.</w:t>
      </w:r>
      <w:r w:rsidR="00D600BC" w:rsidRPr="005E1A8E">
        <w:rPr>
          <w:i/>
          <w:szCs w:val="28"/>
          <w:lang w:val="en-GB"/>
        </w:rPr>
        <w:t xml:space="preserve">  </w:t>
      </w:r>
    </w:p>
    <w:p w14:paraId="0747EB79" w14:textId="77777777" w:rsidR="00D600BC" w:rsidRPr="005E1A8E" w:rsidRDefault="00D600BC" w:rsidP="00D600BC">
      <w:pPr>
        <w:pStyle w:val="a5"/>
        <w:spacing w:line="360" w:lineRule="exact"/>
        <w:ind w:left="425"/>
        <w:rPr>
          <w:i/>
          <w:iCs/>
          <w:szCs w:val="28"/>
          <w:shd w:val="pct15" w:color="auto" w:fill="FFFFFF"/>
          <w:lang w:val="en-GB"/>
        </w:rPr>
      </w:pPr>
    </w:p>
    <w:p w14:paraId="1D8E2DA6" w14:textId="692E5230" w:rsidR="00060505" w:rsidRPr="00C1486F" w:rsidRDefault="00060505" w:rsidP="00C1486F">
      <w:pPr>
        <w:pStyle w:val="a5"/>
        <w:numPr>
          <w:ilvl w:val="0"/>
          <w:numId w:val="29"/>
        </w:numPr>
        <w:spacing w:line="360" w:lineRule="exact"/>
        <w:rPr>
          <w:i/>
          <w:szCs w:val="28"/>
          <w:lang w:val="en-GB"/>
        </w:rPr>
      </w:pPr>
      <w:r w:rsidRPr="00B03BD1">
        <w:rPr>
          <w:i/>
          <w:szCs w:val="28"/>
          <w:lang w:val="en-GB"/>
        </w:rPr>
        <w:t xml:space="preserve">The logistics sector </w:t>
      </w:r>
      <w:r w:rsidR="00B03BD1" w:rsidRPr="00B03BD1">
        <w:rPr>
          <w:i/>
          <w:szCs w:val="28"/>
          <w:lang w:val="en-GB"/>
        </w:rPr>
        <w:t>showed mixed performance</w:t>
      </w:r>
      <w:r w:rsidRPr="00B03BD1">
        <w:rPr>
          <w:i/>
          <w:szCs w:val="28"/>
          <w:lang w:val="en-GB"/>
        </w:rPr>
        <w:t xml:space="preserve"> </w:t>
      </w:r>
      <w:r w:rsidRPr="00C1486F">
        <w:rPr>
          <w:i/>
          <w:szCs w:val="28"/>
          <w:lang w:val="en-GB"/>
        </w:rPr>
        <w:t xml:space="preserve">in 2024.  Total container throughput </w:t>
      </w:r>
      <w:r w:rsidR="00C1486F" w:rsidRPr="00C1486F">
        <w:rPr>
          <w:i/>
          <w:szCs w:val="28"/>
          <w:lang w:val="en-GB"/>
        </w:rPr>
        <w:t>fell by another</w:t>
      </w:r>
      <w:r w:rsidRPr="00C1486F">
        <w:rPr>
          <w:i/>
          <w:szCs w:val="28"/>
          <w:lang w:val="en-GB"/>
        </w:rPr>
        <w:t xml:space="preserve"> </w:t>
      </w:r>
      <w:r w:rsidR="00C1486F" w:rsidRPr="00C1486F">
        <w:rPr>
          <w:i/>
          <w:szCs w:val="28"/>
          <w:lang w:val="en-GB"/>
        </w:rPr>
        <w:t>4.</w:t>
      </w:r>
      <w:r w:rsidR="00A07D32">
        <w:rPr>
          <w:i/>
          <w:szCs w:val="28"/>
          <w:lang w:val="en-GB"/>
        </w:rPr>
        <w:t>9</w:t>
      </w:r>
      <w:r w:rsidRPr="00C1486F">
        <w:rPr>
          <w:i/>
          <w:szCs w:val="28"/>
          <w:lang w:val="en-GB"/>
        </w:rPr>
        <w:t xml:space="preserve">%, while air freight throughput </w:t>
      </w:r>
      <w:r w:rsidR="00A07D32">
        <w:rPr>
          <w:i/>
          <w:szCs w:val="28"/>
          <w:lang w:val="en-GB"/>
        </w:rPr>
        <w:t>grew</w:t>
      </w:r>
      <w:r w:rsidR="00A07D32" w:rsidRPr="00C1486F">
        <w:rPr>
          <w:i/>
          <w:szCs w:val="28"/>
          <w:lang w:val="en-GB"/>
        </w:rPr>
        <w:t xml:space="preserve"> </w:t>
      </w:r>
      <w:r w:rsidR="00C1486F" w:rsidRPr="00C1486F">
        <w:rPr>
          <w:i/>
          <w:szCs w:val="28"/>
          <w:lang w:val="en-GB"/>
        </w:rPr>
        <w:t>visibly</w:t>
      </w:r>
      <w:r w:rsidRPr="00C1486F">
        <w:rPr>
          <w:i/>
          <w:szCs w:val="28"/>
          <w:lang w:val="en-GB"/>
        </w:rPr>
        <w:t xml:space="preserve"> by </w:t>
      </w:r>
      <w:r w:rsidR="00A07D32">
        <w:rPr>
          <w:i/>
          <w:szCs w:val="28"/>
          <w:lang w:val="en-GB"/>
        </w:rPr>
        <w:t>14.1</w:t>
      </w:r>
      <w:r w:rsidRPr="00C1486F">
        <w:rPr>
          <w:i/>
          <w:szCs w:val="28"/>
          <w:lang w:val="en-GB"/>
        </w:rPr>
        <w:t>%.</w:t>
      </w:r>
    </w:p>
    <w:p w14:paraId="65AF5EB7" w14:textId="77777777" w:rsidR="00060505" w:rsidRDefault="00060505" w:rsidP="00060505">
      <w:pPr>
        <w:pStyle w:val="afa"/>
        <w:rPr>
          <w:i/>
          <w:szCs w:val="28"/>
          <w:shd w:val="pct15" w:color="auto" w:fill="FFFFFF"/>
        </w:rPr>
      </w:pPr>
    </w:p>
    <w:p w14:paraId="595DF541" w14:textId="39A7C0DB" w:rsidR="00FB1C5C" w:rsidRPr="00CD2839" w:rsidRDefault="00C00959" w:rsidP="00A95406">
      <w:pPr>
        <w:pStyle w:val="a5"/>
        <w:spacing w:line="360" w:lineRule="exact"/>
        <w:rPr>
          <w:b/>
          <w:i/>
          <w:iCs/>
          <w:szCs w:val="28"/>
        </w:rPr>
      </w:pPr>
      <w:r w:rsidRPr="005E1A8E">
        <w:rPr>
          <w:szCs w:val="28"/>
        </w:rPr>
        <w:br w:type="page"/>
      </w:r>
      <w:r w:rsidR="00FB1C5C" w:rsidRPr="00CD2839">
        <w:rPr>
          <w:b/>
          <w:szCs w:val="28"/>
        </w:rPr>
        <w:lastRenderedPageBreak/>
        <w:t>Property</w:t>
      </w:r>
    </w:p>
    <w:p w14:paraId="04969A41" w14:textId="77777777" w:rsidR="00FB1C5C" w:rsidRPr="00D45CCE" w:rsidRDefault="00FB1C5C" w:rsidP="00FB1C5C">
      <w:pPr>
        <w:keepNext/>
        <w:tabs>
          <w:tab w:val="left" w:pos="1080"/>
        </w:tabs>
        <w:overflowPunct w:val="0"/>
        <w:spacing w:line="360" w:lineRule="atLeast"/>
        <w:jc w:val="both"/>
        <w:rPr>
          <w:sz w:val="28"/>
          <w:szCs w:val="28"/>
        </w:rPr>
      </w:pPr>
    </w:p>
    <w:p w14:paraId="0F2D4C54" w14:textId="3113E9A9" w:rsidR="006F783A" w:rsidRPr="00DA6C42" w:rsidRDefault="00DA6C42" w:rsidP="00DA6C42">
      <w:pPr>
        <w:numPr>
          <w:ilvl w:val="1"/>
          <w:numId w:val="33"/>
        </w:numPr>
        <w:tabs>
          <w:tab w:val="left" w:pos="1080"/>
        </w:tabs>
        <w:overflowPunct w:val="0"/>
        <w:spacing w:line="360" w:lineRule="atLeast"/>
        <w:ind w:left="0" w:firstLine="0"/>
        <w:jc w:val="both"/>
        <w:rPr>
          <w:sz w:val="28"/>
          <w:szCs w:val="28"/>
        </w:rPr>
      </w:pPr>
      <w:r w:rsidRPr="00DA6C42">
        <w:rPr>
          <w:rFonts w:hint="eastAsia"/>
          <w:sz w:val="28"/>
          <w:szCs w:val="28"/>
        </w:rPr>
        <w:t xml:space="preserve">The </w:t>
      </w:r>
      <w:r w:rsidRPr="00DA6C42">
        <w:rPr>
          <w:rFonts w:hint="eastAsia"/>
          <w:i/>
          <w:sz w:val="28"/>
          <w:szCs w:val="28"/>
        </w:rPr>
        <w:t>residential property market</w:t>
      </w:r>
      <w:r w:rsidRPr="00DA6C42">
        <w:rPr>
          <w:rFonts w:hint="eastAsia"/>
          <w:sz w:val="28"/>
          <w:szCs w:val="28"/>
        </w:rPr>
        <w:t xml:space="preserve"> stayed subdued in most of 2024 before showing some </w:t>
      </w:r>
      <w:r w:rsidRPr="00DA6C42">
        <w:rPr>
          <w:sz w:val="28"/>
          <w:szCs w:val="28"/>
        </w:rPr>
        <w:t>stabilisation</w:t>
      </w:r>
      <w:r w:rsidRPr="00DA6C42">
        <w:rPr>
          <w:rFonts w:hint="eastAsia"/>
          <w:sz w:val="28"/>
          <w:szCs w:val="28"/>
        </w:rPr>
        <w:t xml:space="preserve"> in the latter part of the year.  After a temporary uptick following the cancellation of all </w:t>
      </w:r>
      <w:r>
        <w:rPr>
          <w:rFonts w:hint="eastAsia"/>
          <w:sz w:val="28"/>
          <w:szCs w:val="28"/>
        </w:rPr>
        <w:t>DSMMs</w:t>
      </w:r>
      <w:r w:rsidRPr="00DA6C42">
        <w:rPr>
          <w:rFonts w:hint="eastAsia"/>
          <w:sz w:val="28"/>
          <w:szCs w:val="28"/>
        </w:rPr>
        <w:t xml:space="preserve"> announced in the first q</w:t>
      </w:r>
      <w:r w:rsidRPr="00DA6C42">
        <w:rPr>
          <w:sz w:val="28"/>
          <w:szCs w:val="28"/>
        </w:rPr>
        <w:t>uarter, the market eased back in the second and third quarters amid tight financial conditions and an uncertain global environment.  It then stabilised after the US started to cut interest rates in September, later also supported by adjustment</w:t>
      </w:r>
      <w:r w:rsidR="007E20F3">
        <w:rPr>
          <w:sz w:val="28"/>
          <w:szCs w:val="28"/>
        </w:rPr>
        <w:t>s</w:t>
      </w:r>
      <w:r w:rsidRPr="00DA6C42">
        <w:rPr>
          <w:sz w:val="28"/>
          <w:szCs w:val="28"/>
        </w:rPr>
        <w:t xml:space="preserve"> to the maximum </w:t>
      </w:r>
      <w:r>
        <w:rPr>
          <w:sz w:val="28"/>
          <w:szCs w:val="28"/>
        </w:rPr>
        <w:t>LTV</w:t>
      </w:r>
      <w:r w:rsidRPr="00DA6C42">
        <w:rPr>
          <w:sz w:val="28"/>
          <w:szCs w:val="28"/>
        </w:rPr>
        <w:t xml:space="preserve"> ratio and the </w:t>
      </w:r>
      <w:r>
        <w:rPr>
          <w:sz w:val="28"/>
          <w:szCs w:val="28"/>
        </w:rPr>
        <w:t>DSR</w:t>
      </w:r>
      <w:r w:rsidRPr="00DA6C42">
        <w:rPr>
          <w:sz w:val="28"/>
          <w:szCs w:val="28"/>
        </w:rPr>
        <w:t xml:space="preserve"> limit.</w:t>
      </w:r>
    </w:p>
    <w:p w14:paraId="77C5D153" w14:textId="77777777" w:rsidR="00FB1C5C" w:rsidRDefault="00FB1C5C" w:rsidP="00FB1C5C">
      <w:pPr>
        <w:tabs>
          <w:tab w:val="left" w:pos="1080"/>
        </w:tabs>
        <w:overflowPunct w:val="0"/>
        <w:spacing w:line="360" w:lineRule="atLeast"/>
        <w:jc w:val="both"/>
        <w:rPr>
          <w:sz w:val="28"/>
          <w:szCs w:val="28"/>
        </w:rPr>
      </w:pPr>
    </w:p>
    <w:p w14:paraId="7AFC5ABB" w14:textId="5976D934" w:rsidR="00FB1C5C" w:rsidRPr="00FF642F" w:rsidRDefault="00AB7AA3" w:rsidP="00AB7881">
      <w:pPr>
        <w:numPr>
          <w:ilvl w:val="1"/>
          <w:numId w:val="33"/>
        </w:numPr>
        <w:tabs>
          <w:tab w:val="left" w:pos="1080"/>
        </w:tabs>
        <w:overflowPunct w:val="0"/>
        <w:spacing w:line="360" w:lineRule="atLeast"/>
        <w:ind w:left="0" w:firstLine="0"/>
        <w:jc w:val="both"/>
        <w:rPr>
          <w:sz w:val="28"/>
          <w:szCs w:val="28"/>
          <w:lang w:val="en-US"/>
        </w:rPr>
      </w:pPr>
      <w:r w:rsidRPr="0007629D">
        <w:rPr>
          <w:sz w:val="28"/>
          <w:szCs w:val="28"/>
        </w:rPr>
        <w:t xml:space="preserve">For </w:t>
      </w:r>
      <w:r>
        <w:rPr>
          <w:sz w:val="28"/>
          <w:szCs w:val="28"/>
        </w:rPr>
        <w:t>2024</w:t>
      </w:r>
      <w:r w:rsidRPr="0007629D">
        <w:rPr>
          <w:sz w:val="28"/>
          <w:szCs w:val="28"/>
        </w:rPr>
        <w:t xml:space="preserve"> as a whole, the total number of sale and </w:t>
      </w:r>
      <w:r w:rsidRPr="00C82BC2">
        <w:rPr>
          <w:sz w:val="28"/>
          <w:szCs w:val="28"/>
        </w:rPr>
        <w:t>purchase agreements for residential property received by the Land Registry rebounded</w:t>
      </w:r>
      <w:r>
        <w:rPr>
          <w:sz w:val="28"/>
          <w:szCs w:val="28"/>
        </w:rPr>
        <w:t xml:space="preserve"> </w:t>
      </w:r>
      <w:r w:rsidR="00245C71">
        <w:rPr>
          <w:sz w:val="28"/>
          <w:szCs w:val="28"/>
        </w:rPr>
        <w:t xml:space="preserve">notably </w:t>
      </w:r>
      <w:r w:rsidRPr="0007629D">
        <w:rPr>
          <w:sz w:val="28"/>
          <w:szCs w:val="28"/>
        </w:rPr>
        <w:t xml:space="preserve">by </w:t>
      </w:r>
      <w:r>
        <w:rPr>
          <w:sz w:val="28"/>
          <w:szCs w:val="28"/>
        </w:rPr>
        <w:t>23</w:t>
      </w:r>
      <w:r w:rsidRPr="0007629D">
        <w:rPr>
          <w:sz w:val="28"/>
          <w:szCs w:val="28"/>
        </w:rPr>
        <w:t>% to 5</w:t>
      </w:r>
      <w:r w:rsidR="001C51AE">
        <w:rPr>
          <w:sz w:val="28"/>
          <w:szCs w:val="28"/>
        </w:rPr>
        <w:t>3</w:t>
      </w:r>
      <w:r w:rsidRPr="0007629D">
        <w:rPr>
          <w:sz w:val="28"/>
          <w:szCs w:val="28"/>
        </w:rPr>
        <w:t> </w:t>
      </w:r>
      <w:r w:rsidR="001C51AE">
        <w:rPr>
          <w:sz w:val="28"/>
          <w:szCs w:val="28"/>
        </w:rPr>
        <w:t>0</w:t>
      </w:r>
      <w:r w:rsidR="00AB7881">
        <w:rPr>
          <w:sz w:val="28"/>
          <w:szCs w:val="28"/>
        </w:rPr>
        <w:t>99</w:t>
      </w:r>
      <w:r w:rsidR="001C51AE">
        <w:rPr>
          <w:sz w:val="28"/>
          <w:szCs w:val="28"/>
        </w:rPr>
        <w:t xml:space="preserve"> from</w:t>
      </w:r>
      <w:r w:rsidR="001C51AE">
        <w:rPr>
          <w:sz w:val="28"/>
          <w:szCs w:val="28"/>
          <w:lang w:val="en-US"/>
        </w:rPr>
        <w:t xml:space="preserve"> </w:t>
      </w:r>
      <w:r w:rsidR="00503C33">
        <w:rPr>
          <w:sz w:val="28"/>
          <w:szCs w:val="28"/>
          <w:lang w:val="en-US"/>
        </w:rPr>
        <w:t>a</w:t>
      </w:r>
      <w:r w:rsidR="001C51AE">
        <w:rPr>
          <w:sz w:val="28"/>
          <w:szCs w:val="28"/>
          <w:lang w:val="en-US"/>
        </w:rPr>
        <w:t xml:space="preserve"> low </w:t>
      </w:r>
      <w:r w:rsidR="00503C33">
        <w:rPr>
          <w:sz w:val="28"/>
          <w:szCs w:val="28"/>
          <w:lang w:val="en-US"/>
        </w:rPr>
        <w:t xml:space="preserve">base </w:t>
      </w:r>
      <w:r w:rsidR="0089077B">
        <w:rPr>
          <w:sz w:val="28"/>
          <w:szCs w:val="28"/>
          <w:lang w:val="en-US"/>
        </w:rPr>
        <w:t xml:space="preserve">of 43 002 </w:t>
      </w:r>
      <w:r w:rsidR="001C51AE">
        <w:rPr>
          <w:sz w:val="28"/>
          <w:szCs w:val="28"/>
          <w:lang w:val="en-US"/>
        </w:rPr>
        <w:t>in the preceding year</w:t>
      </w:r>
      <w:r w:rsidR="005958F8">
        <w:rPr>
          <w:sz w:val="28"/>
          <w:szCs w:val="28"/>
        </w:rPr>
        <w:t xml:space="preserve">.  Nevertheless, it was still lower than </w:t>
      </w:r>
      <w:r w:rsidR="001C51AE" w:rsidRPr="004E2305">
        <w:rPr>
          <w:sz w:val="28"/>
          <w:szCs w:val="28"/>
          <w:lang w:val="en-US"/>
        </w:rPr>
        <w:t xml:space="preserve">the five-year average </w:t>
      </w:r>
      <w:r w:rsidR="001C51AE" w:rsidRPr="00FE516E">
        <w:rPr>
          <w:sz w:val="28"/>
          <w:szCs w:val="28"/>
          <w:lang w:val="en-US"/>
        </w:rPr>
        <w:t xml:space="preserve">of </w:t>
      </w:r>
      <w:r w:rsidR="001C51AE">
        <w:rPr>
          <w:sz w:val="28"/>
          <w:szCs w:val="28"/>
          <w:lang w:val="en-US"/>
        </w:rPr>
        <w:t>56</w:t>
      </w:r>
      <w:r w:rsidR="001C51AE" w:rsidRPr="00FE516E">
        <w:rPr>
          <w:sz w:val="28"/>
          <w:szCs w:val="28"/>
          <w:lang w:val="en-US"/>
        </w:rPr>
        <w:t> </w:t>
      </w:r>
      <w:r w:rsidR="001C51AE">
        <w:rPr>
          <w:sz w:val="28"/>
          <w:szCs w:val="28"/>
          <w:lang w:val="en-US"/>
        </w:rPr>
        <w:t>405</w:t>
      </w:r>
      <w:r w:rsidR="001C51AE" w:rsidRPr="004E2305">
        <w:rPr>
          <w:sz w:val="28"/>
          <w:szCs w:val="28"/>
          <w:lang w:val="en-US"/>
        </w:rPr>
        <w:t xml:space="preserve"> </w:t>
      </w:r>
      <w:r w:rsidR="001C51AE">
        <w:rPr>
          <w:sz w:val="28"/>
          <w:szCs w:val="28"/>
          <w:lang w:val="en-US"/>
        </w:rPr>
        <w:t>in</w:t>
      </w:r>
      <w:r w:rsidR="001C51AE" w:rsidRPr="004E2305">
        <w:rPr>
          <w:sz w:val="28"/>
          <w:szCs w:val="28"/>
          <w:lang w:val="en-US"/>
        </w:rPr>
        <w:t xml:space="preserve"> 201</w:t>
      </w:r>
      <w:r w:rsidR="001C51AE">
        <w:rPr>
          <w:sz w:val="28"/>
          <w:szCs w:val="28"/>
          <w:lang w:val="en-US"/>
        </w:rPr>
        <w:t>9</w:t>
      </w:r>
      <w:r w:rsidR="001C51AE">
        <w:rPr>
          <w:sz w:val="28"/>
          <w:szCs w:val="28"/>
          <w:lang w:val="en-US"/>
        </w:rPr>
        <w:noBreakHyphen/>
      </w:r>
      <w:r w:rsidR="001C51AE" w:rsidRPr="004E2305">
        <w:rPr>
          <w:sz w:val="28"/>
          <w:szCs w:val="28"/>
          <w:lang w:val="en-US"/>
        </w:rPr>
        <w:t>202</w:t>
      </w:r>
      <w:r w:rsidR="001C51AE">
        <w:rPr>
          <w:sz w:val="28"/>
          <w:szCs w:val="28"/>
          <w:lang w:val="en-US"/>
        </w:rPr>
        <w:t>3</w:t>
      </w:r>
      <w:r w:rsidR="001C51AE" w:rsidRPr="004E2305">
        <w:rPr>
          <w:sz w:val="28"/>
          <w:szCs w:val="28"/>
          <w:lang w:val="en-US"/>
        </w:rPr>
        <w:t>.</w:t>
      </w:r>
      <w:r w:rsidR="00FB1C5C" w:rsidRPr="004E2305">
        <w:rPr>
          <w:sz w:val="28"/>
          <w:szCs w:val="28"/>
          <w:lang w:val="en-US"/>
        </w:rPr>
        <w:t xml:space="preserve">  </w:t>
      </w:r>
      <w:r w:rsidR="00FB1C5C" w:rsidRPr="00A36F6B">
        <w:rPr>
          <w:rFonts w:hint="eastAsia"/>
          <w:sz w:val="28"/>
          <w:szCs w:val="28"/>
          <w:lang w:eastAsia="zh-HK"/>
        </w:rPr>
        <w:t xml:space="preserve">Within the total, </w:t>
      </w:r>
      <w:r w:rsidR="00FB1C5C" w:rsidRPr="00A36F6B">
        <w:rPr>
          <w:sz w:val="28"/>
          <w:szCs w:val="28"/>
          <w:lang w:eastAsia="zh-HK"/>
        </w:rPr>
        <w:t xml:space="preserve">primary </w:t>
      </w:r>
      <w:r w:rsidR="009912E9" w:rsidRPr="00A36F6B">
        <w:rPr>
          <w:sz w:val="28"/>
          <w:szCs w:val="28"/>
          <w:lang w:eastAsia="zh-HK"/>
        </w:rPr>
        <w:t xml:space="preserve">market transactions </w:t>
      </w:r>
      <w:r w:rsidR="00952A2D" w:rsidRPr="00E341DB">
        <w:rPr>
          <w:sz w:val="28"/>
          <w:szCs w:val="28"/>
          <w:lang w:eastAsia="zh-HK"/>
        </w:rPr>
        <w:t xml:space="preserve">surged by </w:t>
      </w:r>
      <w:r w:rsidR="00AB7881" w:rsidRPr="00E341DB">
        <w:rPr>
          <w:sz w:val="28"/>
          <w:szCs w:val="28"/>
          <w:lang w:eastAsia="zh-HK"/>
        </w:rPr>
        <w:t>57</w:t>
      </w:r>
      <w:r w:rsidR="00952A2D" w:rsidRPr="00E341DB">
        <w:rPr>
          <w:sz w:val="28"/>
          <w:szCs w:val="28"/>
          <w:lang w:eastAsia="zh-HK"/>
        </w:rPr>
        <w:t xml:space="preserve">% </w:t>
      </w:r>
      <w:r w:rsidR="009912E9" w:rsidRPr="00E341DB">
        <w:rPr>
          <w:sz w:val="28"/>
          <w:szCs w:val="28"/>
          <w:lang w:eastAsia="zh-HK"/>
        </w:rPr>
        <w:t xml:space="preserve">to </w:t>
      </w:r>
      <w:r w:rsidR="00952A2D" w:rsidRPr="00E341DB">
        <w:rPr>
          <w:sz w:val="28"/>
          <w:szCs w:val="28"/>
          <w:lang w:eastAsia="zh-HK"/>
        </w:rPr>
        <w:t>1</w:t>
      </w:r>
      <w:r w:rsidR="00AB7881" w:rsidRPr="00E341DB">
        <w:rPr>
          <w:sz w:val="28"/>
          <w:szCs w:val="28"/>
          <w:lang w:eastAsia="zh-HK"/>
        </w:rPr>
        <w:t>6</w:t>
      </w:r>
      <w:r w:rsidR="00952A2D" w:rsidRPr="00E341DB">
        <w:rPr>
          <w:sz w:val="28"/>
          <w:szCs w:val="28"/>
          <w:lang w:eastAsia="zh-HK"/>
        </w:rPr>
        <w:t> </w:t>
      </w:r>
      <w:r w:rsidR="0076088D">
        <w:rPr>
          <w:sz w:val="28"/>
          <w:szCs w:val="28"/>
          <w:lang w:eastAsia="zh-HK"/>
        </w:rPr>
        <w:t>912</w:t>
      </w:r>
      <w:r w:rsidR="00E77C49">
        <w:rPr>
          <w:sz w:val="28"/>
          <w:szCs w:val="28"/>
          <w:lang w:eastAsia="zh-HK"/>
        </w:rPr>
        <w:t>,</w:t>
      </w:r>
      <w:r w:rsidR="00A36F6B" w:rsidRPr="00A36F6B">
        <w:rPr>
          <w:sz w:val="28"/>
          <w:szCs w:val="28"/>
          <w:lang w:eastAsia="zh-HK"/>
        </w:rPr>
        <w:t xml:space="preserve"> </w:t>
      </w:r>
      <w:r w:rsidR="005958F8">
        <w:rPr>
          <w:sz w:val="28"/>
          <w:szCs w:val="28"/>
          <w:lang w:eastAsia="zh-HK"/>
        </w:rPr>
        <w:t>and</w:t>
      </w:r>
      <w:r w:rsidR="005958F8" w:rsidRPr="00A36F6B">
        <w:rPr>
          <w:sz w:val="28"/>
          <w:szCs w:val="28"/>
          <w:lang w:eastAsia="zh-HK"/>
        </w:rPr>
        <w:t xml:space="preserve"> </w:t>
      </w:r>
      <w:r w:rsidR="00FB1C5C" w:rsidRPr="00A36F6B">
        <w:rPr>
          <w:sz w:val="28"/>
          <w:szCs w:val="28"/>
          <w:lang w:eastAsia="zh-HK"/>
        </w:rPr>
        <w:t xml:space="preserve">secondary market transactions </w:t>
      </w:r>
      <w:r w:rsidR="0076088D">
        <w:rPr>
          <w:sz w:val="28"/>
          <w:szCs w:val="28"/>
          <w:lang w:eastAsia="zh-HK"/>
        </w:rPr>
        <w:t>rose</w:t>
      </w:r>
      <w:r w:rsidR="00E77C49" w:rsidRPr="00A36F6B">
        <w:rPr>
          <w:sz w:val="28"/>
          <w:szCs w:val="28"/>
          <w:lang w:eastAsia="zh-HK"/>
        </w:rPr>
        <w:t xml:space="preserve"> </w:t>
      </w:r>
      <w:r w:rsidR="00FB1C5C" w:rsidRPr="00A36F6B">
        <w:rPr>
          <w:sz w:val="28"/>
          <w:szCs w:val="28"/>
          <w:lang w:eastAsia="zh-HK"/>
        </w:rPr>
        <w:t xml:space="preserve">by </w:t>
      </w:r>
      <w:r w:rsidR="00952A2D" w:rsidRPr="00E341DB">
        <w:rPr>
          <w:sz w:val="28"/>
          <w:szCs w:val="28"/>
          <w:lang w:eastAsia="zh-HK"/>
        </w:rPr>
        <w:t>1</w:t>
      </w:r>
      <w:r w:rsidR="00E341DB" w:rsidRPr="00E341DB">
        <w:rPr>
          <w:sz w:val="28"/>
          <w:szCs w:val="28"/>
          <w:lang w:eastAsia="zh-HK"/>
        </w:rPr>
        <w:t>2</w:t>
      </w:r>
      <w:r w:rsidR="00A36F6B" w:rsidRPr="00E341DB">
        <w:rPr>
          <w:sz w:val="28"/>
          <w:szCs w:val="28"/>
          <w:lang w:eastAsia="zh-HK"/>
        </w:rPr>
        <w:t xml:space="preserve">% </w:t>
      </w:r>
      <w:r w:rsidR="00FB1C5C" w:rsidRPr="00E341DB">
        <w:rPr>
          <w:sz w:val="28"/>
          <w:szCs w:val="28"/>
          <w:lang w:eastAsia="zh-HK"/>
        </w:rPr>
        <w:t>to 3</w:t>
      </w:r>
      <w:r w:rsidR="00E341DB" w:rsidRPr="00E341DB">
        <w:rPr>
          <w:sz w:val="28"/>
          <w:szCs w:val="28"/>
          <w:lang w:eastAsia="zh-HK"/>
        </w:rPr>
        <w:t>6</w:t>
      </w:r>
      <w:r w:rsidR="00FB1C5C" w:rsidRPr="00E341DB">
        <w:rPr>
          <w:sz w:val="28"/>
          <w:szCs w:val="28"/>
          <w:lang w:eastAsia="zh-HK"/>
        </w:rPr>
        <w:t> </w:t>
      </w:r>
      <w:r w:rsidR="00E341DB" w:rsidRPr="00E341DB">
        <w:rPr>
          <w:sz w:val="28"/>
          <w:szCs w:val="28"/>
          <w:lang w:eastAsia="zh-HK"/>
        </w:rPr>
        <w:t>1</w:t>
      </w:r>
      <w:r w:rsidR="0076088D">
        <w:rPr>
          <w:sz w:val="28"/>
          <w:szCs w:val="28"/>
          <w:lang w:eastAsia="zh-HK"/>
        </w:rPr>
        <w:t>87</w:t>
      </w:r>
      <w:r w:rsidR="00FB1C5C" w:rsidRPr="004E2305">
        <w:rPr>
          <w:sz w:val="28"/>
          <w:szCs w:val="28"/>
        </w:rPr>
        <w:t xml:space="preserve">.  Total consideration </w:t>
      </w:r>
      <w:r w:rsidR="009912E9">
        <w:rPr>
          <w:sz w:val="28"/>
          <w:szCs w:val="28"/>
        </w:rPr>
        <w:t xml:space="preserve">also </w:t>
      </w:r>
      <w:r w:rsidR="0076088D">
        <w:rPr>
          <w:sz w:val="28"/>
          <w:szCs w:val="28"/>
        </w:rPr>
        <w:t>increased</w:t>
      </w:r>
      <w:r w:rsidR="00FB1C5C" w:rsidRPr="00E341DB">
        <w:rPr>
          <w:sz w:val="28"/>
          <w:szCs w:val="28"/>
        </w:rPr>
        <w:t xml:space="preserve"> </w:t>
      </w:r>
      <w:r w:rsidR="005958F8">
        <w:rPr>
          <w:sz w:val="28"/>
          <w:szCs w:val="28"/>
        </w:rPr>
        <w:t>not</w:t>
      </w:r>
      <w:r w:rsidR="007E20F3">
        <w:rPr>
          <w:sz w:val="28"/>
          <w:szCs w:val="28"/>
        </w:rPr>
        <w:t>ice</w:t>
      </w:r>
      <w:r w:rsidR="005958F8">
        <w:rPr>
          <w:sz w:val="28"/>
          <w:szCs w:val="28"/>
        </w:rPr>
        <w:t xml:space="preserve">ably </w:t>
      </w:r>
      <w:r w:rsidR="00FB1C5C" w:rsidRPr="00E341DB">
        <w:rPr>
          <w:sz w:val="28"/>
          <w:szCs w:val="28"/>
        </w:rPr>
        <w:t xml:space="preserve">by </w:t>
      </w:r>
      <w:r w:rsidR="0076088D">
        <w:rPr>
          <w:sz w:val="28"/>
          <w:szCs w:val="28"/>
        </w:rPr>
        <w:t>17</w:t>
      </w:r>
      <w:r w:rsidR="00FB1C5C" w:rsidRPr="00E341DB">
        <w:rPr>
          <w:sz w:val="28"/>
          <w:szCs w:val="28"/>
        </w:rPr>
        <w:t>% to $</w:t>
      </w:r>
      <w:r w:rsidR="0076088D">
        <w:rPr>
          <w:sz w:val="28"/>
          <w:szCs w:val="28"/>
        </w:rPr>
        <w:t>454.4</w:t>
      </w:r>
      <w:r w:rsidR="00FB1C5C" w:rsidRPr="00E341DB">
        <w:rPr>
          <w:sz w:val="28"/>
          <w:szCs w:val="28"/>
        </w:rPr>
        <w:t> billion</w:t>
      </w:r>
      <w:r w:rsidR="00FB1C5C" w:rsidRPr="004E2305">
        <w:rPr>
          <w:sz w:val="28"/>
          <w:szCs w:val="28"/>
        </w:rPr>
        <w:t>.</w:t>
      </w:r>
      <w:r w:rsidR="00D93E10">
        <w:rPr>
          <w:sz w:val="28"/>
          <w:szCs w:val="28"/>
        </w:rPr>
        <w:t xml:space="preserve"> </w:t>
      </w:r>
    </w:p>
    <w:p w14:paraId="3E31A242" w14:textId="172A5A2C" w:rsidR="00FB1C5C" w:rsidRPr="00AD425C" w:rsidRDefault="00FB1C5C" w:rsidP="00FB1C5C">
      <w:pPr>
        <w:tabs>
          <w:tab w:val="left" w:pos="1080"/>
        </w:tabs>
        <w:overflowPunct w:val="0"/>
        <w:spacing w:line="360" w:lineRule="atLeast"/>
        <w:jc w:val="both"/>
        <w:rPr>
          <w:sz w:val="28"/>
          <w:szCs w:val="28"/>
          <w:highlight w:val="cyan"/>
        </w:rPr>
      </w:pPr>
    </w:p>
    <w:p w14:paraId="112A8E3A" w14:textId="28DB240E" w:rsidR="00FB1C5C" w:rsidRDefault="00624123" w:rsidP="00FB1C5C">
      <w:pPr>
        <w:tabs>
          <w:tab w:val="left" w:pos="1080"/>
        </w:tabs>
        <w:overflowPunct w:val="0"/>
        <w:spacing w:line="360" w:lineRule="atLeast"/>
        <w:jc w:val="both"/>
      </w:pPr>
      <w:r w:rsidRPr="00624123">
        <w:rPr>
          <w:noProof/>
        </w:rPr>
        <w:drawing>
          <wp:inline distT="0" distB="0" distL="0" distR="0" wp14:anchorId="592F7FFA" wp14:editId="495F1580">
            <wp:extent cx="5733415" cy="3498556"/>
            <wp:effectExtent l="0" t="0" r="0" b="698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415" cy="3498556"/>
                    </a:xfrm>
                    <a:prstGeom prst="rect">
                      <a:avLst/>
                    </a:prstGeom>
                    <a:noFill/>
                    <a:ln>
                      <a:noFill/>
                    </a:ln>
                  </pic:spPr>
                </pic:pic>
              </a:graphicData>
            </a:graphic>
          </wp:inline>
        </w:drawing>
      </w:r>
    </w:p>
    <w:p w14:paraId="053A9B77" w14:textId="77777777" w:rsidR="00437439" w:rsidRPr="00C44AD0" w:rsidRDefault="00437439" w:rsidP="00FB1C5C">
      <w:pPr>
        <w:tabs>
          <w:tab w:val="left" w:pos="1080"/>
        </w:tabs>
        <w:overflowPunct w:val="0"/>
        <w:spacing w:line="360" w:lineRule="atLeast"/>
        <w:jc w:val="both"/>
      </w:pPr>
    </w:p>
    <w:p w14:paraId="79151AF7" w14:textId="3BFBB631" w:rsidR="00FB1C5C" w:rsidRPr="0090680B" w:rsidRDefault="00437439" w:rsidP="008406E6">
      <w:pPr>
        <w:numPr>
          <w:ilvl w:val="1"/>
          <w:numId w:val="33"/>
        </w:numPr>
        <w:tabs>
          <w:tab w:val="left" w:pos="1080"/>
        </w:tabs>
        <w:overflowPunct w:val="0"/>
        <w:spacing w:line="360" w:lineRule="atLeast"/>
        <w:ind w:left="0" w:firstLine="0"/>
        <w:jc w:val="both"/>
        <w:rPr>
          <w:sz w:val="32"/>
          <w:szCs w:val="28"/>
        </w:rPr>
      </w:pPr>
      <w:r>
        <w:rPr>
          <w:sz w:val="28"/>
          <w:szCs w:val="28"/>
          <w:lang w:eastAsia="zh-HK"/>
        </w:rPr>
        <w:t xml:space="preserve">Overall flat prices </w:t>
      </w:r>
      <w:r w:rsidR="00466C55">
        <w:rPr>
          <w:sz w:val="28"/>
          <w:szCs w:val="28"/>
          <w:lang w:eastAsia="zh-HK"/>
        </w:rPr>
        <w:t>fell further during</w:t>
      </w:r>
      <w:r w:rsidR="0090680B">
        <w:rPr>
          <w:sz w:val="28"/>
          <w:szCs w:val="28"/>
          <w:lang w:eastAsia="zh-HK"/>
        </w:rPr>
        <w:t xml:space="preserve"> 2024, </w:t>
      </w:r>
      <w:r w:rsidR="00466C55">
        <w:rPr>
          <w:sz w:val="28"/>
          <w:szCs w:val="28"/>
          <w:lang w:eastAsia="zh-HK"/>
        </w:rPr>
        <w:t>though</w:t>
      </w:r>
      <w:r w:rsidR="00DF3190">
        <w:rPr>
          <w:sz w:val="28"/>
          <w:szCs w:val="28"/>
          <w:lang w:eastAsia="zh-HK"/>
        </w:rPr>
        <w:t xml:space="preserve"> </w:t>
      </w:r>
      <w:r w:rsidR="00EE769F" w:rsidRPr="00F31EF3">
        <w:rPr>
          <w:sz w:val="28"/>
          <w:szCs w:val="28"/>
          <w:lang w:eastAsia="zh-HK"/>
        </w:rPr>
        <w:t>month-to-month</w:t>
      </w:r>
      <w:r w:rsidR="00EE769F">
        <w:rPr>
          <w:sz w:val="28"/>
          <w:szCs w:val="28"/>
          <w:lang w:eastAsia="zh-HK"/>
        </w:rPr>
        <w:t xml:space="preserve"> </w:t>
      </w:r>
      <w:r w:rsidR="0090680B">
        <w:rPr>
          <w:sz w:val="28"/>
          <w:szCs w:val="28"/>
          <w:lang w:eastAsia="zh-HK"/>
        </w:rPr>
        <w:t>increase</w:t>
      </w:r>
      <w:r w:rsidR="007E20F3">
        <w:rPr>
          <w:sz w:val="28"/>
          <w:szCs w:val="28"/>
          <w:lang w:eastAsia="zh-HK"/>
        </w:rPr>
        <w:t>s</w:t>
      </w:r>
      <w:r w:rsidR="00466C55">
        <w:rPr>
          <w:sz w:val="28"/>
          <w:szCs w:val="28"/>
          <w:lang w:eastAsia="zh-HK"/>
        </w:rPr>
        <w:t xml:space="preserve"> w</w:t>
      </w:r>
      <w:r w:rsidR="007E20F3">
        <w:rPr>
          <w:sz w:val="28"/>
          <w:szCs w:val="28"/>
          <w:lang w:eastAsia="zh-HK"/>
        </w:rPr>
        <w:t>ere</w:t>
      </w:r>
      <w:r w:rsidR="0090680B">
        <w:rPr>
          <w:sz w:val="28"/>
          <w:szCs w:val="28"/>
          <w:lang w:eastAsia="zh-HK"/>
        </w:rPr>
        <w:t xml:space="preserve"> </w:t>
      </w:r>
      <w:r w:rsidR="00466C55">
        <w:rPr>
          <w:sz w:val="28"/>
          <w:szCs w:val="28"/>
          <w:lang w:eastAsia="zh-HK"/>
        </w:rPr>
        <w:t>seen</w:t>
      </w:r>
      <w:r w:rsidR="00B00854">
        <w:rPr>
          <w:sz w:val="28"/>
          <w:szCs w:val="28"/>
          <w:lang w:eastAsia="zh-HK"/>
        </w:rPr>
        <w:t xml:space="preserve"> </w:t>
      </w:r>
      <w:r w:rsidR="00AB4602">
        <w:rPr>
          <w:sz w:val="28"/>
          <w:szCs w:val="28"/>
          <w:lang w:eastAsia="zh-HK"/>
        </w:rPr>
        <w:t xml:space="preserve">in </w:t>
      </w:r>
      <w:r w:rsidR="00466C55">
        <w:rPr>
          <w:sz w:val="28"/>
          <w:szCs w:val="28"/>
          <w:lang w:eastAsia="zh-HK"/>
        </w:rPr>
        <w:t xml:space="preserve">several months when there were changes in </w:t>
      </w:r>
      <w:r w:rsidR="001F6B4E">
        <w:rPr>
          <w:sz w:val="28"/>
          <w:szCs w:val="28"/>
          <w:lang w:eastAsia="zh-HK"/>
        </w:rPr>
        <w:t>DSMMs</w:t>
      </w:r>
      <w:r w:rsidR="00466C55">
        <w:rPr>
          <w:sz w:val="28"/>
          <w:szCs w:val="28"/>
          <w:lang w:eastAsia="zh-HK"/>
        </w:rPr>
        <w:t xml:space="preserve"> and macroprudential measures as well as interest rate cut</w:t>
      </w:r>
      <w:r w:rsidR="007E20F3">
        <w:rPr>
          <w:sz w:val="28"/>
          <w:szCs w:val="28"/>
          <w:lang w:eastAsia="zh-HK"/>
        </w:rPr>
        <w:t>s</w:t>
      </w:r>
      <w:r w:rsidR="00FB1C5C">
        <w:rPr>
          <w:sz w:val="28"/>
          <w:szCs w:val="28"/>
          <w:lang w:eastAsia="zh-HK"/>
        </w:rPr>
        <w:t>.</w:t>
      </w:r>
      <w:r w:rsidR="00FB1C5C" w:rsidRPr="00A237FE">
        <w:rPr>
          <w:sz w:val="28"/>
          <w:szCs w:val="28"/>
          <w:lang w:eastAsia="zh-HK"/>
        </w:rPr>
        <w:t xml:space="preserve">  </w:t>
      </w:r>
      <w:r w:rsidR="00FB1C5C" w:rsidRPr="00E64F17">
        <w:rPr>
          <w:sz w:val="28"/>
          <w:szCs w:val="28"/>
          <w:lang w:eastAsia="zh-HK"/>
        </w:rPr>
        <w:t>F</w:t>
      </w:r>
      <w:r w:rsidR="00FB1C5C" w:rsidRPr="00E64F17">
        <w:rPr>
          <w:rFonts w:hint="eastAsia"/>
          <w:sz w:val="28"/>
          <w:szCs w:val="28"/>
          <w:lang w:eastAsia="zh-HK"/>
        </w:rPr>
        <w:t xml:space="preserve">lat prices </w:t>
      </w:r>
      <w:r w:rsidR="00FB1C5C">
        <w:rPr>
          <w:sz w:val="28"/>
          <w:szCs w:val="28"/>
          <w:lang w:eastAsia="zh-HK"/>
        </w:rPr>
        <w:t xml:space="preserve">in </w:t>
      </w:r>
      <w:r w:rsidR="00C273FD">
        <w:rPr>
          <w:sz w:val="28"/>
          <w:szCs w:val="28"/>
          <w:lang w:eastAsia="zh-HK"/>
        </w:rPr>
        <w:t>December </w:t>
      </w:r>
      <w:r w:rsidR="00FB1C5C">
        <w:rPr>
          <w:sz w:val="28"/>
          <w:szCs w:val="28"/>
          <w:lang w:eastAsia="zh-HK"/>
        </w:rPr>
        <w:t>202</w:t>
      </w:r>
      <w:r w:rsidR="008000A1">
        <w:rPr>
          <w:sz w:val="28"/>
          <w:szCs w:val="28"/>
          <w:lang w:eastAsia="zh-HK"/>
        </w:rPr>
        <w:t>4</w:t>
      </w:r>
      <w:r w:rsidR="00FB1C5C">
        <w:rPr>
          <w:sz w:val="28"/>
          <w:szCs w:val="28"/>
          <w:lang w:eastAsia="zh-HK"/>
        </w:rPr>
        <w:t xml:space="preserve"> </w:t>
      </w:r>
      <w:r w:rsidR="00DF2D97" w:rsidRPr="00670D06">
        <w:rPr>
          <w:sz w:val="28"/>
          <w:szCs w:val="28"/>
          <w:lang w:eastAsia="zh-HK"/>
        </w:rPr>
        <w:t xml:space="preserve">were on average </w:t>
      </w:r>
      <w:r w:rsidR="00E56BBC">
        <w:rPr>
          <w:sz w:val="28"/>
          <w:szCs w:val="28"/>
          <w:lang w:eastAsia="zh-HK"/>
        </w:rPr>
        <w:t>7</w:t>
      </w:r>
      <w:r w:rsidR="00DF2D97" w:rsidRPr="00670D06">
        <w:rPr>
          <w:sz w:val="28"/>
          <w:szCs w:val="28"/>
          <w:lang w:eastAsia="zh-HK"/>
        </w:rPr>
        <w:t xml:space="preserve">% </w:t>
      </w:r>
      <w:r w:rsidR="0067026A">
        <w:rPr>
          <w:sz w:val="28"/>
          <w:szCs w:val="28"/>
          <w:lang w:eastAsia="zh-HK"/>
        </w:rPr>
        <w:t>lower than</w:t>
      </w:r>
      <w:r w:rsidR="0067026A" w:rsidRPr="00670D06">
        <w:rPr>
          <w:sz w:val="28"/>
          <w:szCs w:val="28"/>
          <w:lang w:eastAsia="zh-HK"/>
        </w:rPr>
        <w:t xml:space="preserve"> </w:t>
      </w:r>
      <w:r w:rsidR="008406E6">
        <w:rPr>
          <w:sz w:val="28"/>
          <w:szCs w:val="28"/>
          <w:lang w:eastAsia="zh-HK"/>
        </w:rPr>
        <w:t>a year ago</w:t>
      </w:r>
      <w:r w:rsidR="00DF2D97" w:rsidRPr="00670D06">
        <w:rPr>
          <w:sz w:val="28"/>
          <w:szCs w:val="28"/>
          <w:lang w:eastAsia="zh-HK"/>
        </w:rPr>
        <w:t xml:space="preserve">, and </w:t>
      </w:r>
      <w:r w:rsidR="00E56BBC">
        <w:rPr>
          <w:sz w:val="28"/>
          <w:szCs w:val="28"/>
          <w:lang w:eastAsia="zh-HK"/>
        </w:rPr>
        <w:t>2</w:t>
      </w:r>
      <w:r w:rsidR="008000A1">
        <w:rPr>
          <w:sz w:val="28"/>
          <w:szCs w:val="28"/>
          <w:lang w:eastAsia="zh-HK"/>
        </w:rPr>
        <w:t>7</w:t>
      </w:r>
      <w:r w:rsidR="00DF2D97" w:rsidRPr="00670D06">
        <w:rPr>
          <w:sz w:val="28"/>
          <w:szCs w:val="28"/>
          <w:lang w:eastAsia="zh-HK"/>
        </w:rPr>
        <w:t>% below the peak in September 202</w:t>
      </w:r>
      <w:r w:rsidR="00E56BBC">
        <w:rPr>
          <w:sz w:val="28"/>
          <w:szCs w:val="28"/>
          <w:lang w:eastAsia="zh-HK"/>
        </w:rPr>
        <w:t>1</w:t>
      </w:r>
      <w:r w:rsidR="00DF2D97" w:rsidRPr="00670D06">
        <w:rPr>
          <w:sz w:val="28"/>
          <w:szCs w:val="28"/>
        </w:rPr>
        <w:t>.</w:t>
      </w:r>
      <w:r w:rsidR="00FB1C5C">
        <w:rPr>
          <w:sz w:val="28"/>
          <w:szCs w:val="28"/>
          <w:lang w:eastAsia="zh-HK"/>
        </w:rPr>
        <w:t xml:space="preserve">  </w:t>
      </w:r>
      <w:r w:rsidR="00FB1C5C" w:rsidRPr="00603D66">
        <w:rPr>
          <w:sz w:val="28"/>
          <w:szCs w:val="28"/>
        </w:rPr>
        <w:t>Analysed by size,</w:t>
      </w:r>
      <w:r w:rsidR="00FB1C5C" w:rsidRPr="00603D66">
        <w:rPr>
          <w:rFonts w:hint="eastAsia"/>
          <w:sz w:val="28"/>
          <w:szCs w:val="28"/>
          <w:lang w:eastAsia="zh-HK"/>
        </w:rPr>
        <w:t xml:space="preserve"> prices of small/medium</w:t>
      </w:r>
      <w:r w:rsidR="004872F0">
        <w:rPr>
          <w:sz w:val="28"/>
          <w:szCs w:val="28"/>
          <w:lang w:eastAsia="zh-HK"/>
        </w:rPr>
        <w:noBreakHyphen/>
      </w:r>
      <w:r w:rsidR="00FB1C5C" w:rsidRPr="00603D66">
        <w:rPr>
          <w:rFonts w:hint="eastAsia"/>
          <w:sz w:val="28"/>
          <w:szCs w:val="28"/>
          <w:lang w:eastAsia="zh-HK"/>
        </w:rPr>
        <w:t xml:space="preserve">sized flats </w:t>
      </w:r>
      <w:r w:rsidR="00FB1C5C" w:rsidRPr="00603D66">
        <w:rPr>
          <w:sz w:val="28"/>
          <w:szCs w:val="28"/>
          <w:lang w:eastAsia="zh-HK"/>
        </w:rPr>
        <w:t xml:space="preserve">and large flats </w:t>
      </w:r>
      <w:r w:rsidR="008000A1">
        <w:rPr>
          <w:sz w:val="28"/>
          <w:szCs w:val="28"/>
          <w:lang w:eastAsia="zh-HK"/>
        </w:rPr>
        <w:t>declined</w:t>
      </w:r>
      <w:r w:rsidR="00B37B75" w:rsidRPr="00603D66">
        <w:rPr>
          <w:rFonts w:hint="eastAsia"/>
          <w:sz w:val="28"/>
          <w:szCs w:val="28"/>
          <w:lang w:eastAsia="zh-HK"/>
        </w:rPr>
        <w:t xml:space="preserve"> </w:t>
      </w:r>
      <w:r w:rsidR="00FB1C5C" w:rsidRPr="00603D66">
        <w:rPr>
          <w:rFonts w:hint="eastAsia"/>
          <w:sz w:val="28"/>
          <w:szCs w:val="28"/>
          <w:lang w:eastAsia="zh-HK"/>
        </w:rPr>
        <w:t xml:space="preserve">by </w:t>
      </w:r>
      <w:r w:rsidR="009454FD">
        <w:rPr>
          <w:sz w:val="28"/>
          <w:szCs w:val="28"/>
          <w:lang w:eastAsia="zh-HK"/>
        </w:rPr>
        <w:t>7%</w:t>
      </w:r>
      <w:r w:rsidR="00B16061">
        <w:rPr>
          <w:sz w:val="28"/>
          <w:szCs w:val="28"/>
          <w:lang w:eastAsia="zh-HK"/>
        </w:rPr>
        <w:t xml:space="preserve"> </w:t>
      </w:r>
      <w:r w:rsidR="0090680B">
        <w:rPr>
          <w:sz w:val="28"/>
          <w:szCs w:val="28"/>
          <w:lang w:eastAsia="zh-HK"/>
        </w:rPr>
        <w:t xml:space="preserve">and 5% respectively </w:t>
      </w:r>
      <w:r w:rsidR="00B16061">
        <w:rPr>
          <w:sz w:val="28"/>
          <w:szCs w:val="28"/>
          <w:lang w:eastAsia="zh-HK"/>
        </w:rPr>
        <w:t>during the year</w:t>
      </w:r>
      <w:r w:rsidR="00FB1C5C" w:rsidRPr="00603D66">
        <w:rPr>
          <w:rFonts w:hint="eastAsia"/>
          <w:sz w:val="28"/>
          <w:szCs w:val="28"/>
          <w:lang w:eastAsia="zh-HK"/>
        </w:rPr>
        <w:t>.</w:t>
      </w:r>
      <w:r w:rsidR="000E7CD0">
        <w:rPr>
          <w:sz w:val="28"/>
          <w:szCs w:val="28"/>
          <w:lang w:eastAsia="zh-HK"/>
        </w:rPr>
        <w:t xml:space="preserve">  </w:t>
      </w:r>
    </w:p>
    <w:p w14:paraId="7E767204" w14:textId="77777777" w:rsidR="0090680B" w:rsidRPr="003717B4" w:rsidRDefault="0090680B" w:rsidP="0090680B">
      <w:pPr>
        <w:tabs>
          <w:tab w:val="left" w:pos="1080"/>
        </w:tabs>
        <w:overflowPunct w:val="0"/>
        <w:spacing w:line="360" w:lineRule="atLeast"/>
        <w:jc w:val="both"/>
        <w:rPr>
          <w:sz w:val="32"/>
          <w:szCs w:val="28"/>
        </w:rPr>
      </w:pPr>
    </w:p>
    <w:p w14:paraId="39B860BB" w14:textId="68A00B03" w:rsidR="00FB1C5C" w:rsidRPr="004F1B99" w:rsidRDefault="00B16061" w:rsidP="008406E6">
      <w:pPr>
        <w:keepLines/>
        <w:numPr>
          <w:ilvl w:val="1"/>
          <w:numId w:val="33"/>
        </w:numPr>
        <w:tabs>
          <w:tab w:val="left" w:pos="1080"/>
        </w:tabs>
        <w:overflowPunct w:val="0"/>
        <w:spacing w:line="360" w:lineRule="atLeast"/>
        <w:ind w:left="0" w:firstLine="0"/>
        <w:jc w:val="both"/>
        <w:rPr>
          <w:sz w:val="28"/>
          <w:szCs w:val="28"/>
        </w:rPr>
      </w:pPr>
      <w:r>
        <w:rPr>
          <w:sz w:val="28"/>
          <w:szCs w:val="28"/>
          <w:lang w:eastAsia="zh-HK"/>
        </w:rPr>
        <w:lastRenderedPageBreak/>
        <w:t>Meanwhile, t</w:t>
      </w:r>
      <w:r w:rsidR="00FB1C5C">
        <w:rPr>
          <w:sz w:val="28"/>
          <w:szCs w:val="28"/>
          <w:lang w:eastAsia="zh-HK"/>
        </w:rPr>
        <w:t xml:space="preserve">he leasing market for residential property </w:t>
      </w:r>
      <w:r w:rsidR="00466C55">
        <w:rPr>
          <w:sz w:val="28"/>
          <w:szCs w:val="28"/>
          <w:lang w:eastAsia="zh-HK"/>
        </w:rPr>
        <w:t>performed</w:t>
      </w:r>
      <w:r w:rsidR="00B00854">
        <w:rPr>
          <w:sz w:val="28"/>
          <w:szCs w:val="28"/>
          <w:lang w:eastAsia="zh-HK"/>
        </w:rPr>
        <w:t xml:space="preserve"> better</w:t>
      </w:r>
      <w:r w:rsidR="00D403B7">
        <w:rPr>
          <w:sz w:val="28"/>
          <w:szCs w:val="28"/>
          <w:lang w:eastAsia="zh-HK"/>
        </w:rPr>
        <w:t xml:space="preserve"> in 2024</w:t>
      </w:r>
      <w:r w:rsidR="008655D5">
        <w:rPr>
          <w:sz w:val="28"/>
          <w:szCs w:val="28"/>
          <w:lang w:eastAsia="zh-HK"/>
        </w:rPr>
        <w:t>,</w:t>
      </w:r>
      <w:r w:rsidR="00EE769F">
        <w:rPr>
          <w:sz w:val="28"/>
          <w:szCs w:val="28"/>
          <w:lang w:eastAsia="zh-HK"/>
        </w:rPr>
        <w:t xml:space="preserve"> </w:t>
      </w:r>
      <w:r w:rsidR="008655D5">
        <w:rPr>
          <w:sz w:val="28"/>
          <w:szCs w:val="28"/>
          <w:lang w:eastAsia="zh-HK"/>
        </w:rPr>
        <w:t xml:space="preserve">due </w:t>
      </w:r>
      <w:r w:rsidR="008406E6">
        <w:rPr>
          <w:sz w:val="28"/>
          <w:szCs w:val="28"/>
          <w:lang w:eastAsia="zh-HK"/>
        </w:rPr>
        <w:t xml:space="preserve">in part </w:t>
      </w:r>
      <w:r w:rsidR="00EE769F">
        <w:rPr>
          <w:sz w:val="28"/>
          <w:szCs w:val="28"/>
          <w:lang w:eastAsia="zh-HK"/>
        </w:rPr>
        <w:t>to a</w:t>
      </w:r>
      <w:r w:rsidR="008406E6">
        <w:rPr>
          <w:sz w:val="28"/>
          <w:szCs w:val="28"/>
          <w:lang w:eastAsia="zh-HK"/>
        </w:rPr>
        <w:t>n</w:t>
      </w:r>
      <w:r w:rsidR="00EE769F">
        <w:rPr>
          <w:sz w:val="28"/>
          <w:szCs w:val="28"/>
          <w:lang w:eastAsia="zh-HK"/>
        </w:rPr>
        <w:t xml:space="preserve"> influx of talents</w:t>
      </w:r>
      <w:r w:rsidR="00FB1C5C" w:rsidRPr="004F1B99">
        <w:rPr>
          <w:sz w:val="28"/>
          <w:szCs w:val="28"/>
          <w:lang w:eastAsia="zh-HK"/>
        </w:rPr>
        <w:t xml:space="preserve">.  </w:t>
      </w:r>
      <w:r w:rsidR="003D0E8B">
        <w:rPr>
          <w:sz w:val="28"/>
          <w:szCs w:val="28"/>
          <w:lang w:eastAsia="zh-HK"/>
        </w:rPr>
        <w:t>Overall f</w:t>
      </w:r>
      <w:r w:rsidR="00FB1C5C" w:rsidRPr="004F1B99">
        <w:rPr>
          <w:sz w:val="28"/>
          <w:szCs w:val="28"/>
          <w:lang w:eastAsia="zh-HK"/>
        </w:rPr>
        <w:t>lat rentals in December 202</w:t>
      </w:r>
      <w:r w:rsidR="007E6F19">
        <w:rPr>
          <w:sz w:val="28"/>
          <w:szCs w:val="28"/>
          <w:lang w:eastAsia="zh-HK"/>
        </w:rPr>
        <w:t>4</w:t>
      </w:r>
      <w:r w:rsidR="00FB1C5C" w:rsidRPr="004F1B99">
        <w:rPr>
          <w:sz w:val="28"/>
          <w:szCs w:val="28"/>
          <w:lang w:eastAsia="zh-HK"/>
        </w:rPr>
        <w:t xml:space="preserve"> were on average </w:t>
      </w:r>
      <w:r w:rsidR="0090680B">
        <w:rPr>
          <w:sz w:val="28"/>
          <w:szCs w:val="28"/>
          <w:lang w:eastAsia="zh-HK"/>
        </w:rPr>
        <w:t>4</w:t>
      </w:r>
      <w:r w:rsidR="00FB1C5C" w:rsidRPr="004F1B99">
        <w:rPr>
          <w:sz w:val="28"/>
          <w:szCs w:val="28"/>
          <w:lang w:eastAsia="zh-HK"/>
        </w:rPr>
        <w:t xml:space="preserve">% </w:t>
      </w:r>
      <w:r w:rsidR="004F4D8C">
        <w:rPr>
          <w:sz w:val="28"/>
          <w:szCs w:val="28"/>
          <w:lang w:eastAsia="zh-HK"/>
        </w:rPr>
        <w:t>higher</w:t>
      </w:r>
      <w:r w:rsidR="00FB1C5C" w:rsidRPr="004F1B99">
        <w:rPr>
          <w:sz w:val="28"/>
          <w:szCs w:val="28"/>
          <w:lang w:eastAsia="zh-HK"/>
        </w:rPr>
        <w:t xml:space="preserve"> than in December 202</w:t>
      </w:r>
      <w:r w:rsidR="007E6F19">
        <w:rPr>
          <w:sz w:val="28"/>
          <w:szCs w:val="28"/>
          <w:lang w:eastAsia="zh-HK"/>
        </w:rPr>
        <w:t>3</w:t>
      </w:r>
      <w:r w:rsidR="00FB1C5C" w:rsidRPr="004F1B99">
        <w:rPr>
          <w:sz w:val="28"/>
          <w:szCs w:val="28"/>
          <w:lang w:eastAsia="zh-HK"/>
        </w:rPr>
        <w:t xml:space="preserve">, </w:t>
      </w:r>
      <w:r w:rsidR="004F4D8C">
        <w:rPr>
          <w:sz w:val="28"/>
          <w:szCs w:val="28"/>
          <w:lang w:eastAsia="zh-HK"/>
        </w:rPr>
        <w:t xml:space="preserve">but still </w:t>
      </w:r>
      <w:r w:rsidR="007E6F19">
        <w:rPr>
          <w:sz w:val="28"/>
          <w:szCs w:val="28"/>
          <w:lang w:eastAsia="zh-HK"/>
        </w:rPr>
        <w:t>3</w:t>
      </w:r>
      <w:r w:rsidR="00FB1C5C" w:rsidRPr="004F1B99">
        <w:rPr>
          <w:sz w:val="28"/>
          <w:szCs w:val="28"/>
          <w:lang w:eastAsia="zh-HK"/>
        </w:rPr>
        <w:t xml:space="preserve">% below the peak in </w:t>
      </w:r>
      <w:r w:rsidR="00FD7D10" w:rsidRPr="004F1B99">
        <w:rPr>
          <w:sz w:val="28"/>
          <w:szCs w:val="28"/>
          <w:lang w:eastAsia="zh-HK"/>
        </w:rPr>
        <w:t>August</w:t>
      </w:r>
      <w:r w:rsidR="00FD7D10">
        <w:rPr>
          <w:sz w:val="28"/>
          <w:szCs w:val="28"/>
          <w:lang w:eastAsia="zh-HK"/>
        </w:rPr>
        <w:t> </w:t>
      </w:r>
      <w:r w:rsidR="00FB1C5C" w:rsidRPr="004F1B99">
        <w:rPr>
          <w:sz w:val="28"/>
          <w:szCs w:val="28"/>
          <w:lang w:eastAsia="zh-HK"/>
        </w:rPr>
        <w:t xml:space="preserve">2019.  </w:t>
      </w:r>
      <w:r w:rsidR="00FB1C5C" w:rsidRPr="004F1B99">
        <w:rPr>
          <w:rFonts w:hint="eastAsia"/>
          <w:sz w:val="28"/>
          <w:szCs w:val="28"/>
        </w:rPr>
        <w:t xml:space="preserve">Analysed by size, </w:t>
      </w:r>
      <w:r w:rsidR="00FB1C5C" w:rsidRPr="004F1B99">
        <w:rPr>
          <w:sz w:val="28"/>
          <w:szCs w:val="28"/>
        </w:rPr>
        <w:t xml:space="preserve">rentals of small/medium-sized flats and large flats </w:t>
      </w:r>
      <w:r w:rsidR="007E6F19">
        <w:rPr>
          <w:sz w:val="28"/>
          <w:szCs w:val="28"/>
        </w:rPr>
        <w:t>increased</w:t>
      </w:r>
      <w:r w:rsidR="00FB1C5C" w:rsidRPr="004F1B99">
        <w:rPr>
          <w:sz w:val="28"/>
          <w:szCs w:val="28"/>
        </w:rPr>
        <w:t xml:space="preserve"> by </w:t>
      </w:r>
      <w:r w:rsidR="0090680B">
        <w:rPr>
          <w:sz w:val="28"/>
          <w:szCs w:val="28"/>
        </w:rPr>
        <w:t>4</w:t>
      </w:r>
      <w:r w:rsidR="00FB1C5C" w:rsidRPr="004F1B99">
        <w:rPr>
          <w:sz w:val="28"/>
          <w:szCs w:val="28"/>
        </w:rPr>
        <w:t>%</w:t>
      </w:r>
      <w:r w:rsidR="00C9496C">
        <w:rPr>
          <w:sz w:val="28"/>
          <w:szCs w:val="28"/>
        </w:rPr>
        <w:t xml:space="preserve"> and </w:t>
      </w:r>
      <w:r w:rsidR="008C1778">
        <w:rPr>
          <w:sz w:val="28"/>
          <w:szCs w:val="28"/>
        </w:rPr>
        <w:t>1</w:t>
      </w:r>
      <w:r w:rsidR="00C9496C">
        <w:rPr>
          <w:sz w:val="28"/>
          <w:szCs w:val="28"/>
        </w:rPr>
        <w:t>% respectively</w:t>
      </w:r>
      <w:r w:rsidR="00FB1C5C" w:rsidRPr="004F1B99">
        <w:rPr>
          <w:sz w:val="28"/>
          <w:szCs w:val="28"/>
        </w:rPr>
        <w:t xml:space="preserve"> during the year.  </w:t>
      </w:r>
      <w:r w:rsidR="00FB1C5C">
        <w:rPr>
          <w:sz w:val="28"/>
          <w:szCs w:val="28"/>
        </w:rPr>
        <w:t>Reflecting the movements of prices and rentals</w:t>
      </w:r>
      <w:r w:rsidR="00FB1C5C" w:rsidRPr="004F1B99">
        <w:rPr>
          <w:sz w:val="28"/>
          <w:szCs w:val="28"/>
        </w:rPr>
        <w:t xml:space="preserve">, the average rental yield for residential property </w:t>
      </w:r>
      <w:r w:rsidR="001B521C">
        <w:rPr>
          <w:sz w:val="28"/>
          <w:szCs w:val="28"/>
        </w:rPr>
        <w:t>rose</w:t>
      </w:r>
      <w:r w:rsidR="00A80569" w:rsidRPr="004F1B99">
        <w:rPr>
          <w:sz w:val="28"/>
          <w:szCs w:val="28"/>
        </w:rPr>
        <w:t xml:space="preserve"> </w:t>
      </w:r>
      <w:r w:rsidR="00F3614C" w:rsidRPr="004F1B99">
        <w:rPr>
          <w:sz w:val="28"/>
          <w:szCs w:val="28"/>
        </w:rPr>
        <w:t xml:space="preserve">to </w:t>
      </w:r>
      <w:r w:rsidR="007E6F19">
        <w:rPr>
          <w:sz w:val="28"/>
          <w:szCs w:val="28"/>
        </w:rPr>
        <w:t>3.</w:t>
      </w:r>
      <w:r w:rsidR="000E7CD0">
        <w:rPr>
          <w:sz w:val="28"/>
          <w:szCs w:val="28"/>
        </w:rPr>
        <w:t>1</w:t>
      </w:r>
      <w:r w:rsidR="00F3614C" w:rsidRPr="004F1B99">
        <w:rPr>
          <w:sz w:val="28"/>
          <w:szCs w:val="28"/>
        </w:rPr>
        <w:t>% in December 202</w:t>
      </w:r>
      <w:r w:rsidR="007E6F19">
        <w:rPr>
          <w:sz w:val="28"/>
          <w:szCs w:val="28"/>
        </w:rPr>
        <w:t>4</w:t>
      </w:r>
      <w:r w:rsidR="00F3614C">
        <w:rPr>
          <w:sz w:val="28"/>
          <w:szCs w:val="28"/>
        </w:rPr>
        <w:t xml:space="preserve"> </w:t>
      </w:r>
      <w:r w:rsidR="00FB1C5C" w:rsidRPr="004F1B99">
        <w:rPr>
          <w:sz w:val="28"/>
          <w:szCs w:val="28"/>
        </w:rPr>
        <w:t xml:space="preserve">from </w:t>
      </w:r>
      <w:r w:rsidR="007E6F19" w:rsidRPr="004F1B99">
        <w:rPr>
          <w:sz w:val="28"/>
          <w:szCs w:val="28"/>
        </w:rPr>
        <w:t>2.</w:t>
      </w:r>
      <w:r w:rsidR="001B521C">
        <w:rPr>
          <w:sz w:val="28"/>
          <w:szCs w:val="28"/>
        </w:rPr>
        <w:t>8</w:t>
      </w:r>
      <w:r w:rsidR="004F4D8C" w:rsidRPr="004F1B99">
        <w:rPr>
          <w:sz w:val="28"/>
          <w:szCs w:val="28"/>
        </w:rPr>
        <w:t>%</w:t>
      </w:r>
      <w:r w:rsidR="00FB1C5C" w:rsidRPr="004F1B99">
        <w:rPr>
          <w:sz w:val="28"/>
          <w:szCs w:val="28"/>
        </w:rPr>
        <w:t xml:space="preserve"> a year earlier.</w:t>
      </w:r>
      <w:r w:rsidR="005F57A1">
        <w:rPr>
          <w:sz w:val="28"/>
          <w:szCs w:val="28"/>
        </w:rPr>
        <w:t xml:space="preserve">  </w:t>
      </w:r>
    </w:p>
    <w:p w14:paraId="7163A818" w14:textId="7641B532" w:rsidR="00FB1C5C" w:rsidRPr="00A56C04" w:rsidRDefault="00FB1C5C" w:rsidP="00FB1C5C">
      <w:pPr>
        <w:keepLines/>
        <w:overflowPunct w:val="0"/>
        <w:spacing w:line="360" w:lineRule="atLeast"/>
        <w:jc w:val="both"/>
        <w:rPr>
          <w:sz w:val="28"/>
          <w:szCs w:val="28"/>
        </w:rPr>
      </w:pPr>
    </w:p>
    <w:p w14:paraId="31BA321C" w14:textId="5EC13657" w:rsidR="00BA7F2C" w:rsidRDefault="00D36AED" w:rsidP="00FB1C5C">
      <w:pPr>
        <w:tabs>
          <w:tab w:val="left" w:pos="1080"/>
        </w:tabs>
        <w:overflowPunct w:val="0"/>
        <w:spacing w:line="360" w:lineRule="atLeast"/>
        <w:jc w:val="both"/>
        <w:rPr>
          <w:sz w:val="28"/>
          <w:szCs w:val="28"/>
        </w:rPr>
      </w:pPr>
      <w:r w:rsidRPr="00D36AED">
        <w:rPr>
          <w:noProof/>
          <w:sz w:val="28"/>
          <w:szCs w:val="28"/>
        </w:rPr>
        <w:drawing>
          <wp:inline distT="0" distB="0" distL="0" distR="0" wp14:anchorId="0DCF402D" wp14:editId="4598793D">
            <wp:extent cx="5734800" cy="3497157"/>
            <wp:effectExtent l="0" t="0" r="0" b="825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4800" cy="3497157"/>
                    </a:xfrm>
                    <a:prstGeom prst="rect">
                      <a:avLst/>
                    </a:prstGeom>
                    <a:noFill/>
                    <a:ln>
                      <a:noFill/>
                    </a:ln>
                  </pic:spPr>
                </pic:pic>
              </a:graphicData>
            </a:graphic>
          </wp:inline>
        </w:drawing>
      </w:r>
      <w:r w:rsidRPr="00D36AED">
        <w:rPr>
          <w:sz w:val="28"/>
          <w:szCs w:val="28"/>
        </w:rPr>
        <w:t xml:space="preserve"> </w:t>
      </w:r>
    </w:p>
    <w:p w14:paraId="050629F8" w14:textId="77777777" w:rsidR="00775BE5" w:rsidRDefault="00775BE5" w:rsidP="00775BE5">
      <w:pPr>
        <w:tabs>
          <w:tab w:val="left" w:pos="1080"/>
        </w:tabs>
        <w:overflowPunct w:val="0"/>
        <w:spacing w:line="360" w:lineRule="atLeast"/>
        <w:jc w:val="both"/>
        <w:rPr>
          <w:sz w:val="28"/>
          <w:szCs w:val="28"/>
        </w:rPr>
      </w:pPr>
    </w:p>
    <w:p w14:paraId="40F76A22" w14:textId="27D124BB" w:rsidR="00FB1C5C" w:rsidRPr="0013250C" w:rsidRDefault="00FB1C5C" w:rsidP="00065118">
      <w:pPr>
        <w:numPr>
          <w:ilvl w:val="1"/>
          <w:numId w:val="33"/>
        </w:numPr>
        <w:tabs>
          <w:tab w:val="left" w:pos="1080"/>
        </w:tabs>
        <w:overflowPunct w:val="0"/>
        <w:spacing w:line="360" w:lineRule="atLeast"/>
        <w:ind w:left="0" w:firstLine="0"/>
        <w:jc w:val="both"/>
        <w:rPr>
          <w:sz w:val="28"/>
          <w:szCs w:val="28"/>
          <w:shd w:val="pct15" w:color="auto" w:fill="FFFFFF"/>
        </w:rPr>
      </w:pPr>
      <w:r w:rsidRPr="00FC7D22">
        <w:rPr>
          <w:rFonts w:hint="eastAsia"/>
          <w:sz w:val="28"/>
          <w:szCs w:val="28"/>
        </w:rPr>
        <w:t>T</w:t>
      </w:r>
      <w:r w:rsidRPr="00FC7D22">
        <w:rPr>
          <w:sz w:val="28"/>
          <w:szCs w:val="28"/>
        </w:rPr>
        <w:t>he</w:t>
      </w:r>
      <w:r w:rsidRPr="00FC7D22">
        <w:rPr>
          <w:rFonts w:hint="eastAsia"/>
          <w:sz w:val="28"/>
          <w:szCs w:val="28"/>
        </w:rPr>
        <w:t xml:space="preserve"> index of</w:t>
      </w:r>
      <w:r w:rsidRPr="00FC7D22">
        <w:rPr>
          <w:sz w:val="28"/>
          <w:szCs w:val="28"/>
        </w:rPr>
        <w:t xml:space="preserve"> home purchase affordability (i.e. the ratio of mortgage payment for a 45-square metre flat to median income of households, excluding those living in public</w:t>
      </w:r>
      <w:r w:rsidRPr="00FC7D22">
        <w:rPr>
          <w:rFonts w:hint="eastAsia"/>
          <w:sz w:val="28"/>
          <w:szCs w:val="28"/>
        </w:rPr>
        <w:t xml:space="preserve"> </w:t>
      </w:r>
      <w:r w:rsidRPr="00FC7D22">
        <w:rPr>
          <w:sz w:val="28"/>
          <w:szCs w:val="28"/>
        </w:rPr>
        <w:t>rental housing and public temporary housing)</w:t>
      </w:r>
      <w:r w:rsidRPr="00FC7D22">
        <w:rPr>
          <w:rFonts w:hint="eastAsia"/>
          <w:sz w:val="28"/>
          <w:szCs w:val="28"/>
        </w:rPr>
        <w:t xml:space="preserve"> </w:t>
      </w:r>
      <w:r w:rsidR="00EE769F">
        <w:rPr>
          <w:sz w:val="28"/>
        </w:rPr>
        <w:t>improved</w:t>
      </w:r>
      <w:r w:rsidR="000669BD" w:rsidRPr="00FC7D22">
        <w:rPr>
          <w:sz w:val="28"/>
        </w:rPr>
        <w:t xml:space="preserve"> </w:t>
      </w:r>
      <w:r w:rsidR="00A6523C" w:rsidRPr="00FC7D22">
        <w:rPr>
          <w:sz w:val="28"/>
        </w:rPr>
        <w:t>further</w:t>
      </w:r>
      <w:r w:rsidR="00756D9E" w:rsidRPr="00FC7D22">
        <w:rPr>
          <w:sz w:val="28"/>
          <w:szCs w:val="28"/>
        </w:rPr>
        <w:t xml:space="preserve"> to</w:t>
      </w:r>
      <w:r w:rsidRPr="00FC7D22">
        <w:rPr>
          <w:sz w:val="28"/>
          <w:szCs w:val="28"/>
        </w:rPr>
        <w:t xml:space="preserve"> around </w:t>
      </w:r>
      <w:r w:rsidR="00E74CC6" w:rsidRPr="006A23CE">
        <w:rPr>
          <w:sz w:val="28"/>
          <w:szCs w:val="28"/>
          <w:lang w:eastAsia="zh-HK"/>
        </w:rPr>
        <w:t>6</w:t>
      </w:r>
      <w:r w:rsidR="00B77386">
        <w:rPr>
          <w:sz w:val="28"/>
          <w:szCs w:val="28"/>
          <w:lang w:eastAsia="zh-HK"/>
        </w:rPr>
        <w:t>1</w:t>
      </w:r>
      <w:r w:rsidRPr="00FC7D22">
        <w:rPr>
          <w:rFonts w:hint="eastAsia"/>
          <w:sz w:val="28"/>
          <w:szCs w:val="28"/>
        </w:rPr>
        <w:t>%</w:t>
      </w:r>
      <w:r w:rsidRPr="00FC7D22">
        <w:rPr>
          <w:sz w:val="28"/>
          <w:szCs w:val="28"/>
        </w:rPr>
        <w:t xml:space="preserve"> in the fourth quarter of 202</w:t>
      </w:r>
      <w:r w:rsidR="00E57BF7" w:rsidRPr="00FC7D22">
        <w:rPr>
          <w:sz w:val="28"/>
          <w:szCs w:val="28"/>
        </w:rPr>
        <w:t>4</w:t>
      </w:r>
      <w:r w:rsidR="00756D9E" w:rsidRPr="00FC7D22">
        <w:rPr>
          <w:sz w:val="28"/>
          <w:szCs w:val="28"/>
        </w:rPr>
        <w:t xml:space="preserve"> </w:t>
      </w:r>
      <w:r w:rsidR="00A6523C" w:rsidRPr="00FC7D22">
        <w:rPr>
          <w:sz w:val="28"/>
          <w:szCs w:val="28"/>
        </w:rPr>
        <w:t>along</w:t>
      </w:r>
      <w:r w:rsidR="00CB132F">
        <w:rPr>
          <w:sz w:val="28"/>
          <w:szCs w:val="28"/>
        </w:rPr>
        <w:t>side</w:t>
      </w:r>
      <w:r w:rsidR="00A6523C" w:rsidRPr="00FC7D22">
        <w:rPr>
          <w:sz w:val="28"/>
          <w:szCs w:val="28"/>
        </w:rPr>
        <w:t xml:space="preserve"> the </w:t>
      </w:r>
      <w:r w:rsidR="00FC7D22" w:rsidRPr="00FC7D22">
        <w:rPr>
          <w:sz w:val="28"/>
          <w:szCs w:val="28"/>
        </w:rPr>
        <w:t>de</w:t>
      </w:r>
      <w:r w:rsidR="00A6523C" w:rsidRPr="00FC7D22">
        <w:rPr>
          <w:sz w:val="28"/>
          <w:szCs w:val="28"/>
        </w:rPr>
        <w:t>crease in mortgage rates</w:t>
      </w:r>
      <w:r w:rsidR="00065118">
        <w:rPr>
          <w:sz w:val="28"/>
          <w:szCs w:val="28"/>
        </w:rPr>
        <w:t>.</w:t>
      </w:r>
      <w:r w:rsidR="00C50D2D" w:rsidRPr="00FC7D22">
        <w:rPr>
          <w:sz w:val="28"/>
          <w:szCs w:val="28"/>
        </w:rPr>
        <w:t xml:space="preserve"> </w:t>
      </w:r>
      <w:r w:rsidR="00C233A5">
        <w:rPr>
          <w:sz w:val="28"/>
          <w:szCs w:val="28"/>
        </w:rPr>
        <w:t xml:space="preserve"> </w:t>
      </w:r>
      <w:r w:rsidR="00065118">
        <w:rPr>
          <w:sz w:val="28"/>
          <w:szCs w:val="28"/>
        </w:rPr>
        <w:t>Y</w:t>
      </w:r>
      <w:r w:rsidR="000669BD">
        <w:rPr>
          <w:sz w:val="28"/>
          <w:szCs w:val="28"/>
        </w:rPr>
        <w:t>et</w:t>
      </w:r>
      <w:r w:rsidR="00C50D2D" w:rsidRPr="00FC7D22">
        <w:rPr>
          <w:sz w:val="28"/>
          <w:szCs w:val="28"/>
        </w:rPr>
        <w:t xml:space="preserve"> </w:t>
      </w:r>
      <w:r w:rsidR="00065118">
        <w:rPr>
          <w:sz w:val="28"/>
          <w:szCs w:val="28"/>
        </w:rPr>
        <w:t xml:space="preserve">it </w:t>
      </w:r>
      <w:r w:rsidR="00CB132F">
        <w:rPr>
          <w:sz w:val="28"/>
          <w:szCs w:val="28"/>
        </w:rPr>
        <w:t xml:space="preserve">was </w:t>
      </w:r>
      <w:r w:rsidR="00EE769F">
        <w:rPr>
          <w:sz w:val="28"/>
          <w:szCs w:val="28"/>
        </w:rPr>
        <w:t>still</w:t>
      </w:r>
      <w:r w:rsidR="00EE769F" w:rsidRPr="00FC7D22">
        <w:rPr>
          <w:sz w:val="28"/>
          <w:szCs w:val="28"/>
        </w:rPr>
        <w:t xml:space="preserve"> </w:t>
      </w:r>
      <w:r w:rsidR="009C0FEC" w:rsidRPr="00FC7D22">
        <w:rPr>
          <w:sz w:val="28"/>
          <w:szCs w:val="28"/>
        </w:rPr>
        <w:t>above the long</w:t>
      </w:r>
      <w:r w:rsidR="00C50D2D" w:rsidRPr="00FC7D22">
        <w:rPr>
          <w:sz w:val="28"/>
          <w:szCs w:val="28"/>
        </w:rPr>
        <w:noBreakHyphen/>
      </w:r>
      <w:r w:rsidR="009C0FEC" w:rsidRPr="00FC7D22">
        <w:rPr>
          <w:sz w:val="28"/>
          <w:szCs w:val="28"/>
        </w:rPr>
        <w:t>term average of 5</w:t>
      </w:r>
      <w:r w:rsidR="00C50D2D" w:rsidRPr="00FC7D22">
        <w:rPr>
          <w:sz w:val="28"/>
          <w:szCs w:val="28"/>
        </w:rPr>
        <w:t>4</w:t>
      </w:r>
      <w:r w:rsidR="009C0FEC" w:rsidRPr="00FC7D22">
        <w:rPr>
          <w:sz w:val="28"/>
          <w:szCs w:val="28"/>
        </w:rPr>
        <w:t>% over 200</w:t>
      </w:r>
      <w:r w:rsidR="00C50D2D" w:rsidRPr="00FC7D22">
        <w:rPr>
          <w:sz w:val="28"/>
          <w:szCs w:val="28"/>
        </w:rPr>
        <w:t>4</w:t>
      </w:r>
      <w:r w:rsidR="009C0FEC" w:rsidRPr="00FC7D22">
        <w:rPr>
          <w:sz w:val="28"/>
          <w:szCs w:val="28"/>
        </w:rPr>
        <w:noBreakHyphen/>
      </w:r>
      <w:proofErr w:type="gramStart"/>
      <w:r w:rsidR="009C0FEC" w:rsidRPr="00FC7D22">
        <w:rPr>
          <w:sz w:val="28"/>
          <w:szCs w:val="28"/>
        </w:rPr>
        <w:t>202</w:t>
      </w:r>
      <w:r w:rsidR="00C50D2D" w:rsidRPr="00FC7D22">
        <w:rPr>
          <w:sz w:val="28"/>
          <w:szCs w:val="28"/>
        </w:rPr>
        <w:t>3</w:t>
      </w:r>
      <w:r w:rsidRPr="00FC7D22">
        <w:rPr>
          <w:sz w:val="28"/>
          <w:szCs w:val="28"/>
          <w:vertAlign w:val="superscript"/>
        </w:rPr>
        <w:t>(</w:t>
      </w:r>
      <w:proofErr w:type="gramEnd"/>
      <w:r w:rsidRPr="00FC7D22">
        <w:rPr>
          <w:rFonts w:hint="eastAsia"/>
          <w:sz w:val="28"/>
          <w:szCs w:val="28"/>
          <w:vertAlign w:val="superscript"/>
        </w:rPr>
        <w:t>1</w:t>
      </w:r>
      <w:r w:rsidRPr="00FC7D22">
        <w:rPr>
          <w:sz w:val="28"/>
          <w:szCs w:val="28"/>
          <w:vertAlign w:val="superscript"/>
        </w:rPr>
        <w:t>)</w:t>
      </w:r>
      <w:r w:rsidR="00A60916" w:rsidRPr="00FC7D22">
        <w:rPr>
          <w:sz w:val="28"/>
          <w:szCs w:val="28"/>
        </w:rPr>
        <w:t>.</w:t>
      </w:r>
      <w:r w:rsidRPr="00FC7D22">
        <w:rPr>
          <w:sz w:val="28"/>
          <w:szCs w:val="28"/>
        </w:rPr>
        <w:t xml:space="preserve">  </w:t>
      </w:r>
    </w:p>
    <w:p w14:paraId="6EAF8486" w14:textId="77777777" w:rsidR="00FB1C5C" w:rsidRDefault="00FB1C5C" w:rsidP="00FB1C5C">
      <w:pPr>
        <w:tabs>
          <w:tab w:val="left" w:pos="1080"/>
        </w:tabs>
        <w:overflowPunct w:val="0"/>
        <w:spacing w:line="360" w:lineRule="atLeast"/>
        <w:jc w:val="both"/>
        <w:rPr>
          <w:sz w:val="28"/>
          <w:szCs w:val="28"/>
        </w:rPr>
      </w:pPr>
    </w:p>
    <w:p w14:paraId="5E7BF147" w14:textId="41D9E326" w:rsidR="00FB1C5C" w:rsidRDefault="00146D3D" w:rsidP="00FB1C5C">
      <w:pPr>
        <w:overflowPunct w:val="0"/>
      </w:pPr>
      <w:r w:rsidRPr="00146D3D">
        <w:rPr>
          <w:noProof/>
        </w:rPr>
        <w:lastRenderedPageBreak/>
        <w:drawing>
          <wp:inline distT="0" distB="0" distL="0" distR="0" wp14:anchorId="31AC6C84" wp14:editId="4504FCA6">
            <wp:extent cx="5733415" cy="3496312"/>
            <wp:effectExtent l="0" t="0" r="635" b="889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3415" cy="3496312"/>
                    </a:xfrm>
                    <a:prstGeom prst="rect">
                      <a:avLst/>
                    </a:prstGeom>
                    <a:noFill/>
                    <a:ln>
                      <a:noFill/>
                    </a:ln>
                  </pic:spPr>
                </pic:pic>
              </a:graphicData>
            </a:graphic>
          </wp:inline>
        </w:drawing>
      </w:r>
    </w:p>
    <w:p w14:paraId="53E42083" w14:textId="77777777" w:rsidR="00FB1C5C" w:rsidRPr="00D45CCE" w:rsidRDefault="00FB1C5C" w:rsidP="00FB1C5C">
      <w:pPr>
        <w:overflowPunct w:val="0"/>
        <w:rPr>
          <w:sz w:val="28"/>
          <w:szCs w:val="28"/>
        </w:rPr>
      </w:pPr>
    </w:p>
    <w:p w14:paraId="71C014C2" w14:textId="5405AF1A" w:rsidR="00BC17EC" w:rsidRPr="009931D9" w:rsidRDefault="00451016" w:rsidP="00700499">
      <w:pPr>
        <w:numPr>
          <w:ilvl w:val="1"/>
          <w:numId w:val="33"/>
        </w:numPr>
        <w:tabs>
          <w:tab w:val="left" w:pos="1080"/>
        </w:tabs>
        <w:overflowPunct w:val="0"/>
        <w:spacing w:line="360" w:lineRule="atLeast"/>
        <w:ind w:left="0" w:firstLine="0"/>
        <w:jc w:val="both"/>
        <w:rPr>
          <w:sz w:val="28"/>
          <w:szCs w:val="28"/>
        </w:rPr>
      </w:pPr>
      <w:r w:rsidRPr="009931D9">
        <w:rPr>
          <w:sz w:val="28"/>
          <w:szCs w:val="28"/>
        </w:rPr>
        <w:t xml:space="preserve">Maintaining a sustained supply of housing land in a prudent and pragmatic manner is </w:t>
      </w:r>
      <w:r w:rsidRPr="009931D9">
        <w:rPr>
          <w:sz w:val="28"/>
          <w:szCs w:val="28"/>
          <w:lang w:eastAsia="zh-HK"/>
        </w:rPr>
        <w:t xml:space="preserve">a policy priority of the </w:t>
      </w:r>
      <w:r w:rsidRPr="009931D9">
        <w:rPr>
          <w:sz w:val="28"/>
          <w:szCs w:val="28"/>
        </w:rPr>
        <w:t>Government to ensure the healthy and stable development of the residential property market.  For the</w:t>
      </w:r>
      <w:r w:rsidRPr="009931D9">
        <w:rPr>
          <w:sz w:val="28"/>
        </w:rPr>
        <w:t xml:space="preserve"> 2024</w:t>
      </w:r>
      <w:r w:rsidRPr="009931D9">
        <w:rPr>
          <w:sz w:val="28"/>
          <w:szCs w:val="28"/>
        </w:rPr>
        <w:t>-25 financial year</w:t>
      </w:r>
      <w:r w:rsidRPr="009931D9">
        <w:rPr>
          <w:rFonts w:hint="eastAsia"/>
          <w:sz w:val="28"/>
          <w:szCs w:val="28"/>
        </w:rPr>
        <w:t xml:space="preserve">, </w:t>
      </w:r>
      <w:r w:rsidRPr="009931D9">
        <w:rPr>
          <w:sz w:val="28"/>
          <w:szCs w:val="28"/>
        </w:rPr>
        <w:t>a total of four residential sites were sold by the Government under the Land Sale Programme,</w:t>
      </w:r>
      <w:r w:rsidRPr="009931D9">
        <w:rPr>
          <w:rFonts w:hint="eastAsia"/>
          <w:sz w:val="28"/>
          <w:szCs w:val="28"/>
        </w:rPr>
        <w:t xml:space="preserve"> capable of providing about </w:t>
      </w:r>
      <w:r w:rsidRPr="009931D9">
        <w:rPr>
          <w:sz w:val="28"/>
          <w:szCs w:val="28"/>
          <w:lang w:eastAsia="zh-HK"/>
        </w:rPr>
        <w:t>1 970 </w:t>
      </w:r>
      <w:r w:rsidRPr="009931D9">
        <w:rPr>
          <w:rFonts w:hint="eastAsia"/>
          <w:sz w:val="28"/>
          <w:szCs w:val="28"/>
          <w:lang w:val="en-US"/>
        </w:rPr>
        <w:t>units in total.</w:t>
      </w:r>
      <w:r w:rsidRPr="009931D9">
        <w:rPr>
          <w:sz w:val="28"/>
          <w:szCs w:val="28"/>
          <w:lang w:val="en-US"/>
        </w:rPr>
        <w:t xml:space="preserve">  </w:t>
      </w:r>
      <w:r w:rsidRPr="009931D9">
        <w:rPr>
          <w:sz w:val="28"/>
          <w:szCs w:val="28"/>
        </w:rPr>
        <w:t>Taking all sources of land supply into account</w:t>
      </w:r>
      <w:r w:rsidRPr="009931D9">
        <w:rPr>
          <w:rFonts w:eastAsia="細明體" w:hint="eastAsia"/>
          <w:kern w:val="0"/>
          <w:sz w:val="28"/>
          <w:szCs w:val="28"/>
        </w:rPr>
        <w:t>,</w:t>
      </w:r>
      <w:r w:rsidRPr="009931D9">
        <w:rPr>
          <w:sz w:val="28"/>
          <w:szCs w:val="28"/>
        </w:rPr>
        <w:t xml:space="preserve"> </w:t>
      </w:r>
      <w:r w:rsidRPr="009931D9">
        <w:rPr>
          <w:rFonts w:eastAsia="細明體" w:hint="eastAsia"/>
          <w:kern w:val="0"/>
          <w:sz w:val="28"/>
          <w:szCs w:val="28"/>
        </w:rPr>
        <w:t xml:space="preserve">the total private housing land supply in </w:t>
      </w:r>
      <w:r w:rsidRPr="009931D9">
        <w:rPr>
          <w:rFonts w:eastAsia="細明體"/>
          <w:kern w:val="0"/>
          <w:sz w:val="28"/>
          <w:szCs w:val="28"/>
        </w:rPr>
        <w:t xml:space="preserve">2024-25 is </w:t>
      </w:r>
      <w:r w:rsidRPr="009931D9">
        <w:rPr>
          <w:rFonts w:eastAsia="細明體" w:hint="eastAsia"/>
          <w:kern w:val="0"/>
          <w:sz w:val="28"/>
          <w:szCs w:val="28"/>
          <w:lang w:eastAsia="zh-HK"/>
        </w:rPr>
        <w:t xml:space="preserve">estimated </w:t>
      </w:r>
      <w:r w:rsidRPr="009931D9">
        <w:rPr>
          <w:rFonts w:eastAsia="細明體"/>
          <w:kern w:val="0"/>
          <w:sz w:val="28"/>
          <w:szCs w:val="28"/>
          <w:lang w:eastAsia="zh-HK"/>
        </w:rPr>
        <w:t xml:space="preserve">to have a </w:t>
      </w:r>
      <w:r w:rsidRPr="009931D9">
        <w:rPr>
          <w:rFonts w:eastAsia="細明體" w:hint="eastAsia"/>
          <w:kern w:val="0"/>
          <w:sz w:val="28"/>
          <w:szCs w:val="28"/>
          <w:lang w:eastAsia="zh-HK"/>
        </w:rPr>
        <w:t xml:space="preserve">capacity </w:t>
      </w:r>
      <w:r w:rsidRPr="009931D9">
        <w:rPr>
          <w:rFonts w:eastAsia="細明體"/>
          <w:kern w:val="0"/>
          <w:sz w:val="28"/>
          <w:szCs w:val="28"/>
          <w:lang w:eastAsia="zh-HK"/>
        </w:rPr>
        <w:t>to produce about</w:t>
      </w:r>
      <w:r w:rsidRPr="009931D9">
        <w:rPr>
          <w:rFonts w:eastAsia="細明體" w:hint="eastAsia"/>
          <w:kern w:val="0"/>
          <w:sz w:val="28"/>
          <w:szCs w:val="28"/>
        </w:rPr>
        <w:t xml:space="preserve"> </w:t>
      </w:r>
      <w:r w:rsidRPr="009931D9">
        <w:rPr>
          <w:rFonts w:eastAsia="細明體"/>
          <w:kern w:val="0"/>
          <w:sz w:val="28"/>
          <w:szCs w:val="28"/>
        </w:rPr>
        <w:t>8 </w:t>
      </w:r>
      <w:r w:rsidR="00EF2963">
        <w:rPr>
          <w:rFonts w:eastAsia="細明體"/>
          <w:kern w:val="0"/>
          <w:sz w:val="28"/>
          <w:szCs w:val="28"/>
        </w:rPr>
        <w:t>93</w:t>
      </w:r>
      <w:r w:rsidRPr="009931D9">
        <w:rPr>
          <w:rFonts w:eastAsia="細明體"/>
          <w:kern w:val="0"/>
          <w:sz w:val="28"/>
          <w:szCs w:val="28"/>
        </w:rPr>
        <w:t>0</w:t>
      </w:r>
      <w:r w:rsidRPr="009931D9">
        <w:rPr>
          <w:sz w:val="28"/>
          <w:szCs w:val="28"/>
          <w:lang w:val="en-US"/>
        </w:rPr>
        <w:t> </w:t>
      </w:r>
      <w:r w:rsidRPr="009931D9">
        <w:rPr>
          <w:rFonts w:hint="eastAsia"/>
          <w:sz w:val="28"/>
          <w:szCs w:val="28"/>
          <w:lang w:val="en-US"/>
        </w:rPr>
        <w:t>unit</w:t>
      </w:r>
      <w:r w:rsidRPr="009931D9">
        <w:rPr>
          <w:rFonts w:eastAsia="細明體" w:hint="eastAsia"/>
          <w:kern w:val="0"/>
          <w:sz w:val="28"/>
          <w:szCs w:val="28"/>
        </w:rPr>
        <w:t>s</w:t>
      </w:r>
      <w:r w:rsidRPr="009931D9">
        <w:rPr>
          <w:rFonts w:eastAsia="細明體"/>
          <w:kern w:val="0"/>
          <w:sz w:val="28"/>
          <w:szCs w:val="28"/>
        </w:rPr>
        <w:t>, around 6</w:t>
      </w:r>
      <w:r w:rsidR="007462EE">
        <w:rPr>
          <w:rFonts w:eastAsia="細明體"/>
          <w:kern w:val="0"/>
          <w:sz w:val="28"/>
          <w:szCs w:val="28"/>
        </w:rPr>
        <w:t>8</w:t>
      </w:r>
      <w:r w:rsidRPr="009931D9">
        <w:rPr>
          <w:rFonts w:eastAsia="細明體"/>
          <w:kern w:val="0"/>
          <w:sz w:val="28"/>
          <w:szCs w:val="28"/>
        </w:rPr>
        <w:t>% of the annual private housing supply target (13 200 units).  Despite the shortfall of about 4 </w:t>
      </w:r>
      <w:r w:rsidR="00B72756">
        <w:rPr>
          <w:rFonts w:eastAsia="細明體"/>
          <w:kern w:val="0"/>
          <w:sz w:val="28"/>
          <w:szCs w:val="28"/>
        </w:rPr>
        <w:t>27</w:t>
      </w:r>
      <w:r w:rsidRPr="009931D9">
        <w:rPr>
          <w:rFonts w:eastAsia="細明體"/>
          <w:kern w:val="0"/>
          <w:sz w:val="28"/>
          <w:szCs w:val="28"/>
        </w:rPr>
        <w:t>0 flats in this financial year</w:t>
      </w:r>
      <w:r w:rsidRPr="009E4BD6">
        <w:rPr>
          <w:kern w:val="0"/>
          <w:sz w:val="28"/>
        </w:rPr>
        <w:t xml:space="preserve"> </w:t>
      </w:r>
      <w:r w:rsidRPr="0089527D">
        <w:rPr>
          <w:rFonts w:eastAsia="細明體"/>
          <w:kern w:val="0"/>
          <w:sz w:val="28"/>
          <w:szCs w:val="28"/>
        </w:rPr>
        <w:t>when comparing against</w:t>
      </w:r>
      <w:r w:rsidRPr="009E4BD6">
        <w:rPr>
          <w:kern w:val="0"/>
          <w:sz w:val="28"/>
        </w:rPr>
        <w:t xml:space="preserve"> the </w:t>
      </w:r>
      <w:r w:rsidRPr="0089527D">
        <w:rPr>
          <w:rFonts w:eastAsia="細明體"/>
          <w:kern w:val="0"/>
          <w:sz w:val="28"/>
          <w:szCs w:val="28"/>
        </w:rPr>
        <w:t>annual target, private housing land supply from the past</w:t>
      </w:r>
      <w:r w:rsidRPr="009E4BD6">
        <w:rPr>
          <w:kern w:val="0"/>
          <w:sz w:val="28"/>
        </w:rPr>
        <w:t xml:space="preserve"> four financial year</w:t>
      </w:r>
      <w:r w:rsidR="007862E2" w:rsidRPr="009E4BD6">
        <w:rPr>
          <w:kern w:val="0"/>
          <w:sz w:val="28"/>
        </w:rPr>
        <w:t>s</w:t>
      </w:r>
      <w:r w:rsidRPr="0089527D">
        <w:rPr>
          <w:rFonts w:eastAsia="細明體"/>
          <w:kern w:val="0"/>
          <w:sz w:val="28"/>
          <w:szCs w:val="28"/>
        </w:rPr>
        <w:t xml:space="preserve"> has exceeded the annual target</w:t>
      </w:r>
      <w:r w:rsidRPr="009931D9">
        <w:rPr>
          <w:rFonts w:eastAsia="細明體"/>
          <w:kern w:val="0"/>
          <w:sz w:val="28"/>
          <w:szCs w:val="28"/>
        </w:rPr>
        <w:t xml:space="preserve"> by an aggregate of about 12 000</w:t>
      </w:r>
      <w:r w:rsidR="008B0B5A" w:rsidRPr="009931D9">
        <w:rPr>
          <w:rFonts w:eastAsia="細明體"/>
          <w:kern w:val="0"/>
          <w:sz w:val="28"/>
          <w:szCs w:val="28"/>
          <w:lang w:val="en-US"/>
        </w:rPr>
        <w:t> </w:t>
      </w:r>
      <w:r w:rsidRPr="009931D9">
        <w:rPr>
          <w:rFonts w:eastAsia="細明體"/>
          <w:kern w:val="0"/>
          <w:sz w:val="28"/>
          <w:szCs w:val="28"/>
        </w:rPr>
        <w:t>flats, far more than the shortfall in this financial year.</w:t>
      </w:r>
    </w:p>
    <w:p w14:paraId="72EC529B" w14:textId="77777777" w:rsidR="00995D2B" w:rsidRPr="00003A85" w:rsidRDefault="00995D2B" w:rsidP="00FB1C5C">
      <w:pPr>
        <w:overflowPunct w:val="0"/>
        <w:spacing w:line="360" w:lineRule="atLeast"/>
        <w:jc w:val="both"/>
        <w:rPr>
          <w:sz w:val="28"/>
          <w:highlight w:val="green"/>
        </w:rPr>
      </w:pPr>
    </w:p>
    <w:p w14:paraId="40817C0C" w14:textId="75B23F06" w:rsidR="00FB1C5C" w:rsidRPr="006639A6" w:rsidRDefault="00FB1C5C" w:rsidP="007A02DF">
      <w:pPr>
        <w:numPr>
          <w:ilvl w:val="1"/>
          <w:numId w:val="33"/>
        </w:numPr>
        <w:tabs>
          <w:tab w:val="left" w:pos="1080"/>
        </w:tabs>
        <w:overflowPunct w:val="0"/>
        <w:spacing w:line="360" w:lineRule="atLeast"/>
        <w:ind w:left="0" w:firstLine="0"/>
        <w:jc w:val="both"/>
        <w:rPr>
          <w:rFonts w:eastAsia="細明體"/>
          <w:kern w:val="0"/>
          <w:sz w:val="28"/>
          <w:szCs w:val="28"/>
        </w:rPr>
      </w:pPr>
      <w:r w:rsidRPr="002F6DA1">
        <w:rPr>
          <w:sz w:val="28"/>
          <w:szCs w:val="28"/>
        </w:rPr>
        <w:t xml:space="preserve">Reflecting the Government’s sustained efforts in raising </w:t>
      </w:r>
      <w:r w:rsidR="004A3CF1" w:rsidRPr="004A3CF1">
        <w:rPr>
          <w:sz w:val="28"/>
          <w:szCs w:val="28"/>
        </w:rPr>
        <w:t>flat supply</w:t>
      </w:r>
      <w:r w:rsidRPr="002F6DA1">
        <w:rPr>
          <w:sz w:val="28"/>
          <w:szCs w:val="28"/>
        </w:rPr>
        <w:t xml:space="preserve">, </w:t>
      </w:r>
      <w:r w:rsidRPr="002F6DA1">
        <w:rPr>
          <w:rFonts w:hint="eastAsia"/>
          <w:sz w:val="28"/>
          <w:szCs w:val="28"/>
        </w:rPr>
        <w:t>t</w:t>
      </w:r>
      <w:r w:rsidRPr="002F6DA1">
        <w:rPr>
          <w:sz w:val="28"/>
          <w:szCs w:val="28"/>
        </w:rPr>
        <w:t xml:space="preserve">he </w:t>
      </w:r>
      <w:r w:rsidRPr="002F6DA1">
        <w:rPr>
          <w:i/>
          <w:sz w:val="28"/>
          <w:szCs w:val="28"/>
        </w:rPr>
        <w:t xml:space="preserve">total supply of </w:t>
      </w:r>
      <w:r>
        <w:rPr>
          <w:i/>
          <w:sz w:val="28"/>
          <w:szCs w:val="28"/>
        </w:rPr>
        <w:t xml:space="preserve">first-hand </w:t>
      </w:r>
      <w:r w:rsidRPr="002F6DA1">
        <w:rPr>
          <w:i/>
          <w:sz w:val="28"/>
          <w:szCs w:val="28"/>
        </w:rPr>
        <w:t>flats</w:t>
      </w:r>
      <w:r w:rsidRPr="002F6DA1">
        <w:rPr>
          <w:sz w:val="28"/>
          <w:szCs w:val="28"/>
        </w:rPr>
        <w:t xml:space="preserve"> </w:t>
      </w:r>
      <w:r w:rsidRPr="001B3B35">
        <w:rPr>
          <w:rFonts w:hint="eastAsia"/>
          <w:i/>
          <w:sz w:val="28"/>
          <w:szCs w:val="28"/>
          <w:lang w:eastAsia="zh-HK"/>
        </w:rPr>
        <w:t>in the private sector</w:t>
      </w:r>
      <w:r w:rsidRPr="002F6DA1">
        <w:rPr>
          <w:rFonts w:hint="eastAsia"/>
          <w:sz w:val="28"/>
          <w:szCs w:val="28"/>
          <w:lang w:eastAsia="zh-HK"/>
        </w:rPr>
        <w:t xml:space="preserve"> </w:t>
      </w:r>
      <w:r w:rsidRPr="002F6DA1">
        <w:rPr>
          <w:sz w:val="28"/>
          <w:szCs w:val="28"/>
        </w:rPr>
        <w:t xml:space="preserve">in the coming three to four years (comprising unsold flats of completed projects, flats under construction but not yet sold and flats on disposed sites where construction can start any time) </w:t>
      </w:r>
      <w:r w:rsidR="0013250C" w:rsidRPr="0013250C">
        <w:rPr>
          <w:sz w:val="28"/>
          <w:szCs w:val="28"/>
        </w:rPr>
        <w:t xml:space="preserve">remained at a </w:t>
      </w:r>
      <w:r w:rsidR="0013250C" w:rsidRPr="002102CE">
        <w:rPr>
          <w:sz w:val="28"/>
          <w:szCs w:val="28"/>
        </w:rPr>
        <w:t>high level of 10</w:t>
      </w:r>
      <w:r w:rsidR="00A55DC3">
        <w:rPr>
          <w:sz w:val="28"/>
          <w:szCs w:val="28"/>
        </w:rPr>
        <w:t>7</w:t>
      </w:r>
      <w:r w:rsidR="003907C5" w:rsidRPr="002102CE">
        <w:rPr>
          <w:sz w:val="28"/>
          <w:szCs w:val="28"/>
        </w:rPr>
        <w:t> </w:t>
      </w:r>
      <w:r w:rsidR="0013250C" w:rsidRPr="002102CE">
        <w:rPr>
          <w:sz w:val="28"/>
          <w:szCs w:val="28"/>
        </w:rPr>
        <w:t>000 units as estimated at end-2024</w:t>
      </w:r>
      <w:r w:rsidRPr="002102CE">
        <w:rPr>
          <w:sz w:val="28"/>
          <w:szCs w:val="28"/>
        </w:rPr>
        <w:t xml:space="preserve">.  </w:t>
      </w:r>
      <w:r w:rsidRPr="002102CE">
        <w:rPr>
          <w:rFonts w:hint="eastAsia"/>
          <w:sz w:val="28"/>
          <w:szCs w:val="28"/>
          <w:lang w:val="en-US"/>
        </w:rPr>
        <w:t>Another</w:t>
      </w:r>
      <w:r w:rsidRPr="002102CE">
        <w:rPr>
          <w:sz w:val="28"/>
          <w:szCs w:val="28"/>
        </w:rPr>
        <w:t xml:space="preserve"> </w:t>
      </w:r>
      <w:r w:rsidR="008404AF">
        <w:rPr>
          <w:sz w:val="28"/>
          <w:szCs w:val="28"/>
          <w:lang w:eastAsia="zh-HK"/>
        </w:rPr>
        <w:t>2</w:t>
      </w:r>
      <w:r w:rsidR="00AF46C8" w:rsidRPr="002102CE">
        <w:rPr>
          <w:sz w:val="28"/>
          <w:szCs w:val="28"/>
          <w:lang w:eastAsia="zh-HK"/>
        </w:rPr>
        <w:t> </w:t>
      </w:r>
      <w:r w:rsidR="00D13F7E">
        <w:rPr>
          <w:sz w:val="28"/>
          <w:szCs w:val="28"/>
          <w:lang w:eastAsia="zh-HK"/>
        </w:rPr>
        <w:t>1</w:t>
      </w:r>
      <w:r w:rsidR="00AF46C8" w:rsidRPr="002102CE">
        <w:rPr>
          <w:sz w:val="28"/>
          <w:szCs w:val="28"/>
          <w:lang w:eastAsia="zh-HK"/>
        </w:rPr>
        <w:t>00</w:t>
      </w:r>
      <w:r w:rsidR="005640BB" w:rsidDel="005640BB">
        <w:rPr>
          <w:sz w:val="28"/>
          <w:szCs w:val="28"/>
        </w:rPr>
        <w:t xml:space="preserve"> </w:t>
      </w:r>
      <w:r w:rsidRPr="002102CE">
        <w:rPr>
          <w:sz w:val="28"/>
          <w:szCs w:val="28"/>
        </w:rPr>
        <w:t>units could be added to the</w:t>
      </w:r>
      <w:r w:rsidRPr="002F6DA1">
        <w:rPr>
          <w:sz w:val="28"/>
          <w:szCs w:val="28"/>
        </w:rPr>
        <w:t xml:space="preserve"> total supply after the conversion of a number of residential sites into “disposed sites”.</w:t>
      </w:r>
    </w:p>
    <w:p w14:paraId="4280B2A6" w14:textId="77777777" w:rsidR="00FB1C5C" w:rsidRDefault="00FB1C5C" w:rsidP="00FB1C5C">
      <w:pPr>
        <w:pStyle w:val="afa"/>
        <w:ind w:leftChars="0" w:left="0"/>
        <w:rPr>
          <w:rFonts w:eastAsia="細明體"/>
          <w:kern w:val="0"/>
          <w:sz w:val="28"/>
          <w:szCs w:val="28"/>
        </w:rPr>
      </w:pPr>
    </w:p>
    <w:p w14:paraId="5E525F6C" w14:textId="377A44DD" w:rsidR="00FB1C5C" w:rsidRPr="00746AD6" w:rsidRDefault="00FB1C5C" w:rsidP="007A02DF">
      <w:pPr>
        <w:keepLines/>
        <w:numPr>
          <w:ilvl w:val="1"/>
          <w:numId w:val="33"/>
        </w:numPr>
        <w:tabs>
          <w:tab w:val="left" w:pos="1080"/>
        </w:tabs>
        <w:overflowPunct w:val="0"/>
        <w:spacing w:line="360" w:lineRule="atLeast"/>
        <w:ind w:left="0" w:firstLine="0"/>
        <w:jc w:val="both"/>
        <w:rPr>
          <w:sz w:val="28"/>
          <w:szCs w:val="28"/>
        </w:rPr>
      </w:pPr>
      <w:r w:rsidRPr="00A9156D">
        <w:rPr>
          <w:sz w:val="28"/>
          <w:szCs w:val="28"/>
          <w:lang w:eastAsia="zh-HK"/>
        </w:rPr>
        <w:lastRenderedPageBreak/>
        <w:t>T</w:t>
      </w:r>
      <w:r w:rsidRPr="00A9156D">
        <w:rPr>
          <w:sz w:val="28"/>
          <w:szCs w:val="28"/>
        </w:rPr>
        <w:t>he</w:t>
      </w:r>
      <w:r w:rsidRPr="00A9156D">
        <w:rPr>
          <w:sz w:val="28"/>
          <w:szCs w:val="28"/>
          <w:lang w:val="en-US"/>
        </w:rPr>
        <w:t xml:space="preserve"> </w:t>
      </w:r>
      <w:r w:rsidRPr="00A9156D">
        <w:rPr>
          <w:sz w:val="28"/>
          <w:szCs w:val="28"/>
        </w:rPr>
        <w:t xml:space="preserve">demand-supply balance of </w:t>
      </w:r>
      <w:r w:rsidRPr="00A9156D">
        <w:rPr>
          <w:sz w:val="28"/>
          <w:szCs w:val="28"/>
          <w:lang w:eastAsia="zh-HK"/>
        </w:rPr>
        <w:t xml:space="preserve">private </w:t>
      </w:r>
      <w:r w:rsidRPr="00A9156D">
        <w:rPr>
          <w:sz w:val="28"/>
          <w:szCs w:val="28"/>
        </w:rPr>
        <w:t xml:space="preserve">flats </w:t>
      </w:r>
      <w:r w:rsidR="00B55A6F" w:rsidRPr="0007629D">
        <w:rPr>
          <w:sz w:val="28"/>
          <w:szCs w:val="28"/>
        </w:rPr>
        <w:t xml:space="preserve">showed some </w:t>
      </w:r>
      <w:r w:rsidR="004218E3">
        <w:rPr>
          <w:sz w:val="28"/>
          <w:szCs w:val="28"/>
        </w:rPr>
        <w:t>relaxation</w:t>
      </w:r>
      <w:r w:rsidRPr="00A9156D">
        <w:rPr>
          <w:sz w:val="28"/>
          <w:szCs w:val="28"/>
        </w:rPr>
        <w:t xml:space="preserve"> </w:t>
      </w:r>
      <w:r w:rsidR="007A02DF">
        <w:rPr>
          <w:sz w:val="28"/>
          <w:szCs w:val="28"/>
        </w:rPr>
        <w:t xml:space="preserve">in </w:t>
      </w:r>
      <w:r w:rsidRPr="00A9156D">
        <w:rPr>
          <w:sz w:val="28"/>
          <w:szCs w:val="28"/>
        </w:rPr>
        <w:t>202</w:t>
      </w:r>
      <w:r w:rsidR="00BF3B1C">
        <w:rPr>
          <w:sz w:val="28"/>
          <w:szCs w:val="28"/>
        </w:rPr>
        <w:t>4</w:t>
      </w:r>
      <w:r w:rsidRPr="00A9156D">
        <w:rPr>
          <w:sz w:val="28"/>
          <w:szCs w:val="28"/>
        </w:rPr>
        <w:t xml:space="preserve">.  The gross completions of private flats </w:t>
      </w:r>
      <w:r w:rsidR="00E22872">
        <w:rPr>
          <w:sz w:val="28"/>
          <w:szCs w:val="28"/>
        </w:rPr>
        <w:t>jumped</w:t>
      </w:r>
      <w:r w:rsidR="00725361">
        <w:rPr>
          <w:sz w:val="28"/>
          <w:szCs w:val="28"/>
        </w:rPr>
        <w:t xml:space="preserve"> </w:t>
      </w:r>
      <w:r w:rsidRPr="00A9156D">
        <w:rPr>
          <w:sz w:val="28"/>
          <w:szCs w:val="28"/>
        </w:rPr>
        <w:t xml:space="preserve">by </w:t>
      </w:r>
      <w:r w:rsidR="0012172B">
        <w:rPr>
          <w:sz w:val="28"/>
          <w:szCs w:val="28"/>
        </w:rPr>
        <w:t>75</w:t>
      </w:r>
      <w:r w:rsidRPr="00A9156D">
        <w:rPr>
          <w:sz w:val="28"/>
          <w:szCs w:val="28"/>
        </w:rPr>
        <w:t xml:space="preserve">% </w:t>
      </w:r>
      <w:r w:rsidRPr="00A70172">
        <w:rPr>
          <w:sz w:val="28"/>
          <w:szCs w:val="28"/>
        </w:rPr>
        <w:t xml:space="preserve">to </w:t>
      </w:r>
      <w:r w:rsidR="00BF3B1C" w:rsidRPr="00A70172">
        <w:rPr>
          <w:sz w:val="28"/>
          <w:szCs w:val="28"/>
        </w:rPr>
        <w:t>2</w:t>
      </w:r>
      <w:r w:rsidR="00CB62A0">
        <w:rPr>
          <w:sz w:val="28"/>
          <w:szCs w:val="28"/>
        </w:rPr>
        <w:t>4</w:t>
      </w:r>
      <w:r w:rsidR="000A5CF7" w:rsidRPr="00A70172">
        <w:rPr>
          <w:sz w:val="28"/>
          <w:szCs w:val="28"/>
        </w:rPr>
        <w:t> </w:t>
      </w:r>
      <w:r w:rsidR="00CB62A0">
        <w:rPr>
          <w:sz w:val="28"/>
          <w:szCs w:val="28"/>
        </w:rPr>
        <w:t>3</w:t>
      </w:r>
      <w:r w:rsidR="00BF3B1C" w:rsidRPr="00A70172">
        <w:rPr>
          <w:sz w:val="28"/>
          <w:szCs w:val="28"/>
        </w:rPr>
        <w:t>00</w:t>
      </w:r>
      <w:r w:rsidRPr="00A70172">
        <w:rPr>
          <w:sz w:val="28"/>
          <w:szCs w:val="28"/>
        </w:rPr>
        <w:t> units.  After netting off demolition</w:t>
      </w:r>
      <w:r w:rsidR="00BF2382" w:rsidRPr="00A70172">
        <w:rPr>
          <w:sz w:val="28"/>
          <w:szCs w:val="28"/>
        </w:rPr>
        <w:t>s</w:t>
      </w:r>
      <w:r w:rsidRPr="00A70172">
        <w:rPr>
          <w:sz w:val="28"/>
          <w:szCs w:val="28"/>
        </w:rPr>
        <w:t xml:space="preserve">, the net completions of </w:t>
      </w:r>
      <w:r w:rsidR="00B55A6F">
        <w:rPr>
          <w:sz w:val="28"/>
          <w:szCs w:val="28"/>
        </w:rPr>
        <w:t>23</w:t>
      </w:r>
      <w:r w:rsidR="008727B5" w:rsidRPr="00A70172">
        <w:rPr>
          <w:sz w:val="28"/>
          <w:szCs w:val="28"/>
          <w:lang w:val="en-US" w:eastAsia="zh-HK"/>
        </w:rPr>
        <w:t> </w:t>
      </w:r>
      <w:r w:rsidR="00B55A6F">
        <w:rPr>
          <w:sz w:val="28"/>
          <w:szCs w:val="28"/>
          <w:lang w:val="en-US" w:eastAsia="zh-HK"/>
        </w:rPr>
        <w:t>1</w:t>
      </w:r>
      <w:r w:rsidR="00EF687E" w:rsidRPr="00A70172">
        <w:rPr>
          <w:sz w:val="28"/>
          <w:szCs w:val="28"/>
          <w:lang w:val="en-US" w:eastAsia="zh-HK"/>
        </w:rPr>
        <w:t>00</w:t>
      </w:r>
      <w:r w:rsidRPr="00A70172">
        <w:rPr>
          <w:sz w:val="28"/>
          <w:szCs w:val="28"/>
          <w:lang w:val="en-US"/>
        </w:rPr>
        <w:t> </w:t>
      </w:r>
      <w:r w:rsidRPr="00A70172">
        <w:rPr>
          <w:sz w:val="28"/>
          <w:szCs w:val="28"/>
        </w:rPr>
        <w:t xml:space="preserve">units were </w:t>
      </w:r>
      <w:r w:rsidR="00B55A6F">
        <w:rPr>
          <w:sz w:val="28"/>
          <w:szCs w:val="28"/>
        </w:rPr>
        <w:t>higher</w:t>
      </w:r>
      <w:r w:rsidR="00E00FB1">
        <w:rPr>
          <w:sz w:val="28"/>
          <w:szCs w:val="28"/>
        </w:rPr>
        <w:t xml:space="preserve"> than</w:t>
      </w:r>
      <w:r w:rsidRPr="00A70172">
        <w:rPr>
          <w:sz w:val="28"/>
          <w:szCs w:val="28"/>
        </w:rPr>
        <w:t xml:space="preserve"> the take-up of </w:t>
      </w:r>
      <w:r w:rsidR="00AE6E2A" w:rsidRPr="00A70172">
        <w:rPr>
          <w:sz w:val="28"/>
          <w:szCs w:val="28"/>
        </w:rPr>
        <w:t>1</w:t>
      </w:r>
      <w:r w:rsidR="00B55A6F">
        <w:rPr>
          <w:sz w:val="28"/>
          <w:szCs w:val="28"/>
        </w:rPr>
        <w:t>7</w:t>
      </w:r>
      <w:r w:rsidR="00AE6E2A" w:rsidRPr="00A70172">
        <w:rPr>
          <w:sz w:val="28"/>
          <w:szCs w:val="28"/>
        </w:rPr>
        <w:t> </w:t>
      </w:r>
      <w:r w:rsidR="00B55A6F">
        <w:rPr>
          <w:sz w:val="28"/>
          <w:szCs w:val="28"/>
          <w:lang w:eastAsia="zh-HK"/>
        </w:rPr>
        <w:t>3</w:t>
      </w:r>
      <w:r w:rsidR="00AE6E2A" w:rsidRPr="00A70172">
        <w:rPr>
          <w:sz w:val="28"/>
          <w:szCs w:val="28"/>
          <w:lang w:eastAsia="zh-HK"/>
        </w:rPr>
        <w:t>00</w:t>
      </w:r>
      <w:r w:rsidR="00AE6E2A" w:rsidRPr="00A70172">
        <w:rPr>
          <w:sz w:val="28"/>
          <w:szCs w:val="28"/>
          <w:lang w:val="en-US"/>
        </w:rPr>
        <w:t> </w:t>
      </w:r>
      <w:proofErr w:type="gramStart"/>
      <w:r w:rsidRPr="00A70172">
        <w:rPr>
          <w:sz w:val="28"/>
          <w:szCs w:val="28"/>
        </w:rPr>
        <w:t>units</w:t>
      </w:r>
      <w:r w:rsidRPr="00A70172">
        <w:rPr>
          <w:sz w:val="28"/>
          <w:szCs w:val="28"/>
          <w:vertAlign w:val="superscript"/>
        </w:rPr>
        <w:t>(</w:t>
      </w:r>
      <w:proofErr w:type="gramEnd"/>
      <w:r w:rsidR="009E21ED">
        <w:rPr>
          <w:sz w:val="28"/>
          <w:szCs w:val="28"/>
          <w:vertAlign w:val="superscript"/>
          <w:lang w:eastAsia="zh-HK"/>
        </w:rPr>
        <w:t>2</w:t>
      </w:r>
      <w:r w:rsidRPr="00A70172">
        <w:rPr>
          <w:sz w:val="28"/>
          <w:szCs w:val="28"/>
          <w:vertAlign w:val="superscript"/>
        </w:rPr>
        <w:t>)</w:t>
      </w:r>
      <w:r w:rsidRPr="00A70172">
        <w:rPr>
          <w:sz w:val="28"/>
          <w:szCs w:val="28"/>
        </w:rPr>
        <w:t xml:space="preserve">.  As a result, the vacancy rate </w:t>
      </w:r>
      <w:r w:rsidR="00B55A6F">
        <w:rPr>
          <w:sz w:val="28"/>
          <w:szCs w:val="28"/>
        </w:rPr>
        <w:t>rose</w:t>
      </w:r>
      <w:r w:rsidR="00BA38AD" w:rsidRPr="00A70172">
        <w:rPr>
          <w:sz w:val="28"/>
          <w:szCs w:val="28"/>
        </w:rPr>
        <w:t xml:space="preserve"> </w:t>
      </w:r>
      <w:r w:rsidRPr="00A70172">
        <w:rPr>
          <w:sz w:val="28"/>
          <w:szCs w:val="28"/>
        </w:rPr>
        <w:t xml:space="preserve">from </w:t>
      </w:r>
      <w:r w:rsidR="00A70172" w:rsidRPr="00A70172">
        <w:rPr>
          <w:sz w:val="28"/>
          <w:szCs w:val="28"/>
        </w:rPr>
        <w:t>4.1% at end</w:t>
      </w:r>
      <w:r w:rsidR="00A70172" w:rsidRPr="00A70172">
        <w:rPr>
          <w:sz w:val="28"/>
          <w:szCs w:val="28"/>
        </w:rPr>
        <w:noBreakHyphen/>
        <w:t>2023</w:t>
      </w:r>
      <w:r w:rsidRPr="00A70172">
        <w:rPr>
          <w:sz w:val="28"/>
          <w:szCs w:val="28"/>
        </w:rPr>
        <w:t xml:space="preserve"> to </w:t>
      </w:r>
      <w:r w:rsidR="00B55A6F">
        <w:rPr>
          <w:sz w:val="28"/>
          <w:szCs w:val="28"/>
        </w:rPr>
        <w:t>4.5</w:t>
      </w:r>
      <w:r w:rsidRPr="00A70172">
        <w:rPr>
          <w:sz w:val="28"/>
          <w:szCs w:val="28"/>
        </w:rPr>
        <w:t>% at end</w:t>
      </w:r>
      <w:r w:rsidR="00BA38AD" w:rsidRPr="00A70172">
        <w:rPr>
          <w:sz w:val="28"/>
          <w:szCs w:val="28"/>
        </w:rPr>
        <w:noBreakHyphen/>
      </w:r>
      <w:r w:rsidRPr="00A70172">
        <w:rPr>
          <w:sz w:val="28"/>
          <w:szCs w:val="28"/>
        </w:rPr>
        <w:t>202</w:t>
      </w:r>
      <w:r w:rsidR="00A70172" w:rsidRPr="00A70172">
        <w:rPr>
          <w:sz w:val="28"/>
          <w:szCs w:val="28"/>
        </w:rPr>
        <w:t>4</w:t>
      </w:r>
      <w:r w:rsidRPr="00A9156D">
        <w:rPr>
          <w:sz w:val="28"/>
          <w:szCs w:val="28"/>
        </w:rPr>
        <w:t xml:space="preserve">, </w:t>
      </w:r>
      <w:r w:rsidR="004218E3">
        <w:rPr>
          <w:sz w:val="28"/>
          <w:szCs w:val="28"/>
        </w:rPr>
        <w:t xml:space="preserve">on par with </w:t>
      </w:r>
      <w:r w:rsidRPr="00A9156D">
        <w:rPr>
          <w:sz w:val="28"/>
          <w:szCs w:val="28"/>
        </w:rPr>
        <w:t xml:space="preserve">the </w:t>
      </w:r>
      <w:r w:rsidRPr="00A9156D">
        <w:rPr>
          <w:sz w:val="28"/>
          <w:szCs w:val="28"/>
          <w:lang w:eastAsia="zh-HK"/>
        </w:rPr>
        <w:t>long</w:t>
      </w:r>
      <w:r w:rsidR="00704F2D">
        <w:rPr>
          <w:sz w:val="28"/>
          <w:szCs w:val="28"/>
          <w:lang w:eastAsia="zh-HK"/>
        </w:rPr>
        <w:noBreakHyphen/>
      </w:r>
      <w:r w:rsidRPr="00A9156D">
        <w:rPr>
          <w:sz w:val="28"/>
          <w:szCs w:val="28"/>
          <w:lang w:eastAsia="zh-HK"/>
        </w:rPr>
        <w:t xml:space="preserve">term </w:t>
      </w:r>
      <w:r w:rsidRPr="00A9156D">
        <w:rPr>
          <w:sz w:val="28"/>
          <w:szCs w:val="28"/>
        </w:rPr>
        <w:t>average of 200</w:t>
      </w:r>
      <w:r w:rsidR="00A70172">
        <w:rPr>
          <w:sz w:val="28"/>
          <w:szCs w:val="28"/>
        </w:rPr>
        <w:t>4</w:t>
      </w:r>
      <w:r w:rsidR="00A37FAE">
        <w:rPr>
          <w:sz w:val="28"/>
          <w:szCs w:val="28"/>
        </w:rPr>
        <w:noBreakHyphen/>
      </w:r>
      <w:r w:rsidRPr="00A9156D">
        <w:rPr>
          <w:sz w:val="28"/>
          <w:szCs w:val="28"/>
        </w:rPr>
        <w:t>202</w:t>
      </w:r>
      <w:r w:rsidR="00A70172">
        <w:rPr>
          <w:sz w:val="28"/>
          <w:szCs w:val="28"/>
        </w:rPr>
        <w:t>3</w:t>
      </w:r>
      <w:r w:rsidRPr="007A5959">
        <w:rPr>
          <w:sz w:val="28"/>
          <w:szCs w:val="28"/>
        </w:rPr>
        <w:t>.</w:t>
      </w:r>
      <w:r w:rsidRPr="00A9156D">
        <w:rPr>
          <w:sz w:val="28"/>
          <w:szCs w:val="28"/>
        </w:rPr>
        <w:t xml:space="preserve">  The Rating and Valuation</w:t>
      </w:r>
      <w:r w:rsidRPr="00A9156D">
        <w:rPr>
          <w:sz w:val="28"/>
          <w:szCs w:val="28"/>
          <w:lang w:val="en-US"/>
        </w:rPr>
        <w:t xml:space="preserve"> </w:t>
      </w:r>
      <w:r w:rsidRPr="00A9156D">
        <w:rPr>
          <w:sz w:val="28"/>
          <w:szCs w:val="28"/>
        </w:rPr>
        <w:t xml:space="preserve">Department forecasts </w:t>
      </w:r>
      <w:r w:rsidRPr="00A9156D">
        <w:rPr>
          <w:rFonts w:hint="eastAsia"/>
          <w:sz w:val="28"/>
          <w:szCs w:val="28"/>
        </w:rPr>
        <w:t xml:space="preserve">gross </w:t>
      </w:r>
      <w:r w:rsidRPr="00A9156D">
        <w:rPr>
          <w:sz w:val="28"/>
          <w:szCs w:val="28"/>
        </w:rPr>
        <w:t xml:space="preserve">completions </w:t>
      </w:r>
      <w:r w:rsidRPr="00A9156D">
        <w:rPr>
          <w:rFonts w:hint="eastAsia"/>
          <w:sz w:val="28"/>
          <w:szCs w:val="28"/>
        </w:rPr>
        <w:t xml:space="preserve">at </w:t>
      </w:r>
      <w:r w:rsidR="008727B5">
        <w:rPr>
          <w:sz w:val="28"/>
          <w:szCs w:val="28"/>
          <w:lang w:val="en-US"/>
        </w:rPr>
        <w:t>2</w:t>
      </w:r>
      <w:r w:rsidR="00C51B0D">
        <w:rPr>
          <w:sz w:val="28"/>
          <w:szCs w:val="28"/>
          <w:lang w:val="en-US"/>
        </w:rPr>
        <w:t>0</w:t>
      </w:r>
      <w:r w:rsidR="008727B5">
        <w:rPr>
          <w:sz w:val="28"/>
          <w:szCs w:val="28"/>
          <w:lang w:val="en-US"/>
        </w:rPr>
        <w:t> </w:t>
      </w:r>
      <w:r w:rsidR="00C51B0D">
        <w:rPr>
          <w:sz w:val="28"/>
          <w:szCs w:val="28"/>
          <w:lang w:val="en-US"/>
        </w:rPr>
        <w:t>9</w:t>
      </w:r>
      <w:r w:rsidR="00A321E8">
        <w:rPr>
          <w:rFonts w:hint="eastAsia"/>
          <w:sz w:val="28"/>
          <w:szCs w:val="28"/>
          <w:lang w:val="en-US"/>
        </w:rPr>
        <w:t>00</w:t>
      </w:r>
      <w:r w:rsidRPr="00A9156D">
        <w:rPr>
          <w:sz w:val="28"/>
          <w:szCs w:val="28"/>
          <w:lang w:val="en-US"/>
        </w:rPr>
        <w:t> </w:t>
      </w:r>
      <w:r w:rsidRPr="00A9156D">
        <w:rPr>
          <w:sz w:val="28"/>
          <w:szCs w:val="28"/>
        </w:rPr>
        <w:t xml:space="preserve">units </w:t>
      </w:r>
      <w:r w:rsidRPr="00A9156D">
        <w:rPr>
          <w:rFonts w:hint="eastAsia"/>
          <w:sz w:val="28"/>
          <w:szCs w:val="28"/>
        </w:rPr>
        <w:t>in 202</w:t>
      </w:r>
      <w:r w:rsidR="00BF3B1C">
        <w:rPr>
          <w:sz w:val="28"/>
          <w:szCs w:val="28"/>
        </w:rPr>
        <w:t>5</w:t>
      </w:r>
      <w:r w:rsidRPr="00A9156D">
        <w:rPr>
          <w:rFonts w:hint="eastAsia"/>
          <w:sz w:val="28"/>
          <w:szCs w:val="28"/>
        </w:rPr>
        <w:t xml:space="preserve"> </w:t>
      </w:r>
      <w:r w:rsidRPr="00A9156D">
        <w:rPr>
          <w:sz w:val="28"/>
          <w:szCs w:val="28"/>
        </w:rPr>
        <w:t xml:space="preserve">and </w:t>
      </w:r>
      <w:r w:rsidR="00BF3B1C">
        <w:rPr>
          <w:sz w:val="28"/>
          <w:szCs w:val="28"/>
          <w:lang w:val="en-US"/>
        </w:rPr>
        <w:t>2</w:t>
      </w:r>
      <w:r w:rsidR="00C51B0D">
        <w:rPr>
          <w:sz w:val="28"/>
          <w:szCs w:val="28"/>
          <w:lang w:val="en-US"/>
        </w:rPr>
        <w:t>0</w:t>
      </w:r>
      <w:r w:rsidR="00BF3B1C">
        <w:rPr>
          <w:sz w:val="28"/>
          <w:szCs w:val="28"/>
          <w:lang w:val="en-US"/>
        </w:rPr>
        <w:t> </w:t>
      </w:r>
      <w:r w:rsidR="00C51B0D">
        <w:rPr>
          <w:sz w:val="28"/>
          <w:szCs w:val="28"/>
          <w:lang w:val="en-US"/>
        </w:rPr>
        <w:t>1</w:t>
      </w:r>
      <w:r w:rsidR="00BF3B1C">
        <w:rPr>
          <w:rFonts w:hint="eastAsia"/>
          <w:sz w:val="28"/>
          <w:szCs w:val="28"/>
          <w:lang w:val="en-US"/>
        </w:rPr>
        <w:t>00</w:t>
      </w:r>
      <w:r w:rsidRPr="00A9156D">
        <w:rPr>
          <w:sz w:val="28"/>
          <w:szCs w:val="28"/>
          <w:lang w:val="en-US"/>
        </w:rPr>
        <w:t> </w:t>
      </w:r>
      <w:r w:rsidRPr="00A9156D">
        <w:rPr>
          <w:sz w:val="28"/>
          <w:szCs w:val="28"/>
        </w:rPr>
        <w:t>units</w:t>
      </w:r>
      <w:r w:rsidRPr="00A9156D">
        <w:rPr>
          <w:sz w:val="28"/>
          <w:szCs w:val="28"/>
          <w:lang w:val="en-US"/>
        </w:rPr>
        <w:t xml:space="preserve"> </w:t>
      </w:r>
      <w:r w:rsidRPr="00A9156D">
        <w:rPr>
          <w:rFonts w:hint="eastAsia"/>
          <w:sz w:val="28"/>
          <w:szCs w:val="28"/>
        </w:rPr>
        <w:t>in 202</w:t>
      </w:r>
      <w:r w:rsidR="00BF3B1C">
        <w:rPr>
          <w:sz w:val="28"/>
          <w:szCs w:val="28"/>
        </w:rPr>
        <w:t>6</w:t>
      </w:r>
      <w:r w:rsidRPr="00A9156D">
        <w:rPr>
          <w:sz w:val="28"/>
          <w:szCs w:val="28"/>
          <w:vertAlign w:val="superscript"/>
        </w:rPr>
        <w:t>(</w:t>
      </w:r>
      <w:r w:rsidR="00816B1F">
        <w:rPr>
          <w:sz w:val="28"/>
          <w:szCs w:val="28"/>
          <w:vertAlign w:val="superscript"/>
          <w:lang w:eastAsia="zh-HK"/>
        </w:rPr>
        <w:t>3</w:t>
      </w:r>
      <w:r w:rsidRPr="00A9156D">
        <w:rPr>
          <w:sz w:val="28"/>
          <w:szCs w:val="28"/>
          <w:vertAlign w:val="superscript"/>
        </w:rPr>
        <w:t>)</w:t>
      </w:r>
      <w:r w:rsidRPr="00A9156D">
        <w:rPr>
          <w:sz w:val="28"/>
          <w:szCs w:val="28"/>
        </w:rPr>
        <w:t>, compared with</w:t>
      </w:r>
      <w:r w:rsidRPr="00A9156D">
        <w:rPr>
          <w:rFonts w:hint="eastAsia"/>
          <w:sz w:val="28"/>
          <w:szCs w:val="28"/>
        </w:rPr>
        <w:t xml:space="preserve"> </w:t>
      </w:r>
      <w:r w:rsidRPr="00A9156D">
        <w:rPr>
          <w:sz w:val="28"/>
          <w:szCs w:val="28"/>
        </w:rPr>
        <w:t xml:space="preserve">the average of </w:t>
      </w:r>
      <w:r w:rsidR="00A321E8">
        <w:rPr>
          <w:rFonts w:hint="eastAsia"/>
          <w:sz w:val="28"/>
          <w:szCs w:val="28"/>
        </w:rPr>
        <w:t>1</w:t>
      </w:r>
      <w:r w:rsidR="000E3C36">
        <w:rPr>
          <w:sz w:val="28"/>
          <w:szCs w:val="28"/>
        </w:rPr>
        <w:t>7</w:t>
      </w:r>
      <w:r w:rsidR="00A321E8">
        <w:rPr>
          <w:sz w:val="28"/>
          <w:szCs w:val="28"/>
          <w:lang w:val="en-US"/>
        </w:rPr>
        <w:t> </w:t>
      </w:r>
      <w:r w:rsidR="000E3C36">
        <w:rPr>
          <w:sz w:val="28"/>
          <w:szCs w:val="28"/>
          <w:lang w:val="en-US"/>
        </w:rPr>
        <w:t>3</w:t>
      </w:r>
      <w:r w:rsidR="00A52898">
        <w:rPr>
          <w:rFonts w:hint="eastAsia"/>
          <w:sz w:val="28"/>
          <w:szCs w:val="28"/>
          <w:lang w:val="en-US"/>
        </w:rPr>
        <w:t>00</w:t>
      </w:r>
      <w:r w:rsidRPr="00A9156D">
        <w:rPr>
          <w:sz w:val="28"/>
          <w:szCs w:val="28"/>
        </w:rPr>
        <w:t> units per annum</w:t>
      </w:r>
      <w:r w:rsidRPr="00A9156D">
        <w:rPr>
          <w:sz w:val="28"/>
          <w:szCs w:val="28"/>
          <w:lang w:val="en-US"/>
        </w:rPr>
        <w:t xml:space="preserve"> </w:t>
      </w:r>
      <w:r w:rsidRPr="00A9156D">
        <w:rPr>
          <w:sz w:val="28"/>
          <w:szCs w:val="28"/>
        </w:rPr>
        <w:t>in the past ten years (</w:t>
      </w:r>
      <w:r w:rsidR="00B72514" w:rsidRPr="00A9156D">
        <w:rPr>
          <w:sz w:val="28"/>
          <w:szCs w:val="28"/>
        </w:rPr>
        <w:t>201</w:t>
      </w:r>
      <w:r w:rsidR="00B72514">
        <w:rPr>
          <w:sz w:val="28"/>
          <w:szCs w:val="28"/>
        </w:rPr>
        <w:t>5</w:t>
      </w:r>
      <w:r w:rsidR="00915318">
        <w:rPr>
          <w:sz w:val="28"/>
          <w:szCs w:val="28"/>
        </w:rPr>
        <w:noBreakHyphen/>
      </w:r>
      <w:r w:rsidRPr="00A9156D">
        <w:rPr>
          <w:sz w:val="28"/>
          <w:szCs w:val="28"/>
        </w:rPr>
        <w:t>202</w:t>
      </w:r>
      <w:r w:rsidR="00BF3B1C">
        <w:rPr>
          <w:sz w:val="28"/>
          <w:szCs w:val="28"/>
        </w:rPr>
        <w:t>4</w:t>
      </w:r>
      <w:r w:rsidRPr="00A9156D">
        <w:rPr>
          <w:sz w:val="28"/>
          <w:szCs w:val="28"/>
        </w:rPr>
        <w:t>).</w:t>
      </w:r>
      <w:r w:rsidR="009F5338">
        <w:rPr>
          <w:sz w:val="28"/>
          <w:szCs w:val="28"/>
        </w:rPr>
        <w:t xml:space="preserve"> </w:t>
      </w:r>
      <w:r w:rsidR="00A17A3B">
        <w:rPr>
          <w:sz w:val="28"/>
          <w:szCs w:val="28"/>
        </w:rPr>
        <w:t xml:space="preserve"> </w:t>
      </w:r>
    </w:p>
    <w:p w14:paraId="22F86B00" w14:textId="301E25F7" w:rsidR="008A2BC1" w:rsidRPr="007D48DF" w:rsidRDefault="008A2BC1" w:rsidP="00DC24B2">
      <w:pPr>
        <w:rPr>
          <w:sz w:val="28"/>
          <w:szCs w:val="28"/>
          <w:shd w:val="pct15" w:color="auto" w:fill="FFFFFF"/>
        </w:rPr>
      </w:pPr>
    </w:p>
    <w:p w14:paraId="5EB116F2" w14:textId="425BAE5A" w:rsidR="001C1CAE" w:rsidRPr="00FB208D" w:rsidRDefault="003907C5" w:rsidP="00C01C4E">
      <w:pPr>
        <w:keepLines/>
        <w:numPr>
          <w:ilvl w:val="1"/>
          <w:numId w:val="33"/>
        </w:numPr>
        <w:tabs>
          <w:tab w:val="left" w:pos="1080"/>
        </w:tabs>
        <w:overflowPunct w:val="0"/>
        <w:spacing w:line="360" w:lineRule="atLeast"/>
        <w:ind w:left="0" w:firstLine="0"/>
        <w:jc w:val="both"/>
        <w:rPr>
          <w:sz w:val="28"/>
          <w:szCs w:val="28"/>
        </w:rPr>
      </w:pPr>
      <w:r w:rsidRPr="000E5821">
        <w:rPr>
          <w:sz w:val="28"/>
          <w:szCs w:val="28"/>
        </w:rPr>
        <w:t>The Government has been adopting a pragmatic approach in continuously evaluating the residential property market situation.  Aft</w:t>
      </w:r>
      <w:r w:rsidR="0016347B" w:rsidRPr="000E5821">
        <w:rPr>
          <w:sz w:val="28"/>
          <w:szCs w:val="28"/>
        </w:rPr>
        <w:t>er prudent consideration of the</w:t>
      </w:r>
      <w:r w:rsidR="0016347B" w:rsidRPr="000E5821">
        <w:rPr>
          <w:rFonts w:hint="eastAsia"/>
          <w:sz w:val="28"/>
          <w:szCs w:val="28"/>
        </w:rPr>
        <w:t xml:space="preserve"> then </w:t>
      </w:r>
      <w:r w:rsidRPr="000E5821">
        <w:rPr>
          <w:sz w:val="28"/>
          <w:szCs w:val="28"/>
        </w:rPr>
        <w:t>market situation and the high</w:t>
      </w:r>
      <w:r w:rsidRPr="000E5821">
        <w:rPr>
          <w:rFonts w:hint="eastAsia"/>
          <w:sz w:val="28"/>
          <w:szCs w:val="28"/>
        </w:rPr>
        <w:t xml:space="preserve"> level of</w:t>
      </w:r>
      <w:r w:rsidRPr="000E5821">
        <w:rPr>
          <w:sz w:val="28"/>
          <w:szCs w:val="28"/>
        </w:rPr>
        <w:t xml:space="preserve"> housing supply in the coming few years, the Government cancelled all DSMMs for residential properties on 28 February 2024</w:t>
      </w:r>
      <w:r w:rsidR="00EE769F">
        <w:rPr>
          <w:sz w:val="28"/>
          <w:szCs w:val="28"/>
        </w:rPr>
        <w:t xml:space="preserve"> as announced in the 2024-25 Budget</w:t>
      </w:r>
      <w:r w:rsidRPr="000E5821">
        <w:rPr>
          <w:sz w:val="28"/>
          <w:szCs w:val="28"/>
        </w:rPr>
        <w:t xml:space="preserve">.  </w:t>
      </w:r>
      <w:r w:rsidR="0016347B" w:rsidRPr="000E5821">
        <w:rPr>
          <w:sz w:val="28"/>
          <w:szCs w:val="28"/>
        </w:rPr>
        <w:t xml:space="preserve">Throughout the year, </w:t>
      </w:r>
      <w:r w:rsidR="0016347B" w:rsidRPr="000E5821">
        <w:rPr>
          <w:kern w:val="0"/>
          <w:sz w:val="28"/>
          <w:szCs w:val="28"/>
        </w:rPr>
        <w:t>t</w:t>
      </w:r>
      <w:r w:rsidRPr="000E5821">
        <w:rPr>
          <w:kern w:val="0"/>
          <w:sz w:val="28"/>
          <w:szCs w:val="28"/>
        </w:rPr>
        <w:t xml:space="preserve">he Hong Kong Monetary Authority also </w:t>
      </w:r>
      <w:r w:rsidR="0016347B" w:rsidRPr="000E5821">
        <w:rPr>
          <w:kern w:val="0"/>
          <w:sz w:val="28"/>
          <w:szCs w:val="28"/>
        </w:rPr>
        <w:t xml:space="preserve">made </w:t>
      </w:r>
      <w:r w:rsidR="000E5821">
        <w:rPr>
          <w:kern w:val="0"/>
          <w:sz w:val="28"/>
          <w:szCs w:val="28"/>
        </w:rPr>
        <w:t>several</w:t>
      </w:r>
      <w:r w:rsidR="0016347B" w:rsidRPr="000E5821">
        <w:rPr>
          <w:kern w:val="0"/>
          <w:sz w:val="28"/>
          <w:szCs w:val="28"/>
        </w:rPr>
        <w:t xml:space="preserve"> rounds of adjustments to </w:t>
      </w:r>
      <w:r w:rsidRPr="000E5821">
        <w:rPr>
          <w:kern w:val="0"/>
          <w:sz w:val="28"/>
          <w:szCs w:val="28"/>
        </w:rPr>
        <w:t xml:space="preserve">the </w:t>
      </w:r>
      <w:r w:rsidRPr="000E5821">
        <w:rPr>
          <w:bCs/>
          <w:sz w:val="28"/>
          <w:szCs w:val="28"/>
          <w:lang w:eastAsia="zh-HK"/>
        </w:rPr>
        <w:t xml:space="preserve">countercyclical macroprudential </w:t>
      </w:r>
      <w:r w:rsidRPr="000E5821">
        <w:rPr>
          <w:kern w:val="0"/>
          <w:sz w:val="28"/>
          <w:szCs w:val="28"/>
        </w:rPr>
        <w:t xml:space="preserve">measures </w:t>
      </w:r>
      <w:r w:rsidRPr="000E5821">
        <w:rPr>
          <w:bCs/>
          <w:sz w:val="28"/>
          <w:szCs w:val="28"/>
          <w:lang w:eastAsia="zh-HK"/>
        </w:rPr>
        <w:t xml:space="preserve">for property mortgage loans </w:t>
      </w:r>
      <w:r w:rsidRPr="000E5821">
        <w:rPr>
          <w:kern w:val="0"/>
          <w:sz w:val="28"/>
          <w:szCs w:val="28"/>
        </w:rPr>
        <w:t>in accordance with the evolving market situation</w:t>
      </w:r>
      <w:r w:rsidR="000E5821" w:rsidRPr="000E5821">
        <w:rPr>
          <w:kern w:val="0"/>
          <w:sz w:val="28"/>
          <w:szCs w:val="28"/>
        </w:rPr>
        <w:t xml:space="preserve">. </w:t>
      </w:r>
      <w:r w:rsidR="000E5821">
        <w:rPr>
          <w:kern w:val="0"/>
          <w:sz w:val="28"/>
          <w:szCs w:val="28"/>
        </w:rPr>
        <w:t xml:space="preserve"> </w:t>
      </w:r>
      <w:r w:rsidR="00460D77" w:rsidRPr="000B4F8C">
        <w:rPr>
          <w:kern w:val="0"/>
          <w:sz w:val="28"/>
          <w:szCs w:val="28"/>
        </w:rPr>
        <w:t>After the adjustments on 16 October 2024</w:t>
      </w:r>
      <w:r w:rsidR="00EE769F">
        <w:rPr>
          <w:kern w:val="0"/>
          <w:sz w:val="28"/>
          <w:szCs w:val="28"/>
        </w:rPr>
        <w:t xml:space="preserve"> </w:t>
      </w:r>
      <w:r w:rsidR="001E275A">
        <w:rPr>
          <w:kern w:val="0"/>
          <w:sz w:val="28"/>
          <w:szCs w:val="28"/>
        </w:rPr>
        <w:t xml:space="preserve">which </w:t>
      </w:r>
      <w:r w:rsidR="006A23CE" w:rsidRPr="001C1CAE">
        <w:rPr>
          <w:kern w:val="0"/>
          <w:sz w:val="28"/>
          <w:szCs w:val="28"/>
        </w:rPr>
        <w:t>the Chief Executive</w:t>
      </w:r>
      <w:r w:rsidR="00EE769F">
        <w:rPr>
          <w:kern w:val="0"/>
          <w:sz w:val="28"/>
          <w:szCs w:val="28"/>
        </w:rPr>
        <w:t xml:space="preserve"> announced in his Policy Address</w:t>
      </w:r>
      <w:r w:rsidR="00460D77" w:rsidRPr="000B4F8C">
        <w:rPr>
          <w:kern w:val="0"/>
          <w:sz w:val="28"/>
          <w:szCs w:val="28"/>
        </w:rPr>
        <w:t xml:space="preserve">, </w:t>
      </w:r>
      <w:r w:rsidR="0016347B" w:rsidRPr="000B4F8C">
        <w:rPr>
          <w:kern w:val="0"/>
          <w:sz w:val="28"/>
          <w:szCs w:val="28"/>
        </w:rPr>
        <w:t xml:space="preserve">the maximum </w:t>
      </w:r>
      <w:r w:rsidR="003102F7">
        <w:rPr>
          <w:kern w:val="0"/>
          <w:sz w:val="28"/>
          <w:szCs w:val="28"/>
        </w:rPr>
        <w:t>LTV</w:t>
      </w:r>
      <w:r w:rsidR="0016347B" w:rsidRPr="000B4F8C">
        <w:rPr>
          <w:kern w:val="0"/>
          <w:sz w:val="28"/>
          <w:szCs w:val="28"/>
        </w:rPr>
        <w:t xml:space="preserve"> ratio and the </w:t>
      </w:r>
      <w:r w:rsidR="003102F7">
        <w:rPr>
          <w:kern w:val="0"/>
          <w:sz w:val="28"/>
          <w:szCs w:val="28"/>
        </w:rPr>
        <w:t>DSR</w:t>
      </w:r>
      <w:r w:rsidR="0016347B" w:rsidRPr="000B4F8C">
        <w:rPr>
          <w:kern w:val="0"/>
          <w:sz w:val="28"/>
          <w:szCs w:val="28"/>
        </w:rPr>
        <w:t xml:space="preserve"> </w:t>
      </w:r>
      <w:r w:rsidR="008F643B">
        <w:rPr>
          <w:kern w:val="0"/>
          <w:sz w:val="28"/>
          <w:szCs w:val="28"/>
        </w:rPr>
        <w:t xml:space="preserve">limit </w:t>
      </w:r>
      <w:r w:rsidR="00460D77" w:rsidRPr="000B4F8C">
        <w:rPr>
          <w:kern w:val="0"/>
          <w:sz w:val="28"/>
          <w:szCs w:val="28"/>
        </w:rPr>
        <w:t xml:space="preserve">were </w:t>
      </w:r>
      <w:r w:rsidR="00416875" w:rsidRPr="00416875">
        <w:rPr>
          <w:kern w:val="0"/>
          <w:sz w:val="28"/>
          <w:szCs w:val="28"/>
        </w:rPr>
        <w:t>standardised</w:t>
      </w:r>
      <w:r w:rsidR="00416875">
        <w:rPr>
          <w:kern w:val="0"/>
          <w:sz w:val="28"/>
          <w:szCs w:val="28"/>
        </w:rPr>
        <w:t xml:space="preserve"> at</w:t>
      </w:r>
      <w:r w:rsidR="001E275A" w:rsidRPr="001E275A">
        <w:rPr>
          <w:sz w:val="28"/>
          <w:szCs w:val="28"/>
        </w:rPr>
        <w:t xml:space="preserve"> </w:t>
      </w:r>
      <w:r w:rsidR="001E275A" w:rsidRPr="00946DA9">
        <w:rPr>
          <w:sz w:val="28"/>
          <w:szCs w:val="28"/>
        </w:rPr>
        <w:t>70% and 50% respectively</w:t>
      </w:r>
      <w:r w:rsidR="001E275A">
        <w:rPr>
          <w:sz w:val="28"/>
          <w:szCs w:val="28"/>
        </w:rPr>
        <w:t xml:space="preserve"> </w:t>
      </w:r>
      <w:r w:rsidR="00416875" w:rsidRPr="00416875">
        <w:rPr>
          <w:sz w:val="28"/>
          <w:szCs w:val="28"/>
        </w:rPr>
        <w:t>for all residential properties and non</w:t>
      </w:r>
      <w:r w:rsidR="00CF0121">
        <w:rPr>
          <w:sz w:val="28"/>
          <w:szCs w:val="28"/>
        </w:rPr>
        <w:noBreakHyphen/>
      </w:r>
      <w:r w:rsidR="00416875" w:rsidRPr="00416875">
        <w:rPr>
          <w:sz w:val="28"/>
          <w:szCs w:val="28"/>
        </w:rPr>
        <w:t>residential properties</w:t>
      </w:r>
      <w:r w:rsidR="001E275A">
        <w:rPr>
          <w:sz w:val="28"/>
          <w:szCs w:val="28"/>
        </w:rPr>
        <w:t>,</w:t>
      </w:r>
      <w:r w:rsidR="0016347B" w:rsidRPr="000B4F8C">
        <w:rPr>
          <w:kern w:val="0"/>
          <w:sz w:val="28"/>
          <w:szCs w:val="28"/>
        </w:rPr>
        <w:t xml:space="preserve"> </w:t>
      </w:r>
      <w:r w:rsidR="00416875">
        <w:rPr>
          <w:kern w:val="0"/>
          <w:sz w:val="28"/>
          <w:szCs w:val="28"/>
        </w:rPr>
        <w:t xml:space="preserve">reverting to </w:t>
      </w:r>
      <w:r w:rsidR="0016347B" w:rsidRPr="000B4F8C">
        <w:rPr>
          <w:kern w:val="0"/>
          <w:sz w:val="28"/>
          <w:szCs w:val="28"/>
        </w:rPr>
        <w:t>the pre</w:t>
      </w:r>
      <w:r w:rsidR="000E5821" w:rsidRPr="000B4F8C">
        <w:rPr>
          <w:kern w:val="0"/>
          <w:sz w:val="28"/>
          <w:szCs w:val="28"/>
        </w:rPr>
        <w:noBreakHyphen/>
      </w:r>
      <w:r w:rsidR="0016347B" w:rsidRPr="000B4F8C">
        <w:rPr>
          <w:kern w:val="0"/>
          <w:sz w:val="28"/>
          <w:szCs w:val="28"/>
        </w:rPr>
        <w:t>2009 levels before the countercyclical macroprudential measures were first introduced</w:t>
      </w:r>
      <w:r w:rsidR="0016347B" w:rsidRPr="001E275A">
        <w:rPr>
          <w:kern w:val="0"/>
          <w:sz w:val="28"/>
          <w:szCs w:val="28"/>
        </w:rPr>
        <w:t>.</w:t>
      </w:r>
      <w:r w:rsidR="001C1CAE" w:rsidRPr="00FB208D">
        <w:rPr>
          <w:kern w:val="0"/>
          <w:sz w:val="28"/>
          <w:szCs w:val="28"/>
        </w:rPr>
        <w:br w:type="page"/>
      </w:r>
    </w:p>
    <w:p w14:paraId="77B4DBE7" w14:textId="34620647" w:rsidR="00FB1C5C" w:rsidRPr="0056229C" w:rsidRDefault="00FB1C5C" w:rsidP="00171552">
      <w:pPr>
        <w:numPr>
          <w:ilvl w:val="1"/>
          <w:numId w:val="33"/>
        </w:numPr>
        <w:tabs>
          <w:tab w:val="left" w:pos="1080"/>
        </w:tabs>
        <w:overflowPunct w:val="0"/>
        <w:spacing w:line="360" w:lineRule="atLeast"/>
        <w:ind w:left="0" w:firstLine="0"/>
        <w:jc w:val="both"/>
        <w:rPr>
          <w:kern w:val="0"/>
          <w:sz w:val="28"/>
          <w:szCs w:val="28"/>
        </w:rPr>
      </w:pPr>
      <w:r w:rsidRPr="0056229C">
        <w:rPr>
          <w:sz w:val="28"/>
          <w:szCs w:val="28"/>
        </w:rPr>
        <w:lastRenderedPageBreak/>
        <w:t>The</w:t>
      </w:r>
      <w:r w:rsidRPr="0056229C">
        <w:rPr>
          <w:bCs/>
          <w:sz w:val="28"/>
          <w:szCs w:val="28"/>
          <w:lang w:eastAsia="zh-HK"/>
        </w:rPr>
        <w:t xml:space="preserve"> </w:t>
      </w:r>
      <w:r w:rsidRPr="0056229C">
        <w:rPr>
          <w:bCs/>
          <w:i/>
          <w:sz w:val="28"/>
          <w:szCs w:val="28"/>
          <w:lang w:eastAsia="zh-HK"/>
        </w:rPr>
        <w:t>non-residential property market</w:t>
      </w:r>
      <w:r w:rsidRPr="0056229C">
        <w:rPr>
          <w:bCs/>
          <w:sz w:val="28"/>
          <w:szCs w:val="28"/>
          <w:lang w:eastAsia="zh-HK"/>
        </w:rPr>
        <w:t xml:space="preserve"> </w:t>
      </w:r>
      <w:r w:rsidR="00171552">
        <w:rPr>
          <w:bCs/>
          <w:sz w:val="28"/>
          <w:szCs w:val="28"/>
          <w:lang w:eastAsia="zh-HK"/>
        </w:rPr>
        <w:t xml:space="preserve">remained </w:t>
      </w:r>
      <w:r w:rsidR="00FA6479">
        <w:rPr>
          <w:bCs/>
          <w:sz w:val="28"/>
          <w:szCs w:val="28"/>
          <w:lang w:eastAsia="zh-HK"/>
        </w:rPr>
        <w:t>weak</w:t>
      </w:r>
      <w:r w:rsidR="00FD37C0" w:rsidRPr="0056229C">
        <w:rPr>
          <w:bCs/>
          <w:sz w:val="28"/>
          <w:szCs w:val="28"/>
          <w:lang w:eastAsia="zh-HK"/>
        </w:rPr>
        <w:t xml:space="preserve"> </w:t>
      </w:r>
      <w:r w:rsidR="003102F7">
        <w:rPr>
          <w:bCs/>
          <w:sz w:val="28"/>
          <w:szCs w:val="28"/>
          <w:lang w:eastAsia="zh-HK"/>
        </w:rPr>
        <w:t xml:space="preserve">in general </w:t>
      </w:r>
      <w:r w:rsidR="005C48A6" w:rsidRPr="0056229C">
        <w:rPr>
          <w:bCs/>
          <w:sz w:val="28"/>
          <w:szCs w:val="28"/>
          <w:lang w:eastAsia="zh-HK"/>
        </w:rPr>
        <w:t>in 202</w:t>
      </w:r>
      <w:r w:rsidR="007E1169" w:rsidRPr="0056229C">
        <w:rPr>
          <w:bCs/>
          <w:sz w:val="28"/>
          <w:szCs w:val="28"/>
          <w:lang w:eastAsia="zh-HK"/>
        </w:rPr>
        <w:t>4</w:t>
      </w:r>
      <w:r w:rsidRPr="0056229C">
        <w:rPr>
          <w:bCs/>
          <w:sz w:val="28"/>
          <w:szCs w:val="28"/>
          <w:lang w:eastAsia="zh-HK"/>
        </w:rPr>
        <w:t xml:space="preserve">.  </w:t>
      </w:r>
      <w:r w:rsidR="00173A44" w:rsidRPr="0056229C">
        <w:rPr>
          <w:bCs/>
          <w:sz w:val="28"/>
          <w:szCs w:val="28"/>
          <w:lang w:eastAsia="zh-HK"/>
        </w:rPr>
        <w:t xml:space="preserve">Trading activities for all major market segments </w:t>
      </w:r>
      <w:r w:rsidR="001301AD">
        <w:rPr>
          <w:bCs/>
          <w:sz w:val="28"/>
          <w:szCs w:val="28"/>
          <w:lang w:eastAsia="zh-HK"/>
        </w:rPr>
        <w:t>stayed</w:t>
      </w:r>
      <w:r w:rsidR="00152E71">
        <w:rPr>
          <w:bCs/>
          <w:sz w:val="28"/>
          <w:szCs w:val="28"/>
          <w:lang w:eastAsia="zh-HK"/>
        </w:rPr>
        <w:t xml:space="preserve"> at very low levels</w:t>
      </w:r>
      <w:r w:rsidR="00173A44" w:rsidRPr="0056229C">
        <w:rPr>
          <w:bCs/>
          <w:sz w:val="28"/>
          <w:szCs w:val="28"/>
          <w:lang w:eastAsia="zh-HK"/>
        </w:rPr>
        <w:t xml:space="preserve">.  </w:t>
      </w:r>
      <w:r w:rsidR="00B455A2">
        <w:rPr>
          <w:bCs/>
          <w:sz w:val="28"/>
          <w:szCs w:val="28"/>
          <w:lang w:eastAsia="zh-HK"/>
        </w:rPr>
        <w:t xml:space="preserve">Both prices and rentals </w:t>
      </w:r>
      <w:r w:rsidR="00EE769F">
        <w:rPr>
          <w:bCs/>
          <w:sz w:val="28"/>
          <w:szCs w:val="28"/>
          <w:lang w:eastAsia="zh-HK"/>
        </w:rPr>
        <w:t>decreased</w:t>
      </w:r>
      <w:r w:rsidR="0098147A" w:rsidRPr="0056229C">
        <w:rPr>
          <w:color w:val="000000"/>
          <w:sz w:val="28"/>
          <w:szCs w:val="28"/>
        </w:rPr>
        <w:t>.</w:t>
      </w:r>
      <w:r w:rsidR="0051031A">
        <w:rPr>
          <w:color w:val="000000"/>
          <w:sz w:val="28"/>
          <w:szCs w:val="28"/>
        </w:rPr>
        <w:t xml:space="preserve">  </w:t>
      </w:r>
    </w:p>
    <w:p w14:paraId="71B304CD" w14:textId="4E41B8BB" w:rsidR="00775BE5" w:rsidRPr="0056229C" w:rsidRDefault="00775BE5" w:rsidP="00775BE5">
      <w:pPr>
        <w:tabs>
          <w:tab w:val="left" w:pos="1080"/>
        </w:tabs>
        <w:overflowPunct w:val="0"/>
        <w:spacing w:line="360" w:lineRule="atLeast"/>
        <w:jc w:val="both"/>
        <w:rPr>
          <w:kern w:val="0"/>
          <w:sz w:val="28"/>
          <w:szCs w:val="28"/>
        </w:rPr>
      </w:pPr>
    </w:p>
    <w:p w14:paraId="7065350F" w14:textId="137EDFAA" w:rsidR="00FB1C5C" w:rsidRPr="006B363C" w:rsidRDefault="000E6EC9" w:rsidP="00171552">
      <w:pPr>
        <w:numPr>
          <w:ilvl w:val="1"/>
          <w:numId w:val="33"/>
        </w:numPr>
        <w:tabs>
          <w:tab w:val="left" w:pos="1080"/>
        </w:tabs>
        <w:overflowPunct w:val="0"/>
        <w:spacing w:line="360" w:lineRule="atLeast"/>
        <w:ind w:left="0" w:firstLine="0"/>
        <w:jc w:val="both"/>
        <w:rPr>
          <w:color w:val="000000"/>
          <w:sz w:val="28"/>
          <w:szCs w:val="28"/>
        </w:rPr>
      </w:pPr>
      <w:r w:rsidRPr="007F1699">
        <w:rPr>
          <w:sz w:val="28"/>
          <w:szCs w:val="28"/>
        </w:rPr>
        <w:t>Price</w:t>
      </w:r>
      <w:r w:rsidR="001A3D11" w:rsidRPr="007F1699">
        <w:rPr>
          <w:sz w:val="28"/>
          <w:szCs w:val="28"/>
        </w:rPr>
        <w:t>s</w:t>
      </w:r>
      <w:r w:rsidRPr="007F1699">
        <w:rPr>
          <w:sz w:val="28"/>
          <w:szCs w:val="28"/>
        </w:rPr>
        <w:t xml:space="preserve"> </w:t>
      </w:r>
      <w:r w:rsidRPr="00642AD3">
        <w:rPr>
          <w:sz w:val="28"/>
        </w:rPr>
        <w:t xml:space="preserve">for </w:t>
      </w:r>
      <w:r w:rsidRPr="00670D06">
        <w:rPr>
          <w:sz w:val="28"/>
          <w:szCs w:val="28"/>
        </w:rPr>
        <w:t xml:space="preserve">overall </w:t>
      </w:r>
      <w:r w:rsidRPr="00670D06">
        <w:rPr>
          <w:i/>
          <w:sz w:val="28"/>
          <w:szCs w:val="28"/>
        </w:rPr>
        <w:t>office space</w:t>
      </w:r>
      <w:r w:rsidRPr="00670D06">
        <w:rPr>
          <w:sz w:val="28"/>
          <w:szCs w:val="28"/>
        </w:rPr>
        <w:t xml:space="preserve"> </w:t>
      </w:r>
      <w:r w:rsidR="001A3D11" w:rsidRPr="0007629D">
        <w:rPr>
          <w:sz w:val="28"/>
          <w:szCs w:val="28"/>
          <w:lang w:eastAsia="zh-HK"/>
        </w:rPr>
        <w:t>on average</w:t>
      </w:r>
      <w:r w:rsidR="001A3D11">
        <w:rPr>
          <w:sz w:val="28"/>
          <w:szCs w:val="28"/>
        </w:rPr>
        <w:t xml:space="preserve"> </w:t>
      </w:r>
      <w:r w:rsidR="00EC108D">
        <w:rPr>
          <w:sz w:val="28"/>
          <w:szCs w:val="28"/>
        </w:rPr>
        <w:t xml:space="preserve">plunged by </w:t>
      </w:r>
      <w:r w:rsidR="00A92E70">
        <w:rPr>
          <w:sz w:val="28"/>
          <w:szCs w:val="28"/>
        </w:rPr>
        <w:t>2</w:t>
      </w:r>
      <w:r w:rsidR="00D36C20">
        <w:rPr>
          <w:sz w:val="28"/>
          <w:szCs w:val="28"/>
        </w:rPr>
        <w:t>4</w:t>
      </w:r>
      <w:r w:rsidR="00EC108D">
        <w:rPr>
          <w:sz w:val="28"/>
          <w:szCs w:val="28"/>
        </w:rPr>
        <w:t xml:space="preserve">% between </w:t>
      </w:r>
      <w:r w:rsidR="00EC108D">
        <w:rPr>
          <w:sz w:val="28"/>
          <w:szCs w:val="28"/>
          <w:lang w:eastAsia="zh-HK"/>
        </w:rPr>
        <w:t>November</w:t>
      </w:r>
      <w:r w:rsidR="00EC108D" w:rsidRPr="0007629D">
        <w:rPr>
          <w:sz w:val="28"/>
          <w:szCs w:val="28"/>
          <w:lang w:eastAsia="zh-HK"/>
        </w:rPr>
        <w:t> 202</w:t>
      </w:r>
      <w:r w:rsidR="00EC108D">
        <w:rPr>
          <w:sz w:val="28"/>
          <w:szCs w:val="28"/>
          <w:lang w:eastAsia="zh-HK"/>
        </w:rPr>
        <w:t>3</w:t>
      </w:r>
      <w:r w:rsidR="00EC108D" w:rsidRPr="0007629D">
        <w:rPr>
          <w:sz w:val="28"/>
          <w:szCs w:val="28"/>
          <w:lang w:eastAsia="zh-HK"/>
        </w:rPr>
        <w:t xml:space="preserve"> </w:t>
      </w:r>
      <w:r w:rsidR="0051031A">
        <w:rPr>
          <w:sz w:val="28"/>
          <w:szCs w:val="28"/>
          <w:lang w:eastAsia="zh-HK"/>
        </w:rPr>
        <w:t>(</w:t>
      </w:r>
      <w:r w:rsidR="0051031A">
        <w:rPr>
          <w:sz w:val="28"/>
          <w:szCs w:val="28"/>
        </w:rPr>
        <w:t>p</w:t>
      </w:r>
      <w:r w:rsidR="0051031A" w:rsidRPr="0007629D">
        <w:rPr>
          <w:sz w:val="28"/>
          <w:szCs w:val="28"/>
        </w:rPr>
        <w:t xml:space="preserve">rice </w:t>
      </w:r>
      <w:r w:rsidR="00A92E70" w:rsidRPr="00670D06">
        <w:rPr>
          <w:sz w:val="28"/>
          <w:szCs w:val="28"/>
        </w:rPr>
        <w:t>ind</w:t>
      </w:r>
      <w:r w:rsidR="001A3D11">
        <w:rPr>
          <w:sz w:val="28"/>
          <w:szCs w:val="28"/>
        </w:rPr>
        <w:t>ex</w:t>
      </w:r>
      <w:r w:rsidR="0051031A" w:rsidRPr="0007629D">
        <w:rPr>
          <w:sz w:val="28"/>
        </w:rPr>
        <w:t xml:space="preserve"> for </w:t>
      </w:r>
      <w:r w:rsidR="0051031A" w:rsidRPr="0007629D">
        <w:rPr>
          <w:sz w:val="28"/>
          <w:szCs w:val="28"/>
        </w:rPr>
        <w:t xml:space="preserve">overall </w:t>
      </w:r>
      <w:r w:rsidR="0051031A" w:rsidRPr="0051031A">
        <w:rPr>
          <w:sz w:val="28"/>
          <w:szCs w:val="28"/>
        </w:rPr>
        <w:t>office space</w:t>
      </w:r>
      <w:r w:rsidR="0051031A" w:rsidRPr="0007629D">
        <w:rPr>
          <w:sz w:val="28"/>
          <w:szCs w:val="28"/>
        </w:rPr>
        <w:t xml:space="preserve"> in December 2023</w:t>
      </w:r>
      <w:r w:rsidR="0051031A">
        <w:rPr>
          <w:sz w:val="28"/>
          <w:szCs w:val="28"/>
        </w:rPr>
        <w:t xml:space="preserve"> </w:t>
      </w:r>
      <w:r w:rsidR="001A3D11">
        <w:rPr>
          <w:sz w:val="28"/>
          <w:szCs w:val="28"/>
        </w:rPr>
        <w:t>was</w:t>
      </w:r>
      <w:r w:rsidR="0051031A" w:rsidRPr="0007629D">
        <w:rPr>
          <w:sz w:val="28"/>
          <w:szCs w:val="28"/>
        </w:rPr>
        <w:t xml:space="preserve"> not available, </w:t>
      </w:r>
      <w:r w:rsidR="0029589D">
        <w:rPr>
          <w:sz w:val="28"/>
          <w:szCs w:val="28"/>
        </w:rPr>
        <w:t>due to</w:t>
      </w:r>
      <w:r w:rsidR="0051031A" w:rsidRPr="0007629D">
        <w:rPr>
          <w:sz w:val="28"/>
          <w:szCs w:val="28"/>
        </w:rPr>
        <w:t xml:space="preserve"> insufficient transactions for Grade A office space in </w:t>
      </w:r>
      <w:r w:rsidR="0051031A">
        <w:rPr>
          <w:sz w:val="28"/>
          <w:szCs w:val="28"/>
        </w:rPr>
        <w:t>that month</w:t>
      </w:r>
      <w:r w:rsidR="0051031A">
        <w:rPr>
          <w:sz w:val="28"/>
          <w:szCs w:val="28"/>
          <w:lang w:eastAsia="zh-HK"/>
        </w:rPr>
        <w:t xml:space="preserve">) </w:t>
      </w:r>
      <w:r w:rsidR="00EC108D" w:rsidRPr="0007629D">
        <w:rPr>
          <w:sz w:val="28"/>
          <w:szCs w:val="28"/>
          <w:lang w:eastAsia="zh-HK"/>
        </w:rPr>
        <w:t>and December 202</w:t>
      </w:r>
      <w:r w:rsidR="00EC108D">
        <w:rPr>
          <w:sz w:val="28"/>
          <w:szCs w:val="28"/>
          <w:lang w:eastAsia="zh-HK"/>
        </w:rPr>
        <w:t>4</w:t>
      </w:r>
      <w:r w:rsidR="00EC108D" w:rsidRPr="0007629D">
        <w:rPr>
          <w:sz w:val="28"/>
          <w:szCs w:val="28"/>
        </w:rPr>
        <w:t>.</w:t>
      </w:r>
      <w:r w:rsidR="00FB1C5C">
        <w:rPr>
          <w:kern w:val="0"/>
          <w:sz w:val="28"/>
          <w:szCs w:val="28"/>
        </w:rPr>
        <w:t xml:space="preserve">  Analysed by </w:t>
      </w:r>
      <w:r w:rsidR="00E12468" w:rsidRPr="00582C0C">
        <w:rPr>
          <w:kern w:val="0"/>
          <w:sz w:val="28"/>
          <w:szCs w:val="28"/>
        </w:rPr>
        <w:t>grade</w:t>
      </w:r>
      <w:r w:rsidR="00FB1C5C">
        <w:rPr>
          <w:kern w:val="0"/>
          <w:sz w:val="28"/>
          <w:szCs w:val="28"/>
        </w:rPr>
        <w:t>,</w:t>
      </w:r>
      <w:r w:rsidR="00FB1C5C" w:rsidRPr="008E1E56">
        <w:rPr>
          <w:kern w:val="0"/>
          <w:sz w:val="28"/>
          <w:szCs w:val="28"/>
        </w:rPr>
        <w:t xml:space="preserve"> prices of Grade A</w:t>
      </w:r>
      <w:r w:rsidR="00FB1C5C">
        <w:rPr>
          <w:kern w:val="0"/>
          <w:sz w:val="28"/>
          <w:szCs w:val="28"/>
        </w:rPr>
        <w:t>, B and C</w:t>
      </w:r>
      <w:r w:rsidR="00FB1C5C" w:rsidRPr="008E1E56">
        <w:rPr>
          <w:kern w:val="0"/>
          <w:sz w:val="28"/>
          <w:szCs w:val="28"/>
        </w:rPr>
        <w:t xml:space="preserve"> office space </w:t>
      </w:r>
      <w:r w:rsidR="00E12468">
        <w:rPr>
          <w:kern w:val="0"/>
          <w:sz w:val="28"/>
          <w:szCs w:val="28"/>
        </w:rPr>
        <w:t>declined</w:t>
      </w:r>
      <w:r w:rsidR="00E12468" w:rsidRPr="008E1E56">
        <w:rPr>
          <w:kern w:val="0"/>
          <w:sz w:val="28"/>
          <w:szCs w:val="28"/>
        </w:rPr>
        <w:t xml:space="preserve"> </w:t>
      </w:r>
      <w:r w:rsidR="00FB1C5C">
        <w:rPr>
          <w:kern w:val="0"/>
          <w:sz w:val="28"/>
          <w:szCs w:val="28"/>
        </w:rPr>
        <w:t xml:space="preserve">by </w:t>
      </w:r>
      <w:r w:rsidR="0051031A">
        <w:rPr>
          <w:kern w:val="0"/>
          <w:sz w:val="28"/>
          <w:szCs w:val="28"/>
        </w:rPr>
        <w:t>2</w:t>
      </w:r>
      <w:r w:rsidR="00D36C20">
        <w:rPr>
          <w:kern w:val="0"/>
          <w:sz w:val="28"/>
          <w:szCs w:val="28"/>
        </w:rPr>
        <w:t>6</w:t>
      </w:r>
      <w:r w:rsidR="00FB1C5C">
        <w:rPr>
          <w:kern w:val="0"/>
          <w:sz w:val="28"/>
          <w:szCs w:val="28"/>
        </w:rPr>
        <w:t xml:space="preserve">%, </w:t>
      </w:r>
      <w:r w:rsidR="0051031A">
        <w:rPr>
          <w:kern w:val="0"/>
          <w:sz w:val="28"/>
          <w:szCs w:val="28"/>
        </w:rPr>
        <w:t>2</w:t>
      </w:r>
      <w:r w:rsidR="00FE494C">
        <w:rPr>
          <w:kern w:val="0"/>
          <w:sz w:val="28"/>
          <w:szCs w:val="28"/>
        </w:rPr>
        <w:t>2</w:t>
      </w:r>
      <w:r w:rsidR="00FB1C5C">
        <w:rPr>
          <w:kern w:val="0"/>
          <w:sz w:val="28"/>
          <w:szCs w:val="28"/>
        </w:rPr>
        <w:t xml:space="preserve">% and </w:t>
      </w:r>
      <w:r w:rsidR="00D36C20">
        <w:rPr>
          <w:kern w:val="0"/>
          <w:sz w:val="28"/>
          <w:szCs w:val="28"/>
        </w:rPr>
        <w:t>21</w:t>
      </w:r>
      <w:r w:rsidR="00FB1C5C">
        <w:rPr>
          <w:kern w:val="0"/>
          <w:sz w:val="28"/>
          <w:szCs w:val="28"/>
        </w:rPr>
        <w:t>% respectively</w:t>
      </w:r>
      <w:r w:rsidR="00FB1C5C" w:rsidRPr="008E1E56">
        <w:rPr>
          <w:kern w:val="0"/>
          <w:sz w:val="28"/>
          <w:szCs w:val="28"/>
        </w:rPr>
        <w:t xml:space="preserve">. </w:t>
      </w:r>
      <w:r w:rsidR="00FB1C5C" w:rsidRPr="008E1E56">
        <w:rPr>
          <w:kern w:val="0"/>
          <w:sz w:val="28"/>
        </w:rPr>
        <w:t xml:space="preserve"> </w:t>
      </w:r>
      <w:r w:rsidR="00BA33F4">
        <w:rPr>
          <w:kern w:val="0"/>
          <w:sz w:val="28"/>
        </w:rPr>
        <w:t xml:space="preserve">Overall </w:t>
      </w:r>
      <w:r w:rsidR="00BA33F4" w:rsidRPr="00642AD3">
        <w:rPr>
          <w:sz w:val="28"/>
        </w:rPr>
        <w:t xml:space="preserve">office rentals </w:t>
      </w:r>
      <w:r w:rsidR="00BA33F4" w:rsidRPr="00670D06">
        <w:rPr>
          <w:sz w:val="28"/>
          <w:szCs w:val="28"/>
        </w:rPr>
        <w:t xml:space="preserve">in </w:t>
      </w:r>
      <w:r w:rsidR="00BA33F4">
        <w:rPr>
          <w:sz w:val="28"/>
          <w:szCs w:val="28"/>
        </w:rPr>
        <w:t>December 202</w:t>
      </w:r>
      <w:r w:rsidR="0051031A">
        <w:rPr>
          <w:sz w:val="28"/>
          <w:szCs w:val="28"/>
        </w:rPr>
        <w:t>4</w:t>
      </w:r>
      <w:r w:rsidR="00BA33F4" w:rsidRPr="00670D06">
        <w:rPr>
          <w:sz w:val="28"/>
          <w:szCs w:val="28"/>
        </w:rPr>
        <w:t xml:space="preserve"> were </w:t>
      </w:r>
      <w:r w:rsidR="0077225E">
        <w:rPr>
          <w:sz w:val="28"/>
          <w:szCs w:val="28"/>
        </w:rPr>
        <w:t xml:space="preserve">5% lower than those in </w:t>
      </w:r>
      <w:r w:rsidR="00BA33F4" w:rsidRPr="00C87869">
        <w:rPr>
          <w:w w:val="105"/>
          <w:sz w:val="28"/>
          <w:szCs w:val="28"/>
        </w:rPr>
        <w:t>December 202</w:t>
      </w:r>
      <w:r w:rsidR="0077225E">
        <w:rPr>
          <w:w w:val="105"/>
          <w:sz w:val="28"/>
          <w:szCs w:val="28"/>
        </w:rPr>
        <w:t>3</w:t>
      </w:r>
      <w:r w:rsidR="00BA33F4" w:rsidRPr="00670D06">
        <w:rPr>
          <w:sz w:val="28"/>
          <w:szCs w:val="28"/>
          <w:lang w:eastAsia="zh-HK"/>
        </w:rPr>
        <w:t>.</w:t>
      </w:r>
      <w:r w:rsidR="00FB1C5C" w:rsidRPr="008E1E56">
        <w:rPr>
          <w:rFonts w:hint="eastAsia"/>
          <w:kern w:val="0"/>
          <w:sz w:val="28"/>
          <w:szCs w:val="28"/>
          <w:lang w:eastAsia="zh-HK"/>
        </w:rPr>
        <w:t xml:space="preserve">  Within the total, rentals of</w:t>
      </w:r>
      <w:r w:rsidR="00FB1C5C" w:rsidRPr="008E1E56">
        <w:rPr>
          <w:kern w:val="0"/>
          <w:sz w:val="28"/>
          <w:szCs w:val="28"/>
        </w:rPr>
        <w:t xml:space="preserve"> Grade</w:t>
      </w:r>
      <w:r w:rsidR="00A77444">
        <w:rPr>
          <w:kern w:val="0"/>
          <w:sz w:val="28"/>
          <w:szCs w:val="28"/>
        </w:rPr>
        <w:t> </w:t>
      </w:r>
      <w:r w:rsidR="00FB1C5C" w:rsidRPr="008E1E56">
        <w:rPr>
          <w:kern w:val="0"/>
          <w:sz w:val="28"/>
          <w:szCs w:val="28"/>
        </w:rPr>
        <w:t>A</w:t>
      </w:r>
      <w:r w:rsidR="0077225E">
        <w:rPr>
          <w:kern w:val="0"/>
          <w:sz w:val="28"/>
          <w:szCs w:val="28"/>
        </w:rPr>
        <w:t>,</w:t>
      </w:r>
      <w:r w:rsidR="00047D7E">
        <w:rPr>
          <w:kern w:val="0"/>
          <w:sz w:val="28"/>
          <w:szCs w:val="28"/>
        </w:rPr>
        <w:t xml:space="preserve"> </w:t>
      </w:r>
      <w:r w:rsidR="0077225E">
        <w:rPr>
          <w:kern w:val="0"/>
          <w:sz w:val="28"/>
          <w:szCs w:val="28"/>
        </w:rPr>
        <w:t>B and C</w:t>
      </w:r>
      <w:r w:rsidR="0077225E" w:rsidRPr="008E1E56">
        <w:rPr>
          <w:rFonts w:hint="eastAsia"/>
          <w:kern w:val="0"/>
          <w:sz w:val="28"/>
          <w:szCs w:val="28"/>
        </w:rPr>
        <w:t xml:space="preserve"> </w:t>
      </w:r>
      <w:r w:rsidR="00047D7E" w:rsidRPr="008E1E56">
        <w:rPr>
          <w:rFonts w:hint="eastAsia"/>
          <w:kern w:val="0"/>
          <w:sz w:val="28"/>
          <w:szCs w:val="28"/>
        </w:rPr>
        <w:t>office space</w:t>
      </w:r>
      <w:r w:rsidR="00047D7E">
        <w:rPr>
          <w:kern w:val="0"/>
          <w:sz w:val="28"/>
          <w:szCs w:val="28"/>
        </w:rPr>
        <w:t xml:space="preserve"> </w:t>
      </w:r>
      <w:r w:rsidR="0077225E">
        <w:rPr>
          <w:kern w:val="0"/>
          <w:sz w:val="28"/>
          <w:szCs w:val="28"/>
        </w:rPr>
        <w:t xml:space="preserve">all </w:t>
      </w:r>
      <w:r w:rsidR="00E12468">
        <w:rPr>
          <w:kern w:val="0"/>
          <w:sz w:val="28"/>
          <w:szCs w:val="28"/>
        </w:rPr>
        <w:t xml:space="preserve">retreated </w:t>
      </w:r>
      <w:r w:rsidR="00047D7E">
        <w:rPr>
          <w:kern w:val="0"/>
          <w:sz w:val="28"/>
          <w:szCs w:val="28"/>
        </w:rPr>
        <w:t xml:space="preserve">by </w:t>
      </w:r>
      <w:r w:rsidR="0077225E">
        <w:rPr>
          <w:kern w:val="0"/>
          <w:sz w:val="28"/>
          <w:szCs w:val="28"/>
        </w:rPr>
        <w:t>5</w:t>
      </w:r>
      <w:r w:rsidR="00A77444">
        <w:rPr>
          <w:kern w:val="0"/>
          <w:sz w:val="28"/>
          <w:szCs w:val="28"/>
        </w:rPr>
        <w:t>%</w:t>
      </w:r>
      <w:r w:rsidR="00FB1C5C" w:rsidRPr="008E1E56">
        <w:rPr>
          <w:kern w:val="0"/>
          <w:sz w:val="28"/>
          <w:szCs w:val="28"/>
        </w:rPr>
        <w:t xml:space="preserve">.  Compared with the respective peaks in 2018 and 2019, </w:t>
      </w:r>
      <w:r w:rsidR="007D71ED" w:rsidRPr="0007629D">
        <w:rPr>
          <w:sz w:val="28"/>
          <w:szCs w:val="28"/>
        </w:rPr>
        <w:t xml:space="preserve">prices and rentals of office space in </w:t>
      </w:r>
      <w:r w:rsidR="007D71ED">
        <w:rPr>
          <w:sz w:val="28"/>
          <w:szCs w:val="28"/>
        </w:rPr>
        <w:t>December</w:t>
      </w:r>
      <w:r w:rsidR="007D71ED" w:rsidRPr="0007629D">
        <w:rPr>
          <w:sz w:val="28"/>
          <w:szCs w:val="28"/>
        </w:rPr>
        <w:t xml:space="preserve"> 2024 were </w:t>
      </w:r>
      <w:r w:rsidR="007D71ED">
        <w:rPr>
          <w:sz w:val="28"/>
          <w:szCs w:val="28"/>
        </w:rPr>
        <w:t>4</w:t>
      </w:r>
      <w:r w:rsidR="00D36C20">
        <w:rPr>
          <w:sz w:val="28"/>
          <w:szCs w:val="28"/>
        </w:rPr>
        <w:t>4</w:t>
      </w:r>
      <w:r w:rsidR="007D71ED" w:rsidRPr="0007629D">
        <w:rPr>
          <w:sz w:val="28"/>
          <w:szCs w:val="28"/>
        </w:rPr>
        <w:t>% and 1</w:t>
      </w:r>
      <w:r w:rsidR="00D36C20">
        <w:rPr>
          <w:sz w:val="28"/>
          <w:szCs w:val="28"/>
        </w:rPr>
        <w:t>9</w:t>
      </w:r>
      <w:r w:rsidR="007D71ED" w:rsidRPr="0007629D">
        <w:rPr>
          <w:sz w:val="28"/>
          <w:szCs w:val="28"/>
        </w:rPr>
        <w:t>% lower.</w:t>
      </w:r>
      <w:r w:rsidR="00FB1C5C" w:rsidRPr="008E1E56">
        <w:rPr>
          <w:kern w:val="0"/>
          <w:sz w:val="28"/>
          <w:szCs w:val="28"/>
        </w:rPr>
        <w:t xml:space="preserve">  </w:t>
      </w:r>
      <w:r w:rsidR="00FB1C5C" w:rsidRPr="008E1E56">
        <w:rPr>
          <w:rFonts w:hint="eastAsia"/>
          <w:kern w:val="0"/>
          <w:sz w:val="28"/>
          <w:szCs w:val="28"/>
        </w:rPr>
        <w:t>T</w:t>
      </w:r>
      <w:r w:rsidR="00FB1C5C" w:rsidRPr="008E1E56">
        <w:rPr>
          <w:kern w:val="0"/>
          <w:sz w:val="28"/>
          <w:szCs w:val="28"/>
        </w:rPr>
        <w:t>he average rental yield</w:t>
      </w:r>
      <w:r w:rsidR="00FB1C5C" w:rsidRPr="008E1E56">
        <w:rPr>
          <w:rFonts w:hint="eastAsia"/>
          <w:kern w:val="0"/>
          <w:sz w:val="28"/>
          <w:szCs w:val="28"/>
        </w:rPr>
        <w:t>s</w:t>
      </w:r>
      <w:r w:rsidR="00FB1C5C" w:rsidRPr="008E1E56">
        <w:rPr>
          <w:kern w:val="0"/>
          <w:sz w:val="28"/>
          <w:szCs w:val="28"/>
        </w:rPr>
        <w:t xml:space="preserve"> of Grade</w:t>
      </w:r>
      <w:r w:rsidR="00753ED8">
        <w:rPr>
          <w:kern w:val="0"/>
          <w:sz w:val="28"/>
          <w:szCs w:val="28"/>
        </w:rPr>
        <w:t> </w:t>
      </w:r>
      <w:r w:rsidR="00FB1C5C" w:rsidRPr="008E1E56">
        <w:rPr>
          <w:kern w:val="0"/>
          <w:sz w:val="28"/>
          <w:szCs w:val="28"/>
        </w:rPr>
        <w:t>A</w:t>
      </w:r>
      <w:r w:rsidR="00FB1C5C" w:rsidRPr="008E1E56">
        <w:rPr>
          <w:rFonts w:hint="eastAsia"/>
          <w:kern w:val="0"/>
          <w:sz w:val="28"/>
          <w:szCs w:val="28"/>
        </w:rPr>
        <w:t xml:space="preserve">, </w:t>
      </w:r>
      <w:r w:rsidR="00FB1C5C" w:rsidRPr="008E1E56">
        <w:rPr>
          <w:kern w:val="0"/>
          <w:sz w:val="28"/>
          <w:szCs w:val="28"/>
        </w:rPr>
        <w:t xml:space="preserve">B </w:t>
      </w:r>
      <w:r w:rsidR="00FB1C5C" w:rsidRPr="008E1E56">
        <w:rPr>
          <w:rFonts w:hint="eastAsia"/>
          <w:kern w:val="0"/>
          <w:sz w:val="28"/>
          <w:szCs w:val="28"/>
        </w:rPr>
        <w:t xml:space="preserve">and C </w:t>
      </w:r>
      <w:r w:rsidR="00FB1C5C" w:rsidRPr="008E1E56">
        <w:rPr>
          <w:kern w:val="0"/>
          <w:sz w:val="28"/>
          <w:szCs w:val="28"/>
        </w:rPr>
        <w:t xml:space="preserve">office space </w:t>
      </w:r>
      <w:r w:rsidR="002317F1" w:rsidRPr="0007629D">
        <w:rPr>
          <w:sz w:val="28"/>
          <w:szCs w:val="28"/>
        </w:rPr>
        <w:t>rose</w:t>
      </w:r>
      <w:r w:rsidR="002317F1">
        <w:rPr>
          <w:sz w:val="28"/>
          <w:szCs w:val="28"/>
        </w:rPr>
        <w:t xml:space="preserve"> </w:t>
      </w:r>
      <w:r w:rsidR="002317F1" w:rsidRPr="002317F1">
        <w:rPr>
          <w:sz w:val="28"/>
          <w:szCs w:val="28"/>
        </w:rPr>
        <w:t>to</w:t>
      </w:r>
      <w:r w:rsidR="001E70EB" w:rsidRPr="002317F1">
        <w:rPr>
          <w:kern w:val="0"/>
          <w:sz w:val="28"/>
          <w:szCs w:val="28"/>
        </w:rPr>
        <w:t xml:space="preserve"> </w:t>
      </w:r>
      <w:r w:rsidR="007D71ED" w:rsidRPr="002317F1">
        <w:rPr>
          <w:kern w:val="0"/>
          <w:sz w:val="28"/>
          <w:szCs w:val="28"/>
        </w:rPr>
        <w:t>3.4</w:t>
      </w:r>
      <w:r w:rsidR="00FB1C5C" w:rsidRPr="002317F1">
        <w:rPr>
          <w:rFonts w:hint="eastAsia"/>
          <w:kern w:val="0"/>
          <w:sz w:val="28"/>
          <w:szCs w:val="28"/>
        </w:rPr>
        <w:t>%,</w:t>
      </w:r>
      <w:r w:rsidR="00844B8A" w:rsidRPr="002317F1">
        <w:rPr>
          <w:kern w:val="0"/>
          <w:sz w:val="28"/>
          <w:szCs w:val="28"/>
        </w:rPr>
        <w:t xml:space="preserve"> </w:t>
      </w:r>
      <w:r w:rsidR="007D71ED" w:rsidRPr="002317F1">
        <w:rPr>
          <w:kern w:val="0"/>
          <w:sz w:val="28"/>
          <w:szCs w:val="28"/>
        </w:rPr>
        <w:t>3.7</w:t>
      </w:r>
      <w:r w:rsidR="004F69BA" w:rsidRPr="002317F1">
        <w:rPr>
          <w:rFonts w:hint="eastAsia"/>
          <w:kern w:val="0"/>
          <w:sz w:val="28"/>
          <w:szCs w:val="28"/>
        </w:rPr>
        <w:t>%</w:t>
      </w:r>
      <w:r w:rsidR="00FB1C5C" w:rsidRPr="002317F1">
        <w:rPr>
          <w:rFonts w:hint="eastAsia"/>
          <w:kern w:val="0"/>
          <w:sz w:val="28"/>
          <w:szCs w:val="28"/>
        </w:rPr>
        <w:t xml:space="preserve"> and </w:t>
      </w:r>
      <w:r w:rsidR="007D71ED" w:rsidRPr="002317F1">
        <w:rPr>
          <w:kern w:val="0"/>
          <w:sz w:val="28"/>
          <w:szCs w:val="28"/>
        </w:rPr>
        <w:t>3.9</w:t>
      </w:r>
      <w:r w:rsidR="00FB1C5C" w:rsidRPr="002317F1">
        <w:rPr>
          <w:rFonts w:hint="eastAsia"/>
          <w:kern w:val="0"/>
          <w:sz w:val="28"/>
          <w:szCs w:val="28"/>
        </w:rPr>
        <w:t>%</w:t>
      </w:r>
      <w:r w:rsidR="00FB1C5C" w:rsidRPr="008E1E56">
        <w:rPr>
          <w:rFonts w:hint="eastAsia"/>
          <w:kern w:val="0"/>
          <w:sz w:val="28"/>
          <w:szCs w:val="28"/>
        </w:rPr>
        <w:t xml:space="preserve"> respectively in </w:t>
      </w:r>
      <w:r w:rsidR="007D71ED">
        <w:rPr>
          <w:kern w:val="0"/>
          <w:sz w:val="28"/>
          <w:szCs w:val="28"/>
        </w:rPr>
        <w:t>December</w:t>
      </w:r>
      <w:r w:rsidR="00774EE2">
        <w:rPr>
          <w:kern w:val="0"/>
          <w:sz w:val="28"/>
          <w:szCs w:val="28"/>
        </w:rPr>
        <w:t> </w:t>
      </w:r>
      <w:r w:rsidR="007D71ED">
        <w:rPr>
          <w:kern w:val="0"/>
          <w:sz w:val="28"/>
          <w:szCs w:val="28"/>
        </w:rPr>
        <w:t>2024</w:t>
      </w:r>
      <w:r w:rsidR="002317F1">
        <w:rPr>
          <w:kern w:val="0"/>
          <w:sz w:val="28"/>
          <w:szCs w:val="28"/>
        </w:rPr>
        <w:t xml:space="preserve"> from</w:t>
      </w:r>
      <w:r w:rsidR="00FB1C5C" w:rsidRPr="008E1E56">
        <w:rPr>
          <w:kern w:val="0"/>
          <w:sz w:val="28"/>
          <w:szCs w:val="28"/>
        </w:rPr>
        <w:t xml:space="preserve"> </w:t>
      </w:r>
      <w:r w:rsidR="007D71ED" w:rsidRPr="00655CAE">
        <w:rPr>
          <w:kern w:val="0"/>
          <w:sz w:val="28"/>
          <w:szCs w:val="28"/>
        </w:rPr>
        <w:t>2.6</w:t>
      </w:r>
      <w:r w:rsidR="007D71ED" w:rsidRPr="00655CAE">
        <w:rPr>
          <w:rFonts w:hint="eastAsia"/>
          <w:kern w:val="0"/>
          <w:sz w:val="28"/>
          <w:szCs w:val="28"/>
        </w:rPr>
        <w:t>%</w:t>
      </w:r>
      <w:r w:rsidR="007D71ED" w:rsidRPr="009B2DD0">
        <w:rPr>
          <w:rFonts w:hint="eastAsia"/>
          <w:kern w:val="0"/>
          <w:sz w:val="28"/>
          <w:szCs w:val="28"/>
        </w:rPr>
        <w:t>,</w:t>
      </w:r>
      <w:r w:rsidR="007D71ED" w:rsidRPr="009B2DD0">
        <w:rPr>
          <w:kern w:val="0"/>
          <w:sz w:val="28"/>
          <w:szCs w:val="28"/>
        </w:rPr>
        <w:t xml:space="preserve"> 3.0</w:t>
      </w:r>
      <w:r w:rsidR="007D71ED" w:rsidRPr="009B2DD0">
        <w:rPr>
          <w:rFonts w:hint="eastAsia"/>
          <w:kern w:val="0"/>
          <w:sz w:val="28"/>
          <w:szCs w:val="28"/>
        </w:rPr>
        <w:t xml:space="preserve">% and </w:t>
      </w:r>
      <w:r w:rsidR="007D71ED" w:rsidRPr="009B2DD0">
        <w:rPr>
          <w:kern w:val="0"/>
          <w:sz w:val="28"/>
          <w:szCs w:val="28"/>
        </w:rPr>
        <w:t>3.3</w:t>
      </w:r>
      <w:r w:rsidR="007D71ED" w:rsidRPr="009B2DD0">
        <w:rPr>
          <w:rFonts w:hint="eastAsia"/>
          <w:kern w:val="0"/>
          <w:sz w:val="28"/>
          <w:szCs w:val="28"/>
        </w:rPr>
        <w:t>%</w:t>
      </w:r>
      <w:r w:rsidR="00FB1C5C" w:rsidRPr="008E1E56">
        <w:rPr>
          <w:rFonts w:hint="eastAsia"/>
          <w:kern w:val="0"/>
          <w:sz w:val="28"/>
          <w:szCs w:val="28"/>
        </w:rPr>
        <w:t xml:space="preserve"> </w:t>
      </w:r>
      <w:r w:rsidR="00756882" w:rsidRPr="008E1E56">
        <w:rPr>
          <w:kern w:val="0"/>
          <w:sz w:val="28"/>
          <w:szCs w:val="28"/>
        </w:rPr>
        <w:t xml:space="preserve">in </w:t>
      </w:r>
      <w:r w:rsidR="007D71ED">
        <w:rPr>
          <w:kern w:val="0"/>
          <w:sz w:val="28"/>
          <w:szCs w:val="28"/>
        </w:rPr>
        <w:t>November</w:t>
      </w:r>
      <w:r w:rsidR="007D71ED" w:rsidRPr="008E1E56">
        <w:rPr>
          <w:kern w:val="0"/>
          <w:sz w:val="28"/>
          <w:szCs w:val="28"/>
        </w:rPr>
        <w:t xml:space="preserve"> 202</w:t>
      </w:r>
      <w:r w:rsidR="007D71ED">
        <w:rPr>
          <w:kern w:val="0"/>
          <w:sz w:val="28"/>
          <w:szCs w:val="28"/>
        </w:rPr>
        <w:t>3</w:t>
      </w:r>
      <w:r w:rsidR="00FB1C5C" w:rsidRPr="008E1E56">
        <w:rPr>
          <w:kern w:val="0"/>
          <w:sz w:val="28"/>
          <w:szCs w:val="28"/>
        </w:rPr>
        <w:t>.</w:t>
      </w:r>
      <w:r w:rsidR="00FB1C5C" w:rsidRPr="008E1E56">
        <w:rPr>
          <w:kern w:val="0"/>
          <w:sz w:val="28"/>
          <w:szCs w:val="28"/>
          <w:lang w:eastAsia="zh-HK"/>
        </w:rPr>
        <w:t xml:space="preserve">  </w:t>
      </w:r>
      <w:r w:rsidR="00FB1C5C" w:rsidRPr="008E1E56">
        <w:rPr>
          <w:kern w:val="0"/>
          <w:sz w:val="28"/>
          <w:szCs w:val="28"/>
        </w:rPr>
        <w:t xml:space="preserve">Transactions for office space </w:t>
      </w:r>
      <w:r w:rsidR="0029589D">
        <w:rPr>
          <w:kern w:val="0"/>
          <w:sz w:val="28"/>
          <w:szCs w:val="28"/>
        </w:rPr>
        <w:t xml:space="preserve">fell </w:t>
      </w:r>
      <w:r w:rsidR="00083588">
        <w:rPr>
          <w:kern w:val="0"/>
          <w:sz w:val="28"/>
          <w:szCs w:val="28"/>
        </w:rPr>
        <w:t xml:space="preserve">further by </w:t>
      </w:r>
      <w:r w:rsidR="00277738">
        <w:rPr>
          <w:kern w:val="0"/>
          <w:sz w:val="28"/>
          <w:szCs w:val="28"/>
        </w:rPr>
        <w:t>7</w:t>
      </w:r>
      <w:r w:rsidR="00852A1A">
        <w:rPr>
          <w:kern w:val="0"/>
          <w:sz w:val="28"/>
          <w:szCs w:val="28"/>
        </w:rPr>
        <w:t>%</w:t>
      </w:r>
      <w:r w:rsidR="00FB1C5C" w:rsidRPr="008E1E56">
        <w:rPr>
          <w:kern w:val="0"/>
          <w:sz w:val="28"/>
          <w:szCs w:val="28"/>
        </w:rPr>
        <w:t xml:space="preserve"> </w:t>
      </w:r>
      <w:r w:rsidR="00FB1C5C" w:rsidRPr="008E1E56">
        <w:rPr>
          <w:kern w:val="0"/>
          <w:sz w:val="28"/>
          <w:szCs w:val="28"/>
          <w:lang w:eastAsia="zh-HK"/>
        </w:rPr>
        <w:t>to</w:t>
      </w:r>
      <w:r w:rsidR="00FB1C5C">
        <w:rPr>
          <w:kern w:val="0"/>
          <w:sz w:val="28"/>
          <w:szCs w:val="28"/>
          <w:lang w:eastAsia="zh-HK"/>
        </w:rPr>
        <w:t xml:space="preserve"> </w:t>
      </w:r>
      <w:r w:rsidR="00756882">
        <w:rPr>
          <w:kern w:val="0"/>
          <w:sz w:val="28"/>
          <w:szCs w:val="28"/>
          <w:lang w:eastAsia="zh-HK"/>
        </w:rPr>
        <w:t>6</w:t>
      </w:r>
      <w:r w:rsidR="00277738">
        <w:rPr>
          <w:kern w:val="0"/>
          <w:sz w:val="28"/>
          <w:szCs w:val="28"/>
          <w:lang w:eastAsia="zh-HK"/>
        </w:rPr>
        <w:t>0</w:t>
      </w:r>
      <w:r w:rsidR="00756882">
        <w:rPr>
          <w:kern w:val="0"/>
          <w:sz w:val="28"/>
          <w:szCs w:val="28"/>
          <w:lang w:eastAsia="zh-HK"/>
        </w:rPr>
        <w:t>0</w:t>
      </w:r>
      <w:r w:rsidR="00756882" w:rsidRPr="008E1E56">
        <w:rPr>
          <w:kern w:val="0"/>
          <w:sz w:val="28"/>
          <w:szCs w:val="28"/>
          <w:lang w:eastAsia="zh-HK"/>
        </w:rPr>
        <w:t> </w:t>
      </w:r>
      <w:r w:rsidR="00FB1C5C" w:rsidRPr="008E1E56">
        <w:rPr>
          <w:kern w:val="0"/>
          <w:sz w:val="28"/>
          <w:szCs w:val="28"/>
          <w:lang w:eastAsia="zh-HK"/>
        </w:rPr>
        <w:t xml:space="preserve">cases in </w:t>
      </w:r>
      <w:r w:rsidR="00FB1C5C">
        <w:rPr>
          <w:kern w:val="0"/>
          <w:sz w:val="28"/>
          <w:szCs w:val="28"/>
          <w:lang w:eastAsia="zh-HK"/>
        </w:rPr>
        <w:t>202</w:t>
      </w:r>
      <w:r w:rsidR="002317F1">
        <w:rPr>
          <w:kern w:val="0"/>
          <w:sz w:val="28"/>
          <w:szCs w:val="28"/>
          <w:lang w:eastAsia="zh-HK"/>
        </w:rPr>
        <w:t>4</w:t>
      </w:r>
      <w:r w:rsidR="00FB1C5C">
        <w:rPr>
          <w:kern w:val="0"/>
          <w:sz w:val="28"/>
          <w:szCs w:val="28"/>
          <w:lang w:eastAsia="zh-HK"/>
        </w:rPr>
        <w:t xml:space="preserve">, </w:t>
      </w:r>
      <w:r w:rsidR="00171552">
        <w:rPr>
          <w:kern w:val="0"/>
          <w:sz w:val="28"/>
          <w:szCs w:val="28"/>
          <w:lang w:eastAsia="zh-HK"/>
        </w:rPr>
        <w:t xml:space="preserve">notably </w:t>
      </w:r>
      <w:r w:rsidR="00FB1C5C">
        <w:rPr>
          <w:kern w:val="0"/>
          <w:sz w:val="28"/>
          <w:szCs w:val="28"/>
        </w:rPr>
        <w:t xml:space="preserve">below the annual average of </w:t>
      </w:r>
      <w:r w:rsidR="002317F1">
        <w:rPr>
          <w:kern w:val="0"/>
          <w:sz w:val="28"/>
          <w:szCs w:val="28"/>
        </w:rPr>
        <w:t>790</w:t>
      </w:r>
      <w:r w:rsidR="00FB1C5C">
        <w:rPr>
          <w:kern w:val="0"/>
          <w:sz w:val="28"/>
          <w:szCs w:val="28"/>
        </w:rPr>
        <w:t xml:space="preserve"> cases in 201</w:t>
      </w:r>
      <w:r w:rsidR="002317F1">
        <w:rPr>
          <w:kern w:val="0"/>
          <w:sz w:val="28"/>
          <w:szCs w:val="28"/>
        </w:rPr>
        <w:t>9</w:t>
      </w:r>
      <w:r w:rsidR="002317F1">
        <w:rPr>
          <w:kern w:val="0"/>
          <w:sz w:val="28"/>
          <w:szCs w:val="28"/>
        </w:rPr>
        <w:noBreakHyphen/>
      </w:r>
      <w:r w:rsidR="00FB1C5C">
        <w:rPr>
          <w:kern w:val="0"/>
          <w:sz w:val="28"/>
          <w:szCs w:val="28"/>
        </w:rPr>
        <w:t>202</w:t>
      </w:r>
      <w:r w:rsidR="002317F1">
        <w:rPr>
          <w:kern w:val="0"/>
          <w:sz w:val="28"/>
          <w:szCs w:val="28"/>
        </w:rPr>
        <w:t>3</w:t>
      </w:r>
      <w:r w:rsidR="00FB1C5C" w:rsidRPr="008E1E56">
        <w:rPr>
          <w:kern w:val="0"/>
          <w:sz w:val="28"/>
          <w:szCs w:val="28"/>
          <w:lang w:eastAsia="zh-HK"/>
        </w:rPr>
        <w:t xml:space="preserve">.  </w:t>
      </w:r>
      <w:r w:rsidR="00FB1C5C" w:rsidRPr="002E0D04">
        <w:rPr>
          <w:kern w:val="0"/>
          <w:sz w:val="28"/>
          <w:szCs w:val="28"/>
          <w:lang w:eastAsia="zh-HK"/>
        </w:rPr>
        <w:t xml:space="preserve">As to the demand-supply balance, </w:t>
      </w:r>
      <w:r w:rsidR="00F20F4C">
        <w:rPr>
          <w:kern w:val="0"/>
          <w:sz w:val="28"/>
          <w:szCs w:val="28"/>
          <w:lang w:eastAsia="zh-HK"/>
        </w:rPr>
        <w:t xml:space="preserve">with </w:t>
      </w:r>
      <w:r w:rsidR="00F20F4C" w:rsidRPr="0007629D">
        <w:rPr>
          <w:sz w:val="28"/>
          <w:szCs w:val="28"/>
          <w:lang w:eastAsia="zh-HK"/>
        </w:rPr>
        <w:t xml:space="preserve">a negative </w:t>
      </w:r>
      <w:r w:rsidR="002A77C9" w:rsidRPr="00B13709">
        <w:rPr>
          <w:sz w:val="28"/>
        </w:rPr>
        <w:t>take</w:t>
      </w:r>
      <w:r w:rsidR="00B221E2">
        <w:rPr>
          <w:sz w:val="28"/>
        </w:rPr>
        <w:noBreakHyphen/>
      </w:r>
      <w:r w:rsidR="002A77C9" w:rsidRPr="00B13709">
        <w:rPr>
          <w:sz w:val="28"/>
        </w:rPr>
        <w:t xml:space="preserve">up of </w:t>
      </w:r>
      <w:r w:rsidR="00F20F4C">
        <w:rPr>
          <w:sz w:val="28"/>
          <w:szCs w:val="28"/>
          <w:lang w:eastAsia="zh-HK"/>
        </w:rPr>
        <w:t>58</w:t>
      </w:r>
      <w:r w:rsidR="006B363C" w:rsidRPr="006B363C">
        <w:rPr>
          <w:sz w:val="28"/>
          <w:szCs w:val="28"/>
          <w:lang w:eastAsia="zh-HK"/>
        </w:rPr>
        <w:t> </w:t>
      </w:r>
      <w:r w:rsidR="00F20F4C">
        <w:rPr>
          <w:sz w:val="28"/>
          <w:szCs w:val="28"/>
          <w:lang w:eastAsia="zh-HK"/>
        </w:rPr>
        <w:t>6</w:t>
      </w:r>
      <w:r w:rsidR="002A77C9" w:rsidRPr="006B363C">
        <w:rPr>
          <w:sz w:val="28"/>
          <w:szCs w:val="28"/>
          <w:lang w:eastAsia="zh-HK"/>
        </w:rPr>
        <w:t>00</w:t>
      </w:r>
      <w:r w:rsidR="002A77C9" w:rsidRPr="006B363C">
        <w:rPr>
          <w:sz w:val="28"/>
        </w:rPr>
        <w:t> </w:t>
      </w:r>
      <w:proofErr w:type="spellStart"/>
      <w:r w:rsidR="002A77C9" w:rsidRPr="006B363C">
        <w:rPr>
          <w:sz w:val="28"/>
        </w:rPr>
        <w:t>m</w:t>
      </w:r>
      <w:r w:rsidR="002A77C9" w:rsidRPr="006B363C">
        <w:rPr>
          <w:sz w:val="28"/>
          <w:vertAlign w:val="superscript"/>
        </w:rPr>
        <w:t>2</w:t>
      </w:r>
      <w:proofErr w:type="spellEnd"/>
      <w:r w:rsidR="002A77C9" w:rsidRPr="006B363C">
        <w:rPr>
          <w:sz w:val="28"/>
          <w:szCs w:val="28"/>
          <w:lang w:eastAsia="zh-HK"/>
        </w:rPr>
        <w:t xml:space="preserve"> </w:t>
      </w:r>
      <w:r w:rsidR="00F20F4C">
        <w:rPr>
          <w:sz w:val="28"/>
          <w:szCs w:val="28"/>
          <w:lang w:eastAsia="zh-HK"/>
        </w:rPr>
        <w:t>and a</w:t>
      </w:r>
      <w:r w:rsidR="00FB1C5C" w:rsidRPr="006B363C">
        <w:rPr>
          <w:kern w:val="0"/>
          <w:sz w:val="28"/>
          <w:szCs w:val="28"/>
          <w:lang w:eastAsia="zh-HK"/>
        </w:rPr>
        <w:t xml:space="preserve"> completion </w:t>
      </w:r>
      <w:r w:rsidR="00FB1C5C" w:rsidRPr="006B363C">
        <w:rPr>
          <w:kern w:val="0"/>
          <w:sz w:val="28"/>
          <w:szCs w:val="28"/>
        </w:rPr>
        <w:t xml:space="preserve">of </w:t>
      </w:r>
      <w:r w:rsidR="00756882" w:rsidRPr="006B363C">
        <w:rPr>
          <w:kern w:val="0"/>
          <w:sz w:val="28"/>
          <w:szCs w:val="28"/>
        </w:rPr>
        <w:t>1</w:t>
      </w:r>
      <w:r w:rsidR="00D36C20">
        <w:rPr>
          <w:kern w:val="0"/>
          <w:sz w:val="28"/>
          <w:szCs w:val="28"/>
        </w:rPr>
        <w:t>47</w:t>
      </w:r>
      <w:r w:rsidR="009A1347" w:rsidRPr="006B363C">
        <w:rPr>
          <w:kern w:val="0"/>
          <w:sz w:val="28"/>
          <w:szCs w:val="28"/>
        </w:rPr>
        <w:t> 3</w:t>
      </w:r>
      <w:r w:rsidR="00756882" w:rsidRPr="006B363C">
        <w:rPr>
          <w:kern w:val="0"/>
          <w:sz w:val="28"/>
          <w:szCs w:val="28"/>
        </w:rPr>
        <w:t>00</w:t>
      </w:r>
      <w:r w:rsidR="00EC60C9" w:rsidRPr="006B363C">
        <w:rPr>
          <w:kern w:val="0"/>
          <w:sz w:val="28"/>
          <w:szCs w:val="28"/>
        </w:rPr>
        <w:t> </w:t>
      </w:r>
      <w:proofErr w:type="spellStart"/>
      <w:r w:rsidR="00FB1C5C" w:rsidRPr="006B363C">
        <w:rPr>
          <w:kern w:val="0"/>
          <w:sz w:val="28"/>
          <w:szCs w:val="28"/>
        </w:rPr>
        <w:t>m</w:t>
      </w:r>
      <w:r w:rsidR="00FB1C5C" w:rsidRPr="006B363C">
        <w:rPr>
          <w:kern w:val="0"/>
          <w:sz w:val="28"/>
          <w:szCs w:val="28"/>
          <w:vertAlign w:val="superscript"/>
        </w:rPr>
        <w:t>2</w:t>
      </w:r>
      <w:proofErr w:type="spellEnd"/>
      <w:r w:rsidR="00F20F4C">
        <w:rPr>
          <w:kern w:val="0"/>
          <w:sz w:val="28"/>
          <w:szCs w:val="28"/>
        </w:rPr>
        <w:t>, t</w:t>
      </w:r>
      <w:r w:rsidR="00FB1C5C" w:rsidRPr="006B363C">
        <w:rPr>
          <w:kern w:val="0"/>
          <w:sz w:val="28"/>
          <w:szCs w:val="28"/>
        </w:rPr>
        <w:t xml:space="preserve">he vacancy rate </w:t>
      </w:r>
      <w:r w:rsidR="002317F1" w:rsidRPr="006B363C">
        <w:rPr>
          <w:kern w:val="0"/>
          <w:sz w:val="28"/>
          <w:szCs w:val="28"/>
        </w:rPr>
        <w:t>rose further</w:t>
      </w:r>
      <w:r w:rsidR="00FB1C5C" w:rsidRPr="006B363C">
        <w:rPr>
          <w:kern w:val="0"/>
          <w:sz w:val="28"/>
          <w:szCs w:val="28"/>
        </w:rPr>
        <w:t xml:space="preserve"> from </w:t>
      </w:r>
      <w:r w:rsidR="002317F1" w:rsidRPr="006B363C">
        <w:rPr>
          <w:kern w:val="0"/>
          <w:sz w:val="28"/>
          <w:szCs w:val="28"/>
        </w:rPr>
        <w:t>14.9% at end-2023</w:t>
      </w:r>
      <w:r w:rsidR="00FB1C5C" w:rsidRPr="006B363C">
        <w:rPr>
          <w:kern w:val="0"/>
          <w:sz w:val="28"/>
          <w:szCs w:val="28"/>
        </w:rPr>
        <w:t xml:space="preserve"> to </w:t>
      </w:r>
      <w:r w:rsidR="00F20F4C">
        <w:rPr>
          <w:kern w:val="0"/>
          <w:sz w:val="28"/>
          <w:szCs w:val="28"/>
        </w:rPr>
        <w:t>16.3</w:t>
      </w:r>
      <w:r w:rsidR="00FB1C5C" w:rsidRPr="006B363C">
        <w:rPr>
          <w:kern w:val="0"/>
          <w:sz w:val="28"/>
          <w:szCs w:val="28"/>
        </w:rPr>
        <w:t>% at end</w:t>
      </w:r>
      <w:r w:rsidR="00F44BFD">
        <w:rPr>
          <w:kern w:val="0"/>
          <w:sz w:val="28"/>
          <w:szCs w:val="28"/>
        </w:rPr>
        <w:noBreakHyphen/>
      </w:r>
      <w:r w:rsidR="00FB1C5C" w:rsidRPr="006B363C">
        <w:rPr>
          <w:kern w:val="0"/>
          <w:sz w:val="28"/>
          <w:szCs w:val="28"/>
        </w:rPr>
        <w:t>202</w:t>
      </w:r>
      <w:r w:rsidR="002317F1" w:rsidRPr="006B363C">
        <w:rPr>
          <w:kern w:val="0"/>
          <w:sz w:val="28"/>
          <w:szCs w:val="28"/>
        </w:rPr>
        <w:t>4</w:t>
      </w:r>
      <w:r w:rsidR="00FB1C5C" w:rsidRPr="006B363C">
        <w:rPr>
          <w:kern w:val="0"/>
          <w:sz w:val="28"/>
          <w:szCs w:val="28"/>
        </w:rPr>
        <w:t xml:space="preserve">, staying </w:t>
      </w:r>
      <w:r w:rsidR="002317F1" w:rsidRPr="006B363C">
        <w:rPr>
          <w:kern w:val="0"/>
          <w:sz w:val="28"/>
          <w:szCs w:val="28"/>
        </w:rPr>
        <w:t xml:space="preserve">well </w:t>
      </w:r>
      <w:r w:rsidR="00FB1C5C" w:rsidRPr="006B363C">
        <w:rPr>
          <w:kern w:val="0"/>
          <w:sz w:val="28"/>
          <w:szCs w:val="28"/>
        </w:rPr>
        <w:t>above the long</w:t>
      </w:r>
      <w:r w:rsidR="002317F1" w:rsidRPr="006B363C">
        <w:rPr>
          <w:kern w:val="0"/>
          <w:sz w:val="28"/>
          <w:szCs w:val="28"/>
        </w:rPr>
        <w:noBreakHyphen/>
      </w:r>
      <w:r w:rsidR="00FB1C5C" w:rsidRPr="006B363C">
        <w:rPr>
          <w:kern w:val="0"/>
          <w:sz w:val="28"/>
          <w:szCs w:val="28"/>
        </w:rPr>
        <w:t>term average of 9.</w:t>
      </w:r>
      <w:r w:rsidR="002D4FCA" w:rsidRPr="006B363C">
        <w:rPr>
          <w:kern w:val="0"/>
          <w:sz w:val="28"/>
          <w:szCs w:val="28"/>
        </w:rPr>
        <w:t>3</w:t>
      </w:r>
      <w:r w:rsidR="00FB1C5C" w:rsidRPr="006B363C">
        <w:rPr>
          <w:kern w:val="0"/>
          <w:sz w:val="28"/>
          <w:szCs w:val="28"/>
        </w:rPr>
        <w:t>% over 200</w:t>
      </w:r>
      <w:r w:rsidR="002317F1" w:rsidRPr="006B363C">
        <w:rPr>
          <w:kern w:val="0"/>
          <w:sz w:val="28"/>
          <w:szCs w:val="28"/>
        </w:rPr>
        <w:t>4</w:t>
      </w:r>
      <w:r w:rsidR="00A37FAE" w:rsidRPr="006B363C">
        <w:rPr>
          <w:kern w:val="0"/>
          <w:sz w:val="28"/>
          <w:szCs w:val="28"/>
        </w:rPr>
        <w:noBreakHyphen/>
      </w:r>
      <w:r w:rsidR="00FB1C5C" w:rsidRPr="006B363C">
        <w:rPr>
          <w:kern w:val="0"/>
          <w:sz w:val="28"/>
          <w:szCs w:val="28"/>
        </w:rPr>
        <w:t>202</w:t>
      </w:r>
      <w:r w:rsidR="002317F1" w:rsidRPr="006B363C">
        <w:rPr>
          <w:kern w:val="0"/>
          <w:sz w:val="28"/>
          <w:szCs w:val="28"/>
        </w:rPr>
        <w:t>3</w:t>
      </w:r>
      <w:r w:rsidR="00FB1C5C" w:rsidRPr="006B363C">
        <w:rPr>
          <w:kern w:val="0"/>
          <w:sz w:val="28"/>
          <w:szCs w:val="28"/>
        </w:rPr>
        <w:t xml:space="preserve">.  </w:t>
      </w:r>
    </w:p>
    <w:p w14:paraId="0AC403AD" w14:textId="710A39DB" w:rsidR="00FE4A07" w:rsidRPr="006B363C" w:rsidRDefault="00FE4A07">
      <w:pPr>
        <w:widowControl/>
        <w:rPr>
          <w:color w:val="000000"/>
          <w:sz w:val="28"/>
          <w:szCs w:val="28"/>
        </w:rPr>
      </w:pPr>
    </w:p>
    <w:p w14:paraId="35E09592" w14:textId="4303A859" w:rsidR="00FB1C5C" w:rsidRPr="006B363C" w:rsidRDefault="00FB1C5C" w:rsidP="00FB1C5C">
      <w:pPr>
        <w:numPr>
          <w:ilvl w:val="1"/>
          <w:numId w:val="33"/>
        </w:numPr>
        <w:tabs>
          <w:tab w:val="left" w:pos="1080"/>
        </w:tabs>
        <w:overflowPunct w:val="0"/>
        <w:spacing w:line="360" w:lineRule="atLeast"/>
        <w:ind w:left="0" w:firstLine="0"/>
        <w:jc w:val="both"/>
        <w:rPr>
          <w:color w:val="000000"/>
          <w:sz w:val="28"/>
          <w:szCs w:val="28"/>
        </w:rPr>
      </w:pPr>
      <w:r w:rsidRPr="006B363C">
        <w:rPr>
          <w:kern w:val="0"/>
          <w:sz w:val="28"/>
          <w:szCs w:val="28"/>
        </w:rPr>
        <w:t xml:space="preserve">Prices </w:t>
      </w:r>
      <w:r w:rsidR="00350069" w:rsidRPr="006B363C">
        <w:rPr>
          <w:kern w:val="0"/>
          <w:sz w:val="28"/>
          <w:szCs w:val="28"/>
        </w:rPr>
        <w:t xml:space="preserve">and rentals </w:t>
      </w:r>
      <w:r w:rsidRPr="006B363C">
        <w:rPr>
          <w:kern w:val="0"/>
          <w:sz w:val="28"/>
          <w:szCs w:val="28"/>
        </w:rPr>
        <w:t xml:space="preserve">of </w:t>
      </w:r>
      <w:r w:rsidRPr="006B363C">
        <w:rPr>
          <w:i/>
          <w:kern w:val="0"/>
          <w:sz w:val="28"/>
          <w:szCs w:val="28"/>
        </w:rPr>
        <w:t>retail shop space</w:t>
      </w:r>
      <w:r w:rsidRPr="006B363C">
        <w:rPr>
          <w:kern w:val="0"/>
          <w:sz w:val="28"/>
          <w:szCs w:val="28"/>
        </w:rPr>
        <w:t xml:space="preserve"> </w:t>
      </w:r>
      <w:r w:rsidR="00350069" w:rsidRPr="006B363C">
        <w:rPr>
          <w:kern w:val="0"/>
          <w:sz w:val="28"/>
          <w:szCs w:val="28"/>
        </w:rPr>
        <w:t>fell</w:t>
      </w:r>
      <w:r w:rsidR="009868C4" w:rsidRPr="006B363C">
        <w:rPr>
          <w:kern w:val="0"/>
          <w:sz w:val="28"/>
          <w:szCs w:val="28"/>
        </w:rPr>
        <w:t xml:space="preserve"> </w:t>
      </w:r>
      <w:r w:rsidRPr="006B363C">
        <w:rPr>
          <w:kern w:val="0"/>
          <w:sz w:val="28"/>
          <w:szCs w:val="28"/>
        </w:rPr>
        <w:t xml:space="preserve">by </w:t>
      </w:r>
      <w:r w:rsidR="00350069" w:rsidRPr="006B363C">
        <w:rPr>
          <w:kern w:val="0"/>
          <w:sz w:val="28"/>
          <w:szCs w:val="28"/>
        </w:rPr>
        <w:t>1</w:t>
      </w:r>
      <w:r w:rsidR="00A13DA3">
        <w:rPr>
          <w:kern w:val="0"/>
          <w:sz w:val="28"/>
          <w:szCs w:val="28"/>
        </w:rPr>
        <w:t>9</w:t>
      </w:r>
      <w:r w:rsidR="00350069" w:rsidRPr="006B363C">
        <w:rPr>
          <w:kern w:val="0"/>
          <w:sz w:val="28"/>
          <w:szCs w:val="28"/>
        </w:rPr>
        <w:t xml:space="preserve">% and </w:t>
      </w:r>
      <w:r w:rsidR="00A13DA3">
        <w:rPr>
          <w:kern w:val="0"/>
          <w:sz w:val="28"/>
          <w:szCs w:val="28"/>
        </w:rPr>
        <w:t>7</w:t>
      </w:r>
      <w:r w:rsidR="00350069" w:rsidRPr="006B363C">
        <w:rPr>
          <w:kern w:val="0"/>
          <w:sz w:val="28"/>
          <w:szCs w:val="28"/>
        </w:rPr>
        <w:t>%</w:t>
      </w:r>
      <w:r w:rsidRPr="006B363C">
        <w:rPr>
          <w:kern w:val="0"/>
          <w:sz w:val="28"/>
          <w:szCs w:val="28"/>
        </w:rPr>
        <w:t xml:space="preserve"> </w:t>
      </w:r>
      <w:r w:rsidR="005430A3" w:rsidRPr="006B363C">
        <w:rPr>
          <w:kern w:val="0"/>
          <w:sz w:val="28"/>
          <w:szCs w:val="28"/>
        </w:rPr>
        <w:t xml:space="preserve">respectively </w:t>
      </w:r>
      <w:r w:rsidRPr="006B363C">
        <w:rPr>
          <w:kern w:val="0"/>
          <w:sz w:val="28"/>
          <w:szCs w:val="28"/>
        </w:rPr>
        <w:t>between December 202</w:t>
      </w:r>
      <w:r w:rsidR="00350069" w:rsidRPr="006B363C">
        <w:rPr>
          <w:kern w:val="0"/>
          <w:sz w:val="28"/>
          <w:szCs w:val="28"/>
        </w:rPr>
        <w:t>3</w:t>
      </w:r>
      <w:r w:rsidRPr="006B363C">
        <w:rPr>
          <w:kern w:val="0"/>
          <w:sz w:val="28"/>
          <w:szCs w:val="28"/>
        </w:rPr>
        <w:t xml:space="preserve"> and December 202</w:t>
      </w:r>
      <w:r w:rsidR="00350069" w:rsidRPr="006B363C">
        <w:rPr>
          <w:kern w:val="0"/>
          <w:sz w:val="28"/>
          <w:szCs w:val="28"/>
        </w:rPr>
        <w:t>4</w:t>
      </w:r>
      <w:r w:rsidRPr="006B363C">
        <w:rPr>
          <w:kern w:val="0"/>
          <w:sz w:val="28"/>
          <w:szCs w:val="28"/>
        </w:rPr>
        <w:t>.  Compared with the respective peaks in 2018 and 2019, prices and rentals in December 202</w:t>
      </w:r>
      <w:r w:rsidR="00350069" w:rsidRPr="006B363C">
        <w:rPr>
          <w:kern w:val="0"/>
          <w:sz w:val="28"/>
          <w:szCs w:val="28"/>
        </w:rPr>
        <w:t>4</w:t>
      </w:r>
      <w:r w:rsidRPr="006B363C">
        <w:rPr>
          <w:kern w:val="0"/>
          <w:sz w:val="28"/>
          <w:szCs w:val="28"/>
        </w:rPr>
        <w:t xml:space="preserve"> were </w:t>
      </w:r>
      <w:r w:rsidR="00350069" w:rsidRPr="006B363C">
        <w:rPr>
          <w:kern w:val="0"/>
          <w:sz w:val="28"/>
          <w:szCs w:val="28"/>
        </w:rPr>
        <w:t>3</w:t>
      </w:r>
      <w:r w:rsidR="00A13DA3">
        <w:rPr>
          <w:kern w:val="0"/>
          <w:sz w:val="28"/>
          <w:szCs w:val="28"/>
        </w:rPr>
        <w:t>7</w:t>
      </w:r>
      <w:r w:rsidRPr="006B363C">
        <w:rPr>
          <w:kern w:val="0"/>
          <w:sz w:val="28"/>
          <w:szCs w:val="28"/>
        </w:rPr>
        <w:t xml:space="preserve">% and </w:t>
      </w:r>
      <w:r w:rsidR="00602A84" w:rsidRPr="006B363C">
        <w:rPr>
          <w:kern w:val="0"/>
          <w:sz w:val="28"/>
          <w:szCs w:val="28"/>
        </w:rPr>
        <w:t>1</w:t>
      </w:r>
      <w:r w:rsidR="00E83499" w:rsidRPr="006B363C">
        <w:rPr>
          <w:kern w:val="0"/>
          <w:sz w:val="28"/>
          <w:szCs w:val="28"/>
        </w:rPr>
        <w:t>6</w:t>
      </w:r>
      <w:r w:rsidRPr="006B363C">
        <w:rPr>
          <w:kern w:val="0"/>
          <w:sz w:val="28"/>
          <w:szCs w:val="28"/>
        </w:rPr>
        <w:t xml:space="preserve">% lower.  The average rental yield </w:t>
      </w:r>
      <w:r w:rsidR="00350069" w:rsidRPr="006B363C">
        <w:rPr>
          <w:kern w:val="0"/>
          <w:sz w:val="28"/>
          <w:szCs w:val="28"/>
        </w:rPr>
        <w:t xml:space="preserve">increased </w:t>
      </w:r>
      <w:r w:rsidRPr="006B363C">
        <w:rPr>
          <w:kern w:val="0"/>
          <w:sz w:val="28"/>
          <w:szCs w:val="28"/>
        </w:rPr>
        <w:t xml:space="preserve">from </w:t>
      </w:r>
      <w:r w:rsidR="00350069" w:rsidRPr="006B363C">
        <w:rPr>
          <w:kern w:val="0"/>
          <w:sz w:val="28"/>
          <w:szCs w:val="28"/>
        </w:rPr>
        <w:t>2.9% in December 2023</w:t>
      </w:r>
      <w:r w:rsidRPr="006B363C">
        <w:rPr>
          <w:kern w:val="0"/>
          <w:sz w:val="28"/>
          <w:szCs w:val="28"/>
        </w:rPr>
        <w:t xml:space="preserve"> to </w:t>
      </w:r>
      <w:r w:rsidR="004F3196" w:rsidRPr="006B363C">
        <w:rPr>
          <w:kern w:val="0"/>
          <w:sz w:val="28"/>
          <w:szCs w:val="28"/>
        </w:rPr>
        <w:t>3.</w:t>
      </w:r>
      <w:r w:rsidR="00456F7F">
        <w:rPr>
          <w:kern w:val="0"/>
          <w:sz w:val="28"/>
          <w:szCs w:val="28"/>
        </w:rPr>
        <w:t>3</w:t>
      </w:r>
      <w:r w:rsidRPr="006B363C">
        <w:rPr>
          <w:kern w:val="0"/>
          <w:sz w:val="28"/>
          <w:szCs w:val="28"/>
        </w:rPr>
        <w:t>%</w:t>
      </w:r>
      <w:r w:rsidR="007F5CAE" w:rsidRPr="006B363C">
        <w:rPr>
          <w:kern w:val="0"/>
          <w:sz w:val="28"/>
          <w:szCs w:val="28"/>
        </w:rPr>
        <w:t xml:space="preserve"> in December 202</w:t>
      </w:r>
      <w:r w:rsidR="00350069" w:rsidRPr="006B363C">
        <w:rPr>
          <w:kern w:val="0"/>
          <w:sz w:val="28"/>
          <w:szCs w:val="28"/>
        </w:rPr>
        <w:t>4</w:t>
      </w:r>
      <w:r w:rsidRPr="006B363C">
        <w:rPr>
          <w:kern w:val="0"/>
          <w:sz w:val="28"/>
          <w:szCs w:val="28"/>
        </w:rPr>
        <w:t>.</w:t>
      </w:r>
      <w:r w:rsidRPr="006B363C">
        <w:rPr>
          <w:color w:val="000000"/>
          <w:sz w:val="28"/>
          <w:szCs w:val="28"/>
        </w:rPr>
        <w:t xml:space="preserve">  For all commercial spaces,</w:t>
      </w:r>
      <w:r w:rsidRPr="006B363C">
        <w:rPr>
          <w:kern w:val="0"/>
          <w:sz w:val="28"/>
          <w:szCs w:val="28"/>
        </w:rPr>
        <w:t xml:space="preserve"> transactions </w:t>
      </w:r>
      <w:r w:rsidR="00277738">
        <w:rPr>
          <w:kern w:val="0"/>
          <w:sz w:val="28"/>
          <w:szCs w:val="28"/>
        </w:rPr>
        <w:t>stayed virtually unchanged at</w:t>
      </w:r>
      <w:r w:rsidR="00277738" w:rsidRPr="009E4BD6">
        <w:rPr>
          <w:kern w:val="0"/>
          <w:sz w:val="28"/>
        </w:rPr>
        <w:t xml:space="preserve"> </w:t>
      </w:r>
      <w:r w:rsidR="00277738">
        <w:rPr>
          <w:kern w:val="0"/>
          <w:sz w:val="28"/>
          <w:szCs w:val="28"/>
        </w:rPr>
        <w:t>1 110</w:t>
      </w:r>
      <w:r w:rsidR="008851F2" w:rsidRPr="006B363C">
        <w:rPr>
          <w:kern w:val="0"/>
          <w:sz w:val="28"/>
          <w:szCs w:val="28"/>
          <w:lang w:val="en-US"/>
        </w:rPr>
        <w:t> </w:t>
      </w:r>
      <w:proofErr w:type="gramStart"/>
      <w:r w:rsidRPr="006B363C">
        <w:rPr>
          <w:rFonts w:hint="eastAsia"/>
          <w:kern w:val="0"/>
          <w:sz w:val="28"/>
          <w:szCs w:val="28"/>
        </w:rPr>
        <w:t>cases</w:t>
      </w:r>
      <w:r w:rsidRPr="006B363C">
        <w:rPr>
          <w:kern w:val="0"/>
          <w:sz w:val="28"/>
          <w:szCs w:val="28"/>
          <w:vertAlign w:val="superscript"/>
        </w:rPr>
        <w:t>(</w:t>
      </w:r>
      <w:proofErr w:type="gramEnd"/>
      <w:r w:rsidR="00A974F9">
        <w:rPr>
          <w:kern w:val="0"/>
          <w:sz w:val="28"/>
          <w:szCs w:val="28"/>
          <w:vertAlign w:val="superscript"/>
        </w:rPr>
        <w:t>4</w:t>
      </w:r>
      <w:r w:rsidRPr="006B363C">
        <w:rPr>
          <w:kern w:val="0"/>
          <w:sz w:val="28"/>
          <w:szCs w:val="28"/>
          <w:vertAlign w:val="superscript"/>
        </w:rPr>
        <w:t>)</w:t>
      </w:r>
      <w:r w:rsidRPr="006B363C">
        <w:rPr>
          <w:rFonts w:hint="eastAsia"/>
          <w:kern w:val="0"/>
          <w:sz w:val="28"/>
          <w:szCs w:val="28"/>
        </w:rPr>
        <w:t xml:space="preserve"> in </w:t>
      </w:r>
      <w:r w:rsidRPr="006B363C">
        <w:rPr>
          <w:kern w:val="0"/>
          <w:sz w:val="28"/>
          <w:szCs w:val="28"/>
        </w:rPr>
        <w:t>202</w:t>
      </w:r>
      <w:r w:rsidR="00350069" w:rsidRPr="006B363C">
        <w:rPr>
          <w:kern w:val="0"/>
          <w:sz w:val="28"/>
          <w:szCs w:val="28"/>
        </w:rPr>
        <w:t>4</w:t>
      </w:r>
      <w:r w:rsidRPr="006B363C">
        <w:rPr>
          <w:kern w:val="0"/>
          <w:sz w:val="28"/>
          <w:szCs w:val="28"/>
        </w:rPr>
        <w:t>, considerably below the annual average of 1 </w:t>
      </w:r>
      <w:r w:rsidR="005430A3" w:rsidRPr="006B363C">
        <w:rPr>
          <w:kern w:val="0"/>
          <w:sz w:val="28"/>
          <w:szCs w:val="28"/>
        </w:rPr>
        <w:t>450</w:t>
      </w:r>
      <w:r w:rsidRPr="006B363C">
        <w:rPr>
          <w:kern w:val="0"/>
          <w:sz w:val="28"/>
          <w:szCs w:val="28"/>
        </w:rPr>
        <w:t xml:space="preserve"> cases in 201</w:t>
      </w:r>
      <w:r w:rsidR="005430A3" w:rsidRPr="006B363C">
        <w:rPr>
          <w:kern w:val="0"/>
          <w:sz w:val="28"/>
          <w:szCs w:val="28"/>
        </w:rPr>
        <w:t>9</w:t>
      </w:r>
      <w:r w:rsidRPr="006B363C">
        <w:rPr>
          <w:kern w:val="0"/>
          <w:sz w:val="28"/>
          <w:szCs w:val="28"/>
        </w:rPr>
        <w:t>-202</w:t>
      </w:r>
      <w:r w:rsidR="005430A3" w:rsidRPr="006B363C">
        <w:rPr>
          <w:kern w:val="0"/>
          <w:sz w:val="28"/>
          <w:szCs w:val="28"/>
        </w:rPr>
        <w:t>3</w:t>
      </w:r>
      <w:r w:rsidRPr="006B363C">
        <w:rPr>
          <w:kern w:val="0"/>
          <w:sz w:val="28"/>
          <w:szCs w:val="28"/>
        </w:rPr>
        <w:t xml:space="preserve">.  </w:t>
      </w:r>
      <w:r w:rsidR="005C0B6C">
        <w:rPr>
          <w:kern w:val="0"/>
          <w:sz w:val="28"/>
          <w:szCs w:val="28"/>
        </w:rPr>
        <w:t>With a negative</w:t>
      </w:r>
      <w:r w:rsidRPr="006B363C">
        <w:rPr>
          <w:kern w:val="0"/>
          <w:sz w:val="28"/>
          <w:szCs w:val="28"/>
        </w:rPr>
        <w:t xml:space="preserve"> take-up of </w:t>
      </w:r>
      <w:r w:rsidR="005C0B6C">
        <w:rPr>
          <w:kern w:val="0"/>
          <w:sz w:val="28"/>
          <w:szCs w:val="28"/>
        </w:rPr>
        <w:t>123 6</w:t>
      </w:r>
      <w:r w:rsidR="005C6000" w:rsidRPr="006B363C">
        <w:rPr>
          <w:kern w:val="0"/>
          <w:sz w:val="28"/>
          <w:szCs w:val="28"/>
        </w:rPr>
        <w:t>00</w:t>
      </w:r>
      <w:r w:rsidRPr="006B363C">
        <w:rPr>
          <w:kern w:val="0"/>
          <w:sz w:val="28"/>
          <w:szCs w:val="28"/>
        </w:rPr>
        <w:t> </w:t>
      </w:r>
      <w:proofErr w:type="spellStart"/>
      <w:r w:rsidRPr="006B363C">
        <w:rPr>
          <w:kern w:val="0"/>
          <w:sz w:val="28"/>
          <w:szCs w:val="28"/>
        </w:rPr>
        <w:t>m</w:t>
      </w:r>
      <w:r w:rsidRPr="006B363C">
        <w:rPr>
          <w:kern w:val="0"/>
          <w:sz w:val="28"/>
          <w:szCs w:val="28"/>
          <w:vertAlign w:val="superscript"/>
        </w:rPr>
        <w:t>2</w:t>
      </w:r>
      <w:proofErr w:type="spellEnd"/>
      <w:r w:rsidRPr="006B363C">
        <w:rPr>
          <w:kern w:val="0"/>
          <w:sz w:val="28"/>
          <w:szCs w:val="28"/>
        </w:rPr>
        <w:t xml:space="preserve"> </w:t>
      </w:r>
      <w:r w:rsidR="005C0B6C">
        <w:rPr>
          <w:sz w:val="28"/>
          <w:szCs w:val="28"/>
        </w:rPr>
        <w:t>and a</w:t>
      </w:r>
      <w:r w:rsidRPr="006B363C">
        <w:rPr>
          <w:kern w:val="0"/>
          <w:sz w:val="28"/>
          <w:szCs w:val="28"/>
        </w:rPr>
        <w:t xml:space="preserve"> completion of </w:t>
      </w:r>
      <w:r w:rsidR="00A13DA3">
        <w:rPr>
          <w:kern w:val="0"/>
          <w:sz w:val="28"/>
          <w:szCs w:val="28"/>
        </w:rPr>
        <w:t>69</w:t>
      </w:r>
      <w:r w:rsidR="008851F2" w:rsidRPr="006B363C">
        <w:rPr>
          <w:kern w:val="0"/>
          <w:sz w:val="28"/>
          <w:szCs w:val="28"/>
        </w:rPr>
        <w:t> </w:t>
      </w:r>
      <w:r w:rsidR="00A13DA3">
        <w:rPr>
          <w:kern w:val="0"/>
          <w:sz w:val="28"/>
          <w:szCs w:val="28"/>
        </w:rPr>
        <w:t>1</w:t>
      </w:r>
      <w:r w:rsidR="008851F2" w:rsidRPr="006B363C">
        <w:rPr>
          <w:kern w:val="0"/>
          <w:sz w:val="28"/>
          <w:szCs w:val="28"/>
        </w:rPr>
        <w:t>00</w:t>
      </w:r>
      <w:r w:rsidR="00EC60C9" w:rsidRPr="006B363C">
        <w:rPr>
          <w:kern w:val="0"/>
          <w:sz w:val="28"/>
          <w:szCs w:val="28"/>
        </w:rPr>
        <w:t> </w:t>
      </w:r>
      <w:proofErr w:type="spellStart"/>
      <w:r w:rsidRPr="006B363C">
        <w:rPr>
          <w:kern w:val="0"/>
          <w:sz w:val="28"/>
          <w:szCs w:val="28"/>
        </w:rPr>
        <w:t>m</w:t>
      </w:r>
      <w:r w:rsidRPr="006B363C">
        <w:rPr>
          <w:kern w:val="0"/>
          <w:sz w:val="28"/>
          <w:szCs w:val="28"/>
          <w:vertAlign w:val="superscript"/>
        </w:rPr>
        <w:t>2</w:t>
      </w:r>
      <w:proofErr w:type="spellEnd"/>
      <w:r w:rsidRPr="006B363C">
        <w:rPr>
          <w:kern w:val="0"/>
          <w:sz w:val="28"/>
          <w:szCs w:val="28"/>
        </w:rPr>
        <w:t xml:space="preserve">, the vacancy rate </w:t>
      </w:r>
      <w:r w:rsidR="00102F94">
        <w:rPr>
          <w:kern w:val="0"/>
          <w:sz w:val="28"/>
          <w:szCs w:val="28"/>
        </w:rPr>
        <w:t>climb</w:t>
      </w:r>
      <w:r w:rsidR="00F02C77">
        <w:rPr>
          <w:kern w:val="0"/>
          <w:sz w:val="28"/>
          <w:szCs w:val="28"/>
        </w:rPr>
        <w:t>ed</w:t>
      </w:r>
      <w:r w:rsidR="005C0B6C">
        <w:rPr>
          <w:kern w:val="0"/>
          <w:sz w:val="28"/>
          <w:szCs w:val="28"/>
        </w:rPr>
        <w:t xml:space="preserve"> up</w:t>
      </w:r>
      <w:r w:rsidR="008D07CD" w:rsidRPr="006B363C">
        <w:rPr>
          <w:kern w:val="0"/>
          <w:sz w:val="28"/>
          <w:szCs w:val="28"/>
        </w:rPr>
        <w:t xml:space="preserve"> </w:t>
      </w:r>
      <w:r w:rsidRPr="006B363C">
        <w:rPr>
          <w:kern w:val="0"/>
          <w:sz w:val="28"/>
          <w:szCs w:val="28"/>
        </w:rPr>
        <w:t xml:space="preserve">from </w:t>
      </w:r>
      <w:r w:rsidR="00350069" w:rsidRPr="006B363C">
        <w:rPr>
          <w:kern w:val="0"/>
          <w:sz w:val="28"/>
          <w:szCs w:val="28"/>
        </w:rPr>
        <w:t>10.3% at end</w:t>
      </w:r>
      <w:r w:rsidR="00350069" w:rsidRPr="006B363C">
        <w:rPr>
          <w:kern w:val="0"/>
          <w:sz w:val="28"/>
          <w:szCs w:val="28"/>
        </w:rPr>
        <w:noBreakHyphen/>
        <w:t>2023</w:t>
      </w:r>
      <w:r w:rsidRPr="006B363C">
        <w:rPr>
          <w:kern w:val="0"/>
          <w:sz w:val="28"/>
          <w:szCs w:val="28"/>
        </w:rPr>
        <w:t xml:space="preserve"> to </w:t>
      </w:r>
      <w:r w:rsidR="005C0B6C">
        <w:rPr>
          <w:kern w:val="0"/>
          <w:sz w:val="28"/>
          <w:szCs w:val="28"/>
        </w:rPr>
        <w:t>11.8</w:t>
      </w:r>
      <w:r w:rsidRPr="006B363C">
        <w:rPr>
          <w:kern w:val="0"/>
          <w:sz w:val="28"/>
          <w:szCs w:val="28"/>
        </w:rPr>
        <w:t>% at end</w:t>
      </w:r>
      <w:r w:rsidR="00A37FAE" w:rsidRPr="006B363C">
        <w:rPr>
          <w:kern w:val="0"/>
          <w:sz w:val="28"/>
          <w:szCs w:val="28"/>
        </w:rPr>
        <w:noBreakHyphen/>
      </w:r>
      <w:r w:rsidRPr="006B363C">
        <w:rPr>
          <w:kern w:val="0"/>
          <w:sz w:val="28"/>
          <w:szCs w:val="28"/>
        </w:rPr>
        <w:t>202</w:t>
      </w:r>
      <w:r w:rsidR="00350069" w:rsidRPr="006B363C">
        <w:rPr>
          <w:kern w:val="0"/>
          <w:sz w:val="28"/>
          <w:szCs w:val="28"/>
        </w:rPr>
        <w:t>4</w:t>
      </w:r>
      <w:r w:rsidRPr="006B363C">
        <w:rPr>
          <w:kern w:val="0"/>
          <w:sz w:val="28"/>
          <w:szCs w:val="28"/>
        </w:rPr>
        <w:t>, above the long-term average of 9.1% over 200</w:t>
      </w:r>
      <w:r w:rsidR="00350069" w:rsidRPr="006B363C">
        <w:rPr>
          <w:kern w:val="0"/>
          <w:sz w:val="28"/>
          <w:szCs w:val="28"/>
        </w:rPr>
        <w:t>4</w:t>
      </w:r>
      <w:r w:rsidR="00AC2560">
        <w:rPr>
          <w:kern w:val="0"/>
          <w:sz w:val="28"/>
          <w:szCs w:val="28"/>
        </w:rPr>
        <w:noBreakHyphen/>
      </w:r>
      <w:r w:rsidRPr="006B363C">
        <w:rPr>
          <w:kern w:val="0"/>
          <w:sz w:val="28"/>
          <w:szCs w:val="28"/>
        </w:rPr>
        <w:t>202</w:t>
      </w:r>
      <w:r w:rsidR="00350069" w:rsidRPr="006B363C">
        <w:rPr>
          <w:kern w:val="0"/>
          <w:sz w:val="28"/>
          <w:szCs w:val="28"/>
        </w:rPr>
        <w:t>3</w:t>
      </w:r>
      <w:r w:rsidRPr="006B363C">
        <w:rPr>
          <w:kern w:val="0"/>
          <w:sz w:val="28"/>
          <w:szCs w:val="28"/>
        </w:rPr>
        <w:t xml:space="preserve">.  </w:t>
      </w:r>
    </w:p>
    <w:p w14:paraId="03D6D48A" w14:textId="42E36412" w:rsidR="006C744A" w:rsidRDefault="006C744A">
      <w:pPr>
        <w:widowControl/>
        <w:rPr>
          <w:color w:val="000000"/>
          <w:sz w:val="28"/>
          <w:szCs w:val="28"/>
        </w:rPr>
      </w:pPr>
    </w:p>
    <w:p w14:paraId="63A46515" w14:textId="5D010D75" w:rsidR="00FB1C5C" w:rsidRPr="00FB4909" w:rsidRDefault="00FB1C5C" w:rsidP="00FB1C5C">
      <w:pPr>
        <w:numPr>
          <w:ilvl w:val="1"/>
          <w:numId w:val="33"/>
        </w:numPr>
        <w:tabs>
          <w:tab w:val="left" w:pos="1080"/>
        </w:tabs>
        <w:overflowPunct w:val="0"/>
        <w:spacing w:line="360" w:lineRule="atLeast"/>
        <w:ind w:left="0" w:firstLine="0"/>
        <w:jc w:val="both"/>
        <w:rPr>
          <w:color w:val="000000"/>
          <w:sz w:val="28"/>
          <w:szCs w:val="28"/>
        </w:rPr>
      </w:pPr>
      <w:r w:rsidRPr="006B363C">
        <w:rPr>
          <w:rFonts w:hint="eastAsia"/>
          <w:kern w:val="0"/>
          <w:sz w:val="28"/>
          <w:szCs w:val="28"/>
          <w:lang w:eastAsia="zh-HK"/>
        </w:rPr>
        <w:t>P</w:t>
      </w:r>
      <w:r w:rsidRPr="006B363C">
        <w:rPr>
          <w:kern w:val="0"/>
          <w:sz w:val="28"/>
          <w:szCs w:val="28"/>
        </w:rPr>
        <w:t xml:space="preserve">rices </w:t>
      </w:r>
      <w:r w:rsidR="005430A3" w:rsidRPr="006B363C">
        <w:rPr>
          <w:kern w:val="0"/>
          <w:sz w:val="28"/>
          <w:szCs w:val="28"/>
        </w:rPr>
        <w:t xml:space="preserve">and rentals </w:t>
      </w:r>
      <w:r w:rsidRPr="006B363C">
        <w:rPr>
          <w:kern w:val="0"/>
          <w:sz w:val="28"/>
          <w:szCs w:val="28"/>
        </w:rPr>
        <w:t xml:space="preserve">of </w:t>
      </w:r>
      <w:r w:rsidRPr="006B363C">
        <w:rPr>
          <w:i/>
          <w:kern w:val="0"/>
          <w:sz w:val="28"/>
          <w:szCs w:val="28"/>
        </w:rPr>
        <w:t>flatted factory space</w:t>
      </w:r>
      <w:r w:rsidRPr="006B363C">
        <w:rPr>
          <w:kern w:val="0"/>
          <w:sz w:val="28"/>
          <w:szCs w:val="28"/>
        </w:rPr>
        <w:t xml:space="preserve"> </w:t>
      </w:r>
      <w:r w:rsidR="005430A3" w:rsidRPr="006B363C">
        <w:rPr>
          <w:kern w:val="0"/>
          <w:sz w:val="28"/>
          <w:szCs w:val="28"/>
        </w:rPr>
        <w:t>also declined</w:t>
      </w:r>
      <w:r w:rsidR="00400415" w:rsidRPr="006B363C">
        <w:rPr>
          <w:kern w:val="0"/>
          <w:sz w:val="28"/>
          <w:szCs w:val="28"/>
        </w:rPr>
        <w:t xml:space="preserve"> by</w:t>
      </w:r>
      <w:r w:rsidRPr="006B363C">
        <w:rPr>
          <w:kern w:val="0"/>
          <w:sz w:val="28"/>
          <w:szCs w:val="28"/>
        </w:rPr>
        <w:t xml:space="preserve"> </w:t>
      </w:r>
      <w:r w:rsidR="005430A3" w:rsidRPr="006B363C">
        <w:rPr>
          <w:kern w:val="0"/>
          <w:sz w:val="28"/>
          <w:szCs w:val="28"/>
        </w:rPr>
        <w:t>1</w:t>
      </w:r>
      <w:r w:rsidR="00020EEA">
        <w:rPr>
          <w:kern w:val="0"/>
          <w:sz w:val="28"/>
          <w:szCs w:val="28"/>
        </w:rPr>
        <w:t>5</w:t>
      </w:r>
      <w:r w:rsidR="005430A3" w:rsidRPr="006B363C">
        <w:rPr>
          <w:kern w:val="0"/>
          <w:sz w:val="28"/>
          <w:szCs w:val="28"/>
        </w:rPr>
        <w:t xml:space="preserve">% and </w:t>
      </w:r>
      <w:r w:rsidR="00C413FD" w:rsidRPr="006B363C">
        <w:rPr>
          <w:kern w:val="0"/>
          <w:sz w:val="28"/>
          <w:szCs w:val="28"/>
        </w:rPr>
        <w:t>3</w:t>
      </w:r>
      <w:r w:rsidR="005430A3" w:rsidRPr="006B363C">
        <w:rPr>
          <w:kern w:val="0"/>
          <w:sz w:val="28"/>
          <w:szCs w:val="28"/>
        </w:rPr>
        <w:t>% respectively between December 2023 and December 2024</w:t>
      </w:r>
      <w:r w:rsidR="00400415" w:rsidRPr="006B363C">
        <w:rPr>
          <w:kern w:val="0"/>
          <w:sz w:val="28"/>
          <w:szCs w:val="28"/>
        </w:rPr>
        <w:t xml:space="preserve">.  </w:t>
      </w:r>
      <w:r w:rsidR="005430A3" w:rsidRPr="006B363C">
        <w:rPr>
          <w:kern w:val="0"/>
          <w:sz w:val="28"/>
          <w:szCs w:val="28"/>
        </w:rPr>
        <w:t xml:space="preserve">Compared with the respective peaks in 2019 and 2023, </w:t>
      </w:r>
      <w:r w:rsidR="005430A3" w:rsidRPr="006B363C">
        <w:rPr>
          <w:sz w:val="28"/>
          <w:szCs w:val="28"/>
        </w:rPr>
        <w:t>p</w:t>
      </w:r>
      <w:r w:rsidR="00400415" w:rsidRPr="006B363C">
        <w:rPr>
          <w:sz w:val="28"/>
          <w:szCs w:val="28"/>
        </w:rPr>
        <w:t xml:space="preserve">rices </w:t>
      </w:r>
      <w:r w:rsidR="005430A3" w:rsidRPr="006B363C">
        <w:rPr>
          <w:sz w:val="28"/>
          <w:szCs w:val="28"/>
        </w:rPr>
        <w:t xml:space="preserve">and rentals </w:t>
      </w:r>
      <w:r w:rsidR="00400415" w:rsidRPr="006B363C">
        <w:rPr>
          <w:sz w:val="28"/>
          <w:szCs w:val="28"/>
        </w:rPr>
        <w:t xml:space="preserve">in </w:t>
      </w:r>
      <w:r w:rsidR="00400415" w:rsidRPr="006B363C">
        <w:rPr>
          <w:kern w:val="0"/>
          <w:sz w:val="28"/>
          <w:szCs w:val="28"/>
        </w:rPr>
        <w:t>December 202</w:t>
      </w:r>
      <w:r w:rsidR="005430A3" w:rsidRPr="006B363C">
        <w:rPr>
          <w:kern w:val="0"/>
          <w:sz w:val="28"/>
          <w:szCs w:val="28"/>
        </w:rPr>
        <w:t>4</w:t>
      </w:r>
      <w:r w:rsidR="00400415" w:rsidRPr="006B363C">
        <w:rPr>
          <w:sz w:val="28"/>
          <w:szCs w:val="28"/>
        </w:rPr>
        <w:t xml:space="preserve"> were </w:t>
      </w:r>
      <w:r w:rsidR="005430A3" w:rsidRPr="006B363C">
        <w:rPr>
          <w:sz w:val="28"/>
          <w:szCs w:val="28"/>
        </w:rPr>
        <w:t>2</w:t>
      </w:r>
      <w:r w:rsidR="00C413FD" w:rsidRPr="006B363C">
        <w:rPr>
          <w:sz w:val="28"/>
          <w:szCs w:val="28"/>
        </w:rPr>
        <w:t>8</w:t>
      </w:r>
      <w:r w:rsidR="005430A3" w:rsidRPr="006B363C">
        <w:rPr>
          <w:sz w:val="28"/>
          <w:szCs w:val="28"/>
        </w:rPr>
        <w:t>%</w:t>
      </w:r>
      <w:r w:rsidR="00400415" w:rsidRPr="006B363C">
        <w:rPr>
          <w:sz w:val="28"/>
          <w:szCs w:val="28"/>
        </w:rPr>
        <w:t xml:space="preserve"> </w:t>
      </w:r>
      <w:r w:rsidR="005430A3" w:rsidRPr="006B363C">
        <w:rPr>
          <w:sz w:val="28"/>
          <w:szCs w:val="28"/>
        </w:rPr>
        <w:t xml:space="preserve">and </w:t>
      </w:r>
      <w:r w:rsidR="00C413FD" w:rsidRPr="006B363C">
        <w:rPr>
          <w:sz w:val="28"/>
          <w:szCs w:val="28"/>
        </w:rPr>
        <w:t>4</w:t>
      </w:r>
      <w:r w:rsidR="005430A3" w:rsidRPr="006B363C">
        <w:rPr>
          <w:sz w:val="28"/>
          <w:szCs w:val="28"/>
        </w:rPr>
        <w:t xml:space="preserve">% </w:t>
      </w:r>
      <w:r w:rsidR="00400415" w:rsidRPr="006B363C">
        <w:rPr>
          <w:sz w:val="28"/>
          <w:szCs w:val="28"/>
        </w:rPr>
        <w:t>lower</w:t>
      </w:r>
      <w:r w:rsidR="00F97CB6" w:rsidRPr="006B363C">
        <w:rPr>
          <w:sz w:val="28"/>
          <w:szCs w:val="28"/>
        </w:rPr>
        <w:t>.</w:t>
      </w:r>
      <w:r w:rsidRPr="006B363C">
        <w:rPr>
          <w:kern w:val="0"/>
          <w:sz w:val="28"/>
          <w:szCs w:val="28"/>
        </w:rPr>
        <w:t xml:space="preserve">  The average rental yield </w:t>
      </w:r>
      <w:r w:rsidR="002305FF" w:rsidRPr="006B363C">
        <w:rPr>
          <w:kern w:val="0"/>
          <w:sz w:val="28"/>
          <w:szCs w:val="28"/>
        </w:rPr>
        <w:t>rose</w:t>
      </w:r>
      <w:r w:rsidRPr="006B363C">
        <w:rPr>
          <w:kern w:val="0"/>
          <w:sz w:val="28"/>
          <w:szCs w:val="28"/>
        </w:rPr>
        <w:t xml:space="preserve"> from </w:t>
      </w:r>
      <w:r w:rsidR="005430A3" w:rsidRPr="006B363C">
        <w:rPr>
          <w:kern w:val="0"/>
          <w:sz w:val="28"/>
          <w:szCs w:val="28"/>
        </w:rPr>
        <w:t>3.3% in December 2023</w:t>
      </w:r>
      <w:r w:rsidRPr="006B363C">
        <w:rPr>
          <w:kern w:val="0"/>
          <w:sz w:val="28"/>
          <w:szCs w:val="28"/>
        </w:rPr>
        <w:t xml:space="preserve"> to </w:t>
      </w:r>
      <w:r w:rsidR="00D0245A" w:rsidRPr="006B363C">
        <w:rPr>
          <w:kern w:val="0"/>
          <w:sz w:val="28"/>
          <w:szCs w:val="28"/>
        </w:rPr>
        <w:t>3.</w:t>
      </w:r>
      <w:r w:rsidR="005430A3" w:rsidRPr="006B363C">
        <w:rPr>
          <w:kern w:val="0"/>
          <w:sz w:val="28"/>
          <w:szCs w:val="28"/>
        </w:rPr>
        <w:t>8</w:t>
      </w:r>
      <w:r w:rsidRPr="006B363C">
        <w:rPr>
          <w:kern w:val="0"/>
          <w:sz w:val="28"/>
          <w:szCs w:val="28"/>
        </w:rPr>
        <w:t>% in December 202</w:t>
      </w:r>
      <w:r w:rsidR="005430A3" w:rsidRPr="006B363C">
        <w:rPr>
          <w:kern w:val="0"/>
          <w:sz w:val="28"/>
          <w:szCs w:val="28"/>
        </w:rPr>
        <w:t>4</w:t>
      </w:r>
      <w:r w:rsidRPr="006B363C">
        <w:rPr>
          <w:kern w:val="0"/>
          <w:sz w:val="28"/>
          <w:szCs w:val="28"/>
        </w:rPr>
        <w:t xml:space="preserve">.  Transactions </w:t>
      </w:r>
      <w:r w:rsidR="005430A3" w:rsidRPr="006B363C">
        <w:rPr>
          <w:kern w:val="0"/>
          <w:sz w:val="28"/>
          <w:szCs w:val="28"/>
        </w:rPr>
        <w:t>fell further</w:t>
      </w:r>
      <w:r w:rsidRPr="006B363C">
        <w:rPr>
          <w:kern w:val="0"/>
          <w:sz w:val="28"/>
          <w:szCs w:val="28"/>
        </w:rPr>
        <w:t xml:space="preserve"> by </w:t>
      </w:r>
      <w:r w:rsidR="005430A3" w:rsidRPr="006B363C">
        <w:rPr>
          <w:kern w:val="0"/>
          <w:sz w:val="28"/>
          <w:szCs w:val="28"/>
        </w:rPr>
        <w:t>1</w:t>
      </w:r>
      <w:r w:rsidR="000E0128">
        <w:rPr>
          <w:kern w:val="0"/>
          <w:sz w:val="28"/>
          <w:szCs w:val="28"/>
        </w:rPr>
        <w:t>3</w:t>
      </w:r>
      <w:r w:rsidR="00833D86">
        <w:rPr>
          <w:kern w:val="0"/>
          <w:sz w:val="28"/>
          <w:szCs w:val="28"/>
        </w:rPr>
        <w:t>%</w:t>
      </w:r>
      <w:r w:rsidRPr="006B363C">
        <w:rPr>
          <w:kern w:val="0"/>
          <w:sz w:val="28"/>
          <w:szCs w:val="28"/>
        </w:rPr>
        <w:t xml:space="preserve"> to </w:t>
      </w:r>
      <w:r w:rsidR="00914BEA" w:rsidRPr="006B363C">
        <w:rPr>
          <w:kern w:val="0"/>
          <w:sz w:val="28"/>
          <w:szCs w:val="28"/>
          <w:lang w:val="en-US"/>
        </w:rPr>
        <w:t>1 </w:t>
      </w:r>
      <w:r w:rsidR="005430A3" w:rsidRPr="006B363C">
        <w:rPr>
          <w:kern w:val="0"/>
          <w:sz w:val="28"/>
          <w:szCs w:val="28"/>
          <w:lang w:val="en-US"/>
        </w:rPr>
        <w:t>6</w:t>
      </w:r>
      <w:r w:rsidR="000C7423">
        <w:rPr>
          <w:kern w:val="0"/>
          <w:sz w:val="28"/>
          <w:szCs w:val="28"/>
          <w:lang w:val="en-US"/>
        </w:rPr>
        <w:t>2</w:t>
      </w:r>
      <w:r w:rsidRPr="006B363C">
        <w:rPr>
          <w:kern w:val="0"/>
          <w:sz w:val="28"/>
          <w:szCs w:val="28"/>
          <w:lang w:val="en-US"/>
        </w:rPr>
        <w:t>0 cases in 202</w:t>
      </w:r>
      <w:r w:rsidR="005430A3" w:rsidRPr="006B363C">
        <w:rPr>
          <w:kern w:val="0"/>
          <w:sz w:val="28"/>
          <w:szCs w:val="28"/>
          <w:lang w:val="en-US"/>
        </w:rPr>
        <w:t>4</w:t>
      </w:r>
      <w:r w:rsidRPr="006B363C">
        <w:rPr>
          <w:kern w:val="0"/>
          <w:sz w:val="28"/>
          <w:szCs w:val="28"/>
        </w:rPr>
        <w:t xml:space="preserve">, well below the annual average of </w:t>
      </w:r>
      <w:r w:rsidR="005430A3" w:rsidRPr="006B363C">
        <w:rPr>
          <w:kern w:val="0"/>
          <w:sz w:val="28"/>
          <w:szCs w:val="28"/>
        </w:rPr>
        <w:t>2</w:t>
      </w:r>
      <w:r w:rsidRPr="006B363C">
        <w:rPr>
          <w:kern w:val="0"/>
          <w:sz w:val="28"/>
          <w:szCs w:val="28"/>
        </w:rPr>
        <w:t> </w:t>
      </w:r>
      <w:r w:rsidR="005430A3" w:rsidRPr="006B363C">
        <w:rPr>
          <w:kern w:val="0"/>
          <w:sz w:val="28"/>
          <w:szCs w:val="28"/>
        </w:rPr>
        <w:t>4</w:t>
      </w:r>
      <w:r w:rsidR="00B545A1" w:rsidRPr="006B363C">
        <w:rPr>
          <w:kern w:val="0"/>
          <w:sz w:val="28"/>
          <w:szCs w:val="28"/>
        </w:rPr>
        <w:t xml:space="preserve">10 </w:t>
      </w:r>
      <w:r w:rsidRPr="006B363C">
        <w:rPr>
          <w:kern w:val="0"/>
          <w:sz w:val="28"/>
          <w:szCs w:val="28"/>
        </w:rPr>
        <w:t>cases in 201</w:t>
      </w:r>
      <w:r w:rsidR="005430A3" w:rsidRPr="006B363C">
        <w:rPr>
          <w:kern w:val="0"/>
          <w:sz w:val="28"/>
          <w:szCs w:val="28"/>
        </w:rPr>
        <w:t>9</w:t>
      </w:r>
      <w:r w:rsidR="002E7259" w:rsidRPr="006B363C">
        <w:rPr>
          <w:kern w:val="0"/>
          <w:sz w:val="28"/>
          <w:szCs w:val="28"/>
        </w:rPr>
        <w:noBreakHyphen/>
      </w:r>
      <w:r w:rsidRPr="006B363C">
        <w:rPr>
          <w:kern w:val="0"/>
          <w:sz w:val="28"/>
          <w:szCs w:val="28"/>
        </w:rPr>
        <w:t>202</w:t>
      </w:r>
      <w:r w:rsidR="005430A3" w:rsidRPr="006B363C">
        <w:rPr>
          <w:kern w:val="0"/>
          <w:sz w:val="28"/>
          <w:szCs w:val="28"/>
        </w:rPr>
        <w:t>3</w:t>
      </w:r>
      <w:r w:rsidRPr="006B363C">
        <w:rPr>
          <w:color w:val="000000"/>
          <w:sz w:val="28"/>
          <w:szCs w:val="28"/>
        </w:rPr>
        <w:t xml:space="preserve">.  </w:t>
      </w:r>
      <w:r w:rsidR="00C93603" w:rsidRPr="006B363C">
        <w:rPr>
          <w:sz w:val="28"/>
          <w:szCs w:val="28"/>
          <w:lang w:eastAsia="zh-HK"/>
        </w:rPr>
        <w:t>With a negative</w:t>
      </w:r>
      <w:r w:rsidR="00C93603" w:rsidRPr="006B363C">
        <w:rPr>
          <w:sz w:val="28"/>
        </w:rPr>
        <w:t xml:space="preserve"> </w:t>
      </w:r>
      <w:r w:rsidRPr="006B363C">
        <w:rPr>
          <w:kern w:val="0"/>
          <w:sz w:val="28"/>
          <w:szCs w:val="28"/>
          <w:lang w:eastAsia="zh-HK"/>
        </w:rPr>
        <w:t xml:space="preserve">take-up of </w:t>
      </w:r>
      <w:r w:rsidR="00102F94">
        <w:rPr>
          <w:kern w:val="0"/>
          <w:sz w:val="28"/>
          <w:szCs w:val="28"/>
          <w:lang w:eastAsia="zh-HK"/>
        </w:rPr>
        <w:t>212 1</w:t>
      </w:r>
      <w:r w:rsidR="006515B1" w:rsidRPr="006B363C">
        <w:rPr>
          <w:kern w:val="0"/>
          <w:sz w:val="28"/>
          <w:szCs w:val="28"/>
          <w:lang w:eastAsia="zh-HK"/>
        </w:rPr>
        <w:t>00</w:t>
      </w:r>
      <w:r w:rsidRPr="006B363C">
        <w:rPr>
          <w:kern w:val="0"/>
          <w:sz w:val="28"/>
          <w:szCs w:val="28"/>
          <w:lang w:eastAsia="zh-HK"/>
        </w:rPr>
        <w:t> </w:t>
      </w:r>
      <w:proofErr w:type="spellStart"/>
      <w:r w:rsidRPr="006B363C">
        <w:rPr>
          <w:kern w:val="0"/>
          <w:sz w:val="28"/>
          <w:szCs w:val="28"/>
          <w:lang w:eastAsia="zh-HK"/>
        </w:rPr>
        <w:t>m</w:t>
      </w:r>
      <w:r w:rsidRPr="006B363C">
        <w:rPr>
          <w:kern w:val="0"/>
          <w:sz w:val="28"/>
          <w:szCs w:val="28"/>
          <w:vertAlign w:val="superscript"/>
          <w:lang w:eastAsia="zh-HK"/>
        </w:rPr>
        <w:t>2</w:t>
      </w:r>
      <w:proofErr w:type="spellEnd"/>
      <w:r w:rsidRPr="00C413FD">
        <w:rPr>
          <w:kern w:val="0"/>
          <w:sz w:val="28"/>
          <w:szCs w:val="28"/>
          <w:lang w:eastAsia="zh-HK"/>
        </w:rPr>
        <w:t xml:space="preserve"> </w:t>
      </w:r>
      <w:r w:rsidR="00C93603" w:rsidRPr="00C413FD">
        <w:rPr>
          <w:kern w:val="0"/>
          <w:sz w:val="28"/>
          <w:szCs w:val="28"/>
          <w:lang w:eastAsia="zh-HK"/>
        </w:rPr>
        <w:t>and a</w:t>
      </w:r>
      <w:r w:rsidRPr="00C413FD">
        <w:rPr>
          <w:kern w:val="0"/>
          <w:sz w:val="28"/>
          <w:szCs w:val="28"/>
          <w:lang w:eastAsia="zh-HK"/>
        </w:rPr>
        <w:t xml:space="preserve"> completion of </w:t>
      </w:r>
      <w:r w:rsidR="00425555">
        <w:rPr>
          <w:kern w:val="0"/>
          <w:sz w:val="28"/>
          <w:szCs w:val="28"/>
          <w:lang w:eastAsia="zh-HK"/>
        </w:rPr>
        <w:t>22</w:t>
      </w:r>
      <w:r w:rsidR="00575D92" w:rsidRPr="009A1347">
        <w:rPr>
          <w:kern w:val="0"/>
          <w:sz w:val="28"/>
          <w:szCs w:val="28"/>
          <w:lang w:eastAsia="zh-HK"/>
        </w:rPr>
        <w:t> </w:t>
      </w:r>
      <w:r w:rsidR="00425555">
        <w:rPr>
          <w:kern w:val="0"/>
          <w:sz w:val="28"/>
          <w:szCs w:val="28"/>
          <w:lang w:eastAsia="zh-HK"/>
        </w:rPr>
        <w:t>9</w:t>
      </w:r>
      <w:r w:rsidR="00575D92" w:rsidRPr="009A1347">
        <w:rPr>
          <w:kern w:val="0"/>
          <w:sz w:val="28"/>
          <w:szCs w:val="28"/>
          <w:lang w:eastAsia="zh-HK"/>
        </w:rPr>
        <w:t>00</w:t>
      </w:r>
      <w:r w:rsidR="008E0A4D" w:rsidRPr="009A1347">
        <w:rPr>
          <w:kern w:val="0"/>
          <w:sz w:val="28"/>
          <w:szCs w:val="28"/>
          <w:lang w:eastAsia="zh-HK"/>
        </w:rPr>
        <w:t> </w:t>
      </w:r>
      <w:r w:rsidRPr="009A1347">
        <w:rPr>
          <w:kern w:val="0"/>
          <w:sz w:val="28"/>
          <w:szCs w:val="28"/>
          <w:lang w:eastAsia="zh-HK"/>
        </w:rPr>
        <w:t>m</w:t>
      </w:r>
      <w:r w:rsidRPr="009A1347">
        <w:rPr>
          <w:kern w:val="0"/>
          <w:sz w:val="28"/>
          <w:szCs w:val="28"/>
          <w:vertAlign w:val="superscript"/>
          <w:lang w:eastAsia="zh-HK"/>
        </w:rPr>
        <w:t>2</w:t>
      </w:r>
      <w:r w:rsidRPr="00C413FD">
        <w:rPr>
          <w:kern w:val="0"/>
          <w:sz w:val="28"/>
          <w:szCs w:val="28"/>
          <w:lang w:eastAsia="zh-HK"/>
        </w:rPr>
        <w:t xml:space="preserve">, the vacancy rate </w:t>
      </w:r>
      <w:r w:rsidR="005C6000" w:rsidRPr="00C413FD">
        <w:rPr>
          <w:kern w:val="0"/>
          <w:sz w:val="28"/>
          <w:szCs w:val="28"/>
          <w:lang w:eastAsia="zh-HK"/>
        </w:rPr>
        <w:t xml:space="preserve">went </w:t>
      </w:r>
      <w:r w:rsidR="00C93603" w:rsidRPr="00C413FD">
        <w:rPr>
          <w:kern w:val="0"/>
          <w:sz w:val="28"/>
          <w:szCs w:val="28"/>
          <w:lang w:eastAsia="zh-HK"/>
        </w:rPr>
        <w:t>up</w:t>
      </w:r>
      <w:r w:rsidRPr="00C413FD">
        <w:rPr>
          <w:kern w:val="0"/>
          <w:sz w:val="28"/>
          <w:szCs w:val="28"/>
          <w:lang w:eastAsia="zh-HK"/>
        </w:rPr>
        <w:t xml:space="preserve"> from </w:t>
      </w:r>
      <w:r w:rsidR="00C413FD" w:rsidRPr="00C413FD">
        <w:rPr>
          <w:kern w:val="0"/>
          <w:sz w:val="28"/>
          <w:szCs w:val="28"/>
          <w:lang w:eastAsia="zh-HK"/>
        </w:rPr>
        <w:t>5.7% at end</w:t>
      </w:r>
      <w:r w:rsidR="00C413FD" w:rsidRPr="00C413FD">
        <w:rPr>
          <w:kern w:val="0"/>
          <w:sz w:val="28"/>
          <w:szCs w:val="28"/>
          <w:lang w:eastAsia="zh-HK"/>
        </w:rPr>
        <w:noBreakHyphen/>
        <w:t>2023</w:t>
      </w:r>
      <w:r w:rsidRPr="00C413FD">
        <w:rPr>
          <w:kern w:val="0"/>
          <w:sz w:val="28"/>
          <w:szCs w:val="28"/>
          <w:lang w:eastAsia="zh-HK"/>
        </w:rPr>
        <w:t xml:space="preserve"> to </w:t>
      </w:r>
      <w:r w:rsidR="00102F94">
        <w:rPr>
          <w:kern w:val="0"/>
          <w:sz w:val="28"/>
          <w:szCs w:val="28"/>
          <w:lang w:eastAsia="zh-HK"/>
        </w:rPr>
        <w:t>7.0</w:t>
      </w:r>
      <w:r w:rsidRPr="00C413FD">
        <w:rPr>
          <w:kern w:val="0"/>
          <w:sz w:val="28"/>
          <w:szCs w:val="28"/>
          <w:lang w:eastAsia="zh-HK"/>
        </w:rPr>
        <w:t>% at end</w:t>
      </w:r>
      <w:r w:rsidR="008E0A4D" w:rsidRPr="00C413FD">
        <w:rPr>
          <w:kern w:val="0"/>
          <w:sz w:val="28"/>
          <w:szCs w:val="28"/>
          <w:lang w:eastAsia="zh-HK"/>
        </w:rPr>
        <w:noBreakHyphen/>
      </w:r>
      <w:r w:rsidRPr="00C413FD">
        <w:rPr>
          <w:kern w:val="0"/>
          <w:sz w:val="28"/>
          <w:szCs w:val="28"/>
          <w:lang w:eastAsia="zh-HK"/>
        </w:rPr>
        <w:t>202</w:t>
      </w:r>
      <w:r w:rsidR="00C413FD" w:rsidRPr="00C413FD">
        <w:rPr>
          <w:kern w:val="0"/>
          <w:sz w:val="28"/>
          <w:szCs w:val="28"/>
          <w:lang w:eastAsia="zh-HK"/>
        </w:rPr>
        <w:t>4</w:t>
      </w:r>
      <w:r w:rsidRPr="00C413FD">
        <w:rPr>
          <w:kern w:val="0"/>
          <w:sz w:val="28"/>
          <w:szCs w:val="28"/>
          <w:lang w:eastAsia="zh-HK"/>
        </w:rPr>
        <w:t xml:space="preserve">, </w:t>
      </w:r>
      <w:r w:rsidR="00C955E8">
        <w:rPr>
          <w:kern w:val="0"/>
          <w:sz w:val="28"/>
          <w:szCs w:val="28"/>
          <w:lang w:eastAsia="zh-HK"/>
        </w:rPr>
        <w:t>higher than</w:t>
      </w:r>
      <w:r w:rsidRPr="00093D1E">
        <w:rPr>
          <w:kern w:val="0"/>
          <w:sz w:val="28"/>
          <w:szCs w:val="28"/>
          <w:lang w:eastAsia="zh-HK"/>
        </w:rPr>
        <w:t xml:space="preserve"> the long</w:t>
      </w:r>
      <w:r w:rsidR="00C93603">
        <w:rPr>
          <w:kern w:val="0"/>
          <w:sz w:val="28"/>
          <w:szCs w:val="28"/>
          <w:lang w:eastAsia="zh-HK"/>
        </w:rPr>
        <w:noBreakHyphen/>
      </w:r>
      <w:r w:rsidRPr="00093D1E">
        <w:rPr>
          <w:kern w:val="0"/>
          <w:sz w:val="28"/>
          <w:szCs w:val="28"/>
          <w:lang w:eastAsia="zh-HK"/>
        </w:rPr>
        <w:t xml:space="preserve">term average of </w:t>
      </w:r>
      <w:r>
        <w:rPr>
          <w:kern w:val="0"/>
          <w:sz w:val="28"/>
          <w:szCs w:val="28"/>
          <w:lang w:eastAsia="zh-HK"/>
        </w:rPr>
        <w:t>6</w:t>
      </w:r>
      <w:r w:rsidRPr="00093D1E">
        <w:rPr>
          <w:kern w:val="0"/>
          <w:sz w:val="28"/>
          <w:szCs w:val="28"/>
          <w:lang w:eastAsia="zh-HK"/>
        </w:rPr>
        <w:t>.</w:t>
      </w:r>
      <w:r w:rsidR="000008C4">
        <w:rPr>
          <w:kern w:val="0"/>
          <w:sz w:val="28"/>
          <w:szCs w:val="28"/>
          <w:lang w:eastAsia="zh-HK"/>
        </w:rPr>
        <w:t>3</w:t>
      </w:r>
      <w:r w:rsidRPr="00093D1E">
        <w:rPr>
          <w:kern w:val="0"/>
          <w:sz w:val="28"/>
          <w:szCs w:val="28"/>
          <w:lang w:eastAsia="zh-HK"/>
        </w:rPr>
        <w:t>% over 200</w:t>
      </w:r>
      <w:r w:rsidR="000008C4">
        <w:rPr>
          <w:kern w:val="0"/>
          <w:sz w:val="28"/>
          <w:szCs w:val="28"/>
          <w:lang w:eastAsia="zh-HK"/>
        </w:rPr>
        <w:t>4</w:t>
      </w:r>
      <w:r w:rsidR="00775BE5">
        <w:rPr>
          <w:kern w:val="0"/>
          <w:sz w:val="28"/>
          <w:szCs w:val="28"/>
          <w:lang w:eastAsia="zh-HK"/>
        </w:rPr>
        <w:noBreakHyphen/>
      </w:r>
      <w:r w:rsidRPr="00093D1E">
        <w:rPr>
          <w:kern w:val="0"/>
          <w:sz w:val="28"/>
          <w:szCs w:val="28"/>
          <w:lang w:eastAsia="zh-HK"/>
        </w:rPr>
        <w:t>202</w:t>
      </w:r>
      <w:r w:rsidR="000008C4">
        <w:rPr>
          <w:kern w:val="0"/>
          <w:sz w:val="28"/>
          <w:szCs w:val="28"/>
          <w:lang w:eastAsia="zh-HK"/>
        </w:rPr>
        <w:t>3</w:t>
      </w:r>
      <w:r w:rsidRPr="00093D1E">
        <w:rPr>
          <w:kern w:val="0"/>
          <w:sz w:val="28"/>
          <w:szCs w:val="28"/>
          <w:lang w:eastAsia="zh-HK"/>
        </w:rPr>
        <w:t>.</w:t>
      </w:r>
      <w:r>
        <w:rPr>
          <w:kern w:val="0"/>
          <w:sz w:val="28"/>
          <w:szCs w:val="28"/>
          <w:lang w:eastAsia="zh-HK"/>
        </w:rPr>
        <w:t xml:space="preserve">  </w:t>
      </w:r>
    </w:p>
    <w:p w14:paraId="3BBEF097" w14:textId="4F377DBF" w:rsidR="00ED595A" w:rsidRPr="00E31A14" w:rsidRDefault="00ED595A" w:rsidP="00FB4909">
      <w:pPr>
        <w:tabs>
          <w:tab w:val="left" w:pos="1080"/>
        </w:tabs>
        <w:overflowPunct w:val="0"/>
        <w:spacing w:line="360" w:lineRule="atLeast"/>
        <w:jc w:val="both"/>
        <w:rPr>
          <w:color w:val="000000"/>
          <w:sz w:val="28"/>
          <w:szCs w:val="28"/>
        </w:rPr>
      </w:pPr>
    </w:p>
    <w:p w14:paraId="3042E63B" w14:textId="354A1C48" w:rsidR="00FB1C5C" w:rsidRDefault="00D36AED" w:rsidP="00FB1C5C">
      <w:pPr>
        <w:pStyle w:val="afa"/>
        <w:overflowPunct w:val="0"/>
        <w:ind w:leftChars="0" w:left="0"/>
      </w:pPr>
      <w:r w:rsidRPr="00D36AED">
        <w:rPr>
          <w:noProof/>
        </w:rPr>
        <w:lastRenderedPageBreak/>
        <w:drawing>
          <wp:inline distT="0" distB="0" distL="0" distR="0" wp14:anchorId="1A56E072" wp14:editId="7DDF5341">
            <wp:extent cx="5734800" cy="3497157"/>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4800" cy="3497157"/>
                    </a:xfrm>
                    <a:prstGeom prst="rect">
                      <a:avLst/>
                    </a:prstGeom>
                    <a:noFill/>
                    <a:ln>
                      <a:noFill/>
                    </a:ln>
                  </pic:spPr>
                </pic:pic>
              </a:graphicData>
            </a:graphic>
          </wp:inline>
        </w:drawing>
      </w:r>
      <w:r w:rsidRPr="00D36AED">
        <w:t xml:space="preserve"> </w:t>
      </w:r>
    </w:p>
    <w:p w14:paraId="30ABA42D" w14:textId="77777777" w:rsidR="00C01C4E" w:rsidRPr="00237C63" w:rsidRDefault="00C01C4E" w:rsidP="00FB1C5C">
      <w:pPr>
        <w:pStyle w:val="afa"/>
        <w:overflowPunct w:val="0"/>
        <w:ind w:leftChars="0" w:left="0"/>
      </w:pPr>
    </w:p>
    <w:p w14:paraId="0868C216" w14:textId="69035F6F" w:rsidR="00FB1C5C" w:rsidRPr="00237C63" w:rsidRDefault="00114E77" w:rsidP="00FB1C5C">
      <w:pPr>
        <w:pStyle w:val="afa"/>
        <w:overflowPunct w:val="0"/>
        <w:ind w:leftChars="0" w:left="0"/>
        <w:rPr>
          <w:sz w:val="28"/>
          <w:szCs w:val="28"/>
        </w:rPr>
      </w:pPr>
      <w:r w:rsidRPr="00114E77">
        <w:rPr>
          <w:noProof/>
          <w:sz w:val="28"/>
          <w:szCs w:val="28"/>
        </w:rPr>
        <w:drawing>
          <wp:inline distT="0" distB="0" distL="0" distR="0" wp14:anchorId="6C6B3FF6" wp14:editId="3B8C94D5">
            <wp:extent cx="5733415" cy="3498556"/>
            <wp:effectExtent l="0" t="0" r="0" b="6985"/>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3415" cy="3498556"/>
                    </a:xfrm>
                    <a:prstGeom prst="rect">
                      <a:avLst/>
                    </a:prstGeom>
                    <a:noFill/>
                    <a:ln>
                      <a:noFill/>
                    </a:ln>
                  </pic:spPr>
                </pic:pic>
              </a:graphicData>
            </a:graphic>
          </wp:inline>
        </w:drawing>
      </w:r>
    </w:p>
    <w:p w14:paraId="35EA7366" w14:textId="4854DD13" w:rsidR="00FB1C5C" w:rsidRDefault="00FB1C5C" w:rsidP="00FB1C5C">
      <w:pPr>
        <w:pStyle w:val="afa"/>
        <w:overflowPunct w:val="0"/>
        <w:ind w:leftChars="0" w:left="0"/>
        <w:rPr>
          <w:sz w:val="28"/>
          <w:szCs w:val="28"/>
          <w:highlight w:val="green"/>
        </w:rPr>
      </w:pPr>
    </w:p>
    <w:p w14:paraId="46584F9E" w14:textId="69A9F52D" w:rsidR="00CF09CE" w:rsidRPr="00C36DF4" w:rsidRDefault="00C36DF4" w:rsidP="00C36DF4">
      <w:pPr>
        <w:widowControl/>
        <w:rPr>
          <w:sz w:val="28"/>
          <w:szCs w:val="28"/>
        </w:rPr>
      </w:pPr>
      <w:r w:rsidRPr="00C36DF4">
        <w:rPr>
          <w:sz w:val="28"/>
          <w:szCs w:val="28"/>
        </w:rPr>
        <w:br w:type="page"/>
      </w:r>
    </w:p>
    <w:p w14:paraId="5ADC02F3" w14:textId="77777777" w:rsidR="00FB1C5C" w:rsidRPr="00C24DA8" w:rsidRDefault="00FB1C5C" w:rsidP="00FB1C5C">
      <w:pPr>
        <w:pStyle w:val="afa"/>
        <w:overflowPunct w:val="0"/>
        <w:ind w:leftChars="0" w:left="0"/>
        <w:rPr>
          <w:b/>
          <w:sz w:val="28"/>
          <w:szCs w:val="28"/>
        </w:rPr>
      </w:pPr>
      <w:r w:rsidRPr="00C24DA8">
        <w:rPr>
          <w:b/>
          <w:sz w:val="28"/>
          <w:szCs w:val="28"/>
        </w:rPr>
        <w:lastRenderedPageBreak/>
        <w:t>Land</w:t>
      </w:r>
    </w:p>
    <w:p w14:paraId="4569FA85" w14:textId="77777777" w:rsidR="00FB1C5C" w:rsidRPr="00C24DA8" w:rsidRDefault="00FB1C5C" w:rsidP="00FB1C5C">
      <w:pPr>
        <w:pStyle w:val="afa"/>
        <w:overflowPunct w:val="0"/>
        <w:ind w:leftChars="0" w:left="0"/>
        <w:rPr>
          <w:sz w:val="28"/>
          <w:szCs w:val="28"/>
          <w:highlight w:val="green"/>
        </w:rPr>
      </w:pPr>
    </w:p>
    <w:p w14:paraId="3C319874" w14:textId="276FB92A" w:rsidR="0042788A" w:rsidRPr="00ED6F88" w:rsidRDefault="007A45A8" w:rsidP="00ED6F88">
      <w:pPr>
        <w:numPr>
          <w:ilvl w:val="1"/>
          <w:numId w:val="33"/>
        </w:numPr>
        <w:tabs>
          <w:tab w:val="left" w:pos="1080"/>
        </w:tabs>
        <w:overflowPunct w:val="0"/>
        <w:spacing w:line="360" w:lineRule="atLeast"/>
        <w:ind w:left="0" w:firstLine="0"/>
        <w:jc w:val="both"/>
        <w:rPr>
          <w:b/>
          <w:kern w:val="0"/>
          <w:sz w:val="28"/>
        </w:rPr>
      </w:pPr>
      <w:r>
        <w:rPr>
          <w:kern w:val="0"/>
          <w:sz w:val="28"/>
          <w:szCs w:val="28"/>
        </w:rPr>
        <w:t>Four</w:t>
      </w:r>
      <w:r w:rsidR="00FB1C5C" w:rsidRPr="009977F9">
        <w:rPr>
          <w:kern w:val="0"/>
          <w:sz w:val="28"/>
          <w:szCs w:val="28"/>
          <w:lang w:eastAsia="zh-HK"/>
        </w:rPr>
        <w:t xml:space="preserve"> sites with a total area of about </w:t>
      </w:r>
      <w:r>
        <w:rPr>
          <w:kern w:val="0"/>
          <w:sz w:val="28"/>
          <w:szCs w:val="28"/>
          <w:lang w:eastAsia="zh-HK"/>
        </w:rPr>
        <w:t>1.0 hectare</w:t>
      </w:r>
      <w:r w:rsidR="00FB1C5C" w:rsidRPr="009977F9">
        <w:rPr>
          <w:kern w:val="0"/>
          <w:sz w:val="28"/>
          <w:szCs w:val="28"/>
          <w:lang w:eastAsia="zh-HK"/>
        </w:rPr>
        <w:t xml:space="preserve"> were disposed of in 202</w:t>
      </w:r>
      <w:r>
        <w:rPr>
          <w:kern w:val="0"/>
          <w:sz w:val="28"/>
          <w:szCs w:val="28"/>
          <w:lang w:eastAsia="zh-HK"/>
        </w:rPr>
        <w:t>4</w:t>
      </w:r>
      <w:r w:rsidR="00FB1C5C" w:rsidRPr="009977F9">
        <w:rPr>
          <w:kern w:val="0"/>
          <w:sz w:val="28"/>
          <w:szCs w:val="28"/>
          <w:lang w:eastAsia="zh-HK"/>
        </w:rPr>
        <w:t>, fetching a land premium of</w:t>
      </w:r>
      <w:r w:rsidR="00FB1C5C" w:rsidRPr="009977F9">
        <w:rPr>
          <w:rFonts w:hint="eastAsia"/>
          <w:kern w:val="0"/>
          <w:sz w:val="28"/>
          <w:szCs w:val="28"/>
          <w:lang w:eastAsia="zh-HK"/>
        </w:rPr>
        <w:t xml:space="preserve"> about</w:t>
      </w:r>
      <w:r w:rsidR="00FB1C5C" w:rsidRPr="009977F9">
        <w:rPr>
          <w:kern w:val="0"/>
          <w:sz w:val="28"/>
          <w:szCs w:val="28"/>
          <w:lang w:eastAsia="zh-HK"/>
        </w:rPr>
        <w:t xml:space="preserve"> $</w:t>
      </w:r>
      <w:r>
        <w:rPr>
          <w:kern w:val="0"/>
          <w:sz w:val="28"/>
          <w:szCs w:val="28"/>
          <w:lang w:eastAsia="zh-HK"/>
        </w:rPr>
        <w:t>1.7</w:t>
      </w:r>
      <w:r w:rsidR="00FB1C5C" w:rsidRPr="009977F9">
        <w:rPr>
          <w:kern w:val="0"/>
          <w:sz w:val="28"/>
          <w:szCs w:val="28"/>
          <w:lang w:eastAsia="zh-HK"/>
        </w:rPr>
        <w:t xml:space="preserve"> billion.  Among these sites, there were </w:t>
      </w:r>
      <w:r>
        <w:rPr>
          <w:kern w:val="0"/>
          <w:sz w:val="28"/>
          <w:szCs w:val="28"/>
          <w:lang w:eastAsia="zh-HK"/>
        </w:rPr>
        <w:t>two</w:t>
      </w:r>
      <w:r w:rsidR="00FB1C5C" w:rsidRPr="009977F9">
        <w:rPr>
          <w:kern w:val="0"/>
          <w:sz w:val="28"/>
          <w:szCs w:val="28"/>
          <w:lang w:eastAsia="zh-HK"/>
        </w:rPr>
        <w:t xml:space="preserve"> residential sites</w:t>
      </w:r>
      <w:r w:rsidR="00E220EF">
        <w:rPr>
          <w:kern w:val="0"/>
          <w:sz w:val="28"/>
          <w:szCs w:val="28"/>
          <w:lang w:eastAsia="zh-HK"/>
        </w:rPr>
        <w:t xml:space="preserve"> and two sites for </w:t>
      </w:r>
      <w:r w:rsidR="00E220EF" w:rsidRPr="0007629D">
        <w:rPr>
          <w:sz w:val="28"/>
          <w:szCs w:val="28"/>
          <w:lang w:eastAsia="zh-HK"/>
        </w:rPr>
        <w:t>electric vehicle charging station</w:t>
      </w:r>
      <w:r w:rsidR="00463013">
        <w:rPr>
          <w:sz w:val="28"/>
          <w:szCs w:val="28"/>
          <w:lang w:eastAsia="zh-HK"/>
        </w:rPr>
        <w:t>s</w:t>
      </w:r>
      <w:r w:rsidR="00FB1C5C" w:rsidRPr="009977F9">
        <w:rPr>
          <w:kern w:val="0"/>
          <w:sz w:val="28"/>
          <w:szCs w:val="28"/>
          <w:lang w:eastAsia="zh-HK"/>
        </w:rPr>
        <w:t xml:space="preserve">.  </w:t>
      </w:r>
      <w:r w:rsidR="00ED6F88" w:rsidRPr="0007629D">
        <w:rPr>
          <w:sz w:val="28"/>
          <w:szCs w:val="28"/>
          <w:lang w:eastAsia="zh-HK"/>
        </w:rPr>
        <w:t xml:space="preserve">In addition, </w:t>
      </w:r>
      <w:r w:rsidR="000B3B93" w:rsidRPr="009C5F62">
        <w:rPr>
          <w:kern w:val="0"/>
          <w:sz w:val="28"/>
        </w:rPr>
        <w:t xml:space="preserve">the </w:t>
      </w:r>
      <w:r w:rsidR="000B3B93" w:rsidRPr="00456F7F">
        <w:rPr>
          <w:kern w:val="0"/>
          <w:sz w:val="28"/>
        </w:rPr>
        <w:t xml:space="preserve">tender </w:t>
      </w:r>
      <w:r w:rsidR="000B3B93" w:rsidRPr="004C2B81">
        <w:rPr>
          <w:kern w:val="0"/>
          <w:sz w:val="28"/>
          <w:szCs w:val="28"/>
          <w:lang w:eastAsia="zh-HK"/>
        </w:rPr>
        <w:t xml:space="preserve">exercise for one residential site in </w:t>
      </w:r>
      <w:proofErr w:type="spellStart"/>
      <w:r w:rsidR="000B3B93">
        <w:rPr>
          <w:kern w:val="0"/>
          <w:sz w:val="28"/>
          <w:szCs w:val="28"/>
          <w:lang w:eastAsia="zh-HK"/>
        </w:rPr>
        <w:t>Sha</w:t>
      </w:r>
      <w:proofErr w:type="spellEnd"/>
      <w:r w:rsidR="000B3B93">
        <w:rPr>
          <w:kern w:val="0"/>
          <w:sz w:val="28"/>
          <w:szCs w:val="28"/>
          <w:lang w:eastAsia="zh-HK"/>
        </w:rPr>
        <w:t xml:space="preserve"> Tin, one industrial site in Yuen Long</w:t>
      </w:r>
      <w:r w:rsidR="00027941">
        <w:rPr>
          <w:kern w:val="0"/>
          <w:sz w:val="28"/>
          <w:szCs w:val="28"/>
          <w:lang w:eastAsia="zh-HK"/>
        </w:rPr>
        <w:t>,</w:t>
      </w:r>
      <w:r w:rsidR="000B3B93" w:rsidRPr="004C2B81">
        <w:rPr>
          <w:kern w:val="0"/>
          <w:sz w:val="28"/>
          <w:szCs w:val="28"/>
          <w:lang w:eastAsia="zh-HK"/>
        </w:rPr>
        <w:t xml:space="preserve"> and one </w:t>
      </w:r>
      <w:r w:rsidR="000B3B93">
        <w:rPr>
          <w:kern w:val="0"/>
          <w:sz w:val="28"/>
          <w:szCs w:val="28"/>
          <w:lang w:eastAsia="zh-HK"/>
        </w:rPr>
        <w:t>logistics</w:t>
      </w:r>
      <w:r w:rsidR="000B3B93" w:rsidRPr="004C2B81">
        <w:rPr>
          <w:kern w:val="0"/>
          <w:sz w:val="28"/>
          <w:szCs w:val="28"/>
          <w:lang w:eastAsia="zh-HK"/>
        </w:rPr>
        <w:t xml:space="preserve"> </w:t>
      </w:r>
      <w:r w:rsidR="000B3B93">
        <w:rPr>
          <w:kern w:val="0"/>
          <w:sz w:val="28"/>
          <w:szCs w:val="28"/>
          <w:lang w:eastAsia="zh-HK"/>
        </w:rPr>
        <w:t xml:space="preserve">services and public vehicle park </w:t>
      </w:r>
      <w:r w:rsidR="000B3B93" w:rsidRPr="004C2B81">
        <w:rPr>
          <w:kern w:val="0"/>
          <w:sz w:val="28"/>
          <w:szCs w:val="28"/>
          <w:lang w:eastAsia="zh-HK"/>
        </w:rPr>
        <w:t xml:space="preserve">site in </w:t>
      </w:r>
      <w:r w:rsidR="000B3B93">
        <w:rPr>
          <w:kern w:val="0"/>
          <w:sz w:val="28"/>
          <w:szCs w:val="28"/>
          <w:lang w:eastAsia="zh-HK"/>
        </w:rPr>
        <w:t>Tsing Yi</w:t>
      </w:r>
      <w:r w:rsidR="000B3B93" w:rsidRPr="004C2B81">
        <w:rPr>
          <w:kern w:val="0"/>
          <w:sz w:val="28"/>
          <w:szCs w:val="28"/>
          <w:lang w:eastAsia="zh-HK"/>
        </w:rPr>
        <w:t xml:space="preserve"> commenced in the fourth quarter</w:t>
      </w:r>
      <w:r w:rsidR="000B3B93">
        <w:rPr>
          <w:kern w:val="0"/>
          <w:sz w:val="28"/>
          <w:szCs w:val="28"/>
          <w:lang w:eastAsia="zh-HK"/>
        </w:rPr>
        <w:t xml:space="preserve">, while </w:t>
      </w:r>
      <w:r w:rsidR="00ED6F88" w:rsidRPr="0007629D">
        <w:rPr>
          <w:sz w:val="28"/>
          <w:szCs w:val="28"/>
          <w:lang w:eastAsia="zh-HK"/>
        </w:rPr>
        <w:t xml:space="preserve">the tender closing date of </w:t>
      </w:r>
      <w:r w:rsidR="00473839">
        <w:rPr>
          <w:rFonts w:hint="eastAsia"/>
          <w:sz w:val="28"/>
          <w:szCs w:val="28"/>
          <w:lang w:eastAsia="zh-HK"/>
        </w:rPr>
        <w:t>another</w:t>
      </w:r>
      <w:r w:rsidR="00ED6F88" w:rsidRPr="0007629D">
        <w:rPr>
          <w:sz w:val="28"/>
          <w:szCs w:val="28"/>
          <w:lang w:eastAsia="zh-HK"/>
        </w:rPr>
        <w:t xml:space="preserve"> industrial site in Yuen Long </w:t>
      </w:r>
      <w:r w:rsidR="009743E3">
        <w:rPr>
          <w:sz w:val="28"/>
          <w:szCs w:val="28"/>
          <w:lang w:eastAsia="zh-HK"/>
        </w:rPr>
        <w:t>was</w:t>
      </w:r>
      <w:r w:rsidR="00ED6F88" w:rsidRPr="0007629D">
        <w:rPr>
          <w:sz w:val="28"/>
          <w:szCs w:val="28"/>
          <w:lang w:eastAsia="zh-HK"/>
        </w:rPr>
        <w:t xml:space="preserve"> </w:t>
      </w:r>
      <w:r w:rsidR="00ED6F88">
        <w:rPr>
          <w:sz w:val="28"/>
          <w:szCs w:val="28"/>
          <w:lang w:eastAsia="zh-HK"/>
        </w:rPr>
        <w:t xml:space="preserve">further </w:t>
      </w:r>
      <w:r w:rsidR="00ED6F88" w:rsidRPr="0007629D">
        <w:rPr>
          <w:sz w:val="28"/>
          <w:szCs w:val="28"/>
          <w:lang w:eastAsia="zh-HK"/>
        </w:rPr>
        <w:t xml:space="preserve">extended from 27 December 2024 to </w:t>
      </w:r>
      <w:r w:rsidR="00ED6F88">
        <w:rPr>
          <w:sz w:val="28"/>
          <w:szCs w:val="28"/>
          <w:lang w:eastAsia="zh-HK"/>
        </w:rPr>
        <w:t>21</w:t>
      </w:r>
      <w:r w:rsidR="00ED6F88" w:rsidRPr="0007629D">
        <w:rPr>
          <w:sz w:val="28"/>
          <w:szCs w:val="28"/>
          <w:lang w:eastAsia="zh-HK"/>
        </w:rPr>
        <w:t> </w:t>
      </w:r>
      <w:r w:rsidR="00ED6F88">
        <w:rPr>
          <w:sz w:val="28"/>
          <w:szCs w:val="28"/>
          <w:lang w:eastAsia="zh-HK"/>
        </w:rPr>
        <w:t>March 2025</w:t>
      </w:r>
      <w:r w:rsidR="00ED6F88" w:rsidRPr="0007629D">
        <w:rPr>
          <w:sz w:val="28"/>
          <w:szCs w:val="28"/>
          <w:lang w:eastAsia="zh-HK"/>
        </w:rPr>
        <w:t>.</w:t>
      </w:r>
      <w:r w:rsidR="00ED6F88">
        <w:rPr>
          <w:sz w:val="28"/>
          <w:szCs w:val="28"/>
          <w:lang w:eastAsia="zh-HK"/>
        </w:rPr>
        <w:t xml:space="preserve">  </w:t>
      </w:r>
      <w:r w:rsidR="000B3B93" w:rsidRPr="00ED6F88">
        <w:rPr>
          <w:kern w:val="0"/>
          <w:sz w:val="28"/>
          <w:szCs w:val="28"/>
          <w:lang w:eastAsia="zh-HK"/>
        </w:rPr>
        <w:t xml:space="preserve">Regarding exchange of land, </w:t>
      </w:r>
      <w:r w:rsidR="000B3B93">
        <w:rPr>
          <w:kern w:val="0"/>
          <w:sz w:val="28"/>
          <w:szCs w:val="28"/>
          <w:lang w:eastAsia="zh-HK"/>
        </w:rPr>
        <w:t>eight</w:t>
      </w:r>
      <w:r w:rsidR="000B3B93" w:rsidRPr="00ED6F88">
        <w:rPr>
          <w:kern w:val="0"/>
          <w:sz w:val="28"/>
          <w:szCs w:val="28"/>
          <w:lang w:eastAsia="zh-HK"/>
        </w:rPr>
        <w:t> sites with a total area of about 14.</w:t>
      </w:r>
      <w:r w:rsidR="000B3B93">
        <w:rPr>
          <w:kern w:val="0"/>
          <w:sz w:val="28"/>
          <w:szCs w:val="28"/>
          <w:lang w:eastAsia="zh-HK"/>
        </w:rPr>
        <w:t>8</w:t>
      </w:r>
      <w:r w:rsidR="000B3B93" w:rsidRPr="00ED6F88">
        <w:rPr>
          <w:kern w:val="0"/>
          <w:sz w:val="28"/>
          <w:szCs w:val="28"/>
          <w:lang w:eastAsia="zh-HK"/>
        </w:rPr>
        <w:t> hectares were approved in 2024.  As to lease modifications, a total of 5</w:t>
      </w:r>
      <w:r w:rsidR="000B3B93">
        <w:rPr>
          <w:kern w:val="0"/>
          <w:sz w:val="28"/>
          <w:szCs w:val="28"/>
          <w:lang w:eastAsia="zh-HK"/>
        </w:rPr>
        <w:t>9</w:t>
      </w:r>
      <w:r w:rsidR="000B3B93" w:rsidRPr="00ED6F88">
        <w:rPr>
          <w:kern w:val="0"/>
          <w:sz w:val="28"/>
          <w:szCs w:val="28"/>
          <w:lang w:eastAsia="zh-HK"/>
        </w:rPr>
        <w:t> sites were approved.</w:t>
      </w:r>
      <w:r w:rsidR="0042788A" w:rsidRPr="00ED6F88">
        <w:rPr>
          <w:b/>
        </w:rPr>
        <w:br w:type="page"/>
      </w:r>
    </w:p>
    <w:p w14:paraId="7EF2429B" w14:textId="77777777" w:rsidR="0046197A" w:rsidRPr="008250B8" w:rsidRDefault="0046197A" w:rsidP="0046197A">
      <w:pPr>
        <w:pStyle w:val="a5"/>
        <w:spacing w:line="360" w:lineRule="exact"/>
        <w:rPr>
          <w:b/>
          <w:szCs w:val="28"/>
        </w:rPr>
      </w:pPr>
      <w:r w:rsidRPr="008250B8">
        <w:rPr>
          <w:b/>
          <w:szCs w:val="28"/>
        </w:rPr>
        <w:lastRenderedPageBreak/>
        <w:t>Tourism</w:t>
      </w:r>
    </w:p>
    <w:p w14:paraId="2EF238A2" w14:textId="77777777" w:rsidR="0046197A" w:rsidRPr="008250B8" w:rsidRDefault="0046197A" w:rsidP="0046197A">
      <w:pPr>
        <w:pStyle w:val="afa"/>
        <w:overflowPunct w:val="0"/>
        <w:ind w:leftChars="0" w:left="0"/>
        <w:rPr>
          <w:b/>
          <w:sz w:val="28"/>
          <w:szCs w:val="28"/>
        </w:rPr>
      </w:pPr>
    </w:p>
    <w:p w14:paraId="70A7FE74" w14:textId="7B9C7CC7" w:rsidR="0046197A" w:rsidRPr="008250B8" w:rsidRDefault="00DB21C3" w:rsidP="00CD0F65">
      <w:pPr>
        <w:numPr>
          <w:ilvl w:val="1"/>
          <w:numId w:val="33"/>
        </w:numPr>
        <w:tabs>
          <w:tab w:val="left" w:pos="1080"/>
        </w:tabs>
        <w:overflowPunct w:val="0"/>
        <w:spacing w:line="360" w:lineRule="atLeast"/>
        <w:ind w:left="0" w:firstLine="0"/>
        <w:jc w:val="both"/>
        <w:rPr>
          <w:color w:val="000000"/>
          <w:sz w:val="28"/>
          <w:szCs w:val="28"/>
        </w:rPr>
      </w:pPr>
      <w:r w:rsidRPr="008250B8">
        <w:rPr>
          <w:color w:val="000000"/>
          <w:sz w:val="28"/>
          <w:szCs w:val="28"/>
        </w:rPr>
        <w:t>The tourism sector continued to revive in 2024</w:t>
      </w:r>
      <w:r w:rsidR="00C57AA0">
        <w:rPr>
          <w:color w:val="000000"/>
          <w:sz w:val="28"/>
          <w:szCs w:val="28"/>
        </w:rPr>
        <w:t xml:space="preserve">.  </w:t>
      </w:r>
      <w:r w:rsidR="00C57AA0" w:rsidRPr="003102F7">
        <w:rPr>
          <w:i/>
          <w:iCs/>
          <w:color w:val="000000"/>
          <w:sz w:val="28"/>
          <w:szCs w:val="28"/>
        </w:rPr>
        <w:t>V</w:t>
      </w:r>
      <w:r w:rsidRPr="008250B8">
        <w:rPr>
          <w:i/>
          <w:color w:val="000000"/>
          <w:sz w:val="28"/>
          <w:szCs w:val="28"/>
        </w:rPr>
        <w:t>isitor arrivals</w:t>
      </w:r>
      <w:r w:rsidRPr="008250B8">
        <w:rPr>
          <w:color w:val="000000"/>
          <w:sz w:val="28"/>
          <w:szCs w:val="28"/>
        </w:rPr>
        <w:t xml:space="preserve"> </w:t>
      </w:r>
      <w:r w:rsidR="00C57AA0">
        <w:rPr>
          <w:color w:val="000000"/>
          <w:sz w:val="28"/>
          <w:szCs w:val="28"/>
        </w:rPr>
        <w:t>rose</w:t>
      </w:r>
      <w:r w:rsidR="00C57AA0" w:rsidRPr="008250B8">
        <w:rPr>
          <w:color w:val="000000"/>
          <w:sz w:val="28"/>
          <w:szCs w:val="28"/>
        </w:rPr>
        <w:t xml:space="preserve"> </w:t>
      </w:r>
      <w:r w:rsidRPr="008250B8">
        <w:rPr>
          <w:color w:val="000000"/>
          <w:sz w:val="28"/>
          <w:szCs w:val="28"/>
        </w:rPr>
        <w:t>by 30.9% to 44.5 million</w:t>
      </w:r>
      <w:r w:rsidR="00C57AA0">
        <w:rPr>
          <w:color w:val="000000"/>
          <w:sz w:val="28"/>
          <w:szCs w:val="28"/>
        </w:rPr>
        <w:t xml:space="preserve"> and </w:t>
      </w:r>
      <w:r w:rsidRPr="008250B8">
        <w:rPr>
          <w:color w:val="000000"/>
          <w:sz w:val="28"/>
          <w:szCs w:val="28"/>
        </w:rPr>
        <w:t xml:space="preserve">recovered to 68.3% of the level in 2018, up from 52.2% in the previous year.  Mainland visitors, which accounted for 76.5% of the total in 2024, grew by 27.2% to 34.0 million.  </w:t>
      </w:r>
      <w:r w:rsidR="00C57AA0">
        <w:rPr>
          <w:color w:val="000000"/>
          <w:sz w:val="28"/>
          <w:szCs w:val="28"/>
        </w:rPr>
        <w:t>N</w:t>
      </w:r>
      <w:r w:rsidRPr="008250B8">
        <w:rPr>
          <w:color w:val="000000"/>
          <w:sz w:val="28"/>
          <w:szCs w:val="28"/>
        </w:rPr>
        <w:t xml:space="preserve">on-Mainland visitors </w:t>
      </w:r>
      <w:r w:rsidR="00C57AA0">
        <w:rPr>
          <w:color w:val="000000"/>
          <w:sz w:val="28"/>
          <w:szCs w:val="28"/>
        </w:rPr>
        <w:t xml:space="preserve">registered stronger growth, up </w:t>
      </w:r>
      <w:r w:rsidRPr="008250B8">
        <w:rPr>
          <w:color w:val="000000"/>
          <w:sz w:val="28"/>
          <w:szCs w:val="28"/>
        </w:rPr>
        <w:t>by 44.4% to 10.5 million</w:t>
      </w:r>
      <w:r w:rsidR="00466C55">
        <w:rPr>
          <w:color w:val="000000"/>
          <w:sz w:val="28"/>
          <w:szCs w:val="28"/>
        </w:rPr>
        <w:t>, with v</w:t>
      </w:r>
      <w:r w:rsidRPr="008250B8">
        <w:rPr>
          <w:color w:val="000000"/>
          <w:sz w:val="28"/>
          <w:szCs w:val="28"/>
        </w:rPr>
        <w:t>isitor arrivals from other short</w:t>
      </w:r>
      <w:r w:rsidRPr="008250B8">
        <w:rPr>
          <w:color w:val="000000"/>
          <w:sz w:val="28"/>
          <w:szCs w:val="28"/>
        </w:rPr>
        <w:noBreakHyphen/>
        <w:t xml:space="preserve">haul markets and long-haul markets </w:t>
      </w:r>
      <w:r w:rsidR="00C57AA0">
        <w:rPr>
          <w:color w:val="000000"/>
          <w:sz w:val="28"/>
          <w:szCs w:val="28"/>
        </w:rPr>
        <w:t>increas</w:t>
      </w:r>
      <w:r w:rsidR="00466C55">
        <w:rPr>
          <w:color w:val="000000"/>
          <w:sz w:val="28"/>
          <w:szCs w:val="28"/>
        </w:rPr>
        <w:t>ing</w:t>
      </w:r>
      <w:r w:rsidR="00C57AA0" w:rsidRPr="008250B8">
        <w:rPr>
          <w:color w:val="000000"/>
          <w:sz w:val="28"/>
          <w:szCs w:val="28"/>
        </w:rPr>
        <w:t xml:space="preserve"> </w:t>
      </w:r>
      <w:r w:rsidRPr="008250B8">
        <w:rPr>
          <w:color w:val="000000"/>
          <w:sz w:val="28"/>
          <w:szCs w:val="28"/>
        </w:rPr>
        <w:t xml:space="preserve">by </w:t>
      </w:r>
      <w:r w:rsidR="003A243D">
        <w:rPr>
          <w:color w:val="000000"/>
          <w:sz w:val="28"/>
          <w:szCs w:val="28"/>
        </w:rPr>
        <w:t>40.9</w:t>
      </w:r>
      <w:r w:rsidRPr="008250B8">
        <w:rPr>
          <w:color w:val="000000"/>
          <w:sz w:val="28"/>
          <w:szCs w:val="28"/>
        </w:rPr>
        <w:t xml:space="preserve">% and </w:t>
      </w:r>
      <w:r w:rsidR="003A243D">
        <w:rPr>
          <w:color w:val="000000"/>
          <w:sz w:val="28"/>
          <w:szCs w:val="28"/>
        </w:rPr>
        <w:t>53.2</w:t>
      </w:r>
      <w:r w:rsidRPr="008250B8">
        <w:rPr>
          <w:color w:val="000000"/>
          <w:sz w:val="28"/>
          <w:szCs w:val="28"/>
        </w:rPr>
        <w:t>% to 7.</w:t>
      </w:r>
      <w:r w:rsidR="003A243D">
        <w:rPr>
          <w:color w:val="000000"/>
          <w:sz w:val="28"/>
          <w:szCs w:val="28"/>
        </w:rPr>
        <w:t>3</w:t>
      </w:r>
      <w:r w:rsidRPr="008250B8">
        <w:rPr>
          <w:color w:val="000000"/>
          <w:sz w:val="28"/>
          <w:szCs w:val="28"/>
        </w:rPr>
        <w:t> million and 3.</w:t>
      </w:r>
      <w:r w:rsidR="003A243D">
        <w:rPr>
          <w:color w:val="000000"/>
          <w:sz w:val="28"/>
          <w:szCs w:val="28"/>
        </w:rPr>
        <w:t>2</w:t>
      </w:r>
      <w:r w:rsidRPr="008250B8">
        <w:rPr>
          <w:color w:val="000000"/>
          <w:sz w:val="28"/>
          <w:szCs w:val="28"/>
        </w:rPr>
        <w:t xml:space="preserve"> million </w:t>
      </w:r>
      <w:proofErr w:type="gramStart"/>
      <w:r w:rsidRPr="008250B8">
        <w:rPr>
          <w:color w:val="000000"/>
          <w:sz w:val="28"/>
          <w:szCs w:val="28"/>
        </w:rPr>
        <w:t>respectively</w:t>
      </w:r>
      <w:r w:rsidRPr="008250B8">
        <w:rPr>
          <w:color w:val="000000"/>
          <w:sz w:val="28"/>
          <w:vertAlign w:val="superscript"/>
        </w:rPr>
        <w:t>(</w:t>
      </w:r>
      <w:proofErr w:type="gramEnd"/>
      <w:r w:rsidR="00611217">
        <w:rPr>
          <w:color w:val="000000"/>
          <w:sz w:val="28"/>
          <w:vertAlign w:val="superscript"/>
        </w:rPr>
        <w:t>5</w:t>
      </w:r>
      <w:r w:rsidRPr="008250B8">
        <w:rPr>
          <w:color w:val="000000"/>
          <w:sz w:val="28"/>
          <w:szCs w:val="28"/>
          <w:vertAlign w:val="superscript"/>
        </w:rPr>
        <w:t>)</w:t>
      </w:r>
      <w:r w:rsidRPr="008250B8">
        <w:rPr>
          <w:color w:val="000000"/>
          <w:sz w:val="28"/>
          <w:szCs w:val="28"/>
        </w:rPr>
        <w:t>.  Analysed by length of stay, overnight and same</w:t>
      </w:r>
      <w:r w:rsidRPr="008250B8">
        <w:rPr>
          <w:color w:val="000000"/>
          <w:sz w:val="28"/>
          <w:szCs w:val="28"/>
        </w:rPr>
        <w:noBreakHyphen/>
        <w:t>day visitors rose by 27.</w:t>
      </w:r>
      <w:r w:rsidR="003A243D">
        <w:rPr>
          <w:color w:val="000000"/>
          <w:sz w:val="28"/>
          <w:szCs w:val="28"/>
        </w:rPr>
        <w:t>9</w:t>
      </w:r>
      <w:r w:rsidRPr="008250B8">
        <w:rPr>
          <w:color w:val="000000"/>
          <w:sz w:val="28"/>
          <w:szCs w:val="28"/>
        </w:rPr>
        <w:t>% and 34.</w:t>
      </w:r>
      <w:r w:rsidR="003A243D">
        <w:rPr>
          <w:color w:val="000000"/>
          <w:sz w:val="28"/>
          <w:szCs w:val="28"/>
        </w:rPr>
        <w:t>0</w:t>
      </w:r>
      <w:r w:rsidRPr="008250B8">
        <w:rPr>
          <w:color w:val="000000"/>
          <w:sz w:val="28"/>
          <w:szCs w:val="28"/>
        </w:rPr>
        <w:t xml:space="preserve">% to 21.9 million and 22.6 million respectively.  Meanwhile, visitor spending, as measured by exports of travel services, rose by </w:t>
      </w:r>
      <w:r w:rsidR="003A243D">
        <w:rPr>
          <w:color w:val="000000"/>
          <w:sz w:val="28"/>
          <w:szCs w:val="28"/>
        </w:rPr>
        <w:t>7.4</w:t>
      </w:r>
      <w:r w:rsidRPr="008250B8">
        <w:rPr>
          <w:color w:val="000000"/>
          <w:sz w:val="28"/>
          <w:szCs w:val="28"/>
        </w:rPr>
        <w:t xml:space="preserve">% in real terms in 2024, </w:t>
      </w:r>
      <w:r w:rsidR="00CD0F65">
        <w:rPr>
          <w:color w:val="000000"/>
          <w:sz w:val="28"/>
          <w:szCs w:val="28"/>
        </w:rPr>
        <w:t xml:space="preserve">notwithstanding </w:t>
      </w:r>
      <w:r w:rsidRPr="008250B8">
        <w:rPr>
          <w:color w:val="000000"/>
          <w:sz w:val="28"/>
          <w:szCs w:val="28"/>
        </w:rPr>
        <w:t>the impact of changing consumption patterns of visitors.</w:t>
      </w:r>
      <w:r w:rsidR="0046197A" w:rsidRPr="008250B8">
        <w:rPr>
          <w:color w:val="000000"/>
          <w:sz w:val="28"/>
          <w:szCs w:val="28"/>
        </w:rPr>
        <w:t xml:space="preserve">  </w:t>
      </w:r>
    </w:p>
    <w:p w14:paraId="512B64B6" w14:textId="34C295EA" w:rsidR="008C32F6" w:rsidRPr="00BA092E" w:rsidRDefault="008C32F6" w:rsidP="00DB21C3">
      <w:pPr>
        <w:tabs>
          <w:tab w:val="left" w:pos="1080"/>
        </w:tabs>
        <w:overflowPunct w:val="0"/>
        <w:spacing w:line="360" w:lineRule="atLeast"/>
        <w:jc w:val="both"/>
        <w:rPr>
          <w:color w:val="000000"/>
          <w:sz w:val="28"/>
          <w:szCs w:val="28"/>
          <w:shd w:val="pct15" w:color="auto" w:fill="FFFFFF"/>
        </w:rPr>
      </w:pPr>
    </w:p>
    <w:p w14:paraId="77D9A917" w14:textId="77777777" w:rsidR="0046197A" w:rsidRPr="008250B8" w:rsidRDefault="0046197A" w:rsidP="0046197A">
      <w:pPr>
        <w:widowControl/>
        <w:rPr>
          <w:color w:val="000000"/>
          <w:sz w:val="28"/>
          <w:szCs w:val="28"/>
        </w:rPr>
      </w:pPr>
      <w:r w:rsidRPr="008250B8">
        <w:rPr>
          <w:color w:val="000000"/>
          <w:sz w:val="28"/>
          <w:szCs w:val="28"/>
        </w:rPr>
        <w:br w:type="page"/>
      </w:r>
    </w:p>
    <w:p w14:paraId="7438C86B" w14:textId="77777777" w:rsidR="0046197A" w:rsidRPr="008250B8" w:rsidRDefault="0046197A" w:rsidP="0046197A">
      <w:pPr>
        <w:tabs>
          <w:tab w:val="left" w:pos="1080"/>
        </w:tabs>
        <w:overflowPunct w:val="0"/>
        <w:spacing w:line="360" w:lineRule="atLeast"/>
        <w:jc w:val="center"/>
        <w:rPr>
          <w:color w:val="000000"/>
          <w:sz w:val="28"/>
          <w:szCs w:val="28"/>
        </w:rPr>
      </w:pPr>
      <w:r w:rsidRPr="008250B8">
        <w:rPr>
          <w:rFonts w:eastAsia="Times New Roman"/>
          <w:b/>
          <w:color w:val="000000"/>
          <w:sz w:val="28"/>
          <w:szCs w:val="28"/>
        </w:rPr>
        <w:lastRenderedPageBreak/>
        <w:t xml:space="preserve">Table </w:t>
      </w:r>
      <w:proofErr w:type="gramStart"/>
      <w:r w:rsidRPr="008250B8">
        <w:rPr>
          <w:rFonts w:eastAsia="Times New Roman"/>
          <w:b/>
          <w:color w:val="000000"/>
          <w:sz w:val="28"/>
          <w:szCs w:val="28"/>
        </w:rPr>
        <w:t>4.1 :</w:t>
      </w:r>
      <w:proofErr w:type="gramEnd"/>
      <w:r w:rsidRPr="008250B8">
        <w:rPr>
          <w:rFonts w:eastAsia="Times New Roman"/>
          <w:b/>
          <w:color w:val="000000"/>
          <w:sz w:val="28"/>
          <w:szCs w:val="28"/>
        </w:rPr>
        <w:t xml:space="preserve"> Number of visitor arrivals</w:t>
      </w:r>
    </w:p>
    <w:p w14:paraId="416DB4D2" w14:textId="24F66B56" w:rsidR="0046197A" w:rsidRPr="008250B8" w:rsidRDefault="0046197A" w:rsidP="0046197A">
      <w:pPr>
        <w:jc w:val="center"/>
        <w:rPr>
          <w:sz w:val="20"/>
          <w:szCs w:val="28"/>
        </w:rPr>
      </w:pPr>
    </w:p>
    <w:tbl>
      <w:tblPr>
        <w:tblW w:w="10192" w:type="dxa"/>
        <w:tblInd w:w="-318" w:type="dxa"/>
        <w:tblLook w:val="04A0" w:firstRow="1" w:lastRow="0" w:firstColumn="1" w:lastColumn="0" w:noHBand="0" w:noVBand="1"/>
      </w:tblPr>
      <w:tblGrid>
        <w:gridCol w:w="955"/>
        <w:gridCol w:w="805"/>
        <w:gridCol w:w="1792"/>
        <w:gridCol w:w="2181"/>
        <w:gridCol w:w="2410"/>
        <w:gridCol w:w="2049"/>
      </w:tblGrid>
      <w:tr w:rsidR="00DB21C3" w:rsidRPr="00444DF4" w14:paraId="530E129D" w14:textId="77777777" w:rsidTr="00AA3854">
        <w:trPr>
          <w:trHeight w:val="282"/>
        </w:trPr>
        <w:tc>
          <w:tcPr>
            <w:tcW w:w="955" w:type="dxa"/>
            <w:shd w:val="clear" w:color="auto" w:fill="auto"/>
            <w:noWrap/>
            <w:vAlign w:val="bottom"/>
            <w:hideMark/>
          </w:tcPr>
          <w:p w14:paraId="04EB7F8A" w14:textId="77777777" w:rsidR="00DB21C3" w:rsidRPr="00444DF4" w:rsidRDefault="00DB21C3" w:rsidP="00AA3854">
            <w:pPr>
              <w:jc w:val="center"/>
              <w:rPr>
                <w:rFonts w:eastAsia="Times New Roman"/>
                <w:sz w:val="20"/>
                <w:szCs w:val="20"/>
              </w:rPr>
            </w:pPr>
          </w:p>
        </w:tc>
        <w:tc>
          <w:tcPr>
            <w:tcW w:w="805" w:type="dxa"/>
            <w:shd w:val="clear" w:color="auto" w:fill="auto"/>
            <w:noWrap/>
            <w:vAlign w:val="bottom"/>
            <w:hideMark/>
          </w:tcPr>
          <w:p w14:paraId="598877A5" w14:textId="77777777" w:rsidR="00DB21C3" w:rsidRPr="00444DF4" w:rsidRDefault="00DB21C3" w:rsidP="00AA3854">
            <w:pPr>
              <w:jc w:val="center"/>
              <w:rPr>
                <w:rFonts w:eastAsia="Times New Roman"/>
                <w:sz w:val="20"/>
                <w:szCs w:val="20"/>
              </w:rPr>
            </w:pPr>
          </w:p>
        </w:tc>
        <w:tc>
          <w:tcPr>
            <w:tcW w:w="1792" w:type="dxa"/>
            <w:shd w:val="clear" w:color="auto" w:fill="auto"/>
            <w:noWrap/>
            <w:vAlign w:val="bottom"/>
            <w:hideMark/>
          </w:tcPr>
          <w:p w14:paraId="6362DCB7" w14:textId="77777777" w:rsidR="00DB21C3" w:rsidRPr="00444DF4" w:rsidRDefault="00DB21C3" w:rsidP="00AA3854">
            <w:pPr>
              <w:jc w:val="center"/>
              <w:rPr>
                <w:rFonts w:eastAsia="Times New Roman"/>
                <w:color w:val="000000"/>
                <w:sz w:val="20"/>
                <w:szCs w:val="20"/>
                <w:u w:val="single"/>
              </w:rPr>
            </w:pPr>
            <w:r w:rsidRPr="00444DF4">
              <w:rPr>
                <w:rFonts w:eastAsia="Times New Roman"/>
                <w:color w:val="000000"/>
                <w:sz w:val="20"/>
                <w:szCs w:val="20"/>
                <w:u w:val="single"/>
              </w:rPr>
              <w:t>All sources</w:t>
            </w:r>
          </w:p>
        </w:tc>
        <w:tc>
          <w:tcPr>
            <w:tcW w:w="2181" w:type="dxa"/>
            <w:shd w:val="clear" w:color="auto" w:fill="auto"/>
            <w:noWrap/>
            <w:vAlign w:val="bottom"/>
            <w:hideMark/>
          </w:tcPr>
          <w:p w14:paraId="62BA4846" w14:textId="77777777" w:rsidR="00DB21C3" w:rsidRPr="00444DF4" w:rsidRDefault="00DB21C3" w:rsidP="00AA3854">
            <w:pPr>
              <w:jc w:val="center"/>
              <w:rPr>
                <w:rFonts w:eastAsia="Times New Roman"/>
                <w:color w:val="000000"/>
                <w:sz w:val="20"/>
                <w:szCs w:val="20"/>
                <w:u w:val="single"/>
              </w:rPr>
            </w:pPr>
            <w:r w:rsidRPr="00444DF4">
              <w:rPr>
                <w:rFonts w:eastAsia="Times New Roman"/>
                <w:color w:val="000000"/>
                <w:sz w:val="20"/>
                <w:szCs w:val="20"/>
                <w:u w:val="single"/>
              </w:rPr>
              <w:t>Mainland China</w:t>
            </w:r>
          </w:p>
        </w:tc>
        <w:tc>
          <w:tcPr>
            <w:tcW w:w="2410" w:type="dxa"/>
            <w:shd w:val="clear" w:color="auto" w:fill="auto"/>
            <w:noWrap/>
            <w:vAlign w:val="bottom"/>
            <w:hideMark/>
          </w:tcPr>
          <w:p w14:paraId="1F737F92" w14:textId="77777777" w:rsidR="00DB21C3" w:rsidRPr="00444DF4" w:rsidRDefault="00DB21C3" w:rsidP="00AA3854">
            <w:pPr>
              <w:jc w:val="center"/>
              <w:rPr>
                <w:rFonts w:eastAsia="Times New Roman"/>
                <w:color w:val="000000"/>
                <w:sz w:val="20"/>
                <w:szCs w:val="20"/>
                <w:u w:val="single"/>
              </w:rPr>
            </w:pPr>
            <w:r w:rsidRPr="00444DF4">
              <w:rPr>
                <w:rFonts w:eastAsia="Times New Roman"/>
                <w:color w:val="000000"/>
                <w:sz w:val="20"/>
                <w:szCs w:val="20"/>
                <w:u w:val="single"/>
              </w:rPr>
              <w:t>Other short-haul markets</w:t>
            </w:r>
            <w:r w:rsidRPr="00444DF4">
              <w:rPr>
                <w:rFonts w:eastAsia="Times New Roman"/>
                <w:color w:val="000000"/>
                <w:sz w:val="20"/>
                <w:szCs w:val="20"/>
              </w:rPr>
              <w:t>*</w:t>
            </w:r>
          </w:p>
        </w:tc>
        <w:tc>
          <w:tcPr>
            <w:tcW w:w="2049" w:type="dxa"/>
            <w:shd w:val="clear" w:color="auto" w:fill="auto"/>
            <w:noWrap/>
            <w:vAlign w:val="bottom"/>
            <w:hideMark/>
          </w:tcPr>
          <w:p w14:paraId="2CF1CB39" w14:textId="77777777" w:rsidR="00DB21C3" w:rsidRPr="00444DF4" w:rsidRDefault="00DB21C3" w:rsidP="00AA3854">
            <w:pPr>
              <w:jc w:val="center"/>
              <w:rPr>
                <w:rFonts w:eastAsia="Times New Roman"/>
                <w:color w:val="000000"/>
                <w:sz w:val="20"/>
                <w:szCs w:val="20"/>
                <w:u w:val="single"/>
              </w:rPr>
            </w:pPr>
            <w:r w:rsidRPr="00444DF4">
              <w:rPr>
                <w:rFonts w:eastAsia="Times New Roman"/>
                <w:color w:val="000000"/>
                <w:sz w:val="20"/>
                <w:szCs w:val="20"/>
                <w:u w:val="single"/>
              </w:rPr>
              <w:t>Long-haul markets</w:t>
            </w:r>
            <w:r w:rsidRPr="00444DF4">
              <w:rPr>
                <w:rFonts w:eastAsia="Times New Roman"/>
                <w:color w:val="000000"/>
                <w:sz w:val="20"/>
                <w:szCs w:val="20"/>
              </w:rPr>
              <w:t>*</w:t>
            </w:r>
          </w:p>
        </w:tc>
      </w:tr>
      <w:tr w:rsidR="00DB21C3" w:rsidRPr="00444DF4" w14:paraId="63810D28" w14:textId="77777777" w:rsidTr="00AA3854">
        <w:trPr>
          <w:trHeight w:val="20"/>
        </w:trPr>
        <w:tc>
          <w:tcPr>
            <w:tcW w:w="955" w:type="dxa"/>
            <w:shd w:val="clear" w:color="auto" w:fill="auto"/>
            <w:noWrap/>
            <w:vAlign w:val="bottom"/>
          </w:tcPr>
          <w:p w14:paraId="5DECE0C2" w14:textId="77777777" w:rsidR="00DB21C3" w:rsidRPr="00444DF4" w:rsidRDefault="00DB21C3" w:rsidP="00AA3854">
            <w:pPr>
              <w:jc w:val="center"/>
              <w:rPr>
                <w:rFonts w:eastAsia="Times New Roman"/>
                <w:color w:val="000000"/>
                <w:sz w:val="10"/>
                <w:szCs w:val="10"/>
              </w:rPr>
            </w:pPr>
          </w:p>
        </w:tc>
        <w:tc>
          <w:tcPr>
            <w:tcW w:w="805" w:type="dxa"/>
            <w:shd w:val="clear" w:color="auto" w:fill="auto"/>
            <w:noWrap/>
            <w:vAlign w:val="bottom"/>
          </w:tcPr>
          <w:p w14:paraId="63775681" w14:textId="77777777" w:rsidR="00DB21C3" w:rsidRPr="00444DF4" w:rsidRDefault="00DB21C3" w:rsidP="00AA3854">
            <w:pPr>
              <w:jc w:val="center"/>
              <w:rPr>
                <w:rFonts w:eastAsia="Times New Roman"/>
                <w:color w:val="000000"/>
                <w:sz w:val="10"/>
                <w:szCs w:val="10"/>
              </w:rPr>
            </w:pPr>
          </w:p>
        </w:tc>
        <w:tc>
          <w:tcPr>
            <w:tcW w:w="1792" w:type="dxa"/>
            <w:shd w:val="clear" w:color="auto" w:fill="auto"/>
            <w:noWrap/>
            <w:vAlign w:val="bottom"/>
          </w:tcPr>
          <w:p w14:paraId="743E7F82" w14:textId="77777777" w:rsidR="00DB21C3" w:rsidRPr="00444DF4" w:rsidRDefault="00DB21C3" w:rsidP="00AA3854">
            <w:pPr>
              <w:jc w:val="center"/>
              <w:rPr>
                <w:rFonts w:eastAsia="Times New Roman"/>
                <w:color w:val="000000"/>
                <w:sz w:val="10"/>
                <w:szCs w:val="10"/>
              </w:rPr>
            </w:pPr>
          </w:p>
        </w:tc>
        <w:tc>
          <w:tcPr>
            <w:tcW w:w="2181" w:type="dxa"/>
            <w:shd w:val="clear" w:color="auto" w:fill="auto"/>
            <w:noWrap/>
            <w:vAlign w:val="bottom"/>
          </w:tcPr>
          <w:p w14:paraId="1CAE869B" w14:textId="77777777" w:rsidR="00DB21C3" w:rsidRPr="00444DF4" w:rsidRDefault="00DB21C3" w:rsidP="00AA3854">
            <w:pPr>
              <w:jc w:val="center"/>
              <w:rPr>
                <w:rFonts w:eastAsia="Times New Roman"/>
                <w:color w:val="000000"/>
                <w:sz w:val="10"/>
                <w:szCs w:val="10"/>
              </w:rPr>
            </w:pPr>
          </w:p>
        </w:tc>
        <w:tc>
          <w:tcPr>
            <w:tcW w:w="2410" w:type="dxa"/>
            <w:shd w:val="clear" w:color="auto" w:fill="auto"/>
            <w:noWrap/>
            <w:vAlign w:val="bottom"/>
          </w:tcPr>
          <w:p w14:paraId="6E6E9CD5" w14:textId="77777777" w:rsidR="00DB21C3" w:rsidRPr="00444DF4" w:rsidRDefault="00DB21C3" w:rsidP="00AA3854">
            <w:pPr>
              <w:jc w:val="center"/>
              <w:rPr>
                <w:rFonts w:eastAsia="Times New Roman"/>
                <w:color w:val="000000"/>
                <w:sz w:val="10"/>
                <w:szCs w:val="10"/>
              </w:rPr>
            </w:pPr>
          </w:p>
        </w:tc>
        <w:tc>
          <w:tcPr>
            <w:tcW w:w="2049" w:type="dxa"/>
            <w:shd w:val="clear" w:color="auto" w:fill="auto"/>
            <w:noWrap/>
            <w:vAlign w:val="bottom"/>
          </w:tcPr>
          <w:p w14:paraId="24837DE2" w14:textId="77777777" w:rsidR="00DB21C3" w:rsidRPr="00444DF4" w:rsidRDefault="00DB21C3" w:rsidP="00AA3854">
            <w:pPr>
              <w:jc w:val="center"/>
              <w:rPr>
                <w:rFonts w:eastAsia="Times New Roman"/>
                <w:color w:val="000000"/>
                <w:sz w:val="10"/>
                <w:szCs w:val="10"/>
              </w:rPr>
            </w:pPr>
          </w:p>
        </w:tc>
      </w:tr>
      <w:tr w:rsidR="00DB21C3" w:rsidRPr="00444DF4" w14:paraId="0607EC7B" w14:textId="77777777" w:rsidTr="00AA3854">
        <w:trPr>
          <w:trHeight w:val="282"/>
        </w:trPr>
        <w:tc>
          <w:tcPr>
            <w:tcW w:w="955" w:type="dxa"/>
            <w:shd w:val="clear" w:color="auto" w:fill="auto"/>
            <w:noWrap/>
            <w:vAlign w:val="bottom"/>
            <w:hideMark/>
          </w:tcPr>
          <w:p w14:paraId="68E2B15D"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2019</w:t>
            </w:r>
          </w:p>
        </w:tc>
        <w:tc>
          <w:tcPr>
            <w:tcW w:w="805" w:type="dxa"/>
            <w:shd w:val="clear" w:color="auto" w:fill="auto"/>
            <w:noWrap/>
            <w:vAlign w:val="bottom"/>
            <w:hideMark/>
          </w:tcPr>
          <w:p w14:paraId="5BBB23F6"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center"/>
            <w:hideMark/>
          </w:tcPr>
          <w:p w14:paraId="355F72C7" w14:textId="77777777" w:rsidR="00DB21C3" w:rsidRPr="001009C6" w:rsidRDefault="00DB21C3" w:rsidP="00AA3854">
            <w:pPr>
              <w:jc w:val="center"/>
              <w:rPr>
                <w:rFonts w:eastAsia="Times New Roman"/>
                <w:color w:val="000000"/>
                <w:sz w:val="20"/>
                <w:szCs w:val="20"/>
                <w:highlight w:val="yellow"/>
              </w:rPr>
            </w:pPr>
            <w:r>
              <w:rPr>
                <w:color w:val="000000"/>
                <w:sz w:val="20"/>
                <w:szCs w:val="20"/>
              </w:rPr>
              <w:t>18 234 400</w:t>
            </w:r>
          </w:p>
        </w:tc>
        <w:tc>
          <w:tcPr>
            <w:tcW w:w="2181" w:type="dxa"/>
            <w:shd w:val="clear" w:color="auto" w:fill="auto"/>
            <w:noWrap/>
            <w:vAlign w:val="center"/>
            <w:hideMark/>
          </w:tcPr>
          <w:p w14:paraId="29C3110A" w14:textId="77777777" w:rsidR="00DB21C3" w:rsidRPr="002A786D" w:rsidRDefault="00DB21C3" w:rsidP="00AA3854">
            <w:pPr>
              <w:jc w:val="center"/>
              <w:rPr>
                <w:rFonts w:eastAsia="Times New Roman"/>
                <w:color w:val="000000"/>
                <w:sz w:val="20"/>
                <w:szCs w:val="20"/>
              </w:rPr>
            </w:pPr>
            <w:r>
              <w:rPr>
                <w:color w:val="000000"/>
                <w:sz w:val="20"/>
                <w:szCs w:val="20"/>
              </w:rPr>
              <w:t>14 527 700</w:t>
            </w:r>
          </w:p>
        </w:tc>
        <w:tc>
          <w:tcPr>
            <w:tcW w:w="2410" w:type="dxa"/>
            <w:shd w:val="clear" w:color="auto" w:fill="auto"/>
            <w:noWrap/>
            <w:vAlign w:val="center"/>
            <w:hideMark/>
          </w:tcPr>
          <w:p w14:paraId="3B7170D1"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 xml:space="preserve">2 </w:t>
            </w:r>
            <w:r>
              <w:rPr>
                <w:color w:val="000000"/>
                <w:sz w:val="20"/>
                <w:szCs w:val="20"/>
              </w:rPr>
              <w:t>522 900</w:t>
            </w:r>
          </w:p>
        </w:tc>
        <w:tc>
          <w:tcPr>
            <w:tcW w:w="2049" w:type="dxa"/>
            <w:shd w:val="clear" w:color="auto" w:fill="auto"/>
            <w:noWrap/>
            <w:vAlign w:val="center"/>
            <w:hideMark/>
          </w:tcPr>
          <w:p w14:paraId="0A01E702"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 xml:space="preserve">1 </w:t>
            </w:r>
            <w:r>
              <w:rPr>
                <w:color w:val="000000"/>
                <w:sz w:val="20"/>
                <w:szCs w:val="20"/>
              </w:rPr>
              <w:t>183 800</w:t>
            </w:r>
          </w:p>
        </w:tc>
      </w:tr>
      <w:tr w:rsidR="00DB21C3" w:rsidRPr="00444DF4" w14:paraId="4177AF1B" w14:textId="77777777" w:rsidTr="00AA3854">
        <w:trPr>
          <w:trHeight w:val="282"/>
        </w:trPr>
        <w:tc>
          <w:tcPr>
            <w:tcW w:w="955" w:type="dxa"/>
            <w:shd w:val="clear" w:color="auto" w:fill="auto"/>
            <w:noWrap/>
            <w:vAlign w:val="bottom"/>
            <w:hideMark/>
          </w:tcPr>
          <w:p w14:paraId="7907D95C"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hideMark/>
          </w:tcPr>
          <w:p w14:paraId="3D2AA4D8"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center"/>
            <w:hideMark/>
          </w:tcPr>
          <w:p w14:paraId="2802C737" w14:textId="77777777" w:rsidR="00DB21C3" w:rsidRPr="001009C6" w:rsidRDefault="00DB21C3" w:rsidP="00AA3854">
            <w:pPr>
              <w:jc w:val="center"/>
              <w:rPr>
                <w:rFonts w:eastAsia="Times New Roman"/>
                <w:color w:val="000000"/>
                <w:sz w:val="20"/>
                <w:szCs w:val="20"/>
                <w:highlight w:val="yellow"/>
              </w:rPr>
            </w:pPr>
            <w:r>
              <w:rPr>
                <w:color w:val="000000"/>
                <w:sz w:val="20"/>
                <w:szCs w:val="20"/>
              </w:rPr>
              <w:t>16 637 500</w:t>
            </w:r>
          </w:p>
        </w:tc>
        <w:tc>
          <w:tcPr>
            <w:tcW w:w="2181" w:type="dxa"/>
            <w:shd w:val="clear" w:color="auto" w:fill="auto"/>
            <w:noWrap/>
            <w:vAlign w:val="center"/>
            <w:hideMark/>
          </w:tcPr>
          <w:p w14:paraId="0DA14D2B" w14:textId="77777777" w:rsidR="00DB21C3" w:rsidRPr="002A786D" w:rsidRDefault="00DB21C3" w:rsidP="00AA3854">
            <w:pPr>
              <w:jc w:val="center"/>
              <w:rPr>
                <w:rFonts w:eastAsia="Times New Roman"/>
                <w:color w:val="000000"/>
                <w:sz w:val="20"/>
                <w:szCs w:val="20"/>
              </w:rPr>
            </w:pPr>
            <w:r>
              <w:rPr>
                <w:color w:val="000000"/>
                <w:sz w:val="20"/>
                <w:szCs w:val="20"/>
              </w:rPr>
              <w:t>12 943 000</w:t>
            </w:r>
          </w:p>
        </w:tc>
        <w:tc>
          <w:tcPr>
            <w:tcW w:w="2410" w:type="dxa"/>
            <w:shd w:val="clear" w:color="auto" w:fill="auto"/>
            <w:noWrap/>
            <w:vAlign w:val="center"/>
            <w:hideMark/>
          </w:tcPr>
          <w:p w14:paraId="001A2957"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 xml:space="preserve">2 </w:t>
            </w:r>
            <w:r>
              <w:rPr>
                <w:color w:val="000000"/>
                <w:sz w:val="20"/>
                <w:szCs w:val="20"/>
              </w:rPr>
              <w:t>482 100</w:t>
            </w:r>
          </w:p>
        </w:tc>
        <w:tc>
          <w:tcPr>
            <w:tcW w:w="2049" w:type="dxa"/>
            <w:shd w:val="clear" w:color="auto" w:fill="auto"/>
            <w:noWrap/>
            <w:vAlign w:val="center"/>
            <w:hideMark/>
          </w:tcPr>
          <w:p w14:paraId="06B0A35C"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 xml:space="preserve">1 </w:t>
            </w:r>
            <w:r>
              <w:rPr>
                <w:color w:val="000000"/>
                <w:sz w:val="20"/>
                <w:szCs w:val="20"/>
              </w:rPr>
              <w:t>212 400</w:t>
            </w:r>
          </w:p>
        </w:tc>
      </w:tr>
      <w:tr w:rsidR="00DB21C3" w:rsidRPr="00444DF4" w14:paraId="3361DABE" w14:textId="77777777" w:rsidTr="00AA3854">
        <w:trPr>
          <w:trHeight w:val="282"/>
        </w:trPr>
        <w:tc>
          <w:tcPr>
            <w:tcW w:w="955" w:type="dxa"/>
            <w:shd w:val="clear" w:color="auto" w:fill="auto"/>
            <w:noWrap/>
            <w:vAlign w:val="bottom"/>
            <w:hideMark/>
          </w:tcPr>
          <w:p w14:paraId="278566E2"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hideMark/>
          </w:tcPr>
          <w:p w14:paraId="43C8AC9D"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center"/>
            <w:hideMark/>
          </w:tcPr>
          <w:p w14:paraId="0492EBF0" w14:textId="77777777" w:rsidR="00DB21C3" w:rsidRPr="001009C6" w:rsidRDefault="00DB21C3" w:rsidP="00AA3854">
            <w:pPr>
              <w:jc w:val="center"/>
              <w:rPr>
                <w:rFonts w:eastAsia="Times New Roman"/>
                <w:color w:val="000000"/>
                <w:sz w:val="20"/>
                <w:szCs w:val="20"/>
                <w:highlight w:val="yellow"/>
              </w:rPr>
            </w:pPr>
            <w:r>
              <w:rPr>
                <w:color w:val="000000"/>
                <w:sz w:val="20"/>
                <w:szCs w:val="20"/>
              </w:rPr>
              <w:t>11 891 600</w:t>
            </w:r>
          </w:p>
        </w:tc>
        <w:tc>
          <w:tcPr>
            <w:tcW w:w="2181" w:type="dxa"/>
            <w:shd w:val="clear" w:color="auto" w:fill="auto"/>
            <w:noWrap/>
            <w:vAlign w:val="center"/>
            <w:hideMark/>
          </w:tcPr>
          <w:p w14:paraId="1372150E" w14:textId="77777777" w:rsidR="00DB21C3" w:rsidRPr="002A786D" w:rsidRDefault="00DB21C3" w:rsidP="00AA3854">
            <w:pPr>
              <w:jc w:val="center"/>
              <w:rPr>
                <w:rFonts w:eastAsia="Times New Roman"/>
                <w:color w:val="000000"/>
                <w:sz w:val="20"/>
                <w:szCs w:val="20"/>
              </w:rPr>
            </w:pPr>
            <w:r>
              <w:rPr>
                <w:color w:val="000000"/>
                <w:sz w:val="20"/>
                <w:szCs w:val="20"/>
              </w:rPr>
              <w:t>9 321 900</w:t>
            </w:r>
          </w:p>
        </w:tc>
        <w:tc>
          <w:tcPr>
            <w:tcW w:w="2410" w:type="dxa"/>
            <w:shd w:val="clear" w:color="auto" w:fill="auto"/>
            <w:noWrap/>
            <w:vAlign w:val="center"/>
            <w:hideMark/>
          </w:tcPr>
          <w:p w14:paraId="1A9E7CC6"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 xml:space="preserve">1 </w:t>
            </w:r>
            <w:r>
              <w:rPr>
                <w:color w:val="000000"/>
                <w:sz w:val="20"/>
                <w:szCs w:val="20"/>
              </w:rPr>
              <w:t>673 300</w:t>
            </w:r>
          </w:p>
        </w:tc>
        <w:tc>
          <w:tcPr>
            <w:tcW w:w="2049" w:type="dxa"/>
            <w:shd w:val="clear" w:color="auto" w:fill="auto"/>
            <w:noWrap/>
            <w:vAlign w:val="center"/>
            <w:hideMark/>
          </w:tcPr>
          <w:p w14:paraId="4D2584BB"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896 300</w:t>
            </w:r>
          </w:p>
        </w:tc>
      </w:tr>
      <w:tr w:rsidR="00DB21C3" w:rsidRPr="00444DF4" w14:paraId="1F027880" w14:textId="77777777" w:rsidTr="00AA3854">
        <w:trPr>
          <w:trHeight w:val="282"/>
        </w:trPr>
        <w:tc>
          <w:tcPr>
            <w:tcW w:w="955" w:type="dxa"/>
            <w:shd w:val="clear" w:color="auto" w:fill="auto"/>
            <w:noWrap/>
            <w:vAlign w:val="bottom"/>
          </w:tcPr>
          <w:p w14:paraId="4C117893"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tcPr>
          <w:p w14:paraId="554B792A"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center"/>
          </w:tcPr>
          <w:p w14:paraId="4B743153" w14:textId="77777777" w:rsidR="00DB21C3" w:rsidRPr="001009C6" w:rsidRDefault="00DB21C3" w:rsidP="00AA3854">
            <w:pPr>
              <w:jc w:val="center"/>
              <w:rPr>
                <w:rFonts w:eastAsia="Times New Roman"/>
                <w:color w:val="000000"/>
                <w:sz w:val="20"/>
                <w:szCs w:val="20"/>
                <w:highlight w:val="yellow"/>
              </w:rPr>
            </w:pPr>
            <w:r>
              <w:rPr>
                <w:color w:val="000000"/>
                <w:sz w:val="20"/>
                <w:szCs w:val="20"/>
              </w:rPr>
              <w:t>9 149 200</w:t>
            </w:r>
          </w:p>
        </w:tc>
        <w:tc>
          <w:tcPr>
            <w:tcW w:w="2181" w:type="dxa"/>
            <w:shd w:val="clear" w:color="auto" w:fill="auto"/>
            <w:noWrap/>
            <w:vAlign w:val="center"/>
          </w:tcPr>
          <w:p w14:paraId="43951AAA" w14:textId="77777777" w:rsidR="00DB21C3" w:rsidRPr="002A786D" w:rsidRDefault="00DB21C3" w:rsidP="00AA3854">
            <w:pPr>
              <w:jc w:val="center"/>
              <w:rPr>
                <w:rFonts w:eastAsia="Times New Roman"/>
                <w:color w:val="000000"/>
                <w:sz w:val="20"/>
                <w:szCs w:val="20"/>
              </w:rPr>
            </w:pPr>
            <w:r>
              <w:rPr>
                <w:color w:val="000000"/>
                <w:sz w:val="20"/>
                <w:szCs w:val="20"/>
              </w:rPr>
              <w:t>6 814 500</w:t>
            </w:r>
          </w:p>
        </w:tc>
        <w:tc>
          <w:tcPr>
            <w:tcW w:w="2410" w:type="dxa"/>
            <w:shd w:val="clear" w:color="auto" w:fill="auto"/>
            <w:noWrap/>
            <w:vAlign w:val="center"/>
          </w:tcPr>
          <w:p w14:paraId="4A2CB99C"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 xml:space="preserve">1 </w:t>
            </w:r>
            <w:r>
              <w:rPr>
                <w:color w:val="000000"/>
                <w:sz w:val="20"/>
                <w:szCs w:val="20"/>
              </w:rPr>
              <w:t>380 800</w:t>
            </w:r>
          </w:p>
        </w:tc>
        <w:tc>
          <w:tcPr>
            <w:tcW w:w="2049" w:type="dxa"/>
            <w:shd w:val="clear" w:color="auto" w:fill="auto"/>
            <w:noWrap/>
            <w:vAlign w:val="center"/>
          </w:tcPr>
          <w:p w14:paraId="30D964F2"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953 900</w:t>
            </w:r>
          </w:p>
        </w:tc>
      </w:tr>
      <w:tr w:rsidR="00DB21C3" w:rsidRPr="00444DF4" w14:paraId="5340DC51" w14:textId="77777777" w:rsidTr="00AA3854">
        <w:trPr>
          <w:trHeight w:val="20"/>
        </w:trPr>
        <w:tc>
          <w:tcPr>
            <w:tcW w:w="955" w:type="dxa"/>
            <w:shd w:val="clear" w:color="auto" w:fill="auto"/>
            <w:noWrap/>
            <w:vAlign w:val="bottom"/>
          </w:tcPr>
          <w:p w14:paraId="3CD57F25" w14:textId="77777777" w:rsidR="00DB21C3" w:rsidRPr="00444DF4" w:rsidRDefault="00DB21C3" w:rsidP="00AA3854">
            <w:pPr>
              <w:jc w:val="center"/>
              <w:rPr>
                <w:rFonts w:eastAsia="Times New Roman"/>
                <w:color w:val="000000"/>
                <w:sz w:val="10"/>
                <w:szCs w:val="10"/>
              </w:rPr>
            </w:pPr>
          </w:p>
        </w:tc>
        <w:tc>
          <w:tcPr>
            <w:tcW w:w="805" w:type="dxa"/>
            <w:shd w:val="clear" w:color="auto" w:fill="auto"/>
            <w:noWrap/>
            <w:vAlign w:val="bottom"/>
          </w:tcPr>
          <w:p w14:paraId="657B9491" w14:textId="77777777" w:rsidR="00DB21C3" w:rsidRPr="00444DF4" w:rsidRDefault="00DB21C3" w:rsidP="00AA3854">
            <w:pPr>
              <w:jc w:val="center"/>
              <w:rPr>
                <w:rFonts w:eastAsia="Times New Roman"/>
                <w:color w:val="000000"/>
                <w:sz w:val="10"/>
                <w:szCs w:val="10"/>
              </w:rPr>
            </w:pPr>
          </w:p>
        </w:tc>
        <w:tc>
          <w:tcPr>
            <w:tcW w:w="1792" w:type="dxa"/>
            <w:shd w:val="clear" w:color="auto" w:fill="auto"/>
            <w:noWrap/>
            <w:vAlign w:val="center"/>
          </w:tcPr>
          <w:p w14:paraId="50FF6E9E" w14:textId="77777777" w:rsidR="00DB21C3" w:rsidRPr="001009C6" w:rsidRDefault="00DB21C3" w:rsidP="00AA3854">
            <w:pPr>
              <w:jc w:val="center"/>
              <w:rPr>
                <w:rFonts w:eastAsia="Times New Roman"/>
                <w:color w:val="000000"/>
                <w:sz w:val="10"/>
                <w:szCs w:val="10"/>
                <w:highlight w:val="yellow"/>
              </w:rPr>
            </w:pPr>
          </w:p>
        </w:tc>
        <w:tc>
          <w:tcPr>
            <w:tcW w:w="2181" w:type="dxa"/>
            <w:shd w:val="clear" w:color="auto" w:fill="auto"/>
            <w:noWrap/>
            <w:vAlign w:val="center"/>
          </w:tcPr>
          <w:p w14:paraId="72438B79" w14:textId="77777777" w:rsidR="00DB21C3" w:rsidRPr="001009C6" w:rsidRDefault="00DB21C3" w:rsidP="00AA3854">
            <w:pPr>
              <w:jc w:val="center"/>
              <w:rPr>
                <w:rFonts w:eastAsia="Times New Roman"/>
                <w:color w:val="000000"/>
                <w:sz w:val="10"/>
                <w:szCs w:val="10"/>
                <w:highlight w:val="yellow"/>
              </w:rPr>
            </w:pPr>
          </w:p>
        </w:tc>
        <w:tc>
          <w:tcPr>
            <w:tcW w:w="2410" w:type="dxa"/>
            <w:shd w:val="clear" w:color="auto" w:fill="auto"/>
            <w:noWrap/>
            <w:vAlign w:val="center"/>
          </w:tcPr>
          <w:p w14:paraId="244A8643" w14:textId="77777777" w:rsidR="00DB21C3" w:rsidRPr="001009C6" w:rsidRDefault="00DB21C3" w:rsidP="00AA3854">
            <w:pPr>
              <w:jc w:val="center"/>
              <w:rPr>
                <w:rFonts w:eastAsia="Times New Roman"/>
                <w:color w:val="000000"/>
                <w:sz w:val="10"/>
                <w:szCs w:val="10"/>
                <w:highlight w:val="yellow"/>
              </w:rPr>
            </w:pPr>
          </w:p>
        </w:tc>
        <w:tc>
          <w:tcPr>
            <w:tcW w:w="2049" w:type="dxa"/>
            <w:shd w:val="clear" w:color="auto" w:fill="auto"/>
            <w:noWrap/>
            <w:vAlign w:val="center"/>
          </w:tcPr>
          <w:p w14:paraId="5A0D81FE" w14:textId="77777777" w:rsidR="00DB21C3" w:rsidRPr="001009C6" w:rsidRDefault="00DB21C3" w:rsidP="00AA3854">
            <w:pPr>
              <w:jc w:val="center"/>
              <w:rPr>
                <w:rFonts w:eastAsia="Times New Roman"/>
                <w:color w:val="000000"/>
                <w:sz w:val="10"/>
                <w:szCs w:val="10"/>
                <w:highlight w:val="yellow"/>
              </w:rPr>
            </w:pPr>
          </w:p>
        </w:tc>
      </w:tr>
      <w:tr w:rsidR="00DB21C3" w:rsidRPr="00444DF4" w14:paraId="59869F06" w14:textId="77777777" w:rsidTr="00AA3854">
        <w:trPr>
          <w:trHeight w:val="282"/>
        </w:trPr>
        <w:tc>
          <w:tcPr>
            <w:tcW w:w="955" w:type="dxa"/>
            <w:shd w:val="clear" w:color="auto" w:fill="auto"/>
            <w:noWrap/>
            <w:vAlign w:val="bottom"/>
            <w:hideMark/>
          </w:tcPr>
          <w:p w14:paraId="7A50F09B"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2020</w:t>
            </w:r>
          </w:p>
        </w:tc>
        <w:tc>
          <w:tcPr>
            <w:tcW w:w="805" w:type="dxa"/>
            <w:shd w:val="clear" w:color="auto" w:fill="auto"/>
            <w:noWrap/>
            <w:vAlign w:val="bottom"/>
            <w:hideMark/>
          </w:tcPr>
          <w:p w14:paraId="0E2B5AB4"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center"/>
            <w:hideMark/>
          </w:tcPr>
          <w:p w14:paraId="3043708D"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3 489 200</w:t>
            </w:r>
          </w:p>
        </w:tc>
        <w:tc>
          <w:tcPr>
            <w:tcW w:w="2181" w:type="dxa"/>
            <w:shd w:val="clear" w:color="auto" w:fill="auto"/>
            <w:noWrap/>
            <w:vAlign w:val="center"/>
            <w:hideMark/>
          </w:tcPr>
          <w:p w14:paraId="26419DCD"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 xml:space="preserve">2 </w:t>
            </w:r>
            <w:r>
              <w:rPr>
                <w:color w:val="000000"/>
                <w:sz w:val="20"/>
                <w:szCs w:val="20"/>
              </w:rPr>
              <w:t>644 800</w:t>
            </w:r>
          </w:p>
        </w:tc>
        <w:tc>
          <w:tcPr>
            <w:tcW w:w="2410" w:type="dxa"/>
            <w:shd w:val="clear" w:color="auto" w:fill="auto"/>
            <w:noWrap/>
            <w:vAlign w:val="center"/>
            <w:hideMark/>
          </w:tcPr>
          <w:p w14:paraId="3E4F8D60"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498 800</w:t>
            </w:r>
          </w:p>
        </w:tc>
        <w:tc>
          <w:tcPr>
            <w:tcW w:w="2049" w:type="dxa"/>
            <w:shd w:val="clear" w:color="auto" w:fill="auto"/>
            <w:noWrap/>
            <w:vAlign w:val="center"/>
            <w:hideMark/>
          </w:tcPr>
          <w:p w14:paraId="0CEF75CB"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345 600</w:t>
            </w:r>
          </w:p>
        </w:tc>
      </w:tr>
      <w:tr w:rsidR="00DB21C3" w:rsidRPr="00444DF4" w14:paraId="49F7DA21" w14:textId="77777777" w:rsidTr="00AA3854">
        <w:trPr>
          <w:trHeight w:val="282"/>
        </w:trPr>
        <w:tc>
          <w:tcPr>
            <w:tcW w:w="955" w:type="dxa"/>
            <w:shd w:val="clear" w:color="auto" w:fill="auto"/>
            <w:noWrap/>
            <w:vAlign w:val="bottom"/>
            <w:hideMark/>
          </w:tcPr>
          <w:p w14:paraId="1C8F7E73"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hideMark/>
          </w:tcPr>
          <w:p w14:paraId="47F2D061"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center"/>
            <w:hideMark/>
          </w:tcPr>
          <w:p w14:paraId="4930E178"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26 900</w:t>
            </w:r>
          </w:p>
        </w:tc>
        <w:tc>
          <w:tcPr>
            <w:tcW w:w="2181" w:type="dxa"/>
            <w:shd w:val="clear" w:color="auto" w:fill="auto"/>
            <w:noWrap/>
            <w:vAlign w:val="center"/>
            <w:hideMark/>
          </w:tcPr>
          <w:p w14:paraId="73469654"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 xml:space="preserve">15 </w:t>
            </w:r>
            <w:r>
              <w:rPr>
                <w:color w:val="000000"/>
                <w:sz w:val="20"/>
                <w:szCs w:val="20"/>
              </w:rPr>
              <w:t>200</w:t>
            </w:r>
          </w:p>
        </w:tc>
        <w:tc>
          <w:tcPr>
            <w:tcW w:w="2410" w:type="dxa"/>
            <w:shd w:val="clear" w:color="auto" w:fill="auto"/>
            <w:noWrap/>
            <w:vAlign w:val="center"/>
            <w:hideMark/>
          </w:tcPr>
          <w:p w14:paraId="7601F745"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 xml:space="preserve">4 </w:t>
            </w:r>
            <w:r>
              <w:rPr>
                <w:color w:val="000000"/>
                <w:sz w:val="20"/>
                <w:szCs w:val="20"/>
              </w:rPr>
              <w:t>900</w:t>
            </w:r>
          </w:p>
        </w:tc>
        <w:tc>
          <w:tcPr>
            <w:tcW w:w="2049" w:type="dxa"/>
            <w:shd w:val="clear" w:color="auto" w:fill="auto"/>
            <w:noWrap/>
            <w:vAlign w:val="center"/>
            <w:hideMark/>
          </w:tcPr>
          <w:p w14:paraId="4477FB7E"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 xml:space="preserve">6 </w:t>
            </w:r>
            <w:r>
              <w:rPr>
                <w:color w:val="000000"/>
                <w:sz w:val="20"/>
                <w:szCs w:val="20"/>
              </w:rPr>
              <w:t>800</w:t>
            </w:r>
          </w:p>
        </w:tc>
      </w:tr>
      <w:tr w:rsidR="00DB21C3" w:rsidRPr="00444DF4" w14:paraId="5EBA03F1" w14:textId="77777777" w:rsidTr="00AA3854">
        <w:trPr>
          <w:trHeight w:val="282"/>
        </w:trPr>
        <w:tc>
          <w:tcPr>
            <w:tcW w:w="955" w:type="dxa"/>
            <w:shd w:val="clear" w:color="auto" w:fill="auto"/>
            <w:noWrap/>
            <w:vAlign w:val="bottom"/>
            <w:hideMark/>
          </w:tcPr>
          <w:p w14:paraId="4477F729"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hideMark/>
          </w:tcPr>
          <w:p w14:paraId="4951AB32"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center"/>
            <w:hideMark/>
          </w:tcPr>
          <w:p w14:paraId="5D218C0E"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34 100</w:t>
            </w:r>
          </w:p>
        </w:tc>
        <w:tc>
          <w:tcPr>
            <w:tcW w:w="2181" w:type="dxa"/>
            <w:shd w:val="clear" w:color="auto" w:fill="auto"/>
            <w:noWrap/>
            <w:vAlign w:val="center"/>
            <w:hideMark/>
          </w:tcPr>
          <w:p w14:paraId="6B06EEB1"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 xml:space="preserve">14 </w:t>
            </w:r>
            <w:r>
              <w:rPr>
                <w:color w:val="000000"/>
                <w:sz w:val="20"/>
                <w:szCs w:val="20"/>
              </w:rPr>
              <w:t>200</w:t>
            </w:r>
          </w:p>
        </w:tc>
        <w:tc>
          <w:tcPr>
            <w:tcW w:w="2410" w:type="dxa"/>
            <w:shd w:val="clear" w:color="auto" w:fill="auto"/>
            <w:noWrap/>
            <w:vAlign w:val="center"/>
            <w:hideMark/>
          </w:tcPr>
          <w:p w14:paraId="03FFF4F0"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10 200</w:t>
            </w:r>
          </w:p>
        </w:tc>
        <w:tc>
          <w:tcPr>
            <w:tcW w:w="2049" w:type="dxa"/>
            <w:shd w:val="clear" w:color="auto" w:fill="auto"/>
            <w:noWrap/>
            <w:vAlign w:val="center"/>
            <w:hideMark/>
          </w:tcPr>
          <w:p w14:paraId="0D645FC0"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9 700</w:t>
            </w:r>
          </w:p>
        </w:tc>
      </w:tr>
      <w:tr w:rsidR="00DB21C3" w:rsidRPr="00444DF4" w14:paraId="7AE32B2C" w14:textId="77777777" w:rsidTr="00AA3854">
        <w:trPr>
          <w:trHeight w:val="282"/>
        </w:trPr>
        <w:tc>
          <w:tcPr>
            <w:tcW w:w="955" w:type="dxa"/>
            <w:shd w:val="clear" w:color="auto" w:fill="auto"/>
            <w:noWrap/>
            <w:vAlign w:val="bottom"/>
          </w:tcPr>
          <w:p w14:paraId="2136216C"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tcPr>
          <w:p w14:paraId="34AD0327"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center"/>
          </w:tcPr>
          <w:p w14:paraId="6C5EBD9E"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18 600</w:t>
            </w:r>
          </w:p>
        </w:tc>
        <w:tc>
          <w:tcPr>
            <w:tcW w:w="2181" w:type="dxa"/>
            <w:shd w:val="clear" w:color="auto" w:fill="auto"/>
            <w:noWrap/>
            <w:vAlign w:val="center"/>
          </w:tcPr>
          <w:p w14:paraId="099D370F"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 xml:space="preserve">10 </w:t>
            </w:r>
            <w:r>
              <w:rPr>
                <w:color w:val="000000"/>
                <w:sz w:val="20"/>
                <w:szCs w:val="20"/>
              </w:rPr>
              <w:t>800</w:t>
            </w:r>
          </w:p>
        </w:tc>
        <w:tc>
          <w:tcPr>
            <w:tcW w:w="2410" w:type="dxa"/>
            <w:shd w:val="clear" w:color="auto" w:fill="auto"/>
            <w:noWrap/>
            <w:vAlign w:val="center"/>
          </w:tcPr>
          <w:p w14:paraId="6F55FA36"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5 100</w:t>
            </w:r>
          </w:p>
        </w:tc>
        <w:tc>
          <w:tcPr>
            <w:tcW w:w="2049" w:type="dxa"/>
            <w:shd w:val="clear" w:color="auto" w:fill="auto"/>
            <w:noWrap/>
            <w:vAlign w:val="center"/>
          </w:tcPr>
          <w:p w14:paraId="506CD98F"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2 700</w:t>
            </w:r>
          </w:p>
        </w:tc>
      </w:tr>
      <w:tr w:rsidR="00DB21C3" w:rsidRPr="00444DF4" w14:paraId="26A2EE65" w14:textId="77777777" w:rsidTr="00AA3854">
        <w:trPr>
          <w:trHeight w:val="20"/>
        </w:trPr>
        <w:tc>
          <w:tcPr>
            <w:tcW w:w="955" w:type="dxa"/>
            <w:shd w:val="clear" w:color="auto" w:fill="auto"/>
            <w:noWrap/>
            <w:vAlign w:val="bottom"/>
          </w:tcPr>
          <w:p w14:paraId="77FC2A39" w14:textId="77777777" w:rsidR="00DB21C3" w:rsidRPr="00444DF4" w:rsidRDefault="00DB21C3" w:rsidP="00AA3854">
            <w:pPr>
              <w:jc w:val="center"/>
              <w:rPr>
                <w:rFonts w:eastAsia="Times New Roman"/>
                <w:color w:val="000000"/>
                <w:sz w:val="10"/>
                <w:szCs w:val="10"/>
              </w:rPr>
            </w:pPr>
          </w:p>
        </w:tc>
        <w:tc>
          <w:tcPr>
            <w:tcW w:w="805" w:type="dxa"/>
            <w:shd w:val="clear" w:color="auto" w:fill="auto"/>
            <w:noWrap/>
            <w:vAlign w:val="bottom"/>
          </w:tcPr>
          <w:p w14:paraId="1FECB4A3" w14:textId="77777777" w:rsidR="00DB21C3" w:rsidRPr="00444DF4" w:rsidRDefault="00DB21C3" w:rsidP="00AA3854">
            <w:pPr>
              <w:jc w:val="center"/>
              <w:rPr>
                <w:rFonts w:eastAsia="Times New Roman"/>
                <w:color w:val="000000"/>
                <w:sz w:val="10"/>
                <w:szCs w:val="10"/>
              </w:rPr>
            </w:pPr>
          </w:p>
        </w:tc>
        <w:tc>
          <w:tcPr>
            <w:tcW w:w="1792" w:type="dxa"/>
            <w:shd w:val="clear" w:color="auto" w:fill="auto"/>
            <w:noWrap/>
            <w:vAlign w:val="center"/>
          </w:tcPr>
          <w:p w14:paraId="56DA824B" w14:textId="77777777" w:rsidR="00DB21C3" w:rsidRPr="001009C6" w:rsidRDefault="00DB21C3" w:rsidP="00AA3854">
            <w:pPr>
              <w:jc w:val="center"/>
              <w:rPr>
                <w:rFonts w:eastAsia="Times New Roman"/>
                <w:color w:val="000000"/>
                <w:sz w:val="10"/>
                <w:szCs w:val="10"/>
                <w:highlight w:val="yellow"/>
              </w:rPr>
            </w:pPr>
          </w:p>
        </w:tc>
        <w:tc>
          <w:tcPr>
            <w:tcW w:w="2181" w:type="dxa"/>
            <w:shd w:val="clear" w:color="auto" w:fill="auto"/>
            <w:noWrap/>
            <w:vAlign w:val="center"/>
          </w:tcPr>
          <w:p w14:paraId="17C5501D" w14:textId="77777777" w:rsidR="00DB21C3" w:rsidRPr="001009C6" w:rsidRDefault="00DB21C3" w:rsidP="00AA3854">
            <w:pPr>
              <w:jc w:val="center"/>
              <w:rPr>
                <w:rFonts w:eastAsia="Times New Roman"/>
                <w:color w:val="000000"/>
                <w:sz w:val="10"/>
                <w:szCs w:val="10"/>
                <w:highlight w:val="yellow"/>
              </w:rPr>
            </w:pPr>
          </w:p>
        </w:tc>
        <w:tc>
          <w:tcPr>
            <w:tcW w:w="2410" w:type="dxa"/>
            <w:shd w:val="clear" w:color="auto" w:fill="auto"/>
            <w:noWrap/>
            <w:vAlign w:val="center"/>
          </w:tcPr>
          <w:p w14:paraId="079F2C59" w14:textId="77777777" w:rsidR="00DB21C3" w:rsidRPr="001009C6" w:rsidRDefault="00DB21C3" w:rsidP="00AA3854">
            <w:pPr>
              <w:jc w:val="center"/>
              <w:rPr>
                <w:rFonts w:eastAsia="Times New Roman"/>
                <w:color w:val="000000"/>
                <w:sz w:val="10"/>
                <w:szCs w:val="10"/>
                <w:highlight w:val="yellow"/>
              </w:rPr>
            </w:pPr>
          </w:p>
        </w:tc>
        <w:tc>
          <w:tcPr>
            <w:tcW w:w="2049" w:type="dxa"/>
            <w:shd w:val="clear" w:color="auto" w:fill="auto"/>
            <w:noWrap/>
            <w:vAlign w:val="center"/>
          </w:tcPr>
          <w:p w14:paraId="00751493" w14:textId="77777777" w:rsidR="00DB21C3" w:rsidRPr="001009C6" w:rsidRDefault="00DB21C3" w:rsidP="00AA3854">
            <w:pPr>
              <w:jc w:val="center"/>
              <w:rPr>
                <w:rFonts w:eastAsia="Times New Roman"/>
                <w:color w:val="000000"/>
                <w:sz w:val="10"/>
                <w:szCs w:val="10"/>
                <w:highlight w:val="yellow"/>
              </w:rPr>
            </w:pPr>
          </w:p>
        </w:tc>
      </w:tr>
      <w:tr w:rsidR="00DB21C3" w:rsidRPr="00444DF4" w14:paraId="369F73AE" w14:textId="77777777" w:rsidTr="00AA3854">
        <w:trPr>
          <w:trHeight w:val="282"/>
        </w:trPr>
        <w:tc>
          <w:tcPr>
            <w:tcW w:w="955" w:type="dxa"/>
            <w:shd w:val="clear" w:color="auto" w:fill="auto"/>
            <w:noWrap/>
            <w:vAlign w:val="bottom"/>
            <w:hideMark/>
          </w:tcPr>
          <w:p w14:paraId="53A06BDD"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2021</w:t>
            </w:r>
          </w:p>
        </w:tc>
        <w:tc>
          <w:tcPr>
            <w:tcW w:w="805" w:type="dxa"/>
            <w:shd w:val="clear" w:color="auto" w:fill="auto"/>
            <w:noWrap/>
            <w:vAlign w:val="bottom"/>
            <w:hideMark/>
          </w:tcPr>
          <w:p w14:paraId="4C56D417"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center"/>
            <w:hideMark/>
          </w:tcPr>
          <w:p w14:paraId="3A134D93"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16 500</w:t>
            </w:r>
          </w:p>
        </w:tc>
        <w:tc>
          <w:tcPr>
            <w:tcW w:w="2181" w:type="dxa"/>
            <w:shd w:val="clear" w:color="auto" w:fill="auto"/>
            <w:noWrap/>
            <w:vAlign w:val="center"/>
            <w:hideMark/>
          </w:tcPr>
          <w:p w14:paraId="1193C45E"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11 600</w:t>
            </w:r>
          </w:p>
        </w:tc>
        <w:tc>
          <w:tcPr>
            <w:tcW w:w="2410" w:type="dxa"/>
            <w:shd w:val="clear" w:color="auto" w:fill="auto"/>
            <w:noWrap/>
            <w:vAlign w:val="center"/>
            <w:hideMark/>
          </w:tcPr>
          <w:p w14:paraId="6CE0F3F5"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3 100</w:t>
            </w:r>
          </w:p>
        </w:tc>
        <w:tc>
          <w:tcPr>
            <w:tcW w:w="2049" w:type="dxa"/>
            <w:shd w:val="clear" w:color="auto" w:fill="auto"/>
            <w:noWrap/>
            <w:vAlign w:val="center"/>
            <w:hideMark/>
          </w:tcPr>
          <w:p w14:paraId="0CFBE57C"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1 900</w:t>
            </w:r>
          </w:p>
        </w:tc>
      </w:tr>
      <w:tr w:rsidR="00DB21C3" w:rsidRPr="00444DF4" w14:paraId="54053949" w14:textId="77777777" w:rsidTr="00AA3854">
        <w:trPr>
          <w:trHeight w:val="282"/>
        </w:trPr>
        <w:tc>
          <w:tcPr>
            <w:tcW w:w="955" w:type="dxa"/>
            <w:shd w:val="clear" w:color="auto" w:fill="auto"/>
            <w:noWrap/>
            <w:vAlign w:val="bottom"/>
          </w:tcPr>
          <w:p w14:paraId="1E25A571"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tcPr>
          <w:p w14:paraId="2548A19D"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center"/>
          </w:tcPr>
          <w:p w14:paraId="6E6CDB66"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17 200</w:t>
            </w:r>
          </w:p>
        </w:tc>
        <w:tc>
          <w:tcPr>
            <w:tcW w:w="2181" w:type="dxa"/>
            <w:shd w:val="clear" w:color="auto" w:fill="auto"/>
            <w:noWrap/>
            <w:vAlign w:val="center"/>
          </w:tcPr>
          <w:p w14:paraId="6129D050"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12 700</w:t>
            </w:r>
          </w:p>
        </w:tc>
        <w:tc>
          <w:tcPr>
            <w:tcW w:w="2410" w:type="dxa"/>
            <w:shd w:val="clear" w:color="auto" w:fill="auto"/>
            <w:noWrap/>
            <w:vAlign w:val="center"/>
          </w:tcPr>
          <w:p w14:paraId="1C297B6F"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2 400</w:t>
            </w:r>
          </w:p>
        </w:tc>
        <w:tc>
          <w:tcPr>
            <w:tcW w:w="2049" w:type="dxa"/>
            <w:shd w:val="clear" w:color="auto" w:fill="auto"/>
            <w:noWrap/>
            <w:vAlign w:val="center"/>
          </w:tcPr>
          <w:p w14:paraId="7E711A27"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 xml:space="preserve">2 </w:t>
            </w:r>
            <w:r>
              <w:rPr>
                <w:color w:val="000000"/>
                <w:sz w:val="20"/>
                <w:szCs w:val="20"/>
              </w:rPr>
              <w:t>200</w:t>
            </w:r>
          </w:p>
        </w:tc>
      </w:tr>
      <w:tr w:rsidR="00DB21C3" w:rsidRPr="00444DF4" w14:paraId="67F155E2" w14:textId="77777777" w:rsidTr="00AA3854">
        <w:trPr>
          <w:trHeight w:val="282"/>
        </w:trPr>
        <w:tc>
          <w:tcPr>
            <w:tcW w:w="955" w:type="dxa"/>
            <w:shd w:val="clear" w:color="auto" w:fill="auto"/>
            <w:noWrap/>
            <w:vAlign w:val="bottom"/>
          </w:tcPr>
          <w:p w14:paraId="67738DBE"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tcPr>
          <w:p w14:paraId="5711A543"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center"/>
          </w:tcPr>
          <w:p w14:paraId="5AFDE31D"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29 400</w:t>
            </w:r>
          </w:p>
        </w:tc>
        <w:tc>
          <w:tcPr>
            <w:tcW w:w="2181" w:type="dxa"/>
            <w:shd w:val="clear" w:color="auto" w:fill="auto"/>
            <w:noWrap/>
            <w:vAlign w:val="center"/>
          </w:tcPr>
          <w:p w14:paraId="58FEBF54"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21 800</w:t>
            </w:r>
          </w:p>
        </w:tc>
        <w:tc>
          <w:tcPr>
            <w:tcW w:w="2410" w:type="dxa"/>
            <w:shd w:val="clear" w:color="auto" w:fill="auto"/>
            <w:noWrap/>
            <w:vAlign w:val="center"/>
          </w:tcPr>
          <w:p w14:paraId="3FFED3A8"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4 300</w:t>
            </w:r>
          </w:p>
        </w:tc>
        <w:tc>
          <w:tcPr>
            <w:tcW w:w="2049" w:type="dxa"/>
            <w:shd w:val="clear" w:color="auto" w:fill="auto"/>
            <w:noWrap/>
            <w:vAlign w:val="center"/>
          </w:tcPr>
          <w:p w14:paraId="2E0A9B37"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 xml:space="preserve">3 </w:t>
            </w:r>
            <w:r>
              <w:rPr>
                <w:color w:val="000000"/>
                <w:sz w:val="20"/>
                <w:szCs w:val="20"/>
              </w:rPr>
              <w:t>300</w:t>
            </w:r>
          </w:p>
        </w:tc>
      </w:tr>
      <w:tr w:rsidR="00DB21C3" w:rsidRPr="00444DF4" w14:paraId="26A1C203" w14:textId="77777777" w:rsidTr="00AA3854">
        <w:trPr>
          <w:trHeight w:val="282"/>
        </w:trPr>
        <w:tc>
          <w:tcPr>
            <w:tcW w:w="955" w:type="dxa"/>
            <w:shd w:val="clear" w:color="auto" w:fill="auto"/>
            <w:noWrap/>
            <w:vAlign w:val="bottom"/>
          </w:tcPr>
          <w:p w14:paraId="3078B531"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tcPr>
          <w:p w14:paraId="21CBD678"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center"/>
          </w:tcPr>
          <w:p w14:paraId="23EF7FE1"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28 300</w:t>
            </w:r>
          </w:p>
        </w:tc>
        <w:tc>
          <w:tcPr>
            <w:tcW w:w="2181" w:type="dxa"/>
            <w:shd w:val="clear" w:color="auto" w:fill="auto"/>
            <w:noWrap/>
            <w:vAlign w:val="center"/>
          </w:tcPr>
          <w:p w14:paraId="36099CC0"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19</w:t>
            </w:r>
            <w:r>
              <w:rPr>
                <w:color w:val="000000"/>
                <w:sz w:val="20"/>
                <w:szCs w:val="20"/>
              </w:rPr>
              <w:t xml:space="preserve"> 600</w:t>
            </w:r>
          </w:p>
        </w:tc>
        <w:tc>
          <w:tcPr>
            <w:tcW w:w="2410" w:type="dxa"/>
            <w:shd w:val="clear" w:color="auto" w:fill="auto"/>
            <w:noWrap/>
            <w:vAlign w:val="center"/>
          </w:tcPr>
          <w:p w14:paraId="29CF4C91"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5</w:t>
            </w:r>
            <w:r>
              <w:rPr>
                <w:color w:val="000000"/>
                <w:sz w:val="20"/>
                <w:szCs w:val="20"/>
              </w:rPr>
              <w:t xml:space="preserve"> </w:t>
            </w:r>
            <w:r w:rsidRPr="00185933">
              <w:rPr>
                <w:color w:val="000000"/>
                <w:sz w:val="20"/>
              </w:rPr>
              <w:t>200</w:t>
            </w:r>
          </w:p>
        </w:tc>
        <w:tc>
          <w:tcPr>
            <w:tcW w:w="2049" w:type="dxa"/>
            <w:shd w:val="clear" w:color="auto" w:fill="auto"/>
            <w:noWrap/>
            <w:vAlign w:val="center"/>
          </w:tcPr>
          <w:p w14:paraId="10B90FD9"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w:t>
            </w:r>
            <w:r w:rsidRPr="00185933">
              <w:rPr>
                <w:color w:val="000000"/>
                <w:sz w:val="20"/>
              </w:rPr>
              <w:t>3</w:t>
            </w:r>
            <w:r>
              <w:rPr>
                <w:color w:val="000000"/>
                <w:sz w:val="20"/>
                <w:szCs w:val="20"/>
              </w:rPr>
              <w:t xml:space="preserve"> </w:t>
            </w:r>
            <w:r w:rsidRPr="00185933">
              <w:rPr>
                <w:color w:val="000000"/>
                <w:sz w:val="20"/>
              </w:rPr>
              <w:t>500</w:t>
            </w:r>
          </w:p>
        </w:tc>
      </w:tr>
      <w:tr w:rsidR="00DB21C3" w:rsidRPr="00444DF4" w14:paraId="0F1E4797" w14:textId="77777777" w:rsidTr="00AA3854">
        <w:trPr>
          <w:trHeight w:val="80"/>
        </w:trPr>
        <w:tc>
          <w:tcPr>
            <w:tcW w:w="955" w:type="dxa"/>
            <w:shd w:val="clear" w:color="auto" w:fill="auto"/>
            <w:noWrap/>
            <w:vAlign w:val="bottom"/>
          </w:tcPr>
          <w:p w14:paraId="269CC030" w14:textId="77777777" w:rsidR="00DB21C3" w:rsidRPr="00444DF4" w:rsidRDefault="00DB21C3" w:rsidP="00AA3854">
            <w:pPr>
              <w:jc w:val="center"/>
              <w:rPr>
                <w:rFonts w:eastAsia="Times New Roman"/>
                <w:color w:val="000000"/>
                <w:sz w:val="10"/>
                <w:szCs w:val="12"/>
              </w:rPr>
            </w:pPr>
          </w:p>
        </w:tc>
        <w:tc>
          <w:tcPr>
            <w:tcW w:w="805" w:type="dxa"/>
            <w:shd w:val="clear" w:color="auto" w:fill="auto"/>
            <w:noWrap/>
            <w:vAlign w:val="bottom"/>
          </w:tcPr>
          <w:p w14:paraId="6685B5C5" w14:textId="77777777" w:rsidR="00DB21C3" w:rsidRPr="00444DF4" w:rsidRDefault="00DB21C3" w:rsidP="00AA3854">
            <w:pPr>
              <w:jc w:val="center"/>
              <w:rPr>
                <w:rFonts w:eastAsia="Times New Roman"/>
                <w:color w:val="000000"/>
                <w:sz w:val="10"/>
                <w:szCs w:val="12"/>
              </w:rPr>
            </w:pPr>
          </w:p>
        </w:tc>
        <w:tc>
          <w:tcPr>
            <w:tcW w:w="1792" w:type="dxa"/>
            <w:shd w:val="clear" w:color="auto" w:fill="auto"/>
            <w:noWrap/>
            <w:vAlign w:val="center"/>
          </w:tcPr>
          <w:p w14:paraId="329B3995" w14:textId="77777777" w:rsidR="00DB21C3" w:rsidRPr="001009C6" w:rsidRDefault="00DB21C3" w:rsidP="00AA3854">
            <w:pPr>
              <w:jc w:val="center"/>
              <w:rPr>
                <w:rFonts w:eastAsia="Times New Roman"/>
                <w:color w:val="000000"/>
                <w:sz w:val="10"/>
                <w:szCs w:val="12"/>
                <w:highlight w:val="yellow"/>
              </w:rPr>
            </w:pPr>
          </w:p>
        </w:tc>
        <w:tc>
          <w:tcPr>
            <w:tcW w:w="2181" w:type="dxa"/>
            <w:shd w:val="clear" w:color="auto" w:fill="auto"/>
            <w:noWrap/>
            <w:vAlign w:val="center"/>
          </w:tcPr>
          <w:p w14:paraId="07FCDC01" w14:textId="77777777" w:rsidR="00DB21C3" w:rsidRPr="001009C6" w:rsidRDefault="00DB21C3" w:rsidP="00AA3854">
            <w:pPr>
              <w:jc w:val="center"/>
              <w:rPr>
                <w:rFonts w:eastAsia="Times New Roman"/>
                <w:color w:val="000000"/>
                <w:sz w:val="10"/>
                <w:szCs w:val="12"/>
                <w:highlight w:val="yellow"/>
              </w:rPr>
            </w:pPr>
          </w:p>
        </w:tc>
        <w:tc>
          <w:tcPr>
            <w:tcW w:w="2410" w:type="dxa"/>
            <w:shd w:val="clear" w:color="auto" w:fill="auto"/>
            <w:noWrap/>
            <w:vAlign w:val="center"/>
          </w:tcPr>
          <w:p w14:paraId="0A90C1CC" w14:textId="77777777" w:rsidR="00DB21C3" w:rsidRPr="001009C6" w:rsidRDefault="00DB21C3" w:rsidP="00AA3854">
            <w:pPr>
              <w:jc w:val="center"/>
              <w:rPr>
                <w:rFonts w:eastAsia="Times New Roman"/>
                <w:color w:val="000000"/>
                <w:sz w:val="10"/>
                <w:szCs w:val="12"/>
                <w:highlight w:val="yellow"/>
              </w:rPr>
            </w:pPr>
          </w:p>
        </w:tc>
        <w:tc>
          <w:tcPr>
            <w:tcW w:w="2049" w:type="dxa"/>
            <w:shd w:val="clear" w:color="auto" w:fill="auto"/>
            <w:noWrap/>
            <w:vAlign w:val="center"/>
          </w:tcPr>
          <w:p w14:paraId="6E6761C2" w14:textId="77777777" w:rsidR="00DB21C3" w:rsidRPr="001009C6" w:rsidRDefault="00DB21C3" w:rsidP="00AA3854">
            <w:pPr>
              <w:jc w:val="center"/>
              <w:rPr>
                <w:rFonts w:eastAsia="Times New Roman"/>
                <w:color w:val="000000"/>
                <w:sz w:val="10"/>
                <w:szCs w:val="12"/>
                <w:highlight w:val="yellow"/>
              </w:rPr>
            </w:pPr>
          </w:p>
        </w:tc>
      </w:tr>
      <w:tr w:rsidR="00DB21C3" w:rsidRPr="00444DF4" w14:paraId="777E1515" w14:textId="77777777" w:rsidTr="00AA3854">
        <w:trPr>
          <w:trHeight w:val="282"/>
        </w:trPr>
        <w:tc>
          <w:tcPr>
            <w:tcW w:w="955" w:type="dxa"/>
            <w:shd w:val="clear" w:color="auto" w:fill="auto"/>
            <w:noWrap/>
            <w:vAlign w:val="bottom"/>
          </w:tcPr>
          <w:p w14:paraId="17AD25ED"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2022</w:t>
            </w:r>
          </w:p>
        </w:tc>
        <w:tc>
          <w:tcPr>
            <w:tcW w:w="805" w:type="dxa"/>
            <w:shd w:val="clear" w:color="auto" w:fill="auto"/>
            <w:noWrap/>
            <w:vAlign w:val="bottom"/>
          </w:tcPr>
          <w:p w14:paraId="6894C62B"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center"/>
          </w:tcPr>
          <w:p w14:paraId="2E834DFE" w14:textId="77777777" w:rsidR="00DB21C3" w:rsidRPr="001009C6" w:rsidRDefault="00DB21C3" w:rsidP="00AA3854">
            <w:pPr>
              <w:overflowPunct w:val="0"/>
              <w:jc w:val="center"/>
              <w:rPr>
                <w:rFonts w:eastAsia="Times New Roman"/>
                <w:color w:val="000000"/>
                <w:sz w:val="20"/>
                <w:szCs w:val="20"/>
                <w:highlight w:val="yellow"/>
              </w:rPr>
            </w:pPr>
            <w:r>
              <w:rPr>
                <w:color w:val="000000"/>
                <w:sz w:val="20"/>
                <w:szCs w:val="20"/>
              </w:rPr>
              <w:t>11 500</w:t>
            </w:r>
          </w:p>
        </w:tc>
        <w:tc>
          <w:tcPr>
            <w:tcW w:w="2181" w:type="dxa"/>
            <w:shd w:val="clear" w:color="auto" w:fill="auto"/>
            <w:noWrap/>
            <w:vAlign w:val="center"/>
          </w:tcPr>
          <w:p w14:paraId="7E53D21A" w14:textId="77777777" w:rsidR="00DB21C3" w:rsidRPr="002A786D" w:rsidRDefault="00DB21C3" w:rsidP="00AA3854">
            <w:pPr>
              <w:overflowPunct w:val="0"/>
              <w:jc w:val="center"/>
              <w:rPr>
                <w:rFonts w:eastAsia="Times New Roman"/>
                <w:color w:val="000000"/>
                <w:sz w:val="20"/>
                <w:szCs w:val="20"/>
              </w:rPr>
            </w:pPr>
            <w:r>
              <w:rPr>
                <w:color w:val="000000"/>
                <w:sz w:val="20"/>
                <w:szCs w:val="20"/>
              </w:rPr>
              <w:t xml:space="preserve"> 8 600</w:t>
            </w:r>
          </w:p>
        </w:tc>
        <w:tc>
          <w:tcPr>
            <w:tcW w:w="2410" w:type="dxa"/>
            <w:shd w:val="clear" w:color="auto" w:fill="auto"/>
            <w:noWrap/>
            <w:vAlign w:val="center"/>
          </w:tcPr>
          <w:p w14:paraId="70B01E90" w14:textId="77777777" w:rsidR="00DB21C3" w:rsidRPr="001009C6" w:rsidRDefault="00DB21C3" w:rsidP="00AA3854">
            <w:pPr>
              <w:overflowPunct w:val="0"/>
              <w:jc w:val="center"/>
              <w:rPr>
                <w:rFonts w:eastAsia="Times New Roman"/>
                <w:color w:val="000000"/>
                <w:sz w:val="20"/>
                <w:szCs w:val="20"/>
                <w:highlight w:val="yellow"/>
              </w:rPr>
            </w:pPr>
            <w:r>
              <w:rPr>
                <w:color w:val="000000"/>
                <w:sz w:val="20"/>
                <w:szCs w:val="20"/>
              </w:rPr>
              <w:t xml:space="preserve"> </w:t>
            </w:r>
            <w:r w:rsidRPr="00185933">
              <w:rPr>
                <w:color w:val="000000"/>
                <w:sz w:val="20"/>
              </w:rPr>
              <w:t>2</w:t>
            </w:r>
            <w:r>
              <w:rPr>
                <w:color w:val="000000"/>
                <w:sz w:val="20"/>
                <w:szCs w:val="20"/>
              </w:rPr>
              <w:t xml:space="preserve"> </w:t>
            </w:r>
            <w:r w:rsidRPr="00185933">
              <w:rPr>
                <w:color w:val="000000"/>
                <w:sz w:val="20"/>
              </w:rPr>
              <w:t>000</w:t>
            </w:r>
          </w:p>
        </w:tc>
        <w:tc>
          <w:tcPr>
            <w:tcW w:w="2049" w:type="dxa"/>
            <w:shd w:val="clear" w:color="auto" w:fill="auto"/>
            <w:noWrap/>
            <w:vAlign w:val="center"/>
          </w:tcPr>
          <w:p w14:paraId="2F91628A" w14:textId="77777777" w:rsidR="00DB21C3" w:rsidRPr="001009C6" w:rsidRDefault="00DB21C3" w:rsidP="00AA3854">
            <w:pPr>
              <w:overflowPunct w:val="0"/>
              <w:jc w:val="center"/>
              <w:rPr>
                <w:rFonts w:eastAsia="Times New Roman"/>
                <w:color w:val="000000"/>
                <w:sz w:val="20"/>
                <w:szCs w:val="20"/>
                <w:highlight w:val="yellow"/>
              </w:rPr>
            </w:pPr>
            <w:r>
              <w:rPr>
                <w:color w:val="000000"/>
                <w:sz w:val="20"/>
                <w:szCs w:val="20"/>
              </w:rPr>
              <w:t xml:space="preserve"> 1 000</w:t>
            </w:r>
          </w:p>
        </w:tc>
      </w:tr>
      <w:tr w:rsidR="00DB21C3" w:rsidRPr="00444DF4" w14:paraId="138924E0" w14:textId="77777777" w:rsidTr="00AA3854">
        <w:trPr>
          <w:trHeight w:val="282"/>
        </w:trPr>
        <w:tc>
          <w:tcPr>
            <w:tcW w:w="955" w:type="dxa"/>
            <w:shd w:val="clear" w:color="auto" w:fill="auto"/>
            <w:noWrap/>
            <w:vAlign w:val="bottom"/>
          </w:tcPr>
          <w:p w14:paraId="3AFBB560"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tcPr>
          <w:p w14:paraId="6569E955"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Q2</w:t>
            </w:r>
          </w:p>
        </w:tc>
        <w:tc>
          <w:tcPr>
            <w:tcW w:w="1792" w:type="dxa"/>
            <w:shd w:val="clear" w:color="auto" w:fill="auto"/>
            <w:noWrap/>
            <w:vAlign w:val="center"/>
          </w:tcPr>
          <w:p w14:paraId="2B294A55" w14:textId="77777777" w:rsidR="00DB21C3" w:rsidRPr="001009C6" w:rsidRDefault="00DB21C3" w:rsidP="00AA3854">
            <w:pPr>
              <w:overflowPunct w:val="0"/>
              <w:jc w:val="center"/>
              <w:rPr>
                <w:rFonts w:eastAsia="Times New Roman"/>
                <w:color w:val="000000"/>
                <w:sz w:val="20"/>
                <w:szCs w:val="20"/>
                <w:highlight w:val="yellow"/>
              </w:rPr>
            </w:pPr>
            <w:r>
              <w:rPr>
                <w:color w:val="000000"/>
                <w:sz w:val="20"/>
                <w:szCs w:val="20"/>
              </w:rPr>
              <w:t>64 500</w:t>
            </w:r>
          </w:p>
        </w:tc>
        <w:tc>
          <w:tcPr>
            <w:tcW w:w="2181" w:type="dxa"/>
            <w:shd w:val="clear" w:color="auto" w:fill="auto"/>
            <w:noWrap/>
            <w:vAlign w:val="center"/>
          </w:tcPr>
          <w:p w14:paraId="6A155A4B" w14:textId="77777777" w:rsidR="00DB21C3" w:rsidRPr="002A786D" w:rsidRDefault="00DB21C3" w:rsidP="00AA3854">
            <w:pPr>
              <w:overflowPunct w:val="0"/>
              <w:jc w:val="center"/>
              <w:rPr>
                <w:rFonts w:eastAsia="Times New Roman"/>
                <w:color w:val="000000"/>
                <w:sz w:val="20"/>
                <w:szCs w:val="20"/>
              </w:rPr>
            </w:pPr>
            <w:r>
              <w:rPr>
                <w:color w:val="000000"/>
                <w:sz w:val="20"/>
                <w:szCs w:val="20"/>
              </w:rPr>
              <w:t xml:space="preserve"> 53 400</w:t>
            </w:r>
          </w:p>
        </w:tc>
        <w:tc>
          <w:tcPr>
            <w:tcW w:w="2410" w:type="dxa"/>
            <w:shd w:val="clear" w:color="auto" w:fill="auto"/>
            <w:noWrap/>
            <w:vAlign w:val="center"/>
          </w:tcPr>
          <w:p w14:paraId="5035F105" w14:textId="77777777" w:rsidR="00DB21C3" w:rsidRPr="001009C6" w:rsidRDefault="00DB21C3" w:rsidP="00AA3854">
            <w:pPr>
              <w:overflowPunct w:val="0"/>
              <w:jc w:val="center"/>
              <w:rPr>
                <w:rFonts w:eastAsia="Times New Roman"/>
                <w:color w:val="000000"/>
                <w:sz w:val="20"/>
                <w:szCs w:val="20"/>
                <w:highlight w:val="yellow"/>
              </w:rPr>
            </w:pPr>
            <w:r>
              <w:rPr>
                <w:color w:val="000000"/>
                <w:sz w:val="20"/>
                <w:szCs w:val="20"/>
              </w:rPr>
              <w:t xml:space="preserve"> </w:t>
            </w:r>
            <w:r w:rsidRPr="00185933">
              <w:rPr>
                <w:color w:val="000000"/>
                <w:sz w:val="20"/>
              </w:rPr>
              <w:t>5</w:t>
            </w:r>
            <w:r>
              <w:rPr>
                <w:color w:val="000000"/>
                <w:sz w:val="20"/>
                <w:szCs w:val="20"/>
              </w:rPr>
              <w:t xml:space="preserve"> 600</w:t>
            </w:r>
          </w:p>
        </w:tc>
        <w:tc>
          <w:tcPr>
            <w:tcW w:w="2049" w:type="dxa"/>
            <w:shd w:val="clear" w:color="auto" w:fill="auto"/>
            <w:noWrap/>
            <w:vAlign w:val="center"/>
          </w:tcPr>
          <w:p w14:paraId="406C3DBC" w14:textId="77777777" w:rsidR="00DB21C3" w:rsidRPr="001009C6" w:rsidRDefault="00DB21C3" w:rsidP="00AA3854">
            <w:pPr>
              <w:overflowPunct w:val="0"/>
              <w:jc w:val="center"/>
              <w:rPr>
                <w:rFonts w:eastAsia="Times New Roman"/>
                <w:color w:val="000000"/>
                <w:sz w:val="20"/>
                <w:szCs w:val="20"/>
                <w:highlight w:val="yellow"/>
              </w:rPr>
            </w:pPr>
            <w:r>
              <w:rPr>
                <w:color w:val="000000"/>
                <w:sz w:val="20"/>
                <w:szCs w:val="20"/>
              </w:rPr>
              <w:t xml:space="preserve"> </w:t>
            </w:r>
            <w:r w:rsidRPr="00185933">
              <w:rPr>
                <w:color w:val="000000"/>
                <w:sz w:val="20"/>
              </w:rPr>
              <w:t>5</w:t>
            </w:r>
            <w:r>
              <w:rPr>
                <w:color w:val="000000"/>
                <w:sz w:val="20"/>
                <w:szCs w:val="20"/>
              </w:rPr>
              <w:t xml:space="preserve"> </w:t>
            </w:r>
            <w:r w:rsidRPr="00185933">
              <w:rPr>
                <w:color w:val="000000"/>
                <w:sz w:val="20"/>
              </w:rPr>
              <w:t>500</w:t>
            </w:r>
          </w:p>
        </w:tc>
      </w:tr>
      <w:tr w:rsidR="00DB21C3" w:rsidRPr="00444DF4" w14:paraId="4ADC2DAF" w14:textId="77777777" w:rsidTr="00AA3854">
        <w:trPr>
          <w:trHeight w:val="282"/>
        </w:trPr>
        <w:tc>
          <w:tcPr>
            <w:tcW w:w="955" w:type="dxa"/>
            <w:shd w:val="clear" w:color="auto" w:fill="auto"/>
            <w:noWrap/>
            <w:vAlign w:val="bottom"/>
          </w:tcPr>
          <w:p w14:paraId="0F58551C"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tcPr>
          <w:p w14:paraId="4AC5BB55"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Q3</w:t>
            </w:r>
          </w:p>
        </w:tc>
        <w:tc>
          <w:tcPr>
            <w:tcW w:w="1792" w:type="dxa"/>
            <w:shd w:val="clear" w:color="auto" w:fill="auto"/>
            <w:noWrap/>
            <w:vAlign w:val="center"/>
          </w:tcPr>
          <w:p w14:paraId="1EB09382" w14:textId="77777777" w:rsidR="00DB21C3" w:rsidRPr="001009C6" w:rsidRDefault="00DB21C3" w:rsidP="00AA3854">
            <w:pPr>
              <w:overflowPunct w:val="0"/>
              <w:jc w:val="center"/>
              <w:rPr>
                <w:color w:val="000000"/>
                <w:sz w:val="20"/>
                <w:szCs w:val="20"/>
                <w:highlight w:val="yellow"/>
              </w:rPr>
            </w:pPr>
            <w:r>
              <w:rPr>
                <w:color w:val="000000"/>
                <w:sz w:val="20"/>
                <w:szCs w:val="20"/>
              </w:rPr>
              <w:t>173 700</w:t>
            </w:r>
          </w:p>
        </w:tc>
        <w:tc>
          <w:tcPr>
            <w:tcW w:w="2181" w:type="dxa"/>
            <w:shd w:val="clear" w:color="auto" w:fill="auto"/>
            <w:noWrap/>
            <w:vAlign w:val="center"/>
          </w:tcPr>
          <w:p w14:paraId="77179DB7" w14:textId="77777777" w:rsidR="00DB21C3" w:rsidRPr="001009C6" w:rsidRDefault="00DB21C3" w:rsidP="00AA3854">
            <w:pPr>
              <w:overflowPunct w:val="0"/>
              <w:jc w:val="center"/>
              <w:rPr>
                <w:rFonts w:eastAsia="Times New Roman"/>
                <w:color w:val="000000"/>
                <w:sz w:val="20"/>
                <w:szCs w:val="20"/>
              </w:rPr>
            </w:pPr>
            <w:r>
              <w:rPr>
                <w:color w:val="000000"/>
                <w:sz w:val="20"/>
                <w:szCs w:val="20"/>
              </w:rPr>
              <w:t xml:space="preserve"> 139 700</w:t>
            </w:r>
          </w:p>
        </w:tc>
        <w:tc>
          <w:tcPr>
            <w:tcW w:w="2410" w:type="dxa"/>
            <w:shd w:val="clear" w:color="auto" w:fill="auto"/>
            <w:noWrap/>
            <w:vAlign w:val="center"/>
          </w:tcPr>
          <w:p w14:paraId="600A7E39" w14:textId="77777777" w:rsidR="00DB21C3" w:rsidRPr="001009C6" w:rsidRDefault="00DB21C3" w:rsidP="00AA3854">
            <w:pPr>
              <w:overflowPunct w:val="0"/>
              <w:jc w:val="center"/>
              <w:rPr>
                <w:color w:val="000000"/>
                <w:sz w:val="20"/>
                <w:szCs w:val="20"/>
                <w:highlight w:val="yellow"/>
              </w:rPr>
            </w:pPr>
            <w:r>
              <w:rPr>
                <w:color w:val="000000"/>
                <w:sz w:val="20"/>
                <w:szCs w:val="20"/>
              </w:rPr>
              <w:t xml:space="preserve"> </w:t>
            </w:r>
            <w:r w:rsidRPr="00185933">
              <w:rPr>
                <w:color w:val="000000"/>
                <w:sz w:val="20"/>
              </w:rPr>
              <w:t>17</w:t>
            </w:r>
            <w:r>
              <w:rPr>
                <w:color w:val="000000"/>
                <w:sz w:val="20"/>
                <w:szCs w:val="20"/>
              </w:rPr>
              <w:t xml:space="preserve"> 200</w:t>
            </w:r>
          </w:p>
        </w:tc>
        <w:tc>
          <w:tcPr>
            <w:tcW w:w="2049" w:type="dxa"/>
            <w:shd w:val="clear" w:color="auto" w:fill="auto"/>
            <w:noWrap/>
            <w:vAlign w:val="center"/>
          </w:tcPr>
          <w:p w14:paraId="0D993D95" w14:textId="77777777" w:rsidR="00DB21C3" w:rsidRPr="001009C6" w:rsidRDefault="00DB21C3" w:rsidP="00AA3854">
            <w:pPr>
              <w:overflowPunct w:val="0"/>
              <w:jc w:val="center"/>
              <w:rPr>
                <w:color w:val="000000"/>
                <w:sz w:val="20"/>
                <w:szCs w:val="20"/>
                <w:highlight w:val="yellow"/>
              </w:rPr>
            </w:pPr>
            <w:r>
              <w:rPr>
                <w:color w:val="000000"/>
                <w:sz w:val="20"/>
                <w:szCs w:val="20"/>
              </w:rPr>
              <w:t xml:space="preserve"> </w:t>
            </w:r>
            <w:r w:rsidRPr="00185933">
              <w:rPr>
                <w:color w:val="000000"/>
                <w:sz w:val="20"/>
              </w:rPr>
              <w:t>16</w:t>
            </w:r>
            <w:r>
              <w:rPr>
                <w:color w:val="000000"/>
                <w:sz w:val="20"/>
                <w:szCs w:val="20"/>
              </w:rPr>
              <w:t xml:space="preserve"> </w:t>
            </w:r>
            <w:r w:rsidRPr="00185933">
              <w:rPr>
                <w:color w:val="000000"/>
                <w:sz w:val="20"/>
              </w:rPr>
              <w:t>800</w:t>
            </w:r>
          </w:p>
        </w:tc>
      </w:tr>
      <w:tr w:rsidR="00DB21C3" w:rsidRPr="00444DF4" w14:paraId="2F5E55DC" w14:textId="77777777" w:rsidTr="00AA3854">
        <w:trPr>
          <w:trHeight w:val="282"/>
        </w:trPr>
        <w:tc>
          <w:tcPr>
            <w:tcW w:w="955" w:type="dxa"/>
            <w:shd w:val="clear" w:color="auto" w:fill="auto"/>
            <w:noWrap/>
            <w:vAlign w:val="bottom"/>
          </w:tcPr>
          <w:p w14:paraId="7BD16105"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tcPr>
          <w:p w14:paraId="2A8403D7"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Q4</w:t>
            </w:r>
          </w:p>
        </w:tc>
        <w:tc>
          <w:tcPr>
            <w:tcW w:w="1792" w:type="dxa"/>
            <w:shd w:val="clear" w:color="auto" w:fill="auto"/>
            <w:noWrap/>
            <w:vAlign w:val="center"/>
          </w:tcPr>
          <w:p w14:paraId="25940EDF" w14:textId="77777777" w:rsidR="00DB21C3" w:rsidRPr="001009C6" w:rsidRDefault="00DB21C3" w:rsidP="00AA3854">
            <w:pPr>
              <w:jc w:val="center"/>
              <w:rPr>
                <w:rFonts w:eastAsia="Times New Roman"/>
                <w:color w:val="000000"/>
                <w:sz w:val="20"/>
                <w:szCs w:val="20"/>
                <w:highlight w:val="yellow"/>
              </w:rPr>
            </w:pPr>
            <w:r>
              <w:rPr>
                <w:color w:val="000000"/>
                <w:sz w:val="20"/>
                <w:szCs w:val="20"/>
              </w:rPr>
              <w:t>354 900</w:t>
            </w:r>
          </w:p>
        </w:tc>
        <w:tc>
          <w:tcPr>
            <w:tcW w:w="2181" w:type="dxa"/>
            <w:shd w:val="clear" w:color="auto" w:fill="auto"/>
            <w:noWrap/>
            <w:vAlign w:val="center"/>
          </w:tcPr>
          <w:p w14:paraId="3C0B4A98" w14:textId="77777777" w:rsidR="00DB21C3" w:rsidRPr="002A786D" w:rsidRDefault="00DB21C3" w:rsidP="00AA3854">
            <w:pPr>
              <w:jc w:val="center"/>
              <w:rPr>
                <w:rFonts w:eastAsia="Times New Roman"/>
                <w:color w:val="000000"/>
                <w:sz w:val="20"/>
                <w:szCs w:val="20"/>
              </w:rPr>
            </w:pPr>
            <w:r>
              <w:rPr>
                <w:color w:val="000000"/>
                <w:sz w:val="20"/>
                <w:szCs w:val="20"/>
              </w:rPr>
              <w:t xml:space="preserve"> 173 600</w:t>
            </w:r>
          </w:p>
        </w:tc>
        <w:tc>
          <w:tcPr>
            <w:tcW w:w="2410" w:type="dxa"/>
            <w:shd w:val="clear" w:color="auto" w:fill="auto"/>
            <w:noWrap/>
            <w:vAlign w:val="center"/>
          </w:tcPr>
          <w:p w14:paraId="18396AEF"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102 500</w:t>
            </w:r>
          </w:p>
        </w:tc>
        <w:tc>
          <w:tcPr>
            <w:tcW w:w="2049" w:type="dxa"/>
            <w:shd w:val="clear" w:color="auto" w:fill="auto"/>
            <w:noWrap/>
            <w:vAlign w:val="center"/>
          </w:tcPr>
          <w:p w14:paraId="6DC811C3"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78 800</w:t>
            </w:r>
          </w:p>
        </w:tc>
      </w:tr>
      <w:tr w:rsidR="00DB21C3" w:rsidRPr="00444DF4" w14:paraId="4C86E113" w14:textId="77777777" w:rsidTr="00AA3854">
        <w:trPr>
          <w:trHeight w:val="20"/>
        </w:trPr>
        <w:tc>
          <w:tcPr>
            <w:tcW w:w="955" w:type="dxa"/>
            <w:shd w:val="clear" w:color="auto" w:fill="auto"/>
            <w:noWrap/>
            <w:vAlign w:val="bottom"/>
          </w:tcPr>
          <w:p w14:paraId="5110A1AD" w14:textId="77777777" w:rsidR="00DB21C3" w:rsidRPr="00444DF4" w:rsidRDefault="00DB21C3" w:rsidP="00AA3854">
            <w:pPr>
              <w:jc w:val="center"/>
              <w:rPr>
                <w:rFonts w:eastAsia="Times New Roman"/>
                <w:color w:val="000000"/>
                <w:sz w:val="10"/>
                <w:szCs w:val="12"/>
              </w:rPr>
            </w:pPr>
          </w:p>
        </w:tc>
        <w:tc>
          <w:tcPr>
            <w:tcW w:w="805" w:type="dxa"/>
            <w:shd w:val="clear" w:color="auto" w:fill="auto"/>
            <w:noWrap/>
            <w:vAlign w:val="bottom"/>
          </w:tcPr>
          <w:p w14:paraId="06175200" w14:textId="77777777" w:rsidR="00DB21C3" w:rsidRPr="00444DF4" w:rsidRDefault="00DB21C3" w:rsidP="00AA3854">
            <w:pPr>
              <w:jc w:val="center"/>
              <w:rPr>
                <w:rFonts w:eastAsia="Times New Roman"/>
                <w:color w:val="000000"/>
                <w:sz w:val="10"/>
                <w:szCs w:val="12"/>
              </w:rPr>
            </w:pPr>
          </w:p>
        </w:tc>
        <w:tc>
          <w:tcPr>
            <w:tcW w:w="1792" w:type="dxa"/>
            <w:shd w:val="clear" w:color="auto" w:fill="auto"/>
            <w:noWrap/>
            <w:vAlign w:val="center"/>
          </w:tcPr>
          <w:p w14:paraId="47B18FE8" w14:textId="77777777" w:rsidR="00DB21C3" w:rsidRPr="001009C6" w:rsidRDefault="00DB21C3" w:rsidP="00AA3854">
            <w:pPr>
              <w:jc w:val="center"/>
              <w:rPr>
                <w:rFonts w:eastAsia="Times New Roman"/>
                <w:color w:val="000000"/>
                <w:sz w:val="10"/>
                <w:szCs w:val="12"/>
                <w:highlight w:val="yellow"/>
              </w:rPr>
            </w:pPr>
          </w:p>
        </w:tc>
        <w:tc>
          <w:tcPr>
            <w:tcW w:w="2181" w:type="dxa"/>
            <w:shd w:val="clear" w:color="auto" w:fill="auto"/>
            <w:noWrap/>
            <w:vAlign w:val="center"/>
          </w:tcPr>
          <w:p w14:paraId="01EAA32F" w14:textId="77777777" w:rsidR="00DB21C3" w:rsidRPr="001009C6" w:rsidRDefault="00DB21C3" w:rsidP="00AA3854">
            <w:pPr>
              <w:jc w:val="center"/>
              <w:rPr>
                <w:rFonts w:eastAsia="Times New Roman"/>
                <w:color w:val="000000"/>
                <w:sz w:val="20"/>
                <w:szCs w:val="20"/>
              </w:rPr>
            </w:pPr>
          </w:p>
        </w:tc>
        <w:tc>
          <w:tcPr>
            <w:tcW w:w="2410" w:type="dxa"/>
            <w:shd w:val="clear" w:color="auto" w:fill="auto"/>
            <w:noWrap/>
            <w:vAlign w:val="center"/>
          </w:tcPr>
          <w:p w14:paraId="2182E4C5" w14:textId="77777777" w:rsidR="00DB21C3" w:rsidRPr="001009C6" w:rsidRDefault="00DB21C3" w:rsidP="00AA3854">
            <w:pPr>
              <w:jc w:val="center"/>
              <w:rPr>
                <w:rFonts w:eastAsia="Times New Roman"/>
                <w:color w:val="000000"/>
                <w:sz w:val="10"/>
                <w:szCs w:val="12"/>
                <w:highlight w:val="yellow"/>
              </w:rPr>
            </w:pPr>
          </w:p>
        </w:tc>
        <w:tc>
          <w:tcPr>
            <w:tcW w:w="2049" w:type="dxa"/>
            <w:shd w:val="clear" w:color="auto" w:fill="auto"/>
            <w:noWrap/>
            <w:vAlign w:val="center"/>
          </w:tcPr>
          <w:p w14:paraId="358F10DE" w14:textId="77777777" w:rsidR="00DB21C3" w:rsidRPr="001009C6" w:rsidRDefault="00DB21C3" w:rsidP="00AA3854">
            <w:pPr>
              <w:jc w:val="center"/>
              <w:rPr>
                <w:rFonts w:eastAsia="Times New Roman"/>
                <w:color w:val="000000"/>
                <w:sz w:val="10"/>
                <w:szCs w:val="12"/>
                <w:highlight w:val="yellow"/>
              </w:rPr>
            </w:pPr>
          </w:p>
        </w:tc>
      </w:tr>
      <w:tr w:rsidR="00DB21C3" w:rsidRPr="00444DF4" w14:paraId="1966162A" w14:textId="77777777" w:rsidTr="00AA3854">
        <w:trPr>
          <w:trHeight w:val="282"/>
        </w:trPr>
        <w:tc>
          <w:tcPr>
            <w:tcW w:w="955" w:type="dxa"/>
            <w:shd w:val="clear" w:color="auto" w:fill="auto"/>
            <w:noWrap/>
            <w:vAlign w:val="bottom"/>
          </w:tcPr>
          <w:p w14:paraId="6D757A3B"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2023</w:t>
            </w:r>
          </w:p>
        </w:tc>
        <w:tc>
          <w:tcPr>
            <w:tcW w:w="805" w:type="dxa"/>
            <w:shd w:val="clear" w:color="auto" w:fill="auto"/>
            <w:noWrap/>
            <w:vAlign w:val="bottom"/>
          </w:tcPr>
          <w:p w14:paraId="4EDF0B97"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center"/>
          </w:tcPr>
          <w:p w14:paraId="5DCC77E5" w14:textId="77777777" w:rsidR="00DB21C3" w:rsidRPr="001009C6" w:rsidRDefault="00DB21C3" w:rsidP="00AA3854">
            <w:pPr>
              <w:jc w:val="center"/>
              <w:rPr>
                <w:rFonts w:eastAsia="Times New Roman"/>
                <w:color w:val="000000"/>
                <w:sz w:val="20"/>
                <w:szCs w:val="20"/>
                <w:highlight w:val="yellow"/>
              </w:rPr>
            </w:pPr>
            <w:r>
              <w:rPr>
                <w:color w:val="000000"/>
                <w:sz w:val="20"/>
                <w:szCs w:val="20"/>
              </w:rPr>
              <w:t>4 414 800</w:t>
            </w:r>
          </w:p>
        </w:tc>
        <w:tc>
          <w:tcPr>
            <w:tcW w:w="2181" w:type="dxa"/>
            <w:shd w:val="clear" w:color="auto" w:fill="auto"/>
            <w:noWrap/>
            <w:vAlign w:val="center"/>
          </w:tcPr>
          <w:p w14:paraId="08207672" w14:textId="77777777" w:rsidR="00DB21C3" w:rsidRPr="002A786D" w:rsidRDefault="00DB21C3" w:rsidP="00AA3854">
            <w:pPr>
              <w:jc w:val="center"/>
              <w:rPr>
                <w:rFonts w:eastAsia="Times New Roman"/>
                <w:color w:val="000000"/>
                <w:sz w:val="20"/>
                <w:szCs w:val="20"/>
              </w:rPr>
            </w:pPr>
            <w:r>
              <w:rPr>
                <w:color w:val="000000"/>
                <w:sz w:val="20"/>
                <w:szCs w:val="20"/>
              </w:rPr>
              <w:t>3 356 000</w:t>
            </w:r>
          </w:p>
        </w:tc>
        <w:tc>
          <w:tcPr>
            <w:tcW w:w="2410" w:type="dxa"/>
            <w:shd w:val="clear" w:color="auto" w:fill="auto"/>
            <w:noWrap/>
            <w:vAlign w:val="center"/>
          </w:tcPr>
          <w:p w14:paraId="606C9641"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782 400</w:t>
            </w:r>
          </w:p>
        </w:tc>
        <w:tc>
          <w:tcPr>
            <w:tcW w:w="2049" w:type="dxa"/>
            <w:shd w:val="clear" w:color="auto" w:fill="auto"/>
            <w:noWrap/>
            <w:vAlign w:val="center"/>
          </w:tcPr>
          <w:p w14:paraId="40CD2736"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276 300</w:t>
            </w:r>
          </w:p>
        </w:tc>
      </w:tr>
      <w:tr w:rsidR="00DB21C3" w:rsidRPr="00444DF4" w14:paraId="40A771ED" w14:textId="77777777" w:rsidTr="00AA3854">
        <w:trPr>
          <w:trHeight w:val="282"/>
        </w:trPr>
        <w:tc>
          <w:tcPr>
            <w:tcW w:w="955" w:type="dxa"/>
            <w:shd w:val="clear" w:color="auto" w:fill="auto"/>
            <w:noWrap/>
            <w:vAlign w:val="bottom"/>
          </w:tcPr>
          <w:p w14:paraId="7C6D1109"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tcPr>
          <w:p w14:paraId="7F3386EB" w14:textId="77777777" w:rsidR="00DB21C3" w:rsidRPr="00444DF4" w:rsidRDefault="00DB21C3" w:rsidP="00AA3854">
            <w:pPr>
              <w:jc w:val="center"/>
              <w:rPr>
                <w:rFonts w:eastAsia="Times New Roman"/>
                <w:color w:val="000000"/>
                <w:sz w:val="20"/>
                <w:szCs w:val="20"/>
              </w:rPr>
            </w:pPr>
            <w:r>
              <w:rPr>
                <w:rFonts w:eastAsia="Times New Roman"/>
                <w:color w:val="000000"/>
                <w:sz w:val="20"/>
                <w:szCs w:val="20"/>
              </w:rPr>
              <w:t>Q2</w:t>
            </w:r>
          </w:p>
        </w:tc>
        <w:tc>
          <w:tcPr>
            <w:tcW w:w="1792" w:type="dxa"/>
            <w:shd w:val="clear" w:color="auto" w:fill="auto"/>
            <w:noWrap/>
            <w:vAlign w:val="center"/>
          </w:tcPr>
          <w:p w14:paraId="76CBE0ED" w14:textId="77777777" w:rsidR="00DB21C3" w:rsidRPr="001009C6" w:rsidRDefault="00DB21C3" w:rsidP="00AA3854">
            <w:pPr>
              <w:jc w:val="center"/>
              <w:rPr>
                <w:rFonts w:eastAsia="Times New Roman"/>
                <w:color w:val="000000"/>
                <w:sz w:val="20"/>
                <w:szCs w:val="20"/>
                <w:highlight w:val="yellow"/>
              </w:rPr>
            </w:pPr>
            <w:r>
              <w:rPr>
                <w:color w:val="000000"/>
                <w:sz w:val="20"/>
                <w:szCs w:val="20"/>
              </w:rPr>
              <w:t>8 469 100</w:t>
            </w:r>
          </w:p>
        </w:tc>
        <w:tc>
          <w:tcPr>
            <w:tcW w:w="2181" w:type="dxa"/>
            <w:shd w:val="clear" w:color="auto" w:fill="auto"/>
            <w:noWrap/>
            <w:vAlign w:val="center"/>
          </w:tcPr>
          <w:p w14:paraId="0680D22C" w14:textId="77777777" w:rsidR="00DB21C3" w:rsidRPr="002A786D" w:rsidRDefault="00DB21C3" w:rsidP="00AA3854">
            <w:pPr>
              <w:jc w:val="center"/>
              <w:rPr>
                <w:rFonts w:eastAsia="Times New Roman"/>
                <w:color w:val="000000"/>
                <w:sz w:val="20"/>
                <w:szCs w:val="20"/>
              </w:rPr>
            </w:pPr>
            <w:r>
              <w:rPr>
                <w:color w:val="000000"/>
                <w:sz w:val="20"/>
                <w:szCs w:val="20"/>
              </w:rPr>
              <w:t>6 748 400</w:t>
            </w:r>
          </w:p>
        </w:tc>
        <w:tc>
          <w:tcPr>
            <w:tcW w:w="2410" w:type="dxa"/>
            <w:shd w:val="clear" w:color="auto" w:fill="auto"/>
            <w:noWrap/>
            <w:vAlign w:val="center"/>
          </w:tcPr>
          <w:p w14:paraId="170B8F05"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1</w:t>
            </w:r>
            <w:r>
              <w:rPr>
                <w:color w:val="000000"/>
                <w:sz w:val="20"/>
                <w:szCs w:val="20"/>
              </w:rPr>
              <w:t xml:space="preserve"> 223 </w:t>
            </w:r>
            <w:r w:rsidRPr="00185933">
              <w:rPr>
                <w:color w:val="000000"/>
                <w:sz w:val="20"/>
              </w:rPr>
              <w:t>100</w:t>
            </w:r>
          </w:p>
        </w:tc>
        <w:tc>
          <w:tcPr>
            <w:tcW w:w="2049" w:type="dxa"/>
            <w:shd w:val="clear" w:color="auto" w:fill="auto"/>
            <w:noWrap/>
            <w:vAlign w:val="center"/>
          </w:tcPr>
          <w:p w14:paraId="317A6CAA"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497 700</w:t>
            </w:r>
          </w:p>
        </w:tc>
      </w:tr>
      <w:tr w:rsidR="00DB21C3" w:rsidRPr="00444DF4" w14:paraId="14E085C8" w14:textId="77777777" w:rsidTr="00AA3854">
        <w:trPr>
          <w:trHeight w:val="282"/>
        </w:trPr>
        <w:tc>
          <w:tcPr>
            <w:tcW w:w="955" w:type="dxa"/>
            <w:shd w:val="clear" w:color="auto" w:fill="auto"/>
            <w:noWrap/>
            <w:vAlign w:val="bottom"/>
          </w:tcPr>
          <w:p w14:paraId="72CA6577"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tcPr>
          <w:p w14:paraId="59A3744D" w14:textId="77777777" w:rsidR="00DB21C3" w:rsidRDefault="00DB21C3" w:rsidP="00AA3854">
            <w:pPr>
              <w:jc w:val="center"/>
              <w:rPr>
                <w:rFonts w:eastAsia="Times New Roman"/>
                <w:color w:val="000000"/>
                <w:sz w:val="20"/>
                <w:szCs w:val="20"/>
              </w:rPr>
            </w:pPr>
            <w:r>
              <w:rPr>
                <w:rFonts w:eastAsia="Times New Roman"/>
                <w:color w:val="000000"/>
                <w:sz w:val="20"/>
                <w:szCs w:val="20"/>
              </w:rPr>
              <w:t>Q3</w:t>
            </w:r>
          </w:p>
        </w:tc>
        <w:tc>
          <w:tcPr>
            <w:tcW w:w="1792" w:type="dxa"/>
            <w:shd w:val="clear" w:color="auto" w:fill="auto"/>
            <w:noWrap/>
            <w:vAlign w:val="center"/>
          </w:tcPr>
          <w:p w14:paraId="6EB1815E" w14:textId="77777777" w:rsidR="00DB21C3" w:rsidRPr="001009C6" w:rsidRDefault="00DB21C3" w:rsidP="00AA3854">
            <w:pPr>
              <w:jc w:val="center"/>
              <w:rPr>
                <w:rFonts w:eastAsia="Times New Roman"/>
                <w:color w:val="000000"/>
                <w:sz w:val="20"/>
                <w:szCs w:val="20"/>
                <w:highlight w:val="yellow"/>
              </w:rPr>
            </w:pPr>
            <w:r>
              <w:rPr>
                <w:color w:val="000000"/>
                <w:sz w:val="20"/>
                <w:szCs w:val="20"/>
              </w:rPr>
              <w:t>10 438 100</w:t>
            </w:r>
          </w:p>
        </w:tc>
        <w:tc>
          <w:tcPr>
            <w:tcW w:w="2181" w:type="dxa"/>
            <w:shd w:val="clear" w:color="auto" w:fill="auto"/>
            <w:noWrap/>
            <w:vAlign w:val="center"/>
          </w:tcPr>
          <w:p w14:paraId="2ABCD35C" w14:textId="77777777" w:rsidR="00DB21C3" w:rsidRPr="002A786D" w:rsidRDefault="00DB21C3" w:rsidP="00AA3854">
            <w:pPr>
              <w:jc w:val="center"/>
              <w:rPr>
                <w:rFonts w:eastAsia="Times New Roman"/>
                <w:color w:val="000000"/>
                <w:sz w:val="20"/>
                <w:szCs w:val="20"/>
              </w:rPr>
            </w:pPr>
            <w:r>
              <w:rPr>
                <w:color w:val="000000"/>
                <w:sz w:val="20"/>
                <w:szCs w:val="20"/>
              </w:rPr>
              <w:t>8 573 500</w:t>
            </w:r>
          </w:p>
        </w:tc>
        <w:tc>
          <w:tcPr>
            <w:tcW w:w="2410" w:type="dxa"/>
            <w:shd w:val="clear" w:color="auto" w:fill="auto"/>
            <w:noWrap/>
            <w:vAlign w:val="center"/>
          </w:tcPr>
          <w:p w14:paraId="29052C97" w14:textId="77777777" w:rsidR="00DB21C3" w:rsidRPr="001009C6" w:rsidRDefault="00DB21C3" w:rsidP="00AA3854">
            <w:pPr>
              <w:jc w:val="center"/>
              <w:rPr>
                <w:rFonts w:eastAsia="Times New Roman"/>
                <w:color w:val="000000"/>
                <w:sz w:val="20"/>
                <w:szCs w:val="20"/>
                <w:highlight w:val="yellow"/>
              </w:rPr>
            </w:pPr>
            <w:r w:rsidRPr="00185933">
              <w:rPr>
                <w:color w:val="000000"/>
                <w:sz w:val="20"/>
              </w:rPr>
              <w:t>1</w:t>
            </w:r>
            <w:r>
              <w:rPr>
                <w:color w:val="000000"/>
                <w:sz w:val="20"/>
                <w:szCs w:val="20"/>
              </w:rPr>
              <w:t xml:space="preserve"> 328 </w:t>
            </w:r>
            <w:r w:rsidRPr="00185933">
              <w:rPr>
                <w:color w:val="000000"/>
                <w:sz w:val="20"/>
              </w:rPr>
              <w:t>700</w:t>
            </w:r>
          </w:p>
        </w:tc>
        <w:tc>
          <w:tcPr>
            <w:tcW w:w="2049" w:type="dxa"/>
            <w:shd w:val="clear" w:color="auto" w:fill="auto"/>
            <w:noWrap/>
            <w:vAlign w:val="center"/>
          </w:tcPr>
          <w:p w14:paraId="468C713A" w14:textId="77777777" w:rsidR="00DB21C3" w:rsidRPr="001009C6" w:rsidRDefault="00DB21C3" w:rsidP="00AA3854">
            <w:pPr>
              <w:jc w:val="center"/>
              <w:rPr>
                <w:rFonts w:eastAsia="Times New Roman"/>
                <w:color w:val="000000"/>
                <w:sz w:val="20"/>
                <w:szCs w:val="20"/>
                <w:highlight w:val="yellow"/>
              </w:rPr>
            </w:pPr>
            <w:r>
              <w:rPr>
                <w:color w:val="000000"/>
                <w:sz w:val="20"/>
                <w:szCs w:val="20"/>
              </w:rPr>
              <w:t xml:space="preserve"> 535 900</w:t>
            </w:r>
          </w:p>
        </w:tc>
      </w:tr>
      <w:tr w:rsidR="00DB21C3" w:rsidRPr="00444DF4" w14:paraId="2FEC1321" w14:textId="77777777" w:rsidTr="00AA3854">
        <w:trPr>
          <w:trHeight w:val="282"/>
        </w:trPr>
        <w:tc>
          <w:tcPr>
            <w:tcW w:w="955" w:type="dxa"/>
            <w:shd w:val="clear" w:color="auto" w:fill="auto"/>
            <w:noWrap/>
            <w:vAlign w:val="bottom"/>
          </w:tcPr>
          <w:p w14:paraId="0478F69E"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tcPr>
          <w:p w14:paraId="2F99BE47" w14:textId="77777777" w:rsidR="00DB21C3" w:rsidRDefault="00DB21C3" w:rsidP="00AA3854">
            <w:pPr>
              <w:jc w:val="center"/>
              <w:rPr>
                <w:rFonts w:eastAsia="Times New Roman"/>
                <w:color w:val="000000"/>
                <w:sz w:val="20"/>
                <w:szCs w:val="20"/>
              </w:rPr>
            </w:pPr>
            <w:r>
              <w:rPr>
                <w:rFonts w:eastAsia="Times New Roman"/>
                <w:color w:val="000000"/>
                <w:sz w:val="20"/>
                <w:szCs w:val="20"/>
              </w:rPr>
              <w:t>Q4</w:t>
            </w:r>
          </w:p>
        </w:tc>
        <w:tc>
          <w:tcPr>
            <w:tcW w:w="1792" w:type="dxa"/>
            <w:shd w:val="clear" w:color="auto" w:fill="auto"/>
            <w:noWrap/>
            <w:vAlign w:val="center"/>
          </w:tcPr>
          <w:p w14:paraId="38256A15" w14:textId="77777777" w:rsidR="00DB21C3" w:rsidRPr="001009C6" w:rsidRDefault="00DB21C3" w:rsidP="00AA3854">
            <w:pPr>
              <w:overflowPunct w:val="0"/>
              <w:jc w:val="center"/>
              <w:rPr>
                <w:rFonts w:eastAsia="Times New Roman"/>
                <w:color w:val="000000"/>
                <w:sz w:val="20"/>
                <w:szCs w:val="20"/>
                <w:highlight w:val="yellow"/>
              </w:rPr>
            </w:pPr>
            <w:r>
              <w:rPr>
                <w:color w:val="000000"/>
                <w:sz w:val="20"/>
                <w:szCs w:val="20"/>
              </w:rPr>
              <w:t>10 677 700</w:t>
            </w:r>
          </w:p>
        </w:tc>
        <w:tc>
          <w:tcPr>
            <w:tcW w:w="2181" w:type="dxa"/>
            <w:shd w:val="clear" w:color="auto" w:fill="auto"/>
            <w:noWrap/>
            <w:vAlign w:val="center"/>
          </w:tcPr>
          <w:p w14:paraId="0E637BA0" w14:textId="77777777" w:rsidR="00DB21C3" w:rsidRPr="002A786D" w:rsidRDefault="00DB21C3" w:rsidP="00AA3854">
            <w:pPr>
              <w:overflowPunct w:val="0"/>
              <w:jc w:val="center"/>
              <w:rPr>
                <w:rFonts w:eastAsia="Times New Roman"/>
                <w:color w:val="000000"/>
                <w:sz w:val="20"/>
                <w:szCs w:val="20"/>
              </w:rPr>
            </w:pPr>
            <w:r>
              <w:rPr>
                <w:color w:val="000000"/>
                <w:sz w:val="20"/>
                <w:szCs w:val="20"/>
              </w:rPr>
              <w:t>8 077 700</w:t>
            </w:r>
          </w:p>
        </w:tc>
        <w:tc>
          <w:tcPr>
            <w:tcW w:w="2410" w:type="dxa"/>
            <w:shd w:val="clear" w:color="auto" w:fill="auto"/>
            <w:noWrap/>
            <w:vAlign w:val="center"/>
          </w:tcPr>
          <w:p w14:paraId="198A745B" w14:textId="77777777" w:rsidR="00DB21C3" w:rsidRPr="001009C6" w:rsidRDefault="00DB21C3" w:rsidP="00AA3854">
            <w:pPr>
              <w:overflowPunct w:val="0"/>
              <w:jc w:val="center"/>
              <w:rPr>
                <w:rFonts w:eastAsia="Times New Roman"/>
                <w:color w:val="000000"/>
                <w:sz w:val="20"/>
                <w:szCs w:val="20"/>
                <w:highlight w:val="yellow"/>
              </w:rPr>
            </w:pPr>
            <w:r w:rsidRPr="00185933">
              <w:rPr>
                <w:color w:val="000000"/>
                <w:sz w:val="20"/>
              </w:rPr>
              <w:t>1</w:t>
            </w:r>
            <w:r>
              <w:rPr>
                <w:color w:val="000000"/>
                <w:sz w:val="20"/>
                <w:szCs w:val="20"/>
              </w:rPr>
              <w:t xml:space="preserve"> 834 100</w:t>
            </w:r>
          </w:p>
        </w:tc>
        <w:tc>
          <w:tcPr>
            <w:tcW w:w="2049" w:type="dxa"/>
            <w:shd w:val="clear" w:color="auto" w:fill="auto"/>
            <w:noWrap/>
            <w:vAlign w:val="center"/>
          </w:tcPr>
          <w:p w14:paraId="6F9E889E" w14:textId="77777777" w:rsidR="00DB21C3" w:rsidRPr="001009C6" w:rsidRDefault="00DB21C3" w:rsidP="00AA3854">
            <w:pPr>
              <w:overflowPunct w:val="0"/>
              <w:jc w:val="center"/>
              <w:rPr>
                <w:rFonts w:eastAsia="Times New Roman"/>
                <w:color w:val="000000"/>
                <w:sz w:val="20"/>
                <w:szCs w:val="20"/>
                <w:highlight w:val="yellow"/>
              </w:rPr>
            </w:pPr>
            <w:r>
              <w:rPr>
                <w:color w:val="000000"/>
                <w:sz w:val="20"/>
                <w:szCs w:val="20"/>
              </w:rPr>
              <w:t xml:space="preserve"> 765 900</w:t>
            </w:r>
          </w:p>
        </w:tc>
      </w:tr>
      <w:tr w:rsidR="00DB21C3" w:rsidRPr="00444DF4" w14:paraId="631CAEE2" w14:textId="77777777" w:rsidTr="00AA3854">
        <w:trPr>
          <w:trHeight w:val="70"/>
        </w:trPr>
        <w:tc>
          <w:tcPr>
            <w:tcW w:w="955" w:type="dxa"/>
            <w:shd w:val="clear" w:color="auto" w:fill="auto"/>
            <w:noWrap/>
            <w:vAlign w:val="bottom"/>
          </w:tcPr>
          <w:p w14:paraId="0EA6AB0A" w14:textId="77777777" w:rsidR="00DB21C3" w:rsidRPr="00444DF4" w:rsidRDefault="00DB21C3" w:rsidP="00AA3854">
            <w:pPr>
              <w:jc w:val="center"/>
              <w:rPr>
                <w:rFonts w:eastAsia="Times New Roman"/>
                <w:color w:val="000000"/>
                <w:sz w:val="10"/>
                <w:szCs w:val="12"/>
              </w:rPr>
            </w:pPr>
          </w:p>
        </w:tc>
        <w:tc>
          <w:tcPr>
            <w:tcW w:w="805" w:type="dxa"/>
            <w:shd w:val="clear" w:color="auto" w:fill="auto"/>
            <w:noWrap/>
            <w:vAlign w:val="bottom"/>
          </w:tcPr>
          <w:p w14:paraId="2AFC4E24" w14:textId="77777777" w:rsidR="00DB21C3" w:rsidRPr="00444DF4" w:rsidRDefault="00DB21C3" w:rsidP="00AA3854">
            <w:pPr>
              <w:jc w:val="center"/>
              <w:rPr>
                <w:rFonts w:eastAsia="Times New Roman"/>
                <w:color w:val="000000"/>
                <w:sz w:val="10"/>
                <w:szCs w:val="12"/>
              </w:rPr>
            </w:pPr>
          </w:p>
        </w:tc>
        <w:tc>
          <w:tcPr>
            <w:tcW w:w="1792" w:type="dxa"/>
            <w:shd w:val="clear" w:color="auto" w:fill="auto"/>
            <w:noWrap/>
            <w:vAlign w:val="center"/>
          </w:tcPr>
          <w:p w14:paraId="2C4E74B3" w14:textId="77777777" w:rsidR="00DB21C3" w:rsidRPr="001009C6" w:rsidRDefault="00DB21C3" w:rsidP="00AA3854">
            <w:pPr>
              <w:jc w:val="center"/>
              <w:rPr>
                <w:rFonts w:eastAsia="Times New Roman"/>
                <w:color w:val="000000"/>
                <w:sz w:val="10"/>
                <w:szCs w:val="12"/>
                <w:highlight w:val="yellow"/>
              </w:rPr>
            </w:pPr>
          </w:p>
        </w:tc>
        <w:tc>
          <w:tcPr>
            <w:tcW w:w="2181" w:type="dxa"/>
            <w:shd w:val="clear" w:color="auto" w:fill="auto"/>
            <w:noWrap/>
            <w:vAlign w:val="center"/>
          </w:tcPr>
          <w:p w14:paraId="58DFC4A7" w14:textId="77777777" w:rsidR="00DB21C3" w:rsidRPr="001009C6" w:rsidRDefault="00DB21C3" w:rsidP="00AA3854">
            <w:pPr>
              <w:jc w:val="center"/>
              <w:rPr>
                <w:rFonts w:eastAsia="Times New Roman"/>
                <w:color w:val="000000"/>
                <w:sz w:val="20"/>
                <w:szCs w:val="20"/>
              </w:rPr>
            </w:pPr>
          </w:p>
        </w:tc>
        <w:tc>
          <w:tcPr>
            <w:tcW w:w="2410" w:type="dxa"/>
            <w:shd w:val="clear" w:color="auto" w:fill="auto"/>
            <w:noWrap/>
            <w:vAlign w:val="center"/>
          </w:tcPr>
          <w:p w14:paraId="1B881B67" w14:textId="77777777" w:rsidR="00DB21C3" w:rsidRPr="001009C6" w:rsidRDefault="00DB21C3" w:rsidP="00AA3854">
            <w:pPr>
              <w:jc w:val="center"/>
              <w:rPr>
                <w:rFonts w:eastAsia="Times New Roman"/>
                <w:color w:val="000000"/>
                <w:sz w:val="10"/>
                <w:szCs w:val="12"/>
                <w:highlight w:val="yellow"/>
              </w:rPr>
            </w:pPr>
          </w:p>
        </w:tc>
        <w:tc>
          <w:tcPr>
            <w:tcW w:w="2049" w:type="dxa"/>
            <w:shd w:val="clear" w:color="auto" w:fill="auto"/>
            <w:noWrap/>
            <w:vAlign w:val="center"/>
          </w:tcPr>
          <w:p w14:paraId="4F900500" w14:textId="77777777" w:rsidR="00DB21C3" w:rsidRPr="001009C6" w:rsidRDefault="00DB21C3" w:rsidP="00AA3854">
            <w:pPr>
              <w:jc w:val="center"/>
              <w:rPr>
                <w:rFonts w:eastAsia="Times New Roman"/>
                <w:color w:val="000000"/>
                <w:sz w:val="10"/>
                <w:szCs w:val="12"/>
                <w:highlight w:val="yellow"/>
              </w:rPr>
            </w:pPr>
          </w:p>
        </w:tc>
      </w:tr>
      <w:tr w:rsidR="00DB21C3" w:rsidRPr="00444DF4" w14:paraId="03D103E5" w14:textId="77777777" w:rsidTr="00AA3854">
        <w:trPr>
          <w:trHeight w:val="283"/>
        </w:trPr>
        <w:tc>
          <w:tcPr>
            <w:tcW w:w="955" w:type="dxa"/>
            <w:shd w:val="clear" w:color="auto" w:fill="auto"/>
            <w:noWrap/>
            <w:vAlign w:val="bottom"/>
          </w:tcPr>
          <w:p w14:paraId="5E6E04CB"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202</w:t>
            </w:r>
            <w:r>
              <w:rPr>
                <w:rFonts w:eastAsia="Times New Roman"/>
                <w:color w:val="000000"/>
                <w:sz w:val="20"/>
                <w:szCs w:val="20"/>
              </w:rPr>
              <w:t>4</w:t>
            </w:r>
          </w:p>
        </w:tc>
        <w:tc>
          <w:tcPr>
            <w:tcW w:w="805" w:type="dxa"/>
            <w:shd w:val="clear" w:color="auto" w:fill="auto"/>
            <w:noWrap/>
            <w:vAlign w:val="bottom"/>
          </w:tcPr>
          <w:p w14:paraId="3DBAC0C7" w14:textId="77777777" w:rsidR="00DB21C3" w:rsidRPr="00444DF4" w:rsidRDefault="00DB21C3" w:rsidP="00AA3854">
            <w:pPr>
              <w:jc w:val="center"/>
              <w:rPr>
                <w:rFonts w:eastAsia="Times New Roman"/>
                <w:color w:val="000000"/>
                <w:sz w:val="20"/>
                <w:szCs w:val="20"/>
              </w:rPr>
            </w:pPr>
            <w:r w:rsidRPr="00444DF4">
              <w:rPr>
                <w:rFonts w:eastAsia="Times New Roman"/>
                <w:color w:val="000000"/>
                <w:sz w:val="20"/>
                <w:szCs w:val="20"/>
              </w:rPr>
              <w:t>Q1</w:t>
            </w:r>
          </w:p>
        </w:tc>
        <w:tc>
          <w:tcPr>
            <w:tcW w:w="1792" w:type="dxa"/>
            <w:shd w:val="clear" w:color="auto" w:fill="auto"/>
            <w:noWrap/>
            <w:vAlign w:val="center"/>
          </w:tcPr>
          <w:p w14:paraId="408274C0" w14:textId="77777777" w:rsidR="00DB21C3" w:rsidRPr="001009C6" w:rsidRDefault="00DB21C3" w:rsidP="00AA3854">
            <w:pPr>
              <w:overflowPunct w:val="0"/>
              <w:jc w:val="center"/>
              <w:rPr>
                <w:color w:val="000000"/>
                <w:sz w:val="20"/>
                <w:highlight w:val="yellow"/>
              </w:rPr>
            </w:pPr>
            <w:r>
              <w:rPr>
                <w:color w:val="000000"/>
                <w:sz w:val="20"/>
                <w:szCs w:val="20"/>
              </w:rPr>
              <w:t>11 228 800</w:t>
            </w:r>
          </w:p>
        </w:tc>
        <w:tc>
          <w:tcPr>
            <w:tcW w:w="2181" w:type="dxa"/>
            <w:shd w:val="clear" w:color="auto" w:fill="auto"/>
            <w:noWrap/>
            <w:vAlign w:val="center"/>
          </w:tcPr>
          <w:p w14:paraId="67C5B726" w14:textId="77777777" w:rsidR="00DB21C3" w:rsidRPr="001009C6" w:rsidRDefault="00DB21C3" w:rsidP="00AA3854">
            <w:pPr>
              <w:overflowPunct w:val="0"/>
              <w:jc w:val="center"/>
              <w:rPr>
                <w:rFonts w:eastAsia="Times New Roman"/>
                <w:color w:val="000000"/>
                <w:sz w:val="20"/>
                <w:szCs w:val="20"/>
              </w:rPr>
            </w:pPr>
            <w:r>
              <w:rPr>
                <w:color w:val="000000"/>
                <w:sz w:val="20"/>
                <w:szCs w:val="20"/>
              </w:rPr>
              <w:t>8 698 200</w:t>
            </w:r>
          </w:p>
        </w:tc>
        <w:tc>
          <w:tcPr>
            <w:tcW w:w="2410" w:type="dxa"/>
            <w:shd w:val="clear" w:color="auto" w:fill="auto"/>
            <w:noWrap/>
            <w:vAlign w:val="center"/>
          </w:tcPr>
          <w:p w14:paraId="27101EFF" w14:textId="77777777" w:rsidR="00DB21C3" w:rsidRPr="00572413" w:rsidRDefault="00DB21C3" w:rsidP="00AA3854">
            <w:pPr>
              <w:overflowPunct w:val="0"/>
              <w:jc w:val="center"/>
              <w:rPr>
                <w:rFonts w:eastAsia="Times New Roman"/>
                <w:color w:val="000000"/>
                <w:sz w:val="20"/>
                <w:szCs w:val="20"/>
                <w:highlight w:val="yellow"/>
              </w:rPr>
            </w:pPr>
            <w:r w:rsidRPr="00185933">
              <w:rPr>
                <w:color w:val="000000"/>
                <w:sz w:val="20"/>
              </w:rPr>
              <w:t>1</w:t>
            </w:r>
            <w:r>
              <w:rPr>
                <w:color w:val="000000"/>
                <w:sz w:val="20"/>
                <w:szCs w:val="20"/>
              </w:rPr>
              <w:t xml:space="preserve"> 770 300</w:t>
            </w:r>
          </w:p>
        </w:tc>
        <w:tc>
          <w:tcPr>
            <w:tcW w:w="2049" w:type="dxa"/>
            <w:shd w:val="clear" w:color="auto" w:fill="auto"/>
            <w:noWrap/>
            <w:vAlign w:val="center"/>
          </w:tcPr>
          <w:p w14:paraId="3081EF95" w14:textId="77777777" w:rsidR="00DB21C3" w:rsidRPr="00572413" w:rsidRDefault="00DB21C3" w:rsidP="00AA3854">
            <w:pPr>
              <w:overflowPunct w:val="0"/>
              <w:jc w:val="center"/>
              <w:rPr>
                <w:rFonts w:eastAsia="Times New Roman"/>
                <w:color w:val="000000"/>
                <w:sz w:val="20"/>
                <w:szCs w:val="20"/>
                <w:highlight w:val="yellow"/>
              </w:rPr>
            </w:pPr>
            <w:r>
              <w:rPr>
                <w:color w:val="000000"/>
                <w:sz w:val="20"/>
                <w:szCs w:val="20"/>
              </w:rPr>
              <w:t xml:space="preserve"> 760 300</w:t>
            </w:r>
          </w:p>
        </w:tc>
      </w:tr>
      <w:tr w:rsidR="00DB21C3" w:rsidRPr="00444DF4" w14:paraId="01948CC3" w14:textId="77777777" w:rsidTr="00AA3854">
        <w:trPr>
          <w:trHeight w:val="283"/>
        </w:trPr>
        <w:tc>
          <w:tcPr>
            <w:tcW w:w="955" w:type="dxa"/>
            <w:shd w:val="clear" w:color="auto" w:fill="auto"/>
            <w:noWrap/>
            <w:vAlign w:val="bottom"/>
          </w:tcPr>
          <w:p w14:paraId="048F16BA"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tcPr>
          <w:p w14:paraId="00678955" w14:textId="77777777" w:rsidR="00DB21C3" w:rsidRPr="00444DF4" w:rsidRDefault="00DB21C3" w:rsidP="00AA3854">
            <w:pPr>
              <w:jc w:val="center"/>
              <w:rPr>
                <w:rFonts w:eastAsia="Times New Roman"/>
                <w:color w:val="000000"/>
                <w:sz w:val="20"/>
                <w:szCs w:val="20"/>
              </w:rPr>
            </w:pPr>
            <w:r>
              <w:rPr>
                <w:rFonts w:eastAsia="Times New Roman"/>
                <w:color w:val="000000"/>
                <w:sz w:val="20"/>
                <w:szCs w:val="20"/>
              </w:rPr>
              <w:t>Q2</w:t>
            </w:r>
          </w:p>
        </w:tc>
        <w:tc>
          <w:tcPr>
            <w:tcW w:w="1792" w:type="dxa"/>
            <w:shd w:val="clear" w:color="auto" w:fill="auto"/>
            <w:noWrap/>
            <w:vAlign w:val="center"/>
          </w:tcPr>
          <w:p w14:paraId="1F0C385B" w14:textId="77777777" w:rsidR="00DB21C3" w:rsidRPr="001009C6" w:rsidRDefault="00DB21C3" w:rsidP="00AA3854">
            <w:pPr>
              <w:overflowPunct w:val="0"/>
              <w:jc w:val="center"/>
              <w:rPr>
                <w:color w:val="000000"/>
                <w:sz w:val="20"/>
                <w:highlight w:val="yellow"/>
              </w:rPr>
            </w:pPr>
            <w:r>
              <w:rPr>
                <w:color w:val="000000"/>
                <w:sz w:val="20"/>
                <w:szCs w:val="20"/>
              </w:rPr>
              <w:t>9</w:t>
            </w:r>
            <w:r w:rsidRPr="00185933">
              <w:rPr>
                <w:color w:val="000000"/>
                <w:sz w:val="20"/>
              </w:rPr>
              <w:t> 922 4</w:t>
            </w:r>
            <w:r>
              <w:rPr>
                <w:color w:val="000000"/>
                <w:sz w:val="20"/>
                <w:szCs w:val="20"/>
              </w:rPr>
              <w:t>00</w:t>
            </w:r>
          </w:p>
        </w:tc>
        <w:tc>
          <w:tcPr>
            <w:tcW w:w="2181" w:type="dxa"/>
            <w:shd w:val="clear" w:color="auto" w:fill="auto"/>
            <w:noWrap/>
            <w:vAlign w:val="center"/>
          </w:tcPr>
          <w:p w14:paraId="32DAB08F" w14:textId="77777777" w:rsidR="00DB21C3" w:rsidRPr="001009C6" w:rsidRDefault="00DB21C3" w:rsidP="00AA3854">
            <w:pPr>
              <w:overflowPunct w:val="0"/>
              <w:jc w:val="center"/>
              <w:rPr>
                <w:rFonts w:eastAsia="Times New Roman"/>
                <w:color w:val="000000"/>
                <w:sz w:val="20"/>
                <w:szCs w:val="20"/>
              </w:rPr>
            </w:pPr>
            <w:r>
              <w:rPr>
                <w:color w:val="000000"/>
                <w:sz w:val="20"/>
                <w:szCs w:val="20"/>
              </w:rPr>
              <w:t>7 452 300</w:t>
            </w:r>
          </w:p>
        </w:tc>
        <w:tc>
          <w:tcPr>
            <w:tcW w:w="2410" w:type="dxa"/>
            <w:shd w:val="clear" w:color="auto" w:fill="auto"/>
            <w:noWrap/>
            <w:vAlign w:val="center"/>
          </w:tcPr>
          <w:p w14:paraId="0AB43A57" w14:textId="77777777" w:rsidR="00DB21C3" w:rsidRPr="001009C6" w:rsidRDefault="00DB21C3" w:rsidP="00AA3854">
            <w:pPr>
              <w:overflowPunct w:val="0"/>
              <w:jc w:val="center"/>
              <w:rPr>
                <w:color w:val="000000"/>
                <w:sz w:val="20"/>
                <w:highlight w:val="yellow"/>
                <w:lang w:val="en-US"/>
              </w:rPr>
            </w:pPr>
            <w:r w:rsidRPr="00185933">
              <w:rPr>
                <w:color w:val="000000"/>
                <w:sz w:val="20"/>
              </w:rPr>
              <w:t>1</w:t>
            </w:r>
            <w:r>
              <w:rPr>
                <w:color w:val="000000"/>
                <w:sz w:val="20"/>
                <w:szCs w:val="20"/>
              </w:rPr>
              <w:t xml:space="preserve"> 713 000</w:t>
            </w:r>
          </w:p>
        </w:tc>
        <w:tc>
          <w:tcPr>
            <w:tcW w:w="2049" w:type="dxa"/>
            <w:shd w:val="clear" w:color="auto" w:fill="auto"/>
            <w:noWrap/>
            <w:vAlign w:val="center"/>
          </w:tcPr>
          <w:p w14:paraId="3F2ECDA8" w14:textId="77777777" w:rsidR="00DB21C3" w:rsidRPr="001009C6" w:rsidRDefault="00DB21C3" w:rsidP="00AA3854">
            <w:pPr>
              <w:overflowPunct w:val="0"/>
              <w:jc w:val="center"/>
              <w:rPr>
                <w:rFonts w:eastAsia="Times New Roman"/>
                <w:color w:val="000000"/>
                <w:sz w:val="20"/>
                <w:szCs w:val="20"/>
                <w:highlight w:val="yellow"/>
                <w:lang w:val="en-US"/>
              </w:rPr>
            </w:pPr>
            <w:r>
              <w:rPr>
                <w:color w:val="000000"/>
                <w:sz w:val="20"/>
                <w:szCs w:val="20"/>
              </w:rPr>
              <w:t xml:space="preserve"> 757 100</w:t>
            </w:r>
          </w:p>
        </w:tc>
      </w:tr>
      <w:tr w:rsidR="00DB21C3" w:rsidRPr="00444DF4" w14:paraId="59C041E0" w14:textId="77777777" w:rsidTr="00AA3854">
        <w:trPr>
          <w:trHeight w:val="283"/>
        </w:trPr>
        <w:tc>
          <w:tcPr>
            <w:tcW w:w="955" w:type="dxa"/>
            <w:shd w:val="clear" w:color="auto" w:fill="auto"/>
            <w:noWrap/>
            <w:vAlign w:val="bottom"/>
          </w:tcPr>
          <w:p w14:paraId="3AE8C971"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tcPr>
          <w:p w14:paraId="0F84BB2A" w14:textId="77777777" w:rsidR="00DB21C3" w:rsidRDefault="00DB21C3" w:rsidP="00AA3854">
            <w:pPr>
              <w:jc w:val="center"/>
              <w:rPr>
                <w:rFonts w:eastAsia="Times New Roman"/>
                <w:color w:val="000000"/>
                <w:sz w:val="20"/>
                <w:szCs w:val="20"/>
              </w:rPr>
            </w:pPr>
            <w:r>
              <w:rPr>
                <w:rFonts w:eastAsia="Times New Roman"/>
                <w:color w:val="000000"/>
                <w:sz w:val="20"/>
                <w:szCs w:val="20"/>
              </w:rPr>
              <w:t>Q3</w:t>
            </w:r>
          </w:p>
        </w:tc>
        <w:tc>
          <w:tcPr>
            <w:tcW w:w="1792" w:type="dxa"/>
            <w:shd w:val="clear" w:color="auto" w:fill="auto"/>
            <w:noWrap/>
            <w:vAlign w:val="center"/>
          </w:tcPr>
          <w:p w14:paraId="720CE14B" w14:textId="77777777" w:rsidR="00DB21C3" w:rsidRPr="001009C6" w:rsidRDefault="00DB21C3" w:rsidP="00AA3854">
            <w:pPr>
              <w:overflowPunct w:val="0"/>
              <w:jc w:val="center"/>
              <w:rPr>
                <w:color w:val="000000"/>
                <w:sz w:val="20"/>
                <w:highlight w:val="yellow"/>
              </w:rPr>
            </w:pPr>
            <w:r>
              <w:rPr>
                <w:color w:val="000000"/>
                <w:sz w:val="20"/>
                <w:szCs w:val="20"/>
              </w:rPr>
              <w:t>11 437 500</w:t>
            </w:r>
          </w:p>
        </w:tc>
        <w:tc>
          <w:tcPr>
            <w:tcW w:w="2181" w:type="dxa"/>
            <w:shd w:val="clear" w:color="auto" w:fill="auto"/>
            <w:noWrap/>
            <w:vAlign w:val="center"/>
          </w:tcPr>
          <w:p w14:paraId="732BEC6F" w14:textId="77777777" w:rsidR="00DB21C3" w:rsidRPr="001009C6" w:rsidRDefault="00DB21C3" w:rsidP="00AA3854">
            <w:pPr>
              <w:overflowPunct w:val="0"/>
              <w:jc w:val="center"/>
              <w:rPr>
                <w:rFonts w:eastAsia="Times New Roman"/>
                <w:color w:val="000000"/>
                <w:sz w:val="20"/>
                <w:szCs w:val="20"/>
              </w:rPr>
            </w:pPr>
            <w:r>
              <w:rPr>
                <w:color w:val="000000"/>
                <w:sz w:val="20"/>
                <w:szCs w:val="20"/>
              </w:rPr>
              <w:t>9 095 700</w:t>
            </w:r>
          </w:p>
        </w:tc>
        <w:tc>
          <w:tcPr>
            <w:tcW w:w="2410" w:type="dxa"/>
            <w:shd w:val="clear" w:color="auto" w:fill="auto"/>
            <w:noWrap/>
            <w:vAlign w:val="center"/>
          </w:tcPr>
          <w:p w14:paraId="771A57A1" w14:textId="77777777" w:rsidR="00DB21C3" w:rsidRPr="001009C6" w:rsidRDefault="00DB21C3" w:rsidP="00AA3854">
            <w:pPr>
              <w:overflowPunct w:val="0"/>
              <w:jc w:val="center"/>
              <w:rPr>
                <w:color w:val="000000"/>
                <w:sz w:val="20"/>
                <w:highlight w:val="yellow"/>
                <w:lang w:val="en-US"/>
              </w:rPr>
            </w:pPr>
            <w:r w:rsidRPr="00185933">
              <w:rPr>
                <w:color w:val="000000"/>
                <w:sz w:val="20"/>
              </w:rPr>
              <w:t>1</w:t>
            </w:r>
            <w:r>
              <w:rPr>
                <w:color w:val="000000"/>
                <w:sz w:val="20"/>
                <w:szCs w:val="20"/>
              </w:rPr>
              <w:t xml:space="preserve"> 662 900</w:t>
            </w:r>
          </w:p>
        </w:tc>
        <w:tc>
          <w:tcPr>
            <w:tcW w:w="2049" w:type="dxa"/>
            <w:shd w:val="clear" w:color="auto" w:fill="auto"/>
            <w:noWrap/>
            <w:vAlign w:val="center"/>
          </w:tcPr>
          <w:p w14:paraId="48A0BEB0" w14:textId="77777777" w:rsidR="00DB21C3" w:rsidRPr="001009C6" w:rsidRDefault="00DB21C3" w:rsidP="00AA3854">
            <w:pPr>
              <w:overflowPunct w:val="0"/>
              <w:jc w:val="center"/>
              <w:rPr>
                <w:rFonts w:eastAsia="Times New Roman"/>
                <w:color w:val="000000"/>
                <w:sz w:val="20"/>
                <w:szCs w:val="20"/>
                <w:highlight w:val="yellow"/>
                <w:lang w:val="en-US"/>
              </w:rPr>
            </w:pPr>
            <w:r>
              <w:rPr>
                <w:color w:val="000000"/>
                <w:sz w:val="20"/>
                <w:szCs w:val="20"/>
              </w:rPr>
              <w:t xml:space="preserve"> 679 </w:t>
            </w:r>
            <w:r w:rsidRPr="00185933">
              <w:rPr>
                <w:color w:val="000000"/>
                <w:sz w:val="20"/>
              </w:rPr>
              <w:t>000</w:t>
            </w:r>
          </w:p>
        </w:tc>
      </w:tr>
      <w:tr w:rsidR="00DB21C3" w:rsidRPr="00444DF4" w14:paraId="02A07B66" w14:textId="77777777" w:rsidTr="00AA3854">
        <w:trPr>
          <w:trHeight w:val="283"/>
        </w:trPr>
        <w:tc>
          <w:tcPr>
            <w:tcW w:w="955" w:type="dxa"/>
            <w:shd w:val="clear" w:color="auto" w:fill="auto"/>
            <w:noWrap/>
            <w:vAlign w:val="bottom"/>
          </w:tcPr>
          <w:p w14:paraId="3FAC0358" w14:textId="77777777" w:rsidR="00DB21C3" w:rsidRPr="00444DF4" w:rsidRDefault="00DB21C3" w:rsidP="00AA3854">
            <w:pPr>
              <w:jc w:val="center"/>
              <w:rPr>
                <w:rFonts w:eastAsia="Times New Roman"/>
                <w:color w:val="000000"/>
                <w:sz w:val="20"/>
                <w:szCs w:val="20"/>
              </w:rPr>
            </w:pPr>
          </w:p>
        </w:tc>
        <w:tc>
          <w:tcPr>
            <w:tcW w:w="805" w:type="dxa"/>
            <w:shd w:val="clear" w:color="auto" w:fill="auto"/>
            <w:noWrap/>
            <w:vAlign w:val="bottom"/>
          </w:tcPr>
          <w:p w14:paraId="4509200F" w14:textId="77777777" w:rsidR="00DB21C3" w:rsidRPr="001009C6" w:rsidRDefault="00DB21C3" w:rsidP="00AA3854">
            <w:pPr>
              <w:jc w:val="center"/>
              <w:rPr>
                <w:rFonts w:eastAsia="Times New Roman"/>
                <w:color w:val="000000"/>
                <w:sz w:val="20"/>
                <w:szCs w:val="20"/>
                <w:lang w:val="en-US"/>
              </w:rPr>
            </w:pPr>
            <w:r>
              <w:rPr>
                <w:rFonts w:eastAsia="Times New Roman"/>
                <w:color w:val="000000"/>
                <w:sz w:val="20"/>
                <w:szCs w:val="20"/>
                <w:lang w:val="en-US"/>
              </w:rPr>
              <w:t>Q4</w:t>
            </w:r>
          </w:p>
        </w:tc>
        <w:tc>
          <w:tcPr>
            <w:tcW w:w="1792" w:type="dxa"/>
            <w:shd w:val="clear" w:color="auto" w:fill="auto"/>
            <w:noWrap/>
            <w:vAlign w:val="bottom"/>
          </w:tcPr>
          <w:p w14:paraId="0A1FB82B" w14:textId="338E83AB" w:rsidR="00DB21C3" w:rsidRPr="0017301F" w:rsidRDefault="00DB21C3" w:rsidP="008250B8">
            <w:pPr>
              <w:overflowPunct w:val="0"/>
              <w:jc w:val="center"/>
              <w:rPr>
                <w:color w:val="000000"/>
                <w:sz w:val="20"/>
              </w:rPr>
            </w:pPr>
            <w:r>
              <w:rPr>
                <w:color w:val="000000"/>
                <w:sz w:val="20"/>
              </w:rPr>
              <w:t>11</w:t>
            </w:r>
            <w:r>
              <w:rPr>
                <w:color w:val="000000"/>
                <w:sz w:val="20"/>
                <w:lang w:val="en-US"/>
              </w:rPr>
              <w:t> </w:t>
            </w:r>
            <w:r>
              <w:rPr>
                <w:color w:val="000000"/>
                <w:sz w:val="20"/>
              </w:rPr>
              <w:t>914</w:t>
            </w:r>
            <w:r>
              <w:rPr>
                <w:color w:val="000000"/>
                <w:sz w:val="20"/>
                <w:lang w:val="en-US"/>
              </w:rPr>
              <w:t> </w:t>
            </w:r>
            <w:r w:rsidR="00751C98">
              <w:rPr>
                <w:color w:val="000000"/>
                <w:sz w:val="20"/>
              </w:rPr>
              <w:t>0</w:t>
            </w:r>
            <w:r w:rsidR="008250B8">
              <w:rPr>
                <w:color w:val="000000"/>
                <w:sz w:val="20"/>
              </w:rPr>
              <w:t>00</w:t>
            </w:r>
          </w:p>
        </w:tc>
        <w:tc>
          <w:tcPr>
            <w:tcW w:w="2181" w:type="dxa"/>
            <w:shd w:val="clear" w:color="auto" w:fill="auto"/>
            <w:noWrap/>
            <w:vAlign w:val="bottom"/>
          </w:tcPr>
          <w:p w14:paraId="7DE8FF7E" w14:textId="2157E48F" w:rsidR="00DB21C3" w:rsidRPr="0017301F" w:rsidRDefault="00DB21C3" w:rsidP="008250B8">
            <w:pPr>
              <w:overflowPunct w:val="0"/>
              <w:jc w:val="center"/>
              <w:rPr>
                <w:color w:val="000000"/>
                <w:sz w:val="20"/>
              </w:rPr>
            </w:pPr>
            <w:r>
              <w:rPr>
                <w:color w:val="000000"/>
                <w:sz w:val="20"/>
              </w:rPr>
              <w:t>8 79</w:t>
            </w:r>
            <w:r w:rsidR="00751C98">
              <w:rPr>
                <w:color w:val="000000"/>
                <w:sz w:val="20"/>
              </w:rPr>
              <w:t>7</w:t>
            </w:r>
            <w:r>
              <w:rPr>
                <w:color w:val="000000"/>
                <w:sz w:val="20"/>
                <w:lang w:val="en-US"/>
              </w:rPr>
              <w:t> </w:t>
            </w:r>
            <w:r w:rsidR="00751C98">
              <w:rPr>
                <w:color w:val="000000"/>
                <w:sz w:val="20"/>
              </w:rPr>
              <w:t>0</w:t>
            </w:r>
            <w:r w:rsidR="008250B8">
              <w:rPr>
                <w:color w:val="000000"/>
                <w:sz w:val="20"/>
              </w:rPr>
              <w:t>00</w:t>
            </w:r>
          </w:p>
        </w:tc>
        <w:tc>
          <w:tcPr>
            <w:tcW w:w="2410" w:type="dxa"/>
            <w:shd w:val="clear" w:color="auto" w:fill="auto"/>
            <w:noWrap/>
            <w:vAlign w:val="bottom"/>
          </w:tcPr>
          <w:p w14:paraId="6E9E759D" w14:textId="50FE36EB" w:rsidR="00DB21C3" w:rsidRPr="0017301F" w:rsidRDefault="00DB21C3" w:rsidP="008250B8">
            <w:pPr>
              <w:overflowPunct w:val="0"/>
              <w:jc w:val="center"/>
              <w:rPr>
                <w:color w:val="000000"/>
                <w:sz w:val="20"/>
                <w:lang w:val="en-US"/>
              </w:rPr>
            </w:pPr>
            <w:r>
              <w:rPr>
                <w:color w:val="000000"/>
                <w:sz w:val="20"/>
                <w:lang w:val="en-US"/>
              </w:rPr>
              <w:t>2 </w:t>
            </w:r>
            <w:r w:rsidR="00751C98">
              <w:rPr>
                <w:color w:val="000000"/>
                <w:sz w:val="20"/>
                <w:lang w:val="en-US"/>
              </w:rPr>
              <w:t>133</w:t>
            </w:r>
            <w:r>
              <w:rPr>
                <w:color w:val="000000"/>
                <w:sz w:val="20"/>
                <w:lang w:val="en-US"/>
              </w:rPr>
              <w:t> </w:t>
            </w:r>
            <w:r w:rsidR="00751C98">
              <w:rPr>
                <w:color w:val="000000"/>
                <w:sz w:val="20"/>
                <w:lang w:val="en-US"/>
              </w:rPr>
              <w:t>9</w:t>
            </w:r>
            <w:r w:rsidR="008250B8">
              <w:rPr>
                <w:color w:val="000000"/>
                <w:sz w:val="20"/>
                <w:lang w:val="en-US"/>
              </w:rPr>
              <w:t>00</w:t>
            </w:r>
          </w:p>
        </w:tc>
        <w:tc>
          <w:tcPr>
            <w:tcW w:w="2049" w:type="dxa"/>
            <w:shd w:val="clear" w:color="auto" w:fill="auto"/>
            <w:noWrap/>
            <w:vAlign w:val="bottom"/>
          </w:tcPr>
          <w:p w14:paraId="5012F727" w14:textId="2250D266" w:rsidR="00DB21C3" w:rsidRPr="00085A1A" w:rsidRDefault="002D5140" w:rsidP="008250B8">
            <w:pPr>
              <w:overflowPunct w:val="0"/>
              <w:jc w:val="center"/>
              <w:rPr>
                <w:rFonts w:eastAsia="Times New Roman"/>
                <w:color w:val="000000"/>
                <w:sz w:val="20"/>
                <w:szCs w:val="20"/>
                <w:lang w:val="en-US"/>
              </w:rPr>
            </w:pPr>
            <w:r>
              <w:rPr>
                <w:rFonts w:eastAsia="Times New Roman"/>
                <w:color w:val="000000"/>
                <w:sz w:val="20"/>
                <w:szCs w:val="20"/>
                <w:lang w:val="en-US"/>
              </w:rPr>
              <w:t xml:space="preserve"> </w:t>
            </w:r>
            <w:r w:rsidR="00751C98">
              <w:rPr>
                <w:rFonts w:eastAsia="Times New Roman"/>
                <w:color w:val="000000"/>
                <w:sz w:val="20"/>
                <w:szCs w:val="20"/>
                <w:lang w:val="en-US"/>
              </w:rPr>
              <w:t>983 200</w:t>
            </w:r>
          </w:p>
        </w:tc>
      </w:tr>
    </w:tbl>
    <w:p w14:paraId="4C354B0D" w14:textId="600DA720" w:rsidR="0046197A" w:rsidRPr="008C32F6" w:rsidRDefault="0046197A" w:rsidP="0046197A">
      <w:pPr>
        <w:tabs>
          <w:tab w:val="left" w:pos="426"/>
          <w:tab w:val="left" w:pos="851"/>
        </w:tabs>
        <w:snapToGrid w:val="0"/>
        <w:spacing w:beforeLines="30" w:before="72" w:line="240" w:lineRule="exact"/>
        <w:ind w:left="1418" w:right="29" w:hanging="1418"/>
        <w:jc w:val="both"/>
        <w:rPr>
          <w:color w:val="000000"/>
          <w:sz w:val="22"/>
          <w:szCs w:val="28"/>
        </w:rPr>
      </w:pPr>
      <w:proofErr w:type="gramStart"/>
      <w:r w:rsidRPr="008C32F6">
        <w:rPr>
          <w:color w:val="000000"/>
          <w:sz w:val="22"/>
          <w:szCs w:val="28"/>
        </w:rPr>
        <w:t>Notes :</w:t>
      </w:r>
      <w:proofErr w:type="gramEnd"/>
      <w:r w:rsidRPr="008C32F6">
        <w:rPr>
          <w:color w:val="000000"/>
          <w:sz w:val="22"/>
          <w:szCs w:val="28"/>
        </w:rPr>
        <w:tab/>
        <w:t>(*)</w:t>
      </w:r>
      <w:r w:rsidRPr="008C32F6">
        <w:rPr>
          <w:color w:val="000000"/>
          <w:sz w:val="22"/>
          <w:szCs w:val="28"/>
        </w:rPr>
        <w:tab/>
        <w:t xml:space="preserve">See note </w:t>
      </w:r>
      <w:r w:rsidRPr="00E042C7">
        <w:rPr>
          <w:color w:val="000000"/>
          <w:sz w:val="22"/>
          <w:szCs w:val="28"/>
        </w:rPr>
        <w:t>(</w:t>
      </w:r>
      <w:r w:rsidR="00F309DA">
        <w:rPr>
          <w:color w:val="000000"/>
          <w:sz w:val="22"/>
          <w:szCs w:val="28"/>
        </w:rPr>
        <w:t>5</w:t>
      </w:r>
      <w:r w:rsidRPr="00E042C7">
        <w:rPr>
          <w:color w:val="000000"/>
          <w:sz w:val="22"/>
          <w:szCs w:val="28"/>
        </w:rPr>
        <w:t>)</w:t>
      </w:r>
      <w:r w:rsidRPr="008C32F6">
        <w:rPr>
          <w:color w:val="000000"/>
          <w:sz w:val="22"/>
          <w:szCs w:val="28"/>
        </w:rPr>
        <w:t xml:space="preserve"> at the end of this chapter for the definitions of other short-haul and long</w:t>
      </w:r>
      <w:r w:rsidRPr="008C32F6">
        <w:rPr>
          <w:color w:val="000000"/>
          <w:sz w:val="22"/>
          <w:szCs w:val="28"/>
        </w:rPr>
        <w:noBreakHyphen/>
        <w:t>haul markets.</w:t>
      </w:r>
    </w:p>
    <w:p w14:paraId="338D1EF8" w14:textId="342D7D87" w:rsidR="0046197A" w:rsidRPr="008250B8" w:rsidRDefault="0046197A" w:rsidP="00DB21C3">
      <w:pPr>
        <w:tabs>
          <w:tab w:val="left" w:pos="426"/>
          <w:tab w:val="left" w:pos="851"/>
        </w:tabs>
        <w:snapToGrid w:val="0"/>
        <w:spacing w:beforeLines="30" w:before="72" w:line="240" w:lineRule="exact"/>
        <w:ind w:left="851" w:right="29" w:hanging="851"/>
        <w:jc w:val="both"/>
        <w:rPr>
          <w:color w:val="000000"/>
          <w:sz w:val="22"/>
          <w:szCs w:val="28"/>
        </w:rPr>
      </w:pPr>
      <w:r w:rsidRPr="008250B8">
        <w:rPr>
          <w:color w:val="000000"/>
          <w:sz w:val="22"/>
          <w:szCs w:val="28"/>
        </w:rPr>
        <w:tab/>
      </w:r>
      <w:r w:rsidRPr="008250B8">
        <w:rPr>
          <w:color w:val="000000"/>
          <w:sz w:val="22"/>
          <w:szCs w:val="28"/>
        </w:rPr>
        <w:tab/>
      </w:r>
      <w:r w:rsidR="00402867" w:rsidRPr="001E5733">
        <w:rPr>
          <w:color w:val="000000"/>
          <w:sz w:val="22"/>
        </w:rPr>
        <w:t xml:space="preserve">The requirement for visitors to furnish an arrival or departure card is cancelled with immediate effect on 16 October 2024 as stipulated in </w:t>
      </w:r>
      <w:r w:rsidR="00AF6B01" w:rsidRPr="001E5733">
        <w:rPr>
          <w:color w:val="000000"/>
          <w:sz w:val="22"/>
        </w:rPr>
        <w:t xml:space="preserve">the 2024 </w:t>
      </w:r>
      <w:r w:rsidR="00402867" w:rsidRPr="001E5733">
        <w:rPr>
          <w:color w:val="000000"/>
          <w:sz w:val="22"/>
        </w:rPr>
        <w:t>Policy Address, to facilitate a faster and more convenient immigration clearance.  “Place of residence” data derived solely from arrival cards is no longer available.  The classification method of this table has been changed from by country/region of residence to by nationality/region.</w:t>
      </w:r>
      <w:r w:rsidR="00DB21C3" w:rsidRPr="008250B8">
        <w:rPr>
          <w:color w:val="000000"/>
          <w:sz w:val="22"/>
        </w:rPr>
        <w:t xml:space="preserve">  </w:t>
      </w:r>
      <w:r w:rsidRPr="008250B8">
        <w:rPr>
          <w:color w:val="000000"/>
          <w:sz w:val="22"/>
          <w:szCs w:val="28"/>
        </w:rPr>
        <w:t xml:space="preserve">Figures may not add up to the corresponding totals due to rounding. </w:t>
      </w:r>
    </w:p>
    <w:p w14:paraId="0AEA4680" w14:textId="7DEFF46C" w:rsidR="008C32F6" w:rsidRPr="00BA092E" w:rsidRDefault="008C32F6" w:rsidP="008C32F6">
      <w:pPr>
        <w:tabs>
          <w:tab w:val="left" w:pos="1080"/>
        </w:tabs>
        <w:overflowPunct w:val="0"/>
        <w:spacing w:line="360" w:lineRule="atLeast"/>
        <w:jc w:val="both"/>
        <w:rPr>
          <w:color w:val="000000"/>
          <w:sz w:val="22"/>
          <w:szCs w:val="28"/>
          <w:shd w:val="pct15" w:color="auto" w:fill="FFFFFF"/>
        </w:rPr>
      </w:pPr>
    </w:p>
    <w:p w14:paraId="47E9E37D" w14:textId="77777777" w:rsidR="0046197A" w:rsidRPr="008250B8" w:rsidRDefault="0046197A" w:rsidP="0046197A">
      <w:pPr>
        <w:overflowPunct w:val="0"/>
        <w:spacing w:line="360" w:lineRule="atLeast"/>
        <w:jc w:val="center"/>
        <w:rPr>
          <w:rFonts w:eastAsia="Times New Roman"/>
          <w:b/>
          <w:color w:val="000000"/>
          <w:sz w:val="28"/>
          <w:szCs w:val="28"/>
        </w:rPr>
      </w:pPr>
      <w:r w:rsidRPr="00BA092E">
        <w:rPr>
          <w:color w:val="000000"/>
          <w:sz w:val="28"/>
          <w:szCs w:val="28"/>
          <w:highlight w:val="yellow"/>
          <w:shd w:val="pct15" w:color="auto" w:fill="FFFFFF"/>
        </w:rPr>
        <w:br w:type="page"/>
      </w:r>
      <w:r w:rsidRPr="008250B8">
        <w:rPr>
          <w:rFonts w:eastAsia="Times New Roman"/>
          <w:b/>
          <w:color w:val="000000"/>
          <w:sz w:val="28"/>
          <w:szCs w:val="28"/>
        </w:rPr>
        <w:lastRenderedPageBreak/>
        <w:t xml:space="preserve">Table </w:t>
      </w:r>
      <w:proofErr w:type="gramStart"/>
      <w:r w:rsidRPr="008250B8">
        <w:rPr>
          <w:rFonts w:eastAsia="Times New Roman"/>
          <w:b/>
          <w:color w:val="000000"/>
          <w:sz w:val="28"/>
          <w:szCs w:val="28"/>
        </w:rPr>
        <w:t>4.2 :</w:t>
      </w:r>
      <w:proofErr w:type="gramEnd"/>
      <w:r w:rsidRPr="008250B8">
        <w:rPr>
          <w:rFonts w:eastAsia="Times New Roman"/>
          <w:b/>
          <w:color w:val="000000"/>
          <w:sz w:val="28"/>
          <w:szCs w:val="28"/>
        </w:rPr>
        <w:t xml:space="preserve"> Number of overnight and same-day visitor arrivals</w:t>
      </w:r>
    </w:p>
    <w:p w14:paraId="72C9129E" w14:textId="0BF56851" w:rsidR="0046197A" w:rsidRPr="008250B8" w:rsidRDefault="0046197A" w:rsidP="0046197A">
      <w:pPr>
        <w:jc w:val="center"/>
        <w:rPr>
          <w:rFonts w:eastAsia="Times New Roman"/>
          <w:b/>
          <w:color w:val="000000"/>
          <w:sz w:val="20"/>
          <w:szCs w:val="20"/>
        </w:rPr>
      </w:pPr>
    </w:p>
    <w:tbl>
      <w:tblPr>
        <w:tblW w:w="7189" w:type="dxa"/>
        <w:jc w:val="center"/>
        <w:tblLook w:val="04A0" w:firstRow="1" w:lastRow="0" w:firstColumn="1" w:lastColumn="0" w:noHBand="0" w:noVBand="1"/>
      </w:tblPr>
      <w:tblGrid>
        <w:gridCol w:w="1136"/>
        <w:gridCol w:w="961"/>
        <w:gridCol w:w="2552"/>
        <w:gridCol w:w="2540"/>
      </w:tblGrid>
      <w:tr w:rsidR="008C32F6" w:rsidRPr="008250B8" w14:paraId="7904CCA6" w14:textId="77777777" w:rsidTr="00AA3854">
        <w:trPr>
          <w:trHeight w:val="246"/>
          <w:jc w:val="center"/>
        </w:trPr>
        <w:tc>
          <w:tcPr>
            <w:tcW w:w="1136" w:type="dxa"/>
            <w:shd w:val="clear" w:color="auto" w:fill="auto"/>
            <w:noWrap/>
            <w:vAlign w:val="bottom"/>
            <w:hideMark/>
          </w:tcPr>
          <w:p w14:paraId="37B65047" w14:textId="77777777" w:rsidR="008C32F6" w:rsidRPr="008250B8" w:rsidRDefault="008C32F6" w:rsidP="00AA3854">
            <w:pPr>
              <w:jc w:val="center"/>
              <w:rPr>
                <w:rFonts w:eastAsia="Times New Roman"/>
                <w:sz w:val="20"/>
                <w:szCs w:val="20"/>
              </w:rPr>
            </w:pPr>
          </w:p>
        </w:tc>
        <w:tc>
          <w:tcPr>
            <w:tcW w:w="961" w:type="dxa"/>
            <w:shd w:val="clear" w:color="auto" w:fill="auto"/>
            <w:noWrap/>
            <w:vAlign w:val="bottom"/>
            <w:hideMark/>
          </w:tcPr>
          <w:p w14:paraId="68328683" w14:textId="77777777" w:rsidR="008C32F6" w:rsidRPr="008250B8" w:rsidRDefault="008C32F6" w:rsidP="00AA3854">
            <w:pPr>
              <w:jc w:val="center"/>
              <w:rPr>
                <w:rFonts w:eastAsia="Times New Roman"/>
                <w:sz w:val="20"/>
                <w:szCs w:val="20"/>
              </w:rPr>
            </w:pPr>
          </w:p>
        </w:tc>
        <w:tc>
          <w:tcPr>
            <w:tcW w:w="2552" w:type="dxa"/>
            <w:shd w:val="clear" w:color="auto" w:fill="auto"/>
            <w:noWrap/>
            <w:vAlign w:val="bottom"/>
            <w:hideMark/>
          </w:tcPr>
          <w:p w14:paraId="755F3DCE" w14:textId="77777777" w:rsidR="008C32F6" w:rsidRPr="008250B8" w:rsidRDefault="008C32F6" w:rsidP="00AA3854">
            <w:pPr>
              <w:jc w:val="center"/>
              <w:rPr>
                <w:rFonts w:eastAsia="Times New Roman"/>
                <w:color w:val="000000"/>
                <w:sz w:val="20"/>
                <w:szCs w:val="20"/>
                <w:u w:val="single"/>
              </w:rPr>
            </w:pPr>
            <w:r w:rsidRPr="008250B8">
              <w:rPr>
                <w:rFonts w:eastAsia="Times New Roman"/>
                <w:color w:val="000000"/>
                <w:sz w:val="20"/>
                <w:szCs w:val="20"/>
                <w:u w:val="single"/>
              </w:rPr>
              <w:t>Overnight visitor arrivals</w:t>
            </w:r>
          </w:p>
        </w:tc>
        <w:tc>
          <w:tcPr>
            <w:tcW w:w="2540" w:type="dxa"/>
            <w:shd w:val="clear" w:color="auto" w:fill="auto"/>
            <w:noWrap/>
            <w:vAlign w:val="bottom"/>
            <w:hideMark/>
          </w:tcPr>
          <w:p w14:paraId="61D30F74" w14:textId="77777777" w:rsidR="008C32F6" w:rsidRPr="008250B8" w:rsidRDefault="008C32F6" w:rsidP="00AA3854">
            <w:pPr>
              <w:jc w:val="center"/>
              <w:rPr>
                <w:rFonts w:eastAsia="Times New Roman"/>
                <w:color w:val="000000"/>
                <w:sz w:val="20"/>
                <w:szCs w:val="20"/>
                <w:u w:val="single"/>
              </w:rPr>
            </w:pPr>
            <w:r w:rsidRPr="008250B8">
              <w:rPr>
                <w:rFonts w:eastAsia="Times New Roman"/>
                <w:color w:val="000000"/>
                <w:sz w:val="20"/>
                <w:szCs w:val="20"/>
                <w:u w:val="single"/>
              </w:rPr>
              <w:t>Same-day visitor arrivals</w:t>
            </w:r>
          </w:p>
        </w:tc>
      </w:tr>
      <w:tr w:rsidR="008C32F6" w:rsidRPr="008250B8" w14:paraId="059466D0" w14:textId="77777777" w:rsidTr="00AA3854">
        <w:trPr>
          <w:trHeight w:val="70"/>
          <w:jc w:val="center"/>
        </w:trPr>
        <w:tc>
          <w:tcPr>
            <w:tcW w:w="1136" w:type="dxa"/>
            <w:shd w:val="clear" w:color="auto" w:fill="auto"/>
            <w:noWrap/>
            <w:vAlign w:val="bottom"/>
          </w:tcPr>
          <w:p w14:paraId="482BF1A4" w14:textId="77777777" w:rsidR="008C32F6" w:rsidRPr="008250B8" w:rsidRDefault="008C32F6" w:rsidP="00AA3854">
            <w:pPr>
              <w:jc w:val="center"/>
              <w:rPr>
                <w:rFonts w:eastAsia="Times New Roman"/>
                <w:color w:val="000000"/>
                <w:sz w:val="4"/>
                <w:szCs w:val="20"/>
              </w:rPr>
            </w:pPr>
          </w:p>
        </w:tc>
        <w:tc>
          <w:tcPr>
            <w:tcW w:w="961" w:type="dxa"/>
            <w:shd w:val="clear" w:color="auto" w:fill="auto"/>
            <w:noWrap/>
            <w:vAlign w:val="bottom"/>
          </w:tcPr>
          <w:p w14:paraId="58E20BCD" w14:textId="77777777" w:rsidR="008C32F6" w:rsidRPr="008250B8" w:rsidRDefault="008C32F6" w:rsidP="00AA3854">
            <w:pPr>
              <w:jc w:val="center"/>
              <w:rPr>
                <w:rFonts w:eastAsia="Times New Roman"/>
                <w:color w:val="000000"/>
                <w:sz w:val="4"/>
                <w:szCs w:val="20"/>
              </w:rPr>
            </w:pPr>
          </w:p>
        </w:tc>
        <w:tc>
          <w:tcPr>
            <w:tcW w:w="2552" w:type="dxa"/>
            <w:shd w:val="clear" w:color="auto" w:fill="auto"/>
            <w:noWrap/>
            <w:vAlign w:val="bottom"/>
          </w:tcPr>
          <w:p w14:paraId="72EB8E89" w14:textId="77777777" w:rsidR="008C32F6" w:rsidRPr="008250B8" w:rsidRDefault="008C32F6" w:rsidP="00AA3854">
            <w:pPr>
              <w:jc w:val="center"/>
              <w:rPr>
                <w:rFonts w:eastAsia="Times New Roman"/>
                <w:color w:val="000000"/>
                <w:sz w:val="4"/>
                <w:szCs w:val="20"/>
              </w:rPr>
            </w:pPr>
          </w:p>
        </w:tc>
        <w:tc>
          <w:tcPr>
            <w:tcW w:w="2540" w:type="dxa"/>
            <w:shd w:val="clear" w:color="auto" w:fill="auto"/>
            <w:noWrap/>
            <w:vAlign w:val="bottom"/>
          </w:tcPr>
          <w:p w14:paraId="51C82085" w14:textId="77777777" w:rsidR="008C32F6" w:rsidRPr="008250B8" w:rsidRDefault="008C32F6" w:rsidP="00AA3854">
            <w:pPr>
              <w:jc w:val="center"/>
              <w:rPr>
                <w:rFonts w:eastAsia="Times New Roman"/>
                <w:color w:val="000000"/>
                <w:sz w:val="4"/>
                <w:szCs w:val="20"/>
              </w:rPr>
            </w:pPr>
          </w:p>
        </w:tc>
      </w:tr>
      <w:tr w:rsidR="008C32F6" w:rsidRPr="008250B8" w14:paraId="603D0DB8" w14:textId="77777777" w:rsidTr="00AA3854">
        <w:trPr>
          <w:trHeight w:val="70"/>
          <w:jc w:val="center"/>
        </w:trPr>
        <w:tc>
          <w:tcPr>
            <w:tcW w:w="1136" w:type="dxa"/>
            <w:shd w:val="clear" w:color="auto" w:fill="auto"/>
            <w:noWrap/>
            <w:vAlign w:val="bottom"/>
          </w:tcPr>
          <w:p w14:paraId="2938DA88" w14:textId="77777777" w:rsidR="008C32F6" w:rsidRPr="008250B8" w:rsidRDefault="008C32F6" w:rsidP="00AA3854">
            <w:pPr>
              <w:jc w:val="center"/>
              <w:rPr>
                <w:rFonts w:eastAsia="Times New Roman"/>
                <w:color w:val="000000"/>
                <w:sz w:val="10"/>
                <w:szCs w:val="20"/>
              </w:rPr>
            </w:pPr>
          </w:p>
        </w:tc>
        <w:tc>
          <w:tcPr>
            <w:tcW w:w="961" w:type="dxa"/>
            <w:shd w:val="clear" w:color="auto" w:fill="auto"/>
            <w:noWrap/>
            <w:vAlign w:val="bottom"/>
          </w:tcPr>
          <w:p w14:paraId="05246A41" w14:textId="77777777" w:rsidR="008C32F6" w:rsidRPr="008250B8" w:rsidRDefault="008C32F6" w:rsidP="00AA3854">
            <w:pPr>
              <w:jc w:val="center"/>
              <w:rPr>
                <w:rFonts w:eastAsia="Times New Roman"/>
                <w:color w:val="000000"/>
                <w:sz w:val="10"/>
                <w:szCs w:val="20"/>
              </w:rPr>
            </w:pPr>
          </w:p>
        </w:tc>
        <w:tc>
          <w:tcPr>
            <w:tcW w:w="2552" w:type="dxa"/>
            <w:shd w:val="clear" w:color="auto" w:fill="auto"/>
            <w:noWrap/>
            <w:vAlign w:val="bottom"/>
          </w:tcPr>
          <w:p w14:paraId="610CE0BB" w14:textId="77777777" w:rsidR="008C32F6" w:rsidRPr="008250B8" w:rsidRDefault="008C32F6" w:rsidP="00AA3854">
            <w:pPr>
              <w:jc w:val="center"/>
              <w:rPr>
                <w:rFonts w:eastAsia="Times New Roman"/>
                <w:color w:val="000000"/>
                <w:sz w:val="10"/>
                <w:szCs w:val="20"/>
              </w:rPr>
            </w:pPr>
          </w:p>
        </w:tc>
        <w:tc>
          <w:tcPr>
            <w:tcW w:w="2540" w:type="dxa"/>
            <w:shd w:val="clear" w:color="auto" w:fill="auto"/>
            <w:noWrap/>
            <w:vAlign w:val="bottom"/>
          </w:tcPr>
          <w:p w14:paraId="46164AB6" w14:textId="77777777" w:rsidR="008C32F6" w:rsidRPr="008250B8" w:rsidRDefault="008C32F6" w:rsidP="00AA3854">
            <w:pPr>
              <w:jc w:val="center"/>
              <w:rPr>
                <w:rFonts w:eastAsia="Times New Roman"/>
                <w:color w:val="000000"/>
                <w:sz w:val="10"/>
                <w:szCs w:val="20"/>
              </w:rPr>
            </w:pPr>
          </w:p>
        </w:tc>
      </w:tr>
      <w:tr w:rsidR="008C32F6" w:rsidRPr="008250B8" w14:paraId="3383B922" w14:textId="77777777" w:rsidTr="00AA3854">
        <w:trPr>
          <w:trHeight w:val="246"/>
          <w:jc w:val="center"/>
        </w:trPr>
        <w:tc>
          <w:tcPr>
            <w:tcW w:w="1136" w:type="dxa"/>
            <w:shd w:val="clear" w:color="auto" w:fill="auto"/>
            <w:noWrap/>
            <w:vAlign w:val="bottom"/>
            <w:hideMark/>
          </w:tcPr>
          <w:p w14:paraId="21443160"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2019</w:t>
            </w:r>
          </w:p>
        </w:tc>
        <w:tc>
          <w:tcPr>
            <w:tcW w:w="961" w:type="dxa"/>
            <w:shd w:val="clear" w:color="auto" w:fill="auto"/>
            <w:noWrap/>
            <w:vAlign w:val="bottom"/>
            <w:hideMark/>
          </w:tcPr>
          <w:p w14:paraId="5026E812"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Q1</w:t>
            </w:r>
          </w:p>
        </w:tc>
        <w:tc>
          <w:tcPr>
            <w:tcW w:w="2552" w:type="dxa"/>
            <w:shd w:val="clear" w:color="auto" w:fill="auto"/>
            <w:noWrap/>
            <w:vAlign w:val="bottom"/>
            <w:hideMark/>
          </w:tcPr>
          <w:p w14:paraId="7FA1DD37"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7 775 100</w:t>
            </w:r>
          </w:p>
        </w:tc>
        <w:tc>
          <w:tcPr>
            <w:tcW w:w="2540" w:type="dxa"/>
            <w:shd w:val="clear" w:color="auto" w:fill="auto"/>
            <w:noWrap/>
            <w:vAlign w:val="bottom"/>
            <w:hideMark/>
          </w:tcPr>
          <w:p w14:paraId="7FB08FA5"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10 459 300</w:t>
            </w:r>
          </w:p>
        </w:tc>
      </w:tr>
      <w:tr w:rsidR="008C32F6" w:rsidRPr="008250B8" w14:paraId="1C1B14A9" w14:textId="77777777" w:rsidTr="00AA3854">
        <w:trPr>
          <w:trHeight w:val="246"/>
          <w:jc w:val="center"/>
        </w:trPr>
        <w:tc>
          <w:tcPr>
            <w:tcW w:w="1136" w:type="dxa"/>
            <w:shd w:val="clear" w:color="auto" w:fill="auto"/>
            <w:noWrap/>
            <w:vAlign w:val="bottom"/>
            <w:hideMark/>
          </w:tcPr>
          <w:p w14:paraId="5F62217F" w14:textId="77777777" w:rsidR="008C32F6" w:rsidRPr="008250B8" w:rsidRDefault="008C32F6" w:rsidP="00AA3854">
            <w:pPr>
              <w:jc w:val="center"/>
              <w:rPr>
                <w:rFonts w:eastAsia="Times New Roman"/>
                <w:color w:val="000000"/>
                <w:sz w:val="20"/>
                <w:szCs w:val="20"/>
              </w:rPr>
            </w:pPr>
          </w:p>
        </w:tc>
        <w:tc>
          <w:tcPr>
            <w:tcW w:w="961" w:type="dxa"/>
            <w:shd w:val="clear" w:color="auto" w:fill="auto"/>
            <w:noWrap/>
            <w:vAlign w:val="bottom"/>
            <w:hideMark/>
          </w:tcPr>
          <w:p w14:paraId="52ABDE4D"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Q2</w:t>
            </w:r>
          </w:p>
        </w:tc>
        <w:tc>
          <w:tcPr>
            <w:tcW w:w="2552" w:type="dxa"/>
            <w:shd w:val="clear" w:color="auto" w:fill="auto"/>
            <w:noWrap/>
            <w:vAlign w:val="bottom"/>
            <w:hideMark/>
          </w:tcPr>
          <w:p w14:paraId="267C0FA8"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7 145 100</w:t>
            </w:r>
          </w:p>
        </w:tc>
        <w:tc>
          <w:tcPr>
            <w:tcW w:w="2540" w:type="dxa"/>
            <w:shd w:val="clear" w:color="auto" w:fill="auto"/>
            <w:noWrap/>
            <w:vAlign w:val="bottom"/>
            <w:hideMark/>
          </w:tcPr>
          <w:p w14:paraId="00717827"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9 492 400</w:t>
            </w:r>
          </w:p>
        </w:tc>
      </w:tr>
      <w:tr w:rsidR="008C32F6" w:rsidRPr="008250B8" w14:paraId="5150278A" w14:textId="77777777" w:rsidTr="00AA3854">
        <w:trPr>
          <w:trHeight w:val="246"/>
          <w:jc w:val="center"/>
        </w:trPr>
        <w:tc>
          <w:tcPr>
            <w:tcW w:w="1136" w:type="dxa"/>
            <w:shd w:val="clear" w:color="auto" w:fill="auto"/>
            <w:noWrap/>
            <w:vAlign w:val="bottom"/>
            <w:hideMark/>
          </w:tcPr>
          <w:p w14:paraId="55F45C7B" w14:textId="77777777" w:rsidR="008C32F6" w:rsidRPr="008250B8" w:rsidRDefault="008C32F6" w:rsidP="00AA3854">
            <w:pPr>
              <w:jc w:val="center"/>
              <w:rPr>
                <w:rFonts w:eastAsia="Times New Roman"/>
                <w:color w:val="000000"/>
                <w:sz w:val="20"/>
                <w:szCs w:val="20"/>
              </w:rPr>
            </w:pPr>
          </w:p>
        </w:tc>
        <w:tc>
          <w:tcPr>
            <w:tcW w:w="961" w:type="dxa"/>
            <w:shd w:val="clear" w:color="auto" w:fill="auto"/>
            <w:noWrap/>
            <w:vAlign w:val="bottom"/>
            <w:hideMark/>
          </w:tcPr>
          <w:p w14:paraId="1A8CABCC"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Q3</w:t>
            </w:r>
          </w:p>
        </w:tc>
        <w:tc>
          <w:tcPr>
            <w:tcW w:w="2552" w:type="dxa"/>
            <w:shd w:val="clear" w:color="auto" w:fill="auto"/>
            <w:noWrap/>
            <w:vAlign w:val="bottom"/>
            <w:hideMark/>
          </w:tcPr>
          <w:p w14:paraId="21A76975"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5 108 400</w:t>
            </w:r>
          </w:p>
        </w:tc>
        <w:tc>
          <w:tcPr>
            <w:tcW w:w="2540" w:type="dxa"/>
            <w:shd w:val="clear" w:color="auto" w:fill="auto"/>
            <w:noWrap/>
            <w:vAlign w:val="bottom"/>
            <w:hideMark/>
          </w:tcPr>
          <w:p w14:paraId="2E8577C2"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6 783 200</w:t>
            </w:r>
          </w:p>
        </w:tc>
      </w:tr>
      <w:tr w:rsidR="008C32F6" w:rsidRPr="008250B8" w14:paraId="24B09FB7" w14:textId="77777777" w:rsidTr="00AA3854">
        <w:trPr>
          <w:trHeight w:val="246"/>
          <w:jc w:val="center"/>
        </w:trPr>
        <w:tc>
          <w:tcPr>
            <w:tcW w:w="1136" w:type="dxa"/>
            <w:shd w:val="clear" w:color="auto" w:fill="auto"/>
            <w:noWrap/>
            <w:vAlign w:val="bottom"/>
          </w:tcPr>
          <w:p w14:paraId="0B09BFB7" w14:textId="77777777" w:rsidR="008C32F6" w:rsidRPr="008250B8" w:rsidRDefault="008C32F6" w:rsidP="00AA3854">
            <w:pPr>
              <w:jc w:val="center"/>
              <w:rPr>
                <w:rFonts w:eastAsia="Times New Roman"/>
                <w:color w:val="000000"/>
                <w:sz w:val="20"/>
                <w:szCs w:val="20"/>
              </w:rPr>
            </w:pPr>
          </w:p>
        </w:tc>
        <w:tc>
          <w:tcPr>
            <w:tcW w:w="961" w:type="dxa"/>
            <w:shd w:val="clear" w:color="auto" w:fill="auto"/>
            <w:noWrap/>
            <w:vAlign w:val="bottom"/>
          </w:tcPr>
          <w:p w14:paraId="100C7626"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Q4</w:t>
            </w:r>
          </w:p>
        </w:tc>
        <w:tc>
          <w:tcPr>
            <w:tcW w:w="2552" w:type="dxa"/>
            <w:shd w:val="clear" w:color="auto" w:fill="auto"/>
            <w:noWrap/>
            <w:vAlign w:val="bottom"/>
          </w:tcPr>
          <w:p w14:paraId="491D38CA"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3 723 700</w:t>
            </w:r>
          </w:p>
        </w:tc>
        <w:tc>
          <w:tcPr>
            <w:tcW w:w="2540" w:type="dxa"/>
            <w:shd w:val="clear" w:color="auto" w:fill="auto"/>
            <w:noWrap/>
            <w:vAlign w:val="bottom"/>
          </w:tcPr>
          <w:p w14:paraId="011884F0"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5 425 500</w:t>
            </w:r>
          </w:p>
        </w:tc>
      </w:tr>
      <w:tr w:rsidR="008C32F6" w:rsidRPr="008250B8" w14:paraId="3AC8006B" w14:textId="77777777" w:rsidTr="00AA3854">
        <w:trPr>
          <w:trHeight w:val="246"/>
          <w:jc w:val="center"/>
        </w:trPr>
        <w:tc>
          <w:tcPr>
            <w:tcW w:w="1136" w:type="dxa"/>
            <w:shd w:val="clear" w:color="auto" w:fill="auto"/>
            <w:noWrap/>
            <w:vAlign w:val="bottom"/>
          </w:tcPr>
          <w:p w14:paraId="26EBEF9F" w14:textId="77777777" w:rsidR="008C32F6" w:rsidRPr="008250B8" w:rsidRDefault="008C32F6" w:rsidP="00AA3854">
            <w:pPr>
              <w:jc w:val="center"/>
              <w:rPr>
                <w:rFonts w:eastAsia="Times New Roman"/>
                <w:color w:val="000000"/>
                <w:sz w:val="20"/>
                <w:szCs w:val="20"/>
              </w:rPr>
            </w:pPr>
          </w:p>
        </w:tc>
        <w:tc>
          <w:tcPr>
            <w:tcW w:w="961" w:type="dxa"/>
            <w:shd w:val="clear" w:color="auto" w:fill="auto"/>
            <w:noWrap/>
            <w:vAlign w:val="bottom"/>
          </w:tcPr>
          <w:p w14:paraId="44547852" w14:textId="77777777" w:rsidR="008C32F6" w:rsidRPr="008250B8" w:rsidRDefault="008C32F6" w:rsidP="00AA3854">
            <w:pPr>
              <w:jc w:val="center"/>
              <w:rPr>
                <w:rFonts w:eastAsia="Times New Roman"/>
                <w:color w:val="000000"/>
                <w:sz w:val="20"/>
                <w:szCs w:val="20"/>
              </w:rPr>
            </w:pPr>
          </w:p>
        </w:tc>
        <w:tc>
          <w:tcPr>
            <w:tcW w:w="2552" w:type="dxa"/>
            <w:shd w:val="clear" w:color="auto" w:fill="auto"/>
            <w:noWrap/>
            <w:vAlign w:val="bottom"/>
          </w:tcPr>
          <w:p w14:paraId="7798C3E8" w14:textId="77777777" w:rsidR="008C32F6" w:rsidRPr="008250B8" w:rsidRDefault="008C32F6" w:rsidP="00AA3854">
            <w:pPr>
              <w:jc w:val="center"/>
              <w:rPr>
                <w:rFonts w:eastAsia="Times New Roman"/>
                <w:color w:val="000000"/>
                <w:sz w:val="20"/>
                <w:szCs w:val="20"/>
              </w:rPr>
            </w:pPr>
          </w:p>
        </w:tc>
        <w:tc>
          <w:tcPr>
            <w:tcW w:w="2540" w:type="dxa"/>
            <w:shd w:val="clear" w:color="auto" w:fill="auto"/>
            <w:noWrap/>
            <w:vAlign w:val="bottom"/>
          </w:tcPr>
          <w:p w14:paraId="3AA082D5" w14:textId="77777777" w:rsidR="008C32F6" w:rsidRPr="008250B8" w:rsidRDefault="008C32F6" w:rsidP="00AA3854">
            <w:pPr>
              <w:jc w:val="center"/>
              <w:rPr>
                <w:rFonts w:eastAsia="Times New Roman"/>
                <w:color w:val="000000"/>
                <w:sz w:val="20"/>
                <w:szCs w:val="20"/>
              </w:rPr>
            </w:pPr>
          </w:p>
        </w:tc>
      </w:tr>
      <w:tr w:rsidR="008C32F6" w:rsidRPr="008250B8" w14:paraId="5E648A6D" w14:textId="77777777" w:rsidTr="00AA3854">
        <w:trPr>
          <w:trHeight w:val="246"/>
          <w:jc w:val="center"/>
        </w:trPr>
        <w:tc>
          <w:tcPr>
            <w:tcW w:w="1136" w:type="dxa"/>
            <w:shd w:val="clear" w:color="auto" w:fill="auto"/>
            <w:noWrap/>
            <w:vAlign w:val="bottom"/>
            <w:hideMark/>
          </w:tcPr>
          <w:p w14:paraId="25C4D6F3"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2020</w:t>
            </w:r>
          </w:p>
        </w:tc>
        <w:tc>
          <w:tcPr>
            <w:tcW w:w="961" w:type="dxa"/>
            <w:shd w:val="clear" w:color="auto" w:fill="auto"/>
            <w:noWrap/>
            <w:vAlign w:val="bottom"/>
            <w:hideMark/>
          </w:tcPr>
          <w:p w14:paraId="0B76E619"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Q1</w:t>
            </w:r>
          </w:p>
        </w:tc>
        <w:tc>
          <w:tcPr>
            <w:tcW w:w="2552" w:type="dxa"/>
            <w:shd w:val="clear" w:color="auto" w:fill="auto"/>
            <w:noWrap/>
            <w:vAlign w:val="bottom"/>
            <w:hideMark/>
          </w:tcPr>
          <w:p w14:paraId="6B65FAF0"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1 280 900</w:t>
            </w:r>
          </w:p>
        </w:tc>
        <w:tc>
          <w:tcPr>
            <w:tcW w:w="2540" w:type="dxa"/>
            <w:shd w:val="clear" w:color="auto" w:fill="auto"/>
            <w:noWrap/>
            <w:vAlign w:val="bottom"/>
            <w:hideMark/>
          </w:tcPr>
          <w:p w14:paraId="4258A952"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2 208 300</w:t>
            </w:r>
          </w:p>
        </w:tc>
      </w:tr>
      <w:tr w:rsidR="008C32F6" w:rsidRPr="008250B8" w14:paraId="1CC8F3D0" w14:textId="77777777" w:rsidTr="00AA3854">
        <w:trPr>
          <w:trHeight w:val="246"/>
          <w:jc w:val="center"/>
        </w:trPr>
        <w:tc>
          <w:tcPr>
            <w:tcW w:w="1136" w:type="dxa"/>
            <w:shd w:val="clear" w:color="auto" w:fill="auto"/>
            <w:noWrap/>
            <w:vAlign w:val="bottom"/>
            <w:hideMark/>
          </w:tcPr>
          <w:p w14:paraId="521F570E" w14:textId="77777777" w:rsidR="008C32F6" w:rsidRPr="008250B8" w:rsidRDefault="008C32F6" w:rsidP="00AA3854">
            <w:pPr>
              <w:jc w:val="center"/>
              <w:rPr>
                <w:rFonts w:eastAsia="Times New Roman"/>
                <w:color w:val="000000"/>
                <w:sz w:val="20"/>
                <w:szCs w:val="20"/>
              </w:rPr>
            </w:pPr>
          </w:p>
        </w:tc>
        <w:tc>
          <w:tcPr>
            <w:tcW w:w="961" w:type="dxa"/>
            <w:shd w:val="clear" w:color="auto" w:fill="auto"/>
            <w:noWrap/>
            <w:vAlign w:val="bottom"/>
            <w:hideMark/>
          </w:tcPr>
          <w:p w14:paraId="175B9DAA"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Q2</w:t>
            </w:r>
          </w:p>
        </w:tc>
        <w:tc>
          <w:tcPr>
            <w:tcW w:w="2552" w:type="dxa"/>
            <w:shd w:val="clear" w:color="auto" w:fill="auto"/>
            <w:noWrap/>
            <w:vAlign w:val="bottom"/>
            <w:hideMark/>
          </w:tcPr>
          <w:p w14:paraId="30BC339D"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26 500</w:t>
            </w:r>
          </w:p>
        </w:tc>
        <w:tc>
          <w:tcPr>
            <w:tcW w:w="2540" w:type="dxa"/>
            <w:shd w:val="clear" w:color="auto" w:fill="auto"/>
            <w:noWrap/>
            <w:vAlign w:val="bottom"/>
            <w:hideMark/>
          </w:tcPr>
          <w:p w14:paraId="3F14D1FF"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300</w:t>
            </w:r>
          </w:p>
        </w:tc>
      </w:tr>
      <w:tr w:rsidR="008C32F6" w:rsidRPr="008250B8" w14:paraId="64F88004" w14:textId="77777777" w:rsidTr="00AA3854">
        <w:trPr>
          <w:trHeight w:val="246"/>
          <w:jc w:val="center"/>
        </w:trPr>
        <w:tc>
          <w:tcPr>
            <w:tcW w:w="1136" w:type="dxa"/>
            <w:shd w:val="clear" w:color="auto" w:fill="auto"/>
            <w:noWrap/>
            <w:vAlign w:val="bottom"/>
            <w:hideMark/>
          </w:tcPr>
          <w:p w14:paraId="643E33AC" w14:textId="77777777" w:rsidR="008C32F6" w:rsidRPr="008250B8" w:rsidRDefault="008C32F6" w:rsidP="00AA3854">
            <w:pPr>
              <w:jc w:val="center"/>
              <w:rPr>
                <w:rFonts w:eastAsia="Times New Roman"/>
                <w:color w:val="000000"/>
                <w:sz w:val="20"/>
                <w:szCs w:val="20"/>
              </w:rPr>
            </w:pPr>
          </w:p>
        </w:tc>
        <w:tc>
          <w:tcPr>
            <w:tcW w:w="961" w:type="dxa"/>
            <w:shd w:val="clear" w:color="auto" w:fill="auto"/>
            <w:noWrap/>
            <w:vAlign w:val="bottom"/>
            <w:hideMark/>
          </w:tcPr>
          <w:p w14:paraId="415147C5"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Q3</w:t>
            </w:r>
          </w:p>
        </w:tc>
        <w:tc>
          <w:tcPr>
            <w:tcW w:w="2552" w:type="dxa"/>
            <w:shd w:val="clear" w:color="auto" w:fill="auto"/>
            <w:noWrap/>
            <w:vAlign w:val="bottom"/>
            <w:hideMark/>
          </w:tcPr>
          <w:p w14:paraId="663B14D3"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33 800</w:t>
            </w:r>
          </w:p>
        </w:tc>
        <w:tc>
          <w:tcPr>
            <w:tcW w:w="2540" w:type="dxa"/>
            <w:shd w:val="clear" w:color="auto" w:fill="auto"/>
            <w:noWrap/>
            <w:vAlign w:val="bottom"/>
            <w:hideMark/>
          </w:tcPr>
          <w:p w14:paraId="039ACEB4"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300</w:t>
            </w:r>
          </w:p>
        </w:tc>
      </w:tr>
      <w:tr w:rsidR="008C32F6" w:rsidRPr="008250B8" w14:paraId="693E3615" w14:textId="77777777" w:rsidTr="00AA3854">
        <w:trPr>
          <w:trHeight w:val="246"/>
          <w:jc w:val="center"/>
        </w:trPr>
        <w:tc>
          <w:tcPr>
            <w:tcW w:w="1136" w:type="dxa"/>
            <w:shd w:val="clear" w:color="auto" w:fill="auto"/>
            <w:noWrap/>
            <w:vAlign w:val="bottom"/>
          </w:tcPr>
          <w:p w14:paraId="2C54153C" w14:textId="77777777" w:rsidR="008C32F6" w:rsidRPr="008250B8" w:rsidRDefault="008C32F6" w:rsidP="00AA3854">
            <w:pPr>
              <w:jc w:val="center"/>
              <w:rPr>
                <w:rFonts w:eastAsia="Times New Roman"/>
                <w:color w:val="000000"/>
                <w:sz w:val="20"/>
                <w:szCs w:val="20"/>
              </w:rPr>
            </w:pPr>
          </w:p>
        </w:tc>
        <w:tc>
          <w:tcPr>
            <w:tcW w:w="961" w:type="dxa"/>
            <w:shd w:val="clear" w:color="auto" w:fill="auto"/>
            <w:noWrap/>
            <w:vAlign w:val="bottom"/>
          </w:tcPr>
          <w:p w14:paraId="30BF7B56"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Q4</w:t>
            </w:r>
          </w:p>
        </w:tc>
        <w:tc>
          <w:tcPr>
            <w:tcW w:w="2552" w:type="dxa"/>
            <w:shd w:val="clear" w:color="auto" w:fill="auto"/>
            <w:noWrap/>
            <w:vAlign w:val="bottom"/>
          </w:tcPr>
          <w:p w14:paraId="3CEB523B"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18 100</w:t>
            </w:r>
          </w:p>
        </w:tc>
        <w:tc>
          <w:tcPr>
            <w:tcW w:w="2540" w:type="dxa"/>
            <w:shd w:val="clear" w:color="auto" w:fill="auto"/>
            <w:noWrap/>
            <w:vAlign w:val="bottom"/>
          </w:tcPr>
          <w:p w14:paraId="2ABE7FEB"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500</w:t>
            </w:r>
          </w:p>
        </w:tc>
      </w:tr>
      <w:tr w:rsidR="008C32F6" w:rsidRPr="008250B8" w14:paraId="3EFA7BA9" w14:textId="77777777" w:rsidTr="00AA3854">
        <w:trPr>
          <w:trHeight w:val="246"/>
          <w:jc w:val="center"/>
        </w:trPr>
        <w:tc>
          <w:tcPr>
            <w:tcW w:w="1136" w:type="dxa"/>
            <w:shd w:val="clear" w:color="auto" w:fill="auto"/>
            <w:noWrap/>
            <w:vAlign w:val="bottom"/>
          </w:tcPr>
          <w:p w14:paraId="12ADAA0F" w14:textId="77777777" w:rsidR="008C32F6" w:rsidRPr="008250B8" w:rsidRDefault="008C32F6" w:rsidP="00AA3854">
            <w:pPr>
              <w:jc w:val="center"/>
              <w:rPr>
                <w:rFonts w:eastAsia="Times New Roman"/>
                <w:color w:val="000000"/>
                <w:sz w:val="20"/>
                <w:szCs w:val="20"/>
              </w:rPr>
            </w:pPr>
          </w:p>
        </w:tc>
        <w:tc>
          <w:tcPr>
            <w:tcW w:w="961" w:type="dxa"/>
            <w:shd w:val="clear" w:color="auto" w:fill="auto"/>
            <w:noWrap/>
            <w:vAlign w:val="bottom"/>
          </w:tcPr>
          <w:p w14:paraId="2B61C08A" w14:textId="77777777" w:rsidR="008C32F6" w:rsidRPr="008250B8" w:rsidRDefault="008C32F6" w:rsidP="00AA3854">
            <w:pPr>
              <w:jc w:val="center"/>
              <w:rPr>
                <w:rFonts w:eastAsia="Times New Roman"/>
                <w:color w:val="000000"/>
                <w:sz w:val="20"/>
                <w:szCs w:val="20"/>
              </w:rPr>
            </w:pPr>
          </w:p>
        </w:tc>
        <w:tc>
          <w:tcPr>
            <w:tcW w:w="2552" w:type="dxa"/>
            <w:shd w:val="clear" w:color="auto" w:fill="auto"/>
            <w:noWrap/>
            <w:vAlign w:val="bottom"/>
          </w:tcPr>
          <w:p w14:paraId="602445B9" w14:textId="77777777" w:rsidR="008C32F6" w:rsidRPr="008250B8" w:rsidRDefault="008C32F6" w:rsidP="00AA3854">
            <w:pPr>
              <w:jc w:val="center"/>
              <w:rPr>
                <w:rFonts w:eastAsia="Times New Roman"/>
                <w:color w:val="000000"/>
                <w:sz w:val="20"/>
                <w:szCs w:val="20"/>
              </w:rPr>
            </w:pPr>
          </w:p>
        </w:tc>
        <w:tc>
          <w:tcPr>
            <w:tcW w:w="2540" w:type="dxa"/>
            <w:shd w:val="clear" w:color="auto" w:fill="auto"/>
            <w:noWrap/>
            <w:vAlign w:val="bottom"/>
          </w:tcPr>
          <w:p w14:paraId="6A93B102" w14:textId="77777777" w:rsidR="008C32F6" w:rsidRPr="008250B8" w:rsidRDefault="008C32F6" w:rsidP="00AA3854">
            <w:pPr>
              <w:jc w:val="center"/>
              <w:rPr>
                <w:rFonts w:eastAsia="Times New Roman"/>
                <w:color w:val="000000"/>
                <w:sz w:val="20"/>
                <w:szCs w:val="20"/>
              </w:rPr>
            </w:pPr>
          </w:p>
        </w:tc>
      </w:tr>
      <w:tr w:rsidR="008C32F6" w:rsidRPr="008250B8" w14:paraId="00C9A825" w14:textId="77777777" w:rsidTr="00AA3854">
        <w:trPr>
          <w:trHeight w:val="246"/>
          <w:jc w:val="center"/>
        </w:trPr>
        <w:tc>
          <w:tcPr>
            <w:tcW w:w="1136" w:type="dxa"/>
            <w:shd w:val="clear" w:color="auto" w:fill="auto"/>
            <w:noWrap/>
            <w:vAlign w:val="bottom"/>
          </w:tcPr>
          <w:p w14:paraId="2A66C562"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2021</w:t>
            </w:r>
          </w:p>
        </w:tc>
        <w:tc>
          <w:tcPr>
            <w:tcW w:w="961" w:type="dxa"/>
            <w:shd w:val="clear" w:color="auto" w:fill="auto"/>
            <w:noWrap/>
            <w:vAlign w:val="bottom"/>
          </w:tcPr>
          <w:p w14:paraId="43AF02EA"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Q1</w:t>
            </w:r>
          </w:p>
        </w:tc>
        <w:tc>
          <w:tcPr>
            <w:tcW w:w="2552" w:type="dxa"/>
            <w:shd w:val="clear" w:color="auto" w:fill="auto"/>
            <w:noWrap/>
            <w:vAlign w:val="bottom"/>
          </w:tcPr>
          <w:p w14:paraId="2C0F9B55"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16 300</w:t>
            </w:r>
          </w:p>
        </w:tc>
        <w:tc>
          <w:tcPr>
            <w:tcW w:w="2540" w:type="dxa"/>
            <w:shd w:val="clear" w:color="auto" w:fill="auto"/>
            <w:noWrap/>
            <w:vAlign w:val="bottom"/>
          </w:tcPr>
          <w:p w14:paraId="6DC6DAED"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200</w:t>
            </w:r>
          </w:p>
        </w:tc>
      </w:tr>
      <w:tr w:rsidR="008C32F6" w:rsidRPr="008250B8" w14:paraId="312D98B9" w14:textId="77777777" w:rsidTr="00AA3854">
        <w:trPr>
          <w:trHeight w:val="246"/>
          <w:jc w:val="center"/>
        </w:trPr>
        <w:tc>
          <w:tcPr>
            <w:tcW w:w="1136" w:type="dxa"/>
            <w:shd w:val="clear" w:color="auto" w:fill="auto"/>
            <w:noWrap/>
            <w:vAlign w:val="bottom"/>
            <w:hideMark/>
          </w:tcPr>
          <w:p w14:paraId="5344323C" w14:textId="77777777" w:rsidR="008C32F6" w:rsidRPr="008250B8" w:rsidRDefault="008C32F6" w:rsidP="00AA3854">
            <w:pPr>
              <w:jc w:val="center"/>
              <w:rPr>
                <w:rFonts w:eastAsia="Times New Roman"/>
                <w:color w:val="000000"/>
                <w:sz w:val="20"/>
                <w:szCs w:val="20"/>
              </w:rPr>
            </w:pPr>
          </w:p>
        </w:tc>
        <w:tc>
          <w:tcPr>
            <w:tcW w:w="961" w:type="dxa"/>
            <w:shd w:val="clear" w:color="auto" w:fill="auto"/>
            <w:noWrap/>
            <w:vAlign w:val="bottom"/>
            <w:hideMark/>
          </w:tcPr>
          <w:p w14:paraId="7A481ABC"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Q2</w:t>
            </w:r>
          </w:p>
        </w:tc>
        <w:tc>
          <w:tcPr>
            <w:tcW w:w="2552" w:type="dxa"/>
            <w:shd w:val="clear" w:color="auto" w:fill="auto"/>
            <w:noWrap/>
            <w:vAlign w:val="bottom"/>
            <w:hideMark/>
          </w:tcPr>
          <w:p w14:paraId="3B369C07"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16 900</w:t>
            </w:r>
          </w:p>
        </w:tc>
        <w:tc>
          <w:tcPr>
            <w:tcW w:w="2540" w:type="dxa"/>
            <w:shd w:val="clear" w:color="auto" w:fill="auto"/>
            <w:noWrap/>
            <w:vAlign w:val="bottom"/>
            <w:hideMark/>
          </w:tcPr>
          <w:p w14:paraId="390C8A97"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300</w:t>
            </w:r>
          </w:p>
        </w:tc>
      </w:tr>
      <w:tr w:rsidR="008C32F6" w:rsidRPr="008250B8" w14:paraId="1978E3C1" w14:textId="77777777" w:rsidTr="00AA3854">
        <w:trPr>
          <w:trHeight w:val="246"/>
          <w:jc w:val="center"/>
        </w:trPr>
        <w:tc>
          <w:tcPr>
            <w:tcW w:w="1136" w:type="dxa"/>
            <w:shd w:val="clear" w:color="auto" w:fill="auto"/>
            <w:noWrap/>
            <w:vAlign w:val="bottom"/>
          </w:tcPr>
          <w:p w14:paraId="3D48D131" w14:textId="77777777" w:rsidR="008C32F6" w:rsidRPr="008250B8" w:rsidRDefault="008C32F6" w:rsidP="00AA3854">
            <w:pPr>
              <w:jc w:val="center"/>
              <w:rPr>
                <w:rFonts w:eastAsia="Times New Roman"/>
                <w:color w:val="000000"/>
                <w:sz w:val="20"/>
                <w:szCs w:val="20"/>
              </w:rPr>
            </w:pPr>
          </w:p>
        </w:tc>
        <w:tc>
          <w:tcPr>
            <w:tcW w:w="961" w:type="dxa"/>
            <w:shd w:val="clear" w:color="auto" w:fill="auto"/>
            <w:noWrap/>
            <w:vAlign w:val="bottom"/>
          </w:tcPr>
          <w:p w14:paraId="2D8E126E"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Q3</w:t>
            </w:r>
          </w:p>
        </w:tc>
        <w:tc>
          <w:tcPr>
            <w:tcW w:w="2552" w:type="dxa"/>
            <w:shd w:val="clear" w:color="auto" w:fill="auto"/>
            <w:noWrap/>
            <w:vAlign w:val="bottom"/>
          </w:tcPr>
          <w:p w14:paraId="3E65C055"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29 000</w:t>
            </w:r>
          </w:p>
        </w:tc>
        <w:tc>
          <w:tcPr>
            <w:tcW w:w="2540" w:type="dxa"/>
            <w:shd w:val="clear" w:color="auto" w:fill="auto"/>
            <w:noWrap/>
            <w:vAlign w:val="bottom"/>
          </w:tcPr>
          <w:p w14:paraId="60904376"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300</w:t>
            </w:r>
          </w:p>
        </w:tc>
      </w:tr>
      <w:tr w:rsidR="008C32F6" w:rsidRPr="008250B8" w14:paraId="7E241884" w14:textId="77777777" w:rsidTr="00AA3854">
        <w:trPr>
          <w:trHeight w:val="246"/>
          <w:jc w:val="center"/>
        </w:trPr>
        <w:tc>
          <w:tcPr>
            <w:tcW w:w="1136" w:type="dxa"/>
            <w:shd w:val="clear" w:color="auto" w:fill="auto"/>
            <w:noWrap/>
            <w:vAlign w:val="bottom"/>
          </w:tcPr>
          <w:p w14:paraId="4DC62D71" w14:textId="77777777" w:rsidR="008C32F6" w:rsidRPr="008250B8" w:rsidRDefault="008C32F6" w:rsidP="00AA3854">
            <w:pPr>
              <w:jc w:val="center"/>
              <w:rPr>
                <w:rFonts w:eastAsia="Times New Roman"/>
                <w:color w:val="000000"/>
                <w:sz w:val="20"/>
                <w:szCs w:val="20"/>
              </w:rPr>
            </w:pPr>
          </w:p>
        </w:tc>
        <w:tc>
          <w:tcPr>
            <w:tcW w:w="961" w:type="dxa"/>
            <w:shd w:val="clear" w:color="auto" w:fill="auto"/>
            <w:noWrap/>
            <w:vAlign w:val="bottom"/>
          </w:tcPr>
          <w:p w14:paraId="46CA2915"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Q4</w:t>
            </w:r>
          </w:p>
        </w:tc>
        <w:tc>
          <w:tcPr>
            <w:tcW w:w="2552" w:type="dxa"/>
            <w:shd w:val="clear" w:color="auto" w:fill="auto"/>
            <w:noWrap/>
            <w:vAlign w:val="bottom"/>
          </w:tcPr>
          <w:p w14:paraId="5496ED15"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26 900</w:t>
            </w:r>
          </w:p>
        </w:tc>
        <w:tc>
          <w:tcPr>
            <w:tcW w:w="2540" w:type="dxa"/>
            <w:shd w:val="clear" w:color="auto" w:fill="auto"/>
            <w:noWrap/>
            <w:vAlign w:val="bottom"/>
          </w:tcPr>
          <w:p w14:paraId="3D123265"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1 400</w:t>
            </w:r>
          </w:p>
        </w:tc>
      </w:tr>
      <w:tr w:rsidR="008C32F6" w:rsidRPr="008250B8" w14:paraId="0A28F19D" w14:textId="77777777" w:rsidTr="00AA3854">
        <w:trPr>
          <w:trHeight w:val="246"/>
          <w:jc w:val="center"/>
        </w:trPr>
        <w:tc>
          <w:tcPr>
            <w:tcW w:w="1136" w:type="dxa"/>
            <w:shd w:val="clear" w:color="auto" w:fill="auto"/>
            <w:noWrap/>
            <w:vAlign w:val="bottom"/>
          </w:tcPr>
          <w:p w14:paraId="49CD7943" w14:textId="77777777" w:rsidR="008C32F6" w:rsidRPr="008250B8" w:rsidRDefault="008C32F6" w:rsidP="00AA3854">
            <w:pPr>
              <w:jc w:val="center"/>
              <w:rPr>
                <w:rFonts w:eastAsia="Times New Roman"/>
                <w:color w:val="000000"/>
                <w:sz w:val="20"/>
                <w:szCs w:val="20"/>
              </w:rPr>
            </w:pPr>
          </w:p>
        </w:tc>
        <w:tc>
          <w:tcPr>
            <w:tcW w:w="961" w:type="dxa"/>
            <w:shd w:val="clear" w:color="auto" w:fill="auto"/>
            <w:noWrap/>
            <w:vAlign w:val="bottom"/>
          </w:tcPr>
          <w:p w14:paraId="6AB1DC2C" w14:textId="77777777" w:rsidR="008C32F6" w:rsidRPr="008250B8" w:rsidRDefault="008C32F6" w:rsidP="00AA3854">
            <w:pPr>
              <w:jc w:val="center"/>
              <w:rPr>
                <w:rFonts w:eastAsia="Times New Roman"/>
                <w:color w:val="000000"/>
                <w:sz w:val="20"/>
                <w:szCs w:val="20"/>
              </w:rPr>
            </w:pPr>
          </w:p>
        </w:tc>
        <w:tc>
          <w:tcPr>
            <w:tcW w:w="2552" w:type="dxa"/>
            <w:shd w:val="clear" w:color="auto" w:fill="auto"/>
            <w:noWrap/>
            <w:vAlign w:val="bottom"/>
          </w:tcPr>
          <w:p w14:paraId="44588636" w14:textId="77777777" w:rsidR="008C32F6" w:rsidRPr="008250B8" w:rsidRDefault="008C32F6" w:rsidP="00AA3854">
            <w:pPr>
              <w:jc w:val="center"/>
              <w:rPr>
                <w:rFonts w:eastAsia="Times New Roman"/>
                <w:color w:val="000000"/>
                <w:sz w:val="20"/>
                <w:szCs w:val="20"/>
              </w:rPr>
            </w:pPr>
          </w:p>
        </w:tc>
        <w:tc>
          <w:tcPr>
            <w:tcW w:w="2540" w:type="dxa"/>
            <w:shd w:val="clear" w:color="auto" w:fill="auto"/>
            <w:noWrap/>
            <w:vAlign w:val="bottom"/>
          </w:tcPr>
          <w:p w14:paraId="1321939F" w14:textId="77777777" w:rsidR="008C32F6" w:rsidRPr="008250B8" w:rsidRDefault="008C32F6" w:rsidP="00AA3854">
            <w:pPr>
              <w:jc w:val="center"/>
              <w:rPr>
                <w:rFonts w:eastAsia="Times New Roman"/>
                <w:color w:val="000000"/>
                <w:sz w:val="20"/>
                <w:szCs w:val="20"/>
              </w:rPr>
            </w:pPr>
          </w:p>
        </w:tc>
      </w:tr>
      <w:tr w:rsidR="008C32F6" w:rsidRPr="008250B8" w14:paraId="78A51244" w14:textId="77777777" w:rsidTr="00AA3854">
        <w:trPr>
          <w:trHeight w:val="246"/>
          <w:jc w:val="center"/>
        </w:trPr>
        <w:tc>
          <w:tcPr>
            <w:tcW w:w="1136" w:type="dxa"/>
            <w:shd w:val="clear" w:color="auto" w:fill="auto"/>
            <w:noWrap/>
            <w:vAlign w:val="bottom"/>
          </w:tcPr>
          <w:p w14:paraId="5FC9C603" w14:textId="77777777" w:rsidR="008C32F6" w:rsidRPr="008250B8" w:rsidRDefault="008C32F6" w:rsidP="00AA3854">
            <w:pPr>
              <w:jc w:val="center"/>
              <w:rPr>
                <w:color w:val="000000"/>
                <w:sz w:val="20"/>
                <w:szCs w:val="20"/>
              </w:rPr>
            </w:pPr>
            <w:r w:rsidRPr="008250B8">
              <w:rPr>
                <w:rFonts w:hint="eastAsia"/>
                <w:color w:val="000000"/>
                <w:sz w:val="20"/>
                <w:szCs w:val="20"/>
              </w:rPr>
              <w:t>2022</w:t>
            </w:r>
          </w:p>
        </w:tc>
        <w:tc>
          <w:tcPr>
            <w:tcW w:w="961" w:type="dxa"/>
            <w:shd w:val="clear" w:color="auto" w:fill="auto"/>
            <w:noWrap/>
            <w:vAlign w:val="bottom"/>
          </w:tcPr>
          <w:p w14:paraId="5ABE40D9" w14:textId="77777777" w:rsidR="008C32F6" w:rsidRPr="008250B8" w:rsidRDefault="008C32F6" w:rsidP="00AA3854">
            <w:pPr>
              <w:jc w:val="center"/>
              <w:rPr>
                <w:color w:val="000000"/>
                <w:sz w:val="20"/>
                <w:szCs w:val="20"/>
              </w:rPr>
            </w:pPr>
            <w:r w:rsidRPr="008250B8">
              <w:rPr>
                <w:rFonts w:hint="eastAsia"/>
                <w:color w:val="000000"/>
                <w:sz w:val="20"/>
                <w:szCs w:val="20"/>
              </w:rPr>
              <w:t>Q1</w:t>
            </w:r>
          </w:p>
        </w:tc>
        <w:tc>
          <w:tcPr>
            <w:tcW w:w="2552" w:type="dxa"/>
            <w:shd w:val="clear" w:color="auto" w:fill="auto"/>
            <w:noWrap/>
            <w:vAlign w:val="bottom"/>
          </w:tcPr>
          <w:p w14:paraId="4FCAA3EA"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10 700</w:t>
            </w:r>
          </w:p>
        </w:tc>
        <w:tc>
          <w:tcPr>
            <w:tcW w:w="2540" w:type="dxa"/>
            <w:shd w:val="clear" w:color="auto" w:fill="auto"/>
            <w:noWrap/>
            <w:vAlign w:val="bottom"/>
          </w:tcPr>
          <w:p w14:paraId="2BFF351B"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800</w:t>
            </w:r>
          </w:p>
        </w:tc>
      </w:tr>
      <w:tr w:rsidR="008C32F6" w:rsidRPr="008250B8" w14:paraId="49AE986E" w14:textId="77777777" w:rsidTr="00AA3854">
        <w:trPr>
          <w:trHeight w:val="246"/>
          <w:jc w:val="center"/>
        </w:trPr>
        <w:tc>
          <w:tcPr>
            <w:tcW w:w="1136" w:type="dxa"/>
            <w:shd w:val="clear" w:color="auto" w:fill="auto"/>
            <w:noWrap/>
            <w:vAlign w:val="bottom"/>
          </w:tcPr>
          <w:p w14:paraId="6FBAA327" w14:textId="77777777" w:rsidR="008C32F6" w:rsidRPr="008250B8" w:rsidRDefault="008C32F6" w:rsidP="00AA3854">
            <w:pPr>
              <w:jc w:val="center"/>
              <w:rPr>
                <w:color w:val="000000"/>
                <w:sz w:val="20"/>
                <w:szCs w:val="20"/>
              </w:rPr>
            </w:pPr>
          </w:p>
        </w:tc>
        <w:tc>
          <w:tcPr>
            <w:tcW w:w="961" w:type="dxa"/>
            <w:shd w:val="clear" w:color="auto" w:fill="auto"/>
            <w:noWrap/>
            <w:vAlign w:val="bottom"/>
          </w:tcPr>
          <w:p w14:paraId="6611F119"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Q2</w:t>
            </w:r>
          </w:p>
        </w:tc>
        <w:tc>
          <w:tcPr>
            <w:tcW w:w="2552" w:type="dxa"/>
            <w:shd w:val="clear" w:color="auto" w:fill="auto"/>
            <w:noWrap/>
            <w:vAlign w:val="bottom"/>
          </w:tcPr>
          <w:p w14:paraId="595B3581" w14:textId="77777777" w:rsidR="008C32F6" w:rsidRPr="008250B8" w:rsidRDefault="008C32F6" w:rsidP="00AA3854">
            <w:pPr>
              <w:overflowPunct w:val="0"/>
              <w:jc w:val="center"/>
              <w:rPr>
                <w:rFonts w:eastAsia="Times New Roman"/>
                <w:color w:val="000000"/>
                <w:sz w:val="20"/>
                <w:szCs w:val="20"/>
              </w:rPr>
            </w:pPr>
            <w:r w:rsidRPr="008250B8">
              <w:rPr>
                <w:rFonts w:eastAsia="Times New Roman"/>
                <w:color w:val="000000"/>
                <w:sz w:val="20"/>
                <w:szCs w:val="20"/>
              </w:rPr>
              <w:t>62 700</w:t>
            </w:r>
          </w:p>
        </w:tc>
        <w:tc>
          <w:tcPr>
            <w:tcW w:w="2540" w:type="dxa"/>
            <w:shd w:val="clear" w:color="auto" w:fill="auto"/>
            <w:noWrap/>
            <w:vAlign w:val="bottom"/>
          </w:tcPr>
          <w:p w14:paraId="1B208582" w14:textId="77777777" w:rsidR="008C32F6" w:rsidRPr="008250B8" w:rsidRDefault="008C32F6" w:rsidP="00AA3854">
            <w:pPr>
              <w:overflowPunct w:val="0"/>
              <w:jc w:val="center"/>
              <w:rPr>
                <w:rFonts w:eastAsia="Times New Roman"/>
                <w:color w:val="000000"/>
                <w:sz w:val="20"/>
                <w:szCs w:val="20"/>
              </w:rPr>
            </w:pPr>
            <w:r w:rsidRPr="008250B8">
              <w:rPr>
                <w:rFonts w:eastAsia="Times New Roman"/>
                <w:color w:val="000000"/>
                <w:sz w:val="20"/>
                <w:szCs w:val="20"/>
              </w:rPr>
              <w:t>1 800</w:t>
            </w:r>
          </w:p>
        </w:tc>
      </w:tr>
      <w:tr w:rsidR="008C32F6" w:rsidRPr="008250B8" w14:paraId="0DE05D84" w14:textId="77777777" w:rsidTr="00AA3854">
        <w:trPr>
          <w:trHeight w:val="246"/>
          <w:jc w:val="center"/>
        </w:trPr>
        <w:tc>
          <w:tcPr>
            <w:tcW w:w="1136" w:type="dxa"/>
            <w:shd w:val="clear" w:color="auto" w:fill="auto"/>
            <w:noWrap/>
            <w:vAlign w:val="bottom"/>
          </w:tcPr>
          <w:p w14:paraId="4A1A8362" w14:textId="77777777" w:rsidR="008C32F6" w:rsidRPr="008250B8" w:rsidRDefault="008C32F6" w:rsidP="00AA3854">
            <w:pPr>
              <w:jc w:val="center"/>
              <w:rPr>
                <w:color w:val="000000"/>
                <w:sz w:val="20"/>
                <w:szCs w:val="20"/>
              </w:rPr>
            </w:pPr>
          </w:p>
        </w:tc>
        <w:tc>
          <w:tcPr>
            <w:tcW w:w="961" w:type="dxa"/>
            <w:shd w:val="clear" w:color="auto" w:fill="auto"/>
            <w:noWrap/>
            <w:vAlign w:val="bottom"/>
          </w:tcPr>
          <w:p w14:paraId="762F351E"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Q3</w:t>
            </w:r>
          </w:p>
        </w:tc>
        <w:tc>
          <w:tcPr>
            <w:tcW w:w="2552" w:type="dxa"/>
            <w:shd w:val="clear" w:color="auto" w:fill="auto"/>
            <w:noWrap/>
            <w:vAlign w:val="bottom"/>
          </w:tcPr>
          <w:p w14:paraId="0C15BD08" w14:textId="77777777" w:rsidR="008C32F6" w:rsidRPr="008250B8" w:rsidRDefault="008C32F6" w:rsidP="00AA3854">
            <w:pPr>
              <w:overflowPunct w:val="0"/>
              <w:jc w:val="center"/>
              <w:rPr>
                <w:color w:val="000000"/>
                <w:sz w:val="20"/>
                <w:szCs w:val="20"/>
              </w:rPr>
            </w:pPr>
            <w:r w:rsidRPr="008250B8">
              <w:rPr>
                <w:color w:val="000000"/>
                <w:sz w:val="20"/>
                <w:szCs w:val="20"/>
              </w:rPr>
              <w:t>164 600</w:t>
            </w:r>
          </w:p>
        </w:tc>
        <w:tc>
          <w:tcPr>
            <w:tcW w:w="2540" w:type="dxa"/>
            <w:shd w:val="clear" w:color="auto" w:fill="auto"/>
            <w:noWrap/>
            <w:vAlign w:val="bottom"/>
          </w:tcPr>
          <w:p w14:paraId="39019C92" w14:textId="77777777" w:rsidR="008C32F6" w:rsidRPr="008250B8" w:rsidRDefault="008C32F6" w:rsidP="00AA3854">
            <w:pPr>
              <w:overflowPunct w:val="0"/>
              <w:jc w:val="center"/>
              <w:rPr>
                <w:color w:val="000000"/>
                <w:sz w:val="20"/>
                <w:szCs w:val="20"/>
              </w:rPr>
            </w:pPr>
            <w:r w:rsidRPr="008250B8">
              <w:rPr>
                <w:color w:val="000000"/>
                <w:sz w:val="20"/>
                <w:szCs w:val="20"/>
              </w:rPr>
              <w:t>9 100</w:t>
            </w:r>
          </w:p>
        </w:tc>
      </w:tr>
      <w:tr w:rsidR="008C32F6" w:rsidRPr="008250B8" w14:paraId="35A7C400" w14:textId="77777777" w:rsidTr="00AA3854">
        <w:trPr>
          <w:trHeight w:val="246"/>
          <w:jc w:val="center"/>
        </w:trPr>
        <w:tc>
          <w:tcPr>
            <w:tcW w:w="1136" w:type="dxa"/>
            <w:shd w:val="clear" w:color="auto" w:fill="auto"/>
            <w:noWrap/>
            <w:vAlign w:val="bottom"/>
          </w:tcPr>
          <w:p w14:paraId="73704793" w14:textId="77777777" w:rsidR="008C32F6" w:rsidRPr="008250B8" w:rsidRDefault="008C32F6" w:rsidP="00AA3854">
            <w:pPr>
              <w:jc w:val="center"/>
              <w:rPr>
                <w:color w:val="000000"/>
                <w:sz w:val="20"/>
                <w:szCs w:val="20"/>
              </w:rPr>
            </w:pPr>
          </w:p>
        </w:tc>
        <w:tc>
          <w:tcPr>
            <w:tcW w:w="961" w:type="dxa"/>
            <w:shd w:val="clear" w:color="auto" w:fill="auto"/>
            <w:noWrap/>
            <w:vAlign w:val="bottom"/>
          </w:tcPr>
          <w:p w14:paraId="3576BC34"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Q4</w:t>
            </w:r>
          </w:p>
        </w:tc>
        <w:tc>
          <w:tcPr>
            <w:tcW w:w="2552" w:type="dxa"/>
            <w:shd w:val="clear" w:color="auto" w:fill="auto"/>
            <w:noWrap/>
            <w:vAlign w:val="bottom"/>
          </w:tcPr>
          <w:p w14:paraId="271EDCA7"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329 800</w:t>
            </w:r>
          </w:p>
        </w:tc>
        <w:tc>
          <w:tcPr>
            <w:tcW w:w="2540" w:type="dxa"/>
            <w:shd w:val="clear" w:color="auto" w:fill="auto"/>
            <w:noWrap/>
            <w:vAlign w:val="bottom"/>
          </w:tcPr>
          <w:p w14:paraId="6603AA43"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25 100</w:t>
            </w:r>
          </w:p>
        </w:tc>
      </w:tr>
      <w:tr w:rsidR="008C32F6" w:rsidRPr="008250B8" w14:paraId="59E67AC4" w14:textId="77777777" w:rsidTr="00AA3854">
        <w:trPr>
          <w:trHeight w:val="246"/>
          <w:jc w:val="center"/>
        </w:trPr>
        <w:tc>
          <w:tcPr>
            <w:tcW w:w="1136" w:type="dxa"/>
            <w:shd w:val="clear" w:color="auto" w:fill="auto"/>
            <w:noWrap/>
            <w:vAlign w:val="bottom"/>
          </w:tcPr>
          <w:p w14:paraId="001710EA" w14:textId="77777777" w:rsidR="008C32F6" w:rsidRPr="008250B8" w:rsidRDefault="008C32F6" w:rsidP="00AA3854">
            <w:pPr>
              <w:jc w:val="center"/>
              <w:rPr>
                <w:color w:val="000000"/>
                <w:sz w:val="20"/>
                <w:szCs w:val="20"/>
              </w:rPr>
            </w:pPr>
          </w:p>
        </w:tc>
        <w:tc>
          <w:tcPr>
            <w:tcW w:w="961" w:type="dxa"/>
            <w:shd w:val="clear" w:color="auto" w:fill="auto"/>
            <w:noWrap/>
            <w:vAlign w:val="bottom"/>
          </w:tcPr>
          <w:p w14:paraId="0FF09D7A" w14:textId="77777777" w:rsidR="008C32F6" w:rsidRPr="008250B8" w:rsidRDefault="008C32F6" w:rsidP="00AA3854">
            <w:pPr>
              <w:jc w:val="center"/>
              <w:rPr>
                <w:color w:val="000000"/>
                <w:sz w:val="20"/>
                <w:szCs w:val="20"/>
              </w:rPr>
            </w:pPr>
          </w:p>
        </w:tc>
        <w:tc>
          <w:tcPr>
            <w:tcW w:w="2552" w:type="dxa"/>
            <w:shd w:val="clear" w:color="auto" w:fill="auto"/>
            <w:noWrap/>
            <w:vAlign w:val="bottom"/>
          </w:tcPr>
          <w:p w14:paraId="1CD61B34" w14:textId="77777777" w:rsidR="008C32F6" w:rsidRPr="008250B8" w:rsidRDefault="008C32F6" w:rsidP="00AA3854">
            <w:pPr>
              <w:jc w:val="center"/>
              <w:rPr>
                <w:rFonts w:eastAsia="Times New Roman"/>
                <w:color w:val="000000"/>
                <w:sz w:val="20"/>
                <w:szCs w:val="20"/>
              </w:rPr>
            </w:pPr>
          </w:p>
        </w:tc>
        <w:tc>
          <w:tcPr>
            <w:tcW w:w="2540" w:type="dxa"/>
            <w:shd w:val="clear" w:color="auto" w:fill="auto"/>
            <w:noWrap/>
            <w:vAlign w:val="bottom"/>
          </w:tcPr>
          <w:p w14:paraId="5CDE5EC4" w14:textId="77777777" w:rsidR="008C32F6" w:rsidRPr="008250B8" w:rsidRDefault="008C32F6" w:rsidP="00AA3854">
            <w:pPr>
              <w:jc w:val="center"/>
              <w:rPr>
                <w:rFonts w:eastAsia="Times New Roman"/>
                <w:color w:val="000000"/>
                <w:sz w:val="20"/>
                <w:szCs w:val="20"/>
              </w:rPr>
            </w:pPr>
          </w:p>
        </w:tc>
      </w:tr>
      <w:tr w:rsidR="008C32F6" w:rsidRPr="008250B8" w14:paraId="3BFB3A77" w14:textId="77777777" w:rsidTr="00AA3854">
        <w:trPr>
          <w:trHeight w:val="246"/>
          <w:jc w:val="center"/>
        </w:trPr>
        <w:tc>
          <w:tcPr>
            <w:tcW w:w="1136" w:type="dxa"/>
            <w:shd w:val="clear" w:color="auto" w:fill="auto"/>
            <w:noWrap/>
            <w:vAlign w:val="bottom"/>
          </w:tcPr>
          <w:p w14:paraId="7A008AD0" w14:textId="77777777" w:rsidR="008C32F6" w:rsidRPr="008250B8" w:rsidRDefault="008C32F6" w:rsidP="00AA3854">
            <w:pPr>
              <w:jc w:val="center"/>
              <w:rPr>
                <w:color w:val="000000"/>
                <w:sz w:val="20"/>
                <w:szCs w:val="20"/>
              </w:rPr>
            </w:pPr>
            <w:r w:rsidRPr="008250B8">
              <w:rPr>
                <w:color w:val="000000"/>
                <w:sz w:val="20"/>
                <w:szCs w:val="20"/>
              </w:rPr>
              <w:t>2023</w:t>
            </w:r>
          </w:p>
        </w:tc>
        <w:tc>
          <w:tcPr>
            <w:tcW w:w="961" w:type="dxa"/>
            <w:shd w:val="clear" w:color="auto" w:fill="auto"/>
            <w:noWrap/>
            <w:vAlign w:val="bottom"/>
          </w:tcPr>
          <w:p w14:paraId="01DA570F" w14:textId="77777777" w:rsidR="008C32F6" w:rsidRPr="008250B8" w:rsidRDefault="008C32F6" w:rsidP="00AA3854">
            <w:pPr>
              <w:jc w:val="center"/>
              <w:rPr>
                <w:color w:val="000000"/>
                <w:sz w:val="20"/>
                <w:szCs w:val="20"/>
              </w:rPr>
            </w:pPr>
            <w:r w:rsidRPr="008250B8">
              <w:rPr>
                <w:color w:val="000000"/>
                <w:sz w:val="20"/>
                <w:szCs w:val="20"/>
              </w:rPr>
              <w:t>Q1</w:t>
            </w:r>
          </w:p>
        </w:tc>
        <w:tc>
          <w:tcPr>
            <w:tcW w:w="2552" w:type="dxa"/>
            <w:shd w:val="clear" w:color="auto" w:fill="auto"/>
            <w:noWrap/>
            <w:vAlign w:val="bottom"/>
          </w:tcPr>
          <w:p w14:paraId="304A99EA"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2 340 400</w:t>
            </w:r>
          </w:p>
        </w:tc>
        <w:tc>
          <w:tcPr>
            <w:tcW w:w="2540" w:type="dxa"/>
            <w:shd w:val="clear" w:color="auto" w:fill="auto"/>
            <w:noWrap/>
            <w:vAlign w:val="bottom"/>
          </w:tcPr>
          <w:p w14:paraId="38FF7A15"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2 074 400</w:t>
            </w:r>
          </w:p>
        </w:tc>
      </w:tr>
      <w:tr w:rsidR="008C32F6" w:rsidRPr="008250B8" w14:paraId="79C844D1" w14:textId="77777777" w:rsidTr="00AA3854">
        <w:trPr>
          <w:trHeight w:val="246"/>
          <w:jc w:val="center"/>
        </w:trPr>
        <w:tc>
          <w:tcPr>
            <w:tcW w:w="1136" w:type="dxa"/>
            <w:shd w:val="clear" w:color="auto" w:fill="auto"/>
            <w:noWrap/>
            <w:vAlign w:val="bottom"/>
          </w:tcPr>
          <w:p w14:paraId="2FFEC1F8" w14:textId="77777777" w:rsidR="008C32F6" w:rsidRPr="008250B8" w:rsidRDefault="008C32F6" w:rsidP="00AA3854">
            <w:pPr>
              <w:jc w:val="center"/>
              <w:rPr>
                <w:color w:val="000000"/>
                <w:sz w:val="20"/>
                <w:szCs w:val="20"/>
              </w:rPr>
            </w:pPr>
          </w:p>
        </w:tc>
        <w:tc>
          <w:tcPr>
            <w:tcW w:w="961" w:type="dxa"/>
            <w:shd w:val="clear" w:color="auto" w:fill="auto"/>
            <w:noWrap/>
            <w:vAlign w:val="bottom"/>
          </w:tcPr>
          <w:p w14:paraId="5B641FA8" w14:textId="77777777" w:rsidR="008C32F6" w:rsidRPr="008250B8" w:rsidRDefault="008C32F6" w:rsidP="00AA3854">
            <w:pPr>
              <w:jc w:val="center"/>
              <w:rPr>
                <w:color w:val="000000"/>
                <w:sz w:val="20"/>
                <w:szCs w:val="20"/>
              </w:rPr>
            </w:pPr>
            <w:r w:rsidRPr="008250B8">
              <w:rPr>
                <w:color w:val="000000"/>
                <w:sz w:val="20"/>
                <w:szCs w:val="20"/>
              </w:rPr>
              <w:t>Q2</w:t>
            </w:r>
          </w:p>
        </w:tc>
        <w:tc>
          <w:tcPr>
            <w:tcW w:w="2552" w:type="dxa"/>
            <w:shd w:val="clear" w:color="auto" w:fill="auto"/>
            <w:noWrap/>
          </w:tcPr>
          <w:p w14:paraId="2B1F64B2"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4 237 500</w:t>
            </w:r>
          </w:p>
        </w:tc>
        <w:tc>
          <w:tcPr>
            <w:tcW w:w="2540" w:type="dxa"/>
            <w:shd w:val="clear" w:color="auto" w:fill="auto"/>
            <w:noWrap/>
          </w:tcPr>
          <w:p w14:paraId="6E66D362"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4 231 700</w:t>
            </w:r>
          </w:p>
        </w:tc>
      </w:tr>
      <w:tr w:rsidR="008C32F6" w:rsidRPr="008250B8" w14:paraId="33A607BE" w14:textId="77777777" w:rsidTr="00AA3854">
        <w:trPr>
          <w:trHeight w:val="246"/>
          <w:jc w:val="center"/>
        </w:trPr>
        <w:tc>
          <w:tcPr>
            <w:tcW w:w="1136" w:type="dxa"/>
            <w:shd w:val="clear" w:color="auto" w:fill="auto"/>
            <w:noWrap/>
            <w:vAlign w:val="bottom"/>
          </w:tcPr>
          <w:p w14:paraId="13050DA0" w14:textId="77777777" w:rsidR="008C32F6" w:rsidRPr="008250B8" w:rsidRDefault="008C32F6" w:rsidP="00AA3854">
            <w:pPr>
              <w:jc w:val="center"/>
              <w:rPr>
                <w:color w:val="000000"/>
                <w:sz w:val="20"/>
                <w:szCs w:val="20"/>
              </w:rPr>
            </w:pPr>
          </w:p>
        </w:tc>
        <w:tc>
          <w:tcPr>
            <w:tcW w:w="961" w:type="dxa"/>
            <w:shd w:val="clear" w:color="auto" w:fill="auto"/>
            <w:noWrap/>
            <w:vAlign w:val="bottom"/>
          </w:tcPr>
          <w:p w14:paraId="43E864CD" w14:textId="77777777" w:rsidR="008C32F6" w:rsidRPr="008250B8" w:rsidRDefault="008C32F6" w:rsidP="00AA3854">
            <w:pPr>
              <w:jc w:val="center"/>
              <w:rPr>
                <w:color w:val="000000"/>
                <w:sz w:val="20"/>
                <w:szCs w:val="20"/>
              </w:rPr>
            </w:pPr>
            <w:r w:rsidRPr="008250B8">
              <w:rPr>
                <w:color w:val="000000"/>
                <w:sz w:val="20"/>
                <w:szCs w:val="20"/>
              </w:rPr>
              <w:t>Q3</w:t>
            </w:r>
          </w:p>
        </w:tc>
        <w:tc>
          <w:tcPr>
            <w:tcW w:w="2552" w:type="dxa"/>
            <w:shd w:val="clear" w:color="auto" w:fill="auto"/>
            <w:noWrap/>
          </w:tcPr>
          <w:p w14:paraId="456FF6B9"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5 267 600</w:t>
            </w:r>
          </w:p>
        </w:tc>
        <w:tc>
          <w:tcPr>
            <w:tcW w:w="2540" w:type="dxa"/>
            <w:shd w:val="clear" w:color="auto" w:fill="auto"/>
            <w:noWrap/>
          </w:tcPr>
          <w:p w14:paraId="7358E069"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5 170 500</w:t>
            </w:r>
          </w:p>
        </w:tc>
      </w:tr>
      <w:tr w:rsidR="008C32F6" w:rsidRPr="008250B8" w14:paraId="429C9000" w14:textId="77777777" w:rsidTr="00AA3854">
        <w:trPr>
          <w:trHeight w:val="246"/>
          <w:jc w:val="center"/>
        </w:trPr>
        <w:tc>
          <w:tcPr>
            <w:tcW w:w="1136" w:type="dxa"/>
            <w:shd w:val="clear" w:color="auto" w:fill="auto"/>
            <w:noWrap/>
            <w:vAlign w:val="bottom"/>
          </w:tcPr>
          <w:p w14:paraId="0383D793" w14:textId="77777777" w:rsidR="008C32F6" w:rsidRPr="008250B8" w:rsidRDefault="008C32F6" w:rsidP="00AA3854">
            <w:pPr>
              <w:jc w:val="center"/>
              <w:rPr>
                <w:color w:val="000000"/>
                <w:sz w:val="20"/>
                <w:szCs w:val="20"/>
              </w:rPr>
            </w:pPr>
          </w:p>
        </w:tc>
        <w:tc>
          <w:tcPr>
            <w:tcW w:w="961" w:type="dxa"/>
            <w:shd w:val="clear" w:color="auto" w:fill="auto"/>
            <w:noWrap/>
            <w:vAlign w:val="bottom"/>
          </w:tcPr>
          <w:p w14:paraId="73F1C3D1" w14:textId="77777777" w:rsidR="008C32F6" w:rsidRPr="008250B8" w:rsidRDefault="008C32F6" w:rsidP="00AA3854">
            <w:pPr>
              <w:jc w:val="center"/>
              <w:rPr>
                <w:color w:val="000000"/>
                <w:sz w:val="20"/>
                <w:szCs w:val="20"/>
              </w:rPr>
            </w:pPr>
            <w:r w:rsidRPr="008250B8">
              <w:rPr>
                <w:color w:val="000000"/>
                <w:sz w:val="20"/>
                <w:szCs w:val="20"/>
              </w:rPr>
              <w:t>Q4</w:t>
            </w:r>
          </w:p>
        </w:tc>
        <w:tc>
          <w:tcPr>
            <w:tcW w:w="2552" w:type="dxa"/>
            <w:shd w:val="clear" w:color="auto" w:fill="auto"/>
            <w:noWrap/>
          </w:tcPr>
          <w:p w14:paraId="1CF22995"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5 313 900</w:t>
            </w:r>
          </w:p>
        </w:tc>
        <w:tc>
          <w:tcPr>
            <w:tcW w:w="2540" w:type="dxa"/>
            <w:shd w:val="clear" w:color="auto" w:fill="auto"/>
            <w:noWrap/>
          </w:tcPr>
          <w:p w14:paraId="1131E7F6" w14:textId="77777777" w:rsidR="008C32F6" w:rsidRPr="008250B8" w:rsidRDefault="008C32F6" w:rsidP="00AA3854">
            <w:pPr>
              <w:jc w:val="center"/>
              <w:rPr>
                <w:rFonts w:eastAsia="Times New Roman"/>
                <w:color w:val="000000"/>
                <w:sz w:val="20"/>
                <w:szCs w:val="20"/>
              </w:rPr>
            </w:pPr>
            <w:r w:rsidRPr="008250B8">
              <w:rPr>
                <w:rFonts w:eastAsia="Times New Roman"/>
                <w:color w:val="000000"/>
                <w:sz w:val="20"/>
                <w:szCs w:val="20"/>
              </w:rPr>
              <w:t>5 363 800</w:t>
            </w:r>
          </w:p>
        </w:tc>
      </w:tr>
      <w:tr w:rsidR="008C32F6" w:rsidRPr="008250B8" w14:paraId="0B7189CF" w14:textId="77777777" w:rsidTr="00AA3854">
        <w:trPr>
          <w:trHeight w:val="246"/>
          <w:jc w:val="center"/>
        </w:trPr>
        <w:tc>
          <w:tcPr>
            <w:tcW w:w="1136" w:type="dxa"/>
            <w:shd w:val="clear" w:color="auto" w:fill="auto"/>
            <w:noWrap/>
            <w:vAlign w:val="bottom"/>
          </w:tcPr>
          <w:p w14:paraId="0B4D1C5B" w14:textId="77777777" w:rsidR="008C32F6" w:rsidRPr="008250B8" w:rsidRDefault="008C32F6" w:rsidP="00AA3854">
            <w:pPr>
              <w:jc w:val="center"/>
              <w:rPr>
                <w:color w:val="000000"/>
                <w:sz w:val="20"/>
                <w:szCs w:val="20"/>
              </w:rPr>
            </w:pPr>
          </w:p>
        </w:tc>
        <w:tc>
          <w:tcPr>
            <w:tcW w:w="961" w:type="dxa"/>
            <w:shd w:val="clear" w:color="auto" w:fill="auto"/>
            <w:noWrap/>
            <w:vAlign w:val="bottom"/>
          </w:tcPr>
          <w:p w14:paraId="2845860F" w14:textId="77777777" w:rsidR="008C32F6" w:rsidRPr="008250B8" w:rsidRDefault="008C32F6" w:rsidP="00AA3854">
            <w:pPr>
              <w:jc w:val="center"/>
              <w:rPr>
                <w:color w:val="000000"/>
                <w:sz w:val="20"/>
                <w:szCs w:val="20"/>
              </w:rPr>
            </w:pPr>
          </w:p>
        </w:tc>
        <w:tc>
          <w:tcPr>
            <w:tcW w:w="2552" w:type="dxa"/>
            <w:shd w:val="clear" w:color="auto" w:fill="auto"/>
            <w:noWrap/>
            <w:vAlign w:val="bottom"/>
          </w:tcPr>
          <w:p w14:paraId="0E34AD5E" w14:textId="77777777" w:rsidR="008C32F6" w:rsidRPr="008250B8" w:rsidRDefault="008C32F6" w:rsidP="00AA3854">
            <w:pPr>
              <w:jc w:val="center"/>
              <w:rPr>
                <w:rFonts w:eastAsia="Times New Roman"/>
                <w:color w:val="000000"/>
                <w:sz w:val="20"/>
                <w:szCs w:val="20"/>
              </w:rPr>
            </w:pPr>
          </w:p>
        </w:tc>
        <w:tc>
          <w:tcPr>
            <w:tcW w:w="2540" w:type="dxa"/>
            <w:shd w:val="clear" w:color="auto" w:fill="auto"/>
            <w:noWrap/>
            <w:vAlign w:val="bottom"/>
          </w:tcPr>
          <w:p w14:paraId="15EBA04E" w14:textId="77777777" w:rsidR="008C32F6" w:rsidRPr="008250B8" w:rsidRDefault="008C32F6" w:rsidP="00AA3854">
            <w:pPr>
              <w:jc w:val="center"/>
              <w:rPr>
                <w:rFonts w:eastAsia="Times New Roman"/>
                <w:color w:val="000000"/>
                <w:sz w:val="20"/>
                <w:szCs w:val="20"/>
              </w:rPr>
            </w:pPr>
          </w:p>
        </w:tc>
      </w:tr>
      <w:tr w:rsidR="008C32F6" w:rsidRPr="008250B8" w14:paraId="5994A515" w14:textId="77777777" w:rsidTr="00AA3854">
        <w:trPr>
          <w:trHeight w:val="246"/>
          <w:jc w:val="center"/>
        </w:trPr>
        <w:tc>
          <w:tcPr>
            <w:tcW w:w="1136" w:type="dxa"/>
            <w:shd w:val="clear" w:color="auto" w:fill="auto"/>
            <w:noWrap/>
            <w:vAlign w:val="bottom"/>
          </w:tcPr>
          <w:p w14:paraId="1DC089E4" w14:textId="77777777" w:rsidR="008C32F6" w:rsidRPr="008250B8" w:rsidRDefault="008C32F6" w:rsidP="00AA3854">
            <w:pPr>
              <w:jc w:val="center"/>
              <w:rPr>
                <w:color w:val="000000"/>
                <w:sz w:val="20"/>
                <w:szCs w:val="20"/>
              </w:rPr>
            </w:pPr>
            <w:r w:rsidRPr="008250B8">
              <w:rPr>
                <w:color w:val="000000"/>
                <w:sz w:val="20"/>
                <w:szCs w:val="20"/>
              </w:rPr>
              <w:t>2024</w:t>
            </w:r>
          </w:p>
        </w:tc>
        <w:tc>
          <w:tcPr>
            <w:tcW w:w="961" w:type="dxa"/>
            <w:shd w:val="clear" w:color="auto" w:fill="auto"/>
            <w:noWrap/>
            <w:vAlign w:val="bottom"/>
          </w:tcPr>
          <w:p w14:paraId="7E76B270" w14:textId="77777777" w:rsidR="008C32F6" w:rsidRPr="008250B8" w:rsidRDefault="008C32F6" w:rsidP="00AA3854">
            <w:pPr>
              <w:jc w:val="center"/>
              <w:rPr>
                <w:color w:val="000000"/>
                <w:sz w:val="20"/>
                <w:szCs w:val="20"/>
              </w:rPr>
            </w:pPr>
            <w:r w:rsidRPr="008250B8">
              <w:rPr>
                <w:color w:val="000000"/>
                <w:sz w:val="20"/>
                <w:szCs w:val="20"/>
              </w:rPr>
              <w:t>Q1</w:t>
            </w:r>
          </w:p>
        </w:tc>
        <w:tc>
          <w:tcPr>
            <w:tcW w:w="2552" w:type="dxa"/>
            <w:shd w:val="clear" w:color="auto" w:fill="auto"/>
            <w:noWrap/>
            <w:vAlign w:val="bottom"/>
          </w:tcPr>
          <w:p w14:paraId="2AA85EE3" w14:textId="77777777" w:rsidR="008C32F6" w:rsidRPr="008250B8" w:rsidRDefault="008C32F6" w:rsidP="00AA3854">
            <w:pPr>
              <w:jc w:val="center"/>
              <w:rPr>
                <w:rFonts w:eastAsia="Times New Roman"/>
                <w:color w:val="000000"/>
                <w:sz w:val="20"/>
                <w:szCs w:val="20"/>
                <w:highlight w:val="yellow"/>
              </w:rPr>
            </w:pPr>
            <w:r w:rsidRPr="008250B8">
              <w:rPr>
                <w:color w:val="000000"/>
                <w:sz w:val="20"/>
              </w:rPr>
              <w:t>5 </w:t>
            </w:r>
            <w:r w:rsidRPr="008250B8">
              <w:rPr>
                <w:rFonts w:eastAsia="Times New Roman"/>
                <w:color w:val="000000"/>
                <w:sz w:val="20"/>
                <w:szCs w:val="20"/>
              </w:rPr>
              <w:t>613 400</w:t>
            </w:r>
          </w:p>
        </w:tc>
        <w:tc>
          <w:tcPr>
            <w:tcW w:w="2540" w:type="dxa"/>
            <w:shd w:val="clear" w:color="auto" w:fill="auto"/>
            <w:noWrap/>
            <w:vAlign w:val="bottom"/>
          </w:tcPr>
          <w:p w14:paraId="184CE908" w14:textId="77777777" w:rsidR="008C32F6" w:rsidRPr="008250B8" w:rsidRDefault="008C32F6" w:rsidP="00AA3854">
            <w:pPr>
              <w:jc w:val="center"/>
              <w:rPr>
                <w:rFonts w:eastAsia="Times New Roman"/>
                <w:color w:val="000000"/>
                <w:sz w:val="20"/>
                <w:szCs w:val="20"/>
                <w:highlight w:val="yellow"/>
              </w:rPr>
            </w:pPr>
            <w:r w:rsidRPr="008250B8">
              <w:rPr>
                <w:color w:val="000000"/>
                <w:sz w:val="20"/>
              </w:rPr>
              <w:t>5 </w:t>
            </w:r>
            <w:r w:rsidRPr="008250B8">
              <w:rPr>
                <w:rFonts w:eastAsia="Times New Roman"/>
                <w:color w:val="000000"/>
                <w:sz w:val="20"/>
                <w:szCs w:val="20"/>
              </w:rPr>
              <w:t>615 400</w:t>
            </w:r>
          </w:p>
        </w:tc>
      </w:tr>
      <w:tr w:rsidR="008C32F6" w:rsidRPr="008250B8" w14:paraId="01DF7B84" w14:textId="77777777" w:rsidTr="00AA3854">
        <w:trPr>
          <w:trHeight w:val="246"/>
          <w:jc w:val="center"/>
        </w:trPr>
        <w:tc>
          <w:tcPr>
            <w:tcW w:w="1136" w:type="dxa"/>
            <w:shd w:val="clear" w:color="auto" w:fill="auto"/>
            <w:noWrap/>
            <w:vAlign w:val="bottom"/>
          </w:tcPr>
          <w:p w14:paraId="368DF3EA" w14:textId="77777777" w:rsidR="008C32F6" w:rsidRPr="008250B8" w:rsidRDefault="008C32F6" w:rsidP="00AA3854">
            <w:pPr>
              <w:jc w:val="center"/>
              <w:rPr>
                <w:color w:val="000000"/>
                <w:sz w:val="20"/>
                <w:szCs w:val="20"/>
              </w:rPr>
            </w:pPr>
          </w:p>
        </w:tc>
        <w:tc>
          <w:tcPr>
            <w:tcW w:w="961" w:type="dxa"/>
            <w:shd w:val="clear" w:color="auto" w:fill="auto"/>
            <w:noWrap/>
            <w:vAlign w:val="bottom"/>
          </w:tcPr>
          <w:p w14:paraId="7ED33750" w14:textId="77777777" w:rsidR="008C32F6" w:rsidRPr="008250B8" w:rsidRDefault="008C32F6" w:rsidP="00AA3854">
            <w:pPr>
              <w:jc w:val="center"/>
              <w:rPr>
                <w:color w:val="000000"/>
                <w:sz w:val="20"/>
                <w:szCs w:val="20"/>
              </w:rPr>
            </w:pPr>
            <w:r w:rsidRPr="008250B8">
              <w:rPr>
                <w:color w:val="000000"/>
                <w:sz w:val="20"/>
                <w:szCs w:val="20"/>
              </w:rPr>
              <w:t>Q2</w:t>
            </w:r>
          </w:p>
        </w:tc>
        <w:tc>
          <w:tcPr>
            <w:tcW w:w="2552" w:type="dxa"/>
            <w:shd w:val="clear" w:color="auto" w:fill="auto"/>
            <w:noWrap/>
            <w:vAlign w:val="bottom"/>
          </w:tcPr>
          <w:p w14:paraId="07FDFA11" w14:textId="77777777" w:rsidR="008C32F6" w:rsidRPr="008250B8" w:rsidRDefault="008C32F6" w:rsidP="00AA3854">
            <w:pPr>
              <w:jc w:val="center"/>
              <w:rPr>
                <w:color w:val="000000"/>
                <w:sz w:val="20"/>
              </w:rPr>
            </w:pPr>
            <w:r w:rsidRPr="008250B8">
              <w:rPr>
                <w:color w:val="000000"/>
                <w:sz w:val="20"/>
              </w:rPr>
              <w:t>4 928 900</w:t>
            </w:r>
          </w:p>
        </w:tc>
        <w:tc>
          <w:tcPr>
            <w:tcW w:w="2540" w:type="dxa"/>
            <w:shd w:val="clear" w:color="auto" w:fill="auto"/>
            <w:noWrap/>
            <w:vAlign w:val="bottom"/>
          </w:tcPr>
          <w:p w14:paraId="356F1759" w14:textId="77777777" w:rsidR="008C32F6" w:rsidRPr="008250B8" w:rsidRDefault="008C32F6" w:rsidP="00AA3854">
            <w:pPr>
              <w:jc w:val="center"/>
              <w:rPr>
                <w:color w:val="000000"/>
                <w:sz w:val="20"/>
              </w:rPr>
            </w:pPr>
            <w:r w:rsidRPr="008250B8">
              <w:rPr>
                <w:color w:val="000000"/>
                <w:sz w:val="20"/>
              </w:rPr>
              <w:t>4 993 600</w:t>
            </w:r>
          </w:p>
        </w:tc>
      </w:tr>
      <w:tr w:rsidR="008C32F6" w:rsidRPr="008250B8" w14:paraId="18A6FA9F" w14:textId="77777777" w:rsidTr="00AA3854">
        <w:trPr>
          <w:trHeight w:val="246"/>
          <w:jc w:val="center"/>
        </w:trPr>
        <w:tc>
          <w:tcPr>
            <w:tcW w:w="1136" w:type="dxa"/>
            <w:shd w:val="clear" w:color="auto" w:fill="auto"/>
            <w:noWrap/>
            <w:vAlign w:val="bottom"/>
          </w:tcPr>
          <w:p w14:paraId="759223AF" w14:textId="77777777" w:rsidR="008C32F6" w:rsidRPr="008250B8" w:rsidRDefault="008C32F6" w:rsidP="00AA3854">
            <w:pPr>
              <w:jc w:val="center"/>
              <w:rPr>
                <w:color w:val="000000"/>
                <w:sz w:val="20"/>
                <w:szCs w:val="20"/>
              </w:rPr>
            </w:pPr>
          </w:p>
        </w:tc>
        <w:tc>
          <w:tcPr>
            <w:tcW w:w="961" w:type="dxa"/>
            <w:shd w:val="clear" w:color="auto" w:fill="auto"/>
            <w:noWrap/>
            <w:vAlign w:val="bottom"/>
          </w:tcPr>
          <w:p w14:paraId="026FDB47" w14:textId="77777777" w:rsidR="008C32F6" w:rsidRPr="008250B8" w:rsidRDefault="008C32F6" w:rsidP="00AA3854">
            <w:pPr>
              <w:jc w:val="center"/>
              <w:rPr>
                <w:color w:val="000000"/>
                <w:sz w:val="20"/>
                <w:szCs w:val="20"/>
              </w:rPr>
            </w:pPr>
            <w:r w:rsidRPr="008250B8">
              <w:rPr>
                <w:color w:val="000000"/>
                <w:sz w:val="20"/>
                <w:szCs w:val="20"/>
              </w:rPr>
              <w:t>Q3</w:t>
            </w:r>
          </w:p>
        </w:tc>
        <w:tc>
          <w:tcPr>
            <w:tcW w:w="2552" w:type="dxa"/>
            <w:shd w:val="clear" w:color="auto" w:fill="auto"/>
            <w:noWrap/>
            <w:vAlign w:val="bottom"/>
          </w:tcPr>
          <w:p w14:paraId="183BF029" w14:textId="77777777" w:rsidR="008C32F6" w:rsidRPr="008250B8" w:rsidRDefault="008C32F6" w:rsidP="00AA3854">
            <w:pPr>
              <w:jc w:val="center"/>
              <w:rPr>
                <w:color w:val="000000"/>
                <w:sz w:val="20"/>
              </w:rPr>
            </w:pPr>
            <w:r w:rsidRPr="008250B8">
              <w:rPr>
                <w:color w:val="000000"/>
                <w:sz w:val="20"/>
              </w:rPr>
              <w:t>5 656 800</w:t>
            </w:r>
          </w:p>
        </w:tc>
        <w:tc>
          <w:tcPr>
            <w:tcW w:w="2540" w:type="dxa"/>
            <w:shd w:val="clear" w:color="auto" w:fill="auto"/>
            <w:noWrap/>
            <w:vAlign w:val="bottom"/>
          </w:tcPr>
          <w:p w14:paraId="4E7925AB" w14:textId="77777777" w:rsidR="008C32F6" w:rsidRPr="008250B8" w:rsidRDefault="008C32F6" w:rsidP="00AA3854">
            <w:pPr>
              <w:jc w:val="center"/>
              <w:rPr>
                <w:color w:val="000000"/>
                <w:sz w:val="20"/>
              </w:rPr>
            </w:pPr>
            <w:r w:rsidRPr="008250B8">
              <w:rPr>
                <w:color w:val="000000"/>
                <w:sz w:val="20"/>
              </w:rPr>
              <w:t>5 780 800</w:t>
            </w:r>
          </w:p>
        </w:tc>
      </w:tr>
      <w:tr w:rsidR="008C32F6" w:rsidRPr="008250B8" w14:paraId="0920C232" w14:textId="77777777" w:rsidTr="00AA3854">
        <w:trPr>
          <w:trHeight w:val="246"/>
          <w:jc w:val="center"/>
        </w:trPr>
        <w:tc>
          <w:tcPr>
            <w:tcW w:w="1136" w:type="dxa"/>
            <w:shd w:val="clear" w:color="auto" w:fill="auto"/>
            <w:noWrap/>
            <w:vAlign w:val="bottom"/>
          </w:tcPr>
          <w:p w14:paraId="58E97602" w14:textId="77777777" w:rsidR="008C32F6" w:rsidRPr="008250B8" w:rsidRDefault="008C32F6" w:rsidP="00AA3854">
            <w:pPr>
              <w:jc w:val="center"/>
              <w:rPr>
                <w:color w:val="000000"/>
                <w:sz w:val="20"/>
                <w:szCs w:val="20"/>
              </w:rPr>
            </w:pPr>
          </w:p>
        </w:tc>
        <w:tc>
          <w:tcPr>
            <w:tcW w:w="961" w:type="dxa"/>
            <w:shd w:val="clear" w:color="auto" w:fill="auto"/>
            <w:noWrap/>
            <w:vAlign w:val="bottom"/>
          </w:tcPr>
          <w:p w14:paraId="0F61192D" w14:textId="77777777" w:rsidR="008C32F6" w:rsidRPr="008250B8" w:rsidRDefault="008C32F6" w:rsidP="00AA3854">
            <w:pPr>
              <w:jc w:val="center"/>
              <w:rPr>
                <w:color w:val="000000"/>
                <w:sz w:val="20"/>
                <w:szCs w:val="20"/>
              </w:rPr>
            </w:pPr>
            <w:r w:rsidRPr="008250B8">
              <w:rPr>
                <w:color w:val="000000"/>
                <w:sz w:val="20"/>
                <w:szCs w:val="20"/>
              </w:rPr>
              <w:t>Q4</w:t>
            </w:r>
          </w:p>
        </w:tc>
        <w:tc>
          <w:tcPr>
            <w:tcW w:w="2552" w:type="dxa"/>
            <w:shd w:val="clear" w:color="auto" w:fill="auto"/>
            <w:noWrap/>
            <w:vAlign w:val="bottom"/>
          </w:tcPr>
          <w:p w14:paraId="1B0F7CC9" w14:textId="0588FBE0" w:rsidR="008C32F6" w:rsidRPr="008250B8" w:rsidRDefault="008C32F6" w:rsidP="008250B8">
            <w:pPr>
              <w:jc w:val="center"/>
              <w:rPr>
                <w:color w:val="000000"/>
                <w:sz w:val="20"/>
              </w:rPr>
            </w:pPr>
            <w:r w:rsidRPr="008250B8">
              <w:rPr>
                <w:color w:val="000000"/>
                <w:sz w:val="20"/>
              </w:rPr>
              <w:t>5</w:t>
            </w:r>
            <w:r w:rsidRPr="008250B8">
              <w:rPr>
                <w:rFonts w:ascii="Cambria" w:eastAsia="Cambria" w:hAnsi="Cambria"/>
                <w:color w:val="000000"/>
                <w:sz w:val="20"/>
                <w:lang w:val="en-US"/>
              </w:rPr>
              <w:t> </w:t>
            </w:r>
            <w:r w:rsidRPr="008250B8">
              <w:rPr>
                <w:color w:val="000000"/>
                <w:sz w:val="20"/>
              </w:rPr>
              <w:t>7</w:t>
            </w:r>
            <w:r w:rsidR="00751C98">
              <w:rPr>
                <w:color w:val="000000"/>
                <w:sz w:val="20"/>
              </w:rPr>
              <w:t>44</w:t>
            </w:r>
            <w:r w:rsidRPr="008250B8">
              <w:rPr>
                <w:color w:val="000000"/>
                <w:sz w:val="20"/>
              </w:rPr>
              <w:t> </w:t>
            </w:r>
            <w:r w:rsidR="00751C98">
              <w:rPr>
                <w:color w:val="000000"/>
                <w:sz w:val="20"/>
              </w:rPr>
              <w:t>9</w:t>
            </w:r>
            <w:r w:rsidR="008250B8">
              <w:rPr>
                <w:color w:val="000000"/>
                <w:sz w:val="20"/>
              </w:rPr>
              <w:t>00</w:t>
            </w:r>
          </w:p>
        </w:tc>
        <w:tc>
          <w:tcPr>
            <w:tcW w:w="2540" w:type="dxa"/>
            <w:shd w:val="clear" w:color="auto" w:fill="auto"/>
            <w:noWrap/>
            <w:vAlign w:val="bottom"/>
          </w:tcPr>
          <w:p w14:paraId="3C32EFA8" w14:textId="6812377E" w:rsidR="008C32F6" w:rsidRPr="008250B8" w:rsidRDefault="008C32F6" w:rsidP="008250B8">
            <w:pPr>
              <w:jc w:val="center"/>
              <w:rPr>
                <w:color w:val="000000"/>
                <w:sz w:val="20"/>
              </w:rPr>
            </w:pPr>
            <w:r w:rsidRPr="008250B8">
              <w:rPr>
                <w:color w:val="000000"/>
                <w:sz w:val="20"/>
              </w:rPr>
              <w:t>6</w:t>
            </w:r>
            <w:r w:rsidRPr="008250B8">
              <w:rPr>
                <w:rFonts w:ascii="Cambria" w:eastAsia="Cambria" w:hAnsi="Cambria"/>
                <w:color w:val="000000"/>
                <w:sz w:val="20"/>
                <w:lang w:val="en-US"/>
              </w:rPr>
              <w:t> </w:t>
            </w:r>
            <w:r w:rsidR="00751C98">
              <w:rPr>
                <w:color w:val="000000"/>
                <w:sz w:val="20"/>
              </w:rPr>
              <w:t>169</w:t>
            </w:r>
            <w:r w:rsidRPr="008250B8">
              <w:rPr>
                <w:color w:val="000000"/>
                <w:sz w:val="20"/>
              </w:rPr>
              <w:t> </w:t>
            </w:r>
            <w:r w:rsidR="008250B8">
              <w:rPr>
                <w:color w:val="000000"/>
                <w:sz w:val="20"/>
              </w:rPr>
              <w:t>200</w:t>
            </w:r>
          </w:p>
        </w:tc>
      </w:tr>
    </w:tbl>
    <w:p w14:paraId="60AFB142" w14:textId="09FDCE1A" w:rsidR="008C32F6" w:rsidRPr="008250B8" w:rsidRDefault="008C32F6" w:rsidP="0046197A">
      <w:pPr>
        <w:jc w:val="center"/>
        <w:rPr>
          <w:rFonts w:eastAsia="Times New Roman"/>
          <w:b/>
          <w:color w:val="000000"/>
          <w:sz w:val="10"/>
          <w:szCs w:val="10"/>
        </w:rPr>
      </w:pPr>
    </w:p>
    <w:p w14:paraId="63565ED6" w14:textId="77777777" w:rsidR="0046197A" w:rsidRPr="008250B8" w:rsidRDefault="0046197A" w:rsidP="0046197A">
      <w:pPr>
        <w:snapToGrid w:val="0"/>
        <w:spacing w:beforeLines="30" w:before="72" w:line="240" w:lineRule="exact"/>
        <w:ind w:left="1288" w:right="29"/>
        <w:jc w:val="both"/>
        <w:rPr>
          <w:color w:val="000000"/>
          <w:sz w:val="22"/>
          <w:szCs w:val="28"/>
        </w:rPr>
      </w:pPr>
      <w:proofErr w:type="gramStart"/>
      <w:r w:rsidRPr="008250B8">
        <w:rPr>
          <w:color w:val="000000"/>
          <w:sz w:val="22"/>
          <w:szCs w:val="28"/>
        </w:rPr>
        <w:t>Note :</w:t>
      </w:r>
      <w:proofErr w:type="gramEnd"/>
      <w:r w:rsidRPr="008250B8">
        <w:rPr>
          <w:color w:val="000000"/>
          <w:sz w:val="22"/>
          <w:szCs w:val="28"/>
        </w:rPr>
        <w:tab/>
        <w:t xml:space="preserve">  Figures may not add up to total visitor arrivals due to rounding. </w:t>
      </w:r>
    </w:p>
    <w:p w14:paraId="03813626" w14:textId="77777777" w:rsidR="0046197A" w:rsidRPr="00BA092E" w:rsidRDefault="0046197A" w:rsidP="0046197A">
      <w:pPr>
        <w:pStyle w:val="afa"/>
        <w:overflowPunct w:val="0"/>
        <w:ind w:leftChars="0" w:left="0"/>
        <w:rPr>
          <w:b/>
          <w:sz w:val="28"/>
          <w:szCs w:val="28"/>
          <w:shd w:val="pct15" w:color="auto" w:fill="FFFFFF"/>
          <w:lang w:eastAsia="zh-HK"/>
        </w:rPr>
      </w:pPr>
    </w:p>
    <w:p w14:paraId="1D8B3682" w14:textId="7183A4C4" w:rsidR="0046197A" w:rsidRPr="008C32F6" w:rsidRDefault="008C32F6" w:rsidP="00CD0F65">
      <w:pPr>
        <w:numPr>
          <w:ilvl w:val="1"/>
          <w:numId w:val="33"/>
        </w:numPr>
        <w:tabs>
          <w:tab w:val="left" w:pos="1080"/>
        </w:tabs>
        <w:overflowPunct w:val="0"/>
        <w:spacing w:line="360" w:lineRule="atLeast"/>
        <w:ind w:left="0" w:firstLine="0"/>
        <w:jc w:val="both"/>
        <w:rPr>
          <w:color w:val="000000"/>
          <w:sz w:val="28"/>
          <w:szCs w:val="28"/>
          <w:shd w:val="pct15" w:color="auto" w:fill="FFFFFF"/>
        </w:rPr>
      </w:pPr>
      <w:r>
        <w:rPr>
          <w:sz w:val="28"/>
          <w:szCs w:val="28"/>
        </w:rPr>
        <w:t xml:space="preserve">In tandem with the increase in overnight visitor arrivals, </w:t>
      </w:r>
      <w:r>
        <w:rPr>
          <w:color w:val="000000"/>
          <w:sz w:val="28"/>
          <w:szCs w:val="28"/>
        </w:rPr>
        <w:t>t</w:t>
      </w:r>
      <w:r w:rsidRPr="0017301F">
        <w:rPr>
          <w:color w:val="000000"/>
          <w:sz w:val="28"/>
          <w:szCs w:val="28"/>
        </w:rPr>
        <w:t xml:space="preserve">he average hotel room occupancy rate </w:t>
      </w:r>
      <w:r>
        <w:rPr>
          <w:color w:val="000000"/>
          <w:sz w:val="28"/>
          <w:szCs w:val="28"/>
        </w:rPr>
        <w:t xml:space="preserve">increased to </w:t>
      </w:r>
      <w:r w:rsidR="00751C98">
        <w:rPr>
          <w:color w:val="000000"/>
          <w:sz w:val="28"/>
          <w:szCs w:val="28"/>
        </w:rPr>
        <w:t>85</w:t>
      </w:r>
      <w:r>
        <w:rPr>
          <w:color w:val="000000"/>
          <w:sz w:val="28"/>
          <w:szCs w:val="28"/>
        </w:rPr>
        <w:t xml:space="preserve">% </w:t>
      </w:r>
      <w:r w:rsidR="00CD0F65">
        <w:rPr>
          <w:color w:val="000000"/>
          <w:sz w:val="28"/>
          <w:szCs w:val="28"/>
        </w:rPr>
        <w:t xml:space="preserve">in </w:t>
      </w:r>
      <w:r>
        <w:rPr>
          <w:color w:val="000000"/>
          <w:sz w:val="28"/>
          <w:szCs w:val="28"/>
        </w:rPr>
        <w:t>2024, higher than the 82% recorded in 2023</w:t>
      </w:r>
      <w:r w:rsidRPr="0017301F">
        <w:rPr>
          <w:color w:val="000000"/>
          <w:sz w:val="28"/>
          <w:szCs w:val="28"/>
        </w:rPr>
        <w:t xml:space="preserve">.  Meanwhile, the average achieved hotel room rate </w:t>
      </w:r>
      <w:r w:rsidRPr="002A3A9C">
        <w:rPr>
          <w:color w:val="000000"/>
          <w:sz w:val="28"/>
          <w:szCs w:val="28"/>
        </w:rPr>
        <w:t xml:space="preserve">fell by </w:t>
      </w:r>
      <w:r w:rsidR="00751C98">
        <w:rPr>
          <w:color w:val="000000"/>
          <w:sz w:val="28"/>
          <w:szCs w:val="28"/>
        </w:rPr>
        <w:t>4.3</w:t>
      </w:r>
      <w:r w:rsidRPr="002A3A9C">
        <w:rPr>
          <w:color w:val="000000"/>
          <w:sz w:val="28"/>
          <w:szCs w:val="28"/>
        </w:rPr>
        <w:t>% from a year earlier to $</w:t>
      </w:r>
      <w:r w:rsidR="00751C98">
        <w:rPr>
          <w:color w:val="000000"/>
          <w:sz w:val="28"/>
          <w:szCs w:val="28"/>
        </w:rPr>
        <w:t>1</w:t>
      </w:r>
      <w:r w:rsidRPr="002A3A9C">
        <w:rPr>
          <w:color w:val="000000"/>
          <w:sz w:val="28"/>
          <w:szCs w:val="28"/>
        </w:rPr>
        <w:t>,</w:t>
      </w:r>
      <w:r w:rsidR="00751C98">
        <w:rPr>
          <w:color w:val="000000"/>
          <w:sz w:val="28"/>
          <w:szCs w:val="28"/>
        </w:rPr>
        <w:t>332</w:t>
      </w:r>
      <w:r w:rsidRPr="002A3A9C">
        <w:rPr>
          <w:color w:val="000000"/>
          <w:sz w:val="28"/>
          <w:szCs w:val="28"/>
          <w:vertAlign w:val="superscript"/>
        </w:rPr>
        <w:t>(</w:t>
      </w:r>
      <w:r w:rsidR="00611217">
        <w:rPr>
          <w:color w:val="000000"/>
          <w:sz w:val="28"/>
          <w:vertAlign w:val="superscript"/>
        </w:rPr>
        <w:t>6</w:t>
      </w:r>
      <w:r w:rsidRPr="002A3A9C">
        <w:rPr>
          <w:color w:val="000000"/>
          <w:sz w:val="28"/>
          <w:vertAlign w:val="superscript"/>
        </w:rPr>
        <w:t>)</w:t>
      </w:r>
      <w:r w:rsidRPr="002A3A9C">
        <w:rPr>
          <w:color w:val="000000"/>
          <w:sz w:val="28"/>
          <w:szCs w:val="28"/>
        </w:rPr>
        <w:t xml:space="preserve"> in 2024.</w:t>
      </w:r>
      <w:r w:rsidR="0046197A" w:rsidRPr="008C32F6">
        <w:rPr>
          <w:color w:val="000000"/>
          <w:sz w:val="28"/>
          <w:szCs w:val="28"/>
        </w:rPr>
        <w:t xml:space="preserve"> </w:t>
      </w:r>
    </w:p>
    <w:p w14:paraId="2666BD43" w14:textId="5E039472" w:rsidR="008C32F6" w:rsidRDefault="00C47A2C" w:rsidP="00C47A2C">
      <w:pPr>
        <w:widowControl/>
        <w:rPr>
          <w:color w:val="000000"/>
          <w:sz w:val="28"/>
          <w:szCs w:val="28"/>
        </w:rPr>
      </w:pPr>
      <w:r>
        <w:rPr>
          <w:color w:val="000000"/>
          <w:sz w:val="28"/>
          <w:szCs w:val="28"/>
        </w:rPr>
        <w:br w:type="page"/>
      </w:r>
    </w:p>
    <w:p w14:paraId="31DFD036" w14:textId="2591FB37" w:rsidR="008C32F6" w:rsidRPr="008C32F6" w:rsidRDefault="00402867" w:rsidP="00864AD6">
      <w:pPr>
        <w:numPr>
          <w:ilvl w:val="1"/>
          <w:numId w:val="33"/>
        </w:numPr>
        <w:tabs>
          <w:tab w:val="left" w:pos="1080"/>
        </w:tabs>
        <w:overflowPunct w:val="0"/>
        <w:spacing w:line="360" w:lineRule="atLeast"/>
        <w:ind w:left="0" w:firstLine="0"/>
        <w:jc w:val="both"/>
        <w:rPr>
          <w:color w:val="000000"/>
          <w:sz w:val="28"/>
          <w:szCs w:val="28"/>
          <w:shd w:val="pct15" w:color="auto" w:fill="FFFFFF"/>
        </w:rPr>
      </w:pPr>
      <w:r>
        <w:rPr>
          <w:sz w:val="28"/>
          <w:szCs w:val="28"/>
        </w:rPr>
        <w:lastRenderedPageBreak/>
        <w:t xml:space="preserve">The </w:t>
      </w:r>
      <w:r w:rsidRPr="00652018">
        <w:rPr>
          <w:sz w:val="28"/>
          <w:szCs w:val="28"/>
        </w:rPr>
        <w:t xml:space="preserve">multiple-entry </w:t>
      </w:r>
      <w:r w:rsidRPr="00E36958">
        <w:rPr>
          <w:sz w:val="28"/>
          <w:szCs w:val="28"/>
        </w:rPr>
        <w:t xml:space="preserve">Individual Visit Scheme </w:t>
      </w:r>
      <w:r>
        <w:rPr>
          <w:sz w:val="28"/>
          <w:szCs w:val="28"/>
        </w:rPr>
        <w:t>(</w:t>
      </w:r>
      <w:r w:rsidRPr="00652018">
        <w:rPr>
          <w:sz w:val="28"/>
          <w:szCs w:val="28"/>
        </w:rPr>
        <w:t>IVS</w:t>
      </w:r>
      <w:r>
        <w:rPr>
          <w:sz w:val="28"/>
          <w:szCs w:val="28"/>
        </w:rPr>
        <w:t>)</w:t>
      </w:r>
      <w:r w:rsidRPr="00652018">
        <w:rPr>
          <w:sz w:val="28"/>
          <w:szCs w:val="28"/>
        </w:rPr>
        <w:t xml:space="preserve"> for Shenzhen perm</w:t>
      </w:r>
      <w:r>
        <w:rPr>
          <w:sz w:val="28"/>
          <w:szCs w:val="28"/>
        </w:rPr>
        <w:t>anent residents</w:t>
      </w:r>
      <w:r w:rsidR="007D3385">
        <w:rPr>
          <w:sz w:val="28"/>
          <w:szCs w:val="28"/>
        </w:rPr>
        <w:t xml:space="preserve"> has been resumed starting from 1 December 2024.</w:t>
      </w:r>
      <w:r w:rsidR="00864AD6">
        <w:rPr>
          <w:sz w:val="28"/>
          <w:szCs w:val="28"/>
        </w:rPr>
        <w:t xml:space="preserve">  A new arrangement was also implemented to expand </w:t>
      </w:r>
      <w:r w:rsidR="007D3385" w:rsidRPr="009E4BD6">
        <w:rPr>
          <w:sz w:val="28"/>
          <w:szCs w:val="28"/>
        </w:rPr>
        <w:t>eligible individuals from Shenzhen permanent residents to Shenzhen non-permanent residents holding residence permits</w:t>
      </w:r>
      <w:r w:rsidRPr="00652018">
        <w:rPr>
          <w:sz w:val="28"/>
          <w:szCs w:val="28"/>
        </w:rPr>
        <w:t xml:space="preserve">, </w:t>
      </w:r>
      <w:r>
        <w:rPr>
          <w:sz w:val="28"/>
          <w:szCs w:val="28"/>
        </w:rPr>
        <w:t>facilitating</w:t>
      </w:r>
      <w:r w:rsidRPr="00652018">
        <w:rPr>
          <w:sz w:val="28"/>
          <w:szCs w:val="28"/>
        </w:rPr>
        <w:t xml:space="preserve"> the</w:t>
      </w:r>
      <w:r>
        <w:rPr>
          <w:sz w:val="28"/>
          <w:szCs w:val="28"/>
        </w:rPr>
        <w:t>ir</w:t>
      </w:r>
      <w:r w:rsidRPr="00652018">
        <w:rPr>
          <w:sz w:val="28"/>
          <w:szCs w:val="28"/>
        </w:rPr>
        <w:t xml:space="preserve"> visit</w:t>
      </w:r>
      <w:r w:rsidR="00AF6B01">
        <w:rPr>
          <w:sz w:val="28"/>
          <w:szCs w:val="28"/>
        </w:rPr>
        <w:t>s</w:t>
      </w:r>
      <w:r w:rsidRPr="00652018">
        <w:rPr>
          <w:sz w:val="28"/>
          <w:szCs w:val="28"/>
        </w:rPr>
        <w:t xml:space="preserve"> </w:t>
      </w:r>
      <w:r>
        <w:rPr>
          <w:sz w:val="28"/>
          <w:szCs w:val="28"/>
        </w:rPr>
        <w:t xml:space="preserve">to </w:t>
      </w:r>
      <w:r w:rsidRPr="00652018">
        <w:rPr>
          <w:sz w:val="28"/>
          <w:szCs w:val="28"/>
        </w:rPr>
        <w:t xml:space="preserve">Hong Kong </w:t>
      </w:r>
      <w:r>
        <w:rPr>
          <w:sz w:val="28"/>
          <w:szCs w:val="28"/>
        </w:rPr>
        <w:t>with greater ease and flexibility</w:t>
      </w:r>
      <w:r w:rsidRPr="00652018">
        <w:rPr>
          <w:sz w:val="28"/>
          <w:szCs w:val="28"/>
        </w:rPr>
        <w:t>.</w:t>
      </w:r>
      <w:r>
        <w:rPr>
          <w:sz w:val="28"/>
          <w:szCs w:val="28"/>
        </w:rPr>
        <w:t xml:space="preserve">  Meanwhile, the Government announced in November the</w:t>
      </w:r>
      <w:r w:rsidRPr="005E2336">
        <w:rPr>
          <w:sz w:val="28"/>
          <w:szCs w:val="28"/>
        </w:rPr>
        <w:t xml:space="preserve"> calend</w:t>
      </w:r>
      <w:r>
        <w:rPr>
          <w:sz w:val="28"/>
          <w:szCs w:val="28"/>
        </w:rPr>
        <w:t>ar of mega events in Hong Kong for the first half of 2025, encompassing 93 events in various areas.  Separately, the Government promulgated the</w:t>
      </w:r>
      <w:r w:rsidRPr="005E2336">
        <w:rPr>
          <w:sz w:val="28"/>
          <w:szCs w:val="28"/>
        </w:rPr>
        <w:t xml:space="preserve"> Deve</w:t>
      </w:r>
      <w:r>
        <w:rPr>
          <w:sz w:val="28"/>
          <w:szCs w:val="28"/>
        </w:rPr>
        <w:t>lopment Blueprint for Hong Kong’</w:t>
      </w:r>
      <w:r w:rsidRPr="005E2336">
        <w:rPr>
          <w:sz w:val="28"/>
          <w:szCs w:val="28"/>
        </w:rPr>
        <w:t>s Tourism Industry 2.0</w:t>
      </w:r>
      <w:r>
        <w:rPr>
          <w:sz w:val="28"/>
          <w:szCs w:val="28"/>
        </w:rPr>
        <w:t xml:space="preserve"> in December, outlining in a forward-looking manner the core principles, development strategies and pathways for the future development of Hong Kong’s tourism industry.</w:t>
      </w:r>
    </w:p>
    <w:p w14:paraId="625D396C" w14:textId="77777777" w:rsidR="00C47A2C" w:rsidRDefault="00C47A2C" w:rsidP="0046197A">
      <w:pPr>
        <w:tabs>
          <w:tab w:val="left" w:pos="1080"/>
        </w:tabs>
        <w:overflowPunct w:val="0"/>
        <w:spacing w:line="360" w:lineRule="atLeast"/>
        <w:jc w:val="both"/>
        <w:rPr>
          <w:b/>
          <w:sz w:val="28"/>
          <w:szCs w:val="28"/>
          <w:shd w:val="pct15" w:color="auto" w:fill="FFFFFF"/>
        </w:rPr>
      </w:pPr>
    </w:p>
    <w:p w14:paraId="5FC8E2EC" w14:textId="77777777" w:rsidR="00C47A2C" w:rsidRDefault="00C47A2C" w:rsidP="0046197A">
      <w:pPr>
        <w:tabs>
          <w:tab w:val="left" w:pos="1080"/>
        </w:tabs>
        <w:overflowPunct w:val="0"/>
        <w:spacing w:line="360" w:lineRule="atLeast"/>
        <w:jc w:val="both"/>
        <w:rPr>
          <w:b/>
          <w:sz w:val="28"/>
          <w:szCs w:val="28"/>
          <w:shd w:val="pct15" w:color="auto" w:fill="FFFFFF"/>
        </w:rPr>
      </w:pPr>
    </w:p>
    <w:p w14:paraId="00B6DE77" w14:textId="30484697" w:rsidR="0046197A" w:rsidRPr="005E1A8E" w:rsidRDefault="0046197A" w:rsidP="0046197A">
      <w:pPr>
        <w:tabs>
          <w:tab w:val="left" w:pos="1080"/>
        </w:tabs>
        <w:overflowPunct w:val="0"/>
        <w:spacing w:line="360" w:lineRule="atLeast"/>
        <w:jc w:val="both"/>
        <w:rPr>
          <w:b/>
          <w:color w:val="000000"/>
          <w:sz w:val="28"/>
          <w:szCs w:val="28"/>
        </w:rPr>
      </w:pPr>
      <w:r w:rsidRPr="005E1A8E">
        <w:rPr>
          <w:b/>
          <w:color w:val="000000"/>
          <w:sz w:val="28"/>
          <w:szCs w:val="28"/>
        </w:rPr>
        <w:t>Logistics</w:t>
      </w:r>
    </w:p>
    <w:p w14:paraId="0281286B" w14:textId="77777777" w:rsidR="0046197A" w:rsidRPr="005E1A8E" w:rsidRDefault="0046197A" w:rsidP="0046197A">
      <w:pPr>
        <w:tabs>
          <w:tab w:val="left" w:pos="1080"/>
        </w:tabs>
        <w:overflowPunct w:val="0"/>
        <w:spacing w:line="360" w:lineRule="atLeast"/>
        <w:jc w:val="both"/>
        <w:rPr>
          <w:color w:val="000000"/>
          <w:sz w:val="28"/>
          <w:szCs w:val="28"/>
        </w:rPr>
      </w:pPr>
    </w:p>
    <w:p w14:paraId="2FF8324B" w14:textId="4456BE16" w:rsidR="0046197A" w:rsidRPr="00584B39" w:rsidRDefault="0046197A" w:rsidP="00B03BD1">
      <w:pPr>
        <w:numPr>
          <w:ilvl w:val="1"/>
          <w:numId w:val="33"/>
        </w:numPr>
        <w:tabs>
          <w:tab w:val="left" w:pos="1080"/>
        </w:tabs>
        <w:overflowPunct w:val="0"/>
        <w:spacing w:line="360" w:lineRule="atLeast"/>
        <w:ind w:left="0" w:firstLine="0"/>
        <w:jc w:val="both"/>
        <w:rPr>
          <w:color w:val="000000"/>
          <w:sz w:val="28"/>
          <w:szCs w:val="28"/>
        </w:rPr>
      </w:pPr>
      <w:r w:rsidRPr="005F2C89">
        <w:rPr>
          <w:color w:val="000000"/>
          <w:sz w:val="28"/>
          <w:szCs w:val="28"/>
        </w:rPr>
        <w:t xml:space="preserve">The </w:t>
      </w:r>
      <w:r w:rsidRPr="00DA3304">
        <w:rPr>
          <w:sz w:val="28"/>
          <w:szCs w:val="28"/>
        </w:rPr>
        <w:t>logistics</w:t>
      </w:r>
      <w:r w:rsidRPr="005F2C89">
        <w:rPr>
          <w:color w:val="000000"/>
          <w:sz w:val="28"/>
          <w:szCs w:val="28"/>
        </w:rPr>
        <w:t xml:space="preserve"> sector </w:t>
      </w:r>
      <w:r w:rsidR="00B03BD1" w:rsidRPr="00B03BD1">
        <w:rPr>
          <w:color w:val="000000"/>
          <w:sz w:val="28"/>
          <w:szCs w:val="28"/>
        </w:rPr>
        <w:t>showed mixed performance</w:t>
      </w:r>
      <w:r w:rsidRPr="005F2C89">
        <w:rPr>
          <w:color w:val="000000"/>
          <w:sz w:val="28"/>
          <w:szCs w:val="28"/>
        </w:rPr>
        <w:t xml:space="preserve"> in 202</w:t>
      </w:r>
      <w:r w:rsidR="002330F7">
        <w:rPr>
          <w:color w:val="000000"/>
          <w:sz w:val="28"/>
          <w:szCs w:val="28"/>
        </w:rPr>
        <w:t>4</w:t>
      </w:r>
      <w:r w:rsidRPr="005F2C89">
        <w:rPr>
          <w:color w:val="000000"/>
          <w:sz w:val="28"/>
          <w:szCs w:val="28"/>
        </w:rPr>
        <w:t>.</w:t>
      </w:r>
      <w:r w:rsidRPr="005E1A8E">
        <w:rPr>
          <w:color w:val="000000"/>
          <w:sz w:val="28"/>
          <w:szCs w:val="28"/>
        </w:rPr>
        <w:t xml:space="preserve">  </w:t>
      </w:r>
      <w:r w:rsidRPr="005E1A8E">
        <w:rPr>
          <w:i/>
          <w:color w:val="000000"/>
          <w:sz w:val="28"/>
          <w:szCs w:val="28"/>
        </w:rPr>
        <w:t>Total container throughput</w:t>
      </w:r>
      <w:r w:rsidRPr="005E1A8E">
        <w:rPr>
          <w:color w:val="000000"/>
          <w:sz w:val="28"/>
          <w:szCs w:val="28"/>
        </w:rPr>
        <w:t xml:space="preserve"> </w:t>
      </w:r>
      <w:r w:rsidR="002330F7">
        <w:rPr>
          <w:color w:val="000000"/>
          <w:sz w:val="28"/>
          <w:szCs w:val="28"/>
        </w:rPr>
        <w:t>fell</w:t>
      </w:r>
      <w:r w:rsidRPr="005E1A8E">
        <w:rPr>
          <w:color w:val="000000"/>
          <w:sz w:val="28"/>
          <w:szCs w:val="28"/>
        </w:rPr>
        <w:t xml:space="preserve"> by </w:t>
      </w:r>
      <w:r w:rsidR="002330F7">
        <w:rPr>
          <w:color w:val="000000"/>
          <w:sz w:val="28"/>
          <w:szCs w:val="28"/>
        </w:rPr>
        <w:t xml:space="preserve">another </w:t>
      </w:r>
      <w:r w:rsidR="00AE788C">
        <w:rPr>
          <w:color w:val="000000"/>
          <w:sz w:val="28"/>
          <w:szCs w:val="28"/>
        </w:rPr>
        <w:t>4.</w:t>
      </w:r>
      <w:r w:rsidR="004F5848">
        <w:rPr>
          <w:color w:val="000000"/>
          <w:sz w:val="28"/>
          <w:szCs w:val="28"/>
        </w:rPr>
        <w:t>9</w:t>
      </w:r>
      <w:r w:rsidRPr="005E1A8E">
        <w:rPr>
          <w:color w:val="000000"/>
          <w:sz w:val="28"/>
          <w:szCs w:val="28"/>
        </w:rPr>
        <w:t xml:space="preserve">% to about </w:t>
      </w:r>
      <w:r w:rsidR="00BA787E">
        <w:rPr>
          <w:color w:val="000000"/>
          <w:sz w:val="28"/>
          <w:szCs w:val="28"/>
        </w:rPr>
        <w:t>13</w:t>
      </w:r>
      <w:r w:rsidRPr="005E1A8E">
        <w:rPr>
          <w:color w:val="000000"/>
          <w:sz w:val="28"/>
          <w:szCs w:val="28"/>
        </w:rPr>
        <w:t>.</w:t>
      </w:r>
      <w:r w:rsidR="00AE788C">
        <w:rPr>
          <w:color w:val="000000"/>
          <w:sz w:val="28"/>
          <w:szCs w:val="28"/>
        </w:rPr>
        <w:t>7</w:t>
      </w:r>
      <w:r w:rsidR="00F22CA8" w:rsidRPr="005E1A8E">
        <w:rPr>
          <w:color w:val="000000"/>
          <w:sz w:val="28"/>
          <w:szCs w:val="28"/>
        </w:rPr>
        <w:t> </w:t>
      </w:r>
      <w:r w:rsidRPr="005E1A8E">
        <w:rPr>
          <w:color w:val="000000"/>
          <w:sz w:val="28"/>
          <w:szCs w:val="28"/>
        </w:rPr>
        <w:t>million twenty-foot equivalent units (TEUs).</w:t>
      </w:r>
      <w:r>
        <w:rPr>
          <w:color w:val="000000"/>
          <w:sz w:val="28"/>
          <w:szCs w:val="28"/>
        </w:rPr>
        <w:t xml:space="preserve">  </w:t>
      </w:r>
      <w:r w:rsidRPr="00165174">
        <w:rPr>
          <w:sz w:val="28"/>
          <w:szCs w:val="28"/>
        </w:rPr>
        <w:t xml:space="preserve">Within the laden container throughput, direct shipment </w:t>
      </w:r>
      <w:r w:rsidR="00F06825">
        <w:rPr>
          <w:sz w:val="28"/>
          <w:szCs w:val="28"/>
        </w:rPr>
        <w:t>edged up by</w:t>
      </w:r>
      <w:r w:rsidR="00F06825" w:rsidRPr="00165174">
        <w:rPr>
          <w:sz w:val="28"/>
          <w:szCs w:val="28"/>
        </w:rPr>
        <w:t xml:space="preserve"> </w:t>
      </w:r>
      <w:r w:rsidR="001B1741">
        <w:rPr>
          <w:sz w:val="28"/>
          <w:szCs w:val="28"/>
        </w:rPr>
        <w:t>0.5</w:t>
      </w:r>
      <w:r w:rsidR="00F06825">
        <w:rPr>
          <w:sz w:val="28"/>
          <w:szCs w:val="28"/>
        </w:rPr>
        <w:t xml:space="preserve">%, while </w:t>
      </w:r>
      <w:r w:rsidR="00F06825" w:rsidRPr="00165174">
        <w:rPr>
          <w:sz w:val="28"/>
          <w:szCs w:val="28"/>
        </w:rPr>
        <w:t xml:space="preserve">transhipment </w:t>
      </w:r>
      <w:r w:rsidR="00DF43ED">
        <w:rPr>
          <w:sz w:val="28"/>
          <w:szCs w:val="28"/>
        </w:rPr>
        <w:t>went down</w:t>
      </w:r>
      <w:r w:rsidR="00DF43ED" w:rsidRPr="00165174">
        <w:rPr>
          <w:sz w:val="28"/>
          <w:szCs w:val="28"/>
        </w:rPr>
        <w:t xml:space="preserve"> </w:t>
      </w:r>
      <w:r w:rsidRPr="00165174">
        <w:rPr>
          <w:sz w:val="28"/>
          <w:szCs w:val="28"/>
        </w:rPr>
        <w:t xml:space="preserve">by </w:t>
      </w:r>
      <w:r w:rsidR="00816B81">
        <w:rPr>
          <w:sz w:val="28"/>
          <w:szCs w:val="28"/>
        </w:rPr>
        <w:t>4.6</w:t>
      </w:r>
      <w:r w:rsidRPr="00165174">
        <w:rPr>
          <w:sz w:val="28"/>
          <w:szCs w:val="28"/>
        </w:rPr>
        <w:t>%</w:t>
      </w:r>
      <w:r w:rsidR="009169FF">
        <w:rPr>
          <w:sz w:val="28"/>
          <w:szCs w:val="28"/>
        </w:rPr>
        <w:t xml:space="preserve">.  </w:t>
      </w:r>
      <w:r w:rsidRPr="00165174">
        <w:rPr>
          <w:sz w:val="28"/>
          <w:szCs w:val="28"/>
        </w:rPr>
        <w:t>T</w:t>
      </w:r>
      <w:r w:rsidRPr="00165174">
        <w:rPr>
          <w:color w:val="000000"/>
          <w:sz w:val="28"/>
          <w:szCs w:val="28"/>
        </w:rPr>
        <w:t xml:space="preserve">he value of trade handled at the Hong Kong port </w:t>
      </w:r>
      <w:r w:rsidR="00871495" w:rsidRPr="00165174">
        <w:rPr>
          <w:color w:val="000000"/>
          <w:sz w:val="28"/>
          <w:szCs w:val="28"/>
        </w:rPr>
        <w:t>fell</w:t>
      </w:r>
      <w:r w:rsidRPr="00165174">
        <w:rPr>
          <w:color w:val="000000"/>
          <w:sz w:val="28"/>
          <w:szCs w:val="28"/>
        </w:rPr>
        <w:t xml:space="preserve"> by </w:t>
      </w:r>
      <w:r w:rsidR="00871495" w:rsidRPr="00165174">
        <w:rPr>
          <w:color w:val="000000"/>
          <w:sz w:val="28"/>
          <w:szCs w:val="28"/>
        </w:rPr>
        <w:t>4.</w:t>
      </w:r>
      <w:r w:rsidR="00864E55">
        <w:rPr>
          <w:color w:val="000000"/>
          <w:sz w:val="28"/>
          <w:szCs w:val="28"/>
        </w:rPr>
        <w:t>1</w:t>
      </w:r>
      <w:r w:rsidRPr="00165174">
        <w:rPr>
          <w:color w:val="000000"/>
          <w:sz w:val="28"/>
          <w:szCs w:val="28"/>
        </w:rPr>
        <w:t xml:space="preserve">% and its share in total trade </w:t>
      </w:r>
      <w:r w:rsidR="00DF43ED">
        <w:rPr>
          <w:color w:val="000000"/>
          <w:sz w:val="28"/>
          <w:szCs w:val="28"/>
        </w:rPr>
        <w:t>shrank</w:t>
      </w:r>
      <w:r w:rsidR="00DF43ED" w:rsidRPr="00165174">
        <w:rPr>
          <w:color w:val="000000"/>
          <w:sz w:val="28"/>
          <w:szCs w:val="28"/>
        </w:rPr>
        <w:t xml:space="preserve"> </w:t>
      </w:r>
      <w:r w:rsidRPr="00165174">
        <w:rPr>
          <w:color w:val="000000"/>
          <w:sz w:val="28"/>
          <w:szCs w:val="28"/>
        </w:rPr>
        <w:t xml:space="preserve">from </w:t>
      </w:r>
      <w:r w:rsidR="00DA3304" w:rsidRPr="00165174">
        <w:rPr>
          <w:color w:val="000000"/>
          <w:sz w:val="28"/>
          <w:szCs w:val="28"/>
        </w:rPr>
        <w:t>12.5% in 2023</w:t>
      </w:r>
      <w:r w:rsidRPr="00165174">
        <w:rPr>
          <w:color w:val="000000"/>
          <w:sz w:val="28"/>
          <w:szCs w:val="28"/>
        </w:rPr>
        <w:t xml:space="preserve"> to </w:t>
      </w:r>
      <w:r w:rsidR="00871495" w:rsidRPr="00165174">
        <w:rPr>
          <w:color w:val="000000"/>
          <w:sz w:val="28"/>
          <w:szCs w:val="28"/>
        </w:rPr>
        <w:t>11.</w:t>
      </w:r>
      <w:r w:rsidR="009169FF">
        <w:rPr>
          <w:color w:val="000000"/>
          <w:sz w:val="28"/>
          <w:szCs w:val="28"/>
        </w:rPr>
        <w:t>1</w:t>
      </w:r>
      <w:r w:rsidRPr="00165174">
        <w:rPr>
          <w:color w:val="000000"/>
          <w:sz w:val="28"/>
          <w:szCs w:val="28"/>
        </w:rPr>
        <w:t>% in 202</w:t>
      </w:r>
      <w:r w:rsidR="00DA3304" w:rsidRPr="00165174">
        <w:rPr>
          <w:color w:val="000000"/>
          <w:sz w:val="28"/>
          <w:szCs w:val="28"/>
        </w:rPr>
        <w:t>4</w:t>
      </w:r>
      <w:r w:rsidRPr="00165174">
        <w:rPr>
          <w:color w:val="000000"/>
          <w:sz w:val="28"/>
          <w:szCs w:val="28"/>
        </w:rPr>
        <w:t xml:space="preserve">. </w:t>
      </w:r>
      <w:r w:rsidR="00DA3304" w:rsidRPr="00165174">
        <w:rPr>
          <w:color w:val="000000"/>
          <w:sz w:val="28"/>
          <w:szCs w:val="28"/>
        </w:rPr>
        <w:t xml:space="preserve"> </w:t>
      </w:r>
    </w:p>
    <w:p w14:paraId="5FAE26AB" w14:textId="77777777" w:rsidR="0046197A" w:rsidRDefault="0046197A" w:rsidP="0046197A">
      <w:pPr>
        <w:tabs>
          <w:tab w:val="left" w:pos="1080"/>
        </w:tabs>
        <w:overflowPunct w:val="0"/>
        <w:spacing w:line="360" w:lineRule="atLeast"/>
        <w:jc w:val="both"/>
        <w:rPr>
          <w:color w:val="000000"/>
          <w:sz w:val="28"/>
          <w:szCs w:val="28"/>
        </w:rPr>
      </w:pPr>
    </w:p>
    <w:p w14:paraId="370E6140" w14:textId="2F2C799A" w:rsidR="0046197A" w:rsidRPr="0019789C" w:rsidRDefault="00A04D0E" w:rsidP="0046197A">
      <w:pPr>
        <w:tabs>
          <w:tab w:val="left" w:pos="1080"/>
        </w:tabs>
        <w:overflowPunct w:val="0"/>
        <w:spacing w:line="360" w:lineRule="atLeast"/>
        <w:jc w:val="both"/>
        <w:rPr>
          <w:color w:val="000000"/>
          <w:sz w:val="28"/>
          <w:szCs w:val="28"/>
        </w:rPr>
      </w:pPr>
      <w:r w:rsidRPr="00A04D0E">
        <w:rPr>
          <w:noProof/>
          <w:color w:val="000000"/>
          <w:sz w:val="28"/>
          <w:szCs w:val="28"/>
        </w:rPr>
        <w:drawing>
          <wp:inline distT="0" distB="0" distL="0" distR="0" wp14:anchorId="7FCB231D" wp14:editId="3493F186">
            <wp:extent cx="5733415" cy="3496929"/>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3415" cy="3496929"/>
                    </a:xfrm>
                    <a:prstGeom prst="rect">
                      <a:avLst/>
                    </a:prstGeom>
                    <a:noFill/>
                    <a:ln>
                      <a:noFill/>
                    </a:ln>
                  </pic:spPr>
                </pic:pic>
              </a:graphicData>
            </a:graphic>
          </wp:inline>
        </w:drawing>
      </w:r>
    </w:p>
    <w:p w14:paraId="3DB59E6E" w14:textId="54F2272B" w:rsidR="00E732ED" w:rsidRDefault="00E732ED">
      <w:pPr>
        <w:widowControl/>
        <w:rPr>
          <w:sz w:val="28"/>
          <w:szCs w:val="28"/>
        </w:rPr>
      </w:pPr>
      <w:r>
        <w:rPr>
          <w:sz w:val="28"/>
          <w:szCs w:val="28"/>
        </w:rPr>
        <w:br w:type="page"/>
      </w:r>
    </w:p>
    <w:p w14:paraId="7B8BB50E" w14:textId="22AD8B06" w:rsidR="0046197A" w:rsidRPr="00730B87" w:rsidRDefault="0046197A" w:rsidP="00730B87">
      <w:pPr>
        <w:numPr>
          <w:ilvl w:val="1"/>
          <w:numId w:val="33"/>
        </w:numPr>
        <w:tabs>
          <w:tab w:val="left" w:pos="1080"/>
        </w:tabs>
        <w:overflowPunct w:val="0"/>
        <w:spacing w:line="360" w:lineRule="atLeast"/>
        <w:ind w:left="0" w:firstLine="0"/>
        <w:jc w:val="both"/>
        <w:rPr>
          <w:color w:val="000000"/>
          <w:sz w:val="28"/>
          <w:szCs w:val="28"/>
        </w:rPr>
      </w:pPr>
      <w:r w:rsidRPr="002D76BB">
        <w:rPr>
          <w:i/>
          <w:color w:val="000000"/>
          <w:sz w:val="28"/>
          <w:szCs w:val="28"/>
        </w:rPr>
        <w:lastRenderedPageBreak/>
        <w:t>Air freight throughput</w:t>
      </w:r>
      <w:r w:rsidR="0008409B" w:rsidRPr="005B3398">
        <w:rPr>
          <w:color w:val="000000"/>
          <w:sz w:val="28"/>
          <w:szCs w:val="28"/>
        </w:rPr>
        <w:t xml:space="preserve">, </w:t>
      </w:r>
      <w:r w:rsidR="0008409B">
        <w:rPr>
          <w:color w:val="000000"/>
          <w:sz w:val="28"/>
          <w:szCs w:val="28"/>
        </w:rPr>
        <w:t>on the other hand,</w:t>
      </w:r>
      <w:r w:rsidRPr="002D76BB">
        <w:rPr>
          <w:color w:val="000000"/>
          <w:sz w:val="28"/>
          <w:szCs w:val="28"/>
        </w:rPr>
        <w:t xml:space="preserve"> </w:t>
      </w:r>
      <w:r w:rsidR="0008409B">
        <w:rPr>
          <w:color w:val="000000"/>
          <w:sz w:val="28"/>
          <w:szCs w:val="28"/>
        </w:rPr>
        <w:t>grew</w:t>
      </w:r>
      <w:r w:rsidR="0008409B" w:rsidRPr="002D76BB">
        <w:rPr>
          <w:color w:val="000000"/>
          <w:sz w:val="28"/>
          <w:szCs w:val="28"/>
        </w:rPr>
        <w:t xml:space="preserve"> </w:t>
      </w:r>
      <w:r w:rsidR="002D76BB" w:rsidRPr="002D76BB">
        <w:rPr>
          <w:color w:val="000000"/>
          <w:sz w:val="28"/>
          <w:szCs w:val="28"/>
        </w:rPr>
        <w:t>visibly</w:t>
      </w:r>
      <w:r w:rsidRPr="002D76BB">
        <w:rPr>
          <w:color w:val="000000"/>
          <w:sz w:val="28"/>
          <w:szCs w:val="28"/>
        </w:rPr>
        <w:t xml:space="preserve"> by </w:t>
      </w:r>
      <w:r w:rsidR="00260CBA">
        <w:rPr>
          <w:color w:val="000000"/>
          <w:sz w:val="28"/>
          <w:szCs w:val="28"/>
        </w:rPr>
        <w:t>14.1</w:t>
      </w:r>
      <w:r w:rsidRPr="002D76BB">
        <w:rPr>
          <w:color w:val="000000"/>
          <w:sz w:val="28"/>
          <w:szCs w:val="28"/>
        </w:rPr>
        <w:t>% to 4.</w:t>
      </w:r>
      <w:r w:rsidR="002D76BB" w:rsidRPr="002D76BB">
        <w:rPr>
          <w:color w:val="000000"/>
          <w:sz w:val="28"/>
          <w:szCs w:val="28"/>
        </w:rPr>
        <w:t>9</w:t>
      </w:r>
      <w:r w:rsidRPr="002D76BB">
        <w:rPr>
          <w:color w:val="000000"/>
          <w:sz w:val="28"/>
          <w:szCs w:val="28"/>
          <w:lang w:val="en-US"/>
        </w:rPr>
        <w:t> </w:t>
      </w:r>
      <w:r w:rsidRPr="002D76BB">
        <w:rPr>
          <w:color w:val="000000"/>
          <w:sz w:val="28"/>
          <w:szCs w:val="28"/>
        </w:rPr>
        <w:t xml:space="preserve">million </w:t>
      </w:r>
      <w:r w:rsidRPr="00730B87">
        <w:rPr>
          <w:color w:val="000000"/>
          <w:sz w:val="28"/>
          <w:szCs w:val="28"/>
        </w:rPr>
        <w:t>tonnes</w:t>
      </w:r>
      <w:r w:rsidR="00466C55" w:rsidRPr="00466C55">
        <w:rPr>
          <w:color w:val="000000"/>
          <w:sz w:val="28"/>
          <w:szCs w:val="28"/>
        </w:rPr>
        <w:t xml:space="preserve"> </w:t>
      </w:r>
      <w:r w:rsidR="00466C55" w:rsidRPr="002D76BB">
        <w:rPr>
          <w:color w:val="000000"/>
          <w:sz w:val="28"/>
          <w:szCs w:val="28"/>
        </w:rPr>
        <w:t>in 2024</w:t>
      </w:r>
      <w:r w:rsidRPr="00730B87">
        <w:rPr>
          <w:color w:val="000000"/>
          <w:sz w:val="28"/>
          <w:szCs w:val="28"/>
        </w:rPr>
        <w:t xml:space="preserve">.  The value of trade by air </w:t>
      </w:r>
      <w:r w:rsidR="00730B87" w:rsidRPr="00730B87">
        <w:rPr>
          <w:color w:val="000000"/>
          <w:sz w:val="28"/>
          <w:szCs w:val="28"/>
        </w:rPr>
        <w:t>rose back</w:t>
      </w:r>
      <w:r w:rsidRPr="00730B87">
        <w:rPr>
          <w:color w:val="000000"/>
          <w:sz w:val="28"/>
          <w:szCs w:val="28"/>
        </w:rPr>
        <w:t xml:space="preserve"> by </w:t>
      </w:r>
      <w:r w:rsidR="000A1B1B">
        <w:rPr>
          <w:color w:val="000000"/>
          <w:sz w:val="28"/>
          <w:szCs w:val="28"/>
        </w:rPr>
        <w:t>3.</w:t>
      </w:r>
      <w:r w:rsidR="00A70B7C">
        <w:rPr>
          <w:color w:val="000000"/>
          <w:sz w:val="28"/>
          <w:szCs w:val="28"/>
        </w:rPr>
        <w:t>4</w:t>
      </w:r>
      <w:r w:rsidRPr="00730B87">
        <w:rPr>
          <w:color w:val="000000"/>
          <w:sz w:val="28"/>
          <w:szCs w:val="28"/>
        </w:rPr>
        <w:t>%</w:t>
      </w:r>
      <w:r w:rsidR="00730B87" w:rsidRPr="00730B87">
        <w:rPr>
          <w:color w:val="000000"/>
          <w:sz w:val="28"/>
          <w:szCs w:val="28"/>
        </w:rPr>
        <w:t xml:space="preserve">, </w:t>
      </w:r>
      <w:r w:rsidR="00ED466B">
        <w:rPr>
          <w:color w:val="000000"/>
          <w:sz w:val="28"/>
          <w:szCs w:val="28"/>
        </w:rPr>
        <w:t>albeit</w:t>
      </w:r>
      <w:r w:rsidR="0008409B">
        <w:rPr>
          <w:color w:val="000000"/>
          <w:sz w:val="28"/>
          <w:szCs w:val="28"/>
        </w:rPr>
        <w:t xml:space="preserve"> </w:t>
      </w:r>
      <w:r w:rsidR="00F257E8">
        <w:rPr>
          <w:color w:val="000000"/>
          <w:sz w:val="28"/>
          <w:szCs w:val="28"/>
        </w:rPr>
        <w:t xml:space="preserve">with </w:t>
      </w:r>
      <w:r w:rsidR="0008409B">
        <w:rPr>
          <w:color w:val="000000"/>
          <w:sz w:val="28"/>
          <w:szCs w:val="28"/>
        </w:rPr>
        <w:t xml:space="preserve">a further decline in </w:t>
      </w:r>
      <w:r w:rsidR="005D4AFF">
        <w:rPr>
          <w:color w:val="000000"/>
          <w:sz w:val="28"/>
          <w:szCs w:val="28"/>
        </w:rPr>
        <w:t xml:space="preserve">its share of </w:t>
      </w:r>
      <w:r w:rsidR="0008409B">
        <w:rPr>
          <w:color w:val="000000"/>
          <w:sz w:val="28"/>
          <w:szCs w:val="28"/>
        </w:rPr>
        <w:t>total trade</w:t>
      </w:r>
      <w:r w:rsidRPr="00730B87">
        <w:rPr>
          <w:color w:val="000000"/>
          <w:sz w:val="28"/>
          <w:szCs w:val="28"/>
        </w:rPr>
        <w:t xml:space="preserve"> from </w:t>
      </w:r>
      <w:r w:rsidR="00730B87" w:rsidRPr="00730B87">
        <w:rPr>
          <w:color w:val="000000"/>
          <w:sz w:val="28"/>
          <w:szCs w:val="28"/>
        </w:rPr>
        <w:t>47.2% to 45.</w:t>
      </w:r>
      <w:r w:rsidR="00A70B7C">
        <w:rPr>
          <w:color w:val="000000"/>
          <w:sz w:val="28"/>
          <w:szCs w:val="28"/>
        </w:rPr>
        <w:t>5</w:t>
      </w:r>
      <w:r w:rsidRPr="00730B87">
        <w:rPr>
          <w:color w:val="000000"/>
          <w:sz w:val="28"/>
          <w:szCs w:val="28"/>
        </w:rPr>
        <w:t>%.</w:t>
      </w:r>
    </w:p>
    <w:p w14:paraId="39ADC4C9" w14:textId="5BB2B947" w:rsidR="0046197A" w:rsidRPr="005E1A8E" w:rsidRDefault="0046197A" w:rsidP="0046197A">
      <w:pPr>
        <w:tabs>
          <w:tab w:val="left" w:pos="1080"/>
        </w:tabs>
        <w:overflowPunct w:val="0"/>
        <w:spacing w:line="360" w:lineRule="atLeast"/>
        <w:jc w:val="both"/>
        <w:rPr>
          <w:color w:val="000000"/>
          <w:sz w:val="28"/>
          <w:szCs w:val="28"/>
        </w:rPr>
      </w:pPr>
    </w:p>
    <w:p w14:paraId="5A631FAB" w14:textId="1AEF211F" w:rsidR="0046197A" w:rsidRPr="009E4BD6" w:rsidRDefault="00D72DC4" w:rsidP="0046197A">
      <w:pPr>
        <w:tabs>
          <w:tab w:val="left" w:pos="1080"/>
        </w:tabs>
        <w:overflowPunct w:val="0"/>
        <w:spacing w:line="360" w:lineRule="atLeast"/>
        <w:jc w:val="both"/>
        <w:rPr>
          <w:sz w:val="28"/>
          <w:highlight w:val="yellow"/>
        </w:rPr>
      </w:pPr>
      <w:r w:rsidRPr="00D95B79">
        <w:rPr>
          <w:noProof/>
          <w:sz w:val="28"/>
          <w:szCs w:val="28"/>
        </w:rPr>
        <w:drawing>
          <wp:inline distT="0" distB="0" distL="0" distR="0" wp14:anchorId="47276F41" wp14:editId="2FF270CE">
            <wp:extent cx="5733415" cy="3496505"/>
            <wp:effectExtent l="0" t="0" r="0" b="889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3415" cy="3496505"/>
                    </a:xfrm>
                    <a:prstGeom prst="rect">
                      <a:avLst/>
                    </a:prstGeom>
                    <a:noFill/>
                    <a:ln>
                      <a:noFill/>
                    </a:ln>
                  </pic:spPr>
                </pic:pic>
              </a:graphicData>
            </a:graphic>
          </wp:inline>
        </w:drawing>
      </w:r>
    </w:p>
    <w:p w14:paraId="27C2DC5B" w14:textId="77777777" w:rsidR="0046197A" w:rsidRPr="005E1A8E" w:rsidRDefault="0046197A" w:rsidP="0046197A">
      <w:pPr>
        <w:tabs>
          <w:tab w:val="left" w:pos="1080"/>
        </w:tabs>
        <w:overflowPunct w:val="0"/>
        <w:spacing w:line="360" w:lineRule="atLeast"/>
        <w:jc w:val="both"/>
        <w:rPr>
          <w:b/>
          <w:color w:val="000000"/>
          <w:sz w:val="28"/>
          <w:szCs w:val="28"/>
        </w:rPr>
      </w:pPr>
    </w:p>
    <w:p w14:paraId="798C64D9" w14:textId="77777777" w:rsidR="0046197A" w:rsidRPr="005E1A8E" w:rsidRDefault="0046197A" w:rsidP="0046197A">
      <w:pPr>
        <w:tabs>
          <w:tab w:val="left" w:pos="1080"/>
        </w:tabs>
        <w:overflowPunct w:val="0"/>
        <w:spacing w:line="360" w:lineRule="atLeast"/>
        <w:jc w:val="both"/>
        <w:rPr>
          <w:b/>
          <w:color w:val="000000"/>
          <w:sz w:val="28"/>
          <w:szCs w:val="28"/>
        </w:rPr>
      </w:pPr>
    </w:p>
    <w:p w14:paraId="1A05D836" w14:textId="77777777" w:rsidR="0046197A" w:rsidRPr="005E1A8E" w:rsidRDefault="0046197A" w:rsidP="0046197A">
      <w:pPr>
        <w:tabs>
          <w:tab w:val="left" w:pos="1080"/>
        </w:tabs>
        <w:overflowPunct w:val="0"/>
        <w:spacing w:line="360" w:lineRule="atLeast"/>
        <w:jc w:val="both"/>
        <w:rPr>
          <w:b/>
          <w:color w:val="000000"/>
          <w:sz w:val="28"/>
          <w:szCs w:val="28"/>
        </w:rPr>
      </w:pPr>
      <w:r w:rsidRPr="005E1A8E">
        <w:rPr>
          <w:b/>
          <w:color w:val="000000"/>
          <w:sz w:val="28"/>
          <w:szCs w:val="28"/>
        </w:rPr>
        <w:t>Transport</w:t>
      </w:r>
    </w:p>
    <w:p w14:paraId="6D44615D" w14:textId="77777777" w:rsidR="0046197A" w:rsidRPr="00FE6B85" w:rsidRDefault="0046197A" w:rsidP="0046197A">
      <w:pPr>
        <w:tabs>
          <w:tab w:val="left" w:pos="1080"/>
        </w:tabs>
        <w:overflowPunct w:val="0"/>
        <w:spacing w:line="360" w:lineRule="atLeast"/>
        <w:jc w:val="both"/>
        <w:rPr>
          <w:b/>
          <w:color w:val="000000"/>
          <w:sz w:val="28"/>
          <w:szCs w:val="28"/>
        </w:rPr>
      </w:pPr>
    </w:p>
    <w:p w14:paraId="73580D24" w14:textId="2D760D53" w:rsidR="0046197A" w:rsidRPr="00FE6B85" w:rsidRDefault="0046197A" w:rsidP="00FF7D7D">
      <w:pPr>
        <w:numPr>
          <w:ilvl w:val="1"/>
          <w:numId w:val="33"/>
        </w:numPr>
        <w:tabs>
          <w:tab w:val="left" w:pos="1080"/>
        </w:tabs>
        <w:overflowPunct w:val="0"/>
        <w:spacing w:line="360" w:lineRule="atLeast"/>
        <w:ind w:left="0" w:firstLine="0"/>
        <w:jc w:val="both"/>
        <w:rPr>
          <w:color w:val="000000"/>
          <w:sz w:val="28"/>
        </w:rPr>
      </w:pPr>
      <w:r w:rsidRPr="00E41A03">
        <w:rPr>
          <w:color w:val="000000"/>
          <w:sz w:val="28"/>
          <w:szCs w:val="28"/>
        </w:rPr>
        <w:t xml:space="preserve">Traffic flows for all modes of cross-boundary passenger transport </w:t>
      </w:r>
      <w:r w:rsidR="00E41A03" w:rsidRPr="00E41A03">
        <w:rPr>
          <w:color w:val="000000"/>
          <w:sz w:val="28"/>
          <w:szCs w:val="28"/>
        </w:rPr>
        <w:t xml:space="preserve">continued to </w:t>
      </w:r>
      <w:r w:rsidR="00FF7D7D">
        <w:rPr>
          <w:color w:val="000000"/>
          <w:sz w:val="28"/>
          <w:szCs w:val="28"/>
        </w:rPr>
        <w:t xml:space="preserve">grow </w:t>
      </w:r>
      <w:r w:rsidR="00E41A03" w:rsidRPr="00E41A03">
        <w:rPr>
          <w:color w:val="000000"/>
          <w:sz w:val="28"/>
          <w:szCs w:val="28"/>
        </w:rPr>
        <w:t>in 2024</w:t>
      </w:r>
      <w:r w:rsidRPr="00E41A03">
        <w:rPr>
          <w:color w:val="000000"/>
          <w:sz w:val="28"/>
          <w:szCs w:val="28"/>
        </w:rPr>
        <w:t>, though by varying extents.</w:t>
      </w:r>
      <w:r w:rsidRPr="00E41A03">
        <w:rPr>
          <w:color w:val="000000"/>
          <w:sz w:val="28"/>
        </w:rPr>
        <w:t xml:space="preserve">  A</w:t>
      </w:r>
      <w:r w:rsidRPr="00E41A03">
        <w:rPr>
          <w:color w:val="000000"/>
          <w:sz w:val="28"/>
          <w:szCs w:val="28"/>
        </w:rPr>
        <w:t>ir passenger trips and land-based cross</w:t>
      </w:r>
      <w:r w:rsidRPr="00E41A03">
        <w:rPr>
          <w:color w:val="000000"/>
          <w:sz w:val="28"/>
          <w:szCs w:val="28"/>
        </w:rPr>
        <w:noBreakHyphen/>
        <w:t xml:space="preserve">boundary passenger trips </w:t>
      </w:r>
      <w:r w:rsidR="00913961">
        <w:rPr>
          <w:color w:val="000000"/>
          <w:sz w:val="28"/>
          <w:szCs w:val="28"/>
        </w:rPr>
        <w:t>both rose significantly</w:t>
      </w:r>
      <w:r w:rsidR="00913961" w:rsidRPr="00E41A03">
        <w:rPr>
          <w:color w:val="000000"/>
          <w:sz w:val="28"/>
          <w:szCs w:val="28"/>
        </w:rPr>
        <w:t xml:space="preserve"> </w:t>
      </w:r>
      <w:r w:rsidR="00E41A03" w:rsidRPr="00E41A03">
        <w:rPr>
          <w:color w:val="000000"/>
          <w:sz w:val="28"/>
          <w:szCs w:val="28"/>
        </w:rPr>
        <w:t xml:space="preserve">by </w:t>
      </w:r>
      <w:r w:rsidR="00BB552C">
        <w:rPr>
          <w:color w:val="000000"/>
          <w:sz w:val="28"/>
          <w:szCs w:val="28"/>
        </w:rPr>
        <w:t>34.3</w:t>
      </w:r>
      <w:r w:rsidR="00E41A03" w:rsidRPr="00E41A03">
        <w:rPr>
          <w:color w:val="000000"/>
          <w:sz w:val="28"/>
          <w:szCs w:val="28"/>
        </w:rPr>
        <w:t xml:space="preserve">% and 44.1% </w:t>
      </w:r>
      <w:r w:rsidRPr="00E41A03">
        <w:rPr>
          <w:color w:val="000000"/>
          <w:sz w:val="28"/>
          <w:szCs w:val="28"/>
        </w:rPr>
        <w:t xml:space="preserve">to </w:t>
      </w:r>
      <w:r w:rsidR="00BB552C">
        <w:rPr>
          <w:color w:val="000000"/>
          <w:sz w:val="28"/>
          <w:szCs w:val="28"/>
        </w:rPr>
        <w:t>53.</w:t>
      </w:r>
      <w:r w:rsidR="00950FA6">
        <w:rPr>
          <w:color w:val="000000"/>
          <w:sz w:val="28"/>
          <w:szCs w:val="28"/>
        </w:rPr>
        <w:t>1</w:t>
      </w:r>
      <w:r w:rsidR="003A39E1" w:rsidRPr="00E41A03">
        <w:rPr>
          <w:color w:val="000000"/>
          <w:sz w:val="28"/>
          <w:szCs w:val="28"/>
        </w:rPr>
        <w:t xml:space="preserve"> million and </w:t>
      </w:r>
      <w:r w:rsidR="00E41A03" w:rsidRPr="00E41A03">
        <w:rPr>
          <w:color w:val="000000"/>
          <w:sz w:val="28"/>
          <w:szCs w:val="28"/>
        </w:rPr>
        <w:t>247.8</w:t>
      </w:r>
      <w:r w:rsidRPr="00E41A03">
        <w:rPr>
          <w:color w:val="000000"/>
          <w:sz w:val="28"/>
          <w:szCs w:val="28"/>
        </w:rPr>
        <w:t> </w:t>
      </w:r>
      <w:r w:rsidR="003A39E1" w:rsidRPr="00E41A03">
        <w:rPr>
          <w:color w:val="000000"/>
          <w:sz w:val="28"/>
          <w:szCs w:val="28"/>
        </w:rPr>
        <w:t>million</w:t>
      </w:r>
      <w:r w:rsidRPr="00E41A03">
        <w:rPr>
          <w:color w:val="000000"/>
          <w:sz w:val="28"/>
          <w:szCs w:val="28"/>
        </w:rPr>
        <w:t xml:space="preserve"> trips respectively</w:t>
      </w:r>
      <w:r w:rsidR="00E41A03" w:rsidRPr="00E41A03">
        <w:rPr>
          <w:color w:val="000000"/>
          <w:sz w:val="28"/>
          <w:szCs w:val="28"/>
        </w:rPr>
        <w:t>, while water</w:t>
      </w:r>
      <w:r w:rsidR="00E41A03" w:rsidRPr="00E41A03">
        <w:rPr>
          <w:color w:val="000000"/>
          <w:sz w:val="28"/>
          <w:szCs w:val="28"/>
        </w:rPr>
        <w:noBreakHyphen/>
        <w:t>borne cross</w:t>
      </w:r>
      <w:r w:rsidR="00E41A03" w:rsidRPr="00E41A03">
        <w:rPr>
          <w:color w:val="000000"/>
          <w:sz w:val="28"/>
          <w:szCs w:val="28"/>
        </w:rPr>
        <w:noBreakHyphen/>
        <w:t>boundary passenger trips increased by 9.6% to 8.8 million</w:t>
      </w:r>
      <w:r w:rsidRPr="008F1659">
        <w:rPr>
          <w:color w:val="000000"/>
          <w:sz w:val="28"/>
          <w:szCs w:val="28"/>
        </w:rPr>
        <w:t xml:space="preserve">.  </w:t>
      </w:r>
      <w:r w:rsidR="00FF7D7D">
        <w:rPr>
          <w:color w:val="000000"/>
          <w:sz w:val="28"/>
          <w:szCs w:val="28"/>
        </w:rPr>
        <w:t>A</w:t>
      </w:r>
      <w:r w:rsidRPr="008F1659">
        <w:rPr>
          <w:color w:val="000000"/>
          <w:sz w:val="28"/>
          <w:szCs w:val="28"/>
        </w:rPr>
        <w:t>verage daily cross</w:t>
      </w:r>
      <w:r w:rsidRPr="008F1659">
        <w:rPr>
          <w:color w:val="000000"/>
          <w:sz w:val="28"/>
          <w:szCs w:val="28"/>
        </w:rPr>
        <w:noBreakHyphen/>
        <w:t xml:space="preserve">boundary vehicle movements </w:t>
      </w:r>
      <w:r w:rsidR="00FF7D7D">
        <w:rPr>
          <w:color w:val="000000"/>
          <w:sz w:val="28"/>
          <w:szCs w:val="28"/>
        </w:rPr>
        <w:t>surged further</w:t>
      </w:r>
      <w:r w:rsidR="00872C40">
        <w:rPr>
          <w:color w:val="000000"/>
          <w:sz w:val="28"/>
          <w:szCs w:val="28"/>
        </w:rPr>
        <w:t xml:space="preserve"> </w:t>
      </w:r>
      <w:r w:rsidR="00B505F1" w:rsidRPr="008F1659">
        <w:rPr>
          <w:color w:val="000000"/>
          <w:sz w:val="28"/>
          <w:szCs w:val="28"/>
        </w:rPr>
        <w:t xml:space="preserve">by </w:t>
      </w:r>
      <w:r w:rsidR="00011F5F">
        <w:rPr>
          <w:color w:val="000000"/>
          <w:sz w:val="28"/>
          <w:szCs w:val="28"/>
        </w:rPr>
        <w:t>48.5</w:t>
      </w:r>
      <w:r w:rsidR="00B505F1" w:rsidRPr="008F1659">
        <w:rPr>
          <w:color w:val="000000"/>
          <w:sz w:val="28"/>
          <w:szCs w:val="28"/>
        </w:rPr>
        <w:t xml:space="preserve">% </w:t>
      </w:r>
      <w:r w:rsidRPr="008F1659">
        <w:rPr>
          <w:color w:val="000000"/>
          <w:sz w:val="28"/>
          <w:szCs w:val="28"/>
        </w:rPr>
        <w:t xml:space="preserve">to </w:t>
      </w:r>
      <w:r w:rsidR="003C3061" w:rsidRPr="008F1659">
        <w:rPr>
          <w:color w:val="000000"/>
          <w:sz w:val="28"/>
          <w:szCs w:val="28"/>
        </w:rPr>
        <w:t>42</w:t>
      </w:r>
      <w:r w:rsidRPr="008F1659">
        <w:rPr>
          <w:color w:val="000000"/>
          <w:sz w:val="28"/>
          <w:szCs w:val="28"/>
        </w:rPr>
        <w:t> </w:t>
      </w:r>
      <w:r w:rsidR="00011F5F">
        <w:rPr>
          <w:color w:val="000000"/>
          <w:sz w:val="28"/>
          <w:szCs w:val="28"/>
        </w:rPr>
        <w:t>199</w:t>
      </w:r>
      <w:r w:rsidRPr="008F1659">
        <w:rPr>
          <w:color w:val="000000"/>
          <w:sz w:val="28"/>
          <w:szCs w:val="28"/>
        </w:rPr>
        <w:t>.</w:t>
      </w:r>
      <w:r w:rsidRPr="00FE6B85">
        <w:rPr>
          <w:color w:val="000000"/>
          <w:sz w:val="28"/>
          <w:szCs w:val="28"/>
        </w:rPr>
        <w:t xml:space="preserve">  </w:t>
      </w:r>
    </w:p>
    <w:p w14:paraId="13FD0EB3" w14:textId="77777777" w:rsidR="0046197A" w:rsidRPr="005E1A8E" w:rsidRDefault="0046197A" w:rsidP="0046197A">
      <w:pPr>
        <w:overflowPunct w:val="0"/>
        <w:spacing w:line="360" w:lineRule="atLeast"/>
        <w:jc w:val="both"/>
        <w:rPr>
          <w:b/>
          <w:color w:val="000000"/>
          <w:sz w:val="28"/>
          <w:szCs w:val="28"/>
        </w:rPr>
      </w:pPr>
    </w:p>
    <w:p w14:paraId="6E299CCD" w14:textId="38D7CAD4" w:rsidR="0046197A" w:rsidRDefault="0046197A" w:rsidP="0046197A">
      <w:pPr>
        <w:tabs>
          <w:tab w:val="left" w:pos="1080"/>
        </w:tabs>
        <w:overflowPunct w:val="0"/>
        <w:spacing w:line="360" w:lineRule="atLeast"/>
        <w:jc w:val="both"/>
        <w:rPr>
          <w:b/>
          <w:color w:val="000000"/>
          <w:sz w:val="28"/>
          <w:szCs w:val="28"/>
        </w:rPr>
      </w:pPr>
    </w:p>
    <w:p w14:paraId="2BC9BEC6" w14:textId="77777777" w:rsidR="00C47A2C" w:rsidRDefault="00C47A2C">
      <w:pPr>
        <w:widowControl/>
        <w:rPr>
          <w:b/>
          <w:color w:val="000000"/>
          <w:sz w:val="28"/>
          <w:lang w:val="en-US"/>
        </w:rPr>
      </w:pPr>
      <w:r>
        <w:rPr>
          <w:b/>
          <w:color w:val="000000"/>
          <w:sz w:val="28"/>
          <w:lang w:val="en-US"/>
        </w:rPr>
        <w:br w:type="page"/>
      </w:r>
    </w:p>
    <w:p w14:paraId="51BBC1C2" w14:textId="73C6C6E9" w:rsidR="0006013A" w:rsidRPr="00AF47B8" w:rsidRDefault="0006013A" w:rsidP="0006013A">
      <w:pPr>
        <w:tabs>
          <w:tab w:val="left" w:pos="1080"/>
        </w:tabs>
        <w:overflowPunct w:val="0"/>
        <w:spacing w:line="360" w:lineRule="atLeast"/>
        <w:jc w:val="both"/>
        <w:rPr>
          <w:b/>
          <w:color w:val="000000"/>
          <w:sz w:val="28"/>
        </w:rPr>
      </w:pPr>
      <w:r w:rsidRPr="00AF47B8">
        <w:rPr>
          <w:b/>
          <w:color w:val="000000"/>
          <w:sz w:val="28"/>
          <w:lang w:val="en-US"/>
        </w:rPr>
        <w:lastRenderedPageBreak/>
        <w:t>Innovation and technology</w:t>
      </w:r>
      <w:r>
        <w:rPr>
          <w:b/>
          <w:color w:val="000000"/>
          <w:sz w:val="28"/>
          <w:lang w:val="en-US"/>
        </w:rPr>
        <w:t xml:space="preserve"> </w:t>
      </w:r>
    </w:p>
    <w:p w14:paraId="2B050A4B" w14:textId="77777777" w:rsidR="0006013A" w:rsidRPr="004B2860" w:rsidRDefault="0006013A" w:rsidP="0006013A">
      <w:pPr>
        <w:tabs>
          <w:tab w:val="left" w:pos="1080"/>
        </w:tabs>
        <w:spacing w:line="360" w:lineRule="atLeast"/>
        <w:jc w:val="both"/>
        <w:rPr>
          <w:b/>
          <w:color w:val="000000"/>
          <w:sz w:val="28"/>
          <w:szCs w:val="28"/>
          <w:highlight w:val="yellow"/>
          <w:shd w:val="pct15" w:color="auto" w:fill="FFFFFF"/>
        </w:rPr>
      </w:pPr>
    </w:p>
    <w:p w14:paraId="7B68986A" w14:textId="4FAADB6B" w:rsidR="0006013A" w:rsidRPr="00855D82" w:rsidRDefault="00B86C9A" w:rsidP="0006013A">
      <w:pPr>
        <w:numPr>
          <w:ilvl w:val="1"/>
          <w:numId w:val="33"/>
        </w:numPr>
        <w:tabs>
          <w:tab w:val="left" w:pos="1080"/>
        </w:tabs>
        <w:overflowPunct w:val="0"/>
        <w:spacing w:line="360" w:lineRule="atLeast"/>
        <w:ind w:left="0" w:firstLine="0"/>
        <w:jc w:val="both"/>
        <w:rPr>
          <w:sz w:val="28"/>
          <w:szCs w:val="28"/>
          <w:shd w:val="pct15" w:color="auto" w:fill="FFFFFF"/>
        </w:rPr>
      </w:pPr>
      <w:r w:rsidRPr="00CC079E">
        <w:rPr>
          <w:color w:val="000000" w:themeColor="text1"/>
          <w:sz w:val="28"/>
          <w:szCs w:val="28"/>
        </w:rPr>
        <w:t xml:space="preserve">To promote the development of </w:t>
      </w:r>
      <w:r w:rsidRPr="00B86C9A">
        <w:rPr>
          <w:color w:val="000000" w:themeColor="text1"/>
          <w:sz w:val="28"/>
          <w:szCs w:val="28"/>
        </w:rPr>
        <w:t xml:space="preserve">artificial intelligence (AI) ecosystem, </w:t>
      </w:r>
      <w:proofErr w:type="spellStart"/>
      <w:r w:rsidRPr="00B86C9A">
        <w:rPr>
          <w:color w:val="000000" w:themeColor="text1"/>
          <w:sz w:val="28"/>
          <w:szCs w:val="28"/>
        </w:rPr>
        <w:t>Cyberport</w:t>
      </w:r>
      <w:proofErr w:type="spellEnd"/>
      <w:r w:rsidRPr="00B86C9A">
        <w:rPr>
          <w:color w:val="000000" w:themeColor="text1"/>
          <w:sz w:val="28"/>
          <w:szCs w:val="28"/>
        </w:rPr>
        <w:t xml:space="preserve"> commissioned the first-phase facilities of its Artificial Intelligence Supercomputing Centre (AISC) in December 2024 to meet the strong local demand for computing power and enhance Hong Kong R&amp;D’s capabilities in various fields.  </w:t>
      </w:r>
      <w:r w:rsidRPr="00D95B79">
        <w:rPr>
          <w:color w:val="000000" w:themeColor="text1"/>
          <w:sz w:val="28"/>
          <w:szCs w:val="28"/>
        </w:rPr>
        <w:t xml:space="preserve">A $3 billion three-year AI Subsidy Scheme has also been </w:t>
      </w:r>
      <w:r w:rsidRPr="00B86C9A">
        <w:rPr>
          <w:color w:val="000000" w:themeColor="text1"/>
          <w:sz w:val="28"/>
          <w:szCs w:val="28"/>
        </w:rPr>
        <w:t>rolled out</w:t>
      </w:r>
      <w:r w:rsidRPr="00D95B79">
        <w:rPr>
          <w:color w:val="000000" w:themeColor="text1"/>
          <w:sz w:val="28"/>
          <w:szCs w:val="28"/>
        </w:rPr>
        <w:t xml:space="preserve"> to provide subsidies to eligible AISC users to leverage the computing power</w:t>
      </w:r>
      <w:r w:rsidRPr="00B86C9A">
        <w:rPr>
          <w:color w:val="000000" w:themeColor="text1"/>
          <w:sz w:val="28"/>
          <w:szCs w:val="28"/>
        </w:rPr>
        <w:t>.</w:t>
      </w:r>
    </w:p>
    <w:p w14:paraId="25168FEC" w14:textId="4AD5B34B" w:rsidR="00855D82" w:rsidRPr="00C47A2C" w:rsidRDefault="00855D82" w:rsidP="00C47A2C">
      <w:pPr>
        <w:widowControl/>
        <w:rPr>
          <w:sz w:val="28"/>
          <w:szCs w:val="28"/>
        </w:rPr>
      </w:pPr>
    </w:p>
    <w:p w14:paraId="6CCA2F8D" w14:textId="68B07501" w:rsidR="00855D82" w:rsidRPr="00855D82" w:rsidRDefault="00120B3E" w:rsidP="00855D82">
      <w:pPr>
        <w:numPr>
          <w:ilvl w:val="1"/>
          <w:numId w:val="33"/>
        </w:numPr>
        <w:tabs>
          <w:tab w:val="left" w:pos="1080"/>
        </w:tabs>
        <w:overflowPunct w:val="0"/>
        <w:spacing w:line="360" w:lineRule="atLeast"/>
        <w:ind w:left="0" w:firstLine="0"/>
        <w:jc w:val="both"/>
        <w:rPr>
          <w:sz w:val="28"/>
          <w:szCs w:val="28"/>
          <w:shd w:val="pct15" w:color="auto" w:fill="FFFFFF"/>
        </w:rPr>
      </w:pPr>
      <w:r>
        <w:rPr>
          <w:sz w:val="28"/>
          <w:szCs w:val="28"/>
        </w:rPr>
        <w:t>In December 2024</w:t>
      </w:r>
      <w:r>
        <w:rPr>
          <w:rFonts w:hint="eastAsia"/>
          <w:sz w:val="28"/>
          <w:szCs w:val="28"/>
        </w:rPr>
        <w:t xml:space="preserve">, </w:t>
      </w:r>
      <w:r>
        <w:rPr>
          <w:sz w:val="28"/>
          <w:szCs w:val="28"/>
        </w:rPr>
        <w:t xml:space="preserve">the Government and the China Association for Science and Technology signed the Co-operation Framework Agreement on Supporting Hong Kong in Becoming an International Hub for High-calibre Talents and Jointly Serving High-level Self-reliance in Science and Technology.  The agreement </w:t>
      </w:r>
      <w:r w:rsidRPr="00565ADF">
        <w:rPr>
          <w:rFonts w:hint="eastAsia"/>
          <w:sz w:val="28"/>
          <w:szCs w:val="28"/>
        </w:rPr>
        <w:t>help</w:t>
      </w:r>
      <w:r>
        <w:rPr>
          <w:sz w:val="28"/>
          <w:szCs w:val="28"/>
        </w:rPr>
        <w:t>s</w:t>
      </w:r>
      <w:r w:rsidRPr="00565ADF">
        <w:rPr>
          <w:rFonts w:hint="eastAsia"/>
          <w:sz w:val="28"/>
          <w:szCs w:val="28"/>
        </w:rPr>
        <w:t xml:space="preserve"> strengthen the co-operation between </w:t>
      </w:r>
      <w:r>
        <w:rPr>
          <w:sz w:val="28"/>
          <w:szCs w:val="28"/>
        </w:rPr>
        <w:t>the Mainland and Hong Kong</w:t>
      </w:r>
      <w:r w:rsidRPr="00565ADF">
        <w:rPr>
          <w:rFonts w:hint="eastAsia"/>
          <w:sz w:val="28"/>
          <w:szCs w:val="28"/>
        </w:rPr>
        <w:t xml:space="preserve"> in various areas, such as </w:t>
      </w:r>
      <w:r>
        <w:rPr>
          <w:sz w:val="28"/>
          <w:szCs w:val="28"/>
        </w:rPr>
        <w:t xml:space="preserve">strengthening </w:t>
      </w:r>
      <w:r w:rsidRPr="00565ADF">
        <w:rPr>
          <w:rFonts w:hint="eastAsia"/>
          <w:sz w:val="28"/>
          <w:szCs w:val="28"/>
        </w:rPr>
        <w:t xml:space="preserve">exchanges between scientific research and academic organisations, nurturing scientific and technological talent, promoting popular science, and facilitating technological integration and development in the </w:t>
      </w:r>
      <w:r w:rsidR="00595508" w:rsidRPr="000A0124">
        <w:rPr>
          <w:sz w:val="28"/>
        </w:rPr>
        <w:t>Guangdong-Hong Kong-Macao</w:t>
      </w:r>
      <w:r w:rsidR="00595508" w:rsidRPr="00565ADF">
        <w:rPr>
          <w:rFonts w:hint="eastAsia"/>
          <w:sz w:val="28"/>
          <w:szCs w:val="28"/>
        </w:rPr>
        <w:t xml:space="preserve"> </w:t>
      </w:r>
      <w:r w:rsidRPr="00565ADF">
        <w:rPr>
          <w:rFonts w:hint="eastAsia"/>
          <w:sz w:val="28"/>
          <w:szCs w:val="28"/>
        </w:rPr>
        <w:t>Greater Bay Area</w:t>
      </w:r>
      <w:r>
        <w:rPr>
          <w:sz w:val="28"/>
          <w:szCs w:val="28"/>
        </w:rPr>
        <w:t>.</w:t>
      </w:r>
    </w:p>
    <w:p w14:paraId="4130C4F8" w14:textId="14472224" w:rsidR="0006013A" w:rsidRDefault="0006013A" w:rsidP="0006013A">
      <w:pPr>
        <w:widowControl/>
        <w:rPr>
          <w:b/>
          <w:color w:val="000000"/>
          <w:sz w:val="28"/>
          <w:szCs w:val="28"/>
        </w:rPr>
      </w:pPr>
    </w:p>
    <w:p w14:paraId="07F58045" w14:textId="77777777" w:rsidR="00C47A2C" w:rsidRPr="00AF47B8" w:rsidRDefault="00C47A2C" w:rsidP="0006013A">
      <w:pPr>
        <w:widowControl/>
        <w:rPr>
          <w:b/>
          <w:color w:val="000000"/>
          <w:sz w:val="28"/>
          <w:szCs w:val="28"/>
        </w:rPr>
      </w:pPr>
    </w:p>
    <w:p w14:paraId="07013072" w14:textId="77777777" w:rsidR="0006013A" w:rsidRPr="006C437F" w:rsidRDefault="0006013A" w:rsidP="0006013A">
      <w:pPr>
        <w:tabs>
          <w:tab w:val="left" w:pos="1080"/>
        </w:tabs>
        <w:overflowPunct w:val="0"/>
        <w:spacing w:line="360" w:lineRule="atLeast"/>
        <w:jc w:val="both"/>
        <w:rPr>
          <w:b/>
          <w:color w:val="000000"/>
          <w:sz w:val="28"/>
          <w:szCs w:val="28"/>
        </w:rPr>
      </w:pPr>
      <w:r>
        <w:rPr>
          <w:b/>
          <w:color w:val="000000"/>
          <w:sz w:val="28"/>
          <w:szCs w:val="28"/>
        </w:rPr>
        <w:t xml:space="preserve">Arts, Cultural and Creative Industries </w:t>
      </w:r>
    </w:p>
    <w:p w14:paraId="53AC2A6E" w14:textId="77777777" w:rsidR="0006013A" w:rsidRPr="004B2860" w:rsidRDefault="0006013A" w:rsidP="0006013A">
      <w:pPr>
        <w:widowControl/>
        <w:rPr>
          <w:b/>
          <w:color w:val="000000"/>
          <w:sz w:val="28"/>
          <w:szCs w:val="28"/>
          <w:shd w:val="pct15" w:color="auto" w:fill="FFFFFF"/>
        </w:rPr>
      </w:pPr>
    </w:p>
    <w:p w14:paraId="0EE48D77" w14:textId="2423DD28" w:rsidR="0006013A" w:rsidRPr="0006013A" w:rsidRDefault="0006013A" w:rsidP="008B627A">
      <w:pPr>
        <w:numPr>
          <w:ilvl w:val="1"/>
          <w:numId w:val="33"/>
        </w:numPr>
        <w:tabs>
          <w:tab w:val="left" w:pos="1080"/>
        </w:tabs>
        <w:overflowPunct w:val="0"/>
        <w:spacing w:line="360" w:lineRule="atLeast"/>
        <w:ind w:left="0" w:firstLine="0"/>
        <w:jc w:val="both"/>
        <w:rPr>
          <w:b/>
          <w:color w:val="000000"/>
          <w:sz w:val="28"/>
          <w:szCs w:val="28"/>
          <w:shd w:val="pct15" w:color="auto" w:fill="FFFFFF"/>
        </w:rPr>
      </w:pPr>
      <w:r w:rsidRPr="00504F4B">
        <w:rPr>
          <w:sz w:val="28"/>
        </w:rPr>
        <w:t xml:space="preserve">In </w:t>
      </w:r>
      <w:r w:rsidRPr="0006013A">
        <w:rPr>
          <w:color w:val="000000"/>
          <w:sz w:val="28"/>
          <w:szCs w:val="28"/>
        </w:rPr>
        <w:t>N</w:t>
      </w:r>
      <w:r w:rsidRPr="0006013A">
        <w:rPr>
          <w:rFonts w:hint="eastAsia"/>
          <w:color w:val="000000"/>
          <w:sz w:val="28"/>
          <w:szCs w:val="28"/>
        </w:rPr>
        <w:t>ovember</w:t>
      </w:r>
      <w:r>
        <w:rPr>
          <w:rFonts w:hint="eastAsia"/>
          <w:sz w:val="28"/>
        </w:rPr>
        <w:t xml:space="preserve"> 2024, the Government </w:t>
      </w:r>
      <w:r>
        <w:rPr>
          <w:sz w:val="28"/>
        </w:rPr>
        <w:t xml:space="preserve">promulgated the Blueprint for Arts and Culture and Creative Industries Development to </w:t>
      </w:r>
      <w:r w:rsidRPr="00CA5693">
        <w:rPr>
          <w:sz w:val="28"/>
        </w:rPr>
        <w:t>set out a clear vision, principles and strategic directions for the future development of the arts, culture and creative industries to further consolidate Hong Kong</w:t>
      </w:r>
      <w:r w:rsidR="00D52BF8">
        <w:rPr>
          <w:sz w:val="28"/>
        </w:rPr>
        <w:t>’</w:t>
      </w:r>
      <w:r w:rsidRPr="00CA5693">
        <w:rPr>
          <w:sz w:val="28"/>
        </w:rPr>
        <w:t>s position as an East</w:t>
      </w:r>
      <w:r>
        <w:rPr>
          <w:sz w:val="28"/>
        </w:rPr>
        <w:noBreakHyphen/>
      </w:r>
      <w:r w:rsidRPr="00CA5693">
        <w:rPr>
          <w:sz w:val="28"/>
        </w:rPr>
        <w:t>meets</w:t>
      </w:r>
      <w:r>
        <w:rPr>
          <w:sz w:val="28"/>
        </w:rPr>
        <w:noBreakHyphen/>
      </w:r>
      <w:r w:rsidRPr="00CA5693">
        <w:rPr>
          <w:sz w:val="28"/>
        </w:rPr>
        <w:t>West centre for international cultural exchanges.</w:t>
      </w:r>
      <w:r>
        <w:rPr>
          <w:sz w:val="28"/>
        </w:rPr>
        <w:t xml:space="preserve">  </w:t>
      </w:r>
      <w:r w:rsidRPr="00CA5693">
        <w:rPr>
          <w:sz w:val="28"/>
        </w:rPr>
        <w:t xml:space="preserve">The Blueprint sets out a total of 71 measures </w:t>
      </w:r>
      <w:r>
        <w:rPr>
          <w:sz w:val="28"/>
        </w:rPr>
        <w:t>under four strategic directions, namely, (</w:t>
      </w:r>
      <w:proofErr w:type="spellStart"/>
      <w:r>
        <w:rPr>
          <w:sz w:val="28"/>
        </w:rPr>
        <w:t>i</w:t>
      </w:r>
      <w:proofErr w:type="spellEnd"/>
      <w:r>
        <w:rPr>
          <w:sz w:val="28"/>
        </w:rPr>
        <w:t>) promote profound traditional Chinese c</w:t>
      </w:r>
      <w:r w:rsidRPr="00013D7C">
        <w:rPr>
          <w:sz w:val="28"/>
        </w:rPr>
        <w:t>ulture</w:t>
      </w:r>
      <w:r>
        <w:rPr>
          <w:sz w:val="28"/>
        </w:rPr>
        <w:t xml:space="preserve"> and develop cultural contents with Hong Kong c</w:t>
      </w:r>
      <w:r w:rsidRPr="00013D7C">
        <w:rPr>
          <w:sz w:val="28"/>
        </w:rPr>
        <w:t>haracter</w:t>
      </w:r>
      <w:r>
        <w:rPr>
          <w:sz w:val="28"/>
        </w:rPr>
        <w:t>; (ii) d</w:t>
      </w:r>
      <w:r w:rsidRPr="00013D7C">
        <w:rPr>
          <w:sz w:val="28"/>
        </w:rPr>
        <w:t>ev</w:t>
      </w:r>
      <w:r>
        <w:rPr>
          <w:sz w:val="28"/>
        </w:rPr>
        <w:t>elop d</w:t>
      </w:r>
      <w:r w:rsidRPr="00013D7C">
        <w:rPr>
          <w:sz w:val="28"/>
        </w:rPr>
        <w:t xml:space="preserve">iverse </w:t>
      </w:r>
      <w:r>
        <w:rPr>
          <w:sz w:val="28"/>
        </w:rPr>
        <w:t>a</w:t>
      </w:r>
      <w:r w:rsidRPr="00013D7C">
        <w:rPr>
          <w:sz w:val="28"/>
        </w:rPr>
        <w:t xml:space="preserve">rts and </w:t>
      </w:r>
      <w:r>
        <w:rPr>
          <w:sz w:val="28"/>
        </w:rPr>
        <w:t>c</w:t>
      </w:r>
      <w:r w:rsidRPr="00013D7C">
        <w:rPr>
          <w:sz w:val="28"/>
        </w:rPr>
        <w:t xml:space="preserve">ulture </w:t>
      </w:r>
      <w:r>
        <w:rPr>
          <w:sz w:val="28"/>
        </w:rPr>
        <w:t>i</w:t>
      </w:r>
      <w:r w:rsidRPr="00013D7C">
        <w:rPr>
          <w:sz w:val="28"/>
        </w:rPr>
        <w:t>ndustries with</w:t>
      </w:r>
      <w:r>
        <w:rPr>
          <w:sz w:val="28"/>
        </w:rPr>
        <w:t xml:space="preserve"> international p</w:t>
      </w:r>
      <w:r w:rsidRPr="00013D7C">
        <w:rPr>
          <w:sz w:val="28"/>
        </w:rPr>
        <w:t>erspective</w:t>
      </w:r>
      <w:r>
        <w:rPr>
          <w:sz w:val="28"/>
        </w:rPr>
        <w:t>; (iii) establish international platforms to f</w:t>
      </w:r>
      <w:r w:rsidRPr="00013D7C">
        <w:rPr>
          <w:sz w:val="28"/>
        </w:rPr>
        <w:t>oster East</w:t>
      </w:r>
      <w:r>
        <w:rPr>
          <w:sz w:val="28"/>
        </w:rPr>
        <w:noBreakHyphen/>
        <w:t>meets</w:t>
      </w:r>
      <w:r>
        <w:rPr>
          <w:sz w:val="28"/>
        </w:rPr>
        <w:noBreakHyphen/>
      </w:r>
      <w:r w:rsidRPr="00013D7C">
        <w:rPr>
          <w:sz w:val="28"/>
        </w:rPr>
        <w:t xml:space="preserve">West </w:t>
      </w:r>
      <w:r>
        <w:rPr>
          <w:sz w:val="28"/>
        </w:rPr>
        <w:t>a</w:t>
      </w:r>
      <w:r w:rsidRPr="00013D7C">
        <w:rPr>
          <w:sz w:val="28"/>
        </w:rPr>
        <w:t xml:space="preserve">rts and </w:t>
      </w:r>
      <w:r>
        <w:rPr>
          <w:sz w:val="28"/>
        </w:rPr>
        <w:t>c</w:t>
      </w:r>
      <w:r w:rsidRPr="00013D7C">
        <w:rPr>
          <w:sz w:val="28"/>
        </w:rPr>
        <w:t xml:space="preserve">ultural </w:t>
      </w:r>
      <w:r>
        <w:rPr>
          <w:sz w:val="28"/>
        </w:rPr>
        <w:t>e</w:t>
      </w:r>
      <w:r w:rsidRPr="00013D7C">
        <w:rPr>
          <w:sz w:val="28"/>
        </w:rPr>
        <w:t>xchange</w:t>
      </w:r>
      <w:r>
        <w:rPr>
          <w:sz w:val="28"/>
        </w:rPr>
        <w:t>s; and (iv) enhance the e</w:t>
      </w:r>
      <w:r w:rsidRPr="00013D7C">
        <w:rPr>
          <w:sz w:val="28"/>
        </w:rPr>
        <w:t xml:space="preserve">cosystem for the </w:t>
      </w:r>
      <w:r>
        <w:rPr>
          <w:sz w:val="28"/>
        </w:rPr>
        <w:t>a</w:t>
      </w:r>
      <w:r w:rsidRPr="00013D7C">
        <w:rPr>
          <w:sz w:val="28"/>
        </w:rPr>
        <w:t xml:space="preserve">rts, </w:t>
      </w:r>
      <w:r>
        <w:rPr>
          <w:sz w:val="28"/>
        </w:rPr>
        <w:t>c</w:t>
      </w:r>
      <w:r w:rsidRPr="00013D7C">
        <w:rPr>
          <w:sz w:val="28"/>
        </w:rPr>
        <w:t>ulture and</w:t>
      </w:r>
      <w:r>
        <w:rPr>
          <w:sz w:val="28"/>
        </w:rPr>
        <w:t xml:space="preserve"> c</w:t>
      </w:r>
      <w:r w:rsidRPr="00013D7C">
        <w:rPr>
          <w:sz w:val="28"/>
        </w:rPr>
        <w:t xml:space="preserve">reative </w:t>
      </w:r>
      <w:r>
        <w:rPr>
          <w:sz w:val="28"/>
        </w:rPr>
        <w:t>i</w:t>
      </w:r>
      <w:r w:rsidRPr="00013D7C">
        <w:rPr>
          <w:sz w:val="28"/>
        </w:rPr>
        <w:t>ndustries</w:t>
      </w:r>
      <w:r>
        <w:rPr>
          <w:sz w:val="28"/>
        </w:rPr>
        <w:t xml:space="preserve">.  </w:t>
      </w:r>
      <w:r w:rsidRPr="00CA5693">
        <w:rPr>
          <w:sz w:val="28"/>
        </w:rPr>
        <w:t>The Government will collaborate with major stakeholders and drive participation of the business sector and other areas to take forward mea</w:t>
      </w:r>
      <w:r>
        <w:rPr>
          <w:sz w:val="28"/>
        </w:rPr>
        <w:t>sures set out in the Blueprint</w:t>
      </w:r>
      <w:r w:rsidRPr="00CA5693">
        <w:rPr>
          <w:sz w:val="28"/>
        </w:rPr>
        <w:t>.</w:t>
      </w:r>
    </w:p>
    <w:p w14:paraId="147D956D" w14:textId="753595F6" w:rsidR="0006013A" w:rsidRPr="00C47A2C" w:rsidRDefault="00C47A2C" w:rsidP="00C47A2C">
      <w:pPr>
        <w:widowControl/>
        <w:rPr>
          <w:b/>
          <w:color w:val="000000"/>
          <w:sz w:val="28"/>
          <w:szCs w:val="28"/>
        </w:rPr>
      </w:pPr>
      <w:r w:rsidRPr="00C47A2C">
        <w:rPr>
          <w:b/>
          <w:color w:val="000000"/>
          <w:sz w:val="28"/>
          <w:szCs w:val="28"/>
        </w:rPr>
        <w:br w:type="page"/>
      </w:r>
    </w:p>
    <w:p w14:paraId="6D98329E" w14:textId="01F0B5D0" w:rsidR="0006013A" w:rsidRPr="00C72A9C" w:rsidRDefault="0006013A" w:rsidP="0006013A">
      <w:pPr>
        <w:numPr>
          <w:ilvl w:val="1"/>
          <w:numId w:val="33"/>
        </w:numPr>
        <w:tabs>
          <w:tab w:val="left" w:pos="1080"/>
        </w:tabs>
        <w:overflowPunct w:val="0"/>
        <w:spacing w:line="360" w:lineRule="atLeast"/>
        <w:ind w:left="0" w:firstLine="0"/>
        <w:jc w:val="both"/>
        <w:rPr>
          <w:b/>
          <w:color w:val="000000"/>
          <w:sz w:val="28"/>
          <w:szCs w:val="28"/>
          <w:shd w:val="pct15" w:color="auto" w:fill="FFFFFF"/>
        </w:rPr>
      </w:pPr>
      <w:r w:rsidRPr="00504F4B">
        <w:rPr>
          <w:sz w:val="28"/>
        </w:rPr>
        <w:lastRenderedPageBreak/>
        <w:t>Meanwhile, the Government continues to establish various platforms</w:t>
      </w:r>
      <w:r>
        <w:rPr>
          <w:sz w:val="28"/>
        </w:rPr>
        <w:t xml:space="preserve"> and brands to further give </w:t>
      </w:r>
      <w:r w:rsidRPr="00B1139D">
        <w:rPr>
          <w:sz w:val="28"/>
        </w:rPr>
        <w:t xml:space="preserve">play to its role of </w:t>
      </w:r>
      <w:r>
        <w:rPr>
          <w:sz w:val="28"/>
        </w:rPr>
        <w:t>“</w:t>
      </w:r>
      <w:r w:rsidRPr="00B1139D">
        <w:rPr>
          <w:sz w:val="28"/>
        </w:rPr>
        <w:t>bringing in</w:t>
      </w:r>
      <w:r>
        <w:rPr>
          <w:sz w:val="28"/>
        </w:rPr>
        <w:t>”</w:t>
      </w:r>
      <w:r w:rsidRPr="00B1139D">
        <w:rPr>
          <w:sz w:val="28"/>
        </w:rPr>
        <w:t xml:space="preserve"> different cultures while </w:t>
      </w:r>
      <w:r>
        <w:rPr>
          <w:sz w:val="28"/>
        </w:rPr>
        <w:t xml:space="preserve">assisting </w:t>
      </w:r>
      <w:r w:rsidRPr="00B1139D">
        <w:rPr>
          <w:sz w:val="28"/>
        </w:rPr>
        <w:t xml:space="preserve">Chinese culture to </w:t>
      </w:r>
      <w:r>
        <w:rPr>
          <w:sz w:val="28"/>
        </w:rPr>
        <w:t>“</w:t>
      </w:r>
      <w:r w:rsidRPr="00B1139D">
        <w:rPr>
          <w:sz w:val="28"/>
        </w:rPr>
        <w:t>go global</w:t>
      </w:r>
      <w:r>
        <w:rPr>
          <w:sz w:val="28"/>
        </w:rPr>
        <w:t xml:space="preserve">”, including </w:t>
      </w:r>
      <w:r w:rsidR="00AA3225">
        <w:rPr>
          <w:sz w:val="28"/>
        </w:rPr>
        <w:t xml:space="preserve">supporting the organisation of </w:t>
      </w:r>
      <w:r w:rsidRPr="00772EF9">
        <w:rPr>
          <w:sz w:val="28"/>
        </w:rPr>
        <w:t>the inaugural Hong Kong Performing Arts Expo</w:t>
      </w:r>
      <w:r>
        <w:rPr>
          <w:sz w:val="28"/>
        </w:rPr>
        <w:t xml:space="preserve"> in October 2024 with </w:t>
      </w:r>
      <w:r w:rsidRPr="000C345C">
        <w:rPr>
          <w:sz w:val="28"/>
        </w:rPr>
        <w:t>over 1</w:t>
      </w:r>
      <w:r>
        <w:rPr>
          <w:sz w:val="28"/>
        </w:rPr>
        <w:t> </w:t>
      </w:r>
      <w:r w:rsidR="00AA3225">
        <w:rPr>
          <w:sz w:val="28"/>
        </w:rPr>
        <w:t>6</w:t>
      </w:r>
      <w:r w:rsidRPr="000C345C">
        <w:rPr>
          <w:sz w:val="28"/>
        </w:rPr>
        <w:t>00</w:t>
      </w:r>
      <w:r>
        <w:rPr>
          <w:sz w:val="28"/>
        </w:rPr>
        <w:t> </w:t>
      </w:r>
      <w:r w:rsidRPr="000C345C">
        <w:rPr>
          <w:sz w:val="28"/>
        </w:rPr>
        <w:t>arts leaders and practitioners from around 60</w:t>
      </w:r>
      <w:r>
        <w:rPr>
          <w:sz w:val="28"/>
        </w:rPr>
        <w:t> </w:t>
      </w:r>
      <w:r w:rsidRPr="000C345C">
        <w:rPr>
          <w:sz w:val="28"/>
        </w:rPr>
        <w:t>countries and regions</w:t>
      </w:r>
      <w:r>
        <w:rPr>
          <w:sz w:val="28"/>
        </w:rPr>
        <w:t xml:space="preserve"> participat</w:t>
      </w:r>
      <w:r w:rsidR="00A30924">
        <w:rPr>
          <w:sz w:val="28"/>
        </w:rPr>
        <w:t>ing</w:t>
      </w:r>
      <w:r>
        <w:rPr>
          <w:sz w:val="28"/>
        </w:rPr>
        <w:t xml:space="preserve">, </w:t>
      </w:r>
      <w:r w:rsidRPr="00772EF9">
        <w:rPr>
          <w:sz w:val="28"/>
        </w:rPr>
        <w:t>and</w:t>
      </w:r>
      <w:r>
        <w:rPr>
          <w:sz w:val="28"/>
        </w:rPr>
        <w:t xml:space="preserve"> </w:t>
      </w:r>
      <w:r w:rsidRPr="000A0124">
        <w:rPr>
          <w:sz w:val="28"/>
        </w:rPr>
        <w:t xml:space="preserve">coordinating the </w:t>
      </w:r>
      <w:r>
        <w:rPr>
          <w:sz w:val="28"/>
        </w:rPr>
        <w:t>4th</w:t>
      </w:r>
      <w:r w:rsidRPr="000A0124">
        <w:rPr>
          <w:sz w:val="28"/>
        </w:rPr>
        <w:t xml:space="preserve"> Guangdong-Hong Kong-Macao Greater Bay Area Culture and Arts Festival as the host city</w:t>
      </w:r>
      <w:r>
        <w:rPr>
          <w:sz w:val="28"/>
        </w:rPr>
        <w:t xml:space="preserve"> in the same month.</w:t>
      </w:r>
      <w:r w:rsidR="00621418">
        <w:rPr>
          <w:sz w:val="28"/>
        </w:rPr>
        <w:t xml:space="preserve"> </w:t>
      </w:r>
    </w:p>
    <w:p w14:paraId="2A101EB3" w14:textId="4D89F642" w:rsidR="0006013A" w:rsidRDefault="0006013A" w:rsidP="0006013A">
      <w:pPr>
        <w:widowControl/>
        <w:rPr>
          <w:b/>
          <w:color w:val="000000"/>
          <w:sz w:val="28"/>
          <w:szCs w:val="28"/>
        </w:rPr>
      </w:pPr>
    </w:p>
    <w:p w14:paraId="4461734A" w14:textId="243428AD" w:rsidR="00C47A2C" w:rsidRDefault="00C47A2C">
      <w:pPr>
        <w:widowControl/>
        <w:rPr>
          <w:b/>
          <w:color w:val="000000"/>
          <w:sz w:val="28"/>
          <w:szCs w:val="28"/>
        </w:rPr>
      </w:pPr>
    </w:p>
    <w:p w14:paraId="4D715204" w14:textId="1B847AA3" w:rsidR="0046197A" w:rsidRPr="008C32F6" w:rsidRDefault="0046197A" w:rsidP="0046197A">
      <w:pPr>
        <w:tabs>
          <w:tab w:val="left" w:pos="1080"/>
        </w:tabs>
        <w:overflowPunct w:val="0"/>
        <w:spacing w:line="360" w:lineRule="atLeast"/>
        <w:jc w:val="both"/>
        <w:rPr>
          <w:b/>
          <w:color w:val="000000"/>
          <w:sz w:val="28"/>
          <w:szCs w:val="28"/>
        </w:rPr>
      </w:pPr>
      <w:r w:rsidRPr="008C32F6">
        <w:rPr>
          <w:b/>
          <w:color w:val="000000"/>
          <w:sz w:val="28"/>
          <w:szCs w:val="28"/>
        </w:rPr>
        <w:t>Environment</w:t>
      </w:r>
    </w:p>
    <w:p w14:paraId="0F6452E0" w14:textId="77777777" w:rsidR="0046197A" w:rsidRPr="008C32F6" w:rsidRDefault="0046197A" w:rsidP="0046197A">
      <w:pPr>
        <w:overflowPunct w:val="0"/>
        <w:spacing w:line="360" w:lineRule="atLeast"/>
        <w:jc w:val="both"/>
        <w:rPr>
          <w:color w:val="000000"/>
          <w:sz w:val="28"/>
          <w:szCs w:val="28"/>
        </w:rPr>
      </w:pPr>
    </w:p>
    <w:p w14:paraId="7F05D541" w14:textId="5453F671" w:rsidR="00901EF9" w:rsidRPr="008C32F6" w:rsidRDefault="00746F0F" w:rsidP="008B627A">
      <w:pPr>
        <w:numPr>
          <w:ilvl w:val="1"/>
          <w:numId w:val="33"/>
        </w:numPr>
        <w:tabs>
          <w:tab w:val="left" w:pos="1080"/>
        </w:tabs>
        <w:overflowPunct w:val="0"/>
        <w:spacing w:line="360" w:lineRule="atLeast"/>
        <w:ind w:left="0" w:firstLine="0"/>
        <w:jc w:val="both"/>
        <w:rPr>
          <w:sz w:val="28"/>
          <w:szCs w:val="28"/>
        </w:rPr>
      </w:pPr>
      <w:r>
        <w:rPr>
          <w:sz w:val="28"/>
          <w:szCs w:val="28"/>
        </w:rPr>
        <w:t xml:space="preserve">In </w:t>
      </w:r>
      <w:r w:rsidRPr="008C32F6">
        <w:rPr>
          <w:sz w:val="28"/>
          <w:szCs w:val="28"/>
        </w:rPr>
        <w:t>December 2024, the Government announced the Green Transformation Roadmap of Public Buses and Taxis.  Major measures include subsidising franchised bus operators to purchase about 600 electric buses and the taxi trades to purchase 3</w:t>
      </w:r>
      <w:r w:rsidRPr="008C32F6">
        <w:rPr>
          <w:sz w:val="28"/>
          <w:szCs w:val="28"/>
          <w:lang w:val="en-US"/>
        </w:rPr>
        <w:t> </w:t>
      </w:r>
      <w:r w:rsidRPr="008C32F6">
        <w:rPr>
          <w:sz w:val="28"/>
          <w:szCs w:val="28"/>
        </w:rPr>
        <w:t xml:space="preserve">000 electric taxis.  </w:t>
      </w:r>
      <w:r w:rsidRPr="008C32F6">
        <w:rPr>
          <w:rFonts w:hint="eastAsia"/>
          <w:sz w:val="28"/>
          <w:szCs w:val="28"/>
        </w:rPr>
        <w:t>I</w:t>
      </w:r>
      <w:r w:rsidRPr="008C32F6">
        <w:rPr>
          <w:sz w:val="28"/>
          <w:szCs w:val="28"/>
        </w:rPr>
        <w:t xml:space="preserve">n addition, the Government will continue to take a multipronged approach to encourage the industry to expand charging facilities.  It is expected to provide at least 500 fast chargers throughout Hong Kong by end-2027 to cater for the expected growth in the number of electric </w:t>
      </w:r>
      <w:r>
        <w:rPr>
          <w:sz w:val="28"/>
          <w:szCs w:val="28"/>
        </w:rPr>
        <w:t>taxis</w:t>
      </w:r>
      <w:r w:rsidR="008C32F6" w:rsidRPr="008C32F6">
        <w:rPr>
          <w:sz w:val="28"/>
          <w:szCs w:val="28"/>
        </w:rPr>
        <w:t>.</w:t>
      </w:r>
      <w:r w:rsidR="00621418">
        <w:rPr>
          <w:sz w:val="28"/>
          <w:szCs w:val="28"/>
        </w:rPr>
        <w:t xml:space="preserve"> </w:t>
      </w:r>
    </w:p>
    <w:p w14:paraId="16CC12AD" w14:textId="6EEFD7A6" w:rsidR="0046197A" w:rsidRPr="0094405C" w:rsidRDefault="0046197A" w:rsidP="00901EF9">
      <w:pPr>
        <w:tabs>
          <w:tab w:val="left" w:pos="1080"/>
        </w:tabs>
        <w:overflowPunct w:val="0"/>
        <w:spacing w:line="360" w:lineRule="atLeast"/>
        <w:jc w:val="both"/>
        <w:rPr>
          <w:sz w:val="28"/>
          <w:szCs w:val="28"/>
        </w:rPr>
      </w:pPr>
    </w:p>
    <w:p w14:paraId="69DC4449" w14:textId="2DF52C46" w:rsidR="000B5EDB" w:rsidRPr="005E1A8E" w:rsidRDefault="0046197A" w:rsidP="0046197A">
      <w:pPr>
        <w:pStyle w:val="a5"/>
        <w:spacing w:line="360" w:lineRule="exact"/>
        <w:rPr>
          <w:b/>
          <w:color w:val="000000"/>
          <w:szCs w:val="28"/>
        </w:rPr>
      </w:pPr>
      <w:r w:rsidRPr="005E1A8E">
        <w:rPr>
          <w:b/>
          <w:szCs w:val="28"/>
        </w:rPr>
        <w:br w:type="page"/>
      </w:r>
      <w:r w:rsidR="000B5EDB" w:rsidRPr="005E1A8E">
        <w:rPr>
          <w:b/>
          <w:szCs w:val="28"/>
        </w:rPr>
        <w:lastRenderedPageBreak/>
        <w:t>Notes :</w:t>
      </w:r>
    </w:p>
    <w:p w14:paraId="423492E4" w14:textId="77777777" w:rsidR="00242BB1" w:rsidRPr="005E1A8E" w:rsidRDefault="00242BB1" w:rsidP="005814E7">
      <w:pPr>
        <w:keepLines/>
        <w:overflowPunct w:val="0"/>
        <w:ind w:left="539" w:right="28"/>
        <w:jc w:val="both"/>
        <w:rPr>
          <w:sz w:val="28"/>
          <w:szCs w:val="28"/>
        </w:rPr>
      </w:pPr>
    </w:p>
    <w:p w14:paraId="75F3FDA8" w14:textId="77777777" w:rsidR="00CF2D67" w:rsidRPr="000A17BA" w:rsidRDefault="00CF2D67" w:rsidP="0046568A">
      <w:pPr>
        <w:keepLines/>
        <w:numPr>
          <w:ilvl w:val="0"/>
          <w:numId w:val="32"/>
        </w:numPr>
        <w:overflowPunct w:val="0"/>
        <w:ind w:left="539" w:right="28" w:hanging="539"/>
        <w:jc w:val="both"/>
      </w:pPr>
      <w:r w:rsidRPr="000A17BA">
        <w:t>Starting from the third quarter of 2019, the index of home purchase affordability is calculated based on, among others, the mortgage rates of new mortgage loans with reference to both the Best Lending Rate (BLR) and the Hong Kong Interbank Offered Rate (HIBOR).  As such, the data from the third quarter of 2019 onwards may not be strictly comparable with those in previous quarters, which were based on the mortgage rates of new mortgages loans with reference to the BLR only.</w:t>
      </w:r>
    </w:p>
    <w:p w14:paraId="2C570527" w14:textId="77777777" w:rsidR="00CF2D67" w:rsidRPr="000A17BA" w:rsidRDefault="00CF2D67" w:rsidP="00CF2D67">
      <w:pPr>
        <w:overflowPunct w:val="0"/>
        <w:ind w:left="540" w:right="28"/>
        <w:jc w:val="both"/>
      </w:pPr>
    </w:p>
    <w:p w14:paraId="216D6B08" w14:textId="77777777" w:rsidR="00CF2D67" w:rsidRPr="000A17BA" w:rsidRDefault="00CF2D67" w:rsidP="00CF2D67">
      <w:pPr>
        <w:overflowPunct w:val="0"/>
        <w:ind w:left="540" w:right="28"/>
        <w:jc w:val="both"/>
      </w:pPr>
      <w:r w:rsidRPr="000A17BA">
        <w:t>Figures are subject to revision later as more data become available.</w:t>
      </w:r>
    </w:p>
    <w:p w14:paraId="7EEC19D3" w14:textId="77777777" w:rsidR="00CF2D67" w:rsidRDefault="00CF2D67" w:rsidP="00CF2D67">
      <w:pPr>
        <w:overflowPunct w:val="0"/>
        <w:ind w:right="28"/>
        <w:jc w:val="both"/>
      </w:pPr>
    </w:p>
    <w:p w14:paraId="42A7BB1F" w14:textId="57C459AD" w:rsidR="00CF2D67" w:rsidRDefault="00CF2D67" w:rsidP="0046568A">
      <w:pPr>
        <w:keepLines/>
        <w:numPr>
          <w:ilvl w:val="0"/>
          <w:numId w:val="32"/>
        </w:numPr>
        <w:overflowPunct w:val="0"/>
        <w:ind w:left="539" w:right="28" w:hanging="539"/>
        <w:jc w:val="both"/>
      </w:pPr>
      <w:r>
        <w:t>Take-up figures represent the net increase in the number of units occupied.  The figures are arrived at by adding the completions in that year to the vacancy figures at the beginning of the year, then subtracting the year’s demolition and the year-end vacancy figures.  Take-up should not be confused with the sales of new developments, and it bears no direct relationship to the number of units sold by developers.  Negative take</w:t>
      </w:r>
      <w:r w:rsidR="007A69F7">
        <w:noBreakHyphen/>
      </w:r>
      <w:r>
        <w:t>up means that there is a decrease in the number of units occupied (i.e. property previously occupied was released during the year and remained vacant at the year-end).  Also, take</w:t>
      </w:r>
      <w:r w:rsidR="007A69F7">
        <w:noBreakHyphen/>
      </w:r>
      <w:r>
        <w:t>up, demolition, completion and vacancy figures on residential and non-residential properties are preliminary figures from the Rating and Valuation Department, and are subject to revision.</w:t>
      </w:r>
    </w:p>
    <w:p w14:paraId="75F3E20B" w14:textId="77777777" w:rsidR="00BA092E" w:rsidRDefault="00BA092E" w:rsidP="00CF2D67">
      <w:pPr>
        <w:pStyle w:val="afa"/>
      </w:pPr>
    </w:p>
    <w:p w14:paraId="3B5C9238" w14:textId="44F5010E" w:rsidR="00CF2D67" w:rsidRPr="00DA1E1B" w:rsidRDefault="00CF2D67" w:rsidP="0046568A">
      <w:pPr>
        <w:keepLines/>
        <w:numPr>
          <w:ilvl w:val="0"/>
          <w:numId w:val="32"/>
        </w:numPr>
        <w:overflowPunct w:val="0"/>
        <w:ind w:left="539" w:right="28" w:hanging="539"/>
        <w:jc w:val="both"/>
        <w:rPr>
          <w:lang w:eastAsia="zh-HK"/>
        </w:rPr>
      </w:pPr>
      <w:r w:rsidRPr="00DA1E1B">
        <w:t>Forecast completions in 202</w:t>
      </w:r>
      <w:r w:rsidR="00BA092E">
        <w:t>5</w:t>
      </w:r>
      <w:r w:rsidRPr="00DA1E1B">
        <w:t xml:space="preserve"> and 202</w:t>
      </w:r>
      <w:r w:rsidR="00BA092E">
        <w:t>6</w:t>
      </w:r>
      <w:r w:rsidRPr="00DA1E1B">
        <w:t xml:space="preserve"> are preliminary figures only, and are subject to revision upon the availability of more data.  </w:t>
      </w:r>
    </w:p>
    <w:p w14:paraId="2FD9AFAA" w14:textId="77777777" w:rsidR="00991C07" w:rsidRDefault="00991C07" w:rsidP="00991C07">
      <w:pPr>
        <w:keepLines/>
        <w:overflowPunct w:val="0"/>
        <w:ind w:left="539" w:right="28"/>
        <w:jc w:val="both"/>
        <w:rPr>
          <w:color w:val="000000"/>
        </w:rPr>
      </w:pPr>
    </w:p>
    <w:p w14:paraId="4B7B153D" w14:textId="082D327A" w:rsidR="00246AFF" w:rsidRDefault="00FD0E11" w:rsidP="00246AFF">
      <w:pPr>
        <w:keepLines/>
        <w:numPr>
          <w:ilvl w:val="0"/>
          <w:numId w:val="32"/>
        </w:numPr>
        <w:overflowPunct w:val="0"/>
        <w:ind w:left="539" w:right="28" w:hanging="539"/>
        <w:jc w:val="both"/>
        <w:rPr>
          <w:color w:val="000000"/>
        </w:rPr>
      </w:pPr>
      <w:bookmarkStart w:id="0" w:name="_GoBack"/>
      <w:r w:rsidRPr="00242BB1">
        <w:rPr>
          <w:color w:val="000000"/>
        </w:rPr>
        <w:t xml:space="preserve">The </w:t>
      </w:r>
      <w:r>
        <w:t>take</w:t>
      </w:r>
      <w:r>
        <w:noBreakHyphen/>
        <w:t>up, completion and vacancy figures</w:t>
      </w:r>
      <w:r w:rsidRPr="00242BB1">
        <w:rPr>
          <w:color w:val="000000"/>
        </w:rPr>
        <w:t xml:space="preserve"> refer to commercial space,</w:t>
      </w:r>
      <w:r>
        <w:rPr>
          <w:color w:val="000000"/>
        </w:rPr>
        <w:t xml:space="preserve"> which</w:t>
      </w:r>
      <w:r w:rsidR="00CF2D67" w:rsidRPr="008B1A71">
        <w:rPr>
          <w:color w:val="000000"/>
        </w:rPr>
        <w:t xml:space="preserve"> </w:t>
      </w:r>
      <w:bookmarkEnd w:id="0"/>
      <w:r w:rsidR="00CF2D67" w:rsidRPr="008B1A71">
        <w:rPr>
          <w:color w:val="000000"/>
        </w:rPr>
        <w:t>comprises retail premises and other premises designed or adapted for commercial use but excludes purpose-built office space.</w:t>
      </w:r>
    </w:p>
    <w:p w14:paraId="31979458" w14:textId="77777777" w:rsidR="0046197A" w:rsidRDefault="0046197A" w:rsidP="0046197A">
      <w:pPr>
        <w:pStyle w:val="afa"/>
        <w:rPr>
          <w:color w:val="000000"/>
        </w:rPr>
      </w:pPr>
    </w:p>
    <w:p w14:paraId="5690FC17" w14:textId="3F0D677F" w:rsidR="008C32F6" w:rsidRPr="000B7ECC" w:rsidRDefault="008C32F6" w:rsidP="000B7ECC">
      <w:pPr>
        <w:numPr>
          <w:ilvl w:val="0"/>
          <w:numId w:val="32"/>
        </w:numPr>
        <w:ind w:right="28" w:hanging="540"/>
        <w:jc w:val="both"/>
        <w:rPr>
          <w:szCs w:val="28"/>
          <w:shd w:val="pct15" w:color="auto" w:fill="FFFFFF"/>
        </w:rPr>
      </w:pPr>
      <w:r w:rsidRPr="008A2524">
        <w:rPr>
          <w:color w:val="000000"/>
        </w:rPr>
        <w:t>Other short-haul markets refer to North Asia, South and Southeast Asia, Taiwan and Macao, but excluding the Mainland, while long-haul markets refer to the Americas, Europe, Africa, the Middle East, Australia, New Zealand and South Pacific.  In 2024, visitor arrivals from the Mainland, other short-haul and long</w:t>
      </w:r>
      <w:r w:rsidRPr="008A2524">
        <w:rPr>
          <w:color w:val="000000"/>
        </w:rPr>
        <w:noBreakHyphen/>
        <w:t xml:space="preserve">haul markets accounted for respective shares of </w:t>
      </w:r>
      <w:r w:rsidR="00CF7B6C">
        <w:rPr>
          <w:color w:val="000000"/>
        </w:rPr>
        <w:t>76</w:t>
      </w:r>
      <w:r w:rsidRPr="006C326F">
        <w:rPr>
          <w:color w:val="000000"/>
        </w:rPr>
        <w:t xml:space="preserve">%, </w:t>
      </w:r>
      <w:r w:rsidR="00CF7B6C">
        <w:rPr>
          <w:color w:val="000000"/>
        </w:rPr>
        <w:t>16</w:t>
      </w:r>
      <w:r w:rsidRPr="006C326F">
        <w:rPr>
          <w:color w:val="000000"/>
        </w:rPr>
        <w:t xml:space="preserve">% and </w:t>
      </w:r>
      <w:r w:rsidR="00CF7B6C">
        <w:rPr>
          <w:color w:val="000000"/>
        </w:rPr>
        <w:t>7</w:t>
      </w:r>
      <w:r w:rsidRPr="006C326F">
        <w:rPr>
          <w:color w:val="000000"/>
        </w:rPr>
        <w:t>%</w:t>
      </w:r>
      <w:r w:rsidRPr="008A2524">
        <w:rPr>
          <w:color w:val="000000"/>
        </w:rPr>
        <w:t xml:space="preserve"> of the total</w:t>
      </w:r>
      <w:r w:rsidR="00CF7B6C">
        <w:rPr>
          <w:color w:val="000000"/>
        </w:rPr>
        <w:t xml:space="preserve"> </w:t>
      </w:r>
      <w:r w:rsidR="00CF7B6C">
        <w:rPr>
          <w:rFonts w:hint="eastAsia"/>
          <w:color w:val="000000"/>
        </w:rPr>
        <w:t>(</w:t>
      </w:r>
      <w:r w:rsidR="00CF7B6C">
        <w:rPr>
          <w:color w:val="000000"/>
        </w:rPr>
        <w:t>figures do not add up to 100% due to rounding</w:t>
      </w:r>
      <w:r w:rsidR="00CF7B6C">
        <w:rPr>
          <w:rFonts w:hint="eastAsia"/>
          <w:color w:val="000000"/>
        </w:rPr>
        <w:t>)</w:t>
      </w:r>
      <w:r w:rsidRPr="008A2524">
        <w:rPr>
          <w:color w:val="000000"/>
        </w:rPr>
        <w:t>.</w:t>
      </w:r>
    </w:p>
    <w:p w14:paraId="5CFF7CD8" w14:textId="77777777" w:rsidR="0046197A" w:rsidRPr="00CF2D67" w:rsidRDefault="0046197A" w:rsidP="0046197A">
      <w:pPr>
        <w:pStyle w:val="afa"/>
        <w:overflowPunct w:val="0"/>
        <w:ind w:left="1020" w:hanging="540"/>
        <w:rPr>
          <w:szCs w:val="28"/>
        </w:rPr>
      </w:pPr>
    </w:p>
    <w:p w14:paraId="7FBC49BD" w14:textId="605CF9DA" w:rsidR="0046197A" w:rsidRPr="0046197A" w:rsidRDefault="008C32F6" w:rsidP="0046197A">
      <w:pPr>
        <w:numPr>
          <w:ilvl w:val="0"/>
          <w:numId w:val="32"/>
        </w:numPr>
        <w:ind w:right="28" w:hanging="540"/>
        <w:jc w:val="both"/>
      </w:pPr>
      <w:r w:rsidRPr="008A2524">
        <w:rPr>
          <w:color w:val="000000"/>
        </w:rPr>
        <w:t>The figures on hotel room occupancy and achieved room rate do not include guesthouses.  The figures are subject to revision later as more data become available.</w:t>
      </w:r>
    </w:p>
    <w:sectPr w:rsidR="0046197A" w:rsidRPr="0046197A" w:rsidSect="00230F5C">
      <w:footerReference w:type="even" r:id="rId15"/>
      <w:footerReference w:type="default" r:id="rId16"/>
      <w:footerReference w:type="first" r:id="rId17"/>
      <w:pgSz w:w="11909" w:h="16834" w:code="9"/>
      <w:pgMar w:top="1009" w:right="1440" w:bottom="318" w:left="1440" w:header="720" w:footer="397" w:gutter="0"/>
      <w:pgNumType w:start="50"/>
      <w:cols w:space="42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22DD3" w14:textId="77777777" w:rsidR="00B27728" w:rsidRDefault="00B27728">
      <w:r>
        <w:separator/>
      </w:r>
    </w:p>
  </w:endnote>
  <w:endnote w:type="continuationSeparator" w:id="0">
    <w:p w14:paraId="28EBB10F" w14:textId="77777777" w:rsidR="00B27728" w:rsidRDefault="00B27728">
      <w:r>
        <w:continuationSeparator/>
      </w:r>
    </w:p>
  </w:endnote>
  <w:endnote w:type="continuationNotice" w:id="1">
    <w:p w14:paraId="5A730B30" w14:textId="77777777" w:rsidR="00B27728" w:rsidRDefault="00B277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華康中黑體">
    <w:altName w:val="Arial Unicode MS"/>
    <w:panose1 w:val="020B0509000000000000"/>
    <w:charset w:val="88"/>
    <w:family w:val="modern"/>
    <w:pitch w:val="fixed"/>
    <w:sig w:usb0="F1002BFF" w:usb1="29DFFFFF" w:usb2="00000037" w:usb3="00000000" w:csb0="003F00FF" w:csb1="00000000"/>
  </w:font>
  <w:font w:name="Microsoft Sans Serif">
    <w:panose1 w:val="020B0604020202020204"/>
    <w:charset w:val="00"/>
    <w:family w:val="swiss"/>
    <w:pitch w:val="variable"/>
    <w:sig w:usb0="E5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AB0D5" w14:textId="77777777" w:rsidR="004A15F7" w:rsidRDefault="004A15F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26</w:t>
    </w:r>
    <w:r>
      <w:rPr>
        <w:rStyle w:val="aa"/>
      </w:rPr>
      <w:fldChar w:fldCharType="end"/>
    </w:r>
  </w:p>
  <w:p w14:paraId="058EB5E5" w14:textId="77777777" w:rsidR="004A15F7" w:rsidRDefault="004A15F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CE6DC" w14:textId="5556F883" w:rsidR="004A15F7" w:rsidRPr="00230F5C" w:rsidRDefault="004A15F7" w:rsidP="00CE0615">
    <w:pPr>
      <w:pStyle w:val="a8"/>
      <w:jc w:val="center"/>
      <w:rPr>
        <w:rFonts w:ascii="Times New Roman" w:hAnsi="Times New Roman"/>
        <w:sz w:val="28"/>
        <w:szCs w:val="28"/>
        <w:lang w:val="en-GB"/>
      </w:rPr>
    </w:pPr>
    <w:r>
      <w:rPr>
        <w:rStyle w:val="aa"/>
        <w:rFonts w:ascii="Times New Roman" w:hAnsi="Times New Roman"/>
        <w:sz w:val="28"/>
        <w:szCs w:val="28"/>
      </w:rPr>
      <w:fldChar w:fldCharType="begin"/>
    </w:r>
    <w:r>
      <w:rPr>
        <w:rStyle w:val="aa"/>
        <w:rFonts w:ascii="Times New Roman" w:hAnsi="Times New Roman"/>
        <w:sz w:val="28"/>
        <w:szCs w:val="28"/>
      </w:rPr>
      <w:instrText xml:space="preserve"> PAGE </w:instrText>
    </w:r>
    <w:r>
      <w:rPr>
        <w:rStyle w:val="aa"/>
        <w:rFonts w:ascii="Times New Roman" w:hAnsi="Times New Roman"/>
        <w:sz w:val="28"/>
        <w:szCs w:val="28"/>
      </w:rPr>
      <w:fldChar w:fldCharType="separate"/>
    </w:r>
    <w:r w:rsidR="00F91A27">
      <w:rPr>
        <w:rStyle w:val="aa"/>
        <w:rFonts w:ascii="Times New Roman" w:hAnsi="Times New Roman"/>
        <w:noProof/>
        <w:sz w:val="28"/>
        <w:szCs w:val="28"/>
      </w:rPr>
      <w:t>65</w:t>
    </w:r>
    <w:r>
      <w:rPr>
        <w:rStyle w:val="aa"/>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5BBD" w14:textId="77777777" w:rsidR="004A15F7" w:rsidRDefault="004A15F7">
    <w:pPr>
      <w:pStyle w:val="a8"/>
    </w:pPr>
  </w:p>
  <w:p w14:paraId="3F373402" w14:textId="77777777" w:rsidR="004A15F7" w:rsidRDefault="004A15F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7223D5" w14:textId="77777777" w:rsidR="00B27728" w:rsidRDefault="00B27728">
      <w:r>
        <w:separator/>
      </w:r>
    </w:p>
  </w:footnote>
  <w:footnote w:type="continuationSeparator" w:id="0">
    <w:p w14:paraId="78C0DC65" w14:textId="77777777" w:rsidR="00B27728" w:rsidRDefault="00B27728">
      <w:r>
        <w:continuationSeparator/>
      </w:r>
    </w:p>
  </w:footnote>
  <w:footnote w:type="continuationNotice" w:id="1">
    <w:p w14:paraId="76BC7F67" w14:textId="77777777" w:rsidR="00B27728" w:rsidRDefault="00B2772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65pt;height:12.65pt;visibility:visible" o:bullet="t">
        <v:imagedata r:id="rId1" o:title=""/>
      </v:shape>
    </w:pict>
  </w:numPicBullet>
  <w:abstractNum w:abstractNumId="0" w15:restartNumberingAfterBreak="0">
    <w:nsid w:val="FFFFFF89"/>
    <w:multiLevelType w:val="singleLevel"/>
    <w:tmpl w:val="5AE22704"/>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0A56D38"/>
    <w:multiLevelType w:val="hybridMultilevel"/>
    <w:tmpl w:val="86F4D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639EB"/>
    <w:multiLevelType w:val="hybridMultilevel"/>
    <w:tmpl w:val="6B02C3C8"/>
    <w:lvl w:ilvl="0" w:tplc="D22458DE">
      <w:start w:val="1"/>
      <w:numFmt w:val="decimal"/>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C287C3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DAA5DC7"/>
    <w:multiLevelType w:val="hybridMultilevel"/>
    <w:tmpl w:val="58EE29D8"/>
    <w:lvl w:ilvl="0" w:tplc="6E90E636">
      <w:start w:val="1"/>
      <w:numFmt w:val="lowerLetter"/>
      <w:lvlText w:val="(%1)"/>
      <w:lvlJc w:val="left"/>
      <w:pPr>
        <w:ind w:left="360" w:hanging="360"/>
      </w:pPr>
      <w:rPr>
        <w:rFonts w:hint="default"/>
      </w:rPr>
    </w:lvl>
    <w:lvl w:ilvl="1" w:tplc="6E90E636">
      <w:start w:val="1"/>
      <w:numFmt w:val="lowerLetter"/>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DF3DAA"/>
    <w:multiLevelType w:val="hybridMultilevel"/>
    <w:tmpl w:val="636A6872"/>
    <w:lvl w:ilvl="0" w:tplc="DE40E6CA">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C4481"/>
    <w:multiLevelType w:val="hybridMultilevel"/>
    <w:tmpl w:val="8F427C6A"/>
    <w:lvl w:ilvl="0" w:tplc="272E6D94">
      <w:start w:val="1"/>
      <w:numFmt w:val="decimal"/>
      <w:lvlText w:val="(%1)"/>
      <w:lvlJc w:val="left"/>
      <w:pPr>
        <w:ind w:left="360" w:hanging="360"/>
      </w:pPr>
      <w:rPr>
        <w:rFonts w:hint="default"/>
      </w:rPr>
    </w:lvl>
    <w:lvl w:ilvl="1" w:tplc="0409000B">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B820A97"/>
    <w:multiLevelType w:val="hybridMultilevel"/>
    <w:tmpl w:val="8D94EB70"/>
    <w:lvl w:ilvl="0" w:tplc="2A2417F6">
      <w:start w:val="1"/>
      <w:numFmt w:val="decimal"/>
      <w:lvlText w:val="(%1)"/>
      <w:lvlJc w:val="left"/>
      <w:pPr>
        <w:ind w:left="362" w:hanging="360"/>
      </w:pPr>
      <w:rPr>
        <w:rFonts w:eastAsia="新細明體"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8" w15:restartNumberingAfterBreak="0">
    <w:nsid w:val="1D6A2A5E"/>
    <w:multiLevelType w:val="multilevel"/>
    <w:tmpl w:val="85080B1C"/>
    <w:lvl w:ilvl="0">
      <w:start w:val="3"/>
      <w:numFmt w:val="decimal"/>
      <w:lvlText w:val="%1"/>
      <w:lvlJc w:val="left"/>
      <w:pPr>
        <w:tabs>
          <w:tab w:val="num" w:pos="1080"/>
        </w:tabs>
        <w:ind w:left="1080" w:hanging="1080"/>
      </w:pPr>
      <w:rPr>
        <w:rFonts w:hint="default"/>
      </w:rPr>
    </w:lvl>
    <w:lvl w:ilvl="1">
      <w:start w:val="1"/>
      <w:numFmt w:val="decimal"/>
      <w:lvlText w:val="4.%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DDE1114"/>
    <w:multiLevelType w:val="hybridMultilevel"/>
    <w:tmpl w:val="E55A2AA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21E16B89"/>
    <w:multiLevelType w:val="hybridMultilevel"/>
    <w:tmpl w:val="055AA420"/>
    <w:lvl w:ilvl="0" w:tplc="F91C726C">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3C036C5"/>
    <w:multiLevelType w:val="hybridMultilevel"/>
    <w:tmpl w:val="C8DC50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0B238E"/>
    <w:multiLevelType w:val="hybridMultilevel"/>
    <w:tmpl w:val="24145C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7400F59"/>
    <w:multiLevelType w:val="hybridMultilevel"/>
    <w:tmpl w:val="D9F62D70"/>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2DB10CA5"/>
    <w:multiLevelType w:val="hybridMultilevel"/>
    <w:tmpl w:val="9D7E83D0"/>
    <w:lvl w:ilvl="0" w:tplc="E54C40F0">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303E7443"/>
    <w:multiLevelType w:val="multilevel"/>
    <w:tmpl w:val="026058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887632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8F306BD"/>
    <w:multiLevelType w:val="hybridMultilevel"/>
    <w:tmpl w:val="6FBA8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8C59D3"/>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1" w15:restartNumberingAfterBreak="0">
    <w:nsid w:val="3E19755D"/>
    <w:multiLevelType w:val="hybridMultilevel"/>
    <w:tmpl w:val="AA98176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3E406526"/>
    <w:multiLevelType w:val="hybridMultilevel"/>
    <w:tmpl w:val="3FD8986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F881383"/>
    <w:multiLevelType w:val="hybridMultilevel"/>
    <w:tmpl w:val="9642FCAE"/>
    <w:lvl w:ilvl="0" w:tplc="FD321A9E">
      <w:start w:val="1"/>
      <w:numFmt w:val="decimal"/>
      <w:lvlText w:val="(%1)"/>
      <w:lvlJc w:val="left"/>
      <w:pPr>
        <w:ind w:left="540" w:hanging="600"/>
      </w:pPr>
      <w:rPr>
        <w:rFonts w:hint="default"/>
      </w:rPr>
    </w:lvl>
    <w:lvl w:ilvl="1" w:tplc="08090019" w:tentative="1">
      <w:start w:val="1"/>
      <w:numFmt w:val="lowerLetter"/>
      <w:lvlText w:val="%2."/>
      <w:lvlJc w:val="left"/>
      <w:pPr>
        <w:ind w:left="1020" w:hanging="360"/>
      </w:pPr>
    </w:lvl>
    <w:lvl w:ilvl="2" w:tplc="0809001B" w:tentative="1">
      <w:start w:val="1"/>
      <w:numFmt w:val="lowerRoman"/>
      <w:lvlText w:val="%3."/>
      <w:lvlJc w:val="right"/>
      <w:pPr>
        <w:ind w:left="1740" w:hanging="180"/>
      </w:pPr>
    </w:lvl>
    <w:lvl w:ilvl="3" w:tplc="0809000F" w:tentative="1">
      <w:start w:val="1"/>
      <w:numFmt w:val="decimal"/>
      <w:lvlText w:val="%4."/>
      <w:lvlJc w:val="left"/>
      <w:pPr>
        <w:ind w:left="2460" w:hanging="360"/>
      </w:pPr>
    </w:lvl>
    <w:lvl w:ilvl="4" w:tplc="08090019" w:tentative="1">
      <w:start w:val="1"/>
      <w:numFmt w:val="lowerLetter"/>
      <w:lvlText w:val="%5."/>
      <w:lvlJc w:val="left"/>
      <w:pPr>
        <w:ind w:left="3180" w:hanging="360"/>
      </w:pPr>
    </w:lvl>
    <w:lvl w:ilvl="5" w:tplc="0809001B" w:tentative="1">
      <w:start w:val="1"/>
      <w:numFmt w:val="lowerRoman"/>
      <w:lvlText w:val="%6."/>
      <w:lvlJc w:val="right"/>
      <w:pPr>
        <w:ind w:left="3900" w:hanging="180"/>
      </w:pPr>
    </w:lvl>
    <w:lvl w:ilvl="6" w:tplc="0809000F" w:tentative="1">
      <w:start w:val="1"/>
      <w:numFmt w:val="decimal"/>
      <w:lvlText w:val="%7."/>
      <w:lvlJc w:val="left"/>
      <w:pPr>
        <w:ind w:left="4620" w:hanging="360"/>
      </w:pPr>
    </w:lvl>
    <w:lvl w:ilvl="7" w:tplc="08090019" w:tentative="1">
      <w:start w:val="1"/>
      <w:numFmt w:val="lowerLetter"/>
      <w:lvlText w:val="%8."/>
      <w:lvlJc w:val="left"/>
      <w:pPr>
        <w:ind w:left="5340" w:hanging="360"/>
      </w:pPr>
    </w:lvl>
    <w:lvl w:ilvl="8" w:tplc="0809001B" w:tentative="1">
      <w:start w:val="1"/>
      <w:numFmt w:val="lowerRoman"/>
      <w:lvlText w:val="%9."/>
      <w:lvlJc w:val="right"/>
      <w:pPr>
        <w:ind w:left="6060" w:hanging="180"/>
      </w:pPr>
    </w:lvl>
  </w:abstractNum>
  <w:abstractNum w:abstractNumId="24" w15:restartNumberingAfterBreak="0">
    <w:nsid w:val="422831C9"/>
    <w:multiLevelType w:val="multilevel"/>
    <w:tmpl w:val="85208EBC"/>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5910A3F"/>
    <w:multiLevelType w:val="hybridMultilevel"/>
    <w:tmpl w:val="CFBCFFAC"/>
    <w:lvl w:ilvl="0" w:tplc="0F3A65CC">
      <w:start w:val="1"/>
      <w:numFmt w:val="decimal"/>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599305A"/>
    <w:multiLevelType w:val="multilevel"/>
    <w:tmpl w:val="3A7887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94165A5"/>
    <w:multiLevelType w:val="hybridMultilevel"/>
    <w:tmpl w:val="5A4A2D10"/>
    <w:lvl w:ilvl="0" w:tplc="6E54FDEE">
      <w:start w:val="1"/>
      <w:numFmt w:val="upp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8" w15:restartNumberingAfterBreak="0">
    <w:nsid w:val="5BA8149B"/>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5CA916A5"/>
    <w:multiLevelType w:val="hybridMultilevel"/>
    <w:tmpl w:val="BA40A0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FBB4A1C"/>
    <w:multiLevelType w:val="hybridMultilevel"/>
    <w:tmpl w:val="AD1C97E0"/>
    <w:lvl w:ilvl="0" w:tplc="08090001">
      <w:start w:val="1"/>
      <w:numFmt w:val="bullet"/>
      <w:lvlText w:val=""/>
      <w:lvlJc w:val="left"/>
      <w:pPr>
        <w:ind w:left="2289" w:hanging="360"/>
      </w:pPr>
      <w:rPr>
        <w:rFonts w:ascii="Symbol" w:hAnsi="Symbol"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1" w15:restartNumberingAfterBreak="0">
    <w:nsid w:val="63883626"/>
    <w:multiLevelType w:val="hybridMultilevel"/>
    <w:tmpl w:val="653C0518"/>
    <w:lvl w:ilvl="0" w:tplc="0809000B">
      <w:start w:val="1"/>
      <w:numFmt w:val="bullet"/>
      <w:lvlText w:val=""/>
      <w:lvlJc w:val="left"/>
      <w:pPr>
        <w:ind w:left="2487" w:hanging="360"/>
      </w:pPr>
      <w:rPr>
        <w:rFonts w:ascii="Wingdings" w:hAnsi="Wingdings" w:hint="default"/>
      </w:rPr>
    </w:lvl>
    <w:lvl w:ilvl="1" w:tplc="08090003" w:tentative="1">
      <w:start w:val="1"/>
      <w:numFmt w:val="bullet"/>
      <w:lvlText w:val="o"/>
      <w:lvlJc w:val="left"/>
      <w:pPr>
        <w:ind w:left="3207" w:hanging="360"/>
      </w:pPr>
      <w:rPr>
        <w:rFonts w:ascii="Courier New" w:hAnsi="Courier New" w:cs="Courier New" w:hint="default"/>
      </w:rPr>
    </w:lvl>
    <w:lvl w:ilvl="2" w:tplc="08090005" w:tentative="1">
      <w:start w:val="1"/>
      <w:numFmt w:val="bullet"/>
      <w:lvlText w:val=""/>
      <w:lvlJc w:val="left"/>
      <w:pPr>
        <w:ind w:left="3927" w:hanging="360"/>
      </w:pPr>
      <w:rPr>
        <w:rFonts w:ascii="Wingdings" w:hAnsi="Wingdings" w:hint="default"/>
      </w:rPr>
    </w:lvl>
    <w:lvl w:ilvl="3" w:tplc="08090001" w:tentative="1">
      <w:start w:val="1"/>
      <w:numFmt w:val="bullet"/>
      <w:lvlText w:val=""/>
      <w:lvlJc w:val="left"/>
      <w:pPr>
        <w:ind w:left="4647" w:hanging="360"/>
      </w:pPr>
      <w:rPr>
        <w:rFonts w:ascii="Symbol" w:hAnsi="Symbol" w:hint="default"/>
      </w:rPr>
    </w:lvl>
    <w:lvl w:ilvl="4" w:tplc="08090003" w:tentative="1">
      <w:start w:val="1"/>
      <w:numFmt w:val="bullet"/>
      <w:lvlText w:val="o"/>
      <w:lvlJc w:val="left"/>
      <w:pPr>
        <w:ind w:left="5367" w:hanging="360"/>
      </w:pPr>
      <w:rPr>
        <w:rFonts w:ascii="Courier New" w:hAnsi="Courier New" w:cs="Courier New" w:hint="default"/>
      </w:rPr>
    </w:lvl>
    <w:lvl w:ilvl="5" w:tplc="08090005" w:tentative="1">
      <w:start w:val="1"/>
      <w:numFmt w:val="bullet"/>
      <w:lvlText w:val=""/>
      <w:lvlJc w:val="left"/>
      <w:pPr>
        <w:ind w:left="6087" w:hanging="360"/>
      </w:pPr>
      <w:rPr>
        <w:rFonts w:ascii="Wingdings" w:hAnsi="Wingdings" w:hint="default"/>
      </w:rPr>
    </w:lvl>
    <w:lvl w:ilvl="6" w:tplc="08090001" w:tentative="1">
      <w:start w:val="1"/>
      <w:numFmt w:val="bullet"/>
      <w:lvlText w:val=""/>
      <w:lvlJc w:val="left"/>
      <w:pPr>
        <w:ind w:left="6807" w:hanging="360"/>
      </w:pPr>
      <w:rPr>
        <w:rFonts w:ascii="Symbol" w:hAnsi="Symbol" w:hint="default"/>
      </w:rPr>
    </w:lvl>
    <w:lvl w:ilvl="7" w:tplc="08090003" w:tentative="1">
      <w:start w:val="1"/>
      <w:numFmt w:val="bullet"/>
      <w:lvlText w:val="o"/>
      <w:lvlJc w:val="left"/>
      <w:pPr>
        <w:ind w:left="7527" w:hanging="360"/>
      </w:pPr>
      <w:rPr>
        <w:rFonts w:ascii="Courier New" w:hAnsi="Courier New" w:cs="Courier New" w:hint="default"/>
      </w:rPr>
    </w:lvl>
    <w:lvl w:ilvl="8" w:tplc="08090005" w:tentative="1">
      <w:start w:val="1"/>
      <w:numFmt w:val="bullet"/>
      <w:lvlText w:val=""/>
      <w:lvlJc w:val="left"/>
      <w:pPr>
        <w:ind w:left="8247" w:hanging="360"/>
      </w:pPr>
      <w:rPr>
        <w:rFonts w:ascii="Wingdings" w:hAnsi="Wingdings" w:hint="default"/>
      </w:rPr>
    </w:lvl>
  </w:abstractNum>
  <w:abstractNum w:abstractNumId="32" w15:restartNumberingAfterBreak="0">
    <w:nsid w:val="649317B4"/>
    <w:multiLevelType w:val="hybridMultilevel"/>
    <w:tmpl w:val="226CD156"/>
    <w:lvl w:ilvl="0" w:tplc="49E086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57C118B"/>
    <w:multiLevelType w:val="hybridMultilevel"/>
    <w:tmpl w:val="AF9EC438"/>
    <w:lvl w:ilvl="0" w:tplc="7EAE6C6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4" w15:restartNumberingAfterBreak="0">
    <w:nsid w:val="675C048A"/>
    <w:multiLevelType w:val="hybridMultilevel"/>
    <w:tmpl w:val="686A2A30"/>
    <w:lvl w:ilvl="0" w:tplc="0809000B">
      <w:start w:val="1"/>
      <w:numFmt w:val="bullet"/>
      <w:lvlText w:val=""/>
      <w:lvlJc w:val="left"/>
      <w:pPr>
        <w:ind w:left="2289" w:hanging="360"/>
      </w:pPr>
      <w:rPr>
        <w:rFonts w:ascii="Wingdings" w:hAnsi="Wingdings"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5" w15:restartNumberingAfterBreak="0">
    <w:nsid w:val="690124E5"/>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6B7116CC"/>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3597E2B"/>
    <w:multiLevelType w:val="hybridMultilevel"/>
    <w:tmpl w:val="26DC25B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6130B92"/>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39" w15:restartNumberingAfterBreak="0">
    <w:nsid w:val="76E447B3"/>
    <w:multiLevelType w:val="hybridMultilevel"/>
    <w:tmpl w:val="D7C08F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AAA1F4F"/>
    <w:multiLevelType w:val="multilevel"/>
    <w:tmpl w:val="BC58F2D2"/>
    <w:lvl w:ilvl="0">
      <w:start w:val="3"/>
      <w:numFmt w:val="decimal"/>
      <w:lvlText w:val="%1"/>
      <w:lvlJc w:val="left"/>
      <w:pPr>
        <w:tabs>
          <w:tab w:val="num" w:pos="1080"/>
        </w:tabs>
        <w:ind w:left="1080" w:hanging="1080"/>
      </w:pPr>
      <w:rPr>
        <w:rFonts w:hint="default"/>
      </w:rPr>
    </w:lvl>
    <w:lvl w:ilvl="1">
      <w:start w:val="8"/>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AAC5CD9"/>
    <w:multiLevelType w:val="hybridMultilevel"/>
    <w:tmpl w:val="34B684D8"/>
    <w:lvl w:ilvl="0" w:tplc="AC4425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B9A1056"/>
    <w:multiLevelType w:val="hybridMultilevel"/>
    <w:tmpl w:val="434AE4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0E7E49"/>
    <w:multiLevelType w:val="hybridMultilevel"/>
    <w:tmpl w:val="2416C282"/>
    <w:lvl w:ilvl="0" w:tplc="E37CBCDE">
      <w:start w:val="1"/>
      <w:numFmt w:val="lowerLetter"/>
      <w:lvlText w:val="(%1)"/>
      <w:lvlJc w:val="left"/>
      <w:pPr>
        <w:tabs>
          <w:tab w:val="num" w:pos="960"/>
        </w:tabs>
        <w:ind w:left="960" w:hanging="360"/>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num w:numId="1">
    <w:abstractNumId w:val="0"/>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15"/>
  </w:num>
  <w:num w:numId="5">
    <w:abstractNumId w:val="8"/>
  </w:num>
  <w:num w:numId="6">
    <w:abstractNumId w:val="41"/>
  </w:num>
  <w:num w:numId="7">
    <w:abstractNumId w:val="42"/>
  </w:num>
  <w:num w:numId="8">
    <w:abstractNumId w:val="3"/>
  </w:num>
  <w:num w:numId="9">
    <w:abstractNumId w:val="12"/>
  </w:num>
  <w:num w:numId="10">
    <w:abstractNumId w:val="2"/>
  </w:num>
  <w:num w:numId="11">
    <w:abstractNumId w:val="37"/>
  </w:num>
  <w:num w:numId="12">
    <w:abstractNumId w:val="14"/>
  </w:num>
  <w:num w:numId="13">
    <w:abstractNumId w:val="22"/>
  </w:num>
  <w:num w:numId="14">
    <w:abstractNumId w:val="18"/>
  </w:num>
  <w:num w:numId="15">
    <w:abstractNumId w:val="13"/>
  </w:num>
  <w:num w:numId="16">
    <w:abstractNumId w:val="32"/>
  </w:num>
  <w:num w:numId="17">
    <w:abstractNumId w:val="20"/>
  </w:num>
  <w:num w:numId="18">
    <w:abstractNumId w:val="6"/>
  </w:num>
  <w:num w:numId="19">
    <w:abstractNumId w:val="27"/>
  </w:num>
  <w:num w:numId="20">
    <w:abstractNumId w:val="38"/>
  </w:num>
  <w:num w:numId="21">
    <w:abstractNumId w:val="11"/>
  </w:num>
  <w:num w:numId="22">
    <w:abstractNumId w:val="5"/>
  </w:num>
  <w:num w:numId="23">
    <w:abstractNumId w:val="39"/>
  </w:num>
  <w:num w:numId="24">
    <w:abstractNumId w:val="4"/>
  </w:num>
  <w:num w:numId="25">
    <w:abstractNumId w:val="43"/>
  </w:num>
  <w:num w:numId="26">
    <w:abstractNumId w:val="9"/>
  </w:num>
  <w:num w:numId="27">
    <w:abstractNumId w:val="29"/>
  </w:num>
  <w:num w:numId="28">
    <w:abstractNumId w:val="35"/>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7"/>
  </w:num>
  <w:num w:numId="32">
    <w:abstractNumId w:val="23"/>
  </w:num>
  <w:num w:numId="33">
    <w:abstractNumId w:val="17"/>
  </w:num>
  <w:num w:numId="34">
    <w:abstractNumId w:val="24"/>
  </w:num>
  <w:num w:numId="35">
    <w:abstractNumId w:val="10"/>
  </w:num>
  <w:num w:numId="36">
    <w:abstractNumId w:val="31"/>
  </w:num>
  <w:num w:numId="37">
    <w:abstractNumId w:val="21"/>
  </w:num>
  <w:num w:numId="38">
    <w:abstractNumId w:val="34"/>
  </w:num>
  <w:num w:numId="39">
    <w:abstractNumId w:val="30"/>
  </w:num>
  <w:num w:numId="40">
    <w:abstractNumId w:val="16"/>
  </w:num>
  <w:num w:numId="41">
    <w:abstractNumId w:val="26"/>
  </w:num>
  <w:num w:numId="42">
    <w:abstractNumId w:val="33"/>
  </w:num>
  <w:num w:numId="43">
    <w:abstractNumId w:val="1"/>
  </w:num>
  <w:num w:numId="44">
    <w:abstractNumId w:val="25"/>
  </w:num>
  <w:num w:numId="4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num>
  <w:num w:numId="47">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12"/>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475"/>
    <w:rsid w:val="00000446"/>
    <w:rsid w:val="000004A0"/>
    <w:rsid w:val="00000541"/>
    <w:rsid w:val="000005D9"/>
    <w:rsid w:val="000008C4"/>
    <w:rsid w:val="00000944"/>
    <w:rsid w:val="000009C8"/>
    <w:rsid w:val="00000DA9"/>
    <w:rsid w:val="00000F86"/>
    <w:rsid w:val="00001023"/>
    <w:rsid w:val="000012DD"/>
    <w:rsid w:val="00001334"/>
    <w:rsid w:val="00001611"/>
    <w:rsid w:val="000018C2"/>
    <w:rsid w:val="00001D4C"/>
    <w:rsid w:val="00001DF2"/>
    <w:rsid w:val="00002269"/>
    <w:rsid w:val="000022C6"/>
    <w:rsid w:val="0000254B"/>
    <w:rsid w:val="0000273D"/>
    <w:rsid w:val="0000292C"/>
    <w:rsid w:val="00002BA1"/>
    <w:rsid w:val="00002BB3"/>
    <w:rsid w:val="00002DA2"/>
    <w:rsid w:val="000030FD"/>
    <w:rsid w:val="000034D9"/>
    <w:rsid w:val="0000363B"/>
    <w:rsid w:val="00003A85"/>
    <w:rsid w:val="00003D5E"/>
    <w:rsid w:val="000041B5"/>
    <w:rsid w:val="00004243"/>
    <w:rsid w:val="00004572"/>
    <w:rsid w:val="000046D1"/>
    <w:rsid w:val="00004794"/>
    <w:rsid w:val="00004856"/>
    <w:rsid w:val="000049D2"/>
    <w:rsid w:val="00004AE1"/>
    <w:rsid w:val="00004C13"/>
    <w:rsid w:val="00004E2B"/>
    <w:rsid w:val="00004EA8"/>
    <w:rsid w:val="00004F22"/>
    <w:rsid w:val="0000502F"/>
    <w:rsid w:val="0000509C"/>
    <w:rsid w:val="0000524E"/>
    <w:rsid w:val="0000535E"/>
    <w:rsid w:val="000054F4"/>
    <w:rsid w:val="0000577E"/>
    <w:rsid w:val="00005A86"/>
    <w:rsid w:val="00005BF1"/>
    <w:rsid w:val="00005ECF"/>
    <w:rsid w:val="00006073"/>
    <w:rsid w:val="00006384"/>
    <w:rsid w:val="0000657E"/>
    <w:rsid w:val="0000683F"/>
    <w:rsid w:val="00006DE1"/>
    <w:rsid w:val="00006F30"/>
    <w:rsid w:val="00006F51"/>
    <w:rsid w:val="000070C0"/>
    <w:rsid w:val="00007823"/>
    <w:rsid w:val="00007CD6"/>
    <w:rsid w:val="00007E95"/>
    <w:rsid w:val="000102A9"/>
    <w:rsid w:val="000107D7"/>
    <w:rsid w:val="0001087B"/>
    <w:rsid w:val="000108EE"/>
    <w:rsid w:val="000109AB"/>
    <w:rsid w:val="00010A80"/>
    <w:rsid w:val="00010AE7"/>
    <w:rsid w:val="00011113"/>
    <w:rsid w:val="00011499"/>
    <w:rsid w:val="0001179C"/>
    <w:rsid w:val="00011C5A"/>
    <w:rsid w:val="00011D0F"/>
    <w:rsid w:val="00011F15"/>
    <w:rsid w:val="00011F5F"/>
    <w:rsid w:val="00011F8F"/>
    <w:rsid w:val="00012067"/>
    <w:rsid w:val="000121FB"/>
    <w:rsid w:val="00012220"/>
    <w:rsid w:val="00012251"/>
    <w:rsid w:val="000122B0"/>
    <w:rsid w:val="000123A9"/>
    <w:rsid w:val="000124DA"/>
    <w:rsid w:val="00012741"/>
    <w:rsid w:val="00012A6F"/>
    <w:rsid w:val="00012ABF"/>
    <w:rsid w:val="00012BB1"/>
    <w:rsid w:val="0001303D"/>
    <w:rsid w:val="0001318D"/>
    <w:rsid w:val="0001338E"/>
    <w:rsid w:val="000134FE"/>
    <w:rsid w:val="0001369E"/>
    <w:rsid w:val="00013C90"/>
    <w:rsid w:val="0001400A"/>
    <w:rsid w:val="0001406F"/>
    <w:rsid w:val="0001427A"/>
    <w:rsid w:val="000146B4"/>
    <w:rsid w:val="000147AE"/>
    <w:rsid w:val="0001483A"/>
    <w:rsid w:val="00014CE6"/>
    <w:rsid w:val="00014D18"/>
    <w:rsid w:val="00014D90"/>
    <w:rsid w:val="00014FCD"/>
    <w:rsid w:val="0001508A"/>
    <w:rsid w:val="000151F9"/>
    <w:rsid w:val="0001553A"/>
    <w:rsid w:val="00015AE5"/>
    <w:rsid w:val="00015D73"/>
    <w:rsid w:val="00015F1F"/>
    <w:rsid w:val="0001601E"/>
    <w:rsid w:val="0001638D"/>
    <w:rsid w:val="0001644C"/>
    <w:rsid w:val="000165A7"/>
    <w:rsid w:val="00016A8C"/>
    <w:rsid w:val="00016BE7"/>
    <w:rsid w:val="00016C98"/>
    <w:rsid w:val="00016D01"/>
    <w:rsid w:val="00016E57"/>
    <w:rsid w:val="00016F0B"/>
    <w:rsid w:val="00016F40"/>
    <w:rsid w:val="0001723C"/>
    <w:rsid w:val="00017329"/>
    <w:rsid w:val="000173DF"/>
    <w:rsid w:val="000176E0"/>
    <w:rsid w:val="00017A17"/>
    <w:rsid w:val="00017A6B"/>
    <w:rsid w:val="00017F5F"/>
    <w:rsid w:val="0002017A"/>
    <w:rsid w:val="00020435"/>
    <w:rsid w:val="000204A2"/>
    <w:rsid w:val="000207D4"/>
    <w:rsid w:val="00020939"/>
    <w:rsid w:val="0002096E"/>
    <w:rsid w:val="00020EEA"/>
    <w:rsid w:val="000213A8"/>
    <w:rsid w:val="000213C7"/>
    <w:rsid w:val="000216FA"/>
    <w:rsid w:val="000217AE"/>
    <w:rsid w:val="00021887"/>
    <w:rsid w:val="000218C7"/>
    <w:rsid w:val="00021CB5"/>
    <w:rsid w:val="00022295"/>
    <w:rsid w:val="000223C4"/>
    <w:rsid w:val="00022593"/>
    <w:rsid w:val="000225BC"/>
    <w:rsid w:val="000225C4"/>
    <w:rsid w:val="0002262A"/>
    <w:rsid w:val="00022976"/>
    <w:rsid w:val="00022E82"/>
    <w:rsid w:val="00022FA6"/>
    <w:rsid w:val="0002306C"/>
    <w:rsid w:val="00023252"/>
    <w:rsid w:val="000232B3"/>
    <w:rsid w:val="00023585"/>
    <w:rsid w:val="00023680"/>
    <w:rsid w:val="00023815"/>
    <w:rsid w:val="00023ACE"/>
    <w:rsid w:val="00023DCE"/>
    <w:rsid w:val="00023EDF"/>
    <w:rsid w:val="000241DB"/>
    <w:rsid w:val="0002425E"/>
    <w:rsid w:val="0002437C"/>
    <w:rsid w:val="00024392"/>
    <w:rsid w:val="00024439"/>
    <w:rsid w:val="00024509"/>
    <w:rsid w:val="000245DA"/>
    <w:rsid w:val="000247AF"/>
    <w:rsid w:val="000248BE"/>
    <w:rsid w:val="00024A02"/>
    <w:rsid w:val="00024E1B"/>
    <w:rsid w:val="00024F3D"/>
    <w:rsid w:val="000255BA"/>
    <w:rsid w:val="000255EC"/>
    <w:rsid w:val="00025B09"/>
    <w:rsid w:val="00025B31"/>
    <w:rsid w:val="00025B4F"/>
    <w:rsid w:val="00025C74"/>
    <w:rsid w:val="00025CD0"/>
    <w:rsid w:val="00025E00"/>
    <w:rsid w:val="00026165"/>
    <w:rsid w:val="00026273"/>
    <w:rsid w:val="0002633A"/>
    <w:rsid w:val="00026382"/>
    <w:rsid w:val="00026389"/>
    <w:rsid w:val="000265DE"/>
    <w:rsid w:val="000267E3"/>
    <w:rsid w:val="0002683B"/>
    <w:rsid w:val="00026C7F"/>
    <w:rsid w:val="00026EAF"/>
    <w:rsid w:val="000270F0"/>
    <w:rsid w:val="000271DE"/>
    <w:rsid w:val="000271E5"/>
    <w:rsid w:val="000275B5"/>
    <w:rsid w:val="00027691"/>
    <w:rsid w:val="000278ED"/>
    <w:rsid w:val="0002793D"/>
    <w:rsid w:val="00027941"/>
    <w:rsid w:val="000279DA"/>
    <w:rsid w:val="00027A0B"/>
    <w:rsid w:val="00027C11"/>
    <w:rsid w:val="00027D27"/>
    <w:rsid w:val="00027D31"/>
    <w:rsid w:val="00030197"/>
    <w:rsid w:val="000302B3"/>
    <w:rsid w:val="0003052B"/>
    <w:rsid w:val="00030600"/>
    <w:rsid w:val="00030607"/>
    <w:rsid w:val="00030D66"/>
    <w:rsid w:val="00030D92"/>
    <w:rsid w:val="000311C8"/>
    <w:rsid w:val="000311CB"/>
    <w:rsid w:val="00031596"/>
    <w:rsid w:val="000317C1"/>
    <w:rsid w:val="000317DB"/>
    <w:rsid w:val="00031DFE"/>
    <w:rsid w:val="00031FEF"/>
    <w:rsid w:val="0003201D"/>
    <w:rsid w:val="00032279"/>
    <w:rsid w:val="00032616"/>
    <w:rsid w:val="00032843"/>
    <w:rsid w:val="00032939"/>
    <w:rsid w:val="00032F3A"/>
    <w:rsid w:val="00033002"/>
    <w:rsid w:val="0003322E"/>
    <w:rsid w:val="0003324C"/>
    <w:rsid w:val="0003335E"/>
    <w:rsid w:val="00033504"/>
    <w:rsid w:val="0003364B"/>
    <w:rsid w:val="0003368D"/>
    <w:rsid w:val="00033A46"/>
    <w:rsid w:val="00033BB2"/>
    <w:rsid w:val="00033C4A"/>
    <w:rsid w:val="00034241"/>
    <w:rsid w:val="00034478"/>
    <w:rsid w:val="00034865"/>
    <w:rsid w:val="00034D18"/>
    <w:rsid w:val="00034F7F"/>
    <w:rsid w:val="000352B1"/>
    <w:rsid w:val="00035683"/>
    <w:rsid w:val="00035979"/>
    <w:rsid w:val="00035A41"/>
    <w:rsid w:val="00035A8C"/>
    <w:rsid w:val="00035B29"/>
    <w:rsid w:val="00035C6C"/>
    <w:rsid w:val="00035E2C"/>
    <w:rsid w:val="00035EC1"/>
    <w:rsid w:val="00036085"/>
    <w:rsid w:val="0003613F"/>
    <w:rsid w:val="00036321"/>
    <w:rsid w:val="00036476"/>
    <w:rsid w:val="000368D3"/>
    <w:rsid w:val="00036914"/>
    <w:rsid w:val="00036CD0"/>
    <w:rsid w:val="00036D92"/>
    <w:rsid w:val="0003724F"/>
    <w:rsid w:val="00037778"/>
    <w:rsid w:val="0003796F"/>
    <w:rsid w:val="00037AE6"/>
    <w:rsid w:val="00037B11"/>
    <w:rsid w:val="00037D86"/>
    <w:rsid w:val="00037E68"/>
    <w:rsid w:val="00037F16"/>
    <w:rsid w:val="00040182"/>
    <w:rsid w:val="000404F2"/>
    <w:rsid w:val="0004075F"/>
    <w:rsid w:val="00040841"/>
    <w:rsid w:val="0004090E"/>
    <w:rsid w:val="00040A68"/>
    <w:rsid w:val="00040E0A"/>
    <w:rsid w:val="00041274"/>
    <w:rsid w:val="000416D1"/>
    <w:rsid w:val="0004170A"/>
    <w:rsid w:val="0004177C"/>
    <w:rsid w:val="00041A98"/>
    <w:rsid w:val="00041C5D"/>
    <w:rsid w:val="00041CBD"/>
    <w:rsid w:val="0004208D"/>
    <w:rsid w:val="000422D2"/>
    <w:rsid w:val="00042522"/>
    <w:rsid w:val="00042581"/>
    <w:rsid w:val="00042640"/>
    <w:rsid w:val="00042C53"/>
    <w:rsid w:val="00043061"/>
    <w:rsid w:val="000432F2"/>
    <w:rsid w:val="00043454"/>
    <w:rsid w:val="00043472"/>
    <w:rsid w:val="000434BB"/>
    <w:rsid w:val="00043630"/>
    <w:rsid w:val="00043973"/>
    <w:rsid w:val="00043E00"/>
    <w:rsid w:val="00043E92"/>
    <w:rsid w:val="00043FC8"/>
    <w:rsid w:val="000440FA"/>
    <w:rsid w:val="00044137"/>
    <w:rsid w:val="000441E1"/>
    <w:rsid w:val="0004439F"/>
    <w:rsid w:val="00044453"/>
    <w:rsid w:val="00044585"/>
    <w:rsid w:val="000445F1"/>
    <w:rsid w:val="00044756"/>
    <w:rsid w:val="000447A2"/>
    <w:rsid w:val="000449F4"/>
    <w:rsid w:val="00044AED"/>
    <w:rsid w:val="00044D67"/>
    <w:rsid w:val="00044EEA"/>
    <w:rsid w:val="00044FCF"/>
    <w:rsid w:val="00044FE4"/>
    <w:rsid w:val="00045049"/>
    <w:rsid w:val="0004539C"/>
    <w:rsid w:val="000453F2"/>
    <w:rsid w:val="00045754"/>
    <w:rsid w:val="0004586D"/>
    <w:rsid w:val="00045AA2"/>
    <w:rsid w:val="00045BF1"/>
    <w:rsid w:val="00045EA7"/>
    <w:rsid w:val="00045FBB"/>
    <w:rsid w:val="0004603D"/>
    <w:rsid w:val="00046507"/>
    <w:rsid w:val="00046695"/>
    <w:rsid w:val="000466CD"/>
    <w:rsid w:val="000467BF"/>
    <w:rsid w:val="00046A62"/>
    <w:rsid w:val="00046CE7"/>
    <w:rsid w:val="000470A0"/>
    <w:rsid w:val="000470DC"/>
    <w:rsid w:val="00047635"/>
    <w:rsid w:val="00047918"/>
    <w:rsid w:val="00047BD4"/>
    <w:rsid w:val="00047BFE"/>
    <w:rsid w:val="00047D7E"/>
    <w:rsid w:val="0005054D"/>
    <w:rsid w:val="00050A34"/>
    <w:rsid w:val="00050B06"/>
    <w:rsid w:val="00050C82"/>
    <w:rsid w:val="00050E01"/>
    <w:rsid w:val="00051574"/>
    <w:rsid w:val="00051998"/>
    <w:rsid w:val="00051D01"/>
    <w:rsid w:val="00051F4C"/>
    <w:rsid w:val="00052293"/>
    <w:rsid w:val="000523BA"/>
    <w:rsid w:val="0005250E"/>
    <w:rsid w:val="0005256E"/>
    <w:rsid w:val="000525FC"/>
    <w:rsid w:val="00052901"/>
    <w:rsid w:val="000529C7"/>
    <w:rsid w:val="000529E9"/>
    <w:rsid w:val="00052BBD"/>
    <w:rsid w:val="00052ED1"/>
    <w:rsid w:val="00052EF0"/>
    <w:rsid w:val="00052FDE"/>
    <w:rsid w:val="000532C2"/>
    <w:rsid w:val="0005341C"/>
    <w:rsid w:val="000534A5"/>
    <w:rsid w:val="00053511"/>
    <w:rsid w:val="000535A4"/>
    <w:rsid w:val="0005371F"/>
    <w:rsid w:val="0005394F"/>
    <w:rsid w:val="00053A36"/>
    <w:rsid w:val="00053D02"/>
    <w:rsid w:val="000541DC"/>
    <w:rsid w:val="000541FC"/>
    <w:rsid w:val="000548E2"/>
    <w:rsid w:val="00054B77"/>
    <w:rsid w:val="00054D80"/>
    <w:rsid w:val="00054EFA"/>
    <w:rsid w:val="00054FE3"/>
    <w:rsid w:val="0005512D"/>
    <w:rsid w:val="00055141"/>
    <w:rsid w:val="000554E1"/>
    <w:rsid w:val="000554EB"/>
    <w:rsid w:val="00055599"/>
    <w:rsid w:val="000557A0"/>
    <w:rsid w:val="000557AB"/>
    <w:rsid w:val="000557F7"/>
    <w:rsid w:val="00055A40"/>
    <w:rsid w:val="0005615D"/>
    <w:rsid w:val="0005619B"/>
    <w:rsid w:val="0005624D"/>
    <w:rsid w:val="00056425"/>
    <w:rsid w:val="00056478"/>
    <w:rsid w:val="000565D9"/>
    <w:rsid w:val="00056611"/>
    <w:rsid w:val="000566F4"/>
    <w:rsid w:val="000567E7"/>
    <w:rsid w:val="00056A22"/>
    <w:rsid w:val="00056E1D"/>
    <w:rsid w:val="0005738D"/>
    <w:rsid w:val="00057516"/>
    <w:rsid w:val="00057852"/>
    <w:rsid w:val="0006013A"/>
    <w:rsid w:val="000602E2"/>
    <w:rsid w:val="00060329"/>
    <w:rsid w:val="00060461"/>
    <w:rsid w:val="00060505"/>
    <w:rsid w:val="00060A1A"/>
    <w:rsid w:val="00060A9E"/>
    <w:rsid w:val="00060BC6"/>
    <w:rsid w:val="00060D08"/>
    <w:rsid w:val="00061108"/>
    <w:rsid w:val="000616E0"/>
    <w:rsid w:val="0006179A"/>
    <w:rsid w:val="00061AAB"/>
    <w:rsid w:val="00061CCB"/>
    <w:rsid w:val="00061DF2"/>
    <w:rsid w:val="00061F29"/>
    <w:rsid w:val="00061F7B"/>
    <w:rsid w:val="00062A81"/>
    <w:rsid w:val="00062C12"/>
    <w:rsid w:val="00062C6C"/>
    <w:rsid w:val="00062D90"/>
    <w:rsid w:val="00062E45"/>
    <w:rsid w:val="00062E6D"/>
    <w:rsid w:val="0006356D"/>
    <w:rsid w:val="00063594"/>
    <w:rsid w:val="000638CA"/>
    <w:rsid w:val="00063AEE"/>
    <w:rsid w:val="00063C93"/>
    <w:rsid w:val="00064047"/>
    <w:rsid w:val="000644B3"/>
    <w:rsid w:val="000648C8"/>
    <w:rsid w:val="00064A68"/>
    <w:rsid w:val="00064E9A"/>
    <w:rsid w:val="0006505E"/>
    <w:rsid w:val="00065118"/>
    <w:rsid w:val="00065351"/>
    <w:rsid w:val="000653A4"/>
    <w:rsid w:val="000656A6"/>
    <w:rsid w:val="00065A95"/>
    <w:rsid w:val="00065E18"/>
    <w:rsid w:val="00065E8A"/>
    <w:rsid w:val="00065EF7"/>
    <w:rsid w:val="000663E8"/>
    <w:rsid w:val="00066589"/>
    <w:rsid w:val="000665DC"/>
    <w:rsid w:val="00066762"/>
    <w:rsid w:val="000669BD"/>
    <w:rsid w:val="00066B04"/>
    <w:rsid w:val="00066B6D"/>
    <w:rsid w:val="00066CC1"/>
    <w:rsid w:val="00066E32"/>
    <w:rsid w:val="00067013"/>
    <w:rsid w:val="00067354"/>
    <w:rsid w:val="00067464"/>
    <w:rsid w:val="000677FB"/>
    <w:rsid w:val="000679A1"/>
    <w:rsid w:val="00067ABB"/>
    <w:rsid w:val="00067C8A"/>
    <w:rsid w:val="00067D62"/>
    <w:rsid w:val="00070013"/>
    <w:rsid w:val="00070074"/>
    <w:rsid w:val="0007019E"/>
    <w:rsid w:val="00070638"/>
    <w:rsid w:val="00070974"/>
    <w:rsid w:val="00070B05"/>
    <w:rsid w:val="00070D5D"/>
    <w:rsid w:val="000711B1"/>
    <w:rsid w:val="00071238"/>
    <w:rsid w:val="0007183D"/>
    <w:rsid w:val="00071B22"/>
    <w:rsid w:val="00071BF1"/>
    <w:rsid w:val="00071E4A"/>
    <w:rsid w:val="00071E8E"/>
    <w:rsid w:val="00072107"/>
    <w:rsid w:val="0007214A"/>
    <w:rsid w:val="000723DB"/>
    <w:rsid w:val="000725B0"/>
    <w:rsid w:val="000725F1"/>
    <w:rsid w:val="00072787"/>
    <w:rsid w:val="00072989"/>
    <w:rsid w:val="00072D28"/>
    <w:rsid w:val="00072FAD"/>
    <w:rsid w:val="00073005"/>
    <w:rsid w:val="0007310D"/>
    <w:rsid w:val="0007311D"/>
    <w:rsid w:val="00073135"/>
    <w:rsid w:val="00073632"/>
    <w:rsid w:val="0007374C"/>
    <w:rsid w:val="00073FE9"/>
    <w:rsid w:val="000742AD"/>
    <w:rsid w:val="0007452E"/>
    <w:rsid w:val="000745DB"/>
    <w:rsid w:val="000747F7"/>
    <w:rsid w:val="00074BAA"/>
    <w:rsid w:val="00074CA6"/>
    <w:rsid w:val="00074CF0"/>
    <w:rsid w:val="00074E46"/>
    <w:rsid w:val="00074F6F"/>
    <w:rsid w:val="000752A0"/>
    <w:rsid w:val="000752CD"/>
    <w:rsid w:val="00075930"/>
    <w:rsid w:val="00075B3D"/>
    <w:rsid w:val="00075B63"/>
    <w:rsid w:val="00075BA9"/>
    <w:rsid w:val="00076059"/>
    <w:rsid w:val="00076125"/>
    <w:rsid w:val="000762D0"/>
    <w:rsid w:val="000763E7"/>
    <w:rsid w:val="00076B14"/>
    <w:rsid w:val="00076B2F"/>
    <w:rsid w:val="00076D48"/>
    <w:rsid w:val="0007709A"/>
    <w:rsid w:val="00077176"/>
    <w:rsid w:val="00077182"/>
    <w:rsid w:val="00077397"/>
    <w:rsid w:val="00077754"/>
    <w:rsid w:val="00077A62"/>
    <w:rsid w:val="000801B0"/>
    <w:rsid w:val="00080375"/>
    <w:rsid w:val="000803BF"/>
    <w:rsid w:val="00080580"/>
    <w:rsid w:val="00080597"/>
    <w:rsid w:val="0008072E"/>
    <w:rsid w:val="00080AA2"/>
    <w:rsid w:val="00080B82"/>
    <w:rsid w:val="00080CEF"/>
    <w:rsid w:val="00081399"/>
    <w:rsid w:val="000814AB"/>
    <w:rsid w:val="000815C4"/>
    <w:rsid w:val="000815E6"/>
    <w:rsid w:val="00081867"/>
    <w:rsid w:val="00081922"/>
    <w:rsid w:val="00081CBF"/>
    <w:rsid w:val="00081D79"/>
    <w:rsid w:val="00082051"/>
    <w:rsid w:val="000821C7"/>
    <w:rsid w:val="000824E6"/>
    <w:rsid w:val="0008259C"/>
    <w:rsid w:val="0008259F"/>
    <w:rsid w:val="000826E4"/>
    <w:rsid w:val="00082843"/>
    <w:rsid w:val="00082A29"/>
    <w:rsid w:val="00082A3B"/>
    <w:rsid w:val="00082B97"/>
    <w:rsid w:val="00082C7E"/>
    <w:rsid w:val="00082E09"/>
    <w:rsid w:val="00082E38"/>
    <w:rsid w:val="00082E7C"/>
    <w:rsid w:val="00082ED2"/>
    <w:rsid w:val="00082FC7"/>
    <w:rsid w:val="00083045"/>
    <w:rsid w:val="000834A4"/>
    <w:rsid w:val="00083524"/>
    <w:rsid w:val="00083588"/>
    <w:rsid w:val="00083770"/>
    <w:rsid w:val="00083955"/>
    <w:rsid w:val="00083B46"/>
    <w:rsid w:val="00083D2D"/>
    <w:rsid w:val="00083D9C"/>
    <w:rsid w:val="0008409B"/>
    <w:rsid w:val="0008431E"/>
    <w:rsid w:val="000843B8"/>
    <w:rsid w:val="000844AA"/>
    <w:rsid w:val="00084559"/>
    <w:rsid w:val="00084597"/>
    <w:rsid w:val="000845AB"/>
    <w:rsid w:val="00084609"/>
    <w:rsid w:val="00084816"/>
    <w:rsid w:val="00084874"/>
    <w:rsid w:val="00084A9E"/>
    <w:rsid w:val="00085502"/>
    <w:rsid w:val="000855F2"/>
    <w:rsid w:val="000856B3"/>
    <w:rsid w:val="00085790"/>
    <w:rsid w:val="00085987"/>
    <w:rsid w:val="00085D5A"/>
    <w:rsid w:val="000862B8"/>
    <w:rsid w:val="00086479"/>
    <w:rsid w:val="000865F6"/>
    <w:rsid w:val="00086857"/>
    <w:rsid w:val="0008698D"/>
    <w:rsid w:val="000869C9"/>
    <w:rsid w:val="00086ACD"/>
    <w:rsid w:val="00086B1A"/>
    <w:rsid w:val="00086B70"/>
    <w:rsid w:val="00086E0C"/>
    <w:rsid w:val="00086E7A"/>
    <w:rsid w:val="00087016"/>
    <w:rsid w:val="00087079"/>
    <w:rsid w:val="0008716D"/>
    <w:rsid w:val="0008716F"/>
    <w:rsid w:val="000871F3"/>
    <w:rsid w:val="00087235"/>
    <w:rsid w:val="0008727D"/>
    <w:rsid w:val="000879E7"/>
    <w:rsid w:val="00087BFF"/>
    <w:rsid w:val="00087DFD"/>
    <w:rsid w:val="00087E54"/>
    <w:rsid w:val="00090194"/>
    <w:rsid w:val="00090204"/>
    <w:rsid w:val="000904B0"/>
    <w:rsid w:val="0009067F"/>
    <w:rsid w:val="0009096A"/>
    <w:rsid w:val="00090A28"/>
    <w:rsid w:val="00090CA1"/>
    <w:rsid w:val="00090D7A"/>
    <w:rsid w:val="00090D7C"/>
    <w:rsid w:val="00090FCE"/>
    <w:rsid w:val="0009125A"/>
    <w:rsid w:val="000912F2"/>
    <w:rsid w:val="00091641"/>
    <w:rsid w:val="00091891"/>
    <w:rsid w:val="00091B6C"/>
    <w:rsid w:val="00091B92"/>
    <w:rsid w:val="00091BE7"/>
    <w:rsid w:val="00091C1A"/>
    <w:rsid w:val="00091EDC"/>
    <w:rsid w:val="000924CA"/>
    <w:rsid w:val="000924E6"/>
    <w:rsid w:val="00092555"/>
    <w:rsid w:val="0009270E"/>
    <w:rsid w:val="00092951"/>
    <w:rsid w:val="000929C8"/>
    <w:rsid w:val="000929DB"/>
    <w:rsid w:val="00092BB2"/>
    <w:rsid w:val="00092C69"/>
    <w:rsid w:val="00092CB7"/>
    <w:rsid w:val="00092D33"/>
    <w:rsid w:val="00093135"/>
    <w:rsid w:val="00093157"/>
    <w:rsid w:val="0009322C"/>
    <w:rsid w:val="00093246"/>
    <w:rsid w:val="0009363D"/>
    <w:rsid w:val="00093666"/>
    <w:rsid w:val="000936E5"/>
    <w:rsid w:val="00093D74"/>
    <w:rsid w:val="00093D9C"/>
    <w:rsid w:val="00094054"/>
    <w:rsid w:val="00094088"/>
    <w:rsid w:val="00094090"/>
    <w:rsid w:val="0009411D"/>
    <w:rsid w:val="0009422B"/>
    <w:rsid w:val="000949B1"/>
    <w:rsid w:val="00094B35"/>
    <w:rsid w:val="00094D19"/>
    <w:rsid w:val="00094D92"/>
    <w:rsid w:val="00094DAE"/>
    <w:rsid w:val="00094E1A"/>
    <w:rsid w:val="00094F48"/>
    <w:rsid w:val="00094FC8"/>
    <w:rsid w:val="000950B9"/>
    <w:rsid w:val="000951CA"/>
    <w:rsid w:val="0009539B"/>
    <w:rsid w:val="00095400"/>
    <w:rsid w:val="00095483"/>
    <w:rsid w:val="0009562B"/>
    <w:rsid w:val="000958C3"/>
    <w:rsid w:val="000959DD"/>
    <w:rsid w:val="00095D64"/>
    <w:rsid w:val="0009604E"/>
    <w:rsid w:val="00096191"/>
    <w:rsid w:val="000961FE"/>
    <w:rsid w:val="000965BB"/>
    <w:rsid w:val="000965CD"/>
    <w:rsid w:val="0009695E"/>
    <w:rsid w:val="00096AEE"/>
    <w:rsid w:val="00096BAA"/>
    <w:rsid w:val="00096DBA"/>
    <w:rsid w:val="000973D0"/>
    <w:rsid w:val="000974A0"/>
    <w:rsid w:val="00097573"/>
    <w:rsid w:val="00097609"/>
    <w:rsid w:val="00097769"/>
    <w:rsid w:val="00097B90"/>
    <w:rsid w:val="00097C2F"/>
    <w:rsid w:val="00097C32"/>
    <w:rsid w:val="00097F19"/>
    <w:rsid w:val="000A00F1"/>
    <w:rsid w:val="000A0310"/>
    <w:rsid w:val="000A033E"/>
    <w:rsid w:val="000A0392"/>
    <w:rsid w:val="000A05E9"/>
    <w:rsid w:val="000A095E"/>
    <w:rsid w:val="000A0DD1"/>
    <w:rsid w:val="000A0F23"/>
    <w:rsid w:val="000A1058"/>
    <w:rsid w:val="000A138B"/>
    <w:rsid w:val="000A1599"/>
    <w:rsid w:val="000A1618"/>
    <w:rsid w:val="000A169E"/>
    <w:rsid w:val="000A17BA"/>
    <w:rsid w:val="000A195C"/>
    <w:rsid w:val="000A19DF"/>
    <w:rsid w:val="000A1B1B"/>
    <w:rsid w:val="000A1D01"/>
    <w:rsid w:val="000A1EE6"/>
    <w:rsid w:val="000A219E"/>
    <w:rsid w:val="000A23AC"/>
    <w:rsid w:val="000A272A"/>
    <w:rsid w:val="000A288D"/>
    <w:rsid w:val="000A299E"/>
    <w:rsid w:val="000A2B6D"/>
    <w:rsid w:val="000A2E31"/>
    <w:rsid w:val="000A2FB8"/>
    <w:rsid w:val="000A321F"/>
    <w:rsid w:val="000A3280"/>
    <w:rsid w:val="000A34DC"/>
    <w:rsid w:val="000A3595"/>
    <w:rsid w:val="000A35B8"/>
    <w:rsid w:val="000A3991"/>
    <w:rsid w:val="000A3A0A"/>
    <w:rsid w:val="000A3D95"/>
    <w:rsid w:val="000A3DD4"/>
    <w:rsid w:val="000A3E4B"/>
    <w:rsid w:val="000A4050"/>
    <w:rsid w:val="000A44AD"/>
    <w:rsid w:val="000A466C"/>
    <w:rsid w:val="000A4740"/>
    <w:rsid w:val="000A4937"/>
    <w:rsid w:val="000A4982"/>
    <w:rsid w:val="000A49D5"/>
    <w:rsid w:val="000A4ADE"/>
    <w:rsid w:val="000A52DE"/>
    <w:rsid w:val="000A52EB"/>
    <w:rsid w:val="000A5586"/>
    <w:rsid w:val="000A5A28"/>
    <w:rsid w:val="000A5A48"/>
    <w:rsid w:val="000A5CF7"/>
    <w:rsid w:val="000A5D82"/>
    <w:rsid w:val="000A5DBA"/>
    <w:rsid w:val="000A5DE5"/>
    <w:rsid w:val="000A5E3F"/>
    <w:rsid w:val="000A5F37"/>
    <w:rsid w:val="000A616E"/>
    <w:rsid w:val="000A6293"/>
    <w:rsid w:val="000A65BF"/>
    <w:rsid w:val="000A65EE"/>
    <w:rsid w:val="000A66C2"/>
    <w:rsid w:val="000A66CC"/>
    <w:rsid w:val="000A66E3"/>
    <w:rsid w:val="000A67CE"/>
    <w:rsid w:val="000A6833"/>
    <w:rsid w:val="000A6A28"/>
    <w:rsid w:val="000A6B12"/>
    <w:rsid w:val="000A6CC5"/>
    <w:rsid w:val="000A6DFA"/>
    <w:rsid w:val="000A743B"/>
    <w:rsid w:val="000A744C"/>
    <w:rsid w:val="000A74FC"/>
    <w:rsid w:val="000A7785"/>
    <w:rsid w:val="000A7979"/>
    <w:rsid w:val="000A79F7"/>
    <w:rsid w:val="000A7AEA"/>
    <w:rsid w:val="000A7DF2"/>
    <w:rsid w:val="000B0675"/>
    <w:rsid w:val="000B06C5"/>
    <w:rsid w:val="000B090A"/>
    <w:rsid w:val="000B0A11"/>
    <w:rsid w:val="000B0C6F"/>
    <w:rsid w:val="000B0F5D"/>
    <w:rsid w:val="000B0FD3"/>
    <w:rsid w:val="000B0FDD"/>
    <w:rsid w:val="000B0FEB"/>
    <w:rsid w:val="000B1107"/>
    <w:rsid w:val="000B1301"/>
    <w:rsid w:val="000B13DC"/>
    <w:rsid w:val="000B1437"/>
    <w:rsid w:val="000B14AE"/>
    <w:rsid w:val="000B15EC"/>
    <w:rsid w:val="000B1674"/>
    <w:rsid w:val="000B16CB"/>
    <w:rsid w:val="000B19DF"/>
    <w:rsid w:val="000B1D8E"/>
    <w:rsid w:val="000B1DEC"/>
    <w:rsid w:val="000B2264"/>
    <w:rsid w:val="000B234C"/>
    <w:rsid w:val="000B2515"/>
    <w:rsid w:val="000B282E"/>
    <w:rsid w:val="000B292A"/>
    <w:rsid w:val="000B2B0C"/>
    <w:rsid w:val="000B2ECA"/>
    <w:rsid w:val="000B31BC"/>
    <w:rsid w:val="000B3566"/>
    <w:rsid w:val="000B377E"/>
    <w:rsid w:val="000B386D"/>
    <w:rsid w:val="000B3933"/>
    <w:rsid w:val="000B3A97"/>
    <w:rsid w:val="000B3B91"/>
    <w:rsid w:val="000B3B93"/>
    <w:rsid w:val="000B3DF0"/>
    <w:rsid w:val="000B4374"/>
    <w:rsid w:val="000B44D2"/>
    <w:rsid w:val="000B4568"/>
    <w:rsid w:val="000B47A9"/>
    <w:rsid w:val="000B4981"/>
    <w:rsid w:val="000B4A0A"/>
    <w:rsid w:val="000B4DD5"/>
    <w:rsid w:val="000B4F8C"/>
    <w:rsid w:val="000B4FA2"/>
    <w:rsid w:val="000B5023"/>
    <w:rsid w:val="000B509D"/>
    <w:rsid w:val="000B5262"/>
    <w:rsid w:val="000B5337"/>
    <w:rsid w:val="000B534F"/>
    <w:rsid w:val="000B55F3"/>
    <w:rsid w:val="000B5A29"/>
    <w:rsid w:val="000B5AC5"/>
    <w:rsid w:val="000B5E28"/>
    <w:rsid w:val="000B5EBB"/>
    <w:rsid w:val="000B5EDB"/>
    <w:rsid w:val="000B63A3"/>
    <w:rsid w:val="000B6664"/>
    <w:rsid w:val="000B6AD5"/>
    <w:rsid w:val="000B6D77"/>
    <w:rsid w:val="000B7264"/>
    <w:rsid w:val="000B72C0"/>
    <w:rsid w:val="000B79E8"/>
    <w:rsid w:val="000B7ABE"/>
    <w:rsid w:val="000B7C7D"/>
    <w:rsid w:val="000B7ECC"/>
    <w:rsid w:val="000C0216"/>
    <w:rsid w:val="000C0230"/>
    <w:rsid w:val="000C081F"/>
    <w:rsid w:val="000C0CC8"/>
    <w:rsid w:val="000C0E38"/>
    <w:rsid w:val="000C12A5"/>
    <w:rsid w:val="000C13D7"/>
    <w:rsid w:val="000C1445"/>
    <w:rsid w:val="000C1874"/>
    <w:rsid w:val="000C1987"/>
    <w:rsid w:val="000C1A4E"/>
    <w:rsid w:val="000C1AD7"/>
    <w:rsid w:val="000C1F6F"/>
    <w:rsid w:val="000C1FCB"/>
    <w:rsid w:val="000C1FE7"/>
    <w:rsid w:val="000C21A4"/>
    <w:rsid w:val="000C2460"/>
    <w:rsid w:val="000C269D"/>
    <w:rsid w:val="000C27BC"/>
    <w:rsid w:val="000C2C3D"/>
    <w:rsid w:val="000C2DB7"/>
    <w:rsid w:val="000C2E26"/>
    <w:rsid w:val="000C30EF"/>
    <w:rsid w:val="000C30FE"/>
    <w:rsid w:val="000C319A"/>
    <w:rsid w:val="000C3261"/>
    <w:rsid w:val="000C3374"/>
    <w:rsid w:val="000C34B2"/>
    <w:rsid w:val="000C3564"/>
    <w:rsid w:val="000C35A5"/>
    <w:rsid w:val="000C3950"/>
    <w:rsid w:val="000C39F3"/>
    <w:rsid w:val="000C3B01"/>
    <w:rsid w:val="000C3B41"/>
    <w:rsid w:val="000C3BE0"/>
    <w:rsid w:val="000C3CE3"/>
    <w:rsid w:val="000C407F"/>
    <w:rsid w:val="000C41CB"/>
    <w:rsid w:val="000C46EE"/>
    <w:rsid w:val="000C472F"/>
    <w:rsid w:val="000C482F"/>
    <w:rsid w:val="000C4B65"/>
    <w:rsid w:val="000C4CA4"/>
    <w:rsid w:val="000C4D93"/>
    <w:rsid w:val="000C4ED2"/>
    <w:rsid w:val="000C4F81"/>
    <w:rsid w:val="000C5149"/>
    <w:rsid w:val="000C5154"/>
    <w:rsid w:val="000C538B"/>
    <w:rsid w:val="000C54FF"/>
    <w:rsid w:val="000C55A0"/>
    <w:rsid w:val="000C571C"/>
    <w:rsid w:val="000C5AC2"/>
    <w:rsid w:val="000C5C67"/>
    <w:rsid w:val="000C5ED5"/>
    <w:rsid w:val="000C5FC8"/>
    <w:rsid w:val="000C649A"/>
    <w:rsid w:val="000C649E"/>
    <w:rsid w:val="000C6534"/>
    <w:rsid w:val="000C665A"/>
    <w:rsid w:val="000C665B"/>
    <w:rsid w:val="000C6A07"/>
    <w:rsid w:val="000C6A85"/>
    <w:rsid w:val="000C6B3F"/>
    <w:rsid w:val="000C6D24"/>
    <w:rsid w:val="000C6F96"/>
    <w:rsid w:val="000C6FD8"/>
    <w:rsid w:val="000C737B"/>
    <w:rsid w:val="000C73A1"/>
    <w:rsid w:val="000C7423"/>
    <w:rsid w:val="000C746C"/>
    <w:rsid w:val="000C75B6"/>
    <w:rsid w:val="000C762B"/>
    <w:rsid w:val="000C76DA"/>
    <w:rsid w:val="000C77AE"/>
    <w:rsid w:val="000C77DD"/>
    <w:rsid w:val="000C79E2"/>
    <w:rsid w:val="000C7B30"/>
    <w:rsid w:val="000C7E7A"/>
    <w:rsid w:val="000D03EB"/>
    <w:rsid w:val="000D0468"/>
    <w:rsid w:val="000D06B9"/>
    <w:rsid w:val="000D0828"/>
    <w:rsid w:val="000D09FE"/>
    <w:rsid w:val="000D0A27"/>
    <w:rsid w:val="000D0A79"/>
    <w:rsid w:val="000D0D04"/>
    <w:rsid w:val="000D1438"/>
    <w:rsid w:val="000D15C5"/>
    <w:rsid w:val="000D1636"/>
    <w:rsid w:val="000D2011"/>
    <w:rsid w:val="000D2049"/>
    <w:rsid w:val="000D21EF"/>
    <w:rsid w:val="000D2313"/>
    <w:rsid w:val="000D26FE"/>
    <w:rsid w:val="000D2773"/>
    <w:rsid w:val="000D2820"/>
    <w:rsid w:val="000D2832"/>
    <w:rsid w:val="000D29DD"/>
    <w:rsid w:val="000D2D0E"/>
    <w:rsid w:val="000D2D53"/>
    <w:rsid w:val="000D2E84"/>
    <w:rsid w:val="000D342F"/>
    <w:rsid w:val="000D3512"/>
    <w:rsid w:val="000D3829"/>
    <w:rsid w:val="000D3974"/>
    <w:rsid w:val="000D3BCF"/>
    <w:rsid w:val="000D3C1B"/>
    <w:rsid w:val="000D3C37"/>
    <w:rsid w:val="000D3D37"/>
    <w:rsid w:val="000D4045"/>
    <w:rsid w:val="000D4054"/>
    <w:rsid w:val="000D422E"/>
    <w:rsid w:val="000D49FC"/>
    <w:rsid w:val="000D4BF4"/>
    <w:rsid w:val="000D535C"/>
    <w:rsid w:val="000D5557"/>
    <w:rsid w:val="000D5819"/>
    <w:rsid w:val="000D5825"/>
    <w:rsid w:val="000D59A4"/>
    <w:rsid w:val="000D59D4"/>
    <w:rsid w:val="000D5BE2"/>
    <w:rsid w:val="000D5C44"/>
    <w:rsid w:val="000D5C46"/>
    <w:rsid w:val="000D5D57"/>
    <w:rsid w:val="000D5D81"/>
    <w:rsid w:val="000D5F5C"/>
    <w:rsid w:val="000D5FEB"/>
    <w:rsid w:val="000D6009"/>
    <w:rsid w:val="000D6248"/>
    <w:rsid w:val="000D6394"/>
    <w:rsid w:val="000D64AA"/>
    <w:rsid w:val="000D66AD"/>
    <w:rsid w:val="000D66C1"/>
    <w:rsid w:val="000D6769"/>
    <w:rsid w:val="000D6A4A"/>
    <w:rsid w:val="000D6B75"/>
    <w:rsid w:val="000D6BD4"/>
    <w:rsid w:val="000D6D33"/>
    <w:rsid w:val="000D6ECB"/>
    <w:rsid w:val="000D7124"/>
    <w:rsid w:val="000D72A0"/>
    <w:rsid w:val="000D72F3"/>
    <w:rsid w:val="000D74D7"/>
    <w:rsid w:val="000D79BB"/>
    <w:rsid w:val="000D7AA3"/>
    <w:rsid w:val="000D7AB4"/>
    <w:rsid w:val="000D7DFC"/>
    <w:rsid w:val="000D7F72"/>
    <w:rsid w:val="000E003C"/>
    <w:rsid w:val="000E00E4"/>
    <w:rsid w:val="000E0128"/>
    <w:rsid w:val="000E0265"/>
    <w:rsid w:val="000E03D6"/>
    <w:rsid w:val="000E03FE"/>
    <w:rsid w:val="000E0633"/>
    <w:rsid w:val="000E0758"/>
    <w:rsid w:val="000E078A"/>
    <w:rsid w:val="000E0990"/>
    <w:rsid w:val="000E0A15"/>
    <w:rsid w:val="000E0A7A"/>
    <w:rsid w:val="000E0EC3"/>
    <w:rsid w:val="000E0F2C"/>
    <w:rsid w:val="000E112D"/>
    <w:rsid w:val="000E151A"/>
    <w:rsid w:val="000E1620"/>
    <w:rsid w:val="000E1E53"/>
    <w:rsid w:val="000E2103"/>
    <w:rsid w:val="000E211F"/>
    <w:rsid w:val="000E251F"/>
    <w:rsid w:val="000E253B"/>
    <w:rsid w:val="000E2572"/>
    <w:rsid w:val="000E2A6E"/>
    <w:rsid w:val="000E2AFF"/>
    <w:rsid w:val="000E2CCB"/>
    <w:rsid w:val="000E2D98"/>
    <w:rsid w:val="000E2F2C"/>
    <w:rsid w:val="000E3092"/>
    <w:rsid w:val="000E30B8"/>
    <w:rsid w:val="000E3168"/>
    <w:rsid w:val="000E3277"/>
    <w:rsid w:val="000E34AA"/>
    <w:rsid w:val="000E3659"/>
    <w:rsid w:val="000E3799"/>
    <w:rsid w:val="000E379B"/>
    <w:rsid w:val="000E3869"/>
    <w:rsid w:val="000E3A67"/>
    <w:rsid w:val="000E3B3C"/>
    <w:rsid w:val="000E3C36"/>
    <w:rsid w:val="000E3E48"/>
    <w:rsid w:val="000E409C"/>
    <w:rsid w:val="000E4918"/>
    <w:rsid w:val="000E4B12"/>
    <w:rsid w:val="000E50E4"/>
    <w:rsid w:val="000E52B2"/>
    <w:rsid w:val="000E56D3"/>
    <w:rsid w:val="000E56F7"/>
    <w:rsid w:val="000E5821"/>
    <w:rsid w:val="000E5C45"/>
    <w:rsid w:val="000E5EFC"/>
    <w:rsid w:val="000E5F72"/>
    <w:rsid w:val="000E6128"/>
    <w:rsid w:val="000E629D"/>
    <w:rsid w:val="000E630A"/>
    <w:rsid w:val="000E6341"/>
    <w:rsid w:val="000E63F3"/>
    <w:rsid w:val="000E663B"/>
    <w:rsid w:val="000E66CC"/>
    <w:rsid w:val="000E6842"/>
    <w:rsid w:val="000E6850"/>
    <w:rsid w:val="000E6877"/>
    <w:rsid w:val="000E68B7"/>
    <w:rsid w:val="000E6B78"/>
    <w:rsid w:val="000E6EC9"/>
    <w:rsid w:val="000E6F5E"/>
    <w:rsid w:val="000E6F6A"/>
    <w:rsid w:val="000E750A"/>
    <w:rsid w:val="000E750B"/>
    <w:rsid w:val="000E76D9"/>
    <w:rsid w:val="000E7806"/>
    <w:rsid w:val="000E795C"/>
    <w:rsid w:val="000E7C4C"/>
    <w:rsid w:val="000E7CD0"/>
    <w:rsid w:val="000E7F0B"/>
    <w:rsid w:val="000E7F6B"/>
    <w:rsid w:val="000F032B"/>
    <w:rsid w:val="000F03F8"/>
    <w:rsid w:val="000F0407"/>
    <w:rsid w:val="000F06B5"/>
    <w:rsid w:val="000F0739"/>
    <w:rsid w:val="000F09BD"/>
    <w:rsid w:val="000F0B0E"/>
    <w:rsid w:val="000F0B83"/>
    <w:rsid w:val="000F0FA4"/>
    <w:rsid w:val="000F0FD5"/>
    <w:rsid w:val="000F1011"/>
    <w:rsid w:val="000F1066"/>
    <w:rsid w:val="000F125D"/>
    <w:rsid w:val="000F1276"/>
    <w:rsid w:val="000F1367"/>
    <w:rsid w:val="000F14DA"/>
    <w:rsid w:val="000F1536"/>
    <w:rsid w:val="000F16E6"/>
    <w:rsid w:val="000F1806"/>
    <w:rsid w:val="000F1829"/>
    <w:rsid w:val="000F19FF"/>
    <w:rsid w:val="000F1A23"/>
    <w:rsid w:val="000F1A7A"/>
    <w:rsid w:val="000F1AF0"/>
    <w:rsid w:val="000F1B39"/>
    <w:rsid w:val="000F1E8D"/>
    <w:rsid w:val="000F20D6"/>
    <w:rsid w:val="000F23E1"/>
    <w:rsid w:val="000F2910"/>
    <w:rsid w:val="000F29C2"/>
    <w:rsid w:val="000F2B5E"/>
    <w:rsid w:val="000F2EC3"/>
    <w:rsid w:val="000F2F0D"/>
    <w:rsid w:val="000F3099"/>
    <w:rsid w:val="000F3201"/>
    <w:rsid w:val="000F3228"/>
    <w:rsid w:val="000F328A"/>
    <w:rsid w:val="000F334F"/>
    <w:rsid w:val="000F33AE"/>
    <w:rsid w:val="000F355F"/>
    <w:rsid w:val="000F36C2"/>
    <w:rsid w:val="000F3785"/>
    <w:rsid w:val="000F399F"/>
    <w:rsid w:val="000F3B18"/>
    <w:rsid w:val="000F3B8D"/>
    <w:rsid w:val="000F3E5A"/>
    <w:rsid w:val="000F4277"/>
    <w:rsid w:val="000F46CE"/>
    <w:rsid w:val="000F47F5"/>
    <w:rsid w:val="000F4C6A"/>
    <w:rsid w:val="000F4E05"/>
    <w:rsid w:val="000F4FD4"/>
    <w:rsid w:val="000F51D1"/>
    <w:rsid w:val="000F5310"/>
    <w:rsid w:val="000F53D5"/>
    <w:rsid w:val="000F542D"/>
    <w:rsid w:val="000F59CD"/>
    <w:rsid w:val="000F59CE"/>
    <w:rsid w:val="000F5F01"/>
    <w:rsid w:val="000F6522"/>
    <w:rsid w:val="000F65DB"/>
    <w:rsid w:val="000F6824"/>
    <w:rsid w:val="000F69A2"/>
    <w:rsid w:val="000F6B80"/>
    <w:rsid w:val="000F6C99"/>
    <w:rsid w:val="000F6D18"/>
    <w:rsid w:val="000F6D40"/>
    <w:rsid w:val="000F6FC6"/>
    <w:rsid w:val="000F7489"/>
    <w:rsid w:val="000F7E74"/>
    <w:rsid w:val="000F7F02"/>
    <w:rsid w:val="000F7FBE"/>
    <w:rsid w:val="000F7FD2"/>
    <w:rsid w:val="00100003"/>
    <w:rsid w:val="00100030"/>
    <w:rsid w:val="00100063"/>
    <w:rsid w:val="00100294"/>
    <w:rsid w:val="001003CE"/>
    <w:rsid w:val="001007F5"/>
    <w:rsid w:val="0010094F"/>
    <w:rsid w:val="00100EAD"/>
    <w:rsid w:val="00101770"/>
    <w:rsid w:val="001017BA"/>
    <w:rsid w:val="0010183F"/>
    <w:rsid w:val="00101BAF"/>
    <w:rsid w:val="00101C09"/>
    <w:rsid w:val="00101C1C"/>
    <w:rsid w:val="00101CAB"/>
    <w:rsid w:val="00101EA9"/>
    <w:rsid w:val="00101F1D"/>
    <w:rsid w:val="00101F2F"/>
    <w:rsid w:val="00101F93"/>
    <w:rsid w:val="00101FAF"/>
    <w:rsid w:val="0010207F"/>
    <w:rsid w:val="00102149"/>
    <w:rsid w:val="00102897"/>
    <w:rsid w:val="001028C8"/>
    <w:rsid w:val="00102C91"/>
    <w:rsid w:val="00102E44"/>
    <w:rsid w:val="00102EF9"/>
    <w:rsid w:val="00102F94"/>
    <w:rsid w:val="00103333"/>
    <w:rsid w:val="00103363"/>
    <w:rsid w:val="0010345F"/>
    <w:rsid w:val="0010347C"/>
    <w:rsid w:val="001034E2"/>
    <w:rsid w:val="0010386E"/>
    <w:rsid w:val="00103B32"/>
    <w:rsid w:val="00103D31"/>
    <w:rsid w:val="00103DAD"/>
    <w:rsid w:val="00103FCC"/>
    <w:rsid w:val="00104226"/>
    <w:rsid w:val="0010428B"/>
    <w:rsid w:val="0010438C"/>
    <w:rsid w:val="00104465"/>
    <w:rsid w:val="001045CD"/>
    <w:rsid w:val="001049D1"/>
    <w:rsid w:val="00104C6A"/>
    <w:rsid w:val="00104ED1"/>
    <w:rsid w:val="00105108"/>
    <w:rsid w:val="00105324"/>
    <w:rsid w:val="00105584"/>
    <w:rsid w:val="00105D95"/>
    <w:rsid w:val="00105E08"/>
    <w:rsid w:val="00105E7B"/>
    <w:rsid w:val="00105FC8"/>
    <w:rsid w:val="00106034"/>
    <w:rsid w:val="00106253"/>
    <w:rsid w:val="0010647B"/>
    <w:rsid w:val="00106744"/>
    <w:rsid w:val="001067E1"/>
    <w:rsid w:val="00106807"/>
    <w:rsid w:val="0010691A"/>
    <w:rsid w:val="00106B4A"/>
    <w:rsid w:val="00106C83"/>
    <w:rsid w:val="00106D96"/>
    <w:rsid w:val="00106FD4"/>
    <w:rsid w:val="0010737B"/>
    <w:rsid w:val="00107402"/>
    <w:rsid w:val="0010740D"/>
    <w:rsid w:val="001074DA"/>
    <w:rsid w:val="00107651"/>
    <w:rsid w:val="0010788E"/>
    <w:rsid w:val="001078A5"/>
    <w:rsid w:val="001102F8"/>
    <w:rsid w:val="001103D4"/>
    <w:rsid w:val="00110C22"/>
    <w:rsid w:val="00110C56"/>
    <w:rsid w:val="00110F1C"/>
    <w:rsid w:val="001110A2"/>
    <w:rsid w:val="0011136D"/>
    <w:rsid w:val="00111699"/>
    <w:rsid w:val="001116A7"/>
    <w:rsid w:val="00111DB1"/>
    <w:rsid w:val="00111FCD"/>
    <w:rsid w:val="001120EE"/>
    <w:rsid w:val="001123F3"/>
    <w:rsid w:val="0011253C"/>
    <w:rsid w:val="00112611"/>
    <w:rsid w:val="00112A13"/>
    <w:rsid w:val="00112A9A"/>
    <w:rsid w:val="00112AB7"/>
    <w:rsid w:val="00112D50"/>
    <w:rsid w:val="00112EAE"/>
    <w:rsid w:val="00112F99"/>
    <w:rsid w:val="001132BC"/>
    <w:rsid w:val="001134FC"/>
    <w:rsid w:val="0011351E"/>
    <w:rsid w:val="001136B7"/>
    <w:rsid w:val="00113809"/>
    <w:rsid w:val="001138A2"/>
    <w:rsid w:val="001139D1"/>
    <w:rsid w:val="00113EAE"/>
    <w:rsid w:val="00113F9E"/>
    <w:rsid w:val="001140D2"/>
    <w:rsid w:val="0011450B"/>
    <w:rsid w:val="00114653"/>
    <w:rsid w:val="00114B4E"/>
    <w:rsid w:val="00114E77"/>
    <w:rsid w:val="00114E88"/>
    <w:rsid w:val="00114F08"/>
    <w:rsid w:val="0011506F"/>
    <w:rsid w:val="00115234"/>
    <w:rsid w:val="00115B1E"/>
    <w:rsid w:val="00115D21"/>
    <w:rsid w:val="00115D91"/>
    <w:rsid w:val="00115F36"/>
    <w:rsid w:val="0011602D"/>
    <w:rsid w:val="00116228"/>
    <w:rsid w:val="00116723"/>
    <w:rsid w:val="00116B0A"/>
    <w:rsid w:val="00116C69"/>
    <w:rsid w:val="00117230"/>
    <w:rsid w:val="00117261"/>
    <w:rsid w:val="0011757C"/>
    <w:rsid w:val="00117815"/>
    <w:rsid w:val="001178E9"/>
    <w:rsid w:val="00117B6A"/>
    <w:rsid w:val="00117CFE"/>
    <w:rsid w:val="00117E42"/>
    <w:rsid w:val="001201AC"/>
    <w:rsid w:val="0012029E"/>
    <w:rsid w:val="001203B1"/>
    <w:rsid w:val="0012049D"/>
    <w:rsid w:val="001204EA"/>
    <w:rsid w:val="0012053F"/>
    <w:rsid w:val="00120623"/>
    <w:rsid w:val="001208C8"/>
    <w:rsid w:val="00120A2E"/>
    <w:rsid w:val="00120B05"/>
    <w:rsid w:val="00120B38"/>
    <w:rsid w:val="00120B3E"/>
    <w:rsid w:val="00120D53"/>
    <w:rsid w:val="00120F8E"/>
    <w:rsid w:val="0012116A"/>
    <w:rsid w:val="001213BE"/>
    <w:rsid w:val="0012145C"/>
    <w:rsid w:val="00121536"/>
    <w:rsid w:val="0012172B"/>
    <w:rsid w:val="00121AC0"/>
    <w:rsid w:val="00121D2A"/>
    <w:rsid w:val="00122008"/>
    <w:rsid w:val="00122011"/>
    <w:rsid w:val="0012242A"/>
    <w:rsid w:val="001225DA"/>
    <w:rsid w:val="001225E7"/>
    <w:rsid w:val="0012296A"/>
    <w:rsid w:val="00122AA6"/>
    <w:rsid w:val="00122F43"/>
    <w:rsid w:val="00122F67"/>
    <w:rsid w:val="00123097"/>
    <w:rsid w:val="00123107"/>
    <w:rsid w:val="001234E1"/>
    <w:rsid w:val="00123A26"/>
    <w:rsid w:val="00123B41"/>
    <w:rsid w:val="00123B72"/>
    <w:rsid w:val="00123F52"/>
    <w:rsid w:val="00123FAF"/>
    <w:rsid w:val="0012412E"/>
    <w:rsid w:val="00124627"/>
    <w:rsid w:val="00124C84"/>
    <w:rsid w:val="00124E7F"/>
    <w:rsid w:val="00125091"/>
    <w:rsid w:val="00125264"/>
    <w:rsid w:val="0012538F"/>
    <w:rsid w:val="001257B1"/>
    <w:rsid w:val="0012584A"/>
    <w:rsid w:val="00125854"/>
    <w:rsid w:val="0012598E"/>
    <w:rsid w:val="001259E6"/>
    <w:rsid w:val="00125DC3"/>
    <w:rsid w:val="00125DD2"/>
    <w:rsid w:val="00125E7B"/>
    <w:rsid w:val="0012601B"/>
    <w:rsid w:val="001260C1"/>
    <w:rsid w:val="001267F4"/>
    <w:rsid w:val="00126A95"/>
    <w:rsid w:val="00126A9C"/>
    <w:rsid w:val="00126AD2"/>
    <w:rsid w:val="0012722E"/>
    <w:rsid w:val="00127494"/>
    <w:rsid w:val="001274B4"/>
    <w:rsid w:val="001274D7"/>
    <w:rsid w:val="001275A9"/>
    <w:rsid w:val="00127749"/>
    <w:rsid w:val="00127867"/>
    <w:rsid w:val="0012788D"/>
    <w:rsid w:val="0012798F"/>
    <w:rsid w:val="00127999"/>
    <w:rsid w:val="00127AAD"/>
    <w:rsid w:val="00127DB0"/>
    <w:rsid w:val="00130105"/>
    <w:rsid w:val="001301AD"/>
    <w:rsid w:val="001301AE"/>
    <w:rsid w:val="0013021B"/>
    <w:rsid w:val="00130388"/>
    <w:rsid w:val="001303C5"/>
    <w:rsid w:val="001304EA"/>
    <w:rsid w:val="001305E4"/>
    <w:rsid w:val="00130676"/>
    <w:rsid w:val="00130E28"/>
    <w:rsid w:val="00130F64"/>
    <w:rsid w:val="00131289"/>
    <w:rsid w:val="00131616"/>
    <w:rsid w:val="0013163F"/>
    <w:rsid w:val="00131A59"/>
    <w:rsid w:val="00131F18"/>
    <w:rsid w:val="00132003"/>
    <w:rsid w:val="0013250C"/>
    <w:rsid w:val="001326F0"/>
    <w:rsid w:val="00132718"/>
    <w:rsid w:val="00132984"/>
    <w:rsid w:val="00132BAE"/>
    <w:rsid w:val="00132D6A"/>
    <w:rsid w:val="00132DB8"/>
    <w:rsid w:val="00132FE9"/>
    <w:rsid w:val="00133181"/>
    <w:rsid w:val="001331E4"/>
    <w:rsid w:val="0013320B"/>
    <w:rsid w:val="00133374"/>
    <w:rsid w:val="00133406"/>
    <w:rsid w:val="001334CD"/>
    <w:rsid w:val="00133507"/>
    <w:rsid w:val="001336B3"/>
    <w:rsid w:val="00133C39"/>
    <w:rsid w:val="00133F48"/>
    <w:rsid w:val="00134288"/>
    <w:rsid w:val="001343AF"/>
    <w:rsid w:val="0013479A"/>
    <w:rsid w:val="001347DA"/>
    <w:rsid w:val="00134AD2"/>
    <w:rsid w:val="00134C29"/>
    <w:rsid w:val="00134C8E"/>
    <w:rsid w:val="00134CC9"/>
    <w:rsid w:val="00135123"/>
    <w:rsid w:val="0013536C"/>
    <w:rsid w:val="00135427"/>
    <w:rsid w:val="00135525"/>
    <w:rsid w:val="00135566"/>
    <w:rsid w:val="00135CDB"/>
    <w:rsid w:val="00135D04"/>
    <w:rsid w:val="0013601C"/>
    <w:rsid w:val="0013602D"/>
    <w:rsid w:val="001363BA"/>
    <w:rsid w:val="00136820"/>
    <w:rsid w:val="00136927"/>
    <w:rsid w:val="00136B40"/>
    <w:rsid w:val="00136CA6"/>
    <w:rsid w:val="00136CDE"/>
    <w:rsid w:val="00136D48"/>
    <w:rsid w:val="00136DB1"/>
    <w:rsid w:val="001370DB"/>
    <w:rsid w:val="00137553"/>
    <w:rsid w:val="001375AA"/>
    <w:rsid w:val="001376B8"/>
    <w:rsid w:val="0013783B"/>
    <w:rsid w:val="0013785D"/>
    <w:rsid w:val="0014002A"/>
    <w:rsid w:val="0014019B"/>
    <w:rsid w:val="00140368"/>
    <w:rsid w:val="001404DE"/>
    <w:rsid w:val="001406C1"/>
    <w:rsid w:val="00140A84"/>
    <w:rsid w:val="00140B1D"/>
    <w:rsid w:val="00140DCE"/>
    <w:rsid w:val="00141093"/>
    <w:rsid w:val="001418A8"/>
    <w:rsid w:val="00141A06"/>
    <w:rsid w:val="00141B3B"/>
    <w:rsid w:val="00141E63"/>
    <w:rsid w:val="00141F94"/>
    <w:rsid w:val="0014207C"/>
    <w:rsid w:val="001421B0"/>
    <w:rsid w:val="0014246D"/>
    <w:rsid w:val="00142593"/>
    <w:rsid w:val="00142706"/>
    <w:rsid w:val="00142821"/>
    <w:rsid w:val="00142AFC"/>
    <w:rsid w:val="00142C1E"/>
    <w:rsid w:val="00142FBE"/>
    <w:rsid w:val="00143039"/>
    <w:rsid w:val="00143357"/>
    <w:rsid w:val="00143542"/>
    <w:rsid w:val="001437ED"/>
    <w:rsid w:val="00143807"/>
    <w:rsid w:val="0014380D"/>
    <w:rsid w:val="00143889"/>
    <w:rsid w:val="00143A41"/>
    <w:rsid w:val="00143F96"/>
    <w:rsid w:val="0014415D"/>
    <w:rsid w:val="0014422B"/>
    <w:rsid w:val="001442D8"/>
    <w:rsid w:val="001447F7"/>
    <w:rsid w:val="001448D3"/>
    <w:rsid w:val="0014490F"/>
    <w:rsid w:val="001449F6"/>
    <w:rsid w:val="00144F54"/>
    <w:rsid w:val="0014508F"/>
    <w:rsid w:val="0014580F"/>
    <w:rsid w:val="00145834"/>
    <w:rsid w:val="0014594A"/>
    <w:rsid w:val="001459E0"/>
    <w:rsid w:val="00145ADE"/>
    <w:rsid w:val="00145B2E"/>
    <w:rsid w:val="00145BBE"/>
    <w:rsid w:val="00145ED2"/>
    <w:rsid w:val="00145F67"/>
    <w:rsid w:val="00145F6A"/>
    <w:rsid w:val="00145FB3"/>
    <w:rsid w:val="00146194"/>
    <w:rsid w:val="001461AD"/>
    <w:rsid w:val="0014628F"/>
    <w:rsid w:val="00146400"/>
    <w:rsid w:val="00146451"/>
    <w:rsid w:val="001464A7"/>
    <w:rsid w:val="0014653D"/>
    <w:rsid w:val="0014667A"/>
    <w:rsid w:val="001468F5"/>
    <w:rsid w:val="00146C20"/>
    <w:rsid w:val="00146CA3"/>
    <w:rsid w:val="00146D3B"/>
    <w:rsid w:val="00146D3D"/>
    <w:rsid w:val="00146EC7"/>
    <w:rsid w:val="001470CB"/>
    <w:rsid w:val="00147798"/>
    <w:rsid w:val="00147AC3"/>
    <w:rsid w:val="00147BA0"/>
    <w:rsid w:val="00147C12"/>
    <w:rsid w:val="00147CB1"/>
    <w:rsid w:val="001500CA"/>
    <w:rsid w:val="00150424"/>
    <w:rsid w:val="00150587"/>
    <w:rsid w:val="001507C8"/>
    <w:rsid w:val="00150935"/>
    <w:rsid w:val="00150CD0"/>
    <w:rsid w:val="00150DD5"/>
    <w:rsid w:val="00151174"/>
    <w:rsid w:val="0015154A"/>
    <w:rsid w:val="001518AA"/>
    <w:rsid w:val="00151C8A"/>
    <w:rsid w:val="00151D27"/>
    <w:rsid w:val="00151E6D"/>
    <w:rsid w:val="00152038"/>
    <w:rsid w:val="00152288"/>
    <w:rsid w:val="001524C0"/>
    <w:rsid w:val="00152770"/>
    <w:rsid w:val="0015283A"/>
    <w:rsid w:val="00152AAC"/>
    <w:rsid w:val="00152B71"/>
    <w:rsid w:val="00152B88"/>
    <w:rsid w:val="00152D50"/>
    <w:rsid w:val="00152E71"/>
    <w:rsid w:val="00152F18"/>
    <w:rsid w:val="0015317E"/>
    <w:rsid w:val="00153256"/>
    <w:rsid w:val="00153C10"/>
    <w:rsid w:val="00153EDC"/>
    <w:rsid w:val="00153F10"/>
    <w:rsid w:val="00154182"/>
    <w:rsid w:val="00154327"/>
    <w:rsid w:val="00154454"/>
    <w:rsid w:val="0015451A"/>
    <w:rsid w:val="00154611"/>
    <w:rsid w:val="00154839"/>
    <w:rsid w:val="0015491D"/>
    <w:rsid w:val="00154937"/>
    <w:rsid w:val="00154971"/>
    <w:rsid w:val="00154B9D"/>
    <w:rsid w:val="00154FE0"/>
    <w:rsid w:val="0015505B"/>
    <w:rsid w:val="00155393"/>
    <w:rsid w:val="00155F76"/>
    <w:rsid w:val="00155FD6"/>
    <w:rsid w:val="001560B5"/>
    <w:rsid w:val="001562E6"/>
    <w:rsid w:val="00156308"/>
    <w:rsid w:val="001563C8"/>
    <w:rsid w:val="001564E3"/>
    <w:rsid w:val="00156816"/>
    <w:rsid w:val="00156894"/>
    <w:rsid w:val="00156A63"/>
    <w:rsid w:val="0015714E"/>
    <w:rsid w:val="001572E9"/>
    <w:rsid w:val="0015758F"/>
    <w:rsid w:val="001575EE"/>
    <w:rsid w:val="00157609"/>
    <w:rsid w:val="001576E1"/>
    <w:rsid w:val="00157A47"/>
    <w:rsid w:val="00157BE4"/>
    <w:rsid w:val="00160110"/>
    <w:rsid w:val="001602FA"/>
    <w:rsid w:val="00160338"/>
    <w:rsid w:val="00160350"/>
    <w:rsid w:val="001604C1"/>
    <w:rsid w:val="00160759"/>
    <w:rsid w:val="00160778"/>
    <w:rsid w:val="001607DB"/>
    <w:rsid w:val="001609F0"/>
    <w:rsid w:val="00160AB7"/>
    <w:rsid w:val="00160B86"/>
    <w:rsid w:val="00160DE8"/>
    <w:rsid w:val="00160EBC"/>
    <w:rsid w:val="00160FC5"/>
    <w:rsid w:val="001610AF"/>
    <w:rsid w:val="0016158B"/>
    <w:rsid w:val="001619A2"/>
    <w:rsid w:val="00161B7B"/>
    <w:rsid w:val="00161BBD"/>
    <w:rsid w:val="00161C13"/>
    <w:rsid w:val="00162094"/>
    <w:rsid w:val="00162649"/>
    <w:rsid w:val="0016273B"/>
    <w:rsid w:val="0016294B"/>
    <w:rsid w:val="00162A04"/>
    <w:rsid w:val="00162ACE"/>
    <w:rsid w:val="00162AF8"/>
    <w:rsid w:val="00162B16"/>
    <w:rsid w:val="00162BCB"/>
    <w:rsid w:val="00162D53"/>
    <w:rsid w:val="00162ECF"/>
    <w:rsid w:val="00163017"/>
    <w:rsid w:val="00163145"/>
    <w:rsid w:val="00163205"/>
    <w:rsid w:val="001633A2"/>
    <w:rsid w:val="0016347B"/>
    <w:rsid w:val="00163567"/>
    <w:rsid w:val="001636AD"/>
    <w:rsid w:val="00163A61"/>
    <w:rsid w:val="00163A6F"/>
    <w:rsid w:val="00163AB7"/>
    <w:rsid w:val="00163B8E"/>
    <w:rsid w:val="00163F3A"/>
    <w:rsid w:val="00164066"/>
    <w:rsid w:val="001640C2"/>
    <w:rsid w:val="0016438F"/>
    <w:rsid w:val="00164727"/>
    <w:rsid w:val="00164B23"/>
    <w:rsid w:val="00164C1A"/>
    <w:rsid w:val="00164C8A"/>
    <w:rsid w:val="00164D2B"/>
    <w:rsid w:val="00164E71"/>
    <w:rsid w:val="001650B8"/>
    <w:rsid w:val="00165174"/>
    <w:rsid w:val="00165295"/>
    <w:rsid w:val="001654BC"/>
    <w:rsid w:val="001655B4"/>
    <w:rsid w:val="00165668"/>
    <w:rsid w:val="0016581C"/>
    <w:rsid w:val="00165B9B"/>
    <w:rsid w:val="00165CDB"/>
    <w:rsid w:val="001660DB"/>
    <w:rsid w:val="001662F9"/>
    <w:rsid w:val="00166326"/>
    <w:rsid w:val="00166458"/>
    <w:rsid w:val="00166528"/>
    <w:rsid w:val="0016652C"/>
    <w:rsid w:val="00166590"/>
    <w:rsid w:val="00166882"/>
    <w:rsid w:val="00166B25"/>
    <w:rsid w:val="00166DC6"/>
    <w:rsid w:val="00166FED"/>
    <w:rsid w:val="001670A5"/>
    <w:rsid w:val="00167187"/>
    <w:rsid w:val="0016721F"/>
    <w:rsid w:val="0016722F"/>
    <w:rsid w:val="00167476"/>
    <w:rsid w:val="0016751A"/>
    <w:rsid w:val="001676A6"/>
    <w:rsid w:val="0016778A"/>
    <w:rsid w:val="00167A94"/>
    <w:rsid w:val="001700CF"/>
    <w:rsid w:val="00170256"/>
    <w:rsid w:val="00170319"/>
    <w:rsid w:val="0017050F"/>
    <w:rsid w:val="0017065A"/>
    <w:rsid w:val="0017094D"/>
    <w:rsid w:val="00170C1E"/>
    <w:rsid w:val="00170CD5"/>
    <w:rsid w:val="00170D0F"/>
    <w:rsid w:val="00170D70"/>
    <w:rsid w:val="00170E8F"/>
    <w:rsid w:val="001710BF"/>
    <w:rsid w:val="001711D4"/>
    <w:rsid w:val="00171552"/>
    <w:rsid w:val="0017160A"/>
    <w:rsid w:val="00171806"/>
    <w:rsid w:val="00171A2C"/>
    <w:rsid w:val="00171B09"/>
    <w:rsid w:val="00172234"/>
    <w:rsid w:val="0017234F"/>
    <w:rsid w:val="00172737"/>
    <w:rsid w:val="00172818"/>
    <w:rsid w:val="0017287F"/>
    <w:rsid w:val="0017299F"/>
    <w:rsid w:val="00172BE3"/>
    <w:rsid w:val="00172D5D"/>
    <w:rsid w:val="00172DBA"/>
    <w:rsid w:val="00172E91"/>
    <w:rsid w:val="001730D2"/>
    <w:rsid w:val="00173701"/>
    <w:rsid w:val="001737FC"/>
    <w:rsid w:val="00173918"/>
    <w:rsid w:val="00173A44"/>
    <w:rsid w:val="00173A54"/>
    <w:rsid w:val="00173AC9"/>
    <w:rsid w:val="00173C14"/>
    <w:rsid w:val="00173D67"/>
    <w:rsid w:val="00173DB9"/>
    <w:rsid w:val="00173F81"/>
    <w:rsid w:val="00174013"/>
    <w:rsid w:val="00174483"/>
    <w:rsid w:val="00174567"/>
    <w:rsid w:val="00174576"/>
    <w:rsid w:val="001745CB"/>
    <w:rsid w:val="00174759"/>
    <w:rsid w:val="0017495A"/>
    <w:rsid w:val="00174A3B"/>
    <w:rsid w:val="00174CE7"/>
    <w:rsid w:val="00174E6B"/>
    <w:rsid w:val="00175062"/>
    <w:rsid w:val="001750E1"/>
    <w:rsid w:val="001751A4"/>
    <w:rsid w:val="0017534F"/>
    <w:rsid w:val="0017535B"/>
    <w:rsid w:val="001755FE"/>
    <w:rsid w:val="00175816"/>
    <w:rsid w:val="00175C02"/>
    <w:rsid w:val="00175DD5"/>
    <w:rsid w:val="00175DF6"/>
    <w:rsid w:val="0017609E"/>
    <w:rsid w:val="00176325"/>
    <w:rsid w:val="001764EB"/>
    <w:rsid w:val="001765F6"/>
    <w:rsid w:val="00176664"/>
    <w:rsid w:val="001768F9"/>
    <w:rsid w:val="00176A56"/>
    <w:rsid w:val="00176C42"/>
    <w:rsid w:val="00176C76"/>
    <w:rsid w:val="0017728B"/>
    <w:rsid w:val="00177485"/>
    <w:rsid w:val="001776AE"/>
    <w:rsid w:val="0017773F"/>
    <w:rsid w:val="00177B33"/>
    <w:rsid w:val="00177BD9"/>
    <w:rsid w:val="00177C87"/>
    <w:rsid w:val="00177EC2"/>
    <w:rsid w:val="00177ECD"/>
    <w:rsid w:val="00180186"/>
    <w:rsid w:val="0018022D"/>
    <w:rsid w:val="0018028B"/>
    <w:rsid w:val="001803D4"/>
    <w:rsid w:val="0018058D"/>
    <w:rsid w:val="00180642"/>
    <w:rsid w:val="00180662"/>
    <w:rsid w:val="001806C1"/>
    <w:rsid w:val="00180716"/>
    <w:rsid w:val="00180759"/>
    <w:rsid w:val="001808B5"/>
    <w:rsid w:val="001808CB"/>
    <w:rsid w:val="00180ABE"/>
    <w:rsid w:val="00180B3B"/>
    <w:rsid w:val="00180B8E"/>
    <w:rsid w:val="00180C8F"/>
    <w:rsid w:val="00180CEB"/>
    <w:rsid w:val="00180D40"/>
    <w:rsid w:val="00180D70"/>
    <w:rsid w:val="00180DE0"/>
    <w:rsid w:val="00180DF8"/>
    <w:rsid w:val="00180FB1"/>
    <w:rsid w:val="0018104E"/>
    <w:rsid w:val="0018114B"/>
    <w:rsid w:val="001813A1"/>
    <w:rsid w:val="00181A02"/>
    <w:rsid w:val="00181B1A"/>
    <w:rsid w:val="00181E19"/>
    <w:rsid w:val="00181F81"/>
    <w:rsid w:val="001820D6"/>
    <w:rsid w:val="00182228"/>
    <w:rsid w:val="0018222E"/>
    <w:rsid w:val="00182287"/>
    <w:rsid w:val="001824DF"/>
    <w:rsid w:val="00182635"/>
    <w:rsid w:val="0018269B"/>
    <w:rsid w:val="001828FE"/>
    <w:rsid w:val="00182C2A"/>
    <w:rsid w:val="0018300A"/>
    <w:rsid w:val="00183091"/>
    <w:rsid w:val="0018317D"/>
    <w:rsid w:val="00183278"/>
    <w:rsid w:val="00183309"/>
    <w:rsid w:val="00183470"/>
    <w:rsid w:val="00183564"/>
    <w:rsid w:val="0018376B"/>
    <w:rsid w:val="00183806"/>
    <w:rsid w:val="00183833"/>
    <w:rsid w:val="001839FA"/>
    <w:rsid w:val="00183B62"/>
    <w:rsid w:val="00183CD6"/>
    <w:rsid w:val="00183EDB"/>
    <w:rsid w:val="00184357"/>
    <w:rsid w:val="00184AD0"/>
    <w:rsid w:val="00184C9F"/>
    <w:rsid w:val="00184E5C"/>
    <w:rsid w:val="001850CD"/>
    <w:rsid w:val="0018522B"/>
    <w:rsid w:val="001853C7"/>
    <w:rsid w:val="0018552F"/>
    <w:rsid w:val="001855D9"/>
    <w:rsid w:val="00185AA7"/>
    <w:rsid w:val="00185AF0"/>
    <w:rsid w:val="00185B38"/>
    <w:rsid w:val="00185CB2"/>
    <w:rsid w:val="0018604C"/>
    <w:rsid w:val="00186138"/>
    <w:rsid w:val="0018637C"/>
    <w:rsid w:val="001868E5"/>
    <w:rsid w:val="00187316"/>
    <w:rsid w:val="00187335"/>
    <w:rsid w:val="0018747D"/>
    <w:rsid w:val="001877EE"/>
    <w:rsid w:val="00187997"/>
    <w:rsid w:val="00187A49"/>
    <w:rsid w:val="00187F65"/>
    <w:rsid w:val="00190015"/>
    <w:rsid w:val="001900DE"/>
    <w:rsid w:val="001901B9"/>
    <w:rsid w:val="0019043C"/>
    <w:rsid w:val="0019047C"/>
    <w:rsid w:val="0019054C"/>
    <w:rsid w:val="001907CE"/>
    <w:rsid w:val="00190807"/>
    <w:rsid w:val="001909C7"/>
    <w:rsid w:val="00190DDE"/>
    <w:rsid w:val="00190E6D"/>
    <w:rsid w:val="001916A7"/>
    <w:rsid w:val="00191902"/>
    <w:rsid w:val="0019193D"/>
    <w:rsid w:val="001919CD"/>
    <w:rsid w:val="00191B34"/>
    <w:rsid w:val="00191B88"/>
    <w:rsid w:val="00191F17"/>
    <w:rsid w:val="00192024"/>
    <w:rsid w:val="001921A7"/>
    <w:rsid w:val="00192217"/>
    <w:rsid w:val="00192479"/>
    <w:rsid w:val="0019255F"/>
    <w:rsid w:val="001925C2"/>
    <w:rsid w:val="001926CF"/>
    <w:rsid w:val="001928B4"/>
    <w:rsid w:val="00192B39"/>
    <w:rsid w:val="00192F21"/>
    <w:rsid w:val="00192F51"/>
    <w:rsid w:val="0019305C"/>
    <w:rsid w:val="0019305F"/>
    <w:rsid w:val="0019317F"/>
    <w:rsid w:val="00193235"/>
    <w:rsid w:val="00193DA3"/>
    <w:rsid w:val="00193F75"/>
    <w:rsid w:val="00193FC7"/>
    <w:rsid w:val="00194583"/>
    <w:rsid w:val="00194712"/>
    <w:rsid w:val="00194792"/>
    <w:rsid w:val="001947CD"/>
    <w:rsid w:val="001948A6"/>
    <w:rsid w:val="00194939"/>
    <w:rsid w:val="00194E2A"/>
    <w:rsid w:val="00194F20"/>
    <w:rsid w:val="00194FB9"/>
    <w:rsid w:val="001950D9"/>
    <w:rsid w:val="0019517C"/>
    <w:rsid w:val="001951A5"/>
    <w:rsid w:val="001951AC"/>
    <w:rsid w:val="001951FF"/>
    <w:rsid w:val="0019554D"/>
    <w:rsid w:val="0019586A"/>
    <w:rsid w:val="001958C7"/>
    <w:rsid w:val="00195926"/>
    <w:rsid w:val="00195D44"/>
    <w:rsid w:val="00195DF8"/>
    <w:rsid w:val="001961ED"/>
    <w:rsid w:val="0019620D"/>
    <w:rsid w:val="0019623B"/>
    <w:rsid w:val="00196412"/>
    <w:rsid w:val="00196472"/>
    <w:rsid w:val="001964CE"/>
    <w:rsid w:val="00196D23"/>
    <w:rsid w:val="00196D95"/>
    <w:rsid w:val="0019707E"/>
    <w:rsid w:val="0019720B"/>
    <w:rsid w:val="00197461"/>
    <w:rsid w:val="001977EF"/>
    <w:rsid w:val="0019789C"/>
    <w:rsid w:val="00197901"/>
    <w:rsid w:val="00197BEE"/>
    <w:rsid w:val="00197D7C"/>
    <w:rsid w:val="00197D8B"/>
    <w:rsid w:val="00197E4A"/>
    <w:rsid w:val="00197ED6"/>
    <w:rsid w:val="00197FA1"/>
    <w:rsid w:val="001A00EB"/>
    <w:rsid w:val="001A0256"/>
    <w:rsid w:val="001A0419"/>
    <w:rsid w:val="001A0D67"/>
    <w:rsid w:val="001A1144"/>
    <w:rsid w:val="001A124B"/>
    <w:rsid w:val="001A1431"/>
    <w:rsid w:val="001A15B5"/>
    <w:rsid w:val="001A16B0"/>
    <w:rsid w:val="001A184D"/>
    <w:rsid w:val="001A1878"/>
    <w:rsid w:val="001A198E"/>
    <w:rsid w:val="001A1B3F"/>
    <w:rsid w:val="001A1C2C"/>
    <w:rsid w:val="001A1C8C"/>
    <w:rsid w:val="001A1DA9"/>
    <w:rsid w:val="001A23EA"/>
    <w:rsid w:val="001A2431"/>
    <w:rsid w:val="001A2819"/>
    <w:rsid w:val="001A2838"/>
    <w:rsid w:val="001A2CE6"/>
    <w:rsid w:val="001A2DEA"/>
    <w:rsid w:val="001A2F0C"/>
    <w:rsid w:val="001A3260"/>
    <w:rsid w:val="001A3283"/>
    <w:rsid w:val="001A34A8"/>
    <w:rsid w:val="001A3525"/>
    <w:rsid w:val="001A37B1"/>
    <w:rsid w:val="001A37E2"/>
    <w:rsid w:val="001A387E"/>
    <w:rsid w:val="001A38EC"/>
    <w:rsid w:val="001A3C7F"/>
    <w:rsid w:val="001A3D11"/>
    <w:rsid w:val="001A3D74"/>
    <w:rsid w:val="001A441D"/>
    <w:rsid w:val="001A4A31"/>
    <w:rsid w:val="001A4BA8"/>
    <w:rsid w:val="001A4ED6"/>
    <w:rsid w:val="001A52FE"/>
    <w:rsid w:val="001A5794"/>
    <w:rsid w:val="001A57A9"/>
    <w:rsid w:val="001A588A"/>
    <w:rsid w:val="001A5B2F"/>
    <w:rsid w:val="001A5BDB"/>
    <w:rsid w:val="001A5CBF"/>
    <w:rsid w:val="001A5E37"/>
    <w:rsid w:val="001A5FF2"/>
    <w:rsid w:val="001A6509"/>
    <w:rsid w:val="001A6599"/>
    <w:rsid w:val="001A6747"/>
    <w:rsid w:val="001A679C"/>
    <w:rsid w:val="001A68DB"/>
    <w:rsid w:val="001A69FD"/>
    <w:rsid w:val="001A6AE7"/>
    <w:rsid w:val="001A6B7B"/>
    <w:rsid w:val="001A6CEA"/>
    <w:rsid w:val="001A6D5E"/>
    <w:rsid w:val="001A6E81"/>
    <w:rsid w:val="001A70F7"/>
    <w:rsid w:val="001A718B"/>
    <w:rsid w:val="001A7801"/>
    <w:rsid w:val="001A78BD"/>
    <w:rsid w:val="001A792B"/>
    <w:rsid w:val="001A7C6B"/>
    <w:rsid w:val="001A7CD4"/>
    <w:rsid w:val="001A7DC5"/>
    <w:rsid w:val="001A7F4D"/>
    <w:rsid w:val="001B0B90"/>
    <w:rsid w:val="001B0E35"/>
    <w:rsid w:val="001B0F86"/>
    <w:rsid w:val="001B14C9"/>
    <w:rsid w:val="001B14EF"/>
    <w:rsid w:val="001B1741"/>
    <w:rsid w:val="001B184E"/>
    <w:rsid w:val="001B1AF0"/>
    <w:rsid w:val="001B1C69"/>
    <w:rsid w:val="001B1D31"/>
    <w:rsid w:val="001B1D5E"/>
    <w:rsid w:val="001B1DE4"/>
    <w:rsid w:val="001B2248"/>
    <w:rsid w:val="001B2411"/>
    <w:rsid w:val="001B2508"/>
    <w:rsid w:val="001B2B8A"/>
    <w:rsid w:val="001B2EF4"/>
    <w:rsid w:val="001B2F6D"/>
    <w:rsid w:val="001B328A"/>
    <w:rsid w:val="001B34DC"/>
    <w:rsid w:val="001B35D7"/>
    <w:rsid w:val="001B3BF6"/>
    <w:rsid w:val="001B3DBC"/>
    <w:rsid w:val="001B4043"/>
    <w:rsid w:val="001B4241"/>
    <w:rsid w:val="001B4503"/>
    <w:rsid w:val="001B4844"/>
    <w:rsid w:val="001B4B4F"/>
    <w:rsid w:val="001B4C82"/>
    <w:rsid w:val="001B5159"/>
    <w:rsid w:val="001B521C"/>
    <w:rsid w:val="001B52B9"/>
    <w:rsid w:val="001B52EE"/>
    <w:rsid w:val="001B57DD"/>
    <w:rsid w:val="001B58DE"/>
    <w:rsid w:val="001B5A95"/>
    <w:rsid w:val="001B5BC9"/>
    <w:rsid w:val="001B5F13"/>
    <w:rsid w:val="001B609A"/>
    <w:rsid w:val="001B61AB"/>
    <w:rsid w:val="001B62CD"/>
    <w:rsid w:val="001B64AE"/>
    <w:rsid w:val="001B6938"/>
    <w:rsid w:val="001B69BE"/>
    <w:rsid w:val="001B6B61"/>
    <w:rsid w:val="001B6B76"/>
    <w:rsid w:val="001B6BF0"/>
    <w:rsid w:val="001B6CAA"/>
    <w:rsid w:val="001B6EA5"/>
    <w:rsid w:val="001B718F"/>
    <w:rsid w:val="001B719A"/>
    <w:rsid w:val="001B71A4"/>
    <w:rsid w:val="001B75D2"/>
    <w:rsid w:val="001B7796"/>
    <w:rsid w:val="001B77BE"/>
    <w:rsid w:val="001B78F2"/>
    <w:rsid w:val="001B79FB"/>
    <w:rsid w:val="001B7BCC"/>
    <w:rsid w:val="001C0041"/>
    <w:rsid w:val="001C03D0"/>
    <w:rsid w:val="001C0421"/>
    <w:rsid w:val="001C04D6"/>
    <w:rsid w:val="001C0609"/>
    <w:rsid w:val="001C0659"/>
    <w:rsid w:val="001C07B0"/>
    <w:rsid w:val="001C0B83"/>
    <w:rsid w:val="001C0BDE"/>
    <w:rsid w:val="001C0C45"/>
    <w:rsid w:val="001C1256"/>
    <w:rsid w:val="001C1381"/>
    <w:rsid w:val="001C14B7"/>
    <w:rsid w:val="001C1587"/>
    <w:rsid w:val="001C1675"/>
    <w:rsid w:val="001C1791"/>
    <w:rsid w:val="001C18C7"/>
    <w:rsid w:val="001C1925"/>
    <w:rsid w:val="001C1B7C"/>
    <w:rsid w:val="001C1C1C"/>
    <w:rsid w:val="001C1CAE"/>
    <w:rsid w:val="001C26A8"/>
    <w:rsid w:val="001C2D0F"/>
    <w:rsid w:val="001C2D37"/>
    <w:rsid w:val="001C3226"/>
    <w:rsid w:val="001C3285"/>
    <w:rsid w:val="001C33FD"/>
    <w:rsid w:val="001C37CB"/>
    <w:rsid w:val="001C388F"/>
    <w:rsid w:val="001C3890"/>
    <w:rsid w:val="001C39C4"/>
    <w:rsid w:val="001C3B55"/>
    <w:rsid w:val="001C423A"/>
    <w:rsid w:val="001C4403"/>
    <w:rsid w:val="001C47FA"/>
    <w:rsid w:val="001C4B19"/>
    <w:rsid w:val="001C4DD2"/>
    <w:rsid w:val="001C4E76"/>
    <w:rsid w:val="001C4E83"/>
    <w:rsid w:val="001C51AE"/>
    <w:rsid w:val="001C51C2"/>
    <w:rsid w:val="001C5377"/>
    <w:rsid w:val="001C56D9"/>
    <w:rsid w:val="001C57B1"/>
    <w:rsid w:val="001C5E72"/>
    <w:rsid w:val="001C5F9D"/>
    <w:rsid w:val="001C639C"/>
    <w:rsid w:val="001C6580"/>
    <w:rsid w:val="001C68D6"/>
    <w:rsid w:val="001C6B3F"/>
    <w:rsid w:val="001C7034"/>
    <w:rsid w:val="001C733D"/>
    <w:rsid w:val="001C74CF"/>
    <w:rsid w:val="001C76A2"/>
    <w:rsid w:val="001C77E3"/>
    <w:rsid w:val="001C781F"/>
    <w:rsid w:val="001C7869"/>
    <w:rsid w:val="001C7B61"/>
    <w:rsid w:val="001C7F58"/>
    <w:rsid w:val="001D0079"/>
    <w:rsid w:val="001D0324"/>
    <w:rsid w:val="001D0CF9"/>
    <w:rsid w:val="001D1006"/>
    <w:rsid w:val="001D103E"/>
    <w:rsid w:val="001D10EC"/>
    <w:rsid w:val="001D133E"/>
    <w:rsid w:val="001D1896"/>
    <w:rsid w:val="001D18A7"/>
    <w:rsid w:val="001D1969"/>
    <w:rsid w:val="001D19F1"/>
    <w:rsid w:val="001D19F8"/>
    <w:rsid w:val="001D1A7E"/>
    <w:rsid w:val="001D1B4F"/>
    <w:rsid w:val="001D1EAF"/>
    <w:rsid w:val="001D1EDB"/>
    <w:rsid w:val="001D1FFB"/>
    <w:rsid w:val="001D203A"/>
    <w:rsid w:val="001D2164"/>
    <w:rsid w:val="001D21A9"/>
    <w:rsid w:val="001D26FD"/>
    <w:rsid w:val="001D28E8"/>
    <w:rsid w:val="001D29D5"/>
    <w:rsid w:val="001D2BF7"/>
    <w:rsid w:val="001D2D0C"/>
    <w:rsid w:val="001D3346"/>
    <w:rsid w:val="001D33CB"/>
    <w:rsid w:val="001D393A"/>
    <w:rsid w:val="001D3A81"/>
    <w:rsid w:val="001D3A8B"/>
    <w:rsid w:val="001D3D4F"/>
    <w:rsid w:val="001D4243"/>
    <w:rsid w:val="001D43BD"/>
    <w:rsid w:val="001D45EF"/>
    <w:rsid w:val="001D46CF"/>
    <w:rsid w:val="001D48BD"/>
    <w:rsid w:val="001D495D"/>
    <w:rsid w:val="001D4B26"/>
    <w:rsid w:val="001D4D7E"/>
    <w:rsid w:val="001D4F06"/>
    <w:rsid w:val="001D4F9F"/>
    <w:rsid w:val="001D513C"/>
    <w:rsid w:val="001D544C"/>
    <w:rsid w:val="001D55CD"/>
    <w:rsid w:val="001D5AB6"/>
    <w:rsid w:val="001D5BFB"/>
    <w:rsid w:val="001D5CAD"/>
    <w:rsid w:val="001D6030"/>
    <w:rsid w:val="001D6523"/>
    <w:rsid w:val="001D6601"/>
    <w:rsid w:val="001D66A4"/>
    <w:rsid w:val="001D679B"/>
    <w:rsid w:val="001D67AF"/>
    <w:rsid w:val="001D68C9"/>
    <w:rsid w:val="001D68E6"/>
    <w:rsid w:val="001D6ABA"/>
    <w:rsid w:val="001D6BFA"/>
    <w:rsid w:val="001D6D7F"/>
    <w:rsid w:val="001D7092"/>
    <w:rsid w:val="001D7153"/>
    <w:rsid w:val="001D73AA"/>
    <w:rsid w:val="001D7656"/>
    <w:rsid w:val="001D76AC"/>
    <w:rsid w:val="001D7993"/>
    <w:rsid w:val="001D7BA8"/>
    <w:rsid w:val="001E003A"/>
    <w:rsid w:val="001E0078"/>
    <w:rsid w:val="001E0233"/>
    <w:rsid w:val="001E026A"/>
    <w:rsid w:val="001E0344"/>
    <w:rsid w:val="001E05A4"/>
    <w:rsid w:val="001E05B7"/>
    <w:rsid w:val="001E09D1"/>
    <w:rsid w:val="001E0A72"/>
    <w:rsid w:val="001E0E0D"/>
    <w:rsid w:val="001E0EA3"/>
    <w:rsid w:val="001E0FCD"/>
    <w:rsid w:val="001E109D"/>
    <w:rsid w:val="001E12A6"/>
    <w:rsid w:val="001E1390"/>
    <w:rsid w:val="001E13D6"/>
    <w:rsid w:val="001E14EF"/>
    <w:rsid w:val="001E1503"/>
    <w:rsid w:val="001E1564"/>
    <w:rsid w:val="001E16EB"/>
    <w:rsid w:val="001E180B"/>
    <w:rsid w:val="001E1876"/>
    <w:rsid w:val="001E1C9F"/>
    <w:rsid w:val="001E1DA3"/>
    <w:rsid w:val="001E1F2A"/>
    <w:rsid w:val="001E2008"/>
    <w:rsid w:val="001E2189"/>
    <w:rsid w:val="001E2278"/>
    <w:rsid w:val="001E258B"/>
    <w:rsid w:val="001E25BA"/>
    <w:rsid w:val="001E25CD"/>
    <w:rsid w:val="001E26A9"/>
    <w:rsid w:val="001E275A"/>
    <w:rsid w:val="001E28E0"/>
    <w:rsid w:val="001E2954"/>
    <w:rsid w:val="001E2AEA"/>
    <w:rsid w:val="001E2C66"/>
    <w:rsid w:val="001E2E75"/>
    <w:rsid w:val="001E2EA2"/>
    <w:rsid w:val="001E2F86"/>
    <w:rsid w:val="001E3219"/>
    <w:rsid w:val="001E3233"/>
    <w:rsid w:val="001E3575"/>
    <w:rsid w:val="001E3631"/>
    <w:rsid w:val="001E3680"/>
    <w:rsid w:val="001E3698"/>
    <w:rsid w:val="001E36AF"/>
    <w:rsid w:val="001E393B"/>
    <w:rsid w:val="001E3B0E"/>
    <w:rsid w:val="001E3F5D"/>
    <w:rsid w:val="001E40D2"/>
    <w:rsid w:val="001E40D7"/>
    <w:rsid w:val="001E42CF"/>
    <w:rsid w:val="001E4469"/>
    <w:rsid w:val="001E4623"/>
    <w:rsid w:val="001E4B9D"/>
    <w:rsid w:val="001E4C49"/>
    <w:rsid w:val="001E4EC1"/>
    <w:rsid w:val="001E5242"/>
    <w:rsid w:val="001E53EE"/>
    <w:rsid w:val="001E54BF"/>
    <w:rsid w:val="001E5514"/>
    <w:rsid w:val="001E5733"/>
    <w:rsid w:val="001E589A"/>
    <w:rsid w:val="001E5979"/>
    <w:rsid w:val="001E5AB9"/>
    <w:rsid w:val="001E5C29"/>
    <w:rsid w:val="001E5D30"/>
    <w:rsid w:val="001E5E60"/>
    <w:rsid w:val="001E61F8"/>
    <w:rsid w:val="001E63C2"/>
    <w:rsid w:val="001E66C2"/>
    <w:rsid w:val="001E6775"/>
    <w:rsid w:val="001E67E7"/>
    <w:rsid w:val="001E6820"/>
    <w:rsid w:val="001E685A"/>
    <w:rsid w:val="001E69CA"/>
    <w:rsid w:val="001E6A24"/>
    <w:rsid w:val="001E6AE6"/>
    <w:rsid w:val="001E6BD1"/>
    <w:rsid w:val="001E6BDB"/>
    <w:rsid w:val="001E6E17"/>
    <w:rsid w:val="001E6ED3"/>
    <w:rsid w:val="001E70EB"/>
    <w:rsid w:val="001E74EB"/>
    <w:rsid w:val="001E77A4"/>
    <w:rsid w:val="001E787A"/>
    <w:rsid w:val="001E7BF5"/>
    <w:rsid w:val="001E7CF7"/>
    <w:rsid w:val="001E7D93"/>
    <w:rsid w:val="001F0019"/>
    <w:rsid w:val="001F0260"/>
    <w:rsid w:val="001F028A"/>
    <w:rsid w:val="001F07BB"/>
    <w:rsid w:val="001F0846"/>
    <w:rsid w:val="001F098E"/>
    <w:rsid w:val="001F0ABE"/>
    <w:rsid w:val="001F0D64"/>
    <w:rsid w:val="001F0FFC"/>
    <w:rsid w:val="001F1834"/>
    <w:rsid w:val="001F1B4F"/>
    <w:rsid w:val="001F1FB9"/>
    <w:rsid w:val="001F1FE4"/>
    <w:rsid w:val="001F201A"/>
    <w:rsid w:val="001F249E"/>
    <w:rsid w:val="001F24D2"/>
    <w:rsid w:val="001F2A04"/>
    <w:rsid w:val="001F3182"/>
    <w:rsid w:val="001F341E"/>
    <w:rsid w:val="001F35FC"/>
    <w:rsid w:val="001F36E8"/>
    <w:rsid w:val="001F3A01"/>
    <w:rsid w:val="001F3CD9"/>
    <w:rsid w:val="001F3E61"/>
    <w:rsid w:val="001F3E69"/>
    <w:rsid w:val="001F3E7B"/>
    <w:rsid w:val="001F3EE1"/>
    <w:rsid w:val="001F3F53"/>
    <w:rsid w:val="001F4092"/>
    <w:rsid w:val="001F4093"/>
    <w:rsid w:val="001F40BB"/>
    <w:rsid w:val="001F41C1"/>
    <w:rsid w:val="001F41EA"/>
    <w:rsid w:val="001F4341"/>
    <w:rsid w:val="001F44F2"/>
    <w:rsid w:val="001F45E3"/>
    <w:rsid w:val="001F461C"/>
    <w:rsid w:val="001F4BC7"/>
    <w:rsid w:val="001F5303"/>
    <w:rsid w:val="001F53D2"/>
    <w:rsid w:val="001F54BE"/>
    <w:rsid w:val="001F5652"/>
    <w:rsid w:val="001F6028"/>
    <w:rsid w:val="001F603A"/>
    <w:rsid w:val="001F607F"/>
    <w:rsid w:val="001F60A2"/>
    <w:rsid w:val="001F62AA"/>
    <w:rsid w:val="001F63A1"/>
    <w:rsid w:val="001F65CD"/>
    <w:rsid w:val="001F66B0"/>
    <w:rsid w:val="001F66BA"/>
    <w:rsid w:val="001F68D1"/>
    <w:rsid w:val="001F691B"/>
    <w:rsid w:val="001F6B4E"/>
    <w:rsid w:val="001F6BB1"/>
    <w:rsid w:val="001F7305"/>
    <w:rsid w:val="001F73C6"/>
    <w:rsid w:val="001F74BD"/>
    <w:rsid w:val="001F7BF9"/>
    <w:rsid w:val="001F7C77"/>
    <w:rsid w:val="001F7CC7"/>
    <w:rsid w:val="00200100"/>
    <w:rsid w:val="00200458"/>
    <w:rsid w:val="002005FF"/>
    <w:rsid w:val="002008B5"/>
    <w:rsid w:val="00200A16"/>
    <w:rsid w:val="00200BBF"/>
    <w:rsid w:val="00200C03"/>
    <w:rsid w:val="002010E1"/>
    <w:rsid w:val="002012A9"/>
    <w:rsid w:val="00201538"/>
    <w:rsid w:val="0020154B"/>
    <w:rsid w:val="00201803"/>
    <w:rsid w:val="0020184D"/>
    <w:rsid w:val="002018F9"/>
    <w:rsid w:val="0020192D"/>
    <w:rsid w:val="00201C7B"/>
    <w:rsid w:val="00201F3E"/>
    <w:rsid w:val="00201F92"/>
    <w:rsid w:val="002021E0"/>
    <w:rsid w:val="002023AC"/>
    <w:rsid w:val="002024DA"/>
    <w:rsid w:val="00202632"/>
    <w:rsid w:val="002026DC"/>
    <w:rsid w:val="00202834"/>
    <w:rsid w:val="00202DD8"/>
    <w:rsid w:val="00202F7B"/>
    <w:rsid w:val="0020311D"/>
    <w:rsid w:val="002031C5"/>
    <w:rsid w:val="00203400"/>
    <w:rsid w:val="002037AB"/>
    <w:rsid w:val="002037EA"/>
    <w:rsid w:val="0020386C"/>
    <w:rsid w:val="0020393E"/>
    <w:rsid w:val="00203B06"/>
    <w:rsid w:val="00203B30"/>
    <w:rsid w:val="00203DB9"/>
    <w:rsid w:val="00203EDF"/>
    <w:rsid w:val="00203F26"/>
    <w:rsid w:val="00204051"/>
    <w:rsid w:val="002041A9"/>
    <w:rsid w:val="002041B7"/>
    <w:rsid w:val="002042B4"/>
    <w:rsid w:val="002046B7"/>
    <w:rsid w:val="00204DA6"/>
    <w:rsid w:val="00205070"/>
    <w:rsid w:val="002051B6"/>
    <w:rsid w:val="00205282"/>
    <w:rsid w:val="00205339"/>
    <w:rsid w:val="00205DEF"/>
    <w:rsid w:val="00205F51"/>
    <w:rsid w:val="00205F58"/>
    <w:rsid w:val="00206016"/>
    <w:rsid w:val="0020634C"/>
    <w:rsid w:val="00206508"/>
    <w:rsid w:val="00206870"/>
    <w:rsid w:val="0020687A"/>
    <w:rsid w:val="002069E4"/>
    <w:rsid w:val="00206D0E"/>
    <w:rsid w:val="00206F0C"/>
    <w:rsid w:val="002071C3"/>
    <w:rsid w:val="0020767B"/>
    <w:rsid w:val="002077EE"/>
    <w:rsid w:val="00207B0E"/>
    <w:rsid w:val="00207C1B"/>
    <w:rsid w:val="00207FB9"/>
    <w:rsid w:val="002101BC"/>
    <w:rsid w:val="002102CE"/>
    <w:rsid w:val="00210425"/>
    <w:rsid w:val="00210443"/>
    <w:rsid w:val="00210633"/>
    <w:rsid w:val="0021070C"/>
    <w:rsid w:val="0021071D"/>
    <w:rsid w:val="002107EF"/>
    <w:rsid w:val="002108DE"/>
    <w:rsid w:val="00210AFC"/>
    <w:rsid w:val="00210D67"/>
    <w:rsid w:val="00210E81"/>
    <w:rsid w:val="00210E85"/>
    <w:rsid w:val="00210F20"/>
    <w:rsid w:val="0021103E"/>
    <w:rsid w:val="0021113B"/>
    <w:rsid w:val="0021148B"/>
    <w:rsid w:val="0021159A"/>
    <w:rsid w:val="00211B54"/>
    <w:rsid w:val="00211E11"/>
    <w:rsid w:val="00211EE0"/>
    <w:rsid w:val="00212069"/>
    <w:rsid w:val="002128EB"/>
    <w:rsid w:val="00212A86"/>
    <w:rsid w:val="00212B61"/>
    <w:rsid w:val="00212DCF"/>
    <w:rsid w:val="00212EBC"/>
    <w:rsid w:val="00213448"/>
    <w:rsid w:val="00213646"/>
    <w:rsid w:val="00213885"/>
    <w:rsid w:val="00213979"/>
    <w:rsid w:val="002139BC"/>
    <w:rsid w:val="00213C6B"/>
    <w:rsid w:val="00213F06"/>
    <w:rsid w:val="00213FCF"/>
    <w:rsid w:val="002142C5"/>
    <w:rsid w:val="002145C4"/>
    <w:rsid w:val="0021494D"/>
    <w:rsid w:val="00214969"/>
    <w:rsid w:val="002149B8"/>
    <w:rsid w:val="00214AC8"/>
    <w:rsid w:val="00214B30"/>
    <w:rsid w:val="00214E6A"/>
    <w:rsid w:val="0021514E"/>
    <w:rsid w:val="0021531D"/>
    <w:rsid w:val="00215475"/>
    <w:rsid w:val="00215575"/>
    <w:rsid w:val="00215980"/>
    <w:rsid w:val="00215BB6"/>
    <w:rsid w:val="00215BBA"/>
    <w:rsid w:val="00216156"/>
    <w:rsid w:val="002163E9"/>
    <w:rsid w:val="00216600"/>
    <w:rsid w:val="00216803"/>
    <w:rsid w:val="00216837"/>
    <w:rsid w:val="002169DC"/>
    <w:rsid w:val="00216B45"/>
    <w:rsid w:val="00216C37"/>
    <w:rsid w:val="00216E6C"/>
    <w:rsid w:val="00216EFD"/>
    <w:rsid w:val="00216F60"/>
    <w:rsid w:val="002172BF"/>
    <w:rsid w:val="002172EE"/>
    <w:rsid w:val="00217724"/>
    <w:rsid w:val="00217ABF"/>
    <w:rsid w:val="00217B39"/>
    <w:rsid w:val="00217D9C"/>
    <w:rsid w:val="00217DA7"/>
    <w:rsid w:val="00217ECA"/>
    <w:rsid w:val="002202D0"/>
    <w:rsid w:val="0022041A"/>
    <w:rsid w:val="002205A6"/>
    <w:rsid w:val="00220946"/>
    <w:rsid w:val="00220A44"/>
    <w:rsid w:val="00220CBF"/>
    <w:rsid w:val="00220DEA"/>
    <w:rsid w:val="00220DF6"/>
    <w:rsid w:val="00220F9F"/>
    <w:rsid w:val="00221265"/>
    <w:rsid w:val="00221310"/>
    <w:rsid w:val="0022135B"/>
    <w:rsid w:val="0022168F"/>
    <w:rsid w:val="00221794"/>
    <w:rsid w:val="00221A8A"/>
    <w:rsid w:val="00221D5A"/>
    <w:rsid w:val="00222058"/>
    <w:rsid w:val="00222144"/>
    <w:rsid w:val="0022217F"/>
    <w:rsid w:val="002222D9"/>
    <w:rsid w:val="002223FF"/>
    <w:rsid w:val="0022252F"/>
    <w:rsid w:val="00222849"/>
    <w:rsid w:val="002228B6"/>
    <w:rsid w:val="002229D7"/>
    <w:rsid w:val="00222A28"/>
    <w:rsid w:val="00222EC8"/>
    <w:rsid w:val="00223370"/>
    <w:rsid w:val="002233AE"/>
    <w:rsid w:val="002235D1"/>
    <w:rsid w:val="00223A0F"/>
    <w:rsid w:val="00223B87"/>
    <w:rsid w:val="00223C01"/>
    <w:rsid w:val="00223C29"/>
    <w:rsid w:val="00223D62"/>
    <w:rsid w:val="0022409D"/>
    <w:rsid w:val="00224466"/>
    <w:rsid w:val="002246BA"/>
    <w:rsid w:val="00224D0B"/>
    <w:rsid w:val="00224D76"/>
    <w:rsid w:val="002250B3"/>
    <w:rsid w:val="0022510C"/>
    <w:rsid w:val="00225134"/>
    <w:rsid w:val="0022564A"/>
    <w:rsid w:val="002257FE"/>
    <w:rsid w:val="00225924"/>
    <w:rsid w:val="0022599F"/>
    <w:rsid w:val="002259D4"/>
    <w:rsid w:val="00225A6C"/>
    <w:rsid w:val="00225B61"/>
    <w:rsid w:val="00225C50"/>
    <w:rsid w:val="00225C8D"/>
    <w:rsid w:val="00225F18"/>
    <w:rsid w:val="0022625B"/>
    <w:rsid w:val="002264EA"/>
    <w:rsid w:val="0022669C"/>
    <w:rsid w:val="0022672E"/>
    <w:rsid w:val="00226935"/>
    <w:rsid w:val="00226A62"/>
    <w:rsid w:val="00226AB0"/>
    <w:rsid w:val="00226CEC"/>
    <w:rsid w:val="00226EEE"/>
    <w:rsid w:val="00226F3C"/>
    <w:rsid w:val="00227073"/>
    <w:rsid w:val="0022729C"/>
    <w:rsid w:val="002273B6"/>
    <w:rsid w:val="0022748B"/>
    <w:rsid w:val="002275F5"/>
    <w:rsid w:val="00227794"/>
    <w:rsid w:val="00227802"/>
    <w:rsid w:val="0022781D"/>
    <w:rsid w:val="002278D2"/>
    <w:rsid w:val="00227A7C"/>
    <w:rsid w:val="00227CE4"/>
    <w:rsid w:val="00227EE3"/>
    <w:rsid w:val="00227EEA"/>
    <w:rsid w:val="00227FEB"/>
    <w:rsid w:val="00230025"/>
    <w:rsid w:val="002301B7"/>
    <w:rsid w:val="002302D4"/>
    <w:rsid w:val="00230466"/>
    <w:rsid w:val="002305FF"/>
    <w:rsid w:val="00230629"/>
    <w:rsid w:val="00230765"/>
    <w:rsid w:val="00230AE4"/>
    <w:rsid w:val="00230CC5"/>
    <w:rsid w:val="00230D82"/>
    <w:rsid w:val="00230EC1"/>
    <w:rsid w:val="00230F5C"/>
    <w:rsid w:val="0023100E"/>
    <w:rsid w:val="002310E6"/>
    <w:rsid w:val="00231279"/>
    <w:rsid w:val="00231318"/>
    <w:rsid w:val="00231367"/>
    <w:rsid w:val="002316DD"/>
    <w:rsid w:val="002316F1"/>
    <w:rsid w:val="0023177F"/>
    <w:rsid w:val="002317F1"/>
    <w:rsid w:val="00231AB6"/>
    <w:rsid w:val="00231AE1"/>
    <w:rsid w:val="00231F0B"/>
    <w:rsid w:val="0023220B"/>
    <w:rsid w:val="00232367"/>
    <w:rsid w:val="002327F4"/>
    <w:rsid w:val="00232893"/>
    <w:rsid w:val="00232AD9"/>
    <w:rsid w:val="00232DFD"/>
    <w:rsid w:val="002330DE"/>
    <w:rsid w:val="002330F7"/>
    <w:rsid w:val="002331AF"/>
    <w:rsid w:val="00233214"/>
    <w:rsid w:val="0023323D"/>
    <w:rsid w:val="00233322"/>
    <w:rsid w:val="002333D7"/>
    <w:rsid w:val="00233A6A"/>
    <w:rsid w:val="00233DF5"/>
    <w:rsid w:val="00234101"/>
    <w:rsid w:val="00234163"/>
    <w:rsid w:val="0023427A"/>
    <w:rsid w:val="0023451D"/>
    <w:rsid w:val="00234880"/>
    <w:rsid w:val="0023495B"/>
    <w:rsid w:val="002349B1"/>
    <w:rsid w:val="00234AFF"/>
    <w:rsid w:val="00234CBD"/>
    <w:rsid w:val="00234E29"/>
    <w:rsid w:val="00235148"/>
    <w:rsid w:val="00235355"/>
    <w:rsid w:val="00235358"/>
    <w:rsid w:val="002354AB"/>
    <w:rsid w:val="002354C3"/>
    <w:rsid w:val="00235601"/>
    <w:rsid w:val="002358D2"/>
    <w:rsid w:val="00235905"/>
    <w:rsid w:val="00235921"/>
    <w:rsid w:val="00235BA1"/>
    <w:rsid w:val="00235C9B"/>
    <w:rsid w:val="00235DA8"/>
    <w:rsid w:val="00235ED3"/>
    <w:rsid w:val="002360B6"/>
    <w:rsid w:val="0023646B"/>
    <w:rsid w:val="002364AF"/>
    <w:rsid w:val="002364C1"/>
    <w:rsid w:val="0023651B"/>
    <w:rsid w:val="0023667F"/>
    <w:rsid w:val="002366B9"/>
    <w:rsid w:val="00236757"/>
    <w:rsid w:val="00236C3E"/>
    <w:rsid w:val="00236F7A"/>
    <w:rsid w:val="0023708D"/>
    <w:rsid w:val="002370A4"/>
    <w:rsid w:val="00237239"/>
    <w:rsid w:val="00237271"/>
    <w:rsid w:val="00237507"/>
    <w:rsid w:val="002375BB"/>
    <w:rsid w:val="00237904"/>
    <w:rsid w:val="00237C63"/>
    <w:rsid w:val="00237CD0"/>
    <w:rsid w:val="00237D69"/>
    <w:rsid w:val="00237EAA"/>
    <w:rsid w:val="00240450"/>
    <w:rsid w:val="00240570"/>
    <w:rsid w:val="002407C7"/>
    <w:rsid w:val="002409A9"/>
    <w:rsid w:val="00240ABC"/>
    <w:rsid w:val="00240C81"/>
    <w:rsid w:val="00240EF7"/>
    <w:rsid w:val="0024102D"/>
    <w:rsid w:val="00241624"/>
    <w:rsid w:val="00241A63"/>
    <w:rsid w:val="00241C93"/>
    <w:rsid w:val="00242661"/>
    <w:rsid w:val="002426F9"/>
    <w:rsid w:val="002427E3"/>
    <w:rsid w:val="002428C6"/>
    <w:rsid w:val="0024294E"/>
    <w:rsid w:val="002429D9"/>
    <w:rsid w:val="00242BB1"/>
    <w:rsid w:val="00242D47"/>
    <w:rsid w:val="00242E54"/>
    <w:rsid w:val="00243039"/>
    <w:rsid w:val="002435CE"/>
    <w:rsid w:val="0024369A"/>
    <w:rsid w:val="0024377E"/>
    <w:rsid w:val="002437CF"/>
    <w:rsid w:val="0024389E"/>
    <w:rsid w:val="002439BB"/>
    <w:rsid w:val="002439C9"/>
    <w:rsid w:val="00243A1E"/>
    <w:rsid w:val="00243B26"/>
    <w:rsid w:val="00243CF2"/>
    <w:rsid w:val="00243CF9"/>
    <w:rsid w:val="00243D6C"/>
    <w:rsid w:val="002444F2"/>
    <w:rsid w:val="00244625"/>
    <w:rsid w:val="00244811"/>
    <w:rsid w:val="00244B5C"/>
    <w:rsid w:val="00244B62"/>
    <w:rsid w:val="00244B7A"/>
    <w:rsid w:val="00244C99"/>
    <w:rsid w:val="00244F9E"/>
    <w:rsid w:val="00244FD3"/>
    <w:rsid w:val="002450A2"/>
    <w:rsid w:val="00245185"/>
    <w:rsid w:val="002451CD"/>
    <w:rsid w:val="002453C1"/>
    <w:rsid w:val="002454D7"/>
    <w:rsid w:val="002455A8"/>
    <w:rsid w:val="00245767"/>
    <w:rsid w:val="002457A1"/>
    <w:rsid w:val="002459F1"/>
    <w:rsid w:val="00245C71"/>
    <w:rsid w:val="00245DFE"/>
    <w:rsid w:val="00245F62"/>
    <w:rsid w:val="00245FEF"/>
    <w:rsid w:val="00246086"/>
    <w:rsid w:val="002460DC"/>
    <w:rsid w:val="002461F4"/>
    <w:rsid w:val="002462A6"/>
    <w:rsid w:val="00246536"/>
    <w:rsid w:val="0024689C"/>
    <w:rsid w:val="002468A0"/>
    <w:rsid w:val="002468AF"/>
    <w:rsid w:val="00246906"/>
    <w:rsid w:val="00246AFF"/>
    <w:rsid w:val="00246BB8"/>
    <w:rsid w:val="00246D18"/>
    <w:rsid w:val="00246EEC"/>
    <w:rsid w:val="00246F11"/>
    <w:rsid w:val="00246F72"/>
    <w:rsid w:val="00246F75"/>
    <w:rsid w:val="00247301"/>
    <w:rsid w:val="00247397"/>
    <w:rsid w:val="002474E5"/>
    <w:rsid w:val="002475F1"/>
    <w:rsid w:val="002477ED"/>
    <w:rsid w:val="00247860"/>
    <w:rsid w:val="0024789F"/>
    <w:rsid w:val="0024792C"/>
    <w:rsid w:val="00247CA1"/>
    <w:rsid w:val="00250157"/>
    <w:rsid w:val="00250430"/>
    <w:rsid w:val="00250520"/>
    <w:rsid w:val="0025055E"/>
    <w:rsid w:val="00250592"/>
    <w:rsid w:val="00250608"/>
    <w:rsid w:val="002506CA"/>
    <w:rsid w:val="002509D9"/>
    <w:rsid w:val="00250A25"/>
    <w:rsid w:val="00250AC5"/>
    <w:rsid w:val="00250FE3"/>
    <w:rsid w:val="00251107"/>
    <w:rsid w:val="00251184"/>
    <w:rsid w:val="002511B9"/>
    <w:rsid w:val="002511CD"/>
    <w:rsid w:val="00251462"/>
    <w:rsid w:val="00251493"/>
    <w:rsid w:val="0025174B"/>
    <w:rsid w:val="002518CC"/>
    <w:rsid w:val="0025199D"/>
    <w:rsid w:val="00251A25"/>
    <w:rsid w:val="00251ADA"/>
    <w:rsid w:val="00251B22"/>
    <w:rsid w:val="00251D2B"/>
    <w:rsid w:val="00251DE6"/>
    <w:rsid w:val="0025231A"/>
    <w:rsid w:val="002523BE"/>
    <w:rsid w:val="002526C0"/>
    <w:rsid w:val="002527BB"/>
    <w:rsid w:val="002527DC"/>
    <w:rsid w:val="0025294F"/>
    <w:rsid w:val="00252AD9"/>
    <w:rsid w:val="00253385"/>
    <w:rsid w:val="002533C9"/>
    <w:rsid w:val="00253532"/>
    <w:rsid w:val="00253635"/>
    <w:rsid w:val="00253712"/>
    <w:rsid w:val="00253A19"/>
    <w:rsid w:val="00253B1F"/>
    <w:rsid w:val="00253C9C"/>
    <w:rsid w:val="00253DC7"/>
    <w:rsid w:val="00254383"/>
    <w:rsid w:val="002543CF"/>
    <w:rsid w:val="00254603"/>
    <w:rsid w:val="0025475D"/>
    <w:rsid w:val="00254B7D"/>
    <w:rsid w:val="00254F2A"/>
    <w:rsid w:val="00254FC2"/>
    <w:rsid w:val="0025518D"/>
    <w:rsid w:val="002554A9"/>
    <w:rsid w:val="00255772"/>
    <w:rsid w:val="00255877"/>
    <w:rsid w:val="00255BA3"/>
    <w:rsid w:val="00255E22"/>
    <w:rsid w:val="00255E45"/>
    <w:rsid w:val="00255F0D"/>
    <w:rsid w:val="00256011"/>
    <w:rsid w:val="00256075"/>
    <w:rsid w:val="00256359"/>
    <w:rsid w:val="002564FE"/>
    <w:rsid w:val="00256527"/>
    <w:rsid w:val="00256625"/>
    <w:rsid w:val="002569F8"/>
    <w:rsid w:val="00256A0D"/>
    <w:rsid w:val="00256A5A"/>
    <w:rsid w:val="00256D76"/>
    <w:rsid w:val="00257232"/>
    <w:rsid w:val="00257318"/>
    <w:rsid w:val="002573E5"/>
    <w:rsid w:val="0025786A"/>
    <w:rsid w:val="00257ABC"/>
    <w:rsid w:val="00257B01"/>
    <w:rsid w:val="00257B07"/>
    <w:rsid w:val="00257C7B"/>
    <w:rsid w:val="00257DB9"/>
    <w:rsid w:val="00257E37"/>
    <w:rsid w:val="002604F8"/>
    <w:rsid w:val="0026078E"/>
    <w:rsid w:val="00260B30"/>
    <w:rsid w:val="00260CB2"/>
    <w:rsid w:val="00260CBA"/>
    <w:rsid w:val="00260D05"/>
    <w:rsid w:val="00260E89"/>
    <w:rsid w:val="002610B6"/>
    <w:rsid w:val="0026126A"/>
    <w:rsid w:val="002614B4"/>
    <w:rsid w:val="00261746"/>
    <w:rsid w:val="00261755"/>
    <w:rsid w:val="002617A4"/>
    <w:rsid w:val="00261861"/>
    <w:rsid w:val="00261BC0"/>
    <w:rsid w:val="00261D40"/>
    <w:rsid w:val="00261DAA"/>
    <w:rsid w:val="00261EA0"/>
    <w:rsid w:val="00261FA5"/>
    <w:rsid w:val="00261FF6"/>
    <w:rsid w:val="0026228B"/>
    <w:rsid w:val="002622BA"/>
    <w:rsid w:val="002623E5"/>
    <w:rsid w:val="0026264B"/>
    <w:rsid w:val="002627CD"/>
    <w:rsid w:val="0026295D"/>
    <w:rsid w:val="00262A43"/>
    <w:rsid w:val="00262B3A"/>
    <w:rsid w:val="00262DCA"/>
    <w:rsid w:val="00262DFF"/>
    <w:rsid w:val="0026305D"/>
    <w:rsid w:val="002630C7"/>
    <w:rsid w:val="002630DA"/>
    <w:rsid w:val="00263116"/>
    <w:rsid w:val="00263520"/>
    <w:rsid w:val="00263735"/>
    <w:rsid w:val="00263829"/>
    <w:rsid w:val="0026392C"/>
    <w:rsid w:val="00263A71"/>
    <w:rsid w:val="00263C45"/>
    <w:rsid w:val="00263DDB"/>
    <w:rsid w:val="002640AF"/>
    <w:rsid w:val="00264236"/>
    <w:rsid w:val="00264283"/>
    <w:rsid w:val="002643BD"/>
    <w:rsid w:val="002644F0"/>
    <w:rsid w:val="0026464D"/>
    <w:rsid w:val="002648D5"/>
    <w:rsid w:val="00264AC8"/>
    <w:rsid w:val="00264F1F"/>
    <w:rsid w:val="00264F84"/>
    <w:rsid w:val="002656DA"/>
    <w:rsid w:val="00266229"/>
    <w:rsid w:val="0026631C"/>
    <w:rsid w:val="002664D7"/>
    <w:rsid w:val="00266615"/>
    <w:rsid w:val="002666A8"/>
    <w:rsid w:val="002666C7"/>
    <w:rsid w:val="00266890"/>
    <w:rsid w:val="00266A51"/>
    <w:rsid w:val="00266FAF"/>
    <w:rsid w:val="002670B3"/>
    <w:rsid w:val="002670C8"/>
    <w:rsid w:val="0026711B"/>
    <w:rsid w:val="00267361"/>
    <w:rsid w:val="0026791F"/>
    <w:rsid w:val="00267A85"/>
    <w:rsid w:val="00267C55"/>
    <w:rsid w:val="00267CFC"/>
    <w:rsid w:val="00267D0B"/>
    <w:rsid w:val="00267DB5"/>
    <w:rsid w:val="00267E8D"/>
    <w:rsid w:val="00267F34"/>
    <w:rsid w:val="00267FA7"/>
    <w:rsid w:val="002700AE"/>
    <w:rsid w:val="0027018C"/>
    <w:rsid w:val="00270191"/>
    <w:rsid w:val="00270430"/>
    <w:rsid w:val="0027083C"/>
    <w:rsid w:val="00270B34"/>
    <w:rsid w:val="00270B97"/>
    <w:rsid w:val="00270D37"/>
    <w:rsid w:val="00270D55"/>
    <w:rsid w:val="002713C7"/>
    <w:rsid w:val="002713FE"/>
    <w:rsid w:val="0027164E"/>
    <w:rsid w:val="002717B1"/>
    <w:rsid w:val="002717F8"/>
    <w:rsid w:val="00271837"/>
    <w:rsid w:val="002718FA"/>
    <w:rsid w:val="00271C7C"/>
    <w:rsid w:val="00271DB0"/>
    <w:rsid w:val="0027236E"/>
    <w:rsid w:val="002724D5"/>
    <w:rsid w:val="00272A39"/>
    <w:rsid w:val="00272E94"/>
    <w:rsid w:val="00273139"/>
    <w:rsid w:val="00273206"/>
    <w:rsid w:val="002732D6"/>
    <w:rsid w:val="002734E2"/>
    <w:rsid w:val="0027381B"/>
    <w:rsid w:val="00273D99"/>
    <w:rsid w:val="002740CA"/>
    <w:rsid w:val="00274102"/>
    <w:rsid w:val="00274854"/>
    <w:rsid w:val="00274A86"/>
    <w:rsid w:val="00274F52"/>
    <w:rsid w:val="00274FB4"/>
    <w:rsid w:val="0027516A"/>
    <w:rsid w:val="0027524B"/>
    <w:rsid w:val="00275252"/>
    <w:rsid w:val="002754D2"/>
    <w:rsid w:val="00275828"/>
    <w:rsid w:val="00275B54"/>
    <w:rsid w:val="00275C66"/>
    <w:rsid w:val="002760D9"/>
    <w:rsid w:val="002760DE"/>
    <w:rsid w:val="00276221"/>
    <w:rsid w:val="0027636C"/>
    <w:rsid w:val="00276B37"/>
    <w:rsid w:val="00276EB0"/>
    <w:rsid w:val="00277125"/>
    <w:rsid w:val="00277235"/>
    <w:rsid w:val="002773E9"/>
    <w:rsid w:val="00277414"/>
    <w:rsid w:val="0027755B"/>
    <w:rsid w:val="00277633"/>
    <w:rsid w:val="00277685"/>
    <w:rsid w:val="00277738"/>
    <w:rsid w:val="0027793E"/>
    <w:rsid w:val="0027797F"/>
    <w:rsid w:val="00277A09"/>
    <w:rsid w:val="00277B9A"/>
    <w:rsid w:val="00280184"/>
    <w:rsid w:val="00280569"/>
    <w:rsid w:val="002807EE"/>
    <w:rsid w:val="00280898"/>
    <w:rsid w:val="00280A4E"/>
    <w:rsid w:val="00280C01"/>
    <w:rsid w:val="00280D36"/>
    <w:rsid w:val="00280F8D"/>
    <w:rsid w:val="00280FFB"/>
    <w:rsid w:val="002815CF"/>
    <w:rsid w:val="00281855"/>
    <w:rsid w:val="00281A5A"/>
    <w:rsid w:val="00281B20"/>
    <w:rsid w:val="00281C9B"/>
    <w:rsid w:val="00281E01"/>
    <w:rsid w:val="00281EE3"/>
    <w:rsid w:val="0028211D"/>
    <w:rsid w:val="00282251"/>
    <w:rsid w:val="0028225B"/>
    <w:rsid w:val="002824E2"/>
    <w:rsid w:val="002826E6"/>
    <w:rsid w:val="00282924"/>
    <w:rsid w:val="002829A5"/>
    <w:rsid w:val="00282A66"/>
    <w:rsid w:val="002830D9"/>
    <w:rsid w:val="00283606"/>
    <w:rsid w:val="0028381D"/>
    <w:rsid w:val="00283978"/>
    <w:rsid w:val="002839A9"/>
    <w:rsid w:val="00283B22"/>
    <w:rsid w:val="00283BA0"/>
    <w:rsid w:val="00283E22"/>
    <w:rsid w:val="002842EE"/>
    <w:rsid w:val="0028446F"/>
    <w:rsid w:val="00284A9E"/>
    <w:rsid w:val="00284AF2"/>
    <w:rsid w:val="00284B0A"/>
    <w:rsid w:val="00284DCA"/>
    <w:rsid w:val="00284F77"/>
    <w:rsid w:val="002852C6"/>
    <w:rsid w:val="0028530D"/>
    <w:rsid w:val="0028577E"/>
    <w:rsid w:val="00285821"/>
    <w:rsid w:val="00285885"/>
    <w:rsid w:val="00285A5F"/>
    <w:rsid w:val="00285AA2"/>
    <w:rsid w:val="00285FDD"/>
    <w:rsid w:val="0028605C"/>
    <w:rsid w:val="002862D6"/>
    <w:rsid w:val="00286383"/>
    <w:rsid w:val="0028644B"/>
    <w:rsid w:val="00286684"/>
    <w:rsid w:val="00286781"/>
    <w:rsid w:val="0028684D"/>
    <w:rsid w:val="00286D38"/>
    <w:rsid w:val="00286F6A"/>
    <w:rsid w:val="0028706F"/>
    <w:rsid w:val="00287089"/>
    <w:rsid w:val="00287195"/>
    <w:rsid w:val="002871CB"/>
    <w:rsid w:val="002872B1"/>
    <w:rsid w:val="002874EC"/>
    <w:rsid w:val="0028756E"/>
    <w:rsid w:val="002879D4"/>
    <w:rsid w:val="00287A9C"/>
    <w:rsid w:val="0029004B"/>
    <w:rsid w:val="002900C2"/>
    <w:rsid w:val="00290117"/>
    <w:rsid w:val="00290200"/>
    <w:rsid w:val="002903E8"/>
    <w:rsid w:val="00290475"/>
    <w:rsid w:val="00290491"/>
    <w:rsid w:val="00290B53"/>
    <w:rsid w:val="00290B69"/>
    <w:rsid w:val="00290DBC"/>
    <w:rsid w:val="00291119"/>
    <w:rsid w:val="00291211"/>
    <w:rsid w:val="002914CC"/>
    <w:rsid w:val="0029150C"/>
    <w:rsid w:val="002917B1"/>
    <w:rsid w:val="00291C08"/>
    <w:rsid w:val="00291CB4"/>
    <w:rsid w:val="00291ECD"/>
    <w:rsid w:val="00292026"/>
    <w:rsid w:val="002920BB"/>
    <w:rsid w:val="00292198"/>
    <w:rsid w:val="00292397"/>
    <w:rsid w:val="0029250C"/>
    <w:rsid w:val="0029273C"/>
    <w:rsid w:val="002929AA"/>
    <w:rsid w:val="00292D1D"/>
    <w:rsid w:val="00293651"/>
    <w:rsid w:val="0029373E"/>
    <w:rsid w:val="002938D2"/>
    <w:rsid w:val="00293971"/>
    <w:rsid w:val="00293EF8"/>
    <w:rsid w:val="00293FC5"/>
    <w:rsid w:val="00294122"/>
    <w:rsid w:val="00294326"/>
    <w:rsid w:val="00294348"/>
    <w:rsid w:val="002947BC"/>
    <w:rsid w:val="00294868"/>
    <w:rsid w:val="002949D0"/>
    <w:rsid w:val="00294AC7"/>
    <w:rsid w:val="00294ADD"/>
    <w:rsid w:val="00294ADE"/>
    <w:rsid w:val="00294B97"/>
    <w:rsid w:val="00294ECF"/>
    <w:rsid w:val="00294F6A"/>
    <w:rsid w:val="00295013"/>
    <w:rsid w:val="00295039"/>
    <w:rsid w:val="0029539F"/>
    <w:rsid w:val="00295475"/>
    <w:rsid w:val="0029553E"/>
    <w:rsid w:val="00295555"/>
    <w:rsid w:val="0029589D"/>
    <w:rsid w:val="002959B2"/>
    <w:rsid w:val="00295D68"/>
    <w:rsid w:val="00295F88"/>
    <w:rsid w:val="00296031"/>
    <w:rsid w:val="00296103"/>
    <w:rsid w:val="0029656F"/>
    <w:rsid w:val="002967E7"/>
    <w:rsid w:val="00296815"/>
    <w:rsid w:val="0029698C"/>
    <w:rsid w:val="00296A01"/>
    <w:rsid w:val="00296B27"/>
    <w:rsid w:val="00296B41"/>
    <w:rsid w:val="00296C0B"/>
    <w:rsid w:val="00296C2F"/>
    <w:rsid w:val="00296D15"/>
    <w:rsid w:val="00297266"/>
    <w:rsid w:val="00297488"/>
    <w:rsid w:val="00297AB6"/>
    <w:rsid w:val="00297BF6"/>
    <w:rsid w:val="00297D1B"/>
    <w:rsid w:val="00297D41"/>
    <w:rsid w:val="00297E19"/>
    <w:rsid w:val="00297E77"/>
    <w:rsid w:val="002A0130"/>
    <w:rsid w:val="002A0599"/>
    <w:rsid w:val="002A0656"/>
    <w:rsid w:val="002A06CE"/>
    <w:rsid w:val="002A0CC8"/>
    <w:rsid w:val="002A0E26"/>
    <w:rsid w:val="002A1054"/>
    <w:rsid w:val="002A1130"/>
    <w:rsid w:val="002A114F"/>
    <w:rsid w:val="002A12CE"/>
    <w:rsid w:val="002A1463"/>
    <w:rsid w:val="002A1491"/>
    <w:rsid w:val="002A169A"/>
    <w:rsid w:val="002A1721"/>
    <w:rsid w:val="002A1AE6"/>
    <w:rsid w:val="002A209A"/>
    <w:rsid w:val="002A252D"/>
    <w:rsid w:val="002A2666"/>
    <w:rsid w:val="002A26A6"/>
    <w:rsid w:val="002A26D2"/>
    <w:rsid w:val="002A2932"/>
    <w:rsid w:val="002A2B27"/>
    <w:rsid w:val="002A31F9"/>
    <w:rsid w:val="002A3302"/>
    <w:rsid w:val="002A340F"/>
    <w:rsid w:val="002A362B"/>
    <w:rsid w:val="002A3734"/>
    <w:rsid w:val="002A3735"/>
    <w:rsid w:val="002A37AD"/>
    <w:rsid w:val="002A38A6"/>
    <w:rsid w:val="002A3B5D"/>
    <w:rsid w:val="002A3C45"/>
    <w:rsid w:val="002A3C85"/>
    <w:rsid w:val="002A3EE4"/>
    <w:rsid w:val="002A3EE7"/>
    <w:rsid w:val="002A3F33"/>
    <w:rsid w:val="002A3FBD"/>
    <w:rsid w:val="002A4126"/>
    <w:rsid w:val="002A42B2"/>
    <w:rsid w:val="002A4347"/>
    <w:rsid w:val="002A44DD"/>
    <w:rsid w:val="002A44E8"/>
    <w:rsid w:val="002A4561"/>
    <w:rsid w:val="002A46AB"/>
    <w:rsid w:val="002A4771"/>
    <w:rsid w:val="002A48BF"/>
    <w:rsid w:val="002A49AA"/>
    <w:rsid w:val="002A49FD"/>
    <w:rsid w:val="002A4BB7"/>
    <w:rsid w:val="002A4C66"/>
    <w:rsid w:val="002A4C67"/>
    <w:rsid w:val="002A4E8D"/>
    <w:rsid w:val="002A4FDE"/>
    <w:rsid w:val="002A502D"/>
    <w:rsid w:val="002A514B"/>
    <w:rsid w:val="002A5448"/>
    <w:rsid w:val="002A55AD"/>
    <w:rsid w:val="002A55D0"/>
    <w:rsid w:val="002A55D8"/>
    <w:rsid w:val="002A561B"/>
    <w:rsid w:val="002A5670"/>
    <w:rsid w:val="002A5868"/>
    <w:rsid w:val="002A5D05"/>
    <w:rsid w:val="002A5D48"/>
    <w:rsid w:val="002A5FA9"/>
    <w:rsid w:val="002A5FDB"/>
    <w:rsid w:val="002A6049"/>
    <w:rsid w:val="002A6550"/>
    <w:rsid w:val="002A65EA"/>
    <w:rsid w:val="002A67AA"/>
    <w:rsid w:val="002A6E46"/>
    <w:rsid w:val="002A6F48"/>
    <w:rsid w:val="002A7514"/>
    <w:rsid w:val="002A7676"/>
    <w:rsid w:val="002A77C9"/>
    <w:rsid w:val="002A7C2D"/>
    <w:rsid w:val="002A7C8E"/>
    <w:rsid w:val="002B0113"/>
    <w:rsid w:val="002B01B1"/>
    <w:rsid w:val="002B0383"/>
    <w:rsid w:val="002B045D"/>
    <w:rsid w:val="002B06CF"/>
    <w:rsid w:val="002B08DC"/>
    <w:rsid w:val="002B0995"/>
    <w:rsid w:val="002B0A98"/>
    <w:rsid w:val="002B0B12"/>
    <w:rsid w:val="002B0BC4"/>
    <w:rsid w:val="002B0E35"/>
    <w:rsid w:val="002B0F69"/>
    <w:rsid w:val="002B132A"/>
    <w:rsid w:val="002B139E"/>
    <w:rsid w:val="002B178E"/>
    <w:rsid w:val="002B1979"/>
    <w:rsid w:val="002B1B54"/>
    <w:rsid w:val="002B1DA4"/>
    <w:rsid w:val="002B20BF"/>
    <w:rsid w:val="002B2137"/>
    <w:rsid w:val="002B2195"/>
    <w:rsid w:val="002B22A4"/>
    <w:rsid w:val="002B22EE"/>
    <w:rsid w:val="002B23DF"/>
    <w:rsid w:val="002B2742"/>
    <w:rsid w:val="002B2846"/>
    <w:rsid w:val="002B28D9"/>
    <w:rsid w:val="002B2A91"/>
    <w:rsid w:val="002B2B50"/>
    <w:rsid w:val="002B2CEE"/>
    <w:rsid w:val="002B2D31"/>
    <w:rsid w:val="002B2D43"/>
    <w:rsid w:val="002B306F"/>
    <w:rsid w:val="002B31AE"/>
    <w:rsid w:val="002B345A"/>
    <w:rsid w:val="002B3551"/>
    <w:rsid w:val="002B35D5"/>
    <w:rsid w:val="002B38D0"/>
    <w:rsid w:val="002B390B"/>
    <w:rsid w:val="002B3B5C"/>
    <w:rsid w:val="002B3D3F"/>
    <w:rsid w:val="002B3DAF"/>
    <w:rsid w:val="002B40D3"/>
    <w:rsid w:val="002B4278"/>
    <w:rsid w:val="002B45B4"/>
    <w:rsid w:val="002B4666"/>
    <w:rsid w:val="002B486F"/>
    <w:rsid w:val="002B4940"/>
    <w:rsid w:val="002B5020"/>
    <w:rsid w:val="002B5204"/>
    <w:rsid w:val="002B5682"/>
    <w:rsid w:val="002B56CF"/>
    <w:rsid w:val="002B5700"/>
    <w:rsid w:val="002B5739"/>
    <w:rsid w:val="002B5750"/>
    <w:rsid w:val="002B5B6F"/>
    <w:rsid w:val="002B5EFC"/>
    <w:rsid w:val="002B5FF6"/>
    <w:rsid w:val="002B6709"/>
    <w:rsid w:val="002B6757"/>
    <w:rsid w:val="002B6991"/>
    <w:rsid w:val="002B6A26"/>
    <w:rsid w:val="002B6C15"/>
    <w:rsid w:val="002B6D2D"/>
    <w:rsid w:val="002B6FA4"/>
    <w:rsid w:val="002B74C9"/>
    <w:rsid w:val="002B7C4F"/>
    <w:rsid w:val="002B7CAB"/>
    <w:rsid w:val="002B7CC0"/>
    <w:rsid w:val="002B7D22"/>
    <w:rsid w:val="002B7D5C"/>
    <w:rsid w:val="002B7DCE"/>
    <w:rsid w:val="002B7E8D"/>
    <w:rsid w:val="002B7EEA"/>
    <w:rsid w:val="002C00EC"/>
    <w:rsid w:val="002C02D4"/>
    <w:rsid w:val="002C080F"/>
    <w:rsid w:val="002C0B9E"/>
    <w:rsid w:val="002C1247"/>
    <w:rsid w:val="002C143E"/>
    <w:rsid w:val="002C1490"/>
    <w:rsid w:val="002C1555"/>
    <w:rsid w:val="002C1886"/>
    <w:rsid w:val="002C188E"/>
    <w:rsid w:val="002C1A00"/>
    <w:rsid w:val="002C1E5B"/>
    <w:rsid w:val="002C20A6"/>
    <w:rsid w:val="002C21E0"/>
    <w:rsid w:val="002C220E"/>
    <w:rsid w:val="002C2431"/>
    <w:rsid w:val="002C29C9"/>
    <w:rsid w:val="002C2A6F"/>
    <w:rsid w:val="002C2B50"/>
    <w:rsid w:val="002C2CF2"/>
    <w:rsid w:val="002C2E2E"/>
    <w:rsid w:val="002C331E"/>
    <w:rsid w:val="002C354F"/>
    <w:rsid w:val="002C3649"/>
    <w:rsid w:val="002C39C2"/>
    <w:rsid w:val="002C3C44"/>
    <w:rsid w:val="002C3CA2"/>
    <w:rsid w:val="002C403B"/>
    <w:rsid w:val="002C463F"/>
    <w:rsid w:val="002C47DE"/>
    <w:rsid w:val="002C4903"/>
    <w:rsid w:val="002C4A17"/>
    <w:rsid w:val="002C4BC0"/>
    <w:rsid w:val="002C4BDA"/>
    <w:rsid w:val="002C4E8A"/>
    <w:rsid w:val="002C4E96"/>
    <w:rsid w:val="002C563C"/>
    <w:rsid w:val="002C59B0"/>
    <w:rsid w:val="002C59E9"/>
    <w:rsid w:val="002C5ACA"/>
    <w:rsid w:val="002C5CFA"/>
    <w:rsid w:val="002C5D06"/>
    <w:rsid w:val="002C5F03"/>
    <w:rsid w:val="002C5F6D"/>
    <w:rsid w:val="002C63D6"/>
    <w:rsid w:val="002C6412"/>
    <w:rsid w:val="002C64A9"/>
    <w:rsid w:val="002C65A6"/>
    <w:rsid w:val="002C6785"/>
    <w:rsid w:val="002C7069"/>
    <w:rsid w:val="002C70CC"/>
    <w:rsid w:val="002C716D"/>
    <w:rsid w:val="002C72F0"/>
    <w:rsid w:val="002C7796"/>
    <w:rsid w:val="002C77B4"/>
    <w:rsid w:val="002C7833"/>
    <w:rsid w:val="002C792B"/>
    <w:rsid w:val="002C7937"/>
    <w:rsid w:val="002C7AD8"/>
    <w:rsid w:val="002C7AE9"/>
    <w:rsid w:val="002C7AEC"/>
    <w:rsid w:val="002C7B82"/>
    <w:rsid w:val="002C7F6C"/>
    <w:rsid w:val="002D023A"/>
    <w:rsid w:val="002D045F"/>
    <w:rsid w:val="002D047B"/>
    <w:rsid w:val="002D067C"/>
    <w:rsid w:val="002D074A"/>
    <w:rsid w:val="002D0760"/>
    <w:rsid w:val="002D08BB"/>
    <w:rsid w:val="002D0933"/>
    <w:rsid w:val="002D0D07"/>
    <w:rsid w:val="002D0D91"/>
    <w:rsid w:val="002D0DAC"/>
    <w:rsid w:val="002D0E42"/>
    <w:rsid w:val="002D0FD3"/>
    <w:rsid w:val="002D10C8"/>
    <w:rsid w:val="002D14AE"/>
    <w:rsid w:val="002D157A"/>
    <w:rsid w:val="002D187F"/>
    <w:rsid w:val="002D1B63"/>
    <w:rsid w:val="002D1C8E"/>
    <w:rsid w:val="002D2000"/>
    <w:rsid w:val="002D2315"/>
    <w:rsid w:val="002D2321"/>
    <w:rsid w:val="002D2751"/>
    <w:rsid w:val="002D278D"/>
    <w:rsid w:val="002D29E2"/>
    <w:rsid w:val="002D2A19"/>
    <w:rsid w:val="002D2B9D"/>
    <w:rsid w:val="002D2D54"/>
    <w:rsid w:val="002D2DF2"/>
    <w:rsid w:val="002D2E42"/>
    <w:rsid w:val="002D3363"/>
    <w:rsid w:val="002D342F"/>
    <w:rsid w:val="002D35D7"/>
    <w:rsid w:val="002D3690"/>
    <w:rsid w:val="002D37A7"/>
    <w:rsid w:val="002D3A50"/>
    <w:rsid w:val="002D3B7C"/>
    <w:rsid w:val="002D3C11"/>
    <w:rsid w:val="002D3D88"/>
    <w:rsid w:val="002D41BB"/>
    <w:rsid w:val="002D44E9"/>
    <w:rsid w:val="002D45FF"/>
    <w:rsid w:val="002D4655"/>
    <w:rsid w:val="002D47F5"/>
    <w:rsid w:val="002D4817"/>
    <w:rsid w:val="002D497E"/>
    <w:rsid w:val="002D4A99"/>
    <w:rsid w:val="002D4D0F"/>
    <w:rsid w:val="002D4D8C"/>
    <w:rsid w:val="002D4E5A"/>
    <w:rsid w:val="002D4FCA"/>
    <w:rsid w:val="002D5140"/>
    <w:rsid w:val="002D5383"/>
    <w:rsid w:val="002D570B"/>
    <w:rsid w:val="002D58B8"/>
    <w:rsid w:val="002D58EB"/>
    <w:rsid w:val="002D5A39"/>
    <w:rsid w:val="002D5D22"/>
    <w:rsid w:val="002D5F90"/>
    <w:rsid w:val="002D61B0"/>
    <w:rsid w:val="002D62A8"/>
    <w:rsid w:val="002D658D"/>
    <w:rsid w:val="002D6595"/>
    <w:rsid w:val="002D65B8"/>
    <w:rsid w:val="002D65BE"/>
    <w:rsid w:val="002D697B"/>
    <w:rsid w:val="002D6B04"/>
    <w:rsid w:val="002D6D85"/>
    <w:rsid w:val="002D6DBA"/>
    <w:rsid w:val="002D73FE"/>
    <w:rsid w:val="002D76BB"/>
    <w:rsid w:val="002D7782"/>
    <w:rsid w:val="002D779D"/>
    <w:rsid w:val="002D78B8"/>
    <w:rsid w:val="002D7B86"/>
    <w:rsid w:val="002D7FF8"/>
    <w:rsid w:val="002E00C2"/>
    <w:rsid w:val="002E0132"/>
    <w:rsid w:val="002E01A0"/>
    <w:rsid w:val="002E0271"/>
    <w:rsid w:val="002E040B"/>
    <w:rsid w:val="002E0496"/>
    <w:rsid w:val="002E07EE"/>
    <w:rsid w:val="002E08E4"/>
    <w:rsid w:val="002E09A2"/>
    <w:rsid w:val="002E0A48"/>
    <w:rsid w:val="002E0A82"/>
    <w:rsid w:val="002E0DA9"/>
    <w:rsid w:val="002E0E53"/>
    <w:rsid w:val="002E14C9"/>
    <w:rsid w:val="002E17AA"/>
    <w:rsid w:val="002E1A08"/>
    <w:rsid w:val="002E1C38"/>
    <w:rsid w:val="002E1CF2"/>
    <w:rsid w:val="002E1F8B"/>
    <w:rsid w:val="002E227E"/>
    <w:rsid w:val="002E22CD"/>
    <w:rsid w:val="002E264E"/>
    <w:rsid w:val="002E2812"/>
    <w:rsid w:val="002E28AF"/>
    <w:rsid w:val="002E2B56"/>
    <w:rsid w:val="002E2D71"/>
    <w:rsid w:val="002E2DB3"/>
    <w:rsid w:val="002E2EFB"/>
    <w:rsid w:val="002E2FF3"/>
    <w:rsid w:val="002E30D2"/>
    <w:rsid w:val="002E3821"/>
    <w:rsid w:val="002E382D"/>
    <w:rsid w:val="002E3857"/>
    <w:rsid w:val="002E385B"/>
    <w:rsid w:val="002E3B6E"/>
    <w:rsid w:val="002E3E6E"/>
    <w:rsid w:val="002E3E8F"/>
    <w:rsid w:val="002E4020"/>
    <w:rsid w:val="002E439F"/>
    <w:rsid w:val="002E4651"/>
    <w:rsid w:val="002E46CF"/>
    <w:rsid w:val="002E4A41"/>
    <w:rsid w:val="002E4BA9"/>
    <w:rsid w:val="002E4FC2"/>
    <w:rsid w:val="002E51F0"/>
    <w:rsid w:val="002E535A"/>
    <w:rsid w:val="002E53A4"/>
    <w:rsid w:val="002E54C8"/>
    <w:rsid w:val="002E54DE"/>
    <w:rsid w:val="002E557E"/>
    <w:rsid w:val="002E57CE"/>
    <w:rsid w:val="002E5815"/>
    <w:rsid w:val="002E584C"/>
    <w:rsid w:val="002E6018"/>
    <w:rsid w:val="002E6199"/>
    <w:rsid w:val="002E64FC"/>
    <w:rsid w:val="002E6606"/>
    <w:rsid w:val="002E6666"/>
    <w:rsid w:val="002E6838"/>
    <w:rsid w:val="002E6A9D"/>
    <w:rsid w:val="002E6AEC"/>
    <w:rsid w:val="002E6B04"/>
    <w:rsid w:val="002E6DA3"/>
    <w:rsid w:val="002E7259"/>
    <w:rsid w:val="002E72FC"/>
    <w:rsid w:val="002E7AAB"/>
    <w:rsid w:val="002E7AAF"/>
    <w:rsid w:val="002E7E40"/>
    <w:rsid w:val="002F038B"/>
    <w:rsid w:val="002F0391"/>
    <w:rsid w:val="002F03B8"/>
    <w:rsid w:val="002F0653"/>
    <w:rsid w:val="002F0887"/>
    <w:rsid w:val="002F0A62"/>
    <w:rsid w:val="002F0DEC"/>
    <w:rsid w:val="002F0E83"/>
    <w:rsid w:val="002F103E"/>
    <w:rsid w:val="002F10C0"/>
    <w:rsid w:val="002F12EB"/>
    <w:rsid w:val="002F13ED"/>
    <w:rsid w:val="002F1480"/>
    <w:rsid w:val="002F1663"/>
    <w:rsid w:val="002F17AF"/>
    <w:rsid w:val="002F1B70"/>
    <w:rsid w:val="002F1B94"/>
    <w:rsid w:val="002F1E89"/>
    <w:rsid w:val="002F1F51"/>
    <w:rsid w:val="002F1FB8"/>
    <w:rsid w:val="002F2340"/>
    <w:rsid w:val="002F2398"/>
    <w:rsid w:val="002F23C1"/>
    <w:rsid w:val="002F23C5"/>
    <w:rsid w:val="002F26D6"/>
    <w:rsid w:val="002F2873"/>
    <w:rsid w:val="002F29E7"/>
    <w:rsid w:val="002F2A73"/>
    <w:rsid w:val="002F2AC6"/>
    <w:rsid w:val="002F2B59"/>
    <w:rsid w:val="002F2EE0"/>
    <w:rsid w:val="002F3038"/>
    <w:rsid w:val="002F3136"/>
    <w:rsid w:val="002F3287"/>
    <w:rsid w:val="002F3483"/>
    <w:rsid w:val="002F3924"/>
    <w:rsid w:val="002F394B"/>
    <w:rsid w:val="002F39E7"/>
    <w:rsid w:val="002F3A6E"/>
    <w:rsid w:val="002F3E48"/>
    <w:rsid w:val="002F4497"/>
    <w:rsid w:val="002F4581"/>
    <w:rsid w:val="002F4693"/>
    <w:rsid w:val="002F4732"/>
    <w:rsid w:val="002F48A8"/>
    <w:rsid w:val="002F49DA"/>
    <w:rsid w:val="002F49EA"/>
    <w:rsid w:val="002F503C"/>
    <w:rsid w:val="002F53D5"/>
    <w:rsid w:val="002F540F"/>
    <w:rsid w:val="002F5607"/>
    <w:rsid w:val="002F5814"/>
    <w:rsid w:val="002F5A21"/>
    <w:rsid w:val="002F5CA6"/>
    <w:rsid w:val="002F5D9A"/>
    <w:rsid w:val="002F5E9B"/>
    <w:rsid w:val="002F5FFF"/>
    <w:rsid w:val="002F6324"/>
    <w:rsid w:val="002F661F"/>
    <w:rsid w:val="002F666E"/>
    <w:rsid w:val="002F6684"/>
    <w:rsid w:val="002F668E"/>
    <w:rsid w:val="002F66E3"/>
    <w:rsid w:val="002F6726"/>
    <w:rsid w:val="002F6822"/>
    <w:rsid w:val="002F6904"/>
    <w:rsid w:val="002F6965"/>
    <w:rsid w:val="002F6DA1"/>
    <w:rsid w:val="002F6E72"/>
    <w:rsid w:val="002F70CF"/>
    <w:rsid w:val="002F7130"/>
    <w:rsid w:val="002F7155"/>
    <w:rsid w:val="002F79A9"/>
    <w:rsid w:val="002F79F0"/>
    <w:rsid w:val="002F7BFF"/>
    <w:rsid w:val="002F7EEE"/>
    <w:rsid w:val="00300108"/>
    <w:rsid w:val="00300186"/>
    <w:rsid w:val="003001CC"/>
    <w:rsid w:val="0030044B"/>
    <w:rsid w:val="003004EF"/>
    <w:rsid w:val="0030061B"/>
    <w:rsid w:val="003006A7"/>
    <w:rsid w:val="00300931"/>
    <w:rsid w:val="00300B38"/>
    <w:rsid w:val="00301542"/>
    <w:rsid w:val="003015A6"/>
    <w:rsid w:val="003016A5"/>
    <w:rsid w:val="00301853"/>
    <w:rsid w:val="003019AD"/>
    <w:rsid w:val="0030216B"/>
    <w:rsid w:val="0030216D"/>
    <w:rsid w:val="00302262"/>
    <w:rsid w:val="00302355"/>
    <w:rsid w:val="003023E2"/>
    <w:rsid w:val="00302850"/>
    <w:rsid w:val="0030287B"/>
    <w:rsid w:val="0030291C"/>
    <w:rsid w:val="00302CF6"/>
    <w:rsid w:val="00302E0B"/>
    <w:rsid w:val="00302EBC"/>
    <w:rsid w:val="00302FE3"/>
    <w:rsid w:val="0030305D"/>
    <w:rsid w:val="00303080"/>
    <w:rsid w:val="003031A9"/>
    <w:rsid w:val="00303884"/>
    <w:rsid w:val="00303A5A"/>
    <w:rsid w:val="00303F0E"/>
    <w:rsid w:val="00303F97"/>
    <w:rsid w:val="00304583"/>
    <w:rsid w:val="003045E1"/>
    <w:rsid w:val="003045FA"/>
    <w:rsid w:val="003049B2"/>
    <w:rsid w:val="0030508C"/>
    <w:rsid w:val="00305134"/>
    <w:rsid w:val="00305291"/>
    <w:rsid w:val="00305362"/>
    <w:rsid w:val="003054B4"/>
    <w:rsid w:val="00305734"/>
    <w:rsid w:val="00305881"/>
    <w:rsid w:val="00305CAA"/>
    <w:rsid w:val="00305CF0"/>
    <w:rsid w:val="00305E94"/>
    <w:rsid w:val="00305F96"/>
    <w:rsid w:val="0030622D"/>
    <w:rsid w:val="0030626E"/>
    <w:rsid w:val="0030629C"/>
    <w:rsid w:val="003062B6"/>
    <w:rsid w:val="00306340"/>
    <w:rsid w:val="00306381"/>
    <w:rsid w:val="00306384"/>
    <w:rsid w:val="00306529"/>
    <w:rsid w:val="00306540"/>
    <w:rsid w:val="00306814"/>
    <w:rsid w:val="00306934"/>
    <w:rsid w:val="00306ECE"/>
    <w:rsid w:val="0030701B"/>
    <w:rsid w:val="0030709C"/>
    <w:rsid w:val="003071DF"/>
    <w:rsid w:val="00307595"/>
    <w:rsid w:val="003076B9"/>
    <w:rsid w:val="00307852"/>
    <w:rsid w:val="00307A31"/>
    <w:rsid w:val="00307AE9"/>
    <w:rsid w:val="00307E00"/>
    <w:rsid w:val="00307F1E"/>
    <w:rsid w:val="003102F7"/>
    <w:rsid w:val="00310701"/>
    <w:rsid w:val="00310808"/>
    <w:rsid w:val="00310C50"/>
    <w:rsid w:val="00310E1C"/>
    <w:rsid w:val="0031107D"/>
    <w:rsid w:val="003112CF"/>
    <w:rsid w:val="003115B2"/>
    <w:rsid w:val="003116E3"/>
    <w:rsid w:val="003119AA"/>
    <w:rsid w:val="00311B02"/>
    <w:rsid w:val="00311D97"/>
    <w:rsid w:val="00311DC7"/>
    <w:rsid w:val="00311DD0"/>
    <w:rsid w:val="003120A1"/>
    <w:rsid w:val="00312718"/>
    <w:rsid w:val="0031283A"/>
    <w:rsid w:val="00312A0E"/>
    <w:rsid w:val="00312D76"/>
    <w:rsid w:val="00313115"/>
    <w:rsid w:val="003132BA"/>
    <w:rsid w:val="00313560"/>
    <w:rsid w:val="0031363B"/>
    <w:rsid w:val="0031367F"/>
    <w:rsid w:val="003137EA"/>
    <w:rsid w:val="00313970"/>
    <w:rsid w:val="00313E39"/>
    <w:rsid w:val="00313F14"/>
    <w:rsid w:val="00313F35"/>
    <w:rsid w:val="00314006"/>
    <w:rsid w:val="00314066"/>
    <w:rsid w:val="00314339"/>
    <w:rsid w:val="003143E5"/>
    <w:rsid w:val="00314485"/>
    <w:rsid w:val="003148A5"/>
    <w:rsid w:val="003149AD"/>
    <w:rsid w:val="00314C30"/>
    <w:rsid w:val="00314CA7"/>
    <w:rsid w:val="00314DF9"/>
    <w:rsid w:val="00314F40"/>
    <w:rsid w:val="00315054"/>
    <w:rsid w:val="00315099"/>
    <w:rsid w:val="00315295"/>
    <w:rsid w:val="003153AB"/>
    <w:rsid w:val="003154B2"/>
    <w:rsid w:val="0031559D"/>
    <w:rsid w:val="003159EF"/>
    <w:rsid w:val="00315C17"/>
    <w:rsid w:val="00315D3B"/>
    <w:rsid w:val="00316454"/>
    <w:rsid w:val="00316511"/>
    <w:rsid w:val="0031681E"/>
    <w:rsid w:val="003169E9"/>
    <w:rsid w:val="00316A5F"/>
    <w:rsid w:val="00316BFB"/>
    <w:rsid w:val="00316CEE"/>
    <w:rsid w:val="00317001"/>
    <w:rsid w:val="003174B6"/>
    <w:rsid w:val="00317A64"/>
    <w:rsid w:val="00317C0D"/>
    <w:rsid w:val="00317C5B"/>
    <w:rsid w:val="00317E8C"/>
    <w:rsid w:val="00320091"/>
    <w:rsid w:val="0032014C"/>
    <w:rsid w:val="0032018D"/>
    <w:rsid w:val="0032028B"/>
    <w:rsid w:val="00320453"/>
    <w:rsid w:val="00320562"/>
    <w:rsid w:val="003207D4"/>
    <w:rsid w:val="00320855"/>
    <w:rsid w:val="003209AF"/>
    <w:rsid w:val="00320CD0"/>
    <w:rsid w:val="00320E55"/>
    <w:rsid w:val="0032102E"/>
    <w:rsid w:val="00321213"/>
    <w:rsid w:val="00321532"/>
    <w:rsid w:val="00321902"/>
    <w:rsid w:val="00321B54"/>
    <w:rsid w:val="00321EEC"/>
    <w:rsid w:val="00321EF4"/>
    <w:rsid w:val="00322038"/>
    <w:rsid w:val="003220BB"/>
    <w:rsid w:val="00322207"/>
    <w:rsid w:val="00322223"/>
    <w:rsid w:val="0032298D"/>
    <w:rsid w:val="003229FE"/>
    <w:rsid w:val="00322A1B"/>
    <w:rsid w:val="00322B53"/>
    <w:rsid w:val="00322C46"/>
    <w:rsid w:val="00322FCC"/>
    <w:rsid w:val="003230D2"/>
    <w:rsid w:val="003231B0"/>
    <w:rsid w:val="00323226"/>
    <w:rsid w:val="003234F9"/>
    <w:rsid w:val="00323535"/>
    <w:rsid w:val="00323589"/>
    <w:rsid w:val="0032377F"/>
    <w:rsid w:val="00323A35"/>
    <w:rsid w:val="00323BFF"/>
    <w:rsid w:val="00323D3E"/>
    <w:rsid w:val="00323F5E"/>
    <w:rsid w:val="00323FD2"/>
    <w:rsid w:val="0032402A"/>
    <w:rsid w:val="00324148"/>
    <w:rsid w:val="003242F6"/>
    <w:rsid w:val="0032433A"/>
    <w:rsid w:val="00324553"/>
    <w:rsid w:val="00324684"/>
    <w:rsid w:val="003247C0"/>
    <w:rsid w:val="003247C2"/>
    <w:rsid w:val="00324A2C"/>
    <w:rsid w:val="00324A9A"/>
    <w:rsid w:val="00324D8A"/>
    <w:rsid w:val="00324FAD"/>
    <w:rsid w:val="0032530E"/>
    <w:rsid w:val="003253B4"/>
    <w:rsid w:val="003254C6"/>
    <w:rsid w:val="0032553A"/>
    <w:rsid w:val="003256F0"/>
    <w:rsid w:val="003258C5"/>
    <w:rsid w:val="003259C6"/>
    <w:rsid w:val="00325D00"/>
    <w:rsid w:val="00326046"/>
    <w:rsid w:val="00326621"/>
    <w:rsid w:val="00326A45"/>
    <w:rsid w:val="00326B98"/>
    <w:rsid w:val="003270B5"/>
    <w:rsid w:val="003271F5"/>
    <w:rsid w:val="00327310"/>
    <w:rsid w:val="00327902"/>
    <w:rsid w:val="003279D7"/>
    <w:rsid w:val="00327BEB"/>
    <w:rsid w:val="00327F88"/>
    <w:rsid w:val="003303BE"/>
    <w:rsid w:val="00330426"/>
    <w:rsid w:val="003307FE"/>
    <w:rsid w:val="00330878"/>
    <w:rsid w:val="00330C9C"/>
    <w:rsid w:val="00330CF9"/>
    <w:rsid w:val="00330E43"/>
    <w:rsid w:val="00330FEF"/>
    <w:rsid w:val="0033117F"/>
    <w:rsid w:val="003312C9"/>
    <w:rsid w:val="00331484"/>
    <w:rsid w:val="00331508"/>
    <w:rsid w:val="00331523"/>
    <w:rsid w:val="0033159D"/>
    <w:rsid w:val="00331636"/>
    <w:rsid w:val="0033163C"/>
    <w:rsid w:val="0033171C"/>
    <w:rsid w:val="003317CC"/>
    <w:rsid w:val="00331B03"/>
    <w:rsid w:val="00331C2B"/>
    <w:rsid w:val="00331D68"/>
    <w:rsid w:val="003321DF"/>
    <w:rsid w:val="003324AB"/>
    <w:rsid w:val="0033253D"/>
    <w:rsid w:val="00332545"/>
    <w:rsid w:val="00332558"/>
    <w:rsid w:val="0033269D"/>
    <w:rsid w:val="0033279F"/>
    <w:rsid w:val="0033281F"/>
    <w:rsid w:val="00332950"/>
    <w:rsid w:val="003329C3"/>
    <w:rsid w:val="00332EC8"/>
    <w:rsid w:val="00333040"/>
    <w:rsid w:val="003335A1"/>
    <w:rsid w:val="003336A6"/>
    <w:rsid w:val="00333721"/>
    <w:rsid w:val="0033389D"/>
    <w:rsid w:val="0033394D"/>
    <w:rsid w:val="00333C10"/>
    <w:rsid w:val="00333E10"/>
    <w:rsid w:val="00333F37"/>
    <w:rsid w:val="0033426F"/>
    <w:rsid w:val="0033436B"/>
    <w:rsid w:val="00334501"/>
    <w:rsid w:val="00334593"/>
    <w:rsid w:val="0033483D"/>
    <w:rsid w:val="0033493C"/>
    <w:rsid w:val="003349AE"/>
    <w:rsid w:val="00334AC3"/>
    <w:rsid w:val="00334BFE"/>
    <w:rsid w:val="00334CDA"/>
    <w:rsid w:val="00334DB6"/>
    <w:rsid w:val="00334F3B"/>
    <w:rsid w:val="0033540D"/>
    <w:rsid w:val="0033540F"/>
    <w:rsid w:val="003355ED"/>
    <w:rsid w:val="003356DF"/>
    <w:rsid w:val="00335789"/>
    <w:rsid w:val="00335A0F"/>
    <w:rsid w:val="00335AB4"/>
    <w:rsid w:val="00335BA9"/>
    <w:rsid w:val="00335D57"/>
    <w:rsid w:val="003363EB"/>
    <w:rsid w:val="003367F5"/>
    <w:rsid w:val="0033685E"/>
    <w:rsid w:val="003368AE"/>
    <w:rsid w:val="00336DE8"/>
    <w:rsid w:val="003374B9"/>
    <w:rsid w:val="00337577"/>
    <w:rsid w:val="0033777B"/>
    <w:rsid w:val="0033779D"/>
    <w:rsid w:val="00337D1F"/>
    <w:rsid w:val="00337E5D"/>
    <w:rsid w:val="00340126"/>
    <w:rsid w:val="00340301"/>
    <w:rsid w:val="00340585"/>
    <w:rsid w:val="00340628"/>
    <w:rsid w:val="00340860"/>
    <w:rsid w:val="00340A5F"/>
    <w:rsid w:val="00340BD9"/>
    <w:rsid w:val="00340D09"/>
    <w:rsid w:val="00340F83"/>
    <w:rsid w:val="00341004"/>
    <w:rsid w:val="003413D0"/>
    <w:rsid w:val="00341908"/>
    <w:rsid w:val="00341A92"/>
    <w:rsid w:val="00341BC6"/>
    <w:rsid w:val="00341C92"/>
    <w:rsid w:val="00341DD3"/>
    <w:rsid w:val="00342105"/>
    <w:rsid w:val="00342153"/>
    <w:rsid w:val="00342190"/>
    <w:rsid w:val="003422B8"/>
    <w:rsid w:val="003423E3"/>
    <w:rsid w:val="0034244C"/>
    <w:rsid w:val="003427D8"/>
    <w:rsid w:val="0034290B"/>
    <w:rsid w:val="003429B0"/>
    <w:rsid w:val="00342AEB"/>
    <w:rsid w:val="00342BA8"/>
    <w:rsid w:val="00342FB3"/>
    <w:rsid w:val="003430A1"/>
    <w:rsid w:val="00343143"/>
    <w:rsid w:val="003431E5"/>
    <w:rsid w:val="003434CF"/>
    <w:rsid w:val="0034381E"/>
    <w:rsid w:val="0034394C"/>
    <w:rsid w:val="00343B7D"/>
    <w:rsid w:val="00343D25"/>
    <w:rsid w:val="00344316"/>
    <w:rsid w:val="00344375"/>
    <w:rsid w:val="00344580"/>
    <w:rsid w:val="00344BB7"/>
    <w:rsid w:val="00344D0A"/>
    <w:rsid w:val="00344DEA"/>
    <w:rsid w:val="00344E5A"/>
    <w:rsid w:val="00344F5F"/>
    <w:rsid w:val="00345309"/>
    <w:rsid w:val="00345421"/>
    <w:rsid w:val="00345991"/>
    <w:rsid w:val="00345D3D"/>
    <w:rsid w:val="00345F6C"/>
    <w:rsid w:val="0034610B"/>
    <w:rsid w:val="0034638E"/>
    <w:rsid w:val="00346491"/>
    <w:rsid w:val="00346622"/>
    <w:rsid w:val="00346AD2"/>
    <w:rsid w:val="00346CA0"/>
    <w:rsid w:val="00346E30"/>
    <w:rsid w:val="00346EFD"/>
    <w:rsid w:val="00346F7D"/>
    <w:rsid w:val="00347000"/>
    <w:rsid w:val="0034736D"/>
    <w:rsid w:val="003473FC"/>
    <w:rsid w:val="003477C7"/>
    <w:rsid w:val="00347A6F"/>
    <w:rsid w:val="00347C48"/>
    <w:rsid w:val="00347C52"/>
    <w:rsid w:val="00350050"/>
    <w:rsid w:val="00350069"/>
    <w:rsid w:val="00350482"/>
    <w:rsid w:val="003507A7"/>
    <w:rsid w:val="00350844"/>
    <w:rsid w:val="00350A46"/>
    <w:rsid w:val="00350E8D"/>
    <w:rsid w:val="00350F2E"/>
    <w:rsid w:val="00350F96"/>
    <w:rsid w:val="00350FFC"/>
    <w:rsid w:val="003510C0"/>
    <w:rsid w:val="00351188"/>
    <w:rsid w:val="00351252"/>
    <w:rsid w:val="003512BA"/>
    <w:rsid w:val="00351A49"/>
    <w:rsid w:val="00351A88"/>
    <w:rsid w:val="00351BF9"/>
    <w:rsid w:val="00351DEA"/>
    <w:rsid w:val="003520AD"/>
    <w:rsid w:val="00352355"/>
    <w:rsid w:val="00352693"/>
    <w:rsid w:val="00352835"/>
    <w:rsid w:val="00352894"/>
    <w:rsid w:val="003529C4"/>
    <w:rsid w:val="003529E7"/>
    <w:rsid w:val="00352A31"/>
    <w:rsid w:val="00352AC8"/>
    <w:rsid w:val="00352B40"/>
    <w:rsid w:val="00352B58"/>
    <w:rsid w:val="00352BB3"/>
    <w:rsid w:val="00352BBC"/>
    <w:rsid w:val="00352E82"/>
    <w:rsid w:val="00352F5C"/>
    <w:rsid w:val="00353077"/>
    <w:rsid w:val="003532C1"/>
    <w:rsid w:val="0035335C"/>
    <w:rsid w:val="0035361C"/>
    <w:rsid w:val="0035388A"/>
    <w:rsid w:val="00353A2A"/>
    <w:rsid w:val="00353C0C"/>
    <w:rsid w:val="00353D59"/>
    <w:rsid w:val="00353F2F"/>
    <w:rsid w:val="00354088"/>
    <w:rsid w:val="003540BA"/>
    <w:rsid w:val="003542E3"/>
    <w:rsid w:val="003545AA"/>
    <w:rsid w:val="0035462B"/>
    <w:rsid w:val="003547C3"/>
    <w:rsid w:val="0035482E"/>
    <w:rsid w:val="00354D5A"/>
    <w:rsid w:val="00354DB5"/>
    <w:rsid w:val="00354DCA"/>
    <w:rsid w:val="003550B8"/>
    <w:rsid w:val="003553CD"/>
    <w:rsid w:val="00355511"/>
    <w:rsid w:val="0035553A"/>
    <w:rsid w:val="00355584"/>
    <w:rsid w:val="00355588"/>
    <w:rsid w:val="00355637"/>
    <w:rsid w:val="003556CB"/>
    <w:rsid w:val="00355AC6"/>
    <w:rsid w:val="0035611E"/>
    <w:rsid w:val="0035628A"/>
    <w:rsid w:val="0035634D"/>
    <w:rsid w:val="003563D0"/>
    <w:rsid w:val="003566A1"/>
    <w:rsid w:val="00356D47"/>
    <w:rsid w:val="00356E94"/>
    <w:rsid w:val="0035723A"/>
    <w:rsid w:val="003573ED"/>
    <w:rsid w:val="00357646"/>
    <w:rsid w:val="003577A7"/>
    <w:rsid w:val="00357967"/>
    <w:rsid w:val="00357987"/>
    <w:rsid w:val="00357C38"/>
    <w:rsid w:val="00357F8C"/>
    <w:rsid w:val="003600DA"/>
    <w:rsid w:val="0036012B"/>
    <w:rsid w:val="003604AB"/>
    <w:rsid w:val="00360559"/>
    <w:rsid w:val="0036096A"/>
    <w:rsid w:val="003616C9"/>
    <w:rsid w:val="003616E5"/>
    <w:rsid w:val="003617AE"/>
    <w:rsid w:val="00361990"/>
    <w:rsid w:val="003619CB"/>
    <w:rsid w:val="003619F5"/>
    <w:rsid w:val="00361A6A"/>
    <w:rsid w:val="00362304"/>
    <w:rsid w:val="003624FE"/>
    <w:rsid w:val="00362802"/>
    <w:rsid w:val="00362A09"/>
    <w:rsid w:val="00362A9A"/>
    <w:rsid w:val="00362C6D"/>
    <w:rsid w:val="00362C91"/>
    <w:rsid w:val="00362D2A"/>
    <w:rsid w:val="00363520"/>
    <w:rsid w:val="0036384F"/>
    <w:rsid w:val="0036397F"/>
    <w:rsid w:val="00363BC2"/>
    <w:rsid w:val="00363F1B"/>
    <w:rsid w:val="00363F5E"/>
    <w:rsid w:val="00364514"/>
    <w:rsid w:val="00364518"/>
    <w:rsid w:val="00364A42"/>
    <w:rsid w:val="00364A6D"/>
    <w:rsid w:val="00364B37"/>
    <w:rsid w:val="00364CD0"/>
    <w:rsid w:val="00364DB1"/>
    <w:rsid w:val="00364DBF"/>
    <w:rsid w:val="00364F3E"/>
    <w:rsid w:val="003650BA"/>
    <w:rsid w:val="00365102"/>
    <w:rsid w:val="003656F0"/>
    <w:rsid w:val="0036571B"/>
    <w:rsid w:val="00365847"/>
    <w:rsid w:val="003659F7"/>
    <w:rsid w:val="00365F4D"/>
    <w:rsid w:val="00366170"/>
    <w:rsid w:val="0036617B"/>
    <w:rsid w:val="00366460"/>
    <w:rsid w:val="003664AB"/>
    <w:rsid w:val="0036651A"/>
    <w:rsid w:val="003665ED"/>
    <w:rsid w:val="003667E7"/>
    <w:rsid w:val="0036690B"/>
    <w:rsid w:val="00366A2A"/>
    <w:rsid w:val="00366B4F"/>
    <w:rsid w:val="00366B5A"/>
    <w:rsid w:val="00366D20"/>
    <w:rsid w:val="00366DCE"/>
    <w:rsid w:val="00366F8F"/>
    <w:rsid w:val="0036701D"/>
    <w:rsid w:val="003670A4"/>
    <w:rsid w:val="003670F9"/>
    <w:rsid w:val="00367168"/>
    <w:rsid w:val="0036729C"/>
    <w:rsid w:val="003675A2"/>
    <w:rsid w:val="003675D8"/>
    <w:rsid w:val="00367746"/>
    <w:rsid w:val="003677AA"/>
    <w:rsid w:val="003679B5"/>
    <w:rsid w:val="00367F5C"/>
    <w:rsid w:val="00367F6D"/>
    <w:rsid w:val="0037028C"/>
    <w:rsid w:val="0037062E"/>
    <w:rsid w:val="00370A4E"/>
    <w:rsid w:val="00370C77"/>
    <w:rsid w:val="00370CC1"/>
    <w:rsid w:val="00370F19"/>
    <w:rsid w:val="00371028"/>
    <w:rsid w:val="003712B0"/>
    <w:rsid w:val="00371501"/>
    <w:rsid w:val="00371734"/>
    <w:rsid w:val="003717B4"/>
    <w:rsid w:val="0037188A"/>
    <w:rsid w:val="00371E22"/>
    <w:rsid w:val="003722D9"/>
    <w:rsid w:val="00372358"/>
    <w:rsid w:val="0037250C"/>
    <w:rsid w:val="003726D7"/>
    <w:rsid w:val="00372704"/>
    <w:rsid w:val="00372837"/>
    <w:rsid w:val="00372873"/>
    <w:rsid w:val="00372CC4"/>
    <w:rsid w:val="00372D18"/>
    <w:rsid w:val="00372D90"/>
    <w:rsid w:val="00372F73"/>
    <w:rsid w:val="00372FBD"/>
    <w:rsid w:val="00373008"/>
    <w:rsid w:val="003733CB"/>
    <w:rsid w:val="0037345C"/>
    <w:rsid w:val="003735F7"/>
    <w:rsid w:val="00373615"/>
    <w:rsid w:val="00373677"/>
    <w:rsid w:val="00373780"/>
    <w:rsid w:val="0037388C"/>
    <w:rsid w:val="003739C8"/>
    <w:rsid w:val="00373AF9"/>
    <w:rsid w:val="00373E80"/>
    <w:rsid w:val="00373F2A"/>
    <w:rsid w:val="00374062"/>
    <w:rsid w:val="00374166"/>
    <w:rsid w:val="0037417E"/>
    <w:rsid w:val="0037418C"/>
    <w:rsid w:val="00374347"/>
    <w:rsid w:val="0037454A"/>
    <w:rsid w:val="00374559"/>
    <w:rsid w:val="003745A6"/>
    <w:rsid w:val="0037463F"/>
    <w:rsid w:val="003746DD"/>
    <w:rsid w:val="00374D7D"/>
    <w:rsid w:val="0037520A"/>
    <w:rsid w:val="00375415"/>
    <w:rsid w:val="003755B1"/>
    <w:rsid w:val="003756FF"/>
    <w:rsid w:val="00375793"/>
    <w:rsid w:val="0037593C"/>
    <w:rsid w:val="00375C08"/>
    <w:rsid w:val="00375CC5"/>
    <w:rsid w:val="00375D53"/>
    <w:rsid w:val="00375DED"/>
    <w:rsid w:val="00375DF9"/>
    <w:rsid w:val="00375E62"/>
    <w:rsid w:val="00375F41"/>
    <w:rsid w:val="00375F94"/>
    <w:rsid w:val="00375FBD"/>
    <w:rsid w:val="003760EF"/>
    <w:rsid w:val="003764EB"/>
    <w:rsid w:val="0037650A"/>
    <w:rsid w:val="00376548"/>
    <w:rsid w:val="0037657A"/>
    <w:rsid w:val="0037693C"/>
    <w:rsid w:val="00376B6F"/>
    <w:rsid w:val="00376DF8"/>
    <w:rsid w:val="00376EF3"/>
    <w:rsid w:val="0037708B"/>
    <w:rsid w:val="00377249"/>
    <w:rsid w:val="003774BC"/>
    <w:rsid w:val="003776F3"/>
    <w:rsid w:val="003778D9"/>
    <w:rsid w:val="00377913"/>
    <w:rsid w:val="00377E17"/>
    <w:rsid w:val="00377E75"/>
    <w:rsid w:val="00377F69"/>
    <w:rsid w:val="003803DE"/>
    <w:rsid w:val="00380470"/>
    <w:rsid w:val="003804CE"/>
    <w:rsid w:val="003805B9"/>
    <w:rsid w:val="003805F7"/>
    <w:rsid w:val="003806A3"/>
    <w:rsid w:val="00380871"/>
    <w:rsid w:val="003808F6"/>
    <w:rsid w:val="0038098B"/>
    <w:rsid w:val="00380AAA"/>
    <w:rsid w:val="00380DE1"/>
    <w:rsid w:val="00380E66"/>
    <w:rsid w:val="00380E90"/>
    <w:rsid w:val="00380EA3"/>
    <w:rsid w:val="00380EE8"/>
    <w:rsid w:val="003811AE"/>
    <w:rsid w:val="00381222"/>
    <w:rsid w:val="0038128C"/>
    <w:rsid w:val="00381331"/>
    <w:rsid w:val="003816CC"/>
    <w:rsid w:val="003816FA"/>
    <w:rsid w:val="00381F91"/>
    <w:rsid w:val="0038207C"/>
    <w:rsid w:val="0038216F"/>
    <w:rsid w:val="0038239B"/>
    <w:rsid w:val="003824D8"/>
    <w:rsid w:val="003826C3"/>
    <w:rsid w:val="003826C8"/>
    <w:rsid w:val="00382B22"/>
    <w:rsid w:val="00382D48"/>
    <w:rsid w:val="00382F79"/>
    <w:rsid w:val="00382FCA"/>
    <w:rsid w:val="00382FED"/>
    <w:rsid w:val="0038336B"/>
    <w:rsid w:val="0038346E"/>
    <w:rsid w:val="0038357F"/>
    <w:rsid w:val="00383637"/>
    <w:rsid w:val="00383641"/>
    <w:rsid w:val="003839E4"/>
    <w:rsid w:val="00383CB2"/>
    <w:rsid w:val="0038446E"/>
    <w:rsid w:val="003847A6"/>
    <w:rsid w:val="0038491B"/>
    <w:rsid w:val="003849C0"/>
    <w:rsid w:val="00384DCC"/>
    <w:rsid w:val="00384EF1"/>
    <w:rsid w:val="0038508D"/>
    <w:rsid w:val="00385329"/>
    <w:rsid w:val="0038546C"/>
    <w:rsid w:val="003857F7"/>
    <w:rsid w:val="00385946"/>
    <w:rsid w:val="00385D57"/>
    <w:rsid w:val="00385D77"/>
    <w:rsid w:val="00385F06"/>
    <w:rsid w:val="00385F33"/>
    <w:rsid w:val="003861B3"/>
    <w:rsid w:val="003862E4"/>
    <w:rsid w:val="00386450"/>
    <w:rsid w:val="00386677"/>
    <w:rsid w:val="00386750"/>
    <w:rsid w:val="0038691E"/>
    <w:rsid w:val="00386C07"/>
    <w:rsid w:val="00386DAD"/>
    <w:rsid w:val="00386DE0"/>
    <w:rsid w:val="00386E46"/>
    <w:rsid w:val="003871FF"/>
    <w:rsid w:val="00387532"/>
    <w:rsid w:val="00387623"/>
    <w:rsid w:val="00387A93"/>
    <w:rsid w:val="00387CAF"/>
    <w:rsid w:val="003900F0"/>
    <w:rsid w:val="003901D5"/>
    <w:rsid w:val="003901F4"/>
    <w:rsid w:val="003905B3"/>
    <w:rsid w:val="003907C5"/>
    <w:rsid w:val="00390911"/>
    <w:rsid w:val="00390A04"/>
    <w:rsid w:val="00390B7A"/>
    <w:rsid w:val="00390E0C"/>
    <w:rsid w:val="00390ED8"/>
    <w:rsid w:val="003910D1"/>
    <w:rsid w:val="003910EB"/>
    <w:rsid w:val="0039145B"/>
    <w:rsid w:val="00391538"/>
    <w:rsid w:val="00391565"/>
    <w:rsid w:val="00391589"/>
    <w:rsid w:val="00391634"/>
    <w:rsid w:val="0039186F"/>
    <w:rsid w:val="003919C6"/>
    <w:rsid w:val="00391B11"/>
    <w:rsid w:val="00392174"/>
    <w:rsid w:val="00392198"/>
    <w:rsid w:val="003924F0"/>
    <w:rsid w:val="0039266F"/>
    <w:rsid w:val="003928B0"/>
    <w:rsid w:val="00392926"/>
    <w:rsid w:val="00392A18"/>
    <w:rsid w:val="00392CC7"/>
    <w:rsid w:val="00392CF4"/>
    <w:rsid w:val="00392D98"/>
    <w:rsid w:val="003931D0"/>
    <w:rsid w:val="003931D1"/>
    <w:rsid w:val="00393274"/>
    <w:rsid w:val="003932F0"/>
    <w:rsid w:val="0039339E"/>
    <w:rsid w:val="00393657"/>
    <w:rsid w:val="003936E8"/>
    <w:rsid w:val="003938E3"/>
    <w:rsid w:val="00393915"/>
    <w:rsid w:val="0039394C"/>
    <w:rsid w:val="00393B44"/>
    <w:rsid w:val="00393B5E"/>
    <w:rsid w:val="00393D38"/>
    <w:rsid w:val="00394016"/>
    <w:rsid w:val="00394053"/>
    <w:rsid w:val="0039419C"/>
    <w:rsid w:val="0039427F"/>
    <w:rsid w:val="003943DD"/>
    <w:rsid w:val="0039448B"/>
    <w:rsid w:val="0039493D"/>
    <w:rsid w:val="00394C1C"/>
    <w:rsid w:val="00394FAC"/>
    <w:rsid w:val="0039504F"/>
    <w:rsid w:val="00395075"/>
    <w:rsid w:val="00395339"/>
    <w:rsid w:val="003953A5"/>
    <w:rsid w:val="00395588"/>
    <w:rsid w:val="00395A75"/>
    <w:rsid w:val="00395B71"/>
    <w:rsid w:val="00395C3C"/>
    <w:rsid w:val="00395D7F"/>
    <w:rsid w:val="0039641A"/>
    <w:rsid w:val="0039664E"/>
    <w:rsid w:val="00396725"/>
    <w:rsid w:val="003968D3"/>
    <w:rsid w:val="00396C6A"/>
    <w:rsid w:val="00396D9E"/>
    <w:rsid w:val="00397268"/>
    <w:rsid w:val="00397554"/>
    <w:rsid w:val="003976A1"/>
    <w:rsid w:val="00397753"/>
    <w:rsid w:val="00397884"/>
    <w:rsid w:val="00397A41"/>
    <w:rsid w:val="00397A4E"/>
    <w:rsid w:val="00397B96"/>
    <w:rsid w:val="00397C56"/>
    <w:rsid w:val="003A0031"/>
    <w:rsid w:val="003A009F"/>
    <w:rsid w:val="003A0580"/>
    <w:rsid w:val="003A07BD"/>
    <w:rsid w:val="003A0C09"/>
    <w:rsid w:val="003A1396"/>
    <w:rsid w:val="003A1763"/>
    <w:rsid w:val="003A1912"/>
    <w:rsid w:val="003A1A49"/>
    <w:rsid w:val="003A1CE2"/>
    <w:rsid w:val="003A1ED4"/>
    <w:rsid w:val="003A1EF3"/>
    <w:rsid w:val="003A1F50"/>
    <w:rsid w:val="003A243D"/>
    <w:rsid w:val="003A2608"/>
    <w:rsid w:val="003A2615"/>
    <w:rsid w:val="003A26B1"/>
    <w:rsid w:val="003A275B"/>
    <w:rsid w:val="003A2B79"/>
    <w:rsid w:val="003A2C86"/>
    <w:rsid w:val="003A2E54"/>
    <w:rsid w:val="003A2F45"/>
    <w:rsid w:val="003A2F4C"/>
    <w:rsid w:val="003A2FE1"/>
    <w:rsid w:val="003A3020"/>
    <w:rsid w:val="003A30FC"/>
    <w:rsid w:val="003A3142"/>
    <w:rsid w:val="003A33D6"/>
    <w:rsid w:val="003A342A"/>
    <w:rsid w:val="003A3491"/>
    <w:rsid w:val="003A373F"/>
    <w:rsid w:val="003A39E1"/>
    <w:rsid w:val="003A3A38"/>
    <w:rsid w:val="003A3B95"/>
    <w:rsid w:val="003A3C3E"/>
    <w:rsid w:val="003A3CE1"/>
    <w:rsid w:val="003A3D16"/>
    <w:rsid w:val="003A3E0F"/>
    <w:rsid w:val="003A3EB3"/>
    <w:rsid w:val="003A3EDA"/>
    <w:rsid w:val="003A3F76"/>
    <w:rsid w:val="003A4038"/>
    <w:rsid w:val="003A405E"/>
    <w:rsid w:val="003A4324"/>
    <w:rsid w:val="003A435B"/>
    <w:rsid w:val="003A437A"/>
    <w:rsid w:val="003A4812"/>
    <w:rsid w:val="003A48D9"/>
    <w:rsid w:val="003A49EE"/>
    <w:rsid w:val="003A49F6"/>
    <w:rsid w:val="003A4B1B"/>
    <w:rsid w:val="003A4E7A"/>
    <w:rsid w:val="003A5530"/>
    <w:rsid w:val="003A564C"/>
    <w:rsid w:val="003A591F"/>
    <w:rsid w:val="003A5B2D"/>
    <w:rsid w:val="003A5F52"/>
    <w:rsid w:val="003A5F66"/>
    <w:rsid w:val="003A5F77"/>
    <w:rsid w:val="003A5FFF"/>
    <w:rsid w:val="003A6051"/>
    <w:rsid w:val="003A609E"/>
    <w:rsid w:val="003A63DD"/>
    <w:rsid w:val="003A6657"/>
    <w:rsid w:val="003A668E"/>
    <w:rsid w:val="003A67F4"/>
    <w:rsid w:val="003A68BF"/>
    <w:rsid w:val="003A69FC"/>
    <w:rsid w:val="003A6AD2"/>
    <w:rsid w:val="003A6DBF"/>
    <w:rsid w:val="003A6FA1"/>
    <w:rsid w:val="003A7121"/>
    <w:rsid w:val="003A7166"/>
    <w:rsid w:val="003A71DD"/>
    <w:rsid w:val="003A738A"/>
    <w:rsid w:val="003A74CE"/>
    <w:rsid w:val="003A7715"/>
    <w:rsid w:val="003A7812"/>
    <w:rsid w:val="003A7854"/>
    <w:rsid w:val="003A78C5"/>
    <w:rsid w:val="003A78D5"/>
    <w:rsid w:val="003A7D46"/>
    <w:rsid w:val="003A7F98"/>
    <w:rsid w:val="003A7FA7"/>
    <w:rsid w:val="003B0128"/>
    <w:rsid w:val="003B02C9"/>
    <w:rsid w:val="003B0315"/>
    <w:rsid w:val="003B08ED"/>
    <w:rsid w:val="003B0AC7"/>
    <w:rsid w:val="003B0BC0"/>
    <w:rsid w:val="003B0C9F"/>
    <w:rsid w:val="003B0F8E"/>
    <w:rsid w:val="003B0FA6"/>
    <w:rsid w:val="003B0FAE"/>
    <w:rsid w:val="003B1072"/>
    <w:rsid w:val="003B11F6"/>
    <w:rsid w:val="003B132C"/>
    <w:rsid w:val="003B13DD"/>
    <w:rsid w:val="003B14FC"/>
    <w:rsid w:val="003B193F"/>
    <w:rsid w:val="003B197C"/>
    <w:rsid w:val="003B1ACE"/>
    <w:rsid w:val="003B1B63"/>
    <w:rsid w:val="003B1BA7"/>
    <w:rsid w:val="003B20F5"/>
    <w:rsid w:val="003B2B5A"/>
    <w:rsid w:val="003B2BDC"/>
    <w:rsid w:val="003B2BEE"/>
    <w:rsid w:val="003B2DBA"/>
    <w:rsid w:val="003B2FCF"/>
    <w:rsid w:val="003B3020"/>
    <w:rsid w:val="003B30A3"/>
    <w:rsid w:val="003B3199"/>
    <w:rsid w:val="003B33CC"/>
    <w:rsid w:val="003B35F9"/>
    <w:rsid w:val="003B3644"/>
    <w:rsid w:val="003B3938"/>
    <w:rsid w:val="003B3945"/>
    <w:rsid w:val="003B3B48"/>
    <w:rsid w:val="003B429A"/>
    <w:rsid w:val="003B43DF"/>
    <w:rsid w:val="003B444F"/>
    <w:rsid w:val="003B4667"/>
    <w:rsid w:val="003B4694"/>
    <w:rsid w:val="003B46AC"/>
    <w:rsid w:val="003B4739"/>
    <w:rsid w:val="003B475A"/>
    <w:rsid w:val="003B491B"/>
    <w:rsid w:val="003B4967"/>
    <w:rsid w:val="003B4A4A"/>
    <w:rsid w:val="003B4B66"/>
    <w:rsid w:val="003B4C96"/>
    <w:rsid w:val="003B4F79"/>
    <w:rsid w:val="003B5536"/>
    <w:rsid w:val="003B567B"/>
    <w:rsid w:val="003B58CD"/>
    <w:rsid w:val="003B5AAD"/>
    <w:rsid w:val="003B5F19"/>
    <w:rsid w:val="003B6190"/>
    <w:rsid w:val="003B61CC"/>
    <w:rsid w:val="003B62E3"/>
    <w:rsid w:val="003B64A0"/>
    <w:rsid w:val="003B64A7"/>
    <w:rsid w:val="003B6844"/>
    <w:rsid w:val="003B697E"/>
    <w:rsid w:val="003B6A58"/>
    <w:rsid w:val="003B6ABE"/>
    <w:rsid w:val="003B6BD4"/>
    <w:rsid w:val="003B6E04"/>
    <w:rsid w:val="003B6E37"/>
    <w:rsid w:val="003B73BD"/>
    <w:rsid w:val="003B766C"/>
    <w:rsid w:val="003B773D"/>
    <w:rsid w:val="003B7936"/>
    <w:rsid w:val="003B7937"/>
    <w:rsid w:val="003B7956"/>
    <w:rsid w:val="003B79A4"/>
    <w:rsid w:val="003B7A31"/>
    <w:rsid w:val="003B7BB8"/>
    <w:rsid w:val="003B7CDF"/>
    <w:rsid w:val="003C015F"/>
    <w:rsid w:val="003C0ADF"/>
    <w:rsid w:val="003C0B21"/>
    <w:rsid w:val="003C0CAB"/>
    <w:rsid w:val="003C0D7F"/>
    <w:rsid w:val="003C0E7C"/>
    <w:rsid w:val="003C0F0A"/>
    <w:rsid w:val="003C1449"/>
    <w:rsid w:val="003C1618"/>
    <w:rsid w:val="003C17B7"/>
    <w:rsid w:val="003C1930"/>
    <w:rsid w:val="003C1E82"/>
    <w:rsid w:val="003C20D1"/>
    <w:rsid w:val="003C214D"/>
    <w:rsid w:val="003C2344"/>
    <w:rsid w:val="003C237A"/>
    <w:rsid w:val="003C2394"/>
    <w:rsid w:val="003C24B4"/>
    <w:rsid w:val="003C261F"/>
    <w:rsid w:val="003C2A17"/>
    <w:rsid w:val="003C2E69"/>
    <w:rsid w:val="003C3019"/>
    <w:rsid w:val="003C3061"/>
    <w:rsid w:val="003C3233"/>
    <w:rsid w:val="003C330B"/>
    <w:rsid w:val="003C33A9"/>
    <w:rsid w:val="003C34A7"/>
    <w:rsid w:val="003C3522"/>
    <w:rsid w:val="003C3A6A"/>
    <w:rsid w:val="003C3B3E"/>
    <w:rsid w:val="003C3E75"/>
    <w:rsid w:val="003C44E2"/>
    <w:rsid w:val="003C4A90"/>
    <w:rsid w:val="003C4B34"/>
    <w:rsid w:val="003C4CE8"/>
    <w:rsid w:val="003C4E99"/>
    <w:rsid w:val="003C4FD6"/>
    <w:rsid w:val="003C5495"/>
    <w:rsid w:val="003C5531"/>
    <w:rsid w:val="003C5715"/>
    <w:rsid w:val="003C577C"/>
    <w:rsid w:val="003C5A31"/>
    <w:rsid w:val="003C5D6D"/>
    <w:rsid w:val="003C5D7B"/>
    <w:rsid w:val="003C5D92"/>
    <w:rsid w:val="003C5FE9"/>
    <w:rsid w:val="003C6229"/>
    <w:rsid w:val="003C624F"/>
    <w:rsid w:val="003C6332"/>
    <w:rsid w:val="003C63B5"/>
    <w:rsid w:val="003C64A5"/>
    <w:rsid w:val="003C64DE"/>
    <w:rsid w:val="003C65A3"/>
    <w:rsid w:val="003C6830"/>
    <w:rsid w:val="003C6855"/>
    <w:rsid w:val="003C68A3"/>
    <w:rsid w:val="003C68AB"/>
    <w:rsid w:val="003C6C8B"/>
    <w:rsid w:val="003C70C0"/>
    <w:rsid w:val="003C70E3"/>
    <w:rsid w:val="003C713D"/>
    <w:rsid w:val="003C7271"/>
    <w:rsid w:val="003C761D"/>
    <w:rsid w:val="003C77CF"/>
    <w:rsid w:val="003C789F"/>
    <w:rsid w:val="003C78A7"/>
    <w:rsid w:val="003C7915"/>
    <w:rsid w:val="003C7989"/>
    <w:rsid w:val="003C7A90"/>
    <w:rsid w:val="003C7B7A"/>
    <w:rsid w:val="003C7E16"/>
    <w:rsid w:val="003D0290"/>
    <w:rsid w:val="003D0314"/>
    <w:rsid w:val="003D05FF"/>
    <w:rsid w:val="003D085A"/>
    <w:rsid w:val="003D0E8B"/>
    <w:rsid w:val="003D0F50"/>
    <w:rsid w:val="003D1361"/>
    <w:rsid w:val="003D1445"/>
    <w:rsid w:val="003D1464"/>
    <w:rsid w:val="003D14AE"/>
    <w:rsid w:val="003D17C0"/>
    <w:rsid w:val="003D18F2"/>
    <w:rsid w:val="003D1C70"/>
    <w:rsid w:val="003D1E00"/>
    <w:rsid w:val="003D1E68"/>
    <w:rsid w:val="003D1F24"/>
    <w:rsid w:val="003D2078"/>
    <w:rsid w:val="003D246F"/>
    <w:rsid w:val="003D24B8"/>
    <w:rsid w:val="003D25B3"/>
    <w:rsid w:val="003D2796"/>
    <w:rsid w:val="003D2901"/>
    <w:rsid w:val="003D29BA"/>
    <w:rsid w:val="003D32E1"/>
    <w:rsid w:val="003D330D"/>
    <w:rsid w:val="003D337B"/>
    <w:rsid w:val="003D3390"/>
    <w:rsid w:val="003D33C2"/>
    <w:rsid w:val="003D3401"/>
    <w:rsid w:val="003D3861"/>
    <w:rsid w:val="003D392D"/>
    <w:rsid w:val="003D394A"/>
    <w:rsid w:val="003D39C5"/>
    <w:rsid w:val="003D39DC"/>
    <w:rsid w:val="003D3CF8"/>
    <w:rsid w:val="003D3D98"/>
    <w:rsid w:val="003D4145"/>
    <w:rsid w:val="003D4161"/>
    <w:rsid w:val="003D489F"/>
    <w:rsid w:val="003D5140"/>
    <w:rsid w:val="003D5168"/>
    <w:rsid w:val="003D5605"/>
    <w:rsid w:val="003D5A55"/>
    <w:rsid w:val="003D5A9C"/>
    <w:rsid w:val="003D5CCE"/>
    <w:rsid w:val="003D624A"/>
    <w:rsid w:val="003D6527"/>
    <w:rsid w:val="003D6653"/>
    <w:rsid w:val="003D6A59"/>
    <w:rsid w:val="003D6ADD"/>
    <w:rsid w:val="003D6AF0"/>
    <w:rsid w:val="003D6C55"/>
    <w:rsid w:val="003D713C"/>
    <w:rsid w:val="003D71E6"/>
    <w:rsid w:val="003D735A"/>
    <w:rsid w:val="003D7502"/>
    <w:rsid w:val="003D7612"/>
    <w:rsid w:val="003D7C02"/>
    <w:rsid w:val="003D7DAA"/>
    <w:rsid w:val="003D7DD5"/>
    <w:rsid w:val="003D7DE5"/>
    <w:rsid w:val="003D7F5A"/>
    <w:rsid w:val="003D7FE2"/>
    <w:rsid w:val="003E007C"/>
    <w:rsid w:val="003E0118"/>
    <w:rsid w:val="003E02EE"/>
    <w:rsid w:val="003E05CD"/>
    <w:rsid w:val="003E07FA"/>
    <w:rsid w:val="003E0803"/>
    <w:rsid w:val="003E0A65"/>
    <w:rsid w:val="003E0B36"/>
    <w:rsid w:val="003E0B9D"/>
    <w:rsid w:val="003E0C3C"/>
    <w:rsid w:val="003E0C95"/>
    <w:rsid w:val="003E0EEE"/>
    <w:rsid w:val="003E0F2E"/>
    <w:rsid w:val="003E110D"/>
    <w:rsid w:val="003E11B5"/>
    <w:rsid w:val="003E1215"/>
    <w:rsid w:val="003E12B3"/>
    <w:rsid w:val="003E138F"/>
    <w:rsid w:val="003E1399"/>
    <w:rsid w:val="003E16A1"/>
    <w:rsid w:val="003E170F"/>
    <w:rsid w:val="003E1765"/>
    <w:rsid w:val="003E188D"/>
    <w:rsid w:val="003E19D2"/>
    <w:rsid w:val="003E1C47"/>
    <w:rsid w:val="003E2042"/>
    <w:rsid w:val="003E224A"/>
    <w:rsid w:val="003E2350"/>
    <w:rsid w:val="003E247A"/>
    <w:rsid w:val="003E24AD"/>
    <w:rsid w:val="003E2677"/>
    <w:rsid w:val="003E268F"/>
    <w:rsid w:val="003E2773"/>
    <w:rsid w:val="003E29C7"/>
    <w:rsid w:val="003E2A88"/>
    <w:rsid w:val="003E2AE9"/>
    <w:rsid w:val="003E2E82"/>
    <w:rsid w:val="003E314B"/>
    <w:rsid w:val="003E3250"/>
    <w:rsid w:val="003E354D"/>
    <w:rsid w:val="003E39AF"/>
    <w:rsid w:val="003E3BEF"/>
    <w:rsid w:val="003E3C7B"/>
    <w:rsid w:val="003E3E21"/>
    <w:rsid w:val="003E3F99"/>
    <w:rsid w:val="003E401A"/>
    <w:rsid w:val="003E4048"/>
    <w:rsid w:val="003E45C4"/>
    <w:rsid w:val="003E468E"/>
    <w:rsid w:val="003E48B4"/>
    <w:rsid w:val="003E494C"/>
    <w:rsid w:val="003E4B2F"/>
    <w:rsid w:val="003E4BB6"/>
    <w:rsid w:val="003E4BFB"/>
    <w:rsid w:val="003E4E4B"/>
    <w:rsid w:val="003E4F32"/>
    <w:rsid w:val="003E5459"/>
    <w:rsid w:val="003E555A"/>
    <w:rsid w:val="003E55D4"/>
    <w:rsid w:val="003E5696"/>
    <w:rsid w:val="003E5774"/>
    <w:rsid w:val="003E5861"/>
    <w:rsid w:val="003E5A5D"/>
    <w:rsid w:val="003E5BA9"/>
    <w:rsid w:val="003E5C6C"/>
    <w:rsid w:val="003E5FD0"/>
    <w:rsid w:val="003E6053"/>
    <w:rsid w:val="003E6111"/>
    <w:rsid w:val="003E63C6"/>
    <w:rsid w:val="003E659F"/>
    <w:rsid w:val="003E65DB"/>
    <w:rsid w:val="003E677F"/>
    <w:rsid w:val="003E6FA6"/>
    <w:rsid w:val="003E72A6"/>
    <w:rsid w:val="003E7514"/>
    <w:rsid w:val="003E7713"/>
    <w:rsid w:val="003E7890"/>
    <w:rsid w:val="003E7AF6"/>
    <w:rsid w:val="003E7D13"/>
    <w:rsid w:val="003F0074"/>
    <w:rsid w:val="003F02EC"/>
    <w:rsid w:val="003F047C"/>
    <w:rsid w:val="003F04E3"/>
    <w:rsid w:val="003F065F"/>
    <w:rsid w:val="003F076A"/>
    <w:rsid w:val="003F07D2"/>
    <w:rsid w:val="003F0AB6"/>
    <w:rsid w:val="003F0C9D"/>
    <w:rsid w:val="003F0F09"/>
    <w:rsid w:val="003F107F"/>
    <w:rsid w:val="003F12CA"/>
    <w:rsid w:val="003F136B"/>
    <w:rsid w:val="003F152F"/>
    <w:rsid w:val="003F1680"/>
    <w:rsid w:val="003F16C6"/>
    <w:rsid w:val="003F1866"/>
    <w:rsid w:val="003F1A08"/>
    <w:rsid w:val="003F1B2E"/>
    <w:rsid w:val="003F1FD3"/>
    <w:rsid w:val="003F207D"/>
    <w:rsid w:val="003F2164"/>
    <w:rsid w:val="003F21C6"/>
    <w:rsid w:val="003F22CE"/>
    <w:rsid w:val="003F23C2"/>
    <w:rsid w:val="003F24CB"/>
    <w:rsid w:val="003F2697"/>
    <w:rsid w:val="003F27C6"/>
    <w:rsid w:val="003F291A"/>
    <w:rsid w:val="003F2B99"/>
    <w:rsid w:val="003F2BAC"/>
    <w:rsid w:val="003F2F34"/>
    <w:rsid w:val="003F3062"/>
    <w:rsid w:val="003F38CD"/>
    <w:rsid w:val="003F38F9"/>
    <w:rsid w:val="003F3B72"/>
    <w:rsid w:val="003F3C62"/>
    <w:rsid w:val="003F3D4C"/>
    <w:rsid w:val="003F3E84"/>
    <w:rsid w:val="003F3EC1"/>
    <w:rsid w:val="003F3F48"/>
    <w:rsid w:val="003F40E0"/>
    <w:rsid w:val="003F43CE"/>
    <w:rsid w:val="003F45A9"/>
    <w:rsid w:val="003F46B3"/>
    <w:rsid w:val="003F4E95"/>
    <w:rsid w:val="003F4EBA"/>
    <w:rsid w:val="003F4FC6"/>
    <w:rsid w:val="003F515B"/>
    <w:rsid w:val="003F52BE"/>
    <w:rsid w:val="003F58F6"/>
    <w:rsid w:val="003F5B27"/>
    <w:rsid w:val="003F5CB7"/>
    <w:rsid w:val="003F5FE0"/>
    <w:rsid w:val="003F5FF1"/>
    <w:rsid w:val="003F6006"/>
    <w:rsid w:val="003F6407"/>
    <w:rsid w:val="003F6443"/>
    <w:rsid w:val="003F698F"/>
    <w:rsid w:val="003F713D"/>
    <w:rsid w:val="003F738E"/>
    <w:rsid w:val="003F772A"/>
    <w:rsid w:val="003F7787"/>
    <w:rsid w:val="003F77A2"/>
    <w:rsid w:val="003F78FE"/>
    <w:rsid w:val="003F791A"/>
    <w:rsid w:val="003F79BC"/>
    <w:rsid w:val="003F7D7F"/>
    <w:rsid w:val="004000F3"/>
    <w:rsid w:val="0040022B"/>
    <w:rsid w:val="0040036D"/>
    <w:rsid w:val="004003E8"/>
    <w:rsid w:val="00400415"/>
    <w:rsid w:val="004006F9"/>
    <w:rsid w:val="00400779"/>
    <w:rsid w:val="00400883"/>
    <w:rsid w:val="004008B8"/>
    <w:rsid w:val="00400BED"/>
    <w:rsid w:val="00400CB6"/>
    <w:rsid w:val="00400CF8"/>
    <w:rsid w:val="00400DDF"/>
    <w:rsid w:val="00401682"/>
    <w:rsid w:val="004016C2"/>
    <w:rsid w:val="00401948"/>
    <w:rsid w:val="00401C8A"/>
    <w:rsid w:val="00401CA6"/>
    <w:rsid w:val="0040201E"/>
    <w:rsid w:val="00402044"/>
    <w:rsid w:val="00402086"/>
    <w:rsid w:val="004020B8"/>
    <w:rsid w:val="00402244"/>
    <w:rsid w:val="004025BE"/>
    <w:rsid w:val="004025F0"/>
    <w:rsid w:val="00402867"/>
    <w:rsid w:val="00403200"/>
    <w:rsid w:val="00403296"/>
    <w:rsid w:val="004032E9"/>
    <w:rsid w:val="00403417"/>
    <w:rsid w:val="004035BB"/>
    <w:rsid w:val="00403785"/>
    <w:rsid w:val="00403B98"/>
    <w:rsid w:val="00403CBA"/>
    <w:rsid w:val="00403D30"/>
    <w:rsid w:val="00403D6E"/>
    <w:rsid w:val="00403EF0"/>
    <w:rsid w:val="00404AD2"/>
    <w:rsid w:val="00404AF9"/>
    <w:rsid w:val="00404BBB"/>
    <w:rsid w:val="00404D58"/>
    <w:rsid w:val="00404FF8"/>
    <w:rsid w:val="004050EF"/>
    <w:rsid w:val="0040545F"/>
    <w:rsid w:val="0040575D"/>
    <w:rsid w:val="00405952"/>
    <w:rsid w:val="00405A3A"/>
    <w:rsid w:val="00406298"/>
    <w:rsid w:val="004062B6"/>
    <w:rsid w:val="00406337"/>
    <w:rsid w:val="004064D8"/>
    <w:rsid w:val="004069CD"/>
    <w:rsid w:val="00406CA6"/>
    <w:rsid w:val="00406D28"/>
    <w:rsid w:val="00406EAF"/>
    <w:rsid w:val="0040708C"/>
    <w:rsid w:val="0040728C"/>
    <w:rsid w:val="004072C3"/>
    <w:rsid w:val="00407695"/>
    <w:rsid w:val="004076E9"/>
    <w:rsid w:val="004077FC"/>
    <w:rsid w:val="00407819"/>
    <w:rsid w:val="00407AE3"/>
    <w:rsid w:val="00407AF7"/>
    <w:rsid w:val="00407E23"/>
    <w:rsid w:val="00407ED7"/>
    <w:rsid w:val="00410102"/>
    <w:rsid w:val="004102CA"/>
    <w:rsid w:val="004102EA"/>
    <w:rsid w:val="004103EF"/>
    <w:rsid w:val="00410592"/>
    <w:rsid w:val="00410A30"/>
    <w:rsid w:val="00410D51"/>
    <w:rsid w:val="00410DF3"/>
    <w:rsid w:val="0041128E"/>
    <w:rsid w:val="004112CE"/>
    <w:rsid w:val="004115E3"/>
    <w:rsid w:val="004119D8"/>
    <w:rsid w:val="00411A7E"/>
    <w:rsid w:val="00411BED"/>
    <w:rsid w:val="00411DD7"/>
    <w:rsid w:val="004121D4"/>
    <w:rsid w:val="004125FD"/>
    <w:rsid w:val="00412C9F"/>
    <w:rsid w:val="00412D5F"/>
    <w:rsid w:val="00412E26"/>
    <w:rsid w:val="004132AC"/>
    <w:rsid w:val="00413349"/>
    <w:rsid w:val="0041337C"/>
    <w:rsid w:val="00413855"/>
    <w:rsid w:val="00413918"/>
    <w:rsid w:val="00413942"/>
    <w:rsid w:val="00413982"/>
    <w:rsid w:val="00413986"/>
    <w:rsid w:val="00413A05"/>
    <w:rsid w:val="00413AC2"/>
    <w:rsid w:val="00413BE5"/>
    <w:rsid w:val="00413C6D"/>
    <w:rsid w:val="00413FEE"/>
    <w:rsid w:val="004140EE"/>
    <w:rsid w:val="00414291"/>
    <w:rsid w:val="004143DA"/>
    <w:rsid w:val="00414624"/>
    <w:rsid w:val="004147D9"/>
    <w:rsid w:val="00414AAF"/>
    <w:rsid w:val="00414ACB"/>
    <w:rsid w:val="00414E4F"/>
    <w:rsid w:val="00414FB0"/>
    <w:rsid w:val="00414FCA"/>
    <w:rsid w:val="0041508D"/>
    <w:rsid w:val="00415530"/>
    <w:rsid w:val="00415A5F"/>
    <w:rsid w:val="00415B9D"/>
    <w:rsid w:val="00415BF7"/>
    <w:rsid w:val="00415D40"/>
    <w:rsid w:val="00415E69"/>
    <w:rsid w:val="004162AA"/>
    <w:rsid w:val="004164A7"/>
    <w:rsid w:val="00416551"/>
    <w:rsid w:val="004165A4"/>
    <w:rsid w:val="0041660B"/>
    <w:rsid w:val="00416621"/>
    <w:rsid w:val="00416720"/>
    <w:rsid w:val="0041684B"/>
    <w:rsid w:val="00416875"/>
    <w:rsid w:val="00416941"/>
    <w:rsid w:val="00416B37"/>
    <w:rsid w:val="00416BD4"/>
    <w:rsid w:val="004172A1"/>
    <w:rsid w:val="004172FB"/>
    <w:rsid w:val="0041744D"/>
    <w:rsid w:val="00417574"/>
    <w:rsid w:val="004177EE"/>
    <w:rsid w:val="00417816"/>
    <w:rsid w:val="00417D21"/>
    <w:rsid w:val="0042009C"/>
    <w:rsid w:val="004203F3"/>
    <w:rsid w:val="00420411"/>
    <w:rsid w:val="0042075C"/>
    <w:rsid w:val="004208AA"/>
    <w:rsid w:val="004208E3"/>
    <w:rsid w:val="00420A85"/>
    <w:rsid w:val="00420EF1"/>
    <w:rsid w:val="00420FCF"/>
    <w:rsid w:val="00421007"/>
    <w:rsid w:val="00421140"/>
    <w:rsid w:val="0042116B"/>
    <w:rsid w:val="00421530"/>
    <w:rsid w:val="004218E3"/>
    <w:rsid w:val="004219D5"/>
    <w:rsid w:val="0042204D"/>
    <w:rsid w:val="00422289"/>
    <w:rsid w:val="004222F4"/>
    <w:rsid w:val="0042249F"/>
    <w:rsid w:val="004224C3"/>
    <w:rsid w:val="004228DB"/>
    <w:rsid w:val="00422C15"/>
    <w:rsid w:val="0042306D"/>
    <w:rsid w:val="00423241"/>
    <w:rsid w:val="00423330"/>
    <w:rsid w:val="004235D6"/>
    <w:rsid w:val="004236EF"/>
    <w:rsid w:val="00423939"/>
    <w:rsid w:val="00423EAA"/>
    <w:rsid w:val="004240FE"/>
    <w:rsid w:val="004241A9"/>
    <w:rsid w:val="0042437A"/>
    <w:rsid w:val="004249CD"/>
    <w:rsid w:val="00424B3A"/>
    <w:rsid w:val="00424BAB"/>
    <w:rsid w:val="00424BBF"/>
    <w:rsid w:val="00424EA0"/>
    <w:rsid w:val="00424F7B"/>
    <w:rsid w:val="00425032"/>
    <w:rsid w:val="0042519D"/>
    <w:rsid w:val="004252B0"/>
    <w:rsid w:val="00425387"/>
    <w:rsid w:val="00425555"/>
    <w:rsid w:val="0042562B"/>
    <w:rsid w:val="0042570A"/>
    <w:rsid w:val="0042579B"/>
    <w:rsid w:val="0042581E"/>
    <w:rsid w:val="00425833"/>
    <w:rsid w:val="004258CC"/>
    <w:rsid w:val="00425A32"/>
    <w:rsid w:val="00425A69"/>
    <w:rsid w:val="00425C9C"/>
    <w:rsid w:val="0042610F"/>
    <w:rsid w:val="00426476"/>
    <w:rsid w:val="0042667E"/>
    <w:rsid w:val="00426698"/>
    <w:rsid w:val="00426ADA"/>
    <w:rsid w:val="00426DC4"/>
    <w:rsid w:val="00426E05"/>
    <w:rsid w:val="00426E0C"/>
    <w:rsid w:val="00426E31"/>
    <w:rsid w:val="00426EB0"/>
    <w:rsid w:val="00426F28"/>
    <w:rsid w:val="00427187"/>
    <w:rsid w:val="0042719D"/>
    <w:rsid w:val="00427273"/>
    <w:rsid w:val="004273D9"/>
    <w:rsid w:val="0042750F"/>
    <w:rsid w:val="0042778C"/>
    <w:rsid w:val="00427790"/>
    <w:rsid w:val="0042780A"/>
    <w:rsid w:val="0042788A"/>
    <w:rsid w:val="004278D8"/>
    <w:rsid w:val="00427E16"/>
    <w:rsid w:val="00427E3D"/>
    <w:rsid w:val="004303B2"/>
    <w:rsid w:val="0043070B"/>
    <w:rsid w:val="00430897"/>
    <w:rsid w:val="00430958"/>
    <w:rsid w:val="00430DF9"/>
    <w:rsid w:val="00431173"/>
    <w:rsid w:val="00431189"/>
    <w:rsid w:val="004313F2"/>
    <w:rsid w:val="00431795"/>
    <w:rsid w:val="004319B2"/>
    <w:rsid w:val="00431D80"/>
    <w:rsid w:val="00431E7C"/>
    <w:rsid w:val="00431EFD"/>
    <w:rsid w:val="004320C0"/>
    <w:rsid w:val="004324FF"/>
    <w:rsid w:val="00432742"/>
    <w:rsid w:val="004328D3"/>
    <w:rsid w:val="004328D4"/>
    <w:rsid w:val="00432DB3"/>
    <w:rsid w:val="004331F8"/>
    <w:rsid w:val="0043320A"/>
    <w:rsid w:val="00433243"/>
    <w:rsid w:val="00433588"/>
    <w:rsid w:val="00433602"/>
    <w:rsid w:val="00433907"/>
    <w:rsid w:val="00433B7A"/>
    <w:rsid w:val="00433BC1"/>
    <w:rsid w:val="00433E6B"/>
    <w:rsid w:val="00433F5E"/>
    <w:rsid w:val="00434079"/>
    <w:rsid w:val="004342F1"/>
    <w:rsid w:val="00434313"/>
    <w:rsid w:val="0043477A"/>
    <w:rsid w:val="0043494D"/>
    <w:rsid w:val="00434CBA"/>
    <w:rsid w:val="00434E14"/>
    <w:rsid w:val="00434FDE"/>
    <w:rsid w:val="0043528F"/>
    <w:rsid w:val="004357B8"/>
    <w:rsid w:val="00435917"/>
    <w:rsid w:val="00435CE7"/>
    <w:rsid w:val="00435E32"/>
    <w:rsid w:val="004364A1"/>
    <w:rsid w:val="0043658B"/>
    <w:rsid w:val="00436777"/>
    <w:rsid w:val="004368B1"/>
    <w:rsid w:val="004368BC"/>
    <w:rsid w:val="0043696B"/>
    <w:rsid w:val="00436E5F"/>
    <w:rsid w:val="00437164"/>
    <w:rsid w:val="00437168"/>
    <w:rsid w:val="00437439"/>
    <w:rsid w:val="0043758E"/>
    <w:rsid w:val="00437638"/>
    <w:rsid w:val="00437BA0"/>
    <w:rsid w:val="00437CD7"/>
    <w:rsid w:val="00437E44"/>
    <w:rsid w:val="00440085"/>
    <w:rsid w:val="00440595"/>
    <w:rsid w:val="004407E5"/>
    <w:rsid w:val="00440815"/>
    <w:rsid w:val="004408E2"/>
    <w:rsid w:val="00440908"/>
    <w:rsid w:val="0044094D"/>
    <w:rsid w:val="00440A75"/>
    <w:rsid w:val="00440D0C"/>
    <w:rsid w:val="00440D8D"/>
    <w:rsid w:val="0044111A"/>
    <w:rsid w:val="00441263"/>
    <w:rsid w:val="004414FC"/>
    <w:rsid w:val="00441788"/>
    <w:rsid w:val="00441AEA"/>
    <w:rsid w:val="0044269B"/>
    <w:rsid w:val="004427D0"/>
    <w:rsid w:val="0044288B"/>
    <w:rsid w:val="004428B2"/>
    <w:rsid w:val="00442C7E"/>
    <w:rsid w:val="00442CDD"/>
    <w:rsid w:val="00442D1F"/>
    <w:rsid w:val="00442D50"/>
    <w:rsid w:val="00442E09"/>
    <w:rsid w:val="00442F90"/>
    <w:rsid w:val="00442FCF"/>
    <w:rsid w:val="00443156"/>
    <w:rsid w:val="0044322E"/>
    <w:rsid w:val="00443284"/>
    <w:rsid w:val="00443351"/>
    <w:rsid w:val="0044335C"/>
    <w:rsid w:val="004433E2"/>
    <w:rsid w:val="0044397D"/>
    <w:rsid w:val="00443C2A"/>
    <w:rsid w:val="00443D80"/>
    <w:rsid w:val="00443DB8"/>
    <w:rsid w:val="00443E27"/>
    <w:rsid w:val="00443ED2"/>
    <w:rsid w:val="00443F39"/>
    <w:rsid w:val="00443FB9"/>
    <w:rsid w:val="0044404B"/>
    <w:rsid w:val="00444258"/>
    <w:rsid w:val="0044442D"/>
    <w:rsid w:val="0044468C"/>
    <w:rsid w:val="0044487F"/>
    <w:rsid w:val="0044526A"/>
    <w:rsid w:val="00445382"/>
    <w:rsid w:val="00445428"/>
    <w:rsid w:val="0044574B"/>
    <w:rsid w:val="004458C7"/>
    <w:rsid w:val="00445B4F"/>
    <w:rsid w:val="00445CA6"/>
    <w:rsid w:val="00445D06"/>
    <w:rsid w:val="00445D96"/>
    <w:rsid w:val="00445E29"/>
    <w:rsid w:val="00445EA9"/>
    <w:rsid w:val="004460C8"/>
    <w:rsid w:val="00446607"/>
    <w:rsid w:val="00446A2B"/>
    <w:rsid w:val="00446CFD"/>
    <w:rsid w:val="00446D21"/>
    <w:rsid w:val="00446E30"/>
    <w:rsid w:val="00447159"/>
    <w:rsid w:val="00447188"/>
    <w:rsid w:val="0044724D"/>
    <w:rsid w:val="004473A3"/>
    <w:rsid w:val="00447470"/>
    <w:rsid w:val="0044750C"/>
    <w:rsid w:val="00447510"/>
    <w:rsid w:val="00447A79"/>
    <w:rsid w:val="00447AED"/>
    <w:rsid w:val="00447C67"/>
    <w:rsid w:val="00447D85"/>
    <w:rsid w:val="00447EEE"/>
    <w:rsid w:val="0045015B"/>
    <w:rsid w:val="004501EE"/>
    <w:rsid w:val="00450329"/>
    <w:rsid w:val="0045041C"/>
    <w:rsid w:val="0045042B"/>
    <w:rsid w:val="00450454"/>
    <w:rsid w:val="0045047E"/>
    <w:rsid w:val="004505B5"/>
    <w:rsid w:val="00450646"/>
    <w:rsid w:val="0045064D"/>
    <w:rsid w:val="00450888"/>
    <w:rsid w:val="00450911"/>
    <w:rsid w:val="0045093B"/>
    <w:rsid w:val="00450EB8"/>
    <w:rsid w:val="00450F4F"/>
    <w:rsid w:val="00451016"/>
    <w:rsid w:val="004511CA"/>
    <w:rsid w:val="004511D5"/>
    <w:rsid w:val="0045168E"/>
    <w:rsid w:val="0045192E"/>
    <w:rsid w:val="00451A1C"/>
    <w:rsid w:val="00451EE1"/>
    <w:rsid w:val="00451F36"/>
    <w:rsid w:val="00452205"/>
    <w:rsid w:val="0045246A"/>
    <w:rsid w:val="0045247D"/>
    <w:rsid w:val="00452490"/>
    <w:rsid w:val="0045279A"/>
    <w:rsid w:val="0045289D"/>
    <w:rsid w:val="004528E7"/>
    <w:rsid w:val="004530BB"/>
    <w:rsid w:val="00453274"/>
    <w:rsid w:val="00453524"/>
    <w:rsid w:val="004539C4"/>
    <w:rsid w:val="00453A9E"/>
    <w:rsid w:val="00453BEF"/>
    <w:rsid w:val="00453C2E"/>
    <w:rsid w:val="00453C40"/>
    <w:rsid w:val="00453C7A"/>
    <w:rsid w:val="00453D99"/>
    <w:rsid w:val="00453DD8"/>
    <w:rsid w:val="004542D4"/>
    <w:rsid w:val="004544C2"/>
    <w:rsid w:val="00454576"/>
    <w:rsid w:val="004549B5"/>
    <w:rsid w:val="0045501D"/>
    <w:rsid w:val="00455068"/>
    <w:rsid w:val="004550C1"/>
    <w:rsid w:val="00455485"/>
    <w:rsid w:val="0045554D"/>
    <w:rsid w:val="004555D6"/>
    <w:rsid w:val="00455996"/>
    <w:rsid w:val="00455A05"/>
    <w:rsid w:val="00455E50"/>
    <w:rsid w:val="004560C2"/>
    <w:rsid w:val="00456377"/>
    <w:rsid w:val="004563BD"/>
    <w:rsid w:val="00456427"/>
    <w:rsid w:val="00456540"/>
    <w:rsid w:val="0045658A"/>
    <w:rsid w:val="00456C49"/>
    <w:rsid w:val="00456E17"/>
    <w:rsid w:val="00456F7F"/>
    <w:rsid w:val="004570B4"/>
    <w:rsid w:val="00457126"/>
    <w:rsid w:val="0045716D"/>
    <w:rsid w:val="0045729A"/>
    <w:rsid w:val="00457421"/>
    <w:rsid w:val="004577C0"/>
    <w:rsid w:val="004578D4"/>
    <w:rsid w:val="00457BC0"/>
    <w:rsid w:val="00457D0E"/>
    <w:rsid w:val="00460015"/>
    <w:rsid w:val="004600AE"/>
    <w:rsid w:val="0046020D"/>
    <w:rsid w:val="004603EA"/>
    <w:rsid w:val="004604B4"/>
    <w:rsid w:val="00460619"/>
    <w:rsid w:val="0046080C"/>
    <w:rsid w:val="00460816"/>
    <w:rsid w:val="00460983"/>
    <w:rsid w:val="00460D77"/>
    <w:rsid w:val="00460DEC"/>
    <w:rsid w:val="00460E50"/>
    <w:rsid w:val="00460F04"/>
    <w:rsid w:val="00461084"/>
    <w:rsid w:val="00461122"/>
    <w:rsid w:val="004611C5"/>
    <w:rsid w:val="0046129D"/>
    <w:rsid w:val="0046146E"/>
    <w:rsid w:val="00461625"/>
    <w:rsid w:val="0046176D"/>
    <w:rsid w:val="0046197A"/>
    <w:rsid w:val="00461988"/>
    <w:rsid w:val="00461C41"/>
    <w:rsid w:val="00461D6D"/>
    <w:rsid w:val="00462283"/>
    <w:rsid w:val="004628CF"/>
    <w:rsid w:val="00462BD8"/>
    <w:rsid w:val="00462D72"/>
    <w:rsid w:val="00462D95"/>
    <w:rsid w:val="00462F01"/>
    <w:rsid w:val="00462F26"/>
    <w:rsid w:val="00463013"/>
    <w:rsid w:val="004632E4"/>
    <w:rsid w:val="004634BE"/>
    <w:rsid w:val="0046354B"/>
    <w:rsid w:val="0046380C"/>
    <w:rsid w:val="004638D0"/>
    <w:rsid w:val="00463F44"/>
    <w:rsid w:val="0046403B"/>
    <w:rsid w:val="0046422B"/>
    <w:rsid w:val="0046443D"/>
    <w:rsid w:val="00464DAA"/>
    <w:rsid w:val="004650E8"/>
    <w:rsid w:val="004650EC"/>
    <w:rsid w:val="00465262"/>
    <w:rsid w:val="0046568A"/>
    <w:rsid w:val="004656C4"/>
    <w:rsid w:val="0046582F"/>
    <w:rsid w:val="0046589A"/>
    <w:rsid w:val="0046591C"/>
    <w:rsid w:val="00465990"/>
    <w:rsid w:val="00465A88"/>
    <w:rsid w:val="00465AF4"/>
    <w:rsid w:val="00465B65"/>
    <w:rsid w:val="00465BE1"/>
    <w:rsid w:val="00465C4E"/>
    <w:rsid w:val="00465C64"/>
    <w:rsid w:val="00465CCA"/>
    <w:rsid w:val="00465CFD"/>
    <w:rsid w:val="00465DB1"/>
    <w:rsid w:val="00465DB6"/>
    <w:rsid w:val="00465DBD"/>
    <w:rsid w:val="00465F75"/>
    <w:rsid w:val="00466319"/>
    <w:rsid w:val="004663EB"/>
    <w:rsid w:val="004663FA"/>
    <w:rsid w:val="0046644C"/>
    <w:rsid w:val="004665E4"/>
    <w:rsid w:val="00466B57"/>
    <w:rsid w:val="00466C55"/>
    <w:rsid w:val="00466FB8"/>
    <w:rsid w:val="00466FF6"/>
    <w:rsid w:val="0046749C"/>
    <w:rsid w:val="004676AA"/>
    <w:rsid w:val="0046771B"/>
    <w:rsid w:val="00467A74"/>
    <w:rsid w:val="00467CA9"/>
    <w:rsid w:val="00467D61"/>
    <w:rsid w:val="0047007F"/>
    <w:rsid w:val="00470715"/>
    <w:rsid w:val="004707EE"/>
    <w:rsid w:val="0047089B"/>
    <w:rsid w:val="004708E6"/>
    <w:rsid w:val="00470ABA"/>
    <w:rsid w:val="00470B10"/>
    <w:rsid w:val="00470C58"/>
    <w:rsid w:val="00470D56"/>
    <w:rsid w:val="00470E1F"/>
    <w:rsid w:val="00470E73"/>
    <w:rsid w:val="00470F16"/>
    <w:rsid w:val="00470F68"/>
    <w:rsid w:val="004712AD"/>
    <w:rsid w:val="004712BF"/>
    <w:rsid w:val="00471366"/>
    <w:rsid w:val="004714A5"/>
    <w:rsid w:val="0047166D"/>
    <w:rsid w:val="0047169F"/>
    <w:rsid w:val="004716A3"/>
    <w:rsid w:val="0047179C"/>
    <w:rsid w:val="004718F5"/>
    <w:rsid w:val="00471A3D"/>
    <w:rsid w:val="00471A8E"/>
    <w:rsid w:val="00471D92"/>
    <w:rsid w:val="00471F14"/>
    <w:rsid w:val="00471FA4"/>
    <w:rsid w:val="00472396"/>
    <w:rsid w:val="0047248D"/>
    <w:rsid w:val="0047250E"/>
    <w:rsid w:val="00472BFA"/>
    <w:rsid w:val="00472D92"/>
    <w:rsid w:val="00472DC8"/>
    <w:rsid w:val="00472EBA"/>
    <w:rsid w:val="00472F27"/>
    <w:rsid w:val="00472F38"/>
    <w:rsid w:val="0047337E"/>
    <w:rsid w:val="0047363A"/>
    <w:rsid w:val="00473839"/>
    <w:rsid w:val="00473843"/>
    <w:rsid w:val="00473902"/>
    <w:rsid w:val="00473B21"/>
    <w:rsid w:val="00473BED"/>
    <w:rsid w:val="004745F7"/>
    <w:rsid w:val="004746A4"/>
    <w:rsid w:val="00474A48"/>
    <w:rsid w:val="00474A4F"/>
    <w:rsid w:val="00474CF3"/>
    <w:rsid w:val="00474DA9"/>
    <w:rsid w:val="00474E4B"/>
    <w:rsid w:val="004750B4"/>
    <w:rsid w:val="00475188"/>
    <w:rsid w:val="0047535F"/>
    <w:rsid w:val="004753BB"/>
    <w:rsid w:val="00475521"/>
    <w:rsid w:val="0047557C"/>
    <w:rsid w:val="00475757"/>
    <w:rsid w:val="00475851"/>
    <w:rsid w:val="0047595C"/>
    <w:rsid w:val="00475B83"/>
    <w:rsid w:val="004760BC"/>
    <w:rsid w:val="004760DD"/>
    <w:rsid w:val="0047678D"/>
    <w:rsid w:val="004767B8"/>
    <w:rsid w:val="004768C0"/>
    <w:rsid w:val="00476BFC"/>
    <w:rsid w:val="00476E60"/>
    <w:rsid w:val="0047787A"/>
    <w:rsid w:val="00477D25"/>
    <w:rsid w:val="00480026"/>
    <w:rsid w:val="0048002C"/>
    <w:rsid w:val="004800B3"/>
    <w:rsid w:val="00480113"/>
    <w:rsid w:val="00480140"/>
    <w:rsid w:val="00480729"/>
    <w:rsid w:val="00480B69"/>
    <w:rsid w:val="00480D58"/>
    <w:rsid w:val="00480FCF"/>
    <w:rsid w:val="0048114D"/>
    <w:rsid w:val="00481180"/>
    <w:rsid w:val="00481401"/>
    <w:rsid w:val="0048142A"/>
    <w:rsid w:val="0048175E"/>
    <w:rsid w:val="004819FA"/>
    <w:rsid w:val="00481BFD"/>
    <w:rsid w:val="00481DDA"/>
    <w:rsid w:val="00482052"/>
    <w:rsid w:val="0048245C"/>
    <w:rsid w:val="004826AE"/>
    <w:rsid w:val="004827ED"/>
    <w:rsid w:val="00482B70"/>
    <w:rsid w:val="00482BDC"/>
    <w:rsid w:val="00482F4B"/>
    <w:rsid w:val="00483271"/>
    <w:rsid w:val="00483290"/>
    <w:rsid w:val="00483614"/>
    <w:rsid w:val="0048376D"/>
    <w:rsid w:val="0048388C"/>
    <w:rsid w:val="00483961"/>
    <w:rsid w:val="00483C2D"/>
    <w:rsid w:val="00483CF2"/>
    <w:rsid w:val="00483DED"/>
    <w:rsid w:val="00483DFB"/>
    <w:rsid w:val="00483FA5"/>
    <w:rsid w:val="004840F7"/>
    <w:rsid w:val="004840FB"/>
    <w:rsid w:val="00484225"/>
    <w:rsid w:val="004845C2"/>
    <w:rsid w:val="00484E02"/>
    <w:rsid w:val="00484E95"/>
    <w:rsid w:val="0048515B"/>
    <w:rsid w:val="0048540F"/>
    <w:rsid w:val="0048555F"/>
    <w:rsid w:val="00485801"/>
    <w:rsid w:val="0048580F"/>
    <w:rsid w:val="0048583E"/>
    <w:rsid w:val="004858BD"/>
    <w:rsid w:val="004859D7"/>
    <w:rsid w:val="00485E28"/>
    <w:rsid w:val="00485FCB"/>
    <w:rsid w:val="00486101"/>
    <w:rsid w:val="00486204"/>
    <w:rsid w:val="00486272"/>
    <w:rsid w:val="0048627A"/>
    <w:rsid w:val="004865BC"/>
    <w:rsid w:val="004866E0"/>
    <w:rsid w:val="00486764"/>
    <w:rsid w:val="00486A45"/>
    <w:rsid w:val="00487142"/>
    <w:rsid w:val="004871DB"/>
    <w:rsid w:val="004872F0"/>
    <w:rsid w:val="004872F8"/>
    <w:rsid w:val="0048744B"/>
    <w:rsid w:val="004874CD"/>
    <w:rsid w:val="00487638"/>
    <w:rsid w:val="00487891"/>
    <w:rsid w:val="004879BB"/>
    <w:rsid w:val="00487EE3"/>
    <w:rsid w:val="00490080"/>
    <w:rsid w:val="00490A20"/>
    <w:rsid w:val="00490B08"/>
    <w:rsid w:val="00490B31"/>
    <w:rsid w:val="00490CEB"/>
    <w:rsid w:val="00490CF8"/>
    <w:rsid w:val="00490D1E"/>
    <w:rsid w:val="004913C9"/>
    <w:rsid w:val="004915A4"/>
    <w:rsid w:val="00491603"/>
    <w:rsid w:val="0049178E"/>
    <w:rsid w:val="00491A9E"/>
    <w:rsid w:val="00491E7D"/>
    <w:rsid w:val="00492014"/>
    <w:rsid w:val="004920B7"/>
    <w:rsid w:val="0049210E"/>
    <w:rsid w:val="00492124"/>
    <w:rsid w:val="004921E8"/>
    <w:rsid w:val="004923B6"/>
    <w:rsid w:val="00492539"/>
    <w:rsid w:val="004925A0"/>
    <w:rsid w:val="004927A5"/>
    <w:rsid w:val="004928C8"/>
    <w:rsid w:val="00492A12"/>
    <w:rsid w:val="00492AB8"/>
    <w:rsid w:val="00492CEA"/>
    <w:rsid w:val="00492D96"/>
    <w:rsid w:val="00493008"/>
    <w:rsid w:val="004931BE"/>
    <w:rsid w:val="0049339C"/>
    <w:rsid w:val="00493555"/>
    <w:rsid w:val="004935EC"/>
    <w:rsid w:val="004936CD"/>
    <w:rsid w:val="00493AE3"/>
    <w:rsid w:val="00493B1C"/>
    <w:rsid w:val="00493C3C"/>
    <w:rsid w:val="00493DE2"/>
    <w:rsid w:val="00493E71"/>
    <w:rsid w:val="00494003"/>
    <w:rsid w:val="00494142"/>
    <w:rsid w:val="00494265"/>
    <w:rsid w:val="00494381"/>
    <w:rsid w:val="00494515"/>
    <w:rsid w:val="004945AA"/>
    <w:rsid w:val="0049474A"/>
    <w:rsid w:val="00494812"/>
    <w:rsid w:val="0049487C"/>
    <w:rsid w:val="0049493C"/>
    <w:rsid w:val="00494A46"/>
    <w:rsid w:val="00494AD3"/>
    <w:rsid w:val="00494CCB"/>
    <w:rsid w:val="00494FD6"/>
    <w:rsid w:val="00494FEB"/>
    <w:rsid w:val="004951EC"/>
    <w:rsid w:val="00495314"/>
    <w:rsid w:val="00495419"/>
    <w:rsid w:val="004956E9"/>
    <w:rsid w:val="004957CC"/>
    <w:rsid w:val="00495B6A"/>
    <w:rsid w:val="00495C57"/>
    <w:rsid w:val="00495D7F"/>
    <w:rsid w:val="00495F54"/>
    <w:rsid w:val="0049688A"/>
    <w:rsid w:val="00496BB9"/>
    <w:rsid w:val="00496E35"/>
    <w:rsid w:val="00496EC1"/>
    <w:rsid w:val="00496F91"/>
    <w:rsid w:val="00497020"/>
    <w:rsid w:val="0049713D"/>
    <w:rsid w:val="00497244"/>
    <w:rsid w:val="004972FB"/>
    <w:rsid w:val="004977A2"/>
    <w:rsid w:val="0049784F"/>
    <w:rsid w:val="004A01AF"/>
    <w:rsid w:val="004A0679"/>
    <w:rsid w:val="004A083D"/>
    <w:rsid w:val="004A0BEB"/>
    <w:rsid w:val="004A0E91"/>
    <w:rsid w:val="004A0F89"/>
    <w:rsid w:val="004A10A2"/>
    <w:rsid w:val="004A12BC"/>
    <w:rsid w:val="004A1548"/>
    <w:rsid w:val="004A15F7"/>
    <w:rsid w:val="004A172F"/>
    <w:rsid w:val="004A18FE"/>
    <w:rsid w:val="004A196B"/>
    <w:rsid w:val="004A19FB"/>
    <w:rsid w:val="004A1F49"/>
    <w:rsid w:val="004A218D"/>
    <w:rsid w:val="004A238A"/>
    <w:rsid w:val="004A2590"/>
    <w:rsid w:val="004A2652"/>
    <w:rsid w:val="004A274A"/>
    <w:rsid w:val="004A2962"/>
    <w:rsid w:val="004A29F8"/>
    <w:rsid w:val="004A2A13"/>
    <w:rsid w:val="004A2B3E"/>
    <w:rsid w:val="004A2BD8"/>
    <w:rsid w:val="004A2D1C"/>
    <w:rsid w:val="004A2E08"/>
    <w:rsid w:val="004A2FFE"/>
    <w:rsid w:val="004A30B2"/>
    <w:rsid w:val="004A3154"/>
    <w:rsid w:val="004A3156"/>
    <w:rsid w:val="004A336A"/>
    <w:rsid w:val="004A36F4"/>
    <w:rsid w:val="004A3725"/>
    <w:rsid w:val="004A3B8E"/>
    <w:rsid w:val="004A3C33"/>
    <w:rsid w:val="004A3CF1"/>
    <w:rsid w:val="004A3E71"/>
    <w:rsid w:val="004A3FCE"/>
    <w:rsid w:val="004A4123"/>
    <w:rsid w:val="004A4276"/>
    <w:rsid w:val="004A452B"/>
    <w:rsid w:val="004A45DF"/>
    <w:rsid w:val="004A4728"/>
    <w:rsid w:val="004A48A9"/>
    <w:rsid w:val="004A49DD"/>
    <w:rsid w:val="004A4CCE"/>
    <w:rsid w:val="004A4CD6"/>
    <w:rsid w:val="004A4DEE"/>
    <w:rsid w:val="004A4EE9"/>
    <w:rsid w:val="004A51DF"/>
    <w:rsid w:val="004A5372"/>
    <w:rsid w:val="004A5520"/>
    <w:rsid w:val="004A5538"/>
    <w:rsid w:val="004A5BA3"/>
    <w:rsid w:val="004A5DD6"/>
    <w:rsid w:val="004A5EEF"/>
    <w:rsid w:val="004A60B8"/>
    <w:rsid w:val="004A6337"/>
    <w:rsid w:val="004A6633"/>
    <w:rsid w:val="004A675D"/>
    <w:rsid w:val="004A68D3"/>
    <w:rsid w:val="004A6BA5"/>
    <w:rsid w:val="004A6EE9"/>
    <w:rsid w:val="004A6F55"/>
    <w:rsid w:val="004A7237"/>
    <w:rsid w:val="004A785A"/>
    <w:rsid w:val="004A7B92"/>
    <w:rsid w:val="004A7B96"/>
    <w:rsid w:val="004A7CF3"/>
    <w:rsid w:val="004A7D54"/>
    <w:rsid w:val="004A7E32"/>
    <w:rsid w:val="004A7FCA"/>
    <w:rsid w:val="004B015F"/>
    <w:rsid w:val="004B02CC"/>
    <w:rsid w:val="004B03DC"/>
    <w:rsid w:val="004B0610"/>
    <w:rsid w:val="004B07AB"/>
    <w:rsid w:val="004B0C54"/>
    <w:rsid w:val="004B109D"/>
    <w:rsid w:val="004B1160"/>
    <w:rsid w:val="004B1199"/>
    <w:rsid w:val="004B11E3"/>
    <w:rsid w:val="004B13EE"/>
    <w:rsid w:val="004B1560"/>
    <w:rsid w:val="004B15E8"/>
    <w:rsid w:val="004B15FE"/>
    <w:rsid w:val="004B18FC"/>
    <w:rsid w:val="004B1D22"/>
    <w:rsid w:val="004B1DDC"/>
    <w:rsid w:val="004B1F7B"/>
    <w:rsid w:val="004B22A0"/>
    <w:rsid w:val="004B2484"/>
    <w:rsid w:val="004B24C8"/>
    <w:rsid w:val="004B261B"/>
    <w:rsid w:val="004B270B"/>
    <w:rsid w:val="004B2722"/>
    <w:rsid w:val="004B2848"/>
    <w:rsid w:val="004B2C2D"/>
    <w:rsid w:val="004B2C63"/>
    <w:rsid w:val="004B2F21"/>
    <w:rsid w:val="004B2F4F"/>
    <w:rsid w:val="004B3225"/>
    <w:rsid w:val="004B3434"/>
    <w:rsid w:val="004B37B3"/>
    <w:rsid w:val="004B3964"/>
    <w:rsid w:val="004B3A34"/>
    <w:rsid w:val="004B3A98"/>
    <w:rsid w:val="004B4260"/>
    <w:rsid w:val="004B465A"/>
    <w:rsid w:val="004B4660"/>
    <w:rsid w:val="004B46AD"/>
    <w:rsid w:val="004B475B"/>
    <w:rsid w:val="004B478B"/>
    <w:rsid w:val="004B4920"/>
    <w:rsid w:val="004B4CDB"/>
    <w:rsid w:val="004B4D07"/>
    <w:rsid w:val="004B4F52"/>
    <w:rsid w:val="004B52DB"/>
    <w:rsid w:val="004B53CF"/>
    <w:rsid w:val="004B5517"/>
    <w:rsid w:val="004B5531"/>
    <w:rsid w:val="004B5903"/>
    <w:rsid w:val="004B5C0D"/>
    <w:rsid w:val="004B5D9A"/>
    <w:rsid w:val="004B60CC"/>
    <w:rsid w:val="004B6696"/>
    <w:rsid w:val="004B6B89"/>
    <w:rsid w:val="004B6BE2"/>
    <w:rsid w:val="004B6E10"/>
    <w:rsid w:val="004B7380"/>
    <w:rsid w:val="004B7575"/>
    <w:rsid w:val="004B766C"/>
    <w:rsid w:val="004B76A1"/>
    <w:rsid w:val="004B78A5"/>
    <w:rsid w:val="004B7A03"/>
    <w:rsid w:val="004B7A57"/>
    <w:rsid w:val="004B7B94"/>
    <w:rsid w:val="004B7E70"/>
    <w:rsid w:val="004C0068"/>
    <w:rsid w:val="004C0168"/>
    <w:rsid w:val="004C0791"/>
    <w:rsid w:val="004C07A2"/>
    <w:rsid w:val="004C0827"/>
    <w:rsid w:val="004C089A"/>
    <w:rsid w:val="004C0A53"/>
    <w:rsid w:val="004C0CD1"/>
    <w:rsid w:val="004C11BF"/>
    <w:rsid w:val="004C1930"/>
    <w:rsid w:val="004C1A04"/>
    <w:rsid w:val="004C1D7F"/>
    <w:rsid w:val="004C1E5C"/>
    <w:rsid w:val="004C1EEE"/>
    <w:rsid w:val="004C1F0A"/>
    <w:rsid w:val="004C2485"/>
    <w:rsid w:val="004C29B4"/>
    <w:rsid w:val="004C29E0"/>
    <w:rsid w:val="004C2A60"/>
    <w:rsid w:val="004C2A92"/>
    <w:rsid w:val="004C2BF8"/>
    <w:rsid w:val="004C2D7D"/>
    <w:rsid w:val="004C2F29"/>
    <w:rsid w:val="004C2F58"/>
    <w:rsid w:val="004C2FB8"/>
    <w:rsid w:val="004C3067"/>
    <w:rsid w:val="004C3569"/>
    <w:rsid w:val="004C358A"/>
    <w:rsid w:val="004C364F"/>
    <w:rsid w:val="004C3B0C"/>
    <w:rsid w:val="004C3CB8"/>
    <w:rsid w:val="004C3D73"/>
    <w:rsid w:val="004C3E49"/>
    <w:rsid w:val="004C3EBC"/>
    <w:rsid w:val="004C44F5"/>
    <w:rsid w:val="004C48C0"/>
    <w:rsid w:val="004C48F8"/>
    <w:rsid w:val="004C4A5A"/>
    <w:rsid w:val="004C4A99"/>
    <w:rsid w:val="004C4AA6"/>
    <w:rsid w:val="004C4BB4"/>
    <w:rsid w:val="004C4E96"/>
    <w:rsid w:val="004C4EA1"/>
    <w:rsid w:val="004C4ED6"/>
    <w:rsid w:val="004C5359"/>
    <w:rsid w:val="004C543A"/>
    <w:rsid w:val="004C58EA"/>
    <w:rsid w:val="004C5991"/>
    <w:rsid w:val="004C59FA"/>
    <w:rsid w:val="004C5C44"/>
    <w:rsid w:val="004C5CA6"/>
    <w:rsid w:val="004C6028"/>
    <w:rsid w:val="004C6197"/>
    <w:rsid w:val="004C6285"/>
    <w:rsid w:val="004C6339"/>
    <w:rsid w:val="004C6464"/>
    <w:rsid w:val="004C64DB"/>
    <w:rsid w:val="004C663D"/>
    <w:rsid w:val="004C6678"/>
    <w:rsid w:val="004C66F4"/>
    <w:rsid w:val="004C6939"/>
    <w:rsid w:val="004C6F6A"/>
    <w:rsid w:val="004C7141"/>
    <w:rsid w:val="004C7143"/>
    <w:rsid w:val="004C7C49"/>
    <w:rsid w:val="004C7E7C"/>
    <w:rsid w:val="004C7EC7"/>
    <w:rsid w:val="004C7FBD"/>
    <w:rsid w:val="004D0490"/>
    <w:rsid w:val="004D05D8"/>
    <w:rsid w:val="004D0616"/>
    <w:rsid w:val="004D0649"/>
    <w:rsid w:val="004D09CE"/>
    <w:rsid w:val="004D09F8"/>
    <w:rsid w:val="004D0C9F"/>
    <w:rsid w:val="004D0DBD"/>
    <w:rsid w:val="004D0E67"/>
    <w:rsid w:val="004D0EC1"/>
    <w:rsid w:val="004D1118"/>
    <w:rsid w:val="004D116B"/>
    <w:rsid w:val="004D11D8"/>
    <w:rsid w:val="004D12E8"/>
    <w:rsid w:val="004D14BA"/>
    <w:rsid w:val="004D1631"/>
    <w:rsid w:val="004D1981"/>
    <w:rsid w:val="004D1B7A"/>
    <w:rsid w:val="004D1DCF"/>
    <w:rsid w:val="004D1EB7"/>
    <w:rsid w:val="004D1F0D"/>
    <w:rsid w:val="004D1F3A"/>
    <w:rsid w:val="004D2080"/>
    <w:rsid w:val="004D224F"/>
    <w:rsid w:val="004D22AA"/>
    <w:rsid w:val="004D239E"/>
    <w:rsid w:val="004D2401"/>
    <w:rsid w:val="004D24A9"/>
    <w:rsid w:val="004D25AF"/>
    <w:rsid w:val="004D25E9"/>
    <w:rsid w:val="004D2650"/>
    <w:rsid w:val="004D28B3"/>
    <w:rsid w:val="004D2916"/>
    <w:rsid w:val="004D29AE"/>
    <w:rsid w:val="004D2A9E"/>
    <w:rsid w:val="004D2BF0"/>
    <w:rsid w:val="004D2C85"/>
    <w:rsid w:val="004D2C97"/>
    <w:rsid w:val="004D334A"/>
    <w:rsid w:val="004D33A2"/>
    <w:rsid w:val="004D3796"/>
    <w:rsid w:val="004D37FF"/>
    <w:rsid w:val="004D3A79"/>
    <w:rsid w:val="004D3B94"/>
    <w:rsid w:val="004D3C6F"/>
    <w:rsid w:val="004D3D9B"/>
    <w:rsid w:val="004D4356"/>
    <w:rsid w:val="004D43C6"/>
    <w:rsid w:val="004D46DF"/>
    <w:rsid w:val="004D4787"/>
    <w:rsid w:val="004D48B2"/>
    <w:rsid w:val="004D491E"/>
    <w:rsid w:val="004D49C1"/>
    <w:rsid w:val="004D4CF7"/>
    <w:rsid w:val="004D4DAD"/>
    <w:rsid w:val="004D4EDD"/>
    <w:rsid w:val="004D4F8F"/>
    <w:rsid w:val="004D4FC7"/>
    <w:rsid w:val="004D5393"/>
    <w:rsid w:val="004D541A"/>
    <w:rsid w:val="004D549F"/>
    <w:rsid w:val="004D54BF"/>
    <w:rsid w:val="004D559E"/>
    <w:rsid w:val="004D57FC"/>
    <w:rsid w:val="004D5A65"/>
    <w:rsid w:val="004D5AFC"/>
    <w:rsid w:val="004D5E88"/>
    <w:rsid w:val="004D5FD5"/>
    <w:rsid w:val="004D5FF0"/>
    <w:rsid w:val="004D60FF"/>
    <w:rsid w:val="004D6232"/>
    <w:rsid w:val="004D6570"/>
    <w:rsid w:val="004D689D"/>
    <w:rsid w:val="004D6B59"/>
    <w:rsid w:val="004D6DF9"/>
    <w:rsid w:val="004D6E14"/>
    <w:rsid w:val="004D6FED"/>
    <w:rsid w:val="004D711A"/>
    <w:rsid w:val="004D74EC"/>
    <w:rsid w:val="004D7A7D"/>
    <w:rsid w:val="004D7D1B"/>
    <w:rsid w:val="004D7F73"/>
    <w:rsid w:val="004D7FAA"/>
    <w:rsid w:val="004E02E1"/>
    <w:rsid w:val="004E0445"/>
    <w:rsid w:val="004E052B"/>
    <w:rsid w:val="004E05C7"/>
    <w:rsid w:val="004E07AD"/>
    <w:rsid w:val="004E0959"/>
    <w:rsid w:val="004E0B9A"/>
    <w:rsid w:val="004E0C94"/>
    <w:rsid w:val="004E0CE3"/>
    <w:rsid w:val="004E0D5D"/>
    <w:rsid w:val="004E10D4"/>
    <w:rsid w:val="004E1397"/>
    <w:rsid w:val="004E1425"/>
    <w:rsid w:val="004E1449"/>
    <w:rsid w:val="004E1571"/>
    <w:rsid w:val="004E15AE"/>
    <w:rsid w:val="004E17C7"/>
    <w:rsid w:val="004E1912"/>
    <w:rsid w:val="004E1B8A"/>
    <w:rsid w:val="004E2097"/>
    <w:rsid w:val="004E2125"/>
    <w:rsid w:val="004E2305"/>
    <w:rsid w:val="004E24C9"/>
    <w:rsid w:val="004E295A"/>
    <w:rsid w:val="004E2970"/>
    <w:rsid w:val="004E2A15"/>
    <w:rsid w:val="004E2B5D"/>
    <w:rsid w:val="004E2D69"/>
    <w:rsid w:val="004E30A5"/>
    <w:rsid w:val="004E30C5"/>
    <w:rsid w:val="004E334E"/>
    <w:rsid w:val="004E33EF"/>
    <w:rsid w:val="004E350F"/>
    <w:rsid w:val="004E3512"/>
    <w:rsid w:val="004E3595"/>
    <w:rsid w:val="004E3A58"/>
    <w:rsid w:val="004E3ABB"/>
    <w:rsid w:val="004E3F85"/>
    <w:rsid w:val="004E429D"/>
    <w:rsid w:val="004E44B0"/>
    <w:rsid w:val="004E45C9"/>
    <w:rsid w:val="004E4689"/>
    <w:rsid w:val="004E4790"/>
    <w:rsid w:val="004E486F"/>
    <w:rsid w:val="004E4ADA"/>
    <w:rsid w:val="004E4D20"/>
    <w:rsid w:val="004E4E56"/>
    <w:rsid w:val="004E530C"/>
    <w:rsid w:val="004E5602"/>
    <w:rsid w:val="004E572A"/>
    <w:rsid w:val="004E59BF"/>
    <w:rsid w:val="004E59E6"/>
    <w:rsid w:val="004E5B25"/>
    <w:rsid w:val="004E5DA8"/>
    <w:rsid w:val="004E5EB7"/>
    <w:rsid w:val="004E5F5B"/>
    <w:rsid w:val="004E6411"/>
    <w:rsid w:val="004E648D"/>
    <w:rsid w:val="004E68C6"/>
    <w:rsid w:val="004E6A84"/>
    <w:rsid w:val="004E6B49"/>
    <w:rsid w:val="004E6BB7"/>
    <w:rsid w:val="004E6D87"/>
    <w:rsid w:val="004E6DA6"/>
    <w:rsid w:val="004E7103"/>
    <w:rsid w:val="004E7182"/>
    <w:rsid w:val="004E7238"/>
    <w:rsid w:val="004E72F2"/>
    <w:rsid w:val="004E73B7"/>
    <w:rsid w:val="004E7536"/>
    <w:rsid w:val="004E7633"/>
    <w:rsid w:val="004E7F80"/>
    <w:rsid w:val="004E7FF7"/>
    <w:rsid w:val="004F0017"/>
    <w:rsid w:val="004F0338"/>
    <w:rsid w:val="004F06C3"/>
    <w:rsid w:val="004F079C"/>
    <w:rsid w:val="004F08E5"/>
    <w:rsid w:val="004F0A00"/>
    <w:rsid w:val="004F0C9C"/>
    <w:rsid w:val="004F0D31"/>
    <w:rsid w:val="004F10AC"/>
    <w:rsid w:val="004F13AF"/>
    <w:rsid w:val="004F13B0"/>
    <w:rsid w:val="004F15DE"/>
    <w:rsid w:val="004F15E3"/>
    <w:rsid w:val="004F15F3"/>
    <w:rsid w:val="004F1672"/>
    <w:rsid w:val="004F1886"/>
    <w:rsid w:val="004F1968"/>
    <w:rsid w:val="004F1B8E"/>
    <w:rsid w:val="004F1C76"/>
    <w:rsid w:val="004F1EC3"/>
    <w:rsid w:val="004F1F5E"/>
    <w:rsid w:val="004F2587"/>
    <w:rsid w:val="004F25D7"/>
    <w:rsid w:val="004F2B7C"/>
    <w:rsid w:val="004F2D1F"/>
    <w:rsid w:val="004F2D4E"/>
    <w:rsid w:val="004F2DE7"/>
    <w:rsid w:val="004F2DED"/>
    <w:rsid w:val="004F2DF0"/>
    <w:rsid w:val="004F303D"/>
    <w:rsid w:val="004F3196"/>
    <w:rsid w:val="004F3264"/>
    <w:rsid w:val="004F35FC"/>
    <w:rsid w:val="004F3C52"/>
    <w:rsid w:val="004F405A"/>
    <w:rsid w:val="004F4426"/>
    <w:rsid w:val="004F453B"/>
    <w:rsid w:val="004F4578"/>
    <w:rsid w:val="004F4692"/>
    <w:rsid w:val="004F47C5"/>
    <w:rsid w:val="004F48BE"/>
    <w:rsid w:val="004F49F4"/>
    <w:rsid w:val="004F4A8E"/>
    <w:rsid w:val="004F4B75"/>
    <w:rsid w:val="004F4C65"/>
    <w:rsid w:val="004F4D3D"/>
    <w:rsid w:val="004F4D8C"/>
    <w:rsid w:val="004F4E1D"/>
    <w:rsid w:val="004F5032"/>
    <w:rsid w:val="004F5098"/>
    <w:rsid w:val="004F5321"/>
    <w:rsid w:val="004F55B8"/>
    <w:rsid w:val="004F581C"/>
    <w:rsid w:val="004F5848"/>
    <w:rsid w:val="004F5C3D"/>
    <w:rsid w:val="004F5DEB"/>
    <w:rsid w:val="004F61AE"/>
    <w:rsid w:val="004F6419"/>
    <w:rsid w:val="004F6478"/>
    <w:rsid w:val="004F6917"/>
    <w:rsid w:val="004F69BA"/>
    <w:rsid w:val="004F6A50"/>
    <w:rsid w:val="004F6A80"/>
    <w:rsid w:val="004F6FF7"/>
    <w:rsid w:val="004F700C"/>
    <w:rsid w:val="004F743F"/>
    <w:rsid w:val="004F75DC"/>
    <w:rsid w:val="004F76E8"/>
    <w:rsid w:val="004F7B51"/>
    <w:rsid w:val="004F7B94"/>
    <w:rsid w:val="0050014F"/>
    <w:rsid w:val="00500363"/>
    <w:rsid w:val="0050045A"/>
    <w:rsid w:val="00500891"/>
    <w:rsid w:val="005008CC"/>
    <w:rsid w:val="00500962"/>
    <w:rsid w:val="00500A03"/>
    <w:rsid w:val="00500B3B"/>
    <w:rsid w:val="00500B49"/>
    <w:rsid w:val="00500D9C"/>
    <w:rsid w:val="00501115"/>
    <w:rsid w:val="00501179"/>
    <w:rsid w:val="00501386"/>
    <w:rsid w:val="00501620"/>
    <w:rsid w:val="00501781"/>
    <w:rsid w:val="00501975"/>
    <w:rsid w:val="00501D88"/>
    <w:rsid w:val="0050209A"/>
    <w:rsid w:val="005020F3"/>
    <w:rsid w:val="0050266A"/>
    <w:rsid w:val="005026DB"/>
    <w:rsid w:val="0050294B"/>
    <w:rsid w:val="005029F8"/>
    <w:rsid w:val="00502A95"/>
    <w:rsid w:val="00502AA0"/>
    <w:rsid w:val="00502BA4"/>
    <w:rsid w:val="00502CA7"/>
    <w:rsid w:val="00502CE7"/>
    <w:rsid w:val="00502F7E"/>
    <w:rsid w:val="0050305A"/>
    <w:rsid w:val="005032A4"/>
    <w:rsid w:val="005032B3"/>
    <w:rsid w:val="005032F7"/>
    <w:rsid w:val="00503AA0"/>
    <w:rsid w:val="00503C33"/>
    <w:rsid w:val="00503CB6"/>
    <w:rsid w:val="00503CB9"/>
    <w:rsid w:val="00503D04"/>
    <w:rsid w:val="00504077"/>
    <w:rsid w:val="00504100"/>
    <w:rsid w:val="005041FC"/>
    <w:rsid w:val="005042CE"/>
    <w:rsid w:val="0050454B"/>
    <w:rsid w:val="00504750"/>
    <w:rsid w:val="005048EA"/>
    <w:rsid w:val="00504931"/>
    <w:rsid w:val="00504AC2"/>
    <w:rsid w:val="00504DE1"/>
    <w:rsid w:val="00504FED"/>
    <w:rsid w:val="005050F2"/>
    <w:rsid w:val="0050514B"/>
    <w:rsid w:val="00505513"/>
    <w:rsid w:val="005055C9"/>
    <w:rsid w:val="005056AC"/>
    <w:rsid w:val="005057F1"/>
    <w:rsid w:val="00505995"/>
    <w:rsid w:val="005060C1"/>
    <w:rsid w:val="00506321"/>
    <w:rsid w:val="0050642C"/>
    <w:rsid w:val="0050649C"/>
    <w:rsid w:val="005064A0"/>
    <w:rsid w:val="005064D1"/>
    <w:rsid w:val="005065A9"/>
    <w:rsid w:val="005065D0"/>
    <w:rsid w:val="00506603"/>
    <w:rsid w:val="005066E9"/>
    <w:rsid w:val="00506D4D"/>
    <w:rsid w:val="00506E12"/>
    <w:rsid w:val="00506EEC"/>
    <w:rsid w:val="00506F59"/>
    <w:rsid w:val="00506FE8"/>
    <w:rsid w:val="005070D9"/>
    <w:rsid w:val="005071E4"/>
    <w:rsid w:val="005072A9"/>
    <w:rsid w:val="005073D9"/>
    <w:rsid w:val="0050791C"/>
    <w:rsid w:val="00507A5A"/>
    <w:rsid w:val="0051006D"/>
    <w:rsid w:val="0051031A"/>
    <w:rsid w:val="00510381"/>
    <w:rsid w:val="00510CCD"/>
    <w:rsid w:val="00510DEC"/>
    <w:rsid w:val="0051112E"/>
    <w:rsid w:val="005111D2"/>
    <w:rsid w:val="005111E6"/>
    <w:rsid w:val="0051120A"/>
    <w:rsid w:val="005112BB"/>
    <w:rsid w:val="00511427"/>
    <w:rsid w:val="0051158F"/>
    <w:rsid w:val="005115C1"/>
    <w:rsid w:val="005116A8"/>
    <w:rsid w:val="00511EB3"/>
    <w:rsid w:val="00511F00"/>
    <w:rsid w:val="00511F74"/>
    <w:rsid w:val="00512329"/>
    <w:rsid w:val="00512B14"/>
    <w:rsid w:val="00512B19"/>
    <w:rsid w:val="00512E23"/>
    <w:rsid w:val="005130A6"/>
    <w:rsid w:val="00513571"/>
    <w:rsid w:val="00513573"/>
    <w:rsid w:val="005135D1"/>
    <w:rsid w:val="0051367E"/>
    <w:rsid w:val="005136B9"/>
    <w:rsid w:val="0051370D"/>
    <w:rsid w:val="00513996"/>
    <w:rsid w:val="00513B9B"/>
    <w:rsid w:val="00513D08"/>
    <w:rsid w:val="00513E31"/>
    <w:rsid w:val="00513ED4"/>
    <w:rsid w:val="00513F58"/>
    <w:rsid w:val="00513FC7"/>
    <w:rsid w:val="00514011"/>
    <w:rsid w:val="0051413E"/>
    <w:rsid w:val="00514307"/>
    <w:rsid w:val="00514329"/>
    <w:rsid w:val="00514439"/>
    <w:rsid w:val="0051490A"/>
    <w:rsid w:val="00514B16"/>
    <w:rsid w:val="00514D79"/>
    <w:rsid w:val="00514DC0"/>
    <w:rsid w:val="005150D5"/>
    <w:rsid w:val="00515203"/>
    <w:rsid w:val="005156C2"/>
    <w:rsid w:val="00515845"/>
    <w:rsid w:val="00515B1D"/>
    <w:rsid w:val="00515D45"/>
    <w:rsid w:val="00515E2A"/>
    <w:rsid w:val="005161AA"/>
    <w:rsid w:val="00516228"/>
    <w:rsid w:val="005163CB"/>
    <w:rsid w:val="00516561"/>
    <w:rsid w:val="0051660D"/>
    <w:rsid w:val="00516950"/>
    <w:rsid w:val="00516C64"/>
    <w:rsid w:val="00516D94"/>
    <w:rsid w:val="00517102"/>
    <w:rsid w:val="00517268"/>
    <w:rsid w:val="00517314"/>
    <w:rsid w:val="0051735C"/>
    <w:rsid w:val="00517371"/>
    <w:rsid w:val="0051795E"/>
    <w:rsid w:val="00517A21"/>
    <w:rsid w:val="00517CD1"/>
    <w:rsid w:val="00517DAA"/>
    <w:rsid w:val="00520158"/>
    <w:rsid w:val="00520317"/>
    <w:rsid w:val="005208CB"/>
    <w:rsid w:val="00520FCB"/>
    <w:rsid w:val="005210DA"/>
    <w:rsid w:val="0052115A"/>
    <w:rsid w:val="005211ED"/>
    <w:rsid w:val="005212E8"/>
    <w:rsid w:val="00521486"/>
    <w:rsid w:val="005215FD"/>
    <w:rsid w:val="0052178E"/>
    <w:rsid w:val="005218F4"/>
    <w:rsid w:val="00521CED"/>
    <w:rsid w:val="00521E8E"/>
    <w:rsid w:val="00521F2C"/>
    <w:rsid w:val="00521F7B"/>
    <w:rsid w:val="00522074"/>
    <w:rsid w:val="00522193"/>
    <w:rsid w:val="00522634"/>
    <w:rsid w:val="0052284F"/>
    <w:rsid w:val="00522B26"/>
    <w:rsid w:val="00522C79"/>
    <w:rsid w:val="00522D72"/>
    <w:rsid w:val="00522F1F"/>
    <w:rsid w:val="0052334B"/>
    <w:rsid w:val="005237CE"/>
    <w:rsid w:val="005238A9"/>
    <w:rsid w:val="005239D3"/>
    <w:rsid w:val="00523CF5"/>
    <w:rsid w:val="00524051"/>
    <w:rsid w:val="00524444"/>
    <w:rsid w:val="0052447A"/>
    <w:rsid w:val="005248B9"/>
    <w:rsid w:val="0052496F"/>
    <w:rsid w:val="00524975"/>
    <w:rsid w:val="00524A8F"/>
    <w:rsid w:val="00524D15"/>
    <w:rsid w:val="0052502E"/>
    <w:rsid w:val="0052507F"/>
    <w:rsid w:val="005250D8"/>
    <w:rsid w:val="00525107"/>
    <w:rsid w:val="005251FA"/>
    <w:rsid w:val="00525412"/>
    <w:rsid w:val="0052575F"/>
    <w:rsid w:val="00525850"/>
    <w:rsid w:val="005258E0"/>
    <w:rsid w:val="00525A3E"/>
    <w:rsid w:val="00525AD4"/>
    <w:rsid w:val="00525BCD"/>
    <w:rsid w:val="00525BFB"/>
    <w:rsid w:val="00525D19"/>
    <w:rsid w:val="00525DBC"/>
    <w:rsid w:val="00526042"/>
    <w:rsid w:val="00526244"/>
    <w:rsid w:val="005263C4"/>
    <w:rsid w:val="005264F5"/>
    <w:rsid w:val="005265A5"/>
    <w:rsid w:val="00526672"/>
    <w:rsid w:val="00526ABF"/>
    <w:rsid w:val="00526CD6"/>
    <w:rsid w:val="005271E9"/>
    <w:rsid w:val="00527225"/>
    <w:rsid w:val="00527313"/>
    <w:rsid w:val="00527431"/>
    <w:rsid w:val="005276AD"/>
    <w:rsid w:val="00527A96"/>
    <w:rsid w:val="00527CDF"/>
    <w:rsid w:val="00530145"/>
    <w:rsid w:val="005301C2"/>
    <w:rsid w:val="00530F46"/>
    <w:rsid w:val="00531150"/>
    <w:rsid w:val="005311BE"/>
    <w:rsid w:val="005311E3"/>
    <w:rsid w:val="00531285"/>
    <w:rsid w:val="005315D7"/>
    <w:rsid w:val="005316AD"/>
    <w:rsid w:val="005319E3"/>
    <w:rsid w:val="00531A22"/>
    <w:rsid w:val="00531A87"/>
    <w:rsid w:val="00531F12"/>
    <w:rsid w:val="00531F58"/>
    <w:rsid w:val="00531F8B"/>
    <w:rsid w:val="00532182"/>
    <w:rsid w:val="0053223C"/>
    <w:rsid w:val="00532456"/>
    <w:rsid w:val="0053294A"/>
    <w:rsid w:val="0053294D"/>
    <w:rsid w:val="00532B2E"/>
    <w:rsid w:val="00532DCF"/>
    <w:rsid w:val="0053315C"/>
    <w:rsid w:val="005331C8"/>
    <w:rsid w:val="005331F3"/>
    <w:rsid w:val="0053331E"/>
    <w:rsid w:val="005333DE"/>
    <w:rsid w:val="00533856"/>
    <w:rsid w:val="005338B0"/>
    <w:rsid w:val="0053398A"/>
    <w:rsid w:val="00533CD2"/>
    <w:rsid w:val="00533D63"/>
    <w:rsid w:val="00534095"/>
    <w:rsid w:val="0053415E"/>
    <w:rsid w:val="00534200"/>
    <w:rsid w:val="00534337"/>
    <w:rsid w:val="0053446E"/>
    <w:rsid w:val="00534BBD"/>
    <w:rsid w:val="00534D9E"/>
    <w:rsid w:val="00534DD0"/>
    <w:rsid w:val="0053506A"/>
    <w:rsid w:val="005350D0"/>
    <w:rsid w:val="00535208"/>
    <w:rsid w:val="0053532B"/>
    <w:rsid w:val="00535573"/>
    <w:rsid w:val="005357F0"/>
    <w:rsid w:val="00535902"/>
    <w:rsid w:val="00535CE0"/>
    <w:rsid w:val="005362B9"/>
    <w:rsid w:val="00536310"/>
    <w:rsid w:val="005364F9"/>
    <w:rsid w:val="00536517"/>
    <w:rsid w:val="00536630"/>
    <w:rsid w:val="00536721"/>
    <w:rsid w:val="00536737"/>
    <w:rsid w:val="0053677A"/>
    <w:rsid w:val="00536A14"/>
    <w:rsid w:val="00536A31"/>
    <w:rsid w:val="00536A7E"/>
    <w:rsid w:val="00536D24"/>
    <w:rsid w:val="00536FA9"/>
    <w:rsid w:val="005370EE"/>
    <w:rsid w:val="0053711E"/>
    <w:rsid w:val="00537605"/>
    <w:rsid w:val="00537641"/>
    <w:rsid w:val="0053786E"/>
    <w:rsid w:val="00537C22"/>
    <w:rsid w:val="0054005C"/>
    <w:rsid w:val="005408FA"/>
    <w:rsid w:val="00540A16"/>
    <w:rsid w:val="00540C23"/>
    <w:rsid w:val="00540F19"/>
    <w:rsid w:val="0054119A"/>
    <w:rsid w:val="0054126D"/>
    <w:rsid w:val="0054131A"/>
    <w:rsid w:val="00541403"/>
    <w:rsid w:val="005418FF"/>
    <w:rsid w:val="0054192D"/>
    <w:rsid w:val="0054199F"/>
    <w:rsid w:val="00541AA3"/>
    <w:rsid w:val="00541C21"/>
    <w:rsid w:val="00541C92"/>
    <w:rsid w:val="00541CAA"/>
    <w:rsid w:val="00541DA3"/>
    <w:rsid w:val="00541EC5"/>
    <w:rsid w:val="00542484"/>
    <w:rsid w:val="0054265B"/>
    <w:rsid w:val="00542666"/>
    <w:rsid w:val="00542724"/>
    <w:rsid w:val="00542755"/>
    <w:rsid w:val="00542B1E"/>
    <w:rsid w:val="00542DA6"/>
    <w:rsid w:val="00542FC7"/>
    <w:rsid w:val="00543083"/>
    <w:rsid w:val="005430A3"/>
    <w:rsid w:val="0054311B"/>
    <w:rsid w:val="0054373A"/>
    <w:rsid w:val="00543A90"/>
    <w:rsid w:val="00543AD5"/>
    <w:rsid w:val="00543BE4"/>
    <w:rsid w:val="00543DD3"/>
    <w:rsid w:val="005440E4"/>
    <w:rsid w:val="00544225"/>
    <w:rsid w:val="00544379"/>
    <w:rsid w:val="005444E6"/>
    <w:rsid w:val="00544545"/>
    <w:rsid w:val="00544863"/>
    <w:rsid w:val="00544DC1"/>
    <w:rsid w:val="00545256"/>
    <w:rsid w:val="00545341"/>
    <w:rsid w:val="00545419"/>
    <w:rsid w:val="0054559D"/>
    <w:rsid w:val="005458DD"/>
    <w:rsid w:val="005459EA"/>
    <w:rsid w:val="00545F62"/>
    <w:rsid w:val="00545F79"/>
    <w:rsid w:val="00546162"/>
    <w:rsid w:val="00546396"/>
    <w:rsid w:val="005466D8"/>
    <w:rsid w:val="0054688D"/>
    <w:rsid w:val="00546C23"/>
    <w:rsid w:val="00547005"/>
    <w:rsid w:val="0054718B"/>
    <w:rsid w:val="005471C6"/>
    <w:rsid w:val="00547411"/>
    <w:rsid w:val="005474AE"/>
    <w:rsid w:val="0054763A"/>
    <w:rsid w:val="00547A9A"/>
    <w:rsid w:val="00547C86"/>
    <w:rsid w:val="00550157"/>
    <w:rsid w:val="0055019C"/>
    <w:rsid w:val="0055038D"/>
    <w:rsid w:val="005503C8"/>
    <w:rsid w:val="005503F9"/>
    <w:rsid w:val="005506E7"/>
    <w:rsid w:val="00550910"/>
    <w:rsid w:val="00550BCA"/>
    <w:rsid w:val="00550F0E"/>
    <w:rsid w:val="00551010"/>
    <w:rsid w:val="00551159"/>
    <w:rsid w:val="005512B6"/>
    <w:rsid w:val="00551319"/>
    <w:rsid w:val="00551444"/>
    <w:rsid w:val="00551472"/>
    <w:rsid w:val="00551674"/>
    <w:rsid w:val="00551981"/>
    <w:rsid w:val="005519BF"/>
    <w:rsid w:val="00551B54"/>
    <w:rsid w:val="00551CC0"/>
    <w:rsid w:val="00551CE2"/>
    <w:rsid w:val="00551FB1"/>
    <w:rsid w:val="005520A1"/>
    <w:rsid w:val="00552183"/>
    <w:rsid w:val="00552344"/>
    <w:rsid w:val="005523B6"/>
    <w:rsid w:val="00552875"/>
    <w:rsid w:val="005529D3"/>
    <w:rsid w:val="00552AD8"/>
    <w:rsid w:val="00552CBC"/>
    <w:rsid w:val="00552D0B"/>
    <w:rsid w:val="00552E2B"/>
    <w:rsid w:val="0055305B"/>
    <w:rsid w:val="005532AB"/>
    <w:rsid w:val="00553399"/>
    <w:rsid w:val="005534C5"/>
    <w:rsid w:val="00553672"/>
    <w:rsid w:val="00553C82"/>
    <w:rsid w:val="00554592"/>
    <w:rsid w:val="005545FB"/>
    <w:rsid w:val="005549DA"/>
    <w:rsid w:val="00554D1D"/>
    <w:rsid w:val="00555174"/>
    <w:rsid w:val="00555298"/>
    <w:rsid w:val="00555519"/>
    <w:rsid w:val="0055553A"/>
    <w:rsid w:val="00555625"/>
    <w:rsid w:val="00555703"/>
    <w:rsid w:val="00555A98"/>
    <w:rsid w:val="00555B36"/>
    <w:rsid w:val="00555CDE"/>
    <w:rsid w:val="00555E22"/>
    <w:rsid w:val="00556105"/>
    <w:rsid w:val="005565B3"/>
    <w:rsid w:val="00556696"/>
    <w:rsid w:val="00556891"/>
    <w:rsid w:val="00556AD6"/>
    <w:rsid w:val="00556B31"/>
    <w:rsid w:val="00556C54"/>
    <w:rsid w:val="00556F6F"/>
    <w:rsid w:val="00557135"/>
    <w:rsid w:val="005571F4"/>
    <w:rsid w:val="0055726C"/>
    <w:rsid w:val="005575C1"/>
    <w:rsid w:val="005575D2"/>
    <w:rsid w:val="00557684"/>
    <w:rsid w:val="00557DE1"/>
    <w:rsid w:val="005600FA"/>
    <w:rsid w:val="005601AB"/>
    <w:rsid w:val="00560280"/>
    <w:rsid w:val="00560658"/>
    <w:rsid w:val="00560673"/>
    <w:rsid w:val="00560A0C"/>
    <w:rsid w:val="00560CE3"/>
    <w:rsid w:val="00561032"/>
    <w:rsid w:val="00561116"/>
    <w:rsid w:val="005614C4"/>
    <w:rsid w:val="00561540"/>
    <w:rsid w:val="005616F9"/>
    <w:rsid w:val="00561BBA"/>
    <w:rsid w:val="00561EF6"/>
    <w:rsid w:val="0056211F"/>
    <w:rsid w:val="0056229C"/>
    <w:rsid w:val="005627B7"/>
    <w:rsid w:val="005628E1"/>
    <w:rsid w:val="00562B1E"/>
    <w:rsid w:val="00562FB5"/>
    <w:rsid w:val="00563026"/>
    <w:rsid w:val="005630F4"/>
    <w:rsid w:val="00563115"/>
    <w:rsid w:val="00563168"/>
    <w:rsid w:val="005633A2"/>
    <w:rsid w:val="00563422"/>
    <w:rsid w:val="00563569"/>
    <w:rsid w:val="005636E7"/>
    <w:rsid w:val="0056374F"/>
    <w:rsid w:val="005638BD"/>
    <w:rsid w:val="0056397E"/>
    <w:rsid w:val="00563A6B"/>
    <w:rsid w:val="00563AE2"/>
    <w:rsid w:val="00563D3D"/>
    <w:rsid w:val="00563D58"/>
    <w:rsid w:val="00564047"/>
    <w:rsid w:val="00564083"/>
    <w:rsid w:val="005640BB"/>
    <w:rsid w:val="005641CD"/>
    <w:rsid w:val="0056423C"/>
    <w:rsid w:val="0056471D"/>
    <w:rsid w:val="0056474E"/>
    <w:rsid w:val="005647AC"/>
    <w:rsid w:val="005649EA"/>
    <w:rsid w:val="00564AFD"/>
    <w:rsid w:val="00564C28"/>
    <w:rsid w:val="00564CAE"/>
    <w:rsid w:val="00565292"/>
    <w:rsid w:val="00565573"/>
    <w:rsid w:val="00565668"/>
    <w:rsid w:val="00565BEC"/>
    <w:rsid w:val="00565DB3"/>
    <w:rsid w:val="00566139"/>
    <w:rsid w:val="0056635F"/>
    <w:rsid w:val="00566520"/>
    <w:rsid w:val="00566768"/>
    <w:rsid w:val="00566793"/>
    <w:rsid w:val="00566996"/>
    <w:rsid w:val="00566B89"/>
    <w:rsid w:val="00566D6E"/>
    <w:rsid w:val="0056717D"/>
    <w:rsid w:val="005671AC"/>
    <w:rsid w:val="005676ED"/>
    <w:rsid w:val="00567715"/>
    <w:rsid w:val="0056777B"/>
    <w:rsid w:val="005677FC"/>
    <w:rsid w:val="00567A10"/>
    <w:rsid w:val="00567F4E"/>
    <w:rsid w:val="00570127"/>
    <w:rsid w:val="0057017E"/>
    <w:rsid w:val="00570387"/>
    <w:rsid w:val="005703AA"/>
    <w:rsid w:val="0057071E"/>
    <w:rsid w:val="00570871"/>
    <w:rsid w:val="00570A4A"/>
    <w:rsid w:val="00570C26"/>
    <w:rsid w:val="00570C30"/>
    <w:rsid w:val="00570E54"/>
    <w:rsid w:val="0057106D"/>
    <w:rsid w:val="005712BD"/>
    <w:rsid w:val="005712BE"/>
    <w:rsid w:val="00571355"/>
    <w:rsid w:val="00571473"/>
    <w:rsid w:val="005717AD"/>
    <w:rsid w:val="00571B45"/>
    <w:rsid w:val="00571B47"/>
    <w:rsid w:val="00572009"/>
    <w:rsid w:val="005720CB"/>
    <w:rsid w:val="00572186"/>
    <w:rsid w:val="005722B6"/>
    <w:rsid w:val="0057239A"/>
    <w:rsid w:val="00572418"/>
    <w:rsid w:val="005725EA"/>
    <w:rsid w:val="00572897"/>
    <w:rsid w:val="005728D5"/>
    <w:rsid w:val="0057294A"/>
    <w:rsid w:val="00572A4A"/>
    <w:rsid w:val="00572C27"/>
    <w:rsid w:val="00572E6F"/>
    <w:rsid w:val="00573018"/>
    <w:rsid w:val="00573214"/>
    <w:rsid w:val="00573257"/>
    <w:rsid w:val="00573571"/>
    <w:rsid w:val="0057365F"/>
    <w:rsid w:val="005738E5"/>
    <w:rsid w:val="00573AC2"/>
    <w:rsid w:val="00573D40"/>
    <w:rsid w:val="00573DB7"/>
    <w:rsid w:val="00573E57"/>
    <w:rsid w:val="00574378"/>
    <w:rsid w:val="0057442D"/>
    <w:rsid w:val="0057454D"/>
    <w:rsid w:val="00574760"/>
    <w:rsid w:val="00574BA3"/>
    <w:rsid w:val="00574BC7"/>
    <w:rsid w:val="0057501A"/>
    <w:rsid w:val="0057517D"/>
    <w:rsid w:val="0057532D"/>
    <w:rsid w:val="005753C5"/>
    <w:rsid w:val="0057552F"/>
    <w:rsid w:val="0057554C"/>
    <w:rsid w:val="0057561E"/>
    <w:rsid w:val="00575665"/>
    <w:rsid w:val="00575836"/>
    <w:rsid w:val="00575D92"/>
    <w:rsid w:val="00575F1B"/>
    <w:rsid w:val="005761B6"/>
    <w:rsid w:val="00576240"/>
    <w:rsid w:val="0057634C"/>
    <w:rsid w:val="00576484"/>
    <w:rsid w:val="005764A2"/>
    <w:rsid w:val="0057678C"/>
    <w:rsid w:val="00576840"/>
    <w:rsid w:val="00576DC8"/>
    <w:rsid w:val="00576F3B"/>
    <w:rsid w:val="005774C3"/>
    <w:rsid w:val="005776E0"/>
    <w:rsid w:val="005776FC"/>
    <w:rsid w:val="0057776D"/>
    <w:rsid w:val="005778F8"/>
    <w:rsid w:val="005779EE"/>
    <w:rsid w:val="00577B18"/>
    <w:rsid w:val="00577B7B"/>
    <w:rsid w:val="00577C83"/>
    <w:rsid w:val="00577F50"/>
    <w:rsid w:val="0058039B"/>
    <w:rsid w:val="005803FE"/>
    <w:rsid w:val="005806BF"/>
    <w:rsid w:val="00580753"/>
    <w:rsid w:val="00581214"/>
    <w:rsid w:val="005814E7"/>
    <w:rsid w:val="00581621"/>
    <w:rsid w:val="00581864"/>
    <w:rsid w:val="00581AFE"/>
    <w:rsid w:val="00581E70"/>
    <w:rsid w:val="005828C0"/>
    <w:rsid w:val="00582B44"/>
    <w:rsid w:val="00582C0C"/>
    <w:rsid w:val="00582D05"/>
    <w:rsid w:val="00583303"/>
    <w:rsid w:val="005835B5"/>
    <w:rsid w:val="005836E9"/>
    <w:rsid w:val="00583815"/>
    <w:rsid w:val="00583955"/>
    <w:rsid w:val="00583DE4"/>
    <w:rsid w:val="005841AF"/>
    <w:rsid w:val="00584276"/>
    <w:rsid w:val="0058433C"/>
    <w:rsid w:val="005845BD"/>
    <w:rsid w:val="0058478D"/>
    <w:rsid w:val="005849FF"/>
    <w:rsid w:val="005851C9"/>
    <w:rsid w:val="0058527D"/>
    <w:rsid w:val="005857AD"/>
    <w:rsid w:val="00585AD8"/>
    <w:rsid w:val="00585EB4"/>
    <w:rsid w:val="005861CA"/>
    <w:rsid w:val="0058639E"/>
    <w:rsid w:val="005865E3"/>
    <w:rsid w:val="0058688B"/>
    <w:rsid w:val="00586911"/>
    <w:rsid w:val="00586C29"/>
    <w:rsid w:val="00586C41"/>
    <w:rsid w:val="00586D36"/>
    <w:rsid w:val="005870C8"/>
    <w:rsid w:val="0058711F"/>
    <w:rsid w:val="005871DC"/>
    <w:rsid w:val="00587348"/>
    <w:rsid w:val="00587448"/>
    <w:rsid w:val="00587777"/>
    <w:rsid w:val="005878FD"/>
    <w:rsid w:val="0058793B"/>
    <w:rsid w:val="00587C79"/>
    <w:rsid w:val="00587D21"/>
    <w:rsid w:val="00587D82"/>
    <w:rsid w:val="00587E17"/>
    <w:rsid w:val="005900A0"/>
    <w:rsid w:val="0059023E"/>
    <w:rsid w:val="00590248"/>
    <w:rsid w:val="005902A4"/>
    <w:rsid w:val="0059058E"/>
    <w:rsid w:val="00590631"/>
    <w:rsid w:val="0059069D"/>
    <w:rsid w:val="005908D5"/>
    <w:rsid w:val="00590A8A"/>
    <w:rsid w:val="00590A97"/>
    <w:rsid w:val="00590AD5"/>
    <w:rsid w:val="00590BEC"/>
    <w:rsid w:val="00590D60"/>
    <w:rsid w:val="005912E4"/>
    <w:rsid w:val="005913F7"/>
    <w:rsid w:val="005914FA"/>
    <w:rsid w:val="00591660"/>
    <w:rsid w:val="0059172B"/>
    <w:rsid w:val="00591917"/>
    <w:rsid w:val="005919D8"/>
    <w:rsid w:val="00591AA2"/>
    <w:rsid w:val="00591CE8"/>
    <w:rsid w:val="00591D74"/>
    <w:rsid w:val="00591E88"/>
    <w:rsid w:val="00591F76"/>
    <w:rsid w:val="00592040"/>
    <w:rsid w:val="00592392"/>
    <w:rsid w:val="00592425"/>
    <w:rsid w:val="00592634"/>
    <w:rsid w:val="005929DB"/>
    <w:rsid w:val="00592ED7"/>
    <w:rsid w:val="00592F4A"/>
    <w:rsid w:val="00593048"/>
    <w:rsid w:val="00593206"/>
    <w:rsid w:val="0059339D"/>
    <w:rsid w:val="00593EAE"/>
    <w:rsid w:val="00593EFD"/>
    <w:rsid w:val="005942AE"/>
    <w:rsid w:val="005942BB"/>
    <w:rsid w:val="00594331"/>
    <w:rsid w:val="00594356"/>
    <w:rsid w:val="005947DD"/>
    <w:rsid w:val="0059498D"/>
    <w:rsid w:val="00594A7E"/>
    <w:rsid w:val="00594A96"/>
    <w:rsid w:val="00595014"/>
    <w:rsid w:val="005950BE"/>
    <w:rsid w:val="00595122"/>
    <w:rsid w:val="00595384"/>
    <w:rsid w:val="005954DB"/>
    <w:rsid w:val="00595508"/>
    <w:rsid w:val="00595785"/>
    <w:rsid w:val="005958F8"/>
    <w:rsid w:val="00595B46"/>
    <w:rsid w:val="00595B8A"/>
    <w:rsid w:val="00595BCE"/>
    <w:rsid w:val="00595EF4"/>
    <w:rsid w:val="00596280"/>
    <w:rsid w:val="00596497"/>
    <w:rsid w:val="005964B4"/>
    <w:rsid w:val="005964FA"/>
    <w:rsid w:val="00596505"/>
    <w:rsid w:val="005965DF"/>
    <w:rsid w:val="00596783"/>
    <w:rsid w:val="00596990"/>
    <w:rsid w:val="00596A61"/>
    <w:rsid w:val="00596C94"/>
    <w:rsid w:val="00596F06"/>
    <w:rsid w:val="00596F20"/>
    <w:rsid w:val="005970C1"/>
    <w:rsid w:val="00597389"/>
    <w:rsid w:val="005975C9"/>
    <w:rsid w:val="0059777A"/>
    <w:rsid w:val="005978F2"/>
    <w:rsid w:val="00597A34"/>
    <w:rsid w:val="00597BB8"/>
    <w:rsid w:val="00597BFF"/>
    <w:rsid w:val="00597F5A"/>
    <w:rsid w:val="005A000C"/>
    <w:rsid w:val="005A053C"/>
    <w:rsid w:val="005A09EB"/>
    <w:rsid w:val="005A0C38"/>
    <w:rsid w:val="005A0DB4"/>
    <w:rsid w:val="005A0FA5"/>
    <w:rsid w:val="005A0FC9"/>
    <w:rsid w:val="005A10B2"/>
    <w:rsid w:val="005A110E"/>
    <w:rsid w:val="005A113C"/>
    <w:rsid w:val="005A1208"/>
    <w:rsid w:val="005A12D0"/>
    <w:rsid w:val="005A145C"/>
    <w:rsid w:val="005A198B"/>
    <w:rsid w:val="005A1ABD"/>
    <w:rsid w:val="005A1C13"/>
    <w:rsid w:val="005A1CC5"/>
    <w:rsid w:val="005A1CFE"/>
    <w:rsid w:val="005A1DCF"/>
    <w:rsid w:val="005A21A9"/>
    <w:rsid w:val="005A2376"/>
    <w:rsid w:val="005A24AB"/>
    <w:rsid w:val="005A27E0"/>
    <w:rsid w:val="005A2AE2"/>
    <w:rsid w:val="005A2CAF"/>
    <w:rsid w:val="005A2D6D"/>
    <w:rsid w:val="005A2E6E"/>
    <w:rsid w:val="005A2ED3"/>
    <w:rsid w:val="005A2EDB"/>
    <w:rsid w:val="005A2FD0"/>
    <w:rsid w:val="005A31BB"/>
    <w:rsid w:val="005A3517"/>
    <w:rsid w:val="005A3887"/>
    <w:rsid w:val="005A3963"/>
    <w:rsid w:val="005A3CC2"/>
    <w:rsid w:val="005A40C9"/>
    <w:rsid w:val="005A40ED"/>
    <w:rsid w:val="005A426E"/>
    <w:rsid w:val="005A42AF"/>
    <w:rsid w:val="005A4686"/>
    <w:rsid w:val="005A4873"/>
    <w:rsid w:val="005A4DED"/>
    <w:rsid w:val="005A4E36"/>
    <w:rsid w:val="005A502A"/>
    <w:rsid w:val="005A5484"/>
    <w:rsid w:val="005A549A"/>
    <w:rsid w:val="005A574E"/>
    <w:rsid w:val="005A5D17"/>
    <w:rsid w:val="005A5DC4"/>
    <w:rsid w:val="005A6097"/>
    <w:rsid w:val="005A60CD"/>
    <w:rsid w:val="005A6646"/>
    <w:rsid w:val="005A6930"/>
    <w:rsid w:val="005A6A5C"/>
    <w:rsid w:val="005A6B04"/>
    <w:rsid w:val="005A6BF3"/>
    <w:rsid w:val="005A6D08"/>
    <w:rsid w:val="005A7159"/>
    <w:rsid w:val="005A71D4"/>
    <w:rsid w:val="005A7228"/>
    <w:rsid w:val="005A76EA"/>
    <w:rsid w:val="005A77C1"/>
    <w:rsid w:val="005A7890"/>
    <w:rsid w:val="005A7998"/>
    <w:rsid w:val="005A79DC"/>
    <w:rsid w:val="005A7E0C"/>
    <w:rsid w:val="005B0213"/>
    <w:rsid w:val="005B0309"/>
    <w:rsid w:val="005B066B"/>
    <w:rsid w:val="005B0858"/>
    <w:rsid w:val="005B09AA"/>
    <w:rsid w:val="005B0A55"/>
    <w:rsid w:val="005B0D16"/>
    <w:rsid w:val="005B0E79"/>
    <w:rsid w:val="005B0F98"/>
    <w:rsid w:val="005B0FA9"/>
    <w:rsid w:val="005B13DC"/>
    <w:rsid w:val="005B15E2"/>
    <w:rsid w:val="005B1699"/>
    <w:rsid w:val="005B17E7"/>
    <w:rsid w:val="005B1875"/>
    <w:rsid w:val="005B1891"/>
    <w:rsid w:val="005B1C8A"/>
    <w:rsid w:val="005B1CE8"/>
    <w:rsid w:val="005B1FC9"/>
    <w:rsid w:val="005B200F"/>
    <w:rsid w:val="005B20A1"/>
    <w:rsid w:val="005B210D"/>
    <w:rsid w:val="005B2492"/>
    <w:rsid w:val="005B25E6"/>
    <w:rsid w:val="005B265A"/>
    <w:rsid w:val="005B26CF"/>
    <w:rsid w:val="005B28AE"/>
    <w:rsid w:val="005B2AD7"/>
    <w:rsid w:val="005B2B72"/>
    <w:rsid w:val="005B2E72"/>
    <w:rsid w:val="005B3398"/>
    <w:rsid w:val="005B372A"/>
    <w:rsid w:val="005B3B21"/>
    <w:rsid w:val="005B3B98"/>
    <w:rsid w:val="005B3C15"/>
    <w:rsid w:val="005B3CBE"/>
    <w:rsid w:val="005B41F5"/>
    <w:rsid w:val="005B423B"/>
    <w:rsid w:val="005B44FA"/>
    <w:rsid w:val="005B464F"/>
    <w:rsid w:val="005B4906"/>
    <w:rsid w:val="005B4CD0"/>
    <w:rsid w:val="005B56DF"/>
    <w:rsid w:val="005B593D"/>
    <w:rsid w:val="005B5C29"/>
    <w:rsid w:val="005B5EDD"/>
    <w:rsid w:val="005B5EE6"/>
    <w:rsid w:val="005B5F56"/>
    <w:rsid w:val="005B5FCC"/>
    <w:rsid w:val="005B6059"/>
    <w:rsid w:val="005B6069"/>
    <w:rsid w:val="005B607F"/>
    <w:rsid w:val="005B62C5"/>
    <w:rsid w:val="005B6465"/>
    <w:rsid w:val="005B65E0"/>
    <w:rsid w:val="005B6703"/>
    <w:rsid w:val="005B67D2"/>
    <w:rsid w:val="005B6947"/>
    <w:rsid w:val="005B69DC"/>
    <w:rsid w:val="005B6A22"/>
    <w:rsid w:val="005B6A81"/>
    <w:rsid w:val="005B6B54"/>
    <w:rsid w:val="005B6DFC"/>
    <w:rsid w:val="005B6EBB"/>
    <w:rsid w:val="005B71A4"/>
    <w:rsid w:val="005B7264"/>
    <w:rsid w:val="005B72AB"/>
    <w:rsid w:val="005B7331"/>
    <w:rsid w:val="005B7B28"/>
    <w:rsid w:val="005B7BC9"/>
    <w:rsid w:val="005C0079"/>
    <w:rsid w:val="005C00E5"/>
    <w:rsid w:val="005C014D"/>
    <w:rsid w:val="005C0151"/>
    <w:rsid w:val="005C01EE"/>
    <w:rsid w:val="005C052F"/>
    <w:rsid w:val="005C06F2"/>
    <w:rsid w:val="005C080C"/>
    <w:rsid w:val="005C083E"/>
    <w:rsid w:val="005C0B6C"/>
    <w:rsid w:val="005C0E45"/>
    <w:rsid w:val="005C12E7"/>
    <w:rsid w:val="005C1678"/>
    <w:rsid w:val="005C1E29"/>
    <w:rsid w:val="005C1EAE"/>
    <w:rsid w:val="005C2149"/>
    <w:rsid w:val="005C2435"/>
    <w:rsid w:val="005C2533"/>
    <w:rsid w:val="005C27A2"/>
    <w:rsid w:val="005C292F"/>
    <w:rsid w:val="005C2B30"/>
    <w:rsid w:val="005C2CA5"/>
    <w:rsid w:val="005C2D7C"/>
    <w:rsid w:val="005C2F16"/>
    <w:rsid w:val="005C316C"/>
    <w:rsid w:val="005C3195"/>
    <w:rsid w:val="005C36E4"/>
    <w:rsid w:val="005C3A29"/>
    <w:rsid w:val="005C3AAA"/>
    <w:rsid w:val="005C3BC4"/>
    <w:rsid w:val="005C41B4"/>
    <w:rsid w:val="005C432F"/>
    <w:rsid w:val="005C4707"/>
    <w:rsid w:val="005C47A8"/>
    <w:rsid w:val="005C48A6"/>
    <w:rsid w:val="005C4A75"/>
    <w:rsid w:val="005C4BA9"/>
    <w:rsid w:val="005C4C32"/>
    <w:rsid w:val="005C4DC3"/>
    <w:rsid w:val="005C4E82"/>
    <w:rsid w:val="005C51BF"/>
    <w:rsid w:val="005C544F"/>
    <w:rsid w:val="005C558F"/>
    <w:rsid w:val="005C5599"/>
    <w:rsid w:val="005C5859"/>
    <w:rsid w:val="005C58D8"/>
    <w:rsid w:val="005C590E"/>
    <w:rsid w:val="005C592E"/>
    <w:rsid w:val="005C5C74"/>
    <w:rsid w:val="005C5FB8"/>
    <w:rsid w:val="005C6000"/>
    <w:rsid w:val="005C607B"/>
    <w:rsid w:val="005C60F5"/>
    <w:rsid w:val="005C61E3"/>
    <w:rsid w:val="005C6290"/>
    <w:rsid w:val="005C6369"/>
    <w:rsid w:val="005C65CC"/>
    <w:rsid w:val="005C6A04"/>
    <w:rsid w:val="005C6A37"/>
    <w:rsid w:val="005C6A6D"/>
    <w:rsid w:val="005C6DD9"/>
    <w:rsid w:val="005C6E77"/>
    <w:rsid w:val="005C6EBE"/>
    <w:rsid w:val="005C70A7"/>
    <w:rsid w:val="005C74BB"/>
    <w:rsid w:val="005C7523"/>
    <w:rsid w:val="005C763F"/>
    <w:rsid w:val="005C7819"/>
    <w:rsid w:val="005C78C2"/>
    <w:rsid w:val="005C7E15"/>
    <w:rsid w:val="005C7FC9"/>
    <w:rsid w:val="005D0051"/>
    <w:rsid w:val="005D0316"/>
    <w:rsid w:val="005D0338"/>
    <w:rsid w:val="005D085A"/>
    <w:rsid w:val="005D0B4D"/>
    <w:rsid w:val="005D0C35"/>
    <w:rsid w:val="005D0C64"/>
    <w:rsid w:val="005D0E14"/>
    <w:rsid w:val="005D10AB"/>
    <w:rsid w:val="005D130F"/>
    <w:rsid w:val="005D139C"/>
    <w:rsid w:val="005D149A"/>
    <w:rsid w:val="005D18AA"/>
    <w:rsid w:val="005D19A6"/>
    <w:rsid w:val="005D1DE0"/>
    <w:rsid w:val="005D2331"/>
    <w:rsid w:val="005D25D7"/>
    <w:rsid w:val="005D260B"/>
    <w:rsid w:val="005D272A"/>
    <w:rsid w:val="005D2831"/>
    <w:rsid w:val="005D2AEB"/>
    <w:rsid w:val="005D2B48"/>
    <w:rsid w:val="005D3311"/>
    <w:rsid w:val="005D3474"/>
    <w:rsid w:val="005D3984"/>
    <w:rsid w:val="005D3BB7"/>
    <w:rsid w:val="005D3C82"/>
    <w:rsid w:val="005D3DB4"/>
    <w:rsid w:val="005D3EB1"/>
    <w:rsid w:val="005D3F9C"/>
    <w:rsid w:val="005D3FF4"/>
    <w:rsid w:val="005D4363"/>
    <w:rsid w:val="005D43E3"/>
    <w:rsid w:val="005D47A3"/>
    <w:rsid w:val="005D4856"/>
    <w:rsid w:val="005D4AFF"/>
    <w:rsid w:val="005D4CBF"/>
    <w:rsid w:val="005D4DCC"/>
    <w:rsid w:val="005D4F13"/>
    <w:rsid w:val="005D4FF5"/>
    <w:rsid w:val="005D545A"/>
    <w:rsid w:val="005D54BD"/>
    <w:rsid w:val="005D5734"/>
    <w:rsid w:val="005D57BA"/>
    <w:rsid w:val="005D57EB"/>
    <w:rsid w:val="005D58A9"/>
    <w:rsid w:val="005D5A28"/>
    <w:rsid w:val="005D5D00"/>
    <w:rsid w:val="005D5F11"/>
    <w:rsid w:val="005D6019"/>
    <w:rsid w:val="005D605A"/>
    <w:rsid w:val="005D6296"/>
    <w:rsid w:val="005D6382"/>
    <w:rsid w:val="005D63C6"/>
    <w:rsid w:val="005D64E6"/>
    <w:rsid w:val="005D65FD"/>
    <w:rsid w:val="005D6788"/>
    <w:rsid w:val="005D67F9"/>
    <w:rsid w:val="005D69AD"/>
    <w:rsid w:val="005D6C26"/>
    <w:rsid w:val="005D6E0D"/>
    <w:rsid w:val="005D6E22"/>
    <w:rsid w:val="005D6F25"/>
    <w:rsid w:val="005D70ED"/>
    <w:rsid w:val="005D718E"/>
    <w:rsid w:val="005D7723"/>
    <w:rsid w:val="005D77D9"/>
    <w:rsid w:val="005D7829"/>
    <w:rsid w:val="005D790C"/>
    <w:rsid w:val="005D7AB9"/>
    <w:rsid w:val="005D7D0D"/>
    <w:rsid w:val="005D7EE8"/>
    <w:rsid w:val="005E0223"/>
    <w:rsid w:val="005E0346"/>
    <w:rsid w:val="005E0446"/>
    <w:rsid w:val="005E0AA6"/>
    <w:rsid w:val="005E0AB6"/>
    <w:rsid w:val="005E1123"/>
    <w:rsid w:val="005E134D"/>
    <w:rsid w:val="005E143E"/>
    <w:rsid w:val="005E14A0"/>
    <w:rsid w:val="005E1563"/>
    <w:rsid w:val="005E159C"/>
    <w:rsid w:val="005E15E1"/>
    <w:rsid w:val="005E16C0"/>
    <w:rsid w:val="005E176C"/>
    <w:rsid w:val="005E177A"/>
    <w:rsid w:val="005E1A8E"/>
    <w:rsid w:val="005E1CCE"/>
    <w:rsid w:val="005E1E1E"/>
    <w:rsid w:val="005E2293"/>
    <w:rsid w:val="005E272B"/>
    <w:rsid w:val="005E2734"/>
    <w:rsid w:val="005E27C4"/>
    <w:rsid w:val="005E29B7"/>
    <w:rsid w:val="005E29CD"/>
    <w:rsid w:val="005E2E62"/>
    <w:rsid w:val="005E2E71"/>
    <w:rsid w:val="005E310A"/>
    <w:rsid w:val="005E3221"/>
    <w:rsid w:val="005E32DC"/>
    <w:rsid w:val="005E3430"/>
    <w:rsid w:val="005E3461"/>
    <w:rsid w:val="005E36EC"/>
    <w:rsid w:val="005E38ED"/>
    <w:rsid w:val="005E3B25"/>
    <w:rsid w:val="005E3B41"/>
    <w:rsid w:val="005E3C1D"/>
    <w:rsid w:val="005E3C86"/>
    <w:rsid w:val="005E3E19"/>
    <w:rsid w:val="005E3EAF"/>
    <w:rsid w:val="005E3EE0"/>
    <w:rsid w:val="005E3FCF"/>
    <w:rsid w:val="005E4315"/>
    <w:rsid w:val="005E43B1"/>
    <w:rsid w:val="005E4478"/>
    <w:rsid w:val="005E44B5"/>
    <w:rsid w:val="005E45AF"/>
    <w:rsid w:val="005E48B0"/>
    <w:rsid w:val="005E4CBC"/>
    <w:rsid w:val="005E4CFC"/>
    <w:rsid w:val="005E4EF1"/>
    <w:rsid w:val="005E507E"/>
    <w:rsid w:val="005E5354"/>
    <w:rsid w:val="005E53B3"/>
    <w:rsid w:val="005E54C7"/>
    <w:rsid w:val="005E564F"/>
    <w:rsid w:val="005E578A"/>
    <w:rsid w:val="005E58F7"/>
    <w:rsid w:val="005E5956"/>
    <w:rsid w:val="005E5960"/>
    <w:rsid w:val="005E5CE2"/>
    <w:rsid w:val="005E5EA2"/>
    <w:rsid w:val="005E5ED6"/>
    <w:rsid w:val="005E5F35"/>
    <w:rsid w:val="005E5FE8"/>
    <w:rsid w:val="005E605F"/>
    <w:rsid w:val="005E61E5"/>
    <w:rsid w:val="005E6A22"/>
    <w:rsid w:val="005E6A71"/>
    <w:rsid w:val="005E6BF0"/>
    <w:rsid w:val="005E6D9B"/>
    <w:rsid w:val="005E6E80"/>
    <w:rsid w:val="005E72E9"/>
    <w:rsid w:val="005E72F1"/>
    <w:rsid w:val="005E7377"/>
    <w:rsid w:val="005E73BF"/>
    <w:rsid w:val="005E73F5"/>
    <w:rsid w:val="005E74BF"/>
    <w:rsid w:val="005E751A"/>
    <w:rsid w:val="005E7691"/>
    <w:rsid w:val="005E76E0"/>
    <w:rsid w:val="005E7858"/>
    <w:rsid w:val="005E7A61"/>
    <w:rsid w:val="005E7C48"/>
    <w:rsid w:val="005E7C83"/>
    <w:rsid w:val="005E7CA6"/>
    <w:rsid w:val="005E7E0E"/>
    <w:rsid w:val="005F0034"/>
    <w:rsid w:val="005F017B"/>
    <w:rsid w:val="005F056F"/>
    <w:rsid w:val="005F07F1"/>
    <w:rsid w:val="005F09C7"/>
    <w:rsid w:val="005F0AF9"/>
    <w:rsid w:val="005F0E43"/>
    <w:rsid w:val="005F1000"/>
    <w:rsid w:val="005F1477"/>
    <w:rsid w:val="005F1537"/>
    <w:rsid w:val="005F15CC"/>
    <w:rsid w:val="005F15D3"/>
    <w:rsid w:val="005F160B"/>
    <w:rsid w:val="005F1819"/>
    <w:rsid w:val="005F1D82"/>
    <w:rsid w:val="005F1E20"/>
    <w:rsid w:val="005F1F56"/>
    <w:rsid w:val="005F2412"/>
    <w:rsid w:val="005F2467"/>
    <w:rsid w:val="005F2AFF"/>
    <w:rsid w:val="005F2C5E"/>
    <w:rsid w:val="005F2C6F"/>
    <w:rsid w:val="005F2F1A"/>
    <w:rsid w:val="005F2F94"/>
    <w:rsid w:val="005F331E"/>
    <w:rsid w:val="005F336D"/>
    <w:rsid w:val="005F3465"/>
    <w:rsid w:val="005F361C"/>
    <w:rsid w:val="005F3824"/>
    <w:rsid w:val="005F3940"/>
    <w:rsid w:val="005F3AF9"/>
    <w:rsid w:val="005F3BFE"/>
    <w:rsid w:val="005F3E7C"/>
    <w:rsid w:val="005F3E83"/>
    <w:rsid w:val="005F40D6"/>
    <w:rsid w:val="005F4487"/>
    <w:rsid w:val="005F44FF"/>
    <w:rsid w:val="005F45E1"/>
    <w:rsid w:val="005F45EF"/>
    <w:rsid w:val="005F484C"/>
    <w:rsid w:val="005F4AA2"/>
    <w:rsid w:val="005F5018"/>
    <w:rsid w:val="005F515E"/>
    <w:rsid w:val="005F52FA"/>
    <w:rsid w:val="005F5330"/>
    <w:rsid w:val="005F536F"/>
    <w:rsid w:val="005F57A1"/>
    <w:rsid w:val="005F58F2"/>
    <w:rsid w:val="005F5973"/>
    <w:rsid w:val="005F59FF"/>
    <w:rsid w:val="005F5B30"/>
    <w:rsid w:val="005F605A"/>
    <w:rsid w:val="005F60D3"/>
    <w:rsid w:val="005F6600"/>
    <w:rsid w:val="005F664F"/>
    <w:rsid w:val="005F6673"/>
    <w:rsid w:val="005F673B"/>
    <w:rsid w:val="005F6762"/>
    <w:rsid w:val="005F67C9"/>
    <w:rsid w:val="005F68D6"/>
    <w:rsid w:val="005F6974"/>
    <w:rsid w:val="005F6A68"/>
    <w:rsid w:val="005F6A6A"/>
    <w:rsid w:val="005F6AE2"/>
    <w:rsid w:val="005F6B3E"/>
    <w:rsid w:val="005F6D55"/>
    <w:rsid w:val="005F6DED"/>
    <w:rsid w:val="005F711A"/>
    <w:rsid w:val="005F7273"/>
    <w:rsid w:val="005F72BA"/>
    <w:rsid w:val="005F7750"/>
    <w:rsid w:val="005F79C4"/>
    <w:rsid w:val="005F79EA"/>
    <w:rsid w:val="005F7A95"/>
    <w:rsid w:val="005F7C33"/>
    <w:rsid w:val="005F7F01"/>
    <w:rsid w:val="0060023E"/>
    <w:rsid w:val="006003DD"/>
    <w:rsid w:val="006005B2"/>
    <w:rsid w:val="006005BD"/>
    <w:rsid w:val="00600BFA"/>
    <w:rsid w:val="00600C09"/>
    <w:rsid w:val="00600D69"/>
    <w:rsid w:val="00600DD6"/>
    <w:rsid w:val="00601138"/>
    <w:rsid w:val="0060113D"/>
    <w:rsid w:val="00601242"/>
    <w:rsid w:val="00601341"/>
    <w:rsid w:val="00601439"/>
    <w:rsid w:val="00601476"/>
    <w:rsid w:val="006017CF"/>
    <w:rsid w:val="006017DE"/>
    <w:rsid w:val="006019C1"/>
    <w:rsid w:val="006019E4"/>
    <w:rsid w:val="00601B45"/>
    <w:rsid w:val="00601B62"/>
    <w:rsid w:val="00601C1D"/>
    <w:rsid w:val="00601D78"/>
    <w:rsid w:val="00601F08"/>
    <w:rsid w:val="00602023"/>
    <w:rsid w:val="0060226E"/>
    <w:rsid w:val="00602367"/>
    <w:rsid w:val="006026D9"/>
    <w:rsid w:val="00602795"/>
    <w:rsid w:val="006027A6"/>
    <w:rsid w:val="006028D7"/>
    <w:rsid w:val="00602A84"/>
    <w:rsid w:val="00602B69"/>
    <w:rsid w:val="00602C40"/>
    <w:rsid w:val="00602CE7"/>
    <w:rsid w:val="00602DEA"/>
    <w:rsid w:val="00602E04"/>
    <w:rsid w:val="00603310"/>
    <w:rsid w:val="00603418"/>
    <w:rsid w:val="00603769"/>
    <w:rsid w:val="00603972"/>
    <w:rsid w:val="00603A1E"/>
    <w:rsid w:val="00603C80"/>
    <w:rsid w:val="00603EA2"/>
    <w:rsid w:val="00603F0F"/>
    <w:rsid w:val="00603FB7"/>
    <w:rsid w:val="006040F4"/>
    <w:rsid w:val="00604226"/>
    <w:rsid w:val="00604586"/>
    <w:rsid w:val="006049ED"/>
    <w:rsid w:val="00604A4B"/>
    <w:rsid w:val="0060503A"/>
    <w:rsid w:val="00605160"/>
    <w:rsid w:val="006052C3"/>
    <w:rsid w:val="0060537B"/>
    <w:rsid w:val="0060542D"/>
    <w:rsid w:val="00605553"/>
    <w:rsid w:val="00605571"/>
    <w:rsid w:val="006058AC"/>
    <w:rsid w:val="00605B99"/>
    <w:rsid w:val="00605DB5"/>
    <w:rsid w:val="00605EB1"/>
    <w:rsid w:val="00605EC0"/>
    <w:rsid w:val="00605F02"/>
    <w:rsid w:val="00606004"/>
    <w:rsid w:val="0060603F"/>
    <w:rsid w:val="00606092"/>
    <w:rsid w:val="006061E6"/>
    <w:rsid w:val="00606216"/>
    <w:rsid w:val="0060635D"/>
    <w:rsid w:val="006063BE"/>
    <w:rsid w:val="00606676"/>
    <w:rsid w:val="00606AC1"/>
    <w:rsid w:val="00606DDE"/>
    <w:rsid w:val="006070CE"/>
    <w:rsid w:val="00607555"/>
    <w:rsid w:val="006076A7"/>
    <w:rsid w:val="00607782"/>
    <w:rsid w:val="00607917"/>
    <w:rsid w:val="00607E1C"/>
    <w:rsid w:val="00607EC8"/>
    <w:rsid w:val="0061027C"/>
    <w:rsid w:val="006102DC"/>
    <w:rsid w:val="006106B0"/>
    <w:rsid w:val="006108C3"/>
    <w:rsid w:val="006108FD"/>
    <w:rsid w:val="00610B2E"/>
    <w:rsid w:val="00610C86"/>
    <w:rsid w:val="00610D12"/>
    <w:rsid w:val="00610DC6"/>
    <w:rsid w:val="00610E4A"/>
    <w:rsid w:val="0061114A"/>
    <w:rsid w:val="00611206"/>
    <w:rsid w:val="00611217"/>
    <w:rsid w:val="00611698"/>
    <w:rsid w:val="00611A29"/>
    <w:rsid w:val="00611A37"/>
    <w:rsid w:val="00611E84"/>
    <w:rsid w:val="00612256"/>
    <w:rsid w:val="00612326"/>
    <w:rsid w:val="00612479"/>
    <w:rsid w:val="00612595"/>
    <w:rsid w:val="00612735"/>
    <w:rsid w:val="006127F9"/>
    <w:rsid w:val="006128D7"/>
    <w:rsid w:val="0061299F"/>
    <w:rsid w:val="00612E04"/>
    <w:rsid w:val="00612F3C"/>
    <w:rsid w:val="00613124"/>
    <w:rsid w:val="006132B3"/>
    <w:rsid w:val="00613380"/>
    <w:rsid w:val="00613579"/>
    <w:rsid w:val="00613617"/>
    <w:rsid w:val="006136A7"/>
    <w:rsid w:val="00613704"/>
    <w:rsid w:val="006137FF"/>
    <w:rsid w:val="0061399C"/>
    <w:rsid w:val="00613A9E"/>
    <w:rsid w:val="00613B40"/>
    <w:rsid w:val="00613B65"/>
    <w:rsid w:val="00613D43"/>
    <w:rsid w:val="00613FB2"/>
    <w:rsid w:val="006140FC"/>
    <w:rsid w:val="00614357"/>
    <w:rsid w:val="00614A0C"/>
    <w:rsid w:val="00614AE4"/>
    <w:rsid w:val="00614DA3"/>
    <w:rsid w:val="00614DDD"/>
    <w:rsid w:val="00614F54"/>
    <w:rsid w:val="00615089"/>
    <w:rsid w:val="006150F5"/>
    <w:rsid w:val="00615332"/>
    <w:rsid w:val="006155AD"/>
    <w:rsid w:val="006157F2"/>
    <w:rsid w:val="00615856"/>
    <w:rsid w:val="00615DF8"/>
    <w:rsid w:val="006160BA"/>
    <w:rsid w:val="0061667C"/>
    <w:rsid w:val="00616734"/>
    <w:rsid w:val="00616F41"/>
    <w:rsid w:val="00616F65"/>
    <w:rsid w:val="0061713A"/>
    <w:rsid w:val="0061736B"/>
    <w:rsid w:val="00617585"/>
    <w:rsid w:val="00617631"/>
    <w:rsid w:val="006176E3"/>
    <w:rsid w:val="006176F2"/>
    <w:rsid w:val="00617905"/>
    <w:rsid w:val="00617947"/>
    <w:rsid w:val="00617948"/>
    <w:rsid w:val="006179C3"/>
    <w:rsid w:val="006179CA"/>
    <w:rsid w:val="00617B9F"/>
    <w:rsid w:val="00617F6B"/>
    <w:rsid w:val="00617F70"/>
    <w:rsid w:val="006201D4"/>
    <w:rsid w:val="006204DD"/>
    <w:rsid w:val="00620626"/>
    <w:rsid w:val="00620629"/>
    <w:rsid w:val="0062067E"/>
    <w:rsid w:val="0062078D"/>
    <w:rsid w:val="00620BA7"/>
    <w:rsid w:val="00620F17"/>
    <w:rsid w:val="00620F5F"/>
    <w:rsid w:val="00620FF7"/>
    <w:rsid w:val="006212AE"/>
    <w:rsid w:val="00621369"/>
    <w:rsid w:val="006213AF"/>
    <w:rsid w:val="00621418"/>
    <w:rsid w:val="006216D8"/>
    <w:rsid w:val="00621934"/>
    <w:rsid w:val="0062198B"/>
    <w:rsid w:val="00621A80"/>
    <w:rsid w:val="00621B84"/>
    <w:rsid w:val="00621C4A"/>
    <w:rsid w:val="00621C58"/>
    <w:rsid w:val="0062221B"/>
    <w:rsid w:val="006223B4"/>
    <w:rsid w:val="0062269E"/>
    <w:rsid w:val="0062284F"/>
    <w:rsid w:val="00622E09"/>
    <w:rsid w:val="00623097"/>
    <w:rsid w:val="00623171"/>
    <w:rsid w:val="00623200"/>
    <w:rsid w:val="00623319"/>
    <w:rsid w:val="0062332D"/>
    <w:rsid w:val="0062335C"/>
    <w:rsid w:val="00623391"/>
    <w:rsid w:val="006233C1"/>
    <w:rsid w:val="0062348C"/>
    <w:rsid w:val="00623589"/>
    <w:rsid w:val="00623591"/>
    <w:rsid w:val="00623649"/>
    <w:rsid w:val="006237D7"/>
    <w:rsid w:val="0062386E"/>
    <w:rsid w:val="00623995"/>
    <w:rsid w:val="00623ADB"/>
    <w:rsid w:val="00623C64"/>
    <w:rsid w:val="00623EF9"/>
    <w:rsid w:val="00624123"/>
    <w:rsid w:val="006242CB"/>
    <w:rsid w:val="006245BA"/>
    <w:rsid w:val="00624790"/>
    <w:rsid w:val="00624AB1"/>
    <w:rsid w:val="00624B0B"/>
    <w:rsid w:val="00624B14"/>
    <w:rsid w:val="00624BFA"/>
    <w:rsid w:val="00624D9A"/>
    <w:rsid w:val="0062523B"/>
    <w:rsid w:val="006257FB"/>
    <w:rsid w:val="00625EF7"/>
    <w:rsid w:val="006264CB"/>
    <w:rsid w:val="00626507"/>
    <w:rsid w:val="00626657"/>
    <w:rsid w:val="0062677B"/>
    <w:rsid w:val="00626CAA"/>
    <w:rsid w:val="00626F60"/>
    <w:rsid w:val="00627192"/>
    <w:rsid w:val="0062748F"/>
    <w:rsid w:val="006274C4"/>
    <w:rsid w:val="006277E0"/>
    <w:rsid w:val="00627F09"/>
    <w:rsid w:val="0063001B"/>
    <w:rsid w:val="0063021E"/>
    <w:rsid w:val="00630566"/>
    <w:rsid w:val="006308ED"/>
    <w:rsid w:val="00630A6B"/>
    <w:rsid w:val="00630B3C"/>
    <w:rsid w:val="00630B5F"/>
    <w:rsid w:val="00630D30"/>
    <w:rsid w:val="00630EBF"/>
    <w:rsid w:val="00631085"/>
    <w:rsid w:val="006310F1"/>
    <w:rsid w:val="006312EA"/>
    <w:rsid w:val="00631619"/>
    <w:rsid w:val="00631737"/>
    <w:rsid w:val="00631972"/>
    <w:rsid w:val="00631AB8"/>
    <w:rsid w:val="006323B7"/>
    <w:rsid w:val="0063259F"/>
    <w:rsid w:val="006325E2"/>
    <w:rsid w:val="00632704"/>
    <w:rsid w:val="00632C64"/>
    <w:rsid w:val="00632CED"/>
    <w:rsid w:val="00632D95"/>
    <w:rsid w:val="00632EE6"/>
    <w:rsid w:val="006330CB"/>
    <w:rsid w:val="0063362A"/>
    <w:rsid w:val="0063365A"/>
    <w:rsid w:val="00633A73"/>
    <w:rsid w:val="00633D85"/>
    <w:rsid w:val="00633ED5"/>
    <w:rsid w:val="00634281"/>
    <w:rsid w:val="006342E8"/>
    <w:rsid w:val="00634349"/>
    <w:rsid w:val="0063435C"/>
    <w:rsid w:val="00634392"/>
    <w:rsid w:val="0063451C"/>
    <w:rsid w:val="0063458D"/>
    <w:rsid w:val="00634732"/>
    <w:rsid w:val="00634862"/>
    <w:rsid w:val="006348E1"/>
    <w:rsid w:val="00634965"/>
    <w:rsid w:val="0063498E"/>
    <w:rsid w:val="006349DA"/>
    <w:rsid w:val="00634C11"/>
    <w:rsid w:val="00634CE1"/>
    <w:rsid w:val="00635003"/>
    <w:rsid w:val="00635264"/>
    <w:rsid w:val="00635661"/>
    <w:rsid w:val="006356D7"/>
    <w:rsid w:val="00635B62"/>
    <w:rsid w:val="00635BAD"/>
    <w:rsid w:val="00635BF3"/>
    <w:rsid w:val="00635F31"/>
    <w:rsid w:val="00635FB6"/>
    <w:rsid w:val="006364E1"/>
    <w:rsid w:val="00636616"/>
    <w:rsid w:val="0063682C"/>
    <w:rsid w:val="006370B7"/>
    <w:rsid w:val="0063764E"/>
    <w:rsid w:val="00637750"/>
    <w:rsid w:val="00637836"/>
    <w:rsid w:val="00637937"/>
    <w:rsid w:val="0063798A"/>
    <w:rsid w:val="006379E5"/>
    <w:rsid w:val="00637A88"/>
    <w:rsid w:val="00637B28"/>
    <w:rsid w:val="00637ED5"/>
    <w:rsid w:val="00637F82"/>
    <w:rsid w:val="0064058D"/>
    <w:rsid w:val="00640685"/>
    <w:rsid w:val="0064082C"/>
    <w:rsid w:val="0064095A"/>
    <w:rsid w:val="006409B0"/>
    <w:rsid w:val="00640C47"/>
    <w:rsid w:val="00640C67"/>
    <w:rsid w:val="00640D13"/>
    <w:rsid w:val="00640D46"/>
    <w:rsid w:val="006410FA"/>
    <w:rsid w:val="00641346"/>
    <w:rsid w:val="006416EA"/>
    <w:rsid w:val="00641BE0"/>
    <w:rsid w:val="00641C49"/>
    <w:rsid w:val="00642129"/>
    <w:rsid w:val="00642193"/>
    <w:rsid w:val="00642342"/>
    <w:rsid w:val="0064266E"/>
    <w:rsid w:val="006426BB"/>
    <w:rsid w:val="00642908"/>
    <w:rsid w:val="00642933"/>
    <w:rsid w:val="00642AD3"/>
    <w:rsid w:val="00642B4A"/>
    <w:rsid w:val="00642E35"/>
    <w:rsid w:val="00642FEB"/>
    <w:rsid w:val="00642FEF"/>
    <w:rsid w:val="0064300A"/>
    <w:rsid w:val="00643A6B"/>
    <w:rsid w:val="00643AA9"/>
    <w:rsid w:val="00643FF1"/>
    <w:rsid w:val="006441FC"/>
    <w:rsid w:val="00644291"/>
    <w:rsid w:val="0064430E"/>
    <w:rsid w:val="00644464"/>
    <w:rsid w:val="00644753"/>
    <w:rsid w:val="006448CF"/>
    <w:rsid w:val="00644B41"/>
    <w:rsid w:val="00644E52"/>
    <w:rsid w:val="00644E8F"/>
    <w:rsid w:val="00645070"/>
    <w:rsid w:val="00645429"/>
    <w:rsid w:val="0064545A"/>
    <w:rsid w:val="0064551A"/>
    <w:rsid w:val="006455E7"/>
    <w:rsid w:val="006458C4"/>
    <w:rsid w:val="0064590A"/>
    <w:rsid w:val="00645FF2"/>
    <w:rsid w:val="006465E5"/>
    <w:rsid w:val="00646A06"/>
    <w:rsid w:val="00646D68"/>
    <w:rsid w:val="00646D6F"/>
    <w:rsid w:val="00646E60"/>
    <w:rsid w:val="00646EC6"/>
    <w:rsid w:val="00647242"/>
    <w:rsid w:val="00647459"/>
    <w:rsid w:val="006474C0"/>
    <w:rsid w:val="006475BF"/>
    <w:rsid w:val="00647794"/>
    <w:rsid w:val="00647ACD"/>
    <w:rsid w:val="00647C0E"/>
    <w:rsid w:val="00650516"/>
    <w:rsid w:val="0065064A"/>
    <w:rsid w:val="00650662"/>
    <w:rsid w:val="006507EB"/>
    <w:rsid w:val="00650C92"/>
    <w:rsid w:val="00650CAD"/>
    <w:rsid w:val="00651284"/>
    <w:rsid w:val="0065132B"/>
    <w:rsid w:val="00651335"/>
    <w:rsid w:val="006513CF"/>
    <w:rsid w:val="0065140D"/>
    <w:rsid w:val="006514BB"/>
    <w:rsid w:val="006515B1"/>
    <w:rsid w:val="006515FB"/>
    <w:rsid w:val="00651739"/>
    <w:rsid w:val="00651785"/>
    <w:rsid w:val="006517E1"/>
    <w:rsid w:val="00651CAD"/>
    <w:rsid w:val="006520AE"/>
    <w:rsid w:val="0065234A"/>
    <w:rsid w:val="00652457"/>
    <w:rsid w:val="00652497"/>
    <w:rsid w:val="006526E9"/>
    <w:rsid w:val="00652832"/>
    <w:rsid w:val="0065288C"/>
    <w:rsid w:val="00652A49"/>
    <w:rsid w:val="00652AE8"/>
    <w:rsid w:val="00652B97"/>
    <w:rsid w:val="00653383"/>
    <w:rsid w:val="0065338F"/>
    <w:rsid w:val="00653B6E"/>
    <w:rsid w:val="00653D7E"/>
    <w:rsid w:val="00653EBD"/>
    <w:rsid w:val="006540D7"/>
    <w:rsid w:val="00654200"/>
    <w:rsid w:val="0065425D"/>
    <w:rsid w:val="0065428E"/>
    <w:rsid w:val="00654328"/>
    <w:rsid w:val="00654473"/>
    <w:rsid w:val="006548E0"/>
    <w:rsid w:val="00654C9C"/>
    <w:rsid w:val="00655443"/>
    <w:rsid w:val="0065597A"/>
    <w:rsid w:val="00655AC6"/>
    <w:rsid w:val="00655B08"/>
    <w:rsid w:val="00655CAE"/>
    <w:rsid w:val="00655D09"/>
    <w:rsid w:val="00655D7E"/>
    <w:rsid w:val="00655DE9"/>
    <w:rsid w:val="0065611C"/>
    <w:rsid w:val="0065617F"/>
    <w:rsid w:val="006562F6"/>
    <w:rsid w:val="00656388"/>
    <w:rsid w:val="0065646B"/>
    <w:rsid w:val="006567E5"/>
    <w:rsid w:val="00656F7F"/>
    <w:rsid w:val="006572EF"/>
    <w:rsid w:val="0065731F"/>
    <w:rsid w:val="00657414"/>
    <w:rsid w:val="0065764A"/>
    <w:rsid w:val="00657886"/>
    <w:rsid w:val="0065795E"/>
    <w:rsid w:val="00657B3B"/>
    <w:rsid w:val="00657DB0"/>
    <w:rsid w:val="00657F14"/>
    <w:rsid w:val="006601EA"/>
    <w:rsid w:val="00660316"/>
    <w:rsid w:val="00660558"/>
    <w:rsid w:val="0066073A"/>
    <w:rsid w:val="00660812"/>
    <w:rsid w:val="00660838"/>
    <w:rsid w:val="006609AA"/>
    <w:rsid w:val="00660A47"/>
    <w:rsid w:val="00660B15"/>
    <w:rsid w:val="00660C42"/>
    <w:rsid w:val="00660EA1"/>
    <w:rsid w:val="006612DB"/>
    <w:rsid w:val="006612DF"/>
    <w:rsid w:val="0066157D"/>
    <w:rsid w:val="0066160D"/>
    <w:rsid w:val="00662007"/>
    <w:rsid w:val="006621DD"/>
    <w:rsid w:val="0066222F"/>
    <w:rsid w:val="00662404"/>
    <w:rsid w:val="00662574"/>
    <w:rsid w:val="006627AF"/>
    <w:rsid w:val="00662845"/>
    <w:rsid w:val="0066287A"/>
    <w:rsid w:val="00662888"/>
    <w:rsid w:val="006628AF"/>
    <w:rsid w:val="00662A25"/>
    <w:rsid w:val="00662B77"/>
    <w:rsid w:val="00662C81"/>
    <w:rsid w:val="00662EBB"/>
    <w:rsid w:val="00662FA0"/>
    <w:rsid w:val="0066313A"/>
    <w:rsid w:val="006632B1"/>
    <w:rsid w:val="0066354A"/>
    <w:rsid w:val="0066372E"/>
    <w:rsid w:val="006638E0"/>
    <w:rsid w:val="00663A47"/>
    <w:rsid w:val="00663D94"/>
    <w:rsid w:val="0066428E"/>
    <w:rsid w:val="006642A7"/>
    <w:rsid w:val="0066477B"/>
    <w:rsid w:val="00664B72"/>
    <w:rsid w:val="00664C82"/>
    <w:rsid w:val="00664E2F"/>
    <w:rsid w:val="0066512C"/>
    <w:rsid w:val="00665245"/>
    <w:rsid w:val="00665599"/>
    <w:rsid w:val="006655B1"/>
    <w:rsid w:val="0066569D"/>
    <w:rsid w:val="006656B3"/>
    <w:rsid w:val="006658BB"/>
    <w:rsid w:val="00665911"/>
    <w:rsid w:val="00665AA6"/>
    <w:rsid w:val="00665AFA"/>
    <w:rsid w:val="00666172"/>
    <w:rsid w:val="00666634"/>
    <w:rsid w:val="00666B44"/>
    <w:rsid w:val="00666BE1"/>
    <w:rsid w:val="00666C12"/>
    <w:rsid w:val="00666E16"/>
    <w:rsid w:val="00667153"/>
    <w:rsid w:val="0066717C"/>
    <w:rsid w:val="00667688"/>
    <w:rsid w:val="00667716"/>
    <w:rsid w:val="0066772B"/>
    <w:rsid w:val="006677F9"/>
    <w:rsid w:val="00667E9F"/>
    <w:rsid w:val="00670033"/>
    <w:rsid w:val="0067011A"/>
    <w:rsid w:val="00670124"/>
    <w:rsid w:val="00670250"/>
    <w:rsid w:val="0067026A"/>
    <w:rsid w:val="00670589"/>
    <w:rsid w:val="006705DD"/>
    <w:rsid w:val="00670650"/>
    <w:rsid w:val="00670666"/>
    <w:rsid w:val="006706E3"/>
    <w:rsid w:val="006707AD"/>
    <w:rsid w:val="006709EB"/>
    <w:rsid w:val="006709F4"/>
    <w:rsid w:val="00670CEE"/>
    <w:rsid w:val="00670D20"/>
    <w:rsid w:val="00670F90"/>
    <w:rsid w:val="00671596"/>
    <w:rsid w:val="00671720"/>
    <w:rsid w:val="006718A2"/>
    <w:rsid w:val="00671F4C"/>
    <w:rsid w:val="006721D9"/>
    <w:rsid w:val="006723A5"/>
    <w:rsid w:val="0067253E"/>
    <w:rsid w:val="00672540"/>
    <w:rsid w:val="0067268E"/>
    <w:rsid w:val="00672735"/>
    <w:rsid w:val="00672777"/>
    <w:rsid w:val="00672A39"/>
    <w:rsid w:val="00672A81"/>
    <w:rsid w:val="00672A82"/>
    <w:rsid w:val="00672BC8"/>
    <w:rsid w:val="00672E4A"/>
    <w:rsid w:val="00672E7A"/>
    <w:rsid w:val="006730CA"/>
    <w:rsid w:val="006732AC"/>
    <w:rsid w:val="00673350"/>
    <w:rsid w:val="006735A0"/>
    <w:rsid w:val="0067385A"/>
    <w:rsid w:val="00673B27"/>
    <w:rsid w:val="00673B40"/>
    <w:rsid w:val="00673E63"/>
    <w:rsid w:val="00673FC9"/>
    <w:rsid w:val="006741F3"/>
    <w:rsid w:val="00674252"/>
    <w:rsid w:val="00674532"/>
    <w:rsid w:val="0067463F"/>
    <w:rsid w:val="006748EB"/>
    <w:rsid w:val="00674B8F"/>
    <w:rsid w:val="00674CD8"/>
    <w:rsid w:val="00674E66"/>
    <w:rsid w:val="00674EBF"/>
    <w:rsid w:val="00674FD1"/>
    <w:rsid w:val="0067515B"/>
    <w:rsid w:val="006754D9"/>
    <w:rsid w:val="006755B8"/>
    <w:rsid w:val="006755E2"/>
    <w:rsid w:val="00675601"/>
    <w:rsid w:val="00675785"/>
    <w:rsid w:val="006758ED"/>
    <w:rsid w:val="00675927"/>
    <w:rsid w:val="00675C4E"/>
    <w:rsid w:val="00675DCC"/>
    <w:rsid w:val="00675EBE"/>
    <w:rsid w:val="00675FEF"/>
    <w:rsid w:val="00676172"/>
    <w:rsid w:val="0067621B"/>
    <w:rsid w:val="0067682C"/>
    <w:rsid w:val="00676854"/>
    <w:rsid w:val="00676D68"/>
    <w:rsid w:val="00677154"/>
    <w:rsid w:val="0067729A"/>
    <w:rsid w:val="0067745A"/>
    <w:rsid w:val="00677624"/>
    <w:rsid w:val="00677630"/>
    <w:rsid w:val="00677699"/>
    <w:rsid w:val="00677CFD"/>
    <w:rsid w:val="00680167"/>
    <w:rsid w:val="00680279"/>
    <w:rsid w:val="006803A2"/>
    <w:rsid w:val="00680598"/>
    <w:rsid w:val="006806C4"/>
    <w:rsid w:val="00680915"/>
    <w:rsid w:val="00680A76"/>
    <w:rsid w:val="00680AB4"/>
    <w:rsid w:val="00680B11"/>
    <w:rsid w:val="00680D94"/>
    <w:rsid w:val="00680E70"/>
    <w:rsid w:val="0068107E"/>
    <w:rsid w:val="006810FC"/>
    <w:rsid w:val="0068111D"/>
    <w:rsid w:val="00681127"/>
    <w:rsid w:val="00681437"/>
    <w:rsid w:val="0068160E"/>
    <w:rsid w:val="00681728"/>
    <w:rsid w:val="006818FB"/>
    <w:rsid w:val="00681AB4"/>
    <w:rsid w:val="00681EFE"/>
    <w:rsid w:val="006820F3"/>
    <w:rsid w:val="00682309"/>
    <w:rsid w:val="006824A8"/>
    <w:rsid w:val="006825C6"/>
    <w:rsid w:val="00682767"/>
    <w:rsid w:val="00682881"/>
    <w:rsid w:val="006828C8"/>
    <w:rsid w:val="00682AE3"/>
    <w:rsid w:val="00682AE4"/>
    <w:rsid w:val="00682B00"/>
    <w:rsid w:val="00682B40"/>
    <w:rsid w:val="00682E0B"/>
    <w:rsid w:val="006830CD"/>
    <w:rsid w:val="006832C7"/>
    <w:rsid w:val="0068350C"/>
    <w:rsid w:val="00683610"/>
    <w:rsid w:val="006837DC"/>
    <w:rsid w:val="00683895"/>
    <w:rsid w:val="006839A6"/>
    <w:rsid w:val="006839B6"/>
    <w:rsid w:val="00683C55"/>
    <w:rsid w:val="00683E5A"/>
    <w:rsid w:val="00683E8A"/>
    <w:rsid w:val="006841D4"/>
    <w:rsid w:val="0068429A"/>
    <w:rsid w:val="0068434E"/>
    <w:rsid w:val="0068484F"/>
    <w:rsid w:val="00684868"/>
    <w:rsid w:val="00684A3D"/>
    <w:rsid w:val="00684F09"/>
    <w:rsid w:val="0068532F"/>
    <w:rsid w:val="00685539"/>
    <w:rsid w:val="006855E6"/>
    <w:rsid w:val="0068562A"/>
    <w:rsid w:val="00685690"/>
    <w:rsid w:val="006858C3"/>
    <w:rsid w:val="00685C76"/>
    <w:rsid w:val="00685CA4"/>
    <w:rsid w:val="00685CBB"/>
    <w:rsid w:val="00685CE4"/>
    <w:rsid w:val="00685F8F"/>
    <w:rsid w:val="0068607D"/>
    <w:rsid w:val="006861F3"/>
    <w:rsid w:val="006861FE"/>
    <w:rsid w:val="0068625B"/>
    <w:rsid w:val="00686263"/>
    <w:rsid w:val="0068674C"/>
    <w:rsid w:val="0068680F"/>
    <w:rsid w:val="00686AFE"/>
    <w:rsid w:val="00686BA1"/>
    <w:rsid w:val="00686EA8"/>
    <w:rsid w:val="00686F4D"/>
    <w:rsid w:val="00686FD6"/>
    <w:rsid w:val="0068700C"/>
    <w:rsid w:val="00687053"/>
    <w:rsid w:val="00687159"/>
    <w:rsid w:val="006872D0"/>
    <w:rsid w:val="00687488"/>
    <w:rsid w:val="0068748F"/>
    <w:rsid w:val="00687CB9"/>
    <w:rsid w:val="00687F93"/>
    <w:rsid w:val="0069015B"/>
    <w:rsid w:val="006902E2"/>
    <w:rsid w:val="0069045A"/>
    <w:rsid w:val="0069085D"/>
    <w:rsid w:val="006909D1"/>
    <w:rsid w:val="00690AC7"/>
    <w:rsid w:val="00691058"/>
    <w:rsid w:val="00691133"/>
    <w:rsid w:val="006914B7"/>
    <w:rsid w:val="00691560"/>
    <w:rsid w:val="006918A2"/>
    <w:rsid w:val="006918F9"/>
    <w:rsid w:val="00691929"/>
    <w:rsid w:val="00691964"/>
    <w:rsid w:val="00691B8F"/>
    <w:rsid w:val="00691C87"/>
    <w:rsid w:val="00691D6E"/>
    <w:rsid w:val="00691DBD"/>
    <w:rsid w:val="00691EAB"/>
    <w:rsid w:val="006920B3"/>
    <w:rsid w:val="00692553"/>
    <w:rsid w:val="00692751"/>
    <w:rsid w:val="00692CB4"/>
    <w:rsid w:val="00692E62"/>
    <w:rsid w:val="006932EA"/>
    <w:rsid w:val="006934FA"/>
    <w:rsid w:val="0069365A"/>
    <w:rsid w:val="006936C3"/>
    <w:rsid w:val="00693781"/>
    <w:rsid w:val="006937A1"/>
    <w:rsid w:val="00693A1F"/>
    <w:rsid w:val="00693B19"/>
    <w:rsid w:val="00694097"/>
    <w:rsid w:val="006940C2"/>
    <w:rsid w:val="0069471E"/>
    <w:rsid w:val="006947AF"/>
    <w:rsid w:val="00694995"/>
    <w:rsid w:val="00694AD4"/>
    <w:rsid w:val="00694B7C"/>
    <w:rsid w:val="00694B92"/>
    <w:rsid w:val="00694C29"/>
    <w:rsid w:val="00694DB3"/>
    <w:rsid w:val="00694E73"/>
    <w:rsid w:val="0069539F"/>
    <w:rsid w:val="00695932"/>
    <w:rsid w:val="00695976"/>
    <w:rsid w:val="00695AA3"/>
    <w:rsid w:val="00695D23"/>
    <w:rsid w:val="00695F20"/>
    <w:rsid w:val="006960F1"/>
    <w:rsid w:val="006963CD"/>
    <w:rsid w:val="0069645A"/>
    <w:rsid w:val="006964B1"/>
    <w:rsid w:val="006965D1"/>
    <w:rsid w:val="006965F3"/>
    <w:rsid w:val="006967A0"/>
    <w:rsid w:val="006967AD"/>
    <w:rsid w:val="00696800"/>
    <w:rsid w:val="0069680C"/>
    <w:rsid w:val="006969E0"/>
    <w:rsid w:val="00696CD4"/>
    <w:rsid w:val="0069711C"/>
    <w:rsid w:val="00697148"/>
    <w:rsid w:val="00697307"/>
    <w:rsid w:val="006973CD"/>
    <w:rsid w:val="006979F8"/>
    <w:rsid w:val="00697E8D"/>
    <w:rsid w:val="00697FAA"/>
    <w:rsid w:val="00697FC0"/>
    <w:rsid w:val="006A027A"/>
    <w:rsid w:val="006A0492"/>
    <w:rsid w:val="006A0524"/>
    <w:rsid w:val="006A066D"/>
    <w:rsid w:val="006A0848"/>
    <w:rsid w:val="006A09A4"/>
    <w:rsid w:val="006A0C29"/>
    <w:rsid w:val="006A0C50"/>
    <w:rsid w:val="006A11BD"/>
    <w:rsid w:val="006A1229"/>
    <w:rsid w:val="006A1234"/>
    <w:rsid w:val="006A1269"/>
    <w:rsid w:val="006A1475"/>
    <w:rsid w:val="006A15E6"/>
    <w:rsid w:val="006A164F"/>
    <w:rsid w:val="006A165D"/>
    <w:rsid w:val="006A1922"/>
    <w:rsid w:val="006A1C1E"/>
    <w:rsid w:val="006A1C4A"/>
    <w:rsid w:val="006A2070"/>
    <w:rsid w:val="006A20F7"/>
    <w:rsid w:val="006A23CE"/>
    <w:rsid w:val="006A2461"/>
    <w:rsid w:val="006A26FF"/>
    <w:rsid w:val="006A2F60"/>
    <w:rsid w:val="006A307C"/>
    <w:rsid w:val="006A3149"/>
    <w:rsid w:val="006A31E5"/>
    <w:rsid w:val="006A3264"/>
    <w:rsid w:val="006A3349"/>
    <w:rsid w:val="006A3562"/>
    <w:rsid w:val="006A3AB5"/>
    <w:rsid w:val="006A3BF9"/>
    <w:rsid w:val="006A3C07"/>
    <w:rsid w:val="006A3C32"/>
    <w:rsid w:val="006A40DB"/>
    <w:rsid w:val="006A42A2"/>
    <w:rsid w:val="006A437A"/>
    <w:rsid w:val="006A46C4"/>
    <w:rsid w:val="006A4767"/>
    <w:rsid w:val="006A4C98"/>
    <w:rsid w:val="006A4D42"/>
    <w:rsid w:val="006A516A"/>
    <w:rsid w:val="006A568B"/>
    <w:rsid w:val="006A5873"/>
    <w:rsid w:val="006A59FE"/>
    <w:rsid w:val="006A5BFD"/>
    <w:rsid w:val="006A5C6E"/>
    <w:rsid w:val="006A5F2B"/>
    <w:rsid w:val="006A613F"/>
    <w:rsid w:val="006A61C0"/>
    <w:rsid w:val="006A6409"/>
    <w:rsid w:val="006A6470"/>
    <w:rsid w:val="006A6584"/>
    <w:rsid w:val="006A65A3"/>
    <w:rsid w:val="006A6777"/>
    <w:rsid w:val="006A67B6"/>
    <w:rsid w:val="006A6903"/>
    <w:rsid w:val="006A69B5"/>
    <w:rsid w:val="006A6CCD"/>
    <w:rsid w:val="006A6F1A"/>
    <w:rsid w:val="006A74B5"/>
    <w:rsid w:val="006A74FD"/>
    <w:rsid w:val="006A75CE"/>
    <w:rsid w:val="006A78EA"/>
    <w:rsid w:val="006A7980"/>
    <w:rsid w:val="006A7BBD"/>
    <w:rsid w:val="006A7DD8"/>
    <w:rsid w:val="006A7EC9"/>
    <w:rsid w:val="006A7ED9"/>
    <w:rsid w:val="006B00D2"/>
    <w:rsid w:val="006B0220"/>
    <w:rsid w:val="006B0266"/>
    <w:rsid w:val="006B03D2"/>
    <w:rsid w:val="006B07F1"/>
    <w:rsid w:val="006B07F6"/>
    <w:rsid w:val="006B09B6"/>
    <w:rsid w:val="006B0BBD"/>
    <w:rsid w:val="006B0EBA"/>
    <w:rsid w:val="006B0EF5"/>
    <w:rsid w:val="006B1ADC"/>
    <w:rsid w:val="006B1BAF"/>
    <w:rsid w:val="006B1D27"/>
    <w:rsid w:val="006B1E38"/>
    <w:rsid w:val="006B1E3A"/>
    <w:rsid w:val="006B1FFC"/>
    <w:rsid w:val="006B251C"/>
    <w:rsid w:val="006B257F"/>
    <w:rsid w:val="006B2A67"/>
    <w:rsid w:val="006B2B9F"/>
    <w:rsid w:val="006B2BA9"/>
    <w:rsid w:val="006B2C98"/>
    <w:rsid w:val="006B2CF0"/>
    <w:rsid w:val="006B2E9E"/>
    <w:rsid w:val="006B2EE4"/>
    <w:rsid w:val="006B2FD9"/>
    <w:rsid w:val="006B32B6"/>
    <w:rsid w:val="006B32F9"/>
    <w:rsid w:val="006B33ED"/>
    <w:rsid w:val="006B3469"/>
    <w:rsid w:val="006B363C"/>
    <w:rsid w:val="006B3699"/>
    <w:rsid w:val="006B392C"/>
    <w:rsid w:val="006B3B4C"/>
    <w:rsid w:val="006B3BE7"/>
    <w:rsid w:val="006B3BF2"/>
    <w:rsid w:val="006B3D20"/>
    <w:rsid w:val="006B3D7C"/>
    <w:rsid w:val="006B3E32"/>
    <w:rsid w:val="006B428C"/>
    <w:rsid w:val="006B44AD"/>
    <w:rsid w:val="006B460B"/>
    <w:rsid w:val="006B46B9"/>
    <w:rsid w:val="006B4936"/>
    <w:rsid w:val="006B4965"/>
    <w:rsid w:val="006B49C0"/>
    <w:rsid w:val="006B4B64"/>
    <w:rsid w:val="006B4C21"/>
    <w:rsid w:val="006B4FD5"/>
    <w:rsid w:val="006B52F7"/>
    <w:rsid w:val="006B53C5"/>
    <w:rsid w:val="006B5725"/>
    <w:rsid w:val="006B5A44"/>
    <w:rsid w:val="006B5B82"/>
    <w:rsid w:val="006B6270"/>
    <w:rsid w:val="006B6364"/>
    <w:rsid w:val="006B63B5"/>
    <w:rsid w:val="006B65D9"/>
    <w:rsid w:val="006B6A31"/>
    <w:rsid w:val="006B7163"/>
    <w:rsid w:val="006B7604"/>
    <w:rsid w:val="006B76CA"/>
    <w:rsid w:val="006B773A"/>
    <w:rsid w:val="006B79B3"/>
    <w:rsid w:val="006B7BE3"/>
    <w:rsid w:val="006B7E09"/>
    <w:rsid w:val="006B7E98"/>
    <w:rsid w:val="006C01DD"/>
    <w:rsid w:val="006C02FA"/>
    <w:rsid w:val="006C056D"/>
    <w:rsid w:val="006C05F3"/>
    <w:rsid w:val="006C08CB"/>
    <w:rsid w:val="006C09AB"/>
    <w:rsid w:val="006C0B64"/>
    <w:rsid w:val="006C154C"/>
    <w:rsid w:val="006C1560"/>
    <w:rsid w:val="006C17BD"/>
    <w:rsid w:val="006C18BF"/>
    <w:rsid w:val="006C19F3"/>
    <w:rsid w:val="006C1BFF"/>
    <w:rsid w:val="006C1CBA"/>
    <w:rsid w:val="006C1DEF"/>
    <w:rsid w:val="006C1E07"/>
    <w:rsid w:val="006C1F18"/>
    <w:rsid w:val="006C1F27"/>
    <w:rsid w:val="006C2065"/>
    <w:rsid w:val="006C22DD"/>
    <w:rsid w:val="006C2342"/>
    <w:rsid w:val="006C2363"/>
    <w:rsid w:val="006C25EF"/>
    <w:rsid w:val="006C263B"/>
    <w:rsid w:val="006C2A30"/>
    <w:rsid w:val="006C2B35"/>
    <w:rsid w:val="006C2D4E"/>
    <w:rsid w:val="006C2F2A"/>
    <w:rsid w:val="006C3052"/>
    <w:rsid w:val="006C315E"/>
    <w:rsid w:val="006C32BF"/>
    <w:rsid w:val="006C3379"/>
    <w:rsid w:val="006C3588"/>
    <w:rsid w:val="006C35A1"/>
    <w:rsid w:val="006C37C0"/>
    <w:rsid w:val="006C3B08"/>
    <w:rsid w:val="006C3CAF"/>
    <w:rsid w:val="006C3E10"/>
    <w:rsid w:val="006C4070"/>
    <w:rsid w:val="006C4103"/>
    <w:rsid w:val="006C42AD"/>
    <w:rsid w:val="006C4388"/>
    <w:rsid w:val="006C468A"/>
    <w:rsid w:val="006C4916"/>
    <w:rsid w:val="006C49EA"/>
    <w:rsid w:val="006C4A64"/>
    <w:rsid w:val="006C4B8B"/>
    <w:rsid w:val="006C4C40"/>
    <w:rsid w:val="006C5195"/>
    <w:rsid w:val="006C51E9"/>
    <w:rsid w:val="006C529D"/>
    <w:rsid w:val="006C53ED"/>
    <w:rsid w:val="006C55BB"/>
    <w:rsid w:val="006C563F"/>
    <w:rsid w:val="006C570D"/>
    <w:rsid w:val="006C5726"/>
    <w:rsid w:val="006C5881"/>
    <w:rsid w:val="006C5A46"/>
    <w:rsid w:val="006C5A8B"/>
    <w:rsid w:val="006C5BA4"/>
    <w:rsid w:val="006C5CF6"/>
    <w:rsid w:val="006C607A"/>
    <w:rsid w:val="006C6109"/>
    <w:rsid w:val="006C6110"/>
    <w:rsid w:val="006C636D"/>
    <w:rsid w:val="006C6376"/>
    <w:rsid w:val="006C686B"/>
    <w:rsid w:val="006C6C5E"/>
    <w:rsid w:val="006C6D28"/>
    <w:rsid w:val="006C6E47"/>
    <w:rsid w:val="006C704C"/>
    <w:rsid w:val="006C70F3"/>
    <w:rsid w:val="006C7224"/>
    <w:rsid w:val="006C729A"/>
    <w:rsid w:val="006C73E8"/>
    <w:rsid w:val="006C744A"/>
    <w:rsid w:val="006C78D7"/>
    <w:rsid w:val="006C7B28"/>
    <w:rsid w:val="006C7BF9"/>
    <w:rsid w:val="006C7C2A"/>
    <w:rsid w:val="006C7C2B"/>
    <w:rsid w:val="006C7C56"/>
    <w:rsid w:val="006D005D"/>
    <w:rsid w:val="006D0365"/>
    <w:rsid w:val="006D037A"/>
    <w:rsid w:val="006D0538"/>
    <w:rsid w:val="006D074F"/>
    <w:rsid w:val="006D08C8"/>
    <w:rsid w:val="006D0953"/>
    <w:rsid w:val="006D1207"/>
    <w:rsid w:val="006D129B"/>
    <w:rsid w:val="006D15B1"/>
    <w:rsid w:val="006D1809"/>
    <w:rsid w:val="006D1816"/>
    <w:rsid w:val="006D19A7"/>
    <w:rsid w:val="006D1E7A"/>
    <w:rsid w:val="006D1F19"/>
    <w:rsid w:val="006D1F62"/>
    <w:rsid w:val="006D1FB5"/>
    <w:rsid w:val="006D23B2"/>
    <w:rsid w:val="006D2731"/>
    <w:rsid w:val="006D2872"/>
    <w:rsid w:val="006D2B20"/>
    <w:rsid w:val="006D2C13"/>
    <w:rsid w:val="006D2DFA"/>
    <w:rsid w:val="006D314D"/>
    <w:rsid w:val="006D31A7"/>
    <w:rsid w:val="006D324D"/>
    <w:rsid w:val="006D332C"/>
    <w:rsid w:val="006D3505"/>
    <w:rsid w:val="006D35E2"/>
    <w:rsid w:val="006D3699"/>
    <w:rsid w:val="006D380F"/>
    <w:rsid w:val="006D3A7E"/>
    <w:rsid w:val="006D3B47"/>
    <w:rsid w:val="006D4157"/>
    <w:rsid w:val="006D4431"/>
    <w:rsid w:val="006D456E"/>
    <w:rsid w:val="006D46F4"/>
    <w:rsid w:val="006D4711"/>
    <w:rsid w:val="006D473C"/>
    <w:rsid w:val="006D4A66"/>
    <w:rsid w:val="006D4DC0"/>
    <w:rsid w:val="006D4F9C"/>
    <w:rsid w:val="006D4FD5"/>
    <w:rsid w:val="006D501D"/>
    <w:rsid w:val="006D50FA"/>
    <w:rsid w:val="006D5308"/>
    <w:rsid w:val="006D55FC"/>
    <w:rsid w:val="006D5939"/>
    <w:rsid w:val="006D5A43"/>
    <w:rsid w:val="006D5B71"/>
    <w:rsid w:val="006D5C21"/>
    <w:rsid w:val="006D628E"/>
    <w:rsid w:val="006D650A"/>
    <w:rsid w:val="006D664A"/>
    <w:rsid w:val="006D6748"/>
    <w:rsid w:val="006D6A8B"/>
    <w:rsid w:val="006D6B33"/>
    <w:rsid w:val="006D6D95"/>
    <w:rsid w:val="006D6DD0"/>
    <w:rsid w:val="006D6EDE"/>
    <w:rsid w:val="006D6EF9"/>
    <w:rsid w:val="006D6F0F"/>
    <w:rsid w:val="006D7008"/>
    <w:rsid w:val="006D7189"/>
    <w:rsid w:val="006D724D"/>
    <w:rsid w:val="006D72D2"/>
    <w:rsid w:val="006D748F"/>
    <w:rsid w:val="006D75A7"/>
    <w:rsid w:val="006D7908"/>
    <w:rsid w:val="006D7C4D"/>
    <w:rsid w:val="006D7C76"/>
    <w:rsid w:val="006D7D8C"/>
    <w:rsid w:val="006D7DAA"/>
    <w:rsid w:val="006E005B"/>
    <w:rsid w:val="006E019B"/>
    <w:rsid w:val="006E01F6"/>
    <w:rsid w:val="006E038B"/>
    <w:rsid w:val="006E03C7"/>
    <w:rsid w:val="006E04D3"/>
    <w:rsid w:val="006E08DE"/>
    <w:rsid w:val="006E0A63"/>
    <w:rsid w:val="006E0AD4"/>
    <w:rsid w:val="006E0DE7"/>
    <w:rsid w:val="006E11A7"/>
    <w:rsid w:val="006E11ED"/>
    <w:rsid w:val="006E12B9"/>
    <w:rsid w:val="006E148D"/>
    <w:rsid w:val="006E14AC"/>
    <w:rsid w:val="006E1583"/>
    <w:rsid w:val="006E16CF"/>
    <w:rsid w:val="006E171C"/>
    <w:rsid w:val="006E1824"/>
    <w:rsid w:val="006E18ED"/>
    <w:rsid w:val="006E1AD5"/>
    <w:rsid w:val="006E1DEF"/>
    <w:rsid w:val="006E1FC4"/>
    <w:rsid w:val="006E205B"/>
    <w:rsid w:val="006E2164"/>
    <w:rsid w:val="006E26E0"/>
    <w:rsid w:val="006E28F5"/>
    <w:rsid w:val="006E29F4"/>
    <w:rsid w:val="006E2A15"/>
    <w:rsid w:val="006E2E21"/>
    <w:rsid w:val="006E2EAA"/>
    <w:rsid w:val="006E2F91"/>
    <w:rsid w:val="006E2FA5"/>
    <w:rsid w:val="006E3000"/>
    <w:rsid w:val="006E3051"/>
    <w:rsid w:val="006E3279"/>
    <w:rsid w:val="006E32C1"/>
    <w:rsid w:val="006E3393"/>
    <w:rsid w:val="006E3448"/>
    <w:rsid w:val="006E348D"/>
    <w:rsid w:val="006E3604"/>
    <w:rsid w:val="006E3977"/>
    <w:rsid w:val="006E3BD7"/>
    <w:rsid w:val="006E3D0D"/>
    <w:rsid w:val="006E3D23"/>
    <w:rsid w:val="006E405A"/>
    <w:rsid w:val="006E41E7"/>
    <w:rsid w:val="006E4580"/>
    <w:rsid w:val="006E45EF"/>
    <w:rsid w:val="006E49AD"/>
    <w:rsid w:val="006E4D13"/>
    <w:rsid w:val="006E4D30"/>
    <w:rsid w:val="006E4E39"/>
    <w:rsid w:val="006E554C"/>
    <w:rsid w:val="006E559B"/>
    <w:rsid w:val="006E55B5"/>
    <w:rsid w:val="006E56E1"/>
    <w:rsid w:val="006E57CB"/>
    <w:rsid w:val="006E5B49"/>
    <w:rsid w:val="006E5BAB"/>
    <w:rsid w:val="006E5CAE"/>
    <w:rsid w:val="006E5DAC"/>
    <w:rsid w:val="006E5DF1"/>
    <w:rsid w:val="006E6509"/>
    <w:rsid w:val="006E68A5"/>
    <w:rsid w:val="006E6948"/>
    <w:rsid w:val="006E6A98"/>
    <w:rsid w:val="006E6B20"/>
    <w:rsid w:val="006E6C41"/>
    <w:rsid w:val="006E6DBD"/>
    <w:rsid w:val="006E6E97"/>
    <w:rsid w:val="006E742C"/>
    <w:rsid w:val="006E7743"/>
    <w:rsid w:val="006E78FC"/>
    <w:rsid w:val="006E7932"/>
    <w:rsid w:val="006E79C8"/>
    <w:rsid w:val="006E7B80"/>
    <w:rsid w:val="006F0130"/>
    <w:rsid w:val="006F0288"/>
    <w:rsid w:val="006F0326"/>
    <w:rsid w:val="006F04E1"/>
    <w:rsid w:val="006F06BC"/>
    <w:rsid w:val="006F0724"/>
    <w:rsid w:val="006F0865"/>
    <w:rsid w:val="006F09AC"/>
    <w:rsid w:val="006F09D8"/>
    <w:rsid w:val="006F0AC3"/>
    <w:rsid w:val="006F0CCE"/>
    <w:rsid w:val="006F0FE4"/>
    <w:rsid w:val="006F15F5"/>
    <w:rsid w:val="006F17C9"/>
    <w:rsid w:val="006F18F9"/>
    <w:rsid w:val="006F1A33"/>
    <w:rsid w:val="006F1AB6"/>
    <w:rsid w:val="006F1BAB"/>
    <w:rsid w:val="006F1D2E"/>
    <w:rsid w:val="006F1F93"/>
    <w:rsid w:val="006F20C9"/>
    <w:rsid w:val="006F20E0"/>
    <w:rsid w:val="006F21C9"/>
    <w:rsid w:val="006F2328"/>
    <w:rsid w:val="006F233C"/>
    <w:rsid w:val="006F2403"/>
    <w:rsid w:val="006F2432"/>
    <w:rsid w:val="006F2456"/>
    <w:rsid w:val="006F2880"/>
    <w:rsid w:val="006F2881"/>
    <w:rsid w:val="006F2C57"/>
    <w:rsid w:val="006F2DFB"/>
    <w:rsid w:val="006F3116"/>
    <w:rsid w:val="006F3617"/>
    <w:rsid w:val="006F36D2"/>
    <w:rsid w:val="006F370C"/>
    <w:rsid w:val="006F3888"/>
    <w:rsid w:val="006F3B10"/>
    <w:rsid w:val="006F3BD5"/>
    <w:rsid w:val="006F3C39"/>
    <w:rsid w:val="006F40AE"/>
    <w:rsid w:val="006F40EA"/>
    <w:rsid w:val="006F4207"/>
    <w:rsid w:val="006F4211"/>
    <w:rsid w:val="006F4228"/>
    <w:rsid w:val="006F452A"/>
    <w:rsid w:val="006F4590"/>
    <w:rsid w:val="006F46A0"/>
    <w:rsid w:val="006F4823"/>
    <w:rsid w:val="006F48EE"/>
    <w:rsid w:val="006F4D9A"/>
    <w:rsid w:val="006F4F0A"/>
    <w:rsid w:val="006F4FE2"/>
    <w:rsid w:val="006F5095"/>
    <w:rsid w:val="006F50F7"/>
    <w:rsid w:val="006F51BF"/>
    <w:rsid w:val="006F545A"/>
    <w:rsid w:val="006F54BE"/>
    <w:rsid w:val="006F5563"/>
    <w:rsid w:val="006F5614"/>
    <w:rsid w:val="006F57FD"/>
    <w:rsid w:val="006F5803"/>
    <w:rsid w:val="006F596C"/>
    <w:rsid w:val="006F5C85"/>
    <w:rsid w:val="006F5DC7"/>
    <w:rsid w:val="006F5E5C"/>
    <w:rsid w:val="006F61E4"/>
    <w:rsid w:val="006F6272"/>
    <w:rsid w:val="006F62AF"/>
    <w:rsid w:val="006F62EE"/>
    <w:rsid w:val="006F640F"/>
    <w:rsid w:val="006F661A"/>
    <w:rsid w:val="006F66A1"/>
    <w:rsid w:val="006F67D6"/>
    <w:rsid w:val="006F68D9"/>
    <w:rsid w:val="006F695E"/>
    <w:rsid w:val="006F6A92"/>
    <w:rsid w:val="006F6CEF"/>
    <w:rsid w:val="006F70DD"/>
    <w:rsid w:val="006F7296"/>
    <w:rsid w:val="006F7350"/>
    <w:rsid w:val="006F7663"/>
    <w:rsid w:val="006F783A"/>
    <w:rsid w:val="006F7A80"/>
    <w:rsid w:val="006F7C73"/>
    <w:rsid w:val="006F7D1F"/>
    <w:rsid w:val="006F7D45"/>
    <w:rsid w:val="00700239"/>
    <w:rsid w:val="00700405"/>
    <w:rsid w:val="00700499"/>
    <w:rsid w:val="00700603"/>
    <w:rsid w:val="007008E1"/>
    <w:rsid w:val="00700E59"/>
    <w:rsid w:val="007012EC"/>
    <w:rsid w:val="00701B3E"/>
    <w:rsid w:val="00701BCD"/>
    <w:rsid w:val="00701C5B"/>
    <w:rsid w:val="00701DCC"/>
    <w:rsid w:val="00701F90"/>
    <w:rsid w:val="00702015"/>
    <w:rsid w:val="007021C7"/>
    <w:rsid w:val="007022D4"/>
    <w:rsid w:val="007023CE"/>
    <w:rsid w:val="00702705"/>
    <w:rsid w:val="0070281B"/>
    <w:rsid w:val="007028C2"/>
    <w:rsid w:val="00702BFD"/>
    <w:rsid w:val="00702D77"/>
    <w:rsid w:val="00702DD4"/>
    <w:rsid w:val="00703075"/>
    <w:rsid w:val="007031DB"/>
    <w:rsid w:val="007033A3"/>
    <w:rsid w:val="0070347D"/>
    <w:rsid w:val="007035A3"/>
    <w:rsid w:val="007036C7"/>
    <w:rsid w:val="0070370E"/>
    <w:rsid w:val="0070387F"/>
    <w:rsid w:val="00703A06"/>
    <w:rsid w:val="00703D82"/>
    <w:rsid w:val="00703E40"/>
    <w:rsid w:val="00704077"/>
    <w:rsid w:val="007040A7"/>
    <w:rsid w:val="007042A6"/>
    <w:rsid w:val="007042B3"/>
    <w:rsid w:val="007042F9"/>
    <w:rsid w:val="0070444F"/>
    <w:rsid w:val="007044F3"/>
    <w:rsid w:val="00704663"/>
    <w:rsid w:val="0070491C"/>
    <w:rsid w:val="00704B03"/>
    <w:rsid w:val="00704C2B"/>
    <w:rsid w:val="00704CC1"/>
    <w:rsid w:val="00704F2D"/>
    <w:rsid w:val="00704FB3"/>
    <w:rsid w:val="00705189"/>
    <w:rsid w:val="007051E4"/>
    <w:rsid w:val="007056D3"/>
    <w:rsid w:val="0070575E"/>
    <w:rsid w:val="007058EF"/>
    <w:rsid w:val="007058F4"/>
    <w:rsid w:val="00705991"/>
    <w:rsid w:val="00705999"/>
    <w:rsid w:val="00705B56"/>
    <w:rsid w:val="00705DDE"/>
    <w:rsid w:val="00705E11"/>
    <w:rsid w:val="00705FA8"/>
    <w:rsid w:val="00706053"/>
    <w:rsid w:val="0070620A"/>
    <w:rsid w:val="0070652F"/>
    <w:rsid w:val="007066E6"/>
    <w:rsid w:val="007069B7"/>
    <w:rsid w:val="00706A01"/>
    <w:rsid w:val="00706AD6"/>
    <w:rsid w:val="00706B37"/>
    <w:rsid w:val="00706B70"/>
    <w:rsid w:val="00706EE3"/>
    <w:rsid w:val="0070703F"/>
    <w:rsid w:val="007072DF"/>
    <w:rsid w:val="007074DC"/>
    <w:rsid w:val="007075A8"/>
    <w:rsid w:val="0070783C"/>
    <w:rsid w:val="00707AE5"/>
    <w:rsid w:val="00707BE9"/>
    <w:rsid w:val="00707D38"/>
    <w:rsid w:val="00707ED9"/>
    <w:rsid w:val="007100CB"/>
    <w:rsid w:val="0071012F"/>
    <w:rsid w:val="00710321"/>
    <w:rsid w:val="007108E1"/>
    <w:rsid w:val="00710A62"/>
    <w:rsid w:val="00710EB4"/>
    <w:rsid w:val="00710F90"/>
    <w:rsid w:val="00711115"/>
    <w:rsid w:val="00711328"/>
    <w:rsid w:val="00711505"/>
    <w:rsid w:val="007116BA"/>
    <w:rsid w:val="00711897"/>
    <w:rsid w:val="007119A3"/>
    <w:rsid w:val="007119D0"/>
    <w:rsid w:val="00711F33"/>
    <w:rsid w:val="00711FA8"/>
    <w:rsid w:val="0071206A"/>
    <w:rsid w:val="007121A6"/>
    <w:rsid w:val="00712339"/>
    <w:rsid w:val="00712425"/>
    <w:rsid w:val="00712540"/>
    <w:rsid w:val="0071257E"/>
    <w:rsid w:val="0071273F"/>
    <w:rsid w:val="0071276D"/>
    <w:rsid w:val="007127C5"/>
    <w:rsid w:val="00712983"/>
    <w:rsid w:val="007129B4"/>
    <w:rsid w:val="00712A6D"/>
    <w:rsid w:val="00712AA7"/>
    <w:rsid w:val="00712B23"/>
    <w:rsid w:val="007131A7"/>
    <w:rsid w:val="00713377"/>
    <w:rsid w:val="00713421"/>
    <w:rsid w:val="00713512"/>
    <w:rsid w:val="0071380B"/>
    <w:rsid w:val="0071387C"/>
    <w:rsid w:val="007139BB"/>
    <w:rsid w:val="00713B3C"/>
    <w:rsid w:val="00713BF2"/>
    <w:rsid w:val="00713DE7"/>
    <w:rsid w:val="00713DFB"/>
    <w:rsid w:val="00713EAD"/>
    <w:rsid w:val="00713F1D"/>
    <w:rsid w:val="00713F8C"/>
    <w:rsid w:val="007145BE"/>
    <w:rsid w:val="007148C3"/>
    <w:rsid w:val="00714B0F"/>
    <w:rsid w:val="00714B2D"/>
    <w:rsid w:val="00714C9F"/>
    <w:rsid w:val="00714F36"/>
    <w:rsid w:val="00715B9B"/>
    <w:rsid w:val="00715CFB"/>
    <w:rsid w:val="00715D81"/>
    <w:rsid w:val="00715FCE"/>
    <w:rsid w:val="00716041"/>
    <w:rsid w:val="00716221"/>
    <w:rsid w:val="0071624D"/>
    <w:rsid w:val="00716305"/>
    <w:rsid w:val="007164DB"/>
    <w:rsid w:val="00716532"/>
    <w:rsid w:val="007165C0"/>
    <w:rsid w:val="007167B1"/>
    <w:rsid w:val="007167ED"/>
    <w:rsid w:val="00716901"/>
    <w:rsid w:val="00716A83"/>
    <w:rsid w:val="00716ABB"/>
    <w:rsid w:val="00716BB0"/>
    <w:rsid w:val="00716CA8"/>
    <w:rsid w:val="00716CB1"/>
    <w:rsid w:val="00716CF9"/>
    <w:rsid w:val="00716D6B"/>
    <w:rsid w:val="00717163"/>
    <w:rsid w:val="00717190"/>
    <w:rsid w:val="00717467"/>
    <w:rsid w:val="007177AD"/>
    <w:rsid w:val="00717997"/>
    <w:rsid w:val="00717B3D"/>
    <w:rsid w:val="007202EE"/>
    <w:rsid w:val="00720557"/>
    <w:rsid w:val="0072060C"/>
    <w:rsid w:val="0072061F"/>
    <w:rsid w:val="0072072A"/>
    <w:rsid w:val="00720A89"/>
    <w:rsid w:val="00720E34"/>
    <w:rsid w:val="00720FBA"/>
    <w:rsid w:val="00721007"/>
    <w:rsid w:val="0072125C"/>
    <w:rsid w:val="00721336"/>
    <w:rsid w:val="00721652"/>
    <w:rsid w:val="00721741"/>
    <w:rsid w:val="007218C0"/>
    <w:rsid w:val="00721927"/>
    <w:rsid w:val="00721C22"/>
    <w:rsid w:val="00721C6C"/>
    <w:rsid w:val="00721FDE"/>
    <w:rsid w:val="00722388"/>
    <w:rsid w:val="007227E6"/>
    <w:rsid w:val="00722915"/>
    <w:rsid w:val="00722A24"/>
    <w:rsid w:val="007230B7"/>
    <w:rsid w:val="0072331A"/>
    <w:rsid w:val="0072335C"/>
    <w:rsid w:val="007235A4"/>
    <w:rsid w:val="007236AD"/>
    <w:rsid w:val="007237CD"/>
    <w:rsid w:val="007237FB"/>
    <w:rsid w:val="00723A33"/>
    <w:rsid w:val="00723BA9"/>
    <w:rsid w:val="00723CD3"/>
    <w:rsid w:val="00723E57"/>
    <w:rsid w:val="007244E8"/>
    <w:rsid w:val="007245EC"/>
    <w:rsid w:val="0072479B"/>
    <w:rsid w:val="00724971"/>
    <w:rsid w:val="007249EA"/>
    <w:rsid w:val="00724BF1"/>
    <w:rsid w:val="00724E4B"/>
    <w:rsid w:val="00724E6C"/>
    <w:rsid w:val="00724F08"/>
    <w:rsid w:val="00725235"/>
    <w:rsid w:val="00725361"/>
    <w:rsid w:val="0072539F"/>
    <w:rsid w:val="007254E2"/>
    <w:rsid w:val="00725602"/>
    <w:rsid w:val="007257ED"/>
    <w:rsid w:val="007258DA"/>
    <w:rsid w:val="00725B9E"/>
    <w:rsid w:val="00725E95"/>
    <w:rsid w:val="00725F47"/>
    <w:rsid w:val="00726431"/>
    <w:rsid w:val="0072645D"/>
    <w:rsid w:val="007264D6"/>
    <w:rsid w:val="007265C8"/>
    <w:rsid w:val="007266C5"/>
    <w:rsid w:val="007268F6"/>
    <w:rsid w:val="007269F6"/>
    <w:rsid w:val="00726A0F"/>
    <w:rsid w:val="00726C16"/>
    <w:rsid w:val="00726E11"/>
    <w:rsid w:val="00726E45"/>
    <w:rsid w:val="00726FCF"/>
    <w:rsid w:val="007273BA"/>
    <w:rsid w:val="00727BF7"/>
    <w:rsid w:val="00727F09"/>
    <w:rsid w:val="007304AA"/>
    <w:rsid w:val="0073078F"/>
    <w:rsid w:val="0073080E"/>
    <w:rsid w:val="00730874"/>
    <w:rsid w:val="00730992"/>
    <w:rsid w:val="007309F5"/>
    <w:rsid w:val="00730B87"/>
    <w:rsid w:val="00730CBA"/>
    <w:rsid w:val="00730D5F"/>
    <w:rsid w:val="00730EBD"/>
    <w:rsid w:val="00730FAE"/>
    <w:rsid w:val="00730FDD"/>
    <w:rsid w:val="00731654"/>
    <w:rsid w:val="007316AC"/>
    <w:rsid w:val="007317F2"/>
    <w:rsid w:val="007318AE"/>
    <w:rsid w:val="0073191C"/>
    <w:rsid w:val="00731D7D"/>
    <w:rsid w:val="00732273"/>
    <w:rsid w:val="0073234D"/>
    <w:rsid w:val="00732489"/>
    <w:rsid w:val="007327E6"/>
    <w:rsid w:val="00732A61"/>
    <w:rsid w:val="00732DD0"/>
    <w:rsid w:val="00733009"/>
    <w:rsid w:val="007330C7"/>
    <w:rsid w:val="0073343E"/>
    <w:rsid w:val="00733448"/>
    <w:rsid w:val="007336E8"/>
    <w:rsid w:val="0073396E"/>
    <w:rsid w:val="00733C8A"/>
    <w:rsid w:val="00733C8F"/>
    <w:rsid w:val="00733E81"/>
    <w:rsid w:val="00733F6D"/>
    <w:rsid w:val="00734281"/>
    <w:rsid w:val="007342A0"/>
    <w:rsid w:val="00734326"/>
    <w:rsid w:val="007343D9"/>
    <w:rsid w:val="0073440B"/>
    <w:rsid w:val="0073461B"/>
    <w:rsid w:val="007346A6"/>
    <w:rsid w:val="00734850"/>
    <w:rsid w:val="00734DF8"/>
    <w:rsid w:val="00735088"/>
    <w:rsid w:val="007350B0"/>
    <w:rsid w:val="007354B9"/>
    <w:rsid w:val="007356C8"/>
    <w:rsid w:val="00735AE4"/>
    <w:rsid w:val="00735C5C"/>
    <w:rsid w:val="00735D24"/>
    <w:rsid w:val="0073609E"/>
    <w:rsid w:val="007361A7"/>
    <w:rsid w:val="0073628D"/>
    <w:rsid w:val="0073638C"/>
    <w:rsid w:val="0073647F"/>
    <w:rsid w:val="00736870"/>
    <w:rsid w:val="007368DC"/>
    <w:rsid w:val="00736971"/>
    <w:rsid w:val="00736A57"/>
    <w:rsid w:val="00736AAB"/>
    <w:rsid w:val="00736BAB"/>
    <w:rsid w:val="00736F2E"/>
    <w:rsid w:val="00736FF2"/>
    <w:rsid w:val="00737009"/>
    <w:rsid w:val="00737635"/>
    <w:rsid w:val="007376FE"/>
    <w:rsid w:val="0073785A"/>
    <w:rsid w:val="00737BAC"/>
    <w:rsid w:val="00737C1C"/>
    <w:rsid w:val="00737D59"/>
    <w:rsid w:val="00737F21"/>
    <w:rsid w:val="007401B4"/>
    <w:rsid w:val="007402C7"/>
    <w:rsid w:val="00740767"/>
    <w:rsid w:val="0074079B"/>
    <w:rsid w:val="00741032"/>
    <w:rsid w:val="007411E1"/>
    <w:rsid w:val="007412FA"/>
    <w:rsid w:val="00741943"/>
    <w:rsid w:val="00741B3E"/>
    <w:rsid w:val="00741D75"/>
    <w:rsid w:val="00741F1C"/>
    <w:rsid w:val="00742159"/>
    <w:rsid w:val="007421EF"/>
    <w:rsid w:val="007427F3"/>
    <w:rsid w:val="007428CF"/>
    <w:rsid w:val="007428D1"/>
    <w:rsid w:val="00742B7F"/>
    <w:rsid w:val="00742D0B"/>
    <w:rsid w:val="00743112"/>
    <w:rsid w:val="0074316F"/>
    <w:rsid w:val="007431C1"/>
    <w:rsid w:val="00743356"/>
    <w:rsid w:val="007433DE"/>
    <w:rsid w:val="007434E3"/>
    <w:rsid w:val="0074355F"/>
    <w:rsid w:val="00743ACD"/>
    <w:rsid w:val="00743BF9"/>
    <w:rsid w:val="00743EB3"/>
    <w:rsid w:val="00743F47"/>
    <w:rsid w:val="00744144"/>
    <w:rsid w:val="007447FB"/>
    <w:rsid w:val="00744996"/>
    <w:rsid w:val="007452E7"/>
    <w:rsid w:val="00745522"/>
    <w:rsid w:val="00745828"/>
    <w:rsid w:val="00745883"/>
    <w:rsid w:val="00745E2D"/>
    <w:rsid w:val="007462EE"/>
    <w:rsid w:val="00746628"/>
    <w:rsid w:val="007466F2"/>
    <w:rsid w:val="0074682D"/>
    <w:rsid w:val="00746A32"/>
    <w:rsid w:val="00746AD6"/>
    <w:rsid w:val="00746BE0"/>
    <w:rsid w:val="00746BEE"/>
    <w:rsid w:val="00746D17"/>
    <w:rsid w:val="00746F0F"/>
    <w:rsid w:val="007476C1"/>
    <w:rsid w:val="007477F4"/>
    <w:rsid w:val="0074799C"/>
    <w:rsid w:val="007479D0"/>
    <w:rsid w:val="00747B43"/>
    <w:rsid w:val="007500F7"/>
    <w:rsid w:val="00750180"/>
    <w:rsid w:val="0075077B"/>
    <w:rsid w:val="007507D8"/>
    <w:rsid w:val="007508A2"/>
    <w:rsid w:val="007509CE"/>
    <w:rsid w:val="00750CB3"/>
    <w:rsid w:val="00750D08"/>
    <w:rsid w:val="00750D7D"/>
    <w:rsid w:val="00750DB0"/>
    <w:rsid w:val="00750F06"/>
    <w:rsid w:val="00751235"/>
    <w:rsid w:val="00751336"/>
    <w:rsid w:val="00751373"/>
    <w:rsid w:val="00751484"/>
    <w:rsid w:val="00751736"/>
    <w:rsid w:val="007518C2"/>
    <w:rsid w:val="007518C8"/>
    <w:rsid w:val="00751ABB"/>
    <w:rsid w:val="00751C98"/>
    <w:rsid w:val="00751DC0"/>
    <w:rsid w:val="007525EA"/>
    <w:rsid w:val="0075262B"/>
    <w:rsid w:val="00752BBC"/>
    <w:rsid w:val="00753393"/>
    <w:rsid w:val="007536AB"/>
    <w:rsid w:val="00753977"/>
    <w:rsid w:val="007539D2"/>
    <w:rsid w:val="00753C1A"/>
    <w:rsid w:val="00753CDA"/>
    <w:rsid w:val="00753E8E"/>
    <w:rsid w:val="00753ED8"/>
    <w:rsid w:val="00753F2A"/>
    <w:rsid w:val="007540DB"/>
    <w:rsid w:val="0075431E"/>
    <w:rsid w:val="00754400"/>
    <w:rsid w:val="00754A4A"/>
    <w:rsid w:val="00754B9B"/>
    <w:rsid w:val="00754EE1"/>
    <w:rsid w:val="00754FB4"/>
    <w:rsid w:val="007552FB"/>
    <w:rsid w:val="00755822"/>
    <w:rsid w:val="0075592B"/>
    <w:rsid w:val="007559F0"/>
    <w:rsid w:val="00755D83"/>
    <w:rsid w:val="00755E9C"/>
    <w:rsid w:val="00755F81"/>
    <w:rsid w:val="00755FB0"/>
    <w:rsid w:val="00756122"/>
    <w:rsid w:val="0075612A"/>
    <w:rsid w:val="0075678B"/>
    <w:rsid w:val="00756882"/>
    <w:rsid w:val="007568F2"/>
    <w:rsid w:val="00756A33"/>
    <w:rsid w:val="00756D9E"/>
    <w:rsid w:val="007570B6"/>
    <w:rsid w:val="007570BC"/>
    <w:rsid w:val="0075718F"/>
    <w:rsid w:val="00757593"/>
    <w:rsid w:val="00757606"/>
    <w:rsid w:val="0075764A"/>
    <w:rsid w:val="007577DD"/>
    <w:rsid w:val="00757A03"/>
    <w:rsid w:val="00757D00"/>
    <w:rsid w:val="00757E67"/>
    <w:rsid w:val="00760101"/>
    <w:rsid w:val="0076014E"/>
    <w:rsid w:val="007602AE"/>
    <w:rsid w:val="00760429"/>
    <w:rsid w:val="0076046E"/>
    <w:rsid w:val="007604AC"/>
    <w:rsid w:val="0076088D"/>
    <w:rsid w:val="00760961"/>
    <w:rsid w:val="00760988"/>
    <w:rsid w:val="00760AD4"/>
    <w:rsid w:val="00760C34"/>
    <w:rsid w:val="00760F3F"/>
    <w:rsid w:val="007610EE"/>
    <w:rsid w:val="0076114B"/>
    <w:rsid w:val="00761233"/>
    <w:rsid w:val="007615DE"/>
    <w:rsid w:val="00761ABB"/>
    <w:rsid w:val="00761B1C"/>
    <w:rsid w:val="007626C0"/>
    <w:rsid w:val="0076284E"/>
    <w:rsid w:val="007629F7"/>
    <w:rsid w:val="00762AED"/>
    <w:rsid w:val="00762D9E"/>
    <w:rsid w:val="00762DCF"/>
    <w:rsid w:val="00763178"/>
    <w:rsid w:val="0076324B"/>
    <w:rsid w:val="0076331B"/>
    <w:rsid w:val="00763320"/>
    <w:rsid w:val="007635F8"/>
    <w:rsid w:val="007637BE"/>
    <w:rsid w:val="007637C8"/>
    <w:rsid w:val="0076380F"/>
    <w:rsid w:val="00763B04"/>
    <w:rsid w:val="00763BAC"/>
    <w:rsid w:val="00764237"/>
    <w:rsid w:val="00764251"/>
    <w:rsid w:val="0076473E"/>
    <w:rsid w:val="0076490F"/>
    <w:rsid w:val="00764AD8"/>
    <w:rsid w:val="00764BBF"/>
    <w:rsid w:val="00764D06"/>
    <w:rsid w:val="00764D99"/>
    <w:rsid w:val="00764E66"/>
    <w:rsid w:val="00765187"/>
    <w:rsid w:val="007652C4"/>
    <w:rsid w:val="00765314"/>
    <w:rsid w:val="00765363"/>
    <w:rsid w:val="007653AE"/>
    <w:rsid w:val="00765474"/>
    <w:rsid w:val="00765A63"/>
    <w:rsid w:val="00765CEF"/>
    <w:rsid w:val="00765FA1"/>
    <w:rsid w:val="0076604A"/>
    <w:rsid w:val="00766830"/>
    <w:rsid w:val="00766922"/>
    <w:rsid w:val="0076698C"/>
    <w:rsid w:val="00766B78"/>
    <w:rsid w:val="00766B8C"/>
    <w:rsid w:val="00766C6A"/>
    <w:rsid w:val="00766D1E"/>
    <w:rsid w:val="0076705D"/>
    <w:rsid w:val="0076732B"/>
    <w:rsid w:val="0076770D"/>
    <w:rsid w:val="00767A81"/>
    <w:rsid w:val="00767B69"/>
    <w:rsid w:val="00767DDC"/>
    <w:rsid w:val="00767E7C"/>
    <w:rsid w:val="00767F23"/>
    <w:rsid w:val="00767F65"/>
    <w:rsid w:val="007701D8"/>
    <w:rsid w:val="00770488"/>
    <w:rsid w:val="0077048C"/>
    <w:rsid w:val="00770796"/>
    <w:rsid w:val="007708EE"/>
    <w:rsid w:val="00770920"/>
    <w:rsid w:val="00770935"/>
    <w:rsid w:val="00770BFA"/>
    <w:rsid w:val="00770C6C"/>
    <w:rsid w:val="00770F2A"/>
    <w:rsid w:val="0077116F"/>
    <w:rsid w:val="007712AF"/>
    <w:rsid w:val="007714DF"/>
    <w:rsid w:val="00771683"/>
    <w:rsid w:val="0077181B"/>
    <w:rsid w:val="00771C4C"/>
    <w:rsid w:val="00772059"/>
    <w:rsid w:val="0077220C"/>
    <w:rsid w:val="0077225E"/>
    <w:rsid w:val="00772406"/>
    <w:rsid w:val="0077245F"/>
    <w:rsid w:val="00772559"/>
    <w:rsid w:val="007727D4"/>
    <w:rsid w:val="00772927"/>
    <w:rsid w:val="00772976"/>
    <w:rsid w:val="00772984"/>
    <w:rsid w:val="00772DBC"/>
    <w:rsid w:val="0077316F"/>
    <w:rsid w:val="007731FB"/>
    <w:rsid w:val="0077335D"/>
    <w:rsid w:val="00773806"/>
    <w:rsid w:val="007738EC"/>
    <w:rsid w:val="007739EF"/>
    <w:rsid w:val="00773A98"/>
    <w:rsid w:val="00773AC5"/>
    <w:rsid w:val="00773C0F"/>
    <w:rsid w:val="00773CCB"/>
    <w:rsid w:val="00773D2C"/>
    <w:rsid w:val="00773EB6"/>
    <w:rsid w:val="0077434A"/>
    <w:rsid w:val="007743D9"/>
    <w:rsid w:val="007743DE"/>
    <w:rsid w:val="007745C1"/>
    <w:rsid w:val="0077493A"/>
    <w:rsid w:val="00774AD4"/>
    <w:rsid w:val="00774EE2"/>
    <w:rsid w:val="00774FAA"/>
    <w:rsid w:val="0077536D"/>
    <w:rsid w:val="00775BE5"/>
    <w:rsid w:val="00775E69"/>
    <w:rsid w:val="00775E6E"/>
    <w:rsid w:val="00775F58"/>
    <w:rsid w:val="007760C7"/>
    <w:rsid w:val="007763D0"/>
    <w:rsid w:val="007764EC"/>
    <w:rsid w:val="00776B93"/>
    <w:rsid w:val="00776C64"/>
    <w:rsid w:val="00776E0C"/>
    <w:rsid w:val="00777227"/>
    <w:rsid w:val="0077743E"/>
    <w:rsid w:val="007775AE"/>
    <w:rsid w:val="007775CC"/>
    <w:rsid w:val="007775FA"/>
    <w:rsid w:val="00777732"/>
    <w:rsid w:val="0077793C"/>
    <w:rsid w:val="00777A16"/>
    <w:rsid w:val="00777B73"/>
    <w:rsid w:val="00777F19"/>
    <w:rsid w:val="0078028A"/>
    <w:rsid w:val="00780303"/>
    <w:rsid w:val="0078038E"/>
    <w:rsid w:val="007804C4"/>
    <w:rsid w:val="0078051F"/>
    <w:rsid w:val="0078053D"/>
    <w:rsid w:val="00780624"/>
    <w:rsid w:val="0078098E"/>
    <w:rsid w:val="00780A02"/>
    <w:rsid w:val="00780B2E"/>
    <w:rsid w:val="00780DB2"/>
    <w:rsid w:val="00780F5D"/>
    <w:rsid w:val="00781031"/>
    <w:rsid w:val="0078126A"/>
    <w:rsid w:val="0078175F"/>
    <w:rsid w:val="00781972"/>
    <w:rsid w:val="00781A63"/>
    <w:rsid w:val="00781A76"/>
    <w:rsid w:val="00781A96"/>
    <w:rsid w:val="00781C2E"/>
    <w:rsid w:val="00782053"/>
    <w:rsid w:val="007820E8"/>
    <w:rsid w:val="0078216C"/>
    <w:rsid w:val="0078225A"/>
    <w:rsid w:val="007822BD"/>
    <w:rsid w:val="00782537"/>
    <w:rsid w:val="00782684"/>
    <w:rsid w:val="00782BAB"/>
    <w:rsid w:val="00782BB0"/>
    <w:rsid w:val="00782C95"/>
    <w:rsid w:val="00782EEC"/>
    <w:rsid w:val="00783042"/>
    <w:rsid w:val="00783056"/>
    <w:rsid w:val="0078310E"/>
    <w:rsid w:val="007832C8"/>
    <w:rsid w:val="0078361A"/>
    <w:rsid w:val="007836AC"/>
    <w:rsid w:val="007838B6"/>
    <w:rsid w:val="007838CB"/>
    <w:rsid w:val="00783D05"/>
    <w:rsid w:val="00783D5B"/>
    <w:rsid w:val="00783EB0"/>
    <w:rsid w:val="00784252"/>
    <w:rsid w:val="007842C1"/>
    <w:rsid w:val="0078435C"/>
    <w:rsid w:val="007843E7"/>
    <w:rsid w:val="00784405"/>
    <w:rsid w:val="007844BE"/>
    <w:rsid w:val="007844FC"/>
    <w:rsid w:val="0078457A"/>
    <w:rsid w:val="0078467E"/>
    <w:rsid w:val="00784752"/>
    <w:rsid w:val="00784784"/>
    <w:rsid w:val="0078482E"/>
    <w:rsid w:val="0078494A"/>
    <w:rsid w:val="00784AC8"/>
    <w:rsid w:val="00784FA0"/>
    <w:rsid w:val="007850F5"/>
    <w:rsid w:val="0078518C"/>
    <w:rsid w:val="007851C1"/>
    <w:rsid w:val="007852B1"/>
    <w:rsid w:val="007854A6"/>
    <w:rsid w:val="007856AF"/>
    <w:rsid w:val="00785799"/>
    <w:rsid w:val="007857F5"/>
    <w:rsid w:val="00785865"/>
    <w:rsid w:val="00785A0E"/>
    <w:rsid w:val="00785D40"/>
    <w:rsid w:val="00785D8F"/>
    <w:rsid w:val="00785FF3"/>
    <w:rsid w:val="007860F2"/>
    <w:rsid w:val="0078613F"/>
    <w:rsid w:val="0078624F"/>
    <w:rsid w:val="007862E2"/>
    <w:rsid w:val="0078649E"/>
    <w:rsid w:val="0078650F"/>
    <w:rsid w:val="00786CD8"/>
    <w:rsid w:val="00786D28"/>
    <w:rsid w:val="00786E11"/>
    <w:rsid w:val="00787082"/>
    <w:rsid w:val="0078722A"/>
    <w:rsid w:val="00787259"/>
    <w:rsid w:val="00787409"/>
    <w:rsid w:val="00787823"/>
    <w:rsid w:val="007878BE"/>
    <w:rsid w:val="007878E3"/>
    <w:rsid w:val="0078791D"/>
    <w:rsid w:val="0078793B"/>
    <w:rsid w:val="00787A0B"/>
    <w:rsid w:val="00787B94"/>
    <w:rsid w:val="00787D15"/>
    <w:rsid w:val="00787EE8"/>
    <w:rsid w:val="00790029"/>
    <w:rsid w:val="0079026D"/>
    <w:rsid w:val="007902D0"/>
    <w:rsid w:val="00790456"/>
    <w:rsid w:val="0079050F"/>
    <w:rsid w:val="0079060C"/>
    <w:rsid w:val="007906D2"/>
    <w:rsid w:val="007907FA"/>
    <w:rsid w:val="0079099D"/>
    <w:rsid w:val="00790B91"/>
    <w:rsid w:val="00790C2E"/>
    <w:rsid w:val="00790D24"/>
    <w:rsid w:val="00790D52"/>
    <w:rsid w:val="00791021"/>
    <w:rsid w:val="007911A8"/>
    <w:rsid w:val="007911B5"/>
    <w:rsid w:val="007917FC"/>
    <w:rsid w:val="007919DE"/>
    <w:rsid w:val="00791C55"/>
    <w:rsid w:val="00791EBA"/>
    <w:rsid w:val="00791F00"/>
    <w:rsid w:val="0079222A"/>
    <w:rsid w:val="0079222E"/>
    <w:rsid w:val="00792275"/>
    <w:rsid w:val="00792700"/>
    <w:rsid w:val="00792768"/>
    <w:rsid w:val="00792799"/>
    <w:rsid w:val="0079292F"/>
    <w:rsid w:val="007929E3"/>
    <w:rsid w:val="00792B01"/>
    <w:rsid w:val="00792CAF"/>
    <w:rsid w:val="00792E9B"/>
    <w:rsid w:val="00792ECA"/>
    <w:rsid w:val="00793116"/>
    <w:rsid w:val="007937FE"/>
    <w:rsid w:val="007938D1"/>
    <w:rsid w:val="00793C42"/>
    <w:rsid w:val="00794073"/>
    <w:rsid w:val="007941F6"/>
    <w:rsid w:val="00794297"/>
    <w:rsid w:val="007943F2"/>
    <w:rsid w:val="007944BC"/>
    <w:rsid w:val="00794514"/>
    <w:rsid w:val="00794622"/>
    <w:rsid w:val="00794DDF"/>
    <w:rsid w:val="00794E51"/>
    <w:rsid w:val="007952AE"/>
    <w:rsid w:val="00795348"/>
    <w:rsid w:val="007955AC"/>
    <w:rsid w:val="00795756"/>
    <w:rsid w:val="0079581F"/>
    <w:rsid w:val="00795ACC"/>
    <w:rsid w:val="00795AFE"/>
    <w:rsid w:val="00795C6C"/>
    <w:rsid w:val="007961FB"/>
    <w:rsid w:val="00796302"/>
    <w:rsid w:val="00796596"/>
    <w:rsid w:val="007969D2"/>
    <w:rsid w:val="00796CF3"/>
    <w:rsid w:val="00796DA7"/>
    <w:rsid w:val="0079725A"/>
    <w:rsid w:val="00797378"/>
    <w:rsid w:val="00797401"/>
    <w:rsid w:val="0079746D"/>
    <w:rsid w:val="007974A3"/>
    <w:rsid w:val="00797542"/>
    <w:rsid w:val="0079787F"/>
    <w:rsid w:val="00797B86"/>
    <w:rsid w:val="00797C82"/>
    <w:rsid w:val="00797DFA"/>
    <w:rsid w:val="00797F0A"/>
    <w:rsid w:val="00797F88"/>
    <w:rsid w:val="00797F94"/>
    <w:rsid w:val="00797FA5"/>
    <w:rsid w:val="007A02DF"/>
    <w:rsid w:val="007A044C"/>
    <w:rsid w:val="007A0684"/>
    <w:rsid w:val="007A09B3"/>
    <w:rsid w:val="007A0B57"/>
    <w:rsid w:val="007A0EEC"/>
    <w:rsid w:val="007A0F0F"/>
    <w:rsid w:val="007A100E"/>
    <w:rsid w:val="007A10C4"/>
    <w:rsid w:val="007A1208"/>
    <w:rsid w:val="007A12A3"/>
    <w:rsid w:val="007A139F"/>
    <w:rsid w:val="007A1471"/>
    <w:rsid w:val="007A163E"/>
    <w:rsid w:val="007A18FF"/>
    <w:rsid w:val="007A190F"/>
    <w:rsid w:val="007A19D9"/>
    <w:rsid w:val="007A1A2A"/>
    <w:rsid w:val="007A1BD5"/>
    <w:rsid w:val="007A1D78"/>
    <w:rsid w:val="007A1DC3"/>
    <w:rsid w:val="007A1E23"/>
    <w:rsid w:val="007A1F49"/>
    <w:rsid w:val="007A20E6"/>
    <w:rsid w:val="007A21C6"/>
    <w:rsid w:val="007A22FF"/>
    <w:rsid w:val="007A23B9"/>
    <w:rsid w:val="007A24E6"/>
    <w:rsid w:val="007A2574"/>
    <w:rsid w:val="007A2919"/>
    <w:rsid w:val="007A29B3"/>
    <w:rsid w:val="007A29D5"/>
    <w:rsid w:val="007A2A50"/>
    <w:rsid w:val="007A2C70"/>
    <w:rsid w:val="007A2EBA"/>
    <w:rsid w:val="007A3017"/>
    <w:rsid w:val="007A319F"/>
    <w:rsid w:val="007A3205"/>
    <w:rsid w:val="007A3383"/>
    <w:rsid w:val="007A3867"/>
    <w:rsid w:val="007A3AD0"/>
    <w:rsid w:val="007A3E79"/>
    <w:rsid w:val="007A3FA3"/>
    <w:rsid w:val="007A420D"/>
    <w:rsid w:val="007A45A8"/>
    <w:rsid w:val="007A45B6"/>
    <w:rsid w:val="007A492D"/>
    <w:rsid w:val="007A4A53"/>
    <w:rsid w:val="007A4ACF"/>
    <w:rsid w:val="007A4ADC"/>
    <w:rsid w:val="007A4B45"/>
    <w:rsid w:val="007A4BD3"/>
    <w:rsid w:val="007A4CF4"/>
    <w:rsid w:val="007A4D39"/>
    <w:rsid w:val="007A5119"/>
    <w:rsid w:val="007A542E"/>
    <w:rsid w:val="007A5439"/>
    <w:rsid w:val="007A54D5"/>
    <w:rsid w:val="007A5624"/>
    <w:rsid w:val="007A5638"/>
    <w:rsid w:val="007A5656"/>
    <w:rsid w:val="007A5959"/>
    <w:rsid w:val="007A5A3F"/>
    <w:rsid w:val="007A5DE1"/>
    <w:rsid w:val="007A617A"/>
    <w:rsid w:val="007A682C"/>
    <w:rsid w:val="007A6979"/>
    <w:rsid w:val="007A69DC"/>
    <w:rsid w:val="007A69F7"/>
    <w:rsid w:val="007A6AD6"/>
    <w:rsid w:val="007A6AFD"/>
    <w:rsid w:val="007A6B17"/>
    <w:rsid w:val="007A6B20"/>
    <w:rsid w:val="007A7047"/>
    <w:rsid w:val="007A7089"/>
    <w:rsid w:val="007A70B8"/>
    <w:rsid w:val="007A7197"/>
    <w:rsid w:val="007A7250"/>
    <w:rsid w:val="007A72AD"/>
    <w:rsid w:val="007A796D"/>
    <w:rsid w:val="007A79A9"/>
    <w:rsid w:val="007A7D10"/>
    <w:rsid w:val="007A7E9C"/>
    <w:rsid w:val="007A7EED"/>
    <w:rsid w:val="007A7FFE"/>
    <w:rsid w:val="007B0026"/>
    <w:rsid w:val="007B00FB"/>
    <w:rsid w:val="007B0399"/>
    <w:rsid w:val="007B03ED"/>
    <w:rsid w:val="007B0537"/>
    <w:rsid w:val="007B0894"/>
    <w:rsid w:val="007B0A34"/>
    <w:rsid w:val="007B0C0F"/>
    <w:rsid w:val="007B0F84"/>
    <w:rsid w:val="007B0F96"/>
    <w:rsid w:val="007B11B6"/>
    <w:rsid w:val="007B1310"/>
    <w:rsid w:val="007B1428"/>
    <w:rsid w:val="007B1587"/>
    <w:rsid w:val="007B1ACE"/>
    <w:rsid w:val="007B1D6F"/>
    <w:rsid w:val="007B213F"/>
    <w:rsid w:val="007B2198"/>
    <w:rsid w:val="007B2272"/>
    <w:rsid w:val="007B24F2"/>
    <w:rsid w:val="007B25F4"/>
    <w:rsid w:val="007B267D"/>
    <w:rsid w:val="007B2934"/>
    <w:rsid w:val="007B2994"/>
    <w:rsid w:val="007B2B1F"/>
    <w:rsid w:val="007B2BBB"/>
    <w:rsid w:val="007B2BEC"/>
    <w:rsid w:val="007B2F41"/>
    <w:rsid w:val="007B301B"/>
    <w:rsid w:val="007B3231"/>
    <w:rsid w:val="007B323A"/>
    <w:rsid w:val="007B36A4"/>
    <w:rsid w:val="007B3730"/>
    <w:rsid w:val="007B3C1A"/>
    <w:rsid w:val="007B3CBD"/>
    <w:rsid w:val="007B4148"/>
    <w:rsid w:val="007B4324"/>
    <w:rsid w:val="007B46E7"/>
    <w:rsid w:val="007B4859"/>
    <w:rsid w:val="007B4883"/>
    <w:rsid w:val="007B4B4D"/>
    <w:rsid w:val="007B4BB2"/>
    <w:rsid w:val="007B4C00"/>
    <w:rsid w:val="007B4C7A"/>
    <w:rsid w:val="007B4DFF"/>
    <w:rsid w:val="007B4E9A"/>
    <w:rsid w:val="007B5061"/>
    <w:rsid w:val="007B520E"/>
    <w:rsid w:val="007B5458"/>
    <w:rsid w:val="007B58A9"/>
    <w:rsid w:val="007B58F3"/>
    <w:rsid w:val="007B5B84"/>
    <w:rsid w:val="007B5EB1"/>
    <w:rsid w:val="007B6096"/>
    <w:rsid w:val="007B60EB"/>
    <w:rsid w:val="007B63C9"/>
    <w:rsid w:val="007B653E"/>
    <w:rsid w:val="007B65DE"/>
    <w:rsid w:val="007B679A"/>
    <w:rsid w:val="007B67B2"/>
    <w:rsid w:val="007B68B7"/>
    <w:rsid w:val="007B68BA"/>
    <w:rsid w:val="007B6B27"/>
    <w:rsid w:val="007B6C0A"/>
    <w:rsid w:val="007B7112"/>
    <w:rsid w:val="007B712C"/>
    <w:rsid w:val="007B7191"/>
    <w:rsid w:val="007B71AC"/>
    <w:rsid w:val="007B75B3"/>
    <w:rsid w:val="007B79FC"/>
    <w:rsid w:val="007B7B6B"/>
    <w:rsid w:val="007B7BC0"/>
    <w:rsid w:val="007B7C8F"/>
    <w:rsid w:val="007B7EB9"/>
    <w:rsid w:val="007B7F97"/>
    <w:rsid w:val="007C0249"/>
    <w:rsid w:val="007C0420"/>
    <w:rsid w:val="007C049E"/>
    <w:rsid w:val="007C0645"/>
    <w:rsid w:val="007C0AAF"/>
    <w:rsid w:val="007C0B9F"/>
    <w:rsid w:val="007C0CBF"/>
    <w:rsid w:val="007C0DF9"/>
    <w:rsid w:val="007C0E2C"/>
    <w:rsid w:val="007C0FE7"/>
    <w:rsid w:val="007C1163"/>
    <w:rsid w:val="007C14CC"/>
    <w:rsid w:val="007C159A"/>
    <w:rsid w:val="007C18D6"/>
    <w:rsid w:val="007C1C84"/>
    <w:rsid w:val="007C1E37"/>
    <w:rsid w:val="007C1F9D"/>
    <w:rsid w:val="007C1FAA"/>
    <w:rsid w:val="007C20B7"/>
    <w:rsid w:val="007C234D"/>
    <w:rsid w:val="007C23FA"/>
    <w:rsid w:val="007C2511"/>
    <w:rsid w:val="007C2520"/>
    <w:rsid w:val="007C2769"/>
    <w:rsid w:val="007C2951"/>
    <w:rsid w:val="007C2A13"/>
    <w:rsid w:val="007C2A6E"/>
    <w:rsid w:val="007C2C0C"/>
    <w:rsid w:val="007C2FD0"/>
    <w:rsid w:val="007C3544"/>
    <w:rsid w:val="007C3635"/>
    <w:rsid w:val="007C3662"/>
    <w:rsid w:val="007C3968"/>
    <w:rsid w:val="007C3984"/>
    <w:rsid w:val="007C3A0C"/>
    <w:rsid w:val="007C3B15"/>
    <w:rsid w:val="007C3D19"/>
    <w:rsid w:val="007C3ED9"/>
    <w:rsid w:val="007C3EEF"/>
    <w:rsid w:val="007C4442"/>
    <w:rsid w:val="007C44F8"/>
    <w:rsid w:val="007C4862"/>
    <w:rsid w:val="007C4A2E"/>
    <w:rsid w:val="007C4A4F"/>
    <w:rsid w:val="007C514D"/>
    <w:rsid w:val="007C5214"/>
    <w:rsid w:val="007C528A"/>
    <w:rsid w:val="007C52B0"/>
    <w:rsid w:val="007C53EF"/>
    <w:rsid w:val="007C55BA"/>
    <w:rsid w:val="007C59E1"/>
    <w:rsid w:val="007C5D8C"/>
    <w:rsid w:val="007C68DC"/>
    <w:rsid w:val="007C68EF"/>
    <w:rsid w:val="007C6BC9"/>
    <w:rsid w:val="007C6D56"/>
    <w:rsid w:val="007C6F02"/>
    <w:rsid w:val="007C722B"/>
    <w:rsid w:val="007C72DA"/>
    <w:rsid w:val="007C72E5"/>
    <w:rsid w:val="007C7592"/>
    <w:rsid w:val="007C77AE"/>
    <w:rsid w:val="007C78CF"/>
    <w:rsid w:val="007C7AE7"/>
    <w:rsid w:val="007C7C1A"/>
    <w:rsid w:val="007C7E36"/>
    <w:rsid w:val="007D03D6"/>
    <w:rsid w:val="007D0613"/>
    <w:rsid w:val="007D0A0F"/>
    <w:rsid w:val="007D0B3F"/>
    <w:rsid w:val="007D0FA6"/>
    <w:rsid w:val="007D0FD8"/>
    <w:rsid w:val="007D1241"/>
    <w:rsid w:val="007D15EE"/>
    <w:rsid w:val="007D166E"/>
    <w:rsid w:val="007D1676"/>
    <w:rsid w:val="007D22F7"/>
    <w:rsid w:val="007D242A"/>
    <w:rsid w:val="007D2531"/>
    <w:rsid w:val="007D2578"/>
    <w:rsid w:val="007D29E4"/>
    <w:rsid w:val="007D2E40"/>
    <w:rsid w:val="007D2E44"/>
    <w:rsid w:val="007D31E0"/>
    <w:rsid w:val="007D3216"/>
    <w:rsid w:val="007D3385"/>
    <w:rsid w:val="007D33A0"/>
    <w:rsid w:val="007D36BF"/>
    <w:rsid w:val="007D36D9"/>
    <w:rsid w:val="007D3701"/>
    <w:rsid w:val="007D38B6"/>
    <w:rsid w:val="007D3E4C"/>
    <w:rsid w:val="007D41D8"/>
    <w:rsid w:val="007D43D2"/>
    <w:rsid w:val="007D47F2"/>
    <w:rsid w:val="007D48DF"/>
    <w:rsid w:val="007D49B5"/>
    <w:rsid w:val="007D4BEA"/>
    <w:rsid w:val="007D4CEC"/>
    <w:rsid w:val="007D4D5D"/>
    <w:rsid w:val="007D4E63"/>
    <w:rsid w:val="007D5080"/>
    <w:rsid w:val="007D50CC"/>
    <w:rsid w:val="007D5153"/>
    <w:rsid w:val="007D5268"/>
    <w:rsid w:val="007D540E"/>
    <w:rsid w:val="007D54C9"/>
    <w:rsid w:val="007D55A4"/>
    <w:rsid w:val="007D5831"/>
    <w:rsid w:val="007D5B90"/>
    <w:rsid w:val="007D5E53"/>
    <w:rsid w:val="007D62D1"/>
    <w:rsid w:val="007D6315"/>
    <w:rsid w:val="007D64C5"/>
    <w:rsid w:val="007D65BF"/>
    <w:rsid w:val="007D6806"/>
    <w:rsid w:val="007D6864"/>
    <w:rsid w:val="007D68AF"/>
    <w:rsid w:val="007D68F6"/>
    <w:rsid w:val="007D6BEF"/>
    <w:rsid w:val="007D6D26"/>
    <w:rsid w:val="007D6D77"/>
    <w:rsid w:val="007D71ED"/>
    <w:rsid w:val="007D724E"/>
    <w:rsid w:val="007D7255"/>
    <w:rsid w:val="007D759F"/>
    <w:rsid w:val="007D774E"/>
    <w:rsid w:val="007D7BD7"/>
    <w:rsid w:val="007D7BDA"/>
    <w:rsid w:val="007D7C33"/>
    <w:rsid w:val="007D7CB2"/>
    <w:rsid w:val="007D7D32"/>
    <w:rsid w:val="007D7D8F"/>
    <w:rsid w:val="007D7F0A"/>
    <w:rsid w:val="007E0253"/>
    <w:rsid w:val="007E02CC"/>
    <w:rsid w:val="007E04CA"/>
    <w:rsid w:val="007E0875"/>
    <w:rsid w:val="007E0B3F"/>
    <w:rsid w:val="007E0C60"/>
    <w:rsid w:val="007E0FC1"/>
    <w:rsid w:val="007E1169"/>
    <w:rsid w:val="007E13E9"/>
    <w:rsid w:val="007E14F2"/>
    <w:rsid w:val="007E15BD"/>
    <w:rsid w:val="007E16B0"/>
    <w:rsid w:val="007E180E"/>
    <w:rsid w:val="007E1954"/>
    <w:rsid w:val="007E19D7"/>
    <w:rsid w:val="007E1B7F"/>
    <w:rsid w:val="007E1D5F"/>
    <w:rsid w:val="007E20F3"/>
    <w:rsid w:val="007E214E"/>
    <w:rsid w:val="007E21EB"/>
    <w:rsid w:val="007E24FA"/>
    <w:rsid w:val="007E2587"/>
    <w:rsid w:val="007E25DC"/>
    <w:rsid w:val="007E2937"/>
    <w:rsid w:val="007E2970"/>
    <w:rsid w:val="007E2BBF"/>
    <w:rsid w:val="007E2D08"/>
    <w:rsid w:val="007E2D41"/>
    <w:rsid w:val="007E2F42"/>
    <w:rsid w:val="007E2F64"/>
    <w:rsid w:val="007E307B"/>
    <w:rsid w:val="007E3392"/>
    <w:rsid w:val="007E3835"/>
    <w:rsid w:val="007E38F9"/>
    <w:rsid w:val="007E3A75"/>
    <w:rsid w:val="007E3D69"/>
    <w:rsid w:val="007E4004"/>
    <w:rsid w:val="007E43DB"/>
    <w:rsid w:val="007E44FA"/>
    <w:rsid w:val="007E4629"/>
    <w:rsid w:val="007E46F6"/>
    <w:rsid w:val="007E47F9"/>
    <w:rsid w:val="007E49A2"/>
    <w:rsid w:val="007E4A4B"/>
    <w:rsid w:val="007E4B33"/>
    <w:rsid w:val="007E4FA0"/>
    <w:rsid w:val="007E510B"/>
    <w:rsid w:val="007E51EB"/>
    <w:rsid w:val="007E5540"/>
    <w:rsid w:val="007E57CA"/>
    <w:rsid w:val="007E5C7C"/>
    <w:rsid w:val="007E5D0A"/>
    <w:rsid w:val="007E5E0E"/>
    <w:rsid w:val="007E5F8D"/>
    <w:rsid w:val="007E6565"/>
    <w:rsid w:val="007E6611"/>
    <w:rsid w:val="007E6CB8"/>
    <w:rsid w:val="007E6F19"/>
    <w:rsid w:val="007E6F22"/>
    <w:rsid w:val="007E7116"/>
    <w:rsid w:val="007E7242"/>
    <w:rsid w:val="007E765A"/>
    <w:rsid w:val="007E77B6"/>
    <w:rsid w:val="007E78B4"/>
    <w:rsid w:val="007E7AAE"/>
    <w:rsid w:val="007E7F6A"/>
    <w:rsid w:val="007F0323"/>
    <w:rsid w:val="007F0378"/>
    <w:rsid w:val="007F05B5"/>
    <w:rsid w:val="007F05C4"/>
    <w:rsid w:val="007F0755"/>
    <w:rsid w:val="007F09ED"/>
    <w:rsid w:val="007F09F9"/>
    <w:rsid w:val="007F0BC6"/>
    <w:rsid w:val="007F0DB9"/>
    <w:rsid w:val="007F0EBB"/>
    <w:rsid w:val="007F14A3"/>
    <w:rsid w:val="007F14A8"/>
    <w:rsid w:val="007F1699"/>
    <w:rsid w:val="007F19A6"/>
    <w:rsid w:val="007F1A06"/>
    <w:rsid w:val="007F1A37"/>
    <w:rsid w:val="007F1F5F"/>
    <w:rsid w:val="007F1F8F"/>
    <w:rsid w:val="007F2232"/>
    <w:rsid w:val="007F2455"/>
    <w:rsid w:val="007F250A"/>
    <w:rsid w:val="007F25FB"/>
    <w:rsid w:val="007F26D1"/>
    <w:rsid w:val="007F296D"/>
    <w:rsid w:val="007F2D26"/>
    <w:rsid w:val="007F2FF9"/>
    <w:rsid w:val="007F34F7"/>
    <w:rsid w:val="007F36E0"/>
    <w:rsid w:val="007F386E"/>
    <w:rsid w:val="007F3B8E"/>
    <w:rsid w:val="007F3BA3"/>
    <w:rsid w:val="007F3CAF"/>
    <w:rsid w:val="007F3FA9"/>
    <w:rsid w:val="007F419C"/>
    <w:rsid w:val="007F425E"/>
    <w:rsid w:val="007F435F"/>
    <w:rsid w:val="007F4684"/>
    <w:rsid w:val="007F46B7"/>
    <w:rsid w:val="007F4AB3"/>
    <w:rsid w:val="007F4BE6"/>
    <w:rsid w:val="007F4D69"/>
    <w:rsid w:val="007F4D7A"/>
    <w:rsid w:val="007F516C"/>
    <w:rsid w:val="007F5306"/>
    <w:rsid w:val="007F5353"/>
    <w:rsid w:val="007F53EB"/>
    <w:rsid w:val="007F5681"/>
    <w:rsid w:val="007F57FC"/>
    <w:rsid w:val="007F5A29"/>
    <w:rsid w:val="007F5B35"/>
    <w:rsid w:val="007F5BF7"/>
    <w:rsid w:val="007F5CAE"/>
    <w:rsid w:val="007F5E25"/>
    <w:rsid w:val="007F6099"/>
    <w:rsid w:val="007F6566"/>
    <w:rsid w:val="007F664B"/>
    <w:rsid w:val="007F68D9"/>
    <w:rsid w:val="007F6A6E"/>
    <w:rsid w:val="007F6B1E"/>
    <w:rsid w:val="007F6DCC"/>
    <w:rsid w:val="007F72D5"/>
    <w:rsid w:val="007F769D"/>
    <w:rsid w:val="007F7998"/>
    <w:rsid w:val="007F79C2"/>
    <w:rsid w:val="007F7B5B"/>
    <w:rsid w:val="007F7BB6"/>
    <w:rsid w:val="007F7C07"/>
    <w:rsid w:val="007F7C33"/>
    <w:rsid w:val="007F7E5F"/>
    <w:rsid w:val="008000A1"/>
    <w:rsid w:val="00800390"/>
    <w:rsid w:val="00800573"/>
    <w:rsid w:val="00800578"/>
    <w:rsid w:val="0080084E"/>
    <w:rsid w:val="00800B55"/>
    <w:rsid w:val="00800DBE"/>
    <w:rsid w:val="00800DFB"/>
    <w:rsid w:val="00800E3B"/>
    <w:rsid w:val="00800EFE"/>
    <w:rsid w:val="008012B6"/>
    <w:rsid w:val="00801485"/>
    <w:rsid w:val="00801536"/>
    <w:rsid w:val="00801716"/>
    <w:rsid w:val="00801828"/>
    <w:rsid w:val="00801896"/>
    <w:rsid w:val="00801D8B"/>
    <w:rsid w:val="00801F3A"/>
    <w:rsid w:val="00801F74"/>
    <w:rsid w:val="0080201C"/>
    <w:rsid w:val="008024A4"/>
    <w:rsid w:val="0080252E"/>
    <w:rsid w:val="00802741"/>
    <w:rsid w:val="008027E1"/>
    <w:rsid w:val="00802DFE"/>
    <w:rsid w:val="00802EF4"/>
    <w:rsid w:val="00802FD0"/>
    <w:rsid w:val="00803196"/>
    <w:rsid w:val="008031BD"/>
    <w:rsid w:val="00803358"/>
    <w:rsid w:val="0080335F"/>
    <w:rsid w:val="00803553"/>
    <w:rsid w:val="008036D9"/>
    <w:rsid w:val="00803915"/>
    <w:rsid w:val="00803916"/>
    <w:rsid w:val="00803C16"/>
    <w:rsid w:val="00803D90"/>
    <w:rsid w:val="00803F5A"/>
    <w:rsid w:val="00804037"/>
    <w:rsid w:val="008045C0"/>
    <w:rsid w:val="00804953"/>
    <w:rsid w:val="00804AF0"/>
    <w:rsid w:val="00804BC8"/>
    <w:rsid w:val="00804C0D"/>
    <w:rsid w:val="00804E02"/>
    <w:rsid w:val="00804E09"/>
    <w:rsid w:val="00804F53"/>
    <w:rsid w:val="00805471"/>
    <w:rsid w:val="00805478"/>
    <w:rsid w:val="0080569E"/>
    <w:rsid w:val="00805712"/>
    <w:rsid w:val="008058AD"/>
    <w:rsid w:val="008058B2"/>
    <w:rsid w:val="00805941"/>
    <w:rsid w:val="00805996"/>
    <w:rsid w:val="00805FB9"/>
    <w:rsid w:val="00806138"/>
    <w:rsid w:val="008061F2"/>
    <w:rsid w:val="00806707"/>
    <w:rsid w:val="00806735"/>
    <w:rsid w:val="00806745"/>
    <w:rsid w:val="00806812"/>
    <w:rsid w:val="00806BE6"/>
    <w:rsid w:val="00806C4F"/>
    <w:rsid w:val="00806F89"/>
    <w:rsid w:val="00806FDA"/>
    <w:rsid w:val="008070EE"/>
    <w:rsid w:val="00807143"/>
    <w:rsid w:val="0080723E"/>
    <w:rsid w:val="008072A3"/>
    <w:rsid w:val="008074E7"/>
    <w:rsid w:val="00807610"/>
    <w:rsid w:val="00807735"/>
    <w:rsid w:val="00807A7D"/>
    <w:rsid w:val="00807D86"/>
    <w:rsid w:val="00807DB9"/>
    <w:rsid w:val="00810043"/>
    <w:rsid w:val="008101DA"/>
    <w:rsid w:val="00810411"/>
    <w:rsid w:val="00810675"/>
    <w:rsid w:val="0081084D"/>
    <w:rsid w:val="008108B6"/>
    <w:rsid w:val="00810952"/>
    <w:rsid w:val="00810DE5"/>
    <w:rsid w:val="00810E61"/>
    <w:rsid w:val="00810EF0"/>
    <w:rsid w:val="00811415"/>
    <w:rsid w:val="0081148C"/>
    <w:rsid w:val="00811527"/>
    <w:rsid w:val="008115A7"/>
    <w:rsid w:val="00811C2B"/>
    <w:rsid w:val="00811CB0"/>
    <w:rsid w:val="00811D1F"/>
    <w:rsid w:val="008123C8"/>
    <w:rsid w:val="008126A7"/>
    <w:rsid w:val="00812701"/>
    <w:rsid w:val="008127F4"/>
    <w:rsid w:val="0081295F"/>
    <w:rsid w:val="00812B29"/>
    <w:rsid w:val="00812D87"/>
    <w:rsid w:val="00812E8E"/>
    <w:rsid w:val="00813484"/>
    <w:rsid w:val="00813551"/>
    <w:rsid w:val="008136C2"/>
    <w:rsid w:val="0081380E"/>
    <w:rsid w:val="00813878"/>
    <w:rsid w:val="00813AC4"/>
    <w:rsid w:val="00813C0B"/>
    <w:rsid w:val="00813F0D"/>
    <w:rsid w:val="00814059"/>
    <w:rsid w:val="0081408B"/>
    <w:rsid w:val="008140AF"/>
    <w:rsid w:val="0081422F"/>
    <w:rsid w:val="008142A5"/>
    <w:rsid w:val="008145AC"/>
    <w:rsid w:val="008145CA"/>
    <w:rsid w:val="008146F5"/>
    <w:rsid w:val="00814B30"/>
    <w:rsid w:val="00814C32"/>
    <w:rsid w:val="00814C35"/>
    <w:rsid w:val="00814D27"/>
    <w:rsid w:val="00814D9F"/>
    <w:rsid w:val="00814E15"/>
    <w:rsid w:val="00814E1B"/>
    <w:rsid w:val="00814F63"/>
    <w:rsid w:val="008150BE"/>
    <w:rsid w:val="00815224"/>
    <w:rsid w:val="008152F7"/>
    <w:rsid w:val="00815825"/>
    <w:rsid w:val="00815B0F"/>
    <w:rsid w:val="00815D0E"/>
    <w:rsid w:val="008163DA"/>
    <w:rsid w:val="0081646C"/>
    <w:rsid w:val="0081659C"/>
    <w:rsid w:val="0081675D"/>
    <w:rsid w:val="00816849"/>
    <w:rsid w:val="0081688F"/>
    <w:rsid w:val="00816B1F"/>
    <w:rsid w:val="00816B4B"/>
    <w:rsid w:val="00816B81"/>
    <w:rsid w:val="00816BD8"/>
    <w:rsid w:val="00816C35"/>
    <w:rsid w:val="00816CFC"/>
    <w:rsid w:val="00816FFB"/>
    <w:rsid w:val="008171BC"/>
    <w:rsid w:val="008171E0"/>
    <w:rsid w:val="008171E4"/>
    <w:rsid w:val="00817399"/>
    <w:rsid w:val="008173DE"/>
    <w:rsid w:val="008174B6"/>
    <w:rsid w:val="0081762E"/>
    <w:rsid w:val="00817893"/>
    <w:rsid w:val="0081789C"/>
    <w:rsid w:val="00817B91"/>
    <w:rsid w:val="00817D4F"/>
    <w:rsid w:val="00817F13"/>
    <w:rsid w:val="0082000B"/>
    <w:rsid w:val="0082004D"/>
    <w:rsid w:val="0082014E"/>
    <w:rsid w:val="00820170"/>
    <w:rsid w:val="008201DD"/>
    <w:rsid w:val="008202D7"/>
    <w:rsid w:val="00820385"/>
    <w:rsid w:val="00820795"/>
    <w:rsid w:val="008208C7"/>
    <w:rsid w:val="00820BB2"/>
    <w:rsid w:val="00820FA0"/>
    <w:rsid w:val="00821028"/>
    <w:rsid w:val="008211D2"/>
    <w:rsid w:val="008214A7"/>
    <w:rsid w:val="008215C3"/>
    <w:rsid w:val="008215D0"/>
    <w:rsid w:val="00821B4B"/>
    <w:rsid w:val="00821B65"/>
    <w:rsid w:val="00821B68"/>
    <w:rsid w:val="00821B6E"/>
    <w:rsid w:val="00821C41"/>
    <w:rsid w:val="00821E04"/>
    <w:rsid w:val="00822091"/>
    <w:rsid w:val="008222E4"/>
    <w:rsid w:val="008225D7"/>
    <w:rsid w:val="0082298B"/>
    <w:rsid w:val="00822A8F"/>
    <w:rsid w:val="00822ACF"/>
    <w:rsid w:val="00822BF6"/>
    <w:rsid w:val="00822D42"/>
    <w:rsid w:val="00822E38"/>
    <w:rsid w:val="00823305"/>
    <w:rsid w:val="008234B5"/>
    <w:rsid w:val="0082356B"/>
    <w:rsid w:val="008236C4"/>
    <w:rsid w:val="00823955"/>
    <w:rsid w:val="00823A60"/>
    <w:rsid w:val="00823A95"/>
    <w:rsid w:val="00823CAE"/>
    <w:rsid w:val="0082420F"/>
    <w:rsid w:val="008246B9"/>
    <w:rsid w:val="0082473A"/>
    <w:rsid w:val="0082486F"/>
    <w:rsid w:val="008248E2"/>
    <w:rsid w:val="008250B8"/>
    <w:rsid w:val="008250C4"/>
    <w:rsid w:val="00825181"/>
    <w:rsid w:val="00825294"/>
    <w:rsid w:val="00825554"/>
    <w:rsid w:val="008257C8"/>
    <w:rsid w:val="00825883"/>
    <w:rsid w:val="00825B00"/>
    <w:rsid w:val="00825D69"/>
    <w:rsid w:val="00825E51"/>
    <w:rsid w:val="00826096"/>
    <w:rsid w:val="008261CB"/>
    <w:rsid w:val="00826225"/>
    <w:rsid w:val="00826258"/>
    <w:rsid w:val="008262CF"/>
    <w:rsid w:val="00826486"/>
    <w:rsid w:val="00826B58"/>
    <w:rsid w:val="00826DCF"/>
    <w:rsid w:val="00826EF2"/>
    <w:rsid w:val="00826F19"/>
    <w:rsid w:val="00827315"/>
    <w:rsid w:val="00827551"/>
    <w:rsid w:val="008278AA"/>
    <w:rsid w:val="0082794F"/>
    <w:rsid w:val="00827C09"/>
    <w:rsid w:val="00827CB7"/>
    <w:rsid w:val="00827E5F"/>
    <w:rsid w:val="0083018F"/>
    <w:rsid w:val="0083034B"/>
    <w:rsid w:val="00830806"/>
    <w:rsid w:val="00830BA7"/>
    <w:rsid w:val="00831079"/>
    <w:rsid w:val="00831111"/>
    <w:rsid w:val="00831487"/>
    <w:rsid w:val="0083161D"/>
    <w:rsid w:val="00831B8E"/>
    <w:rsid w:val="00831F1E"/>
    <w:rsid w:val="00831F6A"/>
    <w:rsid w:val="0083271C"/>
    <w:rsid w:val="00832994"/>
    <w:rsid w:val="008329DD"/>
    <w:rsid w:val="00832B87"/>
    <w:rsid w:val="00832FF9"/>
    <w:rsid w:val="00833001"/>
    <w:rsid w:val="008334AE"/>
    <w:rsid w:val="0083365A"/>
    <w:rsid w:val="00833756"/>
    <w:rsid w:val="00833828"/>
    <w:rsid w:val="00833874"/>
    <w:rsid w:val="00833ACD"/>
    <w:rsid w:val="00833AF5"/>
    <w:rsid w:val="00833B7A"/>
    <w:rsid w:val="00833CEF"/>
    <w:rsid w:val="00833D86"/>
    <w:rsid w:val="00833E3C"/>
    <w:rsid w:val="008344F1"/>
    <w:rsid w:val="0083472C"/>
    <w:rsid w:val="00834756"/>
    <w:rsid w:val="00834988"/>
    <w:rsid w:val="00834A62"/>
    <w:rsid w:val="00834B5D"/>
    <w:rsid w:val="00834C82"/>
    <w:rsid w:val="00834E55"/>
    <w:rsid w:val="00834E96"/>
    <w:rsid w:val="00835087"/>
    <w:rsid w:val="008350D2"/>
    <w:rsid w:val="00835626"/>
    <w:rsid w:val="0083578B"/>
    <w:rsid w:val="008359EE"/>
    <w:rsid w:val="00835A54"/>
    <w:rsid w:val="00835ADA"/>
    <w:rsid w:val="00835B76"/>
    <w:rsid w:val="00835CB6"/>
    <w:rsid w:val="00835D2A"/>
    <w:rsid w:val="00835DE1"/>
    <w:rsid w:val="008361C2"/>
    <w:rsid w:val="00836318"/>
    <w:rsid w:val="008366A8"/>
    <w:rsid w:val="008368F6"/>
    <w:rsid w:val="00836A40"/>
    <w:rsid w:val="00836BB5"/>
    <w:rsid w:val="0083706A"/>
    <w:rsid w:val="00837281"/>
    <w:rsid w:val="008376C4"/>
    <w:rsid w:val="0083785E"/>
    <w:rsid w:val="0083788C"/>
    <w:rsid w:val="00837ACF"/>
    <w:rsid w:val="00837B27"/>
    <w:rsid w:val="008400CA"/>
    <w:rsid w:val="008403A3"/>
    <w:rsid w:val="0084042A"/>
    <w:rsid w:val="008404A9"/>
    <w:rsid w:val="008404AF"/>
    <w:rsid w:val="00840613"/>
    <w:rsid w:val="0084066E"/>
    <w:rsid w:val="008406E6"/>
    <w:rsid w:val="00840823"/>
    <w:rsid w:val="00840940"/>
    <w:rsid w:val="00840A0C"/>
    <w:rsid w:val="00840AA8"/>
    <w:rsid w:val="00840B1A"/>
    <w:rsid w:val="00840C1C"/>
    <w:rsid w:val="00840D60"/>
    <w:rsid w:val="00840DB3"/>
    <w:rsid w:val="00840F98"/>
    <w:rsid w:val="008410F0"/>
    <w:rsid w:val="00841140"/>
    <w:rsid w:val="0084118B"/>
    <w:rsid w:val="008417D8"/>
    <w:rsid w:val="00841912"/>
    <w:rsid w:val="00841A10"/>
    <w:rsid w:val="00841ADC"/>
    <w:rsid w:val="00841CD4"/>
    <w:rsid w:val="008421B5"/>
    <w:rsid w:val="0084231A"/>
    <w:rsid w:val="00842466"/>
    <w:rsid w:val="008426B0"/>
    <w:rsid w:val="008427EB"/>
    <w:rsid w:val="00842B59"/>
    <w:rsid w:val="00842BED"/>
    <w:rsid w:val="00842C26"/>
    <w:rsid w:val="00843365"/>
    <w:rsid w:val="00843466"/>
    <w:rsid w:val="0084360B"/>
    <w:rsid w:val="00843941"/>
    <w:rsid w:val="00843984"/>
    <w:rsid w:val="00843CC3"/>
    <w:rsid w:val="0084409E"/>
    <w:rsid w:val="008440C9"/>
    <w:rsid w:val="0084425F"/>
    <w:rsid w:val="00844342"/>
    <w:rsid w:val="0084448E"/>
    <w:rsid w:val="008445B8"/>
    <w:rsid w:val="00844B8A"/>
    <w:rsid w:val="00844B93"/>
    <w:rsid w:val="00844C8D"/>
    <w:rsid w:val="00844DE2"/>
    <w:rsid w:val="00844FA9"/>
    <w:rsid w:val="00845002"/>
    <w:rsid w:val="00845084"/>
    <w:rsid w:val="0084520D"/>
    <w:rsid w:val="00845513"/>
    <w:rsid w:val="00845715"/>
    <w:rsid w:val="008457B3"/>
    <w:rsid w:val="00845853"/>
    <w:rsid w:val="00845946"/>
    <w:rsid w:val="00845970"/>
    <w:rsid w:val="00845A26"/>
    <w:rsid w:val="00845A39"/>
    <w:rsid w:val="00845C80"/>
    <w:rsid w:val="00845FFF"/>
    <w:rsid w:val="00846016"/>
    <w:rsid w:val="008460B9"/>
    <w:rsid w:val="008462DB"/>
    <w:rsid w:val="008463A0"/>
    <w:rsid w:val="00846768"/>
    <w:rsid w:val="008467C5"/>
    <w:rsid w:val="00846A7A"/>
    <w:rsid w:val="00846ADB"/>
    <w:rsid w:val="00846E19"/>
    <w:rsid w:val="00847050"/>
    <w:rsid w:val="00847080"/>
    <w:rsid w:val="008471C2"/>
    <w:rsid w:val="008472C5"/>
    <w:rsid w:val="008475AF"/>
    <w:rsid w:val="0084761B"/>
    <w:rsid w:val="008476F1"/>
    <w:rsid w:val="00847716"/>
    <w:rsid w:val="00847817"/>
    <w:rsid w:val="00847A98"/>
    <w:rsid w:val="00847CDF"/>
    <w:rsid w:val="00850258"/>
    <w:rsid w:val="00850BCC"/>
    <w:rsid w:val="00850E10"/>
    <w:rsid w:val="00850E44"/>
    <w:rsid w:val="008510B1"/>
    <w:rsid w:val="008511FE"/>
    <w:rsid w:val="00851369"/>
    <w:rsid w:val="008516CB"/>
    <w:rsid w:val="0085181E"/>
    <w:rsid w:val="00851910"/>
    <w:rsid w:val="00851F4C"/>
    <w:rsid w:val="008526CA"/>
    <w:rsid w:val="0085275F"/>
    <w:rsid w:val="008529C9"/>
    <w:rsid w:val="00852A1A"/>
    <w:rsid w:val="00852C87"/>
    <w:rsid w:val="00852C9B"/>
    <w:rsid w:val="00852E21"/>
    <w:rsid w:val="00852FAD"/>
    <w:rsid w:val="00853097"/>
    <w:rsid w:val="008532F0"/>
    <w:rsid w:val="008533FF"/>
    <w:rsid w:val="008535D9"/>
    <w:rsid w:val="00853600"/>
    <w:rsid w:val="00853889"/>
    <w:rsid w:val="00853A46"/>
    <w:rsid w:val="00853B18"/>
    <w:rsid w:val="0085401A"/>
    <w:rsid w:val="0085410F"/>
    <w:rsid w:val="0085512D"/>
    <w:rsid w:val="00855251"/>
    <w:rsid w:val="008557ED"/>
    <w:rsid w:val="00855830"/>
    <w:rsid w:val="00855A8A"/>
    <w:rsid w:val="00855C77"/>
    <w:rsid w:val="00855CE5"/>
    <w:rsid w:val="00855D82"/>
    <w:rsid w:val="0085601E"/>
    <w:rsid w:val="0085619A"/>
    <w:rsid w:val="008563B7"/>
    <w:rsid w:val="0085683B"/>
    <w:rsid w:val="0085696C"/>
    <w:rsid w:val="008569FE"/>
    <w:rsid w:val="00856CC1"/>
    <w:rsid w:val="00856D08"/>
    <w:rsid w:val="00856EAF"/>
    <w:rsid w:val="00856ECC"/>
    <w:rsid w:val="00856F27"/>
    <w:rsid w:val="00857043"/>
    <w:rsid w:val="00857091"/>
    <w:rsid w:val="0085717F"/>
    <w:rsid w:val="008572C7"/>
    <w:rsid w:val="008573EF"/>
    <w:rsid w:val="0085742A"/>
    <w:rsid w:val="008577F0"/>
    <w:rsid w:val="008578DE"/>
    <w:rsid w:val="00857A5B"/>
    <w:rsid w:val="00857B66"/>
    <w:rsid w:val="00857DA8"/>
    <w:rsid w:val="00857DAD"/>
    <w:rsid w:val="00857E8E"/>
    <w:rsid w:val="00857ECF"/>
    <w:rsid w:val="008602A3"/>
    <w:rsid w:val="008602D3"/>
    <w:rsid w:val="008602F7"/>
    <w:rsid w:val="0086042B"/>
    <w:rsid w:val="00860505"/>
    <w:rsid w:val="008609DD"/>
    <w:rsid w:val="00860A61"/>
    <w:rsid w:val="00860A7F"/>
    <w:rsid w:val="00860AF5"/>
    <w:rsid w:val="00860E18"/>
    <w:rsid w:val="00860FBE"/>
    <w:rsid w:val="008614F4"/>
    <w:rsid w:val="00861500"/>
    <w:rsid w:val="008615CA"/>
    <w:rsid w:val="0086187B"/>
    <w:rsid w:val="00861958"/>
    <w:rsid w:val="00861A87"/>
    <w:rsid w:val="00861F84"/>
    <w:rsid w:val="00862AA3"/>
    <w:rsid w:val="00862BCC"/>
    <w:rsid w:val="00862D75"/>
    <w:rsid w:val="00862DC9"/>
    <w:rsid w:val="00862E24"/>
    <w:rsid w:val="00862E3C"/>
    <w:rsid w:val="00862EE8"/>
    <w:rsid w:val="0086332C"/>
    <w:rsid w:val="008633C9"/>
    <w:rsid w:val="00863F15"/>
    <w:rsid w:val="00864052"/>
    <w:rsid w:val="008644BF"/>
    <w:rsid w:val="00864651"/>
    <w:rsid w:val="00864AD6"/>
    <w:rsid w:val="00864E55"/>
    <w:rsid w:val="008653E1"/>
    <w:rsid w:val="00865438"/>
    <w:rsid w:val="008655D5"/>
    <w:rsid w:val="008655DF"/>
    <w:rsid w:val="00865B4F"/>
    <w:rsid w:val="00865C43"/>
    <w:rsid w:val="00865C60"/>
    <w:rsid w:val="00865EC6"/>
    <w:rsid w:val="008660A0"/>
    <w:rsid w:val="008660FE"/>
    <w:rsid w:val="0086648A"/>
    <w:rsid w:val="008664F5"/>
    <w:rsid w:val="00866748"/>
    <w:rsid w:val="00866863"/>
    <w:rsid w:val="00866C95"/>
    <w:rsid w:val="00866F6A"/>
    <w:rsid w:val="008670C2"/>
    <w:rsid w:val="008671FC"/>
    <w:rsid w:val="0086727C"/>
    <w:rsid w:val="008674BB"/>
    <w:rsid w:val="0086750E"/>
    <w:rsid w:val="0086751B"/>
    <w:rsid w:val="008677A4"/>
    <w:rsid w:val="00867907"/>
    <w:rsid w:val="0086796E"/>
    <w:rsid w:val="00867C4E"/>
    <w:rsid w:val="00867C90"/>
    <w:rsid w:val="00867F26"/>
    <w:rsid w:val="0087007D"/>
    <w:rsid w:val="0087028E"/>
    <w:rsid w:val="00870342"/>
    <w:rsid w:val="008703D9"/>
    <w:rsid w:val="008705A1"/>
    <w:rsid w:val="0087079C"/>
    <w:rsid w:val="00870862"/>
    <w:rsid w:val="00870AF8"/>
    <w:rsid w:val="00870B4E"/>
    <w:rsid w:val="00870D4B"/>
    <w:rsid w:val="00870DD8"/>
    <w:rsid w:val="00871424"/>
    <w:rsid w:val="00871431"/>
    <w:rsid w:val="00871495"/>
    <w:rsid w:val="0087157C"/>
    <w:rsid w:val="008715C3"/>
    <w:rsid w:val="008715D0"/>
    <w:rsid w:val="00871779"/>
    <w:rsid w:val="00871826"/>
    <w:rsid w:val="00871878"/>
    <w:rsid w:val="008719AF"/>
    <w:rsid w:val="00871A51"/>
    <w:rsid w:val="00871BB8"/>
    <w:rsid w:val="0087210D"/>
    <w:rsid w:val="008727B5"/>
    <w:rsid w:val="00872B41"/>
    <w:rsid w:val="00872C27"/>
    <w:rsid w:val="00872C37"/>
    <w:rsid w:val="00872C40"/>
    <w:rsid w:val="00872E6F"/>
    <w:rsid w:val="00872EE4"/>
    <w:rsid w:val="008730C6"/>
    <w:rsid w:val="008732E8"/>
    <w:rsid w:val="00873499"/>
    <w:rsid w:val="00873616"/>
    <w:rsid w:val="008736CB"/>
    <w:rsid w:val="00873886"/>
    <w:rsid w:val="00873960"/>
    <w:rsid w:val="00873A04"/>
    <w:rsid w:val="00873B94"/>
    <w:rsid w:val="00873C58"/>
    <w:rsid w:val="00873CD7"/>
    <w:rsid w:val="00873DF4"/>
    <w:rsid w:val="00873EB5"/>
    <w:rsid w:val="008746E0"/>
    <w:rsid w:val="0087498A"/>
    <w:rsid w:val="008749DB"/>
    <w:rsid w:val="008749E2"/>
    <w:rsid w:val="00874A58"/>
    <w:rsid w:val="00874B70"/>
    <w:rsid w:val="00874D29"/>
    <w:rsid w:val="00874DCC"/>
    <w:rsid w:val="00874E2C"/>
    <w:rsid w:val="00874EE9"/>
    <w:rsid w:val="008751CC"/>
    <w:rsid w:val="008752CC"/>
    <w:rsid w:val="008755D8"/>
    <w:rsid w:val="008758B9"/>
    <w:rsid w:val="00875AE3"/>
    <w:rsid w:val="00875B92"/>
    <w:rsid w:val="00875C82"/>
    <w:rsid w:val="00875E82"/>
    <w:rsid w:val="00876427"/>
    <w:rsid w:val="0087647C"/>
    <w:rsid w:val="008764E3"/>
    <w:rsid w:val="00876512"/>
    <w:rsid w:val="00876D49"/>
    <w:rsid w:val="00876F03"/>
    <w:rsid w:val="00877266"/>
    <w:rsid w:val="0087727D"/>
    <w:rsid w:val="008772F5"/>
    <w:rsid w:val="008773A1"/>
    <w:rsid w:val="0087745B"/>
    <w:rsid w:val="008775BE"/>
    <w:rsid w:val="008777CF"/>
    <w:rsid w:val="00877A2C"/>
    <w:rsid w:val="00880181"/>
    <w:rsid w:val="00880477"/>
    <w:rsid w:val="008807D3"/>
    <w:rsid w:val="008808CF"/>
    <w:rsid w:val="00880AE9"/>
    <w:rsid w:val="00880D01"/>
    <w:rsid w:val="00880DE3"/>
    <w:rsid w:val="0088114A"/>
    <w:rsid w:val="00881380"/>
    <w:rsid w:val="00881664"/>
    <w:rsid w:val="00881744"/>
    <w:rsid w:val="00881924"/>
    <w:rsid w:val="008819D7"/>
    <w:rsid w:val="00881F37"/>
    <w:rsid w:val="008822F5"/>
    <w:rsid w:val="00882715"/>
    <w:rsid w:val="00882A52"/>
    <w:rsid w:val="00882A83"/>
    <w:rsid w:val="00882B6C"/>
    <w:rsid w:val="00882BAF"/>
    <w:rsid w:val="00882C21"/>
    <w:rsid w:val="00882E9A"/>
    <w:rsid w:val="00882F21"/>
    <w:rsid w:val="008831E6"/>
    <w:rsid w:val="0088347E"/>
    <w:rsid w:val="00883575"/>
    <w:rsid w:val="008835B8"/>
    <w:rsid w:val="00883780"/>
    <w:rsid w:val="0088395D"/>
    <w:rsid w:val="00883CFD"/>
    <w:rsid w:val="00883DFE"/>
    <w:rsid w:val="00884519"/>
    <w:rsid w:val="00884608"/>
    <w:rsid w:val="00884950"/>
    <w:rsid w:val="00884BDB"/>
    <w:rsid w:val="00884CAD"/>
    <w:rsid w:val="00884FA7"/>
    <w:rsid w:val="008851F2"/>
    <w:rsid w:val="00885484"/>
    <w:rsid w:val="00885511"/>
    <w:rsid w:val="00885528"/>
    <w:rsid w:val="00885587"/>
    <w:rsid w:val="00885683"/>
    <w:rsid w:val="008856A6"/>
    <w:rsid w:val="008858E8"/>
    <w:rsid w:val="00885A98"/>
    <w:rsid w:val="00885C8E"/>
    <w:rsid w:val="00885D69"/>
    <w:rsid w:val="00885E0B"/>
    <w:rsid w:val="00886168"/>
    <w:rsid w:val="008862B3"/>
    <w:rsid w:val="008865DC"/>
    <w:rsid w:val="0088661C"/>
    <w:rsid w:val="008867DA"/>
    <w:rsid w:val="00886832"/>
    <w:rsid w:val="0088683A"/>
    <w:rsid w:val="008868D7"/>
    <w:rsid w:val="008869B5"/>
    <w:rsid w:val="00886DB1"/>
    <w:rsid w:val="00886E52"/>
    <w:rsid w:val="00887088"/>
    <w:rsid w:val="0088709F"/>
    <w:rsid w:val="0088736B"/>
    <w:rsid w:val="00887398"/>
    <w:rsid w:val="008874FD"/>
    <w:rsid w:val="0088758B"/>
    <w:rsid w:val="0088766B"/>
    <w:rsid w:val="008877A0"/>
    <w:rsid w:val="008878BB"/>
    <w:rsid w:val="008879BA"/>
    <w:rsid w:val="0089012F"/>
    <w:rsid w:val="008901C8"/>
    <w:rsid w:val="0089039A"/>
    <w:rsid w:val="008903A4"/>
    <w:rsid w:val="008904C0"/>
    <w:rsid w:val="0089074E"/>
    <w:rsid w:val="0089077B"/>
    <w:rsid w:val="0089090F"/>
    <w:rsid w:val="008909DF"/>
    <w:rsid w:val="00890B34"/>
    <w:rsid w:val="00890ED6"/>
    <w:rsid w:val="00890F88"/>
    <w:rsid w:val="00890FED"/>
    <w:rsid w:val="00891195"/>
    <w:rsid w:val="00891440"/>
    <w:rsid w:val="0089178F"/>
    <w:rsid w:val="00891796"/>
    <w:rsid w:val="00891B54"/>
    <w:rsid w:val="00891E9E"/>
    <w:rsid w:val="0089204A"/>
    <w:rsid w:val="008920B0"/>
    <w:rsid w:val="00892499"/>
    <w:rsid w:val="00892679"/>
    <w:rsid w:val="00892A1A"/>
    <w:rsid w:val="00892AA0"/>
    <w:rsid w:val="00892E61"/>
    <w:rsid w:val="00893032"/>
    <w:rsid w:val="008932C4"/>
    <w:rsid w:val="008932F1"/>
    <w:rsid w:val="008934CD"/>
    <w:rsid w:val="00893552"/>
    <w:rsid w:val="00893779"/>
    <w:rsid w:val="008937ED"/>
    <w:rsid w:val="00893880"/>
    <w:rsid w:val="0089391B"/>
    <w:rsid w:val="00893A28"/>
    <w:rsid w:val="008942A3"/>
    <w:rsid w:val="008943C1"/>
    <w:rsid w:val="0089441D"/>
    <w:rsid w:val="0089453A"/>
    <w:rsid w:val="0089476D"/>
    <w:rsid w:val="0089488D"/>
    <w:rsid w:val="008948A0"/>
    <w:rsid w:val="00894A52"/>
    <w:rsid w:val="00894B23"/>
    <w:rsid w:val="00894D47"/>
    <w:rsid w:val="00894D82"/>
    <w:rsid w:val="008950E6"/>
    <w:rsid w:val="00895175"/>
    <w:rsid w:val="0089527D"/>
    <w:rsid w:val="00895319"/>
    <w:rsid w:val="0089543A"/>
    <w:rsid w:val="008954AF"/>
    <w:rsid w:val="008954DE"/>
    <w:rsid w:val="008955C8"/>
    <w:rsid w:val="0089585B"/>
    <w:rsid w:val="00895B60"/>
    <w:rsid w:val="008962DB"/>
    <w:rsid w:val="00896410"/>
    <w:rsid w:val="008964BE"/>
    <w:rsid w:val="00896812"/>
    <w:rsid w:val="008969E4"/>
    <w:rsid w:val="00896DA0"/>
    <w:rsid w:val="00896EFB"/>
    <w:rsid w:val="00897283"/>
    <w:rsid w:val="008973C3"/>
    <w:rsid w:val="0089747C"/>
    <w:rsid w:val="008974C1"/>
    <w:rsid w:val="008975C2"/>
    <w:rsid w:val="008975D8"/>
    <w:rsid w:val="008975FE"/>
    <w:rsid w:val="008976E8"/>
    <w:rsid w:val="00897B77"/>
    <w:rsid w:val="00897DB2"/>
    <w:rsid w:val="00897E4B"/>
    <w:rsid w:val="00897F24"/>
    <w:rsid w:val="008A0015"/>
    <w:rsid w:val="008A005A"/>
    <w:rsid w:val="008A0328"/>
    <w:rsid w:val="008A058E"/>
    <w:rsid w:val="008A081D"/>
    <w:rsid w:val="008A08BA"/>
    <w:rsid w:val="008A0D3C"/>
    <w:rsid w:val="008A0EDA"/>
    <w:rsid w:val="008A1044"/>
    <w:rsid w:val="008A117E"/>
    <w:rsid w:val="008A1209"/>
    <w:rsid w:val="008A1249"/>
    <w:rsid w:val="008A170D"/>
    <w:rsid w:val="008A1A2C"/>
    <w:rsid w:val="008A1B8C"/>
    <w:rsid w:val="008A1C40"/>
    <w:rsid w:val="008A1D95"/>
    <w:rsid w:val="008A222C"/>
    <w:rsid w:val="008A22E7"/>
    <w:rsid w:val="008A24CA"/>
    <w:rsid w:val="008A2774"/>
    <w:rsid w:val="008A2846"/>
    <w:rsid w:val="008A28D5"/>
    <w:rsid w:val="008A28F0"/>
    <w:rsid w:val="008A2A2A"/>
    <w:rsid w:val="008A2B62"/>
    <w:rsid w:val="008A2BC1"/>
    <w:rsid w:val="008A2F1A"/>
    <w:rsid w:val="008A2FDB"/>
    <w:rsid w:val="008A305C"/>
    <w:rsid w:val="008A30A2"/>
    <w:rsid w:val="008A3130"/>
    <w:rsid w:val="008A3317"/>
    <w:rsid w:val="008A333E"/>
    <w:rsid w:val="008A3758"/>
    <w:rsid w:val="008A3770"/>
    <w:rsid w:val="008A39AA"/>
    <w:rsid w:val="008A3DE4"/>
    <w:rsid w:val="008A3EA7"/>
    <w:rsid w:val="008A420F"/>
    <w:rsid w:val="008A42D8"/>
    <w:rsid w:val="008A441D"/>
    <w:rsid w:val="008A44DB"/>
    <w:rsid w:val="008A46BB"/>
    <w:rsid w:val="008A47C1"/>
    <w:rsid w:val="008A481C"/>
    <w:rsid w:val="008A49A0"/>
    <w:rsid w:val="008A4A0F"/>
    <w:rsid w:val="008A4BB1"/>
    <w:rsid w:val="008A4BB7"/>
    <w:rsid w:val="008A4ECB"/>
    <w:rsid w:val="008A517D"/>
    <w:rsid w:val="008A5241"/>
    <w:rsid w:val="008A5331"/>
    <w:rsid w:val="008A57F7"/>
    <w:rsid w:val="008A5913"/>
    <w:rsid w:val="008A5A1F"/>
    <w:rsid w:val="008A5AA5"/>
    <w:rsid w:val="008A5D78"/>
    <w:rsid w:val="008A5E61"/>
    <w:rsid w:val="008A5FDA"/>
    <w:rsid w:val="008A5FFE"/>
    <w:rsid w:val="008A60C5"/>
    <w:rsid w:val="008A617D"/>
    <w:rsid w:val="008A6206"/>
    <w:rsid w:val="008A64D1"/>
    <w:rsid w:val="008A6721"/>
    <w:rsid w:val="008A6772"/>
    <w:rsid w:val="008A67A2"/>
    <w:rsid w:val="008A68DB"/>
    <w:rsid w:val="008A6A40"/>
    <w:rsid w:val="008A6CDA"/>
    <w:rsid w:val="008A6D0E"/>
    <w:rsid w:val="008A7023"/>
    <w:rsid w:val="008A7110"/>
    <w:rsid w:val="008A7247"/>
    <w:rsid w:val="008A7309"/>
    <w:rsid w:val="008A7403"/>
    <w:rsid w:val="008A743E"/>
    <w:rsid w:val="008A777A"/>
    <w:rsid w:val="008A7932"/>
    <w:rsid w:val="008A7AB9"/>
    <w:rsid w:val="008A7CD0"/>
    <w:rsid w:val="008A7D55"/>
    <w:rsid w:val="008B004F"/>
    <w:rsid w:val="008B0588"/>
    <w:rsid w:val="008B0601"/>
    <w:rsid w:val="008B0626"/>
    <w:rsid w:val="008B0778"/>
    <w:rsid w:val="008B0792"/>
    <w:rsid w:val="008B0B5A"/>
    <w:rsid w:val="008B0D39"/>
    <w:rsid w:val="008B0FE1"/>
    <w:rsid w:val="008B1238"/>
    <w:rsid w:val="008B14CE"/>
    <w:rsid w:val="008B1503"/>
    <w:rsid w:val="008B15DA"/>
    <w:rsid w:val="008B161F"/>
    <w:rsid w:val="008B18FD"/>
    <w:rsid w:val="008B1A5E"/>
    <w:rsid w:val="008B1E94"/>
    <w:rsid w:val="008B2327"/>
    <w:rsid w:val="008B2398"/>
    <w:rsid w:val="008B26F0"/>
    <w:rsid w:val="008B2C1C"/>
    <w:rsid w:val="008B2E98"/>
    <w:rsid w:val="008B2F09"/>
    <w:rsid w:val="008B33D4"/>
    <w:rsid w:val="008B33D6"/>
    <w:rsid w:val="008B3517"/>
    <w:rsid w:val="008B3618"/>
    <w:rsid w:val="008B36D9"/>
    <w:rsid w:val="008B374C"/>
    <w:rsid w:val="008B379A"/>
    <w:rsid w:val="008B38C8"/>
    <w:rsid w:val="008B3CC0"/>
    <w:rsid w:val="008B3D32"/>
    <w:rsid w:val="008B3D45"/>
    <w:rsid w:val="008B40F2"/>
    <w:rsid w:val="008B424A"/>
    <w:rsid w:val="008B42D9"/>
    <w:rsid w:val="008B42FD"/>
    <w:rsid w:val="008B4499"/>
    <w:rsid w:val="008B4620"/>
    <w:rsid w:val="008B4B1A"/>
    <w:rsid w:val="008B4D91"/>
    <w:rsid w:val="008B4DB1"/>
    <w:rsid w:val="008B4E8E"/>
    <w:rsid w:val="008B4EF5"/>
    <w:rsid w:val="008B5052"/>
    <w:rsid w:val="008B538B"/>
    <w:rsid w:val="008B5708"/>
    <w:rsid w:val="008B5712"/>
    <w:rsid w:val="008B57ED"/>
    <w:rsid w:val="008B58DD"/>
    <w:rsid w:val="008B5AA1"/>
    <w:rsid w:val="008B5D81"/>
    <w:rsid w:val="008B5E43"/>
    <w:rsid w:val="008B5E5E"/>
    <w:rsid w:val="008B5FE6"/>
    <w:rsid w:val="008B6277"/>
    <w:rsid w:val="008B627A"/>
    <w:rsid w:val="008B62B9"/>
    <w:rsid w:val="008B639D"/>
    <w:rsid w:val="008B651A"/>
    <w:rsid w:val="008B678B"/>
    <w:rsid w:val="008B6A7A"/>
    <w:rsid w:val="008B6DE0"/>
    <w:rsid w:val="008B6E17"/>
    <w:rsid w:val="008B6E2B"/>
    <w:rsid w:val="008B7277"/>
    <w:rsid w:val="008B72A6"/>
    <w:rsid w:val="008B72C2"/>
    <w:rsid w:val="008B72DF"/>
    <w:rsid w:val="008B72E0"/>
    <w:rsid w:val="008B737B"/>
    <w:rsid w:val="008B75A7"/>
    <w:rsid w:val="008B774B"/>
    <w:rsid w:val="008B794A"/>
    <w:rsid w:val="008B79AD"/>
    <w:rsid w:val="008B7E21"/>
    <w:rsid w:val="008C061C"/>
    <w:rsid w:val="008C070F"/>
    <w:rsid w:val="008C0B36"/>
    <w:rsid w:val="008C0D70"/>
    <w:rsid w:val="008C0F16"/>
    <w:rsid w:val="008C0FB8"/>
    <w:rsid w:val="008C102C"/>
    <w:rsid w:val="008C132A"/>
    <w:rsid w:val="008C1371"/>
    <w:rsid w:val="008C1698"/>
    <w:rsid w:val="008C1778"/>
    <w:rsid w:val="008C181F"/>
    <w:rsid w:val="008C1B60"/>
    <w:rsid w:val="008C1BC5"/>
    <w:rsid w:val="008C1FB4"/>
    <w:rsid w:val="008C22D7"/>
    <w:rsid w:val="008C22F5"/>
    <w:rsid w:val="008C2684"/>
    <w:rsid w:val="008C27E7"/>
    <w:rsid w:val="008C2982"/>
    <w:rsid w:val="008C2B62"/>
    <w:rsid w:val="008C2BFA"/>
    <w:rsid w:val="008C2E58"/>
    <w:rsid w:val="008C32F6"/>
    <w:rsid w:val="008C35E0"/>
    <w:rsid w:val="008C3933"/>
    <w:rsid w:val="008C3B02"/>
    <w:rsid w:val="008C3BCB"/>
    <w:rsid w:val="008C3C29"/>
    <w:rsid w:val="008C3DFE"/>
    <w:rsid w:val="008C40F4"/>
    <w:rsid w:val="008C439A"/>
    <w:rsid w:val="008C4406"/>
    <w:rsid w:val="008C4542"/>
    <w:rsid w:val="008C45D7"/>
    <w:rsid w:val="008C4A41"/>
    <w:rsid w:val="008C4CD3"/>
    <w:rsid w:val="008C4EF1"/>
    <w:rsid w:val="008C50EB"/>
    <w:rsid w:val="008C51F8"/>
    <w:rsid w:val="008C52E8"/>
    <w:rsid w:val="008C5385"/>
    <w:rsid w:val="008C53CF"/>
    <w:rsid w:val="008C5927"/>
    <w:rsid w:val="008C5979"/>
    <w:rsid w:val="008C5AB3"/>
    <w:rsid w:val="008C5BC5"/>
    <w:rsid w:val="008C5C71"/>
    <w:rsid w:val="008C5DD2"/>
    <w:rsid w:val="008C607C"/>
    <w:rsid w:val="008C609F"/>
    <w:rsid w:val="008C637E"/>
    <w:rsid w:val="008C650D"/>
    <w:rsid w:val="008C6537"/>
    <w:rsid w:val="008C6555"/>
    <w:rsid w:val="008C65BB"/>
    <w:rsid w:val="008C6A4A"/>
    <w:rsid w:val="008C6AC6"/>
    <w:rsid w:val="008C6C12"/>
    <w:rsid w:val="008C6C27"/>
    <w:rsid w:val="008C7079"/>
    <w:rsid w:val="008C7176"/>
    <w:rsid w:val="008C7605"/>
    <w:rsid w:val="008C7624"/>
    <w:rsid w:val="008C7789"/>
    <w:rsid w:val="008C7958"/>
    <w:rsid w:val="008C79BD"/>
    <w:rsid w:val="008C7B55"/>
    <w:rsid w:val="008C7BAB"/>
    <w:rsid w:val="008C7CBF"/>
    <w:rsid w:val="008C7E29"/>
    <w:rsid w:val="008C7E42"/>
    <w:rsid w:val="008D00F3"/>
    <w:rsid w:val="008D03D3"/>
    <w:rsid w:val="008D0486"/>
    <w:rsid w:val="008D04D4"/>
    <w:rsid w:val="008D05A1"/>
    <w:rsid w:val="008D072A"/>
    <w:rsid w:val="008D07CD"/>
    <w:rsid w:val="008D0935"/>
    <w:rsid w:val="008D09B5"/>
    <w:rsid w:val="008D0B4F"/>
    <w:rsid w:val="008D0C39"/>
    <w:rsid w:val="008D0CFC"/>
    <w:rsid w:val="008D1574"/>
    <w:rsid w:val="008D1957"/>
    <w:rsid w:val="008D195E"/>
    <w:rsid w:val="008D19C0"/>
    <w:rsid w:val="008D1D5C"/>
    <w:rsid w:val="008D1D89"/>
    <w:rsid w:val="008D1E78"/>
    <w:rsid w:val="008D1E92"/>
    <w:rsid w:val="008D22FA"/>
    <w:rsid w:val="008D24BF"/>
    <w:rsid w:val="008D24EC"/>
    <w:rsid w:val="008D2527"/>
    <w:rsid w:val="008D2CB3"/>
    <w:rsid w:val="008D2CB5"/>
    <w:rsid w:val="008D2CC2"/>
    <w:rsid w:val="008D2EF5"/>
    <w:rsid w:val="008D3217"/>
    <w:rsid w:val="008D3236"/>
    <w:rsid w:val="008D33F3"/>
    <w:rsid w:val="008D3687"/>
    <w:rsid w:val="008D3BD6"/>
    <w:rsid w:val="008D3E4C"/>
    <w:rsid w:val="008D3F14"/>
    <w:rsid w:val="008D3FC9"/>
    <w:rsid w:val="008D4239"/>
    <w:rsid w:val="008D4EFE"/>
    <w:rsid w:val="008D4F6B"/>
    <w:rsid w:val="008D4FB6"/>
    <w:rsid w:val="008D50F8"/>
    <w:rsid w:val="008D517B"/>
    <w:rsid w:val="008D5399"/>
    <w:rsid w:val="008D543F"/>
    <w:rsid w:val="008D549B"/>
    <w:rsid w:val="008D580F"/>
    <w:rsid w:val="008D597C"/>
    <w:rsid w:val="008D599D"/>
    <w:rsid w:val="008D59C9"/>
    <w:rsid w:val="008D59EA"/>
    <w:rsid w:val="008D5B64"/>
    <w:rsid w:val="008D5BF3"/>
    <w:rsid w:val="008D5CE7"/>
    <w:rsid w:val="008D5D7F"/>
    <w:rsid w:val="008D5E4B"/>
    <w:rsid w:val="008D5F98"/>
    <w:rsid w:val="008D623A"/>
    <w:rsid w:val="008D623E"/>
    <w:rsid w:val="008D6387"/>
    <w:rsid w:val="008D63D1"/>
    <w:rsid w:val="008D6445"/>
    <w:rsid w:val="008D649D"/>
    <w:rsid w:val="008D64D4"/>
    <w:rsid w:val="008D64FF"/>
    <w:rsid w:val="008D665E"/>
    <w:rsid w:val="008D6937"/>
    <w:rsid w:val="008D6A53"/>
    <w:rsid w:val="008D6B2D"/>
    <w:rsid w:val="008D6B78"/>
    <w:rsid w:val="008D6C75"/>
    <w:rsid w:val="008D6C96"/>
    <w:rsid w:val="008D6E6B"/>
    <w:rsid w:val="008D6F7E"/>
    <w:rsid w:val="008D7021"/>
    <w:rsid w:val="008D723A"/>
    <w:rsid w:val="008D7367"/>
    <w:rsid w:val="008D7569"/>
    <w:rsid w:val="008D76EC"/>
    <w:rsid w:val="008D7B2D"/>
    <w:rsid w:val="008D7C1A"/>
    <w:rsid w:val="008D7D7E"/>
    <w:rsid w:val="008E009C"/>
    <w:rsid w:val="008E0237"/>
    <w:rsid w:val="008E036D"/>
    <w:rsid w:val="008E0749"/>
    <w:rsid w:val="008E0A4D"/>
    <w:rsid w:val="008E0C6A"/>
    <w:rsid w:val="008E0CA0"/>
    <w:rsid w:val="008E11DE"/>
    <w:rsid w:val="008E1482"/>
    <w:rsid w:val="008E18FC"/>
    <w:rsid w:val="008E1953"/>
    <w:rsid w:val="008E1B45"/>
    <w:rsid w:val="008E1C08"/>
    <w:rsid w:val="008E1C72"/>
    <w:rsid w:val="008E1ED6"/>
    <w:rsid w:val="008E20F0"/>
    <w:rsid w:val="008E2287"/>
    <w:rsid w:val="008E2702"/>
    <w:rsid w:val="008E2881"/>
    <w:rsid w:val="008E2C27"/>
    <w:rsid w:val="008E3482"/>
    <w:rsid w:val="008E3491"/>
    <w:rsid w:val="008E3561"/>
    <w:rsid w:val="008E36FA"/>
    <w:rsid w:val="008E37B4"/>
    <w:rsid w:val="008E3A9B"/>
    <w:rsid w:val="008E3B2D"/>
    <w:rsid w:val="008E3BA5"/>
    <w:rsid w:val="008E3EB8"/>
    <w:rsid w:val="008E4434"/>
    <w:rsid w:val="008E45BB"/>
    <w:rsid w:val="008E47C8"/>
    <w:rsid w:val="008E489B"/>
    <w:rsid w:val="008E49D3"/>
    <w:rsid w:val="008E4D08"/>
    <w:rsid w:val="008E4F89"/>
    <w:rsid w:val="008E512F"/>
    <w:rsid w:val="008E515B"/>
    <w:rsid w:val="008E5427"/>
    <w:rsid w:val="008E583A"/>
    <w:rsid w:val="008E5A68"/>
    <w:rsid w:val="008E5DCF"/>
    <w:rsid w:val="008E5F81"/>
    <w:rsid w:val="008E61DA"/>
    <w:rsid w:val="008E6282"/>
    <w:rsid w:val="008E62C2"/>
    <w:rsid w:val="008E6454"/>
    <w:rsid w:val="008E66D3"/>
    <w:rsid w:val="008E689F"/>
    <w:rsid w:val="008E68F2"/>
    <w:rsid w:val="008E6BF7"/>
    <w:rsid w:val="008E6D90"/>
    <w:rsid w:val="008E714C"/>
    <w:rsid w:val="008E71E4"/>
    <w:rsid w:val="008E7395"/>
    <w:rsid w:val="008E73B6"/>
    <w:rsid w:val="008E74BE"/>
    <w:rsid w:val="008E7547"/>
    <w:rsid w:val="008E76C4"/>
    <w:rsid w:val="008E7746"/>
    <w:rsid w:val="008E7BF1"/>
    <w:rsid w:val="008E7C25"/>
    <w:rsid w:val="008E7CA7"/>
    <w:rsid w:val="008E7DD3"/>
    <w:rsid w:val="008E7FE5"/>
    <w:rsid w:val="008F007F"/>
    <w:rsid w:val="008F0121"/>
    <w:rsid w:val="008F02C7"/>
    <w:rsid w:val="008F02CF"/>
    <w:rsid w:val="008F0304"/>
    <w:rsid w:val="008F04CF"/>
    <w:rsid w:val="008F097A"/>
    <w:rsid w:val="008F0981"/>
    <w:rsid w:val="008F0A08"/>
    <w:rsid w:val="008F0A31"/>
    <w:rsid w:val="008F0F1A"/>
    <w:rsid w:val="008F0FE2"/>
    <w:rsid w:val="008F1281"/>
    <w:rsid w:val="008F1659"/>
    <w:rsid w:val="008F1AE7"/>
    <w:rsid w:val="008F1F9F"/>
    <w:rsid w:val="008F2046"/>
    <w:rsid w:val="008F20BB"/>
    <w:rsid w:val="008F218E"/>
    <w:rsid w:val="008F2478"/>
    <w:rsid w:val="008F2B3A"/>
    <w:rsid w:val="008F3104"/>
    <w:rsid w:val="008F353A"/>
    <w:rsid w:val="008F37C7"/>
    <w:rsid w:val="008F3856"/>
    <w:rsid w:val="008F3873"/>
    <w:rsid w:val="008F3981"/>
    <w:rsid w:val="008F3A56"/>
    <w:rsid w:val="008F3AF0"/>
    <w:rsid w:val="008F3B2A"/>
    <w:rsid w:val="008F3B5C"/>
    <w:rsid w:val="008F3F21"/>
    <w:rsid w:val="008F4400"/>
    <w:rsid w:val="008F44B7"/>
    <w:rsid w:val="008F44CF"/>
    <w:rsid w:val="008F47A0"/>
    <w:rsid w:val="008F48C6"/>
    <w:rsid w:val="008F4CAD"/>
    <w:rsid w:val="008F4CB5"/>
    <w:rsid w:val="008F4E13"/>
    <w:rsid w:val="008F4EF3"/>
    <w:rsid w:val="008F5171"/>
    <w:rsid w:val="008F53CA"/>
    <w:rsid w:val="008F5449"/>
    <w:rsid w:val="008F5659"/>
    <w:rsid w:val="008F56FD"/>
    <w:rsid w:val="008F5B3A"/>
    <w:rsid w:val="008F5BE2"/>
    <w:rsid w:val="008F5DA9"/>
    <w:rsid w:val="008F6082"/>
    <w:rsid w:val="008F6117"/>
    <w:rsid w:val="008F6167"/>
    <w:rsid w:val="008F643B"/>
    <w:rsid w:val="008F6521"/>
    <w:rsid w:val="008F686A"/>
    <w:rsid w:val="008F6B2C"/>
    <w:rsid w:val="008F6CDB"/>
    <w:rsid w:val="008F6D69"/>
    <w:rsid w:val="008F6FEF"/>
    <w:rsid w:val="008F715F"/>
    <w:rsid w:val="008F71CE"/>
    <w:rsid w:val="008F7298"/>
    <w:rsid w:val="008F7361"/>
    <w:rsid w:val="008F75A5"/>
    <w:rsid w:val="008F7914"/>
    <w:rsid w:val="008F7956"/>
    <w:rsid w:val="008F7E76"/>
    <w:rsid w:val="008F7FBD"/>
    <w:rsid w:val="0090031A"/>
    <w:rsid w:val="00900343"/>
    <w:rsid w:val="009003A6"/>
    <w:rsid w:val="0090062B"/>
    <w:rsid w:val="009006D8"/>
    <w:rsid w:val="0090073D"/>
    <w:rsid w:val="00900983"/>
    <w:rsid w:val="00900A2F"/>
    <w:rsid w:val="00900ABB"/>
    <w:rsid w:val="00900AF5"/>
    <w:rsid w:val="00900E0A"/>
    <w:rsid w:val="00900FA3"/>
    <w:rsid w:val="00900FC8"/>
    <w:rsid w:val="00901123"/>
    <w:rsid w:val="0090124E"/>
    <w:rsid w:val="00901536"/>
    <w:rsid w:val="00901537"/>
    <w:rsid w:val="0090157F"/>
    <w:rsid w:val="0090174C"/>
    <w:rsid w:val="0090192C"/>
    <w:rsid w:val="00901939"/>
    <w:rsid w:val="00901951"/>
    <w:rsid w:val="00901BAE"/>
    <w:rsid w:val="00901CFF"/>
    <w:rsid w:val="00901E11"/>
    <w:rsid w:val="00901EF4"/>
    <w:rsid w:val="00901EF9"/>
    <w:rsid w:val="009020D0"/>
    <w:rsid w:val="00902188"/>
    <w:rsid w:val="00902383"/>
    <w:rsid w:val="009023EB"/>
    <w:rsid w:val="009024A4"/>
    <w:rsid w:val="00902937"/>
    <w:rsid w:val="009029CF"/>
    <w:rsid w:val="00902A02"/>
    <w:rsid w:val="00902DAF"/>
    <w:rsid w:val="00902FFB"/>
    <w:rsid w:val="009030FA"/>
    <w:rsid w:val="009031F6"/>
    <w:rsid w:val="00903252"/>
    <w:rsid w:val="0090355C"/>
    <w:rsid w:val="0090380D"/>
    <w:rsid w:val="00903981"/>
    <w:rsid w:val="00903A98"/>
    <w:rsid w:val="00903B73"/>
    <w:rsid w:val="00903F1F"/>
    <w:rsid w:val="00903FB4"/>
    <w:rsid w:val="00903FD7"/>
    <w:rsid w:val="00904364"/>
    <w:rsid w:val="00904459"/>
    <w:rsid w:val="0090468B"/>
    <w:rsid w:val="00904724"/>
    <w:rsid w:val="0090480B"/>
    <w:rsid w:val="009048DF"/>
    <w:rsid w:val="00904A7C"/>
    <w:rsid w:val="00904D11"/>
    <w:rsid w:val="00904D4C"/>
    <w:rsid w:val="00905094"/>
    <w:rsid w:val="009050D4"/>
    <w:rsid w:val="00905225"/>
    <w:rsid w:val="00905470"/>
    <w:rsid w:val="009055A3"/>
    <w:rsid w:val="009055DF"/>
    <w:rsid w:val="009059C9"/>
    <w:rsid w:val="009059FF"/>
    <w:rsid w:val="00905C8B"/>
    <w:rsid w:val="0090612D"/>
    <w:rsid w:val="009063D3"/>
    <w:rsid w:val="0090656E"/>
    <w:rsid w:val="0090680B"/>
    <w:rsid w:val="009068CD"/>
    <w:rsid w:val="009069BB"/>
    <w:rsid w:val="00906B6C"/>
    <w:rsid w:val="00906B83"/>
    <w:rsid w:val="00906D65"/>
    <w:rsid w:val="00906F53"/>
    <w:rsid w:val="00907083"/>
    <w:rsid w:val="0090776F"/>
    <w:rsid w:val="009077A3"/>
    <w:rsid w:val="00907969"/>
    <w:rsid w:val="009079AB"/>
    <w:rsid w:val="00907A71"/>
    <w:rsid w:val="00907B37"/>
    <w:rsid w:val="00907CAF"/>
    <w:rsid w:val="00907E55"/>
    <w:rsid w:val="009102A8"/>
    <w:rsid w:val="00910364"/>
    <w:rsid w:val="009103F0"/>
    <w:rsid w:val="00910737"/>
    <w:rsid w:val="00910EDC"/>
    <w:rsid w:val="009118EE"/>
    <w:rsid w:val="00911BC1"/>
    <w:rsid w:val="00911C12"/>
    <w:rsid w:val="00911C85"/>
    <w:rsid w:val="00911E5C"/>
    <w:rsid w:val="00911ED3"/>
    <w:rsid w:val="00911FC6"/>
    <w:rsid w:val="0091257D"/>
    <w:rsid w:val="00912878"/>
    <w:rsid w:val="00912A75"/>
    <w:rsid w:val="00912B27"/>
    <w:rsid w:val="00912B4F"/>
    <w:rsid w:val="00912B9A"/>
    <w:rsid w:val="00912C0B"/>
    <w:rsid w:val="00912C2B"/>
    <w:rsid w:val="00912D8D"/>
    <w:rsid w:val="00913208"/>
    <w:rsid w:val="0091325C"/>
    <w:rsid w:val="00913561"/>
    <w:rsid w:val="009138C2"/>
    <w:rsid w:val="00913961"/>
    <w:rsid w:val="009140C3"/>
    <w:rsid w:val="00914169"/>
    <w:rsid w:val="0091458E"/>
    <w:rsid w:val="0091474B"/>
    <w:rsid w:val="0091479C"/>
    <w:rsid w:val="009148E0"/>
    <w:rsid w:val="0091492F"/>
    <w:rsid w:val="00914A6B"/>
    <w:rsid w:val="00914B15"/>
    <w:rsid w:val="00914B34"/>
    <w:rsid w:val="00914BEA"/>
    <w:rsid w:val="00914F66"/>
    <w:rsid w:val="00915045"/>
    <w:rsid w:val="0091505F"/>
    <w:rsid w:val="009152AE"/>
    <w:rsid w:val="00915318"/>
    <w:rsid w:val="0091536A"/>
    <w:rsid w:val="009153A8"/>
    <w:rsid w:val="00915863"/>
    <w:rsid w:val="00915CCE"/>
    <w:rsid w:val="00915EFD"/>
    <w:rsid w:val="00916679"/>
    <w:rsid w:val="009166F2"/>
    <w:rsid w:val="009168E1"/>
    <w:rsid w:val="009169FF"/>
    <w:rsid w:val="00916D83"/>
    <w:rsid w:val="00916D8C"/>
    <w:rsid w:val="00916E40"/>
    <w:rsid w:val="00916FB9"/>
    <w:rsid w:val="009170DF"/>
    <w:rsid w:val="00917126"/>
    <w:rsid w:val="009172E0"/>
    <w:rsid w:val="00917725"/>
    <w:rsid w:val="00917749"/>
    <w:rsid w:val="009177EA"/>
    <w:rsid w:val="0091781C"/>
    <w:rsid w:val="00917A68"/>
    <w:rsid w:val="00917AE1"/>
    <w:rsid w:val="00917D13"/>
    <w:rsid w:val="00917FB9"/>
    <w:rsid w:val="0092008E"/>
    <w:rsid w:val="00920213"/>
    <w:rsid w:val="0092047F"/>
    <w:rsid w:val="009206A8"/>
    <w:rsid w:val="00920768"/>
    <w:rsid w:val="00920E94"/>
    <w:rsid w:val="00920FA3"/>
    <w:rsid w:val="009210B8"/>
    <w:rsid w:val="0092130A"/>
    <w:rsid w:val="009215C2"/>
    <w:rsid w:val="0092170E"/>
    <w:rsid w:val="00921E20"/>
    <w:rsid w:val="00921E89"/>
    <w:rsid w:val="00922148"/>
    <w:rsid w:val="00922281"/>
    <w:rsid w:val="009226FD"/>
    <w:rsid w:val="00922828"/>
    <w:rsid w:val="00922B84"/>
    <w:rsid w:val="00922C0F"/>
    <w:rsid w:val="00922CB0"/>
    <w:rsid w:val="00922F94"/>
    <w:rsid w:val="009232FB"/>
    <w:rsid w:val="00923450"/>
    <w:rsid w:val="009234DA"/>
    <w:rsid w:val="009236D7"/>
    <w:rsid w:val="0092398E"/>
    <w:rsid w:val="00923A0D"/>
    <w:rsid w:val="00923DE4"/>
    <w:rsid w:val="00923E73"/>
    <w:rsid w:val="009241C3"/>
    <w:rsid w:val="00924301"/>
    <w:rsid w:val="0092464B"/>
    <w:rsid w:val="00924654"/>
    <w:rsid w:val="00924935"/>
    <w:rsid w:val="00924CD1"/>
    <w:rsid w:val="00924D01"/>
    <w:rsid w:val="009250FC"/>
    <w:rsid w:val="00925449"/>
    <w:rsid w:val="0092577C"/>
    <w:rsid w:val="00925978"/>
    <w:rsid w:val="00925F08"/>
    <w:rsid w:val="00925FEA"/>
    <w:rsid w:val="00926558"/>
    <w:rsid w:val="009265C3"/>
    <w:rsid w:val="0092667A"/>
    <w:rsid w:val="009266A2"/>
    <w:rsid w:val="0092679A"/>
    <w:rsid w:val="00926AEC"/>
    <w:rsid w:val="00926B3A"/>
    <w:rsid w:val="00926C7C"/>
    <w:rsid w:val="00926C97"/>
    <w:rsid w:val="00926DF8"/>
    <w:rsid w:val="00926EB6"/>
    <w:rsid w:val="00927052"/>
    <w:rsid w:val="00927129"/>
    <w:rsid w:val="009273F0"/>
    <w:rsid w:val="009273F2"/>
    <w:rsid w:val="009275B4"/>
    <w:rsid w:val="009276EB"/>
    <w:rsid w:val="009279A0"/>
    <w:rsid w:val="00927D44"/>
    <w:rsid w:val="009303B7"/>
    <w:rsid w:val="009309A5"/>
    <w:rsid w:val="00930A60"/>
    <w:rsid w:val="00930CBE"/>
    <w:rsid w:val="00930E67"/>
    <w:rsid w:val="0093106F"/>
    <w:rsid w:val="009310FC"/>
    <w:rsid w:val="0093112E"/>
    <w:rsid w:val="00931228"/>
    <w:rsid w:val="00931446"/>
    <w:rsid w:val="009316F7"/>
    <w:rsid w:val="0093177D"/>
    <w:rsid w:val="009317A6"/>
    <w:rsid w:val="009318DD"/>
    <w:rsid w:val="00931B1C"/>
    <w:rsid w:val="00931B93"/>
    <w:rsid w:val="00931E1E"/>
    <w:rsid w:val="00931F86"/>
    <w:rsid w:val="00931F9F"/>
    <w:rsid w:val="00931FFD"/>
    <w:rsid w:val="00932118"/>
    <w:rsid w:val="009321B7"/>
    <w:rsid w:val="00932C4B"/>
    <w:rsid w:val="00932C6C"/>
    <w:rsid w:val="00932E5C"/>
    <w:rsid w:val="009330B5"/>
    <w:rsid w:val="009330F5"/>
    <w:rsid w:val="0093345A"/>
    <w:rsid w:val="00933F70"/>
    <w:rsid w:val="009341C3"/>
    <w:rsid w:val="0093424E"/>
    <w:rsid w:val="009347D7"/>
    <w:rsid w:val="0093481F"/>
    <w:rsid w:val="00934AB6"/>
    <w:rsid w:val="00934AD4"/>
    <w:rsid w:val="00934B08"/>
    <w:rsid w:val="00934B15"/>
    <w:rsid w:val="00934C61"/>
    <w:rsid w:val="00934F6B"/>
    <w:rsid w:val="009350E4"/>
    <w:rsid w:val="009351E6"/>
    <w:rsid w:val="00935836"/>
    <w:rsid w:val="009358FB"/>
    <w:rsid w:val="0093596F"/>
    <w:rsid w:val="009359C5"/>
    <w:rsid w:val="00935A3D"/>
    <w:rsid w:val="00935D29"/>
    <w:rsid w:val="00935E3D"/>
    <w:rsid w:val="00935F81"/>
    <w:rsid w:val="00936181"/>
    <w:rsid w:val="009361BF"/>
    <w:rsid w:val="009362A4"/>
    <w:rsid w:val="009362E6"/>
    <w:rsid w:val="009363DC"/>
    <w:rsid w:val="0093683E"/>
    <w:rsid w:val="0093694F"/>
    <w:rsid w:val="00936AC0"/>
    <w:rsid w:val="00936C8F"/>
    <w:rsid w:val="00936E30"/>
    <w:rsid w:val="00936F94"/>
    <w:rsid w:val="00937132"/>
    <w:rsid w:val="009377C8"/>
    <w:rsid w:val="00937ABC"/>
    <w:rsid w:val="00937B72"/>
    <w:rsid w:val="00937F5C"/>
    <w:rsid w:val="00940254"/>
    <w:rsid w:val="009402BC"/>
    <w:rsid w:val="009402D8"/>
    <w:rsid w:val="0094052F"/>
    <w:rsid w:val="009405EC"/>
    <w:rsid w:val="00940687"/>
    <w:rsid w:val="00940FAD"/>
    <w:rsid w:val="00941157"/>
    <w:rsid w:val="009412AD"/>
    <w:rsid w:val="009413DD"/>
    <w:rsid w:val="0094149B"/>
    <w:rsid w:val="00941537"/>
    <w:rsid w:val="0094158F"/>
    <w:rsid w:val="00941713"/>
    <w:rsid w:val="00941D2A"/>
    <w:rsid w:val="00941E6E"/>
    <w:rsid w:val="00941EC7"/>
    <w:rsid w:val="00942103"/>
    <w:rsid w:val="009421D7"/>
    <w:rsid w:val="009422BB"/>
    <w:rsid w:val="009424EB"/>
    <w:rsid w:val="009426AA"/>
    <w:rsid w:val="009427A1"/>
    <w:rsid w:val="00942B76"/>
    <w:rsid w:val="00942C52"/>
    <w:rsid w:val="00942C9B"/>
    <w:rsid w:val="00942E4E"/>
    <w:rsid w:val="00942F80"/>
    <w:rsid w:val="00943347"/>
    <w:rsid w:val="00943348"/>
    <w:rsid w:val="009438E8"/>
    <w:rsid w:val="00943975"/>
    <w:rsid w:val="00943998"/>
    <w:rsid w:val="00943BC0"/>
    <w:rsid w:val="00943DDF"/>
    <w:rsid w:val="00943F3E"/>
    <w:rsid w:val="0094405C"/>
    <w:rsid w:val="009441CC"/>
    <w:rsid w:val="00944306"/>
    <w:rsid w:val="0094455A"/>
    <w:rsid w:val="0094462A"/>
    <w:rsid w:val="00944B30"/>
    <w:rsid w:val="00944DEF"/>
    <w:rsid w:val="00944F01"/>
    <w:rsid w:val="00945026"/>
    <w:rsid w:val="009450C0"/>
    <w:rsid w:val="00945239"/>
    <w:rsid w:val="009454FD"/>
    <w:rsid w:val="00945579"/>
    <w:rsid w:val="00945C56"/>
    <w:rsid w:val="00945C5B"/>
    <w:rsid w:val="00945DAC"/>
    <w:rsid w:val="00945DE9"/>
    <w:rsid w:val="00945EEB"/>
    <w:rsid w:val="00946217"/>
    <w:rsid w:val="0094629E"/>
    <w:rsid w:val="009463A8"/>
    <w:rsid w:val="009464D7"/>
    <w:rsid w:val="0094662E"/>
    <w:rsid w:val="0094664F"/>
    <w:rsid w:val="00946678"/>
    <w:rsid w:val="0094686A"/>
    <w:rsid w:val="00946A50"/>
    <w:rsid w:val="00946C1A"/>
    <w:rsid w:val="00946DA9"/>
    <w:rsid w:val="00946E47"/>
    <w:rsid w:val="00946FA9"/>
    <w:rsid w:val="00946FBB"/>
    <w:rsid w:val="00947084"/>
    <w:rsid w:val="009471CE"/>
    <w:rsid w:val="009472D3"/>
    <w:rsid w:val="0094744B"/>
    <w:rsid w:val="009475B8"/>
    <w:rsid w:val="00947675"/>
    <w:rsid w:val="0094776A"/>
    <w:rsid w:val="009478F4"/>
    <w:rsid w:val="00947C45"/>
    <w:rsid w:val="00947F28"/>
    <w:rsid w:val="009504FB"/>
    <w:rsid w:val="009507A7"/>
    <w:rsid w:val="009507DD"/>
    <w:rsid w:val="00950AAC"/>
    <w:rsid w:val="00950B7A"/>
    <w:rsid w:val="00950BC9"/>
    <w:rsid w:val="00950C35"/>
    <w:rsid w:val="00950D8A"/>
    <w:rsid w:val="00950ECB"/>
    <w:rsid w:val="00950EE6"/>
    <w:rsid w:val="00950FA6"/>
    <w:rsid w:val="009512AB"/>
    <w:rsid w:val="00951392"/>
    <w:rsid w:val="00951949"/>
    <w:rsid w:val="009519DD"/>
    <w:rsid w:val="00951A73"/>
    <w:rsid w:val="00951ACE"/>
    <w:rsid w:val="00951B0A"/>
    <w:rsid w:val="00952333"/>
    <w:rsid w:val="00952477"/>
    <w:rsid w:val="009525F0"/>
    <w:rsid w:val="009526AC"/>
    <w:rsid w:val="00952987"/>
    <w:rsid w:val="00952A1A"/>
    <w:rsid w:val="00952A2D"/>
    <w:rsid w:val="00952AF7"/>
    <w:rsid w:val="00952B05"/>
    <w:rsid w:val="00952B96"/>
    <w:rsid w:val="0095330C"/>
    <w:rsid w:val="009535CD"/>
    <w:rsid w:val="009536A0"/>
    <w:rsid w:val="00953A0C"/>
    <w:rsid w:val="00953ADF"/>
    <w:rsid w:val="00953EC6"/>
    <w:rsid w:val="00953F4F"/>
    <w:rsid w:val="009542DB"/>
    <w:rsid w:val="00954388"/>
    <w:rsid w:val="00954450"/>
    <w:rsid w:val="0095453A"/>
    <w:rsid w:val="00954598"/>
    <w:rsid w:val="009545FD"/>
    <w:rsid w:val="0095485C"/>
    <w:rsid w:val="0095497A"/>
    <w:rsid w:val="009549CB"/>
    <w:rsid w:val="00954A86"/>
    <w:rsid w:val="00955262"/>
    <w:rsid w:val="0095538F"/>
    <w:rsid w:val="0095550E"/>
    <w:rsid w:val="0095582B"/>
    <w:rsid w:val="00955887"/>
    <w:rsid w:val="009558A8"/>
    <w:rsid w:val="0095594F"/>
    <w:rsid w:val="00955AAA"/>
    <w:rsid w:val="00955B6E"/>
    <w:rsid w:val="0095607A"/>
    <w:rsid w:val="009561DD"/>
    <w:rsid w:val="00956598"/>
    <w:rsid w:val="009565CF"/>
    <w:rsid w:val="0095694F"/>
    <w:rsid w:val="00956A2A"/>
    <w:rsid w:val="009577E0"/>
    <w:rsid w:val="00957956"/>
    <w:rsid w:val="00957D5E"/>
    <w:rsid w:val="00957EFA"/>
    <w:rsid w:val="00960049"/>
    <w:rsid w:val="009603B7"/>
    <w:rsid w:val="00960D91"/>
    <w:rsid w:val="00961015"/>
    <w:rsid w:val="00961171"/>
    <w:rsid w:val="00961523"/>
    <w:rsid w:val="00961587"/>
    <w:rsid w:val="009616DE"/>
    <w:rsid w:val="0096173F"/>
    <w:rsid w:val="00961B6A"/>
    <w:rsid w:val="00961BE5"/>
    <w:rsid w:val="00961C5C"/>
    <w:rsid w:val="00962158"/>
    <w:rsid w:val="0096218D"/>
    <w:rsid w:val="009622E2"/>
    <w:rsid w:val="00962305"/>
    <w:rsid w:val="009625FF"/>
    <w:rsid w:val="0096270C"/>
    <w:rsid w:val="00962796"/>
    <w:rsid w:val="009627F8"/>
    <w:rsid w:val="009628C3"/>
    <w:rsid w:val="0096293C"/>
    <w:rsid w:val="00962CC6"/>
    <w:rsid w:val="00962F27"/>
    <w:rsid w:val="00962F8E"/>
    <w:rsid w:val="00963B0A"/>
    <w:rsid w:val="00963CF1"/>
    <w:rsid w:val="00963D03"/>
    <w:rsid w:val="00963EAF"/>
    <w:rsid w:val="00963EDA"/>
    <w:rsid w:val="009642E1"/>
    <w:rsid w:val="009643B1"/>
    <w:rsid w:val="009644A0"/>
    <w:rsid w:val="009647E9"/>
    <w:rsid w:val="009649AC"/>
    <w:rsid w:val="00964A73"/>
    <w:rsid w:val="00964DAB"/>
    <w:rsid w:val="00964E5D"/>
    <w:rsid w:val="00964F18"/>
    <w:rsid w:val="009655C5"/>
    <w:rsid w:val="00965998"/>
    <w:rsid w:val="00965B10"/>
    <w:rsid w:val="00965BD2"/>
    <w:rsid w:val="00965C2B"/>
    <w:rsid w:val="00965D5C"/>
    <w:rsid w:val="00965FA0"/>
    <w:rsid w:val="0096619C"/>
    <w:rsid w:val="009661BE"/>
    <w:rsid w:val="0096633E"/>
    <w:rsid w:val="009667CD"/>
    <w:rsid w:val="00966AF5"/>
    <w:rsid w:val="00966D30"/>
    <w:rsid w:val="009674A4"/>
    <w:rsid w:val="00967766"/>
    <w:rsid w:val="00967840"/>
    <w:rsid w:val="00967843"/>
    <w:rsid w:val="009679E4"/>
    <w:rsid w:val="00967C4C"/>
    <w:rsid w:val="00967FD2"/>
    <w:rsid w:val="0097002B"/>
    <w:rsid w:val="00970626"/>
    <w:rsid w:val="00970B47"/>
    <w:rsid w:val="00970C3F"/>
    <w:rsid w:val="00970DD6"/>
    <w:rsid w:val="00970F12"/>
    <w:rsid w:val="00970F35"/>
    <w:rsid w:val="00971052"/>
    <w:rsid w:val="009710B5"/>
    <w:rsid w:val="009713FC"/>
    <w:rsid w:val="0097146A"/>
    <w:rsid w:val="009714C7"/>
    <w:rsid w:val="00971649"/>
    <w:rsid w:val="00971754"/>
    <w:rsid w:val="00971A21"/>
    <w:rsid w:val="00971AB0"/>
    <w:rsid w:val="00971B03"/>
    <w:rsid w:val="00972045"/>
    <w:rsid w:val="0097210D"/>
    <w:rsid w:val="0097210E"/>
    <w:rsid w:val="00972A9D"/>
    <w:rsid w:val="00972B8F"/>
    <w:rsid w:val="00972C80"/>
    <w:rsid w:val="00973464"/>
    <w:rsid w:val="009735B5"/>
    <w:rsid w:val="00973873"/>
    <w:rsid w:val="0097388C"/>
    <w:rsid w:val="00973935"/>
    <w:rsid w:val="009739C5"/>
    <w:rsid w:val="00973A1F"/>
    <w:rsid w:val="00973BFE"/>
    <w:rsid w:val="00973C48"/>
    <w:rsid w:val="00973E1B"/>
    <w:rsid w:val="00974300"/>
    <w:rsid w:val="00974319"/>
    <w:rsid w:val="009743E3"/>
    <w:rsid w:val="009743E7"/>
    <w:rsid w:val="00974924"/>
    <w:rsid w:val="00974A9D"/>
    <w:rsid w:val="00974B5E"/>
    <w:rsid w:val="00974CD2"/>
    <w:rsid w:val="00974EF1"/>
    <w:rsid w:val="00975182"/>
    <w:rsid w:val="0097559F"/>
    <w:rsid w:val="009755E4"/>
    <w:rsid w:val="009756AB"/>
    <w:rsid w:val="00975B62"/>
    <w:rsid w:val="00975C56"/>
    <w:rsid w:val="00975E9F"/>
    <w:rsid w:val="00975EAA"/>
    <w:rsid w:val="00975EF7"/>
    <w:rsid w:val="00975FE1"/>
    <w:rsid w:val="00976087"/>
    <w:rsid w:val="009760A7"/>
    <w:rsid w:val="00976303"/>
    <w:rsid w:val="0097631C"/>
    <w:rsid w:val="0097633B"/>
    <w:rsid w:val="00976618"/>
    <w:rsid w:val="009767DE"/>
    <w:rsid w:val="009769D1"/>
    <w:rsid w:val="00976B14"/>
    <w:rsid w:val="00976B87"/>
    <w:rsid w:val="00976C18"/>
    <w:rsid w:val="00976C7E"/>
    <w:rsid w:val="00976D84"/>
    <w:rsid w:val="0097702C"/>
    <w:rsid w:val="009773AD"/>
    <w:rsid w:val="009775B1"/>
    <w:rsid w:val="009777F0"/>
    <w:rsid w:val="00977B22"/>
    <w:rsid w:val="00977B2E"/>
    <w:rsid w:val="00977CFE"/>
    <w:rsid w:val="00977DD5"/>
    <w:rsid w:val="0098008C"/>
    <w:rsid w:val="009801A7"/>
    <w:rsid w:val="009804A2"/>
    <w:rsid w:val="009805D6"/>
    <w:rsid w:val="0098075B"/>
    <w:rsid w:val="00980D9E"/>
    <w:rsid w:val="00980E3A"/>
    <w:rsid w:val="00980FBF"/>
    <w:rsid w:val="0098147A"/>
    <w:rsid w:val="009815C1"/>
    <w:rsid w:val="009816C0"/>
    <w:rsid w:val="009818E1"/>
    <w:rsid w:val="00981DCC"/>
    <w:rsid w:val="00981F80"/>
    <w:rsid w:val="00982737"/>
    <w:rsid w:val="00982C60"/>
    <w:rsid w:val="00982D3E"/>
    <w:rsid w:val="00982DCC"/>
    <w:rsid w:val="00983113"/>
    <w:rsid w:val="00983238"/>
    <w:rsid w:val="0098327A"/>
    <w:rsid w:val="009833C7"/>
    <w:rsid w:val="009835BC"/>
    <w:rsid w:val="0098360A"/>
    <w:rsid w:val="009836CA"/>
    <w:rsid w:val="00983CEB"/>
    <w:rsid w:val="00983EA4"/>
    <w:rsid w:val="00983EF1"/>
    <w:rsid w:val="0098405F"/>
    <w:rsid w:val="009842DA"/>
    <w:rsid w:val="0098444A"/>
    <w:rsid w:val="0098459E"/>
    <w:rsid w:val="009845D0"/>
    <w:rsid w:val="009849FC"/>
    <w:rsid w:val="00984AEB"/>
    <w:rsid w:val="00984C62"/>
    <w:rsid w:val="00984C64"/>
    <w:rsid w:val="00984E4A"/>
    <w:rsid w:val="0098511B"/>
    <w:rsid w:val="009852E0"/>
    <w:rsid w:val="0098568E"/>
    <w:rsid w:val="00985EC6"/>
    <w:rsid w:val="00985F43"/>
    <w:rsid w:val="0098628A"/>
    <w:rsid w:val="009862FC"/>
    <w:rsid w:val="009868C4"/>
    <w:rsid w:val="00986A94"/>
    <w:rsid w:val="00986E7B"/>
    <w:rsid w:val="00986F82"/>
    <w:rsid w:val="009870CA"/>
    <w:rsid w:val="0098736A"/>
    <w:rsid w:val="0098738C"/>
    <w:rsid w:val="009876D5"/>
    <w:rsid w:val="009878DB"/>
    <w:rsid w:val="00987BFA"/>
    <w:rsid w:val="00987C18"/>
    <w:rsid w:val="00987CCC"/>
    <w:rsid w:val="009900AB"/>
    <w:rsid w:val="0099013D"/>
    <w:rsid w:val="00990163"/>
    <w:rsid w:val="009901CC"/>
    <w:rsid w:val="0099028F"/>
    <w:rsid w:val="009905DA"/>
    <w:rsid w:val="0099066D"/>
    <w:rsid w:val="0099077E"/>
    <w:rsid w:val="009907ED"/>
    <w:rsid w:val="00990A3F"/>
    <w:rsid w:val="00990B85"/>
    <w:rsid w:val="00990D53"/>
    <w:rsid w:val="00990D77"/>
    <w:rsid w:val="00990EDB"/>
    <w:rsid w:val="009910A3"/>
    <w:rsid w:val="00991162"/>
    <w:rsid w:val="00991207"/>
    <w:rsid w:val="009912E9"/>
    <w:rsid w:val="0099134E"/>
    <w:rsid w:val="0099168A"/>
    <w:rsid w:val="00991846"/>
    <w:rsid w:val="009919AC"/>
    <w:rsid w:val="00991AE3"/>
    <w:rsid w:val="00991C07"/>
    <w:rsid w:val="00991D22"/>
    <w:rsid w:val="00991EAA"/>
    <w:rsid w:val="00991EF6"/>
    <w:rsid w:val="00991F27"/>
    <w:rsid w:val="00991F87"/>
    <w:rsid w:val="0099207E"/>
    <w:rsid w:val="00992528"/>
    <w:rsid w:val="00992558"/>
    <w:rsid w:val="00992574"/>
    <w:rsid w:val="00992583"/>
    <w:rsid w:val="009925CB"/>
    <w:rsid w:val="009926A6"/>
    <w:rsid w:val="00992910"/>
    <w:rsid w:val="00992947"/>
    <w:rsid w:val="00992A2D"/>
    <w:rsid w:val="00992B80"/>
    <w:rsid w:val="00992C8A"/>
    <w:rsid w:val="00992E6C"/>
    <w:rsid w:val="00993018"/>
    <w:rsid w:val="00993096"/>
    <w:rsid w:val="009931D9"/>
    <w:rsid w:val="009933D7"/>
    <w:rsid w:val="00993701"/>
    <w:rsid w:val="00993C0F"/>
    <w:rsid w:val="00993FC5"/>
    <w:rsid w:val="00994034"/>
    <w:rsid w:val="00994188"/>
    <w:rsid w:val="009944CE"/>
    <w:rsid w:val="0099454A"/>
    <w:rsid w:val="009946BD"/>
    <w:rsid w:val="0099481F"/>
    <w:rsid w:val="00994C14"/>
    <w:rsid w:val="009950A7"/>
    <w:rsid w:val="0099545A"/>
    <w:rsid w:val="009955FE"/>
    <w:rsid w:val="0099596D"/>
    <w:rsid w:val="00995B9F"/>
    <w:rsid w:val="00995CF5"/>
    <w:rsid w:val="00995D2B"/>
    <w:rsid w:val="0099639D"/>
    <w:rsid w:val="00996547"/>
    <w:rsid w:val="00996769"/>
    <w:rsid w:val="00996941"/>
    <w:rsid w:val="00996987"/>
    <w:rsid w:val="00996A1E"/>
    <w:rsid w:val="00996A81"/>
    <w:rsid w:val="00996BA3"/>
    <w:rsid w:val="00996BBC"/>
    <w:rsid w:val="00996D5E"/>
    <w:rsid w:val="009970CB"/>
    <w:rsid w:val="009971FA"/>
    <w:rsid w:val="00997326"/>
    <w:rsid w:val="009973C7"/>
    <w:rsid w:val="009974CC"/>
    <w:rsid w:val="00997627"/>
    <w:rsid w:val="00997649"/>
    <w:rsid w:val="009977DE"/>
    <w:rsid w:val="009977F9"/>
    <w:rsid w:val="00997935"/>
    <w:rsid w:val="00997945"/>
    <w:rsid w:val="00997B4E"/>
    <w:rsid w:val="00997BA3"/>
    <w:rsid w:val="00997DE9"/>
    <w:rsid w:val="00997FC7"/>
    <w:rsid w:val="009A03D2"/>
    <w:rsid w:val="009A049C"/>
    <w:rsid w:val="009A0567"/>
    <w:rsid w:val="009A0671"/>
    <w:rsid w:val="009A06EE"/>
    <w:rsid w:val="009A0734"/>
    <w:rsid w:val="009A0741"/>
    <w:rsid w:val="009A078D"/>
    <w:rsid w:val="009A0BEF"/>
    <w:rsid w:val="009A0D4B"/>
    <w:rsid w:val="009A0E99"/>
    <w:rsid w:val="009A1199"/>
    <w:rsid w:val="009A11F2"/>
    <w:rsid w:val="009A1347"/>
    <w:rsid w:val="009A18B3"/>
    <w:rsid w:val="009A1997"/>
    <w:rsid w:val="009A1AE7"/>
    <w:rsid w:val="009A1D1D"/>
    <w:rsid w:val="009A1D3A"/>
    <w:rsid w:val="009A1D69"/>
    <w:rsid w:val="009A1E1D"/>
    <w:rsid w:val="009A1FBD"/>
    <w:rsid w:val="009A1FFF"/>
    <w:rsid w:val="009A2045"/>
    <w:rsid w:val="009A2191"/>
    <w:rsid w:val="009A2660"/>
    <w:rsid w:val="009A26C2"/>
    <w:rsid w:val="009A2747"/>
    <w:rsid w:val="009A278C"/>
    <w:rsid w:val="009A2893"/>
    <w:rsid w:val="009A298C"/>
    <w:rsid w:val="009A2A02"/>
    <w:rsid w:val="009A2A84"/>
    <w:rsid w:val="009A2C04"/>
    <w:rsid w:val="009A2F56"/>
    <w:rsid w:val="009A31B1"/>
    <w:rsid w:val="009A33B7"/>
    <w:rsid w:val="009A354C"/>
    <w:rsid w:val="009A357E"/>
    <w:rsid w:val="009A37EE"/>
    <w:rsid w:val="009A391B"/>
    <w:rsid w:val="009A3947"/>
    <w:rsid w:val="009A4330"/>
    <w:rsid w:val="009A46DA"/>
    <w:rsid w:val="009A4991"/>
    <w:rsid w:val="009A4D5D"/>
    <w:rsid w:val="009A4F00"/>
    <w:rsid w:val="009A50B8"/>
    <w:rsid w:val="009A5353"/>
    <w:rsid w:val="009A59DE"/>
    <w:rsid w:val="009A5A6E"/>
    <w:rsid w:val="009A5E8E"/>
    <w:rsid w:val="009A6038"/>
    <w:rsid w:val="009A6064"/>
    <w:rsid w:val="009A657F"/>
    <w:rsid w:val="009A6635"/>
    <w:rsid w:val="009A68A1"/>
    <w:rsid w:val="009A6C67"/>
    <w:rsid w:val="009A6CBA"/>
    <w:rsid w:val="009A6F54"/>
    <w:rsid w:val="009A70CB"/>
    <w:rsid w:val="009A7A39"/>
    <w:rsid w:val="009A7EE5"/>
    <w:rsid w:val="009B01CC"/>
    <w:rsid w:val="009B0C0E"/>
    <w:rsid w:val="009B0EED"/>
    <w:rsid w:val="009B1356"/>
    <w:rsid w:val="009B18A5"/>
    <w:rsid w:val="009B1B57"/>
    <w:rsid w:val="009B1BD0"/>
    <w:rsid w:val="009B1D12"/>
    <w:rsid w:val="009B1E1C"/>
    <w:rsid w:val="009B1F4B"/>
    <w:rsid w:val="009B220A"/>
    <w:rsid w:val="009B2263"/>
    <w:rsid w:val="009B2281"/>
    <w:rsid w:val="009B22C7"/>
    <w:rsid w:val="009B2598"/>
    <w:rsid w:val="009B25B6"/>
    <w:rsid w:val="009B2834"/>
    <w:rsid w:val="009B2C0D"/>
    <w:rsid w:val="009B2C63"/>
    <w:rsid w:val="009B2DD0"/>
    <w:rsid w:val="009B2F07"/>
    <w:rsid w:val="009B2F20"/>
    <w:rsid w:val="009B32C8"/>
    <w:rsid w:val="009B33BE"/>
    <w:rsid w:val="009B36D9"/>
    <w:rsid w:val="009B3745"/>
    <w:rsid w:val="009B3A7B"/>
    <w:rsid w:val="009B3AE2"/>
    <w:rsid w:val="009B3BAC"/>
    <w:rsid w:val="009B3BB3"/>
    <w:rsid w:val="009B3D53"/>
    <w:rsid w:val="009B3E28"/>
    <w:rsid w:val="009B3FCA"/>
    <w:rsid w:val="009B4185"/>
    <w:rsid w:val="009B4195"/>
    <w:rsid w:val="009B4239"/>
    <w:rsid w:val="009B4394"/>
    <w:rsid w:val="009B47F4"/>
    <w:rsid w:val="009B4874"/>
    <w:rsid w:val="009B492C"/>
    <w:rsid w:val="009B497F"/>
    <w:rsid w:val="009B4A52"/>
    <w:rsid w:val="009B4D44"/>
    <w:rsid w:val="009B4D57"/>
    <w:rsid w:val="009B536C"/>
    <w:rsid w:val="009B53A1"/>
    <w:rsid w:val="009B554B"/>
    <w:rsid w:val="009B57CE"/>
    <w:rsid w:val="009B58EC"/>
    <w:rsid w:val="009B5A38"/>
    <w:rsid w:val="009B5DF2"/>
    <w:rsid w:val="009B5F04"/>
    <w:rsid w:val="009B5F2A"/>
    <w:rsid w:val="009B630B"/>
    <w:rsid w:val="009B6480"/>
    <w:rsid w:val="009B6499"/>
    <w:rsid w:val="009B66D7"/>
    <w:rsid w:val="009B6EBC"/>
    <w:rsid w:val="009B71C8"/>
    <w:rsid w:val="009B72E3"/>
    <w:rsid w:val="009B7326"/>
    <w:rsid w:val="009B74EE"/>
    <w:rsid w:val="009B757C"/>
    <w:rsid w:val="009B7A27"/>
    <w:rsid w:val="009B7F08"/>
    <w:rsid w:val="009C007B"/>
    <w:rsid w:val="009C016A"/>
    <w:rsid w:val="009C01A1"/>
    <w:rsid w:val="009C056B"/>
    <w:rsid w:val="009C0684"/>
    <w:rsid w:val="009C0FEC"/>
    <w:rsid w:val="009C105D"/>
    <w:rsid w:val="009C107D"/>
    <w:rsid w:val="009C1117"/>
    <w:rsid w:val="009C135F"/>
    <w:rsid w:val="009C1415"/>
    <w:rsid w:val="009C141D"/>
    <w:rsid w:val="009C16BE"/>
    <w:rsid w:val="009C1775"/>
    <w:rsid w:val="009C17C3"/>
    <w:rsid w:val="009C180D"/>
    <w:rsid w:val="009C1975"/>
    <w:rsid w:val="009C19C4"/>
    <w:rsid w:val="009C1D51"/>
    <w:rsid w:val="009C1DB7"/>
    <w:rsid w:val="009C1E97"/>
    <w:rsid w:val="009C1F1F"/>
    <w:rsid w:val="009C2146"/>
    <w:rsid w:val="009C26AA"/>
    <w:rsid w:val="009C26E0"/>
    <w:rsid w:val="009C2828"/>
    <w:rsid w:val="009C2BB7"/>
    <w:rsid w:val="009C3216"/>
    <w:rsid w:val="009C3511"/>
    <w:rsid w:val="009C364D"/>
    <w:rsid w:val="009C37C4"/>
    <w:rsid w:val="009C3D59"/>
    <w:rsid w:val="009C3FFA"/>
    <w:rsid w:val="009C41B1"/>
    <w:rsid w:val="009C4A1B"/>
    <w:rsid w:val="009C4A4C"/>
    <w:rsid w:val="009C4B77"/>
    <w:rsid w:val="009C4DF3"/>
    <w:rsid w:val="009C4EC8"/>
    <w:rsid w:val="009C510C"/>
    <w:rsid w:val="009C5280"/>
    <w:rsid w:val="009C5356"/>
    <w:rsid w:val="009C56DD"/>
    <w:rsid w:val="009C57A2"/>
    <w:rsid w:val="009C5833"/>
    <w:rsid w:val="009C5F62"/>
    <w:rsid w:val="009C617C"/>
    <w:rsid w:val="009C62DF"/>
    <w:rsid w:val="009C630F"/>
    <w:rsid w:val="009C6383"/>
    <w:rsid w:val="009C6538"/>
    <w:rsid w:val="009C66AD"/>
    <w:rsid w:val="009C6723"/>
    <w:rsid w:val="009C68A3"/>
    <w:rsid w:val="009C69D6"/>
    <w:rsid w:val="009C6BFA"/>
    <w:rsid w:val="009C6CA8"/>
    <w:rsid w:val="009C6D2C"/>
    <w:rsid w:val="009C6E58"/>
    <w:rsid w:val="009C71E1"/>
    <w:rsid w:val="009C72C5"/>
    <w:rsid w:val="009C734D"/>
    <w:rsid w:val="009C7370"/>
    <w:rsid w:val="009C7511"/>
    <w:rsid w:val="009C7674"/>
    <w:rsid w:val="009C769C"/>
    <w:rsid w:val="009C773B"/>
    <w:rsid w:val="009C79CA"/>
    <w:rsid w:val="009C7A9D"/>
    <w:rsid w:val="009C7D0F"/>
    <w:rsid w:val="009C7FF6"/>
    <w:rsid w:val="009D00DA"/>
    <w:rsid w:val="009D01EF"/>
    <w:rsid w:val="009D027B"/>
    <w:rsid w:val="009D02D2"/>
    <w:rsid w:val="009D030A"/>
    <w:rsid w:val="009D0488"/>
    <w:rsid w:val="009D052E"/>
    <w:rsid w:val="009D0727"/>
    <w:rsid w:val="009D0806"/>
    <w:rsid w:val="009D08A3"/>
    <w:rsid w:val="009D08CE"/>
    <w:rsid w:val="009D08EA"/>
    <w:rsid w:val="009D0B17"/>
    <w:rsid w:val="009D0CC9"/>
    <w:rsid w:val="009D0EA4"/>
    <w:rsid w:val="009D0F3E"/>
    <w:rsid w:val="009D0FB4"/>
    <w:rsid w:val="009D106D"/>
    <w:rsid w:val="009D1335"/>
    <w:rsid w:val="009D13BC"/>
    <w:rsid w:val="009D1982"/>
    <w:rsid w:val="009D1B83"/>
    <w:rsid w:val="009D1D0B"/>
    <w:rsid w:val="009D1E22"/>
    <w:rsid w:val="009D2425"/>
    <w:rsid w:val="009D25BC"/>
    <w:rsid w:val="009D278E"/>
    <w:rsid w:val="009D27DF"/>
    <w:rsid w:val="009D27E9"/>
    <w:rsid w:val="009D27EA"/>
    <w:rsid w:val="009D28DE"/>
    <w:rsid w:val="009D2A05"/>
    <w:rsid w:val="009D2E42"/>
    <w:rsid w:val="009D30F2"/>
    <w:rsid w:val="009D34FF"/>
    <w:rsid w:val="009D3680"/>
    <w:rsid w:val="009D378C"/>
    <w:rsid w:val="009D383F"/>
    <w:rsid w:val="009D387C"/>
    <w:rsid w:val="009D38A4"/>
    <w:rsid w:val="009D38CC"/>
    <w:rsid w:val="009D38E7"/>
    <w:rsid w:val="009D407D"/>
    <w:rsid w:val="009D4137"/>
    <w:rsid w:val="009D4170"/>
    <w:rsid w:val="009D4235"/>
    <w:rsid w:val="009D426A"/>
    <w:rsid w:val="009D431B"/>
    <w:rsid w:val="009D43F7"/>
    <w:rsid w:val="009D4529"/>
    <w:rsid w:val="009D494E"/>
    <w:rsid w:val="009D49C2"/>
    <w:rsid w:val="009D4C72"/>
    <w:rsid w:val="009D4D4E"/>
    <w:rsid w:val="009D4DCE"/>
    <w:rsid w:val="009D534C"/>
    <w:rsid w:val="009D5377"/>
    <w:rsid w:val="009D5597"/>
    <w:rsid w:val="009D5678"/>
    <w:rsid w:val="009D5E71"/>
    <w:rsid w:val="009D603C"/>
    <w:rsid w:val="009D605C"/>
    <w:rsid w:val="009D60BC"/>
    <w:rsid w:val="009D631D"/>
    <w:rsid w:val="009D655B"/>
    <w:rsid w:val="009D676F"/>
    <w:rsid w:val="009D6CB5"/>
    <w:rsid w:val="009D6E8F"/>
    <w:rsid w:val="009D6F1A"/>
    <w:rsid w:val="009D7571"/>
    <w:rsid w:val="009D7B12"/>
    <w:rsid w:val="009E0477"/>
    <w:rsid w:val="009E05EA"/>
    <w:rsid w:val="009E0A55"/>
    <w:rsid w:val="009E0BA2"/>
    <w:rsid w:val="009E0CB1"/>
    <w:rsid w:val="009E0DAE"/>
    <w:rsid w:val="009E100C"/>
    <w:rsid w:val="009E10F9"/>
    <w:rsid w:val="009E11F8"/>
    <w:rsid w:val="009E154F"/>
    <w:rsid w:val="009E17A4"/>
    <w:rsid w:val="009E1B4A"/>
    <w:rsid w:val="009E1C1F"/>
    <w:rsid w:val="009E1E5F"/>
    <w:rsid w:val="009E1FD7"/>
    <w:rsid w:val="009E20C0"/>
    <w:rsid w:val="009E2137"/>
    <w:rsid w:val="009E21ED"/>
    <w:rsid w:val="009E2390"/>
    <w:rsid w:val="009E23E8"/>
    <w:rsid w:val="009E24FD"/>
    <w:rsid w:val="009E25BC"/>
    <w:rsid w:val="009E2812"/>
    <w:rsid w:val="009E290F"/>
    <w:rsid w:val="009E2DA4"/>
    <w:rsid w:val="009E304D"/>
    <w:rsid w:val="009E337E"/>
    <w:rsid w:val="009E368A"/>
    <w:rsid w:val="009E386B"/>
    <w:rsid w:val="009E388F"/>
    <w:rsid w:val="009E3AE5"/>
    <w:rsid w:val="009E3FF5"/>
    <w:rsid w:val="009E407D"/>
    <w:rsid w:val="009E45CE"/>
    <w:rsid w:val="009E4804"/>
    <w:rsid w:val="009E482F"/>
    <w:rsid w:val="009E485B"/>
    <w:rsid w:val="009E4A3E"/>
    <w:rsid w:val="009E4A62"/>
    <w:rsid w:val="009E4A87"/>
    <w:rsid w:val="009E4B09"/>
    <w:rsid w:val="009E4B13"/>
    <w:rsid w:val="009E4B41"/>
    <w:rsid w:val="009E4BD6"/>
    <w:rsid w:val="009E4C60"/>
    <w:rsid w:val="009E4CF7"/>
    <w:rsid w:val="009E4DA5"/>
    <w:rsid w:val="009E4EF6"/>
    <w:rsid w:val="009E5009"/>
    <w:rsid w:val="009E5013"/>
    <w:rsid w:val="009E5084"/>
    <w:rsid w:val="009E566D"/>
    <w:rsid w:val="009E57AD"/>
    <w:rsid w:val="009E58BE"/>
    <w:rsid w:val="009E5CD7"/>
    <w:rsid w:val="009E5D01"/>
    <w:rsid w:val="009E5EED"/>
    <w:rsid w:val="009E61A9"/>
    <w:rsid w:val="009E6274"/>
    <w:rsid w:val="009E6281"/>
    <w:rsid w:val="009E63D2"/>
    <w:rsid w:val="009E6540"/>
    <w:rsid w:val="009E6544"/>
    <w:rsid w:val="009E65E4"/>
    <w:rsid w:val="009E6682"/>
    <w:rsid w:val="009E67F5"/>
    <w:rsid w:val="009E68DC"/>
    <w:rsid w:val="009E6F3F"/>
    <w:rsid w:val="009E7007"/>
    <w:rsid w:val="009E70D3"/>
    <w:rsid w:val="009E7100"/>
    <w:rsid w:val="009E7345"/>
    <w:rsid w:val="009E73F4"/>
    <w:rsid w:val="009E74B8"/>
    <w:rsid w:val="009E74EC"/>
    <w:rsid w:val="009E753F"/>
    <w:rsid w:val="009E76D0"/>
    <w:rsid w:val="009E77A7"/>
    <w:rsid w:val="009E7A85"/>
    <w:rsid w:val="009E7AE0"/>
    <w:rsid w:val="009E7CFD"/>
    <w:rsid w:val="009E7FFE"/>
    <w:rsid w:val="009F0080"/>
    <w:rsid w:val="009F056D"/>
    <w:rsid w:val="009F064F"/>
    <w:rsid w:val="009F06B0"/>
    <w:rsid w:val="009F0903"/>
    <w:rsid w:val="009F0C4B"/>
    <w:rsid w:val="009F0E06"/>
    <w:rsid w:val="009F0E90"/>
    <w:rsid w:val="009F10B8"/>
    <w:rsid w:val="009F1346"/>
    <w:rsid w:val="009F139A"/>
    <w:rsid w:val="009F13B0"/>
    <w:rsid w:val="009F145A"/>
    <w:rsid w:val="009F15B6"/>
    <w:rsid w:val="009F187D"/>
    <w:rsid w:val="009F27FA"/>
    <w:rsid w:val="009F2997"/>
    <w:rsid w:val="009F29AA"/>
    <w:rsid w:val="009F2C85"/>
    <w:rsid w:val="009F2D89"/>
    <w:rsid w:val="009F35BF"/>
    <w:rsid w:val="009F3B39"/>
    <w:rsid w:val="009F3CFD"/>
    <w:rsid w:val="009F3EA4"/>
    <w:rsid w:val="009F411C"/>
    <w:rsid w:val="009F4244"/>
    <w:rsid w:val="009F42DD"/>
    <w:rsid w:val="009F44F3"/>
    <w:rsid w:val="009F4793"/>
    <w:rsid w:val="009F4CE9"/>
    <w:rsid w:val="009F4D96"/>
    <w:rsid w:val="009F4FA8"/>
    <w:rsid w:val="009F50CD"/>
    <w:rsid w:val="009F5148"/>
    <w:rsid w:val="009F5338"/>
    <w:rsid w:val="009F5400"/>
    <w:rsid w:val="009F54B6"/>
    <w:rsid w:val="009F55A7"/>
    <w:rsid w:val="009F57E3"/>
    <w:rsid w:val="009F5942"/>
    <w:rsid w:val="009F59A4"/>
    <w:rsid w:val="009F6015"/>
    <w:rsid w:val="009F6027"/>
    <w:rsid w:val="009F604C"/>
    <w:rsid w:val="009F6372"/>
    <w:rsid w:val="009F6579"/>
    <w:rsid w:val="009F65BF"/>
    <w:rsid w:val="009F66DA"/>
    <w:rsid w:val="009F681C"/>
    <w:rsid w:val="009F69D1"/>
    <w:rsid w:val="009F6A31"/>
    <w:rsid w:val="009F6A3E"/>
    <w:rsid w:val="009F6CA7"/>
    <w:rsid w:val="009F6D2D"/>
    <w:rsid w:val="009F7219"/>
    <w:rsid w:val="009F7684"/>
    <w:rsid w:val="009F7755"/>
    <w:rsid w:val="009F782F"/>
    <w:rsid w:val="009F7A98"/>
    <w:rsid w:val="009F7AD1"/>
    <w:rsid w:val="009F7BD2"/>
    <w:rsid w:val="009F7E94"/>
    <w:rsid w:val="009F7EBF"/>
    <w:rsid w:val="00A0010E"/>
    <w:rsid w:val="00A00453"/>
    <w:rsid w:val="00A005F7"/>
    <w:rsid w:val="00A00791"/>
    <w:rsid w:val="00A00857"/>
    <w:rsid w:val="00A00A39"/>
    <w:rsid w:val="00A00AD4"/>
    <w:rsid w:val="00A00DD1"/>
    <w:rsid w:val="00A00E0E"/>
    <w:rsid w:val="00A00EC2"/>
    <w:rsid w:val="00A0104A"/>
    <w:rsid w:val="00A010AE"/>
    <w:rsid w:val="00A010BC"/>
    <w:rsid w:val="00A01563"/>
    <w:rsid w:val="00A0166B"/>
    <w:rsid w:val="00A0191A"/>
    <w:rsid w:val="00A01946"/>
    <w:rsid w:val="00A01A37"/>
    <w:rsid w:val="00A01BB0"/>
    <w:rsid w:val="00A01DBA"/>
    <w:rsid w:val="00A01FA6"/>
    <w:rsid w:val="00A02398"/>
    <w:rsid w:val="00A0242A"/>
    <w:rsid w:val="00A0252E"/>
    <w:rsid w:val="00A02644"/>
    <w:rsid w:val="00A028E9"/>
    <w:rsid w:val="00A02A2F"/>
    <w:rsid w:val="00A02E1F"/>
    <w:rsid w:val="00A030C0"/>
    <w:rsid w:val="00A03151"/>
    <w:rsid w:val="00A03243"/>
    <w:rsid w:val="00A033F2"/>
    <w:rsid w:val="00A03511"/>
    <w:rsid w:val="00A03673"/>
    <w:rsid w:val="00A03830"/>
    <w:rsid w:val="00A03992"/>
    <w:rsid w:val="00A03ACB"/>
    <w:rsid w:val="00A03F82"/>
    <w:rsid w:val="00A0400E"/>
    <w:rsid w:val="00A040D4"/>
    <w:rsid w:val="00A04275"/>
    <w:rsid w:val="00A0433B"/>
    <w:rsid w:val="00A04353"/>
    <w:rsid w:val="00A04855"/>
    <w:rsid w:val="00A048F6"/>
    <w:rsid w:val="00A0498A"/>
    <w:rsid w:val="00A04A58"/>
    <w:rsid w:val="00A04A79"/>
    <w:rsid w:val="00A04D0E"/>
    <w:rsid w:val="00A051EC"/>
    <w:rsid w:val="00A0525B"/>
    <w:rsid w:val="00A052DC"/>
    <w:rsid w:val="00A05344"/>
    <w:rsid w:val="00A054EE"/>
    <w:rsid w:val="00A0551A"/>
    <w:rsid w:val="00A05821"/>
    <w:rsid w:val="00A05846"/>
    <w:rsid w:val="00A060E5"/>
    <w:rsid w:val="00A06246"/>
    <w:rsid w:val="00A0636C"/>
    <w:rsid w:val="00A064B4"/>
    <w:rsid w:val="00A06513"/>
    <w:rsid w:val="00A06589"/>
    <w:rsid w:val="00A065E3"/>
    <w:rsid w:val="00A068AD"/>
    <w:rsid w:val="00A06D87"/>
    <w:rsid w:val="00A07029"/>
    <w:rsid w:val="00A070F3"/>
    <w:rsid w:val="00A07103"/>
    <w:rsid w:val="00A071E4"/>
    <w:rsid w:val="00A0733F"/>
    <w:rsid w:val="00A073E9"/>
    <w:rsid w:val="00A076CB"/>
    <w:rsid w:val="00A077E4"/>
    <w:rsid w:val="00A078BF"/>
    <w:rsid w:val="00A079E8"/>
    <w:rsid w:val="00A07AF5"/>
    <w:rsid w:val="00A07B78"/>
    <w:rsid w:val="00A07C0F"/>
    <w:rsid w:val="00A07CB4"/>
    <w:rsid w:val="00A07D32"/>
    <w:rsid w:val="00A07DD1"/>
    <w:rsid w:val="00A100A1"/>
    <w:rsid w:val="00A102FF"/>
    <w:rsid w:val="00A1036D"/>
    <w:rsid w:val="00A1072D"/>
    <w:rsid w:val="00A10AD5"/>
    <w:rsid w:val="00A10BAA"/>
    <w:rsid w:val="00A10BF2"/>
    <w:rsid w:val="00A10C6E"/>
    <w:rsid w:val="00A10EEB"/>
    <w:rsid w:val="00A10EF1"/>
    <w:rsid w:val="00A10FA0"/>
    <w:rsid w:val="00A10FDB"/>
    <w:rsid w:val="00A11158"/>
    <w:rsid w:val="00A11195"/>
    <w:rsid w:val="00A1132A"/>
    <w:rsid w:val="00A11843"/>
    <w:rsid w:val="00A11955"/>
    <w:rsid w:val="00A12223"/>
    <w:rsid w:val="00A1225F"/>
    <w:rsid w:val="00A123AF"/>
    <w:rsid w:val="00A1242C"/>
    <w:rsid w:val="00A12A35"/>
    <w:rsid w:val="00A12C3F"/>
    <w:rsid w:val="00A12D5E"/>
    <w:rsid w:val="00A12F6D"/>
    <w:rsid w:val="00A13107"/>
    <w:rsid w:val="00A13184"/>
    <w:rsid w:val="00A131BB"/>
    <w:rsid w:val="00A131E9"/>
    <w:rsid w:val="00A13822"/>
    <w:rsid w:val="00A1385B"/>
    <w:rsid w:val="00A139C5"/>
    <w:rsid w:val="00A13A4D"/>
    <w:rsid w:val="00A13B06"/>
    <w:rsid w:val="00A13BA0"/>
    <w:rsid w:val="00A13CA9"/>
    <w:rsid w:val="00A13DA3"/>
    <w:rsid w:val="00A13E21"/>
    <w:rsid w:val="00A13E4B"/>
    <w:rsid w:val="00A13F52"/>
    <w:rsid w:val="00A13F9B"/>
    <w:rsid w:val="00A1408F"/>
    <w:rsid w:val="00A14299"/>
    <w:rsid w:val="00A14554"/>
    <w:rsid w:val="00A1455D"/>
    <w:rsid w:val="00A1495D"/>
    <w:rsid w:val="00A14C0B"/>
    <w:rsid w:val="00A14DEF"/>
    <w:rsid w:val="00A14E19"/>
    <w:rsid w:val="00A14E2D"/>
    <w:rsid w:val="00A15132"/>
    <w:rsid w:val="00A15180"/>
    <w:rsid w:val="00A153EE"/>
    <w:rsid w:val="00A1556F"/>
    <w:rsid w:val="00A15868"/>
    <w:rsid w:val="00A15A26"/>
    <w:rsid w:val="00A15BAB"/>
    <w:rsid w:val="00A15F95"/>
    <w:rsid w:val="00A16147"/>
    <w:rsid w:val="00A162CC"/>
    <w:rsid w:val="00A16308"/>
    <w:rsid w:val="00A1645B"/>
    <w:rsid w:val="00A164ED"/>
    <w:rsid w:val="00A166DD"/>
    <w:rsid w:val="00A16791"/>
    <w:rsid w:val="00A16A97"/>
    <w:rsid w:val="00A16AE7"/>
    <w:rsid w:val="00A16DC7"/>
    <w:rsid w:val="00A1707D"/>
    <w:rsid w:val="00A172A3"/>
    <w:rsid w:val="00A172F6"/>
    <w:rsid w:val="00A17386"/>
    <w:rsid w:val="00A177B1"/>
    <w:rsid w:val="00A177D3"/>
    <w:rsid w:val="00A179D0"/>
    <w:rsid w:val="00A17A3B"/>
    <w:rsid w:val="00A17BB6"/>
    <w:rsid w:val="00A17BFD"/>
    <w:rsid w:val="00A17E6C"/>
    <w:rsid w:val="00A17E7D"/>
    <w:rsid w:val="00A17FA4"/>
    <w:rsid w:val="00A20017"/>
    <w:rsid w:val="00A201C4"/>
    <w:rsid w:val="00A204A3"/>
    <w:rsid w:val="00A204D2"/>
    <w:rsid w:val="00A209E8"/>
    <w:rsid w:val="00A20AA3"/>
    <w:rsid w:val="00A20FD6"/>
    <w:rsid w:val="00A21291"/>
    <w:rsid w:val="00A21347"/>
    <w:rsid w:val="00A2148A"/>
    <w:rsid w:val="00A218FD"/>
    <w:rsid w:val="00A21C3F"/>
    <w:rsid w:val="00A21CC6"/>
    <w:rsid w:val="00A2222D"/>
    <w:rsid w:val="00A229E3"/>
    <w:rsid w:val="00A22A2D"/>
    <w:rsid w:val="00A22A81"/>
    <w:rsid w:val="00A23076"/>
    <w:rsid w:val="00A2320F"/>
    <w:rsid w:val="00A23483"/>
    <w:rsid w:val="00A236A6"/>
    <w:rsid w:val="00A23763"/>
    <w:rsid w:val="00A23D69"/>
    <w:rsid w:val="00A2414F"/>
    <w:rsid w:val="00A24285"/>
    <w:rsid w:val="00A24456"/>
    <w:rsid w:val="00A2459B"/>
    <w:rsid w:val="00A24A65"/>
    <w:rsid w:val="00A24E32"/>
    <w:rsid w:val="00A24F4E"/>
    <w:rsid w:val="00A25146"/>
    <w:rsid w:val="00A258EA"/>
    <w:rsid w:val="00A2597B"/>
    <w:rsid w:val="00A259BC"/>
    <w:rsid w:val="00A25AF7"/>
    <w:rsid w:val="00A25C06"/>
    <w:rsid w:val="00A25E33"/>
    <w:rsid w:val="00A26122"/>
    <w:rsid w:val="00A2616F"/>
    <w:rsid w:val="00A26454"/>
    <w:rsid w:val="00A2660A"/>
    <w:rsid w:val="00A26662"/>
    <w:rsid w:val="00A266D0"/>
    <w:rsid w:val="00A26884"/>
    <w:rsid w:val="00A269DC"/>
    <w:rsid w:val="00A269DE"/>
    <w:rsid w:val="00A26E0A"/>
    <w:rsid w:val="00A270F7"/>
    <w:rsid w:val="00A27147"/>
    <w:rsid w:val="00A27642"/>
    <w:rsid w:val="00A27AE8"/>
    <w:rsid w:val="00A27EFE"/>
    <w:rsid w:val="00A27F68"/>
    <w:rsid w:val="00A27F8A"/>
    <w:rsid w:val="00A30151"/>
    <w:rsid w:val="00A303A2"/>
    <w:rsid w:val="00A308B5"/>
    <w:rsid w:val="00A30924"/>
    <w:rsid w:val="00A30988"/>
    <w:rsid w:val="00A309BB"/>
    <w:rsid w:val="00A30A74"/>
    <w:rsid w:val="00A30AF6"/>
    <w:rsid w:val="00A30C01"/>
    <w:rsid w:val="00A30C28"/>
    <w:rsid w:val="00A30C8F"/>
    <w:rsid w:val="00A3108C"/>
    <w:rsid w:val="00A317AC"/>
    <w:rsid w:val="00A31904"/>
    <w:rsid w:val="00A319F4"/>
    <w:rsid w:val="00A319FB"/>
    <w:rsid w:val="00A31A9F"/>
    <w:rsid w:val="00A31E42"/>
    <w:rsid w:val="00A31FCE"/>
    <w:rsid w:val="00A321AC"/>
    <w:rsid w:val="00A321C5"/>
    <w:rsid w:val="00A321E8"/>
    <w:rsid w:val="00A3220F"/>
    <w:rsid w:val="00A322A9"/>
    <w:rsid w:val="00A323F0"/>
    <w:rsid w:val="00A32589"/>
    <w:rsid w:val="00A3264F"/>
    <w:rsid w:val="00A327EB"/>
    <w:rsid w:val="00A3282C"/>
    <w:rsid w:val="00A32889"/>
    <w:rsid w:val="00A3293F"/>
    <w:rsid w:val="00A32A93"/>
    <w:rsid w:val="00A332A1"/>
    <w:rsid w:val="00A33447"/>
    <w:rsid w:val="00A3384C"/>
    <w:rsid w:val="00A339A5"/>
    <w:rsid w:val="00A33B0A"/>
    <w:rsid w:val="00A33D62"/>
    <w:rsid w:val="00A33EB0"/>
    <w:rsid w:val="00A34011"/>
    <w:rsid w:val="00A341FD"/>
    <w:rsid w:val="00A34211"/>
    <w:rsid w:val="00A3443B"/>
    <w:rsid w:val="00A34489"/>
    <w:rsid w:val="00A346F8"/>
    <w:rsid w:val="00A3492C"/>
    <w:rsid w:val="00A34B04"/>
    <w:rsid w:val="00A3514D"/>
    <w:rsid w:val="00A35335"/>
    <w:rsid w:val="00A355B6"/>
    <w:rsid w:val="00A356AB"/>
    <w:rsid w:val="00A3585D"/>
    <w:rsid w:val="00A35D26"/>
    <w:rsid w:val="00A35E20"/>
    <w:rsid w:val="00A3610C"/>
    <w:rsid w:val="00A363A1"/>
    <w:rsid w:val="00A365A3"/>
    <w:rsid w:val="00A365F6"/>
    <w:rsid w:val="00A36718"/>
    <w:rsid w:val="00A36871"/>
    <w:rsid w:val="00A36C66"/>
    <w:rsid w:val="00A36DDE"/>
    <w:rsid w:val="00A36F3C"/>
    <w:rsid w:val="00A36F6B"/>
    <w:rsid w:val="00A36FD3"/>
    <w:rsid w:val="00A37298"/>
    <w:rsid w:val="00A372B2"/>
    <w:rsid w:val="00A373BB"/>
    <w:rsid w:val="00A37939"/>
    <w:rsid w:val="00A37953"/>
    <w:rsid w:val="00A37958"/>
    <w:rsid w:val="00A37FAE"/>
    <w:rsid w:val="00A4019E"/>
    <w:rsid w:val="00A40303"/>
    <w:rsid w:val="00A404A2"/>
    <w:rsid w:val="00A40578"/>
    <w:rsid w:val="00A4072B"/>
    <w:rsid w:val="00A40771"/>
    <w:rsid w:val="00A409F4"/>
    <w:rsid w:val="00A40A10"/>
    <w:rsid w:val="00A40EBA"/>
    <w:rsid w:val="00A41056"/>
    <w:rsid w:val="00A41496"/>
    <w:rsid w:val="00A4167C"/>
    <w:rsid w:val="00A416B5"/>
    <w:rsid w:val="00A419F3"/>
    <w:rsid w:val="00A41C45"/>
    <w:rsid w:val="00A41CDC"/>
    <w:rsid w:val="00A41DC7"/>
    <w:rsid w:val="00A41FC0"/>
    <w:rsid w:val="00A42188"/>
    <w:rsid w:val="00A4234A"/>
    <w:rsid w:val="00A42517"/>
    <w:rsid w:val="00A42798"/>
    <w:rsid w:val="00A42A2C"/>
    <w:rsid w:val="00A42BF4"/>
    <w:rsid w:val="00A42D63"/>
    <w:rsid w:val="00A42E97"/>
    <w:rsid w:val="00A42EA5"/>
    <w:rsid w:val="00A43041"/>
    <w:rsid w:val="00A430F6"/>
    <w:rsid w:val="00A43236"/>
    <w:rsid w:val="00A43284"/>
    <w:rsid w:val="00A433F7"/>
    <w:rsid w:val="00A43442"/>
    <w:rsid w:val="00A43750"/>
    <w:rsid w:val="00A437E4"/>
    <w:rsid w:val="00A4381B"/>
    <w:rsid w:val="00A43843"/>
    <w:rsid w:val="00A43A77"/>
    <w:rsid w:val="00A43BB6"/>
    <w:rsid w:val="00A440DA"/>
    <w:rsid w:val="00A441A3"/>
    <w:rsid w:val="00A443DE"/>
    <w:rsid w:val="00A44A7C"/>
    <w:rsid w:val="00A44C09"/>
    <w:rsid w:val="00A44E4D"/>
    <w:rsid w:val="00A44F1B"/>
    <w:rsid w:val="00A44FBF"/>
    <w:rsid w:val="00A45415"/>
    <w:rsid w:val="00A454A9"/>
    <w:rsid w:val="00A4556A"/>
    <w:rsid w:val="00A45634"/>
    <w:rsid w:val="00A45801"/>
    <w:rsid w:val="00A459E5"/>
    <w:rsid w:val="00A45FBE"/>
    <w:rsid w:val="00A46026"/>
    <w:rsid w:val="00A46098"/>
    <w:rsid w:val="00A460BA"/>
    <w:rsid w:val="00A46210"/>
    <w:rsid w:val="00A465A7"/>
    <w:rsid w:val="00A467FD"/>
    <w:rsid w:val="00A46920"/>
    <w:rsid w:val="00A46BC1"/>
    <w:rsid w:val="00A46D45"/>
    <w:rsid w:val="00A46F10"/>
    <w:rsid w:val="00A46FE7"/>
    <w:rsid w:val="00A470A6"/>
    <w:rsid w:val="00A47376"/>
    <w:rsid w:val="00A473A8"/>
    <w:rsid w:val="00A4748E"/>
    <w:rsid w:val="00A476C4"/>
    <w:rsid w:val="00A478A2"/>
    <w:rsid w:val="00A47A27"/>
    <w:rsid w:val="00A47B08"/>
    <w:rsid w:val="00A47CC4"/>
    <w:rsid w:val="00A47F78"/>
    <w:rsid w:val="00A5012B"/>
    <w:rsid w:val="00A501A3"/>
    <w:rsid w:val="00A50227"/>
    <w:rsid w:val="00A50633"/>
    <w:rsid w:val="00A5074C"/>
    <w:rsid w:val="00A5083C"/>
    <w:rsid w:val="00A50884"/>
    <w:rsid w:val="00A5095F"/>
    <w:rsid w:val="00A50B9C"/>
    <w:rsid w:val="00A50F7F"/>
    <w:rsid w:val="00A50FB4"/>
    <w:rsid w:val="00A512B1"/>
    <w:rsid w:val="00A5143B"/>
    <w:rsid w:val="00A51480"/>
    <w:rsid w:val="00A51691"/>
    <w:rsid w:val="00A517A9"/>
    <w:rsid w:val="00A519E8"/>
    <w:rsid w:val="00A51FF0"/>
    <w:rsid w:val="00A523FD"/>
    <w:rsid w:val="00A525CC"/>
    <w:rsid w:val="00A526C2"/>
    <w:rsid w:val="00A52867"/>
    <w:rsid w:val="00A52898"/>
    <w:rsid w:val="00A528FB"/>
    <w:rsid w:val="00A52ACC"/>
    <w:rsid w:val="00A52D42"/>
    <w:rsid w:val="00A53066"/>
    <w:rsid w:val="00A53309"/>
    <w:rsid w:val="00A533A2"/>
    <w:rsid w:val="00A53726"/>
    <w:rsid w:val="00A539E9"/>
    <w:rsid w:val="00A53AC9"/>
    <w:rsid w:val="00A54095"/>
    <w:rsid w:val="00A547EE"/>
    <w:rsid w:val="00A54849"/>
    <w:rsid w:val="00A5488A"/>
    <w:rsid w:val="00A550BD"/>
    <w:rsid w:val="00A550C0"/>
    <w:rsid w:val="00A55244"/>
    <w:rsid w:val="00A552CD"/>
    <w:rsid w:val="00A55530"/>
    <w:rsid w:val="00A556E6"/>
    <w:rsid w:val="00A557C2"/>
    <w:rsid w:val="00A558C0"/>
    <w:rsid w:val="00A55DC3"/>
    <w:rsid w:val="00A56187"/>
    <w:rsid w:val="00A5670B"/>
    <w:rsid w:val="00A5698C"/>
    <w:rsid w:val="00A56AE3"/>
    <w:rsid w:val="00A56C04"/>
    <w:rsid w:val="00A57242"/>
    <w:rsid w:val="00A572A8"/>
    <w:rsid w:val="00A574AD"/>
    <w:rsid w:val="00A5756B"/>
    <w:rsid w:val="00A57987"/>
    <w:rsid w:val="00A57F35"/>
    <w:rsid w:val="00A60916"/>
    <w:rsid w:val="00A60CC3"/>
    <w:rsid w:val="00A60E8D"/>
    <w:rsid w:val="00A6109A"/>
    <w:rsid w:val="00A611A0"/>
    <w:rsid w:val="00A61241"/>
    <w:rsid w:val="00A61298"/>
    <w:rsid w:val="00A6139E"/>
    <w:rsid w:val="00A618FD"/>
    <w:rsid w:val="00A623E8"/>
    <w:rsid w:val="00A625B2"/>
    <w:rsid w:val="00A62B21"/>
    <w:rsid w:val="00A62B7F"/>
    <w:rsid w:val="00A632F7"/>
    <w:rsid w:val="00A6336B"/>
    <w:rsid w:val="00A6384E"/>
    <w:rsid w:val="00A638E4"/>
    <w:rsid w:val="00A63E2E"/>
    <w:rsid w:val="00A63E4A"/>
    <w:rsid w:val="00A64392"/>
    <w:rsid w:val="00A64533"/>
    <w:rsid w:val="00A646E8"/>
    <w:rsid w:val="00A64719"/>
    <w:rsid w:val="00A64B48"/>
    <w:rsid w:val="00A64F7E"/>
    <w:rsid w:val="00A6523C"/>
    <w:rsid w:val="00A6525C"/>
    <w:rsid w:val="00A65404"/>
    <w:rsid w:val="00A65499"/>
    <w:rsid w:val="00A65947"/>
    <w:rsid w:val="00A659D3"/>
    <w:rsid w:val="00A65BB4"/>
    <w:rsid w:val="00A65C64"/>
    <w:rsid w:val="00A65C90"/>
    <w:rsid w:val="00A65D07"/>
    <w:rsid w:val="00A65F6F"/>
    <w:rsid w:val="00A65F7D"/>
    <w:rsid w:val="00A66113"/>
    <w:rsid w:val="00A6619B"/>
    <w:rsid w:val="00A6633E"/>
    <w:rsid w:val="00A66419"/>
    <w:rsid w:val="00A666B9"/>
    <w:rsid w:val="00A66738"/>
    <w:rsid w:val="00A667DF"/>
    <w:rsid w:val="00A66A15"/>
    <w:rsid w:val="00A66AFA"/>
    <w:rsid w:val="00A66C0B"/>
    <w:rsid w:val="00A66CBA"/>
    <w:rsid w:val="00A66F37"/>
    <w:rsid w:val="00A66FE5"/>
    <w:rsid w:val="00A67144"/>
    <w:rsid w:val="00A674FE"/>
    <w:rsid w:val="00A678B2"/>
    <w:rsid w:val="00A67AD2"/>
    <w:rsid w:val="00A67B07"/>
    <w:rsid w:val="00A67F2E"/>
    <w:rsid w:val="00A67F6D"/>
    <w:rsid w:val="00A67FD7"/>
    <w:rsid w:val="00A70122"/>
    <w:rsid w:val="00A70172"/>
    <w:rsid w:val="00A70273"/>
    <w:rsid w:val="00A70521"/>
    <w:rsid w:val="00A70573"/>
    <w:rsid w:val="00A7079C"/>
    <w:rsid w:val="00A708C4"/>
    <w:rsid w:val="00A708FC"/>
    <w:rsid w:val="00A709ED"/>
    <w:rsid w:val="00A70A7B"/>
    <w:rsid w:val="00A70AFF"/>
    <w:rsid w:val="00A70B43"/>
    <w:rsid w:val="00A70B7C"/>
    <w:rsid w:val="00A70CA5"/>
    <w:rsid w:val="00A70DC1"/>
    <w:rsid w:val="00A7129F"/>
    <w:rsid w:val="00A714E1"/>
    <w:rsid w:val="00A7176F"/>
    <w:rsid w:val="00A71C6E"/>
    <w:rsid w:val="00A71FAC"/>
    <w:rsid w:val="00A72725"/>
    <w:rsid w:val="00A72803"/>
    <w:rsid w:val="00A729C1"/>
    <w:rsid w:val="00A72B47"/>
    <w:rsid w:val="00A72CED"/>
    <w:rsid w:val="00A72E88"/>
    <w:rsid w:val="00A72F09"/>
    <w:rsid w:val="00A73236"/>
    <w:rsid w:val="00A735EF"/>
    <w:rsid w:val="00A736A6"/>
    <w:rsid w:val="00A73706"/>
    <w:rsid w:val="00A73880"/>
    <w:rsid w:val="00A73B40"/>
    <w:rsid w:val="00A73EA8"/>
    <w:rsid w:val="00A73FD2"/>
    <w:rsid w:val="00A74175"/>
    <w:rsid w:val="00A7431F"/>
    <w:rsid w:val="00A74393"/>
    <w:rsid w:val="00A749B5"/>
    <w:rsid w:val="00A749BD"/>
    <w:rsid w:val="00A74C0C"/>
    <w:rsid w:val="00A74D79"/>
    <w:rsid w:val="00A74E6A"/>
    <w:rsid w:val="00A750F3"/>
    <w:rsid w:val="00A75165"/>
    <w:rsid w:val="00A7538C"/>
    <w:rsid w:val="00A75682"/>
    <w:rsid w:val="00A75751"/>
    <w:rsid w:val="00A75DCA"/>
    <w:rsid w:val="00A75E37"/>
    <w:rsid w:val="00A760CB"/>
    <w:rsid w:val="00A7648B"/>
    <w:rsid w:val="00A76626"/>
    <w:rsid w:val="00A769B6"/>
    <w:rsid w:val="00A76AF8"/>
    <w:rsid w:val="00A76B5F"/>
    <w:rsid w:val="00A76C56"/>
    <w:rsid w:val="00A76DAF"/>
    <w:rsid w:val="00A76F70"/>
    <w:rsid w:val="00A76FDB"/>
    <w:rsid w:val="00A77444"/>
    <w:rsid w:val="00A775C1"/>
    <w:rsid w:val="00A77660"/>
    <w:rsid w:val="00A7770C"/>
    <w:rsid w:val="00A777EF"/>
    <w:rsid w:val="00A7789F"/>
    <w:rsid w:val="00A778E0"/>
    <w:rsid w:val="00A77B50"/>
    <w:rsid w:val="00A77C1E"/>
    <w:rsid w:val="00A77C93"/>
    <w:rsid w:val="00A77CDE"/>
    <w:rsid w:val="00A801F4"/>
    <w:rsid w:val="00A80351"/>
    <w:rsid w:val="00A8054C"/>
    <w:rsid w:val="00A80569"/>
    <w:rsid w:val="00A80669"/>
    <w:rsid w:val="00A80869"/>
    <w:rsid w:val="00A808F4"/>
    <w:rsid w:val="00A80990"/>
    <w:rsid w:val="00A80C8D"/>
    <w:rsid w:val="00A81127"/>
    <w:rsid w:val="00A8124E"/>
    <w:rsid w:val="00A816FD"/>
    <w:rsid w:val="00A81A7C"/>
    <w:rsid w:val="00A81B47"/>
    <w:rsid w:val="00A81D12"/>
    <w:rsid w:val="00A81DE4"/>
    <w:rsid w:val="00A821F2"/>
    <w:rsid w:val="00A8221D"/>
    <w:rsid w:val="00A823D2"/>
    <w:rsid w:val="00A82461"/>
    <w:rsid w:val="00A824CC"/>
    <w:rsid w:val="00A82734"/>
    <w:rsid w:val="00A8280B"/>
    <w:rsid w:val="00A82934"/>
    <w:rsid w:val="00A829F5"/>
    <w:rsid w:val="00A82D9A"/>
    <w:rsid w:val="00A82EA8"/>
    <w:rsid w:val="00A8302C"/>
    <w:rsid w:val="00A83234"/>
    <w:rsid w:val="00A83731"/>
    <w:rsid w:val="00A838F7"/>
    <w:rsid w:val="00A83A5B"/>
    <w:rsid w:val="00A83B3E"/>
    <w:rsid w:val="00A83D48"/>
    <w:rsid w:val="00A83DBE"/>
    <w:rsid w:val="00A83F46"/>
    <w:rsid w:val="00A84035"/>
    <w:rsid w:val="00A840BA"/>
    <w:rsid w:val="00A8417C"/>
    <w:rsid w:val="00A84325"/>
    <w:rsid w:val="00A843FA"/>
    <w:rsid w:val="00A848CA"/>
    <w:rsid w:val="00A84A5A"/>
    <w:rsid w:val="00A84CDC"/>
    <w:rsid w:val="00A84D09"/>
    <w:rsid w:val="00A85126"/>
    <w:rsid w:val="00A851C8"/>
    <w:rsid w:val="00A851FF"/>
    <w:rsid w:val="00A8525D"/>
    <w:rsid w:val="00A85408"/>
    <w:rsid w:val="00A857D9"/>
    <w:rsid w:val="00A858C9"/>
    <w:rsid w:val="00A85CF6"/>
    <w:rsid w:val="00A85D28"/>
    <w:rsid w:val="00A85E9B"/>
    <w:rsid w:val="00A8604C"/>
    <w:rsid w:val="00A86104"/>
    <w:rsid w:val="00A8631E"/>
    <w:rsid w:val="00A86342"/>
    <w:rsid w:val="00A86408"/>
    <w:rsid w:val="00A8642D"/>
    <w:rsid w:val="00A8647B"/>
    <w:rsid w:val="00A86588"/>
    <w:rsid w:val="00A86B36"/>
    <w:rsid w:val="00A86DAF"/>
    <w:rsid w:val="00A86F22"/>
    <w:rsid w:val="00A870D2"/>
    <w:rsid w:val="00A8732E"/>
    <w:rsid w:val="00A874CB"/>
    <w:rsid w:val="00A87676"/>
    <w:rsid w:val="00A878A2"/>
    <w:rsid w:val="00A87B7F"/>
    <w:rsid w:val="00A87E2F"/>
    <w:rsid w:val="00A90069"/>
    <w:rsid w:val="00A9033D"/>
    <w:rsid w:val="00A90357"/>
    <w:rsid w:val="00A9041D"/>
    <w:rsid w:val="00A9046A"/>
    <w:rsid w:val="00A90CFA"/>
    <w:rsid w:val="00A90DC0"/>
    <w:rsid w:val="00A9163E"/>
    <w:rsid w:val="00A91690"/>
    <w:rsid w:val="00A91848"/>
    <w:rsid w:val="00A91A0D"/>
    <w:rsid w:val="00A91A8F"/>
    <w:rsid w:val="00A91C21"/>
    <w:rsid w:val="00A91C62"/>
    <w:rsid w:val="00A91E69"/>
    <w:rsid w:val="00A91F0F"/>
    <w:rsid w:val="00A92556"/>
    <w:rsid w:val="00A9266A"/>
    <w:rsid w:val="00A926B8"/>
    <w:rsid w:val="00A92956"/>
    <w:rsid w:val="00A92AE6"/>
    <w:rsid w:val="00A92E03"/>
    <w:rsid w:val="00A92E70"/>
    <w:rsid w:val="00A93438"/>
    <w:rsid w:val="00A934C9"/>
    <w:rsid w:val="00A93564"/>
    <w:rsid w:val="00A937A6"/>
    <w:rsid w:val="00A938A3"/>
    <w:rsid w:val="00A93918"/>
    <w:rsid w:val="00A93993"/>
    <w:rsid w:val="00A939AE"/>
    <w:rsid w:val="00A93C71"/>
    <w:rsid w:val="00A93D22"/>
    <w:rsid w:val="00A93E4A"/>
    <w:rsid w:val="00A93E5E"/>
    <w:rsid w:val="00A93E7A"/>
    <w:rsid w:val="00A941A2"/>
    <w:rsid w:val="00A949D8"/>
    <w:rsid w:val="00A94B00"/>
    <w:rsid w:val="00A94CEF"/>
    <w:rsid w:val="00A94E83"/>
    <w:rsid w:val="00A950B7"/>
    <w:rsid w:val="00A95165"/>
    <w:rsid w:val="00A9537C"/>
    <w:rsid w:val="00A95406"/>
    <w:rsid w:val="00A9545E"/>
    <w:rsid w:val="00A9556E"/>
    <w:rsid w:val="00A95A6A"/>
    <w:rsid w:val="00A95B31"/>
    <w:rsid w:val="00A95C62"/>
    <w:rsid w:val="00A96041"/>
    <w:rsid w:val="00A96109"/>
    <w:rsid w:val="00A964CF"/>
    <w:rsid w:val="00A96666"/>
    <w:rsid w:val="00A96CA8"/>
    <w:rsid w:val="00A96D63"/>
    <w:rsid w:val="00A96E5B"/>
    <w:rsid w:val="00A96FA5"/>
    <w:rsid w:val="00A97008"/>
    <w:rsid w:val="00A9743B"/>
    <w:rsid w:val="00A974F9"/>
    <w:rsid w:val="00A9765E"/>
    <w:rsid w:val="00A97BA8"/>
    <w:rsid w:val="00A97CA8"/>
    <w:rsid w:val="00AA01BF"/>
    <w:rsid w:val="00AA0328"/>
    <w:rsid w:val="00AA04D6"/>
    <w:rsid w:val="00AA0803"/>
    <w:rsid w:val="00AA0E16"/>
    <w:rsid w:val="00AA0E33"/>
    <w:rsid w:val="00AA0FF8"/>
    <w:rsid w:val="00AA1251"/>
    <w:rsid w:val="00AA126D"/>
    <w:rsid w:val="00AA147E"/>
    <w:rsid w:val="00AA1B01"/>
    <w:rsid w:val="00AA1B11"/>
    <w:rsid w:val="00AA1BA3"/>
    <w:rsid w:val="00AA1CB6"/>
    <w:rsid w:val="00AA1E68"/>
    <w:rsid w:val="00AA203A"/>
    <w:rsid w:val="00AA21F1"/>
    <w:rsid w:val="00AA234C"/>
    <w:rsid w:val="00AA240C"/>
    <w:rsid w:val="00AA2C7B"/>
    <w:rsid w:val="00AA2E03"/>
    <w:rsid w:val="00AA2E4E"/>
    <w:rsid w:val="00AA3180"/>
    <w:rsid w:val="00AA3225"/>
    <w:rsid w:val="00AA343F"/>
    <w:rsid w:val="00AA34BA"/>
    <w:rsid w:val="00AA3854"/>
    <w:rsid w:val="00AA3A27"/>
    <w:rsid w:val="00AA3A57"/>
    <w:rsid w:val="00AA3AB6"/>
    <w:rsid w:val="00AA3C0A"/>
    <w:rsid w:val="00AA3E6A"/>
    <w:rsid w:val="00AA3F04"/>
    <w:rsid w:val="00AA40AB"/>
    <w:rsid w:val="00AA4296"/>
    <w:rsid w:val="00AA42F2"/>
    <w:rsid w:val="00AA431C"/>
    <w:rsid w:val="00AA44D1"/>
    <w:rsid w:val="00AA45B3"/>
    <w:rsid w:val="00AA46B2"/>
    <w:rsid w:val="00AA4BDC"/>
    <w:rsid w:val="00AA4D59"/>
    <w:rsid w:val="00AA4FC7"/>
    <w:rsid w:val="00AA52E4"/>
    <w:rsid w:val="00AA5398"/>
    <w:rsid w:val="00AA5426"/>
    <w:rsid w:val="00AA543E"/>
    <w:rsid w:val="00AA5694"/>
    <w:rsid w:val="00AA5840"/>
    <w:rsid w:val="00AA58EC"/>
    <w:rsid w:val="00AA5BB7"/>
    <w:rsid w:val="00AA5DDD"/>
    <w:rsid w:val="00AA5F32"/>
    <w:rsid w:val="00AA5FC6"/>
    <w:rsid w:val="00AA5FEA"/>
    <w:rsid w:val="00AA602F"/>
    <w:rsid w:val="00AA6617"/>
    <w:rsid w:val="00AA66DE"/>
    <w:rsid w:val="00AA6831"/>
    <w:rsid w:val="00AA6957"/>
    <w:rsid w:val="00AA6B1F"/>
    <w:rsid w:val="00AA743D"/>
    <w:rsid w:val="00AA766D"/>
    <w:rsid w:val="00AA76A0"/>
    <w:rsid w:val="00AA7C54"/>
    <w:rsid w:val="00AA7E7E"/>
    <w:rsid w:val="00AB009C"/>
    <w:rsid w:val="00AB0240"/>
    <w:rsid w:val="00AB02DC"/>
    <w:rsid w:val="00AB0375"/>
    <w:rsid w:val="00AB05B4"/>
    <w:rsid w:val="00AB06BE"/>
    <w:rsid w:val="00AB0945"/>
    <w:rsid w:val="00AB0A6C"/>
    <w:rsid w:val="00AB0D49"/>
    <w:rsid w:val="00AB0D59"/>
    <w:rsid w:val="00AB0FA1"/>
    <w:rsid w:val="00AB1083"/>
    <w:rsid w:val="00AB10EE"/>
    <w:rsid w:val="00AB134C"/>
    <w:rsid w:val="00AB1360"/>
    <w:rsid w:val="00AB151D"/>
    <w:rsid w:val="00AB1544"/>
    <w:rsid w:val="00AB1B6D"/>
    <w:rsid w:val="00AB1D7C"/>
    <w:rsid w:val="00AB1DE6"/>
    <w:rsid w:val="00AB20D8"/>
    <w:rsid w:val="00AB20EC"/>
    <w:rsid w:val="00AB2302"/>
    <w:rsid w:val="00AB23CD"/>
    <w:rsid w:val="00AB246E"/>
    <w:rsid w:val="00AB2A78"/>
    <w:rsid w:val="00AB338E"/>
    <w:rsid w:val="00AB3464"/>
    <w:rsid w:val="00AB3642"/>
    <w:rsid w:val="00AB3856"/>
    <w:rsid w:val="00AB38DA"/>
    <w:rsid w:val="00AB3AE8"/>
    <w:rsid w:val="00AB3D60"/>
    <w:rsid w:val="00AB3F3B"/>
    <w:rsid w:val="00AB3FF8"/>
    <w:rsid w:val="00AB4602"/>
    <w:rsid w:val="00AB47C9"/>
    <w:rsid w:val="00AB4895"/>
    <w:rsid w:val="00AB48FD"/>
    <w:rsid w:val="00AB4A17"/>
    <w:rsid w:val="00AB4B7A"/>
    <w:rsid w:val="00AB4E1A"/>
    <w:rsid w:val="00AB4E26"/>
    <w:rsid w:val="00AB557A"/>
    <w:rsid w:val="00AB5740"/>
    <w:rsid w:val="00AB5850"/>
    <w:rsid w:val="00AB5A38"/>
    <w:rsid w:val="00AB5AF5"/>
    <w:rsid w:val="00AB5D85"/>
    <w:rsid w:val="00AB5F16"/>
    <w:rsid w:val="00AB60CF"/>
    <w:rsid w:val="00AB60F1"/>
    <w:rsid w:val="00AB637D"/>
    <w:rsid w:val="00AB6632"/>
    <w:rsid w:val="00AB6BA1"/>
    <w:rsid w:val="00AB6CF0"/>
    <w:rsid w:val="00AB6DBD"/>
    <w:rsid w:val="00AB6EE4"/>
    <w:rsid w:val="00AB711F"/>
    <w:rsid w:val="00AB71A6"/>
    <w:rsid w:val="00AB7259"/>
    <w:rsid w:val="00AB76AA"/>
    <w:rsid w:val="00AB77C7"/>
    <w:rsid w:val="00AB7881"/>
    <w:rsid w:val="00AB78C9"/>
    <w:rsid w:val="00AB7942"/>
    <w:rsid w:val="00AB7AA3"/>
    <w:rsid w:val="00AB7BCD"/>
    <w:rsid w:val="00AB7C99"/>
    <w:rsid w:val="00AB7E3B"/>
    <w:rsid w:val="00AC0690"/>
    <w:rsid w:val="00AC0919"/>
    <w:rsid w:val="00AC0D47"/>
    <w:rsid w:val="00AC0D77"/>
    <w:rsid w:val="00AC10DA"/>
    <w:rsid w:val="00AC1274"/>
    <w:rsid w:val="00AC150C"/>
    <w:rsid w:val="00AC15EC"/>
    <w:rsid w:val="00AC1666"/>
    <w:rsid w:val="00AC1827"/>
    <w:rsid w:val="00AC1883"/>
    <w:rsid w:val="00AC1AF1"/>
    <w:rsid w:val="00AC1E29"/>
    <w:rsid w:val="00AC2084"/>
    <w:rsid w:val="00AC2119"/>
    <w:rsid w:val="00AC2560"/>
    <w:rsid w:val="00AC272B"/>
    <w:rsid w:val="00AC272E"/>
    <w:rsid w:val="00AC2BB4"/>
    <w:rsid w:val="00AC2C85"/>
    <w:rsid w:val="00AC2CA8"/>
    <w:rsid w:val="00AC2CC6"/>
    <w:rsid w:val="00AC3161"/>
    <w:rsid w:val="00AC339B"/>
    <w:rsid w:val="00AC3497"/>
    <w:rsid w:val="00AC350A"/>
    <w:rsid w:val="00AC3598"/>
    <w:rsid w:val="00AC3727"/>
    <w:rsid w:val="00AC394D"/>
    <w:rsid w:val="00AC3992"/>
    <w:rsid w:val="00AC3A90"/>
    <w:rsid w:val="00AC3AE1"/>
    <w:rsid w:val="00AC3C7F"/>
    <w:rsid w:val="00AC3DC0"/>
    <w:rsid w:val="00AC4204"/>
    <w:rsid w:val="00AC45D6"/>
    <w:rsid w:val="00AC46F8"/>
    <w:rsid w:val="00AC48E9"/>
    <w:rsid w:val="00AC4A1A"/>
    <w:rsid w:val="00AC4BF5"/>
    <w:rsid w:val="00AC50E9"/>
    <w:rsid w:val="00AC50EC"/>
    <w:rsid w:val="00AC56CE"/>
    <w:rsid w:val="00AC5749"/>
    <w:rsid w:val="00AC581A"/>
    <w:rsid w:val="00AC5847"/>
    <w:rsid w:val="00AC591D"/>
    <w:rsid w:val="00AC5964"/>
    <w:rsid w:val="00AC5B83"/>
    <w:rsid w:val="00AC5D76"/>
    <w:rsid w:val="00AC5E86"/>
    <w:rsid w:val="00AC5ED9"/>
    <w:rsid w:val="00AC6086"/>
    <w:rsid w:val="00AC60BD"/>
    <w:rsid w:val="00AC6124"/>
    <w:rsid w:val="00AC622A"/>
    <w:rsid w:val="00AC678A"/>
    <w:rsid w:val="00AC6A81"/>
    <w:rsid w:val="00AC6A9F"/>
    <w:rsid w:val="00AC6BF7"/>
    <w:rsid w:val="00AC6C22"/>
    <w:rsid w:val="00AC6D80"/>
    <w:rsid w:val="00AC6E66"/>
    <w:rsid w:val="00AC74C2"/>
    <w:rsid w:val="00AC76AE"/>
    <w:rsid w:val="00AC7859"/>
    <w:rsid w:val="00AC7A26"/>
    <w:rsid w:val="00AC7A9E"/>
    <w:rsid w:val="00AC7BFA"/>
    <w:rsid w:val="00AC7C4C"/>
    <w:rsid w:val="00AC7EDC"/>
    <w:rsid w:val="00AC7EE8"/>
    <w:rsid w:val="00AC7F27"/>
    <w:rsid w:val="00AD00AF"/>
    <w:rsid w:val="00AD029A"/>
    <w:rsid w:val="00AD02D7"/>
    <w:rsid w:val="00AD03E5"/>
    <w:rsid w:val="00AD0433"/>
    <w:rsid w:val="00AD0587"/>
    <w:rsid w:val="00AD0817"/>
    <w:rsid w:val="00AD096C"/>
    <w:rsid w:val="00AD0ABB"/>
    <w:rsid w:val="00AD0FB1"/>
    <w:rsid w:val="00AD159F"/>
    <w:rsid w:val="00AD1604"/>
    <w:rsid w:val="00AD170F"/>
    <w:rsid w:val="00AD19D5"/>
    <w:rsid w:val="00AD1AB8"/>
    <w:rsid w:val="00AD1AF9"/>
    <w:rsid w:val="00AD1B2F"/>
    <w:rsid w:val="00AD1D0E"/>
    <w:rsid w:val="00AD1D44"/>
    <w:rsid w:val="00AD1F34"/>
    <w:rsid w:val="00AD20E1"/>
    <w:rsid w:val="00AD2217"/>
    <w:rsid w:val="00AD222C"/>
    <w:rsid w:val="00AD239D"/>
    <w:rsid w:val="00AD23A1"/>
    <w:rsid w:val="00AD23E6"/>
    <w:rsid w:val="00AD2609"/>
    <w:rsid w:val="00AD2B06"/>
    <w:rsid w:val="00AD2B17"/>
    <w:rsid w:val="00AD2BAF"/>
    <w:rsid w:val="00AD3270"/>
    <w:rsid w:val="00AD32D9"/>
    <w:rsid w:val="00AD3391"/>
    <w:rsid w:val="00AD342F"/>
    <w:rsid w:val="00AD35FB"/>
    <w:rsid w:val="00AD39B2"/>
    <w:rsid w:val="00AD3D89"/>
    <w:rsid w:val="00AD3DE9"/>
    <w:rsid w:val="00AD3F2D"/>
    <w:rsid w:val="00AD413A"/>
    <w:rsid w:val="00AD4176"/>
    <w:rsid w:val="00AD417E"/>
    <w:rsid w:val="00AD425C"/>
    <w:rsid w:val="00AD4389"/>
    <w:rsid w:val="00AD463D"/>
    <w:rsid w:val="00AD46DF"/>
    <w:rsid w:val="00AD47AD"/>
    <w:rsid w:val="00AD4828"/>
    <w:rsid w:val="00AD488E"/>
    <w:rsid w:val="00AD48E1"/>
    <w:rsid w:val="00AD49BB"/>
    <w:rsid w:val="00AD5262"/>
    <w:rsid w:val="00AD54BB"/>
    <w:rsid w:val="00AD5558"/>
    <w:rsid w:val="00AD5686"/>
    <w:rsid w:val="00AD56FF"/>
    <w:rsid w:val="00AD5778"/>
    <w:rsid w:val="00AD57AC"/>
    <w:rsid w:val="00AD5915"/>
    <w:rsid w:val="00AD5C79"/>
    <w:rsid w:val="00AD5F93"/>
    <w:rsid w:val="00AD608E"/>
    <w:rsid w:val="00AD60B3"/>
    <w:rsid w:val="00AD61FA"/>
    <w:rsid w:val="00AD6AA1"/>
    <w:rsid w:val="00AD6D9D"/>
    <w:rsid w:val="00AD6E80"/>
    <w:rsid w:val="00AD6E89"/>
    <w:rsid w:val="00AD707F"/>
    <w:rsid w:val="00AD72F9"/>
    <w:rsid w:val="00AD732E"/>
    <w:rsid w:val="00AD74C1"/>
    <w:rsid w:val="00AD75A7"/>
    <w:rsid w:val="00AD7661"/>
    <w:rsid w:val="00AD770F"/>
    <w:rsid w:val="00AD77C2"/>
    <w:rsid w:val="00AD77C6"/>
    <w:rsid w:val="00AD78D6"/>
    <w:rsid w:val="00AD7940"/>
    <w:rsid w:val="00AD7D08"/>
    <w:rsid w:val="00AD7D0A"/>
    <w:rsid w:val="00AD7D10"/>
    <w:rsid w:val="00AE007C"/>
    <w:rsid w:val="00AE0853"/>
    <w:rsid w:val="00AE0AAE"/>
    <w:rsid w:val="00AE0B9F"/>
    <w:rsid w:val="00AE0D53"/>
    <w:rsid w:val="00AE0F50"/>
    <w:rsid w:val="00AE1181"/>
    <w:rsid w:val="00AE130D"/>
    <w:rsid w:val="00AE13BA"/>
    <w:rsid w:val="00AE1967"/>
    <w:rsid w:val="00AE1B18"/>
    <w:rsid w:val="00AE1D03"/>
    <w:rsid w:val="00AE1D3E"/>
    <w:rsid w:val="00AE1FE3"/>
    <w:rsid w:val="00AE20B3"/>
    <w:rsid w:val="00AE2285"/>
    <w:rsid w:val="00AE22B2"/>
    <w:rsid w:val="00AE22E5"/>
    <w:rsid w:val="00AE27E7"/>
    <w:rsid w:val="00AE29C8"/>
    <w:rsid w:val="00AE2B62"/>
    <w:rsid w:val="00AE2D2B"/>
    <w:rsid w:val="00AE2D94"/>
    <w:rsid w:val="00AE2E1B"/>
    <w:rsid w:val="00AE301B"/>
    <w:rsid w:val="00AE36E3"/>
    <w:rsid w:val="00AE383E"/>
    <w:rsid w:val="00AE38AA"/>
    <w:rsid w:val="00AE3BE7"/>
    <w:rsid w:val="00AE411C"/>
    <w:rsid w:val="00AE4163"/>
    <w:rsid w:val="00AE4392"/>
    <w:rsid w:val="00AE46F6"/>
    <w:rsid w:val="00AE471C"/>
    <w:rsid w:val="00AE4998"/>
    <w:rsid w:val="00AE4B1F"/>
    <w:rsid w:val="00AE4EFF"/>
    <w:rsid w:val="00AE52F1"/>
    <w:rsid w:val="00AE55C3"/>
    <w:rsid w:val="00AE56EA"/>
    <w:rsid w:val="00AE5FA5"/>
    <w:rsid w:val="00AE6193"/>
    <w:rsid w:val="00AE6198"/>
    <w:rsid w:val="00AE61E6"/>
    <w:rsid w:val="00AE627F"/>
    <w:rsid w:val="00AE679B"/>
    <w:rsid w:val="00AE699D"/>
    <w:rsid w:val="00AE6B0D"/>
    <w:rsid w:val="00AE6C5A"/>
    <w:rsid w:val="00AE6CF9"/>
    <w:rsid w:val="00AE6E2A"/>
    <w:rsid w:val="00AE6F2B"/>
    <w:rsid w:val="00AE6FF6"/>
    <w:rsid w:val="00AE7544"/>
    <w:rsid w:val="00AE777A"/>
    <w:rsid w:val="00AE788C"/>
    <w:rsid w:val="00AE7A57"/>
    <w:rsid w:val="00AE7BF0"/>
    <w:rsid w:val="00AE7D1A"/>
    <w:rsid w:val="00AE7EB5"/>
    <w:rsid w:val="00AE7F27"/>
    <w:rsid w:val="00AE7F6E"/>
    <w:rsid w:val="00AE7FDF"/>
    <w:rsid w:val="00AE7FE8"/>
    <w:rsid w:val="00AF008D"/>
    <w:rsid w:val="00AF013A"/>
    <w:rsid w:val="00AF0B57"/>
    <w:rsid w:val="00AF0B88"/>
    <w:rsid w:val="00AF115F"/>
    <w:rsid w:val="00AF141B"/>
    <w:rsid w:val="00AF1588"/>
    <w:rsid w:val="00AF15B7"/>
    <w:rsid w:val="00AF1983"/>
    <w:rsid w:val="00AF1AAC"/>
    <w:rsid w:val="00AF1D87"/>
    <w:rsid w:val="00AF20DD"/>
    <w:rsid w:val="00AF21B3"/>
    <w:rsid w:val="00AF2559"/>
    <w:rsid w:val="00AF258B"/>
    <w:rsid w:val="00AF2676"/>
    <w:rsid w:val="00AF270A"/>
    <w:rsid w:val="00AF2B97"/>
    <w:rsid w:val="00AF2D24"/>
    <w:rsid w:val="00AF3025"/>
    <w:rsid w:val="00AF3194"/>
    <w:rsid w:val="00AF38C2"/>
    <w:rsid w:val="00AF39B8"/>
    <w:rsid w:val="00AF3E66"/>
    <w:rsid w:val="00AF3F7B"/>
    <w:rsid w:val="00AF404F"/>
    <w:rsid w:val="00AF41FC"/>
    <w:rsid w:val="00AF451F"/>
    <w:rsid w:val="00AF46C8"/>
    <w:rsid w:val="00AF471C"/>
    <w:rsid w:val="00AF47DB"/>
    <w:rsid w:val="00AF495E"/>
    <w:rsid w:val="00AF52F4"/>
    <w:rsid w:val="00AF5384"/>
    <w:rsid w:val="00AF569B"/>
    <w:rsid w:val="00AF56D3"/>
    <w:rsid w:val="00AF5721"/>
    <w:rsid w:val="00AF594B"/>
    <w:rsid w:val="00AF5A7B"/>
    <w:rsid w:val="00AF5BB5"/>
    <w:rsid w:val="00AF5DAD"/>
    <w:rsid w:val="00AF5DEF"/>
    <w:rsid w:val="00AF6025"/>
    <w:rsid w:val="00AF63A8"/>
    <w:rsid w:val="00AF654D"/>
    <w:rsid w:val="00AF67AD"/>
    <w:rsid w:val="00AF6834"/>
    <w:rsid w:val="00AF6A6F"/>
    <w:rsid w:val="00AF6A81"/>
    <w:rsid w:val="00AF6B01"/>
    <w:rsid w:val="00AF6D26"/>
    <w:rsid w:val="00AF6E5A"/>
    <w:rsid w:val="00AF6F50"/>
    <w:rsid w:val="00AF7049"/>
    <w:rsid w:val="00AF73EC"/>
    <w:rsid w:val="00AF79E2"/>
    <w:rsid w:val="00AF7A7C"/>
    <w:rsid w:val="00AF7E3E"/>
    <w:rsid w:val="00B00146"/>
    <w:rsid w:val="00B00499"/>
    <w:rsid w:val="00B0066D"/>
    <w:rsid w:val="00B006FF"/>
    <w:rsid w:val="00B00854"/>
    <w:rsid w:val="00B0099C"/>
    <w:rsid w:val="00B00A8E"/>
    <w:rsid w:val="00B00ADB"/>
    <w:rsid w:val="00B00B9C"/>
    <w:rsid w:val="00B00C90"/>
    <w:rsid w:val="00B00D36"/>
    <w:rsid w:val="00B00F75"/>
    <w:rsid w:val="00B0100B"/>
    <w:rsid w:val="00B0100E"/>
    <w:rsid w:val="00B01078"/>
    <w:rsid w:val="00B01451"/>
    <w:rsid w:val="00B01456"/>
    <w:rsid w:val="00B01495"/>
    <w:rsid w:val="00B014D6"/>
    <w:rsid w:val="00B016F2"/>
    <w:rsid w:val="00B0191B"/>
    <w:rsid w:val="00B01924"/>
    <w:rsid w:val="00B01D2D"/>
    <w:rsid w:val="00B02083"/>
    <w:rsid w:val="00B0214C"/>
    <w:rsid w:val="00B0241B"/>
    <w:rsid w:val="00B02448"/>
    <w:rsid w:val="00B02698"/>
    <w:rsid w:val="00B02A66"/>
    <w:rsid w:val="00B02DBD"/>
    <w:rsid w:val="00B02E8F"/>
    <w:rsid w:val="00B02EB7"/>
    <w:rsid w:val="00B03240"/>
    <w:rsid w:val="00B034B8"/>
    <w:rsid w:val="00B03958"/>
    <w:rsid w:val="00B03968"/>
    <w:rsid w:val="00B03BD1"/>
    <w:rsid w:val="00B03D38"/>
    <w:rsid w:val="00B03D57"/>
    <w:rsid w:val="00B03D7E"/>
    <w:rsid w:val="00B03EEB"/>
    <w:rsid w:val="00B0415B"/>
    <w:rsid w:val="00B042BF"/>
    <w:rsid w:val="00B044E5"/>
    <w:rsid w:val="00B0451C"/>
    <w:rsid w:val="00B045B1"/>
    <w:rsid w:val="00B04803"/>
    <w:rsid w:val="00B04B23"/>
    <w:rsid w:val="00B04D3C"/>
    <w:rsid w:val="00B04DCA"/>
    <w:rsid w:val="00B04FFA"/>
    <w:rsid w:val="00B050D8"/>
    <w:rsid w:val="00B05250"/>
    <w:rsid w:val="00B05322"/>
    <w:rsid w:val="00B05333"/>
    <w:rsid w:val="00B055B5"/>
    <w:rsid w:val="00B05720"/>
    <w:rsid w:val="00B0582E"/>
    <w:rsid w:val="00B059CE"/>
    <w:rsid w:val="00B059D1"/>
    <w:rsid w:val="00B05B44"/>
    <w:rsid w:val="00B05B99"/>
    <w:rsid w:val="00B05D0B"/>
    <w:rsid w:val="00B05DC9"/>
    <w:rsid w:val="00B06062"/>
    <w:rsid w:val="00B06653"/>
    <w:rsid w:val="00B06722"/>
    <w:rsid w:val="00B06A5E"/>
    <w:rsid w:val="00B06DFE"/>
    <w:rsid w:val="00B06F42"/>
    <w:rsid w:val="00B07234"/>
    <w:rsid w:val="00B073EA"/>
    <w:rsid w:val="00B07486"/>
    <w:rsid w:val="00B07699"/>
    <w:rsid w:val="00B0774F"/>
    <w:rsid w:val="00B07A7E"/>
    <w:rsid w:val="00B07B3F"/>
    <w:rsid w:val="00B07D12"/>
    <w:rsid w:val="00B07D74"/>
    <w:rsid w:val="00B104C0"/>
    <w:rsid w:val="00B10560"/>
    <w:rsid w:val="00B10D4D"/>
    <w:rsid w:val="00B1103B"/>
    <w:rsid w:val="00B1128E"/>
    <w:rsid w:val="00B115C5"/>
    <w:rsid w:val="00B11852"/>
    <w:rsid w:val="00B11AE1"/>
    <w:rsid w:val="00B11AF3"/>
    <w:rsid w:val="00B11BFA"/>
    <w:rsid w:val="00B11C6D"/>
    <w:rsid w:val="00B11C91"/>
    <w:rsid w:val="00B11CE3"/>
    <w:rsid w:val="00B11D30"/>
    <w:rsid w:val="00B1206A"/>
    <w:rsid w:val="00B122C0"/>
    <w:rsid w:val="00B125D5"/>
    <w:rsid w:val="00B12747"/>
    <w:rsid w:val="00B1299E"/>
    <w:rsid w:val="00B12C3F"/>
    <w:rsid w:val="00B12D4C"/>
    <w:rsid w:val="00B12F84"/>
    <w:rsid w:val="00B13013"/>
    <w:rsid w:val="00B1304F"/>
    <w:rsid w:val="00B1307C"/>
    <w:rsid w:val="00B13092"/>
    <w:rsid w:val="00B131C0"/>
    <w:rsid w:val="00B1321F"/>
    <w:rsid w:val="00B13709"/>
    <w:rsid w:val="00B13939"/>
    <w:rsid w:val="00B1398A"/>
    <w:rsid w:val="00B13B57"/>
    <w:rsid w:val="00B13CDA"/>
    <w:rsid w:val="00B14447"/>
    <w:rsid w:val="00B14721"/>
    <w:rsid w:val="00B14A4F"/>
    <w:rsid w:val="00B14D94"/>
    <w:rsid w:val="00B14FA8"/>
    <w:rsid w:val="00B14FB2"/>
    <w:rsid w:val="00B152A5"/>
    <w:rsid w:val="00B155AF"/>
    <w:rsid w:val="00B15705"/>
    <w:rsid w:val="00B15741"/>
    <w:rsid w:val="00B15BB0"/>
    <w:rsid w:val="00B15D87"/>
    <w:rsid w:val="00B15DD4"/>
    <w:rsid w:val="00B16061"/>
    <w:rsid w:val="00B161D8"/>
    <w:rsid w:val="00B161DA"/>
    <w:rsid w:val="00B16231"/>
    <w:rsid w:val="00B16977"/>
    <w:rsid w:val="00B169AC"/>
    <w:rsid w:val="00B16BB6"/>
    <w:rsid w:val="00B16C08"/>
    <w:rsid w:val="00B16F2D"/>
    <w:rsid w:val="00B1770C"/>
    <w:rsid w:val="00B177E4"/>
    <w:rsid w:val="00B17901"/>
    <w:rsid w:val="00B17AFD"/>
    <w:rsid w:val="00B17C14"/>
    <w:rsid w:val="00B17DF8"/>
    <w:rsid w:val="00B17E98"/>
    <w:rsid w:val="00B17FC8"/>
    <w:rsid w:val="00B2025E"/>
    <w:rsid w:val="00B203C9"/>
    <w:rsid w:val="00B20555"/>
    <w:rsid w:val="00B205D8"/>
    <w:rsid w:val="00B20649"/>
    <w:rsid w:val="00B207FA"/>
    <w:rsid w:val="00B20C24"/>
    <w:rsid w:val="00B20FB8"/>
    <w:rsid w:val="00B21158"/>
    <w:rsid w:val="00B21379"/>
    <w:rsid w:val="00B2156C"/>
    <w:rsid w:val="00B21683"/>
    <w:rsid w:val="00B21721"/>
    <w:rsid w:val="00B21771"/>
    <w:rsid w:val="00B21A6D"/>
    <w:rsid w:val="00B21B64"/>
    <w:rsid w:val="00B21E3E"/>
    <w:rsid w:val="00B21F47"/>
    <w:rsid w:val="00B221E2"/>
    <w:rsid w:val="00B2277F"/>
    <w:rsid w:val="00B22A02"/>
    <w:rsid w:val="00B22AD7"/>
    <w:rsid w:val="00B22CAE"/>
    <w:rsid w:val="00B22D14"/>
    <w:rsid w:val="00B22FF7"/>
    <w:rsid w:val="00B23215"/>
    <w:rsid w:val="00B2324F"/>
    <w:rsid w:val="00B2327F"/>
    <w:rsid w:val="00B23450"/>
    <w:rsid w:val="00B23792"/>
    <w:rsid w:val="00B23A92"/>
    <w:rsid w:val="00B23CA6"/>
    <w:rsid w:val="00B241BE"/>
    <w:rsid w:val="00B2430F"/>
    <w:rsid w:val="00B24463"/>
    <w:rsid w:val="00B2462E"/>
    <w:rsid w:val="00B247B7"/>
    <w:rsid w:val="00B24844"/>
    <w:rsid w:val="00B24930"/>
    <w:rsid w:val="00B24CC9"/>
    <w:rsid w:val="00B24F4B"/>
    <w:rsid w:val="00B250B8"/>
    <w:rsid w:val="00B2511A"/>
    <w:rsid w:val="00B25409"/>
    <w:rsid w:val="00B25813"/>
    <w:rsid w:val="00B25CA7"/>
    <w:rsid w:val="00B25DE4"/>
    <w:rsid w:val="00B25E58"/>
    <w:rsid w:val="00B25EC7"/>
    <w:rsid w:val="00B260B2"/>
    <w:rsid w:val="00B261AF"/>
    <w:rsid w:val="00B2626D"/>
    <w:rsid w:val="00B263FD"/>
    <w:rsid w:val="00B264A6"/>
    <w:rsid w:val="00B2656C"/>
    <w:rsid w:val="00B26820"/>
    <w:rsid w:val="00B269EC"/>
    <w:rsid w:val="00B26D0C"/>
    <w:rsid w:val="00B26D39"/>
    <w:rsid w:val="00B26DC0"/>
    <w:rsid w:val="00B2700F"/>
    <w:rsid w:val="00B271A7"/>
    <w:rsid w:val="00B27220"/>
    <w:rsid w:val="00B272A8"/>
    <w:rsid w:val="00B27328"/>
    <w:rsid w:val="00B2767A"/>
    <w:rsid w:val="00B27728"/>
    <w:rsid w:val="00B278CD"/>
    <w:rsid w:val="00B27A1E"/>
    <w:rsid w:val="00B27AA4"/>
    <w:rsid w:val="00B27B4A"/>
    <w:rsid w:val="00B27E25"/>
    <w:rsid w:val="00B30094"/>
    <w:rsid w:val="00B30382"/>
    <w:rsid w:val="00B3078C"/>
    <w:rsid w:val="00B307E8"/>
    <w:rsid w:val="00B309EB"/>
    <w:rsid w:val="00B30A52"/>
    <w:rsid w:val="00B30C95"/>
    <w:rsid w:val="00B30F79"/>
    <w:rsid w:val="00B31092"/>
    <w:rsid w:val="00B311A2"/>
    <w:rsid w:val="00B313BA"/>
    <w:rsid w:val="00B31479"/>
    <w:rsid w:val="00B31CC7"/>
    <w:rsid w:val="00B31ED5"/>
    <w:rsid w:val="00B320EC"/>
    <w:rsid w:val="00B3230C"/>
    <w:rsid w:val="00B32558"/>
    <w:rsid w:val="00B327F0"/>
    <w:rsid w:val="00B329C6"/>
    <w:rsid w:val="00B32A16"/>
    <w:rsid w:val="00B32BB0"/>
    <w:rsid w:val="00B32F47"/>
    <w:rsid w:val="00B33166"/>
    <w:rsid w:val="00B332CD"/>
    <w:rsid w:val="00B3344E"/>
    <w:rsid w:val="00B336FD"/>
    <w:rsid w:val="00B33797"/>
    <w:rsid w:val="00B33941"/>
    <w:rsid w:val="00B33C1B"/>
    <w:rsid w:val="00B33F17"/>
    <w:rsid w:val="00B33F56"/>
    <w:rsid w:val="00B33F7A"/>
    <w:rsid w:val="00B3400B"/>
    <w:rsid w:val="00B341C8"/>
    <w:rsid w:val="00B341FE"/>
    <w:rsid w:val="00B34456"/>
    <w:rsid w:val="00B34860"/>
    <w:rsid w:val="00B34B90"/>
    <w:rsid w:val="00B34D34"/>
    <w:rsid w:val="00B34F44"/>
    <w:rsid w:val="00B34F4F"/>
    <w:rsid w:val="00B34FCA"/>
    <w:rsid w:val="00B34FFA"/>
    <w:rsid w:val="00B3505C"/>
    <w:rsid w:val="00B3517B"/>
    <w:rsid w:val="00B351E2"/>
    <w:rsid w:val="00B352CE"/>
    <w:rsid w:val="00B35461"/>
    <w:rsid w:val="00B356F0"/>
    <w:rsid w:val="00B359DB"/>
    <w:rsid w:val="00B359FE"/>
    <w:rsid w:val="00B35A3C"/>
    <w:rsid w:val="00B35C27"/>
    <w:rsid w:val="00B35DD3"/>
    <w:rsid w:val="00B36069"/>
    <w:rsid w:val="00B360A6"/>
    <w:rsid w:val="00B360D3"/>
    <w:rsid w:val="00B361A6"/>
    <w:rsid w:val="00B3629D"/>
    <w:rsid w:val="00B36663"/>
    <w:rsid w:val="00B36676"/>
    <w:rsid w:val="00B36D93"/>
    <w:rsid w:val="00B36E73"/>
    <w:rsid w:val="00B36E89"/>
    <w:rsid w:val="00B36ED9"/>
    <w:rsid w:val="00B36FB3"/>
    <w:rsid w:val="00B3720A"/>
    <w:rsid w:val="00B3735E"/>
    <w:rsid w:val="00B373BA"/>
    <w:rsid w:val="00B374D9"/>
    <w:rsid w:val="00B375C1"/>
    <w:rsid w:val="00B37767"/>
    <w:rsid w:val="00B377E5"/>
    <w:rsid w:val="00B378E7"/>
    <w:rsid w:val="00B37994"/>
    <w:rsid w:val="00B37B75"/>
    <w:rsid w:val="00B37BC2"/>
    <w:rsid w:val="00B37CB6"/>
    <w:rsid w:val="00B37E97"/>
    <w:rsid w:val="00B40233"/>
    <w:rsid w:val="00B402D1"/>
    <w:rsid w:val="00B40528"/>
    <w:rsid w:val="00B40BDF"/>
    <w:rsid w:val="00B40D02"/>
    <w:rsid w:val="00B40D1B"/>
    <w:rsid w:val="00B40ED3"/>
    <w:rsid w:val="00B4125B"/>
    <w:rsid w:val="00B4150B"/>
    <w:rsid w:val="00B41643"/>
    <w:rsid w:val="00B41768"/>
    <w:rsid w:val="00B41A01"/>
    <w:rsid w:val="00B41C4B"/>
    <w:rsid w:val="00B41DFA"/>
    <w:rsid w:val="00B41E04"/>
    <w:rsid w:val="00B42238"/>
    <w:rsid w:val="00B423E0"/>
    <w:rsid w:val="00B42535"/>
    <w:rsid w:val="00B4273A"/>
    <w:rsid w:val="00B4282D"/>
    <w:rsid w:val="00B428A5"/>
    <w:rsid w:val="00B42940"/>
    <w:rsid w:val="00B42AD8"/>
    <w:rsid w:val="00B42B35"/>
    <w:rsid w:val="00B42BDC"/>
    <w:rsid w:val="00B42CEC"/>
    <w:rsid w:val="00B42DF3"/>
    <w:rsid w:val="00B42E4D"/>
    <w:rsid w:val="00B43006"/>
    <w:rsid w:val="00B43055"/>
    <w:rsid w:val="00B430AA"/>
    <w:rsid w:val="00B430AF"/>
    <w:rsid w:val="00B431DF"/>
    <w:rsid w:val="00B43272"/>
    <w:rsid w:val="00B43376"/>
    <w:rsid w:val="00B435CF"/>
    <w:rsid w:val="00B438E5"/>
    <w:rsid w:val="00B43A18"/>
    <w:rsid w:val="00B43FE2"/>
    <w:rsid w:val="00B44096"/>
    <w:rsid w:val="00B440D1"/>
    <w:rsid w:val="00B44295"/>
    <w:rsid w:val="00B44360"/>
    <w:rsid w:val="00B44405"/>
    <w:rsid w:val="00B44687"/>
    <w:rsid w:val="00B44B21"/>
    <w:rsid w:val="00B44BDB"/>
    <w:rsid w:val="00B44C17"/>
    <w:rsid w:val="00B44D7A"/>
    <w:rsid w:val="00B44DFA"/>
    <w:rsid w:val="00B44EAA"/>
    <w:rsid w:val="00B4505F"/>
    <w:rsid w:val="00B45290"/>
    <w:rsid w:val="00B455A2"/>
    <w:rsid w:val="00B456E5"/>
    <w:rsid w:val="00B45703"/>
    <w:rsid w:val="00B458C5"/>
    <w:rsid w:val="00B45A53"/>
    <w:rsid w:val="00B45A6E"/>
    <w:rsid w:val="00B45A9B"/>
    <w:rsid w:val="00B45E11"/>
    <w:rsid w:val="00B4610A"/>
    <w:rsid w:val="00B4610D"/>
    <w:rsid w:val="00B4637D"/>
    <w:rsid w:val="00B463E0"/>
    <w:rsid w:val="00B46431"/>
    <w:rsid w:val="00B46700"/>
    <w:rsid w:val="00B46830"/>
    <w:rsid w:val="00B46CB6"/>
    <w:rsid w:val="00B47036"/>
    <w:rsid w:val="00B472D5"/>
    <w:rsid w:val="00B474A3"/>
    <w:rsid w:val="00B474F5"/>
    <w:rsid w:val="00B47580"/>
    <w:rsid w:val="00B47B4D"/>
    <w:rsid w:val="00B47C27"/>
    <w:rsid w:val="00B47C60"/>
    <w:rsid w:val="00B47CD3"/>
    <w:rsid w:val="00B47D85"/>
    <w:rsid w:val="00B47DB6"/>
    <w:rsid w:val="00B47DB7"/>
    <w:rsid w:val="00B47FCA"/>
    <w:rsid w:val="00B50056"/>
    <w:rsid w:val="00B501BB"/>
    <w:rsid w:val="00B5043D"/>
    <w:rsid w:val="00B505F1"/>
    <w:rsid w:val="00B5090B"/>
    <w:rsid w:val="00B50989"/>
    <w:rsid w:val="00B50B24"/>
    <w:rsid w:val="00B50DB3"/>
    <w:rsid w:val="00B50DCA"/>
    <w:rsid w:val="00B50FEE"/>
    <w:rsid w:val="00B5108A"/>
    <w:rsid w:val="00B51117"/>
    <w:rsid w:val="00B51529"/>
    <w:rsid w:val="00B51895"/>
    <w:rsid w:val="00B51B09"/>
    <w:rsid w:val="00B51C29"/>
    <w:rsid w:val="00B51CBD"/>
    <w:rsid w:val="00B51DC9"/>
    <w:rsid w:val="00B51FCE"/>
    <w:rsid w:val="00B52123"/>
    <w:rsid w:val="00B526A1"/>
    <w:rsid w:val="00B528AA"/>
    <w:rsid w:val="00B52956"/>
    <w:rsid w:val="00B529A3"/>
    <w:rsid w:val="00B529E4"/>
    <w:rsid w:val="00B52EDA"/>
    <w:rsid w:val="00B52EFE"/>
    <w:rsid w:val="00B52FC6"/>
    <w:rsid w:val="00B531E0"/>
    <w:rsid w:val="00B531E7"/>
    <w:rsid w:val="00B53278"/>
    <w:rsid w:val="00B5370C"/>
    <w:rsid w:val="00B537E0"/>
    <w:rsid w:val="00B5385F"/>
    <w:rsid w:val="00B53AB9"/>
    <w:rsid w:val="00B53C1D"/>
    <w:rsid w:val="00B53CA5"/>
    <w:rsid w:val="00B53DA0"/>
    <w:rsid w:val="00B53DE9"/>
    <w:rsid w:val="00B53E3B"/>
    <w:rsid w:val="00B53FE6"/>
    <w:rsid w:val="00B54085"/>
    <w:rsid w:val="00B54281"/>
    <w:rsid w:val="00B545A1"/>
    <w:rsid w:val="00B54710"/>
    <w:rsid w:val="00B54BD0"/>
    <w:rsid w:val="00B54C89"/>
    <w:rsid w:val="00B54CB4"/>
    <w:rsid w:val="00B54D37"/>
    <w:rsid w:val="00B54DB7"/>
    <w:rsid w:val="00B55087"/>
    <w:rsid w:val="00B550FD"/>
    <w:rsid w:val="00B5540E"/>
    <w:rsid w:val="00B55576"/>
    <w:rsid w:val="00B557DF"/>
    <w:rsid w:val="00B55810"/>
    <w:rsid w:val="00B55839"/>
    <w:rsid w:val="00B55929"/>
    <w:rsid w:val="00B5595F"/>
    <w:rsid w:val="00B55A6F"/>
    <w:rsid w:val="00B55C8B"/>
    <w:rsid w:val="00B55E69"/>
    <w:rsid w:val="00B55F8B"/>
    <w:rsid w:val="00B56020"/>
    <w:rsid w:val="00B5610E"/>
    <w:rsid w:val="00B5623B"/>
    <w:rsid w:val="00B5626F"/>
    <w:rsid w:val="00B56298"/>
    <w:rsid w:val="00B56327"/>
    <w:rsid w:val="00B56662"/>
    <w:rsid w:val="00B56B66"/>
    <w:rsid w:val="00B56C26"/>
    <w:rsid w:val="00B56E3F"/>
    <w:rsid w:val="00B57040"/>
    <w:rsid w:val="00B572B1"/>
    <w:rsid w:val="00B5740F"/>
    <w:rsid w:val="00B57505"/>
    <w:rsid w:val="00B577C2"/>
    <w:rsid w:val="00B57907"/>
    <w:rsid w:val="00B57EAD"/>
    <w:rsid w:val="00B609D3"/>
    <w:rsid w:val="00B60CA3"/>
    <w:rsid w:val="00B60D85"/>
    <w:rsid w:val="00B60E4D"/>
    <w:rsid w:val="00B61062"/>
    <w:rsid w:val="00B610D4"/>
    <w:rsid w:val="00B611BC"/>
    <w:rsid w:val="00B6160B"/>
    <w:rsid w:val="00B61A75"/>
    <w:rsid w:val="00B61B16"/>
    <w:rsid w:val="00B61FEF"/>
    <w:rsid w:val="00B6225C"/>
    <w:rsid w:val="00B624EB"/>
    <w:rsid w:val="00B628B3"/>
    <w:rsid w:val="00B62925"/>
    <w:rsid w:val="00B62C1E"/>
    <w:rsid w:val="00B62ED2"/>
    <w:rsid w:val="00B63313"/>
    <w:rsid w:val="00B633E9"/>
    <w:rsid w:val="00B63701"/>
    <w:rsid w:val="00B63739"/>
    <w:rsid w:val="00B638C5"/>
    <w:rsid w:val="00B638E7"/>
    <w:rsid w:val="00B63938"/>
    <w:rsid w:val="00B63BDC"/>
    <w:rsid w:val="00B63F1B"/>
    <w:rsid w:val="00B6417A"/>
    <w:rsid w:val="00B644A8"/>
    <w:rsid w:val="00B64AFE"/>
    <w:rsid w:val="00B64B54"/>
    <w:rsid w:val="00B64BAF"/>
    <w:rsid w:val="00B64C27"/>
    <w:rsid w:val="00B64EC0"/>
    <w:rsid w:val="00B64F33"/>
    <w:rsid w:val="00B653B5"/>
    <w:rsid w:val="00B654FD"/>
    <w:rsid w:val="00B656C5"/>
    <w:rsid w:val="00B656DE"/>
    <w:rsid w:val="00B656E0"/>
    <w:rsid w:val="00B6577A"/>
    <w:rsid w:val="00B65CC6"/>
    <w:rsid w:val="00B662A0"/>
    <w:rsid w:val="00B662A8"/>
    <w:rsid w:val="00B66595"/>
    <w:rsid w:val="00B666F7"/>
    <w:rsid w:val="00B66910"/>
    <w:rsid w:val="00B66CA6"/>
    <w:rsid w:val="00B67062"/>
    <w:rsid w:val="00B671EB"/>
    <w:rsid w:val="00B67667"/>
    <w:rsid w:val="00B67AAE"/>
    <w:rsid w:val="00B67E3E"/>
    <w:rsid w:val="00B67F4E"/>
    <w:rsid w:val="00B7014C"/>
    <w:rsid w:val="00B703D4"/>
    <w:rsid w:val="00B7045F"/>
    <w:rsid w:val="00B70510"/>
    <w:rsid w:val="00B70867"/>
    <w:rsid w:val="00B709A2"/>
    <w:rsid w:val="00B70A2C"/>
    <w:rsid w:val="00B70CC4"/>
    <w:rsid w:val="00B70D02"/>
    <w:rsid w:val="00B70D0E"/>
    <w:rsid w:val="00B70DA2"/>
    <w:rsid w:val="00B70DA4"/>
    <w:rsid w:val="00B70E13"/>
    <w:rsid w:val="00B70FE8"/>
    <w:rsid w:val="00B71011"/>
    <w:rsid w:val="00B71070"/>
    <w:rsid w:val="00B71096"/>
    <w:rsid w:val="00B711F5"/>
    <w:rsid w:val="00B7178D"/>
    <w:rsid w:val="00B71A34"/>
    <w:rsid w:val="00B71C1C"/>
    <w:rsid w:val="00B71E4B"/>
    <w:rsid w:val="00B71E51"/>
    <w:rsid w:val="00B7210A"/>
    <w:rsid w:val="00B72514"/>
    <w:rsid w:val="00B72756"/>
    <w:rsid w:val="00B727F1"/>
    <w:rsid w:val="00B728C7"/>
    <w:rsid w:val="00B7290B"/>
    <w:rsid w:val="00B72AAB"/>
    <w:rsid w:val="00B72B94"/>
    <w:rsid w:val="00B72CC8"/>
    <w:rsid w:val="00B72E1F"/>
    <w:rsid w:val="00B730C8"/>
    <w:rsid w:val="00B735C5"/>
    <w:rsid w:val="00B73615"/>
    <w:rsid w:val="00B73B72"/>
    <w:rsid w:val="00B73B93"/>
    <w:rsid w:val="00B73C85"/>
    <w:rsid w:val="00B73C9E"/>
    <w:rsid w:val="00B73DBD"/>
    <w:rsid w:val="00B73F1C"/>
    <w:rsid w:val="00B74442"/>
    <w:rsid w:val="00B7446A"/>
    <w:rsid w:val="00B74500"/>
    <w:rsid w:val="00B7456C"/>
    <w:rsid w:val="00B745AD"/>
    <w:rsid w:val="00B745C4"/>
    <w:rsid w:val="00B74826"/>
    <w:rsid w:val="00B74937"/>
    <w:rsid w:val="00B74C46"/>
    <w:rsid w:val="00B74D02"/>
    <w:rsid w:val="00B74DD6"/>
    <w:rsid w:val="00B74E3B"/>
    <w:rsid w:val="00B74E5D"/>
    <w:rsid w:val="00B75088"/>
    <w:rsid w:val="00B75103"/>
    <w:rsid w:val="00B751AF"/>
    <w:rsid w:val="00B754EB"/>
    <w:rsid w:val="00B755F1"/>
    <w:rsid w:val="00B7597A"/>
    <w:rsid w:val="00B75C41"/>
    <w:rsid w:val="00B75CB4"/>
    <w:rsid w:val="00B765D2"/>
    <w:rsid w:val="00B7664D"/>
    <w:rsid w:val="00B767BC"/>
    <w:rsid w:val="00B76906"/>
    <w:rsid w:val="00B769C9"/>
    <w:rsid w:val="00B76CA4"/>
    <w:rsid w:val="00B7700C"/>
    <w:rsid w:val="00B77238"/>
    <w:rsid w:val="00B77386"/>
    <w:rsid w:val="00B7757D"/>
    <w:rsid w:val="00B8033C"/>
    <w:rsid w:val="00B807A6"/>
    <w:rsid w:val="00B80CD2"/>
    <w:rsid w:val="00B80EDD"/>
    <w:rsid w:val="00B8115E"/>
    <w:rsid w:val="00B8165A"/>
    <w:rsid w:val="00B817F0"/>
    <w:rsid w:val="00B81A59"/>
    <w:rsid w:val="00B81B3E"/>
    <w:rsid w:val="00B81D77"/>
    <w:rsid w:val="00B81E0C"/>
    <w:rsid w:val="00B820B6"/>
    <w:rsid w:val="00B82450"/>
    <w:rsid w:val="00B824C0"/>
    <w:rsid w:val="00B824DF"/>
    <w:rsid w:val="00B826AD"/>
    <w:rsid w:val="00B82BBE"/>
    <w:rsid w:val="00B82F7A"/>
    <w:rsid w:val="00B831BB"/>
    <w:rsid w:val="00B83245"/>
    <w:rsid w:val="00B83489"/>
    <w:rsid w:val="00B83520"/>
    <w:rsid w:val="00B837D7"/>
    <w:rsid w:val="00B83930"/>
    <w:rsid w:val="00B83959"/>
    <w:rsid w:val="00B83A3F"/>
    <w:rsid w:val="00B83B81"/>
    <w:rsid w:val="00B83CCD"/>
    <w:rsid w:val="00B83D3A"/>
    <w:rsid w:val="00B83DD7"/>
    <w:rsid w:val="00B83FE5"/>
    <w:rsid w:val="00B848A0"/>
    <w:rsid w:val="00B84A46"/>
    <w:rsid w:val="00B856EF"/>
    <w:rsid w:val="00B85916"/>
    <w:rsid w:val="00B85927"/>
    <w:rsid w:val="00B8599E"/>
    <w:rsid w:val="00B85CAF"/>
    <w:rsid w:val="00B861F3"/>
    <w:rsid w:val="00B862F6"/>
    <w:rsid w:val="00B863E9"/>
    <w:rsid w:val="00B86551"/>
    <w:rsid w:val="00B8660F"/>
    <w:rsid w:val="00B867AF"/>
    <w:rsid w:val="00B86C9A"/>
    <w:rsid w:val="00B86F23"/>
    <w:rsid w:val="00B8710A"/>
    <w:rsid w:val="00B872A3"/>
    <w:rsid w:val="00B875C5"/>
    <w:rsid w:val="00B87759"/>
    <w:rsid w:val="00B87859"/>
    <w:rsid w:val="00B87862"/>
    <w:rsid w:val="00B87CEB"/>
    <w:rsid w:val="00B87E62"/>
    <w:rsid w:val="00B9027D"/>
    <w:rsid w:val="00B903E0"/>
    <w:rsid w:val="00B90784"/>
    <w:rsid w:val="00B90AF2"/>
    <w:rsid w:val="00B90BA1"/>
    <w:rsid w:val="00B90BDB"/>
    <w:rsid w:val="00B90C62"/>
    <w:rsid w:val="00B90ECC"/>
    <w:rsid w:val="00B90F1F"/>
    <w:rsid w:val="00B90F8D"/>
    <w:rsid w:val="00B91055"/>
    <w:rsid w:val="00B91252"/>
    <w:rsid w:val="00B91473"/>
    <w:rsid w:val="00B914D0"/>
    <w:rsid w:val="00B91588"/>
    <w:rsid w:val="00B91A9A"/>
    <w:rsid w:val="00B91AE4"/>
    <w:rsid w:val="00B91B21"/>
    <w:rsid w:val="00B91B70"/>
    <w:rsid w:val="00B91CA8"/>
    <w:rsid w:val="00B91D68"/>
    <w:rsid w:val="00B91DB6"/>
    <w:rsid w:val="00B92055"/>
    <w:rsid w:val="00B92407"/>
    <w:rsid w:val="00B92528"/>
    <w:rsid w:val="00B92657"/>
    <w:rsid w:val="00B92686"/>
    <w:rsid w:val="00B928F7"/>
    <w:rsid w:val="00B92D36"/>
    <w:rsid w:val="00B92F83"/>
    <w:rsid w:val="00B92FBD"/>
    <w:rsid w:val="00B9323A"/>
    <w:rsid w:val="00B9349B"/>
    <w:rsid w:val="00B9354B"/>
    <w:rsid w:val="00B935F9"/>
    <w:rsid w:val="00B93629"/>
    <w:rsid w:val="00B93913"/>
    <w:rsid w:val="00B9393B"/>
    <w:rsid w:val="00B939B7"/>
    <w:rsid w:val="00B93ADD"/>
    <w:rsid w:val="00B93AF0"/>
    <w:rsid w:val="00B941FB"/>
    <w:rsid w:val="00B94812"/>
    <w:rsid w:val="00B948E6"/>
    <w:rsid w:val="00B94A55"/>
    <w:rsid w:val="00B94AED"/>
    <w:rsid w:val="00B94B0B"/>
    <w:rsid w:val="00B94BE3"/>
    <w:rsid w:val="00B94C38"/>
    <w:rsid w:val="00B94CE2"/>
    <w:rsid w:val="00B94CE7"/>
    <w:rsid w:val="00B94E27"/>
    <w:rsid w:val="00B94EB8"/>
    <w:rsid w:val="00B95095"/>
    <w:rsid w:val="00B9515B"/>
    <w:rsid w:val="00B951CA"/>
    <w:rsid w:val="00B9551E"/>
    <w:rsid w:val="00B955B3"/>
    <w:rsid w:val="00B957AC"/>
    <w:rsid w:val="00B95862"/>
    <w:rsid w:val="00B95B13"/>
    <w:rsid w:val="00B95B20"/>
    <w:rsid w:val="00B95C81"/>
    <w:rsid w:val="00B95C9B"/>
    <w:rsid w:val="00B95CC5"/>
    <w:rsid w:val="00B95D0C"/>
    <w:rsid w:val="00B95D60"/>
    <w:rsid w:val="00B95ECC"/>
    <w:rsid w:val="00B96574"/>
    <w:rsid w:val="00B9697C"/>
    <w:rsid w:val="00B96AC9"/>
    <w:rsid w:val="00B96AEC"/>
    <w:rsid w:val="00B9725F"/>
    <w:rsid w:val="00B972AE"/>
    <w:rsid w:val="00B976B5"/>
    <w:rsid w:val="00B976C5"/>
    <w:rsid w:val="00B97770"/>
    <w:rsid w:val="00B97930"/>
    <w:rsid w:val="00B97931"/>
    <w:rsid w:val="00B979CE"/>
    <w:rsid w:val="00B97A14"/>
    <w:rsid w:val="00B97CAE"/>
    <w:rsid w:val="00B97D0C"/>
    <w:rsid w:val="00B97E28"/>
    <w:rsid w:val="00B97E78"/>
    <w:rsid w:val="00BA058C"/>
    <w:rsid w:val="00BA0623"/>
    <w:rsid w:val="00BA06AB"/>
    <w:rsid w:val="00BA07C9"/>
    <w:rsid w:val="00BA087D"/>
    <w:rsid w:val="00BA0900"/>
    <w:rsid w:val="00BA091F"/>
    <w:rsid w:val="00BA092E"/>
    <w:rsid w:val="00BA0B17"/>
    <w:rsid w:val="00BA102F"/>
    <w:rsid w:val="00BA1265"/>
    <w:rsid w:val="00BA1494"/>
    <w:rsid w:val="00BA150E"/>
    <w:rsid w:val="00BA152C"/>
    <w:rsid w:val="00BA161D"/>
    <w:rsid w:val="00BA17AF"/>
    <w:rsid w:val="00BA1AC1"/>
    <w:rsid w:val="00BA1B9B"/>
    <w:rsid w:val="00BA1D23"/>
    <w:rsid w:val="00BA1ED9"/>
    <w:rsid w:val="00BA2270"/>
    <w:rsid w:val="00BA2408"/>
    <w:rsid w:val="00BA247A"/>
    <w:rsid w:val="00BA247C"/>
    <w:rsid w:val="00BA2897"/>
    <w:rsid w:val="00BA296C"/>
    <w:rsid w:val="00BA2BE5"/>
    <w:rsid w:val="00BA2C10"/>
    <w:rsid w:val="00BA2D5B"/>
    <w:rsid w:val="00BA2E02"/>
    <w:rsid w:val="00BA30A0"/>
    <w:rsid w:val="00BA318B"/>
    <w:rsid w:val="00BA33F4"/>
    <w:rsid w:val="00BA34AD"/>
    <w:rsid w:val="00BA36A6"/>
    <w:rsid w:val="00BA37ED"/>
    <w:rsid w:val="00BA38AD"/>
    <w:rsid w:val="00BA3977"/>
    <w:rsid w:val="00BA3DF4"/>
    <w:rsid w:val="00BA40D0"/>
    <w:rsid w:val="00BA440D"/>
    <w:rsid w:val="00BA45E5"/>
    <w:rsid w:val="00BA466D"/>
    <w:rsid w:val="00BA4AB3"/>
    <w:rsid w:val="00BA4D96"/>
    <w:rsid w:val="00BA5621"/>
    <w:rsid w:val="00BA5838"/>
    <w:rsid w:val="00BA5885"/>
    <w:rsid w:val="00BA5BBD"/>
    <w:rsid w:val="00BA5C22"/>
    <w:rsid w:val="00BA5C80"/>
    <w:rsid w:val="00BA6009"/>
    <w:rsid w:val="00BA6294"/>
    <w:rsid w:val="00BA6482"/>
    <w:rsid w:val="00BA6DC2"/>
    <w:rsid w:val="00BA6FAA"/>
    <w:rsid w:val="00BA728B"/>
    <w:rsid w:val="00BA7628"/>
    <w:rsid w:val="00BA787E"/>
    <w:rsid w:val="00BA7C49"/>
    <w:rsid w:val="00BA7CBE"/>
    <w:rsid w:val="00BA7D3A"/>
    <w:rsid w:val="00BA7DCA"/>
    <w:rsid w:val="00BA7F2C"/>
    <w:rsid w:val="00BB00B2"/>
    <w:rsid w:val="00BB010F"/>
    <w:rsid w:val="00BB033F"/>
    <w:rsid w:val="00BB0358"/>
    <w:rsid w:val="00BB0889"/>
    <w:rsid w:val="00BB08CF"/>
    <w:rsid w:val="00BB08E9"/>
    <w:rsid w:val="00BB09B4"/>
    <w:rsid w:val="00BB09D7"/>
    <w:rsid w:val="00BB0BFA"/>
    <w:rsid w:val="00BB0F8B"/>
    <w:rsid w:val="00BB1054"/>
    <w:rsid w:val="00BB1148"/>
    <w:rsid w:val="00BB192D"/>
    <w:rsid w:val="00BB1CE0"/>
    <w:rsid w:val="00BB1DF1"/>
    <w:rsid w:val="00BB236D"/>
    <w:rsid w:val="00BB2756"/>
    <w:rsid w:val="00BB2759"/>
    <w:rsid w:val="00BB31E6"/>
    <w:rsid w:val="00BB32DA"/>
    <w:rsid w:val="00BB36BB"/>
    <w:rsid w:val="00BB3766"/>
    <w:rsid w:val="00BB3A59"/>
    <w:rsid w:val="00BB3AFE"/>
    <w:rsid w:val="00BB425E"/>
    <w:rsid w:val="00BB42D8"/>
    <w:rsid w:val="00BB433C"/>
    <w:rsid w:val="00BB4393"/>
    <w:rsid w:val="00BB462E"/>
    <w:rsid w:val="00BB4645"/>
    <w:rsid w:val="00BB4669"/>
    <w:rsid w:val="00BB4A1C"/>
    <w:rsid w:val="00BB4A57"/>
    <w:rsid w:val="00BB4D23"/>
    <w:rsid w:val="00BB4D9A"/>
    <w:rsid w:val="00BB4FB2"/>
    <w:rsid w:val="00BB4FF4"/>
    <w:rsid w:val="00BB509C"/>
    <w:rsid w:val="00BB552C"/>
    <w:rsid w:val="00BB5809"/>
    <w:rsid w:val="00BB59A1"/>
    <w:rsid w:val="00BB59B7"/>
    <w:rsid w:val="00BB5E50"/>
    <w:rsid w:val="00BB5EA7"/>
    <w:rsid w:val="00BB60AE"/>
    <w:rsid w:val="00BB60E1"/>
    <w:rsid w:val="00BB639A"/>
    <w:rsid w:val="00BB6455"/>
    <w:rsid w:val="00BB660F"/>
    <w:rsid w:val="00BB6AA8"/>
    <w:rsid w:val="00BB6D1E"/>
    <w:rsid w:val="00BB70FC"/>
    <w:rsid w:val="00BB72CA"/>
    <w:rsid w:val="00BB72EB"/>
    <w:rsid w:val="00BB748E"/>
    <w:rsid w:val="00BB7743"/>
    <w:rsid w:val="00BB77E5"/>
    <w:rsid w:val="00BB7840"/>
    <w:rsid w:val="00BC00CA"/>
    <w:rsid w:val="00BC0206"/>
    <w:rsid w:val="00BC078E"/>
    <w:rsid w:val="00BC0967"/>
    <w:rsid w:val="00BC0B0F"/>
    <w:rsid w:val="00BC0E74"/>
    <w:rsid w:val="00BC13EA"/>
    <w:rsid w:val="00BC17EC"/>
    <w:rsid w:val="00BC1904"/>
    <w:rsid w:val="00BC1AAC"/>
    <w:rsid w:val="00BC1AD9"/>
    <w:rsid w:val="00BC1E1D"/>
    <w:rsid w:val="00BC1F57"/>
    <w:rsid w:val="00BC210B"/>
    <w:rsid w:val="00BC2162"/>
    <w:rsid w:val="00BC2204"/>
    <w:rsid w:val="00BC2669"/>
    <w:rsid w:val="00BC2776"/>
    <w:rsid w:val="00BC27F6"/>
    <w:rsid w:val="00BC2915"/>
    <w:rsid w:val="00BC298D"/>
    <w:rsid w:val="00BC2C9E"/>
    <w:rsid w:val="00BC2E08"/>
    <w:rsid w:val="00BC34C3"/>
    <w:rsid w:val="00BC3502"/>
    <w:rsid w:val="00BC360A"/>
    <w:rsid w:val="00BC39BB"/>
    <w:rsid w:val="00BC3E83"/>
    <w:rsid w:val="00BC4024"/>
    <w:rsid w:val="00BC405D"/>
    <w:rsid w:val="00BC4468"/>
    <w:rsid w:val="00BC46ED"/>
    <w:rsid w:val="00BC4714"/>
    <w:rsid w:val="00BC4869"/>
    <w:rsid w:val="00BC49C3"/>
    <w:rsid w:val="00BC5172"/>
    <w:rsid w:val="00BC51CE"/>
    <w:rsid w:val="00BC522F"/>
    <w:rsid w:val="00BC572A"/>
    <w:rsid w:val="00BC5950"/>
    <w:rsid w:val="00BC5A20"/>
    <w:rsid w:val="00BC5CF0"/>
    <w:rsid w:val="00BC5EB9"/>
    <w:rsid w:val="00BC60F8"/>
    <w:rsid w:val="00BC6130"/>
    <w:rsid w:val="00BC61AD"/>
    <w:rsid w:val="00BC6399"/>
    <w:rsid w:val="00BC650D"/>
    <w:rsid w:val="00BC6659"/>
    <w:rsid w:val="00BC66F4"/>
    <w:rsid w:val="00BC6992"/>
    <w:rsid w:val="00BC6B5C"/>
    <w:rsid w:val="00BC6D00"/>
    <w:rsid w:val="00BC6D7B"/>
    <w:rsid w:val="00BC6DBF"/>
    <w:rsid w:val="00BC700F"/>
    <w:rsid w:val="00BC70C7"/>
    <w:rsid w:val="00BC7193"/>
    <w:rsid w:val="00BC7273"/>
    <w:rsid w:val="00BC73F5"/>
    <w:rsid w:val="00BC7BE1"/>
    <w:rsid w:val="00BC7DB9"/>
    <w:rsid w:val="00BC7F71"/>
    <w:rsid w:val="00BD0194"/>
    <w:rsid w:val="00BD04F9"/>
    <w:rsid w:val="00BD0540"/>
    <w:rsid w:val="00BD0D4C"/>
    <w:rsid w:val="00BD1089"/>
    <w:rsid w:val="00BD13FD"/>
    <w:rsid w:val="00BD1700"/>
    <w:rsid w:val="00BD19B9"/>
    <w:rsid w:val="00BD1DB1"/>
    <w:rsid w:val="00BD2113"/>
    <w:rsid w:val="00BD2134"/>
    <w:rsid w:val="00BD215C"/>
    <w:rsid w:val="00BD238A"/>
    <w:rsid w:val="00BD27DB"/>
    <w:rsid w:val="00BD2DDC"/>
    <w:rsid w:val="00BD2E02"/>
    <w:rsid w:val="00BD2ED4"/>
    <w:rsid w:val="00BD2F51"/>
    <w:rsid w:val="00BD2FEA"/>
    <w:rsid w:val="00BD324F"/>
    <w:rsid w:val="00BD3740"/>
    <w:rsid w:val="00BD389E"/>
    <w:rsid w:val="00BD38ED"/>
    <w:rsid w:val="00BD3B6E"/>
    <w:rsid w:val="00BD3CE2"/>
    <w:rsid w:val="00BD412A"/>
    <w:rsid w:val="00BD4156"/>
    <w:rsid w:val="00BD41F9"/>
    <w:rsid w:val="00BD4655"/>
    <w:rsid w:val="00BD4787"/>
    <w:rsid w:val="00BD47B4"/>
    <w:rsid w:val="00BD48D3"/>
    <w:rsid w:val="00BD4F81"/>
    <w:rsid w:val="00BD5033"/>
    <w:rsid w:val="00BD5220"/>
    <w:rsid w:val="00BD57B4"/>
    <w:rsid w:val="00BD5830"/>
    <w:rsid w:val="00BD585E"/>
    <w:rsid w:val="00BD5A12"/>
    <w:rsid w:val="00BD5ABA"/>
    <w:rsid w:val="00BD5B21"/>
    <w:rsid w:val="00BD5B30"/>
    <w:rsid w:val="00BD5DE1"/>
    <w:rsid w:val="00BD5EB4"/>
    <w:rsid w:val="00BD5F76"/>
    <w:rsid w:val="00BD60AC"/>
    <w:rsid w:val="00BD6419"/>
    <w:rsid w:val="00BD69E0"/>
    <w:rsid w:val="00BD69F1"/>
    <w:rsid w:val="00BD6A34"/>
    <w:rsid w:val="00BD6C11"/>
    <w:rsid w:val="00BD6C5C"/>
    <w:rsid w:val="00BD6F01"/>
    <w:rsid w:val="00BD6FD6"/>
    <w:rsid w:val="00BD710B"/>
    <w:rsid w:val="00BD721E"/>
    <w:rsid w:val="00BD7566"/>
    <w:rsid w:val="00BD79A1"/>
    <w:rsid w:val="00BD7E05"/>
    <w:rsid w:val="00BD7E1B"/>
    <w:rsid w:val="00BD7E5A"/>
    <w:rsid w:val="00BD7E70"/>
    <w:rsid w:val="00BD7EE2"/>
    <w:rsid w:val="00BE0185"/>
    <w:rsid w:val="00BE0196"/>
    <w:rsid w:val="00BE0385"/>
    <w:rsid w:val="00BE0495"/>
    <w:rsid w:val="00BE07E3"/>
    <w:rsid w:val="00BE0948"/>
    <w:rsid w:val="00BE0A31"/>
    <w:rsid w:val="00BE14B9"/>
    <w:rsid w:val="00BE15A7"/>
    <w:rsid w:val="00BE177C"/>
    <w:rsid w:val="00BE1817"/>
    <w:rsid w:val="00BE19CC"/>
    <w:rsid w:val="00BE1A75"/>
    <w:rsid w:val="00BE1C8B"/>
    <w:rsid w:val="00BE1C9D"/>
    <w:rsid w:val="00BE1D0D"/>
    <w:rsid w:val="00BE1E8C"/>
    <w:rsid w:val="00BE1F6A"/>
    <w:rsid w:val="00BE2028"/>
    <w:rsid w:val="00BE249F"/>
    <w:rsid w:val="00BE24BA"/>
    <w:rsid w:val="00BE271D"/>
    <w:rsid w:val="00BE2E60"/>
    <w:rsid w:val="00BE2FAA"/>
    <w:rsid w:val="00BE317C"/>
    <w:rsid w:val="00BE329B"/>
    <w:rsid w:val="00BE3539"/>
    <w:rsid w:val="00BE35E4"/>
    <w:rsid w:val="00BE37D4"/>
    <w:rsid w:val="00BE3821"/>
    <w:rsid w:val="00BE388F"/>
    <w:rsid w:val="00BE398A"/>
    <w:rsid w:val="00BE3A24"/>
    <w:rsid w:val="00BE3C3A"/>
    <w:rsid w:val="00BE3E0F"/>
    <w:rsid w:val="00BE3E56"/>
    <w:rsid w:val="00BE3F03"/>
    <w:rsid w:val="00BE4020"/>
    <w:rsid w:val="00BE417C"/>
    <w:rsid w:val="00BE4CC3"/>
    <w:rsid w:val="00BE4E63"/>
    <w:rsid w:val="00BE5016"/>
    <w:rsid w:val="00BE560D"/>
    <w:rsid w:val="00BE580E"/>
    <w:rsid w:val="00BE5A65"/>
    <w:rsid w:val="00BE5B49"/>
    <w:rsid w:val="00BE5CE9"/>
    <w:rsid w:val="00BE5D9C"/>
    <w:rsid w:val="00BE5EDF"/>
    <w:rsid w:val="00BE6279"/>
    <w:rsid w:val="00BE63A5"/>
    <w:rsid w:val="00BE67D1"/>
    <w:rsid w:val="00BE6A4C"/>
    <w:rsid w:val="00BE6AE3"/>
    <w:rsid w:val="00BE6C0D"/>
    <w:rsid w:val="00BE6C63"/>
    <w:rsid w:val="00BE6F2D"/>
    <w:rsid w:val="00BE71A5"/>
    <w:rsid w:val="00BE751D"/>
    <w:rsid w:val="00BE7821"/>
    <w:rsid w:val="00BE7AE1"/>
    <w:rsid w:val="00BE7AFE"/>
    <w:rsid w:val="00BF020D"/>
    <w:rsid w:val="00BF04AD"/>
    <w:rsid w:val="00BF054F"/>
    <w:rsid w:val="00BF0841"/>
    <w:rsid w:val="00BF09FA"/>
    <w:rsid w:val="00BF0CB0"/>
    <w:rsid w:val="00BF0DB6"/>
    <w:rsid w:val="00BF135C"/>
    <w:rsid w:val="00BF13AC"/>
    <w:rsid w:val="00BF18A1"/>
    <w:rsid w:val="00BF1AE7"/>
    <w:rsid w:val="00BF1BE5"/>
    <w:rsid w:val="00BF1CA9"/>
    <w:rsid w:val="00BF1F9E"/>
    <w:rsid w:val="00BF2149"/>
    <w:rsid w:val="00BF22E6"/>
    <w:rsid w:val="00BF2382"/>
    <w:rsid w:val="00BF25A7"/>
    <w:rsid w:val="00BF2859"/>
    <w:rsid w:val="00BF299E"/>
    <w:rsid w:val="00BF29B3"/>
    <w:rsid w:val="00BF2C47"/>
    <w:rsid w:val="00BF2DC2"/>
    <w:rsid w:val="00BF308A"/>
    <w:rsid w:val="00BF31E2"/>
    <w:rsid w:val="00BF3B02"/>
    <w:rsid w:val="00BF3B1C"/>
    <w:rsid w:val="00BF3C70"/>
    <w:rsid w:val="00BF3F0C"/>
    <w:rsid w:val="00BF414A"/>
    <w:rsid w:val="00BF417E"/>
    <w:rsid w:val="00BF431C"/>
    <w:rsid w:val="00BF44CB"/>
    <w:rsid w:val="00BF4687"/>
    <w:rsid w:val="00BF4D97"/>
    <w:rsid w:val="00BF4E65"/>
    <w:rsid w:val="00BF501D"/>
    <w:rsid w:val="00BF50E4"/>
    <w:rsid w:val="00BF51F8"/>
    <w:rsid w:val="00BF5314"/>
    <w:rsid w:val="00BF5325"/>
    <w:rsid w:val="00BF59E5"/>
    <w:rsid w:val="00BF5A1F"/>
    <w:rsid w:val="00BF5B15"/>
    <w:rsid w:val="00BF5D98"/>
    <w:rsid w:val="00BF5DBE"/>
    <w:rsid w:val="00BF5E27"/>
    <w:rsid w:val="00BF5E2D"/>
    <w:rsid w:val="00BF5E30"/>
    <w:rsid w:val="00BF5F27"/>
    <w:rsid w:val="00BF6BAC"/>
    <w:rsid w:val="00BF71D5"/>
    <w:rsid w:val="00BF7210"/>
    <w:rsid w:val="00BF7313"/>
    <w:rsid w:val="00BF75BA"/>
    <w:rsid w:val="00BF78F2"/>
    <w:rsid w:val="00BF7A21"/>
    <w:rsid w:val="00BF7C77"/>
    <w:rsid w:val="00BF7C91"/>
    <w:rsid w:val="00BF7D54"/>
    <w:rsid w:val="00BF7FDC"/>
    <w:rsid w:val="00C0006C"/>
    <w:rsid w:val="00C00158"/>
    <w:rsid w:val="00C00192"/>
    <w:rsid w:val="00C001EB"/>
    <w:rsid w:val="00C0043C"/>
    <w:rsid w:val="00C00771"/>
    <w:rsid w:val="00C00886"/>
    <w:rsid w:val="00C00958"/>
    <w:rsid w:val="00C00959"/>
    <w:rsid w:val="00C009B3"/>
    <w:rsid w:val="00C00A4A"/>
    <w:rsid w:val="00C00AAA"/>
    <w:rsid w:val="00C00B0D"/>
    <w:rsid w:val="00C00B7A"/>
    <w:rsid w:val="00C00BE2"/>
    <w:rsid w:val="00C00DAF"/>
    <w:rsid w:val="00C00E22"/>
    <w:rsid w:val="00C00FF9"/>
    <w:rsid w:val="00C0111D"/>
    <w:rsid w:val="00C01123"/>
    <w:rsid w:val="00C0140A"/>
    <w:rsid w:val="00C0153F"/>
    <w:rsid w:val="00C015B2"/>
    <w:rsid w:val="00C01737"/>
    <w:rsid w:val="00C017C1"/>
    <w:rsid w:val="00C01822"/>
    <w:rsid w:val="00C01BA1"/>
    <w:rsid w:val="00C01C4E"/>
    <w:rsid w:val="00C01C81"/>
    <w:rsid w:val="00C01E0B"/>
    <w:rsid w:val="00C01F4F"/>
    <w:rsid w:val="00C01F87"/>
    <w:rsid w:val="00C01FE5"/>
    <w:rsid w:val="00C02006"/>
    <w:rsid w:val="00C0253B"/>
    <w:rsid w:val="00C028C6"/>
    <w:rsid w:val="00C028CF"/>
    <w:rsid w:val="00C034BA"/>
    <w:rsid w:val="00C0367B"/>
    <w:rsid w:val="00C03789"/>
    <w:rsid w:val="00C037CA"/>
    <w:rsid w:val="00C03857"/>
    <w:rsid w:val="00C03A6C"/>
    <w:rsid w:val="00C03B79"/>
    <w:rsid w:val="00C03C8E"/>
    <w:rsid w:val="00C03D6A"/>
    <w:rsid w:val="00C03EAB"/>
    <w:rsid w:val="00C03F3E"/>
    <w:rsid w:val="00C041FB"/>
    <w:rsid w:val="00C0431E"/>
    <w:rsid w:val="00C044B3"/>
    <w:rsid w:val="00C049FF"/>
    <w:rsid w:val="00C04A68"/>
    <w:rsid w:val="00C04CCC"/>
    <w:rsid w:val="00C04F7C"/>
    <w:rsid w:val="00C05158"/>
    <w:rsid w:val="00C053AF"/>
    <w:rsid w:val="00C056C9"/>
    <w:rsid w:val="00C05E07"/>
    <w:rsid w:val="00C0611D"/>
    <w:rsid w:val="00C061EE"/>
    <w:rsid w:val="00C06390"/>
    <w:rsid w:val="00C06406"/>
    <w:rsid w:val="00C0658B"/>
    <w:rsid w:val="00C0673B"/>
    <w:rsid w:val="00C06798"/>
    <w:rsid w:val="00C06884"/>
    <w:rsid w:val="00C068A2"/>
    <w:rsid w:val="00C06946"/>
    <w:rsid w:val="00C06D39"/>
    <w:rsid w:val="00C06E12"/>
    <w:rsid w:val="00C0782D"/>
    <w:rsid w:val="00C07A96"/>
    <w:rsid w:val="00C07BE0"/>
    <w:rsid w:val="00C07C7A"/>
    <w:rsid w:val="00C07CAA"/>
    <w:rsid w:val="00C07F60"/>
    <w:rsid w:val="00C10061"/>
    <w:rsid w:val="00C1020E"/>
    <w:rsid w:val="00C10210"/>
    <w:rsid w:val="00C10256"/>
    <w:rsid w:val="00C105A6"/>
    <w:rsid w:val="00C105F1"/>
    <w:rsid w:val="00C10603"/>
    <w:rsid w:val="00C10B5B"/>
    <w:rsid w:val="00C10C44"/>
    <w:rsid w:val="00C10CF5"/>
    <w:rsid w:val="00C10D4C"/>
    <w:rsid w:val="00C110A8"/>
    <w:rsid w:val="00C1121D"/>
    <w:rsid w:val="00C114BF"/>
    <w:rsid w:val="00C114C8"/>
    <w:rsid w:val="00C114D4"/>
    <w:rsid w:val="00C11760"/>
    <w:rsid w:val="00C1195A"/>
    <w:rsid w:val="00C119FF"/>
    <w:rsid w:val="00C11F67"/>
    <w:rsid w:val="00C12099"/>
    <w:rsid w:val="00C123BF"/>
    <w:rsid w:val="00C126AC"/>
    <w:rsid w:val="00C128FA"/>
    <w:rsid w:val="00C12DFA"/>
    <w:rsid w:val="00C13064"/>
    <w:rsid w:val="00C1314E"/>
    <w:rsid w:val="00C131C1"/>
    <w:rsid w:val="00C132CE"/>
    <w:rsid w:val="00C13547"/>
    <w:rsid w:val="00C13589"/>
    <w:rsid w:val="00C13706"/>
    <w:rsid w:val="00C1370B"/>
    <w:rsid w:val="00C13B56"/>
    <w:rsid w:val="00C13F5B"/>
    <w:rsid w:val="00C1486F"/>
    <w:rsid w:val="00C14A91"/>
    <w:rsid w:val="00C14DAB"/>
    <w:rsid w:val="00C14E1F"/>
    <w:rsid w:val="00C14FD5"/>
    <w:rsid w:val="00C1511E"/>
    <w:rsid w:val="00C157A3"/>
    <w:rsid w:val="00C1587D"/>
    <w:rsid w:val="00C158C2"/>
    <w:rsid w:val="00C15957"/>
    <w:rsid w:val="00C15A72"/>
    <w:rsid w:val="00C15D5E"/>
    <w:rsid w:val="00C15DFC"/>
    <w:rsid w:val="00C15F9D"/>
    <w:rsid w:val="00C15FFE"/>
    <w:rsid w:val="00C161D1"/>
    <w:rsid w:val="00C161E4"/>
    <w:rsid w:val="00C164A8"/>
    <w:rsid w:val="00C16916"/>
    <w:rsid w:val="00C169E1"/>
    <w:rsid w:val="00C16A24"/>
    <w:rsid w:val="00C16D26"/>
    <w:rsid w:val="00C16F68"/>
    <w:rsid w:val="00C1732E"/>
    <w:rsid w:val="00C17523"/>
    <w:rsid w:val="00C175E9"/>
    <w:rsid w:val="00C17703"/>
    <w:rsid w:val="00C1782C"/>
    <w:rsid w:val="00C178EB"/>
    <w:rsid w:val="00C17984"/>
    <w:rsid w:val="00C17A39"/>
    <w:rsid w:val="00C17A3A"/>
    <w:rsid w:val="00C17D04"/>
    <w:rsid w:val="00C17DDD"/>
    <w:rsid w:val="00C17EA0"/>
    <w:rsid w:val="00C17FC4"/>
    <w:rsid w:val="00C2021A"/>
    <w:rsid w:val="00C204C8"/>
    <w:rsid w:val="00C207BE"/>
    <w:rsid w:val="00C20BB1"/>
    <w:rsid w:val="00C20C58"/>
    <w:rsid w:val="00C2121D"/>
    <w:rsid w:val="00C2149B"/>
    <w:rsid w:val="00C215B8"/>
    <w:rsid w:val="00C215E4"/>
    <w:rsid w:val="00C2165A"/>
    <w:rsid w:val="00C21931"/>
    <w:rsid w:val="00C219C8"/>
    <w:rsid w:val="00C2201A"/>
    <w:rsid w:val="00C22033"/>
    <w:rsid w:val="00C220F5"/>
    <w:rsid w:val="00C221ED"/>
    <w:rsid w:val="00C22391"/>
    <w:rsid w:val="00C22428"/>
    <w:rsid w:val="00C22AAB"/>
    <w:rsid w:val="00C22BB3"/>
    <w:rsid w:val="00C22C78"/>
    <w:rsid w:val="00C22D11"/>
    <w:rsid w:val="00C22E65"/>
    <w:rsid w:val="00C22ED0"/>
    <w:rsid w:val="00C22F31"/>
    <w:rsid w:val="00C22F52"/>
    <w:rsid w:val="00C231BD"/>
    <w:rsid w:val="00C233A5"/>
    <w:rsid w:val="00C23465"/>
    <w:rsid w:val="00C23616"/>
    <w:rsid w:val="00C236B0"/>
    <w:rsid w:val="00C237FF"/>
    <w:rsid w:val="00C23907"/>
    <w:rsid w:val="00C23C92"/>
    <w:rsid w:val="00C23E13"/>
    <w:rsid w:val="00C23EF2"/>
    <w:rsid w:val="00C23FEB"/>
    <w:rsid w:val="00C2423E"/>
    <w:rsid w:val="00C24251"/>
    <w:rsid w:val="00C243AA"/>
    <w:rsid w:val="00C244E8"/>
    <w:rsid w:val="00C246EF"/>
    <w:rsid w:val="00C247EA"/>
    <w:rsid w:val="00C24B26"/>
    <w:rsid w:val="00C24B99"/>
    <w:rsid w:val="00C24DA8"/>
    <w:rsid w:val="00C2508A"/>
    <w:rsid w:val="00C25217"/>
    <w:rsid w:val="00C2558E"/>
    <w:rsid w:val="00C25705"/>
    <w:rsid w:val="00C25D63"/>
    <w:rsid w:val="00C260B3"/>
    <w:rsid w:val="00C26845"/>
    <w:rsid w:val="00C2695E"/>
    <w:rsid w:val="00C26B1F"/>
    <w:rsid w:val="00C26F64"/>
    <w:rsid w:val="00C2703D"/>
    <w:rsid w:val="00C27141"/>
    <w:rsid w:val="00C27244"/>
    <w:rsid w:val="00C2739B"/>
    <w:rsid w:val="00C273FD"/>
    <w:rsid w:val="00C27828"/>
    <w:rsid w:val="00C2782A"/>
    <w:rsid w:val="00C279B7"/>
    <w:rsid w:val="00C279EC"/>
    <w:rsid w:val="00C27A3C"/>
    <w:rsid w:val="00C27A7A"/>
    <w:rsid w:val="00C27A9D"/>
    <w:rsid w:val="00C27ADB"/>
    <w:rsid w:val="00C27C94"/>
    <w:rsid w:val="00C30326"/>
    <w:rsid w:val="00C30629"/>
    <w:rsid w:val="00C308BC"/>
    <w:rsid w:val="00C30DBC"/>
    <w:rsid w:val="00C30F38"/>
    <w:rsid w:val="00C3103E"/>
    <w:rsid w:val="00C31134"/>
    <w:rsid w:val="00C315EB"/>
    <w:rsid w:val="00C31E60"/>
    <w:rsid w:val="00C31E71"/>
    <w:rsid w:val="00C3228B"/>
    <w:rsid w:val="00C3229A"/>
    <w:rsid w:val="00C324ED"/>
    <w:rsid w:val="00C3257B"/>
    <w:rsid w:val="00C326E0"/>
    <w:rsid w:val="00C32816"/>
    <w:rsid w:val="00C32827"/>
    <w:rsid w:val="00C32896"/>
    <w:rsid w:val="00C329AC"/>
    <w:rsid w:val="00C329AE"/>
    <w:rsid w:val="00C32A05"/>
    <w:rsid w:val="00C32A9A"/>
    <w:rsid w:val="00C32BB0"/>
    <w:rsid w:val="00C32D8D"/>
    <w:rsid w:val="00C32E48"/>
    <w:rsid w:val="00C32EE7"/>
    <w:rsid w:val="00C3316D"/>
    <w:rsid w:val="00C3319B"/>
    <w:rsid w:val="00C33295"/>
    <w:rsid w:val="00C338E1"/>
    <w:rsid w:val="00C33AE3"/>
    <w:rsid w:val="00C33CC3"/>
    <w:rsid w:val="00C33ED7"/>
    <w:rsid w:val="00C3414A"/>
    <w:rsid w:val="00C342CE"/>
    <w:rsid w:val="00C345BC"/>
    <w:rsid w:val="00C345ED"/>
    <w:rsid w:val="00C3465D"/>
    <w:rsid w:val="00C34818"/>
    <w:rsid w:val="00C348F2"/>
    <w:rsid w:val="00C34938"/>
    <w:rsid w:val="00C34AE3"/>
    <w:rsid w:val="00C34E96"/>
    <w:rsid w:val="00C3529C"/>
    <w:rsid w:val="00C3535B"/>
    <w:rsid w:val="00C354BF"/>
    <w:rsid w:val="00C35620"/>
    <w:rsid w:val="00C35861"/>
    <w:rsid w:val="00C35883"/>
    <w:rsid w:val="00C35A65"/>
    <w:rsid w:val="00C35C6B"/>
    <w:rsid w:val="00C35D18"/>
    <w:rsid w:val="00C35F9F"/>
    <w:rsid w:val="00C3608B"/>
    <w:rsid w:val="00C361A0"/>
    <w:rsid w:val="00C362FD"/>
    <w:rsid w:val="00C36318"/>
    <w:rsid w:val="00C3658A"/>
    <w:rsid w:val="00C3686B"/>
    <w:rsid w:val="00C36986"/>
    <w:rsid w:val="00C36DF4"/>
    <w:rsid w:val="00C3703F"/>
    <w:rsid w:val="00C371C8"/>
    <w:rsid w:val="00C3745F"/>
    <w:rsid w:val="00C3749A"/>
    <w:rsid w:val="00C377F0"/>
    <w:rsid w:val="00C37B51"/>
    <w:rsid w:val="00C37C50"/>
    <w:rsid w:val="00C37D3D"/>
    <w:rsid w:val="00C37D83"/>
    <w:rsid w:val="00C37EDC"/>
    <w:rsid w:val="00C37F07"/>
    <w:rsid w:val="00C404C9"/>
    <w:rsid w:val="00C405C2"/>
    <w:rsid w:val="00C405E1"/>
    <w:rsid w:val="00C40687"/>
    <w:rsid w:val="00C408E9"/>
    <w:rsid w:val="00C40AC9"/>
    <w:rsid w:val="00C41018"/>
    <w:rsid w:val="00C4110A"/>
    <w:rsid w:val="00C411AE"/>
    <w:rsid w:val="00C413FD"/>
    <w:rsid w:val="00C41583"/>
    <w:rsid w:val="00C41604"/>
    <w:rsid w:val="00C41B5D"/>
    <w:rsid w:val="00C41C2E"/>
    <w:rsid w:val="00C41C6D"/>
    <w:rsid w:val="00C41DD3"/>
    <w:rsid w:val="00C424E4"/>
    <w:rsid w:val="00C429D8"/>
    <w:rsid w:val="00C42AC6"/>
    <w:rsid w:val="00C42B0F"/>
    <w:rsid w:val="00C42C6C"/>
    <w:rsid w:val="00C42EE2"/>
    <w:rsid w:val="00C43368"/>
    <w:rsid w:val="00C4339A"/>
    <w:rsid w:val="00C43441"/>
    <w:rsid w:val="00C435DC"/>
    <w:rsid w:val="00C4369E"/>
    <w:rsid w:val="00C437C9"/>
    <w:rsid w:val="00C437E2"/>
    <w:rsid w:val="00C43947"/>
    <w:rsid w:val="00C4396D"/>
    <w:rsid w:val="00C43EEE"/>
    <w:rsid w:val="00C43FE6"/>
    <w:rsid w:val="00C4415A"/>
    <w:rsid w:val="00C4424B"/>
    <w:rsid w:val="00C4425D"/>
    <w:rsid w:val="00C4427A"/>
    <w:rsid w:val="00C44287"/>
    <w:rsid w:val="00C4440D"/>
    <w:rsid w:val="00C44434"/>
    <w:rsid w:val="00C44524"/>
    <w:rsid w:val="00C44530"/>
    <w:rsid w:val="00C446E2"/>
    <w:rsid w:val="00C44742"/>
    <w:rsid w:val="00C44A8B"/>
    <w:rsid w:val="00C44AD0"/>
    <w:rsid w:val="00C44E65"/>
    <w:rsid w:val="00C451E7"/>
    <w:rsid w:val="00C4542D"/>
    <w:rsid w:val="00C455D7"/>
    <w:rsid w:val="00C45620"/>
    <w:rsid w:val="00C45860"/>
    <w:rsid w:val="00C45AE5"/>
    <w:rsid w:val="00C45E30"/>
    <w:rsid w:val="00C45E93"/>
    <w:rsid w:val="00C460C3"/>
    <w:rsid w:val="00C46257"/>
    <w:rsid w:val="00C46464"/>
    <w:rsid w:val="00C4689F"/>
    <w:rsid w:val="00C46950"/>
    <w:rsid w:val="00C46B0B"/>
    <w:rsid w:val="00C46B1B"/>
    <w:rsid w:val="00C47250"/>
    <w:rsid w:val="00C4738E"/>
    <w:rsid w:val="00C47497"/>
    <w:rsid w:val="00C47510"/>
    <w:rsid w:val="00C4759C"/>
    <w:rsid w:val="00C47643"/>
    <w:rsid w:val="00C479B1"/>
    <w:rsid w:val="00C47A2C"/>
    <w:rsid w:val="00C47AFF"/>
    <w:rsid w:val="00C47C84"/>
    <w:rsid w:val="00C47F9B"/>
    <w:rsid w:val="00C50191"/>
    <w:rsid w:val="00C5081D"/>
    <w:rsid w:val="00C50B33"/>
    <w:rsid w:val="00C50C47"/>
    <w:rsid w:val="00C50D2D"/>
    <w:rsid w:val="00C50F7B"/>
    <w:rsid w:val="00C514D1"/>
    <w:rsid w:val="00C514FC"/>
    <w:rsid w:val="00C51575"/>
    <w:rsid w:val="00C51927"/>
    <w:rsid w:val="00C51B0D"/>
    <w:rsid w:val="00C51BA5"/>
    <w:rsid w:val="00C51C0C"/>
    <w:rsid w:val="00C51C37"/>
    <w:rsid w:val="00C51C89"/>
    <w:rsid w:val="00C51E63"/>
    <w:rsid w:val="00C51FDE"/>
    <w:rsid w:val="00C521C7"/>
    <w:rsid w:val="00C5255D"/>
    <w:rsid w:val="00C52A2B"/>
    <w:rsid w:val="00C52B91"/>
    <w:rsid w:val="00C52BDC"/>
    <w:rsid w:val="00C53081"/>
    <w:rsid w:val="00C530E6"/>
    <w:rsid w:val="00C53171"/>
    <w:rsid w:val="00C53617"/>
    <w:rsid w:val="00C537BB"/>
    <w:rsid w:val="00C537FE"/>
    <w:rsid w:val="00C53B8B"/>
    <w:rsid w:val="00C53EA7"/>
    <w:rsid w:val="00C54078"/>
    <w:rsid w:val="00C54525"/>
    <w:rsid w:val="00C54682"/>
    <w:rsid w:val="00C547D4"/>
    <w:rsid w:val="00C54CCF"/>
    <w:rsid w:val="00C54D56"/>
    <w:rsid w:val="00C54DF7"/>
    <w:rsid w:val="00C54E69"/>
    <w:rsid w:val="00C54FDD"/>
    <w:rsid w:val="00C55256"/>
    <w:rsid w:val="00C5539B"/>
    <w:rsid w:val="00C557F2"/>
    <w:rsid w:val="00C559FD"/>
    <w:rsid w:val="00C55BFD"/>
    <w:rsid w:val="00C55C90"/>
    <w:rsid w:val="00C56132"/>
    <w:rsid w:val="00C56883"/>
    <w:rsid w:val="00C56964"/>
    <w:rsid w:val="00C56BAF"/>
    <w:rsid w:val="00C56D73"/>
    <w:rsid w:val="00C56F36"/>
    <w:rsid w:val="00C56F9E"/>
    <w:rsid w:val="00C572AC"/>
    <w:rsid w:val="00C573E8"/>
    <w:rsid w:val="00C573FE"/>
    <w:rsid w:val="00C574B6"/>
    <w:rsid w:val="00C5764B"/>
    <w:rsid w:val="00C57745"/>
    <w:rsid w:val="00C57AA0"/>
    <w:rsid w:val="00C57AC9"/>
    <w:rsid w:val="00C57B94"/>
    <w:rsid w:val="00C57D05"/>
    <w:rsid w:val="00C57F07"/>
    <w:rsid w:val="00C6021F"/>
    <w:rsid w:val="00C602C9"/>
    <w:rsid w:val="00C602F0"/>
    <w:rsid w:val="00C60847"/>
    <w:rsid w:val="00C60986"/>
    <w:rsid w:val="00C60B09"/>
    <w:rsid w:val="00C60E49"/>
    <w:rsid w:val="00C60F5A"/>
    <w:rsid w:val="00C6118B"/>
    <w:rsid w:val="00C611C9"/>
    <w:rsid w:val="00C615A6"/>
    <w:rsid w:val="00C61722"/>
    <w:rsid w:val="00C618B6"/>
    <w:rsid w:val="00C618B7"/>
    <w:rsid w:val="00C6199A"/>
    <w:rsid w:val="00C61A38"/>
    <w:rsid w:val="00C61A94"/>
    <w:rsid w:val="00C61D43"/>
    <w:rsid w:val="00C61EF4"/>
    <w:rsid w:val="00C62066"/>
    <w:rsid w:val="00C6219F"/>
    <w:rsid w:val="00C6220F"/>
    <w:rsid w:val="00C62378"/>
    <w:rsid w:val="00C624DE"/>
    <w:rsid w:val="00C62554"/>
    <w:rsid w:val="00C6256B"/>
    <w:rsid w:val="00C627AC"/>
    <w:rsid w:val="00C62920"/>
    <w:rsid w:val="00C629BD"/>
    <w:rsid w:val="00C62BA8"/>
    <w:rsid w:val="00C62BD8"/>
    <w:rsid w:val="00C62C31"/>
    <w:rsid w:val="00C63270"/>
    <w:rsid w:val="00C634BC"/>
    <w:rsid w:val="00C63642"/>
    <w:rsid w:val="00C639F2"/>
    <w:rsid w:val="00C63A17"/>
    <w:rsid w:val="00C63B4F"/>
    <w:rsid w:val="00C63C13"/>
    <w:rsid w:val="00C63E1B"/>
    <w:rsid w:val="00C63ED4"/>
    <w:rsid w:val="00C63FF4"/>
    <w:rsid w:val="00C643E0"/>
    <w:rsid w:val="00C64443"/>
    <w:rsid w:val="00C6452E"/>
    <w:rsid w:val="00C645B8"/>
    <w:rsid w:val="00C645BF"/>
    <w:rsid w:val="00C64662"/>
    <w:rsid w:val="00C647DD"/>
    <w:rsid w:val="00C64822"/>
    <w:rsid w:val="00C64D51"/>
    <w:rsid w:val="00C651D4"/>
    <w:rsid w:val="00C6537F"/>
    <w:rsid w:val="00C655F1"/>
    <w:rsid w:val="00C659B5"/>
    <w:rsid w:val="00C659FB"/>
    <w:rsid w:val="00C65F92"/>
    <w:rsid w:val="00C6602B"/>
    <w:rsid w:val="00C6604E"/>
    <w:rsid w:val="00C66376"/>
    <w:rsid w:val="00C663B8"/>
    <w:rsid w:val="00C6651A"/>
    <w:rsid w:val="00C665DD"/>
    <w:rsid w:val="00C667BB"/>
    <w:rsid w:val="00C66896"/>
    <w:rsid w:val="00C66995"/>
    <w:rsid w:val="00C66EF1"/>
    <w:rsid w:val="00C66F0A"/>
    <w:rsid w:val="00C67133"/>
    <w:rsid w:val="00C67330"/>
    <w:rsid w:val="00C6744E"/>
    <w:rsid w:val="00C6758C"/>
    <w:rsid w:val="00C6762A"/>
    <w:rsid w:val="00C6779E"/>
    <w:rsid w:val="00C6782C"/>
    <w:rsid w:val="00C678CE"/>
    <w:rsid w:val="00C67A31"/>
    <w:rsid w:val="00C67B07"/>
    <w:rsid w:val="00C67BAC"/>
    <w:rsid w:val="00C67C13"/>
    <w:rsid w:val="00C67D42"/>
    <w:rsid w:val="00C67E66"/>
    <w:rsid w:val="00C703F0"/>
    <w:rsid w:val="00C70455"/>
    <w:rsid w:val="00C70658"/>
    <w:rsid w:val="00C70770"/>
    <w:rsid w:val="00C70BAF"/>
    <w:rsid w:val="00C70C27"/>
    <w:rsid w:val="00C70DE0"/>
    <w:rsid w:val="00C71113"/>
    <w:rsid w:val="00C7128E"/>
    <w:rsid w:val="00C71449"/>
    <w:rsid w:val="00C7157A"/>
    <w:rsid w:val="00C7171E"/>
    <w:rsid w:val="00C71886"/>
    <w:rsid w:val="00C719E0"/>
    <w:rsid w:val="00C71A30"/>
    <w:rsid w:val="00C71E3B"/>
    <w:rsid w:val="00C71E45"/>
    <w:rsid w:val="00C71EA8"/>
    <w:rsid w:val="00C72105"/>
    <w:rsid w:val="00C7225A"/>
    <w:rsid w:val="00C722FA"/>
    <w:rsid w:val="00C7252D"/>
    <w:rsid w:val="00C7259E"/>
    <w:rsid w:val="00C7280B"/>
    <w:rsid w:val="00C728C8"/>
    <w:rsid w:val="00C72D54"/>
    <w:rsid w:val="00C72D97"/>
    <w:rsid w:val="00C72DDE"/>
    <w:rsid w:val="00C72EC1"/>
    <w:rsid w:val="00C73093"/>
    <w:rsid w:val="00C733CB"/>
    <w:rsid w:val="00C73417"/>
    <w:rsid w:val="00C73450"/>
    <w:rsid w:val="00C734D3"/>
    <w:rsid w:val="00C7363E"/>
    <w:rsid w:val="00C73762"/>
    <w:rsid w:val="00C7380B"/>
    <w:rsid w:val="00C73A9A"/>
    <w:rsid w:val="00C73B75"/>
    <w:rsid w:val="00C74318"/>
    <w:rsid w:val="00C7432D"/>
    <w:rsid w:val="00C745AD"/>
    <w:rsid w:val="00C7463A"/>
    <w:rsid w:val="00C7499B"/>
    <w:rsid w:val="00C74ED0"/>
    <w:rsid w:val="00C75375"/>
    <w:rsid w:val="00C75428"/>
    <w:rsid w:val="00C756E8"/>
    <w:rsid w:val="00C7573A"/>
    <w:rsid w:val="00C757A5"/>
    <w:rsid w:val="00C7582D"/>
    <w:rsid w:val="00C75861"/>
    <w:rsid w:val="00C758FC"/>
    <w:rsid w:val="00C759C4"/>
    <w:rsid w:val="00C75B10"/>
    <w:rsid w:val="00C75CA8"/>
    <w:rsid w:val="00C76005"/>
    <w:rsid w:val="00C761A1"/>
    <w:rsid w:val="00C763E8"/>
    <w:rsid w:val="00C76406"/>
    <w:rsid w:val="00C76818"/>
    <w:rsid w:val="00C76B13"/>
    <w:rsid w:val="00C76C0F"/>
    <w:rsid w:val="00C76C8D"/>
    <w:rsid w:val="00C76D13"/>
    <w:rsid w:val="00C77038"/>
    <w:rsid w:val="00C77047"/>
    <w:rsid w:val="00C771B7"/>
    <w:rsid w:val="00C7740B"/>
    <w:rsid w:val="00C774AD"/>
    <w:rsid w:val="00C7768B"/>
    <w:rsid w:val="00C7781A"/>
    <w:rsid w:val="00C778F1"/>
    <w:rsid w:val="00C7798B"/>
    <w:rsid w:val="00C77A2C"/>
    <w:rsid w:val="00C77B09"/>
    <w:rsid w:val="00C77FDB"/>
    <w:rsid w:val="00C808A8"/>
    <w:rsid w:val="00C80985"/>
    <w:rsid w:val="00C809CE"/>
    <w:rsid w:val="00C80BC0"/>
    <w:rsid w:val="00C80CA2"/>
    <w:rsid w:val="00C810D9"/>
    <w:rsid w:val="00C8145E"/>
    <w:rsid w:val="00C815D5"/>
    <w:rsid w:val="00C815EC"/>
    <w:rsid w:val="00C8167C"/>
    <w:rsid w:val="00C8186C"/>
    <w:rsid w:val="00C819D4"/>
    <w:rsid w:val="00C81A38"/>
    <w:rsid w:val="00C81C05"/>
    <w:rsid w:val="00C82233"/>
    <w:rsid w:val="00C82489"/>
    <w:rsid w:val="00C825CD"/>
    <w:rsid w:val="00C826B5"/>
    <w:rsid w:val="00C827A4"/>
    <w:rsid w:val="00C82ABB"/>
    <w:rsid w:val="00C82AD1"/>
    <w:rsid w:val="00C82BC2"/>
    <w:rsid w:val="00C82C98"/>
    <w:rsid w:val="00C82DAA"/>
    <w:rsid w:val="00C82DEA"/>
    <w:rsid w:val="00C82E14"/>
    <w:rsid w:val="00C8319B"/>
    <w:rsid w:val="00C831A3"/>
    <w:rsid w:val="00C8332C"/>
    <w:rsid w:val="00C83429"/>
    <w:rsid w:val="00C8347F"/>
    <w:rsid w:val="00C8386F"/>
    <w:rsid w:val="00C838D5"/>
    <w:rsid w:val="00C83921"/>
    <w:rsid w:val="00C8398B"/>
    <w:rsid w:val="00C83D00"/>
    <w:rsid w:val="00C83E30"/>
    <w:rsid w:val="00C844F3"/>
    <w:rsid w:val="00C844F8"/>
    <w:rsid w:val="00C84644"/>
    <w:rsid w:val="00C846C9"/>
    <w:rsid w:val="00C84ADE"/>
    <w:rsid w:val="00C84C4E"/>
    <w:rsid w:val="00C84D4B"/>
    <w:rsid w:val="00C84FDE"/>
    <w:rsid w:val="00C85128"/>
    <w:rsid w:val="00C852D1"/>
    <w:rsid w:val="00C852F1"/>
    <w:rsid w:val="00C8570F"/>
    <w:rsid w:val="00C85819"/>
    <w:rsid w:val="00C85983"/>
    <w:rsid w:val="00C85B89"/>
    <w:rsid w:val="00C85CDF"/>
    <w:rsid w:val="00C85D0C"/>
    <w:rsid w:val="00C85D8A"/>
    <w:rsid w:val="00C85DDA"/>
    <w:rsid w:val="00C85F50"/>
    <w:rsid w:val="00C86252"/>
    <w:rsid w:val="00C865FF"/>
    <w:rsid w:val="00C867FE"/>
    <w:rsid w:val="00C86960"/>
    <w:rsid w:val="00C86E1D"/>
    <w:rsid w:val="00C86FDD"/>
    <w:rsid w:val="00C870E5"/>
    <w:rsid w:val="00C87229"/>
    <w:rsid w:val="00C877D7"/>
    <w:rsid w:val="00C87875"/>
    <w:rsid w:val="00C879E2"/>
    <w:rsid w:val="00C879F4"/>
    <w:rsid w:val="00C87CFC"/>
    <w:rsid w:val="00C87E26"/>
    <w:rsid w:val="00C87F6A"/>
    <w:rsid w:val="00C901D2"/>
    <w:rsid w:val="00C9039A"/>
    <w:rsid w:val="00C904C1"/>
    <w:rsid w:val="00C90511"/>
    <w:rsid w:val="00C90584"/>
    <w:rsid w:val="00C9066F"/>
    <w:rsid w:val="00C907CF"/>
    <w:rsid w:val="00C907EC"/>
    <w:rsid w:val="00C90BAC"/>
    <w:rsid w:val="00C90F00"/>
    <w:rsid w:val="00C911BF"/>
    <w:rsid w:val="00C91244"/>
    <w:rsid w:val="00C91391"/>
    <w:rsid w:val="00C913A0"/>
    <w:rsid w:val="00C914BF"/>
    <w:rsid w:val="00C91A44"/>
    <w:rsid w:val="00C91A99"/>
    <w:rsid w:val="00C91C84"/>
    <w:rsid w:val="00C91CC1"/>
    <w:rsid w:val="00C91CE6"/>
    <w:rsid w:val="00C91DB0"/>
    <w:rsid w:val="00C9221A"/>
    <w:rsid w:val="00C92371"/>
    <w:rsid w:val="00C923CD"/>
    <w:rsid w:val="00C92417"/>
    <w:rsid w:val="00C92586"/>
    <w:rsid w:val="00C927AB"/>
    <w:rsid w:val="00C928F1"/>
    <w:rsid w:val="00C92C14"/>
    <w:rsid w:val="00C92DD4"/>
    <w:rsid w:val="00C92F26"/>
    <w:rsid w:val="00C9324D"/>
    <w:rsid w:val="00C932A1"/>
    <w:rsid w:val="00C93603"/>
    <w:rsid w:val="00C9369F"/>
    <w:rsid w:val="00C9391A"/>
    <w:rsid w:val="00C939A7"/>
    <w:rsid w:val="00C939CF"/>
    <w:rsid w:val="00C93BDD"/>
    <w:rsid w:val="00C93C65"/>
    <w:rsid w:val="00C93F4A"/>
    <w:rsid w:val="00C93F6B"/>
    <w:rsid w:val="00C93F7A"/>
    <w:rsid w:val="00C94295"/>
    <w:rsid w:val="00C942F7"/>
    <w:rsid w:val="00C9496C"/>
    <w:rsid w:val="00C94B77"/>
    <w:rsid w:val="00C94D10"/>
    <w:rsid w:val="00C94D30"/>
    <w:rsid w:val="00C94DB8"/>
    <w:rsid w:val="00C94FD3"/>
    <w:rsid w:val="00C95179"/>
    <w:rsid w:val="00C951F0"/>
    <w:rsid w:val="00C95224"/>
    <w:rsid w:val="00C952B3"/>
    <w:rsid w:val="00C952FB"/>
    <w:rsid w:val="00C95330"/>
    <w:rsid w:val="00C95413"/>
    <w:rsid w:val="00C95587"/>
    <w:rsid w:val="00C95592"/>
    <w:rsid w:val="00C955E8"/>
    <w:rsid w:val="00C95630"/>
    <w:rsid w:val="00C9570C"/>
    <w:rsid w:val="00C95781"/>
    <w:rsid w:val="00C9580C"/>
    <w:rsid w:val="00C95CC1"/>
    <w:rsid w:val="00C962B4"/>
    <w:rsid w:val="00C963F6"/>
    <w:rsid w:val="00C967B5"/>
    <w:rsid w:val="00C96CC2"/>
    <w:rsid w:val="00C97152"/>
    <w:rsid w:val="00C9725D"/>
    <w:rsid w:val="00C973D0"/>
    <w:rsid w:val="00C97487"/>
    <w:rsid w:val="00C9748E"/>
    <w:rsid w:val="00C97680"/>
    <w:rsid w:val="00C976B7"/>
    <w:rsid w:val="00C978F3"/>
    <w:rsid w:val="00C97DF2"/>
    <w:rsid w:val="00C97F09"/>
    <w:rsid w:val="00C97F13"/>
    <w:rsid w:val="00C97F88"/>
    <w:rsid w:val="00C97FB3"/>
    <w:rsid w:val="00CA0054"/>
    <w:rsid w:val="00CA00A3"/>
    <w:rsid w:val="00CA0108"/>
    <w:rsid w:val="00CA0321"/>
    <w:rsid w:val="00CA09B4"/>
    <w:rsid w:val="00CA0BD9"/>
    <w:rsid w:val="00CA0C01"/>
    <w:rsid w:val="00CA1051"/>
    <w:rsid w:val="00CA131D"/>
    <w:rsid w:val="00CA1322"/>
    <w:rsid w:val="00CA134B"/>
    <w:rsid w:val="00CA15D5"/>
    <w:rsid w:val="00CA196B"/>
    <w:rsid w:val="00CA223A"/>
    <w:rsid w:val="00CA24E1"/>
    <w:rsid w:val="00CA26A7"/>
    <w:rsid w:val="00CA26E9"/>
    <w:rsid w:val="00CA2BD6"/>
    <w:rsid w:val="00CA2C04"/>
    <w:rsid w:val="00CA2D2F"/>
    <w:rsid w:val="00CA3058"/>
    <w:rsid w:val="00CA3204"/>
    <w:rsid w:val="00CA3245"/>
    <w:rsid w:val="00CA3571"/>
    <w:rsid w:val="00CA382B"/>
    <w:rsid w:val="00CA3CBC"/>
    <w:rsid w:val="00CA3ED6"/>
    <w:rsid w:val="00CA4079"/>
    <w:rsid w:val="00CA417C"/>
    <w:rsid w:val="00CA419B"/>
    <w:rsid w:val="00CA4301"/>
    <w:rsid w:val="00CA4395"/>
    <w:rsid w:val="00CA457C"/>
    <w:rsid w:val="00CA4580"/>
    <w:rsid w:val="00CA465B"/>
    <w:rsid w:val="00CA4925"/>
    <w:rsid w:val="00CA4DB1"/>
    <w:rsid w:val="00CA4EDE"/>
    <w:rsid w:val="00CA4FE2"/>
    <w:rsid w:val="00CA51AD"/>
    <w:rsid w:val="00CA5445"/>
    <w:rsid w:val="00CA5485"/>
    <w:rsid w:val="00CA5678"/>
    <w:rsid w:val="00CA569E"/>
    <w:rsid w:val="00CA5808"/>
    <w:rsid w:val="00CA5922"/>
    <w:rsid w:val="00CA5B1A"/>
    <w:rsid w:val="00CA5BC4"/>
    <w:rsid w:val="00CA5BF0"/>
    <w:rsid w:val="00CA61A6"/>
    <w:rsid w:val="00CA6208"/>
    <w:rsid w:val="00CA650C"/>
    <w:rsid w:val="00CA6AE3"/>
    <w:rsid w:val="00CA6C3D"/>
    <w:rsid w:val="00CA6D82"/>
    <w:rsid w:val="00CA6E1B"/>
    <w:rsid w:val="00CA6E1D"/>
    <w:rsid w:val="00CA6F27"/>
    <w:rsid w:val="00CA7353"/>
    <w:rsid w:val="00CA7369"/>
    <w:rsid w:val="00CA73D5"/>
    <w:rsid w:val="00CA7565"/>
    <w:rsid w:val="00CA75CC"/>
    <w:rsid w:val="00CA7B80"/>
    <w:rsid w:val="00CA7F54"/>
    <w:rsid w:val="00CB007D"/>
    <w:rsid w:val="00CB00DE"/>
    <w:rsid w:val="00CB01FE"/>
    <w:rsid w:val="00CB02A7"/>
    <w:rsid w:val="00CB02AF"/>
    <w:rsid w:val="00CB04C1"/>
    <w:rsid w:val="00CB04E0"/>
    <w:rsid w:val="00CB0536"/>
    <w:rsid w:val="00CB0A52"/>
    <w:rsid w:val="00CB0BE1"/>
    <w:rsid w:val="00CB108C"/>
    <w:rsid w:val="00CB132F"/>
    <w:rsid w:val="00CB14A6"/>
    <w:rsid w:val="00CB1551"/>
    <w:rsid w:val="00CB1592"/>
    <w:rsid w:val="00CB16C8"/>
    <w:rsid w:val="00CB17B1"/>
    <w:rsid w:val="00CB2149"/>
    <w:rsid w:val="00CB2380"/>
    <w:rsid w:val="00CB23BF"/>
    <w:rsid w:val="00CB23D2"/>
    <w:rsid w:val="00CB2683"/>
    <w:rsid w:val="00CB27D1"/>
    <w:rsid w:val="00CB27DB"/>
    <w:rsid w:val="00CB2825"/>
    <w:rsid w:val="00CB299A"/>
    <w:rsid w:val="00CB2D83"/>
    <w:rsid w:val="00CB2F0F"/>
    <w:rsid w:val="00CB2F18"/>
    <w:rsid w:val="00CB2F6D"/>
    <w:rsid w:val="00CB322D"/>
    <w:rsid w:val="00CB3280"/>
    <w:rsid w:val="00CB33D5"/>
    <w:rsid w:val="00CB3417"/>
    <w:rsid w:val="00CB34B9"/>
    <w:rsid w:val="00CB356E"/>
    <w:rsid w:val="00CB3656"/>
    <w:rsid w:val="00CB3906"/>
    <w:rsid w:val="00CB3A90"/>
    <w:rsid w:val="00CB3A99"/>
    <w:rsid w:val="00CB3C6D"/>
    <w:rsid w:val="00CB3E42"/>
    <w:rsid w:val="00CB3FAE"/>
    <w:rsid w:val="00CB3FE8"/>
    <w:rsid w:val="00CB4028"/>
    <w:rsid w:val="00CB404E"/>
    <w:rsid w:val="00CB4158"/>
    <w:rsid w:val="00CB45D6"/>
    <w:rsid w:val="00CB4653"/>
    <w:rsid w:val="00CB4859"/>
    <w:rsid w:val="00CB4A0A"/>
    <w:rsid w:val="00CB4B3C"/>
    <w:rsid w:val="00CB4DD1"/>
    <w:rsid w:val="00CB4E43"/>
    <w:rsid w:val="00CB4F62"/>
    <w:rsid w:val="00CB5091"/>
    <w:rsid w:val="00CB52DD"/>
    <w:rsid w:val="00CB5529"/>
    <w:rsid w:val="00CB57DD"/>
    <w:rsid w:val="00CB5922"/>
    <w:rsid w:val="00CB59E3"/>
    <w:rsid w:val="00CB5A0E"/>
    <w:rsid w:val="00CB5ACD"/>
    <w:rsid w:val="00CB5B0F"/>
    <w:rsid w:val="00CB5D80"/>
    <w:rsid w:val="00CB5FDC"/>
    <w:rsid w:val="00CB6096"/>
    <w:rsid w:val="00CB61AB"/>
    <w:rsid w:val="00CB62A0"/>
    <w:rsid w:val="00CB6456"/>
    <w:rsid w:val="00CB6479"/>
    <w:rsid w:val="00CB647E"/>
    <w:rsid w:val="00CB6560"/>
    <w:rsid w:val="00CB65D2"/>
    <w:rsid w:val="00CB65F4"/>
    <w:rsid w:val="00CB67CC"/>
    <w:rsid w:val="00CB687A"/>
    <w:rsid w:val="00CB6897"/>
    <w:rsid w:val="00CB6C83"/>
    <w:rsid w:val="00CB724B"/>
    <w:rsid w:val="00CB741E"/>
    <w:rsid w:val="00CB7884"/>
    <w:rsid w:val="00CB797E"/>
    <w:rsid w:val="00CB7AD0"/>
    <w:rsid w:val="00CB7AFF"/>
    <w:rsid w:val="00CB7D0E"/>
    <w:rsid w:val="00CC0010"/>
    <w:rsid w:val="00CC015F"/>
    <w:rsid w:val="00CC0435"/>
    <w:rsid w:val="00CC054D"/>
    <w:rsid w:val="00CC0B3E"/>
    <w:rsid w:val="00CC0BAB"/>
    <w:rsid w:val="00CC0D6F"/>
    <w:rsid w:val="00CC0EFA"/>
    <w:rsid w:val="00CC10C0"/>
    <w:rsid w:val="00CC11FA"/>
    <w:rsid w:val="00CC13F8"/>
    <w:rsid w:val="00CC17D9"/>
    <w:rsid w:val="00CC1BB7"/>
    <w:rsid w:val="00CC1C1B"/>
    <w:rsid w:val="00CC1DD5"/>
    <w:rsid w:val="00CC1F56"/>
    <w:rsid w:val="00CC2014"/>
    <w:rsid w:val="00CC20C9"/>
    <w:rsid w:val="00CC2473"/>
    <w:rsid w:val="00CC2503"/>
    <w:rsid w:val="00CC25ED"/>
    <w:rsid w:val="00CC27DF"/>
    <w:rsid w:val="00CC2CA3"/>
    <w:rsid w:val="00CC2D9F"/>
    <w:rsid w:val="00CC2E36"/>
    <w:rsid w:val="00CC327A"/>
    <w:rsid w:val="00CC342C"/>
    <w:rsid w:val="00CC34EE"/>
    <w:rsid w:val="00CC3507"/>
    <w:rsid w:val="00CC36D7"/>
    <w:rsid w:val="00CC3B49"/>
    <w:rsid w:val="00CC3BD7"/>
    <w:rsid w:val="00CC3CD9"/>
    <w:rsid w:val="00CC3CF2"/>
    <w:rsid w:val="00CC3DF7"/>
    <w:rsid w:val="00CC40C8"/>
    <w:rsid w:val="00CC40E9"/>
    <w:rsid w:val="00CC43EC"/>
    <w:rsid w:val="00CC4752"/>
    <w:rsid w:val="00CC4824"/>
    <w:rsid w:val="00CC53C6"/>
    <w:rsid w:val="00CC5504"/>
    <w:rsid w:val="00CC5726"/>
    <w:rsid w:val="00CC593F"/>
    <w:rsid w:val="00CC5C33"/>
    <w:rsid w:val="00CC652C"/>
    <w:rsid w:val="00CC65C3"/>
    <w:rsid w:val="00CC672D"/>
    <w:rsid w:val="00CC687F"/>
    <w:rsid w:val="00CC689E"/>
    <w:rsid w:val="00CC6C56"/>
    <w:rsid w:val="00CC6C8A"/>
    <w:rsid w:val="00CC6ED9"/>
    <w:rsid w:val="00CC755C"/>
    <w:rsid w:val="00CC76F8"/>
    <w:rsid w:val="00CC7ADE"/>
    <w:rsid w:val="00CC7B20"/>
    <w:rsid w:val="00CC7FCD"/>
    <w:rsid w:val="00CD00EC"/>
    <w:rsid w:val="00CD031D"/>
    <w:rsid w:val="00CD090B"/>
    <w:rsid w:val="00CD09A7"/>
    <w:rsid w:val="00CD0B7A"/>
    <w:rsid w:val="00CD0EFE"/>
    <w:rsid w:val="00CD0F06"/>
    <w:rsid w:val="00CD0F65"/>
    <w:rsid w:val="00CD1201"/>
    <w:rsid w:val="00CD14C2"/>
    <w:rsid w:val="00CD1857"/>
    <w:rsid w:val="00CD1940"/>
    <w:rsid w:val="00CD1A1C"/>
    <w:rsid w:val="00CD1DD8"/>
    <w:rsid w:val="00CD21B3"/>
    <w:rsid w:val="00CD235F"/>
    <w:rsid w:val="00CD2362"/>
    <w:rsid w:val="00CD2392"/>
    <w:rsid w:val="00CD2420"/>
    <w:rsid w:val="00CD24C3"/>
    <w:rsid w:val="00CD2839"/>
    <w:rsid w:val="00CD2A05"/>
    <w:rsid w:val="00CD2AC3"/>
    <w:rsid w:val="00CD2B96"/>
    <w:rsid w:val="00CD2B98"/>
    <w:rsid w:val="00CD30BE"/>
    <w:rsid w:val="00CD32E1"/>
    <w:rsid w:val="00CD3491"/>
    <w:rsid w:val="00CD3822"/>
    <w:rsid w:val="00CD39DB"/>
    <w:rsid w:val="00CD3BE3"/>
    <w:rsid w:val="00CD3C17"/>
    <w:rsid w:val="00CD4390"/>
    <w:rsid w:val="00CD4469"/>
    <w:rsid w:val="00CD47D6"/>
    <w:rsid w:val="00CD4977"/>
    <w:rsid w:val="00CD4AB5"/>
    <w:rsid w:val="00CD4DF0"/>
    <w:rsid w:val="00CD4F22"/>
    <w:rsid w:val="00CD4F58"/>
    <w:rsid w:val="00CD5080"/>
    <w:rsid w:val="00CD50A8"/>
    <w:rsid w:val="00CD5525"/>
    <w:rsid w:val="00CD55EF"/>
    <w:rsid w:val="00CD57FB"/>
    <w:rsid w:val="00CD591E"/>
    <w:rsid w:val="00CD5B62"/>
    <w:rsid w:val="00CD5B86"/>
    <w:rsid w:val="00CD5D94"/>
    <w:rsid w:val="00CD5E78"/>
    <w:rsid w:val="00CD61F0"/>
    <w:rsid w:val="00CD649F"/>
    <w:rsid w:val="00CD67C0"/>
    <w:rsid w:val="00CD68DC"/>
    <w:rsid w:val="00CD69D5"/>
    <w:rsid w:val="00CD6A3C"/>
    <w:rsid w:val="00CD6AFF"/>
    <w:rsid w:val="00CD6E1A"/>
    <w:rsid w:val="00CD6E51"/>
    <w:rsid w:val="00CD6F34"/>
    <w:rsid w:val="00CD70B9"/>
    <w:rsid w:val="00CD71DB"/>
    <w:rsid w:val="00CD734B"/>
    <w:rsid w:val="00CD738B"/>
    <w:rsid w:val="00CD7524"/>
    <w:rsid w:val="00CD757D"/>
    <w:rsid w:val="00CD77AD"/>
    <w:rsid w:val="00CE053D"/>
    <w:rsid w:val="00CE0615"/>
    <w:rsid w:val="00CE076A"/>
    <w:rsid w:val="00CE0945"/>
    <w:rsid w:val="00CE0A86"/>
    <w:rsid w:val="00CE0A89"/>
    <w:rsid w:val="00CE0AAF"/>
    <w:rsid w:val="00CE0B71"/>
    <w:rsid w:val="00CE0C47"/>
    <w:rsid w:val="00CE0D9A"/>
    <w:rsid w:val="00CE0F07"/>
    <w:rsid w:val="00CE1002"/>
    <w:rsid w:val="00CE13F6"/>
    <w:rsid w:val="00CE1497"/>
    <w:rsid w:val="00CE1544"/>
    <w:rsid w:val="00CE15CD"/>
    <w:rsid w:val="00CE1866"/>
    <w:rsid w:val="00CE18EA"/>
    <w:rsid w:val="00CE1AA5"/>
    <w:rsid w:val="00CE1D4A"/>
    <w:rsid w:val="00CE1D97"/>
    <w:rsid w:val="00CE2030"/>
    <w:rsid w:val="00CE248D"/>
    <w:rsid w:val="00CE297D"/>
    <w:rsid w:val="00CE29A9"/>
    <w:rsid w:val="00CE29DA"/>
    <w:rsid w:val="00CE2A92"/>
    <w:rsid w:val="00CE2BA8"/>
    <w:rsid w:val="00CE2E09"/>
    <w:rsid w:val="00CE302A"/>
    <w:rsid w:val="00CE30A5"/>
    <w:rsid w:val="00CE30DC"/>
    <w:rsid w:val="00CE310A"/>
    <w:rsid w:val="00CE3126"/>
    <w:rsid w:val="00CE32AF"/>
    <w:rsid w:val="00CE3743"/>
    <w:rsid w:val="00CE3B7D"/>
    <w:rsid w:val="00CE3EDB"/>
    <w:rsid w:val="00CE41F0"/>
    <w:rsid w:val="00CE47C8"/>
    <w:rsid w:val="00CE4902"/>
    <w:rsid w:val="00CE4A07"/>
    <w:rsid w:val="00CE4E0B"/>
    <w:rsid w:val="00CE501F"/>
    <w:rsid w:val="00CE5110"/>
    <w:rsid w:val="00CE5199"/>
    <w:rsid w:val="00CE5593"/>
    <w:rsid w:val="00CE5665"/>
    <w:rsid w:val="00CE5837"/>
    <w:rsid w:val="00CE5848"/>
    <w:rsid w:val="00CE5B9D"/>
    <w:rsid w:val="00CE61E3"/>
    <w:rsid w:val="00CE6204"/>
    <w:rsid w:val="00CE632B"/>
    <w:rsid w:val="00CE6B9B"/>
    <w:rsid w:val="00CE6EDE"/>
    <w:rsid w:val="00CE6FFA"/>
    <w:rsid w:val="00CE7049"/>
    <w:rsid w:val="00CE70DC"/>
    <w:rsid w:val="00CE7358"/>
    <w:rsid w:val="00CE74E1"/>
    <w:rsid w:val="00CE74FD"/>
    <w:rsid w:val="00CE7574"/>
    <w:rsid w:val="00CE78CD"/>
    <w:rsid w:val="00CE79BF"/>
    <w:rsid w:val="00CE7AB7"/>
    <w:rsid w:val="00CE7D27"/>
    <w:rsid w:val="00CE7EBE"/>
    <w:rsid w:val="00CE7FCA"/>
    <w:rsid w:val="00CF0121"/>
    <w:rsid w:val="00CF02A4"/>
    <w:rsid w:val="00CF078B"/>
    <w:rsid w:val="00CF09CE"/>
    <w:rsid w:val="00CF0A6F"/>
    <w:rsid w:val="00CF0CC1"/>
    <w:rsid w:val="00CF0EBE"/>
    <w:rsid w:val="00CF0EDB"/>
    <w:rsid w:val="00CF0FAB"/>
    <w:rsid w:val="00CF0FE5"/>
    <w:rsid w:val="00CF1091"/>
    <w:rsid w:val="00CF11BC"/>
    <w:rsid w:val="00CF1717"/>
    <w:rsid w:val="00CF17DB"/>
    <w:rsid w:val="00CF1955"/>
    <w:rsid w:val="00CF19FB"/>
    <w:rsid w:val="00CF1E38"/>
    <w:rsid w:val="00CF1FB4"/>
    <w:rsid w:val="00CF244B"/>
    <w:rsid w:val="00CF27DB"/>
    <w:rsid w:val="00CF2A6C"/>
    <w:rsid w:val="00CF2D1A"/>
    <w:rsid w:val="00CF2D67"/>
    <w:rsid w:val="00CF2E15"/>
    <w:rsid w:val="00CF3761"/>
    <w:rsid w:val="00CF3A44"/>
    <w:rsid w:val="00CF3B60"/>
    <w:rsid w:val="00CF3CA6"/>
    <w:rsid w:val="00CF449D"/>
    <w:rsid w:val="00CF4628"/>
    <w:rsid w:val="00CF499A"/>
    <w:rsid w:val="00CF4B84"/>
    <w:rsid w:val="00CF4C42"/>
    <w:rsid w:val="00CF4E32"/>
    <w:rsid w:val="00CF4E37"/>
    <w:rsid w:val="00CF4F1F"/>
    <w:rsid w:val="00CF52D1"/>
    <w:rsid w:val="00CF5C6E"/>
    <w:rsid w:val="00CF5E5D"/>
    <w:rsid w:val="00CF5F69"/>
    <w:rsid w:val="00CF60B2"/>
    <w:rsid w:val="00CF64E1"/>
    <w:rsid w:val="00CF6515"/>
    <w:rsid w:val="00CF65CA"/>
    <w:rsid w:val="00CF6689"/>
    <w:rsid w:val="00CF684F"/>
    <w:rsid w:val="00CF6A2E"/>
    <w:rsid w:val="00CF6AC2"/>
    <w:rsid w:val="00CF6B4D"/>
    <w:rsid w:val="00CF7042"/>
    <w:rsid w:val="00CF70BD"/>
    <w:rsid w:val="00CF711C"/>
    <w:rsid w:val="00CF71F3"/>
    <w:rsid w:val="00CF741A"/>
    <w:rsid w:val="00CF742C"/>
    <w:rsid w:val="00CF76E8"/>
    <w:rsid w:val="00CF7736"/>
    <w:rsid w:val="00CF78B9"/>
    <w:rsid w:val="00CF798B"/>
    <w:rsid w:val="00CF79DC"/>
    <w:rsid w:val="00CF79EE"/>
    <w:rsid w:val="00CF7B6C"/>
    <w:rsid w:val="00CF7B73"/>
    <w:rsid w:val="00D00262"/>
    <w:rsid w:val="00D002B9"/>
    <w:rsid w:val="00D004C7"/>
    <w:rsid w:val="00D00672"/>
    <w:rsid w:val="00D0068B"/>
    <w:rsid w:val="00D009EE"/>
    <w:rsid w:val="00D00B5A"/>
    <w:rsid w:val="00D00E4F"/>
    <w:rsid w:val="00D00F81"/>
    <w:rsid w:val="00D010A4"/>
    <w:rsid w:val="00D01292"/>
    <w:rsid w:val="00D0132D"/>
    <w:rsid w:val="00D013E8"/>
    <w:rsid w:val="00D0182A"/>
    <w:rsid w:val="00D019DB"/>
    <w:rsid w:val="00D01A45"/>
    <w:rsid w:val="00D01AFA"/>
    <w:rsid w:val="00D01C06"/>
    <w:rsid w:val="00D01D26"/>
    <w:rsid w:val="00D01D38"/>
    <w:rsid w:val="00D02148"/>
    <w:rsid w:val="00D022D6"/>
    <w:rsid w:val="00D0245A"/>
    <w:rsid w:val="00D02757"/>
    <w:rsid w:val="00D027FC"/>
    <w:rsid w:val="00D02D66"/>
    <w:rsid w:val="00D02ED0"/>
    <w:rsid w:val="00D02ED3"/>
    <w:rsid w:val="00D02F94"/>
    <w:rsid w:val="00D03234"/>
    <w:rsid w:val="00D033D7"/>
    <w:rsid w:val="00D0353B"/>
    <w:rsid w:val="00D036C4"/>
    <w:rsid w:val="00D0381F"/>
    <w:rsid w:val="00D03C03"/>
    <w:rsid w:val="00D03C30"/>
    <w:rsid w:val="00D03FB1"/>
    <w:rsid w:val="00D0418E"/>
    <w:rsid w:val="00D0442A"/>
    <w:rsid w:val="00D0446D"/>
    <w:rsid w:val="00D044BD"/>
    <w:rsid w:val="00D04506"/>
    <w:rsid w:val="00D04986"/>
    <w:rsid w:val="00D04BB5"/>
    <w:rsid w:val="00D04C18"/>
    <w:rsid w:val="00D04D1E"/>
    <w:rsid w:val="00D04E63"/>
    <w:rsid w:val="00D04F76"/>
    <w:rsid w:val="00D04F80"/>
    <w:rsid w:val="00D0505A"/>
    <w:rsid w:val="00D050B2"/>
    <w:rsid w:val="00D05579"/>
    <w:rsid w:val="00D055FE"/>
    <w:rsid w:val="00D0565A"/>
    <w:rsid w:val="00D05AC5"/>
    <w:rsid w:val="00D05BC0"/>
    <w:rsid w:val="00D05BC8"/>
    <w:rsid w:val="00D05C4E"/>
    <w:rsid w:val="00D06108"/>
    <w:rsid w:val="00D06338"/>
    <w:rsid w:val="00D0640C"/>
    <w:rsid w:val="00D06694"/>
    <w:rsid w:val="00D06851"/>
    <w:rsid w:val="00D06B17"/>
    <w:rsid w:val="00D06B97"/>
    <w:rsid w:val="00D06C17"/>
    <w:rsid w:val="00D06C64"/>
    <w:rsid w:val="00D06C70"/>
    <w:rsid w:val="00D06F8C"/>
    <w:rsid w:val="00D070ED"/>
    <w:rsid w:val="00D07672"/>
    <w:rsid w:val="00D07A02"/>
    <w:rsid w:val="00D07AC1"/>
    <w:rsid w:val="00D07B45"/>
    <w:rsid w:val="00D07C55"/>
    <w:rsid w:val="00D07F3F"/>
    <w:rsid w:val="00D103AC"/>
    <w:rsid w:val="00D1044B"/>
    <w:rsid w:val="00D105DF"/>
    <w:rsid w:val="00D1072B"/>
    <w:rsid w:val="00D10834"/>
    <w:rsid w:val="00D108B2"/>
    <w:rsid w:val="00D10A88"/>
    <w:rsid w:val="00D10CCE"/>
    <w:rsid w:val="00D10D0F"/>
    <w:rsid w:val="00D10D2E"/>
    <w:rsid w:val="00D10E4A"/>
    <w:rsid w:val="00D10E8D"/>
    <w:rsid w:val="00D1107D"/>
    <w:rsid w:val="00D11091"/>
    <w:rsid w:val="00D112BE"/>
    <w:rsid w:val="00D11639"/>
    <w:rsid w:val="00D1173E"/>
    <w:rsid w:val="00D11814"/>
    <w:rsid w:val="00D1185D"/>
    <w:rsid w:val="00D118A2"/>
    <w:rsid w:val="00D11A9C"/>
    <w:rsid w:val="00D11EB7"/>
    <w:rsid w:val="00D11FB8"/>
    <w:rsid w:val="00D12088"/>
    <w:rsid w:val="00D124AD"/>
    <w:rsid w:val="00D127A7"/>
    <w:rsid w:val="00D12D30"/>
    <w:rsid w:val="00D12E0E"/>
    <w:rsid w:val="00D12E46"/>
    <w:rsid w:val="00D136A8"/>
    <w:rsid w:val="00D13C30"/>
    <w:rsid w:val="00D13C94"/>
    <w:rsid w:val="00D13DA6"/>
    <w:rsid w:val="00D13E3C"/>
    <w:rsid w:val="00D13E3F"/>
    <w:rsid w:val="00D13F7E"/>
    <w:rsid w:val="00D14179"/>
    <w:rsid w:val="00D14199"/>
    <w:rsid w:val="00D14226"/>
    <w:rsid w:val="00D14549"/>
    <w:rsid w:val="00D146E3"/>
    <w:rsid w:val="00D14795"/>
    <w:rsid w:val="00D1492F"/>
    <w:rsid w:val="00D14982"/>
    <w:rsid w:val="00D14A1A"/>
    <w:rsid w:val="00D14C21"/>
    <w:rsid w:val="00D14D0B"/>
    <w:rsid w:val="00D15309"/>
    <w:rsid w:val="00D153FE"/>
    <w:rsid w:val="00D15729"/>
    <w:rsid w:val="00D15A19"/>
    <w:rsid w:val="00D15E81"/>
    <w:rsid w:val="00D16033"/>
    <w:rsid w:val="00D16374"/>
    <w:rsid w:val="00D16956"/>
    <w:rsid w:val="00D169FC"/>
    <w:rsid w:val="00D16CAF"/>
    <w:rsid w:val="00D16CF1"/>
    <w:rsid w:val="00D170ED"/>
    <w:rsid w:val="00D17273"/>
    <w:rsid w:val="00D172A0"/>
    <w:rsid w:val="00D17319"/>
    <w:rsid w:val="00D17334"/>
    <w:rsid w:val="00D1751D"/>
    <w:rsid w:val="00D175B4"/>
    <w:rsid w:val="00D17662"/>
    <w:rsid w:val="00D1799E"/>
    <w:rsid w:val="00D17B24"/>
    <w:rsid w:val="00D17D9C"/>
    <w:rsid w:val="00D203D2"/>
    <w:rsid w:val="00D206A7"/>
    <w:rsid w:val="00D20895"/>
    <w:rsid w:val="00D20A50"/>
    <w:rsid w:val="00D20AA7"/>
    <w:rsid w:val="00D20C3A"/>
    <w:rsid w:val="00D20FEF"/>
    <w:rsid w:val="00D21147"/>
    <w:rsid w:val="00D212FF"/>
    <w:rsid w:val="00D2140C"/>
    <w:rsid w:val="00D21748"/>
    <w:rsid w:val="00D2185F"/>
    <w:rsid w:val="00D21A42"/>
    <w:rsid w:val="00D21A6A"/>
    <w:rsid w:val="00D21B6B"/>
    <w:rsid w:val="00D21CF4"/>
    <w:rsid w:val="00D21DEB"/>
    <w:rsid w:val="00D21FD6"/>
    <w:rsid w:val="00D22070"/>
    <w:rsid w:val="00D2240A"/>
    <w:rsid w:val="00D22875"/>
    <w:rsid w:val="00D22C7D"/>
    <w:rsid w:val="00D22DB6"/>
    <w:rsid w:val="00D22FC3"/>
    <w:rsid w:val="00D2350E"/>
    <w:rsid w:val="00D23680"/>
    <w:rsid w:val="00D23696"/>
    <w:rsid w:val="00D23892"/>
    <w:rsid w:val="00D238A5"/>
    <w:rsid w:val="00D23BF3"/>
    <w:rsid w:val="00D23FCB"/>
    <w:rsid w:val="00D241D1"/>
    <w:rsid w:val="00D2438E"/>
    <w:rsid w:val="00D244C5"/>
    <w:rsid w:val="00D24668"/>
    <w:rsid w:val="00D24703"/>
    <w:rsid w:val="00D248C5"/>
    <w:rsid w:val="00D24A51"/>
    <w:rsid w:val="00D24A6E"/>
    <w:rsid w:val="00D24BCE"/>
    <w:rsid w:val="00D24DB2"/>
    <w:rsid w:val="00D24EF5"/>
    <w:rsid w:val="00D24F39"/>
    <w:rsid w:val="00D25083"/>
    <w:rsid w:val="00D251C2"/>
    <w:rsid w:val="00D251E8"/>
    <w:rsid w:val="00D251FB"/>
    <w:rsid w:val="00D256FC"/>
    <w:rsid w:val="00D25D0E"/>
    <w:rsid w:val="00D25D92"/>
    <w:rsid w:val="00D261B2"/>
    <w:rsid w:val="00D26746"/>
    <w:rsid w:val="00D2675D"/>
    <w:rsid w:val="00D26863"/>
    <w:rsid w:val="00D268CB"/>
    <w:rsid w:val="00D26B33"/>
    <w:rsid w:val="00D26CD7"/>
    <w:rsid w:val="00D26D53"/>
    <w:rsid w:val="00D27125"/>
    <w:rsid w:val="00D273CD"/>
    <w:rsid w:val="00D27402"/>
    <w:rsid w:val="00D2752B"/>
    <w:rsid w:val="00D27927"/>
    <w:rsid w:val="00D27A5D"/>
    <w:rsid w:val="00D27A90"/>
    <w:rsid w:val="00D27DB0"/>
    <w:rsid w:val="00D27FF5"/>
    <w:rsid w:val="00D3026F"/>
    <w:rsid w:val="00D303DF"/>
    <w:rsid w:val="00D30731"/>
    <w:rsid w:val="00D309C6"/>
    <w:rsid w:val="00D309C7"/>
    <w:rsid w:val="00D309EE"/>
    <w:rsid w:val="00D30B14"/>
    <w:rsid w:val="00D30B78"/>
    <w:rsid w:val="00D30C85"/>
    <w:rsid w:val="00D30F98"/>
    <w:rsid w:val="00D3103D"/>
    <w:rsid w:val="00D31310"/>
    <w:rsid w:val="00D31424"/>
    <w:rsid w:val="00D314B4"/>
    <w:rsid w:val="00D3161F"/>
    <w:rsid w:val="00D3162C"/>
    <w:rsid w:val="00D318BE"/>
    <w:rsid w:val="00D31CB7"/>
    <w:rsid w:val="00D320FA"/>
    <w:rsid w:val="00D3211C"/>
    <w:rsid w:val="00D3221E"/>
    <w:rsid w:val="00D3257D"/>
    <w:rsid w:val="00D3259E"/>
    <w:rsid w:val="00D3262A"/>
    <w:rsid w:val="00D3269E"/>
    <w:rsid w:val="00D329A8"/>
    <w:rsid w:val="00D32C07"/>
    <w:rsid w:val="00D32CC5"/>
    <w:rsid w:val="00D32D7E"/>
    <w:rsid w:val="00D32DFA"/>
    <w:rsid w:val="00D32E12"/>
    <w:rsid w:val="00D33040"/>
    <w:rsid w:val="00D33063"/>
    <w:rsid w:val="00D331BB"/>
    <w:rsid w:val="00D333F5"/>
    <w:rsid w:val="00D334A6"/>
    <w:rsid w:val="00D334A7"/>
    <w:rsid w:val="00D3356C"/>
    <w:rsid w:val="00D3388D"/>
    <w:rsid w:val="00D338EE"/>
    <w:rsid w:val="00D33B97"/>
    <w:rsid w:val="00D33BDF"/>
    <w:rsid w:val="00D33DC1"/>
    <w:rsid w:val="00D33FD6"/>
    <w:rsid w:val="00D34096"/>
    <w:rsid w:val="00D34134"/>
    <w:rsid w:val="00D3435A"/>
    <w:rsid w:val="00D345A3"/>
    <w:rsid w:val="00D346A2"/>
    <w:rsid w:val="00D346D0"/>
    <w:rsid w:val="00D34883"/>
    <w:rsid w:val="00D3492E"/>
    <w:rsid w:val="00D34A78"/>
    <w:rsid w:val="00D34D27"/>
    <w:rsid w:val="00D34D98"/>
    <w:rsid w:val="00D34DB7"/>
    <w:rsid w:val="00D34DDD"/>
    <w:rsid w:val="00D34F0D"/>
    <w:rsid w:val="00D34F48"/>
    <w:rsid w:val="00D35022"/>
    <w:rsid w:val="00D3502B"/>
    <w:rsid w:val="00D35128"/>
    <w:rsid w:val="00D35216"/>
    <w:rsid w:val="00D35495"/>
    <w:rsid w:val="00D35608"/>
    <w:rsid w:val="00D35697"/>
    <w:rsid w:val="00D356BA"/>
    <w:rsid w:val="00D357BD"/>
    <w:rsid w:val="00D35AA6"/>
    <w:rsid w:val="00D35C6E"/>
    <w:rsid w:val="00D35CEE"/>
    <w:rsid w:val="00D35EFD"/>
    <w:rsid w:val="00D361EC"/>
    <w:rsid w:val="00D36936"/>
    <w:rsid w:val="00D369AE"/>
    <w:rsid w:val="00D369B1"/>
    <w:rsid w:val="00D36A2D"/>
    <w:rsid w:val="00D36AED"/>
    <w:rsid w:val="00D36C20"/>
    <w:rsid w:val="00D36C2E"/>
    <w:rsid w:val="00D36DD0"/>
    <w:rsid w:val="00D36F68"/>
    <w:rsid w:val="00D36FF5"/>
    <w:rsid w:val="00D37117"/>
    <w:rsid w:val="00D37E88"/>
    <w:rsid w:val="00D37EDE"/>
    <w:rsid w:val="00D37F38"/>
    <w:rsid w:val="00D4013D"/>
    <w:rsid w:val="00D401D7"/>
    <w:rsid w:val="00D403B7"/>
    <w:rsid w:val="00D40A50"/>
    <w:rsid w:val="00D40FA1"/>
    <w:rsid w:val="00D4107E"/>
    <w:rsid w:val="00D410F5"/>
    <w:rsid w:val="00D41630"/>
    <w:rsid w:val="00D4181E"/>
    <w:rsid w:val="00D419E4"/>
    <w:rsid w:val="00D419FE"/>
    <w:rsid w:val="00D41E2B"/>
    <w:rsid w:val="00D4228D"/>
    <w:rsid w:val="00D4279B"/>
    <w:rsid w:val="00D42820"/>
    <w:rsid w:val="00D4290C"/>
    <w:rsid w:val="00D42C6D"/>
    <w:rsid w:val="00D42CA0"/>
    <w:rsid w:val="00D42CAB"/>
    <w:rsid w:val="00D42DC1"/>
    <w:rsid w:val="00D43067"/>
    <w:rsid w:val="00D4312D"/>
    <w:rsid w:val="00D43225"/>
    <w:rsid w:val="00D4335C"/>
    <w:rsid w:val="00D43552"/>
    <w:rsid w:val="00D43619"/>
    <w:rsid w:val="00D43819"/>
    <w:rsid w:val="00D4392E"/>
    <w:rsid w:val="00D43B4A"/>
    <w:rsid w:val="00D43C75"/>
    <w:rsid w:val="00D43C80"/>
    <w:rsid w:val="00D43CCE"/>
    <w:rsid w:val="00D43CD5"/>
    <w:rsid w:val="00D44103"/>
    <w:rsid w:val="00D44409"/>
    <w:rsid w:val="00D44614"/>
    <w:rsid w:val="00D447EB"/>
    <w:rsid w:val="00D44A8D"/>
    <w:rsid w:val="00D44A90"/>
    <w:rsid w:val="00D44C79"/>
    <w:rsid w:val="00D44C7F"/>
    <w:rsid w:val="00D44CA3"/>
    <w:rsid w:val="00D44F39"/>
    <w:rsid w:val="00D45047"/>
    <w:rsid w:val="00D450AD"/>
    <w:rsid w:val="00D45392"/>
    <w:rsid w:val="00D454D3"/>
    <w:rsid w:val="00D45B2E"/>
    <w:rsid w:val="00D45C2F"/>
    <w:rsid w:val="00D45E5A"/>
    <w:rsid w:val="00D45F21"/>
    <w:rsid w:val="00D45FF0"/>
    <w:rsid w:val="00D4603D"/>
    <w:rsid w:val="00D46610"/>
    <w:rsid w:val="00D467E0"/>
    <w:rsid w:val="00D46806"/>
    <w:rsid w:val="00D46A7B"/>
    <w:rsid w:val="00D46B04"/>
    <w:rsid w:val="00D46B3A"/>
    <w:rsid w:val="00D46F10"/>
    <w:rsid w:val="00D46F8D"/>
    <w:rsid w:val="00D46F9C"/>
    <w:rsid w:val="00D4706B"/>
    <w:rsid w:val="00D47630"/>
    <w:rsid w:val="00D47CE3"/>
    <w:rsid w:val="00D47EF1"/>
    <w:rsid w:val="00D501B2"/>
    <w:rsid w:val="00D5029A"/>
    <w:rsid w:val="00D50307"/>
    <w:rsid w:val="00D504AD"/>
    <w:rsid w:val="00D50BC7"/>
    <w:rsid w:val="00D50F65"/>
    <w:rsid w:val="00D515E2"/>
    <w:rsid w:val="00D516B4"/>
    <w:rsid w:val="00D516DE"/>
    <w:rsid w:val="00D516EF"/>
    <w:rsid w:val="00D51932"/>
    <w:rsid w:val="00D519A6"/>
    <w:rsid w:val="00D51B88"/>
    <w:rsid w:val="00D51CBE"/>
    <w:rsid w:val="00D51CE6"/>
    <w:rsid w:val="00D51E0A"/>
    <w:rsid w:val="00D521B9"/>
    <w:rsid w:val="00D521DB"/>
    <w:rsid w:val="00D523F1"/>
    <w:rsid w:val="00D5275F"/>
    <w:rsid w:val="00D529E7"/>
    <w:rsid w:val="00D52BF8"/>
    <w:rsid w:val="00D52D60"/>
    <w:rsid w:val="00D52E18"/>
    <w:rsid w:val="00D52F3E"/>
    <w:rsid w:val="00D53151"/>
    <w:rsid w:val="00D531BF"/>
    <w:rsid w:val="00D53328"/>
    <w:rsid w:val="00D53551"/>
    <w:rsid w:val="00D53590"/>
    <w:rsid w:val="00D535FA"/>
    <w:rsid w:val="00D53676"/>
    <w:rsid w:val="00D536BB"/>
    <w:rsid w:val="00D536C0"/>
    <w:rsid w:val="00D5376F"/>
    <w:rsid w:val="00D5388F"/>
    <w:rsid w:val="00D53B65"/>
    <w:rsid w:val="00D53C02"/>
    <w:rsid w:val="00D53FD4"/>
    <w:rsid w:val="00D54079"/>
    <w:rsid w:val="00D540EF"/>
    <w:rsid w:val="00D54199"/>
    <w:rsid w:val="00D542AC"/>
    <w:rsid w:val="00D5430E"/>
    <w:rsid w:val="00D54A3C"/>
    <w:rsid w:val="00D54DB5"/>
    <w:rsid w:val="00D54EDB"/>
    <w:rsid w:val="00D55189"/>
    <w:rsid w:val="00D551E2"/>
    <w:rsid w:val="00D552BF"/>
    <w:rsid w:val="00D555EC"/>
    <w:rsid w:val="00D55801"/>
    <w:rsid w:val="00D55A88"/>
    <w:rsid w:val="00D55AA5"/>
    <w:rsid w:val="00D55CDC"/>
    <w:rsid w:val="00D55E17"/>
    <w:rsid w:val="00D56019"/>
    <w:rsid w:val="00D562E2"/>
    <w:rsid w:val="00D5651D"/>
    <w:rsid w:val="00D56AFE"/>
    <w:rsid w:val="00D56F69"/>
    <w:rsid w:val="00D56FA2"/>
    <w:rsid w:val="00D5704A"/>
    <w:rsid w:val="00D570B9"/>
    <w:rsid w:val="00D577CE"/>
    <w:rsid w:val="00D57B2C"/>
    <w:rsid w:val="00D57C3D"/>
    <w:rsid w:val="00D57D3D"/>
    <w:rsid w:val="00D60015"/>
    <w:rsid w:val="00D600BC"/>
    <w:rsid w:val="00D6022C"/>
    <w:rsid w:val="00D6026D"/>
    <w:rsid w:val="00D6030D"/>
    <w:rsid w:val="00D6039B"/>
    <w:rsid w:val="00D604E7"/>
    <w:rsid w:val="00D6078E"/>
    <w:rsid w:val="00D60F17"/>
    <w:rsid w:val="00D60F43"/>
    <w:rsid w:val="00D60FD6"/>
    <w:rsid w:val="00D611E1"/>
    <w:rsid w:val="00D612BE"/>
    <w:rsid w:val="00D614C9"/>
    <w:rsid w:val="00D61646"/>
    <w:rsid w:val="00D61BB4"/>
    <w:rsid w:val="00D61BB9"/>
    <w:rsid w:val="00D61C6F"/>
    <w:rsid w:val="00D61F7E"/>
    <w:rsid w:val="00D61FC4"/>
    <w:rsid w:val="00D62030"/>
    <w:rsid w:val="00D62203"/>
    <w:rsid w:val="00D6229A"/>
    <w:rsid w:val="00D622AD"/>
    <w:rsid w:val="00D6251C"/>
    <w:rsid w:val="00D62703"/>
    <w:rsid w:val="00D62777"/>
    <w:rsid w:val="00D62837"/>
    <w:rsid w:val="00D62899"/>
    <w:rsid w:val="00D62A76"/>
    <w:rsid w:val="00D62A8A"/>
    <w:rsid w:val="00D62D1A"/>
    <w:rsid w:val="00D6325A"/>
    <w:rsid w:val="00D632FE"/>
    <w:rsid w:val="00D63315"/>
    <w:rsid w:val="00D634E9"/>
    <w:rsid w:val="00D637AC"/>
    <w:rsid w:val="00D63829"/>
    <w:rsid w:val="00D639BF"/>
    <w:rsid w:val="00D63BAF"/>
    <w:rsid w:val="00D640D1"/>
    <w:rsid w:val="00D64255"/>
    <w:rsid w:val="00D6461E"/>
    <w:rsid w:val="00D64670"/>
    <w:rsid w:val="00D64AFE"/>
    <w:rsid w:val="00D651AE"/>
    <w:rsid w:val="00D65211"/>
    <w:rsid w:val="00D653AA"/>
    <w:rsid w:val="00D653C4"/>
    <w:rsid w:val="00D65419"/>
    <w:rsid w:val="00D659AA"/>
    <w:rsid w:val="00D65A16"/>
    <w:rsid w:val="00D65B1C"/>
    <w:rsid w:val="00D65C23"/>
    <w:rsid w:val="00D65FFA"/>
    <w:rsid w:val="00D665B5"/>
    <w:rsid w:val="00D6669C"/>
    <w:rsid w:val="00D666BF"/>
    <w:rsid w:val="00D66BC6"/>
    <w:rsid w:val="00D66D14"/>
    <w:rsid w:val="00D6724B"/>
    <w:rsid w:val="00D67262"/>
    <w:rsid w:val="00D67918"/>
    <w:rsid w:val="00D67AFA"/>
    <w:rsid w:val="00D67BA1"/>
    <w:rsid w:val="00D67D35"/>
    <w:rsid w:val="00D67DE6"/>
    <w:rsid w:val="00D67E1F"/>
    <w:rsid w:val="00D67F54"/>
    <w:rsid w:val="00D70189"/>
    <w:rsid w:val="00D70403"/>
    <w:rsid w:val="00D70439"/>
    <w:rsid w:val="00D70447"/>
    <w:rsid w:val="00D70624"/>
    <w:rsid w:val="00D70CBF"/>
    <w:rsid w:val="00D70DB3"/>
    <w:rsid w:val="00D70DB8"/>
    <w:rsid w:val="00D70DC5"/>
    <w:rsid w:val="00D70F83"/>
    <w:rsid w:val="00D7109B"/>
    <w:rsid w:val="00D71690"/>
    <w:rsid w:val="00D71FF4"/>
    <w:rsid w:val="00D72078"/>
    <w:rsid w:val="00D7219E"/>
    <w:rsid w:val="00D72491"/>
    <w:rsid w:val="00D72B23"/>
    <w:rsid w:val="00D72BF1"/>
    <w:rsid w:val="00D72CE3"/>
    <w:rsid w:val="00D72D07"/>
    <w:rsid w:val="00D72DC4"/>
    <w:rsid w:val="00D730E4"/>
    <w:rsid w:val="00D7346D"/>
    <w:rsid w:val="00D73477"/>
    <w:rsid w:val="00D7356D"/>
    <w:rsid w:val="00D73736"/>
    <w:rsid w:val="00D73824"/>
    <w:rsid w:val="00D73C12"/>
    <w:rsid w:val="00D73D50"/>
    <w:rsid w:val="00D73E07"/>
    <w:rsid w:val="00D74011"/>
    <w:rsid w:val="00D74179"/>
    <w:rsid w:val="00D741BB"/>
    <w:rsid w:val="00D74289"/>
    <w:rsid w:val="00D744AE"/>
    <w:rsid w:val="00D74539"/>
    <w:rsid w:val="00D74592"/>
    <w:rsid w:val="00D7470D"/>
    <w:rsid w:val="00D749A8"/>
    <w:rsid w:val="00D74C21"/>
    <w:rsid w:val="00D74C90"/>
    <w:rsid w:val="00D74E41"/>
    <w:rsid w:val="00D75318"/>
    <w:rsid w:val="00D75930"/>
    <w:rsid w:val="00D7593D"/>
    <w:rsid w:val="00D75B26"/>
    <w:rsid w:val="00D75B4D"/>
    <w:rsid w:val="00D75E34"/>
    <w:rsid w:val="00D75E89"/>
    <w:rsid w:val="00D761C3"/>
    <w:rsid w:val="00D76231"/>
    <w:rsid w:val="00D7634D"/>
    <w:rsid w:val="00D763B7"/>
    <w:rsid w:val="00D763D0"/>
    <w:rsid w:val="00D765F3"/>
    <w:rsid w:val="00D766BB"/>
    <w:rsid w:val="00D7683B"/>
    <w:rsid w:val="00D76B2D"/>
    <w:rsid w:val="00D76D31"/>
    <w:rsid w:val="00D77026"/>
    <w:rsid w:val="00D77064"/>
    <w:rsid w:val="00D770C2"/>
    <w:rsid w:val="00D771AC"/>
    <w:rsid w:val="00D7749D"/>
    <w:rsid w:val="00D77839"/>
    <w:rsid w:val="00D77976"/>
    <w:rsid w:val="00D77CAD"/>
    <w:rsid w:val="00D77FFD"/>
    <w:rsid w:val="00D80269"/>
    <w:rsid w:val="00D80289"/>
    <w:rsid w:val="00D80331"/>
    <w:rsid w:val="00D80334"/>
    <w:rsid w:val="00D80435"/>
    <w:rsid w:val="00D80A2A"/>
    <w:rsid w:val="00D80C87"/>
    <w:rsid w:val="00D8107F"/>
    <w:rsid w:val="00D8109E"/>
    <w:rsid w:val="00D810AA"/>
    <w:rsid w:val="00D81456"/>
    <w:rsid w:val="00D81661"/>
    <w:rsid w:val="00D817EF"/>
    <w:rsid w:val="00D81938"/>
    <w:rsid w:val="00D81C7A"/>
    <w:rsid w:val="00D81D95"/>
    <w:rsid w:val="00D81DF1"/>
    <w:rsid w:val="00D82073"/>
    <w:rsid w:val="00D82173"/>
    <w:rsid w:val="00D82218"/>
    <w:rsid w:val="00D822EE"/>
    <w:rsid w:val="00D8241E"/>
    <w:rsid w:val="00D82625"/>
    <w:rsid w:val="00D8266C"/>
    <w:rsid w:val="00D8284F"/>
    <w:rsid w:val="00D8290F"/>
    <w:rsid w:val="00D82964"/>
    <w:rsid w:val="00D82A6E"/>
    <w:rsid w:val="00D82B25"/>
    <w:rsid w:val="00D82CCF"/>
    <w:rsid w:val="00D83243"/>
    <w:rsid w:val="00D839AD"/>
    <w:rsid w:val="00D83DA3"/>
    <w:rsid w:val="00D83FC9"/>
    <w:rsid w:val="00D84168"/>
    <w:rsid w:val="00D84273"/>
    <w:rsid w:val="00D84281"/>
    <w:rsid w:val="00D842B5"/>
    <w:rsid w:val="00D84410"/>
    <w:rsid w:val="00D844F4"/>
    <w:rsid w:val="00D8453C"/>
    <w:rsid w:val="00D845F8"/>
    <w:rsid w:val="00D8476E"/>
    <w:rsid w:val="00D848A0"/>
    <w:rsid w:val="00D848B6"/>
    <w:rsid w:val="00D84A3B"/>
    <w:rsid w:val="00D84AAB"/>
    <w:rsid w:val="00D84AD9"/>
    <w:rsid w:val="00D84B5D"/>
    <w:rsid w:val="00D84D46"/>
    <w:rsid w:val="00D852FF"/>
    <w:rsid w:val="00D853EF"/>
    <w:rsid w:val="00D85640"/>
    <w:rsid w:val="00D857C0"/>
    <w:rsid w:val="00D857CA"/>
    <w:rsid w:val="00D85B79"/>
    <w:rsid w:val="00D85F9B"/>
    <w:rsid w:val="00D8601A"/>
    <w:rsid w:val="00D860F5"/>
    <w:rsid w:val="00D86490"/>
    <w:rsid w:val="00D864DB"/>
    <w:rsid w:val="00D865D4"/>
    <w:rsid w:val="00D86682"/>
    <w:rsid w:val="00D86893"/>
    <w:rsid w:val="00D869B1"/>
    <w:rsid w:val="00D86D65"/>
    <w:rsid w:val="00D86E30"/>
    <w:rsid w:val="00D87298"/>
    <w:rsid w:val="00D873AA"/>
    <w:rsid w:val="00D873BF"/>
    <w:rsid w:val="00D874D0"/>
    <w:rsid w:val="00D87913"/>
    <w:rsid w:val="00D87CBA"/>
    <w:rsid w:val="00D87D1A"/>
    <w:rsid w:val="00D87D5B"/>
    <w:rsid w:val="00D87DF5"/>
    <w:rsid w:val="00D87F2A"/>
    <w:rsid w:val="00D9087D"/>
    <w:rsid w:val="00D90947"/>
    <w:rsid w:val="00D90A41"/>
    <w:rsid w:val="00D90B2C"/>
    <w:rsid w:val="00D90D26"/>
    <w:rsid w:val="00D90E0B"/>
    <w:rsid w:val="00D90E2B"/>
    <w:rsid w:val="00D90EE8"/>
    <w:rsid w:val="00D90F50"/>
    <w:rsid w:val="00D90FCC"/>
    <w:rsid w:val="00D912F2"/>
    <w:rsid w:val="00D913E9"/>
    <w:rsid w:val="00D914AD"/>
    <w:rsid w:val="00D91AAB"/>
    <w:rsid w:val="00D91AD0"/>
    <w:rsid w:val="00D91C77"/>
    <w:rsid w:val="00D91CDA"/>
    <w:rsid w:val="00D91DC5"/>
    <w:rsid w:val="00D91EB3"/>
    <w:rsid w:val="00D91FBA"/>
    <w:rsid w:val="00D91FC8"/>
    <w:rsid w:val="00D9204F"/>
    <w:rsid w:val="00D920DF"/>
    <w:rsid w:val="00D92117"/>
    <w:rsid w:val="00D9234C"/>
    <w:rsid w:val="00D92374"/>
    <w:rsid w:val="00D923DF"/>
    <w:rsid w:val="00D92520"/>
    <w:rsid w:val="00D92620"/>
    <w:rsid w:val="00D927C7"/>
    <w:rsid w:val="00D9286F"/>
    <w:rsid w:val="00D92A59"/>
    <w:rsid w:val="00D93133"/>
    <w:rsid w:val="00D9382D"/>
    <w:rsid w:val="00D93A30"/>
    <w:rsid w:val="00D93C22"/>
    <w:rsid w:val="00D93E10"/>
    <w:rsid w:val="00D93E1F"/>
    <w:rsid w:val="00D93EAF"/>
    <w:rsid w:val="00D93EF8"/>
    <w:rsid w:val="00D9400E"/>
    <w:rsid w:val="00D941CF"/>
    <w:rsid w:val="00D9432B"/>
    <w:rsid w:val="00D945F5"/>
    <w:rsid w:val="00D947BC"/>
    <w:rsid w:val="00D948ED"/>
    <w:rsid w:val="00D94C32"/>
    <w:rsid w:val="00D94C91"/>
    <w:rsid w:val="00D954B0"/>
    <w:rsid w:val="00D9555F"/>
    <w:rsid w:val="00D956D3"/>
    <w:rsid w:val="00D957B7"/>
    <w:rsid w:val="00D95997"/>
    <w:rsid w:val="00D95B3C"/>
    <w:rsid w:val="00D95B79"/>
    <w:rsid w:val="00D95D01"/>
    <w:rsid w:val="00D95F66"/>
    <w:rsid w:val="00D9631A"/>
    <w:rsid w:val="00D96618"/>
    <w:rsid w:val="00D967E9"/>
    <w:rsid w:val="00D96AF8"/>
    <w:rsid w:val="00D96B7F"/>
    <w:rsid w:val="00D96B91"/>
    <w:rsid w:val="00D96CBB"/>
    <w:rsid w:val="00D96D30"/>
    <w:rsid w:val="00D97273"/>
    <w:rsid w:val="00D97294"/>
    <w:rsid w:val="00D974BB"/>
    <w:rsid w:val="00D9750F"/>
    <w:rsid w:val="00D97844"/>
    <w:rsid w:val="00D97C8A"/>
    <w:rsid w:val="00DA00AA"/>
    <w:rsid w:val="00DA0132"/>
    <w:rsid w:val="00DA0147"/>
    <w:rsid w:val="00DA0378"/>
    <w:rsid w:val="00DA05C7"/>
    <w:rsid w:val="00DA065F"/>
    <w:rsid w:val="00DA0772"/>
    <w:rsid w:val="00DA0A34"/>
    <w:rsid w:val="00DA0D1F"/>
    <w:rsid w:val="00DA0D66"/>
    <w:rsid w:val="00DA161A"/>
    <w:rsid w:val="00DA187E"/>
    <w:rsid w:val="00DA1961"/>
    <w:rsid w:val="00DA1CBE"/>
    <w:rsid w:val="00DA2124"/>
    <w:rsid w:val="00DA21BE"/>
    <w:rsid w:val="00DA22D3"/>
    <w:rsid w:val="00DA2382"/>
    <w:rsid w:val="00DA23F7"/>
    <w:rsid w:val="00DA243C"/>
    <w:rsid w:val="00DA263A"/>
    <w:rsid w:val="00DA2673"/>
    <w:rsid w:val="00DA2E37"/>
    <w:rsid w:val="00DA2E87"/>
    <w:rsid w:val="00DA2F0A"/>
    <w:rsid w:val="00DA3214"/>
    <w:rsid w:val="00DA327F"/>
    <w:rsid w:val="00DA3304"/>
    <w:rsid w:val="00DA3419"/>
    <w:rsid w:val="00DA3561"/>
    <w:rsid w:val="00DA36BF"/>
    <w:rsid w:val="00DA3849"/>
    <w:rsid w:val="00DA3938"/>
    <w:rsid w:val="00DA3D48"/>
    <w:rsid w:val="00DA3D60"/>
    <w:rsid w:val="00DA3FDB"/>
    <w:rsid w:val="00DA42E5"/>
    <w:rsid w:val="00DA42F9"/>
    <w:rsid w:val="00DA4616"/>
    <w:rsid w:val="00DA4A26"/>
    <w:rsid w:val="00DA4AC1"/>
    <w:rsid w:val="00DA4C76"/>
    <w:rsid w:val="00DA4D50"/>
    <w:rsid w:val="00DA4E31"/>
    <w:rsid w:val="00DA4F48"/>
    <w:rsid w:val="00DA50C8"/>
    <w:rsid w:val="00DA5134"/>
    <w:rsid w:val="00DA597A"/>
    <w:rsid w:val="00DA5A83"/>
    <w:rsid w:val="00DA5BD1"/>
    <w:rsid w:val="00DA5F2F"/>
    <w:rsid w:val="00DA6169"/>
    <w:rsid w:val="00DA62F2"/>
    <w:rsid w:val="00DA63D6"/>
    <w:rsid w:val="00DA6A18"/>
    <w:rsid w:val="00DA6B75"/>
    <w:rsid w:val="00DA6C42"/>
    <w:rsid w:val="00DA6E46"/>
    <w:rsid w:val="00DA7637"/>
    <w:rsid w:val="00DA78B0"/>
    <w:rsid w:val="00DA78EC"/>
    <w:rsid w:val="00DA79ED"/>
    <w:rsid w:val="00DA7D49"/>
    <w:rsid w:val="00DB005F"/>
    <w:rsid w:val="00DB0228"/>
    <w:rsid w:val="00DB0441"/>
    <w:rsid w:val="00DB0956"/>
    <w:rsid w:val="00DB0A0C"/>
    <w:rsid w:val="00DB0A8A"/>
    <w:rsid w:val="00DB0CCA"/>
    <w:rsid w:val="00DB0CF0"/>
    <w:rsid w:val="00DB0FDC"/>
    <w:rsid w:val="00DB11B1"/>
    <w:rsid w:val="00DB11BF"/>
    <w:rsid w:val="00DB1217"/>
    <w:rsid w:val="00DB13C2"/>
    <w:rsid w:val="00DB1538"/>
    <w:rsid w:val="00DB1593"/>
    <w:rsid w:val="00DB16BC"/>
    <w:rsid w:val="00DB1826"/>
    <w:rsid w:val="00DB18F3"/>
    <w:rsid w:val="00DB194A"/>
    <w:rsid w:val="00DB1CA0"/>
    <w:rsid w:val="00DB1E23"/>
    <w:rsid w:val="00DB210C"/>
    <w:rsid w:val="00DB214B"/>
    <w:rsid w:val="00DB21C3"/>
    <w:rsid w:val="00DB2327"/>
    <w:rsid w:val="00DB23C7"/>
    <w:rsid w:val="00DB25DB"/>
    <w:rsid w:val="00DB2619"/>
    <w:rsid w:val="00DB2682"/>
    <w:rsid w:val="00DB2AAE"/>
    <w:rsid w:val="00DB2EBB"/>
    <w:rsid w:val="00DB3114"/>
    <w:rsid w:val="00DB333D"/>
    <w:rsid w:val="00DB3404"/>
    <w:rsid w:val="00DB35CF"/>
    <w:rsid w:val="00DB3849"/>
    <w:rsid w:val="00DB3969"/>
    <w:rsid w:val="00DB3B0A"/>
    <w:rsid w:val="00DB3E1B"/>
    <w:rsid w:val="00DB40EA"/>
    <w:rsid w:val="00DB41BB"/>
    <w:rsid w:val="00DB426D"/>
    <w:rsid w:val="00DB42B1"/>
    <w:rsid w:val="00DB42D5"/>
    <w:rsid w:val="00DB4381"/>
    <w:rsid w:val="00DB475A"/>
    <w:rsid w:val="00DB485B"/>
    <w:rsid w:val="00DB4975"/>
    <w:rsid w:val="00DB4CF9"/>
    <w:rsid w:val="00DB4F30"/>
    <w:rsid w:val="00DB5507"/>
    <w:rsid w:val="00DB5532"/>
    <w:rsid w:val="00DB59CD"/>
    <w:rsid w:val="00DB5A51"/>
    <w:rsid w:val="00DB5BB0"/>
    <w:rsid w:val="00DB5C25"/>
    <w:rsid w:val="00DB5FB1"/>
    <w:rsid w:val="00DB61E4"/>
    <w:rsid w:val="00DB620A"/>
    <w:rsid w:val="00DB62A9"/>
    <w:rsid w:val="00DB639B"/>
    <w:rsid w:val="00DB66A5"/>
    <w:rsid w:val="00DB671C"/>
    <w:rsid w:val="00DB691C"/>
    <w:rsid w:val="00DB6CF9"/>
    <w:rsid w:val="00DB6E3E"/>
    <w:rsid w:val="00DB6F5A"/>
    <w:rsid w:val="00DB6FAE"/>
    <w:rsid w:val="00DB7047"/>
    <w:rsid w:val="00DB70B9"/>
    <w:rsid w:val="00DB717C"/>
    <w:rsid w:val="00DB72CA"/>
    <w:rsid w:val="00DB761C"/>
    <w:rsid w:val="00DB77CC"/>
    <w:rsid w:val="00DB78C7"/>
    <w:rsid w:val="00DB7C44"/>
    <w:rsid w:val="00DB7C76"/>
    <w:rsid w:val="00DB7CE4"/>
    <w:rsid w:val="00DB7D12"/>
    <w:rsid w:val="00DB7DE1"/>
    <w:rsid w:val="00DB7F1F"/>
    <w:rsid w:val="00DB7FC3"/>
    <w:rsid w:val="00DC007F"/>
    <w:rsid w:val="00DC00C5"/>
    <w:rsid w:val="00DC0280"/>
    <w:rsid w:val="00DC036F"/>
    <w:rsid w:val="00DC0383"/>
    <w:rsid w:val="00DC060D"/>
    <w:rsid w:val="00DC067C"/>
    <w:rsid w:val="00DC0C9D"/>
    <w:rsid w:val="00DC0E4E"/>
    <w:rsid w:val="00DC0F13"/>
    <w:rsid w:val="00DC0FDB"/>
    <w:rsid w:val="00DC0FEF"/>
    <w:rsid w:val="00DC144E"/>
    <w:rsid w:val="00DC153A"/>
    <w:rsid w:val="00DC179E"/>
    <w:rsid w:val="00DC180A"/>
    <w:rsid w:val="00DC1A23"/>
    <w:rsid w:val="00DC1D4E"/>
    <w:rsid w:val="00DC1DAF"/>
    <w:rsid w:val="00DC1E53"/>
    <w:rsid w:val="00DC1F2D"/>
    <w:rsid w:val="00DC20D7"/>
    <w:rsid w:val="00DC22E4"/>
    <w:rsid w:val="00DC232E"/>
    <w:rsid w:val="00DC2473"/>
    <w:rsid w:val="00DC2491"/>
    <w:rsid w:val="00DC2495"/>
    <w:rsid w:val="00DC24B2"/>
    <w:rsid w:val="00DC26CB"/>
    <w:rsid w:val="00DC27F7"/>
    <w:rsid w:val="00DC2A1C"/>
    <w:rsid w:val="00DC309F"/>
    <w:rsid w:val="00DC323B"/>
    <w:rsid w:val="00DC32E4"/>
    <w:rsid w:val="00DC36A3"/>
    <w:rsid w:val="00DC3A0C"/>
    <w:rsid w:val="00DC3A49"/>
    <w:rsid w:val="00DC3ACA"/>
    <w:rsid w:val="00DC3EE7"/>
    <w:rsid w:val="00DC3FC5"/>
    <w:rsid w:val="00DC4195"/>
    <w:rsid w:val="00DC4273"/>
    <w:rsid w:val="00DC44CF"/>
    <w:rsid w:val="00DC44FC"/>
    <w:rsid w:val="00DC48D3"/>
    <w:rsid w:val="00DC4B69"/>
    <w:rsid w:val="00DC4CC4"/>
    <w:rsid w:val="00DC4D30"/>
    <w:rsid w:val="00DC5034"/>
    <w:rsid w:val="00DC52FD"/>
    <w:rsid w:val="00DC54C6"/>
    <w:rsid w:val="00DC559F"/>
    <w:rsid w:val="00DC5729"/>
    <w:rsid w:val="00DC5A50"/>
    <w:rsid w:val="00DC5BBB"/>
    <w:rsid w:val="00DC5DE3"/>
    <w:rsid w:val="00DC5F50"/>
    <w:rsid w:val="00DC6384"/>
    <w:rsid w:val="00DC649E"/>
    <w:rsid w:val="00DC6FB9"/>
    <w:rsid w:val="00DC710F"/>
    <w:rsid w:val="00DC7159"/>
    <w:rsid w:val="00DC71C5"/>
    <w:rsid w:val="00DC71D5"/>
    <w:rsid w:val="00DC76E8"/>
    <w:rsid w:val="00DC78EC"/>
    <w:rsid w:val="00DC7CFD"/>
    <w:rsid w:val="00DC7E75"/>
    <w:rsid w:val="00DD01BE"/>
    <w:rsid w:val="00DD0232"/>
    <w:rsid w:val="00DD024A"/>
    <w:rsid w:val="00DD0284"/>
    <w:rsid w:val="00DD0563"/>
    <w:rsid w:val="00DD0ADA"/>
    <w:rsid w:val="00DD0ADB"/>
    <w:rsid w:val="00DD0BE6"/>
    <w:rsid w:val="00DD0D37"/>
    <w:rsid w:val="00DD0D51"/>
    <w:rsid w:val="00DD0DB3"/>
    <w:rsid w:val="00DD0F52"/>
    <w:rsid w:val="00DD0F7D"/>
    <w:rsid w:val="00DD0FA7"/>
    <w:rsid w:val="00DD10A3"/>
    <w:rsid w:val="00DD10A9"/>
    <w:rsid w:val="00DD12D0"/>
    <w:rsid w:val="00DD1482"/>
    <w:rsid w:val="00DD1701"/>
    <w:rsid w:val="00DD18A8"/>
    <w:rsid w:val="00DD1B79"/>
    <w:rsid w:val="00DD1CF5"/>
    <w:rsid w:val="00DD2034"/>
    <w:rsid w:val="00DD204F"/>
    <w:rsid w:val="00DD22DA"/>
    <w:rsid w:val="00DD22EE"/>
    <w:rsid w:val="00DD2301"/>
    <w:rsid w:val="00DD2630"/>
    <w:rsid w:val="00DD2762"/>
    <w:rsid w:val="00DD2B04"/>
    <w:rsid w:val="00DD2C4F"/>
    <w:rsid w:val="00DD35A1"/>
    <w:rsid w:val="00DD36AD"/>
    <w:rsid w:val="00DD371A"/>
    <w:rsid w:val="00DD3CA9"/>
    <w:rsid w:val="00DD3D9B"/>
    <w:rsid w:val="00DD3E0C"/>
    <w:rsid w:val="00DD3EA4"/>
    <w:rsid w:val="00DD3EB7"/>
    <w:rsid w:val="00DD3ECF"/>
    <w:rsid w:val="00DD3FFF"/>
    <w:rsid w:val="00DD40A8"/>
    <w:rsid w:val="00DD42DC"/>
    <w:rsid w:val="00DD448C"/>
    <w:rsid w:val="00DD4499"/>
    <w:rsid w:val="00DD4531"/>
    <w:rsid w:val="00DD4880"/>
    <w:rsid w:val="00DD4A1E"/>
    <w:rsid w:val="00DD4B47"/>
    <w:rsid w:val="00DD4B72"/>
    <w:rsid w:val="00DD4C0A"/>
    <w:rsid w:val="00DD4D37"/>
    <w:rsid w:val="00DD4D89"/>
    <w:rsid w:val="00DD51BD"/>
    <w:rsid w:val="00DD5387"/>
    <w:rsid w:val="00DD53B8"/>
    <w:rsid w:val="00DD5417"/>
    <w:rsid w:val="00DD5475"/>
    <w:rsid w:val="00DD54DE"/>
    <w:rsid w:val="00DD55A5"/>
    <w:rsid w:val="00DD5993"/>
    <w:rsid w:val="00DD5B02"/>
    <w:rsid w:val="00DD5BA3"/>
    <w:rsid w:val="00DD5BEA"/>
    <w:rsid w:val="00DD5D9C"/>
    <w:rsid w:val="00DD5E41"/>
    <w:rsid w:val="00DD628F"/>
    <w:rsid w:val="00DD6296"/>
    <w:rsid w:val="00DD63CB"/>
    <w:rsid w:val="00DD64E9"/>
    <w:rsid w:val="00DD6968"/>
    <w:rsid w:val="00DD6C73"/>
    <w:rsid w:val="00DD6E81"/>
    <w:rsid w:val="00DD6E87"/>
    <w:rsid w:val="00DD70AF"/>
    <w:rsid w:val="00DD724A"/>
    <w:rsid w:val="00DD79FD"/>
    <w:rsid w:val="00DD7AC6"/>
    <w:rsid w:val="00DD7C33"/>
    <w:rsid w:val="00DD7DB1"/>
    <w:rsid w:val="00DD7FE3"/>
    <w:rsid w:val="00DE049C"/>
    <w:rsid w:val="00DE04A1"/>
    <w:rsid w:val="00DE04CD"/>
    <w:rsid w:val="00DE09E0"/>
    <w:rsid w:val="00DE0C39"/>
    <w:rsid w:val="00DE0DA9"/>
    <w:rsid w:val="00DE1122"/>
    <w:rsid w:val="00DE11DB"/>
    <w:rsid w:val="00DE12A2"/>
    <w:rsid w:val="00DE12D4"/>
    <w:rsid w:val="00DE1659"/>
    <w:rsid w:val="00DE169F"/>
    <w:rsid w:val="00DE19BF"/>
    <w:rsid w:val="00DE1B56"/>
    <w:rsid w:val="00DE1CBD"/>
    <w:rsid w:val="00DE1CE9"/>
    <w:rsid w:val="00DE22B8"/>
    <w:rsid w:val="00DE24A5"/>
    <w:rsid w:val="00DE2537"/>
    <w:rsid w:val="00DE2EA7"/>
    <w:rsid w:val="00DE2FF5"/>
    <w:rsid w:val="00DE31EC"/>
    <w:rsid w:val="00DE32F6"/>
    <w:rsid w:val="00DE332D"/>
    <w:rsid w:val="00DE33E2"/>
    <w:rsid w:val="00DE39DF"/>
    <w:rsid w:val="00DE39EF"/>
    <w:rsid w:val="00DE3B51"/>
    <w:rsid w:val="00DE3C48"/>
    <w:rsid w:val="00DE3CEC"/>
    <w:rsid w:val="00DE436B"/>
    <w:rsid w:val="00DE453A"/>
    <w:rsid w:val="00DE467C"/>
    <w:rsid w:val="00DE48AC"/>
    <w:rsid w:val="00DE4916"/>
    <w:rsid w:val="00DE4BBB"/>
    <w:rsid w:val="00DE4CE1"/>
    <w:rsid w:val="00DE4DAF"/>
    <w:rsid w:val="00DE4EB6"/>
    <w:rsid w:val="00DE4F1A"/>
    <w:rsid w:val="00DE50D3"/>
    <w:rsid w:val="00DE5373"/>
    <w:rsid w:val="00DE570B"/>
    <w:rsid w:val="00DE57E5"/>
    <w:rsid w:val="00DE57EF"/>
    <w:rsid w:val="00DE5C4C"/>
    <w:rsid w:val="00DE5D81"/>
    <w:rsid w:val="00DE5E10"/>
    <w:rsid w:val="00DE607D"/>
    <w:rsid w:val="00DE6251"/>
    <w:rsid w:val="00DE63A8"/>
    <w:rsid w:val="00DE6417"/>
    <w:rsid w:val="00DE6F29"/>
    <w:rsid w:val="00DE70E0"/>
    <w:rsid w:val="00DE7241"/>
    <w:rsid w:val="00DE727C"/>
    <w:rsid w:val="00DE741D"/>
    <w:rsid w:val="00DE7672"/>
    <w:rsid w:val="00DE77CD"/>
    <w:rsid w:val="00DE7975"/>
    <w:rsid w:val="00DE7C0F"/>
    <w:rsid w:val="00DE7C6C"/>
    <w:rsid w:val="00DE7E0C"/>
    <w:rsid w:val="00DF00BF"/>
    <w:rsid w:val="00DF04C7"/>
    <w:rsid w:val="00DF05A9"/>
    <w:rsid w:val="00DF0B6A"/>
    <w:rsid w:val="00DF0EDB"/>
    <w:rsid w:val="00DF0F9C"/>
    <w:rsid w:val="00DF1181"/>
    <w:rsid w:val="00DF1426"/>
    <w:rsid w:val="00DF14EA"/>
    <w:rsid w:val="00DF1663"/>
    <w:rsid w:val="00DF1935"/>
    <w:rsid w:val="00DF1990"/>
    <w:rsid w:val="00DF1DBB"/>
    <w:rsid w:val="00DF1F37"/>
    <w:rsid w:val="00DF1FCE"/>
    <w:rsid w:val="00DF259B"/>
    <w:rsid w:val="00DF26BD"/>
    <w:rsid w:val="00DF2781"/>
    <w:rsid w:val="00DF2989"/>
    <w:rsid w:val="00DF2BC0"/>
    <w:rsid w:val="00DF2D97"/>
    <w:rsid w:val="00DF309A"/>
    <w:rsid w:val="00DF30E1"/>
    <w:rsid w:val="00DF3114"/>
    <w:rsid w:val="00DF3190"/>
    <w:rsid w:val="00DF31A0"/>
    <w:rsid w:val="00DF342A"/>
    <w:rsid w:val="00DF3772"/>
    <w:rsid w:val="00DF3B38"/>
    <w:rsid w:val="00DF3E86"/>
    <w:rsid w:val="00DF402E"/>
    <w:rsid w:val="00DF419A"/>
    <w:rsid w:val="00DF4290"/>
    <w:rsid w:val="00DF43ED"/>
    <w:rsid w:val="00DF4576"/>
    <w:rsid w:val="00DF4A10"/>
    <w:rsid w:val="00DF4B64"/>
    <w:rsid w:val="00DF4D3C"/>
    <w:rsid w:val="00DF4F6C"/>
    <w:rsid w:val="00DF4FC7"/>
    <w:rsid w:val="00DF508A"/>
    <w:rsid w:val="00DF5B5D"/>
    <w:rsid w:val="00DF5E45"/>
    <w:rsid w:val="00DF5EAE"/>
    <w:rsid w:val="00DF5F4F"/>
    <w:rsid w:val="00DF6062"/>
    <w:rsid w:val="00DF626E"/>
    <w:rsid w:val="00DF6402"/>
    <w:rsid w:val="00DF649E"/>
    <w:rsid w:val="00DF64BC"/>
    <w:rsid w:val="00DF6704"/>
    <w:rsid w:val="00DF6AAD"/>
    <w:rsid w:val="00DF6B20"/>
    <w:rsid w:val="00DF6B65"/>
    <w:rsid w:val="00DF6C3F"/>
    <w:rsid w:val="00DF6CA2"/>
    <w:rsid w:val="00DF6D16"/>
    <w:rsid w:val="00DF74BF"/>
    <w:rsid w:val="00DF7693"/>
    <w:rsid w:val="00DF76A8"/>
    <w:rsid w:val="00DF773F"/>
    <w:rsid w:val="00DF7792"/>
    <w:rsid w:val="00DF78BE"/>
    <w:rsid w:val="00DF7C61"/>
    <w:rsid w:val="00DF7CF0"/>
    <w:rsid w:val="00DF7D28"/>
    <w:rsid w:val="00DF7FDC"/>
    <w:rsid w:val="00E00036"/>
    <w:rsid w:val="00E00133"/>
    <w:rsid w:val="00E00186"/>
    <w:rsid w:val="00E002EC"/>
    <w:rsid w:val="00E00312"/>
    <w:rsid w:val="00E004EF"/>
    <w:rsid w:val="00E005D0"/>
    <w:rsid w:val="00E0067D"/>
    <w:rsid w:val="00E00A3B"/>
    <w:rsid w:val="00E00A91"/>
    <w:rsid w:val="00E00C08"/>
    <w:rsid w:val="00E00D36"/>
    <w:rsid w:val="00E00D87"/>
    <w:rsid w:val="00E00FA8"/>
    <w:rsid w:val="00E00FB1"/>
    <w:rsid w:val="00E0106B"/>
    <w:rsid w:val="00E010D4"/>
    <w:rsid w:val="00E0133C"/>
    <w:rsid w:val="00E014EF"/>
    <w:rsid w:val="00E01553"/>
    <w:rsid w:val="00E016DF"/>
    <w:rsid w:val="00E01886"/>
    <w:rsid w:val="00E01A6B"/>
    <w:rsid w:val="00E01C67"/>
    <w:rsid w:val="00E01FBB"/>
    <w:rsid w:val="00E02358"/>
    <w:rsid w:val="00E02553"/>
    <w:rsid w:val="00E027B5"/>
    <w:rsid w:val="00E027DF"/>
    <w:rsid w:val="00E02845"/>
    <w:rsid w:val="00E028A4"/>
    <w:rsid w:val="00E029CB"/>
    <w:rsid w:val="00E02E80"/>
    <w:rsid w:val="00E0303B"/>
    <w:rsid w:val="00E031C3"/>
    <w:rsid w:val="00E03598"/>
    <w:rsid w:val="00E036F9"/>
    <w:rsid w:val="00E0377B"/>
    <w:rsid w:val="00E03B00"/>
    <w:rsid w:val="00E03B35"/>
    <w:rsid w:val="00E03F33"/>
    <w:rsid w:val="00E041E6"/>
    <w:rsid w:val="00E0420D"/>
    <w:rsid w:val="00E042C7"/>
    <w:rsid w:val="00E04470"/>
    <w:rsid w:val="00E0459F"/>
    <w:rsid w:val="00E04979"/>
    <w:rsid w:val="00E04D29"/>
    <w:rsid w:val="00E04E3B"/>
    <w:rsid w:val="00E0552D"/>
    <w:rsid w:val="00E05A3C"/>
    <w:rsid w:val="00E05A96"/>
    <w:rsid w:val="00E05FBE"/>
    <w:rsid w:val="00E06049"/>
    <w:rsid w:val="00E064B0"/>
    <w:rsid w:val="00E0666D"/>
    <w:rsid w:val="00E067B0"/>
    <w:rsid w:val="00E06802"/>
    <w:rsid w:val="00E0689A"/>
    <w:rsid w:val="00E069E4"/>
    <w:rsid w:val="00E06AB1"/>
    <w:rsid w:val="00E06B00"/>
    <w:rsid w:val="00E06D45"/>
    <w:rsid w:val="00E06E50"/>
    <w:rsid w:val="00E06ED8"/>
    <w:rsid w:val="00E070E7"/>
    <w:rsid w:val="00E07104"/>
    <w:rsid w:val="00E073B5"/>
    <w:rsid w:val="00E0757E"/>
    <w:rsid w:val="00E0776D"/>
    <w:rsid w:val="00E07838"/>
    <w:rsid w:val="00E079CA"/>
    <w:rsid w:val="00E07AA6"/>
    <w:rsid w:val="00E07BA8"/>
    <w:rsid w:val="00E07CBC"/>
    <w:rsid w:val="00E10631"/>
    <w:rsid w:val="00E1064D"/>
    <w:rsid w:val="00E107B3"/>
    <w:rsid w:val="00E108F0"/>
    <w:rsid w:val="00E10981"/>
    <w:rsid w:val="00E10A56"/>
    <w:rsid w:val="00E10C56"/>
    <w:rsid w:val="00E10E13"/>
    <w:rsid w:val="00E10FA9"/>
    <w:rsid w:val="00E1150F"/>
    <w:rsid w:val="00E11614"/>
    <w:rsid w:val="00E117E7"/>
    <w:rsid w:val="00E118F4"/>
    <w:rsid w:val="00E11934"/>
    <w:rsid w:val="00E11A5A"/>
    <w:rsid w:val="00E11A78"/>
    <w:rsid w:val="00E11B5C"/>
    <w:rsid w:val="00E11F50"/>
    <w:rsid w:val="00E1241A"/>
    <w:rsid w:val="00E12468"/>
    <w:rsid w:val="00E124A3"/>
    <w:rsid w:val="00E12705"/>
    <w:rsid w:val="00E127E2"/>
    <w:rsid w:val="00E12862"/>
    <w:rsid w:val="00E12950"/>
    <w:rsid w:val="00E12A2E"/>
    <w:rsid w:val="00E12A91"/>
    <w:rsid w:val="00E12AD6"/>
    <w:rsid w:val="00E1317D"/>
    <w:rsid w:val="00E131FC"/>
    <w:rsid w:val="00E134A2"/>
    <w:rsid w:val="00E1384C"/>
    <w:rsid w:val="00E13880"/>
    <w:rsid w:val="00E13C91"/>
    <w:rsid w:val="00E13F69"/>
    <w:rsid w:val="00E13FA2"/>
    <w:rsid w:val="00E13FC9"/>
    <w:rsid w:val="00E1400C"/>
    <w:rsid w:val="00E14263"/>
    <w:rsid w:val="00E1430E"/>
    <w:rsid w:val="00E14481"/>
    <w:rsid w:val="00E14484"/>
    <w:rsid w:val="00E14497"/>
    <w:rsid w:val="00E14655"/>
    <w:rsid w:val="00E147CD"/>
    <w:rsid w:val="00E14B44"/>
    <w:rsid w:val="00E157E3"/>
    <w:rsid w:val="00E15845"/>
    <w:rsid w:val="00E158FF"/>
    <w:rsid w:val="00E159A2"/>
    <w:rsid w:val="00E15CCC"/>
    <w:rsid w:val="00E15D62"/>
    <w:rsid w:val="00E160DA"/>
    <w:rsid w:val="00E163B1"/>
    <w:rsid w:val="00E16450"/>
    <w:rsid w:val="00E16556"/>
    <w:rsid w:val="00E1681B"/>
    <w:rsid w:val="00E16A76"/>
    <w:rsid w:val="00E16D95"/>
    <w:rsid w:val="00E16E32"/>
    <w:rsid w:val="00E16EF0"/>
    <w:rsid w:val="00E1731F"/>
    <w:rsid w:val="00E1755C"/>
    <w:rsid w:val="00E17AFC"/>
    <w:rsid w:val="00E17C8B"/>
    <w:rsid w:val="00E17CB0"/>
    <w:rsid w:val="00E17DF6"/>
    <w:rsid w:val="00E17FFE"/>
    <w:rsid w:val="00E20104"/>
    <w:rsid w:val="00E20137"/>
    <w:rsid w:val="00E20289"/>
    <w:rsid w:val="00E20483"/>
    <w:rsid w:val="00E2078C"/>
    <w:rsid w:val="00E20A98"/>
    <w:rsid w:val="00E20BEF"/>
    <w:rsid w:val="00E20EFC"/>
    <w:rsid w:val="00E20F57"/>
    <w:rsid w:val="00E212A1"/>
    <w:rsid w:val="00E212DD"/>
    <w:rsid w:val="00E21935"/>
    <w:rsid w:val="00E219A9"/>
    <w:rsid w:val="00E21A13"/>
    <w:rsid w:val="00E21FD5"/>
    <w:rsid w:val="00E220EF"/>
    <w:rsid w:val="00E22246"/>
    <w:rsid w:val="00E224C5"/>
    <w:rsid w:val="00E22689"/>
    <w:rsid w:val="00E22690"/>
    <w:rsid w:val="00E227D9"/>
    <w:rsid w:val="00E22853"/>
    <w:rsid w:val="00E22872"/>
    <w:rsid w:val="00E22B64"/>
    <w:rsid w:val="00E22C45"/>
    <w:rsid w:val="00E22CCB"/>
    <w:rsid w:val="00E22CE7"/>
    <w:rsid w:val="00E22FD2"/>
    <w:rsid w:val="00E2315C"/>
    <w:rsid w:val="00E23574"/>
    <w:rsid w:val="00E23586"/>
    <w:rsid w:val="00E23A54"/>
    <w:rsid w:val="00E23B93"/>
    <w:rsid w:val="00E23F1E"/>
    <w:rsid w:val="00E243AA"/>
    <w:rsid w:val="00E244CF"/>
    <w:rsid w:val="00E24568"/>
    <w:rsid w:val="00E24C57"/>
    <w:rsid w:val="00E24D7A"/>
    <w:rsid w:val="00E24E88"/>
    <w:rsid w:val="00E24E8B"/>
    <w:rsid w:val="00E25016"/>
    <w:rsid w:val="00E252B7"/>
    <w:rsid w:val="00E253F8"/>
    <w:rsid w:val="00E2563F"/>
    <w:rsid w:val="00E256DA"/>
    <w:rsid w:val="00E256DB"/>
    <w:rsid w:val="00E25F82"/>
    <w:rsid w:val="00E2603B"/>
    <w:rsid w:val="00E26367"/>
    <w:rsid w:val="00E263C8"/>
    <w:rsid w:val="00E264EF"/>
    <w:rsid w:val="00E2658D"/>
    <w:rsid w:val="00E266F4"/>
    <w:rsid w:val="00E268E5"/>
    <w:rsid w:val="00E27174"/>
    <w:rsid w:val="00E274A0"/>
    <w:rsid w:val="00E277A3"/>
    <w:rsid w:val="00E27A0E"/>
    <w:rsid w:val="00E27CD7"/>
    <w:rsid w:val="00E27D80"/>
    <w:rsid w:val="00E27DDC"/>
    <w:rsid w:val="00E27DEB"/>
    <w:rsid w:val="00E27EC1"/>
    <w:rsid w:val="00E302E8"/>
    <w:rsid w:val="00E30806"/>
    <w:rsid w:val="00E3080B"/>
    <w:rsid w:val="00E3082B"/>
    <w:rsid w:val="00E30952"/>
    <w:rsid w:val="00E312E8"/>
    <w:rsid w:val="00E316F0"/>
    <w:rsid w:val="00E317C1"/>
    <w:rsid w:val="00E31A14"/>
    <w:rsid w:val="00E31B88"/>
    <w:rsid w:val="00E31C8C"/>
    <w:rsid w:val="00E31EA2"/>
    <w:rsid w:val="00E32155"/>
    <w:rsid w:val="00E3219A"/>
    <w:rsid w:val="00E329F7"/>
    <w:rsid w:val="00E32D25"/>
    <w:rsid w:val="00E32D7B"/>
    <w:rsid w:val="00E32E40"/>
    <w:rsid w:val="00E3303C"/>
    <w:rsid w:val="00E3309F"/>
    <w:rsid w:val="00E331E8"/>
    <w:rsid w:val="00E33280"/>
    <w:rsid w:val="00E33595"/>
    <w:rsid w:val="00E335F5"/>
    <w:rsid w:val="00E337AB"/>
    <w:rsid w:val="00E3383D"/>
    <w:rsid w:val="00E33981"/>
    <w:rsid w:val="00E33BBC"/>
    <w:rsid w:val="00E33D35"/>
    <w:rsid w:val="00E33E70"/>
    <w:rsid w:val="00E33EA4"/>
    <w:rsid w:val="00E34077"/>
    <w:rsid w:val="00E341DB"/>
    <w:rsid w:val="00E3435A"/>
    <w:rsid w:val="00E348C1"/>
    <w:rsid w:val="00E34BED"/>
    <w:rsid w:val="00E35150"/>
    <w:rsid w:val="00E351B4"/>
    <w:rsid w:val="00E352E1"/>
    <w:rsid w:val="00E3540D"/>
    <w:rsid w:val="00E355F1"/>
    <w:rsid w:val="00E356E4"/>
    <w:rsid w:val="00E35784"/>
    <w:rsid w:val="00E35892"/>
    <w:rsid w:val="00E35932"/>
    <w:rsid w:val="00E359DC"/>
    <w:rsid w:val="00E363B4"/>
    <w:rsid w:val="00E363B6"/>
    <w:rsid w:val="00E364F6"/>
    <w:rsid w:val="00E36740"/>
    <w:rsid w:val="00E367D3"/>
    <w:rsid w:val="00E36958"/>
    <w:rsid w:val="00E369E3"/>
    <w:rsid w:val="00E36A3F"/>
    <w:rsid w:val="00E36BDD"/>
    <w:rsid w:val="00E36D8B"/>
    <w:rsid w:val="00E3715B"/>
    <w:rsid w:val="00E372B0"/>
    <w:rsid w:val="00E37732"/>
    <w:rsid w:val="00E3780B"/>
    <w:rsid w:val="00E37C85"/>
    <w:rsid w:val="00E37D81"/>
    <w:rsid w:val="00E37DB2"/>
    <w:rsid w:val="00E37E17"/>
    <w:rsid w:val="00E403C5"/>
    <w:rsid w:val="00E40760"/>
    <w:rsid w:val="00E408E5"/>
    <w:rsid w:val="00E40A85"/>
    <w:rsid w:val="00E40C1B"/>
    <w:rsid w:val="00E40D33"/>
    <w:rsid w:val="00E40F10"/>
    <w:rsid w:val="00E40F35"/>
    <w:rsid w:val="00E41090"/>
    <w:rsid w:val="00E41169"/>
    <w:rsid w:val="00E4122B"/>
    <w:rsid w:val="00E41231"/>
    <w:rsid w:val="00E4123B"/>
    <w:rsid w:val="00E41545"/>
    <w:rsid w:val="00E415F2"/>
    <w:rsid w:val="00E416FB"/>
    <w:rsid w:val="00E41764"/>
    <w:rsid w:val="00E418C5"/>
    <w:rsid w:val="00E41A03"/>
    <w:rsid w:val="00E41CF2"/>
    <w:rsid w:val="00E41D70"/>
    <w:rsid w:val="00E41E37"/>
    <w:rsid w:val="00E41F30"/>
    <w:rsid w:val="00E421E9"/>
    <w:rsid w:val="00E422A1"/>
    <w:rsid w:val="00E42388"/>
    <w:rsid w:val="00E42639"/>
    <w:rsid w:val="00E42668"/>
    <w:rsid w:val="00E42954"/>
    <w:rsid w:val="00E430BF"/>
    <w:rsid w:val="00E431B3"/>
    <w:rsid w:val="00E4322F"/>
    <w:rsid w:val="00E43233"/>
    <w:rsid w:val="00E43373"/>
    <w:rsid w:val="00E43482"/>
    <w:rsid w:val="00E436A7"/>
    <w:rsid w:val="00E4382E"/>
    <w:rsid w:val="00E4394A"/>
    <w:rsid w:val="00E43960"/>
    <w:rsid w:val="00E43ABC"/>
    <w:rsid w:val="00E43BAC"/>
    <w:rsid w:val="00E44043"/>
    <w:rsid w:val="00E4420C"/>
    <w:rsid w:val="00E44446"/>
    <w:rsid w:val="00E4455D"/>
    <w:rsid w:val="00E44943"/>
    <w:rsid w:val="00E44B63"/>
    <w:rsid w:val="00E44D40"/>
    <w:rsid w:val="00E44D5B"/>
    <w:rsid w:val="00E44DAB"/>
    <w:rsid w:val="00E44EE8"/>
    <w:rsid w:val="00E450B7"/>
    <w:rsid w:val="00E450EE"/>
    <w:rsid w:val="00E45302"/>
    <w:rsid w:val="00E453E5"/>
    <w:rsid w:val="00E4541D"/>
    <w:rsid w:val="00E45677"/>
    <w:rsid w:val="00E45DCB"/>
    <w:rsid w:val="00E4631A"/>
    <w:rsid w:val="00E46323"/>
    <w:rsid w:val="00E46346"/>
    <w:rsid w:val="00E46587"/>
    <w:rsid w:val="00E46628"/>
    <w:rsid w:val="00E467A2"/>
    <w:rsid w:val="00E46AF1"/>
    <w:rsid w:val="00E4703D"/>
    <w:rsid w:val="00E471E1"/>
    <w:rsid w:val="00E47682"/>
    <w:rsid w:val="00E476F2"/>
    <w:rsid w:val="00E477FE"/>
    <w:rsid w:val="00E479E2"/>
    <w:rsid w:val="00E47DFD"/>
    <w:rsid w:val="00E47E22"/>
    <w:rsid w:val="00E47E97"/>
    <w:rsid w:val="00E501C2"/>
    <w:rsid w:val="00E50501"/>
    <w:rsid w:val="00E50639"/>
    <w:rsid w:val="00E5064A"/>
    <w:rsid w:val="00E508BB"/>
    <w:rsid w:val="00E50C07"/>
    <w:rsid w:val="00E50FC7"/>
    <w:rsid w:val="00E51168"/>
    <w:rsid w:val="00E5124A"/>
    <w:rsid w:val="00E512C7"/>
    <w:rsid w:val="00E512E2"/>
    <w:rsid w:val="00E51444"/>
    <w:rsid w:val="00E516C0"/>
    <w:rsid w:val="00E52004"/>
    <w:rsid w:val="00E52307"/>
    <w:rsid w:val="00E52725"/>
    <w:rsid w:val="00E52BAC"/>
    <w:rsid w:val="00E52C5C"/>
    <w:rsid w:val="00E52F7D"/>
    <w:rsid w:val="00E530C8"/>
    <w:rsid w:val="00E53152"/>
    <w:rsid w:val="00E5331C"/>
    <w:rsid w:val="00E5365C"/>
    <w:rsid w:val="00E5386D"/>
    <w:rsid w:val="00E53B17"/>
    <w:rsid w:val="00E53B73"/>
    <w:rsid w:val="00E53C13"/>
    <w:rsid w:val="00E53F28"/>
    <w:rsid w:val="00E53FE9"/>
    <w:rsid w:val="00E5418A"/>
    <w:rsid w:val="00E54581"/>
    <w:rsid w:val="00E5474A"/>
    <w:rsid w:val="00E54784"/>
    <w:rsid w:val="00E54A73"/>
    <w:rsid w:val="00E54CCC"/>
    <w:rsid w:val="00E54D17"/>
    <w:rsid w:val="00E54D76"/>
    <w:rsid w:val="00E54F9F"/>
    <w:rsid w:val="00E55446"/>
    <w:rsid w:val="00E55721"/>
    <w:rsid w:val="00E557EF"/>
    <w:rsid w:val="00E558F7"/>
    <w:rsid w:val="00E55CAB"/>
    <w:rsid w:val="00E55F5C"/>
    <w:rsid w:val="00E563AA"/>
    <w:rsid w:val="00E56433"/>
    <w:rsid w:val="00E564D5"/>
    <w:rsid w:val="00E567C9"/>
    <w:rsid w:val="00E56813"/>
    <w:rsid w:val="00E56A47"/>
    <w:rsid w:val="00E56B17"/>
    <w:rsid w:val="00E56B6A"/>
    <w:rsid w:val="00E56B82"/>
    <w:rsid w:val="00E56BBC"/>
    <w:rsid w:val="00E5700B"/>
    <w:rsid w:val="00E57288"/>
    <w:rsid w:val="00E572A9"/>
    <w:rsid w:val="00E57308"/>
    <w:rsid w:val="00E5738C"/>
    <w:rsid w:val="00E574A9"/>
    <w:rsid w:val="00E57516"/>
    <w:rsid w:val="00E57553"/>
    <w:rsid w:val="00E577A0"/>
    <w:rsid w:val="00E57AEB"/>
    <w:rsid w:val="00E57BF7"/>
    <w:rsid w:val="00E57CC9"/>
    <w:rsid w:val="00E57EB1"/>
    <w:rsid w:val="00E60042"/>
    <w:rsid w:val="00E600B7"/>
    <w:rsid w:val="00E60535"/>
    <w:rsid w:val="00E60548"/>
    <w:rsid w:val="00E605C7"/>
    <w:rsid w:val="00E60862"/>
    <w:rsid w:val="00E6092B"/>
    <w:rsid w:val="00E60B54"/>
    <w:rsid w:val="00E60BFB"/>
    <w:rsid w:val="00E60C99"/>
    <w:rsid w:val="00E6102C"/>
    <w:rsid w:val="00E610EE"/>
    <w:rsid w:val="00E61286"/>
    <w:rsid w:val="00E6153C"/>
    <w:rsid w:val="00E615FD"/>
    <w:rsid w:val="00E61616"/>
    <w:rsid w:val="00E61780"/>
    <w:rsid w:val="00E617DA"/>
    <w:rsid w:val="00E61EC2"/>
    <w:rsid w:val="00E62541"/>
    <w:rsid w:val="00E62755"/>
    <w:rsid w:val="00E6276B"/>
    <w:rsid w:val="00E62825"/>
    <w:rsid w:val="00E6298D"/>
    <w:rsid w:val="00E62AC1"/>
    <w:rsid w:val="00E62AF0"/>
    <w:rsid w:val="00E62C3B"/>
    <w:rsid w:val="00E62EB5"/>
    <w:rsid w:val="00E63451"/>
    <w:rsid w:val="00E639AE"/>
    <w:rsid w:val="00E63AAD"/>
    <w:rsid w:val="00E63D70"/>
    <w:rsid w:val="00E6437A"/>
    <w:rsid w:val="00E644F6"/>
    <w:rsid w:val="00E64526"/>
    <w:rsid w:val="00E64734"/>
    <w:rsid w:val="00E64D48"/>
    <w:rsid w:val="00E64F17"/>
    <w:rsid w:val="00E6503E"/>
    <w:rsid w:val="00E65340"/>
    <w:rsid w:val="00E65F72"/>
    <w:rsid w:val="00E6631A"/>
    <w:rsid w:val="00E664EF"/>
    <w:rsid w:val="00E6678C"/>
    <w:rsid w:val="00E66791"/>
    <w:rsid w:val="00E6682B"/>
    <w:rsid w:val="00E66968"/>
    <w:rsid w:val="00E672E1"/>
    <w:rsid w:val="00E67344"/>
    <w:rsid w:val="00E67413"/>
    <w:rsid w:val="00E679E6"/>
    <w:rsid w:val="00E679FC"/>
    <w:rsid w:val="00E67D41"/>
    <w:rsid w:val="00E67D46"/>
    <w:rsid w:val="00E67FCF"/>
    <w:rsid w:val="00E70065"/>
    <w:rsid w:val="00E70129"/>
    <w:rsid w:val="00E704BC"/>
    <w:rsid w:val="00E70557"/>
    <w:rsid w:val="00E706D8"/>
    <w:rsid w:val="00E70743"/>
    <w:rsid w:val="00E7080E"/>
    <w:rsid w:val="00E709CF"/>
    <w:rsid w:val="00E70C95"/>
    <w:rsid w:val="00E70DA7"/>
    <w:rsid w:val="00E70FAE"/>
    <w:rsid w:val="00E710ED"/>
    <w:rsid w:val="00E71191"/>
    <w:rsid w:val="00E71367"/>
    <w:rsid w:val="00E714DE"/>
    <w:rsid w:val="00E7151D"/>
    <w:rsid w:val="00E71A12"/>
    <w:rsid w:val="00E71A8A"/>
    <w:rsid w:val="00E71B30"/>
    <w:rsid w:val="00E71B61"/>
    <w:rsid w:val="00E71CB7"/>
    <w:rsid w:val="00E71E3E"/>
    <w:rsid w:val="00E7253A"/>
    <w:rsid w:val="00E72755"/>
    <w:rsid w:val="00E72C06"/>
    <w:rsid w:val="00E72E96"/>
    <w:rsid w:val="00E732ED"/>
    <w:rsid w:val="00E7343D"/>
    <w:rsid w:val="00E7357A"/>
    <w:rsid w:val="00E7368C"/>
    <w:rsid w:val="00E73758"/>
    <w:rsid w:val="00E73A63"/>
    <w:rsid w:val="00E73B34"/>
    <w:rsid w:val="00E73B57"/>
    <w:rsid w:val="00E74103"/>
    <w:rsid w:val="00E7419E"/>
    <w:rsid w:val="00E7427C"/>
    <w:rsid w:val="00E743C1"/>
    <w:rsid w:val="00E74403"/>
    <w:rsid w:val="00E74676"/>
    <w:rsid w:val="00E746AE"/>
    <w:rsid w:val="00E74CC2"/>
    <w:rsid w:val="00E74CC6"/>
    <w:rsid w:val="00E74CE1"/>
    <w:rsid w:val="00E74D67"/>
    <w:rsid w:val="00E74DD5"/>
    <w:rsid w:val="00E75148"/>
    <w:rsid w:val="00E7520A"/>
    <w:rsid w:val="00E752EF"/>
    <w:rsid w:val="00E7562B"/>
    <w:rsid w:val="00E7572A"/>
    <w:rsid w:val="00E75A9C"/>
    <w:rsid w:val="00E75B5F"/>
    <w:rsid w:val="00E75FF1"/>
    <w:rsid w:val="00E76156"/>
    <w:rsid w:val="00E7628E"/>
    <w:rsid w:val="00E76298"/>
    <w:rsid w:val="00E76376"/>
    <w:rsid w:val="00E7659A"/>
    <w:rsid w:val="00E767A4"/>
    <w:rsid w:val="00E768ED"/>
    <w:rsid w:val="00E76B02"/>
    <w:rsid w:val="00E76BDE"/>
    <w:rsid w:val="00E76BEB"/>
    <w:rsid w:val="00E76C66"/>
    <w:rsid w:val="00E76D02"/>
    <w:rsid w:val="00E76DC0"/>
    <w:rsid w:val="00E76FFA"/>
    <w:rsid w:val="00E770A7"/>
    <w:rsid w:val="00E77423"/>
    <w:rsid w:val="00E77561"/>
    <w:rsid w:val="00E775C5"/>
    <w:rsid w:val="00E779C9"/>
    <w:rsid w:val="00E77C49"/>
    <w:rsid w:val="00E77CA7"/>
    <w:rsid w:val="00E77CCB"/>
    <w:rsid w:val="00E77E57"/>
    <w:rsid w:val="00E80378"/>
    <w:rsid w:val="00E80509"/>
    <w:rsid w:val="00E80741"/>
    <w:rsid w:val="00E80B25"/>
    <w:rsid w:val="00E80D35"/>
    <w:rsid w:val="00E80E66"/>
    <w:rsid w:val="00E813AB"/>
    <w:rsid w:val="00E813B7"/>
    <w:rsid w:val="00E8146D"/>
    <w:rsid w:val="00E815C8"/>
    <w:rsid w:val="00E81657"/>
    <w:rsid w:val="00E816C0"/>
    <w:rsid w:val="00E8173A"/>
    <w:rsid w:val="00E81DE3"/>
    <w:rsid w:val="00E81FFC"/>
    <w:rsid w:val="00E820FA"/>
    <w:rsid w:val="00E821DE"/>
    <w:rsid w:val="00E82585"/>
    <w:rsid w:val="00E8271A"/>
    <w:rsid w:val="00E82765"/>
    <w:rsid w:val="00E82C63"/>
    <w:rsid w:val="00E82CBC"/>
    <w:rsid w:val="00E82D8F"/>
    <w:rsid w:val="00E82E09"/>
    <w:rsid w:val="00E82EA9"/>
    <w:rsid w:val="00E82F4D"/>
    <w:rsid w:val="00E82FEA"/>
    <w:rsid w:val="00E832D2"/>
    <w:rsid w:val="00E83499"/>
    <w:rsid w:val="00E83521"/>
    <w:rsid w:val="00E83787"/>
    <w:rsid w:val="00E83879"/>
    <w:rsid w:val="00E83A68"/>
    <w:rsid w:val="00E83BA7"/>
    <w:rsid w:val="00E84560"/>
    <w:rsid w:val="00E8486A"/>
    <w:rsid w:val="00E8489F"/>
    <w:rsid w:val="00E84AFE"/>
    <w:rsid w:val="00E84E40"/>
    <w:rsid w:val="00E84E95"/>
    <w:rsid w:val="00E8519E"/>
    <w:rsid w:val="00E8529E"/>
    <w:rsid w:val="00E85384"/>
    <w:rsid w:val="00E85388"/>
    <w:rsid w:val="00E855CA"/>
    <w:rsid w:val="00E85610"/>
    <w:rsid w:val="00E85A7B"/>
    <w:rsid w:val="00E85AB2"/>
    <w:rsid w:val="00E85BBF"/>
    <w:rsid w:val="00E85D61"/>
    <w:rsid w:val="00E8605E"/>
    <w:rsid w:val="00E86867"/>
    <w:rsid w:val="00E86FC9"/>
    <w:rsid w:val="00E8713F"/>
    <w:rsid w:val="00E87259"/>
    <w:rsid w:val="00E87325"/>
    <w:rsid w:val="00E87409"/>
    <w:rsid w:val="00E8742B"/>
    <w:rsid w:val="00E875E8"/>
    <w:rsid w:val="00E87A0C"/>
    <w:rsid w:val="00E87B54"/>
    <w:rsid w:val="00E87CB9"/>
    <w:rsid w:val="00E9001E"/>
    <w:rsid w:val="00E900FF"/>
    <w:rsid w:val="00E90387"/>
    <w:rsid w:val="00E9043D"/>
    <w:rsid w:val="00E909B8"/>
    <w:rsid w:val="00E90A01"/>
    <w:rsid w:val="00E90B27"/>
    <w:rsid w:val="00E90E4E"/>
    <w:rsid w:val="00E90F35"/>
    <w:rsid w:val="00E911CA"/>
    <w:rsid w:val="00E911F4"/>
    <w:rsid w:val="00E918C6"/>
    <w:rsid w:val="00E91A8B"/>
    <w:rsid w:val="00E91D42"/>
    <w:rsid w:val="00E91D7E"/>
    <w:rsid w:val="00E91F87"/>
    <w:rsid w:val="00E92337"/>
    <w:rsid w:val="00E925BF"/>
    <w:rsid w:val="00E92C73"/>
    <w:rsid w:val="00E92F4E"/>
    <w:rsid w:val="00E9310E"/>
    <w:rsid w:val="00E9321F"/>
    <w:rsid w:val="00E93568"/>
    <w:rsid w:val="00E936FC"/>
    <w:rsid w:val="00E93AF5"/>
    <w:rsid w:val="00E93BA6"/>
    <w:rsid w:val="00E93C74"/>
    <w:rsid w:val="00E93EA7"/>
    <w:rsid w:val="00E940AD"/>
    <w:rsid w:val="00E941AB"/>
    <w:rsid w:val="00E9426A"/>
    <w:rsid w:val="00E9470D"/>
    <w:rsid w:val="00E948C4"/>
    <w:rsid w:val="00E949F3"/>
    <w:rsid w:val="00E94C39"/>
    <w:rsid w:val="00E94D79"/>
    <w:rsid w:val="00E94ED7"/>
    <w:rsid w:val="00E95008"/>
    <w:rsid w:val="00E95D9E"/>
    <w:rsid w:val="00E96134"/>
    <w:rsid w:val="00E9634D"/>
    <w:rsid w:val="00E964E3"/>
    <w:rsid w:val="00E96533"/>
    <w:rsid w:val="00E965EF"/>
    <w:rsid w:val="00E9660F"/>
    <w:rsid w:val="00E96A40"/>
    <w:rsid w:val="00E96B19"/>
    <w:rsid w:val="00E96BC4"/>
    <w:rsid w:val="00E96F4E"/>
    <w:rsid w:val="00E97333"/>
    <w:rsid w:val="00E975E2"/>
    <w:rsid w:val="00E97739"/>
    <w:rsid w:val="00E979CD"/>
    <w:rsid w:val="00E97ED6"/>
    <w:rsid w:val="00E97F7F"/>
    <w:rsid w:val="00E97FD3"/>
    <w:rsid w:val="00E97FFA"/>
    <w:rsid w:val="00EA016D"/>
    <w:rsid w:val="00EA0897"/>
    <w:rsid w:val="00EA096C"/>
    <w:rsid w:val="00EA0976"/>
    <w:rsid w:val="00EA09BB"/>
    <w:rsid w:val="00EA0A58"/>
    <w:rsid w:val="00EA0D89"/>
    <w:rsid w:val="00EA0DCA"/>
    <w:rsid w:val="00EA0DCB"/>
    <w:rsid w:val="00EA0E86"/>
    <w:rsid w:val="00EA0F32"/>
    <w:rsid w:val="00EA0F7C"/>
    <w:rsid w:val="00EA1326"/>
    <w:rsid w:val="00EA13CE"/>
    <w:rsid w:val="00EA14A8"/>
    <w:rsid w:val="00EA14E8"/>
    <w:rsid w:val="00EA152F"/>
    <w:rsid w:val="00EA1588"/>
    <w:rsid w:val="00EA1594"/>
    <w:rsid w:val="00EA173F"/>
    <w:rsid w:val="00EA1B79"/>
    <w:rsid w:val="00EA1DA0"/>
    <w:rsid w:val="00EA1ECA"/>
    <w:rsid w:val="00EA1FB5"/>
    <w:rsid w:val="00EA202C"/>
    <w:rsid w:val="00EA22E0"/>
    <w:rsid w:val="00EA234B"/>
    <w:rsid w:val="00EA23AC"/>
    <w:rsid w:val="00EA2596"/>
    <w:rsid w:val="00EA27CD"/>
    <w:rsid w:val="00EA286C"/>
    <w:rsid w:val="00EA28F7"/>
    <w:rsid w:val="00EA2B3F"/>
    <w:rsid w:val="00EA3114"/>
    <w:rsid w:val="00EA31E5"/>
    <w:rsid w:val="00EA3447"/>
    <w:rsid w:val="00EA393B"/>
    <w:rsid w:val="00EA3A89"/>
    <w:rsid w:val="00EA3BE3"/>
    <w:rsid w:val="00EA3C64"/>
    <w:rsid w:val="00EA3D89"/>
    <w:rsid w:val="00EA414E"/>
    <w:rsid w:val="00EA4273"/>
    <w:rsid w:val="00EA4361"/>
    <w:rsid w:val="00EA465B"/>
    <w:rsid w:val="00EA488F"/>
    <w:rsid w:val="00EA4C70"/>
    <w:rsid w:val="00EA4DC7"/>
    <w:rsid w:val="00EA5186"/>
    <w:rsid w:val="00EA521E"/>
    <w:rsid w:val="00EA52A5"/>
    <w:rsid w:val="00EA5561"/>
    <w:rsid w:val="00EA568D"/>
    <w:rsid w:val="00EA576C"/>
    <w:rsid w:val="00EA580F"/>
    <w:rsid w:val="00EA581E"/>
    <w:rsid w:val="00EA5898"/>
    <w:rsid w:val="00EA58AA"/>
    <w:rsid w:val="00EA5B6B"/>
    <w:rsid w:val="00EA5D1F"/>
    <w:rsid w:val="00EA5E2F"/>
    <w:rsid w:val="00EA5EA6"/>
    <w:rsid w:val="00EA5F57"/>
    <w:rsid w:val="00EA5FEA"/>
    <w:rsid w:val="00EA61CE"/>
    <w:rsid w:val="00EA66C2"/>
    <w:rsid w:val="00EA676A"/>
    <w:rsid w:val="00EA6856"/>
    <w:rsid w:val="00EA69AB"/>
    <w:rsid w:val="00EA6A25"/>
    <w:rsid w:val="00EA6DF1"/>
    <w:rsid w:val="00EA6F3F"/>
    <w:rsid w:val="00EA717A"/>
    <w:rsid w:val="00EA74DA"/>
    <w:rsid w:val="00EA7617"/>
    <w:rsid w:val="00EA7803"/>
    <w:rsid w:val="00EA787C"/>
    <w:rsid w:val="00EA7898"/>
    <w:rsid w:val="00EA78D2"/>
    <w:rsid w:val="00EA7949"/>
    <w:rsid w:val="00EA7A88"/>
    <w:rsid w:val="00EA7B2E"/>
    <w:rsid w:val="00EA7BFB"/>
    <w:rsid w:val="00EA7F97"/>
    <w:rsid w:val="00EB0046"/>
    <w:rsid w:val="00EB008D"/>
    <w:rsid w:val="00EB00FF"/>
    <w:rsid w:val="00EB0151"/>
    <w:rsid w:val="00EB0705"/>
    <w:rsid w:val="00EB07CF"/>
    <w:rsid w:val="00EB08BE"/>
    <w:rsid w:val="00EB0CD0"/>
    <w:rsid w:val="00EB0D84"/>
    <w:rsid w:val="00EB10CE"/>
    <w:rsid w:val="00EB1140"/>
    <w:rsid w:val="00EB182B"/>
    <w:rsid w:val="00EB1838"/>
    <w:rsid w:val="00EB1A91"/>
    <w:rsid w:val="00EB1DFB"/>
    <w:rsid w:val="00EB1E44"/>
    <w:rsid w:val="00EB20B4"/>
    <w:rsid w:val="00EB21BB"/>
    <w:rsid w:val="00EB21F3"/>
    <w:rsid w:val="00EB21F6"/>
    <w:rsid w:val="00EB25D5"/>
    <w:rsid w:val="00EB270B"/>
    <w:rsid w:val="00EB27FA"/>
    <w:rsid w:val="00EB2805"/>
    <w:rsid w:val="00EB285F"/>
    <w:rsid w:val="00EB28D4"/>
    <w:rsid w:val="00EB2ACF"/>
    <w:rsid w:val="00EB2F95"/>
    <w:rsid w:val="00EB3063"/>
    <w:rsid w:val="00EB31DE"/>
    <w:rsid w:val="00EB32EF"/>
    <w:rsid w:val="00EB3593"/>
    <w:rsid w:val="00EB39F5"/>
    <w:rsid w:val="00EB3A4A"/>
    <w:rsid w:val="00EB3D75"/>
    <w:rsid w:val="00EB40E6"/>
    <w:rsid w:val="00EB43F0"/>
    <w:rsid w:val="00EB4477"/>
    <w:rsid w:val="00EB4675"/>
    <w:rsid w:val="00EB4809"/>
    <w:rsid w:val="00EB4A2A"/>
    <w:rsid w:val="00EB4A72"/>
    <w:rsid w:val="00EB4B3A"/>
    <w:rsid w:val="00EB4CCE"/>
    <w:rsid w:val="00EB4D57"/>
    <w:rsid w:val="00EB4EE8"/>
    <w:rsid w:val="00EB4FEA"/>
    <w:rsid w:val="00EB543E"/>
    <w:rsid w:val="00EB57B7"/>
    <w:rsid w:val="00EB58A3"/>
    <w:rsid w:val="00EB590A"/>
    <w:rsid w:val="00EB5D78"/>
    <w:rsid w:val="00EB5F3C"/>
    <w:rsid w:val="00EB606B"/>
    <w:rsid w:val="00EB60D8"/>
    <w:rsid w:val="00EB61BA"/>
    <w:rsid w:val="00EB626D"/>
    <w:rsid w:val="00EB62F9"/>
    <w:rsid w:val="00EB6431"/>
    <w:rsid w:val="00EB64F9"/>
    <w:rsid w:val="00EB65B5"/>
    <w:rsid w:val="00EB699F"/>
    <w:rsid w:val="00EB69D6"/>
    <w:rsid w:val="00EB6A18"/>
    <w:rsid w:val="00EB6A1A"/>
    <w:rsid w:val="00EB6B47"/>
    <w:rsid w:val="00EB6D6D"/>
    <w:rsid w:val="00EB6F2D"/>
    <w:rsid w:val="00EB6FCA"/>
    <w:rsid w:val="00EB70FA"/>
    <w:rsid w:val="00EB725E"/>
    <w:rsid w:val="00EB7391"/>
    <w:rsid w:val="00EB7507"/>
    <w:rsid w:val="00EB77B4"/>
    <w:rsid w:val="00EB77BC"/>
    <w:rsid w:val="00EB7903"/>
    <w:rsid w:val="00EB7AFD"/>
    <w:rsid w:val="00EB7D64"/>
    <w:rsid w:val="00EC01C9"/>
    <w:rsid w:val="00EC01DF"/>
    <w:rsid w:val="00EC0439"/>
    <w:rsid w:val="00EC0447"/>
    <w:rsid w:val="00EC0561"/>
    <w:rsid w:val="00EC08FE"/>
    <w:rsid w:val="00EC0C73"/>
    <w:rsid w:val="00EC0CC3"/>
    <w:rsid w:val="00EC0D2F"/>
    <w:rsid w:val="00EC0DEB"/>
    <w:rsid w:val="00EC108D"/>
    <w:rsid w:val="00EC1230"/>
    <w:rsid w:val="00EC138B"/>
    <w:rsid w:val="00EC13DF"/>
    <w:rsid w:val="00EC1994"/>
    <w:rsid w:val="00EC19C7"/>
    <w:rsid w:val="00EC1CE0"/>
    <w:rsid w:val="00EC1D2B"/>
    <w:rsid w:val="00EC1D30"/>
    <w:rsid w:val="00EC2119"/>
    <w:rsid w:val="00EC214B"/>
    <w:rsid w:val="00EC2165"/>
    <w:rsid w:val="00EC21BD"/>
    <w:rsid w:val="00EC2331"/>
    <w:rsid w:val="00EC23A9"/>
    <w:rsid w:val="00EC2617"/>
    <w:rsid w:val="00EC2C44"/>
    <w:rsid w:val="00EC2D6E"/>
    <w:rsid w:val="00EC3082"/>
    <w:rsid w:val="00EC311E"/>
    <w:rsid w:val="00EC3397"/>
    <w:rsid w:val="00EC359D"/>
    <w:rsid w:val="00EC3740"/>
    <w:rsid w:val="00EC3831"/>
    <w:rsid w:val="00EC38B2"/>
    <w:rsid w:val="00EC3AE1"/>
    <w:rsid w:val="00EC3EA0"/>
    <w:rsid w:val="00EC3FE0"/>
    <w:rsid w:val="00EC40FB"/>
    <w:rsid w:val="00EC426B"/>
    <w:rsid w:val="00EC43EC"/>
    <w:rsid w:val="00EC4717"/>
    <w:rsid w:val="00EC4BB1"/>
    <w:rsid w:val="00EC4D4D"/>
    <w:rsid w:val="00EC5089"/>
    <w:rsid w:val="00EC50DF"/>
    <w:rsid w:val="00EC5244"/>
    <w:rsid w:val="00EC5275"/>
    <w:rsid w:val="00EC5286"/>
    <w:rsid w:val="00EC58F3"/>
    <w:rsid w:val="00EC5919"/>
    <w:rsid w:val="00EC5AA9"/>
    <w:rsid w:val="00EC5B45"/>
    <w:rsid w:val="00EC5ED8"/>
    <w:rsid w:val="00EC5F2D"/>
    <w:rsid w:val="00EC60C9"/>
    <w:rsid w:val="00EC60E9"/>
    <w:rsid w:val="00EC616A"/>
    <w:rsid w:val="00EC6214"/>
    <w:rsid w:val="00EC632A"/>
    <w:rsid w:val="00EC64D2"/>
    <w:rsid w:val="00EC6719"/>
    <w:rsid w:val="00EC6759"/>
    <w:rsid w:val="00EC6963"/>
    <w:rsid w:val="00EC6B11"/>
    <w:rsid w:val="00EC6C55"/>
    <w:rsid w:val="00EC6D03"/>
    <w:rsid w:val="00EC6E29"/>
    <w:rsid w:val="00EC6E76"/>
    <w:rsid w:val="00EC71FA"/>
    <w:rsid w:val="00EC7273"/>
    <w:rsid w:val="00EC7431"/>
    <w:rsid w:val="00EC76DE"/>
    <w:rsid w:val="00EC770A"/>
    <w:rsid w:val="00EC782C"/>
    <w:rsid w:val="00EC7891"/>
    <w:rsid w:val="00EC78E7"/>
    <w:rsid w:val="00EC7B5B"/>
    <w:rsid w:val="00EC7BE1"/>
    <w:rsid w:val="00EC7D58"/>
    <w:rsid w:val="00EC7F27"/>
    <w:rsid w:val="00EC7FB5"/>
    <w:rsid w:val="00EC7FC2"/>
    <w:rsid w:val="00EC7FC3"/>
    <w:rsid w:val="00EC7FD3"/>
    <w:rsid w:val="00ED0433"/>
    <w:rsid w:val="00ED0453"/>
    <w:rsid w:val="00ED04AB"/>
    <w:rsid w:val="00ED064E"/>
    <w:rsid w:val="00ED0667"/>
    <w:rsid w:val="00ED0AC4"/>
    <w:rsid w:val="00ED0BEE"/>
    <w:rsid w:val="00ED0D05"/>
    <w:rsid w:val="00ED0D16"/>
    <w:rsid w:val="00ED0E33"/>
    <w:rsid w:val="00ED0EC1"/>
    <w:rsid w:val="00ED1010"/>
    <w:rsid w:val="00ED1106"/>
    <w:rsid w:val="00ED12DD"/>
    <w:rsid w:val="00ED139A"/>
    <w:rsid w:val="00ED13D7"/>
    <w:rsid w:val="00ED14B5"/>
    <w:rsid w:val="00ED14E3"/>
    <w:rsid w:val="00ED1556"/>
    <w:rsid w:val="00ED15E1"/>
    <w:rsid w:val="00ED1709"/>
    <w:rsid w:val="00ED1740"/>
    <w:rsid w:val="00ED1877"/>
    <w:rsid w:val="00ED198E"/>
    <w:rsid w:val="00ED19BF"/>
    <w:rsid w:val="00ED1CC2"/>
    <w:rsid w:val="00ED1E04"/>
    <w:rsid w:val="00ED2300"/>
    <w:rsid w:val="00ED2733"/>
    <w:rsid w:val="00ED2774"/>
    <w:rsid w:val="00ED27EE"/>
    <w:rsid w:val="00ED2904"/>
    <w:rsid w:val="00ED2A18"/>
    <w:rsid w:val="00ED2A4E"/>
    <w:rsid w:val="00ED2BD9"/>
    <w:rsid w:val="00ED2E8E"/>
    <w:rsid w:val="00ED2EA6"/>
    <w:rsid w:val="00ED3439"/>
    <w:rsid w:val="00ED3538"/>
    <w:rsid w:val="00ED35A7"/>
    <w:rsid w:val="00ED35BA"/>
    <w:rsid w:val="00ED36B5"/>
    <w:rsid w:val="00ED3702"/>
    <w:rsid w:val="00ED373D"/>
    <w:rsid w:val="00ED382D"/>
    <w:rsid w:val="00ED3A0C"/>
    <w:rsid w:val="00ED3A83"/>
    <w:rsid w:val="00ED3C90"/>
    <w:rsid w:val="00ED3D0F"/>
    <w:rsid w:val="00ED3D9B"/>
    <w:rsid w:val="00ED3E2F"/>
    <w:rsid w:val="00ED3F25"/>
    <w:rsid w:val="00ED4620"/>
    <w:rsid w:val="00ED466B"/>
    <w:rsid w:val="00ED4C3E"/>
    <w:rsid w:val="00ED4C6E"/>
    <w:rsid w:val="00ED4DCE"/>
    <w:rsid w:val="00ED4EC4"/>
    <w:rsid w:val="00ED4F8B"/>
    <w:rsid w:val="00ED5155"/>
    <w:rsid w:val="00ED51AE"/>
    <w:rsid w:val="00ED520D"/>
    <w:rsid w:val="00ED5276"/>
    <w:rsid w:val="00ED572C"/>
    <w:rsid w:val="00ED5828"/>
    <w:rsid w:val="00ED584C"/>
    <w:rsid w:val="00ED595A"/>
    <w:rsid w:val="00ED5FA3"/>
    <w:rsid w:val="00ED6444"/>
    <w:rsid w:val="00ED663B"/>
    <w:rsid w:val="00ED6970"/>
    <w:rsid w:val="00ED6B97"/>
    <w:rsid w:val="00ED6F74"/>
    <w:rsid w:val="00ED6F88"/>
    <w:rsid w:val="00ED7480"/>
    <w:rsid w:val="00ED74BB"/>
    <w:rsid w:val="00ED75C2"/>
    <w:rsid w:val="00ED7603"/>
    <w:rsid w:val="00ED7813"/>
    <w:rsid w:val="00ED78AD"/>
    <w:rsid w:val="00ED7A24"/>
    <w:rsid w:val="00ED7B9F"/>
    <w:rsid w:val="00ED7C05"/>
    <w:rsid w:val="00ED7C37"/>
    <w:rsid w:val="00ED7D47"/>
    <w:rsid w:val="00EE0029"/>
    <w:rsid w:val="00EE0039"/>
    <w:rsid w:val="00EE02A0"/>
    <w:rsid w:val="00EE0E5C"/>
    <w:rsid w:val="00EE10D6"/>
    <w:rsid w:val="00EE13AC"/>
    <w:rsid w:val="00EE1618"/>
    <w:rsid w:val="00EE1B58"/>
    <w:rsid w:val="00EE1D8F"/>
    <w:rsid w:val="00EE1F26"/>
    <w:rsid w:val="00EE23D9"/>
    <w:rsid w:val="00EE25D4"/>
    <w:rsid w:val="00EE2897"/>
    <w:rsid w:val="00EE28D4"/>
    <w:rsid w:val="00EE28E3"/>
    <w:rsid w:val="00EE291A"/>
    <w:rsid w:val="00EE2B5A"/>
    <w:rsid w:val="00EE2BC1"/>
    <w:rsid w:val="00EE364E"/>
    <w:rsid w:val="00EE3B8B"/>
    <w:rsid w:val="00EE4A06"/>
    <w:rsid w:val="00EE4A3B"/>
    <w:rsid w:val="00EE4B2C"/>
    <w:rsid w:val="00EE4E65"/>
    <w:rsid w:val="00EE4F87"/>
    <w:rsid w:val="00EE4FB1"/>
    <w:rsid w:val="00EE5282"/>
    <w:rsid w:val="00EE530B"/>
    <w:rsid w:val="00EE5525"/>
    <w:rsid w:val="00EE56F8"/>
    <w:rsid w:val="00EE5A2F"/>
    <w:rsid w:val="00EE5A92"/>
    <w:rsid w:val="00EE5B23"/>
    <w:rsid w:val="00EE5BC5"/>
    <w:rsid w:val="00EE60B6"/>
    <w:rsid w:val="00EE61A2"/>
    <w:rsid w:val="00EE6377"/>
    <w:rsid w:val="00EE63C6"/>
    <w:rsid w:val="00EE63E5"/>
    <w:rsid w:val="00EE665E"/>
    <w:rsid w:val="00EE6907"/>
    <w:rsid w:val="00EE6E01"/>
    <w:rsid w:val="00EE71CF"/>
    <w:rsid w:val="00EE72A6"/>
    <w:rsid w:val="00EE73D8"/>
    <w:rsid w:val="00EE73E5"/>
    <w:rsid w:val="00EE7454"/>
    <w:rsid w:val="00EE7490"/>
    <w:rsid w:val="00EE75E5"/>
    <w:rsid w:val="00EE769F"/>
    <w:rsid w:val="00EE7977"/>
    <w:rsid w:val="00EE7990"/>
    <w:rsid w:val="00EE7B44"/>
    <w:rsid w:val="00EE7B53"/>
    <w:rsid w:val="00EE7BD0"/>
    <w:rsid w:val="00EE7C14"/>
    <w:rsid w:val="00EE7F1D"/>
    <w:rsid w:val="00EF01CD"/>
    <w:rsid w:val="00EF02B0"/>
    <w:rsid w:val="00EF0384"/>
    <w:rsid w:val="00EF0509"/>
    <w:rsid w:val="00EF0786"/>
    <w:rsid w:val="00EF07A7"/>
    <w:rsid w:val="00EF08AF"/>
    <w:rsid w:val="00EF0BA9"/>
    <w:rsid w:val="00EF0CD9"/>
    <w:rsid w:val="00EF1647"/>
    <w:rsid w:val="00EF1672"/>
    <w:rsid w:val="00EF1806"/>
    <w:rsid w:val="00EF1AED"/>
    <w:rsid w:val="00EF1E30"/>
    <w:rsid w:val="00EF236E"/>
    <w:rsid w:val="00EF24B1"/>
    <w:rsid w:val="00EF24BC"/>
    <w:rsid w:val="00EF25EA"/>
    <w:rsid w:val="00EF282F"/>
    <w:rsid w:val="00EF2963"/>
    <w:rsid w:val="00EF2A94"/>
    <w:rsid w:val="00EF2ACF"/>
    <w:rsid w:val="00EF2B5D"/>
    <w:rsid w:val="00EF2CFA"/>
    <w:rsid w:val="00EF2E96"/>
    <w:rsid w:val="00EF315B"/>
    <w:rsid w:val="00EF355E"/>
    <w:rsid w:val="00EF35F4"/>
    <w:rsid w:val="00EF35F6"/>
    <w:rsid w:val="00EF361C"/>
    <w:rsid w:val="00EF36A9"/>
    <w:rsid w:val="00EF3700"/>
    <w:rsid w:val="00EF3900"/>
    <w:rsid w:val="00EF3B94"/>
    <w:rsid w:val="00EF3DBE"/>
    <w:rsid w:val="00EF3E1E"/>
    <w:rsid w:val="00EF401B"/>
    <w:rsid w:val="00EF4264"/>
    <w:rsid w:val="00EF4629"/>
    <w:rsid w:val="00EF4868"/>
    <w:rsid w:val="00EF48B3"/>
    <w:rsid w:val="00EF4957"/>
    <w:rsid w:val="00EF4B0E"/>
    <w:rsid w:val="00EF4DCE"/>
    <w:rsid w:val="00EF4EF8"/>
    <w:rsid w:val="00EF5030"/>
    <w:rsid w:val="00EF50A3"/>
    <w:rsid w:val="00EF527E"/>
    <w:rsid w:val="00EF54FD"/>
    <w:rsid w:val="00EF5AE4"/>
    <w:rsid w:val="00EF5C0E"/>
    <w:rsid w:val="00EF5E2D"/>
    <w:rsid w:val="00EF5E78"/>
    <w:rsid w:val="00EF61AB"/>
    <w:rsid w:val="00EF6384"/>
    <w:rsid w:val="00EF6731"/>
    <w:rsid w:val="00EF687E"/>
    <w:rsid w:val="00EF6A56"/>
    <w:rsid w:val="00EF6A9C"/>
    <w:rsid w:val="00EF6A9D"/>
    <w:rsid w:val="00EF6C74"/>
    <w:rsid w:val="00EF6DB0"/>
    <w:rsid w:val="00EF6DE4"/>
    <w:rsid w:val="00EF7054"/>
    <w:rsid w:val="00EF72F9"/>
    <w:rsid w:val="00EF73E1"/>
    <w:rsid w:val="00EF769A"/>
    <w:rsid w:val="00EF76BB"/>
    <w:rsid w:val="00EF7B8A"/>
    <w:rsid w:val="00EF7BA7"/>
    <w:rsid w:val="00EF7C76"/>
    <w:rsid w:val="00EF7DEC"/>
    <w:rsid w:val="00EF7E36"/>
    <w:rsid w:val="00EF7E82"/>
    <w:rsid w:val="00EF7EAD"/>
    <w:rsid w:val="00F001BB"/>
    <w:rsid w:val="00F00235"/>
    <w:rsid w:val="00F0048E"/>
    <w:rsid w:val="00F00624"/>
    <w:rsid w:val="00F00978"/>
    <w:rsid w:val="00F00B14"/>
    <w:rsid w:val="00F00C40"/>
    <w:rsid w:val="00F00EB8"/>
    <w:rsid w:val="00F00ECF"/>
    <w:rsid w:val="00F01154"/>
    <w:rsid w:val="00F01160"/>
    <w:rsid w:val="00F011AB"/>
    <w:rsid w:val="00F01231"/>
    <w:rsid w:val="00F012D7"/>
    <w:rsid w:val="00F014F1"/>
    <w:rsid w:val="00F01617"/>
    <w:rsid w:val="00F0171A"/>
    <w:rsid w:val="00F019EA"/>
    <w:rsid w:val="00F01ACC"/>
    <w:rsid w:val="00F01B1D"/>
    <w:rsid w:val="00F01B86"/>
    <w:rsid w:val="00F01BC8"/>
    <w:rsid w:val="00F01E3A"/>
    <w:rsid w:val="00F01E8A"/>
    <w:rsid w:val="00F01E99"/>
    <w:rsid w:val="00F01FE9"/>
    <w:rsid w:val="00F02167"/>
    <w:rsid w:val="00F02299"/>
    <w:rsid w:val="00F022DA"/>
    <w:rsid w:val="00F0273D"/>
    <w:rsid w:val="00F027CC"/>
    <w:rsid w:val="00F0281A"/>
    <w:rsid w:val="00F028F1"/>
    <w:rsid w:val="00F0296C"/>
    <w:rsid w:val="00F02A24"/>
    <w:rsid w:val="00F02B50"/>
    <w:rsid w:val="00F02C77"/>
    <w:rsid w:val="00F02D99"/>
    <w:rsid w:val="00F0328D"/>
    <w:rsid w:val="00F032A5"/>
    <w:rsid w:val="00F03686"/>
    <w:rsid w:val="00F03DE7"/>
    <w:rsid w:val="00F04664"/>
    <w:rsid w:val="00F04805"/>
    <w:rsid w:val="00F0485B"/>
    <w:rsid w:val="00F04921"/>
    <w:rsid w:val="00F04B46"/>
    <w:rsid w:val="00F04BC3"/>
    <w:rsid w:val="00F04BE9"/>
    <w:rsid w:val="00F04E1A"/>
    <w:rsid w:val="00F051DA"/>
    <w:rsid w:val="00F05261"/>
    <w:rsid w:val="00F054CD"/>
    <w:rsid w:val="00F0566F"/>
    <w:rsid w:val="00F05915"/>
    <w:rsid w:val="00F05A05"/>
    <w:rsid w:val="00F05E3E"/>
    <w:rsid w:val="00F0650B"/>
    <w:rsid w:val="00F0679C"/>
    <w:rsid w:val="00F06825"/>
    <w:rsid w:val="00F0685C"/>
    <w:rsid w:val="00F068FE"/>
    <w:rsid w:val="00F0694D"/>
    <w:rsid w:val="00F06CE7"/>
    <w:rsid w:val="00F06F70"/>
    <w:rsid w:val="00F06F82"/>
    <w:rsid w:val="00F073CE"/>
    <w:rsid w:val="00F074B1"/>
    <w:rsid w:val="00F07533"/>
    <w:rsid w:val="00F07712"/>
    <w:rsid w:val="00F078A6"/>
    <w:rsid w:val="00F07951"/>
    <w:rsid w:val="00F07E4F"/>
    <w:rsid w:val="00F07ECC"/>
    <w:rsid w:val="00F1002B"/>
    <w:rsid w:val="00F10240"/>
    <w:rsid w:val="00F1027A"/>
    <w:rsid w:val="00F10871"/>
    <w:rsid w:val="00F10AD7"/>
    <w:rsid w:val="00F10CF6"/>
    <w:rsid w:val="00F10D21"/>
    <w:rsid w:val="00F10DD3"/>
    <w:rsid w:val="00F10DED"/>
    <w:rsid w:val="00F10F18"/>
    <w:rsid w:val="00F1144A"/>
    <w:rsid w:val="00F11905"/>
    <w:rsid w:val="00F11A3B"/>
    <w:rsid w:val="00F11B5D"/>
    <w:rsid w:val="00F11C59"/>
    <w:rsid w:val="00F124E0"/>
    <w:rsid w:val="00F12BCD"/>
    <w:rsid w:val="00F12DB3"/>
    <w:rsid w:val="00F12E48"/>
    <w:rsid w:val="00F12EA7"/>
    <w:rsid w:val="00F13134"/>
    <w:rsid w:val="00F1366B"/>
    <w:rsid w:val="00F138E7"/>
    <w:rsid w:val="00F138F7"/>
    <w:rsid w:val="00F13ACB"/>
    <w:rsid w:val="00F13AFB"/>
    <w:rsid w:val="00F13B4E"/>
    <w:rsid w:val="00F13D53"/>
    <w:rsid w:val="00F13E0B"/>
    <w:rsid w:val="00F14013"/>
    <w:rsid w:val="00F141EB"/>
    <w:rsid w:val="00F14213"/>
    <w:rsid w:val="00F142DF"/>
    <w:rsid w:val="00F14503"/>
    <w:rsid w:val="00F146EB"/>
    <w:rsid w:val="00F14A82"/>
    <w:rsid w:val="00F14B0C"/>
    <w:rsid w:val="00F14DE1"/>
    <w:rsid w:val="00F1506A"/>
    <w:rsid w:val="00F151B0"/>
    <w:rsid w:val="00F1524D"/>
    <w:rsid w:val="00F1568E"/>
    <w:rsid w:val="00F15DC8"/>
    <w:rsid w:val="00F15E8D"/>
    <w:rsid w:val="00F15F2C"/>
    <w:rsid w:val="00F15FEC"/>
    <w:rsid w:val="00F16135"/>
    <w:rsid w:val="00F161F7"/>
    <w:rsid w:val="00F163C0"/>
    <w:rsid w:val="00F163DF"/>
    <w:rsid w:val="00F164D6"/>
    <w:rsid w:val="00F168B6"/>
    <w:rsid w:val="00F169EB"/>
    <w:rsid w:val="00F16BEF"/>
    <w:rsid w:val="00F16C68"/>
    <w:rsid w:val="00F16C94"/>
    <w:rsid w:val="00F16CC4"/>
    <w:rsid w:val="00F1702B"/>
    <w:rsid w:val="00F17136"/>
    <w:rsid w:val="00F171F0"/>
    <w:rsid w:val="00F17810"/>
    <w:rsid w:val="00F17EFE"/>
    <w:rsid w:val="00F20171"/>
    <w:rsid w:val="00F2020D"/>
    <w:rsid w:val="00F20411"/>
    <w:rsid w:val="00F2062B"/>
    <w:rsid w:val="00F2087E"/>
    <w:rsid w:val="00F208B9"/>
    <w:rsid w:val="00F20B90"/>
    <w:rsid w:val="00F20D1B"/>
    <w:rsid w:val="00F20F4C"/>
    <w:rsid w:val="00F217A6"/>
    <w:rsid w:val="00F21955"/>
    <w:rsid w:val="00F219F6"/>
    <w:rsid w:val="00F21E88"/>
    <w:rsid w:val="00F21EE7"/>
    <w:rsid w:val="00F22167"/>
    <w:rsid w:val="00F2229E"/>
    <w:rsid w:val="00F22337"/>
    <w:rsid w:val="00F225C4"/>
    <w:rsid w:val="00F22723"/>
    <w:rsid w:val="00F22A65"/>
    <w:rsid w:val="00F22C30"/>
    <w:rsid w:val="00F22CA8"/>
    <w:rsid w:val="00F22DD3"/>
    <w:rsid w:val="00F22F04"/>
    <w:rsid w:val="00F22F8F"/>
    <w:rsid w:val="00F23098"/>
    <w:rsid w:val="00F23109"/>
    <w:rsid w:val="00F23243"/>
    <w:rsid w:val="00F23276"/>
    <w:rsid w:val="00F23282"/>
    <w:rsid w:val="00F23472"/>
    <w:rsid w:val="00F234CA"/>
    <w:rsid w:val="00F235B3"/>
    <w:rsid w:val="00F23716"/>
    <w:rsid w:val="00F237D8"/>
    <w:rsid w:val="00F2380D"/>
    <w:rsid w:val="00F23868"/>
    <w:rsid w:val="00F23AD3"/>
    <w:rsid w:val="00F23E43"/>
    <w:rsid w:val="00F24099"/>
    <w:rsid w:val="00F240E9"/>
    <w:rsid w:val="00F24480"/>
    <w:rsid w:val="00F2494C"/>
    <w:rsid w:val="00F24F3C"/>
    <w:rsid w:val="00F25503"/>
    <w:rsid w:val="00F2553D"/>
    <w:rsid w:val="00F25763"/>
    <w:rsid w:val="00F257E8"/>
    <w:rsid w:val="00F2589E"/>
    <w:rsid w:val="00F25BC4"/>
    <w:rsid w:val="00F25F4A"/>
    <w:rsid w:val="00F261CC"/>
    <w:rsid w:val="00F26300"/>
    <w:rsid w:val="00F26BB6"/>
    <w:rsid w:val="00F26CB8"/>
    <w:rsid w:val="00F2700F"/>
    <w:rsid w:val="00F27214"/>
    <w:rsid w:val="00F27311"/>
    <w:rsid w:val="00F2757F"/>
    <w:rsid w:val="00F2760F"/>
    <w:rsid w:val="00F27869"/>
    <w:rsid w:val="00F27B68"/>
    <w:rsid w:val="00F27C54"/>
    <w:rsid w:val="00F30219"/>
    <w:rsid w:val="00F303B0"/>
    <w:rsid w:val="00F305BA"/>
    <w:rsid w:val="00F30959"/>
    <w:rsid w:val="00F3098C"/>
    <w:rsid w:val="00F309DA"/>
    <w:rsid w:val="00F30B8C"/>
    <w:rsid w:val="00F30F15"/>
    <w:rsid w:val="00F31921"/>
    <w:rsid w:val="00F31AE9"/>
    <w:rsid w:val="00F31B3E"/>
    <w:rsid w:val="00F31ED7"/>
    <w:rsid w:val="00F31EF3"/>
    <w:rsid w:val="00F3210F"/>
    <w:rsid w:val="00F32160"/>
    <w:rsid w:val="00F321E8"/>
    <w:rsid w:val="00F32711"/>
    <w:rsid w:val="00F3289B"/>
    <w:rsid w:val="00F328C0"/>
    <w:rsid w:val="00F32D42"/>
    <w:rsid w:val="00F32F9D"/>
    <w:rsid w:val="00F334FE"/>
    <w:rsid w:val="00F33564"/>
    <w:rsid w:val="00F339A3"/>
    <w:rsid w:val="00F33D52"/>
    <w:rsid w:val="00F33DA8"/>
    <w:rsid w:val="00F33E54"/>
    <w:rsid w:val="00F33F33"/>
    <w:rsid w:val="00F33FF3"/>
    <w:rsid w:val="00F3411A"/>
    <w:rsid w:val="00F34168"/>
    <w:rsid w:val="00F34471"/>
    <w:rsid w:val="00F344D3"/>
    <w:rsid w:val="00F34608"/>
    <w:rsid w:val="00F34764"/>
    <w:rsid w:val="00F34D45"/>
    <w:rsid w:val="00F34EC6"/>
    <w:rsid w:val="00F34F10"/>
    <w:rsid w:val="00F34FDD"/>
    <w:rsid w:val="00F3520A"/>
    <w:rsid w:val="00F35218"/>
    <w:rsid w:val="00F356A9"/>
    <w:rsid w:val="00F3571B"/>
    <w:rsid w:val="00F3576A"/>
    <w:rsid w:val="00F35F37"/>
    <w:rsid w:val="00F35FDB"/>
    <w:rsid w:val="00F3614C"/>
    <w:rsid w:val="00F3625F"/>
    <w:rsid w:val="00F364DD"/>
    <w:rsid w:val="00F364FB"/>
    <w:rsid w:val="00F3670A"/>
    <w:rsid w:val="00F36964"/>
    <w:rsid w:val="00F36B73"/>
    <w:rsid w:val="00F36CE7"/>
    <w:rsid w:val="00F36DA4"/>
    <w:rsid w:val="00F36FD4"/>
    <w:rsid w:val="00F370D1"/>
    <w:rsid w:val="00F37561"/>
    <w:rsid w:val="00F3768F"/>
    <w:rsid w:val="00F376F8"/>
    <w:rsid w:val="00F37760"/>
    <w:rsid w:val="00F378EA"/>
    <w:rsid w:val="00F37C0F"/>
    <w:rsid w:val="00F37D7C"/>
    <w:rsid w:val="00F37E05"/>
    <w:rsid w:val="00F37E8B"/>
    <w:rsid w:val="00F4006B"/>
    <w:rsid w:val="00F400AA"/>
    <w:rsid w:val="00F40234"/>
    <w:rsid w:val="00F40866"/>
    <w:rsid w:val="00F408AF"/>
    <w:rsid w:val="00F409E7"/>
    <w:rsid w:val="00F40BC3"/>
    <w:rsid w:val="00F40BFC"/>
    <w:rsid w:val="00F40CA5"/>
    <w:rsid w:val="00F41152"/>
    <w:rsid w:val="00F4115B"/>
    <w:rsid w:val="00F41710"/>
    <w:rsid w:val="00F4197D"/>
    <w:rsid w:val="00F41B6D"/>
    <w:rsid w:val="00F41B80"/>
    <w:rsid w:val="00F41E0D"/>
    <w:rsid w:val="00F421B9"/>
    <w:rsid w:val="00F42393"/>
    <w:rsid w:val="00F427A3"/>
    <w:rsid w:val="00F42918"/>
    <w:rsid w:val="00F4299C"/>
    <w:rsid w:val="00F42BCB"/>
    <w:rsid w:val="00F42C61"/>
    <w:rsid w:val="00F42D54"/>
    <w:rsid w:val="00F42DD6"/>
    <w:rsid w:val="00F42E49"/>
    <w:rsid w:val="00F42F6A"/>
    <w:rsid w:val="00F432B1"/>
    <w:rsid w:val="00F43537"/>
    <w:rsid w:val="00F435CE"/>
    <w:rsid w:val="00F436D6"/>
    <w:rsid w:val="00F43906"/>
    <w:rsid w:val="00F43D16"/>
    <w:rsid w:val="00F43DCD"/>
    <w:rsid w:val="00F44113"/>
    <w:rsid w:val="00F4430A"/>
    <w:rsid w:val="00F4460F"/>
    <w:rsid w:val="00F446C9"/>
    <w:rsid w:val="00F447E8"/>
    <w:rsid w:val="00F4482F"/>
    <w:rsid w:val="00F44929"/>
    <w:rsid w:val="00F44BFD"/>
    <w:rsid w:val="00F44C9E"/>
    <w:rsid w:val="00F44F15"/>
    <w:rsid w:val="00F4567B"/>
    <w:rsid w:val="00F4597B"/>
    <w:rsid w:val="00F45BB1"/>
    <w:rsid w:val="00F45D01"/>
    <w:rsid w:val="00F45DEF"/>
    <w:rsid w:val="00F45E43"/>
    <w:rsid w:val="00F45FB4"/>
    <w:rsid w:val="00F460D7"/>
    <w:rsid w:val="00F461A8"/>
    <w:rsid w:val="00F46242"/>
    <w:rsid w:val="00F462E4"/>
    <w:rsid w:val="00F46AA4"/>
    <w:rsid w:val="00F46BED"/>
    <w:rsid w:val="00F46F9A"/>
    <w:rsid w:val="00F4719D"/>
    <w:rsid w:val="00F471C8"/>
    <w:rsid w:val="00F473AA"/>
    <w:rsid w:val="00F473EC"/>
    <w:rsid w:val="00F47480"/>
    <w:rsid w:val="00F4751E"/>
    <w:rsid w:val="00F47617"/>
    <w:rsid w:val="00F478CC"/>
    <w:rsid w:val="00F47A1A"/>
    <w:rsid w:val="00F47C1F"/>
    <w:rsid w:val="00F47CD9"/>
    <w:rsid w:val="00F47F20"/>
    <w:rsid w:val="00F47F23"/>
    <w:rsid w:val="00F5023A"/>
    <w:rsid w:val="00F50362"/>
    <w:rsid w:val="00F505CB"/>
    <w:rsid w:val="00F507F3"/>
    <w:rsid w:val="00F50A88"/>
    <w:rsid w:val="00F50D6F"/>
    <w:rsid w:val="00F51156"/>
    <w:rsid w:val="00F513E7"/>
    <w:rsid w:val="00F5154F"/>
    <w:rsid w:val="00F51647"/>
    <w:rsid w:val="00F5168F"/>
    <w:rsid w:val="00F51902"/>
    <w:rsid w:val="00F5190C"/>
    <w:rsid w:val="00F51A55"/>
    <w:rsid w:val="00F51BBE"/>
    <w:rsid w:val="00F522FE"/>
    <w:rsid w:val="00F52674"/>
    <w:rsid w:val="00F52DB9"/>
    <w:rsid w:val="00F53442"/>
    <w:rsid w:val="00F535A8"/>
    <w:rsid w:val="00F53672"/>
    <w:rsid w:val="00F53847"/>
    <w:rsid w:val="00F5394F"/>
    <w:rsid w:val="00F53AAB"/>
    <w:rsid w:val="00F53BDF"/>
    <w:rsid w:val="00F53CBD"/>
    <w:rsid w:val="00F53F1E"/>
    <w:rsid w:val="00F53F55"/>
    <w:rsid w:val="00F53FB7"/>
    <w:rsid w:val="00F5431B"/>
    <w:rsid w:val="00F5493E"/>
    <w:rsid w:val="00F54A61"/>
    <w:rsid w:val="00F54BBE"/>
    <w:rsid w:val="00F54FC3"/>
    <w:rsid w:val="00F54FD5"/>
    <w:rsid w:val="00F55325"/>
    <w:rsid w:val="00F55529"/>
    <w:rsid w:val="00F557F9"/>
    <w:rsid w:val="00F5585B"/>
    <w:rsid w:val="00F5590B"/>
    <w:rsid w:val="00F55FC9"/>
    <w:rsid w:val="00F5618B"/>
    <w:rsid w:val="00F56490"/>
    <w:rsid w:val="00F5671E"/>
    <w:rsid w:val="00F5672A"/>
    <w:rsid w:val="00F57096"/>
    <w:rsid w:val="00F57481"/>
    <w:rsid w:val="00F5752F"/>
    <w:rsid w:val="00F577B8"/>
    <w:rsid w:val="00F60074"/>
    <w:rsid w:val="00F609DC"/>
    <w:rsid w:val="00F60B09"/>
    <w:rsid w:val="00F60D97"/>
    <w:rsid w:val="00F61050"/>
    <w:rsid w:val="00F6107C"/>
    <w:rsid w:val="00F610E6"/>
    <w:rsid w:val="00F613E6"/>
    <w:rsid w:val="00F6148D"/>
    <w:rsid w:val="00F615CC"/>
    <w:rsid w:val="00F61900"/>
    <w:rsid w:val="00F61DB4"/>
    <w:rsid w:val="00F61E3B"/>
    <w:rsid w:val="00F620DA"/>
    <w:rsid w:val="00F6211E"/>
    <w:rsid w:val="00F6233A"/>
    <w:rsid w:val="00F624FF"/>
    <w:rsid w:val="00F62526"/>
    <w:rsid w:val="00F62644"/>
    <w:rsid w:val="00F62756"/>
    <w:rsid w:val="00F62843"/>
    <w:rsid w:val="00F62CC8"/>
    <w:rsid w:val="00F62FF7"/>
    <w:rsid w:val="00F631C2"/>
    <w:rsid w:val="00F63286"/>
    <w:rsid w:val="00F634C5"/>
    <w:rsid w:val="00F63DC9"/>
    <w:rsid w:val="00F64088"/>
    <w:rsid w:val="00F641EB"/>
    <w:rsid w:val="00F64278"/>
    <w:rsid w:val="00F642E0"/>
    <w:rsid w:val="00F64908"/>
    <w:rsid w:val="00F64910"/>
    <w:rsid w:val="00F649D0"/>
    <w:rsid w:val="00F64C54"/>
    <w:rsid w:val="00F64D38"/>
    <w:rsid w:val="00F64F24"/>
    <w:rsid w:val="00F652B8"/>
    <w:rsid w:val="00F653DC"/>
    <w:rsid w:val="00F655F5"/>
    <w:rsid w:val="00F659F8"/>
    <w:rsid w:val="00F65A19"/>
    <w:rsid w:val="00F65C5E"/>
    <w:rsid w:val="00F65CA6"/>
    <w:rsid w:val="00F65D40"/>
    <w:rsid w:val="00F65DB5"/>
    <w:rsid w:val="00F66020"/>
    <w:rsid w:val="00F66106"/>
    <w:rsid w:val="00F66489"/>
    <w:rsid w:val="00F6648F"/>
    <w:rsid w:val="00F66713"/>
    <w:rsid w:val="00F668FD"/>
    <w:rsid w:val="00F66A3D"/>
    <w:rsid w:val="00F66A40"/>
    <w:rsid w:val="00F66BD3"/>
    <w:rsid w:val="00F66BF9"/>
    <w:rsid w:val="00F66F7F"/>
    <w:rsid w:val="00F66F84"/>
    <w:rsid w:val="00F66FC0"/>
    <w:rsid w:val="00F6702A"/>
    <w:rsid w:val="00F67114"/>
    <w:rsid w:val="00F6714F"/>
    <w:rsid w:val="00F6715D"/>
    <w:rsid w:val="00F673BA"/>
    <w:rsid w:val="00F677D1"/>
    <w:rsid w:val="00F677FC"/>
    <w:rsid w:val="00F67B6B"/>
    <w:rsid w:val="00F702F9"/>
    <w:rsid w:val="00F70342"/>
    <w:rsid w:val="00F7044D"/>
    <w:rsid w:val="00F70739"/>
    <w:rsid w:val="00F70A56"/>
    <w:rsid w:val="00F70AA7"/>
    <w:rsid w:val="00F70CB7"/>
    <w:rsid w:val="00F70EEE"/>
    <w:rsid w:val="00F70F39"/>
    <w:rsid w:val="00F70F9A"/>
    <w:rsid w:val="00F71363"/>
    <w:rsid w:val="00F71478"/>
    <w:rsid w:val="00F715CA"/>
    <w:rsid w:val="00F71907"/>
    <w:rsid w:val="00F71AAD"/>
    <w:rsid w:val="00F71EF6"/>
    <w:rsid w:val="00F720B1"/>
    <w:rsid w:val="00F72126"/>
    <w:rsid w:val="00F7235E"/>
    <w:rsid w:val="00F72600"/>
    <w:rsid w:val="00F72665"/>
    <w:rsid w:val="00F7295F"/>
    <w:rsid w:val="00F72A25"/>
    <w:rsid w:val="00F72BD3"/>
    <w:rsid w:val="00F72D3A"/>
    <w:rsid w:val="00F7332D"/>
    <w:rsid w:val="00F73487"/>
    <w:rsid w:val="00F7382F"/>
    <w:rsid w:val="00F738E1"/>
    <w:rsid w:val="00F73AC1"/>
    <w:rsid w:val="00F73B4C"/>
    <w:rsid w:val="00F73BB5"/>
    <w:rsid w:val="00F73CFC"/>
    <w:rsid w:val="00F73F9F"/>
    <w:rsid w:val="00F748F1"/>
    <w:rsid w:val="00F74B83"/>
    <w:rsid w:val="00F74CE5"/>
    <w:rsid w:val="00F74DBC"/>
    <w:rsid w:val="00F74EBC"/>
    <w:rsid w:val="00F753BC"/>
    <w:rsid w:val="00F757AB"/>
    <w:rsid w:val="00F759E9"/>
    <w:rsid w:val="00F75BAD"/>
    <w:rsid w:val="00F76314"/>
    <w:rsid w:val="00F7635A"/>
    <w:rsid w:val="00F764EF"/>
    <w:rsid w:val="00F76D71"/>
    <w:rsid w:val="00F76F07"/>
    <w:rsid w:val="00F773AB"/>
    <w:rsid w:val="00F77408"/>
    <w:rsid w:val="00F77706"/>
    <w:rsid w:val="00F77793"/>
    <w:rsid w:val="00F77E6E"/>
    <w:rsid w:val="00F77F62"/>
    <w:rsid w:val="00F8007D"/>
    <w:rsid w:val="00F800D6"/>
    <w:rsid w:val="00F801CA"/>
    <w:rsid w:val="00F80420"/>
    <w:rsid w:val="00F8076C"/>
    <w:rsid w:val="00F809F3"/>
    <w:rsid w:val="00F80A32"/>
    <w:rsid w:val="00F80C20"/>
    <w:rsid w:val="00F80EA8"/>
    <w:rsid w:val="00F80FB3"/>
    <w:rsid w:val="00F81197"/>
    <w:rsid w:val="00F81222"/>
    <w:rsid w:val="00F81314"/>
    <w:rsid w:val="00F814F3"/>
    <w:rsid w:val="00F81758"/>
    <w:rsid w:val="00F81843"/>
    <w:rsid w:val="00F81A1F"/>
    <w:rsid w:val="00F81A98"/>
    <w:rsid w:val="00F82039"/>
    <w:rsid w:val="00F82087"/>
    <w:rsid w:val="00F82203"/>
    <w:rsid w:val="00F82208"/>
    <w:rsid w:val="00F82345"/>
    <w:rsid w:val="00F82350"/>
    <w:rsid w:val="00F8241D"/>
    <w:rsid w:val="00F8244E"/>
    <w:rsid w:val="00F824EB"/>
    <w:rsid w:val="00F82540"/>
    <w:rsid w:val="00F825F5"/>
    <w:rsid w:val="00F827A4"/>
    <w:rsid w:val="00F827DD"/>
    <w:rsid w:val="00F82932"/>
    <w:rsid w:val="00F82966"/>
    <w:rsid w:val="00F829E3"/>
    <w:rsid w:val="00F82AA4"/>
    <w:rsid w:val="00F82BF4"/>
    <w:rsid w:val="00F82E4F"/>
    <w:rsid w:val="00F82FA1"/>
    <w:rsid w:val="00F831CE"/>
    <w:rsid w:val="00F833E2"/>
    <w:rsid w:val="00F83511"/>
    <w:rsid w:val="00F836F8"/>
    <w:rsid w:val="00F83713"/>
    <w:rsid w:val="00F83917"/>
    <w:rsid w:val="00F83A65"/>
    <w:rsid w:val="00F83B3F"/>
    <w:rsid w:val="00F83BA7"/>
    <w:rsid w:val="00F83C53"/>
    <w:rsid w:val="00F83D48"/>
    <w:rsid w:val="00F83D97"/>
    <w:rsid w:val="00F83E18"/>
    <w:rsid w:val="00F83E3A"/>
    <w:rsid w:val="00F8405C"/>
    <w:rsid w:val="00F84099"/>
    <w:rsid w:val="00F841B9"/>
    <w:rsid w:val="00F845A5"/>
    <w:rsid w:val="00F846D6"/>
    <w:rsid w:val="00F84AC3"/>
    <w:rsid w:val="00F84C30"/>
    <w:rsid w:val="00F84D1D"/>
    <w:rsid w:val="00F84EDC"/>
    <w:rsid w:val="00F85224"/>
    <w:rsid w:val="00F85330"/>
    <w:rsid w:val="00F85ADD"/>
    <w:rsid w:val="00F86529"/>
    <w:rsid w:val="00F868AF"/>
    <w:rsid w:val="00F868E4"/>
    <w:rsid w:val="00F869D5"/>
    <w:rsid w:val="00F86BB2"/>
    <w:rsid w:val="00F86BEF"/>
    <w:rsid w:val="00F86CA1"/>
    <w:rsid w:val="00F8716E"/>
    <w:rsid w:val="00F872EF"/>
    <w:rsid w:val="00F8783E"/>
    <w:rsid w:val="00F87880"/>
    <w:rsid w:val="00F87A5B"/>
    <w:rsid w:val="00F87CA6"/>
    <w:rsid w:val="00F87E76"/>
    <w:rsid w:val="00F87F4A"/>
    <w:rsid w:val="00F90043"/>
    <w:rsid w:val="00F902D4"/>
    <w:rsid w:val="00F9032A"/>
    <w:rsid w:val="00F90497"/>
    <w:rsid w:val="00F9078F"/>
    <w:rsid w:val="00F908A2"/>
    <w:rsid w:val="00F908C9"/>
    <w:rsid w:val="00F90AFF"/>
    <w:rsid w:val="00F90B1D"/>
    <w:rsid w:val="00F90B24"/>
    <w:rsid w:val="00F90BB0"/>
    <w:rsid w:val="00F90CEE"/>
    <w:rsid w:val="00F90EA8"/>
    <w:rsid w:val="00F9122D"/>
    <w:rsid w:val="00F91362"/>
    <w:rsid w:val="00F91A23"/>
    <w:rsid w:val="00F91A27"/>
    <w:rsid w:val="00F91B61"/>
    <w:rsid w:val="00F92697"/>
    <w:rsid w:val="00F9270A"/>
    <w:rsid w:val="00F9279B"/>
    <w:rsid w:val="00F927C5"/>
    <w:rsid w:val="00F927C6"/>
    <w:rsid w:val="00F9299D"/>
    <w:rsid w:val="00F92DF2"/>
    <w:rsid w:val="00F92E35"/>
    <w:rsid w:val="00F92E3C"/>
    <w:rsid w:val="00F92F0E"/>
    <w:rsid w:val="00F92F2D"/>
    <w:rsid w:val="00F92F87"/>
    <w:rsid w:val="00F931A2"/>
    <w:rsid w:val="00F9345D"/>
    <w:rsid w:val="00F934AC"/>
    <w:rsid w:val="00F934AE"/>
    <w:rsid w:val="00F93527"/>
    <w:rsid w:val="00F93946"/>
    <w:rsid w:val="00F93AE2"/>
    <w:rsid w:val="00F93F86"/>
    <w:rsid w:val="00F94086"/>
    <w:rsid w:val="00F9417A"/>
    <w:rsid w:val="00F945B0"/>
    <w:rsid w:val="00F946CF"/>
    <w:rsid w:val="00F94734"/>
    <w:rsid w:val="00F949F9"/>
    <w:rsid w:val="00F94A43"/>
    <w:rsid w:val="00F94EF0"/>
    <w:rsid w:val="00F95335"/>
    <w:rsid w:val="00F955EA"/>
    <w:rsid w:val="00F9585B"/>
    <w:rsid w:val="00F958E0"/>
    <w:rsid w:val="00F966D6"/>
    <w:rsid w:val="00F967B1"/>
    <w:rsid w:val="00F96BD8"/>
    <w:rsid w:val="00F96C6E"/>
    <w:rsid w:val="00F96F9B"/>
    <w:rsid w:val="00F97065"/>
    <w:rsid w:val="00F97379"/>
    <w:rsid w:val="00F973C5"/>
    <w:rsid w:val="00F97909"/>
    <w:rsid w:val="00F97A1A"/>
    <w:rsid w:val="00F97B74"/>
    <w:rsid w:val="00F97BF8"/>
    <w:rsid w:val="00F97CB6"/>
    <w:rsid w:val="00F97CC0"/>
    <w:rsid w:val="00F97FCA"/>
    <w:rsid w:val="00FA033B"/>
    <w:rsid w:val="00FA046C"/>
    <w:rsid w:val="00FA0541"/>
    <w:rsid w:val="00FA0822"/>
    <w:rsid w:val="00FA0961"/>
    <w:rsid w:val="00FA0B1A"/>
    <w:rsid w:val="00FA0D3D"/>
    <w:rsid w:val="00FA0E12"/>
    <w:rsid w:val="00FA10B1"/>
    <w:rsid w:val="00FA1159"/>
    <w:rsid w:val="00FA11D2"/>
    <w:rsid w:val="00FA12A7"/>
    <w:rsid w:val="00FA1323"/>
    <w:rsid w:val="00FA1368"/>
    <w:rsid w:val="00FA13F1"/>
    <w:rsid w:val="00FA1427"/>
    <w:rsid w:val="00FA1521"/>
    <w:rsid w:val="00FA1664"/>
    <w:rsid w:val="00FA17BC"/>
    <w:rsid w:val="00FA17E9"/>
    <w:rsid w:val="00FA17F6"/>
    <w:rsid w:val="00FA1BF9"/>
    <w:rsid w:val="00FA1CF9"/>
    <w:rsid w:val="00FA21C7"/>
    <w:rsid w:val="00FA2348"/>
    <w:rsid w:val="00FA2478"/>
    <w:rsid w:val="00FA257A"/>
    <w:rsid w:val="00FA26EB"/>
    <w:rsid w:val="00FA2DFE"/>
    <w:rsid w:val="00FA2E13"/>
    <w:rsid w:val="00FA2E1E"/>
    <w:rsid w:val="00FA2F4C"/>
    <w:rsid w:val="00FA3734"/>
    <w:rsid w:val="00FA39D0"/>
    <w:rsid w:val="00FA3DD3"/>
    <w:rsid w:val="00FA42CF"/>
    <w:rsid w:val="00FA447A"/>
    <w:rsid w:val="00FA4E2E"/>
    <w:rsid w:val="00FA4E4F"/>
    <w:rsid w:val="00FA4F65"/>
    <w:rsid w:val="00FA4FB5"/>
    <w:rsid w:val="00FA510D"/>
    <w:rsid w:val="00FA522C"/>
    <w:rsid w:val="00FA5277"/>
    <w:rsid w:val="00FA5721"/>
    <w:rsid w:val="00FA5AE6"/>
    <w:rsid w:val="00FA5CC4"/>
    <w:rsid w:val="00FA6039"/>
    <w:rsid w:val="00FA6118"/>
    <w:rsid w:val="00FA62F6"/>
    <w:rsid w:val="00FA631D"/>
    <w:rsid w:val="00FA6479"/>
    <w:rsid w:val="00FA64B7"/>
    <w:rsid w:val="00FA64EB"/>
    <w:rsid w:val="00FA674F"/>
    <w:rsid w:val="00FA6863"/>
    <w:rsid w:val="00FA6904"/>
    <w:rsid w:val="00FA6C81"/>
    <w:rsid w:val="00FA6CCB"/>
    <w:rsid w:val="00FA6CF3"/>
    <w:rsid w:val="00FA6D46"/>
    <w:rsid w:val="00FA6EF1"/>
    <w:rsid w:val="00FA6F1A"/>
    <w:rsid w:val="00FA6F1C"/>
    <w:rsid w:val="00FA70A6"/>
    <w:rsid w:val="00FA7191"/>
    <w:rsid w:val="00FA71F4"/>
    <w:rsid w:val="00FA725E"/>
    <w:rsid w:val="00FA73A0"/>
    <w:rsid w:val="00FA7760"/>
    <w:rsid w:val="00FA78D9"/>
    <w:rsid w:val="00FA791F"/>
    <w:rsid w:val="00FA7A6A"/>
    <w:rsid w:val="00FA7CB5"/>
    <w:rsid w:val="00FA7CD2"/>
    <w:rsid w:val="00FB0361"/>
    <w:rsid w:val="00FB0457"/>
    <w:rsid w:val="00FB05C8"/>
    <w:rsid w:val="00FB06FF"/>
    <w:rsid w:val="00FB0911"/>
    <w:rsid w:val="00FB0CBE"/>
    <w:rsid w:val="00FB0DEF"/>
    <w:rsid w:val="00FB0E2F"/>
    <w:rsid w:val="00FB112D"/>
    <w:rsid w:val="00FB1172"/>
    <w:rsid w:val="00FB1434"/>
    <w:rsid w:val="00FB14A4"/>
    <w:rsid w:val="00FB1537"/>
    <w:rsid w:val="00FB1638"/>
    <w:rsid w:val="00FB189E"/>
    <w:rsid w:val="00FB19A4"/>
    <w:rsid w:val="00FB1BD9"/>
    <w:rsid w:val="00FB1C5C"/>
    <w:rsid w:val="00FB208D"/>
    <w:rsid w:val="00FB211F"/>
    <w:rsid w:val="00FB2143"/>
    <w:rsid w:val="00FB2259"/>
    <w:rsid w:val="00FB22BB"/>
    <w:rsid w:val="00FB23C0"/>
    <w:rsid w:val="00FB2474"/>
    <w:rsid w:val="00FB2492"/>
    <w:rsid w:val="00FB24CF"/>
    <w:rsid w:val="00FB254B"/>
    <w:rsid w:val="00FB256F"/>
    <w:rsid w:val="00FB2644"/>
    <w:rsid w:val="00FB298E"/>
    <w:rsid w:val="00FB3001"/>
    <w:rsid w:val="00FB30E8"/>
    <w:rsid w:val="00FB32FC"/>
    <w:rsid w:val="00FB34F5"/>
    <w:rsid w:val="00FB38A5"/>
    <w:rsid w:val="00FB3C07"/>
    <w:rsid w:val="00FB3D80"/>
    <w:rsid w:val="00FB41F1"/>
    <w:rsid w:val="00FB4723"/>
    <w:rsid w:val="00FB4885"/>
    <w:rsid w:val="00FB488B"/>
    <w:rsid w:val="00FB4909"/>
    <w:rsid w:val="00FB4A30"/>
    <w:rsid w:val="00FB4A3A"/>
    <w:rsid w:val="00FB4B28"/>
    <w:rsid w:val="00FB4CD6"/>
    <w:rsid w:val="00FB4DAC"/>
    <w:rsid w:val="00FB4EAC"/>
    <w:rsid w:val="00FB525F"/>
    <w:rsid w:val="00FB5344"/>
    <w:rsid w:val="00FB564E"/>
    <w:rsid w:val="00FB57A4"/>
    <w:rsid w:val="00FB58BD"/>
    <w:rsid w:val="00FB5A2C"/>
    <w:rsid w:val="00FB5A91"/>
    <w:rsid w:val="00FB5C32"/>
    <w:rsid w:val="00FB5CFA"/>
    <w:rsid w:val="00FB5DFD"/>
    <w:rsid w:val="00FB5E1E"/>
    <w:rsid w:val="00FB6353"/>
    <w:rsid w:val="00FB64AE"/>
    <w:rsid w:val="00FB6549"/>
    <w:rsid w:val="00FB66F4"/>
    <w:rsid w:val="00FB671D"/>
    <w:rsid w:val="00FB676D"/>
    <w:rsid w:val="00FB6783"/>
    <w:rsid w:val="00FB6825"/>
    <w:rsid w:val="00FB690C"/>
    <w:rsid w:val="00FB695B"/>
    <w:rsid w:val="00FB6BFC"/>
    <w:rsid w:val="00FB6DDE"/>
    <w:rsid w:val="00FB6E5F"/>
    <w:rsid w:val="00FB7007"/>
    <w:rsid w:val="00FB71E9"/>
    <w:rsid w:val="00FB734D"/>
    <w:rsid w:val="00FB752F"/>
    <w:rsid w:val="00FB75E8"/>
    <w:rsid w:val="00FB7690"/>
    <w:rsid w:val="00FB779F"/>
    <w:rsid w:val="00FB7988"/>
    <w:rsid w:val="00FB7D3D"/>
    <w:rsid w:val="00FB7D54"/>
    <w:rsid w:val="00FB7DAF"/>
    <w:rsid w:val="00FB7DF0"/>
    <w:rsid w:val="00FB7FB3"/>
    <w:rsid w:val="00FC04EC"/>
    <w:rsid w:val="00FC04FC"/>
    <w:rsid w:val="00FC05F6"/>
    <w:rsid w:val="00FC070F"/>
    <w:rsid w:val="00FC071B"/>
    <w:rsid w:val="00FC082E"/>
    <w:rsid w:val="00FC0898"/>
    <w:rsid w:val="00FC0981"/>
    <w:rsid w:val="00FC14AA"/>
    <w:rsid w:val="00FC1617"/>
    <w:rsid w:val="00FC1657"/>
    <w:rsid w:val="00FC17FA"/>
    <w:rsid w:val="00FC183B"/>
    <w:rsid w:val="00FC199F"/>
    <w:rsid w:val="00FC19D6"/>
    <w:rsid w:val="00FC1A36"/>
    <w:rsid w:val="00FC1A82"/>
    <w:rsid w:val="00FC2133"/>
    <w:rsid w:val="00FC21FB"/>
    <w:rsid w:val="00FC2274"/>
    <w:rsid w:val="00FC26BF"/>
    <w:rsid w:val="00FC2743"/>
    <w:rsid w:val="00FC2B32"/>
    <w:rsid w:val="00FC2C45"/>
    <w:rsid w:val="00FC2CAA"/>
    <w:rsid w:val="00FC2D77"/>
    <w:rsid w:val="00FC2E04"/>
    <w:rsid w:val="00FC2FA4"/>
    <w:rsid w:val="00FC312A"/>
    <w:rsid w:val="00FC3825"/>
    <w:rsid w:val="00FC3A3A"/>
    <w:rsid w:val="00FC3AD5"/>
    <w:rsid w:val="00FC3CCD"/>
    <w:rsid w:val="00FC3D41"/>
    <w:rsid w:val="00FC4008"/>
    <w:rsid w:val="00FC42BF"/>
    <w:rsid w:val="00FC4487"/>
    <w:rsid w:val="00FC46C9"/>
    <w:rsid w:val="00FC4B7F"/>
    <w:rsid w:val="00FC4F0A"/>
    <w:rsid w:val="00FC5198"/>
    <w:rsid w:val="00FC5433"/>
    <w:rsid w:val="00FC544C"/>
    <w:rsid w:val="00FC54E1"/>
    <w:rsid w:val="00FC5551"/>
    <w:rsid w:val="00FC5CED"/>
    <w:rsid w:val="00FC5D01"/>
    <w:rsid w:val="00FC5D75"/>
    <w:rsid w:val="00FC5D8D"/>
    <w:rsid w:val="00FC5E2F"/>
    <w:rsid w:val="00FC6403"/>
    <w:rsid w:val="00FC6809"/>
    <w:rsid w:val="00FC6D2E"/>
    <w:rsid w:val="00FC6D33"/>
    <w:rsid w:val="00FC6DC8"/>
    <w:rsid w:val="00FC6FC2"/>
    <w:rsid w:val="00FC753E"/>
    <w:rsid w:val="00FC7709"/>
    <w:rsid w:val="00FC7B92"/>
    <w:rsid w:val="00FC7BEC"/>
    <w:rsid w:val="00FC7D22"/>
    <w:rsid w:val="00FC7F03"/>
    <w:rsid w:val="00FD00FF"/>
    <w:rsid w:val="00FD024A"/>
    <w:rsid w:val="00FD065F"/>
    <w:rsid w:val="00FD06FB"/>
    <w:rsid w:val="00FD0717"/>
    <w:rsid w:val="00FD0B75"/>
    <w:rsid w:val="00FD0E11"/>
    <w:rsid w:val="00FD0E4E"/>
    <w:rsid w:val="00FD0F65"/>
    <w:rsid w:val="00FD101F"/>
    <w:rsid w:val="00FD1114"/>
    <w:rsid w:val="00FD111C"/>
    <w:rsid w:val="00FD1199"/>
    <w:rsid w:val="00FD1359"/>
    <w:rsid w:val="00FD1432"/>
    <w:rsid w:val="00FD14C2"/>
    <w:rsid w:val="00FD1DC7"/>
    <w:rsid w:val="00FD1E62"/>
    <w:rsid w:val="00FD2085"/>
    <w:rsid w:val="00FD22E1"/>
    <w:rsid w:val="00FD24F9"/>
    <w:rsid w:val="00FD2828"/>
    <w:rsid w:val="00FD2979"/>
    <w:rsid w:val="00FD299B"/>
    <w:rsid w:val="00FD2AD5"/>
    <w:rsid w:val="00FD2B80"/>
    <w:rsid w:val="00FD2B86"/>
    <w:rsid w:val="00FD2C98"/>
    <w:rsid w:val="00FD303F"/>
    <w:rsid w:val="00FD31FF"/>
    <w:rsid w:val="00FD33F2"/>
    <w:rsid w:val="00FD37C0"/>
    <w:rsid w:val="00FD37D3"/>
    <w:rsid w:val="00FD3A77"/>
    <w:rsid w:val="00FD3CF2"/>
    <w:rsid w:val="00FD3D4C"/>
    <w:rsid w:val="00FD3EC6"/>
    <w:rsid w:val="00FD3F8A"/>
    <w:rsid w:val="00FD423E"/>
    <w:rsid w:val="00FD42F3"/>
    <w:rsid w:val="00FD443A"/>
    <w:rsid w:val="00FD496F"/>
    <w:rsid w:val="00FD4ACF"/>
    <w:rsid w:val="00FD4FA0"/>
    <w:rsid w:val="00FD50B6"/>
    <w:rsid w:val="00FD5192"/>
    <w:rsid w:val="00FD532F"/>
    <w:rsid w:val="00FD54BF"/>
    <w:rsid w:val="00FD552C"/>
    <w:rsid w:val="00FD5583"/>
    <w:rsid w:val="00FD56AC"/>
    <w:rsid w:val="00FD5A67"/>
    <w:rsid w:val="00FD5C39"/>
    <w:rsid w:val="00FD5FD2"/>
    <w:rsid w:val="00FD61DC"/>
    <w:rsid w:val="00FD641E"/>
    <w:rsid w:val="00FD672C"/>
    <w:rsid w:val="00FD6AB1"/>
    <w:rsid w:val="00FD6C77"/>
    <w:rsid w:val="00FD6F26"/>
    <w:rsid w:val="00FD700F"/>
    <w:rsid w:val="00FD702A"/>
    <w:rsid w:val="00FD73D7"/>
    <w:rsid w:val="00FD743C"/>
    <w:rsid w:val="00FD7677"/>
    <w:rsid w:val="00FD778B"/>
    <w:rsid w:val="00FD77E3"/>
    <w:rsid w:val="00FD7995"/>
    <w:rsid w:val="00FD7B6E"/>
    <w:rsid w:val="00FD7D10"/>
    <w:rsid w:val="00FD7DA2"/>
    <w:rsid w:val="00FD7E03"/>
    <w:rsid w:val="00FE0605"/>
    <w:rsid w:val="00FE075F"/>
    <w:rsid w:val="00FE0AF3"/>
    <w:rsid w:val="00FE0B47"/>
    <w:rsid w:val="00FE0BF6"/>
    <w:rsid w:val="00FE0CAF"/>
    <w:rsid w:val="00FE0F60"/>
    <w:rsid w:val="00FE0FCD"/>
    <w:rsid w:val="00FE15A4"/>
    <w:rsid w:val="00FE18E2"/>
    <w:rsid w:val="00FE1A2E"/>
    <w:rsid w:val="00FE1BAC"/>
    <w:rsid w:val="00FE2102"/>
    <w:rsid w:val="00FE23C4"/>
    <w:rsid w:val="00FE2542"/>
    <w:rsid w:val="00FE254A"/>
    <w:rsid w:val="00FE2565"/>
    <w:rsid w:val="00FE2B9A"/>
    <w:rsid w:val="00FE2CFC"/>
    <w:rsid w:val="00FE2D33"/>
    <w:rsid w:val="00FE2DF1"/>
    <w:rsid w:val="00FE33BE"/>
    <w:rsid w:val="00FE36F9"/>
    <w:rsid w:val="00FE399B"/>
    <w:rsid w:val="00FE3B56"/>
    <w:rsid w:val="00FE3CD4"/>
    <w:rsid w:val="00FE3D31"/>
    <w:rsid w:val="00FE3DF9"/>
    <w:rsid w:val="00FE3EC0"/>
    <w:rsid w:val="00FE40CA"/>
    <w:rsid w:val="00FE4283"/>
    <w:rsid w:val="00FE43EF"/>
    <w:rsid w:val="00FE444A"/>
    <w:rsid w:val="00FE45D0"/>
    <w:rsid w:val="00FE46FC"/>
    <w:rsid w:val="00FE4806"/>
    <w:rsid w:val="00FE494C"/>
    <w:rsid w:val="00FE4A07"/>
    <w:rsid w:val="00FE4A87"/>
    <w:rsid w:val="00FE4B12"/>
    <w:rsid w:val="00FE4B72"/>
    <w:rsid w:val="00FE4C1E"/>
    <w:rsid w:val="00FE4CF7"/>
    <w:rsid w:val="00FE4F83"/>
    <w:rsid w:val="00FE4FB5"/>
    <w:rsid w:val="00FE516E"/>
    <w:rsid w:val="00FE51DA"/>
    <w:rsid w:val="00FE5479"/>
    <w:rsid w:val="00FE54DD"/>
    <w:rsid w:val="00FE55E2"/>
    <w:rsid w:val="00FE5734"/>
    <w:rsid w:val="00FE5901"/>
    <w:rsid w:val="00FE5BE8"/>
    <w:rsid w:val="00FE5E76"/>
    <w:rsid w:val="00FE624D"/>
    <w:rsid w:val="00FE662F"/>
    <w:rsid w:val="00FE69BE"/>
    <w:rsid w:val="00FE69DF"/>
    <w:rsid w:val="00FE6D62"/>
    <w:rsid w:val="00FE6DF6"/>
    <w:rsid w:val="00FE6F68"/>
    <w:rsid w:val="00FE70DB"/>
    <w:rsid w:val="00FE7607"/>
    <w:rsid w:val="00FE7658"/>
    <w:rsid w:val="00FE77A4"/>
    <w:rsid w:val="00FE79B0"/>
    <w:rsid w:val="00FE7A35"/>
    <w:rsid w:val="00FE7BA6"/>
    <w:rsid w:val="00FE7C62"/>
    <w:rsid w:val="00FE7C9A"/>
    <w:rsid w:val="00FE7D29"/>
    <w:rsid w:val="00FF017B"/>
    <w:rsid w:val="00FF025C"/>
    <w:rsid w:val="00FF04A6"/>
    <w:rsid w:val="00FF0737"/>
    <w:rsid w:val="00FF07C3"/>
    <w:rsid w:val="00FF0BC1"/>
    <w:rsid w:val="00FF0C2B"/>
    <w:rsid w:val="00FF0C4B"/>
    <w:rsid w:val="00FF0D21"/>
    <w:rsid w:val="00FF0FA8"/>
    <w:rsid w:val="00FF1626"/>
    <w:rsid w:val="00FF1855"/>
    <w:rsid w:val="00FF1D41"/>
    <w:rsid w:val="00FF1E9A"/>
    <w:rsid w:val="00FF1EB3"/>
    <w:rsid w:val="00FF1F40"/>
    <w:rsid w:val="00FF223F"/>
    <w:rsid w:val="00FF257D"/>
    <w:rsid w:val="00FF2632"/>
    <w:rsid w:val="00FF285D"/>
    <w:rsid w:val="00FF287D"/>
    <w:rsid w:val="00FF28E0"/>
    <w:rsid w:val="00FF2C35"/>
    <w:rsid w:val="00FF3333"/>
    <w:rsid w:val="00FF33E2"/>
    <w:rsid w:val="00FF3688"/>
    <w:rsid w:val="00FF38BB"/>
    <w:rsid w:val="00FF3904"/>
    <w:rsid w:val="00FF3949"/>
    <w:rsid w:val="00FF3A20"/>
    <w:rsid w:val="00FF3B28"/>
    <w:rsid w:val="00FF3B58"/>
    <w:rsid w:val="00FF3CFB"/>
    <w:rsid w:val="00FF3EE3"/>
    <w:rsid w:val="00FF45DD"/>
    <w:rsid w:val="00FF47C5"/>
    <w:rsid w:val="00FF4803"/>
    <w:rsid w:val="00FF4888"/>
    <w:rsid w:val="00FF4A54"/>
    <w:rsid w:val="00FF4A66"/>
    <w:rsid w:val="00FF4A6F"/>
    <w:rsid w:val="00FF4B61"/>
    <w:rsid w:val="00FF4C3F"/>
    <w:rsid w:val="00FF4CC2"/>
    <w:rsid w:val="00FF4D9F"/>
    <w:rsid w:val="00FF4F16"/>
    <w:rsid w:val="00FF4F66"/>
    <w:rsid w:val="00FF508D"/>
    <w:rsid w:val="00FF50E3"/>
    <w:rsid w:val="00FF52B1"/>
    <w:rsid w:val="00FF5398"/>
    <w:rsid w:val="00FF557A"/>
    <w:rsid w:val="00FF5587"/>
    <w:rsid w:val="00FF5659"/>
    <w:rsid w:val="00FF5858"/>
    <w:rsid w:val="00FF5998"/>
    <w:rsid w:val="00FF5D40"/>
    <w:rsid w:val="00FF5E4E"/>
    <w:rsid w:val="00FF5F8B"/>
    <w:rsid w:val="00FF6065"/>
    <w:rsid w:val="00FF60F6"/>
    <w:rsid w:val="00FF61D6"/>
    <w:rsid w:val="00FF62C7"/>
    <w:rsid w:val="00FF63EC"/>
    <w:rsid w:val="00FF6424"/>
    <w:rsid w:val="00FF642F"/>
    <w:rsid w:val="00FF64C2"/>
    <w:rsid w:val="00FF665E"/>
    <w:rsid w:val="00FF666B"/>
    <w:rsid w:val="00FF6AF5"/>
    <w:rsid w:val="00FF6DB0"/>
    <w:rsid w:val="00FF7021"/>
    <w:rsid w:val="00FF7D7D"/>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A0F7B3"/>
  <w15:chartTrackingRefBased/>
  <w15:docId w15:val="{4A757577-1609-4EC5-9629-4E934232D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rPr>
  </w:style>
  <w:style w:type="paragraph" w:styleId="1">
    <w:name w:val="heading 1"/>
    <w:basedOn w:val="a0"/>
    <w:next w:val="a0"/>
    <w:qFormat/>
    <w:rsid w:val="005A71D4"/>
    <w:pPr>
      <w:keepNext/>
      <w:tabs>
        <w:tab w:val="left" w:pos="792"/>
        <w:tab w:val="left" w:pos="1296"/>
      </w:tabs>
      <w:ind w:right="28"/>
      <w:outlineLvl w:val="0"/>
    </w:pPr>
    <w:rPr>
      <w:b/>
      <w:sz w:val="28"/>
    </w:rPr>
  </w:style>
  <w:style w:type="paragraph" w:styleId="2">
    <w:name w:val="heading 2"/>
    <w:basedOn w:val="a0"/>
    <w:next w:val="a1"/>
    <w:qFormat/>
    <w:pPr>
      <w:keepNext/>
      <w:widowControl/>
      <w:tabs>
        <w:tab w:val="left" w:pos="1080"/>
      </w:tabs>
      <w:overflowPunct w:val="0"/>
      <w:autoSpaceDE w:val="0"/>
      <w:autoSpaceDN w:val="0"/>
      <w:adjustRightInd w:val="0"/>
      <w:spacing w:line="360" w:lineRule="auto"/>
      <w:ind w:right="29"/>
      <w:jc w:val="center"/>
      <w:textAlignment w:val="baseline"/>
      <w:outlineLvl w:val="1"/>
    </w:pPr>
    <w:rPr>
      <w:b/>
      <w:kern w:val="0"/>
      <w:sz w:val="28"/>
      <w:szCs w:val="20"/>
      <w:lang w:val="en-US"/>
    </w:rPr>
  </w:style>
  <w:style w:type="paragraph" w:styleId="3">
    <w:name w:val="heading 3"/>
    <w:basedOn w:val="a0"/>
    <w:next w:val="a0"/>
    <w:qFormat/>
    <w:pPr>
      <w:keepNext/>
      <w:snapToGrid w:val="0"/>
      <w:jc w:val="both"/>
      <w:outlineLvl w:val="2"/>
    </w:pPr>
    <w:rPr>
      <w:u w:val="single"/>
    </w:rPr>
  </w:style>
  <w:style w:type="paragraph" w:styleId="4">
    <w:name w:val="heading 4"/>
    <w:basedOn w:val="a0"/>
    <w:next w:val="a1"/>
    <w:qFormat/>
    <w:pPr>
      <w:keepNext/>
      <w:widowControl/>
      <w:tabs>
        <w:tab w:val="left" w:pos="288"/>
        <w:tab w:val="left" w:pos="1080"/>
        <w:tab w:val="left" w:pos="2790"/>
        <w:tab w:val="left" w:pos="4032"/>
        <w:tab w:val="left" w:pos="6336"/>
      </w:tabs>
      <w:overflowPunct w:val="0"/>
      <w:autoSpaceDE w:val="0"/>
      <w:autoSpaceDN w:val="0"/>
      <w:adjustRightInd w:val="0"/>
      <w:spacing w:line="240" w:lineRule="atLeast"/>
      <w:ind w:right="28"/>
      <w:jc w:val="both"/>
      <w:textAlignment w:val="baseline"/>
      <w:outlineLvl w:val="3"/>
    </w:pPr>
    <w:rPr>
      <w:b/>
      <w:kern w:val="0"/>
      <w:sz w:val="28"/>
      <w:szCs w:val="20"/>
      <w:lang w:val="en-US"/>
    </w:rPr>
  </w:style>
  <w:style w:type="paragraph" w:styleId="5">
    <w:name w:val="heading 5"/>
    <w:basedOn w:val="a0"/>
    <w:next w:val="a0"/>
    <w:qFormat/>
    <w:pPr>
      <w:keepNext/>
      <w:tabs>
        <w:tab w:val="left" w:pos="1080"/>
      </w:tabs>
      <w:spacing w:line="360" w:lineRule="atLeast"/>
      <w:jc w:val="both"/>
      <w:outlineLvl w:val="4"/>
    </w:pPr>
    <w:rPr>
      <w:b/>
      <w:bCs/>
      <w:sz w:val="28"/>
    </w:rPr>
  </w:style>
  <w:style w:type="paragraph" w:styleId="6">
    <w:name w:val="heading 6"/>
    <w:basedOn w:val="a0"/>
    <w:next w:val="a0"/>
    <w:qFormat/>
    <w:pPr>
      <w:keepNext/>
      <w:snapToGrid w:val="0"/>
      <w:jc w:val="center"/>
      <w:outlineLvl w:val="5"/>
    </w:pPr>
    <w:rPr>
      <w:b/>
      <w:bCs/>
      <w:i/>
      <w:iCs/>
      <w:sz w:val="22"/>
    </w:rPr>
  </w:style>
  <w:style w:type="paragraph" w:styleId="7">
    <w:name w:val="heading 7"/>
    <w:basedOn w:val="a0"/>
    <w:next w:val="a0"/>
    <w:qFormat/>
    <w:pPr>
      <w:keepNext/>
      <w:snapToGrid w:val="0"/>
      <w:jc w:val="center"/>
      <w:outlineLvl w:val="6"/>
    </w:pPr>
    <w:rPr>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widowControl/>
      <w:overflowPunct w:val="0"/>
      <w:autoSpaceDE w:val="0"/>
      <w:autoSpaceDN w:val="0"/>
      <w:adjustRightInd w:val="0"/>
      <w:ind w:left="480"/>
      <w:textAlignment w:val="baseline"/>
    </w:pPr>
    <w:rPr>
      <w:rFonts w:ascii="!Ps2OcuAe" w:hAnsi="!Ps2OcuAe"/>
      <w:kern w:val="0"/>
      <w:szCs w:val="20"/>
      <w:lang w:val="en-US"/>
    </w:rPr>
  </w:style>
  <w:style w:type="paragraph" w:styleId="a5">
    <w:name w:val="Body Text"/>
    <w:basedOn w:val="a0"/>
    <w:link w:val="a6"/>
    <w:pPr>
      <w:widowControl/>
      <w:tabs>
        <w:tab w:val="left" w:pos="1080"/>
        <w:tab w:val="left" w:pos="1296"/>
        <w:tab w:val="left" w:pos="2790"/>
        <w:tab w:val="left" w:pos="5328"/>
      </w:tabs>
      <w:overflowPunct w:val="0"/>
      <w:autoSpaceDE w:val="0"/>
      <w:autoSpaceDN w:val="0"/>
      <w:adjustRightInd w:val="0"/>
      <w:spacing w:line="360" w:lineRule="auto"/>
      <w:ind w:right="29"/>
      <w:jc w:val="both"/>
      <w:textAlignment w:val="baseline"/>
    </w:pPr>
    <w:rPr>
      <w:kern w:val="0"/>
      <w:sz w:val="28"/>
      <w:szCs w:val="20"/>
      <w:lang w:val="x-none" w:eastAsia="x-none"/>
    </w:rPr>
  </w:style>
  <w:style w:type="paragraph" w:customStyle="1" w:styleId="BodyTextIndent21">
    <w:name w:val="Body Text Indent 21"/>
    <w:basedOn w:val="a0"/>
    <w:pPr>
      <w:tabs>
        <w:tab w:val="left" w:pos="840"/>
        <w:tab w:val="left" w:pos="1728"/>
        <w:tab w:val="left" w:pos="2790"/>
        <w:tab w:val="left" w:pos="3168"/>
        <w:tab w:val="left" w:pos="3744"/>
        <w:tab w:val="left" w:pos="5472"/>
        <w:tab w:val="left" w:pos="6192"/>
        <w:tab w:val="left" w:pos="7776"/>
        <w:tab w:val="left" w:pos="8352"/>
        <w:tab w:val="left" w:pos="10080"/>
        <w:tab w:val="left" w:pos="10800"/>
        <w:tab w:val="left" w:pos="12096"/>
        <w:tab w:val="left" w:pos="12960"/>
        <w:tab w:val="left" w:pos="14688"/>
        <w:tab w:val="left" w:pos="15264"/>
        <w:tab w:val="left" w:pos="16992"/>
      </w:tabs>
      <w:adjustRightInd w:val="0"/>
      <w:spacing w:line="360" w:lineRule="atLeast"/>
      <w:ind w:left="1320" w:hanging="1320"/>
      <w:jc w:val="both"/>
      <w:textAlignment w:val="baseline"/>
    </w:pPr>
    <w:rPr>
      <w:kern w:val="0"/>
      <w:sz w:val="23"/>
      <w:szCs w:val="20"/>
      <w:lang w:val="en-US"/>
    </w:rPr>
  </w:style>
  <w:style w:type="paragraph" w:styleId="a7">
    <w:name w:val="Body Text Indent"/>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8">
    <w:name w:val="footer"/>
    <w:basedOn w:val="a0"/>
    <w:pPr>
      <w:widowControl/>
      <w:tabs>
        <w:tab w:val="center" w:pos="4320"/>
        <w:tab w:val="right" w:pos="8640"/>
      </w:tabs>
      <w:overflowPunct w:val="0"/>
      <w:autoSpaceDE w:val="0"/>
      <w:autoSpaceDN w:val="0"/>
      <w:adjustRightInd w:val="0"/>
      <w:textAlignment w:val="baseline"/>
    </w:pPr>
    <w:rPr>
      <w:rFonts w:ascii="!Ps2OcuAe" w:hAnsi="!Ps2OcuAe"/>
      <w:kern w:val="0"/>
      <w:sz w:val="20"/>
      <w:szCs w:val="20"/>
      <w:lang w:val="en-US"/>
    </w:rPr>
  </w:style>
  <w:style w:type="paragraph" w:styleId="a9">
    <w:name w:val="header"/>
    <w:basedOn w:val="a0"/>
    <w:pPr>
      <w:widowControl/>
      <w:tabs>
        <w:tab w:val="center" w:pos="4320"/>
        <w:tab w:val="right" w:pos="8640"/>
      </w:tabs>
      <w:overflowPunct w:val="0"/>
      <w:autoSpaceDE w:val="0"/>
      <w:autoSpaceDN w:val="0"/>
      <w:adjustRightInd w:val="0"/>
      <w:textAlignment w:val="baseline"/>
    </w:pPr>
    <w:rPr>
      <w:rFonts w:ascii="!Ps2OcuAe" w:hAnsi="!Ps2OcuAe"/>
      <w:kern w:val="0"/>
      <w:szCs w:val="20"/>
      <w:lang w:val="en-US"/>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character" w:styleId="aa">
    <w:name w:val="page number"/>
    <w:basedOn w:val="a2"/>
  </w:style>
  <w:style w:type="paragraph" w:styleId="ab">
    <w:name w:val="Title"/>
    <w:basedOn w:val="a0"/>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c">
    <w:name w:val="footnote text"/>
    <w:basedOn w:val="a0"/>
    <w:semiHidden/>
    <w:pPr>
      <w:snapToGrid w:val="0"/>
    </w:pPr>
    <w:rPr>
      <w:sz w:val="20"/>
      <w:szCs w:val="20"/>
    </w:rPr>
  </w:style>
  <w:style w:type="character" w:styleId="ad">
    <w:name w:val="footnote reference"/>
    <w:semiHidden/>
    <w:rPr>
      <w:vertAlign w:val="superscript"/>
    </w:rPr>
  </w:style>
  <w:style w:type="paragraph" w:styleId="ae">
    <w:name w:val="caption"/>
    <w:basedOn w:val="a0"/>
    <w:next w:val="a0"/>
    <w:qFormat/>
    <w:pPr>
      <w:snapToGrid w:val="0"/>
      <w:jc w:val="both"/>
    </w:pPr>
    <w:rPr>
      <w:b/>
      <w:bCs/>
      <w:sz w:val="28"/>
    </w:rPr>
  </w:style>
  <w:style w:type="paragraph" w:styleId="20">
    <w:name w:val="Body Text Indent 2"/>
    <w:basedOn w:val="a0"/>
    <w:pPr>
      <w:ind w:left="1620" w:hanging="720"/>
    </w:pPr>
  </w:style>
  <w:style w:type="paragraph" w:styleId="af">
    <w:name w:val="Block Text"/>
    <w:basedOn w:val="a0"/>
    <w:pPr>
      <w:snapToGrid w:val="0"/>
      <w:spacing w:line="240" w:lineRule="exact"/>
      <w:ind w:leftChars="300" w:left="1620" w:rightChars="237" w:right="569" w:hangingChars="375" w:hanging="900"/>
      <w:jc w:val="both"/>
    </w:pPr>
  </w:style>
  <w:style w:type="paragraph" w:styleId="21">
    <w:name w:val="Body Text 2"/>
    <w:basedOn w:val="a0"/>
    <w:pPr>
      <w:tabs>
        <w:tab w:val="left" w:pos="900"/>
        <w:tab w:val="left" w:pos="1080"/>
        <w:tab w:val="left" w:pos="2790"/>
      </w:tabs>
      <w:snapToGrid w:val="0"/>
      <w:spacing w:line="260" w:lineRule="exact"/>
      <w:ind w:right="28"/>
      <w:jc w:val="both"/>
    </w:pPr>
  </w:style>
  <w:style w:type="paragraph" w:styleId="30">
    <w:name w:val="Body Text Indent 3"/>
    <w:basedOn w:val="a0"/>
    <w:pPr>
      <w:tabs>
        <w:tab w:val="left" w:pos="720"/>
      </w:tabs>
      <w:ind w:left="1176" w:hangingChars="490" w:hanging="1176"/>
    </w:pPr>
  </w:style>
  <w:style w:type="paragraph" w:styleId="af0">
    <w:name w:val="Subtitle"/>
    <w:basedOn w:val="a0"/>
    <w:link w:val="af1"/>
    <w:qFormat/>
    <w:pPr>
      <w:snapToGrid w:val="0"/>
      <w:jc w:val="center"/>
    </w:pPr>
    <w:rPr>
      <w:b/>
      <w:bCs/>
      <w:sz w:val="28"/>
      <w:lang w:val="x-none" w:eastAsia="x-none"/>
    </w:rPr>
  </w:style>
  <w:style w:type="paragraph" w:styleId="31">
    <w:name w:val="Body Text 3"/>
    <w:basedOn w:val="a0"/>
    <w:pPr>
      <w:snapToGrid w:val="0"/>
      <w:jc w:val="both"/>
    </w:pPr>
  </w:style>
  <w:style w:type="character" w:styleId="af2">
    <w:name w:val="Hyperlink"/>
    <w:rPr>
      <w:color w:val="0000FF"/>
      <w:u w:val="single"/>
    </w:rPr>
  </w:style>
  <w:style w:type="character" w:styleId="af3">
    <w:name w:val="FollowedHyperlink"/>
    <w:rPr>
      <w:color w:val="800080"/>
      <w:u w:val="single"/>
    </w:rPr>
  </w:style>
  <w:style w:type="paragraph" w:styleId="a">
    <w:name w:val="List Bullet"/>
    <w:basedOn w:val="a0"/>
    <w:autoRedefine/>
    <w:rsid w:val="005A71D4"/>
    <w:pPr>
      <w:numPr>
        <w:numId w:val="1"/>
      </w:numPr>
    </w:pPr>
  </w:style>
  <w:style w:type="character" w:styleId="af4">
    <w:name w:val="annotation reference"/>
    <w:semiHidden/>
    <w:rPr>
      <w:sz w:val="18"/>
      <w:szCs w:val="18"/>
    </w:rPr>
  </w:style>
  <w:style w:type="paragraph" w:styleId="af5">
    <w:name w:val="annotation text"/>
    <w:basedOn w:val="a0"/>
    <w:semiHidden/>
  </w:style>
  <w:style w:type="paragraph" w:styleId="Web">
    <w:name w:val="Normal (Web)"/>
    <w:basedOn w:val="a0"/>
    <w:uiPriority w:val="99"/>
    <w:pPr>
      <w:widowControl/>
      <w:spacing w:before="100" w:beforeAutospacing="1" w:after="100" w:afterAutospacing="1"/>
    </w:pPr>
    <w:rPr>
      <w:rFonts w:ascii="新細明體" w:hAnsi="新細明體"/>
      <w:kern w:val="0"/>
      <w:lang w:val="en-US"/>
    </w:rPr>
  </w:style>
  <w:style w:type="paragraph" w:styleId="af6">
    <w:name w:val="Balloon Text"/>
    <w:basedOn w:val="a0"/>
    <w:semiHidden/>
    <w:rPr>
      <w:rFonts w:ascii="Arial" w:hAnsi="Arial"/>
      <w:sz w:val="18"/>
      <w:szCs w:val="18"/>
    </w:rPr>
  </w:style>
  <w:style w:type="paragraph" w:customStyle="1" w:styleId="Default">
    <w:name w:val="Default"/>
    <w:pPr>
      <w:widowControl w:val="0"/>
      <w:autoSpaceDE w:val="0"/>
      <w:autoSpaceDN w:val="0"/>
      <w:adjustRightInd w:val="0"/>
    </w:pPr>
    <w:rPr>
      <w:color w:val="000000"/>
      <w:sz w:val="24"/>
      <w:szCs w:val="24"/>
      <w:lang w:val="en-US"/>
    </w:rPr>
  </w:style>
  <w:style w:type="paragraph" w:styleId="af7">
    <w:name w:val="annotation subject"/>
    <w:basedOn w:val="af5"/>
    <w:next w:val="af5"/>
    <w:semiHidden/>
    <w:rPr>
      <w:b/>
      <w:bCs/>
    </w:rPr>
  </w:style>
  <w:style w:type="paragraph" w:customStyle="1" w:styleId="af8">
    <w:name w:val="標題分中"/>
    <w:basedOn w:val="a0"/>
    <w:next w:val="a0"/>
    <w:pPr>
      <w:widowControl/>
      <w:tabs>
        <w:tab w:val="left" w:pos="624"/>
        <w:tab w:val="left" w:pos="1247"/>
        <w:tab w:val="left" w:pos="1871"/>
        <w:tab w:val="left" w:pos="2495"/>
      </w:tabs>
      <w:adjustRightInd w:val="0"/>
      <w:spacing w:after="360" w:line="360" w:lineRule="atLeast"/>
      <w:jc w:val="center"/>
      <w:textAlignment w:val="baseline"/>
    </w:pPr>
    <w:rPr>
      <w:rFonts w:eastAsia="華康中黑體"/>
      <w:b/>
      <w:kern w:val="0"/>
      <w:szCs w:val="20"/>
      <w:lang w:val="en-US"/>
    </w:rPr>
  </w:style>
  <w:style w:type="paragraph" w:customStyle="1" w:styleId="12">
    <w:name w:val="標題12"/>
    <w:basedOn w:val="a0"/>
    <w:next w:val="a0"/>
    <w:pPr>
      <w:keepNext/>
      <w:widowControl/>
      <w:tabs>
        <w:tab w:val="left" w:pos="624"/>
        <w:tab w:val="left" w:pos="1247"/>
        <w:tab w:val="left" w:pos="1871"/>
        <w:tab w:val="left" w:pos="2495"/>
      </w:tabs>
      <w:adjustRightInd w:val="0"/>
      <w:spacing w:after="360" w:line="360" w:lineRule="atLeast"/>
      <w:jc w:val="both"/>
      <w:textAlignment w:val="baseline"/>
    </w:pPr>
    <w:rPr>
      <w:rFonts w:eastAsia="華康中黑體"/>
      <w:b/>
      <w:kern w:val="0"/>
      <w:szCs w:val="20"/>
      <w:lang w:val="en-US"/>
    </w:rPr>
  </w:style>
  <w:style w:type="character" w:customStyle="1" w:styleId="apple-style-span">
    <w:name w:val="apple-style-span"/>
    <w:basedOn w:val="a2"/>
    <w:rsid w:val="007A29D5"/>
  </w:style>
  <w:style w:type="character" w:customStyle="1" w:styleId="apple-converted-space">
    <w:name w:val="apple-converted-space"/>
    <w:basedOn w:val="a2"/>
    <w:rsid w:val="007A29D5"/>
  </w:style>
  <w:style w:type="table" w:styleId="af9">
    <w:name w:val="Table Grid"/>
    <w:basedOn w:val="a3"/>
    <w:rsid w:val="0008716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aliases w:val="Issue Action POC,List Paragraph1,3,POCG Table Text,Dot pt,F5 List Paragraph,List Paragraph Char Char Char,Indicator Text,Colorful List - Accent 11,Numbered Para 1,Bullet 1,Bullet Points,List Paragraph2,MAIN CONTENT,Normal numbered"/>
    <w:basedOn w:val="a0"/>
    <w:link w:val="afb"/>
    <w:uiPriority w:val="34"/>
    <w:qFormat/>
    <w:rsid w:val="00E61286"/>
    <w:pPr>
      <w:ind w:leftChars="200" w:left="480"/>
    </w:pPr>
  </w:style>
  <w:style w:type="character" w:customStyle="1" w:styleId="af1">
    <w:name w:val="副標題 字元"/>
    <w:link w:val="af0"/>
    <w:rsid w:val="00CB5B0F"/>
    <w:rPr>
      <w:b/>
      <w:bCs/>
      <w:kern w:val="2"/>
      <w:sz w:val="28"/>
      <w:szCs w:val="24"/>
    </w:rPr>
  </w:style>
  <w:style w:type="character" w:customStyle="1" w:styleId="a6">
    <w:name w:val="本文 字元"/>
    <w:link w:val="a5"/>
    <w:rsid w:val="00DD10A9"/>
    <w:rPr>
      <w:sz w:val="28"/>
    </w:rPr>
  </w:style>
  <w:style w:type="paragraph" w:styleId="afc">
    <w:name w:val="endnote text"/>
    <w:basedOn w:val="a0"/>
    <w:link w:val="afd"/>
    <w:rsid w:val="001347DA"/>
    <w:pPr>
      <w:snapToGrid w:val="0"/>
    </w:pPr>
    <w:rPr>
      <w:lang w:eastAsia="x-none"/>
    </w:rPr>
  </w:style>
  <w:style w:type="character" w:customStyle="1" w:styleId="afd">
    <w:name w:val="章節附註文字 字元"/>
    <w:link w:val="afc"/>
    <w:rsid w:val="001347DA"/>
    <w:rPr>
      <w:kern w:val="2"/>
      <w:sz w:val="24"/>
      <w:szCs w:val="24"/>
      <w:lang w:val="en-GB"/>
    </w:rPr>
  </w:style>
  <w:style w:type="character" w:styleId="afe">
    <w:name w:val="endnote reference"/>
    <w:rsid w:val="001347DA"/>
    <w:rPr>
      <w:vertAlign w:val="superscript"/>
    </w:rPr>
  </w:style>
  <w:style w:type="paragraph" w:styleId="aff">
    <w:name w:val="Revision"/>
    <w:hidden/>
    <w:uiPriority w:val="99"/>
    <w:semiHidden/>
    <w:rsid w:val="00E87325"/>
    <w:rPr>
      <w:kern w:val="2"/>
      <w:sz w:val="24"/>
      <w:szCs w:val="24"/>
    </w:rPr>
  </w:style>
  <w:style w:type="character" w:customStyle="1" w:styleId="afb">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a"/>
    <w:uiPriority w:val="34"/>
    <w:locked/>
    <w:rsid w:val="002E2B56"/>
    <w:rPr>
      <w:kern w:val="2"/>
      <w:sz w:val="24"/>
      <w:szCs w:val="24"/>
      <w:lang w:eastAsia="zh-TW"/>
    </w:rPr>
  </w:style>
  <w:style w:type="paragraph" w:styleId="aff0">
    <w:name w:val="Plain Text"/>
    <w:basedOn w:val="a0"/>
    <w:link w:val="aff1"/>
    <w:uiPriority w:val="99"/>
    <w:unhideWhenUsed/>
    <w:rsid w:val="00246AFF"/>
    <w:pPr>
      <w:widowControl/>
    </w:pPr>
    <w:rPr>
      <w:rFonts w:ascii="Microsoft Sans Serif" w:hAnsi="Microsoft Sans Serif" w:cs="Microsoft Sans Serif"/>
      <w:kern w:val="0"/>
      <w:sz w:val="28"/>
      <w:szCs w:val="28"/>
    </w:rPr>
  </w:style>
  <w:style w:type="character" w:customStyle="1" w:styleId="aff1">
    <w:name w:val="純文字 字元"/>
    <w:link w:val="aff0"/>
    <w:uiPriority w:val="99"/>
    <w:rsid w:val="00246AFF"/>
    <w:rPr>
      <w:rFonts w:ascii="Microsoft Sans Serif" w:hAnsi="Microsoft Sans Serif" w:cs="Microsoft Sans Seri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0001">
      <w:bodyDiv w:val="1"/>
      <w:marLeft w:val="0"/>
      <w:marRight w:val="0"/>
      <w:marTop w:val="0"/>
      <w:marBottom w:val="0"/>
      <w:divBdr>
        <w:top w:val="none" w:sz="0" w:space="0" w:color="auto"/>
        <w:left w:val="none" w:sz="0" w:space="0" w:color="auto"/>
        <w:bottom w:val="none" w:sz="0" w:space="0" w:color="auto"/>
        <w:right w:val="none" w:sz="0" w:space="0" w:color="auto"/>
      </w:divBdr>
    </w:div>
    <w:div w:id="174196606">
      <w:bodyDiv w:val="1"/>
      <w:marLeft w:val="0"/>
      <w:marRight w:val="0"/>
      <w:marTop w:val="0"/>
      <w:marBottom w:val="0"/>
      <w:divBdr>
        <w:top w:val="none" w:sz="0" w:space="0" w:color="auto"/>
        <w:left w:val="none" w:sz="0" w:space="0" w:color="auto"/>
        <w:bottom w:val="none" w:sz="0" w:space="0" w:color="auto"/>
        <w:right w:val="none" w:sz="0" w:space="0" w:color="auto"/>
      </w:divBdr>
    </w:div>
    <w:div w:id="286787073">
      <w:bodyDiv w:val="1"/>
      <w:marLeft w:val="0"/>
      <w:marRight w:val="0"/>
      <w:marTop w:val="0"/>
      <w:marBottom w:val="0"/>
      <w:divBdr>
        <w:top w:val="none" w:sz="0" w:space="0" w:color="auto"/>
        <w:left w:val="none" w:sz="0" w:space="0" w:color="auto"/>
        <w:bottom w:val="none" w:sz="0" w:space="0" w:color="auto"/>
        <w:right w:val="none" w:sz="0" w:space="0" w:color="auto"/>
      </w:divBdr>
    </w:div>
    <w:div w:id="385104032">
      <w:bodyDiv w:val="1"/>
      <w:marLeft w:val="0"/>
      <w:marRight w:val="0"/>
      <w:marTop w:val="0"/>
      <w:marBottom w:val="0"/>
      <w:divBdr>
        <w:top w:val="none" w:sz="0" w:space="0" w:color="auto"/>
        <w:left w:val="none" w:sz="0" w:space="0" w:color="auto"/>
        <w:bottom w:val="none" w:sz="0" w:space="0" w:color="auto"/>
        <w:right w:val="none" w:sz="0" w:space="0" w:color="auto"/>
      </w:divBdr>
    </w:div>
    <w:div w:id="1163395313">
      <w:bodyDiv w:val="1"/>
      <w:marLeft w:val="0"/>
      <w:marRight w:val="0"/>
      <w:marTop w:val="0"/>
      <w:marBottom w:val="0"/>
      <w:divBdr>
        <w:top w:val="none" w:sz="0" w:space="0" w:color="auto"/>
        <w:left w:val="none" w:sz="0" w:space="0" w:color="auto"/>
        <w:bottom w:val="none" w:sz="0" w:space="0" w:color="auto"/>
        <w:right w:val="none" w:sz="0" w:space="0" w:color="auto"/>
      </w:divBdr>
    </w:div>
    <w:div w:id="1172570439">
      <w:bodyDiv w:val="1"/>
      <w:marLeft w:val="0"/>
      <w:marRight w:val="0"/>
      <w:marTop w:val="0"/>
      <w:marBottom w:val="0"/>
      <w:divBdr>
        <w:top w:val="none" w:sz="0" w:space="0" w:color="auto"/>
        <w:left w:val="none" w:sz="0" w:space="0" w:color="auto"/>
        <w:bottom w:val="none" w:sz="0" w:space="0" w:color="auto"/>
        <w:right w:val="none" w:sz="0" w:space="0" w:color="auto"/>
      </w:divBdr>
    </w:div>
    <w:div w:id="1358048467">
      <w:bodyDiv w:val="1"/>
      <w:marLeft w:val="0"/>
      <w:marRight w:val="0"/>
      <w:marTop w:val="0"/>
      <w:marBottom w:val="0"/>
      <w:divBdr>
        <w:top w:val="none" w:sz="0" w:space="0" w:color="auto"/>
        <w:left w:val="none" w:sz="0" w:space="0" w:color="auto"/>
        <w:bottom w:val="none" w:sz="0" w:space="0" w:color="auto"/>
        <w:right w:val="none" w:sz="0" w:space="0" w:color="auto"/>
      </w:divBdr>
    </w:div>
    <w:div w:id="1426220295">
      <w:bodyDiv w:val="1"/>
      <w:marLeft w:val="0"/>
      <w:marRight w:val="0"/>
      <w:marTop w:val="0"/>
      <w:marBottom w:val="0"/>
      <w:divBdr>
        <w:top w:val="none" w:sz="0" w:space="0" w:color="auto"/>
        <w:left w:val="none" w:sz="0" w:space="0" w:color="auto"/>
        <w:bottom w:val="none" w:sz="0" w:space="0" w:color="auto"/>
        <w:right w:val="none" w:sz="0" w:space="0" w:color="auto"/>
      </w:divBdr>
    </w:div>
    <w:div w:id="1542203709">
      <w:bodyDiv w:val="1"/>
      <w:marLeft w:val="0"/>
      <w:marRight w:val="0"/>
      <w:marTop w:val="0"/>
      <w:marBottom w:val="0"/>
      <w:divBdr>
        <w:top w:val="none" w:sz="0" w:space="0" w:color="auto"/>
        <w:left w:val="none" w:sz="0" w:space="0" w:color="auto"/>
        <w:bottom w:val="none" w:sz="0" w:space="0" w:color="auto"/>
        <w:right w:val="none" w:sz="0" w:space="0" w:color="auto"/>
      </w:divBdr>
    </w:div>
    <w:div w:id="1652753479">
      <w:bodyDiv w:val="1"/>
      <w:marLeft w:val="0"/>
      <w:marRight w:val="0"/>
      <w:marTop w:val="0"/>
      <w:marBottom w:val="0"/>
      <w:divBdr>
        <w:top w:val="none" w:sz="0" w:space="0" w:color="auto"/>
        <w:left w:val="none" w:sz="0" w:space="0" w:color="auto"/>
        <w:bottom w:val="none" w:sz="0" w:space="0" w:color="auto"/>
        <w:right w:val="none" w:sz="0" w:space="0" w:color="auto"/>
      </w:divBdr>
    </w:div>
    <w:div w:id="186686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B46ED-837A-4522-9BB9-50AA6DEEF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16</Pages>
  <Words>3562</Words>
  <Characters>17818</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21338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2</dc:creator>
  <cp:keywords/>
  <dc:description/>
  <cp:lastModifiedBy>OGE</cp:lastModifiedBy>
  <cp:revision>38</cp:revision>
  <cp:lastPrinted>2025-02-18T06:16:00Z</cp:lastPrinted>
  <dcterms:created xsi:type="dcterms:W3CDTF">2025-02-12T09:30:00Z</dcterms:created>
  <dcterms:modified xsi:type="dcterms:W3CDTF">2025-02-18T06:53:00Z</dcterms:modified>
</cp:coreProperties>
</file>