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7B241204" w:rsidR="00E21B31" w:rsidRPr="00B67ADE" w:rsidRDefault="000E7719" w:rsidP="0010370A">
      <w:pPr>
        <w:pStyle w:val="Title"/>
        <w:tabs>
          <w:tab w:val="left" w:pos="1200"/>
        </w:tabs>
        <w:ind w:right="-215"/>
      </w:pPr>
      <w:r w:rsidRPr="00B67ADE">
        <w:rPr>
          <w:bCs w:val="0"/>
          <w:kern w:val="0"/>
          <w:sz w:val="28"/>
        </w:rPr>
        <w:t xml:space="preserve">CHAPTER </w:t>
      </w:r>
      <w:proofErr w:type="gramStart"/>
      <w:r w:rsidR="00C15393">
        <w:rPr>
          <w:bCs w:val="0"/>
          <w:kern w:val="0"/>
          <w:sz w:val="28"/>
        </w:rPr>
        <w:t>2</w:t>
      </w:r>
      <w:r w:rsidRPr="00B67ADE">
        <w:rPr>
          <w:bCs w:val="0"/>
          <w:kern w:val="0"/>
          <w:sz w:val="28"/>
        </w:rPr>
        <w:t xml:space="preserve"> :</w:t>
      </w:r>
      <w:proofErr w:type="gramEnd"/>
      <w:r w:rsidRPr="00B67ADE">
        <w:rPr>
          <w:bCs w:val="0"/>
          <w:kern w:val="0"/>
          <w:sz w:val="28"/>
        </w:rPr>
        <w:t xml:space="preserve">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B67ADE" w:rsidRDefault="00E21B31" w:rsidP="00E21B31">
      <w:pPr>
        <w:pStyle w:val="BodyText"/>
        <w:spacing w:line="240" w:lineRule="auto"/>
        <w:ind w:right="28"/>
        <w:rPr>
          <w:b/>
          <w:i/>
          <w:lang w:val="en-GB"/>
        </w:rPr>
      </w:pPr>
      <w:r w:rsidRPr="00B67ADE">
        <w:rPr>
          <w:b/>
          <w:i/>
          <w:lang w:val="en-GB"/>
        </w:rPr>
        <w:t>Summary</w:t>
      </w:r>
    </w:p>
    <w:p w14:paraId="22D38862" w14:textId="4372D594" w:rsidR="00D44DF3" w:rsidRPr="000D02C7" w:rsidRDefault="00D92DF8" w:rsidP="00832E64">
      <w:pPr>
        <w:pStyle w:val="BodyText"/>
        <w:numPr>
          <w:ilvl w:val="0"/>
          <w:numId w:val="1"/>
        </w:numPr>
        <w:tabs>
          <w:tab w:val="clear" w:pos="1080"/>
          <w:tab w:val="num" w:pos="840"/>
        </w:tabs>
        <w:spacing w:before="120" w:after="120" w:line="240" w:lineRule="auto"/>
        <w:ind w:right="28"/>
        <w:rPr>
          <w:i/>
          <w:szCs w:val="28"/>
          <w:lang w:val="en-GB" w:eastAsia="zh-TW"/>
        </w:rPr>
      </w:pPr>
      <w:r w:rsidRPr="000D02C7">
        <w:rPr>
          <w:i/>
          <w:szCs w:val="28"/>
          <w:lang w:val="en-GB" w:eastAsia="zh-TW"/>
        </w:rPr>
        <w:t xml:space="preserve">The global economy </w:t>
      </w:r>
      <w:r w:rsidR="00D42797">
        <w:rPr>
          <w:i/>
          <w:szCs w:val="28"/>
          <w:lang w:val="en-GB" w:eastAsia="zh-TW"/>
        </w:rPr>
        <w:t xml:space="preserve">largely </w:t>
      </w:r>
      <w:r w:rsidR="000D02C7" w:rsidRPr="000D02C7">
        <w:rPr>
          <w:i/>
          <w:szCs w:val="28"/>
          <w:lang w:val="en-GB" w:eastAsia="zh-TW"/>
        </w:rPr>
        <w:t>sustained steady growth</w:t>
      </w:r>
      <w:r w:rsidR="00E05609" w:rsidRPr="000D02C7">
        <w:rPr>
          <w:i/>
          <w:szCs w:val="28"/>
          <w:lang w:val="en-GB" w:eastAsia="zh-TW"/>
        </w:rPr>
        <w:t xml:space="preserve"> </w:t>
      </w:r>
      <w:r w:rsidR="002D3CC9" w:rsidRPr="000D02C7">
        <w:rPr>
          <w:i/>
          <w:szCs w:val="28"/>
          <w:lang w:val="en-GB" w:eastAsia="zh-TW"/>
        </w:rPr>
        <w:t>in</w:t>
      </w:r>
      <w:r w:rsidR="00AC162B" w:rsidRPr="000D02C7">
        <w:rPr>
          <w:i/>
          <w:szCs w:val="28"/>
          <w:lang w:val="en-GB" w:eastAsia="zh-TW"/>
        </w:rPr>
        <w:t xml:space="preserve"> </w:t>
      </w:r>
      <w:r w:rsidR="00976D4A" w:rsidRPr="000D02C7">
        <w:rPr>
          <w:i/>
          <w:szCs w:val="28"/>
          <w:lang w:val="en-GB" w:eastAsia="zh-TW"/>
        </w:rPr>
        <w:t xml:space="preserve">the </w:t>
      </w:r>
      <w:r w:rsidR="000D02C7" w:rsidRPr="000D02C7">
        <w:rPr>
          <w:i/>
          <w:szCs w:val="28"/>
          <w:lang w:val="en-GB" w:eastAsia="zh-TW"/>
        </w:rPr>
        <w:t>first</w:t>
      </w:r>
      <w:r w:rsidR="00976D4A" w:rsidRPr="000D02C7">
        <w:rPr>
          <w:i/>
          <w:szCs w:val="28"/>
          <w:lang w:val="en-GB" w:eastAsia="zh-TW"/>
        </w:rPr>
        <w:t xml:space="preserve"> quarter of </w:t>
      </w:r>
      <w:r w:rsidR="001302D8" w:rsidRPr="000D02C7">
        <w:rPr>
          <w:i/>
          <w:szCs w:val="28"/>
          <w:lang w:val="en-GB" w:eastAsia="zh-TW"/>
        </w:rPr>
        <w:t>202</w:t>
      </w:r>
      <w:r w:rsidR="000D02C7" w:rsidRPr="000D02C7">
        <w:rPr>
          <w:i/>
          <w:szCs w:val="28"/>
          <w:lang w:val="en-GB" w:eastAsia="zh-TW"/>
        </w:rPr>
        <w:t>5</w:t>
      </w:r>
      <w:r w:rsidR="009871D9">
        <w:rPr>
          <w:i/>
          <w:szCs w:val="28"/>
          <w:lang w:val="en-GB" w:eastAsia="zh-TW"/>
        </w:rPr>
        <w:t>, notwithstanding a series of tariff increases by the U</w:t>
      </w:r>
      <w:r w:rsidR="002B59E4">
        <w:rPr>
          <w:i/>
          <w:szCs w:val="28"/>
          <w:lang w:val="en-GB" w:eastAsia="zh-TW"/>
        </w:rPr>
        <w:t xml:space="preserve">nited </w:t>
      </w:r>
      <w:r w:rsidR="009871D9">
        <w:rPr>
          <w:i/>
          <w:szCs w:val="28"/>
          <w:lang w:val="en-GB" w:eastAsia="zh-TW"/>
        </w:rPr>
        <w:t>S</w:t>
      </w:r>
      <w:r w:rsidR="002B59E4">
        <w:rPr>
          <w:i/>
          <w:szCs w:val="28"/>
          <w:lang w:val="en-GB" w:eastAsia="zh-TW"/>
        </w:rPr>
        <w:t>tates (US)</w:t>
      </w:r>
      <w:r w:rsidR="00E903A8" w:rsidRPr="000D02C7">
        <w:rPr>
          <w:i/>
          <w:szCs w:val="28"/>
          <w:lang w:val="en-GB" w:eastAsia="zh-TW"/>
        </w:rPr>
        <w:t xml:space="preserve">.  </w:t>
      </w:r>
      <w:r w:rsidR="00203B90" w:rsidRPr="000D02C7">
        <w:rPr>
          <w:i/>
          <w:szCs w:val="28"/>
          <w:lang w:val="en-GB" w:eastAsia="zh-TW"/>
        </w:rPr>
        <w:t>T</w:t>
      </w:r>
      <w:r w:rsidR="00FD116D" w:rsidRPr="000D02C7">
        <w:rPr>
          <w:i/>
          <w:szCs w:val="28"/>
          <w:lang w:val="en-GB" w:eastAsia="zh-TW"/>
        </w:rPr>
        <w:t xml:space="preserve">he Mainland </w:t>
      </w:r>
      <w:r w:rsidR="00203B90" w:rsidRPr="000D02C7">
        <w:rPr>
          <w:i/>
          <w:szCs w:val="28"/>
          <w:lang w:val="en-GB" w:eastAsia="zh-TW"/>
        </w:rPr>
        <w:t xml:space="preserve">economy </w:t>
      </w:r>
      <w:r w:rsidR="00236E8E">
        <w:rPr>
          <w:i/>
          <w:szCs w:val="28"/>
          <w:lang w:val="en-GB" w:eastAsia="zh-TW"/>
        </w:rPr>
        <w:t xml:space="preserve">expanded </w:t>
      </w:r>
      <w:r w:rsidR="00BF38C1">
        <w:rPr>
          <w:i/>
          <w:szCs w:val="28"/>
          <w:lang w:val="en-GB" w:eastAsia="zh-TW"/>
        </w:rPr>
        <w:t>solidly</w:t>
      </w:r>
      <w:r w:rsidR="00D42797">
        <w:rPr>
          <w:i/>
          <w:szCs w:val="28"/>
          <w:lang w:val="en-GB" w:eastAsia="zh-TW"/>
        </w:rPr>
        <w:t>.</w:t>
      </w:r>
      <w:r w:rsidR="00D42797" w:rsidRPr="000D02C7">
        <w:rPr>
          <w:i/>
          <w:szCs w:val="28"/>
          <w:lang w:val="en-GB" w:eastAsia="zh-TW"/>
        </w:rPr>
        <w:t xml:space="preserve"> </w:t>
      </w:r>
      <w:r w:rsidR="00D42797">
        <w:rPr>
          <w:i/>
          <w:szCs w:val="28"/>
          <w:lang w:val="en-GB" w:eastAsia="zh-TW"/>
        </w:rPr>
        <w:t xml:space="preserve"> T</w:t>
      </w:r>
      <w:r w:rsidR="00D42797" w:rsidRPr="000D02C7">
        <w:rPr>
          <w:i/>
          <w:szCs w:val="28"/>
          <w:lang w:val="en-GB" w:eastAsia="zh-TW"/>
        </w:rPr>
        <w:t xml:space="preserve">he </w:t>
      </w:r>
      <w:r w:rsidR="009871D9">
        <w:rPr>
          <w:i/>
          <w:szCs w:val="28"/>
          <w:lang w:val="en-GB" w:eastAsia="zh-TW"/>
        </w:rPr>
        <w:t>US</w:t>
      </w:r>
      <w:r w:rsidR="009871D9" w:rsidRPr="000D02C7">
        <w:rPr>
          <w:i/>
          <w:szCs w:val="28"/>
          <w:lang w:val="en-GB" w:eastAsia="zh-TW"/>
        </w:rPr>
        <w:t xml:space="preserve"> </w:t>
      </w:r>
      <w:r w:rsidR="00AD08E4" w:rsidRPr="000D02C7">
        <w:rPr>
          <w:i/>
          <w:szCs w:val="28"/>
          <w:lang w:val="en-GB" w:eastAsia="zh-TW"/>
        </w:rPr>
        <w:t>economy</w:t>
      </w:r>
      <w:r w:rsidR="00517C49">
        <w:rPr>
          <w:i/>
          <w:szCs w:val="28"/>
          <w:lang w:val="en-GB" w:eastAsia="zh-TW"/>
        </w:rPr>
        <w:t xml:space="preserve"> </w:t>
      </w:r>
      <w:r w:rsidR="006E4C52">
        <w:rPr>
          <w:i/>
          <w:szCs w:val="28"/>
          <w:lang w:val="en-GB" w:eastAsia="zh-TW"/>
        </w:rPr>
        <w:t xml:space="preserve">registered </w:t>
      </w:r>
      <w:r w:rsidR="00A20EBE">
        <w:rPr>
          <w:i/>
          <w:szCs w:val="28"/>
          <w:lang w:val="en-GB" w:eastAsia="zh-TW"/>
        </w:rPr>
        <w:t>a</w:t>
      </w:r>
      <w:r w:rsidR="00021042">
        <w:rPr>
          <w:i/>
          <w:szCs w:val="28"/>
          <w:lang w:val="en-GB" w:eastAsia="zh-TW"/>
        </w:rPr>
        <w:t xml:space="preserve"> </w:t>
      </w:r>
      <w:r w:rsidR="006E4C52">
        <w:rPr>
          <w:i/>
          <w:szCs w:val="28"/>
          <w:lang w:val="en-GB" w:eastAsia="zh-TW"/>
        </w:rPr>
        <w:t xml:space="preserve">small </w:t>
      </w:r>
      <w:r w:rsidR="00A20EBE">
        <w:rPr>
          <w:i/>
          <w:szCs w:val="28"/>
          <w:lang w:val="en-GB" w:eastAsia="zh-TW"/>
        </w:rPr>
        <w:t>quarter-to-quarter contraction</w:t>
      </w:r>
      <w:r w:rsidR="006E4C52">
        <w:rPr>
          <w:i/>
          <w:szCs w:val="28"/>
          <w:lang w:val="en-GB" w:eastAsia="zh-TW"/>
        </w:rPr>
        <w:t>,</w:t>
      </w:r>
      <w:r w:rsidR="00EB61D7">
        <w:rPr>
          <w:i/>
          <w:szCs w:val="28"/>
          <w:lang w:val="en-GB" w:eastAsia="zh-TW"/>
        </w:rPr>
        <w:t xml:space="preserve"> but still turned in </w:t>
      </w:r>
      <w:r w:rsidR="00B40111">
        <w:rPr>
          <w:i/>
          <w:szCs w:val="28"/>
          <w:lang w:val="en-GB" w:eastAsia="zh-TW"/>
        </w:rPr>
        <w:t>decelerated year</w:t>
      </w:r>
      <w:r w:rsidR="00B40111">
        <w:rPr>
          <w:i/>
          <w:szCs w:val="28"/>
          <w:lang w:val="en-GB" w:eastAsia="zh-TW"/>
        </w:rPr>
        <w:noBreakHyphen/>
        <w:t>on</w:t>
      </w:r>
      <w:r w:rsidR="00B40111">
        <w:rPr>
          <w:i/>
          <w:szCs w:val="28"/>
          <w:lang w:val="en-GB" w:eastAsia="zh-TW"/>
        </w:rPr>
        <w:noBreakHyphen/>
      </w:r>
      <w:r w:rsidR="006E4C52">
        <w:rPr>
          <w:i/>
          <w:szCs w:val="28"/>
          <w:lang w:val="en-GB" w:eastAsia="zh-TW"/>
        </w:rPr>
        <w:t>year growth</w:t>
      </w:r>
      <w:r w:rsidR="00595C6A">
        <w:rPr>
          <w:i/>
          <w:szCs w:val="28"/>
          <w:lang w:val="en-GB" w:eastAsia="zh-TW"/>
        </w:rPr>
        <w:t>.</w:t>
      </w:r>
      <w:r w:rsidR="00EB0B74" w:rsidRPr="000D02C7">
        <w:rPr>
          <w:i/>
          <w:szCs w:val="28"/>
          <w:lang w:val="en-GB" w:eastAsia="zh-TW"/>
        </w:rPr>
        <w:t xml:space="preserve"> </w:t>
      </w:r>
      <w:r w:rsidR="00595C6A">
        <w:rPr>
          <w:i/>
          <w:szCs w:val="28"/>
          <w:lang w:val="en-GB" w:eastAsia="zh-TW"/>
        </w:rPr>
        <w:t xml:space="preserve"> T</w:t>
      </w:r>
      <w:r w:rsidR="00595C6A" w:rsidRPr="000D02C7">
        <w:rPr>
          <w:i/>
          <w:szCs w:val="28"/>
          <w:lang w:val="en-GB" w:eastAsia="zh-TW"/>
        </w:rPr>
        <w:t xml:space="preserve">he </w:t>
      </w:r>
      <w:r w:rsidR="00AD08E4" w:rsidRPr="000D02C7">
        <w:rPr>
          <w:i/>
          <w:szCs w:val="28"/>
          <w:lang w:val="en-GB" w:eastAsia="zh-TW"/>
        </w:rPr>
        <w:t>euro area economy</w:t>
      </w:r>
      <w:r w:rsidR="00EB0B74" w:rsidRPr="000D02C7">
        <w:rPr>
          <w:i/>
          <w:szCs w:val="28"/>
          <w:lang w:val="en-GB" w:eastAsia="zh-TW"/>
        </w:rPr>
        <w:t xml:space="preserve"> </w:t>
      </w:r>
      <w:r w:rsidR="006E4C52">
        <w:rPr>
          <w:i/>
          <w:szCs w:val="28"/>
          <w:lang w:val="en-GB" w:eastAsia="zh-TW"/>
        </w:rPr>
        <w:t>grew</w:t>
      </w:r>
      <w:r w:rsidR="00D42797" w:rsidRPr="000D02C7">
        <w:rPr>
          <w:i/>
          <w:szCs w:val="28"/>
          <w:lang w:val="en-GB" w:eastAsia="zh-TW"/>
        </w:rPr>
        <w:t xml:space="preserve"> </w:t>
      </w:r>
      <w:r w:rsidR="005A3C0F">
        <w:rPr>
          <w:i/>
          <w:szCs w:val="28"/>
          <w:lang w:val="en-GB" w:eastAsia="zh-TW"/>
        </w:rPr>
        <w:t>modest</w:t>
      </w:r>
      <w:r w:rsidR="006E4C52">
        <w:rPr>
          <w:i/>
          <w:szCs w:val="28"/>
          <w:lang w:val="en-GB" w:eastAsia="zh-TW"/>
        </w:rPr>
        <w:t>ly</w:t>
      </w:r>
      <w:r w:rsidR="00AD08E4" w:rsidRPr="000D02C7">
        <w:rPr>
          <w:i/>
          <w:szCs w:val="28"/>
          <w:lang w:val="en-GB" w:eastAsia="zh-TW"/>
        </w:rPr>
        <w:t xml:space="preserve">. </w:t>
      </w:r>
      <w:r w:rsidR="00E05609" w:rsidRPr="000D02C7">
        <w:rPr>
          <w:i/>
          <w:szCs w:val="28"/>
          <w:lang w:val="en-GB" w:eastAsia="zh-TW"/>
        </w:rPr>
        <w:t xml:space="preserve"> </w:t>
      </w:r>
      <w:r w:rsidR="00D42797">
        <w:rPr>
          <w:i/>
          <w:szCs w:val="28"/>
          <w:lang w:val="en-GB" w:eastAsia="zh-TW"/>
        </w:rPr>
        <w:t>Most o</w:t>
      </w:r>
      <w:r w:rsidR="00D42797" w:rsidRPr="000D02C7">
        <w:rPr>
          <w:i/>
          <w:szCs w:val="28"/>
          <w:lang w:val="en-GB" w:eastAsia="zh-TW"/>
        </w:rPr>
        <w:t xml:space="preserve">ther </w:t>
      </w:r>
      <w:r w:rsidR="00595380" w:rsidRPr="000D02C7">
        <w:rPr>
          <w:i/>
          <w:szCs w:val="28"/>
          <w:lang w:val="en-GB" w:eastAsia="zh-TW"/>
        </w:rPr>
        <w:t>Asian economies</w:t>
      </w:r>
      <w:r w:rsidR="00BF38C1">
        <w:rPr>
          <w:i/>
          <w:szCs w:val="28"/>
          <w:lang w:val="en-GB" w:eastAsia="zh-TW"/>
        </w:rPr>
        <w:t xml:space="preserve"> </w:t>
      </w:r>
      <w:r w:rsidR="00595C6A">
        <w:rPr>
          <w:i/>
          <w:szCs w:val="28"/>
          <w:lang w:val="en-GB" w:eastAsia="zh-TW"/>
        </w:rPr>
        <w:t>recorded</w:t>
      </w:r>
      <w:r w:rsidR="00D42797">
        <w:rPr>
          <w:i/>
          <w:szCs w:val="28"/>
          <w:lang w:val="en-GB" w:eastAsia="zh-TW"/>
        </w:rPr>
        <w:t xml:space="preserve"> further </w:t>
      </w:r>
      <w:r w:rsidR="00BC60F2">
        <w:rPr>
          <w:i/>
          <w:szCs w:val="28"/>
          <w:lang w:val="en-GB" w:eastAsia="zh-TW"/>
        </w:rPr>
        <w:t xml:space="preserve">expansion in </w:t>
      </w:r>
      <w:r w:rsidR="00236E8E">
        <w:rPr>
          <w:i/>
          <w:szCs w:val="28"/>
          <w:lang w:val="en-GB" w:eastAsia="zh-TW"/>
        </w:rPr>
        <w:t xml:space="preserve">economic </w:t>
      </w:r>
      <w:r w:rsidR="00BC60F2">
        <w:rPr>
          <w:i/>
          <w:szCs w:val="28"/>
          <w:lang w:val="en-GB" w:eastAsia="zh-TW"/>
        </w:rPr>
        <w:t>activities</w:t>
      </w:r>
      <w:r w:rsidR="00595380" w:rsidRPr="000D02C7">
        <w:rPr>
          <w:i/>
          <w:szCs w:val="28"/>
          <w:lang w:val="en-GB" w:eastAsia="zh-TW"/>
        </w:rPr>
        <w:t xml:space="preserve">.  </w:t>
      </w:r>
      <w:r w:rsidR="00426091" w:rsidRPr="000D02C7">
        <w:rPr>
          <w:i/>
          <w:szCs w:val="28"/>
          <w:lang w:val="en-GB" w:eastAsia="zh-TW"/>
        </w:rPr>
        <w:t xml:space="preserve">However, </w:t>
      </w:r>
      <w:r w:rsidR="00F25E61">
        <w:rPr>
          <w:i/>
          <w:szCs w:val="28"/>
          <w:lang w:val="en-GB" w:eastAsia="zh-TW"/>
        </w:rPr>
        <w:t xml:space="preserve">downside risks to the global economy heightened visibly </w:t>
      </w:r>
      <w:r w:rsidR="00832E64">
        <w:rPr>
          <w:i/>
          <w:szCs w:val="28"/>
          <w:lang w:val="en-GB" w:eastAsia="zh-TW"/>
        </w:rPr>
        <w:t xml:space="preserve">as </w:t>
      </w:r>
      <w:r w:rsidR="00426091" w:rsidRPr="000D02C7">
        <w:rPr>
          <w:i/>
          <w:szCs w:val="28"/>
          <w:lang w:val="en-GB" w:eastAsia="zh-TW"/>
        </w:rPr>
        <w:t xml:space="preserve">trade </w:t>
      </w:r>
      <w:r w:rsidR="00595C6A">
        <w:rPr>
          <w:i/>
          <w:szCs w:val="28"/>
          <w:lang w:val="en-GB" w:eastAsia="zh-TW"/>
        </w:rPr>
        <w:t xml:space="preserve">tensions </w:t>
      </w:r>
      <w:r w:rsidR="000D02C7" w:rsidRPr="000D02C7">
        <w:rPr>
          <w:i/>
          <w:szCs w:val="28"/>
          <w:lang w:val="en-GB" w:eastAsia="zh-TW"/>
        </w:rPr>
        <w:t xml:space="preserve">escalated </w:t>
      </w:r>
      <w:r w:rsidR="00BF38C1">
        <w:rPr>
          <w:i/>
          <w:szCs w:val="28"/>
          <w:lang w:val="en-GB" w:eastAsia="zh-TW"/>
        </w:rPr>
        <w:t>abruptly</w:t>
      </w:r>
      <w:r w:rsidR="007361D5">
        <w:rPr>
          <w:i/>
          <w:szCs w:val="28"/>
          <w:lang w:val="en-GB" w:eastAsia="zh-TW"/>
        </w:rPr>
        <w:t xml:space="preserve"> </w:t>
      </w:r>
      <w:r w:rsidR="00236E8E">
        <w:rPr>
          <w:i/>
          <w:szCs w:val="28"/>
          <w:lang w:val="en-GB" w:eastAsia="zh-TW"/>
        </w:rPr>
        <w:t xml:space="preserve">following </w:t>
      </w:r>
      <w:r w:rsidR="00BF38C1" w:rsidRPr="00BF38C1">
        <w:rPr>
          <w:i/>
          <w:szCs w:val="28"/>
          <w:lang w:val="en-GB" w:eastAsia="zh-TW"/>
        </w:rPr>
        <w:t>the US</w:t>
      </w:r>
      <w:r w:rsidR="00236E8E">
        <w:rPr>
          <w:i/>
          <w:szCs w:val="28"/>
          <w:lang w:val="en-GB" w:eastAsia="zh-TW"/>
        </w:rPr>
        <w:t xml:space="preserve">’ announcement of the so-called “reciprocal tariffs” and other </w:t>
      </w:r>
      <w:r w:rsidR="00832E64">
        <w:rPr>
          <w:i/>
          <w:szCs w:val="28"/>
          <w:lang w:val="en-GB" w:eastAsia="zh-TW"/>
        </w:rPr>
        <w:t xml:space="preserve">intensified </w:t>
      </w:r>
      <w:r w:rsidR="00A84ABE">
        <w:rPr>
          <w:i/>
          <w:szCs w:val="28"/>
          <w:lang w:val="en-GB" w:eastAsia="zh-TW"/>
        </w:rPr>
        <w:t xml:space="preserve">trade </w:t>
      </w:r>
      <w:r w:rsidR="00236E8E">
        <w:rPr>
          <w:i/>
          <w:szCs w:val="28"/>
          <w:lang w:val="en-GB" w:eastAsia="zh-TW"/>
        </w:rPr>
        <w:t>protectionist measures</w:t>
      </w:r>
      <w:r w:rsidR="00F25E61">
        <w:rPr>
          <w:i/>
          <w:szCs w:val="28"/>
          <w:lang w:val="en-GB" w:eastAsia="zh-TW"/>
        </w:rPr>
        <w:t xml:space="preserve"> in April</w:t>
      </w:r>
      <w:r w:rsidR="007C5845">
        <w:rPr>
          <w:i/>
          <w:szCs w:val="28"/>
          <w:lang w:val="en-GB" w:eastAsia="zh-TW"/>
        </w:rPr>
        <w:t>.</w:t>
      </w:r>
      <w:r w:rsidR="00804162">
        <w:rPr>
          <w:i/>
          <w:szCs w:val="28"/>
          <w:lang w:val="en-GB" w:eastAsia="zh-TW"/>
        </w:rPr>
        <w:t xml:space="preserve"> </w:t>
      </w:r>
    </w:p>
    <w:p w14:paraId="5512A5B3" w14:textId="3BE36674" w:rsidR="00D44DF3" w:rsidRPr="007361D5" w:rsidRDefault="00484130" w:rsidP="00D966EF">
      <w:pPr>
        <w:pStyle w:val="BodyText"/>
        <w:numPr>
          <w:ilvl w:val="0"/>
          <w:numId w:val="1"/>
        </w:numPr>
        <w:tabs>
          <w:tab w:val="clear" w:pos="1080"/>
          <w:tab w:val="num" w:pos="840"/>
        </w:tabs>
        <w:spacing w:before="120" w:after="120" w:line="240" w:lineRule="auto"/>
        <w:ind w:right="28"/>
        <w:rPr>
          <w:i/>
          <w:szCs w:val="28"/>
          <w:lang w:val="en-GB" w:eastAsia="zh-TW"/>
        </w:rPr>
      </w:pPr>
      <w:r w:rsidRPr="007361D5">
        <w:rPr>
          <w:i/>
          <w:lang w:val="en-GB" w:eastAsia="zh-HK"/>
        </w:rPr>
        <w:t>Hong Kong’s m</w:t>
      </w:r>
      <w:r w:rsidR="00D44DF3" w:rsidRPr="007361D5">
        <w:rPr>
          <w:i/>
          <w:lang w:val="en-GB" w:eastAsia="zh-HK"/>
        </w:rPr>
        <w:t xml:space="preserve">erchandise exports </w:t>
      </w:r>
      <w:r w:rsidR="004C1C24">
        <w:rPr>
          <w:i/>
          <w:lang w:val="en-GB" w:eastAsia="zh-HK"/>
        </w:rPr>
        <w:t>posted accelerated</w:t>
      </w:r>
      <w:r w:rsidR="00D44DF3" w:rsidRPr="007361D5">
        <w:rPr>
          <w:i/>
          <w:lang w:val="en-GB" w:eastAsia="zh-HK"/>
        </w:rPr>
        <w:t xml:space="preserve"> </w:t>
      </w:r>
      <w:r w:rsidR="00E55F63" w:rsidRPr="007361D5">
        <w:rPr>
          <w:i/>
          <w:lang w:val="en-GB" w:eastAsia="zh-HK"/>
        </w:rPr>
        <w:t>year</w:t>
      </w:r>
      <w:r w:rsidR="00E55F63" w:rsidRPr="007361D5">
        <w:rPr>
          <w:i/>
          <w:lang w:val="en-GB" w:eastAsia="zh-HK"/>
        </w:rPr>
        <w:noBreakHyphen/>
      </w:r>
      <w:r w:rsidRPr="007361D5">
        <w:rPr>
          <w:i/>
          <w:lang w:val="en-GB" w:eastAsia="zh-HK"/>
        </w:rPr>
        <w:t>on-year</w:t>
      </w:r>
      <w:r w:rsidR="00B6155B">
        <w:rPr>
          <w:i/>
          <w:lang w:val="en-GB" w:eastAsia="zh-HK"/>
        </w:rPr>
        <w:t xml:space="preserve"> growth of 8.</w:t>
      </w:r>
      <w:r w:rsidR="00DF50B1">
        <w:rPr>
          <w:i/>
          <w:lang w:val="en-GB" w:eastAsia="zh-HK"/>
        </w:rPr>
        <w:t>7</w:t>
      </w:r>
      <w:r w:rsidR="004C1C24">
        <w:rPr>
          <w:i/>
          <w:lang w:val="en-GB" w:eastAsia="zh-HK"/>
        </w:rPr>
        <w:t>%</w:t>
      </w:r>
      <w:r w:rsidRPr="007361D5">
        <w:rPr>
          <w:i/>
          <w:lang w:val="en-GB" w:eastAsia="zh-HK"/>
        </w:rPr>
        <w:t xml:space="preserve"> </w:t>
      </w:r>
      <w:r w:rsidR="00D44DF3" w:rsidRPr="007361D5">
        <w:rPr>
          <w:i/>
          <w:lang w:val="en-GB" w:eastAsia="zh-HK"/>
        </w:rPr>
        <w:t>in real terms</w:t>
      </w:r>
      <w:r w:rsidR="007D0344" w:rsidRPr="007361D5">
        <w:rPr>
          <w:i/>
          <w:kern w:val="2"/>
          <w:sz w:val="24"/>
          <w:szCs w:val="24"/>
          <w:vertAlign w:val="superscript"/>
          <w:lang w:val="en-GB" w:eastAsia="zh-HK"/>
        </w:rPr>
        <w:t>(</w:t>
      </w:r>
      <w:r w:rsidR="00D2485D">
        <w:rPr>
          <w:i/>
          <w:kern w:val="2"/>
          <w:sz w:val="24"/>
          <w:szCs w:val="24"/>
          <w:vertAlign w:val="superscript"/>
          <w:lang w:val="en-GB" w:eastAsia="zh-HK"/>
        </w:rPr>
        <w:t>1</w:t>
      </w:r>
      <w:r w:rsidR="007D0344" w:rsidRPr="007361D5">
        <w:rPr>
          <w:i/>
          <w:kern w:val="2"/>
          <w:sz w:val="24"/>
          <w:szCs w:val="24"/>
          <w:vertAlign w:val="superscript"/>
          <w:lang w:val="en-GB" w:eastAsia="zh-HK"/>
        </w:rPr>
        <w:t>)</w:t>
      </w:r>
      <w:r w:rsidR="007D0344" w:rsidRPr="007361D5">
        <w:rPr>
          <w:i/>
          <w:lang w:eastAsia="zh-HK"/>
        </w:rPr>
        <w:t xml:space="preserve"> </w:t>
      </w:r>
      <w:r w:rsidR="00D44DF3" w:rsidRPr="007361D5">
        <w:rPr>
          <w:i/>
          <w:lang w:val="en-GB" w:eastAsia="zh-HK"/>
        </w:rPr>
        <w:t xml:space="preserve">in </w:t>
      </w:r>
      <w:r w:rsidR="00976D4A" w:rsidRPr="007361D5">
        <w:rPr>
          <w:i/>
          <w:lang w:val="en-GB" w:eastAsia="zh-HK"/>
        </w:rPr>
        <w:t xml:space="preserve">the </w:t>
      </w:r>
      <w:r w:rsidR="007361D5">
        <w:rPr>
          <w:i/>
          <w:lang w:val="en-GB" w:eastAsia="zh-HK"/>
        </w:rPr>
        <w:t>first</w:t>
      </w:r>
      <w:r w:rsidR="0015596F" w:rsidRPr="007361D5">
        <w:rPr>
          <w:i/>
          <w:lang w:val="en-GB" w:eastAsia="zh-HK"/>
        </w:rPr>
        <w:t xml:space="preserve"> quarter</w:t>
      </w:r>
      <w:r w:rsidR="007361D5">
        <w:rPr>
          <w:i/>
          <w:lang w:val="en-GB" w:eastAsia="zh-HK"/>
        </w:rPr>
        <w:t xml:space="preserve">, supported by </w:t>
      </w:r>
      <w:r w:rsidR="00C93100">
        <w:rPr>
          <w:i/>
          <w:lang w:val="en-GB" w:eastAsia="zh-HK"/>
        </w:rPr>
        <w:t xml:space="preserve">broadly </w:t>
      </w:r>
      <w:r w:rsidR="007361D5">
        <w:rPr>
          <w:i/>
          <w:lang w:val="en-GB" w:eastAsia="zh-HK"/>
        </w:rPr>
        <w:t>sustained external demand</w:t>
      </w:r>
      <w:r w:rsidR="00B6155B">
        <w:rPr>
          <w:i/>
          <w:lang w:val="en-GB" w:eastAsia="zh-HK"/>
        </w:rPr>
        <w:t xml:space="preserve"> and likely some front-loading of shipments in anticipation of </w:t>
      </w:r>
      <w:r w:rsidR="007C5845">
        <w:rPr>
          <w:i/>
          <w:lang w:val="en-GB" w:eastAsia="zh-HK"/>
        </w:rPr>
        <w:t xml:space="preserve">imminent </w:t>
      </w:r>
      <w:r w:rsidR="00B6155B">
        <w:rPr>
          <w:i/>
          <w:lang w:val="en-GB" w:eastAsia="zh-HK"/>
        </w:rPr>
        <w:t>tariff hikes</w:t>
      </w:r>
      <w:r w:rsidR="00D44DF3" w:rsidRPr="007361D5">
        <w:rPr>
          <w:i/>
          <w:lang w:val="en-GB" w:eastAsia="zh-HK"/>
        </w:rPr>
        <w:t>.  Exports to the Mainland</w:t>
      </w:r>
      <w:r w:rsidR="00706E67" w:rsidRPr="007361D5">
        <w:rPr>
          <w:i/>
          <w:lang w:val="en-GB" w:eastAsia="zh-HK"/>
        </w:rPr>
        <w:t xml:space="preserve"> </w:t>
      </w:r>
      <w:r w:rsidR="00E04F95">
        <w:rPr>
          <w:i/>
          <w:lang w:val="en-GB" w:eastAsia="zh-HK"/>
        </w:rPr>
        <w:t>grew strongly</w:t>
      </w:r>
      <w:r w:rsidR="00706E67" w:rsidRPr="007361D5">
        <w:rPr>
          <w:i/>
          <w:lang w:val="en-GB" w:eastAsia="zh-HK"/>
        </w:rPr>
        <w:t xml:space="preserve">.  Exports to </w:t>
      </w:r>
      <w:r w:rsidR="006C48B3" w:rsidRPr="007361D5">
        <w:rPr>
          <w:i/>
          <w:lang w:val="en-GB" w:eastAsia="zh-HK"/>
        </w:rPr>
        <w:t>the US</w:t>
      </w:r>
      <w:r w:rsidR="0084289D" w:rsidRPr="007361D5">
        <w:rPr>
          <w:i/>
          <w:lang w:val="en-GB" w:eastAsia="zh-HK"/>
        </w:rPr>
        <w:t xml:space="preserve"> </w:t>
      </w:r>
      <w:r w:rsidR="00AE66A1">
        <w:rPr>
          <w:i/>
          <w:lang w:val="en-GB" w:eastAsia="zh-HK"/>
        </w:rPr>
        <w:t>rose back</w:t>
      </w:r>
      <w:r w:rsidR="007361D5">
        <w:rPr>
          <w:i/>
          <w:lang w:val="en-GB" w:eastAsia="zh-HK"/>
        </w:rPr>
        <w:t>, while</w:t>
      </w:r>
      <w:r w:rsidR="00F77877" w:rsidRPr="007361D5">
        <w:rPr>
          <w:i/>
          <w:lang w:val="en-GB" w:eastAsia="zh-HK"/>
        </w:rPr>
        <w:t xml:space="preserve"> those </w:t>
      </w:r>
      <w:r w:rsidR="00706E67" w:rsidRPr="007361D5">
        <w:rPr>
          <w:i/>
          <w:lang w:val="en-GB" w:eastAsia="zh-HK"/>
        </w:rPr>
        <w:t>to</w:t>
      </w:r>
      <w:r w:rsidR="006C48B3" w:rsidRPr="007361D5">
        <w:rPr>
          <w:i/>
          <w:lang w:val="en-GB" w:eastAsia="zh-HK"/>
        </w:rPr>
        <w:t xml:space="preserve"> the </w:t>
      </w:r>
      <w:r w:rsidR="00661179" w:rsidRPr="00D15EA6">
        <w:rPr>
          <w:i/>
          <w:lang w:val="en-GB" w:eastAsia="zh-HK"/>
        </w:rPr>
        <w:t xml:space="preserve">European Union </w:t>
      </w:r>
      <w:r w:rsidR="00661179">
        <w:rPr>
          <w:i/>
          <w:lang w:val="en-GB" w:eastAsia="zh-HK"/>
        </w:rPr>
        <w:t>(</w:t>
      </w:r>
      <w:r w:rsidR="006C48B3" w:rsidRPr="007361D5">
        <w:rPr>
          <w:i/>
          <w:lang w:val="en-GB" w:eastAsia="zh-HK"/>
        </w:rPr>
        <w:t>EU</w:t>
      </w:r>
      <w:r w:rsidR="00661179">
        <w:rPr>
          <w:rFonts w:hint="eastAsia"/>
          <w:i/>
          <w:lang w:val="en-GB" w:eastAsia="zh-TW"/>
        </w:rPr>
        <w:t>)</w:t>
      </w:r>
      <w:r w:rsidR="007361D5">
        <w:rPr>
          <w:i/>
          <w:lang w:val="en-GB" w:eastAsia="zh-HK"/>
        </w:rPr>
        <w:t xml:space="preserve"> fell further</w:t>
      </w:r>
      <w:r w:rsidR="00C03606" w:rsidRPr="007361D5">
        <w:rPr>
          <w:i/>
          <w:lang w:val="en-GB" w:eastAsia="zh-HK"/>
        </w:rPr>
        <w:t xml:space="preserve">. </w:t>
      </w:r>
      <w:r w:rsidR="00F3725E" w:rsidRPr="007361D5">
        <w:t xml:space="preserve"> </w:t>
      </w:r>
      <w:r w:rsidR="007361D5">
        <w:rPr>
          <w:i/>
          <w:lang w:val="en-GB"/>
        </w:rPr>
        <w:t>Exports to ASEAN markets soared, while those to high-income Asian economies showed mixed performance.</w:t>
      </w:r>
    </w:p>
    <w:p w14:paraId="1CCDA8EA" w14:textId="5054A1BC" w:rsidR="00403EB0" w:rsidRPr="004C1C24" w:rsidRDefault="00F83C36" w:rsidP="00DA3797">
      <w:pPr>
        <w:pStyle w:val="BodyText"/>
        <w:numPr>
          <w:ilvl w:val="0"/>
          <w:numId w:val="1"/>
        </w:numPr>
        <w:tabs>
          <w:tab w:val="clear" w:pos="1080"/>
          <w:tab w:val="num" w:pos="840"/>
        </w:tabs>
        <w:spacing w:before="120" w:after="120" w:line="240" w:lineRule="auto"/>
        <w:ind w:right="28"/>
        <w:rPr>
          <w:i/>
          <w:lang w:val="en-GB"/>
        </w:rPr>
      </w:pPr>
      <w:r w:rsidRPr="004C1C24">
        <w:rPr>
          <w:i/>
        </w:rPr>
        <w:t xml:space="preserve">Exports of services </w:t>
      </w:r>
      <w:r w:rsidR="00DA3797">
        <w:rPr>
          <w:i/>
          <w:szCs w:val="28"/>
          <w:lang w:val="en-GB"/>
        </w:rPr>
        <w:t>continued to expand</w:t>
      </w:r>
      <w:r w:rsidR="00F032E1" w:rsidRPr="004C1C24">
        <w:rPr>
          <w:i/>
          <w:szCs w:val="28"/>
          <w:lang w:val="en-GB"/>
        </w:rPr>
        <w:t xml:space="preserve"> </w:t>
      </w:r>
      <w:r w:rsidR="006E4C52">
        <w:rPr>
          <w:i/>
          <w:szCs w:val="28"/>
          <w:lang w:val="en-GB"/>
        </w:rPr>
        <w:t xml:space="preserve">visibly </w:t>
      </w:r>
      <w:r w:rsidR="00385202" w:rsidRPr="004C1C24">
        <w:rPr>
          <w:i/>
          <w:szCs w:val="28"/>
          <w:lang w:val="en-GB"/>
        </w:rPr>
        <w:t xml:space="preserve">by </w:t>
      </w:r>
      <w:r w:rsidR="00A75DF2">
        <w:rPr>
          <w:i/>
          <w:szCs w:val="28"/>
          <w:lang w:val="en-GB"/>
        </w:rPr>
        <w:t>6</w:t>
      </w:r>
      <w:r w:rsidR="00DA3797">
        <w:rPr>
          <w:i/>
          <w:szCs w:val="28"/>
          <w:lang w:val="en-GB"/>
        </w:rPr>
        <w:t>.6</w:t>
      </w:r>
      <w:r w:rsidRPr="004C1C24">
        <w:rPr>
          <w:i/>
          <w:szCs w:val="28"/>
        </w:rPr>
        <w:t>%</w:t>
      </w:r>
      <w:r w:rsidRPr="004C1C24">
        <w:rPr>
          <w:i/>
        </w:rPr>
        <w:t xml:space="preserve"> </w:t>
      </w:r>
      <w:r w:rsidR="0083043D" w:rsidRPr="004C1C24">
        <w:rPr>
          <w:i/>
          <w:lang w:val="en-HK"/>
        </w:rPr>
        <w:t xml:space="preserve">year-on-year </w:t>
      </w:r>
      <w:r w:rsidRPr="004C1C24">
        <w:rPr>
          <w:i/>
        </w:rPr>
        <w:t xml:space="preserve">in real terms in the </w:t>
      </w:r>
      <w:r w:rsidR="004C1C24">
        <w:rPr>
          <w:i/>
          <w:lang w:val="en-GB"/>
        </w:rPr>
        <w:t>first</w:t>
      </w:r>
      <w:r w:rsidRPr="004C1C24">
        <w:rPr>
          <w:i/>
        </w:rPr>
        <w:t xml:space="preserve"> quarter.  </w:t>
      </w:r>
      <w:r w:rsidR="00F400DE" w:rsidRPr="004C1C24">
        <w:rPr>
          <w:i/>
          <w:lang w:val="en-HK" w:eastAsia="zh-TW"/>
        </w:rPr>
        <w:t xml:space="preserve">Exports </w:t>
      </w:r>
      <w:r w:rsidR="00A83518" w:rsidRPr="004C1C24">
        <w:rPr>
          <w:i/>
        </w:rPr>
        <w:t xml:space="preserve">of </w:t>
      </w:r>
      <w:r w:rsidR="00BC60F2">
        <w:rPr>
          <w:i/>
          <w:lang w:val="en-GB"/>
        </w:rPr>
        <w:t>all major service groups</w:t>
      </w:r>
      <w:r w:rsidR="00385202" w:rsidRPr="004C1C24">
        <w:rPr>
          <w:i/>
          <w:lang w:val="en-GB" w:eastAsia="zh-TW"/>
        </w:rPr>
        <w:t xml:space="preserve"> </w:t>
      </w:r>
      <w:r w:rsidR="004C1C24">
        <w:rPr>
          <w:i/>
          <w:lang w:val="en-GB" w:eastAsia="zh-TW"/>
        </w:rPr>
        <w:t>rose further</w:t>
      </w:r>
      <w:r w:rsidR="00DA3797">
        <w:rPr>
          <w:i/>
          <w:lang w:val="en-GB" w:eastAsia="zh-TW"/>
        </w:rPr>
        <w:t xml:space="preserve">, supported by </w:t>
      </w:r>
      <w:r w:rsidR="003423E1">
        <w:rPr>
          <w:i/>
          <w:lang w:val="en-GB" w:eastAsia="zh-TW"/>
        </w:rPr>
        <w:t xml:space="preserve">the further increase in visitor arrivals, growth in </w:t>
      </w:r>
      <w:proofErr w:type="gramStart"/>
      <w:r w:rsidR="003423E1">
        <w:rPr>
          <w:i/>
          <w:lang w:val="en-GB" w:eastAsia="zh-TW"/>
        </w:rPr>
        <w:t>cross</w:t>
      </w:r>
      <w:r w:rsidR="00A75DF2">
        <w:rPr>
          <w:i/>
          <w:lang w:val="en-GB" w:eastAsia="zh-TW"/>
        </w:rPr>
        <w:noBreakHyphen/>
      </w:r>
      <w:r w:rsidR="003423E1">
        <w:rPr>
          <w:i/>
          <w:lang w:val="en-GB" w:eastAsia="zh-TW"/>
        </w:rPr>
        <w:t>boundary</w:t>
      </w:r>
      <w:proofErr w:type="gramEnd"/>
      <w:r w:rsidR="003423E1">
        <w:rPr>
          <w:i/>
          <w:lang w:val="en-GB" w:eastAsia="zh-TW"/>
        </w:rPr>
        <w:t xml:space="preserve"> traffic, increase in other cross-boundary activities and buoyant local</w:t>
      </w:r>
      <w:r w:rsidR="00DA3797">
        <w:rPr>
          <w:i/>
          <w:lang w:val="en-GB" w:eastAsia="zh-TW"/>
        </w:rPr>
        <w:t xml:space="preserve"> stock market</w:t>
      </w:r>
      <w:r w:rsidR="0015596F" w:rsidRPr="004C1C24">
        <w:rPr>
          <w:i/>
          <w:lang w:val="en-GB"/>
        </w:rPr>
        <w:t>.</w:t>
      </w:r>
    </w:p>
    <w:p w14:paraId="735927B6" w14:textId="1B0FC186" w:rsidR="001D3FBB" w:rsidRPr="00BA10B5" w:rsidRDefault="00832E64" w:rsidP="00832E64">
      <w:pPr>
        <w:pStyle w:val="BodyText"/>
        <w:numPr>
          <w:ilvl w:val="0"/>
          <w:numId w:val="1"/>
        </w:numPr>
        <w:tabs>
          <w:tab w:val="clear" w:pos="1080"/>
          <w:tab w:val="num" w:pos="840"/>
        </w:tabs>
        <w:spacing w:before="120" w:after="120" w:line="240" w:lineRule="auto"/>
        <w:ind w:right="28"/>
        <w:rPr>
          <w:b/>
        </w:rPr>
      </w:pPr>
      <w:r>
        <w:rPr>
          <w:i/>
          <w:szCs w:val="28"/>
          <w:lang w:val="en-GB" w:eastAsia="zh-TW"/>
        </w:rPr>
        <w:t>The</w:t>
      </w:r>
      <w:r w:rsidR="0017170D">
        <w:rPr>
          <w:i/>
          <w:szCs w:val="28"/>
          <w:lang w:val="en-GB" w:eastAsia="zh-TW"/>
        </w:rPr>
        <w:t xml:space="preserve"> Government </w:t>
      </w:r>
      <w:r w:rsidR="004057E3">
        <w:rPr>
          <w:i/>
          <w:szCs w:val="28"/>
          <w:lang w:val="en-GB" w:eastAsia="zh-TW"/>
        </w:rPr>
        <w:t xml:space="preserve">has </w:t>
      </w:r>
      <w:r>
        <w:rPr>
          <w:i/>
          <w:szCs w:val="28"/>
          <w:lang w:val="en-GB" w:eastAsia="zh-TW"/>
        </w:rPr>
        <w:t xml:space="preserve">stepped up support for enterprises </w:t>
      </w:r>
      <w:r w:rsidRPr="0039040A">
        <w:rPr>
          <w:i/>
          <w:szCs w:val="28"/>
          <w:lang w:val="en-GB" w:eastAsia="zh-TW"/>
        </w:rPr>
        <w:t xml:space="preserve">to cope with the </w:t>
      </w:r>
      <w:r>
        <w:rPr>
          <w:i/>
          <w:szCs w:val="28"/>
          <w:lang w:val="en-GB" w:eastAsia="zh-TW"/>
        </w:rPr>
        <w:t xml:space="preserve">US tariffs and </w:t>
      </w:r>
      <w:r w:rsidR="0017170D" w:rsidRPr="0017170D">
        <w:rPr>
          <w:i/>
          <w:szCs w:val="28"/>
          <w:lang w:val="en-GB" w:eastAsia="zh-TW"/>
        </w:rPr>
        <w:t>continue</w:t>
      </w:r>
      <w:r w:rsidR="004057E3">
        <w:rPr>
          <w:i/>
          <w:szCs w:val="28"/>
          <w:lang w:val="en-GB" w:eastAsia="zh-TW"/>
        </w:rPr>
        <w:t>d</w:t>
      </w:r>
      <w:r w:rsidR="0017170D" w:rsidRPr="0017170D">
        <w:rPr>
          <w:i/>
          <w:szCs w:val="28"/>
          <w:lang w:val="en-GB" w:eastAsia="zh-TW"/>
        </w:rPr>
        <w:t xml:space="preserve"> </w:t>
      </w:r>
      <w:r w:rsidR="0017170D" w:rsidRPr="0039040A">
        <w:rPr>
          <w:i/>
          <w:szCs w:val="28"/>
          <w:lang w:val="en-GB" w:eastAsia="zh-TW"/>
        </w:rPr>
        <w:t xml:space="preserve">its efforts to bolster Hong Kong’s status as an international trade centre and a multinational supply </w:t>
      </w:r>
      <w:r w:rsidR="0017170D" w:rsidRPr="0017170D">
        <w:rPr>
          <w:i/>
          <w:szCs w:val="28"/>
          <w:lang w:val="en-GB" w:eastAsia="zh-TW"/>
        </w:rPr>
        <w:t xml:space="preserve">chain </w:t>
      </w:r>
      <w:r w:rsidR="0017170D" w:rsidRPr="0039040A">
        <w:rPr>
          <w:i/>
          <w:szCs w:val="28"/>
          <w:lang w:val="en-GB" w:eastAsia="zh-TW"/>
        </w:rPr>
        <w:t xml:space="preserve">management centre.    </w:t>
      </w:r>
      <w:r w:rsidR="001D3FBB" w:rsidRPr="0039040A">
        <w:rPr>
          <w:i/>
          <w:szCs w:val="28"/>
          <w:lang w:val="en-GB" w:eastAsia="zh-TW"/>
        </w:rPr>
        <w:br w:type="page"/>
      </w:r>
    </w:p>
    <w:p w14:paraId="1B9D4F51" w14:textId="32F16FC2" w:rsidR="007F47CE" w:rsidRPr="00B67ADE" w:rsidRDefault="004C563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Pr="00B67ADE" w:rsidRDefault="001560B6" w:rsidP="002869A8">
      <w:pPr>
        <w:tabs>
          <w:tab w:val="left" w:pos="1260"/>
        </w:tabs>
        <w:spacing w:line="360" w:lineRule="atLeast"/>
        <w:jc w:val="both"/>
        <w:rPr>
          <w:b/>
          <w:i/>
          <w:sz w:val="28"/>
        </w:rPr>
      </w:pPr>
      <w:r w:rsidRPr="00B67ADE">
        <w:rPr>
          <w:b/>
          <w:i/>
          <w:sz w:val="28"/>
        </w:rPr>
        <w:tab/>
        <w:t>External environment</w:t>
      </w:r>
    </w:p>
    <w:p w14:paraId="54A94360" w14:textId="57A83A97" w:rsidR="009472D5" w:rsidRDefault="009472D5" w:rsidP="002869A8">
      <w:pPr>
        <w:tabs>
          <w:tab w:val="left" w:pos="1260"/>
        </w:tabs>
        <w:spacing w:line="360" w:lineRule="atLeast"/>
        <w:jc w:val="both"/>
        <w:rPr>
          <w:sz w:val="28"/>
        </w:rPr>
      </w:pPr>
    </w:p>
    <w:p w14:paraId="0651C8EB" w14:textId="1F413B88" w:rsidR="00053FBC" w:rsidRPr="00BB4E43" w:rsidRDefault="00556D6F" w:rsidP="00A84ABE">
      <w:pPr>
        <w:pStyle w:val="ListParagraph"/>
        <w:numPr>
          <w:ilvl w:val="0"/>
          <w:numId w:val="6"/>
        </w:numPr>
        <w:spacing w:after="0" w:line="360" w:lineRule="atLeast"/>
        <w:ind w:leftChars="0"/>
        <w:jc w:val="both"/>
        <w:rPr>
          <w:szCs w:val="28"/>
          <w:lang w:eastAsia="zh-HK"/>
        </w:rPr>
      </w:pPr>
      <w:r>
        <w:rPr>
          <w:szCs w:val="28"/>
        </w:rPr>
        <w:t xml:space="preserve">The global economy </w:t>
      </w:r>
      <w:r w:rsidR="00F83A6A">
        <w:rPr>
          <w:szCs w:val="28"/>
        </w:rPr>
        <w:t xml:space="preserve">largely </w:t>
      </w:r>
      <w:r>
        <w:rPr>
          <w:szCs w:val="28"/>
        </w:rPr>
        <w:t>sustained steady growth</w:t>
      </w:r>
      <w:r w:rsidR="00E52B43">
        <w:rPr>
          <w:szCs w:val="28"/>
        </w:rPr>
        <w:t xml:space="preserve"> in the </w:t>
      </w:r>
      <w:r w:rsidR="000C2AFB">
        <w:rPr>
          <w:szCs w:val="28"/>
        </w:rPr>
        <w:t>first quarter of 2025</w:t>
      </w:r>
      <w:r w:rsidR="00F83A6A">
        <w:rPr>
          <w:szCs w:val="28"/>
        </w:rPr>
        <w:t>.</w:t>
      </w:r>
      <w:r w:rsidR="001E404F">
        <w:rPr>
          <w:szCs w:val="28"/>
        </w:rPr>
        <w:t xml:space="preserve">  </w:t>
      </w:r>
      <w:r w:rsidR="00AC720B" w:rsidRPr="00DE4EB4">
        <w:rPr>
          <w:szCs w:val="28"/>
        </w:rPr>
        <w:t xml:space="preserve">The Mainland economy </w:t>
      </w:r>
      <w:r w:rsidR="00A84ABE">
        <w:rPr>
          <w:szCs w:val="28"/>
        </w:rPr>
        <w:t xml:space="preserve">expanded </w:t>
      </w:r>
      <w:r w:rsidR="001E404F">
        <w:rPr>
          <w:szCs w:val="28"/>
        </w:rPr>
        <w:t>solidly</w:t>
      </w:r>
      <w:r w:rsidR="00F83A6A">
        <w:rPr>
          <w:szCs w:val="28"/>
        </w:rPr>
        <w:t>.</w:t>
      </w:r>
      <w:r w:rsidR="00DE4EB4" w:rsidRPr="00DE4EB4">
        <w:rPr>
          <w:szCs w:val="28"/>
        </w:rPr>
        <w:t xml:space="preserve"> </w:t>
      </w:r>
      <w:r w:rsidR="00F83A6A">
        <w:rPr>
          <w:szCs w:val="28"/>
        </w:rPr>
        <w:t xml:space="preserve"> T</w:t>
      </w:r>
      <w:r w:rsidR="00AC720B" w:rsidRPr="00DE4EB4">
        <w:rPr>
          <w:szCs w:val="28"/>
        </w:rPr>
        <w:t xml:space="preserve">he </w:t>
      </w:r>
      <w:r w:rsidR="009871D9">
        <w:rPr>
          <w:szCs w:val="28"/>
        </w:rPr>
        <w:t>US</w:t>
      </w:r>
      <w:r w:rsidR="009871D9" w:rsidRPr="00DE4EB4">
        <w:rPr>
          <w:szCs w:val="28"/>
        </w:rPr>
        <w:t xml:space="preserve"> </w:t>
      </w:r>
      <w:r w:rsidR="00AC720B" w:rsidRPr="00DE4EB4">
        <w:rPr>
          <w:szCs w:val="28"/>
        </w:rPr>
        <w:t>economy</w:t>
      </w:r>
      <w:r w:rsidR="00A20EBE">
        <w:rPr>
          <w:szCs w:val="28"/>
        </w:rPr>
        <w:t xml:space="preserve"> </w:t>
      </w:r>
      <w:r w:rsidR="00EB61D7">
        <w:rPr>
          <w:szCs w:val="28"/>
        </w:rPr>
        <w:t>registered a small quarter-to-quarter con</w:t>
      </w:r>
      <w:r w:rsidR="00B37195">
        <w:rPr>
          <w:szCs w:val="28"/>
        </w:rPr>
        <w:t xml:space="preserve">traction, but still turned in </w:t>
      </w:r>
      <w:r w:rsidR="00EB61D7">
        <w:rPr>
          <w:szCs w:val="28"/>
        </w:rPr>
        <w:t>decelerated year-on-year growth</w:t>
      </w:r>
      <w:r w:rsidR="00A20EBE">
        <w:rPr>
          <w:szCs w:val="28"/>
        </w:rPr>
        <w:t>.</w:t>
      </w:r>
      <w:r w:rsidR="00F83A6A">
        <w:rPr>
          <w:szCs w:val="28"/>
        </w:rPr>
        <w:t xml:space="preserve"> </w:t>
      </w:r>
      <w:r w:rsidR="00AC720B" w:rsidRPr="00DE4EB4">
        <w:rPr>
          <w:szCs w:val="28"/>
        </w:rPr>
        <w:t xml:space="preserve"> </w:t>
      </w:r>
      <w:r w:rsidR="00F83A6A">
        <w:rPr>
          <w:szCs w:val="28"/>
        </w:rPr>
        <w:t>T</w:t>
      </w:r>
      <w:r w:rsidR="00F83A6A" w:rsidRPr="00DE4EB4">
        <w:rPr>
          <w:szCs w:val="28"/>
        </w:rPr>
        <w:t xml:space="preserve">he </w:t>
      </w:r>
      <w:r w:rsidR="00AC720B" w:rsidRPr="00DE4EB4">
        <w:rPr>
          <w:szCs w:val="28"/>
        </w:rPr>
        <w:t xml:space="preserve">euro area economy </w:t>
      </w:r>
      <w:r w:rsidR="00EB61D7">
        <w:rPr>
          <w:szCs w:val="28"/>
        </w:rPr>
        <w:t>grew</w:t>
      </w:r>
      <w:r w:rsidR="005B125D" w:rsidRPr="00DE4EB4">
        <w:rPr>
          <w:szCs w:val="28"/>
        </w:rPr>
        <w:t xml:space="preserve"> </w:t>
      </w:r>
      <w:r w:rsidR="005A3C0F">
        <w:rPr>
          <w:szCs w:val="28"/>
        </w:rPr>
        <w:t>modest</w:t>
      </w:r>
      <w:r w:rsidR="00EB61D7">
        <w:rPr>
          <w:szCs w:val="28"/>
        </w:rPr>
        <w:t>ly</w:t>
      </w:r>
      <w:r w:rsidR="00AC720B" w:rsidRPr="00B93DE6">
        <w:rPr>
          <w:szCs w:val="28"/>
        </w:rPr>
        <w:t xml:space="preserve">.  </w:t>
      </w:r>
      <w:r w:rsidR="00F83A6A">
        <w:rPr>
          <w:szCs w:val="28"/>
        </w:rPr>
        <w:t>Most o</w:t>
      </w:r>
      <w:r w:rsidR="00F83A6A" w:rsidRPr="00B93DE6">
        <w:rPr>
          <w:szCs w:val="28"/>
        </w:rPr>
        <w:t xml:space="preserve">ther </w:t>
      </w:r>
      <w:r w:rsidR="00AC720B" w:rsidRPr="00B93DE6">
        <w:rPr>
          <w:szCs w:val="28"/>
        </w:rPr>
        <w:t xml:space="preserve">Asian economies </w:t>
      </w:r>
      <w:r w:rsidR="00F83A6A">
        <w:rPr>
          <w:szCs w:val="28"/>
        </w:rPr>
        <w:t xml:space="preserve">recorded further expansion in </w:t>
      </w:r>
      <w:r w:rsidR="00A84ABE">
        <w:rPr>
          <w:szCs w:val="28"/>
        </w:rPr>
        <w:t xml:space="preserve">economic </w:t>
      </w:r>
      <w:r w:rsidR="00F83A6A">
        <w:rPr>
          <w:szCs w:val="28"/>
        </w:rPr>
        <w:t>activities</w:t>
      </w:r>
      <w:r w:rsidR="00B93DE6" w:rsidRPr="00B93DE6">
        <w:rPr>
          <w:szCs w:val="28"/>
        </w:rPr>
        <w:t>.</w:t>
      </w:r>
    </w:p>
    <w:p w14:paraId="0A9431EF" w14:textId="77777777" w:rsidR="00053FBC" w:rsidRPr="00BB4E43" w:rsidRDefault="00053FBC" w:rsidP="00053FBC">
      <w:pPr>
        <w:pStyle w:val="ListParagraph"/>
        <w:spacing w:after="0" w:line="360" w:lineRule="atLeast"/>
        <w:ind w:leftChars="0" w:left="0"/>
        <w:jc w:val="both"/>
        <w:rPr>
          <w:szCs w:val="28"/>
          <w:lang w:eastAsia="zh-HK"/>
        </w:rPr>
      </w:pPr>
    </w:p>
    <w:p w14:paraId="12C996F6" w14:textId="03495C5F" w:rsidR="00800985" w:rsidRDefault="000C7445" w:rsidP="00CD163F">
      <w:pPr>
        <w:pStyle w:val="ListParagraph"/>
        <w:numPr>
          <w:ilvl w:val="0"/>
          <w:numId w:val="6"/>
        </w:numPr>
        <w:spacing w:after="0" w:line="360" w:lineRule="atLeast"/>
        <w:ind w:leftChars="0"/>
        <w:jc w:val="both"/>
        <w:rPr>
          <w:szCs w:val="28"/>
          <w:lang w:eastAsia="zh-HK"/>
        </w:rPr>
      </w:pPr>
      <w:r>
        <w:rPr>
          <w:szCs w:val="28"/>
        </w:rPr>
        <w:t>D</w:t>
      </w:r>
      <w:r w:rsidR="00F83A6A">
        <w:rPr>
          <w:szCs w:val="28"/>
        </w:rPr>
        <w:t xml:space="preserve">uring the first quarter, the </w:t>
      </w:r>
      <w:r>
        <w:rPr>
          <w:szCs w:val="28"/>
        </w:rPr>
        <w:t xml:space="preserve">new </w:t>
      </w:r>
      <w:r w:rsidR="009871D9">
        <w:rPr>
          <w:szCs w:val="28"/>
        </w:rPr>
        <w:t>US</w:t>
      </w:r>
      <w:r w:rsidR="00F83A6A">
        <w:rPr>
          <w:szCs w:val="28"/>
        </w:rPr>
        <w:t xml:space="preserve"> </w:t>
      </w:r>
      <w:r>
        <w:rPr>
          <w:szCs w:val="28"/>
        </w:rPr>
        <w:t xml:space="preserve">administration </w:t>
      </w:r>
      <w:r w:rsidR="00800985">
        <w:rPr>
          <w:szCs w:val="28"/>
        </w:rPr>
        <w:t>announced</w:t>
      </w:r>
      <w:r w:rsidR="00F83A6A">
        <w:rPr>
          <w:szCs w:val="28"/>
        </w:rPr>
        <w:t xml:space="preserve"> </w:t>
      </w:r>
      <w:r w:rsidR="00800985">
        <w:rPr>
          <w:szCs w:val="28"/>
        </w:rPr>
        <w:t xml:space="preserve">a series of </w:t>
      </w:r>
      <w:r w:rsidR="00F83A6A">
        <w:rPr>
          <w:szCs w:val="28"/>
        </w:rPr>
        <w:t>increase</w:t>
      </w:r>
      <w:r w:rsidR="009871D9">
        <w:rPr>
          <w:szCs w:val="28"/>
        </w:rPr>
        <w:t>s in</w:t>
      </w:r>
      <w:r>
        <w:rPr>
          <w:szCs w:val="28"/>
        </w:rPr>
        <w:t xml:space="preserve"> import tariffs</w:t>
      </w:r>
      <w:r w:rsidR="00800985">
        <w:rPr>
          <w:szCs w:val="28"/>
        </w:rPr>
        <w:t xml:space="preserve">, either targeting specific commodities or particular trading </w:t>
      </w:r>
      <w:proofErr w:type="gramStart"/>
      <w:r w:rsidR="00800985">
        <w:rPr>
          <w:szCs w:val="28"/>
        </w:rPr>
        <w:t>partners</w:t>
      </w:r>
      <w:r w:rsidR="002B59E4" w:rsidRPr="004057E3">
        <w:rPr>
          <w:szCs w:val="28"/>
          <w:vertAlign w:val="superscript"/>
        </w:rPr>
        <w:t>(</w:t>
      </w:r>
      <w:proofErr w:type="gramEnd"/>
      <w:r w:rsidR="00D2485D">
        <w:rPr>
          <w:szCs w:val="28"/>
          <w:vertAlign w:val="superscript"/>
        </w:rPr>
        <w:t>2</w:t>
      </w:r>
      <w:r w:rsidR="002B59E4" w:rsidRPr="004057E3">
        <w:rPr>
          <w:szCs w:val="28"/>
          <w:vertAlign w:val="superscript"/>
        </w:rPr>
        <w:t>)</w:t>
      </w:r>
      <w:r w:rsidR="004D569C" w:rsidRPr="00B62503">
        <w:rPr>
          <w:szCs w:val="28"/>
        </w:rPr>
        <w:t xml:space="preserve">.  </w:t>
      </w:r>
      <w:r w:rsidR="00800985">
        <w:rPr>
          <w:szCs w:val="28"/>
        </w:rPr>
        <w:t>In early April</w:t>
      </w:r>
      <w:r w:rsidR="009871D9">
        <w:rPr>
          <w:szCs w:val="28"/>
        </w:rPr>
        <w:t xml:space="preserve">, the US announced significant increases in import tariffs through the </w:t>
      </w:r>
      <w:r w:rsidR="002B7FF5">
        <w:rPr>
          <w:szCs w:val="28"/>
        </w:rPr>
        <w:t>so</w:t>
      </w:r>
      <w:r w:rsidR="002B7FF5">
        <w:rPr>
          <w:szCs w:val="28"/>
        </w:rPr>
        <w:noBreakHyphen/>
      </w:r>
      <w:r w:rsidR="00221912">
        <w:rPr>
          <w:szCs w:val="28"/>
        </w:rPr>
        <w:t xml:space="preserve">called </w:t>
      </w:r>
      <w:r w:rsidR="009871D9">
        <w:rPr>
          <w:szCs w:val="28"/>
        </w:rPr>
        <w:t>“reciprocal tariffs”, leading to an abrupt es</w:t>
      </w:r>
      <w:r w:rsidR="002B59E4">
        <w:rPr>
          <w:szCs w:val="28"/>
        </w:rPr>
        <w:t xml:space="preserve">calation in </w:t>
      </w:r>
      <w:r w:rsidR="003A3B9C">
        <w:rPr>
          <w:szCs w:val="28"/>
        </w:rPr>
        <w:t xml:space="preserve">global </w:t>
      </w:r>
      <w:r w:rsidR="002B59E4">
        <w:rPr>
          <w:szCs w:val="28"/>
        </w:rPr>
        <w:t>trade tensions</w:t>
      </w:r>
      <w:r w:rsidR="009871D9">
        <w:rPr>
          <w:szCs w:val="28"/>
        </w:rPr>
        <w:t>.  Specifically,</w:t>
      </w:r>
      <w:r w:rsidR="00956526" w:rsidRPr="00B62503">
        <w:rPr>
          <w:szCs w:val="28"/>
        </w:rPr>
        <w:t xml:space="preserve"> the US imposed a 10% baseline </w:t>
      </w:r>
      <w:r w:rsidR="005F6EFA">
        <w:rPr>
          <w:szCs w:val="28"/>
        </w:rPr>
        <w:t xml:space="preserve">tariff </w:t>
      </w:r>
      <w:r w:rsidR="002B59E4">
        <w:rPr>
          <w:szCs w:val="28"/>
        </w:rPr>
        <w:t xml:space="preserve">on almost all commodities and </w:t>
      </w:r>
      <w:r w:rsidR="00B62503" w:rsidRPr="00B62503">
        <w:rPr>
          <w:szCs w:val="28"/>
        </w:rPr>
        <w:t>trading partners starting from 5 April.  The full “reciprocal tariff” on each economy was</w:t>
      </w:r>
      <w:r w:rsidR="0072524B" w:rsidRPr="00B62503">
        <w:rPr>
          <w:szCs w:val="28"/>
        </w:rPr>
        <w:t xml:space="preserve"> originally </w:t>
      </w:r>
      <w:r w:rsidR="002B59E4">
        <w:rPr>
          <w:szCs w:val="28"/>
        </w:rPr>
        <w:t>scheduled</w:t>
      </w:r>
      <w:r w:rsidR="002B59E4" w:rsidRPr="00B62503">
        <w:rPr>
          <w:szCs w:val="28"/>
        </w:rPr>
        <w:t xml:space="preserve"> </w:t>
      </w:r>
      <w:r w:rsidR="0072524B" w:rsidRPr="00B62503">
        <w:rPr>
          <w:szCs w:val="28"/>
        </w:rPr>
        <w:t xml:space="preserve">to take effect on </w:t>
      </w:r>
      <w:r w:rsidR="00956526" w:rsidRPr="00B62503">
        <w:rPr>
          <w:szCs w:val="28"/>
        </w:rPr>
        <w:t xml:space="preserve">9 April, </w:t>
      </w:r>
      <w:r w:rsidR="002B59E4">
        <w:rPr>
          <w:szCs w:val="28"/>
        </w:rPr>
        <w:t>but</w:t>
      </w:r>
      <w:r w:rsidR="002B59E4" w:rsidRPr="00B62503">
        <w:rPr>
          <w:szCs w:val="28"/>
        </w:rPr>
        <w:t xml:space="preserve"> </w:t>
      </w:r>
      <w:r w:rsidR="00956526" w:rsidRPr="00B62503">
        <w:rPr>
          <w:szCs w:val="28"/>
        </w:rPr>
        <w:t xml:space="preserve">a 90-day suspension was </w:t>
      </w:r>
      <w:r w:rsidR="0025496C" w:rsidRPr="00B62503">
        <w:rPr>
          <w:szCs w:val="28"/>
        </w:rPr>
        <w:t xml:space="preserve">subsequently </w:t>
      </w:r>
      <w:r w:rsidR="00956526" w:rsidRPr="00B62503">
        <w:rPr>
          <w:szCs w:val="28"/>
        </w:rPr>
        <w:t xml:space="preserve">granted for </w:t>
      </w:r>
      <w:r w:rsidR="0072524B" w:rsidRPr="00B62503">
        <w:rPr>
          <w:szCs w:val="28"/>
        </w:rPr>
        <w:t xml:space="preserve">all </w:t>
      </w:r>
      <w:r w:rsidR="00956526" w:rsidRPr="00B62503">
        <w:rPr>
          <w:szCs w:val="28"/>
        </w:rPr>
        <w:t xml:space="preserve">trading partners except China.  Specifically for imports from China (including Hong Kong), the US increased the </w:t>
      </w:r>
      <w:r w:rsidR="003A3B9C">
        <w:rPr>
          <w:szCs w:val="28"/>
        </w:rPr>
        <w:t xml:space="preserve">additional </w:t>
      </w:r>
      <w:r w:rsidR="00956526" w:rsidRPr="00B62503">
        <w:rPr>
          <w:szCs w:val="28"/>
        </w:rPr>
        <w:t>tariff rate</w:t>
      </w:r>
      <w:r w:rsidR="0072524B" w:rsidRPr="00B62503">
        <w:rPr>
          <w:szCs w:val="28"/>
        </w:rPr>
        <w:t xml:space="preserve"> </w:t>
      </w:r>
      <w:r w:rsidR="0017314D" w:rsidRPr="00B62503">
        <w:rPr>
          <w:szCs w:val="28"/>
        </w:rPr>
        <w:t>sizably</w:t>
      </w:r>
      <w:r w:rsidR="00956526" w:rsidRPr="00B62503">
        <w:rPr>
          <w:szCs w:val="28"/>
        </w:rPr>
        <w:t xml:space="preserve"> </w:t>
      </w:r>
      <w:r w:rsidR="0072524B" w:rsidRPr="00B62503">
        <w:rPr>
          <w:szCs w:val="28"/>
        </w:rPr>
        <w:t xml:space="preserve">to 145% </w:t>
      </w:r>
      <w:r w:rsidR="00B62503" w:rsidRPr="00B62503">
        <w:rPr>
          <w:szCs w:val="28"/>
        </w:rPr>
        <w:t xml:space="preserve">in general </w:t>
      </w:r>
      <w:r w:rsidR="0017314D" w:rsidRPr="00B62503">
        <w:rPr>
          <w:szCs w:val="28"/>
        </w:rPr>
        <w:t>(including the 20% implemented earlier</w:t>
      </w:r>
      <w:r w:rsidR="002B59E4">
        <w:rPr>
          <w:szCs w:val="28"/>
        </w:rPr>
        <w:t xml:space="preserve"> in February and March</w:t>
      </w:r>
      <w:r w:rsidR="0017314D" w:rsidRPr="00B62503">
        <w:rPr>
          <w:szCs w:val="28"/>
        </w:rPr>
        <w:t xml:space="preserve">) </w:t>
      </w:r>
      <w:r w:rsidR="0072524B" w:rsidRPr="00B62503">
        <w:rPr>
          <w:szCs w:val="28"/>
        </w:rPr>
        <w:t>effective from</w:t>
      </w:r>
      <w:r w:rsidR="00956526" w:rsidRPr="00B62503">
        <w:rPr>
          <w:szCs w:val="28"/>
        </w:rPr>
        <w:t xml:space="preserve"> </w:t>
      </w:r>
      <w:r w:rsidR="004836A0" w:rsidRPr="00B62503">
        <w:rPr>
          <w:szCs w:val="28"/>
        </w:rPr>
        <w:t>10 </w:t>
      </w:r>
      <w:r w:rsidR="00956526" w:rsidRPr="00B62503">
        <w:rPr>
          <w:szCs w:val="28"/>
        </w:rPr>
        <w:t xml:space="preserve">April.  </w:t>
      </w:r>
      <w:r w:rsidR="00D7368C">
        <w:rPr>
          <w:szCs w:val="28"/>
        </w:rPr>
        <w:t xml:space="preserve"> </w:t>
      </w:r>
      <w:r w:rsidR="00CE1C34">
        <w:rPr>
          <w:szCs w:val="28"/>
        </w:rPr>
        <w:t xml:space="preserve">In addition, starting from 2 May, shipments from China (including Hong Kong) valued at or under US$800 </w:t>
      </w:r>
      <w:r w:rsidR="000F715A">
        <w:rPr>
          <w:szCs w:val="28"/>
        </w:rPr>
        <w:t>will no longer benefit from</w:t>
      </w:r>
      <w:r w:rsidR="00CE1C34">
        <w:rPr>
          <w:szCs w:val="28"/>
        </w:rPr>
        <w:t xml:space="preserve"> </w:t>
      </w:r>
      <w:r w:rsidR="000F715A">
        <w:rPr>
          <w:szCs w:val="28"/>
        </w:rPr>
        <w:t xml:space="preserve">the </w:t>
      </w:r>
      <w:r w:rsidR="00CE1C34">
        <w:rPr>
          <w:szCs w:val="28"/>
        </w:rPr>
        <w:t xml:space="preserve">duty-free de </w:t>
      </w:r>
      <w:proofErr w:type="spellStart"/>
      <w:r w:rsidR="00CE1C34">
        <w:rPr>
          <w:szCs w:val="28"/>
        </w:rPr>
        <w:t>minimis</w:t>
      </w:r>
      <w:proofErr w:type="spellEnd"/>
      <w:r w:rsidR="00CE1C34">
        <w:rPr>
          <w:szCs w:val="28"/>
        </w:rPr>
        <w:t xml:space="preserve"> exemption</w:t>
      </w:r>
      <w:r w:rsidR="00591948">
        <w:rPr>
          <w:szCs w:val="28"/>
        </w:rPr>
        <w:t xml:space="preserve">, and </w:t>
      </w:r>
      <w:r w:rsidR="001E08BE">
        <w:rPr>
          <w:szCs w:val="28"/>
        </w:rPr>
        <w:t>tariff rates</w:t>
      </w:r>
      <w:r w:rsidR="000F715A">
        <w:rPr>
          <w:szCs w:val="28"/>
        </w:rPr>
        <w:t xml:space="preserve"> on these shipments </w:t>
      </w:r>
      <w:r w:rsidR="00F2069B">
        <w:rPr>
          <w:szCs w:val="28"/>
        </w:rPr>
        <w:t xml:space="preserve">were </w:t>
      </w:r>
      <w:r w:rsidR="000F715A">
        <w:rPr>
          <w:szCs w:val="28"/>
        </w:rPr>
        <w:t xml:space="preserve">also </w:t>
      </w:r>
      <w:r w:rsidR="00F2069B">
        <w:rPr>
          <w:szCs w:val="28"/>
        </w:rPr>
        <w:t>raised</w:t>
      </w:r>
      <w:r w:rsidR="000F715A">
        <w:rPr>
          <w:szCs w:val="28"/>
        </w:rPr>
        <w:t xml:space="preserve"> significantly.  </w:t>
      </w:r>
      <w:r w:rsidR="004D569C" w:rsidRPr="00B62503">
        <w:rPr>
          <w:szCs w:val="28"/>
        </w:rPr>
        <w:t xml:space="preserve">In </w:t>
      </w:r>
      <w:r w:rsidR="00231563" w:rsidRPr="00B62503">
        <w:rPr>
          <w:szCs w:val="28"/>
        </w:rPr>
        <w:t>response</w:t>
      </w:r>
      <w:r w:rsidR="004D569C" w:rsidRPr="00B62503">
        <w:rPr>
          <w:szCs w:val="28"/>
        </w:rPr>
        <w:t xml:space="preserve">, </w:t>
      </w:r>
      <w:r w:rsidR="00692261" w:rsidRPr="00B62503">
        <w:rPr>
          <w:szCs w:val="28"/>
        </w:rPr>
        <w:t xml:space="preserve">the </w:t>
      </w:r>
      <w:r w:rsidR="004D569C" w:rsidRPr="00B62503">
        <w:rPr>
          <w:szCs w:val="28"/>
        </w:rPr>
        <w:t>Mainland</w:t>
      </w:r>
      <w:r w:rsidR="00B62503" w:rsidRPr="00B62503">
        <w:rPr>
          <w:szCs w:val="28"/>
        </w:rPr>
        <w:t xml:space="preserve"> </w:t>
      </w:r>
      <w:r w:rsidR="00692261" w:rsidRPr="00B62503">
        <w:rPr>
          <w:szCs w:val="28"/>
        </w:rPr>
        <w:t>imposed</w:t>
      </w:r>
      <w:r w:rsidR="004D569C" w:rsidRPr="00B62503">
        <w:rPr>
          <w:szCs w:val="28"/>
        </w:rPr>
        <w:t xml:space="preserve"> </w:t>
      </w:r>
      <w:r w:rsidR="00231563" w:rsidRPr="00B62503">
        <w:rPr>
          <w:szCs w:val="28"/>
        </w:rPr>
        <w:t xml:space="preserve">additional </w:t>
      </w:r>
      <w:r w:rsidR="0051145A" w:rsidRPr="00B62503">
        <w:rPr>
          <w:szCs w:val="28"/>
        </w:rPr>
        <w:t>125</w:t>
      </w:r>
      <w:r w:rsidR="00851B04" w:rsidRPr="00B62503">
        <w:rPr>
          <w:szCs w:val="28"/>
        </w:rPr>
        <w:t xml:space="preserve">% tariffs </w:t>
      </w:r>
      <w:r w:rsidR="00231563" w:rsidRPr="00B62503">
        <w:rPr>
          <w:szCs w:val="28"/>
        </w:rPr>
        <w:t>on all imports from the US</w:t>
      </w:r>
      <w:r w:rsidR="00956526" w:rsidRPr="00B62503">
        <w:rPr>
          <w:szCs w:val="28"/>
        </w:rPr>
        <w:t xml:space="preserve">, </w:t>
      </w:r>
      <w:r w:rsidR="002B7FF5">
        <w:rPr>
          <w:szCs w:val="28"/>
        </w:rPr>
        <w:t>among other counter</w:t>
      </w:r>
      <w:r w:rsidR="002B7FF5">
        <w:rPr>
          <w:szCs w:val="28"/>
        </w:rPr>
        <w:noBreakHyphen/>
      </w:r>
      <w:r w:rsidR="00692261" w:rsidRPr="00B62503">
        <w:rPr>
          <w:szCs w:val="28"/>
        </w:rPr>
        <w:t>measures</w:t>
      </w:r>
      <w:r w:rsidR="00231563" w:rsidRPr="00B62503">
        <w:rPr>
          <w:szCs w:val="28"/>
        </w:rPr>
        <w:t xml:space="preserve">.  </w:t>
      </w:r>
      <w:r w:rsidR="00692261" w:rsidRPr="0039040A">
        <w:rPr>
          <w:szCs w:val="28"/>
        </w:rPr>
        <w:t xml:space="preserve">Canada also imposed tariffs </w:t>
      </w:r>
      <w:r w:rsidR="00E62300" w:rsidRPr="0039040A">
        <w:rPr>
          <w:szCs w:val="28"/>
        </w:rPr>
        <w:t>on imports from the US</w:t>
      </w:r>
      <w:r w:rsidR="0072524B" w:rsidRPr="0039040A">
        <w:rPr>
          <w:szCs w:val="28"/>
        </w:rPr>
        <w:t xml:space="preserve"> in retaliation</w:t>
      </w:r>
      <w:r w:rsidR="00692261" w:rsidRPr="0039040A">
        <w:rPr>
          <w:szCs w:val="28"/>
        </w:rPr>
        <w:t>.</w:t>
      </w:r>
      <w:r w:rsidR="00C228B9" w:rsidRPr="00B62503">
        <w:rPr>
          <w:szCs w:val="28"/>
        </w:rPr>
        <w:t xml:space="preserve"> </w:t>
      </w:r>
      <w:r w:rsidR="002B7FF5">
        <w:rPr>
          <w:szCs w:val="28"/>
        </w:rPr>
        <w:t xml:space="preserve"> Meanwhile, t</w:t>
      </w:r>
      <w:r w:rsidR="00D95733">
        <w:rPr>
          <w:szCs w:val="28"/>
        </w:rPr>
        <w:t xml:space="preserve">he </w:t>
      </w:r>
      <w:r w:rsidR="00661179">
        <w:rPr>
          <w:szCs w:val="28"/>
        </w:rPr>
        <w:t xml:space="preserve">EU </w:t>
      </w:r>
      <w:r w:rsidR="00D95733">
        <w:rPr>
          <w:szCs w:val="28"/>
        </w:rPr>
        <w:t xml:space="preserve">originally planned to impose tariffs of mostly 25% </w:t>
      </w:r>
      <w:r w:rsidR="00D95733" w:rsidRPr="00D95733">
        <w:rPr>
          <w:szCs w:val="28"/>
        </w:rPr>
        <w:t>on US agricultural and industrial products</w:t>
      </w:r>
      <w:r w:rsidR="00D95733">
        <w:rPr>
          <w:szCs w:val="28"/>
        </w:rPr>
        <w:t xml:space="preserve">, but </w:t>
      </w:r>
      <w:r w:rsidR="00A75DF2">
        <w:rPr>
          <w:szCs w:val="28"/>
        </w:rPr>
        <w:t xml:space="preserve">later announced </w:t>
      </w:r>
      <w:r w:rsidR="00D95733">
        <w:rPr>
          <w:szCs w:val="28"/>
        </w:rPr>
        <w:t>a 90-day pause to allow for negotiations.</w:t>
      </w:r>
    </w:p>
    <w:p w14:paraId="5896BA85" w14:textId="77777777" w:rsidR="00800985" w:rsidRDefault="00800985" w:rsidP="0039040A">
      <w:pPr>
        <w:pStyle w:val="ListParagraph"/>
        <w:spacing w:after="0" w:line="360" w:lineRule="atLeast"/>
        <w:ind w:leftChars="0" w:left="0"/>
        <w:jc w:val="both"/>
        <w:rPr>
          <w:szCs w:val="28"/>
          <w:lang w:eastAsia="zh-HK"/>
        </w:rPr>
      </w:pPr>
    </w:p>
    <w:p w14:paraId="1A73C832" w14:textId="35691EBC" w:rsidR="009E274E" w:rsidRDefault="00800985" w:rsidP="00B0635B">
      <w:pPr>
        <w:pStyle w:val="ListParagraph"/>
        <w:numPr>
          <w:ilvl w:val="0"/>
          <w:numId w:val="6"/>
        </w:numPr>
        <w:tabs>
          <w:tab w:val="left" w:pos="1276"/>
        </w:tabs>
        <w:spacing w:after="0" w:line="360" w:lineRule="atLeast"/>
        <w:ind w:leftChars="0"/>
        <w:jc w:val="both"/>
        <w:rPr>
          <w:szCs w:val="28"/>
          <w:lang w:eastAsia="zh-HK"/>
        </w:rPr>
      </w:pPr>
      <w:r>
        <w:rPr>
          <w:szCs w:val="28"/>
        </w:rPr>
        <w:t>I</w:t>
      </w:r>
      <w:proofErr w:type="spellStart"/>
      <w:r w:rsidR="00BF38C1">
        <w:rPr>
          <w:szCs w:val="28"/>
          <w:lang w:val="en-US" w:eastAsia="zh-HK"/>
        </w:rPr>
        <w:t>n</w:t>
      </w:r>
      <w:proofErr w:type="spellEnd"/>
      <w:r w:rsidR="00BF38C1">
        <w:rPr>
          <w:szCs w:val="28"/>
          <w:lang w:val="en-US" w:eastAsia="zh-HK"/>
        </w:rPr>
        <w:t xml:space="preserve"> late </w:t>
      </w:r>
      <w:r w:rsidR="00B62503" w:rsidRPr="00B62503">
        <w:rPr>
          <w:szCs w:val="28"/>
          <w:lang w:val="en-US" w:eastAsia="zh-HK"/>
        </w:rPr>
        <w:t>April</w:t>
      </w:r>
      <w:r w:rsidR="00F23753" w:rsidRPr="00B62503">
        <w:rPr>
          <w:szCs w:val="28"/>
          <w:lang w:val="en-US" w:eastAsia="zh-HK"/>
        </w:rPr>
        <w:t xml:space="preserve">, </w:t>
      </w:r>
      <w:r w:rsidR="00F23753" w:rsidRPr="00B62503">
        <w:rPr>
          <w:szCs w:val="28"/>
        </w:rPr>
        <w:t xml:space="preserve">the </w:t>
      </w:r>
      <w:r w:rsidR="00661179">
        <w:rPr>
          <w:szCs w:val="28"/>
        </w:rPr>
        <w:t>International Monetary Fund (</w:t>
      </w:r>
      <w:r w:rsidR="00F23753" w:rsidRPr="00B62503">
        <w:rPr>
          <w:szCs w:val="28"/>
        </w:rPr>
        <w:t>IMF</w:t>
      </w:r>
      <w:r w:rsidR="00661179">
        <w:rPr>
          <w:szCs w:val="28"/>
        </w:rPr>
        <w:t>)</w:t>
      </w:r>
      <w:r w:rsidR="00F23753" w:rsidRPr="00B62503">
        <w:rPr>
          <w:szCs w:val="28"/>
        </w:rPr>
        <w:t xml:space="preserve"> </w:t>
      </w:r>
      <w:r w:rsidR="00B62503" w:rsidRPr="00B62503">
        <w:rPr>
          <w:szCs w:val="28"/>
        </w:rPr>
        <w:t>projected</w:t>
      </w:r>
      <w:r w:rsidR="00616C94" w:rsidRPr="00B62503">
        <w:rPr>
          <w:szCs w:val="28"/>
          <w:lang w:val="en-US" w:eastAsia="zh-HK"/>
        </w:rPr>
        <w:t xml:space="preserve"> </w:t>
      </w:r>
      <w:r w:rsidR="00F23753" w:rsidRPr="00B62503">
        <w:rPr>
          <w:szCs w:val="28"/>
        </w:rPr>
        <w:t xml:space="preserve">that global economic growth </w:t>
      </w:r>
      <w:r w:rsidR="00B62503" w:rsidRPr="00B62503">
        <w:rPr>
          <w:szCs w:val="28"/>
        </w:rPr>
        <w:t>would slow from 3.3</w:t>
      </w:r>
      <w:r w:rsidR="00F23753" w:rsidRPr="00B62503">
        <w:rPr>
          <w:szCs w:val="28"/>
        </w:rPr>
        <w:t>% in 2</w:t>
      </w:r>
      <w:r w:rsidR="00B62503" w:rsidRPr="00B62503">
        <w:rPr>
          <w:szCs w:val="28"/>
        </w:rPr>
        <w:t>024 to 2.8</w:t>
      </w:r>
      <w:r w:rsidR="00852C5D" w:rsidRPr="00B62503">
        <w:rPr>
          <w:szCs w:val="28"/>
        </w:rPr>
        <w:t xml:space="preserve">% in 2025, </w:t>
      </w:r>
      <w:r w:rsidR="00B62503" w:rsidRPr="00B62503">
        <w:rPr>
          <w:szCs w:val="28"/>
        </w:rPr>
        <w:t xml:space="preserve">a notable downgrade from their earlier forecast of 3.3% </w:t>
      </w:r>
      <w:r w:rsidR="00791A2A">
        <w:rPr>
          <w:szCs w:val="28"/>
        </w:rPr>
        <w:t xml:space="preserve">made in January </w:t>
      </w:r>
      <w:r w:rsidR="00B62503" w:rsidRPr="00B62503">
        <w:rPr>
          <w:szCs w:val="28"/>
        </w:rPr>
        <w:t>2025</w:t>
      </w:r>
      <w:r w:rsidR="007C5845" w:rsidRPr="004057E3">
        <w:rPr>
          <w:szCs w:val="28"/>
          <w:vertAlign w:val="superscript"/>
        </w:rPr>
        <w:t>(</w:t>
      </w:r>
      <w:r w:rsidR="00D2485D">
        <w:rPr>
          <w:szCs w:val="28"/>
          <w:vertAlign w:val="superscript"/>
        </w:rPr>
        <w:t>3</w:t>
      </w:r>
      <w:r w:rsidR="007C5845" w:rsidRPr="004057E3">
        <w:rPr>
          <w:szCs w:val="28"/>
          <w:vertAlign w:val="superscript"/>
        </w:rPr>
        <w:t>)</w:t>
      </w:r>
      <w:r w:rsidR="00B62503" w:rsidRPr="00B62503">
        <w:rPr>
          <w:szCs w:val="28"/>
        </w:rPr>
        <w:t xml:space="preserve">.  The IMF noted that </w:t>
      </w:r>
      <w:r w:rsidR="00F207A6">
        <w:rPr>
          <w:szCs w:val="28"/>
        </w:rPr>
        <w:t xml:space="preserve">the level of </w:t>
      </w:r>
      <w:r>
        <w:rPr>
          <w:szCs w:val="28"/>
        </w:rPr>
        <w:t>trade policy uncertainty bec</w:t>
      </w:r>
      <w:r w:rsidR="00F207A6">
        <w:rPr>
          <w:szCs w:val="28"/>
        </w:rPr>
        <w:t>ame</w:t>
      </w:r>
      <w:r>
        <w:rPr>
          <w:szCs w:val="28"/>
        </w:rPr>
        <w:t xml:space="preserve"> extremely high, and intensifying downside risks dominate</w:t>
      </w:r>
      <w:r w:rsidR="00F207A6">
        <w:rPr>
          <w:szCs w:val="28"/>
        </w:rPr>
        <w:t>d</w:t>
      </w:r>
      <w:r>
        <w:rPr>
          <w:szCs w:val="28"/>
        </w:rPr>
        <w:t xml:space="preserve"> </w:t>
      </w:r>
      <w:r w:rsidR="00B62503" w:rsidRPr="00B62503">
        <w:rPr>
          <w:szCs w:val="28"/>
        </w:rPr>
        <w:t>the global economic outlook</w:t>
      </w:r>
      <w:r w:rsidR="002B7FF5">
        <w:rPr>
          <w:szCs w:val="28"/>
        </w:rPr>
        <w:t>.</w:t>
      </w:r>
    </w:p>
    <w:p w14:paraId="71D47A4A" w14:textId="03C3F568" w:rsidR="00DF50B1" w:rsidRDefault="00DF50B1">
      <w:pPr>
        <w:widowControl/>
        <w:rPr>
          <w:kern w:val="0"/>
          <w:sz w:val="28"/>
          <w:szCs w:val="28"/>
          <w:lang w:eastAsia="zh-HK"/>
        </w:rPr>
      </w:pPr>
      <w:r>
        <w:rPr>
          <w:szCs w:val="28"/>
          <w:lang w:eastAsia="zh-HK"/>
        </w:rPr>
        <w:br w:type="page"/>
      </w:r>
    </w:p>
    <w:p w14:paraId="77666E7A" w14:textId="75E89143" w:rsidR="00596A50" w:rsidRPr="006B1E47" w:rsidRDefault="00C1034F" w:rsidP="00CD163F">
      <w:pPr>
        <w:pStyle w:val="ListParagraph"/>
        <w:numPr>
          <w:ilvl w:val="0"/>
          <w:numId w:val="6"/>
        </w:numPr>
        <w:overflowPunct w:val="0"/>
        <w:spacing w:after="0" w:line="360" w:lineRule="atLeast"/>
        <w:ind w:leftChars="0"/>
        <w:jc w:val="both"/>
        <w:rPr>
          <w:szCs w:val="28"/>
          <w:lang w:eastAsia="zh-HK"/>
        </w:rPr>
      </w:pPr>
      <w:r w:rsidRPr="00DE4EB4">
        <w:rPr>
          <w:szCs w:val="28"/>
          <w:lang w:eastAsia="zh-HK"/>
        </w:rPr>
        <w:lastRenderedPageBreak/>
        <w:t xml:space="preserve">The Mainland economy </w:t>
      </w:r>
      <w:r w:rsidR="00B0635B">
        <w:rPr>
          <w:szCs w:val="28"/>
          <w:lang w:eastAsia="zh-HK"/>
        </w:rPr>
        <w:t>expanded</w:t>
      </w:r>
      <w:r w:rsidR="00DE4EB4">
        <w:rPr>
          <w:szCs w:val="28"/>
          <w:lang w:eastAsia="zh-HK"/>
        </w:rPr>
        <w:t xml:space="preserve"> </w:t>
      </w:r>
      <w:r w:rsidR="00713E11">
        <w:rPr>
          <w:szCs w:val="28"/>
          <w:lang w:eastAsia="zh-HK"/>
        </w:rPr>
        <w:t>solidly</w:t>
      </w:r>
      <w:r w:rsidR="00F207A6">
        <w:rPr>
          <w:szCs w:val="28"/>
          <w:lang w:eastAsia="zh-HK"/>
        </w:rPr>
        <w:t xml:space="preserve"> in the first quarter</w:t>
      </w:r>
      <w:r w:rsidR="00713E11">
        <w:rPr>
          <w:szCs w:val="28"/>
          <w:lang w:eastAsia="zh-HK"/>
        </w:rPr>
        <w:t>, by 5.4</w:t>
      </w:r>
      <w:r w:rsidRPr="00DE4EB4">
        <w:rPr>
          <w:szCs w:val="28"/>
          <w:lang w:eastAsia="zh-HK"/>
        </w:rPr>
        <w:t>% over a year earlier</w:t>
      </w:r>
      <w:r w:rsidR="000B4F2D" w:rsidRPr="00DE4EB4">
        <w:rPr>
          <w:szCs w:val="28"/>
          <w:lang w:eastAsia="zh-HK"/>
        </w:rPr>
        <w:t xml:space="preserve">.  </w:t>
      </w:r>
      <w:r w:rsidR="00713E11" w:rsidRPr="00713E11">
        <w:rPr>
          <w:szCs w:val="28"/>
          <w:lang w:eastAsia="zh-HK"/>
        </w:rPr>
        <w:t xml:space="preserve">In light of </w:t>
      </w:r>
      <w:r w:rsidR="00B0635B">
        <w:rPr>
          <w:szCs w:val="28"/>
          <w:lang w:eastAsia="zh-HK"/>
        </w:rPr>
        <w:t xml:space="preserve">the </w:t>
      </w:r>
      <w:r w:rsidR="00713E11" w:rsidRPr="00713E11">
        <w:rPr>
          <w:szCs w:val="28"/>
          <w:lang w:eastAsia="zh-HK"/>
        </w:rPr>
        <w:t xml:space="preserve">challenging external environment, the Government Work Report delivered in March </w:t>
      </w:r>
      <w:r w:rsidR="00BB49E4">
        <w:rPr>
          <w:szCs w:val="28"/>
          <w:lang w:eastAsia="zh-HK"/>
        </w:rPr>
        <w:t xml:space="preserve">set the growth target at around 5%, and </w:t>
      </w:r>
      <w:r w:rsidR="00713E11" w:rsidRPr="00713E11">
        <w:rPr>
          <w:szCs w:val="28"/>
          <w:lang w:eastAsia="zh-HK"/>
        </w:rPr>
        <w:t xml:space="preserve">called for a more proactive fiscal policy and accommodative monetary policy to strengthen domestic demand and ensure steady economic growth.  The fiscal deficit-to-GDP ratio </w:t>
      </w:r>
      <w:r w:rsidR="00F207A6">
        <w:rPr>
          <w:szCs w:val="28"/>
          <w:lang w:eastAsia="zh-HK"/>
        </w:rPr>
        <w:t>will be</w:t>
      </w:r>
      <w:r w:rsidR="00F207A6" w:rsidRPr="00713E11">
        <w:rPr>
          <w:szCs w:val="28"/>
          <w:lang w:eastAsia="zh-HK"/>
        </w:rPr>
        <w:t xml:space="preserve"> </w:t>
      </w:r>
      <w:r w:rsidR="00713E11" w:rsidRPr="00713E11">
        <w:rPr>
          <w:szCs w:val="28"/>
          <w:lang w:eastAsia="zh-HK"/>
        </w:rPr>
        <w:t xml:space="preserve">increased to 4.0% in 2025, up from 3.0% in 2024.  </w:t>
      </w:r>
      <w:r w:rsidR="00F207A6">
        <w:rPr>
          <w:szCs w:val="28"/>
          <w:lang w:eastAsia="zh-HK"/>
        </w:rPr>
        <w:t>The</w:t>
      </w:r>
      <w:r w:rsidR="00713E11" w:rsidRPr="00713E11">
        <w:rPr>
          <w:szCs w:val="28"/>
          <w:lang w:eastAsia="zh-HK"/>
        </w:rPr>
        <w:t xml:space="preserve"> issuance of ultra-long special treasury bonds and local government bonds </w:t>
      </w:r>
      <w:r w:rsidR="00F207A6">
        <w:rPr>
          <w:szCs w:val="28"/>
          <w:lang w:eastAsia="zh-HK"/>
        </w:rPr>
        <w:t xml:space="preserve">will also increase </w:t>
      </w:r>
      <w:r w:rsidR="00713E11" w:rsidRPr="00713E11">
        <w:rPr>
          <w:szCs w:val="28"/>
          <w:lang w:eastAsia="zh-HK"/>
        </w:rPr>
        <w:t>this year, along with the ex</w:t>
      </w:r>
      <w:r w:rsidR="00B40111">
        <w:rPr>
          <w:szCs w:val="28"/>
          <w:lang w:eastAsia="zh-HK"/>
        </w:rPr>
        <w:t>pansion of consumer goods trade</w:t>
      </w:r>
      <w:r w:rsidR="00B40111">
        <w:rPr>
          <w:szCs w:val="28"/>
          <w:lang w:eastAsia="zh-HK"/>
        </w:rPr>
        <w:noBreakHyphen/>
      </w:r>
      <w:r w:rsidR="00713E11" w:rsidRPr="00713E11">
        <w:rPr>
          <w:szCs w:val="28"/>
          <w:lang w:eastAsia="zh-HK"/>
        </w:rPr>
        <w:t xml:space="preserve">ins programme.  </w:t>
      </w:r>
      <w:r w:rsidR="00713E11" w:rsidRPr="00ED5CDA">
        <w:rPr>
          <w:szCs w:val="28"/>
          <w:lang w:eastAsia="zh-HK"/>
        </w:rPr>
        <w:t>These should help boost consumption and investment.  In</w:t>
      </w:r>
      <w:r w:rsidR="00CF4DEC">
        <w:rPr>
          <w:szCs w:val="28"/>
          <w:lang w:eastAsia="zh-HK"/>
        </w:rPr>
        <w:t xml:space="preserve"> </w:t>
      </w:r>
      <w:r w:rsidR="00681B2D">
        <w:rPr>
          <w:szCs w:val="28"/>
          <w:lang w:eastAsia="zh-HK"/>
        </w:rPr>
        <w:t>April</w:t>
      </w:r>
      <w:r w:rsidR="00713E11" w:rsidRPr="00ED5CDA">
        <w:rPr>
          <w:szCs w:val="28"/>
          <w:lang w:eastAsia="zh-HK"/>
        </w:rPr>
        <w:t xml:space="preserve">, the Central </w:t>
      </w:r>
      <w:proofErr w:type="spellStart"/>
      <w:r w:rsidR="00713E11" w:rsidRPr="00ED5CDA">
        <w:rPr>
          <w:szCs w:val="28"/>
          <w:lang w:eastAsia="zh-HK"/>
        </w:rPr>
        <w:t>Huijin</w:t>
      </w:r>
      <w:proofErr w:type="spellEnd"/>
      <w:r w:rsidR="00713E11" w:rsidRPr="00ED5CDA">
        <w:rPr>
          <w:szCs w:val="28"/>
          <w:lang w:eastAsia="zh-HK"/>
        </w:rPr>
        <w:t xml:space="preserve"> Investment announced to increase holdings in exchange-traded funds, supported by the provision of funds through relending as needed, as pledged by the People’s Bank of China.</w:t>
      </w:r>
      <w:r w:rsidR="002B7FF5">
        <w:rPr>
          <w:szCs w:val="28"/>
          <w:lang w:eastAsia="zh-HK"/>
        </w:rPr>
        <w:t xml:space="preserve">  </w:t>
      </w:r>
      <w:r w:rsidR="00BB49E4" w:rsidRPr="00BB49E4">
        <w:rPr>
          <w:szCs w:val="28"/>
          <w:lang w:eastAsia="zh-HK"/>
        </w:rPr>
        <w:t>The Politburo meeting held in late April stressed the importance of stabilising employment, businesses, markets, and expectations.</w:t>
      </w:r>
      <w:r w:rsidR="00681B2D">
        <w:rPr>
          <w:szCs w:val="28"/>
          <w:lang w:eastAsia="zh-HK"/>
        </w:rPr>
        <w:t xml:space="preserve">  </w:t>
      </w:r>
      <w:r w:rsidR="00CD163F">
        <w:rPr>
          <w:szCs w:val="28"/>
          <w:lang w:eastAsia="zh-HK"/>
        </w:rPr>
        <w:t>The a</w:t>
      </w:r>
      <w:r w:rsidR="00681B2D" w:rsidRPr="00681B2D">
        <w:rPr>
          <w:szCs w:val="28"/>
          <w:lang w:eastAsia="zh-HK"/>
        </w:rPr>
        <w:t xml:space="preserve">uthorities introduced </w:t>
      </w:r>
      <w:r w:rsidR="00CD163F">
        <w:rPr>
          <w:szCs w:val="28"/>
          <w:lang w:eastAsia="zh-HK"/>
        </w:rPr>
        <w:t xml:space="preserve">a series of </w:t>
      </w:r>
      <w:r w:rsidR="00681B2D" w:rsidRPr="00681B2D">
        <w:rPr>
          <w:szCs w:val="28"/>
          <w:lang w:eastAsia="zh-HK"/>
        </w:rPr>
        <w:t>measures</w:t>
      </w:r>
      <w:r w:rsidR="00CD163F">
        <w:rPr>
          <w:szCs w:val="28"/>
        </w:rPr>
        <w:t xml:space="preserve"> after the meeting</w:t>
      </w:r>
      <w:r w:rsidR="00681B2D" w:rsidRPr="00681B2D">
        <w:rPr>
          <w:szCs w:val="28"/>
          <w:lang w:eastAsia="zh-HK"/>
        </w:rPr>
        <w:t>, including lowering the policy interest rate and the reserve requirement ratios for financial institutions.</w:t>
      </w:r>
    </w:p>
    <w:p w14:paraId="13A38EBD" w14:textId="77777777" w:rsidR="006B1E47" w:rsidRDefault="006B1E47" w:rsidP="006B1E47">
      <w:pPr>
        <w:pStyle w:val="ListParagraph"/>
        <w:spacing w:after="0" w:line="360" w:lineRule="atLeast"/>
        <w:ind w:leftChars="0" w:left="0"/>
        <w:jc w:val="both"/>
        <w:rPr>
          <w:szCs w:val="28"/>
          <w:lang w:eastAsia="zh-HK"/>
        </w:rPr>
      </w:pPr>
    </w:p>
    <w:p w14:paraId="2FEC3C95" w14:textId="7B72C700" w:rsidR="00E6767C" w:rsidRPr="00426091" w:rsidRDefault="00102403" w:rsidP="00AA6006">
      <w:pPr>
        <w:pStyle w:val="ListParagraph"/>
        <w:numPr>
          <w:ilvl w:val="0"/>
          <w:numId w:val="6"/>
        </w:numPr>
        <w:spacing w:after="0" w:line="360" w:lineRule="atLeast"/>
        <w:ind w:leftChars="0"/>
        <w:jc w:val="both"/>
        <w:rPr>
          <w:szCs w:val="28"/>
          <w:lang w:eastAsia="zh-HK"/>
        </w:rPr>
      </w:pPr>
      <w:r w:rsidRPr="00426091">
        <w:rPr>
          <w:szCs w:val="28"/>
          <w:lang w:eastAsia="zh-HK"/>
        </w:rPr>
        <w:t xml:space="preserve">As </w:t>
      </w:r>
      <w:r w:rsidR="00097E83" w:rsidRPr="00426091">
        <w:rPr>
          <w:szCs w:val="28"/>
          <w:lang w:eastAsia="zh-HK"/>
        </w:rPr>
        <w:t>for</w:t>
      </w:r>
      <w:r w:rsidR="00596A50" w:rsidRPr="00426091">
        <w:rPr>
          <w:szCs w:val="28"/>
          <w:lang w:eastAsia="zh-HK"/>
        </w:rPr>
        <w:t xml:space="preserve"> the advanced economies, </w:t>
      </w:r>
      <w:r w:rsidR="00596A50" w:rsidRPr="00B103E2">
        <w:rPr>
          <w:lang w:eastAsia="zh-HK"/>
        </w:rPr>
        <w:t xml:space="preserve">the US economy </w:t>
      </w:r>
      <w:r w:rsidR="00A20EBE">
        <w:rPr>
          <w:lang w:eastAsia="zh-HK"/>
        </w:rPr>
        <w:t xml:space="preserve">contracted </w:t>
      </w:r>
      <w:r w:rsidR="00161105" w:rsidRPr="00B103E2">
        <w:rPr>
          <w:lang w:eastAsia="zh-HK"/>
        </w:rPr>
        <w:t xml:space="preserve">by </w:t>
      </w:r>
      <w:r w:rsidR="00A20EBE">
        <w:rPr>
          <w:lang w:eastAsia="zh-HK"/>
        </w:rPr>
        <w:t>0.3</w:t>
      </w:r>
      <w:r w:rsidR="00374967" w:rsidRPr="00B103E2">
        <w:rPr>
          <w:lang w:eastAsia="zh-HK"/>
        </w:rPr>
        <w:t xml:space="preserve">% </w:t>
      </w:r>
      <w:r w:rsidR="00E751F5" w:rsidRPr="00B103E2">
        <w:rPr>
          <w:lang w:eastAsia="zh-HK"/>
        </w:rPr>
        <w:t xml:space="preserve">in the </w:t>
      </w:r>
      <w:r w:rsidR="00B103E2" w:rsidRPr="00B103E2">
        <w:rPr>
          <w:lang w:eastAsia="zh-HK"/>
        </w:rPr>
        <w:t>first</w:t>
      </w:r>
      <w:r w:rsidR="00E751F5" w:rsidRPr="00B103E2">
        <w:rPr>
          <w:lang w:eastAsia="zh-HK"/>
        </w:rPr>
        <w:t xml:space="preserve"> quarter </w:t>
      </w:r>
      <w:r w:rsidR="00374967" w:rsidRPr="00B103E2">
        <w:rPr>
          <w:lang w:eastAsia="zh-HK"/>
        </w:rPr>
        <w:t>o</w:t>
      </w:r>
      <w:r w:rsidR="000E17DD" w:rsidRPr="00B103E2">
        <w:rPr>
          <w:lang w:eastAsia="zh-HK"/>
        </w:rPr>
        <w:t>n a</w:t>
      </w:r>
      <w:r w:rsidR="00161105" w:rsidRPr="00B103E2">
        <w:rPr>
          <w:lang w:eastAsia="zh-HK"/>
        </w:rPr>
        <w:t xml:space="preserve">n annualised </w:t>
      </w:r>
      <w:r w:rsidR="000E17DD" w:rsidRPr="00B103E2">
        <w:rPr>
          <w:lang w:eastAsia="zh-HK"/>
        </w:rPr>
        <w:t>seasonally</w:t>
      </w:r>
      <w:r w:rsidR="000E17DD" w:rsidRPr="00B103E2">
        <w:rPr>
          <w:lang w:eastAsia="zh-HK"/>
        </w:rPr>
        <w:noBreakHyphen/>
      </w:r>
      <w:r w:rsidR="0030180E" w:rsidRPr="00B103E2">
        <w:rPr>
          <w:lang w:eastAsia="zh-HK"/>
        </w:rPr>
        <w:t>adjusted quarter</w:t>
      </w:r>
      <w:r w:rsidR="0030180E" w:rsidRPr="00B103E2">
        <w:rPr>
          <w:lang w:eastAsia="zh-HK"/>
        </w:rPr>
        <w:noBreakHyphen/>
        <w:t>to</w:t>
      </w:r>
      <w:r w:rsidR="0030180E" w:rsidRPr="00B103E2">
        <w:rPr>
          <w:lang w:eastAsia="zh-HK"/>
        </w:rPr>
        <w:noBreakHyphen/>
      </w:r>
      <w:r w:rsidR="00374967" w:rsidRPr="00B103E2">
        <w:rPr>
          <w:lang w:eastAsia="zh-HK"/>
        </w:rPr>
        <w:t>quarter basis</w:t>
      </w:r>
      <w:r w:rsidR="00161105" w:rsidRPr="00B103E2">
        <w:rPr>
          <w:lang w:eastAsia="zh-HK"/>
        </w:rPr>
        <w:t>,</w:t>
      </w:r>
      <w:r w:rsidR="00A20EBE">
        <w:rPr>
          <w:lang w:eastAsia="zh-HK"/>
        </w:rPr>
        <w:t xml:space="preserve"> </w:t>
      </w:r>
      <w:r w:rsidR="008031CC">
        <w:rPr>
          <w:lang w:eastAsia="zh-HK"/>
        </w:rPr>
        <w:t>mainly reflecting a surge in</w:t>
      </w:r>
      <w:r w:rsidR="00A20EBE">
        <w:rPr>
          <w:lang w:eastAsia="zh-HK"/>
        </w:rPr>
        <w:t xml:space="preserve"> imports </w:t>
      </w:r>
      <w:r w:rsidR="00E85AE2">
        <w:rPr>
          <w:lang w:eastAsia="zh-HK"/>
        </w:rPr>
        <w:t xml:space="preserve">of goods </w:t>
      </w:r>
      <w:r w:rsidR="00A20EBE">
        <w:rPr>
          <w:lang w:eastAsia="zh-HK"/>
        </w:rPr>
        <w:t xml:space="preserve">in anticipation of </w:t>
      </w:r>
      <w:r w:rsidR="00EB6799">
        <w:rPr>
          <w:lang w:eastAsia="zh-HK"/>
        </w:rPr>
        <w:t>further</w:t>
      </w:r>
      <w:r w:rsidR="00A20EBE">
        <w:rPr>
          <w:lang w:eastAsia="zh-HK"/>
        </w:rPr>
        <w:t xml:space="preserve"> tariff hikes</w:t>
      </w:r>
      <w:r w:rsidR="008031CC">
        <w:rPr>
          <w:lang w:eastAsia="zh-HK"/>
        </w:rPr>
        <w:t xml:space="preserve"> and slower growth in personal consumption expenditures</w:t>
      </w:r>
      <w:r w:rsidR="00161105" w:rsidRPr="00B103E2">
        <w:rPr>
          <w:lang w:eastAsia="zh-HK"/>
        </w:rPr>
        <w:t>.</w:t>
      </w:r>
      <w:r w:rsidR="00EB61D7">
        <w:rPr>
          <w:lang w:eastAsia="zh-HK"/>
        </w:rPr>
        <w:t xml:space="preserve">  On a year-on-year comparison, the US economy saw decelerated growth of 2.0%.</w:t>
      </w:r>
      <w:r w:rsidR="00B103E2">
        <w:rPr>
          <w:lang w:eastAsia="zh-HK"/>
        </w:rPr>
        <w:t xml:space="preserve">  </w:t>
      </w:r>
      <w:r w:rsidR="00F207A6">
        <w:rPr>
          <w:lang w:eastAsia="zh-HK"/>
        </w:rPr>
        <w:t xml:space="preserve">Consumer price inflation climbed down somewhat, but still </w:t>
      </w:r>
      <w:r w:rsidR="00473534" w:rsidRPr="00973801">
        <w:rPr>
          <w:lang w:eastAsia="zh-HK"/>
        </w:rPr>
        <w:t>above the Fed</w:t>
      </w:r>
      <w:r w:rsidR="000C50D4">
        <w:rPr>
          <w:lang w:eastAsia="zh-HK"/>
        </w:rPr>
        <w:t>eral Reserve</w:t>
      </w:r>
      <w:r w:rsidR="004531C6">
        <w:rPr>
          <w:lang w:eastAsia="zh-HK"/>
        </w:rPr>
        <w:t xml:space="preserve"> (Fed)</w:t>
      </w:r>
      <w:r w:rsidR="00473534" w:rsidRPr="00973801">
        <w:rPr>
          <w:lang w:eastAsia="zh-HK"/>
        </w:rPr>
        <w:t>’s target</w:t>
      </w:r>
      <w:r w:rsidR="00426091">
        <w:rPr>
          <w:lang w:eastAsia="zh-HK"/>
        </w:rPr>
        <w:t xml:space="preserve"> of 2%</w:t>
      </w:r>
      <w:r w:rsidR="00F207A6">
        <w:rPr>
          <w:lang w:eastAsia="zh-HK"/>
        </w:rPr>
        <w:t>.</w:t>
      </w:r>
      <w:r w:rsidR="00426091">
        <w:rPr>
          <w:lang w:eastAsia="zh-HK"/>
        </w:rPr>
        <w:t xml:space="preserve"> </w:t>
      </w:r>
      <w:r w:rsidR="00F207A6">
        <w:rPr>
          <w:lang w:eastAsia="zh-HK"/>
        </w:rPr>
        <w:t xml:space="preserve"> T</w:t>
      </w:r>
      <w:r w:rsidR="00426091">
        <w:rPr>
          <w:lang w:eastAsia="zh-HK"/>
        </w:rPr>
        <w:t xml:space="preserve">he labour market </w:t>
      </w:r>
      <w:r w:rsidR="00F207A6">
        <w:rPr>
          <w:lang w:eastAsia="zh-HK"/>
        </w:rPr>
        <w:t>w</w:t>
      </w:r>
      <w:r w:rsidR="00AA6006">
        <w:rPr>
          <w:lang w:eastAsia="zh-HK"/>
        </w:rPr>
        <w:t>as</w:t>
      </w:r>
      <w:r w:rsidR="00F207A6">
        <w:rPr>
          <w:lang w:eastAsia="zh-HK"/>
        </w:rPr>
        <w:t xml:space="preserve"> </w:t>
      </w:r>
      <w:r w:rsidR="00426091">
        <w:rPr>
          <w:lang w:eastAsia="zh-HK"/>
        </w:rPr>
        <w:t>generally steady</w:t>
      </w:r>
      <w:r w:rsidR="00F207A6">
        <w:rPr>
          <w:lang w:eastAsia="zh-HK"/>
        </w:rPr>
        <w:t>.  As such,</w:t>
      </w:r>
      <w:r w:rsidR="00F207A6" w:rsidRPr="00973801">
        <w:rPr>
          <w:lang w:eastAsia="zh-HK"/>
        </w:rPr>
        <w:t xml:space="preserve"> </w:t>
      </w:r>
      <w:r w:rsidR="001356D0" w:rsidRPr="00973801">
        <w:rPr>
          <w:lang w:eastAsia="zh-HK"/>
        </w:rPr>
        <w:t>t</w:t>
      </w:r>
      <w:r w:rsidR="00CD7044" w:rsidRPr="00973801">
        <w:rPr>
          <w:lang w:eastAsia="zh-HK"/>
        </w:rPr>
        <w:t xml:space="preserve">he </w:t>
      </w:r>
      <w:r w:rsidR="00473534" w:rsidRPr="00973801">
        <w:rPr>
          <w:lang w:eastAsia="zh-HK"/>
        </w:rPr>
        <w:t>Fed</w:t>
      </w:r>
      <w:r w:rsidR="00CD7044" w:rsidRPr="00973801">
        <w:rPr>
          <w:lang w:eastAsia="zh-HK"/>
        </w:rPr>
        <w:t xml:space="preserve"> </w:t>
      </w:r>
      <w:r w:rsidR="00400E1B" w:rsidRPr="00426091">
        <w:rPr>
          <w:szCs w:val="28"/>
          <w:lang w:eastAsia="zh-HK"/>
        </w:rPr>
        <w:t>kept</w:t>
      </w:r>
      <w:r w:rsidR="00327527" w:rsidRPr="00426091">
        <w:rPr>
          <w:szCs w:val="28"/>
          <w:lang w:eastAsia="zh-HK"/>
        </w:rPr>
        <w:t xml:space="preserve"> the target range for the federal funds rate </w:t>
      </w:r>
      <w:r w:rsidR="00400E1B" w:rsidRPr="00426091">
        <w:rPr>
          <w:szCs w:val="28"/>
          <w:lang w:eastAsia="zh-HK"/>
        </w:rPr>
        <w:t>unchanged</w:t>
      </w:r>
      <w:r w:rsidR="00DD385D" w:rsidRPr="00426091">
        <w:rPr>
          <w:szCs w:val="28"/>
          <w:lang w:eastAsia="zh-HK"/>
        </w:rPr>
        <w:t xml:space="preserve"> </w:t>
      </w:r>
      <w:r w:rsidR="00400E1B" w:rsidRPr="00426091">
        <w:rPr>
          <w:szCs w:val="28"/>
          <w:lang w:eastAsia="zh-HK"/>
        </w:rPr>
        <w:t>during the quarter</w:t>
      </w:r>
      <w:r w:rsidR="002B0F74" w:rsidRPr="00426091">
        <w:rPr>
          <w:szCs w:val="28"/>
          <w:lang w:eastAsia="zh-HK"/>
        </w:rPr>
        <w:t xml:space="preserve">, </w:t>
      </w:r>
      <w:r w:rsidR="00426091" w:rsidRPr="00426091">
        <w:rPr>
          <w:szCs w:val="28"/>
          <w:lang w:eastAsia="zh-HK"/>
        </w:rPr>
        <w:t>and continued to reduce the size of its balance sheet though at a slower pace</w:t>
      </w:r>
      <w:r w:rsidR="00327527" w:rsidRPr="00400E1B">
        <w:rPr>
          <w:lang w:eastAsia="zh-HK"/>
        </w:rPr>
        <w:t>.</w:t>
      </w:r>
      <w:r w:rsidR="002B0F74" w:rsidRPr="00400E1B">
        <w:rPr>
          <w:lang w:eastAsia="zh-HK"/>
        </w:rPr>
        <w:t xml:space="preserve">  </w:t>
      </w:r>
      <w:r w:rsidR="00D2485D">
        <w:rPr>
          <w:lang w:eastAsia="zh-HK"/>
        </w:rPr>
        <w:t>Reflecting the uncertaint</w:t>
      </w:r>
      <w:r w:rsidR="004057E3">
        <w:rPr>
          <w:lang w:eastAsia="zh-HK"/>
        </w:rPr>
        <w:t>ies</w:t>
      </w:r>
      <w:r w:rsidR="00D2485D">
        <w:rPr>
          <w:lang w:eastAsia="zh-HK"/>
        </w:rPr>
        <w:t xml:space="preserve"> in trade and monetary polic</w:t>
      </w:r>
      <w:r w:rsidR="00AA6006">
        <w:rPr>
          <w:lang w:eastAsia="zh-HK"/>
        </w:rPr>
        <w:t>ies</w:t>
      </w:r>
      <w:r w:rsidR="007C3303">
        <w:rPr>
          <w:lang w:eastAsia="zh-HK"/>
        </w:rPr>
        <w:t xml:space="preserve"> following the announcement of “reciprocal tariffs” in early April</w:t>
      </w:r>
      <w:r w:rsidR="00D2485D">
        <w:rPr>
          <w:lang w:eastAsia="zh-HK"/>
        </w:rPr>
        <w:t xml:space="preserve">, sentiment among </w:t>
      </w:r>
      <w:r w:rsidR="00AA6006">
        <w:rPr>
          <w:lang w:eastAsia="zh-HK"/>
        </w:rPr>
        <w:t xml:space="preserve">US </w:t>
      </w:r>
      <w:r w:rsidR="00D2485D">
        <w:rPr>
          <w:lang w:eastAsia="zh-HK"/>
        </w:rPr>
        <w:t>consumers and enterprises weakened visibly in recent months.</w:t>
      </w:r>
      <w:r w:rsidR="000B7935">
        <w:rPr>
          <w:lang w:eastAsia="zh-HK"/>
        </w:rPr>
        <w:t xml:space="preserve">  </w:t>
      </w:r>
      <w:r w:rsidR="0050677C">
        <w:rPr>
          <w:lang w:eastAsia="zh-HK"/>
        </w:rPr>
        <w:t>Meanwhile, i</w:t>
      </w:r>
      <w:r w:rsidR="00473534" w:rsidRPr="00473534">
        <w:rPr>
          <w:lang w:eastAsia="zh-HK"/>
        </w:rPr>
        <w:t>n t</w:t>
      </w:r>
      <w:r w:rsidR="009A7F22" w:rsidRPr="00473534">
        <w:rPr>
          <w:lang w:eastAsia="zh-HK"/>
        </w:rPr>
        <w:t>he</w:t>
      </w:r>
      <w:r w:rsidR="005031F9" w:rsidRPr="00473534">
        <w:rPr>
          <w:lang w:eastAsia="zh-HK"/>
        </w:rPr>
        <w:t xml:space="preserve"> </w:t>
      </w:r>
      <w:r w:rsidR="00473534" w:rsidRPr="00473534">
        <w:rPr>
          <w:lang w:eastAsia="zh-HK"/>
        </w:rPr>
        <w:t>euro area, the</w:t>
      </w:r>
      <w:r w:rsidR="00576C25" w:rsidRPr="00473534">
        <w:rPr>
          <w:lang w:eastAsia="zh-HK"/>
        </w:rPr>
        <w:t xml:space="preserve"> </w:t>
      </w:r>
      <w:r w:rsidR="00D917D9" w:rsidRPr="00473534">
        <w:rPr>
          <w:lang w:eastAsia="zh-HK"/>
        </w:rPr>
        <w:t xml:space="preserve">economy </w:t>
      </w:r>
      <w:r w:rsidR="00473534" w:rsidRPr="00473534">
        <w:rPr>
          <w:lang w:eastAsia="zh-HK"/>
        </w:rPr>
        <w:t xml:space="preserve">recorded </w:t>
      </w:r>
      <w:r w:rsidR="005A3C0F">
        <w:rPr>
          <w:lang w:eastAsia="zh-HK"/>
        </w:rPr>
        <w:t xml:space="preserve">modest </w:t>
      </w:r>
      <w:r w:rsidR="00473534" w:rsidRPr="00473534">
        <w:rPr>
          <w:lang w:eastAsia="zh-HK"/>
        </w:rPr>
        <w:t>growth of</w:t>
      </w:r>
      <w:r w:rsidR="008F3708" w:rsidRPr="00473534">
        <w:rPr>
          <w:lang w:eastAsia="zh-HK"/>
        </w:rPr>
        <w:t xml:space="preserve"> </w:t>
      </w:r>
      <w:r w:rsidR="00CF693B" w:rsidRPr="00473534">
        <w:rPr>
          <w:lang w:eastAsia="zh-HK"/>
        </w:rPr>
        <w:t>0.</w:t>
      </w:r>
      <w:r w:rsidR="005A3C0F">
        <w:rPr>
          <w:lang w:eastAsia="zh-HK"/>
        </w:rPr>
        <w:t>4</w:t>
      </w:r>
      <w:r w:rsidR="00327527" w:rsidRPr="00473534">
        <w:rPr>
          <w:lang w:eastAsia="zh-HK"/>
        </w:rPr>
        <w:t>%</w:t>
      </w:r>
      <w:r w:rsidR="009E70C2" w:rsidRPr="00473534">
        <w:rPr>
          <w:lang w:eastAsia="zh-HK"/>
        </w:rPr>
        <w:t xml:space="preserve"> on a</w:t>
      </w:r>
      <w:r w:rsidR="00D917D9" w:rsidRPr="00473534">
        <w:rPr>
          <w:lang w:eastAsia="zh-HK"/>
        </w:rPr>
        <w:t xml:space="preserve"> </w:t>
      </w:r>
      <w:r w:rsidR="009E70C2" w:rsidRPr="00473534">
        <w:rPr>
          <w:lang w:eastAsia="zh-HK"/>
        </w:rPr>
        <w:t>seasonally</w:t>
      </w:r>
      <w:r w:rsidR="00CB24BA" w:rsidRPr="00473534">
        <w:rPr>
          <w:lang w:eastAsia="zh-HK"/>
        </w:rPr>
        <w:noBreakHyphen/>
      </w:r>
      <w:r w:rsidR="009E70C2" w:rsidRPr="00473534">
        <w:rPr>
          <w:lang w:eastAsia="zh-HK"/>
        </w:rPr>
        <w:t>adjusted basis</w:t>
      </w:r>
      <w:r w:rsidR="00923B6E" w:rsidRPr="00473534">
        <w:rPr>
          <w:lang w:eastAsia="zh-HK"/>
        </w:rPr>
        <w:t xml:space="preserve"> </w:t>
      </w:r>
      <w:r w:rsidR="008F3708" w:rsidRPr="00473534">
        <w:rPr>
          <w:lang w:eastAsia="zh-HK"/>
        </w:rPr>
        <w:t xml:space="preserve">in the </w:t>
      </w:r>
      <w:r w:rsidR="00473534" w:rsidRPr="00473534">
        <w:rPr>
          <w:lang w:eastAsia="zh-HK"/>
        </w:rPr>
        <w:t>first</w:t>
      </w:r>
      <w:r w:rsidR="008F3708" w:rsidRPr="00473534">
        <w:rPr>
          <w:lang w:eastAsia="zh-HK"/>
        </w:rPr>
        <w:t xml:space="preserve"> quarter </w:t>
      </w:r>
      <w:r w:rsidR="00923B6E" w:rsidRPr="00473534">
        <w:rPr>
          <w:lang w:eastAsia="zh-HK"/>
        </w:rPr>
        <w:t>over the preceding quarter</w:t>
      </w:r>
      <w:r w:rsidR="00D917D9" w:rsidRPr="00473534">
        <w:rPr>
          <w:lang w:eastAsia="zh-HK"/>
        </w:rPr>
        <w:t xml:space="preserve">. </w:t>
      </w:r>
      <w:r w:rsidR="004A3C21" w:rsidRPr="00473534">
        <w:rPr>
          <w:lang w:eastAsia="zh-HK"/>
        </w:rPr>
        <w:t xml:space="preserve"> </w:t>
      </w:r>
      <w:r w:rsidR="00DE7844">
        <w:rPr>
          <w:lang w:eastAsia="zh-HK"/>
        </w:rPr>
        <w:t xml:space="preserve">On a year-on-year basis, </w:t>
      </w:r>
      <w:r w:rsidR="004A31E4">
        <w:rPr>
          <w:lang w:eastAsia="zh-HK"/>
        </w:rPr>
        <w:t xml:space="preserve">the euro area economy grew by </w:t>
      </w:r>
      <w:r w:rsidR="005A3C0F">
        <w:rPr>
          <w:lang w:eastAsia="zh-HK"/>
        </w:rPr>
        <w:t>1.2</w:t>
      </w:r>
      <w:r w:rsidR="004A31E4">
        <w:rPr>
          <w:lang w:eastAsia="zh-HK"/>
        </w:rPr>
        <w:t xml:space="preserve">%.  </w:t>
      </w:r>
      <w:r w:rsidR="00DC7519">
        <w:rPr>
          <w:lang w:eastAsia="zh-HK"/>
        </w:rPr>
        <w:t>T</w:t>
      </w:r>
      <w:r w:rsidR="00141FF7" w:rsidRPr="00426091">
        <w:rPr>
          <w:szCs w:val="28"/>
          <w:lang w:eastAsia="zh-HK"/>
        </w:rPr>
        <w:t xml:space="preserve">he </w:t>
      </w:r>
      <w:r w:rsidR="00661179">
        <w:rPr>
          <w:szCs w:val="28"/>
          <w:lang w:eastAsia="zh-HK"/>
        </w:rPr>
        <w:t>European Central Bank (</w:t>
      </w:r>
      <w:r w:rsidR="002C6278" w:rsidRPr="00426091">
        <w:rPr>
          <w:lang w:eastAsia="zh-HK"/>
        </w:rPr>
        <w:t>ECB</w:t>
      </w:r>
      <w:r w:rsidR="00661179">
        <w:rPr>
          <w:lang w:eastAsia="zh-HK"/>
        </w:rPr>
        <w:t>)</w:t>
      </w:r>
      <w:r w:rsidR="000F32C3" w:rsidRPr="00426091">
        <w:rPr>
          <w:lang w:eastAsia="zh-HK"/>
        </w:rPr>
        <w:t xml:space="preserve"> </w:t>
      </w:r>
      <w:r w:rsidR="00C236AB" w:rsidRPr="00426091">
        <w:rPr>
          <w:szCs w:val="28"/>
          <w:lang w:eastAsia="zh-HK"/>
        </w:rPr>
        <w:t>cut</w:t>
      </w:r>
      <w:r w:rsidR="00715CE6" w:rsidRPr="00426091">
        <w:rPr>
          <w:szCs w:val="28"/>
          <w:lang w:eastAsia="zh-HK"/>
        </w:rPr>
        <w:t xml:space="preserve"> </w:t>
      </w:r>
      <w:r w:rsidR="00C86BE0" w:rsidRPr="00426091">
        <w:rPr>
          <w:szCs w:val="28"/>
          <w:lang w:eastAsia="zh-HK"/>
        </w:rPr>
        <w:t xml:space="preserve">interest </w:t>
      </w:r>
      <w:r w:rsidR="00141FF7" w:rsidRPr="00426091">
        <w:rPr>
          <w:szCs w:val="28"/>
          <w:lang w:eastAsia="zh-HK"/>
        </w:rPr>
        <w:t>rates</w:t>
      </w:r>
      <w:r w:rsidR="002C6278" w:rsidRPr="00426091">
        <w:rPr>
          <w:szCs w:val="28"/>
          <w:lang w:eastAsia="zh-HK"/>
        </w:rPr>
        <w:t xml:space="preserve"> further</w:t>
      </w:r>
      <w:r w:rsidR="00141FF7" w:rsidRPr="00426091">
        <w:rPr>
          <w:szCs w:val="28"/>
          <w:lang w:eastAsia="zh-HK"/>
        </w:rPr>
        <w:t xml:space="preserve"> </w:t>
      </w:r>
      <w:r w:rsidR="00C236AB" w:rsidRPr="00426091">
        <w:rPr>
          <w:szCs w:val="28"/>
          <w:lang w:eastAsia="zh-HK"/>
        </w:rPr>
        <w:t xml:space="preserve">in </w:t>
      </w:r>
      <w:r w:rsidR="00B17C33">
        <w:rPr>
          <w:szCs w:val="28"/>
          <w:lang w:eastAsia="zh-HK"/>
        </w:rPr>
        <w:t xml:space="preserve">February, </w:t>
      </w:r>
      <w:r w:rsidR="00426091" w:rsidRPr="00426091">
        <w:rPr>
          <w:szCs w:val="28"/>
          <w:lang w:eastAsia="zh-HK"/>
        </w:rPr>
        <w:t xml:space="preserve">March </w:t>
      </w:r>
      <w:r w:rsidR="00B17C33">
        <w:rPr>
          <w:szCs w:val="28"/>
          <w:lang w:eastAsia="zh-HK"/>
        </w:rPr>
        <w:t xml:space="preserve">and April </w:t>
      </w:r>
      <w:r w:rsidR="00DA631D" w:rsidRPr="00426091">
        <w:rPr>
          <w:szCs w:val="28"/>
          <w:lang w:eastAsia="zh-HK"/>
        </w:rPr>
        <w:t>by 25 basis points each</w:t>
      </w:r>
      <w:r w:rsidR="00DC7519">
        <w:rPr>
          <w:szCs w:val="28"/>
          <w:lang w:eastAsia="zh-HK"/>
        </w:rPr>
        <w:t xml:space="preserve">, as </w:t>
      </w:r>
      <w:r w:rsidR="00DC7519">
        <w:rPr>
          <w:lang w:eastAsia="zh-HK"/>
        </w:rPr>
        <w:t>inflation generally continued its downward trend</w:t>
      </w:r>
      <w:r w:rsidR="003C6687">
        <w:rPr>
          <w:lang w:eastAsia="zh-HK"/>
        </w:rPr>
        <w:t xml:space="preserve"> and </w:t>
      </w:r>
      <w:r w:rsidR="00ED5CDA">
        <w:rPr>
          <w:lang w:eastAsia="zh-HK"/>
        </w:rPr>
        <w:t xml:space="preserve">was only slightly above </w:t>
      </w:r>
      <w:r w:rsidR="009204DD">
        <w:rPr>
          <w:lang w:eastAsia="zh-HK"/>
        </w:rPr>
        <w:t>the ECB’s target</w:t>
      </w:r>
      <w:r w:rsidR="00CF0CC0" w:rsidRPr="00426091">
        <w:rPr>
          <w:szCs w:val="28"/>
          <w:lang w:eastAsia="zh-HK"/>
        </w:rPr>
        <w:t>.</w:t>
      </w:r>
    </w:p>
    <w:p w14:paraId="402455CE" w14:textId="1296363E" w:rsidR="00E6228B" w:rsidRDefault="00E6228B">
      <w:pPr>
        <w:widowControl/>
        <w:rPr>
          <w:kern w:val="0"/>
          <w:sz w:val="28"/>
          <w:szCs w:val="22"/>
        </w:rPr>
      </w:pPr>
      <w:r>
        <w:br w:type="page"/>
      </w:r>
    </w:p>
    <w:p w14:paraId="4D26EBE9" w14:textId="51851A84" w:rsidR="00B3593F" w:rsidRDefault="00D2485D" w:rsidP="00CC6A8B">
      <w:pPr>
        <w:pStyle w:val="ListParagraph"/>
        <w:numPr>
          <w:ilvl w:val="0"/>
          <w:numId w:val="6"/>
        </w:numPr>
        <w:spacing w:after="0" w:line="360" w:lineRule="atLeast"/>
        <w:ind w:leftChars="0"/>
        <w:jc w:val="both"/>
        <w:rPr>
          <w:szCs w:val="28"/>
          <w:lang w:eastAsia="zh-HK"/>
        </w:rPr>
      </w:pPr>
      <w:r>
        <w:rPr>
          <w:szCs w:val="28"/>
          <w:lang w:eastAsia="zh-HK"/>
        </w:rPr>
        <w:lastRenderedPageBreak/>
        <w:t>Most o</w:t>
      </w:r>
      <w:r w:rsidRPr="00DC7519">
        <w:rPr>
          <w:szCs w:val="28"/>
          <w:lang w:eastAsia="zh-HK"/>
        </w:rPr>
        <w:t xml:space="preserve">ther </w:t>
      </w:r>
      <w:r w:rsidR="009054EA" w:rsidRPr="00DC7519">
        <w:rPr>
          <w:szCs w:val="28"/>
          <w:lang w:eastAsia="zh-HK"/>
        </w:rPr>
        <w:t xml:space="preserve">Asian economies </w:t>
      </w:r>
      <w:r>
        <w:rPr>
          <w:szCs w:val="28"/>
          <w:lang w:eastAsia="zh-HK"/>
        </w:rPr>
        <w:t xml:space="preserve">recorded further expansion in </w:t>
      </w:r>
      <w:r w:rsidR="00F35E5C">
        <w:rPr>
          <w:szCs w:val="28"/>
          <w:lang w:eastAsia="zh-HK"/>
        </w:rPr>
        <w:t xml:space="preserve">economic </w:t>
      </w:r>
      <w:r>
        <w:rPr>
          <w:szCs w:val="28"/>
          <w:lang w:eastAsia="zh-HK"/>
        </w:rPr>
        <w:t>activit</w:t>
      </w:r>
      <w:r w:rsidR="00F35E5C">
        <w:rPr>
          <w:szCs w:val="28"/>
          <w:lang w:eastAsia="zh-HK"/>
        </w:rPr>
        <w:t>ies</w:t>
      </w:r>
      <w:r w:rsidR="00713E11">
        <w:rPr>
          <w:szCs w:val="28"/>
          <w:lang w:eastAsia="zh-HK"/>
        </w:rPr>
        <w:t xml:space="preserve"> </w:t>
      </w:r>
      <w:r w:rsidR="0025558A" w:rsidRPr="00DC7519">
        <w:rPr>
          <w:szCs w:val="28"/>
          <w:lang w:eastAsia="zh-HK"/>
        </w:rPr>
        <w:t xml:space="preserve">in the </w:t>
      </w:r>
      <w:r w:rsidR="00B103E2" w:rsidRPr="00DC7519">
        <w:rPr>
          <w:szCs w:val="28"/>
          <w:lang w:eastAsia="zh-HK"/>
        </w:rPr>
        <w:t>first</w:t>
      </w:r>
      <w:r w:rsidR="007838A4" w:rsidRPr="00DC7519">
        <w:rPr>
          <w:szCs w:val="28"/>
          <w:lang w:eastAsia="zh-HK"/>
        </w:rPr>
        <w:t xml:space="preserve"> quarter</w:t>
      </w:r>
      <w:r w:rsidR="00DC7519">
        <w:rPr>
          <w:szCs w:val="28"/>
          <w:lang w:eastAsia="zh-HK"/>
        </w:rPr>
        <w:t xml:space="preserve">, </w:t>
      </w:r>
      <w:r>
        <w:rPr>
          <w:szCs w:val="28"/>
          <w:lang w:eastAsia="zh-HK"/>
        </w:rPr>
        <w:t>and their external trade saw solid growth in general</w:t>
      </w:r>
      <w:r w:rsidR="007838A4" w:rsidRPr="00DC7519">
        <w:rPr>
          <w:szCs w:val="28"/>
          <w:lang w:eastAsia="zh-HK"/>
        </w:rPr>
        <w:t xml:space="preserve">.  </w:t>
      </w:r>
      <w:r w:rsidR="00713E11" w:rsidRPr="00713E11">
        <w:rPr>
          <w:szCs w:val="28"/>
          <w:lang w:eastAsia="zh-HK"/>
        </w:rPr>
        <w:t>With inflationary pressures broadly contained, many regional economies lower</w:t>
      </w:r>
      <w:r w:rsidR="002F737E">
        <w:rPr>
          <w:szCs w:val="28"/>
          <w:lang w:eastAsia="zh-HK"/>
        </w:rPr>
        <w:t>ed</w:t>
      </w:r>
      <w:r w:rsidR="00713E11" w:rsidRPr="00713E11">
        <w:rPr>
          <w:szCs w:val="28"/>
          <w:lang w:eastAsia="zh-HK"/>
        </w:rPr>
        <w:t xml:space="preserve"> their policy rates during the quarter.  Entering the second quarter, faced with a weakened economic outlook amid escalating trade tensions, the central banks of Singapore, India and the Philippines eased their monetary policies to support growth</w:t>
      </w:r>
      <w:r w:rsidR="00120DF5">
        <w:rPr>
          <w:szCs w:val="28"/>
          <w:lang w:eastAsia="zh-HK"/>
        </w:rPr>
        <w:t xml:space="preserve"> (</w:t>
      </w:r>
      <w:r w:rsidR="008B5378">
        <w:rPr>
          <w:szCs w:val="28"/>
          <w:lang w:eastAsia="zh-HK"/>
        </w:rPr>
        <w:t xml:space="preserve">see </w:t>
      </w:r>
      <w:r w:rsidR="00120DF5" w:rsidRPr="00B37195">
        <w:rPr>
          <w:b/>
          <w:i/>
          <w:szCs w:val="28"/>
          <w:lang w:eastAsia="zh-HK"/>
        </w:rPr>
        <w:t>Box 2.1</w:t>
      </w:r>
      <w:r w:rsidR="00120DF5">
        <w:rPr>
          <w:szCs w:val="28"/>
          <w:lang w:eastAsia="zh-HK"/>
        </w:rPr>
        <w:t>)</w:t>
      </w:r>
      <w:r w:rsidR="00713E11" w:rsidRPr="00713E11">
        <w:rPr>
          <w:szCs w:val="28"/>
          <w:lang w:eastAsia="zh-HK"/>
        </w:rPr>
        <w:t>.</w:t>
      </w:r>
      <w:r w:rsidR="00713E11">
        <w:rPr>
          <w:szCs w:val="28"/>
          <w:lang w:eastAsia="zh-HK"/>
        </w:rPr>
        <w:t xml:space="preserve">  </w:t>
      </w:r>
      <w:r w:rsidR="00EB61D7">
        <w:rPr>
          <w:szCs w:val="28"/>
          <w:lang w:eastAsia="zh-HK"/>
        </w:rPr>
        <w:t xml:space="preserve">Yet, the </w:t>
      </w:r>
      <w:r w:rsidR="002F737E" w:rsidRPr="00713E11">
        <w:rPr>
          <w:szCs w:val="28"/>
          <w:lang w:eastAsia="zh-HK"/>
        </w:rPr>
        <w:t xml:space="preserve">Bank of Japan </w:t>
      </w:r>
      <w:r w:rsidR="002F737E">
        <w:rPr>
          <w:szCs w:val="28"/>
          <w:lang w:eastAsia="zh-HK"/>
        </w:rPr>
        <w:t xml:space="preserve">kept its </w:t>
      </w:r>
      <w:r w:rsidR="002F737E" w:rsidRPr="00713E11">
        <w:rPr>
          <w:szCs w:val="28"/>
          <w:lang w:eastAsia="zh-HK"/>
        </w:rPr>
        <w:t xml:space="preserve">key interest rate </w:t>
      </w:r>
      <w:r w:rsidR="002F737E">
        <w:rPr>
          <w:szCs w:val="28"/>
          <w:lang w:eastAsia="zh-HK"/>
        </w:rPr>
        <w:t xml:space="preserve">unchanged </w:t>
      </w:r>
      <w:r w:rsidR="00723FEA">
        <w:rPr>
          <w:szCs w:val="28"/>
          <w:lang w:eastAsia="zh-HK"/>
        </w:rPr>
        <w:t xml:space="preserve">in May </w:t>
      </w:r>
      <w:r w:rsidR="002F737E">
        <w:rPr>
          <w:szCs w:val="28"/>
          <w:lang w:eastAsia="zh-HK"/>
        </w:rPr>
        <w:t xml:space="preserve">after the hike </w:t>
      </w:r>
      <w:r w:rsidR="002F737E" w:rsidRPr="00713E11">
        <w:rPr>
          <w:szCs w:val="28"/>
          <w:lang w:eastAsia="zh-HK"/>
        </w:rPr>
        <w:t>in January</w:t>
      </w:r>
      <w:r w:rsidR="00EB61D7">
        <w:rPr>
          <w:szCs w:val="28"/>
          <w:lang w:eastAsia="zh-HK"/>
        </w:rPr>
        <w:t xml:space="preserve"> as inflation in Japan stayed well above its target, notwithstanding the increased downward pressure on its economic outlook</w:t>
      </w:r>
      <w:r w:rsidR="002F737E" w:rsidRPr="00713E11">
        <w:rPr>
          <w:szCs w:val="28"/>
          <w:lang w:eastAsia="zh-HK"/>
        </w:rPr>
        <w:t>.</w:t>
      </w:r>
    </w:p>
    <w:p w14:paraId="14330284" w14:textId="12C26BE3" w:rsidR="00AB1744" w:rsidRDefault="00AB1744">
      <w:pPr>
        <w:widowControl/>
        <w:rPr>
          <w:szCs w:val="28"/>
          <w:lang w:eastAsia="zh-HK"/>
        </w:rPr>
      </w:pPr>
      <w:r>
        <w:rPr>
          <w:szCs w:val="28"/>
          <w:lang w:eastAsia="zh-HK"/>
        </w:rPr>
        <w:br w:type="page"/>
      </w:r>
    </w:p>
    <w:p w14:paraId="56628E2D" w14:textId="28A917F1" w:rsidR="00AB1744" w:rsidRDefault="00AB1744" w:rsidP="00AB1744">
      <w:pPr>
        <w:pStyle w:val="BodyText"/>
        <w:tabs>
          <w:tab w:val="clear" w:pos="1080"/>
          <w:tab w:val="left" w:pos="1260"/>
        </w:tabs>
        <w:spacing w:line="360" w:lineRule="atLeast"/>
        <w:ind w:right="26"/>
        <w:rPr>
          <w:b/>
          <w:lang w:val="en-HK" w:eastAsia="zh-HK"/>
        </w:rPr>
      </w:pPr>
      <w:r w:rsidRPr="0042315D">
        <w:rPr>
          <w:b/>
          <w:noProof/>
          <w:lang w:val="en-GB" w:eastAsia="zh-CN"/>
        </w:rPr>
        <w:lastRenderedPageBreak/>
        <mc:AlternateContent>
          <mc:Choice Requires="wps">
            <w:drawing>
              <wp:anchor distT="0" distB="0" distL="114300" distR="114300" simplePos="0" relativeHeight="251659264" behindDoc="1" locked="0" layoutInCell="1" allowOverlap="1" wp14:anchorId="1A1E8EA0" wp14:editId="4C46DC0C">
                <wp:simplePos x="0" y="0"/>
                <wp:positionH relativeFrom="margin">
                  <wp:posOffset>-215900</wp:posOffset>
                </wp:positionH>
                <wp:positionV relativeFrom="paragraph">
                  <wp:posOffset>-22225</wp:posOffset>
                </wp:positionV>
                <wp:extent cx="6174000" cy="9568800"/>
                <wp:effectExtent l="0" t="0" r="17780" b="13970"/>
                <wp:wrapNone/>
                <wp:docPr id="16"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568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4991F" id="矩形 17" o:spid="_x0000_s1026" style="position:absolute;margin-left:-17pt;margin-top:-1.75pt;width:486.15pt;height:753.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">
                <w10:wrap anchorx="margin"/>
              </v:rect>
            </w:pict>
          </mc:Fallback>
        </mc:AlternateContent>
      </w:r>
      <w:r>
        <w:rPr>
          <w:b/>
          <w:kern w:val="2"/>
          <w:sz w:val="24"/>
          <w:szCs w:val="24"/>
          <w:lang w:val="en-GB" w:eastAsia="zh-TW"/>
        </w:rPr>
        <w:t>Box 2.1</w:t>
      </w:r>
    </w:p>
    <w:p w14:paraId="1DF52832" w14:textId="77777777" w:rsidR="00AB1744" w:rsidRPr="0042315D" w:rsidRDefault="00AB1744" w:rsidP="00AB1744">
      <w:pPr>
        <w:spacing w:before="120" w:after="120"/>
        <w:jc w:val="center"/>
        <w:rPr>
          <w:b/>
        </w:rPr>
      </w:pPr>
      <w:r>
        <w:rPr>
          <w:b/>
        </w:rPr>
        <w:t>Financial conditions of selected Asian economies</w:t>
      </w:r>
    </w:p>
    <w:p w14:paraId="6113C374" w14:textId="77777777" w:rsidR="00AB1744" w:rsidRPr="00965F85" w:rsidRDefault="00AB1744" w:rsidP="00AB1744">
      <w:pPr>
        <w:overflowPunct w:val="0"/>
        <w:spacing w:afterLines="30" w:after="108" w:line="280" w:lineRule="exact"/>
        <w:jc w:val="both"/>
        <w:rPr>
          <w:lang w:eastAsia="zh-HK"/>
        </w:rPr>
      </w:pPr>
      <w:r w:rsidRPr="00965F85">
        <w:rPr>
          <w:lang w:eastAsia="zh-HK"/>
        </w:rPr>
        <w:t xml:space="preserve">Historically, the </w:t>
      </w:r>
      <w:r>
        <w:rPr>
          <w:lang w:eastAsia="zh-HK"/>
        </w:rPr>
        <w:t>US Federal Reserve (</w:t>
      </w:r>
      <w:r w:rsidRPr="00965F85">
        <w:rPr>
          <w:lang w:eastAsia="zh-HK"/>
        </w:rPr>
        <w:t>Fed</w:t>
      </w:r>
      <w:r>
        <w:rPr>
          <w:lang w:eastAsia="zh-HK"/>
        </w:rPr>
        <w:t>)</w:t>
      </w:r>
      <w:r w:rsidRPr="00965F85">
        <w:rPr>
          <w:lang w:eastAsia="zh-HK"/>
        </w:rPr>
        <w:t xml:space="preserve">’s monetary policy decisions </w:t>
      </w:r>
      <w:r>
        <w:rPr>
          <w:lang w:eastAsia="zh-HK"/>
        </w:rPr>
        <w:t xml:space="preserve">have a significant bearing on </w:t>
      </w:r>
      <w:r w:rsidRPr="00965F85">
        <w:rPr>
          <w:lang w:eastAsia="zh-HK"/>
        </w:rPr>
        <w:t xml:space="preserve">the financial conditions in </w:t>
      </w:r>
      <w:r w:rsidRPr="00C64544">
        <w:rPr>
          <w:lang w:eastAsia="zh-HK"/>
        </w:rPr>
        <w:t>Asian economies</w:t>
      </w:r>
      <w:r w:rsidRPr="00965F85">
        <w:rPr>
          <w:lang w:eastAsia="zh-HK"/>
        </w:rPr>
        <w:t xml:space="preserve"> </w:t>
      </w:r>
      <w:r>
        <w:rPr>
          <w:lang w:eastAsia="zh-HK"/>
        </w:rPr>
        <w:t xml:space="preserve">through triggering </w:t>
      </w:r>
      <w:r w:rsidRPr="00965F85">
        <w:rPr>
          <w:lang w:eastAsia="zh-HK"/>
        </w:rPr>
        <w:t>capital reversals</w:t>
      </w:r>
      <w:r>
        <w:rPr>
          <w:lang w:eastAsia="zh-HK"/>
        </w:rPr>
        <w:t>,</w:t>
      </w:r>
      <w:r w:rsidRPr="00965F85">
        <w:rPr>
          <w:lang w:eastAsia="zh-HK"/>
        </w:rPr>
        <w:t xml:space="preserve"> as risk appetite shifts amid changing government bond yield</w:t>
      </w:r>
      <w:r>
        <w:rPr>
          <w:lang w:eastAsia="zh-HK"/>
        </w:rPr>
        <w:t xml:space="preserve"> differential</w:t>
      </w:r>
      <w:r w:rsidRPr="00965F85">
        <w:rPr>
          <w:lang w:eastAsia="zh-HK"/>
        </w:rPr>
        <w:t xml:space="preserve">s </w:t>
      </w:r>
      <w:r>
        <w:rPr>
          <w:lang w:eastAsia="zh-HK"/>
        </w:rPr>
        <w:t>with</w:t>
      </w:r>
      <w:r w:rsidRPr="00965F85">
        <w:rPr>
          <w:lang w:eastAsia="zh-HK"/>
        </w:rPr>
        <w:t xml:space="preserve"> advanced economies.</w:t>
      </w:r>
      <w:r>
        <w:rPr>
          <w:lang w:eastAsia="zh-HK"/>
        </w:rPr>
        <w:t xml:space="preserve">  Since 2022, g</w:t>
      </w:r>
      <w:r w:rsidRPr="00A81331">
        <w:rPr>
          <w:lang w:eastAsia="zh-HK"/>
        </w:rPr>
        <w:t xml:space="preserve">lobal financial conditions tightened notably along with pervasive monetary policy tightening led by the Fed’s successive interest rate hikes.  </w:t>
      </w:r>
      <w:r>
        <w:rPr>
          <w:lang w:eastAsia="zh-HK"/>
        </w:rPr>
        <w:t xml:space="preserve">Many central banks in Asia then had to navigate complex monetary policies to balance post-pandemic economic recovery while managing inflationary pressures.  The weakened economic outlook following the escalation of global trade tensions of late has prompted further monetary easing in the </w:t>
      </w:r>
      <w:r w:rsidRPr="0036337E">
        <w:rPr>
          <w:lang w:eastAsia="zh-HK"/>
        </w:rPr>
        <w:t>externally-oriented Asian economies</w:t>
      </w:r>
      <w:r w:rsidRPr="003F0867">
        <w:rPr>
          <w:lang w:eastAsia="zh-HK"/>
        </w:rPr>
        <w:t>.</w:t>
      </w:r>
      <w:r w:rsidRPr="00965F85">
        <w:rPr>
          <w:lang w:eastAsia="zh-HK"/>
        </w:rPr>
        <w:t xml:space="preserve">  This </w:t>
      </w:r>
      <w:r>
        <w:rPr>
          <w:lang w:eastAsia="zh-HK"/>
        </w:rPr>
        <w:t>article</w:t>
      </w:r>
      <w:r w:rsidRPr="00965F85">
        <w:rPr>
          <w:lang w:eastAsia="zh-HK"/>
        </w:rPr>
        <w:t xml:space="preserve"> reviews the latest financial conditions in selected Asian economies</w:t>
      </w:r>
      <w:r w:rsidRPr="00F40076">
        <w:rPr>
          <w:vertAlign w:val="superscript"/>
          <w:lang w:eastAsia="zh-HK"/>
        </w:rPr>
        <w:t>(</w:t>
      </w:r>
      <w:r w:rsidRPr="00F40076">
        <w:rPr>
          <w:vertAlign w:val="superscript"/>
          <w:lang w:eastAsia="zh-HK"/>
        </w:rPr>
        <w:footnoteReference w:id="2"/>
      </w:r>
      <w:r w:rsidRPr="00F40076">
        <w:rPr>
          <w:vertAlign w:val="superscript"/>
          <w:lang w:eastAsia="zh-HK"/>
        </w:rPr>
        <w:t>)</w:t>
      </w:r>
      <w:r>
        <w:rPr>
          <w:lang w:eastAsia="zh-HK"/>
        </w:rPr>
        <w:t>, focusing on four key areas: (</w:t>
      </w:r>
      <w:proofErr w:type="spellStart"/>
      <w:r>
        <w:rPr>
          <w:lang w:eastAsia="zh-HK"/>
        </w:rPr>
        <w:t>i</w:t>
      </w:r>
      <w:proofErr w:type="spellEnd"/>
      <w:r>
        <w:rPr>
          <w:lang w:eastAsia="zh-HK"/>
        </w:rPr>
        <w:t>) monetary interest rates, reflecting central banks’ policy stances and affecting the costs of funding as well as capital flows; (ii) equity market performance, indicating investor sentiment and risk appetite; (iii) exchange rate movements, affecting trade competitiveness and external debt burdens; and (iv) 10-year local currency government bond spreads against the US Treasuries, measuring sovereign risk premiums</w:t>
      </w:r>
      <w:r w:rsidRPr="00965F85">
        <w:rPr>
          <w:lang w:eastAsia="zh-HK"/>
        </w:rPr>
        <w:t>.</w:t>
      </w:r>
    </w:p>
    <w:p w14:paraId="4E3E294F" w14:textId="77777777" w:rsidR="00AB1744" w:rsidRPr="00965F85" w:rsidRDefault="00AB1744" w:rsidP="00AB1744">
      <w:pPr>
        <w:overflowPunct w:val="0"/>
        <w:snapToGrid w:val="0"/>
        <w:spacing w:before="240" w:afterLines="30" w:after="108" w:line="280" w:lineRule="exact"/>
        <w:jc w:val="both"/>
        <w:rPr>
          <w:lang w:eastAsia="zh-HK"/>
        </w:rPr>
      </w:pPr>
      <w:r>
        <w:rPr>
          <w:lang w:eastAsia="zh-HK"/>
        </w:rPr>
        <w:t xml:space="preserve">Following the Fed’s successive interest rate hikes since March 2022, regional </w:t>
      </w:r>
      <w:r>
        <w:rPr>
          <w:rFonts w:hint="eastAsia"/>
          <w:lang w:eastAsia="zh-HK"/>
        </w:rPr>
        <w:t>i</w:t>
      </w:r>
      <w:r w:rsidRPr="00965F85">
        <w:rPr>
          <w:rFonts w:hint="eastAsia"/>
          <w:lang w:eastAsia="zh-HK"/>
        </w:rPr>
        <w:t>nflati</w:t>
      </w:r>
      <w:r>
        <w:rPr>
          <w:lang w:eastAsia="zh-HK"/>
        </w:rPr>
        <w:t>o</w:t>
      </w:r>
      <w:r w:rsidRPr="00965F85">
        <w:rPr>
          <w:rFonts w:hint="eastAsia"/>
          <w:lang w:eastAsia="zh-HK"/>
        </w:rPr>
        <w:t xml:space="preserve">nary pressures </w:t>
      </w:r>
      <w:r w:rsidRPr="00965F85">
        <w:rPr>
          <w:lang w:eastAsia="zh-HK"/>
        </w:rPr>
        <w:t xml:space="preserve">have </w:t>
      </w:r>
      <w:r w:rsidRPr="00965F85">
        <w:rPr>
          <w:rFonts w:hint="eastAsia"/>
          <w:lang w:eastAsia="zh-HK"/>
        </w:rPr>
        <w:t xml:space="preserve">generally </w:t>
      </w:r>
      <w:r w:rsidRPr="00965F85">
        <w:rPr>
          <w:lang w:eastAsia="zh-HK"/>
        </w:rPr>
        <w:t>receded</w:t>
      </w:r>
      <w:r w:rsidRPr="00965F85">
        <w:rPr>
          <w:rFonts w:hint="eastAsia"/>
          <w:lang w:eastAsia="zh-HK"/>
        </w:rPr>
        <w:t xml:space="preserve">, with consumer price inflation </w:t>
      </w:r>
      <w:r>
        <w:rPr>
          <w:lang w:eastAsia="zh-HK"/>
        </w:rPr>
        <w:t>in the selected Asian economies</w:t>
      </w:r>
      <w:r w:rsidRPr="00965F85">
        <w:rPr>
          <w:lang w:eastAsia="zh-HK"/>
        </w:rPr>
        <w:t xml:space="preserve"> fall</w:t>
      </w:r>
      <w:r>
        <w:rPr>
          <w:lang w:eastAsia="zh-HK"/>
        </w:rPr>
        <w:t>ing</w:t>
      </w:r>
      <w:r>
        <w:rPr>
          <w:rFonts w:hint="eastAsia"/>
          <w:lang w:eastAsia="zh-HK"/>
        </w:rPr>
        <w:t xml:space="preserve"> </w:t>
      </w:r>
      <w:r>
        <w:rPr>
          <w:lang w:eastAsia="zh-HK"/>
        </w:rPr>
        <w:t xml:space="preserve">mostly </w:t>
      </w:r>
      <w:r>
        <w:rPr>
          <w:rFonts w:hint="eastAsia"/>
          <w:lang w:eastAsia="zh-HK"/>
        </w:rPr>
        <w:t xml:space="preserve">within or </w:t>
      </w:r>
      <w:r w:rsidRPr="00965F85">
        <w:rPr>
          <w:rFonts w:hint="eastAsia"/>
          <w:lang w:eastAsia="zh-HK"/>
        </w:rPr>
        <w:t xml:space="preserve">below their central bank targets. </w:t>
      </w:r>
      <w:r>
        <w:rPr>
          <w:lang w:eastAsia="zh-HK"/>
        </w:rPr>
        <w:t xml:space="preserve"> With the Fed beginning to cut rates since September 2024 by a total </w:t>
      </w:r>
      <w:r w:rsidRPr="003E002F">
        <w:rPr>
          <w:lang w:eastAsia="zh-HK"/>
        </w:rPr>
        <w:t>of 100</w:t>
      </w:r>
      <w:r w:rsidRPr="00965F85">
        <w:rPr>
          <w:rFonts w:hint="eastAsia"/>
          <w:lang w:eastAsia="zh-HK"/>
        </w:rPr>
        <w:t xml:space="preserve"> basis points</w:t>
      </w:r>
      <w:r>
        <w:rPr>
          <w:lang w:eastAsia="zh-HK"/>
        </w:rPr>
        <w:t xml:space="preserve">, most Asian economies have followed suit, albeit at a slower pace (except for the Philippines).  Lower interest rates entail easing financial conditions, and a faster decline in US policy rates relative to Asian </w:t>
      </w:r>
      <w:r w:rsidRPr="00DA50D0">
        <w:rPr>
          <w:lang w:eastAsia="zh-HK"/>
        </w:rPr>
        <w:t>rates may lower borrowing costs and encourag</w:t>
      </w:r>
      <w:r>
        <w:rPr>
          <w:rFonts w:hint="eastAsia"/>
          <w:lang w:eastAsia="zh-HK"/>
        </w:rPr>
        <w:t>e</w:t>
      </w:r>
      <w:r w:rsidRPr="00DA50D0">
        <w:rPr>
          <w:lang w:eastAsia="zh-HK"/>
        </w:rPr>
        <w:t xml:space="preserve"> capital inflows into regional equity and bond markets.  Economies with more robust banking sectors, such as Singapore and South Korea, may particularly benefit from improved credit </w:t>
      </w:r>
      <w:proofErr w:type="gramStart"/>
      <w:r w:rsidRPr="00DA50D0">
        <w:rPr>
          <w:lang w:eastAsia="zh-HK"/>
        </w:rPr>
        <w:t>growth</w:t>
      </w:r>
      <w:r w:rsidRPr="003C47AC">
        <w:rPr>
          <w:vertAlign w:val="superscript"/>
          <w:lang w:eastAsia="zh-HK"/>
        </w:rPr>
        <w:t>(</w:t>
      </w:r>
      <w:proofErr w:type="gramEnd"/>
      <w:r w:rsidRPr="003C47AC">
        <w:rPr>
          <w:rStyle w:val="FootnoteReference"/>
          <w:lang w:eastAsia="zh-HK"/>
        </w:rPr>
        <w:footnoteReference w:id="3"/>
      </w:r>
      <w:r w:rsidRPr="003C47AC">
        <w:rPr>
          <w:vertAlign w:val="superscript"/>
          <w:lang w:eastAsia="zh-HK"/>
        </w:rPr>
        <w:t>)</w:t>
      </w:r>
      <w:r w:rsidRPr="00DA50D0">
        <w:rPr>
          <w:lang w:eastAsia="zh-HK"/>
        </w:rPr>
        <w:t xml:space="preserve">.  </w:t>
      </w:r>
      <w:r w:rsidRPr="001974DC">
        <w:t xml:space="preserve">On entering 2025, as global trade conflicts have escalated and the inflation outlook of the US is clouded with immense uncertainties, the direction of monetary policy in Asia </w:t>
      </w:r>
      <w:r>
        <w:t>has diverged from that of the Fed</w:t>
      </w:r>
      <w:r w:rsidRPr="00185BCC">
        <w:rPr>
          <w:lang w:eastAsia="zh-HK"/>
        </w:rPr>
        <w:t xml:space="preserve">. </w:t>
      </w:r>
      <w:r w:rsidRPr="001974DC">
        <w:t xml:space="preserve"> For </w:t>
      </w:r>
      <w:r w:rsidRPr="00C21EBC">
        <w:t>instance, as of end-April, while</w:t>
      </w:r>
      <w:r>
        <w:t xml:space="preserve"> the Fed maintained its interest rates, </w:t>
      </w:r>
      <w:r w:rsidRPr="00185BCC">
        <w:rPr>
          <w:lang w:eastAsia="zh-HK"/>
        </w:rPr>
        <w:t>central banks of most selected Asian economies</w:t>
      </w:r>
      <w:r w:rsidRPr="002A6CB4">
        <w:t xml:space="preserve"> </w:t>
      </w:r>
      <w:r>
        <w:t>have</w:t>
      </w:r>
      <w:r w:rsidRPr="001974DC">
        <w:t xml:space="preserve"> cut interest rates </w:t>
      </w:r>
      <w:r>
        <w:t>so far this year</w:t>
      </w:r>
      <w:r w:rsidRPr="00F40076">
        <w:rPr>
          <w:vertAlign w:val="superscript"/>
          <w:lang w:eastAsia="zh-HK"/>
        </w:rPr>
        <w:t>(</w:t>
      </w:r>
      <w:r w:rsidRPr="00185BCC">
        <w:rPr>
          <w:rStyle w:val="FootnoteReference"/>
          <w:lang w:eastAsia="zh-HK"/>
        </w:rPr>
        <w:footnoteReference w:id="4"/>
      </w:r>
      <w:r w:rsidRPr="00F40076">
        <w:rPr>
          <w:vertAlign w:val="superscript"/>
          <w:lang w:eastAsia="zh-HK"/>
        </w:rPr>
        <w:t>)</w:t>
      </w:r>
      <w:r w:rsidRPr="002A6CB4">
        <w:t xml:space="preserve"> </w:t>
      </w:r>
      <w:r>
        <w:t xml:space="preserve">(except </w:t>
      </w:r>
      <w:r w:rsidRPr="00185BCC">
        <w:rPr>
          <w:lang w:eastAsia="zh-HK"/>
        </w:rPr>
        <w:t>Malaysia and Vietnam</w:t>
      </w:r>
      <w:r w:rsidRPr="001974DC">
        <w:t xml:space="preserve"> </w:t>
      </w:r>
      <w:r>
        <w:t xml:space="preserve">which </w:t>
      </w:r>
      <w:r w:rsidRPr="001974DC">
        <w:t>held their interest rates unchanged</w:t>
      </w:r>
      <w:r>
        <w:t>)</w:t>
      </w:r>
      <w:r w:rsidRPr="001974DC">
        <w:t>.</w:t>
      </w:r>
      <w:r>
        <w:t xml:space="preserve"> </w:t>
      </w:r>
    </w:p>
    <w:p w14:paraId="41C39251" w14:textId="77777777" w:rsidR="00AB1744" w:rsidRPr="00C64544" w:rsidRDefault="00AB1744" w:rsidP="00AB1744">
      <w:pPr>
        <w:overflowPunct w:val="0"/>
        <w:spacing w:before="240" w:afterLines="30" w:after="108" w:line="280" w:lineRule="exact"/>
        <w:jc w:val="both"/>
        <w:rPr>
          <w:lang w:eastAsia="zh-HK"/>
        </w:rPr>
      </w:pPr>
      <w:r>
        <w:rPr>
          <w:lang w:eastAsia="zh-HK"/>
        </w:rPr>
        <w:t>E</w:t>
      </w:r>
      <w:r w:rsidRPr="00965F85">
        <w:rPr>
          <w:lang w:eastAsia="zh-HK"/>
        </w:rPr>
        <w:t>quity markets</w:t>
      </w:r>
      <w:r w:rsidRPr="00C7421D">
        <w:rPr>
          <w:lang w:eastAsia="zh-HK"/>
        </w:rPr>
        <w:t xml:space="preserve"> </w:t>
      </w:r>
      <w:r>
        <w:rPr>
          <w:lang w:eastAsia="zh-HK"/>
        </w:rPr>
        <w:t xml:space="preserve">of the selected Asian economies generally performed well during most of 2024 amid the sanguine growth outlook, but weakened </w:t>
      </w:r>
      <w:r w:rsidRPr="00965F85">
        <w:rPr>
          <w:lang w:eastAsia="zh-HK"/>
        </w:rPr>
        <w:t>in the latter months of the year,</w:t>
      </w:r>
      <w:r>
        <w:rPr>
          <w:lang w:eastAsia="zh-HK"/>
        </w:rPr>
        <w:t xml:space="preserve"> with </w:t>
      </w:r>
      <w:r w:rsidRPr="00965F85">
        <w:rPr>
          <w:lang w:eastAsia="zh-HK"/>
        </w:rPr>
        <w:t>most economies</w:t>
      </w:r>
      <w:r>
        <w:rPr>
          <w:lang w:eastAsia="zh-HK"/>
        </w:rPr>
        <w:t xml:space="preserve"> seeing net capital outflows and </w:t>
      </w:r>
      <w:r w:rsidRPr="00965F85">
        <w:rPr>
          <w:lang w:eastAsia="zh-HK"/>
        </w:rPr>
        <w:t xml:space="preserve">stock indices </w:t>
      </w:r>
      <w:r>
        <w:rPr>
          <w:lang w:eastAsia="zh-HK"/>
        </w:rPr>
        <w:t xml:space="preserve">declining.  Regional stock markets retreated further in early 2025, exacerbated by the synchronised global stock market sell-off upon the US’ announcement of the so-called “reciprocal tariffs” in early April </w:t>
      </w:r>
      <w:r w:rsidRPr="00965F85">
        <w:rPr>
          <w:lang w:eastAsia="zh-HK"/>
        </w:rPr>
        <w:t>(</w:t>
      </w:r>
      <w:r w:rsidRPr="00AB10E9">
        <w:rPr>
          <w:b/>
          <w:i/>
          <w:lang w:eastAsia="zh-HK"/>
        </w:rPr>
        <w:t>Chart </w:t>
      </w:r>
      <w:r>
        <w:rPr>
          <w:b/>
          <w:i/>
          <w:lang w:eastAsia="zh-HK"/>
        </w:rPr>
        <w:t>1a</w:t>
      </w:r>
      <w:r w:rsidRPr="00965F85">
        <w:rPr>
          <w:lang w:eastAsia="zh-HK"/>
        </w:rPr>
        <w:t>)</w:t>
      </w:r>
      <w:r>
        <w:rPr>
          <w:lang w:eastAsia="zh-HK"/>
        </w:rPr>
        <w:t>.  Intensifying global trade tensions and heightened</w:t>
      </w:r>
      <w:r w:rsidRPr="00C64544">
        <w:rPr>
          <w:lang w:eastAsia="zh-HK"/>
        </w:rPr>
        <w:t xml:space="preserve"> uncertainties surrounding the US trade policies have </w:t>
      </w:r>
      <w:r>
        <w:rPr>
          <w:lang w:eastAsia="zh-HK"/>
        </w:rPr>
        <w:t>dented</w:t>
      </w:r>
      <w:r w:rsidRPr="00C64544">
        <w:rPr>
          <w:lang w:eastAsia="zh-HK"/>
        </w:rPr>
        <w:t xml:space="preserve"> investor </w:t>
      </w:r>
      <w:r>
        <w:rPr>
          <w:lang w:eastAsia="zh-HK"/>
        </w:rPr>
        <w:t xml:space="preserve">sentiment and risk appetite.  </w:t>
      </w:r>
      <w:r w:rsidRPr="00A211F0">
        <w:rPr>
          <w:rFonts w:ascii="inter" w:hAnsi="inter"/>
          <w:shd w:val="clear" w:color="auto" w:fill="FFFFFF"/>
        </w:rPr>
        <w:t xml:space="preserve">Global growth concerns have also dampened expectations for corporate earnings growth across the region.  Together, these </w:t>
      </w:r>
      <w:r>
        <w:rPr>
          <w:rFonts w:ascii="inter" w:hAnsi="inter"/>
          <w:shd w:val="clear" w:color="auto" w:fill="FFFFFF"/>
        </w:rPr>
        <w:t xml:space="preserve">unfavourable </w:t>
      </w:r>
      <w:r w:rsidRPr="00A211F0">
        <w:rPr>
          <w:rFonts w:ascii="inter" w:hAnsi="inter"/>
          <w:shd w:val="clear" w:color="auto" w:fill="FFFFFF"/>
        </w:rPr>
        <w:t xml:space="preserve">factors have </w:t>
      </w:r>
      <w:r>
        <w:rPr>
          <w:rFonts w:ascii="inter" w:hAnsi="inter"/>
          <w:shd w:val="clear" w:color="auto" w:fill="FFFFFF"/>
        </w:rPr>
        <w:t>outweighed</w:t>
      </w:r>
      <w:r w:rsidRPr="00A211F0">
        <w:rPr>
          <w:rFonts w:ascii="inter" w:hAnsi="inter"/>
          <w:shd w:val="clear" w:color="auto" w:fill="FFFFFF"/>
        </w:rPr>
        <w:t xml:space="preserve"> the </w:t>
      </w:r>
      <w:r>
        <w:rPr>
          <w:rFonts w:ascii="inter" w:hAnsi="inter"/>
          <w:shd w:val="clear" w:color="auto" w:fill="FFFFFF"/>
        </w:rPr>
        <w:t xml:space="preserve">potential benefits brought about by easing monetary environment, </w:t>
      </w:r>
      <w:r w:rsidRPr="00A211F0">
        <w:rPr>
          <w:rFonts w:ascii="inter" w:hAnsi="inter"/>
          <w:shd w:val="clear" w:color="auto" w:fill="FFFFFF"/>
        </w:rPr>
        <w:t xml:space="preserve">leaving Asian equities </w:t>
      </w:r>
      <w:r>
        <w:rPr>
          <w:rFonts w:ascii="inter" w:hAnsi="inter"/>
          <w:shd w:val="clear" w:color="auto" w:fill="FFFFFF"/>
        </w:rPr>
        <w:t>susceptible</w:t>
      </w:r>
      <w:r w:rsidRPr="00A211F0">
        <w:rPr>
          <w:rFonts w:ascii="inter" w:hAnsi="inter"/>
          <w:shd w:val="clear" w:color="auto" w:fill="FFFFFF"/>
        </w:rPr>
        <w:t xml:space="preserve"> to capital outflows and market </w:t>
      </w:r>
      <w:r>
        <w:rPr>
          <w:rFonts w:ascii="inter" w:hAnsi="inter"/>
          <w:shd w:val="clear" w:color="auto" w:fill="FFFFFF"/>
        </w:rPr>
        <w:t>volatilities</w:t>
      </w:r>
      <w:r w:rsidRPr="00A211F0">
        <w:rPr>
          <w:rFonts w:ascii="inter" w:hAnsi="inter"/>
          <w:shd w:val="clear" w:color="auto" w:fill="FFFFFF"/>
        </w:rPr>
        <w:t>.</w:t>
      </w:r>
    </w:p>
    <w:p w14:paraId="06D1065F" w14:textId="77777777" w:rsidR="00AB1744" w:rsidRDefault="00AB1744" w:rsidP="00AB1744">
      <w:pPr>
        <w:overflowPunct w:val="0"/>
        <w:spacing w:before="240" w:afterLines="30" w:after="108" w:line="280" w:lineRule="exact"/>
        <w:jc w:val="both"/>
        <w:rPr>
          <w:b/>
        </w:rPr>
      </w:pPr>
      <w:r w:rsidRPr="0042315D">
        <w:rPr>
          <w:b/>
          <w:noProof/>
          <w:lang w:eastAsia="zh-CN"/>
        </w:rPr>
        <w:lastRenderedPageBreak/>
        <mc:AlternateContent>
          <mc:Choice Requires="wps">
            <w:drawing>
              <wp:anchor distT="0" distB="0" distL="114300" distR="114300" simplePos="0" relativeHeight="251661312" behindDoc="1" locked="0" layoutInCell="1" allowOverlap="1" wp14:anchorId="6E42A23B" wp14:editId="5DA146CC">
                <wp:simplePos x="0" y="0"/>
                <wp:positionH relativeFrom="margin">
                  <wp:posOffset>-194310</wp:posOffset>
                </wp:positionH>
                <wp:positionV relativeFrom="paragraph">
                  <wp:posOffset>-86360</wp:posOffset>
                </wp:positionV>
                <wp:extent cx="6174000" cy="9568800"/>
                <wp:effectExtent l="0" t="0" r="17780" b="13970"/>
                <wp:wrapNone/>
                <wp:docPr id="24"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568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26EE1" id="矩形 17" o:spid="_x0000_s1026" style="position:absolute;margin-left:-15.3pt;margin-top:-6.8pt;width:486.15pt;height:753.4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">
                <w10:wrap anchorx="margin"/>
              </v:rect>
            </w:pict>
          </mc:Fallback>
        </mc:AlternateContent>
      </w:r>
      <w:r>
        <w:rPr>
          <w:b/>
        </w:rPr>
        <w:t xml:space="preserve">Box 2.1 </w:t>
      </w:r>
      <w:r w:rsidRPr="00A00FDD">
        <w:rPr>
          <w:b/>
        </w:rPr>
        <w:t>(Cont’d</w:t>
      </w:r>
      <w:r w:rsidRPr="005E1E0A">
        <w:rPr>
          <w:b/>
        </w:rPr>
        <w:t>)</w:t>
      </w:r>
    </w:p>
    <w:p w14:paraId="1BEE0EEE" w14:textId="77777777" w:rsidR="00AB1744" w:rsidRDefault="00AB1744" w:rsidP="00AB1744">
      <w:pPr>
        <w:overflowPunct w:val="0"/>
        <w:spacing w:before="240" w:afterLines="30" w:after="108" w:line="280" w:lineRule="exact"/>
        <w:jc w:val="both"/>
        <w:rPr>
          <w:lang w:eastAsia="zh-HK"/>
        </w:rPr>
      </w:pPr>
      <w:r>
        <w:rPr>
          <w:lang w:eastAsia="zh-HK"/>
        </w:rPr>
        <w:t>As for exchange rate</w:t>
      </w:r>
      <w:r w:rsidRPr="00AB10E9">
        <w:rPr>
          <w:lang w:eastAsia="zh-HK"/>
        </w:rPr>
        <w:t xml:space="preserve">, </w:t>
      </w:r>
      <w:r>
        <w:rPr>
          <w:lang w:eastAsia="zh-HK"/>
        </w:rPr>
        <w:t xml:space="preserve">most Asian currencies depreciated against the US dollar in 2024 due to a </w:t>
      </w:r>
      <w:r w:rsidRPr="00AB10E9">
        <w:rPr>
          <w:lang w:eastAsia="zh-HK"/>
        </w:rPr>
        <w:t>resilien</w:t>
      </w:r>
      <w:r>
        <w:rPr>
          <w:lang w:eastAsia="zh-HK"/>
        </w:rPr>
        <w:t xml:space="preserve">t </w:t>
      </w:r>
      <w:r w:rsidRPr="00AB10E9">
        <w:rPr>
          <w:lang w:eastAsia="zh-HK"/>
        </w:rPr>
        <w:t>US economy and elevated geopolitical risks (</w:t>
      </w:r>
      <w:r w:rsidRPr="00985EC7">
        <w:rPr>
          <w:b/>
          <w:i/>
          <w:lang w:eastAsia="zh-HK"/>
        </w:rPr>
        <w:t>Chart </w:t>
      </w:r>
      <w:r>
        <w:rPr>
          <w:b/>
          <w:i/>
          <w:lang w:eastAsia="zh-HK"/>
        </w:rPr>
        <w:t>1b</w:t>
      </w:r>
      <w:r w:rsidRPr="00AB10E9">
        <w:rPr>
          <w:lang w:eastAsia="zh-HK"/>
        </w:rPr>
        <w:t>)</w:t>
      </w:r>
      <w:r>
        <w:rPr>
          <w:lang w:eastAsia="zh-HK"/>
        </w:rPr>
        <w:t xml:space="preserve">.  They have generally </w:t>
      </w:r>
      <w:r>
        <w:rPr>
          <w:rFonts w:hint="eastAsia"/>
        </w:rPr>
        <w:t>s</w:t>
      </w:r>
      <w:r>
        <w:t>trengthened</w:t>
      </w:r>
      <w:r>
        <w:rPr>
          <w:lang w:eastAsia="zh-HK"/>
        </w:rPr>
        <w:t xml:space="preserve"> upon entering 2025 alongside a broad-based weakening in the US dollar amid mounting policy uncertainty of the Trump administration.  The recent appreciation of Asian currencies against the US dollar may have multiple impacts on financial conditions through different transmission channels.  On the one hand, a stronger local currency may imply tighter financial conditions by reducing export competitiveness through the trade channels, potentially slowing growth and exerting mild deflationary pressure.  On the other hand, currency appreciation may imply looser financial conditions by lowering the local currency value of foreign currency liabilities and improving the balance sheets, especially so for emerging economies in the region.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8"/>
      </w:tblGrid>
      <w:tr w:rsidR="00AB1744" w14:paraId="65DD80C9" w14:textId="77777777" w:rsidTr="00C83E7F">
        <w:tc>
          <w:tcPr>
            <w:tcW w:w="4508" w:type="dxa"/>
          </w:tcPr>
          <w:p w14:paraId="16BF7E94" w14:textId="77777777" w:rsidR="00AB1744" w:rsidRPr="005B378C" w:rsidRDefault="00AB1744" w:rsidP="00C83E7F">
            <w:pPr>
              <w:snapToGrid w:val="0"/>
              <w:spacing w:before="240"/>
              <w:jc w:val="center"/>
              <w:rPr>
                <w:b/>
              </w:rPr>
            </w:pPr>
            <w:r w:rsidRPr="005B378C">
              <w:rPr>
                <w:b/>
              </w:rPr>
              <w:t xml:space="preserve">Chart </w:t>
            </w:r>
            <w:r>
              <w:rPr>
                <w:b/>
              </w:rPr>
              <w:t>1</w:t>
            </w:r>
            <w:r w:rsidRPr="005B378C">
              <w:rPr>
                <w:b/>
              </w:rPr>
              <w:t>a: Performance of benchmark stock market indices</w:t>
            </w:r>
          </w:p>
        </w:tc>
        <w:tc>
          <w:tcPr>
            <w:tcW w:w="4508" w:type="dxa"/>
          </w:tcPr>
          <w:p w14:paraId="4B67BD7F" w14:textId="77777777" w:rsidR="00AB1744" w:rsidRPr="005B378C" w:rsidRDefault="00AB1744" w:rsidP="00C83E7F">
            <w:pPr>
              <w:spacing w:before="240"/>
              <w:jc w:val="center"/>
              <w:rPr>
                <w:b/>
              </w:rPr>
            </w:pPr>
            <w:r w:rsidRPr="005B378C">
              <w:rPr>
                <w:b/>
              </w:rPr>
              <w:t xml:space="preserve">Chart </w:t>
            </w:r>
            <w:r>
              <w:rPr>
                <w:b/>
              </w:rPr>
              <w:t>1</w:t>
            </w:r>
            <w:r w:rsidRPr="005B378C">
              <w:rPr>
                <w:b/>
              </w:rPr>
              <w:t>b: Currency performance vs USD^</w:t>
            </w:r>
          </w:p>
        </w:tc>
      </w:tr>
      <w:tr w:rsidR="00AB1744" w14:paraId="6B97A6FB" w14:textId="77777777" w:rsidTr="00C83E7F">
        <w:trPr>
          <w:trHeight w:val="2974"/>
        </w:trPr>
        <w:tc>
          <w:tcPr>
            <w:tcW w:w="4508" w:type="dxa"/>
          </w:tcPr>
          <w:p w14:paraId="7DA27C14" w14:textId="77777777" w:rsidR="00AB1744" w:rsidRPr="00FB18CA" w:rsidRDefault="00AB1744" w:rsidP="00C83E7F">
            <w:pPr>
              <w:jc w:val="center"/>
              <w:rPr>
                <w:sz w:val="2"/>
                <w:szCs w:val="2"/>
                <w:lang w:eastAsia="zh-HK"/>
              </w:rPr>
            </w:pPr>
            <w:r w:rsidRPr="00445D27">
              <w:rPr>
                <w:noProof/>
                <w:sz w:val="2"/>
                <w:szCs w:val="2"/>
                <w:lang w:eastAsia="zh-CN"/>
              </w:rPr>
              <w:drawing>
                <wp:inline distT="0" distB="0" distL="0" distR="0" wp14:anchorId="5256C70C" wp14:editId="661EF491">
                  <wp:extent cx="2725420" cy="1898650"/>
                  <wp:effectExtent l="0" t="0" r="0" b="6350"/>
                  <wp:docPr id="18"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5420" cy="1898650"/>
                          </a:xfrm>
                          <a:prstGeom prst="rect">
                            <a:avLst/>
                          </a:prstGeom>
                          <a:noFill/>
                          <a:ln>
                            <a:noFill/>
                          </a:ln>
                        </pic:spPr>
                      </pic:pic>
                    </a:graphicData>
                  </a:graphic>
                </wp:inline>
              </w:drawing>
            </w:r>
          </w:p>
        </w:tc>
        <w:tc>
          <w:tcPr>
            <w:tcW w:w="4508" w:type="dxa"/>
          </w:tcPr>
          <w:p w14:paraId="5D7EFC08" w14:textId="77777777" w:rsidR="00AB1744" w:rsidRPr="00FB18CA" w:rsidRDefault="00AB1744" w:rsidP="00C83E7F">
            <w:pPr>
              <w:jc w:val="center"/>
              <w:rPr>
                <w:sz w:val="2"/>
                <w:szCs w:val="2"/>
                <w:lang w:eastAsia="zh-HK"/>
              </w:rPr>
            </w:pPr>
            <w:r w:rsidRPr="00445D27">
              <w:rPr>
                <w:noProof/>
                <w:sz w:val="2"/>
                <w:szCs w:val="2"/>
                <w:lang w:eastAsia="zh-CN"/>
              </w:rPr>
              <w:drawing>
                <wp:inline distT="0" distB="0" distL="0" distR="0" wp14:anchorId="4C995D61" wp14:editId="32A031FF">
                  <wp:extent cx="2776493" cy="1898650"/>
                  <wp:effectExtent l="0" t="0" r="5080" b="6350"/>
                  <wp:docPr id="19"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76766" cy="1898837"/>
                          </a:xfrm>
                          <a:prstGeom prst="rect">
                            <a:avLst/>
                          </a:prstGeom>
                          <a:noFill/>
                          <a:ln>
                            <a:noFill/>
                          </a:ln>
                        </pic:spPr>
                      </pic:pic>
                    </a:graphicData>
                  </a:graphic>
                </wp:inline>
              </w:drawing>
            </w:r>
          </w:p>
        </w:tc>
      </w:tr>
      <w:tr w:rsidR="00AB1744" w14:paraId="404CB3BE" w14:textId="77777777" w:rsidTr="00C83E7F">
        <w:trPr>
          <w:trHeight w:val="55"/>
        </w:trPr>
        <w:tc>
          <w:tcPr>
            <w:tcW w:w="9016" w:type="dxa"/>
            <w:gridSpan w:val="2"/>
          </w:tcPr>
          <w:p w14:paraId="33EDD07D" w14:textId="77777777" w:rsidR="00AB1744" w:rsidRDefault="00AB1744" w:rsidP="00C83E7F">
            <w:pPr>
              <w:tabs>
                <w:tab w:val="left" w:pos="627"/>
              </w:tabs>
              <w:ind w:left="911" w:hanging="911"/>
              <w:jc w:val="both"/>
              <w:rPr>
                <w:sz w:val="20"/>
                <w:szCs w:val="20"/>
              </w:rPr>
            </w:pPr>
            <w:r>
              <w:rPr>
                <w:sz w:val="20"/>
                <w:szCs w:val="20"/>
              </w:rPr>
              <w:t>Notes:</w:t>
            </w:r>
            <w:r>
              <w:rPr>
                <w:sz w:val="20"/>
                <w:szCs w:val="20"/>
              </w:rPr>
              <w:tab/>
            </w:r>
            <w:r w:rsidRPr="00FB18CA">
              <w:rPr>
                <w:sz w:val="20"/>
                <w:szCs w:val="20"/>
              </w:rPr>
              <w:t>(^)</w:t>
            </w:r>
            <w:r>
              <w:rPr>
                <w:sz w:val="20"/>
                <w:szCs w:val="20"/>
              </w:rPr>
              <w:tab/>
              <w:t>For chart 1b, a</w:t>
            </w:r>
            <w:r w:rsidRPr="00FB18CA">
              <w:rPr>
                <w:sz w:val="20"/>
                <w:szCs w:val="20"/>
              </w:rPr>
              <w:t xml:space="preserve"> minus figure indicates depreciation of the local currency against the US dollar.</w:t>
            </w:r>
          </w:p>
          <w:p w14:paraId="45641511" w14:textId="77777777" w:rsidR="00AB1744" w:rsidRDefault="00AB1744" w:rsidP="00C83E7F">
            <w:pPr>
              <w:tabs>
                <w:tab w:val="left" w:pos="627"/>
              </w:tabs>
              <w:ind w:left="911" w:hanging="911"/>
              <w:jc w:val="both"/>
              <w:rPr>
                <w:sz w:val="20"/>
                <w:szCs w:val="20"/>
              </w:rPr>
            </w:pPr>
            <w:r>
              <w:rPr>
                <w:sz w:val="20"/>
                <w:szCs w:val="20"/>
              </w:rPr>
              <w:tab/>
            </w:r>
            <w:r w:rsidRPr="00FB18CA">
              <w:rPr>
                <w:sz w:val="20"/>
                <w:szCs w:val="20"/>
              </w:rPr>
              <w:t>(*)</w:t>
            </w:r>
            <w:r w:rsidRPr="00FB18CA">
              <w:rPr>
                <w:sz w:val="20"/>
                <w:szCs w:val="20"/>
              </w:rPr>
              <w:tab/>
              <w:t xml:space="preserve">As </w:t>
            </w:r>
            <w:proofErr w:type="spellStart"/>
            <w:r w:rsidRPr="00FB18CA">
              <w:rPr>
                <w:sz w:val="20"/>
                <w:szCs w:val="20"/>
              </w:rPr>
              <w:t>proxied</w:t>
            </w:r>
            <w:proofErr w:type="spellEnd"/>
            <w:r w:rsidRPr="00FB18CA">
              <w:rPr>
                <w:sz w:val="20"/>
                <w:szCs w:val="20"/>
              </w:rPr>
              <w:t xml:space="preserve"> by the reciprocal of the US Dollar Index, which measures the changes of a basket of</w:t>
            </w:r>
            <w:r>
              <w:rPr>
                <w:sz w:val="20"/>
                <w:szCs w:val="20"/>
              </w:rPr>
              <w:t xml:space="preserve"> </w:t>
            </w:r>
            <w:r w:rsidRPr="00FB18CA">
              <w:rPr>
                <w:sz w:val="20"/>
                <w:szCs w:val="20"/>
              </w:rPr>
              <w:t>currencies (viz. Euro, Japanese yen, Pound sterling, Canadian dollar, Swedish krona and Swiss franc)</w:t>
            </w:r>
            <w:r>
              <w:rPr>
                <w:sz w:val="20"/>
                <w:szCs w:val="20"/>
              </w:rPr>
              <w:t xml:space="preserve"> </w:t>
            </w:r>
            <w:r w:rsidRPr="00FB18CA">
              <w:rPr>
                <w:sz w:val="20"/>
                <w:szCs w:val="20"/>
              </w:rPr>
              <w:t>against the US dollar.</w:t>
            </w:r>
          </w:p>
          <w:p w14:paraId="2B88F5DC" w14:textId="77777777" w:rsidR="00AB1744" w:rsidRPr="00AD62C8" w:rsidRDefault="00AB1744" w:rsidP="00C83E7F">
            <w:pPr>
              <w:tabs>
                <w:tab w:val="left" w:pos="627"/>
              </w:tabs>
              <w:ind w:left="911" w:hanging="911"/>
              <w:jc w:val="both"/>
              <w:rPr>
                <w:sz w:val="20"/>
                <w:szCs w:val="20"/>
              </w:rPr>
            </w:pPr>
            <w:r>
              <w:rPr>
                <w:sz w:val="20"/>
                <w:szCs w:val="20"/>
              </w:rPr>
              <w:t xml:space="preserve">         Data as of 7 May 2025.</w:t>
            </w:r>
          </w:p>
        </w:tc>
      </w:tr>
      <w:tr w:rsidR="00AB1744" w14:paraId="425DC03F" w14:textId="77777777" w:rsidTr="00C83E7F">
        <w:trPr>
          <w:trHeight w:val="55"/>
        </w:trPr>
        <w:tc>
          <w:tcPr>
            <w:tcW w:w="9016" w:type="dxa"/>
            <w:gridSpan w:val="2"/>
          </w:tcPr>
          <w:p w14:paraId="59984A0D" w14:textId="77777777" w:rsidR="00AB1744" w:rsidRDefault="00AB1744" w:rsidP="00C83E7F">
            <w:pPr>
              <w:tabs>
                <w:tab w:val="left" w:pos="627"/>
              </w:tabs>
              <w:ind w:left="911" w:hanging="911"/>
              <w:jc w:val="both"/>
              <w:rPr>
                <w:sz w:val="20"/>
                <w:szCs w:val="20"/>
              </w:rPr>
            </w:pPr>
            <w:r w:rsidRPr="00FB18CA">
              <w:rPr>
                <w:sz w:val="20"/>
                <w:szCs w:val="20"/>
              </w:rPr>
              <w:t>Source</w:t>
            </w:r>
            <w:r>
              <w:rPr>
                <w:sz w:val="20"/>
                <w:szCs w:val="20"/>
              </w:rPr>
              <w:t>s</w:t>
            </w:r>
            <w:r w:rsidRPr="00FB18CA">
              <w:rPr>
                <w:sz w:val="20"/>
                <w:szCs w:val="20"/>
              </w:rPr>
              <w:t>:</w:t>
            </w:r>
            <w:r w:rsidRPr="00FB18CA">
              <w:rPr>
                <w:sz w:val="20"/>
                <w:szCs w:val="20"/>
              </w:rPr>
              <w:tab/>
              <w:t>Bloomberg</w:t>
            </w:r>
            <w:r>
              <w:rPr>
                <w:sz w:val="20"/>
                <w:szCs w:val="20"/>
              </w:rPr>
              <w:t xml:space="preserve"> and CEIC</w:t>
            </w:r>
            <w:r w:rsidRPr="00FB18CA">
              <w:rPr>
                <w:sz w:val="20"/>
                <w:szCs w:val="20"/>
              </w:rPr>
              <w:t>.</w:t>
            </w:r>
          </w:p>
        </w:tc>
      </w:tr>
    </w:tbl>
    <w:p w14:paraId="21A4FD77" w14:textId="77777777" w:rsidR="00AB1744" w:rsidRPr="001A7F14" w:rsidRDefault="00AB1744" w:rsidP="00AB1744">
      <w:pPr>
        <w:overflowPunct w:val="0"/>
        <w:spacing w:before="240" w:afterLines="30" w:after="108" w:line="280" w:lineRule="exact"/>
        <w:jc w:val="both"/>
        <w:rPr>
          <w:b/>
        </w:rPr>
      </w:pPr>
      <w:r w:rsidRPr="00AB10E9">
        <w:rPr>
          <w:lang w:eastAsia="zh-HK"/>
        </w:rPr>
        <w:t xml:space="preserve">Ten-year </w:t>
      </w:r>
      <w:r>
        <w:rPr>
          <w:lang w:eastAsia="zh-HK"/>
        </w:rPr>
        <w:t xml:space="preserve">government </w:t>
      </w:r>
      <w:r w:rsidRPr="00AB10E9">
        <w:rPr>
          <w:lang w:eastAsia="zh-HK"/>
        </w:rPr>
        <w:t xml:space="preserve">bond spreads of most selected Asian economies against the US counterpart </w:t>
      </w:r>
      <w:r>
        <w:rPr>
          <w:lang w:eastAsia="zh-HK"/>
        </w:rPr>
        <w:t xml:space="preserve">turned </w:t>
      </w:r>
      <w:r w:rsidRPr="00AB10E9">
        <w:rPr>
          <w:lang w:eastAsia="zh-HK"/>
        </w:rPr>
        <w:t>negative (except for India and Indonesia) following the Fed’s ro</w:t>
      </w:r>
      <w:r>
        <w:rPr>
          <w:lang w:eastAsia="zh-HK"/>
        </w:rPr>
        <w:t xml:space="preserve">unds of rate hikes since 2022 </w:t>
      </w:r>
      <w:r w:rsidRPr="00AB10E9">
        <w:rPr>
          <w:lang w:eastAsia="zh-HK"/>
        </w:rPr>
        <w:t>(</w:t>
      </w:r>
      <w:r w:rsidRPr="00985EC7">
        <w:rPr>
          <w:b/>
          <w:i/>
          <w:lang w:eastAsia="zh-HK"/>
        </w:rPr>
        <w:t>Chart </w:t>
      </w:r>
      <w:r>
        <w:rPr>
          <w:b/>
          <w:i/>
          <w:lang w:eastAsia="zh-HK"/>
        </w:rPr>
        <w:t>2</w:t>
      </w:r>
      <w:r w:rsidRPr="001974DC">
        <w:rPr>
          <w:lang w:eastAsia="zh-HK"/>
        </w:rPr>
        <w:t>)</w:t>
      </w:r>
      <w:r w:rsidRPr="00AB10E9">
        <w:rPr>
          <w:lang w:eastAsia="zh-HK"/>
        </w:rPr>
        <w:t>.</w:t>
      </w:r>
      <w:r>
        <w:rPr>
          <w:lang w:eastAsia="zh-HK"/>
        </w:rPr>
        <w:t xml:space="preserve">  Entering</w:t>
      </w:r>
      <w:r w:rsidRPr="00AB10E9">
        <w:rPr>
          <w:lang w:eastAsia="zh-HK"/>
        </w:rPr>
        <w:t xml:space="preserve"> 2025, the negative yield spreads </w:t>
      </w:r>
      <w:r>
        <w:rPr>
          <w:lang w:eastAsia="zh-HK"/>
        </w:rPr>
        <w:t>genera</w:t>
      </w:r>
      <w:r w:rsidRPr="00D30A49">
        <w:rPr>
          <w:lang w:eastAsia="zh-HK"/>
        </w:rPr>
        <w:t xml:space="preserve">lly </w:t>
      </w:r>
      <w:r w:rsidRPr="00D73C29">
        <w:rPr>
          <w:lang w:eastAsia="zh-HK"/>
        </w:rPr>
        <w:t>narrowed</w:t>
      </w:r>
      <w:r>
        <w:rPr>
          <w:lang w:eastAsia="zh-HK"/>
        </w:rPr>
        <w:t>,</w:t>
      </w:r>
      <w:r w:rsidRPr="00D73C29">
        <w:rPr>
          <w:lang w:eastAsia="zh-HK"/>
        </w:rPr>
        <w:t xml:space="preserve"> before widening </w:t>
      </w:r>
      <w:r>
        <w:rPr>
          <w:lang w:eastAsia="zh-HK"/>
        </w:rPr>
        <w:t xml:space="preserve">again in April as Asian bond yields generally came lower on slower growth prospects while </w:t>
      </w:r>
      <w:r w:rsidRPr="00D30A49">
        <w:rPr>
          <w:lang w:eastAsia="zh-HK"/>
        </w:rPr>
        <w:t>US Treasury yields</w:t>
      </w:r>
      <w:r>
        <w:rPr>
          <w:lang w:eastAsia="zh-HK"/>
        </w:rPr>
        <w:t xml:space="preserve"> rose sharply on increased </w:t>
      </w:r>
      <w:r>
        <w:rPr>
          <w:rFonts w:hint="eastAsia"/>
        </w:rPr>
        <w:t>US</w:t>
      </w:r>
      <w:r>
        <w:t>’</w:t>
      </w:r>
      <w:r>
        <w:rPr>
          <w:lang w:eastAsia="zh-HK"/>
        </w:rPr>
        <w:t xml:space="preserve"> inflation expectations.  The widened negative yield spreads may in part reflect investors’ confidence in Asia’s weathering the escalating trade tensions relative to the US’ situation, and imply looser financial conditions in the Asian economies.  Meanwhile</w:t>
      </w:r>
      <w:r w:rsidRPr="0004422B">
        <w:rPr>
          <w:lang w:eastAsia="zh-HK"/>
        </w:rPr>
        <w:t xml:space="preserve">, </w:t>
      </w:r>
      <w:r w:rsidRPr="001974DC">
        <w:t xml:space="preserve">with </w:t>
      </w:r>
      <w:r>
        <w:rPr>
          <w:lang w:eastAsia="zh-HK"/>
        </w:rPr>
        <w:t>most</w:t>
      </w:r>
      <w:r w:rsidRPr="001974DC">
        <w:t xml:space="preserve"> regional central banks easing their monetary policies</w:t>
      </w:r>
      <w:r w:rsidRPr="0004422B">
        <w:rPr>
          <w:lang w:eastAsia="zh-HK"/>
        </w:rPr>
        <w:t xml:space="preserve"> amid the intensifying globa</w:t>
      </w:r>
      <w:r>
        <w:rPr>
          <w:lang w:eastAsia="zh-HK"/>
        </w:rPr>
        <w:t>l trade war</w:t>
      </w:r>
      <w:r w:rsidRPr="00AB10E9">
        <w:rPr>
          <w:lang w:eastAsia="zh-HK"/>
        </w:rPr>
        <w:t xml:space="preserve">, </w:t>
      </w:r>
      <w:r>
        <w:rPr>
          <w:lang w:eastAsia="zh-HK"/>
        </w:rPr>
        <w:t xml:space="preserve">the </w:t>
      </w:r>
      <w:r w:rsidRPr="00AB10E9">
        <w:rPr>
          <w:lang w:eastAsia="zh-HK"/>
        </w:rPr>
        <w:t>Asian economies’ local currency government bond yields are expected to decline further</w:t>
      </w:r>
      <w:r>
        <w:rPr>
          <w:lang w:eastAsia="zh-HK"/>
        </w:rPr>
        <w:t xml:space="preserve"> amid the challenging economic outlook</w:t>
      </w:r>
      <w:r w:rsidRPr="00AB10E9">
        <w:rPr>
          <w:lang w:eastAsia="zh-HK"/>
        </w:rPr>
        <w:t xml:space="preserve">.  So far, the year-to-date declines in the </w:t>
      </w:r>
      <w:r>
        <w:rPr>
          <w:lang w:eastAsia="zh-HK"/>
        </w:rPr>
        <w:t>ten</w:t>
      </w:r>
      <w:r w:rsidRPr="00AB10E9">
        <w:rPr>
          <w:lang w:eastAsia="zh-HK"/>
        </w:rPr>
        <w:t xml:space="preserve">-year local currency bond yields of the Asian economies were moderate, ranging </w:t>
      </w:r>
      <w:r w:rsidRPr="00E76DC9">
        <w:rPr>
          <w:lang w:eastAsia="zh-HK"/>
        </w:rPr>
        <w:t xml:space="preserve">from </w:t>
      </w:r>
      <w:r w:rsidRPr="00E00EFB">
        <w:t>14</w:t>
      </w:r>
      <w:r w:rsidRPr="00E00EFB">
        <w:rPr>
          <w:lang w:eastAsia="zh-HK"/>
        </w:rPr>
        <w:t> basis points in Indonesia</w:t>
      </w:r>
      <w:r w:rsidRPr="00E76DC9">
        <w:rPr>
          <w:lang w:eastAsia="zh-HK"/>
        </w:rPr>
        <w:t xml:space="preserve"> to </w:t>
      </w:r>
      <w:r w:rsidRPr="00E00EFB">
        <w:t>41</w:t>
      </w:r>
      <w:r w:rsidRPr="00E00EFB">
        <w:rPr>
          <w:lang w:eastAsia="zh-HK"/>
        </w:rPr>
        <w:t xml:space="preserve"> basis points in </w:t>
      </w:r>
      <w:r w:rsidRPr="00E00EFB">
        <w:t>I</w:t>
      </w:r>
      <w:r w:rsidRPr="00E76DC9">
        <w:rPr>
          <w:lang w:eastAsia="zh-HK"/>
        </w:rPr>
        <w:t xml:space="preserve">ndia, while those of </w:t>
      </w:r>
      <w:r w:rsidRPr="00E00EFB">
        <w:rPr>
          <w:lang w:eastAsia="zh-HK"/>
        </w:rPr>
        <w:t>Vietnam</w:t>
      </w:r>
      <w:r w:rsidRPr="00E76DC9">
        <w:rPr>
          <w:lang w:eastAsia="zh-HK"/>
        </w:rPr>
        <w:t xml:space="preserve"> recorded</w:t>
      </w:r>
      <w:r w:rsidRPr="00AB10E9">
        <w:rPr>
          <w:lang w:eastAsia="zh-HK"/>
        </w:rPr>
        <w:t xml:space="preserve"> a year-to-date rise.</w:t>
      </w:r>
    </w:p>
    <w:p w14:paraId="519C8A22" w14:textId="77777777" w:rsidR="00AB1744" w:rsidRDefault="00AB1744" w:rsidP="00AB1744">
      <w:pPr>
        <w:overflowPunct w:val="0"/>
        <w:spacing w:before="240" w:afterLines="30" w:after="108" w:line="280" w:lineRule="exact"/>
        <w:jc w:val="both"/>
        <w:rPr>
          <w:lang w:eastAsia="zh-HK"/>
        </w:rPr>
      </w:pPr>
      <w:r>
        <w:rPr>
          <w:lang w:eastAsia="zh-HK"/>
        </w:rPr>
        <w:br w:type="page"/>
      </w:r>
    </w:p>
    <w:p w14:paraId="7D6C1443" w14:textId="1769CF77" w:rsidR="00AB1744" w:rsidRPr="001A7F14" w:rsidRDefault="00AB1744" w:rsidP="00AB1744">
      <w:pPr>
        <w:overflowPunct w:val="0"/>
        <w:spacing w:before="240" w:afterLines="30" w:after="108" w:line="280" w:lineRule="exact"/>
        <w:jc w:val="both"/>
        <w:rPr>
          <w:b/>
        </w:rPr>
      </w:pPr>
      <w:r w:rsidRPr="00A00FDD">
        <w:rPr>
          <w:b/>
          <w:noProof/>
          <w:lang w:eastAsia="zh-CN"/>
        </w:rPr>
        <w:lastRenderedPageBreak/>
        <mc:AlternateContent>
          <mc:Choice Requires="wps">
            <w:drawing>
              <wp:anchor distT="0" distB="0" distL="114300" distR="114300" simplePos="0" relativeHeight="251660288" behindDoc="1" locked="0" layoutInCell="1" allowOverlap="1" wp14:anchorId="46AAE2B8" wp14:editId="14B79243">
                <wp:simplePos x="0" y="0"/>
                <wp:positionH relativeFrom="margin">
                  <wp:posOffset>-194310</wp:posOffset>
                </wp:positionH>
                <wp:positionV relativeFrom="paragraph">
                  <wp:posOffset>-86360</wp:posOffset>
                </wp:positionV>
                <wp:extent cx="6174000" cy="9615600"/>
                <wp:effectExtent l="0" t="0" r="17780" b="24130"/>
                <wp:wrapNone/>
                <wp:docPr id="17"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15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F1D7E" id="矩形 5" o:spid="_x0000_s1026" style="position:absolute;margin-left:-15.3pt;margin-top:-6.8pt;width:486.15pt;height:757.1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">
                <w10:wrap anchorx="margin"/>
              </v:rect>
            </w:pict>
          </mc:Fallback>
        </mc:AlternateContent>
      </w:r>
      <w:r>
        <w:rPr>
          <w:b/>
        </w:rPr>
        <w:t xml:space="preserve">Box 2.1 </w:t>
      </w:r>
      <w:r w:rsidRPr="00A00FDD">
        <w:rPr>
          <w:b/>
        </w:rPr>
        <w:t>(Cont’d</w:t>
      </w:r>
      <w:r w:rsidRPr="005E1E0A">
        <w:rPr>
          <w:b/>
        </w:rPr>
        <w:t>)</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64"/>
      </w:tblGrid>
      <w:tr w:rsidR="00AB1744" w14:paraId="0E6DFE51" w14:textId="77777777" w:rsidTr="00C83E7F">
        <w:tc>
          <w:tcPr>
            <w:tcW w:w="9072" w:type="dxa"/>
            <w:gridSpan w:val="2"/>
          </w:tcPr>
          <w:p w14:paraId="36524D58" w14:textId="77777777" w:rsidR="00AB1744" w:rsidRPr="005B378C" w:rsidRDefault="00AB1744" w:rsidP="00C83E7F">
            <w:pPr>
              <w:spacing w:before="240"/>
              <w:jc w:val="center"/>
              <w:rPr>
                <w:b/>
              </w:rPr>
            </w:pPr>
            <w:r>
              <w:rPr>
                <w:b/>
              </w:rPr>
              <w:t>Chart 2</w:t>
            </w:r>
            <w:r w:rsidRPr="005B378C">
              <w:rPr>
                <w:b/>
              </w:rPr>
              <w:t xml:space="preserve">: </w:t>
            </w:r>
            <w:r>
              <w:rPr>
                <w:b/>
              </w:rPr>
              <w:t>Local currency 10-year government bond spreads of selected Asian economies against the US</w:t>
            </w:r>
          </w:p>
        </w:tc>
      </w:tr>
      <w:tr w:rsidR="00AB1744" w14:paraId="4F3F357A" w14:textId="77777777" w:rsidTr="00C83E7F">
        <w:tc>
          <w:tcPr>
            <w:tcW w:w="4508" w:type="dxa"/>
          </w:tcPr>
          <w:p w14:paraId="2CC218A2" w14:textId="77777777" w:rsidR="00AB1744" w:rsidRPr="007A0412" w:rsidRDefault="00AB1744" w:rsidP="00C83E7F">
            <w:pPr>
              <w:snapToGrid w:val="0"/>
              <w:jc w:val="center"/>
              <w:rPr>
                <w:u w:val="single"/>
              </w:rPr>
            </w:pPr>
            <w:r w:rsidRPr="007A0412">
              <w:rPr>
                <w:rFonts w:hint="eastAsia"/>
                <w:u w:val="single"/>
              </w:rPr>
              <w:t>Higher-income economies</w:t>
            </w:r>
          </w:p>
        </w:tc>
        <w:tc>
          <w:tcPr>
            <w:tcW w:w="4564" w:type="dxa"/>
          </w:tcPr>
          <w:p w14:paraId="2D37C2F6" w14:textId="77777777" w:rsidR="00AB1744" w:rsidRPr="007A0412" w:rsidRDefault="00AB1744" w:rsidP="00C83E7F">
            <w:pPr>
              <w:jc w:val="center"/>
              <w:rPr>
                <w:u w:val="single"/>
              </w:rPr>
            </w:pPr>
            <w:r w:rsidRPr="007A0412">
              <w:rPr>
                <w:rFonts w:hint="eastAsia"/>
                <w:u w:val="single"/>
              </w:rPr>
              <w:t>Emerging economies</w:t>
            </w:r>
          </w:p>
        </w:tc>
      </w:tr>
      <w:tr w:rsidR="00AB1744" w14:paraId="07877532" w14:textId="77777777" w:rsidTr="00C83E7F">
        <w:trPr>
          <w:trHeight w:val="2974"/>
        </w:trPr>
        <w:tc>
          <w:tcPr>
            <w:tcW w:w="4508" w:type="dxa"/>
          </w:tcPr>
          <w:p w14:paraId="46F3688E" w14:textId="263AAB58" w:rsidR="00AB1744" w:rsidRPr="00FB18CA" w:rsidRDefault="00F641D8" w:rsidP="00C83E7F">
            <w:pPr>
              <w:jc w:val="center"/>
              <w:rPr>
                <w:sz w:val="2"/>
                <w:szCs w:val="2"/>
                <w:lang w:eastAsia="zh-HK"/>
              </w:rPr>
            </w:pPr>
            <w:r>
              <w:rPr>
                <w:noProof/>
                <w:sz w:val="2"/>
                <w:szCs w:val="2"/>
                <w:lang w:eastAsia="zh-CN"/>
              </w:rPr>
              <w:drawing>
                <wp:inline distT="0" distB="0" distL="0" distR="0" wp14:anchorId="33CC1DF2" wp14:editId="38A591A0">
                  <wp:extent cx="2752494" cy="1811327"/>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9364" cy="1835590"/>
                          </a:xfrm>
                          <a:prstGeom prst="rect">
                            <a:avLst/>
                          </a:prstGeom>
                          <a:noFill/>
                        </pic:spPr>
                      </pic:pic>
                    </a:graphicData>
                  </a:graphic>
                </wp:inline>
              </w:drawing>
            </w:r>
          </w:p>
        </w:tc>
        <w:tc>
          <w:tcPr>
            <w:tcW w:w="4564" w:type="dxa"/>
          </w:tcPr>
          <w:p w14:paraId="02FEE442" w14:textId="77777777" w:rsidR="00AB1744" w:rsidRPr="00FB18CA" w:rsidRDefault="00AB1744" w:rsidP="00C83E7F">
            <w:pPr>
              <w:jc w:val="center"/>
              <w:rPr>
                <w:sz w:val="2"/>
                <w:szCs w:val="2"/>
                <w:lang w:eastAsia="zh-HK"/>
              </w:rPr>
            </w:pPr>
            <w:r>
              <w:rPr>
                <w:noProof/>
                <w:sz w:val="2"/>
                <w:szCs w:val="2"/>
                <w:lang w:eastAsia="zh-CN"/>
              </w:rPr>
              <w:drawing>
                <wp:inline distT="0" distB="0" distL="0" distR="0" wp14:anchorId="3D2A1921" wp14:editId="1312E267">
                  <wp:extent cx="2818914" cy="1875155"/>
                  <wp:effectExtent l="0" t="0" r="635" b="0"/>
                  <wp:docPr id="21"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19570" cy="1875591"/>
                          </a:xfrm>
                          <a:prstGeom prst="rect">
                            <a:avLst/>
                          </a:prstGeom>
                          <a:noFill/>
                        </pic:spPr>
                      </pic:pic>
                    </a:graphicData>
                  </a:graphic>
                </wp:inline>
              </w:drawing>
            </w:r>
          </w:p>
        </w:tc>
      </w:tr>
      <w:tr w:rsidR="00AB1744" w14:paraId="28CA6BBC" w14:textId="77777777" w:rsidTr="00C83E7F">
        <w:trPr>
          <w:trHeight w:val="55"/>
        </w:trPr>
        <w:tc>
          <w:tcPr>
            <w:tcW w:w="9072" w:type="dxa"/>
            <w:gridSpan w:val="2"/>
          </w:tcPr>
          <w:p w14:paraId="72A7C200" w14:textId="77777777" w:rsidR="00AB1744" w:rsidRPr="00AD62C8" w:rsidRDefault="00AB1744" w:rsidP="00C83E7F">
            <w:pPr>
              <w:ind w:left="911" w:hanging="911"/>
              <w:jc w:val="both"/>
              <w:rPr>
                <w:sz w:val="20"/>
                <w:szCs w:val="20"/>
              </w:rPr>
            </w:pPr>
            <w:r>
              <w:rPr>
                <w:sz w:val="20"/>
                <w:szCs w:val="20"/>
              </w:rPr>
              <w:t>Note:</w:t>
            </w:r>
            <w:r>
              <w:rPr>
                <w:sz w:val="20"/>
                <w:szCs w:val="20"/>
              </w:rPr>
              <w:tab/>
              <w:t xml:space="preserve">Data as </w:t>
            </w:r>
            <w:r w:rsidRPr="00D7706C">
              <w:rPr>
                <w:sz w:val="20"/>
                <w:szCs w:val="20"/>
              </w:rPr>
              <w:t>of 6 May</w:t>
            </w:r>
            <w:r>
              <w:rPr>
                <w:sz w:val="20"/>
                <w:szCs w:val="20"/>
              </w:rPr>
              <w:t xml:space="preserve"> 2025.</w:t>
            </w:r>
          </w:p>
        </w:tc>
      </w:tr>
      <w:tr w:rsidR="00AB1744" w14:paraId="58F8ED5B" w14:textId="77777777" w:rsidTr="00C83E7F">
        <w:trPr>
          <w:trHeight w:val="55"/>
        </w:trPr>
        <w:tc>
          <w:tcPr>
            <w:tcW w:w="9072" w:type="dxa"/>
            <w:gridSpan w:val="2"/>
          </w:tcPr>
          <w:p w14:paraId="7893CBA8" w14:textId="77777777" w:rsidR="00AB1744" w:rsidRDefault="00AB1744" w:rsidP="00C83E7F">
            <w:pPr>
              <w:tabs>
                <w:tab w:val="left" w:pos="627"/>
              </w:tabs>
              <w:ind w:left="911" w:hanging="911"/>
              <w:jc w:val="both"/>
              <w:rPr>
                <w:sz w:val="20"/>
                <w:szCs w:val="20"/>
              </w:rPr>
            </w:pPr>
            <w:r w:rsidRPr="00FB18CA">
              <w:rPr>
                <w:sz w:val="20"/>
                <w:szCs w:val="20"/>
              </w:rPr>
              <w:t>Source</w:t>
            </w:r>
            <w:r>
              <w:rPr>
                <w:sz w:val="20"/>
                <w:szCs w:val="20"/>
              </w:rPr>
              <w:t>s</w:t>
            </w:r>
            <w:r w:rsidRPr="00FB18CA">
              <w:rPr>
                <w:sz w:val="20"/>
                <w:szCs w:val="20"/>
              </w:rPr>
              <w:t>:</w:t>
            </w:r>
            <w:r w:rsidRPr="00FB18CA">
              <w:rPr>
                <w:sz w:val="20"/>
                <w:szCs w:val="20"/>
              </w:rPr>
              <w:tab/>
              <w:t>Bloomberg</w:t>
            </w:r>
            <w:r>
              <w:rPr>
                <w:sz w:val="20"/>
                <w:szCs w:val="20"/>
              </w:rPr>
              <w:t xml:space="preserve"> and internal calculations</w:t>
            </w:r>
            <w:r w:rsidRPr="00FB18CA">
              <w:rPr>
                <w:sz w:val="20"/>
                <w:szCs w:val="20"/>
              </w:rPr>
              <w:t>.</w:t>
            </w:r>
          </w:p>
        </w:tc>
      </w:tr>
    </w:tbl>
    <w:p w14:paraId="60B6A9AD" w14:textId="77777777" w:rsidR="00AB1744" w:rsidRDefault="00AB1744" w:rsidP="00AB1744">
      <w:pPr>
        <w:overflowPunct w:val="0"/>
        <w:snapToGrid w:val="0"/>
        <w:spacing w:line="280" w:lineRule="exact"/>
        <w:jc w:val="both"/>
        <w:rPr>
          <w:lang w:eastAsia="zh-HK"/>
        </w:rPr>
      </w:pPr>
    </w:p>
    <w:p w14:paraId="5A984815" w14:textId="77777777" w:rsidR="00AB1744" w:rsidRDefault="00AB1744" w:rsidP="00AB1744">
      <w:pPr>
        <w:overflowPunct w:val="0"/>
        <w:snapToGrid w:val="0"/>
        <w:spacing w:before="240" w:afterLines="30" w:after="108" w:line="280" w:lineRule="exact"/>
        <w:jc w:val="both"/>
        <w:rPr>
          <w:lang w:eastAsia="zh-HK"/>
        </w:rPr>
      </w:pPr>
      <w:r>
        <w:rPr>
          <w:lang w:eastAsia="zh-HK"/>
        </w:rPr>
        <w:t xml:space="preserve">To conclude, </w:t>
      </w:r>
      <w:r w:rsidRPr="001A7F14">
        <w:rPr>
          <w:lang w:eastAsia="zh-HK"/>
        </w:rPr>
        <w:t xml:space="preserve">financial conditions in selected Asian economies have </w:t>
      </w:r>
      <w:r>
        <w:rPr>
          <w:lang w:eastAsia="zh-HK"/>
        </w:rPr>
        <w:t xml:space="preserve">generally been </w:t>
      </w:r>
      <w:r w:rsidRPr="001A7F14">
        <w:rPr>
          <w:lang w:eastAsia="zh-HK"/>
        </w:rPr>
        <w:t xml:space="preserve">easing </w:t>
      </w:r>
      <w:r>
        <w:rPr>
          <w:lang w:eastAsia="zh-HK"/>
        </w:rPr>
        <w:t>since the</w:t>
      </w:r>
      <w:r w:rsidRPr="001A7F14">
        <w:rPr>
          <w:lang w:eastAsia="zh-HK"/>
        </w:rPr>
        <w:t xml:space="preserve"> </w:t>
      </w:r>
      <w:r>
        <w:rPr>
          <w:lang w:eastAsia="zh-HK"/>
        </w:rPr>
        <w:t xml:space="preserve">beginning of </w:t>
      </w:r>
      <w:r w:rsidRPr="001A7F14">
        <w:rPr>
          <w:lang w:eastAsia="zh-HK"/>
        </w:rPr>
        <w:t xml:space="preserve">Fed’s </w:t>
      </w:r>
      <w:r>
        <w:rPr>
          <w:lang w:eastAsia="zh-HK"/>
        </w:rPr>
        <w:t>rates cuts in</w:t>
      </w:r>
      <w:r w:rsidRPr="001A7F14">
        <w:rPr>
          <w:lang w:eastAsia="zh-HK"/>
        </w:rPr>
        <w:t xml:space="preserve"> late 2024, supported by receding inflation and accommodative </w:t>
      </w:r>
      <w:r>
        <w:rPr>
          <w:lang w:eastAsia="zh-HK"/>
        </w:rPr>
        <w:t xml:space="preserve">policy stance of regional </w:t>
      </w:r>
      <w:r w:rsidRPr="001A7F14">
        <w:rPr>
          <w:lang w:eastAsia="zh-HK"/>
        </w:rPr>
        <w:t>central bank</w:t>
      </w:r>
      <w:r>
        <w:rPr>
          <w:lang w:eastAsia="zh-HK"/>
        </w:rPr>
        <w:t>s</w:t>
      </w:r>
      <w:r w:rsidRPr="001A7F14">
        <w:rPr>
          <w:lang w:eastAsia="zh-HK"/>
        </w:rPr>
        <w:t xml:space="preserve">. </w:t>
      </w:r>
      <w:r>
        <w:rPr>
          <w:lang w:eastAsia="zh-HK"/>
        </w:rPr>
        <w:t xml:space="preserve"> </w:t>
      </w:r>
      <w:r w:rsidRPr="001A7F14">
        <w:rPr>
          <w:lang w:eastAsia="zh-HK"/>
        </w:rPr>
        <w:t>Despite th</w:t>
      </w:r>
      <w:r>
        <w:rPr>
          <w:lang w:eastAsia="zh-HK"/>
        </w:rPr>
        <w:t>e 90-day pause of implementing the “reciprocal tariffs” in most economies in the region</w:t>
      </w:r>
      <w:r w:rsidRPr="001A7F14">
        <w:rPr>
          <w:lang w:eastAsia="zh-HK"/>
        </w:rPr>
        <w:t>,</w:t>
      </w:r>
      <w:r>
        <w:rPr>
          <w:lang w:eastAsia="zh-HK"/>
        </w:rPr>
        <w:t xml:space="preserve"> </w:t>
      </w:r>
      <w:r w:rsidRPr="001A7F14">
        <w:rPr>
          <w:lang w:eastAsia="zh-HK"/>
        </w:rPr>
        <w:t xml:space="preserve">escalating global trade tensions have </w:t>
      </w:r>
      <w:r>
        <w:rPr>
          <w:lang w:eastAsia="zh-HK"/>
        </w:rPr>
        <w:t>added to volatilities in the</w:t>
      </w:r>
      <w:r w:rsidRPr="001A7F14">
        <w:rPr>
          <w:lang w:eastAsia="zh-HK"/>
        </w:rPr>
        <w:t xml:space="preserve"> equity markets</w:t>
      </w:r>
      <w:r>
        <w:rPr>
          <w:lang w:eastAsia="zh-HK"/>
        </w:rPr>
        <w:t xml:space="preserve"> and triggered some repricing of relative risk premium between the US and Asian bonds</w:t>
      </w:r>
      <w:r w:rsidRPr="001A7F14">
        <w:rPr>
          <w:lang w:eastAsia="zh-HK"/>
        </w:rPr>
        <w:t xml:space="preserve">. </w:t>
      </w:r>
      <w:r>
        <w:rPr>
          <w:lang w:eastAsia="zh-HK"/>
        </w:rPr>
        <w:t xml:space="preserve"> Meanwhile,</w:t>
      </w:r>
      <w:r w:rsidRPr="001A7F14">
        <w:rPr>
          <w:lang w:eastAsia="zh-HK"/>
        </w:rPr>
        <w:t xml:space="preserve"> </w:t>
      </w:r>
      <w:r>
        <w:rPr>
          <w:lang w:eastAsia="zh-HK"/>
        </w:rPr>
        <w:t xml:space="preserve">the recent </w:t>
      </w:r>
      <w:r w:rsidRPr="001A7F14">
        <w:rPr>
          <w:lang w:eastAsia="zh-HK"/>
        </w:rPr>
        <w:t xml:space="preserve">appreciation </w:t>
      </w:r>
      <w:r>
        <w:rPr>
          <w:lang w:eastAsia="zh-HK"/>
        </w:rPr>
        <w:t xml:space="preserve">of Asian currencies would potentially </w:t>
      </w:r>
      <w:r w:rsidRPr="001A7F14">
        <w:rPr>
          <w:lang w:eastAsia="zh-HK"/>
        </w:rPr>
        <w:t xml:space="preserve">benefit </w:t>
      </w:r>
      <w:r>
        <w:rPr>
          <w:lang w:eastAsia="zh-HK"/>
        </w:rPr>
        <w:t>the</w:t>
      </w:r>
      <w:r w:rsidRPr="001A7F14">
        <w:rPr>
          <w:lang w:eastAsia="zh-HK"/>
        </w:rPr>
        <w:t xml:space="preserve"> balance sheets but </w:t>
      </w:r>
      <w:r>
        <w:rPr>
          <w:lang w:eastAsia="zh-HK"/>
        </w:rPr>
        <w:t>hamper</w:t>
      </w:r>
      <w:r w:rsidRPr="001A7F14">
        <w:rPr>
          <w:lang w:eastAsia="zh-HK"/>
        </w:rPr>
        <w:t xml:space="preserve"> export competitiveness. </w:t>
      </w:r>
      <w:r>
        <w:rPr>
          <w:lang w:eastAsia="zh-HK"/>
        </w:rPr>
        <w:t xml:space="preserve"> </w:t>
      </w:r>
      <w:r w:rsidRPr="001A7F14">
        <w:rPr>
          <w:lang w:eastAsia="zh-HK"/>
        </w:rPr>
        <w:t xml:space="preserve">Overall, while monetary easing has helped </w:t>
      </w:r>
      <w:r>
        <w:rPr>
          <w:lang w:eastAsia="zh-HK"/>
        </w:rPr>
        <w:t>lower</w:t>
      </w:r>
      <w:r w:rsidRPr="001A7F14">
        <w:rPr>
          <w:lang w:eastAsia="zh-HK"/>
        </w:rPr>
        <w:t xml:space="preserve"> borrowing costs and provided some relief, ongoing </w:t>
      </w:r>
      <w:r>
        <w:rPr>
          <w:rFonts w:hint="eastAsia"/>
          <w:lang w:eastAsia="zh-HK"/>
        </w:rPr>
        <w:t>g</w:t>
      </w:r>
      <w:r>
        <w:rPr>
          <w:lang w:eastAsia="zh-HK"/>
        </w:rPr>
        <w:t xml:space="preserve">lobal economic and </w:t>
      </w:r>
      <w:r w:rsidRPr="001A7F14">
        <w:rPr>
          <w:lang w:eastAsia="zh-HK"/>
        </w:rPr>
        <w:t xml:space="preserve">political </w:t>
      </w:r>
      <w:r>
        <w:rPr>
          <w:lang w:eastAsia="zh-HK"/>
        </w:rPr>
        <w:t xml:space="preserve">uncertainties may </w:t>
      </w:r>
      <w:r w:rsidRPr="001A7F14">
        <w:rPr>
          <w:lang w:eastAsia="zh-HK"/>
        </w:rPr>
        <w:t xml:space="preserve">continue to weigh on </w:t>
      </w:r>
      <w:r>
        <w:rPr>
          <w:lang w:eastAsia="zh-HK"/>
        </w:rPr>
        <w:t xml:space="preserve">investor sentiment and </w:t>
      </w:r>
      <w:r w:rsidRPr="001A7F14">
        <w:rPr>
          <w:lang w:eastAsia="zh-HK"/>
        </w:rPr>
        <w:t>financial stability in Asia</w:t>
      </w:r>
      <w:r>
        <w:rPr>
          <w:lang w:eastAsia="zh-HK"/>
        </w:rPr>
        <w:t xml:space="preserve"> in the near-term</w:t>
      </w:r>
      <w:r w:rsidRPr="001A7F14">
        <w:rPr>
          <w:rFonts w:hint="eastAsia"/>
          <w:lang w:eastAsia="zh-HK"/>
        </w:rPr>
        <w:t>.</w:t>
      </w:r>
    </w:p>
    <w:p w14:paraId="1F123F99" w14:textId="77777777" w:rsidR="00AB1744" w:rsidRPr="008D2830" w:rsidRDefault="00AB1744" w:rsidP="00AB1744">
      <w:pPr>
        <w:overflowPunct w:val="0"/>
        <w:snapToGrid w:val="0"/>
        <w:spacing w:before="240" w:afterLines="30" w:after="108" w:line="280" w:lineRule="exact"/>
        <w:jc w:val="both"/>
        <w:rPr>
          <w:lang w:eastAsia="zh-HK"/>
        </w:rPr>
      </w:pPr>
    </w:p>
    <w:p w14:paraId="47B1A52D" w14:textId="52EC34AA" w:rsidR="00AB1744" w:rsidRDefault="00AB1744">
      <w:pPr>
        <w:widowControl/>
        <w:rPr>
          <w:szCs w:val="28"/>
          <w:lang w:eastAsia="zh-HK"/>
        </w:rPr>
      </w:pPr>
      <w:r>
        <w:rPr>
          <w:szCs w:val="28"/>
          <w:lang w:eastAsia="zh-HK"/>
        </w:rPr>
        <w:br w:type="page"/>
      </w:r>
    </w:p>
    <w:p w14:paraId="460530BA" w14:textId="10732419" w:rsidR="001560B6" w:rsidRPr="00A945C0" w:rsidRDefault="00384E66" w:rsidP="001560B6">
      <w:pPr>
        <w:tabs>
          <w:tab w:val="left" w:pos="1260"/>
        </w:tabs>
        <w:spacing w:line="360" w:lineRule="atLeast"/>
        <w:jc w:val="both"/>
        <w:rPr>
          <w:sz w:val="28"/>
        </w:rPr>
      </w:pPr>
      <w:r>
        <w:rPr>
          <w:b/>
          <w:i/>
          <w:sz w:val="28"/>
        </w:rPr>
        <w:lastRenderedPageBreak/>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4A7FE713" w14:textId="6C5F3C99" w:rsidR="00237F6A" w:rsidRPr="00D20966" w:rsidRDefault="00D20966" w:rsidP="00237F6A">
      <w:pPr>
        <w:pStyle w:val="ListParagraph"/>
        <w:numPr>
          <w:ilvl w:val="0"/>
          <w:numId w:val="6"/>
        </w:numPr>
        <w:tabs>
          <w:tab w:val="clear" w:pos="1276"/>
          <w:tab w:val="left" w:pos="1260"/>
        </w:tabs>
        <w:spacing w:after="0" w:line="360" w:lineRule="atLeast"/>
        <w:ind w:leftChars="0"/>
        <w:jc w:val="both"/>
      </w:pPr>
      <w:r w:rsidRPr="00D20966">
        <w:t xml:space="preserve">Supported by </w:t>
      </w:r>
      <w:r w:rsidR="00C93100">
        <w:t xml:space="preserve">broadly </w:t>
      </w:r>
      <w:r w:rsidRPr="00D20966">
        <w:t>sustained external demand</w:t>
      </w:r>
      <w:r w:rsidR="002B7FF5">
        <w:t xml:space="preserve"> and likely some front</w:t>
      </w:r>
      <w:r w:rsidR="002B7FF5">
        <w:noBreakHyphen/>
      </w:r>
      <w:r w:rsidR="003C6687">
        <w:t>loading of shipments in anticipation of</w:t>
      </w:r>
      <w:r w:rsidRPr="003C6687">
        <w:t xml:space="preserve"> </w:t>
      </w:r>
      <w:r w:rsidR="00F73674">
        <w:t xml:space="preserve">imminent </w:t>
      </w:r>
      <w:r w:rsidR="003C6687">
        <w:rPr>
          <w:lang w:eastAsia="zh-HK"/>
        </w:rPr>
        <w:t>tariff hikes</w:t>
      </w:r>
      <w:r w:rsidRPr="00D20966">
        <w:t xml:space="preserve">, </w:t>
      </w:r>
      <w:r w:rsidR="00237F6A" w:rsidRPr="00D20966">
        <w:t xml:space="preserve">Hong Kong’s </w:t>
      </w:r>
      <w:r w:rsidR="00237F6A" w:rsidRPr="00D20966">
        <w:rPr>
          <w:i/>
        </w:rPr>
        <w:t>merchandise exports</w:t>
      </w:r>
      <w:r w:rsidR="00237F6A" w:rsidRPr="00D20966">
        <w:t xml:space="preserve"> </w:t>
      </w:r>
      <w:r w:rsidR="00EE0AD0">
        <w:t xml:space="preserve">posted accelerated year-on-year growth of </w:t>
      </w:r>
      <w:r w:rsidR="00746286">
        <w:t>8.</w:t>
      </w:r>
      <w:r w:rsidR="00DF50B1">
        <w:t>7</w:t>
      </w:r>
      <w:r w:rsidR="00237F6A" w:rsidRPr="00D20966">
        <w:t xml:space="preserve">% </w:t>
      </w:r>
      <w:r w:rsidR="00237F6A" w:rsidRPr="00D20966">
        <w:rPr>
          <w:lang w:eastAsia="zh-HK"/>
        </w:rPr>
        <w:t>in real terms</w:t>
      </w:r>
      <w:r w:rsidR="00237F6A" w:rsidRPr="00D20966">
        <w:t xml:space="preserve"> in the </w:t>
      </w:r>
      <w:r w:rsidR="00F2388F" w:rsidRPr="00D20966">
        <w:t>first</w:t>
      </w:r>
      <w:r w:rsidR="00237F6A" w:rsidRPr="00D20966">
        <w:t xml:space="preserve"> quarter of 202</w:t>
      </w:r>
      <w:r w:rsidR="00F2388F" w:rsidRPr="00D20966">
        <w:t>5</w:t>
      </w:r>
      <w:r w:rsidR="00594E4C" w:rsidRPr="00D20966">
        <w:t xml:space="preserve">, </w:t>
      </w:r>
      <w:r w:rsidR="005E640C">
        <w:t xml:space="preserve">following a </w:t>
      </w:r>
      <w:r w:rsidR="00851B04" w:rsidRPr="00D20966">
        <w:t>0.7</w:t>
      </w:r>
      <w:r w:rsidR="00237F6A" w:rsidRPr="00D20966">
        <w:t>%</w:t>
      </w:r>
      <w:r w:rsidR="00851B04" w:rsidRPr="00D20966">
        <w:t xml:space="preserve"> </w:t>
      </w:r>
      <w:r w:rsidR="005E640C">
        <w:t>increase</w:t>
      </w:r>
      <w:r w:rsidR="00237F6A" w:rsidRPr="00D20966">
        <w:t xml:space="preserve"> in the preceding quarter</w:t>
      </w:r>
      <w:r w:rsidRPr="00D20966">
        <w:t>.</w:t>
      </w:r>
    </w:p>
    <w:p w14:paraId="427F9FC1" w14:textId="7F8BB46D" w:rsidR="00237F6A" w:rsidRDefault="00237F6A" w:rsidP="00237F6A">
      <w:pPr>
        <w:tabs>
          <w:tab w:val="left" w:pos="1260"/>
        </w:tabs>
        <w:spacing w:line="360" w:lineRule="atLeast"/>
        <w:rPr>
          <w:b/>
          <w:bCs/>
          <w:sz w:val="28"/>
        </w:rPr>
      </w:pPr>
    </w:p>
    <w:p w14:paraId="3DCC4949" w14:textId="77777777" w:rsidR="00123A58" w:rsidRPr="00B67ADE" w:rsidRDefault="00123A58" w:rsidP="00123A58">
      <w:pPr>
        <w:keepNext/>
        <w:keepLines/>
        <w:tabs>
          <w:tab w:val="left" w:pos="1260"/>
        </w:tabs>
        <w:spacing w:line="360" w:lineRule="atLeast"/>
        <w:jc w:val="center"/>
        <w:rPr>
          <w:sz w:val="28"/>
        </w:rPr>
      </w:pPr>
      <w:r w:rsidRPr="00B67ADE">
        <w:rPr>
          <w:b/>
          <w:bCs/>
          <w:sz w:val="28"/>
        </w:rPr>
        <w:t xml:space="preserve">Table </w:t>
      </w:r>
      <w:proofErr w:type="gramStart"/>
      <w:r>
        <w:rPr>
          <w:b/>
          <w:bCs/>
          <w:sz w:val="28"/>
        </w:rPr>
        <w:t>2</w:t>
      </w:r>
      <w:r w:rsidRPr="00B67ADE">
        <w:rPr>
          <w:b/>
          <w:bCs/>
          <w:sz w:val="28"/>
        </w:rPr>
        <w:t>.1 :</w:t>
      </w:r>
      <w:proofErr w:type="gramEnd"/>
      <w:r w:rsidRPr="00B67ADE">
        <w:rPr>
          <w:b/>
          <w:bCs/>
          <w:sz w:val="28"/>
        </w:rPr>
        <w:t xml:space="preserve"> </w:t>
      </w:r>
      <w:r w:rsidRPr="00D00121">
        <w:rPr>
          <w:b/>
          <w:bCs/>
          <w:sz w:val="28"/>
        </w:rPr>
        <w:t>Merchandise exports</w:t>
      </w:r>
    </w:p>
    <w:p w14:paraId="6124446B" w14:textId="77777777" w:rsidR="00123A58" w:rsidRPr="00B67ADE" w:rsidRDefault="00123A58" w:rsidP="00123A58">
      <w:pPr>
        <w:keepNext/>
        <w:keepLines/>
        <w:tabs>
          <w:tab w:val="left" w:pos="990"/>
        </w:tabs>
        <w:spacing w:line="280" w:lineRule="exact"/>
        <w:jc w:val="center"/>
        <w:rPr>
          <w:b/>
          <w:sz w:val="28"/>
        </w:rPr>
      </w:pPr>
      <w:r w:rsidRPr="00B67ADE">
        <w:rPr>
          <w:b/>
          <w:sz w:val="28"/>
        </w:rPr>
        <w:t>(</w:t>
      </w:r>
      <w:proofErr w:type="gramStart"/>
      <w:r w:rsidRPr="00B67ADE">
        <w:rPr>
          <w:b/>
          <w:sz w:val="28"/>
        </w:rPr>
        <w:t>year-on-year</w:t>
      </w:r>
      <w:proofErr w:type="gramEnd"/>
      <w:r w:rsidRPr="00B67ADE">
        <w:rPr>
          <w:b/>
          <w:sz w:val="28"/>
        </w:rPr>
        <w:t xml:space="preserve"> rate of change (%))</w:t>
      </w:r>
    </w:p>
    <w:p w14:paraId="4761A0FA" w14:textId="77777777" w:rsidR="00123A58" w:rsidRPr="000E17DD" w:rsidRDefault="00123A58" w:rsidP="00123A58">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123A58" w:rsidRPr="0062778D" w14:paraId="08F94B9A" w14:textId="77777777" w:rsidTr="00C83E7F">
        <w:trPr>
          <w:cantSplit/>
          <w:trHeight w:val="789"/>
          <w:jc w:val="center"/>
        </w:trPr>
        <w:tc>
          <w:tcPr>
            <w:tcW w:w="2013" w:type="dxa"/>
          </w:tcPr>
          <w:p w14:paraId="07696413" w14:textId="77777777" w:rsidR="00123A58" w:rsidRPr="0062778D" w:rsidRDefault="00123A58" w:rsidP="00C83E7F">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7130EACA"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62778D">
              <w:t>In value</w:t>
            </w:r>
          </w:p>
          <w:p w14:paraId="7CAC48EE"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62778D">
              <w:rPr>
                <w:u w:val="single"/>
              </w:rPr>
              <w:t>terms</w:t>
            </w:r>
          </w:p>
          <w:p w14:paraId="7876D4E8"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01D2D1A1"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62778D">
              <w:t>In real</w:t>
            </w:r>
          </w:p>
          <w:p w14:paraId="0FC0BF05"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62778D">
              <w:rPr>
                <w:u w:val="single"/>
              </w:rPr>
              <w:t>terms</w:t>
            </w:r>
            <w:r w:rsidRPr="0062778D">
              <w:rPr>
                <w:vertAlign w:val="superscript"/>
              </w:rPr>
              <w:t>(a)</w:t>
            </w:r>
          </w:p>
        </w:tc>
        <w:tc>
          <w:tcPr>
            <w:tcW w:w="2088" w:type="dxa"/>
          </w:tcPr>
          <w:p w14:paraId="706CD8C4"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t>Change</w:t>
            </w:r>
          </w:p>
          <w:p w14:paraId="1AC4BFA8"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rPr>
                <w:u w:val="single"/>
              </w:rPr>
              <w:t>in prices</w:t>
            </w:r>
          </w:p>
        </w:tc>
      </w:tr>
      <w:tr w:rsidR="00123A58" w:rsidRPr="0062778D" w14:paraId="2A4F50C6" w14:textId="77777777" w:rsidTr="00C83E7F">
        <w:trPr>
          <w:cantSplit/>
          <w:trHeight w:val="272"/>
          <w:jc w:val="center"/>
        </w:trPr>
        <w:tc>
          <w:tcPr>
            <w:tcW w:w="2013" w:type="dxa"/>
          </w:tcPr>
          <w:p w14:paraId="5ED615EE" w14:textId="77777777" w:rsidR="00123A58" w:rsidRPr="0062778D" w:rsidRDefault="00123A58" w:rsidP="00C83E7F">
            <w:pPr>
              <w:keepNext/>
              <w:keepLines/>
              <w:tabs>
                <w:tab w:val="left" w:pos="790"/>
              </w:tabs>
              <w:spacing w:line="260" w:lineRule="exact"/>
              <w:jc w:val="both"/>
            </w:pPr>
            <w:r>
              <w:t>2024</w:t>
            </w:r>
            <w:r w:rsidRPr="0062778D">
              <w:tab/>
              <w:t>Annual</w:t>
            </w:r>
            <w:r w:rsidRPr="0062778D" w:rsidDel="00A46AB3">
              <w:t xml:space="preserve"> </w:t>
            </w:r>
          </w:p>
        </w:tc>
        <w:tc>
          <w:tcPr>
            <w:tcW w:w="1598" w:type="dxa"/>
          </w:tcPr>
          <w:p w14:paraId="56143422" w14:textId="77777777" w:rsidR="00123A58" w:rsidRPr="00D87594" w:rsidRDefault="00123A58" w:rsidP="00C83E7F">
            <w:pPr>
              <w:keepNext/>
              <w:keepLines/>
              <w:tabs>
                <w:tab w:val="decimal" w:pos="347"/>
              </w:tabs>
              <w:spacing w:line="260" w:lineRule="exact"/>
              <w:jc w:val="center"/>
            </w:pPr>
            <w:r>
              <w:t>8.7</w:t>
            </w:r>
          </w:p>
        </w:tc>
        <w:tc>
          <w:tcPr>
            <w:tcW w:w="1134" w:type="dxa"/>
          </w:tcPr>
          <w:p w14:paraId="6020F309" w14:textId="77777777" w:rsidR="00123A58" w:rsidRPr="00D87594" w:rsidRDefault="00123A58" w:rsidP="00C83E7F">
            <w:pPr>
              <w:keepNext/>
              <w:keepLines/>
              <w:tabs>
                <w:tab w:val="decimal" w:pos="287"/>
              </w:tabs>
              <w:spacing w:line="260" w:lineRule="exact"/>
              <w:jc w:val="center"/>
            </w:pPr>
            <w:r>
              <w:t>4.9</w:t>
            </w:r>
          </w:p>
        </w:tc>
        <w:tc>
          <w:tcPr>
            <w:tcW w:w="992" w:type="dxa"/>
          </w:tcPr>
          <w:p w14:paraId="6B1895AE" w14:textId="77777777" w:rsidR="00123A58" w:rsidRPr="00D87594" w:rsidRDefault="00123A58" w:rsidP="00C83E7F">
            <w:pPr>
              <w:keepNext/>
              <w:keepLines/>
              <w:tabs>
                <w:tab w:val="decimal" w:pos="347"/>
              </w:tabs>
              <w:spacing w:line="260" w:lineRule="exact"/>
              <w:jc w:val="both"/>
            </w:pPr>
          </w:p>
        </w:tc>
        <w:tc>
          <w:tcPr>
            <w:tcW w:w="2088" w:type="dxa"/>
          </w:tcPr>
          <w:p w14:paraId="29332641" w14:textId="77777777" w:rsidR="00123A58" w:rsidRPr="00D87594" w:rsidRDefault="00123A58" w:rsidP="00C83E7F">
            <w:pPr>
              <w:keepNext/>
              <w:keepLines/>
              <w:tabs>
                <w:tab w:val="decimal" w:pos="403"/>
              </w:tabs>
              <w:spacing w:line="260" w:lineRule="exact"/>
              <w:jc w:val="center"/>
            </w:pPr>
            <w:r>
              <w:rPr>
                <w:lang w:eastAsia="zh-HK"/>
              </w:rPr>
              <w:t>3.6</w:t>
            </w:r>
          </w:p>
        </w:tc>
      </w:tr>
      <w:tr w:rsidR="00123A58" w:rsidRPr="0062778D" w14:paraId="42E705F2" w14:textId="77777777" w:rsidTr="00C83E7F">
        <w:trPr>
          <w:cantSplit/>
          <w:trHeight w:val="272"/>
          <w:jc w:val="center"/>
        </w:trPr>
        <w:tc>
          <w:tcPr>
            <w:tcW w:w="2013" w:type="dxa"/>
          </w:tcPr>
          <w:p w14:paraId="3FDA8882" w14:textId="77777777" w:rsidR="00123A58" w:rsidRPr="0062778D" w:rsidRDefault="00123A58" w:rsidP="00C83E7F">
            <w:pPr>
              <w:keepNext/>
              <w:keepLines/>
              <w:tabs>
                <w:tab w:val="left" w:pos="512"/>
              </w:tabs>
              <w:spacing w:line="260" w:lineRule="exact"/>
              <w:jc w:val="both"/>
            </w:pPr>
          </w:p>
        </w:tc>
        <w:tc>
          <w:tcPr>
            <w:tcW w:w="1598" w:type="dxa"/>
          </w:tcPr>
          <w:p w14:paraId="3DB3AF21" w14:textId="77777777" w:rsidR="00123A58" w:rsidRPr="003808FE" w:rsidRDefault="00123A58" w:rsidP="00C83E7F">
            <w:pPr>
              <w:keepNext/>
              <w:keepLines/>
              <w:tabs>
                <w:tab w:val="decimal" w:pos="347"/>
              </w:tabs>
              <w:spacing w:line="260" w:lineRule="exact"/>
              <w:jc w:val="center"/>
              <w:rPr>
                <w:highlight w:val="yellow"/>
                <w:lang w:eastAsia="zh-HK"/>
              </w:rPr>
            </w:pPr>
          </w:p>
        </w:tc>
        <w:tc>
          <w:tcPr>
            <w:tcW w:w="1134" w:type="dxa"/>
          </w:tcPr>
          <w:p w14:paraId="31525EE7" w14:textId="77777777" w:rsidR="00123A58" w:rsidRPr="003808FE" w:rsidRDefault="00123A58" w:rsidP="00C83E7F">
            <w:pPr>
              <w:keepNext/>
              <w:keepLines/>
              <w:tabs>
                <w:tab w:val="decimal" w:pos="287"/>
              </w:tabs>
              <w:spacing w:line="260" w:lineRule="exact"/>
              <w:jc w:val="center"/>
              <w:rPr>
                <w:highlight w:val="yellow"/>
                <w:lang w:eastAsia="zh-HK"/>
              </w:rPr>
            </w:pPr>
          </w:p>
        </w:tc>
        <w:tc>
          <w:tcPr>
            <w:tcW w:w="992" w:type="dxa"/>
          </w:tcPr>
          <w:p w14:paraId="400F9C8F" w14:textId="77777777" w:rsidR="00123A58" w:rsidRPr="003808FE" w:rsidRDefault="00123A58" w:rsidP="00C83E7F">
            <w:pPr>
              <w:keepNext/>
              <w:keepLines/>
              <w:tabs>
                <w:tab w:val="decimal" w:pos="347"/>
              </w:tabs>
              <w:spacing w:line="260" w:lineRule="exact"/>
              <w:jc w:val="both"/>
              <w:rPr>
                <w:highlight w:val="yellow"/>
                <w:lang w:eastAsia="zh-HK"/>
              </w:rPr>
            </w:pPr>
          </w:p>
        </w:tc>
        <w:tc>
          <w:tcPr>
            <w:tcW w:w="2088" w:type="dxa"/>
          </w:tcPr>
          <w:p w14:paraId="31F5EF38" w14:textId="77777777" w:rsidR="00123A58" w:rsidRPr="003808FE" w:rsidRDefault="00123A58" w:rsidP="00C83E7F">
            <w:pPr>
              <w:keepNext/>
              <w:keepLines/>
              <w:tabs>
                <w:tab w:val="decimal" w:pos="403"/>
              </w:tabs>
              <w:spacing w:line="260" w:lineRule="exact"/>
              <w:jc w:val="center"/>
              <w:rPr>
                <w:highlight w:val="yellow"/>
                <w:lang w:eastAsia="zh-HK"/>
              </w:rPr>
            </w:pPr>
          </w:p>
        </w:tc>
      </w:tr>
      <w:tr w:rsidR="00123A58" w:rsidRPr="0062778D" w14:paraId="359C4EAB" w14:textId="77777777" w:rsidTr="00C83E7F">
        <w:trPr>
          <w:cantSplit/>
          <w:trHeight w:val="272"/>
          <w:jc w:val="center"/>
        </w:trPr>
        <w:tc>
          <w:tcPr>
            <w:tcW w:w="2013" w:type="dxa"/>
          </w:tcPr>
          <w:p w14:paraId="33DBDD25" w14:textId="77777777" w:rsidR="00123A58" w:rsidRPr="0062778D" w:rsidRDefault="00123A58" w:rsidP="00C83E7F">
            <w:pPr>
              <w:keepNext/>
              <w:keepLines/>
              <w:tabs>
                <w:tab w:val="left" w:pos="790"/>
              </w:tabs>
              <w:spacing w:line="260" w:lineRule="exact"/>
              <w:jc w:val="both"/>
            </w:pPr>
            <w:r w:rsidRPr="0062778D">
              <w:tab/>
              <w:t>Q1</w:t>
            </w:r>
          </w:p>
        </w:tc>
        <w:tc>
          <w:tcPr>
            <w:tcW w:w="1598" w:type="dxa"/>
          </w:tcPr>
          <w:p w14:paraId="14BFB22E" w14:textId="77777777" w:rsidR="00123A58" w:rsidRPr="00D87594" w:rsidRDefault="00123A58" w:rsidP="00C83E7F">
            <w:pPr>
              <w:keepNext/>
              <w:keepLines/>
              <w:tabs>
                <w:tab w:val="decimal" w:pos="347"/>
              </w:tabs>
              <w:spacing w:line="260" w:lineRule="exact"/>
              <w:jc w:val="center"/>
              <w:rPr>
                <w:lang w:eastAsia="zh-HK"/>
              </w:rPr>
            </w:pPr>
            <w:r>
              <w:t>11.9</w:t>
            </w:r>
          </w:p>
        </w:tc>
        <w:tc>
          <w:tcPr>
            <w:tcW w:w="1134" w:type="dxa"/>
          </w:tcPr>
          <w:p w14:paraId="19234B1B" w14:textId="77777777" w:rsidR="00123A58" w:rsidRPr="00D87594" w:rsidRDefault="00123A58" w:rsidP="00C83E7F">
            <w:pPr>
              <w:keepNext/>
              <w:keepLines/>
              <w:tabs>
                <w:tab w:val="decimal" w:pos="287"/>
              </w:tabs>
              <w:spacing w:line="260" w:lineRule="exact"/>
              <w:jc w:val="center"/>
              <w:rPr>
                <w:lang w:eastAsia="zh-HK"/>
              </w:rPr>
            </w:pPr>
            <w:r>
              <w:t>7.1</w:t>
            </w:r>
          </w:p>
        </w:tc>
        <w:tc>
          <w:tcPr>
            <w:tcW w:w="992" w:type="dxa"/>
          </w:tcPr>
          <w:p w14:paraId="7A050DB7" w14:textId="77777777" w:rsidR="00123A58" w:rsidRPr="00D87594" w:rsidRDefault="00123A58" w:rsidP="00C83E7F">
            <w:pPr>
              <w:keepNext/>
              <w:keepLines/>
              <w:tabs>
                <w:tab w:val="decimal" w:pos="620"/>
              </w:tabs>
              <w:spacing w:line="260" w:lineRule="exact"/>
              <w:ind w:left="53"/>
              <w:jc w:val="both"/>
            </w:pPr>
            <w:r w:rsidRPr="00D87594">
              <w:rPr>
                <w:lang w:eastAsia="zh-HK"/>
              </w:rPr>
              <w:t>(</w:t>
            </w:r>
            <w:r>
              <w:t>*</w:t>
            </w:r>
            <w:r w:rsidRPr="00D87594">
              <w:rPr>
                <w:lang w:eastAsia="zh-HK"/>
              </w:rPr>
              <w:t>)</w:t>
            </w:r>
          </w:p>
        </w:tc>
        <w:tc>
          <w:tcPr>
            <w:tcW w:w="2088" w:type="dxa"/>
          </w:tcPr>
          <w:p w14:paraId="2EEC2D8D" w14:textId="77777777" w:rsidR="00123A58" w:rsidRPr="00D87594" w:rsidRDefault="00123A58" w:rsidP="00C83E7F">
            <w:pPr>
              <w:keepNext/>
              <w:keepLines/>
              <w:tabs>
                <w:tab w:val="decimal" w:pos="403"/>
              </w:tabs>
              <w:spacing w:line="260" w:lineRule="exact"/>
              <w:jc w:val="center"/>
              <w:rPr>
                <w:lang w:eastAsia="zh-HK"/>
              </w:rPr>
            </w:pPr>
            <w:r>
              <w:t>4.5</w:t>
            </w:r>
          </w:p>
        </w:tc>
      </w:tr>
      <w:tr w:rsidR="00123A58" w:rsidRPr="0062778D" w14:paraId="3ADE32D6" w14:textId="77777777" w:rsidTr="00C83E7F">
        <w:trPr>
          <w:cantSplit/>
          <w:trHeight w:val="272"/>
          <w:jc w:val="center"/>
        </w:trPr>
        <w:tc>
          <w:tcPr>
            <w:tcW w:w="2013" w:type="dxa"/>
          </w:tcPr>
          <w:p w14:paraId="4882C4CC" w14:textId="77777777" w:rsidR="00123A58" w:rsidRPr="0062778D" w:rsidRDefault="00123A58" w:rsidP="00C83E7F">
            <w:pPr>
              <w:keepNext/>
              <w:keepLines/>
              <w:tabs>
                <w:tab w:val="left" w:pos="790"/>
              </w:tabs>
              <w:spacing w:line="260" w:lineRule="exact"/>
              <w:jc w:val="both"/>
            </w:pPr>
            <w:r w:rsidRPr="0062778D">
              <w:tab/>
              <w:t>Q2</w:t>
            </w:r>
          </w:p>
        </w:tc>
        <w:tc>
          <w:tcPr>
            <w:tcW w:w="1598" w:type="dxa"/>
          </w:tcPr>
          <w:p w14:paraId="5BC4954F" w14:textId="77777777" w:rsidR="00123A58" w:rsidRPr="00D87594" w:rsidRDefault="00123A58" w:rsidP="00C83E7F">
            <w:pPr>
              <w:keepNext/>
              <w:keepLines/>
              <w:tabs>
                <w:tab w:val="decimal" w:pos="347"/>
              </w:tabs>
              <w:spacing w:line="260" w:lineRule="exact"/>
              <w:jc w:val="center"/>
            </w:pPr>
            <w:r>
              <w:t>12.5</w:t>
            </w:r>
          </w:p>
        </w:tc>
        <w:tc>
          <w:tcPr>
            <w:tcW w:w="1134" w:type="dxa"/>
          </w:tcPr>
          <w:p w14:paraId="1FA0D151" w14:textId="77777777" w:rsidR="00123A58" w:rsidRPr="00D87594" w:rsidRDefault="00123A58" w:rsidP="00C83E7F">
            <w:pPr>
              <w:keepNext/>
              <w:keepLines/>
              <w:tabs>
                <w:tab w:val="decimal" w:pos="287"/>
              </w:tabs>
              <w:spacing w:line="260" w:lineRule="exact"/>
              <w:jc w:val="center"/>
            </w:pPr>
            <w:r>
              <w:t>8.1</w:t>
            </w:r>
          </w:p>
        </w:tc>
        <w:tc>
          <w:tcPr>
            <w:tcW w:w="992" w:type="dxa"/>
          </w:tcPr>
          <w:p w14:paraId="778ACD31" w14:textId="77777777" w:rsidR="00123A58" w:rsidRPr="00D87594" w:rsidRDefault="00123A58" w:rsidP="00C83E7F">
            <w:pPr>
              <w:keepNext/>
              <w:keepLines/>
              <w:tabs>
                <w:tab w:val="decimal" w:pos="347"/>
              </w:tabs>
              <w:spacing w:line="260" w:lineRule="exact"/>
              <w:jc w:val="both"/>
            </w:pPr>
            <w:r w:rsidRPr="00D87594">
              <w:rPr>
                <w:lang w:eastAsia="zh-HK"/>
              </w:rPr>
              <w:t>(</w:t>
            </w:r>
            <w:r>
              <w:rPr>
                <w:lang w:eastAsia="zh-HK"/>
              </w:rPr>
              <w:t>2.2</w:t>
            </w:r>
            <w:r w:rsidRPr="00D87594">
              <w:rPr>
                <w:lang w:eastAsia="zh-HK"/>
              </w:rPr>
              <w:t>)</w:t>
            </w:r>
          </w:p>
        </w:tc>
        <w:tc>
          <w:tcPr>
            <w:tcW w:w="2088" w:type="dxa"/>
          </w:tcPr>
          <w:p w14:paraId="22EEB68E" w14:textId="77777777" w:rsidR="00123A58" w:rsidRPr="00D87594" w:rsidRDefault="00123A58" w:rsidP="00C83E7F">
            <w:pPr>
              <w:keepNext/>
              <w:keepLines/>
              <w:tabs>
                <w:tab w:val="decimal" w:pos="403"/>
              </w:tabs>
              <w:spacing w:line="260" w:lineRule="exact"/>
              <w:jc w:val="center"/>
            </w:pPr>
            <w:r>
              <w:t>3.9</w:t>
            </w:r>
          </w:p>
        </w:tc>
      </w:tr>
      <w:tr w:rsidR="00123A58" w:rsidRPr="0062778D" w14:paraId="0C5F0026" w14:textId="77777777" w:rsidTr="00C83E7F">
        <w:trPr>
          <w:cantSplit/>
          <w:trHeight w:val="272"/>
          <w:jc w:val="center"/>
        </w:trPr>
        <w:tc>
          <w:tcPr>
            <w:tcW w:w="2013" w:type="dxa"/>
          </w:tcPr>
          <w:p w14:paraId="79511FFE" w14:textId="77777777" w:rsidR="00123A58" w:rsidRPr="0062778D" w:rsidRDefault="00123A58" w:rsidP="00C83E7F">
            <w:pPr>
              <w:keepNext/>
              <w:keepLines/>
              <w:tabs>
                <w:tab w:val="left" w:pos="790"/>
              </w:tabs>
              <w:spacing w:line="260" w:lineRule="exact"/>
              <w:jc w:val="both"/>
            </w:pPr>
            <w:r w:rsidRPr="0062778D">
              <w:tab/>
              <w:t>Q3</w:t>
            </w:r>
          </w:p>
        </w:tc>
        <w:tc>
          <w:tcPr>
            <w:tcW w:w="1598" w:type="dxa"/>
          </w:tcPr>
          <w:p w14:paraId="384554D3" w14:textId="77777777" w:rsidR="00123A58" w:rsidRPr="00D87594" w:rsidRDefault="00123A58" w:rsidP="00C83E7F">
            <w:pPr>
              <w:keepNext/>
              <w:keepLines/>
              <w:tabs>
                <w:tab w:val="decimal" w:pos="347"/>
              </w:tabs>
              <w:spacing w:line="260" w:lineRule="exact"/>
              <w:jc w:val="center"/>
            </w:pPr>
            <w:r>
              <w:t>8.0</w:t>
            </w:r>
          </w:p>
        </w:tc>
        <w:tc>
          <w:tcPr>
            <w:tcW w:w="1134" w:type="dxa"/>
          </w:tcPr>
          <w:p w14:paraId="56D3FEBD" w14:textId="77777777" w:rsidR="00123A58" w:rsidRPr="00D87594" w:rsidRDefault="00123A58" w:rsidP="00C83E7F">
            <w:pPr>
              <w:keepNext/>
              <w:keepLines/>
              <w:tabs>
                <w:tab w:val="decimal" w:pos="287"/>
              </w:tabs>
              <w:spacing w:line="260" w:lineRule="exact"/>
              <w:jc w:val="center"/>
            </w:pPr>
            <w:r>
              <w:t>4.2</w:t>
            </w:r>
          </w:p>
        </w:tc>
        <w:tc>
          <w:tcPr>
            <w:tcW w:w="992" w:type="dxa"/>
          </w:tcPr>
          <w:p w14:paraId="1DE07B91" w14:textId="77777777" w:rsidR="00123A58" w:rsidRPr="00D87594" w:rsidRDefault="00123A58" w:rsidP="00C83E7F">
            <w:pPr>
              <w:keepNext/>
              <w:keepLines/>
              <w:tabs>
                <w:tab w:val="decimal" w:pos="347"/>
              </w:tabs>
              <w:spacing w:line="260" w:lineRule="exact"/>
              <w:jc w:val="both"/>
            </w:pPr>
            <w:r w:rsidRPr="00D87594">
              <w:rPr>
                <w:lang w:eastAsia="zh-HK"/>
              </w:rPr>
              <w:t>(</w:t>
            </w:r>
            <w:r>
              <w:rPr>
                <w:lang w:eastAsia="zh-HK"/>
              </w:rPr>
              <w:t>-1.3</w:t>
            </w:r>
            <w:r w:rsidRPr="00D87594">
              <w:rPr>
                <w:lang w:eastAsia="zh-HK"/>
              </w:rPr>
              <w:t>)</w:t>
            </w:r>
          </w:p>
        </w:tc>
        <w:tc>
          <w:tcPr>
            <w:tcW w:w="2088" w:type="dxa"/>
          </w:tcPr>
          <w:p w14:paraId="47F13A86" w14:textId="77777777" w:rsidR="00123A58" w:rsidRPr="00D87594" w:rsidRDefault="00123A58" w:rsidP="00C83E7F">
            <w:pPr>
              <w:keepNext/>
              <w:keepLines/>
              <w:tabs>
                <w:tab w:val="decimal" w:pos="403"/>
              </w:tabs>
              <w:spacing w:line="260" w:lineRule="exact"/>
              <w:jc w:val="center"/>
            </w:pPr>
            <w:r>
              <w:t>3.4</w:t>
            </w:r>
          </w:p>
        </w:tc>
      </w:tr>
      <w:tr w:rsidR="00123A58" w:rsidRPr="0062778D" w14:paraId="6B376476" w14:textId="77777777" w:rsidTr="00C83E7F">
        <w:trPr>
          <w:cantSplit/>
          <w:trHeight w:val="272"/>
          <w:jc w:val="center"/>
        </w:trPr>
        <w:tc>
          <w:tcPr>
            <w:tcW w:w="2013" w:type="dxa"/>
          </w:tcPr>
          <w:p w14:paraId="339560A3" w14:textId="77777777" w:rsidR="00123A58" w:rsidRPr="0062778D" w:rsidRDefault="00123A58" w:rsidP="00C83E7F">
            <w:pPr>
              <w:keepNext/>
              <w:keepLines/>
              <w:tabs>
                <w:tab w:val="left" w:pos="790"/>
              </w:tabs>
              <w:spacing w:line="260" w:lineRule="exact"/>
              <w:jc w:val="both"/>
            </w:pPr>
            <w:r w:rsidRPr="0062778D">
              <w:tab/>
              <w:t>Q4</w:t>
            </w:r>
          </w:p>
        </w:tc>
        <w:tc>
          <w:tcPr>
            <w:tcW w:w="1598" w:type="dxa"/>
          </w:tcPr>
          <w:p w14:paraId="04A914DA" w14:textId="77777777" w:rsidR="00123A58" w:rsidRPr="00D87594" w:rsidRDefault="00123A58" w:rsidP="00C83E7F">
            <w:pPr>
              <w:keepNext/>
              <w:keepLines/>
              <w:tabs>
                <w:tab w:val="decimal" w:pos="347"/>
              </w:tabs>
              <w:spacing w:line="260" w:lineRule="exact"/>
              <w:jc w:val="center"/>
              <w:rPr>
                <w:lang w:eastAsia="zh-HK"/>
              </w:rPr>
            </w:pPr>
            <w:r>
              <w:rPr>
                <w:lang w:eastAsia="zh-HK"/>
              </w:rPr>
              <w:t>3.5</w:t>
            </w:r>
          </w:p>
        </w:tc>
        <w:tc>
          <w:tcPr>
            <w:tcW w:w="1134" w:type="dxa"/>
          </w:tcPr>
          <w:p w14:paraId="6591952F" w14:textId="77777777" w:rsidR="00123A58" w:rsidRPr="00D87594" w:rsidRDefault="00123A58" w:rsidP="00C83E7F">
            <w:pPr>
              <w:keepNext/>
              <w:keepLines/>
              <w:tabs>
                <w:tab w:val="decimal" w:pos="287"/>
              </w:tabs>
              <w:spacing w:line="260" w:lineRule="exact"/>
              <w:jc w:val="center"/>
            </w:pPr>
            <w:r>
              <w:rPr>
                <w:lang w:eastAsia="zh-HK"/>
              </w:rPr>
              <w:t>0.7</w:t>
            </w:r>
          </w:p>
        </w:tc>
        <w:tc>
          <w:tcPr>
            <w:tcW w:w="992" w:type="dxa"/>
          </w:tcPr>
          <w:p w14:paraId="1D150970" w14:textId="77777777" w:rsidR="00123A58" w:rsidRPr="00D87594" w:rsidRDefault="00123A58" w:rsidP="00C83E7F">
            <w:pPr>
              <w:keepNext/>
              <w:keepLines/>
              <w:tabs>
                <w:tab w:val="decimal" w:pos="620"/>
              </w:tabs>
              <w:spacing w:line="260" w:lineRule="exact"/>
              <w:ind w:left="53"/>
              <w:jc w:val="both"/>
            </w:pPr>
            <w:r w:rsidRPr="00D87594">
              <w:rPr>
                <w:lang w:eastAsia="zh-HK"/>
              </w:rPr>
              <w:t>(</w:t>
            </w:r>
            <w:r>
              <w:rPr>
                <w:lang w:eastAsia="zh-HK"/>
              </w:rPr>
              <w:t>*</w:t>
            </w:r>
            <w:r w:rsidRPr="00D87594">
              <w:rPr>
                <w:lang w:eastAsia="zh-HK"/>
              </w:rPr>
              <w:t>)</w:t>
            </w:r>
          </w:p>
        </w:tc>
        <w:tc>
          <w:tcPr>
            <w:tcW w:w="2088" w:type="dxa"/>
          </w:tcPr>
          <w:p w14:paraId="4B17CD9A" w14:textId="77777777" w:rsidR="00123A58" w:rsidRPr="00D87594" w:rsidRDefault="00123A58" w:rsidP="00C83E7F">
            <w:pPr>
              <w:keepNext/>
              <w:keepLines/>
              <w:tabs>
                <w:tab w:val="decimal" w:pos="403"/>
              </w:tabs>
              <w:spacing w:line="260" w:lineRule="exact"/>
              <w:jc w:val="center"/>
            </w:pPr>
            <w:r>
              <w:rPr>
                <w:rFonts w:hint="eastAsia"/>
              </w:rPr>
              <w:t>2.9</w:t>
            </w:r>
          </w:p>
        </w:tc>
      </w:tr>
      <w:tr w:rsidR="00123A58" w:rsidRPr="0062778D" w14:paraId="594CD453" w14:textId="77777777" w:rsidTr="00C83E7F">
        <w:trPr>
          <w:cantSplit/>
          <w:trHeight w:val="272"/>
          <w:jc w:val="center"/>
        </w:trPr>
        <w:tc>
          <w:tcPr>
            <w:tcW w:w="2013" w:type="dxa"/>
          </w:tcPr>
          <w:p w14:paraId="4715E2B3" w14:textId="77777777" w:rsidR="00123A58" w:rsidRPr="0062778D" w:rsidRDefault="00123A58" w:rsidP="00C83E7F">
            <w:pPr>
              <w:keepNext/>
              <w:keepLines/>
              <w:tabs>
                <w:tab w:val="left" w:pos="790"/>
              </w:tabs>
              <w:spacing w:line="260" w:lineRule="exact"/>
              <w:jc w:val="both"/>
            </w:pPr>
          </w:p>
        </w:tc>
        <w:tc>
          <w:tcPr>
            <w:tcW w:w="1598" w:type="dxa"/>
          </w:tcPr>
          <w:p w14:paraId="2DA6D328" w14:textId="77777777" w:rsidR="00123A58" w:rsidRPr="003808FE" w:rsidRDefault="00123A58" w:rsidP="00C83E7F">
            <w:pPr>
              <w:keepNext/>
              <w:keepLines/>
              <w:tabs>
                <w:tab w:val="decimal" w:pos="347"/>
              </w:tabs>
              <w:spacing w:line="260" w:lineRule="exact"/>
              <w:jc w:val="center"/>
              <w:rPr>
                <w:highlight w:val="yellow"/>
                <w:lang w:eastAsia="zh-HK"/>
              </w:rPr>
            </w:pPr>
          </w:p>
        </w:tc>
        <w:tc>
          <w:tcPr>
            <w:tcW w:w="1134" w:type="dxa"/>
          </w:tcPr>
          <w:p w14:paraId="73FF6F1C" w14:textId="77777777" w:rsidR="00123A58" w:rsidRPr="003808FE" w:rsidRDefault="00123A58" w:rsidP="00C83E7F">
            <w:pPr>
              <w:keepNext/>
              <w:keepLines/>
              <w:tabs>
                <w:tab w:val="decimal" w:pos="287"/>
              </w:tabs>
              <w:spacing w:line="260" w:lineRule="exact"/>
              <w:jc w:val="center"/>
              <w:rPr>
                <w:highlight w:val="yellow"/>
                <w:lang w:eastAsia="zh-HK"/>
              </w:rPr>
            </w:pPr>
          </w:p>
        </w:tc>
        <w:tc>
          <w:tcPr>
            <w:tcW w:w="992" w:type="dxa"/>
          </w:tcPr>
          <w:p w14:paraId="29566D40" w14:textId="77777777" w:rsidR="00123A58" w:rsidRPr="003808FE" w:rsidRDefault="00123A58" w:rsidP="00C83E7F">
            <w:pPr>
              <w:keepNext/>
              <w:keepLines/>
              <w:tabs>
                <w:tab w:val="decimal" w:pos="347"/>
              </w:tabs>
              <w:spacing w:line="260" w:lineRule="exact"/>
              <w:jc w:val="both"/>
              <w:rPr>
                <w:highlight w:val="yellow"/>
                <w:lang w:eastAsia="zh-HK"/>
              </w:rPr>
            </w:pPr>
          </w:p>
        </w:tc>
        <w:tc>
          <w:tcPr>
            <w:tcW w:w="2088" w:type="dxa"/>
          </w:tcPr>
          <w:p w14:paraId="73A9EF43" w14:textId="77777777" w:rsidR="00123A58" w:rsidRPr="003808FE" w:rsidRDefault="00123A58" w:rsidP="00C83E7F">
            <w:pPr>
              <w:keepNext/>
              <w:keepLines/>
              <w:tabs>
                <w:tab w:val="decimal" w:pos="403"/>
              </w:tabs>
              <w:spacing w:line="260" w:lineRule="exact"/>
              <w:jc w:val="center"/>
              <w:rPr>
                <w:highlight w:val="yellow"/>
              </w:rPr>
            </w:pPr>
          </w:p>
        </w:tc>
      </w:tr>
      <w:tr w:rsidR="00123A58" w:rsidRPr="0062778D" w14:paraId="192CE83B" w14:textId="77777777" w:rsidTr="00C83E7F">
        <w:trPr>
          <w:cantSplit/>
          <w:trHeight w:val="272"/>
          <w:jc w:val="center"/>
        </w:trPr>
        <w:tc>
          <w:tcPr>
            <w:tcW w:w="2013" w:type="dxa"/>
          </w:tcPr>
          <w:p w14:paraId="737A5F12" w14:textId="77777777" w:rsidR="00123A58" w:rsidRPr="00194772" w:rsidRDefault="00123A58" w:rsidP="00C83E7F">
            <w:pPr>
              <w:keepNext/>
              <w:keepLines/>
              <w:tabs>
                <w:tab w:val="left" w:pos="790"/>
              </w:tabs>
              <w:spacing w:line="260" w:lineRule="exact"/>
              <w:jc w:val="both"/>
            </w:pPr>
            <w:r w:rsidRPr="00194772">
              <w:t>2025</w:t>
            </w:r>
            <w:r w:rsidRPr="00194772">
              <w:tab/>
              <w:t>Q1</w:t>
            </w:r>
            <w:r w:rsidRPr="00194772" w:rsidDel="00A46AB3">
              <w:t xml:space="preserve"> </w:t>
            </w:r>
          </w:p>
        </w:tc>
        <w:tc>
          <w:tcPr>
            <w:tcW w:w="1598" w:type="dxa"/>
          </w:tcPr>
          <w:p w14:paraId="389E3D76" w14:textId="77777777" w:rsidR="00123A58" w:rsidRPr="00194772" w:rsidRDefault="00123A58" w:rsidP="00C83E7F">
            <w:pPr>
              <w:keepNext/>
              <w:keepLines/>
              <w:tabs>
                <w:tab w:val="decimal" w:pos="347"/>
              </w:tabs>
              <w:spacing w:line="260" w:lineRule="exact"/>
              <w:jc w:val="center"/>
              <w:rPr>
                <w:lang w:eastAsia="zh-HK"/>
              </w:rPr>
            </w:pPr>
            <w:r>
              <w:rPr>
                <w:lang w:eastAsia="zh-HK"/>
              </w:rPr>
              <w:t>10.9</w:t>
            </w:r>
          </w:p>
        </w:tc>
        <w:tc>
          <w:tcPr>
            <w:tcW w:w="1134" w:type="dxa"/>
            <w:shd w:val="clear" w:color="auto" w:fill="auto"/>
          </w:tcPr>
          <w:p w14:paraId="29A89E87" w14:textId="77777777" w:rsidR="00123A58" w:rsidRPr="00194772" w:rsidRDefault="00123A58" w:rsidP="00C83E7F">
            <w:pPr>
              <w:keepNext/>
              <w:keepLines/>
              <w:tabs>
                <w:tab w:val="decimal" w:pos="287"/>
              </w:tabs>
              <w:spacing w:line="260" w:lineRule="exact"/>
              <w:jc w:val="center"/>
              <w:rPr>
                <w:lang w:eastAsia="zh-HK"/>
              </w:rPr>
            </w:pPr>
            <w:r>
              <w:rPr>
                <w:lang w:eastAsia="zh-HK"/>
              </w:rPr>
              <w:t>8.7</w:t>
            </w:r>
          </w:p>
        </w:tc>
        <w:tc>
          <w:tcPr>
            <w:tcW w:w="992" w:type="dxa"/>
            <w:shd w:val="clear" w:color="auto" w:fill="auto"/>
          </w:tcPr>
          <w:p w14:paraId="44D65F88" w14:textId="77777777" w:rsidR="00123A58" w:rsidRPr="00194772" w:rsidRDefault="00123A58" w:rsidP="00C83E7F">
            <w:pPr>
              <w:keepNext/>
              <w:keepLines/>
              <w:tabs>
                <w:tab w:val="decimal" w:pos="347"/>
              </w:tabs>
              <w:spacing w:line="260" w:lineRule="exact"/>
              <w:jc w:val="both"/>
              <w:rPr>
                <w:lang w:eastAsia="zh-HK"/>
              </w:rPr>
            </w:pPr>
            <w:r w:rsidRPr="00194772">
              <w:rPr>
                <w:lang w:eastAsia="zh-HK"/>
              </w:rPr>
              <w:t>(</w:t>
            </w:r>
            <w:r>
              <w:rPr>
                <w:lang w:eastAsia="zh-HK"/>
              </w:rPr>
              <w:t>9.5</w:t>
            </w:r>
            <w:r w:rsidRPr="00194772">
              <w:rPr>
                <w:lang w:eastAsia="zh-HK"/>
              </w:rPr>
              <w:t>)</w:t>
            </w:r>
          </w:p>
        </w:tc>
        <w:tc>
          <w:tcPr>
            <w:tcW w:w="2088" w:type="dxa"/>
            <w:shd w:val="clear" w:color="auto" w:fill="auto"/>
          </w:tcPr>
          <w:p w14:paraId="6F1BD0FA" w14:textId="77777777" w:rsidR="00123A58" w:rsidRPr="00D87594" w:rsidRDefault="00123A58" w:rsidP="00C83E7F">
            <w:pPr>
              <w:keepNext/>
              <w:keepLines/>
              <w:tabs>
                <w:tab w:val="decimal" w:pos="403"/>
              </w:tabs>
              <w:spacing w:line="260" w:lineRule="exact"/>
              <w:jc w:val="center"/>
            </w:pPr>
            <w:r>
              <w:rPr>
                <w:rFonts w:hint="eastAsia"/>
              </w:rPr>
              <w:t>1.9</w:t>
            </w:r>
          </w:p>
        </w:tc>
      </w:tr>
    </w:tbl>
    <w:p w14:paraId="6AD5D801" w14:textId="77777777" w:rsidR="00123A58" w:rsidRPr="0062778D" w:rsidRDefault="00123A58" w:rsidP="00123A58">
      <w:pPr>
        <w:pStyle w:val="NormalIndent"/>
        <w:keepNext/>
        <w:keepLines/>
        <w:tabs>
          <w:tab w:val="left" w:pos="720"/>
        </w:tabs>
        <w:spacing w:line="250" w:lineRule="exact"/>
        <w:ind w:left="1260" w:hanging="1260"/>
        <w:rPr>
          <w:sz w:val="24"/>
          <w:szCs w:val="24"/>
          <w:lang w:val="en-GB"/>
        </w:rPr>
      </w:pPr>
    </w:p>
    <w:p w14:paraId="28CC7D86" w14:textId="77777777" w:rsidR="00123A58" w:rsidRPr="00B67ADE" w:rsidRDefault="00123A58" w:rsidP="00123A58">
      <w:pPr>
        <w:pStyle w:val="NormalIndent"/>
        <w:keepNext/>
        <w:keepLines/>
        <w:tabs>
          <w:tab w:val="left" w:pos="720"/>
        </w:tabs>
        <w:spacing w:line="250" w:lineRule="exact"/>
        <w:ind w:left="1260" w:hanging="1260"/>
        <w:rPr>
          <w:sz w:val="22"/>
          <w:szCs w:val="22"/>
          <w:lang w:val="en-GB"/>
        </w:rPr>
      </w:pPr>
      <w:proofErr w:type="gramStart"/>
      <w:r>
        <w:rPr>
          <w:sz w:val="22"/>
          <w:szCs w:val="22"/>
          <w:lang w:val="en-GB"/>
        </w:rPr>
        <w:t>Notes :</w:t>
      </w:r>
      <w:proofErr w:type="gramEnd"/>
      <w:r>
        <w:rPr>
          <w:sz w:val="22"/>
          <w:szCs w:val="22"/>
          <w:lang w:val="en-GB"/>
        </w:rPr>
        <w:tab/>
        <w:t>(  )</w:t>
      </w:r>
      <w:r w:rsidRPr="00B67ADE">
        <w:rPr>
          <w:sz w:val="22"/>
          <w:szCs w:val="22"/>
          <w:lang w:val="en-GB"/>
        </w:rPr>
        <w:tab/>
        <w:t>Seasonally adjusted quarter-to-quarter rate of change.</w:t>
      </w:r>
    </w:p>
    <w:p w14:paraId="47F84B88" w14:textId="77777777" w:rsidR="00123A58" w:rsidRPr="00B67ADE" w:rsidRDefault="00123A58" w:rsidP="00123A58">
      <w:pPr>
        <w:pStyle w:val="NormalIndent"/>
        <w:keepNext/>
        <w:keepLines/>
        <w:tabs>
          <w:tab w:val="left" w:pos="720"/>
        </w:tabs>
        <w:spacing w:line="250" w:lineRule="exact"/>
        <w:ind w:left="0"/>
        <w:rPr>
          <w:sz w:val="22"/>
          <w:szCs w:val="22"/>
          <w:lang w:val="en-GB" w:eastAsia="zh-HK"/>
        </w:rPr>
      </w:pPr>
    </w:p>
    <w:p w14:paraId="1B766FAF" w14:textId="77777777" w:rsidR="00123A58" w:rsidRDefault="00123A58" w:rsidP="00123A58">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igures in Tab</w:t>
      </w:r>
      <w:r>
        <w:rPr>
          <w:sz w:val="22"/>
          <w:szCs w:val="22"/>
          <w:lang w:val="en-GB" w:eastAsia="zh-HK"/>
        </w:rPr>
        <w:t>le </w:t>
      </w:r>
      <w:r w:rsidRPr="00B67ADE">
        <w:rPr>
          <w:sz w:val="22"/>
          <w:szCs w:val="22"/>
          <w:lang w:val="en-GB" w:eastAsia="zh-HK"/>
        </w:rPr>
        <w:t xml:space="preserve">1.1 are compiled based on the change of ownership principle in recording goods sent abroad for processing and </w:t>
      </w:r>
      <w:proofErr w:type="spellStart"/>
      <w:r w:rsidRPr="00B67ADE">
        <w:rPr>
          <w:sz w:val="22"/>
          <w:szCs w:val="22"/>
          <w:lang w:val="en-GB" w:eastAsia="zh-HK"/>
        </w:rPr>
        <w:t>merchanting</w:t>
      </w:r>
      <w:proofErr w:type="spellEnd"/>
      <w:r w:rsidRPr="00B67ADE">
        <w:rPr>
          <w:sz w:val="22"/>
          <w:szCs w:val="22"/>
          <w:lang w:val="en-GB" w:eastAsia="zh-HK"/>
        </w:rPr>
        <w:t xml:space="preserve"> under the standards stipulated in the </w:t>
      </w:r>
      <w:r w:rsidRPr="00B67ADE">
        <w:rPr>
          <w:i/>
          <w:sz w:val="22"/>
          <w:szCs w:val="22"/>
          <w:lang w:val="en-GB" w:eastAsia="zh-HK"/>
        </w:rPr>
        <w:t>System of National Accounts 2008</w:t>
      </w:r>
      <w:r w:rsidRPr="00B67ADE">
        <w:rPr>
          <w:sz w:val="22"/>
          <w:szCs w:val="22"/>
          <w:lang w:val="en-GB" w:eastAsia="zh-HK"/>
        </w:rPr>
        <w:t>.</w:t>
      </w:r>
    </w:p>
    <w:p w14:paraId="29A746CC" w14:textId="77777777" w:rsidR="00123A58" w:rsidRPr="00123A58" w:rsidRDefault="00123A58" w:rsidP="00123A58">
      <w:pPr>
        <w:pStyle w:val="NormalIndent"/>
        <w:keepNext/>
        <w:keepLines/>
        <w:tabs>
          <w:tab w:val="left" w:pos="720"/>
        </w:tabs>
        <w:spacing w:line="250" w:lineRule="exact"/>
        <w:ind w:left="0"/>
        <w:rPr>
          <w:sz w:val="22"/>
          <w:szCs w:val="22"/>
          <w:lang w:val="en-GB" w:eastAsia="zh-HK"/>
        </w:rPr>
      </w:pPr>
    </w:p>
    <w:p w14:paraId="1153B8C2" w14:textId="77777777" w:rsidR="00123A58" w:rsidRDefault="00123A58" w:rsidP="00123A58">
      <w:pPr>
        <w:keepNext/>
        <w:keepLines/>
        <w:tabs>
          <w:tab w:val="left" w:pos="709"/>
        </w:tabs>
        <w:spacing w:afterLines="50" w:after="180" w:line="250" w:lineRule="exact"/>
        <w:ind w:left="1276" w:hanging="1276"/>
        <w:jc w:val="both"/>
        <w:rPr>
          <w:kern w:val="0"/>
          <w:sz w:val="22"/>
          <w:szCs w:val="22"/>
        </w:rPr>
      </w:pPr>
      <w:r w:rsidRPr="00BE40F4">
        <w:rPr>
          <w:kern w:val="0"/>
          <w:sz w:val="22"/>
          <w:szCs w:val="22"/>
        </w:rPr>
        <w:tab/>
        <w:t>(*)</w:t>
      </w:r>
      <w:r w:rsidRPr="00BE40F4">
        <w:rPr>
          <w:kern w:val="0"/>
          <w:sz w:val="22"/>
          <w:szCs w:val="22"/>
        </w:rPr>
        <w:tab/>
        <w:t>Change of less than ±0.05%.</w:t>
      </w:r>
    </w:p>
    <w:p w14:paraId="2D95C783" w14:textId="03A4D87F" w:rsidR="00123A58" w:rsidRDefault="00123A58" w:rsidP="00237F6A">
      <w:pPr>
        <w:tabs>
          <w:tab w:val="left" w:pos="1260"/>
        </w:tabs>
        <w:spacing w:line="360" w:lineRule="atLeast"/>
        <w:rPr>
          <w:b/>
          <w:bCs/>
          <w:sz w:val="28"/>
        </w:rPr>
      </w:pPr>
    </w:p>
    <w:p w14:paraId="0F0CFAB6" w14:textId="603C3430" w:rsidR="001D35F3" w:rsidRDefault="004F7815" w:rsidP="001D35F3">
      <w:pPr>
        <w:pStyle w:val="BodyTextIndent"/>
        <w:tabs>
          <w:tab w:val="clear" w:pos="810"/>
          <w:tab w:val="clear" w:pos="1440"/>
          <w:tab w:val="clear" w:pos="9360"/>
          <w:tab w:val="left" w:pos="6336"/>
          <w:tab w:val="left" w:pos="8931"/>
        </w:tabs>
        <w:spacing w:line="240" w:lineRule="auto"/>
        <w:ind w:right="96"/>
        <w:rPr>
          <w:sz w:val="28"/>
          <w:szCs w:val="21"/>
          <w:lang w:val="en-GB"/>
        </w:rPr>
      </w:pPr>
      <w:r w:rsidRPr="004F7815">
        <w:rPr>
          <w:noProof/>
          <w:lang w:val="en-GB" w:eastAsia="zh-CN"/>
        </w:rPr>
        <w:lastRenderedPageBreak/>
        <w:drawing>
          <wp:inline distT="0" distB="0" distL="0" distR="0" wp14:anchorId="4E03C5C2" wp14:editId="7EAAD557">
            <wp:extent cx="5731510" cy="353577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35774"/>
                    </a:xfrm>
                    <a:prstGeom prst="rect">
                      <a:avLst/>
                    </a:prstGeom>
                    <a:noFill/>
                    <a:ln>
                      <a:noFill/>
                    </a:ln>
                  </pic:spPr>
                </pic:pic>
              </a:graphicData>
            </a:graphic>
          </wp:inline>
        </w:drawing>
      </w:r>
    </w:p>
    <w:p w14:paraId="6CB5992F" w14:textId="2022AE23" w:rsidR="009618F6" w:rsidRPr="007F483A" w:rsidRDefault="009618F6" w:rsidP="006F615F">
      <w:pPr>
        <w:pStyle w:val="BodyTextIndent"/>
        <w:tabs>
          <w:tab w:val="clear" w:pos="810"/>
          <w:tab w:val="clear" w:pos="1440"/>
          <w:tab w:val="clear" w:pos="9360"/>
          <w:tab w:val="left" w:pos="6336"/>
          <w:tab w:val="left" w:pos="8931"/>
        </w:tabs>
        <w:spacing w:line="240" w:lineRule="exact"/>
        <w:ind w:right="96"/>
        <w:rPr>
          <w:sz w:val="22"/>
          <w:szCs w:val="22"/>
          <w:lang w:val="en-GB"/>
        </w:rPr>
      </w:pPr>
      <w:proofErr w:type="gramStart"/>
      <w:r w:rsidRPr="00B67ADE">
        <w:rPr>
          <w:sz w:val="22"/>
          <w:szCs w:val="22"/>
          <w:lang w:val="en-GB"/>
        </w:rPr>
        <w:t>Notes :</w:t>
      </w:r>
      <w:proofErr w:type="gramEnd"/>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 while total import demand in Hong Kong’s major markets as depicted refers to the year</w:t>
      </w:r>
      <w:r w:rsidRPr="00B67ADE">
        <w:rPr>
          <w:sz w:val="22"/>
          <w:szCs w:val="22"/>
          <w:lang w:val="en-GB"/>
        </w:rPr>
        <w:noBreakHyphen/>
        <w:t>on</w:t>
      </w:r>
      <w:r w:rsidRPr="00B67ADE">
        <w:rPr>
          <w:sz w:val="22"/>
          <w:szCs w:val="22"/>
          <w:lang w:val="en-GB"/>
        </w:rPr>
        <w:noBreakHyphen/>
        <w:t xml:space="preserve">year rate of change in US dollar terms in the aggregate import demand in Asia, the </w:t>
      </w:r>
      <w:r w:rsidR="00875D09">
        <w:rPr>
          <w:sz w:val="22"/>
          <w:szCs w:val="22"/>
          <w:lang w:val="en-GB"/>
        </w:rPr>
        <w:t>US</w:t>
      </w:r>
      <w:r w:rsidRPr="00B67ADE">
        <w:rPr>
          <w:sz w:val="22"/>
          <w:szCs w:val="22"/>
          <w:lang w:val="en-GB"/>
        </w:rPr>
        <w:t xml:space="preserve"> and the </w:t>
      </w:r>
      <w:r w:rsidR="00875D09">
        <w:rPr>
          <w:sz w:val="22"/>
          <w:szCs w:val="22"/>
          <w:lang w:val="en-GB"/>
        </w:rPr>
        <w:t>EU</w:t>
      </w:r>
      <w:r w:rsidRPr="00B67ADE">
        <w:rPr>
          <w:sz w:val="22"/>
          <w:szCs w:val="22"/>
          <w:lang w:val="en-GB"/>
        </w:rPr>
        <w:t xml:space="preserve"> taken together.</w:t>
      </w:r>
    </w:p>
    <w:p w14:paraId="0DC294D1" w14:textId="5DE6C39F" w:rsidR="009618F6" w:rsidRDefault="009618F6" w:rsidP="009618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
    <w:p w14:paraId="18F3D0C2" w14:textId="5D5693A5" w:rsidR="00097F47" w:rsidRPr="00AB6E0E" w:rsidRDefault="009618F6" w:rsidP="00AB6E0E">
      <w:pPr>
        <w:pStyle w:val="BodyTextIndent"/>
        <w:keepNext/>
        <w:keepLines/>
        <w:tabs>
          <w:tab w:val="clear" w:pos="810"/>
          <w:tab w:val="clear" w:pos="9360"/>
          <w:tab w:val="left" w:pos="6336"/>
        </w:tabs>
        <w:spacing w:line="250" w:lineRule="exact"/>
        <w:ind w:left="1418" w:right="95" w:hanging="425"/>
        <w:rPr>
          <w:lang w:val="en-GB" w:eastAsia="zh-HK"/>
        </w:rPr>
      </w:pPr>
      <w:r w:rsidRPr="00AC0FF2">
        <w:rPr>
          <w:sz w:val="22"/>
          <w:szCs w:val="22"/>
          <w:lang w:val="en-GB"/>
        </w:rPr>
        <w:t xml:space="preserve">(#) </w:t>
      </w:r>
      <w:r w:rsidRPr="00AC0FF2">
        <w:rPr>
          <w:sz w:val="22"/>
          <w:szCs w:val="22"/>
          <w:lang w:val="en-GB"/>
        </w:rPr>
        <w:tab/>
        <w:t xml:space="preserve">Import demand for the EU for the </w:t>
      </w:r>
      <w:r w:rsidR="008C5D51">
        <w:rPr>
          <w:sz w:val="22"/>
          <w:szCs w:val="22"/>
          <w:lang w:val="en-GB"/>
        </w:rPr>
        <w:t>first</w:t>
      </w:r>
      <w:r w:rsidRPr="00AC0FF2">
        <w:rPr>
          <w:sz w:val="22"/>
          <w:szCs w:val="22"/>
          <w:lang w:val="en-GB"/>
        </w:rPr>
        <w:t xml:space="preserve"> quarter of 202</w:t>
      </w:r>
      <w:r w:rsidR="008C5D51">
        <w:rPr>
          <w:sz w:val="22"/>
          <w:szCs w:val="22"/>
          <w:lang w:val="en-GB"/>
        </w:rPr>
        <w:t>5</w:t>
      </w:r>
      <w:r w:rsidRPr="00AC0FF2">
        <w:rPr>
          <w:sz w:val="22"/>
          <w:szCs w:val="22"/>
          <w:lang w:val="en-GB"/>
        </w:rPr>
        <w:t xml:space="preserve"> is based on information available as of early </w:t>
      </w:r>
      <w:r w:rsidR="008C5D51">
        <w:rPr>
          <w:sz w:val="22"/>
          <w:szCs w:val="22"/>
          <w:lang w:val="en-GB" w:eastAsia="zh-HK"/>
        </w:rPr>
        <w:t>May 2025</w:t>
      </w:r>
      <w:r w:rsidRPr="00AC0FF2">
        <w:rPr>
          <w:sz w:val="22"/>
          <w:szCs w:val="22"/>
          <w:lang w:val="en-GB"/>
        </w:rPr>
        <w:t>.</w:t>
      </w:r>
    </w:p>
    <w:p w14:paraId="380D991E" w14:textId="0DEF171B" w:rsidR="00097F47" w:rsidRDefault="00097F47" w:rsidP="001D35F3">
      <w:pPr>
        <w:pStyle w:val="BodyTextIndent"/>
        <w:tabs>
          <w:tab w:val="clear" w:pos="810"/>
          <w:tab w:val="clear" w:pos="1440"/>
          <w:tab w:val="clear" w:pos="9360"/>
          <w:tab w:val="left" w:pos="6336"/>
          <w:tab w:val="left" w:pos="8931"/>
        </w:tabs>
        <w:spacing w:line="240" w:lineRule="exact"/>
        <w:ind w:right="96"/>
        <w:jc w:val="left"/>
        <w:rPr>
          <w:sz w:val="21"/>
          <w:szCs w:val="21"/>
          <w:lang w:val="en-GB"/>
        </w:rPr>
      </w:pPr>
    </w:p>
    <w:p w14:paraId="28562E84" w14:textId="379DDE6F" w:rsidR="009A0A4B" w:rsidRPr="00F42B16" w:rsidRDefault="009A0A4B" w:rsidP="00F42B16">
      <w:pPr>
        <w:pStyle w:val="BodyTextIndent"/>
        <w:tabs>
          <w:tab w:val="clear" w:pos="810"/>
          <w:tab w:val="clear" w:pos="1440"/>
          <w:tab w:val="clear" w:pos="9360"/>
          <w:tab w:val="left" w:pos="6336"/>
          <w:tab w:val="left" w:pos="8931"/>
        </w:tabs>
        <w:spacing w:line="240" w:lineRule="exact"/>
        <w:ind w:left="0" w:right="96" w:firstLine="0"/>
        <w:jc w:val="left"/>
        <w:rPr>
          <w:sz w:val="21"/>
          <w:szCs w:val="21"/>
          <w:lang w:val="en-GB"/>
        </w:rPr>
      </w:pPr>
    </w:p>
    <w:p w14:paraId="42BAA584" w14:textId="379FB2C0" w:rsidR="00B42004" w:rsidRDefault="001F2715"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1F2715">
        <w:rPr>
          <w:noProof/>
          <w:lang w:val="en-GB" w:eastAsia="zh-CN"/>
        </w:rPr>
        <w:lastRenderedPageBreak/>
        <w:drawing>
          <wp:inline distT="0" distB="0" distL="0" distR="0" wp14:anchorId="240D9384" wp14:editId="049943C0">
            <wp:extent cx="5731510" cy="3769926"/>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769926"/>
                    </a:xfrm>
                    <a:prstGeom prst="rect">
                      <a:avLst/>
                    </a:prstGeom>
                    <a:noFill/>
                    <a:ln>
                      <a:noFill/>
                    </a:ln>
                  </pic:spPr>
                </pic:pic>
              </a:graphicData>
            </a:graphic>
          </wp:inline>
        </w:drawing>
      </w:r>
    </w:p>
    <w:p w14:paraId="455E0079" w14:textId="2E272400" w:rsidR="000372C0"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proofErr w:type="gramStart"/>
      <w:r w:rsidRPr="00B67ADE">
        <w:rPr>
          <w:sz w:val="21"/>
          <w:szCs w:val="21"/>
          <w:lang w:val="en-GB"/>
        </w:rPr>
        <w:t>Notes :</w:t>
      </w:r>
      <w:proofErr w:type="gramEnd"/>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w:t>
      </w:r>
      <w:r w:rsidR="000372C0" w:rsidRPr="00AC0FF2">
        <w:rPr>
          <w:sz w:val="21"/>
          <w:szCs w:val="21"/>
          <w:lang w:val="en-GB"/>
        </w:rPr>
        <w:t xml:space="preserve">the </w:t>
      </w:r>
      <w:r w:rsidR="008C5D51">
        <w:rPr>
          <w:sz w:val="21"/>
          <w:szCs w:val="21"/>
          <w:lang w:val="en-GB"/>
        </w:rPr>
        <w:t>first</w:t>
      </w:r>
      <w:r w:rsidR="000372C0" w:rsidRPr="00AC0FF2">
        <w:rPr>
          <w:sz w:val="21"/>
          <w:szCs w:val="21"/>
          <w:lang w:val="en-GB"/>
        </w:rPr>
        <w:t xml:space="preserve"> quarter of 202</w:t>
      </w:r>
      <w:r w:rsidR="008C5D51">
        <w:rPr>
          <w:sz w:val="21"/>
          <w:szCs w:val="21"/>
          <w:lang w:val="en-GB"/>
        </w:rPr>
        <w:t>5</w:t>
      </w:r>
      <w:r w:rsidR="000372C0" w:rsidRPr="00AC0FF2">
        <w:rPr>
          <w:sz w:val="21"/>
          <w:szCs w:val="21"/>
          <w:lang w:val="en-GB"/>
        </w:rPr>
        <w:t xml:space="preserve"> are based on the information available as of early </w:t>
      </w:r>
      <w:r w:rsidR="008C5D51">
        <w:rPr>
          <w:sz w:val="21"/>
          <w:szCs w:val="21"/>
          <w:lang w:val="en-GB"/>
        </w:rPr>
        <w:t>May 2025</w:t>
      </w:r>
      <w:r w:rsidR="004B6709" w:rsidRPr="00AC0FF2">
        <w:rPr>
          <w:sz w:val="21"/>
          <w:szCs w:val="21"/>
          <w:lang w:val="en-GB"/>
        </w:rPr>
        <w:t>.</w:t>
      </w:r>
      <w:r w:rsidR="00101909">
        <w:rPr>
          <w:sz w:val="21"/>
          <w:szCs w:val="21"/>
          <w:lang w:val="en-GB"/>
        </w:rPr>
        <w:br/>
      </w:r>
    </w:p>
    <w:p w14:paraId="7F36D781" w14:textId="263533A0"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the Mainland of China, Hong Kong, Singapore, Korea, Taiwan, Japan, Indonesia, Malaysia, Thailand</w:t>
      </w:r>
      <w:r w:rsidR="008C5D51">
        <w:rPr>
          <w:sz w:val="21"/>
          <w:szCs w:val="21"/>
          <w:lang w:val="en-GB"/>
        </w:rPr>
        <w:t>, Vietnam</w:t>
      </w:r>
      <w:r w:rsidR="006F21B4" w:rsidRPr="00B67ADE">
        <w:rPr>
          <w:sz w:val="21"/>
          <w:szCs w:val="21"/>
          <w:lang w:val="en-GB"/>
        </w:rPr>
        <w:t xml:space="preserve"> and the Philippines.</w:t>
      </w:r>
      <w:r w:rsidR="00101909">
        <w:rPr>
          <w:sz w:val="21"/>
          <w:szCs w:val="21"/>
          <w:lang w:val="en-GB"/>
        </w:rPr>
        <w:br/>
      </w:r>
    </w:p>
    <w:p w14:paraId="75F67502" w14:textId="0CB15925"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5FF0EF80" w14:textId="7B46A2EF" w:rsidR="00DF6BF7" w:rsidRDefault="00DF6BF7"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7D28209A" w14:textId="334F224F" w:rsidR="00653D23" w:rsidRPr="00254828" w:rsidRDefault="00653D23" w:rsidP="00653D23">
      <w:pPr>
        <w:pStyle w:val="ListParagraph"/>
        <w:numPr>
          <w:ilvl w:val="0"/>
          <w:numId w:val="6"/>
        </w:numPr>
        <w:spacing w:after="0" w:line="360" w:lineRule="atLeast"/>
        <w:ind w:leftChars="0"/>
        <w:jc w:val="both"/>
        <w:rPr>
          <w:szCs w:val="28"/>
          <w:lang w:eastAsia="zh-HK"/>
        </w:rPr>
      </w:pPr>
      <w:r w:rsidRPr="00776C4B">
        <w:rPr>
          <w:lang w:eastAsia="zh-HK"/>
        </w:rPr>
        <w:t xml:space="preserve">Analysed by major </w:t>
      </w:r>
      <w:r w:rsidRPr="00254828">
        <w:rPr>
          <w:lang w:eastAsia="zh-HK"/>
        </w:rPr>
        <w:t xml:space="preserve">market, </w:t>
      </w:r>
      <w:r w:rsidRPr="00254828">
        <w:rPr>
          <w:szCs w:val="28"/>
          <w:lang w:eastAsia="zh-HK"/>
        </w:rPr>
        <w:t xml:space="preserve">exports to the Mainland </w:t>
      </w:r>
      <w:r w:rsidR="00AE7EC8">
        <w:rPr>
          <w:szCs w:val="28"/>
          <w:lang w:eastAsia="zh-HK"/>
        </w:rPr>
        <w:t>grew strongly</w:t>
      </w:r>
      <w:r w:rsidRPr="00254828">
        <w:rPr>
          <w:szCs w:val="28"/>
          <w:lang w:eastAsia="zh-HK"/>
        </w:rPr>
        <w:t xml:space="preserve"> in the </w:t>
      </w:r>
      <w:r w:rsidR="00F30540" w:rsidRPr="00254828">
        <w:rPr>
          <w:szCs w:val="28"/>
          <w:lang w:eastAsia="zh-HK"/>
        </w:rPr>
        <w:t>first</w:t>
      </w:r>
      <w:r w:rsidRPr="00254828">
        <w:rPr>
          <w:szCs w:val="28"/>
          <w:lang w:eastAsia="zh-HK"/>
        </w:rPr>
        <w:t xml:space="preserve"> quarter over a year earlier.  Exports to the US </w:t>
      </w:r>
      <w:r w:rsidR="00DD02E9">
        <w:rPr>
          <w:szCs w:val="28"/>
          <w:lang w:eastAsia="zh-HK"/>
        </w:rPr>
        <w:t>rose back</w:t>
      </w:r>
      <w:r w:rsidRPr="00254828">
        <w:rPr>
          <w:szCs w:val="28"/>
          <w:lang w:eastAsia="zh-HK"/>
        </w:rPr>
        <w:t xml:space="preserve">, while those to the EU </w:t>
      </w:r>
      <w:r w:rsidR="00A36B55">
        <w:rPr>
          <w:szCs w:val="28"/>
          <w:lang w:eastAsia="zh-HK"/>
        </w:rPr>
        <w:t>fell further</w:t>
      </w:r>
      <w:r w:rsidRPr="00254828">
        <w:rPr>
          <w:szCs w:val="28"/>
          <w:lang w:eastAsia="zh-HK"/>
        </w:rPr>
        <w:t xml:space="preserve">.  </w:t>
      </w:r>
      <w:r w:rsidR="00A36B55">
        <w:rPr>
          <w:szCs w:val="28"/>
          <w:lang w:eastAsia="zh-HK"/>
        </w:rPr>
        <w:t xml:space="preserve">Exports to ASEAN markets </w:t>
      </w:r>
      <w:r w:rsidR="00EB10E5">
        <w:rPr>
          <w:szCs w:val="28"/>
          <w:lang w:eastAsia="zh-HK"/>
        </w:rPr>
        <w:t>soared</w:t>
      </w:r>
      <w:r w:rsidR="00B40111">
        <w:rPr>
          <w:szCs w:val="28"/>
          <w:lang w:eastAsia="zh-HK"/>
        </w:rPr>
        <w:t>, while those to high</w:t>
      </w:r>
      <w:r w:rsidR="00B40111">
        <w:rPr>
          <w:szCs w:val="28"/>
          <w:lang w:eastAsia="zh-HK"/>
        </w:rPr>
        <w:noBreakHyphen/>
      </w:r>
      <w:r w:rsidR="00A36B55">
        <w:rPr>
          <w:szCs w:val="28"/>
          <w:lang w:eastAsia="zh-HK"/>
        </w:rPr>
        <w:t xml:space="preserve">income Asian economies </w:t>
      </w:r>
      <w:r w:rsidR="00843A1E">
        <w:rPr>
          <w:szCs w:val="28"/>
          <w:lang w:eastAsia="zh-HK"/>
        </w:rPr>
        <w:t>showed mixed performance</w:t>
      </w:r>
      <w:r w:rsidR="00A36B55">
        <w:rPr>
          <w:szCs w:val="28"/>
          <w:lang w:eastAsia="zh-HK"/>
        </w:rPr>
        <w:t>.</w:t>
      </w:r>
    </w:p>
    <w:p w14:paraId="0777B174" w14:textId="6C8B2AA5" w:rsidR="00653D23" w:rsidRPr="00255578" w:rsidRDefault="00653D23" w:rsidP="00653D23">
      <w:pPr>
        <w:pStyle w:val="ListParagraph"/>
        <w:spacing w:after="0" w:line="360" w:lineRule="atLeast"/>
        <w:ind w:leftChars="0" w:left="0"/>
        <w:jc w:val="both"/>
        <w:rPr>
          <w:szCs w:val="28"/>
          <w:lang w:eastAsia="zh-HK"/>
        </w:rPr>
      </w:pPr>
    </w:p>
    <w:p w14:paraId="181812B1" w14:textId="784CBA3E" w:rsidR="000D51EB" w:rsidRDefault="00653D23" w:rsidP="003107CD">
      <w:pPr>
        <w:widowControl/>
        <w:rPr>
          <w:noProof/>
        </w:rPr>
      </w:pPr>
      <w:r>
        <w:rPr>
          <w:noProof/>
          <w:sz w:val="28"/>
        </w:rPr>
        <w:br w:type="page"/>
      </w:r>
    </w:p>
    <w:p w14:paraId="65549D38" w14:textId="6BCA9A06" w:rsidR="009B3766" w:rsidRPr="00FF43B5"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FF43B5">
        <w:rPr>
          <w:b/>
          <w:sz w:val="28"/>
          <w:lang w:val="en-GB"/>
        </w:rPr>
        <w:lastRenderedPageBreak/>
        <w:t xml:space="preserve">Table </w:t>
      </w:r>
      <w:proofErr w:type="gramStart"/>
      <w:r w:rsidR="00B42004" w:rsidRPr="00FF43B5">
        <w:rPr>
          <w:b/>
          <w:sz w:val="28"/>
          <w:lang w:val="en-GB"/>
        </w:rPr>
        <w:t>2</w:t>
      </w:r>
      <w:r w:rsidRPr="00FF43B5">
        <w:rPr>
          <w:b/>
          <w:sz w:val="28"/>
          <w:lang w:val="en-GB"/>
        </w:rPr>
        <w:t>.2 :</w:t>
      </w:r>
      <w:proofErr w:type="gramEnd"/>
      <w:r w:rsidRPr="00FF43B5">
        <w:rPr>
          <w:b/>
          <w:sz w:val="28"/>
          <w:lang w:val="en-GB"/>
        </w:rPr>
        <w:t xml:space="preserve"> </w:t>
      </w:r>
      <w:r w:rsidR="00122515" w:rsidRPr="00FF43B5">
        <w:rPr>
          <w:b/>
          <w:sz w:val="28"/>
          <w:lang w:val="en-GB"/>
        </w:rPr>
        <w:t xml:space="preserve">Merchandise </w:t>
      </w:r>
      <w:r w:rsidRPr="00FF43B5">
        <w:rPr>
          <w:b/>
          <w:sz w:val="28"/>
          <w:lang w:val="en-GB"/>
        </w:rPr>
        <w:t>exports by major market</w:t>
      </w:r>
    </w:p>
    <w:p w14:paraId="382F6B4C" w14:textId="69A691F0" w:rsidR="00042E4B" w:rsidRPr="00B67ADE" w:rsidRDefault="009B3766">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FF43B5">
        <w:rPr>
          <w:b/>
          <w:sz w:val="28"/>
          <w:lang w:val="en-GB"/>
        </w:rPr>
        <w:t>(</w:t>
      </w:r>
      <w:proofErr w:type="gramStart"/>
      <w:r w:rsidRPr="00FF43B5">
        <w:rPr>
          <w:b/>
          <w:sz w:val="28"/>
          <w:lang w:val="en-GB"/>
        </w:rPr>
        <w:t>year-on-year</w:t>
      </w:r>
      <w:proofErr w:type="gramEnd"/>
      <w:r w:rsidRPr="00FF43B5">
        <w:rPr>
          <w:b/>
          <w:sz w:val="28"/>
          <w:lang w:val="en-GB"/>
        </w:rPr>
        <w:t xml:space="preserve">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8500" w:type="dxa"/>
        <w:jc w:val="center"/>
        <w:tblLayout w:type="fixed"/>
        <w:tblLook w:val="04A0" w:firstRow="1" w:lastRow="0" w:firstColumn="1" w:lastColumn="0" w:noHBand="0" w:noVBand="1"/>
      </w:tblPr>
      <w:tblGrid>
        <w:gridCol w:w="2233"/>
        <w:gridCol w:w="1044"/>
        <w:gridCol w:w="1045"/>
        <w:gridCol w:w="1044"/>
        <w:gridCol w:w="1045"/>
        <w:gridCol w:w="1045"/>
        <w:gridCol w:w="1044"/>
      </w:tblGrid>
      <w:tr w:rsidR="00C95C0D" w:rsidRPr="00AC0FF2" w14:paraId="21EB2746" w14:textId="77777777" w:rsidTr="008621B1">
        <w:trPr>
          <w:trHeight w:hRule="exact" w:val="312"/>
          <w:jc w:val="center"/>
        </w:trPr>
        <w:tc>
          <w:tcPr>
            <w:tcW w:w="2233" w:type="dxa"/>
            <w:vAlign w:val="center"/>
          </w:tcPr>
          <w:p w14:paraId="46184F52" w14:textId="77777777" w:rsidR="00C95C0D" w:rsidRPr="00AC0FF2" w:rsidRDefault="00C95C0D" w:rsidP="008621B1">
            <w:pPr>
              <w:keepNext/>
              <w:keepLines/>
              <w:rPr>
                <w:rFonts w:eastAsia="SimSun"/>
                <w:highlight w:val="lightGray"/>
                <w:lang w:eastAsia="zh-CN"/>
              </w:rPr>
            </w:pPr>
          </w:p>
        </w:tc>
        <w:tc>
          <w:tcPr>
            <w:tcW w:w="5223" w:type="dxa"/>
            <w:gridSpan w:val="5"/>
          </w:tcPr>
          <w:p w14:paraId="2DA7DF8C" w14:textId="3C79CC17" w:rsidR="00C95C0D" w:rsidRPr="00AC0FF2" w:rsidRDefault="00C95C0D" w:rsidP="008621B1">
            <w:pPr>
              <w:keepNext/>
              <w:keepLines/>
              <w:jc w:val="center"/>
              <w:rPr>
                <w:u w:val="single"/>
              </w:rPr>
            </w:pPr>
            <w:r w:rsidRPr="004C706A">
              <w:t xml:space="preserve">   </w:t>
            </w:r>
            <w:r>
              <w:rPr>
                <w:u w:val="single"/>
              </w:rPr>
              <w:t>2024</w:t>
            </w:r>
          </w:p>
        </w:tc>
        <w:tc>
          <w:tcPr>
            <w:tcW w:w="1044" w:type="dxa"/>
          </w:tcPr>
          <w:p w14:paraId="1C37C0C6" w14:textId="12667732" w:rsidR="00C95C0D" w:rsidRPr="00AC0FF2" w:rsidRDefault="00C95C0D" w:rsidP="008621B1">
            <w:pPr>
              <w:keepNext/>
              <w:keepLines/>
              <w:jc w:val="right"/>
              <w:rPr>
                <w:u w:val="single"/>
              </w:rPr>
            </w:pPr>
            <w:r>
              <w:rPr>
                <w:u w:val="single"/>
              </w:rPr>
              <w:t>2025</w:t>
            </w:r>
          </w:p>
        </w:tc>
      </w:tr>
      <w:tr w:rsidR="00C95C0D" w:rsidRPr="00AC0FF2" w14:paraId="26AB859B" w14:textId="77777777" w:rsidTr="008621B1">
        <w:trPr>
          <w:jc w:val="center"/>
        </w:trPr>
        <w:tc>
          <w:tcPr>
            <w:tcW w:w="2233" w:type="dxa"/>
            <w:vAlign w:val="center"/>
          </w:tcPr>
          <w:p w14:paraId="554E7CDF" w14:textId="77777777" w:rsidR="00C95C0D" w:rsidRPr="00AC0FF2" w:rsidRDefault="00C95C0D" w:rsidP="008621B1">
            <w:pPr>
              <w:keepNext/>
              <w:keepLines/>
              <w:jc w:val="center"/>
              <w:rPr>
                <w:rFonts w:eastAsia="SimSun"/>
                <w:lang w:eastAsia="zh-CN"/>
              </w:rPr>
            </w:pPr>
          </w:p>
        </w:tc>
        <w:tc>
          <w:tcPr>
            <w:tcW w:w="1044" w:type="dxa"/>
            <w:vAlign w:val="center"/>
          </w:tcPr>
          <w:p w14:paraId="3F196C0D" w14:textId="77777777" w:rsidR="00C95C0D" w:rsidRPr="00AC0FF2" w:rsidRDefault="00C95C0D" w:rsidP="008621B1">
            <w:pPr>
              <w:keepNext/>
              <w:keepLines/>
              <w:jc w:val="right"/>
              <w:rPr>
                <w:u w:val="single"/>
              </w:rPr>
            </w:pPr>
            <w:r w:rsidRPr="00AC0FF2">
              <w:rPr>
                <w:u w:val="single"/>
              </w:rPr>
              <w:t>Annual</w:t>
            </w:r>
          </w:p>
        </w:tc>
        <w:tc>
          <w:tcPr>
            <w:tcW w:w="1045" w:type="dxa"/>
            <w:vAlign w:val="center"/>
          </w:tcPr>
          <w:p w14:paraId="4D52FDEC" w14:textId="77777777" w:rsidR="00C95C0D" w:rsidRPr="00AC0FF2" w:rsidRDefault="00C95C0D" w:rsidP="008621B1">
            <w:pPr>
              <w:keepNext/>
              <w:keepLines/>
              <w:jc w:val="right"/>
              <w:rPr>
                <w:u w:val="single"/>
              </w:rPr>
            </w:pPr>
            <w:r w:rsidRPr="00AC0FF2">
              <w:rPr>
                <w:u w:val="single"/>
              </w:rPr>
              <w:t>Q1</w:t>
            </w:r>
          </w:p>
        </w:tc>
        <w:tc>
          <w:tcPr>
            <w:tcW w:w="1044" w:type="dxa"/>
            <w:vAlign w:val="center"/>
          </w:tcPr>
          <w:p w14:paraId="03E4205A" w14:textId="77777777" w:rsidR="00C95C0D" w:rsidRPr="00AC0FF2" w:rsidRDefault="00C95C0D" w:rsidP="008621B1">
            <w:pPr>
              <w:keepNext/>
              <w:keepLines/>
              <w:jc w:val="right"/>
              <w:rPr>
                <w:u w:val="single"/>
              </w:rPr>
            </w:pPr>
            <w:r w:rsidRPr="00AC0FF2">
              <w:rPr>
                <w:u w:val="single"/>
              </w:rPr>
              <w:t>Q2</w:t>
            </w:r>
          </w:p>
        </w:tc>
        <w:tc>
          <w:tcPr>
            <w:tcW w:w="1045" w:type="dxa"/>
            <w:vAlign w:val="center"/>
          </w:tcPr>
          <w:p w14:paraId="61B9D976" w14:textId="77777777" w:rsidR="00C95C0D" w:rsidRPr="00AC0FF2" w:rsidRDefault="00C95C0D" w:rsidP="008621B1">
            <w:pPr>
              <w:keepNext/>
              <w:keepLines/>
              <w:jc w:val="right"/>
              <w:rPr>
                <w:u w:val="single"/>
              </w:rPr>
            </w:pPr>
            <w:r w:rsidRPr="00AC0FF2">
              <w:rPr>
                <w:u w:val="single"/>
              </w:rPr>
              <w:t>Q3</w:t>
            </w:r>
          </w:p>
        </w:tc>
        <w:tc>
          <w:tcPr>
            <w:tcW w:w="1045" w:type="dxa"/>
            <w:vAlign w:val="center"/>
          </w:tcPr>
          <w:p w14:paraId="31D8699F" w14:textId="77777777" w:rsidR="00C95C0D" w:rsidRPr="00AC0FF2" w:rsidRDefault="00C95C0D" w:rsidP="008621B1">
            <w:pPr>
              <w:keepNext/>
              <w:keepLines/>
              <w:jc w:val="right"/>
              <w:rPr>
                <w:u w:val="single"/>
              </w:rPr>
            </w:pPr>
            <w:r w:rsidRPr="00AC0FF2">
              <w:rPr>
                <w:u w:val="single"/>
              </w:rPr>
              <w:t>Q4</w:t>
            </w:r>
          </w:p>
        </w:tc>
        <w:tc>
          <w:tcPr>
            <w:tcW w:w="1044" w:type="dxa"/>
          </w:tcPr>
          <w:p w14:paraId="5658C5DD" w14:textId="77777777" w:rsidR="00C95C0D" w:rsidRPr="00AC0FF2" w:rsidRDefault="00C95C0D" w:rsidP="008621B1">
            <w:pPr>
              <w:keepNext/>
              <w:keepLines/>
              <w:jc w:val="right"/>
              <w:rPr>
                <w:u w:val="single"/>
              </w:rPr>
            </w:pPr>
            <w:r w:rsidRPr="00AC0FF2">
              <w:rPr>
                <w:u w:val="single"/>
              </w:rPr>
              <w:t>Q1</w:t>
            </w:r>
          </w:p>
        </w:tc>
      </w:tr>
      <w:tr w:rsidR="00C95C0D" w:rsidRPr="006F615F" w14:paraId="0EB0D121" w14:textId="77777777" w:rsidTr="008621B1">
        <w:trPr>
          <w:trHeight w:val="66"/>
          <w:jc w:val="center"/>
        </w:trPr>
        <w:tc>
          <w:tcPr>
            <w:tcW w:w="2233" w:type="dxa"/>
            <w:vAlign w:val="center"/>
          </w:tcPr>
          <w:p w14:paraId="1D314861" w14:textId="77777777" w:rsidR="00C95C0D" w:rsidRPr="006F615F" w:rsidRDefault="00C95C0D" w:rsidP="008621B1">
            <w:pPr>
              <w:keepNext/>
              <w:keepLines/>
              <w:rPr>
                <w:rFonts w:eastAsia="SimSun"/>
                <w:lang w:eastAsia="zh-CN"/>
              </w:rPr>
            </w:pPr>
          </w:p>
        </w:tc>
        <w:tc>
          <w:tcPr>
            <w:tcW w:w="1044" w:type="dxa"/>
            <w:vAlign w:val="center"/>
          </w:tcPr>
          <w:p w14:paraId="06B26624" w14:textId="77777777" w:rsidR="00C95C0D" w:rsidRPr="006F615F" w:rsidRDefault="00C95C0D" w:rsidP="008621B1">
            <w:pPr>
              <w:keepNext/>
              <w:keepLines/>
              <w:jc w:val="right"/>
              <w:rPr>
                <w:highlight w:val="lightGray"/>
              </w:rPr>
            </w:pPr>
          </w:p>
        </w:tc>
        <w:tc>
          <w:tcPr>
            <w:tcW w:w="1045" w:type="dxa"/>
          </w:tcPr>
          <w:p w14:paraId="05052FB3" w14:textId="77777777" w:rsidR="00C95C0D" w:rsidRPr="006F615F" w:rsidRDefault="00C95C0D" w:rsidP="008621B1">
            <w:pPr>
              <w:keepNext/>
              <w:keepLines/>
              <w:jc w:val="right"/>
            </w:pPr>
          </w:p>
        </w:tc>
        <w:tc>
          <w:tcPr>
            <w:tcW w:w="1044" w:type="dxa"/>
          </w:tcPr>
          <w:p w14:paraId="3303977B" w14:textId="77777777" w:rsidR="00C95C0D" w:rsidRPr="006F615F" w:rsidRDefault="00C95C0D" w:rsidP="008621B1">
            <w:pPr>
              <w:keepNext/>
              <w:keepLines/>
              <w:jc w:val="right"/>
            </w:pPr>
          </w:p>
        </w:tc>
        <w:tc>
          <w:tcPr>
            <w:tcW w:w="1045" w:type="dxa"/>
            <w:vAlign w:val="center"/>
          </w:tcPr>
          <w:p w14:paraId="2BD71F07" w14:textId="77777777" w:rsidR="00C95C0D" w:rsidRPr="006F615F" w:rsidRDefault="00C95C0D" w:rsidP="008621B1">
            <w:pPr>
              <w:keepNext/>
              <w:keepLines/>
              <w:jc w:val="right"/>
            </w:pPr>
          </w:p>
        </w:tc>
        <w:tc>
          <w:tcPr>
            <w:tcW w:w="1045" w:type="dxa"/>
          </w:tcPr>
          <w:p w14:paraId="76CE251C" w14:textId="77777777" w:rsidR="00C95C0D" w:rsidRPr="006F615F" w:rsidRDefault="00C95C0D" w:rsidP="008621B1">
            <w:pPr>
              <w:keepNext/>
              <w:keepLines/>
              <w:jc w:val="right"/>
              <w:rPr>
                <w:highlight w:val="lightGray"/>
              </w:rPr>
            </w:pPr>
          </w:p>
        </w:tc>
        <w:tc>
          <w:tcPr>
            <w:tcW w:w="1044" w:type="dxa"/>
          </w:tcPr>
          <w:p w14:paraId="5D728DA5" w14:textId="77777777" w:rsidR="00C95C0D" w:rsidRPr="006F615F" w:rsidRDefault="00C95C0D" w:rsidP="008621B1">
            <w:pPr>
              <w:keepNext/>
              <w:keepLines/>
              <w:jc w:val="right"/>
              <w:rPr>
                <w:highlight w:val="lightGray"/>
              </w:rPr>
            </w:pPr>
          </w:p>
        </w:tc>
      </w:tr>
      <w:tr w:rsidR="00C95C0D" w:rsidRPr="00AC0FF2" w14:paraId="46985E7B" w14:textId="77777777" w:rsidTr="008621B1">
        <w:trPr>
          <w:jc w:val="center"/>
        </w:trPr>
        <w:tc>
          <w:tcPr>
            <w:tcW w:w="2233" w:type="dxa"/>
            <w:vAlign w:val="center"/>
          </w:tcPr>
          <w:p w14:paraId="30539ED4" w14:textId="77777777" w:rsidR="00C95C0D" w:rsidRPr="00AC0FF2" w:rsidRDefault="00C95C0D" w:rsidP="00C95C0D">
            <w:pPr>
              <w:keepNext/>
              <w:keepLines/>
              <w:rPr>
                <w:rFonts w:eastAsia="SimSun"/>
                <w:lang w:eastAsia="zh-CN"/>
              </w:rPr>
            </w:pPr>
            <w:r w:rsidRPr="00AC0FF2">
              <w:rPr>
                <w:rFonts w:eastAsia="SimSun"/>
                <w:lang w:eastAsia="zh-CN"/>
              </w:rPr>
              <w:t>Mainland of China</w:t>
            </w:r>
          </w:p>
        </w:tc>
        <w:tc>
          <w:tcPr>
            <w:tcW w:w="1044" w:type="dxa"/>
          </w:tcPr>
          <w:p w14:paraId="1300FB91" w14:textId="008DBE92" w:rsidR="00C95C0D" w:rsidRPr="00C95C0D" w:rsidRDefault="00C95C0D" w:rsidP="00C95C0D">
            <w:pPr>
              <w:keepNext/>
              <w:keepLines/>
              <w:tabs>
                <w:tab w:val="decimal" w:pos="331"/>
              </w:tabs>
              <w:spacing w:line="260" w:lineRule="exact"/>
              <w:jc w:val="right"/>
              <w:rPr>
                <w:highlight w:val="yellow"/>
              </w:rPr>
            </w:pPr>
            <w:r w:rsidRPr="00C95C0D">
              <w:rPr>
                <w:lang w:eastAsia="zh-HK"/>
              </w:rPr>
              <w:t>10.</w:t>
            </w:r>
            <w:r w:rsidRPr="00C95C0D">
              <w:t>4</w:t>
            </w:r>
          </w:p>
        </w:tc>
        <w:tc>
          <w:tcPr>
            <w:tcW w:w="1045" w:type="dxa"/>
          </w:tcPr>
          <w:p w14:paraId="27BFA745" w14:textId="71663289"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13.</w:t>
            </w:r>
            <w:r w:rsidRPr="00C95C0D">
              <w:t>8</w:t>
            </w:r>
          </w:p>
        </w:tc>
        <w:tc>
          <w:tcPr>
            <w:tcW w:w="1044" w:type="dxa"/>
          </w:tcPr>
          <w:p w14:paraId="7E80C161" w14:textId="3763F3BB"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12.6</w:t>
            </w:r>
          </w:p>
        </w:tc>
        <w:tc>
          <w:tcPr>
            <w:tcW w:w="1045" w:type="dxa"/>
          </w:tcPr>
          <w:p w14:paraId="2C8792BC" w14:textId="1B7D73F4"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10.8</w:t>
            </w:r>
          </w:p>
        </w:tc>
        <w:tc>
          <w:tcPr>
            <w:tcW w:w="1045" w:type="dxa"/>
          </w:tcPr>
          <w:p w14:paraId="681510BC" w14:textId="4F5AEE34" w:rsidR="00C95C0D" w:rsidRPr="00C95C0D" w:rsidRDefault="00C95C0D" w:rsidP="00C95C0D">
            <w:pPr>
              <w:keepNext/>
              <w:keepLines/>
              <w:tabs>
                <w:tab w:val="decimal" w:pos="233"/>
              </w:tabs>
              <w:spacing w:line="260" w:lineRule="exact"/>
              <w:jc w:val="right"/>
              <w:rPr>
                <w:highlight w:val="yellow"/>
              </w:rPr>
            </w:pPr>
            <w:r w:rsidRPr="00C95C0D">
              <w:rPr>
                <w:lang w:eastAsia="zh-HK"/>
              </w:rPr>
              <w:t>5.</w:t>
            </w:r>
            <w:r w:rsidRPr="00C95C0D">
              <w:t>5</w:t>
            </w:r>
          </w:p>
        </w:tc>
        <w:tc>
          <w:tcPr>
            <w:tcW w:w="1044" w:type="dxa"/>
            <w:shd w:val="clear" w:color="auto" w:fill="auto"/>
          </w:tcPr>
          <w:p w14:paraId="0B2FDF5B" w14:textId="33A27DBF" w:rsidR="00C95C0D" w:rsidRPr="00AC48C9" w:rsidRDefault="000D0AD8" w:rsidP="00746286">
            <w:pPr>
              <w:keepNext/>
              <w:keepLines/>
              <w:tabs>
                <w:tab w:val="decimal" w:pos="233"/>
              </w:tabs>
              <w:spacing w:line="260" w:lineRule="exact"/>
              <w:jc w:val="right"/>
              <w:rPr>
                <w:lang w:eastAsia="zh-HK"/>
              </w:rPr>
            </w:pPr>
            <w:r>
              <w:rPr>
                <w:lang w:eastAsia="zh-HK"/>
              </w:rPr>
              <w:t>14.</w:t>
            </w:r>
            <w:r w:rsidR="000B6E01">
              <w:rPr>
                <w:lang w:eastAsia="zh-HK"/>
              </w:rPr>
              <w:t>3</w:t>
            </w:r>
          </w:p>
        </w:tc>
      </w:tr>
      <w:tr w:rsidR="00C95C0D" w:rsidRPr="00AC0FF2" w14:paraId="5EFAEA3D" w14:textId="77777777" w:rsidTr="008621B1">
        <w:trPr>
          <w:jc w:val="center"/>
        </w:trPr>
        <w:tc>
          <w:tcPr>
            <w:tcW w:w="2233" w:type="dxa"/>
            <w:vAlign w:val="center"/>
          </w:tcPr>
          <w:p w14:paraId="5E6D65E8" w14:textId="77777777" w:rsidR="00C95C0D" w:rsidRPr="00AC0FF2" w:rsidRDefault="00C95C0D" w:rsidP="00C95C0D">
            <w:pPr>
              <w:keepNext/>
              <w:keepLines/>
              <w:rPr>
                <w:rFonts w:eastAsia="SimSun"/>
                <w:lang w:eastAsia="zh-CN"/>
              </w:rPr>
            </w:pPr>
          </w:p>
        </w:tc>
        <w:tc>
          <w:tcPr>
            <w:tcW w:w="1044" w:type="dxa"/>
          </w:tcPr>
          <w:p w14:paraId="25EB4B3A"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4EB1B0A8"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11D30CE7"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68A2B4A9"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44F9A0D2"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379B6192" w14:textId="77777777" w:rsidR="00C95C0D" w:rsidRPr="00AC48C9" w:rsidRDefault="00C95C0D" w:rsidP="00C95C0D">
            <w:pPr>
              <w:keepNext/>
              <w:keepLines/>
              <w:tabs>
                <w:tab w:val="decimal" w:pos="331"/>
              </w:tabs>
              <w:spacing w:line="260" w:lineRule="exact"/>
              <w:jc w:val="right"/>
            </w:pPr>
          </w:p>
        </w:tc>
      </w:tr>
      <w:tr w:rsidR="00C95C0D" w:rsidRPr="00AC0FF2" w14:paraId="053421E1" w14:textId="77777777" w:rsidTr="008621B1">
        <w:trPr>
          <w:jc w:val="center"/>
        </w:trPr>
        <w:tc>
          <w:tcPr>
            <w:tcW w:w="2233" w:type="dxa"/>
            <w:vAlign w:val="center"/>
          </w:tcPr>
          <w:p w14:paraId="5AF91BF2" w14:textId="77777777" w:rsidR="00C95C0D" w:rsidRPr="00AC0FF2" w:rsidRDefault="00C95C0D" w:rsidP="00C95C0D">
            <w:pPr>
              <w:keepNext/>
              <w:keepLines/>
              <w:rPr>
                <w:rFonts w:eastAsia="SimSun"/>
                <w:lang w:eastAsia="zh-CN"/>
              </w:rPr>
            </w:pPr>
            <w:r w:rsidRPr="00AC0FF2">
              <w:rPr>
                <w:rFonts w:eastAsia="SimSun"/>
                <w:lang w:eastAsia="zh-CN"/>
              </w:rPr>
              <w:t>US</w:t>
            </w:r>
          </w:p>
        </w:tc>
        <w:tc>
          <w:tcPr>
            <w:tcW w:w="1044" w:type="dxa"/>
          </w:tcPr>
          <w:p w14:paraId="21B2016F" w14:textId="05ADB781" w:rsidR="00C95C0D" w:rsidRPr="00C95C0D" w:rsidRDefault="00C95C0D" w:rsidP="00C95C0D">
            <w:pPr>
              <w:keepNext/>
              <w:keepLines/>
              <w:tabs>
                <w:tab w:val="decimal" w:pos="331"/>
              </w:tabs>
              <w:spacing w:line="260" w:lineRule="exact"/>
              <w:jc w:val="right"/>
              <w:rPr>
                <w:highlight w:val="yellow"/>
              </w:rPr>
            </w:pPr>
            <w:r w:rsidRPr="00C95C0D">
              <w:rPr>
                <w:lang w:eastAsia="zh-HK"/>
              </w:rPr>
              <w:t>3.2</w:t>
            </w:r>
          </w:p>
        </w:tc>
        <w:tc>
          <w:tcPr>
            <w:tcW w:w="1045" w:type="dxa"/>
          </w:tcPr>
          <w:p w14:paraId="44EDD617" w14:textId="75277561"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-0.</w:t>
            </w:r>
            <w:r w:rsidRPr="00C95C0D">
              <w:t>1</w:t>
            </w:r>
          </w:p>
        </w:tc>
        <w:tc>
          <w:tcPr>
            <w:tcW w:w="1044" w:type="dxa"/>
          </w:tcPr>
          <w:p w14:paraId="733B173B" w14:textId="7057FF3F"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21.0</w:t>
            </w:r>
          </w:p>
        </w:tc>
        <w:tc>
          <w:tcPr>
            <w:tcW w:w="1045" w:type="dxa"/>
          </w:tcPr>
          <w:p w14:paraId="3CF71B55" w14:textId="3335353D"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1.2</w:t>
            </w:r>
          </w:p>
        </w:tc>
        <w:tc>
          <w:tcPr>
            <w:tcW w:w="1045" w:type="dxa"/>
          </w:tcPr>
          <w:p w14:paraId="6EE0711B" w14:textId="3ED0A739" w:rsidR="00C95C0D" w:rsidRPr="00C95C0D" w:rsidRDefault="00C95C0D" w:rsidP="00C95C0D">
            <w:pPr>
              <w:keepNext/>
              <w:keepLines/>
              <w:tabs>
                <w:tab w:val="decimal" w:pos="331"/>
              </w:tabs>
              <w:spacing w:line="260" w:lineRule="exact"/>
              <w:jc w:val="right"/>
              <w:rPr>
                <w:highlight w:val="yellow"/>
              </w:rPr>
            </w:pPr>
            <w:r w:rsidRPr="00C95C0D">
              <w:rPr>
                <w:lang w:eastAsia="zh-HK"/>
              </w:rPr>
              <w:t>-</w:t>
            </w:r>
            <w:r w:rsidRPr="00C95C0D">
              <w:t>7.9</w:t>
            </w:r>
          </w:p>
        </w:tc>
        <w:tc>
          <w:tcPr>
            <w:tcW w:w="1044" w:type="dxa"/>
            <w:shd w:val="clear" w:color="auto" w:fill="auto"/>
          </w:tcPr>
          <w:p w14:paraId="336001DC" w14:textId="421331DC" w:rsidR="00C95C0D" w:rsidRPr="00AC48C9" w:rsidRDefault="000D0AD8" w:rsidP="00746286">
            <w:pPr>
              <w:keepNext/>
              <w:keepLines/>
              <w:tabs>
                <w:tab w:val="decimal" w:pos="331"/>
              </w:tabs>
              <w:spacing w:line="260" w:lineRule="exact"/>
              <w:jc w:val="right"/>
              <w:rPr>
                <w:lang w:eastAsia="zh-HK"/>
              </w:rPr>
            </w:pPr>
            <w:r>
              <w:rPr>
                <w:lang w:eastAsia="zh-HK"/>
              </w:rPr>
              <w:t>2.</w:t>
            </w:r>
            <w:r w:rsidR="000B6E01">
              <w:rPr>
                <w:lang w:eastAsia="zh-HK"/>
              </w:rPr>
              <w:t>1</w:t>
            </w:r>
          </w:p>
        </w:tc>
      </w:tr>
      <w:tr w:rsidR="00C95C0D" w:rsidRPr="00AC0FF2" w14:paraId="183E239E" w14:textId="77777777" w:rsidTr="008621B1">
        <w:trPr>
          <w:jc w:val="center"/>
        </w:trPr>
        <w:tc>
          <w:tcPr>
            <w:tcW w:w="2233" w:type="dxa"/>
            <w:vAlign w:val="center"/>
          </w:tcPr>
          <w:p w14:paraId="3C0456C2" w14:textId="77777777" w:rsidR="00C95C0D" w:rsidRPr="00AC0FF2" w:rsidRDefault="00C95C0D" w:rsidP="00C95C0D">
            <w:pPr>
              <w:keepNext/>
              <w:keepLines/>
              <w:rPr>
                <w:rFonts w:eastAsia="SimSun"/>
                <w:lang w:eastAsia="zh-CN"/>
              </w:rPr>
            </w:pPr>
          </w:p>
        </w:tc>
        <w:tc>
          <w:tcPr>
            <w:tcW w:w="1044" w:type="dxa"/>
          </w:tcPr>
          <w:p w14:paraId="0D8115CA"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2C2D9A89"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6C8E3D6D"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27D77FA0"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1147EEE0"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0FA3C15F" w14:textId="77777777" w:rsidR="00C95C0D" w:rsidRPr="00AC48C9" w:rsidRDefault="00C95C0D" w:rsidP="00C95C0D">
            <w:pPr>
              <w:keepNext/>
              <w:keepLines/>
              <w:tabs>
                <w:tab w:val="decimal" w:pos="331"/>
              </w:tabs>
              <w:spacing w:line="260" w:lineRule="exact"/>
              <w:jc w:val="right"/>
            </w:pPr>
          </w:p>
        </w:tc>
      </w:tr>
      <w:tr w:rsidR="00C95C0D" w:rsidRPr="00AC0FF2" w14:paraId="6C927E7B" w14:textId="77777777" w:rsidTr="008621B1">
        <w:trPr>
          <w:jc w:val="center"/>
        </w:trPr>
        <w:tc>
          <w:tcPr>
            <w:tcW w:w="2233" w:type="dxa"/>
            <w:vAlign w:val="center"/>
          </w:tcPr>
          <w:p w14:paraId="22E93087" w14:textId="77777777" w:rsidR="00C95C0D" w:rsidRPr="00AC0FF2" w:rsidRDefault="00C95C0D" w:rsidP="00C95C0D">
            <w:pPr>
              <w:keepNext/>
              <w:keepLines/>
              <w:rPr>
                <w:rFonts w:eastAsia="SimSun"/>
                <w:lang w:eastAsia="zh-CN"/>
              </w:rPr>
            </w:pPr>
            <w:r w:rsidRPr="00AC0FF2">
              <w:rPr>
                <w:rFonts w:eastAsia="SimSun"/>
                <w:lang w:eastAsia="zh-CN"/>
              </w:rPr>
              <w:t>EU</w:t>
            </w:r>
          </w:p>
        </w:tc>
        <w:tc>
          <w:tcPr>
            <w:tcW w:w="1044" w:type="dxa"/>
          </w:tcPr>
          <w:p w14:paraId="66F7737F" w14:textId="13CF0BB1" w:rsidR="00C95C0D" w:rsidRPr="00C95C0D" w:rsidRDefault="00C95C0D" w:rsidP="00C95C0D">
            <w:pPr>
              <w:keepNext/>
              <w:keepLines/>
              <w:tabs>
                <w:tab w:val="decimal" w:pos="331"/>
              </w:tabs>
              <w:spacing w:line="260" w:lineRule="exact"/>
              <w:jc w:val="right"/>
              <w:rPr>
                <w:highlight w:val="yellow"/>
              </w:rPr>
            </w:pPr>
            <w:r w:rsidRPr="00C95C0D">
              <w:rPr>
                <w:lang w:eastAsia="zh-HK"/>
              </w:rPr>
              <w:t>-1.1</w:t>
            </w:r>
          </w:p>
        </w:tc>
        <w:tc>
          <w:tcPr>
            <w:tcW w:w="1045" w:type="dxa"/>
          </w:tcPr>
          <w:p w14:paraId="3E16C1C7" w14:textId="690D7646"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-11.</w:t>
            </w:r>
            <w:r w:rsidRPr="00C95C0D">
              <w:t>6</w:t>
            </w:r>
          </w:p>
        </w:tc>
        <w:tc>
          <w:tcPr>
            <w:tcW w:w="1044" w:type="dxa"/>
          </w:tcPr>
          <w:p w14:paraId="0A14C5B0" w14:textId="60AC9868"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-0.4</w:t>
            </w:r>
          </w:p>
        </w:tc>
        <w:tc>
          <w:tcPr>
            <w:tcW w:w="1045" w:type="dxa"/>
          </w:tcPr>
          <w:p w14:paraId="59F0B4F9" w14:textId="6C18291E"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9.4</w:t>
            </w:r>
          </w:p>
        </w:tc>
        <w:tc>
          <w:tcPr>
            <w:tcW w:w="1045" w:type="dxa"/>
          </w:tcPr>
          <w:p w14:paraId="025B8B9A" w14:textId="51ABF76C" w:rsidR="00C95C0D" w:rsidRPr="00C95C0D" w:rsidRDefault="00C95C0D" w:rsidP="00C95C0D">
            <w:pPr>
              <w:keepNext/>
              <w:keepLines/>
              <w:tabs>
                <w:tab w:val="decimal" w:pos="331"/>
              </w:tabs>
              <w:spacing w:line="260" w:lineRule="exact"/>
              <w:jc w:val="right"/>
              <w:rPr>
                <w:highlight w:val="yellow"/>
              </w:rPr>
            </w:pPr>
            <w:r w:rsidRPr="00C95C0D">
              <w:rPr>
                <w:lang w:eastAsia="zh-HK"/>
              </w:rPr>
              <w:t>-0.8</w:t>
            </w:r>
          </w:p>
        </w:tc>
        <w:tc>
          <w:tcPr>
            <w:tcW w:w="1044" w:type="dxa"/>
            <w:shd w:val="clear" w:color="auto" w:fill="auto"/>
          </w:tcPr>
          <w:p w14:paraId="0D074FF1" w14:textId="643003B5" w:rsidR="00C95C0D" w:rsidRPr="00AC48C9" w:rsidRDefault="000D0AD8" w:rsidP="00C95C0D">
            <w:pPr>
              <w:keepNext/>
              <w:keepLines/>
              <w:tabs>
                <w:tab w:val="decimal" w:pos="331"/>
              </w:tabs>
              <w:spacing w:line="260" w:lineRule="exact"/>
              <w:jc w:val="right"/>
              <w:rPr>
                <w:lang w:eastAsia="zh-HK"/>
              </w:rPr>
            </w:pPr>
            <w:r>
              <w:rPr>
                <w:lang w:eastAsia="zh-HK"/>
              </w:rPr>
              <w:t>-8.4</w:t>
            </w:r>
          </w:p>
        </w:tc>
      </w:tr>
      <w:tr w:rsidR="00C95C0D" w:rsidRPr="00AC0FF2" w14:paraId="2181A9D0" w14:textId="77777777" w:rsidTr="008621B1">
        <w:trPr>
          <w:jc w:val="center"/>
        </w:trPr>
        <w:tc>
          <w:tcPr>
            <w:tcW w:w="2233" w:type="dxa"/>
            <w:vAlign w:val="center"/>
          </w:tcPr>
          <w:p w14:paraId="4B0B32C7" w14:textId="77777777" w:rsidR="00C95C0D" w:rsidRPr="00AC0FF2" w:rsidRDefault="00C95C0D" w:rsidP="00C95C0D">
            <w:pPr>
              <w:keepNext/>
              <w:keepLines/>
              <w:rPr>
                <w:rFonts w:eastAsia="SimSun"/>
                <w:lang w:eastAsia="zh-CN"/>
              </w:rPr>
            </w:pPr>
          </w:p>
        </w:tc>
        <w:tc>
          <w:tcPr>
            <w:tcW w:w="1044" w:type="dxa"/>
          </w:tcPr>
          <w:p w14:paraId="07A7E1D3"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4E8F13D9"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61F94E83"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3445D9E6"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76C50C04"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006AEFE4" w14:textId="77777777" w:rsidR="00C95C0D" w:rsidRPr="00AC48C9" w:rsidRDefault="00C95C0D" w:rsidP="00C95C0D">
            <w:pPr>
              <w:keepNext/>
              <w:keepLines/>
              <w:tabs>
                <w:tab w:val="decimal" w:pos="331"/>
              </w:tabs>
              <w:spacing w:line="260" w:lineRule="exact"/>
              <w:jc w:val="right"/>
            </w:pPr>
          </w:p>
        </w:tc>
      </w:tr>
      <w:tr w:rsidR="00C95C0D" w:rsidRPr="00AC0FF2" w14:paraId="0EA0B283" w14:textId="77777777" w:rsidTr="008621B1">
        <w:trPr>
          <w:jc w:val="center"/>
        </w:trPr>
        <w:tc>
          <w:tcPr>
            <w:tcW w:w="2233" w:type="dxa"/>
            <w:vAlign w:val="center"/>
          </w:tcPr>
          <w:p w14:paraId="065C5BF2" w14:textId="77777777" w:rsidR="00C95C0D" w:rsidRPr="00AC0FF2" w:rsidRDefault="00C95C0D" w:rsidP="00C95C0D">
            <w:pPr>
              <w:keepNext/>
              <w:keepLines/>
              <w:rPr>
                <w:rFonts w:eastAsia="SimSun"/>
                <w:lang w:eastAsia="zh-CN"/>
              </w:rPr>
            </w:pPr>
            <w:r w:rsidRPr="00AC0FF2">
              <w:rPr>
                <w:rFonts w:eastAsia="SimSun"/>
                <w:lang w:eastAsia="zh-CN"/>
              </w:rPr>
              <w:t>ASEAN</w:t>
            </w:r>
          </w:p>
        </w:tc>
        <w:tc>
          <w:tcPr>
            <w:tcW w:w="1044" w:type="dxa"/>
          </w:tcPr>
          <w:p w14:paraId="2040078E" w14:textId="21CDA486" w:rsidR="00C95C0D" w:rsidRPr="00C95C0D" w:rsidRDefault="00C95C0D" w:rsidP="00C95C0D">
            <w:pPr>
              <w:keepNext/>
              <w:keepLines/>
              <w:tabs>
                <w:tab w:val="decimal" w:pos="331"/>
              </w:tabs>
              <w:spacing w:line="260" w:lineRule="exact"/>
              <w:jc w:val="right"/>
              <w:rPr>
                <w:highlight w:val="yellow"/>
              </w:rPr>
            </w:pPr>
            <w:r w:rsidRPr="00C95C0D">
              <w:t>17.3</w:t>
            </w:r>
          </w:p>
        </w:tc>
        <w:tc>
          <w:tcPr>
            <w:tcW w:w="1045" w:type="dxa"/>
          </w:tcPr>
          <w:p w14:paraId="536E89FF" w14:textId="118D7EA6"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15.</w:t>
            </w:r>
            <w:r w:rsidRPr="00C95C0D">
              <w:t>5</w:t>
            </w:r>
          </w:p>
        </w:tc>
        <w:tc>
          <w:tcPr>
            <w:tcW w:w="1044" w:type="dxa"/>
          </w:tcPr>
          <w:p w14:paraId="52B0CEB2" w14:textId="4AEC68E6"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21.7</w:t>
            </w:r>
          </w:p>
        </w:tc>
        <w:tc>
          <w:tcPr>
            <w:tcW w:w="1045" w:type="dxa"/>
          </w:tcPr>
          <w:p w14:paraId="63F656BB" w14:textId="755C0D80"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12.3</w:t>
            </w:r>
          </w:p>
        </w:tc>
        <w:tc>
          <w:tcPr>
            <w:tcW w:w="1045" w:type="dxa"/>
          </w:tcPr>
          <w:p w14:paraId="7C6A3C7D" w14:textId="073E9C2A" w:rsidR="00C95C0D" w:rsidRPr="00C95C0D" w:rsidRDefault="00C95C0D" w:rsidP="00C95C0D">
            <w:pPr>
              <w:keepNext/>
              <w:keepLines/>
              <w:tabs>
                <w:tab w:val="decimal" w:pos="331"/>
              </w:tabs>
              <w:spacing w:line="260" w:lineRule="exact"/>
              <w:jc w:val="right"/>
              <w:rPr>
                <w:highlight w:val="yellow"/>
              </w:rPr>
            </w:pPr>
            <w:r w:rsidRPr="00C95C0D">
              <w:t>19.8</w:t>
            </w:r>
          </w:p>
        </w:tc>
        <w:tc>
          <w:tcPr>
            <w:tcW w:w="1044" w:type="dxa"/>
            <w:shd w:val="clear" w:color="auto" w:fill="auto"/>
          </w:tcPr>
          <w:p w14:paraId="129F9195" w14:textId="323C1452" w:rsidR="00C95C0D" w:rsidRPr="00AC48C9" w:rsidRDefault="000D0AD8" w:rsidP="000D0AD8">
            <w:pPr>
              <w:keepNext/>
              <w:keepLines/>
              <w:tabs>
                <w:tab w:val="decimal" w:pos="331"/>
              </w:tabs>
              <w:spacing w:line="260" w:lineRule="exact"/>
              <w:jc w:val="right"/>
            </w:pPr>
            <w:r>
              <w:rPr>
                <w:lang w:eastAsia="zh-HK"/>
              </w:rPr>
              <w:t>22.</w:t>
            </w:r>
            <w:r w:rsidR="000B6E01">
              <w:rPr>
                <w:lang w:eastAsia="zh-HK"/>
              </w:rPr>
              <w:t>4</w:t>
            </w:r>
          </w:p>
        </w:tc>
      </w:tr>
      <w:tr w:rsidR="00C95C0D" w:rsidRPr="00AC0FF2" w14:paraId="21854FC5" w14:textId="77777777" w:rsidTr="008621B1">
        <w:trPr>
          <w:jc w:val="center"/>
        </w:trPr>
        <w:tc>
          <w:tcPr>
            <w:tcW w:w="2233" w:type="dxa"/>
            <w:vAlign w:val="center"/>
          </w:tcPr>
          <w:p w14:paraId="45ECF39A" w14:textId="77777777" w:rsidR="00C95C0D" w:rsidRPr="00AC0FF2" w:rsidRDefault="00C95C0D" w:rsidP="00C95C0D">
            <w:pPr>
              <w:keepNext/>
              <w:keepLines/>
              <w:rPr>
                <w:rFonts w:eastAsia="SimSun"/>
                <w:lang w:eastAsia="zh-CN"/>
              </w:rPr>
            </w:pPr>
          </w:p>
        </w:tc>
        <w:tc>
          <w:tcPr>
            <w:tcW w:w="1044" w:type="dxa"/>
          </w:tcPr>
          <w:p w14:paraId="2E4A34A3"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6FD214F3"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697A8FE8"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1DEFAB33"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0E8776EE"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7DEA5329" w14:textId="77777777" w:rsidR="00C95C0D" w:rsidRPr="00AC48C9" w:rsidRDefault="00C95C0D" w:rsidP="00C95C0D">
            <w:pPr>
              <w:keepNext/>
              <w:keepLines/>
              <w:tabs>
                <w:tab w:val="decimal" w:pos="331"/>
              </w:tabs>
              <w:spacing w:line="260" w:lineRule="exact"/>
              <w:jc w:val="right"/>
            </w:pPr>
          </w:p>
        </w:tc>
      </w:tr>
      <w:tr w:rsidR="00C95C0D" w:rsidRPr="00AC0FF2" w14:paraId="272E8B9D" w14:textId="77777777" w:rsidTr="008621B1">
        <w:trPr>
          <w:jc w:val="center"/>
        </w:trPr>
        <w:tc>
          <w:tcPr>
            <w:tcW w:w="2233" w:type="dxa"/>
            <w:vAlign w:val="center"/>
          </w:tcPr>
          <w:p w14:paraId="1252066C" w14:textId="77777777" w:rsidR="00C95C0D" w:rsidRPr="00AC0FF2" w:rsidRDefault="00C95C0D" w:rsidP="00C95C0D">
            <w:pPr>
              <w:keepNext/>
              <w:keepLines/>
              <w:rPr>
                <w:rFonts w:eastAsia="SimSun"/>
                <w:lang w:eastAsia="zh-CN"/>
              </w:rPr>
            </w:pPr>
            <w:r w:rsidRPr="00AC0FF2">
              <w:rPr>
                <w:rFonts w:eastAsiaTheme="minorEastAsia"/>
              </w:rPr>
              <w:t xml:space="preserve">  Vietnam</w:t>
            </w:r>
          </w:p>
        </w:tc>
        <w:tc>
          <w:tcPr>
            <w:tcW w:w="1044" w:type="dxa"/>
          </w:tcPr>
          <w:p w14:paraId="6FCD0625" w14:textId="0EAAB065" w:rsidR="00C95C0D" w:rsidRPr="00C95C0D" w:rsidRDefault="00C95C0D" w:rsidP="00C95C0D">
            <w:pPr>
              <w:keepNext/>
              <w:keepLines/>
              <w:tabs>
                <w:tab w:val="decimal" w:pos="331"/>
              </w:tabs>
              <w:spacing w:line="260" w:lineRule="exact"/>
              <w:jc w:val="right"/>
              <w:rPr>
                <w:highlight w:val="yellow"/>
              </w:rPr>
            </w:pPr>
            <w:r w:rsidRPr="00C95C0D">
              <w:t>25.9</w:t>
            </w:r>
          </w:p>
        </w:tc>
        <w:tc>
          <w:tcPr>
            <w:tcW w:w="1045" w:type="dxa"/>
          </w:tcPr>
          <w:p w14:paraId="27719A07" w14:textId="7188A785" w:rsidR="00C95C0D" w:rsidRPr="00C95C0D" w:rsidRDefault="00C95C0D" w:rsidP="00C95C0D">
            <w:pPr>
              <w:keepNext/>
              <w:keepLines/>
              <w:tabs>
                <w:tab w:val="decimal" w:pos="331"/>
              </w:tabs>
              <w:spacing w:line="260" w:lineRule="exact"/>
              <w:jc w:val="right"/>
              <w:rPr>
                <w:highlight w:val="yellow"/>
                <w:lang w:eastAsia="zh-HK"/>
              </w:rPr>
            </w:pPr>
            <w:r w:rsidRPr="00C95C0D">
              <w:t>12.2</w:t>
            </w:r>
          </w:p>
        </w:tc>
        <w:tc>
          <w:tcPr>
            <w:tcW w:w="1044" w:type="dxa"/>
          </w:tcPr>
          <w:p w14:paraId="4C2EB743" w14:textId="75EDE3EE" w:rsidR="00C95C0D" w:rsidRPr="00C95C0D" w:rsidRDefault="00C95C0D" w:rsidP="00C95C0D">
            <w:pPr>
              <w:keepNext/>
              <w:keepLines/>
              <w:tabs>
                <w:tab w:val="decimal" w:pos="331"/>
              </w:tabs>
              <w:spacing w:line="260" w:lineRule="exact"/>
              <w:jc w:val="right"/>
              <w:rPr>
                <w:highlight w:val="yellow"/>
                <w:lang w:eastAsia="zh-HK"/>
              </w:rPr>
            </w:pPr>
            <w:r w:rsidRPr="00C95C0D">
              <w:t>26.9</w:t>
            </w:r>
          </w:p>
        </w:tc>
        <w:tc>
          <w:tcPr>
            <w:tcW w:w="1045" w:type="dxa"/>
          </w:tcPr>
          <w:p w14:paraId="37397270" w14:textId="4A5469BE"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24.7</w:t>
            </w:r>
          </w:p>
        </w:tc>
        <w:tc>
          <w:tcPr>
            <w:tcW w:w="1045" w:type="dxa"/>
          </w:tcPr>
          <w:p w14:paraId="31E7F826" w14:textId="21FCB5E1" w:rsidR="00C95C0D" w:rsidRPr="00C95C0D" w:rsidRDefault="00C95C0D" w:rsidP="00C95C0D">
            <w:pPr>
              <w:keepNext/>
              <w:keepLines/>
              <w:tabs>
                <w:tab w:val="decimal" w:pos="331"/>
              </w:tabs>
              <w:spacing w:line="260" w:lineRule="exact"/>
              <w:jc w:val="right"/>
              <w:rPr>
                <w:highlight w:val="yellow"/>
              </w:rPr>
            </w:pPr>
            <w:r w:rsidRPr="00C95C0D">
              <w:t>39.0</w:t>
            </w:r>
          </w:p>
        </w:tc>
        <w:tc>
          <w:tcPr>
            <w:tcW w:w="1044" w:type="dxa"/>
            <w:shd w:val="clear" w:color="auto" w:fill="auto"/>
          </w:tcPr>
          <w:p w14:paraId="2B278BE5" w14:textId="6CCD82B1" w:rsidR="00C95C0D" w:rsidRPr="00AC48C9" w:rsidRDefault="000D0AD8" w:rsidP="00C95C0D">
            <w:pPr>
              <w:keepNext/>
              <w:keepLines/>
              <w:tabs>
                <w:tab w:val="decimal" w:pos="331"/>
              </w:tabs>
              <w:spacing w:line="260" w:lineRule="exact"/>
              <w:jc w:val="right"/>
            </w:pPr>
            <w:r>
              <w:t>6</w:t>
            </w:r>
            <w:r w:rsidR="0054074C">
              <w:rPr>
                <w:rFonts w:hint="eastAsia"/>
              </w:rPr>
              <w:t>5.2</w:t>
            </w:r>
          </w:p>
        </w:tc>
      </w:tr>
      <w:tr w:rsidR="00C95C0D" w:rsidRPr="00AC0FF2" w14:paraId="634E01AF" w14:textId="77777777" w:rsidTr="008621B1">
        <w:trPr>
          <w:jc w:val="center"/>
        </w:trPr>
        <w:tc>
          <w:tcPr>
            <w:tcW w:w="2233" w:type="dxa"/>
            <w:vAlign w:val="center"/>
          </w:tcPr>
          <w:p w14:paraId="3FAEBB16" w14:textId="77777777" w:rsidR="00C95C0D" w:rsidRPr="00AC0FF2" w:rsidRDefault="00C95C0D" w:rsidP="00C95C0D">
            <w:pPr>
              <w:keepNext/>
              <w:keepLines/>
              <w:rPr>
                <w:rFonts w:eastAsia="SimSun"/>
                <w:lang w:eastAsia="zh-CN"/>
              </w:rPr>
            </w:pPr>
          </w:p>
        </w:tc>
        <w:tc>
          <w:tcPr>
            <w:tcW w:w="1044" w:type="dxa"/>
          </w:tcPr>
          <w:p w14:paraId="2D4C058C"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587D9B6F"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65C0C76A"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2FAF2266"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6CC76451"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38605948" w14:textId="77777777" w:rsidR="00C95C0D" w:rsidRPr="00AC48C9" w:rsidRDefault="00C95C0D" w:rsidP="00C95C0D">
            <w:pPr>
              <w:keepNext/>
              <w:keepLines/>
              <w:tabs>
                <w:tab w:val="decimal" w:pos="331"/>
              </w:tabs>
              <w:spacing w:line="260" w:lineRule="exact"/>
              <w:jc w:val="right"/>
            </w:pPr>
          </w:p>
        </w:tc>
      </w:tr>
      <w:tr w:rsidR="00C95C0D" w:rsidRPr="00AC0FF2" w14:paraId="27EAA558" w14:textId="77777777" w:rsidTr="008621B1">
        <w:trPr>
          <w:jc w:val="center"/>
        </w:trPr>
        <w:tc>
          <w:tcPr>
            <w:tcW w:w="2233" w:type="dxa"/>
            <w:vAlign w:val="center"/>
          </w:tcPr>
          <w:p w14:paraId="42A3914F" w14:textId="77777777" w:rsidR="00C95C0D" w:rsidRPr="00AC0FF2" w:rsidRDefault="00C95C0D" w:rsidP="00C95C0D">
            <w:pPr>
              <w:keepNext/>
              <w:keepLines/>
              <w:rPr>
                <w:rFonts w:eastAsia="SimSun"/>
                <w:lang w:eastAsia="zh-CN"/>
              </w:rPr>
            </w:pPr>
            <w:r w:rsidRPr="00AC0FF2">
              <w:rPr>
                <w:rFonts w:eastAsia="SimSun"/>
                <w:lang w:eastAsia="zh-CN"/>
              </w:rPr>
              <w:t xml:space="preserve">  Singapore</w:t>
            </w:r>
          </w:p>
        </w:tc>
        <w:tc>
          <w:tcPr>
            <w:tcW w:w="1044" w:type="dxa"/>
          </w:tcPr>
          <w:p w14:paraId="180A4B69" w14:textId="2D9F4BF8" w:rsidR="00C95C0D" w:rsidRPr="00C95C0D" w:rsidRDefault="00C95C0D" w:rsidP="00C95C0D">
            <w:pPr>
              <w:keepNext/>
              <w:keepLines/>
              <w:tabs>
                <w:tab w:val="decimal" w:pos="331"/>
              </w:tabs>
              <w:spacing w:line="260" w:lineRule="exact"/>
              <w:jc w:val="right"/>
              <w:rPr>
                <w:highlight w:val="yellow"/>
              </w:rPr>
            </w:pPr>
            <w:r w:rsidRPr="00C95C0D">
              <w:t>2.4</w:t>
            </w:r>
          </w:p>
        </w:tc>
        <w:tc>
          <w:tcPr>
            <w:tcW w:w="1045" w:type="dxa"/>
          </w:tcPr>
          <w:p w14:paraId="5DFBA81A" w14:textId="485BB239" w:rsidR="00C95C0D" w:rsidRPr="00C95C0D" w:rsidRDefault="00C95C0D" w:rsidP="00C95C0D">
            <w:pPr>
              <w:keepNext/>
              <w:keepLines/>
              <w:tabs>
                <w:tab w:val="decimal" w:pos="331"/>
              </w:tabs>
              <w:spacing w:line="260" w:lineRule="exact"/>
              <w:jc w:val="right"/>
              <w:rPr>
                <w:highlight w:val="yellow"/>
                <w:lang w:eastAsia="zh-HK"/>
              </w:rPr>
            </w:pPr>
            <w:r w:rsidRPr="00C95C0D">
              <w:t>3.5</w:t>
            </w:r>
          </w:p>
        </w:tc>
        <w:tc>
          <w:tcPr>
            <w:tcW w:w="1044" w:type="dxa"/>
          </w:tcPr>
          <w:p w14:paraId="1A6CC6B0" w14:textId="6F5BA033" w:rsidR="00C95C0D" w:rsidRPr="00C95C0D" w:rsidRDefault="00C95C0D" w:rsidP="00C95C0D">
            <w:pPr>
              <w:keepNext/>
              <w:keepLines/>
              <w:tabs>
                <w:tab w:val="decimal" w:pos="331"/>
              </w:tabs>
              <w:spacing w:line="260" w:lineRule="exact"/>
              <w:jc w:val="right"/>
              <w:rPr>
                <w:highlight w:val="yellow"/>
                <w:lang w:eastAsia="zh-HK"/>
              </w:rPr>
            </w:pPr>
            <w:r w:rsidRPr="00C95C0D">
              <w:t>2.0</w:t>
            </w:r>
          </w:p>
        </w:tc>
        <w:tc>
          <w:tcPr>
            <w:tcW w:w="1045" w:type="dxa"/>
          </w:tcPr>
          <w:p w14:paraId="5A0F0E3A" w14:textId="76619398"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-15.1</w:t>
            </w:r>
          </w:p>
        </w:tc>
        <w:tc>
          <w:tcPr>
            <w:tcW w:w="1045" w:type="dxa"/>
          </w:tcPr>
          <w:p w14:paraId="0EA19B11" w14:textId="70900DFB" w:rsidR="00C95C0D" w:rsidRPr="00C95C0D" w:rsidRDefault="00C95C0D" w:rsidP="00C95C0D">
            <w:pPr>
              <w:keepNext/>
              <w:keepLines/>
              <w:tabs>
                <w:tab w:val="decimal" w:pos="331"/>
              </w:tabs>
              <w:spacing w:line="260" w:lineRule="exact"/>
              <w:jc w:val="right"/>
              <w:rPr>
                <w:highlight w:val="yellow"/>
              </w:rPr>
            </w:pPr>
            <w:r w:rsidRPr="00C95C0D">
              <w:t>19.8</w:t>
            </w:r>
          </w:p>
        </w:tc>
        <w:tc>
          <w:tcPr>
            <w:tcW w:w="1044" w:type="dxa"/>
            <w:shd w:val="clear" w:color="auto" w:fill="auto"/>
          </w:tcPr>
          <w:p w14:paraId="68C6A667" w14:textId="7B1C61F3" w:rsidR="00C95C0D" w:rsidRPr="00AC48C9" w:rsidRDefault="000D0AD8" w:rsidP="00C95C0D">
            <w:pPr>
              <w:keepNext/>
              <w:keepLines/>
              <w:tabs>
                <w:tab w:val="decimal" w:pos="331"/>
              </w:tabs>
              <w:spacing w:line="260" w:lineRule="exact"/>
              <w:jc w:val="right"/>
            </w:pPr>
            <w:r>
              <w:t>3</w:t>
            </w:r>
            <w:r w:rsidR="00C95C0D">
              <w:t>.6</w:t>
            </w:r>
          </w:p>
        </w:tc>
      </w:tr>
      <w:tr w:rsidR="00C95C0D" w:rsidRPr="00AC0FF2" w14:paraId="3F657133" w14:textId="77777777" w:rsidTr="008621B1">
        <w:trPr>
          <w:jc w:val="center"/>
        </w:trPr>
        <w:tc>
          <w:tcPr>
            <w:tcW w:w="2233" w:type="dxa"/>
            <w:vAlign w:val="center"/>
          </w:tcPr>
          <w:p w14:paraId="6FD5F855" w14:textId="77777777" w:rsidR="00C95C0D" w:rsidRPr="00AC0FF2" w:rsidRDefault="00C95C0D" w:rsidP="00C95C0D">
            <w:pPr>
              <w:keepNext/>
              <w:keepLines/>
              <w:rPr>
                <w:rFonts w:eastAsia="SimSun"/>
                <w:lang w:eastAsia="zh-CN"/>
              </w:rPr>
            </w:pPr>
          </w:p>
        </w:tc>
        <w:tc>
          <w:tcPr>
            <w:tcW w:w="1044" w:type="dxa"/>
          </w:tcPr>
          <w:p w14:paraId="7EA4CD23"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135EA616"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311662E6"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42DCE147"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2EBB44D3"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614C18EF" w14:textId="77777777" w:rsidR="00C95C0D" w:rsidRPr="00AC48C9" w:rsidRDefault="00C95C0D" w:rsidP="00C95C0D">
            <w:pPr>
              <w:keepNext/>
              <w:keepLines/>
              <w:tabs>
                <w:tab w:val="decimal" w:pos="331"/>
              </w:tabs>
              <w:spacing w:line="260" w:lineRule="exact"/>
              <w:jc w:val="right"/>
            </w:pPr>
          </w:p>
        </w:tc>
      </w:tr>
      <w:tr w:rsidR="00C95C0D" w:rsidRPr="00AC0FF2" w14:paraId="3ECF14DB" w14:textId="77777777" w:rsidTr="008621B1">
        <w:trPr>
          <w:jc w:val="center"/>
        </w:trPr>
        <w:tc>
          <w:tcPr>
            <w:tcW w:w="2233" w:type="dxa"/>
            <w:vAlign w:val="center"/>
          </w:tcPr>
          <w:p w14:paraId="31B48C57" w14:textId="77777777" w:rsidR="00C95C0D" w:rsidRPr="00AC0FF2" w:rsidRDefault="00C95C0D" w:rsidP="00C95C0D">
            <w:pPr>
              <w:keepNext/>
              <w:keepLines/>
              <w:rPr>
                <w:rFonts w:eastAsia="SimSun"/>
                <w:lang w:eastAsia="zh-CN"/>
              </w:rPr>
            </w:pPr>
            <w:r w:rsidRPr="00AC0FF2">
              <w:rPr>
                <w:rFonts w:eastAsia="SimSun"/>
                <w:lang w:eastAsia="zh-CN"/>
              </w:rPr>
              <w:t>India</w:t>
            </w:r>
          </w:p>
        </w:tc>
        <w:tc>
          <w:tcPr>
            <w:tcW w:w="1044" w:type="dxa"/>
          </w:tcPr>
          <w:p w14:paraId="7678C523" w14:textId="6B1021D9" w:rsidR="00C95C0D" w:rsidRPr="00C95C0D" w:rsidRDefault="00C95C0D" w:rsidP="00C95C0D">
            <w:pPr>
              <w:keepNext/>
              <w:keepLines/>
              <w:tabs>
                <w:tab w:val="decimal" w:pos="331"/>
              </w:tabs>
              <w:spacing w:line="260" w:lineRule="exact"/>
              <w:jc w:val="right"/>
              <w:rPr>
                <w:highlight w:val="yellow"/>
              </w:rPr>
            </w:pPr>
            <w:r w:rsidRPr="00C95C0D">
              <w:rPr>
                <w:lang w:eastAsia="zh-HK"/>
              </w:rPr>
              <w:t>-17.</w:t>
            </w:r>
            <w:r w:rsidRPr="00C95C0D">
              <w:t>8</w:t>
            </w:r>
          </w:p>
        </w:tc>
        <w:tc>
          <w:tcPr>
            <w:tcW w:w="1045" w:type="dxa"/>
          </w:tcPr>
          <w:p w14:paraId="122FC043" w14:textId="516B1B77" w:rsidR="00C95C0D" w:rsidRPr="00C95C0D" w:rsidRDefault="00C95C0D" w:rsidP="00C95C0D">
            <w:pPr>
              <w:keepNext/>
              <w:keepLines/>
              <w:tabs>
                <w:tab w:val="decimal" w:pos="331"/>
              </w:tabs>
              <w:spacing w:line="260" w:lineRule="exact"/>
              <w:jc w:val="right"/>
              <w:rPr>
                <w:highlight w:val="yellow"/>
                <w:lang w:eastAsia="zh-HK"/>
              </w:rPr>
            </w:pPr>
            <w:r w:rsidRPr="00C95C0D">
              <w:t>9.5</w:t>
            </w:r>
          </w:p>
        </w:tc>
        <w:tc>
          <w:tcPr>
            <w:tcW w:w="1044" w:type="dxa"/>
          </w:tcPr>
          <w:p w14:paraId="4CEF7739" w14:textId="27D76E7B" w:rsidR="00C95C0D" w:rsidRPr="00C95C0D" w:rsidRDefault="00C95C0D" w:rsidP="00C95C0D">
            <w:pPr>
              <w:keepNext/>
              <w:keepLines/>
              <w:tabs>
                <w:tab w:val="decimal" w:pos="331"/>
              </w:tabs>
              <w:spacing w:line="260" w:lineRule="exact"/>
              <w:jc w:val="right"/>
              <w:rPr>
                <w:highlight w:val="yellow"/>
                <w:lang w:eastAsia="zh-HK"/>
              </w:rPr>
            </w:pPr>
            <w:r w:rsidRPr="00C95C0D">
              <w:t>-20.8</w:t>
            </w:r>
          </w:p>
        </w:tc>
        <w:tc>
          <w:tcPr>
            <w:tcW w:w="1045" w:type="dxa"/>
          </w:tcPr>
          <w:p w14:paraId="19BD97FB" w14:textId="7DDA6B42"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-23.7</w:t>
            </w:r>
          </w:p>
        </w:tc>
        <w:tc>
          <w:tcPr>
            <w:tcW w:w="1045" w:type="dxa"/>
          </w:tcPr>
          <w:p w14:paraId="197C3C99" w14:textId="3CC843E8" w:rsidR="00C95C0D" w:rsidRPr="00C95C0D" w:rsidRDefault="00C95C0D" w:rsidP="00C95C0D">
            <w:pPr>
              <w:keepNext/>
              <w:keepLines/>
              <w:tabs>
                <w:tab w:val="decimal" w:pos="331"/>
              </w:tabs>
              <w:spacing w:line="260" w:lineRule="exact"/>
              <w:jc w:val="right"/>
              <w:rPr>
                <w:highlight w:val="yellow"/>
              </w:rPr>
            </w:pPr>
            <w:r w:rsidRPr="00C95C0D">
              <w:rPr>
                <w:lang w:eastAsia="zh-HK"/>
              </w:rPr>
              <w:t>-3</w:t>
            </w:r>
            <w:r w:rsidRPr="00C95C0D">
              <w:t>1.2</w:t>
            </w:r>
          </w:p>
        </w:tc>
        <w:tc>
          <w:tcPr>
            <w:tcW w:w="1044" w:type="dxa"/>
            <w:shd w:val="clear" w:color="auto" w:fill="auto"/>
          </w:tcPr>
          <w:p w14:paraId="4E2D66D7" w14:textId="4F00B83E" w:rsidR="00C95C0D" w:rsidRPr="00AC48C9" w:rsidRDefault="00746286" w:rsidP="000D0AD8">
            <w:pPr>
              <w:keepNext/>
              <w:keepLines/>
              <w:tabs>
                <w:tab w:val="decimal" w:pos="331"/>
              </w:tabs>
              <w:spacing w:line="260" w:lineRule="exact"/>
              <w:jc w:val="right"/>
              <w:rPr>
                <w:lang w:eastAsia="zh-HK"/>
              </w:rPr>
            </w:pPr>
            <w:r>
              <w:t>-</w:t>
            </w:r>
            <w:r w:rsidR="000D0AD8">
              <w:t>19.</w:t>
            </w:r>
            <w:r w:rsidR="000B6E01">
              <w:t>0</w:t>
            </w:r>
          </w:p>
        </w:tc>
      </w:tr>
      <w:tr w:rsidR="00C95C0D" w:rsidRPr="00AC0FF2" w14:paraId="04B2116A" w14:textId="77777777" w:rsidTr="008621B1">
        <w:trPr>
          <w:jc w:val="center"/>
        </w:trPr>
        <w:tc>
          <w:tcPr>
            <w:tcW w:w="2233" w:type="dxa"/>
            <w:vAlign w:val="center"/>
          </w:tcPr>
          <w:p w14:paraId="295FEBBA" w14:textId="77777777" w:rsidR="00C95C0D" w:rsidRPr="00AC0FF2" w:rsidRDefault="00C95C0D" w:rsidP="00C95C0D">
            <w:pPr>
              <w:keepNext/>
              <w:keepLines/>
              <w:rPr>
                <w:rFonts w:eastAsia="SimSun"/>
                <w:lang w:eastAsia="zh-CN"/>
              </w:rPr>
            </w:pPr>
          </w:p>
        </w:tc>
        <w:tc>
          <w:tcPr>
            <w:tcW w:w="1044" w:type="dxa"/>
          </w:tcPr>
          <w:p w14:paraId="5FE31410"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25858D52"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0F8B3EA9"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6BEF91E3"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60BCB004"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41B981B7" w14:textId="77777777" w:rsidR="00C95C0D" w:rsidRPr="00AC48C9" w:rsidRDefault="00C95C0D" w:rsidP="00C95C0D">
            <w:pPr>
              <w:keepNext/>
              <w:keepLines/>
              <w:tabs>
                <w:tab w:val="decimal" w:pos="331"/>
              </w:tabs>
              <w:spacing w:line="260" w:lineRule="exact"/>
              <w:jc w:val="right"/>
            </w:pPr>
          </w:p>
        </w:tc>
      </w:tr>
      <w:tr w:rsidR="00C95C0D" w:rsidRPr="00AC0FF2" w14:paraId="26A7A151" w14:textId="77777777" w:rsidTr="008621B1">
        <w:trPr>
          <w:jc w:val="center"/>
        </w:trPr>
        <w:tc>
          <w:tcPr>
            <w:tcW w:w="2233" w:type="dxa"/>
            <w:vAlign w:val="center"/>
          </w:tcPr>
          <w:p w14:paraId="3E52D15F" w14:textId="77777777" w:rsidR="00C95C0D" w:rsidRPr="00AC0FF2" w:rsidRDefault="00C95C0D" w:rsidP="00C95C0D">
            <w:pPr>
              <w:keepNext/>
              <w:keepLines/>
              <w:rPr>
                <w:vertAlign w:val="superscript"/>
              </w:rPr>
            </w:pPr>
            <w:r w:rsidRPr="00AC0FF2">
              <w:rPr>
                <w:rFonts w:eastAsia="SimSun"/>
                <w:lang w:eastAsia="zh-CN"/>
              </w:rPr>
              <w:t>Japan</w:t>
            </w:r>
          </w:p>
        </w:tc>
        <w:tc>
          <w:tcPr>
            <w:tcW w:w="1044" w:type="dxa"/>
          </w:tcPr>
          <w:p w14:paraId="0A36F664" w14:textId="1C269C34" w:rsidR="00C95C0D" w:rsidRPr="00C95C0D" w:rsidRDefault="00C95C0D" w:rsidP="00C95C0D">
            <w:pPr>
              <w:keepNext/>
              <w:keepLines/>
              <w:tabs>
                <w:tab w:val="decimal" w:pos="331"/>
              </w:tabs>
              <w:spacing w:line="260" w:lineRule="exact"/>
              <w:jc w:val="right"/>
              <w:rPr>
                <w:highlight w:val="yellow"/>
              </w:rPr>
            </w:pPr>
            <w:r w:rsidRPr="00C95C0D">
              <w:rPr>
                <w:lang w:eastAsia="zh-HK"/>
              </w:rPr>
              <w:t>-</w:t>
            </w:r>
            <w:r w:rsidRPr="00C95C0D">
              <w:t>3.9</w:t>
            </w:r>
          </w:p>
        </w:tc>
        <w:tc>
          <w:tcPr>
            <w:tcW w:w="1045" w:type="dxa"/>
          </w:tcPr>
          <w:p w14:paraId="79971BBD" w14:textId="7ECDE683"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w:t>
            </w:r>
            <w:r w:rsidRPr="00C95C0D">
              <w:t>3.0</w:t>
            </w:r>
          </w:p>
        </w:tc>
        <w:tc>
          <w:tcPr>
            <w:tcW w:w="1044" w:type="dxa"/>
          </w:tcPr>
          <w:p w14:paraId="35101174" w14:textId="787206F0"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0.6</w:t>
            </w:r>
          </w:p>
        </w:tc>
        <w:tc>
          <w:tcPr>
            <w:tcW w:w="1045" w:type="dxa"/>
          </w:tcPr>
          <w:p w14:paraId="447A6948" w14:textId="7A25636A"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-3.6</w:t>
            </w:r>
          </w:p>
        </w:tc>
        <w:tc>
          <w:tcPr>
            <w:tcW w:w="1045" w:type="dxa"/>
          </w:tcPr>
          <w:p w14:paraId="2725B657" w14:textId="1C0B93CC" w:rsidR="00C95C0D" w:rsidRPr="00C95C0D" w:rsidRDefault="00C95C0D" w:rsidP="00C95C0D">
            <w:pPr>
              <w:keepNext/>
              <w:keepLines/>
              <w:tabs>
                <w:tab w:val="decimal" w:pos="331"/>
              </w:tabs>
              <w:spacing w:line="260" w:lineRule="exact"/>
              <w:jc w:val="right"/>
              <w:rPr>
                <w:highlight w:val="yellow"/>
              </w:rPr>
            </w:pPr>
            <w:r w:rsidRPr="00C95C0D">
              <w:rPr>
                <w:lang w:eastAsia="zh-HK"/>
              </w:rPr>
              <w:t>-</w:t>
            </w:r>
            <w:r w:rsidRPr="00C95C0D">
              <w:t>9.5</w:t>
            </w:r>
          </w:p>
        </w:tc>
        <w:tc>
          <w:tcPr>
            <w:tcW w:w="1044" w:type="dxa"/>
            <w:shd w:val="clear" w:color="auto" w:fill="auto"/>
          </w:tcPr>
          <w:p w14:paraId="6CD0F082" w14:textId="12E08DB8" w:rsidR="00C95C0D" w:rsidRPr="00AC48C9" w:rsidRDefault="00690FC8" w:rsidP="00C95C0D">
            <w:pPr>
              <w:keepNext/>
              <w:keepLines/>
              <w:tabs>
                <w:tab w:val="decimal" w:pos="331"/>
              </w:tabs>
              <w:spacing w:line="260" w:lineRule="exact"/>
              <w:jc w:val="right"/>
              <w:rPr>
                <w:lang w:eastAsia="zh-HK"/>
              </w:rPr>
            </w:pPr>
            <w:r>
              <w:t>0</w:t>
            </w:r>
            <w:r w:rsidR="00746286">
              <w:t>.5</w:t>
            </w:r>
          </w:p>
        </w:tc>
      </w:tr>
      <w:tr w:rsidR="00C95C0D" w:rsidRPr="00AC0FF2" w14:paraId="486335F9" w14:textId="77777777" w:rsidTr="008621B1">
        <w:trPr>
          <w:jc w:val="center"/>
        </w:trPr>
        <w:tc>
          <w:tcPr>
            <w:tcW w:w="2233" w:type="dxa"/>
            <w:vAlign w:val="center"/>
          </w:tcPr>
          <w:p w14:paraId="07E45E18" w14:textId="77777777" w:rsidR="00C95C0D" w:rsidRPr="00AC0FF2" w:rsidRDefault="00C95C0D" w:rsidP="00C95C0D">
            <w:pPr>
              <w:keepNext/>
              <w:keepLines/>
              <w:rPr>
                <w:rFonts w:eastAsia="SimSun"/>
                <w:lang w:eastAsia="zh-CN"/>
              </w:rPr>
            </w:pPr>
          </w:p>
        </w:tc>
        <w:tc>
          <w:tcPr>
            <w:tcW w:w="1044" w:type="dxa"/>
          </w:tcPr>
          <w:p w14:paraId="5EFA8500"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4BCD3960"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1B1EF2B1"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0D512979"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7DB0D122"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0353FED0" w14:textId="77777777" w:rsidR="00C95C0D" w:rsidRPr="00AC48C9" w:rsidRDefault="00C95C0D" w:rsidP="00C95C0D">
            <w:pPr>
              <w:keepNext/>
              <w:keepLines/>
              <w:tabs>
                <w:tab w:val="decimal" w:pos="331"/>
              </w:tabs>
              <w:spacing w:line="260" w:lineRule="exact"/>
              <w:jc w:val="right"/>
            </w:pPr>
          </w:p>
        </w:tc>
      </w:tr>
      <w:tr w:rsidR="00C95C0D" w:rsidRPr="00AC0FF2" w14:paraId="4E04CD71" w14:textId="77777777" w:rsidTr="008621B1">
        <w:trPr>
          <w:jc w:val="center"/>
        </w:trPr>
        <w:tc>
          <w:tcPr>
            <w:tcW w:w="2233" w:type="dxa"/>
            <w:vAlign w:val="center"/>
          </w:tcPr>
          <w:p w14:paraId="211A6515" w14:textId="77777777" w:rsidR="00C95C0D" w:rsidRPr="00AC0FF2" w:rsidRDefault="00C95C0D" w:rsidP="00C95C0D">
            <w:pPr>
              <w:keepNext/>
              <w:keepLines/>
              <w:rPr>
                <w:rFonts w:eastAsiaTheme="minorEastAsia"/>
              </w:rPr>
            </w:pPr>
            <w:r w:rsidRPr="00AC0FF2">
              <w:rPr>
                <w:rFonts w:eastAsia="SimSun"/>
                <w:lang w:eastAsia="zh-CN"/>
              </w:rPr>
              <w:t>Taiwan</w:t>
            </w:r>
          </w:p>
        </w:tc>
        <w:tc>
          <w:tcPr>
            <w:tcW w:w="1044" w:type="dxa"/>
          </w:tcPr>
          <w:p w14:paraId="0CA49606" w14:textId="23F8E531" w:rsidR="00C95C0D" w:rsidRPr="00C95C0D" w:rsidRDefault="00C95C0D" w:rsidP="00C95C0D">
            <w:pPr>
              <w:keepNext/>
              <w:keepLines/>
              <w:tabs>
                <w:tab w:val="decimal" w:pos="331"/>
              </w:tabs>
              <w:spacing w:line="260" w:lineRule="exact"/>
              <w:jc w:val="right"/>
              <w:rPr>
                <w:highlight w:val="yellow"/>
              </w:rPr>
            </w:pPr>
            <w:r w:rsidRPr="00C95C0D">
              <w:rPr>
                <w:lang w:eastAsia="zh-HK"/>
              </w:rPr>
              <w:t>-2.7</w:t>
            </w:r>
          </w:p>
        </w:tc>
        <w:tc>
          <w:tcPr>
            <w:tcW w:w="1045" w:type="dxa"/>
          </w:tcPr>
          <w:p w14:paraId="211C0AEB" w14:textId="48781632"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w:t>
            </w:r>
            <w:r w:rsidRPr="00C95C0D">
              <w:t>8.3</w:t>
            </w:r>
          </w:p>
        </w:tc>
        <w:tc>
          <w:tcPr>
            <w:tcW w:w="1044" w:type="dxa"/>
          </w:tcPr>
          <w:p w14:paraId="4BDBAFB0" w14:textId="70ABE327"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8.1</w:t>
            </w:r>
          </w:p>
        </w:tc>
        <w:tc>
          <w:tcPr>
            <w:tcW w:w="1045" w:type="dxa"/>
          </w:tcPr>
          <w:p w14:paraId="45EFD65E" w14:textId="73906F4C"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-8.2</w:t>
            </w:r>
          </w:p>
        </w:tc>
        <w:tc>
          <w:tcPr>
            <w:tcW w:w="1045" w:type="dxa"/>
          </w:tcPr>
          <w:p w14:paraId="1CFFAF6A" w14:textId="3DB2E250" w:rsidR="00C95C0D" w:rsidRPr="00C95C0D" w:rsidRDefault="00C95C0D" w:rsidP="00C95C0D">
            <w:pPr>
              <w:keepNext/>
              <w:keepLines/>
              <w:tabs>
                <w:tab w:val="decimal" w:pos="331"/>
              </w:tabs>
              <w:spacing w:line="260" w:lineRule="exact"/>
              <w:jc w:val="right"/>
              <w:rPr>
                <w:highlight w:val="yellow"/>
              </w:rPr>
            </w:pPr>
            <w:r w:rsidRPr="00C95C0D">
              <w:rPr>
                <w:lang w:eastAsia="zh-HK"/>
              </w:rPr>
              <w:t>-1.</w:t>
            </w:r>
            <w:r w:rsidRPr="00C95C0D">
              <w:t>5</w:t>
            </w:r>
          </w:p>
        </w:tc>
        <w:tc>
          <w:tcPr>
            <w:tcW w:w="1044" w:type="dxa"/>
            <w:shd w:val="clear" w:color="auto" w:fill="auto"/>
          </w:tcPr>
          <w:p w14:paraId="17F93221" w14:textId="41B13103" w:rsidR="00C95C0D" w:rsidRPr="00AC48C9" w:rsidRDefault="000D0AD8" w:rsidP="000D0AD8">
            <w:pPr>
              <w:keepNext/>
              <w:keepLines/>
              <w:tabs>
                <w:tab w:val="decimal" w:pos="331"/>
              </w:tabs>
              <w:spacing w:line="260" w:lineRule="exact"/>
              <w:jc w:val="right"/>
              <w:rPr>
                <w:lang w:eastAsia="zh-HK"/>
              </w:rPr>
            </w:pPr>
            <w:r>
              <w:rPr>
                <w:lang w:eastAsia="zh-HK"/>
              </w:rPr>
              <w:t>33.</w:t>
            </w:r>
            <w:r w:rsidR="0054074C">
              <w:rPr>
                <w:rFonts w:hint="eastAsia"/>
              </w:rPr>
              <w:t>4</w:t>
            </w:r>
          </w:p>
        </w:tc>
      </w:tr>
      <w:tr w:rsidR="00C95C0D" w:rsidRPr="00AC0FF2" w14:paraId="05B069BA" w14:textId="77777777" w:rsidTr="008621B1">
        <w:trPr>
          <w:jc w:val="center"/>
        </w:trPr>
        <w:tc>
          <w:tcPr>
            <w:tcW w:w="2233" w:type="dxa"/>
            <w:vAlign w:val="center"/>
          </w:tcPr>
          <w:p w14:paraId="294A3D65" w14:textId="77777777" w:rsidR="00C95C0D" w:rsidRPr="00AC0FF2" w:rsidRDefault="00C95C0D" w:rsidP="00C95C0D">
            <w:pPr>
              <w:keepNext/>
              <w:keepLines/>
              <w:rPr>
                <w:rFonts w:eastAsia="SimSun"/>
                <w:lang w:eastAsia="zh-CN"/>
              </w:rPr>
            </w:pPr>
          </w:p>
        </w:tc>
        <w:tc>
          <w:tcPr>
            <w:tcW w:w="1044" w:type="dxa"/>
          </w:tcPr>
          <w:p w14:paraId="20222143"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5862CB73"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6123D8E3"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37445BB3"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547EB6B2"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1C33AE3F" w14:textId="77777777" w:rsidR="00C95C0D" w:rsidRPr="00AC48C9" w:rsidRDefault="00C95C0D" w:rsidP="00C95C0D">
            <w:pPr>
              <w:keepNext/>
              <w:keepLines/>
              <w:tabs>
                <w:tab w:val="decimal" w:pos="331"/>
              </w:tabs>
              <w:spacing w:line="260" w:lineRule="exact"/>
              <w:jc w:val="right"/>
            </w:pPr>
          </w:p>
        </w:tc>
      </w:tr>
      <w:tr w:rsidR="00C95C0D" w:rsidRPr="00AC0FF2" w14:paraId="7DEB1577" w14:textId="77777777" w:rsidTr="008621B1">
        <w:trPr>
          <w:jc w:val="center"/>
        </w:trPr>
        <w:tc>
          <w:tcPr>
            <w:tcW w:w="2233" w:type="dxa"/>
            <w:vAlign w:val="center"/>
          </w:tcPr>
          <w:p w14:paraId="5BD4B8F2" w14:textId="77777777" w:rsidR="00C95C0D" w:rsidRPr="00AC0FF2" w:rsidRDefault="00C95C0D" w:rsidP="00C95C0D">
            <w:pPr>
              <w:keepNext/>
              <w:keepLines/>
              <w:rPr>
                <w:rFonts w:eastAsia="SimSun"/>
                <w:lang w:eastAsia="zh-CN"/>
              </w:rPr>
            </w:pPr>
            <w:r w:rsidRPr="00AC0FF2">
              <w:rPr>
                <w:rFonts w:eastAsia="SimSun"/>
                <w:lang w:eastAsia="zh-CN"/>
              </w:rPr>
              <w:t>Korea</w:t>
            </w:r>
          </w:p>
        </w:tc>
        <w:tc>
          <w:tcPr>
            <w:tcW w:w="1044" w:type="dxa"/>
          </w:tcPr>
          <w:p w14:paraId="0AC7F47C" w14:textId="4177D469" w:rsidR="00C95C0D" w:rsidRPr="00C95C0D" w:rsidRDefault="00C95C0D" w:rsidP="00C95C0D">
            <w:pPr>
              <w:keepNext/>
              <w:keepLines/>
              <w:tabs>
                <w:tab w:val="decimal" w:pos="331"/>
              </w:tabs>
              <w:spacing w:line="260" w:lineRule="exact"/>
              <w:jc w:val="right"/>
              <w:rPr>
                <w:highlight w:val="yellow"/>
              </w:rPr>
            </w:pPr>
            <w:r w:rsidRPr="00C95C0D">
              <w:t>-9.4</w:t>
            </w:r>
          </w:p>
        </w:tc>
        <w:tc>
          <w:tcPr>
            <w:tcW w:w="1045" w:type="dxa"/>
          </w:tcPr>
          <w:p w14:paraId="33FAE0FC" w14:textId="3EECF778" w:rsidR="00C95C0D" w:rsidRPr="00C95C0D" w:rsidRDefault="00C95C0D" w:rsidP="00C95C0D">
            <w:pPr>
              <w:keepNext/>
              <w:keepLines/>
              <w:tabs>
                <w:tab w:val="decimal" w:pos="331"/>
              </w:tabs>
              <w:spacing w:line="260" w:lineRule="exact"/>
              <w:jc w:val="right"/>
              <w:rPr>
                <w:highlight w:val="yellow"/>
                <w:lang w:eastAsia="zh-HK"/>
              </w:rPr>
            </w:pPr>
            <w:r w:rsidRPr="00C95C0D">
              <w:t>-9.8</w:t>
            </w:r>
          </w:p>
        </w:tc>
        <w:tc>
          <w:tcPr>
            <w:tcW w:w="1044" w:type="dxa"/>
          </w:tcPr>
          <w:p w14:paraId="3A95F645" w14:textId="28F68AED" w:rsidR="00C95C0D" w:rsidRPr="00C95C0D" w:rsidRDefault="00C95C0D" w:rsidP="00C95C0D">
            <w:pPr>
              <w:keepNext/>
              <w:keepLines/>
              <w:tabs>
                <w:tab w:val="decimal" w:pos="331"/>
              </w:tabs>
              <w:spacing w:line="260" w:lineRule="exact"/>
              <w:jc w:val="right"/>
              <w:rPr>
                <w:highlight w:val="yellow"/>
                <w:lang w:eastAsia="zh-HK"/>
              </w:rPr>
            </w:pPr>
            <w:r w:rsidRPr="00C95C0D">
              <w:t>-4.7</w:t>
            </w:r>
          </w:p>
        </w:tc>
        <w:tc>
          <w:tcPr>
            <w:tcW w:w="1045" w:type="dxa"/>
          </w:tcPr>
          <w:p w14:paraId="26157CED" w14:textId="491F78BC"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-14.0</w:t>
            </w:r>
          </w:p>
        </w:tc>
        <w:tc>
          <w:tcPr>
            <w:tcW w:w="1045" w:type="dxa"/>
          </w:tcPr>
          <w:p w14:paraId="21664AFE" w14:textId="3EAE84EE" w:rsidR="00C95C0D" w:rsidRPr="00C95C0D" w:rsidRDefault="00C95C0D" w:rsidP="00C95C0D">
            <w:pPr>
              <w:keepNext/>
              <w:keepLines/>
              <w:tabs>
                <w:tab w:val="decimal" w:pos="331"/>
              </w:tabs>
              <w:spacing w:line="260" w:lineRule="exact"/>
              <w:jc w:val="right"/>
              <w:rPr>
                <w:highlight w:val="yellow"/>
              </w:rPr>
            </w:pPr>
            <w:r w:rsidRPr="00C95C0D">
              <w:rPr>
                <w:lang w:eastAsia="zh-HK"/>
              </w:rPr>
              <w:t>-</w:t>
            </w:r>
            <w:r w:rsidRPr="00C95C0D">
              <w:t>8.9</w:t>
            </w:r>
          </w:p>
        </w:tc>
        <w:tc>
          <w:tcPr>
            <w:tcW w:w="1044" w:type="dxa"/>
            <w:shd w:val="clear" w:color="auto" w:fill="auto"/>
          </w:tcPr>
          <w:p w14:paraId="6C57C345" w14:textId="0C86BD06" w:rsidR="00C95C0D" w:rsidRPr="00AC48C9" w:rsidRDefault="00690FC8" w:rsidP="00C95C0D">
            <w:pPr>
              <w:keepNext/>
              <w:keepLines/>
              <w:tabs>
                <w:tab w:val="decimal" w:pos="331"/>
              </w:tabs>
              <w:spacing w:line="260" w:lineRule="exact"/>
              <w:jc w:val="right"/>
              <w:rPr>
                <w:lang w:eastAsia="zh-HK"/>
              </w:rPr>
            </w:pPr>
            <w:r>
              <w:t>-9.</w:t>
            </w:r>
            <w:r w:rsidR="000B6E01">
              <w:t>4</w:t>
            </w:r>
          </w:p>
        </w:tc>
      </w:tr>
      <w:tr w:rsidR="00C95C0D" w:rsidRPr="00AC0FF2" w14:paraId="79F1B70A" w14:textId="77777777" w:rsidTr="008621B1">
        <w:trPr>
          <w:jc w:val="center"/>
        </w:trPr>
        <w:tc>
          <w:tcPr>
            <w:tcW w:w="2233" w:type="dxa"/>
            <w:vAlign w:val="center"/>
          </w:tcPr>
          <w:p w14:paraId="3EA3698C" w14:textId="77777777" w:rsidR="00C95C0D" w:rsidRPr="00AC0FF2" w:rsidRDefault="00C95C0D" w:rsidP="00C95C0D">
            <w:pPr>
              <w:keepNext/>
              <w:keepLines/>
              <w:rPr>
                <w:rFonts w:eastAsia="SimSun"/>
                <w:lang w:eastAsia="zh-CN"/>
              </w:rPr>
            </w:pPr>
          </w:p>
        </w:tc>
        <w:tc>
          <w:tcPr>
            <w:tcW w:w="1044" w:type="dxa"/>
          </w:tcPr>
          <w:p w14:paraId="1E14E851" w14:textId="77777777" w:rsidR="00C95C0D" w:rsidRPr="00C95C0D" w:rsidRDefault="00C95C0D" w:rsidP="00C95C0D">
            <w:pPr>
              <w:keepNext/>
              <w:keepLines/>
              <w:tabs>
                <w:tab w:val="decimal" w:pos="331"/>
              </w:tabs>
              <w:spacing w:line="260" w:lineRule="exact"/>
              <w:jc w:val="right"/>
              <w:rPr>
                <w:highlight w:val="yellow"/>
              </w:rPr>
            </w:pPr>
          </w:p>
        </w:tc>
        <w:tc>
          <w:tcPr>
            <w:tcW w:w="1045" w:type="dxa"/>
          </w:tcPr>
          <w:p w14:paraId="232137B4"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4" w:type="dxa"/>
          </w:tcPr>
          <w:p w14:paraId="4C62CAC8"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050A450F" w14:textId="77777777" w:rsidR="00C95C0D" w:rsidRPr="00C95C0D" w:rsidRDefault="00C95C0D" w:rsidP="00C95C0D">
            <w:pPr>
              <w:keepNext/>
              <w:keepLines/>
              <w:tabs>
                <w:tab w:val="decimal" w:pos="331"/>
              </w:tabs>
              <w:spacing w:line="260" w:lineRule="exact"/>
              <w:jc w:val="right"/>
              <w:rPr>
                <w:highlight w:val="yellow"/>
                <w:lang w:eastAsia="zh-HK"/>
              </w:rPr>
            </w:pPr>
          </w:p>
        </w:tc>
        <w:tc>
          <w:tcPr>
            <w:tcW w:w="1045" w:type="dxa"/>
          </w:tcPr>
          <w:p w14:paraId="76080139" w14:textId="77777777" w:rsidR="00C95C0D" w:rsidRPr="00C95C0D" w:rsidRDefault="00C95C0D" w:rsidP="00C95C0D">
            <w:pPr>
              <w:keepNext/>
              <w:keepLines/>
              <w:tabs>
                <w:tab w:val="decimal" w:pos="331"/>
              </w:tabs>
              <w:spacing w:line="260" w:lineRule="exact"/>
              <w:jc w:val="right"/>
              <w:rPr>
                <w:highlight w:val="yellow"/>
              </w:rPr>
            </w:pPr>
          </w:p>
        </w:tc>
        <w:tc>
          <w:tcPr>
            <w:tcW w:w="1044" w:type="dxa"/>
            <w:shd w:val="clear" w:color="auto" w:fill="auto"/>
          </w:tcPr>
          <w:p w14:paraId="2C23F16D" w14:textId="77777777" w:rsidR="00C95C0D" w:rsidRPr="00AC48C9" w:rsidRDefault="00C95C0D" w:rsidP="00C95C0D">
            <w:pPr>
              <w:keepNext/>
              <w:keepLines/>
              <w:tabs>
                <w:tab w:val="decimal" w:pos="331"/>
              </w:tabs>
              <w:spacing w:line="260" w:lineRule="exact"/>
              <w:jc w:val="right"/>
            </w:pPr>
          </w:p>
        </w:tc>
      </w:tr>
      <w:tr w:rsidR="00C95C0D" w:rsidRPr="00AC0FF2" w14:paraId="450C8599" w14:textId="77777777" w:rsidTr="008621B1">
        <w:trPr>
          <w:trHeight w:val="81"/>
          <w:jc w:val="center"/>
        </w:trPr>
        <w:tc>
          <w:tcPr>
            <w:tcW w:w="2233" w:type="dxa"/>
            <w:vAlign w:val="center"/>
          </w:tcPr>
          <w:p w14:paraId="4907EFAC" w14:textId="77777777" w:rsidR="00C95C0D" w:rsidRPr="00AC0FF2" w:rsidRDefault="00C95C0D" w:rsidP="00C95C0D">
            <w:pPr>
              <w:keepNext/>
              <w:keepLines/>
              <w:rPr>
                <w:rFonts w:eastAsia="SimSun"/>
                <w:lang w:eastAsia="zh-CN"/>
              </w:rPr>
            </w:pPr>
            <w:r w:rsidRPr="00AC0FF2">
              <w:t>Overall</w:t>
            </w:r>
            <w:r>
              <w:rPr>
                <w:vertAlign w:val="superscript"/>
              </w:rPr>
              <w:t>#</w:t>
            </w:r>
          </w:p>
        </w:tc>
        <w:tc>
          <w:tcPr>
            <w:tcW w:w="1044" w:type="dxa"/>
          </w:tcPr>
          <w:p w14:paraId="508268D5" w14:textId="36D5F5A8" w:rsidR="00C95C0D" w:rsidRPr="00C95C0D" w:rsidRDefault="00C95C0D" w:rsidP="00C95C0D">
            <w:pPr>
              <w:keepNext/>
              <w:keepLines/>
              <w:tabs>
                <w:tab w:val="decimal" w:pos="331"/>
              </w:tabs>
              <w:spacing w:line="260" w:lineRule="exact"/>
              <w:jc w:val="right"/>
              <w:rPr>
                <w:highlight w:val="yellow"/>
              </w:rPr>
            </w:pPr>
            <w:r w:rsidRPr="00C95C0D">
              <w:rPr>
                <w:lang w:eastAsia="zh-HK"/>
              </w:rPr>
              <w:t>4.</w:t>
            </w:r>
            <w:r w:rsidRPr="00C95C0D">
              <w:t>9</w:t>
            </w:r>
          </w:p>
        </w:tc>
        <w:tc>
          <w:tcPr>
            <w:tcW w:w="1045" w:type="dxa"/>
          </w:tcPr>
          <w:p w14:paraId="35FC9AEE" w14:textId="6D2257C6" w:rsidR="00C95C0D" w:rsidRPr="00C95C0D" w:rsidRDefault="00C95C0D" w:rsidP="00C95C0D">
            <w:pPr>
              <w:keepNext/>
              <w:keepLines/>
              <w:tabs>
                <w:tab w:val="decimal" w:pos="331"/>
              </w:tabs>
              <w:spacing w:line="260" w:lineRule="exact"/>
              <w:jc w:val="right"/>
              <w:rPr>
                <w:highlight w:val="yellow"/>
                <w:lang w:eastAsia="zh-HK"/>
              </w:rPr>
            </w:pPr>
            <w:r w:rsidRPr="00C95C0D">
              <w:t>7.1</w:t>
            </w:r>
          </w:p>
        </w:tc>
        <w:tc>
          <w:tcPr>
            <w:tcW w:w="1044" w:type="dxa"/>
          </w:tcPr>
          <w:p w14:paraId="36D0775A" w14:textId="410123E5" w:rsidR="00C95C0D" w:rsidRPr="00C95C0D" w:rsidRDefault="00C95C0D" w:rsidP="00C95C0D">
            <w:pPr>
              <w:keepNext/>
              <w:keepLines/>
              <w:tabs>
                <w:tab w:val="decimal" w:pos="331"/>
              </w:tabs>
              <w:spacing w:line="260" w:lineRule="exact"/>
              <w:jc w:val="right"/>
              <w:rPr>
                <w:highlight w:val="yellow"/>
                <w:lang w:eastAsia="zh-HK"/>
              </w:rPr>
            </w:pPr>
            <w:r w:rsidRPr="00C95C0D">
              <w:t>8.1</w:t>
            </w:r>
          </w:p>
        </w:tc>
        <w:tc>
          <w:tcPr>
            <w:tcW w:w="1045" w:type="dxa"/>
          </w:tcPr>
          <w:p w14:paraId="767F77D5" w14:textId="7B4527F1" w:rsidR="00C95C0D" w:rsidRPr="00C95C0D" w:rsidRDefault="00C95C0D" w:rsidP="00C95C0D">
            <w:pPr>
              <w:keepNext/>
              <w:keepLines/>
              <w:tabs>
                <w:tab w:val="decimal" w:pos="331"/>
              </w:tabs>
              <w:spacing w:line="260" w:lineRule="exact"/>
              <w:jc w:val="right"/>
              <w:rPr>
                <w:highlight w:val="yellow"/>
                <w:lang w:eastAsia="zh-HK"/>
              </w:rPr>
            </w:pPr>
            <w:r w:rsidRPr="00C95C0D">
              <w:rPr>
                <w:lang w:eastAsia="zh-HK"/>
              </w:rPr>
              <w:t>4.2</w:t>
            </w:r>
          </w:p>
        </w:tc>
        <w:tc>
          <w:tcPr>
            <w:tcW w:w="1045" w:type="dxa"/>
          </w:tcPr>
          <w:p w14:paraId="132512CE" w14:textId="377CB93E" w:rsidR="00C95C0D" w:rsidRPr="00C95C0D" w:rsidRDefault="00C95C0D" w:rsidP="00C95C0D">
            <w:pPr>
              <w:keepNext/>
              <w:keepLines/>
              <w:tabs>
                <w:tab w:val="decimal" w:pos="331"/>
              </w:tabs>
              <w:spacing w:line="260" w:lineRule="exact"/>
              <w:jc w:val="right"/>
              <w:rPr>
                <w:highlight w:val="yellow"/>
              </w:rPr>
            </w:pPr>
            <w:r w:rsidRPr="00C95C0D">
              <w:rPr>
                <w:lang w:eastAsia="zh-HK"/>
              </w:rPr>
              <w:t>0.</w:t>
            </w:r>
            <w:r w:rsidRPr="00C95C0D">
              <w:t>7</w:t>
            </w:r>
          </w:p>
        </w:tc>
        <w:tc>
          <w:tcPr>
            <w:tcW w:w="1044" w:type="dxa"/>
            <w:shd w:val="clear" w:color="auto" w:fill="auto"/>
          </w:tcPr>
          <w:p w14:paraId="104F1605" w14:textId="26802D23" w:rsidR="00C95C0D" w:rsidRPr="00AC48C9" w:rsidRDefault="00746286" w:rsidP="00690FC8">
            <w:pPr>
              <w:keepNext/>
              <w:keepLines/>
              <w:tabs>
                <w:tab w:val="decimal" w:pos="331"/>
              </w:tabs>
              <w:spacing w:line="260" w:lineRule="exact"/>
              <w:jc w:val="right"/>
              <w:rPr>
                <w:lang w:eastAsia="zh-HK"/>
              </w:rPr>
            </w:pPr>
            <w:r>
              <w:t>8.</w:t>
            </w:r>
            <w:r w:rsidR="000B6E01">
              <w:t>7</w:t>
            </w:r>
          </w:p>
        </w:tc>
      </w:tr>
    </w:tbl>
    <w:p w14:paraId="481C8D56" w14:textId="0C9641A4" w:rsidR="0027114D" w:rsidRPr="0062778D" w:rsidRDefault="0027114D" w:rsidP="00804805">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44E9735B" w14:textId="09B7DCA5" w:rsidR="00C42228" w:rsidRPr="00B67ADE" w:rsidRDefault="00C42228" w:rsidP="00D367E0">
      <w:pPr>
        <w:keepNext/>
        <w:keepLines/>
        <w:tabs>
          <w:tab w:val="left" w:pos="993"/>
        </w:tabs>
        <w:spacing w:afterLines="50" w:after="180" w:line="250" w:lineRule="exact"/>
        <w:ind w:left="1418" w:right="237" w:hanging="1134"/>
        <w:jc w:val="both"/>
        <w:rPr>
          <w:sz w:val="22"/>
          <w:szCs w:val="22"/>
          <w:lang w:eastAsia="zh-HK"/>
        </w:rPr>
      </w:pPr>
      <w:proofErr w:type="gramStart"/>
      <w:r w:rsidRPr="00B67ADE">
        <w:rPr>
          <w:sz w:val="22"/>
          <w:szCs w:val="22"/>
        </w:rPr>
        <w:t>Note :</w:t>
      </w:r>
      <w:proofErr w:type="gramEnd"/>
      <w:r w:rsidRPr="00B67ADE">
        <w:rPr>
          <w:sz w:val="22"/>
          <w:szCs w:val="22"/>
        </w:rPr>
        <w:tab/>
      </w:r>
      <w:r w:rsidRPr="00B67ADE">
        <w:rPr>
          <w:rFonts w:eastAsia="SimSun"/>
          <w:sz w:val="22"/>
          <w:szCs w:val="22"/>
          <w:lang w:eastAsia="zh-CN"/>
        </w:rPr>
        <w:t>(</w:t>
      </w:r>
      <w:r>
        <w:rPr>
          <w:rFonts w:eastAsia="SimSun"/>
          <w:sz w:val="22"/>
          <w:szCs w:val="22"/>
          <w:lang w:eastAsia="zh-CN"/>
        </w:rPr>
        <w:t>#</w:t>
      </w:r>
      <w:r w:rsidRPr="00B67ADE">
        <w:rPr>
          <w:rFonts w:eastAsia="SimSun"/>
          <w:sz w:val="22"/>
          <w:szCs w:val="22"/>
          <w:lang w:eastAsia="zh-CN"/>
        </w:rPr>
        <w:t>)</w:t>
      </w:r>
      <w:r w:rsidRPr="00B67ADE">
        <w:rPr>
          <w:rFonts w:eastAsia="SimSun"/>
          <w:sz w:val="22"/>
          <w:szCs w:val="22"/>
          <w:lang w:eastAsia="zh-CN"/>
        </w:rPr>
        <w:tab/>
      </w:r>
      <w:r w:rsidRPr="00B67ADE">
        <w:rPr>
          <w:sz w:val="22"/>
          <w:szCs w:val="22"/>
        </w:rPr>
        <w:t>The growth rates here are not strictly comparable with those in the GDP accounts in Table 1.1.</w:t>
      </w:r>
      <w:r w:rsidRPr="00B67ADE">
        <w:rPr>
          <w:sz w:val="22"/>
          <w:szCs w:val="22"/>
          <w:lang w:eastAsia="zh-HK"/>
        </w:rPr>
        <w:t xml:space="preserve">  Figures in Table 1.1 are compiled based on the change of ownership principle in recording goods sent abroad for processing and </w:t>
      </w:r>
      <w:proofErr w:type="spellStart"/>
      <w:r w:rsidRPr="00B67ADE">
        <w:rPr>
          <w:sz w:val="22"/>
          <w:szCs w:val="22"/>
          <w:lang w:eastAsia="zh-HK"/>
        </w:rPr>
        <w:t>merchanting</w:t>
      </w:r>
      <w:proofErr w:type="spellEnd"/>
      <w:r w:rsidRPr="00B67ADE">
        <w:rPr>
          <w:sz w:val="22"/>
          <w:szCs w:val="22"/>
          <w:lang w:eastAsia="zh-HK"/>
        </w:rPr>
        <w:t xml:space="preserve"> under the standards stipulated in the </w:t>
      </w:r>
      <w:r w:rsidRPr="00B67ADE">
        <w:rPr>
          <w:i/>
          <w:sz w:val="22"/>
          <w:szCs w:val="22"/>
          <w:lang w:eastAsia="zh-HK"/>
        </w:rPr>
        <w:t>System of National Accounts 2008</w:t>
      </w:r>
      <w:r w:rsidRPr="00B67ADE">
        <w:rPr>
          <w:sz w:val="22"/>
          <w:szCs w:val="22"/>
          <w:lang w:eastAsia="zh-HK"/>
        </w:rPr>
        <w:t>.</w:t>
      </w:r>
    </w:p>
    <w:p w14:paraId="7C575B2C" w14:textId="62D0F859" w:rsidR="00A36B55" w:rsidRDefault="00A36B55">
      <w:pPr>
        <w:widowControl/>
        <w:rPr>
          <w:sz w:val="28"/>
        </w:rPr>
      </w:pP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istL="0" distR="0" wp14:anchorId="416ABBD1" wp14:editId="453F106E">
            <wp:extent cx="5731510" cy="3511893"/>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1893"/>
                    </a:xfrm>
                    <a:prstGeom prst="rect">
                      <a:avLst/>
                    </a:prstGeom>
                    <a:noFill/>
                    <a:ln>
                      <a:noFill/>
                    </a:ln>
                  </pic:spPr>
                </pic:pic>
              </a:graphicData>
            </a:graphic>
          </wp:inline>
        </w:drawing>
      </w:r>
    </w:p>
    <w:p w14:paraId="1723F92D" w14:textId="50904DFF" w:rsidR="00263CC6" w:rsidRDefault="00263CC6" w:rsidP="00263CC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roofErr w:type="gramStart"/>
      <w:r w:rsidRPr="00B67ADE">
        <w:rPr>
          <w:sz w:val="21"/>
          <w:szCs w:val="21"/>
          <w:lang w:val="en-GB"/>
        </w:rPr>
        <w:t>Note :</w:t>
      </w:r>
      <w:proofErr w:type="gramEnd"/>
      <w:r w:rsidRPr="00B67ADE">
        <w:rPr>
          <w:sz w:val="21"/>
          <w:szCs w:val="21"/>
          <w:lang w:val="en-GB"/>
        </w:rPr>
        <w:tab/>
      </w:r>
      <w:r w:rsidR="006A7522">
        <w:rPr>
          <w:sz w:val="21"/>
          <w:szCs w:val="21"/>
          <w:lang w:val="en-GB"/>
        </w:rPr>
        <w:t>The import</w:t>
      </w:r>
      <w:r w:rsidR="006A7522" w:rsidRPr="00B67ADE">
        <w:rPr>
          <w:sz w:val="21"/>
          <w:szCs w:val="21"/>
          <w:lang w:val="en-GB"/>
        </w:rPr>
        <w:t xml:space="preserve"> </w:t>
      </w:r>
      <w:r w:rsidRPr="00B67ADE">
        <w:rPr>
          <w:sz w:val="21"/>
          <w:szCs w:val="21"/>
          <w:lang w:val="en-GB"/>
        </w:rPr>
        <w:t xml:space="preserve">demand figure </w:t>
      </w:r>
      <w:r w:rsidRPr="00E53D49">
        <w:rPr>
          <w:sz w:val="21"/>
          <w:szCs w:val="21"/>
          <w:lang w:val="en-GB"/>
        </w:rPr>
        <w:t xml:space="preserve">for the </w:t>
      </w:r>
      <w:r w:rsidRPr="00E53D49">
        <w:rPr>
          <w:sz w:val="22"/>
          <w:szCs w:val="22"/>
          <w:lang w:val="en-GB"/>
        </w:rPr>
        <w:t>EU</w:t>
      </w:r>
      <w:r w:rsidRPr="00E53D49">
        <w:rPr>
          <w:sz w:val="21"/>
          <w:szCs w:val="21"/>
          <w:lang w:val="en-GB"/>
        </w:rPr>
        <w:t xml:space="preserve"> for the </w:t>
      </w:r>
      <w:r w:rsidR="007440D9">
        <w:rPr>
          <w:sz w:val="21"/>
          <w:szCs w:val="21"/>
          <w:lang w:val="en-GB" w:eastAsia="zh-HK"/>
        </w:rPr>
        <w:t>first</w:t>
      </w:r>
      <w:r w:rsidRPr="00E53D49">
        <w:rPr>
          <w:sz w:val="21"/>
          <w:szCs w:val="21"/>
          <w:lang w:val="en-GB"/>
        </w:rPr>
        <w:t xml:space="preserve"> quarter of 202</w:t>
      </w:r>
      <w:r w:rsidR="007440D9">
        <w:rPr>
          <w:sz w:val="21"/>
          <w:szCs w:val="21"/>
          <w:lang w:val="en-GB"/>
        </w:rPr>
        <w:t>5</w:t>
      </w:r>
      <w:r w:rsidRPr="00E53D49">
        <w:rPr>
          <w:sz w:val="21"/>
          <w:szCs w:val="21"/>
          <w:lang w:val="en-GB"/>
        </w:rPr>
        <w:t xml:space="preserve"> is based on the information available as of early </w:t>
      </w:r>
      <w:r w:rsidR="007440D9">
        <w:rPr>
          <w:sz w:val="21"/>
          <w:szCs w:val="21"/>
          <w:lang w:val="en-GB"/>
        </w:rPr>
        <w:t>May 2025</w:t>
      </w:r>
      <w:r w:rsidRPr="00E53D49">
        <w:rPr>
          <w:sz w:val="21"/>
          <w:szCs w:val="21"/>
          <w:lang w:val="en-GB"/>
        </w:rPr>
        <w:t>.</w:t>
      </w:r>
    </w:p>
    <w:p w14:paraId="31CA6CD8" w14:textId="25272797" w:rsidR="00EC4827" w:rsidRDefault="00EC4827" w:rsidP="00EC4827">
      <w:pPr>
        <w:widowControl/>
        <w:rPr>
          <w:kern w:val="0"/>
          <w:sz w:val="28"/>
          <w:szCs w:val="20"/>
          <w:highlight w:val="yellow"/>
        </w:rPr>
      </w:pPr>
    </w:p>
    <w:p w14:paraId="1016028A" w14:textId="5487438B" w:rsidR="0027398B" w:rsidRDefault="00C83E7F">
      <w:pPr>
        <w:widowControl/>
        <w:rPr>
          <w:noProof/>
        </w:rPr>
      </w:pPr>
      <w:r w:rsidRPr="00C83E7F">
        <w:rPr>
          <w:noProof/>
          <w:lang w:eastAsia="zh-CN"/>
        </w:rPr>
        <w:drawing>
          <wp:inline distT="0" distB="0" distL="0" distR="0" wp14:anchorId="1FBDE2A9" wp14:editId="06BE7B26">
            <wp:extent cx="5731510" cy="3516048"/>
            <wp:effectExtent l="0" t="0" r="254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16048"/>
                    </a:xfrm>
                    <a:prstGeom prst="rect">
                      <a:avLst/>
                    </a:prstGeom>
                    <a:noFill/>
                    <a:ln>
                      <a:noFill/>
                    </a:ln>
                  </pic:spPr>
                </pic:pic>
              </a:graphicData>
            </a:graphic>
          </wp:inline>
        </w:drawing>
      </w:r>
    </w:p>
    <w:p w14:paraId="67DDDD15" w14:textId="7D5E81D3" w:rsidR="003307E8" w:rsidRPr="00B67ADE" w:rsidRDefault="003307E8">
      <w:pPr>
        <w:widowControl/>
        <w:rPr>
          <w:kern w:val="0"/>
          <w:szCs w:val="20"/>
        </w:rPr>
      </w:pPr>
    </w:p>
    <w:p w14:paraId="4D07B141" w14:textId="33BA2413" w:rsidR="00FC1395" w:rsidRDefault="00FC1395">
      <w:pPr>
        <w:widowControl/>
      </w:pPr>
    </w:p>
    <w:p w14:paraId="74475B04" w14:textId="6A19FE3B" w:rsidR="00263CC6" w:rsidRDefault="00263CC6">
      <w:pPr>
        <w:widowControl/>
        <w:rPr>
          <w:kern w:val="0"/>
          <w:szCs w:val="20"/>
        </w:rPr>
      </w:pPr>
    </w:p>
    <w:p w14:paraId="1B125729" w14:textId="7D134B91" w:rsidR="00471BDC" w:rsidRDefault="00072E92">
      <w:pPr>
        <w:widowControl/>
        <w:rPr>
          <w:kern w:val="0"/>
          <w:szCs w:val="20"/>
        </w:rPr>
      </w:pPr>
      <w:r w:rsidRPr="00072E92">
        <w:rPr>
          <w:noProof/>
          <w:lang w:eastAsia="zh-CN"/>
        </w:rPr>
        <w:lastRenderedPageBreak/>
        <w:drawing>
          <wp:inline distT="0" distB="0" distL="0" distR="0" wp14:anchorId="17E2888B" wp14:editId="3C86C009">
            <wp:extent cx="5731510" cy="351189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11893"/>
                    </a:xfrm>
                    <a:prstGeom prst="rect">
                      <a:avLst/>
                    </a:prstGeom>
                    <a:noFill/>
                    <a:ln>
                      <a:noFill/>
                    </a:ln>
                  </pic:spPr>
                </pic:pic>
              </a:graphicData>
            </a:graphic>
          </wp:inline>
        </w:drawing>
      </w:r>
    </w:p>
    <w:p w14:paraId="1C0B10C1" w14:textId="33E73E46" w:rsidR="00471BDC" w:rsidRDefault="00471BDC">
      <w:pPr>
        <w:widowControl/>
        <w:rPr>
          <w:kern w:val="0"/>
          <w:szCs w:val="20"/>
        </w:rPr>
      </w:pPr>
    </w:p>
    <w:p w14:paraId="56969EEB" w14:textId="7B933154" w:rsidR="00471BDC" w:rsidRDefault="00471BDC">
      <w:pPr>
        <w:widowControl/>
        <w:rPr>
          <w:kern w:val="0"/>
          <w:szCs w:val="20"/>
        </w:rPr>
      </w:pPr>
    </w:p>
    <w:p w14:paraId="1CF60E54" w14:textId="6B473607" w:rsidR="006424FE" w:rsidRDefault="00072E92">
      <w:pPr>
        <w:widowControl/>
      </w:pPr>
      <w:r w:rsidRPr="00072E92">
        <w:rPr>
          <w:noProof/>
          <w:lang w:eastAsia="zh-CN"/>
        </w:rPr>
        <w:drawing>
          <wp:inline distT="0" distB="0" distL="0" distR="0" wp14:anchorId="3D061814" wp14:editId="25F0AC78">
            <wp:extent cx="5731510" cy="351189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511893"/>
                    </a:xfrm>
                    <a:prstGeom prst="rect">
                      <a:avLst/>
                    </a:prstGeom>
                    <a:noFill/>
                    <a:ln>
                      <a:noFill/>
                    </a:ln>
                  </pic:spPr>
                </pic:pic>
              </a:graphicData>
            </a:graphic>
          </wp:inline>
        </w:drawing>
      </w:r>
      <w:r w:rsidR="00EC4827" w:rsidRPr="00EC4827">
        <w:t xml:space="preserve"> </w:t>
      </w:r>
    </w:p>
    <w:p w14:paraId="0E4DA5CD" w14:textId="2612E4D6" w:rsidR="00263CC6" w:rsidRDefault="00263CC6">
      <w:pPr>
        <w:widowControl/>
        <w:rPr>
          <w:kern w:val="0"/>
          <w:szCs w:val="20"/>
        </w:rPr>
      </w:pPr>
      <w:r>
        <w:rPr>
          <w:kern w:val="0"/>
          <w:szCs w:val="20"/>
        </w:rPr>
        <w:br w:type="page"/>
      </w:r>
    </w:p>
    <w:p w14:paraId="7285CB54" w14:textId="64429370"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0E6BCFA3" w:rsidR="00306539" w:rsidRPr="00D00121" w:rsidRDefault="00306539" w:rsidP="00C76CB7">
      <w:pPr>
        <w:tabs>
          <w:tab w:val="left" w:pos="1260"/>
        </w:tabs>
        <w:spacing w:line="360" w:lineRule="atLeast"/>
        <w:jc w:val="both"/>
        <w:rPr>
          <w:sz w:val="28"/>
        </w:rPr>
      </w:pPr>
    </w:p>
    <w:p w14:paraId="4EB1A2B4" w14:textId="2104A549" w:rsidR="003229F8" w:rsidRPr="008621B1" w:rsidRDefault="00122515" w:rsidP="00EE3C05">
      <w:pPr>
        <w:pStyle w:val="BodyText"/>
        <w:numPr>
          <w:ilvl w:val="0"/>
          <w:numId w:val="6"/>
        </w:numPr>
        <w:tabs>
          <w:tab w:val="clear" w:pos="1080"/>
        </w:tabs>
        <w:overflowPunct w:val="0"/>
        <w:spacing w:line="360" w:lineRule="atLeast"/>
        <w:rPr>
          <w:rFonts w:eastAsia="SimSun"/>
          <w:lang w:val="en-GB" w:eastAsia="zh-TW"/>
        </w:rPr>
      </w:pPr>
      <w:r w:rsidRPr="008621B1">
        <w:rPr>
          <w:rFonts w:hint="eastAsia"/>
          <w:i/>
          <w:lang w:val="en-GB" w:eastAsia="zh-TW"/>
        </w:rPr>
        <w:t>Merchandise i</w:t>
      </w:r>
      <w:r w:rsidR="00543877" w:rsidRPr="008621B1">
        <w:rPr>
          <w:rFonts w:hint="eastAsia"/>
          <w:i/>
          <w:lang w:val="en-GB" w:eastAsia="zh-TW"/>
        </w:rPr>
        <w:t>mports</w:t>
      </w:r>
      <w:r w:rsidR="00543877" w:rsidRPr="008621B1">
        <w:rPr>
          <w:rFonts w:hint="eastAsia"/>
          <w:lang w:val="en-GB" w:eastAsia="zh-TW"/>
        </w:rPr>
        <w:t xml:space="preserve"> </w:t>
      </w:r>
      <w:r w:rsidR="00715C35" w:rsidRPr="008621B1">
        <w:rPr>
          <w:lang w:val="en-GB" w:eastAsia="zh-TW"/>
        </w:rPr>
        <w:t>rose</w:t>
      </w:r>
      <w:r w:rsidR="008621B1">
        <w:rPr>
          <w:lang w:val="en-GB" w:eastAsia="zh-TW"/>
        </w:rPr>
        <w:t xml:space="preserve"> </w:t>
      </w:r>
      <w:r w:rsidR="00BA4D4D" w:rsidRPr="008621B1">
        <w:rPr>
          <w:rFonts w:hint="eastAsia"/>
          <w:lang w:val="en-GB" w:eastAsia="zh-TW"/>
        </w:rPr>
        <w:t>by</w:t>
      </w:r>
      <w:r w:rsidR="00C73251" w:rsidRPr="008621B1">
        <w:rPr>
          <w:lang w:val="en-GB" w:eastAsia="zh-TW"/>
        </w:rPr>
        <w:t xml:space="preserve"> </w:t>
      </w:r>
      <w:r w:rsidR="00093D6F">
        <w:rPr>
          <w:lang w:val="en-GB" w:eastAsia="zh-TW"/>
        </w:rPr>
        <w:t>7.3</w:t>
      </w:r>
      <w:r w:rsidR="007B4882" w:rsidRPr="008621B1">
        <w:rPr>
          <w:rFonts w:hint="eastAsia"/>
          <w:lang w:val="en-GB" w:eastAsia="zh-TW"/>
        </w:rPr>
        <w:t xml:space="preserve">% </w:t>
      </w:r>
      <w:r w:rsidR="00A40E20" w:rsidRPr="008621B1">
        <w:rPr>
          <w:rFonts w:hint="eastAsia"/>
          <w:lang w:val="en-GB" w:eastAsia="zh-TW"/>
        </w:rPr>
        <w:t>year</w:t>
      </w:r>
      <w:r w:rsidR="00A40E20" w:rsidRPr="008621B1">
        <w:rPr>
          <w:lang w:val="en-GB" w:eastAsia="zh-TW"/>
        </w:rPr>
        <w:noBreakHyphen/>
      </w:r>
      <w:r w:rsidR="00A40E20" w:rsidRPr="008621B1">
        <w:rPr>
          <w:rFonts w:hint="eastAsia"/>
          <w:lang w:val="en-GB" w:eastAsia="zh-TW"/>
        </w:rPr>
        <w:t>on</w:t>
      </w:r>
      <w:r w:rsidR="00A40E20" w:rsidRPr="008621B1">
        <w:rPr>
          <w:lang w:val="en-GB" w:eastAsia="zh-TW"/>
        </w:rPr>
        <w:noBreakHyphen/>
      </w:r>
      <w:r w:rsidR="00DE2560" w:rsidRPr="008621B1">
        <w:rPr>
          <w:rFonts w:hint="eastAsia"/>
          <w:lang w:val="en-GB" w:eastAsia="zh-TW"/>
        </w:rPr>
        <w:t xml:space="preserve">year </w:t>
      </w:r>
      <w:r w:rsidR="005115B9" w:rsidRPr="008621B1">
        <w:rPr>
          <w:rFonts w:eastAsia="SimSun" w:hint="eastAsia"/>
          <w:lang w:val="en-GB" w:eastAsia="zh-TW"/>
        </w:rPr>
        <w:t xml:space="preserve">in real </w:t>
      </w:r>
      <w:r w:rsidR="0082645D" w:rsidRPr="008621B1">
        <w:rPr>
          <w:rFonts w:eastAsia="SimSun" w:hint="eastAsia"/>
          <w:lang w:val="en-GB" w:eastAsia="zh-TW"/>
        </w:rPr>
        <w:t>t</w:t>
      </w:r>
      <w:r w:rsidR="005115B9" w:rsidRPr="008621B1">
        <w:rPr>
          <w:rFonts w:eastAsia="SimSun" w:hint="eastAsia"/>
          <w:lang w:val="en-GB" w:eastAsia="zh-TW"/>
        </w:rPr>
        <w:t xml:space="preserve">erms </w:t>
      </w:r>
      <w:r w:rsidR="00543877" w:rsidRPr="008621B1">
        <w:rPr>
          <w:rFonts w:hint="eastAsia"/>
          <w:lang w:val="en-GB" w:eastAsia="zh-TW"/>
        </w:rPr>
        <w:t xml:space="preserve">in </w:t>
      </w:r>
      <w:r w:rsidR="00632643" w:rsidRPr="008621B1">
        <w:rPr>
          <w:rFonts w:hint="eastAsia"/>
          <w:lang w:val="en-GB" w:eastAsia="zh-TW"/>
        </w:rPr>
        <w:t xml:space="preserve">the </w:t>
      </w:r>
      <w:r w:rsidR="008621B1">
        <w:rPr>
          <w:lang w:val="en-GB" w:eastAsia="zh-TW"/>
        </w:rPr>
        <w:t>first</w:t>
      </w:r>
      <w:r w:rsidR="00632643" w:rsidRPr="008621B1">
        <w:rPr>
          <w:rFonts w:hint="eastAsia"/>
          <w:lang w:val="en-GB" w:eastAsia="zh-TW"/>
        </w:rPr>
        <w:t xml:space="preserve"> quarter of </w:t>
      </w:r>
      <w:r w:rsidR="003C1052" w:rsidRPr="008621B1">
        <w:rPr>
          <w:rFonts w:hint="eastAsia"/>
          <w:lang w:val="en-GB" w:eastAsia="zh-TW"/>
        </w:rPr>
        <w:t>202</w:t>
      </w:r>
      <w:r w:rsidR="008621B1">
        <w:rPr>
          <w:lang w:val="en-GB" w:eastAsia="zh-TW"/>
        </w:rPr>
        <w:t>5</w:t>
      </w:r>
      <w:r w:rsidR="00A336D2" w:rsidRPr="008621B1">
        <w:rPr>
          <w:rFonts w:hint="eastAsia"/>
          <w:lang w:val="en-GB" w:eastAsia="zh-TW"/>
        </w:rPr>
        <w:t xml:space="preserve">, </w:t>
      </w:r>
      <w:r w:rsidR="008621B1">
        <w:rPr>
          <w:lang w:val="en-GB" w:eastAsia="zh-TW"/>
        </w:rPr>
        <w:t xml:space="preserve">further to </w:t>
      </w:r>
      <w:r w:rsidR="00093D6F">
        <w:rPr>
          <w:lang w:val="en-GB" w:eastAsia="zh-TW"/>
        </w:rPr>
        <w:t>0.2</w:t>
      </w:r>
      <w:r w:rsidR="008621B1">
        <w:rPr>
          <w:lang w:val="en-GB" w:eastAsia="zh-TW"/>
        </w:rPr>
        <w:t xml:space="preserve">% growth </w:t>
      </w:r>
      <w:r w:rsidR="00632643" w:rsidRPr="008621B1">
        <w:rPr>
          <w:rFonts w:hint="eastAsia"/>
          <w:lang w:val="en-GB" w:eastAsia="zh-TW"/>
        </w:rPr>
        <w:t>in the preceding quarter</w:t>
      </w:r>
      <w:r w:rsidR="00A336D2" w:rsidRPr="008621B1">
        <w:rPr>
          <w:rFonts w:hint="eastAsia"/>
          <w:lang w:val="en-GB" w:eastAsia="zh-CN"/>
        </w:rPr>
        <w:t>.</w:t>
      </w:r>
      <w:r w:rsidR="00C40378" w:rsidRPr="008621B1">
        <w:rPr>
          <w:rFonts w:hint="eastAsia"/>
          <w:lang w:val="en-GB" w:eastAsia="zh-CN"/>
        </w:rPr>
        <w:t xml:space="preserve">  </w:t>
      </w:r>
      <w:r w:rsidR="0009210C" w:rsidRPr="008621B1">
        <w:rPr>
          <w:rFonts w:hint="eastAsia"/>
          <w:i/>
          <w:lang w:val="en-GB" w:eastAsia="zh-TW"/>
        </w:rPr>
        <w:t>Retained imports</w:t>
      </w:r>
      <w:r w:rsidR="0009210C" w:rsidRPr="008621B1">
        <w:rPr>
          <w:rFonts w:hint="eastAsia"/>
          <w:lang w:val="en-GB" w:eastAsia="zh-TW"/>
        </w:rPr>
        <w:t xml:space="preserve">, which refer to imports for domestic use and accounted </w:t>
      </w:r>
      <w:r w:rsidR="00783C72" w:rsidRPr="008621B1">
        <w:rPr>
          <w:rFonts w:hint="eastAsia"/>
          <w:lang w:val="en-GB" w:eastAsia="zh-TW"/>
        </w:rPr>
        <w:t>for around one</w:t>
      </w:r>
      <w:r w:rsidR="00783C72" w:rsidRPr="008621B1">
        <w:rPr>
          <w:rFonts w:hint="eastAsia"/>
          <w:lang w:val="en-GB" w:eastAsia="zh-TW"/>
        </w:rPr>
        <w:noBreakHyphen/>
      </w:r>
      <w:r w:rsidR="0009210C" w:rsidRPr="008621B1">
        <w:rPr>
          <w:rFonts w:hint="eastAsia"/>
          <w:lang w:val="en-GB" w:eastAsia="zh-TW"/>
        </w:rPr>
        <w:t xml:space="preserve">fifth of </w:t>
      </w:r>
      <w:r w:rsidR="000E6DB3" w:rsidRPr="008621B1">
        <w:rPr>
          <w:rFonts w:hint="eastAsia"/>
          <w:lang w:val="en-GB" w:eastAsia="zh-TW"/>
        </w:rPr>
        <w:t>merchandise</w:t>
      </w:r>
      <w:r w:rsidR="0009210C" w:rsidRPr="008621B1">
        <w:rPr>
          <w:rFonts w:hint="eastAsia"/>
          <w:lang w:val="en-GB" w:eastAsia="zh-TW"/>
        </w:rPr>
        <w:t xml:space="preserve"> imports in 202</w:t>
      </w:r>
      <w:r w:rsidR="008621B1">
        <w:rPr>
          <w:lang w:val="en-GB" w:eastAsia="zh-TW"/>
        </w:rPr>
        <w:t>4</w:t>
      </w:r>
      <w:r w:rsidR="0009210C" w:rsidRPr="008621B1">
        <w:rPr>
          <w:rFonts w:hint="eastAsia"/>
          <w:lang w:val="en-GB" w:eastAsia="zh-TW"/>
        </w:rPr>
        <w:t>,</w:t>
      </w:r>
      <w:r w:rsidR="008425A0" w:rsidRPr="008621B1">
        <w:rPr>
          <w:rFonts w:hint="eastAsia"/>
          <w:lang w:val="en-GB" w:eastAsia="zh-TW"/>
        </w:rPr>
        <w:t xml:space="preserve"> </w:t>
      </w:r>
      <w:r w:rsidR="007F466B">
        <w:rPr>
          <w:lang w:val="en-GB" w:eastAsia="zh-TW"/>
        </w:rPr>
        <w:t>turned to an increase of</w:t>
      </w:r>
      <w:r w:rsidR="008621B1">
        <w:rPr>
          <w:lang w:val="en-GB" w:eastAsia="zh-TW"/>
        </w:rPr>
        <w:t xml:space="preserve"> </w:t>
      </w:r>
      <w:r w:rsidR="0054074C">
        <w:rPr>
          <w:rFonts w:hint="eastAsia"/>
          <w:lang w:val="en-GB" w:eastAsia="zh-TW"/>
        </w:rPr>
        <w:t>1.2</w:t>
      </w:r>
      <w:r w:rsidR="008621B1">
        <w:rPr>
          <w:lang w:val="en-GB" w:eastAsia="zh-TW"/>
        </w:rPr>
        <w:t>%</w:t>
      </w:r>
      <w:r w:rsidR="00CF4B45">
        <w:rPr>
          <w:rFonts w:hint="eastAsia"/>
          <w:lang w:val="en-GB" w:eastAsia="zh-TW"/>
        </w:rPr>
        <w:t>.</w:t>
      </w:r>
    </w:p>
    <w:p w14:paraId="0C5C0940" w14:textId="2CC9D1E4" w:rsidR="00543877" w:rsidRPr="00B67ADE" w:rsidRDefault="00543877" w:rsidP="00FC1395">
      <w:pPr>
        <w:widowControl/>
        <w:rPr>
          <w:rFonts w:eastAsia="SimSun"/>
          <w:b/>
          <w:sz w:val="28"/>
          <w:lang w:eastAsia="zh-CN"/>
        </w:rPr>
      </w:pPr>
    </w:p>
    <w:p w14:paraId="45FD5DE2" w14:textId="23F3D377"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proofErr w:type="gramStart"/>
      <w:r w:rsidR="00B42004">
        <w:rPr>
          <w:b/>
          <w:sz w:val="28"/>
        </w:rPr>
        <w:t>2</w:t>
      </w:r>
      <w:r w:rsidRPr="00B67ADE">
        <w:rPr>
          <w:b/>
          <w:sz w:val="28"/>
        </w:rPr>
        <w:t>.3 :</w:t>
      </w:r>
      <w:proofErr w:type="gramEnd"/>
      <w:r w:rsidRPr="00B67ADE">
        <w:rPr>
          <w:b/>
          <w:sz w:val="28"/>
        </w:rPr>
        <w:t xml:space="preserve">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6FC12BEC"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w:t>
      </w:r>
      <w:proofErr w:type="gramStart"/>
      <w:r w:rsidRPr="00B67ADE">
        <w:rPr>
          <w:b/>
          <w:sz w:val="28"/>
        </w:rPr>
        <w:t>year-on-year</w:t>
      </w:r>
      <w:proofErr w:type="gramEnd"/>
      <w:r w:rsidRPr="00B67ADE">
        <w:rPr>
          <w:b/>
          <w:sz w:val="28"/>
        </w:rPr>
        <w:t xml:space="preserve"> rate of change (%))</w:t>
      </w:r>
    </w:p>
    <w:p w14:paraId="76A9F6AE" w14:textId="430FB40E"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2B18DEE4" w:rsidR="004B6709" w:rsidRPr="0062778D" w:rsidRDefault="00122515" w:rsidP="00804805">
            <w:pPr>
              <w:keepNext/>
              <w:keepLines/>
              <w:tabs>
                <w:tab w:val="left" w:pos="990"/>
                <w:tab w:val="left" w:pos="2430"/>
                <w:tab w:val="left" w:pos="3150"/>
                <w:tab w:val="left" w:pos="7110"/>
                <w:tab w:val="left" w:pos="8190"/>
              </w:tabs>
              <w:jc w:val="center"/>
              <w:rPr>
                <w:u w:val="single"/>
              </w:rPr>
            </w:pPr>
            <w:r w:rsidRPr="0062778D">
              <w:rPr>
                <w:u w:val="single"/>
              </w:rPr>
              <w:t>Merchandise i</w:t>
            </w:r>
            <w:r w:rsidR="004B6709" w:rsidRPr="0062778D">
              <w:rPr>
                <w:u w:val="single"/>
              </w:rPr>
              <w:t>mports</w:t>
            </w:r>
          </w:p>
          <w:p w14:paraId="1F9D4AC6" w14:textId="30FEAA2E" w:rsidR="004B6709" w:rsidRPr="0062778D"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Retained imports</w:t>
            </w:r>
            <w:r w:rsidRPr="0062778D">
              <w:rPr>
                <w:vertAlign w:val="superscript"/>
              </w:rPr>
              <w:t>(a)</w:t>
            </w:r>
          </w:p>
        </w:tc>
      </w:tr>
      <w:tr w:rsidR="004B6709" w:rsidRPr="00182F37" w14:paraId="496646A5" w14:textId="77777777" w:rsidTr="004B6709">
        <w:trPr>
          <w:cantSplit/>
        </w:trPr>
        <w:tc>
          <w:tcPr>
            <w:tcW w:w="1846" w:type="dxa"/>
          </w:tcPr>
          <w:p w14:paraId="0700F432" w14:textId="77777777" w:rsidR="004B6709" w:rsidRPr="0062778D"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value</w:t>
            </w:r>
          </w:p>
          <w:p w14:paraId="339024A0" w14:textId="77777777" w:rsidR="004B6709" w:rsidRPr="0062778D" w:rsidRDefault="004B6709" w:rsidP="00804805">
            <w:pPr>
              <w:keepNext/>
              <w:keepLines/>
              <w:tabs>
                <w:tab w:val="left" w:pos="990"/>
                <w:tab w:val="left" w:pos="2430"/>
                <w:tab w:val="left" w:pos="3150"/>
                <w:tab w:val="left" w:pos="7110"/>
                <w:tab w:val="left" w:pos="8190"/>
              </w:tabs>
              <w:jc w:val="center"/>
              <w:rPr>
                <w:u w:val="single"/>
              </w:rPr>
            </w:pPr>
            <w:r w:rsidRPr="0062778D">
              <w:rPr>
                <w:u w:val="single"/>
              </w:rPr>
              <w:t>terms</w:t>
            </w:r>
          </w:p>
          <w:p w14:paraId="3BD9EA36" w14:textId="77777777" w:rsidR="004B6709" w:rsidRPr="0062778D"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310AFE0D"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04B67188" w14:textId="666EF56D"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r w:rsidRPr="0062778D">
              <w:rPr>
                <w:vertAlign w:val="superscript"/>
              </w:rPr>
              <w:t>(+)</w:t>
            </w:r>
          </w:p>
        </w:tc>
        <w:tc>
          <w:tcPr>
            <w:tcW w:w="1026" w:type="dxa"/>
          </w:tcPr>
          <w:p w14:paraId="662E2181" w14:textId="77777777" w:rsidR="004B6709" w:rsidRPr="0062778D" w:rsidRDefault="004B6709" w:rsidP="00804805">
            <w:pPr>
              <w:keepNext/>
              <w:keepLines/>
              <w:tabs>
                <w:tab w:val="left" w:pos="2430"/>
                <w:tab w:val="left" w:pos="3150"/>
                <w:tab w:val="left" w:pos="7110"/>
                <w:tab w:val="left" w:pos="8190"/>
              </w:tabs>
              <w:ind w:right="98"/>
              <w:jc w:val="center"/>
            </w:pPr>
            <w:r w:rsidRPr="0062778D">
              <w:t>Change</w:t>
            </w:r>
          </w:p>
          <w:p w14:paraId="12C84D6C" w14:textId="77777777" w:rsidR="004B6709" w:rsidRPr="0062778D" w:rsidRDefault="004B6709" w:rsidP="00804805">
            <w:pPr>
              <w:keepNext/>
              <w:keepLines/>
              <w:tabs>
                <w:tab w:val="left" w:pos="2430"/>
                <w:tab w:val="left" w:pos="3150"/>
                <w:tab w:val="left" w:pos="7110"/>
                <w:tab w:val="left" w:pos="8190"/>
              </w:tabs>
              <w:ind w:right="98"/>
              <w:jc w:val="center"/>
            </w:pPr>
            <w:r w:rsidRPr="0062778D">
              <w:rPr>
                <w:rFonts w:eastAsia="SimSun"/>
                <w:u w:val="single"/>
                <w:lang w:eastAsia="zh-CN"/>
              </w:rPr>
              <w:t>i</w:t>
            </w:r>
            <w:r w:rsidRPr="0062778D">
              <w:rPr>
                <w:u w:val="single"/>
              </w:rPr>
              <w:t>n prices</w:t>
            </w:r>
          </w:p>
        </w:tc>
        <w:tc>
          <w:tcPr>
            <w:tcW w:w="954" w:type="dxa"/>
          </w:tcPr>
          <w:p w14:paraId="294EEFDE" w14:textId="77777777" w:rsidR="004B6709" w:rsidRPr="0062778D" w:rsidRDefault="004B6709" w:rsidP="00804805">
            <w:pPr>
              <w:keepNext/>
              <w:keepLines/>
              <w:tabs>
                <w:tab w:val="left" w:pos="2430"/>
                <w:tab w:val="left" w:pos="3150"/>
                <w:tab w:val="left" w:pos="7110"/>
                <w:tab w:val="left" w:pos="8190"/>
              </w:tabs>
              <w:ind w:right="-136"/>
              <w:jc w:val="center"/>
            </w:pPr>
            <w:r w:rsidRPr="0062778D">
              <w:t>In value</w:t>
            </w:r>
          </w:p>
          <w:p w14:paraId="5454E400" w14:textId="77777777" w:rsidR="004B6709" w:rsidRPr="0062778D" w:rsidRDefault="004B6709" w:rsidP="00804805">
            <w:pPr>
              <w:keepNext/>
              <w:keepLines/>
              <w:tabs>
                <w:tab w:val="left" w:pos="2430"/>
                <w:tab w:val="left" w:pos="3150"/>
                <w:tab w:val="left" w:pos="7110"/>
                <w:tab w:val="left" w:pos="8190"/>
              </w:tabs>
              <w:ind w:right="-136"/>
              <w:jc w:val="center"/>
            </w:pPr>
            <w:r w:rsidRPr="0062778D">
              <w:rPr>
                <w:u w:val="single"/>
              </w:rPr>
              <w:t>terms</w:t>
            </w:r>
          </w:p>
        </w:tc>
        <w:tc>
          <w:tcPr>
            <w:tcW w:w="1638" w:type="dxa"/>
            <w:gridSpan w:val="2"/>
          </w:tcPr>
          <w:p w14:paraId="57BBB15C"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568FFCB3"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p>
        </w:tc>
        <w:tc>
          <w:tcPr>
            <w:tcW w:w="955" w:type="dxa"/>
          </w:tcPr>
          <w:p w14:paraId="6CDE368B"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Change</w:t>
            </w:r>
          </w:p>
          <w:p w14:paraId="23DF5255"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in prices</w:t>
            </w:r>
          </w:p>
        </w:tc>
      </w:tr>
      <w:tr w:rsidR="008621B1" w:rsidRPr="00182F37" w14:paraId="139CD82B" w14:textId="77777777" w:rsidTr="004B6709">
        <w:tc>
          <w:tcPr>
            <w:tcW w:w="1846" w:type="dxa"/>
          </w:tcPr>
          <w:p w14:paraId="72312167" w14:textId="7CCC2068"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20</w:t>
            </w:r>
            <w:r>
              <w:t>24</w:t>
            </w:r>
            <w:r w:rsidRPr="0062778D">
              <w:tab/>
              <w:t>Annual</w:t>
            </w:r>
          </w:p>
          <w:p w14:paraId="61DB687F"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p>
        </w:tc>
        <w:tc>
          <w:tcPr>
            <w:tcW w:w="882" w:type="dxa"/>
          </w:tcPr>
          <w:p w14:paraId="3944C88C" w14:textId="024A62A3" w:rsidR="008621B1" w:rsidRPr="0062778D" w:rsidRDefault="008621B1" w:rsidP="008621B1">
            <w:pPr>
              <w:keepNext/>
              <w:keepLines/>
              <w:tabs>
                <w:tab w:val="decimal" w:pos="436"/>
              </w:tabs>
              <w:jc w:val="both"/>
            </w:pPr>
            <w:r>
              <w:t>6.0</w:t>
            </w:r>
          </w:p>
        </w:tc>
        <w:tc>
          <w:tcPr>
            <w:tcW w:w="720" w:type="dxa"/>
          </w:tcPr>
          <w:p w14:paraId="1ECE78BB" w14:textId="4E8C90D4" w:rsidR="008621B1" w:rsidRPr="0062778D" w:rsidRDefault="008621B1" w:rsidP="008621B1">
            <w:pPr>
              <w:keepNext/>
              <w:keepLines/>
              <w:tabs>
                <w:tab w:val="decimal" w:pos="368"/>
              </w:tabs>
              <w:jc w:val="both"/>
            </w:pPr>
            <w:r>
              <w:rPr>
                <w:lang w:eastAsia="zh-HK"/>
              </w:rPr>
              <w:t>2.6</w:t>
            </w:r>
          </w:p>
        </w:tc>
        <w:tc>
          <w:tcPr>
            <w:tcW w:w="900" w:type="dxa"/>
          </w:tcPr>
          <w:p w14:paraId="71FA578D" w14:textId="7AAA59BE" w:rsidR="008621B1" w:rsidRPr="0062778D" w:rsidRDefault="008621B1" w:rsidP="008621B1">
            <w:pPr>
              <w:keepNext/>
              <w:keepLines/>
              <w:tabs>
                <w:tab w:val="decimal" w:pos="404"/>
              </w:tabs>
              <w:jc w:val="both"/>
            </w:pPr>
          </w:p>
        </w:tc>
        <w:tc>
          <w:tcPr>
            <w:tcW w:w="1026" w:type="dxa"/>
          </w:tcPr>
          <w:p w14:paraId="2BFDB037" w14:textId="7E22069B" w:rsidR="008621B1" w:rsidRPr="0062778D" w:rsidRDefault="008621B1" w:rsidP="008621B1">
            <w:pPr>
              <w:keepNext/>
              <w:keepLines/>
              <w:tabs>
                <w:tab w:val="decimal" w:pos="404"/>
              </w:tabs>
              <w:jc w:val="both"/>
            </w:pPr>
            <w:r>
              <w:rPr>
                <w:lang w:eastAsia="zh-HK"/>
              </w:rPr>
              <w:t>3.2</w:t>
            </w:r>
          </w:p>
        </w:tc>
        <w:tc>
          <w:tcPr>
            <w:tcW w:w="954" w:type="dxa"/>
          </w:tcPr>
          <w:p w14:paraId="3E5DE85A" w14:textId="764726B0" w:rsidR="008621B1" w:rsidRPr="0062778D" w:rsidRDefault="008621B1" w:rsidP="008621B1">
            <w:pPr>
              <w:keepNext/>
              <w:keepLines/>
              <w:tabs>
                <w:tab w:val="decimal" w:pos="533"/>
              </w:tabs>
              <w:ind w:right="-262"/>
              <w:jc w:val="both"/>
            </w:pPr>
            <w:r>
              <w:rPr>
                <w:lang w:eastAsia="zh-HK"/>
              </w:rPr>
              <w:t>-4.4</w:t>
            </w:r>
          </w:p>
        </w:tc>
        <w:tc>
          <w:tcPr>
            <w:tcW w:w="819" w:type="dxa"/>
          </w:tcPr>
          <w:p w14:paraId="33A78B47" w14:textId="0D128948" w:rsidR="008621B1" w:rsidRPr="0062778D" w:rsidRDefault="008621B1" w:rsidP="008621B1">
            <w:pPr>
              <w:keepNext/>
              <w:keepLines/>
              <w:tabs>
                <w:tab w:val="decimal" w:pos="368"/>
              </w:tabs>
              <w:jc w:val="both"/>
            </w:pPr>
            <w:r>
              <w:rPr>
                <w:lang w:eastAsia="zh-HK"/>
              </w:rPr>
              <w:t>-5.9</w:t>
            </w:r>
          </w:p>
        </w:tc>
        <w:tc>
          <w:tcPr>
            <w:tcW w:w="819" w:type="dxa"/>
          </w:tcPr>
          <w:p w14:paraId="3D9700AE" w14:textId="77777777" w:rsidR="008621B1" w:rsidRPr="0062778D" w:rsidRDefault="008621B1" w:rsidP="008621B1">
            <w:pPr>
              <w:keepNext/>
              <w:keepLines/>
              <w:tabs>
                <w:tab w:val="decimal" w:pos="368"/>
              </w:tabs>
              <w:jc w:val="both"/>
            </w:pPr>
          </w:p>
        </w:tc>
        <w:tc>
          <w:tcPr>
            <w:tcW w:w="955" w:type="dxa"/>
          </w:tcPr>
          <w:p w14:paraId="6501DD8A" w14:textId="17CBBF97" w:rsidR="008621B1" w:rsidRPr="0062778D" w:rsidRDefault="008621B1" w:rsidP="008621B1">
            <w:pPr>
              <w:keepNext/>
              <w:keepLines/>
              <w:tabs>
                <w:tab w:val="decimal" w:pos="476"/>
              </w:tabs>
              <w:jc w:val="both"/>
            </w:pPr>
            <w:r>
              <w:rPr>
                <w:lang w:eastAsia="zh-HK"/>
              </w:rPr>
              <w:t>1.4</w:t>
            </w:r>
          </w:p>
        </w:tc>
      </w:tr>
      <w:tr w:rsidR="008621B1" w:rsidRPr="00182F37" w14:paraId="224D2C0D" w14:textId="77777777" w:rsidTr="004B6709">
        <w:tc>
          <w:tcPr>
            <w:tcW w:w="1846" w:type="dxa"/>
          </w:tcPr>
          <w:p w14:paraId="031DA5B8"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Q1</w:t>
            </w:r>
          </w:p>
        </w:tc>
        <w:tc>
          <w:tcPr>
            <w:tcW w:w="882" w:type="dxa"/>
          </w:tcPr>
          <w:p w14:paraId="236B2AE2" w14:textId="55BF3DF3" w:rsidR="008621B1" w:rsidRPr="0062778D" w:rsidRDefault="008621B1" w:rsidP="008621B1">
            <w:pPr>
              <w:keepNext/>
              <w:keepLines/>
              <w:tabs>
                <w:tab w:val="decimal" w:pos="436"/>
              </w:tabs>
              <w:jc w:val="both"/>
              <w:rPr>
                <w:lang w:eastAsia="zh-HK"/>
              </w:rPr>
            </w:pPr>
            <w:r>
              <w:t>8.0</w:t>
            </w:r>
          </w:p>
        </w:tc>
        <w:tc>
          <w:tcPr>
            <w:tcW w:w="720" w:type="dxa"/>
          </w:tcPr>
          <w:p w14:paraId="6158EBEE" w14:textId="51B7CFA6" w:rsidR="008621B1" w:rsidRPr="0062778D" w:rsidRDefault="008621B1" w:rsidP="008621B1">
            <w:pPr>
              <w:keepNext/>
              <w:keepLines/>
              <w:tabs>
                <w:tab w:val="decimal" w:pos="368"/>
              </w:tabs>
              <w:jc w:val="both"/>
              <w:rPr>
                <w:lang w:eastAsia="zh-HK"/>
              </w:rPr>
            </w:pPr>
            <w:r>
              <w:rPr>
                <w:lang w:eastAsia="zh-HK"/>
              </w:rPr>
              <w:t>3.3</w:t>
            </w:r>
          </w:p>
        </w:tc>
        <w:tc>
          <w:tcPr>
            <w:tcW w:w="900" w:type="dxa"/>
          </w:tcPr>
          <w:p w14:paraId="2B5FF369" w14:textId="5FBE13A8" w:rsidR="008621B1" w:rsidRPr="0062778D" w:rsidRDefault="008621B1" w:rsidP="008621B1">
            <w:pPr>
              <w:keepNext/>
              <w:keepLines/>
              <w:tabs>
                <w:tab w:val="decimal" w:pos="404"/>
              </w:tabs>
              <w:jc w:val="both"/>
            </w:pPr>
            <w:r>
              <w:t>(-0.3</w:t>
            </w:r>
            <w:r w:rsidRPr="0050134B">
              <w:t>)</w:t>
            </w:r>
          </w:p>
        </w:tc>
        <w:tc>
          <w:tcPr>
            <w:tcW w:w="1026" w:type="dxa"/>
          </w:tcPr>
          <w:p w14:paraId="1B09D6D8" w14:textId="49D8B92D" w:rsidR="008621B1" w:rsidRPr="0062778D" w:rsidRDefault="008621B1" w:rsidP="008621B1">
            <w:pPr>
              <w:keepNext/>
              <w:keepLines/>
              <w:tabs>
                <w:tab w:val="decimal" w:pos="404"/>
              </w:tabs>
              <w:jc w:val="both"/>
              <w:rPr>
                <w:lang w:eastAsia="zh-HK"/>
              </w:rPr>
            </w:pPr>
            <w:r>
              <w:rPr>
                <w:lang w:eastAsia="zh-HK"/>
              </w:rPr>
              <w:t>4.6</w:t>
            </w:r>
          </w:p>
        </w:tc>
        <w:tc>
          <w:tcPr>
            <w:tcW w:w="954" w:type="dxa"/>
          </w:tcPr>
          <w:p w14:paraId="6383CBD2" w14:textId="5BDCA37B" w:rsidR="008621B1" w:rsidRPr="0062778D" w:rsidRDefault="008621B1" w:rsidP="008621B1">
            <w:pPr>
              <w:keepNext/>
              <w:keepLines/>
              <w:tabs>
                <w:tab w:val="decimal" w:pos="533"/>
              </w:tabs>
              <w:ind w:right="-262"/>
              <w:jc w:val="both"/>
              <w:rPr>
                <w:lang w:eastAsia="zh-HK"/>
              </w:rPr>
            </w:pPr>
            <w:r>
              <w:rPr>
                <w:lang w:eastAsia="zh-HK"/>
              </w:rPr>
              <w:t>-6.2</w:t>
            </w:r>
          </w:p>
        </w:tc>
        <w:tc>
          <w:tcPr>
            <w:tcW w:w="819" w:type="dxa"/>
          </w:tcPr>
          <w:p w14:paraId="522F2FB3" w14:textId="3C64E1FB" w:rsidR="008621B1" w:rsidRPr="0062778D" w:rsidRDefault="008621B1" w:rsidP="008621B1">
            <w:pPr>
              <w:keepNext/>
              <w:keepLines/>
              <w:tabs>
                <w:tab w:val="decimal" w:pos="368"/>
              </w:tabs>
              <w:jc w:val="both"/>
              <w:rPr>
                <w:lang w:eastAsia="zh-HK"/>
              </w:rPr>
            </w:pPr>
            <w:r>
              <w:rPr>
                <w:lang w:eastAsia="zh-HK"/>
              </w:rPr>
              <w:t>-10.3</w:t>
            </w:r>
          </w:p>
        </w:tc>
        <w:tc>
          <w:tcPr>
            <w:tcW w:w="819" w:type="dxa"/>
          </w:tcPr>
          <w:p w14:paraId="7745BBE4" w14:textId="3D9844C7" w:rsidR="008621B1" w:rsidRPr="0062778D" w:rsidRDefault="008621B1" w:rsidP="008621B1">
            <w:pPr>
              <w:keepNext/>
              <w:keepLines/>
              <w:tabs>
                <w:tab w:val="decimal" w:pos="368"/>
              </w:tabs>
              <w:jc w:val="both"/>
            </w:pPr>
            <w:r w:rsidRPr="0050134B">
              <w:t>(</w:t>
            </w:r>
            <w:r>
              <w:t>-1.7</w:t>
            </w:r>
            <w:r w:rsidRPr="0050134B">
              <w:t>)</w:t>
            </w:r>
          </w:p>
        </w:tc>
        <w:tc>
          <w:tcPr>
            <w:tcW w:w="955" w:type="dxa"/>
          </w:tcPr>
          <w:p w14:paraId="4946202D" w14:textId="4E6951BA" w:rsidR="008621B1" w:rsidRPr="0062778D" w:rsidRDefault="008621B1" w:rsidP="008621B1">
            <w:pPr>
              <w:keepNext/>
              <w:keepLines/>
              <w:tabs>
                <w:tab w:val="decimal" w:pos="476"/>
              </w:tabs>
              <w:jc w:val="both"/>
              <w:rPr>
                <w:lang w:eastAsia="zh-HK"/>
              </w:rPr>
            </w:pPr>
            <w:r>
              <w:rPr>
                <w:lang w:eastAsia="zh-HK"/>
              </w:rPr>
              <w:t>4.8</w:t>
            </w:r>
          </w:p>
        </w:tc>
      </w:tr>
      <w:tr w:rsidR="008621B1" w:rsidRPr="00182F37" w14:paraId="18A69388" w14:textId="77777777" w:rsidTr="004B6709">
        <w:tc>
          <w:tcPr>
            <w:tcW w:w="1846" w:type="dxa"/>
          </w:tcPr>
          <w:p w14:paraId="059FB010"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A321846" w14:textId="44AA7E04" w:rsidR="008621B1" w:rsidRPr="0062778D" w:rsidRDefault="008621B1" w:rsidP="008621B1">
            <w:pPr>
              <w:keepNext/>
              <w:keepLines/>
              <w:tabs>
                <w:tab w:val="decimal" w:pos="436"/>
              </w:tabs>
              <w:jc w:val="both"/>
            </w:pPr>
            <w:r>
              <w:rPr>
                <w:kern w:val="0"/>
              </w:rPr>
              <w:t>7</w:t>
            </w:r>
            <w:r w:rsidRPr="003C783E">
              <w:rPr>
                <w:kern w:val="0"/>
              </w:rPr>
              <w:t>.</w:t>
            </w:r>
            <w:r>
              <w:rPr>
                <w:kern w:val="0"/>
              </w:rPr>
              <w:t>4</w:t>
            </w:r>
          </w:p>
        </w:tc>
        <w:tc>
          <w:tcPr>
            <w:tcW w:w="720" w:type="dxa"/>
          </w:tcPr>
          <w:p w14:paraId="4EDA13B0" w14:textId="37DEB034" w:rsidR="008621B1" w:rsidRPr="0062778D" w:rsidRDefault="008621B1" w:rsidP="008621B1">
            <w:pPr>
              <w:keepNext/>
              <w:keepLines/>
              <w:tabs>
                <w:tab w:val="decimal" w:pos="368"/>
              </w:tabs>
              <w:jc w:val="both"/>
            </w:pPr>
            <w:r>
              <w:rPr>
                <w:kern w:val="0"/>
                <w:lang w:eastAsia="zh-HK"/>
              </w:rPr>
              <w:t>4.0</w:t>
            </w:r>
          </w:p>
        </w:tc>
        <w:tc>
          <w:tcPr>
            <w:tcW w:w="900" w:type="dxa"/>
          </w:tcPr>
          <w:p w14:paraId="1F32341C" w14:textId="18E52ECE" w:rsidR="008621B1" w:rsidRPr="0062778D" w:rsidRDefault="008621B1" w:rsidP="008621B1">
            <w:pPr>
              <w:keepNext/>
              <w:keepLines/>
              <w:tabs>
                <w:tab w:val="decimal" w:pos="404"/>
              </w:tabs>
              <w:jc w:val="both"/>
            </w:pPr>
            <w:r w:rsidRPr="003C783E">
              <w:rPr>
                <w:kern w:val="0"/>
              </w:rPr>
              <w:t>(</w:t>
            </w:r>
            <w:r>
              <w:rPr>
                <w:kern w:val="0"/>
              </w:rPr>
              <w:t>0.4</w:t>
            </w:r>
            <w:r w:rsidRPr="003C783E">
              <w:rPr>
                <w:kern w:val="0"/>
              </w:rPr>
              <w:t>)</w:t>
            </w:r>
          </w:p>
        </w:tc>
        <w:tc>
          <w:tcPr>
            <w:tcW w:w="1026" w:type="dxa"/>
          </w:tcPr>
          <w:p w14:paraId="6405E299" w14:textId="048B1F33" w:rsidR="008621B1" w:rsidRPr="0062778D" w:rsidRDefault="008621B1" w:rsidP="008621B1">
            <w:pPr>
              <w:keepNext/>
              <w:keepLines/>
              <w:tabs>
                <w:tab w:val="decimal" w:pos="404"/>
              </w:tabs>
              <w:jc w:val="both"/>
            </w:pPr>
            <w:r>
              <w:rPr>
                <w:kern w:val="0"/>
                <w:lang w:eastAsia="zh-HK"/>
              </w:rPr>
              <w:t>3.1</w:t>
            </w:r>
          </w:p>
        </w:tc>
        <w:tc>
          <w:tcPr>
            <w:tcW w:w="954" w:type="dxa"/>
          </w:tcPr>
          <w:p w14:paraId="50D2EBE9" w14:textId="61232A10" w:rsidR="008621B1" w:rsidRPr="0062778D" w:rsidRDefault="008621B1" w:rsidP="008621B1">
            <w:pPr>
              <w:keepNext/>
              <w:keepLines/>
              <w:tabs>
                <w:tab w:val="decimal" w:pos="533"/>
              </w:tabs>
              <w:ind w:right="-262"/>
              <w:jc w:val="both"/>
            </w:pPr>
            <w:r w:rsidRPr="003C783E">
              <w:t>-</w:t>
            </w:r>
            <w:r>
              <w:t>10.8</w:t>
            </w:r>
          </w:p>
        </w:tc>
        <w:tc>
          <w:tcPr>
            <w:tcW w:w="819" w:type="dxa"/>
          </w:tcPr>
          <w:p w14:paraId="46B12BCD" w14:textId="48FA380A" w:rsidR="008621B1" w:rsidRPr="0062778D" w:rsidRDefault="008621B1" w:rsidP="008621B1">
            <w:pPr>
              <w:keepNext/>
              <w:keepLines/>
              <w:tabs>
                <w:tab w:val="decimal" w:pos="368"/>
              </w:tabs>
              <w:jc w:val="both"/>
            </w:pPr>
            <w:r w:rsidRPr="003C783E">
              <w:rPr>
                <w:kern w:val="0"/>
                <w:lang w:eastAsia="zh-HK"/>
              </w:rPr>
              <w:t>-1</w:t>
            </w:r>
            <w:r>
              <w:rPr>
                <w:kern w:val="0"/>
                <w:lang w:eastAsia="zh-HK"/>
              </w:rPr>
              <w:t>0.7</w:t>
            </w:r>
          </w:p>
        </w:tc>
        <w:tc>
          <w:tcPr>
            <w:tcW w:w="819" w:type="dxa"/>
          </w:tcPr>
          <w:p w14:paraId="15EA2F5E" w14:textId="4A45AB79" w:rsidR="008621B1" w:rsidRPr="0062778D" w:rsidRDefault="008621B1" w:rsidP="008621B1">
            <w:pPr>
              <w:keepNext/>
              <w:keepLines/>
              <w:tabs>
                <w:tab w:val="decimal" w:pos="368"/>
              </w:tabs>
              <w:jc w:val="both"/>
            </w:pPr>
            <w:r w:rsidRPr="003C783E">
              <w:rPr>
                <w:kern w:val="0"/>
              </w:rPr>
              <w:t>(-</w:t>
            </w:r>
            <w:r w:rsidR="0054074C">
              <w:rPr>
                <w:rFonts w:hint="eastAsia"/>
                <w:kern w:val="0"/>
              </w:rPr>
              <w:t>6.7</w:t>
            </w:r>
            <w:r w:rsidRPr="003C783E">
              <w:rPr>
                <w:kern w:val="0"/>
              </w:rPr>
              <w:t>)</w:t>
            </w:r>
          </w:p>
        </w:tc>
        <w:tc>
          <w:tcPr>
            <w:tcW w:w="955" w:type="dxa"/>
          </w:tcPr>
          <w:p w14:paraId="5427DF19" w14:textId="35A18244" w:rsidR="008621B1" w:rsidRPr="0062778D" w:rsidRDefault="008621B1" w:rsidP="008621B1">
            <w:pPr>
              <w:keepNext/>
              <w:keepLines/>
              <w:tabs>
                <w:tab w:val="decimal" w:pos="476"/>
              </w:tabs>
              <w:jc w:val="both"/>
            </w:pPr>
            <w:r>
              <w:rPr>
                <w:kern w:val="0"/>
                <w:lang w:eastAsia="zh-HK"/>
              </w:rPr>
              <w:t>-0.3</w:t>
            </w:r>
          </w:p>
        </w:tc>
      </w:tr>
      <w:tr w:rsidR="008621B1" w:rsidRPr="00182F37" w14:paraId="4DE500AF" w14:textId="77777777" w:rsidTr="004B6709">
        <w:trPr>
          <w:trHeight w:val="55"/>
        </w:trPr>
        <w:tc>
          <w:tcPr>
            <w:tcW w:w="1846" w:type="dxa"/>
          </w:tcPr>
          <w:p w14:paraId="49768CE4"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Q3</w:t>
            </w:r>
          </w:p>
        </w:tc>
        <w:tc>
          <w:tcPr>
            <w:tcW w:w="882" w:type="dxa"/>
          </w:tcPr>
          <w:p w14:paraId="6407E16A" w14:textId="30E886A8" w:rsidR="008621B1" w:rsidRPr="0062778D" w:rsidRDefault="008621B1" w:rsidP="008621B1">
            <w:pPr>
              <w:keepNext/>
              <w:keepLines/>
              <w:tabs>
                <w:tab w:val="decimal" w:pos="436"/>
              </w:tabs>
              <w:jc w:val="both"/>
            </w:pPr>
            <w:r>
              <w:rPr>
                <w:kern w:val="0"/>
              </w:rPr>
              <w:t>6.0</w:t>
            </w:r>
          </w:p>
        </w:tc>
        <w:tc>
          <w:tcPr>
            <w:tcW w:w="720" w:type="dxa"/>
          </w:tcPr>
          <w:p w14:paraId="1D5F9081" w14:textId="280B6491" w:rsidR="008621B1" w:rsidRPr="0062778D" w:rsidRDefault="008621B1" w:rsidP="008621B1">
            <w:pPr>
              <w:keepNext/>
              <w:keepLines/>
              <w:tabs>
                <w:tab w:val="decimal" w:pos="368"/>
              </w:tabs>
              <w:jc w:val="both"/>
            </w:pPr>
            <w:r>
              <w:rPr>
                <w:kern w:val="0"/>
              </w:rPr>
              <w:t>3.2</w:t>
            </w:r>
          </w:p>
        </w:tc>
        <w:tc>
          <w:tcPr>
            <w:tcW w:w="900" w:type="dxa"/>
          </w:tcPr>
          <w:p w14:paraId="7637550A" w14:textId="09E495E0" w:rsidR="008621B1" w:rsidRPr="0062778D" w:rsidRDefault="008621B1" w:rsidP="008621B1">
            <w:pPr>
              <w:keepNext/>
              <w:keepLines/>
              <w:tabs>
                <w:tab w:val="decimal" w:pos="404"/>
              </w:tabs>
              <w:jc w:val="both"/>
            </w:pPr>
            <w:r w:rsidRPr="009D2FBE">
              <w:rPr>
                <w:kern w:val="0"/>
              </w:rPr>
              <w:t>(</w:t>
            </w:r>
            <w:r>
              <w:rPr>
                <w:kern w:val="0"/>
              </w:rPr>
              <w:t>1.5</w:t>
            </w:r>
            <w:r w:rsidRPr="009D2FBE">
              <w:rPr>
                <w:kern w:val="0"/>
              </w:rPr>
              <w:t>)</w:t>
            </w:r>
          </w:p>
        </w:tc>
        <w:tc>
          <w:tcPr>
            <w:tcW w:w="1026" w:type="dxa"/>
          </w:tcPr>
          <w:p w14:paraId="43C658F8" w14:textId="0CC75444" w:rsidR="008621B1" w:rsidRPr="0062778D" w:rsidRDefault="008621B1" w:rsidP="008621B1">
            <w:pPr>
              <w:keepNext/>
              <w:keepLines/>
              <w:tabs>
                <w:tab w:val="decimal" w:pos="404"/>
              </w:tabs>
              <w:jc w:val="both"/>
            </w:pPr>
            <w:r>
              <w:rPr>
                <w:kern w:val="0"/>
                <w:lang w:eastAsia="zh-HK"/>
              </w:rPr>
              <w:t>2.6</w:t>
            </w:r>
          </w:p>
        </w:tc>
        <w:tc>
          <w:tcPr>
            <w:tcW w:w="954" w:type="dxa"/>
          </w:tcPr>
          <w:p w14:paraId="2B4FF125" w14:textId="34239102" w:rsidR="008621B1" w:rsidRPr="0062778D" w:rsidRDefault="008621B1" w:rsidP="008621B1">
            <w:pPr>
              <w:keepNext/>
              <w:keepLines/>
              <w:tabs>
                <w:tab w:val="decimal" w:pos="533"/>
              </w:tabs>
              <w:ind w:right="-262"/>
              <w:jc w:val="both"/>
            </w:pPr>
            <w:r>
              <w:t>-1.8</w:t>
            </w:r>
          </w:p>
        </w:tc>
        <w:tc>
          <w:tcPr>
            <w:tcW w:w="819" w:type="dxa"/>
          </w:tcPr>
          <w:p w14:paraId="34E2E41F" w14:textId="4068174D" w:rsidR="008621B1" w:rsidRPr="0062778D" w:rsidRDefault="008621B1" w:rsidP="008621B1">
            <w:pPr>
              <w:keepNext/>
              <w:keepLines/>
              <w:tabs>
                <w:tab w:val="decimal" w:pos="368"/>
              </w:tabs>
              <w:jc w:val="both"/>
            </w:pPr>
            <w:r>
              <w:rPr>
                <w:kern w:val="0"/>
                <w:lang w:eastAsia="zh-HK"/>
              </w:rPr>
              <w:t>-1</w:t>
            </w:r>
            <w:r w:rsidRPr="009D2FBE">
              <w:rPr>
                <w:kern w:val="0"/>
                <w:lang w:eastAsia="zh-HK"/>
              </w:rPr>
              <w:t>.</w:t>
            </w:r>
            <w:r>
              <w:rPr>
                <w:kern w:val="0"/>
                <w:lang w:eastAsia="zh-HK"/>
              </w:rPr>
              <w:t>5</w:t>
            </w:r>
          </w:p>
        </w:tc>
        <w:tc>
          <w:tcPr>
            <w:tcW w:w="819" w:type="dxa"/>
          </w:tcPr>
          <w:p w14:paraId="7F563E44" w14:textId="6DD02582" w:rsidR="008621B1" w:rsidRPr="0062778D" w:rsidRDefault="008621B1" w:rsidP="008621B1">
            <w:pPr>
              <w:keepNext/>
              <w:keepLines/>
              <w:tabs>
                <w:tab w:val="decimal" w:pos="368"/>
              </w:tabs>
              <w:jc w:val="both"/>
            </w:pPr>
            <w:r w:rsidRPr="009D2FBE">
              <w:rPr>
                <w:kern w:val="0"/>
              </w:rPr>
              <w:t>(</w:t>
            </w:r>
            <w:r>
              <w:rPr>
                <w:kern w:val="0"/>
              </w:rPr>
              <w:t>1</w:t>
            </w:r>
            <w:r w:rsidR="0054074C">
              <w:rPr>
                <w:rFonts w:hint="eastAsia"/>
                <w:kern w:val="0"/>
              </w:rPr>
              <w:t>2.9</w:t>
            </w:r>
            <w:r w:rsidRPr="009D2FBE">
              <w:rPr>
                <w:kern w:val="0"/>
              </w:rPr>
              <w:t>)</w:t>
            </w:r>
          </w:p>
        </w:tc>
        <w:tc>
          <w:tcPr>
            <w:tcW w:w="955" w:type="dxa"/>
          </w:tcPr>
          <w:p w14:paraId="2A9FC212" w14:textId="4BAB65FE" w:rsidR="008621B1" w:rsidRPr="0062778D" w:rsidRDefault="008621B1" w:rsidP="008621B1">
            <w:pPr>
              <w:keepNext/>
              <w:keepLines/>
              <w:tabs>
                <w:tab w:val="decimal" w:pos="476"/>
              </w:tabs>
              <w:jc w:val="both"/>
            </w:pPr>
            <w:r>
              <w:rPr>
                <w:kern w:val="0"/>
                <w:lang w:eastAsia="zh-HK"/>
              </w:rPr>
              <w:t>-0.1</w:t>
            </w:r>
          </w:p>
        </w:tc>
      </w:tr>
      <w:tr w:rsidR="008621B1" w:rsidRPr="00182F37" w14:paraId="1BC911AD" w14:textId="77777777" w:rsidTr="004B6709">
        <w:trPr>
          <w:trHeight w:val="70"/>
        </w:trPr>
        <w:tc>
          <w:tcPr>
            <w:tcW w:w="1846" w:type="dxa"/>
          </w:tcPr>
          <w:p w14:paraId="655812BD" w14:textId="77777777" w:rsidR="008621B1" w:rsidRPr="0062778D" w:rsidRDefault="008621B1" w:rsidP="008621B1">
            <w:pPr>
              <w:keepNext/>
              <w:keepLines/>
              <w:tabs>
                <w:tab w:val="left" w:pos="720"/>
                <w:tab w:val="left" w:pos="990"/>
                <w:tab w:val="left" w:pos="2430"/>
                <w:tab w:val="left" w:pos="3150"/>
                <w:tab w:val="left" w:pos="7110"/>
                <w:tab w:val="left" w:pos="8190"/>
              </w:tabs>
              <w:jc w:val="both"/>
              <w:rPr>
                <w:lang w:eastAsia="zh-HK"/>
              </w:rPr>
            </w:pPr>
            <w:r w:rsidRPr="0062778D">
              <w:tab/>
            </w:r>
            <w:r w:rsidRPr="0062778D">
              <w:rPr>
                <w:rFonts w:eastAsia="SimSun"/>
                <w:lang w:eastAsia="zh-CN"/>
              </w:rPr>
              <w:t>Q</w:t>
            </w:r>
            <w:r w:rsidRPr="0062778D">
              <w:t>4</w:t>
            </w:r>
          </w:p>
        </w:tc>
        <w:tc>
          <w:tcPr>
            <w:tcW w:w="882" w:type="dxa"/>
          </w:tcPr>
          <w:p w14:paraId="7ED3BC57" w14:textId="5BB9DED3" w:rsidR="008621B1" w:rsidRPr="0062778D" w:rsidRDefault="008621B1" w:rsidP="008621B1">
            <w:pPr>
              <w:keepNext/>
              <w:keepLines/>
              <w:tabs>
                <w:tab w:val="decimal" w:pos="436"/>
              </w:tabs>
              <w:jc w:val="both"/>
            </w:pPr>
            <w:r>
              <w:t>2.9</w:t>
            </w:r>
          </w:p>
        </w:tc>
        <w:tc>
          <w:tcPr>
            <w:tcW w:w="720" w:type="dxa"/>
          </w:tcPr>
          <w:p w14:paraId="1BED5416" w14:textId="7459D487" w:rsidR="008621B1" w:rsidRPr="0062778D" w:rsidRDefault="008621B1" w:rsidP="008621B1">
            <w:pPr>
              <w:keepNext/>
              <w:keepLines/>
              <w:tabs>
                <w:tab w:val="decimal" w:pos="368"/>
              </w:tabs>
              <w:jc w:val="both"/>
            </w:pPr>
            <w:r>
              <w:rPr>
                <w:lang w:eastAsia="zh-HK"/>
              </w:rPr>
              <w:t>0.2</w:t>
            </w:r>
          </w:p>
        </w:tc>
        <w:tc>
          <w:tcPr>
            <w:tcW w:w="900" w:type="dxa"/>
          </w:tcPr>
          <w:p w14:paraId="7ABF9AD8" w14:textId="3C6C2BD7" w:rsidR="008621B1" w:rsidRPr="0062778D" w:rsidRDefault="008621B1" w:rsidP="008621B1">
            <w:pPr>
              <w:keepNext/>
              <w:keepLines/>
              <w:tabs>
                <w:tab w:val="decimal" w:pos="404"/>
              </w:tabs>
              <w:jc w:val="both"/>
            </w:pPr>
            <w:r>
              <w:t>(-0.8</w:t>
            </w:r>
            <w:r w:rsidRPr="00186C45">
              <w:t>)</w:t>
            </w:r>
          </w:p>
        </w:tc>
        <w:tc>
          <w:tcPr>
            <w:tcW w:w="1026" w:type="dxa"/>
          </w:tcPr>
          <w:p w14:paraId="23A43BEB" w14:textId="0EA30FFE" w:rsidR="008621B1" w:rsidRPr="0062778D" w:rsidRDefault="008621B1" w:rsidP="008621B1">
            <w:pPr>
              <w:keepNext/>
              <w:keepLines/>
              <w:tabs>
                <w:tab w:val="decimal" w:pos="404"/>
              </w:tabs>
              <w:jc w:val="both"/>
            </w:pPr>
            <w:r>
              <w:rPr>
                <w:lang w:eastAsia="zh-HK"/>
              </w:rPr>
              <w:t>2.6</w:t>
            </w:r>
          </w:p>
        </w:tc>
        <w:tc>
          <w:tcPr>
            <w:tcW w:w="954" w:type="dxa"/>
          </w:tcPr>
          <w:p w14:paraId="6E9B6C20" w14:textId="16EE1231" w:rsidR="008621B1" w:rsidRPr="0062778D" w:rsidRDefault="008621B1" w:rsidP="008621B1">
            <w:pPr>
              <w:keepNext/>
              <w:keepLines/>
              <w:tabs>
                <w:tab w:val="decimal" w:pos="533"/>
              </w:tabs>
              <w:ind w:right="-262"/>
              <w:jc w:val="both"/>
            </w:pPr>
            <w:r>
              <w:rPr>
                <w:lang w:eastAsia="zh-HK"/>
              </w:rPr>
              <w:t>0.6</w:t>
            </w:r>
          </w:p>
        </w:tc>
        <w:tc>
          <w:tcPr>
            <w:tcW w:w="819" w:type="dxa"/>
          </w:tcPr>
          <w:p w14:paraId="5B900BF2" w14:textId="1EF5226C" w:rsidR="008621B1" w:rsidRPr="0062778D" w:rsidRDefault="008621B1" w:rsidP="008621B1">
            <w:pPr>
              <w:keepNext/>
              <w:keepLines/>
              <w:tabs>
                <w:tab w:val="decimal" w:pos="368"/>
              </w:tabs>
              <w:jc w:val="both"/>
            </w:pPr>
            <w:r>
              <w:rPr>
                <w:lang w:eastAsia="zh-HK"/>
              </w:rPr>
              <w:t>-1.4</w:t>
            </w:r>
          </w:p>
        </w:tc>
        <w:tc>
          <w:tcPr>
            <w:tcW w:w="819" w:type="dxa"/>
          </w:tcPr>
          <w:p w14:paraId="40273ABA" w14:textId="653BE349" w:rsidR="008621B1" w:rsidRPr="0062778D" w:rsidRDefault="008621B1" w:rsidP="008621B1">
            <w:pPr>
              <w:keepNext/>
              <w:keepLines/>
              <w:tabs>
                <w:tab w:val="decimal" w:pos="368"/>
              </w:tabs>
              <w:jc w:val="both"/>
            </w:pPr>
            <w:r>
              <w:t>(-</w:t>
            </w:r>
            <w:r w:rsidR="0054074C">
              <w:rPr>
                <w:rFonts w:hint="eastAsia"/>
              </w:rPr>
              <w:t>3.9</w:t>
            </w:r>
            <w:r w:rsidRPr="00186C45">
              <w:t>)</w:t>
            </w:r>
          </w:p>
        </w:tc>
        <w:tc>
          <w:tcPr>
            <w:tcW w:w="955" w:type="dxa"/>
          </w:tcPr>
          <w:p w14:paraId="3C04B60E" w14:textId="343ECE3C" w:rsidR="008621B1" w:rsidRPr="0062778D" w:rsidRDefault="008621B1" w:rsidP="008621B1">
            <w:pPr>
              <w:keepNext/>
              <w:keepLines/>
              <w:tabs>
                <w:tab w:val="decimal" w:pos="476"/>
              </w:tabs>
              <w:jc w:val="both"/>
            </w:pPr>
            <w:r>
              <w:rPr>
                <w:lang w:eastAsia="zh-HK"/>
              </w:rPr>
              <w:t>1.2</w:t>
            </w:r>
          </w:p>
        </w:tc>
      </w:tr>
      <w:tr w:rsidR="008621B1" w:rsidRPr="00182F37" w14:paraId="489D52E1" w14:textId="77777777" w:rsidTr="004B6709">
        <w:trPr>
          <w:trHeight w:val="70"/>
        </w:trPr>
        <w:tc>
          <w:tcPr>
            <w:tcW w:w="1846" w:type="dxa"/>
          </w:tcPr>
          <w:p w14:paraId="169336D6"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p>
        </w:tc>
        <w:tc>
          <w:tcPr>
            <w:tcW w:w="882" w:type="dxa"/>
          </w:tcPr>
          <w:p w14:paraId="28AB6FBC" w14:textId="77777777" w:rsidR="008621B1" w:rsidRPr="0050134B" w:rsidRDefault="008621B1" w:rsidP="008621B1">
            <w:pPr>
              <w:keepNext/>
              <w:keepLines/>
              <w:tabs>
                <w:tab w:val="decimal" w:pos="436"/>
              </w:tabs>
              <w:jc w:val="both"/>
            </w:pPr>
          </w:p>
        </w:tc>
        <w:tc>
          <w:tcPr>
            <w:tcW w:w="720" w:type="dxa"/>
          </w:tcPr>
          <w:p w14:paraId="53EA376B" w14:textId="77777777" w:rsidR="008621B1" w:rsidRPr="0050134B" w:rsidRDefault="008621B1" w:rsidP="008621B1">
            <w:pPr>
              <w:keepNext/>
              <w:keepLines/>
              <w:tabs>
                <w:tab w:val="decimal" w:pos="368"/>
              </w:tabs>
              <w:jc w:val="both"/>
              <w:rPr>
                <w:lang w:eastAsia="zh-HK"/>
              </w:rPr>
            </w:pPr>
          </w:p>
        </w:tc>
        <w:tc>
          <w:tcPr>
            <w:tcW w:w="900" w:type="dxa"/>
          </w:tcPr>
          <w:p w14:paraId="5B5CDF95" w14:textId="4E296496" w:rsidR="008621B1" w:rsidRPr="0050134B" w:rsidRDefault="008621B1" w:rsidP="008621B1">
            <w:pPr>
              <w:keepNext/>
              <w:keepLines/>
              <w:tabs>
                <w:tab w:val="decimal" w:pos="404"/>
              </w:tabs>
              <w:jc w:val="both"/>
            </w:pPr>
          </w:p>
        </w:tc>
        <w:tc>
          <w:tcPr>
            <w:tcW w:w="1026" w:type="dxa"/>
          </w:tcPr>
          <w:p w14:paraId="14FA3D8F" w14:textId="77777777" w:rsidR="008621B1" w:rsidRPr="0050134B" w:rsidRDefault="008621B1" w:rsidP="008621B1">
            <w:pPr>
              <w:keepNext/>
              <w:keepLines/>
              <w:tabs>
                <w:tab w:val="decimal" w:pos="404"/>
              </w:tabs>
              <w:jc w:val="both"/>
              <w:rPr>
                <w:lang w:eastAsia="zh-HK"/>
              </w:rPr>
            </w:pPr>
          </w:p>
        </w:tc>
        <w:tc>
          <w:tcPr>
            <w:tcW w:w="954" w:type="dxa"/>
          </w:tcPr>
          <w:p w14:paraId="5F18560A" w14:textId="77777777" w:rsidR="008621B1" w:rsidRPr="0050134B" w:rsidRDefault="008621B1" w:rsidP="008621B1">
            <w:pPr>
              <w:keepNext/>
              <w:keepLines/>
              <w:tabs>
                <w:tab w:val="decimal" w:pos="533"/>
              </w:tabs>
              <w:ind w:right="-262"/>
              <w:jc w:val="both"/>
              <w:rPr>
                <w:lang w:eastAsia="zh-HK"/>
              </w:rPr>
            </w:pPr>
          </w:p>
        </w:tc>
        <w:tc>
          <w:tcPr>
            <w:tcW w:w="819" w:type="dxa"/>
          </w:tcPr>
          <w:p w14:paraId="43A99539" w14:textId="77777777" w:rsidR="008621B1" w:rsidRPr="0050134B" w:rsidRDefault="008621B1" w:rsidP="008621B1">
            <w:pPr>
              <w:keepNext/>
              <w:keepLines/>
              <w:tabs>
                <w:tab w:val="decimal" w:pos="368"/>
              </w:tabs>
              <w:jc w:val="both"/>
              <w:rPr>
                <w:lang w:eastAsia="zh-HK"/>
              </w:rPr>
            </w:pPr>
          </w:p>
        </w:tc>
        <w:tc>
          <w:tcPr>
            <w:tcW w:w="819" w:type="dxa"/>
          </w:tcPr>
          <w:p w14:paraId="5BCE9282" w14:textId="77777777" w:rsidR="008621B1" w:rsidRPr="0050134B" w:rsidRDefault="008621B1" w:rsidP="008621B1">
            <w:pPr>
              <w:keepNext/>
              <w:keepLines/>
              <w:tabs>
                <w:tab w:val="decimal" w:pos="368"/>
              </w:tabs>
              <w:jc w:val="both"/>
            </w:pPr>
          </w:p>
        </w:tc>
        <w:tc>
          <w:tcPr>
            <w:tcW w:w="955" w:type="dxa"/>
          </w:tcPr>
          <w:p w14:paraId="1ED76729" w14:textId="77777777" w:rsidR="008621B1" w:rsidRPr="0050134B" w:rsidRDefault="008621B1" w:rsidP="008621B1">
            <w:pPr>
              <w:keepNext/>
              <w:keepLines/>
              <w:tabs>
                <w:tab w:val="decimal" w:pos="476"/>
              </w:tabs>
              <w:jc w:val="both"/>
              <w:rPr>
                <w:lang w:eastAsia="zh-HK"/>
              </w:rPr>
            </w:pPr>
          </w:p>
        </w:tc>
      </w:tr>
      <w:tr w:rsidR="008621B1" w:rsidRPr="00182F37" w14:paraId="0809D1D1" w14:textId="77777777" w:rsidTr="004B6709">
        <w:trPr>
          <w:trHeight w:val="70"/>
        </w:trPr>
        <w:tc>
          <w:tcPr>
            <w:tcW w:w="1846" w:type="dxa"/>
          </w:tcPr>
          <w:p w14:paraId="56816A69" w14:textId="6D369275"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202</w:t>
            </w:r>
            <w:r>
              <w:t>5</w:t>
            </w:r>
            <w:r w:rsidRPr="0062778D">
              <w:tab/>
              <w:t>Q1</w:t>
            </w:r>
          </w:p>
        </w:tc>
        <w:tc>
          <w:tcPr>
            <w:tcW w:w="882" w:type="dxa"/>
          </w:tcPr>
          <w:p w14:paraId="3DDC34D5" w14:textId="0DF4CE74" w:rsidR="008621B1" w:rsidRPr="0050134B" w:rsidRDefault="002632EC" w:rsidP="002632EC">
            <w:pPr>
              <w:keepNext/>
              <w:keepLines/>
              <w:tabs>
                <w:tab w:val="decimal" w:pos="436"/>
              </w:tabs>
              <w:jc w:val="both"/>
            </w:pPr>
            <w:r>
              <w:t>9.8</w:t>
            </w:r>
          </w:p>
        </w:tc>
        <w:tc>
          <w:tcPr>
            <w:tcW w:w="720" w:type="dxa"/>
          </w:tcPr>
          <w:p w14:paraId="43E39E6E" w14:textId="03A0FAE8" w:rsidR="008621B1" w:rsidRPr="0050134B" w:rsidRDefault="00093D6F" w:rsidP="008621B1">
            <w:pPr>
              <w:keepNext/>
              <w:keepLines/>
              <w:tabs>
                <w:tab w:val="decimal" w:pos="368"/>
              </w:tabs>
              <w:jc w:val="both"/>
              <w:rPr>
                <w:lang w:eastAsia="zh-HK"/>
              </w:rPr>
            </w:pPr>
            <w:r>
              <w:rPr>
                <w:lang w:eastAsia="zh-HK"/>
              </w:rPr>
              <w:t>7.3</w:t>
            </w:r>
          </w:p>
        </w:tc>
        <w:tc>
          <w:tcPr>
            <w:tcW w:w="900" w:type="dxa"/>
          </w:tcPr>
          <w:p w14:paraId="0E41ADA4" w14:textId="51C643B0" w:rsidR="008621B1" w:rsidRPr="0050134B" w:rsidRDefault="008621B1" w:rsidP="008621B1">
            <w:pPr>
              <w:keepNext/>
              <w:keepLines/>
              <w:tabs>
                <w:tab w:val="decimal" w:pos="404"/>
              </w:tabs>
              <w:jc w:val="both"/>
            </w:pPr>
            <w:r>
              <w:t>(</w:t>
            </w:r>
            <w:r w:rsidR="00093D6F">
              <w:t>7.5</w:t>
            </w:r>
            <w:r w:rsidRPr="0050134B">
              <w:t>)</w:t>
            </w:r>
          </w:p>
        </w:tc>
        <w:tc>
          <w:tcPr>
            <w:tcW w:w="1026" w:type="dxa"/>
          </w:tcPr>
          <w:p w14:paraId="08AF3197" w14:textId="3E1F93A0" w:rsidR="008621B1" w:rsidRPr="0050134B" w:rsidRDefault="0054074C" w:rsidP="008621B1">
            <w:pPr>
              <w:keepNext/>
              <w:keepLines/>
              <w:tabs>
                <w:tab w:val="decimal" w:pos="404"/>
              </w:tabs>
              <w:jc w:val="both"/>
              <w:rPr>
                <w:lang w:eastAsia="zh-HK"/>
              </w:rPr>
            </w:pPr>
            <w:r>
              <w:rPr>
                <w:rFonts w:hint="eastAsia"/>
              </w:rPr>
              <w:t>2.0</w:t>
            </w:r>
          </w:p>
        </w:tc>
        <w:tc>
          <w:tcPr>
            <w:tcW w:w="954" w:type="dxa"/>
          </w:tcPr>
          <w:p w14:paraId="440E2C7F" w14:textId="5B3F6F31" w:rsidR="008621B1" w:rsidRPr="0050134B" w:rsidRDefault="002632EC" w:rsidP="008621B1">
            <w:pPr>
              <w:keepNext/>
              <w:keepLines/>
              <w:tabs>
                <w:tab w:val="decimal" w:pos="533"/>
              </w:tabs>
              <w:ind w:right="-262"/>
              <w:jc w:val="both"/>
              <w:rPr>
                <w:lang w:eastAsia="zh-HK"/>
              </w:rPr>
            </w:pPr>
            <w:r>
              <w:rPr>
                <w:lang w:eastAsia="zh-HK"/>
              </w:rPr>
              <w:t>4.</w:t>
            </w:r>
            <w:r w:rsidR="00AE08DE">
              <w:rPr>
                <w:lang w:eastAsia="zh-HK"/>
              </w:rPr>
              <w:t>9</w:t>
            </w:r>
          </w:p>
        </w:tc>
        <w:tc>
          <w:tcPr>
            <w:tcW w:w="819" w:type="dxa"/>
          </w:tcPr>
          <w:p w14:paraId="6ECDD847" w14:textId="2B998A30" w:rsidR="008621B1" w:rsidRPr="0050134B" w:rsidRDefault="0054074C" w:rsidP="008621B1">
            <w:pPr>
              <w:keepNext/>
              <w:keepLines/>
              <w:tabs>
                <w:tab w:val="decimal" w:pos="368"/>
              </w:tabs>
              <w:jc w:val="both"/>
              <w:rPr>
                <w:lang w:eastAsia="zh-HK"/>
              </w:rPr>
            </w:pPr>
            <w:r>
              <w:rPr>
                <w:rFonts w:hint="eastAsia"/>
              </w:rPr>
              <w:t>1.2</w:t>
            </w:r>
          </w:p>
        </w:tc>
        <w:tc>
          <w:tcPr>
            <w:tcW w:w="819" w:type="dxa"/>
          </w:tcPr>
          <w:p w14:paraId="69EF1B52" w14:textId="3C570FAE" w:rsidR="008621B1" w:rsidRPr="0050134B" w:rsidRDefault="008621B1" w:rsidP="008621B1">
            <w:pPr>
              <w:keepNext/>
              <w:keepLines/>
              <w:tabs>
                <w:tab w:val="decimal" w:pos="368"/>
              </w:tabs>
              <w:jc w:val="both"/>
            </w:pPr>
            <w:r w:rsidRPr="0050134B">
              <w:t>(</w:t>
            </w:r>
            <w:r w:rsidR="0054074C">
              <w:rPr>
                <w:rFonts w:hint="eastAsia"/>
              </w:rPr>
              <w:t>-0.4</w:t>
            </w:r>
            <w:r w:rsidRPr="0050134B">
              <w:t>)</w:t>
            </w:r>
          </w:p>
        </w:tc>
        <w:tc>
          <w:tcPr>
            <w:tcW w:w="955" w:type="dxa"/>
          </w:tcPr>
          <w:p w14:paraId="14F7F8A0" w14:textId="7301618C" w:rsidR="008621B1" w:rsidRPr="0050134B" w:rsidRDefault="0054074C" w:rsidP="008621B1">
            <w:pPr>
              <w:keepNext/>
              <w:keepLines/>
              <w:tabs>
                <w:tab w:val="decimal" w:pos="476"/>
              </w:tabs>
              <w:jc w:val="both"/>
              <w:rPr>
                <w:lang w:eastAsia="zh-HK"/>
              </w:rPr>
            </w:pPr>
            <w:r>
              <w:rPr>
                <w:rFonts w:hint="eastAsia"/>
              </w:rPr>
              <w:t>2.3</w:t>
            </w:r>
          </w:p>
        </w:tc>
      </w:tr>
    </w:tbl>
    <w:p w14:paraId="78AAB93C" w14:textId="77777777" w:rsidR="008F1D71" w:rsidRPr="008F1D71" w:rsidRDefault="008F1D71" w:rsidP="008F1D71">
      <w:pPr>
        <w:pStyle w:val="BodyTextIndent"/>
        <w:keepNext/>
        <w:keepLines/>
        <w:tabs>
          <w:tab w:val="clear" w:pos="810"/>
          <w:tab w:val="clear" w:pos="9360"/>
          <w:tab w:val="left" w:pos="800"/>
        </w:tabs>
        <w:spacing w:line="250" w:lineRule="exact"/>
        <w:contextualSpacing/>
        <w:rPr>
          <w:szCs w:val="22"/>
          <w:lang w:val="en-GB"/>
        </w:rPr>
      </w:pPr>
    </w:p>
    <w:p w14:paraId="300C8FB0" w14:textId="429DAE76"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proofErr w:type="gramStart"/>
      <w:r w:rsidRPr="00B67ADE">
        <w:rPr>
          <w:sz w:val="22"/>
          <w:szCs w:val="22"/>
          <w:lang w:val="en-GB"/>
        </w:rPr>
        <w:t>Notes :</w:t>
      </w:r>
      <w:proofErr w:type="gramEnd"/>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536B028E"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w:t>
      </w:r>
      <w:proofErr w:type="spellStart"/>
      <w:r w:rsidRPr="00B67ADE">
        <w:rPr>
          <w:sz w:val="22"/>
          <w:szCs w:val="22"/>
          <w:lang w:val="en-GB"/>
        </w:rPr>
        <w:t>merchanting</w:t>
      </w:r>
      <w:proofErr w:type="spellEnd"/>
      <w:r w:rsidRPr="00B67ADE">
        <w:rPr>
          <w:sz w:val="22"/>
          <w:szCs w:val="22"/>
          <w:lang w:val="en-GB"/>
        </w:rPr>
        <w:t xml:space="preserve"> under the standards stipulated in the </w:t>
      </w:r>
      <w:r w:rsidRPr="00B67ADE">
        <w:rPr>
          <w:i/>
          <w:sz w:val="22"/>
          <w:szCs w:val="22"/>
          <w:lang w:val="en-GB"/>
        </w:rPr>
        <w:t>System of National Accounts 2008.</w:t>
      </w:r>
    </w:p>
    <w:p w14:paraId="76FA11E2" w14:textId="410F5ADA" w:rsidR="00440890" w:rsidRPr="00B67ADE" w:rsidRDefault="00440890" w:rsidP="00804805">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t>(</w:t>
      </w:r>
      <w:r w:rsidR="001F0476" w:rsidRPr="00B67ADE">
        <w:rPr>
          <w:sz w:val="22"/>
          <w:szCs w:val="22"/>
          <w:lang w:val="en-GB"/>
        </w:rPr>
        <w:t>  </w:t>
      </w:r>
      <w:r w:rsidRPr="00B67ADE">
        <w:rPr>
          <w:sz w:val="22"/>
          <w:szCs w:val="22"/>
          <w:lang w:val="en-GB"/>
        </w:rPr>
        <w:t>)</w:t>
      </w:r>
      <w:r w:rsidRPr="00B67ADE">
        <w:rPr>
          <w:sz w:val="22"/>
          <w:szCs w:val="22"/>
          <w:lang w:val="en-GB"/>
        </w:rPr>
        <w:tab/>
        <w:t>Seasonally adjusted quarter-to-quarter rate of change.</w:t>
      </w:r>
    </w:p>
    <w:p w14:paraId="099E0408" w14:textId="7970DFDA" w:rsidR="00F72819" w:rsidRDefault="00F72819" w:rsidP="00F72819">
      <w:pPr>
        <w:pStyle w:val="BodyText"/>
        <w:spacing w:line="360" w:lineRule="atLeast"/>
        <w:rPr>
          <w:lang w:val="en-GB"/>
        </w:rPr>
      </w:pPr>
    </w:p>
    <w:p w14:paraId="17C3726C" w14:textId="076302B7" w:rsidR="00BD197C" w:rsidRPr="00B67ADE" w:rsidRDefault="0054074C" w:rsidP="00F72819">
      <w:pPr>
        <w:pStyle w:val="BodyText"/>
        <w:spacing w:line="360" w:lineRule="atLeast"/>
        <w:rPr>
          <w:lang w:val="en-GB"/>
        </w:rPr>
      </w:pPr>
      <w:r w:rsidRPr="0054074C">
        <w:rPr>
          <w:noProof/>
          <w:lang w:val="en-GB" w:eastAsia="zh-CN"/>
        </w:rPr>
        <w:lastRenderedPageBreak/>
        <w:drawing>
          <wp:inline distT="0" distB="0" distL="0" distR="0" wp14:anchorId="6B687139" wp14:editId="0F2B2406">
            <wp:extent cx="5731510" cy="3507602"/>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1510" cy="3507602"/>
                    </a:xfrm>
                    <a:prstGeom prst="rect">
                      <a:avLst/>
                    </a:prstGeom>
                    <a:noFill/>
                    <a:ln>
                      <a:noFill/>
                    </a:ln>
                  </pic:spPr>
                </pic:pic>
              </a:graphicData>
            </a:graphic>
          </wp:inline>
        </w:drawing>
      </w:r>
    </w:p>
    <w:p w14:paraId="04BE6FE1" w14:textId="3B821232" w:rsidR="00FC1395" w:rsidRDefault="00FC1395" w:rsidP="00F72819">
      <w:pPr>
        <w:pStyle w:val="BodyText"/>
        <w:spacing w:line="360" w:lineRule="atLeast"/>
        <w:rPr>
          <w:sz w:val="24"/>
          <w:szCs w:val="24"/>
          <w:lang w:val="en-GB"/>
        </w:rPr>
      </w:pPr>
    </w:p>
    <w:p w14:paraId="0800CE87" w14:textId="77777777" w:rsidR="004124C1" w:rsidRPr="00B67ADE" w:rsidRDefault="004124C1" w:rsidP="00F72819">
      <w:pPr>
        <w:pStyle w:val="BodyText"/>
        <w:spacing w:line="360" w:lineRule="atLeast"/>
        <w:rPr>
          <w:sz w:val="24"/>
          <w:szCs w:val="24"/>
          <w:lang w:val="en-GB"/>
        </w:rPr>
      </w:pPr>
    </w:p>
    <w:p w14:paraId="4C15A7FB" w14:textId="4100038B"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47D49BAE" w:rsidR="00DD6F42" w:rsidRPr="00B67ADE" w:rsidRDefault="00DD6F42" w:rsidP="00DD6F42">
      <w:pPr>
        <w:pStyle w:val="a"/>
        <w:spacing w:line="360" w:lineRule="atLeast"/>
        <w:rPr>
          <w:lang w:val="en-GB"/>
        </w:rPr>
      </w:pPr>
    </w:p>
    <w:p w14:paraId="20A23922" w14:textId="4EE60E1A"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574C28D4" w:rsidR="00DD1157" w:rsidRPr="00B67ADE" w:rsidRDefault="00DD1157" w:rsidP="008F4C90">
      <w:pPr>
        <w:tabs>
          <w:tab w:val="left" w:pos="1260"/>
        </w:tabs>
        <w:spacing w:line="360" w:lineRule="atLeast"/>
        <w:jc w:val="both"/>
        <w:rPr>
          <w:sz w:val="28"/>
        </w:rPr>
      </w:pPr>
    </w:p>
    <w:p w14:paraId="042D39AA" w14:textId="11A77673" w:rsidR="003904DD" w:rsidRPr="00995DF7" w:rsidRDefault="00FC315D" w:rsidP="002F52DF">
      <w:pPr>
        <w:pStyle w:val="ListParagraph"/>
        <w:numPr>
          <w:ilvl w:val="0"/>
          <w:numId w:val="6"/>
        </w:numPr>
        <w:spacing w:after="0" w:line="360" w:lineRule="atLeast"/>
        <w:ind w:leftChars="0"/>
        <w:jc w:val="both"/>
        <w:rPr>
          <w:szCs w:val="28"/>
        </w:rPr>
      </w:pPr>
      <w:r w:rsidRPr="00995DF7">
        <w:rPr>
          <w:i/>
        </w:rPr>
        <w:t>Exports of services</w:t>
      </w:r>
      <w:r w:rsidRPr="00995DF7">
        <w:t xml:space="preserve"> </w:t>
      </w:r>
      <w:r w:rsidR="009D3317">
        <w:t>continued to expand</w:t>
      </w:r>
      <w:r w:rsidR="00995DF7" w:rsidRPr="00995DF7">
        <w:t xml:space="preserve"> </w:t>
      </w:r>
      <w:r w:rsidR="00EB61D7">
        <w:t xml:space="preserve">visibly </w:t>
      </w:r>
      <w:r w:rsidR="00EC4277" w:rsidRPr="00995DF7">
        <w:t>by</w:t>
      </w:r>
      <w:r w:rsidR="000333F8" w:rsidRPr="00995DF7">
        <w:t xml:space="preserve"> </w:t>
      </w:r>
      <w:r w:rsidR="00B56878">
        <w:t>6</w:t>
      </w:r>
      <w:r w:rsidR="009D3317">
        <w:t>.6</w:t>
      </w:r>
      <w:r w:rsidRPr="00995DF7">
        <w:rPr>
          <w:szCs w:val="28"/>
        </w:rPr>
        <w:t>%</w:t>
      </w:r>
      <w:r w:rsidRPr="00995DF7">
        <w:t xml:space="preserve"> in real terms in </w:t>
      </w:r>
      <w:r w:rsidR="006F3112" w:rsidRPr="00995DF7">
        <w:t xml:space="preserve">the </w:t>
      </w:r>
      <w:r w:rsidR="00995DF7" w:rsidRPr="00995DF7">
        <w:t>first quarter of 2025</w:t>
      </w:r>
      <w:r w:rsidR="00315E9C">
        <w:t xml:space="preserve"> over a year earlier</w:t>
      </w:r>
      <w:r w:rsidRPr="00995DF7">
        <w:t xml:space="preserve">, </w:t>
      </w:r>
      <w:r w:rsidRPr="00995DF7">
        <w:rPr>
          <w:szCs w:val="28"/>
        </w:rPr>
        <w:t>after</w:t>
      </w:r>
      <w:r w:rsidRPr="00995DF7">
        <w:t xml:space="preserve"> </w:t>
      </w:r>
      <w:r w:rsidR="00E24975" w:rsidRPr="00995DF7">
        <w:t>growing</w:t>
      </w:r>
      <w:r w:rsidR="006F3112" w:rsidRPr="00995DF7">
        <w:t xml:space="preserve"> by </w:t>
      </w:r>
      <w:r w:rsidR="009D3317">
        <w:t>6.5</w:t>
      </w:r>
      <w:r w:rsidR="00521619" w:rsidRPr="00995DF7">
        <w:rPr>
          <w:szCs w:val="28"/>
        </w:rPr>
        <w:t xml:space="preserve">% in </w:t>
      </w:r>
      <w:r w:rsidR="00521619" w:rsidRPr="00F73674">
        <w:t>the preceding quarter</w:t>
      </w:r>
      <w:r w:rsidRPr="00995DF7">
        <w:t xml:space="preserve">.  </w:t>
      </w:r>
      <w:r w:rsidR="00F73674" w:rsidRPr="004057E3">
        <w:t>Exports of all major service groups rose further</w:t>
      </w:r>
      <w:r w:rsidR="00F73674">
        <w:t xml:space="preserve">. </w:t>
      </w:r>
      <w:r w:rsidR="00F73674" w:rsidRPr="004057E3">
        <w:t xml:space="preserve"> </w:t>
      </w:r>
      <w:r w:rsidR="00F73674">
        <w:t>Specifically, e</w:t>
      </w:r>
      <w:r w:rsidR="00F73674" w:rsidRPr="00995DF7">
        <w:rPr>
          <w:szCs w:val="28"/>
        </w:rPr>
        <w:t>xports</w:t>
      </w:r>
      <w:r w:rsidR="00F73674" w:rsidRPr="00995DF7">
        <w:t xml:space="preserve"> of </w:t>
      </w:r>
      <w:r w:rsidR="00F73674">
        <w:t xml:space="preserve">travel and </w:t>
      </w:r>
      <w:r w:rsidR="00F73674" w:rsidRPr="00995DF7">
        <w:t xml:space="preserve">transport services </w:t>
      </w:r>
      <w:r w:rsidR="00F73674">
        <w:t xml:space="preserve">continued to expand, supported by the further increase in </w:t>
      </w:r>
      <w:r w:rsidR="00F73674" w:rsidRPr="00995DF7">
        <w:t xml:space="preserve">visitor arrivals and </w:t>
      </w:r>
      <w:r w:rsidR="00F73674">
        <w:t>growth in cross-boundary traffic</w:t>
      </w:r>
      <w:r w:rsidR="00F73674" w:rsidRPr="00995DF7">
        <w:rPr>
          <w:szCs w:val="28"/>
        </w:rPr>
        <w:t xml:space="preserve">.  </w:t>
      </w:r>
      <w:r w:rsidR="00F73674">
        <w:t>E</w:t>
      </w:r>
      <w:r w:rsidR="00F73674" w:rsidRPr="00995DF7">
        <w:t xml:space="preserve">xports </w:t>
      </w:r>
      <w:r w:rsidR="00BC2FC9" w:rsidRPr="00995DF7">
        <w:t>of financial services</w:t>
      </w:r>
      <w:r w:rsidR="000C74C0">
        <w:t xml:space="preserve"> and business and other services</w:t>
      </w:r>
      <w:r w:rsidR="00BC2FC9" w:rsidRPr="00995DF7">
        <w:t xml:space="preserve"> </w:t>
      </w:r>
      <w:r w:rsidR="007D0EFC" w:rsidRPr="00995DF7">
        <w:t>rose further</w:t>
      </w:r>
      <w:r w:rsidR="000C74C0">
        <w:t xml:space="preserve">, thanks to </w:t>
      </w:r>
      <w:r w:rsidR="00995DF7">
        <w:t xml:space="preserve">the </w:t>
      </w:r>
      <w:r w:rsidR="002F52DF" w:rsidRPr="002F52DF">
        <w:t>increase in other cross-boundary activities and buoyant local stock market</w:t>
      </w:r>
      <w:r w:rsidR="00BC2FC9" w:rsidRPr="00995DF7">
        <w:rPr>
          <w:szCs w:val="28"/>
        </w:rPr>
        <w:t>.</w:t>
      </w:r>
    </w:p>
    <w:p w14:paraId="2A103B48" w14:textId="616E30CB" w:rsidR="00A779EA" w:rsidRDefault="00445664" w:rsidP="00D35E94">
      <w:pPr>
        <w:keepNext/>
        <w:keepLines/>
        <w:tabs>
          <w:tab w:val="left" w:pos="1080"/>
        </w:tabs>
        <w:spacing w:line="360" w:lineRule="atLeast"/>
        <w:rPr>
          <w:i/>
          <w:kern w:val="0"/>
          <w:sz w:val="28"/>
          <w:szCs w:val="22"/>
        </w:rPr>
      </w:pPr>
      <w:r w:rsidRPr="00445664">
        <w:rPr>
          <w:noProof/>
          <w:lang w:eastAsia="zh-CN"/>
        </w:rPr>
        <w:lastRenderedPageBreak/>
        <w:drawing>
          <wp:inline distT="0" distB="0" distL="0" distR="0" wp14:anchorId="1AEAC250" wp14:editId="370D6B6C">
            <wp:extent cx="5731510" cy="3511893"/>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31510" cy="3511893"/>
                    </a:xfrm>
                    <a:prstGeom prst="rect">
                      <a:avLst/>
                    </a:prstGeom>
                    <a:noFill/>
                    <a:ln>
                      <a:noFill/>
                    </a:ln>
                  </pic:spPr>
                </pic:pic>
              </a:graphicData>
            </a:graphic>
          </wp:inline>
        </w:drawing>
      </w:r>
    </w:p>
    <w:p w14:paraId="284E8DC9" w14:textId="661D9F25" w:rsidR="00D35E94" w:rsidRDefault="00D35E94" w:rsidP="00D35E94">
      <w:pPr>
        <w:keepNext/>
        <w:keepLines/>
        <w:tabs>
          <w:tab w:val="left" w:pos="1080"/>
        </w:tabs>
        <w:spacing w:line="360" w:lineRule="atLeast"/>
        <w:rPr>
          <w:kern w:val="0"/>
          <w:sz w:val="28"/>
          <w:szCs w:val="22"/>
        </w:rPr>
      </w:pPr>
    </w:p>
    <w:p w14:paraId="1E3E819B" w14:textId="77777777" w:rsidR="00D35E94" w:rsidRPr="003B5EC8" w:rsidRDefault="00D35E94" w:rsidP="00D35E94">
      <w:pPr>
        <w:keepNext/>
        <w:keepLines/>
        <w:tabs>
          <w:tab w:val="left" w:pos="1080"/>
        </w:tabs>
        <w:spacing w:line="360" w:lineRule="atLeast"/>
        <w:jc w:val="center"/>
        <w:rPr>
          <w:b/>
          <w:sz w:val="28"/>
        </w:rPr>
      </w:pPr>
      <w:r w:rsidRPr="003B5EC8">
        <w:rPr>
          <w:b/>
          <w:sz w:val="28"/>
        </w:rPr>
        <w:t xml:space="preserve">Table </w:t>
      </w:r>
      <w:proofErr w:type="gramStart"/>
      <w:r w:rsidRPr="003B5EC8">
        <w:rPr>
          <w:b/>
          <w:sz w:val="28"/>
        </w:rPr>
        <w:t>2.4 :</w:t>
      </w:r>
      <w:proofErr w:type="gramEnd"/>
      <w:r w:rsidRPr="003B5EC8">
        <w:rPr>
          <w:b/>
          <w:sz w:val="28"/>
        </w:rPr>
        <w:t xml:space="preserve"> Exports of services by major service group</w:t>
      </w:r>
    </w:p>
    <w:p w14:paraId="5EFEE7B5" w14:textId="77777777" w:rsidR="00D35E94" w:rsidRPr="00B67ADE" w:rsidRDefault="00D35E94" w:rsidP="00D35E94">
      <w:pPr>
        <w:keepNext/>
        <w:keepLines/>
        <w:spacing w:line="280" w:lineRule="exact"/>
        <w:ind w:left="720" w:hanging="720"/>
        <w:jc w:val="center"/>
        <w:rPr>
          <w:b/>
          <w:sz w:val="28"/>
        </w:rPr>
      </w:pPr>
      <w:r w:rsidRPr="003B5EC8">
        <w:rPr>
          <w:b/>
          <w:sz w:val="28"/>
        </w:rPr>
        <w:t>(</w:t>
      </w:r>
      <w:proofErr w:type="gramStart"/>
      <w:r w:rsidRPr="003B5EC8">
        <w:rPr>
          <w:b/>
          <w:sz w:val="28"/>
        </w:rPr>
        <w:t>year-on-year</w:t>
      </w:r>
      <w:proofErr w:type="gramEnd"/>
      <w:r w:rsidRPr="003B5EC8">
        <w:rPr>
          <w:b/>
          <w:sz w:val="28"/>
        </w:rPr>
        <w:t xml:space="preserve"> rate of change in real terms (%))</w:t>
      </w:r>
      <w:r w:rsidRPr="00B67ADE">
        <w:rPr>
          <w:b/>
          <w:sz w:val="28"/>
        </w:rPr>
        <w:t xml:space="preserve">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4F4142" w14:paraId="3944DB4A" w14:textId="77777777" w:rsidTr="00236E51">
        <w:trPr>
          <w:trHeight w:val="1482"/>
        </w:trPr>
        <w:tc>
          <w:tcPr>
            <w:tcW w:w="1721" w:type="dxa"/>
          </w:tcPr>
          <w:p w14:paraId="740BE0C5" w14:textId="77777777" w:rsidR="00D35E94" w:rsidRPr="004B6709" w:rsidRDefault="00D35E94" w:rsidP="00236E51">
            <w:pPr>
              <w:keepNext/>
              <w:keepLines/>
              <w:tabs>
                <w:tab w:val="left" w:pos="840"/>
              </w:tabs>
              <w:snapToGrid w:val="0"/>
              <w:spacing w:line="320" w:lineRule="exact"/>
              <w:jc w:val="center"/>
              <w:rPr>
                <w:u w:val="single"/>
              </w:rPr>
            </w:pPr>
          </w:p>
        </w:tc>
        <w:tc>
          <w:tcPr>
            <w:tcW w:w="1701" w:type="dxa"/>
            <w:gridSpan w:val="2"/>
          </w:tcPr>
          <w:p w14:paraId="06BAD37D" w14:textId="77777777" w:rsidR="00D35E94" w:rsidRPr="004B6709" w:rsidRDefault="00D35E94" w:rsidP="00236E51">
            <w:pPr>
              <w:keepNext/>
              <w:keepLines/>
              <w:snapToGrid w:val="0"/>
              <w:spacing w:line="320" w:lineRule="exact"/>
              <w:jc w:val="center"/>
              <w:rPr>
                <w:u w:val="single"/>
              </w:rPr>
            </w:pPr>
          </w:p>
          <w:p w14:paraId="485027DE" w14:textId="77777777" w:rsidR="00D35E94" w:rsidRPr="004B6709" w:rsidRDefault="00D35E94" w:rsidP="00236E51">
            <w:pPr>
              <w:keepNext/>
              <w:keepLines/>
              <w:snapToGrid w:val="0"/>
              <w:spacing w:line="320" w:lineRule="exact"/>
              <w:jc w:val="center"/>
              <w:rPr>
                <w:u w:val="single"/>
              </w:rPr>
            </w:pPr>
          </w:p>
          <w:p w14:paraId="46165819" w14:textId="77777777" w:rsidR="00D35E94" w:rsidRPr="004B6709" w:rsidRDefault="00D35E94" w:rsidP="00236E51">
            <w:pPr>
              <w:keepNext/>
              <w:keepLines/>
              <w:snapToGrid w:val="0"/>
              <w:spacing w:line="320" w:lineRule="exact"/>
              <w:jc w:val="center"/>
            </w:pPr>
            <w:r w:rsidRPr="004B6709">
              <w:t>Exports</w:t>
            </w:r>
          </w:p>
          <w:p w14:paraId="623E98DD" w14:textId="77777777" w:rsidR="00D35E94" w:rsidRPr="004B6709" w:rsidRDefault="00D35E94" w:rsidP="00236E51">
            <w:pPr>
              <w:keepNext/>
              <w:keepLines/>
              <w:snapToGrid w:val="0"/>
              <w:spacing w:line="320" w:lineRule="exact"/>
              <w:jc w:val="center"/>
              <w:rPr>
                <w:u w:val="single"/>
              </w:rPr>
            </w:pPr>
            <w:r w:rsidRPr="004B6709">
              <w:rPr>
                <w:u w:val="single"/>
              </w:rPr>
              <w:t>of services</w:t>
            </w:r>
          </w:p>
          <w:p w14:paraId="167B31B3" w14:textId="77777777" w:rsidR="00D35E94" w:rsidRPr="004B6709" w:rsidRDefault="00D35E94" w:rsidP="00236E51">
            <w:pPr>
              <w:keepNext/>
              <w:keepLines/>
              <w:tabs>
                <w:tab w:val="left" w:pos="112"/>
              </w:tabs>
              <w:snapToGrid w:val="0"/>
              <w:spacing w:line="320" w:lineRule="exact"/>
              <w:jc w:val="center"/>
              <w:rPr>
                <w:i/>
              </w:rPr>
            </w:pPr>
          </w:p>
        </w:tc>
        <w:tc>
          <w:tcPr>
            <w:tcW w:w="1429" w:type="dxa"/>
          </w:tcPr>
          <w:p w14:paraId="0F2E6A96" w14:textId="77777777" w:rsidR="00D35E94" w:rsidRPr="004B6709" w:rsidRDefault="00D35E94" w:rsidP="00236E51">
            <w:pPr>
              <w:keepNext/>
              <w:keepLines/>
              <w:tabs>
                <w:tab w:val="left" w:pos="112"/>
              </w:tabs>
              <w:snapToGrid w:val="0"/>
              <w:spacing w:line="320" w:lineRule="exact"/>
              <w:jc w:val="center"/>
            </w:pPr>
            <w:r w:rsidRPr="004B6709">
              <w:rPr>
                <w:i/>
              </w:rPr>
              <w:br/>
              <w:t>Of which :</w:t>
            </w:r>
          </w:p>
          <w:p w14:paraId="02BBA5B5" w14:textId="77777777" w:rsidR="00D35E94" w:rsidRPr="004B6709" w:rsidRDefault="00D35E94" w:rsidP="00236E51">
            <w:pPr>
              <w:keepNext/>
              <w:keepLines/>
              <w:snapToGrid w:val="0"/>
              <w:spacing w:line="320" w:lineRule="exact"/>
              <w:jc w:val="center"/>
            </w:pPr>
          </w:p>
          <w:p w14:paraId="73D0C07B" w14:textId="77777777" w:rsidR="00D35E94" w:rsidRPr="004B6709" w:rsidRDefault="00D35E94" w:rsidP="00236E51">
            <w:pPr>
              <w:keepNext/>
              <w:keepLines/>
              <w:snapToGrid w:val="0"/>
              <w:spacing w:line="320" w:lineRule="exact"/>
              <w:jc w:val="center"/>
              <w:rPr>
                <w:u w:val="single"/>
              </w:rPr>
            </w:pPr>
            <w:r w:rsidRPr="004B6709">
              <w:rPr>
                <w:u w:val="single"/>
              </w:rPr>
              <w:t>Transport</w:t>
            </w:r>
          </w:p>
        </w:tc>
        <w:tc>
          <w:tcPr>
            <w:tcW w:w="1433" w:type="dxa"/>
          </w:tcPr>
          <w:p w14:paraId="2A752393" w14:textId="77777777" w:rsidR="00D35E94" w:rsidRPr="004B6709" w:rsidRDefault="00D35E94" w:rsidP="00236E51">
            <w:pPr>
              <w:keepNext/>
              <w:keepLines/>
              <w:snapToGrid w:val="0"/>
              <w:spacing w:line="320" w:lineRule="exact"/>
              <w:jc w:val="center"/>
              <w:rPr>
                <w:u w:val="single"/>
              </w:rPr>
            </w:pPr>
          </w:p>
          <w:p w14:paraId="6AE296BE" w14:textId="77777777" w:rsidR="00D35E94" w:rsidRPr="004B6709" w:rsidRDefault="00D35E94" w:rsidP="00236E51">
            <w:pPr>
              <w:keepNext/>
              <w:keepLines/>
              <w:snapToGrid w:val="0"/>
              <w:spacing w:line="320" w:lineRule="exact"/>
              <w:jc w:val="center"/>
              <w:rPr>
                <w:u w:val="single"/>
              </w:rPr>
            </w:pPr>
          </w:p>
          <w:p w14:paraId="11BDD6C9" w14:textId="77777777" w:rsidR="00D35E94" w:rsidRPr="004B6709" w:rsidRDefault="00D35E94" w:rsidP="00236E51">
            <w:pPr>
              <w:keepNext/>
              <w:keepLines/>
              <w:snapToGrid w:val="0"/>
              <w:spacing w:line="320" w:lineRule="exact"/>
              <w:jc w:val="center"/>
              <w:rPr>
                <w:u w:val="single"/>
              </w:rPr>
            </w:pPr>
          </w:p>
          <w:p w14:paraId="3AE595E4" w14:textId="77777777" w:rsidR="00D35E94" w:rsidRPr="004B6709" w:rsidRDefault="00D35E94" w:rsidP="00236E51">
            <w:pPr>
              <w:keepNext/>
              <w:keepLines/>
              <w:snapToGrid w:val="0"/>
              <w:spacing w:line="320" w:lineRule="exact"/>
              <w:ind w:leftChars="100" w:left="240" w:firstLineChars="50" w:firstLine="120"/>
              <w:rPr>
                <w:vertAlign w:val="superscript"/>
              </w:rPr>
            </w:pPr>
            <w:r w:rsidRPr="004B6709">
              <w:rPr>
                <w:u w:val="single"/>
              </w:rPr>
              <w:t>Travel</w:t>
            </w:r>
            <w:r w:rsidRPr="004B6709">
              <w:rPr>
                <w:vertAlign w:val="superscript"/>
              </w:rPr>
              <w:t>(a)</w:t>
            </w:r>
          </w:p>
        </w:tc>
        <w:tc>
          <w:tcPr>
            <w:tcW w:w="1429" w:type="dxa"/>
          </w:tcPr>
          <w:p w14:paraId="14B42080" w14:textId="77777777" w:rsidR="00D35E94" w:rsidRPr="004B6709" w:rsidRDefault="00D35E94" w:rsidP="00236E51">
            <w:pPr>
              <w:keepNext/>
              <w:keepLines/>
              <w:snapToGrid w:val="0"/>
              <w:spacing w:line="320" w:lineRule="exact"/>
              <w:jc w:val="center"/>
            </w:pPr>
          </w:p>
          <w:p w14:paraId="5D4F8BB7" w14:textId="77777777" w:rsidR="00D35E94" w:rsidRPr="004B6709" w:rsidRDefault="00D35E94" w:rsidP="00236E51">
            <w:pPr>
              <w:keepNext/>
              <w:keepLines/>
              <w:snapToGrid w:val="0"/>
              <w:spacing w:line="320" w:lineRule="exact"/>
              <w:jc w:val="center"/>
            </w:pPr>
          </w:p>
          <w:p w14:paraId="4FAFD4AE" w14:textId="77777777" w:rsidR="00D35E94" w:rsidRPr="004B6709" w:rsidRDefault="00D35E94" w:rsidP="00236E51">
            <w:pPr>
              <w:keepNext/>
              <w:keepLines/>
              <w:snapToGrid w:val="0"/>
              <w:spacing w:line="320" w:lineRule="exact"/>
              <w:jc w:val="center"/>
            </w:pPr>
            <w:r w:rsidRPr="004B6709">
              <w:t>Financial</w:t>
            </w:r>
            <w:r w:rsidRPr="004B6709">
              <w:br/>
            </w:r>
            <w:r w:rsidRPr="004B6709">
              <w:rPr>
                <w:u w:val="single"/>
              </w:rPr>
              <w:t>services</w:t>
            </w:r>
          </w:p>
        </w:tc>
        <w:tc>
          <w:tcPr>
            <w:tcW w:w="1701" w:type="dxa"/>
          </w:tcPr>
          <w:p w14:paraId="277EF1F3" w14:textId="77777777" w:rsidR="00D35E94" w:rsidRPr="004B6709" w:rsidRDefault="00D35E94" w:rsidP="00236E51">
            <w:pPr>
              <w:keepNext/>
              <w:keepLines/>
              <w:snapToGrid w:val="0"/>
              <w:spacing w:line="320" w:lineRule="exact"/>
              <w:jc w:val="center"/>
            </w:pPr>
          </w:p>
          <w:p w14:paraId="4C14CFD8" w14:textId="77777777" w:rsidR="00D35E94" w:rsidRPr="004B6709" w:rsidRDefault="00D35E94" w:rsidP="00236E51">
            <w:pPr>
              <w:keepNext/>
              <w:keepLines/>
              <w:snapToGrid w:val="0"/>
              <w:spacing w:line="320" w:lineRule="exact"/>
              <w:jc w:val="center"/>
            </w:pPr>
          </w:p>
          <w:p w14:paraId="55765FC5" w14:textId="77777777" w:rsidR="00D35E94" w:rsidRPr="004B6709" w:rsidRDefault="00D35E94" w:rsidP="00236E51">
            <w:pPr>
              <w:keepNext/>
              <w:keepLines/>
              <w:snapToGrid w:val="0"/>
              <w:spacing w:line="320" w:lineRule="exact"/>
              <w:jc w:val="center"/>
              <w:rPr>
                <w:u w:val="single"/>
              </w:rPr>
            </w:pPr>
            <w:r w:rsidRPr="004B6709">
              <w:t xml:space="preserve">Business and </w:t>
            </w:r>
            <w:r w:rsidRPr="004B6709">
              <w:br/>
            </w:r>
            <w:r w:rsidRPr="004B6709">
              <w:rPr>
                <w:u w:val="single"/>
              </w:rPr>
              <w:t>other services</w:t>
            </w:r>
          </w:p>
        </w:tc>
      </w:tr>
      <w:tr w:rsidR="003B5EC8" w:rsidRPr="004F4142" w14:paraId="6D15C04A" w14:textId="77777777" w:rsidTr="00BC1FA7">
        <w:tc>
          <w:tcPr>
            <w:tcW w:w="1721" w:type="dxa"/>
          </w:tcPr>
          <w:p w14:paraId="219D6DBE" w14:textId="327A8E65" w:rsidR="003B5EC8" w:rsidRPr="004B6709" w:rsidRDefault="003B5EC8" w:rsidP="003B5EC8">
            <w:pPr>
              <w:keepNext/>
              <w:keepLines/>
              <w:tabs>
                <w:tab w:val="left" w:pos="855"/>
              </w:tabs>
              <w:spacing w:line="260" w:lineRule="exact"/>
              <w:jc w:val="both"/>
            </w:pPr>
            <w:r w:rsidRPr="004B6709">
              <w:t>202</w:t>
            </w:r>
            <w:r w:rsidR="00315E9C">
              <w:t>4</w:t>
            </w:r>
            <w:r w:rsidRPr="004B6709">
              <w:tab/>
              <w:t>Annual</w:t>
            </w:r>
          </w:p>
          <w:p w14:paraId="2F87CCEB" w14:textId="77777777" w:rsidR="003B5EC8" w:rsidRPr="004B6709" w:rsidRDefault="003B5EC8" w:rsidP="003B5EC8">
            <w:pPr>
              <w:keepNext/>
              <w:keepLines/>
              <w:tabs>
                <w:tab w:val="left" w:pos="855"/>
              </w:tabs>
              <w:spacing w:line="260" w:lineRule="exact"/>
              <w:jc w:val="both"/>
            </w:pPr>
          </w:p>
        </w:tc>
        <w:tc>
          <w:tcPr>
            <w:tcW w:w="850" w:type="dxa"/>
          </w:tcPr>
          <w:p w14:paraId="07CD245F" w14:textId="7A7883B8"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5.1</w:t>
            </w:r>
          </w:p>
        </w:tc>
        <w:tc>
          <w:tcPr>
            <w:tcW w:w="851" w:type="dxa"/>
          </w:tcPr>
          <w:p w14:paraId="63F9118C" w14:textId="77777777"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29" w:type="dxa"/>
          </w:tcPr>
          <w:p w14:paraId="65231B2C" w14:textId="20C08EC7"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7.5</w:t>
            </w:r>
          </w:p>
        </w:tc>
        <w:tc>
          <w:tcPr>
            <w:tcW w:w="1433" w:type="dxa"/>
          </w:tcPr>
          <w:p w14:paraId="0ED655BB" w14:textId="6D593F4D" w:rsidR="003B5EC8" w:rsidRPr="00BC1FA7" w:rsidRDefault="009221B5" w:rsidP="003B5EC8">
            <w:pPr>
              <w:keepNext/>
              <w:keepLines/>
              <w:tabs>
                <w:tab w:val="decimal" w:pos="775"/>
              </w:tabs>
              <w:spacing w:line="260" w:lineRule="exact"/>
              <w:rPr>
                <w:highlight w:val="yellow"/>
              </w:rPr>
            </w:pPr>
            <w:r>
              <w:t>6.9</w:t>
            </w:r>
          </w:p>
        </w:tc>
        <w:tc>
          <w:tcPr>
            <w:tcW w:w="1429" w:type="dxa"/>
          </w:tcPr>
          <w:p w14:paraId="4FA3AC3E" w14:textId="2F0E8F87" w:rsidR="003B5EC8" w:rsidRPr="00BC1FA7" w:rsidRDefault="006102A6" w:rsidP="00AB74EF">
            <w:pPr>
              <w:keepNext/>
              <w:keepLines/>
              <w:tabs>
                <w:tab w:val="decimal" w:pos="724"/>
              </w:tabs>
              <w:spacing w:line="260" w:lineRule="exact"/>
              <w:rPr>
                <w:highlight w:val="yellow"/>
              </w:rPr>
            </w:pPr>
            <w:r>
              <w:t>2.4</w:t>
            </w:r>
          </w:p>
        </w:tc>
        <w:tc>
          <w:tcPr>
            <w:tcW w:w="1701" w:type="dxa"/>
          </w:tcPr>
          <w:p w14:paraId="5513A109" w14:textId="12ECF4D6" w:rsidR="003B5EC8" w:rsidRPr="00BC1FA7" w:rsidRDefault="003B5EC8" w:rsidP="00AB74EF">
            <w:pPr>
              <w:keepNext/>
              <w:keepLines/>
              <w:tabs>
                <w:tab w:val="decimal" w:pos="810"/>
              </w:tabs>
              <w:spacing w:line="260" w:lineRule="exact"/>
              <w:rPr>
                <w:highlight w:val="yellow"/>
              </w:rPr>
            </w:pPr>
            <w:r w:rsidRPr="004C792F">
              <w:t>3.</w:t>
            </w:r>
            <w:r w:rsidR="006102A6">
              <w:t>2</w:t>
            </w:r>
          </w:p>
        </w:tc>
      </w:tr>
      <w:tr w:rsidR="003B5EC8" w:rsidRPr="004F4142" w14:paraId="4694A4F3" w14:textId="77777777" w:rsidTr="00BC1FA7">
        <w:tc>
          <w:tcPr>
            <w:tcW w:w="1721" w:type="dxa"/>
          </w:tcPr>
          <w:p w14:paraId="767ED7E8" w14:textId="77777777" w:rsidR="003B5EC8" w:rsidRPr="004B6709" w:rsidRDefault="003B5EC8" w:rsidP="003B5EC8">
            <w:pPr>
              <w:keepNext/>
              <w:keepLines/>
              <w:tabs>
                <w:tab w:val="left" w:pos="855"/>
              </w:tabs>
              <w:spacing w:line="260" w:lineRule="exact"/>
              <w:jc w:val="both"/>
            </w:pPr>
            <w:r w:rsidRPr="004B6709">
              <w:tab/>
              <w:t>Q1</w:t>
            </w:r>
          </w:p>
        </w:tc>
        <w:tc>
          <w:tcPr>
            <w:tcW w:w="850" w:type="dxa"/>
          </w:tcPr>
          <w:p w14:paraId="7B2DD763" w14:textId="2A6255FF" w:rsidR="003B5EC8" w:rsidRPr="00BC1FA7" w:rsidRDefault="003B5EC8"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9.</w:t>
            </w:r>
            <w:r w:rsidR="00EA0F09">
              <w:rPr>
                <w:sz w:val="24"/>
                <w:lang w:val="en-GB"/>
              </w:rPr>
              <w:t>9</w:t>
            </w:r>
            <w:r w:rsidRPr="0083617F">
              <w:rPr>
                <w:sz w:val="8"/>
                <w:szCs w:val="8"/>
                <w:lang w:val="en-GB"/>
              </w:rPr>
              <w:t xml:space="preserve">  </w:t>
            </w:r>
          </w:p>
        </w:tc>
        <w:tc>
          <w:tcPr>
            <w:tcW w:w="851" w:type="dxa"/>
          </w:tcPr>
          <w:p w14:paraId="28ACF7C3" w14:textId="277980D3"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Pr>
                <w:sz w:val="24"/>
                <w:lang w:val="en-GB"/>
              </w:rPr>
              <w:t>(</w:t>
            </w:r>
            <w:r>
              <w:rPr>
                <w:sz w:val="24"/>
                <w:lang w:val="en-GB" w:eastAsia="zh-TW"/>
              </w:rPr>
              <w:t>0.1</w:t>
            </w:r>
            <w:r w:rsidRPr="0083617F">
              <w:rPr>
                <w:sz w:val="24"/>
                <w:lang w:val="en-GB"/>
              </w:rPr>
              <w:t>)</w:t>
            </w:r>
          </w:p>
        </w:tc>
        <w:tc>
          <w:tcPr>
            <w:tcW w:w="1429" w:type="dxa"/>
          </w:tcPr>
          <w:p w14:paraId="0EA9C4FE" w14:textId="7B4FDDC7"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12.</w:t>
            </w:r>
            <w:r w:rsidR="006102A6">
              <w:rPr>
                <w:sz w:val="24"/>
                <w:lang w:val="en-GB"/>
              </w:rPr>
              <w:t>3</w:t>
            </w:r>
          </w:p>
        </w:tc>
        <w:tc>
          <w:tcPr>
            <w:tcW w:w="1433" w:type="dxa"/>
          </w:tcPr>
          <w:p w14:paraId="21F6ECE3" w14:textId="3A48DC65" w:rsidR="003B5EC8" w:rsidRPr="00BC1FA7" w:rsidRDefault="009221B5" w:rsidP="003B5EC8">
            <w:pPr>
              <w:keepNext/>
              <w:keepLines/>
              <w:tabs>
                <w:tab w:val="decimal" w:pos="775"/>
              </w:tabs>
              <w:spacing w:line="260" w:lineRule="exact"/>
              <w:rPr>
                <w:highlight w:val="yellow"/>
              </w:rPr>
            </w:pPr>
            <w:r>
              <w:t>41.0</w:t>
            </w:r>
          </w:p>
        </w:tc>
        <w:tc>
          <w:tcPr>
            <w:tcW w:w="1429" w:type="dxa"/>
          </w:tcPr>
          <w:p w14:paraId="18EA852D" w14:textId="41FC098D" w:rsidR="003B5EC8" w:rsidRPr="00BC1FA7" w:rsidRDefault="003B5EC8" w:rsidP="00AB74EF">
            <w:pPr>
              <w:keepNext/>
              <w:keepLines/>
              <w:tabs>
                <w:tab w:val="decimal" w:pos="724"/>
              </w:tabs>
              <w:spacing w:line="260" w:lineRule="exact"/>
              <w:rPr>
                <w:highlight w:val="yellow"/>
              </w:rPr>
            </w:pPr>
            <w:r w:rsidRPr="004C792F">
              <w:t>-5.</w:t>
            </w:r>
            <w:r w:rsidR="006102A6">
              <w:t>1</w:t>
            </w:r>
          </w:p>
        </w:tc>
        <w:tc>
          <w:tcPr>
            <w:tcW w:w="1701" w:type="dxa"/>
          </w:tcPr>
          <w:p w14:paraId="7803D879" w14:textId="7D0737D1" w:rsidR="003B5EC8" w:rsidRPr="00BC1FA7" w:rsidRDefault="003B5EC8" w:rsidP="00AB74EF">
            <w:pPr>
              <w:keepNext/>
              <w:keepLines/>
              <w:tabs>
                <w:tab w:val="decimal" w:pos="810"/>
              </w:tabs>
              <w:spacing w:line="260" w:lineRule="exact"/>
              <w:rPr>
                <w:highlight w:val="yellow"/>
              </w:rPr>
            </w:pPr>
            <w:r w:rsidRPr="004C792F">
              <w:t>1.</w:t>
            </w:r>
            <w:r w:rsidR="006102A6">
              <w:t>6</w:t>
            </w:r>
          </w:p>
        </w:tc>
      </w:tr>
      <w:tr w:rsidR="003B5EC8" w:rsidRPr="004F4142" w14:paraId="306AA9E9" w14:textId="77777777" w:rsidTr="00BC1FA7">
        <w:tc>
          <w:tcPr>
            <w:tcW w:w="1721" w:type="dxa"/>
          </w:tcPr>
          <w:p w14:paraId="4F88D605"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Q2</w:t>
            </w:r>
          </w:p>
        </w:tc>
        <w:tc>
          <w:tcPr>
            <w:tcW w:w="850" w:type="dxa"/>
          </w:tcPr>
          <w:p w14:paraId="4F874C31" w14:textId="78C447A4"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1.0</w:t>
            </w:r>
            <w:r w:rsidR="003B5EC8" w:rsidRPr="008E31E4">
              <w:rPr>
                <w:sz w:val="24"/>
                <w:lang w:val="en-GB"/>
              </w:rPr>
              <w:t xml:space="preserve">  </w:t>
            </w:r>
          </w:p>
        </w:tc>
        <w:tc>
          <w:tcPr>
            <w:tcW w:w="851" w:type="dxa"/>
          </w:tcPr>
          <w:p w14:paraId="1482CD7E" w14:textId="18F545B7"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8E31E4">
              <w:rPr>
                <w:sz w:val="24"/>
                <w:lang w:val="en-GB"/>
              </w:rPr>
              <w:t>(</w:t>
            </w:r>
            <w:r>
              <w:rPr>
                <w:sz w:val="24"/>
                <w:lang w:val="en-GB"/>
              </w:rPr>
              <w:t>-1.</w:t>
            </w:r>
            <w:r w:rsidR="00B56878">
              <w:rPr>
                <w:sz w:val="24"/>
                <w:lang w:val="en-GB"/>
              </w:rPr>
              <w:t>8</w:t>
            </w:r>
            <w:r w:rsidRPr="008E31E4">
              <w:rPr>
                <w:sz w:val="24"/>
                <w:lang w:val="en-GB"/>
              </w:rPr>
              <w:t>)</w:t>
            </w:r>
          </w:p>
        </w:tc>
        <w:tc>
          <w:tcPr>
            <w:tcW w:w="1429" w:type="dxa"/>
          </w:tcPr>
          <w:p w14:paraId="79121E81" w14:textId="13C3859D"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5.0</w:t>
            </w:r>
          </w:p>
        </w:tc>
        <w:tc>
          <w:tcPr>
            <w:tcW w:w="1433" w:type="dxa"/>
          </w:tcPr>
          <w:p w14:paraId="472942DC" w14:textId="45324976" w:rsidR="003B5EC8" w:rsidRPr="00BC1FA7" w:rsidRDefault="009221B5" w:rsidP="003B5EC8">
            <w:pPr>
              <w:keepNext/>
              <w:keepLines/>
              <w:tabs>
                <w:tab w:val="decimal" w:pos="775"/>
              </w:tabs>
              <w:spacing w:line="260" w:lineRule="exact"/>
              <w:rPr>
                <w:highlight w:val="yellow"/>
              </w:rPr>
            </w:pPr>
            <w:r>
              <w:t>-9.2</w:t>
            </w:r>
          </w:p>
        </w:tc>
        <w:tc>
          <w:tcPr>
            <w:tcW w:w="1429" w:type="dxa"/>
          </w:tcPr>
          <w:p w14:paraId="14F6BF7A" w14:textId="4EE9812C" w:rsidR="003B5EC8" w:rsidRPr="00BC1FA7" w:rsidRDefault="006102A6" w:rsidP="00AB74EF">
            <w:pPr>
              <w:keepNext/>
              <w:keepLines/>
              <w:tabs>
                <w:tab w:val="decimal" w:pos="724"/>
              </w:tabs>
              <w:spacing w:line="260" w:lineRule="exact"/>
              <w:rPr>
                <w:highlight w:val="yellow"/>
              </w:rPr>
            </w:pPr>
            <w:r>
              <w:t>4.2</w:t>
            </w:r>
          </w:p>
        </w:tc>
        <w:tc>
          <w:tcPr>
            <w:tcW w:w="1701" w:type="dxa"/>
          </w:tcPr>
          <w:p w14:paraId="591C5EB8" w14:textId="4818D6B2" w:rsidR="003B5EC8" w:rsidRPr="00BC1FA7" w:rsidRDefault="003B5EC8" w:rsidP="00AB74EF">
            <w:pPr>
              <w:keepNext/>
              <w:keepLines/>
              <w:tabs>
                <w:tab w:val="decimal" w:pos="810"/>
              </w:tabs>
              <w:spacing w:line="260" w:lineRule="exact"/>
              <w:rPr>
                <w:highlight w:val="yellow"/>
              </w:rPr>
            </w:pPr>
            <w:r w:rsidRPr="004C792F">
              <w:t>3.6</w:t>
            </w:r>
          </w:p>
        </w:tc>
      </w:tr>
      <w:tr w:rsidR="003B5EC8" w:rsidRPr="00B67ADE" w14:paraId="0A6BA08D" w14:textId="77777777" w:rsidTr="00BC1FA7">
        <w:tc>
          <w:tcPr>
            <w:tcW w:w="1721" w:type="dxa"/>
          </w:tcPr>
          <w:p w14:paraId="07052D29"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Q3</w:t>
            </w:r>
          </w:p>
        </w:tc>
        <w:tc>
          <w:tcPr>
            <w:tcW w:w="850" w:type="dxa"/>
          </w:tcPr>
          <w:p w14:paraId="6CA22561" w14:textId="159B74F0"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2.8</w:t>
            </w:r>
            <w:r w:rsidR="003B5EC8" w:rsidRPr="008E31E4">
              <w:rPr>
                <w:sz w:val="24"/>
                <w:lang w:val="en-GB"/>
              </w:rPr>
              <w:t xml:space="preserve">  </w:t>
            </w:r>
          </w:p>
        </w:tc>
        <w:tc>
          <w:tcPr>
            <w:tcW w:w="851" w:type="dxa"/>
          </w:tcPr>
          <w:p w14:paraId="2380EFE1" w14:textId="6F0D441B"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8E31E4">
              <w:rPr>
                <w:sz w:val="24"/>
                <w:lang w:val="en-GB"/>
              </w:rPr>
              <w:t>(</w:t>
            </w:r>
            <w:r>
              <w:rPr>
                <w:sz w:val="24"/>
                <w:lang w:val="en-GB"/>
              </w:rPr>
              <w:t>3.</w:t>
            </w:r>
            <w:r w:rsidR="00B56878">
              <w:rPr>
                <w:sz w:val="24"/>
                <w:lang w:val="en-GB"/>
              </w:rPr>
              <w:t>5</w:t>
            </w:r>
            <w:r w:rsidRPr="008E31E4">
              <w:rPr>
                <w:sz w:val="24"/>
                <w:lang w:val="en-GB"/>
              </w:rPr>
              <w:t>)</w:t>
            </w:r>
          </w:p>
        </w:tc>
        <w:tc>
          <w:tcPr>
            <w:tcW w:w="1429" w:type="dxa"/>
          </w:tcPr>
          <w:p w14:paraId="247F451C" w14:textId="6AFAB8D1"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5.</w:t>
            </w:r>
            <w:r w:rsidR="006102A6">
              <w:rPr>
                <w:sz w:val="24"/>
                <w:lang w:val="en-GB"/>
              </w:rPr>
              <w:t>8</w:t>
            </w:r>
          </w:p>
        </w:tc>
        <w:tc>
          <w:tcPr>
            <w:tcW w:w="1433" w:type="dxa"/>
          </w:tcPr>
          <w:p w14:paraId="418B09C1" w14:textId="67142E31" w:rsidR="003B5EC8" w:rsidRPr="00BC1FA7" w:rsidRDefault="003B5EC8" w:rsidP="003B5EC8">
            <w:pPr>
              <w:keepNext/>
              <w:keepLines/>
              <w:tabs>
                <w:tab w:val="decimal" w:pos="775"/>
              </w:tabs>
              <w:spacing w:line="260" w:lineRule="exact"/>
              <w:rPr>
                <w:highlight w:val="yellow"/>
              </w:rPr>
            </w:pPr>
            <w:r w:rsidRPr="004C792F">
              <w:t>-3.</w:t>
            </w:r>
            <w:r w:rsidR="009221B5">
              <w:t>4</w:t>
            </w:r>
          </w:p>
        </w:tc>
        <w:tc>
          <w:tcPr>
            <w:tcW w:w="1429" w:type="dxa"/>
          </w:tcPr>
          <w:p w14:paraId="0E020F00" w14:textId="2F911141" w:rsidR="003B5EC8" w:rsidRPr="00BC1FA7" w:rsidRDefault="006102A6" w:rsidP="00AB74EF">
            <w:pPr>
              <w:keepNext/>
              <w:keepLines/>
              <w:tabs>
                <w:tab w:val="decimal" w:pos="724"/>
              </w:tabs>
              <w:spacing w:line="260" w:lineRule="exact"/>
              <w:rPr>
                <w:highlight w:val="yellow"/>
              </w:rPr>
            </w:pPr>
            <w:r>
              <w:t>4.6</w:t>
            </w:r>
          </w:p>
        </w:tc>
        <w:tc>
          <w:tcPr>
            <w:tcW w:w="1701" w:type="dxa"/>
          </w:tcPr>
          <w:p w14:paraId="00063D55" w14:textId="53307C40" w:rsidR="003B5EC8" w:rsidRPr="00BC1FA7" w:rsidRDefault="003B5EC8" w:rsidP="00AB74EF">
            <w:pPr>
              <w:keepNext/>
              <w:keepLines/>
              <w:tabs>
                <w:tab w:val="decimal" w:pos="810"/>
              </w:tabs>
              <w:spacing w:line="260" w:lineRule="exact"/>
              <w:rPr>
                <w:highlight w:val="yellow"/>
              </w:rPr>
            </w:pPr>
            <w:r w:rsidRPr="004C792F">
              <w:t>4.4</w:t>
            </w:r>
          </w:p>
        </w:tc>
      </w:tr>
      <w:tr w:rsidR="003B5EC8" w:rsidRPr="00B67ADE" w14:paraId="3DF4B64E" w14:textId="77777777" w:rsidTr="00BC1FA7">
        <w:tc>
          <w:tcPr>
            <w:tcW w:w="1721" w:type="dxa"/>
          </w:tcPr>
          <w:p w14:paraId="5DFAFD51"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w:t>
            </w:r>
            <w:r w:rsidRPr="004B6709">
              <w:t>4</w:t>
            </w:r>
          </w:p>
        </w:tc>
        <w:tc>
          <w:tcPr>
            <w:tcW w:w="850" w:type="dxa"/>
          </w:tcPr>
          <w:p w14:paraId="00D4E77D" w14:textId="2B0767FF"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6.5</w:t>
            </w:r>
          </w:p>
        </w:tc>
        <w:tc>
          <w:tcPr>
            <w:tcW w:w="851" w:type="dxa"/>
          </w:tcPr>
          <w:p w14:paraId="02C14642" w14:textId="6B4FB0AB"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r>
              <w:rPr>
                <w:sz w:val="24"/>
                <w:lang w:val="en-GB"/>
              </w:rPr>
              <w:t>(</w:t>
            </w:r>
            <w:r w:rsidR="00B56878">
              <w:rPr>
                <w:sz w:val="24"/>
                <w:lang w:val="en-GB"/>
              </w:rPr>
              <w:t>4</w:t>
            </w:r>
            <w:r>
              <w:rPr>
                <w:sz w:val="24"/>
                <w:lang w:val="en-GB"/>
              </w:rPr>
              <w:t>.7)</w:t>
            </w:r>
          </w:p>
        </w:tc>
        <w:tc>
          <w:tcPr>
            <w:tcW w:w="1429" w:type="dxa"/>
          </w:tcPr>
          <w:p w14:paraId="4BB10D05" w14:textId="6B3989F4"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7.3</w:t>
            </w:r>
          </w:p>
        </w:tc>
        <w:tc>
          <w:tcPr>
            <w:tcW w:w="1433" w:type="dxa"/>
          </w:tcPr>
          <w:p w14:paraId="624D633F" w14:textId="2BDADED4" w:rsidR="003B5EC8" w:rsidRPr="00BC1FA7" w:rsidRDefault="003B5EC8" w:rsidP="003B5EC8">
            <w:pPr>
              <w:keepNext/>
              <w:keepLines/>
              <w:tabs>
                <w:tab w:val="decimal" w:pos="775"/>
              </w:tabs>
              <w:spacing w:line="260" w:lineRule="exact"/>
              <w:rPr>
                <w:highlight w:val="yellow"/>
              </w:rPr>
            </w:pPr>
            <w:r w:rsidRPr="004C792F">
              <w:t>5.</w:t>
            </w:r>
            <w:r w:rsidR="009221B5">
              <w:t>9</w:t>
            </w:r>
          </w:p>
        </w:tc>
        <w:tc>
          <w:tcPr>
            <w:tcW w:w="1429" w:type="dxa"/>
          </w:tcPr>
          <w:p w14:paraId="4DE56517" w14:textId="196E3CF8" w:rsidR="003B5EC8" w:rsidRPr="00BC1FA7" w:rsidRDefault="006102A6" w:rsidP="00AB74EF">
            <w:pPr>
              <w:keepNext/>
              <w:keepLines/>
              <w:tabs>
                <w:tab w:val="decimal" w:pos="724"/>
              </w:tabs>
              <w:spacing w:line="260" w:lineRule="exact"/>
              <w:rPr>
                <w:highlight w:val="yellow"/>
              </w:rPr>
            </w:pPr>
            <w:r>
              <w:t>7.7</w:t>
            </w:r>
          </w:p>
        </w:tc>
        <w:tc>
          <w:tcPr>
            <w:tcW w:w="1701" w:type="dxa"/>
          </w:tcPr>
          <w:p w14:paraId="74641133" w14:textId="39A40B7B" w:rsidR="003B5EC8" w:rsidRPr="00BC1FA7" w:rsidRDefault="003B5EC8" w:rsidP="00AB74EF">
            <w:pPr>
              <w:keepNext/>
              <w:keepLines/>
              <w:tabs>
                <w:tab w:val="decimal" w:pos="810"/>
              </w:tabs>
              <w:spacing w:line="260" w:lineRule="exact"/>
              <w:rPr>
                <w:highlight w:val="yellow"/>
              </w:rPr>
            </w:pPr>
            <w:r w:rsidRPr="004C792F">
              <w:t>3.4</w:t>
            </w:r>
          </w:p>
        </w:tc>
      </w:tr>
      <w:tr w:rsidR="003B5EC8" w:rsidRPr="00B67ADE" w14:paraId="7B3A9605" w14:textId="77777777" w:rsidTr="00BC1FA7">
        <w:tc>
          <w:tcPr>
            <w:tcW w:w="1721" w:type="dxa"/>
          </w:tcPr>
          <w:p w14:paraId="7002B403" w14:textId="77777777" w:rsidR="003B5EC8" w:rsidRPr="004B6709" w:rsidRDefault="003B5EC8" w:rsidP="003B5EC8">
            <w:pPr>
              <w:keepNext/>
              <w:keepLines/>
              <w:tabs>
                <w:tab w:val="left" w:pos="855"/>
              </w:tabs>
              <w:spacing w:line="260" w:lineRule="exact"/>
              <w:jc w:val="both"/>
            </w:pPr>
          </w:p>
        </w:tc>
        <w:tc>
          <w:tcPr>
            <w:tcW w:w="850" w:type="dxa"/>
          </w:tcPr>
          <w:p w14:paraId="32C0C396" w14:textId="77777777" w:rsidR="003B5EC8" w:rsidRPr="00BC1FA7" w:rsidRDefault="003B5EC8"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p>
        </w:tc>
        <w:tc>
          <w:tcPr>
            <w:tcW w:w="851" w:type="dxa"/>
          </w:tcPr>
          <w:p w14:paraId="281C2BEF" w14:textId="77777777" w:rsidR="003B5EC8" w:rsidRPr="00BC1FA7"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p>
        </w:tc>
        <w:tc>
          <w:tcPr>
            <w:tcW w:w="1429" w:type="dxa"/>
          </w:tcPr>
          <w:p w14:paraId="5BCE2C84" w14:textId="77777777"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33" w:type="dxa"/>
          </w:tcPr>
          <w:p w14:paraId="0F8EA2BE" w14:textId="77777777" w:rsidR="003B5EC8" w:rsidRPr="00BC1FA7" w:rsidRDefault="003B5EC8" w:rsidP="003B5EC8">
            <w:pPr>
              <w:keepNext/>
              <w:keepLines/>
              <w:tabs>
                <w:tab w:val="decimal" w:pos="775"/>
              </w:tabs>
              <w:spacing w:line="260" w:lineRule="exact"/>
              <w:rPr>
                <w:highlight w:val="yellow"/>
              </w:rPr>
            </w:pPr>
          </w:p>
        </w:tc>
        <w:tc>
          <w:tcPr>
            <w:tcW w:w="1429" w:type="dxa"/>
          </w:tcPr>
          <w:p w14:paraId="6E05FDE1" w14:textId="77777777" w:rsidR="003B5EC8" w:rsidRPr="00BC1FA7" w:rsidRDefault="003B5EC8" w:rsidP="00AB74EF">
            <w:pPr>
              <w:keepNext/>
              <w:keepLines/>
              <w:tabs>
                <w:tab w:val="decimal" w:pos="724"/>
              </w:tabs>
              <w:spacing w:line="260" w:lineRule="exact"/>
              <w:rPr>
                <w:highlight w:val="yellow"/>
              </w:rPr>
            </w:pPr>
          </w:p>
        </w:tc>
        <w:tc>
          <w:tcPr>
            <w:tcW w:w="1701" w:type="dxa"/>
          </w:tcPr>
          <w:p w14:paraId="76E99D0B" w14:textId="77777777" w:rsidR="003B5EC8" w:rsidRPr="00BC1FA7" w:rsidRDefault="003B5EC8" w:rsidP="00AB74EF">
            <w:pPr>
              <w:keepNext/>
              <w:keepLines/>
              <w:tabs>
                <w:tab w:val="decimal" w:pos="810"/>
              </w:tabs>
              <w:spacing w:line="260" w:lineRule="exact"/>
              <w:rPr>
                <w:highlight w:val="yellow"/>
              </w:rPr>
            </w:pPr>
          </w:p>
        </w:tc>
      </w:tr>
      <w:tr w:rsidR="003B5EC8" w:rsidRPr="00B67ADE" w14:paraId="57041CB5" w14:textId="77777777" w:rsidTr="00BC1FA7">
        <w:tc>
          <w:tcPr>
            <w:tcW w:w="1721" w:type="dxa"/>
          </w:tcPr>
          <w:p w14:paraId="119A34BB" w14:textId="104185F3" w:rsidR="003B5EC8" w:rsidRPr="004B6709" w:rsidRDefault="003B5EC8" w:rsidP="003B5EC8">
            <w:pPr>
              <w:keepNext/>
              <w:keepLines/>
              <w:tabs>
                <w:tab w:val="left" w:pos="855"/>
              </w:tabs>
              <w:spacing w:line="260" w:lineRule="exact"/>
              <w:jc w:val="both"/>
            </w:pPr>
            <w:r w:rsidRPr="004B6709">
              <w:t>202</w:t>
            </w:r>
            <w:r w:rsidR="00315E9C">
              <w:t>5</w:t>
            </w:r>
            <w:r w:rsidRPr="004B6709">
              <w:tab/>
            </w:r>
            <w:r>
              <w:t>Q1</w:t>
            </w:r>
          </w:p>
        </w:tc>
        <w:tc>
          <w:tcPr>
            <w:tcW w:w="850" w:type="dxa"/>
          </w:tcPr>
          <w:p w14:paraId="63E5A799" w14:textId="68B3A86B" w:rsidR="003B5EC8" w:rsidRPr="0083617F" w:rsidRDefault="006102A6">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6</w:t>
            </w:r>
            <w:r w:rsidR="00EA0F09">
              <w:rPr>
                <w:sz w:val="24"/>
                <w:lang w:val="en-GB"/>
              </w:rPr>
              <w:t>.6</w:t>
            </w:r>
            <w:r w:rsidR="003B5EC8" w:rsidRPr="0083617F">
              <w:rPr>
                <w:sz w:val="8"/>
                <w:szCs w:val="8"/>
                <w:lang w:val="en-GB"/>
              </w:rPr>
              <w:t xml:space="preserve">  </w:t>
            </w:r>
          </w:p>
        </w:tc>
        <w:tc>
          <w:tcPr>
            <w:tcW w:w="851" w:type="dxa"/>
          </w:tcPr>
          <w:p w14:paraId="7C5B853A" w14:textId="0893CB31" w:rsidR="003B5EC8" w:rsidRPr="0083617F"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w:t>
            </w:r>
            <w:r w:rsidR="00B56878">
              <w:rPr>
                <w:sz w:val="24"/>
                <w:lang w:val="en-GB"/>
              </w:rPr>
              <w:t>*</w:t>
            </w:r>
            <w:r w:rsidRPr="0083617F">
              <w:rPr>
                <w:sz w:val="24"/>
                <w:lang w:val="en-GB"/>
              </w:rPr>
              <w:t>)</w:t>
            </w:r>
          </w:p>
        </w:tc>
        <w:tc>
          <w:tcPr>
            <w:tcW w:w="1429" w:type="dxa"/>
          </w:tcPr>
          <w:p w14:paraId="5E12EA72" w14:textId="49555FBA" w:rsidR="003B5EC8" w:rsidRPr="0083617F"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5.</w:t>
            </w:r>
            <w:r w:rsidR="000730AE">
              <w:rPr>
                <w:sz w:val="24"/>
                <w:lang w:val="en-GB"/>
              </w:rPr>
              <w:t>7</w:t>
            </w:r>
          </w:p>
        </w:tc>
        <w:tc>
          <w:tcPr>
            <w:tcW w:w="1433" w:type="dxa"/>
          </w:tcPr>
          <w:p w14:paraId="16B8F24E" w14:textId="109962EE" w:rsidR="003B5EC8" w:rsidRPr="0083617F" w:rsidRDefault="006102A6" w:rsidP="003B5EC8">
            <w:pPr>
              <w:keepNext/>
              <w:keepLines/>
              <w:tabs>
                <w:tab w:val="decimal" w:pos="775"/>
              </w:tabs>
              <w:spacing w:line="260" w:lineRule="exact"/>
            </w:pPr>
            <w:r>
              <w:t>5.</w:t>
            </w:r>
            <w:r w:rsidR="000730AE">
              <w:t>3</w:t>
            </w:r>
          </w:p>
        </w:tc>
        <w:tc>
          <w:tcPr>
            <w:tcW w:w="1429" w:type="dxa"/>
          </w:tcPr>
          <w:p w14:paraId="50345A79" w14:textId="79D7254A" w:rsidR="003B5EC8" w:rsidRPr="0083617F" w:rsidRDefault="006102A6" w:rsidP="00AB74EF">
            <w:pPr>
              <w:keepNext/>
              <w:keepLines/>
              <w:tabs>
                <w:tab w:val="decimal" w:pos="724"/>
              </w:tabs>
              <w:spacing w:line="260" w:lineRule="exact"/>
            </w:pPr>
            <w:r>
              <w:t>10.</w:t>
            </w:r>
            <w:r w:rsidR="000730AE">
              <w:t>8</w:t>
            </w:r>
          </w:p>
        </w:tc>
        <w:tc>
          <w:tcPr>
            <w:tcW w:w="1701" w:type="dxa"/>
          </w:tcPr>
          <w:p w14:paraId="037FC062" w14:textId="5AE03E9B" w:rsidR="003B5EC8" w:rsidRPr="0083617F" w:rsidRDefault="006102A6" w:rsidP="00AB74EF">
            <w:pPr>
              <w:keepNext/>
              <w:keepLines/>
              <w:tabs>
                <w:tab w:val="decimal" w:pos="810"/>
              </w:tabs>
              <w:spacing w:line="260" w:lineRule="exact"/>
            </w:pPr>
            <w:r>
              <w:t>3</w:t>
            </w:r>
            <w:r w:rsidR="003B5EC8">
              <w:t>.</w:t>
            </w:r>
            <w:r w:rsidR="000730AE">
              <w:t>8</w:t>
            </w:r>
          </w:p>
        </w:tc>
      </w:tr>
    </w:tbl>
    <w:p w14:paraId="53CE32EE" w14:textId="77777777" w:rsidR="00D35E94" w:rsidRDefault="00D35E94" w:rsidP="00D35E94">
      <w:pPr>
        <w:keepNext/>
        <w:keepLines/>
        <w:tabs>
          <w:tab w:val="left" w:pos="864"/>
          <w:tab w:val="left" w:pos="1330"/>
        </w:tabs>
        <w:spacing w:line="250" w:lineRule="exact"/>
        <w:ind w:left="851" w:hanging="851"/>
        <w:contextualSpacing/>
        <w:jc w:val="both"/>
        <w:rPr>
          <w:sz w:val="22"/>
          <w:szCs w:val="22"/>
        </w:rPr>
      </w:pPr>
    </w:p>
    <w:p w14:paraId="2884B2DF" w14:textId="05BD6F86" w:rsidR="00D35E94" w:rsidRPr="00B67ADE" w:rsidRDefault="004124C1" w:rsidP="004124C1">
      <w:pPr>
        <w:keepNext/>
        <w:keepLines/>
        <w:tabs>
          <w:tab w:val="left" w:pos="864"/>
          <w:tab w:val="left" w:pos="1330"/>
        </w:tabs>
        <w:spacing w:afterLines="50" w:after="180" w:line="250" w:lineRule="exact"/>
        <w:ind w:left="851" w:hanging="851"/>
        <w:jc w:val="both"/>
        <w:rPr>
          <w:sz w:val="22"/>
          <w:szCs w:val="22"/>
        </w:rPr>
      </w:pPr>
      <w:proofErr w:type="gramStart"/>
      <w:r>
        <w:rPr>
          <w:sz w:val="22"/>
          <w:szCs w:val="22"/>
        </w:rPr>
        <w:t>Notes :</w:t>
      </w:r>
      <w:proofErr w:type="gramEnd"/>
      <w:r w:rsidR="00D35E94" w:rsidRPr="00B67ADE">
        <w:rPr>
          <w:sz w:val="22"/>
          <w:szCs w:val="22"/>
        </w:rPr>
        <w:tab/>
      </w:r>
      <w:r w:rsidR="00D35E94" w:rsidRPr="00B67ADE">
        <w:rPr>
          <w:rFonts w:eastAsiaTheme="minorEastAsia"/>
          <w:sz w:val="22"/>
          <w:szCs w:val="22"/>
        </w:rPr>
        <w:t xml:space="preserve">Figures are compiled based on the change of ownership principle in recording goods sent abroad for processing and </w:t>
      </w:r>
      <w:proofErr w:type="spellStart"/>
      <w:r w:rsidR="00D35E94" w:rsidRPr="00B67ADE">
        <w:rPr>
          <w:rFonts w:eastAsiaTheme="minorEastAsia"/>
          <w:sz w:val="22"/>
          <w:szCs w:val="22"/>
        </w:rPr>
        <w:t>merchanting</w:t>
      </w:r>
      <w:proofErr w:type="spellEnd"/>
      <w:r w:rsidR="00D35E94" w:rsidRPr="00B67ADE">
        <w:rPr>
          <w:rFonts w:eastAsiaTheme="minorEastAsia"/>
          <w:sz w:val="22"/>
          <w:szCs w:val="22"/>
        </w:rPr>
        <w:t xml:space="preserve"> under the standards stipulated in the </w:t>
      </w:r>
      <w:r w:rsidR="00D35E94" w:rsidRPr="00B67ADE">
        <w:rPr>
          <w:rFonts w:eastAsiaTheme="minorEastAsia"/>
          <w:i/>
          <w:sz w:val="22"/>
          <w:szCs w:val="22"/>
        </w:rPr>
        <w:t>System of National Accounts 2008.</w:t>
      </w:r>
    </w:p>
    <w:p w14:paraId="05CEE9C2" w14:textId="29B269AE" w:rsidR="00D35E94" w:rsidRPr="00B67ADE" w:rsidRDefault="00F1136A" w:rsidP="00671A1E">
      <w:pPr>
        <w:keepNext/>
        <w:keepLines/>
        <w:tabs>
          <w:tab w:val="left" w:pos="864"/>
          <w:tab w:val="left" w:pos="1440"/>
        </w:tabs>
        <w:spacing w:afterLines="50" w:after="180" w:line="250" w:lineRule="exact"/>
        <w:ind w:left="1503" w:hanging="1503"/>
        <w:jc w:val="both"/>
        <w:rPr>
          <w:sz w:val="22"/>
          <w:szCs w:val="22"/>
        </w:rPr>
      </w:pPr>
      <w:r>
        <w:rPr>
          <w:sz w:val="22"/>
          <w:szCs w:val="22"/>
        </w:rPr>
        <w:tab/>
        <w:t>(a)</w:t>
      </w:r>
      <w:r w:rsidR="00D35E94" w:rsidRPr="00B67ADE">
        <w:rPr>
          <w:sz w:val="22"/>
          <w:szCs w:val="22"/>
        </w:rPr>
        <w:tab/>
        <w:t>Comprising mainly inbound tourism receipts.</w:t>
      </w:r>
    </w:p>
    <w:p w14:paraId="6DEA7BA9" w14:textId="3B519035" w:rsidR="00D35E94" w:rsidRDefault="00D35E94" w:rsidP="00D35E94">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t>(</w:t>
      </w:r>
      <w:r>
        <w:rPr>
          <w:sz w:val="22"/>
          <w:szCs w:val="22"/>
        </w:rPr>
        <w:t>  </w:t>
      </w:r>
      <w:r w:rsidRPr="00B67ADE">
        <w:rPr>
          <w:sz w:val="22"/>
          <w:szCs w:val="22"/>
        </w:rPr>
        <w:t>)</w:t>
      </w:r>
      <w:r w:rsidRPr="00B67ADE">
        <w:rPr>
          <w:sz w:val="22"/>
          <w:szCs w:val="22"/>
        </w:rPr>
        <w:tab/>
        <w:t>Seasonally adjusted quarter-to-quarter rate of change.</w:t>
      </w:r>
    </w:p>
    <w:p w14:paraId="5904B808" w14:textId="77777777" w:rsidR="00B56878" w:rsidRPr="00BE40F4" w:rsidRDefault="00B56878" w:rsidP="00B56878">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Change of less than ±0.05%.</w:t>
      </w:r>
    </w:p>
    <w:p w14:paraId="196F2FED" w14:textId="77777777" w:rsidR="00D35E94" w:rsidRPr="00D35E94" w:rsidRDefault="00D35E94" w:rsidP="00D35E94">
      <w:pPr>
        <w:keepNext/>
        <w:keepLines/>
        <w:tabs>
          <w:tab w:val="left" w:pos="1080"/>
        </w:tabs>
        <w:spacing w:line="360" w:lineRule="atLeast"/>
        <w:rPr>
          <w:kern w:val="0"/>
          <w:sz w:val="28"/>
          <w:szCs w:val="22"/>
        </w:rPr>
      </w:pPr>
    </w:p>
    <w:p w14:paraId="2E3966C8" w14:textId="77777777" w:rsidR="00E62BAA" w:rsidRDefault="00E62BAA">
      <w:pPr>
        <w:widowControl/>
        <w:rPr>
          <w:b/>
          <w:i/>
          <w:sz w:val="28"/>
        </w:rPr>
      </w:pPr>
      <w:r>
        <w:rPr>
          <w:b/>
          <w:i/>
          <w:sz w:val="28"/>
        </w:rPr>
        <w:br w:type="page"/>
      </w:r>
    </w:p>
    <w:p w14:paraId="2FE00ECB" w14:textId="31C22C85"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2C536CFC" w:rsidR="00E25272" w:rsidRPr="009B0E13" w:rsidRDefault="00FC315D" w:rsidP="0059659B">
      <w:pPr>
        <w:pStyle w:val="BodyText"/>
        <w:numPr>
          <w:ilvl w:val="0"/>
          <w:numId w:val="6"/>
        </w:numPr>
        <w:tabs>
          <w:tab w:val="clear" w:pos="1080"/>
        </w:tabs>
        <w:spacing w:line="240" w:lineRule="auto"/>
        <w:ind w:right="28"/>
        <w:rPr>
          <w:i/>
          <w:lang w:val="en-GB"/>
        </w:rPr>
      </w:pPr>
      <w:r w:rsidRPr="009B0E13">
        <w:rPr>
          <w:i/>
          <w:lang w:val="en-GB"/>
        </w:rPr>
        <w:t>Imports of services</w:t>
      </w:r>
      <w:r w:rsidRPr="009B0E13">
        <w:rPr>
          <w:lang w:val="en-GB"/>
        </w:rPr>
        <w:t xml:space="preserve"> </w:t>
      </w:r>
      <w:r w:rsidR="00EB61D7">
        <w:rPr>
          <w:lang w:val="en-GB"/>
        </w:rPr>
        <w:t xml:space="preserve">rose </w:t>
      </w:r>
      <w:r w:rsidR="00C46552" w:rsidRPr="009B0E13">
        <w:rPr>
          <w:lang w:val="en-GB"/>
        </w:rPr>
        <w:t>by</w:t>
      </w:r>
      <w:r w:rsidRPr="009B0E13">
        <w:rPr>
          <w:lang w:val="en-GB"/>
        </w:rPr>
        <w:t xml:space="preserve"> </w:t>
      </w:r>
      <w:r w:rsidR="007F6EEF">
        <w:rPr>
          <w:lang w:val="en-GB"/>
        </w:rPr>
        <w:t>5.5</w:t>
      </w:r>
      <w:r w:rsidR="00315E9C" w:rsidRPr="009B0E13">
        <w:rPr>
          <w:lang w:val="en-GB"/>
        </w:rPr>
        <w:t>% year-on-year</w:t>
      </w:r>
      <w:r w:rsidRPr="009B0E13">
        <w:rPr>
          <w:lang w:val="en-GB"/>
        </w:rPr>
        <w:t xml:space="preserve"> in real terms in </w:t>
      </w:r>
      <w:r w:rsidR="00DE3939" w:rsidRPr="009B0E13">
        <w:rPr>
          <w:lang w:val="en-GB"/>
        </w:rPr>
        <w:t xml:space="preserve">the </w:t>
      </w:r>
      <w:r w:rsidR="00315E9C" w:rsidRPr="009B0E13">
        <w:rPr>
          <w:lang w:val="en-GB"/>
        </w:rPr>
        <w:t>first quarter of 2025</w:t>
      </w:r>
      <w:r w:rsidRPr="009B0E13">
        <w:rPr>
          <w:lang w:val="en-GB"/>
        </w:rPr>
        <w:t xml:space="preserve">, </w:t>
      </w:r>
      <w:r w:rsidR="008E5101" w:rsidRPr="009B0E13">
        <w:rPr>
          <w:lang w:val="en-GB"/>
        </w:rPr>
        <w:t xml:space="preserve">further to </w:t>
      </w:r>
      <w:r w:rsidR="009D4106">
        <w:rPr>
          <w:lang w:val="en-GB"/>
        </w:rPr>
        <w:t>8.</w:t>
      </w:r>
      <w:r w:rsidR="0071740C">
        <w:rPr>
          <w:lang w:val="en-GB"/>
        </w:rPr>
        <w:t>3</w:t>
      </w:r>
      <w:r w:rsidRPr="009B0E13">
        <w:rPr>
          <w:lang w:val="en-GB" w:eastAsia="zh-HK"/>
        </w:rPr>
        <w:t>%</w:t>
      </w:r>
      <w:r w:rsidR="008E5101" w:rsidRPr="009B0E13">
        <w:rPr>
          <w:lang w:val="en-GB" w:eastAsia="zh-HK"/>
        </w:rPr>
        <w:t xml:space="preserve"> growth</w:t>
      </w:r>
      <w:r w:rsidRPr="009B0E13">
        <w:rPr>
          <w:lang w:val="en-GB"/>
        </w:rPr>
        <w:t xml:space="preserve"> in </w:t>
      </w:r>
      <w:r w:rsidR="00AE4EA5" w:rsidRPr="009B0E13">
        <w:rPr>
          <w:lang w:val="en-GB"/>
        </w:rPr>
        <w:t>the preceding quarter</w:t>
      </w:r>
      <w:r w:rsidR="00640616" w:rsidRPr="009B0E13">
        <w:rPr>
          <w:lang w:val="en-GB"/>
        </w:rPr>
        <w:t xml:space="preserve">.  </w:t>
      </w:r>
      <w:r w:rsidR="00FC3A4D" w:rsidRPr="009B0E13">
        <w:rPr>
          <w:lang w:val="en-GB"/>
        </w:rPr>
        <w:t xml:space="preserve">Imports of </w:t>
      </w:r>
      <w:r w:rsidR="009D4106">
        <w:rPr>
          <w:lang w:val="en-GB"/>
        </w:rPr>
        <w:t xml:space="preserve">travel services, </w:t>
      </w:r>
      <w:r w:rsidR="00EB61FC" w:rsidRPr="009B0E13">
        <w:rPr>
          <w:lang w:val="en-GB"/>
        </w:rPr>
        <w:t xml:space="preserve">transport services, </w:t>
      </w:r>
      <w:r w:rsidR="00126539" w:rsidRPr="009B0E13">
        <w:rPr>
          <w:lang w:val="en-GB"/>
        </w:rPr>
        <w:t>manufacturing services</w:t>
      </w:r>
      <w:r w:rsidR="00F704A5" w:rsidRPr="009B0E13">
        <w:rPr>
          <w:lang w:val="en-GB"/>
        </w:rPr>
        <w:t>,</w:t>
      </w:r>
      <w:r w:rsidR="00126539" w:rsidRPr="009B0E13">
        <w:rPr>
          <w:lang w:val="en-GB"/>
        </w:rPr>
        <w:t xml:space="preserve"> and </w:t>
      </w:r>
      <w:r w:rsidR="00FC3A4D" w:rsidRPr="009B0E13">
        <w:rPr>
          <w:lang w:val="en-GB"/>
        </w:rPr>
        <w:t xml:space="preserve">business and other services </w:t>
      </w:r>
      <w:r w:rsidR="009D4106">
        <w:rPr>
          <w:lang w:val="en-GB"/>
        </w:rPr>
        <w:t>all</w:t>
      </w:r>
      <w:r w:rsidR="00263835" w:rsidRPr="009B0E13">
        <w:rPr>
          <w:lang w:val="en-GB"/>
        </w:rPr>
        <w:t xml:space="preserve"> </w:t>
      </w:r>
      <w:r w:rsidR="00EB61D7">
        <w:rPr>
          <w:lang w:val="en-GB"/>
        </w:rPr>
        <w:t xml:space="preserve">rose </w:t>
      </w:r>
      <w:r w:rsidR="001E0504" w:rsidRPr="009B0E13">
        <w:rPr>
          <w:lang w:val="en-GB"/>
        </w:rPr>
        <w:t>by</w:t>
      </w:r>
      <w:r w:rsidR="00FE3867" w:rsidRPr="009B0E13">
        <w:rPr>
          <w:lang w:val="en-GB"/>
        </w:rPr>
        <w:t xml:space="preserve"> </w:t>
      </w:r>
      <w:r w:rsidR="001E0504" w:rsidRPr="009B0E13">
        <w:rPr>
          <w:lang w:val="en-GB"/>
        </w:rPr>
        <w:t>varying degrees</w:t>
      </w:r>
      <w:r w:rsidR="00FC3A4D" w:rsidRPr="009B0E13">
        <w:rPr>
          <w:lang w:val="en-GB"/>
        </w:rPr>
        <w:t>.</w:t>
      </w:r>
    </w:p>
    <w:p w14:paraId="7CF4F70E" w14:textId="3BFB437C" w:rsidR="00F96C56" w:rsidRPr="00E60475" w:rsidRDefault="00F96C56" w:rsidP="004A7424">
      <w:pPr>
        <w:pStyle w:val="BodyText"/>
        <w:tabs>
          <w:tab w:val="clear" w:pos="1080"/>
        </w:tabs>
        <w:spacing w:line="240" w:lineRule="auto"/>
        <w:ind w:right="28"/>
        <w:rPr>
          <w:b/>
          <w:highlight w:val="green"/>
        </w:rPr>
      </w:pPr>
    </w:p>
    <w:p w14:paraId="0577E980" w14:textId="7F2D0338" w:rsidR="000522D2" w:rsidRDefault="007F6EEF" w:rsidP="004A7424">
      <w:pPr>
        <w:pStyle w:val="BodyText"/>
        <w:tabs>
          <w:tab w:val="clear" w:pos="1080"/>
        </w:tabs>
        <w:spacing w:line="240" w:lineRule="auto"/>
        <w:ind w:right="28"/>
        <w:rPr>
          <w:b/>
        </w:rPr>
      </w:pPr>
      <w:r w:rsidRPr="007F6EEF">
        <w:rPr>
          <w:noProof/>
          <w:lang w:val="en-GB" w:eastAsia="zh-CN"/>
        </w:rPr>
        <w:drawing>
          <wp:inline distT="0" distB="0" distL="0" distR="0" wp14:anchorId="3BB293A3" wp14:editId="7CE18462">
            <wp:extent cx="5731510" cy="3505051"/>
            <wp:effectExtent l="0" t="0" r="254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31510" cy="3505051"/>
                    </a:xfrm>
                    <a:prstGeom prst="rect">
                      <a:avLst/>
                    </a:prstGeom>
                    <a:noFill/>
                    <a:ln>
                      <a:noFill/>
                    </a:ln>
                  </pic:spPr>
                </pic:pic>
              </a:graphicData>
            </a:graphic>
          </wp:inline>
        </w:drawing>
      </w:r>
    </w:p>
    <w:p w14:paraId="031CAA72" w14:textId="7EF0A999" w:rsidR="004A7424" w:rsidRPr="000704EC" w:rsidRDefault="004A7424" w:rsidP="004A7424">
      <w:pPr>
        <w:pStyle w:val="BodyText"/>
        <w:tabs>
          <w:tab w:val="clear" w:pos="1080"/>
        </w:tabs>
        <w:spacing w:line="240" w:lineRule="auto"/>
        <w:ind w:right="28"/>
        <w:rPr>
          <w:b/>
        </w:rPr>
      </w:pPr>
    </w:p>
    <w:p w14:paraId="090A634B" w14:textId="09FE3BCF" w:rsidR="00B34A74" w:rsidRPr="00B67ADE" w:rsidRDefault="00B34A74">
      <w:pPr>
        <w:widowControl/>
        <w:rPr>
          <w:b/>
          <w:kern w:val="0"/>
          <w:sz w:val="28"/>
          <w:szCs w:val="20"/>
        </w:rPr>
      </w:pPr>
    </w:p>
    <w:p w14:paraId="73DA4412" w14:textId="65895CCB" w:rsidR="00583D34" w:rsidRDefault="00583D34">
      <w:pPr>
        <w:widowControl/>
        <w:rPr>
          <w:b/>
          <w:sz w:val="28"/>
        </w:rPr>
      </w:pPr>
      <w:r>
        <w:rPr>
          <w:b/>
          <w:sz w:val="28"/>
        </w:rPr>
        <w:br w:type="page"/>
      </w:r>
    </w:p>
    <w:p w14:paraId="0DB56C7B" w14:textId="36696A4B" w:rsidR="0058292C" w:rsidRPr="00755857" w:rsidRDefault="0058292C" w:rsidP="0058292C">
      <w:pPr>
        <w:pStyle w:val="NormalIndent"/>
        <w:snapToGrid w:val="0"/>
        <w:ind w:left="0"/>
        <w:jc w:val="center"/>
        <w:rPr>
          <w:lang w:val="en-GB"/>
        </w:rPr>
      </w:pPr>
      <w:r w:rsidRPr="00755857">
        <w:rPr>
          <w:b/>
          <w:kern w:val="2"/>
          <w:sz w:val="28"/>
          <w:szCs w:val="24"/>
          <w:lang w:val="en-GB"/>
        </w:rPr>
        <w:lastRenderedPageBreak/>
        <w:t xml:space="preserve">Table </w:t>
      </w:r>
      <w:proofErr w:type="gramStart"/>
      <w:r w:rsidR="00B42004" w:rsidRPr="00755857">
        <w:rPr>
          <w:b/>
          <w:kern w:val="2"/>
          <w:sz w:val="28"/>
          <w:szCs w:val="24"/>
          <w:lang w:val="en-GB"/>
        </w:rPr>
        <w:t>2</w:t>
      </w:r>
      <w:r w:rsidRPr="00755857">
        <w:rPr>
          <w:b/>
          <w:kern w:val="2"/>
          <w:sz w:val="28"/>
          <w:szCs w:val="24"/>
          <w:lang w:val="en-GB"/>
        </w:rPr>
        <w:t>.5 :</w:t>
      </w:r>
      <w:proofErr w:type="gramEnd"/>
      <w:r w:rsidRPr="00755857">
        <w:rPr>
          <w:b/>
          <w:kern w:val="2"/>
          <w:sz w:val="28"/>
          <w:szCs w:val="24"/>
          <w:lang w:val="en-GB"/>
        </w:rPr>
        <w:t xml:space="preserve">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755857">
        <w:rPr>
          <w:b/>
          <w:sz w:val="28"/>
        </w:rPr>
        <w:t>(</w:t>
      </w:r>
      <w:proofErr w:type="gramStart"/>
      <w:r w:rsidRPr="00755857">
        <w:rPr>
          <w:b/>
          <w:sz w:val="28"/>
        </w:rPr>
        <w:t>year-on-year</w:t>
      </w:r>
      <w:proofErr w:type="gramEnd"/>
      <w:r w:rsidRPr="00755857">
        <w:rPr>
          <w:b/>
          <w:sz w:val="28"/>
        </w:rPr>
        <w:t xml:space="preserve"> rate of change in real terms (%))</w:t>
      </w:r>
    </w:p>
    <w:p w14:paraId="119C3065" w14:textId="710ABF7A" w:rsidR="009971C0" w:rsidRPr="004124C1" w:rsidRDefault="009971C0" w:rsidP="009971C0">
      <w:pPr>
        <w:tabs>
          <w:tab w:val="left" w:pos="1100"/>
        </w:tabs>
        <w:spacing w:line="360" w:lineRule="atLeast"/>
        <w:jc w:val="both"/>
        <w:rPr>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67ADE" w14:paraId="4289854F" w14:textId="77777777" w:rsidTr="00D5719E">
        <w:tc>
          <w:tcPr>
            <w:tcW w:w="1728" w:type="dxa"/>
          </w:tcPr>
          <w:p w14:paraId="23338391" w14:textId="77777777" w:rsidR="0058292C" w:rsidRPr="00B67ADE" w:rsidRDefault="0058292C" w:rsidP="00A84DA0">
            <w:pPr>
              <w:tabs>
                <w:tab w:val="left" w:pos="840"/>
              </w:tabs>
              <w:spacing w:line="280" w:lineRule="exact"/>
              <w:jc w:val="center"/>
              <w:rPr>
                <w:u w:val="single"/>
              </w:rPr>
            </w:pPr>
          </w:p>
        </w:tc>
        <w:tc>
          <w:tcPr>
            <w:tcW w:w="4254" w:type="dxa"/>
            <w:gridSpan w:val="3"/>
          </w:tcPr>
          <w:p w14:paraId="0A4B13EA" w14:textId="77777777" w:rsidR="0058292C" w:rsidRPr="00B67ADE" w:rsidRDefault="0058292C" w:rsidP="00A84DA0">
            <w:pPr>
              <w:spacing w:line="280" w:lineRule="exact"/>
              <w:jc w:val="center"/>
              <w:rPr>
                <w:i/>
              </w:rPr>
            </w:pPr>
            <w:r w:rsidRPr="00B67ADE">
              <w:rPr>
                <w:i/>
              </w:rPr>
              <w:t>Of which :</w:t>
            </w:r>
          </w:p>
        </w:tc>
        <w:tc>
          <w:tcPr>
            <w:tcW w:w="1843" w:type="dxa"/>
          </w:tcPr>
          <w:p w14:paraId="7D47C15C" w14:textId="77777777" w:rsidR="0058292C" w:rsidRPr="00B67ADE" w:rsidRDefault="0058292C" w:rsidP="00A84DA0">
            <w:pPr>
              <w:spacing w:line="280" w:lineRule="exact"/>
              <w:jc w:val="center"/>
              <w:rPr>
                <w:u w:val="single"/>
              </w:rPr>
            </w:pPr>
          </w:p>
        </w:tc>
        <w:tc>
          <w:tcPr>
            <w:tcW w:w="1701" w:type="dxa"/>
          </w:tcPr>
          <w:p w14:paraId="44D1DFF5" w14:textId="77777777" w:rsidR="0058292C" w:rsidRPr="00B67ADE" w:rsidRDefault="0058292C" w:rsidP="00A84DA0">
            <w:pPr>
              <w:spacing w:line="280" w:lineRule="exact"/>
              <w:jc w:val="center"/>
              <w:rPr>
                <w:u w:val="single"/>
              </w:rPr>
            </w:pPr>
          </w:p>
        </w:tc>
      </w:tr>
      <w:tr w:rsidR="0058292C" w:rsidRPr="00B67ADE" w14:paraId="5B6DF6AE" w14:textId="77777777" w:rsidTr="00D5719E">
        <w:tc>
          <w:tcPr>
            <w:tcW w:w="1728" w:type="dxa"/>
          </w:tcPr>
          <w:p w14:paraId="30CBF03B" w14:textId="77777777" w:rsidR="0058292C" w:rsidRPr="00B67ADE" w:rsidRDefault="0058292C" w:rsidP="00A84DA0">
            <w:pPr>
              <w:tabs>
                <w:tab w:val="left" w:pos="840"/>
              </w:tabs>
              <w:spacing w:line="280" w:lineRule="exact"/>
              <w:jc w:val="center"/>
              <w:rPr>
                <w:u w:val="single"/>
              </w:rPr>
            </w:pPr>
          </w:p>
        </w:tc>
        <w:tc>
          <w:tcPr>
            <w:tcW w:w="1720" w:type="dxa"/>
          </w:tcPr>
          <w:p w14:paraId="1ACBDAAE" w14:textId="77777777" w:rsidR="0058292C" w:rsidRPr="00E04CE2" w:rsidRDefault="0058292C" w:rsidP="00A84DA0">
            <w:pPr>
              <w:spacing w:line="280" w:lineRule="exact"/>
              <w:jc w:val="center"/>
              <w:rPr>
                <w:u w:val="single"/>
              </w:rPr>
            </w:pPr>
          </w:p>
          <w:p w14:paraId="1991177C" w14:textId="77777777" w:rsidR="0058292C" w:rsidRPr="00E04CE2" w:rsidRDefault="0058292C" w:rsidP="00A84DA0">
            <w:pPr>
              <w:spacing w:line="280" w:lineRule="exact"/>
              <w:jc w:val="center"/>
            </w:pPr>
            <w:r w:rsidRPr="00E04CE2">
              <w:t>Imports</w:t>
            </w:r>
          </w:p>
          <w:p w14:paraId="6E3EB474" w14:textId="77777777" w:rsidR="0058292C" w:rsidRPr="00E04CE2" w:rsidRDefault="0058292C" w:rsidP="00A84DA0">
            <w:pPr>
              <w:spacing w:line="280" w:lineRule="exact"/>
              <w:jc w:val="center"/>
              <w:rPr>
                <w:u w:val="single"/>
              </w:rPr>
            </w:pPr>
            <w:r w:rsidRPr="00E04CE2">
              <w:rPr>
                <w:u w:val="single"/>
              </w:rPr>
              <w:t>of services</w:t>
            </w:r>
          </w:p>
          <w:p w14:paraId="769DC01F" w14:textId="77777777" w:rsidR="0058292C" w:rsidRPr="00E04CE2" w:rsidRDefault="0058292C" w:rsidP="00A84DA0">
            <w:pPr>
              <w:spacing w:line="280" w:lineRule="exact"/>
              <w:rPr>
                <w:u w:val="single"/>
              </w:rPr>
            </w:pPr>
          </w:p>
        </w:tc>
        <w:tc>
          <w:tcPr>
            <w:tcW w:w="1271" w:type="dxa"/>
          </w:tcPr>
          <w:p w14:paraId="1CE05A61" w14:textId="77777777" w:rsidR="0058292C" w:rsidRPr="00E04CE2" w:rsidRDefault="0058292C" w:rsidP="00A84DA0">
            <w:pPr>
              <w:spacing w:line="280" w:lineRule="exact"/>
              <w:rPr>
                <w:u w:val="single"/>
              </w:rPr>
            </w:pPr>
          </w:p>
          <w:p w14:paraId="65F7EB1E" w14:textId="77777777" w:rsidR="0058292C" w:rsidRPr="00E04CE2" w:rsidRDefault="0058292C" w:rsidP="00A84DA0">
            <w:pPr>
              <w:spacing w:line="280" w:lineRule="exact"/>
              <w:rPr>
                <w:u w:val="single"/>
              </w:rPr>
            </w:pPr>
          </w:p>
          <w:p w14:paraId="7303BA5B" w14:textId="77777777" w:rsidR="0058292C" w:rsidRPr="00E04CE2" w:rsidRDefault="0058292C" w:rsidP="00E47109">
            <w:pPr>
              <w:pStyle w:val="Heading1"/>
              <w:ind w:left="91" w:rightChars="0" w:right="0"/>
              <w:rPr>
                <w:vertAlign w:val="superscript"/>
              </w:rPr>
            </w:pPr>
            <w:proofErr w:type="gramStart"/>
            <w:r w:rsidRPr="00E04CE2">
              <w:rPr>
                <w:sz w:val="24"/>
                <w:u w:val="single"/>
              </w:rPr>
              <w:t>Travel</w:t>
            </w:r>
            <w:r w:rsidRPr="00E04CE2">
              <w:rPr>
                <w:vertAlign w:val="superscript"/>
              </w:rPr>
              <w:t>(</w:t>
            </w:r>
            <w:proofErr w:type="gramEnd"/>
            <w:r w:rsidRPr="00E04CE2">
              <w:rPr>
                <w:vertAlign w:val="superscript"/>
              </w:rPr>
              <w:t>+)</w:t>
            </w:r>
          </w:p>
        </w:tc>
        <w:tc>
          <w:tcPr>
            <w:tcW w:w="1263" w:type="dxa"/>
          </w:tcPr>
          <w:p w14:paraId="71113ACE" w14:textId="77777777" w:rsidR="0058292C" w:rsidRPr="00E04CE2" w:rsidRDefault="0058292C" w:rsidP="00A84DA0">
            <w:pPr>
              <w:spacing w:line="280" w:lineRule="exact"/>
              <w:rPr>
                <w:i/>
              </w:rPr>
            </w:pPr>
          </w:p>
          <w:p w14:paraId="3D09D384" w14:textId="77777777" w:rsidR="0058292C" w:rsidRPr="00E04CE2" w:rsidRDefault="0058292C" w:rsidP="00A84DA0">
            <w:pPr>
              <w:spacing w:line="280" w:lineRule="exact"/>
              <w:jc w:val="center"/>
            </w:pPr>
          </w:p>
          <w:p w14:paraId="3D045156" w14:textId="77777777" w:rsidR="0058292C" w:rsidRPr="00E04CE2" w:rsidRDefault="0058292C" w:rsidP="00A84DA0">
            <w:pPr>
              <w:spacing w:line="280" w:lineRule="exact"/>
              <w:jc w:val="center"/>
              <w:rPr>
                <w:u w:val="single"/>
              </w:rPr>
            </w:pPr>
            <w:r w:rsidRPr="00E04CE2">
              <w:rPr>
                <w:u w:val="single"/>
              </w:rPr>
              <w:t>Transport</w:t>
            </w:r>
          </w:p>
        </w:tc>
        <w:tc>
          <w:tcPr>
            <w:tcW w:w="1843" w:type="dxa"/>
          </w:tcPr>
          <w:p w14:paraId="69B116AC" w14:textId="77777777" w:rsidR="0058292C" w:rsidRPr="00E04CE2" w:rsidRDefault="0058292C" w:rsidP="00A84DA0">
            <w:pPr>
              <w:spacing w:line="280" w:lineRule="exact"/>
              <w:jc w:val="center"/>
            </w:pPr>
            <w:r w:rsidRPr="00E04CE2">
              <w:rPr>
                <w:u w:val="single"/>
              </w:rPr>
              <w:br/>
            </w:r>
            <w:r w:rsidRPr="00E04CE2">
              <w:t>Manufacturing</w:t>
            </w:r>
            <w:r w:rsidRPr="00E04CE2">
              <w:rPr>
                <w:u w:val="single"/>
              </w:rPr>
              <w:br/>
            </w:r>
            <w:r w:rsidRPr="00E04CE2">
              <w:rPr>
                <w:u w:val="single"/>
                <w:lang w:eastAsia="zh-HK"/>
              </w:rPr>
              <w:t>services</w:t>
            </w:r>
            <w:r w:rsidRPr="00E04CE2">
              <w:rPr>
                <w:vertAlign w:val="superscript"/>
              </w:rPr>
              <w:t>(^)</w:t>
            </w:r>
          </w:p>
        </w:tc>
        <w:tc>
          <w:tcPr>
            <w:tcW w:w="1701" w:type="dxa"/>
          </w:tcPr>
          <w:p w14:paraId="49BFBACC" w14:textId="77777777" w:rsidR="0058292C" w:rsidRPr="00E04CE2" w:rsidRDefault="0058292C" w:rsidP="00A84DA0">
            <w:pPr>
              <w:spacing w:line="280" w:lineRule="exact"/>
              <w:jc w:val="center"/>
              <w:rPr>
                <w:vertAlign w:val="superscript"/>
              </w:rPr>
            </w:pPr>
            <w:r w:rsidRPr="00E04CE2">
              <w:br/>
              <w:t xml:space="preserve">Business and </w:t>
            </w:r>
            <w:r w:rsidRPr="00E04CE2">
              <w:br/>
            </w:r>
            <w:r w:rsidRPr="00E04CE2">
              <w:rPr>
                <w:u w:val="single"/>
              </w:rPr>
              <w:t>other services</w:t>
            </w:r>
          </w:p>
        </w:tc>
      </w:tr>
      <w:tr w:rsidR="00315E9C" w:rsidRPr="00B67ADE" w14:paraId="2183F3D4" w14:textId="77777777" w:rsidTr="00D5719E">
        <w:trPr>
          <w:trHeight w:val="289"/>
        </w:trPr>
        <w:tc>
          <w:tcPr>
            <w:tcW w:w="1728" w:type="dxa"/>
          </w:tcPr>
          <w:p w14:paraId="1EA6DC50" w14:textId="751E8E9E" w:rsidR="00315E9C" w:rsidRPr="00B67ADE" w:rsidRDefault="00315E9C" w:rsidP="00315E9C">
            <w:pPr>
              <w:tabs>
                <w:tab w:val="left" w:pos="840"/>
              </w:tabs>
              <w:spacing w:line="260" w:lineRule="exact"/>
              <w:jc w:val="both"/>
            </w:pPr>
            <w:r w:rsidRPr="00B67ADE">
              <w:t>202</w:t>
            </w:r>
            <w:r>
              <w:t>4</w:t>
            </w:r>
            <w:r w:rsidRPr="00B67ADE">
              <w:tab/>
              <w:t>Annual</w:t>
            </w:r>
          </w:p>
          <w:p w14:paraId="180F341C" w14:textId="77777777" w:rsidR="00315E9C" w:rsidRPr="00B67ADE" w:rsidRDefault="00315E9C" w:rsidP="00315E9C">
            <w:pPr>
              <w:tabs>
                <w:tab w:val="left" w:pos="840"/>
              </w:tabs>
              <w:spacing w:line="260" w:lineRule="exact"/>
              <w:jc w:val="both"/>
            </w:pPr>
          </w:p>
        </w:tc>
        <w:tc>
          <w:tcPr>
            <w:tcW w:w="1720" w:type="dxa"/>
          </w:tcPr>
          <w:p w14:paraId="1A4ED8B6" w14:textId="0CADC1DE"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11.</w:t>
            </w:r>
            <w:r w:rsidR="00973532">
              <w:rPr>
                <w:sz w:val="24"/>
                <w:lang w:val="en-GB"/>
              </w:rPr>
              <w:t>6</w:t>
            </w:r>
          </w:p>
        </w:tc>
        <w:tc>
          <w:tcPr>
            <w:tcW w:w="1271" w:type="dxa"/>
          </w:tcPr>
          <w:p w14:paraId="5DDC7CFB" w14:textId="68031C9D" w:rsidR="00315E9C" w:rsidRPr="000D1098" w:rsidRDefault="00973532" w:rsidP="005061BA">
            <w:pPr>
              <w:tabs>
                <w:tab w:val="decimal" w:pos="638"/>
              </w:tabs>
              <w:spacing w:line="260" w:lineRule="exact"/>
              <w:jc w:val="both"/>
            </w:pPr>
            <w:r>
              <w:rPr>
                <w:kern w:val="0"/>
              </w:rPr>
              <w:t>28.</w:t>
            </w:r>
            <w:r w:rsidR="0071740C">
              <w:rPr>
                <w:kern w:val="0"/>
              </w:rPr>
              <w:t>7</w:t>
            </w:r>
          </w:p>
        </w:tc>
        <w:tc>
          <w:tcPr>
            <w:tcW w:w="1263" w:type="dxa"/>
          </w:tcPr>
          <w:p w14:paraId="6EB3923B" w14:textId="5A6D9245" w:rsidR="00315E9C" w:rsidRPr="000D1098" w:rsidRDefault="0071740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4.0</w:t>
            </w:r>
          </w:p>
        </w:tc>
        <w:tc>
          <w:tcPr>
            <w:tcW w:w="1843" w:type="dxa"/>
          </w:tcPr>
          <w:p w14:paraId="79FDD498" w14:textId="2096B2BA" w:rsidR="00315E9C" w:rsidRPr="000D1098" w:rsidRDefault="00315E9C" w:rsidP="005061BA">
            <w:pPr>
              <w:tabs>
                <w:tab w:val="decimal" w:pos="869"/>
              </w:tabs>
              <w:spacing w:line="260" w:lineRule="exact"/>
              <w:ind w:rightChars="-11" w:right="-26"/>
            </w:pPr>
            <w:r>
              <w:rPr>
                <w:kern w:val="0"/>
              </w:rPr>
              <w:t>4.8</w:t>
            </w:r>
          </w:p>
        </w:tc>
        <w:tc>
          <w:tcPr>
            <w:tcW w:w="1701" w:type="dxa"/>
          </w:tcPr>
          <w:p w14:paraId="19D1D278" w14:textId="25DAF5B4" w:rsidR="00315E9C" w:rsidRPr="000D1098" w:rsidRDefault="00315E9C" w:rsidP="005061BA">
            <w:pPr>
              <w:tabs>
                <w:tab w:val="decimal" w:pos="799"/>
              </w:tabs>
              <w:spacing w:line="260" w:lineRule="exact"/>
              <w:ind w:rightChars="-11" w:right="-26"/>
            </w:pPr>
            <w:r>
              <w:rPr>
                <w:kern w:val="0"/>
              </w:rPr>
              <w:t>5.2</w:t>
            </w:r>
          </w:p>
        </w:tc>
      </w:tr>
      <w:tr w:rsidR="00315E9C" w:rsidRPr="00B67ADE" w14:paraId="7CB41A83" w14:textId="77777777" w:rsidTr="00D5719E">
        <w:trPr>
          <w:trHeight w:val="289"/>
        </w:trPr>
        <w:tc>
          <w:tcPr>
            <w:tcW w:w="1728" w:type="dxa"/>
          </w:tcPr>
          <w:p w14:paraId="05F446CB" w14:textId="0BFE0CE3" w:rsidR="00315E9C" w:rsidRPr="00B67ADE" w:rsidRDefault="00315E9C" w:rsidP="00315E9C">
            <w:pPr>
              <w:tabs>
                <w:tab w:val="left" w:pos="840"/>
              </w:tabs>
              <w:spacing w:line="260" w:lineRule="exact"/>
              <w:jc w:val="both"/>
            </w:pPr>
            <w:r w:rsidRPr="00B67ADE">
              <w:tab/>
              <w:t>Q1</w:t>
            </w:r>
          </w:p>
        </w:tc>
        <w:tc>
          <w:tcPr>
            <w:tcW w:w="1720" w:type="dxa"/>
          </w:tcPr>
          <w:p w14:paraId="074C8A3A" w14:textId="389135BC"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sidR="00973532">
              <w:rPr>
                <w:sz w:val="24"/>
                <w:lang w:val="en-GB"/>
              </w:rPr>
              <w:t>18.2</w:t>
            </w:r>
            <w:r>
              <w:rPr>
                <w:sz w:val="24"/>
                <w:szCs w:val="24"/>
                <w:lang w:val="en-GB" w:eastAsia="zh-TW"/>
              </w:rPr>
              <w:tab/>
              <w:t>(3.</w:t>
            </w:r>
            <w:r w:rsidR="0071740C">
              <w:rPr>
                <w:sz w:val="24"/>
                <w:szCs w:val="24"/>
                <w:lang w:val="en-GB" w:eastAsia="zh-TW"/>
              </w:rPr>
              <w:t>8</w:t>
            </w:r>
            <w:r w:rsidRPr="00A92B09">
              <w:rPr>
                <w:sz w:val="24"/>
                <w:lang w:val="en-GB"/>
              </w:rPr>
              <w:t>)</w:t>
            </w:r>
          </w:p>
        </w:tc>
        <w:tc>
          <w:tcPr>
            <w:tcW w:w="1271" w:type="dxa"/>
          </w:tcPr>
          <w:p w14:paraId="1E5F9A8E" w14:textId="450D3088" w:rsidR="00315E9C" w:rsidRPr="000F51DB" w:rsidRDefault="00973532" w:rsidP="005061BA">
            <w:pPr>
              <w:tabs>
                <w:tab w:val="decimal" w:pos="638"/>
              </w:tabs>
              <w:spacing w:line="260" w:lineRule="exact"/>
              <w:jc w:val="both"/>
            </w:pPr>
            <w:r>
              <w:t>61.8</w:t>
            </w:r>
          </w:p>
        </w:tc>
        <w:tc>
          <w:tcPr>
            <w:tcW w:w="1263" w:type="dxa"/>
          </w:tcPr>
          <w:p w14:paraId="54B8F800" w14:textId="35C750E1"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9.</w:t>
            </w:r>
            <w:r w:rsidR="0071740C">
              <w:rPr>
                <w:sz w:val="24"/>
                <w:szCs w:val="24"/>
                <w:lang w:val="en-GB" w:eastAsia="zh-TW"/>
              </w:rPr>
              <w:t>2</w:t>
            </w:r>
          </w:p>
        </w:tc>
        <w:tc>
          <w:tcPr>
            <w:tcW w:w="1843" w:type="dxa"/>
          </w:tcPr>
          <w:p w14:paraId="570EFD9A" w14:textId="7939AD5B" w:rsidR="00315E9C" w:rsidRPr="008000A5" w:rsidDel="003F491D" w:rsidRDefault="00315E9C" w:rsidP="005061BA">
            <w:pPr>
              <w:tabs>
                <w:tab w:val="decimal" w:pos="869"/>
              </w:tabs>
              <w:spacing w:line="260" w:lineRule="exact"/>
              <w:ind w:rightChars="-11" w:right="-26"/>
            </w:pPr>
            <w:r>
              <w:t>5.3</w:t>
            </w:r>
          </w:p>
        </w:tc>
        <w:tc>
          <w:tcPr>
            <w:tcW w:w="1701" w:type="dxa"/>
          </w:tcPr>
          <w:p w14:paraId="7523E278" w14:textId="3A768A93" w:rsidR="00315E9C" w:rsidRPr="008000A5" w:rsidRDefault="00315E9C" w:rsidP="005061BA">
            <w:pPr>
              <w:tabs>
                <w:tab w:val="decimal" w:pos="799"/>
              </w:tabs>
              <w:spacing w:line="260" w:lineRule="exact"/>
              <w:ind w:rightChars="-11" w:right="-26"/>
            </w:pPr>
            <w:r>
              <w:t>2.</w:t>
            </w:r>
            <w:r w:rsidR="0071740C">
              <w:t>0</w:t>
            </w:r>
          </w:p>
        </w:tc>
      </w:tr>
      <w:tr w:rsidR="00315E9C" w:rsidRPr="00B67ADE" w14:paraId="6EE47581" w14:textId="77777777" w:rsidTr="00D5719E">
        <w:trPr>
          <w:trHeight w:val="289"/>
        </w:trPr>
        <w:tc>
          <w:tcPr>
            <w:tcW w:w="1728" w:type="dxa"/>
          </w:tcPr>
          <w:p w14:paraId="104E10EE" w14:textId="474F0F46" w:rsidR="00315E9C" w:rsidRPr="00B67ADE" w:rsidRDefault="00315E9C" w:rsidP="00315E9C">
            <w:pPr>
              <w:tabs>
                <w:tab w:val="left" w:pos="840"/>
              </w:tabs>
              <w:spacing w:line="260" w:lineRule="exact"/>
              <w:jc w:val="both"/>
            </w:pPr>
            <w:r w:rsidRPr="00B67ADE">
              <w:tab/>
            </w:r>
            <w:r w:rsidRPr="00B67ADE">
              <w:rPr>
                <w:rFonts w:eastAsia="SimSun"/>
                <w:lang w:eastAsia="zh-CN"/>
              </w:rPr>
              <w:t>Q2</w:t>
            </w:r>
          </w:p>
        </w:tc>
        <w:tc>
          <w:tcPr>
            <w:tcW w:w="1720" w:type="dxa"/>
          </w:tcPr>
          <w:p w14:paraId="1DEC4684" w14:textId="70AF0423"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973532">
              <w:rPr>
                <w:sz w:val="24"/>
                <w:lang w:val="en-GB"/>
              </w:rPr>
              <w:t>11.7</w:t>
            </w:r>
            <w:r>
              <w:rPr>
                <w:sz w:val="24"/>
                <w:lang w:val="en-GB"/>
              </w:rPr>
              <w:t xml:space="preserve"> </w:t>
            </w:r>
            <w:r>
              <w:rPr>
                <w:sz w:val="24"/>
                <w:lang w:val="en-GB"/>
              </w:rPr>
              <w:tab/>
              <w:t>(0.</w:t>
            </w:r>
            <w:r w:rsidR="0071740C">
              <w:rPr>
                <w:sz w:val="24"/>
                <w:lang w:val="en-GB"/>
              </w:rPr>
              <w:t>5</w:t>
            </w:r>
            <w:r w:rsidRPr="001E0504">
              <w:rPr>
                <w:sz w:val="24"/>
                <w:lang w:val="en-GB"/>
              </w:rPr>
              <w:t>)</w:t>
            </w:r>
          </w:p>
        </w:tc>
        <w:tc>
          <w:tcPr>
            <w:tcW w:w="1271" w:type="dxa"/>
          </w:tcPr>
          <w:p w14:paraId="0C59F772" w14:textId="3F57F77F" w:rsidR="00315E9C" w:rsidRPr="000F51DB" w:rsidRDefault="00973532" w:rsidP="005061BA">
            <w:pPr>
              <w:tabs>
                <w:tab w:val="decimal" w:pos="638"/>
              </w:tabs>
              <w:spacing w:line="260" w:lineRule="exact"/>
              <w:jc w:val="both"/>
            </w:pPr>
            <w:r>
              <w:t>25.4</w:t>
            </w:r>
          </w:p>
        </w:tc>
        <w:tc>
          <w:tcPr>
            <w:tcW w:w="1263" w:type="dxa"/>
          </w:tcPr>
          <w:p w14:paraId="72767A72" w14:textId="053EB1A6"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w:t>
            </w:r>
            <w:r w:rsidR="0071740C">
              <w:rPr>
                <w:sz w:val="24"/>
                <w:szCs w:val="24"/>
                <w:lang w:val="en-GB" w:eastAsia="zh-TW"/>
              </w:rPr>
              <w:t>5</w:t>
            </w:r>
          </w:p>
        </w:tc>
        <w:tc>
          <w:tcPr>
            <w:tcW w:w="1843" w:type="dxa"/>
          </w:tcPr>
          <w:p w14:paraId="464463CC" w14:textId="09EA8FE0" w:rsidR="00315E9C" w:rsidRPr="008000A5" w:rsidRDefault="00315E9C" w:rsidP="005061BA">
            <w:pPr>
              <w:tabs>
                <w:tab w:val="decimal" w:pos="869"/>
              </w:tabs>
              <w:spacing w:line="260" w:lineRule="exact"/>
              <w:ind w:rightChars="-11" w:right="-26"/>
            </w:pPr>
            <w:r>
              <w:t>7.8</w:t>
            </w:r>
          </w:p>
        </w:tc>
        <w:tc>
          <w:tcPr>
            <w:tcW w:w="1701" w:type="dxa"/>
          </w:tcPr>
          <w:p w14:paraId="48B550AA" w14:textId="01F093EB" w:rsidR="00315E9C" w:rsidRPr="008000A5" w:rsidRDefault="00315E9C" w:rsidP="005061BA">
            <w:pPr>
              <w:tabs>
                <w:tab w:val="decimal" w:pos="799"/>
              </w:tabs>
              <w:spacing w:line="260" w:lineRule="exact"/>
              <w:ind w:rightChars="-11" w:right="-26"/>
            </w:pPr>
            <w:r>
              <w:t>6.9</w:t>
            </w:r>
          </w:p>
        </w:tc>
      </w:tr>
      <w:tr w:rsidR="00315E9C" w:rsidRPr="00B67ADE" w14:paraId="3DBEA586" w14:textId="77777777" w:rsidTr="00D5719E">
        <w:trPr>
          <w:trHeight w:val="289"/>
        </w:trPr>
        <w:tc>
          <w:tcPr>
            <w:tcW w:w="1728" w:type="dxa"/>
          </w:tcPr>
          <w:p w14:paraId="4455E247" w14:textId="7A3ABD05" w:rsidR="00315E9C" w:rsidRPr="00B67ADE" w:rsidRDefault="00315E9C" w:rsidP="00315E9C">
            <w:pPr>
              <w:tabs>
                <w:tab w:val="left" w:pos="840"/>
              </w:tabs>
              <w:spacing w:line="260" w:lineRule="exact"/>
              <w:jc w:val="both"/>
            </w:pPr>
            <w:r w:rsidRPr="00B67ADE">
              <w:tab/>
            </w:r>
            <w:r w:rsidRPr="00B67ADE">
              <w:rPr>
                <w:rFonts w:eastAsia="SimSun"/>
                <w:lang w:eastAsia="zh-CN"/>
              </w:rPr>
              <w:t>Q3</w:t>
            </w:r>
          </w:p>
        </w:tc>
        <w:tc>
          <w:tcPr>
            <w:tcW w:w="1720" w:type="dxa"/>
          </w:tcPr>
          <w:p w14:paraId="2DD68FFE" w14:textId="5131D564"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973532">
              <w:rPr>
                <w:sz w:val="24"/>
                <w:lang w:val="en-GB"/>
              </w:rPr>
              <w:t>9.0</w:t>
            </w:r>
            <w:r>
              <w:rPr>
                <w:sz w:val="24"/>
                <w:lang w:val="en-GB"/>
              </w:rPr>
              <w:t xml:space="preserve"> </w:t>
            </w:r>
            <w:r>
              <w:rPr>
                <w:sz w:val="24"/>
                <w:lang w:val="en-GB"/>
              </w:rPr>
              <w:tab/>
              <w:t>(1.</w:t>
            </w:r>
            <w:r w:rsidR="0071740C">
              <w:rPr>
                <w:sz w:val="24"/>
                <w:lang w:val="en-GB"/>
              </w:rPr>
              <w:t>3</w:t>
            </w:r>
            <w:r w:rsidRPr="001E0504">
              <w:rPr>
                <w:sz w:val="24"/>
                <w:lang w:val="en-GB"/>
              </w:rPr>
              <w:t>)</w:t>
            </w:r>
          </w:p>
        </w:tc>
        <w:tc>
          <w:tcPr>
            <w:tcW w:w="1271" w:type="dxa"/>
          </w:tcPr>
          <w:p w14:paraId="1B5EC0B8" w14:textId="6C4D1D25" w:rsidR="00315E9C" w:rsidRPr="000F51DB" w:rsidRDefault="00315E9C" w:rsidP="005061BA">
            <w:pPr>
              <w:tabs>
                <w:tab w:val="decimal" w:pos="638"/>
              </w:tabs>
              <w:spacing w:line="260" w:lineRule="exact"/>
              <w:jc w:val="both"/>
            </w:pPr>
            <w:r>
              <w:t>18.</w:t>
            </w:r>
            <w:r w:rsidR="00973532">
              <w:t>4</w:t>
            </w:r>
          </w:p>
        </w:tc>
        <w:tc>
          <w:tcPr>
            <w:tcW w:w="1263" w:type="dxa"/>
          </w:tcPr>
          <w:p w14:paraId="1D140439" w14:textId="7FD43DFB"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w:t>
            </w:r>
            <w:r w:rsidR="0071740C">
              <w:rPr>
                <w:sz w:val="24"/>
                <w:szCs w:val="24"/>
                <w:lang w:val="en-GB" w:eastAsia="zh-TW"/>
              </w:rPr>
              <w:t>4</w:t>
            </w:r>
          </w:p>
        </w:tc>
        <w:tc>
          <w:tcPr>
            <w:tcW w:w="1843" w:type="dxa"/>
          </w:tcPr>
          <w:p w14:paraId="23F2CD16" w14:textId="2633194F" w:rsidR="00315E9C" w:rsidRPr="008000A5" w:rsidRDefault="00315E9C" w:rsidP="005061BA">
            <w:pPr>
              <w:tabs>
                <w:tab w:val="decimal" w:pos="869"/>
              </w:tabs>
              <w:spacing w:line="260" w:lineRule="exact"/>
              <w:ind w:rightChars="-11" w:right="-26"/>
            </w:pPr>
            <w:r>
              <w:t>7.1</w:t>
            </w:r>
          </w:p>
        </w:tc>
        <w:tc>
          <w:tcPr>
            <w:tcW w:w="1701" w:type="dxa"/>
          </w:tcPr>
          <w:p w14:paraId="34B27852" w14:textId="78BF33FA" w:rsidR="00315E9C" w:rsidRPr="008000A5" w:rsidRDefault="00315E9C" w:rsidP="005061BA">
            <w:pPr>
              <w:tabs>
                <w:tab w:val="decimal" w:pos="799"/>
              </w:tabs>
              <w:spacing w:line="260" w:lineRule="exact"/>
              <w:ind w:rightChars="-11" w:right="-26"/>
            </w:pPr>
            <w:r>
              <w:t>6.1</w:t>
            </w:r>
          </w:p>
        </w:tc>
      </w:tr>
      <w:tr w:rsidR="00315E9C" w:rsidRPr="00B67ADE" w14:paraId="0385F2C2" w14:textId="77777777" w:rsidTr="00D5719E">
        <w:trPr>
          <w:trHeight w:val="289"/>
        </w:trPr>
        <w:tc>
          <w:tcPr>
            <w:tcW w:w="1728" w:type="dxa"/>
          </w:tcPr>
          <w:p w14:paraId="04679CE1" w14:textId="538EC061" w:rsidR="00315E9C" w:rsidRPr="00B67ADE" w:rsidRDefault="00315E9C" w:rsidP="00315E9C">
            <w:pPr>
              <w:tabs>
                <w:tab w:val="left" w:pos="840"/>
              </w:tabs>
              <w:spacing w:line="260" w:lineRule="exact"/>
              <w:jc w:val="both"/>
            </w:pPr>
            <w:r w:rsidRPr="00B67ADE">
              <w:tab/>
            </w:r>
            <w:r w:rsidRPr="00B67ADE">
              <w:rPr>
                <w:rFonts w:eastAsia="SimSun"/>
                <w:lang w:eastAsia="zh-CN"/>
              </w:rPr>
              <w:t>Q</w:t>
            </w:r>
            <w:r>
              <w:rPr>
                <w:rFonts w:eastAsia="SimSun"/>
                <w:lang w:eastAsia="zh-CN"/>
              </w:rPr>
              <w:t>4</w:t>
            </w:r>
          </w:p>
        </w:tc>
        <w:tc>
          <w:tcPr>
            <w:tcW w:w="1720" w:type="dxa"/>
          </w:tcPr>
          <w:p w14:paraId="15FA046A" w14:textId="134B40C4"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973532">
              <w:rPr>
                <w:sz w:val="24"/>
                <w:lang w:val="en-GB"/>
              </w:rPr>
              <w:t>8.</w:t>
            </w:r>
            <w:r w:rsidR="0071740C">
              <w:rPr>
                <w:sz w:val="24"/>
                <w:lang w:val="en-GB"/>
              </w:rPr>
              <w:t>3</w:t>
            </w:r>
            <w:r w:rsidRPr="00BE40F4">
              <w:rPr>
                <w:sz w:val="24"/>
                <w:szCs w:val="24"/>
                <w:lang w:val="en-GB" w:eastAsia="zh-TW"/>
              </w:rPr>
              <w:t xml:space="preserve"> </w:t>
            </w:r>
            <w:r w:rsidRPr="00BE40F4">
              <w:rPr>
                <w:sz w:val="24"/>
                <w:szCs w:val="24"/>
                <w:lang w:val="en-GB" w:eastAsia="zh-TW"/>
              </w:rPr>
              <w:tab/>
              <w:t>(</w:t>
            </w:r>
            <w:r>
              <w:rPr>
                <w:sz w:val="24"/>
                <w:szCs w:val="24"/>
                <w:lang w:val="en-GB" w:eastAsia="zh-TW"/>
              </w:rPr>
              <w:t>2.</w:t>
            </w:r>
            <w:r w:rsidR="0071740C">
              <w:rPr>
                <w:sz w:val="24"/>
                <w:szCs w:val="24"/>
                <w:lang w:val="en-GB" w:eastAsia="zh-TW"/>
              </w:rPr>
              <w:t>6</w:t>
            </w:r>
            <w:r w:rsidRPr="00BE40F4">
              <w:rPr>
                <w:sz w:val="24"/>
                <w:lang w:val="en-GB"/>
              </w:rPr>
              <w:t>)</w:t>
            </w:r>
          </w:p>
        </w:tc>
        <w:tc>
          <w:tcPr>
            <w:tcW w:w="1271" w:type="dxa"/>
          </w:tcPr>
          <w:p w14:paraId="3388021C" w14:textId="490049C3" w:rsidR="00315E9C" w:rsidRPr="000D1098" w:rsidRDefault="00973532" w:rsidP="005061BA">
            <w:pPr>
              <w:tabs>
                <w:tab w:val="decimal" w:pos="638"/>
              </w:tabs>
              <w:spacing w:line="260" w:lineRule="exact"/>
              <w:jc w:val="both"/>
            </w:pPr>
            <w:r>
              <w:rPr>
                <w:kern w:val="0"/>
              </w:rPr>
              <w:t>18.</w:t>
            </w:r>
            <w:r w:rsidR="0071740C">
              <w:rPr>
                <w:kern w:val="0"/>
              </w:rPr>
              <w:t>9</w:t>
            </w:r>
          </w:p>
        </w:tc>
        <w:tc>
          <w:tcPr>
            <w:tcW w:w="1263" w:type="dxa"/>
          </w:tcPr>
          <w:p w14:paraId="03C5ABD4" w14:textId="2B1A9E46" w:rsidR="00315E9C" w:rsidRPr="000D1098" w:rsidRDefault="0071740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1.9</w:t>
            </w:r>
          </w:p>
        </w:tc>
        <w:tc>
          <w:tcPr>
            <w:tcW w:w="1843" w:type="dxa"/>
          </w:tcPr>
          <w:p w14:paraId="515D8FF6" w14:textId="3736B481" w:rsidR="00315E9C" w:rsidRPr="000D1098" w:rsidRDefault="00315E9C" w:rsidP="005061BA">
            <w:pPr>
              <w:tabs>
                <w:tab w:val="decimal" w:pos="869"/>
              </w:tabs>
              <w:spacing w:line="260" w:lineRule="exact"/>
              <w:ind w:rightChars="-11" w:right="-26"/>
            </w:pPr>
            <w:r>
              <w:rPr>
                <w:kern w:val="0"/>
              </w:rPr>
              <w:t>-0.</w:t>
            </w:r>
            <w:r w:rsidR="0071740C">
              <w:rPr>
                <w:kern w:val="0"/>
              </w:rPr>
              <w:t>4</w:t>
            </w:r>
          </w:p>
        </w:tc>
        <w:tc>
          <w:tcPr>
            <w:tcW w:w="1701" w:type="dxa"/>
          </w:tcPr>
          <w:p w14:paraId="0D68AB72" w14:textId="48B780DF" w:rsidR="00315E9C" w:rsidRPr="000D1098" w:rsidRDefault="00315E9C" w:rsidP="005061BA">
            <w:pPr>
              <w:tabs>
                <w:tab w:val="decimal" w:pos="799"/>
              </w:tabs>
              <w:spacing w:line="260" w:lineRule="exact"/>
              <w:ind w:rightChars="-11" w:right="-26"/>
            </w:pPr>
            <w:r>
              <w:rPr>
                <w:kern w:val="0"/>
              </w:rPr>
              <w:t>6.</w:t>
            </w:r>
            <w:r w:rsidR="0071740C">
              <w:rPr>
                <w:kern w:val="0"/>
              </w:rPr>
              <w:t>4</w:t>
            </w:r>
          </w:p>
        </w:tc>
      </w:tr>
      <w:tr w:rsidR="00315E9C" w:rsidRPr="00B67ADE" w14:paraId="28843168" w14:textId="77777777" w:rsidTr="00D5719E">
        <w:trPr>
          <w:trHeight w:val="289"/>
        </w:trPr>
        <w:tc>
          <w:tcPr>
            <w:tcW w:w="1728" w:type="dxa"/>
          </w:tcPr>
          <w:p w14:paraId="1F5F7611" w14:textId="77777777" w:rsidR="00315E9C" w:rsidRPr="00B67ADE" w:rsidRDefault="00315E9C" w:rsidP="00315E9C">
            <w:pPr>
              <w:tabs>
                <w:tab w:val="left" w:pos="840"/>
              </w:tabs>
              <w:spacing w:line="260" w:lineRule="exact"/>
              <w:jc w:val="both"/>
            </w:pPr>
          </w:p>
        </w:tc>
        <w:tc>
          <w:tcPr>
            <w:tcW w:w="1720" w:type="dxa"/>
          </w:tcPr>
          <w:p w14:paraId="2C413AA6" w14:textId="77777777"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315E9C" w:rsidRPr="00D76305" w:rsidRDefault="00315E9C" w:rsidP="005061BA">
            <w:pPr>
              <w:tabs>
                <w:tab w:val="decimal" w:pos="638"/>
              </w:tabs>
              <w:spacing w:line="260" w:lineRule="exact"/>
              <w:jc w:val="both"/>
            </w:pPr>
          </w:p>
        </w:tc>
        <w:tc>
          <w:tcPr>
            <w:tcW w:w="1263" w:type="dxa"/>
          </w:tcPr>
          <w:p w14:paraId="3EE433AF" w14:textId="77777777" w:rsidR="00315E9C" w:rsidRPr="00D7630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315E9C" w:rsidRPr="00D76305" w:rsidRDefault="00315E9C" w:rsidP="005061BA">
            <w:pPr>
              <w:tabs>
                <w:tab w:val="decimal" w:pos="869"/>
              </w:tabs>
              <w:spacing w:line="260" w:lineRule="exact"/>
              <w:ind w:rightChars="-11" w:right="-26"/>
            </w:pPr>
          </w:p>
        </w:tc>
        <w:tc>
          <w:tcPr>
            <w:tcW w:w="1701" w:type="dxa"/>
          </w:tcPr>
          <w:p w14:paraId="29F148D7" w14:textId="77777777" w:rsidR="00315E9C" w:rsidRPr="00D76305" w:rsidRDefault="00315E9C" w:rsidP="005061BA">
            <w:pPr>
              <w:tabs>
                <w:tab w:val="decimal" w:pos="799"/>
              </w:tabs>
              <w:spacing w:line="260" w:lineRule="exact"/>
              <w:ind w:rightChars="-11" w:right="-26"/>
            </w:pPr>
          </w:p>
        </w:tc>
      </w:tr>
      <w:tr w:rsidR="00315E9C" w:rsidRPr="00B67ADE" w14:paraId="4F507264" w14:textId="77777777" w:rsidTr="00D5719E">
        <w:trPr>
          <w:trHeight w:val="289"/>
        </w:trPr>
        <w:tc>
          <w:tcPr>
            <w:tcW w:w="1728" w:type="dxa"/>
          </w:tcPr>
          <w:p w14:paraId="72681954" w14:textId="58BB808A" w:rsidR="00315E9C" w:rsidRPr="00B67ADE" w:rsidRDefault="00315E9C" w:rsidP="00315E9C">
            <w:pPr>
              <w:tabs>
                <w:tab w:val="left" w:pos="840"/>
              </w:tabs>
              <w:spacing w:line="260" w:lineRule="exact"/>
              <w:jc w:val="both"/>
            </w:pPr>
            <w:r w:rsidRPr="00B67ADE">
              <w:t>202</w:t>
            </w:r>
            <w:r>
              <w:t>5</w:t>
            </w:r>
            <w:r w:rsidRPr="00B67ADE">
              <w:tab/>
            </w:r>
            <w:r>
              <w:t>Q1</w:t>
            </w:r>
          </w:p>
        </w:tc>
        <w:tc>
          <w:tcPr>
            <w:tcW w:w="1720" w:type="dxa"/>
          </w:tcPr>
          <w:p w14:paraId="1EA08E59" w14:textId="36BA6952" w:rsidR="00315E9C" w:rsidRPr="00A92B09"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sidR="00D96C84">
              <w:rPr>
                <w:sz w:val="24"/>
                <w:lang w:val="en-GB"/>
              </w:rPr>
              <w:t>5.5</w:t>
            </w:r>
            <w:r>
              <w:rPr>
                <w:sz w:val="24"/>
                <w:szCs w:val="24"/>
                <w:lang w:val="en-GB" w:eastAsia="zh-TW"/>
              </w:rPr>
              <w:tab/>
              <w:t>(</w:t>
            </w:r>
            <w:r w:rsidR="00D96C84">
              <w:rPr>
                <w:sz w:val="24"/>
                <w:szCs w:val="24"/>
                <w:lang w:val="en-GB" w:eastAsia="zh-TW"/>
              </w:rPr>
              <w:t>0.7</w:t>
            </w:r>
            <w:r w:rsidRPr="00A92B09">
              <w:rPr>
                <w:sz w:val="24"/>
                <w:lang w:val="en-GB"/>
              </w:rPr>
              <w:t>)</w:t>
            </w:r>
          </w:p>
        </w:tc>
        <w:tc>
          <w:tcPr>
            <w:tcW w:w="1271" w:type="dxa"/>
          </w:tcPr>
          <w:p w14:paraId="1081B64A" w14:textId="68B70382" w:rsidR="00315E9C" w:rsidRPr="00A92B09" w:rsidRDefault="00D96C84" w:rsidP="005061BA">
            <w:pPr>
              <w:tabs>
                <w:tab w:val="decimal" w:pos="638"/>
              </w:tabs>
              <w:spacing w:line="260" w:lineRule="exact"/>
              <w:jc w:val="both"/>
            </w:pPr>
            <w:r>
              <w:t>4.0</w:t>
            </w:r>
          </w:p>
        </w:tc>
        <w:tc>
          <w:tcPr>
            <w:tcW w:w="1263" w:type="dxa"/>
          </w:tcPr>
          <w:p w14:paraId="5B3AF312" w14:textId="3FEF34EB" w:rsidR="00315E9C" w:rsidRPr="00A92B09" w:rsidRDefault="00D96C84"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2.7</w:t>
            </w:r>
          </w:p>
        </w:tc>
        <w:tc>
          <w:tcPr>
            <w:tcW w:w="1843" w:type="dxa"/>
          </w:tcPr>
          <w:p w14:paraId="7F8BF099" w14:textId="5729EBD7" w:rsidR="00315E9C" w:rsidRPr="00A92B09" w:rsidRDefault="0071740C" w:rsidP="005061BA">
            <w:pPr>
              <w:tabs>
                <w:tab w:val="decimal" w:pos="869"/>
              </w:tabs>
              <w:spacing w:line="260" w:lineRule="exact"/>
              <w:ind w:rightChars="-11" w:right="-26"/>
            </w:pPr>
            <w:r>
              <w:t>3.4</w:t>
            </w:r>
          </w:p>
        </w:tc>
        <w:tc>
          <w:tcPr>
            <w:tcW w:w="1701" w:type="dxa"/>
          </w:tcPr>
          <w:p w14:paraId="369A0F79" w14:textId="2AA765B1" w:rsidR="00315E9C" w:rsidRPr="00A92B09" w:rsidRDefault="0071740C" w:rsidP="005061BA">
            <w:pPr>
              <w:tabs>
                <w:tab w:val="decimal" w:pos="799"/>
              </w:tabs>
              <w:spacing w:line="260" w:lineRule="exact"/>
              <w:ind w:rightChars="-11" w:right="-26"/>
            </w:pPr>
            <w:r>
              <w:t>9.</w:t>
            </w:r>
            <w:r w:rsidR="00D96C84">
              <w:t>4</w:t>
            </w:r>
          </w:p>
        </w:tc>
      </w:tr>
    </w:tbl>
    <w:p w14:paraId="44572C82" w14:textId="3B34BC3B" w:rsidR="0058292C" w:rsidRPr="008F1D71" w:rsidRDefault="0058292C" w:rsidP="0058292C">
      <w:pPr>
        <w:tabs>
          <w:tab w:val="left" w:pos="720"/>
          <w:tab w:val="left" w:pos="1260"/>
        </w:tabs>
        <w:adjustRightInd w:val="0"/>
        <w:spacing w:line="200" w:lineRule="exact"/>
        <w:ind w:left="709" w:hanging="709"/>
        <w:jc w:val="both"/>
        <w:rPr>
          <w:szCs w:val="22"/>
        </w:rPr>
      </w:pPr>
    </w:p>
    <w:p w14:paraId="667637FE" w14:textId="01CEA372" w:rsidR="00CC0AE7" w:rsidRPr="00B67ADE" w:rsidRDefault="00CC0AE7" w:rsidP="004124C1">
      <w:pPr>
        <w:tabs>
          <w:tab w:val="left" w:pos="1260"/>
        </w:tabs>
        <w:adjustRightInd w:val="0"/>
        <w:spacing w:line="250" w:lineRule="exact"/>
        <w:ind w:left="851" w:hanging="851"/>
        <w:jc w:val="both"/>
        <w:rPr>
          <w:rFonts w:eastAsiaTheme="minorEastAsia"/>
          <w:sz w:val="22"/>
          <w:szCs w:val="22"/>
        </w:rPr>
      </w:pPr>
      <w:proofErr w:type="gramStart"/>
      <w:r w:rsidRPr="00B67ADE">
        <w:rPr>
          <w:sz w:val="22"/>
          <w:szCs w:val="22"/>
        </w:rPr>
        <w:t>Notes :</w:t>
      </w:r>
      <w:proofErr w:type="gramEnd"/>
      <w:r w:rsidR="004124C1">
        <w:rPr>
          <w:rFonts w:eastAsia="SimSun"/>
          <w:sz w:val="22"/>
          <w:szCs w:val="22"/>
          <w:lang w:eastAsia="zh-CN"/>
        </w:rPr>
        <w:tab/>
      </w:r>
      <w:r w:rsidRPr="00B67ADE">
        <w:rPr>
          <w:rFonts w:eastAsiaTheme="minorEastAsia"/>
          <w:sz w:val="22"/>
          <w:szCs w:val="22"/>
        </w:rPr>
        <w:t xml:space="preserve">Figures are compiled based on the change of ownership principle in recording goods sent abroad for processing and </w:t>
      </w:r>
      <w:proofErr w:type="spellStart"/>
      <w:r w:rsidRPr="00B67ADE">
        <w:rPr>
          <w:rFonts w:eastAsiaTheme="minorEastAsia"/>
          <w:sz w:val="22"/>
          <w:szCs w:val="22"/>
        </w:rPr>
        <w:t>merchanting</w:t>
      </w:r>
      <w:proofErr w:type="spellEnd"/>
      <w:r w:rsidRPr="00B67ADE">
        <w:rPr>
          <w:rFonts w:eastAsiaTheme="minorEastAsia"/>
          <w:sz w:val="22"/>
          <w:szCs w:val="22"/>
        </w:rPr>
        <w:t xml:space="preserve"> under the standards stipulated in the </w:t>
      </w:r>
      <w:r w:rsidRPr="00B67ADE">
        <w:rPr>
          <w:rFonts w:eastAsiaTheme="minorEastAsia"/>
          <w:i/>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2034B0D5" w14:textId="05B95D4A" w:rsidR="00CC0AE7"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671A1E">
        <w:rPr>
          <w:sz w:val="22"/>
          <w:szCs w:val="22"/>
        </w:rPr>
        <w:tab/>
      </w:r>
      <w:r w:rsidRPr="00B67ADE">
        <w:rPr>
          <w:sz w:val="22"/>
          <w:szCs w:val="22"/>
        </w:rPr>
        <w:t>(+)</w:t>
      </w:r>
      <w:r w:rsidRPr="00B67ADE">
        <w:rPr>
          <w:sz w:val="22"/>
          <w:szCs w:val="22"/>
        </w:rPr>
        <w:tab/>
        <w:t>Comprising mainly outbound travel spending.</w:t>
      </w:r>
    </w:p>
    <w:p w14:paraId="1A16AE5F" w14:textId="6BAE2F2C" w:rsidR="00CC0AE7" w:rsidRPr="00B67ADE" w:rsidRDefault="00CC0AE7" w:rsidP="00671A1E">
      <w:pPr>
        <w:keepNext/>
        <w:keepLines/>
        <w:tabs>
          <w:tab w:val="left" w:pos="851"/>
          <w:tab w:val="left" w:pos="1440"/>
        </w:tabs>
        <w:spacing w:afterLines="50" w:after="180" w:line="250" w:lineRule="exact"/>
        <w:ind w:left="1442" w:hanging="1442"/>
        <w:jc w:val="both"/>
        <w:rPr>
          <w:sz w:val="22"/>
          <w:szCs w:val="22"/>
        </w:rPr>
      </w:pPr>
      <w:r w:rsidRPr="00B67ADE">
        <w:rPr>
          <w:sz w:val="22"/>
          <w:szCs w:val="22"/>
        </w:rPr>
        <w:tab/>
        <w:t>(^)</w:t>
      </w:r>
      <w:r w:rsidRPr="00B67ADE">
        <w:rPr>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B67ADE">
        <w:rPr>
          <w:sz w:val="22"/>
          <w:szCs w:val="22"/>
        </w:rPr>
        <w:tab/>
        <w:t>(</w:t>
      </w:r>
      <w:r w:rsidR="00671A1E">
        <w:rPr>
          <w:sz w:val="22"/>
          <w:szCs w:val="22"/>
        </w:rPr>
        <w:t>  </w:t>
      </w:r>
      <w:r w:rsidRPr="00B67ADE">
        <w:rPr>
          <w:sz w:val="22"/>
          <w:szCs w:val="22"/>
        </w:rPr>
        <w:t>)</w:t>
      </w:r>
      <w:r w:rsidRPr="00B67ADE">
        <w:rPr>
          <w:sz w:val="22"/>
          <w:szCs w:val="22"/>
        </w:rPr>
        <w:tab/>
        <w:t>Seasonally adjusted quarter-to-quarter rate of change.</w:t>
      </w: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lastRenderedPageBreak/>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7E8D518D" w:rsidR="00540A25" w:rsidRPr="00F02C8D" w:rsidRDefault="00FC315D" w:rsidP="009A23A9">
      <w:pPr>
        <w:pStyle w:val="a"/>
        <w:numPr>
          <w:ilvl w:val="0"/>
          <w:numId w:val="6"/>
        </w:numPr>
        <w:tabs>
          <w:tab w:val="clear" w:pos="1080"/>
        </w:tabs>
        <w:spacing w:line="360" w:lineRule="atLeast"/>
        <w:rPr>
          <w:rFonts w:eastAsia="SimSun"/>
          <w:lang w:val="en-GB" w:eastAsia="zh-TW"/>
        </w:rPr>
      </w:pPr>
      <w:r w:rsidRPr="00F02C8D">
        <w:rPr>
          <w:lang w:val="en-GB"/>
        </w:rPr>
        <w:t xml:space="preserve">Based on the GDP </w:t>
      </w:r>
      <w:r w:rsidR="006D52E0" w:rsidRPr="00F02C8D">
        <w:rPr>
          <w:lang w:val="en-GB"/>
        </w:rPr>
        <w:t xml:space="preserve">compilation </w:t>
      </w:r>
      <w:r w:rsidR="005038A0" w:rsidRPr="00F02C8D">
        <w:rPr>
          <w:lang w:val="en-GB"/>
        </w:rPr>
        <w:t xml:space="preserve">framework and compared to a year earlier, the goods deficit </w:t>
      </w:r>
      <w:r w:rsidR="00117159" w:rsidRPr="00F02C8D">
        <w:rPr>
          <w:lang w:val="en-GB"/>
        </w:rPr>
        <w:t>narrowed to</w:t>
      </w:r>
      <w:r w:rsidR="00C82A23" w:rsidRPr="00F02C8D">
        <w:rPr>
          <w:lang w:val="en-GB"/>
        </w:rPr>
        <w:t xml:space="preserve"> </w:t>
      </w:r>
      <w:r w:rsidR="002A4C23" w:rsidRPr="00F02C8D">
        <w:rPr>
          <w:lang w:val="en-GB"/>
        </w:rPr>
        <w:t>$</w:t>
      </w:r>
      <w:r w:rsidR="00D96C84">
        <w:rPr>
          <w:lang w:val="en-GB"/>
        </w:rPr>
        <w:t>3</w:t>
      </w:r>
      <w:r w:rsidR="00F3028B" w:rsidRPr="00F02C8D">
        <w:rPr>
          <w:lang w:val="en-GB"/>
        </w:rPr>
        <w:t> </w:t>
      </w:r>
      <w:r w:rsidR="002A4C23" w:rsidRPr="00F02C8D">
        <w:rPr>
          <w:lang w:val="en-GB"/>
        </w:rPr>
        <w:t xml:space="preserve">billion in </w:t>
      </w:r>
      <w:r w:rsidR="00117159" w:rsidRPr="00F02C8D">
        <w:rPr>
          <w:lang w:val="en-GB"/>
        </w:rPr>
        <w:t xml:space="preserve">the </w:t>
      </w:r>
      <w:r w:rsidR="003F3D32">
        <w:rPr>
          <w:lang w:val="en-GB"/>
        </w:rPr>
        <w:t>first quarter of 2025</w:t>
      </w:r>
      <w:r w:rsidRPr="00F02C8D">
        <w:rPr>
          <w:lang w:val="en-GB"/>
        </w:rPr>
        <w:t xml:space="preserve">, as the value of </w:t>
      </w:r>
      <w:r w:rsidR="00CA2DC0" w:rsidRPr="00F02C8D">
        <w:rPr>
          <w:lang w:val="en-GB"/>
        </w:rPr>
        <w:t>ex</w:t>
      </w:r>
      <w:r w:rsidR="00117159" w:rsidRPr="00F02C8D">
        <w:rPr>
          <w:lang w:val="en-GB"/>
        </w:rPr>
        <w:t>ports</w:t>
      </w:r>
      <w:r w:rsidRPr="00F02C8D">
        <w:rPr>
          <w:lang w:val="en-GB"/>
        </w:rPr>
        <w:t xml:space="preserve"> of goods </w:t>
      </w:r>
      <w:r w:rsidR="0008704D" w:rsidRPr="00F02C8D">
        <w:rPr>
          <w:lang w:val="en-GB"/>
        </w:rPr>
        <w:t xml:space="preserve">saw a larger </w:t>
      </w:r>
      <w:r w:rsidR="00CA2DC0" w:rsidRPr="00F02C8D">
        <w:rPr>
          <w:lang w:val="en-GB"/>
        </w:rPr>
        <w:t xml:space="preserve">increase </w:t>
      </w:r>
      <w:r w:rsidRPr="00F02C8D">
        <w:rPr>
          <w:lang w:val="en-GB" w:eastAsia="zh-TW"/>
        </w:rPr>
        <w:t>than</w:t>
      </w:r>
      <w:r w:rsidRPr="00F02C8D">
        <w:rPr>
          <w:lang w:val="en-GB"/>
        </w:rPr>
        <w:t xml:space="preserve"> that of </w:t>
      </w:r>
      <w:r w:rsidR="00CA2DC0" w:rsidRPr="00F02C8D">
        <w:rPr>
          <w:lang w:val="en-GB"/>
        </w:rPr>
        <w:t>im</w:t>
      </w:r>
      <w:r w:rsidR="00117159" w:rsidRPr="00F02C8D">
        <w:rPr>
          <w:lang w:val="en-GB"/>
        </w:rPr>
        <w:t>ports</w:t>
      </w:r>
      <w:r w:rsidRPr="00F02C8D">
        <w:rPr>
          <w:lang w:val="en-GB" w:eastAsia="zh-TW"/>
        </w:rPr>
        <w:t xml:space="preserve">.  Meanwhile, the </w:t>
      </w:r>
      <w:r w:rsidRPr="00F02C8D">
        <w:rPr>
          <w:lang w:val="en-GB"/>
        </w:rPr>
        <w:t xml:space="preserve">services surplus </w:t>
      </w:r>
      <w:r w:rsidR="004D05A4" w:rsidRPr="00F02C8D">
        <w:rPr>
          <w:lang w:val="en-GB"/>
        </w:rPr>
        <w:t xml:space="preserve">widened </w:t>
      </w:r>
      <w:r w:rsidRPr="00F02C8D">
        <w:rPr>
          <w:lang w:val="en-GB"/>
        </w:rPr>
        <w:t xml:space="preserve">to </w:t>
      </w:r>
      <w:r w:rsidRPr="00F02C8D">
        <w:rPr>
          <w:lang w:val="en-GB" w:eastAsia="zh-TW"/>
        </w:rPr>
        <w:t>$</w:t>
      </w:r>
      <w:r w:rsidR="00F633B9">
        <w:rPr>
          <w:lang w:val="en-GB" w:eastAsia="zh-TW"/>
        </w:rPr>
        <w:t>5</w:t>
      </w:r>
      <w:r w:rsidR="00D96C84">
        <w:rPr>
          <w:lang w:val="en-GB" w:eastAsia="zh-TW"/>
        </w:rPr>
        <w:t>5</w:t>
      </w:r>
      <w:r w:rsidR="00875D09" w:rsidRPr="00F02C8D">
        <w:rPr>
          <w:lang w:val="en-GB"/>
        </w:rPr>
        <w:t> </w:t>
      </w:r>
      <w:r w:rsidRPr="00F02C8D">
        <w:rPr>
          <w:lang w:val="en-GB"/>
        </w:rPr>
        <w:t xml:space="preserve">billion.  The combined goods and services account registered a </w:t>
      </w:r>
      <w:r w:rsidRPr="00F02C8D">
        <w:rPr>
          <w:lang w:val="en-GB" w:eastAsia="zh-TW"/>
        </w:rPr>
        <w:t>surplus</w:t>
      </w:r>
      <w:r w:rsidRPr="00F02C8D">
        <w:rPr>
          <w:lang w:val="en-GB"/>
        </w:rPr>
        <w:t xml:space="preserve"> of </w:t>
      </w:r>
      <w:r w:rsidRPr="00F02C8D">
        <w:rPr>
          <w:lang w:val="en-GB" w:eastAsia="zh-TW"/>
        </w:rPr>
        <w:t>$</w:t>
      </w:r>
      <w:r w:rsidR="00F633B9">
        <w:rPr>
          <w:lang w:val="en-GB" w:eastAsia="zh-TW"/>
        </w:rPr>
        <w:t>52</w:t>
      </w:r>
      <w:r w:rsidRPr="00F02C8D">
        <w:rPr>
          <w:lang w:val="en-GB"/>
        </w:rPr>
        <w:t> billion in</w:t>
      </w:r>
      <w:r w:rsidR="00295ECC" w:rsidRPr="00F02C8D">
        <w:rPr>
          <w:lang w:val="en-GB"/>
        </w:rPr>
        <w:t xml:space="preserve"> the </w:t>
      </w:r>
      <w:r w:rsidR="003F3D32">
        <w:rPr>
          <w:lang w:val="en-GB"/>
        </w:rPr>
        <w:t>first quarter of 2025</w:t>
      </w:r>
      <w:r w:rsidRPr="00F02C8D">
        <w:rPr>
          <w:lang w:val="en-GB"/>
        </w:rPr>
        <w:t xml:space="preserve">, equivalent to </w:t>
      </w:r>
      <w:r w:rsidR="00F633B9">
        <w:rPr>
          <w:lang w:val="en-GB"/>
        </w:rPr>
        <w:t>3.</w:t>
      </w:r>
      <w:r w:rsidR="00D96C84">
        <w:rPr>
          <w:lang w:val="en-GB"/>
        </w:rPr>
        <w:t>5</w:t>
      </w:r>
      <w:r w:rsidRPr="00F02C8D">
        <w:rPr>
          <w:lang w:val="en-GB" w:eastAsia="zh-TW"/>
        </w:rPr>
        <w:t>%</w:t>
      </w:r>
      <w:r w:rsidRPr="00F02C8D">
        <w:rPr>
          <w:lang w:val="en-GB"/>
        </w:rPr>
        <w:t xml:space="preserve"> of total import value, compared to </w:t>
      </w:r>
      <w:r w:rsidRPr="00F02C8D">
        <w:rPr>
          <w:lang w:val="en-GB" w:eastAsia="zh-TW"/>
        </w:rPr>
        <w:t xml:space="preserve">a </w:t>
      </w:r>
      <w:r w:rsidR="00F3028B" w:rsidRPr="00F02C8D">
        <w:rPr>
          <w:lang w:val="en-GB" w:eastAsia="zh-TW"/>
        </w:rPr>
        <w:t xml:space="preserve">surplus </w:t>
      </w:r>
      <w:r w:rsidRPr="00F02C8D">
        <w:rPr>
          <w:lang w:val="en-GB"/>
        </w:rPr>
        <w:t>of $</w:t>
      </w:r>
      <w:r w:rsidR="003F3D32">
        <w:rPr>
          <w:lang w:val="en-GB" w:eastAsia="zh-TW"/>
        </w:rPr>
        <w:t>38</w:t>
      </w:r>
      <w:r w:rsidR="002E4E3E" w:rsidRPr="00F02C8D">
        <w:rPr>
          <w:lang w:val="en-GB"/>
        </w:rPr>
        <w:t> </w:t>
      </w:r>
      <w:r w:rsidRPr="00F02C8D">
        <w:rPr>
          <w:lang w:val="en-GB"/>
        </w:rPr>
        <w:t xml:space="preserve">billion or </w:t>
      </w:r>
      <w:r w:rsidR="003F3D32">
        <w:rPr>
          <w:lang w:val="en-GB" w:eastAsia="zh-TW"/>
        </w:rPr>
        <w:t>2.9</w:t>
      </w:r>
      <w:r w:rsidRPr="00F02C8D">
        <w:rPr>
          <w:lang w:val="en-GB"/>
        </w:rPr>
        <w:t xml:space="preserve">% in </w:t>
      </w:r>
      <w:r w:rsidR="00117159" w:rsidRPr="00F02C8D">
        <w:rPr>
          <w:lang w:val="en-GB"/>
        </w:rPr>
        <w:t xml:space="preserve">the </w:t>
      </w:r>
      <w:r w:rsidR="003F3D32">
        <w:rPr>
          <w:lang w:val="en-GB"/>
        </w:rPr>
        <w:t>first</w:t>
      </w:r>
      <w:r w:rsidR="00295ECC" w:rsidRPr="00F02C8D">
        <w:rPr>
          <w:lang w:val="en-GB"/>
        </w:rPr>
        <w:t xml:space="preserve"> quarter of 202</w:t>
      </w:r>
      <w:r w:rsidR="003F3D32">
        <w:rPr>
          <w:lang w:val="en-GB"/>
        </w:rPr>
        <w:t>4</w:t>
      </w:r>
      <w:r w:rsidRPr="00F02C8D">
        <w:rPr>
          <w:lang w:val="en-GB" w:eastAsia="zh-TW"/>
        </w:rPr>
        <w:t>.</w:t>
      </w:r>
    </w:p>
    <w:p w14:paraId="3F6AF552" w14:textId="77777777" w:rsidR="00227842" w:rsidRPr="00755857" w:rsidRDefault="00227842" w:rsidP="00DE77B6">
      <w:pPr>
        <w:pStyle w:val="a"/>
        <w:tabs>
          <w:tab w:val="clear" w:pos="1080"/>
          <w:tab w:val="left" w:pos="1260"/>
        </w:tabs>
        <w:spacing w:line="360" w:lineRule="atLeast"/>
        <w:rPr>
          <w:lang w:val="en-GB"/>
        </w:rPr>
      </w:pPr>
    </w:p>
    <w:p w14:paraId="5D2EBAF7" w14:textId="23C4A5C9" w:rsidR="00DD6F42" w:rsidRPr="00755857" w:rsidRDefault="00DD6F42" w:rsidP="0083644B">
      <w:pPr>
        <w:tabs>
          <w:tab w:val="left" w:pos="1080"/>
        </w:tabs>
        <w:spacing w:line="280" w:lineRule="exact"/>
        <w:ind w:right="26"/>
        <w:jc w:val="center"/>
        <w:outlineLvl w:val="0"/>
        <w:rPr>
          <w:sz w:val="28"/>
          <w:vertAlign w:val="superscript"/>
        </w:rPr>
      </w:pPr>
      <w:r w:rsidRPr="00755857">
        <w:rPr>
          <w:b/>
          <w:sz w:val="28"/>
        </w:rPr>
        <w:t xml:space="preserve">Table </w:t>
      </w:r>
      <w:proofErr w:type="gramStart"/>
      <w:r w:rsidR="00B42004" w:rsidRPr="00755857">
        <w:rPr>
          <w:b/>
          <w:sz w:val="28"/>
        </w:rPr>
        <w:t>2</w:t>
      </w:r>
      <w:r w:rsidRPr="00755857">
        <w:rPr>
          <w:b/>
          <w:sz w:val="28"/>
        </w:rPr>
        <w:t>.</w:t>
      </w:r>
      <w:r w:rsidR="00C63B5B" w:rsidRPr="00755857">
        <w:rPr>
          <w:b/>
          <w:sz w:val="28"/>
        </w:rPr>
        <w:t>6</w:t>
      </w:r>
      <w:r w:rsidRPr="00755857">
        <w:rPr>
          <w:b/>
          <w:sz w:val="28"/>
        </w:rPr>
        <w:t xml:space="preserve"> :</w:t>
      </w:r>
      <w:proofErr w:type="gramEnd"/>
      <w:r w:rsidRPr="00755857">
        <w:rPr>
          <w:b/>
          <w:sz w:val="28"/>
        </w:rPr>
        <w:t xml:space="preserve"> </w:t>
      </w:r>
      <w:r w:rsidR="008973D1" w:rsidRPr="00755857">
        <w:rPr>
          <w:b/>
          <w:sz w:val="28"/>
        </w:rPr>
        <w:t>Goods and services balance</w:t>
      </w:r>
    </w:p>
    <w:p w14:paraId="64C78599" w14:textId="70FC17AA" w:rsidR="00DD6F42" w:rsidRDefault="00DD6F42" w:rsidP="00DD6F42">
      <w:pPr>
        <w:tabs>
          <w:tab w:val="left" w:pos="144"/>
          <w:tab w:val="left" w:pos="864"/>
        </w:tabs>
        <w:spacing w:line="280" w:lineRule="exact"/>
        <w:ind w:left="144" w:right="29"/>
        <w:jc w:val="center"/>
        <w:rPr>
          <w:b/>
          <w:sz w:val="28"/>
        </w:rPr>
      </w:pPr>
      <w:r w:rsidRPr="00755857">
        <w:rPr>
          <w:b/>
          <w:sz w:val="28"/>
        </w:rPr>
        <w:t>($ billion at current market prices)</w:t>
      </w:r>
    </w:p>
    <w:p w14:paraId="1224C06F" w14:textId="77777777" w:rsidR="009C725E" w:rsidRPr="00B67ADE" w:rsidRDefault="009C725E" w:rsidP="00DD6F42">
      <w:pPr>
        <w:tabs>
          <w:tab w:val="left" w:pos="144"/>
          <w:tab w:val="left" w:pos="864"/>
        </w:tabs>
        <w:spacing w:line="280" w:lineRule="exact"/>
        <w:ind w:left="144" w:right="29"/>
        <w:jc w:val="center"/>
        <w:rPr>
          <w:rFonts w:eastAsia="SimSun"/>
          <w:b/>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EE12A2" w14:paraId="67A4601A" w14:textId="77777777" w:rsidTr="00E477A6">
        <w:trPr>
          <w:trHeight w:val="280"/>
          <w:jc w:val="center"/>
        </w:trPr>
        <w:tc>
          <w:tcPr>
            <w:tcW w:w="708" w:type="dxa"/>
          </w:tcPr>
          <w:p w14:paraId="7A1FCC43" w14:textId="77777777" w:rsidR="008F1D71" w:rsidRPr="00EE12A2" w:rsidRDefault="008F1D71" w:rsidP="00E477A6">
            <w:pPr>
              <w:tabs>
                <w:tab w:val="left" w:pos="1080"/>
              </w:tabs>
              <w:snapToGrid w:val="0"/>
            </w:pPr>
          </w:p>
        </w:tc>
        <w:tc>
          <w:tcPr>
            <w:tcW w:w="931" w:type="dxa"/>
          </w:tcPr>
          <w:p w14:paraId="30EC1E60" w14:textId="77777777" w:rsidR="008F1D71" w:rsidRPr="00EE12A2" w:rsidRDefault="008F1D71" w:rsidP="00E477A6">
            <w:pPr>
              <w:tabs>
                <w:tab w:val="left" w:pos="1080"/>
              </w:tabs>
              <w:snapToGrid w:val="0"/>
            </w:pPr>
          </w:p>
        </w:tc>
        <w:tc>
          <w:tcPr>
            <w:tcW w:w="2050" w:type="dxa"/>
            <w:gridSpan w:val="2"/>
          </w:tcPr>
          <w:p w14:paraId="6D562269" w14:textId="77777777" w:rsidR="008F1D71" w:rsidRPr="00EE12A2" w:rsidRDefault="008F1D71" w:rsidP="00E477A6">
            <w:pPr>
              <w:tabs>
                <w:tab w:val="left" w:pos="1080"/>
              </w:tabs>
              <w:snapToGrid w:val="0"/>
              <w:jc w:val="center"/>
              <w:rPr>
                <w:u w:val="single"/>
              </w:rPr>
            </w:pPr>
            <w:r w:rsidRPr="00EE12A2">
              <w:rPr>
                <w:u w:val="single"/>
              </w:rPr>
              <w:t>Total exports</w:t>
            </w:r>
          </w:p>
        </w:tc>
        <w:tc>
          <w:tcPr>
            <w:tcW w:w="2098" w:type="dxa"/>
            <w:gridSpan w:val="2"/>
          </w:tcPr>
          <w:p w14:paraId="1C7318AC" w14:textId="77777777" w:rsidR="008F1D71" w:rsidRPr="00EE12A2" w:rsidRDefault="008F1D71" w:rsidP="00E477A6">
            <w:pPr>
              <w:tabs>
                <w:tab w:val="left" w:pos="1080"/>
              </w:tabs>
              <w:snapToGrid w:val="0"/>
              <w:jc w:val="center"/>
              <w:rPr>
                <w:u w:val="single"/>
              </w:rPr>
            </w:pPr>
            <w:r w:rsidRPr="00EE12A2">
              <w:rPr>
                <w:u w:val="single"/>
              </w:rPr>
              <w:t>Imports</w:t>
            </w:r>
          </w:p>
        </w:tc>
        <w:tc>
          <w:tcPr>
            <w:tcW w:w="4239" w:type="dxa"/>
            <w:gridSpan w:val="4"/>
          </w:tcPr>
          <w:p w14:paraId="06864226" w14:textId="77777777" w:rsidR="008F1D71" w:rsidRPr="00EE12A2" w:rsidRDefault="008F1D71" w:rsidP="00E477A6">
            <w:pPr>
              <w:snapToGrid w:val="0"/>
              <w:jc w:val="center"/>
              <w:rPr>
                <w:u w:val="single"/>
              </w:rPr>
            </w:pPr>
            <w:r w:rsidRPr="00EE12A2">
              <w:rPr>
                <w:u w:val="single"/>
              </w:rPr>
              <w:t>Trade balance</w:t>
            </w:r>
          </w:p>
        </w:tc>
      </w:tr>
      <w:tr w:rsidR="008F1D71" w:rsidRPr="00EE12A2" w14:paraId="16750D86" w14:textId="77777777" w:rsidTr="00E477A6">
        <w:trPr>
          <w:trHeight w:val="840"/>
          <w:jc w:val="center"/>
        </w:trPr>
        <w:tc>
          <w:tcPr>
            <w:tcW w:w="708" w:type="dxa"/>
          </w:tcPr>
          <w:p w14:paraId="2807BD68" w14:textId="77777777" w:rsidR="008F1D71" w:rsidRPr="00EE12A2" w:rsidRDefault="008F1D71" w:rsidP="00E477A6">
            <w:pPr>
              <w:tabs>
                <w:tab w:val="left" w:pos="1080"/>
              </w:tabs>
              <w:snapToGrid w:val="0"/>
            </w:pPr>
          </w:p>
        </w:tc>
        <w:tc>
          <w:tcPr>
            <w:tcW w:w="931" w:type="dxa"/>
          </w:tcPr>
          <w:p w14:paraId="4BFA1134" w14:textId="77777777" w:rsidR="008F1D71" w:rsidRPr="00EE12A2" w:rsidRDefault="008F1D71" w:rsidP="00E477A6">
            <w:pPr>
              <w:tabs>
                <w:tab w:val="left" w:pos="1080"/>
              </w:tabs>
              <w:snapToGrid w:val="0"/>
            </w:pPr>
          </w:p>
        </w:tc>
        <w:tc>
          <w:tcPr>
            <w:tcW w:w="908" w:type="dxa"/>
          </w:tcPr>
          <w:p w14:paraId="5372CA3C" w14:textId="77777777" w:rsidR="008F1D71" w:rsidRPr="00EE12A2" w:rsidRDefault="008F1D71" w:rsidP="00E477A6">
            <w:pPr>
              <w:tabs>
                <w:tab w:val="left" w:pos="1080"/>
              </w:tabs>
              <w:snapToGrid w:val="0"/>
              <w:rPr>
                <w:u w:val="single"/>
              </w:rPr>
            </w:pPr>
          </w:p>
          <w:p w14:paraId="75C55189" w14:textId="77777777" w:rsidR="008F1D71" w:rsidRPr="00EE12A2" w:rsidRDefault="008F1D71" w:rsidP="00E477A6">
            <w:pPr>
              <w:tabs>
                <w:tab w:val="left" w:pos="1080"/>
              </w:tabs>
              <w:snapToGrid w:val="0"/>
            </w:pPr>
            <w:r w:rsidRPr="00EE12A2">
              <w:rPr>
                <w:u w:val="single"/>
              </w:rPr>
              <w:t>Goods</w:t>
            </w:r>
          </w:p>
        </w:tc>
        <w:tc>
          <w:tcPr>
            <w:tcW w:w="1142" w:type="dxa"/>
          </w:tcPr>
          <w:p w14:paraId="2DD5EAA2" w14:textId="77777777" w:rsidR="008F1D71" w:rsidRPr="00EE12A2" w:rsidRDefault="008F1D71" w:rsidP="00E477A6">
            <w:pPr>
              <w:tabs>
                <w:tab w:val="left" w:pos="1080"/>
              </w:tabs>
              <w:snapToGrid w:val="0"/>
              <w:rPr>
                <w:u w:val="single"/>
              </w:rPr>
            </w:pPr>
          </w:p>
          <w:p w14:paraId="0297180E" w14:textId="77777777" w:rsidR="008F1D71" w:rsidRPr="00EE12A2" w:rsidRDefault="008F1D71" w:rsidP="00E477A6">
            <w:pPr>
              <w:tabs>
                <w:tab w:val="left" w:pos="1080"/>
              </w:tabs>
              <w:snapToGrid w:val="0"/>
            </w:pPr>
            <w:r w:rsidRPr="00EE12A2">
              <w:rPr>
                <w:u w:val="single"/>
              </w:rPr>
              <w:t>Services</w:t>
            </w:r>
          </w:p>
        </w:tc>
        <w:tc>
          <w:tcPr>
            <w:tcW w:w="1018" w:type="dxa"/>
          </w:tcPr>
          <w:p w14:paraId="79828455" w14:textId="77777777" w:rsidR="008F1D71" w:rsidRPr="00EE12A2" w:rsidRDefault="008F1D71" w:rsidP="00E477A6">
            <w:pPr>
              <w:snapToGrid w:val="0"/>
              <w:rPr>
                <w:u w:val="single"/>
              </w:rPr>
            </w:pPr>
          </w:p>
          <w:p w14:paraId="1F1BBA61" w14:textId="77777777" w:rsidR="008F1D71" w:rsidRPr="00EE12A2" w:rsidRDefault="008F1D71" w:rsidP="00E477A6">
            <w:pPr>
              <w:snapToGrid w:val="0"/>
            </w:pPr>
            <w:r w:rsidRPr="00EE12A2">
              <w:rPr>
                <w:u w:val="single"/>
              </w:rPr>
              <w:t>Goods</w:t>
            </w:r>
          </w:p>
        </w:tc>
        <w:tc>
          <w:tcPr>
            <w:tcW w:w="1080" w:type="dxa"/>
          </w:tcPr>
          <w:p w14:paraId="05C9CB45" w14:textId="77777777" w:rsidR="008F1D71" w:rsidRPr="00EE12A2" w:rsidRDefault="008F1D71" w:rsidP="00E477A6">
            <w:pPr>
              <w:tabs>
                <w:tab w:val="left" w:pos="1080"/>
              </w:tabs>
              <w:snapToGrid w:val="0"/>
              <w:rPr>
                <w:u w:val="single"/>
              </w:rPr>
            </w:pPr>
          </w:p>
          <w:p w14:paraId="2987DA1A" w14:textId="77777777" w:rsidR="008F1D71" w:rsidRPr="00EE12A2" w:rsidRDefault="008F1D71" w:rsidP="00E477A6">
            <w:pPr>
              <w:tabs>
                <w:tab w:val="left" w:pos="1080"/>
              </w:tabs>
              <w:snapToGrid w:val="0"/>
            </w:pPr>
            <w:r w:rsidRPr="00EE12A2">
              <w:rPr>
                <w:u w:val="single"/>
              </w:rPr>
              <w:t>Services</w:t>
            </w:r>
          </w:p>
        </w:tc>
        <w:tc>
          <w:tcPr>
            <w:tcW w:w="900" w:type="dxa"/>
          </w:tcPr>
          <w:p w14:paraId="5BC6EE96" w14:textId="77777777" w:rsidR="008F1D71" w:rsidRPr="00EE12A2" w:rsidRDefault="008F1D71" w:rsidP="00E477A6">
            <w:pPr>
              <w:tabs>
                <w:tab w:val="left" w:pos="1080"/>
              </w:tabs>
              <w:snapToGrid w:val="0"/>
              <w:rPr>
                <w:u w:val="single"/>
              </w:rPr>
            </w:pPr>
          </w:p>
          <w:p w14:paraId="79BBD3D8" w14:textId="77777777" w:rsidR="008F1D71" w:rsidRPr="00EE12A2" w:rsidRDefault="008F1D71" w:rsidP="00E477A6">
            <w:pPr>
              <w:tabs>
                <w:tab w:val="left" w:pos="1080"/>
              </w:tabs>
              <w:snapToGrid w:val="0"/>
              <w:jc w:val="center"/>
            </w:pPr>
            <w:r w:rsidRPr="00EE12A2">
              <w:rPr>
                <w:u w:val="single"/>
              </w:rPr>
              <w:t>Goods</w:t>
            </w:r>
          </w:p>
        </w:tc>
        <w:tc>
          <w:tcPr>
            <w:tcW w:w="1091" w:type="dxa"/>
          </w:tcPr>
          <w:p w14:paraId="35BB0021" w14:textId="77777777" w:rsidR="008F1D71" w:rsidRPr="00EE12A2" w:rsidRDefault="008F1D71" w:rsidP="00E477A6">
            <w:pPr>
              <w:tabs>
                <w:tab w:val="left" w:pos="1080"/>
              </w:tabs>
              <w:snapToGrid w:val="0"/>
              <w:rPr>
                <w:u w:val="single"/>
              </w:rPr>
            </w:pPr>
          </w:p>
          <w:p w14:paraId="6200B2CD" w14:textId="77777777" w:rsidR="008F1D71" w:rsidRPr="00EE12A2" w:rsidRDefault="008F1D71" w:rsidP="00E477A6">
            <w:pPr>
              <w:tabs>
                <w:tab w:val="left" w:pos="1080"/>
              </w:tabs>
              <w:snapToGrid w:val="0"/>
            </w:pPr>
            <w:r w:rsidRPr="00EE12A2">
              <w:rPr>
                <w:u w:val="single"/>
              </w:rPr>
              <w:t>Services</w:t>
            </w:r>
          </w:p>
        </w:tc>
        <w:tc>
          <w:tcPr>
            <w:tcW w:w="1153" w:type="dxa"/>
          </w:tcPr>
          <w:p w14:paraId="4FD840E2" w14:textId="77777777" w:rsidR="008F1D71" w:rsidRPr="00EE12A2" w:rsidRDefault="008F1D71" w:rsidP="00E477A6">
            <w:pPr>
              <w:snapToGrid w:val="0"/>
              <w:ind w:rightChars="-45" w:right="-108"/>
              <w:rPr>
                <w:u w:val="single"/>
              </w:rPr>
            </w:pPr>
          </w:p>
          <w:p w14:paraId="363DF2D9" w14:textId="77777777" w:rsidR="008F1D71" w:rsidRPr="00EE12A2" w:rsidRDefault="008F1D71" w:rsidP="00E477A6">
            <w:pPr>
              <w:snapToGrid w:val="0"/>
              <w:ind w:rightChars="-45" w:right="-108"/>
              <w:rPr>
                <w:u w:val="single"/>
              </w:rPr>
            </w:pPr>
            <w:r w:rsidRPr="00EE12A2">
              <w:rPr>
                <w:u w:val="single"/>
              </w:rPr>
              <w:t>Combined</w:t>
            </w:r>
          </w:p>
        </w:tc>
        <w:tc>
          <w:tcPr>
            <w:tcW w:w="1095" w:type="dxa"/>
          </w:tcPr>
          <w:p w14:paraId="019A3305" w14:textId="77777777" w:rsidR="008F1D71" w:rsidRPr="00EE12A2" w:rsidRDefault="008F1D71" w:rsidP="00E477A6">
            <w:pPr>
              <w:snapToGrid w:val="0"/>
              <w:jc w:val="center"/>
              <w:rPr>
                <w:u w:val="single"/>
                <w:lang w:val="en-US"/>
              </w:rPr>
            </w:pPr>
            <w:r w:rsidRPr="00EE12A2">
              <w:rPr>
                <w:lang w:val="en-US"/>
              </w:rPr>
              <w:t xml:space="preserve">As % of </w:t>
            </w:r>
            <w:r w:rsidRPr="00EE12A2">
              <w:rPr>
                <w:u w:val="single"/>
                <w:lang w:val="en-US"/>
              </w:rPr>
              <w:t>imports</w:t>
            </w:r>
          </w:p>
          <w:p w14:paraId="13A40589" w14:textId="77777777" w:rsidR="008F1D71" w:rsidRPr="00EE12A2" w:rsidRDefault="008F1D71" w:rsidP="00E477A6">
            <w:pPr>
              <w:snapToGrid w:val="0"/>
              <w:jc w:val="center"/>
              <w:rPr>
                <w:u w:val="single"/>
                <w:lang w:val="en-US"/>
              </w:rPr>
            </w:pPr>
          </w:p>
        </w:tc>
      </w:tr>
      <w:tr w:rsidR="00F02C8D" w:rsidRPr="00EE12A2" w14:paraId="0B8BFBC0" w14:textId="77777777" w:rsidTr="007A1E41">
        <w:trPr>
          <w:trHeight w:val="289"/>
          <w:jc w:val="center"/>
        </w:trPr>
        <w:tc>
          <w:tcPr>
            <w:tcW w:w="708" w:type="dxa"/>
          </w:tcPr>
          <w:p w14:paraId="239487DD" w14:textId="4CC30D12" w:rsidR="00F02C8D" w:rsidRPr="00EE12A2" w:rsidRDefault="00F02C8D" w:rsidP="00F02C8D">
            <w:pPr>
              <w:tabs>
                <w:tab w:val="left" w:pos="1080"/>
              </w:tabs>
              <w:spacing w:line="230" w:lineRule="exact"/>
              <w:jc w:val="both"/>
              <w:rPr>
                <w:lang w:eastAsia="zh-HK"/>
              </w:rPr>
            </w:pPr>
            <w:r w:rsidRPr="00EE12A2">
              <w:t>202</w:t>
            </w:r>
            <w:r>
              <w:t>4</w:t>
            </w:r>
          </w:p>
        </w:tc>
        <w:tc>
          <w:tcPr>
            <w:tcW w:w="931" w:type="dxa"/>
          </w:tcPr>
          <w:p w14:paraId="142CF1A2" w14:textId="77777777" w:rsidR="00F02C8D" w:rsidRPr="00EE12A2" w:rsidRDefault="00F02C8D" w:rsidP="007A1E41">
            <w:pPr>
              <w:tabs>
                <w:tab w:val="left" w:pos="99"/>
              </w:tabs>
              <w:spacing w:line="230" w:lineRule="exact"/>
              <w:jc w:val="center"/>
            </w:pPr>
            <w:r w:rsidRPr="00EE12A2">
              <w:t>Annual</w:t>
            </w:r>
          </w:p>
        </w:tc>
        <w:tc>
          <w:tcPr>
            <w:tcW w:w="908" w:type="dxa"/>
          </w:tcPr>
          <w:p w14:paraId="1B3E827F" w14:textId="00DE222C" w:rsidR="00F02C8D" w:rsidRPr="00020E47" w:rsidRDefault="00F02C8D" w:rsidP="00F02C8D">
            <w:pPr>
              <w:tabs>
                <w:tab w:val="decimal" w:pos="612"/>
              </w:tabs>
              <w:spacing w:line="230" w:lineRule="exact"/>
              <w:ind w:right="-18"/>
              <w:jc w:val="both"/>
            </w:pPr>
            <w:r>
              <w:t>4,925</w:t>
            </w:r>
          </w:p>
        </w:tc>
        <w:tc>
          <w:tcPr>
            <w:tcW w:w="1142" w:type="dxa"/>
          </w:tcPr>
          <w:p w14:paraId="48210B87" w14:textId="4D59ACA7" w:rsidR="00F02C8D" w:rsidRPr="00020E47" w:rsidRDefault="00F02C8D" w:rsidP="00F02C8D">
            <w:pPr>
              <w:tabs>
                <w:tab w:val="decimal" w:pos="612"/>
              </w:tabs>
              <w:spacing w:line="230" w:lineRule="exact"/>
              <w:ind w:right="-18"/>
              <w:jc w:val="both"/>
            </w:pPr>
            <w:r>
              <w:t>84</w:t>
            </w:r>
            <w:r w:rsidR="00A32685">
              <w:t>7</w:t>
            </w:r>
          </w:p>
        </w:tc>
        <w:tc>
          <w:tcPr>
            <w:tcW w:w="1018" w:type="dxa"/>
          </w:tcPr>
          <w:p w14:paraId="36C423E1" w14:textId="61C8C0E8" w:rsidR="00F02C8D" w:rsidRPr="00020E47" w:rsidRDefault="00F02C8D" w:rsidP="00F02C8D">
            <w:pPr>
              <w:tabs>
                <w:tab w:val="decimal" w:pos="612"/>
              </w:tabs>
              <w:spacing w:line="230" w:lineRule="exact"/>
              <w:ind w:right="-18"/>
              <w:jc w:val="both"/>
            </w:pPr>
            <w:r>
              <w:t>4,940</w:t>
            </w:r>
          </w:p>
        </w:tc>
        <w:tc>
          <w:tcPr>
            <w:tcW w:w="1080" w:type="dxa"/>
          </w:tcPr>
          <w:p w14:paraId="1DA14B34" w14:textId="04415851" w:rsidR="00F02C8D" w:rsidRPr="00020E47" w:rsidRDefault="00F02C8D" w:rsidP="00F02C8D">
            <w:pPr>
              <w:tabs>
                <w:tab w:val="decimal" w:pos="612"/>
              </w:tabs>
              <w:spacing w:line="230" w:lineRule="exact"/>
              <w:ind w:right="-18"/>
              <w:jc w:val="both"/>
            </w:pPr>
            <w:r>
              <w:rPr>
                <w:lang w:eastAsia="zh-HK"/>
              </w:rPr>
              <w:t>70</w:t>
            </w:r>
            <w:r w:rsidR="00A32685">
              <w:rPr>
                <w:lang w:eastAsia="zh-HK"/>
              </w:rPr>
              <w:t>2</w:t>
            </w:r>
          </w:p>
        </w:tc>
        <w:tc>
          <w:tcPr>
            <w:tcW w:w="900" w:type="dxa"/>
          </w:tcPr>
          <w:p w14:paraId="4FCEC2E9" w14:textId="59E5C024" w:rsidR="00F02C8D" w:rsidRPr="00020E47" w:rsidRDefault="00F02C8D" w:rsidP="00F02C8D">
            <w:pPr>
              <w:tabs>
                <w:tab w:val="decimal" w:pos="567"/>
              </w:tabs>
              <w:spacing w:line="230" w:lineRule="exact"/>
              <w:ind w:right="-18"/>
              <w:jc w:val="both"/>
            </w:pPr>
            <w:r>
              <w:rPr>
                <w:lang w:eastAsia="zh-HK"/>
              </w:rPr>
              <w:t>-1</w:t>
            </w:r>
            <w:r w:rsidR="00A32685">
              <w:rPr>
                <w:lang w:eastAsia="zh-HK"/>
              </w:rPr>
              <w:t>6</w:t>
            </w:r>
          </w:p>
        </w:tc>
        <w:tc>
          <w:tcPr>
            <w:tcW w:w="1091" w:type="dxa"/>
          </w:tcPr>
          <w:p w14:paraId="4A184740" w14:textId="5E08FF11" w:rsidR="00F02C8D" w:rsidRPr="00020E47" w:rsidRDefault="00F02C8D" w:rsidP="00F02C8D">
            <w:pPr>
              <w:tabs>
                <w:tab w:val="decimal" w:pos="612"/>
              </w:tabs>
              <w:spacing w:line="230" w:lineRule="exact"/>
              <w:ind w:left="-36" w:right="-18"/>
              <w:jc w:val="both"/>
            </w:pPr>
            <w:r>
              <w:rPr>
                <w:lang w:eastAsia="zh-HK"/>
              </w:rPr>
              <w:t>14</w:t>
            </w:r>
            <w:r w:rsidR="00A32685">
              <w:rPr>
                <w:lang w:eastAsia="zh-HK"/>
              </w:rPr>
              <w:t>5</w:t>
            </w:r>
          </w:p>
        </w:tc>
        <w:tc>
          <w:tcPr>
            <w:tcW w:w="1153" w:type="dxa"/>
          </w:tcPr>
          <w:p w14:paraId="20723D97" w14:textId="179C1EC7" w:rsidR="00F02C8D" w:rsidRPr="00020E47" w:rsidRDefault="00F02C8D" w:rsidP="00F02C8D">
            <w:pPr>
              <w:tabs>
                <w:tab w:val="decimal" w:pos="612"/>
              </w:tabs>
              <w:spacing w:line="230" w:lineRule="exact"/>
              <w:ind w:left="-36" w:right="-18"/>
              <w:jc w:val="both"/>
            </w:pPr>
            <w:r>
              <w:rPr>
                <w:lang w:eastAsia="zh-HK"/>
              </w:rPr>
              <w:t>129</w:t>
            </w:r>
          </w:p>
        </w:tc>
        <w:tc>
          <w:tcPr>
            <w:tcW w:w="1095" w:type="dxa"/>
          </w:tcPr>
          <w:p w14:paraId="59B18D71" w14:textId="7AD44B0A" w:rsidR="00F02C8D" w:rsidRPr="00020E47" w:rsidRDefault="00F02C8D" w:rsidP="00F02C8D">
            <w:pPr>
              <w:tabs>
                <w:tab w:val="decimal" w:pos="432"/>
              </w:tabs>
              <w:spacing w:line="230" w:lineRule="exact"/>
              <w:ind w:right="-18"/>
              <w:jc w:val="both"/>
            </w:pPr>
            <w:r>
              <w:t>2.3</w:t>
            </w:r>
          </w:p>
        </w:tc>
      </w:tr>
      <w:tr w:rsidR="00F02C8D" w:rsidRPr="00EE12A2" w14:paraId="2692A32E" w14:textId="77777777" w:rsidTr="006F50F1">
        <w:trPr>
          <w:trHeight w:val="289"/>
          <w:jc w:val="center"/>
        </w:trPr>
        <w:tc>
          <w:tcPr>
            <w:tcW w:w="708" w:type="dxa"/>
          </w:tcPr>
          <w:p w14:paraId="1445A41C"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4EB571DB" w14:textId="77777777" w:rsidR="00F02C8D" w:rsidRPr="00EE12A2" w:rsidRDefault="00F02C8D" w:rsidP="00F02C8D">
            <w:pPr>
              <w:tabs>
                <w:tab w:val="left" w:pos="99"/>
              </w:tabs>
              <w:spacing w:line="230" w:lineRule="exact"/>
              <w:jc w:val="both"/>
            </w:pPr>
          </w:p>
        </w:tc>
        <w:tc>
          <w:tcPr>
            <w:tcW w:w="908" w:type="dxa"/>
          </w:tcPr>
          <w:p w14:paraId="21DDB46E" w14:textId="77777777" w:rsidR="00F02C8D" w:rsidRPr="00020E47" w:rsidRDefault="00F02C8D" w:rsidP="00F02C8D">
            <w:pPr>
              <w:tabs>
                <w:tab w:val="decimal" w:pos="612"/>
              </w:tabs>
              <w:spacing w:line="230" w:lineRule="exact"/>
              <w:ind w:right="-18"/>
              <w:jc w:val="both"/>
            </w:pPr>
          </w:p>
        </w:tc>
        <w:tc>
          <w:tcPr>
            <w:tcW w:w="1142" w:type="dxa"/>
          </w:tcPr>
          <w:p w14:paraId="515F9994" w14:textId="77777777" w:rsidR="00F02C8D" w:rsidRPr="00020E47" w:rsidRDefault="00F02C8D" w:rsidP="00F02C8D">
            <w:pPr>
              <w:tabs>
                <w:tab w:val="decimal" w:pos="612"/>
              </w:tabs>
              <w:spacing w:line="230" w:lineRule="exact"/>
              <w:ind w:right="-18"/>
              <w:jc w:val="both"/>
            </w:pPr>
          </w:p>
        </w:tc>
        <w:tc>
          <w:tcPr>
            <w:tcW w:w="1018" w:type="dxa"/>
          </w:tcPr>
          <w:p w14:paraId="5B93B6C1" w14:textId="7662C6D8" w:rsidR="00F02C8D" w:rsidRPr="00020E47" w:rsidRDefault="00F02C8D" w:rsidP="00F02C8D">
            <w:pPr>
              <w:tabs>
                <w:tab w:val="decimal" w:pos="612"/>
              </w:tabs>
              <w:spacing w:line="230" w:lineRule="exact"/>
              <w:ind w:right="-18"/>
              <w:jc w:val="both"/>
            </w:pPr>
          </w:p>
        </w:tc>
        <w:tc>
          <w:tcPr>
            <w:tcW w:w="1080" w:type="dxa"/>
          </w:tcPr>
          <w:p w14:paraId="4CD6EAD8" w14:textId="77777777" w:rsidR="00F02C8D" w:rsidRPr="00020E47" w:rsidRDefault="00F02C8D" w:rsidP="00F02C8D">
            <w:pPr>
              <w:tabs>
                <w:tab w:val="decimal" w:pos="612"/>
              </w:tabs>
              <w:spacing w:line="230" w:lineRule="exact"/>
              <w:ind w:right="-18"/>
              <w:jc w:val="both"/>
            </w:pPr>
          </w:p>
        </w:tc>
        <w:tc>
          <w:tcPr>
            <w:tcW w:w="900" w:type="dxa"/>
          </w:tcPr>
          <w:p w14:paraId="6BFC4D6A" w14:textId="77777777" w:rsidR="00F02C8D" w:rsidRPr="00020E47" w:rsidRDefault="00F02C8D" w:rsidP="00F02C8D">
            <w:pPr>
              <w:tabs>
                <w:tab w:val="decimal" w:pos="567"/>
              </w:tabs>
              <w:spacing w:line="230" w:lineRule="exact"/>
              <w:ind w:right="-18"/>
              <w:jc w:val="both"/>
            </w:pPr>
          </w:p>
        </w:tc>
        <w:tc>
          <w:tcPr>
            <w:tcW w:w="1091" w:type="dxa"/>
          </w:tcPr>
          <w:p w14:paraId="4932B965" w14:textId="77777777" w:rsidR="00F02C8D" w:rsidRPr="00020E47" w:rsidRDefault="00F02C8D" w:rsidP="00F02C8D">
            <w:pPr>
              <w:tabs>
                <w:tab w:val="decimal" w:pos="612"/>
              </w:tabs>
              <w:spacing w:line="230" w:lineRule="exact"/>
              <w:ind w:left="-36" w:right="-18"/>
              <w:jc w:val="both"/>
            </w:pPr>
          </w:p>
        </w:tc>
        <w:tc>
          <w:tcPr>
            <w:tcW w:w="1153" w:type="dxa"/>
          </w:tcPr>
          <w:p w14:paraId="39FF2219" w14:textId="31B31D4B" w:rsidR="00F02C8D" w:rsidRPr="00020E47" w:rsidRDefault="00F02C8D" w:rsidP="00F02C8D">
            <w:pPr>
              <w:tabs>
                <w:tab w:val="decimal" w:pos="612"/>
              </w:tabs>
              <w:spacing w:line="230" w:lineRule="exact"/>
              <w:ind w:right="-18"/>
              <w:jc w:val="both"/>
            </w:pPr>
          </w:p>
        </w:tc>
        <w:tc>
          <w:tcPr>
            <w:tcW w:w="1095" w:type="dxa"/>
            <w:vAlign w:val="center"/>
          </w:tcPr>
          <w:p w14:paraId="0BCBDAB9" w14:textId="77777777" w:rsidR="00F02C8D" w:rsidRPr="00020E47" w:rsidRDefault="00F02C8D" w:rsidP="00F02C8D">
            <w:pPr>
              <w:tabs>
                <w:tab w:val="decimal" w:pos="432"/>
              </w:tabs>
              <w:spacing w:line="230" w:lineRule="exact"/>
              <w:ind w:left="-36" w:right="-18"/>
              <w:jc w:val="both"/>
              <w:rPr>
                <w:lang w:val="en-US"/>
              </w:rPr>
            </w:pPr>
          </w:p>
        </w:tc>
      </w:tr>
      <w:tr w:rsidR="00F02C8D" w:rsidRPr="00EE12A2" w14:paraId="16C2AD94" w14:textId="77777777" w:rsidTr="00D32D4E">
        <w:trPr>
          <w:trHeight w:val="289"/>
          <w:jc w:val="center"/>
        </w:trPr>
        <w:tc>
          <w:tcPr>
            <w:tcW w:w="708" w:type="dxa"/>
          </w:tcPr>
          <w:p w14:paraId="628AE97C"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062C28B8" w14:textId="77777777" w:rsidR="00F02C8D" w:rsidRPr="00EE12A2" w:rsidRDefault="00F02C8D" w:rsidP="00F02C8D">
            <w:pPr>
              <w:tabs>
                <w:tab w:val="left" w:pos="99"/>
              </w:tabs>
              <w:spacing w:line="230" w:lineRule="exact"/>
            </w:pPr>
            <w:r w:rsidRPr="00EE12A2">
              <w:t>Q1</w:t>
            </w:r>
          </w:p>
        </w:tc>
        <w:tc>
          <w:tcPr>
            <w:tcW w:w="908" w:type="dxa"/>
          </w:tcPr>
          <w:p w14:paraId="6722D92F" w14:textId="7FDE9EDD" w:rsidR="00F02C8D" w:rsidRPr="00020E47" w:rsidRDefault="00F02C8D" w:rsidP="00F02C8D">
            <w:pPr>
              <w:tabs>
                <w:tab w:val="decimal" w:pos="612"/>
              </w:tabs>
              <w:spacing w:line="230" w:lineRule="exact"/>
              <w:ind w:right="-18"/>
              <w:jc w:val="both"/>
            </w:pPr>
            <w:r>
              <w:t>1,148</w:t>
            </w:r>
          </w:p>
        </w:tc>
        <w:tc>
          <w:tcPr>
            <w:tcW w:w="1142" w:type="dxa"/>
          </w:tcPr>
          <w:p w14:paraId="3EF2BEB6" w14:textId="1A2E0EC9" w:rsidR="00F02C8D" w:rsidRPr="00020E47" w:rsidRDefault="00F02C8D" w:rsidP="00F02C8D">
            <w:pPr>
              <w:tabs>
                <w:tab w:val="decimal" w:pos="612"/>
              </w:tabs>
              <w:spacing w:line="230" w:lineRule="exact"/>
              <w:ind w:right="-18"/>
              <w:jc w:val="both"/>
            </w:pPr>
            <w:r>
              <w:t>21</w:t>
            </w:r>
            <w:r w:rsidR="0071740C">
              <w:t>8</w:t>
            </w:r>
          </w:p>
        </w:tc>
        <w:tc>
          <w:tcPr>
            <w:tcW w:w="1018" w:type="dxa"/>
          </w:tcPr>
          <w:p w14:paraId="018B0F68" w14:textId="29BF75ED" w:rsidR="00F02C8D" w:rsidRPr="00020E47" w:rsidRDefault="00F02C8D" w:rsidP="00F02C8D">
            <w:pPr>
              <w:tabs>
                <w:tab w:val="decimal" w:pos="612"/>
              </w:tabs>
              <w:spacing w:line="230" w:lineRule="exact"/>
              <w:ind w:right="-18"/>
              <w:jc w:val="both"/>
            </w:pPr>
            <w:r>
              <w:t>1,154</w:t>
            </w:r>
          </w:p>
        </w:tc>
        <w:tc>
          <w:tcPr>
            <w:tcW w:w="1080" w:type="dxa"/>
          </w:tcPr>
          <w:p w14:paraId="4EDAC09A" w14:textId="14DCF385" w:rsidR="00F02C8D" w:rsidRPr="00020E47" w:rsidRDefault="00F02C8D" w:rsidP="00F02C8D">
            <w:pPr>
              <w:tabs>
                <w:tab w:val="decimal" w:pos="612"/>
              </w:tabs>
              <w:spacing w:line="230" w:lineRule="exact"/>
              <w:ind w:right="-18"/>
              <w:jc w:val="both"/>
            </w:pPr>
            <w:r>
              <w:t>174</w:t>
            </w:r>
          </w:p>
        </w:tc>
        <w:tc>
          <w:tcPr>
            <w:tcW w:w="900" w:type="dxa"/>
          </w:tcPr>
          <w:p w14:paraId="391BBA26" w14:textId="1AF8CEFE" w:rsidR="00F02C8D" w:rsidRPr="00020E47" w:rsidRDefault="00F02C8D" w:rsidP="00F02C8D">
            <w:pPr>
              <w:tabs>
                <w:tab w:val="decimal" w:pos="567"/>
              </w:tabs>
              <w:spacing w:line="230" w:lineRule="exact"/>
              <w:ind w:right="-18"/>
              <w:jc w:val="both"/>
            </w:pPr>
            <w:r>
              <w:t>-6</w:t>
            </w:r>
          </w:p>
        </w:tc>
        <w:tc>
          <w:tcPr>
            <w:tcW w:w="1091" w:type="dxa"/>
          </w:tcPr>
          <w:p w14:paraId="77C11FD0" w14:textId="73FA062A" w:rsidR="00F02C8D" w:rsidRPr="00020E47" w:rsidRDefault="00F02C8D" w:rsidP="00F02C8D">
            <w:pPr>
              <w:tabs>
                <w:tab w:val="decimal" w:pos="612"/>
              </w:tabs>
              <w:spacing w:line="230" w:lineRule="exact"/>
              <w:ind w:left="-36" w:right="-18"/>
              <w:jc w:val="both"/>
            </w:pPr>
            <w:r>
              <w:t>4</w:t>
            </w:r>
            <w:r w:rsidR="00A32685">
              <w:t>5</w:t>
            </w:r>
          </w:p>
        </w:tc>
        <w:tc>
          <w:tcPr>
            <w:tcW w:w="1153" w:type="dxa"/>
          </w:tcPr>
          <w:p w14:paraId="46EE70DD" w14:textId="54D135DC" w:rsidR="00F02C8D" w:rsidRPr="00020E47" w:rsidRDefault="00F02C8D" w:rsidP="00F02C8D">
            <w:pPr>
              <w:tabs>
                <w:tab w:val="decimal" w:pos="612"/>
              </w:tabs>
              <w:spacing w:line="230" w:lineRule="exact"/>
              <w:ind w:left="-36" w:right="-18"/>
              <w:jc w:val="both"/>
            </w:pPr>
            <w:r>
              <w:t>38</w:t>
            </w:r>
          </w:p>
        </w:tc>
        <w:tc>
          <w:tcPr>
            <w:tcW w:w="1095" w:type="dxa"/>
          </w:tcPr>
          <w:p w14:paraId="446CA354" w14:textId="627FEEBF" w:rsidR="00F02C8D" w:rsidRPr="00020E47" w:rsidRDefault="00F02C8D" w:rsidP="00F02C8D">
            <w:pPr>
              <w:tabs>
                <w:tab w:val="decimal" w:pos="432"/>
              </w:tabs>
              <w:spacing w:line="230" w:lineRule="exact"/>
              <w:ind w:right="-18"/>
              <w:rPr>
                <w:lang w:val="en-US"/>
              </w:rPr>
            </w:pPr>
            <w:r>
              <w:t>2.9</w:t>
            </w:r>
          </w:p>
        </w:tc>
      </w:tr>
      <w:tr w:rsidR="00F02C8D" w:rsidRPr="00EE12A2" w14:paraId="4FFB821D" w14:textId="77777777" w:rsidTr="00D32D4E">
        <w:trPr>
          <w:trHeight w:val="289"/>
          <w:jc w:val="center"/>
        </w:trPr>
        <w:tc>
          <w:tcPr>
            <w:tcW w:w="708" w:type="dxa"/>
          </w:tcPr>
          <w:p w14:paraId="4589B4FF"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4EF1773F" w14:textId="77777777" w:rsidR="00F02C8D" w:rsidRPr="00EE12A2" w:rsidRDefault="00F02C8D" w:rsidP="00F02C8D">
            <w:pPr>
              <w:tabs>
                <w:tab w:val="left" w:pos="99"/>
              </w:tabs>
              <w:spacing w:line="230" w:lineRule="exact"/>
            </w:pPr>
            <w:r w:rsidRPr="00EE12A2">
              <w:t>Q2</w:t>
            </w:r>
          </w:p>
        </w:tc>
        <w:tc>
          <w:tcPr>
            <w:tcW w:w="908" w:type="dxa"/>
          </w:tcPr>
          <w:p w14:paraId="20789936" w14:textId="7FDC2C5B" w:rsidR="00F02C8D" w:rsidRPr="00020E47" w:rsidRDefault="00F02C8D" w:rsidP="00F02C8D">
            <w:pPr>
              <w:tabs>
                <w:tab w:val="decimal" w:pos="612"/>
              </w:tabs>
              <w:spacing w:line="230" w:lineRule="exact"/>
              <w:ind w:right="-18"/>
              <w:jc w:val="both"/>
            </w:pPr>
            <w:r>
              <w:t>1,201</w:t>
            </w:r>
          </w:p>
        </w:tc>
        <w:tc>
          <w:tcPr>
            <w:tcW w:w="1142" w:type="dxa"/>
          </w:tcPr>
          <w:p w14:paraId="4D9A609E" w14:textId="2A1778B2" w:rsidR="00F02C8D" w:rsidRPr="00020E47" w:rsidRDefault="00F02C8D" w:rsidP="00F02C8D">
            <w:pPr>
              <w:tabs>
                <w:tab w:val="decimal" w:pos="612"/>
              </w:tabs>
              <w:spacing w:line="230" w:lineRule="exact"/>
              <w:ind w:right="-18"/>
              <w:jc w:val="both"/>
            </w:pPr>
            <w:r>
              <w:t>192</w:t>
            </w:r>
          </w:p>
        </w:tc>
        <w:tc>
          <w:tcPr>
            <w:tcW w:w="1018" w:type="dxa"/>
          </w:tcPr>
          <w:p w14:paraId="3679697C" w14:textId="3B2C11A7" w:rsidR="00F02C8D" w:rsidRPr="00020E47" w:rsidRDefault="00F02C8D" w:rsidP="00F02C8D">
            <w:pPr>
              <w:tabs>
                <w:tab w:val="decimal" w:pos="612"/>
              </w:tabs>
              <w:spacing w:line="230" w:lineRule="exact"/>
              <w:ind w:right="-18"/>
              <w:jc w:val="both"/>
            </w:pPr>
            <w:r>
              <w:t>1,215</w:t>
            </w:r>
          </w:p>
        </w:tc>
        <w:tc>
          <w:tcPr>
            <w:tcW w:w="1080" w:type="dxa"/>
          </w:tcPr>
          <w:p w14:paraId="6AD09CF3" w14:textId="59CB6E98" w:rsidR="00F02C8D" w:rsidRPr="00020E47" w:rsidRDefault="00F02C8D" w:rsidP="00F02C8D">
            <w:pPr>
              <w:tabs>
                <w:tab w:val="decimal" w:pos="612"/>
              </w:tabs>
              <w:spacing w:line="230" w:lineRule="exact"/>
              <w:ind w:right="-18"/>
              <w:jc w:val="both"/>
            </w:pPr>
            <w:r>
              <w:t>16</w:t>
            </w:r>
            <w:r w:rsidR="00A32685">
              <w:t>4</w:t>
            </w:r>
          </w:p>
        </w:tc>
        <w:tc>
          <w:tcPr>
            <w:tcW w:w="900" w:type="dxa"/>
          </w:tcPr>
          <w:p w14:paraId="60220D7D" w14:textId="0F8DEC49" w:rsidR="00F02C8D" w:rsidRPr="00020E47" w:rsidRDefault="00F02C8D" w:rsidP="00F02C8D">
            <w:pPr>
              <w:tabs>
                <w:tab w:val="decimal" w:pos="567"/>
              </w:tabs>
              <w:spacing w:line="230" w:lineRule="exact"/>
              <w:ind w:right="-18"/>
              <w:jc w:val="both"/>
            </w:pPr>
            <w:r>
              <w:t>-14</w:t>
            </w:r>
          </w:p>
        </w:tc>
        <w:tc>
          <w:tcPr>
            <w:tcW w:w="1091" w:type="dxa"/>
          </w:tcPr>
          <w:p w14:paraId="156C4DF4" w14:textId="079FA010" w:rsidR="00F02C8D" w:rsidRPr="00020E47" w:rsidRDefault="00F02C8D" w:rsidP="00F02C8D">
            <w:pPr>
              <w:tabs>
                <w:tab w:val="decimal" w:pos="612"/>
              </w:tabs>
              <w:spacing w:line="230" w:lineRule="exact"/>
              <w:ind w:left="-36" w:right="-18"/>
              <w:jc w:val="both"/>
            </w:pPr>
            <w:r>
              <w:t>27</w:t>
            </w:r>
          </w:p>
        </w:tc>
        <w:tc>
          <w:tcPr>
            <w:tcW w:w="1153" w:type="dxa"/>
          </w:tcPr>
          <w:p w14:paraId="76F73F70" w14:textId="60B09538" w:rsidR="00F02C8D" w:rsidRPr="00020E47" w:rsidRDefault="00F02C8D" w:rsidP="00F02C8D">
            <w:pPr>
              <w:tabs>
                <w:tab w:val="decimal" w:pos="612"/>
              </w:tabs>
              <w:spacing w:line="230" w:lineRule="exact"/>
              <w:ind w:left="-36" w:right="-18"/>
              <w:jc w:val="both"/>
            </w:pPr>
            <w:r>
              <w:t>13</w:t>
            </w:r>
          </w:p>
        </w:tc>
        <w:tc>
          <w:tcPr>
            <w:tcW w:w="1095" w:type="dxa"/>
          </w:tcPr>
          <w:p w14:paraId="06499591" w14:textId="6C5EA870" w:rsidR="00F02C8D" w:rsidRPr="00020E47" w:rsidRDefault="00A32685" w:rsidP="00F02C8D">
            <w:pPr>
              <w:tabs>
                <w:tab w:val="decimal" w:pos="432"/>
              </w:tabs>
              <w:spacing w:line="230" w:lineRule="exact"/>
              <w:ind w:left="-36" w:right="-18"/>
              <w:jc w:val="both"/>
              <w:rPr>
                <w:lang w:val="en-US"/>
              </w:rPr>
            </w:pPr>
            <w:r>
              <w:t>1.0</w:t>
            </w:r>
          </w:p>
        </w:tc>
      </w:tr>
      <w:tr w:rsidR="00F02C8D" w:rsidRPr="00EE12A2" w14:paraId="1E93C331" w14:textId="77777777" w:rsidTr="00D32D4E">
        <w:trPr>
          <w:trHeight w:val="289"/>
          <w:jc w:val="center"/>
        </w:trPr>
        <w:tc>
          <w:tcPr>
            <w:tcW w:w="708" w:type="dxa"/>
          </w:tcPr>
          <w:p w14:paraId="7EBB7357"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7844C484" w14:textId="77777777" w:rsidR="00F02C8D" w:rsidRPr="00EE12A2" w:rsidRDefault="00F02C8D" w:rsidP="00F02C8D">
            <w:pPr>
              <w:tabs>
                <w:tab w:val="left" w:pos="99"/>
              </w:tabs>
              <w:spacing w:line="230" w:lineRule="exact"/>
            </w:pPr>
            <w:r w:rsidRPr="00EE12A2">
              <w:t>Q3</w:t>
            </w:r>
          </w:p>
        </w:tc>
        <w:tc>
          <w:tcPr>
            <w:tcW w:w="908" w:type="dxa"/>
          </w:tcPr>
          <w:p w14:paraId="0133FC29" w14:textId="4AB46281" w:rsidR="00F02C8D" w:rsidRPr="00020E47" w:rsidRDefault="00F02C8D" w:rsidP="00F02C8D">
            <w:pPr>
              <w:tabs>
                <w:tab w:val="decimal" w:pos="612"/>
              </w:tabs>
              <w:spacing w:line="230" w:lineRule="exact"/>
              <w:ind w:right="-18"/>
              <w:jc w:val="both"/>
            </w:pPr>
            <w:r>
              <w:t>1,264</w:t>
            </w:r>
          </w:p>
        </w:tc>
        <w:tc>
          <w:tcPr>
            <w:tcW w:w="1142" w:type="dxa"/>
          </w:tcPr>
          <w:p w14:paraId="425D5C47" w14:textId="2F7669C1" w:rsidR="00F02C8D" w:rsidRPr="00020E47" w:rsidRDefault="00F02C8D" w:rsidP="00F02C8D">
            <w:pPr>
              <w:tabs>
                <w:tab w:val="decimal" w:pos="612"/>
              </w:tabs>
              <w:spacing w:line="230" w:lineRule="exact"/>
              <w:ind w:right="-18"/>
              <w:jc w:val="both"/>
            </w:pPr>
            <w:r>
              <w:t>215</w:t>
            </w:r>
          </w:p>
        </w:tc>
        <w:tc>
          <w:tcPr>
            <w:tcW w:w="1018" w:type="dxa"/>
          </w:tcPr>
          <w:p w14:paraId="12A9F028" w14:textId="2ECF55B7" w:rsidR="00F02C8D" w:rsidRPr="00020E47" w:rsidRDefault="00F02C8D" w:rsidP="00F02C8D">
            <w:pPr>
              <w:tabs>
                <w:tab w:val="decimal" w:pos="612"/>
              </w:tabs>
              <w:spacing w:line="230" w:lineRule="exact"/>
              <w:ind w:right="-18"/>
              <w:jc w:val="both"/>
            </w:pPr>
            <w:r>
              <w:t>1,264</w:t>
            </w:r>
          </w:p>
        </w:tc>
        <w:tc>
          <w:tcPr>
            <w:tcW w:w="1080" w:type="dxa"/>
          </w:tcPr>
          <w:p w14:paraId="1C6EDDBD" w14:textId="0670CE1F" w:rsidR="00F02C8D" w:rsidRPr="00020E47" w:rsidRDefault="00F02C8D" w:rsidP="00F02C8D">
            <w:pPr>
              <w:tabs>
                <w:tab w:val="decimal" w:pos="612"/>
              </w:tabs>
              <w:spacing w:line="230" w:lineRule="exact"/>
              <w:ind w:right="-18"/>
              <w:jc w:val="both"/>
            </w:pPr>
            <w:r>
              <w:t>17</w:t>
            </w:r>
            <w:r w:rsidR="00A32685">
              <w:t>6</w:t>
            </w:r>
          </w:p>
        </w:tc>
        <w:tc>
          <w:tcPr>
            <w:tcW w:w="900" w:type="dxa"/>
          </w:tcPr>
          <w:p w14:paraId="643D5FC5" w14:textId="0C87D2A3" w:rsidR="00F02C8D" w:rsidRPr="00020E47" w:rsidRDefault="00F02C8D" w:rsidP="00F02C8D">
            <w:pPr>
              <w:tabs>
                <w:tab w:val="decimal" w:pos="567"/>
              </w:tabs>
              <w:spacing w:line="230" w:lineRule="exact"/>
              <w:ind w:right="-18"/>
              <w:jc w:val="both"/>
            </w:pPr>
            <w:r>
              <w:t>-1</w:t>
            </w:r>
          </w:p>
        </w:tc>
        <w:tc>
          <w:tcPr>
            <w:tcW w:w="1091" w:type="dxa"/>
          </w:tcPr>
          <w:p w14:paraId="218FE6AE" w14:textId="30A03170" w:rsidR="00F02C8D" w:rsidRPr="00020E47" w:rsidRDefault="00F02C8D" w:rsidP="00F02C8D">
            <w:pPr>
              <w:tabs>
                <w:tab w:val="decimal" w:pos="612"/>
              </w:tabs>
              <w:spacing w:line="230" w:lineRule="exact"/>
              <w:ind w:left="-36" w:right="-18"/>
              <w:jc w:val="both"/>
            </w:pPr>
            <w:r>
              <w:t>3</w:t>
            </w:r>
            <w:r w:rsidR="00A32685">
              <w:t>9</w:t>
            </w:r>
          </w:p>
        </w:tc>
        <w:tc>
          <w:tcPr>
            <w:tcW w:w="1153" w:type="dxa"/>
          </w:tcPr>
          <w:p w14:paraId="28915A15" w14:textId="3EC9D036" w:rsidR="00F02C8D" w:rsidRPr="00020E47" w:rsidRDefault="00F02C8D" w:rsidP="00F02C8D">
            <w:pPr>
              <w:tabs>
                <w:tab w:val="decimal" w:pos="612"/>
              </w:tabs>
              <w:spacing w:line="230" w:lineRule="exact"/>
              <w:ind w:left="-36" w:right="-18"/>
              <w:jc w:val="both"/>
            </w:pPr>
            <w:r>
              <w:t>38</w:t>
            </w:r>
          </w:p>
        </w:tc>
        <w:tc>
          <w:tcPr>
            <w:tcW w:w="1095" w:type="dxa"/>
          </w:tcPr>
          <w:p w14:paraId="6B39AC4C" w14:textId="0C9555AE" w:rsidR="00F02C8D" w:rsidRPr="00020E47" w:rsidRDefault="00F02C8D" w:rsidP="00F02C8D">
            <w:pPr>
              <w:tabs>
                <w:tab w:val="decimal" w:pos="432"/>
              </w:tabs>
              <w:spacing w:line="230" w:lineRule="exact"/>
              <w:ind w:left="-36" w:right="-18"/>
              <w:jc w:val="both"/>
              <w:rPr>
                <w:lang w:val="en-US"/>
              </w:rPr>
            </w:pPr>
            <w:r>
              <w:t>2.</w:t>
            </w:r>
            <w:r w:rsidR="00A32685">
              <w:t>7</w:t>
            </w:r>
          </w:p>
        </w:tc>
      </w:tr>
      <w:tr w:rsidR="00F02C8D" w:rsidRPr="00EE12A2" w14:paraId="71B0863D" w14:textId="77777777" w:rsidTr="00D32D4E">
        <w:trPr>
          <w:trHeight w:val="289"/>
          <w:jc w:val="center"/>
        </w:trPr>
        <w:tc>
          <w:tcPr>
            <w:tcW w:w="708" w:type="dxa"/>
          </w:tcPr>
          <w:p w14:paraId="25B3F1B7"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5347473A" w14:textId="77777777" w:rsidR="00F02C8D" w:rsidRDefault="00F02C8D" w:rsidP="00F02C8D">
            <w:pPr>
              <w:tabs>
                <w:tab w:val="left" w:pos="99"/>
              </w:tabs>
              <w:spacing w:line="230" w:lineRule="exact"/>
            </w:pPr>
            <w:r w:rsidRPr="00EE12A2">
              <w:t>Q4</w:t>
            </w:r>
          </w:p>
          <w:p w14:paraId="30C1D719" w14:textId="5C8AC8D4" w:rsidR="00F02C8D" w:rsidRPr="00EE12A2" w:rsidRDefault="00F02C8D" w:rsidP="00F02C8D">
            <w:pPr>
              <w:tabs>
                <w:tab w:val="left" w:pos="99"/>
              </w:tabs>
              <w:spacing w:line="230" w:lineRule="exact"/>
            </w:pPr>
          </w:p>
        </w:tc>
        <w:tc>
          <w:tcPr>
            <w:tcW w:w="908" w:type="dxa"/>
          </w:tcPr>
          <w:p w14:paraId="320800AE" w14:textId="77D54802" w:rsidR="00F02C8D" w:rsidRPr="00020E47" w:rsidRDefault="00F02C8D" w:rsidP="00F02C8D">
            <w:pPr>
              <w:tabs>
                <w:tab w:val="decimal" w:pos="612"/>
              </w:tabs>
              <w:spacing w:line="230" w:lineRule="exact"/>
              <w:ind w:right="-18"/>
              <w:jc w:val="both"/>
            </w:pPr>
            <w:r>
              <w:t>1,313</w:t>
            </w:r>
          </w:p>
        </w:tc>
        <w:tc>
          <w:tcPr>
            <w:tcW w:w="1142" w:type="dxa"/>
          </w:tcPr>
          <w:p w14:paraId="6E446D6E" w14:textId="2997C67D" w:rsidR="00F02C8D" w:rsidRPr="00020E47" w:rsidRDefault="00F02C8D" w:rsidP="00F02C8D">
            <w:pPr>
              <w:tabs>
                <w:tab w:val="decimal" w:pos="612"/>
              </w:tabs>
              <w:spacing w:line="230" w:lineRule="exact"/>
              <w:ind w:right="-18"/>
              <w:jc w:val="both"/>
            </w:pPr>
            <w:r>
              <w:t>223</w:t>
            </w:r>
          </w:p>
        </w:tc>
        <w:tc>
          <w:tcPr>
            <w:tcW w:w="1018" w:type="dxa"/>
          </w:tcPr>
          <w:p w14:paraId="3C6FEB87" w14:textId="14D52220" w:rsidR="00F02C8D" w:rsidRPr="00020E47" w:rsidRDefault="00F02C8D" w:rsidP="00F02C8D">
            <w:pPr>
              <w:tabs>
                <w:tab w:val="decimal" w:pos="612"/>
              </w:tabs>
              <w:spacing w:line="230" w:lineRule="exact"/>
              <w:ind w:right="-18"/>
              <w:jc w:val="both"/>
            </w:pPr>
            <w:r>
              <w:t>1,307</w:t>
            </w:r>
          </w:p>
        </w:tc>
        <w:tc>
          <w:tcPr>
            <w:tcW w:w="1080" w:type="dxa"/>
          </w:tcPr>
          <w:p w14:paraId="486F97F0" w14:textId="1BA67868" w:rsidR="00F02C8D" w:rsidRPr="00020E47" w:rsidRDefault="00F02C8D" w:rsidP="00F02C8D">
            <w:pPr>
              <w:tabs>
                <w:tab w:val="decimal" w:pos="612"/>
              </w:tabs>
              <w:spacing w:line="230" w:lineRule="exact"/>
              <w:ind w:right="-18"/>
              <w:jc w:val="both"/>
            </w:pPr>
            <w:r>
              <w:rPr>
                <w:lang w:eastAsia="zh-HK"/>
              </w:rPr>
              <w:t>189</w:t>
            </w:r>
          </w:p>
        </w:tc>
        <w:tc>
          <w:tcPr>
            <w:tcW w:w="900" w:type="dxa"/>
          </w:tcPr>
          <w:p w14:paraId="25A63D31" w14:textId="4C9C05D8" w:rsidR="00F02C8D" w:rsidRPr="00020E47" w:rsidRDefault="00F02C8D" w:rsidP="00F02C8D">
            <w:pPr>
              <w:tabs>
                <w:tab w:val="decimal" w:pos="567"/>
              </w:tabs>
              <w:spacing w:line="230" w:lineRule="exact"/>
              <w:ind w:right="-18"/>
              <w:jc w:val="both"/>
            </w:pPr>
            <w:r>
              <w:rPr>
                <w:lang w:eastAsia="zh-HK"/>
              </w:rPr>
              <w:t>5</w:t>
            </w:r>
          </w:p>
        </w:tc>
        <w:tc>
          <w:tcPr>
            <w:tcW w:w="1091" w:type="dxa"/>
          </w:tcPr>
          <w:p w14:paraId="3B36BAF2" w14:textId="440F35F7" w:rsidR="00F02C8D" w:rsidRPr="00020E47" w:rsidRDefault="00F02C8D" w:rsidP="00F02C8D">
            <w:pPr>
              <w:tabs>
                <w:tab w:val="decimal" w:pos="612"/>
              </w:tabs>
              <w:spacing w:line="230" w:lineRule="exact"/>
              <w:ind w:left="-36" w:right="-18"/>
              <w:jc w:val="both"/>
            </w:pPr>
            <w:r>
              <w:rPr>
                <w:lang w:eastAsia="zh-HK"/>
              </w:rPr>
              <w:t>34</w:t>
            </w:r>
          </w:p>
        </w:tc>
        <w:tc>
          <w:tcPr>
            <w:tcW w:w="1153" w:type="dxa"/>
          </w:tcPr>
          <w:p w14:paraId="6F886894" w14:textId="5804AC55" w:rsidR="00F02C8D" w:rsidRPr="00020E47" w:rsidRDefault="00A32685" w:rsidP="00F02C8D">
            <w:pPr>
              <w:tabs>
                <w:tab w:val="decimal" w:pos="612"/>
              </w:tabs>
              <w:spacing w:line="230" w:lineRule="exact"/>
              <w:ind w:left="-36" w:right="-18"/>
              <w:jc w:val="both"/>
            </w:pPr>
            <w:r>
              <w:rPr>
                <w:lang w:eastAsia="zh-HK"/>
              </w:rPr>
              <w:t>39</w:t>
            </w:r>
          </w:p>
        </w:tc>
        <w:tc>
          <w:tcPr>
            <w:tcW w:w="1095" w:type="dxa"/>
          </w:tcPr>
          <w:p w14:paraId="0D1ECD24" w14:textId="46541497" w:rsidR="00F02C8D" w:rsidRPr="00020E47" w:rsidRDefault="00F02C8D" w:rsidP="00F02C8D">
            <w:pPr>
              <w:tabs>
                <w:tab w:val="decimal" w:pos="432"/>
              </w:tabs>
              <w:spacing w:line="230" w:lineRule="exact"/>
              <w:ind w:left="-36" w:right="-18"/>
              <w:jc w:val="both"/>
            </w:pPr>
            <w:r>
              <w:t>2.</w:t>
            </w:r>
            <w:r w:rsidR="00A32685">
              <w:t>6</w:t>
            </w:r>
          </w:p>
        </w:tc>
      </w:tr>
      <w:tr w:rsidR="007A1E41" w:rsidRPr="00EE12A2" w14:paraId="32E8E49E" w14:textId="77777777" w:rsidTr="0017314D">
        <w:trPr>
          <w:trHeight w:val="289"/>
          <w:jc w:val="center"/>
        </w:trPr>
        <w:tc>
          <w:tcPr>
            <w:tcW w:w="708" w:type="dxa"/>
          </w:tcPr>
          <w:p w14:paraId="6320D841" w14:textId="0760D1E7" w:rsidR="007A1E41" w:rsidRPr="00EE12A2" w:rsidRDefault="007A1E41" w:rsidP="007A1E41">
            <w:pPr>
              <w:tabs>
                <w:tab w:val="left" w:pos="1080"/>
              </w:tabs>
              <w:spacing w:line="230" w:lineRule="exact"/>
              <w:jc w:val="both"/>
              <w:rPr>
                <w:lang w:eastAsia="zh-HK"/>
              </w:rPr>
            </w:pPr>
            <w:r w:rsidRPr="00EE12A2">
              <w:t>202</w:t>
            </w:r>
            <w:r>
              <w:t>5</w:t>
            </w:r>
          </w:p>
        </w:tc>
        <w:tc>
          <w:tcPr>
            <w:tcW w:w="931" w:type="dxa"/>
          </w:tcPr>
          <w:p w14:paraId="7E1520FB" w14:textId="174102E5" w:rsidR="007A1E41" w:rsidRPr="00EE12A2" w:rsidRDefault="007A1E41" w:rsidP="007A1E41">
            <w:pPr>
              <w:tabs>
                <w:tab w:val="left" w:pos="99"/>
              </w:tabs>
              <w:spacing w:line="230" w:lineRule="exact"/>
            </w:pPr>
            <w:r>
              <w:t>Q1</w:t>
            </w:r>
          </w:p>
        </w:tc>
        <w:tc>
          <w:tcPr>
            <w:tcW w:w="908" w:type="dxa"/>
          </w:tcPr>
          <w:p w14:paraId="0B9F488E" w14:textId="1723280C" w:rsidR="007A1E41" w:rsidRPr="00020E47" w:rsidRDefault="007A1E41" w:rsidP="007A1E41">
            <w:pPr>
              <w:tabs>
                <w:tab w:val="decimal" w:pos="612"/>
              </w:tabs>
              <w:spacing w:line="230" w:lineRule="exact"/>
              <w:ind w:right="-18"/>
              <w:jc w:val="both"/>
            </w:pPr>
            <w:r>
              <w:t>1,</w:t>
            </w:r>
            <w:r w:rsidR="0071740C">
              <w:t>287</w:t>
            </w:r>
          </w:p>
        </w:tc>
        <w:tc>
          <w:tcPr>
            <w:tcW w:w="1142" w:type="dxa"/>
          </w:tcPr>
          <w:p w14:paraId="78AF1D5D" w14:textId="710ED29F" w:rsidR="007A1E41" w:rsidRPr="00020E47" w:rsidRDefault="00A32685" w:rsidP="007A1E41">
            <w:pPr>
              <w:tabs>
                <w:tab w:val="decimal" w:pos="612"/>
              </w:tabs>
              <w:spacing w:line="230" w:lineRule="exact"/>
              <w:ind w:right="-18"/>
              <w:jc w:val="both"/>
            </w:pPr>
            <w:r>
              <w:t>237</w:t>
            </w:r>
          </w:p>
        </w:tc>
        <w:tc>
          <w:tcPr>
            <w:tcW w:w="1018" w:type="dxa"/>
          </w:tcPr>
          <w:p w14:paraId="7106784F" w14:textId="3F705A7E" w:rsidR="007A1E41" w:rsidRPr="00020E47" w:rsidRDefault="007A1E41">
            <w:pPr>
              <w:tabs>
                <w:tab w:val="decimal" w:pos="612"/>
              </w:tabs>
              <w:spacing w:line="230" w:lineRule="exact"/>
              <w:ind w:right="-18"/>
              <w:jc w:val="both"/>
            </w:pPr>
            <w:r>
              <w:t>1,</w:t>
            </w:r>
            <w:r w:rsidR="00A32685">
              <w:t>2</w:t>
            </w:r>
            <w:r w:rsidR="00D96C84">
              <w:t>90</w:t>
            </w:r>
          </w:p>
        </w:tc>
        <w:tc>
          <w:tcPr>
            <w:tcW w:w="1080" w:type="dxa"/>
          </w:tcPr>
          <w:p w14:paraId="204274E6" w14:textId="499F86F7" w:rsidR="007A1E41" w:rsidRPr="00020E47" w:rsidRDefault="00A32685" w:rsidP="007A1E41">
            <w:pPr>
              <w:tabs>
                <w:tab w:val="decimal" w:pos="612"/>
              </w:tabs>
              <w:spacing w:line="230" w:lineRule="exact"/>
              <w:ind w:right="-18"/>
              <w:jc w:val="both"/>
            </w:pPr>
            <w:r>
              <w:t>18</w:t>
            </w:r>
            <w:r w:rsidR="00D96C84">
              <w:t>2</w:t>
            </w:r>
          </w:p>
        </w:tc>
        <w:tc>
          <w:tcPr>
            <w:tcW w:w="900" w:type="dxa"/>
          </w:tcPr>
          <w:p w14:paraId="308B5B52" w14:textId="45207C7D" w:rsidR="007A1E41" w:rsidRPr="00020E47" w:rsidRDefault="00A32685" w:rsidP="007A1E41">
            <w:pPr>
              <w:tabs>
                <w:tab w:val="decimal" w:pos="567"/>
              </w:tabs>
              <w:spacing w:line="230" w:lineRule="exact"/>
              <w:ind w:right="-18"/>
              <w:jc w:val="both"/>
            </w:pPr>
            <w:r>
              <w:t>-</w:t>
            </w:r>
            <w:r w:rsidR="00D96C84">
              <w:t>3</w:t>
            </w:r>
          </w:p>
        </w:tc>
        <w:tc>
          <w:tcPr>
            <w:tcW w:w="1091" w:type="dxa"/>
          </w:tcPr>
          <w:p w14:paraId="6D3B225E" w14:textId="3532DFC6" w:rsidR="007A1E41" w:rsidRPr="00020E47" w:rsidRDefault="00A32685" w:rsidP="007A1E41">
            <w:pPr>
              <w:tabs>
                <w:tab w:val="decimal" w:pos="612"/>
              </w:tabs>
              <w:spacing w:line="230" w:lineRule="exact"/>
              <w:ind w:left="-36" w:right="-18"/>
              <w:jc w:val="both"/>
            </w:pPr>
            <w:r>
              <w:t>5</w:t>
            </w:r>
            <w:r w:rsidR="00D96C84">
              <w:t>5</w:t>
            </w:r>
          </w:p>
        </w:tc>
        <w:tc>
          <w:tcPr>
            <w:tcW w:w="1153" w:type="dxa"/>
          </w:tcPr>
          <w:p w14:paraId="10A2583A" w14:textId="677B1207" w:rsidR="007A1E41" w:rsidRPr="00020E47" w:rsidRDefault="00A32685" w:rsidP="007A1E41">
            <w:pPr>
              <w:tabs>
                <w:tab w:val="decimal" w:pos="612"/>
              </w:tabs>
              <w:spacing w:line="230" w:lineRule="exact"/>
              <w:ind w:left="-36" w:right="-18"/>
              <w:jc w:val="both"/>
            </w:pPr>
            <w:r>
              <w:t>52</w:t>
            </w:r>
          </w:p>
        </w:tc>
        <w:tc>
          <w:tcPr>
            <w:tcW w:w="1095" w:type="dxa"/>
          </w:tcPr>
          <w:p w14:paraId="3F1F6816" w14:textId="78BC26C7" w:rsidR="007A1E41" w:rsidRPr="00020E47" w:rsidRDefault="00A32685" w:rsidP="007A1E41">
            <w:pPr>
              <w:tabs>
                <w:tab w:val="decimal" w:pos="432"/>
              </w:tabs>
              <w:spacing w:line="230" w:lineRule="exact"/>
              <w:ind w:right="-18"/>
              <w:jc w:val="both"/>
            </w:pPr>
            <w:r>
              <w:t>3.</w:t>
            </w:r>
            <w:r w:rsidR="00D96C84">
              <w:t>5</w:t>
            </w:r>
          </w:p>
        </w:tc>
      </w:tr>
    </w:tbl>
    <w:p w14:paraId="6921E22E" w14:textId="77777777" w:rsidR="008F1D71" w:rsidRDefault="008F1D71" w:rsidP="00A62130">
      <w:pPr>
        <w:tabs>
          <w:tab w:val="left" w:pos="993"/>
        </w:tabs>
        <w:adjustRightInd w:val="0"/>
        <w:spacing w:line="250" w:lineRule="exact"/>
        <w:ind w:left="993" w:hanging="993"/>
        <w:jc w:val="both"/>
        <w:rPr>
          <w:sz w:val="22"/>
          <w:szCs w:val="22"/>
        </w:rPr>
      </w:pPr>
    </w:p>
    <w:p w14:paraId="3652CDB1" w14:textId="30207B2B" w:rsidR="00D702B2" w:rsidRPr="00B67ADE" w:rsidRDefault="00D702B2" w:rsidP="00A62130">
      <w:pPr>
        <w:tabs>
          <w:tab w:val="left" w:pos="993"/>
        </w:tabs>
        <w:adjustRightInd w:val="0"/>
        <w:spacing w:line="250" w:lineRule="exact"/>
        <w:ind w:left="993" w:hanging="993"/>
        <w:jc w:val="both"/>
        <w:rPr>
          <w:rFonts w:eastAsiaTheme="minorEastAsia"/>
          <w:sz w:val="22"/>
          <w:szCs w:val="22"/>
        </w:rPr>
      </w:pPr>
      <w:proofErr w:type="gramStart"/>
      <w:r w:rsidRPr="00B67ADE">
        <w:rPr>
          <w:sz w:val="22"/>
          <w:szCs w:val="22"/>
        </w:rPr>
        <w:t>Notes :</w:t>
      </w:r>
      <w:proofErr w:type="gramEnd"/>
      <w:r w:rsidRPr="00B67ADE">
        <w:rPr>
          <w:sz w:val="22"/>
          <w:szCs w:val="22"/>
        </w:rPr>
        <w:t xml:space="preserve">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w:t>
      </w:r>
      <w:proofErr w:type="spellStart"/>
      <w:r w:rsidRPr="00B67ADE">
        <w:rPr>
          <w:sz w:val="22"/>
          <w:szCs w:val="22"/>
          <w:lang w:eastAsia="zh-HK"/>
        </w:rPr>
        <w:t>merchanting</w:t>
      </w:r>
      <w:proofErr w:type="spellEnd"/>
      <w:r w:rsidRPr="00B67ADE">
        <w:rPr>
          <w:sz w:val="22"/>
          <w:szCs w:val="22"/>
          <w:lang w:eastAsia="zh-HK"/>
        </w:rPr>
        <w:t xml:space="preserve">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bookmarkStart w:id="0" w:name="_GoBack"/>
      <w:bookmarkEnd w:id="0"/>
    </w:p>
    <w:p w14:paraId="1940BD7E" w14:textId="2C13148A" w:rsidR="00AA0532" w:rsidRPr="00EF349A" w:rsidRDefault="00CF07A6" w:rsidP="00EF349A">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5FA4BBE6" w14:textId="77777777" w:rsidR="0071545C" w:rsidRPr="00EF349A" w:rsidRDefault="0071545C" w:rsidP="0071545C">
      <w:pPr>
        <w:pStyle w:val="a"/>
        <w:tabs>
          <w:tab w:val="clear" w:pos="1080"/>
        </w:tabs>
        <w:overflowPunct w:val="0"/>
        <w:spacing w:line="360" w:lineRule="atLeast"/>
      </w:pPr>
    </w:p>
    <w:p w14:paraId="1196137A" w14:textId="7217CF9C" w:rsidR="0071545C" w:rsidRPr="0079294A" w:rsidRDefault="00BF37E4" w:rsidP="002536DA">
      <w:pPr>
        <w:pStyle w:val="a"/>
        <w:numPr>
          <w:ilvl w:val="0"/>
          <w:numId w:val="6"/>
        </w:numPr>
        <w:tabs>
          <w:tab w:val="clear" w:pos="1080"/>
        </w:tabs>
        <w:overflowPunct w:val="0"/>
        <w:spacing w:line="360" w:lineRule="atLeast"/>
        <w:rPr>
          <w:b/>
        </w:rPr>
      </w:pPr>
      <w:r>
        <w:rPr>
          <w:lang w:val="en-GB"/>
        </w:rPr>
        <w:t>I</w:t>
      </w:r>
      <w:r w:rsidR="0071545C">
        <w:rPr>
          <w:lang w:val="en-GB"/>
        </w:rPr>
        <w:t>n response to the US’ imposition of “reciprocal tariffs” in early April, t</w:t>
      </w:r>
      <w:r w:rsidR="0071545C" w:rsidRPr="0079294A">
        <w:rPr>
          <w:szCs w:val="28"/>
          <w:lang w:val="en-GB"/>
        </w:rPr>
        <w:t xml:space="preserve">he </w:t>
      </w:r>
      <w:r>
        <w:rPr>
          <w:szCs w:val="28"/>
          <w:lang w:val="en-GB"/>
        </w:rPr>
        <w:t xml:space="preserve">Government has </w:t>
      </w:r>
      <w:r w:rsidR="0071545C">
        <w:rPr>
          <w:lang w:val="en-GB"/>
        </w:rPr>
        <w:t xml:space="preserve">stepped up support </w:t>
      </w:r>
      <w:r>
        <w:rPr>
          <w:lang w:val="en-GB"/>
        </w:rPr>
        <w:t xml:space="preserve">for </w:t>
      </w:r>
      <w:r w:rsidR="0071545C">
        <w:rPr>
          <w:lang w:val="en-GB"/>
        </w:rPr>
        <w:t xml:space="preserve">Hong Kong enterprises to cope with the challenges.  Specifically, </w:t>
      </w:r>
      <w:r>
        <w:rPr>
          <w:lang w:val="en-GB"/>
        </w:rPr>
        <w:t xml:space="preserve">the Hong Kong Monetary Authority, together with the banking sector, introduced </w:t>
      </w:r>
      <w:r w:rsidR="0071545C" w:rsidRPr="0079294A">
        <w:rPr>
          <w:szCs w:val="28"/>
          <w:lang w:val="en-GB"/>
        </w:rPr>
        <w:t xml:space="preserve">sector-specific support measures to assist more </w:t>
      </w:r>
      <w:r w:rsidR="007C3303">
        <w:rPr>
          <w:szCs w:val="28"/>
          <w:lang w:val="en-GB"/>
        </w:rPr>
        <w:t>small and medium enterprises (</w:t>
      </w:r>
      <w:r w:rsidR="0071545C" w:rsidRPr="0079294A">
        <w:rPr>
          <w:szCs w:val="28"/>
          <w:lang w:val="en-GB"/>
        </w:rPr>
        <w:t>SMEs</w:t>
      </w:r>
      <w:r w:rsidR="007C3303">
        <w:rPr>
          <w:szCs w:val="28"/>
          <w:lang w:val="en-GB"/>
        </w:rPr>
        <w:t>)</w:t>
      </w:r>
      <w:r w:rsidR="0071545C" w:rsidRPr="0079294A">
        <w:rPr>
          <w:szCs w:val="28"/>
          <w:lang w:val="en-GB"/>
        </w:rPr>
        <w:t xml:space="preserve"> in obtaining bank financing and in their upgrade and transformation.  </w:t>
      </w:r>
      <w:r w:rsidR="00EB61D7">
        <w:rPr>
          <w:szCs w:val="28"/>
          <w:lang w:val="en-GB"/>
        </w:rPr>
        <w:t xml:space="preserve">For </w:t>
      </w:r>
      <w:r w:rsidRPr="0079294A">
        <w:rPr>
          <w:szCs w:val="28"/>
          <w:lang w:val="en-GB"/>
        </w:rPr>
        <w:t xml:space="preserve">the import and export </w:t>
      </w:r>
      <w:r w:rsidR="00EB61D7">
        <w:rPr>
          <w:szCs w:val="28"/>
          <w:lang w:val="en-GB"/>
        </w:rPr>
        <w:t xml:space="preserve">sector </w:t>
      </w:r>
      <w:r w:rsidRPr="0079294A">
        <w:rPr>
          <w:szCs w:val="28"/>
          <w:lang w:val="en-GB"/>
        </w:rPr>
        <w:t xml:space="preserve">and </w:t>
      </w:r>
      <w:r w:rsidR="00EB61D7">
        <w:rPr>
          <w:szCs w:val="28"/>
          <w:lang w:val="en-GB"/>
        </w:rPr>
        <w:t xml:space="preserve">the </w:t>
      </w:r>
      <w:r w:rsidRPr="0079294A">
        <w:rPr>
          <w:szCs w:val="28"/>
          <w:lang w:val="en-GB"/>
        </w:rPr>
        <w:t>manufacturing sector, the participating banks agreed to provide flexible extensions to trade facilities or offer alternative suitable credit arrangements to assist individual customers experiencing short</w:t>
      </w:r>
      <w:r w:rsidRPr="0079294A">
        <w:rPr>
          <w:szCs w:val="28"/>
          <w:lang w:val="en-GB"/>
        </w:rPr>
        <w:noBreakHyphen/>
        <w:t xml:space="preserve">term cash flow pressures due to </w:t>
      </w:r>
      <w:r w:rsidR="00EB61D7">
        <w:rPr>
          <w:szCs w:val="28"/>
          <w:lang w:val="en-GB"/>
        </w:rPr>
        <w:t>the abrupt escalation of trade tensions</w:t>
      </w:r>
      <w:r w:rsidRPr="0079294A">
        <w:rPr>
          <w:szCs w:val="28"/>
          <w:lang w:val="en-GB"/>
        </w:rPr>
        <w:t xml:space="preserve">.  </w:t>
      </w:r>
      <w:r w:rsidR="007C3303">
        <w:rPr>
          <w:szCs w:val="28"/>
          <w:lang w:val="en-GB"/>
        </w:rPr>
        <w:t xml:space="preserve">The </w:t>
      </w:r>
      <w:r w:rsidR="0071545C">
        <w:rPr>
          <w:szCs w:val="28"/>
          <w:lang w:val="en-GB"/>
        </w:rPr>
        <w:t>Hong Kong Export Credit Insurance Corporation</w:t>
      </w:r>
      <w:r w:rsidR="0071545C" w:rsidRPr="0079294A">
        <w:rPr>
          <w:szCs w:val="28"/>
          <w:lang w:val="en-GB"/>
        </w:rPr>
        <w:t xml:space="preserve"> </w:t>
      </w:r>
      <w:r w:rsidR="007C3303">
        <w:rPr>
          <w:szCs w:val="28"/>
          <w:lang w:val="en-GB"/>
        </w:rPr>
        <w:t xml:space="preserve">also </w:t>
      </w:r>
      <w:r w:rsidR="0071545C" w:rsidRPr="0079294A">
        <w:rPr>
          <w:szCs w:val="28"/>
          <w:lang w:val="en-GB"/>
        </w:rPr>
        <w:t xml:space="preserve">introduced a new round of enhanced measures to support the export trade in Hong Kong and help accelerate Hong Kong enterprises’ expansion into new and diversified markets.  </w:t>
      </w:r>
      <w:r w:rsidRPr="0079294A">
        <w:rPr>
          <w:szCs w:val="28"/>
          <w:lang w:val="en-GB"/>
        </w:rPr>
        <w:t>The enhanced measures include: (</w:t>
      </w:r>
      <w:proofErr w:type="spellStart"/>
      <w:r w:rsidRPr="0079294A">
        <w:rPr>
          <w:szCs w:val="28"/>
          <w:lang w:val="en-GB"/>
        </w:rPr>
        <w:t>i</w:t>
      </w:r>
      <w:proofErr w:type="spellEnd"/>
      <w:r w:rsidRPr="0079294A">
        <w:rPr>
          <w:szCs w:val="28"/>
          <w:lang w:val="en-GB"/>
        </w:rPr>
        <w:t xml:space="preserve">) extending the free pre-shipment cover for holders of the Small Business Policy </w:t>
      </w:r>
      <w:r w:rsidR="002E2E83">
        <w:rPr>
          <w:szCs w:val="28"/>
          <w:lang w:val="en-GB"/>
        </w:rPr>
        <w:t xml:space="preserve">(SBP) </w:t>
      </w:r>
      <w:r w:rsidRPr="0079294A">
        <w:rPr>
          <w:szCs w:val="28"/>
          <w:lang w:val="en-GB"/>
        </w:rPr>
        <w:t xml:space="preserve">which is tailor-made for the SMEs; (ii) offering a 50% discount on pre-shipment risks to cover premiums for non-SBP holders; and (iii) reducing the premium rates for new markets to be in line with those for traditional major markets to reduce the costs and support exporters in tapping into </w:t>
      </w:r>
      <w:r w:rsidR="00AD1017">
        <w:rPr>
          <w:szCs w:val="28"/>
          <w:lang w:val="en-GB"/>
        </w:rPr>
        <w:t xml:space="preserve">emerging </w:t>
      </w:r>
      <w:r w:rsidRPr="0079294A">
        <w:rPr>
          <w:szCs w:val="28"/>
          <w:lang w:val="en-GB"/>
        </w:rPr>
        <w:t>market</w:t>
      </w:r>
      <w:r w:rsidR="00AD1017">
        <w:rPr>
          <w:szCs w:val="28"/>
          <w:lang w:val="en-GB"/>
        </w:rPr>
        <w:t>s</w:t>
      </w:r>
      <w:r w:rsidRPr="0079294A">
        <w:rPr>
          <w:szCs w:val="28"/>
          <w:lang w:val="en-GB"/>
        </w:rPr>
        <w:t>.</w:t>
      </w:r>
      <w:r w:rsidR="00EB61D7">
        <w:rPr>
          <w:szCs w:val="28"/>
          <w:lang w:val="en-GB"/>
        </w:rPr>
        <w:t xml:space="preserve">  Meanwhile, the Government continue</w:t>
      </w:r>
      <w:r w:rsidR="00C04B26">
        <w:rPr>
          <w:szCs w:val="28"/>
          <w:lang w:val="en-GB"/>
        </w:rPr>
        <w:t>d</w:t>
      </w:r>
      <w:r w:rsidR="00EB61D7">
        <w:rPr>
          <w:szCs w:val="28"/>
          <w:lang w:val="en-GB"/>
        </w:rPr>
        <w:t xml:space="preserve"> to make use of dedicated fund</w:t>
      </w:r>
      <w:r w:rsidR="00C04B26">
        <w:rPr>
          <w:szCs w:val="28"/>
          <w:lang w:val="en-GB"/>
        </w:rPr>
        <w:t>ing schemes</w:t>
      </w:r>
      <w:r w:rsidR="00EB61D7">
        <w:rPr>
          <w:szCs w:val="28"/>
          <w:lang w:val="en-GB"/>
        </w:rPr>
        <w:t xml:space="preserve"> to support enterprises to open new markets and expedite digital transformation. </w:t>
      </w:r>
    </w:p>
    <w:p w14:paraId="3F4403CB" w14:textId="0C2D3282" w:rsidR="0071545C" w:rsidRPr="0079294A" w:rsidRDefault="0071545C" w:rsidP="0071545C">
      <w:pPr>
        <w:widowControl/>
        <w:rPr>
          <w:b/>
          <w:kern w:val="0"/>
          <w:sz w:val="28"/>
          <w:szCs w:val="20"/>
          <w:lang w:eastAsia="x-none"/>
        </w:rPr>
      </w:pPr>
    </w:p>
    <w:p w14:paraId="17C78B39" w14:textId="09B23B23" w:rsidR="0097732E" w:rsidRPr="0097732E" w:rsidRDefault="0065103A" w:rsidP="0079294A">
      <w:pPr>
        <w:pStyle w:val="a"/>
        <w:numPr>
          <w:ilvl w:val="0"/>
          <w:numId w:val="6"/>
        </w:numPr>
        <w:tabs>
          <w:tab w:val="clear" w:pos="1080"/>
        </w:tabs>
        <w:overflowPunct w:val="0"/>
        <w:spacing w:line="360" w:lineRule="atLeast"/>
      </w:pPr>
      <w:r w:rsidRPr="00220BA2">
        <w:rPr>
          <w:szCs w:val="28"/>
          <w:lang w:val="en-GB" w:eastAsia="zh-TW"/>
        </w:rPr>
        <w:t xml:space="preserve">The Government </w:t>
      </w:r>
      <w:r>
        <w:rPr>
          <w:szCs w:val="28"/>
          <w:lang w:val="en-GB" w:eastAsia="zh-TW"/>
        </w:rPr>
        <w:t xml:space="preserve">has </w:t>
      </w:r>
      <w:r w:rsidRPr="00220BA2">
        <w:rPr>
          <w:szCs w:val="28"/>
          <w:lang w:val="en-GB" w:eastAsia="zh-TW"/>
        </w:rPr>
        <w:t>continue</w:t>
      </w:r>
      <w:r>
        <w:rPr>
          <w:szCs w:val="28"/>
          <w:lang w:val="en-GB" w:eastAsia="zh-TW"/>
        </w:rPr>
        <w:t>d</w:t>
      </w:r>
      <w:r w:rsidRPr="00220BA2">
        <w:rPr>
          <w:szCs w:val="28"/>
          <w:lang w:val="en-GB" w:eastAsia="zh-TW"/>
        </w:rPr>
        <w:t xml:space="preserve"> its efforts </w:t>
      </w:r>
      <w:r>
        <w:rPr>
          <w:szCs w:val="28"/>
          <w:lang w:val="en-GB" w:eastAsia="zh-TW"/>
        </w:rPr>
        <w:t>to bolster Hong Kong’s status as an international trade centre and a multinational supply chain management centre</w:t>
      </w:r>
      <w:r w:rsidRPr="00220BA2">
        <w:rPr>
          <w:szCs w:val="28"/>
          <w:lang w:val="en-GB" w:eastAsia="zh-TW"/>
        </w:rPr>
        <w:t xml:space="preserve">.  </w:t>
      </w:r>
      <w:r>
        <w:rPr>
          <w:szCs w:val="28"/>
          <w:lang w:val="en-GB" w:eastAsia="zh-TW"/>
        </w:rPr>
        <w:t>In the 2025-26 Budget</w:t>
      </w:r>
      <w:r w:rsidRPr="00220BA2">
        <w:rPr>
          <w:szCs w:val="28"/>
          <w:lang w:val="en-GB" w:eastAsia="zh-TW"/>
        </w:rPr>
        <w:t xml:space="preserve">, </w:t>
      </w:r>
      <w:r w:rsidRPr="00220BA2">
        <w:rPr>
          <w:szCs w:val="28"/>
          <w:lang w:val="en-HK" w:eastAsia="zh-TW"/>
        </w:rPr>
        <w:t xml:space="preserve">the Financial Secretary stated that the </w:t>
      </w:r>
      <w:r>
        <w:rPr>
          <w:szCs w:val="28"/>
          <w:lang w:val="en-HK" w:eastAsia="zh-TW"/>
        </w:rPr>
        <w:t xml:space="preserve">Hong Kong Trade and Development Council </w:t>
      </w:r>
      <w:r w:rsidR="00225920">
        <w:rPr>
          <w:szCs w:val="28"/>
          <w:lang w:val="en-HK" w:eastAsia="zh-TW"/>
        </w:rPr>
        <w:t xml:space="preserve">(HKTDC) </w:t>
      </w:r>
      <w:r>
        <w:rPr>
          <w:szCs w:val="28"/>
          <w:lang w:val="en-HK" w:eastAsia="zh-TW"/>
        </w:rPr>
        <w:t>and Invest Hong Kong</w:t>
      </w:r>
      <w:r w:rsidRPr="00220BA2">
        <w:rPr>
          <w:szCs w:val="28"/>
          <w:lang w:val="en-HK" w:eastAsia="zh-TW"/>
        </w:rPr>
        <w:t xml:space="preserve"> </w:t>
      </w:r>
      <w:r w:rsidR="00225920">
        <w:rPr>
          <w:szCs w:val="28"/>
          <w:lang w:val="en-HK" w:eastAsia="zh-TW"/>
        </w:rPr>
        <w:t>(</w:t>
      </w:r>
      <w:proofErr w:type="spellStart"/>
      <w:r w:rsidR="00225920">
        <w:rPr>
          <w:szCs w:val="28"/>
          <w:lang w:val="en-HK" w:eastAsia="zh-TW"/>
        </w:rPr>
        <w:t>InvestHK</w:t>
      </w:r>
      <w:proofErr w:type="spellEnd"/>
      <w:r w:rsidR="00225920">
        <w:rPr>
          <w:szCs w:val="28"/>
          <w:lang w:val="en-HK" w:eastAsia="zh-TW"/>
        </w:rPr>
        <w:t xml:space="preserve">) </w:t>
      </w:r>
      <w:r w:rsidRPr="00220BA2">
        <w:rPr>
          <w:szCs w:val="28"/>
          <w:lang w:val="en-HK" w:eastAsia="zh-TW"/>
        </w:rPr>
        <w:t>will jointly encourage Mainland enterprises to establish a foothold in Hong Kong and set up international or regional headquarters for managing offshore trading and supply chain</w:t>
      </w:r>
      <w:r>
        <w:rPr>
          <w:szCs w:val="28"/>
          <w:lang w:val="en-HK" w:eastAsia="zh-TW"/>
        </w:rPr>
        <w:t>s</w:t>
      </w:r>
      <w:r w:rsidRPr="00220BA2">
        <w:rPr>
          <w:szCs w:val="28"/>
          <w:lang w:val="en-HK" w:eastAsia="zh-TW"/>
        </w:rPr>
        <w:t xml:space="preserve">, thereby assisting these enterprises in going global.  In addition, Hong Kong will continue to utilise </w:t>
      </w:r>
      <w:r>
        <w:rPr>
          <w:szCs w:val="28"/>
          <w:lang w:val="en-HK" w:eastAsia="zh-TW"/>
        </w:rPr>
        <w:t>its</w:t>
      </w:r>
      <w:r w:rsidRPr="00220BA2">
        <w:rPr>
          <w:szCs w:val="28"/>
          <w:lang w:val="en-HK" w:eastAsia="zh-TW"/>
        </w:rPr>
        <w:t xml:space="preserve"> role as a functional platform for the Belt and Road Initiative</w:t>
      </w:r>
      <w:r>
        <w:rPr>
          <w:szCs w:val="28"/>
          <w:lang w:val="en-HK" w:eastAsia="zh-TW"/>
        </w:rPr>
        <w:t xml:space="preserve"> by continuing</w:t>
      </w:r>
      <w:r w:rsidRPr="00220BA2">
        <w:rPr>
          <w:szCs w:val="28"/>
          <w:lang w:val="en-HK" w:eastAsia="zh-TW"/>
        </w:rPr>
        <w:t xml:space="preserve"> to further cultivate the ASEAN and Middle East markets, and explore opportunities in Central Asia, South Asia and North Africa. </w:t>
      </w:r>
      <w:r>
        <w:rPr>
          <w:szCs w:val="28"/>
          <w:lang w:val="en-HK" w:eastAsia="zh-TW"/>
        </w:rPr>
        <w:t xml:space="preserve"> </w:t>
      </w:r>
      <w:r w:rsidR="008D268F">
        <w:rPr>
          <w:szCs w:val="28"/>
          <w:lang w:val="en-HK" w:eastAsia="zh-TW"/>
        </w:rPr>
        <w:t xml:space="preserve">For instance, </w:t>
      </w:r>
      <w:r w:rsidR="008D268F">
        <w:rPr>
          <w:szCs w:val="28"/>
          <w:lang w:val="en-GB" w:eastAsia="zh-TW"/>
        </w:rPr>
        <w:t xml:space="preserve">earlier </w:t>
      </w:r>
      <w:proofErr w:type="spellStart"/>
      <w:r w:rsidR="008D268F" w:rsidRPr="00225920">
        <w:rPr>
          <w:szCs w:val="28"/>
          <w:lang w:val="en-GB" w:eastAsia="zh-TW"/>
        </w:rPr>
        <w:t>InvestHK</w:t>
      </w:r>
      <w:proofErr w:type="spellEnd"/>
      <w:r w:rsidR="008D268F" w:rsidRPr="00225920">
        <w:rPr>
          <w:szCs w:val="28"/>
          <w:lang w:val="en-GB" w:eastAsia="zh-TW"/>
        </w:rPr>
        <w:t xml:space="preserve"> established </w:t>
      </w:r>
      <w:r w:rsidR="008D268F">
        <w:rPr>
          <w:szCs w:val="28"/>
          <w:lang w:val="en-GB" w:eastAsia="zh-TW"/>
        </w:rPr>
        <w:t xml:space="preserve">new </w:t>
      </w:r>
      <w:r w:rsidR="008D268F" w:rsidRPr="00225920">
        <w:rPr>
          <w:szCs w:val="28"/>
          <w:lang w:val="en-GB" w:eastAsia="zh-TW"/>
        </w:rPr>
        <w:t xml:space="preserve">consultant offices in </w:t>
      </w:r>
      <w:r w:rsidR="008D268F">
        <w:rPr>
          <w:szCs w:val="28"/>
          <w:lang w:val="en-GB" w:eastAsia="zh-TW"/>
        </w:rPr>
        <w:t xml:space="preserve">Izmir, </w:t>
      </w:r>
      <w:proofErr w:type="spellStart"/>
      <w:r w:rsidR="008D268F">
        <w:rPr>
          <w:szCs w:val="28"/>
          <w:lang w:val="en-GB" w:eastAsia="zh-TW"/>
        </w:rPr>
        <w:t>Türkiye</w:t>
      </w:r>
      <w:proofErr w:type="spellEnd"/>
      <w:r w:rsidR="008D268F">
        <w:rPr>
          <w:szCs w:val="28"/>
          <w:lang w:val="en-GB" w:eastAsia="zh-TW"/>
        </w:rPr>
        <w:t xml:space="preserve"> in January 2025, and </w:t>
      </w:r>
      <w:r w:rsidR="008D268F" w:rsidRPr="00225920">
        <w:rPr>
          <w:szCs w:val="28"/>
          <w:lang w:val="en-GB" w:eastAsia="zh-TW"/>
        </w:rPr>
        <w:t>HKTDC also set up a consultant office in Cambodia</w:t>
      </w:r>
      <w:r w:rsidR="008D268F">
        <w:rPr>
          <w:szCs w:val="28"/>
          <w:lang w:val="en-GB" w:eastAsia="zh-TW"/>
        </w:rPr>
        <w:t xml:space="preserve"> in early 2025</w:t>
      </w:r>
      <w:r w:rsidR="008D268F" w:rsidRPr="00225920">
        <w:rPr>
          <w:szCs w:val="28"/>
          <w:lang w:val="en-GB" w:eastAsia="zh-TW"/>
        </w:rPr>
        <w:t>.</w:t>
      </w:r>
      <w:r w:rsidR="008D268F">
        <w:rPr>
          <w:szCs w:val="28"/>
          <w:lang w:val="en-GB" w:eastAsia="zh-TW"/>
        </w:rPr>
        <w:t xml:space="preserve">  T</w:t>
      </w:r>
      <w:r w:rsidR="008D268F" w:rsidRPr="00225920">
        <w:rPr>
          <w:szCs w:val="28"/>
          <w:lang w:val="en-GB" w:eastAsia="zh-TW"/>
        </w:rPr>
        <w:t xml:space="preserve">he Government is following up actively with the governments of Malaysia and Saudi Arabia on the establishment of Economic and Trade Offices in these two countries.  </w:t>
      </w:r>
      <w:r w:rsidRPr="00220BA2">
        <w:rPr>
          <w:szCs w:val="28"/>
          <w:lang w:val="en-HK" w:eastAsia="zh-TW"/>
        </w:rPr>
        <w:t xml:space="preserve">Meanwhile, </w:t>
      </w:r>
      <w:r w:rsidRPr="00220BA2">
        <w:rPr>
          <w:szCs w:val="28"/>
          <w:lang w:val="en-GB" w:eastAsia="zh-TW"/>
        </w:rPr>
        <w:t xml:space="preserve">to </w:t>
      </w:r>
      <w:r w:rsidR="00AD1017">
        <w:rPr>
          <w:szCs w:val="28"/>
          <w:lang w:val="en-GB" w:eastAsia="zh-TW"/>
        </w:rPr>
        <w:t xml:space="preserve">continue to </w:t>
      </w:r>
      <w:r w:rsidRPr="00220BA2">
        <w:rPr>
          <w:szCs w:val="28"/>
          <w:lang w:val="en-GB" w:eastAsia="zh-TW"/>
        </w:rPr>
        <w:t>support the development of local enterprises and help them go global</w:t>
      </w:r>
      <w:r w:rsidRPr="00220BA2">
        <w:rPr>
          <w:szCs w:val="28"/>
          <w:lang w:val="en-HK" w:eastAsia="zh-TW"/>
        </w:rPr>
        <w:t>, the Government will inject $</w:t>
      </w:r>
      <w:r w:rsidR="00AD1017">
        <w:rPr>
          <w:szCs w:val="28"/>
          <w:lang w:val="en-HK" w:eastAsia="zh-TW"/>
        </w:rPr>
        <w:t>2</w:t>
      </w:r>
      <w:r w:rsidRPr="00220BA2">
        <w:rPr>
          <w:szCs w:val="28"/>
          <w:lang w:val="en-HK" w:eastAsia="zh-TW"/>
        </w:rPr>
        <w:t xml:space="preserve">.5 billion </w:t>
      </w:r>
      <w:r w:rsidR="00AD1017">
        <w:rPr>
          <w:szCs w:val="28"/>
          <w:lang w:val="en-HK" w:eastAsia="zh-TW"/>
        </w:rPr>
        <w:t xml:space="preserve">in total </w:t>
      </w:r>
      <w:r w:rsidRPr="00220BA2">
        <w:rPr>
          <w:szCs w:val="28"/>
          <w:lang w:val="en-HK" w:eastAsia="zh-TW"/>
        </w:rPr>
        <w:t xml:space="preserve">into the </w:t>
      </w:r>
      <w:r w:rsidRPr="004057E3">
        <w:rPr>
          <w:szCs w:val="28"/>
          <w:lang w:val="en-HK" w:eastAsia="zh-TW"/>
        </w:rPr>
        <w:t>Dedicated Fund on Branding, Upgrading and Domestic Sales</w:t>
      </w:r>
      <w:r w:rsidRPr="00220BA2">
        <w:rPr>
          <w:szCs w:val="28"/>
          <w:lang w:val="en-HK" w:eastAsia="zh-TW"/>
        </w:rPr>
        <w:t xml:space="preserve"> and </w:t>
      </w:r>
      <w:r w:rsidRPr="00220BA2">
        <w:rPr>
          <w:szCs w:val="28"/>
          <w:lang w:val="en-HK" w:eastAsia="zh-TW"/>
        </w:rPr>
        <w:lastRenderedPageBreak/>
        <w:t>the Export Marketing and Trade and Industrial Organisation Support Fund</w:t>
      </w:r>
      <w:r w:rsidRPr="00220BA2">
        <w:rPr>
          <w:szCs w:val="28"/>
          <w:lang w:val="en-GB" w:eastAsia="zh-TW"/>
        </w:rPr>
        <w:t>.</w:t>
      </w:r>
    </w:p>
    <w:p w14:paraId="5868EE0F" w14:textId="77777777" w:rsidR="0097732E" w:rsidRPr="0097732E" w:rsidRDefault="0097732E" w:rsidP="0097732E">
      <w:pPr>
        <w:pStyle w:val="a"/>
        <w:tabs>
          <w:tab w:val="clear" w:pos="1080"/>
        </w:tabs>
        <w:overflowPunct w:val="0"/>
        <w:spacing w:line="360" w:lineRule="atLeast"/>
      </w:pPr>
    </w:p>
    <w:p w14:paraId="2B023BA2" w14:textId="262AEE7F" w:rsidR="00472A02" w:rsidRPr="00F0061F" w:rsidRDefault="0097732E" w:rsidP="0097732E">
      <w:pPr>
        <w:pStyle w:val="a"/>
        <w:numPr>
          <w:ilvl w:val="0"/>
          <w:numId w:val="6"/>
        </w:numPr>
        <w:tabs>
          <w:tab w:val="clear" w:pos="1080"/>
        </w:tabs>
        <w:overflowPunct w:val="0"/>
        <w:spacing w:line="360" w:lineRule="atLeast"/>
      </w:pPr>
      <w:r>
        <w:rPr>
          <w:szCs w:val="28"/>
          <w:lang w:val="en-GB" w:eastAsia="zh-TW"/>
        </w:rPr>
        <w:t>Meanwhile</w:t>
      </w:r>
      <w:r w:rsidRPr="0097732E">
        <w:rPr>
          <w:szCs w:val="28"/>
          <w:lang w:val="en-GB" w:eastAsia="zh-TW"/>
        </w:rPr>
        <w:t>, economic relations between Hong Kong and Bahrain strengthened as the Investment Promotion and Protection Agreement (IPPA) between the two sides took effect in March.  Under the IPPA, the two sides undertake to provide investors of the other side with fair, equitabl</w:t>
      </w:r>
      <w:r w:rsidR="00B40111">
        <w:rPr>
          <w:szCs w:val="28"/>
          <w:lang w:val="en-GB" w:eastAsia="zh-TW"/>
        </w:rPr>
        <w:t>e and non</w:t>
      </w:r>
      <w:r w:rsidR="00B40111">
        <w:rPr>
          <w:szCs w:val="28"/>
          <w:lang w:val="en-GB" w:eastAsia="zh-TW"/>
        </w:rPr>
        <w:noBreakHyphen/>
      </w:r>
      <w:r w:rsidRPr="0097732E">
        <w:rPr>
          <w:szCs w:val="28"/>
          <w:lang w:val="en-GB" w:eastAsia="zh-TW"/>
        </w:rPr>
        <w:t>discriminatory treatment of investments</w:t>
      </w:r>
      <w:r>
        <w:rPr>
          <w:szCs w:val="28"/>
          <w:lang w:val="en-GB" w:eastAsia="zh-TW"/>
        </w:rPr>
        <w:t>,</w:t>
      </w:r>
      <w:r w:rsidRPr="0097732E">
        <w:rPr>
          <w:szCs w:val="28"/>
          <w:lang w:val="en-GB" w:eastAsia="zh-TW"/>
        </w:rPr>
        <w:t xml:space="preserve"> compensation in the event of expropriation of investments</w:t>
      </w:r>
      <w:r>
        <w:rPr>
          <w:szCs w:val="28"/>
          <w:lang w:val="en-GB" w:eastAsia="zh-TW"/>
        </w:rPr>
        <w:t>,</w:t>
      </w:r>
      <w:r w:rsidRPr="0097732E">
        <w:rPr>
          <w:szCs w:val="28"/>
          <w:lang w:val="en-GB" w:eastAsia="zh-TW"/>
        </w:rPr>
        <w:t xml:space="preserve"> and the right to free transfers abroad of investments and returns.  It would enhance the confidence of investors and expand investment flows between Hong Kong and Bahrain.  With its entry into force, the IPPAs signed by Hong Kong increased to 24, covering 33 foreign economies.</w:t>
      </w:r>
      <w:r w:rsidR="00225920">
        <w:rPr>
          <w:szCs w:val="28"/>
          <w:lang w:val="en-GB" w:eastAsia="zh-TW"/>
        </w:rPr>
        <w:t xml:space="preserve">  </w:t>
      </w:r>
      <w:r w:rsidR="00472A02" w:rsidRPr="00420BBE">
        <w:br w:type="page"/>
      </w:r>
    </w:p>
    <w:p w14:paraId="5B9D5CF4" w14:textId="795AC9F2" w:rsidR="009B3766" w:rsidRPr="00B67ADE" w:rsidRDefault="009B3766" w:rsidP="00321C42">
      <w:pPr>
        <w:widowControl/>
        <w:rPr>
          <w:b/>
        </w:rPr>
      </w:pPr>
      <w:proofErr w:type="gramStart"/>
      <w:r w:rsidRPr="00B67ADE">
        <w:rPr>
          <w:b/>
        </w:rPr>
        <w:lastRenderedPageBreak/>
        <w:t>Notes :</w:t>
      </w:r>
      <w:proofErr w:type="gramEnd"/>
    </w:p>
    <w:p w14:paraId="0E88BA31" w14:textId="12C18767" w:rsidR="005B4D52" w:rsidRPr="005B4D52" w:rsidRDefault="005B4D52" w:rsidP="00F71F4E">
      <w:pPr>
        <w:overflowPunct w:val="0"/>
        <w:snapToGrid w:val="0"/>
        <w:jc w:val="both"/>
      </w:pPr>
    </w:p>
    <w:p w14:paraId="321C77C7" w14:textId="24052CCC" w:rsidR="00A76EBC" w:rsidRPr="00F71F4E" w:rsidRDefault="00B076FC" w:rsidP="00B076FC">
      <w:pPr>
        <w:numPr>
          <w:ilvl w:val="0"/>
          <w:numId w:val="7"/>
        </w:numPr>
        <w:tabs>
          <w:tab w:val="clear" w:pos="360"/>
          <w:tab w:val="num" w:pos="540"/>
        </w:tabs>
        <w:overflowPunct w:val="0"/>
        <w:snapToGrid w:val="0"/>
        <w:ind w:left="539" w:hanging="539"/>
        <w:jc w:val="both"/>
      </w:pPr>
      <w:r w:rsidRPr="00B076FC">
        <w:rPr>
          <w:iCs/>
        </w:rPr>
        <w:t>Total</w:t>
      </w:r>
      <w:r>
        <w:rPr>
          <w:iCs/>
        </w:rPr>
        <w:t xml:space="preserve"> merchandise</w:t>
      </w:r>
      <w:r w:rsidRPr="00B076FC">
        <w:rPr>
          <w:iCs/>
        </w:rPr>
        <w:t xml:space="preserve"> exports comprise domestic exports and re-exports. </w:t>
      </w:r>
      <w:r>
        <w:rPr>
          <w:iCs/>
        </w:rPr>
        <w:t xml:space="preserve"> </w:t>
      </w:r>
      <w:r w:rsidR="00A76EBC" w:rsidRPr="00B67ADE">
        <w:rPr>
          <w:iCs/>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00A76EBC" w:rsidRPr="00B67ADE">
        <w:rPr>
          <w:iCs/>
          <w:lang w:eastAsia="zh-HK"/>
        </w:rPr>
        <w:t>based on</w:t>
      </w:r>
      <w:r w:rsidR="00A76EBC" w:rsidRPr="00B67ADE">
        <w:rPr>
          <w:iCs/>
        </w:rPr>
        <w:t xml:space="preserve"> the external trade quantum index series compiled using the chain </w:t>
      </w:r>
      <w:r w:rsidR="00A76EBC" w:rsidRPr="005B4D52">
        <w:rPr>
          <w:iCs/>
          <w:kern w:val="0"/>
        </w:rPr>
        <w:t>linking</w:t>
      </w:r>
      <w:r w:rsidR="00A76EBC" w:rsidRPr="00B67ADE">
        <w:rPr>
          <w:iCs/>
        </w:rPr>
        <w:t xml:space="preserve"> approach</w:t>
      </w:r>
      <w:r w:rsidR="00A76EBC" w:rsidRPr="00B67ADE">
        <w:rPr>
          <w:iCs/>
          <w:lang w:eastAsia="zh-HK"/>
        </w:rPr>
        <w:t xml:space="preserve">, which were first released in March 2015 to replace the previous trade index numbers compiled using the </w:t>
      </w:r>
      <w:proofErr w:type="spellStart"/>
      <w:r w:rsidR="00A76EBC" w:rsidRPr="00B67ADE">
        <w:rPr>
          <w:iCs/>
          <w:lang w:eastAsia="zh-HK"/>
        </w:rPr>
        <w:t>Laspeyres</w:t>
      </w:r>
      <w:proofErr w:type="spellEnd"/>
      <w:r w:rsidR="00A76EBC" w:rsidRPr="00B67ADE">
        <w:rPr>
          <w:iCs/>
          <w:lang w:eastAsia="zh-HK"/>
        </w:rPr>
        <w:t xml:space="preserve"> method with a fixed base year</w:t>
      </w:r>
      <w:r w:rsidR="00A76EBC" w:rsidRPr="00B67ADE">
        <w:rPr>
          <w:iCs/>
        </w:rPr>
        <w:t xml:space="preserve">.  </w:t>
      </w:r>
      <w:r w:rsidR="00A76EBC" w:rsidRPr="00B67ADE">
        <w:rPr>
          <w:lang w:eastAsia="zh-HK"/>
        </w:rPr>
        <w:t xml:space="preserve">The series are not comparable with the real trade </w:t>
      </w:r>
      <w:r w:rsidR="00A76EBC" w:rsidRPr="00B076FC">
        <w:rPr>
          <w:szCs w:val="28"/>
        </w:rPr>
        <w:t>aggregates</w:t>
      </w:r>
      <w:r w:rsidR="00A76EBC" w:rsidRPr="00B67ADE">
        <w:rPr>
          <w:lang w:eastAsia="zh-HK"/>
        </w:rPr>
        <w:t xml:space="preserve"> under GDP (reported in Chapter 1) which are compiled based on the change of ownership principle in recording goods sent abroad for processing and </w:t>
      </w:r>
      <w:proofErr w:type="spellStart"/>
      <w:r w:rsidR="00A76EBC" w:rsidRPr="00B67ADE">
        <w:rPr>
          <w:lang w:eastAsia="zh-HK"/>
        </w:rPr>
        <w:t>merchanting</w:t>
      </w:r>
      <w:proofErr w:type="spellEnd"/>
      <w:r w:rsidR="00A76EBC" w:rsidRPr="00B67ADE">
        <w:rPr>
          <w:lang w:eastAsia="zh-HK"/>
        </w:rPr>
        <w:t xml:space="preserve"> under the standards stipulated in the</w:t>
      </w:r>
      <w:r w:rsidR="00A76EBC" w:rsidRPr="00B67ADE">
        <w:rPr>
          <w:i/>
          <w:lang w:eastAsia="zh-HK"/>
        </w:rPr>
        <w:t xml:space="preserve"> System of National Accounts 2008</w:t>
      </w:r>
      <w:r w:rsidR="00A76EBC" w:rsidRPr="00B67ADE">
        <w:rPr>
          <w:lang w:eastAsia="zh-HK"/>
        </w:rPr>
        <w:t xml:space="preserve">.  Apart from this, non-monetary gold is recorded as a separate item in the statistics of merchandise trade and not included in the trade aggregates reported in Chapter </w:t>
      </w:r>
      <w:r w:rsidR="00B42004">
        <w:rPr>
          <w:lang w:eastAsia="zh-HK"/>
        </w:rPr>
        <w:t>2</w:t>
      </w:r>
      <w:r w:rsidR="00A76EBC"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00A76EBC" w:rsidRPr="00B67ADE">
        <w:rPr>
          <w:lang w:eastAsia="zh-HK"/>
        </w:rPr>
        <w:t>the international compilation standard</w:t>
      </w:r>
      <w:r w:rsidR="00A76EBC" w:rsidRPr="00B67ADE">
        <w:rPr>
          <w:color w:val="0000FF"/>
          <w:lang w:eastAsia="zh-HK"/>
        </w:rPr>
        <w:t>.</w:t>
      </w:r>
    </w:p>
    <w:p w14:paraId="1A7BA1AD" w14:textId="77777777" w:rsidR="002B59E4" w:rsidRPr="00F71F4E" w:rsidRDefault="002B59E4" w:rsidP="00F71F4E">
      <w:pPr>
        <w:overflowPunct w:val="0"/>
        <w:snapToGrid w:val="0"/>
        <w:ind w:left="539"/>
        <w:jc w:val="both"/>
      </w:pPr>
    </w:p>
    <w:p w14:paraId="7840E057" w14:textId="68B15465" w:rsidR="0071545C" w:rsidRPr="0017170D" w:rsidRDefault="00B076FC" w:rsidP="00F71F4E">
      <w:pPr>
        <w:numPr>
          <w:ilvl w:val="0"/>
          <w:numId w:val="7"/>
        </w:numPr>
        <w:tabs>
          <w:tab w:val="clear" w:pos="360"/>
          <w:tab w:val="num" w:pos="540"/>
        </w:tabs>
        <w:overflowPunct w:val="0"/>
        <w:snapToGrid w:val="0"/>
        <w:ind w:left="539" w:hanging="539"/>
        <w:jc w:val="both"/>
      </w:pPr>
      <w:r>
        <w:rPr>
          <w:szCs w:val="28"/>
        </w:rPr>
        <w:t xml:space="preserve">The US announced a series of tariff measures during the first quarter.  </w:t>
      </w:r>
      <w:r w:rsidR="002B59E4" w:rsidRPr="0071545C">
        <w:rPr>
          <w:szCs w:val="28"/>
        </w:rPr>
        <w:t xml:space="preserve">Citing the fentanyl issue, the US imposed additional tariffs totalling 20% on imports from China (including Hong Kong), with the first 10% effective on 4 February and the second 10% effective on 4 March.  A 25% tariff on imports of Canadian and Mexican goods also came into effect on 4 March, though exemptions on goods covered by the </w:t>
      </w:r>
      <w:r w:rsidR="00EC7BAB">
        <w:rPr>
          <w:szCs w:val="28"/>
        </w:rPr>
        <w:t xml:space="preserve">US-Mexico-Canada Agreement </w:t>
      </w:r>
      <w:r w:rsidR="002B59E4" w:rsidRPr="0071545C">
        <w:rPr>
          <w:szCs w:val="28"/>
        </w:rPr>
        <w:t>were granted.  Separately, citing</w:t>
      </w:r>
      <w:r w:rsidR="00F71F4E">
        <w:rPr>
          <w:szCs w:val="28"/>
        </w:rPr>
        <w:t xml:space="preserve"> national security interests</w:t>
      </w:r>
      <w:r w:rsidR="002B59E4" w:rsidRPr="0071545C">
        <w:rPr>
          <w:szCs w:val="28"/>
        </w:rPr>
        <w:t>, the US levied 25% tariffs on all steel and aluminium imports starting from 12</w:t>
      </w:r>
      <w:r w:rsidR="000132AA">
        <w:rPr>
          <w:szCs w:val="28"/>
        </w:rPr>
        <w:t> </w:t>
      </w:r>
      <w:r w:rsidR="002B59E4" w:rsidRPr="0071545C">
        <w:rPr>
          <w:szCs w:val="28"/>
        </w:rPr>
        <w:t>March, and on all imports of automobiles from 3</w:t>
      </w:r>
      <w:r w:rsidR="00F71F4E">
        <w:rPr>
          <w:szCs w:val="28"/>
        </w:rPr>
        <w:t> </w:t>
      </w:r>
      <w:r w:rsidR="002B59E4" w:rsidRPr="0071545C">
        <w:rPr>
          <w:szCs w:val="28"/>
        </w:rPr>
        <w:t xml:space="preserve">April.  </w:t>
      </w:r>
    </w:p>
    <w:p w14:paraId="34B21D84" w14:textId="24B8994D" w:rsidR="0071545C" w:rsidRDefault="0071545C" w:rsidP="00512523">
      <w:pPr>
        <w:overflowPunct w:val="0"/>
        <w:snapToGrid w:val="0"/>
        <w:jc w:val="both"/>
      </w:pPr>
    </w:p>
    <w:p w14:paraId="46D7E41F" w14:textId="77777777" w:rsidR="0071545C" w:rsidRPr="00F30540" w:rsidRDefault="0071545C" w:rsidP="002B7FF5">
      <w:pPr>
        <w:numPr>
          <w:ilvl w:val="0"/>
          <w:numId w:val="7"/>
        </w:numPr>
        <w:tabs>
          <w:tab w:val="clear" w:pos="360"/>
          <w:tab w:val="num" w:pos="540"/>
        </w:tabs>
        <w:overflowPunct w:val="0"/>
        <w:snapToGrid w:val="0"/>
        <w:ind w:left="539" w:hanging="539"/>
        <w:jc w:val="both"/>
        <w:rPr>
          <w:kern w:val="0"/>
        </w:rPr>
      </w:pPr>
      <w:r w:rsidRPr="00F30540">
        <w:rPr>
          <w:kern w:val="0"/>
        </w:rPr>
        <w:t xml:space="preserve">The table below presents a more detailed comparison between the growth forecasts made by the IMF in </w:t>
      </w:r>
      <w:r w:rsidRPr="002B7FF5">
        <w:rPr>
          <w:szCs w:val="28"/>
        </w:rPr>
        <w:t>April</w:t>
      </w:r>
      <w:r>
        <w:rPr>
          <w:kern w:val="0"/>
        </w:rPr>
        <w:t xml:space="preserve"> 2025</w:t>
      </w:r>
      <w:r w:rsidRPr="00F30540">
        <w:rPr>
          <w:kern w:val="0"/>
        </w:rPr>
        <w:t xml:space="preserve"> and those three months ago. </w:t>
      </w:r>
    </w:p>
    <w:tbl>
      <w:tblPr>
        <w:tblW w:w="0" w:type="auto"/>
        <w:tblInd w:w="28" w:type="dxa"/>
        <w:tblLayout w:type="fixed"/>
        <w:tblCellMar>
          <w:left w:w="28" w:type="dxa"/>
          <w:right w:w="28" w:type="dxa"/>
        </w:tblCellMar>
        <w:tblLook w:val="0000" w:firstRow="0" w:lastRow="0" w:firstColumn="0" w:lastColumn="0" w:noHBand="0" w:noVBand="0"/>
      </w:tblPr>
      <w:tblGrid>
        <w:gridCol w:w="2977"/>
        <w:gridCol w:w="1701"/>
        <w:gridCol w:w="2126"/>
        <w:gridCol w:w="2127"/>
      </w:tblGrid>
      <w:tr w:rsidR="0071545C" w:rsidRPr="009047B3" w14:paraId="794305A0" w14:textId="77777777" w:rsidTr="0039040A">
        <w:trPr>
          <w:trHeight w:val="60"/>
        </w:trPr>
        <w:tc>
          <w:tcPr>
            <w:tcW w:w="2977" w:type="dxa"/>
            <w:vAlign w:val="bottom"/>
          </w:tcPr>
          <w:p w14:paraId="635740F7" w14:textId="77777777" w:rsidR="0071545C" w:rsidRPr="009047B3" w:rsidRDefault="0071545C" w:rsidP="0039040A">
            <w:pPr>
              <w:snapToGrid w:val="0"/>
              <w:jc w:val="center"/>
              <w:rPr>
                <w:b/>
                <w:kern w:val="0"/>
                <w:sz w:val="26"/>
                <w:szCs w:val="26"/>
              </w:rPr>
            </w:pPr>
          </w:p>
        </w:tc>
        <w:tc>
          <w:tcPr>
            <w:tcW w:w="1701" w:type="dxa"/>
            <w:vMerge w:val="restart"/>
            <w:vAlign w:val="bottom"/>
          </w:tcPr>
          <w:p w14:paraId="25643D6A" w14:textId="77777777" w:rsidR="0071545C" w:rsidRPr="009047B3" w:rsidRDefault="0071545C" w:rsidP="0039040A">
            <w:pPr>
              <w:pStyle w:val="Heading1"/>
              <w:tabs>
                <w:tab w:val="decimal" w:pos="425"/>
                <w:tab w:val="decimal" w:pos="476"/>
              </w:tabs>
              <w:ind w:left="-28"/>
              <w:rPr>
                <w:b/>
                <w:kern w:val="0"/>
                <w:sz w:val="24"/>
                <w:szCs w:val="26"/>
                <w:u w:val="single"/>
              </w:rPr>
            </w:pPr>
            <w:r w:rsidRPr="009047B3">
              <w:rPr>
                <w:kern w:val="0"/>
                <w:sz w:val="24"/>
                <w:szCs w:val="26"/>
                <w:u w:val="single"/>
              </w:rPr>
              <w:t>2024</w:t>
            </w:r>
          </w:p>
          <w:p w14:paraId="1194E4C0" w14:textId="77777777" w:rsidR="0071545C" w:rsidRPr="009047B3" w:rsidRDefault="0071545C" w:rsidP="0039040A">
            <w:pPr>
              <w:pStyle w:val="Heading1"/>
              <w:tabs>
                <w:tab w:val="decimal" w:pos="425"/>
                <w:tab w:val="decimal" w:pos="476"/>
              </w:tabs>
              <w:ind w:left="-28"/>
              <w:rPr>
                <w:b/>
                <w:kern w:val="0"/>
                <w:sz w:val="26"/>
                <w:szCs w:val="26"/>
                <w:u w:val="single"/>
              </w:rPr>
            </w:pPr>
            <w:r w:rsidRPr="009047B3">
              <w:rPr>
                <w:kern w:val="0"/>
                <w:sz w:val="24"/>
                <w:szCs w:val="26"/>
              </w:rPr>
              <w:t>(%)</w:t>
            </w:r>
          </w:p>
        </w:tc>
        <w:tc>
          <w:tcPr>
            <w:tcW w:w="4253" w:type="dxa"/>
            <w:gridSpan w:val="2"/>
            <w:vAlign w:val="bottom"/>
          </w:tcPr>
          <w:p w14:paraId="18185A0B" w14:textId="77777777" w:rsidR="0071545C" w:rsidRPr="009047B3" w:rsidRDefault="0071545C" w:rsidP="0039040A">
            <w:pPr>
              <w:snapToGrid w:val="0"/>
              <w:jc w:val="center"/>
              <w:rPr>
                <w:rFonts w:eastAsia="SimSun"/>
                <w:kern w:val="0"/>
                <w:u w:val="single"/>
              </w:rPr>
            </w:pPr>
            <w:r w:rsidRPr="009047B3">
              <w:rPr>
                <w:kern w:val="0"/>
                <w:u w:val="single"/>
              </w:rPr>
              <w:t>2025</w:t>
            </w:r>
          </w:p>
        </w:tc>
      </w:tr>
      <w:tr w:rsidR="0071545C" w:rsidRPr="009047B3" w14:paraId="3BB3C555" w14:textId="77777777" w:rsidTr="0039040A">
        <w:trPr>
          <w:trHeight w:val="60"/>
        </w:trPr>
        <w:tc>
          <w:tcPr>
            <w:tcW w:w="2977" w:type="dxa"/>
            <w:vAlign w:val="bottom"/>
          </w:tcPr>
          <w:p w14:paraId="1B3BBCB8" w14:textId="77777777" w:rsidR="0071545C" w:rsidRPr="009047B3" w:rsidRDefault="0071545C" w:rsidP="0039040A">
            <w:pPr>
              <w:snapToGrid w:val="0"/>
              <w:jc w:val="center"/>
              <w:rPr>
                <w:b/>
                <w:kern w:val="0"/>
              </w:rPr>
            </w:pPr>
          </w:p>
        </w:tc>
        <w:tc>
          <w:tcPr>
            <w:tcW w:w="1701" w:type="dxa"/>
            <w:vMerge/>
          </w:tcPr>
          <w:p w14:paraId="5DC3A068" w14:textId="77777777" w:rsidR="0071545C" w:rsidRPr="009047B3" w:rsidRDefault="0071545C" w:rsidP="0039040A">
            <w:pPr>
              <w:snapToGrid w:val="0"/>
              <w:jc w:val="center"/>
              <w:rPr>
                <w:kern w:val="0"/>
              </w:rPr>
            </w:pPr>
          </w:p>
        </w:tc>
        <w:tc>
          <w:tcPr>
            <w:tcW w:w="2126" w:type="dxa"/>
            <w:vAlign w:val="bottom"/>
          </w:tcPr>
          <w:p w14:paraId="34ED8D26" w14:textId="77777777" w:rsidR="0071545C" w:rsidRPr="009047B3" w:rsidRDefault="0071545C" w:rsidP="0039040A">
            <w:pPr>
              <w:pStyle w:val="Heading1"/>
              <w:suppressAutoHyphens/>
              <w:overflowPunct w:val="0"/>
              <w:autoSpaceDE w:val="0"/>
              <w:ind w:left="-28"/>
              <w:textAlignment w:val="baseline"/>
              <w:rPr>
                <w:b/>
                <w:kern w:val="0"/>
                <w:sz w:val="24"/>
                <w:vertAlign w:val="superscript"/>
              </w:rPr>
            </w:pPr>
            <w:r w:rsidRPr="009047B3">
              <w:rPr>
                <w:kern w:val="0"/>
                <w:sz w:val="24"/>
                <w:u w:val="single"/>
              </w:rPr>
              <w:t>January round</w:t>
            </w:r>
          </w:p>
          <w:p w14:paraId="184CBCB4" w14:textId="77777777" w:rsidR="0071545C" w:rsidRPr="009047B3" w:rsidRDefault="0071545C" w:rsidP="0039040A">
            <w:pPr>
              <w:pStyle w:val="Heading1"/>
              <w:suppressAutoHyphens/>
              <w:overflowPunct w:val="0"/>
              <w:autoSpaceDE w:val="0"/>
              <w:ind w:left="-28"/>
              <w:textAlignment w:val="baseline"/>
              <w:rPr>
                <w:b/>
                <w:kern w:val="0"/>
                <w:sz w:val="24"/>
              </w:rPr>
            </w:pPr>
            <w:r w:rsidRPr="009047B3">
              <w:rPr>
                <w:kern w:val="0"/>
                <w:sz w:val="24"/>
              </w:rPr>
              <w:t>(%)</w:t>
            </w:r>
          </w:p>
        </w:tc>
        <w:tc>
          <w:tcPr>
            <w:tcW w:w="2127" w:type="dxa"/>
            <w:vAlign w:val="bottom"/>
          </w:tcPr>
          <w:p w14:paraId="52F00D52" w14:textId="6FD05C74" w:rsidR="0071545C" w:rsidRPr="009047B3" w:rsidRDefault="00903806" w:rsidP="0039040A">
            <w:pPr>
              <w:pStyle w:val="Heading1"/>
              <w:suppressAutoHyphens/>
              <w:overflowPunct w:val="0"/>
              <w:autoSpaceDE w:val="0"/>
              <w:ind w:left="-28"/>
              <w:textAlignment w:val="baseline"/>
              <w:rPr>
                <w:b/>
                <w:kern w:val="0"/>
                <w:sz w:val="24"/>
                <w:vertAlign w:val="superscript"/>
              </w:rPr>
            </w:pPr>
            <w:r>
              <w:rPr>
                <w:kern w:val="0"/>
                <w:sz w:val="24"/>
                <w:u w:val="single"/>
              </w:rPr>
              <w:t>April</w:t>
            </w:r>
            <w:r w:rsidR="0071545C" w:rsidRPr="009047B3">
              <w:rPr>
                <w:kern w:val="0"/>
                <w:sz w:val="24"/>
                <w:u w:val="single"/>
              </w:rPr>
              <w:t xml:space="preserve"> round</w:t>
            </w:r>
          </w:p>
          <w:p w14:paraId="5E3BEB03" w14:textId="77777777" w:rsidR="0071545C" w:rsidRPr="009047B3" w:rsidRDefault="0071545C" w:rsidP="0039040A">
            <w:pPr>
              <w:pStyle w:val="Heading1"/>
              <w:suppressAutoHyphens/>
              <w:overflowPunct w:val="0"/>
              <w:autoSpaceDE w:val="0"/>
              <w:ind w:left="-28"/>
              <w:textAlignment w:val="baseline"/>
              <w:rPr>
                <w:b/>
                <w:kern w:val="0"/>
                <w:sz w:val="24"/>
              </w:rPr>
            </w:pPr>
            <w:r w:rsidRPr="009047B3">
              <w:rPr>
                <w:kern w:val="0"/>
                <w:sz w:val="24"/>
              </w:rPr>
              <w:t>(%)</w:t>
            </w:r>
          </w:p>
        </w:tc>
      </w:tr>
      <w:tr w:rsidR="0071545C" w:rsidRPr="00F30540" w14:paraId="3E2381A0" w14:textId="77777777" w:rsidTr="0039040A">
        <w:trPr>
          <w:trHeight w:val="138"/>
        </w:trPr>
        <w:tc>
          <w:tcPr>
            <w:tcW w:w="2977" w:type="dxa"/>
            <w:vAlign w:val="bottom"/>
          </w:tcPr>
          <w:p w14:paraId="7AA60F4A" w14:textId="77777777" w:rsidR="0071545C" w:rsidRPr="00F30540" w:rsidRDefault="0071545C" w:rsidP="0039040A">
            <w:pPr>
              <w:snapToGrid w:val="0"/>
              <w:spacing w:line="144" w:lineRule="auto"/>
              <w:jc w:val="both"/>
              <w:rPr>
                <w:kern w:val="0"/>
                <w:highlight w:val="green"/>
              </w:rPr>
            </w:pPr>
          </w:p>
        </w:tc>
        <w:tc>
          <w:tcPr>
            <w:tcW w:w="1701" w:type="dxa"/>
          </w:tcPr>
          <w:p w14:paraId="4FA579AD" w14:textId="77777777" w:rsidR="0071545C" w:rsidRPr="00F30540" w:rsidRDefault="0071545C" w:rsidP="0039040A">
            <w:pPr>
              <w:tabs>
                <w:tab w:val="decimal" w:pos="888"/>
              </w:tabs>
              <w:snapToGrid w:val="0"/>
              <w:spacing w:line="144" w:lineRule="auto"/>
              <w:jc w:val="center"/>
              <w:rPr>
                <w:kern w:val="0"/>
                <w:highlight w:val="green"/>
              </w:rPr>
            </w:pPr>
          </w:p>
        </w:tc>
        <w:tc>
          <w:tcPr>
            <w:tcW w:w="2126" w:type="dxa"/>
            <w:vAlign w:val="bottom"/>
          </w:tcPr>
          <w:p w14:paraId="1A39BBFD" w14:textId="77777777" w:rsidR="0071545C" w:rsidRPr="00F30540" w:rsidRDefault="0071545C" w:rsidP="0039040A">
            <w:pPr>
              <w:tabs>
                <w:tab w:val="decimal" w:pos="1081"/>
              </w:tabs>
              <w:snapToGrid w:val="0"/>
              <w:spacing w:line="144" w:lineRule="auto"/>
              <w:ind w:left="-28"/>
              <w:jc w:val="both"/>
              <w:rPr>
                <w:kern w:val="0"/>
                <w:highlight w:val="green"/>
              </w:rPr>
            </w:pPr>
          </w:p>
        </w:tc>
        <w:tc>
          <w:tcPr>
            <w:tcW w:w="2127" w:type="dxa"/>
            <w:vAlign w:val="bottom"/>
          </w:tcPr>
          <w:p w14:paraId="33EDA018" w14:textId="77777777" w:rsidR="0071545C" w:rsidRPr="00F30540" w:rsidRDefault="0071545C" w:rsidP="0039040A">
            <w:pPr>
              <w:tabs>
                <w:tab w:val="decimal" w:pos="1081"/>
              </w:tabs>
              <w:snapToGrid w:val="0"/>
              <w:spacing w:line="144" w:lineRule="auto"/>
              <w:ind w:left="-28"/>
              <w:jc w:val="both"/>
              <w:rPr>
                <w:kern w:val="0"/>
                <w:highlight w:val="green"/>
              </w:rPr>
            </w:pPr>
          </w:p>
        </w:tc>
      </w:tr>
      <w:tr w:rsidR="0071545C" w:rsidRPr="00F30540" w14:paraId="741D0093" w14:textId="77777777" w:rsidTr="0039040A">
        <w:trPr>
          <w:trHeight w:val="60"/>
        </w:trPr>
        <w:tc>
          <w:tcPr>
            <w:tcW w:w="2977" w:type="dxa"/>
            <w:vAlign w:val="bottom"/>
          </w:tcPr>
          <w:p w14:paraId="7330A6D9" w14:textId="77777777" w:rsidR="0071545C" w:rsidRPr="00D830A1" w:rsidRDefault="0071545C" w:rsidP="0039040A">
            <w:pPr>
              <w:snapToGrid w:val="0"/>
              <w:ind w:left="-28"/>
              <w:jc w:val="both"/>
              <w:rPr>
                <w:kern w:val="0"/>
              </w:rPr>
            </w:pPr>
            <w:r w:rsidRPr="00D830A1">
              <w:rPr>
                <w:kern w:val="0"/>
              </w:rPr>
              <w:t>World (PPP</w:t>
            </w:r>
            <w:r w:rsidRPr="00D830A1">
              <w:rPr>
                <w:kern w:val="0"/>
                <w:vertAlign w:val="superscript"/>
              </w:rPr>
              <w:t>##</w:t>
            </w:r>
            <w:r w:rsidRPr="00D830A1">
              <w:rPr>
                <w:kern w:val="0"/>
              </w:rPr>
              <w:t xml:space="preserve"> weigh</w:t>
            </w:r>
            <w:r w:rsidRPr="00D830A1">
              <w:rPr>
                <w:rFonts w:eastAsia="SimSun"/>
                <w:kern w:val="0"/>
                <w:lang w:eastAsia="zh-CN"/>
              </w:rPr>
              <w:t>ted</w:t>
            </w:r>
            <w:r w:rsidRPr="00D830A1">
              <w:rPr>
                <w:kern w:val="0"/>
              </w:rPr>
              <w:t>)</w:t>
            </w:r>
          </w:p>
        </w:tc>
        <w:tc>
          <w:tcPr>
            <w:tcW w:w="1701" w:type="dxa"/>
            <w:vAlign w:val="bottom"/>
          </w:tcPr>
          <w:p w14:paraId="2C7DB6DD" w14:textId="77777777" w:rsidR="0071545C" w:rsidRPr="00D830A1" w:rsidRDefault="0071545C" w:rsidP="0039040A">
            <w:pPr>
              <w:pStyle w:val="Heading1"/>
              <w:tabs>
                <w:tab w:val="decimal" w:pos="702"/>
              </w:tabs>
              <w:ind w:left="-28"/>
              <w:jc w:val="left"/>
              <w:rPr>
                <w:b/>
                <w:kern w:val="0"/>
                <w:sz w:val="24"/>
                <w:szCs w:val="26"/>
              </w:rPr>
            </w:pPr>
            <w:r w:rsidRPr="00D830A1">
              <w:rPr>
                <w:kern w:val="0"/>
                <w:sz w:val="24"/>
                <w:szCs w:val="26"/>
              </w:rPr>
              <w:t>3.</w:t>
            </w:r>
            <w:r>
              <w:rPr>
                <w:kern w:val="0"/>
                <w:sz w:val="24"/>
                <w:szCs w:val="26"/>
              </w:rPr>
              <w:t>3</w:t>
            </w:r>
          </w:p>
        </w:tc>
        <w:tc>
          <w:tcPr>
            <w:tcW w:w="2126" w:type="dxa"/>
            <w:vAlign w:val="bottom"/>
          </w:tcPr>
          <w:p w14:paraId="6DDD02A4"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3.3</w:t>
            </w:r>
          </w:p>
        </w:tc>
        <w:tc>
          <w:tcPr>
            <w:tcW w:w="2127" w:type="dxa"/>
            <w:vAlign w:val="bottom"/>
          </w:tcPr>
          <w:p w14:paraId="52BB3CEC" w14:textId="77777777" w:rsidR="0071545C" w:rsidRPr="00D830A1" w:rsidRDefault="0071545C" w:rsidP="0039040A">
            <w:pPr>
              <w:pStyle w:val="Heading1"/>
              <w:tabs>
                <w:tab w:val="decimal" w:pos="907"/>
              </w:tabs>
              <w:ind w:left="-28"/>
              <w:jc w:val="left"/>
              <w:rPr>
                <w:kern w:val="0"/>
                <w:sz w:val="24"/>
                <w:szCs w:val="26"/>
              </w:rPr>
            </w:pPr>
            <w:r>
              <w:rPr>
                <w:kern w:val="0"/>
                <w:sz w:val="24"/>
                <w:szCs w:val="26"/>
              </w:rPr>
              <w:t>2.8</w:t>
            </w:r>
          </w:p>
        </w:tc>
      </w:tr>
      <w:tr w:rsidR="0071545C" w:rsidRPr="00F30540" w14:paraId="2260643F" w14:textId="77777777" w:rsidTr="0039040A">
        <w:trPr>
          <w:trHeight w:val="60"/>
        </w:trPr>
        <w:tc>
          <w:tcPr>
            <w:tcW w:w="2977" w:type="dxa"/>
            <w:vAlign w:val="bottom"/>
          </w:tcPr>
          <w:p w14:paraId="17ABF540" w14:textId="77777777" w:rsidR="0071545C" w:rsidRPr="00D830A1" w:rsidRDefault="0071545C" w:rsidP="0039040A">
            <w:pPr>
              <w:snapToGrid w:val="0"/>
              <w:ind w:left="-28"/>
              <w:jc w:val="both"/>
              <w:rPr>
                <w:kern w:val="0"/>
              </w:rPr>
            </w:pPr>
            <w:r w:rsidRPr="00D830A1">
              <w:rPr>
                <w:kern w:val="0"/>
              </w:rPr>
              <w:t>Advanced economies</w:t>
            </w:r>
          </w:p>
        </w:tc>
        <w:tc>
          <w:tcPr>
            <w:tcW w:w="1701" w:type="dxa"/>
            <w:vAlign w:val="bottom"/>
          </w:tcPr>
          <w:p w14:paraId="3AEC56D1" w14:textId="77777777" w:rsidR="0071545C" w:rsidRPr="00D830A1" w:rsidRDefault="0071545C" w:rsidP="0039040A">
            <w:pPr>
              <w:pStyle w:val="Heading1"/>
              <w:tabs>
                <w:tab w:val="decimal" w:pos="702"/>
              </w:tabs>
              <w:ind w:left="-28"/>
              <w:jc w:val="left"/>
              <w:rPr>
                <w:kern w:val="0"/>
                <w:sz w:val="24"/>
                <w:szCs w:val="26"/>
              </w:rPr>
            </w:pPr>
            <w:r w:rsidRPr="00D830A1">
              <w:rPr>
                <w:kern w:val="0"/>
                <w:sz w:val="24"/>
                <w:szCs w:val="26"/>
              </w:rPr>
              <w:t>1.</w:t>
            </w:r>
            <w:r>
              <w:rPr>
                <w:kern w:val="0"/>
                <w:sz w:val="24"/>
                <w:szCs w:val="26"/>
              </w:rPr>
              <w:t>8</w:t>
            </w:r>
          </w:p>
        </w:tc>
        <w:tc>
          <w:tcPr>
            <w:tcW w:w="2126" w:type="dxa"/>
            <w:vAlign w:val="bottom"/>
          </w:tcPr>
          <w:p w14:paraId="17CB5D1B"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1.9</w:t>
            </w:r>
          </w:p>
        </w:tc>
        <w:tc>
          <w:tcPr>
            <w:tcW w:w="2127" w:type="dxa"/>
          </w:tcPr>
          <w:p w14:paraId="6FBF8BBA" w14:textId="77777777" w:rsidR="0071545C" w:rsidRPr="00D830A1" w:rsidRDefault="0071545C" w:rsidP="0039040A">
            <w:pPr>
              <w:pStyle w:val="Heading1"/>
              <w:tabs>
                <w:tab w:val="decimal" w:pos="907"/>
              </w:tabs>
              <w:ind w:left="-28"/>
              <w:jc w:val="left"/>
              <w:rPr>
                <w:kern w:val="0"/>
                <w:sz w:val="24"/>
                <w:szCs w:val="26"/>
              </w:rPr>
            </w:pPr>
            <w:r>
              <w:rPr>
                <w:kern w:val="0"/>
                <w:sz w:val="24"/>
                <w:szCs w:val="26"/>
              </w:rPr>
              <w:t>1.4</w:t>
            </w:r>
          </w:p>
        </w:tc>
      </w:tr>
      <w:tr w:rsidR="0071545C" w:rsidRPr="00F30540" w14:paraId="4BED0E5A" w14:textId="77777777" w:rsidTr="0039040A">
        <w:trPr>
          <w:trHeight w:val="60"/>
        </w:trPr>
        <w:tc>
          <w:tcPr>
            <w:tcW w:w="2977" w:type="dxa"/>
            <w:vAlign w:val="bottom"/>
          </w:tcPr>
          <w:p w14:paraId="66F27A29" w14:textId="77777777" w:rsidR="0071545C" w:rsidRPr="00D830A1" w:rsidRDefault="0071545C" w:rsidP="0039040A">
            <w:pPr>
              <w:snapToGrid w:val="0"/>
              <w:ind w:firstLineChars="200" w:firstLine="480"/>
              <w:jc w:val="both"/>
              <w:rPr>
                <w:kern w:val="0"/>
              </w:rPr>
            </w:pPr>
            <w:r w:rsidRPr="00D830A1">
              <w:rPr>
                <w:kern w:val="0"/>
              </w:rPr>
              <w:t>US</w:t>
            </w:r>
          </w:p>
        </w:tc>
        <w:tc>
          <w:tcPr>
            <w:tcW w:w="1701" w:type="dxa"/>
            <w:vAlign w:val="bottom"/>
          </w:tcPr>
          <w:p w14:paraId="7F45565A" w14:textId="77777777" w:rsidR="0071545C" w:rsidRPr="00D830A1" w:rsidRDefault="0071545C" w:rsidP="0039040A">
            <w:pPr>
              <w:pStyle w:val="Heading1"/>
              <w:tabs>
                <w:tab w:val="decimal" w:pos="702"/>
              </w:tabs>
              <w:ind w:left="-28"/>
              <w:jc w:val="left"/>
              <w:rPr>
                <w:kern w:val="0"/>
                <w:sz w:val="24"/>
                <w:szCs w:val="26"/>
              </w:rPr>
            </w:pPr>
            <w:r w:rsidRPr="00D830A1">
              <w:rPr>
                <w:kern w:val="0"/>
                <w:sz w:val="24"/>
                <w:szCs w:val="26"/>
              </w:rPr>
              <w:t>2.8</w:t>
            </w:r>
            <w:r w:rsidRPr="00D830A1">
              <w:rPr>
                <w:kern w:val="0"/>
                <w:sz w:val="24"/>
                <w:szCs w:val="26"/>
                <w:vertAlign w:val="superscript"/>
              </w:rPr>
              <w:t>#</w:t>
            </w:r>
          </w:p>
        </w:tc>
        <w:tc>
          <w:tcPr>
            <w:tcW w:w="2126" w:type="dxa"/>
            <w:vAlign w:val="bottom"/>
          </w:tcPr>
          <w:p w14:paraId="220EA445"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2.7</w:t>
            </w:r>
          </w:p>
        </w:tc>
        <w:tc>
          <w:tcPr>
            <w:tcW w:w="2127" w:type="dxa"/>
            <w:vAlign w:val="bottom"/>
          </w:tcPr>
          <w:p w14:paraId="26C0C25C" w14:textId="77777777" w:rsidR="0071545C" w:rsidRPr="00F30540" w:rsidRDefault="0071545C" w:rsidP="0039040A">
            <w:pPr>
              <w:pStyle w:val="Heading1"/>
              <w:tabs>
                <w:tab w:val="decimal" w:pos="907"/>
              </w:tabs>
              <w:ind w:left="-28"/>
              <w:jc w:val="left"/>
              <w:rPr>
                <w:kern w:val="0"/>
                <w:sz w:val="24"/>
                <w:szCs w:val="26"/>
                <w:highlight w:val="green"/>
              </w:rPr>
            </w:pPr>
            <w:r>
              <w:rPr>
                <w:kern w:val="0"/>
                <w:sz w:val="24"/>
                <w:szCs w:val="26"/>
              </w:rPr>
              <w:t>1.8</w:t>
            </w:r>
          </w:p>
        </w:tc>
      </w:tr>
      <w:tr w:rsidR="0071545C" w:rsidRPr="00F30540" w14:paraId="686C1D85" w14:textId="77777777" w:rsidTr="0039040A">
        <w:trPr>
          <w:trHeight w:val="60"/>
        </w:trPr>
        <w:tc>
          <w:tcPr>
            <w:tcW w:w="2977" w:type="dxa"/>
            <w:vAlign w:val="bottom"/>
          </w:tcPr>
          <w:p w14:paraId="604C5EBF" w14:textId="77777777" w:rsidR="0071545C" w:rsidRPr="00D830A1" w:rsidRDefault="0071545C" w:rsidP="0039040A">
            <w:pPr>
              <w:snapToGrid w:val="0"/>
              <w:ind w:firstLineChars="200" w:firstLine="480"/>
              <w:jc w:val="both"/>
              <w:rPr>
                <w:kern w:val="0"/>
              </w:rPr>
            </w:pPr>
            <w:r w:rsidRPr="00D830A1">
              <w:rPr>
                <w:kern w:val="0"/>
              </w:rPr>
              <w:t>Euro area</w:t>
            </w:r>
          </w:p>
        </w:tc>
        <w:tc>
          <w:tcPr>
            <w:tcW w:w="1701" w:type="dxa"/>
          </w:tcPr>
          <w:p w14:paraId="6CDBAD3C" w14:textId="7B71E12D" w:rsidR="0071545C" w:rsidRPr="00D830A1" w:rsidRDefault="00DC58B3" w:rsidP="0039040A">
            <w:pPr>
              <w:pStyle w:val="Heading1"/>
              <w:tabs>
                <w:tab w:val="decimal" w:pos="702"/>
              </w:tabs>
              <w:ind w:left="-28"/>
              <w:jc w:val="left"/>
              <w:rPr>
                <w:kern w:val="0"/>
                <w:sz w:val="24"/>
                <w:szCs w:val="26"/>
              </w:rPr>
            </w:pPr>
            <w:r>
              <w:rPr>
                <w:kern w:val="0"/>
                <w:sz w:val="24"/>
                <w:szCs w:val="26"/>
              </w:rPr>
              <w:t>0.9</w:t>
            </w:r>
            <w:r w:rsidR="0071545C" w:rsidRPr="00D830A1">
              <w:rPr>
                <w:kern w:val="0"/>
                <w:sz w:val="24"/>
                <w:szCs w:val="26"/>
                <w:vertAlign w:val="superscript"/>
              </w:rPr>
              <w:t>#</w:t>
            </w:r>
          </w:p>
        </w:tc>
        <w:tc>
          <w:tcPr>
            <w:tcW w:w="2126" w:type="dxa"/>
            <w:vAlign w:val="bottom"/>
          </w:tcPr>
          <w:p w14:paraId="4291CD8F"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1.0</w:t>
            </w:r>
          </w:p>
        </w:tc>
        <w:tc>
          <w:tcPr>
            <w:tcW w:w="2127" w:type="dxa"/>
            <w:vAlign w:val="bottom"/>
          </w:tcPr>
          <w:p w14:paraId="6E87BD0A" w14:textId="77777777" w:rsidR="0071545C" w:rsidRPr="00F30540" w:rsidRDefault="0071545C" w:rsidP="0039040A">
            <w:pPr>
              <w:pStyle w:val="Heading1"/>
              <w:tabs>
                <w:tab w:val="decimal" w:pos="907"/>
              </w:tabs>
              <w:ind w:left="-28"/>
              <w:jc w:val="left"/>
              <w:rPr>
                <w:kern w:val="0"/>
                <w:sz w:val="24"/>
                <w:szCs w:val="26"/>
                <w:highlight w:val="green"/>
              </w:rPr>
            </w:pPr>
            <w:r>
              <w:rPr>
                <w:kern w:val="0"/>
                <w:sz w:val="24"/>
                <w:szCs w:val="26"/>
              </w:rPr>
              <w:t>0.8</w:t>
            </w:r>
          </w:p>
        </w:tc>
      </w:tr>
      <w:tr w:rsidR="0071545C" w:rsidRPr="00F30540" w14:paraId="5A9D743F" w14:textId="77777777" w:rsidTr="0039040A">
        <w:trPr>
          <w:trHeight w:val="60"/>
        </w:trPr>
        <w:tc>
          <w:tcPr>
            <w:tcW w:w="2977" w:type="dxa"/>
            <w:vAlign w:val="bottom"/>
          </w:tcPr>
          <w:p w14:paraId="16B55EF2" w14:textId="77777777" w:rsidR="0071545C" w:rsidRPr="00D830A1" w:rsidRDefault="0071545C" w:rsidP="0039040A">
            <w:pPr>
              <w:snapToGrid w:val="0"/>
              <w:ind w:firstLineChars="200" w:firstLine="480"/>
              <w:jc w:val="both"/>
              <w:rPr>
                <w:kern w:val="0"/>
              </w:rPr>
            </w:pPr>
            <w:r w:rsidRPr="00D830A1">
              <w:rPr>
                <w:kern w:val="0"/>
              </w:rPr>
              <w:t>UK</w:t>
            </w:r>
          </w:p>
        </w:tc>
        <w:tc>
          <w:tcPr>
            <w:tcW w:w="1701" w:type="dxa"/>
          </w:tcPr>
          <w:p w14:paraId="47082568" w14:textId="77777777" w:rsidR="0071545C" w:rsidRPr="00F30540" w:rsidRDefault="0071545C" w:rsidP="0039040A">
            <w:pPr>
              <w:pStyle w:val="Heading1"/>
              <w:tabs>
                <w:tab w:val="decimal" w:pos="702"/>
              </w:tabs>
              <w:ind w:left="-28"/>
              <w:jc w:val="left"/>
              <w:rPr>
                <w:kern w:val="0"/>
                <w:sz w:val="24"/>
                <w:szCs w:val="26"/>
                <w:highlight w:val="green"/>
              </w:rPr>
            </w:pPr>
            <w:r w:rsidRPr="00D830A1">
              <w:rPr>
                <w:kern w:val="0"/>
                <w:sz w:val="24"/>
                <w:szCs w:val="26"/>
              </w:rPr>
              <w:t>1.1</w:t>
            </w:r>
            <w:r w:rsidRPr="00D830A1">
              <w:rPr>
                <w:kern w:val="0"/>
                <w:sz w:val="24"/>
                <w:szCs w:val="26"/>
                <w:vertAlign w:val="superscript"/>
              </w:rPr>
              <w:t>#</w:t>
            </w:r>
          </w:p>
        </w:tc>
        <w:tc>
          <w:tcPr>
            <w:tcW w:w="2126" w:type="dxa"/>
            <w:vAlign w:val="bottom"/>
          </w:tcPr>
          <w:p w14:paraId="1E8FE92A"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1.6</w:t>
            </w:r>
          </w:p>
        </w:tc>
        <w:tc>
          <w:tcPr>
            <w:tcW w:w="2127" w:type="dxa"/>
            <w:vAlign w:val="bottom"/>
          </w:tcPr>
          <w:p w14:paraId="11F0B6B2" w14:textId="77777777" w:rsidR="0071545C" w:rsidRPr="00F30540" w:rsidRDefault="0071545C" w:rsidP="0039040A">
            <w:pPr>
              <w:pStyle w:val="Heading1"/>
              <w:tabs>
                <w:tab w:val="decimal" w:pos="907"/>
              </w:tabs>
              <w:ind w:left="-28"/>
              <w:jc w:val="left"/>
              <w:rPr>
                <w:kern w:val="0"/>
                <w:sz w:val="24"/>
                <w:szCs w:val="26"/>
                <w:highlight w:val="green"/>
              </w:rPr>
            </w:pPr>
            <w:r>
              <w:rPr>
                <w:kern w:val="0"/>
                <w:sz w:val="24"/>
                <w:szCs w:val="26"/>
              </w:rPr>
              <w:t>1.1</w:t>
            </w:r>
          </w:p>
        </w:tc>
      </w:tr>
      <w:tr w:rsidR="0071545C" w:rsidRPr="00F30540" w14:paraId="7589ACAE" w14:textId="77777777" w:rsidTr="0039040A">
        <w:trPr>
          <w:trHeight w:val="60"/>
        </w:trPr>
        <w:tc>
          <w:tcPr>
            <w:tcW w:w="2977" w:type="dxa"/>
            <w:vAlign w:val="bottom"/>
          </w:tcPr>
          <w:p w14:paraId="65818DD2" w14:textId="77777777" w:rsidR="0071545C" w:rsidRPr="00D830A1" w:rsidRDefault="0071545C" w:rsidP="0039040A">
            <w:pPr>
              <w:snapToGrid w:val="0"/>
              <w:ind w:firstLine="140"/>
              <w:jc w:val="both"/>
              <w:rPr>
                <w:kern w:val="0"/>
              </w:rPr>
            </w:pPr>
            <w:r w:rsidRPr="00D830A1">
              <w:rPr>
                <w:kern w:val="0"/>
              </w:rPr>
              <w:t xml:space="preserve">   Japan</w:t>
            </w:r>
          </w:p>
        </w:tc>
        <w:tc>
          <w:tcPr>
            <w:tcW w:w="1701" w:type="dxa"/>
          </w:tcPr>
          <w:p w14:paraId="362A9193" w14:textId="77777777" w:rsidR="0071545C" w:rsidRPr="00D830A1" w:rsidRDefault="0071545C" w:rsidP="0039040A">
            <w:pPr>
              <w:pStyle w:val="Heading1"/>
              <w:tabs>
                <w:tab w:val="decimal" w:pos="702"/>
              </w:tabs>
              <w:ind w:left="-28"/>
              <w:jc w:val="left"/>
              <w:rPr>
                <w:kern w:val="0"/>
                <w:sz w:val="24"/>
                <w:szCs w:val="26"/>
              </w:rPr>
            </w:pPr>
            <w:r w:rsidRPr="00D830A1">
              <w:rPr>
                <w:kern w:val="0"/>
                <w:sz w:val="24"/>
                <w:szCs w:val="26"/>
              </w:rPr>
              <w:t>0.1</w:t>
            </w:r>
            <w:r w:rsidRPr="00D830A1">
              <w:rPr>
                <w:kern w:val="0"/>
                <w:sz w:val="24"/>
                <w:szCs w:val="26"/>
                <w:vertAlign w:val="superscript"/>
              </w:rPr>
              <w:t>#</w:t>
            </w:r>
          </w:p>
        </w:tc>
        <w:tc>
          <w:tcPr>
            <w:tcW w:w="2126" w:type="dxa"/>
            <w:vAlign w:val="bottom"/>
          </w:tcPr>
          <w:p w14:paraId="1A1F778A"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1.1</w:t>
            </w:r>
          </w:p>
        </w:tc>
        <w:tc>
          <w:tcPr>
            <w:tcW w:w="2127" w:type="dxa"/>
            <w:vAlign w:val="bottom"/>
          </w:tcPr>
          <w:p w14:paraId="4439B962" w14:textId="77777777" w:rsidR="0071545C" w:rsidRPr="00F30540" w:rsidRDefault="0071545C" w:rsidP="0039040A">
            <w:pPr>
              <w:pStyle w:val="Heading1"/>
              <w:tabs>
                <w:tab w:val="decimal" w:pos="907"/>
              </w:tabs>
              <w:ind w:left="-28"/>
              <w:jc w:val="left"/>
              <w:rPr>
                <w:kern w:val="0"/>
                <w:sz w:val="24"/>
                <w:szCs w:val="26"/>
                <w:highlight w:val="green"/>
              </w:rPr>
            </w:pPr>
            <w:r>
              <w:rPr>
                <w:kern w:val="0"/>
                <w:sz w:val="24"/>
                <w:szCs w:val="26"/>
              </w:rPr>
              <w:t>0.6</w:t>
            </w:r>
          </w:p>
        </w:tc>
      </w:tr>
      <w:tr w:rsidR="0071545C" w:rsidRPr="00F30540" w14:paraId="742A9F11" w14:textId="77777777" w:rsidTr="0039040A">
        <w:trPr>
          <w:trHeight w:val="560"/>
        </w:trPr>
        <w:tc>
          <w:tcPr>
            <w:tcW w:w="2977" w:type="dxa"/>
            <w:vAlign w:val="bottom"/>
          </w:tcPr>
          <w:p w14:paraId="3DB28560" w14:textId="77777777" w:rsidR="0071545C" w:rsidRPr="00D830A1" w:rsidRDefault="0071545C" w:rsidP="0039040A">
            <w:pPr>
              <w:snapToGrid w:val="0"/>
              <w:rPr>
                <w:kern w:val="0"/>
              </w:rPr>
            </w:pPr>
            <w:r w:rsidRPr="00D830A1">
              <w:rPr>
                <w:kern w:val="0"/>
              </w:rPr>
              <w:t>Emerging market and developing economies</w:t>
            </w:r>
          </w:p>
        </w:tc>
        <w:tc>
          <w:tcPr>
            <w:tcW w:w="1701" w:type="dxa"/>
            <w:vAlign w:val="bottom"/>
          </w:tcPr>
          <w:p w14:paraId="04B37897" w14:textId="77777777" w:rsidR="0071545C" w:rsidRPr="00F30540" w:rsidRDefault="0071545C" w:rsidP="0039040A">
            <w:pPr>
              <w:pStyle w:val="Heading1"/>
              <w:tabs>
                <w:tab w:val="decimal" w:pos="702"/>
              </w:tabs>
              <w:ind w:left="-28"/>
              <w:jc w:val="left"/>
              <w:rPr>
                <w:b/>
                <w:kern w:val="0"/>
                <w:sz w:val="24"/>
                <w:szCs w:val="26"/>
                <w:highlight w:val="green"/>
              </w:rPr>
            </w:pPr>
            <w:r w:rsidRPr="00D830A1">
              <w:rPr>
                <w:kern w:val="0"/>
                <w:sz w:val="24"/>
                <w:szCs w:val="26"/>
              </w:rPr>
              <w:t>4.</w:t>
            </w:r>
            <w:r>
              <w:rPr>
                <w:kern w:val="0"/>
                <w:sz w:val="24"/>
                <w:szCs w:val="26"/>
              </w:rPr>
              <w:t>3</w:t>
            </w:r>
          </w:p>
        </w:tc>
        <w:tc>
          <w:tcPr>
            <w:tcW w:w="2126" w:type="dxa"/>
            <w:vAlign w:val="bottom"/>
          </w:tcPr>
          <w:p w14:paraId="7425DB9F" w14:textId="77777777" w:rsidR="0071545C" w:rsidRPr="00D830A1" w:rsidRDefault="0071545C" w:rsidP="0039040A">
            <w:pPr>
              <w:pStyle w:val="Heading1"/>
              <w:tabs>
                <w:tab w:val="decimal" w:pos="907"/>
              </w:tabs>
              <w:ind w:left="-28"/>
              <w:jc w:val="left"/>
              <w:rPr>
                <w:b/>
                <w:kern w:val="0"/>
                <w:sz w:val="24"/>
                <w:szCs w:val="26"/>
              </w:rPr>
            </w:pPr>
            <w:r w:rsidRPr="00D830A1">
              <w:rPr>
                <w:kern w:val="0"/>
                <w:sz w:val="24"/>
                <w:szCs w:val="26"/>
              </w:rPr>
              <w:t>4.2</w:t>
            </w:r>
          </w:p>
        </w:tc>
        <w:tc>
          <w:tcPr>
            <w:tcW w:w="2127" w:type="dxa"/>
            <w:vAlign w:val="bottom"/>
          </w:tcPr>
          <w:p w14:paraId="6B674763" w14:textId="77777777" w:rsidR="0071545C" w:rsidRPr="00F30540" w:rsidRDefault="0071545C" w:rsidP="0039040A">
            <w:pPr>
              <w:pStyle w:val="Heading1"/>
              <w:tabs>
                <w:tab w:val="decimal" w:pos="907"/>
              </w:tabs>
              <w:ind w:left="-28"/>
              <w:jc w:val="left"/>
              <w:rPr>
                <w:b/>
                <w:kern w:val="0"/>
                <w:sz w:val="24"/>
                <w:szCs w:val="26"/>
                <w:highlight w:val="green"/>
              </w:rPr>
            </w:pPr>
            <w:r>
              <w:rPr>
                <w:kern w:val="0"/>
                <w:sz w:val="24"/>
                <w:szCs w:val="26"/>
              </w:rPr>
              <w:t>3.7</w:t>
            </w:r>
          </w:p>
        </w:tc>
      </w:tr>
      <w:tr w:rsidR="0071545C" w:rsidRPr="00F30540" w14:paraId="4C269401" w14:textId="77777777" w:rsidTr="0039040A">
        <w:trPr>
          <w:trHeight w:val="60"/>
        </w:trPr>
        <w:tc>
          <w:tcPr>
            <w:tcW w:w="2977" w:type="dxa"/>
            <w:vAlign w:val="bottom"/>
          </w:tcPr>
          <w:p w14:paraId="222543FE" w14:textId="77777777" w:rsidR="0071545C" w:rsidRPr="00D830A1" w:rsidRDefault="0071545C" w:rsidP="0039040A">
            <w:pPr>
              <w:snapToGrid w:val="0"/>
              <w:ind w:leftChars="199" w:left="478"/>
              <w:rPr>
                <w:kern w:val="0"/>
              </w:rPr>
            </w:pPr>
            <w:r w:rsidRPr="00D830A1">
              <w:rPr>
                <w:rFonts w:eastAsia="SimSun"/>
                <w:kern w:val="0"/>
                <w:lang w:eastAsia="zh-CN"/>
              </w:rPr>
              <w:t>Emerging and d</w:t>
            </w:r>
            <w:r w:rsidRPr="00D830A1">
              <w:rPr>
                <w:kern w:val="0"/>
              </w:rPr>
              <w:t>eveloping Asia</w:t>
            </w:r>
          </w:p>
        </w:tc>
        <w:tc>
          <w:tcPr>
            <w:tcW w:w="1701" w:type="dxa"/>
            <w:vAlign w:val="bottom"/>
          </w:tcPr>
          <w:p w14:paraId="0AAE21A5" w14:textId="77777777" w:rsidR="0071545C" w:rsidRPr="00F30540" w:rsidRDefault="0071545C" w:rsidP="0039040A">
            <w:pPr>
              <w:pStyle w:val="Heading1"/>
              <w:tabs>
                <w:tab w:val="decimal" w:pos="702"/>
              </w:tabs>
              <w:ind w:left="-28"/>
              <w:jc w:val="left"/>
              <w:rPr>
                <w:kern w:val="0"/>
                <w:sz w:val="24"/>
                <w:szCs w:val="26"/>
                <w:highlight w:val="green"/>
              </w:rPr>
            </w:pPr>
            <w:r w:rsidRPr="00D830A1">
              <w:rPr>
                <w:kern w:val="0"/>
                <w:sz w:val="24"/>
                <w:szCs w:val="26"/>
              </w:rPr>
              <w:t>5.</w:t>
            </w:r>
            <w:r>
              <w:rPr>
                <w:kern w:val="0"/>
                <w:sz w:val="24"/>
                <w:szCs w:val="26"/>
              </w:rPr>
              <w:t>3</w:t>
            </w:r>
          </w:p>
        </w:tc>
        <w:tc>
          <w:tcPr>
            <w:tcW w:w="2126" w:type="dxa"/>
            <w:vAlign w:val="bottom"/>
          </w:tcPr>
          <w:p w14:paraId="554D7D86"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5.1</w:t>
            </w:r>
          </w:p>
        </w:tc>
        <w:tc>
          <w:tcPr>
            <w:tcW w:w="2127" w:type="dxa"/>
            <w:vAlign w:val="bottom"/>
          </w:tcPr>
          <w:p w14:paraId="18D55B91" w14:textId="77777777" w:rsidR="0071545C" w:rsidRPr="00F30540" w:rsidRDefault="0071545C" w:rsidP="0039040A">
            <w:pPr>
              <w:pStyle w:val="Heading1"/>
              <w:tabs>
                <w:tab w:val="decimal" w:pos="907"/>
              </w:tabs>
              <w:ind w:left="-28"/>
              <w:jc w:val="left"/>
              <w:rPr>
                <w:kern w:val="0"/>
                <w:sz w:val="24"/>
                <w:szCs w:val="26"/>
                <w:highlight w:val="green"/>
              </w:rPr>
            </w:pPr>
            <w:r>
              <w:rPr>
                <w:kern w:val="0"/>
                <w:sz w:val="24"/>
                <w:szCs w:val="26"/>
              </w:rPr>
              <w:t>4.5</w:t>
            </w:r>
          </w:p>
        </w:tc>
      </w:tr>
      <w:tr w:rsidR="0071545C" w:rsidRPr="00F30540" w14:paraId="36CB005B" w14:textId="77777777" w:rsidTr="0039040A">
        <w:trPr>
          <w:trHeight w:val="60"/>
        </w:trPr>
        <w:tc>
          <w:tcPr>
            <w:tcW w:w="2977" w:type="dxa"/>
            <w:vAlign w:val="bottom"/>
          </w:tcPr>
          <w:p w14:paraId="7F08CB64" w14:textId="77777777" w:rsidR="0071545C" w:rsidRPr="00D830A1" w:rsidRDefault="0071545C" w:rsidP="0039040A">
            <w:pPr>
              <w:snapToGrid w:val="0"/>
              <w:ind w:left="268" w:firstLine="420"/>
              <w:jc w:val="both"/>
              <w:rPr>
                <w:kern w:val="0"/>
              </w:rPr>
            </w:pPr>
            <w:r w:rsidRPr="00D830A1">
              <w:rPr>
                <w:kern w:val="0"/>
              </w:rPr>
              <w:t>Mainland China</w:t>
            </w:r>
          </w:p>
        </w:tc>
        <w:tc>
          <w:tcPr>
            <w:tcW w:w="1701" w:type="dxa"/>
            <w:vAlign w:val="bottom"/>
          </w:tcPr>
          <w:p w14:paraId="0F6FC427" w14:textId="77777777" w:rsidR="0071545C" w:rsidRPr="00F30540" w:rsidRDefault="0071545C" w:rsidP="0039040A">
            <w:pPr>
              <w:pStyle w:val="Heading1"/>
              <w:tabs>
                <w:tab w:val="decimal" w:pos="702"/>
              </w:tabs>
              <w:ind w:left="-28"/>
              <w:jc w:val="left"/>
              <w:rPr>
                <w:kern w:val="0"/>
                <w:sz w:val="24"/>
                <w:szCs w:val="26"/>
                <w:highlight w:val="green"/>
              </w:rPr>
            </w:pPr>
            <w:r w:rsidRPr="00D830A1">
              <w:rPr>
                <w:kern w:val="0"/>
                <w:sz w:val="24"/>
                <w:szCs w:val="26"/>
              </w:rPr>
              <w:t>5.0</w:t>
            </w:r>
            <w:r w:rsidRPr="00D830A1">
              <w:rPr>
                <w:kern w:val="0"/>
                <w:sz w:val="24"/>
                <w:szCs w:val="26"/>
                <w:vertAlign w:val="superscript"/>
              </w:rPr>
              <w:t>#</w:t>
            </w:r>
          </w:p>
        </w:tc>
        <w:tc>
          <w:tcPr>
            <w:tcW w:w="2126" w:type="dxa"/>
            <w:vAlign w:val="bottom"/>
          </w:tcPr>
          <w:p w14:paraId="4DC4B35B"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4.6</w:t>
            </w:r>
          </w:p>
        </w:tc>
        <w:tc>
          <w:tcPr>
            <w:tcW w:w="2127" w:type="dxa"/>
            <w:vAlign w:val="bottom"/>
          </w:tcPr>
          <w:p w14:paraId="0E2183D3" w14:textId="77777777" w:rsidR="0071545C" w:rsidRPr="00F30540" w:rsidRDefault="0071545C" w:rsidP="0039040A">
            <w:pPr>
              <w:pStyle w:val="Heading1"/>
              <w:tabs>
                <w:tab w:val="decimal" w:pos="907"/>
              </w:tabs>
              <w:jc w:val="left"/>
              <w:rPr>
                <w:kern w:val="0"/>
                <w:sz w:val="24"/>
                <w:szCs w:val="26"/>
                <w:highlight w:val="green"/>
              </w:rPr>
            </w:pPr>
            <w:r>
              <w:rPr>
                <w:kern w:val="0"/>
                <w:sz w:val="24"/>
                <w:szCs w:val="26"/>
              </w:rPr>
              <w:t>4.0</w:t>
            </w:r>
          </w:p>
        </w:tc>
      </w:tr>
      <w:tr w:rsidR="0071545C" w:rsidRPr="00F30540" w14:paraId="1BAD098E" w14:textId="77777777" w:rsidTr="0039040A">
        <w:trPr>
          <w:trHeight w:val="60"/>
        </w:trPr>
        <w:tc>
          <w:tcPr>
            <w:tcW w:w="2977" w:type="dxa"/>
            <w:vAlign w:val="bottom"/>
          </w:tcPr>
          <w:p w14:paraId="24D98092" w14:textId="77777777" w:rsidR="0071545C" w:rsidRPr="00D830A1" w:rsidRDefault="0071545C" w:rsidP="0039040A">
            <w:pPr>
              <w:snapToGrid w:val="0"/>
              <w:ind w:left="268" w:firstLine="420"/>
              <w:jc w:val="both"/>
              <w:rPr>
                <w:kern w:val="0"/>
                <w:lang w:eastAsia="zh-HK"/>
              </w:rPr>
            </w:pPr>
            <w:r w:rsidRPr="00D830A1">
              <w:rPr>
                <w:kern w:val="0"/>
              </w:rPr>
              <w:t>India</w:t>
            </w:r>
            <w:r w:rsidRPr="00D830A1">
              <w:rPr>
                <w:kern w:val="0"/>
                <w:vertAlign w:val="superscript"/>
                <w:lang w:eastAsia="zh-HK"/>
              </w:rPr>
              <w:t>^</w:t>
            </w:r>
          </w:p>
        </w:tc>
        <w:tc>
          <w:tcPr>
            <w:tcW w:w="1701" w:type="dxa"/>
            <w:vAlign w:val="bottom"/>
          </w:tcPr>
          <w:p w14:paraId="47262EE4" w14:textId="77777777" w:rsidR="0071545C" w:rsidRPr="00F30540" w:rsidRDefault="0071545C" w:rsidP="0039040A">
            <w:pPr>
              <w:pStyle w:val="Heading1"/>
              <w:tabs>
                <w:tab w:val="decimal" w:pos="702"/>
              </w:tabs>
              <w:ind w:left="-28"/>
              <w:jc w:val="left"/>
              <w:rPr>
                <w:kern w:val="0"/>
                <w:sz w:val="24"/>
                <w:szCs w:val="26"/>
                <w:highlight w:val="green"/>
              </w:rPr>
            </w:pPr>
            <w:r w:rsidRPr="00D830A1">
              <w:rPr>
                <w:kern w:val="0"/>
                <w:sz w:val="24"/>
                <w:szCs w:val="26"/>
              </w:rPr>
              <w:t>6.5</w:t>
            </w:r>
          </w:p>
        </w:tc>
        <w:tc>
          <w:tcPr>
            <w:tcW w:w="2126" w:type="dxa"/>
            <w:vAlign w:val="bottom"/>
          </w:tcPr>
          <w:p w14:paraId="1EE1B01B"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6.5</w:t>
            </w:r>
          </w:p>
        </w:tc>
        <w:tc>
          <w:tcPr>
            <w:tcW w:w="2127" w:type="dxa"/>
            <w:vAlign w:val="bottom"/>
          </w:tcPr>
          <w:p w14:paraId="532DB607" w14:textId="77777777" w:rsidR="0071545C" w:rsidRPr="00F30540" w:rsidRDefault="0071545C" w:rsidP="0039040A">
            <w:pPr>
              <w:pStyle w:val="Heading1"/>
              <w:tabs>
                <w:tab w:val="decimal" w:pos="907"/>
              </w:tabs>
              <w:ind w:left="-28"/>
              <w:jc w:val="left"/>
              <w:rPr>
                <w:kern w:val="0"/>
                <w:sz w:val="24"/>
                <w:szCs w:val="26"/>
                <w:highlight w:val="green"/>
              </w:rPr>
            </w:pPr>
            <w:r>
              <w:rPr>
                <w:kern w:val="0"/>
                <w:sz w:val="24"/>
                <w:szCs w:val="26"/>
              </w:rPr>
              <w:t>6.2</w:t>
            </w:r>
          </w:p>
        </w:tc>
      </w:tr>
      <w:tr w:rsidR="0071545C" w:rsidRPr="00F30540" w14:paraId="6BED0446" w14:textId="77777777" w:rsidTr="0039040A">
        <w:trPr>
          <w:trHeight w:val="60"/>
        </w:trPr>
        <w:tc>
          <w:tcPr>
            <w:tcW w:w="2977" w:type="dxa"/>
            <w:vAlign w:val="bottom"/>
          </w:tcPr>
          <w:p w14:paraId="58544C59" w14:textId="77777777" w:rsidR="0071545C" w:rsidRPr="00D830A1" w:rsidRDefault="0071545C" w:rsidP="0039040A">
            <w:pPr>
              <w:snapToGrid w:val="0"/>
              <w:ind w:left="268" w:firstLine="420"/>
              <w:jc w:val="both"/>
              <w:rPr>
                <w:kern w:val="0"/>
                <w:lang w:eastAsia="zh-HK"/>
              </w:rPr>
            </w:pPr>
            <w:r w:rsidRPr="00D830A1">
              <w:rPr>
                <w:kern w:val="0"/>
              </w:rPr>
              <w:t>ASEAN-5</w:t>
            </w:r>
            <w:r w:rsidRPr="00D830A1">
              <w:rPr>
                <w:kern w:val="0"/>
                <w:vertAlign w:val="superscript"/>
                <w:lang w:eastAsia="zh-HK"/>
              </w:rPr>
              <w:t>§</w:t>
            </w:r>
          </w:p>
        </w:tc>
        <w:tc>
          <w:tcPr>
            <w:tcW w:w="1701" w:type="dxa"/>
            <w:vAlign w:val="bottom"/>
          </w:tcPr>
          <w:p w14:paraId="3501E247" w14:textId="77777777" w:rsidR="0071545C" w:rsidRPr="00D830A1" w:rsidRDefault="0071545C" w:rsidP="0039040A">
            <w:pPr>
              <w:pStyle w:val="Heading1"/>
              <w:tabs>
                <w:tab w:val="decimal" w:pos="702"/>
              </w:tabs>
              <w:ind w:left="-28"/>
              <w:jc w:val="left"/>
              <w:rPr>
                <w:kern w:val="0"/>
                <w:sz w:val="24"/>
                <w:szCs w:val="26"/>
              </w:rPr>
            </w:pPr>
            <w:r>
              <w:rPr>
                <w:kern w:val="0"/>
                <w:sz w:val="24"/>
                <w:szCs w:val="26"/>
              </w:rPr>
              <w:t>4.6</w:t>
            </w:r>
          </w:p>
        </w:tc>
        <w:tc>
          <w:tcPr>
            <w:tcW w:w="2126" w:type="dxa"/>
            <w:vAlign w:val="bottom"/>
          </w:tcPr>
          <w:p w14:paraId="24527F82"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4.6</w:t>
            </w:r>
          </w:p>
        </w:tc>
        <w:tc>
          <w:tcPr>
            <w:tcW w:w="2127" w:type="dxa"/>
            <w:vAlign w:val="bottom"/>
          </w:tcPr>
          <w:p w14:paraId="0BF25D2B" w14:textId="77777777" w:rsidR="0071545C" w:rsidRPr="00F30540" w:rsidRDefault="0071545C" w:rsidP="0039040A">
            <w:pPr>
              <w:pStyle w:val="Heading1"/>
              <w:tabs>
                <w:tab w:val="decimal" w:pos="907"/>
              </w:tabs>
              <w:ind w:left="-28"/>
              <w:jc w:val="left"/>
              <w:rPr>
                <w:kern w:val="0"/>
                <w:sz w:val="24"/>
                <w:szCs w:val="26"/>
                <w:highlight w:val="green"/>
              </w:rPr>
            </w:pPr>
            <w:r>
              <w:rPr>
                <w:kern w:val="0"/>
                <w:sz w:val="24"/>
                <w:szCs w:val="26"/>
              </w:rPr>
              <w:t>4.0</w:t>
            </w:r>
          </w:p>
        </w:tc>
      </w:tr>
      <w:tr w:rsidR="0071545C" w:rsidRPr="00F30540" w14:paraId="36F3C559" w14:textId="77777777" w:rsidTr="0039040A">
        <w:trPr>
          <w:trHeight w:val="60"/>
        </w:trPr>
        <w:tc>
          <w:tcPr>
            <w:tcW w:w="2977" w:type="dxa"/>
            <w:vAlign w:val="bottom"/>
          </w:tcPr>
          <w:p w14:paraId="7EC9E078" w14:textId="77777777" w:rsidR="0071545C" w:rsidRPr="00D830A1" w:rsidRDefault="0071545C" w:rsidP="0039040A">
            <w:pPr>
              <w:snapToGrid w:val="0"/>
              <w:ind w:left="420"/>
              <w:rPr>
                <w:rFonts w:eastAsia="SimSun"/>
                <w:kern w:val="0"/>
                <w:lang w:eastAsia="zh-CN"/>
              </w:rPr>
            </w:pPr>
            <w:r w:rsidRPr="00D830A1">
              <w:rPr>
                <w:kern w:val="0"/>
              </w:rPr>
              <w:t xml:space="preserve">Middle East and </w:t>
            </w:r>
          </w:p>
          <w:p w14:paraId="21B5634B" w14:textId="77777777" w:rsidR="0071545C" w:rsidRPr="00D830A1" w:rsidRDefault="0071545C" w:rsidP="0039040A">
            <w:pPr>
              <w:snapToGrid w:val="0"/>
              <w:ind w:left="420"/>
              <w:rPr>
                <w:kern w:val="0"/>
              </w:rPr>
            </w:pPr>
            <w:r w:rsidRPr="00D830A1">
              <w:rPr>
                <w:kern w:val="0"/>
              </w:rPr>
              <w:t>Central Asia</w:t>
            </w:r>
          </w:p>
        </w:tc>
        <w:tc>
          <w:tcPr>
            <w:tcW w:w="1701" w:type="dxa"/>
            <w:vAlign w:val="bottom"/>
          </w:tcPr>
          <w:p w14:paraId="46AEE5EC" w14:textId="77777777" w:rsidR="0071545C" w:rsidRPr="00D830A1" w:rsidRDefault="0071545C" w:rsidP="0039040A">
            <w:pPr>
              <w:pStyle w:val="Heading1"/>
              <w:tabs>
                <w:tab w:val="decimal" w:pos="702"/>
              </w:tabs>
              <w:ind w:left="-28"/>
              <w:jc w:val="left"/>
              <w:rPr>
                <w:kern w:val="0"/>
                <w:sz w:val="24"/>
                <w:szCs w:val="26"/>
              </w:rPr>
            </w:pPr>
            <w:r w:rsidRPr="00D830A1">
              <w:rPr>
                <w:kern w:val="0"/>
                <w:sz w:val="24"/>
                <w:szCs w:val="26"/>
              </w:rPr>
              <w:t>2.4</w:t>
            </w:r>
          </w:p>
        </w:tc>
        <w:tc>
          <w:tcPr>
            <w:tcW w:w="2126" w:type="dxa"/>
            <w:vAlign w:val="bottom"/>
          </w:tcPr>
          <w:p w14:paraId="3EB778FC" w14:textId="77777777" w:rsidR="0071545C" w:rsidRPr="00D830A1" w:rsidRDefault="0071545C" w:rsidP="0039040A">
            <w:pPr>
              <w:pStyle w:val="Heading1"/>
              <w:tabs>
                <w:tab w:val="decimal" w:pos="907"/>
              </w:tabs>
              <w:ind w:left="-28"/>
              <w:jc w:val="left"/>
              <w:rPr>
                <w:kern w:val="0"/>
                <w:sz w:val="24"/>
                <w:szCs w:val="26"/>
              </w:rPr>
            </w:pPr>
            <w:r w:rsidRPr="00D830A1">
              <w:rPr>
                <w:kern w:val="0"/>
                <w:sz w:val="24"/>
                <w:szCs w:val="26"/>
              </w:rPr>
              <w:t>3.6</w:t>
            </w:r>
          </w:p>
        </w:tc>
        <w:tc>
          <w:tcPr>
            <w:tcW w:w="2127" w:type="dxa"/>
            <w:vAlign w:val="bottom"/>
          </w:tcPr>
          <w:p w14:paraId="1FA924C1" w14:textId="77777777" w:rsidR="0071545C" w:rsidRPr="00F30540" w:rsidRDefault="0071545C" w:rsidP="0039040A">
            <w:pPr>
              <w:pStyle w:val="Heading1"/>
              <w:tabs>
                <w:tab w:val="decimal" w:pos="907"/>
              </w:tabs>
              <w:ind w:left="-28"/>
              <w:jc w:val="left"/>
              <w:rPr>
                <w:kern w:val="0"/>
                <w:sz w:val="24"/>
                <w:szCs w:val="26"/>
                <w:highlight w:val="green"/>
              </w:rPr>
            </w:pPr>
            <w:r>
              <w:rPr>
                <w:kern w:val="0"/>
                <w:sz w:val="24"/>
                <w:szCs w:val="26"/>
              </w:rPr>
              <w:t>3.0</w:t>
            </w:r>
          </w:p>
        </w:tc>
      </w:tr>
    </w:tbl>
    <w:p w14:paraId="40E6BAE1" w14:textId="77777777" w:rsidR="0071545C" w:rsidRPr="00F30540" w:rsidRDefault="0071545C" w:rsidP="0071545C">
      <w:pPr>
        <w:pStyle w:val="Header"/>
        <w:spacing w:line="200" w:lineRule="exact"/>
        <w:ind w:left="360"/>
        <w:rPr>
          <w:kern w:val="0"/>
          <w:highlight w:val="green"/>
        </w:rPr>
      </w:pPr>
    </w:p>
    <w:tbl>
      <w:tblPr>
        <w:tblW w:w="0" w:type="auto"/>
        <w:tblLayout w:type="fixed"/>
        <w:tblCellMar>
          <w:left w:w="0" w:type="dxa"/>
        </w:tblCellMar>
        <w:tblLook w:val="0000" w:firstRow="0" w:lastRow="0" w:firstColumn="0" w:lastColumn="0" w:noHBand="0" w:noVBand="0"/>
      </w:tblPr>
      <w:tblGrid>
        <w:gridCol w:w="808"/>
        <w:gridCol w:w="293"/>
        <w:gridCol w:w="707"/>
        <w:gridCol w:w="7123"/>
      </w:tblGrid>
      <w:tr w:rsidR="0071545C" w:rsidRPr="00BE40F4" w14:paraId="4D483113" w14:textId="77777777" w:rsidTr="0039040A">
        <w:trPr>
          <w:trHeight w:val="74"/>
        </w:trPr>
        <w:tc>
          <w:tcPr>
            <w:tcW w:w="808" w:type="dxa"/>
          </w:tcPr>
          <w:p w14:paraId="6E9C1184" w14:textId="77777777" w:rsidR="0071545C" w:rsidRPr="009047B3" w:rsidRDefault="0071545C" w:rsidP="0039040A">
            <w:pPr>
              <w:pStyle w:val="Header"/>
              <w:spacing w:line="260" w:lineRule="exact"/>
              <w:rPr>
                <w:kern w:val="0"/>
                <w:sz w:val="24"/>
                <w:lang w:eastAsia="zh-HK"/>
              </w:rPr>
            </w:pPr>
            <w:r w:rsidRPr="009047B3">
              <w:rPr>
                <w:kern w:val="0"/>
                <w:sz w:val="24"/>
              </w:rPr>
              <w:t>Notes :</w:t>
            </w:r>
          </w:p>
        </w:tc>
        <w:tc>
          <w:tcPr>
            <w:tcW w:w="293" w:type="dxa"/>
          </w:tcPr>
          <w:p w14:paraId="7458F59A" w14:textId="77777777" w:rsidR="0071545C" w:rsidRPr="009047B3" w:rsidRDefault="0071545C" w:rsidP="0039040A">
            <w:pPr>
              <w:pStyle w:val="Header"/>
              <w:spacing w:line="260" w:lineRule="exact"/>
              <w:rPr>
                <w:kern w:val="0"/>
                <w:sz w:val="24"/>
              </w:rPr>
            </w:pPr>
          </w:p>
        </w:tc>
        <w:tc>
          <w:tcPr>
            <w:tcW w:w="707" w:type="dxa"/>
          </w:tcPr>
          <w:p w14:paraId="13D31081" w14:textId="77777777" w:rsidR="0071545C" w:rsidRPr="009047B3" w:rsidRDefault="0071545C" w:rsidP="0039040A">
            <w:pPr>
              <w:pStyle w:val="Header"/>
              <w:spacing w:line="260" w:lineRule="exact"/>
              <w:rPr>
                <w:kern w:val="0"/>
                <w:sz w:val="24"/>
              </w:rPr>
            </w:pPr>
            <w:r w:rsidRPr="009047B3">
              <w:rPr>
                <w:kern w:val="0"/>
                <w:sz w:val="24"/>
              </w:rPr>
              <w:t>(#)</w:t>
            </w:r>
          </w:p>
          <w:p w14:paraId="232CEC92" w14:textId="77777777" w:rsidR="0071545C" w:rsidRPr="009047B3" w:rsidRDefault="0071545C" w:rsidP="0039040A">
            <w:pPr>
              <w:pStyle w:val="Header"/>
              <w:spacing w:line="260" w:lineRule="exact"/>
              <w:rPr>
                <w:kern w:val="0"/>
                <w:sz w:val="24"/>
              </w:rPr>
            </w:pPr>
            <w:r w:rsidRPr="009047B3">
              <w:rPr>
                <w:kern w:val="0"/>
                <w:sz w:val="24"/>
              </w:rPr>
              <w:t>(##)</w:t>
            </w:r>
          </w:p>
          <w:p w14:paraId="0D7C705D" w14:textId="77777777" w:rsidR="0071545C" w:rsidRPr="009047B3" w:rsidRDefault="0071545C" w:rsidP="0039040A">
            <w:pPr>
              <w:pStyle w:val="Header"/>
              <w:spacing w:line="260" w:lineRule="exact"/>
              <w:rPr>
                <w:kern w:val="0"/>
                <w:sz w:val="24"/>
              </w:rPr>
            </w:pPr>
            <w:r w:rsidRPr="009047B3">
              <w:rPr>
                <w:kern w:val="0"/>
                <w:sz w:val="24"/>
                <w:lang w:eastAsia="zh-HK"/>
              </w:rPr>
              <w:t>(^)</w:t>
            </w:r>
          </w:p>
          <w:p w14:paraId="79EF52A9" w14:textId="77777777" w:rsidR="0071545C" w:rsidRPr="009047B3" w:rsidRDefault="0071545C" w:rsidP="0039040A">
            <w:pPr>
              <w:pStyle w:val="Header"/>
              <w:spacing w:line="260" w:lineRule="exact"/>
              <w:rPr>
                <w:kern w:val="0"/>
                <w:sz w:val="24"/>
              </w:rPr>
            </w:pPr>
            <w:r w:rsidRPr="009047B3">
              <w:rPr>
                <w:kern w:val="0"/>
                <w:sz w:val="24"/>
              </w:rPr>
              <w:t>(§)</w:t>
            </w:r>
          </w:p>
        </w:tc>
        <w:tc>
          <w:tcPr>
            <w:tcW w:w="7123" w:type="dxa"/>
          </w:tcPr>
          <w:p w14:paraId="6D43040B" w14:textId="77777777" w:rsidR="0071545C" w:rsidRPr="009047B3" w:rsidRDefault="0071545C" w:rsidP="0039040A">
            <w:pPr>
              <w:pStyle w:val="Header"/>
              <w:spacing w:line="260" w:lineRule="exact"/>
              <w:rPr>
                <w:kern w:val="0"/>
                <w:lang w:eastAsia="zh-HK"/>
              </w:rPr>
            </w:pPr>
            <w:r w:rsidRPr="009047B3">
              <w:rPr>
                <w:kern w:val="0"/>
                <w:sz w:val="24"/>
              </w:rPr>
              <w:t>Actual figures.</w:t>
            </w:r>
            <w:r w:rsidRPr="009047B3">
              <w:rPr>
                <w:kern w:val="0"/>
              </w:rPr>
              <w:t xml:space="preserve"> </w:t>
            </w:r>
          </w:p>
          <w:p w14:paraId="3EFF1481" w14:textId="77777777" w:rsidR="0071545C" w:rsidRPr="009047B3" w:rsidRDefault="0071545C" w:rsidP="0039040A">
            <w:pPr>
              <w:pStyle w:val="Header"/>
              <w:spacing w:line="260" w:lineRule="exact"/>
              <w:rPr>
                <w:kern w:val="0"/>
                <w:sz w:val="24"/>
              </w:rPr>
            </w:pPr>
            <w:r w:rsidRPr="009047B3">
              <w:rPr>
                <w:kern w:val="0"/>
                <w:sz w:val="24"/>
              </w:rPr>
              <w:t>PPP refers to purchasing power parity.</w:t>
            </w:r>
          </w:p>
          <w:p w14:paraId="5AC2721A" w14:textId="77777777" w:rsidR="0071545C" w:rsidRPr="009047B3" w:rsidRDefault="0071545C" w:rsidP="0039040A">
            <w:pPr>
              <w:pStyle w:val="Header"/>
              <w:spacing w:line="260" w:lineRule="exact"/>
              <w:rPr>
                <w:kern w:val="0"/>
                <w:sz w:val="24"/>
                <w:lang w:eastAsia="zh-HK"/>
              </w:rPr>
            </w:pPr>
            <w:r w:rsidRPr="009047B3">
              <w:rPr>
                <w:kern w:val="0"/>
                <w:sz w:val="24"/>
                <w:lang w:eastAsia="zh-HK"/>
              </w:rPr>
              <w:t>Fiscal year.</w:t>
            </w:r>
          </w:p>
          <w:p w14:paraId="70A03618" w14:textId="77777777" w:rsidR="0071545C" w:rsidRPr="00BE40F4" w:rsidRDefault="0071545C" w:rsidP="0039040A">
            <w:pPr>
              <w:pStyle w:val="Header"/>
              <w:spacing w:line="260" w:lineRule="exact"/>
              <w:rPr>
                <w:kern w:val="0"/>
                <w:sz w:val="24"/>
              </w:rPr>
            </w:pPr>
            <w:r w:rsidRPr="009047B3">
              <w:rPr>
                <w:kern w:val="0"/>
                <w:sz w:val="24"/>
              </w:rPr>
              <w:t>Includes Indonesia, Malaysia, the Philippines, Singapore and Thailand.</w:t>
            </w:r>
          </w:p>
        </w:tc>
      </w:tr>
    </w:tbl>
    <w:p w14:paraId="7331F636" w14:textId="3B0E8132" w:rsidR="00AB62B7" w:rsidRPr="00B67ADE" w:rsidRDefault="00AB62B7" w:rsidP="00CF4B45">
      <w:pPr>
        <w:overflowPunct w:val="0"/>
        <w:snapToGrid w:val="0"/>
        <w:jc w:val="both"/>
      </w:pPr>
    </w:p>
    <w:sectPr w:rsidR="00AB62B7" w:rsidRPr="00B67ADE" w:rsidSect="005949EB">
      <w:headerReference w:type="default" r:id="rId21"/>
      <w:footerReference w:type="even" r:id="rId22"/>
      <w:footerReference w:type="default" r:id="rId23"/>
      <w:pgSz w:w="11906" w:h="16838"/>
      <w:pgMar w:top="1009" w:right="1440" w:bottom="318" w:left="1440" w:header="720" w:footer="397"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B78DE" w14:textId="77777777" w:rsidR="00C83E7F" w:rsidRDefault="00C83E7F">
      <w:r>
        <w:separator/>
      </w:r>
    </w:p>
  </w:endnote>
  <w:endnote w:type="continuationSeparator" w:id="0">
    <w:p w14:paraId="117F72FE" w14:textId="77777777" w:rsidR="00C83E7F" w:rsidRDefault="00C83E7F">
      <w:r>
        <w:continuationSeparator/>
      </w:r>
    </w:p>
  </w:endnote>
  <w:endnote w:type="continuationNotice" w:id="1">
    <w:p w14:paraId="6623434D" w14:textId="77777777" w:rsidR="00C83E7F" w:rsidRDefault="00C83E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inte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C83E7F" w:rsidRDefault="00C83E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C83E7F" w:rsidRDefault="00C83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66DCCD72" w:rsidR="00C83E7F" w:rsidRPr="00220CF1" w:rsidRDefault="00C83E7F"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5061BA" w:rsidRPr="005061BA">
      <w:rPr>
        <w:noProof/>
        <w:sz w:val="28"/>
        <w:szCs w:val="28"/>
        <w:lang w:val="zh-TW"/>
      </w:rPr>
      <w:t>35</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0DA26" w14:textId="77777777" w:rsidR="00C83E7F" w:rsidRDefault="00C83E7F" w:rsidP="00486A63">
      <w:pPr>
        <w:jc w:val="center"/>
      </w:pPr>
      <w:r>
        <w:separator/>
      </w:r>
    </w:p>
  </w:footnote>
  <w:footnote w:type="continuationSeparator" w:id="0">
    <w:p w14:paraId="2CFAC295" w14:textId="77777777" w:rsidR="00C83E7F" w:rsidRDefault="00C83E7F">
      <w:r>
        <w:continuationSeparator/>
      </w:r>
    </w:p>
  </w:footnote>
  <w:footnote w:type="continuationNotice" w:id="1">
    <w:p w14:paraId="5D6801EC" w14:textId="77777777" w:rsidR="00C83E7F" w:rsidRDefault="00C83E7F"/>
  </w:footnote>
  <w:footnote w:id="2">
    <w:p w14:paraId="568453F8" w14:textId="77777777" w:rsidR="00C83E7F" w:rsidRPr="00F40076" w:rsidRDefault="00C83E7F" w:rsidP="00AB1744">
      <w:pPr>
        <w:pStyle w:val="FootnoteText"/>
        <w:ind w:left="426" w:hanging="426"/>
        <w:jc w:val="both"/>
      </w:pPr>
      <w:r>
        <w:t>(</w:t>
      </w:r>
      <w:r w:rsidRPr="00F40076">
        <w:rPr>
          <w:rStyle w:val="FootnoteReference"/>
          <w:vertAlign w:val="baseline"/>
        </w:rPr>
        <w:footnoteRef/>
      </w:r>
      <w:r>
        <w:t>)</w:t>
      </w:r>
      <w:r w:rsidRPr="00F40076">
        <w:tab/>
        <w:t>Namely Singapore, South Korea, India, Indonesia, Malaysia, the Philippines, Thailand and Vietnam.</w:t>
      </w:r>
    </w:p>
  </w:footnote>
  <w:footnote w:id="3">
    <w:p w14:paraId="2D964708" w14:textId="77777777" w:rsidR="00C83E7F" w:rsidRPr="004F0157" w:rsidRDefault="00C83E7F" w:rsidP="00AB1744">
      <w:pPr>
        <w:pStyle w:val="FootnoteText"/>
        <w:ind w:left="424" w:hangingChars="212" w:hanging="424"/>
        <w:jc w:val="both"/>
      </w:pPr>
      <w:r w:rsidRPr="0018220E">
        <w:t>(</w:t>
      </w:r>
      <w:r w:rsidRPr="00185BCC">
        <w:rPr>
          <w:rStyle w:val="FootnoteReference"/>
          <w:vertAlign w:val="baseline"/>
        </w:rPr>
        <w:footnoteRef/>
      </w:r>
      <w:r w:rsidRPr="0018220E">
        <w:t>)</w:t>
      </w:r>
      <w:r>
        <w:tab/>
        <w:t>According to</w:t>
      </w:r>
      <w:r w:rsidRPr="00576A5F">
        <w:t xml:space="preserve"> </w:t>
      </w:r>
      <w:r>
        <w:t>the Monetary Authority of Singapore (MAS) and CEIC, domestic credit of Singapore and South Korea expanded by 6.0% and 5.7% year-on-year in February 2025 and December 2024 respectively.  Further, according to the London Stock Exchange Group, Singapore’s syndicated loan volume grew by approximately 49% in 2024</w:t>
      </w:r>
      <w:r>
        <w:rPr>
          <w:rFonts w:hint="eastAsia"/>
        </w:rPr>
        <w:t xml:space="preserve">, </w:t>
      </w:r>
      <w:r>
        <w:t>highlighting robust borrowing activity especially from corporations.</w:t>
      </w:r>
    </w:p>
  </w:footnote>
  <w:footnote w:id="4">
    <w:p w14:paraId="792FD3FF" w14:textId="4C589B13" w:rsidR="00C83E7F" w:rsidRDefault="00C83E7F" w:rsidP="00AB1744">
      <w:pPr>
        <w:pStyle w:val="FootnoteText"/>
        <w:ind w:left="424" w:hangingChars="212" w:hanging="424"/>
        <w:jc w:val="both"/>
      </w:pPr>
      <w:r>
        <w:t>(</w:t>
      </w:r>
      <w:r w:rsidRPr="00185BCC">
        <w:rPr>
          <w:rStyle w:val="FootnoteReference"/>
          <w:vertAlign w:val="baseline"/>
        </w:rPr>
        <w:footnoteRef/>
      </w:r>
      <w:r>
        <w:t>)</w:t>
      </w:r>
      <w:r>
        <w:tab/>
        <w:t>Since January 2025, the central banks of South Korea, Indonesia and the Philippines lowered their policy rates once by 25 basis points, and those of India and Thailand cut their policy rates twice totalling 50 basis point.  The MAS, which uses the exchange rate as its main monetary policy tool, also eased its monetary policy twice in January – April 2025.</w:t>
      </w:r>
    </w:p>
    <w:p w14:paraId="7E41F2D4" w14:textId="77777777" w:rsidR="00C83E7F" w:rsidRPr="00185BCC" w:rsidRDefault="00C83E7F" w:rsidP="00AB1744">
      <w:pPr>
        <w:pStyle w:val="FootnoteText"/>
        <w:ind w:left="424" w:hangingChars="212" w:hanging="424"/>
        <w:jc w:val="both"/>
        <w:rPr>
          <w:lang w:val="en-HK"/>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C83E7F" w:rsidRPr="00C177F3" w:rsidRDefault="00C83E7F"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567621"/>
    <w:multiLevelType w:val="hybridMultilevel"/>
    <w:tmpl w:val="50846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6"/>
  </w:num>
  <w:num w:numId="2">
    <w:abstractNumId w:val="0"/>
  </w:num>
  <w:num w:numId="3">
    <w:abstractNumId w:val="2"/>
  </w:num>
  <w:num w:numId="4">
    <w:abstractNumId w:val="3"/>
  </w:num>
  <w:num w:numId="5">
    <w:abstractNumId w:val="5"/>
  </w:num>
  <w:num w:numId="6">
    <w:abstractNumId w:val="1"/>
  </w:num>
  <w:num w:numId="7">
    <w:abstractNumId w:val="7"/>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0"/>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zh-HK"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GB" w:vendorID="64" w:dllVersion="131078" w:nlCheck="1" w:checkStyle="1"/>
  <w:activeWritingStyle w:appName="MSWord" w:lang="en-HK" w:vendorID="64" w:dllVersion="131078" w:nlCheck="1" w:checkStyle="1"/>
  <w:activeWritingStyle w:appName="MSWord" w:lang="en-US" w:vendorID="64" w:dllVersion="131078" w:nlCheck="1" w:checkStyle="1"/>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2252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A5F"/>
    <w:rsid w:val="00000B42"/>
    <w:rsid w:val="00000BA9"/>
    <w:rsid w:val="00000DD2"/>
    <w:rsid w:val="00000EC3"/>
    <w:rsid w:val="00000F3B"/>
    <w:rsid w:val="0000116F"/>
    <w:rsid w:val="00001187"/>
    <w:rsid w:val="000012BD"/>
    <w:rsid w:val="0000133A"/>
    <w:rsid w:val="000013E9"/>
    <w:rsid w:val="00001766"/>
    <w:rsid w:val="00001775"/>
    <w:rsid w:val="00001812"/>
    <w:rsid w:val="00001E65"/>
    <w:rsid w:val="00001E88"/>
    <w:rsid w:val="00002134"/>
    <w:rsid w:val="0000217C"/>
    <w:rsid w:val="00002AC8"/>
    <w:rsid w:val="00002B28"/>
    <w:rsid w:val="00002B41"/>
    <w:rsid w:val="00002C0A"/>
    <w:rsid w:val="000030BC"/>
    <w:rsid w:val="0000312D"/>
    <w:rsid w:val="000031D7"/>
    <w:rsid w:val="00003368"/>
    <w:rsid w:val="0000343E"/>
    <w:rsid w:val="00003649"/>
    <w:rsid w:val="00003682"/>
    <w:rsid w:val="000036EC"/>
    <w:rsid w:val="00003972"/>
    <w:rsid w:val="000039FA"/>
    <w:rsid w:val="00003AFC"/>
    <w:rsid w:val="00003FD2"/>
    <w:rsid w:val="00004064"/>
    <w:rsid w:val="00004216"/>
    <w:rsid w:val="00004333"/>
    <w:rsid w:val="0000435D"/>
    <w:rsid w:val="000043F9"/>
    <w:rsid w:val="00004463"/>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175"/>
    <w:rsid w:val="00012217"/>
    <w:rsid w:val="00012ACA"/>
    <w:rsid w:val="00012B1E"/>
    <w:rsid w:val="00012D29"/>
    <w:rsid w:val="00012D9B"/>
    <w:rsid w:val="00012E51"/>
    <w:rsid w:val="00012E7A"/>
    <w:rsid w:val="00012F09"/>
    <w:rsid w:val="00012F6D"/>
    <w:rsid w:val="00013243"/>
    <w:rsid w:val="000132AA"/>
    <w:rsid w:val="000132B1"/>
    <w:rsid w:val="00013551"/>
    <w:rsid w:val="00013584"/>
    <w:rsid w:val="000139DC"/>
    <w:rsid w:val="00013C50"/>
    <w:rsid w:val="00013C9A"/>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10D"/>
    <w:rsid w:val="00016315"/>
    <w:rsid w:val="000163F4"/>
    <w:rsid w:val="0001652A"/>
    <w:rsid w:val="000165A5"/>
    <w:rsid w:val="000168B8"/>
    <w:rsid w:val="00016998"/>
    <w:rsid w:val="000169CE"/>
    <w:rsid w:val="00016DB7"/>
    <w:rsid w:val="00016E8E"/>
    <w:rsid w:val="00016F00"/>
    <w:rsid w:val="00016F29"/>
    <w:rsid w:val="0001737D"/>
    <w:rsid w:val="00017388"/>
    <w:rsid w:val="0001753C"/>
    <w:rsid w:val="0001784A"/>
    <w:rsid w:val="00017954"/>
    <w:rsid w:val="0001796C"/>
    <w:rsid w:val="000179FB"/>
    <w:rsid w:val="00017ACB"/>
    <w:rsid w:val="00017B9E"/>
    <w:rsid w:val="00017F24"/>
    <w:rsid w:val="00017FD3"/>
    <w:rsid w:val="0002025D"/>
    <w:rsid w:val="000202A7"/>
    <w:rsid w:val="000205C2"/>
    <w:rsid w:val="0002068B"/>
    <w:rsid w:val="000206B8"/>
    <w:rsid w:val="000209AD"/>
    <w:rsid w:val="00020AD5"/>
    <w:rsid w:val="00020E47"/>
    <w:rsid w:val="00021042"/>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689"/>
    <w:rsid w:val="00022929"/>
    <w:rsid w:val="00022A94"/>
    <w:rsid w:val="00022A97"/>
    <w:rsid w:val="00022B4F"/>
    <w:rsid w:val="00022BDE"/>
    <w:rsid w:val="00022C88"/>
    <w:rsid w:val="0002329A"/>
    <w:rsid w:val="00023399"/>
    <w:rsid w:val="000233E4"/>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AD8"/>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21F"/>
    <w:rsid w:val="0003032B"/>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3F8"/>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989"/>
    <w:rsid w:val="000359FD"/>
    <w:rsid w:val="0003616D"/>
    <w:rsid w:val="000361A2"/>
    <w:rsid w:val="00036629"/>
    <w:rsid w:val="00036C14"/>
    <w:rsid w:val="00036D14"/>
    <w:rsid w:val="00036F8A"/>
    <w:rsid w:val="00036F8D"/>
    <w:rsid w:val="0003705E"/>
    <w:rsid w:val="0003710E"/>
    <w:rsid w:val="00037196"/>
    <w:rsid w:val="000371C0"/>
    <w:rsid w:val="000372C0"/>
    <w:rsid w:val="00037577"/>
    <w:rsid w:val="00037582"/>
    <w:rsid w:val="0003774B"/>
    <w:rsid w:val="00037784"/>
    <w:rsid w:val="0003794C"/>
    <w:rsid w:val="0003795C"/>
    <w:rsid w:val="00037AF0"/>
    <w:rsid w:val="00037BAF"/>
    <w:rsid w:val="00037EB5"/>
    <w:rsid w:val="00040114"/>
    <w:rsid w:val="000402EC"/>
    <w:rsid w:val="000403A9"/>
    <w:rsid w:val="00040700"/>
    <w:rsid w:val="000407FE"/>
    <w:rsid w:val="0004093C"/>
    <w:rsid w:val="0004094E"/>
    <w:rsid w:val="000409DC"/>
    <w:rsid w:val="00040D44"/>
    <w:rsid w:val="00040EA6"/>
    <w:rsid w:val="00040EFE"/>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BBF"/>
    <w:rsid w:val="00042D26"/>
    <w:rsid w:val="00042DA6"/>
    <w:rsid w:val="00042E4B"/>
    <w:rsid w:val="00042EF5"/>
    <w:rsid w:val="00042FE8"/>
    <w:rsid w:val="00043203"/>
    <w:rsid w:val="00043206"/>
    <w:rsid w:val="000432F1"/>
    <w:rsid w:val="0004330F"/>
    <w:rsid w:val="000434BD"/>
    <w:rsid w:val="000437D4"/>
    <w:rsid w:val="0004397A"/>
    <w:rsid w:val="00043995"/>
    <w:rsid w:val="00043B14"/>
    <w:rsid w:val="00043BBA"/>
    <w:rsid w:val="00043D6C"/>
    <w:rsid w:val="00043D95"/>
    <w:rsid w:val="00043DBD"/>
    <w:rsid w:val="00043FCD"/>
    <w:rsid w:val="000445FD"/>
    <w:rsid w:val="00044650"/>
    <w:rsid w:val="0004484C"/>
    <w:rsid w:val="0004484E"/>
    <w:rsid w:val="000449F8"/>
    <w:rsid w:val="00044B9E"/>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EC4"/>
    <w:rsid w:val="000531FE"/>
    <w:rsid w:val="00053272"/>
    <w:rsid w:val="000538BB"/>
    <w:rsid w:val="0005393C"/>
    <w:rsid w:val="00053AD1"/>
    <w:rsid w:val="00053FBC"/>
    <w:rsid w:val="000541C2"/>
    <w:rsid w:val="00054322"/>
    <w:rsid w:val="000543F6"/>
    <w:rsid w:val="000545D7"/>
    <w:rsid w:val="000546EA"/>
    <w:rsid w:val="00054851"/>
    <w:rsid w:val="00054C18"/>
    <w:rsid w:val="00054E97"/>
    <w:rsid w:val="00054EF2"/>
    <w:rsid w:val="00054F37"/>
    <w:rsid w:val="00055056"/>
    <w:rsid w:val="00055070"/>
    <w:rsid w:val="00055749"/>
    <w:rsid w:val="00055A56"/>
    <w:rsid w:val="00055F76"/>
    <w:rsid w:val="00055F9D"/>
    <w:rsid w:val="00055FB7"/>
    <w:rsid w:val="00055FCD"/>
    <w:rsid w:val="000563C4"/>
    <w:rsid w:val="00056508"/>
    <w:rsid w:val="0005662F"/>
    <w:rsid w:val="000566E6"/>
    <w:rsid w:val="00056730"/>
    <w:rsid w:val="00056921"/>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2CF"/>
    <w:rsid w:val="00061399"/>
    <w:rsid w:val="000614A2"/>
    <w:rsid w:val="0006171D"/>
    <w:rsid w:val="000617F3"/>
    <w:rsid w:val="000618A6"/>
    <w:rsid w:val="000618A8"/>
    <w:rsid w:val="00061A23"/>
    <w:rsid w:val="00061AA7"/>
    <w:rsid w:val="00061AE6"/>
    <w:rsid w:val="00061F0F"/>
    <w:rsid w:val="000621AE"/>
    <w:rsid w:val="0006220C"/>
    <w:rsid w:val="0006232B"/>
    <w:rsid w:val="000624F5"/>
    <w:rsid w:val="0006259C"/>
    <w:rsid w:val="000625F2"/>
    <w:rsid w:val="000626BA"/>
    <w:rsid w:val="0006282F"/>
    <w:rsid w:val="00062835"/>
    <w:rsid w:val="00062ACA"/>
    <w:rsid w:val="00062B17"/>
    <w:rsid w:val="00062D0F"/>
    <w:rsid w:val="00062D7C"/>
    <w:rsid w:val="00062DDB"/>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7F0"/>
    <w:rsid w:val="00067826"/>
    <w:rsid w:val="0006790B"/>
    <w:rsid w:val="00067A31"/>
    <w:rsid w:val="00067D7F"/>
    <w:rsid w:val="00067EB6"/>
    <w:rsid w:val="00067F2E"/>
    <w:rsid w:val="000700CE"/>
    <w:rsid w:val="000704DB"/>
    <w:rsid w:val="000704EC"/>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E92"/>
    <w:rsid w:val="00072FBC"/>
    <w:rsid w:val="00073057"/>
    <w:rsid w:val="000730AE"/>
    <w:rsid w:val="00073272"/>
    <w:rsid w:val="0007331C"/>
    <w:rsid w:val="000734BF"/>
    <w:rsid w:val="000736BE"/>
    <w:rsid w:val="000737C9"/>
    <w:rsid w:val="00073B07"/>
    <w:rsid w:val="00073C71"/>
    <w:rsid w:val="00073C75"/>
    <w:rsid w:val="00073CDE"/>
    <w:rsid w:val="00073E59"/>
    <w:rsid w:val="000741AB"/>
    <w:rsid w:val="000743C0"/>
    <w:rsid w:val="000743FD"/>
    <w:rsid w:val="000744D9"/>
    <w:rsid w:val="0007451A"/>
    <w:rsid w:val="000746D8"/>
    <w:rsid w:val="00074D58"/>
    <w:rsid w:val="00074DCD"/>
    <w:rsid w:val="00074DDA"/>
    <w:rsid w:val="00074F50"/>
    <w:rsid w:val="00075889"/>
    <w:rsid w:val="00075967"/>
    <w:rsid w:val="00075ACD"/>
    <w:rsid w:val="00075B21"/>
    <w:rsid w:val="00075D27"/>
    <w:rsid w:val="00075EB8"/>
    <w:rsid w:val="00076049"/>
    <w:rsid w:val="0007604E"/>
    <w:rsid w:val="0007605F"/>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D26"/>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4B6"/>
    <w:rsid w:val="00084641"/>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17F"/>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05"/>
    <w:rsid w:val="00087C7A"/>
    <w:rsid w:val="00087D73"/>
    <w:rsid w:val="00087DB1"/>
    <w:rsid w:val="00087DBF"/>
    <w:rsid w:val="00087EFE"/>
    <w:rsid w:val="00087F14"/>
    <w:rsid w:val="00087F40"/>
    <w:rsid w:val="00090413"/>
    <w:rsid w:val="000904D3"/>
    <w:rsid w:val="0009068A"/>
    <w:rsid w:val="0009076F"/>
    <w:rsid w:val="0009099C"/>
    <w:rsid w:val="00090E52"/>
    <w:rsid w:val="00090F3C"/>
    <w:rsid w:val="00090F7B"/>
    <w:rsid w:val="00090FA6"/>
    <w:rsid w:val="0009101B"/>
    <w:rsid w:val="00091076"/>
    <w:rsid w:val="000911A2"/>
    <w:rsid w:val="00091314"/>
    <w:rsid w:val="0009151E"/>
    <w:rsid w:val="000919BD"/>
    <w:rsid w:val="000919E9"/>
    <w:rsid w:val="00091A6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B1C"/>
    <w:rsid w:val="00093BD7"/>
    <w:rsid w:val="00093D0A"/>
    <w:rsid w:val="00093D6F"/>
    <w:rsid w:val="00093EDF"/>
    <w:rsid w:val="00093F34"/>
    <w:rsid w:val="0009413E"/>
    <w:rsid w:val="00094388"/>
    <w:rsid w:val="000945C2"/>
    <w:rsid w:val="00094725"/>
    <w:rsid w:val="00094EA4"/>
    <w:rsid w:val="0009507F"/>
    <w:rsid w:val="0009509F"/>
    <w:rsid w:val="00095176"/>
    <w:rsid w:val="00095206"/>
    <w:rsid w:val="0009529D"/>
    <w:rsid w:val="00095370"/>
    <w:rsid w:val="0009551B"/>
    <w:rsid w:val="000955EA"/>
    <w:rsid w:val="00095681"/>
    <w:rsid w:val="0009570F"/>
    <w:rsid w:val="00095742"/>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9DE"/>
    <w:rsid w:val="00096ACC"/>
    <w:rsid w:val="00096BE3"/>
    <w:rsid w:val="00096CE3"/>
    <w:rsid w:val="00096E3B"/>
    <w:rsid w:val="00097135"/>
    <w:rsid w:val="000971CD"/>
    <w:rsid w:val="00097385"/>
    <w:rsid w:val="00097401"/>
    <w:rsid w:val="000974B2"/>
    <w:rsid w:val="000974B7"/>
    <w:rsid w:val="000975CA"/>
    <w:rsid w:val="000975EE"/>
    <w:rsid w:val="000976D5"/>
    <w:rsid w:val="000978B6"/>
    <w:rsid w:val="000978EA"/>
    <w:rsid w:val="00097B1D"/>
    <w:rsid w:val="00097D37"/>
    <w:rsid w:val="00097E83"/>
    <w:rsid w:val="00097F47"/>
    <w:rsid w:val="000A003B"/>
    <w:rsid w:val="000A0246"/>
    <w:rsid w:val="000A0329"/>
    <w:rsid w:val="000A0459"/>
    <w:rsid w:val="000A0870"/>
    <w:rsid w:val="000A095C"/>
    <w:rsid w:val="000A0A0C"/>
    <w:rsid w:val="000A0C8A"/>
    <w:rsid w:val="000A0D91"/>
    <w:rsid w:val="000A0D9E"/>
    <w:rsid w:val="000A0DDC"/>
    <w:rsid w:val="000A0DF3"/>
    <w:rsid w:val="000A1157"/>
    <w:rsid w:val="000A13FD"/>
    <w:rsid w:val="000A148E"/>
    <w:rsid w:val="000A1613"/>
    <w:rsid w:val="000A183A"/>
    <w:rsid w:val="000A1CD0"/>
    <w:rsid w:val="000A1EF2"/>
    <w:rsid w:val="000A1EFE"/>
    <w:rsid w:val="000A1F39"/>
    <w:rsid w:val="000A270F"/>
    <w:rsid w:val="000A27FC"/>
    <w:rsid w:val="000A2A76"/>
    <w:rsid w:val="000A2B1A"/>
    <w:rsid w:val="000A2F65"/>
    <w:rsid w:val="000A2FDD"/>
    <w:rsid w:val="000A3247"/>
    <w:rsid w:val="000A3283"/>
    <w:rsid w:val="000A3372"/>
    <w:rsid w:val="000A35C1"/>
    <w:rsid w:val="000A36A7"/>
    <w:rsid w:val="000A38C0"/>
    <w:rsid w:val="000A3A75"/>
    <w:rsid w:val="000A3DEB"/>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279"/>
    <w:rsid w:val="000A759D"/>
    <w:rsid w:val="000A761E"/>
    <w:rsid w:val="000A7786"/>
    <w:rsid w:val="000A7840"/>
    <w:rsid w:val="000A79E6"/>
    <w:rsid w:val="000A7B6C"/>
    <w:rsid w:val="000A7BA7"/>
    <w:rsid w:val="000A7C3F"/>
    <w:rsid w:val="000A7C62"/>
    <w:rsid w:val="000A7D0D"/>
    <w:rsid w:val="000A7E5E"/>
    <w:rsid w:val="000A7E86"/>
    <w:rsid w:val="000A7EF6"/>
    <w:rsid w:val="000B0230"/>
    <w:rsid w:val="000B02D8"/>
    <w:rsid w:val="000B053F"/>
    <w:rsid w:val="000B06FE"/>
    <w:rsid w:val="000B0707"/>
    <w:rsid w:val="000B07EC"/>
    <w:rsid w:val="000B0A2B"/>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73"/>
    <w:rsid w:val="000B3899"/>
    <w:rsid w:val="000B3985"/>
    <w:rsid w:val="000B3A91"/>
    <w:rsid w:val="000B3D2B"/>
    <w:rsid w:val="000B3D8D"/>
    <w:rsid w:val="000B40B0"/>
    <w:rsid w:val="000B4178"/>
    <w:rsid w:val="000B4291"/>
    <w:rsid w:val="000B4470"/>
    <w:rsid w:val="000B45BE"/>
    <w:rsid w:val="000B4662"/>
    <w:rsid w:val="000B46AC"/>
    <w:rsid w:val="000B470B"/>
    <w:rsid w:val="000B48F0"/>
    <w:rsid w:val="000B495B"/>
    <w:rsid w:val="000B4A50"/>
    <w:rsid w:val="000B4CB7"/>
    <w:rsid w:val="000B4CE6"/>
    <w:rsid w:val="000B4F2D"/>
    <w:rsid w:val="000B50D7"/>
    <w:rsid w:val="000B5257"/>
    <w:rsid w:val="000B56B2"/>
    <w:rsid w:val="000B5736"/>
    <w:rsid w:val="000B58E5"/>
    <w:rsid w:val="000B5C60"/>
    <w:rsid w:val="000B5CD7"/>
    <w:rsid w:val="000B5CFD"/>
    <w:rsid w:val="000B5DBC"/>
    <w:rsid w:val="000B5EA5"/>
    <w:rsid w:val="000B6120"/>
    <w:rsid w:val="000B622D"/>
    <w:rsid w:val="000B6336"/>
    <w:rsid w:val="000B63F2"/>
    <w:rsid w:val="000B675A"/>
    <w:rsid w:val="000B6A6D"/>
    <w:rsid w:val="000B6D6B"/>
    <w:rsid w:val="000B6E01"/>
    <w:rsid w:val="000B6EDD"/>
    <w:rsid w:val="000B7554"/>
    <w:rsid w:val="000B7935"/>
    <w:rsid w:val="000B7ADE"/>
    <w:rsid w:val="000B7E10"/>
    <w:rsid w:val="000B7E66"/>
    <w:rsid w:val="000B7FAF"/>
    <w:rsid w:val="000C010B"/>
    <w:rsid w:val="000C0191"/>
    <w:rsid w:val="000C030D"/>
    <w:rsid w:val="000C06BC"/>
    <w:rsid w:val="000C0717"/>
    <w:rsid w:val="000C07A6"/>
    <w:rsid w:val="000C08E6"/>
    <w:rsid w:val="000C0924"/>
    <w:rsid w:val="000C0BB2"/>
    <w:rsid w:val="000C0C1E"/>
    <w:rsid w:val="000C0C9C"/>
    <w:rsid w:val="000C0D5B"/>
    <w:rsid w:val="000C10ED"/>
    <w:rsid w:val="000C1206"/>
    <w:rsid w:val="000C1232"/>
    <w:rsid w:val="000C13AA"/>
    <w:rsid w:val="000C1526"/>
    <w:rsid w:val="000C15FC"/>
    <w:rsid w:val="000C16F3"/>
    <w:rsid w:val="000C17EF"/>
    <w:rsid w:val="000C190C"/>
    <w:rsid w:val="000C1921"/>
    <w:rsid w:val="000C1B5A"/>
    <w:rsid w:val="000C1F97"/>
    <w:rsid w:val="000C1FA2"/>
    <w:rsid w:val="000C213A"/>
    <w:rsid w:val="000C2329"/>
    <w:rsid w:val="000C2583"/>
    <w:rsid w:val="000C2635"/>
    <w:rsid w:val="000C272C"/>
    <w:rsid w:val="000C27D0"/>
    <w:rsid w:val="000C285B"/>
    <w:rsid w:val="000C2A09"/>
    <w:rsid w:val="000C2AFB"/>
    <w:rsid w:val="000C2B18"/>
    <w:rsid w:val="000C2E66"/>
    <w:rsid w:val="000C2F62"/>
    <w:rsid w:val="000C319B"/>
    <w:rsid w:val="000C346D"/>
    <w:rsid w:val="000C35F6"/>
    <w:rsid w:val="000C370A"/>
    <w:rsid w:val="000C3C93"/>
    <w:rsid w:val="000C4454"/>
    <w:rsid w:val="000C4945"/>
    <w:rsid w:val="000C4A35"/>
    <w:rsid w:val="000C4F5C"/>
    <w:rsid w:val="000C50D4"/>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445"/>
    <w:rsid w:val="000C74C0"/>
    <w:rsid w:val="000C7547"/>
    <w:rsid w:val="000C7954"/>
    <w:rsid w:val="000C7C4F"/>
    <w:rsid w:val="000C7D43"/>
    <w:rsid w:val="000C7EDC"/>
    <w:rsid w:val="000D0256"/>
    <w:rsid w:val="000D02C7"/>
    <w:rsid w:val="000D0364"/>
    <w:rsid w:val="000D043A"/>
    <w:rsid w:val="000D0462"/>
    <w:rsid w:val="000D0477"/>
    <w:rsid w:val="000D050C"/>
    <w:rsid w:val="000D057D"/>
    <w:rsid w:val="000D0701"/>
    <w:rsid w:val="000D0737"/>
    <w:rsid w:val="000D0804"/>
    <w:rsid w:val="000D0A70"/>
    <w:rsid w:val="000D0AD8"/>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3C3"/>
    <w:rsid w:val="000D24F2"/>
    <w:rsid w:val="000D258F"/>
    <w:rsid w:val="000D2693"/>
    <w:rsid w:val="000D27DE"/>
    <w:rsid w:val="000D27E3"/>
    <w:rsid w:val="000D28DB"/>
    <w:rsid w:val="000D2911"/>
    <w:rsid w:val="000D298F"/>
    <w:rsid w:val="000D2EEF"/>
    <w:rsid w:val="000D3160"/>
    <w:rsid w:val="000D3177"/>
    <w:rsid w:val="000D3260"/>
    <w:rsid w:val="000D357A"/>
    <w:rsid w:val="000D35B4"/>
    <w:rsid w:val="000D37EE"/>
    <w:rsid w:val="000D3A30"/>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769"/>
    <w:rsid w:val="000D5889"/>
    <w:rsid w:val="000D5CE4"/>
    <w:rsid w:val="000D5E60"/>
    <w:rsid w:val="000D5E82"/>
    <w:rsid w:val="000D605B"/>
    <w:rsid w:val="000D60F5"/>
    <w:rsid w:val="000D63AC"/>
    <w:rsid w:val="000D646B"/>
    <w:rsid w:val="000D64CE"/>
    <w:rsid w:val="000D6777"/>
    <w:rsid w:val="000D68A9"/>
    <w:rsid w:val="000D68C0"/>
    <w:rsid w:val="000D6CA5"/>
    <w:rsid w:val="000D6D5E"/>
    <w:rsid w:val="000D70CE"/>
    <w:rsid w:val="000D71C7"/>
    <w:rsid w:val="000D7221"/>
    <w:rsid w:val="000D74C2"/>
    <w:rsid w:val="000D759F"/>
    <w:rsid w:val="000D7631"/>
    <w:rsid w:val="000D77D0"/>
    <w:rsid w:val="000D785C"/>
    <w:rsid w:val="000D7931"/>
    <w:rsid w:val="000E01C8"/>
    <w:rsid w:val="000E03AB"/>
    <w:rsid w:val="000E0705"/>
    <w:rsid w:val="000E0750"/>
    <w:rsid w:val="000E07D5"/>
    <w:rsid w:val="000E082F"/>
    <w:rsid w:val="000E08FA"/>
    <w:rsid w:val="000E095A"/>
    <w:rsid w:val="000E0BBE"/>
    <w:rsid w:val="000E0CF1"/>
    <w:rsid w:val="000E0D2C"/>
    <w:rsid w:val="000E0F1E"/>
    <w:rsid w:val="000E109C"/>
    <w:rsid w:val="000E10E1"/>
    <w:rsid w:val="000E127E"/>
    <w:rsid w:val="000E141C"/>
    <w:rsid w:val="000E1485"/>
    <w:rsid w:val="000E14A4"/>
    <w:rsid w:val="000E1562"/>
    <w:rsid w:val="000E15B5"/>
    <w:rsid w:val="000E168D"/>
    <w:rsid w:val="000E17D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3"/>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2C3"/>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6F0"/>
    <w:rsid w:val="000F58E8"/>
    <w:rsid w:val="000F5C40"/>
    <w:rsid w:val="000F5D64"/>
    <w:rsid w:val="000F5F43"/>
    <w:rsid w:val="000F6446"/>
    <w:rsid w:val="000F656F"/>
    <w:rsid w:val="000F65DE"/>
    <w:rsid w:val="000F6915"/>
    <w:rsid w:val="000F69CD"/>
    <w:rsid w:val="000F6B92"/>
    <w:rsid w:val="000F6D7E"/>
    <w:rsid w:val="000F715A"/>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71"/>
    <w:rsid w:val="001015CF"/>
    <w:rsid w:val="001016ED"/>
    <w:rsid w:val="00101909"/>
    <w:rsid w:val="00101CE8"/>
    <w:rsid w:val="00101DF0"/>
    <w:rsid w:val="00101F5E"/>
    <w:rsid w:val="00102013"/>
    <w:rsid w:val="00102289"/>
    <w:rsid w:val="0010230B"/>
    <w:rsid w:val="00102384"/>
    <w:rsid w:val="001023C8"/>
    <w:rsid w:val="00102403"/>
    <w:rsid w:val="0010253F"/>
    <w:rsid w:val="0010265E"/>
    <w:rsid w:val="0010282A"/>
    <w:rsid w:val="00102A08"/>
    <w:rsid w:val="00102CE7"/>
    <w:rsid w:val="00102E15"/>
    <w:rsid w:val="0010318E"/>
    <w:rsid w:val="001033CD"/>
    <w:rsid w:val="0010354A"/>
    <w:rsid w:val="0010370A"/>
    <w:rsid w:val="001038C4"/>
    <w:rsid w:val="0010394F"/>
    <w:rsid w:val="00103C89"/>
    <w:rsid w:val="00103D26"/>
    <w:rsid w:val="00103D3C"/>
    <w:rsid w:val="00104087"/>
    <w:rsid w:val="001046F6"/>
    <w:rsid w:val="001047C5"/>
    <w:rsid w:val="00104B60"/>
    <w:rsid w:val="00104C79"/>
    <w:rsid w:val="00104D34"/>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712"/>
    <w:rsid w:val="00106ED4"/>
    <w:rsid w:val="00106FA9"/>
    <w:rsid w:val="00107563"/>
    <w:rsid w:val="0010782E"/>
    <w:rsid w:val="00107D15"/>
    <w:rsid w:val="00107D61"/>
    <w:rsid w:val="0011006D"/>
    <w:rsid w:val="0011025A"/>
    <w:rsid w:val="00110539"/>
    <w:rsid w:val="00110603"/>
    <w:rsid w:val="00110712"/>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778"/>
    <w:rsid w:val="00112834"/>
    <w:rsid w:val="0011289A"/>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D38"/>
    <w:rsid w:val="00116F89"/>
    <w:rsid w:val="00116FE6"/>
    <w:rsid w:val="001170A9"/>
    <w:rsid w:val="00117159"/>
    <w:rsid w:val="00117208"/>
    <w:rsid w:val="001175D4"/>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0DF5"/>
    <w:rsid w:val="001215E5"/>
    <w:rsid w:val="00121721"/>
    <w:rsid w:val="00121852"/>
    <w:rsid w:val="00121B05"/>
    <w:rsid w:val="00121D73"/>
    <w:rsid w:val="00121EE6"/>
    <w:rsid w:val="00121F56"/>
    <w:rsid w:val="0012208D"/>
    <w:rsid w:val="001221B3"/>
    <w:rsid w:val="00122515"/>
    <w:rsid w:val="001226E8"/>
    <w:rsid w:val="001227DD"/>
    <w:rsid w:val="001227FF"/>
    <w:rsid w:val="001229CA"/>
    <w:rsid w:val="00122C4A"/>
    <w:rsid w:val="00122D34"/>
    <w:rsid w:val="00122D88"/>
    <w:rsid w:val="00123372"/>
    <w:rsid w:val="001234B9"/>
    <w:rsid w:val="001235A9"/>
    <w:rsid w:val="00123885"/>
    <w:rsid w:val="00123A54"/>
    <w:rsid w:val="00123A58"/>
    <w:rsid w:val="00123AD5"/>
    <w:rsid w:val="00123B72"/>
    <w:rsid w:val="00123E81"/>
    <w:rsid w:val="00124045"/>
    <w:rsid w:val="001240E0"/>
    <w:rsid w:val="00124631"/>
    <w:rsid w:val="0012474A"/>
    <w:rsid w:val="00124751"/>
    <w:rsid w:val="00124937"/>
    <w:rsid w:val="00124997"/>
    <w:rsid w:val="001250E2"/>
    <w:rsid w:val="0012528E"/>
    <w:rsid w:val="00125475"/>
    <w:rsid w:val="001255E6"/>
    <w:rsid w:val="001257FC"/>
    <w:rsid w:val="00125A1E"/>
    <w:rsid w:val="00125A42"/>
    <w:rsid w:val="00125B1E"/>
    <w:rsid w:val="001260B7"/>
    <w:rsid w:val="001263BE"/>
    <w:rsid w:val="00126439"/>
    <w:rsid w:val="0012651D"/>
    <w:rsid w:val="00126539"/>
    <w:rsid w:val="00126876"/>
    <w:rsid w:val="001268B3"/>
    <w:rsid w:val="001268F8"/>
    <w:rsid w:val="00126BB1"/>
    <w:rsid w:val="00126CDF"/>
    <w:rsid w:val="00126DFB"/>
    <w:rsid w:val="0012700A"/>
    <w:rsid w:val="00127194"/>
    <w:rsid w:val="001271ED"/>
    <w:rsid w:val="00127250"/>
    <w:rsid w:val="001272F5"/>
    <w:rsid w:val="00127517"/>
    <w:rsid w:val="001275E3"/>
    <w:rsid w:val="001276B4"/>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EDF"/>
    <w:rsid w:val="00131FA8"/>
    <w:rsid w:val="00132065"/>
    <w:rsid w:val="0013226F"/>
    <w:rsid w:val="00132482"/>
    <w:rsid w:val="001325F6"/>
    <w:rsid w:val="00132762"/>
    <w:rsid w:val="00132BE1"/>
    <w:rsid w:val="00132F9C"/>
    <w:rsid w:val="00132FE6"/>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4AF7"/>
    <w:rsid w:val="00134E07"/>
    <w:rsid w:val="00135450"/>
    <w:rsid w:val="001356D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A25"/>
    <w:rsid w:val="00140DB0"/>
    <w:rsid w:val="00140E17"/>
    <w:rsid w:val="00140E92"/>
    <w:rsid w:val="00140EA2"/>
    <w:rsid w:val="00141086"/>
    <w:rsid w:val="001411F0"/>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173"/>
    <w:rsid w:val="00144236"/>
    <w:rsid w:val="00144587"/>
    <w:rsid w:val="001446AE"/>
    <w:rsid w:val="001446F6"/>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ECF"/>
    <w:rsid w:val="00146F07"/>
    <w:rsid w:val="00146F8D"/>
    <w:rsid w:val="0014713C"/>
    <w:rsid w:val="001471B2"/>
    <w:rsid w:val="0014749B"/>
    <w:rsid w:val="0014751E"/>
    <w:rsid w:val="0014763F"/>
    <w:rsid w:val="001476DC"/>
    <w:rsid w:val="0015036E"/>
    <w:rsid w:val="0015048D"/>
    <w:rsid w:val="00150732"/>
    <w:rsid w:val="00150862"/>
    <w:rsid w:val="00150C12"/>
    <w:rsid w:val="00150F59"/>
    <w:rsid w:val="00150FC3"/>
    <w:rsid w:val="001510C0"/>
    <w:rsid w:val="001511A2"/>
    <w:rsid w:val="00151242"/>
    <w:rsid w:val="0015129C"/>
    <w:rsid w:val="0015138A"/>
    <w:rsid w:val="001513AF"/>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6B"/>
    <w:rsid w:val="00152EDD"/>
    <w:rsid w:val="00152F51"/>
    <w:rsid w:val="0015307B"/>
    <w:rsid w:val="001530EF"/>
    <w:rsid w:val="00153211"/>
    <w:rsid w:val="001533B0"/>
    <w:rsid w:val="001534F0"/>
    <w:rsid w:val="001534F1"/>
    <w:rsid w:val="00153516"/>
    <w:rsid w:val="00153537"/>
    <w:rsid w:val="00153C1B"/>
    <w:rsid w:val="00153D60"/>
    <w:rsid w:val="00153FAB"/>
    <w:rsid w:val="00153FCC"/>
    <w:rsid w:val="00154416"/>
    <w:rsid w:val="00154796"/>
    <w:rsid w:val="001547D4"/>
    <w:rsid w:val="00154928"/>
    <w:rsid w:val="00155162"/>
    <w:rsid w:val="0015543D"/>
    <w:rsid w:val="001557AC"/>
    <w:rsid w:val="0015596F"/>
    <w:rsid w:val="00155A06"/>
    <w:rsid w:val="00155ABC"/>
    <w:rsid w:val="00155CD7"/>
    <w:rsid w:val="00156062"/>
    <w:rsid w:val="001560B6"/>
    <w:rsid w:val="00156212"/>
    <w:rsid w:val="001562B9"/>
    <w:rsid w:val="001563EB"/>
    <w:rsid w:val="001568CF"/>
    <w:rsid w:val="00156C0D"/>
    <w:rsid w:val="00156D2B"/>
    <w:rsid w:val="0015701B"/>
    <w:rsid w:val="0015706D"/>
    <w:rsid w:val="0015718A"/>
    <w:rsid w:val="001572ED"/>
    <w:rsid w:val="001573CC"/>
    <w:rsid w:val="001574AC"/>
    <w:rsid w:val="00157B82"/>
    <w:rsid w:val="00157CD8"/>
    <w:rsid w:val="00157E1F"/>
    <w:rsid w:val="00157FC2"/>
    <w:rsid w:val="0016008F"/>
    <w:rsid w:val="001601CF"/>
    <w:rsid w:val="00160406"/>
    <w:rsid w:val="001604A6"/>
    <w:rsid w:val="001606A8"/>
    <w:rsid w:val="00160708"/>
    <w:rsid w:val="0016070A"/>
    <w:rsid w:val="0016072D"/>
    <w:rsid w:val="0016080A"/>
    <w:rsid w:val="0016088A"/>
    <w:rsid w:val="00160A30"/>
    <w:rsid w:val="00160B04"/>
    <w:rsid w:val="00160B0F"/>
    <w:rsid w:val="00160C29"/>
    <w:rsid w:val="00160CC6"/>
    <w:rsid w:val="00160DE6"/>
    <w:rsid w:val="00160FA1"/>
    <w:rsid w:val="00161105"/>
    <w:rsid w:val="00161201"/>
    <w:rsid w:val="0016131C"/>
    <w:rsid w:val="00161452"/>
    <w:rsid w:val="0016159C"/>
    <w:rsid w:val="00161661"/>
    <w:rsid w:val="00161859"/>
    <w:rsid w:val="00161868"/>
    <w:rsid w:val="00161A3A"/>
    <w:rsid w:val="00161BF9"/>
    <w:rsid w:val="00161D86"/>
    <w:rsid w:val="00162162"/>
    <w:rsid w:val="001622E5"/>
    <w:rsid w:val="001624C6"/>
    <w:rsid w:val="001625DC"/>
    <w:rsid w:val="00162839"/>
    <w:rsid w:val="00162BD6"/>
    <w:rsid w:val="00162C39"/>
    <w:rsid w:val="00162D05"/>
    <w:rsid w:val="00162D13"/>
    <w:rsid w:val="00162E14"/>
    <w:rsid w:val="00162E4B"/>
    <w:rsid w:val="00162F27"/>
    <w:rsid w:val="001633A8"/>
    <w:rsid w:val="00163AA6"/>
    <w:rsid w:val="00163B4B"/>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4C8F"/>
    <w:rsid w:val="00164CC3"/>
    <w:rsid w:val="00164CF1"/>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6EC"/>
    <w:rsid w:val="00167A37"/>
    <w:rsid w:val="00167B5E"/>
    <w:rsid w:val="00167DE5"/>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70D"/>
    <w:rsid w:val="00171A02"/>
    <w:rsid w:val="00171A68"/>
    <w:rsid w:val="00171B70"/>
    <w:rsid w:val="00171BB7"/>
    <w:rsid w:val="00171C07"/>
    <w:rsid w:val="00171CE6"/>
    <w:rsid w:val="00171F3E"/>
    <w:rsid w:val="00172062"/>
    <w:rsid w:val="00172176"/>
    <w:rsid w:val="001724B9"/>
    <w:rsid w:val="001726C6"/>
    <w:rsid w:val="00172768"/>
    <w:rsid w:val="00172A2E"/>
    <w:rsid w:val="00172B22"/>
    <w:rsid w:val="00172B27"/>
    <w:rsid w:val="00172EF3"/>
    <w:rsid w:val="00172FAC"/>
    <w:rsid w:val="00172FAE"/>
    <w:rsid w:val="0017314D"/>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735"/>
    <w:rsid w:val="00177A09"/>
    <w:rsid w:val="00177A90"/>
    <w:rsid w:val="00177AFF"/>
    <w:rsid w:val="00177CA4"/>
    <w:rsid w:val="00177CA9"/>
    <w:rsid w:val="00177F3C"/>
    <w:rsid w:val="0018067E"/>
    <w:rsid w:val="001807EB"/>
    <w:rsid w:val="00180950"/>
    <w:rsid w:val="00180961"/>
    <w:rsid w:val="00180BE6"/>
    <w:rsid w:val="00180EC7"/>
    <w:rsid w:val="00180FBF"/>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A42"/>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0FE2"/>
    <w:rsid w:val="001910BD"/>
    <w:rsid w:val="00191698"/>
    <w:rsid w:val="001917A2"/>
    <w:rsid w:val="001917FD"/>
    <w:rsid w:val="00191987"/>
    <w:rsid w:val="00191A1B"/>
    <w:rsid w:val="00191B65"/>
    <w:rsid w:val="00191BD5"/>
    <w:rsid w:val="00191C5C"/>
    <w:rsid w:val="00191C72"/>
    <w:rsid w:val="00191CD6"/>
    <w:rsid w:val="00191CFE"/>
    <w:rsid w:val="00191EE6"/>
    <w:rsid w:val="00192233"/>
    <w:rsid w:val="00192507"/>
    <w:rsid w:val="001925C2"/>
    <w:rsid w:val="001927AB"/>
    <w:rsid w:val="00192888"/>
    <w:rsid w:val="001929B5"/>
    <w:rsid w:val="001929CA"/>
    <w:rsid w:val="00192AE6"/>
    <w:rsid w:val="00192CEE"/>
    <w:rsid w:val="00192D41"/>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772"/>
    <w:rsid w:val="00194921"/>
    <w:rsid w:val="00194E8C"/>
    <w:rsid w:val="001955E6"/>
    <w:rsid w:val="001955F4"/>
    <w:rsid w:val="001959AC"/>
    <w:rsid w:val="00195B41"/>
    <w:rsid w:val="00195C32"/>
    <w:rsid w:val="00195CC3"/>
    <w:rsid w:val="00195E83"/>
    <w:rsid w:val="00195F6F"/>
    <w:rsid w:val="0019638E"/>
    <w:rsid w:val="00196633"/>
    <w:rsid w:val="00196897"/>
    <w:rsid w:val="001968F8"/>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46E"/>
    <w:rsid w:val="001A0519"/>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296"/>
    <w:rsid w:val="001A23C3"/>
    <w:rsid w:val="001A26C4"/>
    <w:rsid w:val="001A27EF"/>
    <w:rsid w:val="001A2CE7"/>
    <w:rsid w:val="001A2F12"/>
    <w:rsid w:val="001A2FEE"/>
    <w:rsid w:val="001A31DB"/>
    <w:rsid w:val="001A335E"/>
    <w:rsid w:val="001A351A"/>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56C"/>
    <w:rsid w:val="001B0ABD"/>
    <w:rsid w:val="001B0BAD"/>
    <w:rsid w:val="001B0C83"/>
    <w:rsid w:val="001B0D4D"/>
    <w:rsid w:val="001B0ECD"/>
    <w:rsid w:val="001B1063"/>
    <w:rsid w:val="001B154A"/>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3EE1"/>
    <w:rsid w:val="001B4093"/>
    <w:rsid w:val="001B409B"/>
    <w:rsid w:val="001B40CE"/>
    <w:rsid w:val="001B4254"/>
    <w:rsid w:val="001B4265"/>
    <w:rsid w:val="001B44A7"/>
    <w:rsid w:val="001B4582"/>
    <w:rsid w:val="001B461D"/>
    <w:rsid w:val="001B4730"/>
    <w:rsid w:val="001B4D58"/>
    <w:rsid w:val="001B50EF"/>
    <w:rsid w:val="001B51A6"/>
    <w:rsid w:val="001B51B0"/>
    <w:rsid w:val="001B5986"/>
    <w:rsid w:val="001B5B03"/>
    <w:rsid w:val="001B5B12"/>
    <w:rsid w:val="001B5B3E"/>
    <w:rsid w:val="001B5BB0"/>
    <w:rsid w:val="001B5DCA"/>
    <w:rsid w:val="001B5E17"/>
    <w:rsid w:val="001B5ECC"/>
    <w:rsid w:val="001B5EEE"/>
    <w:rsid w:val="001B5F0F"/>
    <w:rsid w:val="001B63B0"/>
    <w:rsid w:val="001B6475"/>
    <w:rsid w:val="001B64BE"/>
    <w:rsid w:val="001B6885"/>
    <w:rsid w:val="001B6AB6"/>
    <w:rsid w:val="001B6CF7"/>
    <w:rsid w:val="001B6F6B"/>
    <w:rsid w:val="001B708C"/>
    <w:rsid w:val="001B7090"/>
    <w:rsid w:val="001B7328"/>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2E80"/>
    <w:rsid w:val="001C300D"/>
    <w:rsid w:val="001C3046"/>
    <w:rsid w:val="001C3057"/>
    <w:rsid w:val="001C3140"/>
    <w:rsid w:val="001C31E5"/>
    <w:rsid w:val="001C3291"/>
    <w:rsid w:val="001C32C0"/>
    <w:rsid w:val="001C3363"/>
    <w:rsid w:val="001C37FE"/>
    <w:rsid w:val="001C3BA2"/>
    <w:rsid w:val="001C3D29"/>
    <w:rsid w:val="001C3DD0"/>
    <w:rsid w:val="001C4136"/>
    <w:rsid w:val="001C415C"/>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4F"/>
    <w:rsid w:val="001C5D51"/>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71"/>
    <w:rsid w:val="001D0E9A"/>
    <w:rsid w:val="001D0EF6"/>
    <w:rsid w:val="001D0F0F"/>
    <w:rsid w:val="001D1593"/>
    <w:rsid w:val="001D17EF"/>
    <w:rsid w:val="001D18FB"/>
    <w:rsid w:val="001D195B"/>
    <w:rsid w:val="001D1AB6"/>
    <w:rsid w:val="001D1B57"/>
    <w:rsid w:val="001D1CB9"/>
    <w:rsid w:val="001D1D73"/>
    <w:rsid w:val="001D1EDC"/>
    <w:rsid w:val="001D2020"/>
    <w:rsid w:val="001D21FA"/>
    <w:rsid w:val="001D2660"/>
    <w:rsid w:val="001D2877"/>
    <w:rsid w:val="001D2B26"/>
    <w:rsid w:val="001D2E28"/>
    <w:rsid w:val="001D2F2F"/>
    <w:rsid w:val="001D2F7C"/>
    <w:rsid w:val="001D30F5"/>
    <w:rsid w:val="001D31C6"/>
    <w:rsid w:val="001D31E0"/>
    <w:rsid w:val="001D3249"/>
    <w:rsid w:val="001D33F0"/>
    <w:rsid w:val="001D342C"/>
    <w:rsid w:val="001D35DB"/>
    <w:rsid w:val="001D35F3"/>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99"/>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9BA"/>
    <w:rsid w:val="001D7A57"/>
    <w:rsid w:val="001D7A97"/>
    <w:rsid w:val="001D7DA5"/>
    <w:rsid w:val="001E000D"/>
    <w:rsid w:val="001E0258"/>
    <w:rsid w:val="001E03DA"/>
    <w:rsid w:val="001E0504"/>
    <w:rsid w:val="001E05E5"/>
    <w:rsid w:val="001E0728"/>
    <w:rsid w:val="001E08BE"/>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74"/>
    <w:rsid w:val="001E2FD6"/>
    <w:rsid w:val="001E30C7"/>
    <w:rsid w:val="001E31CC"/>
    <w:rsid w:val="001E3305"/>
    <w:rsid w:val="001E33AC"/>
    <w:rsid w:val="001E347A"/>
    <w:rsid w:val="001E3B6A"/>
    <w:rsid w:val="001E3C33"/>
    <w:rsid w:val="001E3C37"/>
    <w:rsid w:val="001E3CC1"/>
    <w:rsid w:val="001E3EB3"/>
    <w:rsid w:val="001E3F5D"/>
    <w:rsid w:val="001E404F"/>
    <w:rsid w:val="001E4056"/>
    <w:rsid w:val="001E41F5"/>
    <w:rsid w:val="001E431D"/>
    <w:rsid w:val="001E4341"/>
    <w:rsid w:val="001E4614"/>
    <w:rsid w:val="001E49DC"/>
    <w:rsid w:val="001E595E"/>
    <w:rsid w:val="001E5A9B"/>
    <w:rsid w:val="001E5B07"/>
    <w:rsid w:val="001E5BFF"/>
    <w:rsid w:val="001E5C13"/>
    <w:rsid w:val="001E5EDD"/>
    <w:rsid w:val="001E5F26"/>
    <w:rsid w:val="001E6071"/>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15"/>
    <w:rsid w:val="001F27F3"/>
    <w:rsid w:val="001F289A"/>
    <w:rsid w:val="001F294A"/>
    <w:rsid w:val="001F29FB"/>
    <w:rsid w:val="001F2A21"/>
    <w:rsid w:val="001F2AFD"/>
    <w:rsid w:val="001F3068"/>
    <w:rsid w:val="001F331E"/>
    <w:rsid w:val="001F339C"/>
    <w:rsid w:val="001F348C"/>
    <w:rsid w:val="001F376E"/>
    <w:rsid w:val="001F3A5B"/>
    <w:rsid w:val="001F3BA1"/>
    <w:rsid w:val="001F3CE2"/>
    <w:rsid w:val="001F3E8A"/>
    <w:rsid w:val="001F42F5"/>
    <w:rsid w:val="001F4315"/>
    <w:rsid w:val="001F43D0"/>
    <w:rsid w:val="001F45E4"/>
    <w:rsid w:val="001F4615"/>
    <w:rsid w:val="001F4657"/>
    <w:rsid w:val="001F47CF"/>
    <w:rsid w:val="001F4A47"/>
    <w:rsid w:val="001F4D3B"/>
    <w:rsid w:val="001F4DDF"/>
    <w:rsid w:val="001F4E47"/>
    <w:rsid w:val="001F53AA"/>
    <w:rsid w:val="001F562A"/>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604"/>
    <w:rsid w:val="0020061C"/>
    <w:rsid w:val="0020075E"/>
    <w:rsid w:val="00200ABD"/>
    <w:rsid w:val="00200BE6"/>
    <w:rsid w:val="00200CDB"/>
    <w:rsid w:val="00200D12"/>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B90"/>
    <w:rsid w:val="00203F61"/>
    <w:rsid w:val="00204154"/>
    <w:rsid w:val="0020427B"/>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282"/>
    <w:rsid w:val="00207301"/>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A36"/>
    <w:rsid w:val="00212ACA"/>
    <w:rsid w:val="00212B30"/>
    <w:rsid w:val="00212B94"/>
    <w:rsid w:val="00212D29"/>
    <w:rsid w:val="00212DD5"/>
    <w:rsid w:val="00212F43"/>
    <w:rsid w:val="0021303D"/>
    <w:rsid w:val="002130A0"/>
    <w:rsid w:val="002130E1"/>
    <w:rsid w:val="00213105"/>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B31"/>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8A"/>
    <w:rsid w:val="00220EB8"/>
    <w:rsid w:val="0022174E"/>
    <w:rsid w:val="002217A1"/>
    <w:rsid w:val="002217F1"/>
    <w:rsid w:val="0022182E"/>
    <w:rsid w:val="00221912"/>
    <w:rsid w:val="00221AA5"/>
    <w:rsid w:val="00221C51"/>
    <w:rsid w:val="00221D7F"/>
    <w:rsid w:val="00221E83"/>
    <w:rsid w:val="00221EDE"/>
    <w:rsid w:val="00221F61"/>
    <w:rsid w:val="00222116"/>
    <w:rsid w:val="00222249"/>
    <w:rsid w:val="00222598"/>
    <w:rsid w:val="0022267F"/>
    <w:rsid w:val="0022271A"/>
    <w:rsid w:val="0022275B"/>
    <w:rsid w:val="00222789"/>
    <w:rsid w:val="00222837"/>
    <w:rsid w:val="00222995"/>
    <w:rsid w:val="00222D7C"/>
    <w:rsid w:val="00222DF0"/>
    <w:rsid w:val="00222E0A"/>
    <w:rsid w:val="0022338B"/>
    <w:rsid w:val="0022349F"/>
    <w:rsid w:val="00223500"/>
    <w:rsid w:val="00223824"/>
    <w:rsid w:val="00223AF2"/>
    <w:rsid w:val="00223B76"/>
    <w:rsid w:val="00223D93"/>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20"/>
    <w:rsid w:val="00225956"/>
    <w:rsid w:val="00226399"/>
    <w:rsid w:val="00226426"/>
    <w:rsid w:val="00226AF3"/>
    <w:rsid w:val="00226CF5"/>
    <w:rsid w:val="00226D45"/>
    <w:rsid w:val="00226F99"/>
    <w:rsid w:val="00226FDB"/>
    <w:rsid w:val="0022738C"/>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27C"/>
    <w:rsid w:val="0023039B"/>
    <w:rsid w:val="00230664"/>
    <w:rsid w:val="0023066F"/>
    <w:rsid w:val="00230E4F"/>
    <w:rsid w:val="00231112"/>
    <w:rsid w:val="0023126F"/>
    <w:rsid w:val="00231563"/>
    <w:rsid w:val="0023163F"/>
    <w:rsid w:val="00231785"/>
    <w:rsid w:val="0023180C"/>
    <w:rsid w:val="00231857"/>
    <w:rsid w:val="00231A68"/>
    <w:rsid w:val="00231BB9"/>
    <w:rsid w:val="00231C1E"/>
    <w:rsid w:val="00231C35"/>
    <w:rsid w:val="00231CC0"/>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F5"/>
    <w:rsid w:val="00233B5E"/>
    <w:rsid w:val="00233BD8"/>
    <w:rsid w:val="00233C06"/>
    <w:rsid w:val="00233D4B"/>
    <w:rsid w:val="00233EBC"/>
    <w:rsid w:val="00233F1D"/>
    <w:rsid w:val="00233FB7"/>
    <w:rsid w:val="00234327"/>
    <w:rsid w:val="002344E6"/>
    <w:rsid w:val="0023476C"/>
    <w:rsid w:val="0023499C"/>
    <w:rsid w:val="002349A9"/>
    <w:rsid w:val="002349B7"/>
    <w:rsid w:val="00234BD9"/>
    <w:rsid w:val="00234C30"/>
    <w:rsid w:val="00234D7C"/>
    <w:rsid w:val="00234E47"/>
    <w:rsid w:val="0023504A"/>
    <w:rsid w:val="00235345"/>
    <w:rsid w:val="00235388"/>
    <w:rsid w:val="00235463"/>
    <w:rsid w:val="00235491"/>
    <w:rsid w:val="00235940"/>
    <w:rsid w:val="00235AF4"/>
    <w:rsid w:val="00235B07"/>
    <w:rsid w:val="00235FC9"/>
    <w:rsid w:val="0023640A"/>
    <w:rsid w:val="00236882"/>
    <w:rsid w:val="002368F2"/>
    <w:rsid w:val="00236A39"/>
    <w:rsid w:val="00236A9F"/>
    <w:rsid w:val="00236E11"/>
    <w:rsid w:val="00236E51"/>
    <w:rsid w:val="00236E8E"/>
    <w:rsid w:val="00236F5C"/>
    <w:rsid w:val="00236FC6"/>
    <w:rsid w:val="00237281"/>
    <w:rsid w:val="0023760F"/>
    <w:rsid w:val="00237688"/>
    <w:rsid w:val="0023773F"/>
    <w:rsid w:val="0023782E"/>
    <w:rsid w:val="002378BE"/>
    <w:rsid w:val="00237A9D"/>
    <w:rsid w:val="00237B29"/>
    <w:rsid w:val="00237C2D"/>
    <w:rsid w:val="00237D4A"/>
    <w:rsid w:val="00237F6A"/>
    <w:rsid w:val="002401E8"/>
    <w:rsid w:val="00240228"/>
    <w:rsid w:val="00240374"/>
    <w:rsid w:val="00240398"/>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866"/>
    <w:rsid w:val="00242B1E"/>
    <w:rsid w:val="00242F08"/>
    <w:rsid w:val="00243302"/>
    <w:rsid w:val="002433C9"/>
    <w:rsid w:val="00243918"/>
    <w:rsid w:val="00243D0A"/>
    <w:rsid w:val="00243D36"/>
    <w:rsid w:val="00243EB6"/>
    <w:rsid w:val="00243F64"/>
    <w:rsid w:val="00243FF6"/>
    <w:rsid w:val="00244141"/>
    <w:rsid w:val="00244159"/>
    <w:rsid w:val="002444A6"/>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997"/>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6DA"/>
    <w:rsid w:val="002537B2"/>
    <w:rsid w:val="0025380C"/>
    <w:rsid w:val="002538B0"/>
    <w:rsid w:val="00253DC5"/>
    <w:rsid w:val="00253EE1"/>
    <w:rsid w:val="0025412C"/>
    <w:rsid w:val="002541D3"/>
    <w:rsid w:val="002544D6"/>
    <w:rsid w:val="002545FF"/>
    <w:rsid w:val="00254664"/>
    <w:rsid w:val="0025477C"/>
    <w:rsid w:val="00254806"/>
    <w:rsid w:val="00254828"/>
    <w:rsid w:val="00254884"/>
    <w:rsid w:val="0025496C"/>
    <w:rsid w:val="002549D0"/>
    <w:rsid w:val="00254B22"/>
    <w:rsid w:val="00254BB3"/>
    <w:rsid w:val="00254DBC"/>
    <w:rsid w:val="00254DE7"/>
    <w:rsid w:val="00254F51"/>
    <w:rsid w:val="00254F7F"/>
    <w:rsid w:val="00255123"/>
    <w:rsid w:val="00255260"/>
    <w:rsid w:val="002552BA"/>
    <w:rsid w:val="00255578"/>
    <w:rsid w:val="0025558A"/>
    <w:rsid w:val="00255CDA"/>
    <w:rsid w:val="0025632E"/>
    <w:rsid w:val="002564E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E79"/>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BD8"/>
    <w:rsid w:val="00262D2E"/>
    <w:rsid w:val="00262E45"/>
    <w:rsid w:val="00262F25"/>
    <w:rsid w:val="002632EC"/>
    <w:rsid w:val="00263380"/>
    <w:rsid w:val="002633D2"/>
    <w:rsid w:val="002634A4"/>
    <w:rsid w:val="0026352C"/>
    <w:rsid w:val="00263685"/>
    <w:rsid w:val="002637CF"/>
    <w:rsid w:val="00263835"/>
    <w:rsid w:val="00263B96"/>
    <w:rsid w:val="00263CC6"/>
    <w:rsid w:val="00263D32"/>
    <w:rsid w:val="00263F1F"/>
    <w:rsid w:val="00263F39"/>
    <w:rsid w:val="00264098"/>
    <w:rsid w:val="00264254"/>
    <w:rsid w:val="002644B3"/>
    <w:rsid w:val="002644E0"/>
    <w:rsid w:val="00264991"/>
    <w:rsid w:val="00264A0B"/>
    <w:rsid w:val="00264B0A"/>
    <w:rsid w:val="00264B59"/>
    <w:rsid w:val="00264B85"/>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ACD"/>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DA4"/>
    <w:rsid w:val="00272EBF"/>
    <w:rsid w:val="00272EEA"/>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E2A"/>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AD6"/>
    <w:rsid w:val="00280BFF"/>
    <w:rsid w:val="00280D76"/>
    <w:rsid w:val="00280DD7"/>
    <w:rsid w:val="00281291"/>
    <w:rsid w:val="002812C0"/>
    <w:rsid w:val="00281308"/>
    <w:rsid w:val="002813D9"/>
    <w:rsid w:val="002813E5"/>
    <w:rsid w:val="0028191D"/>
    <w:rsid w:val="00281991"/>
    <w:rsid w:val="00281D20"/>
    <w:rsid w:val="00281DEB"/>
    <w:rsid w:val="00281E56"/>
    <w:rsid w:val="0028210B"/>
    <w:rsid w:val="00282843"/>
    <w:rsid w:val="00282847"/>
    <w:rsid w:val="00282878"/>
    <w:rsid w:val="00282A34"/>
    <w:rsid w:val="00282B1A"/>
    <w:rsid w:val="00282BCF"/>
    <w:rsid w:val="00283496"/>
    <w:rsid w:val="00283501"/>
    <w:rsid w:val="00283642"/>
    <w:rsid w:val="0028377D"/>
    <w:rsid w:val="00283A09"/>
    <w:rsid w:val="00283A0F"/>
    <w:rsid w:val="00283CA0"/>
    <w:rsid w:val="00283CED"/>
    <w:rsid w:val="00283D01"/>
    <w:rsid w:val="00283D36"/>
    <w:rsid w:val="00283DCF"/>
    <w:rsid w:val="00284037"/>
    <w:rsid w:val="002843C6"/>
    <w:rsid w:val="002843FD"/>
    <w:rsid w:val="0028450D"/>
    <w:rsid w:val="0028458A"/>
    <w:rsid w:val="002848D2"/>
    <w:rsid w:val="00284B42"/>
    <w:rsid w:val="00284C34"/>
    <w:rsid w:val="00284E88"/>
    <w:rsid w:val="00285066"/>
    <w:rsid w:val="00285301"/>
    <w:rsid w:val="00285419"/>
    <w:rsid w:val="00285539"/>
    <w:rsid w:val="00285573"/>
    <w:rsid w:val="00285689"/>
    <w:rsid w:val="00285729"/>
    <w:rsid w:val="002858F9"/>
    <w:rsid w:val="00285A9E"/>
    <w:rsid w:val="00285EDE"/>
    <w:rsid w:val="00286385"/>
    <w:rsid w:val="00286656"/>
    <w:rsid w:val="00286674"/>
    <w:rsid w:val="002866D6"/>
    <w:rsid w:val="00286745"/>
    <w:rsid w:val="002867C2"/>
    <w:rsid w:val="002867DF"/>
    <w:rsid w:val="0028682B"/>
    <w:rsid w:val="00286844"/>
    <w:rsid w:val="002869A8"/>
    <w:rsid w:val="00286B67"/>
    <w:rsid w:val="00286C58"/>
    <w:rsid w:val="00286CE8"/>
    <w:rsid w:val="00286EB6"/>
    <w:rsid w:val="00286EC2"/>
    <w:rsid w:val="00286FBD"/>
    <w:rsid w:val="0028708C"/>
    <w:rsid w:val="002870F0"/>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995"/>
    <w:rsid w:val="00290A7C"/>
    <w:rsid w:val="00290CBC"/>
    <w:rsid w:val="00290D65"/>
    <w:rsid w:val="00290D71"/>
    <w:rsid w:val="00290DA4"/>
    <w:rsid w:val="00291087"/>
    <w:rsid w:val="00291200"/>
    <w:rsid w:val="00291246"/>
    <w:rsid w:val="00291644"/>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2DFD"/>
    <w:rsid w:val="0029321E"/>
    <w:rsid w:val="002932B6"/>
    <w:rsid w:val="002933ED"/>
    <w:rsid w:val="00293403"/>
    <w:rsid w:val="0029342F"/>
    <w:rsid w:val="002936A4"/>
    <w:rsid w:val="00293703"/>
    <w:rsid w:val="0029371C"/>
    <w:rsid w:val="00293801"/>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ECC"/>
    <w:rsid w:val="00295FE0"/>
    <w:rsid w:val="0029606E"/>
    <w:rsid w:val="00296539"/>
    <w:rsid w:val="002966CC"/>
    <w:rsid w:val="00296785"/>
    <w:rsid w:val="0029695E"/>
    <w:rsid w:val="00296D93"/>
    <w:rsid w:val="00296E81"/>
    <w:rsid w:val="00297035"/>
    <w:rsid w:val="0029753B"/>
    <w:rsid w:val="0029761D"/>
    <w:rsid w:val="00297A5E"/>
    <w:rsid w:val="00297B64"/>
    <w:rsid w:val="00297E2F"/>
    <w:rsid w:val="00297F1B"/>
    <w:rsid w:val="002A00BF"/>
    <w:rsid w:val="002A01FF"/>
    <w:rsid w:val="002A0C1E"/>
    <w:rsid w:val="002A0C26"/>
    <w:rsid w:val="002A0C83"/>
    <w:rsid w:val="002A0CF7"/>
    <w:rsid w:val="002A0E1E"/>
    <w:rsid w:val="002A0E62"/>
    <w:rsid w:val="002A0FA2"/>
    <w:rsid w:val="002A1047"/>
    <w:rsid w:val="002A128F"/>
    <w:rsid w:val="002A1378"/>
    <w:rsid w:val="002A13AA"/>
    <w:rsid w:val="002A1468"/>
    <w:rsid w:val="002A1907"/>
    <w:rsid w:val="002A1A11"/>
    <w:rsid w:val="002A1C7F"/>
    <w:rsid w:val="002A1C8E"/>
    <w:rsid w:val="002A1DF6"/>
    <w:rsid w:val="002A21AB"/>
    <w:rsid w:val="002A22BE"/>
    <w:rsid w:val="002A2460"/>
    <w:rsid w:val="002A25DC"/>
    <w:rsid w:val="002A2617"/>
    <w:rsid w:val="002A294A"/>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50"/>
    <w:rsid w:val="002A4368"/>
    <w:rsid w:val="002A475A"/>
    <w:rsid w:val="002A4799"/>
    <w:rsid w:val="002A4B6E"/>
    <w:rsid w:val="002A4BD7"/>
    <w:rsid w:val="002A4C23"/>
    <w:rsid w:val="002A4CA7"/>
    <w:rsid w:val="002A4EA2"/>
    <w:rsid w:val="002A4EEC"/>
    <w:rsid w:val="002A4FFC"/>
    <w:rsid w:val="002A5165"/>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408"/>
    <w:rsid w:val="002A67F0"/>
    <w:rsid w:val="002A6B35"/>
    <w:rsid w:val="002A6BDA"/>
    <w:rsid w:val="002A6C03"/>
    <w:rsid w:val="002A6F56"/>
    <w:rsid w:val="002A703D"/>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74"/>
    <w:rsid w:val="002B0F82"/>
    <w:rsid w:val="002B1189"/>
    <w:rsid w:val="002B142B"/>
    <w:rsid w:val="002B159A"/>
    <w:rsid w:val="002B16C0"/>
    <w:rsid w:val="002B188D"/>
    <w:rsid w:val="002B1A3A"/>
    <w:rsid w:val="002B1AA5"/>
    <w:rsid w:val="002B1B6F"/>
    <w:rsid w:val="002B1C37"/>
    <w:rsid w:val="002B1D0C"/>
    <w:rsid w:val="002B240B"/>
    <w:rsid w:val="002B24C5"/>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D52"/>
    <w:rsid w:val="002B4E12"/>
    <w:rsid w:val="002B4EBB"/>
    <w:rsid w:val="002B53E9"/>
    <w:rsid w:val="002B5640"/>
    <w:rsid w:val="002B568A"/>
    <w:rsid w:val="002B5723"/>
    <w:rsid w:val="002B59E4"/>
    <w:rsid w:val="002B59EC"/>
    <w:rsid w:val="002B5A17"/>
    <w:rsid w:val="002B5A33"/>
    <w:rsid w:val="002B5AC1"/>
    <w:rsid w:val="002B5E14"/>
    <w:rsid w:val="002B5F9E"/>
    <w:rsid w:val="002B6290"/>
    <w:rsid w:val="002B6314"/>
    <w:rsid w:val="002B637E"/>
    <w:rsid w:val="002B6483"/>
    <w:rsid w:val="002B6486"/>
    <w:rsid w:val="002B667D"/>
    <w:rsid w:val="002B66D1"/>
    <w:rsid w:val="002B6879"/>
    <w:rsid w:val="002B68FC"/>
    <w:rsid w:val="002B6986"/>
    <w:rsid w:val="002B6B41"/>
    <w:rsid w:val="002B6B7E"/>
    <w:rsid w:val="002B6BBD"/>
    <w:rsid w:val="002B6C8E"/>
    <w:rsid w:val="002B6DDA"/>
    <w:rsid w:val="002B6DE5"/>
    <w:rsid w:val="002B7108"/>
    <w:rsid w:val="002B72F9"/>
    <w:rsid w:val="002B76A1"/>
    <w:rsid w:val="002B77E1"/>
    <w:rsid w:val="002B7B77"/>
    <w:rsid w:val="002B7C17"/>
    <w:rsid w:val="002B7C96"/>
    <w:rsid w:val="002B7DAE"/>
    <w:rsid w:val="002B7FF5"/>
    <w:rsid w:val="002C041D"/>
    <w:rsid w:val="002C0427"/>
    <w:rsid w:val="002C052D"/>
    <w:rsid w:val="002C071B"/>
    <w:rsid w:val="002C0762"/>
    <w:rsid w:val="002C0834"/>
    <w:rsid w:val="002C09AE"/>
    <w:rsid w:val="002C0B39"/>
    <w:rsid w:val="002C0CA4"/>
    <w:rsid w:val="002C0DA1"/>
    <w:rsid w:val="002C0FBB"/>
    <w:rsid w:val="002C1023"/>
    <w:rsid w:val="002C1051"/>
    <w:rsid w:val="002C133A"/>
    <w:rsid w:val="002C19B0"/>
    <w:rsid w:val="002C1D2D"/>
    <w:rsid w:val="002C1F69"/>
    <w:rsid w:val="002C21C9"/>
    <w:rsid w:val="002C22CB"/>
    <w:rsid w:val="002C26BD"/>
    <w:rsid w:val="002C2735"/>
    <w:rsid w:val="002C2AB5"/>
    <w:rsid w:val="002C2BCF"/>
    <w:rsid w:val="002C2C12"/>
    <w:rsid w:val="002C2C28"/>
    <w:rsid w:val="002C2D4F"/>
    <w:rsid w:val="002C2DBB"/>
    <w:rsid w:val="002C2F59"/>
    <w:rsid w:val="002C30D6"/>
    <w:rsid w:val="002C328C"/>
    <w:rsid w:val="002C32EF"/>
    <w:rsid w:val="002C332F"/>
    <w:rsid w:val="002C33C5"/>
    <w:rsid w:val="002C35D3"/>
    <w:rsid w:val="002C3772"/>
    <w:rsid w:val="002C389A"/>
    <w:rsid w:val="002C3A8A"/>
    <w:rsid w:val="002C3AEE"/>
    <w:rsid w:val="002C3C86"/>
    <w:rsid w:val="002C3F05"/>
    <w:rsid w:val="002C4604"/>
    <w:rsid w:val="002C4644"/>
    <w:rsid w:val="002C46B4"/>
    <w:rsid w:val="002C487E"/>
    <w:rsid w:val="002C4B26"/>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278"/>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515"/>
    <w:rsid w:val="002D38AE"/>
    <w:rsid w:val="002D3990"/>
    <w:rsid w:val="002D3CC9"/>
    <w:rsid w:val="002D3D91"/>
    <w:rsid w:val="002D3F31"/>
    <w:rsid w:val="002D408C"/>
    <w:rsid w:val="002D4389"/>
    <w:rsid w:val="002D43E6"/>
    <w:rsid w:val="002D4840"/>
    <w:rsid w:val="002D4992"/>
    <w:rsid w:val="002D49D5"/>
    <w:rsid w:val="002D4A6C"/>
    <w:rsid w:val="002D4AFA"/>
    <w:rsid w:val="002D4C97"/>
    <w:rsid w:val="002D4E8A"/>
    <w:rsid w:val="002D5696"/>
    <w:rsid w:val="002D56B3"/>
    <w:rsid w:val="002D5B31"/>
    <w:rsid w:val="002D5DF2"/>
    <w:rsid w:val="002D60C4"/>
    <w:rsid w:val="002D6357"/>
    <w:rsid w:val="002D64EA"/>
    <w:rsid w:val="002D6714"/>
    <w:rsid w:val="002D686F"/>
    <w:rsid w:val="002D6BFA"/>
    <w:rsid w:val="002D6D6C"/>
    <w:rsid w:val="002D6ED7"/>
    <w:rsid w:val="002D73BD"/>
    <w:rsid w:val="002D7497"/>
    <w:rsid w:val="002D74C5"/>
    <w:rsid w:val="002D7683"/>
    <w:rsid w:val="002D7920"/>
    <w:rsid w:val="002D7B12"/>
    <w:rsid w:val="002D7C0F"/>
    <w:rsid w:val="002D7C72"/>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817"/>
    <w:rsid w:val="002E193C"/>
    <w:rsid w:val="002E1D3F"/>
    <w:rsid w:val="002E1D4C"/>
    <w:rsid w:val="002E2399"/>
    <w:rsid w:val="002E2544"/>
    <w:rsid w:val="002E2920"/>
    <w:rsid w:val="002E2C15"/>
    <w:rsid w:val="002E2E83"/>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0A"/>
    <w:rsid w:val="002E4E3E"/>
    <w:rsid w:val="002E52AB"/>
    <w:rsid w:val="002E57D8"/>
    <w:rsid w:val="002E5859"/>
    <w:rsid w:val="002E5B18"/>
    <w:rsid w:val="002E5B1D"/>
    <w:rsid w:val="002E60B0"/>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37"/>
    <w:rsid w:val="002F02EF"/>
    <w:rsid w:val="002F0359"/>
    <w:rsid w:val="002F06B8"/>
    <w:rsid w:val="002F0776"/>
    <w:rsid w:val="002F0859"/>
    <w:rsid w:val="002F0892"/>
    <w:rsid w:val="002F0BE0"/>
    <w:rsid w:val="002F0CBE"/>
    <w:rsid w:val="002F0E04"/>
    <w:rsid w:val="002F0E6F"/>
    <w:rsid w:val="002F1ABE"/>
    <w:rsid w:val="002F1D90"/>
    <w:rsid w:val="002F1DE5"/>
    <w:rsid w:val="002F1E04"/>
    <w:rsid w:val="002F1F6A"/>
    <w:rsid w:val="002F2214"/>
    <w:rsid w:val="002F2774"/>
    <w:rsid w:val="002F2891"/>
    <w:rsid w:val="002F2B5C"/>
    <w:rsid w:val="002F2E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064"/>
    <w:rsid w:val="002F515D"/>
    <w:rsid w:val="002F5195"/>
    <w:rsid w:val="002F51C2"/>
    <w:rsid w:val="002F5285"/>
    <w:rsid w:val="002F52DF"/>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37E"/>
    <w:rsid w:val="002F740D"/>
    <w:rsid w:val="002F74A3"/>
    <w:rsid w:val="002F74F0"/>
    <w:rsid w:val="002F75B5"/>
    <w:rsid w:val="002F75BF"/>
    <w:rsid w:val="002F7A08"/>
    <w:rsid w:val="002F7A39"/>
    <w:rsid w:val="002F7AA0"/>
    <w:rsid w:val="002F7B1D"/>
    <w:rsid w:val="002F7E54"/>
    <w:rsid w:val="002F7E8F"/>
    <w:rsid w:val="003001CB"/>
    <w:rsid w:val="0030041E"/>
    <w:rsid w:val="00300524"/>
    <w:rsid w:val="00300A79"/>
    <w:rsid w:val="00300F5B"/>
    <w:rsid w:val="003010DF"/>
    <w:rsid w:val="00301351"/>
    <w:rsid w:val="00301472"/>
    <w:rsid w:val="003014C3"/>
    <w:rsid w:val="0030176F"/>
    <w:rsid w:val="0030180E"/>
    <w:rsid w:val="00301916"/>
    <w:rsid w:val="00301A6B"/>
    <w:rsid w:val="00301B15"/>
    <w:rsid w:val="00301CFF"/>
    <w:rsid w:val="00301D73"/>
    <w:rsid w:val="00301E98"/>
    <w:rsid w:val="00301EA5"/>
    <w:rsid w:val="00302083"/>
    <w:rsid w:val="00302107"/>
    <w:rsid w:val="00302109"/>
    <w:rsid w:val="00302144"/>
    <w:rsid w:val="00302166"/>
    <w:rsid w:val="0030216C"/>
    <w:rsid w:val="003021F0"/>
    <w:rsid w:val="00302354"/>
    <w:rsid w:val="003024E7"/>
    <w:rsid w:val="003025C4"/>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8"/>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D6"/>
    <w:rsid w:val="003071EC"/>
    <w:rsid w:val="003075F4"/>
    <w:rsid w:val="003076B0"/>
    <w:rsid w:val="00307751"/>
    <w:rsid w:val="00307BB0"/>
    <w:rsid w:val="00307DBD"/>
    <w:rsid w:val="00307E90"/>
    <w:rsid w:val="00310127"/>
    <w:rsid w:val="0031015C"/>
    <w:rsid w:val="00310238"/>
    <w:rsid w:val="003103AF"/>
    <w:rsid w:val="003105D5"/>
    <w:rsid w:val="003106F5"/>
    <w:rsid w:val="003107CD"/>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5D"/>
    <w:rsid w:val="0031586A"/>
    <w:rsid w:val="00315ACC"/>
    <w:rsid w:val="00315AD5"/>
    <w:rsid w:val="00315B6E"/>
    <w:rsid w:val="00315B77"/>
    <w:rsid w:val="00315E33"/>
    <w:rsid w:val="00315E4A"/>
    <w:rsid w:val="00315E9C"/>
    <w:rsid w:val="00315F20"/>
    <w:rsid w:val="00315F3A"/>
    <w:rsid w:val="0031601B"/>
    <w:rsid w:val="0031606F"/>
    <w:rsid w:val="0031609E"/>
    <w:rsid w:val="003160B5"/>
    <w:rsid w:val="003161C9"/>
    <w:rsid w:val="00316503"/>
    <w:rsid w:val="00316657"/>
    <w:rsid w:val="00316733"/>
    <w:rsid w:val="00316938"/>
    <w:rsid w:val="00316ACB"/>
    <w:rsid w:val="00316BA8"/>
    <w:rsid w:val="00316E63"/>
    <w:rsid w:val="00316FC9"/>
    <w:rsid w:val="00316FCB"/>
    <w:rsid w:val="00317163"/>
    <w:rsid w:val="00317210"/>
    <w:rsid w:val="003174E6"/>
    <w:rsid w:val="003175BE"/>
    <w:rsid w:val="0031789B"/>
    <w:rsid w:val="0031799D"/>
    <w:rsid w:val="003179E9"/>
    <w:rsid w:val="00317DE4"/>
    <w:rsid w:val="00317DEE"/>
    <w:rsid w:val="00317FF0"/>
    <w:rsid w:val="0032014C"/>
    <w:rsid w:val="00320164"/>
    <w:rsid w:val="003202A5"/>
    <w:rsid w:val="003203B6"/>
    <w:rsid w:val="003203E4"/>
    <w:rsid w:val="003203F5"/>
    <w:rsid w:val="003204C9"/>
    <w:rsid w:val="00320533"/>
    <w:rsid w:val="0032062C"/>
    <w:rsid w:val="00320A2B"/>
    <w:rsid w:val="00320AC4"/>
    <w:rsid w:val="00320C9A"/>
    <w:rsid w:val="00320E22"/>
    <w:rsid w:val="0032110A"/>
    <w:rsid w:val="00321275"/>
    <w:rsid w:val="00321298"/>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A5B"/>
    <w:rsid w:val="00322C29"/>
    <w:rsid w:val="00322C7B"/>
    <w:rsid w:val="00322D36"/>
    <w:rsid w:val="00322EB1"/>
    <w:rsid w:val="00323054"/>
    <w:rsid w:val="0032305E"/>
    <w:rsid w:val="003234F5"/>
    <w:rsid w:val="003235ED"/>
    <w:rsid w:val="003238E9"/>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961"/>
    <w:rsid w:val="00326A49"/>
    <w:rsid w:val="00326B2A"/>
    <w:rsid w:val="00326D08"/>
    <w:rsid w:val="00326F46"/>
    <w:rsid w:val="003271DB"/>
    <w:rsid w:val="00327261"/>
    <w:rsid w:val="003272F9"/>
    <w:rsid w:val="00327527"/>
    <w:rsid w:val="00327926"/>
    <w:rsid w:val="00327A3B"/>
    <w:rsid w:val="00327AEE"/>
    <w:rsid w:val="00327C66"/>
    <w:rsid w:val="00327D4E"/>
    <w:rsid w:val="00327F0E"/>
    <w:rsid w:val="00327F54"/>
    <w:rsid w:val="0033040E"/>
    <w:rsid w:val="00330781"/>
    <w:rsid w:val="003307DF"/>
    <w:rsid w:val="003307E8"/>
    <w:rsid w:val="00330878"/>
    <w:rsid w:val="0033090D"/>
    <w:rsid w:val="0033097C"/>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2E"/>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3E1"/>
    <w:rsid w:val="003426CC"/>
    <w:rsid w:val="003428E9"/>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6FEC"/>
    <w:rsid w:val="0034706F"/>
    <w:rsid w:val="00347323"/>
    <w:rsid w:val="0034742E"/>
    <w:rsid w:val="00347501"/>
    <w:rsid w:val="00347629"/>
    <w:rsid w:val="0034766E"/>
    <w:rsid w:val="00347CBF"/>
    <w:rsid w:val="00347E63"/>
    <w:rsid w:val="00350329"/>
    <w:rsid w:val="00350356"/>
    <w:rsid w:val="003506D7"/>
    <w:rsid w:val="00350714"/>
    <w:rsid w:val="00350A00"/>
    <w:rsid w:val="00350AEA"/>
    <w:rsid w:val="00350BC1"/>
    <w:rsid w:val="00350BDE"/>
    <w:rsid w:val="00350D02"/>
    <w:rsid w:val="00350E07"/>
    <w:rsid w:val="00350E79"/>
    <w:rsid w:val="00350EDB"/>
    <w:rsid w:val="003514D8"/>
    <w:rsid w:val="00351722"/>
    <w:rsid w:val="003518B3"/>
    <w:rsid w:val="00351DF0"/>
    <w:rsid w:val="00351E52"/>
    <w:rsid w:val="00351FBE"/>
    <w:rsid w:val="003521B7"/>
    <w:rsid w:val="003523A3"/>
    <w:rsid w:val="00352439"/>
    <w:rsid w:val="00352794"/>
    <w:rsid w:val="00352D3B"/>
    <w:rsid w:val="00353083"/>
    <w:rsid w:val="003530AA"/>
    <w:rsid w:val="00353357"/>
    <w:rsid w:val="003534CE"/>
    <w:rsid w:val="00353506"/>
    <w:rsid w:val="0035355D"/>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1D27"/>
    <w:rsid w:val="003620B0"/>
    <w:rsid w:val="00362135"/>
    <w:rsid w:val="003621BE"/>
    <w:rsid w:val="003624F8"/>
    <w:rsid w:val="0036256C"/>
    <w:rsid w:val="0036260B"/>
    <w:rsid w:val="00362898"/>
    <w:rsid w:val="00362A39"/>
    <w:rsid w:val="00362FA1"/>
    <w:rsid w:val="0036307B"/>
    <w:rsid w:val="003630AD"/>
    <w:rsid w:val="00363136"/>
    <w:rsid w:val="0036319B"/>
    <w:rsid w:val="003631BE"/>
    <w:rsid w:val="00363483"/>
    <w:rsid w:val="0036354E"/>
    <w:rsid w:val="00363573"/>
    <w:rsid w:val="0036371F"/>
    <w:rsid w:val="00363D90"/>
    <w:rsid w:val="00363E2A"/>
    <w:rsid w:val="00363EA1"/>
    <w:rsid w:val="00363F37"/>
    <w:rsid w:val="00363FFE"/>
    <w:rsid w:val="003640CC"/>
    <w:rsid w:val="0036412C"/>
    <w:rsid w:val="00364166"/>
    <w:rsid w:val="0036421A"/>
    <w:rsid w:val="0036421C"/>
    <w:rsid w:val="0036427C"/>
    <w:rsid w:val="00364779"/>
    <w:rsid w:val="0036488A"/>
    <w:rsid w:val="00364D63"/>
    <w:rsid w:val="00364E67"/>
    <w:rsid w:val="00364FBE"/>
    <w:rsid w:val="00364FC7"/>
    <w:rsid w:val="00365043"/>
    <w:rsid w:val="00365151"/>
    <w:rsid w:val="003654D5"/>
    <w:rsid w:val="00365573"/>
    <w:rsid w:val="003655D8"/>
    <w:rsid w:val="00365712"/>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8FE"/>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8CA"/>
    <w:rsid w:val="003719C3"/>
    <w:rsid w:val="00371D07"/>
    <w:rsid w:val="00371EF0"/>
    <w:rsid w:val="0037218F"/>
    <w:rsid w:val="003723D7"/>
    <w:rsid w:val="00372752"/>
    <w:rsid w:val="00372A6E"/>
    <w:rsid w:val="00372ADD"/>
    <w:rsid w:val="00372C0A"/>
    <w:rsid w:val="00372CCB"/>
    <w:rsid w:val="00372F0E"/>
    <w:rsid w:val="0037300B"/>
    <w:rsid w:val="00373014"/>
    <w:rsid w:val="00373030"/>
    <w:rsid w:val="00373183"/>
    <w:rsid w:val="0037328E"/>
    <w:rsid w:val="003734CE"/>
    <w:rsid w:val="003735FB"/>
    <w:rsid w:val="003736E5"/>
    <w:rsid w:val="0037371A"/>
    <w:rsid w:val="00373729"/>
    <w:rsid w:val="00373AF9"/>
    <w:rsid w:val="00373B1A"/>
    <w:rsid w:val="00373CCF"/>
    <w:rsid w:val="00373E26"/>
    <w:rsid w:val="00373E4E"/>
    <w:rsid w:val="00373FDF"/>
    <w:rsid w:val="003742B4"/>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548"/>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77EBA"/>
    <w:rsid w:val="00377EDE"/>
    <w:rsid w:val="00380189"/>
    <w:rsid w:val="00380479"/>
    <w:rsid w:val="00380564"/>
    <w:rsid w:val="0038059B"/>
    <w:rsid w:val="003807DE"/>
    <w:rsid w:val="003808FE"/>
    <w:rsid w:val="00380A84"/>
    <w:rsid w:val="00380DA4"/>
    <w:rsid w:val="00380E5D"/>
    <w:rsid w:val="00380E63"/>
    <w:rsid w:val="00380EFD"/>
    <w:rsid w:val="00380F19"/>
    <w:rsid w:val="00380F29"/>
    <w:rsid w:val="00380FA9"/>
    <w:rsid w:val="00380FF4"/>
    <w:rsid w:val="0038109B"/>
    <w:rsid w:val="0038147B"/>
    <w:rsid w:val="00381679"/>
    <w:rsid w:val="00381801"/>
    <w:rsid w:val="00381A78"/>
    <w:rsid w:val="00381AE4"/>
    <w:rsid w:val="00381C4E"/>
    <w:rsid w:val="00381EFB"/>
    <w:rsid w:val="00381FA8"/>
    <w:rsid w:val="0038210F"/>
    <w:rsid w:val="003822F4"/>
    <w:rsid w:val="0038239B"/>
    <w:rsid w:val="0038288E"/>
    <w:rsid w:val="00382928"/>
    <w:rsid w:val="00382A13"/>
    <w:rsid w:val="00382C63"/>
    <w:rsid w:val="00382C7D"/>
    <w:rsid w:val="00382CF9"/>
    <w:rsid w:val="00382D58"/>
    <w:rsid w:val="00382F19"/>
    <w:rsid w:val="003830CC"/>
    <w:rsid w:val="0038310B"/>
    <w:rsid w:val="003831C6"/>
    <w:rsid w:val="00383283"/>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202"/>
    <w:rsid w:val="00385307"/>
    <w:rsid w:val="00385AA8"/>
    <w:rsid w:val="00385DB7"/>
    <w:rsid w:val="00385ECF"/>
    <w:rsid w:val="00386044"/>
    <w:rsid w:val="00386133"/>
    <w:rsid w:val="00386386"/>
    <w:rsid w:val="003864D0"/>
    <w:rsid w:val="00386E49"/>
    <w:rsid w:val="003871FD"/>
    <w:rsid w:val="00387257"/>
    <w:rsid w:val="00387273"/>
    <w:rsid w:val="0038797F"/>
    <w:rsid w:val="0039020C"/>
    <w:rsid w:val="00390277"/>
    <w:rsid w:val="0039040A"/>
    <w:rsid w:val="00390426"/>
    <w:rsid w:val="003904DD"/>
    <w:rsid w:val="00390588"/>
    <w:rsid w:val="0039064B"/>
    <w:rsid w:val="0039068C"/>
    <w:rsid w:val="003908FA"/>
    <w:rsid w:val="003909C9"/>
    <w:rsid w:val="00390AA8"/>
    <w:rsid w:val="00390D3C"/>
    <w:rsid w:val="00390DBA"/>
    <w:rsid w:val="00390FC6"/>
    <w:rsid w:val="00391209"/>
    <w:rsid w:val="003913BB"/>
    <w:rsid w:val="003914E4"/>
    <w:rsid w:val="0039158C"/>
    <w:rsid w:val="003915F8"/>
    <w:rsid w:val="003916C2"/>
    <w:rsid w:val="00391A96"/>
    <w:rsid w:val="00391B54"/>
    <w:rsid w:val="00391CAD"/>
    <w:rsid w:val="00391D30"/>
    <w:rsid w:val="00391D99"/>
    <w:rsid w:val="00391EBF"/>
    <w:rsid w:val="003922F1"/>
    <w:rsid w:val="00392695"/>
    <w:rsid w:val="003928D2"/>
    <w:rsid w:val="0039291D"/>
    <w:rsid w:val="00392982"/>
    <w:rsid w:val="00392B7A"/>
    <w:rsid w:val="00392F6E"/>
    <w:rsid w:val="00392F94"/>
    <w:rsid w:val="00392FD0"/>
    <w:rsid w:val="00393205"/>
    <w:rsid w:val="003933B9"/>
    <w:rsid w:val="003934BB"/>
    <w:rsid w:val="0039351B"/>
    <w:rsid w:val="003935B4"/>
    <w:rsid w:val="003935C6"/>
    <w:rsid w:val="00393645"/>
    <w:rsid w:val="00393912"/>
    <w:rsid w:val="003939BB"/>
    <w:rsid w:val="003939BD"/>
    <w:rsid w:val="00393AFF"/>
    <w:rsid w:val="003946F0"/>
    <w:rsid w:val="0039474F"/>
    <w:rsid w:val="0039476A"/>
    <w:rsid w:val="00394780"/>
    <w:rsid w:val="0039493D"/>
    <w:rsid w:val="00394AEF"/>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742A"/>
    <w:rsid w:val="00397450"/>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BD0"/>
    <w:rsid w:val="003A2D53"/>
    <w:rsid w:val="003A2E43"/>
    <w:rsid w:val="003A2ECB"/>
    <w:rsid w:val="003A30FF"/>
    <w:rsid w:val="003A33E8"/>
    <w:rsid w:val="003A348E"/>
    <w:rsid w:val="003A34F7"/>
    <w:rsid w:val="003A3514"/>
    <w:rsid w:val="003A361B"/>
    <w:rsid w:val="003A37B4"/>
    <w:rsid w:val="003A38FA"/>
    <w:rsid w:val="003A39CA"/>
    <w:rsid w:val="003A3AC6"/>
    <w:rsid w:val="003A3B9C"/>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A0F"/>
    <w:rsid w:val="003A6A9C"/>
    <w:rsid w:val="003A6DEA"/>
    <w:rsid w:val="003A74D0"/>
    <w:rsid w:val="003A769B"/>
    <w:rsid w:val="003A78F6"/>
    <w:rsid w:val="003A7DD4"/>
    <w:rsid w:val="003A7F2F"/>
    <w:rsid w:val="003B02A7"/>
    <w:rsid w:val="003B0336"/>
    <w:rsid w:val="003B0709"/>
    <w:rsid w:val="003B0729"/>
    <w:rsid w:val="003B0A84"/>
    <w:rsid w:val="003B0AB9"/>
    <w:rsid w:val="003B0BC0"/>
    <w:rsid w:val="003B0C3B"/>
    <w:rsid w:val="003B0FF8"/>
    <w:rsid w:val="003B1258"/>
    <w:rsid w:val="003B1389"/>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298"/>
    <w:rsid w:val="003B242F"/>
    <w:rsid w:val="003B2492"/>
    <w:rsid w:val="003B26A2"/>
    <w:rsid w:val="003B28CB"/>
    <w:rsid w:val="003B29A0"/>
    <w:rsid w:val="003B2CB5"/>
    <w:rsid w:val="003B2D87"/>
    <w:rsid w:val="003B2E6B"/>
    <w:rsid w:val="003B2F60"/>
    <w:rsid w:val="003B34D0"/>
    <w:rsid w:val="003B3898"/>
    <w:rsid w:val="003B3B9F"/>
    <w:rsid w:val="003B3D58"/>
    <w:rsid w:val="003B3E2A"/>
    <w:rsid w:val="003B3F2D"/>
    <w:rsid w:val="003B3FC2"/>
    <w:rsid w:val="003B4058"/>
    <w:rsid w:val="003B417B"/>
    <w:rsid w:val="003B4267"/>
    <w:rsid w:val="003B42E7"/>
    <w:rsid w:val="003B4636"/>
    <w:rsid w:val="003B4674"/>
    <w:rsid w:val="003B469B"/>
    <w:rsid w:val="003B46BD"/>
    <w:rsid w:val="003B47FD"/>
    <w:rsid w:val="003B4C23"/>
    <w:rsid w:val="003B4CF9"/>
    <w:rsid w:val="003B50E3"/>
    <w:rsid w:val="003B55AD"/>
    <w:rsid w:val="003B5721"/>
    <w:rsid w:val="003B573B"/>
    <w:rsid w:val="003B5758"/>
    <w:rsid w:val="003B5DB8"/>
    <w:rsid w:val="003B5E71"/>
    <w:rsid w:val="003B5E79"/>
    <w:rsid w:val="003B5EC8"/>
    <w:rsid w:val="003B5F28"/>
    <w:rsid w:val="003B6044"/>
    <w:rsid w:val="003B60AE"/>
    <w:rsid w:val="003B6150"/>
    <w:rsid w:val="003B6500"/>
    <w:rsid w:val="003B657D"/>
    <w:rsid w:val="003B663C"/>
    <w:rsid w:val="003B675E"/>
    <w:rsid w:val="003B67F1"/>
    <w:rsid w:val="003B6846"/>
    <w:rsid w:val="003B6CA5"/>
    <w:rsid w:val="003B6CCF"/>
    <w:rsid w:val="003B6FA6"/>
    <w:rsid w:val="003B705C"/>
    <w:rsid w:val="003B706E"/>
    <w:rsid w:val="003B7076"/>
    <w:rsid w:val="003B7113"/>
    <w:rsid w:val="003B7180"/>
    <w:rsid w:val="003B7186"/>
    <w:rsid w:val="003B71C1"/>
    <w:rsid w:val="003B72CC"/>
    <w:rsid w:val="003B730F"/>
    <w:rsid w:val="003B7391"/>
    <w:rsid w:val="003B74F7"/>
    <w:rsid w:val="003B7568"/>
    <w:rsid w:val="003B7907"/>
    <w:rsid w:val="003B7965"/>
    <w:rsid w:val="003B7A51"/>
    <w:rsid w:val="003B7C2D"/>
    <w:rsid w:val="003B7C52"/>
    <w:rsid w:val="003B7C66"/>
    <w:rsid w:val="003B7F3B"/>
    <w:rsid w:val="003C019B"/>
    <w:rsid w:val="003C01F7"/>
    <w:rsid w:val="003C0362"/>
    <w:rsid w:val="003C076A"/>
    <w:rsid w:val="003C07BE"/>
    <w:rsid w:val="003C0846"/>
    <w:rsid w:val="003C09BC"/>
    <w:rsid w:val="003C0A3E"/>
    <w:rsid w:val="003C0AD2"/>
    <w:rsid w:val="003C0C57"/>
    <w:rsid w:val="003C0E10"/>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0EC"/>
    <w:rsid w:val="003C4176"/>
    <w:rsid w:val="003C41DA"/>
    <w:rsid w:val="003C4528"/>
    <w:rsid w:val="003C4546"/>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5E92"/>
    <w:rsid w:val="003C62D4"/>
    <w:rsid w:val="003C6326"/>
    <w:rsid w:val="003C635A"/>
    <w:rsid w:val="003C6375"/>
    <w:rsid w:val="003C63BC"/>
    <w:rsid w:val="003C646D"/>
    <w:rsid w:val="003C6535"/>
    <w:rsid w:val="003C65C1"/>
    <w:rsid w:val="003C663F"/>
    <w:rsid w:val="003C6687"/>
    <w:rsid w:val="003C6716"/>
    <w:rsid w:val="003C678B"/>
    <w:rsid w:val="003C67CB"/>
    <w:rsid w:val="003C6937"/>
    <w:rsid w:val="003C6E44"/>
    <w:rsid w:val="003C71A2"/>
    <w:rsid w:val="003C724B"/>
    <w:rsid w:val="003C7272"/>
    <w:rsid w:val="003C7363"/>
    <w:rsid w:val="003C7498"/>
    <w:rsid w:val="003C74A9"/>
    <w:rsid w:val="003C74D3"/>
    <w:rsid w:val="003C7526"/>
    <w:rsid w:val="003C7544"/>
    <w:rsid w:val="003C76EF"/>
    <w:rsid w:val="003C783E"/>
    <w:rsid w:val="003C78FF"/>
    <w:rsid w:val="003C7928"/>
    <w:rsid w:val="003C7973"/>
    <w:rsid w:val="003C7B38"/>
    <w:rsid w:val="003C7D35"/>
    <w:rsid w:val="003C7DF2"/>
    <w:rsid w:val="003C7ED4"/>
    <w:rsid w:val="003D01D4"/>
    <w:rsid w:val="003D037F"/>
    <w:rsid w:val="003D03A5"/>
    <w:rsid w:val="003D03B8"/>
    <w:rsid w:val="003D064D"/>
    <w:rsid w:val="003D0990"/>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2B2E"/>
    <w:rsid w:val="003D3097"/>
    <w:rsid w:val="003D30AF"/>
    <w:rsid w:val="003D32E6"/>
    <w:rsid w:val="003D368B"/>
    <w:rsid w:val="003D383B"/>
    <w:rsid w:val="003D3ACF"/>
    <w:rsid w:val="003D3B7A"/>
    <w:rsid w:val="003D3ECD"/>
    <w:rsid w:val="003D4149"/>
    <w:rsid w:val="003D446D"/>
    <w:rsid w:val="003D454C"/>
    <w:rsid w:val="003D471F"/>
    <w:rsid w:val="003D4729"/>
    <w:rsid w:val="003D4869"/>
    <w:rsid w:val="003D48DB"/>
    <w:rsid w:val="003D4A25"/>
    <w:rsid w:val="003D4CDA"/>
    <w:rsid w:val="003D504E"/>
    <w:rsid w:val="003D51BA"/>
    <w:rsid w:val="003D51CC"/>
    <w:rsid w:val="003D5218"/>
    <w:rsid w:val="003D5376"/>
    <w:rsid w:val="003D540A"/>
    <w:rsid w:val="003D55F5"/>
    <w:rsid w:val="003D5734"/>
    <w:rsid w:val="003D5771"/>
    <w:rsid w:val="003D58AA"/>
    <w:rsid w:val="003D58F6"/>
    <w:rsid w:val="003D5A3F"/>
    <w:rsid w:val="003D5B47"/>
    <w:rsid w:val="003D5F41"/>
    <w:rsid w:val="003D5F56"/>
    <w:rsid w:val="003D5FD1"/>
    <w:rsid w:val="003D60A3"/>
    <w:rsid w:val="003D6926"/>
    <w:rsid w:val="003D6AFA"/>
    <w:rsid w:val="003D6B05"/>
    <w:rsid w:val="003D6E81"/>
    <w:rsid w:val="003D7005"/>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B39"/>
    <w:rsid w:val="003E0D30"/>
    <w:rsid w:val="003E0DDF"/>
    <w:rsid w:val="003E0E11"/>
    <w:rsid w:val="003E0ECD"/>
    <w:rsid w:val="003E0FB2"/>
    <w:rsid w:val="003E11CB"/>
    <w:rsid w:val="003E1472"/>
    <w:rsid w:val="003E15B6"/>
    <w:rsid w:val="003E16C3"/>
    <w:rsid w:val="003E192D"/>
    <w:rsid w:val="003E1B6C"/>
    <w:rsid w:val="003E1BC7"/>
    <w:rsid w:val="003E1F1B"/>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708"/>
    <w:rsid w:val="003E3B0E"/>
    <w:rsid w:val="003E3C0B"/>
    <w:rsid w:val="003E3DD6"/>
    <w:rsid w:val="003E3F2B"/>
    <w:rsid w:val="003E4182"/>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AD4"/>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176"/>
    <w:rsid w:val="003F03E2"/>
    <w:rsid w:val="003F040B"/>
    <w:rsid w:val="003F063F"/>
    <w:rsid w:val="003F0765"/>
    <w:rsid w:val="003F0843"/>
    <w:rsid w:val="003F0849"/>
    <w:rsid w:val="003F0A02"/>
    <w:rsid w:val="003F0B5B"/>
    <w:rsid w:val="003F0C73"/>
    <w:rsid w:val="003F109A"/>
    <w:rsid w:val="003F1102"/>
    <w:rsid w:val="003F118B"/>
    <w:rsid w:val="003F13B3"/>
    <w:rsid w:val="003F13C2"/>
    <w:rsid w:val="003F169F"/>
    <w:rsid w:val="003F1720"/>
    <w:rsid w:val="003F1A5D"/>
    <w:rsid w:val="003F1B12"/>
    <w:rsid w:val="003F1CB7"/>
    <w:rsid w:val="003F1EB8"/>
    <w:rsid w:val="003F2136"/>
    <w:rsid w:val="003F2280"/>
    <w:rsid w:val="003F24CB"/>
    <w:rsid w:val="003F2D36"/>
    <w:rsid w:val="003F2EB5"/>
    <w:rsid w:val="003F2F79"/>
    <w:rsid w:val="003F366A"/>
    <w:rsid w:val="003F36B7"/>
    <w:rsid w:val="003F38FF"/>
    <w:rsid w:val="003F3988"/>
    <w:rsid w:val="003F3C8A"/>
    <w:rsid w:val="003F3D32"/>
    <w:rsid w:val="003F3D77"/>
    <w:rsid w:val="003F3D9E"/>
    <w:rsid w:val="003F3E85"/>
    <w:rsid w:val="003F3F06"/>
    <w:rsid w:val="003F3FBC"/>
    <w:rsid w:val="003F3FCC"/>
    <w:rsid w:val="003F4107"/>
    <w:rsid w:val="003F412D"/>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0"/>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1B"/>
    <w:rsid w:val="00400EF3"/>
    <w:rsid w:val="00401011"/>
    <w:rsid w:val="0040109A"/>
    <w:rsid w:val="00401198"/>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11B"/>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EB0"/>
    <w:rsid w:val="0040444F"/>
    <w:rsid w:val="004044F2"/>
    <w:rsid w:val="00404637"/>
    <w:rsid w:val="00404A73"/>
    <w:rsid w:val="00404ABC"/>
    <w:rsid w:val="00404B44"/>
    <w:rsid w:val="00404C28"/>
    <w:rsid w:val="00404C69"/>
    <w:rsid w:val="00404D30"/>
    <w:rsid w:val="00404EC8"/>
    <w:rsid w:val="00404F0A"/>
    <w:rsid w:val="00404F42"/>
    <w:rsid w:val="004051A9"/>
    <w:rsid w:val="004052C3"/>
    <w:rsid w:val="00405384"/>
    <w:rsid w:val="0040542A"/>
    <w:rsid w:val="004054E6"/>
    <w:rsid w:val="004055F5"/>
    <w:rsid w:val="004057E3"/>
    <w:rsid w:val="00405C7F"/>
    <w:rsid w:val="00406352"/>
    <w:rsid w:val="004065F9"/>
    <w:rsid w:val="00406633"/>
    <w:rsid w:val="004067DB"/>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BBE"/>
    <w:rsid w:val="00411CA3"/>
    <w:rsid w:val="00411E1E"/>
    <w:rsid w:val="00412064"/>
    <w:rsid w:val="004120C0"/>
    <w:rsid w:val="0041224A"/>
    <w:rsid w:val="0041233D"/>
    <w:rsid w:val="00412392"/>
    <w:rsid w:val="004124C1"/>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A87"/>
    <w:rsid w:val="00413C36"/>
    <w:rsid w:val="00413D93"/>
    <w:rsid w:val="00413ED5"/>
    <w:rsid w:val="00413F4F"/>
    <w:rsid w:val="00413FC0"/>
    <w:rsid w:val="00414131"/>
    <w:rsid w:val="00414286"/>
    <w:rsid w:val="004143A2"/>
    <w:rsid w:val="004143F8"/>
    <w:rsid w:val="004145A1"/>
    <w:rsid w:val="00414632"/>
    <w:rsid w:val="00414641"/>
    <w:rsid w:val="00414650"/>
    <w:rsid w:val="00414724"/>
    <w:rsid w:val="004148BC"/>
    <w:rsid w:val="00414923"/>
    <w:rsid w:val="00414B2D"/>
    <w:rsid w:val="00414D0C"/>
    <w:rsid w:val="00414E2D"/>
    <w:rsid w:val="0041505F"/>
    <w:rsid w:val="00415074"/>
    <w:rsid w:val="004153B7"/>
    <w:rsid w:val="004156C7"/>
    <w:rsid w:val="00415702"/>
    <w:rsid w:val="00415879"/>
    <w:rsid w:val="004158C7"/>
    <w:rsid w:val="00415BDA"/>
    <w:rsid w:val="00415CF5"/>
    <w:rsid w:val="00415D98"/>
    <w:rsid w:val="00415FB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D2"/>
    <w:rsid w:val="004176BB"/>
    <w:rsid w:val="00417C72"/>
    <w:rsid w:val="00417D3C"/>
    <w:rsid w:val="00417D87"/>
    <w:rsid w:val="00417DBF"/>
    <w:rsid w:val="00420200"/>
    <w:rsid w:val="00420237"/>
    <w:rsid w:val="00420434"/>
    <w:rsid w:val="00420650"/>
    <w:rsid w:val="00420AEE"/>
    <w:rsid w:val="00420BBE"/>
    <w:rsid w:val="00420EF6"/>
    <w:rsid w:val="00421067"/>
    <w:rsid w:val="004210D8"/>
    <w:rsid w:val="004210DE"/>
    <w:rsid w:val="004211F3"/>
    <w:rsid w:val="00421258"/>
    <w:rsid w:val="0042128E"/>
    <w:rsid w:val="00421892"/>
    <w:rsid w:val="00421A06"/>
    <w:rsid w:val="00421E1E"/>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2A2"/>
    <w:rsid w:val="004253C0"/>
    <w:rsid w:val="00425588"/>
    <w:rsid w:val="004257C5"/>
    <w:rsid w:val="00425A8E"/>
    <w:rsid w:val="00425E2B"/>
    <w:rsid w:val="00425EF9"/>
    <w:rsid w:val="00426091"/>
    <w:rsid w:val="00426195"/>
    <w:rsid w:val="00426254"/>
    <w:rsid w:val="0042635A"/>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B0F"/>
    <w:rsid w:val="00431C8A"/>
    <w:rsid w:val="00431F3C"/>
    <w:rsid w:val="0043202C"/>
    <w:rsid w:val="00432039"/>
    <w:rsid w:val="004323FC"/>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A08"/>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2FF"/>
    <w:rsid w:val="00436622"/>
    <w:rsid w:val="0043662C"/>
    <w:rsid w:val="004369FD"/>
    <w:rsid w:val="00436F58"/>
    <w:rsid w:val="00437070"/>
    <w:rsid w:val="00437840"/>
    <w:rsid w:val="00437A7A"/>
    <w:rsid w:val="00437BF9"/>
    <w:rsid w:val="00437CB4"/>
    <w:rsid w:val="00437F85"/>
    <w:rsid w:val="004400F5"/>
    <w:rsid w:val="004402AC"/>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A56"/>
    <w:rsid w:val="00441B8E"/>
    <w:rsid w:val="00441E3A"/>
    <w:rsid w:val="00441EC8"/>
    <w:rsid w:val="00441FE3"/>
    <w:rsid w:val="00442255"/>
    <w:rsid w:val="004422B3"/>
    <w:rsid w:val="004425BE"/>
    <w:rsid w:val="004425F2"/>
    <w:rsid w:val="0044274C"/>
    <w:rsid w:val="0044295E"/>
    <w:rsid w:val="00442B3D"/>
    <w:rsid w:val="00442C61"/>
    <w:rsid w:val="00442F4F"/>
    <w:rsid w:val="00442FD8"/>
    <w:rsid w:val="00443080"/>
    <w:rsid w:val="004435CA"/>
    <w:rsid w:val="004435E9"/>
    <w:rsid w:val="00443FC3"/>
    <w:rsid w:val="00444092"/>
    <w:rsid w:val="004440DB"/>
    <w:rsid w:val="0044411A"/>
    <w:rsid w:val="00444350"/>
    <w:rsid w:val="004443B6"/>
    <w:rsid w:val="00444408"/>
    <w:rsid w:val="00444568"/>
    <w:rsid w:val="00444709"/>
    <w:rsid w:val="004447E2"/>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599"/>
    <w:rsid w:val="00445664"/>
    <w:rsid w:val="00445A2C"/>
    <w:rsid w:val="00445A9F"/>
    <w:rsid w:val="00445BBC"/>
    <w:rsid w:val="00445BEF"/>
    <w:rsid w:val="00445C4F"/>
    <w:rsid w:val="0044609E"/>
    <w:rsid w:val="004461E3"/>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881"/>
    <w:rsid w:val="0044796A"/>
    <w:rsid w:val="00447C2F"/>
    <w:rsid w:val="004505E8"/>
    <w:rsid w:val="00450A4E"/>
    <w:rsid w:val="00450ADA"/>
    <w:rsid w:val="00450FC5"/>
    <w:rsid w:val="00451500"/>
    <w:rsid w:val="00451532"/>
    <w:rsid w:val="00451579"/>
    <w:rsid w:val="004516F2"/>
    <w:rsid w:val="00451738"/>
    <w:rsid w:val="0045177A"/>
    <w:rsid w:val="00451BC5"/>
    <w:rsid w:val="00451ED7"/>
    <w:rsid w:val="00451F09"/>
    <w:rsid w:val="00451F2E"/>
    <w:rsid w:val="00452056"/>
    <w:rsid w:val="004524C1"/>
    <w:rsid w:val="00452A73"/>
    <w:rsid w:val="00452BBE"/>
    <w:rsid w:val="00452D8A"/>
    <w:rsid w:val="00452E5D"/>
    <w:rsid w:val="00452F6A"/>
    <w:rsid w:val="00453150"/>
    <w:rsid w:val="004531C6"/>
    <w:rsid w:val="00453464"/>
    <w:rsid w:val="00453476"/>
    <w:rsid w:val="00453589"/>
    <w:rsid w:val="004538A0"/>
    <w:rsid w:val="00453A0F"/>
    <w:rsid w:val="00453E0F"/>
    <w:rsid w:val="00453EAD"/>
    <w:rsid w:val="00453F4F"/>
    <w:rsid w:val="00453F78"/>
    <w:rsid w:val="00453F79"/>
    <w:rsid w:val="00454122"/>
    <w:rsid w:val="004543DE"/>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106"/>
    <w:rsid w:val="0045642D"/>
    <w:rsid w:val="004565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5F1"/>
    <w:rsid w:val="00461600"/>
    <w:rsid w:val="0046179A"/>
    <w:rsid w:val="00461D34"/>
    <w:rsid w:val="00461D45"/>
    <w:rsid w:val="00461DD5"/>
    <w:rsid w:val="00461E98"/>
    <w:rsid w:val="00461E9F"/>
    <w:rsid w:val="00461EA1"/>
    <w:rsid w:val="00461F47"/>
    <w:rsid w:val="00461F70"/>
    <w:rsid w:val="00462401"/>
    <w:rsid w:val="0046282C"/>
    <w:rsid w:val="004629F3"/>
    <w:rsid w:val="00462A3A"/>
    <w:rsid w:val="00462A47"/>
    <w:rsid w:val="00462A70"/>
    <w:rsid w:val="00462D2B"/>
    <w:rsid w:val="00462DA4"/>
    <w:rsid w:val="00462E07"/>
    <w:rsid w:val="00462E1F"/>
    <w:rsid w:val="00462E32"/>
    <w:rsid w:val="00462E45"/>
    <w:rsid w:val="00462F9E"/>
    <w:rsid w:val="00462FE3"/>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994"/>
    <w:rsid w:val="00465A0E"/>
    <w:rsid w:val="00465A97"/>
    <w:rsid w:val="00465DB3"/>
    <w:rsid w:val="00465E00"/>
    <w:rsid w:val="00465ED8"/>
    <w:rsid w:val="004662C8"/>
    <w:rsid w:val="00466307"/>
    <w:rsid w:val="004663BA"/>
    <w:rsid w:val="00466C22"/>
    <w:rsid w:val="00466CEF"/>
    <w:rsid w:val="00466E31"/>
    <w:rsid w:val="00466F1C"/>
    <w:rsid w:val="00466FE6"/>
    <w:rsid w:val="00467290"/>
    <w:rsid w:val="004672A2"/>
    <w:rsid w:val="0046756A"/>
    <w:rsid w:val="0046767B"/>
    <w:rsid w:val="004676E5"/>
    <w:rsid w:val="00467B98"/>
    <w:rsid w:val="00467BED"/>
    <w:rsid w:val="00470192"/>
    <w:rsid w:val="004701F6"/>
    <w:rsid w:val="00470A80"/>
    <w:rsid w:val="00470DF0"/>
    <w:rsid w:val="00471061"/>
    <w:rsid w:val="0047113B"/>
    <w:rsid w:val="00471704"/>
    <w:rsid w:val="00471902"/>
    <w:rsid w:val="00471A58"/>
    <w:rsid w:val="00471BB7"/>
    <w:rsid w:val="00471BDC"/>
    <w:rsid w:val="00471C83"/>
    <w:rsid w:val="00471E45"/>
    <w:rsid w:val="004720B1"/>
    <w:rsid w:val="00472248"/>
    <w:rsid w:val="00472324"/>
    <w:rsid w:val="00472474"/>
    <w:rsid w:val="004726F9"/>
    <w:rsid w:val="0047286E"/>
    <w:rsid w:val="004729FF"/>
    <w:rsid w:val="00472A02"/>
    <w:rsid w:val="00472B5F"/>
    <w:rsid w:val="00472BF3"/>
    <w:rsid w:val="00472FC3"/>
    <w:rsid w:val="00472FF6"/>
    <w:rsid w:val="00473199"/>
    <w:rsid w:val="00473534"/>
    <w:rsid w:val="00473FFE"/>
    <w:rsid w:val="00474095"/>
    <w:rsid w:val="004741A7"/>
    <w:rsid w:val="0047429B"/>
    <w:rsid w:val="00474513"/>
    <w:rsid w:val="004745F6"/>
    <w:rsid w:val="00474628"/>
    <w:rsid w:val="00474735"/>
    <w:rsid w:val="0047494F"/>
    <w:rsid w:val="00474AA8"/>
    <w:rsid w:val="00475112"/>
    <w:rsid w:val="004754C1"/>
    <w:rsid w:val="00475511"/>
    <w:rsid w:val="00475577"/>
    <w:rsid w:val="0047574A"/>
    <w:rsid w:val="0047595F"/>
    <w:rsid w:val="004759D3"/>
    <w:rsid w:val="00475DBE"/>
    <w:rsid w:val="00476017"/>
    <w:rsid w:val="00476070"/>
    <w:rsid w:val="0047607A"/>
    <w:rsid w:val="004761C6"/>
    <w:rsid w:val="00476264"/>
    <w:rsid w:val="004762EA"/>
    <w:rsid w:val="004762FB"/>
    <w:rsid w:val="00476328"/>
    <w:rsid w:val="004765C2"/>
    <w:rsid w:val="00476888"/>
    <w:rsid w:val="004769FC"/>
    <w:rsid w:val="00476B63"/>
    <w:rsid w:val="00476CE0"/>
    <w:rsid w:val="00476F83"/>
    <w:rsid w:val="00476FD2"/>
    <w:rsid w:val="00477184"/>
    <w:rsid w:val="004771D9"/>
    <w:rsid w:val="00477297"/>
    <w:rsid w:val="00477361"/>
    <w:rsid w:val="0047738A"/>
    <w:rsid w:val="004776BD"/>
    <w:rsid w:val="0047789B"/>
    <w:rsid w:val="00477905"/>
    <w:rsid w:val="00477A42"/>
    <w:rsid w:val="00477A46"/>
    <w:rsid w:val="00477BB8"/>
    <w:rsid w:val="00477C00"/>
    <w:rsid w:val="00477D68"/>
    <w:rsid w:val="004800B8"/>
    <w:rsid w:val="004800C5"/>
    <w:rsid w:val="004800EF"/>
    <w:rsid w:val="00480447"/>
    <w:rsid w:val="004804CA"/>
    <w:rsid w:val="004808D3"/>
    <w:rsid w:val="00480B39"/>
    <w:rsid w:val="00480D23"/>
    <w:rsid w:val="004810A1"/>
    <w:rsid w:val="0048122A"/>
    <w:rsid w:val="0048123C"/>
    <w:rsid w:val="00481306"/>
    <w:rsid w:val="0048134C"/>
    <w:rsid w:val="00481362"/>
    <w:rsid w:val="00481667"/>
    <w:rsid w:val="004817C1"/>
    <w:rsid w:val="004818A3"/>
    <w:rsid w:val="004819D5"/>
    <w:rsid w:val="00481A78"/>
    <w:rsid w:val="00481AB3"/>
    <w:rsid w:val="00481C0D"/>
    <w:rsid w:val="00481C16"/>
    <w:rsid w:val="00481CD4"/>
    <w:rsid w:val="00481CFE"/>
    <w:rsid w:val="00481DD6"/>
    <w:rsid w:val="00481FF9"/>
    <w:rsid w:val="0048206D"/>
    <w:rsid w:val="004821FF"/>
    <w:rsid w:val="004822BA"/>
    <w:rsid w:val="004823DA"/>
    <w:rsid w:val="004825AB"/>
    <w:rsid w:val="00482880"/>
    <w:rsid w:val="00482923"/>
    <w:rsid w:val="0048298C"/>
    <w:rsid w:val="004829A1"/>
    <w:rsid w:val="00482EFD"/>
    <w:rsid w:val="004830F7"/>
    <w:rsid w:val="00483118"/>
    <w:rsid w:val="004833CD"/>
    <w:rsid w:val="0048361A"/>
    <w:rsid w:val="0048363D"/>
    <w:rsid w:val="004836A0"/>
    <w:rsid w:val="00483715"/>
    <w:rsid w:val="00483836"/>
    <w:rsid w:val="00483927"/>
    <w:rsid w:val="00483ACE"/>
    <w:rsid w:val="00483E73"/>
    <w:rsid w:val="00483E91"/>
    <w:rsid w:val="00483E93"/>
    <w:rsid w:val="00484057"/>
    <w:rsid w:val="00484130"/>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C48"/>
    <w:rsid w:val="00485E56"/>
    <w:rsid w:val="00485FAD"/>
    <w:rsid w:val="00485FD5"/>
    <w:rsid w:val="00486251"/>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0F92"/>
    <w:rsid w:val="004913A3"/>
    <w:rsid w:val="0049178A"/>
    <w:rsid w:val="00491804"/>
    <w:rsid w:val="00491917"/>
    <w:rsid w:val="00491A33"/>
    <w:rsid w:val="00491A54"/>
    <w:rsid w:val="00491BFA"/>
    <w:rsid w:val="00491FA1"/>
    <w:rsid w:val="00492147"/>
    <w:rsid w:val="0049217C"/>
    <w:rsid w:val="00492208"/>
    <w:rsid w:val="00492348"/>
    <w:rsid w:val="0049242E"/>
    <w:rsid w:val="00492441"/>
    <w:rsid w:val="004924A6"/>
    <w:rsid w:val="00492502"/>
    <w:rsid w:val="00492850"/>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14"/>
    <w:rsid w:val="00495AC9"/>
    <w:rsid w:val="00495B02"/>
    <w:rsid w:val="00495B07"/>
    <w:rsid w:val="00495F77"/>
    <w:rsid w:val="00495F9F"/>
    <w:rsid w:val="0049602F"/>
    <w:rsid w:val="0049630F"/>
    <w:rsid w:val="00496485"/>
    <w:rsid w:val="00496733"/>
    <w:rsid w:val="00496C42"/>
    <w:rsid w:val="00496D34"/>
    <w:rsid w:val="00496E04"/>
    <w:rsid w:val="0049746C"/>
    <w:rsid w:val="004975B0"/>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2B1"/>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1E4"/>
    <w:rsid w:val="004A328D"/>
    <w:rsid w:val="004A3AAC"/>
    <w:rsid w:val="004A3B9E"/>
    <w:rsid w:val="004A3C21"/>
    <w:rsid w:val="004A41A8"/>
    <w:rsid w:val="004A41C1"/>
    <w:rsid w:val="004A4253"/>
    <w:rsid w:val="004A43A0"/>
    <w:rsid w:val="004A43B4"/>
    <w:rsid w:val="004A43E4"/>
    <w:rsid w:val="004A4409"/>
    <w:rsid w:val="004A4419"/>
    <w:rsid w:val="004A4480"/>
    <w:rsid w:val="004A4483"/>
    <w:rsid w:val="004A4634"/>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673"/>
    <w:rsid w:val="004B0A45"/>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FFE"/>
    <w:rsid w:val="004B5006"/>
    <w:rsid w:val="004B5086"/>
    <w:rsid w:val="004B50EF"/>
    <w:rsid w:val="004B50F8"/>
    <w:rsid w:val="004B512F"/>
    <w:rsid w:val="004B51F6"/>
    <w:rsid w:val="004B555A"/>
    <w:rsid w:val="004B55FC"/>
    <w:rsid w:val="004B5664"/>
    <w:rsid w:val="004B567F"/>
    <w:rsid w:val="004B59B6"/>
    <w:rsid w:val="004B59D5"/>
    <w:rsid w:val="004B5A4B"/>
    <w:rsid w:val="004B5A98"/>
    <w:rsid w:val="004B5CA3"/>
    <w:rsid w:val="004B5D13"/>
    <w:rsid w:val="004B62BD"/>
    <w:rsid w:val="004B6553"/>
    <w:rsid w:val="004B6566"/>
    <w:rsid w:val="004B6680"/>
    <w:rsid w:val="004B6709"/>
    <w:rsid w:val="004B6766"/>
    <w:rsid w:val="004B68DF"/>
    <w:rsid w:val="004B6AA0"/>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24"/>
    <w:rsid w:val="004C1CAF"/>
    <w:rsid w:val="004C1EBB"/>
    <w:rsid w:val="004C2229"/>
    <w:rsid w:val="004C225E"/>
    <w:rsid w:val="004C2871"/>
    <w:rsid w:val="004C2872"/>
    <w:rsid w:val="004C293F"/>
    <w:rsid w:val="004C2BFD"/>
    <w:rsid w:val="004C2D41"/>
    <w:rsid w:val="004C2F63"/>
    <w:rsid w:val="004C2F8E"/>
    <w:rsid w:val="004C309A"/>
    <w:rsid w:val="004C3112"/>
    <w:rsid w:val="004C35EE"/>
    <w:rsid w:val="004C36C8"/>
    <w:rsid w:val="004C36EE"/>
    <w:rsid w:val="004C44E7"/>
    <w:rsid w:val="004C4699"/>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B5"/>
    <w:rsid w:val="004C6BDE"/>
    <w:rsid w:val="004C6D1C"/>
    <w:rsid w:val="004C6D26"/>
    <w:rsid w:val="004C6E06"/>
    <w:rsid w:val="004C6E4F"/>
    <w:rsid w:val="004C6EC3"/>
    <w:rsid w:val="004C6F34"/>
    <w:rsid w:val="004C706A"/>
    <w:rsid w:val="004C7173"/>
    <w:rsid w:val="004C723C"/>
    <w:rsid w:val="004C72F6"/>
    <w:rsid w:val="004C770D"/>
    <w:rsid w:val="004C77D8"/>
    <w:rsid w:val="004C7966"/>
    <w:rsid w:val="004C7B49"/>
    <w:rsid w:val="004C7CBA"/>
    <w:rsid w:val="004C7F85"/>
    <w:rsid w:val="004C7F98"/>
    <w:rsid w:val="004D01B1"/>
    <w:rsid w:val="004D0324"/>
    <w:rsid w:val="004D05A4"/>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ECC"/>
    <w:rsid w:val="004D1FBA"/>
    <w:rsid w:val="004D2012"/>
    <w:rsid w:val="004D207C"/>
    <w:rsid w:val="004D2321"/>
    <w:rsid w:val="004D25F3"/>
    <w:rsid w:val="004D262E"/>
    <w:rsid w:val="004D27BC"/>
    <w:rsid w:val="004D2834"/>
    <w:rsid w:val="004D283C"/>
    <w:rsid w:val="004D2899"/>
    <w:rsid w:val="004D2A42"/>
    <w:rsid w:val="004D2A72"/>
    <w:rsid w:val="004D2CAB"/>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69C"/>
    <w:rsid w:val="004D57C4"/>
    <w:rsid w:val="004D5BFF"/>
    <w:rsid w:val="004D5D40"/>
    <w:rsid w:val="004D5FDC"/>
    <w:rsid w:val="004D608E"/>
    <w:rsid w:val="004D60A4"/>
    <w:rsid w:val="004D6113"/>
    <w:rsid w:val="004D61A3"/>
    <w:rsid w:val="004D620E"/>
    <w:rsid w:val="004D6364"/>
    <w:rsid w:val="004D6714"/>
    <w:rsid w:val="004D6B71"/>
    <w:rsid w:val="004D6F88"/>
    <w:rsid w:val="004D7340"/>
    <w:rsid w:val="004D7347"/>
    <w:rsid w:val="004D7A4E"/>
    <w:rsid w:val="004D7AC0"/>
    <w:rsid w:val="004D7B32"/>
    <w:rsid w:val="004D7E71"/>
    <w:rsid w:val="004D7F25"/>
    <w:rsid w:val="004E00D7"/>
    <w:rsid w:val="004E0259"/>
    <w:rsid w:val="004E041F"/>
    <w:rsid w:val="004E04DF"/>
    <w:rsid w:val="004E0848"/>
    <w:rsid w:val="004E0A61"/>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1EA"/>
    <w:rsid w:val="004E3238"/>
    <w:rsid w:val="004E32B0"/>
    <w:rsid w:val="004E371D"/>
    <w:rsid w:val="004E3792"/>
    <w:rsid w:val="004E3888"/>
    <w:rsid w:val="004E3893"/>
    <w:rsid w:val="004E38B1"/>
    <w:rsid w:val="004E3900"/>
    <w:rsid w:val="004E3C88"/>
    <w:rsid w:val="004E3FBC"/>
    <w:rsid w:val="004E4179"/>
    <w:rsid w:val="004E4369"/>
    <w:rsid w:val="004E4682"/>
    <w:rsid w:val="004E46B2"/>
    <w:rsid w:val="004E486E"/>
    <w:rsid w:val="004E492A"/>
    <w:rsid w:val="004E494C"/>
    <w:rsid w:val="004E4A6C"/>
    <w:rsid w:val="004E4CBE"/>
    <w:rsid w:val="004E4EA9"/>
    <w:rsid w:val="004E4EC1"/>
    <w:rsid w:val="004E50C3"/>
    <w:rsid w:val="004E55DE"/>
    <w:rsid w:val="004E57C0"/>
    <w:rsid w:val="004E5816"/>
    <w:rsid w:val="004E5849"/>
    <w:rsid w:val="004E59F1"/>
    <w:rsid w:val="004E5A9D"/>
    <w:rsid w:val="004E5AF7"/>
    <w:rsid w:val="004E5B4E"/>
    <w:rsid w:val="004E5B87"/>
    <w:rsid w:val="004E5CA1"/>
    <w:rsid w:val="004E5DF8"/>
    <w:rsid w:val="004E5F6B"/>
    <w:rsid w:val="004E60AC"/>
    <w:rsid w:val="004E610A"/>
    <w:rsid w:val="004E6239"/>
    <w:rsid w:val="004E636E"/>
    <w:rsid w:val="004E64DA"/>
    <w:rsid w:val="004E64FD"/>
    <w:rsid w:val="004E6651"/>
    <w:rsid w:val="004E6719"/>
    <w:rsid w:val="004E6823"/>
    <w:rsid w:val="004E6CC7"/>
    <w:rsid w:val="004E7050"/>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C6E"/>
    <w:rsid w:val="004F0F29"/>
    <w:rsid w:val="004F100A"/>
    <w:rsid w:val="004F10A0"/>
    <w:rsid w:val="004F1248"/>
    <w:rsid w:val="004F1372"/>
    <w:rsid w:val="004F1485"/>
    <w:rsid w:val="004F18B1"/>
    <w:rsid w:val="004F18C2"/>
    <w:rsid w:val="004F1993"/>
    <w:rsid w:val="004F1B6F"/>
    <w:rsid w:val="004F1D73"/>
    <w:rsid w:val="004F1E6D"/>
    <w:rsid w:val="004F214E"/>
    <w:rsid w:val="004F2250"/>
    <w:rsid w:val="004F2293"/>
    <w:rsid w:val="004F23A5"/>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60"/>
    <w:rsid w:val="004F3CF2"/>
    <w:rsid w:val="004F3ED8"/>
    <w:rsid w:val="004F3F6B"/>
    <w:rsid w:val="004F3FA9"/>
    <w:rsid w:val="004F40F1"/>
    <w:rsid w:val="004F4142"/>
    <w:rsid w:val="004F41AB"/>
    <w:rsid w:val="004F44BF"/>
    <w:rsid w:val="004F457B"/>
    <w:rsid w:val="004F4839"/>
    <w:rsid w:val="004F4865"/>
    <w:rsid w:val="004F486B"/>
    <w:rsid w:val="004F4B1E"/>
    <w:rsid w:val="004F4C77"/>
    <w:rsid w:val="004F4D61"/>
    <w:rsid w:val="004F4E17"/>
    <w:rsid w:val="004F5016"/>
    <w:rsid w:val="004F516B"/>
    <w:rsid w:val="004F5177"/>
    <w:rsid w:val="004F5877"/>
    <w:rsid w:val="004F59E8"/>
    <w:rsid w:val="004F5BF8"/>
    <w:rsid w:val="004F5CE1"/>
    <w:rsid w:val="004F60F4"/>
    <w:rsid w:val="004F61B7"/>
    <w:rsid w:val="004F630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815"/>
    <w:rsid w:val="004F7820"/>
    <w:rsid w:val="004F79D4"/>
    <w:rsid w:val="004F7AB7"/>
    <w:rsid w:val="004F7B5E"/>
    <w:rsid w:val="004F7BDF"/>
    <w:rsid w:val="004F7C4F"/>
    <w:rsid w:val="004F7E2A"/>
    <w:rsid w:val="005003FE"/>
    <w:rsid w:val="005004F7"/>
    <w:rsid w:val="00500556"/>
    <w:rsid w:val="0050088E"/>
    <w:rsid w:val="00500EC5"/>
    <w:rsid w:val="00501024"/>
    <w:rsid w:val="00501090"/>
    <w:rsid w:val="00501198"/>
    <w:rsid w:val="0050134B"/>
    <w:rsid w:val="005013AB"/>
    <w:rsid w:val="005013BF"/>
    <w:rsid w:val="0050176F"/>
    <w:rsid w:val="005018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1F9"/>
    <w:rsid w:val="00503223"/>
    <w:rsid w:val="00503289"/>
    <w:rsid w:val="005034D4"/>
    <w:rsid w:val="00503749"/>
    <w:rsid w:val="00503797"/>
    <w:rsid w:val="005038A0"/>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1BA"/>
    <w:rsid w:val="0050638E"/>
    <w:rsid w:val="00506590"/>
    <w:rsid w:val="005065A3"/>
    <w:rsid w:val="00506669"/>
    <w:rsid w:val="0050677C"/>
    <w:rsid w:val="005067AF"/>
    <w:rsid w:val="005067DA"/>
    <w:rsid w:val="0050696A"/>
    <w:rsid w:val="005069DD"/>
    <w:rsid w:val="005069EE"/>
    <w:rsid w:val="00506A7E"/>
    <w:rsid w:val="00506BDA"/>
    <w:rsid w:val="00506D32"/>
    <w:rsid w:val="005071A0"/>
    <w:rsid w:val="005071D0"/>
    <w:rsid w:val="0050743A"/>
    <w:rsid w:val="00507547"/>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3A3"/>
    <w:rsid w:val="0051145A"/>
    <w:rsid w:val="005115B9"/>
    <w:rsid w:val="0051162F"/>
    <w:rsid w:val="0051177E"/>
    <w:rsid w:val="0051186E"/>
    <w:rsid w:val="005119D4"/>
    <w:rsid w:val="00511B42"/>
    <w:rsid w:val="00511D75"/>
    <w:rsid w:val="0051237B"/>
    <w:rsid w:val="00512479"/>
    <w:rsid w:val="00512523"/>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917"/>
    <w:rsid w:val="00513A36"/>
    <w:rsid w:val="00513A8A"/>
    <w:rsid w:val="00513AD3"/>
    <w:rsid w:val="00513C16"/>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22E"/>
    <w:rsid w:val="005173D8"/>
    <w:rsid w:val="00517525"/>
    <w:rsid w:val="005175A2"/>
    <w:rsid w:val="00517621"/>
    <w:rsid w:val="005177AA"/>
    <w:rsid w:val="00517A7D"/>
    <w:rsid w:val="00517B97"/>
    <w:rsid w:val="00517B98"/>
    <w:rsid w:val="00517C49"/>
    <w:rsid w:val="00517E6C"/>
    <w:rsid w:val="00517E86"/>
    <w:rsid w:val="00520084"/>
    <w:rsid w:val="00520164"/>
    <w:rsid w:val="0052017A"/>
    <w:rsid w:val="005204E0"/>
    <w:rsid w:val="0052094D"/>
    <w:rsid w:val="00520B64"/>
    <w:rsid w:val="00520E9C"/>
    <w:rsid w:val="00521265"/>
    <w:rsid w:val="00521388"/>
    <w:rsid w:val="00521466"/>
    <w:rsid w:val="00521499"/>
    <w:rsid w:val="00521619"/>
    <w:rsid w:val="00521723"/>
    <w:rsid w:val="0052192D"/>
    <w:rsid w:val="00521DE3"/>
    <w:rsid w:val="00521F3E"/>
    <w:rsid w:val="0052220A"/>
    <w:rsid w:val="00522273"/>
    <w:rsid w:val="005222E2"/>
    <w:rsid w:val="005224D9"/>
    <w:rsid w:val="00522538"/>
    <w:rsid w:val="005228C5"/>
    <w:rsid w:val="005229D5"/>
    <w:rsid w:val="00522A0F"/>
    <w:rsid w:val="00522C47"/>
    <w:rsid w:val="00522FD3"/>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4FCD"/>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0FA4"/>
    <w:rsid w:val="0053107B"/>
    <w:rsid w:val="00531297"/>
    <w:rsid w:val="005312B9"/>
    <w:rsid w:val="005313DF"/>
    <w:rsid w:val="00531B24"/>
    <w:rsid w:val="00531E58"/>
    <w:rsid w:val="00531FB9"/>
    <w:rsid w:val="00532104"/>
    <w:rsid w:val="00532261"/>
    <w:rsid w:val="005322CB"/>
    <w:rsid w:val="0053245A"/>
    <w:rsid w:val="005324AC"/>
    <w:rsid w:val="005325D3"/>
    <w:rsid w:val="00532AE3"/>
    <w:rsid w:val="00532AF1"/>
    <w:rsid w:val="00532C26"/>
    <w:rsid w:val="00532F48"/>
    <w:rsid w:val="00532FFE"/>
    <w:rsid w:val="0053312C"/>
    <w:rsid w:val="0053349B"/>
    <w:rsid w:val="005335A5"/>
    <w:rsid w:val="00533700"/>
    <w:rsid w:val="00533939"/>
    <w:rsid w:val="005339FA"/>
    <w:rsid w:val="00533BFA"/>
    <w:rsid w:val="00533CEB"/>
    <w:rsid w:val="0053412F"/>
    <w:rsid w:val="005341AB"/>
    <w:rsid w:val="00534459"/>
    <w:rsid w:val="00534515"/>
    <w:rsid w:val="005345DE"/>
    <w:rsid w:val="00534871"/>
    <w:rsid w:val="0053487C"/>
    <w:rsid w:val="0053492C"/>
    <w:rsid w:val="00534AAF"/>
    <w:rsid w:val="00534C58"/>
    <w:rsid w:val="00534D08"/>
    <w:rsid w:val="00534F67"/>
    <w:rsid w:val="005353AD"/>
    <w:rsid w:val="00535799"/>
    <w:rsid w:val="00535BEB"/>
    <w:rsid w:val="00535C8A"/>
    <w:rsid w:val="00535DCF"/>
    <w:rsid w:val="00535F8B"/>
    <w:rsid w:val="0053607C"/>
    <w:rsid w:val="0053612E"/>
    <w:rsid w:val="0053621F"/>
    <w:rsid w:val="0053638C"/>
    <w:rsid w:val="005364B6"/>
    <w:rsid w:val="005365C0"/>
    <w:rsid w:val="00536687"/>
    <w:rsid w:val="00536744"/>
    <w:rsid w:val="00536795"/>
    <w:rsid w:val="005367F9"/>
    <w:rsid w:val="00536919"/>
    <w:rsid w:val="0053719A"/>
    <w:rsid w:val="0053729D"/>
    <w:rsid w:val="00537362"/>
    <w:rsid w:val="0053745F"/>
    <w:rsid w:val="0053749E"/>
    <w:rsid w:val="00537680"/>
    <w:rsid w:val="005376F7"/>
    <w:rsid w:val="00537BE8"/>
    <w:rsid w:val="00537C97"/>
    <w:rsid w:val="00537E96"/>
    <w:rsid w:val="00540175"/>
    <w:rsid w:val="005404BC"/>
    <w:rsid w:val="00540569"/>
    <w:rsid w:val="00540600"/>
    <w:rsid w:val="0054064E"/>
    <w:rsid w:val="0054074C"/>
    <w:rsid w:val="00540976"/>
    <w:rsid w:val="00540978"/>
    <w:rsid w:val="00540A25"/>
    <w:rsid w:val="00540A61"/>
    <w:rsid w:val="00540B1E"/>
    <w:rsid w:val="00540B84"/>
    <w:rsid w:val="00540B86"/>
    <w:rsid w:val="00540C69"/>
    <w:rsid w:val="00540CFC"/>
    <w:rsid w:val="00540F27"/>
    <w:rsid w:val="00540F47"/>
    <w:rsid w:val="00540F60"/>
    <w:rsid w:val="005412B4"/>
    <w:rsid w:val="00541324"/>
    <w:rsid w:val="00541462"/>
    <w:rsid w:val="005416E9"/>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72E"/>
    <w:rsid w:val="005428C0"/>
    <w:rsid w:val="005428D6"/>
    <w:rsid w:val="00542B1E"/>
    <w:rsid w:val="00542CE4"/>
    <w:rsid w:val="00542E6F"/>
    <w:rsid w:val="00542E72"/>
    <w:rsid w:val="0054300D"/>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5DE"/>
    <w:rsid w:val="0054593C"/>
    <w:rsid w:val="00545AA2"/>
    <w:rsid w:val="00545B7C"/>
    <w:rsid w:val="00545E62"/>
    <w:rsid w:val="00545F1F"/>
    <w:rsid w:val="00545F22"/>
    <w:rsid w:val="0054623E"/>
    <w:rsid w:val="00546252"/>
    <w:rsid w:val="00546304"/>
    <w:rsid w:val="0054677B"/>
    <w:rsid w:val="0054690F"/>
    <w:rsid w:val="00546A18"/>
    <w:rsid w:val="00546A1C"/>
    <w:rsid w:val="00546BBE"/>
    <w:rsid w:val="00546C2E"/>
    <w:rsid w:val="00546CDF"/>
    <w:rsid w:val="00546DF5"/>
    <w:rsid w:val="00546E28"/>
    <w:rsid w:val="00546FBC"/>
    <w:rsid w:val="00546FC1"/>
    <w:rsid w:val="005470EA"/>
    <w:rsid w:val="00547127"/>
    <w:rsid w:val="0054728A"/>
    <w:rsid w:val="0054738E"/>
    <w:rsid w:val="00547489"/>
    <w:rsid w:val="00547882"/>
    <w:rsid w:val="00547DB0"/>
    <w:rsid w:val="00547ED2"/>
    <w:rsid w:val="00547EE1"/>
    <w:rsid w:val="00547FAE"/>
    <w:rsid w:val="005502A2"/>
    <w:rsid w:val="005504F9"/>
    <w:rsid w:val="005505C6"/>
    <w:rsid w:val="005507E6"/>
    <w:rsid w:val="00550972"/>
    <w:rsid w:val="00550A68"/>
    <w:rsid w:val="00550C0C"/>
    <w:rsid w:val="00550C9A"/>
    <w:rsid w:val="00550CC8"/>
    <w:rsid w:val="00550FDE"/>
    <w:rsid w:val="00551171"/>
    <w:rsid w:val="0055117F"/>
    <w:rsid w:val="0055127E"/>
    <w:rsid w:val="00551943"/>
    <w:rsid w:val="00551ABA"/>
    <w:rsid w:val="00551AFF"/>
    <w:rsid w:val="00551D87"/>
    <w:rsid w:val="00551F58"/>
    <w:rsid w:val="005520C3"/>
    <w:rsid w:val="005522DB"/>
    <w:rsid w:val="00552313"/>
    <w:rsid w:val="00552769"/>
    <w:rsid w:val="00552846"/>
    <w:rsid w:val="00552888"/>
    <w:rsid w:val="00552A22"/>
    <w:rsid w:val="00552A27"/>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BFE"/>
    <w:rsid w:val="00556D10"/>
    <w:rsid w:val="00556D6F"/>
    <w:rsid w:val="00556EEA"/>
    <w:rsid w:val="00556F15"/>
    <w:rsid w:val="00556F3E"/>
    <w:rsid w:val="00556FE9"/>
    <w:rsid w:val="00557152"/>
    <w:rsid w:val="005571FB"/>
    <w:rsid w:val="0055732A"/>
    <w:rsid w:val="0055777E"/>
    <w:rsid w:val="00557868"/>
    <w:rsid w:val="005578DB"/>
    <w:rsid w:val="00557AF0"/>
    <w:rsid w:val="00557AFE"/>
    <w:rsid w:val="00557B84"/>
    <w:rsid w:val="00557CEF"/>
    <w:rsid w:val="00557DDA"/>
    <w:rsid w:val="00557E7B"/>
    <w:rsid w:val="00560064"/>
    <w:rsid w:val="005601D7"/>
    <w:rsid w:val="00560201"/>
    <w:rsid w:val="00560365"/>
    <w:rsid w:val="005605B1"/>
    <w:rsid w:val="005605D6"/>
    <w:rsid w:val="00560802"/>
    <w:rsid w:val="0056092B"/>
    <w:rsid w:val="00560A2C"/>
    <w:rsid w:val="00560C3F"/>
    <w:rsid w:val="0056118A"/>
    <w:rsid w:val="00561209"/>
    <w:rsid w:val="0056123F"/>
    <w:rsid w:val="005617CC"/>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CEE"/>
    <w:rsid w:val="00563D0E"/>
    <w:rsid w:val="00563D1B"/>
    <w:rsid w:val="00563D96"/>
    <w:rsid w:val="00563EAC"/>
    <w:rsid w:val="0056418B"/>
    <w:rsid w:val="0056445A"/>
    <w:rsid w:val="00564592"/>
    <w:rsid w:val="0056480C"/>
    <w:rsid w:val="0056488B"/>
    <w:rsid w:val="005648A7"/>
    <w:rsid w:val="0056497A"/>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5FC"/>
    <w:rsid w:val="005676BE"/>
    <w:rsid w:val="005678CE"/>
    <w:rsid w:val="0056797C"/>
    <w:rsid w:val="00567DE1"/>
    <w:rsid w:val="00567F09"/>
    <w:rsid w:val="00570009"/>
    <w:rsid w:val="0057016C"/>
    <w:rsid w:val="00570330"/>
    <w:rsid w:val="0057046C"/>
    <w:rsid w:val="0057104B"/>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F25"/>
    <w:rsid w:val="00573F28"/>
    <w:rsid w:val="00573FBB"/>
    <w:rsid w:val="00574210"/>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C25"/>
    <w:rsid w:val="00576F92"/>
    <w:rsid w:val="00577345"/>
    <w:rsid w:val="005774C9"/>
    <w:rsid w:val="00577766"/>
    <w:rsid w:val="00577ADD"/>
    <w:rsid w:val="00577BB7"/>
    <w:rsid w:val="00577BE0"/>
    <w:rsid w:val="00577C58"/>
    <w:rsid w:val="00577E79"/>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1F1D"/>
    <w:rsid w:val="005823DF"/>
    <w:rsid w:val="0058292C"/>
    <w:rsid w:val="0058299C"/>
    <w:rsid w:val="00582AF4"/>
    <w:rsid w:val="00582C80"/>
    <w:rsid w:val="00582E16"/>
    <w:rsid w:val="00582F89"/>
    <w:rsid w:val="005830CB"/>
    <w:rsid w:val="00583B51"/>
    <w:rsid w:val="00583BDA"/>
    <w:rsid w:val="00583C0B"/>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62"/>
    <w:rsid w:val="00585A86"/>
    <w:rsid w:val="00585E3A"/>
    <w:rsid w:val="00586068"/>
    <w:rsid w:val="005860C2"/>
    <w:rsid w:val="00586144"/>
    <w:rsid w:val="0058640C"/>
    <w:rsid w:val="005864A3"/>
    <w:rsid w:val="005867A7"/>
    <w:rsid w:val="0058680A"/>
    <w:rsid w:val="005868CA"/>
    <w:rsid w:val="005868DF"/>
    <w:rsid w:val="00586A4E"/>
    <w:rsid w:val="00586A86"/>
    <w:rsid w:val="00586B9B"/>
    <w:rsid w:val="00586D3D"/>
    <w:rsid w:val="00586E87"/>
    <w:rsid w:val="00586F0E"/>
    <w:rsid w:val="0058711D"/>
    <w:rsid w:val="005876FA"/>
    <w:rsid w:val="00587780"/>
    <w:rsid w:val="005877AF"/>
    <w:rsid w:val="005877F3"/>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48"/>
    <w:rsid w:val="005919D7"/>
    <w:rsid w:val="00591BAF"/>
    <w:rsid w:val="00591E48"/>
    <w:rsid w:val="00591E7B"/>
    <w:rsid w:val="00592130"/>
    <w:rsid w:val="005921F2"/>
    <w:rsid w:val="005923D2"/>
    <w:rsid w:val="00592535"/>
    <w:rsid w:val="0059272C"/>
    <w:rsid w:val="00592762"/>
    <w:rsid w:val="00592870"/>
    <w:rsid w:val="00592BA3"/>
    <w:rsid w:val="00592D3C"/>
    <w:rsid w:val="00592DAD"/>
    <w:rsid w:val="00592EDC"/>
    <w:rsid w:val="00593125"/>
    <w:rsid w:val="00593248"/>
    <w:rsid w:val="0059328B"/>
    <w:rsid w:val="0059329C"/>
    <w:rsid w:val="0059346B"/>
    <w:rsid w:val="00593672"/>
    <w:rsid w:val="00593BE7"/>
    <w:rsid w:val="00593DD5"/>
    <w:rsid w:val="00593F10"/>
    <w:rsid w:val="00593F1C"/>
    <w:rsid w:val="00593F73"/>
    <w:rsid w:val="00594842"/>
    <w:rsid w:val="00594867"/>
    <w:rsid w:val="00594897"/>
    <w:rsid w:val="005949EB"/>
    <w:rsid w:val="005949F8"/>
    <w:rsid w:val="00594E4C"/>
    <w:rsid w:val="00594F3E"/>
    <w:rsid w:val="005950BA"/>
    <w:rsid w:val="00595191"/>
    <w:rsid w:val="00595380"/>
    <w:rsid w:val="005953EA"/>
    <w:rsid w:val="00595489"/>
    <w:rsid w:val="005954D7"/>
    <w:rsid w:val="00595584"/>
    <w:rsid w:val="005955F2"/>
    <w:rsid w:val="00595648"/>
    <w:rsid w:val="00595780"/>
    <w:rsid w:val="00595785"/>
    <w:rsid w:val="005958EC"/>
    <w:rsid w:val="00595B22"/>
    <w:rsid w:val="00595C6A"/>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58A"/>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974"/>
    <w:rsid w:val="005A0C3E"/>
    <w:rsid w:val="005A0E81"/>
    <w:rsid w:val="005A108F"/>
    <w:rsid w:val="005A11F6"/>
    <w:rsid w:val="005A128D"/>
    <w:rsid w:val="005A136F"/>
    <w:rsid w:val="005A14F7"/>
    <w:rsid w:val="005A15FB"/>
    <w:rsid w:val="005A1B3C"/>
    <w:rsid w:val="005A1BC2"/>
    <w:rsid w:val="005A1BFB"/>
    <w:rsid w:val="005A1E71"/>
    <w:rsid w:val="005A2001"/>
    <w:rsid w:val="005A22D2"/>
    <w:rsid w:val="005A248E"/>
    <w:rsid w:val="005A24F6"/>
    <w:rsid w:val="005A2708"/>
    <w:rsid w:val="005A2796"/>
    <w:rsid w:val="005A2833"/>
    <w:rsid w:val="005A298A"/>
    <w:rsid w:val="005A2A46"/>
    <w:rsid w:val="005A2A74"/>
    <w:rsid w:val="005A2B6F"/>
    <w:rsid w:val="005A2C16"/>
    <w:rsid w:val="005A2CC4"/>
    <w:rsid w:val="005A2D46"/>
    <w:rsid w:val="005A33D7"/>
    <w:rsid w:val="005A3437"/>
    <w:rsid w:val="005A346F"/>
    <w:rsid w:val="005A36CF"/>
    <w:rsid w:val="005A3704"/>
    <w:rsid w:val="005A3837"/>
    <w:rsid w:val="005A3AC1"/>
    <w:rsid w:val="005A3B00"/>
    <w:rsid w:val="005A3C0F"/>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1AD"/>
    <w:rsid w:val="005A5310"/>
    <w:rsid w:val="005A5418"/>
    <w:rsid w:val="005A545A"/>
    <w:rsid w:val="005A561B"/>
    <w:rsid w:val="005A599B"/>
    <w:rsid w:val="005A5B57"/>
    <w:rsid w:val="005A5B75"/>
    <w:rsid w:val="005A5B88"/>
    <w:rsid w:val="005A5F71"/>
    <w:rsid w:val="005A6132"/>
    <w:rsid w:val="005A6252"/>
    <w:rsid w:val="005A6298"/>
    <w:rsid w:val="005A62AA"/>
    <w:rsid w:val="005A6303"/>
    <w:rsid w:val="005A6849"/>
    <w:rsid w:val="005A69B5"/>
    <w:rsid w:val="005A6E2B"/>
    <w:rsid w:val="005A6F32"/>
    <w:rsid w:val="005A743B"/>
    <w:rsid w:val="005A7553"/>
    <w:rsid w:val="005A7666"/>
    <w:rsid w:val="005A780F"/>
    <w:rsid w:val="005A7CA6"/>
    <w:rsid w:val="005A7CF8"/>
    <w:rsid w:val="005A7E4A"/>
    <w:rsid w:val="005A7E8A"/>
    <w:rsid w:val="005A7FEA"/>
    <w:rsid w:val="005B003A"/>
    <w:rsid w:val="005B0120"/>
    <w:rsid w:val="005B026D"/>
    <w:rsid w:val="005B098C"/>
    <w:rsid w:val="005B09E2"/>
    <w:rsid w:val="005B0A80"/>
    <w:rsid w:val="005B10C1"/>
    <w:rsid w:val="005B125D"/>
    <w:rsid w:val="005B1295"/>
    <w:rsid w:val="005B1308"/>
    <w:rsid w:val="005B138D"/>
    <w:rsid w:val="005B143E"/>
    <w:rsid w:val="005B16AC"/>
    <w:rsid w:val="005B1A05"/>
    <w:rsid w:val="005B1B54"/>
    <w:rsid w:val="005B1E1C"/>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4D52"/>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819"/>
    <w:rsid w:val="005B6A8A"/>
    <w:rsid w:val="005B6B0A"/>
    <w:rsid w:val="005B6C72"/>
    <w:rsid w:val="005B6D05"/>
    <w:rsid w:val="005B705C"/>
    <w:rsid w:val="005B72DF"/>
    <w:rsid w:val="005B7395"/>
    <w:rsid w:val="005B7675"/>
    <w:rsid w:val="005B76DD"/>
    <w:rsid w:val="005B7766"/>
    <w:rsid w:val="005B77C1"/>
    <w:rsid w:val="005B7931"/>
    <w:rsid w:val="005B79CC"/>
    <w:rsid w:val="005B7C49"/>
    <w:rsid w:val="005B7DCE"/>
    <w:rsid w:val="005B7FC5"/>
    <w:rsid w:val="005C028D"/>
    <w:rsid w:val="005C06D7"/>
    <w:rsid w:val="005C0B2D"/>
    <w:rsid w:val="005C0BD5"/>
    <w:rsid w:val="005C0BF5"/>
    <w:rsid w:val="005C1019"/>
    <w:rsid w:val="005C104E"/>
    <w:rsid w:val="005C1215"/>
    <w:rsid w:val="005C12A1"/>
    <w:rsid w:val="005C15EC"/>
    <w:rsid w:val="005C1A27"/>
    <w:rsid w:val="005C1AAE"/>
    <w:rsid w:val="005C1B1A"/>
    <w:rsid w:val="005C1C67"/>
    <w:rsid w:val="005C1DB2"/>
    <w:rsid w:val="005C20A6"/>
    <w:rsid w:val="005C20CB"/>
    <w:rsid w:val="005C2848"/>
    <w:rsid w:val="005C2B9F"/>
    <w:rsid w:val="005C2D77"/>
    <w:rsid w:val="005C2DDB"/>
    <w:rsid w:val="005C2EF1"/>
    <w:rsid w:val="005C2F57"/>
    <w:rsid w:val="005C313D"/>
    <w:rsid w:val="005C366A"/>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355"/>
    <w:rsid w:val="005D14D6"/>
    <w:rsid w:val="005D156C"/>
    <w:rsid w:val="005D1BEA"/>
    <w:rsid w:val="005D1C43"/>
    <w:rsid w:val="005D1DCF"/>
    <w:rsid w:val="005D1E54"/>
    <w:rsid w:val="005D223E"/>
    <w:rsid w:val="005D22FB"/>
    <w:rsid w:val="005D2377"/>
    <w:rsid w:val="005D2506"/>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09E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D47"/>
    <w:rsid w:val="005E3DFB"/>
    <w:rsid w:val="005E42A6"/>
    <w:rsid w:val="005E4498"/>
    <w:rsid w:val="005E4557"/>
    <w:rsid w:val="005E4795"/>
    <w:rsid w:val="005E49EB"/>
    <w:rsid w:val="005E4A25"/>
    <w:rsid w:val="005E4C51"/>
    <w:rsid w:val="005E4E61"/>
    <w:rsid w:val="005E51CC"/>
    <w:rsid w:val="005E535D"/>
    <w:rsid w:val="005E5C64"/>
    <w:rsid w:val="005E640C"/>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EE"/>
    <w:rsid w:val="005F2976"/>
    <w:rsid w:val="005F2A9A"/>
    <w:rsid w:val="005F2A9B"/>
    <w:rsid w:val="005F2E12"/>
    <w:rsid w:val="005F2E53"/>
    <w:rsid w:val="005F2E64"/>
    <w:rsid w:val="005F2EE0"/>
    <w:rsid w:val="005F301D"/>
    <w:rsid w:val="005F369D"/>
    <w:rsid w:val="005F36E2"/>
    <w:rsid w:val="005F38CF"/>
    <w:rsid w:val="005F3932"/>
    <w:rsid w:val="005F3977"/>
    <w:rsid w:val="005F3A75"/>
    <w:rsid w:val="005F3B66"/>
    <w:rsid w:val="005F400E"/>
    <w:rsid w:val="005F4098"/>
    <w:rsid w:val="005F4325"/>
    <w:rsid w:val="005F4411"/>
    <w:rsid w:val="005F45DF"/>
    <w:rsid w:val="005F484A"/>
    <w:rsid w:val="005F4AB8"/>
    <w:rsid w:val="005F4C18"/>
    <w:rsid w:val="005F4CA7"/>
    <w:rsid w:val="005F4CC2"/>
    <w:rsid w:val="005F502B"/>
    <w:rsid w:val="005F510A"/>
    <w:rsid w:val="005F5113"/>
    <w:rsid w:val="005F5114"/>
    <w:rsid w:val="005F5206"/>
    <w:rsid w:val="005F527F"/>
    <w:rsid w:val="005F52EF"/>
    <w:rsid w:val="005F5D63"/>
    <w:rsid w:val="005F5DA0"/>
    <w:rsid w:val="005F5FD7"/>
    <w:rsid w:val="005F604F"/>
    <w:rsid w:val="005F608E"/>
    <w:rsid w:val="005F6214"/>
    <w:rsid w:val="005F6245"/>
    <w:rsid w:val="005F62C4"/>
    <w:rsid w:val="005F6439"/>
    <w:rsid w:val="005F66B2"/>
    <w:rsid w:val="005F69E4"/>
    <w:rsid w:val="005F69F5"/>
    <w:rsid w:val="005F6DEC"/>
    <w:rsid w:val="005F6E80"/>
    <w:rsid w:val="005F6EC2"/>
    <w:rsid w:val="005F6EFA"/>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34"/>
    <w:rsid w:val="00600A55"/>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0B6"/>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50"/>
    <w:rsid w:val="00603AB3"/>
    <w:rsid w:val="00603B69"/>
    <w:rsid w:val="00603CC8"/>
    <w:rsid w:val="00603D94"/>
    <w:rsid w:val="00603E04"/>
    <w:rsid w:val="00603E13"/>
    <w:rsid w:val="00603E31"/>
    <w:rsid w:val="0060405A"/>
    <w:rsid w:val="006040D0"/>
    <w:rsid w:val="006040E0"/>
    <w:rsid w:val="00604169"/>
    <w:rsid w:val="0060437E"/>
    <w:rsid w:val="006047F1"/>
    <w:rsid w:val="00604917"/>
    <w:rsid w:val="00604A9D"/>
    <w:rsid w:val="00604E44"/>
    <w:rsid w:val="00604EC5"/>
    <w:rsid w:val="006054E4"/>
    <w:rsid w:val="0060558E"/>
    <w:rsid w:val="00605795"/>
    <w:rsid w:val="006057E3"/>
    <w:rsid w:val="00605880"/>
    <w:rsid w:val="00605A17"/>
    <w:rsid w:val="00605F00"/>
    <w:rsid w:val="00605FA7"/>
    <w:rsid w:val="006062C7"/>
    <w:rsid w:val="00606471"/>
    <w:rsid w:val="00606576"/>
    <w:rsid w:val="0060660F"/>
    <w:rsid w:val="006066A7"/>
    <w:rsid w:val="00606839"/>
    <w:rsid w:val="0060683D"/>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A6"/>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7E0"/>
    <w:rsid w:val="00612C73"/>
    <w:rsid w:val="00612D39"/>
    <w:rsid w:val="00612E57"/>
    <w:rsid w:val="00613092"/>
    <w:rsid w:val="00613245"/>
    <w:rsid w:val="0061354B"/>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5E2F"/>
    <w:rsid w:val="006160BE"/>
    <w:rsid w:val="006162A1"/>
    <w:rsid w:val="006164EF"/>
    <w:rsid w:val="00616A22"/>
    <w:rsid w:val="00616A35"/>
    <w:rsid w:val="00616BE1"/>
    <w:rsid w:val="00616C94"/>
    <w:rsid w:val="00616F95"/>
    <w:rsid w:val="0061701A"/>
    <w:rsid w:val="006170D9"/>
    <w:rsid w:val="006170DF"/>
    <w:rsid w:val="0061747E"/>
    <w:rsid w:val="00617607"/>
    <w:rsid w:val="006177BE"/>
    <w:rsid w:val="006178F3"/>
    <w:rsid w:val="006179D6"/>
    <w:rsid w:val="00617FAE"/>
    <w:rsid w:val="00617FF0"/>
    <w:rsid w:val="00620096"/>
    <w:rsid w:val="0062011D"/>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78B"/>
    <w:rsid w:val="00622972"/>
    <w:rsid w:val="00622B11"/>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3FC7"/>
    <w:rsid w:val="00624053"/>
    <w:rsid w:val="0062412B"/>
    <w:rsid w:val="00624368"/>
    <w:rsid w:val="0062436F"/>
    <w:rsid w:val="0062457C"/>
    <w:rsid w:val="0062474A"/>
    <w:rsid w:val="00624A66"/>
    <w:rsid w:val="00624C15"/>
    <w:rsid w:val="00624D6E"/>
    <w:rsid w:val="0062546C"/>
    <w:rsid w:val="0062547E"/>
    <w:rsid w:val="006254DC"/>
    <w:rsid w:val="006257CB"/>
    <w:rsid w:val="00625887"/>
    <w:rsid w:val="00625991"/>
    <w:rsid w:val="00625A59"/>
    <w:rsid w:val="00625BBE"/>
    <w:rsid w:val="00625DF7"/>
    <w:rsid w:val="00625FCA"/>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78D"/>
    <w:rsid w:val="006279F7"/>
    <w:rsid w:val="00627B00"/>
    <w:rsid w:val="00627DD4"/>
    <w:rsid w:val="00627FAD"/>
    <w:rsid w:val="0063031F"/>
    <w:rsid w:val="00630380"/>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8E"/>
    <w:rsid w:val="00631CAD"/>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A22"/>
    <w:rsid w:val="00634A7F"/>
    <w:rsid w:val="00634AE7"/>
    <w:rsid w:val="00634B73"/>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D4D"/>
    <w:rsid w:val="00636EA0"/>
    <w:rsid w:val="00636F58"/>
    <w:rsid w:val="00636F8C"/>
    <w:rsid w:val="006370B6"/>
    <w:rsid w:val="006371CF"/>
    <w:rsid w:val="0063740C"/>
    <w:rsid w:val="0063742F"/>
    <w:rsid w:val="00637491"/>
    <w:rsid w:val="00637526"/>
    <w:rsid w:val="006377F9"/>
    <w:rsid w:val="006379BA"/>
    <w:rsid w:val="00637A27"/>
    <w:rsid w:val="00637A6E"/>
    <w:rsid w:val="00637D4C"/>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398"/>
    <w:rsid w:val="006424F5"/>
    <w:rsid w:val="006424FE"/>
    <w:rsid w:val="0064253A"/>
    <w:rsid w:val="00642751"/>
    <w:rsid w:val="0064280B"/>
    <w:rsid w:val="00642BE0"/>
    <w:rsid w:val="00642DE3"/>
    <w:rsid w:val="00642ED8"/>
    <w:rsid w:val="00643074"/>
    <w:rsid w:val="006430D4"/>
    <w:rsid w:val="00643267"/>
    <w:rsid w:val="006434B2"/>
    <w:rsid w:val="006434CB"/>
    <w:rsid w:val="0064376D"/>
    <w:rsid w:val="006439EB"/>
    <w:rsid w:val="00643B05"/>
    <w:rsid w:val="00643DBA"/>
    <w:rsid w:val="00643DC0"/>
    <w:rsid w:val="006440C3"/>
    <w:rsid w:val="0064454D"/>
    <w:rsid w:val="00644570"/>
    <w:rsid w:val="00644637"/>
    <w:rsid w:val="00644730"/>
    <w:rsid w:val="00644814"/>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5EC"/>
    <w:rsid w:val="00646861"/>
    <w:rsid w:val="00646932"/>
    <w:rsid w:val="006469BA"/>
    <w:rsid w:val="006469CE"/>
    <w:rsid w:val="00646C11"/>
    <w:rsid w:val="00646C40"/>
    <w:rsid w:val="00646EFD"/>
    <w:rsid w:val="0064711F"/>
    <w:rsid w:val="006471C8"/>
    <w:rsid w:val="00647211"/>
    <w:rsid w:val="006472A1"/>
    <w:rsid w:val="006475AC"/>
    <w:rsid w:val="0064777A"/>
    <w:rsid w:val="0064778B"/>
    <w:rsid w:val="006477B9"/>
    <w:rsid w:val="00647825"/>
    <w:rsid w:val="00647831"/>
    <w:rsid w:val="00647C4E"/>
    <w:rsid w:val="00647E54"/>
    <w:rsid w:val="006501C1"/>
    <w:rsid w:val="006503EB"/>
    <w:rsid w:val="00650656"/>
    <w:rsid w:val="00650666"/>
    <w:rsid w:val="00650691"/>
    <w:rsid w:val="00650A5D"/>
    <w:rsid w:val="00650C39"/>
    <w:rsid w:val="00650C62"/>
    <w:rsid w:val="00650CA9"/>
    <w:rsid w:val="00650CF7"/>
    <w:rsid w:val="0065103A"/>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857"/>
    <w:rsid w:val="006529C3"/>
    <w:rsid w:val="006529F9"/>
    <w:rsid w:val="00652A16"/>
    <w:rsid w:val="00652B6A"/>
    <w:rsid w:val="00652C66"/>
    <w:rsid w:val="00652DC7"/>
    <w:rsid w:val="00652ECB"/>
    <w:rsid w:val="00652F9F"/>
    <w:rsid w:val="006534D7"/>
    <w:rsid w:val="006538B2"/>
    <w:rsid w:val="00653D23"/>
    <w:rsid w:val="00653D33"/>
    <w:rsid w:val="00653D64"/>
    <w:rsid w:val="00654101"/>
    <w:rsid w:val="0065417C"/>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140"/>
    <w:rsid w:val="0065720B"/>
    <w:rsid w:val="006573A3"/>
    <w:rsid w:val="00657513"/>
    <w:rsid w:val="00657833"/>
    <w:rsid w:val="00657916"/>
    <w:rsid w:val="00657A11"/>
    <w:rsid w:val="00657B52"/>
    <w:rsid w:val="00657F4A"/>
    <w:rsid w:val="0066007E"/>
    <w:rsid w:val="006602FF"/>
    <w:rsid w:val="00660607"/>
    <w:rsid w:val="006607DF"/>
    <w:rsid w:val="00660984"/>
    <w:rsid w:val="006610D1"/>
    <w:rsid w:val="00661111"/>
    <w:rsid w:val="00661179"/>
    <w:rsid w:val="0066135C"/>
    <w:rsid w:val="006616E2"/>
    <w:rsid w:val="0066174D"/>
    <w:rsid w:val="0066179A"/>
    <w:rsid w:val="006617C6"/>
    <w:rsid w:val="00661AA4"/>
    <w:rsid w:val="00661BA3"/>
    <w:rsid w:val="00661C2C"/>
    <w:rsid w:val="0066206B"/>
    <w:rsid w:val="00662175"/>
    <w:rsid w:val="00662261"/>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84E"/>
    <w:rsid w:val="00667E19"/>
    <w:rsid w:val="00667E61"/>
    <w:rsid w:val="00667F03"/>
    <w:rsid w:val="0067046F"/>
    <w:rsid w:val="00670471"/>
    <w:rsid w:val="0067071C"/>
    <w:rsid w:val="00670924"/>
    <w:rsid w:val="0067095C"/>
    <w:rsid w:val="00670A6B"/>
    <w:rsid w:val="00670A86"/>
    <w:rsid w:val="00670B43"/>
    <w:rsid w:val="00670DAC"/>
    <w:rsid w:val="0067121F"/>
    <w:rsid w:val="0067130B"/>
    <w:rsid w:val="006715B9"/>
    <w:rsid w:val="00671919"/>
    <w:rsid w:val="00671932"/>
    <w:rsid w:val="00671965"/>
    <w:rsid w:val="00671A1E"/>
    <w:rsid w:val="00671A8B"/>
    <w:rsid w:val="00671A8E"/>
    <w:rsid w:val="00671B68"/>
    <w:rsid w:val="00671BDD"/>
    <w:rsid w:val="00671FA3"/>
    <w:rsid w:val="0067225E"/>
    <w:rsid w:val="00672266"/>
    <w:rsid w:val="00672385"/>
    <w:rsid w:val="0067247A"/>
    <w:rsid w:val="0067275B"/>
    <w:rsid w:val="00672857"/>
    <w:rsid w:val="0067293E"/>
    <w:rsid w:val="0067294D"/>
    <w:rsid w:val="00672BF2"/>
    <w:rsid w:val="0067323F"/>
    <w:rsid w:val="00673269"/>
    <w:rsid w:val="00673872"/>
    <w:rsid w:val="00673B05"/>
    <w:rsid w:val="00673CA5"/>
    <w:rsid w:val="00674068"/>
    <w:rsid w:val="0067414F"/>
    <w:rsid w:val="00674226"/>
    <w:rsid w:val="0067452D"/>
    <w:rsid w:val="006747E9"/>
    <w:rsid w:val="00674CA1"/>
    <w:rsid w:val="00674FDA"/>
    <w:rsid w:val="006750C6"/>
    <w:rsid w:val="0067512E"/>
    <w:rsid w:val="00675136"/>
    <w:rsid w:val="006752E6"/>
    <w:rsid w:val="00675349"/>
    <w:rsid w:val="00675382"/>
    <w:rsid w:val="006753D7"/>
    <w:rsid w:val="00675412"/>
    <w:rsid w:val="0067576E"/>
    <w:rsid w:val="00675800"/>
    <w:rsid w:val="00675902"/>
    <w:rsid w:val="00675CD8"/>
    <w:rsid w:val="00675E98"/>
    <w:rsid w:val="00675EF8"/>
    <w:rsid w:val="00676028"/>
    <w:rsid w:val="0067629B"/>
    <w:rsid w:val="0067650A"/>
    <w:rsid w:val="00676679"/>
    <w:rsid w:val="006775B9"/>
    <w:rsid w:val="0067761F"/>
    <w:rsid w:val="0067765C"/>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355"/>
    <w:rsid w:val="006814B2"/>
    <w:rsid w:val="0068152D"/>
    <w:rsid w:val="006816B2"/>
    <w:rsid w:val="00681835"/>
    <w:rsid w:val="00681847"/>
    <w:rsid w:val="006819B1"/>
    <w:rsid w:val="00681B2D"/>
    <w:rsid w:val="00681C46"/>
    <w:rsid w:val="00681CA5"/>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C8"/>
    <w:rsid w:val="00690FE4"/>
    <w:rsid w:val="00691242"/>
    <w:rsid w:val="0069148E"/>
    <w:rsid w:val="006916A8"/>
    <w:rsid w:val="006916EA"/>
    <w:rsid w:val="006918E3"/>
    <w:rsid w:val="00691BD4"/>
    <w:rsid w:val="00691E60"/>
    <w:rsid w:val="00691E8F"/>
    <w:rsid w:val="00691F06"/>
    <w:rsid w:val="00691F5E"/>
    <w:rsid w:val="00691FF5"/>
    <w:rsid w:val="00692166"/>
    <w:rsid w:val="00692261"/>
    <w:rsid w:val="0069241E"/>
    <w:rsid w:val="0069266D"/>
    <w:rsid w:val="00692760"/>
    <w:rsid w:val="00692C7C"/>
    <w:rsid w:val="00692DA6"/>
    <w:rsid w:val="0069312A"/>
    <w:rsid w:val="0069318F"/>
    <w:rsid w:val="006934A4"/>
    <w:rsid w:val="006935FA"/>
    <w:rsid w:val="00693C7E"/>
    <w:rsid w:val="00693E37"/>
    <w:rsid w:val="00693FAD"/>
    <w:rsid w:val="00693FC1"/>
    <w:rsid w:val="006943A9"/>
    <w:rsid w:val="006944A9"/>
    <w:rsid w:val="00694921"/>
    <w:rsid w:val="00694A3F"/>
    <w:rsid w:val="00694E0E"/>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BC4"/>
    <w:rsid w:val="00696C88"/>
    <w:rsid w:val="00696C8D"/>
    <w:rsid w:val="00696E50"/>
    <w:rsid w:val="00696F23"/>
    <w:rsid w:val="00697269"/>
    <w:rsid w:val="0069755A"/>
    <w:rsid w:val="00697A3C"/>
    <w:rsid w:val="00697A8D"/>
    <w:rsid w:val="00697C91"/>
    <w:rsid w:val="00697CD2"/>
    <w:rsid w:val="006A0017"/>
    <w:rsid w:val="006A01EE"/>
    <w:rsid w:val="006A037C"/>
    <w:rsid w:val="006A0591"/>
    <w:rsid w:val="006A05B1"/>
    <w:rsid w:val="006A05CF"/>
    <w:rsid w:val="006A06B2"/>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31B3"/>
    <w:rsid w:val="006A3261"/>
    <w:rsid w:val="006A3295"/>
    <w:rsid w:val="006A3447"/>
    <w:rsid w:val="006A36BF"/>
    <w:rsid w:val="006A380F"/>
    <w:rsid w:val="006A38E5"/>
    <w:rsid w:val="006A3939"/>
    <w:rsid w:val="006A3C6B"/>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3D"/>
    <w:rsid w:val="006A61B1"/>
    <w:rsid w:val="006A61C8"/>
    <w:rsid w:val="006A6230"/>
    <w:rsid w:val="006A6AA0"/>
    <w:rsid w:val="006A71A3"/>
    <w:rsid w:val="006A7231"/>
    <w:rsid w:val="006A7268"/>
    <w:rsid w:val="006A7470"/>
    <w:rsid w:val="006A7480"/>
    <w:rsid w:val="006A7522"/>
    <w:rsid w:val="006A757A"/>
    <w:rsid w:val="006A7981"/>
    <w:rsid w:val="006A79CD"/>
    <w:rsid w:val="006A7AC9"/>
    <w:rsid w:val="006A7B9F"/>
    <w:rsid w:val="006A7D48"/>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47"/>
    <w:rsid w:val="006B1EA5"/>
    <w:rsid w:val="006B1F62"/>
    <w:rsid w:val="006B1FBC"/>
    <w:rsid w:val="006B1FF5"/>
    <w:rsid w:val="006B2287"/>
    <w:rsid w:val="006B25CF"/>
    <w:rsid w:val="006B2756"/>
    <w:rsid w:val="006B2794"/>
    <w:rsid w:val="006B27AC"/>
    <w:rsid w:val="006B28D3"/>
    <w:rsid w:val="006B29BA"/>
    <w:rsid w:val="006B2AE9"/>
    <w:rsid w:val="006B2CB6"/>
    <w:rsid w:val="006B2CF0"/>
    <w:rsid w:val="006B2CF8"/>
    <w:rsid w:val="006B2F33"/>
    <w:rsid w:val="006B2FA5"/>
    <w:rsid w:val="006B3071"/>
    <w:rsid w:val="006B3380"/>
    <w:rsid w:val="006B346A"/>
    <w:rsid w:val="006B34A8"/>
    <w:rsid w:val="006B350C"/>
    <w:rsid w:val="006B3667"/>
    <w:rsid w:val="006B375C"/>
    <w:rsid w:val="006B3801"/>
    <w:rsid w:val="006B3843"/>
    <w:rsid w:val="006B3863"/>
    <w:rsid w:val="006B3B37"/>
    <w:rsid w:val="006B3B91"/>
    <w:rsid w:val="006B3C2C"/>
    <w:rsid w:val="006B3D7B"/>
    <w:rsid w:val="006B40F1"/>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6C"/>
    <w:rsid w:val="006B56CB"/>
    <w:rsid w:val="006B5937"/>
    <w:rsid w:val="006B5A5A"/>
    <w:rsid w:val="006B5AB9"/>
    <w:rsid w:val="006B5BFD"/>
    <w:rsid w:val="006B5CDC"/>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86"/>
    <w:rsid w:val="006B78B9"/>
    <w:rsid w:val="006B78E8"/>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3C"/>
    <w:rsid w:val="006C1D91"/>
    <w:rsid w:val="006C2213"/>
    <w:rsid w:val="006C224C"/>
    <w:rsid w:val="006C2338"/>
    <w:rsid w:val="006C23CC"/>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2BE"/>
    <w:rsid w:val="006C440F"/>
    <w:rsid w:val="006C4555"/>
    <w:rsid w:val="006C47CB"/>
    <w:rsid w:val="006C48B3"/>
    <w:rsid w:val="006C49B9"/>
    <w:rsid w:val="006C4C7D"/>
    <w:rsid w:val="006C4CDE"/>
    <w:rsid w:val="006C4D0E"/>
    <w:rsid w:val="006C503F"/>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867"/>
    <w:rsid w:val="006D0A69"/>
    <w:rsid w:val="006D0C7F"/>
    <w:rsid w:val="006D0CE6"/>
    <w:rsid w:val="006D10A1"/>
    <w:rsid w:val="006D1280"/>
    <w:rsid w:val="006D133E"/>
    <w:rsid w:val="006D184D"/>
    <w:rsid w:val="006D1885"/>
    <w:rsid w:val="006D1989"/>
    <w:rsid w:val="006D1A5B"/>
    <w:rsid w:val="006D1B17"/>
    <w:rsid w:val="006D1BF7"/>
    <w:rsid w:val="006D1D54"/>
    <w:rsid w:val="006D1E97"/>
    <w:rsid w:val="006D231A"/>
    <w:rsid w:val="006D254E"/>
    <w:rsid w:val="006D25BF"/>
    <w:rsid w:val="006D27F1"/>
    <w:rsid w:val="006D2814"/>
    <w:rsid w:val="006D29D3"/>
    <w:rsid w:val="006D2ACB"/>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2DD"/>
    <w:rsid w:val="006D4342"/>
    <w:rsid w:val="006D471C"/>
    <w:rsid w:val="006D4787"/>
    <w:rsid w:val="006D4C54"/>
    <w:rsid w:val="006D4D88"/>
    <w:rsid w:val="006D4E14"/>
    <w:rsid w:val="006D4F19"/>
    <w:rsid w:val="006D526F"/>
    <w:rsid w:val="006D52AC"/>
    <w:rsid w:val="006D52E0"/>
    <w:rsid w:val="006D531B"/>
    <w:rsid w:val="006D54C3"/>
    <w:rsid w:val="006D5538"/>
    <w:rsid w:val="006D5613"/>
    <w:rsid w:val="006D564C"/>
    <w:rsid w:val="006D5C2D"/>
    <w:rsid w:val="006D5D55"/>
    <w:rsid w:val="006D60CF"/>
    <w:rsid w:val="006D622E"/>
    <w:rsid w:val="006D6542"/>
    <w:rsid w:val="006D6B68"/>
    <w:rsid w:val="006D6D83"/>
    <w:rsid w:val="006D7161"/>
    <w:rsid w:val="006D71CE"/>
    <w:rsid w:val="006D7236"/>
    <w:rsid w:val="006D7750"/>
    <w:rsid w:val="006D793C"/>
    <w:rsid w:val="006D7A47"/>
    <w:rsid w:val="006D7BD1"/>
    <w:rsid w:val="006E0071"/>
    <w:rsid w:val="006E00BF"/>
    <w:rsid w:val="006E018A"/>
    <w:rsid w:val="006E0200"/>
    <w:rsid w:val="006E027F"/>
    <w:rsid w:val="006E04B6"/>
    <w:rsid w:val="006E08E0"/>
    <w:rsid w:val="006E09A1"/>
    <w:rsid w:val="006E0A73"/>
    <w:rsid w:val="006E0C3A"/>
    <w:rsid w:val="006E0E6F"/>
    <w:rsid w:val="006E147B"/>
    <w:rsid w:val="006E14F7"/>
    <w:rsid w:val="006E1717"/>
    <w:rsid w:val="006E17BC"/>
    <w:rsid w:val="006E19FA"/>
    <w:rsid w:val="006E1E78"/>
    <w:rsid w:val="006E1FC4"/>
    <w:rsid w:val="006E2051"/>
    <w:rsid w:val="006E2163"/>
    <w:rsid w:val="006E238B"/>
    <w:rsid w:val="006E249C"/>
    <w:rsid w:val="006E257E"/>
    <w:rsid w:val="006E25DA"/>
    <w:rsid w:val="006E27EB"/>
    <w:rsid w:val="006E2941"/>
    <w:rsid w:val="006E29DF"/>
    <w:rsid w:val="006E2A99"/>
    <w:rsid w:val="006E2C6B"/>
    <w:rsid w:val="006E2D9E"/>
    <w:rsid w:val="006E2E48"/>
    <w:rsid w:val="006E2E73"/>
    <w:rsid w:val="006E2E75"/>
    <w:rsid w:val="006E2ED3"/>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B8A"/>
    <w:rsid w:val="006E4C52"/>
    <w:rsid w:val="006E4D45"/>
    <w:rsid w:val="006E4F1C"/>
    <w:rsid w:val="006E535D"/>
    <w:rsid w:val="006E5386"/>
    <w:rsid w:val="006E551E"/>
    <w:rsid w:val="006E561E"/>
    <w:rsid w:val="006E5670"/>
    <w:rsid w:val="006E5687"/>
    <w:rsid w:val="006E5835"/>
    <w:rsid w:val="006E5B81"/>
    <w:rsid w:val="006E5DAD"/>
    <w:rsid w:val="006E5ED6"/>
    <w:rsid w:val="006E5FF1"/>
    <w:rsid w:val="006E61C3"/>
    <w:rsid w:val="006E62B1"/>
    <w:rsid w:val="006E650F"/>
    <w:rsid w:val="006E6596"/>
    <w:rsid w:val="006E672A"/>
    <w:rsid w:val="006E691F"/>
    <w:rsid w:val="006E6B0F"/>
    <w:rsid w:val="006E6B6F"/>
    <w:rsid w:val="006E6DF5"/>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AD"/>
    <w:rsid w:val="006F06F7"/>
    <w:rsid w:val="006F073A"/>
    <w:rsid w:val="006F0A1D"/>
    <w:rsid w:val="006F0C4F"/>
    <w:rsid w:val="006F0D08"/>
    <w:rsid w:val="006F0D24"/>
    <w:rsid w:val="006F0DF7"/>
    <w:rsid w:val="006F0EB5"/>
    <w:rsid w:val="006F0EDA"/>
    <w:rsid w:val="006F0F53"/>
    <w:rsid w:val="006F1310"/>
    <w:rsid w:val="006F13B9"/>
    <w:rsid w:val="006F1552"/>
    <w:rsid w:val="006F175E"/>
    <w:rsid w:val="006F178E"/>
    <w:rsid w:val="006F1869"/>
    <w:rsid w:val="006F1AEE"/>
    <w:rsid w:val="006F21B4"/>
    <w:rsid w:val="006F2225"/>
    <w:rsid w:val="006F24A1"/>
    <w:rsid w:val="006F2ABE"/>
    <w:rsid w:val="006F2CAF"/>
    <w:rsid w:val="006F2D3D"/>
    <w:rsid w:val="006F30E9"/>
    <w:rsid w:val="006F3112"/>
    <w:rsid w:val="006F3315"/>
    <w:rsid w:val="006F3469"/>
    <w:rsid w:val="006F34DD"/>
    <w:rsid w:val="006F3A5A"/>
    <w:rsid w:val="006F3BB3"/>
    <w:rsid w:val="006F3C67"/>
    <w:rsid w:val="006F3F24"/>
    <w:rsid w:val="006F407C"/>
    <w:rsid w:val="006F4394"/>
    <w:rsid w:val="006F43A9"/>
    <w:rsid w:val="006F4420"/>
    <w:rsid w:val="006F46B1"/>
    <w:rsid w:val="006F4A11"/>
    <w:rsid w:val="006F4CCA"/>
    <w:rsid w:val="006F4E7D"/>
    <w:rsid w:val="006F4E98"/>
    <w:rsid w:val="006F4ED5"/>
    <w:rsid w:val="006F4F58"/>
    <w:rsid w:val="006F4FEC"/>
    <w:rsid w:val="006F50F1"/>
    <w:rsid w:val="006F521D"/>
    <w:rsid w:val="006F5435"/>
    <w:rsid w:val="006F557F"/>
    <w:rsid w:val="006F5804"/>
    <w:rsid w:val="006F58C2"/>
    <w:rsid w:val="006F5AE8"/>
    <w:rsid w:val="006F5B82"/>
    <w:rsid w:val="006F5E2B"/>
    <w:rsid w:val="006F615F"/>
    <w:rsid w:val="006F642A"/>
    <w:rsid w:val="006F64E4"/>
    <w:rsid w:val="006F67B1"/>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AC9"/>
    <w:rsid w:val="00701B2E"/>
    <w:rsid w:val="00701C41"/>
    <w:rsid w:val="00701E5B"/>
    <w:rsid w:val="00701EA5"/>
    <w:rsid w:val="00701F26"/>
    <w:rsid w:val="00701FD1"/>
    <w:rsid w:val="00702101"/>
    <w:rsid w:val="00702122"/>
    <w:rsid w:val="0070212B"/>
    <w:rsid w:val="007021F7"/>
    <w:rsid w:val="007023D1"/>
    <w:rsid w:val="007029E7"/>
    <w:rsid w:val="00702BA5"/>
    <w:rsid w:val="00702F14"/>
    <w:rsid w:val="00703231"/>
    <w:rsid w:val="00703714"/>
    <w:rsid w:val="00703871"/>
    <w:rsid w:val="007038D0"/>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D61"/>
    <w:rsid w:val="00704E7D"/>
    <w:rsid w:val="00704EE8"/>
    <w:rsid w:val="007051DE"/>
    <w:rsid w:val="00705346"/>
    <w:rsid w:val="00705476"/>
    <w:rsid w:val="007056E3"/>
    <w:rsid w:val="007056E8"/>
    <w:rsid w:val="0070574B"/>
    <w:rsid w:val="00705BFE"/>
    <w:rsid w:val="00705C34"/>
    <w:rsid w:val="00705FE8"/>
    <w:rsid w:val="0070601B"/>
    <w:rsid w:val="00706558"/>
    <w:rsid w:val="00706573"/>
    <w:rsid w:val="007065B6"/>
    <w:rsid w:val="00706768"/>
    <w:rsid w:val="00706AB5"/>
    <w:rsid w:val="00706AFE"/>
    <w:rsid w:val="00706B03"/>
    <w:rsid w:val="00706B0B"/>
    <w:rsid w:val="00706DED"/>
    <w:rsid w:val="00706E67"/>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0E8D"/>
    <w:rsid w:val="00711103"/>
    <w:rsid w:val="00711415"/>
    <w:rsid w:val="00711455"/>
    <w:rsid w:val="00711545"/>
    <w:rsid w:val="0071164C"/>
    <w:rsid w:val="0071175A"/>
    <w:rsid w:val="00711871"/>
    <w:rsid w:val="00711B49"/>
    <w:rsid w:val="00711D77"/>
    <w:rsid w:val="007120A6"/>
    <w:rsid w:val="0071229F"/>
    <w:rsid w:val="00712376"/>
    <w:rsid w:val="00712441"/>
    <w:rsid w:val="007124C7"/>
    <w:rsid w:val="00712545"/>
    <w:rsid w:val="007126B6"/>
    <w:rsid w:val="007126BE"/>
    <w:rsid w:val="00712861"/>
    <w:rsid w:val="00712ADE"/>
    <w:rsid w:val="00712BDF"/>
    <w:rsid w:val="00713171"/>
    <w:rsid w:val="00713289"/>
    <w:rsid w:val="007132AD"/>
    <w:rsid w:val="007134E7"/>
    <w:rsid w:val="007134F8"/>
    <w:rsid w:val="0071359E"/>
    <w:rsid w:val="007136B6"/>
    <w:rsid w:val="007136BB"/>
    <w:rsid w:val="007136F4"/>
    <w:rsid w:val="00713A64"/>
    <w:rsid w:val="00713AF2"/>
    <w:rsid w:val="00713B5C"/>
    <w:rsid w:val="00713BE2"/>
    <w:rsid w:val="00713C49"/>
    <w:rsid w:val="00713DA4"/>
    <w:rsid w:val="00713E11"/>
    <w:rsid w:val="00713E84"/>
    <w:rsid w:val="00713F60"/>
    <w:rsid w:val="00713F8A"/>
    <w:rsid w:val="00714510"/>
    <w:rsid w:val="007146D1"/>
    <w:rsid w:val="0071482E"/>
    <w:rsid w:val="00715081"/>
    <w:rsid w:val="007153A7"/>
    <w:rsid w:val="0071545C"/>
    <w:rsid w:val="00715683"/>
    <w:rsid w:val="007158E0"/>
    <w:rsid w:val="0071590F"/>
    <w:rsid w:val="0071592A"/>
    <w:rsid w:val="00715ACB"/>
    <w:rsid w:val="00715C05"/>
    <w:rsid w:val="00715C1B"/>
    <w:rsid w:val="00715C35"/>
    <w:rsid w:val="00715C8B"/>
    <w:rsid w:val="00715C98"/>
    <w:rsid w:val="00715CE6"/>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0C"/>
    <w:rsid w:val="00717446"/>
    <w:rsid w:val="007178C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0E"/>
    <w:rsid w:val="00723AEE"/>
    <w:rsid w:val="00723B53"/>
    <w:rsid w:val="00723C38"/>
    <w:rsid w:val="00723FEA"/>
    <w:rsid w:val="00724315"/>
    <w:rsid w:val="007243E3"/>
    <w:rsid w:val="007244B7"/>
    <w:rsid w:val="00724951"/>
    <w:rsid w:val="007249B7"/>
    <w:rsid w:val="00724AC9"/>
    <w:rsid w:val="00724CA2"/>
    <w:rsid w:val="00724F1C"/>
    <w:rsid w:val="00724F83"/>
    <w:rsid w:val="0072509D"/>
    <w:rsid w:val="0072524B"/>
    <w:rsid w:val="0072530A"/>
    <w:rsid w:val="0072548B"/>
    <w:rsid w:val="00725588"/>
    <w:rsid w:val="00725649"/>
    <w:rsid w:val="0072570E"/>
    <w:rsid w:val="00725722"/>
    <w:rsid w:val="00725B1B"/>
    <w:rsid w:val="00725B5B"/>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D11"/>
    <w:rsid w:val="00730F6E"/>
    <w:rsid w:val="00730FBC"/>
    <w:rsid w:val="0073107B"/>
    <w:rsid w:val="0073118B"/>
    <w:rsid w:val="00731590"/>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305"/>
    <w:rsid w:val="00734440"/>
    <w:rsid w:val="007353B0"/>
    <w:rsid w:val="00735470"/>
    <w:rsid w:val="00735883"/>
    <w:rsid w:val="007358B7"/>
    <w:rsid w:val="007358EA"/>
    <w:rsid w:val="00735917"/>
    <w:rsid w:val="007359AE"/>
    <w:rsid w:val="00735BA9"/>
    <w:rsid w:val="00735BE0"/>
    <w:rsid w:val="007360A5"/>
    <w:rsid w:val="00736160"/>
    <w:rsid w:val="007361D5"/>
    <w:rsid w:val="007364F5"/>
    <w:rsid w:val="00736538"/>
    <w:rsid w:val="007367EC"/>
    <w:rsid w:val="007368FF"/>
    <w:rsid w:val="00736A85"/>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C22"/>
    <w:rsid w:val="00741DAB"/>
    <w:rsid w:val="00742042"/>
    <w:rsid w:val="0074209D"/>
    <w:rsid w:val="00742214"/>
    <w:rsid w:val="0074224A"/>
    <w:rsid w:val="00742268"/>
    <w:rsid w:val="007422DF"/>
    <w:rsid w:val="0074233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75"/>
    <w:rsid w:val="0074398A"/>
    <w:rsid w:val="007439A6"/>
    <w:rsid w:val="00743BEB"/>
    <w:rsid w:val="00743F07"/>
    <w:rsid w:val="00743F2C"/>
    <w:rsid w:val="00743F3D"/>
    <w:rsid w:val="00744040"/>
    <w:rsid w:val="007440D9"/>
    <w:rsid w:val="00744191"/>
    <w:rsid w:val="007441E7"/>
    <w:rsid w:val="007444CF"/>
    <w:rsid w:val="007445E6"/>
    <w:rsid w:val="0074493D"/>
    <w:rsid w:val="00744B62"/>
    <w:rsid w:val="00744CAF"/>
    <w:rsid w:val="00744D7B"/>
    <w:rsid w:val="00744EE0"/>
    <w:rsid w:val="00744F37"/>
    <w:rsid w:val="00745119"/>
    <w:rsid w:val="0074540D"/>
    <w:rsid w:val="00745539"/>
    <w:rsid w:val="00745661"/>
    <w:rsid w:val="00745706"/>
    <w:rsid w:val="0074587C"/>
    <w:rsid w:val="007458DF"/>
    <w:rsid w:val="00745901"/>
    <w:rsid w:val="00745A17"/>
    <w:rsid w:val="00745F7F"/>
    <w:rsid w:val="0074609B"/>
    <w:rsid w:val="00746286"/>
    <w:rsid w:val="00746317"/>
    <w:rsid w:val="00746600"/>
    <w:rsid w:val="0074668A"/>
    <w:rsid w:val="00746A89"/>
    <w:rsid w:val="00746AFD"/>
    <w:rsid w:val="00746B7B"/>
    <w:rsid w:val="00746B83"/>
    <w:rsid w:val="00746CEF"/>
    <w:rsid w:val="00746E33"/>
    <w:rsid w:val="00746E74"/>
    <w:rsid w:val="00746EBD"/>
    <w:rsid w:val="00747182"/>
    <w:rsid w:val="00747326"/>
    <w:rsid w:val="00747528"/>
    <w:rsid w:val="0074752A"/>
    <w:rsid w:val="00747541"/>
    <w:rsid w:val="00747578"/>
    <w:rsid w:val="007476C7"/>
    <w:rsid w:val="0074776B"/>
    <w:rsid w:val="007478B6"/>
    <w:rsid w:val="00747AF8"/>
    <w:rsid w:val="00747C08"/>
    <w:rsid w:val="00747E34"/>
    <w:rsid w:val="00747E97"/>
    <w:rsid w:val="007501C4"/>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B15"/>
    <w:rsid w:val="00752C0B"/>
    <w:rsid w:val="00752C91"/>
    <w:rsid w:val="00752D30"/>
    <w:rsid w:val="00752DFE"/>
    <w:rsid w:val="00752E79"/>
    <w:rsid w:val="00752FB1"/>
    <w:rsid w:val="00753208"/>
    <w:rsid w:val="0075320F"/>
    <w:rsid w:val="00753261"/>
    <w:rsid w:val="00753412"/>
    <w:rsid w:val="0075357E"/>
    <w:rsid w:val="007535AD"/>
    <w:rsid w:val="00753649"/>
    <w:rsid w:val="007536EF"/>
    <w:rsid w:val="00753995"/>
    <w:rsid w:val="00753ABB"/>
    <w:rsid w:val="00753F6C"/>
    <w:rsid w:val="00753F82"/>
    <w:rsid w:val="00753F9D"/>
    <w:rsid w:val="00754001"/>
    <w:rsid w:val="007540B0"/>
    <w:rsid w:val="00754253"/>
    <w:rsid w:val="00754371"/>
    <w:rsid w:val="00754652"/>
    <w:rsid w:val="0075493A"/>
    <w:rsid w:val="00754A76"/>
    <w:rsid w:val="0075501F"/>
    <w:rsid w:val="00755477"/>
    <w:rsid w:val="007554C5"/>
    <w:rsid w:val="00755606"/>
    <w:rsid w:val="00755616"/>
    <w:rsid w:val="00755743"/>
    <w:rsid w:val="007557D7"/>
    <w:rsid w:val="00755857"/>
    <w:rsid w:val="00755989"/>
    <w:rsid w:val="00755AE2"/>
    <w:rsid w:val="00755C98"/>
    <w:rsid w:val="00755D8D"/>
    <w:rsid w:val="00755DB8"/>
    <w:rsid w:val="00755E5B"/>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57C19"/>
    <w:rsid w:val="00760092"/>
    <w:rsid w:val="00760238"/>
    <w:rsid w:val="007604CE"/>
    <w:rsid w:val="007606FB"/>
    <w:rsid w:val="0076083F"/>
    <w:rsid w:val="00760B3D"/>
    <w:rsid w:val="00760BFC"/>
    <w:rsid w:val="00760C07"/>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45"/>
    <w:rsid w:val="007658FC"/>
    <w:rsid w:val="007659B0"/>
    <w:rsid w:val="00765A2E"/>
    <w:rsid w:val="00765DE3"/>
    <w:rsid w:val="00765EF4"/>
    <w:rsid w:val="00765EF5"/>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76F"/>
    <w:rsid w:val="00767B1A"/>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AEE"/>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89"/>
    <w:rsid w:val="00773CEE"/>
    <w:rsid w:val="00773FA7"/>
    <w:rsid w:val="00773FAC"/>
    <w:rsid w:val="007740AA"/>
    <w:rsid w:val="0077446C"/>
    <w:rsid w:val="007745F9"/>
    <w:rsid w:val="00774782"/>
    <w:rsid w:val="00774996"/>
    <w:rsid w:val="00774B09"/>
    <w:rsid w:val="00774BCE"/>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4B"/>
    <w:rsid w:val="00776C7E"/>
    <w:rsid w:val="00776CA6"/>
    <w:rsid w:val="00776D04"/>
    <w:rsid w:val="00776D31"/>
    <w:rsid w:val="007772B0"/>
    <w:rsid w:val="007772D8"/>
    <w:rsid w:val="00777421"/>
    <w:rsid w:val="007774D9"/>
    <w:rsid w:val="007775D5"/>
    <w:rsid w:val="00777784"/>
    <w:rsid w:val="0077797E"/>
    <w:rsid w:val="00777C0B"/>
    <w:rsid w:val="00777D2B"/>
    <w:rsid w:val="00777E1A"/>
    <w:rsid w:val="00777F91"/>
    <w:rsid w:val="00780170"/>
    <w:rsid w:val="00780335"/>
    <w:rsid w:val="0078039D"/>
    <w:rsid w:val="007804A4"/>
    <w:rsid w:val="0078055B"/>
    <w:rsid w:val="0078065C"/>
    <w:rsid w:val="007807A3"/>
    <w:rsid w:val="007809D7"/>
    <w:rsid w:val="00780A69"/>
    <w:rsid w:val="00780B27"/>
    <w:rsid w:val="00780B55"/>
    <w:rsid w:val="00780BDC"/>
    <w:rsid w:val="00780F4E"/>
    <w:rsid w:val="00781060"/>
    <w:rsid w:val="0078110B"/>
    <w:rsid w:val="0078134E"/>
    <w:rsid w:val="00781421"/>
    <w:rsid w:val="0078151A"/>
    <w:rsid w:val="0078170B"/>
    <w:rsid w:val="0078180C"/>
    <w:rsid w:val="00781A5E"/>
    <w:rsid w:val="00781B09"/>
    <w:rsid w:val="00781D34"/>
    <w:rsid w:val="00781E5D"/>
    <w:rsid w:val="00782390"/>
    <w:rsid w:val="00782530"/>
    <w:rsid w:val="0078291B"/>
    <w:rsid w:val="00782BB2"/>
    <w:rsid w:val="00782FD3"/>
    <w:rsid w:val="00783210"/>
    <w:rsid w:val="007832D7"/>
    <w:rsid w:val="007832DB"/>
    <w:rsid w:val="007833C7"/>
    <w:rsid w:val="007838A4"/>
    <w:rsid w:val="0078392E"/>
    <w:rsid w:val="00783969"/>
    <w:rsid w:val="00783A99"/>
    <w:rsid w:val="00783B8F"/>
    <w:rsid w:val="00783C72"/>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782"/>
    <w:rsid w:val="00785ADA"/>
    <w:rsid w:val="00785D6B"/>
    <w:rsid w:val="00785EEF"/>
    <w:rsid w:val="0078623A"/>
    <w:rsid w:val="007863B2"/>
    <w:rsid w:val="00786637"/>
    <w:rsid w:val="0078689A"/>
    <w:rsid w:val="0078694F"/>
    <w:rsid w:val="00786AD7"/>
    <w:rsid w:val="00786AF9"/>
    <w:rsid w:val="00786DDD"/>
    <w:rsid w:val="0078704F"/>
    <w:rsid w:val="007870C0"/>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E24"/>
    <w:rsid w:val="00790E72"/>
    <w:rsid w:val="00790EEC"/>
    <w:rsid w:val="0079127A"/>
    <w:rsid w:val="007915A2"/>
    <w:rsid w:val="00791663"/>
    <w:rsid w:val="00791937"/>
    <w:rsid w:val="00791A2A"/>
    <w:rsid w:val="00791B2F"/>
    <w:rsid w:val="00791BB1"/>
    <w:rsid w:val="00791F33"/>
    <w:rsid w:val="00792054"/>
    <w:rsid w:val="007920C9"/>
    <w:rsid w:val="0079247A"/>
    <w:rsid w:val="007924EC"/>
    <w:rsid w:val="007927F3"/>
    <w:rsid w:val="00792893"/>
    <w:rsid w:val="0079294A"/>
    <w:rsid w:val="00792A48"/>
    <w:rsid w:val="00792F13"/>
    <w:rsid w:val="00792F85"/>
    <w:rsid w:val="00792FD1"/>
    <w:rsid w:val="00793056"/>
    <w:rsid w:val="00793061"/>
    <w:rsid w:val="007930E9"/>
    <w:rsid w:val="0079349F"/>
    <w:rsid w:val="0079363A"/>
    <w:rsid w:val="007939AB"/>
    <w:rsid w:val="00793A59"/>
    <w:rsid w:val="00794610"/>
    <w:rsid w:val="007947A7"/>
    <w:rsid w:val="00794826"/>
    <w:rsid w:val="007949FC"/>
    <w:rsid w:val="00794A0A"/>
    <w:rsid w:val="00794E09"/>
    <w:rsid w:val="00794E19"/>
    <w:rsid w:val="00794E45"/>
    <w:rsid w:val="00794F1D"/>
    <w:rsid w:val="00794FA9"/>
    <w:rsid w:val="00795216"/>
    <w:rsid w:val="0079535C"/>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640"/>
    <w:rsid w:val="007978C2"/>
    <w:rsid w:val="00797D49"/>
    <w:rsid w:val="00797E58"/>
    <w:rsid w:val="00797F4A"/>
    <w:rsid w:val="00797F74"/>
    <w:rsid w:val="00797FC6"/>
    <w:rsid w:val="007A00C0"/>
    <w:rsid w:val="007A01E4"/>
    <w:rsid w:val="007A02E6"/>
    <w:rsid w:val="007A0300"/>
    <w:rsid w:val="007A0BE1"/>
    <w:rsid w:val="007A0D53"/>
    <w:rsid w:val="007A0D9B"/>
    <w:rsid w:val="007A0ED9"/>
    <w:rsid w:val="007A11AA"/>
    <w:rsid w:val="007A1813"/>
    <w:rsid w:val="007A18CE"/>
    <w:rsid w:val="007A196E"/>
    <w:rsid w:val="007A1A6F"/>
    <w:rsid w:val="007A1C42"/>
    <w:rsid w:val="007A1C6F"/>
    <w:rsid w:val="007A1E41"/>
    <w:rsid w:val="007A1EB4"/>
    <w:rsid w:val="007A1F91"/>
    <w:rsid w:val="007A1F9D"/>
    <w:rsid w:val="007A2106"/>
    <w:rsid w:val="007A237C"/>
    <w:rsid w:val="007A2485"/>
    <w:rsid w:val="007A25C9"/>
    <w:rsid w:val="007A269B"/>
    <w:rsid w:val="007A2872"/>
    <w:rsid w:val="007A2B8D"/>
    <w:rsid w:val="007A2CA0"/>
    <w:rsid w:val="007A2CA4"/>
    <w:rsid w:val="007A2CBA"/>
    <w:rsid w:val="007A2D4C"/>
    <w:rsid w:val="007A2F34"/>
    <w:rsid w:val="007A3288"/>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69"/>
    <w:rsid w:val="007A4A74"/>
    <w:rsid w:val="007A4BE1"/>
    <w:rsid w:val="007A4C4E"/>
    <w:rsid w:val="007A4E68"/>
    <w:rsid w:val="007A4F5F"/>
    <w:rsid w:val="007A505F"/>
    <w:rsid w:val="007A50E9"/>
    <w:rsid w:val="007A511B"/>
    <w:rsid w:val="007A5149"/>
    <w:rsid w:val="007A5185"/>
    <w:rsid w:val="007A540D"/>
    <w:rsid w:val="007A5713"/>
    <w:rsid w:val="007A5899"/>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342"/>
    <w:rsid w:val="007B04A9"/>
    <w:rsid w:val="007B08E2"/>
    <w:rsid w:val="007B0AC3"/>
    <w:rsid w:val="007B0B58"/>
    <w:rsid w:val="007B0BD9"/>
    <w:rsid w:val="007B0C5D"/>
    <w:rsid w:val="007B0E6A"/>
    <w:rsid w:val="007B0EBF"/>
    <w:rsid w:val="007B0F82"/>
    <w:rsid w:val="007B10AF"/>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3220"/>
    <w:rsid w:val="007B33DE"/>
    <w:rsid w:val="007B346E"/>
    <w:rsid w:val="007B34E6"/>
    <w:rsid w:val="007B358B"/>
    <w:rsid w:val="007B3630"/>
    <w:rsid w:val="007B366E"/>
    <w:rsid w:val="007B386F"/>
    <w:rsid w:val="007B38B5"/>
    <w:rsid w:val="007B3A6E"/>
    <w:rsid w:val="007B3B02"/>
    <w:rsid w:val="007B3F6D"/>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05"/>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480"/>
    <w:rsid w:val="007C1536"/>
    <w:rsid w:val="007C155D"/>
    <w:rsid w:val="007C1627"/>
    <w:rsid w:val="007C167C"/>
    <w:rsid w:val="007C16C4"/>
    <w:rsid w:val="007C1B25"/>
    <w:rsid w:val="007C1B8B"/>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03"/>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8F1"/>
    <w:rsid w:val="007C4AE9"/>
    <w:rsid w:val="007C4C9D"/>
    <w:rsid w:val="007C4E0D"/>
    <w:rsid w:val="007C4E88"/>
    <w:rsid w:val="007C50C0"/>
    <w:rsid w:val="007C52C7"/>
    <w:rsid w:val="007C5334"/>
    <w:rsid w:val="007C57A9"/>
    <w:rsid w:val="007C5845"/>
    <w:rsid w:val="007C5901"/>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0D5"/>
    <w:rsid w:val="007C718B"/>
    <w:rsid w:val="007C7620"/>
    <w:rsid w:val="007C772F"/>
    <w:rsid w:val="007C7985"/>
    <w:rsid w:val="007C79A4"/>
    <w:rsid w:val="007C79E8"/>
    <w:rsid w:val="007C79F9"/>
    <w:rsid w:val="007C7B7F"/>
    <w:rsid w:val="007C7F2E"/>
    <w:rsid w:val="007D0123"/>
    <w:rsid w:val="007D02E5"/>
    <w:rsid w:val="007D0344"/>
    <w:rsid w:val="007D03A8"/>
    <w:rsid w:val="007D03F3"/>
    <w:rsid w:val="007D05C1"/>
    <w:rsid w:val="007D0A38"/>
    <w:rsid w:val="007D0B1D"/>
    <w:rsid w:val="007D0B5B"/>
    <w:rsid w:val="007D0BC3"/>
    <w:rsid w:val="007D0C98"/>
    <w:rsid w:val="007D0EFC"/>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BC0"/>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07"/>
    <w:rsid w:val="007D6BAF"/>
    <w:rsid w:val="007D6C49"/>
    <w:rsid w:val="007D6CCD"/>
    <w:rsid w:val="007D6D2C"/>
    <w:rsid w:val="007D6E64"/>
    <w:rsid w:val="007D6EE4"/>
    <w:rsid w:val="007D7014"/>
    <w:rsid w:val="007D7A2D"/>
    <w:rsid w:val="007D7B66"/>
    <w:rsid w:val="007D7BF8"/>
    <w:rsid w:val="007D7CA5"/>
    <w:rsid w:val="007D7E5C"/>
    <w:rsid w:val="007D7EEE"/>
    <w:rsid w:val="007E01A5"/>
    <w:rsid w:val="007E02DD"/>
    <w:rsid w:val="007E0390"/>
    <w:rsid w:val="007E092F"/>
    <w:rsid w:val="007E09FB"/>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37"/>
    <w:rsid w:val="007E1E9A"/>
    <w:rsid w:val="007E2057"/>
    <w:rsid w:val="007E2423"/>
    <w:rsid w:val="007E2A9F"/>
    <w:rsid w:val="007E2AB1"/>
    <w:rsid w:val="007E2B2F"/>
    <w:rsid w:val="007E2BE7"/>
    <w:rsid w:val="007E2CD9"/>
    <w:rsid w:val="007E2F59"/>
    <w:rsid w:val="007E2F69"/>
    <w:rsid w:val="007E2FE0"/>
    <w:rsid w:val="007E30D1"/>
    <w:rsid w:val="007E321C"/>
    <w:rsid w:val="007E32AF"/>
    <w:rsid w:val="007E39C5"/>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70D0"/>
    <w:rsid w:val="007E7200"/>
    <w:rsid w:val="007E7448"/>
    <w:rsid w:val="007E74F9"/>
    <w:rsid w:val="007E77B3"/>
    <w:rsid w:val="007E79F0"/>
    <w:rsid w:val="007E7AAC"/>
    <w:rsid w:val="007E7C78"/>
    <w:rsid w:val="007E7E63"/>
    <w:rsid w:val="007F0309"/>
    <w:rsid w:val="007F06E3"/>
    <w:rsid w:val="007F075F"/>
    <w:rsid w:val="007F0797"/>
    <w:rsid w:val="007F0810"/>
    <w:rsid w:val="007F08E5"/>
    <w:rsid w:val="007F08EE"/>
    <w:rsid w:val="007F0A5E"/>
    <w:rsid w:val="007F0F2E"/>
    <w:rsid w:val="007F1036"/>
    <w:rsid w:val="007F12FB"/>
    <w:rsid w:val="007F142C"/>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7B2"/>
    <w:rsid w:val="007F37EC"/>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56F"/>
    <w:rsid w:val="007F466B"/>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16"/>
    <w:rsid w:val="007F6E3D"/>
    <w:rsid w:val="007F6E79"/>
    <w:rsid w:val="007F6EEF"/>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647"/>
    <w:rsid w:val="008007C2"/>
    <w:rsid w:val="00800827"/>
    <w:rsid w:val="008008E6"/>
    <w:rsid w:val="00800922"/>
    <w:rsid w:val="00800968"/>
    <w:rsid w:val="00800985"/>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1CC"/>
    <w:rsid w:val="0080348C"/>
    <w:rsid w:val="008036B2"/>
    <w:rsid w:val="00803A6E"/>
    <w:rsid w:val="00803BF6"/>
    <w:rsid w:val="00803CEA"/>
    <w:rsid w:val="00803DC8"/>
    <w:rsid w:val="00803F38"/>
    <w:rsid w:val="00803F62"/>
    <w:rsid w:val="00804065"/>
    <w:rsid w:val="00804162"/>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52"/>
    <w:rsid w:val="00805BE8"/>
    <w:rsid w:val="00805C71"/>
    <w:rsid w:val="00805CED"/>
    <w:rsid w:val="00805D45"/>
    <w:rsid w:val="00805F53"/>
    <w:rsid w:val="00805FD3"/>
    <w:rsid w:val="00806152"/>
    <w:rsid w:val="0080627B"/>
    <w:rsid w:val="0080679D"/>
    <w:rsid w:val="00806833"/>
    <w:rsid w:val="008068CF"/>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54E"/>
    <w:rsid w:val="00811644"/>
    <w:rsid w:val="008116B5"/>
    <w:rsid w:val="00811976"/>
    <w:rsid w:val="00811AA1"/>
    <w:rsid w:val="00811DE9"/>
    <w:rsid w:val="00811E37"/>
    <w:rsid w:val="0081204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4BE9"/>
    <w:rsid w:val="008152DF"/>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775"/>
    <w:rsid w:val="0082187B"/>
    <w:rsid w:val="00821D81"/>
    <w:rsid w:val="00822211"/>
    <w:rsid w:val="008222AD"/>
    <w:rsid w:val="0082244B"/>
    <w:rsid w:val="0082245E"/>
    <w:rsid w:val="008227ED"/>
    <w:rsid w:val="008228E2"/>
    <w:rsid w:val="008228E3"/>
    <w:rsid w:val="00822A44"/>
    <w:rsid w:val="00822ABF"/>
    <w:rsid w:val="00822B4A"/>
    <w:rsid w:val="00822CCC"/>
    <w:rsid w:val="00822DF0"/>
    <w:rsid w:val="00822E51"/>
    <w:rsid w:val="00823066"/>
    <w:rsid w:val="0082311D"/>
    <w:rsid w:val="0082334C"/>
    <w:rsid w:val="008234E6"/>
    <w:rsid w:val="00823515"/>
    <w:rsid w:val="00823558"/>
    <w:rsid w:val="00823833"/>
    <w:rsid w:val="00823893"/>
    <w:rsid w:val="00823ACB"/>
    <w:rsid w:val="00823DE2"/>
    <w:rsid w:val="0082415A"/>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2E64"/>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89C"/>
    <w:rsid w:val="00835C80"/>
    <w:rsid w:val="00835FC8"/>
    <w:rsid w:val="00835FD2"/>
    <w:rsid w:val="00836021"/>
    <w:rsid w:val="0083603C"/>
    <w:rsid w:val="00836157"/>
    <w:rsid w:val="0083617F"/>
    <w:rsid w:val="00836200"/>
    <w:rsid w:val="0083644B"/>
    <w:rsid w:val="00836976"/>
    <w:rsid w:val="00836AF7"/>
    <w:rsid w:val="00836E46"/>
    <w:rsid w:val="00836E75"/>
    <w:rsid w:val="00837002"/>
    <w:rsid w:val="0083707D"/>
    <w:rsid w:val="008370C3"/>
    <w:rsid w:val="00837154"/>
    <w:rsid w:val="00837247"/>
    <w:rsid w:val="008372F0"/>
    <w:rsid w:val="0083730E"/>
    <w:rsid w:val="0083745E"/>
    <w:rsid w:val="00837571"/>
    <w:rsid w:val="008375AE"/>
    <w:rsid w:val="00837796"/>
    <w:rsid w:val="00837BF2"/>
    <w:rsid w:val="00837F8C"/>
    <w:rsid w:val="00840004"/>
    <w:rsid w:val="00840063"/>
    <w:rsid w:val="008402F3"/>
    <w:rsid w:val="008404FC"/>
    <w:rsid w:val="00840517"/>
    <w:rsid w:val="008406B6"/>
    <w:rsid w:val="0084072C"/>
    <w:rsid w:val="00840866"/>
    <w:rsid w:val="008409A5"/>
    <w:rsid w:val="00840B5E"/>
    <w:rsid w:val="00840BCC"/>
    <w:rsid w:val="00840E0E"/>
    <w:rsid w:val="00840F58"/>
    <w:rsid w:val="00840FFB"/>
    <w:rsid w:val="0084121D"/>
    <w:rsid w:val="008412BD"/>
    <w:rsid w:val="00841314"/>
    <w:rsid w:val="00841987"/>
    <w:rsid w:val="00841B6B"/>
    <w:rsid w:val="00841C5D"/>
    <w:rsid w:val="00841D09"/>
    <w:rsid w:val="00842300"/>
    <w:rsid w:val="0084230A"/>
    <w:rsid w:val="008423FF"/>
    <w:rsid w:val="0084247A"/>
    <w:rsid w:val="008425A0"/>
    <w:rsid w:val="0084277D"/>
    <w:rsid w:val="0084289D"/>
    <w:rsid w:val="008429DF"/>
    <w:rsid w:val="00842D6B"/>
    <w:rsid w:val="00842E32"/>
    <w:rsid w:val="00842FCB"/>
    <w:rsid w:val="00843075"/>
    <w:rsid w:val="0084311B"/>
    <w:rsid w:val="00843A1E"/>
    <w:rsid w:val="00843B8E"/>
    <w:rsid w:val="00843D2B"/>
    <w:rsid w:val="00843DC3"/>
    <w:rsid w:val="008440AE"/>
    <w:rsid w:val="008440CB"/>
    <w:rsid w:val="008442D7"/>
    <w:rsid w:val="008442E7"/>
    <w:rsid w:val="008445A7"/>
    <w:rsid w:val="00844645"/>
    <w:rsid w:val="008447E9"/>
    <w:rsid w:val="00844CFF"/>
    <w:rsid w:val="00845057"/>
    <w:rsid w:val="0084520C"/>
    <w:rsid w:val="0084525A"/>
    <w:rsid w:val="008452B2"/>
    <w:rsid w:val="0084556B"/>
    <w:rsid w:val="00845743"/>
    <w:rsid w:val="008457B7"/>
    <w:rsid w:val="00845892"/>
    <w:rsid w:val="00845BEE"/>
    <w:rsid w:val="00845EA6"/>
    <w:rsid w:val="00845F02"/>
    <w:rsid w:val="00845FCA"/>
    <w:rsid w:val="00846039"/>
    <w:rsid w:val="008460C8"/>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36"/>
    <w:rsid w:val="00851079"/>
    <w:rsid w:val="008510A3"/>
    <w:rsid w:val="008512B9"/>
    <w:rsid w:val="00851830"/>
    <w:rsid w:val="008518C8"/>
    <w:rsid w:val="008519CE"/>
    <w:rsid w:val="00851AAC"/>
    <w:rsid w:val="00851B04"/>
    <w:rsid w:val="00851BA8"/>
    <w:rsid w:val="00851CE0"/>
    <w:rsid w:val="00851EBD"/>
    <w:rsid w:val="00851F11"/>
    <w:rsid w:val="00851FA5"/>
    <w:rsid w:val="008520D7"/>
    <w:rsid w:val="0085214C"/>
    <w:rsid w:val="008521F1"/>
    <w:rsid w:val="00852248"/>
    <w:rsid w:val="00852360"/>
    <w:rsid w:val="00852393"/>
    <w:rsid w:val="008523E8"/>
    <w:rsid w:val="00852486"/>
    <w:rsid w:val="008525A5"/>
    <w:rsid w:val="00852778"/>
    <w:rsid w:val="0085279D"/>
    <w:rsid w:val="008528F4"/>
    <w:rsid w:val="0085291E"/>
    <w:rsid w:val="008529C0"/>
    <w:rsid w:val="00852AA4"/>
    <w:rsid w:val="00852C5D"/>
    <w:rsid w:val="00852CBA"/>
    <w:rsid w:val="00853018"/>
    <w:rsid w:val="00853239"/>
    <w:rsid w:val="00853331"/>
    <w:rsid w:val="00853888"/>
    <w:rsid w:val="008538E5"/>
    <w:rsid w:val="008539C6"/>
    <w:rsid w:val="00853E39"/>
    <w:rsid w:val="00853E6F"/>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2A5"/>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06"/>
    <w:rsid w:val="00861253"/>
    <w:rsid w:val="008612C1"/>
    <w:rsid w:val="008613B1"/>
    <w:rsid w:val="0086145C"/>
    <w:rsid w:val="0086167C"/>
    <w:rsid w:val="008616B9"/>
    <w:rsid w:val="00861803"/>
    <w:rsid w:val="00861854"/>
    <w:rsid w:val="00861ACB"/>
    <w:rsid w:val="00862181"/>
    <w:rsid w:val="008621B1"/>
    <w:rsid w:val="008622F6"/>
    <w:rsid w:val="00862718"/>
    <w:rsid w:val="008627BA"/>
    <w:rsid w:val="008627C3"/>
    <w:rsid w:val="00862B58"/>
    <w:rsid w:val="00862E60"/>
    <w:rsid w:val="00862EED"/>
    <w:rsid w:val="00863010"/>
    <w:rsid w:val="0086338D"/>
    <w:rsid w:val="0086350E"/>
    <w:rsid w:val="00863536"/>
    <w:rsid w:val="00863639"/>
    <w:rsid w:val="0086378C"/>
    <w:rsid w:val="00863A85"/>
    <w:rsid w:val="00863E9B"/>
    <w:rsid w:val="008640DE"/>
    <w:rsid w:val="008643D2"/>
    <w:rsid w:val="00864780"/>
    <w:rsid w:val="008649FE"/>
    <w:rsid w:val="00864A51"/>
    <w:rsid w:val="00864A58"/>
    <w:rsid w:val="00864A92"/>
    <w:rsid w:val="00864E5A"/>
    <w:rsid w:val="00864FB6"/>
    <w:rsid w:val="00865080"/>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4A0"/>
    <w:rsid w:val="00870C64"/>
    <w:rsid w:val="00870F57"/>
    <w:rsid w:val="00871181"/>
    <w:rsid w:val="00871420"/>
    <w:rsid w:val="00871429"/>
    <w:rsid w:val="008714CB"/>
    <w:rsid w:val="00871B95"/>
    <w:rsid w:val="00871CED"/>
    <w:rsid w:val="00871F97"/>
    <w:rsid w:val="00872058"/>
    <w:rsid w:val="008722A6"/>
    <w:rsid w:val="00872323"/>
    <w:rsid w:val="00872A42"/>
    <w:rsid w:val="00872B99"/>
    <w:rsid w:val="00872D8F"/>
    <w:rsid w:val="00873484"/>
    <w:rsid w:val="008734AB"/>
    <w:rsid w:val="00873594"/>
    <w:rsid w:val="008735FD"/>
    <w:rsid w:val="0087367F"/>
    <w:rsid w:val="00873812"/>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4D"/>
    <w:rsid w:val="008770D8"/>
    <w:rsid w:val="008770E1"/>
    <w:rsid w:val="00877173"/>
    <w:rsid w:val="008775AA"/>
    <w:rsid w:val="00877A80"/>
    <w:rsid w:val="00877B0C"/>
    <w:rsid w:val="00877BE8"/>
    <w:rsid w:val="00877DB8"/>
    <w:rsid w:val="00877E30"/>
    <w:rsid w:val="008800FC"/>
    <w:rsid w:val="008803B0"/>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B1F"/>
    <w:rsid w:val="00884C06"/>
    <w:rsid w:val="00884C15"/>
    <w:rsid w:val="00884D2C"/>
    <w:rsid w:val="00884E78"/>
    <w:rsid w:val="00885264"/>
    <w:rsid w:val="00885369"/>
    <w:rsid w:val="008853F3"/>
    <w:rsid w:val="008855E9"/>
    <w:rsid w:val="00885632"/>
    <w:rsid w:val="008856D0"/>
    <w:rsid w:val="008856EF"/>
    <w:rsid w:val="008859B7"/>
    <w:rsid w:val="00885A89"/>
    <w:rsid w:val="00886252"/>
    <w:rsid w:val="008862EB"/>
    <w:rsid w:val="0088654B"/>
    <w:rsid w:val="00886596"/>
    <w:rsid w:val="0088682E"/>
    <w:rsid w:val="00886B67"/>
    <w:rsid w:val="00886C80"/>
    <w:rsid w:val="00886CBF"/>
    <w:rsid w:val="00886DE2"/>
    <w:rsid w:val="00886DFC"/>
    <w:rsid w:val="00887025"/>
    <w:rsid w:val="0088709D"/>
    <w:rsid w:val="008873FD"/>
    <w:rsid w:val="00887641"/>
    <w:rsid w:val="00887703"/>
    <w:rsid w:val="00887ADE"/>
    <w:rsid w:val="00887B30"/>
    <w:rsid w:val="00887D30"/>
    <w:rsid w:val="00887DE6"/>
    <w:rsid w:val="008900C2"/>
    <w:rsid w:val="00890435"/>
    <w:rsid w:val="0089055F"/>
    <w:rsid w:val="0089061F"/>
    <w:rsid w:val="008907DB"/>
    <w:rsid w:val="00890836"/>
    <w:rsid w:val="00890875"/>
    <w:rsid w:val="008908D6"/>
    <w:rsid w:val="00890A48"/>
    <w:rsid w:val="00890AE8"/>
    <w:rsid w:val="00890B14"/>
    <w:rsid w:val="00890B90"/>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56"/>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B5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6DD7"/>
    <w:rsid w:val="008970CF"/>
    <w:rsid w:val="008973D1"/>
    <w:rsid w:val="008976E6"/>
    <w:rsid w:val="0089788B"/>
    <w:rsid w:val="008979C6"/>
    <w:rsid w:val="00897BA9"/>
    <w:rsid w:val="00897BBF"/>
    <w:rsid w:val="00897CB8"/>
    <w:rsid w:val="00897F76"/>
    <w:rsid w:val="00897FC5"/>
    <w:rsid w:val="008A0052"/>
    <w:rsid w:val="008A0094"/>
    <w:rsid w:val="008A0395"/>
    <w:rsid w:val="008A056D"/>
    <w:rsid w:val="008A0637"/>
    <w:rsid w:val="008A066A"/>
    <w:rsid w:val="008A0A6D"/>
    <w:rsid w:val="008A0C4D"/>
    <w:rsid w:val="008A0CA8"/>
    <w:rsid w:val="008A0E24"/>
    <w:rsid w:val="008A1131"/>
    <w:rsid w:val="008A1372"/>
    <w:rsid w:val="008A1AC3"/>
    <w:rsid w:val="008A1BE0"/>
    <w:rsid w:val="008A1BF5"/>
    <w:rsid w:val="008A2131"/>
    <w:rsid w:val="008A261D"/>
    <w:rsid w:val="008A2687"/>
    <w:rsid w:val="008A26F6"/>
    <w:rsid w:val="008A2851"/>
    <w:rsid w:val="008A2ACC"/>
    <w:rsid w:val="008A2B84"/>
    <w:rsid w:val="008A2DBE"/>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C5"/>
    <w:rsid w:val="008A70D9"/>
    <w:rsid w:val="008A71FC"/>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513"/>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037"/>
    <w:rsid w:val="008B4227"/>
    <w:rsid w:val="008B44C7"/>
    <w:rsid w:val="008B44D3"/>
    <w:rsid w:val="008B4564"/>
    <w:rsid w:val="008B467D"/>
    <w:rsid w:val="008B4697"/>
    <w:rsid w:val="008B47C5"/>
    <w:rsid w:val="008B489D"/>
    <w:rsid w:val="008B4983"/>
    <w:rsid w:val="008B4A9D"/>
    <w:rsid w:val="008B4B4F"/>
    <w:rsid w:val="008B4C22"/>
    <w:rsid w:val="008B4CF7"/>
    <w:rsid w:val="008B4E33"/>
    <w:rsid w:val="008B502D"/>
    <w:rsid w:val="008B508B"/>
    <w:rsid w:val="008B50D3"/>
    <w:rsid w:val="008B528C"/>
    <w:rsid w:val="008B5378"/>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2F3"/>
    <w:rsid w:val="008B755F"/>
    <w:rsid w:val="008B762B"/>
    <w:rsid w:val="008B7A53"/>
    <w:rsid w:val="008B7AAC"/>
    <w:rsid w:val="008B7D4E"/>
    <w:rsid w:val="008C00F7"/>
    <w:rsid w:val="008C022B"/>
    <w:rsid w:val="008C049B"/>
    <w:rsid w:val="008C04C4"/>
    <w:rsid w:val="008C060C"/>
    <w:rsid w:val="008C09A6"/>
    <w:rsid w:val="008C0AEC"/>
    <w:rsid w:val="008C0F26"/>
    <w:rsid w:val="008C100F"/>
    <w:rsid w:val="008C10D2"/>
    <w:rsid w:val="008C10E1"/>
    <w:rsid w:val="008C1297"/>
    <w:rsid w:val="008C1353"/>
    <w:rsid w:val="008C15C7"/>
    <w:rsid w:val="008C16BC"/>
    <w:rsid w:val="008C17D7"/>
    <w:rsid w:val="008C187A"/>
    <w:rsid w:val="008C19ED"/>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514"/>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1"/>
    <w:rsid w:val="008C5D57"/>
    <w:rsid w:val="008C5E53"/>
    <w:rsid w:val="008C5ECA"/>
    <w:rsid w:val="008C5F18"/>
    <w:rsid w:val="008C6052"/>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45A"/>
    <w:rsid w:val="008D0673"/>
    <w:rsid w:val="008D06A1"/>
    <w:rsid w:val="008D0970"/>
    <w:rsid w:val="008D0BF6"/>
    <w:rsid w:val="008D0F7E"/>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92"/>
    <w:rsid w:val="008D23DC"/>
    <w:rsid w:val="008D24C4"/>
    <w:rsid w:val="008D260A"/>
    <w:rsid w:val="008D268F"/>
    <w:rsid w:val="008D26AB"/>
    <w:rsid w:val="008D270C"/>
    <w:rsid w:val="008D2806"/>
    <w:rsid w:val="008D28AD"/>
    <w:rsid w:val="008D2B34"/>
    <w:rsid w:val="008D2E0B"/>
    <w:rsid w:val="008D2EBE"/>
    <w:rsid w:val="008D31F6"/>
    <w:rsid w:val="008D3218"/>
    <w:rsid w:val="008D3424"/>
    <w:rsid w:val="008D344C"/>
    <w:rsid w:val="008D34B2"/>
    <w:rsid w:val="008D3747"/>
    <w:rsid w:val="008D39BA"/>
    <w:rsid w:val="008D39C6"/>
    <w:rsid w:val="008D3AC1"/>
    <w:rsid w:val="008D3D6D"/>
    <w:rsid w:val="008D3FA1"/>
    <w:rsid w:val="008D3FDA"/>
    <w:rsid w:val="008D44F8"/>
    <w:rsid w:val="008D482B"/>
    <w:rsid w:val="008D4A3C"/>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E02"/>
    <w:rsid w:val="008D7E76"/>
    <w:rsid w:val="008D7EC6"/>
    <w:rsid w:val="008D7F3A"/>
    <w:rsid w:val="008D7F7A"/>
    <w:rsid w:val="008E0233"/>
    <w:rsid w:val="008E0377"/>
    <w:rsid w:val="008E045F"/>
    <w:rsid w:val="008E047C"/>
    <w:rsid w:val="008E0564"/>
    <w:rsid w:val="008E062A"/>
    <w:rsid w:val="008E082C"/>
    <w:rsid w:val="008E0912"/>
    <w:rsid w:val="008E0A9C"/>
    <w:rsid w:val="008E0AC3"/>
    <w:rsid w:val="008E0F8C"/>
    <w:rsid w:val="008E10C4"/>
    <w:rsid w:val="008E11A4"/>
    <w:rsid w:val="008E1353"/>
    <w:rsid w:val="008E18D0"/>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1E4"/>
    <w:rsid w:val="008E32A5"/>
    <w:rsid w:val="008E331A"/>
    <w:rsid w:val="008E34AE"/>
    <w:rsid w:val="008E3608"/>
    <w:rsid w:val="008E36C0"/>
    <w:rsid w:val="008E3900"/>
    <w:rsid w:val="008E39FE"/>
    <w:rsid w:val="008E3DB7"/>
    <w:rsid w:val="008E3F06"/>
    <w:rsid w:val="008E40CD"/>
    <w:rsid w:val="008E41A1"/>
    <w:rsid w:val="008E41B8"/>
    <w:rsid w:val="008E4224"/>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101"/>
    <w:rsid w:val="008E550E"/>
    <w:rsid w:val="008E562E"/>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D71"/>
    <w:rsid w:val="008F20B8"/>
    <w:rsid w:val="008F2424"/>
    <w:rsid w:val="008F2523"/>
    <w:rsid w:val="008F2566"/>
    <w:rsid w:val="008F2700"/>
    <w:rsid w:val="008F28CC"/>
    <w:rsid w:val="008F2968"/>
    <w:rsid w:val="008F2ACB"/>
    <w:rsid w:val="008F2C61"/>
    <w:rsid w:val="008F2E0C"/>
    <w:rsid w:val="008F2F12"/>
    <w:rsid w:val="008F310F"/>
    <w:rsid w:val="008F3353"/>
    <w:rsid w:val="008F36F7"/>
    <w:rsid w:val="008F3708"/>
    <w:rsid w:val="008F3829"/>
    <w:rsid w:val="008F39F3"/>
    <w:rsid w:val="008F3B4D"/>
    <w:rsid w:val="008F3C32"/>
    <w:rsid w:val="008F3CE9"/>
    <w:rsid w:val="008F3E17"/>
    <w:rsid w:val="008F3F86"/>
    <w:rsid w:val="008F4202"/>
    <w:rsid w:val="008F433E"/>
    <w:rsid w:val="008F4373"/>
    <w:rsid w:val="008F43FC"/>
    <w:rsid w:val="008F46DE"/>
    <w:rsid w:val="008F47E3"/>
    <w:rsid w:val="008F48C6"/>
    <w:rsid w:val="008F4B15"/>
    <w:rsid w:val="008F4C90"/>
    <w:rsid w:val="008F4D49"/>
    <w:rsid w:val="008F4D4D"/>
    <w:rsid w:val="008F4E3B"/>
    <w:rsid w:val="008F4E55"/>
    <w:rsid w:val="008F4F3A"/>
    <w:rsid w:val="008F54CF"/>
    <w:rsid w:val="008F55BB"/>
    <w:rsid w:val="008F56A4"/>
    <w:rsid w:val="008F5704"/>
    <w:rsid w:val="008F5726"/>
    <w:rsid w:val="008F575F"/>
    <w:rsid w:val="008F6173"/>
    <w:rsid w:val="008F622A"/>
    <w:rsid w:val="008F63C2"/>
    <w:rsid w:val="008F650D"/>
    <w:rsid w:val="008F65C1"/>
    <w:rsid w:val="008F66B9"/>
    <w:rsid w:val="008F66EC"/>
    <w:rsid w:val="008F6D51"/>
    <w:rsid w:val="008F6F05"/>
    <w:rsid w:val="008F6FA5"/>
    <w:rsid w:val="008F727C"/>
    <w:rsid w:val="008F75D4"/>
    <w:rsid w:val="008F773B"/>
    <w:rsid w:val="008F7841"/>
    <w:rsid w:val="008F7989"/>
    <w:rsid w:val="008F7B2E"/>
    <w:rsid w:val="008F7DC3"/>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16B"/>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06"/>
    <w:rsid w:val="009038A0"/>
    <w:rsid w:val="00903A14"/>
    <w:rsid w:val="00903A2E"/>
    <w:rsid w:val="00903A68"/>
    <w:rsid w:val="00903D5C"/>
    <w:rsid w:val="00903F45"/>
    <w:rsid w:val="00903FF4"/>
    <w:rsid w:val="0090436E"/>
    <w:rsid w:val="009043D3"/>
    <w:rsid w:val="0090452D"/>
    <w:rsid w:val="00904625"/>
    <w:rsid w:val="00904659"/>
    <w:rsid w:val="00904794"/>
    <w:rsid w:val="009047B3"/>
    <w:rsid w:val="00904A34"/>
    <w:rsid w:val="00904A42"/>
    <w:rsid w:val="00904B64"/>
    <w:rsid w:val="00904D3F"/>
    <w:rsid w:val="00904EEB"/>
    <w:rsid w:val="00904EF0"/>
    <w:rsid w:val="0090504B"/>
    <w:rsid w:val="009054EA"/>
    <w:rsid w:val="00905559"/>
    <w:rsid w:val="009055F2"/>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F03"/>
    <w:rsid w:val="0091007E"/>
    <w:rsid w:val="009103DF"/>
    <w:rsid w:val="00910784"/>
    <w:rsid w:val="00910F88"/>
    <w:rsid w:val="00911419"/>
    <w:rsid w:val="00911421"/>
    <w:rsid w:val="009115F8"/>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7C1"/>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4A"/>
    <w:rsid w:val="00915EBC"/>
    <w:rsid w:val="009160CB"/>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4DD"/>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B5"/>
    <w:rsid w:val="009221F6"/>
    <w:rsid w:val="00922260"/>
    <w:rsid w:val="00922270"/>
    <w:rsid w:val="009222A1"/>
    <w:rsid w:val="0092256E"/>
    <w:rsid w:val="00922662"/>
    <w:rsid w:val="00922751"/>
    <w:rsid w:val="00922829"/>
    <w:rsid w:val="00922836"/>
    <w:rsid w:val="00922D18"/>
    <w:rsid w:val="00922D50"/>
    <w:rsid w:val="00922D98"/>
    <w:rsid w:val="00922E2D"/>
    <w:rsid w:val="00922FB3"/>
    <w:rsid w:val="00923081"/>
    <w:rsid w:val="00923379"/>
    <w:rsid w:val="009234C8"/>
    <w:rsid w:val="00923983"/>
    <w:rsid w:val="009239C1"/>
    <w:rsid w:val="00923A54"/>
    <w:rsid w:val="00923ACD"/>
    <w:rsid w:val="00923B6E"/>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27"/>
    <w:rsid w:val="00930395"/>
    <w:rsid w:val="0093052A"/>
    <w:rsid w:val="009305DA"/>
    <w:rsid w:val="00930834"/>
    <w:rsid w:val="00930849"/>
    <w:rsid w:val="00930925"/>
    <w:rsid w:val="00930F8F"/>
    <w:rsid w:val="00931024"/>
    <w:rsid w:val="009314B2"/>
    <w:rsid w:val="00931CED"/>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9E7"/>
    <w:rsid w:val="00933C83"/>
    <w:rsid w:val="00933EF3"/>
    <w:rsid w:val="00934188"/>
    <w:rsid w:val="009344AF"/>
    <w:rsid w:val="00934550"/>
    <w:rsid w:val="00934864"/>
    <w:rsid w:val="009348DD"/>
    <w:rsid w:val="0093499E"/>
    <w:rsid w:val="009349FD"/>
    <w:rsid w:val="00934BC3"/>
    <w:rsid w:val="00934DFB"/>
    <w:rsid w:val="009351BD"/>
    <w:rsid w:val="009354B3"/>
    <w:rsid w:val="009354FD"/>
    <w:rsid w:val="00935547"/>
    <w:rsid w:val="00935685"/>
    <w:rsid w:val="009357BE"/>
    <w:rsid w:val="0093593B"/>
    <w:rsid w:val="00935A2E"/>
    <w:rsid w:val="00935A59"/>
    <w:rsid w:val="00935F93"/>
    <w:rsid w:val="00935FD1"/>
    <w:rsid w:val="0093600A"/>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3"/>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EF6"/>
    <w:rsid w:val="00944F28"/>
    <w:rsid w:val="00945070"/>
    <w:rsid w:val="0094560D"/>
    <w:rsid w:val="0094592B"/>
    <w:rsid w:val="00945B0D"/>
    <w:rsid w:val="009462F2"/>
    <w:rsid w:val="00946340"/>
    <w:rsid w:val="009464D8"/>
    <w:rsid w:val="009465B2"/>
    <w:rsid w:val="00946692"/>
    <w:rsid w:val="00946780"/>
    <w:rsid w:val="009468A4"/>
    <w:rsid w:val="009468B0"/>
    <w:rsid w:val="00946905"/>
    <w:rsid w:val="00946AAB"/>
    <w:rsid w:val="00946DF4"/>
    <w:rsid w:val="0094706D"/>
    <w:rsid w:val="009472D5"/>
    <w:rsid w:val="009472DD"/>
    <w:rsid w:val="0094736A"/>
    <w:rsid w:val="009475DD"/>
    <w:rsid w:val="0094760E"/>
    <w:rsid w:val="0094778E"/>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390"/>
    <w:rsid w:val="00952492"/>
    <w:rsid w:val="00952631"/>
    <w:rsid w:val="0095274C"/>
    <w:rsid w:val="009528BA"/>
    <w:rsid w:val="00952A9C"/>
    <w:rsid w:val="00952BE2"/>
    <w:rsid w:val="00952D1C"/>
    <w:rsid w:val="00952D2C"/>
    <w:rsid w:val="00952ED4"/>
    <w:rsid w:val="00953108"/>
    <w:rsid w:val="00953173"/>
    <w:rsid w:val="00953450"/>
    <w:rsid w:val="009539D3"/>
    <w:rsid w:val="00953B74"/>
    <w:rsid w:val="00953CD7"/>
    <w:rsid w:val="00953D20"/>
    <w:rsid w:val="00953D90"/>
    <w:rsid w:val="0095402B"/>
    <w:rsid w:val="0095419E"/>
    <w:rsid w:val="009542C8"/>
    <w:rsid w:val="0095439C"/>
    <w:rsid w:val="009543D2"/>
    <w:rsid w:val="009543E7"/>
    <w:rsid w:val="0095445E"/>
    <w:rsid w:val="009546FD"/>
    <w:rsid w:val="0095474F"/>
    <w:rsid w:val="00954977"/>
    <w:rsid w:val="00954B99"/>
    <w:rsid w:val="00954D0F"/>
    <w:rsid w:val="00954D55"/>
    <w:rsid w:val="00954DD8"/>
    <w:rsid w:val="00954E75"/>
    <w:rsid w:val="00954EBB"/>
    <w:rsid w:val="00954EED"/>
    <w:rsid w:val="009550CC"/>
    <w:rsid w:val="00955147"/>
    <w:rsid w:val="0095521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0B5"/>
    <w:rsid w:val="00956190"/>
    <w:rsid w:val="009561C7"/>
    <w:rsid w:val="009562C0"/>
    <w:rsid w:val="00956526"/>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7FC"/>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08A"/>
    <w:rsid w:val="00964267"/>
    <w:rsid w:val="0096430A"/>
    <w:rsid w:val="0096431E"/>
    <w:rsid w:val="009643E7"/>
    <w:rsid w:val="009645D2"/>
    <w:rsid w:val="0096464F"/>
    <w:rsid w:val="009647C8"/>
    <w:rsid w:val="0096496F"/>
    <w:rsid w:val="00964E75"/>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4D2"/>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385"/>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32"/>
    <w:rsid w:val="00973559"/>
    <w:rsid w:val="00973686"/>
    <w:rsid w:val="009736D6"/>
    <w:rsid w:val="00973764"/>
    <w:rsid w:val="00973801"/>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BB4"/>
    <w:rsid w:val="00975BCE"/>
    <w:rsid w:val="00975CB4"/>
    <w:rsid w:val="00975E00"/>
    <w:rsid w:val="00975E0D"/>
    <w:rsid w:val="00975F3A"/>
    <w:rsid w:val="00975F5E"/>
    <w:rsid w:val="00975FBF"/>
    <w:rsid w:val="0097600B"/>
    <w:rsid w:val="009761A2"/>
    <w:rsid w:val="009762D1"/>
    <w:rsid w:val="0097636C"/>
    <w:rsid w:val="009763AC"/>
    <w:rsid w:val="009763CB"/>
    <w:rsid w:val="009764C2"/>
    <w:rsid w:val="009766BF"/>
    <w:rsid w:val="009766F5"/>
    <w:rsid w:val="00976873"/>
    <w:rsid w:val="009768C0"/>
    <w:rsid w:val="00976A15"/>
    <w:rsid w:val="00976D4A"/>
    <w:rsid w:val="00976DCE"/>
    <w:rsid w:val="0097714E"/>
    <w:rsid w:val="0097732E"/>
    <w:rsid w:val="0097739A"/>
    <w:rsid w:val="00977B42"/>
    <w:rsid w:val="00977C92"/>
    <w:rsid w:val="00977E8C"/>
    <w:rsid w:val="0098018D"/>
    <w:rsid w:val="009802DB"/>
    <w:rsid w:val="009806EA"/>
    <w:rsid w:val="00980836"/>
    <w:rsid w:val="00980C3C"/>
    <w:rsid w:val="00980DC7"/>
    <w:rsid w:val="00980DFC"/>
    <w:rsid w:val="00980E2D"/>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3F2"/>
    <w:rsid w:val="00984599"/>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1D9"/>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426"/>
    <w:rsid w:val="00991666"/>
    <w:rsid w:val="009919F6"/>
    <w:rsid w:val="00991B7B"/>
    <w:rsid w:val="00991D00"/>
    <w:rsid w:val="00991D65"/>
    <w:rsid w:val="00991E07"/>
    <w:rsid w:val="00991E5B"/>
    <w:rsid w:val="00991FFF"/>
    <w:rsid w:val="0099204F"/>
    <w:rsid w:val="0099208C"/>
    <w:rsid w:val="009921E6"/>
    <w:rsid w:val="009922CC"/>
    <w:rsid w:val="009923B2"/>
    <w:rsid w:val="0099263F"/>
    <w:rsid w:val="0099293B"/>
    <w:rsid w:val="00992AB3"/>
    <w:rsid w:val="00992D0D"/>
    <w:rsid w:val="00992FC8"/>
    <w:rsid w:val="009931E5"/>
    <w:rsid w:val="00993334"/>
    <w:rsid w:val="00993795"/>
    <w:rsid w:val="00993B81"/>
    <w:rsid w:val="00993BA6"/>
    <w:rsid w:val="00993E01"/>
    <w:rsid w:val="009946FB"/>
    <w:rsid w:val="00994800"/>
    <w:rsid w:val="0099482A"/>
    <w:rsid w:val="00994D58"/>
    <w:rsid w:val="00995139"/>
    <w:rsid w:val="00995240"/>
    <w:rsid w:val="0099528E"/>
    <w:rsid w:val="00995867"/>
    <w:rsid w:val="009959DB"/>
    <w:rsid w:val="00995CBB"/>
    <w:rsid w:val="00995DF7"/>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60B"/>
    <w:rsid w:val="009977D8"/>
    <w:rsid w:val="0099799B"/>
    <w:rsid w:val="009979A7"/>
    <w:rsid w:val="00997B37"/>
    <w:rsid w:val="00997C2E"/>
    <w:rsid w:val="00997D8A"/>
    <w:rsid w:val="00997F2D"/>
    <w:rsid w:val="00997F9D"/>
    <w:rsid w:val="009A0224"/>
    <w:rsid w:val="009A04F9"/>
    <w:rsid w:val="009A06CC"/>
    <w:rsid w:val="009A0834"/>
    <w:rsid w:val="009A0A4B"/>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0AE"/>
    <w:rsid w:val="009A2196"/>
    <w:rsid w:val="009A2286"/>
    <w:rsid w:val="009A23A9"/>
    <w:rsid w:val="009A243A"/>
    <w:rsid w:val="009A244D"/>
    <w:rsid w:val="009A2597"/>
    <w:rsid w:val="009A2690"/>
    <w:rsid w:val="009A28CA"/>
    <w:rsid w:val="009A28DC"/>
    <w:rsid w:val="009A2A22"/>
    <w:rsid w:val="009A30C2"/>
    <w:rsid w:val="009A31B7"/>
    <w:rsid w:val="009A32D6"/>
    <w:rsid w:val="009A3301"/>
    <w:rsid w:val="009A3344"/>
    <w:rsid w:val="009A385C"/>
    <w:rsid w:val="009A3D24"/>
    <w:rsid w:val="009A3E53"/>
    <w:rsid w:val="009A3EDB"/>
    <w:rsid w:val="009A4335"/>
    <w:rsid w:val="009A44D7"/>
    <w:rsid w:val="009A4632"/>
    <w:rsid w:val="009A465F"/>
    <w:rsid w:val="009A46DB"/>
    <w:rsid w:val="009A48B2"/>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89"/>
    <w:rsid w:val="009A7AFC"/>
    <w:rsid w:val="009A7E12"/>
    <w:rsid w:val="009A7EB0"/>
    <w:rsid w:val="009A7F22"/>
    <w:rsid w:val="009B049D"/>
    <w:rsid w:val="009B04D5"/>
    <w:rsid w:val="009B0617"/>
    <w:rsid w:val="009B0681"/>
    <w:rsid w:val="009B0B25"/>
    <w:rsid w:val="009B0B7D"/>
    <w:rsid w:val="009B0C00"/>
    <w:rsid w:val="009B0E13"/>
    <w:rsid w:val="009B10C3"/>
    <w:rsid w:val="009B1149"/>
    <w:rsid w:val="009B1533"/>
    <w:rsid w:val="009B1683"/>
    <w:rsid w:val="009B17A8"/>
    <w:rsid w:val="009B183F"/>
    <w:rsid w:val="009B18C8"/>
    <w:rsid w:val="009B191E"/>
    <w:rsid w:val="009B1C4F"/>
    <w:rsid w:val="009B1CF0"/>
    <w:rsid w:val="009B1D8F"/>
    <w:rsid w:val="009B1DB2"/>
    <w:rsid w:val="009B1E20"/>
    <w:rsid w:val="009B1E80"/>
    <w:rsid w:val="009B2054"/>
    <w:rsid w:val="009B225C"/>
    <w:rsid w:val="009B22B7"/>
    <w:rsid w:val="009B2397"/>
    <w:rsid w:val="009B2670"/>
    <w:rsid w:val="009B281B"/>
    <w:rsid w:val="009B2A21"/>
    <w:rsid w:val="009B2A88"/>
    <w:rsid w:val="009B2BAA"/>
    <w:rsid w:val="009B2BAB"/>
    <w:rsid w:val="009B2C6E"/>
    <w:rsid w:val="009B2C96"/>
    <w:rsid w:val="009B2CF9"/>
    <w:rsid w:val="009B2D2F"/>
    <w:rsid w:val="009B2F11"/>
    <w:rsid w:val="009B2F60"/>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B71"/>
    <w:rsid w:val="009B6D26"/>
    <w:rsid w:val="009B6FF6"/>
    <w:rsid w:val="009B700A"/>
    <w:rsid w:val="009B73B8"/>
    <w:rsid w:val="009B7482"/>
    <w:rsid w:val="009B74A9"/>
    <w:rsid w:val="009B7755"/>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CBE"/>
    <w:rsid w:val="009C0E88"/>
    <w:rsid w:val="009C0FD9"/>
    <w:rsid w:val="009C10BF"/>
    <w:rsid w:val="009C120A"/>
    <w:rsid w:val="009C121E"/>
    <w:rsid w:val="009C1255"/>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2FAF"/>
    <w:rsid w:val="009C32C6"/>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25E"/>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4B8"/>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2E2C"/>
    <w:rsid w:val="009D2FBE"/>
    <w:rsid w:val="009D317C"/>
    <w:rsid w:val="009D3285"/>
    <w:rsid w:val="009D3290"/>
    <w:rsid w:val="009D3317"/>
    <w:rsid w:val="009D33C8"/>
    <w:rsid w:val="009D340C"/>
    <w:rsid w:val="009D3428"/>
    <w:rsid w:val="009D35C8"/>
    <w:rsid w:val="009D3940"/>
    <w:rsid w:val="009D3B02"/>
    <w:rsid w:val="009D3C77"/>
    <w:rsid w:val="009D4054"/>
    <w:rsid w:val="009D4106"/>
    <w:rsid w:val="009D41A1"/>
    <w:rsid w:val="009D46AB"/>
    <w:rsid w:val="009D482D"/>
    <w:rsid w:val="009D4970"/>
    <w:rsid w:val="009D4C24"/>
    <w:rsid w:val="009D4CA9"/>
    <w:rsid w:val="009D4D2F"/>
    <w:rsid w:val="009D4D42"/>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F06"/>
    <w:rsid w:val="009E02D2"/>
    <w:rsid w:val="009E05BE"/>
    <w:rsid w:val="009E07A7"/>
    <w:rsid w:val="009E08F3"/>
    <w:rsid w:val="009E0D48"/>
    <w:rsid w:val="009E0EED"/>
    <w:rsid w:val="009E1125"/>
    <w:rsid w:val="009E14C9"/>
    <w:rsid w:val="009E160D"/>
    <w:rsid w:val="009E1A60"/>
    <w:rsid w:val="009E1B09"/>
    <w:rsid w:val="009E1EF9"/>
    <w:rsid w:val="009E1FE5"/>
    <w:rsid w:val="009E2174"/>
    <w:rsid w:val="009E2206"/>
    <w:rsid w:val="009E2295"/>
    <w:rsid w:val="009E22A9"/>
    <w:rsid w:val="009E257C"/>
    <w:rsid w:val="009E274E"/>
    <w:rsid w:val="009E2927"/>
    <w:rsid w:val="009E2A5C"/>
    <w:rsid w:val="009E2B34"/>
    <w:rsid w:val="009E2D59"/>
    <w:rsid w:val="009E2D93"/>
    <w:rsid w:val="009E2DBB"/>
    <w:rsid w:val="009E3005"/>
    <w:rsid w:val="009E3283"/>
    <w:rsid w:val="009E398F"/>
    <w:rsid w:val="009E3C4C"/>
    <w:rsid w:val="009E41A7"/>
    <w:rsid w:val="009E423E"/>
    <w:rsid w:val="009E428D"/>
    <w:rsid w:val="009E4389"/>
    <w:rsid w:val="009E43D3"/>
    <w:rsid w:val="009E4716"/>
    <w:rsid w:val="009E4799"/>
    <w:rsid w:val="009E4B0B"/>
    <w:rsid w:val="009E4B88"/>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0C2"/>
    <w:rsid w:val="009E73AB"/>
    <w:rsid w:val="009E73F0"/>
    <w:rsid w:val="009E76F5"/>
    <w:rsid w:val="009E78AF"/>
    <w:rsid w:val="009E7915"/>
    <w:rsid w:val="009E7B70"/>
    <w:rsid w:val="009E7BB5"/>
    <w:rsid w:val="009E7F28"/>
    <w:rsid w:val="009F0180"/>
    <w:rsid w:val="009F018B"/>
    <w:rsid w:val="009F03E0"/>
    <w:rsid w:val="009F03EB"/>
    <w:rsid w:val="009F0404"/>
    <w:rsid w:val="009F0531"/>
    <w:rsid w:val="009F061B"/>
    <w:rsid w:val="009F0729"/>
    <w:rsid w:val="009F0749"/>
    <w:rsid w:val="009F07F4"/>
    <w:rsid w:val="009F082E"/>
    <w:rsid w:val="009F0A8F"/>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15"/>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4B8"/>
    <w:rsid w:val="009F65B8"/>
    <w:rsid w:val="009F6760"/>
    <w:rsid w:val="009F677D"/>
    <w:rsid w:val="009F68A9"/>
    <w:rsid w:val="009F68EE"/>
    <w:rsid w:val="009F6A4D"/>
    <w:rsid w:val="009F6A94"/>
    <w:rsid w:val="009F6C35"/>
    <w:rsid w:val="009F7039"/>
    <w:rsid w:val="009F70E6"/>
    <w:rsid w:val="009F7410"/>
    <w:rsid w:val="009F743D"/>
    <w:rsid w:val="009F7859"/>
    <w:rsid w:val="009F7EAA"/>
    <w:rsid w:val="00A0010D"/>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AA"/>
    <w:rsid w:val="00A021BA"/>
    <w:rsid w:val="00A022F1"/>
    <w:rsid w:val="00A026D5"/>
    <w:rsid w:val="00A026DF"/>
    <w:rsid w:val="00A02A48"/>
    <w:rsid w:val="00A02BF3"/>
    <w:rsid w:val="00A02F6C"/>
    <w:rsid w:val="00A030ED"/>
    <w:rsid w:val="00A035D0"/>
    <w:rsid w:val="00A037FC"/>
    <w:rsid w:val="00A03829"/>
    <w:rsid w:val="00A039DD"/>
    <w:rsid w:val="00A03A48"/>
    <w:rsid w:val="00A03B0D"/>
    <w:rsid w:val="00A03CBE"/>
    <w:rsid w:val="00A03EB9"/>
    <w:rsid w:val="00A03ED5"/>
    <w:rsid w:val="00A040A8"/>
    <w:rsid w:val="00A047AE"/>
    <w:rsid w:val="00A049A1"/>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70CA"/>
    <w:rsid w:val="00A071B2"/>
    <w:rsid w:val="00A071E7"/>
    <w:rsid w:val="00A07455"/>
    <w:rsid w:val="00A074F1"/>
    <w:rsid w:val="00A075BF"/>
    <w:rsid w:val="00A0767B"/>
    <w:rsid w:val="00A077B6"/>
    <w:rsid w:val="00A07B58"/>
    <w:rsid w:val="00A07F36"/>
    <w:rsid w:val="00A1005B"/>
    <w:rsid w:val="00A1007E"/>
    <w:rsid w:val="00A100AA"/>
    <w:rsid w:val="00A100F2"/>
    <w:rsid w:val="00A101C5"/>
    <w:rsid w:val="00A103F9"/>
    <w:rsid w:val="00A10671"/>
    <w:rsid w:val="00A10847"/>
    <w:rsid w:val="00A10976"/>
    <w:rsid w:val="00A10BDA"/>
    <w:rsid w:val="00A10D66"/>
    <w:rsid w:val="00A10E17"/>
    <w:rsid w:val="00A10E2A"/>
    <w:rsid w:val="00A11251"/>
    <w:rsid w:val="00A11493"/>
    <w:rsid w:val="00A11597"/>
    <w:rsid w:val="00A11CA3"/>
    <w:rsid w:val="00A11D46"/>
    <w:rsid w:val="00A11EED"/>
    <w:rsid w:val="00A11F76"/>
    <w:rsid w:val="00A12122"/>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8B3"/>
    <w:rsid w:val="00A1396C"/>
    <w:rsid w:val="00A13A5C"/>
    <w:rsid w:val="00A13B79"/>
    <w:rsid w:val="00A13DD4"/>
    <w:rsid w:val="00A13E09"/>
    <w:rsid w:val="00A14333"/>
    <w:rsid w:val="00A1447D"/>
    <w:rsid w:val="00A14595"/>
    <w:rsid w:val="00A14691"/>
    <w:rsid w:val="00A14762"/>
    <w:rsid w:val="00A14819"/>
    <w:rsid w:val="00A1487A"/>
    <w:rsid w:val="00A1488D"/>
    <w:rsid w:val="00A149B7"/>
    <w:rsid w:val="00A14C03"/>
    <w:rsid w:val="00A14CC8"/>
    <w:rsid w:val="00A14DC7"/>
    <w:rsid w:val="00A14DFA"/>
    <w:rsid w:val="00A151B3"/>
    <w:rsid w:val="00A15202"/>
    <w:rsid w:val="00A154EE"/>
    <w:rsid w:val="00A158BC"/>
    <w:rsid w:val="00A15D07"/>
    <w:rsid w:val="00A15F43"/>
    <w:rsid w:val="00A160FC"/>
    <w:rsid w:val="00A1611F"/>
    <w:rsid w:val="00A161A2"/>
    <w:rsid w:val="00A16404"/>
    <w:rsid w:val="00A16C89"/>
    <w:rsid w:val="00A16FC1"/>
    <w:rsid w:val="00A1704F"/>
    <w:rsid w:val="00A170E8"/>
    <w:rsid w:val="00A171C3"/>
    <w:rsid w:val="00A173A4"/>
    <w:rsid w:val="00A17A0A"/>
    <w:rsid w:val="00A17AF3"/>
    <w:rsid w:val="00A17F26"/>
    <w:rsid w:val="00A2000A"/>
    <w:rsid w:val="00A20083"/>
    <w:rsid w:val="00A201A4"/>
    <w:rsid w:val="00A2051B"/>
    <w:rsid w:val="00A20B09"/>
    <w:rsid w:val="00A20B40"/>
    <w:rsid w:val="00A20E7B"/>
    <w:rsid w:val="00A20EBE"/>
    <w:rsid w:val="00A21148"/>
    <w:rsid w:val="00A21170"/>
    <w:rsid w:val="00A21178"/>
    <w:rsid w:val="00A2146C"/>
    <w:rsid w:val="00A21472"/>
    <w:rsid w:val="00A214AC"/>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40AC"/>
    <w:rsid w:val="00A2453E"/>
    <w:rsid w:val="00A24A53"/>
    <w:rsid w:val="00A24B92"/>
    <w:rsid w:val="00A24DA0"/>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191"/>
    <w:rsid w:val="00A2724F"/>
    <w:rsid w:val="00A27259"/>
    <w:rsid w:val="00A27431"/>
    <w:rsid w:val="00A27502"/>
    <w:rsid w:val="00A276DD"/>
    <w:rsid w:val="00A276E9"/>
    <w:rsid w:val="00A27871"/>
    <w:rsid w:val="00A2794B"/>
    <w:rsid w:val="00A279FF"/>
    <w:rsid w:val="00A27BE1"/>
    <w:rsid w:val="00A300D0"/>
    <w:rsid w:val="00A30304"/>
    <w:rsid w:val="00A3050B"/>
    <w:rsid w:val="00A30672"/>
    <w:rsid w:val="00A306F9"/>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685"/>
    <w:rsid w:val="00A327A9"/>
    <w:rsid w:val="00A32AF2"/>
    <w:rsid w:val="00A32B35"/>
    <w:rsid w:val="00A32C39"/>
    <w:rsid w:val="00A32DA6"/>
    <w:rsid w:val="00A32E43"/>
    <w:rsid w:val="00A33123"/>
    <w:rsid w:val="00A33146"/>
    <w:rsid w:val="00A332C0"/>
    <w:rsid w:val="00A33484"/>
    <w:rsid w:val="00A335E8"/>
    <w:rsid w:val="00A336D2"/>
    <w:rsid w:val="00A3376B"/>
    <w:rsid w:val="00A33917"/>
    <w:rsid w:val="00A33B49"/>
    <w:rsid w:val="00A33BCD"/>
    <w:rsid w:val="00A34129"/>
    <w:rsid w:val="00A3418E"/>
    <w:rsid w:val="00A34305"/>
    <w:rsid w:val="00A34565"/>
    <w:rsid w:val="00A347E2"/>
    <w:rsid w:val="00A34965"/>
    <w:rsid w:val="00A34A12"/>
    <w:rsid w:val="00A34B44"/>
    <w:rsid w:val="00A34C87"/>
    <w:rsid w:val="00A34E9E"/>
    <w:rsid w:val="00A35197"/>
    <w:rsid w:val="00A353E8"/>
    <w:rsid w:val="00A355DE"/>
    <w:rsid w:val="00A3561F"/>
    <w:rsid w:val="00A35639"/>
    <w:rsid w:val="00A356E3"/>
    <w:rsid w:val="00A3575C"/>
    <w:rsid w:val="00A357D0"/>
    <w:rsid w:val="00A358EF"/>
    <w:rsid w:val="00A35C75"/>
    <w:rsid w:val="00A35CB4"/>
    <w:rsid w:val="00A35F35"/>
    <w:rsid w:val="00A36004"/>
    <w:rsid w:val="00A36470"/>
    <w:rsid w:val="00A36517"/>
    <w:rsid w:val="00A365EF"/>
    <w:rsid w:val="00A36852"/>
    <w:rsid w:val="00A3695D"/>
    <w:rsid w:val="00A36B55"/>
    <w:rsid w:val="00A36D42"/>
    <w:rsid w:val="00A37079"/>
    <w:rsid w:val="00A370C8"/>
    <w:rsid w:val="00A37309"/>
    <w:rsid w:val="00A3731C"/>
    <w:rsid w:val="00A373A4"/>
    <w:rsid w:val="00A373A5"/>
    <w:rsid w:val="00A3779B"/>
    <w:rsid w:val="00A379E3"/>
    <w:rsid w:val="00A37C7E"/>
    <w:rsid w:val="00A37DD1"/>
    <w:rsid w:val="00A40203"/>
    <w:rsid w:val="00A40249"/>
    <w:rsid w:val="00A402F1"/>
    <w:rsid w:val="00A40354"/>
    <w:rsid w:val="00A40382"/>
    <w:rsid w:val="00A40482"/>
    <w:rsid w:val="00A405E3"/>
    <w:rsid w:val="00A40877"/>
    <w:rsid w:val="00A4090B"/>
    <w:rsid w:val="00A40AE5"/>
    <w:rsid w:val="00A40BBD"/>
    <w:rsid w:val="00A40C73"/>
    <w:rsid w:val="00A40DC1"/>
    <w:rsid w:val="00A40E20"/>
    <w:rsid w:val="00A40E71"/>
    <w:rsid w:val="00A40F14"/>
    <w:rsid w:val="00A41133"/>
    <w:rsid w:val="00A41149"/>
    <w:rsid w:val="00A415AC"/>
    <w:rsid w:val="00A416E8"/>
    <w:rsid w:val="00A41920"/>
    <w:rsid w:val="00A41B0A"/>
    <w:rsid w:val="00A41C84"/>
    <w:rsid w:val="00A41E03"/>
    <w:rsid w:val="00A41E67"/>
    <w:rsid w:val="00A41E6B"/>
    <w:rsid w:val="00A421AE"/>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771"/>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88F"/>
    <w:rsid w:val="00A46A2C"/>
    <w:rsid w:val="00A46C4B"/>
    <w:rsid w:val="00A46CF7"/>
    <w:rsid w:val="00A47115"/>
    <w:rsid w:val="00A47312"/>
    <w:rsid w:val="00A473E4"/>
    <w:rsid w:val="00A47A45"/>
    <w:rsid w:val="00A47D9D"/>
    <w:rsid w:val="00A47E28"/>
    <w:rsid w:val="00A50023"/>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8CD"/>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2EB"/>
    <w:rsid w:val="00A533DA"/>
    <w:rsid w:val="00A53659"/>
    <w:rsid w:val="00A53689"/>
    <w:rsid w:val="00A537DD"/>
    <w:rsid w:val="00A53973"/>
    <w:rsid w:val="00A53D49"/>
    <w:rsid w:val="00A53EEE"/>
    <w:rsid w:val="00A542E0"/>
    <w:rsid w:val="00A5438D"/>
    <w:rsid w:val="00A543EC"/>
    <w:rsid w:val="00A549AC"/>
    <w:rsid w:val="00A54B20"/>
    <w:rsid w:val="00A54E47"/>
    <w:rsid w:val="00A550A8"/>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60111"/>
    <w:rsid w:val="00A6029C"/>
    <w:rsid w:val="00A60308"/>
    <w:rsid w:val="00A60382"/>
    <w:rsid w:val="00A6073F"/>
    <w:rsid w:val="00A6084C"/>
    <w:rsid w:val="00A6095D"/>
    <w:rsid w:val="00A60B33"/>
    <w:rsid w:val="00A60E1D"/>
    <w:rsid w:val="00A60E33"/>
    <w:rsid w:val="00A60FE5"/>
    <w:rsid w:val="00A60FF2"/>
    <w:rsid w:val="00A613DF"/>
    <w:rsid w:val="00A615AA"/>
    <w:rsid w:val="00A61724"/>
    <w:rsid w:val="00A61B40"/>
    <w:rsid w:val="00A61E8A"/>
    <w:rsid w:val="00A62130"/>
    <w:rsid w:val="00A622BB"/>
    <w:rsid w:val="00A6245D"/>
    <w:rsid w:val="00A624A1"/>
    <w:rsid w:val="00A6255F"/>
    <w:rsid w:val="00A626CC"/>
    <w:rsid w:val="00A628D3"/>
    <w:rsid w:val="00A628F5"/>
    <w:rsid w:val="00A62B4A"/>
    <w:rsid w:val="00A62B97"/>
    <w:rsid w:val="00A62D91"/>
    <w:rsid w:val="00A62FD2"/>
    <w:rsid w:val="00A63409"/>
    <w:rsid w:val="00A6340A"/>
    <w:rsid w:val="00A63424"/>
    <w:rsid w:val="00A63765"/>
    <w:rsid w:val="00A637AD"/>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973"/>
    <w:rsid w:val="00A659FB"/>
    <w:rsid w:val="00A65A96"/>
    <w:rsid w:val="00A65AED"/>
    <w:rsid w:val="00A65B50"/>
    <w:rsid w:val="00A65BBC"/>
    <w:rsid w:val="00A65CDE"/>
    <w:rsid w:val="00A65D84"/>
    <w:rsid w:val="00A65E27"/>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5EF"/>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1FFD"/>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D35"/>
    <w:rsid w:val="00A74ED4"/>
    <w:rsid w:val="00A74ED7"/>
    <w:rsid w:val="00A751C5"/>
    <w:rsid w:val="00A752CE"/>
    <w:rsid w:val="00A7539E"/>
    <w:rsid w:val="00A754C4"/>
    <w:rsid w:val="00A756E5"/>
    <w:rsid w:val="00A757B8"/>
    <w:rsid w:val="00A758E5"/>
    <w:rsid w:val="00A75B7F"/>
    <w:rsid w:val="00A75C21"/>
    <w:rsid w:val="00A75DF2"/>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7D2"/>
    <w:rsid w:val="00A809DF"/>
    <w:rsid w:val="00A80A69"/>
    <w:rsid w:val="00A80C85"/>
    <w:rsid w:val="00A80CDC"/>
    <w:rsid w:val="00A810D0"/>
    <w:rsid w:val="00A815ED"/>
    <w:rsid w:val="00A816E2"/>
    <w:rsid w:val="00A818F4"/>
    <w:rsid w:val="00A818FC"/>
    <w:rsid w:val="00A819AE"/>
    <w:rsid w:val="00A81BCA"/>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18"/>
    <w:rsid w:val="00A83559"/>
    <w:rsid w:val="00A83786"/>
    <w:rsid w:val="00A83B84"/>
    <w:rsid w:val="00A83F55"/>
    <w:rsid w:val="00A8418C"/>
    <w:rsid w:val="00A8437B"/>
    <w:rsid w:val="00A84483"/>
    <w:rsid w:val="00A846FA"/>
    <w:rsid w:val="00A8474F"/>
    <w:rsid w:val="00A847A6"/>
    <w:rsid w:val="00A84855"/>
    <w:rsid w:val="00A84A70"/>
    <w:rsid w:val="00A84ABE"/>
    <w:rsid w:val="00A84D29"/>
    <w:rsid w:val="00A84DA0"/>
    <w:rsid w:val="00A850F5"/>
    <w:rsid w:val="00A85179"/>
    <w:rsid w:val="00A852D8"/>
    <w:rsid w:val="00A854D4"/>
    <w:rsid w:val="00A855ED"/>
    <w:rsid w:val="00A85682"/>
    <w:rsid w:val="00A85A70"/>
    <w:rsid w:val="00A85DB5"/>
    <w:rsid w:val="00A85F21"/>
    <w:rsid w:val="00A8618D"/>
    <w:rsid w:val="00A86247"/>
    <w:rsid w:val="00A863BA"/>
    <w:rsid w:val="00A8657A"/>
    <w:rsid w:val="00A86AEC"/>
    <w:rsid w:val="00A86CA1"/>
    <w:rsid w:val="00A87260"/>
    <w:rsid w:val="00A87283"/>
    <w:rsid w:val="00A8728D"/>
    <w:rsid w:val="00A873D3"/>
    <w:rsid w:val="00A874C2"/>
    <w:rsid w:val="00A874E4"/>
    <w:rsid w:val="00A8751F"/>
    <w:rsid w:val="00A875DC"/>
    <w:rsid w:val="00A875E7"/>
    <w:rsid w:val="00A87747"/>
    <w:rsid w:val="00A879DE"/>
    <w:rsid w:val="00A87AD9"/>
    <w:rsid w:val="00A87CC9"/>
    <w:rsid w:val="00A87D10"/>
    <w:rsid w:val="00A87DE9"/>
    <w:rsid w:val="00A87F05"/>
    <w:rsid w:val="00A90061"/>
    <w:rsid w:val="00A9012F"/>
    <w:rsid w:val="00A90227"/>
    <w:rsid w:val="00A907BF"/>
    <w:rsid w:val="00A908ED"/>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B42"/>
    <w:rsid w:val="00A92E2A"/>
    <w:rsid w:val="00A92ECC"/>
    <w:rsid w:val="00A92F1E"/>
    <w:rsid w:val="00A93534"/>
    <w:rsid w:val="00A93A66"/>
    <w:rsid w:val="00A93AE8"/>
    <w:rsid w:val="00A93B00"/>
    <w:rsid w:val="00A93BF0"/>
    <w:rsid w:val="00A93E3F"/>
    <w:rsid w:val="00A93F3E"/>
    <w:rsid w:val="00A93F5A"/>
    <w:rsid w:val="00A93FEA"/>
    <w:rsid w:val="00A940C9"/>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9ED"/>
    <w:rsid w:val="00A96A2B"/>
    <w:rsid w:val="00A96A8E"/>
    <w:rsid w:val="00A96B06"/>
    <w:rsid w:val="00A96E10"/>
    <w:rsid w:val="00A96F0B"/>
    <w:rsid w:val="00A96FC5"/>
    <w:rsid w:val="00A97064"/>
    <w:rsid w:val="00A97165"/>
    <w:rsid w:val="00A97277"/>
    <w:rsid w:val="00A972BB"/>
    <w:rsid w:val="00A97419"/>
    <w:rsid w:val="00A97505"/>
    <w:rsid w:val="00A97609"/>
    <w:rsid w:val="00A97612"/>
    <w:rsid w:val="00A9768C"/>
    <w:rsid w:val="00A97748"/>
    <w:rsid w:val="00A979DF"/>
    <w:rsid w:val="00A97AE7"/>
    <w:rsid w:val="00A97C48"/>
    <w:rsid w:val="00A97C81"/>
    <w:rsid w:val="00A97D5C"/>
    <w:rsid w:val="00A97DD0"/>
    <w:rsid w:val="00AA0197"/>
    <w:rsid w:val="00AA019B"/>
    <w:rsid w:val="00AA0261"/>
    <w:rsid w:val="00AA02B9"/>
    <w:rsid w:val="00AA04AD"/>
    <w:rsid w:val="00AA0532"/>
    <w:rsid w:val="00AA0580"/>
    <w:rsid w:val="00AA064E"/>
    <w:rsid w:val="00AA06CD"/>
    <w:rsid w:val="00AA0775"/>
    <w:rsid w:val="00AA0858"/>
    <w:rsid w:val="00AA0AAE"/>
    <w:rsid w:val="00AA0BC3"/>
    <w:rsid w:val="00AA0BC5"/>
    <w:rsid w:val="00AA0D27"/>
    <w:rsid w:val="00AA0E06"/>
    <w:rsid w:val="00AA102E"/>
    <w:rsid w:val="00AA10D0"/>
    <w:rsid w:val="00AA12A6"/>
    <w:rsid w:val="00AA1432"/>
    <w:rsid w:val="00AA1435"/>
    <w:rsid w:val="00AA1649"/>
    <w:rsid w:val="00AA176C"/>
    <w:rsid w:val="00AA19D7"/>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053"/>
    <w:rsid w:val="00AA41E7"/>
    <w:rsid w:val="00AA4213"/>
    <w:rsid w:val="00AA4230"/>
    <w:rsid w:val="00AA44A6"/>
    <w:rsid w:val="00AA45AF"/>
    <w:rsid w:val="00AA45DC"/>
    <w:rsid w:val="00AA46C9"/>
    <w:rsid w:val="00AA4711"/>
    <w:rsid w:val="00AA4799"/>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06"/>
    <w:rsid w:val="00AA6097"/>
    <w:rsid w:val="00AA6440"/>
    <w:rsid w:val="00AA65CC"/>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73"/>
    <w:rsid w:val="00AB05D6"/>
    <w:rsid w:val="00AB0682"/>
    <w:rsid w:val="00AB07C7"/>
    <w:rsid w:val="00AB07DD"/>
    <w:rsid w:val="00AB0C3B"/>
    <w:rsid w:val="00AB0D32"/>
    <w:rsid w:val="00AB0D84"/>
    <w:rsid w:val="00AB1046"/>
    <w:rsid w:val="00AB11A8"/>
    <w:rsid w:val="00AB1304"/>
    <w:rsid w:val="00AB1384"/>
    <w:rsid w:val="00AB14F9"/>
    <w:rsid w:val="00AB164E"/>
    <w:rsid w:val="00AB1744"/>
    <w:rsid w:val="00AB180F"/>
    <w:rsid w:val="00AB1811"/>
    <w:rsid w:val="00AB1964"/>
    <w:rsid w:val="00AB1A31"/>
    <w:rsid w:val="00AB1B90"/>
    <w:rsid w:val="00AB1BA1"/>
    <w:rsid w:val="00AB2190"/>
    <w:rsid w:val="00AB21AA"/>
    <w:rsid w:val="00AB260F"/>
    <w:rsid w:val="00AB2666"/>
    <w:rsid w:val="00AB29D1"/>
    <w:rsid w:val="00AB2A09"/>
    <w:rsid w:val="00AB2ACF"/>
    <w:rsid w:val="00AB2B70"/>
    <w:rsid w:val="00AB2B82"/>
    <w:rsid w:val="00AB2D03"/>
    <w:rsid w:val="00AB2E7E"/>
    <w:rsid w:val="00AB307F"/>
    <w:rsid w:val="00AB34E4"/>
    <w:rsid w:val="00AB359C"/>
    <w:rsid w:val="00AB35B8"/>
    <w:rsid w:val="00AB387F"/>
    <w:rsid w:val="00AB388D"/>
    <w:rsid w:val="00AB388F"/>
    <w:rsid w:val="00AB38DD"/>
    <w:rsid w:val="00AB39BF"/>
    <w:rsid w:val="00AB3AA2"/>
    <w:rsid w:val="00AB3D70"/>
    <w:rsid w:val="00AB3E6F"/>
    <w:rsid w:val="00AB3EA3"/>
    <w:rsid w:val="00AB3F76"/>
    <w:rsid w:val="00AB4097"/>
    <w:rsid w:val="00AB40B8"/>
    <w:rsid w:val="00AB439F"/>
    <w:rsid w:val="00AB4831"/>
    <w:rsid w:val="00AB4C5C"/>
    <w:rsid w:val="00AB4E17"/>
    <w:rsid w:val="00AB4E4A"/>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6F96"/>
    <w:rsid w:val="00AB70D1"/>
    <w:rsid w:val="00AB710D"/>
    <w:rsid w:val="00AB74EF"/>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E5B"/>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8C9"/>
    <w:rsid w:val="00AC49F1"/>
    <w:rsid w:val="00AC4A0B"/>
    <w:rsid w:val="00AC4BB4"/>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306"/>
    <w:rsid w:val="00AC65D5"/>
    <w:rsid w:val="00AC66C9"/>
    <w:rsid w:val="00AC6B13"/>
    <w:rsid w:val="00AC6D82"/>
    <w:rsid w:val="00AC6DDA"/>
    <w:rsid w:val="00AC7015"/>
    <w:rsid w:val="00AC719C"/>
    <w:rsid w:val="00AC720B"/>
    <w:rsid w:val="00AC72DB"/>
    <w:rsid w:val="00AC760A"/>
    <w:rsid w:val="00AC7D16"/>
    <w:rsid w:val="00AD01F9"/>
    <w:rsid w:val="00AD02BD"/>
    <w:rsid w:val="00AD0355"/>
    <w:rsid w:val="00AD0371"/>
    <w:rsid w:val="00AD083D"/>
    <w:rsid w:val="00AD08C4"/>
    <w:rsid w:val="00AD08E4"/>
    <w:rsid w:val="00AD0D90"/>
    <w:rsid w:val="00AD0F67"/>
    <w:rsid w:val="00AD0FD5"/>
    <w:rsid w:val="00AD1017"/>
    <w:rsid w:val="00AD1124"/>
    <w:rsid w:val="00AD1535"/>
    <w:rsid w:val="00AD1640"/>
    <w:rsid w:val="00AD1691"/>
    <w:rsid w:val="00AD16C2"/>
    <w:rsid w:val="00AD19AA"/>
    <w:rsid w:val="00AD1B20"/>
    <w:rsid w:val="00AD1D83"/>
    <w:rsid w:val="00AD2206"/>
    <w:rsid w:val="00AD2267"/>
    <w:rsid w:val="00AD2280"/>
    <w:rsid w:val="00AD238C"/>
    <w:rsid w:val="00AD24AD"/>
    <w:rsid w:val="00AD24DE"/>
    <w:rsid w:val="00AD2C9A"/>
    <w:rsid w:val="00AD2CF6"/>
    <w:rsid w:val="00AD2E57"/>
    <w:rsid w:val="00AD32BD"/>
    <w:rsid w:val="00AD32F4"/>
    <w:rsid w:val="00AD3412"/>
    <w:rsid w:val="00AD37C0"/>
    <w:rsid w:val="00AD388E"/>
    <w:rsid w:val="00AD38A4"/>
    <w:rsid w:val="00AD3B0F"/>
    <w:rsid w:val="00AD3D27"/>
    <w:rsid w:val="00AD3D4E"/>
    <w:rsid w:val="00AD3F6A"/>
    <w:rsid w:val="00AD400E"/>
    <w:rsid w:val="00AD4232"/>
    <w:rsid w:val="00AD4432"/>
    <w:rsid w:val="00AD46A4"/>
    <w:rsid w:val="00AD46E8"/>
    <w:rsid w:val="00AD478A"/>
    <w:rsid w:val="00AD47B1"/>
    <w:rsid w:val="00AD4A4A"/>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6B9"/>
    <w:rsid w:val="00AD7837"/>
    <w:rsid w:val="00AD78DA"/>
    <w:rsid w:val="00AD7C1B"/>
    <w:rsid w:val="00AD7D18"/>
    <w:rsid w:val="00AD7EA1"/>
    <w:rsid w:val="00AE00DF"/>
    <w:rsid w:val="00AE027A"/>
    <w:rsid w:val="00AE0590"/>
    <w:rsid w:val="00AE05A8"/>
    <w:rsid w:val="00AE0634"/>
    <w:rsid w:val="00AE079B"/>
    <w:rsid w:val="00AE08B7"/>
    <w:rsid w:val="00AE08BE"/>
    <w:rsid w:val="00AE08DE"/>
    <w:rsid w:val="00AE0C77"/>
    <w:rsid w:val="00AE0EC0"/>
    <w:rsid w:val="00AE1209"/>
    <w:rsid w:val="00AE1249"/>
    <w:rsid w:val="00AE17FB"/>
    <w:rsid w:val="00AE1858"/>
    <w:rsid w:val="00AE1AEF"/>
    <w:rsid w:val="00AE1AFD"/>
    <w:rsid w:val="00AE1D51"/>
    <w:rsid w:val="00AE1E64"/>
    <w:rsid w:val="00AE1F2A"/>
    <w:rsid w:val="00AE1F48"/>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7D4"/>
    <w:rsid w:val="00AE487A"/>
    <w:rsid w:val="00AE4902"/>
    <w:rsid w:val="00AE4A02"/>
    <w:rsid w:val="00AE4AD4"/>
    <w:rsid w:val="00AE4B10"/>
    <w:rsid w:val="00AE4C41"/>
    <w:rsid w:val="00AE4C4D"/>
    <w:rsid w:val="00AE4E07"/>
    <w:rsid w:val="00AE4EA5"/>
    <w:rsid w:val="00AE5251"/>
    <w:rsid w:val="00AE5331"/>
    <w:rsid w:val="00AE5575"/>
    <w:rsid w:val="00AE5693"/>
    <w:rsid w:val="00AE587B"/>
    <w:rsid w:val="00AE595C"/>
    <w:rsid w:val="00AE5FFC"/>
    <w:rsid w:val="00AE6560"/>
    <w:rsid w:val="00AE66A1"/>
    <w:rsid w:val="00AE6946"/>
    <w:rsid w:val="00AE695D"/>
    <w:rsid w:val="00AE6A00"/>
    <w:rsid w:val="00AE6A10"/>
    <w:rsid w:val="00AE6A6F"/>
    <w:rsid w:val="00AE6B07"/>
    <w:rsid w:val="00AE6CA5"/>
    <w:rsid w:val="00AE6EFC"/>
    <w:rsid w:val="00AE709E"/>
    <w:rsid w:val="00AE735E"/>
    <w:rsid w:val="00AE74B2"/>
    <w:rsid w:val="00AE7531"/>
    <w:rsid w:val="00AE77B9"/>
    <w:rsid w:val="00AE77C7"/>
    <w:rsid w:val="00AE78EB"/>
    <w:rsid w:val="00AE7BC8"/>
    <w:rsid w:val="00AE7C03"/>
    <w:rsid w:val="00AE7CA0"/>
    <w:rsid w:val="00AE7E1E"/>
    <w:rsid w:val="00AE7EC8"/>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33F"/>
    <w:rsid w:val="00AF45B0"/>
    <w:rsid w:val="00AF48C5"/>
    <w:rsid w:val="00AF496E"/>
    <w:rsid w:val="00AF4AA0"/>
    <w:rsid w:val="00AF4B06"/>
    <w:rsid w:val="00AF4C00"/>
    <w:rsid w:val="00AF4CE5"/>
    <w:rsid w:val="00AF4DA9"/>
    <w:rsid w:val="00AF4F82"/>
    <w:rsid w:val="00AF4FF8"/>
    <w:rsid w:val="00AF534A"/>
    <w:rsid w:val="00AF536C"/>
    <w:rsid w:val="00AF54AE"/>
    <w:rsid w:val="00AF57BF"/>
    <w:rsid w:val="00AF5819"/>
    <w:rsid w:val="00AF59F0"/>
    <w:rsid w:val="00AF5C0F"/>
    <w:rsid w:val="00AF5C8C"/>
    <w:rsid w:val="00AF5F79"/>
    <w:rsid w:val="00AF63D1"/>
    <w:rsid w:val="00AF642A"/>
    <w:rsid w:val="00AF647B"/>
    <w:rsid w:val="00AF65C1"/>
    <w:rsid w:val="00AF678F"/>
    <w:rsid w:val="00AF68EC"/>
    <w:rsid w:val="00AF6978"/>
    <w:rsid w:val="00AF6C6C"/>
    <w:rsid w:val="00AF6CD7"/>
    <w:rsid w:val="00AF6F21"/>
    <w:rsid w:val="00AF6F6E"/>
    <w:rsid w:val="00AF74D2"/>
    <w:rsid w:val="00AF7571"/>
    <w:rsid w:val="00AF76A1"/>
    <w:rsid w:val="00AF76DC"/>
    <w:rsid w:val="00AF7793"/>
    <w:rsid w:val="00AF77B9"/>
    <w:rsid w:val="00AF79FF"/>
    <w:rsid w:val="00AF7C3C"/>
    <w:rsid w:val="00AF7CCE"/>
    <w:rsid w:val="00AF7F0E"/>
    <w:rsid w:val="00AF7F7C"/>
    <w:rsid w:val="00AF7FF5"/>
    <w:rsid w:val="00B001B4"/>
    <w:rsid w:val="00B0025E"/>
    <w:rsid w:val="00B0027B"/>
    <w:rsid w:val="00B002A3"/>
    <w:rsid w:val="00B0058E"/>
    <w:rsid w:val="00B005E4"/>
    <w:rsid w:val="00B0081A"/>
    <w:rsid w:val="00B00A6A"/>
    <w:rsid w:val="00B00A73"/>
    <w:rsid w:val="00B00F38"/>
    <w:rsid w:val="00B00F7F"/>
    <w:rsid w:val="00B01011"/>
    <w:rsid w:val="00B010BB"/>
    <w:rsid w:val="00B011A2"/>
    <w:rsid w:val="00B013FC"/>
    <w:rsid w:val="00B014F4"/>
    <w:rsid w:val="00B017BE"/>
    <w:rsid w:val="00B0188E"/>
    <w:rsid w:val="00B018C6"/>
    <w:rsid w:val="00B01926"/>
    <w:rsid w:val="00B01C16"/>
    <w:rsid w:val="00B01D43"/>
    <w:rsid w:val="00B02037"/>
    <w:rsid w:val="00B0207D"/>
    <w:rsid w:val="00B021B9"/>
    <w:rsid w:val="00B024A4"/>
    <w:rsid w:val="00B0261B"/>
    <w:rsid w:val="00B027CB"/>
    <w:rsid w:val="00B027DF"/>
    <w:rsid w:val="00B029E2"/>
    <w:rsid w:val="00B02EAD"/>
    <w:rsid w:val="00B02FA6"/>
    <w:rsid w:val="00B030AD"/>
    <w:rsid w:val="00B0336A"/>
    <w:rsid w:val="00B03372"/>
    <w:rsid w:val="00B03514"/>
    <w:rsid w:val="00B036F9"/>
    <w:rsid w:val="00B0383B"/>
    <w:rsid w:val="00B0386D"/>
    <w:rsid w:val="00B03910"/>
    <w:rsid w:val="00B0397E"/>
    <w:rsid w:val="00B039BD"/>
    <w:rsid w:val="00B03C29"/>
    <w:rsid w:val="00B03CC2"/>
    <w:rsid w:val="00B03D36"/>
    <w:rsid w:val="00B03D7B"/>
    <w:rsid w:val="00B04057"/>
    <w:rsid w:val="00B041B6"/>
    <w:rsid w:val="00B04231"/>
    <w:rsid w:val="00B042EE"/>
    <w:rsid w:val="00B04367"/>
    <w:rsid w:val="00B045CF"/>
    <w:rsid w:val="00B048FB"/>
    <w:rsid w:val="00B048FD"/>
    <w:rsid w:val="00B0497A"/>
    <w:rsid w:val="00B049B1"/>
    <w:rsid w:val="00B049E5"/>
    <w:rsid w:val="00B049F0"/>
    <w:rsid w:val="00B04FC2"/>
    <w:rsid w:val="00B050E7"/>
    <w:rsid w:val="00B051CC"/>
    <w:rsid w:val="00B052F7"/>
    <w:rsid w:val="00B0530F"/>
    <w:rsid w:val="00B054D7"/>
    <w:rsid w:val="00B0564C"/>
    <w:rsid w:val="00B05779"/>
    <w:rsid w:val="00B05A84"/>
    <w:rsid w:val="00B05BA3"/>
    <w:rsid w:val="00B05FE4"/>
    <w:rsid w:val="00B061CB"/>
    <w:rsid w:val="00B0635B"/>
    <w:rsid w:val="00B0654E"/>
    <w:rsid w:val="00B065EA"/>
    <w:rsid w:val="00B06645"/>
    <w:rsid w:val="00B0671F"/>
    <w:rsid w:val="00B067ED"/>
    <w:rsid w:val="00B06866"/>
    <w:rsid w:val="00B0688F"/>
    <w:rsid w:val="00B06B5A"/>
    <w:rsid w:val="00B06BED"/>
    <w:rsid w:val="00B06E6C"/>
    <w:rsid w:val="00B07376"/>
    <w:rsid w:val="00B076FC"/>
    <w:rsid w:val="00B0787A"/>
    <w:rsid w:val="00B0790B"/>
    <w:rsid w:val="00B07A88"/>
    <w:rsid w:val="00B07B09"/>
    <w:rsid w:val="00B07B14"/>
    <w:rsid w:val="00B07B4D"/>
    <w:rsid w:val="00B07FC1"/>
    <w:rsid w:val="00B1006A"/>
    <w:rsid w:val="00B10083"/>
    <w:rsid w:val="00B10193"/>
    <w:rsid w:val="00B10230"/>
    <w:rsid w:val="00B10242"/>
    <w:rsid w:val="00B10292"/>
    <w:rsid w:val="00B103E2"/>
    <w:rsid w:val="00B10C12"/>
    <w:rsid w:val="00B10D35"/>
    <w:rsid w:val="00B10F7F"/>
    <w:rsid w:val="00B1124F"/>
    <w:rsid w:val="00B11351"/>
    <w:rsid w:val="00B1154E"/>
    <w:rsid w:val="00B11708"/>
    <w:rsid w:val="00B11968"/>
    <w:rsid w:val="00B119D4"/>
    <w:rsid w:val="00B11B85"/>
    <w:rsid w:val="00B11DD9"/>
    <w:rsid w:val="00B11E49"/>
    <w:rsid w:val="00B11FCA"/>
    <w:rsid w:val="00B120EB"/>
    <w:rsid w:val="00B1215A"/>
    <w:rsid w:val="00B12481"/>
    <w:rsid w:val="00B1283E"/>
    <w:rsid w:val="00B128C3"/>
    <w:rsid w:val="00B1295C"/>
    <w:rsid w:val="00B12AFB"/>
    <w:rsid w:val="00B12CC0"/>
    <w:rsid w:val="00B12E1A"/>
    <w:rsid w:val="00B12F0D"/>
    <w:rsid w:val="00B13153"/>
    <w:rsid w:val="00B131E7"/>
    <w:rsid w:val="00B13214"/>
    <w:rsid w:val="00B13591"/>
    <w:rsid w:val="00B13680"/>
    <w:rsid w:val="00B137DA"/>
    <w:rsid w:val="00B13A60"/>
    <w:rsid w:val="00B13B29"/>
    <w:rsid w:val="00B13F4B"/>
    <w:rsid w:val="00B13F64"/>
    <w:rsid w:val="00B13FCE"/>
    <w:rsid w:val="00B140B5"/>
    <w:rsid w:val="00B14317"/>
    <w:rsid w:val="00B14391"/>
    <w:rsid w:val="00B1476E"/>
    <w:rsid w:val="00B1494F"/>
    <w:rsid w:val="00B14968"/>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C33"/>
    <w:rsid w:val="00B17E7D"/>
    <w:rsid w:val="00B2016F"/>
    <w:rsid w:val="00B2020E"/>
    <w:rsid w:val="00B207C6"/>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2F2"/>
    <w:rsid w:val="00B23423"/>
    <w:rsid w:val="00B235A0"/>
    <w:rsid w:val="00B23733"/>
    <w:rsid w:val="00B23770"/>
    <w:rsid w:val="00B237DC"/>
    <w:rsid w:val="00B238E9"/>
    <w:rsid w:val="00B23A07"/>
    <w:rsid w:val="00B23AED"/>
    <w:rsid w:val="00B23B97"/>
    <w:rsid w:val="00B23EBB"/>
    <w:rsid w:val="00B23EE4"/>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1AC"/>
    <w:rsid w:val="00B2628C"/>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813"/>
    <w:rsid w:val="00B30B34"/>
    <w:rsid w:val="00B30B99"/>
    <w:rsid w:val="00B30E76"/>
    <w:rsid w:val="00B311B6"/>
    <w:rsid w:val="00B31462"/>
    <w:rsid w:val="00B315EB"/>
    <w:rsid w:val="00B3160C"/>
    <w:rsid w:val="00B3187A"/>
    <w:rsid w:val="00B319F6"/>
    <w:rsid w:val="00B31BF7"/>
    <w:rsid w:val="00B31E0A"/>
    <w:rsid w:val="00B31FDF"/>
    <w:rsid w:val="00B32006"/>
    <w:rsid w:val="00B32099"/>
    <w:rsid w:val="00B32289"/>
    <w:rsid w:val="00B325D6"/>
    <w:rsid w:val="00B326EB"/>
    <w:rsid w:val="00B3270F"/>
    <w:rsid w:val="00B32C26"/>
    <w:rsid w:val="00B32C54"/>
    <w:rsid w:val="00B33788"/>
    <w:rsid w:val="00B3378A"/>
    <w:rsid w:val="00B33863"/>
    <w:rsid w:val="00B33965"/>
    <w:rsid w:val="00B33BA9"/>
    <w:rsid w:val="00B33CB2"/>
    <w:rsid w:val="00B33D59"/>
    <w:rsid w:val="00B3404B"/>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93F"/>
    <w:rsid w:val="00B35AB2"/>
    <w:rsid w:val="00B35C0D"/>
    <w:rsid w:val="00B37195"/>
    <w:rsid w:val="00B3721B"/>
    <w:rsid w:val="00B37267"/>
    <w:rsid w:val="00B372B4"/>
    <w:rsid w:val="00B374E4"/>
    <w:rsid w:val="00B37627"/>
    <w:rsid w:val="00B3797D"/>
    <w:rsid w:val="00B37A54"/>
    <w:rsid w:val="00B37FAA"/>
    <w:rsid w:val="00B40111"/>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6B"/>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1A7"/>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0B8"/>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21A"/>
    <w:rsid w:val="00B55364"/>
    <w:rsid w:val="00B554E2"/>
    <w:rsid w:val="00B5565C"/>
    <w:rsid w:val="00B559C5"/>
    <w:rsid w:val="00B559D9"/>
    <w:rsid w:val="00B55AB2"/>
    <w:rsid w:val="00B55B1E"/>
    <w:rsid w:val="00B55DB0"/>
    <w:rsid w:val="00B55EDE"/>
    <w:rsid w:val="00B56073"/>
    <w:rsid w:val="00B5619E"/>
    <w:rsid w:val="00B56205"/>
    <w:rsid w:val="00B56300"/>
    <w:rsid w:val="00B56350"/>
    <w:rsid w:val="00B56506"/>
    <w:rsid w:val="00B56878"/>
    <w:rsid w:val="00B568E4"/>
    <w:rsid w:val="00B56E38"/>
    <w:rsid w:val="00B56EBD"/>
    <w:rsid w:val="00B570A7"/>
    <w:rsid w:val="00B57130"/>
    <w:rsid w:val="00B5716F"/>
    <w:rsid w:val="00B5730D"/>
    <w:rsid w:val="00B573AF"/>
    <w:rsid w:val="00B573F9"/>
    <w:rsid w:val="00B574A6"/>
    <w:rsid w:val="00B574A7"/>
    <w:rsid w:val="00B57735"/>
    <w:rsid w:val="00B602C2"/>
    <w:rsid w:val="00B603EF"/>
    <w:rsid w:val="00B6046C"/>
    <w:rsid w:val="00B607A0"/>
    <w:rsid w:val="00B6099C"/>
    <w:rsid w:val="00B609C8"/>
    <w:rsid w:val="00B60B3B"/>
    <w:rsid w:val="00B60C86"/>
    <w:rsid w:val="00B611E7"/>
    <w:rsid w:val="00B6155B"/>
    <w:rsid w:val="00B6161C"/>
    <w:rsid w:val="00B61689"/>
    <w:rsid w:val="00B61694"/>
    <w:rsid w:val="00B6177E"/>
    <w:rsid w:val="00B61827"/>
    <w:rsid w:val="00B61839"/>
    <w:rsid w:val="00B61917"/>
    <w:rsid w:val="00B61B6B"/>
    <w:rsid w:val="00B61C74"/>
    <w:rsid w:val="00B61E3F"/>
    <w:rsid w:val="00B62159"/>
    <w:rsid w:val="00B62362"/>
    <w:rsid w:val="00B62496"/>
    <w:rsid w:val="00B624A0"/>
    <w:rsid w:val="00B62503"/>
    <w:rsid w:val="00B62555"/>
    <w:rsid w:val="00B6261C"/>
    <w:rsid w:val="00B627C7"/>
    <w:rsid w:val="00B62805"/>
    <w:rsid w:val="00B62815"/>
    <w:rsid w:val="00B62816"/>
    <w:rsid w:val="00B628E3"/>
    <w:rsid w:val="00B632EA"/>
    <w:rsid w:val="00B635DB"/>
    <w:rsid w:val="00B636A6"/>
    <w:rsid w:val="00B6379D"/>
    <w:rsid w:val="00B6381C"/>
    <w:rsid w:val="00B63919"/>
    <w:rsid w:val="00B63A7E"/>
    <w:rsid w:val="00B6402B"/>
    <w:rsid w:val="00B64094"/>
    <w:rsid w:val="00B642F6"/>
    <w:rsid w:val="00B644D6"/>
    <w:rsid w:val="00B64520"/>
    <w:rsid w:val="00B646FE"/>
    <w:rsid w:val="00B6483E"/>
    <w:rsid w:val="00B64A6E"/>
    <w:rsid w:val="00B65147"/>
    <w:rsid w:val="00B6538B"/>
    <w:rsid w:val="00B65489"/>
    <w:rsid w:val="00B6559A"/>
    <w:rsid w:val="00B657A5"/>
    <w:rsid w:val="00B657AF"/>
    <w:rsid w:val="00B65898"/>
    <w:rsid w:val="00B6589E"/>
    <w:rsid w:val="00B65917"/>
    <w:rsid w:val="00B65973"/>
    <w:rsid w:val="00B659D2"/>
    <w:rsid w:val="00B65ACC"/>
    <w:rsid w:val="00B65DB6"/>
    <w:rsid w:val="00B663E7"/>
    <w:rsid w:val="00B66756"/>
    <w:rsid w:val="00B6679D"/>
    <w:rsid w:val="00B668BE"/>
    <w:rsid w:val="00B669E5"/>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6FE"/>
    <w:rsid w:val="00B70722"/>
    <w:rsid w:val="00B70A16"/>
    <w:rsid w:val="00B70A97"/>
    <w:rsid w:val="00B70AED"/>
    <w:rsid w:val="00B70EAA"/>
    <w:rsid w:val="00B71040"/>
    <w:rsid w:val="00B7108C"/>
    <w:rsid w:val="00B711DC"/>
    <w:rsid w:val="00B71209"/>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886"/>
    <w:rsid w:val="00B72942"/>
    <w:rsid w:val="00B72BA9"/>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72"/>
    <w:rsid w:val="00B744E1"/>
    <w:rsid w:val="00B74597"/>
    <w:rsid w:val="00B745FB"/>
    <w:rsid w:val="00B74C4F"/>
    <w:rsid w:val="00B74D71"/>
    <w:rsid w:val="00B74DAD"/>
    <w:rsid w:val="00B74DC5"/>
    <w:rsid w:val="00B74F49"/>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77575"/>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79"/>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3E39"/>
    <w:rsid w:val="00B84419"/>
    <w:rsid w:val="00B84728"/>
    <w:rsid w:val="00B8495B"/>
    <w:rsid w:val="00B84BBA"/>
    <w:rsid w:val="00B84E23"/>
    <w:rsid w:val="00B8502A"/>
    <w:rsid w:val="00B850A9"/>
    <w:rsid w:val="00B851EA"/>
    <w:rsid w:val="00B852BF"/>
    <w:rsid w:val="00B852C0"/>
    <w:rsid w:val="00B854C4"/>
    <w:rsid w:val="00B8575A"/>
    <w:rsid w:val="00B85785"/>
    <w:rsid w:val="00B857B6"/>
    <w:rsid w:val="00B8580F"/>
    <w:rsid w:val="00B8592F"/>
    <w:rsid w:val="00B85A32"/>
    <w:rsid w:val="00B85A7C"/>
    <w:rsid w:val="00B86182"/>
    <w:rsid w:val="00B861D0"/>
    <w:rsid w:val="00B8632E"/>
    <w:rsid w:val="00B8666B"/>
    <w:rsid w:val="00B86700"/>
    <w:rsid w:val="00B8680A"/>
    <w:rsid w:val="00B8683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283"/>
    <w:rsid w:val="00B923F3"/>
    <w:rsid w:val="00B925A0"/>
    <w:rsid w:val="00B92772"/>
    <w:rsid w:val="00B927DA"/>
    <w:rsid w:val="00B92916"/>
    <w:rsid w:val="00B9297D"/>
    <w:rsid w:val="00B929E3"/>
    <w:rsid w:val="00B92AB0"/>
    <w:rsid w:val="00B92D67"/>
    <w:rsid w:val="00B92DF9"/>
    <w:rsid w:val="00B92FC9"/>
    <w:rsid w:val="00B9323E"/>
    <w:rsid w:val="00B93264"/>
    <w:rsid w:val="00B932C3"/>
    <w:rsid w:val="00B93441"/>
    <w:rsid w:val="00B9389F"/>
    <w:rsid w:val="00B93A8B"/>
    <w:rsid w:val="00B93AFD"/>
    <w:rsid w:val="00B93DE6"/>
    <w:rsid w:val="00B93F37"/>
    <w:rsid w:val="00B944AE"/>
    <w:rsid w:val="00B94571"/>
    <w:rsid w:val="00B94694"/>
    <w:rsid w:val="00B9474D"/>
    <w:rsid w:val="00B947D2"/>
    <w:rsid w:val="00B94927"/>
    <w:rsid w:val="00B949CF"/>
    <w:rsid w:val="00B94A0C"/>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A2"/>
    <w:rsid w:val="00B96F68"/>
    <w:rsid w:val="00B97019"/>
    <w:rsid w:val="00B970BA"/>
    <w:rsid w:val="00B9716A"/>
    <w:rsid w:val="00B97459"/>
    <w:rsid w:val="00B9762F"/>
    <w:rsid w:val="00B9782F"/>
    <w:rsid w:val="00B978BE"/>
    <w:rsid w:val="00B97AF5"/>
    <w:rsid w:val="00B97B13"/>
    <w:rsid w:val="00B97D62"/>
    <w:rsid w:val="00B97DB7"/>
    <w:rsid w:val="00B97E26"/>
    <w:rsid w:val="00B97FCC"/>
    <w:rsid w:val="00BA004F"/>
    <w:rsid w:val="00BA019F"/>
    <w:rsid w:val="00BA02BD"/>
    <w:rsid w:val="00BA0423"/>
    <w:rsid w:val="00BA07DD"/>
    <w:rsid w:val="00BA0903"/>
    <w:rsid w:val="00BA097E"/>
    <w:rsid w:val="00BA0A10"/>
    <w:rsid w:val="00BA0CCF"/>
    <w:rsid w:val="00BA10B5"/>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62"/>
    <w:rsid w:val="00BA56AA"/>
    <w:rsid w:val="00BA56FD"/>
    <w:rsid w:val="00BA593B"/>
    <w:rsid w:val="00BA5959"/>
    <w:rsid w:val="00BA5C41"/>
    <w:rsid w:val="00BA5C8D"/>
    <w:rsid w:val="00BA5D83"/>
    <w:rsid w:val="00BA5F88"/>
    <w:rsid w:val="00BA6043"/>
    <w:rsid w:val="00BA604A"/>
    <w:rsid w:val="00BA642C"/>
    <w:rsid w:val="00BA6639"/>
    <w:rsid w:val="00BA679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5E5"/>
    <w:rsid w:val="00BB16E8"/>
    <w:rsid w:val="00BB17FD"/>
    <w:rsid w:val="00BB18FC"/>
    <w:rsid w:val="00BB1957"/>
    <w:rsid w:val="00BB1A58"/>
    <w:rsid w:val="00BB1C0E"/>
    <w:rsid w:val="00BB1D08"/>
    <w:rsid w:val="00BB1D45"/>
    <w:rsid w:val="00BB1D46"/>
    <w:rsid w:val="00BB1D77"/>
    <w:rsid w:val="00BB1FB7"/>
    <w:rsid w:val="00BB202B"/>
    <w:rsid w:val="00BB2272"/>
    <w:rsid w:val="00BB25D5"/>
    <w:rsid w:val="00BB276B"/>
    <w:rsid w:val="00BB287A"/>
    <w:rsid w:val="00BB2A29"/>
    <w:rsid w:val="00BB2DE8"/>
    <w:rsid w:val="00BB2F73"/>
    <w:rsid w:val="00BB326B"/>
    <w:rsid w:val="00BB35A3"/>
    <w:rsid w:val="00BB35E4"/>
    <w:rsid w:val="00BB3620"/>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9E4"/>
    <w:rsid w:val="00BB4A74"/>
    <w:rsid w:val="00BB4B02"/>
    <w:rsid w:val="00BB4BB7"/>
    <w:rsid w:val="00BB4BCF"/>
    <w:rsid w:val="00BB4CA2"/>
    <w:rsid w:val="00BB4E43"/>
    <w:rsid w:val="00BB510E"/>
    <w:rsid w:val="00BB5183"/>
    <w:rsid w:val="00BB531B"/>
    <w:rsid w:val="00BB55E7"/>
    <w:rsid w:val="00BB5999"/>
    <w:rsid w:val="00BB5B6F"/>
    <w:rsid w:val="00BB5E9C"/>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0E8B"/>
    <w:rsid w:val="00BC1096"/>
    <w:rsid w:val="00BC12B4"/>
    <w:rsid w:val="00BC137E"/>
    <w:rsid w:val="00BC1460"/>
    <w:rsid w:val="00BC1707"/>
    <w:rsid w:val="00BC17E0"/>
    <w:rsid w:val="00BC1912"/>
    <w:rsid w:val="00BC19DD"/>
    <w:rsid w:val="00BC1BAB"/>
    <w:rsid w:val="00BC1BD1"/>
    <w:rsid w:val="00BC1C9D"/>
    <w:rsid w:val="00BC1FA7"/>
    <w:rsid w:val="00BC207C"/>
    <w:rsid w:val="00BC21FE"/>
    <w:rsid w:val="00BC23CB"/>
    <w:rsid w:val="00BC244D"/>
    <w:rsid w:val="00BC268F"/>
    <w:rsid w:val="00BC280E"/>
    <w:rsid w:val="00BC295D"/>
    <w:rsid w:val="00BC2A47"/>
    <w:rsid w:val="00BC2B0F"/>
    <w:rsid w:val="00BC2C39"/>
    <w:rsid w:val="00BC2CC3"/>
    <w:rsid w:val="00BC2F29"/>
    <w:rsid w:val="00BC2FC9"/>
    <w:rsid w:val="00BC30B3"/>
    <w:rsid w:val="00BC30FC"/>
    <w:rsid w:val="00BC345D"/>
    <w:rsid w:val="00BC348A"/>
    <w:rsid w:val="00BC348F"/>
    <w:rsid w:val="00BC3554"/>
    <w:rsid w:val="00BC3599"/>
    <w:rsid w:val="00BC366E"/>
    <w:rsid w:val="00BC3788"/>
    <w:rsid w:val="00BC37D3"/>
    <w:rsid w:val="00BC3958"/>
    <w:rsid w:val="00BC3C42"/>
    <w:rsid w:val="00BC3C8A"/>
    <w:rsid w:val="00BC3F21"/>
    <w:rsid w:val="00BC403C"/>
    <w:rsid w:val="00BC439D"/>
    <w:rsid w:val="00BC4522"/>
    <w:rsid w:val="00BC4A2C"/>
    <w:rsid w:val="00BC4EB7"/>
    <w:rsid w:val="00BC502C"/>
    <w:rsid w:val="00BC5489"/>
    <w:rsid w:val="00BC574C"/>
    <w:rsid w:val="00BC5A9F"/>
    <w:rsid w:val="00BC5F48"/>
    <w:rsid w:val="00BC5F6C"/>
    <w:rsid w:val="00BC60F2"/>
    <w:rsid w:val="00BC61BB"/>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66B"/>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4426"/>
    <w:rsid w:val="00BD464B"/>
    <w:rsid w:val="00BD467C"/>
    <w:rsid w:val="00BD4763"/>
    <w:rsid w:val="00BD47F6"/>
    <w:rsid w:val="00BD47F9"/>
    <w:rsid w:val="00BD483D"/>
    <w:rsid w:val="00BD4A94"/>
    <w:rsid w:val="00BD4DD9"/>
    <w:rsid w:val="00BD4F16"/>
    <w:rsid w:val="00BD4F56"/>
    <w:rsid w:val="00BD4F7B"/>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71BA"/>
    <w:rsid w:val="00BD7461"/>
    <w:rsid w:val="00BD7499"/>
    <w:rsid w:val="00BD749F"/>
    <w:rsid w:val="00BD7514"/>
    <w:rsid w:val="00BD7519"/>
    <w:rsid w:val="00BD7592"/>
    <w:rsid w:val="00BD7A8B"/>
    <w:rsid w:val="00BE0023"/>
    <w:rsid w:val="00BE02F5"/>
    <w:rsid w:val="00BE0307"/>
    <w:rsid w:val="00BE041B"/>
    <w:rsid w:val="00BE0449"/>
    <w:rsid w:val="00BE0565"/>
    <w:rsid w:val="00BE0573"/>
    <w:rsid w:val="00BE07C2"/>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377"/>
    <w:rsid w:val="00BE25EA"/>
    <w:rsid w:val="00BE2772"/>
    <w:rsid w:val="00BE2946"/>
    <w:rsid w:val="00BE29E7"/>
    <w:rsid w:val="00BE2AA2"/>
    <w:rsid w:val="00BE2CBD"/>
    <w:rsid w:val="00BE2CD6"/>
    <w:rsid w:val="00BE2DF6"/>
    <w:rsid w:val="00BE2F20"/>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6E3"/>
    <w:rsid w:val="00BE47DD"/>
    <w:rsid w:val="00BE4966"/>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2A4"/>
    <w:rsid w:val="00BE653C"/>
    <w:rsid w:val="00BE66F1"/>
    <w:rsid w:val="00BE6A7A"/>
    <w:rsid w:val="00BE6C57"/>
    <w:rsid w:val="00BE6F71"/>
    <w:rsid w:val="00BE7377"/>
    <w:rsid w:val="00BE7381"/>
    <w:rsid w:val="00BE77BA"/>
    <w:rsid w:val="00BE7C29"/>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27"/>
    <w:rsid w:val="00BF20C8"/>
    <w:rsid w:val="00BF231A"/>
    <w:rsid w:val="00BF273B"/>
    <w:rsid w:val="00BF283D"/>
    <w:rsid w:val="00BF28C2"/>
    <w:rsid w:val="00BF28DB"/>
    <w:rsid w:val="00BF2B6B"/>
    <w:rsid w:val="00BF2D5C"/>
    <w:rsid w:val="00BF3315"/>
    <w:rsid w:val="00BF37D3"/>
    <w:rsid w:val="00BF37E4"/>
    <w:rsid w:val="00BF38C1"/>
    <w:rsid w:val="00BF3A26"/>
    <w:rsid w:val="00BF42A4"/>
    <w:rsid w:val="00BF4464"/>
    <w:rsid w:val="00BF44AD"/>
    <w:rsid w:val="00BF457C"/>
    <w:rsid w:val="00BF475A"/>
    <w:rsid w:val="00BF47B5"/>
    <w:rsid w:val="00BF48D2"/>
    <w:rsid w:val="00BF4A2A"/>
    <w:rsid w:val="00BF4A31"/>
    <w:rsid w:val="00BF4A61"/>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E7B"/>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1F5"/>
    <w:rsid w:val="00C002CF"/>
    <w:rsid w:val="00C004D7"/>
    <w:rsid w:val="00C00694"/>
    <w:rsid w:val="00C00723"/>
    <w:rsid w:val="00C0076A"/>
    <w:rsid w:val="00C00838"/>
    <w:rsid w:val="00C008D7"/>
    <w:rsid w:val="00C00ABB"/>
    <w:rsid w:val="00C00B5B"/>
    <w:rsid w:val="00C00C9F"/>
    <w:rsid w:val="00C00D24"/>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CF"/>
    <w:rsid w:val="00C03A89"/>
    <w:rsid w:val="00C03BD7"/>
    <w:rsid w:val="00C03E47"/>
    <w:rsid w:val="00C03FD4"/>
    <w:rsid w:val="00C0403A"/>
    <w:rsid w:val="00C040F1"/>
    <w:rsid w:val="00C041A7"/>
    <w:rsid w:val="00C04274"/>
    <w:rsid w:val="00C0430B"/>
    <w:rsid w:val="00C04391"/>
    <w:rsid w:val="00C04397"/>
    <w:rsid w:val="00C043B1"/>
    <w:rsid w:val="00C043C0"/>
    <w:rsid w:val="00C0459F"/>
    <w:rsid w:val="00C045C0"/>
    <w:rsid w:val="00C045DF"/>
    <w:rsid w:val="00C04861"/>
    <w:rsid w:val="00C049D4"/>
    <w:rsid w:val="00C04ACF"/>
    <w:rsid w:val="00C04B26"/>
    <w:rsid w:val="00C04B2B"/>
    <w:rsid w:val="00C04D39"/>
    <w:rsid w:val="00C04E04"/>
    <w:rsid w:val="00C04EDC"/>
    <w:rsid w:val="00C04FEF"/>
    <w:rsid w:val="00C05439"/>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34F"/>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AE"/>
    <w:rsid w:val="00C12B10"/>
    <w:rsid w:val="00C12ED4"/>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8B9"/>
    <w:rsid w:val="00C229E1"/>
    <w:rsid w:val="00C22A35"/>
    <w:rsid w:val="00C22A76"/>
    <w:rsid w:val="00C22D49"/>
    <w:rsid w:val="00C232D3"/>
    <w:rsid w:val="00C2353E"/>
    <w:rsid w:val="00C235CE"/>
    <w:rsid w:val="00C236AB"/>
    <w:rsid w:val="00C237E4"/>
    <w:rsid w:val="00C23C42"/>
    <w:rsid w:val="00C23DC3"/>
    <w:rsid w:val="00C23DDA"/>
    <w:rsid w:val="00C2414C"/>
    <w:rsid w:val="00C243F4"/>
    <w:rsid w:val="00C2445B"/>
    <w:rsid w:val="00C246C6"/>
    <w:rsid w:val="00C246E1"/>
    <w:rsid w:val="00C247A5"/>
    <w:rsid w:val="00C247CB"/>
    <w:rsid w:val="00C24868"/>
    <w:rsid w:val="00C248AD"/>
    <w:rsid w:val="00C249B9"/>
    <w:rsid w:val="00C24DA7"/>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B87"/>
    <w:rsid w:val="00C27E72"/>
    <w:rsid w:val="00C30071"/>
    <w:rsid w:val="00C30095"/>
    <w:rsid w:val="00C3053C"/>
    <w:rsid w:val="00C306A1"/>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06"/>
    <w:rsid w:val="00C32911"/>
    <w:rsid w:val="00C32C79"/>
    <w:rsid w:val="00C32F42"/>
    <w:rsid w:val="00C33191"/>
    <w:rsid w:val="00C33378"/>
    <w:rsid w:val="00C333BD"/>
    <w:rsid w:val="00C33416"/>
    <w:rsid w:val="00C3343B"/>
    <w:rsid w:val="00C33550"/>
    <w:rsid w:val="00C33854"/>
    <w:rsid w:val="00C33B6F"/>
    <w:rsid w:val="00C341B5"/>
    <w:rsid w:val="00C34203"/>
    <w:rsid w:val="00C34257"/>
    <w:rsid w:val="00C34448"/>
    <w:rsid w:val="00C347B5"/>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BA"/>
    <w:rsid w:val="00C37C97"/>
    <w:rsid w:val="00C37E0C"/>
    <w:rsid w:val="00C37E3C"/>
    <w:rsid w:val="00C37E82"/>
    <w:rsid w:val="00C4006F"/>
    <w:rsid w:val="00C40378"/>
    <w:rsid w:val="00C40461"/>
    <w:rsid w:val="00C4078E"/>
    <w:rsid w:val="00C40795"/>
    <w:rsid w:val="00C4082E"/>
    <w:rsid w:val="00C40A8D"/>
    <w:rsid w:val="00C40D72"/>
    <w:rsid w:val="00C40E22"/>
    <w:rsid w:val="00C40FD4"/>
    <w:rsid w:val="00C410CF"/>
    <w:rsid w:val="00C410FB"/>
    <w:rsid w:val="00C41145"/>
    <w:rsid w:val="00C412BC"/>
    <w:rsid w:val="00C4136E"/>
    <w:rsid w:val="00C413DB"/>
    <w:rsid w:val="00C41408"/>
    <w:rsid w:val="00C415A1"/>
    <w:rsid w:val="00C41A36"/>
    <w:rsid w:val="00C41AD9"/>
    <w:rsid w:val="00C41AF9"/>
    <w:rsid w:val="00C41DC8"/>
    <w:rsid w:val="00C42228"/>
    <w:rsid w:val="00C4234A"/>
    <w:rsid w:val="00C423E0"/>
    <w:rsid w:val="00C425F6"/>
    <w:rsid w:val="00C425F7"/>
    <w:rsid w:val="00C426DD"/>
    <w:rsid w:val="00C42949"/>
    <w:rsid w:val="00C42AC6"/>
    <w:rsid w:val="00C42ADC"/>
    <w:rsid w:val="00C42B4A"/>
    <w:rsid w:val="00C42BEB"/>
    <w:rsid w:val="00C42DFA"/>
    <w:rsid w:val="00C42E1C"/>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4EBF"/>
    <w:rsid w:val="00C450AF"/>
    <w:rsid w:val="00C45194"/>
    <w:rsid w:val="00C45377"/>
    <w:rsid w:val="00C45416"/>
    <w:rsid w:val="00C4584A"/>
    <w:rsid w:val="00C45A79"/>
    <w:rsid w:val="00C45B88"/>
    <w:rsid w:val="00C45BAC"/>
    <w:rsid w:val="00C46083"/>
    <w:rsid w:val="00C4618A"/>
    <w:rsid w:val="00C463EC"/>
    <w:rsid w:val="00C46552"/>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B36"/>
    <w:rsid w:val="00C52C6F"/>
    <w:rsid w:val="00C52D07"/>
    <w:rsid w:val="00C52EE1"/>
    <w:rsid w:val="00C53532"/>
    <w:rsid w:val="00C536CF"/>
    <w:rsid w:val="00C538E8"/>
    <w:rsid w:val="00C539F8"/>
    <w:rsid w:val="00C53C35"/>
    <w:rsid w:val="00C53C56"/>
    <w:rsid w:val="00C53D9F"/>
    <w:rsid w:val="00C53ED1"/>
    <w:rsid w:val="00C5410B"/>
    <w:rsid w:val="00C5418D"/>
    <w:rsid w:val="00C542EF"/>
    <w:rsid w:val="00C54363"/>
    <w:rsid w:val="00C5447E"/>
    <w:rsid w:val="00C54519"/>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AF"/>
    <w:rsid w:val="00C57DEA"/>
    <w:rsid w:val="00C57DEB"/>
    <w:rsid w:val="00C57FA0"/>
    <w:rsid w:val="00C6009B"/>
    <w:rsid w:val="00C601E3"/>
    <w:rsid w:val="00C6033B"/>
    <w:rsid w:val="00C604AE"/>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B83"/>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5E1"/>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6"/>
    <w:rsid w:val="00C67108"/>
    <w:rsid w:val="00C6727C"/>
    <w:rsid w:val="00C672EA"/>
    <w:rsid w:val="00C67378"/>
    <w:rsid w:val="00C673A1"/>
    <w:rsid w:val="00C67406"/>
    <w:rsid w:val="00C675FC"/>
    <w:rsid w:val="00C676ED"/>
    <w:rsid w:val="00C6781A"/>
    <w:rsid w:val="00C67C30"/>
    <w:rsid w:val="00C67C76"/>
    <w:rsid w:val="00C70053"/>
    <w:rsid w:val="00C70083"/>
    <w:rsid w:val="00C701F4"/>
    <w:rsid w:val="00C70352"/>
    <w:rsid w:val="00C703DE"/>
    <w:rsid w:val="00C704BF"/>
    <w:rsid w:val="00C70755"/>
    <w:rsid w:val="00C707C0"/>
    <w:rsid w:val="00C70831"/>
    <w:rsid w:val="00C70A53"/>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251"/>
    <w:rsid w:val="00C733DD"/>
    <w:rsid w:val="00C73673"/>
    <w:rsid w:val="00C73693"/>
    <w:rsid w:val="00C7394B"/>
    <w:rsid w:val="00C73AE1"/>
    <w:rsid w:val="00C73D29"/>
    <w:rsid w:val="00C73D89"/>
    <w:rsid w:val="00C7420C"/>
    <w:rsid w:val="00C74216"/>
    <w:rsid w:val="00C742A9"/>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40A"/>
    <w:rsid w:val="00C8255B"/>
    <w:rsid w:val="00C8256F"/>
    <w:rsid w:val="00C826D0"/>
    <w:rsid w:val="00C82764"/>
    <w:rsid w:val="00C8280C"/>
    <w:rsid w:val="00C82945"/>
    <w:rsid w:val="00C8296C"/>
    <w:rsid w:val="00C82A23"/>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E7F"/>
    <w:rsid w:val="00C83FF0"/>
    <w:rsid w:val="00C8414B"/>
    <w:rsid w:val="00C8429D"/>
    <w:rsid w:val="00C842AA"/>
    <w:rsid w:val="00C843A7"/>
    <w:rsid w:val="00C846A7"/>
    <w:rsid w:val="00C846E5"/>
    <w:rsid w:val="00C84731"/>
    <w:rsid w:val="00C847E5"/>
    <w:rsid w:val="00C84A05"/>
    <w:rsid w:val="00C84B12"/>
    <w:rsid w:val="00C84B41"/>
    <w:rsid w:val="00C85070"/>
    <w:rsid w:val="00C85794"/>
    <w:rsid w:val="00C858EE"/>
    <w:rsid w:val="00C859F2"/>
    <w:rsid w:val="00C85A40"/>
    <w:rsid w:val="00C85E5E"/>
    <w:rsid w:val="00C85E62"/>
    <w:rsid w:val="00C85E79"/>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928"/>
    <w:rsid w:val="00C90B24"/>
    <w:rsid w:val="00C90EF8"/>
    <w:rsid w:val="00C90F2D"/>
    <w:rsid w:val="00C90F6B"/>
    <w:rsid w:val="00C91158"/>
    <w:rsid w:val="00C91220"/>
    <w:rsid w:val="00C91427"/>
    <w:rsid w:val="00C91448"/>
    <w:rsid w:val="00C91478"/>
    <w:rsid w:val="00C914CA"/>
    <w:rsid w:val="00C91548"/>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BC4"/>
    <w:rsid w:val="00C92C0D"/>
    <w:rsid w:val="00C92DEB"/>
    <w:rsid w:val="00C92EDA"/>
    <w:rsid w:val="00C92F05"/>
    <w:rsid w:val="00C93001"/>
    <w:rsid w:val="00C9308F"/>
    <w:rsid w:val="00C930EF"/>
    <w:rsid w:val="00C93100"/>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C0D"/>
    <w:rsid w:val="00C95D1F"/>
    <w:rsid w:val="00C95E61"/>
    <w:rsid w:val="00C96181"/>
    <w:rsid w:val="00C9633F"/>
    <w:rsid w:val="00C963F1"/>
    <w:rsid w:val="00C9676F"/>
    <w:rsid w:val="00C968FA"/>
    <w:rsid w:val="00C96B5A"/>
    <w:rsid w:val="00C96D17"/>
    <w:rsid w:val="00C96DA1"/>
    <w:rsid w:val="00C96E2B"/>
    <w:rsid w:val="00C9708D"/>
    <w:rsid w:val="00C9739C"/>
    <w:rsid w:val="00C974AD"/>
    <w:rsid w:val="00C97727"/>
    <w:rsid w:val="00C977AB"/>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06B"/>
    <w:rsid w:val="00CA219E"/>
    <w:rsid w:val="00CA2423"/>
    <w:rsid w:val="00CA254B"/>
    <w:rsid w:val="00CA275E"/>
    <w:rsid w:val="00CA279F"/>
    <w:rsid w:val="00CA29B0"/>
    <w:rsid w:val="00CA2A01"/>
    <w:rsid w:val="00CA2B57"/>
    <w:rsid w:val="00CA2CFF"/>
    <w:rsid w:val="00CA2DC0"/>
    <w:rsid w:val="00CA2EF8"/>
    <w:rsid w:val="00CA312C"/>
    <w:rsid w:val="00CA3204"/>
    <w:rsid w:val="00CA3457"/>
    <w:rsid w:val="00CA3512"/>
    <w:rsid w:val="00CA3609"/>
    <w:rsid w:val="00CA36B9"/>
    <w:rsid w:val="00CA3B7F"/>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18"/>
    <w:rsid w:val="00CB05A7"/>
    <w:rsid w:val="00CB0628"/>
    <w:rsid w:val="00CB087C"/>
    <w:rsid w:val="00CB0BE8"/>
    <w:rsid w:val="00CB0DA9"/>
    <w:rsid w:val="00CB0ECC"/>
    <w:rsid w:val="00CB0ECE"/>
    <w:rsid w:val="00CB0FD6"/>
    <w:rsid w:val="00CB10D6"/>
    <w:rsid w:val="00CB158C"/>
    <w:rsid w:val="00CB1644"/>
    <w:rsid w:val="00CB166C"/>
    <w:rsid w:val="00CB2306"/>
    <w:rsid w:val="00CB24BA"/>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29B"/>
    <w:rsid w:val="00CC04D0"/>
    <w:rsid w:val="00CC050E"/>
    <w:rsid w:val="00CC05C0"/>
    <w:rsid w:val="00CC082E"/>
    <w:rsid w:val="00CC0AE7"/>
    <w:rsid w:val="00CC0B3B"/>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1E"/>
    <w:rsid w:val="00CC5D3F"/>
    <w:rsid w:val="00CC600A"/>
    <w:rsid w:val="00CC603C"/>
    <w:rsid w:val="00CC61EA"/>
    <w:rsid w:val="00CC6227"/>
    <w:rsid w:val="00CC64AF"/>
    <w:rsid w:val="00CC6A0F"/>
    <w:rsid w:val="00CC6A8B"/>
    <w:rsid w:val="00CC6B8D"/>
    <w:rsid w:val="00CC6CCC"/>
    <w:rsid w:val="00CC6DBC"/>
    <w:rsid w:val="00CC6F1F"/>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63F"/>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212"/>
    <w:rsid w:val="00CD3405"/>
    <w:rsid w:val="00CD3775"/>
    <w:rsid w:val="00CD37F4"/>
    <w:rsid w:val="00CD38E3"/>
    <w:rsid w:val="00CD38EA"/>
    <w:rsid w:val="00CD3B44"/>
    <w:rsid w:val="00CD3BB6"/>
    <w:rsid w:val="00CD3E93"/>
    <w:rsid w:val="00CD3F35"/>
    <w:rsid w:val="00CD3FB1"/>
    <w:rsid w:val="00CD469C"/>
    <w:rsid w:val="00CD46E6"/>
    <w:rsid w:val="00CD47EA"/>
    <w:rsid w:val="00CD498A"/>
    <w:rsid w:val="00CD499B"/>
    <w:rsid w:val="00CD4A15"/>
    <w:rsid w:val="00CD4E06"/>
    <w:rsid w:val="00CD521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D36"/>
    <w:rsid w:val="00CD6FD4"/>
    <w:rsid w:val="00CD701A"/>
    <w:rsid w:val="00CD7044"/>
    <w:rsid w:val="00CD7045"/>
    <w:rsid w:val="00CD7247"/>
    <w:rsid w:val="00CD77CC"/>
    <w:rsid w:val="00CD784C"/>
    <w:rsid w:val="00CD793A"/>
    <w:rsid w:val="00CD7990"/>
    <w:rsid w:val="00CD79E8"/>
    <w:rsid w:val="00CD7CA1"/>
    <w:rsid w:val="00CD7F94"/>
    <w:rsid w:val="00CE0275"/>
    <w:rsid w:val="00CE02CA"/>
    <w:rsid w:val="00CE0432"/>
    <w:rsid w:val="00CE0592"/>
    <w:rsid w:val="00CE0734"/>
    <w:rsid w:val="00CE0795"/>
    <w:rsid w:val="00CE07BD"/>
    <w:rsid w:val="00CE0AB0"/>
    <w:rsid w:val="00CE0C58"/>
    <w:rsid w:val="00CE0D8A"/>
    <w:rsid w:val="00CE0DB6"/>
    <w:rsid w:val="00CE0F77"/>
    <w:rsid w:val="00CE10EB"/>
    <w:rsid w:val="00CE110B"/>
    <w:rsid w:val="00CE12A3"/>
    <w:rsid w:val="00CE12D1"/>
    <w:rsid w:val="00CE12EC"/>
    <w:rsid w:val="00CE1347"/>
    <w:rsid w:val="00CE145C"/>
    <w:rsid w:val="00CE17FD"/>
    <w:rsid w:val="00CE1A30"/>
    <w:rsid w:val="00CE1B7A"/>
    <w:rsid w:val="00CE1C34"/>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663"/>
    <w:rsid w:val="00CE372B"/>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78B"/>
    <w:rsid w:val="00CE58B1"/>
    <w:rsid w:val="00CE5906"/>
    <w:rsid w:val="00CE5D2F"/>
    <w:rsid w:val="00CE5EF0"/>
    <w:rsid w:val="00CE605C"/>
    <w:rsid w:val="00CE614D"/>
    <w:rsid w:val="00CE666C"/>
    <w:rsid w:val="00CE6988"/>
    <w:rsid w:val="00CE699A"/>
    <w:rsid w:val="00CE69F7"/>
    <w:rsid w:val="00CE6A4D"/>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CC0"/>
    <w:rsid w:val="00CF0FE3"/>
    <w:rsid w:val="00CF1187"/>
    <w:rsid w:val="00CF12EF"/>
    <w:rsid w:val="00CF1390"/>
    <w:rsid w:val="00CF1498"/>
    <w:rsid w:val="00CF15E9"/>
    <w:rsid w:val="00CF16C1"/>
    <w:rsid w:val="00CF175F"/>
    <w:rsid w:val="00CF176B"/>
    <w:rsid w:val="00CF1821"/>
    <w:rsid w:val="00CF1914"/>
    <w:rsid w:val="00CF1A7C"/>
    <w:rsid w:val="00CF1C40"/>
    <w:rsid w:val="00CF1DF2"/>
    <w:rsid w:val="00CF1F5C"/>
    <w:rsid w:val="00CF2009"/>
    <w:rsid w:val="00CF2056"/>
    <w:rsid w:val="00CF2243"/>
    <w:rsid w:val="00CF229B"/>
    <w:rsid w:val="00CF25A2"/>
    <w:rsid w:val="00CF263A"/>
    <w:rsid w:val="00CF2918"/>
    <w:rsid w:val="00CF29E6"/>
    <w:rsid w:val="00CF2D32"/>
    <w:rsid w:val="00CF2F3C"/>
    <w:rsid w:val="00CF306E"/>
    <w:rsid w:val="00CF3077"/>
    <w:rsid w:val="00CF34DA"/>
    <w:rsid w:val="00CF3BA7"/>
    <w:rsid w:val="00CF3EFE"/>
    <w:rsid w:val="00CF3FF4"/>
    <w:rsid w:val="00CF40F4"/>
    <w:rsid w:val="00CF42C3"/>
    <w:rsid w:val="00CF446E"/>
    <w:rsid w:val="00CF456E"/>
    <w:rsid w:val="00CF4663"/>
    <w:rsid w:val="00CF46A0"/>
    <w:rsid w:val="00CF46D3"/>
    <w:rsid w:val="00CF4743"/>
    <w:rsid w:val="00CF4909"/>
    <w:rsid w:val="00CF49A4"/>
    <w:rsid w:val="00CF4B45"/>
    <w:rsid w:val="00CF4DEC"/>
    <w:rsid w:val="00CF4FF6"/>
    <w:rsid w:val="00CF5036"/>
    <w:rsid w:val="00CF5139"/>
    <w:rsid w:val="00CF521F"/>
    <w:rsid w:val="00CF525D"/>
    <w:rsid w:val="00CF52A1"/>
    <w:rsid w:val="00CF537E"/>
    <w:rsid w:val="00CF5406"/>
    <w:rsid w:val="00CF57AA"/>
    <w:rsid w:val="00CF57C4"/>
    <w:rsid w:val="00CF597A"/>
    <w:rsid w:val="00CF5B06"/>
    <w:rsid w:val="00CF6130"/>
    <w:rsid w:val="00CF6136"/>
    <w:rsid w:val="00CF6235"/>
    <w:rsid w:val="00CF63E5"/>
    <w:rsid w:val="00CF6442"/>
    <w:rsid w:val="00CF66AB"/>
    <w:rsid w:val="00CF67A3"/>
    <w:rsid w:val="00CF6868"/>
    <w:rsid w:val="00CF6888"/>
    <w:rsid w:val="00CF693B"/>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29"/>
    <w:rsid w:val="00D00F33"/>
    <w:rsid w:val="00D00FCA"/>
    <w:rsid w:val="00D01294"/>
    <w:rsid w:val="00D0145C"/>
    <w:rsid w:val="00D015C2"/>
    <w:rsid w:val="00D0168E"/>
    <w:rsid w:val="00D0186D"/>
    <w:rsid w:val="00D01948"/>
    <w:rsid w:val="00D019F6"/>
    <w:rsid w:val="00D01A1F"/>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496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76B"/>
    <w:rsid w:val="00D07875"/>
    <w:rsid w:val="00D07B29"/>
    <w:rsid w:val="00D07C1E"/>
    <w:rsid w:val="00D07C80"/>
    <w:rsid w:val="00D07C9B"/>
    <w:rsid w:val="00D07CF4"/>
    <w:rsid w:val="00D10043"/>
    <w:rsid w:val="00D1005F"/>
    <w:rsid w:val="00D100C3"/>
    <w:rsid w:val="00D10150"/>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18"/>
    <w:rsid w:val="00D14E9E"/>
    <w:rsid w:val="00D14F53"/>
    <w:rsid w:val="00D15000"/>
    <w:rsid w:val="00D1508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966"/>
    <w:rsid w:val="00D20A08"/>
    <w:rsid w:val="00D20EB7"/>
    <w:rsid w:val="00D20F72"/>
    <w:rsid w:val="00D20F8D"/>
    <w:rsid w:val="00D210F0"/>
    <w:rsid w:val="00D21759"/>
    <w:rsid w:val="00D218EE"/>
    <w:rsid w:val="00D21CF3"/>
    <w:rsid w:val="00D2203C"/>
    <w:rsid w:val="00D221D6"/>
    <w:rsid w:val="00D2227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32"/>
    <w:rsid w:val="00D2485D"/>
    <w:rsid w:val="00D24870"/>
    <w:rsid w:val="00D24C8F"/>
    <w:rsid w:val="00D25282"/>
    <w:rsid w:val="00D252C6"/>
    <w:rsid w:val="00D2562B"/>
    <w:rsid w:val="00D25A38"/>
    <w:rsid w:val="00D25A4B"/>
    <w:rsid w:val="00D25AB9"/>
    <w:rsid w:val="00D25AE4"/>
    <w:rsid w:val="00D25CA0"/>
    <w:rsid w:val="00D25E0A"/>
    <w:rsid w:val="00D25F7E"/>
    <w:rsid w:val="00D260BC"/>
    <w:rsid w:val="00D262E1"/>
    <w:rsid w:val="00D26A41"/>
    <w:rsid w:val="00D26AA2"/>
    <w:rsid w:val="00D26ADA"/>
    <w:rsid w:val="00D26B28"/>
    <w:rsid w:val="00D26B80"/>
    <w:rsid w:val="00D26F19"/>
    <w:rsid w:val="00D27149"/>
    <w:rsid w:val="00D27642"/>
    <w:rsid w:val="00D277E2"/>
    <w:rsid w:val="00D278CD"/>
    <w:rsid w:val="00D30004"/>
    <w:rsid w:val="00D3004D"/>
    <w:rsid w:val="00D30202"/>
    <w:rsid w:val="00D307F7"/>
    <w:rsid w:val="00D309E3"/>
    <w:rsid w:val="00D30B11"/>
    <w:rsid w:val="00D30BA8"/>
    <w:rsid w:val="00D30BED"/>
    <w:rsid w:val="00D30D70"/>
    <w:rsid w:val="00D3111E"/>
    <w:rsid w:val="00D311F7"/>
    <w:rsid w:val="00D311FC"/>
    <w:rsid w:val="00D3123E"/>
    <w:rsid w:val="00D315C1"/>
    <w:rsid w:val="00D31615"/>
    <w:rsid w:val="00D31649"/>
    <w:rsid w:val="00D316B4"/>
    <w:rsid w:val="00D317D0"/>
    <w:rsid w:val="00D319FC"/>
    <w:rsid w:val="00D31AD6"/>
    <w:rsid w:val="00D31C25"/>
    <w:rsid w:val="00D31D75"/>
    <w:rsid w:val="00D320E6"/>
    <w:rsid w:val="00D326D7"/>
    <w:rsid w:val="00D32A0E"/>
    <w:rsid w:val="00D32D4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248"/>
    <w:rsid w:val="00D34BA5"/>
    <w:rsid w:val="00D34D6D"/>
    <w:rsid w:val="00D34E7D"/>
    <w:rsid w:val="00D352AB"/>
    <w:rsid w:val="00D35515"/>
    <w:rsid w:val="00D35722"/>
    <w:rsid w:val="00D3575C"/>
    <w:rsid w:val="00D35824"/>
    <w:rsid w:val="00D35865"/>
    <w:rsid w:val="00D35AA0"/>
    <w:rsid w:val="00D35C5B"/>
    <w:rsid w:val="00D35DF4"/>
    <w:rsid w:val="00D35E33"/>
    <w:rsid w:val="00D35E94"/>
    <w:rsid w:val="00D360C3"/>
    <w:rsid w:val="00D363D1"/>
    <w:rsid w:val="00D36435"/>
    <w:rsid w:val="00D36546"/>
    <w:rsid w:val="00D366F4"/>
    <w:rsid w:val="00D367E0"/>
    <w:rsid w:val="00D3692C"/>
    <w:rsid w:val="00D36B4F"/>
    <w:rsid w:val="00D36C51"/>
    <w:rsid w:val="00D370D2"/>
    <w:rsid w:val="00D37296"/>
    <w:rsid w:val="00D373AC"/>
    <w:rsid w:val="00D3753E"/>
    <w:rsid w:val="00D3761D"/>
    <w:rsid w:val="00D3791D"/>
    <w:rsid w:val="00D37924"/>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2"/>
    <w:rsid w:val="00D41B94"/>
    <w:rsid w:val="00D41CB5"/>
    <w:rsid w:val="00D41D7B"/>
    <w:rsid w:val="00D420EE"/>
    <w:rsid w:val="00D42159"/>
    <w:rsid w:val="00D4234D"/>
    <w:rsid w:val="00D42388"/>
    <w:rsid w:val="00D423AE"/>
    <w:rsid w:val="00D42797"/>
    <w:rsid w:val="00D429F7"/>
    <w:rsid w:val="00D42E8F"/>
    <w:rsid w:val="00D42F4B"/>
    <w:rsid w:val="00D43019"/>
    <w:rsid w:val="00D430E4"/>
    <w:rsid w:val="00D433FA"/>
    <w:rsid w:val="00D43587"/>
    <w:rsid w:val="00D437E9"/>
    <w:rsid w:val="00D43A00"/>
    <w:rsid w:val="00D43A18"/>
    <w:rsid w:val="00D43A7A"/>
    <w:rsid w:val="00D43B8C"/>
    <w:rsid w:val="00D43EF6"/>
    <w:rsid w:val="00D43EF8"/>
    <w:rsid w:val="00D4454F"/>
    <w:rsid w:val="00D44848"/>
    <w:rsid w:val="00D44A20"/>
    <w:rsid w:val="00D44A89"/>
    <w:rsid w:val="00D44B32"/>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7A1"/>
    <w:rsid w:val="00D47918"/>
    <w:rsid w:val="00D4799B"/>
    <w:rsid w:val="00D47A75"/>
    <w:rsid w:val="00D47AAF"/>
    <w:rsid w:val="00D47AF3"/>
    <w:rsid w:val="00D47D11"/>
    <w:rsid w:val="00D47EC1"/>
    <w:rsid w:val="00D47ED8"/>
    <w:rsid w:val="00D47F4F"/>
    <w:rsid w:val="00D47F6D"/>
    <w:rsid w:val="00D50296"/>
    <w:rsid w:val="00D50399"/>
    <w:rsid w:val="00D5039C"/>
    <w:rsid w:val="00D50529"/>
    <w:rsid w:val="00D50595"/>
    <w:rsid w:val="00D5074D"/>
    <w:rsid w:val="00D5075C"/>
    <w:rsid w:val="00D5078E"/>
    <w:rsid w:val="00D50885"/>
    <w:rsid w:val="00D508CA"/>
    <w:rsid w:val="00D50953"/>
    <w:rsid w:val="00D50BC7"/>
    <w:rsid w:val="00D50C37"/>
    <w:rsid w:val="00D50CA5"/>
    <w:rsid w:val="00D50E67"/>
    <w:rsid w:val="00D5101E"/>
    <w:rsid w:val="00D51028"/>
    <w:rsid w:val="00D5105C"/>
    <w:rsid w:val="00D51115"/>
    <w:rsid w:val="00D5126E"/>
    <w:rsid w:val="00D512F4"/>
    <w:rsid w:val="00D5152C"/>
    <w:rsid w:val="00D51D15"/>
    <w:rsid w:val="00D51FE3"/>
    <w:rsid w:val="00D52007"/>
    <w:rsid w:val="00D52191"/>
    <w:rsid w:val="00D5224E"/>
    <w:rsid w:val="00D52276"/>
    <w:rsid w:val="00D5242B"/>
    <w:rsid w:val="00D526B7"/>
    <w:rsid w:val="00D5296F"/>
    <w:rsid w:val="00D529D8"/>
    <w:rsid w:val="00D53501"/>
    <w:rsid w:val="00D535D7"/>
    <w:rsid w:val="00D53A2D"/>
    <w:rsid w:val="00D53B02"/>
    <w:rsid w:val="00D53C72"/>
    <w:rsid w:val="00D54299"/>
    <w:rsid w:val="00D54399"/>
    <w:rsid w:val="00D5484C"/>
    <w:rsid w:val="00D54937"/>
    <w:rsid w:val="00D54A68"/>
    <w:rsid w:val="00D54BCA"/>
    <w:rsid w:val="00D54D4A"/>
    <w:rsid w:val="00D54DD5"/>
    <w:rsid w:val="00D54DF1"/>
    <w:rsid w:val="00D54F96"/>
    <w:rsid w:val="00D54FDC"/>
    <w:rsid w:val="00D5511B"/>
    <w:rsid w:val="00D555F4"/>
    <w:rsid w:val="00D5574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78E"/>
    <w:rsid w:val="00D57A69"/>
    <w:rsid w:val="00D57C46"/>
    <w:rsid w:val="00D57C79"/>
    <w:rsid w:val="00D57D3D"/>
    <w:rsid w:val="00D60160"/>
    <w:rsid w:val="00D60183"/>
    <w:rsid w:val="00D602BF"/>
    <w:rsid w:val="00D603C4"/>
    <w:rsid w:val="00D604E6"/>
    <w:rsid w:val="00D60534"/>
    <w:rsid w:val="00D605DA"/>
    <w:rsid w:val="00D60752"/>
    <w:rsid w:val="00D607F8"/>
    <w:rsid w:val="00D609A0"/>
    <w:rsid w:val="00D60B12"/>
    <w:rsid w:val="00D60D30"/>
    <w:rsid w:val="00D60D80"/>
    <w:rsid w:val="00D60E19"/>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1F46"/>
    <w:rsid w:val="00D620B5"/>
    <w:rsid w:val="00D621F6"/>
    <w:rsid w:val="00D62438"/>
    <w:rsid w:val="00D6276A"/>
    <w:rsid w:val="00D6284B"/>
    <w:rsid w:val="00D628E8"/>
    <w:rsid w:val="00D6290F"/>
    <w:rsid w:val="00D62A44"/>
    <w:rsid w:val="00D62F50"/>
    <w:rsid w:val="00D632B1"/>
    <w:rsid w:val="00D63590"/>
    <w:rsid w:val="00D6386D"/>
    <w:rsid w:val="00D63A0D"/>
    <w:rsid w:val="00D63A40"/>
    <w:rsid w:val="00D63B51"/>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B6"/>
    <w:rsid w:val="00D65EF2"/>
    <w:rsid w:val="00D66157"/>
    <w:rsid w:val="00D66189"/>
    <w:rsid w:val="00D66288"/>
    <w:rsid w:val="00D662EB"/>
    <w:rsid w:val="00D663C5"/>
    <w:rsid w:val="00D663EC"/>
    <w:rsid w:val="00D66581"/>
    <w:rsid w:val="00D666C3"/>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4A"/>
    <w:rsid w:val="00D71FC6"/>
    <w:rsid w:val="00D7247B"/>
    <w:rsid w:val="00D725E0"/>
    <w:rsid w:val="00D72910"/>
    <w:rsid w:val="00D72A05"/>
    <w:rsid w:val="00D72A73"/>
    <w:rsid w:val="00D72C71"/>
    <w:rsid w:val="00D72CB3"/>
    <w:rsid w:val="00D72DF4"/>
    <w:rsid w:val="00D72F09"/>
    <w:rsid w:val="00D7309B"/>
    <w:rsid w:val="00D730B4"/>
    <w:rsid w:val="00D732E8"/>
    <w:rsid w:val="00D73560"/>
    <w:rsid w:val="00D7368C"/>
    <w:rsid w:val="00D73699"/>
    <w:rsid w:val="00D738EE"/>
    <w:rsid w:val="00D73C17"/>
    <w:rsid w:val="00D73FEA"/>
    <w:rsid w:val="00D74231"/>
    <w:rsid w:val="00D742A7"/>
    <w:rsid w:val="00D7446E"/>
    <w:rsid w:val="00D74704"/>
    <w:rsid w:val="00D7497A"/>
    <w:rsid w:val="00D74A7D"/>
    <w:rsid w:val="00D74B9D"/>
    <w:rsid w:val="00D74C29"/>
    <w:rsid w:val="00D74D14"/>
    <w:rsid w:val="00D7505F"/>
    <w:rsid w:val="00D754C1"/>
    <w:rsid w:val="00D754E9"/>
    <w:rsid w:val="00D75BE6"/>
    <w:rsid w:val="00D75CA4"/>
    <w:rsid w:val="00D75D68"/>
    <w:rsid w:val="00D75FC5"/>
    <w:rsid w:val="00D7613F"/>
    <w:rsid w:val="00D762BA"/>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2E9"/>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A1"/>
    <w:rsid w:val="00D830C9"/>
    <w:rsid w:val="00D83122"/>
    <w:rsid w:val="00D8322E"/>
    <w:rsid w:val="00D832AE"/>
    <w:rsid w:val="00D83478"/>
    <w:rsid w:val="00D83493"/>
    <w:rsid w:val="00D836DA"/>
    <w:rsid w:val="00D83800"/>
    <w:rsid w:val="00D83856"/>
    <w:rsid w:val="00D83B01"/>
    <w:rsid w:val="00D83C5D"/>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88"/>
    <w:rsid w:val="00D867C0"/>
    <w:rsid w:val="00D86895"/>
    <w:rsid w:val="00D86B0C"/>
    <w:rsid w:val="00D87135"/>
    <w:rsid w:val="00D871BD"/>
    <w:rsid w:val="00D872D3"/>
    <w:rsid w:val="00D87594"/>
    <w:rsid w:val="00D878C2"/>
    <w:rsid w:val="00D8796D"/>
    <w:rsid w:val="00D879ED"/>
    <w:rsid w:val="00D87ED2"/>
    <w:rsid w:val="00D87F1B"/>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3CB"/>
    <w:rsid w:val="00D926FE"/>
    <w:rsid w:val="00D92A16"/>
    <w:rsid w:val="00D92A5D"/>
    <w:rsid w:val="00D92CA0"/>
    <w:rsid w:val="00D92CE0"/>
    <w:rsid w:val="00D92DF8"/>
    <w:rsid w:val="00D92EC5"/>
    <w:rsid w:val="00D92F0A"/>
    <w:rsid w:val="00D92F6F"/>
    <w:rsid w:val="00D9323C"/>
    <w:rsid w:val="00D933CF"/>
    <w:rsid w:val="00D934D0"/>
    <w:rsid w:val="00D93678"/>
    <w:rsid w:val="00D936E3"/>
    <w:rsid w:val="00D93AE7"/>
    <w:rsid w:val="00D93C80"/>
    <w:rsid w:val="00D93D86"/>
    <w:rsid w:val="00D93F1C"/>
    <w:rsid w:val="00D93F3E"/>
    <w:rsid w:val="00D93F74"/>
    <w:rsid w:val="00D94015"/>
    <w:rsid w:val="00D94692"/>
    <w:rsid w:val="00D94B7D"/>
    <w:rsid w:val="00D94C27"/>
    <w:rsid w:val="00D950E5"/>
    <w:rsid w:val="00D95302"/>
    <w:rsid w:val="00D9534D"/>
    <w:rsid w:val="00D956AA"/>
    <w:rsid w:val="00D95733"/>
    <w:rsid w:val="00D959D4"/>
    <w:rsid w:val="00D95A4D"/>
    <w:rsid w:val="00D95BB6"/>
    <w:rsid w:val="00D95CD2"/>
    <w:rsid w:val="00D95F46"/>
    <w:rsid w:val="00D9621C"/>
    <w:rsid w:val="00D962E9"/>
    <w:rsid w:val="00D966EF"/>
    <w:rsid w:val="00D96984"/>
    <w:rsid w:val="00D96C84"/>
    <w:rsid w:val="00D96DD1"/>
    <w:rsid w:val="00D96E4C"/>
    <w:rsid w:val="00D96F99"/>
    <w:rsid w:val="00D97301"/>
    <w:rsid w:val="00D97489"/>
    <w:rsid w:val="00D97673"/>
    <w:rsid w:val="00D976A8"/>
    <w:rsid w:val="00D97720"/>
    <w:rsid w:val="00D977E2"/>
    <w:rsid w:val="00D97B30"/>
    <w:rsid w:val="00D97BC8"/>
    <w:rsid w:val="00D97C98"/>
    <w:rsid w:val="00D97D77"/>
    <w:rsid w:val="00DA0225"/>
    <w:rsid w:val="00DA0518"/>
    <w:rsid w:val="00DA094C"/>
    <w:rsid w:val="00DA0A8C"/>
    <w:rsid w:val="00DA0B0A"/>
    <w:rsid w:val="00DA0CBF"/>
    <w:rsid w:val="00DA0DBF"/>
    <w:rsid w:val="00DA0ECB"/>
    <w:rsid w:val="00DA1500"/>
    <w:rsid w:val="00DA1752"/>
    <w:rsid w:val="00DA1856"/>
    <w:rsid w:val="00DA1933"/>
    <w:rsid w:val="00DA1CF6"/>
    <w:rsid w:val="00DA1EBA"/>
    <w:rsid w:val="00DA214B"/>
    <w:rsid w:val="00DA2195"/>
    <w:rsid w:val="00DA22F5"/>
    <w:rsid w:val="00DA23C4"/>
    <w:rsid w:val="00DA255A"/>
    <w:rsid w:val="00DA25EB"/>
    <w:rsid w:val="00DA26C7"/>
    <w:rsid w:val="00DA2797"/>
    <w:rsid w:val="00DA2D5A"/>
    <w:rsid w:val="00DA2FDC"/>
    <w:rsid w:val="00DA304E"/>
    <w:rsid w:val="00DA30D2"/>
    <w:rsid w:val="00DA3166"/>
    <w:rsid w:val="00DA3209"/>
    <w:rsid w:val="00DA32A2"/>
    <w:rsid w:val="00DA32E8"/>
    <w:rsid w:val="00DA346C"/>
    <w:rsid w:val="00DA3629"/>
    <w:rsid w:val="00DA3631"/>
    <w:rsid w:val="00DA3797"/>
    <w:rsid w:val="00DA3846"/>
    <w:rsid w:val="00DA3A8B"/>
    <w:rsid w:val="00DA3B3D"/>
    <w:rsid w:val="00DA3D43"/>
    <w:rsid w:val="00DA4122"/>
    <w:rsid w:val="00DA41BD"/>
    <w:rsid w:val="00DA4377"/>
    <w:rsid w:val="00DA451E"/>
    <w:rsid w:val="00DA4574"/>
    <w:rsid w:val="00DA47A5"/>
    <w:rsid w:val="00DA4B31"/>
    <w:rsid w:val="00DA4EEA"/>
    <w:rsid w:val="00DA4FB5"/>
    <w:rsid w:val="00DA504E"/>
    <w:rsid w:val="00DA5151"/>
    <w:rsid w:val="00DA5286"/>
    <w:rsid w:val="00DA52A4"/>
    <w:rsid w:val="00DA576D"/>
    <w:rsid w:val="00DA5780"/>
    <w:rsid w:val="00DA58CF"/>
    <w:rsid w:val="00DA628C"/>
    <w:rsid w:val="00DA631D"/>
    <w:rsid w:val="00DA644D"/>
    <w:rsid w:val="00DA6688"/>
    <w:rsid w:val="00DA66FA"/>
    <w:rsid w:val="00DA67BD"/>
    <w:rsid w:val="00DA68F9"/>
    <w:rsid w:val="00DA6941"/>
    <w:rsid w:val="00DA6AF3"/>
    <w:rsid w:val="00DA6B66"/>
    <w:rsid w:val="00DA6BAD"/>
    <w:rsid w:val="00DA6FB2"/>
    <w:rsid w:val="00DA7051"/>
    <w:rsid w:val="00DA71E8"/>
    <w:rsid w:val="00DA7245"/>
    <w:rsid w:val="00DA73D0"/>
    <w:rsid w:val="00DA74FB"/>
    <w:rsid w:val="00DA7583"/>
    <w:rsid w:val="00DA7813"/>
    <w:rsid w:val="00DB01B4"/>
    <w:rsid w:val="00DB02E5"/>
    <w:rsid w:val="00DB0370"/>
    <w:rsid w:val="00DB04D5"/>
    <w:rsid w:val="00DB05DD"/>
    <w:rsid w:val="00DB063C"/>
    <w:rsid w:val="00DB070C"/>
    <w:rsid w:val="00DB073F"/>
    <w:rsid w:val="00DB0807"/>
    <w:rsid w:val="00DB0883"/>
    <w:rsid w:val="00DB0CEF"/>
    <w:rsid w:val="00DB0D3B"/>
    <w:rsid w:val="00DB0E92"/>
    <w:rsid w:val="00DB0ECF"/>
    <w:rsid w:val="00DB11D2"/>
    <w:rsid w:val="00DB13CE"/>
    <w:rsid w:val="00DB151C"/>
    <w:rsid w:val="00DB1770"/>
    <w:rsid w:val="00DB17B4"/>
    <w:rsid w:val="00DB1826"/>
    <w:rsid w:val="00DB1857"/>
    <w:rsid w:val="00DB19FF"/>
    <w:rsid w:val="00DB1B90"/>
    <w:rsid w:val="00DB1BE9"/>
    <w:rsid w:val="00DB1CF8"/>
    <w:rsid w:val="00DB1E0D"/>
    <w:rsid w:val="00DB26BE"/>
    <w:rsid w:val="00DB2750"/>
    <w:rsid w:val="00DB292D"/>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72"/>
    <w:rsid w:val="00DB439B"/>
    <w:rsid w:val="00DB444D"/>
    <w:rsid w:val="00DB4609"/>
    <w:rsid w:val="00DB47E3"/>
    <w:rsid w:val="00DB4861"/>
    <w:rsid w:val="00DB4866"/>
    <w:rsid w:val="00DB4FA5"/>
    <w:rsid w:val="00DB5233"/>
    <w:rsid w:val="00DB5456"/>
    <w:rsid w:val="00DB54D6"/>
    <w:rsid w:val="00DB5761"/>
    <w:rsid w:val="00DB58B7"/>
    <w:rsid w:val="00DB5A23"/>
    <w:rsid w:val="00DB5BA6"/>
    <w:rsid w:val="00DB5D9A"/>
    <w:rsid w:val="00DB5F6C"/>
    <w:rsid w:val="00DB630F"/>
    <w:rsid w:val="00DB638F"/>
    <w:rsid w:val="00DB65AA"/>
    <w:rsid w:val="00DB65C0"/>
    <w:rsid w:val="00DB6617"/>
    <w:rsid w:val="00DB68FD"/>
    <w:rsid w:val="00DB6A01"/>
    <w:rsid w:val="00DB6C8D"/>
    <w:rsid w:val="00DB6D30"/>
    <w:rsid w:val="00DB6DDA"/>
    <w:rsid w:val="00DB6E3B"/>
    <w:rsid w:val="00DB71A0"/>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A27"/>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A10"/>
    <w:rsid w:val="00DC3BFA"/>
    <w:rsid w:val="00DC3C2A"/>
    <w:rsid w:val="00DC3D33"/>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8B3"/>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519"/>
    <w:rsid w:val="00DC77EB"/>
    <w:rsid w:val="00DC7A33"/>
    <w:rsid w:val="00DC7EF1"/>
    <w:rsid w:val="00DD0112"/>
    <w:rsid w:val="00DD0193"/>
    <w:rsid w:val="00DD02E9"/>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ABD"/>
    <w:rsid w:val="00DD1DF8"/>
    <w:rsid w:val="00DD21B2"/>
    <w:rsid w:val="00DD2431"/>
    <w:rsid w:val="00DD2613"/>
    <w:rsid w:val="00DD297D"/>
    <w:rsid w:val="00DD29DC"/>
    <w:rsid w:val="00DD2D69"/>
    <w:rsid w:val="00DD2E78"/>
    <w:rsid w:val="00DD316C"/>
    <w:rsid w:val="00DD385D"/>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03A"/>
    <w:rsid w:val="00DD5245"/>
    <w:rsid w:val="00DD52FD"/>
    <w:rsid w:val="00DD54FB"/>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55"/>
    <w:rsid w:val="00DD72C8"/>
    <w:rsid w:val="00DD775D"/>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939"/>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4EB4"/>
    <w:rsid w:val="00DE525B"/>
    <w:rsid w:val="00DE52A5"/>
    <w:rsid w:val="00DE569F"/>
    <w:rsid w:val="00DE5B65"/>
    <w:rsid w:val="00DE6169"/>
    <w:rsid w:val="00DE62CC"/>
    <w:rsid w:val="00DE6355"/>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844"/>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C64"/>
    <w:rsid w:val="00DF1DF8"/>
    <w:rsid w:val="00DF21B5"/>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B1"/>
    <w:rsid w:val="00DF50F8"/>
    <w:rsid w:val="00DF5172"/>
    <w:rsid w:val="00DF5292"/>
    <w:rsid w:val="00DF5360"/>
    <w:rsid w:val="00DF5544"/>
    <w:rsid w:val="00DF5B9E"/>
    <w:rsid w:val="00DF604A"/>
    <w:rsid w:val="00DF6082"/>
    <w:rsid w:val="00DF6B06"/>
    <w:rsid w:val="00DF6BF7"/>
    <w:rsid w:val="00DF6CA8"/>
    <w:rsid w:val="00DF6D97"/>
    <w:rsid w:val="00DF6E3A"/>
    <w:rsid w:val="00DF6ECD"/>
    <w:rsid w:val="00DF6F13"/>
    <w:rsid w:val="00DF732A"/>
    <w:rsid w:val="00DF7371"/>
    <w:rsid w:val="00DF7566"/>
    <w:rsid w:val="00DF7661"/>
    <w:rsid w:val="00DF771E"/>
    <w:rsid w:val="00DF78D1"/>
    <w:rsid w:val="00DF7902"/>
    <w:rsid w:val="00DF7AC4"/>
    <w:rsid w:val="00DF7B6C"/>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15"/>
    <w:rsid w:val="00E02294"/>
    <w:rsid w:val="00E02412"/>
    <w:rsid w:val="00E02447"/>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82"/>
    <w:rsid w:val="00E041AD"/>
    <w:rsid w:val="00E04221"/>
    <w:rsid w:val="00E0435A"/>
    <w:rsid w:val="00E04368"/>
    <w:rsid w:val="00E045CB"/>
    <w:rsid w:val="00E04643"/>
    <w:rsid w:val="00E04990"/>
    <w:rsid w:val="00E04CE2"/>
    <w:rsid w:val="00E04D73"/>
    <w:rsid w:val="00E04F95"/>
    <w:rsid w:val="00E050F1"/>
    <w:rsid w:val="00E05543"/>
    <w:rsid w:val="00E05609"/>
    <w:rsid w:val="00E05662"/>
    <w:rsid w:val="00E058BE"/>
    <w:rsid w:val="00E05AD8"/>
    <w:rsid w:val="00E05CBB"/>
    <w:rsid w:val="00E05EFD"/>
    <w:rsid w:val="00E05F81"/>
    <w:rsid w:val="00E06170"/>
    <w:rsid w:val="00E06184"/>
    <w:rsid w:val="00E06392"/>
    <w:rsid w:val="00E067A6"/>
    <w:rsid w:val="00E06A61"/>
    <w:rsid w:val="00E06AC4"/>
    <w:rsid w:val="00E06B60"/>
    <w:rsid w:val="00E06DA4"/>
    <w:rsid w:val="00E06EBE"/>
    <w:rsid w:val="00E07482"/>
    <w:rsid w:val="00E0767B"/>
    <w:rsid w:val="00E077C2"/>
    <w:rsid w:val="00E07AD9"/>
    <w:rsid w:val="00E07AE2"/>
    <w:rsid w:val="00E07AF8"/>
    <w:rsid w:val="00E07B73"/>
    <w:rsid w:val="00E07C3A"/>
    <w:rsid w:val="00E07D56"/>
    <w:rsid w:val="00E101D4"/>
    <w:rsid w:val="00E10526"/>
    <w:rsid w:val="00E10534"/>
    <w:rsid w:val="00E10666"/>
    <w:rsid w:val="00E106E7"/>
    <w:rsid w:val="00E107FE"/>
    <w:rsid w:val="00E108CD"/>
    <w:rsid w:val="00E109B0"/>
    <w:rsid w:val="00E109D1"/>
    <w:rsid w:val="00E10BD4"/>
    <w:rsid w:val="00E10E5A"/>
    <w:rsid w:val="00E10EAA"/>
    <w:rsid w:val="00E1130A"/>
    <w:rsid w:val="00E114AD"/>
    <w:rsid w:val="00E11C69"/>
    <w:rsid w:val="00E11C96"/>
    <w:rsid w:val="00E11E48"/>
    <w:rsid w:val="00E11EA2"/>
    <w:rsid w:val="00E11ECF"/>
    <w:rsid w:val="00E11F66"/>
    <w:rsid w:val="00E12152"/>
    <w:rsid w:val="00E122E5"/>
    <w:rsid w:val="00E125D8"/>
    <w:rsid w:val="00E12856"/>
    <w:rsid w:val="00E12AEA"/>
    <w:rsid w:val="00E12DD6"/>
    <w:rsid w:val="00E12DFE"/>
    <w:rsid w:val="00E1307D"/>
    <w:rsid w:val="00E131D3"/>
    <w:rsid w:val="00E1336C"/>
    <w:rsid w:val="00E13481"/>
    <w:rsid w:val="00E134CD"/>
    <w:rsid w:val="00E135BE"/>
    <w:rsid w:val="00E1361C"/>
    <w:rsid w:val="00E136A9"/>
    <w:rsid w:val="00E137E9"/>
    <w:rsid w:val="00E13893"/>
    <w:rsid w:val="00E13EE7"/>
    <w:rsid w:val="00E13EFE"/>
    <w:rsid w:val="00E13F40"/>
    <w:rsid w:val="00E13FA3"/>
    <w:rsid w:val="00E13FC0"/>
    <w:rsid w:val="00E14308"/>
    <w:rsid w:val="00E14818"/>
    <w:rsid w:val="00E14A38"/>
    <w:rsid w:val="00E14BB4"/>
    <w:rsid w:val="00E14DC3"/>
    <w:rsid w:val="00E15022"/>
    <w:rsid w:val="00E15396"/>
    <w:rsid w:val="00E1549E"/>
    <w:rsid w:val="00E15542"/>
    <w:rsid w:val="00E15565"/>
    <w:rsid w:val="00E1561B"/>
    <w:rsid w:val="00E156BF"/>
    <w:rsid w:val="00E15852"/>
    <w:rsid w:val="00E158FF"/>
    <w:rsid w:val="00E159AA"/>
    <w:rsid w:val="00E15B1A"/>
    <w:rsid w:val="00E15BEE"/>
    <w:rsid w:val="00E15E58"/>
    <w:rsid w:val="00E16058"/>
    <w:rsid w:val="00E162AB"/>
    <w:rsid w:val="00E16358"/>
    <w:rsid w:val="00E166E9"/>
    <w:rsid w:val="00E16B8A"/>
    <w:rsid w:val="00E16BE5"/>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493"/>
    <w:rsid w:val="00E24604"/>
    <w:rsid w:val="00E24975"/>
    <w:rsid w:val="00E24BD8"/>
    <w:rsid w:val="00E24C98"/>
    <w:rsid w:val="00E24CB1"/>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2"/>
    <w:rsid w:val="00E266F4"/>
    <w:rsid w:val="00E26AF1"/>
    <w:rsid w:val="00E26B26"/>
    <w:rsid w:val="00E26BCA"/>
    <w:rsid w:val="00E26FBC"/>
    <w:rsid w:val="00E272BC"/>
    <w:rsid w:val="00E27323"/>
    <w:rsid w:val="00E2737D"/>
    <w:rsid w:val="00E27646"/>
    <w:rsid w:val="00E27709"/>
    <w:rsid w:val="00E277E6"/>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0FB9"/>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2B72"/>
    <w:rsid w:val="00E331C2"/>
    <w:rsid w:val="00E331E9"/>
    <w:rsid w:val="00E33256"/>
    <w:rsid w:val="00E33662"/>
    <w:rsid w:val="00E33707"/>
    <w:rsid w:val="00E33725"/>
    <w:rsid w:val="00E33800"/>
    <w:rsid w:val="00E3395C"/>
    <w:rsid w:val="00E339E4"/>
    <w:rsid w:val="00E33A97"/>
    <w:rsid w:val="00E33B86"/>
    <w:rsid w:val="00E33BCE"/>
    <w:rsid w:val="00E33C7A"/>
    <w:rsid w:val="00E33E43"/>
    <w:rsid w:val="00E33F6C"/>
    <w:rsid w:val="00E3403E"/>
    <w:rsid w:val="00E340CE"/>
    <w:rsid w:val="00E34179"/>
    <w:rsid w:val="00E34440"/>
    <w:rsid w:val="00E346D4"/>
    <w:rsid w:val="00E34914"/>
    <w:rsid w:val="00E34A20"/>
    <w:rsid w:val="00E34ABC"/>
    <w:rsid w:val="00E34BED"/>
    <w:rsid w:val="00E34C66"/>
    <w:rsid w:val="00E34D7D"/>
    <w:rsid w:val="00E34DF6"/>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97B"/>
    <w:rsid w:val="00E379E6"/>
    <w:rsid w:val="00E37CED"/>
    <w:rsid w:val="00E37D58"/>
    <w:rsid w:val="00E37D8F"/>
    <w:rsid w:val="00E37F41"/>
    <w:rsid w:val="00E37F5B"/>
    <w:rsid w:val="00E37F6B"/>
    <w:rsid w:val="00E400A3"/>
    <w:rsid w:val="00E40445"/>
    <w:rsid w:val="00E40793"/>
    <w:rsid w:val="00E40936"/>
    <w:rsid w:val="00E40C36"/>
    <w:rsid w:val="00E40DF7"/>
    <w:rsid w:val="00E40EDE"/>
    <w:rsid w:val="00E40F21"/>
    <w:rsid w:val="00E41053"/>
    <w:rsid w:val="00E410C2"/>
    <w:rsid w:val="00E418CA"/>
    <w:rsid w:val="00E41B11"/>
    <w:rsid w:val="00E41B3A"/>
    <w:rsid w:val="00E41CD9"/>
    <w:rsid w:val="00E41F38"/>
    <w:rsid w:val="00E41FB8"/>
    <w:rsid w:val="00E41FEF"/>
    <w:rsid w:val="00E42082"/>
    <w:rsid w:val="00E42112"/>
    <w:rsid w:val="00E4216B"/>
    <w:rsid w:val="00E42233"/>
    <w:rsid w:val="00E426EB"/>
    <w:rsid w:val="00E427B4"/>
    <w:rsid w:val="00E42909"/>
    <w:rsid w:val="00E42A53"/>
    <w:rsid w:val="00E42BD4"/>
    <w:rsid w:val="00E42BF6"/>
    <w:rsid w:val="00E42CC9"/>
    <w:rsid w:val="00E42D53"/>
    <w:rsid w:val="00E42D62"/>
    <w:rsid w:val="00E42DE6"/>
    <w:rsid w:val="00E42E9B"/>
    <w:rsid w:val="00E42FFB"/>
    <w:rsid w:val="00E430DC"/>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FE"/>
    <w:rsid w:val="00E43E6D"/>
    <w:rsid w:val="00E43FBB"/>
    <w:rsid w:val="00E43FF3"/>
    <w:rsid w:val="00E44502"/>
    <w:rsid w:val="00E445A3"/>
    <w:rsid w:val="00E445A9"/>
    <w:rsid w:val="00E44DEC"/>
    <w:rsid w:val="00E45127"/>
    <w:rsid w:val="00E451A1"/>
    <w:rsid w:val="00E451CF"/>
    <w:rsid w:val="00E4536C"/>
    <w:rsid w:val="00E45376"/>
    <w:rsid w:val="00E45401"/>
    <w:rsid w:val="00E456DB"/>
    <w:rsid w:val="00E45809"/>
    <w:rsid w:val="00E45963"/>
    <w:rsid w:val="00E4598D"/>
    <w:rsid w:val="00E459FE"/>
    <w:rsid w:val="00E45AFE"/>
    <w:rsid w:val="00E45B5C"/>
    <w:rsid w:val="00E45BEF"/>
    <w:rsid w:val="00E45E06"/>
    <w:rsid w:val="00E45E1C"/>
    <w:rsid w:val="00E460E0"/>
    <w:rsid w:val="00E4623A"/>
    <w:rsid w:val="00E46246"/>
    <w:rsid w:val="00E462F9"/>
    <w:rsid w:val="00E4643E"/>
    <w:rsid w:val="00E4647B"/>
    <w:rsid w:val="00E46616"/>
    <w:rsid w:val="00E4676E"/>
    <w:rsid w:val="00E4696C"/>
    <w:rsid w:val="00E4698A"/>
    <w:rsid w:val="00E46A8F"/>
    <w:rsid w:val="00E46C46"/>
    <w:rsid w:val="00E46DF2"/>
    <w:rsid w:val="00E46FEF"/>
    <w:rsid w:val="00E470ED"/>
    <w:rsid w:val="00E47109"/>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AE6"/>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2B43"/>
    <w:rsid w:val="00E53023"/>
    <w:rsid w:val="00E530F5"/>
    <w:rsid w:val="00E53197"/>
    <w:rsid w:val="00E53292"/>
    <w:rsid w:val="00E53454"/>
    <w:rsid w:val="00E537F7"/>
    <w:rsid w:val="00E53B8B"/>
    <w:rsid w:val="00E53CA9"/>
    <w:rsid w:val="00E53D49"/>
    <w:rsid w:val="00E540CA"/>
    <w:rsid w:val="00E541DC"/>
    <w:rsid w:val="00E541EA"/>
    <w:rsid w:val="00E54680"/>
    <w:rsid w:val="00E54717"/>
    <w:rsid w:val="00E54903"/>
    <w:rsid w:val="00E5499B"/>
    <w:rsid w:val="00E54B7A"/>
    <w:rsid w:val="00E54BD9"/>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63"/>
    <w:rsid w:val="00E55F82"/>
    <w:rsid w:val="00E56296"/>
    <w:rsid w:val="00E5631D"/>
    <w:rsid w:val="00E56415"/>
    <w:rsid w:val="00E56920"/>
    <w:rsid w:val="00E5699C"/>
    <w:rsid w:val="00E56C54"/>
    <w:rsid w:val="00E5710B"/>
    <w:rsid w:val="00E57298"/>
    <w:rsid w:val="00E57303"/>
    <w:rsid w:val="00E5753F"/>
    <w:rsid w:val="00E575C5"/>
    <w:rsid w:val="00E577EE"/>
    <w:rsid w:val="00E578A0"/>
    <w:rsid w:val="00E57CA0"/>
    <w:rsid w:val="00E57E3F"/>
    <w:rsid w:val="00E57F7A"/>
    <w:rsid w:val="00E6013F"/>
    <w:rsid w:val="00E60324"/>
    <w:rsid w:val="00E60397"/>
    <w:rsid w:val="00E60405"/>
    <w:rsid w:val="00E60475"/>
    <w:rsid w:val="00E60553"/>
    <w:rsid w:val="00E608D5"/>
    <w:rsid w:val="00E60C2D"/>
    <w:rsid w:val="00E60CFA"/>
    <w:rsid w:val="00E60D7E"/>
    <w:rsid w:val="00E613CB"/>
    <w:rsid w:val="00E614E0"/>
    <w:rsid w:val="00E61538"/>
    <w:rsid w:val="00E61578"/>
    <w:rsid w:val="00E617FD"/>
    <w:rsid w:val="00E6197B"/>
    <w:rsid w:val="00E61C18"/>
    <w:rsid w:val="00E61DB5"/>
    <w:rsid w:val="00E620AB"/>
    <w:rsid w:val="00E6228B"/>
    <w:rsid w:val="00E62300"/>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3B4"/>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67C"/>
    <w:rsid w:val="00E678B2"/>
    <w:rsid w:val="00E678C5"/>
    <w:rsid w:val="00E678F7"/>
    <w:rsid w:val="00E679BF"/>
    <w:rsid w:val="00E67A99"/>
    <w:rsid w:val="00E67BD4"/>
    <w:rsid w:val="00E67EBA"/>
    <w:rsid w:val="00E70376"/>
    <w:rsid w:val="00E703B4"/>
    <w:rsid w:val="00E70448"/>
    <w:rsid w:val="00E7050E"/>
    <w:rsid w:val="00E7077A"/>
    <w:rsid w:val="00E707DA"/>
    <w:rsid w:val="00E708F3"/>
    <w:rsid w:val="00E709B8"/>
    <w:rsid w:val="00E70DA2"/>
    <w:rsid w:val="00E70DC9"/>
    <w:rsid w:val="00E7107E"/>
    <w:rsid w:val="00E715CC"/>
    <w:rsid w:val="00E715EA"/>
    <w:rsid w:val="00E71860"/>
    <w:rsid w:val="00E718BA"/>
    <w:rsid w:val="00E718DD"/>
    <w:rsid w:val="00E71957"/>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57E"/>
    <w:rsid w:val="00E745F1"/>
    <w:rsid w:val="00E74668"/>
    <w:rsid w:val="00E74DD4"/>
    <w:rsid w:val="00E74DF9"/>
    <w:rsid w:val="00E74E8D"/>
    <w:rsid w:val="00E751F5"/>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4ED"/>
    <w:rsid w:val="00E80695"/>
    <w:rsid w:val="00E80912"/>
    <w:rsid w:val="00E80B97"/>
    <w:rsid w:val="00E80C7C"/>
    <w:rsid w:val="00E80EFD"/>
    <w:rsid w:val="00E81151"/>
    <w:rsid w:val="00E81219"/>
    <w:rsid w:val="00E81363"/>
    <w:rsid w:val="00E814ED"/>
    <w:rsid w:val="00E81620"/>
    <w:rsid w:val="00E8170A"/>
    <w:rsid w:val="00E81781"/>
    <w:rsid w:val="00E8187B"/>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8AF"/>
    <w:rsid w:val="00E82B4B"/>
    <w:rsid w:val="00E82F13"/>
    <w:rsid w:val="00E8304D"/>
    <w:rsid w:val="00E831DE"/>
    <w:rsid w:val="00E83232"/>
    <w:rsid w:val="00E83233"/>
    <w:rsid w:val="00E832DC"/>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B8"/>
    <w:rsid w:val="00E84CDB"/>
    <w:rsid w:val="00E84D92"/>
    <w:rsid w:val="00E851BE"/>
    <w:rsid w:val="00E851D4"/>
    <w:rsid w:val="00E8529C"/>
    <w:rsid w:val="00E8535A"/>
    <w:rsid w:val="00E85367"/>
    <w:rsid w:val="00E8572B"/>
    <w:rsid w:val="00E859BC"/>
    <w:rsid w:val="00E85AE2"/>
    <w:rsid w:val="00E85C7B"/>
    <w:rsid w:val="00E85CCD"/>
    <w:rsid w:val="00E85EB0"/>
    <w:rsid w:val="00E860D4"/>
    <w:rsid w:val="00E86357"/>
    <w:rsid w:val="00E86495"/>
    <w:rsid w:val="00E8657F"/>
    <w:rsid w:val="00E86875"/>
    <w:rsid w:val="00E86BD1"/>
    <w:rsid w:val="00E86DF4"/>
    <w:rsid w:val="00E86DFE"/>
    <w:rsid w:val="00E86F41"/>
    <w:rsid w:val="00E8711B"/>
    <w:rsid w:val="00E874CC"/>
    <w:rsid w:val="00E874FB"/>
    <w:rsid w:val="00E87702"/>
    <w:rsid w:val="00E87AE9"/>
    <w:rsid w:val="00E87E54"/>
    <w:rsid w:val="00E87ED1"/>
    <w:rsid w:val="00E87F1B"/>
    <w:rsid w:val="00E900D0"/>
    <w:rsid w:val="00E90344"/>
    <w:rsid w:val="00E903A8"/>
    <w:rsid w:val="00E90749"/>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8F3"/>
    <w:rsid w:val="00E92A98"/>
    <w:rsid w:val="00E92E7A"/>
    <w:rsid w:val="00E92ED4"/>
    <w:rsid w:val="00E934A5"/>
    <w:rsid w:val="00E93518"/>
    <w:rsid w:val="00E93700"/>
    <w:rsid w:val="00E9389F"/>
    <w:rsid w:val="00E938D7"/>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827"/>
    <w:rsid w:val="00E95849"/>
    <w:rsid w:val="00E95C2D"/>
    <w:rsid w:val="00E95CB2"/>
    <w:rsid w:val="00E95DB1"/>
    <w:rsid w:val="00E9605B"/>
    <w:rsid w:val="00E962EB"/>
    <w:rsid w:val="00E96392"/>
    <w:rsid w:val="00E9643A"/>
    <w:rsid w:val="00E967AA"/>
    <w:rsid w:val="00E9686D"/>
    <w:rsid w:val="00E96981"/>
    <w:rsid w:val="00E96B1F"/>
    <w:rsid w:val="00E96F93"/>
    <w:rsid w:val="00E96FE8"/>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3F"/>
    <w:rsid w:val="00EA06B9"/>
    <w:rsid w:val="00EA0B70"/>
    <w:rsid w:val="00EA0D09"/>
    <w:rsid w:val="00EA0D61"/>
    <w:rsid w:val="00EA0F09"/>
    <w:rsid w:val="00EA107A"/>
    <w:rsid w:val="00EA10E7"/>
    <w:rsid w:val="00EA11EF"/>
    <w:rsid w:val="00EA1239"/>
    <w:rsid w:val="00EA1553"/>
    <w:rsid w:val="00EA16DA"/>
    <w:rsid w:val="00EA1877"/>
    <w:rsid w:val="00EA19E8"/>
    <w:rsid w:val="00EA1BCF"/>
    <w:rsid w:val="00EA1C1F"/>
    <w:rsid w:val="00EA20E0"/>
    <w:rsid w:val="00EA2173"/>
    <w:rsid w:val="00EA2341"/>
    <w:rsid w:val="00EA2402"/>
    <w:rsid w:val="00EA24F7"/>
    <w:rsid w:val="00EA2717"/>
    <w:rsid w:val="00EA2794"/>
    <w:rsid w:val="00EA2906"/>
    <w:rsid w:val="00EA2990"/>
    <w:rsid w:val="00EA2A9A"/>
    <w:rsid w:val="00EA2AA7"/>
    <w:rsid w:val="00EA2D1B"/>
    <w:rsid w:val="00EA3000"/>
    <w:rsid w:val="00EA3486"/>
    <w:rsid w:val="00EA36C3"/>
    <w:rsid w:val="00EA3A71"/>
    <w:rsid w:val="00EA3A9F"/>
    <w:rsid w:val="00EA3B14"/>
    <w:rsid w:val="00EA3DAF"/>
    <w:rsid w:val="00EA43F0"/>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84"/>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876"/>
    <w:rsid w:val="00EB098C"/>
    <w:rsid w:val="00EB0991"/>
    <w:rsid w:val="00EB0B74"/>
    <w:rsid w:val="00EB0DFB"/>
    <w:rsid w:val="00EB0E51"/>
    <w:rsid w:val="00EB0E98"/>
    <w:rsid w:val="00EB0F04"/>
    <w:rsid w:val="00EB0F44"/>
    <w:rsid w:val="00EB10E5"/>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CFD"/>
    <w:rsid w:val="00EB2ED3"/>
    <w:rsid w:val="00EB3180"/>
    <w:rsid w:val="00EB379B"/>
    <w:rsid w:val="00EB3854"/>
    <w:rsid w:val="00EB38A7"/>
    <w:rsid w:val="00EB3A29"/>
    <w:rsid w:val="00EB3A3C"/>
    <w:rsid w:val="00EB3AE7"/>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1D7"/>
    <w:rsid w:val="00EB61FC"/>
    <w:rsid w:val="00EB6379"/>
    <w:rsid w:val="00EB646D"/>
    <w:rsid w:val="00EB65EB"/>
    <w:rsid w:val="00EB6767"/>
    <w:rsid w:val="00EB6799"/>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1F0"/>
    <w:rsid w:val="00EC0474"/>
    <w:rsid w:val="00EC0582"/>
    <w:rsid w:val="00EC0651"/>
    <w:rsid w:val="00EC0770"/>
    <w:rsid w:val="00EC0845"/>
    <w:rsid w:val="00EC0ADE"/>
    <w:rsid w:val="00EC0B80"/>
    <w:rsid w:val="00EC0DBF"/>
    <w:rsid w:val="00EC101C"/>
    <w:rsid w:val="00EC104F"/>
    <w:rsid w:val="00EC11E7"/>
    <w:rsid w:val="00EC1482"/>
    <w:rsid w:val="00EC14EE"/>
    <w:rsid w:val="00EC1746"/>
    <w:rsid w:val="00EC17BB"/>
    <w:rsid w:val="00EC18D8"/>
    <w:rsid w:val="00EC1ACD"/>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1F5"/>
    <w:rsid w:val="00EC4277"/>
    <w:rsid w:val="00EC42F1"/>
    <w:rsid w:val="00EC454E"/>
    <w:rsid w:val="00EC4827"/>
    <w:rsid w:val="00EC4910"/>
    <w:rsid w:val="00EC49FB"/>
    <w:rsid w:val="00EC4AE0"/>
    <w:rsid w:val="00EC4BB4"/>
    <w:rsid w:val="00EC4C48"/>
    <w:rsid w:val="00EC4C68"/>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8F0"/>
    <w:rsid w:val="00EC6F45"/>
    <w:rsid w:val="00EC6F9D"/>
    <w:rsid w:val="00EC7181"/>
    <w:rsid w:val="00EC719E"/>
    <w:rsid w:val="00EC71E6"/>
    <w:rsid w:val="00EC71EB"/>
    <w:rsid w:val="00EC7436"/>
    <w:rsid w:val="00EC76D1"/>
    <w:rsid w:val="00EC7991"/>
    <w:rsid w:val="00EC7AA0"/>
    <w:rsid w:val="00EC7BAB"/>
    <w:rsid w:val="00ED042D"/>
    <w:rsid w:val="00ED056E"/>
    <w:rsid w:val="00ED062B"/>
    <w:rsid w:val="00ED06DE"/>
    <w:rsid w:val="00ED06F5"/>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1F57"/>
    <w:rsid w:val="00ED2023"/>
    <w:rsid w:val="00ED23F1"/>
    <w:rsid w:val="00ED25A4"/>
    <w:rsid w:val="00ED26AF"/>
    <w:rsid w:val="00ED281E"/>
    <w:rsid w:val="00ED2D66"/>
    <w:rsid w:val="00ED2D72"/>
    <w:rsid w:val="00ED2DA7"/>
    <w:rsid w:val="00ED2F90"/>
    <w:rsid w:val="00ED3037"/>
    <w:rsid w:val="00ED3062"/>
    <w:rsid w:val="00ED30F6"/>
    <w:rsid w:val="00ED31ED"/>
    <w:rsid w:val="00ED34D4"/>
    <w:rsid w:val="00ED352B"/>
    <w:rsid w:val="00ED36F5"/>
    <w:rsid w:val="00ED3A83"/>
    <w:rsid w:val="00ED3B72"/>
    <w:rsid w:val="00ED3C9C"/>
    <w:rsid w:val="00ED3DB8"/>
    <w:rsid w:val="00ED40BC"/>
    <w:rsid w:val="00ED413D"/>
    <w:rsid w:val="00ED420E"/>
    <w:rsid w:val="00ED426D"/>
    <w:rsid w:val="00ED42A7"/>
    <w:rsid w:val="00ED43B3"/>
    <w:rsid w:val="00ED45B5"/>
    <w:rsid w:val="00ED4922"/>
    <w:rsid w:val="00ED4CB3"/>
    <w:rsid w:val="00ED4F20"/>
    <w:rsid w:val="00ED5054"/>
    <w:rsid w:val="00ED5058"/>
    <w:rsid w:val="00ED5464"/>
    <w:rsid w:val="00ED550A"/>
    <w:rsid w:val="00ED58AF"/>
    <w:rsid w:val="00ED58CD"/>
    <w:rsid w:val="00ED5917"/>
    <w:rsid w:val="00ED5A21"/>
    <w:rsid w:val="00ED5BBE"/>
    <w:rsid w:val="00ED5CDA"/>
    <w:rsid w:val="00ED5DB8"/>
    <w:rsid w:val="00ED5DF3"/>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6D2"/>
    <w:rsid w:val="00ED7891"/>
    <w:rsid w:val="00ED78C3"/>
    <w:rsid w:val="00ED7ACB"/>
    <w:rsid w:val="00ED7AF3"/>
    <w:rsid w:val="00ED7B86"/>
    <w:rsid w:val="00ED7CC0"/>
    <w:rsid w:val="00ED7EDA"/>
    <w:rsid w:val="00ED7FCA"/>
    <w:rsid w:val="00EE032D"/>
    <w:rsid w:val="00EE04AA"/>
    <w:rsid w:val="00EE0531"/>
    <w:rsid w:val="00EE0541"/>
    <w:rsid w:val="00EE07E0"/>
    <w:rsid w:val="00EE081A"/>
    <w:rsid w:val="00EE0AD0"/>
    <w:rsid w:val="00EE0F66"/>
    <w:rsid w:val="00EE1073"/>
    <w:rsid w:val="00EE12A2"/>
    <w:rsid w:val="00EE1389"/>
    <w:rsid w:val="00EE1699"/>
    <w:rsid w:val="00EE1726"/>
    <w:rsid w:val="00EE186D"/>
    <w:rsid w:val="00EE1B49"/>
    <w:rsid w:val="00EE1D17"/>
    <w:rsid w:val="00EE2068"/>
    <w:rsid w:val="00EE2AA0"/>
    <w:rsid w:val="00EE2C82"/>
    <w:rsid w:val="00EE2D29"/>
    <w:rsid w:val="00EE2E15"/>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990"/>
    <w:rsid w:val="00EE4B3D"/>
    <w:rsid w:val="00EE4C4A"/>
    <w:rsid w:val="00EE5000"/>
    <w:rsid w:val="00EE51F6"/>
    <w:rsid w:val="00EE5369"/>
    <w:rsid w:val="00EE5422"/>
    <w:rsid w:val="00EE5694"/>
    <w:rsid w:val="00EE5AF6"/>
    <w:rsid w:val="00EE5B9B"/>
    <w:rsid w:val="00EE5E2A"/>
    <w:rsid w:val="00EE60C8"/>
    <w:rsid w:val="00EE622E"/>
    <w:rsid w:val="00EE6419"/>
    <w:rsid w:val="00EE651E"/>
    <w:rsid w:val="00EE6544"/>
    <w:rsid w:val="00EE6558"/>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3FB"/>
    <w:rsid w:val="00EF04AF"/>
    <w:rsid w:val="00EF06A8"/>
    <w:rsid w:val="00EF07CE"/>
    <w:rsid w:val="00EF0891"/>
    <w:rsid w:val="00EF0A0C"/>
    <w:rsid w:val="00EF0A24"/>
    <w:rsid w:val="00EF0A2C"/>
    <w:rsid w:val="00EF0B21"/>
    <w:rsid w:val="00EF0CF6"/>
    <w:rsid w:val="00EF0F97"/>
    <w:rsid w:val="00EF123B"/>
    <w:rsid w:val="00EF13EC"/>
    <w:rsid w:val="00EF14FC"/>
    <w:rsid w:val="00EF15C6"/>
    <w:rsid w:val="00EF16A0"/>
    <w:rsid w:val="00EF1B24"/>
    <w:rsid w:val="00EF1C68"/>
    <w:rsid w:val="00EF2168"/>
    <w:rsid w:val="00EF254C"/>
    <w:rsid w:val="00EF2585"/>
    <w:rsid w:val="00EF2587"/>
    <w:rsid w:val="00EF28CD"/>
    <w:rsid w:val="00EF293B"/>
    <w:rsid w:val="00EF29A0"/>
    <w:rsid w:val="00EF2B71"/>
    <w:rsid w:val="00EF2E74"/>
    <w:rsid w:val="00EF32D7"/>
    <w:rsid w:val="00EF33F9"/>
    <w:rsid w:val="00EF343A"/>
    <w:rsid w:val="00EF349A"/>
    <w:rsid w:val="00EF3587"/>
    <w:rsid w:val="00EF3652"/>
    <w:rsid w:val="00EF3816"/>
    <w:rsid w:val="00EF3962"/>
    <w:rsid w:val="00EF3A13"/>
    <w:rsid w:val="00EF3D70"/>
    <w:rsid w:val="00EF3EA3"/>
    <w:rsid w:val="00EF4070"/>
    <w:rsid w:val="00EF40A7"/>
    <w:rsid w:val="00EF45F2"/>
    <w:rsid w:val="00EF469A"/>
    <w:rsid w:val="00EF4909"/>
    <w:rsid w:val="00EF4FB5"/>
    <w:rsid w:val="00EF51D6"/>
    <w:rsid w:val="00EF52F0"/>
    <w:rsid w:val="00EF5942"/>
    <w:rsid w:val="00EF5A97"/>
    <w:rsid w:val="00EF5B10"/>
    <w:rsid w:val="00EF5D4C"/>
    <w:rsid w:val="00EF5EF2"/>
    <w:rsid w:val="00EF625F"/>
    <w:rsid w:val="00EF629A"/>
    <w:rsid w:val="00EF634B"/>
    <w:rsid w:val="00EF655F"/>
    <w:rsid w:val="00EF66F2"/>
    <w:rsid w:val="00EF671B"/>
    <w:rsid w:val="00EF6949"/>
    <w:rsid w:val="00EF6961"/>
    <w:rsid w:val="00EF6A55"/>
    <w:rsid w:val="00EF6AE4"/>
    <w:rsid w:val="00EF6B1C"/>
    <w:rsid w:val="00EF6C64"/>
    <w:rsid w:val="00EF6CCD"/>
    <w:rsid w:val="00EF6D73"/>
    <w:rsid w:val="00EF70AB"/>
    <w:rsid w:val="00EF7252"/>
    <w:rsid w:val="00EF72B1"/>
    <w:rsid w:val="00EF759F"/>
    <w:rsid w:val="00EF75EA"/>
    <w:rsid w:val="00EF7672"/>
    <w:rsid w:val="00EF7696"/>
    <w:rsid w:val="00EF76A1"/>
    <w:rsid w:val="00EF7742"/>
    <w:rsid w:val="00EF7825"/>
    <w:rsid w:val="00EF78E7"/>
    <w:rsid w:val="00EF799C"/>
    <w:rsid w:val="00EF7C24"/>
    <w:rsid w:val="00EF7CA0"/>
    <w:rsid w:val="00EF7F84"/>
    <w:rsid w:val="00F00377"/>
    <w:rsid w:val="00F0061F"/>
    <w:rsid w:val="00F006E4"/>
    <w:rsid w:val="00F006F7"/>
    <w:rsid w:val="00F00719"/>
    <w:rsid w:val="00F00ACC"/>
    <w:rsid w:val="00F00AD8"/>
    <w:rsid w:val="00F00C12"/>
    <w:rsid w:val="00F00D56"/>
    <w:rsid w:val="00F00F9A"/>
    <w:rsid w:val="00F010D9"/>
    <w:rsid w:val="00F01111"/>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C8D"/>
    <w:rsid w:val="00F02D17"/>
    <w:rsid w:val="00F02D5F"/>
    <w:rsid w:val="00F02EA8"/>
    <w:rsid w:val="00F03208"/>
    <w:rsid w:val="00F032E1"/>
    <w:rsid w:val="00F032FC"/>
    <w:rsid w:val="00F03313"/>
    <w:rsid w:val="00F03423"/>
    <w:rsid w:val="00F0361B"/>
    <w:rsid w:val="00F03C07"/>
    <w:rsid w:val="00F03D5A"/>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E9A"/>
    <w:rsid w:val="00F10F6D"/>
    <w:rsid w:val="00F11039"/>
    <w:rsid w:val="00F110DD"/>
    <w:rsid w:val="00F1136A"/>
    <w:rsid w:val="00F1138F"/>
    <w:rsid w:val="00F11531"/>
    <w:rsid w:val="00F115CE"/>
    <w:rsid w:val="00F116B4"/>
    <w:rsid w:val="00F11738"/>
    <w:rsid w:val="00F11798"/>
    <w:rsid w:val="00F1194E"/>
    <w:rsid w:val="00F11B77"/>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EDE"/>
    <w:rsid w:val="00F16F7E"/>
    <w:rsid w:val="00F170A2"/>
    <w:rsid w:val="00F170BA"/>
    <w:rsid w:val="00F1714B"/>
    <w:rsid w:val="00F17286"/>
    <w:rsid w:val="00F173F1"/>
    <w:rsid w:val="00F1742A"/>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69B"/>
    <w:rsid w:val="00F207A6"/>
    <w:rsid w:val="00F20818"/>
    <w:rsid w:val="00F20986"/>
    <w:rsid w:val="00F20998"/>
    <w:rsid w:val="00F20C06"/>
    <w:rsid w:val="00F20D1D"/>
    <w:rsid w:val="00F20F60"/>
    <w:rsid w:val="00F21165"/>
    <w:rsid w:val="00F21247"/>
    <w:rsid w:val="00F2149B"/>
    <w:rsid w:val="00F214AC"/>
    <w:rsid w:val="00F21516"/>
    <w:rsid w:val="00F21741"/>
    <w:rsid w:val="00F2178D"/>
    <w:rsid w:val="00F21893"/>
    <w:rsid w:val="00F21B9A"/>
    <w:rsid w:val="00F21DC0"/>
    <w:rsid w:val="00F21E62"/>
    <w:rsid w:val="00F21F54"/>
    <w:rsid w:val="00F21F86"/>
    <w:rsid w:val="00F22073"/>
    <w:rsid w:val="00F223AE"/>
    <w:rsid w:val="00F223D3"/>
    <w:rsid w:val="00F22747"/>
    <w:rsid w:val="00F228B5"/>
    <w:rsid w:val="00F22A51"/>
    <w:rsid w:val="00F22C4C"/>
    <w:rsid w:val="00F22FE5"/>
    <w:rsid w:val="00F23430"/>
    <w:rsid w:val="00F23477"/>
    <w:rsid w:val="00F23536"/>
    <w:rsid w:val="00F2373D"/>
    <w:rsid w:val="00F23753"/>
    <w:rsid w:val="00F2388F"/>
    <w:rsid w:val="00F2389E"/>
    <w:rsid w:val="00F2397C"/>
    <w:rsid w:val="00F23A70"/>
    <w:rsid w:val="00F23DCE"/>
    <w:rsid w:val="00F23DF2"/>
    <w:rsid w:val="00F24119"/>
    <w:rsid w:val="00F24232"/>
    <w:rsid w:val="00F242DB"/>
    <w:rsid w:val="00F248D4"/>
    <w:rsid w:val="00F24919"/>
    <w:rsid w:val="00F24997"/>
    <w:rsid w:val="00F24BB5"/>
    <w:rsid w:val="00F24D27"/>
    <w:rsid w:val="00F24D69"/>
    <w:rsid w:val="00F25152"/>
    <w:rsid w:val="00F25288"/>
    <w:rsid w:val="00F252D1"/>
    <w:rsid w:val="00F253A8"/>
    <w:rsid w:val="00F25605"/>
    <w:rsid w:val="00F25655"/>
    <w:rsid w:val="00F257AD"/>
    <w:rsid w:val="00F25845"/>
    <w:rsid w:val="00F2596E"/>
    <w:rsid w:val="00F25A72"/>
    <w:rsid w:val="00F25D75"/>
    <w:rsid w:val="00F25E61"/>
    <w:rsid w:val="00F25F67"/>
    <w:rsid w:val="00F2609F"/>
    <w:rsid w:val="00F2610F"/>
    <w:rsid w:val="00F26130"/>
    <w:rsid w:val="00F26299"/>
    <w:rsid w:val="00F2634D"/>
    <w:rsid w:val="00F26417"/>
    <w:rsid w:val="00F26452"/>
    <w:rsid w:val="00F2653D"/>
    <w:rsid w:val="00F267EA"/>
    <w:rsid w:val="00F26AFE"/>
    <w:rsid w:val="00F26C7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27BDF"/>
    <w:rsid w:val="00F30154"/>
    <w:rsid w:val="00F30155"/>
    <w:rsid w:val="00F3028B"/>
    <w:rsid w:val="00F3037E"/>
    <w:rsid w:val="00F30524"/>
    <w:rsid w:val="00F30530"/>
    <w:rsid w:val="00F30540"/>
    <w:rsid w:val="00F3068C"/>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E5C"/>
    <w:rsid w:val="00F35FBD"/>
    <w:rsid w:val="00F3618B"/>
    <w:rsid w:val="00F36199"/>
    <w:rsid w:val="00F36381"/>
    <w:rsid w:val="00F363F1"/>
    <w:rsid w:val="00F36414"/>
    <w:rsid w:val="00F36430"/>
    <w:rsid w:val="00F36440"/>
    <w:rsid w:val="00F36666"/>
    <w:rsid w:val="00F36701"/>
    <w:rsid w:val="00F3699E"/>
    <w:rsid w:val="00F36A0F"/>
    <w:rsid w:val="00F36A1F"/>
    <w:rsid w:val="00F36AA9"/>
    <w:rsid w:val="00F36C54"/>
    <w:rsid w:val="00F36F6F"/>
    <w:rsid w:val="00F36F71"/>
    <w:rsid w:val="00F3725E"/>
    <w:rsid w:val="00F37478"/>
    <w:rsid w:val="00F37694"/>
    <w:rsid w:val="00F3784D"/>
    <w:rsid w:val="00F3785D"/>
    <w:rsid w:val="00F37947"/>
    <w:rsid w:val="00F37C16"/>
    <w:rsid w:val="00F37D78"/>
    <w:rsid w:val="00F37F15"/>
    <w:rsid w:val="00F400C0"/>
    <w:rsid w:val="00F400DE"/>
    <w:rsid w:val="00F402DF"/>
    <w:rsid w:val="00F403BC"/>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B16"/>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7"/>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A7F"/>
    <w:rsid w:val="00F46C16"/>
    <w:rsid w:val="00F46F7A"/>
    <w:rsid w:val="00F47031"/>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5F"/>
    <w:rsid w:val="00F501E7"/>
    <w:rsid w:val="00F50298"/>
    <w:rsid w:val="00F5039A"/>
    <w:rsid w:val="00F506AA"/>
    <w:rsid w:val="00F5070E"/>
    <w:rsid w:val="00F509A0"/>
    <w:rsid w:val="00F50F22"/>
    <w:rsid w:val="00F512BB"/>
    <w:rsid w:val="00F513AD"/>
    <w:rsid w:val="00F5158F"/>
    <w:rsid w:val="00F51793"/>
    <w:rsid w:val="00F517D4"/>
    <w:rsid w:val="00F51B35"/>
    <w:rsid w:val="00F51C8B"/>
    <w:rsid w:val="00F51CB2"/>
    <w:rsid w:val="00F52028"/>
    <w:rsid w:val="00F52106"/>
    <w:rsid w:val="00F522A7"/>
    <w:rsid w:val="00F5234A"/>
    <w:rsid w:val="00F5267C"/>
    <w:rsid w:val="00F52762"/>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4F5C"/>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DE5"/>
    <w:rsid w:val="00F56F1F"/>
    <w:rsid w:val="00F572C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7DB"/>
    <w:rsid w:val="00F60909"/>
    <w:rsid w:val="00F60F0A"/>
    <w:rsid w:val="00F6102D"/>
    <w:rsid w:val="00F6113D"/>
    <w:rsid w:val="00F611B6"/>
    <w:rsid w:val="00F6135A"/>
    <w:rsid w:val="00F6140D"/>
    <w:rsid w:val="00F61645"/>
    <w:rsid w:val="00F61670"/>
    <w:rsid w:val="00F61707"/>
    <w:rsid w:val="00F61973"/>
    <w:rsid w:val="00F619B1"/>
    <w:rsid w:val="00F61A3F"/>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B9"/>
    <w:rsid w:val="00F633D5"/>
    <w:rsid w:val="00F63586"/>
    <w:rsid w:val="00F636AC"/>
    <w:rsid w:val="00F63701"/>
    <w:rsid w:val="00F63803"/>
    <w:rsid w:val="00F638B4"/>
    <w:rsid w:val="00F639AC"/>
    <w:rsid w:val="00F63D99"/>
    <w:rsid w:val="00F641D8"/>
    <w:rsid w:val="00F642ED"/>
    <w:rsid w:val="00F64395"/>
    <w:rsid w:val="00F6444E"/>
    <w:rsid w:val="00F6475C"/>
    <w:rsid w:val="00F64762"/>
    <w:rsid w:val="00F64DAC"/>
    <w:rsid w:val="00F64F54"/>
    <w:rsid w:val="00F65071"/>
    <w:rsid w:val="00F651C5"/>
    <w:rsid w:val="00F65621"/>
    <w:rsid w:val="00F658E5"/>
    <w:rsid w:val="00F659FA"/>
    <w:rsid w:val="00F66061"/>
    <w:rsid w:val="00F66208"/>
    <w:rsid w:val="00F662AB"/>
    <w:rsid w:val="00F66514"/>
    <w:rsid w:val="00F66934"/>
    <w:rsid w:val="00F66B07"/>
    <w:rsid w:val="00F66CC7"/>
    <w:rsid w:val="00F66D87"/>
    <w:rsid w:val="00F66D9F"/>
    <w:rsid w:val="00F66F15"/>
    <w:rsid w:val="00F66FFF"/>
    <w:rsid w:val="00F6703A"/>
    <w:rsid w:val="00F6710C"/>
    <w:rsid w:val="00F6712B"/>
    <w:rsid w:val="00F6732D"/>
    <w:rsid w:val="00F675D2"/>
    <w:rsid w:val="00F67721"/>
    <w:rsid w:val="00F6779A"/>
    <w:rsid w:val="00F678D1"/>
    <w:rsid w:val="00F67B30"/>
    <w:rsid w:val="00F67C62"/>
    <w:rsid w:val="00F67CD6"/>
    <w:rsid w:val="00F67D59"/>
    <w:rsid w:val="00F67DDE"/>
    <w:rsid w:val="00F67F65"/>
    <w:rsid w:val="00F70053"/>
    <w:rsid w:val="00F703F2"/>
    <w:rsid w:val="00F7042E"/>
    <w:rsid w:val="00F704A5"/>
    <w:rsid w:val="00F70536"/>
    <w:rsid w:val="00F705FA"/>
    <w:rsid w:val="00F7069B"/>
    <w:rsid w:val="00F706F6"/>
    <w:rsid w:val="00F707A3"/>
    <w:rsid w:val="00F707AC"/>
    <w:rsid w:val="00F70A83"/>
    <w:rsid w:val="00F70DE9"/>
    <w:rsid w:val="00F712DA"/>
    <w:rsid w:val="00F716C6"/>
    <w:rsid w:val="00F71708"/>
    <w:rsid w:val="00F71A93"/>
    <w:rsid w:val="00F71C52"/>
    <w:rsid w:val="00F71D78"/>
    <w:rsid w:val="00F71D8F"/>
    <w:rsid w:val="00F71F4E"/>
    <w:rsid w:val="00F72231"/>
    <w:rsid w:val="00F723E8"/>
    <w:rsid w:val="00F72700"/>
    <w:rsid w:val="00F72819"/>
    <w:rsid w:val="00F729F8"/>
    <w:rsid w:val="00F72DA7"/>
    <w:rsid w:val="00F7310D"/>
    <w:rsid w:val="00F731B3"/>
    <w:rsid w:val="00F73550"/>
    <w:rsid w:val="00F735F6"/>
    <w:rsid w:val="00F73602"/>
    <w:rsid w:val="00F73674"/>
    <w:rsid w:val="00F737D9"/>
    <w:rsid w:val="00F737E6"/>
    <w:rsid w:val="00F73983"/>
    <w:rsid w:val="00F73A3C"/>
    <w:rsid w:val="00F73D1D"/>
    <w:rsid w:val="00F73E05"/>
    <w:rsid w:val="00F73E85"/>
    <w:rsid w:val="00F73F4F"/>
    <w:rsid w:val="00F74002"/>
    <w:rsid w:val="00F74056"/>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443"/>
    <w:rsid w:val="00F765AB"/>
    <w:rsid w:val="00F766FF"/>
    <w:rsid w:val="00F76BED"/>
    <w:rsid w:val="00F76C3D"/>
    <w:rsid w:val="00F76DA7"/>
    <w:rsid w:val="00F76FE9"/>
    <w:rsid w:val="00F77340"/>
    <w:rsid w:val="00F7739C"/>
    <w:rsid w:val="00F7764B"/>
    <w:rsid w:val="00F7778E"/>
    <w:rsid w:val="00F7782A"/>
    <w:rsid w:val="00F77835"/>
    <w:rsid w:val="00F77866"/>
    <w:rsid w:val="00F77877"/>
    <w:rsid w:val="00F779AC"/>
    <w:rsid w:val="00F77AD8"/>
    <w:rsid w:val="00F77AEA"/>
    <w:rsid w:val="00F80281"/>
    <w:rsid w:val="00F8030E"/>
    <w:rsid w:val="00F80495"/>
    <w:rsid w:val="00F806AA"/>
    <w:rsid w:val="00F80700"/>
    <w:rsid w:val="00F80785"/>
    <w:rsid w:val="00F8078C"/>
    <w:rsid w:val="00F809FE"/>
    <w:rsid w:val="00F80A61"/>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A6A"/>
    <w:rsid w:val="00F83B8E"/>
    <w:rsid w:val="00F83C36"/>
    <w:rsid w:val="00F83C89"/>
    <w:rsid w:val="00F84404"/>
    <w:rsid w:val="00F845F7"/>
    <w:rsid w:val="00F84635"/>
    <w:rsid w:val="00F847C8"/>
    <w:rsid w:val="00F84801"/>
    <w:rsid w:val="00F84827"/>
    <w:rsid w:val="00F849AF"/>
    <w:rsid w:val="00F84A71"/>
    <w:rsid w:val="00F84BD5"/>
    <w:rsid w:val="00F84BF7"/>
    <w:rsid w:val="00F85242"/>
    <w:rsid w:val="00F8525F"/>
    <w:rsid w:val="00F8543A"/>
    <w:rsid w:val="00F8559A"/>
    <w:rsid w:val="00F856DC"/>
    <w:rsid w:val="00F857F1"/>
    <w:rsid w:val="00F85947"/>
    <w:rsid w:val="00F85986"/>
    <w:rsid w:val="00F85B05"/>
    <w:rsid w:val="00F85C88"/>
    <w:rsid w:val="00F85D44"/>
    <w:rsid w:val="00F85F45"/>
    <w:rsid w:val="00F86577"/>
    <w:rsid w:val="00F86709"/>
    <w:rsid w:val="00F8682E"/>
    <w:rsid w:val="00F86901"/>
    <w:rsid w:val="00F86AAB"/>
    <w:rsid w:val="00F86AFD"/>
    <w:rsid w:val="00F86C4F"/>
    <w:rsid w:val="00F86CA2"/>
    <w:rsid w:val="00F86E03"/>
    <w:rsid w:val="00F87112"/>
    <w:rsid w:val="00F871BC"/>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991"/>
    <w:rsid w:val="00F90A58"/>
    <w:rsid w:val="00F90AEA"/>
    <w:rsid w:val="00F90F04"/>
    <w:rsid w:val="00F9110C"/>
    <w:rsid w:val="00F91132"/>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22F"/>
    <w:rsid w:val="00F922F1"/>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68"/>
    <w:rsid w:val="00F93DE9"/>
    <w:rsid w:val="00F93E5B"/>
    <w:rsid w:val="00F93FF5"/>
    <w:rsid w:val="00F943A2"/>
    <w:rsid w:val="00F9446F"/>
    <w:rsid w:val="00F9455E"/>
    <w:rsid w:val="00F94650"/>
    <w:rsid w:val="00F94990"/>
    <w:rsid w:val="00F949C9"/>
    <w:rsid w:val="00F94A13"/>
    <w:rsid w:val="00F94D24"/>
    <w:rsid w:val="00F94D7D"/>
    <w:rsid w:val="00F94F36"/>
    <w:rsid w:val="00F94F6E"/>
    <w:rsid w:val="00F9515F"/>
    <w:rsid w:val="00F952EF"/>
    <w:rsid w:val="00F95672"/>
    <w:rsid w:val="00F956D2"/>
    <w:rsid w:val="00F95784"/>
    <w:rsid w:val="00F959DF"/>
    <w:rsid w:val="00F95B37"/>
    <w:rsid w:val="00F95CE3"/>
    <w:rsid w:val="00F95D4A"/>
    <w:rsid w:val="00F95DF7"/>
    <w:rsid w:val="00F95EC1"/>
    <w:rsid w:val="00F963B8"/>
    <w:rsid w:val="00F964C2"/>
    <w:rsid w:val="00F96544"/>
    <w:rsid w:val="00F966F1"/>
    <w:rsid w:val="00F96952"/>
    <w:rsid w:val="00F96B9B"/>
    <w:rsid w:val="00F96C56"/>
    <w:rsid w:val="00F96E1A"/>
    <w:rsid w:val="00F96F69"/>
    <w:rsid w:val="00F96FB7"/>
    <w:rsid w:val="00F96FE6"/>
    <w:rsid w:val="00F97013"/>
    <w:rsid w:val="00F9711A"/>
    <w:rsid w:val="00F9745A"/>
    <w:rsid w:val="00F977C5"/>
    <w:rsid w:val="00F9796C"/>
    <w:rsid w:val="00F97BDF"/>
    <w:rsid w:val="00F97D8A"/>
    <w:rsid w:val="00FA0023"/>
    <w:rsid w:val="00FA0043"/>
    <w:rsid w:val="00FA0370"/>
    <w:rsid w:val="00FA05A8"/>
    <w:rsid w:val="00FA08F6"/>
    <w:rsid w:val="00FA09B1"/>
    <w:rsid w:val="00FA0AA1"/>
    <w:rsid w:val="00FA0B20"/>
    <w:rsid w:val="00FA0B34"/>
    <w:rsid w:val="00FA0BBC"/>
    <w:rsid w:val="00FA0BE0"/>
    <w:rsid w:val="00FA11DB"/>
    <w:rsid w:val="00FA12C2"/>
    <w:rsid w:val="00FA13BA"/>
    <w:rsid w:val="00FA15AB"/>
    <w:rsid w:val="00FA16D0"/>
    <w:rsid w:val="00FA16E5"/>
    <w:rsid w:val="00FA16FC"/>
    <w:rsid w:val="00FA1714"/>
    <w:rsid w:val="00FA1899"/>
    <w:rsid w:val="00FA194A"/>
    <w:rsid w:val="00FA1A6A"/>
    <w:rsid w:val="00FA1AB4"/>
    <w:rsid w:val="00FA1B6B"/>
    <w:rsid w:val="00FA1C92"/>
    <w:rsid w:val="00FA1CEB"/>
    <w:rsid w:val="00FA1F82"/>
    <w:rsid w:val="00FA2232"/>
    <w:rsid w:val="00FA236F"/>
    <w:rsid w:val="00FA24FB"/>
    <w:rsid w:val="00FA2A81"/>
    <w:rsid w:val="00FA2AAF"/>
    <w:rsid w:val="00FA2AB0"/>
    <w:rsid w:val="00FA2AB2"/>
    <w:rsid w:val="00FA2BA8"/>
    <w:rsid w:val="00FA2F7E"/>
    <w:rsid w:val="00FA301E"/>
    <w:rsid w:val="00FA3094"/>
    <w:rsid w:val="00FA31DB"/>
    <w:rsid w:val="00FA3477"/>
    <w:rsid w:val="00FA35B8"/>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56C0"/>
    <w:rsid w:val="00FA57FE"/>
    <w:rsid w:val="00FA5859"/>
    <w:rsid w:val="00FA59D5"/>
    <w:rsid w:val="00FA5B9D"/>
    <w:rsid w:val="00FA5BA0"/>
    <w:rsid w:val="00FA5BA4"/>
    <w:rsid w:val="00FA5D36"/>
    <w:rsid w:val="00FA5F46"/>
    <w:rsid w:val="00FA6027"/>
    <w:rsid w:val="00FA6078"/>
    <w:rsid w:val="00FA60CC"/>
    <w:rsid w:val="00FA618B"/>
    <w:rsid w:val="00FA644B"/>
    <w:rsid w:val="00FA6626"/>
    <w:rsid w:val="00FA66B9"/>
    <w:rsid w:val="00FA67BE"/>
    <w:rsid w:val="00FA69A8"/>
    <w:rsid w:val="00FA6AA8"/>
    <w:rsid w:val="00FA6E52"/>
    <w:rsid w:val="00FA72A8"/>
    <w:rsid w:val="00FA7674"/>
    <w:rsid w:val="00FA76AA"/>
    <w:rsid w:val="00FA78D2"/>
    <w:rsid w:val="00FA7AA5"/>
    <w:rsid w:val="00FA7B0D"/>
    <w:rsid w:val="00FA7CA3"/>
    <w:rsid w:val="00FA7D67"/>
    <w:rsid w:val="00FA7E0B"/>
    <w:rsid w:val="00FA7E9C"/>
    <w:rsid w:val="00FA7EAE"/>
    <w:rsid w:val="00FA7F5C"/>
    <w:rsid w:val="00FA7F98"/>
    <w:rsid w:val="00FB02F2"/>
    <w:rsid w:val="00FB039C"/>
    <w:rsid w:val="00FB05A9"/>
    <w:rsid w:val="00FB0AE2"/>
    <w:rsid w:val="00FB0AE4"/>
    <w:rsid w:val="00FB0C6D"/>
    <w:rsid w:val="00FB0E95"/>
    <w:rsid w:val="00FB0F58"/>
    <w:rsid w:val="00FB10AF"/>
    <w:rsid w:val="00FB126A"/>
    <w:rsid w:val="00FB137C"/>
    <w:rsid w:val="00FB1380"/>
    <w:rsid w:val="00FB1494"/>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A4E"/>
    <w:rsid w:val="00FB4B4F"/>
    <w:rsid w:val="00FB52A6"/>
    <w:rsid w:val="00FB5607"/>
    <w:rsid w:val="00FB5697"/>
    <w:rsid w:val="00FB58CF"/>
    <w:rsid w:val="00FB5A52"/>
    <w:rsid w:val="00FB5A95"/>
    <w:rsid w:val="00FB5B42"/>
    <w:rsid w:val="00FB5B83"/>
    <w:rsid w:val="00FB5BB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C3F"/>
    <w:rsid w:val="00FC1D1D"/>
    <w:rsid w:val="00FC1E3B"/>
    <w:rsid w:val="00FC2005"/>
    <w:rsid w:val="00FC225C"/>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6D7"/>
    <w:rsid w:val="00FC39CC"/>
    <w:rsid w:val="00FC3A4D"/>
    <w:rsid w:val="00FC3D19"/>
    <w:rsid w:val="00FC41D5"/>
    <w:rsid w:val="00FC4354"/>
    <w:rsid w:val="00FC43B0"/>
    <w:rsid w:val="00FC43C2"/>
    <w:rsid w:val="00FC4595"/>
    <w:rsid w:val="00FC45CD"/>
    <w:rsid w:val="00FC473D"/>
    <w:rsid w:val="00FC484A"/>
    <w:rsid w:val="00FC4BA4"/>
    <w:rsid w:val="00FC4F43"/>
    <w:rsid w:val="00FC51A3"/>
    <w:rsid w:val="00FC5207"/>
    <w:rsid w:val="00FC5608"/>
    <w:rsid w:val="00FC583D"/>
    <w:rsid w:val="00FC58B4"/>
    <w:rsid w:val="00FC592D"/>
    <w:rsid w:val="00FC5C1D"/>
    <w:rsid w:val="00FC5C2F"/>
    <w:rsid w:val="00FC60B2"/>
    <w:rsid w:val="00FC62C3"/>
    <w:rsid w:val="00FC6330"/>
    <w:rsid w:val="00FC67FC"/>
    <w:rsid w:val="00FC68C5"/>
    <w:rsid w:val="00FC6973"/>
    <w:rsid w:val="00FC6A9B"/>
    <w:rsid w:val="00FC6AE5"/>
    <w:rsid w:val="00FC6C76"/>
    <w:rsid w:val="00FC6E85"/>
    <w:rsid w:val="00FC6EF0"/>
    <w:rsid w:val="00FC6F9D"/>
    <w:rsid w:val="00FC716B"/>
    <w:rsid w:val="00FC744A"/>
    <w:rsid w:val="00FC7675"/>
    <w:rsid w:val="00FC7904"/>
    <w:rsid w:val="00FC7A7D"/>
    <w:rsid w:val="00FC7D5E"/>
    <w:rsid w:val="00FC7F36"/>
    <w:rsid w:val="00FC7FD7"/>
    <w:rsid w:val="00FD0154"/>
    <w:rsid w:val="00FD0816"/>
    <w:rsid w:val="00FD0B73"/>
    <w:rsid w:val="00FD0BC3"/>
    <w:rsid w:val="00FD0E9F"/>
    <w:rsid w:val="00FD0FC8"/>
    <w:rsid w:val="00FD10AA"/>
    <w:rsid w:val="00FD10C5"/>
    <w:rsid w:val="00FD1100"/>
    <w:rsid w:val="00FD116D"/>
    <w:rsid w:val="00FD12E3"/>
    <w:rsid w:val="00FD141A"/>
    <w:rsid w:val="00FD1576"/>
    <w:rsid w:val="00FD15C3"/>
    <w:rsid w:val="00FD19A2"/>
    <w:rsid w:val="00FD1ACF"/>
    <w:rsid w:val="00FD1F3B"/>
    <w:rsid w:val="00FD1FCD"/>
    <w:rsid w:val="00FD2256"/>
    <w:rsid w:val="00FD23DA"/>
    <w:rsid w:val="00FD2475"/>
    <w:rsid w:val="00FD26CB"/>
    <w:rsid w:val="00FD270C"/>
    <w:rsid w:val="00FD2728"/>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B3"/>
    <w:rsid w:val="00FD40DE"/>
    <w:rsid w:val="00FD43BE"/>
    <w:rsid w:val="00FD4414"/>
    <w:rsid w:val="00FD46CF"/>
    <w:rsid w:val="00FD46D5"/>
    <w:rsid w:val="00FD474C"/>
    <w:rsid w:val="00FD47E0"/>
    <w:rsid w:val="00FD48FE"/>
    <w:rsid w:val="00FD4C6B"/>
    <w:rsid w:val="00FD504A"/>
    <w:rsid w:val="00FD5117"/>
    <w:rsid w:val="00FD5186"/>
    <w:rsid w:val="00FD5204"/>
    <w:rsid w:val="00FD5303"/>
    <w:rsid w:val="00FD5482"/>
    <w:rsid w:val="00FD5685"/>
    <w:rsid w:val="00FD59B3"/>
    <w:rsid w:val="00FD5C82"/>
    <w:rsid w:val="00FD5E66"/>
    <w:rsid w:val="00FD5F3E"/>
    <w:rsid w:val="00FD601A"/>
    <w:rsid w:val="00FD6106"/>
    <w:rsid w:val="00FD6219"/>
    <w:rsid w:val="00FD62B2"/>
    <w:rsid w:val="00FD6317"/>
    <w:rsid w:val="00FD6519"/>
    <w:rsid w:val="00FD6681"/>
    <w:rsid w:val="00FD675E"/>
    <w:rsid w:val="00FD6866"/>
    <w:rsid w:val="00FD6956"/>
    <w:rsid w:val="00FD6C43"/>
    <w:rsid w:val="00FD6D44"/>
    <w:rsid w:val="00FD6DD3"/>
    <w:rsid w:val="00FD7089"/>
    <w:rsid w:val="00FD70E4"/>
    <w:rsid w:val="00FD71B9"/>
    <w:rsid w:val="00FD71E7"/>
    <w:rsid w:val="00FD72A7"/>
    <w:rsid w:val="00FD7723"/>
    <w:rsid w:val="00FD78ED"/>
    <w:rsid w:val="00FD7CCA"/>
    <w:rsid w:val="00FD7F38"/>
    <w:rsid w:val="00FE031A"/>
    <w:rsid w:val="00FE032C"/>
    <w:rsid w:val="00FE057C"/>
    <w:rsid w:val="00FE064D"/>
    <w:rsid w:val="00FE06E2"/>
    <w:rsid w:val="00FE0796"/>
    <w:rsid w:val="00FE09FD"/>
    <w:rsid w:val="00FE0A9A"/>
    <w:rsid w:val="00FE0B53"/>
    <w:rsid w:val="00FE0C34"/>
    <w:rsid w:val="00FE0C9A"/>
    <w:rsid w:val="00FE0D22"/>
    <w:rsid w:val="00FE0D41"/>
    <w:rsid w:val="00FE0D54"/>
    <w:rsid w:val="00FE0DD1"/>
    <w:rsid w:val="00FE0FF1"/>
    <w:rsid w:val="00FE1113"/>
    <w:rsid w:val="00FE111D"/>
    <w:rsid w:val="00FE136D"/>
    <w:rsid w:val="00FE1696"/>
    <w:rsid w:val="00FE189D"/>
    <w:rsid w:val="00FE19A7"/>
    <w:rsid w:val="00FE1A46"/>
    <w:rsid w:val="00FE1ADF"/>
    <w:rsid w:val="00FE2126"/>
    <w:rsid w:val="00FE214D"/>
    <w:rsid w:val="00FE2268"/>
    <w:rsid w:val="00FE238E"/>
    <w:rsid w:val="00FE239B"/>
    <w:rsid w:val="00FE2429"/>
    <w:rsid w:val="00FE2616"/>
    <w:rsid w:val="00FE2776"/>
    <w:rsid w:val="00FE2785"/>
    <w:rsid w:val="00FE2979"/>
    <w:rsid w:val="00FE2A49"/>
    <w:rsid w:val="00FE2A6E"/>
    <w:rsid w:val="00FE2C68"/>
    <w:rsid w:val="00FE2E28"/>
    <w:rsid w:val="00FE2F1A"/>
    <w:rsid w:val="00FE2F69"/>
    <w:rsid w:val="00FE3309"/>
    <w:rsid w:val="00FE33EE"/>
    <w:rsid w:val="00FE3575"/>
    <w:rsid w:val="00FE3614"/>
    <w:rsid w:val="00FE3867"/>
    <w:rsid w:val="00FE3D7B"/>
    <w:rsid w:val="00FE4076"/>
    <w:rsid w:val="00FE4079"/>
    <w:rsid w:val="00FE40C1"/>
    <w:rsid w:val="00FE4376"/>
    <w:rsid w:val="00FE467C"/>
    <w:rsid w:val="00FE4812"/>
    <w:rsid w:val="00FE4846"/>
    <w:rsid w:val="00FE4890"/>
    <w:rsid w:val="00FE4973"/>
    <w:rsid w:val="00FE4B93"/>
    <w:rsid w:val="00FE4BE5"/>
    <w:rsid w:val="00FE4C6E"/>
    <w:rsid w:val="00FE529F"/>
    <w:rsid w:val="00FE5341"/>
    <w:rsid w:val="00FE53D0"/>
    <w:rsid w:val="00FE5550"/>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6"/>
    <w:rsid w:val="00FE7E3F"/>
    <w:rsid w:val="00FF00AE"/>
    <w:rsid w:val="00FF027D"/>
    <w:rsid w:val="00FF093B"/>
    <w:rsid w:val="00FF0B19"/>
    <w:rsid w:val="00FF0BA2"/>
    <w:rsid w:val="00FF0C5B"/>
    <w:rsid w:val="00FF0D5E"/>
    <w:rsid w:val="00FF0E90"/>
    <w:rsid w:val="00FF11F1"/>
    <w:rsid w:val="00FF14C9"/>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937"/>
    <w:rsid w:val="00FF3AC3"/>
    <w:rsid w:val="00FF3B65"/>
    <w:rsid w:val="00FF3B96"/>
    <w:rsid w:val="00FF3FBB"/>
    <w:rsid w:val="00FF406A"/>
    <w:rsid w:val="00FF4309"/>
    <w:rsid w:val="00FF43B5"/>
    <w:rsid w:val="00FF443B"/>
    <w:rsid w:val="00FF44E8"/>
    <w:rsid w:val="00FF44EB"/>
    <w:rsid w:val="00FF454E"/>
    <w:rsid w:val="00FF475B"/>
    <w:rsid w:val="00FF4C56"/>
    <w:rsid w:val="00FF528A"/>
    <w:rsid w:val="00FF5310"/>
    <w:rsid w:val="00FF53FB"/>
    <w:rsid w:val="00FF53FC"/>
    <w:rsid w:val="00FF5492"/>
    <w:rsid w:val="00FF58E6"/>
    <w:rsid w:val="00FF5C54"/>
    <w:rsid w:val="00FF5C98"/>
    <w:rsid w:val="00FF5E04"/>
    <w:rsid w:val="00FF5F21"/>
    <w:rsid w:val="00FF5F57"/>
    <w:rsid w:val="00FF63D0"/>
    <w:rsid w:val="00FF6C12"/>
    <w:rsid w:val="00FF6EDD"/>
    <w:rsid w:val="00FF6FD7"/>
    <w:rsid w:val="00FF7398"/>
    <w:rsid w:val="00FF741F"/>
    <w:rsid w:val="00FF753F"/>
    <w:rsid w:val="00FF7665"/>
    <w:rsid w:val="00FF78D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5B4D52"/>
    <w:rPr>
      <w:kern w:val="2"/>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1CAC4-FBE1-4A80-921C-7732A330F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22</Pages>
  <Words>4541</Words>
  <Characters>24940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OGE</Company>
  <LinksUpToDate>false</LinksUpToDate>
  <CharactersWithSpaces>29423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28</cp:revision>
  <cp:lastPrinted>2025-04-29T02:08:00Z</cp:lastPrinted>
  <dcterms:created xsi:type="dcterms:W3CDTF">2025-05-08T03:48:00Z</dcterms:created>
  <dcterms:modified xsi:type="dcterms:W3CDTF">2025-05-09T09:24:00Z</dcterms:modified>
</cp:coreProperties>
</file>