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E157D" w14:textId="7B241204"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C15393">
        <w:rPr>
          <w:bCs w:val="0"/>
          <w:kern w:val="0"/>
          <w:sz w:val="28"/>
        </w:rPr>
        <w:t>2</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6565D783" w:rsidR="00D44DF3" w:rsidRPr="0087108A" w:rsidRDefault="0036435D" w:rsidP="00B65A4E">
      <w:pPr>
        <w:pStyle w:val="BodyText"/>
        <w:numPr>
          <w:ilvl w:val="0"/>
          <w:numId w:val="1"/>
        </w:numPr>
        <w:tabs>
          <w:tab w:val="num" w:pos="840"/>
        </w:tabs>
        <w:spacing w:before="120" w:after="120" w:line="240" w:lineRule="auto"/>
        <w:ind w:right="28"/>
        <w:rPr>
          <w:i/>
          <w:szCs w:val="28"/>
        </w:rPr>
      </w:pPr>
      <w:r w:rsidRPr="0087108A">
        <w:rPr>
          <w:i/>
          <w:szCs w:val="28"/>
        </w:rPr>
        <w:t xml:space="preserve">The global economy stayed generally resilient in the second quarter </w:t>
      </w:r>
      <w:r w:rsidR="003F060A">
        <w:rPr>
          <w:i/>
          <w:szCs w:val="28"/>
        </w:rPr>
        <w:t xml:space="preserve">of 2025 </w:t>
      </w:r>
      <w:r w:rsidRPr="0087108A">
        <w:rPr>
          <w:i/>
          <w:szCs w:val="28"/>
        </w:rPr>
        <w:t xml:space="preserve">despite </w:t>
      </w:r>
      <w:r w:rsidR="00626919">
        <w:rPr>
          <w:i/>
          <w:szCs w:val="28"/>
          <w:lang w:eastAsia="zh-TW"/>
        </w:rPr>
        <w:t xml:space="preserve">ongoing </w:t>
      </w:r>
      <w:r w:rsidR="00E84D24">
        <w:rPr>
          <w:i/>
          <w:szCs w:val="28"/>
          <w:lang w:eastAsia="zh-TW"/>
        </w:rPr>
        <w:t xml:space="preserve">uncertainties </w:t>
      </w:r>
      <w:r w:rsidR="00626919">
        <w:rPr>
          <w:i/>
          <w:szCs w:val="28"/>
          <w:lang w:eastAsia="zh-TW"/>
        </w:rPr>
        <w:t xml:space="preserve">in </w:t>
      </w:r>
      <w:r w:rsidR="00D533BD">
        <w:rPr>
          <w:i/>
          <w:szCs w:val="28"/>
          <w:lang w:eastAsia="zh-TW"/>
        </w:rPr>
        <w:t xml:space="preserve">the </w:t>
      </w:r>
      <w:r w:rsidR="00F9782D">
        <w:rPr>
          <w:i/>
          <w:szCs w:val="28"/>
          <w:lang w:eastAsia="zh-TW"/>
        </w:rPr>
        <w:t xml:space="preserve">trade </w:t>
      </w:r>
      <w:r w:rsidR="00626919">
        <w:rPr>
          <w:i/>
          <w:szCs w:val="28"/>
          <w:lang w:eastAsia="zh-TW"/>
        </w:rPr>
        <w:t xml:space="preserve">policy </w:t>
      </w:r>
      <w:r w:rsidR="00D533BD">
        <w:rPr>
          <w:i/>
          <w:szCs w:val="28"/>
          <w:lang w:eastAsia="zh-TW"/>
        </w:rPr>
        <w:t>of the United States (US)</w:t>
      </w:r>
      <w:r w:rsidRPr="0087108A">
        <w:rPr>
          <w:i/>
          <w:szCs w:val="28"/>
        </w:rPr>
        <w:t xml:space="preserve">.  The Mainland economy continued to </w:t>
      </w:r>
      <w:r w:rsidR="0078435F">
        <w:rPr>
          <w:rFonts w:hint="eastAsia"/>
          <w:i/>
          <w:szCs w:val="28"/>
          <w:lang w:eastAsia="zh-TW"/>
        </w:rPr>
        <w:t>post solid growth</w:t>
      </w:r>
      <w:r w:rsidRPr="0087108A">
        <w:rPr>
          <w:i/>
          <w:szCs w:val="28"/>
        </w:rPr>
        <w:t xml:space="preserve">.  The </w:t>
      </w:r>
      <w:r w:rsidRPr="0087108A">
        <w:rPr>
          <w:i/>
          <w:szCs w:val="28"/>
          <w:lang w:val="en-GB"/>
        </w:rPr>
        <w:t>US</w:t>
      </w:r>
      <w:r w:rsidRPr="0087108A">
        <w:rPr>
          <w:i/>
          <w:szCs w:val="28"/>
        </w:rPr>
        <w:t xml:space="preserve"> economy </w:t>
      </w:r>
      <w:r w:rsidR="0078435F">
        <w:rPr>
          <w:rFonts w:hint="eastAsia"/>
          <w:i/>
          <w:szCs w:val="28"/>
          <w:lang w:eastAsia="zh-TW"/>
        </w:rPr>
        <w:t>resumed growth</w:t>
      </w:r>
      <w:r w:rsidR="00626919">
        <w:rPr>
          <w:i/>
          <w:szCs w:val="28"/>
          <w:lang w:eastAsia="zh-TW"/>
        </w:rPr>
        <w:t xml:space="preserve"> over the preceding quarter</w:t>
      </w:r>
      <w:r w:rsidR="00055931">
        <w:rPr>
          <w:i/>
          <w:szCs w:val="28"/>
          <w:lang w:eastAsia="zh-TW"/>
        </w:rPr>
        <w:t>,</w:t>
      </w:r>
      <w:r w:rsidR="00860376">
        <w:rPr>
          <w:i/>
          <w:szCs w:val="28"/>
          <w:lang w:eastAsia="zh-TW"/>
        </w:rPr>
        <w:t xml:space="preserve"> partly due to a steep decline in imports as firms drew down inventories built up in the preceding quarter.  </w:t>
      </w:r>
      <w:r w:rsidR="0078435F">
        <w:rPr>
          <w:rFonts w:hint="eastAsia"/>
          <w:i/>
          <w:szCs w:val="28"/>
          <w:lang w:eastAsia="zh-TW"/>
        </w:rPr>
        <w:t>Growth in t</w:t>
      </w:r>
      <w:r w:rsidRPr="0087108A">
        <w:rPr>
          <w:i/>
          <w:szCs w:val="28"/>
        </w:rPr>
        <w:t xml:space="preserve">he euro area economy </w:t>
      </w:r>
      <w:r w:rsidR="0078435F">
        <w:rPr>
          <w:rFonts w:hint="eastAsia"/>
          <w:i/>
          <w:szCs w:val="28"/>
          <w:lang w:eastAsia="zh-TW"/>
        </w:rPr>
        <w:t>slowed</w:t>
      </w:r>
      <w:r w:rsidR="00860376">
        <w:rPr>
          <w:i/>
          <w:szCs w:val="28"/>
          <w:lang w:eastAsia="zh-TW"/>
        </w:rPr>
        <w:t xml:space="preserve"> somewhat</w:t>
      </w:r>
      <w:r w:rsidR="0078435F">
        <w:rPr>
          <w:rFonts w:hint="eastAsia"/>
          <w:i/>
          <w:szCs w:val="28"/>
          <w:lang w:eastAsia="zh-TW"/>
        </w:rPr>
        <w:t xml:space="preserve">.  </w:t>
      </w:r>
      <w:r w:rsidR="0087108A">
        <w:rPr>
          <w:i/>
          <w:szCs w:val="28"/>
          <w:lang w:eastAsia="zh-TW"/>
        </w:rPr>
        <w:t>Meanwhile, o</w:t>
      </w:r>
      <w:r w:rsidRPr="0087108A">
        <w:rPr>
          <w:i/>
          <w:szCs w:val="28"/>
        </w:rPr>
        <w:t xml:space="preserve">ther Asian economies </w:t>
      </w:r>
      <w:r w:rsidR="0078435F">
        <w:rPr>
          <w:rFonts w:hint="eastAsia"/>
          <w:i/>
          <w:szCs w:val="28"/>
          <w:lang w:eastAsia="zh-TW"/>
        </w:rPr>
        <w:t xml:space="preserve">generally </w:t>
      </w:r>
      <w:r w:rsidRPr="0087108A">
        <w:rPr>
          <w:i/>
          <w:szCs w:val="28"/>
        </w:rPr>
        <w:t xml:space="preserve">sustained solid growth </w:t>
      </w:r>
      <w:r w:rsidR="0078435F">
        <w:rPr>
          <w:rFonts w:hint="eastAsia"/>
          <w:i/>
          <w:szCs w:val="28"/>
          <w:lang w:eastAsia="zh-TW"/>
        </w:rPr>
        <w:t>momentum</w:t>
      </w:r>
      <w:r w:rsidRPr="0087108A">
        <w:rPr>
          <w:i/>
          <w:szCs w:val="28"/>
        </w:rPr>
        <w:t>.</w:t>
      </w:r>
    </w:p>
    <w:p w14:paraId="3E7173D6" w14:textId="4ACBB954" w:rsidR="000E7B81" w:rsidRPr="0087108A" w:rsidRDefault="00BC58B0" w:rsidP="00071BD1">
      <w:pPr>
        <w:pStyle w:val="BodyText"/>
        <w:numPr>
          <w:ilvl w:val="0"/>
          <w:numId w:val="1"/>
        </w:numPr>
        <w:tabs>
          <w:tab w:val="num" w:pos="840"/>
        </w:tabs>
        <w:spacing w:before="120" w:after="120" w:line="240" w:lineRule="auto"/>
        <w:ind w:right="28"/>
        <w:rPr>
          <w:i/>
        </w:rPr>
      </w:pPr>
      <w:r w:rsidRPr="0087108A">
        <w:rPr>
          <w:i/>
        </w:rPr>
        <w:t xml:space="preserve">Hong Kong’s merchandise exports </w:t>
      </w:r>
      <w:r w:rsidR="000E7B81" w:rsidRPr="000E7B81">
        <w:rPr>
          <w:i/>
          <w:lang w:val="en-GB"/>
        </w:rPr>
        <w:t>continued to grow notably by 1</w:t>
      </w:r>
      <w:r w:rsidR="00603F90">
        <w:rPr>
          <w:i/>
          <w:lang w:val="en-GB"/>
        </w:rPr>
        <w:t>2.0</w:t>
      </w:r>
      <w:r w:rsidR="000E7B81" w:rsidRPr="000E7B81">
        <w:rPr>
          <w:i/>
          <w:lang w:val="en-GB"/>
        </w:rPr>
        <w:t>% year</w:t>
      </w:r>
      <w:r w:rsidR="00A46F78">
        <w:rPr>
          <w:i/>
          <w:lang w:val="en-GB"/>
        </w:rPr>
        <w:noBreakHyphen/>
      </w:r>
      <w:r w:rsidR="000E7B81" w:rsidRPr="000E7B81">
        <w:rPr>
          <w:i/>
          <w:lang w:val="en-GB"/>
        </w:rPr>
        <w:t>on-year</w:t>
      </w:r>
      <w:r w:rsidRPr="0087108A">
        <w:rPr>
          <w:i/>
        </w:rPr>
        <w:t xml:space="preserve"> in real terms</w:t>
      </w:r>
      <w:r w:rsidRPr="0087108A">
        <w:rPr>
          <w:i/>
          <w:vertAlign w:val="superscript"/>
          <w:lang w:eastAsia="zh-HK"/>
        </w:rPr>
        <w:t xml:space="preserve">(1) </w:t>
      </w:r>
      <w:r w:rsidRPr="0087108A">
        <w:rPr>
          <w:i/>
        </w:rPr>
        <w:t xml:space="preserve">in the second quarter, supported by </w:t>
      </w:r>
      <w:r w:rsidR="00741D25">
        <w:rPr>
          <w:i/>
        </w:rPr>
        <w:t xml:space="preserve">resilient </w:t>
      </w:r>
      <w:r w:rsidRPr="0087108A">
        <w:rPr>
          <w:i/>
        </w:rPr>
        <w:t>external demand</w:t>
      </w:r>
      <w:r w:rsidR="000E7B81" w:rsidRPr="000E7B81">
        <w:rPr>
          <w:rFonts w:hint="eastAsia"/>
          <w:i/>
          <w:lang w:val="en-GB" w:eastAsia="zh-TW"/>
        </w:rPr>
        <w:t xml:space="preserve"> and </w:t>
      </w:r>
      <w:r w:rsidR="000E7B81" w:rsidRPr="000E7B81">
        <w:rPr>
          <w:i/>
          <w:lang w:val="en-GB" w:eastAsia="zh-TW"/>
        </w:rPr>
        <w:t xml:space="preserve">some rush shipments in response to the </w:t>
      </w:r>
      <w:r w:rsidR="003F060A">
        <w:rPr>
          <w:i/>
          <w:lang w:val="en-GB" w:eastAsia="zh-TW"/>
        </w:rPr>
        <w:t xml:space="preserve">temporary </w:t>
      </w:r>
      <w:r w:rsidR="00741D25">
        <w:rPr>
          <w:i/>
          <w:lang w:val="en-GB" w:eastAsia="zh-TW"/>
        </w:rPr>
        <w:t xml:space="preserve">easing </w:t>
      </w:r>
      <w:r w:rsidR="003F060A">
        <w:rPr>
          <w:i/>
          <w:lang w:val="en-GB" w:eastAsia="zh-TW"/>
        </w:rPr>
        <w:t>of</w:t>
      </w:r>
      <w:r w:rsidR="00741D25">
        <w:rPr>
          <w:i/>
          <w:lang w:val="en-GB" w:eastAsia="zh-TW"/>
        </w:rPr>
        <w:t xml:space="preserve"> US tariff measures</w:t>
      </w:r>
      <w:r w:rsidRPr="0087108A">
        <w:rPr>
          <w:i/>
        </w:rPr>
        <w:t xml:space="preserve">.  Exports to the Mainland </w:t>
      </w:r>
      <w:r w:rsidR="000E7B81" w:rsidRPr="000E7B81">
        <w:rPr>
          <w:rFonts w:hint="eastAsia"/>
          <w:i/>
          <w:lang w:eastAsia="zh-TW"/>
        </w:rPr>
        <w:t>posted further double-digit growth</w:t>
      </w:r>
      <w:r w:rsidRPr="0087108A">
        <w:rPr>
          <w:i/>
        </w:rPr>
        <w:t xml:space="preserve">.  Exports to ASEAN markets </w:t>
      </w:r>
      <w:r w:rsidR="000E7B81" w:rsidRPr="000E7B81">
        <w:rPr>
          <w:i/>
        </w:rPr>
        <w:t>accelerated further</w:t>
      </w:r>
      <w:r w:rsidRPr="0087108A">
        <w:rPr>
          <w:i/>
        </w:rPr>
        <w:t xml:space="preserve">, </w:t>
      </w:r>
      <w:r w:rsidR="000E7B81" w:rsidRPr="000E7B81">
        <w:rPr>
          <w:i/>
        </w:rPr>
        <w:t>and those to most high income Asian economies saw increases of varying degree</w:t>
      </w:r>
      <w:r w:rsidR="00055931">
        <w:rPr>
          <w:i/>
        </w:rPr>
        <w:t>s</w:t>
      </w:r>
      <w:r w:rsidR="000E7B81" w:rsidRPr="000E7B81">
        <w:rPr>
          <w:i/>
        </w:rPr>
        <w:t>.</w:t>
      </w:r>
      <w:r w:rsidR="00626919">
        <w:rPr>
          <w:i/>
        </w:rPr>
        <w:t xml:space="preserve">  </w:t>
      </w:r>
      <w:r w:rsidR="00626919" w:rsidRPr="0087108A">
        <w:rPr>
          <w:i/>
        </w:rPr>
        <w:t>Exports to the US turned to a decline, and those to the E</w:t>
      </w:r>
      <w:r w:rsidR="00372477">
        <w:rPr>
          <w:i/>
        </w:rPr>
        <w:t xml:space="preserve">uropean </w:t>
      </w:r>
      <w:r w:rsidR="00626919" w:rsidRPr="0087108A">
        <w:rPr>
          <w:i/>
        </w:rPr>
        <w:t>U</w:t>
      </w:r>
      <w:r w:rsidR="00372477">
        <w:rPr>
          <w:i/>
        </w:rPr>
        <w:t>nion (EU)</w:t>
      </w:r>
      <w:r w:rsidR="00626919" w:rsidRPr="0087108A">
        <w:rPr>
          <w:i/>
        </w:rPr>
        <w:t xml:space="preserve"> </w:t>
      </w:r>
      <w:r w:rsidR="00626919" w:rsidRPr="000E7B81">
        <w:rPr>
          <w:i/>
        </w:rPr>
        <w:t>fell further</w:t>
      </w:r>
      <w:r w:rsidR="00626919" w:rsidRPr="0087108A">
        <w:rPr>
          <w:i/>
        </w:rPr>
        <w:t>.</w:t>
      </w:r>
    </w:p>
    <w:p w14:paraId="1CCDA8EA" w14:textId="6191D153" w:rsidR="00403EB0" w:rsidRPr="0087108A" w:rsidRDefault="00BC58B0" w:rsidP="00071BD1">
      <w:pPr>
        <w:pStyle w:val="BodyText"/>
        <w:numPr>
          <w:ilvl w:val="0"/>
          <w:numId w:val="1"/>
        </w:numPr>
        <w:tabs>
          <w:tab w:val="num" w:pos="840"/>
        </w:tabs>
        <w:spacing w:before="120" w:after="120" w:line="240" w:lineRule="auto"/>
        <w:ind w:right="28"/>
        <w:rPr>
          <w:i/>
        </w:rPr>
      </w:pPr>
      <w:r w:rsidRPr="0087108A">
        <w:rPr>
          <w:i/>
        </w:rPr>
        <w:t xml:space="preserve">Exports of services continued to </w:t>
      </w:r>
      <w:r w:rsidR="0029153D">
        <w:rPr>
          <w:i/>
        </w:rPr>
        <w:t xml:space="preserve">expand </w:t>
      </w:r>
      <w:r w:rsidRPr="0087108A">
        <w:rPr>
          <w:i/>
        </w:rPr>
        <w:t xml:space="preserve">by </w:t>
      </w:r>
      <w:r w:rsidR="00264E1F">
        <w:rPr>
          <w:i/>
        </w:rPr>
        <w:t>7</w:t>
      </w:r>
      <w:r w:rsidRPr="0087108A">
        <w:rPr>
          <w:i/>
        </w:rPr>
        <w:t>.</w:t>
      </w:r>
      <w:r w:rsidR="00603F90">
        <w:rPr>
          <w:i/>
          <w:lang w:eastAsia="zh-TW"/>
        </w:rPr>
        <w:t>5</w:t>
      </w:r>
      <w:r w:rsidRPr="0087108A">
        <w:rPr>
          <w:i/>
        </w:rPr>
        <w:t xml:space="preserve">% in real terms in the second quarter over a year earlier.  </w:t>
      </w:r>
      <w:r w:rsidR="000E7B81" w:rsidRPr="000E7B81">
        <w:rPr>
          <w:i/>
        </w:rPr>
        <w:t xml:space="preserve">Exports of all major service groups showed further </w:t>
      </w:r>
      <w:r w:rsidR="0001632C">
        <w:rPr>
          <w:rFonts w:hint="eastAsia"/>
          <w:i/>
          <w:lang w:eastAsia="zh-TW"/>
        </w:rPr>
        <w:t>increases</w:t>
      </w:r>
      <w:r w:rsidR="000E7B81">
        <w:rPr>
          <w:rFonts w:hint="eastAsia"/>
          <w:i/>
          <w:lang w:eastAsia="zh-TW"/>
        </w:rPr>
        <w:t xml:space="preserve">, supported by </w:t>
      </w:r>
      <w:r w:rsidR="0029153D">
        <w:rPr>
          <w:i/>
          <w:lang w:eastAsia="zh-TW"/>
        </w:rPr>
        <w:t xml:space="preserve">strong growth in </w:t>
      </w:r>
      <w:r w:rsidR="00C45242">
        <w:rPr>
          <w:i/>
          <w:lang w:eastAsia="zh-TW"/>
        </w:rPr>
        <w:t xml:space="preserve">inbound tourism, </w:t>
      </w:r>
      <w:r w:rsidR="008F5A6B">
        <w:rPr>
          <w:rFonts w:hint="eastAsia"/>
          <w:i/>
          <w:lang w:eastAsia="zh-TW"/>
        </w:rPr>
        <w:t>sustained</w:t>
      </w:r>
      <w:r w:rsidR="00C45242">
        <w:rPr>
          <w:i/>
          <w:lang w:eastAsia="zh-TW"/>
        </w:rPr>
        <w:t xml:space="preserve"> </w:t>
      </w:r>
      <w:r w:rsidR="0029153D">
        <w:rPr>
          <w:i/>
          <w:lang w:eastAsia="zh-TW"/>
        </w:rPr>
        <w:t xml:space="preserve">expansion </w:t>
      </w:r>
      <w:r w:rsidR="00C45242">
        <w:rPr>
          <w:i/>
          <w:lang w:eastAsia="zh-TW"/>
        </w:rPr>
        <w:t xml:space="preserve">in </w:t>
      </w:r>
      <w:r w:rsidR="000E7B81">
        <w:rPr>
          <w:rFonts w:hint="eastAsia"/>
          <w:i/>
          <w:lang w:eastAsia="zh-TW"/>
        </w:rPr>
        <w:t xml:space="preserve">cross-boundary traffic, </w:t>
      </w:r>
      <w:r w:rsidR="0029153D">
        <w:rPr>
          <w:i/>
          <w:lang w:eastAsia="zh-TW"/>
        </w:rPr>
        <w:t xml:space="preserve">and vibrant financial and related business service activities amid the </w:t>
      </w:r>
      <w:r w:rsidR="00C45242">
        <w:rPr>
          <w:i/>
          <w:lang w:eastAsia="zh-TW"/>
        </w:rPr>
        <w:t>buoyant local stock market</w:t>
      </w:r>
      <w:r w:rsidR="000E7B81">
        <w:rPr>
          <w:rFonts w:hint="eastAsia"/>
          <w:i/>
          <w:lang w:eastAsia="zh-TW"/>
        </w:rPr>
        <w:t>.</w:t>
      </w:r>
    </w:p>
    <w:p w14:paraId="47D0749C" w14:textId="17BB62B2" w:rsidR="00095096" w:rsidRPr="00242300" w:rsidRDefault="00D43F1C" w:rsidP="00242300">
      <w:pPr>
        <w:pStyle w:val="BodyText"/>
        <w:numPr>
          <w:ilvl w:val="0"/>
          <w:numId w:val="1"/>
        </w:numPr>
        <w:tabs>
          <w:tab w:val="clear" w:pos="1080"/>
          <w:tab w:val="num" w:pos="840"/>
        </w:tabs>
        <w:spacing w:before="120" w:after="120" w:line="240" w:lineRule="auto"/>
        <w:ind w:right="28"/>
        <w:rPr>
          <w:b/>
        </w:rPr>
      </w:pPr>
      <w:r w:rsidRPr="00242300">
        <w:rPr>
          <w:i/>
          <w:szCs w:val="28"/>
          <w:lang w:val="en-GB" w:eastAsia="zh-TW"/>
        </w:rPr>
        <w:t xml:space="preserve">The Government has continued its efforts to bolster Hong Kong’s status as an international trade centre and logistics hub </w:t>
      </w:r>
      <w:r w:rsidR="00122B87">
        <w:rPr>
          <w:i/>
          <w:szCs w:val="28"/>
          <w:lang w:val="en-GB" w:eastAsia="zh-TW"/>
        </w:rPr>
        <w:t>amid the uncertain external environment</w:t>
      </w:r>
      <w:r w:rsidRPr="00242300">
        <w:rPr>
          <w:i/>
          <w:szCs w:val="28"/>
          <w:lang w:val="en-GB" w:eastAsia="zh-TW"/>
        </w:rPr>
        <w:t xml:space="preserve">.  </w:t>
      </w:r>
      <w:r>
        <w:rPr>
          <w:i/>
          <w:szCs w:val="28"/>
          <w:lang w:val="en-GB" w:eastAsia="zh-TW"/>
        </w:rPr>
        <w:t>Moreover</w:t>
      </w:r>
      <w:r w:rsidRPr="00242300">
        <w:rPr>
          <w:i/>
          <w:szCs w:val="28"/>
          <w:lang w:val="en-GB" w:eastAsia="zh-TW"/>
        </w:rPr>
        <w:t xml:space="preserve">, the Government </w:t>
      </w:r>
      <w:r>
        <w:rPr>
          <w:i/>
          <w:szCs w:val="28"/>
          <w:lang w:val="en-GB" w:eastAsia="zh-TW"/>
        </w:rPr>
        <w:t xml:space="preserve">has </w:t>
      </w:r>
      <w:r w:rsidR="00E10E52">
        <w:rPr>
          <w:i/>
          <w:szCs w:val="28"/>
          <w:lang w:val="en-GB" w:eastAsia="zh-TW"/>
        </w:rPr>
        <w:t xml:space="preserve">been steadfast in enhancing </w:t>
      </w:r>
      <w:r w:rsidRPr="00242300">
        <w:rPr>
          <w:i/>
          <w:szCs w:val="28"/>
          <w:lang w:val="en-GB" w:eastAsia="zh-TW"/>
        </w:rPr>
        <w:t xml:space="preserve">Hong Kong’s economic links with the </w:t>
      </w:r>
      <w:proofErr w:type="gramStart"/>
      <w:r w:rsidRPr="00242300">
        <w:rPr>
          <w:i/>
          <w:szCs w:val="28"/>
          <w:lang w:val="en-GB" w:eastAsia="zh-TW"/>
        </w:rPr>
        <w:t>Mainland</w:t>
      </w:r>
      <w:proofErr w:type="gramEnd"/>
      <w:r w:rsidRPr="00242300">
        <w:rPr>
          <w:i/>
          <w:szCs w:val="28"/>
          <w:lang w:val="en-GB" w:eastAsia="zh-TW"/>
        </w:rPr>
        <w:t xml:space="preserve"> and overseas economies.  The Chief Executive and Financial Secretary visited different Mainland cities and overseas economies to promote Hong Kong’s business advantages and foster co-operation in</w:t>
      </w:r>
      <w:r>
        <w:rPr>
          <w:i/>
          <w:szCs w:val="28"/>
          <w:lang w:val="en-GB" w:eastAsia="zh-TW"/>
        </w:rPr>
        <w:t xml:space="preserve"> </w:t>
      </w:r>
      <w:r w:rsidRPr="00242300">
        <w:rPr>
          <w:i/>
          <w:szCs w:val="28"/>
          <w:lang w:val="en-GB" w:eastAsia="zh-TW"/>
        </w:rPr>
        <w:t>various areas.</w:t>
      </w:r>
    </w:p>
    <w:p w14:paraId="735927B6" w14:textId="7A3246E9" w:rsidR="001D3FBB" w:rsidRPr="00BA10B5" w:rsidRDefault="001D3FBB" w:rsidP="00095096">
      <w:pPr>
        <w:pStyle w:val="BodyText"/>
        <w:tabs>
          <w:tab w:val="clear" w:pos="1080"/>
          <w:tab w:val="num" w:pos="840"/>
        </w:tabs>
        <w:spacing w:before="120" w:after="120" w:line="240" w:lineRule="auto"/>
        <w:ind w:right="28"/>
        <w:rPr>
          <w:b/>
        </w:rPr>
      </w:pPr>
      <w:r w:rsidRPr="0039040A">
        <w:rPr>
          <w:i/>
          <w:szCs w:val="28"/>
          <w:lang w:val="en-GB" w:eastAsia="zh-TW"/>
        </w:rPr>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57A83A97" w:rsidR="009472D5" w:rsidRDefault="009472D5" w:rsidP="002869A8">
      <w:pPr>
        <w:tabs>
          <w:tab w:val="left" w:pos="1260"/>
        </w:tabs>
        <w:spacing w:line="360" w:lineRule="atLeast"/>
        <w:jc w:val="both"/>
        <w:rPr>
          <w:sz w:val="28"/>
        </w:rPr>
      </w:pPr>
    </w:p>
    <w:p w14:paraId="0651C8EB" w14:textId="0F09A2B8" w:rsidR="00053FBC" w:rsidRPr="00BB4E43" w:rsidRDefault="00C823B4" w:rsidP="00A84ABE">
      <w:pPr>
        <w:pStyle w:val="ListParagraph"/>
        <w:numPr>
          <w:ilvl w:val="0"/>
          <w:numId w:val="6"/>
        </w:numPr>
        <w:spacing w:after="0" w:line="360" w:lineRule="atLeast"/>
        <w:ind w:leftChars="0"/>
        <w:jc w:val="both"/>
        <w:rPr>
          <w:szCs w:val="28"/>
          <w:lang w:eastAsia="zh-HK"/>
        </w:rPr>
      </w:pPr>
      <w:r w:rsidRPr="00C823B4">
        <w:rPr>
          <w:szCs w:val="28"/>
        </w:rPr>
        <w:t xml:space="preserve">The global economy stayed generally resilient in the second quarter </w:t>
      </w:r>
      <w:r w:rsidR="00D533BD">
        <w:rPr>
          <w:szCs w:val="28"/>
        </w:rPr>
        <w:t xml:space="preserve">of 2025 </w:t>
      </w:r>
      <w:r w:rsidRPr="00C823B4">
        <w:rPr>
          <w:szCs w:val="28"/>
        </w:rPr>
        <w:t xml:space="preserve">despite </w:t>
      </w:r>
      <w:r w:rsidR="00377BE0" w:rsidRPr="00837976">
        <w:rPr>
          <w:szCs w:val="28"/>
        </w:rPr>
        <w:t xml:space="preserve">ongoing </w:t>
      </w:r>
      <w:r w:rsidR="00E84D24">
        <w:rPr>
          <w:szCs w:val="28"/>
        </w:rPr>
        <w:t>uncertainties</w:t>
      </w:r>
      <w:r w:rsidR="00E84D24" w:rsidRPr="00837976">
        <w:rPr>
          <w:szCs w:val="28"/>
        </w:rPr>
        <w:t xml:space="preserve"> </w:t>
      </w:r>
      <w:r w:rsidR="00377BE0" w:rsidRPr="00837976">
        <w:rPr>
          <w:szCs w:val="28"/>
        </w:rPr>
        <w:t xml:space="preserve">in </w:t>
      </w:r>
      <w:r w:rsidR="00D533BD">
        <w:rPr>
          <w:szCs w:val="28"/>
        </w:rPr>
        <w:t xml:space="preserve">the </w:t>
      </w:r>
      <w:r w:rsidR="00F9782D">
        <w:rPr>
          <w:szCs w:val="28"/>
        </w:rPr>
        <w:t xml:space="preserve">trade </w:t>
      </w:r>
      <w:r w:rsidR="00377BE0" w:rsidRPr="00837976">
        <w:rPr>
          <w:szCs w:val="28"/>
        </w:rPr>
        <w:t xml:space="preserve">policy </w:t>
      </w:r>
      <w:r w:rsidR="00D533BD">
        <w:rPr>
          <w:szCs w:val="28"/>
        </w:rPr>
        <w:t>of the US</w:t>
      </w:r>
      <w:r w:rsidRPr="00C823B4">
        <w:rPr>
          <w:szCs w:val="28"/>
        </w:rPr>
        <w:t xml:space="preserve">.  </w:t>
      </w:r>
      <w:r w:rsidR="00AC720B" w:rsidRPr="00DE4EB4">
        <w:rPr>
          <w:szCs w:val="28"/>
        </w:rPr>
        <w:t xml:space="preserve">The </w:t>
      </w:r>
      <w:proofErr w:type="gramStart"/>
      <w:r w:rsidR="00AC720B" w:rsidRPr="00DE4EB4">
        <w:rPr>
          <w:szCs w:val="28"/>
        </w:rPr>
        <w:t>Mainland</w:t>
      </w:r>
      <w:proofErr w:type="gramEnd"/>
      <w:r w:rsidR="00AC720B" w:rsidRPr="00DE4EB4">
        <w:rPr>
          <w:szCs w:val="28"/>
        </w:rPr>
        <w:t xml:space="preserve"> economy </w:t>
      </w:r>
      <w:r>
        <w:rPr>
          <w:szCs w:val="28"/>
        </w:rPr>
        <w:t>continued to</w:t>
      </w:r>
      <w:r w:rsidR="00D02BD9">
        <w:rPr>
          <w:szCs w:val="28"/>
        </w:rPr>
        <w:t xml:space="preserve"> post solid growth</w:t>
      </w:r>
      <w:r w:rsidR="00F83A6A">
        <w:rPr>
          <w:szCs w:val="28"/>
        </w:rPr>
        <w:t>.</w:t>
      </w:r>
      <w:r w:rsidR="00DE4EB4" w:rsidRPr="00DE4EB4">
        <w:rPr>
          <w:szCs w:val="28"/>
        </w:rPr>
        <w:t xml:space="preserve"> </w:t>
      </w:r>
      <w:r w:rsidR="00F83A6A">
        <w:rPr>
          <w:szCs w:val="28"/>
        </w:rPr>
        <w:t xml:space="preserve"> T</w:t>
      </w:r>
      <w:r w:rsidR="00AC720B" w:rsidRPr="00DE4EB4">
        <w:rPr>
          <w:szCs w:val="28"/>
        </w:rPr>
        <w:t xml:space="preserve">he </w:t>
      </w:r>
      <w:r w:rsidR="009871D9">
        <w:rPr>
          <w:szCs w:val="28"/>
        </w:rPr>
        <w:t>US</w:t>
      </w:r>
      <w:r w:rsidR="009871D9" w:rsidRPr="00DE4EB4">
        <w:rPr>
          <w:szCs w:val="28"/>
        </w:rPr>
        <w:t xml:space="preserve"> </w:t>
      </w:r>
      <w:r w:rsidR="00AC720B" w:rsidRPr="00DE4EB4">
        <w:rPr>
          <w:szCs w:val="28"/>
        </w:rPr>
        <w:t>economy</w:t>
      </w:r>
      <w:r w:rsidR="00A20EBE">
        <w:rPr>
          <w:szCs w:val="28"/>
        </w:rPr>
        <w:t xml:space="preserve"> </w:t>
      </w:r>
      <w:r w:rsidR="00081CA9">
        <w:rPr>
          <w:szCs w:val="28"/>
        </w:rPr>
        <w:t xml:space="preserve">resumed </w:t>
      </w:r>
      <w:r w:rsidR="00377BE0" w:rsidRPr="00A7114E">
        <w:rPr>
          <w:szCs w:val="28"/>
        </w:rPr>
        <w:t xml:space="preserve">growth over the preceding quarter, </w:t>
      </w:r>
      <w:r w:rsidR="00860376" w:rsidRPr="002A55DC">
        <w:rPr>
          <w:szCs w:val="28"/>
        </w:rPr>
        <w:t xml:space="preserve">partly due to a steep decline in imports as firms drew down inventories built up in the preceding quarter.  </w:t>
      </w:r>
      <w:r w:rsidR="00012EE8">
        <w:rPr>
          <w:szCs w:val="28"/>
        </w:rPr>
        <w:t>G</w:t>
      </w:r>
      <w:r w:rsidR="00F41CC6">
        <w:rPr>
          <w:szCs w:val="28"/>
        </w:rPr>
        <w:t>rowth in t</w:t>
      </w:r>
      <w:r w:rsidR="00F83A6A" w:rsidRPr="00DE4EB4">
        <w:rPr>
          <w:szCs w:val="28"/>
        </w:rPr>
        <w:t xml:space="preserve">he </w:t>
      </w:r>
      <w:r w:rsidR="00AC720B" w:rsidRPr="00DE4EB4">
        <w:rPr>
          <w:szCs w:val="28"/>
        </w:rPr>
        <w:t xml:space="preserve">euro area economy </w:t>
      </w:r>
      <w:r w:rsidR="00F41CC6">
        <w:rPr>
          <w:szCs w:val="28"/>
        </w:rPr>
        <w:t>slowed</w:t>
      </w:r>
      <w:r w:rsidR="00860376">
        <w:rPr>
          <w:szCs w:val="28"/>
        </w:rPr>
        <w:t xml:space="preserve"> somewhat</w:t>
      </w:r>
      <w:r w:rsidR="00AC720B" w:rsidRPr="00B93DE6">
        <w:rPr>
          <w:szCs w:val="28"/>
        </w:rPr>
        <w:t xml:space="preserve">.  </w:t>
      </w:r>
      <w:r w:rsidR="00012EE8">
        <w:rPr>
          <w:szCs w:val="28"/>
        </w:rPr>
        <w:t>Meanwhile</w:t>
      </w:r>
      <w:r w:rsidR="00B8563A">
        <w:rPr>
          <w:szCs w:val="28"/>
        </w:rPr>
        <w:t>,</w:t>
      </w:r>
      <w:r w:rsidR="00012EE8">
        <w:rPr>
          <w:szCs w:val="28"/>
        </w:rPr>
        <w:t xml:space="preserve"> o</w:t>
      </w:r>
      <w:r w:rsidR="00F83A6A" w:rsidRPr="00B93DE6">
        <w:rPr>
          <w:szCs w:val="28"/>
        </w:rPr>
        <w:t xml:space="preserve">ther </w:t>
      </w:r>
      <w:r w:rsidR="00AC720B" w:rsidRPr="00B93DE6">
        <w:rPr>
          <w:szCs w:val="28"/>
        </w:rPr>
        <w:t xml:space="preserve">Asian economies </w:t>
      </w:r>
      <w:r w:rsidR="00DD74F1">
        <w:rPr>
          <w:szCs w:val="28"/>
        </w:rPr>
        <w:t xml:space="preserve">generally </w:t>
      </w:r>
      <w:r w:rsidR="00154978">
        <w:rPr>
          <w:rFonts w:hint="eastAsia"/>
          <w:szCs w:val="28"/>
        </w:rPr>
        <w:t>sustained</w:t>
      </w:r>
      <w:r w:rsidR="00154978">
        <w:rPr>
          <w:szCs w:val="28"/>
        </w:rPr>
        <w:t xml:space="preserve"> </w:t>
      </w:r>
      <w:r w:rsidR="00616969">
        <w:rPr>
          <w:rFonts w:hint="eastAsia"/>
          <w:szCs w:val="28"/>
        </w:rPr>
        <w:t>solid growth</w:t>
      </w:r>
      <w:r w:rsidR="00F83A6A">
        <w:rPr>
          <w:szCs w:val="28"/>
        </w:rPr>
        <w:t xml:space="preserve"> </w:t>
      </w:r>
      <w:r w:rsidR="00B8563A">
        <w:rPr>
          <w:szCs w:val="28"/>
        </w:rPr>
        <w:t>momentum</w:t>
      </w:r>
      <w:r w:rsidR="00B93DE6" w:rsidRPr="00B93DE6">
        <w:rPr>
          <w:szCs w:val="28"/>
        </w:rPr>
        <w:t>.</w:t>
      </w:r>
    </w:p>
    <w:p w14:paraId="0A9431EF" w14:textId="77777777" w:rsidR="00053FBC" w:rsidRPr="00B65A4E" w:rsidRDefault="00053FBC" w:rsidP="00053FBC">
      <w:pPr>
        <w:pStyle w:val="ListParagraph"/>
        <w:spacing w:after="0" w:line="360" w:lineRule="atLeast"/>
        <w:ind w:leftChars="0" w:left="0"/>
        <w:jc w:val="both"/>
        <w:rPr>
          <w:szCs w:val="28"/>
          <w:lang w:val="en-HK" w:eastAsia="zh-HK"/>
        </w:rPr>
      </w:pPr>
    </w:p>
    <w:p w14:paraId="610AC282" w14:textId="0BFA4496" w:rsidR="00F27183" w:rsidRPr="0010670D" w:rsidRDefault="00807D60" w:rsidP="00CD163F">
      <w:pPr>
        <w:pStyle w:val="ListParagraph"/>
        <w:numPr>
          <w:ilvl w:val="0"/>
          <w:numId w:val="6"/>
        </w:numPr>
        <w:spacing w:after="0" w:line="360" w:lineRule="atLeast"/>
        <w:ind w:leftChars="0"/>
        <w:jc w:val="both"/>
        <w:rPr>
          <w:szCs w:val="28"/>
          <w:lang w:eastAsia="zh-HK"/>
        </w:rPr>
      </w:pPr>
      <w:r>
        <w:rPr>
          <w:szCs w:val="28"/>
        </w:rPr>
        <w:t xml:space="preserve">Global trade tensions escalated abruptly at the start of the quarter, as the </w:t>
      </w:r>
      <w:r w:rsidR="001D7390">
        <w:rPr>
          <w:szCs w:val="28"/>
        </w:rPr>
        <w:t>US announce</w:t>
      </w:r>
      <w:r>
        <w:rPr>
          <w:szCs w:val="28"/>
        </w:rPr>
        <w:t xml:space="preserve">d the so-called </w:t>
      </w:r>
      <w:r w:rsidR="001D7390">
        <w:rPr>
          <w:szCs w:val="28"/>
        </w:rPr>
        <w:t>“reciprocal tariff</w:t>
      </w:r>
      <w:r>
        <w:rPr>
          <w:szCs w:val="28"/>
        </w:rPr>
        <w:t>s</w:t>
      </w:r>
      <w:r w:rsidR="001D7390">
        <w:rPr>
          <w:szCs w:val="28"/>
        </w:rPr>
        <w:t xml:space="preserve">” </w:t>
      </w:r>
      <w:r>
        <w:rPr>
          <w:szCs w:val="28"/>
        </w:rPr>
        <w:t xml:space="preserve">on 2 </w:t>
      </w:r>
      <w:r w:rsidR="001D7390">
        <w:rPr>
          <w:szCs w:val="28"/>
        </w:rPr>
        <w:t>April</w:t>
      </w:r>
      <w:r w:rsidR="00D533BD">
        <w:rPr>
          <w:szCs w:val="28"/>
        </w:rPr>
        <w:t xml:space="preserve"> to increase import tariffs significantly</w:t>
      </w:r>
      <w:r w:rsidR="00E9068C">
        <w:rPr>
          <w:szCs w:val="28"/>
        </w:rPr>
        <w:t xml:space="preserve">.  Trade tensions </w:t>
      </w:r>
      <w:r w:rsidR="00095096">
        <w:rPr>
          <w:szCs w:val="28"/>
        </w:rPr>
        <w:t>eased somewhat</w:t>
      </w:r>
      <w:r w:rsidR="00C24375">
        <w:rPr>
          <w:rFonts w:hint="eastAsia"/>
          <w:szCs w:val="28"/>
        </w:rPr>
        <w:t xml:space="preserve"> after </w:t>
      </w:r>
      <w:r w:rsidR="00377BE0">
        <w:rPr>
          <w:szCs w:val="28"/>
        </w:rPr>
        <w:t xml:space="preserve">the US announced </w:t>
      </w:r>
      <w:r w:rsidR="001D7390" w:rsidRPr="00027FBD">
        <w:t xml:space="preserve">a </w:t>
      </w:r>
      <w:r w:rsidR="00C24375">
        <w:rPr>
          <w:rFonts w:hint="eastAsia"/>
        </w:rPr>
        <w:t xml:space="preserve">90-day </w:t>
      </w:r>
      <w:r w:rsidR="008256F2">
        <w:t xml:space="preserve">suspension </w:t>
      </w:r>
      <w:r w:rsidR="001D7390" w:rsidRPr="00027FBD">
        <w:t>on the</w:t>
      </w:r>
      <w:r w:rsidR="00C24375">
        <w:rPr>
          <w:rFonts w:hint="eastAsia"/>
        </w:rPr>
        <w:t>se</w:t>
      </w:r>
      <w:r w:rsidR="001D7390" w:rsidRPr="00027FBD">
        <w:t xml:space="preserve"> tariffs </w:t>
      </w:r>
      <w:r w:rsidR="00A470B5">
        <w:t xml:space="preserve">in full </w:t>
      </w:r>
      <w:r w:rsidR="008256F2">
        <w:t xml:space="preserve">for all trading partners </w:t>
      </w:r>
      <w:r w:rsidR="001D7390" w:rsidRPr="00027FBD">
        <w:t>except China</w:t>
      </w:r>
      <w:r w:rsidR="00050155">
        <w:t xml:space="preserve"> </w:t>
      </w:r>
      <w:r w:rsidR="00050155">
        <w:rPr>
          <w:szCs w:val="28"/>
        </w:rPr>
        <w:t xml:space="preserve">on </w:t>
      </w:r>
      <w:r w:rsidR="00050155">
        <w:rPr>
          <w:rFonts w:hint="eastAsia"/>
          <w:szCs w:val="28"/>
        </w:rPr>
        <w:t>9</w:t>
      </w:r>
      <w:r w:rsidR="00050155">
        <w:rPr>
          <w:szCs w:val="28"/>
        </w:rPr>
        <w:t xml:space="preserve"> April</w:t>
      </w:r>
      <w:r w:rsidR="00050155">
        <w:t xml:space="preserve">, and started trade talks with many of these economies.  </w:t>
      </w:r>
      <w:r w:rsidR="00E414A1">
        <w:t>On 7 August</w:t>
      </w:r>
      <w:r w:rsidR="00050155">
        <w:t xml:space="preserve">, the US </w:t>
      </w:r>
      <w:r w:rsidR="00E414A1">
        <w:t xml:space="preserve">implemented </w:t>
      </w:r>
      <w:r w:rsidR="00050155">
        <w:t xml:space="preserve">a </w:t>
      </w:r>
      <w:r w:rsidR="00050155">
        <w:rPr>
          <w:rFonts w:hint="eastAsia"/>
          <w:szCs w:val="28"/>
        </w:rPr>
        <w:t xml:space="preserve">new </w:t>
      </w:r>
      <w:r w:rsidR="00050155">
        <w:rPr>
          <w:szCs w:val="28"/>
        </w:rPr>
        <w:t>set of full “</w:t>
      </w:r>
      <w:r w:rsidR="00050155">
        <w:rPr>
          <w:rFonts w:hint="eastAsia"/>
          <w:szCs w:val="28"/>
        </w:rPr>
        <w:t>reciprocal tariff</w:t>
      </w:r>
      <w:r w:rsidR="00050155">
        <w:rPr>
          <w:szCs w:val="28"/>
        </w:rPr>
        <w:t>”</w:t>
      </w:r>
      <w:r w:rsidR="00050155">
        <w:rPr>
          <w:rFonts w:hint="eastAsia"/>
          <w:szCs w:val="28"/>
        </w:rPr>
        <w:t xml:space="preserve"> </w:t>
      </w:r>
      <w:r w:rsidR="00050155">
        <w:rPr>
          <w:szCs w:val="28"/>
        </w:rPr>
        <w:t>rates</w:t>
      </w:r>
      <w:r w:rsidR="00C15804">
        <w:rPr>
          <w:szCs w:val="28"/>
        </w:rPr>
        <w:t>,</w:t>
      </w:r>
      <w:r w:rsidR="00CD2818">
        <w:t xml:space="preserve"> </w:t>
      </w:r>
      <w:r w:rsidR="00C15804">
        <w:t xml:space="preserve">which were </w:t>
      </w:r>
      <w:r w:rsidR="00050155">
        <w:t>general</w:t>
      </w:r>
      <w:r w:rsidR="00C15804">
        <w:t xml:space="preserve">ly </w:t>
      </w:r>
      <w:r w:rsidR="00050155">
        <w:t xml:space="preserve">higher than the 10% baseline tariff for most economies but lower than those announced on 2 </w:t>
      </w:r>
      <w:proofErr w:type="gramStart"/>
      <w:r w:rsidR="00050155">
        <w:t>April</w:t>
      </w:r>
      <w:r w:rsidR="00050155" w:rsidRPr="00E9068C">
        <w:rPr>
          <w:kern w:val="2"/>
          <w:sz w:val="24"/>
          <w:szCs w:val="24"/>
          <w:vertAlign w:val="superscript"/>
          <w:lang w:eastAsia="zh-HK"/>
        </w:rPr>
        <w:t>(</w:t>
      </w:r>
      <w:proofErr w:type="gramEnd"/>
      <w:r w:rsidR="00050155" w:rsidRPr="00E9068C">
        <w:rPr>
          <w:kern w:val="2"/>
          <w:sz w:val="24"/>
          <w:szCs w:val="24"/>
          <w:vertAlign w:val="superscript"/>
          <w:lang w:eastAsia="zh-HK"/>
        </w:rPr>
        <w:t>2)</w:t>
      </w:r>
      <w:r w:rsidR="00050155">
        <w:rPr>
          <w:kern w:val="2"/>
          <w:sz w:val="24"/>
          <w:szCs w:val="24"/>
          <w:lang w:eastAsia="zh-HK"/>
        </w:rPr>
        <w:t xml:space="preserve">.  </w:t>
      </w:r>
      <w:r w:rsidR="00377BE0">
        <w:rPr>
          <w:szCs w:val="28"/>
        </w:rPr>
        <w:t xml:space="preserve">As for the US’ tariff on </w:t>
      </w:r>
      <w:r w:rsidR="00F9782D">
        <w:rPr>
          <w:szCs w:val="28"/>
        </w:rPr>
        <w:t xml:space="preserve">imports from </w:t>
      </w:r>
      <w:r w:rsidR="00377BE0">
        <w:rPr>
          <w:szCs w:val="28"/>
        </w:rPr>
        <w:t>China</w:t>
      </w:r>
      <w:r w:rsidR="00547262">
        <w:rPr>
          <w:szCs w:val="28"/>
        </w:rPr>
        <w:t xml:space="preserve"> (including Hong Kong)</w:t>
      </w:r>
      <w:r w:rsidR="00377BE0">
        <w:rPr>
          <w:szCs w:val="28"/>
        </w:rPr>
        <w:t>, the additional tariff rate was once raised to 145% in mid-April</w:t>
      </w:r>
      <w:r w:rsidR="00C15804">
        <w:rPr>
          <w:szCs w:val="28"/>
        </w:rPr>
        <w:t xml:space="preserve"> before being temporarily reduced to 30% following </w:t>
      </w:r>
      <w:r w:rsidR="00377BE0" w:rsidRPr="00027FBD">
        <w:t xml:space="preserve">the high-level trade talks </w:t>
      </w:r>
      <w:r w:rsidR="00377BE0">
        <w:t xml:space="preserve">between </w:t>
      </w:r>
      <w:r w:rsidR="00C15804">
        <w:t xml:space="preserve">the two </w:t>
      </w:r>
      <w:r w:rsidR="002B688B">
        <w:t>countries</w:t>
      </w:r>
      <w:r w:rsidR="00C15804">
        <w:t xml:space="preserve"> </w:t>
      </w:r>
      <w:r w:rsidR="00377BE0" w:rsidRPr="00027FBD">
        <w:t>in</w:t>
      </w:r>
      <w:r w:rsidR="00377BE0">
        <w:t xml:space="preserve"> Geneva in </w:t>
      </w:r>
      <w:proofErr w:type="gramStart"/>
      <w:r w:rsidR="00377BE0">
        <w:t>May</w:t>
      </w:r>
      <w:r w:rsidR="00CD2818" w:rsidRPr="00E9068C">
        <w:rPr>
          <w:kern w:val="2"/>
          <w:sz w:val="24"/>
          <w:szCs w:val="24"/>
          <w:vertAlign w:val="superscript"/>
          <w:lang w:eastAsia="zh-HK"/>
        </w:rPr>
        <w:t>(</w:t>
      </w:r>
      <w:proofErr w:type="gramEnd"/>
      <w:r w:rsidR="00F10940">
        <w:rPr>
          <w:kern w:val="2"/>
          <w:sz w:val="24"/>
          <w:szCs w:val="24"/>
          <w:vertAlign w:val="superscript"/>
          <w:lang w:eastAsia="zh-HK"/>
        </w:rPr>
        <w:t>3</w:t>
      </w:r>
      <w:r w:rsidR="00CD2818" w:rsidRPr="00E9068C">
        <w:rPr>
          <w:kern w:val="2"/>
          <w:sz w:val="24"/>
          <w:szCs w:val="24"/>
          <w:vertAlign w:val="superscript"/>
          <w:lang w:eastAsia="zh-HK"/>
        </w:rPr>
        <w:t>)</w:t>
      </w:r>
      <w:r w:rsidR="00377BE0">
        <w:t>.</w:t>
      </w:r>
      <w:r w:rsidR="00CD2818">
        <w:t xml:space="preserve">  </w:t>
      </w:r>
      <w:r w:rsidR="006D7023">
        <w:rPr>
          <w:szCs w:val="28"/>
        </w:rPr>
        <w:t xml:space="preserve">Separately, </w:t>
      </w:r>
      <w:r w:rsidR="006D7023" w:rsidRPr="00197E6C">
        <w:rPr>
          <w:szCs w:val="28"/>
        </w:rPr>
        <w:t>the US will remove the tariff exemption on parcels valued at or under US$800 for all trading partners, to be effective on 29 August (save for those from China including Hong Kong</w:t>
      </w:r>
      <w:r w:rsidR="00720557">
        <w:rPr>
          <w:szCs w:val="28"/>
        </w:rPr>
        <w:t>,</w:t>
      </w:r>
      <w:r w:rsidR="006D7023" w:rsidRPr="00197E6C">
        <w:rPr>
          <w:szCs w:val="28"/>
        </w:rPr>
        <w:t xml:space="preserve"> where the exemption has already been suspended since May).  </w:t>
      </w:r>
      <w:r w:rsidR="00B65916">
        <w:rPr>
          <w:szCs w:val="28"/>
        </w:rPr>
        <w:t>T</w:t>
      </w:r>
      <w:r w:rsidR="000F59AC">
        <w:rPr>
          <w:szCs w:val="28"/>
        </w:rPr>
        <w:t xml:space="preserve">he outlook of </w:t>
      </w:r>
      <w:r w:rsidR="0009092C">
        <w:rPr>
          <w:rFonts w:hint="eastAsia"/>
          <w:szCs w:val="28"/>
        </w:rPr>
        <w:t xml:space="preserve">the </w:t>
      </w:r>
      <w:r w:rsidR="000F59AC">
        <w:rPr>
          <w:szCs w:val="28"/>
        </w:rPr>
        <w:t xml:space="preserve">US’ tariff policy is still highly uncertain.  </w:t>
      </w:r>
      <w:r w:rsidR="00B65916">
        <w:rPr>
          <w:szCs w:val="28"/>
        </w:rPr>
        <w:t>At the time of writing, the China</w:t>
      </w:r>
      <w:r w:rsidR="00897745">
        <w:rPr>
          <w:szCs w:val="28"/>
        </w:rPr>
        <w:noBreakHyphen/>
      </w:r>
      <w:r w:rsidR="00B65916">
        <w:rPr>
          <w:szCs w:val="28"/>
        </w:rPr>
        <w:t>US trade talks are still ongoing.  Moreover</w:t>
      </w:r>
      <w:r w:rsidR="00BD684F">
        <w:t xml:space="preserve">, the US </w:t>
      </w:r>
      <w:r w:rsidR="00C24375">
        <w:rPr>
          <w:rFonts w:hint="eastAsia"/>
        </w:rPr>
        <w:t xml:space="preserve">is </w:t>
      </w:r>
      <w:r w:rsidR="00BD684F">
        <w:t>conduct</w:t>
      </w:r>
      <w:r w:rsidR="00C24375">
        <w:rPr>
          <w:rFonts w:hint="eastAsia"/>
        </w:rPr>
        <w:t>ing</w:t>
      </w:r>
      <w:r w:rsidR="00BD684F">
        <w:t xml:space="preserve"> investigation</w:t>
      </w:r>
      <w:r w:rsidR="00FA4448">
        <w:t>s</w:t>
      </w:r>
      <w:r w:rsidR="00BD684F">
        <w:t xml:space="preserve"> </w:t>
      </w:r>
      <w:r w:rsidR="00F9782D">
        <w:t xml:space="preserve">under Section 232 of the US Trade Expansion Act of 1962 </w:t>
      </w:r>
      <w:r w:rsidR="00BD684F">
        <w:t xml:space="preserve">on </w:t>
      </w:r>
      <w:r w:rsidR="00F6750B">
        <w:rPr>
          <w:rFonts w:hint="eastAsia"/>
        </w:rPr>
        <w:t xml:space="preserve">several </w:t>
      </w:r>
      <w:r w:rsidR="00BD684F">
        <w:t>commodities</w:t>
      </w:r>
      <w:r w:rsidR="00FA4448">
        <w:t xml:space="preserve"> (</w:t>
      </w:r>
      <w:r w:rsidR="002137BF">
        <w:t xml:space="preserve">e.g. </w:t>
      </w:r>
      <w:r w:rsidR="00FA4448">
        <w:t>semiconductors, pharmaceutical</w:t>
      </w:r>
      <w:r w:rsidR="00F9782D">
        <w:t>s, processed critical minerals</w:t>
      </w:r>
      <w:r w:rsidR="00FA4448">
        <w:t xml:space="preserve">, etc.), after </w:t>
      </w:r>
      <w:r w:rsidR="00F6750B">
        <w:rPr>
          <w:rFonts w:hint="eastAsia"/>
        </w:rPr>
        <w:t xml:space="preserve">imposing </w:t>
      </w:r>
      <w:r w:rsidR="00F9782D">
        <w:t xml:space="preserve">additional </w:t>
      </w:r>
      <w:r w:rsidR="00FA4448">
        <w:t>tariffs on steel and aluminium, automobiles and automobile parts</w:t>
      </w:r>
      <w:r w:rsidR="00F6750B">
        <w:rPr>
          <w:rFonts w:hint="eastAsia"/>
        </w:rPr>
        <w:t>,</w:t>
      </w:r>
      <w:r w:rsidR="00CB4988">
        <w:t xml:space="preserve"> and </w:t>
      </w:r>
      <w:r w:rsidR="00FA4448">
        <w:t>copper</w:t>
      </w:r>
      <w:r w:rsidR="00F6750B">
        <w:rPr>
          <w:rFonts w:hint="eastAsia"/>
        </w:rPr>
        <w:t xml:space="preserve"> </w:t>
      </w:r>
      <w:r w:rsidR="00F6750B">
        <w:t>earlier</w:t>
      </w:r>
      <w:r w:rsidR="00FA4448">
        <w:t xml:space="preserve"> this year. </w:t>
      </w:r>
      <w:r w:rsidR="003653FE">
        <w:t xml:space="preserve"> </w:t>
      </w:r>
      <w:r w:rsidR="00F6750B">
        <w:rPr>
          <w:rFonts w:hint="eastAsia"/>
        </w:rPr>
        <w:t>A</w:t>
      </w:r>
      <w:r w:rsidR="00083494">
        <w:t xml:space="preserve">dditional tariffs </w:t>
      </w:r>
      <w:r w:rsidR="007D4E50">
        <w:t xml:space="preserve">on these commodities </w:t>
      </w:r>
      <w:r w:rsidR="00F6750B">
        <w:rPr>
          <w:rFonts w:hint="eastAsia"/>
        </w:rPr>
        <w:t xml:space="preserve">are expected once </w:t>
      </w:r>
      <w:r w:rsidR="007D4E50">
        <w:t>the investigations are completed.</w:t>
      </w:r>
    </w:p>
    <w:p w14:paraId="5896BA85" w14:textId="77777777" w:rsidR="00800985" w:rsidRDefault="00800985" w:rsidP="0039040A">
      <w:pPr>
        <w:pStyle w:val="ListParagraph"/>
        <w:spacing w:after="0" w:line="360" w:lineRule="atLeast"/>
        <w:ind w:leftChars="0" w:left="0"/>
        <w:jc w:val="both"/>
        <w:rPr>
          <w:szCs w:val="28"/>
          <w:lang w:eastAsia="zh-HK"/>
        </w:rPr>
      </w:pPr>
    </w:p>
    <w:p w14:paraId="1A73C832" w14:textId="7FB4366B" w:rsidR="009E274E" w:rsidRPr="00B91F19" w:rsidRDefault="00800985" w:rsidP="00B0635B">
      <w:pPr>
        <w:pStyle w:val="ListParagraph"/>
        <w:numPr>
          <w:ilvl w:val="0"/>
          <w:numId w:val="6"/>
        </w:numPr>
        <w:tabs>
          <w:tab w:val="left" w:pos="1276"/>
        </w:tabs>
        <w:spacing w:after="0" w:line="360" w:lineRule="atLeast"/>
        <w:ind w:leftChars="0"/>
        <w:jc w:val="both"/>
        <w:rPr>
          <w:szCs w:val="28"/>
          <w:lang w:eastAsia="zh-HK"/>
        </w:rPr>
      </w:pPr>
      <w:r>
        <w:rPr>
          <w:szCs w:val="28"/>
        </w:rPr>
        <w:t>I</w:t>
      </w:r>
      <w:proofErr w:type="spellStart"/>
      <w:r w:rsidR="00BF38C1">
        <w:rPr>
          <w:szCs w:val="28"/>
          <w:lang w:val="en-US" w:eastAsia="zh-HK"/>
        </w:rPr>
        <w:t>n</w:t>
      </w:r>
      <w:proofErr w:type="spellEnd"/>
      <w:r w:rsidR="00BF38C1">
        <w:rPr>
          <w:szCs w:val="28"/>
          <w:lang w:val="en-US" w:eastAsia="zh-HK"/>
        </w:rPr>
        <w:t xml:space="preserve"> </w:t>
      </w:r>
      <w:r w:rsidR="000B774E">
        <w:rPr>
          <w:szCs w:val="28"/>
          <w:lang w:val="en-US" w:eastAsia="zh-HK"/>
        </w:rPr>
        <w:t>July</w:t>
      </w:r>
      <w:r w:rsidR="00F23753" w:rsidRPr="00B62503">
        <w:rPr>
          <w:szCs w:val="28"/>
          <w:lang w:val="en-US" w:eastAsia="zh-HK"/>
        </w:rPr>
        <w:t xml:space="preserve">, </w:t>
      </w:r>
      <w:r w:rsidR="00F23753" w:rsidRPr="00B62503">
        <w:rPr>
          <w:szCs w:val="28"/>
        </w:rPr>
        <w:t xml:space="preserve">the </w:t>
      </w:r>
      <w:r w:rsidR="00661179">
        <w:rPr>
          <w:szCs w:val="28"/>
        </w:rPr>
        <w:t>International Monetary Fund (</w:t>
      </w:r>
      <w:r w:rsidR="00F23753" w:rsidRPr="00B62503">
        <w:rPr>
          <w:szCs w:val="28"/>
        </w:rPr>
        <w:t>IMF</w:t>
      </w:r>
      <w:r w:rsidR="00661179">
        <w:rPr>
          <w:szCs w:val="28"/>
        </w:rPr>
        <w:t>)</w:t>
      </w:r>
      <w:r w:rsidR="00F23753" w:rsidRPr="00B62503">
        <w:rPr>
          <w:szCs w:val="28"/>
        </w:rPr>
        <w:t xml:space="preserve"> </w:t>
      </w:r>
      <w:r w:rsidR="00806E50" w:rsidRPr="00806E50">
        <w:rPr>
          <w:szCs w:val="28"/>
        </w:rPr>
        <w:t xml:space="preserve">revised up </w:t>
      </w:r>
      <w:r w:rsidR="00E54316">
        <w:rPr>
          <w:szCs w:val="28"/>
        </w:rPr>
        <w:t xml:space="preserve">its </w:t>
      </w:r>
      <w:r w:rsidR="00806E50" w:rsidRPr="00806E50">
        <w:rPr>
          <w:szCs w:val="28"/>
        </w:rPr>
        <w:t xml:space="preserve">global economic growth </w:t>
      </w:r>
      <w:r w:rsidR="00E54316">
        <w:rPr>
          <w:szCs w:val="28"/>
        </w:rPr>
        <w:t>forecast</w:t>
      </w:r>
      <w:r w:rsidR="00806E50" w:rsidRPr="00806E50">
        <w:rPr>
          <w:szCs w:val="28"/>
        </w:rPr>
        <w:t xml:space="preserve"> for 2025 slightly</w:t>
      </w:r>
      <w:r w:rsidR="00E54316">
        <w:rPr>
          <w:szCs w:val="28"/>
        </w:rPr>
        <w:t xml:space="preserve"> </w:t>
      </w:r>
      <w:r w:rsidR="00EF4009">
        <w:rPr>
          <w:szCs w:val="28"/>
        </w:rPr>
        <w:t xml:space="preserve">compared with three months ago, </w:t>
      </w:r>
      <w:r w:rsidR="00806E50" w:rsidRPr="00806E50">
        <w:rPr>
          <w:szCs w:val="28"/>
        </w:rPr>
        <w:t xml:space="preserve">to 3.0%.  Yet, it still represents a </w:t>
      </w:r>
      <w:r w:rsidR="00F17E5F">
        <w:rPr>
          <w:szCs w:val="28"/>
        </w:rPr>
        <w:t>slowdown</w:t>
      </w:r>
      <w:r w:rsidR="00806E50" w:rsidRPr="00806E50">
        <w:rPr>
          <w:szCs w:val="28"/>
        </w:rPr>
        <w:t xml:space="preserve"> from the growth rate of 3.3% in 2024, </w:t>
      </w:r>
      <w:r w:rsidR="00EF4009">
        <w:rPr>
          <w:szCs w:val="28"/>
        </w:rPr>
        <w:t>being</w:t>
      </w:r>
      <w:r w:rsidR="00F17E5F">
        <w:rPr>
          <w:szCs w:val="28"/>
        </w:rPr>
        <w:t xml:space="preserve"> </w:t>
      </w:r>
      <w:r w:rsidR="00806E50" w:rsidRPr="00806E50">
        <w:rPr>
          <w:szCs w:val="28"/>
        </w:rPr>
        <w:t xml:space="preserve">visibly </w:t>
      </w:r>
      <w:r w:rsidR="00F17E5F">
        <w:rPr>
          <w:szCs w:val="28"/>
        </w:rPr>
        <w:t>below</w:t>
      </w:r>
      <w:r w:rsidR="00806E50" w:rsidRPr="00806E50">
        <w:rPr>
          <w:szCs w:val="28"/>
        </w:rPr>
        <w:t xml:space="preserve"> the pre-pandemic </w:t>
      </w:r>
      <w:r w:rsidR="00EF4009">
        <w:rPr>
          <w:szCs w:val="28"/>
        </w:rPr>
        <w:t xml:space="preserve">historical </w:t>
      </w:r>
      <w:r w:rsidR="00806E50" w:rsidRPr="00806E50">
        <w:rPr>
          <w:szCs w:val="28"/>
        </w:rPr>
        <w:t xml:space="preserve">average of 3.7%.  The IMF also </w:t>
      </w:r>
      <w:r w:rsidR="00590A04">
        <w:rPr>
          <w:szCs w:val="28"/>
        </w:rPr>
        <w:t xml:space="preserve">noted that the </w:t>
      </w:r>
      <w:r w:rsidR="00E54316" w:rsidRPr="00E54316">
        <w:rPr>
          <w:szCs w:val="28"/>
        </w:rPr>
        <w:t>near-term risks to global economic growth</w:t>
      </w:r>
      <w:r w:rsidR="00590A04">
        <w:rPr>
          <w:szCs w:val="28"/>
        </w:rPr>
        <w:t xml:space="preserve"> remain til</w:t>
      </w:r>
      <w:r w:rsidR="00230402">
        <w:rPr>
          <w:rFonts w:hint="eastAsia"/>
          <w:szCs w:val="28"/>
        </w:rPr>
        <w:t>t</w:t>
      </w:r>
      <w:r w:rsidR="00590A04">
        <w:rPr>
          <w:szCs w:val="28"/>
        </w:rPr>
        <w:t>ed to the downside</w:t>
      </w:r>
      <w:r w:rsidR="00E54316" w:rsidRPr="00E54316">
        <w:rPr>
          <w:szCs w:val="28"/>
        </w:rPr>
        <w:t xml:space="preserve">, </w:t>
      </w:r>
      <w:r w:rsidR="00590A04">
        <w:rPr>
          <w:szCs w:val="28"/>
        </w:rPr>
        <w:t xml:space="preserve">as </w:t>
      </w:r>
      <w:r w:rsidR="00E54316" w:rsidRPr="00E54316">
        <w:rPr>
          <w:szCs w:val="28"/>
        </w:rPr>
        <w:t xml:space="preserve">risks from potentially higher tariffs, elevated trade </w:t>
      </w:r>
      <w:r w:rsidR="00E84D24">
        <w:rPr>
          <w:szCs w:val="28"/>
        </w:rPr>
        <w:t>uncertainties</w:t>
      </w:r>
      <w:r w:rsidR="00E54316" w:rsidRPr="00E54316">
        <w:rPr>
          <w:szCs w:val="28"/>
        </w:rPr>
        <w:t xml:space="preserve">, and geopolitical tensions </w:t>
      </w:r>
      <w:proofErr w:type="gramStart"/>
      <w:r w:rsidR="00E54316" w:rsidRPr="00E54316">
        <w:rPr>
          <w:szCs w:val="28"/>
        </w:rPr>
        <w:t>persist</w:t>
      </w:r>
      <w:r w:rsidR="00590A04" w:rsidRPr="00E9068C">
        <w:rPr>
          <w:kern w:val="2"/>
          <w:sz w:val="24"/>
          <w:szCs w:val="24"/>
          <w:vertAlign w:val="superscript"/>
          <w:lang w:eastAsia="zh-HK"/>
        </w:rPr>
        <w:t>(</w:t>
      </w:r>
      <w:proofErr w:type="gramEnd"/>
      <w:r w:rsidR="00590A04">
        <w:rPr>
          <w:kern w:val="2"/>
          <w:sz w:val="24"/>
          <w:szCs w:val="24"/>
          <w:vertAlign w:val="superscript"/>
          <w:lang w:eastAsia="zh-HK"/>
        </w:rPr>
        <w:t>4</w:t>
      </w:r>
      <w:r w:rsidR="00590A04" w:rsidRPr="00E9068C">
        <w:rPr>
          <w:kern w:val="2"/>
          <w:sz w:val="24"/>
          <w:szCs w:val="24"/>
          <w:vertAlign w:val="superscript"/>
          <w:lang w:eastAsia="zh-HK"/>
        </w:rPr>
        <w:t>)</w:t>
      </w:r>
      <w:r w:rsidR="00806E50" w:rsidRPr="00806E50">
        <w:rPr>
          <w:szCs w:val="28"/>
        </w:rPr>
        <w:t>.</w:t>
      </w:r>
    </w:p>
    <w:p w14:paraId="71D47A4A" w14:textId="7FED5D3D" w:rsidR="00DF50B1" w:rsidRDefault="00DF50B1">
      <w:pPr>
        <w:widowControl/>
        <w:rPr>
          <w:kern w:val="0"/>
          <w:sz w:val="28"/>
          <w:szCs w:val="28"/>
          <w:lang w:eastAsia="zh-HK"/>
        </w:rPr>
      </w:pPr>
    </w:p>
    <w:p w14:paraId="228A2163" w14:textId="510873D0" w:rsidR="00440353" w:rsidRPr="006F32B2" w:rsidRDefault="0010670D" w:rsidP="00E9068C">
      <w:pPr>
        <w:pStyle w:val="ListParagraph"/>
        <w:numPr>
          <w:ilvl w:val="0"/>
          <w:numId w:val="6"/>
        </w:numPr>
        <w:overflowPunct w:val="0"/>
        <w:spacing w:after="0" w:line="360" w:lineRule="atLeast"/>
        <w:ind w:leftChars="0"/>
        <w:jc w:val="both"/>
        <w:rPr>
          <w:szCs w:val="28"/>
          <w:lang w:eastAsia="zh-HK"/>
        </w:rPr>
      </w:pPr>
      <w:bookmarkStart w:id="0" w:name="_Hlk203664465"/>
      <w:r w:rsidRPr="00261ACC">
        <w:rPr>
          <w:szCs w:val="28"/>
          <w:lang w:eastAsia="zh-HK"/>
        </w:rPr>
        <w:lastRenderedPageBreak/>
        <w:t xml:space="preserve">The </w:t>
      </w:r>
      <w:proofErr w:type="gramStart"/>
      <w:r w:rsidRPr="00261ACC">
        <w:rPr>
          <w:szCs w:val="28"/>
          <w:lang w:eastAsia="zh-HK"/>
        </w:rPr>
        <w:t>Mainland</w:t>
      </w:r>
      <w:proofErr w:type="gramEnd"/>
      <w:r w:rsidRPr="00261ACC">
        <w:rPr>
          <w:szCs w:val="28"/>
          <w:lang w:eastAsia="zh-HK"/>
        </w:rPr>
        <w:t xml:space="preserve"> economy continued to post solid growth in the second quarter, growing by 5.2% over a year earlier, averaging 5.3% for the first half of the year.  In the second quarter, the year-on-year growth in retail sales of consumer goods picked up somewhat, whil</w:t>
      </w:r>
      <w:r w:rsidR="00E9068C">
        <w:rPr>
          <w:szCs w:val="28"/>
          <w:lang w:eastAsia="zh-HK"/>
        </w:rPr>
        <w:t>e</w:t>
      </w:r>
      <w:r w:rsidRPr="00261ACC">
        <w:rPr>
          <w:szCs w:val="28"/>
          <w:lang w:eastAsia="zh-HK"/>
        </w:rPr>
        <w:t xml:space="preserve"> that of fixed asset investment eased.  Despite </w:t>
      </w:r>
      <w:r w:rsidRPr="00261ACC">
        <w:rPr>
          <w:rFonts w:eastAsia="SimSun" w:hint="eastAsia"/>
          <w:szCs w:val="28"/>
          <w:lang w:eastAsia="zh-CN"/>
        </w:rPr>
        <w:t xml:space="preserve">the </w:t>
      </w:r>
      <w:r w:rsidR="001A0C16">
        <w:rPr>
          <w:rFonts w:eastAsia="SimSun"/>
          <w:szCs w:val="28"/>
          <w:lang w:eastAsia="zh-CN"/>
        </w:rPr>
        <w:t xml:space="preserve">evolving </w:t>
      </w:r>
      <w:r w:rsidRPr="00261ACC">
        <w:rPr>
          <w:rFonts w:eastAsia="SimSun" w:hint="eastAsia"/>
          <w:szCs w:val="28"/>
          <w:lang w:eastAsia="zh-CN"/>
        </w:rPr>
        <w:t xml:space="preserve">trade tensions </w:t>
      </w:r>
      <w:r w:rsidR="001A0C16">
        <w:rPr>
          <w:rFonts w:eastAsia="SimSun"/>
          <w:szCs w:val="28"/>
          <w:lang w:eastAsia="zh-CN"/>
        </w:rPr>
        <w:t xml:space="preserve">during </w:t>
      </w:r>
      <w:r w:rsidRPr="00261ACC">
        <w:rPr>
          <w:rFonts w:eastAsia="SimSun" w:hint="eastAsia"/>
          <w:szCs w:val="28"/>
          <w:lang w:eastAsia="zh-CN"/>
        </w:rPr>
        <w:t>the quarter</w:t>
      </w:r>
      <w:r w:rsidRPr="00261ACC">
        <w:rPr>
          <w:szCs w:val="28"/>
          <w:lang w:eastAsia="zh-HK"/>
        </w:rPr>
        <w:t xml:space="preserve">, </w:t>
      </w:r>
      <w:r w:rsidRPr="00261ACC">
        <w:rPr>
          <w:rFonts w:eastAsia="SimSun" w:hint="eastAsia"/>
          <w:szCs w:val="28"/>
          <w:lang w:eastAsia="zh-CN"/>
        </w:rPr>
        <w:t xml:space="preserve">merchandise </w:t>
      </w:r>
      <w:r w:rsidRPr="00261ACC">
        <w:rPr>
          <w:szCs w:val="28"/>
          <w:lang w:eastAsia="zh-HK"/>
        </w:rPr>
        <w:t xml:space="preserve">exports stayed resilient (see </w:t>
      </w:r>
      <w:r w:rsidRPr="00261ACC">
        <w:rPr>
          <w:b/>
          <w:bCs/>
          <w:i/>
          <w:iCs/>
          <w:szCs w:val="28"/>
          <w:lang w:eastAsia="zh-HK"/>
        </w:rPr>
        <w:t>Box 2.1</w:t>
      </w:r>
      <w:r w:rsidRPr="00261ACC">
        <w:rPr>
          <w:szCs w:val="28"/>
          <w:lang w:eastAsia="zh-HK"/>
        </w:rPr>
        <w:t>).</w:t>
      </w:r>
      <w:r w:rsidR="00573DDC">
        <w:rPr>
          <w:szCs w:val="28"/>
          <w:lang w:eastAsia="zh-HK"/>
        </w:rPr>
        <w:t xml:space="preserve"> </w:t>
      </w:r>
      <w:r w:rsidRPr="00261ACC">
        <w:rPr>
          <w:szCs w:val="28"/>
          <w:lang w:eastAsia="zh-HK"/>
        </w:rPr>
        <w:t xml:space="preserve"> </w:t>
      </w:r>
      <w:bookmarkStart w:id="1" w:name="fnref15"/>
      <w:bookmarkStart w:id="2" w:name="fnref5:2"/>
      <w:bookmarkEnd w:id="0"/>
      <w:bookmarkEnd w:id="1"/>
      <w:bookmarkEnd w:id="2"/>
      <w:r w:rsidRPr="00C906D1">
        <w:rPr>
          <w:szCs w:val="28"/>
          <w:lang w:eastAsia="zh-HK"/>
        </w:rPr>
        <w:t>On policy, the authorities introduced new financial support and enhanced structural monetary policy instruments in early May, including those for technological innovation, industrial upgrading, service consumption, elderly care, and agriculture and small businesses.</w:t>
      </w:r>
      <w:r w:rsidR="00F17E5F">
        <w:rPr>
          <w:szCs w:val="28"/>
          <w:lang w:eastAsia="zh-HK"/>
        </w:rPr>
        <w:t xml:space="preserve">  </w:t>
      </w:r>
      <w:r w:rsidR="00F17E5F" w:rsidRPr="00F17E5F">
        <w:rPr>
          <w:szCs w:val="28"/>
          <w:lang w:eastAsia="zh-HK"/>
        </w:rPr>
        <w:t xml:space="preserve">The Politburo meeting </w:t>
      </w:r>
      <w:r w:rsidR="0001632C">
        <w:rPr>
          <w:rFonts w:hint="eastAsia"/>
          <w:szCs w:val="28"/>
          <w:lang w:eastAsia="zh-HK"/>
        </w:rPr>
        <w:t xml:space="preserve">held </w:t>
      </w:r>
      <w:r w:rsidR="00F17E5F" w:rsidRPr="00F17E5F">
        <w:rPr>
          <w:szCs w:val="28"/>
          <w:lang w:eastAsia="zh-HK"/>
        </w:rPr>
        <w:t xml:space="preserve">in late July stressed that the authorities would continue proactive macroeconomic policy and strengthen it as appropriate, striving to achieve the economic and social development goals this year.  </w:t>
      </w:r>
    </w:p>
    <w:p w14:paraId="13A38EBD" w14:textId="77777777" w:rsidR="006B1E47" w:rsidRDefault="006B1E47" w:rsidP="006B1E47">
      <w:pPr>
        <w:pStyle w:val="ListParagraph"/>
        <w:spacing w:after="0" w:line="360" w:lineRule="atLeast"/>
        <w:ind w:leftChars="0" w:left="0"/>
        <w:jc w:val="both"/>
        <w:rPr>
          <w:szCs w:val="28"/>
          <w:lang w:eastAsia="zh-HK"/>
        </w:rPr>
      </w:pPr>
    </w:p>
    <w:p w14:paraId="280B1780" w14:textId="3F98B54F" w:rsidR="00BE1964" w:rsidRDefault="00102403">
      <w:pPr>
        <w:pStyle w:val="ListParagraph"/>
        <w:numPr>
          <w:ilvl w:val="0"/>
          <w:numId w:val="6"/>
        </w:numPr>
        <w:spacing w:after="0" w:line="360" w:lineRule="atLeast"/>
        <w:ind w:leftChars="0"/>
        <w:jc w:val="both"/>
        <w:rPr>
          <w:szCs w:val="28"/>
          <w:lang w:eastAsia="zh-HK"/>
        </w:rPr>
      </w:pPr>
      <w:r w:rsidRPr="00426091">
        <w:rPr>
          <w:szCs w:val="28"/>
          <w:lang w:eastAsia="zh-HK"/>
        </w:rPr>
        <w:t xml:space="preserve">As </w:t>
      </w:r>
      <w:r w:rsidR="00AF6157">
        <w:rPr>
          <w:szCs w:val="28"/>
          <w:lang w:eastAsia="zh-HK"/>
        </w:rPr>
        <w:t xml:space="preserve">regards </w:t>
      </w:r>
      <w:r w:rsidR="00596A50" w:rsidRPr="00426091">
        <w:rPr>
          <w:szCs w:val="28"/>
          <w:lang w:eastAsia="zh-HK"/>
        </w:rPr>
        <w:t xml:space="preserve">the advanced economies, </w:t>
      </w:r>
      <w:r w:rsidR="00596A50" w:rsidRPr="00B103E2">
        <w:rPr>
          <w:lang w:eastAsia="zh-HK"/>
        </w:rPr>
        <w:t xml:space="preserve">the US economy </w:t>
      </w:r>
      <w:r w:rsidR="00AF6157">
        <w:rPr>
          <w:lang w:eastAsia="zh-HK"/>
        </w:rPr>
        <w:t xml:space="preserve">resumed growth of </w:t>
      </w:r>
      <w:r w:rsidR="00EF4009">
        <w:rPr>
          <w:lang w:eastAsia="zh-HK"/>
        </w:rPr>
        <w:t>3.0</w:t>
      </w:r>
      <w:r w:rsidR="004E6876">
        <w:rPr>
          <w:lang w:eastAsia="zh-HK"/>
        </w:rPr>
        <w:t xml:space="preserve">% in the second quarter on </w:t>
      </w:r>
      <w:r w:rsidR="000E17DD" w:rsidRPr="00B103E2">
        <w:rPr>
          <w:lang w:eastAsia="zh-HK"/>
        </w:rPr>
        <w:t>a</w:t>
      </w:r>
      <w:r w:rsidR="00161105" w:rsidRPr="00B103E2">
        <w:rPr>
          <w:lang w:eastAsia="zh-HK"/>
        </w:rPr>
        <w:t xml:space="preserve">n annualised </w:t>
      </w:r>
      <w:r w:rsidR="000E17DD" w:rsidRPr="00B103E2">
        <w:rPr>
          <w:lang w:eastAsia="zh-HK"/>
        </w:rPr>
        <w:t>seasonally</w:t>
      </w:r>
      <w:r w:rsidR="000E17DD" w:rsidRPr="00B103E2">
        <w:rPr>
          <w:lang w:eastAsia="zh-HK"/>
        </w:rPr>
        <w:noBreakHyphen/>
      </w:r>
      <w:r w:rsidR="0030180E" w:rsidRPr="00B103E2">
        <w:rPr>
          <w:lang w:eastAsia="zh-HK"/>
        </w:rPr>
        <w:t>adjusted quarter</w:t>
      </w:r>
      <w:r w:rsidR="0030180E" w:rsidRPr="00B103E2">
        <w:rPr>
          <w:lang w:eastAsia="zh-HK"/>
        </w:rPr>
        <w:noBreakHyphen/>
        <w:t>to</w:t>
      </w:r>
      <w:r w:rsidR="0030180E" w:rsidRPr="00B103E2">
        <w:rPr>
          <w:lang w:eastAsia="zh-HK"/>
        </w:rPr>
        <w:noBreakHyphen/>
      </w:r>
      <w:r w:rsidR="00374967" w:rsidRPr="00B103E2">
        <w:rPr>
          <w:lang w:eastAsia="zh-HK"/>
        </w:rPr>
        <w:t>quarter basis</w:t>
      </w:r>
      <w:r w:rsidR="001B5D38">
        <w:rPr>
          <w:lang w:eastAsia="zh-HK"/>
        </w:rPr>
        <w:t xml:space="preserve">.  </w:t>
      </w:r>
      <w:r w:rsidR="00D52B00" w:rsidRPr="00964CFB">
        <w:rPr>
          <w:lang w:eastAsia="zh-HK"/>
        </w:rPr>
        <w:t xml:space="preserve">The upturn was partly driven by </w:t>
      </w:r>
      <w:r w:rsidR="00D52B00">
        <w:rPr>
          <w:lang w:eastAsia="zh-HK"/>
        </w:rPr>
        <w:t>a steep decline in imports as firms drew down inventories built up in the preceding quarter in anticipation of the imminent US tariffs.</w:t>
      </w:r>
      <w:r w:rsidR="00964CFB" w:rsidRPr="00964CFB">
        <w:rPr>
          <w:lang w:eastAsia="zh-HK"/>
        </w:rPr>
        <w:t xml:space="preserve"> </w:t>
      </w:r>
      <w:r w:rsidR="004450E3">
        <w:rPr>
          <w:lang w:eastAsia="zh-HK"/>
        </w:rPr>
        <w:t xml:space="preserve"> Meanwhile, </w:t>
      </w:r>
      <w:r w:rsidR="00D52B00">
        <w:rPr>
          <w:lang w:eastAsia="zh-HK"/>
        </w:rPr>
        <w:t>g</w:t>
      </w:r>
      <w:r w:rsidR="00964CFB" w:rsidRPr="00964CFB">
        <w:rPr>
          <w:lang w:eastAsia="zh-HK"/>
        </w:rPr>
        <w:t xml:space="preserve">rowth </w:t>
      </w:r>
      <w:r w:rsidR="00E75D04">
        <w:rPr>
          <w:lang w:eastAsia="zh-HK"/>
        </w:rPr>
        <w:t>in</w:t>
      </w:r>
      <w:r w:rsidR="00964CFB" w:rsidRPr="00964CFB">
        <w:rPr>
          <w:lang w:eastAsia="zh-HK"/>
        </w:rPr>
        <w:t xml:space="preserve"> domestic demand continued to moderate.  </w:t>
      </w:r>
      <w:r w:rsidR="001B5D38">
        <w:rPr>
          <w:lang w:eastAsia="zh-HK"/>
        </w:rPr>
        <w:t xml:space="preserve">On a year-on-year </w:t>
      </w:r>
      <w:r w:rsidR="00964CFB">
        <w:rPr>
          <w:lang w:eastAsia="zh-HK"/>
        </w:rPr>
        <w:t xml:space="preserve">comparison, </w:t>
      </w:r>
      <w:r w:rsidR="004450E3">
        <w:rPr>
          <w:lang w:eastAsia="zh-HK"/>
        </w:rPr>
        <w:t xml:space="preserve">economic </w:t>
      </w:r>
      <w:r w:rsidR="00964CFB">
        <w:rPr>
          <w:lang w:eastAsia="zh-HK"/>
        </w:rPr>
        <w:t>growth held steady at 2.0%</w:t>
      </w:r>
      <w:r w:rsidR="00EB61D7">
        <w:rPr>
          <w:lang w:eastAsia="zh-HK"/>
        </w:rPr>
        <w:t>.</w:t>
      </w:r>
      <w:r w:rsidR="00AB533D">
        <w:rPr>
          <w:lang w:eastAsia="zh-HK"/>
        </w:rPr>
        <w:t xml:space="preserve">  </w:t>
      </w:r>
      <w:r w:rsidR="00445A15">
        <w:rPr>
          <w:lang w:eastAsia="zh-HK"/>
        </w:rPr>
        <w:t xml:space="preserve">As </w:t>
      </w:r>
      <w:r w:rsidR="00F207A6">
        <w:rPr>
          <w:lang w:eastAsia="zh-HK"/>
        </w:rPr>
        <w:t xml:space="preserve">inflation </w:t>
      </w:r>
      <w:r w:rsidR="00445A15">
        <w:rPr>
          <w:lang w:eastAsia="zh-HK"/>
        </w:rPr>
        <w:t xml:space="preserve">edged </w:t>
      </w:r>
      <w:r w:rsidR="00FA4448">
        <w:rPr>
          <w:lang w:eastAsia="zh-HK"/>
        </w:rPr>
        <w:t xml:space="preserve">up </w:t>
      </w:r>
      <w:r w:rsidR="00445A15">
        <w:rPr>
          <w:lang w:eastAsia="zh-HK"/>
        </w:rPr>
        <w:t xml:space="preserve">to the level </w:t>
      </w:r>
      <w:r w:rsidR="00473534" w:rsidRPr="00973801">
        <w:rPr>
          <w:lang w:eastAsia="zh-HK"/>
        </w:rPr>
        <w:t>above the Fed</w:t>
      </w:r>
      <w:r w:rsidR="000C50D4">
        <w:rPr>
          <w:lang w:eastAsia="zh-HK"/>
        </w:rPr>
        <w:t>eral Reserve</w:t>
      </w:r>
      <w:r w:rsidR="004531C6">
        <w:rPr>
          <w:lang w:eastAsia="zh-HK"/>
        </w:rPr>
        <w:t xml:space="preserve"> (</w:t>
      </w:r>
      <w:r w:rsidR="004531C6" w:rsidRPr="007D3869">
        <w:rPr>
          <w:lang w:eastAsia="zh-HK"/>
        </w:rPr>
        <w:t>Fed</w:t>
      </w:r>
      <w:r w:rsidR="004531C6">
        <w:rPr>
          <w:lang w:eastAsia="zh-HK"/>
        </w:rPr>
        <w:t>)</w:t>
      </w:r>
      <w:r w:rsidR="00473534" w:rsidRPr="00973801">
        <w:rPr>
          <w:lang w:eastAsia="zh-HK"/>
        </w:rPr>
        <w:t>’s target</w:t>
      </w:r>
      <w:r w:rsidR="00426091">
        <w:rPr>
          <w:lang w:eastAsia="zh-HK"/>
        </w:rPr>
        <w:t xml:space="preserve"> of 2%</w:t>
      </w:r>
      <w:r w:rsidR="00AF6157">
        <w:rPr>
          <w:lang w:eastAsia="zh-HK"/>
        </w:rPr>
        <w:t xml:space="preserve">, </w:t>
      </w:r>
      <w:r w:rsidR="001356D0" w:rsidRPr="00973801">
        <w:rPr>
          <w:lang w:eastAsia="zh-HK"/>
        </w:rPr>
        <w:t>t</w:t>
      </w:r>
      <w:r w:rsidR="00CD7044" w:rsidRPr="00973801">
        <w:rPr>
          <w:lang w:eastAsia="zh-HK"/>
        </w:rPr>
        <w:t xml:space="preserve">he </w:t>
      </w:r>
      <w:r w:rsidR="00473534" w:rsidRPr="00973801">
        <w:rPr>
          <w:lang w:eastAsia="zh-HK"/>
        </w:rPr>
        <w:t>Fed</w:t>
      </w:r>
      <w:r w:rsidR="00CD7044" w:rsidRPr="00973801">
        <w:rPr>
          <w:lang w:eastAsia="zh-HK"/>
        </w:rPr>
        <w:t xml:space="preserve"> </w:t>
      </w:r>
      <w:r w:rsidR="00400E1B" w:rsidRPr="00426091">
        <w:rPr>
          <w:szCs w:val="28"/>
          <w:lang w:eastAsia="zh-HK"/>
        </w:rPr>
        <w:t>kept</w:t>
      </w:r>
      <w:r w:rsidR="00327527" w:rsidRPr="00426091">
        <w:rPr>
          <w:szCs w:val="28"/>
          <w:lang w:eastAsia="zh-HK"/>
        </w:rPr>
        <w:t xml:space="preserve"> the target range for the federal funds rate </w:t>
      </w:r>
      <w:r w:rsidR="00400E1B" w:rsidRPr="00426091">
        <w:rPr>
          <w:szCs w:val="28"/>
          <w:lang w:eastAsia="zh-HK"/>
        </w:rPr>
        <w:t>unchanged</w:t>
      </w:r>
      <w:r w:rsidR="00DD385D" w:rsidRPr="00426091">
        <w:rPr>
          <w:szCs w:val="28"/>
          <w:lang w:eastAsia="zh-HK"/>
        </w:rPr>
        <w:t xml:space="preserve"> </w:t>
      </w:r>
      <w:r w:rsidR="00400E1B" w:rsidRPr="00426091">
        <w:rPr>
          <w:szCs w:val="28"/>
          <w:lang w:eastAsia="zh-HK"/>
        </w:rPr>
        <w:t>during the quarter</w:t>
      </w:r>
      <w:r w:rsidR="002B0F74" w:rsidRPr="00426091">
        <w:rPr>
          <w:szCs w:val="28"/>
          <w:lang w:eastAsia="zh-HK"/>
        </w:rPr>
        <w:t xml:space="preserve">, </w:t>
      </w:r>
      <w:r w:rsidR="00426091" w:rsidRPr="00426091">
        <w:rPr>
          <w:szCs w:val="28"/>
          <w:lang w:eastAsia="zh-HK"/>
        </w:rPr>
        <w:t>and continued to reduce the size of its balance sheet</w:t>
      </w:r>
      <w:r w:rsidR="00327527" w:rsidRPr="00400E1B">
        <w:rPr>
          <w:lang w:eastAsia="zh-HK"/>
        </w:rPr>
        <w:t>.</w:t>
      </w:r>
      <w:r w:rsidR="002B0F74" w:rsidRPr="00400E1B">
        <w:rPr>
          <w:lang w:eastAsia="zh-HK"/>
        </w:rPr>
        <w:t xml:space="preserve">  </w:t>
      </w:r>
      <w:r w:rsidR="0050677C">
        <w:rPr>
          <w:lang w:eastAsia="zh-HK"/>
        </w:rPr>
        <w:t xml:space="preserve">Meanwhile, </w:t>
      </w:r>
      <w:r w:rsidR="00AF6157">
        <w:rPr>
          <w:lang w:eastAsia="zh-HK"/>
        </w:rPr>
        <w:t xml:space="preserve">growth </w:t>
      </w:r>
      <w:r w:rsidR="0050677C">
        <w:rPr>
          <w:lang w:eastAsia="zh-HK"/>
        </w:rPr>
        <w:t>i</w:t>
      </w:r>
      <w:r w:rsidR="00473534" w:rsidRPr="00473534">
        <w:rPr>
          <w:lang w:eastAsia="zh-HK"/>
        </w:rPr>
        <w:t>n t</w:t>
      </w:r>
      <w:r w:rsidR="009A7F22" w:rsidRPr="00473534">
        <w:rPr>
          <w:lang w:eastAsia="zh-HK"/>
        </w:rPr>
        <w:t>he</w:t>
      </w:r>
      <w:r w:rsidR="005031F9" w:rsidRPr="00473534">
        <w:rPr>
          <w:lang w:eastAsia="zh-HK"/>
        </w:rPr>
        <w:t xml:space="preserve"> </w:t>
      </w:r>
      <w:r w:rsidR="00473534" w:rsidRPr="00473534">
        <w:rPr>
          <w:lang w:eastAsia="zh-HK"/>
        </w:rPr>
        <w:t>euro area</w:t>
      </w:r>
      <w:r w:rsidR="00AF6157">
        <w:rPr>
          <w:lang w:eastAsia="zh-HK"/>
        </w:rPr>
        <w:t xml:space="preserve"> </w:t>
      </w:r>
      <w:r w:rsidR="00D917D9" w:rsidRPr="00473534">
        <w:rPr>
          <w:lang w:eastAsia="zh-HK"/>
        </w:rPr>
        <w:t xml:space="preserve">economy </w:t>
      </w:r>
      <w:r w:rsidR="004450E3">
        <w:rPr>
          <w:lang w:eastAsia="zh-HK"/>
        </w:rPr>
        <w:t xml:space="preserve">decelerated </w:t>
      </w:r>
      <w:r w:rsidR="00C47301">
        <w:rPr>
          <w:lang w:eastAsia="zh-HK"/>
        </w:rPr>
        <w:t>to 0.</w:t>
      </w:r>
      <w:r w:rsidR="001B5D38">
        <w:rPr>
          <w:lang w:eastAsia="zh-HK"/>
        </w:rPr>
        <w:t>1</w:t>
      </w:r>
      <w:r w:rsidR="00C47301">
        <w:rPr>
          <w:lang w:eastAsia="zh-HK"/>
        </w:rPr>
        <w:t xml:space="preserve">% </w:t>
      </w:r>
      <w:r w:rsidR="00C47301" w:rsidRPr="00473534">
        <w:rPr>
          <w:lang w:eastAsia="zh-HK"/>
        </w:rPr>
        <w:t xml:space="preserve">in the </w:t>
      </w:r>
      <w:r w:rsidR="00C47301">
        <w:rPr>
          <w:lang w:eastAsia="zh-HK"/>
        </w:rPr>
        <w:t>second</w:t>
      </w:r>
      <w:r w:rsidR="00C47301" w:rsidRPr="00473534">
        <w:rPr>
          <w:lang w:eastAsia="zh-HK"/>
        </w:rPr>
        <w:t xml:space="preserve"> quarter</w:t>
      </w:r>
      <w:r w:rsidR="00C47301" w:rsidDel="00AF6157">
        <w:rPr>
          <w:lang w:eastAsia="zh-HK"/>
        </w:rPr>
        <w:t xml:space="preserve"> </w:t>
      </w:r>
      <w:r w:rsidR="009E70C2" w:rsidRPr="00473534">
        <w:rPr>
          <w:lang w:eastAsia="zh-HK"/>
        </w:rPr>
        <w:t>on a</w:t>
      </w:r>
      <w:r w:rsidR="00D917D9" w:rsidRPr="00473534">
        <w:rPr>
          <w:lang w:eastAsia="zh-HK"/>
        </w:rPr>
        <w:t xml:space="preserve"> </w:t>
      </w:r>
      <w:r w:rsidR="009E70C2" w:rsidRPr="00473534">
        <w:rPr>
          <w:lang w:eastAsia="zh-HK"/>
        </w:rPr>
        <w:t>seasonally</w:t>
      </w:r>
      <w:r w:rsidR="00CB24BA" w:rsidRPr="00473534">
        <w:rPr>
          <w:lang w:eastAsia="zh-HK"/>
        </w:rPr>
        <w:noBreakHyphen/>
      </w:r>
      <w:r w:rsidR="009E70C2" w:rsidRPr="00473534">
        <w:rPr>
          <w:lang w:eastAsia="zh-HK"/>
        </w:rPr>
        <w:t xml:space="preserve">adjusted </w:t>
      </w:r>
      <w:r w:rsidR="00C47301">
        <w:rPr>
          <w:lang w:eastAsia="zh-HK"/>
        </w:rPr>
        <w:t xml:space="preserve">quarter-to-quarter </w:t>
      </w:r>
      <w:r w:rsidR="009E70C2" w:rsidRPr="00473534">
        <w:rPr>
          <w:lang w:eastAsia="zh-HK"/>
        </w:rPr>
        <w:t>basis</w:t>
      </w:r>
      <w:r w:rsidR="00445A15">
        <w:rPr>
          <w:lang w:eastAsia="zh-HK"/>
        </w:rPr>
        <w:t xml:space="preserve">, translating into a </w:t>
      </w:r>
      <w:r w:rsidR="004450E3">
        <w:rPr>
          <w:lang w:eastAsia="zh-HK"/>
        </w:rPr>
        <w:t xml:space="preserve">somewhat moderated </w:t>
      </w:r>
      <w:r w:rsidR="00445A15">
        <w:rPr>
          <w:lang w:eastAsia="zh-HK"/>
        </w:rPr>
        <w:t>growth of 1.</w:t>
      </w:r>
      <w:r w:rsidR="001B5D38">
        <w:rPr>
          <w:lang w:eastAsia="zh-HK"/>
        </w:rPr>
        <w:t>4</w:t>
      </w:r>
      <w:r w:rsidR="00445A15">
        <w:rPr>
          <w:lang w:eastAsia="zh-HK"/>
        </w:rPr>
        <w:t>%</w:t>
      </w:r>
      <w:r w:rsidR="004A3C21" w:rsidRPr="00473534">
        <w:rPr>
          <w:lang w:eastAsia="zh-HK"/>
        </w:rPr>
        <w:t xml:space="preserve"> </w:t>
      </w:r>
      <w:r w:rsidR="00445A15">
        <w:rPr>
          <w:lang w:eastAsia="zh-HK"/>
        </w:rPr>
        <w:t>o</w:t>
      </w:r>
      <w:r w:rsidR="00DE7844">
        <w:rPr>
          <w:lang w:eastAsia="zh-HK"/>
        </w:rPr>
        <w:t>n a year-on-year basis</w:t>
      </w:r>
      <w:r w:rsidR="004A31E4">
        <w:rPr>
          <w:lang w:eastAsia="zh-HK"/>
        </w:rPr>
        <w:t xml:space="preserve">. </w:t>
      </w:r>
      <w:r w:rsidR="00AF6157">
        <w:rPr>
          <w:lang w:eastAsia="zh-HK"/>
        </w:rPr>
        <w:t xml:space="preserve"> </w:t>
      </w:r>
      <w:r w:rsidR="00A20A3F">
        <w:rPr>
          <w:lang w:eastAsia="zh-HK"/>
        </w:rPr>
        <w:t xml:space="preserve">Though </w:t>
      </w:r>
      <w:r w:rsidR="004928B5">
        <w:rPr>
          <w:lang w:eastAsia="zh-HK"/>
        </w:rPr>
        <w:t>inflation stayed generally on par with the European Central Bank (ECB)’s 2% target during the quarter, t</w:t>
      </w:r>
      <w:r w:rsidR="00141FF7" w:rsidRPr="00426091">
        <w:rPr>
          <w:szCs w:val="28"/>
          <w:lang w:eastAsia="zh-HK"/>
        </w:rPr>
        <w:t xml:space="preserve">he </w:t>
      </w:r>
      <w:r w:rsidR="002C6278" w:rsidRPr="00426091">
        <w:rPr>
          <w:lang w:eastAsia="zh-HK"/>
        </w:rPr>
        <w:t>ECB</w:t>
      </w:r>
      <w:r w:rsidR="000F32C3" w:rsidRPr="00426091">
        <w:rPr>
          <w:lang w:eastAsia="zh-HK"/>
        </w:rPr>
        <w:t xml:space="preserve"> </w:t>
      </w:r>
      <w:r w:rsidR="00C236AB" w:rsidRPr="00426091">
        <w:rPr>
          <w:szCs w:val="28"/>
          <w:lang w:eastAsia="zh-HK"/>
        </w:rPr>
        <w:t>cut</w:t>
      </w:r>
      <w:r w:rsidR="00715CE6" w:rsidRPr="00426091">
        <w:rPr>
          <w:szCs w:val="28"/>
          <w:lang w:eastAsia="zh-HK"/>
        </w:rPr>
        <w:t xml:space="preserve"> </w:t>
      </w:r>
      <w:r w:rsidR="00C86BE0" w:rsidRPr="00426091">
        <w:rPr>
          <w:szCs w:val="28"/>
          <w:lang w:eastAsia="zh-HK"/>
        </w:rPr>
        <w:t xml:space="preserve">interest </w:t>
      </w:r>
      <w:r w:rsidR="00141FF7" w:rsidRPr="00426091">
        <w:rPr>
          <w:szCs w:val="28"/>
          <w:lang w:eastAsia="zh-HK"/>
        </w:rPr>
        <w:t>rates</w:t>
      </w:r>
      <w:r w:rsidR="002C6278" w:rsidRPr="00426091">
        <w:rPr>
          <w:szCs w:val="28"/>
          <w:lang w:eastAsia="zh-HK"/>
        </w:rPr>
        <w:t xml:space="preserve"> </w:t>
      </w:r>
      <w:r w:rsidR="004928B5">
        <w:rPr>
          <w:szCs w:val="28"/>
          <w:lang w:eastAsia="zh-HK"/>
        </w:rPr>
        <w:t xml:space="preserve">further in April and June </w:t>
      </w:r>
      <w:r w:rsidR="00DA631D" w:rsidRPr="00426091">
        <w:rPr>
          <w:szCs w:val="28"/>
          <w:lang w:eastAsia="zh-HK"/>
        </w:rPr>
        <w:t>by 25 basis points</w:t>
      </w:r>
      <w:r w:rsidR="004928B5">
        <w:rPr>
          <w:szCs w:val="28"/>
          <w:lang w:eastAsia="zh-HK"/>
        </w:rPr>
        <w:t xml:space="preserve"> each</w:t>
      </w:r>
      <w:r w:rsidR="001E2E54">
        <w:rPr>
          <w:szCs w:val="28"/>
          <w:lang w:eastAsia="zh-HK"/>
        </w:rPr>
        <w:t xml:space="preserve"> amid weaker economic growth prospects in the near term due to high uncertainties in trade policy</w:t>
      </w:r>
      <w:r w:rsidR="004928B5">
        <w:rPr>
          <w:szCs w:val="28"/>
          <w:lang w:eastAsia="zh-HK"/>
        </w:rPr>
        <w:t>, cumulating in a reduction of 100 basis points so far this year</w:t>
      </w:r>
      <w:r w:rsidR="005F6FCB">
        <w:rPr>
          <w:szCs w:val="28"/>
          <w:lang w:eastAsia="zh-HK"/>
        </w:rPr>
        <w:t>.</w:t>
      </w:r>
    </w:p>
    <w:p w14:paraId="43D777F7" w14:textId="77777777" w:rsidR="00E32234" w:rsidRDefault="00E32234" w:rsidP="00B65A4E">
      <w:pPr>
        <w:pStyle w:val="ListParagraph"/>
        <w:spacing w:after="0" w:line="360" w:lineRule="atLeast"/>
        <w:ind w:leftChars="0" w:left="0"/>
        <w:jc w:val="both"/>
        <w:rPr>
          <w:szCs w:val="28"/>
          <w:lang w:eastAsia="zh-HK"/>
        </w:rPr>
      </w:pPr>
    </w:p>
    <w:p w14:paraId="72E3BFE0" w14:textId="10A6E4AB" w:rsidR="0064501B" w:rsidRDefault="00F70D27" w:rsidP="00F70D27">
      <w:pPr>
        <w:pStyle w:val="ListParagraph"/>
        <w:numPr>
          <w:ilvl w:val="0"/>
          <w:numId w:val="6"/>
        </w:numPr>
        <w:spacing w:after="0" w:line="360" w:lineRule="atLeast"/>
        <w:ind w:leftChars="0"/>
        <w:jc w:val="both"/>
        <w:rPr>
          <w:szCs w:val="28"/>
          <w:lang w:eastAsia="zh-HK"/>
        </w:rPr>
      </w:pPr>
      <w:bookmarkStart w:id="3" w:name="_Hlk203657204"/>
      <w:r>
        <w:rPr>
          <w:szCs w:val="28"/>
          <w:lang w:eastAsia="zh-HK"/>
        </w:rPr>
        <w:t>O</w:t>
      </w:r>
      <w:r w:rsidRPr="00BE1964">
        <w:rPr>
          <w:szCs w:val="28"/>
          <w:lang w:eastAsia="zh-HK"/>
        </w:rPr>
        <w:t xml:space="preserve">ther Asian economies </w:t>
      </w:r>
      <w:r>
        <w:rPr>
          <w:szCs w:val="28"/>
          <w:lang w:eastAsia="zh-HK"/>
        </w:rPr>
        <w:t xml:space="preserve">generally </w:t>
      </w:r>
      <w:r w:rsidRPr="00B65A4E">
        <w:rPr>
          <w:szCs w:val="28"/>
          <w:lang w:eastAsia="zh-HK"/>
        </w:rPr>
        <w:t xml:space="preserve">sustained </w:t>
      </w:r>
      <w:r>
        <w:rPr>
          <w:szCs w:val="28"/>
          <w:lang w:eastAsia="zh-HK"/>
        </w:rPr>
        <w:t xml:space="preserve">solid </w:t>
      </w:r>
      <w:r w:rsidRPr="00B65A4E">
        <w:rPr>
          <w:szCs w:val="28"/>
          <w:lang w:eastAsia="zh-HK"/>
        </w:rPr>
        <w:t xml:space="preserve">growth momentum </w:t>
      </w:r>
      <w:r w:rsidRPr="00BE1964">
        <w:rPr>
          <w:szCs w:val="28"/>
          <w:lang w:eastAsia="zh-HK"/>
        </w:rPr>
        <w:t xml:space="preserve">in the </w:t>
      </w:r>
      <w:r w:rsidRPr="00B65A4E">
        <w:rPr>
          <w:szCs w:val="28"/>
          <w:lang w:eastAsia="zh-HK"/>
        </w:rPr>
        <w:t>second</w:t>
      </w:r>
      <w:r w:rsidRPr="00BE1964">
        <w:rPr>
          <w:szCs w:val="28"/>
          <w:lang w:eastAsia="zh-HK"/>
        </w:rPr>
        <w:t xml:space="preserve"> quarter</w:t>
      </w:r>
      <w:r w:rsidRPr="00B65A4E">
        <w:rPr>
          <w:szCs w:val="28"/>
          <w:lang w:eastAsia="zh-HK"/>
        </w:rPr>
        <w:t xml:space="preserve">.  </w:t>
      </w:r>
      <w:r w:rsidR="003346B4">
        <w:rPr>
          <w:szCs w:val="28"/>
          <w:lang w:eastAsia="zh-HK"/>
        </w:rPr>
        <w:t xml:space="preserve">Alongside </w:t>
      </w:r>
      <w:r w:rsidR="0001632C">
        <w:rPr>
          <w:rFonts w:hint="eastAsia"/>
          <w:szCs w:val="28"/>
          <w:lang w:eastAsia="zh-HK"/>
        </w:rPr>
        <w:t>strong</w:t>
      </w:r>
      <w:r w:rsidR="0001632C">
        <w:rPr>
          <w:szCs w:val="28"/>
          <w:lang w:eastAsia="zh-HK"/>
        </w:rPr>
        <w:t xml:space="preserve"> </w:t>
      </w:r>
      <w:r w:rsidR="003346B4">
        <w:rPr>
          <w:szCs w:val="28"/>
          <w:lang w:eastAsia="zh-HK"/>
        </w:rPr>
        <w:t>domestic demand, e</w:t>
      </w:r>
      <w:r>
        <w:rPr>
          <w:szCs w:val="28"/>
          <w:lang w:eastAsia="zh-HK"/>
        </w:rPr>
        <w:t xml:space="preserve">xternal trade recorded further growth, </w:t>
      </w:r>
      <w:r w:rsidRPr="004F2D10">
        <w:rPr>
          <w:szCs w:val="28"/>
          <w:lang w:eastAsia="zh-HK"/>
        </w:rPr>
        <w:t xml:space="preserve">thanks in part to rush shipments amid the temporary suspension </w:t>
      </w:r>
      <w:r>
        <w:rPr>
          <w:szCs w:val="28"/>
          <w:lang w:eastAsia="zh-HK"/>
        </w:rPr>
        <w:t xml:space="preserve">of </w:t>
      </w:r>
      <w:r w:rsidR="00860203">
        <w:rPr>
          <w:szCs w:val="28"/>
          <w:lang w:eastAsia="zh-HK"/>
        </w:rPr>
        <w:t xml:space="preserve">the </w:t>
      </w:r>
      <w:r>
        <w:rPr>
          <w:rFonts w:hint="eastAsia"/>
          <w:szCs w:val="28"/>
          <w:lang w:eastAsia="zh-HK"/>
        </w:rPr>
        <w:t>US</w:t>
      </w:r>
      <w:r>
        <w:rPr>
          <w:szCs w:val="28"/>
          <w:lang w:eastAsia="zh-HK"/>
        </w:rPr>
        <w:t>’</w:t>
      </w:r>
      <w:r w:rsidRPr="004F2D10">
        <w:rPr>
          <w:szCs w:val="28"/>
          <w:lang w:eastAsia="zh-HK"/>
        </w:rPr>
        <w:t xml:space="preserve"> </w:t>
      </w:r>
      <w:r w:rsidR="00860203">
        <w:rPr>
          <w:szCs w:val="28"/>
          <w:lang w:eastAsia="zh-HK"/>
        </w:rPr>
        <w:t xml:space="preserve">full </w:t>
      </w:r>
      <w:r w:rsidRPr="004F2D10">
        <w:rPr>
          <w:szCs w:val="28"/>
          <w:lang w:eastAsia="zh-HK"/>
        </w:rPr>
        <w:t>“reciprocal tariffs</w:t>
      </w:r>
      <w:r w:rsidR="00FA4448" w:rsidRPr="004F2D10">
        <w:rPr>
          <w:szCs w:val="28"/>
          <w:lang w:eastAsia="zh-HK"/>
        </w:rPr>
        <w:t>”</w:t>
      </w:r>
      <w:r w:rsidR="00FA4448">
        <w:rPr>
          <w:szCs w:val="28"/>
          <w:lang w:eastAsia="zh-HK"/>
        </w:rPr>
        <w:t xml:space="preserve">.  </w:t>
      </w:r>
      <w:r w:rsidR="003346B4">
        <w:rPr>
          <w:szCs w:val="28"/>
          <w:lang w:val="en-US" w:eastAsia="zh-HK"/>
        </w:rPr>
        <w:t>M</w:t>
      </w:r>
      <w:r>
        <w:rPr>
          <w:szCs w:val="28"/>
          <w:lang w:val="en-US" w:eastAsia="zh-HK"/>
        </w:rPr>
        <w:t xml:space="preserve">any </w:t>
      </w:r>
      <w:r w:rsidRPr="0043498E">
        <w:rPr>
          <w:szCs w:val="28"/>
          <w:lang w:val="en-US" w:eastAsia="zh-HK"/>
        </w:rPr>
        <w:t>region</w:t>
      </w:r>
      <w:r>
        <w:rPr>
          <w:szCs w:val="28"/>
          <w:lang w:val="en-US" w:eastAsia="zh-HK"/>
        </w:rPr>
        <w:t>al economies</w:t>
      </w:r>
      <w:r w:rsidRPr="0043498E">
        <w:rPr>
          <w:szCs w:val="28"/>
          <w:lang w:val="en-US" w:eastAsia="zh-HK"/>
        </w:rPr>
        <w:t xml:space="preserve"> eased their monetary policies to support economic growth</w:t>
      </w:r>
      <w:r w:rsidR="003346B4">
        <w:rPr>
          <w:szCs w:val="28"/>
          <w:lang w:val="en-US" w:eastAsia="zh-HK"/>
        </w:rPr>
        <w:t xml:space="preserve"> amid external headwinds</w:t>
      </w:r>
      <w:r>
        <w:rPr>
          <w:rFonts w:hint="eastAsia"/>
          <w:szCs w:val="28"/>
          <w:lang w:val="en-US" w:eastAsia="zh-HK"/>
        </w:rPr>
        <w:t xml:space="preserve">.  </w:t>
      </w:r>
      <w:r>
        <w:rPr>
          <w:szCs w:val="28"/>
          <w:lang w:val="en-US" w:eastAsia="zh-HK"/>
        </w:rPr>
        <w:t>Since April, t</w:t>
      </w:r>
      <w:r w:rsidRPr="0015724B">
        <w:rPr>
          <w:szCs w:val="28"/>
          <w:lang w:eastAsia="zh-HK"/>
        </w:rPr>
        <w:t xml:space="preserve">he central banks of </w:t>
      </w:r>
      <w:r>
        <w:rPr>
          <w:szCs w:val="28"/>
          <w:lang w:eastAsia="zh-HK"/>
        </w:rPr>
        <w:t xml:space="preserve">South Korea, Indonesia, Thailand, </w:t>
      </w:r>
      <w:r w:rsidRPr="0015724B">
        <w:rPr>
          <w:szCs w:val="28"/>
          <w:lang w:eastAsia="zh-HK"/>
        </w:rPr>
        <w:t>India</w:t>
      </w:r>
      <w:r>
        <w:rPr>
          <w:rFonts w:hint="eastAsia"/>
          <w:szCs w:val="28"/>
          <w:lang w:eastAsia="zh-HK"/>
        </w:rPr>
        <w:t>, Malaysia</w:t>
      </w:r>
      <w:r w:rsidRPr="0015724B">
        <w:rPr>
          <w:szCs w:val="28"/>
          <w:lang w:eastAsia="zh-HK"/>
        </w:rPr>
        <w:t xml:space="preserve"> and the Philippines </w:t>
      </w:r>
      <w:r>
        <w:rPr>
          <w:szCs w:val="28"/>
          <w:lang w:eastAsia="zh-HK"/>
        </w:rPr>
        <w:t>had lowered</w:t>
      </w:r>
      <w:r w:rsidRPr="0015724B">
        <w:rPr>
          <w:szCs w:val="28"/>
          <w:lang w:eastAsia="zh-HK"/>
        </w:rPr>
        <w:t xml:space="preserve"> their polic</w:t>
      </w:r>
      <w:r>
        <w:rPr>
          <w:szCs w:val="28"/>
          <w:lang w:eastAsia="zh-HK"/>
        </w:rPr>
        <w:t xml:space="preserve">y rates </w:t>
      </w:r>
      <w:r w:rsidRPr="004630F7">
        <w:rPr>
          <w:szCs w:val="28"/>
          <w:lang w:eastAsia="zh-HK"/>
        </w:rPr>
        <w:t>by 25</w:t>
      </w:r>
      <w:r w:rsidR="00860203">
        <w:rPr>
          <w:szCs w:val="28"/>
          <w:lang w:eastAsia="zh-HK"/>
        </w:rPr>
        <w:t xml:space="preserve"> to </w:t>
      </w:r>
      <w:r w:rsidRPr="004630F7">
        <w:rPr>
          <w:rFonts w:hint="eastAsia"/>
          <w:szCs w:val="28"/>
          <w:lang w:eastAsia="zh-HK"/>
        </w:rPr>
        <w:t>75</w:t>
      </w:r>
      <w:r>
        <w:rPr>
          <w:szCs w:val="28"/>
          <w:lang w:eastAsia="zh-HK"/>
        </w:rPr>
        <w:t xml:space="preserve"> basis </w:t>
      </w:r>
      <w:r w:rsidRPr="001A0C16">
        <w:rPr>
          <w:szCs w:val="28"/>
          <w:lang w:eastAsia="zh-HK"/>
        </w:rPr>
        <w:t>points.</w:t>
      </w:r>
    </w:p>
    <w:p w14:paraId="6D9F3C6D" w14:textId="77777777" w:rsidR="0064501B" w:rsidRDefault="0064501B">
      <w:pPr>
        <w:widowControl/>
        <w:rPr>
          <w:kern w:val="0"/>
          <w:sz w:val="28"/>
          <w:szCs w:val="28"/>
          <w:lang w:eastAsia="zh-HK"/>
        </w:rPr>
      </w:pPr>
      <w:r>
        <w:rPr>
          <w:szCs w:val="28"/>
          <w:lang w:eastAsia="zh-HK"/>
        </w:rPr>
        <w:br w:type="page"/>
      </w:r>
    </w:p>
    <w:p w14:paraId="2FE06FCF" w14:textId="77777777" w:rsidR="0064501B" w:rsidRPr="0064501B" w:rsidRDefault="0064501B" w:rsidP="0064501B">
      <w:pPr>
        <w:widowControl/>
        <w:tabs>
          <w:tab w:val="left" w:pos="2313"/>
        </w:tabs>
        <w:rPr>
          <w:b/>
          <w:lang w:eastAsia="zh-HK"/>
        </w:rPr>
      </w:pPr>
      <w:r w:rsidRPr="0064501B">
        <w:rPr>
          <w:noProof/>
          <w:lang w:val="en-US"/>
        </w:rPr>
        <w:lastRenderedPageBreak/>
        <mc:AlternateContent>
          <mc:Choice Requires="wps">
            <w:drawing>
              <wp:anchor distT="0" distB="0" distL="114300" distR="114300" simplePos="0" relativeHeight="251659264" behindDoc="0" locked="0" layoutInCell="1" allowOverlap="1" wp14:anchorId="59133C17" wp14:editId="6D077176">
                <wp:simplePos x="0" y="0"/>
                <wp:positionH relativeFrom="margin">
                  <wp:posOffset>-226695</wp:posOffset>
                </wp:positionH>
                <wp:positionV relativeFrom="margin">
                  <wp:posOffset>-172720</wp:posOffset>
                </wp:positionV>
                <wp:extent cx="6174000" cy="9720000"/>
                <wp:effectExtent l="0" t="0" r="17780" b="14605"/>
                <wp:wrapNone/>
                <wp:docPr id="10"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E75BD" id="Rectangle 4" o:spid="_x0000_s1026" style="position:absolute;margin-left:-17.85pt;margin-top:-13.6pt;width:486.15pt;height:76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" filled="f" strokecolor="windowText">
                <w10:wrap anchorx="margin" anchory="margin"/>
              </v:rect>
            </w:pict>
          </mc:Fallback>
        </mc:AlternateContent>
      </w:r>
      <w:r w:rsidRPr="0064501B">
        <w:rPr>
          <w:b/>
        </w:rPr>
        <w:t>Box 2.1</w:t>
      </w:r>
      <w:r w:rsidRPr="0064501B">
        <w:rPr>
          <w:b/>
        </w:rPr>
        <w:tab/>
      </w:r>
    </w:p>
    <w:p w14:paraId="502E1A96" w14:textId="77777777" w:rsidR="0064501B" w:rsidRPr="0064501B" w:rsidRDefault="0064501B" w:rsidP="0064501B">
      <w:pPr>
        <w:spacing w:before="100" w:beforeAutospacing="1" w:after="100" w:afterAutospacing="1"/>
        <w:jc w:val="center"/>
        <w:outlineLvl w:val="0"/>
        <w:rPr>
          <w:rFonts w:eastAsia="Times New Roman"/>
          <w:b/>
          <w:bCs/>
          <w:kern w:val="36"/>
        </w:rPr>
      </w:pPr>
      <w:r w:rsidRPr="0064501B">
        <w:rPr>
          <w:rFonts w:eastAsia="Times New Roman"/>
          <w:b/>
          <w:bCs/>
          <w:kern w:val="36"/>
        </w:rPr>
        <w:t>Mainland’s export market diversification</w:t>
      </w:r>
    </w:p>
    <w:p w14:paraId="13BEC3C9" w14:textId="77777777" w:rsidR="0064501B" w:rsidRPr="0064501B" w:rsidRDefault="0064501B" w:rsidP="0064501B">
      <w:pPr>
        <w:overflowPunct w:val="0"/>
        <w:snapToGrid w:val="0"/>
        <w:spacing w:afterLines="50" w:after="180"/>
        <w:jc w:val="both"/>
      </w:pPr>
      <w:bookmarkStart w:id="4" w:name="_Hlk203458828"/>
      <w:bookmarkStart w:id="5" w:name="_Hlk203559858"/>
      <w:r w:rsidRPr="0064501B">
        <w:rPr>
          <w:lang w:val="en-HK"/>
        </w:rPr>
        <w:t xml:space="preserve">Mainland’s merchandise exports have </w:t>
      </w:r>
      <w:r w:rsidRPr="0064501B">
        <w:t xml:space="preserve">continued to </w:t>
      </w:r>
      <w:r w:rsidRPr="0064501B">
        <w:rPr>
          <w:lang w:val="en-HK"/>
        </w:rPr>
        <w:t xml:space="preserve">demonstrate remarkable resilience </w:t>
      </w:r>
      <w:r w:rsidRPr="0064501B">
        <w:rPr>
          <w:rFonts w:eastAsia="SimSun" w:hint="eastAsia"/>
          <w:lang w:val="en-HK" w:eastAsia="zh-CN"/>
        </w:rPr>
        <w:t>despite</w:t>
      </w:r>
      <w:r w:rsidRPr="0064501B">
        <w:rPr>
          <w:lang w:val="en-HK"/>
        </w:rPr>
        <w:t xml:space="preserve"> elevated global trade tensions and shifting geopolitical dynamics over the past decade.  During 2014 to 2024, </w:t>
      </w:r>
      <w:r w:rsidRPr="0064501B">
        <w:t xml:space="preserve">the value of Mainland’s merchandise exports rose from USD 2.3 trillion to around USD </w:t>
      </w:r>
      <w:r w:rsidRPr="0064501B">
        <w:rPr>
          <w:lang w:val="en-HK"/>
        </w:rPr>
        <w:t xml:space="preserve">3.6 trillion, marking an average annual growth of 4.3%, visibly outpacing the global average of 2.5%.  Consequently, its share of world merchandise exports increased from 12.3% in 2014 to 14.6% in 2024, </w:t>
      </w:r>
      <w:proofErr w:type="spellStart"/>
      <w:r w:rsidRPr="0064501B">
        <w:rPr>
          <w:lang w:val="en-HK"/>
        </w:rPr>
        <w:t>su</w:t>
      </w:r>
      <w:r w:rsidRPr="0064501B">
        <w:t>rpassing</w:t>
      </w:r>
      <w:proofErr w:type="spellEnd"/>
      <w:r w:rsidRPr="0064501B">
        <w:t xml:space="preserve"> other major economies and staying as the world’s largest merchandise exporter</w:t>
      </w:r>
      <w:r w:rsidRPr="0064501B">
        <w:rPr>
          <w:lang w:val="en-HK"/>
        </w:rPr>
        <w:t xml:space="preserve"> (</w:t>
      </w:r>
      <w:r w:rsidRPr="0064501B">
        <w:rPr>
          <w:rFonts w:hint="eastAsia"/>
          <w:b/>
          <w:bCs/>
          <w:i/>
          <w:iCs/>
          <w:lang w:val="en-HK"/>
        </w:rPr>
        <w:t>C</w:t>
      </w:r>
      <w:r w:rsidRPr="0064501B">
        <w:rPr>
          <w:b/>
          <w:bCs/>
          <w:i/>
          <w:iCs/>
          <w:lang w:val="en-HK"/>
        </w:rPr>
        <w:t>hart 1</w:t>
      </w:r>
      <w:r w:rsidRPr="0064501B">
        <w:rPr>
          <w:lang w:val="en-HK"/>
        </w:rPr>
        <w:t>).  A key driver of this positive trend is the changing market structure, as Mainland’s exporters diversified their global presence and expanded into various markets.</w:t>
      </w:r>
      <w:r w:rsidRPr="0064501B">
        <w:t xml:space="preserve"> </w:t>
      </w:r>
    </w:p>
    <w:tbl>
      <w:tblPr>
        <w:tblW w:w="9214" w:type="dxa"/>
        <w:tblLayout w:type="fixed"/>
        <w:tblLook w:val="04A0" w:firstRow="1" w:lastRow="0" w:firstColumn="1" w:lastColumn="0" w:noHBand="0" w:noVBand="1"/>
      </w:tblPr>
      <w:tblGrid>
        <w:gridCol w:w="9214"/>
      </w:tblGrid>
      <w:tr w:rsidR="00784A87" w:rsidRPr="009D6AB5" w14:paraId="2B4ECAE3" w14:textId="77777777" w:rsidTr="0014177E">
        <w:tc>
          <w:tcPr>
            <w:tcW w:w="9214" w:type="dxa"/>
            <w:shd w:val="clear" w:color="auto" w:fill="auto"/>
          </w:tcPr>
          <w:p w14:paraId="197973AD" w14:textId="77777777" w:rsidR="00784A87" w:rsidRDefault="00784A87" w:rsidP="0014177E">
            <w:pPr>
              <w:overflowPunct w:val="0"/>
              <w:autoSpaceDE w:val="0"/>
              <w:autoSpaceDN w:val="0"/>
              <w:adjustRightInd w:val="0"/>
              <w:snapToGrid w:val="0"/>
              <w:spacing w:line="260" w:lineRule="exact"/>
              <w:ind w:rightChars="73" w:right="175"/>
              <w:jc w:val="center"/>
              <w:textAlignment w:val="baseline"/>
              <w:rPr>
                <w:b/>
                <w:bCs/>
                <w:sz w:val="21"/>
                <w:szCs w:val="21"/>
                <w:lang w:eastAsia="zh-HK"/>
              </w:rPr>
            </w:pPr>
            <w:bookmarkStart w:id="6" w:name="_Hlk203458835"/>
            <w:bookmarkEnd w:id="4"/>
            <w:r w:rsidRPr="009A1BFB">
              <w:rPr>
                <w:b/>
                <w:sz w:val="21"/>
                <w:szCs w:val="21"/>
                <w:lang w:eastAsia="zh-HK"/>
              </w:rPr>
              <w:t xml:space="preserve">Chart </w:t>
            </w:r>
            <w:proofErr w:type="gramStart"/>
            <w:r w:rsidRPr="009A1BFB">
              <w:rPr>
                <w:b/>
                <w:sz w:val="21"/>
                <w:szCs w:val="21"/>
                <w:lang w:eastAsia="zh-HK"/>
              </w:rPr>
              <w:t>1 :</w:t>
            </w:r>
            <w:proofErr w:type="gramEnd"/>
            <w:r w:rsidRPr="009A1BFB">
              <w:rPr>
                <w:b/>
                <w:sz w:val="21"/>
                <w:szCs w:val="21"/>
                <w:lang w:eastAsia="zh-HK"/>
              </w:rPr>
              <w:t xml:space="preserve"> </w:t>
            </w:r>
            <w:r w:rsidRPr="00B410F8">
              <w:rPr>
                <w:b/>
                <w:bCs/>
                <w:sz w:val="21"/>
                <w:szCs w:val="21"/>
                <w:lang w:eastAsia="zh-HK"/>
              </w:rPr>
              <w:t>Trends in world merchandise export shares: Mainland vs other major economies</w:t>
            </w:r>
          </w:p>
          <w:p w14:paraId="63576872" w14:textId="77777777" w:rsidR="00784A87" w:rsidRPr="009D6AB5" w:rsidRDefault="00784A87" w:rsidP="0014177E">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B410F8">
              <w:rPr>
                <w:b/>
                <w:bCs/>
                <w:sz w:val="21"/>
                <w:szCs w:val="21"/>
                <w:lang w:eastAsia="zh-HK"/>
              </w:rPr>
              <w:t>(2014–2024)</w:t>
            </w:r>
          </w:p>
        </w:tc>
      </w:tr>
      <w:tr w:rsidR="00784A87" w:rsidRPr="005853F0" w14:paraId="248EACFF" w14:textId="77777777" w:rsidTr="0014177E">
        <w:tc>
          <w:tcPr>
            <w:tcW w:w="9214" w:type="dxa"/>
            <w:shd w:val="clear" w:color="auto" w:fill="auto"/>
          </w:tcPr>
          <w:p w14:paraId="08CA2868" w14:textId="77777777" w:rsidR="00784A87" w:rsidRDefault="00784A87" w:rsidP="0014177E">
            <w:pPr>
              <w:snapToGrid w:val="0"/>
              <w:jc w:val="center"/>
              <w:rPr>
                <w:lang w:eastAsia="zh-HK"/>
              </w:rPr>
            </w:pPr>
            <w:r>
              <w:rPr>
                <w:noProof/>
                <w:lang w:eastAsia="zh-HK"/>
              </w:rPr>
              <w:drawing>
                <wp:inline distT="0" distB="0" distL="0" distR="0" wp14:anchorId="108F7C72" wp14:editId="6BA5D1AA">
                  <wp:extent cx="5670833" cy="2348784"/>
                  <wp:effectExtent l="0" t="0" r="6350" b="0"/>
                  <wp:docPr id="1"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185" cy="2358870"/>
                          </a:xfrm>
                          <a:prstGeom prst="rect">
                            <a:avLst/>
                          </a:prstGeom>
                          <a:noFill/>
                        </pic:spPr>
                      </pic:pic>
                    </a:graphicData>
                  </a:graphic>
                </wp:inline>
              </w:drawing>
            </w:r>
            <w:r>
              <w:rPr>
                <w:lang w:eastAsia="zh-HK"/>
              </w:rPr>
              <w:t xml:space="preserve"> </w:t>
            </w:r>
          </w:p>
          <w:p w14:paraId="4E7CCB43" w14:textId="77777777" w:rsidR="00784A87" w:rsidRPr="005853F0" w:rsidRDefault="00784A87" w:rsidP="0014177E">
            <w:pPr>
              <w:overflowPunct w:val="0"/>
              <w:snapToGrid w:val="0"/>
              <w:spacing w:afterLines="100" w:after="360"/>
              <w:jc w:val="both"/>
            </w:pPr>
            <w:r w:rsidRPr="0064501B">
              <w:rPr>
                <w:sz w:val="18"/>
                <w:szCs w:val="18"/>
              </w:rPr>
              <w:t>Source: World Trade Organization</w:t>
            </w:r>
          </w:p>
        </w:tc>
      </w:tr>
    </w:tbl>
    <w:p w14:paraId="2C1BF655" w14:textId="77777777" w:rsidR="0064501B" w:rsidRPr="0064501B" w:rsidRDefault="0064501B" w:rsidP="0064501B">
      <w:pPr>
        <w:jc w:val="both"/>
        <w:rPr>
          <w:b/>
          <w:bCs/>
          <w:lang w:val="en-HK"/>
        </w:rPr>
      </w:pPr>
      <w:r w:rsidRPr="0064501B">
        <w:rPr>
          <w:b/>
          <w:bCs/>
          <w:lang w:val="en-HK"/>
        </w:rPr>
        <w:t xml:space="preserve">Shifting Export Market Structure </w:t>
      </w:r>
    </w:p>
    <w:p w14:paraId="47C5DC5E" w14:textId="77777777" w:rsidR="0064501B" w:rsidRPr="0064501B" w:rsidRDefault="0064501B" w:rsidP="0064501B">
      <w:pPr>
        <w:jc w:val="both"/>
        <w:rPr>
          <w:lang w:val="en-HK"/>
        </w:rPr>
      </w:pPr>
    </w:p>
    <w:p w14:paraId="0CA3D28D" w14:textId="77777777" w:rsidR="0064501B" w:rsidRPr="0064501B" w:rsidRDefault="0064501B" w:rsidP="0064501B">
      <w:pPr>
        <w:overflowPunct w:val="0"/>
        <w:snapToGrid w:val="0"/>
        <w:spacing w:afterLines="50" w:after="180"/>
        <w:jc w:val="both"/>
        <w:rPr>
          <w:lang w:val="en-HK"/>
        </w:rPr>
      </w:pPr>
      <w:r w:rsidRPr="0064501B">
        <w:rPr>
          <w:lang w:val="en-HK"/>
        </w:rPr>
        <w:t xml:space="preserve">The market structure of Mainland’s </w:t>
      </w:r>
      <w:r w:rsidRPr="0064501B">
        <w:rPr>
          <w:rFonts w:eastAsia="SimSun" w:hint="eastAsia"/>
          <w:lang w:val="en-HK" w:eastAsia="zh-CN"/>
        </w:rPr>
        <w:t>merchandise</w:t>
      </w:r>
      <w:r w:rsidRPr="0064501B">
        <w:rPr>
          <w:lang w:val="en-HK"/>
        </w:rPr>
        <w:t xml:space="preserve"> exports has changed dramatically and become more diversified over the past decade.  </w:t>
      </w:r>
      <w:bookmarkStart w:id="7" w:name="_Hlk205388919"/>
      <w:r w:rsidRPr="0064501B">
        <w:rPr>
          <w:lang w:val="en-HK"/>
        </w:rPr>
        <w:t>A notable trend is</w:t>
      </w:r>
      <w:r w:rsidRPr="0064501B">
        <w:rPr>
          <w:sz w:val="32"/>
          <w:szCs w:val="32"/>
          <w:lang w:val="en-HK"/>
        </w:rPr>
        <w:t xml:space="preserve"> </w:t>
      </w:r>
      <w:r w:rsidRPr="0064501B">
        <w:rPr>
          <w:lang w:val="en-HK"/>
        </w:rPr>
        <w:t xml:space="preserve">the declining reliance on traditional markets.  For instance, while exports to the US grew at an average annual rate of 2.9% from 2014 to </w:t>
      </w:r>
      <w:r w:rsidRPr="0064501B">
        <w:rPr>
          <w:rFonts w:eastAsia="標楷體" w:cs="Arial"/>
          <w:kern w:val="0"/>
          <w:szCs w:val="22"/>
          <w:lang w:val="en-HK"/>
        </w:rPr>
        <w:t xml:space="preserve">USD </w:t>
      </w:r>
      <w:r w:rsidRPr="0064501B">
        <w:rPr>
          <w:lang w:val="en-HK"/>
        </w:rPr>
        <w:t>525 billion in 2024, its share in Mainland’s exports dropped visibly from 1</w:t>
      </w:r>
      <w:r w:rsidRPr="0064501B">
        <w:rPr>
          <w:rFonts w:eastAsia="SimSun" w:hint="eastAsia"/>
          <w:lang w:val="en-HK" w:eastAsia="zh-CN"/>
        </w:rPr>
        <w:t>6.9</w:t>
      </w:r>
      <w:r w:rsidRPr="0064501B">
        <w:rPr>
          <w:lang w:val="en-HK"/>
        </w:rPr>
        <w:t xml:space="preserve">% to </w:t>
      </w:r>
      <w:r w:rsidRPr="0064501B">
        <w:rPr>
          <w:rFonts w:eastAsia="SimSun" w:hint="eastAsia"/>
          <w:lang w:val="en-HK" w:eastAsia="zh-CN"/>
        </w:rPr>
        <w:t>14.7</w:t>
      </w:r>
      <w:r w:rsidRPr="0064501B">
        <w:rPr>
          <w:lang w:val="en-HK"/>
        </w:rPr>
        <w:t>% over the period.  The share fell further to less than 12% in the first half of 2025 in tandem with lingering uncertainties of US’ tariff policies, reflecting the ongoing efforts of Mainland exporters to seek opportunities in other markets as global trade tensions have intensified since 2018.  Similarly, Mainland’s exports to some other major traditional markets such as the Japan, Netherlands and UK</w:t>
      </w:r>
      <w:r w:rsidRPr="0064501B">
        <w:t xml:space="preserve"> increased at an average annual rate of 0.2%, 3.5% and 3.3% respectively from 2014 to 2024, but their</w:t>
      </w:r>
      <w:r w:rsidRPr="0064501B">
        <w:rPr>
          <w:lang w:val="en-HK"/>
        </w:rPr>
        <w:t xml:space="preserve"> shares in Mainland’s exports also fell from 6.4%, 2.8% and 2.4% in 2014 to 4.3%, 2.5% and 2.2% respectively in the first half of 2025. </w:t>
      </w:r>
      <w:bookmarkEnd w:id="7"/>
    </w:p>
    <w:p w14:paraId="03D11AE2" w14:textId="77777777" w:rsidR="0064501B" w:rsidRPr="0064501B" w:rsidRDefault="0064501B" w:rsidP="0064501B">
      <w:pPr>
        <w:overflowPunct w:val="0"/>
        <w:snapToGrid w:val="0"/>
        <w:spacing w:afterLines="50" w:after="180"/>
        <w:jc w:val="both"/>
        <w:rPr>
          <w:lang w:val="en-HK"/>
          <w14:ligatures w14:val="standardContextual"/>
        </w:rPr>
      </w:pPr>
    </w:p>
    <w:p w14:paraId="0800F14C" w14:textId="77777777" w:rsidR="0064501B" w:rsidRPr="0064501B" w:rsidRDefault="0064501B" w:rsidP="0064501B">
      <w:pPr>
        <w:overflowPunct w:val="0"/>
        <w:snapToGrid w:val="0"/>
        <w:spacing w:afterLines="50" w:after="180"/>
        <w:jc w:val="both"/>
        <w:rPr>
          <w:lang w:val="en-HK"/>
          <w14:ligatures w14:val="standardContextual"/>
        </w:rPr>
      </w:pPr>
    </w:p>
    <w:p w14:paraId="2735B5FF" w14:textId="77777777" w:rsidR="0064501B" w:rsidRPr="0064501B" w:rsidRDefault="0064501B" w:rsidP="0064501B">
      <w:pPr>
        <w:overflowPunct w:val="0"/>
        <w:snapToGrid w:val="0"/>
        <w:spacing w:afterLines="50" w:after="180"/>
        <w:jc w:val="both"/>
        <w:rPr>
          <w:lang w:val="en-HK"/>
          <w14:ligatures w14:val="standardContextual"/>
        </w:rPr>
      </w:pPr>
    </w:p>
    <w:p w14:paraId="5293B2C1" w14:textId="77777777" w:rsidR="0064501B" w:rsidRPr="0064501B" w:rsidRDefault="0064501B" w:rsidP="0064501B">
      <w:pPr>
        <w:overflowPunct w:val="0"/>
        <w:snapToGrid w:val="0"/>
        <w:spacing w:afterLines="50" w:after="180"/>
        <w:jc w:val="both"/>
        <w:rPr>
          <w:lang w:val="en-HK"/>
          <w14:ligatures w14:val="standardContextual"/>
        </w:rPr>
      </w:pPr>
    </w:p>
    <w:p w14:paraId="073D7C05" w14:textId="77777777" w:rsidR="0064501B" w:rsidRPr="0064501B" w:rsidRDefault="0064501B" w:rsidP="0064501B">
      <w:pPr>
        <w:overflowPunct w:val="0"/>
        <w:snapToGrid w:val="0"/>
        <w:spacing w:afterLines="50" w:after="180"/>
        <w:jc w:val="both"/>
        <w:rPr>
          <w:lang w:val="en-HK"/>
          <w14:ligatures w14:val="standardContextual"/>
        </w:rPr>
      </w:pPr>
    </w:p>
    <w:p w14:paraId="5CCB807D" w14:textId="77777777" w:rsidR="0064501B" w:rsidRPr="0064501B" w:rsidRDefault="0064501B" w:rsidP="0064501B">
      <w:pPr>
        <w:widowControl/>
        <w:rPr>
          <w:rFonts w:eastAsia="標楷體" w:cs="Arial"/>
          <w:b/>
          <w:kern w:val="0"/>
          <w:szCs w:val="22"/>
        </w:rPr>
      </w:pPr>
      <w:r w:rsidRPr="0064501B">
        <w:rPr>
          <w:rFonts w:eastAsia="標楷體" w:cs="Arial"/>
          <w:b/>
          <w:kern w:val="0"/>
          <w:szCs w:val="22"/>
        </w:rPr>
        <w:lastRenderedPageBreak/>
        <w:t>Box 2.1 (Cont’d)</w:t>
      </w:r>
    </w:p>
    <w:p w14:paraId="060D2FDA" w14:textId="77777777" w:rsidR="0064501B" w:rsidRPr="0064501B" w:rsidRDefault="0064501B" w:rsidP="0064501B">
      <w:pPr>
        <w:widowControl/>
        <w:rPr>
          <w:rFonts w:eastAsia="標楷體" w:cs="Arial"/>
          <w:b/>
          <w:kern w:val="0"/>
        </w:rPr>
      </w:pPr>
    </w:p>
    <w:p w14:paraId="42F17C03" w14:textId="77777777" w:rsidR="0064501B" w:rsidRPr="0064501B" w:rsidRDefault="0064501B" w:rsidP="0064501B">
      <w:pPr>
        <w:overflowPunct w:val="0"/>
        <w:snapToGrid w:val="0"/>
        <w:spacing w:afterLines="50" w:after="180"/>
        <w:jc w:val="both"/>
        <w:rPr>
          <w:lang w:val="en-HK"/>
          <w14:ligatures w14:val="standardContextual"/>
        </w:rPr>
      </w:pPr>
      <w:r w:rsidRPr="0064501B">
        <w:rPr>
          <w:lang w:val="en-HK"/>
          <w14:ligatures w14:val="standardContextual"/>
        </w:rPr>
        <w:t>In contrast, the shares of emerging markets and developing</w:t>
      </w:r>
      <w:r w:rsidRPr="0064501B">
        <w:rPr>
          <w:rFonts w:eastAsia="SimSun" w:hint="eastAsia"/>
          <w:lang w:val="en-HK" w:eastAsia="zh-CN"/>
          <w14:ligatures w14:val="standardContextual"/>
        </w:rPr>
        <w:t xml:space="preserve"> economies</w:t>
      </w:r>
      <w:r w:rsidRPr="0064501B">
        <w:rPr>
          <w:lang w:val="en-HK"/>
          <w14:ligatures w14:val="standardContextual"/>
        </w:rPr>
        <w:t xml:space="preserve"> in Mainland’s exports increased.  The share</w:t>
      </w:r>
      <w:r w:rsidRPr="0064501B">
        <w:rPr>
          <w:rFonts w:eastAsia="SimSun" w:hint="eastAsia"/>
          <w:lang w:val="en-HK" w:eastAsia="zh-CN"/>
          <w14:ligatures w14:val="standardContextual"/>
        </w:rPr>
        <w:t>s</w:t>
      </w:r>
      <w:r w:rsidRPr="0064501B">
        <w:rPr>
          <w:lang w:val="en-HK"/>
          <w14:ligatures w14:val="standardContextual"/>
        </w:rPr>
        <w:t xml:space="preserve"> of exports to ASEAN and Latin America economies, both being major forces of Mainland’s exports, surged from 11.6% and 5.8%</w:t>
      </w:r>
      <w:r w:rsidRPr="0064501B">
        <w:rPr>
          <w:rFonts w:eastAsia="SimSun" w:hint="eastAsia"/>
          <w:lang w:val="en-HK" w:eastAsia="zh-CN"/>
          <w14:ligatures w14:val="standardContextual"/>
        </w:rPr>
        <w:t xml:space="preserve"> respectively</w:t>
      </w:r>
      <w:r w:rsidRPr="0064501B">
        <w:rPr>
          <w:lang w:val="en-HK"/>
          <w14:ligatures w14:val="standardContextual"/>
        </w:rPr>
        <w:t xml:space="preserve"> in 2014 to 16.4% and 7.7% in 2024, and further to 17.8% and 7.8% in the first half of 2025.  Specifically, Mainland’s exports to Vietnam and Malaysia grew strongly, rising by 9.8% and 8.1% respectively per year on average from 2014 to 2024.</w:t>
      </w:r>
      <w:r w:rsidRPr="0064501B">
        <w:rPr>
          <w:rFonts w:eastAsia="標楷體" w:cs="Arial"/>
          <w:kern w:val="0"/>
          <w:szCs w:val="22"/>
          <w:lang w:val="en-HK"/>
        </w:rPr>
        <w:t xml:space="preserve">  Meanwhile</w:t>
      </w:r>
      <w:r w:rsidRPr="0064501B">
        <w:rPr>
          <w:lang w:val="en-HK"/>
          <w14:ligatures w14:val="standardContextual"/>
        </w:rPr>
        <w:t>, exports to Mexico and Brazil also experienced notable growth, surging markedly by 10.8% and 7.5% respectively per year on average during the same period.  Mainland’s e</w:t>
      </w:r>
      <w:proofErr w:type="spellStart"/>
      <w:r w:rsidRPr="0064501B">
        <w:rPr>
          <w14:ligatures w14:val="standardContextual"/>
        </w:rPr>
        <w:t>xports</w:t>
      </w:r>
      <w:proofErr w:type="spellEnd"/>
      <w:r w:rsidRPr="0064501B">
        <w:rPr>
          <w14:ligatures w14:val="standardContextual"/>
        </w:rPr>
        <w:t xml:space="preserve"> to Africa and the Middle East also expanded, albeit at a relatively moderated pace (</w:t>
      </w:r>
      <w:r w:rsidRPr="0064501B">
        <w:rPr>
          <w:b/>
          <w:bCs/>
          <w:i/>
          <w:iCs/>
          <w14:ligatures w14:val="standardContextual"/>
        </w:rPr>
        <w:t>Table 1</w:t>
      </w:r>
      <w:r w:rsidRPr="0064501B">
        <w:rPr>
          <w14:ligatures w14:val="standardContextual"/>
        </w:rPr>
        <w:t>)</w:t>
      </w:r>
      <w:r w:rsidRPr="0064501B">
        <w:rPr>
          <w:lang w:val="en-HK"/>
          <w14:ligatures w14:val="standardContextual"/>
        </w:rPr>
        <w:t xml:space="preserve">.  The share of Mainland’s exports to the Belt and Road Initiative (BRI) </w:t>
      </w:r>
      <w:proofErr w:type="gramStart"/>
      <w:r w:rsidRPr="0064501B">
        <w:rPr>
          <w:lang w:val="en-HK"/>
          <w14:ligatures w14:val="standardContextual"/>
        </w:rPr>
        <w:t>economies</w:t>
      </w:r>
      <w:r w:rsidRPr="0064501B">
        <w:rPr>
          <w:vertAlign w:val="superscript"/>
          <w:lang w:val="en-HK"/>
          <w14:ligatures w14:val="standardContextual"/>
        </w:rPr>
        <w:t>(</w:t>
      </w:r>
      <w:proofErr w:type="gramEnd"/>
      <w:r w:rsidRPr="0064501B">
        <w:rPr>
          <w:vertAlign w:val="superscript"/>
          <w:lang w:val="en-HK"/>
          <w14:ligatures w14:val="standardContextual"/>
        </w:rPr>
        <w:footnoteReference w:id="2"/>
      </w:r>
      <w:r w:rsidRPr="0064501B">
        <w:rPr>
          <w:vertAlign w:val="superscript"/>
          <w:lang w:val="en-HK"/>
          <w14:ligatures w14:val="standardContextual"/>
        </w:rPr>
        <w:t>)</w:t>
      </w:r>
      <w:r w:rsidRPr="0064501B">
        <w:rPr>
          <w:lang w:val="en-HK"/>
          <w14:ligatures w14:val="standardContextual"/>
        </w:rPr>
        <w:t xml:space="preserve"> as a whole rose from less than 40% in 2014 to more than 50% in the first half of 2025. </w:t>
      </w:r>
    </w:p>
    <w:bookmarkEnd w:id="6"/>
    <w:p w14:paraId="452F534F" w14:textId="77777777" w:rsidR="0064501B" w:rsidRPr="0064501B" w:rsidRDefault="0064501B" w:rsidP="0064501B">
      <w:pPr>
        <w:widowControl/>
        <w:jc w:val="center"/>
        <w:rPr>
          <w:rFonts w:eastAsia="標楷體" w:cs="Arial"/>
          <w:b/>
          <w:kern w:val="0"/>
        </w:rPr>
      </w:pPr>
      <w:r w:rsidRPr="0064501B">
        <w:rPr>
          <w:rFonts w:eastAsia="標楷體" w:cs="Arial"/>
          <w:b/>
          <w:kern w:val="0"/>
        </w:rPr>
        <w:t>Table 1: Mainland’s merchandise exports by selected trading partners</w:t>
      </w:r>
    </w:p>
    <w:tbl>
      <w:tblPr>
        <w:tblStyle w:val="TableGrid1"/>
        <w:tblW w:w="8642" w:type="dxa"/>
        <w:tblInd w:w="137" w:type="dxa"/>
        <w:tblLook w:val="04A0" w:firstRow="1" w:lastRow="0" w:firstColumn="1" w:lastColumn="0" w:noHBand="0" w:noVBand="1"/>
      </w:tblPr>
      <w:tblGrid>
        <w:gridCol w:w="1726"/>
        <w:gridCol w:w="1388"/>
        <w:gridCol w:w="1417"/>
        <w:gridCol w:w="1418"/>
        <w:gridCol w:w="2693"/>
      </w:tblGrid>
      <w:tr w:rsidR="0064501B" w:rsidRPr="0064501B" w14:paraId="1C649255" w14:textId="77777777" w:rsidTr="00BC1D2F">
        <w:tc>
          <w:tcPr>
            <w:tcW w:w="1726" w:type="dxa"/>
          </w:tcPr>
          <w:p w14:paraId="439BDDD5" w14:textId="77777777" w:rsidR="0064501B" w:rsidRPr="0064501B" w:rsidRDefault="0064501B" w:rsidP="0064501B">
            <w:pPr>
              <w:widowControl/>
              <w:jc w:val="both"/>
              <w:rPr>
                <w:rFonts w:eastAsia="標楷體"/>
                <w:b/>
                <w:kern w:val="0"/>
                <w:sz w:val="22"/>
                <w:szCs w:val="22"/>
              </w:rPr>
            </w:pPr>
          </w:p>
        </w:tc>
        <w:tc>
          <w:tcPr>
            <w:tcW w:w="4223" w:type="dxa"/>
            <w:gridSpan w:val="3"/>
            <w:vAlign w:val="bottom"/>
          </w:tcPr>
          <w:p w14:paraId="4D9A0FF1" w14:textId="77777777" w:rsidR="0064501B" w:rsidRPr="0064501B" w:rsidRDefault="0064501B" w:rsidP="0064501B">
            <w:pPr>
              <w:widowControl/>
              <w:jc w:val="center"/>
              <w:rPr>
                <w:rFonts w:eastAsia="標楷體"/>
                <w:b/>
                <w:bCs/>
                <w:kern w:val="0"/>
                <w:sz w:val="22"/>
                <w:szCs w:val="22"/>
              </w:rPr>
            </w:pPr>
            <w:r w:rsidRPr="0064501B">
              <w:rPr>
                <w:rFonts w:eastAsia="Times New Roman"/>
                <w:b/>
                <w:bCs/>
                <w:color w:val="000000"/>
                <w:kern w:val="0"/>
                <w:sz w:val="22"/>
                <w:szCs w:val="22"/>
                <w:lang w:val="en-HK"/>
              </w:rPr>
              <w:t>Share of total exports (%)</w:t>
            </w:r>
          </w:p>
        </w:tc>
        <w:tc>
          <w:tcPr>
            <w:tcW w:w="2693" w:type="dxa"/>
            <w:vMerge w:val="restart"/>
          </w:tcPr>
          <w:p w14:paraId="2A62690B" w14:textId="77777777" w:rsidR="0064501B" w:rsidRPr="0064501B" w:rsidRDefault="0064501B" w:rsidP="0064501B">
            <w:pPr>
              <w:widowControl/>
              <w:jc w:val="center"/>
              <w:rPr>
                <w:rFonts w:eastAsia="標楷體"/>
                <w:b/>
                <w:bCs/>
                <w:kern w:val="0"/>
                <w:sz w:val="22"/>
                <w:szCs w:val="22"/>
              </w:rPr>
            </w:pPr>
            <w:r w:rsidRPr="0064501B">
              <w:rPr>
                <w:rFonts w:eastAsia="Times New Roman"/>
                <w:b/>
                <w:bCs/>
                <w:color w:val="000000"/>
                <w:kern w:val="0"/>
                <w:sz w:val="22"/>
                <w:szCs w:val="22"/>
                <w:lang w:val="en-HK"/>
              </w:rPr>
              <w:t>Average growth p</w:t>
            </w:r>
            <w:r w:rsidRPr="0064501B">
              <w:rPr>
                <w:rFonts w:eastAsia="SimSun" w:hint="eastAsia"/>
                <w:b/>
                <w:bCs/>
                <w:color w:val="000000"/>
                <w:kern w:val="0"/>
                <w:sz w:val="22"/>
                <w:szCs w:val="22"/>
                <w:lang w:val="en-HK" w:eastAsia="zh-CN"/>
              </w:rPr>
              <w:t>er year</w:t>
            </w:r>
            <w:r w:rsidRPr="0064501B">
              <w:rPr>
                <w:rFonts w:eastAsia="Times New Roman"/>
                <w:b/>
                <w:bCs/>
                <w:color w:val="000000"/>
                <w:kern w:val="0"/>
                <w:sz w:val="22"/>
                <w:szCs w:val="22"/>
                <w:lang w:val="en-HK"/>
              </w:rPr>
              <w:t xml:space="preserve"> (2014-</w:t>
            </w:r>
            <w:proofErr w:type="gramStart"/>
            <w:r w:rsidRPr="0064501B">
              <w:rPr>
                <w:rFonts w:eastAsia="Times New Roman"/>
                <w:b/>
                <w:bCs/>
                <w:color w:val="000000"/>
                <w:kern w:val="0"/>
                <w:sz w:val="22"/>
                <w:szCs w:val="22"/>
                <w:lang w:val="en-HK"/>
              </w:rPr>
              <w:t>2024)(</w:t>
            </w:r>
            <w:proofErr w:type="gramEnd"/>
            <w:r w:rsidRPr="0064501B">
              <w:rPr>
                <w:rFonts w:eastAsia="Times New Roman"/>
                <w:b/>
                <w:bCs/>
                <w:color w:val="000000"/>
                <w:kern w:val="0"/>
                <w:sz w:val="22"/>
                <w:szCs w:val="22"/>
                <w:lang w:val="en-HK"/>
              </w:rPr>
              <w:t>%)</w:t>
            </w:r>
          </w:p>
        </w:tc>
      </w:tr>
      <w:tr w:rsidR="0064501B" w:rsidRPr="0064501B" w14:paraId="21BD9B12" w14:textId="77777777" w:rsidTr="00BC1D2F">
        <w:tc>
          <w:tcPr>
            <w:tcW w:w="1726" w:type="dxa"/>
          </w:tcPr>
          <w:p w14:paraId="594E775B" w14:textId="77777777" w:rsidR="0064501B" w:rsidRPr="0064501B" w:rsidRDefault="0064501B" w:rsidP="0064501B">
            <w:pPr>
              <w:widowControl/>
              <w:jc w:val="both"/>
              <w:rPr>
                <w:rFonts w:eastAsia="標楷體"/>
                <w:b/>
                <w:kern w:val="0"/>
                <w:sz w:val="22"/>
                <w:szCs w:val="22"/>
              </w:rPr>
            </w:pPr>
          </w:p>
        </w:tc>
        <w:tc>
          <w:tcPr>
            <w:tcW w:w="1388" w:type="dxa"/>
            <w:vAlign w:val="bottom"/>
          </w:tcPr>
          <w:p w14:paraId="3245CBE8" w14:textId="77777777" w:rsidR="0064501B" w:rsidRPr="0064501B" w:rsidRDefault="0064501B" w:rsidP="0064501B">
            <w:pPr>
              <w:widowControl/>
              <w:jc w:val="center"/>
              <w:rPr>
                <w:rFonts w:eastAsia="標楷體"/>
                <w:b/>
                <w:bCs/>
                <w:kern w:val="0"/>
                <w:sz w:val="22"/>
                <w:szCs w:val="22"/>
              </w:rPr>
            </w:pPr>
            <w:r w:rsidRPr="0064501B">
              <w:rPr>
                <w:rFonts w:eastAsia="Times New Roman"/>
                <w:b/>
                <w:bCs/>
                <w:color w:val="000000"/>
                <w:kern w:val="0"/>
                <w:sz w:val="22"/>
                <w:szCs w:val="22"/>
                <w:lang w:val="en-HK"/>
              </w:rPr>
              <w:t>2014</w:t>
            </w:r>
          </w:p>
        </w:tc>
        <w:tc>
          <w:tcPr>
            <w:tcW w:w="1417" w:type="dxa"/>
            <w:vAlign w:val="bottom"/>
          </w:tcPr>
          <w:p w14:paraId="3AAC41B2" w14:textId="77777777" w:rsidR="0064501B" w:rsidRPr="0064501B" w:rsidRDefault="0064501B" w:rsidP="0064501B">
            <w:pPr>
              <w:widowControl/>
              <w:jc w:val="center"/>
              <w:rPr>
                <w:rFonts w:eastAsia="標楷體"/>
                <w:b/>
                <w:bCs/>
                <w:kern w:val="0"/>
                <w:sz w:val="22"/>
                <w:szCs w:val="22"/>
              </w:rPr>
            </w:pPr>
            <w:r w:rsidRPr="0064501B">
              <w:rPr>
                <w:rFonts w:eastAsia="Times New Roman"/>
                <w:b/>
                <w:bCs/>
                <w:color w:val="000000"/>
                <w:kern w:val="0"/>
                <w:sz w:val="22"/>
                <w:szCs w:val="22"/>
                <w:lang w:val="en-HK"/>
              </w:rPr>
              <w:t>2024</w:t>
            </w:r>
          </w:p>
        </w:tc>
        <w:tc>
          <w:tcPr>
            <w:tcW w:w="1418" w:type="dxa"/>
            <w:vAlign w:val="bottom"/>
          </w:tcPr>
          <w:p w14:paraId="7D612F43" w14:textId="77777777" w:rsidR="0064501B" w:rsidRPr="0064501B" w:rsidRDefault="0064501B" w:rsidP="0064501B">
            <w:pPr>
              <w:widowControl/>
              <w:jc w:val="center"/>
              <w:rPr>
                <w:rFonts w:eastAsia="標楷體"/>
                <w:b/>
                <w:bCs/>
                <w:kern w:val="0"/>
                <w:sz w:val="22"/>
                <w:szCs w:val="22"/>
              </w:rPr>
            </w:pPr>
            <w:r w:rsidRPr="0064501B">
              <w:rPr>
                <w:rFonts w:eastAsia="Times New Roman"/>
                <w:b/>
                <w:bCs/>
                <w:color w:val="000000"/>
                <w:kern w:val="0"/>
                <w:sz w:val="22"/>
                <w:szCs w:val="22"/>
                <w:lang w:val="en-HK"/>
              </w:rPr>
              <w:t>2025H1</w:t>
            </w:r>
          </w:p>
        </w:tc>
        <w:tc>
          <w:tcPr>
            <w:tcW w:w="2693" w:type="dxa"/>
            <w:vMerge/>
          </w:tcPr>
          <w:p w14:paraId="145F293C" w14:textId="77777777" w:rsidR="0064501B" w:rsidRPr="0064501B" w:rsidRDefault="0064501B" w:rsidP="0064501B">
            <w:pPr>
              <w:widowControl/>
              <w:jc w:val="center"/>
              <w:rPr>
                <w:rFonts w:eastAsia="標楷體"/>
                <w:b/>
                <w:kern w:val="0"/>
                <w:sz w:val="22"/>
                <w:szCs w:val="22"/>
              </w:rPr>
            </w:pPr>
          </w:p>
        </w:tc>
      </w:tr>
      <w:tr w:rsidR="0064501B" w:rsidRPr="0064501B" w14:paraId="5F6E9B66" w14:textId="77777777" w:rsidTr="00BC1D2F">
        <w:tc>
          <w:tcPr>
            <w:tcW w:w="1726" w:type="dxa"/>
            <w:vAlign w:val="bottom"/>
          </w:tcPr>
          <w:p w14:paraId="01F2C4D4" w14:textId="77777777" w:rsidR="0064501B" w:rsidRPr="0064501B" w:rsidRDefault="0064501B" w:rsidP="0064501B">
            <w:pPr>
              <w:widowControl/>
              <w:jc w:val="both"/>
              <w:rPr>
                <w:rFonts w:eastAsia="標楷體"/>
                <w:b/>
                <w:kern w:val="0"/>
                <w:sz w:val="22"/>
                <w:szCs w:val="22"/>
              </w:rPr>
            </w:pPr>
            <w:r w:rsidRPr="0064501B">
              <w:rPr>
                <w:rFonts w:eastAsia="Times New Roman"/>
                <w:color w:val="000000"/>
                <w:kern w:val="0"/>
                <w:sz w:val="22"/>
                <w:szCs w:val="22"/>
                <w:lang w:val="en-HK"/>
              </w:rPr>
              <w:t>US</w:t>
            </w:r>
          </w:p>
        </w:tc>
        <w:tc>
          <w:tcPr>
            <w:tcW w:w="1388" w:type="dxa"/>
            <w:vAlign w:val="bottom"/>
          </w:tcPr>
          <w:p w14:paraId="5975B0D6"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16.9</w:t>
            </w:r>
          </w:p>
        </w:tc>
        <w:tc>
          <w:tcPr>
            <w:tcW w:w="1417" w:type="dxa"/>
            <w:vAlign w:val="bottom"/>
          </w:tcPr>
          <w:p w14:paraId="130DE7F3"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14.7</w:t>
            </w:r>
          </w:p>
        </w:tc>
        <w:tc>
          <w:tcPr>
            <w:tcW w:w="1418" w:type="dxa"/>
            <w:vAlign w:val="bottom"/>
          </w:tcPr>
          <w:p w14:paraId="17881678"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11.9</w:t>
            </w:r>
          </w:p>
        </w:tc>
        <w:tc>
          <w:tcPr>
            <w:tcW w:w="2693" w:type="dxa"/>
            <w:vAlign w:val="bottom"/>
          </w:tcPr>
          <w:p w14:paraId="5AD2AE1E"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2.9</w:t>
            </w:r>
          </w:p>
        </w:tc>
      </w:tr>
      <w:tr w:rsidR="0064501B" w:rsidRPr="0064501B" w14:paraId="567C62CE" w14:textId="77777777" w:rsidTr="00BC1D2F">
        <w:tc>
          <w:tcPr>
            <w:tcW w:w="1726" w:type="dxa"/>
            <w:vAlign w:val="bottom"/>
          </w:tcPr>
          <w:p w14:paraId="314C847A" w14:textId="77777777" w:rsidR="0064501B" w:rsidRPr="0064501B" w:rsidRDefault="0064501B" w:rsidP="0064501B">
            <w:pPr>
              <w:widowControl/>
              <w:jc w:val="both"/>
              <w:rPr>
                <w:rFonts w:eastAsia="標楷體"/>
                <w:b/>
                <w:kern w:val="0"/>
                <w:sz w:val="22"/>
                <w:szCs w:val="22"/>
              </w:rPr>
            </w:pPr>
            <w:r w:rsidRPr="0064501B">
              <w:rPr>
                <w:rFonts w:eastAsia="Times New Roman"/>
                <w:color w:val="000000"/>
                <w:kern w:val="0"/>
                <w:sz w:val="22"/>
                <w:szCs w:val="22"/>
                <w:lang w:val="en-HK"/>
              </w:rPr>
              <w:t>ASEAN</w:t>
            </w:r>
          </w:p>
        </w:tc>
        <w:tc>
          <w:tcPr>
            <w:tcW w:w="1388" w:type="dxa"/>
            <w:vAlign w:val="bottom"/>
          </w:tcPr>
          <w:p w14:paraId="5F830FCA"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11.6</w:t>
            </w:r>
          </w:p>
        </w:tc>
        <w:tc>
          <w:tcPr>
            <w:tcW w:w="1417" w:type="dxa"/>
            <w:vAlign w:val="bottom"/>
          </w:tcPr>
          <w:p w14:paraId="42019F8F"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16.4</w:t>
            </w:r>
          </w:p>
        </w:tc>
        <w:tc>
          <w:tcPr>
            <w:tcW w:w="1418" w:type="dxa"/>
            <w:vAlign w:val="bottom"/>
          </w:tcPr>
          <w:p w14:paraId="53530F5C"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17.8</w:t>
            </w:r>
          </w:p>
        </w:tc>
        <w:tc>
          <w:tcPr>
            <w:tcW w:w="2693" w:type="dxa"/>
            <w:vAlign w:val="bottom"/>
          </w:tcPr>
          <w:p w14:paraId="3481112B"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8.0</w:t>
            </w:r>
          </w:p>
        </w:tc>
      </w:tr>
      <w:tr w:rsidR="0064501B" w:rsidRPr="0064501B" w14:paraId="6ABBBF21" w14:textId="77777777" w:rsidTr="00BC1D2F">
        <w:tc>
          <w:tcPr>
            <w:tcW w:w="1726" w:type="dxa"/>
            <w:vAlign w:val="bottom"/>
          </w:tcPr>
          <w:p w14:paraId="7CE75DE9" w14:textId="77777777" w:rsidR="0064501B" w:rsidRPr="0064501B" w:rsidRDefault="0064501B" w:rsidP="0064501B">
            <w:pPr>
              <w:widowControl/>
              <w:jc w:val="both"/>
              <w:rPr>
                <w:rFonts w:eastAsia="標楷體"/>
                <w:b/>
                <w:kern w:val="0"/>
                <w:sz w:val="22"/>
                <w:szCs w:val="22"/>
              </w:rPr>
            </w:pPr>
            <w:r w:rsidRPr="0064501B">
              <w:rPr>
                <w:rFonts w:eastAsia="Times New Roman"/>
                <w:color w:val="000000"/>
                <w:kern w:val="0"/>
                <w:sz w:val="22"/>
                <w:szCs w:val="22"/>
                <w:lang w:val="en-HK"/>
              </w:rPr>
              <w:t xml:space="preserve">Latin America </w:t>
            </w:r>
          </w:p>
        </w:tc>
        <w:tc>
          <w:tcPr>
            <w:tcW w:w="1388" w:type="dxa"/>
            <w:vAlign w:val="bottom"/>
          </w:tcPr>
          <w:p w14:paraId="530AB51F"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5.8</w:t>
            </w:r>
          </w:p>
        </w:tc>
        <w:tc>
          <w:tcPr>
            <w:tcW w:w="1417" w:type="dxa"/>
            <w:vAlign w:val="bottom"/>
          </w:tcPr>
          <w:p w14:paraId="5CD33B4E"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7.7</w:t>
            </w:r>
          </w:p>
        </w:tc>
        <w:tc>
          <w:tcPr>
            <w:tcW w:w="1418" w:type="dxa"/>
            <w:vAlign w:val="bottom"/>
          </w:tcPr>
          <w:p w14:paraId="2E96FF65"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7.8</w:t>
            </w:r>
          </w:p>
        </w:tc>
        <w:tc>
          <w:tcPr>
            <w:tcW w:w="2693" w:type="dxa"/>
            <w:vAlign w:val="bottom"/>
          </w:tcPr>
          <w:p w14:paraId="71D09A48" w14:textId="77777777" w:rsidR="0064501B" w:rsidRPr="0064501B" w:rsidRDefault="0064501B" w:rsidP="0064501B">
            <w:pPr>
              <w:widowControl/>
              <w:jc w:val="center"/>
              <w:rPr>
                <w:rFonts w:eastAsia="標楷體"/>
                <w:b/>
                <w:kern w:val="0"/>
                <w:sz w:val="22"/>
                <w:szCs w:val="22"/>
              </w:rPr>
            </w:pPr>
            <w:r w:rsidRPr="0064501B">
              <w:rPr>
                <w:rFonts w:eastAsia="Times New Roman"/>
                <w:color w:val="000000"/>
                <w:kern w:val="0"/>
                <w:sz w:val="22"/>
                <w:szCs w:val="22"/>
                <w:lang w:val="en-HK"/>
              </w:rPr>
              <w:t>7.4</w:t>
            </w:r>
          </w:p>
        </w:tc>
      </w:tr>
      <w:tr w:rsidR="0064501B" w:rsidRPr="0064501B" w14:paraId="1A716B3F" w14:textId="77777777" w:rsidTr="00BC1D2F">
        <w:tc>
          <w:tcPr>
            <w:tcW w:w="1726" w:type="dxa"/>
            <w:vAlign w:val="bottom"/>
          </w:tcPr>
          <w:p w14:paraId="3FA0424F" w14:textId="77777777" w:rsidR="0064501B" w:rsidRPr="0064501B" w:rsidRDefault="0064501B" w:rsidP="0064501B">
            <w:pPr>
              <w:widowControl/>
              <w:jc w:val="both"/>
              <w:rPr>
                <w:rFonts w:eastAsia="Times New Roman"/>
                <w:color w:val="000000"/>
                <w:kern w:val="0"/>
                <w:sz w:val="22"/>
                <w:szCs w:val="22"/>
                <w:lang w:val="en-HK"/>
              </w:rPr>
            </w:pPr>
            <w:r w:rsidRPr="0064501B">
              <w:rPr>
                <w:rFonts w:eastAsia="Times New Roman"/>
                <w:color w:val="000000"/>
                <w:kern w:val="0"/>
                <w:sz w:val="22"/>
                <w:szCs w:val="22"/>
                <w:lang w:val="en-HK"/>
              </w:rPr>
              <w:t xml:space="preserve">Africa </w:t>
            </w:r>
          </w:p>
        </w:tc>
        <w:tc>
          <w:tcPr>
            <w:tcW w:w="1388" w:type="dxa"/>
            <w:vAlign w:val="bottom"/>
          </w:tcPr>
          <w:p w14:paraId="021CAB11"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4.5</w:t>
            </w:r>
          </w:p>
        </w:tc>
        <w:tc>
          <w:tcPr>
            <w:tcW w:w="1417" w:type="dxa"/>
            <w:vAlign w:val="bottom"/>
          </w:tcPr>
          <w:p w14:paraId="20DB60E7"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5.0</w:t>
            </w:r>
          </w:p>
        </w:tc>
        <w:tc>
          <w:tcPr>
            <w:tcW w:w="1418" w:type="dxa"/>
            <w:vAlign w:val="bottom"/>
          </w:tcPr>
          <w:p w14:paraId="1B213A77"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5.7</w:t>
            </w:r>
          </w:p>
        </w:tc>
        <w:tc>
          <w:tcPr>
            <w:tcW w:w="2693" w:type="dxa"/>
            <w:vAlign w:val="bottom"/>
          </w:tcPr>
          <w:p w14:paraId="64CCA8B7"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5.4</w:t>
            </w:r>
          </w:p>
        </w:tc>
      </w:tr>
      <w:tr w:rsidR="0064501B" w:rsidRPr="0064501B" w14:paraId="6E6A09DF" w14:textId="77777777" w:rsidTr="00BC1D2F">
        <w:tc>
          <w:tcPr>
            <w:tcW w:w="1726" w:type="dxa"/>
            <w:vAlign w:val="bottom"/>
          </w:tcPr>
          <w:p w14:paraId="0C2BFF8B" w14:textId="77777777" w:rsidR="0064501B" w:rsidRPr="0064501B" w:rsidRDefault="0064501B" w:rsidP="0064501B">
            <w:pPr>
              <w:widowControl/>
              <w:jc w:val="both"/>
              <w:rPr>
                <w:rFonts w:eastAsia="Times New Roman"/>
                <w:color w:val="000000"/>
                <w:kern w:val="0"/>
                <w:sz w:val="22"/>
                <w:szCs w:val="22"/>
                <w:lang w:val="en-HK"/>
              </w:rPr>
            </w:pPr>
            <w:r w:rsidRPr="0064501B">
              <w:rPr>
                <w:rFonts w:eastAsia="Times New Roman"/>
                <w:color w:val="000000"/>
                <w:kern w:val="0"/>
                <w:sz w:val="22"/>
                <w:szCs w:val="22"/>
                <w:lang w:val="en-HK"/>
              </w:rPr>
              <w:t xml:space="preserve">Middle </w:t>
            </w:r>
            <w:proofErr w:type="gramStart"/>
            <w:r w:rsidRPr="0064501B">
              <w:rPr>
                <w:rFonts w:eastAsia="Times New Roman"/>
                <w:color w:val="000000"/>
                <w:kern w:val="0"/>
                <w:sz w:val="22"/>
                <w:szCs w:val="22"/>
                <w:lang w:val="en-HK"/>
              </w:rPr>
              <w:t>East</w:t>
            </w:r>
            <w:r w:rsidRPr="00785A90">
              <w:rPr>
                <w:color w:val="000000"/>
                <w:kern w:val="0"/>
                <w:sz w:val="22"/>
                <w:szCs w:val="22"/>
                <w:vertAlign w:val="superscript"/>
                <w:lang w:val="en-HK"/>
              </w:rPr>
              <w:t>(</w:t>
            </w:r>
            <w:proofErr w:type="gramEnd"/>
            <w:r w:rsidRPr="00785A90">
              <w:rPr>
                <w:rFonts w:eastAsia="Times New Roman"/>
                <w:color w:val="000000"/>
                <w:kern w:val="0"/>
                <w:sz w:val="22"/>
                <w:szCs w:val="22"/>
                <w:vertAlign w:val="superscript"/>
                <w:lang w:val="en-HK"/>
              </w:rPr>
              <w:footnoteReference w:id="3"/>
            </w:r>
            <w:r w:rsidRPr="00785A90">
              <w:rPr>
                <w:color w:val="000000"/>
                <w:kern w:val="0"/>
                <w:sz w:val="22"/>
                <w:szCs w:val="22"/>
                <w:vertAlign w:val="superscript"/>
                <w:lang w:val="en-HK"/>
              </w:rPr>
              <w:t>)</w:t>
            </w:r>
            <w:r w:rsidRPr="00785A90">
              <w:rPr>
                <w:rFonts w:eastAsia="Times New Roman"/>
                <w:color w:val="000000"/>
                <w:kern w:val="0"/>
                <w:sz w:val="22"/>
                <w:szCs w:val="22"/>
                <w:lang w:val="en-HK"/>
              </w:rPr>
              <w:t xml:space="preserve"> </w:t>
            </w:r>
          </w:p>
        </w:tc>
        <w:tc>
          <w:tcPr>
            <w:tcW w:w="1388" w:type="dxa"/>
            <w:vAlign w:val="bottom"/>
          </w:tcPr>
          <w:p w14:paraId="0EF73F0E"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4.8</w:t>
            </w:r>
          </w:p>
        </w:tc>
        <w:tc>
          <w:tcPr>
            <w:tcW w:w="1417" w:type="dxa"/>
            <w:vAlign w:val="bottom"/>
          </w:tcPr>
          <w:p w14:paraId="3E3AC178"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4.9</w:t>
            </w:r>
          </w:p>
        </w:tc>
        <w:tc>
          <w:tcPr>
            <w:tcW w:w="1418" w:type="dxa"/>
            <w:vAlign w:val="bottom"/>
          </w:tcPr>
          <w:p w14:paraId="6F1CFA13"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5.2</w:t>
            </w:r>
          </w:p>
        </w:tc>
        <w:tc>
          <w:tcPr>
            <w:tcW w:w="2693" w:type="dxa"/>
            <w:vAlign w:val="bottom"/>
          </w:tcPr>
          <w:p w14:paraId="45B290CE" w14:textId="77777777" w:rsidR="0064501B" w:rsidRPr="0064501B" w:rsidRDefault="0064501B" w:rsidP="0064501B">
            <w:pPr>
              <w:widowControl/>
              <w:jc w:val="center"/>
              <w:rPr>
                <w:rFonts w:eastAsia="Times New Roman"/>
                <w:color w:val="000000"/>
                <w:kern w:val="0"/>
                <w:sz w:val="22"/>
                <w:szCs w:val="22"/>
                <w:lang w:val="en-HK"/>
              </w:rPr>
            </w:pPr>
            <w:r w:rsidRPr="0064501B">
              <w:rPr>
                <w:rFonts w:eastAsia="Times New Roman"/>
                <w:color w:val="000000"/>
                <w:kern w:val="0"/>
                <w:sz w:val="22"/>
                <w:szCs w:val="22"/>
                <w:lang w:val="en-HK"/>
              </w:rPr>
              <w:t>4.6</w:t>
            </w:r>
          </w:p>
        </w:tc>
      </w:tr>
    </w:tbl>
    <w:p w14:paraId="7509A473" w14:textId="77777777" w:rsidR="0064501B" w:rsidRPr="0064501B" w:rsidRDefault="0064501B" w:rsidP="0064501B">
      <w:pPr>
        <w:widowControl/>
        <w:ind w:left="142"/>
        <w:jc w:val="both"/>
        <w:rPr>
          <w:rFonts w:eastAsia="標楷體" w:cs="Arial"/>
          <w:kern w:val="0"/>
          <w:sz w:val="18"/>
          <w:szCs w:val="18"/>
        </w:rPr>
      </w:pPr>
      <w:r w:rsidRPr="0064501B">
        <w:rPr>
          <w:rFonts w:eastAsia="標楷體" w:cs="Arial"/>
          <w:kern w:val="0"/>
          <w:sz w:val="18"/>
          <w:szCs w:val="18"/>
        </w:rPr>
        <w:t>Source: General Administration of Customs of the People's Republic of China</w:t>
      </w:r>
    </w:p>
    <w:p w14:paraId="0DF6B41C" w14:textId="77777777" w:rsidR="0064501B" w:rsidRPr="0064501B" w:rsidRDefault="0064501B" w:rsidP="0064501B">
      <w:pPr>
        <w:widowControl/>
        <w:jc w:val="both"/>
        <w:rPr>
          <w:rFonts w:eastAsia="標楷體" w:cs="Arial"/>
          <w:b/>
          <w:kern w:val="0"/>
          <w:szCs w:val="22"/>
        </w:rPr>
      </w:pPr>
      <w:r w:rsidRPr="0064501B">
        <w:rPr>
          <w:rFonts w:eastAsia="標楷體" w:cs="Arial"/>
          <w:noProof/>
          <w:kern w:val="0"/>
          <w:szCs w:val="22"/>
          <w:lang w:val="en-US"/>
        </w:rPr>
        <mc:AlternateContent>
          <mc:Choice Requires="wps">
            <w:drawing>
              <wp:anchor distT="0" distB="0" distL="114300" distR="114300" simplePos="0" relativeHeight="251660288" behindDoc="0" locked="0" layoutInCell="1" allowOverlap="1" wp14:anchorId="2A039B4F" wp14:editId="1ECC4B5C">
                <wp:simplePos x="0" y="0"/>
                <wp:positionH relativeFrom="margin">
                  <wp:posOffset>-226695</wp:posOffset>
                </wp:positionH>
                <wp:positionV relativeFrom="margin">
                  <wp:posOffset>-172720</wp:posOffset>
                </wp:positionV>
                <wp:extent cx="6174000" cy="9720000"/>
                <wp:effectExtent l="0" t="0" r="17780" b="14605"/>
                <wp:wrapNone/>
                <wp:docPr id="4"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09355" id="Rectangle 4" o:spid="_x0000_s1026" style="position:absolute;margin-left:-17.85pt;margin-top:-13.6pt;width:486.15pt;height:765.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" filled="f" strokecolor="windowText">
                <w10:wrap anchorx="margin" anchory="margin"/>
              </v:rect>
            </w:pict>
          </mc:Fallback>
        </mc:AlternateContent>
      </w:r>
    </w:p>
    <w:p w14:paraId="4C68520A" w14:textId="77777777" w:rsidR="0064501B" w:rsidRPr="0064501B" w:rsidRDefault="0064501B" w:rsidP="0064501B">
      <w:pPr>
        <w:overflowPunct w:val="0"/>
        <w:snapToGrid w:val="0"/>
        <w:spacing w:afterLines="50" w:after="180"/>
        <w:jc w:val="both"/>
        <w:rPr>
          <w:lang w:val="en-HK"/>
        </w:rPr>
      </w:pPr>
      <w:bookmarkStart w:id="8" w:name="_Hlk205287829"/>
      <w:bookmarkStart w:id="9" w:name="_Hlk203458848"/>
      <w:r w:rsidRPr="0064501B">
        <w:rPr>
          <w:lang w:val="en-HK"/>
        </w:rPr>
        <w:t xml:space="preserve">The rising importance of emerging markets and developing </w:t>
      </w:r>
      <w:r w:rsidRPr="0064501B">
        <w:rPr>
          <w:rFonts w:eastAsia="SimSun" w:hint="eastAsia"/>
          <w:lang w:val="en-HK" w:eastAsia="zh-CN"/>
        </w:rPr>
        <w:t xml:space="preserve">economies </w:t>
      </w:r>
      <w:r w:rsidRPr="0064501B">
        <w:rPr>
          <w:lang w:val="en-HK"/>
        </w:rPr>
        <w:t xml:space="preserve">for Mainland’s exports could </w:t>
      </w:r>
      <w:r w:rsidRPr="0064501B">
        <w:rPr>
          <w:rFonts w:eastAsia="SimSun" w:hint="eastAsia"/>
          <w:lang w:val="en-HK" w:eastAsia="zh-CN"/>
        </w:rPr>
        <w:t xml:space="preserve">mainly </w:t>
      </w:r>
      <w:r w:rsidRPr="0064501B">
        <w:rPr>
          <w:lang w:val="en-HK"/>
        </w:rPr>
        <w:t>be attributed to</w:t>
      </w:r>
      <w:r w:rsidRPr="0064501B">
        <w:t> </w:t>
      </w:r>
      <w:r w:rsidRPr="0064501B">
        <w:rPr>
          <w:rFonts w:eastAsia="SimSun" w:hint="eastAsia"/>
          <w:lang w:eastAsia="zh-CN"/>
        </w:rPr>
        <w:t xml:space="preserve">the </w:t>
      </w:r>
      <w:r w:rsidRPr="0064501B">
        <w:rPr>
          <w:lang w:val="en-HK"/>
        </w:rPr>
        <w:t>deepening ties with the Global</w:t>
      </w:r>
      <w:r w:rsidRPr="0064501B">
        <w:rPr>
          <w:sz w:val="32"/>
          <w:szCs w:val="32"/>
          <w:lang w:val="en-HK"/>
        </w:rPr>
        <w:t xml:space="preserve"> </w:t>
      </w:r>
      <w:r w:rsidRPr="0064501B">
        <w:rPr>
          <w:lang w:val="en-HK"/>
        </w:rPr>
        <w:t>South</w:t>
      </w:r>
      <w:r w:rsidRPr="0064501B">
        <w:rPr>
          <w:rFonts w:eastAsia="SimSun" w:hint="eastAsia"/>
          <w:lang w:val="en-HK" w:eastAsia="zh-CN"/>
        </w:rPr>
        <w:t xml:space="preserve">, </w:t>
      </w:r>
      <w:r w:rsidRPr="0064501B">
        <w:rPr>
          <w:rFonts w:eastAsia="SimSun"/>
          <w:lang w:val="en-HK" w:eastAsia="zh-CN"/>
        </w:rPr>
        <w:t>there</w:t>
      </w:r>
      <w:r w:rsidRPr="0064501B">
        <w:rPr>
          <w:rFonts w:eastAsia="SimSun" w:hint="eastAsia"/>
          <w:lang w:val="en-HK" w:eastAsia="zh-CN"/>
        </w:rPr>
        <w:t>by</w:t>
      </w:r>
      <w:r w:rsidRPr="0064501B">
        <w:rPr>
          <w:lang w:val="en-HK"/>
        </w:rPr>
        <w:t xml:space="preserve"> forging new trade corridors with economies in Africa, Latin America, and beyond.  The BRI has enhanced trade connectivity with member countries through various channels such as improving infrastructure</w:t>
      </w:r>
      <w:r w:rsidRPr="0064501B">
        <w:rPr>
          <w:lang w:val="en-US"/>
        </w:rPr>
        <w:t> </w:t>
      </w:r>
      <w:r w:rsidRPr="0064501B">
        <w:rPr>
          <w:lang w:val="en-HK"/>
        </w:rPr>
        <w:t xml:space="preserve">- ports, railways, and digital networks.  Meanwhile, bilateral and regional trade agreements, such as </w:t>
      </w:r>
      <w:r w:rsidRPr="0064501B">
        <w:t>Regional Comprehensive Economic Partnership</w:t>
      </w:r>
      <w:r w:rsidRPr="0064501B">
        <w:rPr>
          <w:lang w:val="en-HK"/>
        </w:rPr>
        <w:t xml:space="preserve"> (RCEP) and various other free trade agreements, have improved market access through lower tariffs and more efficient customs processes, enabling the </w:t>
      </w:r>
      <w:proofErr w:type="gramStart"/>
      <w:r w:rsidRPr="0064501B">
        <w:rPr>
          <w:lang w:val="en-HK"/>
        </w:rPr>
        <w:t>Mainland</w:t>
      </w:r>
      <w:proofErr w:type="gramEnd"/>
      <w:r w:rsidRPr="0064501B">
        <w:rPr>
          <w:lang w:val="en-HK"/>
        </w:rPr>
        <w:t xml:space="preserve"> to </w:t>
      </w:r>
      <w:r w:rsidRPr="0064501B">
        <w:rPr>
          <w:lang w:val="en-HK"/>
          <w14:ligatures w14:val="standardContextual"/>
        </w:rPr>
        <w:t>deepen</w:t>
      </w:r>
      <w:r w:rsidRPr="0064501B">
        <w:rPr>
          <w:lang w:val="en-HK"/>
        </w:rPr>
        <w:t xml:space="preserve"> ties with the Asia-Pacific region and others.  Additionally, supply chain diversification with rising outbound manufacturing </w:t>
      </w:r>
      <w:r w:rsidRPr="0064501B">
        <w:rPr>
          <w:rFonts w:eastAsia="SimSun" w:hint="eastAsia"/>
          <w:lang w:val="en-HK" w:eastAsia="zh-CN"/>
        </w:rPr>
        <w:t xml:space="preserve">direct </w:t>
      </w:r>
      <w:r w:rsidRPr="0064501B">
        <w:rPr>
          <w:lang w:val="en-HK"/>
        </w:rPr>
        <w:t xml:space="preserve">investments has enhanced flexibility for Chinese firms to navigate global tariff barriers and respond to shifting demands across different regions more effectively, while </w:t>
      </w:r>
      <w:r w:rsidRPr="0064501B">
        <w:rPr>
          <w:rFonts w:eastAsia="SimSun" w:hint="eastAsia"/>
          <w:lang w:val="en-HK" w:eastAsia="zh-CN"/>
        </w:rPr>
        <w:t>the increas</w:t>
      </w:r>
      <w:r w:rsidRPr="0064501B">
        <w:rPr>
          <w:lang w:val="en-HK"/>
        </w:rPr>
        <w:t xml:space="preserve">ing importance of other developing </w:t>
      </w:r>
      <w:r w:rsidRPr="0064501B">
        <w:rPr>
          <w:rFonts w:hint="eastAsia"/>
          <w:lang w:val="en-HK"/>
        </w:rPr>
        <w:t xml:space="preserve">Asian </w:t>
      </w:r>
      <w:r w:rsidRPr="0064501B">
        <w:rPr>
          <w:lang w:val="en-HK"/>
        </w:rPr>
        <w:t>economies</w:t>
      </w:r>
      <w:r w:rsidRPr="0064501B">
        <w:rPr>
          <w:rFonts w:hint="eastAsia"/>
          <w:lang w:val="en-HK"/>
        </w:rPr>
        <w:t xml:space="preserve"> </w:t>
      </w:r>
      <w:r w:rsidRPr="0064501B">
        <w:rPr>
          <w:lang w:val="en-HK"/>
        </w:rPr>
        <w:t xml:space="preserve">has </w:t>
      </w:r>
      <w:r w:rsidRPr="0064501B">
        <w:rPr>
          <w:rFonts w:eastAsia="SimSun" w:hint="eastAsia"/>
          <w:lang w:val="en-HK" w:eastAsia="zh-CN"/>
        </w:rPr>
        <w:t xml:space="preserve">also </w:t>
      </w:r>
      <w:r w:rsidRPr="0064501B">
        <w:rPr>
          <w:lang w:val="en-HK"/>
        </w:rPr>
        <w:t xml:space="preserve">accelerated the growth in demand for various goods from the </w:t>
      </w:r>
      <w:proofErr w:type="gramStart"/>
      <w:r w:rsidRPr="0064501B">
        <w:rPr>
          <w:lang w:val="en-HK"/>
        </w:rPr>
        <w:t>Mainland</w:t>
      </w:r>
      <w:proofErr w:type="gramEnd"/>
      <w:r w:rsidRPr="0064501B">
        <w:rPr>
          <w:lang w:val="en-HK"/>
        </w:rPr>
        <w:t xml:space="preserve">. </w:t>
      </w:r>
    </w:p>
    <w:bookmarkEnd w:id="8"/>
    <w:p w14:paraId="5920287E" w14:textId="77777777" w:rsidR="0064501B" w:rsidRPr="0064501B" w:rsidRDefault="0064501B" w:rsidP="0064501B">
      <w:pPr>
        <w:widowControl/>
        <w:rPr>
          <w:rFonts w:eastAsia="標楷體" w:cs="Arial"/>
          <w:b/>
          <w:kern w:val="0"/>
          <w:szCs w:val="22"/>
        </w:rPr>
      </w:pPr>
    </w:p>
    <w:p w14:paraId="41BE41F7" w14:textId="77777777" w:rsidR="0064501B" w:rsidRPr="0064501B" w:rsidRDefault="0064501B" w:rsidP="0064501B">
      <w:pPr>
        <w:widowControl/>
        <w:rPr>
          <w:rFonts w:eastAsia="標楷體" w:cs="Arial"/>
          <w:b/>
          <w:kern w:val="0"/>
          <w:szCs w:val="22"/>
        </w:rPr>
      </w:pPr>
    </w:p>
    <w:p w14:paraId="3AF5728E" w14:textId="77777777" w:rsidR="0064501B" w:rsidRPr="0064501B" w:rsidRDefault="0064501B" w:rsidP="0064501B">
      <w:pPr>
        <w:widowControl/>
        <w:rPr>
          <w:rFonts w:eastAsia="標楷體" w:cs="Arial"/>
          <w:b/>
          <w:kern w:val="0"/>
          <w:szCs w:val="22"/>
        </w:rPr>
      </w:pPr>
    </w:p>
    <w:p w14:paraId="7538728C" w14:textId="77777777" w:rsidR="0064501B" w:rsidRPr="0064501B" w:rsidRDefault="0064501B" w:rsidP="0064501B">
      <w:pPr>
        <w:widowControl/>
        <w:rPr>
          <w:rFonts w:eastAsia="標楷體" w:cs="Arial"/>
          <w:b/>
          <w:kern w:val="0"/>
          <w:szCs w:val="22"/>
        </w:rPr>
      </w:pPr>
    </w:p>
    <w:p w14:paraId="118F5135" w14:textId="77777777" w:rsidR="0064501B" w:rsidRPr="0064501B" w:rsidRDefault="0064501B" w:rsidP="0064501B">
      <w:pPr>
        <w:widowControl/>
        <w:rPr>
          <w:rFonts w:eastAsia="標楷體" w:cs="Arial"/>
          <w:b/>
          <w:kern w:val="0"/>
          <w:szCs w:val="22"/>
        </w:rPr>
      </w:pPr>
    </w:p>
    <w:p w14:paraId="422B2AE8" w14:textId="77777777" w:rsidR="0064501B" w:rsidRPr="0064501B" w:rsidRDefault="0064501B" w:rsidP="0064501B">
      <w:pPr>
        <w:widowControl/>
        <w:rPr>
          <w:rFonts w:eastAsia="標楷體" w:cs="Arial"/>
          <w:b/>
          <w:kern w:val="0"/>
          <w:szCs w:val="22"/>
        </w:rPr>
      </w:pPr>
    </w:p>
    <w:p w14:paraId="0D19D928" w14:textId="77777777" w:rsidR="0064501B" w:rsidRPr="0064501B" w:rsidRDefault="0064501B" w:rsidP="0064501B">
      <w:pPr>
        <w:widowControl/>
        <w:rPr>
          <w:rFonts w:eastAsia="標楷體" w:cs="Arial"/>
          <w:b/>
          <w:kern w:val="0"/>
          <w:szCs w:val="22"/>
        </w:rPr>
      </w:pPr>
    </w:p>
    <w:p w14:paraId="33AC82F6" w14:textId="77777777" w:rsidR="0064501B" w:rsidRPr="0064501B" w:rsidRDefault="0064501B" w:rsidP="0064501B">
      <w:pPr>
        <w:widowControl/>
        <w:rPr>
          <w:rFonts w:eastAsia="標楷體" w:cs="Arial"/>
          <w:b/>
          <w:kern w:val="0"/>
          <w:szCs w:val="22"/>
        </w:rPr>
      </w:pPr>
      <w:r w:rsidRPr="0064501B">
        <w:rPr>
          <w:rFonts w:eastAsia="標楷體" w:cs="Arial"/>
          <w:b/>
          <w:kern w:val="0"/>
          <w:szCs w:val="22"/>
        </w:rPr>
        <w:lastRenderedPageBreak/>
        <w:t>Box 2.1 (Cont’d)</w:t>
      </w:r>
    </w:p>
    <w:p w14:paraId="7C28F061" w14:textId="77777777" w:rsidR="0064501B" w:rsidRPr="0064501B" w:rsidRDefault="0064501B" w:rsidP="0064501B">
      <w:pPr>
        <w:overflowPunct w:val="0"/>
        <w:snapToGrid w:val="0"/>
        <w:spacing w:afterLines="50" w:after="180"/>
        <w:jc w:val="both"/>
      </w:pPr>
    </w:p>
    <w:p w14:paraId="499AB159" w14:textId="77777777" w:rsidR="0064501B" w:rsidRPr="0064501B" w:rsidRDefault="0064501B" w:rsidP="0064501B">
      <w:pPr>
        <w:overflowPunct w:val="0"/>
        <w:snapToGrid w:val="0"/>
        <w:spacing w:afterLines="50" w:after="180"/>
        <w:jc w:val="both"/>
        <w:rPr>
          <w:lang w:val="en-HK"/>
        </w:rPr>
      </w:pPr>
      <w:r w:rsidRPr="0064501B">
        <w:t xml:space="preserve">Mainland’s export market diversification has also been manifested by a significant shift in product-mix toward more sophisticated goods over the past decade.  </w:t>
      </w:r>
      <w:r w:rsidRPr="0064501B">
        <w:rPr>
          <w:rFonts w:hint="eastAsia"/>
        </w:rPr>
        <w:t>T</w:t>
      </w:r>
      <w:r w:rsidRPr="0064501B">
        <w:rPr>
          <w:rFonts w:hint="eastAsia"/>
          <w:lang w:eastAsia="zh-HK"/>
        </w:rPr>
        <w:t>h</w:t>
      </w:r>
      <w:r w:rsidRPr="0064501B">
        <w:rPr>
          <w:lang w:eastAsia="zh-HK"/>
        </w:rPr>
        <w:t xml:space="preserve">e </w:t>
      </w:r>
      <w:r w:rsidRPr="0064501B">
        <w:t xml:space="preserve">Organisation for Economic Co-operation and Development estimates that the share of traditional products, viz. textiles, wearing apparel, leather and related products, in Mainland’s exports declined from 16.3% </w:t>
      </w:r>
      <w:r w:rsidRPr="0064501B">
        <w:rPr>
          <w:rFonts w:eastAsia="SimSun" w:hint="eastAsia"/>
          <w:lang w:eastAsia="zh-CN"/>
        </w:rPr>
        <w:t xml:space="preserve">of the total </w:t>
      </w:r>
      <w:r w:rsidRPr="0064501B">
        <w:t>in 2014 to 11.4% in 2023.</w:t>
      </w:r>
      <w:r w:rsidRPr="0064501B">
        <w:rPr>
          <w:rFonts w:hint="eastAsia"/>
          <w:lang w:val="en-HK"/>
        </w:rPr>
        <w:t xml:space="preserve"> </w:t>
      </w:r>
      <w:r w:rsidRPr="0064501B">
        <w:rPr>
          <w:lang w:val="en-HK"/>
        </w:rPr>
        <w:t xml:space="preserve"> Meanwhile, the share of higher</w:t>
      </w:r>
      <w:r w:rsidRPr="0064501B">
        <w:rPr>
          <w:rFonts w:eastAsia="SimSun" w:hint="eastAsia"/>
          <w:lang w:val="en-HK" w:eastAsia="zh-CN"/>
        </w:rPr>
        <w:t>-tech</w:t>
      </w:r>
      <w:r w:rsidRPr="0064501B">
        <w:rPr>
          <w:lang w:val="en-HK"/>
        </w:rPr>
        <w:t xml:space="preserve"> product</w:t>
      </w:r>
      <w:r w:rsidRPr="0064501B">
        <w:rPr>
          <w:rFonts w:eastAsia="SimSun" w:hint="eastAsia"/>
          <w:lang w:val="en-HK" w:eastAsia="zh-CN"/>
        </w:rPr>
        <w:t xml:space="preserve">s </w:t>
      </w:r>
      <w:r w:rsidRPr="0064501B">
        <w:rPr>
          <w:lang w:val="en-HK"/>
        </w:rPr>
        <w:t xml:space="preserve">in Mainland’s total exports gained prominence.  For example, the shares of electrical equipment, electronic components and boards, as well as motor vehicles and other transport equipment went up </w:t>
      </w:r>
      <w:r w:rsidRPr="0064501B">
        <w:rPr>
          <w:noProof/>
          <w:lang w:val="en-US"/>
        </w:rPr>
        <mc:AlternateContent>
          <mc:Choice Requires="wps">
            <w:drawing>
              <wp:anchor distT="0" distB="0" distL="114300" distR="114300" simplePos="0" relativeHeight="251661312" behindDoc="0" locked="0" layoutInCell="1" allowOverlap="1" wp14:anchorId="6352DE4B" wp14:editId="739B5425">
                <wp:simplePos x="0" y="0"/>
                <wp:positionH relativeFrom="margin">
                  <wp:posOffset>-226695</wp:posOffset>
                </wp:positionH>
                <wp:positionV relativeFrom="margin">
                  <wp:posOffset>-171450</wp:posOffset>
                </wp:positionV>
                <wp:extent cx="6174000" cy="9720000"/>
                <wp:effectExtent l="0" t="0" r="17780" b="14605"/>
                <wp:wrapNone/>
                <wp:docPr id="11"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528969" id="Rectangle 4" o:spid="_x0000_s1026" style="position:absolute;margin-left:-17.85pt;margin-top:-13.5pt;width:486.15pt;height:765.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" filled="f" strokecolor="windowText">
                <w10:wrap anchorx="margin" anchory="margin"/>
              </v:rect>
            </w:pict>
          </mc:Fallback>
        </mc:AlternateContent>
      </w:r>
      <w:r w:rsidRPr="0064501B">
        <w:rPr>
          <w:lang w:val="en-HK"/>
        </w:rPr>
        <w:t xml:space="preserve">from 14.0% and 5.1% of its total exports in 2014, to 17.9% and 7.8% in 2023 respectively.  </w:t>
      </w:r>
      <w:r w:rsidRPr="0064501B">
        <w:rPr>
          <w:lang w:val="en-US"/>
        </w:rPr>
        <w:t xml:space="preserve">This trend has aligned with the </w:t>
      </w:r>
      <w:proofErr w:type="gramStart"/>
      <w:r w:rsidRPr="0064501B">
        <w:rPr>
          <w:lang w:val="en-US"/>
        </w:rPr>
        <w:t>Mainland’s</w:t>
      </w:r>
      <w:proofErr w:type="gramEnd"/>
      <w:r w:rsidRPr="0064501B">
        <w:rPr>
          <w:lang w:val="en-US"/>
        </w:rPr>
        <w:t xml:space="preserve"> industrial upgrading, transitioning from </w:t>
      </w:r>
      <w:proofErr w:type="spellStart"/>
      <w:r w:rsidRPr="0064501B">
        <w:rPr>
          <w:lang w:val="en-US"/>
        </w:rPr>
        <w:t>labour-intensive</w:t>
      </w:r>
      <w:proofErr w:type="spellEnd"/>
      <w:r w:rsidRPr="0064501B">
        <w:rPr>
          <w:lang w:val="en-US"/>
        </w:rPr>
        <w:t xml:space="preserve"> manufacturing toward more technology- and capital-intensive sectors.  The growth in exports </w:t>
      </w:r>
      <w:r w:rsidRPr="0064501B">
        <w:rPr>
          <w:rFonts w:eastAsia="SimSun" w:hint="eastAsia"/>
          <w:lang w:val="en-US" w:eastAsia="zh-CN"/>
        </w:rPr>
        <w:t>of higher-tech products</w:t>
      </w:r>
      <w:r w:rsidRPr="0064501B">
        <w:rPr>
          <w:rFonts w:eastAsia="SimSun"/>
          <w:lang w:val="en-US" w:eastAsia="zh-CN"/>
        </w:rPr>
        <w:t xml:space="preserve"> </w:t>
      </w:r>
      <w:r w:rsidRPr="0064501B">
        <w:rPr>
          <w:lang w:val="en-US"/>
        </w:rPr>
        <w:t xml:space="preserve">has been particularly pronounced in emerging markets such as ASEAN and some Latin America economies, where demand for machinery, electronics, and vehicles has expanded alongside infrastructure development and rising consumer purchasing power.  </w:t>
      </w:r>
    </w:p>
    <w:p w14:paraId="4E9283C4" w14:textId="77777777" w:rsidR="0064501B" w:rsidRPr="0064501B" w:rsidRDefault="0064501B" w:rsidP="0064501B">
      <w:pPr>
        <w:jc w:val="both"/>
        <w:rPr>
          <w:rFonts w:eastAsia="DengXian"/>
          <w:b/>
          <w:bCs/>
          <w:lang w:val="en-HK" w:eastAsia="zh-CN"/>
        </w:rPr>
      </w:pPr>
      <w:r w:rsidRPr="0064501B">
        <w:rPr>
          <w:rFonts w:eastAsia="DengXian"/>
          <w:b/>
          <w:bCs/>
          <w:lang w:val="en-HK" w:eastAsia="zh-CN"/>
        </w:rPr>
        <w:t>Implications to Hong Kong</w:t>
      </w:r>
    </w:p>
    <w:p w14:paraId="65D5C746" w14:textId="77777777" w:rsidR="0064501B" w:rsidRPr="0064501B" w:rsidRDefault="0064501B" w:rsidP="0064501B">
      <w:pPr>
        <w:jc w:val="both"/>
        <w:rPr>
          <w:rFonts w:eastAsia="DengXian"/>
          <w:lang w:val="en-HK" w:eastAsia="zh-CN"/>
        </w:rPr>
      </w:pPr>
    </w:p>
    <w:p w14:paraId="554AB6CC" w14:textId="77777777" w:rsidR="0064501B" w:rsidRPr="0064501B" w:rsidRDefault="0064501B" w:rsidP="0064501B">
      <w:pPr>
        <w:overflowPunct w:val="0"/>
        <w:snapToGrid w:val="0"/>
        <w:spacing w:afterLines="50" w:after="180"/>
        <w:jc w:val="both"/>
        <w:rPr>
          <w:rFonts w:eastAsia="DengXian"/>
          <w:lang w:eastAsia="zh-CN"/>
        </w:rPr>
      </w:pPr>
      <w:bookmarkStart w:id="10" w:name="_Hlk203400343"/>
      <w:r w:rsidRPr="0064501B">
        <w:rPr>
          <w:lang w:val="en-HK"/>
        </w:rPr>
        <w:t xml:space="preserve">The </w:t>
      </w:r>
      <w:proofErr w:type="gramStart"/>
      <w:r w:rsidRPr="0064501B">
        <w:rPr>
          <w:lang w:val="en-HK"/>
        </w:rPr>
        <w:t>Mainland’s</w:t>
      </w:r>
      <w:proofErr w:type="gramEnd"/>
      <w:r w:rsidRPr="0064501B">
        <w:rPr>
          <w:lang w:val="en-HK"/>
        </w:rPr>
        <w:t xml:space="preserve"> export sector has not only demonstrated exceptional resilience and adaptability over the past decade, but has also been strengthened by the ongoing diversification towards emerging </w:t>
      </w:r>
      <w:r w:rsidRPr="0064501B">
        <w:rPr>
          <w:rFonts w:eastAsia="SimSun" w:hint="eastAsia"/>
          <w:lang w:val="en-HK" w:eastAsia="zh-CN"/>
        </w:rPr>
        <w:t xml:space="preserve">markets and </w:t>
      </w:r>
      <w:r w:rsidRPr="0064501B">
        <w:rPr>
          <w:lang w:val="en-HK"/>
        </w:rPr>
        <w:t xml:space="preserve">developing economies.  </w:t>
      </w:r>
      <w:r w:rsidRPr="0064501B">
        <w:rPr>
          <w:rFonts w:hint="eastAsia"/>
          <w:lang w:val="en-HK"/>
        </w:rPr>
        <w:t>It</w:t>
      </w:r>
      <w:r w:rsidRPr="0064501B">
        <w:rPr>
          <w:lang w:val="en-HK"/>
        </w:rPr>
        <w:t xml:space="preserve"> is imperative for Hong Kong as a “super connector” and “super value-adder” to adapt to these shifting patterns in order to maintain our competitive edge.  With stronger trade relations with ASEAN, for instance, Hong Kong is positioned as a leading hub for multinational supply chain management to strategically align with growing Mainland’s exports to ASEAN (notably electronics-related products).  Besides, Hong Kong </w:t>
      </w:r>
      <w:r w:rsidRPr="0064501B">
        <w:rPr>
          <w:rFonts w:hint="eastAsia"/>
          <w:lang w:val="en-HK"/>
        </w:rPr>
        <w:t xml:space="preserve">can </w:t>
      </w:r>
      <w:r w:rsidRPr="0064501B">
        <w:rPr>
          <w:lang w:val="en-HK"/>
        </w:rPr>
        <w:t xml:space="preserve">provide a full spectrum of professional support and financial services for trading enterprises (including Mainland enterprises), which can help them actively expand into markets along the BRI.  By supporting Mainland enterprises in their innovation and upgrading efforts in expanding new business, Hong Kong </w:t>
      </w:r>
      <w:r w:rsidRPr="0064501B">
        <w:rPr>
          <w:rFonts w:hint="eastAsia"/>
          <w:lang w:val="en-HK"/>
        </w:rPr>
        <w:t xml:space="preserve">does not </w:t>
      </w:r>
      <w:r w:rsidRPr="0064501B">
        <w:rPr>
          <w:lang w:val="en-HK"/>
        </w:rPr>
        <w:t>only create opportunities for its own professional services sector</w:t>
      </w:r>
      <w:r w:rsidRPr="0064501B">
        <w:rPr>
          <w:rFonts w:hint="eastAsia"/>
          <w:lang w:val="en-HK"/>
        </w:rPr>
        <w:t>, but also</w:t>
      </w:r>
      <w:r w:rsidRPr="0064501B">
        <w:rPr>
          <w:lang w:val="en-HK"/>
        </w:rPr>
        <w:t xml:space="preserve"> contribute</w:t>
      </w:r>
      <w:r w:rsidRPr="0064501B">
        <w:rPr>
          <w:rFonts w:hint="eastAsia"/>
          <w:lang w:val="en-HK"/>
        </w:rPr>
        <w:t>s</w:t>
      </w:r>
      <w:r w:rsidRPr="0064501B">
        <w:rPr>
          <w:lang w:val="en-HK"/>
        </w:rPr>
        <w:t xml:space="preserve"> to the national goal of high-quality development.  In turn, this reinforces Hong Kong’s status as an international financial, shipping and trading centre, fostering a more resilient and dynamic economy.</w:t>
      </w:r>
      <w:bookmarkEnd w:id="10"/>
    </w:p>
    <w:bookmarkEnd w:id="5"/>
    <w:bookmarkEnd w:id="9"/>
    <w:p w14:paraId="2E539F4E" w14:textId="77777777" w:rsidR="0064501B" w:rsidRPr="0064501B" w:rsidRDefault="0064501B" w:rsidP="0064501B">
      <w:pPr>
        <w:overflowPunct w:val="0"/>
        <w:snapToGrid w:val="0"/>
        <w:spacing w:afterLines="50" w:after="180"/>
        <w:jc w:val="both"/>
        <w:rPr>
          <w:lang w:val="en-HK"/>
        </w:rPr>
      </w:pPr>
    </w:p>
    <w:p w14:paraId="1C9EBC34" w14:textId="436256A0" w:rsidR="0064501B" w:rsidRDefault="0064501B">
      <w:pPr>
        <w:widowControl/>
        <w:rPr>
          <w:kern w:val="0"/>
          <w:sz w:val="28"/>
          <w:szCs w:val="28"/>
          <w:lang w:val="en-HK" w:eastAsia="zh-HK"/>
        </w:rPr>
      </w:pPr>
      <w:r>
        <w:rPr>
          <w:szCs w:val="28"/>
          <w:lang w:val="en-HK" w:eastAsia="zh-HK"/>
        </w:rPr>
        <w:br w:type="page"/>
      </w:r>
    </w:p>
    <w:bookmarkEnd w:id="3"/>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4A7FE713" w14:textId="02756564" w:rsidR="00237F6A" w:rsidRPr="00D20966" w:rsidRDefault="00237F6A" w:rsidP="00237F6A">
      <w:pPr>
        <w:pStyle w:val="ListParagraph"/>
        <w:numPr>
          <w:ilvl w:val="0"/>
          <w:numId w:val="6"/>
        </w:numPr>
        <w:tabs>
          <w:tab w:val="clear" w:pos="1276"/>
          <w:tab w:val="left" w:pos="1260"/>
        </w:tabs>
        <w:spacing w:after="0" w:line="360" w:lineRule="atLeast"/>
        <w:ind w:leftChars="0"/>
        <w:jc w:val="both"/>
      </w:pPr>
      <w:r w:rsidRPr="007D3869">
        <w:t xml:space="preserve">Hong Kong’s </w:t>
      </w:r>
      <w:r w:rsidRPr="007D3869">
        <w:rPr>
          <w:i/>
        </w:rPr>
        <w:t>merchandise exports</w:t>
      </w:r>
      <w:r w:rsidRPr="007D3869">
        <w:t xml:space="preserve"> </w:t>
      </w:r>
      <w:r w:rsidR="00BA2C81">
        <w:t xml:space="preserve">continued to grow </w:t>
      </w:r>
      <w:r w:rsidR="006169CD">
        <w:t>notably</w:t>
      </w:r>
      <w:r w:rsidR="00BA2C81">
        <w:t xml:space="preserve"> by </w:t>
      </w:r>
      <w:r w:rsidR="007D3869">
        <w:t>1</w:t>
      </w:r>
      <w:r w:rsidR="00806E50">
        <w:rPr>
          <w:rFonts w:hint="eastAsia"/>
        </w:rPr>
        <w:t>2</w:t>
      </w:r>
      <w:r w:rsidR="00946FC9">
        <w:t>.</w:t>
      </w:r>
      <w:r w:rsidR="00806E50">
        <w:rPr>
          <w:rFonts w:hint="eastAsia"/>
        </w:rPr>
        <w:t>0</w:t>
      </w:r>
      <w:r w:rsidRPr="007D3869">
        <w:t xml:space="preserve">% </w:t>
      </w:r>
      <w:r w:rsidR="00BA2C81">
        <w:t xml:space="preserve">year-on-year </w:t>
      </w:r>
      <w:r w:rsidRPr="007D3869">
        <w:rPr>
          <w:lang w:eastAsia="zh-HK"/>
        </w:rPr>
        <w:t>in real terms</w:t>
      </w:r>
      <w:r w:rsidRPr="007D3869">
        <w:t xml:space="preserve"> in the </w:t>
      </w:r>
      <w:r w:rsidR="007D3869">
        <w:t>second</w:t>
      </w:r>
      <w:r w:rsidR="007D3869" w:rsidRPr="007D3869">
        <w:t xml:space="preserve"> </w:t>
      </w:r>
      <w:r w:rsidRPr="007D3869">
        <w:t>quarter of 202</w:t>
      </w:r>
      <w:r w:rsidR="00F2388F" w:rsidRPr="007D3869">
        <w:t>5</w:t>
      </w:r>
      <w:r w:rsidR="00594E4C" w:rsidRPr="007D3869">
        <w:t xml:space="preserve">, </w:t>
      </w:r>
      <w:r w:rsidR="00EC6DD3">
        <w:t xml:space="preserve">further to the </w:t>
      </w:r>
      <w:r w:rsidR="007D3869">
        <w:t>8</w:t>
      </w:r>
      <w:r w:rsidR="00851B04" w:rsidRPr="007D3869">
        <w:t>.7</w:t>
      </w:r>
      <w:r w:rsidRPr="007D3869">
        <w:t>%</w:t>
      </w:r>
      <w:r w:rsidR="00851B04" w:rsidRPr="007D3869">
        <w:t xml:space="preserve"> </w:t>
      </w:r>
      <w:r w:rsidR="00EC6DD3">
        <w:t xml:space="preserve">growth </w:t>
      </w:r>
      <w:r w:rsidRPr="007D3869">
        <w:t>in the preceding quarter</w:t>
      </w:r>
      <w:r w:rsidR="00D20966" w:rsidRPr="007D3869">
        <w:t>.</w:t>
      </w:r>
      <w:r w:rsidR="00391347" w:rsidRPr="00B65A4E">
        <w:t xml:space="preserve"> </w:t>
      </w:r>
      <w:r w:rsidR="007D3869">
        <w:t xml:space="preserve"> </w:t>
      </w:r>
      <w:r w:rsidR="00741D25">
        <w:t xml:space="preserve">Resilient </w:t>
      </w:r>
      <w:r w:rsidR="00EC6DD3">
        <w:t xml:space="preserve">external demand, together with some rush shipments in response to the </w:t>
      </w:r>
      <w:r w:rsidR="00C90F9A">
        <w:t xml:space="preserve">temporary </w:t>
      </w:r>
      <w:r w:rsidR="00741D25">
        <w:t xml:space="preserve">easing </w:t>
      </w:r>
      <w:r w:rsidR="00C90F9A">
        <w:t>of</w:t>
      </w:r>
      <w:r w:rsidR="00741D25">
        <w:t xml:space="preserve"> US tariff measures</w:t>
      </w:r>
      <w:r w:rsidR="00C90F9A">
        <w:t>,</w:t>
      </w:r>
      <w:r w:rsidR="00EC6DD3">
        <w:t xml:space="preserve"> rendered support to export performance.  </w:t>
      </w:r>
    </w:p>
    <w:p w14:paraId="427F9FC1" w14:textId="77A573C8" w:rsidR="00237F6A" w:rsidRDefault="00237F6A" w:rsidP="00237F6A">
      <w:pPr>
        <w:tabs>
          <w:tab w:val="left" w:pos="1260"/>
        </w:tabs>
        <w:spacing w:line="360" w:lineRule="atLeast"/>
        <w:rPr>
          <w:b/>
          <w:bCs/>
          <w:sz w:val="28"/>
        </w:rPr>
      </w:pPr>
    </w:p>
    <w:p w14:paraId="3DCC4949" w14:textId="77777777" w:rsidR="00123A58" w:rsidRPr="00B67ADE" w:rsidRDefault="00123A58" w:rsidP="00123A58">
      <w:pPr>
        <w:keepNext/>
        <w:keepLines/>
        <w:tabs>
          <w:tab w:val="left" w:pos="1260"/>
        </w:tabs>
        <w:spacing w:line="360" w:lineRule="atLeast"/>
        <w:jc w:val="center"/>
        <w:rPr>
          <w:sz w:val="28"/>
        </w:rPr>
      </w:pPr>
      <w:r w:rsidRPr="00B67ADE">
        <w:rPr>
          <w:b/>
          <w:bCs/>
          <w:sz w:val="28"/>
        </w:rPr>
        <w:t xml:space="preserve">Table </w:t>
      </w:r>
      <w:proofErr w:type="gramStart"/>
      <w:r>
        <w:rPr>
          <w:b/>
          <w:bCs/>
          <w:sz w:val="28"/>
        </w:rPr>
        <w:t>2</w:t>
      </w:r>
      <w:r w:rsidRPr="00B67ADE">
        <w:rPr>
          <w:b/>
          <w:bCs/>
          <w:sz w:val="28"/>
        </w:rPr>
        <w:t>.1 :</w:t>
      </w:r>
      <w:proofErr w:type="gramEnd"/>
      <w:r w:rsidRPr="00B67ADE">
        <w:rPr>
          <w:b/>
          <w:bCs/>
          <w:sz w:val="28"/>
        </w:rPr>
        <w:t xml:space="preserve"> </w:t>
      </w:r>
      <w:r w:rsidRPr="00D00121">
        <w:rPr>
          <w:b/>
          <w:bCs/>
          <w:sz w:val="28"/>
        </w:rPr>
        <w:t>Merchandise exports</w:t>
      </w:r>
    </w:p>
    <w:p w14:paraId="6124446B" w14:textId="77777777" w:rsidR="00123A58" w:rsidRPr="00B67ADE" w:rsidRDefault="00123A58" w:rsidP="00123A58">
      <w:pPr>
        <w:keepNext/>
        <w:keepLines/>
        <w:tabs>
          <w:tab w:val="left" w:pos="990"/>
        </w:tabs>
        <w:spacing w:line="280" w:lineRule="exact"/>
        <w:jc w:val="center"/>
        <w:rPr>
          <w:b/>
          <w:sz w:val="28"/>
        </w:rPr>
      </w:pPr>
      <w:r w:rsidRPr="00B67ADE">
        <w:rPr>
          <w:b/>
          <w:sz w:val="28"/>
        </w:rPr>
        <w:t>(year-on-year rate of change (%))</w:t>
      </w:r>
    </w:p>
    <w:p w14:paraId="4761A0FA" w14:textId="77777777" w:rsidR="00123A58" w:rsidRPr="000E17DD" w:rsidRDefault="00123A58" w:rsidP="00123A58">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123A58" w:rsidRPr="0062778D" w14:paraId="08F94B9A" w14:textId="77777777" w:rsidTr="00C83E7F">
        <w:trPr>
          <w:cantSplit/>
          <w:trHeight w:val="789"/>
          <w:jc w:val="center"/>
        </w:trPr>
        <w:tc>
          <w:tcPr>
            <w:tcW w:w="2013" w:type="dxa"/>
          </w:tcPr>
          <w:p w14:paraId="07696413" w14:textId="77777777" w:rsidR="00123A58" w:rsidRPr="0062778D" w:rsidRDefault="00123A58" w:rsidP="00C83E7F">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7130EACA"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7CAC48EE"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7876D4E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01D2D1A1"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0FC0BF05"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706CD8C4"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1AC4BFA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123A58" w:rsidRPr="0062778D" w14:paraId="2A4F50C6" w14:textId="77777777" w:rsidTr="00C83E7F">
        <w:trPr>
          <w:cantSplit/>
          <w:trHeight w:val="272"/>
          <w:jc w:val="center"/>
        </w:trPr>
        <w:tc>
          <w:tcPr>
            <w:tcW w:w="2013" w:type="dxa"/>
          </w:tcPr>
          <w:p w14:paraId="5ED615EE" w14:textId="77777777" w:rsidR="00123A58" w:rsidRPr="0062778D" w:rsidRDefault="00123A58" w:rsidP="00C83E7F">
            <w:pPr>
              <w:keepNext/>
              <w:keepLines/>
              <w:tabs>
                <w:tab w:val="left" w:pos="790"/>
              </w:tabs>
              <w:spacing w:line="260" w:lineRule="exact"/>
              <w:jc w:val="both"/>
            </w:pPr>
            <w:r>
              <w:t>2024</w:t>
            </w:r>
            <w:r w:rsidRPr="0062778D">
              <w:tab/>
              <w:t>Annual</w:t>
            </w:r>
            <w:r w:rsidRPr="0062778D" w:rsidDel="00A46AB3">
              <w:t xml:space="preserve"> </w:t>
            </w:r>
          </w:p>
        </w:tc>
        <w:tc>
          <w:tcPr>
            <w:tcW w:w="1598" w:type="dxa"/>
          </w:tcPr>
          <w:p w14:paraId="56143422" w14:textId="77777777" w:rsidR="00123A58" w:rsidRPr="00D87594" w:rsidRDefault="00123A58" w:rsidP="00C83E7F">
            <w:pPr>
              <w:keepNext/>
              <w:keepLines/>
              <w:tabs>
                <w:tab w:val="decimal" w:pos="347"/>
              </w:tabs>
              <w:spacing w:line="260" w:lineRule="exact"/>
              <w:jc w:val="center"/>
            </w:pPr>
            <w:r>
              <w:t>8.7</w:t>
            </w:r>
          </w:p>
        </w:tc>
        <w:tc>
          <w:tcPr>
            <w:tcW w:w="1134" w:type="dxa"/>
          </w:tcPr>
          <w:p w14:paraId="6020F309" w14:textId="77777777" w:rsidR="00123A58" w:rsidRPr="00D87594" w:rsidRDefault="00123A58" w:rsidP="00C83E7F">
            <w:pPr>
              <w:keepNext/>
              <w:keepLines/>
              <w:tabs>
                <w:tab w:val="decimal" w:pos="287"/>
              </w:tabs>
              <w:spacing w:line="260" w:lineRule="exact"/>
              <w:jc w:val="center"/>
            </w:pPr>
            <w:r>
              <w:t>4.9</w:t>
            </w:r>
          </w:p>
        </w:tc>
        <w:tc>
          <w:tcPr>
            <w:tcW w:w="992" w:type="dxa"/>
          </w:tcPr>
          <w:p w14:paraId="6B1895AE" w14:textId="77777777" w:rsidR="00123A58" w:rsidRPr="00D87594" w:rsidRDefault="00123A58" w:rsidP="00C83E7F">
            <w:pPr>
              <w:keepNext/>
              <w:keepLines/>
              <w:tabs>
                <w:tab w:val="decimal" w:pos="347"/>
              </w:tabs>
              <w:spacing w:line="260" w:lineRule="exact"/>
              <w:jc w:val="both"/>
            </w:pPr>
          </w:p>
        </w:tc>
        <w:tc>
          <w:tcPr>
            <w:tcW w:w="2088" w:type="dxa"/>
          </w:tcPr>
          <w:p w14:paraId="29332641" w14:textId="77777777" w:rsidR="00123A58" w:rsidRPr="00D87594" w:rsidRDefault="00123A58" w:rsidP="00C83E7F">
            <w:pPr>
              <w:keepNext/>
              <w:keepLines/>
              <w:tabs>
                <w:tab w:val="decimal" w:pos="403"/>
              </w:tabs>
              <w:spacing w:line="260" w:lineRule="exact"/>
              <w:jc w:val="center"/>
            </w:pPr>
            <w:r>
              <w:rPr>
                <w:lang w:eastAsia="zh-HK"/>
              </w:rPr>
              <w:t>3.6</w:t>
            </w:r>
          </w:p>
        </w:tc>
      </w:tr>
      <w:tr w:rsidR="00123A58" w:rsidRPr="0062778D" w14:paraId="42E705F2" w14:textId="77777777" w:rsidTr="00C83E7F">
        <w:trPr>
          <w:cantSplit/>
          <w:trHeight w:val="272"/>
          <w:jc w:val="center"/>
        </w:trPr>
        <w:tc>
          <w:tcPr>
            <w:tcW w:w="2013" w:type="dxa"/>
          </w:tcPr>
          <w:p w14:paraId="3FDA8882" w14:textId="77777777" w:rsidR="00123A58" w:rsidRPr="0062778D" w:rsidRDefault="00123A58" w:rsidP="00C83E7F">
            <w:pPr>
              <w:keepNext/>
              <w:keepLines/>
              <w:tabs>
                <w:tab w:val="left" w:pos="512"/>
              </w:tabs>
              <w:spacing w:line="260" w:lineRule="exact"/>
              <w:jc w:val="both"/>
            </w:pPr>
          </w:p>
        </w:tc>
        <w:tc>
          <w:tcPr>
            <w:tcW w:w="1598" w:type="dxa"/>
          </w:tcPr>
          <w:p w14:paraId="3DB3AF21"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31525EE7"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400F9C8F"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31F5EF38" w14:textId="77777777" w:rsidR="00123A58" w:rsidRPr="003808FE" w:rsidRDefault="00123A58" w:rsidP="00C83E7F">
            <w:pPr>
              <w:keepNext/>
              <w:keepLines/>
              <w:tabs>
                <w:tab w:val="decimal" w:pos="403"/>
              </w:tabs>
              <w:spacing w:line="260" w:lineRule="exact"/>
              <w:jc w:val="center"/>
              <w:rPr>
                <w:highlight w:val="yellow"/>
                <w:lang w:eastAsia="zh-HK"/>
              </w:rPr>
            </w:pPr>
          </w:p>
        </w:tc>
      </w:tr>
      <w:tr w:rsidR="00123A58" w:rsidRPr="0062778D" w14:paraId="359C4EAB" w14:textId="77777777" w:rsidTr="00C83E7F">
        <w:trPr>
          <w:cantSplit/>
          <w:trHeight w:val="272"/>
          <w:jc w:val="center"/>
        </w:trPr>
        <w:tc>
          <w:tcPr>
            <w:tcW w:w="2013" w:type="dxa"/>
          </w:tcPr>
          <w:p w14:paraId="33DBDD25" w14:textId="77777777" w:rsidR="00123A58" w:rsidRPr="0062778D" w:rsidRDefault="00123A58" w:rsidP="00C83E7F">
            <w:pPr>
              <w:keepNext/>
              <w:keepLines/>
              <w:tabs>
                <w:tab w:val="left" w:pos="790"/>
              </w:tabs>
              <w:spacing w:line="260" w:lineRule="exact"/>
              <w:jc w:val="both"/>
            </w:pPr>
            <w:r w:rsidRPr="0062778D">
              <w:tab/>
              <w:t>Q1</w:t>
            </w:r>
          </w:p>
        </w:tc>
        <w:tc>
          <w:tcPr>
            <w:tcW w:w="1598" w:type="dxa"/>
          </w:tcPr>
          <w:p w14:paraId="14BFB22E" w14:textId="77777777" w:rsidR="00123A58" w:rsidRPr="00D87594" w:rsidRDefault="00123A58" w:rsidP="00C83E7F">
            <w:pPr>
              <w:keepNext/>
              <w:keepLines/>
              <w:tabs>
                <w:tab w:val="decimal" w:pos="347"/>
              </w:tabs>
              <w:spacing w:line="260" w:lineRule="exact"/>
              <w:jc w:val="center"/>
              <w:rPr>
                <w:lang w:eastAsia="zh-HK"/>
              </w:rPr>
            </w:pPr>
            <w:r>
              <w:t>11.9</w:t>
            </w:r>
          </w:p>
        </w:tc>
        <w:tc>
          <w:tcPr>
            <w:tcW w:w="1134" w:type="dxa"/>
          </w:tcPr>
          <w:p w14:paraId="19234B1B" w14:textId="77777777" w:rsidR="00123A58" w:rsidRPr="00D87594" w:rsidRDefault="00123A58" w:rsidP="00C83E7F">
            <w:pPr>
              <w:keepNext/>
              <w:keepLines/>
              <w:tabs>
                <w:tab w:val="decimal" w:pos="287"/>
              </w:tabs>
              <w:spacing w:line="260" w:lineRule="exact"/>
              <w:jc w:val="center"/>
              <w:rPr>
                <w:lang w:eastAsia="zh-HK"/>
              </w:rPr>
            </w:pPr>
            <w:r>
              <w:t>7.1</w:t>
            </w:r>
          </w:p>
        </w:tc>
        <w:tc>
          <w:tcPr>
            <w:tcW w:w="992" w:type="dxa"/>
          </w:tcPr>
          <w:p w14:paraId="7A050DB7" w14:textId="77777777" w:rsidR="00123A58" w:rsidRPr="00D87594" w:rsidRDefault="00123A58" w:rsidP="00C83E7F">
            <w:pPr>
              <w:keepNext/>
              <w:keepLines/>
              <w:tabs>
                <w:tab w:val="decimal" w:pos="620"/>
              </w:tabs>
              <w:spacing w:line="260" w:lineRule="exact"/>
              <w:ind w:left="53"/>
              <w:jc w:val="both"/>
            </w:pPr>
            <w:r w:rsidRPr="00D87594">
              <w:rPr>
                <w:lang w:eastAsia="zh-HK"/>
              </w:rPr>
              <w:t>(</w:t>
            </w:r>
            <w:r>
              <w:t>*</w:t>
            </w:r>
            <w:r w:rsidRPr="00D87594">
              <w:rPr>
                <w:lang w:eastAsia="zh-HK"/>
              </w:rPr>
              <w:t>)</w:t>
            </w:r>
          </w:p>
        </w:tc>
        <w:tc>
          <w:tcPr>
            <w:tcW w:w="2088" w:type="dxa"/>
          </w:tcPr>
          <w:p w14:paraId="2EEC2D8D" w14:textId="77777777" w:rsidR="00123A58" w:rsidRPr="00D87594" w:rsidRDefault="00123A58" w:rsidP="00C83E7F">
            <w:pPr>
              <w:keepNext/>
              <w:keepLines/>
              <w:tabs>
                <w:tab w:val="decimal" w:pos="403"/>
              </w:tabs>
              <w:spacing w:line="260" w:lineRule="exact"/>
              <w:jc w:val="center"/>
              <w:rPr>
                <w:lang w:eastAsia="zh-HK"/>
              </w:rPr>
            </w:pPr>
            <w:r>
              <w:t>4.5</w:t>
            </w:r>
          </w:p>
        </w:tc>
      </w:tr>
      <w:tr w:rsidR="00123A58" w:rsidRPr="0062778D" w14:paraId="3ADE32D6" w14:textId="77777777" w:rsidTr="00C83E7F">
        <w:trPr>
          <w:cantSplit/>
          <w:trHeight w:val="272"/>
          <w:jc w:val="center"/>
        </w:trPr>
        <w:tc>
          <w:tcPr>
            <w:tcW w:w="2013" w:type="dxa"/>
          </w:tcPr>
          <w:p w14:paraId="4882C4CC" w14:textId="77777777" w:rsidR="00123A58" w:rsidRPr="0062778D" w:rsidRDefault="00123A58" w:rsidP="00C83E7F">
            <w:pPr>
              <w:keepNext/>
              <w:keepLines/>
              <w:tabs>
                <w:tab w:val="left" w:pos="790"/>
              </w:tabs>
              <w:spacing w:line="260" w:lineRule="exact"/>
              <w:jc w:val="both"/>
            </w:pPr>
            <w:r w:rsidRPr="0062778D">
              <w:tab/>
              <w:t>Q2</w:t>
            </w:r>
          </w:p>
        </w:tc>
        <w:tc>
          <w:tcPr>
            <w:tcW w:w="1598" w:type="dxa"/>
          </w:tcPr>
          <w:p w14:paraId="5BC4954F" w14:textId="77777777" w:rsidR="00123A58" w:rsidRPr="00D87594" w:rsidRDefault="00123A58" w:rsidP="00C83E7F">
            <w:pPr>
              <w:keepNext/>
              <w:keepLines/>
              <w:tabs>
                <w:tab w:val="decimal" w:pos="347"/>
              </w:tabs>
              <w:spacing w:line="260" w:lineRule="exact"/>
              <w:jc w:val="center"/>
            </w:pPr>
            <w:r>
              <w:t>12.5</w:t>
            </w:r>
          </w:p>
        </w:tc>
        <w:tc>
          <w:tcPr>
            <w:tcW w:w="1134" w:type="dxa"/>
          </w:tcPr>
          <w:p w14:paraId="1FA0D151" w14:textId="77777777" w:rsidR="00123A58" w:rsidRPr="00D87594" w:rsidRDefault="00123A58" w:rsidP="00C83E7F">
            <w:pPr>
              <w:keepNext/>
              <w:keepLines/>
              <w:tabs>
                <w:tab w:val="decimal" w:pos="287"/>
              </w:tabs>
              <w:spacing w:line="260" w:lineRule="exact"/>
              <w:jc w:val="center"/>
            </w:pPr>
            <w:r>
              <w:t>8.1</w:t>
            </w:r>
          </w:p>
        </w:tc>
        <w:tc>
          <w:tcPr>
            <w:tcW w:w="992" w:type="dxa"/>
          </w:tcPr>
          <w:p w14:paraId="778ACD3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2.2</w:t>
            </w:r>
            <w:r w:rsidRPr="00D87594">
              <w:rPr>
                <w:lang w:eastAsia="zh-HK"/>
              </w:rPr>
              <w:t>)</w:t>
            </w:r>
          </w:p>
        </w:tc>
        <w:tc>
          <w:tcPr>
            <w:tcW w:w="2088" w:type="dxa"/>
          </w:tcPr>
          <w:p w14:paraId="22EEB68E" w14:textId="77777777" w:rsidR="00123A58" w:rsidRPr="00D87594" w:rsidRDefault="00123A58" w:rsidP="00C83E7F">
            <w:pPr>
              <w:keepNext/>
              <w:keepLines/>
              <w:tabs>
                <w:tab w:val="decimal" w:pos="403"/>
              </w:tabs>
              <w:spacing w:line="260" w:lineRule="exact"/>
              <w:jc w:val="center"/>
            </w:pPr>
            <w:r>
              <w:t>3.9</w:t>
            </w:r>
          </w:p>
        </w:tc>
      </w:tr>
      <w:tr w:rsidR="00123A58" w:rsidRPr="0062778D" w14:paraId="0C5F0026" w14:textId="77777777" w:rsidTr="00C83E7F">
        <w:trPr>
          <w:cantSplit/>
          <w:trHeight w:val="272"/>
          <w:jc w:val="center"/>
        </w:trPr>
        <w:tc>
          <w:tcPr>
            <w:tcW w:w="2013" w:type="dxa"/>
          </w:tcPr>
          <w:p w14:paraId="79511FFE" w14:textId="77777777" w:rsidR="00123A58" w:rsidRPr="0062778D" w:rsidRDefault="00123A58" w:rsidP="00C83E7F">
            <w:pPr>
              <w:keepNext/>
              <w:keepLines/>
              <w:tabs>
                <w:tab w:val="left" w:pos="790"/>
              </w:tabs>
              <w:spacing w:line="260" w:lineRule="exact"/>
              <w:jc w:val="both"/>
            </w:pPr>
            <w:r w:rsidRPr="0062778D">
              <w:tab/>
              <w:t>Q3</w:t>
            </w:r>
          </w:p>
        </w:tc>
        <w:tc>
          <w:tcPr>
            <w:tcW w:w="1598" w:type="dxa"/>
          </w:tcPr>
          <w:p w14:paraId="384554D3" w14:textId="77777777" w:rsidR="00123A58" w:rsidRPr="00D87594" w:rsidRDefault="00123A58" w:rsidP="00C83E7F">
            <w:pPr>
              <w:keepNext/>
              <w:keepLines/>
              <w:tabs>
                <w:tab w:val="decimal" w:pos="347"/>
              </w:tabs>
              <w:spacing w:line="260" w:lineRule="exact"/>
              <w:jc w:val="center"/>
            </w:pPr>
            <w:r>
              <w:t>8.0</w:t>
            </w:r>
          </w:p>
        </w:tc>
        <w:tc>
          <w:tcPr>
            <w:tcW w:w="1134" w:type="dxa"/>
          </w:tcPr>
          <w:p w14:paraId="56D3FEBD" w14:textId="77777777" w:rsidR="00123A58" w:rsidRPr="00D87594" w:rsidRDefault="00123A58" w:rsidP="00C83E7F">
            <w:pPr>
              <w:keepNext/>
              <w:keepLines/>
              <w:tabs>
                <w:tab w:val="decimal" w:pos="287"/>
              </w:tabs>
              <w:spacing w:line="260" w:lineRule="exact"/>
              <w:jc w:val="center"/>
            </w:pPr>
            <w:r>
              <w:t>4.2</w:t>
            </w:r>
          </w:p>
        </w:tc>
        <w:tc>
          <w:tcPr>
            <w:tcW w:w="992" w:type="dxa"/>
          </w:tcPr>
          <w:p w14:paraId="1DE07B9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-1.3</w:t>
            </w:r>
            <w:r w:rsidRPr="00D87594">
              <w:rPr>
                <w:lang w:eastAsia="zh-HK"/>
              </w:rPr>
              <w:t>)</w:t>
            </w:r>
          </w:p>
        </w:tc>
        <w:tc>
          <w:tcPr>
            <w:tcW w:w="2088" w:type="dxa"/>
          </w:tcPr>
          <w:p w14:paraId="47F13A86" w14:textId="77777777" w:rsidR="00123A58" w:rsidRPr="00D87594" w:rsidRDefault="00123A58" w:rsidP="00C83E7F">
            <w:pPr>
              <w:keepNext/>
              <w:keepLines/>
              <w:tabs>
                <w:tab w:val="decimal" w:pos="403"/>
              </w:tabs>
              <w:spacing w:line="260" w:lineRule="exact"/>
              <w:jc w:val="center"/>
            </w:pPr>
            <w:r>
              <w:t>3.4</w:t>
            </w:r>
          </w:p>
        </w:tc>
      </w:tr>
      <w:tr w:rsidR="00123A58" w:rsidRPr="0062778D" w14:paraId="6B376476" w14:textId="77777777" w:rsidTr="00C83E7F">
        <w:trPr>
          <w:cantSplit/>
          <w:trHeight w:val="272"/>
          <w:jc w:val="center"/>
        </w:trPr>
        <w:tc>
          <w:tcPr>
            <w:tcW w:w="2013" w:type="dxa"/>
          </w:tcPr>
          <w:p w14:paraId="339560A3" w14:textId="77777777" w:rsidR="00123A58" w:rsidRPr="0062778D" w:rsidRDefault="00123A58" w:rsidP="00C83E7F">
            <w:pPr>
              <w:keepNext/>
              <w:keepLines/>
              <w:tabs>
                <w:tab w:val="left" w:pos="790"/>
              </w:tabs>
              <w:spacing w:line="260" w:lineRule="exact"/>
              <w:jc w:val="both"/>
            </w:pPr>
            <w:r w:rsidRPr="0062778D">
              <w:tab/>
              <w:t>Q4</w:t>
            </w:r>
          </w:p>
        </w:tc>
        <w:tc>
          <w:tcPr>
            <w:tcW w:w="1598" w:type="dxa"/>
          </w:tcPr>
          <w:p w14:paraId="04A914DA" w14:textId="77777777" w:rsidR="00123A58" w:rsidRPr="00D87594" w:rsidRDefault="00123A58" w:rsidP="00C83E7F">
            <w:pPr>
              <w:keepNext/>
              <w:keepLines/>
              <w:tabs>
                <w:tab w:val="decimal" w:pos="347"/>
              </w:tabs>
              <w:spacing w:line="260" w:lineRule="exact"/>
              <w:jc w:val="center"/>
              <w:rPr>
                <w:lang w:eastAsia="zh-HK"/>
              </w:rPr>
            </w:pPr>
            <w:r>
              <w:rPr>
                <w:lang w:eastAsia="zh-HK"/>
              </w:rPr>
              <w:t>3.5</w:t>
            </w:r>
          </w:p>
        </w:tc>
        <w:tc>
          <w:tcPr>
            <w:tcW w:w="1134" w:type="dxa"/>
          </w:tcPr>
          <w:p w14:paraId="6591952F" w14:textId="77777777" w:rsidR="00123A58" w:rsidRPr="00D87594" w:rsidRDefault="00123A58" w:rsidP="00C83E7F">
            <w:pPr>
              <w:keepNext/>
              <w:keepLines/>
              <w:tabs>
                <w:tab w:val="decimal" w:pos="287"/>
              </w:tabs>
              <w:spacing w:line="260" w:lineRule="exact"/>
              <w:jc w:val="center"/>
            </w:pPr>
            <w:r>
              <w:rPr>
                <w:lang w:eastAsia="zh-HK"/>
              </w:rPr>
              <w:t>0.7</w:t>
            </w:r>
          </w:p>
        </w:tc>
        <w:tc>
          <w:tcPr>
            <w:tcW w:w="992" w:type="dxa"/>
          </w:tcPr>
          <w:p w14:paraId="1D150970" w14:textId="77777777" w:rsidR="00123A58" w:rsidRPr="00D87594" w:rsidRDefault="00123A58" w:rsidP="00C83E7F">
            <w:pPr>
              <w:keepNext/>
              <w:keepLines/>
              <w:tabs>
                <w:tab w:val="decimal" w:pos="620"/>
              </w:tabs>
              <w:spacing w:line="260" w:lineRule="exact"/>
              <w:ind w:left="53"/>
              <w:jc w:val="both"/>
            </w:pPr>
            <w:r w:rsidRPr="00D87594">
              <w:rPr>
                <w:lang w:eastAsia="zh-HK"/>
              </w:rPr>
              <w:t>(</w:t>
            </w:r>
            <w:r>
              <w:rPr>
                <w:lang w:eastAsia="zh-HK"/>
              </w:rPr>
              <w:t>*</w:t>
            </w:r>
            <w:r w:rsidRPr="00D87594">
              <w:rPr>
                <w:lang w:eastAsia="zh-HK"/>
              </w:rPr>
              <w:t>)</w:t>
            </w:r>
          </w:p>
        </w:tc>
        <w:tc>
          <w:tcPr>
            <w:tcW w:w="2088" w:type="dxa"/>
          </w:tcPr>
          <w:p w14:paraId="4B17CD9A" w14:textId="77777777" w:rsidR="00123A58" w:rsidRPr="00D87594" w:rsidRDefault="00123A58" w:rsidP="00C83E7F">
            <w:pPr>
              <w:keepNext/>
              <w:keepLines/>
              <w:tabs>
                <w:tab w:val="decimal" w:pos="403"/>
              </w:tabs>
              <w:spacing w:line="260" w:lineRule="exact"/>
              <w:jc w:val="center"/>
            </w:pPr>
            <w:r>
              <w:rPr>
                <w:rFonts w:hint="eastAsia"/>
              </w:rPr>
              <w:t>2.9</w:t>
            </w:r>
          </w:p>
        </w:tc>
      </w:tr>
      <w:tr w:rsidR="00123A58" w:rsidRPr="0062778D" w14:paraId="594CD453" w14:textId="77777777" w:rsidTr="00C83E7F">
        <w:trPr>
          <w:cantSplit/>
          <w:trHeight w:val="272"/>
          <w:jc w:val="center"/>
        </w:trPr>
        <w:tc>
          <w:tcPr>
            <w:tcW w:w="2013" w:type="dxa"/>
          </w:tcPr>
          <w:p w14:paraId="4715E2B3" w14:textId="77777777" w:rsidR="00123A58" w:rsidRPr="0062778D" w:rsidRDefault="00123A58" w:rsidP="00C83E7F">
            <w:pPr>
              <w:keepNext/>
              <w:keepLines/>
              <w:tabs>
                <w:tab w:val="left" w:pos="790"/>
              </w:tabs>
              <w:spacing w:line="260" w:lineRule="exact"/>
              <w:jc w:val="both"/>
            </w:pPr>
          </w:p>
        </w:tc>
        <w:tc>
          <w:tcPr>
            <w:tcW w:w="1598" w:type="dxa"/>
          </w:tcPr>
          <w:p w14:paraId="2DA6D328"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73FF6F1C"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29566D40"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73A9EF43" w14:textId="77777777" w:rsidR="00123A58" w:rsidRPr="003808FE" w:rsidRDefault="00123A58" w:rsidP="00C83E7F">
            <w:pPr>
              <w:keepNext/>
              <w:keepLines/>
              <w:tabs>
                <w:tab w:val="decimal" w:pos="403"/>
              </w:tabs>
              <w:spacing w:line="260" w:lineRule="exact"/>
              <w:jc w:val="center"/>
              <w:rPr>
                <w:highlight w:val="yellow"/>
              </w:rPr>
            </w:pPr>
          </w:p>
        </w:tc>
      </w:tr>
      <w:tr w:rsidR="00123A58" w:rsidRPr="0062778D" w14:paraId="192CE83B" w14:textId="77777777" w:rsidTr="00C83E7F">
        <w:trPr>
          <w:cantSplit/>
          <w:trHeight w:val="272"/>
          <w:jc w:val="center"/>
        </w:trPr>
        <w:tc>
          <w:tcPr>
            <w:tcW w:w="2013" w:type="dxa"/>
          </w:tcPr>
          <w:p w14:paraId="737A5F12" w14:textId="77777777" w:rsidR="00123A58" w:rsidRPr="00194772" w:rsidRDefault="00123A58" w:rsidP="00C83E7F">
            <w:pPr>
              <w:keepNext/>
              <w:keepLines/>
              <w:tabs>
                <w:tab w:val="left" w:pos="790"/>
              </w:tabs>
              <w:spacing w:line="260" w:lineRule="exact"/>
              <w:jc w:val="both"/>
            </w:pPr>
            <w:r w:rsidRPr="00194772">
              <w:t>2025</w:t>
            </w:r>
            <w:r w:rsidRPr="00194772">
              <w:tab/>
              <w:t>Q1</w:t>
            </w:r>
            <w:r w:rsidRPr="00194772" w:rsidDel="00A46AB3">
              <w:t xml:space="preserve"> </w:t>
            </w:r>
          </w:p>
        </w:tc>
        <w:tc>
          <w:tcPr>
            <w:tcW w:w="1598" w:type="dxa"/>
          </w:tcPr>
          <w:p w14:paraId="389E3D76" w14:textId="77777777" w:rsidR="00123A58" w:rsidRPr="00194772" w:rsidRDefault="00123A58" w:rsidP="00C83E7F">
            <w:pPr>
              <w:keepNext/>
              <w:keepLines/>
              <w:tabs>
                <w:tab w:val="decimal" w:pos="347"/>
              </w:tabs>
              <w:spacing w:line="260" w:lineRule="exact"/>
              <w:jc w:val="center"/>
              <w:rPr>
                <w:lang w:eastAsia="zh-HK"/>
              </w:rPr>
            </w:pPr>
            <w:r>
              <w:rPr>
                <w:lang w:eastAsia="zh-HK"/>
              </w:rPr>
              <w:t>10.9</w:t>
            </w:r>
          </w:p>
        </w:tc>
        <w:tc>
          <w:tcPr>
            <w:tcW w:w="1134" w:type="dxa"/>
            <w:shd w:val="clear" w:color="auto" w:fill="auto"/>
          </w:tcPr>
          <w:p w14:paraId="29A89E87" w14:textId="77777777" w:rsidR="00123A58" w:rsidRPr="00194772" w:rsidRDefault="00123A58" w:rsidP="00C83E7F">
            <w:pPr>
              <w:keepNext/>
              <w:keepLines/>
              <w:tabs>
                <w:tab w:val="decimal" w:pos="287"/>
              </w:tabs>
              <w:spacing w:line="260" w:lineRule="exact"/>
              <w:jc w:val="center"/>
              <w:rPr>
                <w:lang w:eastAsia="zh-HK"/>
              </w:rPr>
            </w:pPr>
            <w:r>
              <w:rPr>
                <w:lang w:eastAsia="zh-HK"/>
              </w:rPr>
              <w:t>8.7</w:t>
            </w:r>
          </w:p>
        </w:tc>
        <w:tc>
          <w:tcPr>
            <w:tcW w:w="992" w:type="dxa"/>
            <w:shd w:val="clear" w:color="auto" w:fill="auto"/>
          </w:tcPr>
          <w:p w14:paraId="44D65F88" w14:textId="77777777" w:rsidR="00123A58" w:rsidRPr="00194772" w:rsidRDefault="00123A58" w:rsidP="00C83E7F">
            <w:pPr>
              <w:keepNext/>
              <w:keepLines/>
              <w:tabs>
                <w:tab w:val="decimal" w:pos="347"/>
              </w:tabs>
              <w:spacing w:line="260" w:lineRule="exact"/>
              <w:jc w:val="both"/>
              <w:rPr>
                <w:lang w:eastAsia="zh-HK"/>
              </w:rPr>
            </w:pPr>
            <w:r w:rsidRPr="00194772">
              <w:rPr>
                <w:lang w:eastAsia="zh-HK"/>
              </w:rPr>
              <w:t>(</w:t>
            </w:r>
            <w:r>
              <w:rPr>
                <w:lang w:eastAsia="zh-HK"/>
              </w:rPr>
              <w:t>9.5</w:t>
            </w:r>
            <w:r w:rsidRPr="00194772">
              <w:rPr>
                <w:lang w:eastAsia="zh-HK"/>
              </w:rPr>
              <w:t>)</w:t>
            </w:r>
          </w:p>
        </w:tc>
        <w:tc>
          <w:tcPr>
            <w:tcW w:w="2088" w:type="dxa"/>
            <w:shd w:val="clear" w:color="auto" w:fill="auto"/>
          </w:tcPr>
          <w:p w14:paraId="6F1BD0FA" w14:textId="77777777" w:rsidR="00123A58" w:rsidRPr="00D87594" w:rsidRDefault="00123A58" w:rsidP="00C83E7F">
            <w:pPr>
              <w:keepNext/>
              <w:keepLines/>
              <w:tabs>
                <w:tab w:val="decimal" w:pos="403"/>
              </w:tabs>
              <w:spacing w:line="260" w:lineRule="exact"/>
              <w:jc w:val="center"/>
            </w:pPr>
            <w:r>
              <w:rPr>
                <w:rFonts w:hint="eastAsia"/>
              </w:rPr>
              <w:t>1.9</w:t>
            </w:r>
          </w:p>
        </w:tc>
      </w:tr>
      <w:tr w:rsidR="00391347" w:rsidRPr="0062778D" w14:paraId="44BD27F4" w14:textId="77777777" w:rsidTr="00C83E7F">
        <w:trPr>
          <w:cantSplit/>
          <w:trHeight w:val="272"/>
          <w:jc w:val="center"/>
        </w:trPr>
        <w:tc>
          <w:tcPr>
            <w:tcW w:w="2013" w:type="dxa"/>
          </w:tcPr>
          <w:p w14:paraId="7BE1E995" w14:textId="30CEC745" w:rsidR="00391347" w:rsidRPr="00194772" w:rsidRDefault="00391347" w:rsidP="00C83E7F">
            <w:pPr>
              <w:keepNext/>
              <w:keepLines/>
              <w:tabs>
                <w:tab w:val="left" w:pos="790"/>
              </w:tabs>
              <w:spacing w:line="260" w:lineRule="exact"/>
              <w:jc w:val="both"/>
            </w:pPr>
            <w:r w:rsidRPr="0062778D">
              <w:tab/>
              <w:t>Q</w:t>
            </w:r>
            <w:r>
              <w:t>2</w:t>
            </w:r>
          </w:p>
        </w:tc>
        <w:tc>
          <w:tcPr>
            <w:tcW w:w="1598" w:type="dxa"/>
          </w:tcPr>
          <w:p w14:paraId="24CB03D3" w14:textId="0F16FDB8" w:rsidR="00391347" w:rsidRDefault="00391347" w:rsidP="00C83E7F">
            <w:pPr>
              <w:keepNext/>
              <w:keepLines/>
              <w:tabs>
                <w:tab w:val="decimal" w:pos="347"/>
              </w:tabs>
              <w:spacing w:line="260" w:lineRule="exact"/>
              <w:jc w:val="center"/>
              <w:rPr>
                <w:lang w:eastAsia="zh-HK"/>
              </w:rPr>
            </w:pPr>
            <w:r>
              <w:rPr>
                <w:lang w:eastAsia="zh-HK"/>
              </w:rPr>
              <w:t>1</w:t>
            </w:r>
            <w:r w:rsidR="00D43F1C">
              <w:rPr>
                <w:lang w:eastAsia="zh-HK"/>
              </w:rPr>
              <w:t>4</w:t>
            </w:r>
            <w:r>
              <w:rPr>
                <w:lang w:eastAsia="zh-HK"/>
              </w:rPr>
              <w:t>.</w:t>
            </w:r>
            <w:r w:rsidR="00D43F1C">
              <w:rPr>
                <w:lang w:eastAsia="zh-HK"/>
              </w:rPr>
              <w:t>0</w:t>
            </w:r>
          </w:p>
        </w:tc>
        <w:tc>
          <w:tcPr>
            <w:tcW w:w="1134" w:type="dxa"/>
            <w:shd w:val="clear" w:color="auto" w:fill="auto"/>
          </w:tcPr>
          <w:p w14:paraId="1B5E7186" w14:textId="56E8C5CD" w:rsidR="00391347" w:rsidRDefault="00D43F1C" w:rsidP="00C83E7F">
            <w:pPr>
              <w:keepNext/>
              <w:keepLines/>
              <w:tabs>
                <w:tab w:val="decimal" w:pos="287"/>
              </w:tabs>
              <w:spacing w:line="260" w:lineRule="exact"/>
              <w:jc w:val="center"/>
              <w:rPr>
                <w:lang w:eastAsia="zh-HK"/>
              </w:rPr>
            </w:pPr>
            <w:r>
              <w:rPr>
                <w:lang w:eastAsia="zh-HK"/>
              </w:rPr>
              <w:t>1</w:t>
            </w:r>
            <w:r w:rsidR="00806E50">
              <w:rPr>
                <w:rFonts w:hint="eastAsia"/>
                <w:lang w:eastAsia="zh-HK"/>
              </w:rPr>
              <w:t>2</w:t>
            </w:r>
            <w:r w:rsidR="00391347">
              <w:rPr>
                <w:lang w:eastAsia="zh-HK"/>
              </w:rPr>
              <w:t>.</w:t>
            </w:r>
            <w:r w:rsidR="00806E50">
              <w:rPr>
                <w:rFonts w:hint="eastAsia"/>
                <w:lang w:eastAsia="zh-HK"/>
              </w:rPr>
              <w:t>0</w:t>
            </w:r>
          </w:p>
        </w:tc>
        <w:tc>
          <w:tcPr>
            <w:tcW w:w="992" w:type="dxa"/>
            <w:shd w:val="clear" w:color="auto" w:fill="auto"/>
          </w:tcPr>
          <w:p w14:paraId="1135DA2E" w14:textId="780C248A" w:rsidR="00391347" w:rsidRPr="00194772" w:rsidRDefault="00391347" w:rsidP="00C83E7F">
            <w:pPr>
              <w:keepNext/>
              <w:keepLines/>
              <w:tabs>
                <w:tab w:val="decimal" w:pos="347"/>
              </w:tabs>
              <w:spacing w:line="260" w:lineRule="exact"/>
              <w:jc w:val="both"/>
              <w:rPr>
                <w:lang w:eastAsia="zh-HK"/>
              </w:rPr>
            </w:pPr>
            <w:r>
              <w:rPr>
                <w:lang w:eastAsia="zh-HK"/>
              </w:rPr>
              <w:t>(</w:t>
            </w:r>
            <w:r w:rsidR="00806E50">
              <w:rPr>
                <w:rFonts w:hint="eastAsia"/>
                <w:lang w:eastAsia="zh-HK"/>
              </w:rPr>
              <w:t>3</w:t>
            </w:r>
            <w:r w:rsidR="00846456">
              <w:rPr>
                <w:lang w:eastAsia="zh-HK"/>
              </w:rPr>
              <w:t>.</w:t>
            </w:r>
            <w:r w:rsidR="00806E50">
              <w:rPr>
                <w:rFonts w:hint="eastAsia"/>
                <w:lang w:eastAsia="zh-HK"/>
              </w:rPr>
              <w:t>4</w:t>
            </w:r>
            <w:r>
              <w:rPr>
                <w:lang w:eastAsia="zh-HK"/>
              </w:rPr>
              <w:t>)</w:t>
            </w:r>
          </w:p>
        </w:tc>
        <w:tc>
          <w:tcPr>
            <w:tcW w:w="2088" w:type="dxa"/>
            <w:shd w:val="clear" w:color="auto" w:fill="auto"/>
          </w:tcPr>
          <w:p w14:paraId="59FFC889" w14:textId="29B94811" w:rsidR="00391347" w:rsidRDefault="00806E50" w:rsidP="00C83E7F">
            <w:pPr>
              <w:keepNext/>
              <w:keepLines/>
              <w:tabs>
                <w:tab w:val="decimal" w:pos="403"/>
              </w:tabs>
              <w:spacing w:line="260" w:lineRule="exact"/>
              <w:jc w:val="center"/>
            </w:pPr>
            <w:r>
              <w:rPr>
                <w:rFonts w:hint="eastAsia"/>
              </w:rPr>
              <w:t>1</w:t>
            </w:r>
            <w:r w:rsidR="00846456">
              <w:t>.</w:t>
            </w:r>
            <w:r>
              <w:rPr>
                <w:rFonts w:hint="eastAsia"/>
              </w:rPr>
              <w:t>9</w:t>
            </w:r>
          </w:p>
        </w:tc>
      </w:tr>
    </w:tbl>
    <w:p w14:paraId="6AD5D801" w14:textId="77777777" w:rsidR="00123A58" w:rsidRPr="0062778D" w:rsidRDefault="00123A58" w:rsidP="00123A58">
      <w:pPr>
        <w:pStyle w:val="NormalIndent"/>
        <w:keepNext/>
        <w:keepLines/>
        <w:tabs>
          <w:tab w:val="left" w:pos="720"/>
        </w:tabs>
        <w:spacing w:line="250" w:lineRule="exact"/>
        <w:ind w:left="1260" w:hanging="1260"/>
        <w:rPr>
          <w:sz w:val="24"/>
          <w:szCs w:val="24"/>
          <w:lang w:val="en-GB"/>
        </w:rPr>
      </w:pPr>
    </w:p>
    <w:p w14:paraId="28CC7D86" w14:textId="77777777" w:rsidR="00123A58" w:rsidRPr="00B67ADE" w:rsidRDefault="00123A58" w:rsidP="00123A58">
      <w:pPr>
        <w:pStyle w:val="NormalIndent"/>
        <w:keepNext/>
        <w:keepLines/>
        <w:tabs>
          <w:tab w:val="left" w:pos="720"/>
        </w:tabs>
        <w:spacing w:line="250" w:lineRule="exact"/>
        <w:ind w:left="1260" w:hanging="1260"/>
        <w:rPr>
          <w:sz w:val="22"/>
          <w:szCs w:val="22"/>
          <w:lang w:val="en-GB"/>
        </w:rPr>
      </w:pPr>
      <w:proofErr w:type="gramStart"/>
      <w:r>
        <w:rPr>
          <w:sz w:val="22"/>
          <w:szCs w:val="22"/>
          <w:lang w:val="en-GB"/>
        </w:rPr>
        <w:t>Notes :</w:t>
      </w:r>
      <w:proofErr w:type="gramEnd"/>
      <w:r>
        <w:rPr>
          <w:sz w:val="22"/>
          <w:szCs w:val="22"/>
          <w:lang w:val="en-GB"/>
        </w:rPr>
        <w:tab/>
        <w:t>(  )</w:t>
      </w:r>
      <w:r w:rsidRPr="00B67ADE">
        <w:rPr>
          <w:sz w:val="22"/>
          <w:szCs w:val="22"/>
          <w:lang w:val="en-GB"/>
        </w:rPr>
        <w:tab/>
        <w:t>Seasonally adjusted quarter-to-quarter rate of change.</w:t>
      </w:r>
    </w:p>
    <w:p w14:paraId="47F84B88" w14:textId="77777777" w:rsidR="00123A58" w:rsidRPr="00B67ADE" w:rsidRDefault="00123A58" w:rsidP="00123A58">
      <w:pPr>
        <w:pStyle w:val="NormalIndent"/>
        <w:keepNext/>
        <w:keepLines/>
        <w:tabs>
          <w:tab w:val="left" w:pos="720"/>
        </w:tabs>
        <w:spacing w:line="250" w:lineRule="exact"/>
        <w:ind w:left="0"/>
        <w:rPr>
          <w:sz w:val="22"/>
          <w:szCs w:val="22"/>
          <w:lang w:val="en-GB" w:eastAsia="zh-HK"/>
        </w:rPr>
      </w:pPr>
    </w:p>
    <w:p w14:paraId="1B766FAF" w14:textId="77777777" w:rsidR="00123A58" w:rsidRDefault="00123A58" w:rsidP="00123A58">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Pr>
          <w:sz w:val="22"/>
          <w:szCs w:val="22"/>
          <w:lang w:val="en-GB" w:eastAsia="zh-HK"/>
        </w:rPr>
        <w:t>le </w:t>
      </w:r>
      <w:r w:rsidRPr="00B67ADE">
        <w:rPr>
          <w:sz w:val="22"/>
          <w:szCs w:val="22"/>
          <w:lang w:val="en-GB" w:eastAsia="zh-HK"/>
        </w:rPr>
        <w:t xml:space="preserve">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29A746CC" w14:textId="77777777" w:rsidR="00123A58" w:rsidRPr="00123A58" w:rsidRDefault="00123A58" w:rsidP="00123A58">
      <w:pPr>
        <w:pStyle w:val="NormalIndent"/>
        <w:keepNext/>
        <w:keepLines/>
        <w:tabs>
          <w:tab w:val="left" w:pos="720"/>
        </w:tabs>
        <w:spacing w:line="250" w:lineRule="exact"/>
        <w:ind w:left="0"/>
        <w:rPr>
          <w:sz w:val="22"/>
          <w:szCs w:val="22"/>
          <w:lang w:val="en-GB" w:eastAsia="zh-HK"/>
        </w:rPr>
      </w:pPr>
    </w:p>
    <w:p w14:paraId="1153B8C2" w14:textId="77777777" w:rsidR="00123A58" w:rsidRDefault="00123A58" w:rsidP="00123A58">
      <w:pPr>
        <w:keepNext/>
        <w:keepLines/>
        <w:tabs>
          <w:tab w:val="left" w:pos="709"/>
        </w:tabs>
        <w:spacing w:afterLines="50" w:after="180" w:line="250" w:lineRule="exact"/>
        <w:ind w:left="1276" w:hanging="1276"/>
        <w:jc w:val="both"/>
        <w:rPr>
          <w:kern w:val="0"/>
          <w:sz w:val="22"/>
          <w:szCs w:val="22"/>
        </w:rPr>
      </w:pPr>
      <w:r w:rsidRPr="00BE40F4">
        <w:rPr>
          <w:kern w:val="0"/>
          <w:sz w:val="22"/>
          <w:szCs w:val="22"/>
        </w:rPr>
        <w:tab/>
        <w:t>(*)</w:t>
      </w:r>
      <w:r w:rsidRPr="00BE40F4">
        <w:rPr>
          <w:kern w:val="0"/>
          <w:sz w:val="22"/>
          <w:szCs w:val="22"/>
        </w:rPr>
        <w:tab/>
        <w:t>Change of less than ±0.05%.</w:t>
      </w:r>
    </w:p>
    <w:p w14:paraId="0F0CFAB6" w14:textId="07206A59" w:rsidR="00E84D24" w:rsidRDefault="00E84D24">
      <w:pPr>
        <w:widowControl/>
        <w:rPr>
          <w:kern w:val="0"/>
          <w:sz w:val="28"/>
          <w:szCs w:val="21"/>
        </w:rPr>
      </w:pPr>
      <w:r>
        <w:rPr>
          <w:sz w:val="28"/>
          <w:szCs w:val="21"/>
        </w:rPr>
        <w:br w:type="page"/>
      </w:r>
    </w:p>
    <w:p w14:paraId="36CD864E" w14:textId="346AC486" w:rsidR="00A50689" w:rsidRDefault="009304B2" w:rsidP="002C0766">
      <w:pPr>
        <w:pStyle w:val="BodyTextIndent"/>
        <w:tabs>
          <w:tab w:val="clear" w:pos="810"/>
          <w:tab w:val="clear" w:pos="1440"/>
          <w:tab w:val="clear" w:pos="9360"/>
          <w:tab w:val="left" w:pos="6336"/>
          <w:tab w:val="left" w:pos="8931"/>
        </w:tabs>
        <w:spacing w:line="240" w:lineRule="auto"/>
        <w:ind w:right="96"/>
        <w:rPr>
          <w:sz w:val="28"/>
          <w:szCs w:val="21"/>
          <w:lang w:val="en-GB"/>
        </w:rPr>
      </w:pPr>
      <w:r w:rsidRPr="009304B2">
        <w:rPr>
          <w:noProof/>
        </w:rPr>
        <w:lastRenderedPageBreak/>
        <w:drawing>
          <wp:inline distT="0" distB="0" distL="0" distR="0" wp14:anchorId="32E43D90" wp14:editId="333FA6BA">
            <wp:extent cx="5731510" cy="35204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520440"/>
                    </a:xfrm>
                    <a:prstGeom prst="rect">
                      <a:avLst/>
                    </a:prstGeom>
                    <a:noFill/>
                    <a:ln>
                      <a:noFill/>
                    </a:ln>
                  </pic:spPr>
                </pic:pic>
              </a:graphicData>
            </a:graphic>
          </wp:inline>
        </w:drawing>
      </w:r>
    </w:p>
    <w:p w14:paraId="6CB5992F" w14:textId="2022AE23" w:rsidR="009618F6" w:rsidRPr="007F483A"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proofErr w:type="gramStart"/>
      <w:r w:rsidRPr="00B67ADE">
        <w:rPr>
          <w:sz w:val="22"/>
          <w:szCs w:val="22"/>
          <w:lang w:val="en-GB"/>
        </w:rPr>
        <w:t>Notes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5DE6C39F"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52DB95BE"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0A2B96">
        <w:rPr>
          <w:sz w:val="22"/>
          <w:szCs w:val="22"/>
          <w:lang w:val="en-GB"/>
        </w:rPr>
        <w:t>second</w:t>
      </w:r>
      <w:r w:rsidR="000A2B96" w:rsidRPr="00AC0FF2">
        <w:rPr>
          <w:sz w:val="22"/>
          <w:szCs w:val="22"/>
          <w:lang w:val="en-GB"/>
        </w:rPr>
        <w:t xml:space="preserve"> </w:t>
      </w:r>
      <w:r w:rsidRPr="00AC0FF2">
        <w:rPr>
          <w:sz w:val="22"/>
          <w:szCs w:val="22"/>
          <w:lang w:val="en-GB"/>
        </w:rPr>
        <w:t>quarter of 202</w:t>
      </w:r>
      <w:r w:rsidR="008C5D51">
        <w:rPr>
          <w:sz w:val="22"/>
          <w:szCs w:val="22"/>
          <w:lang w:val="en-GB"/>
        </w:rPr>
        <w:t>5</w:t>
      </w:r>
      <w:r w:rsidRPr="00AC0FF2">
        <w:rPr>
          <w:sz w:val="22"/>
          <w:szCs w:val="22"/>
          <w:lang w:val="en-GB"/>
        </w:rPr>
        <w:t xml:space="preserve"> is based on information available as of early </w:t>
      </w:r>
      <w:r w:rsidR="000A2B96">
        <w:rPr>
          <w:sz w:val="22"/>
          <w:szCs w:val="22"/>
          <w:lang w:val="en-GB" w:eastAsia="zh-HK"/>
        </w:rPr>
        <w:t xml:space="preserve">August </w:t>
      </w:r>
      <w:r w:rsidR="008C5D51">
        <w:rPr>
          <w:sz w:val="22"/>
          <w:szCs w:val="22"/>
          <w:lang w:val="en-GB" w:eastAsia="zh-HK"/>
        </w:rPr>
        <w:t>2025</w:t>
      </w:r>
      <w:r w:rsidRPr="00AC0FF2">
        <w:rPr>
          <w:sz w:val="22"/>
          <w:szCs w:val="22"/>
          <w:lang w:val="en-GB"/>
        </w:rPr>
        <w:t>.</w:t>
      </w:r>
    </w:p>
    <w:p w14:paraId="380D991E" w14:textId="0DEF171B" w:rsidR="00097F47" w:rsidRDefault="00097F47" w:rsidP="001D35F3">
      <w:pPr>
        <w:pStyle w:val="BodyTextIndent"/>
        <w:tabs>
          <w:tab w:val="clear" w:pos="810"/>
          <w:tab w:val="clear" w:pos="1440"/>
          <w:tab w:val="clear" w:pos="9360"/>
          <w:tab w:val="left" w:pos="6336"/>
          <w:tab w:val="left" w:pos="8931"/>
        </w:tabs>
        <w:spacing w:line="240" w:lineRule="exact"/>
        <w:ind w:right="96"/>
        <w:jc w:val="left"/>
        <w:rPr>
          <w:sz w:val="21"/>
          <w:szCs w:val="21"/>
          <w:lang w:val="en-GB"/>
        </w:rPr>
      </w:pPr>
    </w:p>
    <w:p w14:paraId="78192627" w14:textId="2768107D" w:rsidR="00585904" w:rsidRPr="002B7C81" w:rsidRDefault="00716344" w:rsidP="00716344">
      <w:pPr>
        <w:pStyle w:val="BodyTextIndent"/>
        <w:keepNext/>
        <w:keepLines/>
        <w:tabs>
          <w:tab w:val="clear" w:pos="810"/>
          <w:tab w:val="clear" w:pos="1440"/>
          <w:tab w:val="clear" w:pos="9360"/>
          <w:tab w:val="left" w:pos="6336"/>
          <w:tab w:val="left" w:pos="8931"/>
        </w:tabs>
        <w:spacing w:line="240" w:lineRule="auto"/>
        <w:ind w:right="96"/>
        <w:jc w:val="center"/>
        <w:rPr>
          <w:noProof/>
          <w:sz w:val="21"/>
          <w:szCs w:val="21"/>
          <w:lang w:val="en-GB"/>
        </w:rPr>
      </w:pPr>
      <w:r w:rsidRPr="00716344">
        <w:rPr>
          <w:noProof/>
        </w:rPr>
        <w:lastRenderedPageBreak/>
        <w:drawing>
          <wp:inline distT="0" distB="0" distL="0" distR="0" wp14:anchorId="3F4E096E" wp14:editId="5F54693F">
            <wp:extent cx="5787819" cy="3769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7819" cy="3769200"/>
                    </a:xfrm>
                    <a:prstGeom prst="rect">
                      <a:avLst/>
                    </a:prstGeom>
                    <a:noFill/>
                    <a:ln>
                      <a:noFill/>
                    </a:ln>
                  </pic:spPr>
                </pic:pic>
              </a:graphicData>
            </a:graphic>
          </wp:inline>
        </w:drawing>
      </w:r>
    </w:p>
    <w:p w14:paraId="455E0079" w14:textId="53369A95"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proofErr w:type="gramStart"/>
      <w:r w:rsidRPr="00B67ADE">
        <w:rPr>
          <w:sz w:val="21"/>
          <w:szCs w:val="21"/>
          <w:lang w:val="en-GB"/>
        </w:rPr>
        <w:t>Notes :</w:t>
      </w:r>
      <w:proofErr w:type="gramEnd"/>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6C50C3">
        <w:rPr>
          <w:rFonts w:hint="eastAsia"/>
          <w:sz w:val="21"/>
          <w:szCs w:val="21"/>
          <w:lang w:val="en-GB"/>
        </w:rPr>
        <w:t>second</w:t>
      </w:r>
      <w:r w:rsidR="006C50C3" w:rsidRPr="00AC0FF2">
        <w:rPr>
          <w:sz w:val="21"/>
          <w:szCs w:val="21"/>
          <w:lang w:val="en-GB"/>
        </w:rPr>
        <w:t xml:space="preserve"> </w:t>
      </w:r>
      <w:r w:rsidR="000372C0" w:rsidRPr="00AC0FF2">
        <w:rPr>
          <w:sz w:val="21"/>
          <w:szCs w:val="21"/>
          <w:lang w:val="en-GB"/>
        </w:rPr>
        <w:t>quarter of 202</w:t>
      </w:r>
      <w:r w:rsidR="008C5D51">
        <w:rPr>
          <w:sz w:val="21"/>
          <w:szCs w:val="21"/>
          <w:lang w:val="en-GB"/>
        </w:rPr>
        <w:t>5</w:t>
      </w:r>
      <w:r w:rsidR="000372C0" w:rsidRPr="00AC0FF2">
        <w:rPr>
          <w:sz w:val="21"/>
          <w:szCs w:val="21"/>
          <w:lang w:val="en-GB"/>
        </w:rPr>
        <w:t xml:space="preserve"> are based on the information available as of early </w:t>
      </w:r>
      <w:r w:rsidR="006C50C3">
        <w:rPr>
          <w:rFonts w:hint="eastAsia"/>
          <w:sz w:val="21"/>
          <w:szCs w:val="21"/>
          <w:lang w:val="en-GB"/>
        </w:rPr>
        <w:t>August</w:t>
      </w:r>
      <w:r w:rsidR="006C50C3">
        <w:rPr>
          <w:sz w:val="21"/>
          <w:szCs w:val="21"/>
          <w:lang w:val="en-GB"/>
        </w:rPr>
        <w:t xml:space="preserve"> </w:t>
      </w:r>
      <w:r w:rsidR="008C5D51">
        <w:rPr>
          <w:sz w:val="21"/>
          <w:szCs w:val="21"/>
          <w:lang w:val="en-GB"/>
        </w:rPr>
        <w:t>2025</w:t>
      </w:r>
      <w:r w:rsidR="004B6709" w:rsidRPr="00AC0FF2">
        <w:rPr>
          <w:sz w:val="21"/>
          <w:szCs w:val="21"/>
          <w:lang w:val="en-GB"/>
        </w:rPr>
        <w:t>.</w:t>
      </w:r>
      <w:r w:rsidR="00101909">
        <w:rPr>
          <w:sz w:val="21"/>
          <w:szCs w:val="21"/>
          <w:lang w:val="en-GB"/>
        </w:rPr>
        <w:br/>
      </w:r>
    </w:p>
    <w:p w14:paraId="7F36D781" w14:textId="0E5E36AC"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Mainland China, Hong Kong, Singapore, Korea, Taiwan, Japan, Indonesia, Malaysia, Thailand</w:t>
      </w:r>
      <w:r w:rsidR="008C5D51">
        <w:rPr>
          <w:sz w:val="21"/>
          <w:szCs w:val="21"/>
          <w:lang w:val="en-GB"/>
        </w:rPr>
        <w:t>, Vietnam</w:t>
      </w:r>
      <w:r w:rsidR="006F21B4" w:rsidRPr="00B67ADE">
        <w:rPr>
          <w:sz w:val="21"/>
          <w:szCs w:val="21"/>
          <w:lang w:val="en-GB"/>
        </w:rPr>
        <w:t xml:space="preserve"> and the Philippines.</w:t>
      </w:r>
      <w:r w:rsidR="00101909">
        <w:rPr>
          <w:sz w:val="21"/>
          <w:szCs w:val="21"/>
          <w:lang w:val="en-GB"/>
        </w:rPr>
        <w:br/>
      </w:r>
    </w:p>
    <w:p w14:paraId="75F67502" w14:textId="3D6DFAB8"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 xml:space="preserve">exports to the other </w:t>
      </w:r>
      <w:r w:rsidR="00863394">
        <w:rPr>
          <w:rFonts w:hint="eastAsia"/>
          <w:sz w:val="21"/>
          <w:szCs w:val="21"/>
          <w:lang w:val="en-GB"/>
        </w:rPr>
        <w:t>ten</w:t>
      </w:r>
      <w:r w:rsidR="006F21B4" w:rsidRPr="00B67ADE">
        <w:rPr>
          <w:sz w:val="21"/>
          <w:szCs w:val="21"/>
          <w:lang w:val="en-GB"/>
        </w:rPr>
        <w:t xml:space="preserve"> economies within the “selected Asian economies”.</w:t>
      </w:r>
    </w:p>
    <w:p w14:paraId="283AFCFE" w14:textId="77777777" w:rsidR="00372477" w:rsidRDefault="0037247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7D28209A" w14:textId="464EAB11" w:rsidR="00653D23" w:rsidRPr="00186ECC" w:rsidRDefault="00653D23" w:rsidP="00653D23">
      <w:pPr>
        <w:pStyle w:val="ListParagraph"/>
        <w:numPr>
          <w:ilvl w:val="0"/>
          <w:numId w:val="6"/>
        </w:numPr>
        <w:spacing w:after="0" w:line="360" w:lineRule="atLeast"/>
        <w:ind w:leftChars="0"/>
        <w:jc w:val="both"/>
        <w:rPr>
          <w:szCs w:val="28"/>
          <w:lang w:eastAsia="zh-HK"/>
        </w:rPr>
      </w:pPr>
      <w:r w:rsidRPr="00186ECC">
        <w:rPr>
          <w:lang w:eastAsia="zh-HK"/>
        </w:rPr>
        <w:t xml:space="preserve">Analysed by major market, </w:t>
      </w:r>
      <w:r w:rsidRPr="00186ECC">
        <w:rPr>
          <w:szCs w:val="28"/>
          <w:lang w:eastAsia="zh-HK"/>
        </w:rPr>
        <w:t xml:space="preserve">exports to the </w:t>
      </w:r>
      <w:proofErr w:type="gramStart"/>
      <w:r w:rsidRPr="00186ECC">
        <w:rPr>
          <w:szCs w:val="28"/>
          <w:lang w:eastAsia="zh-HK"/>
        </w:rPr>
        <w:t>Mainland</w:t>
      </w:r>
      <w:proofErr w:type="gramEnd"/>
      <w:r w:rsidRPr="00186ECC">
        <w:rPr>
          <w:szCs w:val="28"/>
          <w:lang w:eastAsia="zh-HK"/>
        </w:rPr>
        <w:t xml:space="preserve"> </w:t>
      </w:r>
      <w:r w:rsidR="003B5D40">
        <w:rPr>
          <w:szCs w:val="28"/>
          <w:lang w:eastAsia="zh-HK"/>
        </w:rPr>
        <w:t>posted further double-digit growth</w:t>
      </w:r>
      <w:r w:rsidRPr="00186ECC">
        <w:rPr>
          <w:szCs w:val="28"/>
          <w:lang w:eastAsia="zh-HK"/>
        </w:rPr>
        <w:t xml:space="preserve"> in the </w:t>
      </w:r>
      <w:r w:rsidR="00186ECC">
        <w:rPr>
          <w:rFonts w:hint="eastAsia"/>
          <w:szCs w:val="28"/>
          <w:lang w:eastAsia="zh-HK"/>
        </w:rPr>
        <w:t>second</w:t>
      </w:r>
      <w:r w:rsidR="00186ECC" w:rsidRPr="00186ECC">
        <w:rPr>
          <w:szCs w:val="28"/>
          <w:lang w:eastAsia="zh-HK"/>
        </w:rPr>
        <w:t xml:space="preserve"> </w:t>
      </w:r>
      <w:r w:rsidRPr="00186ECC">
        <w:rPr>
          <w:szCs w:val="28"/>
          <w:lang w:eastAsia="zh-HK"/>
        </w:rPr>
        <w:t xml:space="preserve">quarter over a year earlier.  </w:t>
      </w:r>
      <w:r w:rsidR="00A36B55" w:rsidRPr="00186ECC">
        <w:rPr>
          <w:szCs w:val="28"/>
          <w:lang w:eastAsia="zh-HK"/>
        </w:rPr>
        <w:t xml:space="preserve">Exports to ASEAN markets </w:t>
      </w:r>
      <w:r w:rsidR="00495D4C">
        <w:rPr>
          <w:szCs w:val="28"/>
          <w:lang w:eastAsia="zh-HK"/>
        </w:rPr>
        <w:t>accelerated further</w:t>
      </w:r>
      <w:r w:rsidR="00B40111" w:rsidRPr="00186ECC">
        <w:rPr>
          <w:szCs w:val="28"/>
          <w:lang w:eastAsia="zh-HK"/>
        </w:rPr>
        <w:t xml:space="preserve">, </w:t>
      </w:r>
      <w:r w:rsidR="008F5084">
        <w:rPr>
          <w:szCs w:val="28"/>
          <w:lang w:eastAsia="zh-HK"/>
        </w:rPr>
        <w:t xml:space="preserve">and </w:t>
      </w:r>
      <w:r w:rsidR="00B40111" w:rsidRPr="00186ECC">
        <w:rPr>
          <w:szCs w:val="28"/>
          <w:lang w:eastAsia="zh-HK"/>
        </w:rPr>
        <w:t>those to</w:t>
      </w:r>
      <w:r w:rsidR="003B5D40">
        <w:rPr>
          <w:szCs w:val="28"/>
          <w:lang w:eastAsia="zh-HK"/>
        </w:rPr>
        <w:t xml:space="preserve"> most</w:t>
      </w:r>
      <w:r w:rsidR="00B40111" w:rsidRPr="00186ECC">
        <w:rPr>
          <w:szCs w:val="28"/>
          <w:lang w:eastAsia="zh-HK"/>
        </w:rPr>
        <w:t xml:space="preserve"> high</w:t>
      </w:r>
      <w:r w:rsidR="00B40111" w:rsidRPr="00186ECC">
        <w:rPr>
          <w:szCs w:val="28"/>
          <w:lang w:eastAsia="zh-HK"/>
        </w:rPr>
        <w:noBreakHyphen/>
      </w:r>
      <w:r w:rsidR="00A36B55" w:rsidRPr="00186ECC">
        <w:rPr>
          <w:szCs w:val="28"/>
          <w:lang w:eastAsia="zh-HK"/>
        </w:rPr>
        <w:t xml:space="preserve">income Asian economies </w:t>
      </w:r>
      <w:r w:rsidR="003B5D40">
        <w:rPr>
          <w:szCs w:val="28"/>
          <w:lang w:eastAsia="zh-HK"/>
        </w:rPr>
        <w:t>saw increases of varying degree</w:t>
      </w:r>
      <w:r w:rsidR="00055931">
        <w:rPr>
          <w:szCs w:val="28"/>
          <w:lang w:eastAsia="zh-HK"/>
        </w:rPr>
        <w:t>s</w:t>
      </w:r>
      <w:r w:rsidR="00A36B55" w:rsidRPr="00186ECC">
        <w:rPr>
          <w:szCs w:val="28"/>
          <w:lang w:eastAsia="zh-HK"/>
        </w:rPr>
        <w:t>.</w:t>
      </w:r>
      <w:r w:rsidR="00A02FEB">
        <w:rPr>
          <w:szCs w:val="28"/>
          <w:lang w:eastAsia="zh-HK"/>
        </w:rPr>
        <w:t xml:space="preserve">  </w:t>
      </w:r>
      <w:r w:rsidR="00AA031E" w:rsidRPr="00186ECC">
        <w:rPr>
          <w:szCs w:val="28"/>
          <w:lang w:eastAsia="zh-HK"/>
        </w:rPr>
        <w:t xml:space="preserve">Exports to the US </w:t>
      </w:r>
      <w:r w:rsidR="00AA031E">
        <w:rPr>
          <w:rFonts w:hint="eastAsia"/>
          <w:szCs w:val="28"/>
          <w:lang w:eastAsia="zh-HK"/>
        </w:rPr>
        <w:t>turned to a decline</w:t>
      </w:r>
      <w:r w:rsidR="00AA031E" w:rsidRPr="00186ECC">
        <w:rPr>
          <w:szCs w:val="28"/>
          <w:lang w:eastAsia="zh-HK"/>
        </w:rPr>
        <w:t xml:space="preserve">, </w:t>
      </w:r>
      <w:r w:rsidR="00AA031E">
        <w:rPr>
          <w:rFonts w:hint="eastAsia"/>
          <w:szCs w:val="28"/>
          <w:lang w:eastAsia="zh-HK"/>
        </w:rPr>
        <w:t>and</w:t>
      </w:r>
      <w:r w:rsidR="00AA031E" w:rsidRPr="00186ECC">
        <w:rPr>
          <w:szCs w:val="28"/>
          <w:lang w:eastAsia="zh-HK"/>
        </w:rPr>
        <w:t xml:space="preserve"> those to the EU </w:t>
      </w:r>
      <w:r w:rsidR="00AA031E">
        <w:rPr>
          <w:szCs w:val="28"/>
          <w:lang w:eastAsia="zh-HK"/>
        </w:rPr>
        <w:t>fell further</w:t>
      </w:r>
      <w:r w:rsidR="00AA031E" w:rsidRPr="00186ECC">
        <w:rPr>
          <w:szCs w:val="28"/>
          <w:lang w:eastAsia="zh-HK"/>
        </w:rPr>
        <w:t xml:space="preserve">.  </w:t>
      </w:r>
    </w:p>
    <w:p w14:paraId="0777B174" w14:textId="6C8B2AA5" w:rsidR="00653D23" w:rsidRPr="00255578" w:rsidRDefault="00653D23" w:rsidP="00653D23">
      <w:pPr>
        <w:pStyle w:val="ListParagraph"/>
        <w:spacing w:after="0" w:line="360" w:lineRule="atLeast"/>
        <w:ind w:leftChars="0" w:left="0"/>
        <w:jc w:val="both"/>
        <w:rPr>
          <w:szCs w:val="28"/>
          <w:lang w:eastAsia="zh-HK"/>
        </w:rPr>
      </w:pPr>
    </w:p>
    <w:p w14:paraId="181812B1" w14:textId="784CBA3E" w:rsidR="000D51EB" w:rsidRDefault="00653D23" w:rsidP="003107CD">
      <w:pPr>
        <w:widowControl/>
        <w:rPr>
          <w:noProof/>
        </w:rPr>
      </w:pPr>
      <w:r>
        <w:rPr>
          <w:noProof/>
          <w:sz w:val="28"/>
        </w:rPr>
        <w:br w:type="page"/>
      </w:r>
    </w:p>
    <w:p w14:paraId="65549D38" w14:textId="6BCA9A06" w:rsidR="009B3766" w:rsidRPr="00FF43B5"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lastRenderedPageBreak/>
        <w:t xml:space="preserve">Table </w:t>
      </w:r>
      <w:proofErr w:type="gramStart"/>
      <w:r w:rsidR="00B42004" w:rsidRPr="00FF43B5">
        <w:rPr>
          <w:b/>
          <w:sz w:val="28"/>
          <w:lang w:val="en-GB"/>
        </w:rPr>
        <w:t>2</w:t>
      </w:r>
      <w:r w:rsidRPr="00FF43B5">
        <w:rPr>
          <w:b/>
          <w:sz w:val="28"/>
          <w:lang w:val="en-GB"/>
        </w:rPr>
        <w:t>.2 :</w:t>
      </w:r>
      <w:proofErr w:type="gramEnd"/>
      <w:r w:rsidRPr="00FF43B5">
        <w:rPr>
          <w:b/>
          <w:sz w:val="28"/>
          <w:lang w:val="en-GB"/>
        </w:rPr>
        <w:t xml:space="preserve"> </w:t>
      </w:r>
      <w:r w:rsidR="00122515" w:rsidRPr="00FF43B5">
        <w:rPr>
          <w:b/>
          <w:sz w:val="28"/>
          <w:lang w:val="en-GB"/>
        </w:rPr>
        <w:t xml:space="preserve">Merchandise </w:t>
      </w:r>
      <w:r w:rsidRPr="00FF43B5">
        <w:rPr>
          <w:b/>
          <w:sz w:val="28"/>
          <w:lang w:val="en-GB"/>
        </w:rPr>
        <w:t>exports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t>(year-on-year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9544" w:type="dxa"/>
        <w:jc w:val="center"/>
        <w:tblLayout w:type="fixed"/>
        <w:tblLook w:val="04A0" w:firstRow="1" w:lastRow="0" w:firstColumn="1" w:lastColumn="0" w:noHBand="0" w:noVBand="1"/>
      </w:tblPr>
      <w:tblGrid>
        <w:gridCol w:w="2233"/>
        <w:gridCol w:w="1044"/>
        <w:gridCol w:w="1045"/>
        <w:gridCol w:w="1044"/>
        <w:gridCol w:w="1045"/>
        <w:gridCol w:w="1045"/>
        <w:gridCol w:w="1044"/>
        <w:gridCol w:w="1044"/>
      </w:tblGrid>
      <w:tr w:rsidR="00674B4A" w:rsidRPr="00AC0FF2" w14:paraId="21EB2746" w14:textId="79F23E10" w:rsidTr="002E730C">
        <w:trPr>
          <w:trHeight w:hRule="exact" w:val="312"/>
          <w:jc w:val="center"/>
        </w:trPr>
        <w:tc>
          <w:tcPr>
            <w:tcW w:w="2233" w:type="dxa"/>
            <w:vAlign w:val="center"/>
          </w:tcPr>
          <w:p w14:paraId="46184F52" w14:textId="77777777" w:rsidR="00674B4A" w:rsidRPr="00AC0FF2" w:rsidRDefault="00674B4A" w:rsidP="008621B1">
            <w:pPr>
              <w:keepNext/>
              <w:keepLines/>
              <w:rPr>
                <w:rFonts w:eastAsia="SimSun"/>
                <w:highlight w:val="lightGray"/>
                <w:lang w:eastAsia="zh-CN"/>
              </w:rPr>
            </w:pPr>
          </w:p>
        </w:tc>
        <w:tc>
          <w:tcPr>
            <w:tcW w:w="5223" w:type="dxa"/>
            <w:gridSpan w:val="5"/>
          </w:tcPr>
          <w:p w14:paraId="2DA7DF8C" w14:textId="3C79CC17" w:rsidR="00674B4A" w:rsidRPr="00AC0FF2" w:rsidRDefault="00674B4A" w:rsidP="008621B1">
            <w:pPr>
              <w:keepNext/>
              <w:keepLines/>
              <w:jc w:val="center"/>
              <w:rPr>
                <w:u w:val="single"/>
              </w:rPr>
            </w:pPr>
            <w:r w:rsidRPr="004C706A">
              <w:t xml:space="preserve">   </w:t>
            </w:r>
            <w:r>
              <w:rPr>
                <w:u w:val="single"/>
              </w:rPr>
              <w:t>2024</w:t>
            </w:r>
          </w:p>
        </w:tc>
        <w:tc>
          <w:tcPr>
            <w:tcW w:w="2088" w:type="dxa"/>
            <w:gridSpan w:val="2"/>
          </w:tcPr>
          <w:p w14:paraId="5D43E468" w14:textId="219A63DD" w:rsidR="00674B4A" w:rsidRDefault="00674B4A" w:rsidP="00B65A4E">
            <w:pPr>
              <w:keepNext/>
              <w:keepLines/>
              <w:jc w:val="center"/>
              <w:rPr>
                <w:u w:val="single"/>
              </w:rPr>
            </w:pPr>
            <w:r>
              <w:rPr>
                <w:u w:val="single"/>
              </w:rPr>
              <w:t>2025</w:t>
            </w:r>
          </w:p>
        </w:tc>
      </w:tr>
      <w:tr w:rsidR="00674B4A" w:rsidRPr="00AC0FF2" w14:paraId="26AB859B" w14:textId="109E644B" w:rsidTr="00B65A4E">
        <w:trPr>
          <w:jc w:val="center"/>
        </w:trPr>
        <w:tc>
          <w:tcPr>
            <w:tcW w:w="2233" w:type="dxa"/>
            <w:vAlign w:val="center"/>
          </w:tcPr>
          <w:p w14:paraId="554E7CDF" w14:textId="77777777" w:rsidR="00674B4A" w:rsidRPr="00AC0FF2" w:rsidRDefault="00674B4A" w:rsidP="008621B1">
            <w:pPr>
              <w:keepNext/>
              <w:keepLines/>
              <w:jc w:val="center"/>
              <w:rPr>
                <w:rFonts w:eastAsia="SimSun"/>
                <w:lang w:eastAsia="zh-CN"/>
              </w:rPr>
            </w:pPr>
          </w:p>
        </w:tc>
        <w:tc>
          <w:tcPr>
            <w:tcW w:w="1044" w:type="dxa"/>
            <w:vAlign w:val="center"/>
          </w:tcPr>
          <w:p w14:paraId="3F196C0D" w14:textId="77777777" w:rsidR="00674B4A" w:rsidRPr="00AC0FF2" w:rsidRDefault="00674B4A" w:rsidP="008621B1">
            <w:pPr>
              <w:keepNext/>
              <w:keepLines/>
              <w:jc w:val="right"/>
              <w:rPr>
                <w:u w:val="single"/>
              </w:rPr>
            </w:pPr>
            <w:r w:rsidRPr="00AC0FF2">
              <w:rPr>
                <w:u w:val="single"/>
              </w:rPr>
              <w:t>Annual</w:t>
            </w:r>
          </w:p>
        </w:tc>
        <w:tc>
          <w:tcPr>
            <w:tcW w:w="1045" w:type="dxa"/>
            <w:vAlign w:val="center"/>
          </w:tcPr>
          <w:p w14:paraId="4D52FDEC" w14:textId="77777777" w:rsidR="00674B4A" w:rsidRPr="00AC0FF2" w:rsidRDefault="00674B4A" w:rsidP="008621B1">
            <w:pPr>
              <w:keepNext/>
              <w:keepLines/>
              <w:jc w:val="right"/>
              <w:rPr>
                <w:u w:val="single"/>
              </w:rPr>
            </w:pPr>
            <w:r w:rsidRPr="00AC0FF2">
              <w:rPr>
                <w:u w:val="single"/>
              </w:rPr>
              <w:t>Q1</w:t>
            </w:r>
          </w:p>
        </w:tc>
        <w:tc>
          <w:tcPr>
            <w:tcW w:w="1044" w:type="dxa"/>
            <w:vAlign w:val="center"/>
          </w:tcPr>
          <w:p w14:paraId="03E4205A" w14:textId="77777777" w:rsidR="00674B4A" w:rsidRPr="00AC0FF2" w:rsidRDefault="00674B4A" w:rsidP="008621B1">
            <w:pPr>
              <w:keepNext/>
              <w:keepLines/>
              <w:jc w:val="right"/>
              <w:rPr>
                <w:u w:val="single"/>
              </w:rPr>
            </w:pPr>
            <w:r w:rsidRPr="00AC0FF2">
              <w:rPr>
                <w:u w:val="single"/>
              </w:rPr>
              <w:t>Q2</w:t>
            </w:r>
          </w:p>
        </w:tc>
        <w:tc>
          <w:tcPr>
            <w:tcW w:w="1045" w:type="dxa"/>
            <w:vAlign w:val="center"/>
          </w:tcPr>
          <w:p w14:paraId="61B9D976" w14:textId="77777777" w:rsidR="00674B4A" w:rsidRPr="00AC0FF2" w:rsidRDefault="00674B4A" w:rsidP="008621B1">
            <w:pPr>
              <w:keepNext/>
              <w:keepLines/>
              <w:jc w:val="right"/>
              <w:rPr>
                <w:u w:val="single"/>
              </w:rPr>
            </w:pPr>
            <w:r w:rsidRPr="00AC0FF2">
              <w:rPr>
                <w:u w:val="single"/>
              </w:rPr>
              <w:t>Q3</w:t>
            </w:r>
          </w:p>
        </w:tc>
        <w:tc>
          <w:tcPr>
            <w:tcW w:w="1045" w:type="dxa"/>
            <w:vAlign w:val="center"/>
          </w:tcPr>
          <w:p w14:paraId="31D8699F" w14:textId="77777777" w:rsidR="00674B4A" w:rsidRPr="00AC0FF2" w:rsidRDefault="00674B4A" w:rsidP="008621B1">
            <w:pPr>
              <w:keepNext/>
              <w:keepLines/>
              <w:jc w:val="right"/>
              <w:rPr>
                <w:u w:val="single"/>
              </w:rPr>
            </w:pPr>
            <w:r w:rsidRPr="00AC0FF2">
              <w:rPr>
                <w:u w:val="single"/>
              </w:rPr>
              <w:t>Q4</w:t>
            </w:r>
          </w:p>
        </w:tc>
        <w:tc>
          <w:tcPr>
            <w:tcW w:w="1044" w:type="dxa"/>
          </w:tcPr>
          <w:p w14:paraId="5658C5DD" w14:textId="77777777" w:rsidR="00674B4A" w:rsidRPr="00AC0FF2" w:rsidRDefault="00674B4A" w:rsidP="008621B1">
            <w:pPr>
              <w:keepNext/>
              <w:keepLines/>
              <w:jc w:val="right"/>
              <w:rPr>
                <w:u w:val="single"/>
              </w:rPr>
            </w:pPr>
            <w:r w:rsidRPr="00AC0FF2">
              <w:rPr>
                <w:u w:val="single"/>
              </w:rPr>
              <w:t>Q1</w:t>
            </w:r>
          </w:p>
        </w:tc>
        <w:tc>
          <w:tcPr>
            <w:tcW w:w="1044" w:type="dxa"/>
          </w:tcPr>
          <w:p w14:paraId="277A440D" w14:textId="36315E4C" w:rsidR="00674B4A" w:rsidRPr="00AC0FF2" w:rsidRDefault="00674B4A" w:rsidP="008621B1">
            <w:pPr>
              <w:keepNext/>
              <w:keepLines/>
              <w:jc w:val="right"/>
              <w:rPr>
                <w:u w:val="single"/>
              </w:rPr>
            </w:pPr>
            <w:r>
              <w:rPr>
                <w:rFonts w:hint="eastAsia"/>
                <w:u w:val="single"/>
              </w:rPr>
              <w:t>Q2</w:t>
            </w:r>
          </w:p>
        </w:tc>
      </w:tr>
      <w:tr w:rsidR="00674B4A" w:rsidRPr="006F615F" w14:paraId="0EB0D121" w14:textId="1891600C" w:rsidTr="00B65A4E">
        <w:trPr>
          <w:trHeight w:val="66"/>
          <w:jc w:val="center"/>
        </w:trPr>
        <w:tc>
          <w:tcPr>
            <w:tcW w:w="2233" w:type="dxa"/>
            <w:vAlign w:val="center"/>
          </w:tcPr>
          <w:p w14:paraId="1D314861" w14:textId="77777777" w:rsidR="00674B4A" w:rsidRPr="006F615F" w:rsidRDefault="00674B4A" w:rsidP="008621B1">
            <w:pPr>
              <w:keepNext/>
              <w:keepLines/>
              <w:rPr>
                <w:rFonts w:eastAsia="SimSun"/>
                <w:lang w:eastAsia="zh-CN"/>
              </w:rPr>
            </w:pPr>
          </w:p>
        </w:tc>
        <w:tc>
          <w:tcPr>
            <w:tcW w:w="1044" w:type="dxa"/>
            <w:vAlign w:val="center"/>
          </w:tcPr>
          <w:p w14:paraId="06B26624" w14:textId="77777777" w:rsidR="00674B4A" w:rsidRPr="006F615F" w:rsidRDefault="00674B4A" w:rsidP="008621B1">
            <w:pPr>
              <w:keepNext/>
              <w:keepLines/>
              <w:jc w:val="right"/>
              <w:rPr>
                <w:highlight w:val="lightGray"/>
              </w:rPr>
            </w:pPr>
          </w:p>
        </w:tc>
        <w:tc>
          <w:tcPr>
            <w:tcW w:w="1045" w:type="dxa"/>
          </w:tcPr>
          <w:p w14:paraId="05052FB3" w14:textId="77777777" w:rsidR="00674B4A" w:rsidRPr="006F615F" w:rsidRDefault="00674B4A" w:rsidP="008621B1">
            <w:pPr>
              <w:keepNext/>
              <w:keepLines/>
              <w:jc w:val="right"/>
            </w:pPr>
          </w:p>
        </w:tc>
        <w:tc>
          <w:tcPr>
            <w:tcW w:w="1044" w:type="dxa"/>
          </w:tcPr>
          <w:p w14:paraId="3303977B" w14:textId="77777777" w:rsidR="00674B4A" w:rsidRPr="006F615F" w:rsidRDefault="00674B4A" w:rsidP="008621B1">
            <w:pPr>
              <w:keepNext/>
              <w:keepLines/>
              <w:jc w:val="right"/>
            </w:pPr>
          </w:p>
        </w:tc>
        <w:tc>
          <w:tcPr>
            <w:tcW w:w="1045" w:type="dxa"/>
            <w:vAlign w:val="center"/>
          </w:tcPr>
          <w:p w14:paraId="2BD71F07" w14:textId="77777777" w:rsidR="00674B4A" w:rsidRPr="006F615F" w:rsidRDefault="00674B4A" w:rsidP="008621B1">
            <w:pPr>
              <w:keepNext/>
              <w:keepLines/>
              <w:jc w:val="right"/>
            </w:pPr>
          </w:p>
        </w:tc>
        <w:tc>
          <w:tcPr>
            <w:tcW w:w="1045" w:type="dxa"/>
          </w:tcPr>
          <w:p w14:paraId="76CE251C" w14:textId="77777777" w:rsidR="00674B4A" w:rsidRPr="006F615F" w:rsidRDefault="00674B4A" w:rsidP="008621B1">
            <w:pPr>
              <w:keepNext/>
              <w:keepLines/>
              <w:jc w:val="right"/>
              <w:rPr>
                <w:highlight w:val="lightGray"/>
              </w:rPr>
            </w:pPr>
          </w:p>
        </w:tc>
        <w:tc>
          <w:tcPr>
            <w:tcW w:w="1044" w:type="dxa"/>
          </w:tcPr>
          <w:p w14:paraId="5D728DA5" w14:textId="77777777" w:rsidR="00674B4A" w:rsidRPr="006F615F" w:rsidRDefault="00674B4A" w:rsidP="008621B1">
            <w:pPr>
              <w:keepNext/>
              <w:keepLines/>
              <w:jc w:val="right"/>
              <w:rPr>
                <w:highlight w:val="lightGray"/>
              </w:rPr>
            </w:pPr>
          </w:p>
        </w:tc>
        <w:tc>
          <w:tcPr>
            <w:tcW w:w="1044" w:type="dxa"/>
          </w:tcPr>
          <w:p w14:paraId="1C1E5E1D" w14:textId="77777777" w:rsidR="00674B4A" w:rsidRPr="006F615F" w:rsidRDefault="00674B4A" w:rsidP="008621B1">
            <w:pPr>
              <w:keepNext/>
              <w:keepLines/>
              <w:jc w:val="right"/>
              <w:rPr>
                <w:highlight w:val="lightGray"/>
              </w:rPr>
            </w:pPr>
          </w:p>
        </w:tc>
      </w:tr>
      <w:tr w:rsidR="00674B4A" w:rsidRPr="00AC0FF2" w14:paraId="46985E7B" w14:textId="540D4963" w:rsidTr="00B65A4E">
        <w:trPr>
          <w:jc w:val="center"/>
        </w:trPr>
        <w:tc>
          <w:tcPr>
            <w:tcW w:w="2233" w:type="dxa"/>
            <w:vAlign w:val="center"/>
          </w:tcPr>
          <w:p w14:paraId="30539ED4" w14:textId="77777777" w:rsidR="00674B4A" w:rsidRPr="00AC0FF2" w:rsidRDefault="00674B4A" w:rsidP="00C95C0D">
            <w:pPr>
              <w:keepNext/>
              <w:keepLines/>
              <w:rPr>
                <w:rFonts w:eastAsia="SimSun"/>
                <w:lang w:eastAsia="zh-CN"/>
              </w:rPr>
            </w:pPr>
            <w:r w:rsidRPr="00AC0FF2">
              <w:rPr>
                <w:rFonts w:eastAsia="SimSun"/>
                <w:lang w:eastAsia="zh-CN"/>
              </w:rPr>
              <w:t>Mainland of China</w:t>
            </w:r>
          </w:p>
        </w:tc>
        <w:tc>
          <w:tcPr>
            <w:tcW w:w="1044" w:type="dxa"/>
          </w:tcPr>
          <w:p w14:paraId="1300FB91" w14:textId="008DBE92" w:rsidR="00674B4A" w:rsidRPr="00C95C0D" w:rsidRDefault="00674B4A" w:rsidP="00C95C0D">
            <w:pPr>
              <w:keepNext/>
              <w:keepLines/>
              <w:tabs>
                <w:tab w:val="decimal" w:pos="331"/>
              </w:tabs>
              <w:spacing w:line="260" w:lineRule="exact"/>
              <w:jc w:val="right"/>
              <w:rPr>
                <w:highlight w:val="yellow"/>
              </w:rPr>
            </w:pPr>
            <w:r w:rsidRPr="00C95C0D">
              <w:rPr>
                <w:lang w:eastAsia="zh-HK"/>
              </w:rPr>
              <w:t>10.</w:t>
            </w:r>
            <w:r w:rsidRPr="00C95C0D">
              <w:t>4</w:t>
            </w:r>
          </w:p>
        </w:tc>
        <w:tc>
          <w:tcPr>
            <w:tcW w:w="1045" w:type="dxa"/>
          </w:tcPr>
          <w:p w14:paraId="27BFA745" w14:textId="71663289"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13.</w:t>
            </w:r>
            <w:r w:rsidRPr="00C95C0D">
              <w:t>8</w:t>
            </w:r>
          </w:p>
        </w:tc>
        <w:tc>
          <w:tcPr>
            <w:tcW w:w="1044" w:type="dxa"/>
          </w:tcPr>
          <w:p w14:paraId="7E80C161" w14:textId="3763F3BB"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12.6</w:t>
            </w:r>
          </w:p>
        </w:tc>
        <w:tc>
          <w:tcPr>
            <w:tcW w:w="1045" w:type="dxa"/>
          </w:tcPr>
          <w:p w14:paraId="2C8792BC" w14:textId="1B7D73F4"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10.8</w:t>
            </w:r>
          </w:p>
        </w:tc>
        <w:tc>
          <w:tcPr>
            <w:tcW w:w="1045" w:type="dxa"/>
          </w:tcPr>
          <w:p w14:paraId="681510BC" w14:textId="4F5AEE34" w:rsidR="00674B4A" w:rsidRPr="00C95C0D" w:rsidRDefault="00674B4A" w:rsidP="00C95C0D">
            <w:pPr>
              <w:keepNext/>
              <w:keepLines/>
              <w:tabs>
                <w:tab w:val="decimal" w:pos="233"/>
              </w:tabs>
              <w:spacing w:line="260" w:lineRule="exact"/>
              <w:jc w:val="right"/>
              <w:rPr>
                <w:highlight w:val="yellow"/>
              </w:rPr>
            </w:pPr>
            <w:r w:rsidRPr="00C95C0D">
              <w:rPr>
                <w:lang w:eastAsia="zh-HK"/>
              </w:rPr>
              <w:t>5.</w:t>
            </w:r>
            <w:r w:rsidRPr="00C95C0D">
              <w:t>5</w:t>
            </w:r>
          </w:p>
        </w:tc>
        <w:tc>
          <w:tcPr>
            <w:tcW w:w="1044" w:type="dxa"/>
            <w:shd w:val="clear" w:color="auto" w:fill="auto"/>
          </w:tcPr>
          <w:p w14:paraId="0B2FDF5B" w14:textId="33A27DBF" w:rsidR="00674B4A" w:rsidRPr="00AC48C9" w:rsidRDefault="00674B4A" w:rsidP="00746286">
            <w:pPr>
              <w:keepNext/>
              <w:keepLines/>
              <w:tabs>
                <w:tab w:val="decimal" w:pos="233"/>
              </w:tabs>
              <w:spacing w:line="260" w:lineRule="exact"/>
              <w:jc w:val="right"/>
              <w:rPr>
                <w:lang w:eastAsia="zh-HK"/>
              </w:rPr>
            </w:pPr>
            <w:r>
              <w:rPr>
                <w:lang w:eastAsia="zh-HK"/>
              </w:rPr>
              <w:t>14.3</w:t>
            </w:r>
          </w:p>
        </w:tc>
        <w:tc>
          <w:tcPr>
            <w:tcW w:w="1044" w:type="dxa"/>
          </w:tcPr>
          <w:p w14:paraId="1CC5466A" w14:textId="749713F9" w:rsidR="00674B4A" w:rsidRDefault="00FE2F97" w:rsidP="00746286">
            <w:pPr>
              <w:keepNext/>
              <w:keepLines/>
              <w:tabs>
                <w:tab w:val="decimal" w:pos="233"/>
              </w:tabs>
              <w:spacing w:line="260" w:lineRule="exact"/>
              <w:jc w:val="right"/>
              <w:rPr>
                <w:lang w:eastAsia="zh-HK"/>
              </w:rPr>
            </w:pPr>
            <w:r>
              <w:rPr>
                <w:rFonts w:hint="eastAsia"/>
                <w:lang w:eastAsia="zh-HK"/>
              </w:rPr>
              <w:t>1</w:t>
            </w:r>
            <w:r w:rsidR="00D43F1C">
              <w:rPr>
                <w:lang w:eastAsia="zh-HK"/>
              </w:rPr>
              <w:t>7</w:t>
            </w:r>
            <w:r>
              <w:rPr>
                <w:rFonts w:hint="eastAsia"/>
                <w:lang w:eastAsia="zh-HK"/>
              </w:rPr>
              <w:t>.</w:t>
            </w:r>
            <w:r w:rsidR="009304B2">
              <w:rPr>
                <w:rFonts w:hint="eastAsia"/>
                <w:lang w:eastAsia="zh-HK"/>
              </w:rPr>
              <w:t>8</w:t>
            </w:r>
          </w:p>
        </w:tc>
      </w:tr>
      <w:tr w:rsidR="00674B4A" w:rsidRPr="00AC0FF2" w14:paraId="5EFAEA3D" w14:textId="572B161D" w:rsidTr="00B65A4E">
        <w:trPr>
          <w:jc w:val="center"/>
        </w:trPr>
        <w:tc>
          <w:tcPr>
            <w:tcW w:w="2233" w:type="dxa"/>
            <w:vAlign w:val="center"/>
          </w:tcPr>
          <w:p w14:paraId="5E6D65E8" w14:textId="77777777" w:rsidR="00674B4A" w:rsidRPr="00B65A4E" w:rsidRDefault="00674B4A" w:rsidP="00C95C0D">
            <w:pPr>
              <w:keepNext/>
              <w:keepLines/>
              <w:rPr>
                <w:rFonts w:eastAsiaTheme="minorEastAsia"/>
              </w:rPr>
            </w:pPr>
          </w:p>
        </w:tc>
        <w:tc>
          <w:tcPr>
            <w:tcW w:w="1044" w:type="dxa"/>
          </w:tcPr>
          <w:p w14:paraId="25EB4B3A"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4EB1B0A8"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11D30CE7"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68A2B4A9"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44F9A0D2"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379B6192" w14:textId="77777777" w:rsidR="00674B4A" w:rsidRPr="00AC48C9" w:rsidRDefault="00674B4A" w:rsidP="00C95C0D">
            <w:pPr>
              <w:keepNext/>
              <w:keepLines/>
              <w:tabs>
                <w:tab w:val="decimal" w:pos="331"/>
              </w:tabs>
              <w:spacing w:line="260" w:lineRule="exact"/>
              <w:jc w:val="right"/>
            </w:pPr>
          </w:p>
        </w:tc>
        <w:tc>
          <w:tcPr>
            <w:tcW w:w="1044" w:type="dxa"/>
          </w:tcPr>
          <w:p w14:paraId="2AFC4CEC" w14:textId="77777777" w:rsidR="00674B4A" w:rsidRPr="00AC48C9" w:rsidRDefault="00674B4A" w:rsidP="00C95C0D">
            <w:pPr>
              <w:keepNext/>
              <w:keepLines/>
              <w:tabs>
                <w:tab w:val="decimal" w:pos="331"/>
              </w:tabs>
              <w:spacing w:line="260" w:lineRule="exact"/>
              <w:jc w:val="right"/>
            </w:pPr>
          </w:p>
        </w:tc>
      </w:tr>
      <w:tr w:rsidR="00674B4A" w:rsidRPr="00AC0FF2" w14:paraId="053421E1" w14:textId="2C1FD346" w:rsidTr="00B65A4E">
        <w:trPr>
          <w:jc w:val="center"/>
        </w:trPr>
        <w:tc>
          <w:tcPr>
            <w:tcW w:w="2233" w:type="dxa"/>
            <w:vAlign w:val="center"/>
          </w:tcPr>
          <w:p w14:paraId="5AF91BF2" w14:textId="77777777" w:rsidR="00674B4A" w:rsidRPr="00AC0FF2" w:rsidRDefault="00674B4A" w:rsidP="00C95C0D">
            <w:pPr>
              <w:keepNext/>
              <w:keepLines/>
              <w:rPr>
                <w:rFonts w:eastAsia="SimSun"/>
                <w:lang w:eastAsia="zh-CN"/>
              </w:rPr>
            </w:pPr>
            <w:r w:rsidRPr="00AC0FF2">
              <w:rPr>
                <w:rFonts w:eastAsia="SimSun"/>
                <w:lang w:eastAsia="zh-CN"/>
              </w:rPr>
              <w:t>US</w:t>
            </w:r>
          </w:p>
        </w:tc>
        <w:tc>
          <w:tcPr>
            <w:tcW w:w="1044" w:type="dxa"/>
          </w:tcPr>
          <w:p w14:paraId="21B2016F" w14:textId="05ADB781" w:rsidR="00674B4A" w:rsidRPr="00C95C0D" w:rsidRDefault="00674B4A" w:rsidP="00C95C0D">
            <w:pPr>
              <w:keepNext/>
              <w:keepLines/>
              <w:tabs>
                <w:tab w:val="decimal" w:pos="331"/>
              </w:tabs>
              <w:spacing w:line="260" w:lineRule="exact"/>
              <w:jc w:val="right"/>
              <w:rPr>
                <w:highlight w:val="yellow"/>
              </w:rPr>
            </w:pPr>
            <w:r w:rsidRPr="00C95C0D">
              <w:rPr>
                <w:lang w:eastAsia="zh-HK"/>
              </w:rPr>
              <w:t>3.2</w:t>
            </w:r>
          </w:p>
        </w:tc>
        <w:tc>
          <w:tcPr>
            <w:tcW w:w="1045" w:type="dxa"/>
          </w:tcPr>
          <w:p w14:paraId="44EDD617" w14:textId="75277561"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-0.</w:t>
            </w:r>
            <w:r w:rsidRPr="00C95C0D">
              <w:t>1</w:t>
            </w:r>
          </w:p>
        </w:tc>
        <w:tc>
          <w:tcPr>
            <w:tcW w:w="1044" w:type="dxa"/>
          </w:tcPr>
          <w:p w14:paraId="733B173B" w14:textId="7057FF3F"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21.0</w:t>
            </w:r>
          </w:p>
        </w:tc>
        <w:tc>
          <w:tcPr>
            <w:tcW w:w="1045" w:type="dxa"/>
          </w:tcPr>
          <w:p w14:paraId="3CF71B55" w14:textId="3335353D"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1.2</w:t>
            </w:r>
          </w:p>
        </w:tc>
        <w:tc>
          <w:tcPr>
            <w:tcW w:w="1045" w:type="dxa"/>
          </w:tcPr>
          <w:p w14:paraId="6EE0711B" w14:textId="3ED0A739" w:rsidR="00674B4A" w:rsidRPr="00C95C0D" w:rsidRDefault="00674B4A" w:rsidP="00C95C0D">
            <w:pPr>
              <w:keepNext/>
              <w:keepLines/>
              <w:tabs>
                <w:tab w:val="decimal" w:pos="331"/>
              </w:tabs>
              <w:spacing w:line="260" w:lineRule="exact"/>
              <w:jc w:val="right"/>
              <w:rPr>
                <w:highlight w:val="yellow"/>
              </w:rPr>
            </w:pPr>
            <w:r w:rsidRPr="00C95C0D">
              <w:rPr>
                <w:lang w:eastAsia="zh-HK"/>
              </w:rPr>
              <w:t>-</w:t>
            </w:r>
            <w:r w:rsidRPr="00C95C0D">
              <w:t>7.9</w:t>
            </w:r>
          </w:p>
        </w:tc>
        <w:tc>
          <w:tcPr>
            <w:tcW w:w="1044" w:type="dxa"/>
            <w:shd w:val="clear" w:color="auto" w:fill="auto"/>
          </w:tcPr>
          <w:p w14:paraId="336001DC" w14:textId="421331DC" w:rsidR="00674B4A" w:rsidRPr="00AC48C9" w:rsidRDefault="00674B4A" w:rsidP="00746286">
            <w:pPr>
              <w:keepNext/>
              <w:keepLines/>
              <w:tabs>
                <w:tab w:val="decimal" w:pos="331"/>
              </w:tabs>
              <w:spacing w:line="260" w:lineRule="exact"/>
              <w:jc w:val="right"/>
              <w:rPr>
                <w:lang w:eastAsia="zh-HK"/>
              </w:rPr>
            </w:pPr>
            <w:r>
              <w:rPr>
                <w:lang w:eastAsia="zh-HK"/>
              </w:rPr>
              <w:t>2.1</w:t>
            </w:r>
          </w:p>
        </w:tc>
        <w:tc>
          <w:tcPr>
            <w:tcW w:w="1044" w:type="dxa"/>
          </w:tcPr>
          <w:p w14:paraId="5BF90097" w14:textId="5001E719" w:rsidR="00674B4A" w:rsidRDefault="00FE2F97" w:rsidP="00746286">
            <w:pPr>
              <w:keepNext/>
              <w:keepLines/>
              <w:tabs>
                <w:tab w:val="decimal" w:pos="331"/>
              </w:tabs>
              <w:spacing w:line="260" w:lineRule="exact"/>
              <w:jc w:val="right"/>
              <w:rPr>
                <w:lang w:eastAsia="zh-HK"/>
              </w:rPr>
            </w:pPr>
            <w:r>
              <w:rPr>
                <w:rFonts w:hint="eastAsia"/>
                <w:lang w:eastAsia="zh-HK"/>
              </w:rPr>
              <w:t>-1</w:t>
            </w:r>
            <w:r w:rsidR="00D43F1C">
              <w:rPr>
                <w:lang w:eastAsia="zh-HK"/>
              </w:rPr>
              <w:t>1</w:t>
            </w:r>
            <w:r>
              <w:rPr>
                <w:rFonts w:hint="eastAsia"/>
                <w:lang w:eastAsia="zh-HK"/>
              </w:rPr>
              <w:t>.</w:t>
            </w:r>
            <w:r w:rsidR="009304B2">
              <w:rPr>
                <w:rFonts w:hint="eastAsia"/>
                <w:lang w:eastAsia="zh-HK"/>
              </w:rPr>
              <w:t>1</w:t>
            </w:r>
          </w:p>
        </w:tc>
      </w:tr>
      <w:tr w:rsidR="00674B4A" w:rsidRPr="00AC0FF2" w14:paraId="183E239E" w14:textId="7A988ABA" w:rsidTr="00B65A4E">
        <w:trPr>
          <w:jc w:val="center"/>
        </w:trPr>
        <w:tc>
          <w:tcPr>
            <w:tcW w:w="2233" w:type="dxa"/>
            <w:vAlign w:val="center"/>
          </w:tcPr>
          <w:p w14:paraId="3C0456C2" w14:textId="77777777" w:rsidR="00674B4A" w:rsidRPr="00AC0FF2" w:rsidRDefault="00674B4A" w:rsidP="00C95C0D">
            <w:pPr>
              <w:keepNext/>
              <w:keepLines/>
              <w:rPr>
                <w:rFonts w:eastAsia="SimSun"/>
                <w:lang w:eastAsia="zh-CN"/>
              </w:rPr>
            </w:pPr>
          </w:p>
        </w:tc>
        <w:tc>
          <w:tcPr>
            <w:tcW w:w="1044" w:type="dxa"/>
          </w:tcPr>
          <w:p w14:paraId="0D8115CA"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2C2D9A89"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6C8E3D6D"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27D77FA0"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1147EEE0"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0FA3C15F" w14:textId="77777777" w:rsidR="00674B4A" w:rsidRPr="00AC48C9" w:rsidRDefault="00674B4A" w:rsidP="00C95C0D">
            <w:pPr>
              <w:keepNext/>
              <w:keepLines/>
              <w:tabs>
                <w:tab w:val="decimal" w:pos="331"/>
              </w:tabs>
              <w:spacing w:line="260" w:lineRule="exact"/>
              <w:jc w:val="right"/>
            </w:pPr>
          </w:p>
        </w:tc>
        <w:tc>
          <w:tcPr>
            <w:tcW w:w="1044" w:type="dxa"/>
          </w:tcPr>
          <w:p w14:paraId="490EF4A9" w14:textId="77777777" w:rsidR="00674B4A" w:rsidRPr="00AC48C9" w:rsidRDefault="00674B4A" w:rsidP="00C95C0D">
            <w:pPr>
              <w:keepNext/>
              <w:keepLines/>
              <w:tabs>
                <w:tab w:val="decimal" w:pos="331"/>
              </w:tabs>
              <w:spacing w:line="260" w:lineRule="exact"/>
              <w:jc w:val="right"/>
            </w:pPr>
          </w:p>
        </w:tc>
      </w:tr>
      <w:tr w:rsidR="00674B4A" w:rsidRPr="00AC0FF2" w14:paraId="6C927E7B" w14:textId="5DCCD13B" w:rsidTr="00B65A4E">
        <w:trPr>
          <w:jc w:val="center"/>
        </w:trPr>
        <w:tc>
          <w:tcPr>
            <w:tcW w:w="2233" w:type="dxa"/>
            <w:vAlign w:val="center"/>
          </w:tcPr>
          <w:p w14:paraId="22E93087" w14:textId="77777777" w:rsidR="00674B4A" w:rsidRPr="00AC0FF2" w:rsidRDefault="00674B4A" w:rsidP="00C95C0D">
            <w:pPr>
              <w:keepNext/>
              <w:keepLines/>
              <w:rPr>
                <w:rFonts w:eastAsia="SimSun"/>
                <w:lang w:eastAsia="zh-CN"/>
              </w:rPr>
            </w:pPr>
            <w:r w:rsidRPr="00AC0FF2">
              <w:rPr>
                <w:rFonts w:eastAsia="SimSun"/>
                <w:lang w:eastAsia="zh-CN"/>
              </w:rPr>
              <w:t>EU</w:t>
            </w:r>
          </w:p>
        </w:tc>
        <w:tc>
          <w:tcPr>
            <w:tcW w:w="1044" w:type="dxa"/>
          </w:tcPr>
          <w:p w14:paraId="66F7737F" w14:textId="13CF0BB1" w:rsidR="00674B4A" w:rsidRPr="00C95C0D" w:rsidRDefault="00674B4A" w:rsidP="00C95C0D">
            <w:pPr>
              <w:keepNext/>
              <w:keepLines/>
              <w:tabs>
                <w:tab w:val="decimal" w:pos="331"/>
              </w:tabs>
              <w:spacing w:line="260" w:lineRule="exact"/>
              <w:jc w:val="right"/>
              <w:rPr>
                <w:highlight w:val="yellow"/>
              </w:rPr>
            </w:pPr>
            <w:r w:rsidRPr="00C95C0D">
              <w:rPr>
                <w:lang w:eastAsia="zh-HK"/>
              </w:rPr>
              <w:t>-1.1</w:t>
            </w:r>
          </w:p>
        </w:tc>
        <w:tc>
          <w:tcPr>
            <w:tcW w:w="1045" w:type="dxa"/>
          </w:tcPr>
          <w:p w14:paraId="3E16C1C7" w14:textId="690D7646"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-11.</w:t>
            </w:r>
            <w:r w:rsidRPr="00C95C0D">
              <w:t>6</w:t>
            </w:r>
          </w:p>
        </w:tc>
        <w:tc>
          <w:tcPr>
            <w:tcW w:w="1044" w:type="dxa"/>
          </w:tcPr>
          <w:p w14:paraId="0A14C5B0" w14:textId="60AC9868"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-0.4</w:t>
            </w:r>
          </w:p>
        </w:tc>
        <w:tc>
          <w:tcPr>
            <w:tcW w:w="1045" w:type="dxa"/>
          </w:tcPr>
          <w:p w14:paraId="59F0B4F9" w14:textId="6C18291E"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9.4</w:t>
            </w:r>
          </w:p>
        </w:tc>
        <w:tc>
          <w:tcPr>
            <w:tcW w:w="1045" w:type="dxa"/>
          </w:tcPr>
          <w:p w14:paraId="025B8B9A" w14:textId="51ABF76C" w:rsidR="00674B4A" w:rsidRPr="00C95C0D" w:rsidRDefault="00674B4A" w:rsidP="00C95C0D">
            <w:pPr>
              <w:keepNext/>
              <w:keepLines/>
              <w:tabs>
                <w:tab w:val="decimal" w:pos="331"/>
              </w:tabs>
              <w:spacing w:line="260" w:lineRule="exact"/>
              <w:jc w:val="right"/>
              <w:rPr>
                <w:highlight w:val="yellow"/>
              </w:rPr>
            </w:pPr>
            <w:r w:rsidRPr="00C95C0D">
              <w:rPr>
                <w:lang w:eastAsia="zh-HK"/>
              </w:rPr>
              <w:t>-0.8</w:t>
            </w:r>
          </w:p>
        </w:tc>
        <w:tc>
          <w:tcPr>
            <w:tcW w:w="1044" w:type="dxa"/>
            <w:shd w:val="clear" w:color="auto" w:fill="auto"/>
          </w:tcPr>
          <w:p w14:paraId="0D074FF1" w14:textId="643003B5" w:rsidR="00674B4A" w:rsidRPr="00AC48C9" w:rsidRDefault="00674B4A" w:rsidP="00C95C0D">
            <w:pPr>
              <w:keepNext/>
              <w:keepLines/>
              <w:tabs>
                <w:tab w:val="decimal" w:pos="331"/>
              </w:tabs>
              <w:spacing w:line="260" w:lineRule="exact"/>
              <w:jc w:val="right"/>
              <w:rPr>
                <w:lang w:eastAsia="zh-HK"/>
              </w:rPr>
            </w:pPr>
            <w:r>
              <w:rPr>
                <w:lang w:eastAsia="zh-HK"/>
              </w:rPr>
              <w:t>-8.4</w:t>
            </w:r>
          </w:p>
        </w:tc>
        <w:tc>
          <w:tcPr>
            <w:tcW w:w="1044" w:type="dxa"/>
          </w:tcPr>
          <w:p w14:paraId="1583BC79" w14:textId="772D1949" w:rsidR="00674B4A" w:rsidRDefault="00FE2F97" w:rsidP="00C95C0D">
            <w:pPr>
              <w:keepNext/>
              <w:keepLines/>
              <w:tabs>
                <w:tab w:val="decimal" w:pos="331"/>
              </w:tabs>
              <w:spacing w:line="260" w:lineRule="exact"/>
              <w:jc w:val="right"/>
              <w:rPr>
                <w:lang w:eastAsia="zh-HK"/>
              </w:rPr>
            </w:pPr>
            <w:r>
              <w:rPr>
                <w:rFonts w:hint="eastAsia"/>
                <w:lang w:eastAsia="zh-HK"/>
              </w:rPr>
              <w:t>-</w:t>
            </w:r>
            <w:r w:rsidR="00D43F1C">
              <w:rPr>
                <w:lang w:eastAsia="zh-HK"/>
              </w:rPr>
              <w:t>11</w:t>
            </w:r>
            <w:r>
              <w:rPr>
                <w:rFonts w:hint="eastAsia"/>
                <w:lang w:eastAsia="zh-HK"/>
              </w:rPr>
              <w:t>.</w:t>
            </w:r>
            <w:r w:rsidR="00D43F1C">
              <w:rPr>
                <w:lang w:eastAsia="zh-HK"/>
              </w:rPr>
              <w:t>0</w:t>
            </w:r>
          </w:p>
        </w:tc>
      </w:tr>
      <w:tr w:rsidR="00674B4A" w:rsidRPr="00AC0FF2" w14:paraId="2181A9D0" w14:textId="79E220FB" w:rsidTr="00B65A4E">
        <w:trPr>
          <w:jc w:val="center"/>
        </w:trPr>
        <w:tc>
          <w:tcPr>
            <w:tcW w:w="2233" w:type="dxa"/>
            <w:vAlign w:val="center"/>
          </w:tcPr>
          <w:p w14:paraId="4B0B32C7" w14:textId="77777777" w:rsidR="00674B4A" w:rsidRPr="00AC0FF2" w:rsidRDefault="00674B4A" w:rsidP="00C95C0D">
            <w:pPr>
              <w:keepNext/>
              <w:keepLines/>
              <w:rPr>
                <w:rFonts w:eastAsia="SimSun"/>
                <w:lang w:eastAsia="zh-CN"/>
              </w:rPr>
            </w:pPr>
          </w:p>
        </w:tc>
        <w:tc>
          <w:tcPr>
            <w:tcW w:w="1044" w:type="dxa"/>
          </w:tcPr>
          <w:p w14:paraId="07A7E1D3"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4E8F13D9"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61F94E8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3445D9E6"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76C50C04"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006AEFE4" w14:textId="77777777" w:rsidR="00674B4A" w:rsidRPr="00AC48C9" w:rsidRDefault="00674B4A" w:rsidP="00C95C0D">
            <w:pPr>
              <w:keepNext/>
              <w:keepLines/>
              <w:tabs>
                <w:tab w:val="decimal" w:pos="331"/>
              </w:tabs>
              <w:spacing w:line="260" w:lineRule="exact"/>
              <w:jc w:val="right"/>
            </w:pPr>
          </w:p>
        </w:tc>
        <w:tc>
          <w:tcPr>
            <w:tcW w:w="1044" w:type="dxa"/>
          </w:tcPr>
          <w:p w14:paraId="731831C5" w14:textId="77777777" w:rsidR="00674B4A" w:rsidRPr="00AC48C9" w:rsidRDefault="00674B4A" w:rsidP="00C95C0D">
            <w:pPr>
              <w:keepNext/>
              <w:keepLines/>
              <w:tabs>
                <w:tab w:val="decimal" w:pos="331"/>
              </w:tabs>
              <w:spacing w:line="260" w:lineRule="exact"/>
              <w:jc w:val="right"/>
            </w:pPr>
          </w:p>
        </w:tc>
      </w:tr>
      <w:tr w:rsidR="00674B4A" w:rsidRPr="00AC0FF2" w14:paraId="0EA0B283" w14:textId="023A44B0" w:rsidTr="00B65A4E">
        <w:trPr>
          <w:jc w:val="center"/>
        </w:trPr>
        <w:tc>
          <w:tcPr>
            <w:tcW w:w="2233" w:type="dxa"/>
            <w:vAlign w:val="center"/>
          </w:tcPr>
          <w:p w14:paraId="065C5BF2" w14:textId="77777777" w:rsidR="00674B4A" w:rsidRPr="00AC0FF2" w:rsidRDefault="00674B4A" w:rsidP="00C95C0D">
            <w:pPr>
              <w:keepNext/>
              <w:keepLines/>
              <w:rPr>
                <w:rFonts w:eastAsia="SimSun"/>
                <w:lang w:eastAsia="zh-CN"/>
              </w:rPr>
            </w:pPr>
            <w:r w:rsidRPr="00AC0FF2">
              <w:rPr>
                <w:rFonts w:eastAsia="SimSun"/>
                <w:lang w:eastAsia="zh-CN"/>
              </w:rPr>
              <w:t>ASEAN</w:t>
            </w:r>
          </w:p>
        </w:tc>
        <w:tc>
          <w:tcPr>
            <w:tcW w:w="1044" w:type="dxa"/>
          </w:tcPr>
          <w:p w14:paraId="2040078E" w14:textId="21CDA486" w:rsidR="00674B4A" w:rsidRPr="00C95C0D" w:rsidRDefault="00674B4A" w:rsidP="00C95C0D">
            <w:pPr>
              <w:keepNext/>
              <w:keepLines/>
              <w:tabs>
                <w:tab w:val="decimal" w:pos="331"/>
              </w:tabs>
              <w:spacing w:line="260" w:lineRule="exact"/>
              <w:jc w:val="right"/>
              <w:rPr>
                <w:highlight w:val="yellow"/>
              </w:rPr>
            </w:pPr>
            <w:r w:rsidRPr="00C95C0D">
              <w:t>17.3</w:t>
            </w:r>
          </w:p>
        </w:tc>
        <w:tc>
          <w:tcPr>
            <w:tcW w:w="1045" w:type="dxa"/>
          </w:tcPr>
          <w:p w14:paraId="536E89FF" w14:textId="118D7EA6"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15.</w:t>
            </w:r>
            <w:r w:rsidRPr="00C95C0D">
              <w:t>5</w:t>
            </w:r>
          </w:p>
        </w:tc>
        <w:tc>
          <w:tcPr>
            <w:tcW w:w="1044" w:type="dxa"/>
          </w:tcPr>
          <w:p w14:paraId="52B0CEB2" w14:textId="4AEC68E6"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21.7</w:t>
            </w:r>
          </w:p>
        </w:tc>
        <w:tc>
          <w:tcPr>
            <w:tcW w:w="1045" w:type="dxa"/>
          </w:tcPr>
          <w:p w14:paraId="63F656BB" w14:textId="755C0D80"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12.3</w:t>
            </w:r>
          </w:p>
        </w:tc>
        <w:tc>
          <w:tcPr>
            <w:tcW w:w="1045" w:type="dxa"/>
          </w:tcPr>
          <w:p w14:paraId="7C6A3C7D" w14:textId="073E9C2A" w:rsidR="00674B4A" w:rsidRPr="00C95C0D" w:rsidRDefault="00674B4A" w:rsidP="00C95C0D">
            <w:pPr>
              <w:keepNext/>
              <w:keepLines/>
              <w:tabs>
                <w:tab w:val="decimal" w:pos="331"/>
              </w:tabs>
              <w:spacing w:line="260" w:lineRule="exact"/>
              <w:jc w:val="right"/>
              <w:rPr>
                <w:highlight w:val="yellow"/>
              </w:rPr>
            </w:pPr>
            <w:r w:rsidRPr="00C95C0D">
              <w:t>19.8</w:t>
            </w:r>
          </w:p>
        </w:tc>
        <w:tc>
          <w:tcPr>
            <w:tcW w:w="1044" w:type="dxa"/>
            <w:shd w:val="clear" w:color="auto" w:fill="auto"/>
          </w:tcPr>
          <w:p w14:paraId="129F9195" w14:textId="323C1452" w:rsidR="00674B4A" w:rsidRPr="00AC48C9" w:rsidRDefault="00674B4A" w:rsidP="000D0AD8">
            <w:pPr>
              <w:keepNext/>
              <w:keepLines/>
              <w:tabs>
                <w:tab w:val="decimal" w:pos="331"/>
              </w:tabs>
              <w:spacing w:line="260" w:lineRule="exact"/>
              <w:jc w:val="right"/>
            </w:pPr>
            <w:r>
              <w:rPr>
                <w:lang w:eastAsia="zh-HK"/>
              </w:rPr>
              <w:t>22.4</w:t>
            </w:r>
          </w:p>
        </w:tc>
        <w:tc>
          <w:tcPr>
            <w:tcW w:w="1044" w:type="dxa"/>
          </w:tcPr>
          <w:p w14:paraId="1069B9A1" w14:textId="7B42A809" w:rsidR="00674B4A" w:rsidRDefault="00FE2F97" w:rsidP="000D0AD8">
            <w:pPr>
              <w:keepNext/>
              <w:keepLines/>
              <w:tabs>
                <w:tab w:val="decimal" w:pos="331"/>
              </w:tabs>
              <w:spacing w:line="260" w:lineRule="exact"/>
              <w:jc w:val="right"/>
              <w:rPr>
                <w:lang w:eastAsia="zh-HK"/>
              </w:rPr>
            </w:pPr>
            <w:r>
              <w:rPr>
                <w:rFonts w:hint="eastAsia"/>
                <w:lang w:eastAsia="zh-HK"/>
              </w:rPr>
              <w:t>2</w:t>
            </w:r>
            <w:r w:rsidR="009304B2">
              <w:rPr>
                <w:rFonts w:hint="eastAsia"/>
                <w:lang w:eastAsia="zh-HK"/>
              </w:rPr>
              <w:t>5</w:t>
            </w:r>
            <w:r>
              <w:rPr>
                <w:rFonts w:hint="eastAsia"/>
                <w:lang w:eastAsia="zh-HK"/>
              </w:rPr>
              <w:t>.</w:t>
            </w:r>
            <w:r w:rsidR="009304B2">
              <w:rPr>
                <w:rFonts w:hint="eastAsia"/>
                <w:lang w:eastAsia="zh-HK"/>
              </w:rPr>
              <w:t>6</w:t>
            </w:r>
          </w:p>
        </w:tc>
      </w:tr>
      <w:tr w:rsidR="00674B4A" w:rsidRPr="00AC0FF2" w14:paraId="21854FC5" w14:textId="430316FA" w:rsidTr="00B65A4E">
        <w:trPr>
          <w:jc w:val="center"/>
        </w:trPr>
        <w:tc>
          <w:tcPr>
            <w:tcW w:w="2233" w:type="dxa"/>
            <w:vAlign w:val="center"/>
          </w:tcPr>
          <w:p w14:paraId="45ECF39A" w14:textId="77777777" w:rsidR="00674B4A" w:rsidRPr="00AC0FF2" w:rsidRDefault="00674B4A" w:rsidP="00C95C0D">
            <w:pPr>
              <w:keepNext/>
              <w:keepLines/>
              <w:rPr>
                <w:rFonts w:eastAsia="SimSun"/>
                <w:lang w:eastAsia="zh-CN"/>
              </w:rPr>
            </w:pPr>
          </w:p>
        </w:tc>
        <w:tc>
          <w:tcPr>
            <w:tcW w:w="1044" w:type="dxa"/>
          </w:tcPr>
          <w:p w14:paraId="2E4A34A3"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6FD214F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697A8FE8"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1DEFAB3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0E8776EE"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7DEA5329" w14:textId="77777777" w:rsidR="00674B4A" w:rsidRPr="00AC48C9" w:rsidRDefault="00674B4A" w:rsidP="00C95C0D">
            <w:pPr>
              <w:keepNext/>
              <w:keepLines/>
              <w:tabs>
                <w:tab w:val="decimal" w:pos="331"/>
              </w:tabs>
              <w:spacing w:line="260" w:lineRule="exact"/>
              <w:jc w:val="right"/>
            </w:pPr>
          </w:p>
        </w:tc>
        <w:tc>
          <w:tcPr>
            <w:tcW w:w="1044" w:type="dxa"/>
          </w:tcPr>
          <w:p w14:paraId="68955C38" w14:textId="77777777" w:rsidR="00674B4A" w:rsidRPr="00AC48C9" w:rsidRDefault="00674B4A" w:rsidP="00C95C0D">
            <w:pPr>
              <w:keepNext/>
              <w:keepLines/>
              <w:tabs>
                <w:tab w:val="decimal" w:pos="331"/>
              </w:tabs>
              <w:spacing w:line="260" w:lineRule="exact"/>
              <w:jc w:val="right"/>
            </w:pPr>
          </w:p>
        </w:tc>
      </w:tr>
      <w:tr w:rsidR="00674B4A" w:rsidRPr="00AC0FF2" w14:paraId="272E8B9D" w14:textId="44FFC3A9" w:rsidTr="00B65A4E">
        <w:trPr>
          <w:jc w:val="center"/>
        </w:trPr>
        <w:tc>
          <w:tcPr>
            <w:tcW w:w="2233" w:type="dxa"/>
            <w:vAlign w:val="center"/>
          </w:tcPr>
          <w:p w14:paraId="1252066C" w14:textId="77777777" w:rsidR="00674B4A" w:rsidRPr="00AC0FF2" w:rsidRDefault="00674B4A" w:rsidP="00C95C0D">
            <w:pPr>
              <w:keepNext/>
              <w:keepLines/>
              <w:rPr>
                <w:rFonts w:eastAsia="SimSun"/>
                <w:lang w:eastAsia="zh-CN"/>
              </w:rPr>
            </w:pPr>
            <w:r w:rsidRPr="00AC0FF2">
              <w:rPr>
                <w:rFonts w:eastAsiaTheme="minorEastAsia"/>
              </w:rPr>
              <w:t xml:space="preserve">  Vietnam</w:t>
            </w:r>
          </w:p>
        </w:tc>
        <w:tc>
          <w:tcPr>
            <w:tcW w:w="1044" w:type="dxa"/>
          </w:tcPr>
          <w:p w14:paraId="6FCD0625" w14:textId="0EAAB065" w:rsidR="00674B4A" w:rsidRPr="00C95C0D" w:rsidRDefault="00674B4A" w:rsidP="00C95C0D">
            <w:pPr>
              <w:keepNext/>
              <w:keepLines/>
              <w:tabs>
                <w:tab w:val="decimal" w:pos="331"/>
              </w:tabs>
              <w:spacing w:line="260" w:lineRule="exact"/>
              <w:jc w:val="right"/>
              <w:rPr>
                <w:highlight w:val="yellow"/>
              </w:rPr>
            </w:pPr>
            <w:r w:rsidRPr="00C95C0D">
              <w:t>25.9</w:t>
            </w:r>
          </w:p>
        </w:tc>
        <w:tc>
          <w:tcPr>
            <w:tcW w:w="1045" w:type="dxa"/>
          </w:tcPr>
          <w:p w14:paraId="27719A07" w14:textId="7188A785" w:rsidR="00674B4A" w:rsidRPr="00C95C0D" w:rsidRDefault="00674B4A" w:rsidP="00C95C0D">
            <w:pPr>
              <w:keepNext/>
              <w:keepLines/>
              <w:tabs>
                <w:tab w:val="decimal" w:pos="331"/>
              </w:tabs>
              <w:spacing w:line="260" w:lineRule="exact"/>
              <w:jc w:val="right"/>
              <w:rPr>
                <w:highlight w:val="yellow"/>
                <w:lang w:eastAsia="zh-HK"/>
              </w:rPr>
            </w:pPr>
            <w:r w:rsidRPr="00C95C0D">
              <w:t>12.2</w:t>
            </w:r>
          </w:p>
        </w:tc>
        <w:tc>
          <w:tcPr>
            <w:tcW w:w="1044" w:type="dxa"/>
          </w:tcPr>
          <w:p w14:paraId="4C2EB743" w14:textId="75EDE3EE" w:rsidR="00674B4A" w:rsidRPr="00C95C0D" w:rsidRDefault="00674B4A" w:rsidP="00C95C0D">
            <w:pPr>
              <w:keepNext/>
              <w:keepLines/>
              <w:tabs>
                <w:tab w:val="decimal" w:pos="331"/>
              </w:tabs>
              <w:spacing w:line="260" w:lineRule="exact"/>
              <w:jc w:val="right"/>
              <w:rPr>
                <w:highlight w:val="yellow"/>
                <w:lang w:eastAsia="zh-HK"/>
              </w:rPr>
            </w:pPr>
            <w:r w:rsidRPr="00C95C0D">
              <w:t>26.9</w:t>
            </w:r>
          </w:p>
        </w:tc>
        <w:tc>
          <w:tcPr>
            <w:tcW w:w="1045" w:type="dxa"/>
          </w:tcPr>
          <w:p w14:paraId="37397270" w14:textId="4A5469BE"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24.7</w:t>
            </w:r>
          </w:p>
        </w:tc>
        <w:tc>
          <w:tcPr>
            <w:tcW w:w="1045" w:type="dxa"/>
          </w:tcPr>
          <w:p w14:paraId="31E7F826" w14:textId="21FCB5E1" w:rsidR="00674B4A" w:rsidRPr="00C95C0D" w:rsidRDefault="00674B4A" w:rsidP="00C95C0D">
            <w:pPr>
              <w:keepNext/>
              <w:keepLines/>
              <w:tabs>
                <w:tab w:val="decimal" w:pos="331"/>
              </w:tabs>
              <w:spacing w:line="260" w:lineRule="exact"/>
              <w:jc w:val="right"/>
              <w:rPr>
                <w:highlight w:val="yellow"/>
              </w:rPr>
            </w:pPr>
            <w:r w:rsidRPr="00C95C0D">
              <w:t>39.0</w:t>
            </w:r>
          </w:p>
        </w:tc>
        <w:tc>
          <w:tcPr>
            <w:tcW w:w="1044" w:type="dxa"/>
            <w:shd w:val="clear" w:color="auto" w:fill="auto"/>
          </w:tcPr>
          <w:p w14:paraId="2B278BE5" w14:textId="6CCD82B1" w:rsidR="00674B4A" w:rsidRPr="00AC48C9" w:rsidRDefault="00674B4A" w:rsidP="00C95C0D">
            <w:pPr>
              <w:keepNext/>
              <w:keepLines/>
              <w:tabs>
                <w:tab w:val="decimal" w:pos="331"/>
              </w:tabs>
              <w:spacing w:line="260" w:lineRule="exact"/>
              <w:jc w:val="right"/>
            </w:pPr>
            <w:r>
              <w:t>6</w:t>
            </w:r>
            <w:r>
              <w:rPr>
                <w:rFonts w:hint="eastAsia"/>
              </w:rPr>
              <w:t>5.2</w:t>
            </w:r>
          </w:p>
        </w:tc>
        <w:tc>
          <w:tcPr>
            <w:tcW w:w="1044" w:type="dxa"/>
          </w:tcPr>
          <w:p w14:paraId="2301F2C7" w14:textId="5DF001A7" w:rsidR="00674B4A" w:rsidRDefault="00716344" w:rsidP="00C95C0D">
            <w:pPr>
              <w:keepNext/>
              <w:keepLines/>
              <w:tabs>
                <w:tab w:val="decimal" w:pos="331"/>
              </w:tabs>
              <w:spacing w:line="260" w:lineRule="exact"/>
              <w:jc w:val="right"/>
            </w:pPr>
            <w:r>
              <w:rPr>
                <w:rFonts w:hint="eastAsia"/>
              </w:rPr>
              <w:t>39</w:t>
            </w:r>
            <w:r w:rsidR="00FE2F97">
              <w:rPr>
                <w:rFonts w:hint="eastAsia"/>
              </w:rPr>
              <w:t>.</w:t>
            </w:r>
            <w:r>
              <w:rPr>
                <w:rFonts w:hint="eastAsia"/>
              </w:rPr>
              <w:t>5</w:t>
            </w:r>
          </w:p>
        </w:tc>
      </w:tr>
      <w:tr w:rsidR="00674B4A" w:rsidRPr="00AC0FF2" w14:paraId="634E01AF" w14:textId="1CCB819B" w:rsidTr="00B65A4E">
        <w:trPr>
          <w:jc w:val="center"/>
        </w:trPr>
        <w:tc>
          <w:tcPr>
            <w:tcW w:w="2233" w:type="dxa"/>
            <w:vAlign w:val="center"/>
          </w:tcPr>
          <w:p w14:paraId="3FAEBB16" w14:textId="77777777" w:rsidR="00674B4A" w:rsidRPr="00AC0FF2" w:rsidRDefault="00674B4A" w:rsidP="00C95C0D">
            <w:pPr>
              <w:keepNext/>
              <w:keepLines/>
              <w:rPr>
                <w:rFonts w:eastAsia="SimSun"/>
                <w:lang w:eastAsia="zh-CN"/>
              </w:rPr>
            </w:pPr>
          </w:p>
        </w:tc>
        <w:tc>
          <w:tcPr>
            <w:tcW w:w="1044" w:type="dxa"/>
          </w:tcPr>
          <w:p w14:paraId="2D4C058C"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587D9B6F"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65C0C76A"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2FAF2266"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6CC76451"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38605948" w14:textId="77777777" w:rsidR="00674B4A" w:rsidRPr="00AC48C9" w:rsidRDefault="00674B4A" w:rsidP="00C95C0D">
            <w:pPr>
              <w:keepNext/>
              <w:keepLines/>
              <w:tabs>
                <w:tab w:val="decimal" w:pos="331"/>
              </w:tabs>
              <w:spacing w:line="260" w:lineRule="exact"/>
              <w:jc w:val="right"/>
            </w:pPr>
          </w:p>
        </w:tc>
        <w:tc>
          <w:tcPr>
            <w:tcW w:w="1044" w:type="dxa"/>
          </w:tcPr>
          <w:p w14:paraId="4637CB75" w14:textId="77777777" w:rsidR="00674B4A" w:rsidRPr="00AC48C9" w:rsidRDefault="00674B4A" w:rsidP="00C95C0D">
            <w:pPr>
              <w:keepNext/>
              <w:keepLines/>
              <w:tabs>
                <w:tab w:val="decimal" w:pos="331"/>
              </w:tabs>
              <w:spacing w:line="260" w:lineRule="exact"/>
              <w:jc w:val="right"/>
            </w:pPr>
          </w:p>
        </w:tc>
      </w:tr>
      <w:tr w:rsidR="00674B4A" w:rsidRPr="00AC0FF2" w14:paraId="27EAA558" w14:textId="65853187" w:rsidTr="00B65A4E">
        <w:trPr>
          <w:jc w:val="center"/>
        </w:trPr>
        <w:tc>
          <w:tcPr>
            <w:tcW w:w="2233" w:type="dxa"/>
            <w:vAlign w:val="center"/>
          </w:tcPr>
          <w:p w14:paraId="42A3914F" w14:textId="77777777" w:rsidR="00674B4A" w:rsidRPr="00AC0FF2" w:rsidRDefault="00674B4A" w:rsidP="00C95C0D">
            <w:pPr>
              <w:keepNext/>
              <w:keepLines/>
              <w:rPr>
                <w:rFonts w:eastAsia="SimSun"/>
                <w:lang w:eastAsia="zh-CN"/>
              </w:rPr>
            </w:pPr>
            <w:r w:rsidRPr="00AC0FF2">
              <w:rPr>
                <w:rFonts w:eastAsia="SimSun"/>
                <w:lang w:eastAsia="zh-CN"/>
              </w:rPr>
              <w:t xml:space="preserve">  Singapore</w:t>
            </w:r>
          </w:p>
        </w:tc>
        <w:tc>
          <w:tcPr>
            <w:tcW w:w="1044" w:type="dxa"/>
          </w:tcPr>
          <w:p w14:paraId="180A4B69" w14:textId="2D9F4BF8" w:rsidR="00674B4A" w:rsidRPr="00C95C0D" w:rsidRDefault="00674B4A" w:rsidP="00C95C0D">
            <w:pPr>
              <w:keepNext/>
              <w:keepLines/>
              <w:tabs>
                <w:tab w:val="decimal" w:pos="331"/>
              </w:tabs>
              <w:spacing w:line="260" w:lineRule="exact"/>
              <w:jc w:val="right"/>
              <w:rPr>
                <w:highlight w:val="yellow"/>
              </w:rPr>
            </w:pPr>
            <w:r w:rsidRPr="00C95C0D">
              <w:t>2.4</w:t>
            </w:r>
          </w:p>
        </w:tc>
        <w:tc>
          <w:tcPr>
            <w:tcW w:w="1045" w:type="dxa"/>
          </w:tcPr>
          <w:p w14:paraId="5DFBA81A" w14:textId="485BB239" w:rsidR="00674B4A" w:rsidRPr="00C95C0D" w:rsidRDefault="00674B4A" w:rsidP="00C95C0D">
            <w:pPr>
              <w:keepNext/>
              <w:keepLines/>
              <w:tabs>
                <w:tab w:val="decimal" w:pos="331"/>
              </w:tabs>
              <w:spacing w:line="260" w:lineRule="exact"/>
              <w:jc w:val="right"/>
              <w:rPr>
                <w:highlight w:val="yellow"/>
                <w:lang w:eastAsia="zh-HK"/>
              </w:rPr>
            </w:pPr>
            <w:r w:rsidRPr="00C95C0D">
              <w:t>3.5</w:t>
            </w:r>
          </w:p>
        </w:tc>
        <w:tc>
          <w:tcPr>
            <w:tcW w:w="1044" w:type="dxa"/>
          </w:tcPr>
          <w:p w14:paraId="1A6CC6B0" w14:textId="6F5BA033" w:rsidR="00674B4A" w:rsidRPr="00C95C0D" w:rsidRDefault="00674B4A" w:rsidP="00C95C0D">
            <w:pPr>
              <w:keepNext/>
              <w:keepLines/>
              <w:tabs>
                <w:tab w:val="decimal" w:pos="331"/>
              </w:tabs>
              <w:spacing w:line="260" w:lineRule="exact"/>
              <w:jc w:val="right"/>
              <w:rPr>
                <w:highlight w:val="yellow"/>
                <w:lang w:eastAsia="zh-HK"/>
              </w:rPr>
            </w:pPr>
            <w:r w:rsidRPr="00C95C0D">
              <w:t>2.0</w:t>
            </w:r>
          </w:p>
        </w:tc>
        <w:tc>
          <w:tcPr>
            <w:tcW w:w="1045" w:type="dxa"/>
          </w:tcPr>
          <w:p w14:paraId="5A0F0E3A" w14:textId="76619398"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-15.1</w:t>
            </w:r>
          </w:p>
        </w:tc>
        <w:tc>
          <w:tcPr>
            <w:tcW w:w="1045" w:type="dxa"/>
          </w:tcPr>
          <w:p w14:paraId="0EA19B11" w14:textId="70900DFB" w:rsidR="00674B4A" w:rsidRPr="00C95C0D" w:rsidRDefault="00674B4A" w:rsidP="00C95C0D">
            <w:pPr>
              <w:keepNext/>
              <w:keepLines/>
              <w:tabs>
                <w:tab w:val="decimal" w:pos="331"/>
              </w:tabs>
              <w:spacing w:line="260" w:lineRule="exact"/>
              <w:jc w:val="right"/>
              <w:rPr>
                <w:highlight w:val="yellow"/>
              </w:rPr>
            </w:pPr>
            <w:r w:rsidRPr="00C95C0D">
              <w:t>19.8</w:t>
            </w:r>
          </w:p>
        </w:tc>
        <w:tc>
          <w:tcPr>
            <w:tcW w:w="1044" w:type="dxa"/>
            <w:shd w:val="clear" w:color="auto" w:fill="auto"/>
          </w:tcPr>
          <w:p w14:paraId="68C6A667" w14:textId="7B1C61F3" w:rsidR="00674B4A" w:rsidRPr="00AC48C9" w:rsidRDefault="00674B4A" w:rsidP="00C95C0D">
            <w:pPr>
              <w:keepNext/>
              <w:keepLines/>
              <w:tabs>
                <w:tab w:val="decimal" w:pos="331"/>
              </w:tabs>
              <w:spacing w:line="260" w:lineRule="exact"/>
              <w:jc w:val="right"/>
            </w:pPr>
            <w:r>
              <w:t>3.6</w:t>
            </w:r>
          </w:p>
        </w:tc>
        <w:tc>
          <w:tcPr>
            <w:tcW w:w="1044" w:type="dxa"/>
          </w:tcPr>
          <w:p w14:paraId="41C9E2B5" w14:textId="5B0C0C0C" w:rsidR="00674B4A" w:rsidRDefault="00D43F1C" w:rsidP="00C95C0D">
            <w:pPr>
              <w:keepNext/>
              <w:keepLines/>
              <w:tabs>
                <w:tab w:val="decimal" w:pos="331"/>
              </w:tabs>
              <w:spacing w:line="260" w:lineRule="exact"/>
              <w:jc w:val="right"/>
            </w:pPr>
            <w:r>
              <w:t>4</w:t>
            </w:r>
            <w:r w:rsidR="00FE2F97">
              <w:rPr>
                <w:rFonts w:hint="eastAsia"/>
              </w:rPr>
              <w:t>.</w:t>
            </w:r>
            <w:r w:rsidR="00716344">
              <w:rPr>
                <w:rFonts w:hint="eastAsia"/>
              </w:rPr>
              <w:t>2</w:t>
            </w:r>
          </w:p>
        </w:tc>
      </w:tr>
      <w:tr w:rsidR="00674B4A" w:rsidRPr="00AC0FF2" w14:paraId="3F657133" w14:textId="790B0B59" w:rsidTr="00B65A4E">
        <w:trPr>
          <w:jc w:val="center"/>
        </w:trPr>
        <w:tc>
          <w:tcPr>
            <w:tcW w:w="2233" w:type="dxa"/>
            <w:vAlign w:val="center"/>
          </w:tcPr>
          <w:p w14:paraId="6FD5F855" w14:textId="77777777" w:rsidR="00674B4A" w:rsidRPr="00AC0FF2" w:rsidRDefault="00674B4A" w:rsidP="00C95C0D">
            <w:pPr>
              <w:keepNext/>
              <w:keepLines/>
              <w:rPr>
                <w:rFonts w:eastAsia="SimSun"/>
                <w:lang w:eastAsia="zh-CN"/>
              </w:rPr>
            </w:pPr>
          </w:p>
        </w:tc>
        <w:tc>
          <w:tcPr>
            <w:tcW w:w="1044" w:type="dxa"/>
          </w:tcPr>
          <w:p w14:paraId="7EA4CD23"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135EA616"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311662E6"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42DCE147"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2EBB44D3"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614C18EF" w14:textId="77777777" w:rsidR="00674B4A" w:rsidRPr="00AC48C9" w:rsidRDefault="00674B4A" w:rsidP="00C95C0D">
            <w:pPr>
              <w:keepNext/>
              <w:keepLines/>
              <w:tabs>
                <w:tab w:val="decimal" w:pos="331"/>
              </w:tabs>
              <w:spacing w:line="260" w:lineRule="exact"/>
              <w:jc w:val="right"/>
            </w:pPr>
          </w:p>
        </w:tc>
        <w:tc>
          <w:tcPr>
            <w:tcW w:w="1044" w:type="dxa"/>
          </w:tcPr>
          <w:p w14:paraId="37BF4E1E" w14:textId="77777777" w:rsidR="00674B4A" w:rsidRPr="00AC48C9" w:rsidRDefault="00674B4A" w:rsidP="00C95C0D">
            <w:pPr>
              <w:keepNext/>
              <w:keepLines/>
              <w:tabs>
                <w:tab w:val="decimal" w:pos="331"/>
              </w:tabs>
              <w:spacing w:line="260" w:lineRule="exact"/>
              <w:jc w:val="right"/>
            </w:pPr>
          </w:p>
        </w:tc>
      </w:tr>
      <w:tr w:rsidR="00674B4A" w:rsidRPr="00AC0FF2" w14:paraId="3ECF14DB" w14:textId="4124A73F" w:rsidTr="00B65A4E">
        <w:trPr>
          <w:jc w:val="center"/>
        </w:trPr>
        <w:tc>
          <w:tcPr>
            <w:tcW w:w="2233" w:type="dxa"/>
            <w:vAlign w:val="center"/>
          </w:tcPr>
          <w:p w14:paraId="31B48C57" w14:textId="77777777" w:rsidR="00674B4A" w:rsidRPr="00AC0FF2" w:rsidRDefault="00674B4A" w:rsidP="00C95C0D">
            <w:pPr>
              <w:keepNext/>
              <w:keepLines/>
              <w:rPr>
                <w:rFonts w:eastAsia="SimSun"/>
                <w:lang w:eastAsia="zh-CN"/>
              </w:rPr>
            </w:pPr>
            <w:r w:rsidRPr="00AC0FF2">
              <w:rPr>
                <w:rFonts w:eastAsia="SimSun"/>
                <w:lang w:eastAsia="zh-CN"/>
              </w:rPr>
              <w:t>India</w:t>
            </w:r>
          </w:p>
        </w:tc>
        <w:tc>
          <w:tcPr>
            <w:tcW w:w="1044" w:type="dxa"/>
          </w:tcPr>
          <w:p w14:paraId="7678C523" w14:textId="6B1021D9" w:rsidR="00674B4A" w:rsidRPr="00C95C0D" w:rsidRDefault="00674B4A" w:rsidP="00C95C0D">
            <w:pPr>
              <w:keepNext/>
              <w:keepLines/>
              <w:tabs>
                <w:tab w:val="decimal" w:pos="331"/>
              </w:tabs>
              <w:spacing w:line="260" w:lineRule="exact"/>
              <w:jc w:val="right"/>
              <w:rPr>
                <w:highlight w:val="yellow"/>
              </w:rPr>
            </w:pPr>
            <w:r w:rsidRPr="00C95C0D">
              <w:rPr>
                <w:lang w:eastAsia="zh-HK"/>
              </w:rPr>
              <w:t>-17.</w:t>
            </w:r>
            <w:r w:rsidRPr="00C95C0D">
              <w:t>8</w:t>
            </w:r>
          </w:p>
        </w:tc>
        <w:tc>
          <w:tcPr>
            <w:tcW w:w="1045" w:type="dxa"/>
          </w:tcPr>
          <w:p w14:paraId="122FC043" w14:textId="516B1B77" w:rsidR="00674B4A" w:rsidRPr="00C95C0D" w:rsidRDefault="00674B4A" w:rsidP="00C95C0D">
            <w:pPr>
              <w:keepNext/>
              <w:keepLines/>
              <w:tabs>
                <w:tab w:val="decimal" w:pos="331"/>
              </w:tabs>
              <w:spacing w:line="260" w:lineRule="exact"/>
              <w:jc w:val="right"/>
              <w:rPr>
                <w:highlight w:val="yellow"/>
                <w:lang w:eastAsia="zh-HK"/>
              </w:rPr>
            </w:pPr>
            <w:r w:rsidRPr="00C95C0D">
              <w:t>9.5</w:t>
            </w:r>
          </w:p>
        </w:tc>
        <w:tc>
          <w:tcPr>
            <w:tcW w:w="1044" w:type="dxa"/>
          </w:tcPr>
          <w:p w14:paraId="4CEF7739" w14:textId="27D76E7B" w:rsidR="00674B4A" w:rsidRPr="00C95C0D" w:rsidRDefault="00674B4A" w:rsidP="00C95C0D">
            <w:pPr>
              <w:keepNext/>
              <w:keepLines/>
              <w:tabs>
                <w:tab w:val="decimal" w:pos="331"/>
              </w:tabs>
              <w:spacing w:line="260" w:lineRule="exact"/>
              <w:jc w:val="right"/>
              <w:rPr>
                <w:highlight w:val="yellow"/>
                <w:lang w:eastAsia="zh-HK"/>
              </w:rPr>
            </w:pPr>
            <w:r w:rsidRPr="00C95C0D">
              <w:t>-20.8</w:t>
            </w:r>
          </w:p>
        </w:tc>
        <w:tc>
          <w:tcPr>
            <w:tcW w:w="1045" w:type="dxa"/>
          </w:tcPr>
          <w:p w14:paraId="19BD97FB" w14:textId="7DDA6B42"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-23.7</w:t>
            </w:r>
          </w:p>
        </w:tc>
        <w:tc>
          <w:tcPr>
            <w:tcW w:w="1045" w:type="dxa"/>
          </w:tcPr>
          <w:p w14:paraId="197C3C99" w14:textId="3CC843E8" w:rsidR="00674B4A" w:rsidRPr="00C95C0D" w:rsidRDefault="00674B4A" w:rsidP="00C95C0D">
            <w:pPr>
              <w:keepNext/>
              <w:keepLines/>
              <w:tabs>
                <w:tab w:val="decimal" w:pos="331"/>
              </w:tabs>
              <w:spacing w:line="260" w:lineRule="exact"/>
              <w:jc w:val="right"/>
              <w:rPr>
                <w:highlight w:val="yellow"/>
              </w:rPr>
            </w:pPr>
            <w:r w:rsidRPr="00C95C0D">
              <w:rPr>
                <w:lang w:eastAsia="zh-HK"/>
              </w:rPr>
              <w:t>-3</w:t>
            </w:r>
            <w:r w:rsidRPr="00C95C0D">
              <w:t>1.2</w:t>
            </w:r>
          </w:p>
        </w:tc>
        <w:tc>
          <w:tcPr>
            <w:tcW w:w="1044" w:type="dxa"/>
            <w:shd w:val="clear" w:color="auto" w:fill="auto"/>
          </w:tcPr>
          <w:p w14:paraId="4E2D66D7" w14:textId="4F00B83E" w:rsidR="00674B4A" w:rsidRPr="00AC48C9" w:rsidRDefault="00674B4A" w:rsidP="000D0AD8">
            <w:pPr>
              <w:keepNext/>
              <w:keepLines/>
              <w:tabs>
                <w:tab w:val="decimal" w:pos="331"/>
              </w:tabs>
              <w:spacing w:line="260" w:lineRule="exact"/>
              <w:jc w:val="right"/>
              <w:rPr>
                <w:lang w:eastAsia="zh-HK"/>
              </w:rPr>
            </w:pPr>
            <w:r>
              <w:t>-19.0</w:t>
            </w:r>
          </w:p>
        </w:tc>
        <w:tc>
          <w:tcPr>
            <w:tcW w:w="1044" w:type="dxa"/>
          </w:tcPr>
          <w:p w14:paraId="3630E744" w14:textId="186106FF" w:rsidR="00674B4A" w:rsidRDefault="009304B2" w:rsidP="000D0AD8">
            <w:pPr>
              <w:keepNext/>
              <w:keepLines/>
              <w:tabs>
                <w:tab w:val="decimal" w:pos="331"/>
              </w:tabs>
              <w:spacing w:line="260" w:lineRule="exact"/>
              <w:jc w:val="right"/>
            </w:pPr>
            <w:r>
              <w:rPr>
                <w:rFonts w:hint="eastAsia"/>
              </w:rPr>
              <w:t>24</w:t>
            </w:r>
            <w:r w:rsidR="00FE2F97">
              <w:rPr>
                <w:rFonts w:hint="eastAsia"/>
              </w:rPr>
              <w:t>.</w:t>
            </w:r>
            <w:r>
              <w:rPr>
                <w:rFonts w:hint="eastAsia"/>
              </w:rPr>
              <w:t>3</w:t>
            </w:r>
          </w:p>
        </w:tc>
      </w:tr>
      <w:tr w:rsidR="00674B4A" w:rsidRPr="00AC0FF2" w14:paraId="04B2116A" w14:textId="0D24EB35" w:rsidTr="00B65A4E">
        <w:trPr>
          <w:jc w:val="center"/>
        </w:trPr>
        <w:tc>
          <w:tcPr>
            <w:tcW w:w="2233" w:type="dxa"/>
            <w:vAlign w:val="center"/>
          </w:tcPr>
          <w:p w14:paraId="295FEBBA" w14:textId="77777777" w:rsidR="00674B4A" w:rsidRPr="00AC0FF2" w:rsidRDefault="00674B4A" w:rsidP="00C95C0D">
            <w:pPr>
              <w:keepNext/>
              <w:keepLines/>
              <w:rPr>
                <w:rFonts w:eastAsia="SimSun"/>
                <w:lang w:eastAsia="zh-CN"/>
              </w:rPr>
            </w:pPr>
          </w:p>
        </w:tc>
        <w:tc>
          <w:tcPr>
            <w:tcW w:w="1044" w:type="dxa"/>
          </w:tcPr>
          <w:p w14:paraId="5FE31410"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25858D52"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0F8B3EA9"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6BEF91E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60BCB004"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41B981B7" w14:textId="77777777" w:rsidR="00674B4A" w:rsidRPr="00AC48C9" w:rsidRDefault="00674B4A" w:rsidP="00C95C0D">
            <w:pPr>
              <w:keepNext/>
              <w:keepLines/>
              <w:tabs>
                <w:tab w:val="decimal" w:pos="331"/>
              </w:tabs>
              <w:spacing w:line="260" w:lineRule="exact"/>
              <w:jc w:val="right"/>
            </w:pPr>
          </w:p>
        </w:tc>
        <w:tc>
          <w:tcPr>
            <w:tcW w:w="1044" w:type="dxa"/>
          </w:tcPr>
          <w:p w14:paraId="5C5FF903" w14:textId="77777777" w:rsidR="00674B4A" w:rsidRPr="00AC48C9" w:rsidRDefault="00674B4A" w:rsidP="00C95C0D">
            <w:pPr>
              <w:keepNext/>
              <w:keepLines/>
              <w:tabs>
                <w:tab w:val="decimal" w:pos="331"/>
              </w:tabs>
              <w:spacing w:line="260" w:lineRule="exact"/>
              <w:jc w:val="right"/>
            </w:pPr>
          </w:p>
        </w:tc>
      </w:tr>
      <w:tr w:rsidR="00674B4A" w:rsidRPr="00AC0FF2" w14:paraId="26A7A151" w14:textId="68E0E119" w:rsidTr="00B65A4E">
        <w:trPr>
          <w:jc w:val="center"/>
        </w:trPr>
        <w:tc>
          <w:tcPr>
            <w:tcW w:w="2233" w:type="dxa"/>
            <w:vAlign w:val="center"/>
          </w:tcPr>
          <w:p w14:paraId="3E52D15F" w14:textId="77777777" w:rsidR="00674B4A" w:rsidRPr="00AC0FF2" w:rsidRDefault="00674B4A" w:rsidP="00C95C0D">
            <w:pPr>
              <w:keepNext/>
              <w:keepLines/>
              <w:rPr>
                <w:vertAlign w:val="superscript"/>
              </w:rPr>
            </w:pPr>
            <w:r w:rsidRPr="00AC0FF2">
              <w:rPr>
                <w:rFonts w:eastAsia="SimSun"/>
                <w:lang w:eastAsia="zh-CN"/>
              </w:rPr>
              <w:t>Japan</w:t>
            </w:r>
          </w:p>
        </w:tc>
        <w:tc>
          <w:tcPr>
            <w:tcW w:w="1044" w:type="dxa"/>
          </w:tcPr>
          <w:p w14:paraId="0A36F664" w14:textId="1C269C34" w:rsidR="00674B4A" w:rsidRPr="00C95C0D" w:rsidRDefault="00674B4A" w:rsidP="00C95C0D">
            <w:pPr>
              <w:keepNext/>
              <w:keepLines/>
              <w:tabs>
                <w:tab w:val="decimal" w:pos="331"/>
              </w:tabs>
              <w:spacing w:line="260" w:lineRule="exact"/>
              <w:jc w:val="right"/>
              <w:rPr>
                <w:highlight w:val="yellow"/>
              </w:rPr>
            </w:pPr>
            <w:r w:rsidRPr="00C95C0D">
              <w:rPr>
                <w:lang w:eastAsia="zh-HK"/>
              </w:rPr>
              <w:t>-</w:t>
            </w:r>
            <w:r w:rsidRPr="00C95C0D">
              <w:t>3.9</w:t>
            </w:r>
          </w:p>
        </w:tc>
        <w:tc>
          <w:tcPr>
            <w:tcW w:w="1045" w:type="dxa"/>
          </w:tcPr>
          <w:p w14:paraId="79971BBD" w14:textId="7ECDE683"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w:t>
            </w:r>
            <w:r w:rsidRPr="00C95C0D">
              <w:t>3.0</w:t>
            </w:r>
          </w:p>
        </w:tc>
        <w:tc>
          <w:tcPr>
            <w:tcW w:w="1044" w:type="dxa"/>
          </w:tcPr>
          <w:p w14:paraId="35101174" w14:textId="787206F0"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0.6</w:t>
            </w:r>
          </w:p>
        </w:tc>
        <w:tc>
          <w:tcPr>
            <w:tcW w:w="1045" w:type="dxa"/>
          </w:tcPr>
          <w:p w14:paraId="447A6948" w14:textId="7A25636A"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-3.6</w:t>
            </w:r>
          </w:p>
        </w:tc>
        <w:tc>
          <w:tcPr>
            <w:tcW w:w="1045" w:type="dxa"/>
          </w:tcPr>
          <w:p w14:paraId="2725B657" w14:textId="1C0B93CC" w:rsidR="00674B4A" w:rsidRPr="00C95C0D" w:rsidRDefault="00674B4A" w:rsidP="00C95C0D">
            <w:pPr>
              <w:keepNext/>
              <w:keepLines/>
              <w:tabs>
                <w:tab w:val="decimal" w:pos="331"/>
              </w:tabs>
              <w:spacing w:line="260" w:lineRule="exact"/>
              <w:jc w:val="right"/>
              <w:rPr>
                <w:highlight w:val="yellow"/>
              </w:rPr>
            </w:pPr>
            <w:r w:rsidRPr="00C95C0D">
              <w:rPr>
                <w:lang w:eastAsia="zh-HK"/>
              </w:rPr>
              <w:t>-</w:t>
            </w:r>
            <w:r w:rsidRPr="00C95C0D">
              <w:t>9.5</w:t>
            </w:r>
          </w:p>
        </w:tc>
        <w:tc>
          <w:tcPr>
            <w:tcW w:w="1044" w:type="dxa"/>
            <w:shd w:val="clear" w:color="auto" w:fill="auto"/>
          </w:tcPr>
          <w:p w14:paraId="6CD0F082" w14:textId="12E08DB8" w:rsidR="00674B4A" w:rsidRPr="00AC48C9" w:rsidRDefault="00674B4A" w:rsidP="00C95C0D">
            <w:pPr>
              <w:keepNext/>
              <w:keepLines/>
              <w:tabs>
                <w:tab w:val="decimal" w:pos="331"/>
              </w:tabs>
              <w:spacing w:line="260" w:lineRule="exact"/>
              <w:jc w:val="right"/>
              <w:rPr>
                <w:lang w:eastAsia="zh-HK"/>
              </w:rPr>
            </w:pPr>
            <w:r>
              <w:t>0.5</w:t>
            </w:r>
          </w:p>
        </w:tc>
        <w:tc>
          <w:tcPr>
            <w:tcW w:w="1044" w:type="dxa"/>
          </w:tcPr>
          <w:p w14:paraId="16286356" w14:textId="0B5FCD57" w:rsidR="00674B4A" w:rsidRDefault="00D43F1C" w:rsidP="00C95C0D">
            <w:pPr>
              <w:keepNext/>
              <w:keepLines/>
              <w:tabs>
                <w:tab w:val="decimal" w:pos="331"/>
              </w:tabs>
              <w:spacing w:line="260" w:lineRule="exact"/>
              <w:jc w:val="right"/>
            </w:pPr>
            <w:r>
              <w:t>31</w:t>
            </w:r>
            <w:r w:rsidR="00FE2F97">
              <w:rPr>
                <w:rFonts w:hint="eastAsia"/>
              </w:rPr>
              <w:t>.</w:t>
            </w:r>
            <w:r w:rsidR="009304B2">
              <w:rPr>
                <w:rFonts w:hint="eastAsia"/>
              </w:rPr>
              <w:t>2</w:t>
            </w:r>
          </w:p>
        </w:tc>
      </w:tr>
      <w:tr w:rsidR="00674B4A" w:rsidRPr="00AC0FF2" w14:paraId="486335F9" w14:textId="26779942" w:rsidTr="00B65A4E">
        <w:trPr>
          <w:jc w:val="center"/>
        </w:trPr>
        <w:tc>
          <w:tcPr>
            <w:tcW w:w="2233" w:type="dxa"/>
            <w:vAlign w:val="center"/>
          </w:tcPr>
          <w:p w14:paraId="07E45E18" w14:textId="77777777" w:rsidR="00674B4A" w:rsidRPr="00AC0FF2" w:rsidRDefault="00674B4A" w:rsidP="00C95C0D">
            <w:pPr>
              <w:keepNext/>
              <w:keepLines/>
              <w:rPr>
                <w:rFonts w:eastAsia="SimSun"/>
                <w:lang w:eastAsia="zh-CN"/>
              </w:rPr>
            </w:pPr>
          </w:p>
        </w:tc>
        <w:tc>
          <w:tcPr>
            <w:tcW w:w="1044" w:type="dxa"/>
          </w:tcPr>
          <w:p w14:paraId="5EFA8500"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4BCD3960"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1B1EF2B1"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0D512979"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7DB0D122"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0353FED0" w14:textId="77777777" w:rsidR="00674B4A" w:rsidRPr="00AC48C9" w:rsidRDefault="00674B4A" w:rsidP="00C95C0D">
            <w:pPr>
              <w:keepNext/>
              <w:keepLines/>
              <w:tabs>
                <w:tab w:val="decimal" w:pos="331"/>
              </w:tabs>
              <w:spacing w:line="260" w:lineRule="exact"/>
              <w:jc w:val="right"/>
            </w:pPr>
          </w:p>
        </w:tc>
        <w:tc>
          <w:tcPr>
            <w:tcW w:w="1044" w:type="dxa"/>
          </w:tcPr>
          <w:p w14:paraId="553F4999" w14:textId="77777777" w:rsidR="00674B4A" w:rsidRPr="00AC48C9" w:rsidRDefault="00674B4A" w:rsidP="00C95C0D">
            <w:pPr>
              <w:keepNext/>
              <w:keepLines/>
              <w:tabs>
                <w:tab w:val="decimal" w:pos="331"/>
              </w:tabs>
              <w:spacing w:line="260" w:lineRule="exact"/>
              <w:jc w:val="right"/>
            </w:pPr>
          </w:p>
        </w:tc>
      </w:tr>
      <w:tr w:rsidR="00674B4A" w:rsidRPr="00AC0FF2" w14:paraId="4E04CD71" w14:textId="77F75D80" w:rsidTr="00B65A4E">
        <w:trPr>
          <w:jc w:val="center"/>
        </w:trPr>
        <w:tc>
          <w:tcPr>
            <w:tcW w:w="2233" w:type="dxa"/>
            <w:vAlign w:val="center"/>
          </w:tcPr>
          <w:p w14:paraId="211A6515" w14:textId="77777777" w:rsidR="00674B4A" w:rsidRPr="00AC0FF2" w:rsidRDefault="00674B4A" w:rsidP="00C95C0D">
            <w:pPr>
              <w:keepNext/>
              <w:keepLines/>
              <w:rPr>
                <w:rFonts w:eastAsiaTheme="minorEastAsia"/>
              </w:rPr>
            </w:pPr>
            <w:r w:rsidRPr="00AC0FF2">
              <w:rPr>
                <w:rFonts w:eastAsia="SimSun"/>
                <w:lang w:eastAsia="zh-CN"/>
              </w:rPr>
              <w:t>Taiwan</w:t>
            </w:r>
          </w:p>
        </w:tc>
        <w:tc>
          <w:tcPr>
            <w:tcW w:w="1044" w:type="dxa"/>
          </w:tcPr>
          <w:p w14:paraId="0CA49606" w14:textId="23F8E531" w:rsidR="00674B4A" w:rsidRPr="00C95C0D" w:rsidRDefault="00674B4A" w:rsidP="00C95C0D">
            <w:pPr>
              <w:keepNext/>
              <w:keepLines/>
              <w:tabs>
                <w:tab w:val="decimal" w:pos="331"/>
              </w:tabs>
              <w:spacing w:line="260" w:lineRule="exact"/>
              <w:jc w:val="right"/>
              <w:rPr>
                <w:highlight w:val="yellow"/>
              </w:rPr>
            </w:pPr>
            <w:r w:rsidRPr="00C95C0D">
              <w:rPr>
                <w:lang w:eastAsia="zh-HK"/>
              </w:rPr>
              <w:t>-2.7</w:t>
            </w:r>
          </w:p>
        </w:tc>
        <w:tc>
          <w:tcPr>
            <w:tcW w:w="1045" w:type="dxa"/>
          </w:tcPr>
          <w:p w14:paraId="211C0AEB" w14:textId="48781632"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w:t>
            </w:r>
            <w:r w:rsidRPr="00C95C0D">
              <w:t>8.3</w:t>
            </w:r>
          </w:p>
        </w:tc>
        <w:tc>
          <w:tcPr>
            <w:tcW w:w="1044" w:type="dxa"/>
          </w:tcPr>
          <w:p w14:paraId="4BDBAFB0" w14:textId="70ABE327"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8.1</w:t>
            </w:r>
          </w:p>
        </w:tc>
        <w:tc>
          <w:tcPr>
            <w:tcW w:w="1045" w:type="dxa"/>
          </w:tcPr>
          <w:p w14:paraId="45EFD65E" w14:textId="73906F4C"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-8.2</w:t>
            </w:r>
          </w:p>
        </w:tc>
        <w:tc>
          <w:tcPr>
            <w:tcW w:w="1045" w:type="dxa"/>
          </w:tcPr>
          <w:p w14:paraId="1CFFAF6A" w14:textId="3DB2E250" w:rsidR="00674B4A" w:rsidRPr="00C95C0D" w:rsidRDefault="00674B4A" w:rsidP="00C95C0D">
            <w:pPr>
              <w:keepNext/>
              <w:keepLines/>
              <w:tabs>
                <w:tab w:val="decimal" w:pos="331"/>
              </w:tabs>
              <w:spacing w:line="260" w:lineRule="exact"/>
              <w:jc w:val="right"/>
              <w:rPr>
                <w:highlight w:val="yellow"/>
              </w:rPr>
            </w:pPr>
            <w:r w:rsidRPr="00C95C0D">
              <w:rPr>
                <w:lang w:eastAsia="zh-HK"/>
              </w:rPr>
              <w:t>-1.</w:t>
            </w:r>
            <w:r w:rsidRPr="00C95C0D">
              <w:t>5</w:t>
            </w:r>
          </w:p>
        </w:tc>
        <w:tc>
          <w:tcPr>
            <w:tcW w:w="1044" w:type="dxa"/>
            <w:shd w:val="clear" w:color="auto" w:fill="auto"/>
          </w:tcPr>
          <w:p w14:paraId="17F93221" w14:textId="41B13103" w:rsidR="00674B4A" w:rsidRPr="00AC48C9" w:rsidRDefault="00674B4A" w:rsidP="000D0AD8">
            <w:pPr>
              <w:keepNext/>
              <w:keepLines/>
              <w:tabs>
                <w:tab w:val="decimal" w:pos="331"/>
              </w:tabs>
              <w:spacing w:line="260" w:lineRule="exact"/>
              <w:jc w:val="right"/>
              <w:rPr>
                <w:lang w:eastAsia="zh-HK"/>
              </w:rPr>
            </w:pPr>
            <w:r>
              <w:rPr>
                <w:lang w:eastAsia="zh-HK"/>
              </w:rPr>
              <w:t>33.</w:t>
            </w:r>
            <w:r>
              <w:rPr>
                <w:rFonts w:hint="eastAsia"/>
              </w:rPr>
              <w:t>4</w:t>
            </w:r>
          </w:p>
        </w:tc>
        <w:tc>
          <w:tcPr>
            <w:tcW w:w="1044" w:type="dxa"/>
          </w:tcPr>
          <w:p w14:paraId="67CAFF6B" w14:textId="58682AD4" w:rsidR="00674B4A" w:rsidRDefault="00D43F1C" w:rsidP="000D0AD8">
            <w:pPr>
              <w:keepNext/>
              <w:keepLines/>
              <w:tabs>
                <w:tab w:val="decimal" w:pos="331"/>
              </w:tabs>
              <w:spacing w:line="260" w:lineRule="exact"/>
              <w:jc w:val="right"/>
              <w:rPr>
                <w:lang w:eastAsia="zh-HK"/>
              </w:rPr>
            </w:pPr>
            <w:r>
              <w:rPr>
                <w:lang w:eastAsia="zh-HK"/>
              </w:rPr>
              <w:t>20</w:t>
            </w:r>
            <w:r w:rsidR="00FE2F97">
              <w:rPr>
                <w:rFonts w:hint="eastAsia"/>
                <w:lang w:eastAsia="zh-HK"/>
              </w:rPr>
              <w:t>.</w:t>
            </w:r>
            <w:r w:rsidR="00716344">
              <w:rPr>
                <w:rFonts w:hint="eastAsia"/>
                <w:lang w:eastAsia="zh-HK"/>
              </w:rPr>
              <w:t>7</w:t>
            </w:r>
          </w:p>
        </w:tc>
      </w:tr>
      <w:tr w:rsidR="00674B4A" w:rsidRPr="00AC0FF2" w14:paraId="05B069BA" w14:textId="71B598E4" w:rsidTr="00B65A4E">
        <w:trPr>
          <w:jc w:val="center"/>
        </w:trPr>
        <w:tc>
          <w:tcPr>
            <w:tcW w:w="2233" w:type="dxa"/>
            <w:vAlign w:val="center"/>
          </w:tcPr>
          <w:p w14:paraId="294A3D65" w14:textId="77777777" w:rsidR="00674B4A" w:rsidRPr="00AC0FF2" w:rsidRDefault="00674B4A" w:rsidP="00C95C0D">
            <w:pPr>
              <w:keepNext/>
              <w:keepLines/>
              <w:rPr>
                <w:rFonts w:eastAsia="SimSun"/>
                <w:lang w:eastAsia="zh-CN"/>
              </w:rPr>
            </w:pPr>
          </w:p>
        </w:tc>
        <w:tc>
          <w:tcPr>
            <w:tcW w:w="1044" w:type="dxa"/>
          </w:tcPr>
          <w:p w14:paraId="20222143"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5862CB7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6123D8E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37445BB3"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547EB6B2"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1C33AE3F" w14:textId="77777777" w:rsidR="00674B4A" w:rsidRPr="00AC48C9" w:rsidRDefault="00674B4A" w:rsidP="00C95C0D">
            <w:pPr>
              <w:keepNext/>
              <w:keepLines/>
              <w:tabs>
                <w:tab w:val="decimal" w:pos="331"/>
              </w:tabs>
              <w:spacing w:line="260" w:lineRule="exact"/>
              <w:jc w:val="right"/>
            </w:pPr>
          </w:p>
        </w:tc>
        <w:tc>
          <w:tcPr>
            <w:tcW w:w="1044" w:type="dxa"/>
          </w:tcPr>
          <w:p w14:paraId="5EB747AE" w14:textId="77777777" w:rsidR="00674B4A" w:rsidRPr="00AC48C9" w:rsidRDefault="00674B4A" w:rsidP="00C95C0D">
            <w:pPr>
              <w:keepNext/>
              <w:keepLines/>
              <w:tabs>
                <w:tab w:val="decimal" w:pos="331"/>
              </w:tabs>
              <w:spacing w:line="260" w:lineRule="exact"/>
              <w:jc w:val="right"/>
            </w:pPr>
          </w:p>
        </w:tc>
      </w:tr>
      <w:tr w:rsidR="00674B4A" w:rsidRPr="00AC0FF2" w14:paraId="7DEB1577" w14:textId="3845CAEF" w:rsidTr="00B65A4E">
        <w:trPr>
          <w:jc w:val="center"/>
        </w:trPr>
        <w:tc>
          <w:tcPr>
            <w:tcW w:w="2233" w:type="dxa"/>
            <w:vAlign w:val="center"/>
          </w:tcPr>
          <w:p w14:paraId="5BD4B8F2" w14:textId="77777777" w:rsidR="00674B4A" w:rsidRPr="00AC0FF2" w:rsidRDefault="00674B4A" w:rsidP="00C95C0D">
            <w:pPr>
              <w:keepNext/>
              <w:keepLines/>
              <w:rPr>
                <w:rFonts w:eastAsia="SimSun"/>
                <w:lang w:eastAsia="zh-CN"/>
              </w:rPr>
            </w:pPr>
            <w:r w:rsidRPr="00AC0FF2">
              <w:rPr>
                <w:rFonts w:eastAsia="SimSun"/>
                <w:lang w:eastAsia="zh-CN"/>
              </w:rPr>
              <w:t>Korea</w:t>
            </w:r>
          </w:p>
        </w:tc>
        <w:tc>
          <w:tcPr>
            <w:tcW w:w="1044" w:type="dxa"/>
          </w:tcPr>
          <w:p w14:paraId="0AC7F47C" w14:textId="4177D469" w:rsidR="00674B4A" w:rsidRPr="00C95C0D" w:rsidRDefault="00674B4A" w:rsidP="00C95C0D">
            <w:pPr>
              <w:keepNext/>
              <w:keepLines/>
              <w:tabs>
                <w:tab w:val="decimal" w:pos="331"/>
              </w:tabs>
              <w:spacing w:line="260" w:lineRule="exact"/>
              <w:jc w:val="right"/>
              <w:rPr>
                <w:highlight w:val="yellow"/>
              </w:rPr>
            </w:pPr>
            <w:r w:rsidRPr="00C95C0D">
              <w:t>-9.4</w:t>
            </w:r>
          </w:p>
        </w:tc>
        <w:tc>
          <w:tcPr>
            <w:tcW w:w="1045" w:type="dxa"/>
          </w:tcPr>
          <w:p w14:paraId="33FAE0FC" w14:textId="3EECF778" w:rsidR="00674B4A" w:rsidRPr="00C95C0D" w:rsidRDefault="00674B4A" w:rsidP="00C95C0D">
            <w:pPr>
              <w:keepNext/>
              <w:keepLines/>
              <w:tabs>
                <w:tab w:val="decimal" w:pos="331"/>
              </w:tabs>
              <w:spacing w:line="260" w:lineRule="exact"/>
              <w:jc w:val="right"/>
              <w:rPr>
                <w:highlight w:val="yellow"/>
                <w:lang w:eastAsia="zh-HK"/>
              </w:rPr>
            </w:pPr>
            <w:r w:rsidRPr="00C95C0D">
              <w:t>-9.8</w:t>
            </w:r>
          </w:p>
        </w:tc>
        <w:tc>
          <w:tcPr>
            <w:tcW w:w="1044" w:type="dxa"/>
          </w:tcPr>
          <w:p w14:paraId="3A95F645" w14:textId="28F68AED" w:rsidR="00674B4A" w:rsidRPr="00C95C0D" w:rsidRDefault="00674B4A" w:rsidP="00C95C0D">
            <w:pPr>
              <w:keepNext/>
              <w:keepLines/>
              <w:tabs>
                <w:tab w:val="decimal" w:pos="331"/>
              </w:tabs>
              <w:spacing w:line="260" w:lineRule="exact"/>
              <w:jc w:val="right"/>
              <w:rPr>
                <w:highlight w:val="yellow"/>
                <w:lang w:eastAsia="zh-HK"/>
              </w:rPr>
            </w:pPr>
            <w:r w:rsidRPr="00C95C0D">
              <w:t>-4.7</w:t>
            </w:r>
          </w:p>
        </w:tc>
        <w:tc>
          <w:tcPr>
            <w:tcW w:w="1045" w:type="dxa"/>
          </w:tcPr>
          <w:p w14:paraId="26157CED" w14:textId="491F78BC"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-14.0</w:t>
            </w:r>
          </w:p>
        </w:tc>
        <w:tc>
          <w:tcPr>
            <w:tcW w:w="1045" w:type="dxa"/>
          </w:tcPr>
          <w:p w14:paraId="21664AFE" w14:textId="3EAE84EE" w:rsidR="00674B4A" w:rsidRPr="00C95C0D" w:rsidRDefault="00674B4A" w:rsidP="00C95C0D">
            <w:pPr>
              <w:keepNext/>
              <w:keepLines/>
              <w:tabs>
                <w:tab w:val="decimal" w:pos="331"/>
              </w:tabs>
              <w:spacing w:line="260" w:lineRule="exact"/>
              <w:jc w:val="right"/>
              <w:rPr>
                <w:highlight w:val="yellow"/>
              </w:rPr>
            </w:pPr>
            <w:r w:rsidRPr="00C95C0D">
              <w:rPr>
                <w:lang w:eastAsia="zh-HK"/>
              </w:rPr>
              <w:t>-</w:t>
            </w:r>
            <w:r w:rsidRPr="00C95C0D">
              <w:t>8.9</w:t>
            </w:r>
          </w:p>
        </w:tc>
        <w:tc>
          <w:tcPr>
            <w:tcW w:w="1044" w:type="dxa"/>
            <w:shd w:val="clear" w:color="auto" w:fill="auto"/>
          </w:tcPr>
          <w:p w14:paraId="6C57C345" w14:textId="0C86BD06" w:rsidR="00674B4A" w:rsidRPr="00AC48C9" w:rsidRDefault="00674B4A" w:rsidP="00C95C0D">
            <w:pPr>
              <w:keepNext/>
              <w:keepLines/>
              <w:tabs>
                <w:tab w:val="decimal" w:pos="331"/>
              </w:tabs>
              <w:spacing w:line="260" w:lineRule="exact"/>
              <w:jc w:val="right"/>
              <w:rPr>
                <w:lang w:eastAsia="zh-HK"/>
              </w:rPr>
            </w:pPr>
            <w:r>
              <w:t>-9.4</w:t>
            </w:r>
          </w:p>
        </w:tc>
        <w:tc>
          <w:tcPr>
            <w:tcW w:w="1044" w:type="dxa"/>
          </w:tcPr>
          <w:p w14:paraId="6886FBCD" w14:textId="41CA15E9" w:rsidR="00674B4A" w:rsidRDefault="00FE2F97" w:rsidP="00C95C0D">
            <w:pPr>
              <w:keepNext/>
              <w:keepLines/>
              <w:tabs>
                <w:tab w:val="decimal" w:pos="331"/>
              </w:tabs>
              <w:spacing w:line="260" w:lineRule="exact"/>
              <w:jc w:val="right"/>
            </w:pPr>
            <w:r>
              <w:rPr>
                <w:rFonts w:hint="eastAsia"/>
              </w:rPr>
              <w:t>-2</w:t>
            </w:r>
            <w:r w:rsidR="00D43F1C">
              <w:t>2</w:t>
            </w:r>
            <w:r>
              <w:rPr>
                <w:rFonts w:hint="eastAsia"/>
              </w:rPr>
              <w:t>.</w:t>
            </w:r>
            <w:r w:rsidR="00D43F1C">
              <w:t>3</w:t>
            </w:r>
          </w:p>
        </w:tc>
      </w:tr>
      <w:tr w:rsidR="00674B4A" w:rsidRPr="00AC0FF2" w14:paraId="79F1B70A" w14:textId="1D76E488" w:rsidTr="00B65A4E">
        <w:trPr>
          <w:jc w:val="center"/>
        </w:trPr>
        <w:tc>
          <w:tcPr>
            <w:tcW w:w="2233" w:type="dxa"/>
            <w:vAlign w:val="center"/>
          </w:tcPr>
          <w:p w14:paraId="3EA3698C" w14:textId="77777777" w:rsidR="00674B4A" w:rsidRPr="00AC0FF2" w:rsidRDefault="00674B4A" w:rsidP="00C95C0D">
            <w:pPr>
              <w:keepNext/>
              <w:keepLines/>
              <w:rPr>
                <w:rFonts w:eastAsia="SimSun"/>
                <w:lang w:eastAsia="zh-CN"/>
              </w:rPr>
            </w:pPr>
          </w:p>
        </w:tc>
        <w:tc>
          <w:tcPr>
            <w:tcW w:w="1044" w:type="dxa"/>
          </w:tcPr>
          <w:p w14:paraId="1E14E851" w14:textId="77777777" w:rsidR="00674B4A" w:rsidRPr="00C95C0D" w:rsidRDefault="00674B4A" w:rsidP="00C95C0D">
            <w:pPr>
              <w:keepNext/>
              <w:keepLines/>
              <w:tabs>
                <w:tab w:val="decimal" w:pos="331"/>
              </w:tabs>
              <w:spacing w:line="260" w:lineRule="exact"/>
              <w:jc w:val="right"/>
              <w:rPr>
                <w:highlight w:val="yellow"/>
              </w:rPr>
            </w:pPr>
          </w:p>
        </w:tc>
        <w:tc>
          <w:tcPr>
            <w:tcW w:w="1045" w:type="dxa"/>
          </w:tcPr>
          <w:p w14:paraId="232137B4"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4" w:type="dxa"/>
          </w:tcPr>
          <w:p w14:paraId="4C62CAC8"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050A450F" w14:textId="77777777" w:rsidR="00674B4A" w:rsidRPr="00C95C0D" w:rsidRDefault="00674B4A" w:rsidP="00C95C0D">
            <w:pPr>
              <w:keepNext/>
              <w:keepLines/>
              <w:tabs>
                <w:tab w:val="decimal" w:pos="331"/>
              </w:tabs>
              <w:spacing w:line="260" w:lineRule="exact"/>
              <w:jc w:val="right"/>
              <w:rPr>
                <w:highlight w:val="yellow"/>
                <w:lang w:eastAsia="zh-HK"/>
              </w:rPr>
            </w:pPr>
          </w:p>
        </w:tc>
        <w:tc>
          <w:tcPr>
            <w:tcW w:w="1045" w:type="dxa"/>
          </w:tcPr>
          <w:p w14:paraId="76080139" w14:textId="77777777" w:rsidR="00674B4A" w:rsidRPr="00C95C0D" w:rsidRDefault="00674B4A" w:rsidP="00C95C0D">
            <w:pPr>
              <w:keepNext/>
              <w:keepLines/>
              <w:tabs>
                <w:tab w:val="decimal" w:pos="331"/>
              </w:tabs>
              <w:spacing w:line="260" w:lineRule="exact"/>
              <w:jc w:val="right"/>
              <w:rPr>
                <w:highlight w:val="yellow"/>
              </w:rPr>
            </w:pPr>
          </w:p>
        </w:tc>
        <w:tc>
          <w:tcPr>
            <w:tcW w:w="1044" w:type="dxa"/>
            <w:shd w:val="clear" w:color="auto" w:fill="auto"/>
          </w:tcPr>
          <w:p w14:paraId="2C23F16D" w14:textId="77777777" w:rsidR="00674B4A" w:rsidRPr="00AC48C9" w:rsidRDefault="00674B4A" w:rsidP="00C95C0D">
            <w:pPr>
              <w:keepNext/>
              <w:keepLines/>
              <w:tabs>
                <w:tab w:val="decimal" w:pos="331"/>
              </w:tabs>
              <w:spacing w:line="260" w:lineRule="exact"/>
              <w:jc w:val="right"/>
            </w:pPr>
          </w:p>
        </w:tc>
        <w:tc>
          <w:tcPr>
            <w:tcW w:w="1044" w:type="dxa"/>
          </w:tcPr>
          <w:p w14:paraId="7529EEF3" w14:textId="77777777" w:rsidR="00674B4A" w:rsidRPr="00AC48C9" w:rsidRDefault="00674B4A" w:rsidP="00C95C0D">
            <w:pPr>
              <w:keepNext/>
              <w:keepLines/>
              <w:tabs>
                <w:tab w:val="decimal" w:pos="331"/>
              </w:tabs>
              <w:spacing w:line="260" w:lineRule="exact"/>
              <w:jc w:val="right"/>
            </w:pPr>
          </w:p>
        </w:tc>
      </w:tr>
      <w:tr w:rsidR="00674B4A" w:rsidRPr="00AC0FF2" w14:paraId="450C8599" w14:textId="64C0CD4C" w:rsidTr="00B65A4E">
        <w:trPr>
          <w:trHeight w:val="81"/>
          <w:jc w:val="center"/>
        </w:trPr>
        <w:tc>
          <w:tcPr>
            <w:tcW w:w="2233" w:type="dxa"/>
            <w:vAlign w:val="center"/>
          </w:tcPr>
          <w:p w14:paraId="4907EFAC" w14:textId="77777777" w:rsidR="00674B4A" w:rsidRPr="00AC0FF2" w:rsidRDefault="00674B4A" w:rsidP="00C95C0D">
            <w:pPr>
              <w:keepNext/>
              <w:keepLines/>
              <w:rPr>
                <w:rFonts w:eastAsia="SimSun"/>
                <w:lang w:eastAsia="zh-CN"/>
              </w:rPr>
            </w:pPr>
            <w:r w:rsidRPr="00AC0FF2">
              <w:t>Overall</w:t>
            </w:r>
            <w:r>
              <w:rPr>
                <w:vertAlign w:val="superscript"/>
              </w:rPr>
              <w:t>#</w:t>
            </w:r>
          </w:p>
        </w:tc>
        <w:tc>
          <w:tcPr>
            <w:tcW w:w="1044" w:type="dxa"/>
          </w:tcPr>
          <w:p w14:paraId="508268D5" w14:textId="36D5F5A8" w:rsidR="00674B4A" w:rsidRPr="00C95C0D" w:rsidRDefault="00674B4A" w:rsidP="00C95C0D">
            <w:pPr>
              <w:keepNext/>
              <w:keepLines/>
              <w:tabs>
                <w:tab w:val="decimal" w:pos="331"/>
              </w:tabs>
              <w:spacing w:line="260" w:lineRule="exact"/>
              <w:jc w:val="right"/>
              <w:rPr>
                <w:highlight w:val="yellow"/>
              </w:rPr>
            </w:pPr>
            <w:r w:rsidRPr="00C95C0D">
              <w:rPr>
                <w:lang w:eastAsia="zh-HK"/>
              </w:rPr>
              <w:t>4.</w:t>
            </w:r>
            <w:r w:rsidRPr="00C95C0D">
              <w:t>9</w:t>
            </w:r>
          </w:p>
        </w:tc>
        <w:tc>
          <w:tcPr>
            <w:tcW w:w="1045" w:type="dxa"/>
          </w:tcPr>
          <w:p w14:paraId="35FC9AEE" w14:textId="6D2257C6" w:rsidR="00674B4A" w:rsidRPr="00C95C0D" w:rsidRDefault="00674B4A" w:rsidP="00C95C0D">
            <w:pPr>
              <w:keepNext/>
              <w:keepLines/>
              <w:tabs>
                <w:tab w:val="decimal" w:pos="331"/>
              </w:tabs>
              <w:spacing w:line="260" w:lineRule="exact"/>
              <w:jc w:val="right"/>
              <w:rPr>
                <w:highlight w:val="yellow"/>
                <w:lang w:eastAsia="zh-HK"/>
              </w:rPr>
            </w:pPr>
            <w:r w:rsidRPr="00C95C0D">
              <w:t>7.1</w:t>
            </w:r>
          </w:p>
        </w:tc>
        <w:tc>
          <w:tcPr>
            <w:tcW w:w="1044" w:type="dxa"/>
          </w:tcPr>
          <w:p w14:paraId="36D0775A" w14:textId="410123E5" w:rsidR="00674B4A" w:rsidRPr="00C95C0D" w:rsidRDefault="00674B4A" w:rsidP="00C95C0D">
            <w:pPr>
              <w:keepNext/>
              <w:keepLines/>
              <w:tabs>
                <w:tab w:val="decimal" w:pos="331"/>
              </w:tabs>
              <w:spacing w:line="260" w:lineRule="exact"/>
              <w:jc w:val="right"/>
              <w:rPr>
                <w:highlight w:val="yellow"/>
                <w:lang w:eastAsia="zh-HK"/>
              </w:rPr>
            </w:pPr>
            <w:r w:rsidRPr="00C95C0D">
              <w:t>8.1</w:t>
            </w:r>
          </w:p>
        </w:tc>
        <w:tc>
          <w:tcPr>
            <w:tcW w:w="1045" w:type="dxa"/>
          </w:tcPr>
          <w:p w14:paraId="767F77D5" w14:textId="7B4527F1" w:rsidR="00674B4A" w:rsidRPr="00C95C0D" w:rsidRDefault="00674B4A" w:rsidP="00C95C0D">
            <w:pPr>
              <w:keepNext/>
              <w:keepLines/>
              <w:tabs>
                <w:tab w:val="decimal" w:pos="331"/>
              </w:tabs>
              <w:spacing w:line="260" w:lineRule="exact"/>
              <w:jc w:val="right"/>
              <w:rPr>
                <w:highlight w:val="yellow"/>
                <w:lang w:eastAsia="zh-HK"/>
              </w:rPr>
            </w:pPr>
            <w:r w:rsidRPr="00C95C0D">
              <w:rPr>
                <w:lang w:eastAsia="zh-HK"/>
              </w:rPr>
              <w:t>4.2</w:t>
            </w:r>
          </w:p>
        </w:tc>
        <w:tc>
          <w:tcPr>
            <w:tcW w:w="1045" w:type="dxa"/>
          </w:tcPr>
          <w:p w14:paraId="132512CE" w14:textId="377CB93E" w:rsidR="00674B4A" w:rsidRPr="00C95C0D" w:rsidRDefault="00674B4A" w:rsidP="00C95C0D">
            <w:pPr>
              <w:keepNext/>
              <w:keepLines/>
              <w:tabs>
                <w:tab w:val="decimal" w:pos="331"/>
              </w:tabs>
              <w:spacing w:line="260" w:lineRule="exact"/>
              <w:jc w:val="right"/>
              <w:rPr>
                <w:highlight w:val="yellow"/>
              </w:rPr>
            </w:pPr>
            <w:r w:rsidRPr="00C95C0D">
              <w:rPr>
                <w:lang w:eastAsia="zh-HK"/>
              </w:rPr>
              <w:t>0.</w:t>
            </w:r>
            <w:r w:rsidRPr="00C95C0D">
              <w:t>7</w:t>
            </w:r>
          </w:p>
        </w:tc>
        <w:tc>
          <w:tcPr>
            <w:tcW w:w="1044" w:type="dxa"/>
            <w:shd w:val="clear" w:color="auto" w:fill="auto"/>
          </w:tcPr>
          <w:p w14:paraId="104F1605" w14:textId="26802D23" w:rsidR="00674B4A" w:rsidRPr="00AC48C9" w:rsidRDefault="00674B4A" w:rsidP="00690FC8">
            <w:pPr>
              <w:keepNext/>
              <w:keepLines/>
              <w:tabs>
                <w:tab w:val="decimal" w:pos="331"/>
              </w:tabs>
              <w:spacing w:line="260" w:lineRule="exact"/>
              <w:jc w:val="right"/>
              <w:rPr>
                <w:lang w:eastAsia="zh-HK"/>
              </w:rPr>
            </w:pPr>
            <w:r>
              <w:t>8.7</w:t>
            </w:r>
          </w:p>
        </w:tc>
        <w:tc>
          <w:tcPr>
            <w:tcW w:w="1044" w:type="dxa"/>
          </w:tcPr>
          <w:p w14:paraId="5390C189" w14:textId="0C9B79B1" w:rsidR="00674B4A" w:rsidRDefault="00412A94" w:rsidP="00690FC8">
            <w:pPr>
              <w:keepNext/>
              <w:keepLines/>
              <w:tabs>
                <w:tab w:val="decimal" w:pos="331"/>
              </w:tabs>
              <w:spacing w:line="260" w:lineRule="exact"/>
              <w:jc w:val="right"/>
            </w:pPr>
            <w:r>
              <w:t>12.0</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44E9735B" w14:textId="09B7DCA5" w:rsidR="00C42228" w:rsidRPr="00B67ADE" w:rsidRDefault="00C42228" w:rsidP="00D367E0">
      <w:pPr>
        <w:keepNext/>
        <w:keepLines/>
        <w:tabs>
          <w:tab w:val="left" w:pos="993"/>
        </w:tabs>
        <w:spacing w:afterLines="50" w:after="180" w:line="250" w:lineRule="exact"/>
        <w:ind w:left="1418" w:right="237" w:hanging="1134"/>
        <w:jc w:val="both"/>
        <w:rPr>
          <w:sz w:val="22"/>
          <w:szCs w:val="22"/>
          <w:lang w:eastAsia="zh-HK"/>
        </w:rPr>
      </w:pPr>
      <w:proofErr w:type="gramStart"/>
      <w:r w:rsidRPr="00B67ADE">
        <w:rPr>
          <w:sz w:val="22"/>
          <w:szCs w:val="22"/>
        </w:rPr>
        <w:t>Note :</w:t>
      </w:r>
      <w:proofErr w:type="gramEnd"/>
      <w:r w:rsidRPr="00B67ADE">
        <w:rPr>
          <w:sz w:val="22"/>
          <w:szCs w:val="22"/>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7C575B2C" w14:textId="01824B5C" w:rsidR="00A36B55" w:rsidRDefault="00A36B55">
      <w:pPr>
        <w:widowControl/>
        <w:rPr>
          <w:sz w:val="28"/>
        </w:rPr>
      </w:pPr>
      <w:r>
        <w:rPr>
          <w:sz w:val="28"/>
        </w:rPr>
        <w:br w:type="page"/>
      </w:r>
    </w:p>
    <w:p w14:paraId="3F432113" w14:textId="19939EC0" w:rsidR="00804805" w:rsidRDefault="007658E2">
      <w:pPr>
        <w:widowControl/>
        <w:rPr>
          <w:noProof/>
        </w:rPr>
      </w:pPr>
      <w:r w:rsidRPr="007658E2">
        <w:rPr>
          <w:noProof/>
        </w:rPr>
        <w:lastRenderedPageBreak/>
        <w:drawing>
          <wp:inline distT="0" distB="0" distL="0" distR="0" wp14:anchorId="496C8201" wp14:editId="475B7586">
            <wp:extent cx="5752907" cy="3510000"/>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2907" cy="3510000"/>
                    </a:xfrm>
                    <a:prstGeom prst="rect">
                      <a:avLst/>
                    </a:prstGeom>
                    <a:noFill/>
                    <a:ln>
                      <a:noFill/>
                    </a:ln>
                  </pic:spPr>
                </pic:pic>
              </a:graphicData>
            </a:graphic>
          </wp:inline>
        </w:drawing>
      </w:r>
    </w:p>
    <w:p w14:paraId="1723F92D" w14:textId="0C1507BA"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roofErr w:type="gramStart"/>
      <w:r w:rsidRPr="00B67ADE">
        <w:rPr>
          <w:sz w:val="21"/>
          <w:szCs w:val="21"/>
          <w:lang w:val="en-GB"/>
        </w:rPr>
        <w:t>Note :</w:t>
      </w:r>
      <w:proofErr w:type="gramEnd"/>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6C50C3">
        <w:rPr>
          <w:rFonts w:hint="eastAsia"/>
          <w:sz w:val="21"/>
          <w:szCs w:val="21"/>
          <w:lang w:val="en-GB" w:eastAsia="zh-HK"/>
        </w:rPr>
        <w:t>second</w:t>
      </w:r>
      <w:r w:rsidRPr="00E53D49">
        <w:rPr>
          <w:sz w:val="21"/>
          <w:szCs w:val="21"/>
          <w:lang w:val="en-GB"/>
        </w:rPr>
        <w:t xml:space="preserve"> quarter of 202</w:t>
      </w:r>
      <w:r w:rsidR="007440D9">
        <w:rPr>
          <w:sz w:val="21"/>
          <w:szCs w:val="21"/>
          <w:lang w:val="en-GB"/>
        </w:rPr>
        <w:t>5</w:t>
      </w:r>
      <w:r w:rsidRPr="00E53D49">
        <w:rPr>
          <w:sz w:val="21"/>
          <w:szCs w:val="21"/>
          <w:lang w:val="en-GB"/>
        </w:rPr>
        <w:t xml:space="preserve"> is based on the information available as of early </w:t>
      </w:r>
      <w:r w:rsidR="006C50C3">
        <w:rPr>
          <w:rFonts w:hint="eastAsia"/>
          <w:sz w:val="21"/>
          <w:szCs w:val="21"/>
          <w:lang w:val="en-GB"/>
        </w:rPr>
        <w:t>August</w:t>
      </w:r>
      <w:r w:rsidR="006C50C3">
        <w:rPr>
          <w:sz w:val="21"/>
          <w:szCs w:val="21"/>
          <w:lang w:val="en-GB"/>
        </w:rPr>
        <w:t xml:space="preserve"> </w:t>
      </w:r>
      <w:r w:rsidR="007440D9">
        <w:rPr>
          <w:sz w:val="21"/>
          <w:szCs w:val="21"/>
          <w:lang w:val="en-GB"/>
        </w:rPr>
        <w:t>2025</w:t>
      </w:r>
      <w:r w:rsidRPr="00E53D49">
        <w:rPr>
          <w:sz w:val="21"/>
          <w:szCs w:val="21"/>
          <w:lang w:val="en-GB"/>
        </w:rPr>
        <w:t>.</w:t>
      </w:r>
    </w:p>
    <w:p w14:paraId="31CA6CD8" w14:textId="48309C0D" w:rsidR="00EC4827" w:rsidRDefault="00EC4827" w:rsidP="00EC4827">
      <w:pPr>
        <w:widowControl/>
        <w:rPr>
          <w:kern w:val="0"/>
          <w:sz w:val="28"/>
          <w:szCs w:val="20"/>
          <w:highlight w:val="yellow"/>
        </w:rPr>
      </w:pPr>
    </w:p>
    <w:p w14:paraId="1016028A" w14:textId="1261A2AC" w:rsidR="0027398B" w:rsidRDefault="001B7351">
      <w:pPr>
        <w:widowControl/>
        <w:rPr>
          <w:noProof/>
        </w:rPr>
      </w:pPr>
      <w:r w:rsidRPr="001B7351">
        <w:rPr>
          <w:noProof/>
        </w:rPr>
        <w:drawing>
          <wp:inline distT="0" distB="0" distL="0" distR="0" wp14:anchorId="2045C6A8" wp14:editId="46AA5F20">
            <wp:extent cx="5758135" cy="351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8135" cy="3510000"/>
                    </a:xfrm>
                    <a:prstGeom prst="rect">
                      <a:avLst/>
                    </a:prstGeom>
                    <a:noFill/>
                    <a:ln>
                      <a:noFill/>
                    </a:ln>
                  </pic:spPr>
                </pic:pic>
              </a:graphicData>
            </a:graphic>
          </wp:inline>
        </w:drawing>
      </w:r>
    </w:p>
    <w:p w14:paraId="67DDDD15" w14:textId="7D5E81D3"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1B125729" w14:textId="6E0A8386" w:rsidR="00471BDC" w:rsidRDefault="005F26A7">
      <w:pPr>
        <w:widowControl/>
        <w:rPr>
          <w:kern w:val="0"/>
          <w:szCs w:val="20"/>
        </w:rPr>
      </w:pPr>
      <w:r w:rsidRPr="005F26A7">
        <w:rPr>
          <w:noProof/>
        </w:rPr>
        <w:lastRenderedPageBreak/>
        <w:drawing>
          <wp:inline distT="0" distB="0" distL="0" distR="0" wp14:anchorId="0D31704C" wp14:editId="6F3E522A">
            <wp:extent cx="5775982" cy="351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5982" cy="3510000"/>
                    </a:xfrm>
                    <a:prstGeom prst="rect">
                      <a:avLst/>
                    </a:prstGeom>
                    <a:noFill/>
                    <a:ln>
                      <a:noFill/>
                    </a:ln>
                  </pic:spPr>
                </pic:pic>
              </a:graphicData>
            </a:graphic>
          </wp:inline>
        </w:drawing>
      </w:r>
    </w:p>
    <w:p w14:paraId="56969EEB" w14:textId="73304052" w:rsidR="00471BDC" w:rsidRDefault="00471BDC">
      <w:pPr>
        <w:widowControl/>
        <w:rPr>
          <w:kern w:val="0"/>
          <w:szCs w:val="20"/>
        </w:rPr>
      </w:pPr>
    </w:p>
    <w:p w14:paraId="1CF60E54" w14:textId="0FA39D04" w:rsidR="006424FE" w:rsidRDefault="005F26A7">
      <w:pPr>
        <w:widowControl/>
      </w:pPr>
      <w:r w:rsidRPr="005F26A7">
        <w:rPr>
          <w:noProof/>
        </w:rPr>
        <w:drawing>
          <wp:inline distT="0" distB="0" distL="0" distR="0" wp14:anchorId="2ACF3CCF" wp14:editId="73A395C0">
            <wp:extent cx="5775982" cy="351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982" cy="3510000"/>
                    </a:xfrm>
                    <a:prstGeom prst="rect">
                      <a:avLst/>
                    </a:prstGeom>
                    <a:noFill/>
                    <a:ln>
                      <a:noFill/>
                    </a:ln>
                  </pic:spPr>
                </pic:pic>
              </a:graphicData>
            </a:graphic>
          </wp:inline>
        </w:drawing>
      </w:r>
    </w:p>
    <w:p w14:paraId="0E4DA5CD" w14:textId="2612E4D6" w:rsidR="00263CC6" w:rsidRDefault="00263CC6">
      <w:pPr>
        <w:widowControl/>
        <w:rPr>
          <w:kern w:val="0"/>
          <w:szCs w:val="20"/>
        </w:rPr>
      </w:pPr>
      <w:r>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2F052E48" w:rsidR="003229F8" w:rsidRPr="008621B1" w:rsidRDefault="00122515" w:rsidP="00EE3C05">
      <w:pPr>
        <w:pStyle w:val="BodyText"/>
        <w:numPr>
          <w:ilvl w:val="0"/>
          <w:numId w:val="6"/>
        </w:numPr>
        <w:tabs>
          <w:tab w:val="clear" w:pos="1080"/>
        </w:tabs>
        <w:overflowPunct w:val="0"/>
        <w:spacing w:line="360" w:lineRule="atLeast"/>
        <w:rPr>
          <w:rFonts w:eastAsia="SimSun"/>
          <w:lang w:val="en-GB" w:eastAsia="zh-TW"/>
        </w:rPr>
      </w:pPr>
      <w:r w:rsidRPr="008621B1">
        <w:rPr>
          <w:rFonts w:hint="eastAsia"/>
          <w:i/>
          <w:lang w:val="en-GB" w:eastAsia="zh-TW"/>
        </w:rPr>
        <w:t>Merchandise i</w:t>
      </w:r>
      <w:r w:rsidR="00543877" w:rsidRPr="008621B1">
        <w:rPr>
          <w:rFonts w:hint="eastAsia"/>
          <w:i/>
          <w:lang w:val="en-GB" w:eastAsia="zh-TW"/>
        </w:rPr>
        <w:t>mports</w:t>
      </w:r>
      <w:r w:rsidR="00543877" w:rsidRPr="008621B1">
        <w:rPr>
          <w:rFonts w:hint="eastAsia"/>
          <w:lang w:val="en-GB" w:eastAsia="zh-TW"/>
        </w:rPr>
        <w:t xml:space="preserve"> </w:t>
      </w:r>
      <w:r w:rsidR="00715C35" w:rsidRPr="008621B1">
        <w:rPr>
          <w:lang w:val="en-GB" w:eastAsia="zh-TW"/>
        </w:rPr>
        <w:t>rose</w:t>
      </w:r>
      <w:r w:rsidR="008621B1">
        <w:rPr>
          <w:lang w:val="en-GB" w:eastAsia="zh-TW"/>
        </w:rPr>
        <w:t xml:space="preserve"> </w:t>
      </w:r>
      <w:r w:rsidR="002F0F02">
        <w:rPr>
          <w:lang w:val="en-GB" w:eastAsia="zh-TW"/>
        </w:rPr>
        <w:t xml:space="preserve">further </w:t>
      </w:r>
      <w:r w:rsidR="00BA4D4D" w:rsidRPr="008621B1">
        <w:rPr>
          <w:rFonts w:hint="eastAsia"/>
          <w:lang w:val="en-GB" w:eastAsia="zh-TW"/>
        </w:rPr>
        <w:t>by</w:t>
      </w:r>
      <w:r w:rsidR="00C73251" w:rsidRPr="008621B1">
        <w:rPr>
          <w:lang w:val="en-GB" w:eastAsia="zh-TW"/>
        </w:rPr>
        <w:t xml:space="preserve"> </w:t>
      </w:r>
      <w:r w:rsidR="00EE7090">
        <w:rPr>
          <w:rFonts w:hint="eastAsia"/>
          <w:lang w:val="en-GB" w:eastAsia="zh-TW"/>
        </w:rPr>
        <w:t>1</w:t>
      </w:r>
      <w:r w:rsidR="001B7351">
        <w:rPr>
          <w:lang w:val="en-GB" w:eastAsia="zh-TW"/>
        </w:rPr>
        <w:t>2</w:t>
      </w:r>
      <w:r w:rsidR="00093D6F">
        <w:rPr>
          <w:lang w:val="en-GB" w:eastAsia="zh-TW"/>
        </w:rPr>
        <w:t>.</w:t>
      </w:r>
      <w:r w:rsidR="001B7351">
        <w:rPr>
          <w:lang w:val="en-GB" w:eastAsia="zh-TW"/>
        </w:rPr>
        <w:t>9</w:t>
      </w:r>
      <w:r w:rsidR="007B4882" w:rsidRPr="008621B1">
        <w:rPr>
          <w:rFonts w:hint="eastAsia"/>
          <w:lang w:val="en-GB" w:eastAsia="zh-TW"/>
        </w:rPr>
        <w:t xml:space="preserve">% </w:t>
      </w:r>
      <w:r w:rsidR="00A40E20" w:rsidRPr="008621B1">
        <w:rPr>
          <w:rFonts w:hint="eastAsia"/>
          <w:lang w:val="en-GB" w:eastAsia="zh-TW"/>
        </w:rPr>
        <w:t>year</w:t>
      </w:r>
      <w:r w:rsidR="00A40E20" w:rsidRPr="008621B1">
        <w:rPr>
          <w:lang w:val="en-GB" w:eastAsia="zh-TW"/>
        </w:rPr>
        <w:noBreakHyphen/>
      </w:r>
      <w:r w:rsidR="00A40E20" w:rsidRPr="008621B1">
        <w:rPr>
          <w:rFonts w:hint="eastAsia"/>
          <w:lang w:val="en-GB" w:eastAsia="zh-TW"/>
        </w:rPr>
        <w:t>on</w:t>
      </w:r>
      <w:r w:rsidR="00A40E20" w:rsidRPr="008621B1">
        <w:rPr>
          <w:lang w:val="en-GB" w:eastAsia="zh-TW"/>
        </w:rPr>
        <w:noBreakHyphen/>
      </w:r>
      <w:r w:rsidR="00DE2560" w:rsidRPr="008621B1">
        <w:rPr>
          <w:rFonts w:hint="eastAsia"/>
          <w:lang w:val="en-GB" w:eastAsia="zh-TW"/>
        </w:rPr>
        <w:t xml:space="preserve">year </w:t>
      </w:r>
      <w:r w:rsidR="005115B9" w:rsidRPr="008621B1">
        <w:rPr>
          <w:rFonts w:eastAsia="SimSun" w:hint="eastAsia"/>
          <w:lang w:val="en-GB" w:eastAsia="zh-TW"/>
        </w:rPr>
        <w:t xml:space="preserve">in real </w:t>
      </w:r>
      <w:r w:rsidR="0082645D" w:rsidRPr="008621B1">
        <w:rPr>
          <w:rFonts w:eastAsia="SimSun" w:hint="eastAsia"/>
          <w:lang w:val="en-GB" w:eastAsia="zh-TW"/>
        </w:rPr>
        <w:t>t</w:t>
      </w:r>
      <w:r w:rsidR="005115B9" w:rsidRPr="008621B1">
        <w:rPr>
          <w:rFonts w:eastAsia="SimSun" w:hint="eastAsia"/>
          <w:lang w:val="en-GB" w:eastAsia="zh-TW"/>
        </w:rPr>
        <w:t xml:space="preserve">erms </w:t>
      </w:r>
      <w:r w:rsidR="00543877" w:rsidRPr="008621B1">
        <w:rPr>
          <w:rFonts w:hint="eastAsia"/>
          <w:lang w:val="en-GB" w:eastAsia="zh-TW"/>
        </w:rPr>
        <w:t xml:space="preserve">in </w:t>
      </w:r>
      <w:r w:rsidR="00632643" w:rsidRPr="008621B1">
        <w:rPr>
          <w:rFonts w:hint="eastAsia"/>
          <w:lang w:val="en-GB" w:eastAsia="zh-TW"/>
        </w:rPr>
        <w:t xml:space="preserve">the </w:t>
      </w:r>
      <w:r w:rsidR="004A3DFB">
        <w:rPr>
          <w:rFonts w:hint="eastAsia"/>
          <w:lang w:val="en-GB" w:eastAsia="zh-TW"/>
        </w:rPr>
        <w:t>second</w:t>
      </w:r>
      <w:r w:rsidR="004A3DFB" w:rsidRPr="008621B1">
        <w:rPr>
          <w:rFonts w:hint="eastAsia"/>
          <w:lang w:val="en-GB" w:eastAsia="zh-TW"/>
        </w:rPr>
        <w:t xml:space="preserve"> </w:t>
      </w:r>
      <w:r w:rsidR="00632643" w:rsidRPr="008621B1">
        <w:rPr>
          <w:rFonts w:hint="eastAsia"/>
          <w:lang w:val="en-GB" w:eastAsia="zh-TW"/>
        </w:rPr>
        <w:t xml:space="preserve">quarter of </w:t>
      </w:r>
      <w:r w:rsidR="003C1052" w:rsidRPr="008621B1">
        <w:rPr>
          <w:rFonts w:hint="eastAsia"/>
          <w:lang w:val="en-GB" w:eastAsia="zh-TW"/>
        </w:rPr>
        <w:t>202</w:t>
      </w:r>
      <w:r w:rsidR="008621B1">
        <w:rPr>
          <w:lang w:val="en-GB" w:eastAsia="zh-TW"/>
        </w:rPr>
        <w:t>5</w:t>
      </w:r>
      <w:r w:rsidR="00A336D2" w:rsidRPr="008621B1">
        <w:rPr>
          <w:rFonts w:hint="eastAsia"/>
          <w:lang w:val="en-GB" w:eastAsia="zh-TW"/>
        </w:rPr>
        <w:t xml:space="preserve">, </w:t>
      </w:r>
      <w:r w:rsidR="00BF7922">
        <w:rPr>
          <w:lang w:val="en-GB" w:eastAsia="zh-TW"/>
        </w:rPr>
        <w:t>after growing by</w:t>
      </w:r>
      <w:r w:rsidR="008621B1">
        <w:rPr>
          <w:lang w:val="en-GB" w:eastAsia="zh-TW"/>
        </w:rPr>
        <w:t xml:space="preserve"> </w:t>
      </w:r>
      <w:r w:rsidR="004A3DFB">
        <w:rPr>
          <w:rFonts w:hint="eastAsia"/>
          <w:lang w:val="en-GB" w:eastAsia="zh-TW"/>
        </w:rPr>
        <w:t>7</w:t>
      </w:r>
      <w:r w:rsidR="00093D6F">
        <w:rPr>
          <w:lang w:val="en-GB" w:eastAsia="zh-TW"/>
        </w:rPr>
        <w:t>.</w:t>
      </w:r>
      <w:r w:rsidR="004A3DFB">
        <w:rPr>
          <w:rFonts w:hint="eastAsia"/>
          <w:lang w:val="en-GB" w:eastAsia="zh-TW"/>
        </w:rPr>
        <w:t>3</w:t>
      </w:r>
      <w:r w:rsidR="008621B1">
        <w:rPr>
          <w:lang w:val="en-GB" w:eastAsia="zh-TW"/>
        </w:rPr>
        <w:t xml:space="preserve">% </w:t>
      </w:r>
      <w:r w:rsidR="00632643" w:rsidRPr="008621B1">
        <w:rPr>
          <w:rFonts w:hint="eastAsia"/>
          <w:lang w:val="en-GB" w:eastAsia="zh-TW"/>
        </w:rPr>
        <w:t>in the preceding quarter</w:t>
      </w:r>
      <w:r w:rsidR="00A336D2" w:rsidRPr="008621B1">
        <w:rPr>
          <w:rFonts w:hint="eastAsia"/>
          <w:lang w:val="en-GB" w:eastAsia="zh-CN"/>
        </w:rPr>
        <w:t>.</w:t>
      </w:r>
      <w:r w:rsidR="00C40378" w:rsidRPr="008621B1">
        <w:rPr>
          <w:rFonts w:hint="eastAsia"/>
          <w:lang w:val="en-GB" w:eastAsia="zh-CN"/>
        </w:rPr>
        <w:t xml:space="preserve">  </w:t>
      </w:r>
      <w:r w:rsidR="0009210C" w:rsidRPr="008621B1">
        <w:rPr>
          <w:rFonts w:hint="eastAsia"/>
          <w:i/>
          <w:lang w:val="en-GB" w:eastAsia="zh-TW"/>
        </w:rPr>
        <w:t>Retained imports</w:t>
      </w:r>
      <w:r w:rsidR="0009210C" w:rsidRPr="008621B1">
        <w:rPr>
          <w:rFonts w:hint="eastAsia"/>
          <w:lang w:val="en-GB" w:eastAsia="zh-TW"/>
        </w:rPr>
        <w:t xml:space="preserve">, which refer to imports for domestic use and accounted </w:t>
      </w:r>
      <w:r w:rsidR="00783C72" w:rsidRPr="008621B1">
        <w:rPr>
          <w:rFonts w:hint="eastAsia"/>
          <w:lang w:val="en-GB" w:eastAsia="zh-TW"/>
        </w:rPr>
        <w:t>for around one</w:t>
      </w:r>
      <w:r w:rsidR="00783C72" w:rsidRPr="008621B1">
        <w:rPr>
          <w:rFonts w:hint="eastAsia"/>
          <w:lang w:val="en-GB" w:eastAsia="zh-TW"/>
        </w:rPr>
        <w:noBreakHyphen/>
      </w:r>
      <w:r w:rsidR="0009210C" w:rsidRPr="008621B1">
        <w:rPr>
          <w:rFonts w:hint="eastAsia"/>
          <w:lang w:val="en-GB" w:eastAsia="zh-TW"/>
        </w:rPr>
        <w:t xml:space="preserve">fifth of </w:t>
      </w:r>
      <w:r w:rsidR="000E6DB3" w:rsidRPr="008621B1">
        <w:rPr>
          <w:rFonts w:hint="eastAsia"/>
          <w:lang w:val="en-GB" w:eastAsia="zh-TW"/>
        </w:rPr>
        <w:t>merchandise</w:t>
      </w:r>
      <w:r w:rsidR="0009210C" w:rsidRPr="008621B1">
        <w:rPr>
          <w:rFonts w:hint="eastAsia"/>
          <w:lang w:val="en-GB" w:eastAsia="zh-TW"/>
        </w:rPr>
        <w:t xml:space="preserve"> imports in 202</w:t>
      </w:r>
      <w:r w:rsidR="008621B1">
        <w:rPr>
          <w:lang w:val="en-GB" w:eastAsia="zh-TW"/>
        </w:rPr>
        <w:t>4</w:t>
      </w:r>
      <w:r w:rsidR="0009210C" w:rsidRPr="008621B1">
        <w:rPr>
          <w:rFonts w:hint="eastAsia"/>
          <w:lang w:val="en-GB" w:eastAsia="zh-TW"/>
        </w:rPr>
        <w:t>,</w:t>
      </w:r>
      <w:r w:rsidR="008425A0" w:rsidRPr="008621B1">
        <w:rPr>
          <w:rFonts w:hint="eastAsia"/>
          <w:lang w:val="en-GB" w:eastAsia="zh-TW"/>
        </w:rPr>
        <w:t xml:space="preserve"> </w:t>
      </w:r>
      <w:r w:rsidR="002F0F02">
        <w:rPr>
          <w:lang w:val="en-GB" w:eastAsia="zh-TW"/>
        </w:rPr>
        <w:t xml:space="preserve">saw visible growth of </w:t>
      </w:r>
      <w:r w:rsidR="004A3DFB">
        <w:rPr>
          <w:rFonts w:hint="eastAsia"/>
          <w:lang w:val="en-GB" w:eastAsia="zh-TW"/>
        </w:rPr>
        <w:t>1</w:t>
      </w:r>
      <w:r w:rsidR="00716344">
        <w:rPr>
          <w:rFonts w:hint="eastAsia"/>
          <w:lang w:val="en-GB" w:eastAsia="zh-TW"/>
        </w:rPr>
        <w:t>5</w:t>
      </w:r>
      <w:r w:rsidR="004A3DFB">
        <w:rPr>
          <w:rFonts w:hint="eastAsia"/>
          <w:lang w:val="en-GB" w:eastAsia="zh-TW"/>
        </w:rPr>
        <w:t>.</w:t>
      </w:r>
      <w:r w:rsidR="00716344">
        <w:rPr>
          <w:rFonts w:hint="eastAsia"/>
          <w:lang w:val="en-GB" w:eastAsia="zh-TW"/>
        </w:rPr>
        <w:t>8</w:t>
      </w:r>
      <w:r w:rsidR="004A3DFB">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B42004">
        <w:rPr>
          <w:b/>
          <w:sz w:val="28"/>
        </w:rPr>
        <w:t>2</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proofErr w:type="gramStart"/>
            <w:r w:rsidRPr="0062778D">
              <w:rPr>
                <w:u w:val="single"/>
              </w:rPr>
              <w:t>terms</w:t>
            </w:r>
            <w:r w:rsidRPr="0062778D">
              <w:rPr>
                <w:vertAlign w:val="superscript"/>
              </w:rPr>
              <w:t>(</w:t>
            </w:r>
            <w:proofErr w:type="gramEnd"/>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8621B1" w:rsidRPr="00182F37" w14:paraId="139CD82B" w14:textId="77777777" w:rsidTr="004B6709">
        <w:tc>
          <w:tcPr>
            <w:tcW w:w="1846" w:type="dxa"/>
          </w:tcPr>
          <w:p w14:paraId="72312167" w14:textId="7CCC2068"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w:t>
            </w:r>
            <w:r>
              <w:t>24</w:t>
            </w:r>
            <w:r w:rsidRPr="0062778D">
              <w:tab/>
              <w:t>Annual</w:t>
            </w:r>
          </w:p>
          <w:p w14:paraId="61DB687F"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3944C88C" w14:textId="024A62A3" w:rsidR="008621B1" w:rsidRPr="0062778D" w:rsidRDefault="008621B1" w:rsidP="008621B1">
            <w:pPr>
              <w:keepNext/>
              <w:keepLines/>
              <w:tabs>
                <w:tab w:val="decimal" w:pos="436"/>
              </w:tabs>
              <w:jc w:val="both"/>
            </w:pPr>
            <w:r>
              <w:t>6.0</w:t>
            </w:r>
          </w:p>
        </w:tc>
        <w:tc>
          <w:tcPr>
            <w:tcW w:w="720" w:type="dxa"/>
          </w:tcPr>
          <w:p w14:paraId="1ECE78BB" w14:textId="4E8C90D4" w:rsidR="008621B1" w:rsidRPr="0062778D" w:rsidRDefault="008621B1" w:rsidP="008621B1">
            <w:pPr>
              <w:keepNext/>
              <w:keepLines/>
              <w:tabs>
                <w:tab w:val="decimal" w:pos="368"/>
              </w:tabs>
              <w:jc w:val="both"/>
            </w:pPr>
            <w:r>
              <w:rPr>
                <w:lang w:eastAsia="zh-HK"/>
              </w:rPr>
              <w:t>2.6</w:t>
            </w:r>
          </w:p>
        </w:tc>
        <w:tc>
          <w:tcPr>
            <w:tcW w:w="900" w:type="dxa"/>
          </w:tcPr>
          <w:p w14:paraId="71FA578D" w14:textId="7AAA59BE" w:rsidR="008621B1" w:rsidRPr="0062778D" w:rsidRDefault="008621B1" w:rsidP="008621B1">
            <w:pPr>
              <w:keepNext/>
              <w:keepLines/>
              <w:tabs>
                <w:tab w:val="decimal" w:pos="404"/>
              </w:tabs>
              <w:jc w:val="both"/>
            </w:pPr>
          </w:p>
        </w:tc>
        <w:tc>
          <w:tcPr>
            <w:tcW w:w="1026" w:type="dxa"/>
          </w:tcPr>
          <w:p w14:paraId="2BFDB037" w14:textId="7E22069B" w:rsidR="008621B1" w:rsidRPr="0062778D" w:rsidRDefault="008621B1" w:rsidP="008621B1">
            <w:pPr>
              <w:keepNext/>
              <w:keepLines/>
              <w:tabs>
                <w:tab w:val="decimal" w:pos="404"/>
              </w:tabs>
              <w:jc w:val="both"/>
            </w:pPr>
            <w:r>
              <w:rPr>
                <w:lang w:eastAsia="zh-HK"/>
              </w:rPr>
              <w:t>3.2</w:t>
            </w:r>
          </w:p>
        </w:tc>
        <w:tc>
          <w:tcPr>
            <w:tcW w:w="954" w:type="dxa"/>
          </w:tcPr>
          <w:p w14:paraId="3E5DE85A" w14:textId="74CD5905" w:rsidR="008621B1" w:rsidRPr="0062778D" w:rsidRDefault="008621B1" w:rsidP="008621B1">
            <w:pPr>
              <w:keepNext/>
              <w:keepLines/>
              <w:tabs>
                <w:tab w:val="decimal" w:pos="533"/>
              </w:tabs>
              <w:ind w:right="-262"/>
              <w:jc w:val="both"/>
            </w:pPr>
            <w:r>
              <w:rPr>
                <w:lang w:eastAsia="zh-HK"/>
              </w:rPr>
              <w:t>-</w:t>
            </w:r>
            <w:r w:rsidR="005F26A7">
              <w:rPr>
                <w:rFonts w:hint="eastAsia"/>
                <w:lang w:eastAsia="zh-HK"/>
              </w:rPr>
              <w:t>5</w:t>
            </w:r>
            <w:r>
              <w:rPr>
                <w:lang w:eastAsia="zh-HK"/>
              </w:rPr>
              <w:t>.4</w:t>
            </w:r>
          </w:p>
        </w:tc>
        <w:tc>
          <w:tcPr>
            <w:tcW w:w="819" w:type="dxa"/>
          </w:tcPr>
          <w:p w14:paraId="33A78B47" w14:textId="0D128948" w:rsidR="008621B1" w:rsidRPr="0062778D" w:rsidRDefault="008621B1" w:rsidP="008621B1">
            <w:pPr>
              <w:keepNext/>
              <w:keepLines/>
              <w:tabs>
                <w:tab w:val="decimal" w:pos="368"/>
              </w:tabs>
              <w:jc w:val="both"/>
            </w:pPr>
            <w:r>
              <w:rPr>
                <w:lang w:eastAsia="zh-HK"/>
              </w:rPr>
              <w:t>-5.9</w:t>
            </w:r>
          </w:p>
        </w:tc>
        <w:tc>
          <w:tcPr>
            <w:tcW w:w="819" w:type="dxa"/>
          </w:tcPr>
          <w:p w14:paraId="3D9700AE" w14:textId="77777777" w:rsidR="008621B1" w:rsidRPr="0062778D" w:rsidRDefault="008621B1" w:rsidP="008621B1">
            <w:pPr>
              <w:keepNext/>
              <w:keepLines/>
              <w:tabs>
                <w:tab w:val="decimal" w:pos="368"/>
              </w:tabs>
              <w:jc w:val="both"/>
            </w:pPr>
          </w:p>
        </w:tc>
        <w:tc>
          <w:tcPr>
            <w:tcW w:w="955" w:type="dxa"/>
          </w:tcPr>
          <w:p w14:paraId="6501DD8A" w14:textId="2909487E" w:rsidR="008621B1" w:rsidRPr="0062778D" w:rsidRDefault="002E7F17" w:rsidP="008621B1">
            <w:pPr>
              <w:keepNext/>
              <w:keepLines/>
              <w:tabs>
                <w:tab w:val="decimal" w:pos="476"/>
              </w:tabs>
              <w:jc w:val="both"/>
            </w:pPr>
            <w:r>
              <w:rPr>
                <w:lang w:eastAsia="zh-HK"/>
              </w:rPr>
              <w:t>0</w:t>
            </w:r>
            <w:r w:rsidR="008621B1">
              <w:rPr>
                <w:lang w:eastAsia="zh-HK"/>
              </w:rPr>
              <w:t>.4</w:t>
            </w:r>
          </w:p>
        </w:tc>
      </w:tr>
      <w:tr w:rsidR="008621B1" w:rsidRPr="00182F37" w14:paraId="224D2C0D" w14:textId="77777777" w:rsidTr="004B6709">
        <w:tc>
          <w:tcPr>
            <w:tcW w:w="1846" w:type="dxa"/>
          </w:tcPr>
          <w:p w14:paraId="031DA5B8"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55BF3DF3" w:rsidR="008621B1" w:rsidRPr="0062778D" w:rsidRDefault="008621B1" w:rsidP="008621B1">
            <w:pPr>
              <w:keepNext/>
              <w:keepLines/>
              <w:tabs>
                <w:tab w:val="decimal" w:pos="436"/>
              </w:tabs>
              <w:jc w:val="both"/>
              <w:rPr>
                <w:lang w:eastAsia="zh-HK"/>
              </w:rPr>
            </w:pPr>
            <w:r>
              <w:t>8.0</w:t>
            </w:r>
          </w:p>
        </w:tc>
        <w:tc>
          <w:tcPr>
            <w:tcW w:w="720" w:type="dxa"/>
          </w:tcPr>
          <w:p w14:paraId="6158EBEE" w14:textId="51B7CFA6" w:rsidR="008621B1" w:rsidRPr="0062778D" w:rsidRDefault="008621B1" w:rsidP="008621B1">
            <w:pPr>
              <w:keepNext/>
              <w:keepLines/>
              <w:tabs>
                <w:tab w:val="decimal" w:pos="368"/>
              </w:tabs>
              <w:jc w:val="both"/>
              <w:rPr>
                <w:lang w:eastAsia="zh-HK"/>
              </w:rPr>
            </w:pPr>
            <w:r>
              <w:rPr>
                <w:lang w:eastAsia="zh-HK"/>
              </w:rPr>
              <w:t>3.3</w:t>
            </w:r>
          </w:p>
        </w:tc>
        <w:tc>
          <w:tcPr>
            <w:tcW w:w="900" w:type="dxa"/>
          </w:tcPr>
          <w:p w14:paraId="2B5FF369" w14:textId="5FBE13A8" w:rsidR="008621B1" w:rsidRPr="0062778D" w:rsidRDefault="008621B1" w:rsidP="008621B1">
            <w:pPr>
              <w:keepNext/>
              <w:keepLines/>
              <w:tabs>
                <w:tab w:val="decimal" w:pos="404"/>
              </w:tabs>
              <w:jc w:val="both"/>
            </w:pPr>
            <w:r>
              <w:t>(-0.3</w:t>
            </w:r>
            <w:r w:rsidRPr="0050134B">
              <w:t>)</w:t>
            </w:r>
          </w:p>
        </w:tc>
        <w:tc>
          <w:tcPr>
            <w:tcW w:w="1026" w:type="dxa"/>
          </w:tcPr>
          <w:p w14:paraId="1B09D6D8" w14:textId="49D8B92D" w:rsidR="008621B1" w:rsidRPr="0062778D" w:rsidRDefault="008621B1" w:rsidP="008621B1">
            <w:pPr>
              <w:keepNext/>
              <w:keepLines/>
              <w:tabs>
                <w:tab w:val="decimal" w:pos="404"/>
              </w:tabs>
              <w:jc w:val="both"/>
              <w:rPr>
                <w:lang w:eastAsia="zh-HK"/>
              </w:rPr>
            </w:pPr>
            <w:r>
              <w:rPr>
                <w:lang w:eastAsia="zh-HK"/>
              </w:rPr>
              <w:t>4.6</w:t>
            </w:r>
          </w:p>
        </w:tc>
        <w:tc>
          <w:tcPr>
            <w:tcW w:w="954" w:type="dxa"/>
          </w:tcPr>
          <w:p w14:paraId="6383CBD2" w14:textId="2D2F1896" w:rsidR="008621B1" w:rsidRPr="0062778D" w:rsidRDefault="008621B1" w:rsidP="008621B1">
            <w:pPr>
              <w:keepNext/>
              <w:keepLines/>
              <w:tabs>
                <w:tab w:val="decimal" w:pos="533"/>
              </w:tabs>
              <w:ind w:right="-262"/>
              <w:jc w:val="both"/>
              <w:rPr>
                <w:lang w:eastAsia="zh-HK"/>
              </w:rPr>
            </w:pPr>
            <w:r>
              <w:rPr>
                <w:lang w:eastAsia="zh-HK"/>
              </w:rPr>
              <w:t>-</w:t>
            </w:r>
            <w:r w:rsidR="005F26A7">
              <w:rPr>
                <w:rFonts w:hint="eastAsia"/>
                <w:lang w:eastAsia="zh-HK"/>
              </w:rPr>
              <w:t>7</w:t>
            </w:r>
            <w:r>
              <w:rPr>
                <w:lang w:eastAsia="zh-HK"/>
              </w:rPr>
              <w:t>.</w:t>
            </w:r>
            <w:r w:rsidR="005F26A7">
              <w:rPr>
                <w:rFonts w:hint="eastAsia"/>
                <w:lang w:eastAsia="zh-HK"/>
              </w:rPr>
              <w:t>1</w:t>
            </w:r>
          </w:p>
        </w:tc>
        <w:tc>
          <w:tcPr>
            <w:tcW w:w="819" w:type="dxa"/>
          </w:tcPr>
          <w:p w14:paraId="522F2FB3" w14:textId="3C64E1FB" w:rsidR="008621B1" w:rsidRPr="0062778D" w:rsidRDefault="008621B1" w:rsidP="008621B1">
            <w:pPr>
              <w:keepNext/>
              <w:keepLines/>
              <w:tabs>
                <w:tab w:val="decimal" w:pos="368"/>
              </w:tabs>
              <w:jc w:val="both"/>
              <w:rPr>
                <w:lang w:eastAsia="zh-HK"/>
              </w:rPr>
            </w:pPr>
            <w:r>
              <w:rPr>
                <w:lang w:eastAsia="zh-HK"/>
              </w:rPr>
              <w:t>-10.3</w:t>
            </w:r>
          </w:p>
        </w:tc>
        <w:tc>
          <w:tcPr>
            <w:tcW w:w="819" w:type="dxa"/>
          </w:tcPr>
          <w:p w14:paraId="7745BBE4" w14:textId="3D9844C7" w:rsidR="008621B1" w:rsidRPr="0062778D" w:rsidRDefault="008621B1" w:rsidP="008621B1">
            <w:pPr>
              <w:keepNext/>
              <w:keepLines/>
              <w:tabs>
                <w:tab w:val="decimal" w:pos="368"/>
              </w:tabs>
              <w:jc w:val="both"/>
            </w:pPr>
            <w:r w:rsidRPr="0050134B">
              <w:t>(</w:t>
            </w:r>
            <w:r>
              <w:t>-1.7</w:t>
            </w:r>
            <w:r w:rsidRPr="0050134B">
              <w:t>)</w:t>
            </w:r>
          </w:p>
        </w:tc>
        <w:tc>
          <w:tcPr>
            <w:tcW w:w="955" w:type="dxa"/>
          </w:tcPr>
          <w:p w14:paraId="4946202D" w14:textId="70D43828" w:rsidR="008621B1" w:rsidRPr="0062778D" w:rsidRDefault="002E7F17" w:rsidP="008621B1">
            <w:pPr>
              <w:keepNext/>
              <w:keepLines/>
              <w:tabs>
                <w:tab w:val="decimal" w:pos="476"/>
              </w:tabs>
              <w:jc w:val="both"/>
              <w:rPr>
                <w:lang w:eastAsia="zh-HK"/>
              </w:rPr>
            </w:pPr>
            <w:r>
              <w:rPr>
                <w:lang w:eastAsia="zh-HK"/>
              </w:rPr>
              <w:t>3</w:t>
            </w:r>
            <w:r w:rsidR="008621B1">
              <w:rPr>
                <w:lang w:eastAsia="zh-HK"/>
              </w:rPr>
              <w:t>.</w:t>
            </w:r>
            <w:r>
              <w:rPr>
                <w:lang w:eastAsia="zh-HK"/>
              </w:rPr>
              <w:t>7</w:t>
            </w:r>
          </w:p>
        </w:tc>
      </w:tr>
      <w:tr w:rsidR="008621B1" w:rsidRPr="00182F37" w14:paraId="18A69388" w14:textId="77777777" w:rsidTr="004B6709">
        <w:tc>
          <w:tcPr>
            <w:tcW w:w="1846" w:type="dxa"/>
          </w:tcPr>
          <w:p w14:paraId="059FB010"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44AA7E04" w:rsidR="008621B1" w:rsidRPr="0062778D" w:rsidRDefault="008621B1" w:rsidP="008621B1">
            <w:pPr>
              <w:keepNext/>
              <w:keepLines/>
              <w:tabs>
                <w:tab w:val="decimal" w:pos="436"/>
              </w:tabs>
              <w:jc w:val="both"/>
            </w:pPr>
            <w:r>
              <w:rPr>
                <w:kern w:val="0"/>
              </w:rPr>
              <w:t>7</w:t>
            </w:r>
            <w:r w:rsidRPr="003C783E">
              <w:rPr>
                <w:kern w:val="0"/>
              </w:rPr>
              <w:t>.</w:t>
            </w:r>
            <w:r>
              <w:rPr>
                <w:kern w:val="0"/>
              </w:rPr>
              <w:t>4</w:t>
            </w:r>
          </w:p>
        </w:tc>
        <w:tc>
          <w:tcPr>
            <w:tcW w:w="720" w:type="dxa"/>
          </w:tcPr>
          <w:p w14:paraId="4EDA13B0" w14:textId="37DEB034" w:rsidR="008621B1" w:rsidRPr="0062778D" w:rsidRDefault="008621B1" w:rsidP="008621B1">
            <w:pPr>
              <w:keepNext/>
              <w:keepLines/>
              <w:tabs>
                <w:tab w:val="decimal" w:pos="368"/>
              </w:tabs>
              <w:jc w:val="both"/>
            </w:pPr>
            <w:r>
              <w:rPr>
                <w:kern w:val="0"/>
                <w:lang w:eastAsia="zh-HK"/>
              </w:rPr>
              <w:t>4.0</w:t>
            </w:r>
          </w:p>
        </w:tc>
        <w:tc>
          <w:tcPr>
            <w:tcW w:w="900" w:type="dxa"/>
          </w:tcPr>
          <w:p w14:paraId="1F32341C" w14:textId="18E52ECE" w:rsidR="008621B1" w:rsidRPr="0062778D" w:rsidRDefault="008621B1" w:rsidP="008621B1">
            <w:pPr>
              <w:keepNext/>
              <w:keepLines/>
              <w:tabs>
                <w:tab w:val="decimal" w:pos="404"/>
              </w:tabs>
              <w:jc w:val="both"/>
            </w:pPr>
            <w:r w:rsidRPr="003C783E">
              <w:rPr>
                <w:kern w:val="0"/>
              </w:rPr>
              <w:t>(</w:t>
            </w:r>
            <w:r>
              <w:rPr>
                <w:kern w:val="0"/>
              </w:rPr>
              <w:t>0.4</w:t>
            </w:r>
            <w:r w:rsidRPr="003C783E">
              <w:rPr>
                <w:kern w:val="0"/>
              </w:rPr>
              <w:t>)</w:t>
            </w:r>
          </w:p>
        </w:tc>
        <w:tc>
          <w:tcPr>
            <w:tcW w:w="1026" w:type="dxa"/>
          </w:tcPr>
          <w:p w14:paraId="6405E299" w14:textId="048B1F33" w:rsidR="008621B1" w:rsidRPr="0062778D" w:rsidRDefault="008621B1" w:rsidP="008621B1">
            <w:pPr>
              <w:keepNext/>
              <w:keepLines/>
              <w:tabs>
                <w:tab w:val="decimal" w:pos="404"/>
              </w:tabs>
              <w:jc w:val="both"/>
            </w:pPr>
            <w:r>
              <w:rPr>
                <w:kern w:val="0"/>
                <w:lang w:eastAsia="zh-HK"/>
              </w:rPr>
              <w:t>3.1</w:t>
            </w:r>
          </w:p>
        </w:tc>
        <w:tc>
          <w:tcPr>
            <w:tcW w:w="954" w:type="dxa"/>
          </w:tcPr>
          <w:p w14:paraId="50D2EBE9" w14:textId="02CF02D2" w:rsidR="008621B1" w:rsidRPr="0062778D" w:rsidRDefault="008621B1" w:rsidP="008621B1">
            <w:pPr>
              <w:keepNext/>
              <w:keepLines/>
              <w:tabs>
                <w:tab w:val="decimal" w:pos="533"/>
              </w:tabs>
              <w:ind w:right="-262"/>
              <w:jc w:val="both"/>
            </w:pPr>
            <w:r w:rsidRPr="003C783E">
              <w:t>-</w:t>
            </w:r>
            <w:r>
              <w:t>1</w:t>
            </w:r>
            <w:r w:rsidR="005F26A7">
              <w:rPr>
                <w:rFonts w:hint="eastAsia"/>
              </w:rPr>
              <w:t>1</w:t>
            </w:r>
            <w:r>
              <w:t>.8</w:t>
            </w:r>
          </w:p>
        </w:tc>
        <w:tc>
          <w:tcPr>
            <w:tcW w:w="819" w:type="dxa"/>
          </w:tcPr>
          <w:p w14:paraId="46B12BCD" w14:textId="48FA380A" w:rsidR="008621B1" w:rsidRPr="0062778D" w:rsidRDefault="008621B1" w:rsidP="008621B1">
            <w:pPr>
              <w:keepNext/>
              <w:keepLines/>
              <w:tabs>
                <w:tab w:val="decimal" w:pos="368"/>
              </w:tabs>
              <w:jc w:val="both"/>
            </w:pPr>
            <w:r w:rsidRPr="003C783E">
              <w:rPr>
                <w:kern w:val="0"/>
                <w:lang w:eastAsia="zh-HK"/>
              </w:rPr>
              <w:t>-1</w:t>
            </w:r>
            <w:r>
              <w:rPr>
                <w:kern w:val="0"/>
                <w:lang w:eastAsia="zh-HK"/>
              </w:rPr>
              <w:t>0.7</w:t>
            </w:r>
          </w:p>
        </w:tc>
        <w:tc>
          <w:tcPr>
            <w:tcW w:w="819" w:type="dxa"/>
          </w:tcPr>
          <w:p w14:paraId="15EA2F5E" w14:textId="4A45AB79" w:rsidR="008621B1" w:rsidRPr="0062778D" w:rsidRDefault="008621B1" w:rsidP="008621B1">
            <w:pPr>
              <w:keepNext/>
              <w:keepLines/>
              <w:tabs>
                <w:tab w:val="decimal" w:pos="368"/>
              </w:tabs>
              <w:jc w:val="both"/>
            </w:pPr>
            <w:r w:rsidRPr="003C783E">
              <w:rPr>
                <w:kern w:val="0"/>
              </w:rPr>
              <w:t>(-</w:t>
            </w:r>
            <w:r w:rsidR="0054074C">
              <w:rPr>
                <w:rFonts w:hint="eastAsia"/>
                <w:kern w:val="0"/>
              </w:rPr>
              <w:t>6.7</w:t>
            </w:r>
            <w:r w:rsidRPr="003C783E">
              <w:rPr>
                <w:kern w:val="0"/>
              </w:rPr>
              <w:t>)</w:t>
            </w:r>
          </w:p>
        </w:tc>
        <w:tc>
          <w:tcPr>
            <w:tcW w:w="955" w:type="dxa"/>
          </w:tcPr>
          <w:p w14:paraId="5427DF19" w14:textId="187B5A68" w:rsidR="008621B1" w:rsidRPr="0062778D" w:rsidRDefault="008621B1" w:rsidP="008621B1">
            <w:pPr>
              <w:keepNext/>
              <w:keepLines/>
              <w:tabs>
                <w:tab w:val="decimal" w:pos="476"/>
              </w:tabs>
              <w:jc w:val="both"/>
            </w:pPr>
            <w:r>
              <w:rPr>
                <w:kern w:val="0"/>
                <w:lang w:eastAsia="zh-HK"/>
              </w:rPr>
              <w:t>-</w:t>
            </w:r>
            <w:r w:rsidR="002E7F17">
              <w:rPr>
                <w:kern w:val="0"/>
                <w:lang w:eastAsia="zh-HK"/>
              </w:rPr>
              <w:t>1</w:t>
            </w:r>
            <w:r>
              <w:rPr>
                <w:kern w:val="0"/>
                <w:lang w:eastAsia="zh-HK"/>
              </w:rPr>
              <w:t>.3</w:t>
            </w:r>
          </w:p>
        </w:tc>
      </w:tr>
      <w:tr w:rsidR="008621B1" w:rsidRPr="00182F37" w14:paraId="4DE500AF" w14:textId="77777777" w:rsidTr="004B6709">
        <w:trPr>
          <w:trHeight w:val="55"/>
        </w:trPr>
        <w:tc>
          <w:tcPr>
            <w:tcW w:w="1846" w:type="dxa"/>
          </w:tcPr>
          <w:p w14:paraId="49768CE4"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30E886A8" w:rsidR="008621B1" w:rsidRPr="0062778D" w:rsidRDefault="008621B1" w:rsidP="008621B1">
            <w:pPr>
              <w:keepNext/>
              <w:keepLines/>
              <w:tabs>
                <w:tab w:val="decimal" w:pos="436"/>
              </w:tabs>
              <w:jc w:val="both"/>
            </w:pPr>
            <w:r>
              <w:rPr>
                <w:kern w:val="0"/>
              </w:rPr>
              <w:t>6.0</w:t>
            </w:r>
          </w:p>
        </w:tc>
        <w:tc>
          <w:tcPr>
            <w:tcW w:w="720" w:type="dxa"/>
          </w:tcPr>
          <w:p w14:paraId="1D5F9081" w14:textId="280B6491" w:rsidR="008621B1" w:rsidRPr="0062778D" w:rsidRDefault="008621B1" w:rsidP="008621B1">
            <w:pPr>
              <w:keepNext/>
              <w:keepLines/>
              <w:tabs>
                <w:tab w:val="decimal" w:pos="368"/>
              </w:tabs>
              <w:jc w:val="both"/>
            </w:pPr>
            <w:r>
              <w:rPr>
                <w:kern w:val="0"/>
              </w:rPr>
              <w:t>3.2</w:t>
            </w:r>
          </w:p>
        </w:tc>
        <w:tc>
          <w:tcPr>
            <w:tcW w:w="900" w:type="dxa"/>
          </w:tcPr>
          <w:p w14:paraId="7637550A" w14:textId="09E495E0" w:rsidR="008621B1" w:rsidRPr="0062778D" w:rsidRDefault="008621B1" w:rsidP="008621B1">
            <w:pPr>
              <w:keepNext/>
              <w:keepLines/>
              <w:tabs>
                <w:tab w:val="decimal" w:pos="404"/>
              </w:tabs>
              <w:jc w:val="both"/>
            </w:pPr>
            <w:r w:rsidRPr="009D2FBE">
              <w:rPr>
                <w:kern w:val="0"/>
              </w:rPr>
              <w:t>(</w:t>
            </w:r>
            <w:r>
              <w:rPr>
                <w:kern w:val="0"/>
              </w:rPr>
              <w:t>1.5</w:t>
            </w:r>
            <w:r w:rsidRPr="009D2FBE">
              <w:rPr>
                <w:kern w:val="0"/>
              </w:rPr>
              <w:t>)</w:t>
            </w:r>
          </w:p>
        </w:tc>
        <w:tc>
          <w:tcPr>
            <w:tcW w:w="1026" w:type="dxa"/>
          </w:tcPr>
          <w:p w14:paraId="43C658F8" w14:textId="0CC75444" w:rsidR="008621B1" w:rsidRPr="0062778D" w:rsidRDefault="008621B1" w:rsidP="008621B1">
            <w:pPr>
              <w:keepNext/>
              <w:keepLines/>
              <w:tabs>
                <w:tab w:val="decimal" w:pos="404"/>
              </w:tabs>
              <w:jc w:val="both"/>
            </w:pPr>
            <w:r>
              <w:rPr>
                <w:kern w:val="0"/>
                <w:lang w:eastAsia="zh-HK"/>
              </w:rPr>
              <w:t>2.6</w:t>
            </w:r>
          </w:p>
        </w:tc>
        <w:tc>
          <w:tcPr>
            <w:tcW w:w="954" w:type="dxa"/>
          </w:tcPr>
          <w:p w14:paraId="2B4FF125" w14:textId="0DFC7481" w:rsidR="008621B1" w:rsidRPr="0062778D" w:rsidRDefault="008621B1" w:rsidP="008621B1">
            <w:pPr>
              <w:keepNext/>
              <w:keepLines/>
              <w:tabs>
                <w:tab w:val="decimal" w:pos="533"/>
              </w:tabs>
              <w:ind w:right="-262"/>
              <w:jc w:val="both"/>
            </w:pPr>
            <w:r>
              <w:t>-</w:t>
            </w:r>
            <w:r w:rsidR="005F26A7">
              <w:rPr>
                <w:rFonts w:hint="eastAsia"/>
              </w:rPr>
              <w:t>2</w:t>
            </w:r>
            <w:r>
              <w:t>.</w:t>
            </w:r>
            <w:r w:rsidR="005F26A7">
              <w:rPr>
                <w:rFonts w:hint="eastAsia"/>
              </w:rPr>
              <w:t>7</w:t>
            </w:r>
          </w:p>
        </w:tc>
        <w:tc>
          <w:tcPr>
            <w:tcW w:w="819" w:type="dxa"/>
          </w:tcPr>
          <w:p w14:paraId="34E2E41F" w14:textId="4068174D" w:rsidR="008621B1" w:rsidRPr="0062778D" w:rsidRDefault="008621B1" w:rsidP="008621B1">
            <w:pPr>
              <w:keepNext/>
              <w:keepLines/>
              <w:tabs>
                <w:tab w:val="decimal" w:pos="368"/>
              </w:tabs>
              <w:jc w:val="both"/>
            </w:pPr>
            <w:r>
              <w:rPr>
                <w:kern w:val="0"/>
                <w:lang w:eastAsia="zh-HK"/>
              </w:rPr>
              <w:t>-1</w:t>
            </w:r>
            <w:r w:rsidRPr="009D2FBE">
              <w:rPr>
                <w:kern w:val="0"/>
                <w:lang w:eastAsia="zh-HK"/>
              </w:rPr>
              <w:t>.</w:t>
            </w:r>
            <w:r>
              <w:rPr>
                <w:kern w:val="0"/>
                <w:lang w:eastAsia="zh-HK"/>
              </w:rPr>
              <w:t>5</w:t>
            </w:r>
          </w:p>
        </w:tc>
        <w:tc>
          <w:tcPr>
            <w:tcW w:w="819" w:type="dxa"/>
          </w:tcPr>
          <w:p w14:paraId="7F563E44" w14:textId="6DD02582" w:rsidR="008621B1" w:rsidRPr="0062778D" w:rsidRDefault="008621B1" w:rsidP="008621B1">
            <w:pPr>
              <w:keepNext/>
              <w:keepLines/>
              <w:tabs>
                <w:tab w:val="decimal" w:pos="368"/>
              </w:tabs>
              <w:jc w:val="both"/>
            </w:pPr>
            <w:r w:rsidRPr="009D2FBE">
              <w:rPr>
                <w:kern w:val="0"/>
              </w:rPr>
              <w:t>(</w:t>
            </w:r>
            <w:r>
              <w:rPr>
                <w:kern w:val="0"/>
              </w:rPr>
              <w:t>1</w:t>
            </w:r>
            <w:r w:rsidR="0054074C">
              <w:rPr>
                <w:rFonts w:hint="eastAsia"/>
                <w:kern w:val="0"/>
              </w:rPr>
              <w:t>2.9</w:t>
            </w:r>
            <w:r w:rsidRPr="009D2FBE">
              <w:rPr>
                <w:kern w:val="0"/>
              </w:rPr>
              <w:t>)</w:t>
            </w:r>
          </w:p>
        </w:tc>
        <w:tc>
          <w:tcPr>
            <w:tcW w:w="955" w:type="dxa"/>
          </w:tcPr>
          <w:p w14:paraId="2A9FC212" w14:textId="4F4815A2" w:rsidR="008621B1" w:rsidRPr="0062778D" w:rsidRDefault="008621B1" w:rsidP="008621B1">
            <w:pPr>
              <w:keepNext/>
              <w:keepLines/>
              <w:tabs>
                <w:tab w:val="decimal" w:pos="476"/>
              </w:tabs>
              <w:jc w:val="both"/>
            </w:pPr>
            <w:r>
              <w:rPr>
                <w:kern w:val="0"/>
                <w:lang w:eastAsia="zh-HK"/>
              </w:rPr>
              <w:t>-</w:t>
            </w:r>
            <w:r w:rsidR="002E7F17">
              <w:rPr>
                <w:kern w:val="0"/>
                <w:lang w:eastAsia="zh-HK"/>
              </w:rPr>
              <w:t>1</w:t>
            </w:r>
            <w:r>
              <w:rPr>
                <w:kern w:val="0"/>
                <w:lang w:eastAsia="zh-HK"/>
              </w:rPr>
              <w:t>.1</w:t>
            </w:r>
          </w:p>
        </w:tc>
      </w:tr>
      <w:tr w:rsidR="008621B1" w:rsidRPr="00182F37" w14:paraId="1BC911AD" w14:textId="77777777" w:rsidTr="004B6709">
        <w:trPr>
          <w:trHeight w:val="70"/>
        </w:trPr>
        <w:tc>
          <w:tcPr>
            <w:tcW w:w="1846" w:type="dxa"/>
          </w:tcPr>
          <w:p w14:paraId="655812BD" w14:textId="77777777" w:rsidR="008621B1" w:rsidRPr="0062778D" w:rsidRDefault="008621B1" w:rsidP="008621B1">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BB9DED3" w:rsidR="008621B1" w:rsidRPr="0062778D" w:rsidRDefault="008621B1" w:rsidP="008621B1">
            <w:pPr>
              <w:keepNext/>
              <w:keepLines/>
              <w:tabs>
                <w:tab w:val="decimal" w:pos="436"/>
              </w:tabs>
              <w:jc w:val="both"/>
            </w:pPr>
            <w:r>
              <w:t>2.9</w:t>
            </w:r>
          </w:p>
        </w:tc>
        <w:tc>
          <w:tcPr>
            <w:tcW w:w="720" w:type="dxa"/>
          </w:tcPr>
          <w:p w14:paraId="1BED5416" w14:textId="7459D487" w:rsidR="008621B1" w:rsidRPr="0062778D" w:rsidRDefault="008621B1" w:rsidP="008621B1">
            <w:pPr>
              <w:keepNext/>
              <w:keepLines/>
              <w:tabs>
                <w:tab w:val="decimal" w:pos="368"/>
              </w:tabs>
              <w:jc w:val="both"/>
            </w:pPr>
            <w:r>
              <w:rPr>
                <w:lang w:eastAsia="zh-HK"/>
              </w:rPr>
              <w:t>0.2</w:t>
            </w:r>
          </w:p>
        </w:tc>
        <w:tc>
          <w:tcPr>
            <w:tcW w:w="900" w:type="dxa"/>
          </w:tcPr>
          <w:p w14:paraId="7ABF9AD8" w14:textId="3C6C2BD7" w:rsidR="008621B1" w:rsidRPr="0062778D" w:rsidRDefault="008621B1" w:rsidP="008621B1">
            <w:pPr>
              <w:keepNext/>
              <w:keepLines/>
              <w:tabs>
                <w:tab w:val="decimal" w:pos="404"/>
              </w:tabs>
              <w:jc w:val="both"/>
            </w:pPr>
            <w:r>
              <w:t>(-0.8</w:t>
            </w:r>
            <w:r w:rsidRPr="00186C45">
              <w:t>)</w:t>
            </w:r>
          </w:p>
        </w:tc>
        <w:tc>
          <w:tcPr>
            <w:tcW w:w="1026" w:type="dxa"/>
          </w:tcPr>
          <w:p w14:paraId="23A43BEB" w14:textId="0EA30FFE" w:rsidR="008621B1" w:rsidRPr="0062778D" w:rsidRDefault="008621B1" w:rsidP="008621B1">
            <w:pPr>
              <w:keepNext/>
              <w:keepLines/>
              <w:tabs>
                <w:tab w:val="decimal" w:pos="404"/>
              </w:tabs>
              <w:jc w:val="both"/>
            </w:pPr>
            <w:r>
              <w:rPr>
                <w:lang w:eastAsia="zh-HK"/>
              </w:rPr>
              <w:t>2.6</w:t>
            </w:r>
          </w:p>
        </w:tc>
        <w:tc>
          <w:tcPr>
            <w:tcW w:w="954" w:type="dxa"/>
          </w:tcPr>
          <w:p w14:paraId="6E9B6C20" w14:textId="290E2E83" w:rsidR="008621B1" w:rsidRPr="0062778D" w:rsidRDefault="005F26A7" w:rsidP="008621B1">
            <w:pPr>
              <w:keepNext/>
              <w:keepLines/>
              <w:tabs>
                <w:tab w:val="decimal" w:pos="533"/>
              </w:tabs>
              <w:ind w:right="-262"/>
              <w:jc w:val="both"/>
            </w:pPr>
            <w:r>
              <w:rPr>
                <w:rFonts w:hint="eastAsia"/>
                <w:lang w:eastAsia="zh-HK"/>
              </w:rPr>
              <w:t>-</w:t>
            </w:r>
            <w:r w:rsidR="008621B1">
              <w:rPr>
                <w:lang w:eastAsia="zh-HK"/>
              </w:rPr>
              <w:t>0.</w:t>
            </w:r>
            <w:r>
              <w:rPr>
                <w:rFonts w:hint="eastAsia"/>
                <w:lang w:eastAsia="zh-HK"/>
              </w:rPr>
              <w:t>4</w:t>
            </w:r>
          </w:p>
        </w:tc>
        <w:tc>
          <w:tcPr>
            <w:tcW w:w="819" w:type="dxa"/>
          </w:tcPr>
          <w:p w14:paraId="5B900BF2" w14:textId="1EF5226C" w:rsidR="008621B1" w:rsidRPr="0062778D" w:rsidRDefault="008621B1" w:rsidP="008621B1">
            <w:pPr>
              <w:keepNext/>
              <w:keepLines/>
              <w:tabs>
                <w:tab w:val="decimal" w:pos="368"/>
              </w:tabs>
              <w:jc w:val="both"/>
            </w:pPr>
            <w:r>
              <w:rPr>
                <w:lang w:eastAsia="zh-HK"/>
              </w:rPr>
              <w:t>-1.4</w:t>
            </w:r>
          </w:p>
        </w:tc>
        <w:tc>
          <w:tcPr>
            <w:tcW w:w="819" w:type="dxa"/>
          </w:tcPr>
          <w:p w14:paraId="40273ABA" w14:textId="653BE349" w:rsidR="008621B1" w:rsidRPr="0062778D" w:rsidRDefault="008621B1" w:rsidP="008621B1">
            <w:pPr>
              <w:keepNext/>
              <w:keepLines/>
              <w:tabs>
                <w:tab w:val="decimal" w:pos="368"/>
              </w:tabs>
              <w:jc w:val="both"/>
            </w:pPr>
            <w:r>
              <w:t>(-</w:t>
            </w:r>
            <w:r w:rsidR="0054074C">
              <w:rPr>
                <w:rFonts w:hint="eastAsia"/>
              </w:rPr>
              <w:t>3.9</w:t>
            </w:r>
            <w:r w:rsidRPr="00186C45">
              <w:t>)</w:t>
            </w:r>
          </w:p>
        </w:tc>
        <w:tc>
          <w:tcPr>
            <w:tcW w:w="955" w:type="dxa"/>
          </w:tcPr>
          <w:p w14:paraId="3C04B60E" w14:textId="1B72B721" w:rsidR="008621B1" w:rsidRPr="0062778D" w:rsidRDefault="002E7F17" w:rsidP="008621B1">
            <w:pPr>
              <w:keepNext/>
              <w:keepLines/>
              <w:tabs>
                <w:tab w:val="decimal" w:pos="476"/>
              </w:tabs>
              <w:jc w:val="both"/>
            </w:pPr>
            <w:r>
              <w:rPr>
                <w:lang w:eastAsia="zh-HK"/>
              </w:rPr>
              <w:t>0</w:t>
            </w:r>
            <w:r w:rsidR="008621B1">
              <w:rPr>
                <w:lang w:eastAsia="zh-HK"/>
              </w:rPr>
              <w:t>.2</w:t>
            </w:r>
          </w:p>
        </w:tc>
      </w:tr>
      <w:tr w:rsidR="008621B1" w:rsidRPr="00182F37" w14:paraId="489D52E1" w14:textId="77777777" w:rsidTr="004B6709">
        <w:trPr>
          <w:trHeight w:val="70"/>
        </w:trPr>
        <w:tc>
          <w:tcPr>
            <w:tcW w:w="1846" w:type="dxa"/>
          </w:tcPr>
          <w:p w14:paraId="169336D6"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8621B1" w:rsidRPr="0050134B" w:rsidRDefault="008621B1" w:rsidP="008621B1">
            <w:pPr>
              <w:keepNext/>
              <w:keepLines/>
              <w:tabs>
                <w:tab w:val="decimal" w:pos="436"/>
              </w:tabs>
              <w:jc w:val="both"/>
            </w:pPr>
          </w:p>
        </w:tc>
        <w:tc>
          <w:tcPr>
            <w:tcW w:w="720" w:type="dxa"/>
          </w:tcPr>
          <w:p w14:paraId="53EA376B" w14:textId="77777777" w:rsidR="008621B1" w:rsidRPr="0050134B" w:rsidRDefault="008621B1" w:rsidP="008621B1">
            <w:pPr>
              <w:keepNext/>
              <w:keepLines/>
              <w:tabs>
                <w:tab w:val="decimal" w:pos="368"/>
              </w:tabs>
              <w:jc w:val="both"/>
              <w:rPr>
                <w:lang w:eastAsia="zh-HK"/>
              </w:rPr>
            </w:pPr>
          </w:p>
        </w:tc>
        <w:tc>
          <w:tcPr>
            <w:tcW w:w="900" w:type="dxa"/>
          </w:tcPr>
          <w:p w14:paraId="5B5CDF95" w14:textId="4E296496" w:rsidR="008621B1" w:rsidRPr="0050134B" w:rsidRDefault="008621B1" w:rsidP="008621B1">
            <w:pPr>
              <w:keepNext/>
              <w:keepLines/>
              <w:tabs>
                <w:tab w:val="decimal" w:pos="404"/>
              </w:tabs>
              <w:jc w:val="both"/>
            </w:pPr>
          </w:p>
        </w:tc>
        <w:tc>
          <w:tcPr>
            <w:tcW w:w="1026" w:type="dxa"/>
          </w:tcPr>
          <w:p w14:paraId="14FA3D8F" w14:textId="77777777" w:rsidR="008621B1" w:rsidRPr="0050134B" w:rsidRDefault="008621B1" w:rsidP="008621B1">
            <w:pPr>
              <w:keepNext/>
              <w:keepLines/>
              <w:tabs>
                <w:tab w:val="decimal" w:pos="404"/>
              </w:tabs>
              <w:jc w:val="both"/>
              <w:rPr>
                <w:lang w:eastAsia="zh-HK"/>
              </w:rPr>
            </w:pPr>
          </w:p>
        </w:tc>
        <w:tc>
          <w:tcPr>
            <w:tcW w:w="954" w:type="dxa"/>
          </w:tcPr>
          <w:p w14:paraId="5F18560A" w14:textId="77777777" w:rsidR="008621B1" w:rsidRPr="0050134B" w:rsidRDefault="008621B1" w:rsidP="008621B1">
            <w:pPr>
              <w:keepNext/>
              <w:keepLines/>
              <w:tabs>
                <w:tab w:val="decimal" w:pos="533"/>
              </w:tabs>
              <w:ind w:right="-262"/>
              <w:jc w:val="both"/>
              <w:rPr>
                <w:lang w:eastAsia="zh-HK"/>
              </w:rPr>
            </w:pPr>
          </w:p>
        </w:tc>
        <w:tc>
          <w:tcPr>
            <w:tcW w:w="819" w:type="dxa"/>
          </w:tcPr>
          <w:p w14:paraId="43A99539" w14:textId="77777777" w:rsidR="008621B1" w:rsidRPr="0050134B" w:rsidRDefault="008621B1" w:rsidP="008621B1">
            <w:pPr>
              <w:keepNext/>
              <w:keepLines/>
              <w:tabs>
                <w:tab w:val="decimal" w:pos="368"/>
              </w:tabs>
              <w:jc w:val="both"/>
              <w:rPr>
                <w:lang w:eastAsia="zh-HK"/>
              </w:rPr>
            </w:pPr>
          </w:p>
        </w:tc>
        <w:tc>
          <w:tcPr>
            <w:tcW w:w="819" w:type="dxa"/>
          </w:tcPr>
          <w:p w14:paraId="5BCE9282" w14:textId="77777777" w:rsidR="008621B1" w:rsidRPr="0050134B" w:rsidRDefault="008621B1" w:rsidP="008621B1">
            <w:pPr>
              <w:keepNext/>
              <w:keepLines/>
              <w:tabs>
                <w:tab w:val="decimal" w:pos="368"/>
              </w:tabs>
              <w:jc w:val="both"/>
            </w:pPr>
          </w:p>
        </w:tc>
        <w:tc>
          <w:tcPr>
            <w:tcW w:w="955" w:type="dxa"/>
          </w:tcPr>
          <w:p w14:paraId="1ED76729" w14:textId="77777777" w:rsidR="008621B1" w:rsidRPr="0050134B" w:rsidRDefault="008621B1" w:rsidP="008621B1">
            <w:pPr>
              <w:keepNext/>
              <w:keepLines/>
              <w:tabs>
                <w:tab w:val="decimal" w:pos="476"/>
              </w:tabs>
              <w:jc w:val="both"/>
              <w:rPr>
                <w:lang w:eastAsia="zh-HK"/>
              </w:rPr>
            </w:pPr>
          </w:p>
        </w:tc>
      </w:tr>
      <w:tr w:rsidR="008621B1" w:rsidRPr="00182F37" w14:paraId="0809D1D1" w14:textId="77777777" w:rsidTr="004B6709">
        <w:trPr>
          <w:trHeight w:val="70"/>
        </w:trPr>
        <w:tc>
          <w:tcPr>
            <w:tcW w:w="1846" w:type="dxa"/>
          </w:tcPr>
          <w:p w14:paraId="56816A69" w14:textId="6D369275"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202</w:t>
            </w:r>
            <w:r>
              <w:t>5</w:t>
            </w:r>
            <w:r w:rsidRPr="0062778D">
              <w:tab/>
              <w:t>Q1</w:t>
            </w:r>
          </w:p>
        </w:tc>
        <w:tc>
          <w:tcPr>
            <w:tcW w:w="882" w:type="dxa"/>
          </w:tcPr>
          <w:p w14:paraId="3DDC34D5" w14:textId="0DF4CE74" w:rsidR="008621B1" w:rsidRPr="0050134B" w:rsidRDefault="002632EC" w:rsidP="002632EC">
            <w:pPr>
              <w:keepNext/>
              <w:keepLines/>
              <w:tabs>
                <w:tab w:val="decimal" w:pos="436"/>
              </w:tabs>
              <w:jc w:val="both"/>
            </w:pPr>
            <w:r>
              <w:t>9.8</w:t>
            </w:r>
          </w:p>
        </w:tc>
        <w:tc>
          <w:tcPr>
            <w:tcW w:w="720" w:type="dxa"/>
          </w:tcPr>
          <w:p w14:paraId="43E39E6E" w14:textId="03A0FAE8" w:rsidR="008621B1" w:rsidRPr="0050134B" w:rsidRDefault="00093D6F" w:rsidP="008621B1">
            <w:pPr>
              <w:keepNext/>
              <w:keepLines/>
              <w:tabs>
                <w:tab w:val="decimal" w:pos="368"/>
              </w:tabs>
              <w:jc w:val="both"/>
              <w:rPr>
                <w:lang w:eastAsia="zh-HK"/>
              </w:rPr>
            </w:pPr>
            <w:r>
              <w:rPr>
                <w:lang w:eastAsia="zh-HK"/>
              </w:rPr>
              <w:t>7.3</w:t>
            </w:r>
          </w:p>
        </w:tc>
        <w:tc>
          <w:tcPr>
            <w:tcW w:w="900" w:type="dxa"/>
          </w:tcPr>
          <w:p w14:paraId="0E41ADA4" w14:textId="51C643B0" w:rsidR="008621B1" w:rsidRPr="0050134B" w:rsidRDefault="008621B1" w:rsidP="008621B1">
            <w:pPr>
              <w:keepNext/>
              <w:keepLines/>
              <w:tabs>
                <w:tab w:val="decimal" w:pos="404"/>
              </w:tabs>
              <w:jc w:val="both"/>
            </w:pPr>
            <w:r>
              <w:t>(</w:t>
            </w:r>
            <w:r w:rsidR="00093D6F">
              <w:t>7.5</w:t>
            </w:r>
            <w:r w:rsidRPr="0050134B">
              <w:t>)</w:t>
            </w:r>
          </w:p>
        </w:tc>
        <w:tc>
          <w:tcPr>
            <w:tcW w:w="1026" w:type="dxa"/>
          </w:tcPr>
          <w:p w14:paraId="08AF3197" w14:textId="3E1F93A0" w:rsidR="008621B1" w:rsidRPr="0050134B" w:rsidRDefault="0054074C" w:rsidP="008621B1">
            <w:pPr>
              <w:keepNext/>
              <w:keepLines/>
              <w:tabs>
                <w:tab w:val="decimal" w:pos="404"/>
              </w:tabs>
              <w:jc w:val="both"/>
              <w:rPr>
                <w:lang w:eastAsia="zh-HK"/>
              </w:rPr>
            </w:pPr>
            <w:r>
              <w:rPr>
                <w:rFonts w:hint="eastAsia"/>
              </w:rPr>
              <w:t>2.0</w:t>
            </w:r>
          </w:p>
        </w:tc>
        <w:tc>
          <w:tcPr>
            <w:tcW w:w="954" w:type="dxa"/>
          </w:tcPr>
          <w:p w14:paraId="440E2C7F" w14:textId="5B3F6F31" w:rsidR="008621B1" w:rsidRPr="0050134B" w:rsidRDefault="002632EC" w:rsidP="008621B1">
            <w:pPr>
              <w:keepNext/>
              <w:keepLines/>
              <w:tabs>
                <w:tab w:val="decimal" w:pos="533"/>
              </w:tabs>
              <w:ind w:right="-262"/>
              <w:jc w:val="both"/>
              <w:rPr>
                <w:lang w:eastAsia="zh-HK"/>
              </w:rPr>
            </w:pPr>
            <w:r>
              <w:rPr>
                <w:lang w:eastAsia="zh-HK"/>
              </w:rPr>
              <w:t>4.</w:t>
            </w:r>
            <w:r w:rsidR="00AE08DE">
              <w:rPr>
                <w:lang w:eastAsia="zh-HK"/>
              </w:rPr>
              <w:t>9</w:t>
            </w:r>
          </w:p>
        </w:tc>
        <w:tc>
          <w:tcPr>
            <w:tcW w:w="819" w:type="dxa"/>
          </w:tcPr>
          <w:p w14:paraId="6ECDD847" w14:textId="1AE82736" w:rsidR="008621B1" w:rsidRPr="0050134B" w:rsidRDefault="0054074C" w:rsidP="008621B1">
            <w:pPr>
              <w:keepNext/>
              <w:keepLines/>
              <w:tabs>
                <w:tab w:val="decimal" w:pos="368"/>
              </w:tabs>
              <w:jc w:val="both"/>
              <w:rPr>
                <w:lang w:eastAsia="zh-HK"/>
              </w:rPr>
            </w:pPr>
            <w:r>
              <w:rPr>
                <w:rFonts w:hint="eastAsia"/>
              </w:rPr>
              <w:t>1.</w:t>
            </w:r>
            <w:r w:rsidR="002E7F17">
              <w:t>1</w:t>
            </w:r>
          </w:p>
        </w:tc>
        <w:tc>
          <w:tcPr>
            <w:tcW w:w="819" w:type="dxa"/>
          </w:tcPr>
          <w:p w14:paraId="69EF1B52" w14:textId="3C570FAE" w:rsidR="008621B1" w:rsidRPr="0050134B" w:rsidRDefault="008621B1" w:rsidP="008621B1">
            <w:pPr>
              <w:keepNext/>
              <w:keepLines/>
              <w:tabs>
                <w:tab w:val="decimal" w:pos="368"/>
              </w:tabs>
              <w:jc w:val="both"/>
            </w:pPr>
            <w:r w:rsidRPr="0050134B">
              <w:t>(</w:t>
            </w:r>
            <w:r w:rsidR="0054074C">
              <w:rPr>
                <w:rFonts w:hint="eastAsia"/>
              </w:rPr>
              <w:t>-0.4</w:t>
            </w:r>
            <w:r w:rsidRPr="0050134B">
              <w:t>)</w:t>
            </w:r>
          </w:p>
        </w:tc>
        <w:tc>
          <w:tcPr>
            <w:tcW w:w="955" w:type="dxa"/>
          </w:tcPr>
          <w:p w14:paraId="14F7F8A0" w14:textId="5734FB43" w:rsidR="008621B1" w:rsidRPr="0050134B" w:rsidRDefault="0054074C" w:rsidP="008621B1">
            <w:pPr>
              <w:keepNext/>
              <w:keepLines/>
              <w:tabs>
                <w:tab w:val="decimal" w:pos="476"/>
              </w:tabs>
              <w:jc w:val="both"/>
              <w:rPr>
                <w:lang w:eastAsia="zh-HK"/>
              </w:rPr>
            </w:pPr>
            <w:r>
              <w:rPr>
                <w:rFonts w:hint="eastAsia"/>
              </w:rPr>
              <w:t>2.</w:t>
            </w:r>
            <w:r w:rsidR="002E7F17">
              <w:t>4</w:t>
            </w:r>
          </w:p>
        </w:tc>
      </w:tr>
      <w:tr w:rsidR="004A3DFB" w:rsidRPr="00182F37" w14:paraId="28ABC2BB" w14:textId="77777777" w:rsidTr="00B65A4E">
        <w:trPr>
          <w:trHeight w:val="339"/>
        </w:trPr>
        <w:tc>
          <w:tcPr>
            <w:tcW w:w="1846" w:type="dxa"/>
          </w:tcPr>
          <w:p w14:paraId="41FE58EA" w14:textId="7FFB7638" w:rsidR="004A3DFB" w:rsidRPr="0062778D" w:rsidRDefault="004A3DFB" w:rsidP="004A3DFB">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5A5EBC3" w14:textId="147B09E5" w:rsidR="004A3DFB" w:rsidRDefault="004A3DFB" w:rsidP="004A3DFB">
            <w:pPr>
              <w:keepNext/>
              <w:keepLines/>
              <w:tabs>
                <w:tab w:val="decimal" w:pos="436"/>
              </w:tabs>
              <w:jc w:val="both"/>
            </w:pPr>
            <w:r>
              <w:rPr>
                <w:rFonts w:hint="eastAsia"/>
              </w:rPr>
              <w:t>1</w:t>
            </w:r>
            <w:r w:rsidR="00D85FE9">
              <w:t>5.2</w:t>
            </w:r>
          </w:p>
        </w:tc>
        <w:tc>
          <w:tcPr>
            <w:tcW w:w="720" w:type="dxa"/>
          </w:tcPr>
          <w:p w14:paraId="5952811D" w14:textId="3572272E" w:rsidR="004A3DFB" w:rsidRDefault="00EE7090" w:rsidP="004A3DFB">
            <w:pPr>
              <w:keepNext/>
              <w:keepLines/>
              <w:tabs>
                <w:tab w:val="decimal" w:pos="368"/>
              </w:tabs>
              <w:jc w:val="both"/>
              <w:rPr>
                <w:lang w:eastAsia="zh-HK"/>
              </w:rPr>
            </w:pPr>
            <w:r>
              <w:rPr>
                <w:rFonts w:hint="eastAsia"/>
                <w:lang w:eastAsia="zh-HK"/>
              </w:rPr>
              <w:t>1</w:t>
            </w:r>
            <w:r w:rsidR="001B7351">
              <w:rPr>
                <w:lang w:eastAsia="zh-HK"/>
              </w:rPr>
              <w:t>2</w:t>
            </w:r>
            <w:r w:rsidR="004A3DFB">
              <w:rPr>
                <w:rFonts w:hint="eastAsia"/>
                <w:lang w:eastAsia="zh-HK"/>
              </w:rPr>
              <w:t>.</w:t>
            </w:r>
            <w:r w:rsidR="001B7351">
              <w:rPr>
                <w:lang w:eastAsia="zh-HK"/>
              </w:rPr>
              <w:t>9</w:t>
            </w:r>
          </w:p>
        </w:tc>
        <w:tc>
          <w:tcPr>
            <w:tcW w:w="900" w:type="dxa"/>
          </w:tcPr>
          <w:p w14:paraId="4D30173E" w14:textId="35C279D6" w:rsidR="004A3DFB" w:rsidRDefault="004A3DFB" w:rsidP="004A3DFB">
            <w:pPr>
              <w:keepNext/>
              <w:keepLines/>
              <w:tabs>
                <w:tab w:val="decimal" w:pos="404"/>
              </w:tabs>
              <w:jc w:val="both"/>
            </w:pPr>
            <w:r>
              <w:rPr>
                <w:rFonts w:hint="eastAsia"/>
              </w:rPr>
              <w:t>(</w:t>
            </w:r>
            <w:r w:rsidR="001B7351">
              <w:t>4</w:t>
            </w:r>
            <w:r>
              <w:rPr>
                <w:rFonts w:hint="eastAsia"/>
              </w:rPr>
              <w:t>.</w:t>
            </w:r>
            <w:r w:rsidR="001B7351">
              <w:t>4</w:t>
            </w:r>
            <w:r>
              <w:rPr>
                <w:rFonts w:hint="eastAsia"/>
              </w:rPr>
              <w:t>)</w:t>
            </w:r>
          </w:p>
        </w:tc>
        <w:tc>
          <w:tcPr>
            <w:tcW w:w="1026" w:type="dxa"/>
          </w:tcPr>
          <w:p w14:paraId="48F879F8" w14:textId="5969812B" w:rsidR="004A3DFB" w:rsidRDefault="001B7351" w:rsidP="004A3DFB">
            <w:pPr>
              <w:keepNext/>
              <w:keepLines/>
              <w:tabs>
                <w:tab w:val="decimal" w:pos="404"/>
              </w:tabs>
              <w:jc w:val="both"/>
            </w:pPr>
            <w:r>
              <w:t>1</w:t>
            </w:r>
            <w:r w:rsidR="004A3DFB">
              <w:rPr>
                <w:rFonts w:hint="eastAsia"/>
              </w:rPr>
              <w:t>.</w:t>
            </w:r>
            <w:r>
              <w:t>9</w:t>
            </w:r>
          </w:p>
        </w:tc>
        <w:tc>
          <w:tcPr>
            <w:tcW w:w="954" w:type="dxa"/>
          </w:tcPr>
          <w:p w14:paraId="7F6BEDC4" w14:textId="5C946D6A" w:rsidR="004A3DFB" w:rsidRDefault="00C45242" w:rsidP="004A3DFB">
            <w:pPr>
              <w:keepNext/>
              <w:keepLines/>
              <w:tabs>
                <w:tab w:val="decimal" w:pos="533"/>
              </w:tabs>
              <w:ind w:right="-262"/>
              <w:jc w:val="both"/>
              <w:rPr>
                <w:lang w:eastAsia="zh-HK"/>
              </w:rPr>
            </w:pPr>
            <w:r>
              <w:rPr>
                <w:lang w:eastAsia="zh-HK"/>
              </w:rPr>
              <w:t>19.5</w:t>
            </w:r>
          </w:p>
        </w:tc>
        <w:tc>
          <w:tcPr>
            <w:tcW w:w="819" w:type="dxa"/>
          </w:tcPr>
          <w:p w14:paraId="6A8D6DC3" w14:textId="04410851" w:rsidR="004A3DFB" w:rsidRDefault="00EE7090" w:rsidP="004A3DFB">
            <w:pPr>
              <w:keepNext/>
              <w:keepLines/>
              <w:tabs>
                <w:tab w:val="decimal" w:pos="368"/>
              </w:tabs>
              <w:jc w:val="both"/>
            </w:pPr>
            <w:r>
              <w:rPr>
                <w:rFonts w:hint="eastAsia"/>
              </w:rPr>
              <w:t>1</w:t>
            </w:r>
            <w:r w:rsidR="005F26A7">
              <w:rPr>
                <w:rFonts w:hint="eastAsia"/>
              </w:rPr>
              <w:t>5</w:t>
            </w:r>
            <w:r w:rsidR="004A3DFB">
              <w:rPr>
                <w:rFonts w:hint="eastAsia"/>
              </w:rPr>
              <w:t>.</w:t>
            </w:r>
            <w:r w:rsidR="005F26A7">
              <w:rPr>
                <w:rFonts w:hint="eastAsia"/>
              </w:rPr>
              <w:t>8</w:t>
            </w:r>
          </w:p>
        </w:tc>
        <w:tc>
          <w:tcPr>
            <w:tcW w:w="819" w:type="dxa"/>
          </w:tcPr>
          <w:p w14:paraId="4EB8D1E4" w14:textId="7685C35A" w:rsidR="004A3DFB" w:rsidRPr="0050134B" w:rsidRDefault="004A3DFB" w:rsidP="004A3DFB">
            <w:pPr>
              <w:keepNext/>
              <w:keepLines/>
              <w:tabs>
                <w:tab w:val="decimal" w:pos="368"/>
              </w:tabs>
              <w:jc w:val="both"/>
            </w:pPr>
            <w:r>
              <w:rPr>
                <w:rFonts w:hint="eastAsia"/>
              </w:rPr>
              <w:t>(</w:t>
            </w:r>
            <w:r w:rsidR="005F26A7">
              <w:rPr>
                <w:rFonts w:hint="eastAsia"/>
              </w:rPr>
              <w:t>8</w:t>
            </w:r>
            <w:r>
              <w:rPr>
                <w:rFonts w:hint="eastAsia"/>
              </w:rPr>
              <w:t>.</w:t>
            </w:r>
            <w:r w:rsidR="005F26A7">
              <w:rPr>
                <w:rFonts w:hint="eastAsia"/>
              </w:rPr>
              <w:t>0</w:t>
            </w:r>
            <w:r>
              <w:rPr>
                <w:rFonts w:hint="eastAsia"/>
              </w:rPr>
              <w:t>)</w:t>
            </w:r>
          </w:p>
        </w:tc>
        <w:tc>
          <w:tcPr>
            <w:tcW w:w="955" w:type="dxa"/>
          </w:tcPr>
          <w:p w14:paraId="235901EE" w14:textId="7F23790E" w:rsidR="004A3DFB" w:rsidRDefault="005F26A7" w:rsidP="004A3DFB">
            <w:pPr>
              <w:keepNext/>
              <w:keepLines/>
              <w:tabs>
                <w:tab w:val="decimal" w:pos="476"/>
              </w:tabs>
              <w:jc w:val="both"/>
            </w:pPr>
            <w:r>
              <w:rPr>
                <w:rFonts w:hint="eastAsia"/>
              </w:rPr>
              <w:t>2</w:t>
            </w:r>
            <w:r w:rsidR="004A3DFB">
              <w:rPr>
                <w:rFonts w:hint="eastAsia"/>
              </w:rPr>
              <w:t>.</w:t>
            </w:r>
            <w:r>
              <w:rPr>
                <w:rFonts w:hint="eastAsia"/>
              </w:rPr>
              <w:t>5</w:t>
            </w:r>
            <w:r w:rsidR="004A3DFB" w:rsidRPr="00B42004">
              <w:rPr>
                <w:noProof/>
                <w:sz w:val="21"/>
                <w:szCs w:val="21"/>
                <w:lang w:eastAsia="zh-CN"/>
              </w:rPr>
              <w:t xml:space="preserve"> </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r>
      <w:proofErr w:type="gramStart"/>
      <w:r w:rsidRPr="00B67ADE">
        <w:rPr>
          <w:sz w:val="22"/>
          <w:szCs w:val="22"/>
          <w:lang w:val="en-GB"/>
        </w:rPr>
        <w:t>(</w:t>
      </w:r>
      <w:r w:rsidR="001F0476" w:rsidRPr="00B67ADE">
        <w:rPr>
          <w:sz w:val="22"/>
          <w:szCs w:val="22"/>
          <w:lang w:val="en-GB"/>
        </w:rPr>
        <w:t>  </w:t>
      </w:r>
      <w:r w:rsidRPr="00B67ADE">
        <w:rPr>
          <w:sz w:val="22"/>
          <w:szCs w:val="22"/>
          <w:lang w:val="en-GB"/>
        </w:rPr>
        <w:t>)</w:t>
      </w:r>
      <w:proofErr w:type="gramEnd"/>
      <w:r w:rsidRPr="00B67ADE">
        <w:rPr>
          <w:sz w:val="22"/>
          <w:szCs w:val="22"/>
          <w:lang w:val="en-GB"/>
        </w:rPr>
        <w:tab/>
        <w:t>Seasonally adjusted quarter-to-quarter rate of change.</w:t>
      </w:r>
    </w:p>
    <w:p w14:paraId="099E0408" w14:textId="003107CC" w:rsidR="00F72819" w:rsidRDefault="00F72819" w:rsidP="00F72819">
      <w:pPr>
        <w:pStyle w:val="BodyText"/>
        <w:spacing w:line="360" w:lineRule="atLeast"/>
        <w:rPr>
          <w:lang w:val="en-GB"/>
        </w:rPr>
      </w:pPr>
    </w:p>
    <w:p w14:paraId="17C3726C" w14:textId="3EEF58A4" w:rsidR="00BD197C" w:rsidRPr="00B67ADE" w:rsidRDefault="005E7DAE" w:rsidP="009F6D33">
      <w:pPr>
        <w:pStyle w:val="BodyText"/>
        <w:spacing w:line="360" w:lineRule="atLeast"/>
        <w:rPr>
          <w:lang w:val="en-GB"/>
        </w:rPr>
      </w:pPr>
      <w:r w:rsidRPr="005E7DAE">
        <w:t xml:space="preserve"> </w:t>
      </w:r>
      <w:r w:rsidRPr="005E7DAE">
        <w:rPr>
          <w:noProof/>
        </w:rPr>
        <w:lastRenderedPageBreak/>
        <w:drawing>
          <wp:inline distT="0" distB="0" distL="0" distR="0" wp14:anchorId="5C4F7AC2" wp14:editId="2B7490C3">
            <wp:extent cx="5731510" cy="3482975"/>
            <wp:effectExtent l="0" t="0" r="254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7EA2B35A" w14:textId="0D215D2C" w:rsidR="001E2E54" w:rsidRPr="00995DF7" w:rsidRDefault="001E2E54" w:rsidP="001E2E54">
      <w:pPr>
        <w:pStyle w:val="ListParagraph"/>
        <w:numPr>
          <w:ilvl w:val="0"/>
          <w:numId w:val="6"/>
        </w:numPr>
        <w:spacing w:after="0" w:line="360" w:lineRule="atLeast"/>
        <w:ind w:leftChars="0"/>
        <w:jc w:val="both"/>
        <w:rPr>
          <w:szCs w:val="28"/>
        </w:rPr>
      </w:pPr>
      <w:r w:rsidRPr="00995DF7">
        <w:rPr>
          <w:i/>
        </w:rPr>
        <w:t>Exports of services</w:t>
      </w:r>
      <w:r w:rsidRPr="00995DF7">
        <w:t xml:space="preserve"> </w:t>
      </w:r>
      <w:r>
        <w:t xml:space="preserve">continued to expand </w:t>
      </w:r>
      <w:r w:rsidRPr="00995DF7">
        <w:t xml:space="preserve">by </w:t>
      </w:r>
      <w:r>
        <w:t>7.5</w:t>
      </w:r>
      <w:r w:rsidRPr="00995DF7">
        <w:rPr>
          <w:szCs w:val="28"/>
        </w:rPr>
        <w:t>%</w:t>
      </w:r>
      <w:r w:rsidRPr="00995DF7">
        <w:t xml:space="preserve"> in real terms in the </w:t>
      </w:r>
      <w:r>
        <w:rPr>
          <w:rFonts w:hint="eastAsia"/>
        </w:rPr>
        <w:t>second</w:t>
      </w:r>
      <w:r w:rsidRPr="00995DF7">
        <w:t xml:space="preserve"> quarter of 2025</w:t>
      </w:r>
      <w:r>
        <w:t xml:space="preserve"> over a year earlier</w:t>
      </w:r>
      <w:r w:rsidRPr="00995DF7">
        <w:t xml:space="preserve">, </w:t>
      </w:r>
      <w:r>
        <w:t>faster than the growth of 6.3</w:t>
      </w:r>
      <w:r w:rsidRPr="00995DF7">
        <w:rPr>
          <w:szCs w:val="28"/>
        </w:rPr>
        <w:t xml:space="preserve">% in </w:t>
      </w:r>
      <w:r w:rsidRPr="00F73674">
        <w:t>the preceding quarter</w:t>
      </w:r>
      <w:r w:rsidRPr="00995DF7">
        <w:t xml:space="preserve">.  </w:t>
      </w:r>
      <w:r>
        <w:t xml:space="preserve">Exports of all major service groups showed further </w:t>
      </w:r>
      <w:r>
        <w:rPr>
          <w:rFonts w:hint="eastAsia"/>
        </w:rPr>
        <w:t>increases</w:t>
      </w:r>
      <w:r>
        <w:t>.  Specifically, e</w:t>
      </w:r>
      <w:r w:rsidRPr="00995DF7">
        <w:rPr>
          <w:szCs w:val="28"/>
        </w:rPr>
        <w:t>xports</w:t>
      </w:r>
      <w:r w:rsidRPr="00995DF7">
        <w:t xml:space="preserve"> of </w:t>
      </w:r>
      <w:r>
        <w:t xml:space="preserve">travel and </w:t>
      </w:r>
      <w:r>
        <w:rPr>
          <w:rFonts w:hint="eastAsia"/>
        </w:rPr>
        <w:t xml:space="preserve">transport </w:t>
      </w:r>
      <w:r w:rsidRPr="00995DF7">
        <w:t xml:space="preserve">services </w:t>
      </w:r>
      <w:r>
        <w:t xml:space="preserve">rose further thanks to strong growth in inbound tourism and </w:t>
      </w:r>
      <w:r w:rsidR="003F22C6">
        <w:rPr>
          <w:rFonts w:hint="eastAsia"/>
        </w:rPr>
        <w:t>sustained</w:t>
      </w:r>
      <w:r>
        <w:t xml:space="preserve"> expansion in cross-boundary traffic</w:t>
      </w:r>
      <w:r w:rsidRPr="00995DF7">
        <w:rPr>
          <w:szCs w:val="28"/>
        </w:rPr>
        <w:t xml:space="preserve">. </w:t>
      </w:r>
      <w:r>
        <w:rPr>
          <w:rFonts w:hint="eastAsia"/>
          <w:szCs w:val="28"/>
        </w:rPr>
        <w:t xml:space="preserve"> </w:t>
      </w:r>
      <w:r>
        <w:t>E</w:t>
      </w:r>
      <w:r w:rsidRPr="00995DF7">
        <w:t xml:space="preserve">xports of </w:t>
      </w:r>
      <w:r>
        <w:t>financial services and business and other services</w:t>
      </w:r>
      <w:r w:rsidRPr="00995DF7">
        <w:t xml:space="preserve"> </w:t>
      </w:r>
      <w:r>
        <w:t xml:space="preserve">also </w:t>
      </w:r>
      <w:r>
        <w:rPr>
          <w:rFonts w:hint="eastAsia"/>
        </w:rPr>
        <w:t>continued to</w:t>
      </w:r>
      <w:r>
        <w:t xml:space="preserve"> grow, supported by vibrant financial and related business service activities amid the buoyant local stock market</w:t>
      </w:r>
      <w:r>
        <w:rPr>
          <w:szCs w:val="28"/>
        </w:rPr>
        <w:t>.</w:t>
      </w:r>
      <w:r>
        <w:rPr>
          <w:rFonts w:hint="eastAsia"/>
          <w:szCs w:val="28"/>
        </w:rPr>
        <w:t xml:space="preserve"> </w:t>
      </w:r>
      <w:r>
        <w:rPr>
          <w:szCs w:val="28"/>
        </w:rPr>
        <w:t xml:space="preserve"> </w:t>
      </w:r>
    </w:p>
    <w:p w14:paraId="6F1011A5" w14:textId="34DC53FE" w:rsidR="006711C4" w:rsidRDefault="005F58C0" w:rsidP="00D35E94">
      <w:pPr>
        <w:keepNext/>
        <w:keepLines/>
        <w:tabs>
          <w:tab w:val="left" w:pos="1080"/>
        </w:tabs>
        <w:spacing w:line="360" w:lineRule="atLeast"/>
        <w:rPr>
          <w:i/>
          <w:kern w:val="0"/>
          <w:sz w:val="28"/>
          <w:szCs w:val="22"/>
        </w:rPr>
      </w:pPr>
      <w:r w:rsidRPr="005F58C0">
        <w:rPr>
          <w:noProof/>
        </w:rPr>
        <w:lastRenderedPageBreak/>
        <w:drawing>
          <wp:inline distT="0" distB="0" distL="0" distR="0" wp14:anchorId="5AD5B455" wp14:editId="73A227C8">
            <wp:extent cx="5717176" cy="349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7176" cy="3492000"/>
                    </a:xfrm>
                    <a:prstGeom prst="rect">
                      <a:avLst/>
                    </a:prstGeom>
                    <a:noFill/>
                    <a:ln>
                      <a:noFill/>
                    </a:ln>
                  </pic:spPr>
                </pic:pic>
              </a:graphicData>
            </a:graphic>
          </wp:inline>
        </w:drawing>
      </w:r>
    </w:p>
    <w:p w14:paraId="63A8635D" w14:textId="77777777" w:rsidR="00D35D7E" w:rsidRDefault="00D35D7E" w:rsidP="00D35E94">
      <w:pPr>
        <w:keepNext/>
        <w:keepLines/>
        <w:tabs>
          <w:tab w:val="left" w:pos="1080"/>
        </w:tabs>
        <w:spacing w:line="360" w:lineRule="atLeast"/>
        <w:rPr>
          <w:kern w:val="0"/>
          <w:sz w:val="28"/>
          <w:szCs w:val="22"/>
        </w:rPr>
      </w:pPr>
    </w:p>
    <w:p w14:paraId="1E3E819B" w14:textId="77777777" w:rsidR="00D35E94" w:rsidRPr="003B5EC8" w:rsidRDefault="00D35E94" w:rsidP="00D35E94">
      <w:pPr>
        <w:keepNext/>
        <w:keepLines/>
        <w:tabs>
          <w:tab w:val="left" w:pos="1080"/>
        </w:tabs>
        <w:spacing w:line="360" w:lineRule="atLeast"/>
        <w:jc w:val="center"/>
        <w:rPr>
          <w:b/>
          <w:sz w:val="28"/>
        </w:rPr>
      </w:pPr>
      <w:r w:rsidRPr="003B5EC8">
        <w:rPr>
          <w:b/>
          <w:sz w:val="28"/>
        </w:rPr>
        <w:t xml:space="preserve">Table </w:t>
      </w:r>
      <w:proofErr w:type="gramStart"/>
      <w:r w:rsidRPr="003B5EC8">
        <w:rPr>
          <w:b/>
          <w:sz w:val="28"/>
        </w:rPr>
        <w:t>2.4 :</w:t>
      </w:r>
      <w:proofErr w:type="gramEnd"/>
      <w:r w:rsidRPr="003B5EC8">
        <w:rPr>
          <w:b/>
          <w:sz w:val="28"/>
        </w:rPr>
        <w:t xml:space="preserve">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3B5EC8">
        <w:rPr>
          <w:b/>
          <w:sz w:val="28"/>
        </w:rPr>
        <w:t>(year-on-year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 xml:space="preserve">Of </w:t>
            </w:r>
            <w:proofErr w:type="gramStart"/>
            <w:r w:rsidRPr="004B6709">
              <w:rPr>
                <w:i/>
              </w:rPr>
              <w:t>which :</w:t>
            </w:r>
            <w:proofErr w:type="gramEnd"/>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3B5EC8" w:rsidRPr="004F4142" w14:paraId="6D15C04A" w14:textId="77777777" w:rsidTr="00BC1FA7">
        <w:tc>
          <w:tcPr>
            <w:tcW w:w="1721" w:type="dxa"/>
          </w:tcPr>
          <w:p w14:paraId="219D6DBE" w14:textId="327A8E65" w:rsidR="003B5EC8" w:rsidRPr="004B6709" w:rsidRDefault="003B5EC8" w:rsidP="003B5EC8">
            <w:pPr>
              <w:keepNext/>
              <w:keepLines/>
              <w:tabs>
                <w:tab w:val="left" w:pos="855"/>
              </w:tabs>
              <w:spacing w:line="260" w:lineRule="exact"/>
              <w:jc w:val="both"/>
            </w:pPr>
            <w:r w:rsidRPr="004B6709">
              <w:t>202</w:t>
            </w:r>
            <w:r w:rsidR="00315E9C">
              <w:t>4</w:t>
            </w:r>
            <w:r w:rsidRPr="004B6709">
              <w:tab/>
              <w:t>Annual</w:t>
            </w:r>
          </w:p>
          <w:p w14:paraId="2F87CCEB" w14:textId="77777777" w:rsidR="003B5EC8" w:rsidRPr="004B6709" w:rsidRDefault="003B5EC8" w:rsidP="003B5EC8">
            <w:pPr>
              <w:keepNext/>
              <w:keepLines/>
              <w:tabs>
                <w:tab w:val="left" w:pos="855"/>
              </w:tabs>
              <w:spacing w:line="260" w:lineRule="exact"/>
              <w:jc w:val="both"/>
            </w:pPr>
          </w:p>
        </w:tc>
        <w:tc>
          <w:tcPr>
            <w:tcW w:w="850" w:type="dxa"/>
          </w:tcPr>
          <w:p w14:paraId="07CD245F" w14:textId="7A7883B8"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5.1</w:t>
            </w:r>
          </w:p>
        </w:tc>
        <w:tc>
          <w:tcPr>
            <w:tcW w:w="851" w:type="dxa"/>
          </w:tcPr>
          <w:p w14:paraId="63F9118C" w14:textId="77777777"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0C08EC7"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7.5</w:t>
            </w:r>
          </w:p>
        </w:tc>
        <w:tc>
          <w:tcPr>
            <w:tcW w:w="1433" w:type="dxa"/>
          </w:tcPr>
          <w:p w14:paraId="0ED655BB" w14:textId="6D593F4D" w:rsidR="003B5EC8" w:rsidRPr="00BC1FA7" w:rsidRDefault="009221B5" w:rsidP="003B5EC8">
            <w:pPr>
              <w:keepNext/>
              <w:keepLines/>
              <w:tabs>
                <w:tab w:val="decimal" w:pos="775"/>
              </w:tabs>
              <w:spacing w:line="260" w:lineRule="exact"/>
              <w:rPr>
                <w:highlight w:val="yellow"/>
              </w:rPr>
            </w:pPr>
            <w:r>
              <w:t>6.9</w:t>
            </w:r>
          </w:p>
        </w:tc>
        <w:tc>
          <w:tcPr>
            <w:tcW w:w="1429" w:type="dxa"/>
          </w:tcPr>
          <w:p w14:paraId="4FA3AC3E" w14:textId="2F0E8F87" w:rsidR="003B5EC8" w:rsidRPr="00BC1FA7" w:rsidRDefault="006102A6" w:rsidP="00AB74EF">
            <w:pPr>
              <w:keepNext/>
              <w:keepLines/>
              <w:tabs>
                <w:tab w:val="decimal" w:pos="724"/>
              </w:tabs>
              <w:spacing w:line="260" w:lineRule="exact"/>
              <w:rPr>
                <w:highlight w:val="yellow"/>
              </w:rPr>
            </w:pPr>
            <w:r>
              <w:t>2.4</w:t>
            </w:r>
          </w:p>
        </w:tc>
        <w:tc>
          <w:tcPr>
            <w:tcW w:w="1701" w:type="dxa"/>
          </w:tcPr>
          <w:p w14:paraId="5513A109" w14:textId="12ECF4D6" w:rsidR="003B5EC8" w:rsidRPr="00BC1FA7" w:rsidRDefault="003B5EC8" w:rsidP="00AB74EF">
            <w:pPr>
              <w:keepNext/>
              <w:keepLines/>
              <w:tabs>
                <w:tab w:val="decimal" w:pos="810"/>
              </w:tabs>
              <w:spacing w:line="260" w:lineRule="exact"/>
              <w:rPr>
                <w:highlight w:val="yellow"/>
              </w:rPr>
            </w:pPr>
            <w:r w:rsidRPr="004C792F">
              <w:t>3.</w:t>
            </w:r>
            <w:r w:rsidR="006102A6">
              <w:t>2</w:t>
            </w:r>
          </w:p>
        </w:tc>
      </w:tr>
      <w:tr w:rsidR="003B5EC8" w:rsidRPr="004F4142" w14:paraId="4694A4F3" w14:textId="77777777" w:rsidTr="00BC1FA7">
        <w:tc>
          <w:tcPr>
            <w:tcW w:w="1721" w:type="dxa"/>
          </w:tcPr>
          <w:p w14:paraId="767ED7E8" w14:textId="77777777" w:rsidR="003B5EC8" w:rsidRPr="004B6709" w:rsidRDefault="003B5EC8" w:rsidP="003B5EC8">
            <w:pPr>
              <w:keepNext/>
              <w:keepLines/>
              <w:tabs>
                <w:tab w:val="left" w:pos="855"/>
              </w:tabs>
              <w:spacing w:line="260" w:lineRule="exact"/>
              <w:jc w:val="both"/>
            </w:pPr>
            <w:r w:rsidRPr="004B6709">
              <w:tab/>
              <w:t>Q1</w:t>
            </w:r>
          </w:p>
        </w:tc>
        <w:tc>
          <w:tcPr>
            <w:tcW w:w="850" w:type="dxa"/>
          </w:tcPr>
          <w:p w14:paraId="7B2DD763" w14:textId="2A6255FF"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9.</w:t>
            </w:r>
            <w:r w:rsidR="00EA0F09">
              <w:rPr>
                <w:sz w:val="24"/>
                <w:lang w:val="en-GB"/>
              </w:rPr>
              <w:t>9</w:t>
            </w:r>
            <w:r w:rsidRPr="0083617F">
              <w:rPr>
                <w:sz w:val="8"/>
                <w:szCs w:val="8"/>
                <w:lang w:val="en-GB"/>
              </w:rPr>
              <w:t xml:space="preserve">  </w:t>
            </w:r>
          </w:p>
        </w:tc>
        <w:tc>
          <w:tcPr>
            <w:tcW w:w="851" w:type="dxa"/>
          </w:tcPr>
          <w:p w14:paraId="28ACF7C3" w14:textId="277980D3"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Pr>
                <w:sz w:val="24"/>
                <w:lang w:val="en-GB"/>
              </w:rPr>
              <w:t>(</w:t>
            </w:r>
            <w:r>
              <w:rPr>
                <w:sz w:val="24"/>
                <w:lang w:val="en-GB" w:eastAsia="zh-TW"/>
              </w:rPr>
              <w:t>0.1</w:t>
            </w:r>
            <w:r w:rsidRPr="0083617F">
              <w:rPr>
                <w:sz w:val="24"/>
                <w:lang w:val="en-GB"/>
              </w:rPr>
              <w:t>)</w:t>
            </w:r>
          </w:p>
        </w:tc>
        <w:tc>
          <w:tcPr>
            <w:tcW w:w="1429" w:type="dxa"/>
          </w:tcPr>
          <w:p w14:paraId="0EA9C4FE" w14:textId="7B4FDDC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12.</w:t>
            </w:r>
            <w:r w:rsidR="006102A6">
              <w:rPr>
                <w:sz w:val="24"/>
                <w:lang w:val="en-GB"/>
              </w:rPr>
              <w:t>3</w:t>
            </w:r>
          </w:p>
        </w:tc>
        <w:tc>
          <w:tcPr>
            <w:tcW w:w="1433" w:type="dxa"/>
          </w:tcPr>
          <w:p w14:paraId="21F6ECE3" w14:textId="3A48DC65" w:rsidR="003B5EC8" w:rsidRPr="00BC1FA7" w:rsidRDefault="009221B5" w:rsidP="003B5EC8">
            <w:pPr>
              <w:keepNext/>
              <w:keepLines/>
              <w:tabs>
                <w:tab w:val="decimal" w:pos="775"/>
              </w:tabs>
              <w:spacing w:line="260" w:lineRule="exact"/>
              <w:rPr>
                <w:highlight w:val="yellow"/>
              </w:rPr>
            </w:pPr>
            <w:r>
              <w:t>41.0</w:t>
            </w:r>
          </w:p>
        </w:tc>
        <w:tc>
          <w:tcPr>
            <w:tcW w:w="1429" w:type="dxa"/>
          </w:tcPr>
          <w:p w14:paraId="18EA852D" w14:textId="41FC098D" w:rsidR="003B5EC8" w:rsidRPr="00BC1FA7" w:rsidRDefault="003B5EC8" w:rsidP="00AB74EF">
            <w:pPr>
              <w:keepNext/>
              <w:keepLines/>
              <w:tabs>
                <w:tab w:val="decimal" w:pos="724"/>
              </w:tabs>
              <w:spacing w:line="260" w:lineRule="exact"/>
              <w:rPr>
                <w:highlight w:val="yellow"/>
              </w:rPr>
            </w:pPr>
            <w:r w:rsidRPr="004C792F">
              <w:t>-5.</w:t>
            </w:r>
            <w:r w:rsidR="006102A6">
              <w:t>1</w:t>
            </w:r>
          </w:p>
        </w:tc>
        <w:tc>
          <w:tcPr>
            <w:tcW w:w="1701" w:type="dxa"/>
          </w:tcPr>
          <w:p w14:paraId="7803D879" w14:textId="7D0737D1" w:rsidR="003B5EC8" w:rsidRPr="00BC1FA7" w:rsidRDefault="003B5EC8" w:rsidP="00AB74EF">
            <w:pPr>
              <w:keepNext/>
              <w:keepLines/>
              <w:tabs>
                <w:tab w:val="decimal" w:pos="810"/>
              </w:tabs>
              <w:spacing w:line="260" w:lineRule="exact"/>
              <w:rPr>
                <w:highlight w:val="yellow"/>
              </w:rPr>
            </w:pPr>
            <w:r w:rsidRPr="004C792F">
              <w:t>1.</w:t>
            </w:r>
            <w:r w:rsidR="006102A6">
              <w:t>6</w:t>
            </w:r>
          </w:p>
        </w:tc>
      </w:tr>
      <w:tr w:rsidR="003B5EC8" w:rsidRPr="004F4142" w14:paraId="306AA9E9" w14:textId="77777777" w:rsidTr="00BC1FA7">
        <w:tc>
          <w:tcPr>
            <w:tcW w:w="1721" w:type="dxa"/>
          </w:tcPr>
          <w:p w14:paraId="4F88D605"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78C447A4"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1.0</w:t>
            </w:r>
            <w:r w:rsidR="003B5EC8" w:rsidRPr="008E31E4">
              <w:rPr>
                <w:sz w:val="24"/>
                <w:lang w:val="en-GB"/>
              </w:rPr>
              <w:t xml:space="preserve">  </w:t>
            </w:r>
          </w:p>
        </w:tc>
        <w:tc>
          <w:tcPr>
            <w:tcW w:w="851" w:type="dxa"/>
          </w:tcPr>
          <w:p w14:paraId="1482CD7E" w14:textId="10376CB3"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-1.</w:t>
            </w:r>
            <w:r w:rsidR="00B56878">
              <w:rPr>
                <w:sz w:val="24"/>
                <w:lang w:val="en-GB"/>
              </w:rPr>
              <w:t>8</w:t>
            </w:r>
            <w:r w:rsidRPr="008E31E4">
              <w:rPr>
                <w:sz w:val="24"/>
                <w:lang w:val="en-GB"/>
              </w:rPr>
              <w:t>)</w:t>
            </w:r>
          </w:p>
        </w:tc>
        <w:tc>
          <w:tcPr>
            <w:tcW w:w="1429" w:type="dxa"/>
          </w:tcPr>
          <w:p w14:paraId="79121E81" w14:textId="13C3859D"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5.0</w:t>
            </w:r>
          </w:p>
        </w:tc>
        <w:tc>
          <w:tcPr>
            <w:tcW w:w="1433" w:type="dxa"/>
          </w:tcPr>
          <w:p w14:paraId="472942DC" w14:textId="45324976" w:rsidR="003B5EC8" w:rsidRPr="00BC1FA7" w:rsidRDefault="009221B5" w:rsidP="003B5EC8">
            <w:pPr>
              <w:keepNext/>
              <w:keepLines/>
              <w:tabs>
                <w:tab w:val="decimal" w:pos="775"/>
              </w:tabs>
              <w:spacing w:line="260" w:lineRule="exact"/>
              <w:rPr>
                <w:highlight w:val="yellow"/>
              </w:rPr>
            </w:pPr>
            <w:r>
              <w:t>-9.2</w:t>
            </w:r>
          </w:p>
        </w:tc>
        <w:tc>
          <w:tcPr>
            <w:tcW w:w="1429" w:type="dxa"/>
          </w:tcPr>
          <w:p w14:paraId="14F6BF7A" w14:textId="4EE9812C" w:rsidR="003B5EC8" w:rsidRPr="00BC1FA7" w:rsidRDefault="006102A6" w:rsidP="00AB74EF">
            <w:pPr>
              <w:keepNext/>
              <w:keepLines/>
              <w:tabs>
                <w:tab w:val="decimal" w:pos="724"/>
              </w:tabs>
              <w:spacing w:line="260" w:lineRule="exact"/>
              <w:rPr>
                <w:highlight w:val="yellow"/>
              </w:rPr>
            </w:pPr>
            <w:r>
              <w:t>4.2</w:t>
            </w:r>
          </w:p>
        </w:tc>
        <w:tc>
          <w:tcPr>
            <w:tcW w:w="1701" w:type="dxa"/>
          </w:tcPr>
          <w:p w14:paraId="591C5EB8" w14:textId="4818D6B2" w:rsidR="003B5EC8" w:rsidRPr="00BC1FA7" w:rsidRDefault="003B5EC8" w:rsidP="00AB74EF">
            <w:pPr>
              <w:keepNext/>
              <w:keepLines/>
              <w:tabs>
                <w:tab w:val="decimal" w:pos="810"/>
              </w:tabs>
              <w:spacing w:line="260" w:lineRule="exact"/>
              <w:rPr>
                <w:highlight w:val="yellow"/>
              </w:rPr>
            </w:pPr>
            <w:r w:rsidRPr="004C792F">
              <w:t>3.6</w:t>
            </w:r>
          </w:p>
        </w:tc>
      </w:tr>
      <w:tr w:rsidR="003B5EC8" w:rsidRPr="00B67ADE" w14:paraId="0A6BA08D" w14:textId="77777777" w:rsidTr="00BC1FA7">
        <w:tc>
          <w:tcPr>
            <w:tcW w:w="1721" w:type="dxa"/>
          </w:tcPr>
          <w:p w14:paraId="07052D29"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159B74F0"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2.8</w:t>
            </w:r>
            <w:r w:rsidR="003B5EC8" w:rsidRPr="008E31E4">
              <w:rPr>
                <w:sz w:val="24"/>
                <w:lang w:val="en-GB"/>
              </w:rPr>
              <w:t xml:space="preserve">  </w:t>
            </w:r>
          </w:p>
        </w:tc>
        <w:tc>
          <w:tcPr>
            <w:tcW w:w="851" w:type="dxa"/>
          </w:tcPr>
          <w:p w14:paraId="2380EFE1" w14:textId="6F0D441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3.</w:t>
            </w:r>
            <w:r w:rsidR="00B56878">
              <w:rPr>
                <w:sz w:val="24"/>
                <w:lang w:val="en-GB"/>
              </w:rPr>
              <w:t>5</w:t>
            </w:r>
            <w:r w:rsidRPr="008E31E4">
              <w:rPr>
                <w:sz w:val="24"/>
                <w:lang w:val="en-GB"/>
              </w:rPr>
              <w:t>)</w:t>
            </w:r>
          </w:p>
        </w:tc>
        <w:tc>
          <w:tcPr>
            <w:tcW w:w="1429" w:type="dxa"/>
          </w:tcPr>
          <w:p w14:paraId="247F451C" w14:textId="6AFAB8D1"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w:t>
            </w:r>
            <w:r w:rsidR="006102A6">
              <w:rPr>
                <w:sz w:val="24"/>
                <w:lang w:val="en-GB"/>
              </w:rPr>
              <w:t>8</w:t>
            </w:r>
          </w:p>
        </w:tc>
        <w:tc>
          <w:tcPr>
            <w:tcW w:w="1433" w:type="dxa"/>
          </w:tcPr>
          <w:p w14:paraId="418B09C1" w14:textId="67142E31" w:rsidR="003B5EC8" w:rsidRPr="00BC1FA7" w:rsidRDefault="003B5EC8" w:rsidP="003B5EC8">
            <w:pPr>
              <w:keepNext/>
              <w:keepLines/>
              <w:tabs>
                <w:tab w:val="decimal" w:pos="775"/>
              </w:tabs>
              <w:spacing w:line="260" w:lineRule="exact"/>
              <w:rPr>
                <w:highlight w:val="yellow"/>
              </w:rPr>
            </w:pPr>
            <w:r w:rsidRPr="004C792F">
              <w:t>-3.</w:t>
            </w:r>
            <w:r w:rsidR="009221B5">
              <w:t>4</w:t>
            </w:r>
          </w:p>
        </w:tc>
        <w:tc>
          <w:tcPr>
            <w:tcW w:w="1429" w:type="dxa"/>
          </w:tcPr>
          <w:p w14:paraId="0E020F00" w14:textId="2F911141" w:rsidR="003B5EC8" w:rsidRPr="00BC1FA7" w:rsidRDefault="006102A6" w:rsidP="00AB74EF">
            <w:pPr>
              <w:keepNext/>
              <w:keepLines/>
              <w:tabs>
                <w:tab w:val="decimal" w:pos="724"/>
              </w:tabs>
              <w:spacing w:line="260" w:lineRule="exact"/>
              <w:rPr>
                <w:highlight w:val="yellow"/>
              </w:rPr>
            </w:pPr>
            <w:r>
              <w:t>4.6</w:t>
            </w:r>
          </w:p>
        </w:tc>
        <w:tc>
          <w:tcPr>
            <w:tcW w:w="1701" w:type="dxa"/>
          </w:tcPr>
          <w:p w14:paraId="00063D55" w14:textId="53307C40" w:rsidR="003B5EC8" w:rsidRPr="00BC1FA7" w:rsidRDefault="003B5EC8" w:rsidP="00AB74EF">
            <w:pPr>
              <w:keepNext/>
              <w:keepLines/>
              <w:tabs>
                <w:tab w:val="decimal" w:pos="810"/>
              </w:tabs>
              <w:spacing w:line="260" w:lineRule="exact"/>
              <w:rPr>
                <w:highlight w:val="yellow"/>
              </w:rPr>
            </w:pPr>
            <w:r w:rsidRPr="004C792F">
              <w:t>4.4</w:t>
            </w:r>
          </w:p>
        </w:tc>
      </w:tr>
      <w:tr w:rsidR="003B5EC8" w:rsidRPr="00B67ADE" w14:paraId="3DF4B64E" w14:textId="77777777" w:rsidTr="00BC1FA7">
        <w:tc>
          <w:tcPr>
            <w:tcW w:w="1721" w:type="dxa"/>
          </w:tcPr>
          <w:p w14:paraId="5DFAFD51"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2B0767FF"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6.5</w:t>
            </w:r>
          </w:p>
        </w:tc>
        <w:tc>
          <w:tcPr>
            <w:tcW w:w="851" w:type="dxa"/>
          </w:tcPr>
          <w:p w14:paraId="02C14642" w14:textId="6B4FB0A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B56878">
              <w:rPr>
                <w:sz w:val="24"/>
                <w:lang w:val="en-GB"/>
              </w:rPr>
              <w:t>4</w:t>
            </w:r>
            <w:r>
              <w:rPr>
                <w:sz w:val="24"/>
                <w:lang w:val="en-GB"/>
              </w:rPr>
              <w:t>.7)</w:t>
            </w:r>
          </w:p>
        </w:tc>
        <w:tc>
          <w:tcPr>
            <w:tcW w:w="1429" w:type="dxa"/>
          </w:tcPr>
          <w:p w14:paraId="4BB10D05" w14:textId="6B3989F4"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7.3</w:t>
            </w:r>
          </w:p>
        </w:tc>
        <w:tc>
          <w:tcPr>
            <w:tcW w:w="1433" w:type="dxa"/>
          </w:tcPr>
          <w:p w14:paraId="624D633F" w14:textId="2BDADED4" w:rsidR="003B5EC8" w:rsidRPr="00BC1FA7" w:rsidRDefault="003B5EC8" w:rsidP="003B5EC8">
            <w:pPr>
              <w:keepNext/>
              <w:keepLines/>
              <w:tabs>
                <w:tab w:val="decimal" w:pos="775"/>
              </w:tabs>
              <w:spacing w:line="260" w:lineRule="exact"/>
              <w:rPr>
                <w:highlight w:val="yellow"/>
              </w:rPr>
            </w:pPr>
            <w:r w:rsidRPr="004C792F">
              <w:t>5.</w:t>
            </w:r>
            <w:r w:rsidR="009221B5">
              <w:t>9</w:t>
            </w:r>
          </w:p>
        </w:tc>
        <w:tc>
          <w:tcPr>
            <w:tcW w:w="1429" w:type="dxa"/>
          </w:tcPr>
          <w:p w14:paraId="4DE56517" w14:textId="196E3CF8" w:rsidR="003B5EC8" w:rsidRPr="00BC1FA7" w:rsidRDefault="006102A6" w:rsidP="00AB74EF">
            <w:pPr>
              <w:keepNext/>
              <w:keepLines/>
              <w:tabs>
                <w:tab w:val="decimal" w:pos="724"/>
              </w:tabs>
              <w:spacing w:line="260" w:lineRule="exact"/>
              <w:rPr>
                <w:highlight w:val="yellow"/>
              </w:rPr>
            </w:pPr>
            <w:r>
              <w:t>7.7</w:t>
            </w:r>
          </w:p>
        </w:tc>
        <w:tc>
          <w:tcPr>
            <w:tcW w:w="1701" w:type="dxa"/>
          </w:tcPr>
          <w:p w14:paraId="74641133" w14:textId="39A40B7B" w:rsidR="003B5EC8" w:rsidRPr="00BC1FA7" w:rsidRDefault="003B5EC8" w:rsidP="00AB74EF">
            <w:pPr>
              <w:keepNext/>
              <w:keepLines/>
              <w:tabs>
                <w:tab w:val="decimal" w:pos="810"/>
              </w:tabs>
              <w:spacing w:line="260" w:lineRule="exact"/>
              <w:rPr>
                <w:highlight w:val="yellow"/>
              </w:rPr>
            </w:pPr>
            <w:r w:rsidRPr="004C792F">
              <w:t>3.4</w:t>
            </w:r>
          </w:p>
        </w:tc>
      </w:tr>
      <w:tr w:rsidR="003B5EC8" w:rsidRPr="00B67ADE" w14:paraId="7B3A9605" w14:textId="77777777" w:rsidTr="00BC1FA7">
        <w:tc>
          <w:tcPr>
            <w:tcW w:w="1721" w:type="dxa"/>
          </w:tcPr>
          <w:p w14:paraId="7002B403" w14:textId="77777777" w:rsidR="003B5EC8" w:rsidRPr="004B6709" w:rsidRDefault="003B5EC8" w:rsidP="003B5EC8">
            <w:pPr>
              <w:keepNext/>
              <w:keepLines/>
              <w:tabs>
                <w:tab w:val="left" w:pos="855"/>
              </w:tabs>
              <w:spacing w:line="260" w:lineRule="exact"/>
              <w:jc w:val="both"/>
            </w:pPr>
          </w:p>
        </w:tc>
        <w:tc>
          <w:tcPr>
            <w:tcW w:w="850" w:type="dxa"/>
          </w:tcPr>
          <w:p w14:paraId="32C0C396" w14:textId="77777777"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3B5EC8" w:rsidRPr="00BC1FA7"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3B5EC8" w:rsidRPr="00BC1FA7" w:rsidRDefault="003B5EC8" w:rsidP="003B5EC8">
            <w:pPr>
              <w:keepNext/>
              <w:keepLines/>
              <w:tabs>
                <w:tab w:val="decimal" w:pos="775"/>
              </w:tabs>
              <w:spacing w:line="260" w:lineRule="exact"/>
              <w:rPr>
                <w:highlight w:val="yellow"/>
              </w:rPr>
            </w:pPr>
          </w:p>
        </w:tc>
        <w:tc>
          <w:tcPr>
            <w:tcW w:w="1429" w:type="dxa"/>
          </w:tcPr>
          <w:p w14:paraId="6E05FDE1" w14:textId="77777777" w:rsidR="003B5EC8" w:rsidRPr="00BC1FA7" w:rsidRDefault="003B5EC8" w:rsidP="00AB74EF">
            <w:pPr>
              <w:keepNext/>
              <w:keepLines/>
              <w:tabs>
                <w:tab w:val="decimal" w:pos="724"/>
              </w:tabs>
              <w:spacing w:line="260" w:lineRule="exact"/>
              <w:rPr>
                <w:highlight w:val="yellow"/>
              </w:rPr>
            </w:pPr>
          </w:p>
        </w:tc>
        <w:tc>
          <w:tcPr>
            <w:tcW w:w="1701" w:type="dxa"/>
          </w:tcPr>
          <w:p w14:paraId="76E99D0B" w14:textId="77777777" w:rsidR="003B5EC8" w:rsidRPr="00BC1FA7" w:rsidRDefault="003B5EC8" w:rsidP="00AB74EF">
            <w:pPr>
              <w:keepNext/>
              <w:keepLines/>
              <w:tabs>
                <w:tab w:val="decimal" w:pos="810"/>
              </w:tabs>
              <w:spacing w:line="260" w:lineRule="exact"/>
              <w:rPr>
                <w:highlight w:val="yellow"/>
              </w:rPr>
            </w:pPr>
          </w:p>
        </w:tc>
      </w:tr>
      <w:tr w:rsidR="003B5EC8" w:rsidRPr="00B67ADE" w14:paraId="57041CB5" w14:textId="77777777" w:rsidTr="00BC1FA7">
        <w:tc>
          <w:tcPr>
            <w:tcW w:w="1721" w:type="dxa"/>
          </w:tcPr>
          <w:p w14:paraId="119A34BB" w14:textId="104185F3" w:rsidR="003B5EC8" w:rsidRPr="004B6709" w:rsidRDefault="003B5EC8" w:rsidP="003B5EC8">
            <w:pPr>
              <w:keepNext/>
              <w:keepLines/>
              <w:tabs>
                <w:tab w:val="left" w:pos="855"/>
              </w:tabs>
              <w:spacing w:line="260" w:lineRule="exact"/>
              <w:jc w:val="both"/>
            </w:pPr>
            <w:r w:rsidRPr="004B6709">
              <w:t>202</w:t>
            </w:r>
            <w:r w:rsidR="00315E9C">
              <w:t>5</w:t>
            </w:r>
            <w:r w:rsidRPr="004B6709">
              <w:tab/>
            </w:r>
            <w:r>
              <w:t>Q1</w:t>
            </w:r>
          </w:p>
        </w:tc>
        <w:tc>
          <w:tcPr>
            <w:tcW w:w="850" w:type="dxa"/>
          </w:tcPr>
          <w:p w14:paraId="63E5A799" w14:textId="65A91FBF" w:rsidR="003B5EC8" w:rsidRPr="0083617F" w:rsidRDefault="00B97F4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6.3</w:t>
            </w:r>
            <w:r w:rsidR="003B5EC8" w:rsidRPr="0083617F">
              <w:rPr>
                <w:sz w:val="8"/>
                <w:szCs w:val="8"/>
                <w:lang w:val="en-GB"/>
              </w:rPr>
              <w:t xml:space="preserve">  </w:t>
            </w:r>
          </w:p>
        </w:tc>
        <w:tc>
          <w:tcPr>
            <w:tcW w:w="851" w:type="dxa"/>
          </w:tcPr>
          <w:p w14:paraId="7C5B853A" w14:textId="7176FB14" w:rsidR="003B5EC8" w:rsidRPr="0083617F"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9F6D33">
              <w:rPr>
                <w:sz w:val="24"/>
                <w:lang w:val="en-GB"/>
              </w:rPr>
              <w:t>-0.3</w:t>
            </w:r>
            <w:r w:rsidRPr="0083617F">
              <w:rPr>
                <w:sz w:val="24"/>
                <w:lang w:val="en-GB"/>
              </w:rPr>
              <w:t>)</w:t>
            </w:r>
          </w:p>
        </w:tc>
        <w:tc>
          <w:tcPr>
            <w:tcW w:w="1429" w:type="dxa"/>
          </w:tcPr>
          <w:p w14:paraId="5E12EA72" w14:textId="7C8B29D2" w:rsidR="003B5EC8" w:rsidRPr="0083617F"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5.</w:t>
            </w:r>
            <w:r w:rsidR="009F6D33">
              <w:rPr>
                <w:sz w:val="24"/>
                <w:lang w:val="en-GB"/>
              </w:rPr>
              <w:t>6</w:t>
            </w:r>
          </w:p>
        </w:tc>
        <w:tc>
          <w:tcPr>
            <w:tcW w:w="1433" w:type="dxa"/>
          </w:tcPr>
          <w:p w14:paraId="16B8F24E" w14:textId="725B1120" w:rsidR="003B5EC8" w:rsidRPr="0083617F" w:rsidRDefault="00B97F4D" w:rsidP="003B5EC8">
            <w:pPr>
              <w:keepNext/>
              <w:keepLines/>
              <w:tabs>
                <w:tab w:val="decimal" w:pos="775"/>
              </w:tabs>
              <w:spacing w:line="260" w:lineRule="exact"/>
            </w:pPr>
            <w:r>
              <w:t>4.7</w:t>
            </w:r>
          </w:p>
        </w:tc>
        <w:tc>
          <w:tcPr>
            <w:tcW w:w="1429" w:type="dxa"/>
          </w:tcPr>
          <w:p w14:paraId="50345A79" w14:textId="01D04B5D" w:rsidR="003B5EC8" w:rsidRPr="0083617F" w:rsidRDefault="006102A6" w:rsidP="00AB74EF">
            <w:pPr>
              <w:keepNext/>
              <w:keepLines/>
              <w:tabs>
                <w:tab w:val="decimal" w:pos="724"/>
              </w:tabs>
              <w:spacing w:line="260" w:lineRule="exact"/>
            </w:pPr>
            <w:r>
              <w:t>10.</w:t>
            </w:r>
            <w:r w:rsidR="009F6D33">
              <w:t>4</w:t>
            </w:r>
          </w:p>
        </w:tc>
        <w:tc>
          <w:tcPr>
            <w:tcW w:w="1701" w:type="dxa"/>
          </w:tcPr>
          <w:p w14:paraId="037FC062" w14:textId="2EE7DBD2" w:rsidR="003B5EC8" w:rsidRPr="0083617F" w:rsidRDefault="006102A6" w:rsidP="00AB74EF">
            <w:pPr>
              <w:keepNext/>
              <w:keepLines/>
              <w:tabs>
                <w:tab w:val="decimal" w:pos="810"/>
              </w:tabs>
              <w:spacing w:line="260" w:lineRule="exact"/>
            </w:pPr>
            <w:r>
              <w:t>3</w:t>
            </w:r>
            <w:r w:rsidR="003B5EC8">
              <w:t>.</w:t>
            </w:r>
            <w:r w:rsidR="009F6D33">
              <w:t>7</w:t>
            </w:r>
          </w:p>
        </w:tc>
      </w:tr>
      <w:tr w:rsidR="006711C4" w:rsidRPr="00B67ADE" w14:paraId="6E88EA26" w14:textId="77777777" w:rsidTr="00BC1FA7">
        <w:tc>
          <w:tcPr>
            <w:tcW w:w="1721" w:type="dxa"/>
          </w:tcPr>
          <w:p w14:paraId="2308ED3E" w14:textId="130AD8D5" w:rsidR="006711C4" w:rsidRPr="004B6709" w:rsidRDefault="006711C4" w:rsidP="006711C4">
            <w:pPr>
              <w:keepNext/>
              <w:keepLines/>
              <w:tabs>
                <w:tab w:val="left" w:pos="855"/>
              </w:tabs>
              <w:spacing w:line="260" w:lineRule="exact"/>
              <w:jc w:val="both"/>
            </w:pPr>
            <w:r w:rsidRPr="004B6709">
              <w:tab/>
            </w:r>
            <w:r w:rsidRPr="004B6709">
              <w:rPr>
                <w:rFonts w:eastAsia="SimSun"/>
                <w:lang w:eastAsia="zh-CN"/>
              </w:rPr>
              <w:t>Q2</w:t>
            </w:r>
          </w:p>
        </w:tc>
        <w:tc>
          <w:tcPr>
            <w:tcW w:w="850" w:type="dxa"/>
          </w:tcPr>
          <w:p w14:paraId="288227EF" w14:textId="7CA119F5" w:rsidR="006711C4" w:rsidRDefault="00D43F1C" w:rsidP="006711C4">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7</w:t>
            </w:r>
            <w:r w:rsidR="00962F94">
              <w:rPr>
                <w:sz w:val="24"/>
                <w:lang w:val="en-GB" w:eastAsia="zh-TW"/>
              </w:rPr>
              <w:t>.</w:t>
            </w:r>
            <w:r w:rsidR="009F6D33">
              <w:rPr>
                <w:sz w:val="24"/>
                <w:lang w:val="en-GB" w:eastAsia="zh-TW"/>
              </w:rPr>
              <w:t>5</w:t>
            </w:r>
          </w:p>
        </w:tc>
        <w:tc>
          <w:tcPr>
            <w:tcW w:w="851" w:type="dxa"/>
          </w:tcPr>
          <w:p w14:paraId="2442CF72" w14:textId="4B60001C" w:rsidR="006711C4" w:rsidRDefault="009F6D33" w:rsidP="006711C4">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Pr>
                <w:sz w:val="24"/>
                <w:lang w:val="en-GB" w:eastAsia="zh-TW"/>
              </w:rPr>
              <w:t>(-0</w:t>
            </w:r>
            <w:r w:rsidR="006711C4">
              <w:rPr>
                <w:rFonts w:hint="eastAsia"/>
                <w:sz w:val="24"/>
                <w:lang w:val="en-GB" w:eastAsia="zh-TW"/>
              </w:rPr>
              <w:t>.</w:t>
            </w:r>
            <w:r>
              <w:rPr>
                <w:sz w:val="24"/>
                <w:lang w:val="en-GB" w:eastAsia="zh-TW"/>
              </w:rPr>
              <w:t>5)</w:t>
            </w:r>
          </w:p>
        </w:tc>
        <w:tc>
          <w:tcPr>
            <w:tcW w:w="1429" w:type="dxa"/>
          </w:tcPr>
          <w:p w14:paraId="321D172A" w14:textId="0480D69F" w:rsidR="006711C4" w:rsidRDefault="009F6D33" w:rsidP="006711C4">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5</w:t>
            </w:r>
            <w:r w:rsidR="006711C4">
              <w:rPr>
                <w:rFonts w:hint="eastAsia"/>
                <w:sz w:val="24"/>
                <w:lang w:val="en-GB" w:eastAsia="zh-TW"/>
              </w:rPr>
              <w:t>.</w:t>
            </w:r>
            <w:r>
              <w:rPr>
                <w:sz w:val="24"/>
                <w:lang w:val="en-GB" w:eastAsia="zh-TW"/>
              </w:rPr>
              <w:t>4</w:t>
            </w:r>
          </w:p>
        </w:tc>
        <w:tc>
          <w:tcPr>
            <w:tcW w:w="1433" w:type="dxa"/>
          </w:tcPr>
          <w:p w14:paraId="210E7C6D" w14:textId="355CDD64" w:rsidR="006711C4" w:rsidRDefault="00CB48A9" w:rsidP="006711C4">
            <w:pPr>
              <w:keepNext/>
              <w:keepLines/>
              <w:tabs>
                <w:tab w:val="decimal" w:pos="775"/>
              </w:tabs>
              <w:spacing w:line="260" w:lineRule="exact"/>
            </w:pPr>
            <w:r>
              <w:t>1</w:t>
            </w:r>
            <w:r w:rsidR="00D43F1C">
              <w:t>3</w:t>
            </w:r>
            <w:r w:rsidR="006711C4">
              <w:rPr>
                <w:rFonts w:hint="eastAsia"/>
              </w:rPr>
              <w:t>.</w:t>
            </w:r>
            <w:r w:rsidR="009F6D33">
              <w:t>6</w:t>
            </w:r>
          </w:p>
        </w:tc>
        <w:tc>
          <w:tcPr>
            <w:tcW w:w="1429" w:type="dxa"/>
          </w:tcPr>
          <w:p w14:paraId="43C83717" w14:textId="6EDE1C97" w:rsidR="006711C4" w:rsidRDefault="009F6D33" w:rsidP="006711C4">
            <w:pPr>
              <w:keepNext/>
              <w:keepLines/>
              <w:tabs>
                <w:tab w:val="decimal" w:pos="724"/>
              </w:tabs>
              <w:spacing w:line="260" w:lineRule="exact"/>
            </w:pPr>
            <w:r>
              <w:t>9</w:t>
            </w:r>
            <w:r w:rsidR="006711C4">
              <w:rPr>
                <w:rFonts w:hint="eastAsia"/>
              </w:rPr>
              <w:t>.</w:t>
            </w:r>
            <w:r>
              <w:t>4</w:t>
            </w:r>
          </w:p>
        </w:tc>
        <w:tc>
          <w:tcPr>
            <w:tcW w:w="1701" w:type="dxa"/>
          </w:tcPr>
          <w:p w14:paraId="72F650DC" w14:textId="187D267B" w:rsidR="006711C4" w:rsidRDefault="009F6D33" w:rsidP="006711C4">
            <w:pPr>
              <w:keepNext/>
              <w:keepLines/>
              <w:tabs>
                <w:tab w:val="decimal" w:pos="810"/>
              </w:tabs>
              <w:spacing w:line="260" w:lineRule="exact"/>
            </w:pPr>
            <w:r>
              <w:t>3</w:t>
            </w:r>
            <w:r w:rsidR="006711C4">
              <w:rPr>
                <w:rFonts w:hint="eastAsia"/>
              </w:rPr>
              <w:t>.</w:t>
            </w:r>
            <w:r w:rsidR="002970BE">
              <w:rPr>
                <w:rFonts w:hint="eastAsia"/>
              </w:rPr>
              <w:t>2</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proofErr w:type="gramStart"/>
      <w:r>
        <w:rPr>
          <w:sz w:val="22"/>
          <w:szCs w:val="22"/>
        </w:rPr>
        <w:t>Notes :</w:t>
      </w:r>
      <w:proofErr w:type="gramEnd"/>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r>
      <w:proofErr w:type="gramStart"/>
      <w:r w:rsidRPr="00B67ADE">
        <w:rPr>
          <w:sz w:val="22"/>
          <w:szCs w:val="22"/>
        </w:rPr>
        <w:t>(</w:t>
      </w:r>
      <w:r>
        <w:rPr>
          <w:sz w:val="22"/>
          <w:szCs w:val="22"/>
        </w:rPr>
        <w:t>  </w:t>
      </w:r>
      <w:r w:rsidRPr="00B67ADE">
        <w:rPr>
          <w:sz w:val="22"/>
          <w:szCs w:val="22"/>
        </w:rPr>
        <w:t>)</w:t>
      </w:r>
      <w:proofErr w:type="gramEnd"/>
      <w:r w:rsidRPr="00B67ADE">
        <w:rPr>
          <w:sz w:val="22"/>
          <w:szCs w:val="22"/>
        </w:rPr>
        <w:tab/>
        <w:t>Seasonally adjusted quarter-to-quarter rate of change.</w:t>
      </w:r>
    </w:p>
    <w:p w14:paraId="5904B808" w14:textId="547192EF" w:rsidR="00B56878" w:rsidRPr="00BE40F4" w:rsidRDefault="00B56878" w:rsidP="00B56878">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1B3AFC55" w:rsidR="00E25272" w:rsidRPr="009B0E13" w:rsidRDefault="00FC315D" w:rsidP="0059659B">
      <w:pPr>
        <w:pStyle w:val="BodyText"/>
        <w:numPr>
          <w:ilvl w:val="0"/>
          <w:numId w:val="6"/>
        </w:numPr>
        <w:tabs>
          <w:tab w:val="clear" w:pos="1080"/>
        </w:tabs>
        <w:spacing w:line="240" w:lineRule="auto"/>
        <w:ind w:right="28"/>
        <w:rPr>
          <w:i/>
          <w:lang w:val="en-GB"/>
        </w:rPr>
      </w:pPr>
      <w:r w:rsidRPr="009B0E13">
        <w:rPr>
          <w:i/>
          <w:lang w:val="en-GB"/>
        </w:rPr>
        <w:t>Imports of services</w:t>
      </w:r>
      <w:r w:rsidRPr="009B0E13">
        <w:rPr>
          <w:lang w:val="en-GB"/>
        </w:rPr>
        <w:t xml:space="preserve"> </w:t>
      </w:r>
      <w:r w:rsidR="00962F94">
        <w:rPr>
          <w:lang w:val="en-GB" w:eastAsia="zh-TW"/>
        </w:rPr>
        <w:t xml:space="preserve">expanded </w:t>
      </w:r>
      <w:r w:rsidR="00C46552" w:rsidRPr="009B0E13">
        <w:rPr>
          <w:lang w:val="en-GB"/>
        </w:rPr>
        <w:t>by</w:t>
      </w:r>
      <w:r w:rsidRPr="009B0E13">
        <w:rPr>
          <w:lang w:val="en-GB"/>
        </w:rPr>
        <w:t xml:space="preserve"> </w:t>
      </w:r>
      <w:r w:rsidR="003A1817">
        <w:rPr>
          <w:lang w:val="en-GB" w:eastAsia="zh-TW"/>
        </w:rPr>
        <w:t>7.</w:t>
      </w:r>
      <w:r w:rsidR="002970BE">
        <w:rPr>
          <w:rFonts w:hint="eastAsia"/>
          <w:lang w:val="en-GB" w:eastAsia="zh-TW"/>
        </w:rPr>
        <w:t>2</w:t>
      </w:r>
      <w:r w:rsidR="00315E9C" w:rsidRPr="009B0E13">
        <w:rPr>
          <w:lang w:val="en-GB"/>
        </w:rPr>
        <w:t>% year-on-year</w:t>
      </w:r>
      <w:r w:rsidRPr="009B0E13">
        <w:rPr>
          <w:lang w:val="en-GB"/>
        </w:rPr>
        <w:t xml:space="preserve"> in real terms in </w:t>
      </w:r>
      <w:r w:rsidR="00DE3939" w:rsidRPr="009B0E13">
        <w:rPr>
          <w:lang w:val="en-GB"/>
        </w:rPr>
        <w:t xml:space="preserve">the </w:t>
      </w:r>
      <w:r w:rsidR="00E37BA5">
        <w:rPr>
          <w:rFonts w:hint="eastAsia"/>
          <w:lang w:val="en-GB" w:eastAsia="zh-TW"/>
        </w:rPr>
        <w:t>second</w:t>
      </w:r>
      <w:r w:rsidR="00E37BA5" w:rsidRPr="009B0E13">
        <w:rPr>
          <w:lang w:val="en-GB"/>
        </w:rPr>
        <w:t xml:space="preserve"> </w:t>
      </w:r>
      <w:r w:rsidR="00315E9C" w:rsidRPr="009B0E13">
        <w:rPr>
          <w:lang w:val="en-GB"/>
        </w:rPr>
        <w:t>quarter of 2025</w:t>
      </w:r>
      <w:r w:rsidRPr="009B0E13">
        <w:rPr>
          <w:lang w:val="en-GB"/>
        </w:rPr>
        <w:t xml:space="preserve">, </w:t>
      </w:r>
      <w:r w:rsidR="008E5101" w:rsidRPr="009B0E13">
        <w:rPr>
          <w:lang w:val="en-GB"/>
        </w:rPr>
        <w:t xml:space="preserve">further to </w:t>
      </w:r>
      <w:r w:rsidR="00B97F4D">
        <w:rPr>
          <w:lang w:val="en-GB" w:eastAsia="zh-TW"/>
        </w:rPr>
        <w:t>4.</w:t>
      </w:r>
      <w:r w:rsidR="00491BEE">
        <w:rPr>
          <w:lang w:val="en-GB" w:eastAsia="zh-TW"/>
        </w:rPr>
        <w:t>7</w:t>
      </w:r>
      <w:r w:rsidRPr="009B0E13">
        <w:rPr>
          <w:lang w:val="en-GB" w:eastAsia="zh-HK"/>
        </w:rPr>
        <w:t>%</w:t>
      </w:r>
      <w:r w:rsidR="008E5101" w:rsidRPr="009B0E13">
        <w:rPr>
          <w:lang w:val="en-GB" w:eastAsia="zh-HK"/>
        </w:rPr>
        <w:t xml:space="preserve"> growth</w:t>
      </w:r>
      <w:r w:rsidRPr="009B0E13">
        <w:rPr>
          <w:lang w:val="en-GB"/>
        </w:rPr>
        <w:t xml:space="preserve"> in </w:t>
      </w:r>
      <w:r w:rsidR="00AE4EA5" w:rsidRPr="009B0E13">
        <w:rPr>
          <w:lang w:val="en-GB"/>
        </w:rPr>
        <w:t>the preceding quarter</w:t>
      </w:r>
      <w:r w:rsidR="00640616" w:rsidRPr="009B0E13">
        <w:rPr>
          <w:lang w:val="en-GB"/>
        </w:rPr>
        <w:t xml:space="preserve">.  </w:t>
      </w:r>
      <w:r w:rsidR="00FC3A4D" w:rsidRPr="009B0E13">
        <w:rPr>
          <w:lang w:val="en-GB"/>
        </w:rPr>
        <w:t xml:space="preserve">Imports of </w:t>
      </w:r>
      <w:r w:rsidR="009D4106">
        <w:rPr>
          <w:lang w:val="en-GB"/>
        </w:rPr>
        <w:t xml:space="preserve">travel services, </w:t>
      </w:r>
      <w:r w:rsidR="00EB61FC" w:rsidRPr="009B0E13">
        <w:rPr>
          <w:lang w:val="en-GB"/>
        </w:rPr>
        <w:t xml:space="preserve">transport services, </w:t>
      </w:r>
      <w:r w:rsidR="00126539" w:rsidRPr="009B0E13">
        <w:rPr>
          <w:lang w:val="en-GB"/>
        </w:rPr>
        <w:t>manufacturing services</w:t>
      </w:r>
      <w:r w:rsidR="00F704A5" w:rsidRPr="009B0E13">
        <w:rPr>
          <w:lang w:val="en-GB"/>
        </w:rPr>
        <w:t>,</w:t>
      </w:r>
      <w:r w:rsidR="00126539" w:rsidRPr="009B0E13">
        <w:rPr>
          <w:lang w:val="en-GB"/>
        </w:rPr>
        <w:t xml:space="preserve"> and </w:t>
      </w:r>
      <w:r w:rsidR="00FC3A4D" w:rsidRPr="009B0E13">
        <w:rPr>
          <w:lang w:val="en-GB"/>
        </w:rPr>
        <w:t xml:space="preserve">business and other services </w:t>
      </w:r>
      <w:r w:rsidR="009D4106">
        <w:rPr>
          <w:lang w:val="en-GB"/>
        </w:rPr>
        <w:t>all</w:t>
      </w:r>
      <w:r w:rsidR="00263835" w:rsidRPr="009B0E13">
        <w:rPr>
          <w:lang w:val="en-GB"/>
        </w:rPr>
        <w:t xml:space="preserve"> </w:t>
      </w:r>
      <w:r w:rsidR="00EB61D7">
        <w:rPr>
          <w:lang w:val="en-GB"/>
        </w:rPr>
        <w:t xml:space="preserve">rose </w:t>
      </w:r>
      <w:r w:rsidR="001E0504" w:rsidRPr="009B0E13">
        <w:rPr>
          <w:lang w:val="en-GB"/>
        </w:rPr>
        <w:t>by</w:t>
      </w:r>
      <w:r w:rsidR="00FE3867" w:rsidRPr="009B0E13">
        <w:rPr>
          <w:lang w:val="en-GB"/>
        </w:rPr>
        <w:t xml:space="preserve"> </w:t>
      </w:r>
      <w:r w:rsidR="001E0504" w:rsidRPr="009B0E13">
        <w:rPr>
          <w:lang w:val="en-GB"/>
        </w:rPr>
        <w:t>varying degrees</w:t>
      </w:r>
      <w:r w:rsidR="00FC3A4D" w:rsidRPr="009B0E13">
        <w:rPr>
          <w:lang w:val="en-GB"/>
        </w:rPr>
        <w:t>.</w:t>
      </w:r>
    </w:p>
    <w:p w14:paraId="7CF4F70E" w14:textId="2A1C7488" w:rsidR="00F96C56" w:rsidRPr="00E60475" w:rsidRDefault="00F96C56" w:rsidP="004A7424">
      <w:pPr>
        <w:pStyle w:val="BodyText"/>
        <w:tabs>
          <w:tab w:val="clear" w:pos="1080"/>
        </w:tabs>
        <w:spacing w:line="240" w:lineRule="auto"/>
        <w:ind w:right="28"/>
        <w:rPr>
          <w:b/>
          <w:highlight w:val="green"/>
        </w:rPr>
      </w:pPr>
    </w:p>
    <w:p w14:paraId="702791CF" w14:textId="6255C748" w:rsidR="00992C4B" w:rsidRDefault="00863394" w:rsidP="00933D29">
      <w:pPr>
        <w:pStyle w:val="BodyText"/>
        <w:tabs>
          <w:tab w:val="clear" w:pos="1080"/>
        </w:tabs>
        <w:spacing w:line="240" w:lineRule="auto"/>
        <w:ind w:right="28"/>
        <w:jc w:val="left"/>
        <w:rPr>
          <w:b/>
        </w:rPr>
      </w:pPr>
      <w:r w:rsidRPr="00863394">
        <w:rPr>
          <w:noProof/>
        </w:rPr>
        <w:drawing>
          <wp:inline distT="0" distB="0" distL="0" distR="0" wp14:anchorId="3240FF10" wp14:editId="2CC3E341">
            <wp:extent cx="5723405" cy="3492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3405" cy="3492000"/>
                    </a:xfrm>
                    <a:prstGeom prst="rect">
                      <a:avLst/>
                    </a:prstGeom>
                    <a:noFill/>
                    <a:ln>
                      <a:noFill/>
                    </a:ln>
                  </pic:spPr>
                </pic:pic>
              </a:graphicData>
            </a:graphic>
          </wp:inline>
        </w:drawing>
      </w:r>
    </w:p>
    <w:p w14:paraId="031CAA72" w14:textId="601D171D" w:rsidR="004A7424" w:rsidRPr="001B035F"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proofErr w:type="gramStart"/>
      <w:r w:rsidR="00B42004" w:rsidRPr="00755857">
        <w:rPr>
          <w:b/>
          <w:kern w:val="2"/>
          <w:sz w:val="28"/>
          <w:szCs w:val="24"/>
          <w:lang w:val="en-GB"/>
        </w:rPr>
        <w:t>2</w:t>
      </w:r>
      <w:r w:rsidRPr="00755857">
        <w:rPr>
          <w:b/>
          <w:kern w:val="2"/>
          <w:sz w:val="28"/>
          <w:szCs w:val="24"/>
          <w:lang w:val="en-GB"/>
        </w:rPr>
        <w:t>.5 :</w:t>
      </w:r>
      <w:proofErr w:type="gramEnd"/>
      <w:r w:rsidRPr="00755857">
        <w:rPr>
          <w:b/>
          <w:kern w:val="2"/>
          <w:sz w:val="28"/>
          <w:szCs w:val="24"/>
          <w:lang w:val="en-GB"/>
        </w:rPr>
        <w:t xml:space="preserve">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(year-on-year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 xml:space="preserve">Of </w:t>
            </w:r>
            <w:proofErr w:type="gramStart"/>
            <w:r w:rsidRPr="00B67ADE">
              <w:rPr>
                <w:i/>
              </w:rPr>
              <w:t>which :</w:t>
            </w:r>
            <w:proofErr w:type="gramEnd"/>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proofErr w:type="gramStart"/>
            <w:r w:rsidRPr="00E04CE2">
              <w:rPr>
                <w:sz w:val="24"/>
                <w:u w:val="single"/>
              </w:rPr>
              <w:t>Travel</w:t>
            </w:r>
            <w:r w:rsidRPr="00E04CE2">
              <w:rPr>
                <w:vertAlign w:val="superscript"/>
              </w:rPr>
              <w:t>(</w:t>
            </w:r>
            <w:proofErr w:type="gramEnd"/>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proofErr w:type="gramStart"/>
            <w:r w:rsidRPr="00E04CE2">
              <w:rPr>
                <w:u w:val="single"/>
                <w:lang w:eastAsia="zh-HK"/>
              </w:rPr>
              <w:t>services</w:t>
            </w:r>
            <w:r w:rsidRPr="00E04CE2">
              <w:rPr>
                <w:vertAlign w:val="superscript"/>
              </w:rPr>
              <w:t>(</w:t>
            </w:r>
            <w:proofErr w:type="gramEnd"/>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315E9C" w:rsidRPr="00B67ADE" w14:paraId="2183F3D4" w14:textId="77777777" w:rsidTr="00D5719E">
        <w:trPr>
          <w:trHeight w:val="289"/>
        </w:trPr>
        <w:tc>
          <w:tcPr>
            <w:tcW w:w="1728" w:type="dxa"/>
          </w:tcPr>
          <w:p w14:paraId="1EA6DC50" w14:textId="751E8E9E" w:rsidR="00315E9C" w:rsidRPr="00B67ADE" w:rsidRDefault="00315E9C" w:rsidP="00315E9C">
            <w:pPr>
              <w:tabs>
                <w:tab w:val="left" w:pos="840"/>
              </w:tabs>
              <w:spacing w:line="260" w:lineRule="exact"/>
              <w:jc w:val="both"/>
            </w:pPr>
            <w:r w:rsidRPr="00B67ADE">
              <w:t>202</w:t>
            </w:r>
            <w:r>
              <w:t>4</w:t>
            </w:r>
            <w:r w:rsidRPr="00B67ADE">
              <w:tab/>
              <w:t>Annual</w:t>
            </w:r>
          </w:p>
          <w:p w14:paraId="180F341C" w14:textId="77777777" w:rsidR="00315E9C" w:rsidRPr="00B67ADE" w:rsidRDefault="00315E9C" w:rsidP="00315E9C">
            <w:pPr>
              <w:tabs>
                <w:tab w:val="left" w:pos="840"/>
              </w:tabs>
              <w:spacing w:line="260" w:lineRule="exact"/>
              <w:jc w:val="both"/>
            </w:pPr>
          </w:p>
        </w:tc>
        <w:tc>
          <w:tcPr>
            <w:tcW w:w="1720" w:type="dxa"/>
          </w:tcPr>
          <w:p w14:paraId="1A4ED8B6" w14:textId="0CADC1DE"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11.</w:t>
            </w:r>
            <w:r w:rsidR="00973532">
              <w:rPr>
                <w:sz w:val="24"/>
                <w:lang w:val="en-GB"/>
              </w:rPr>
              <w:t>6</w:t>
            </w:r>
          </w:p>
        </w:tc>
        <w:tc>
          <w:tcPr>
            <w:tcW w:w="1271" w:type="dxa"/>
          </w:tcPr>
          <w:p w14:paraId="5DDC7CFB" w14:textId="68031C9D" w:rsidR="00315E9C" w:rsidRPr="000D1098" w:rsidRDefault="00973532" w:rsidP="005061BA">
            <w:pPr>
              <w:tabs>
                <w:tab w:val="decimal" w:pos="638"/>
              </w:tabs>
              <w:spacing w:line="260" w:lineRule="exact"/>
              <w:jc w:val="both"/>
            </w:pPr>
            <w:r>
              <w:rPr>
                <w:kern w:val="0"/>
              </w:rPr>
              <w:t>28.</w:t>
            </w:r>
            <w:r w:rsidR="0071740C">
              <w:rPr>
                <w:kern w:val="0"/>
              </w:rPr>
              <w:t>7</w:t>
            </w:r>
          </w:p>
        </w:tc>
        <w:tc>
          <w:tcPr>
            <w:tcW w:w="1263" w:type="dxa"/>
          </w:tcPr>
          <w:p w14:paraId="6EB3923B" w14:textId="5A6D9245"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4.0</w:t>
            </w:r>
          </w:p>
        </w:tc>
        <w:tc>
          <w:tcPr>
            <w:tcW w:w="1843" w:type="dxa"/>
          </w:tcPr>
          <w:p w14:paraId="79FDD498" w14:textId="2096B2BA" w:rsidR="00315E9C" w:rsidRPr="000D1098" w:rsidRDefault="00315E9C" w:rsidP="005061BA">
            <w:pPr>
              <w:tabs>
                <w:tab w:val="decimal" w:pos="869"/>
              </w:tabs>
              <w:spacing w:line="260" w:lineRule="exact"/>
              <w:ind w:rightChars="-11" w:right="-26"/>
            </w:pPr>
            <w:r>
              <w:rPr>
                <w:kern w:val="0"/>
              </w:rPr>
              <w:t>4.8</w:t>
            </w:r>
          </w:p>
        </w:tc>
        <w:tc>
          <w:tcPr>
            <w:tcW w:w="1701" w:type="dxa"/>
          </w:tcPr>
          <w:p w14:paraId="19D1D278" w14:textId="25DAF5B4" w:rsidR="00315E9C" w:rsidRPr="000D1098" w:rsidRDefault="00315E9C" w:rsidP="005061BA">
            <w:pPr>
              <w:tabs>
                <w:tab w:val="decimal" w:pos="799"/>
              </w:tabs>
              <w:spacing w:line="260" w:lineRule="exact"/>
              <w:ind w:rightChars="-11" w:right="-26"/>
            </w:pPr>
            <w:r>
              <w:rPr>
                <w:kern w:val="0"/>
              </w:rPr>
              <w:t>5.2</w:t>
            </w:r>
          </w:p>
        </w:tc>
      </w:tr>
      <w:tr w:rsidR="00315E9C" w:rsidRPr="00B67ADE" w14:paraId="7CB41A83" w14:textId="77777777" w:rsidTr="00D5719E">
        <w:trPr>
          <w:trHeight w:val="289"/>
        </w:trPr>
        <w:tc>
          <w:tcPr>
            <w:tcW w:w="1728" w:type="dxa"/>
          </w:tcPr>
          <w:p w14:paraId="05F446CB" w14:textId="0BFE0CE3" w:rsidR="00315E9C" w:rsidRPr="00B67ADE" w:rsidRDefault="00315E9C" w:rsidP="00315E9C">
            <w:pPr>
              <w:tabs>
                <w:tab w:val="left" w:pos="840"/>
              </w:tabs>
              <w:spacing w:line="260" w:lineRule="exact"/>
              <w:jc w:val="both"/>
            </w:pPr>
            <w:r w:rsidRPr="00B67ADE">
              <w:tab/>
              <w:t>Q1</w:t>
            </w:r>
          </w:p>
        </w:tc>
        <w:tc>
          <w:tcPr>
            <w:tcW w:w="1720" w:type="dxa"/>
          </w:tcPr>
          <w:p w14:paraId="074C8A3A" w14:textId="389135BC"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973532">
              <w:rPr>
                <w:sz w:val="24"/>
                <w:lang w:val="en-GB"/>
              </w:rPr>
              <w:t>18.2</w:t>
            </w:r>
            <w:r>
              <w:rPr>
                <w:sz w:val="24"/>
                <w:szCs w:val="24"/>
                <w:lang w:val="en-GB" w:eastAsia="zh-TW"/>
              </w:rPr>
              <w:tab/>
              <w:t>(3.</w:t>
            </w:r>
            <w:r w:rsidR="0071740C">
              <w:rPr>
                <w:sz w:val="24"/>
                <w:szCs w:val="24"/>
                <w:lang w:val="en-GB" w:eastAsia="zh-TW"/>
              </w:rPr>
              <w:t>8</w:t>
            </w:r>
            <w:r w:rsidRPr="00A92B09">
              <w:rPr>
                <w:sz w:val="24"/>
                <w:lang w:val="en-GB"/>
              </w:rPr>
              <w:t>)</w:t>
            </w:r>
          </w:p>
        </w:tc>
        <w:tc>
          <w:tcPr>
            <w:tcW w:w="1271" w:type="dxa"/>
          </w:tcPr>
          <w:p w14:paraId="1E5F9A8E" w14:textId="450D3088" w:rsidR="00315E9C" w:rsidRPr="000F51DB" w:rsidRDefault="00973532" w:rsidP="005061BA">
            <w:pPr>
              <w:tabs>
                <w:tab w:val="decimal" w:pos="638"/>
              </w:tabs>
              <w:spacing w:line="260" w:lineRule="exact"/>
              <w:jc w:val="both"/>
            </w:pPr>
            <w:r>
              <w:t>61.8</w:t>
            </w:r>
          </w:p>
        </w:tc>
        <w:tc>
          <w:tcPr>
            <w:tcW w:w="1263" w:type="dxa"/>
          </w:tcPr>
          <w:p w14:paraId="54B8F800" w14:textId="35C750E1"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9.</w:t>
            </w:r>
            <w:r w:rsidR="0071740C">
              <w:rPr>
                <w:sz w:val="24"/>
                <w:szCs w:val="24"/>
                <w:lang w:val="en-GB" w:eastAsia="zh-TW"/>
              </w:rPr>
              <w:t>2</w:t>
            </w:r>
          </w:p>
        </w:tc>
        <w:tc>
          <w:tcPr>
            <w:tcW w:w="1843" w:type="dxa"/>
          </w:tcPr>
          <w:p w14:paraId="570EFD9A" w14:textId="7939AD5B" w:rsidR="00315E9C" w:rsidRPr="008000A5" w:rsidDel="003F491D" w:rsidRDefault="00315E9C" w:rsidP="005061BA">
            <w:pPr>
              <w:tabs>
                <w:tab w:val="decimal" w:pos="869"/>
              </w:tabs>
              <w:spacing w:line="260" w:lineRule="exact"/>
              <w:ind w:rightChars="-11" w:right="-26"/>
            </w:pPr>
            <w:r>
              <w:t>5.3</w:t>
            </w:r>
          </w:p>
        </w:tc>
        <w:tc>
          <w:tcPr>
            <w:tcW w:w="1701" w:type="dxa"/>
          </w:tcPr>
          <w:p w14:paraId="7523E278" w14:textId="3A768A93" w:rsidR="00315E9C" w:rsidRPr="008000A5" w:rsidRDefault="00315E9C" w:rsidP="005061BA">
            <w:pPr>
              <w:tabs>
                <w:tab w:val="decimal" w:pos="799"/>
              </w:tabs>
              <w:spacing w:line="260" w:lineRule="exact"/>
              <w:ind w:rightChars="-11" w:right="-26"/>
            </w:pPr>
            <w:r>
              <w:t>2.</w:t>
            </w:r>
            <w:r w:rsidR="0071740C">
              <w:t>0</w:t>
            </w:r>
          </w:p>
        </w:tc>
      </w:tr>
      <w:tr w:rsidR="00315E9C" w:rsidRPr="00B67ADE" w14:paraId="6EE47581" w14:textId="77777777" w:rsidTr="00D5719E">
        <w:trPr>
          <w:trHeight w:val="289"/>
        </w:trPr>
        <w:tc>
          <w:tcPr>
            <w:tcW w:w="1728" w:type="dxa"/>
          </w:tcPr>
          <w:p w14:paraId="104E10EE" w14:textId="474F0F46" w:rsidR="00315E9C" w:rsidRPr="00B67ADE" w:rsidRDefault="00315E9C" w:rsidP="00315E9C">
            <w:pPr>
              <w:tabs>
                <w:tab w:val="left" w:pos="840"/>
              </w:tabs>
              <w:spacing w:line="260" w:lineRule="exact"/>
              <w:jc w:val="both"/>
            </w:pPr>
            <w:r w:rsidRPr="00B67ADE">
              <w:tab/>
            </w:r>
            <w:r w:rsidRPr="00B67ADE">
              <w:rPr>
                <w:rFonts w:eastAsia="SimSun"/>
                <w:lang w:eastAsia="zh-CN"/>
              </w:rPr>
              <w:t>Q2</w:t>
            </w:r>
          </w:p>
        </w:tc>
        <w:tc>
          <w:tcPr>
            <w:tcW w:w="1720" w:type="dxa"/>
          </w:tcPr>
          <w:p w14:paraId="1DEC4684" w14:textId="70AF0423"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11.7</w:t>
            </w:r>
            <w:r>
              <w:rPr>
                <w:sz w:val="24"/>
                <w:lang w:val="en-GB"/>
              </w:rPr>
              <w:t xml:space="preserve"> </w:t>
            </w:r>
            <w:r>
              <w:rPr>
                <w:sz w:val="24"/>
                <w:lang w:val="en-GB"/>
              </w:rPr>
              <w:tab/>
              <w:t>(0.</w:t>
            </w:r>
            <w:r w:rsidR="0071740C">
              <w:rPr>
                <w:sz w:val="24"/>
                <w:lang w:val="en-GB"/>
              </w:rPr>
              <w:t>5</w:t>
            </w:r>
            <w:r w:rsidRPr="001E0504">
              <w:rPr>
                <w:sz w:val="24"/>
                <w:lang w:val="en-GB"/>
              </w:rPr>
              <w:t>)</w:t>
            </w:r>
          </w:p>
        </w:tc>
        <w:tc>
          <w:tcPr>
            <w:tcW w:w="1271" w:type="dxa"/>
          </w:tcPr>
          <w:p w14:paraId="0C59F772" w14:textId="3F57F77F" w:rsidR="00315E9C" w:rsidRPr="000F51DB" w:rsidRDefault="00973532" w:rsidP="005061BA">
            <w:pPr>
              <w:tabs>
                <w:tab w:val="decimal" w:pos="638"/>
              </w:tabs>
              <w:spacing w:line="260" w:lineRule="exact"/>
              <w:jc w:val="both"/>
            </w:pPr>
            <w:r>
              <w:t>25.4</w:t>
            </w:r>
          </w:p>
        </w:tc>
        <w:tc>
          <w:tcPr>
            <w:tcW w:w="1263" w:type="dxa"/>
          </w:tcPr>
          <w:p w14:paraId="72767A72" w14:textId="053EB1A6"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5</w:t>
            </w:r>
          </w:p>
        </w:tc>
        <w:tc>
          <w:tcPr>
            <w:tcW w:w="1843" w:type="dxa"/>
          </w:tcPr>
          <w:p w14:paraId="464463CC" w14:textId="09EA8FE0" w:rsidR="00315E9C" w:rsidRPr="008000A5" w:rsidRDefault="00315E9C" w:rsidP="005061BA">
            <w:pPr>
              <w:tabs>
                <w:tab w:val="decimal" w:pos="869"/>
              </w:tabs>
              <w:spacing w:line="260" w:lineRule="exact"/>
              <w:ind w:rightChars="-11" w:right="-26"/>
            </w:pPr>
            <w:r>
              <w:t>7.8</w:t>
            </w:r>
          </w:p>
        </w:tc>
        <w:tc>
          <w:tcPr>
            <w:tcW w:w="1701" w:type="dxa"/>
          </w:tcPr>
          <w:p w14:paraId="48B550AA" w14:textId="01F093EB" w:rsidR="00315E9C" w:rsidRPr="008000A5" w:rsidRDefault="00315E9C" w:rsidP="005061BA">
            <w:pPr>
              <w:tabs>
                <w:tab w:val="decimal" w:pos="799"/>
              </w:tabs>
              <w:spacing w:line="260" w:lineRule="exact"/>
              <w:ind w:rightChars="-11" w:right="-26"/>
            </w:pPr>
            <w:r>
              <w:t>6.9</w:t>
            </w:r>
          </w:p>
        </w:tc>
      </w:tr>
      <w:tr w:rsidR="00315E9C" w:rsidRPr="00B67ADE" w14:paraId="3DBEA586" w14:textId="77777777" w:rsidTr="00D5719E">
        <w:trPr>
          <w:trHeight w:val="289"/>
        </w:trPr>
        <w:tc>
          <w:tcPr>
            <w:tcW w:w="1728" w:type="dxa"/>
          </w:tcPr>
          <w:p w14:paraId="4455E247" w14:textId="7A3ABD05" w:rsidR="00315E9C" w:rsidRPr="00B67ADE" w:rsidRDefault="00315E9C" w:rsidP="00315E9C">
            <w:pPr>
              <w:tabs>
                <w:tab w:val="left" w:pos="840"/>
              </w:tabs>
              <w:spacing w:line="260" w:lineRule="exact"/>
              <w:jc w:val="both"/>
            </w:pPr>
            <w:r w:rsidRPr="00B67ADE">
              <w:tab/>
            </w:r>
            <w:r w:rsidRPr="00B67ADE">
              <w:rPr>
                <w:rFonts w:eastAsia="SimSun"/>
                <w:lang w:eastAsia="zh-CN"/>
              </w:rPr>
              <w:t>Q3</w:t>
            </w:r>
          </w:p>
        </w:tc>
        <w:tc>
          <w:tcPr>
            <w:tcW w:w="1720" w:type="dxa"/>
          </w:tcPr>
          <w:p w14:paraId="2DD68FFE" w14:textId="5131D564"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9.0</w:t>
            </w:r>
            <w:r>
              <w:rPr>
                <w:sz w:val="24"/>
                <w:lang w:val="en-GB"/>
              </w:rPr>
              <w:t xml:space="preserve"> </w:t>
            </w:r>
            <w:r>
              <w:rPr>
                <w:sz w:val="24"/>
                <w:lang w:val="en-GB"/>
              </w:rPr>
              <w:tab/>
              <w:t>(1.</w:t>
            </w:r>
            <w:r w:rsidR="0071740C">
              <w:rPr>
                <w:sz w:val="24"/>
                <w:lang w:val="en-GB"/>
              </w:rPr>
              <w:t>3</w:t>
            </w:r>
            <w:r w:rsidRPr="001E0504">
              <w:rPr>
                <w:sz w:val="24"/>
                <w:lang w:val="en-GB"/>
              </w:rPr>
              <w:t>)</w:t>
            </w:r>
          </w:p>
        </w:tc>
        <w:tc>
          <w:tcPr>
            <w:tcW w:w="1271" w:type="dxa"/>
          </w:tcPr>
          <w:p w14:paraId="1B5EC0B8" w14:textId="6C4D1D25" w:rsidR="00315E9C" w:rsidRPr="000F51DB" w:rsidRDefault="00315E9C" w:rsidP="005061BA">
            <w:pPr>
              <w:tabs>
                <w:tab w:val="decimal" w:pos="638"/>
              </w:tabs>
              <w:spacing w:line="260" w:lineRule="exact"/>
              <w:jc w:val="both"/>
            </w:pPr>
            <w:r>
              <w:t>18.</w:t>
            </w:r>
            <w:r w:rsidR="00973532">
              <w:t>4</w:t>
            </w:r>
          </w:p>
        </w:tc>
        <w:tc>
          <w:tcPr>
            <w:tcW w:w="1263" w:type="dxa"/>
          </w:tcPr>
          <w:p w14:paraId="1D140439" w14:textId="7FD43DFB"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4</w:t>
            </w:r>
          </w:p>
        </w:tc>
        <w:tc>
          <w:tcPr>
            <w:tcW w:w="1843" w:type="dxa"/>
          </w:tcPr>
          <w:p w14:paraId="23F2CD16" w14:textId="2633194F" w:rsidR="00315E9C" w:rsidRPr="008000A5" w:rsidRDefault="00315E9C" w:rsidP="005061BA">
            <w:pPr>
              <w:tabs>
                <w:tab w:val="decimal" w:pos="869"/>
              </w:tabs>
              <w:spacing w:line="260" w:lineRule="exact"/>
              <w:ind w:rightChars="-11" w:right="-26"/>
            </w:pPr>
            <w:r>
              <w:t>7.1</w:t>
            </w:r>
          </w:p>
        </w:tc>
        <w:tc>
          <w:tcPr>
            <w:tcW w:w="1701" w:type="dxa"/>
          </w:tcPr>
          <w:p w14:paraId="34B27852" w14:textId="78BF33FA" w:rsidR="00315E9C" w:rsidRPr="008000A5" w:rsidRDefault="00315E9C" w:rsidP="005061BA">
            <w:pPr>
              <w:tabs>
                <w:tab w:val="decimal" w:pos="799"/>
              </w:tabs>
              <w:spacing w:line="260" w:lineRule="exact"/>
              <w:ind w:rightChars="-11" w:right="-26"/>
            </w:pPr>
            <w:r>
              <w:t>6.1</w:t>
            </w:r>
          </w:p>
        </w:tc>
      </w:tr>
      <w:tr w:rsidR="00315E9C" w:rsidRPr="00B67ADE" w14:paraId="0385F2C2" w14:textId="77777777" w:rsidTr="00D5719E">
        <w:trPr>
          <w:trHeight w:val="289"/>
        </w:trPr>
        <w:tc>
          <w:tcPr>
            <w:tcW w:w="1728" w:type="dxa"/>
          </w:tcPr>
          <w:p w14:paraId="04679CE1" w14:textId="538EC061" w:rsidR="00315E9C" w:rsidRPr="00B67ADE" w:rsidRDefault="00315E9C" w:rsidP="00315E9C">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134B40C4"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973532">
              <w:rPr>
                <w:sz w:val="24"/>
                <w:lang w:val="en-GB"/>
              </w:rPr>
              <w:t>8.</w:t>
            </w:r>
            <w:r w:rsidR="0071740C">
              <w:rPr>
                <w:sz w:val="24"/>
                <w:lang w:val="en-GB"/>
              </w:rPr>
              <w:t>3</w:t>
            </w:r>
            <w:r w:rsidRPr="00BE40F4">
              <w:rPr>
                <w:sz w:val="24"/>
                <w:szCs w:val="24"/>
                <w:lang w:val="en-GB" w:eastAsia="zh-TW"/>
              </w:rPr>
              <w:t xml:space="preserve"> </w:t>
            </w:r>
            <w:r w:rsidRPr="00BE40F4">
              <w:rPr>
                <w:sz w:val="24"/>
                <w:szCs w:val="24"/>
                <w:lang w:val="en-GB" w:eastAsia="zh-TW"/>
              </w:rPr>
              <w:tab/>
              <w:t>(</w:t>
            </w:r>
            <w:r>
              <w:rPr>
                <w:sz w:val="24"/>
                <w:szCs w:val="24"/>
                <w:lang w:val="en-GB" w:eastAsia="zh-TW"/>
              </w:rPr>
              <w:t>2.</w:t>
            </w:r>
            <w:r w:rsidR="0071740C">
              <w:rPr>
                <w:sz w:val="24"/>
                <w:szCs w:val="24"/>
                <w:lang w:val="en-GB" w:eastAsia="zh-TW"/>
              </w:rPr>
              <w:t>6</w:t>
            </w:r>
            <w:r w:rsidRPr="00BE40F4">
              <w:rPr>
                <w:sz w:val="24"/>
                <w:lang w:val="en-GB"/>
              </w:rPr>
              <w:t>)</w:t>
            </w:r>
          </w:p>
        </w:tc>
        <w:tc>
          <w:tcPr>
            <w:tcW w:w="1271" w:type="dxa"/>
          </w:tcPr>
          <w:p w14:paraId="3388021C" w14:textId="490049C3" w:rsidR="00315E9C" w:rsidRPr="000D1098" w:rsidRDefault="00973532" w:rsidP="005061BA">
            <w:pPr>
              <w:tabs>
                <w:tab w:val="decimal" w:pos="638"/>
              </w:tabs>
              <w:spacing w:line="260" w:lineRule="exact"/>
              <w:jc w:val="both"/>
            </w:pPr>
            <w:r>
              <w:rPr>
                <w:kern w:val="0"/>
              </w:rPr>
              <w:t>18.</w:t>
            </w:r>
            <w:r w:rsidR="0071740C">
              <w:rPr>
                <w:kern w:val="0"/>
              </w:rPr>
              <w:t>9</w:t>
            </w:r>
          </w:p>
        </w:tc>
        <w:tc>
          <w:tcPr>
            <w:tcW w:w="1263" w:type="dxa"/>
          </w:tcPr>
          <w:p w14:paraId="03C5ABD4" w14:textId="2B1A9E46"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1.9</w:t>
            </w:r>
          </w:p>
        </w:tc>
        <w:tc>
          <w:tcPr>
            <w:tcW w:w="1843" w:type="dxa"/>
          </w:tcPr>
          <w:p w14:paraId="515D8FF6" w14:textId="3736B481" w:rsidR="00315E9C" w:rsidRPr="000D1098" w:rsidRDefault="00315E9C" w:rsidP="005061BA">
            <w:pPr>
              <w:tabs>
                <w:tab w:val="decimal" w:pos="869"/>
              </w:tabs>
              <w:spacing w:line="260" w:lineRule="exact"/>
              <w:ind w:rightChars="-11" w:right="-26"/>
            </w:pPr>
            <w:r>
              <w:rPr>
                <w:kern w:val="0"/>
              </w:rPr>
              <w:t>-0.</w:t>
            </w:r>
            <w:r w:rsidR="0071740C">
              <w:rPr>
                <w:kern w:val="0"/>
              </w:rPr>
              <w:t>4</w:t>
            </w:r>
          </w:p>
        </w:tc>
        <w:tc>
          <w:tcPr>
            <w:tcW w:w="1701" w:type="dxa"/>
          </w:tcPr>
          <w:p w14:paraId="0D68AB72" w14:textId="48B780DF" w:rsidR="00315E9C" w:rsidRPr="000D1098" w:rsidRDefault="00315E9C" w:rsidP="005061BA">
            <w:pPr>
              <w:tabs>
                <w:tab w:val="decimal" w:pos="799"/>
              </w:tabs>
              <w:spacing w:line="260" w:lineRule="exact"/>
              <w:ind w:rightChars="-11" w:right="-26"/>
            </w:pPr>
            <w:r>
              <w:rPr>
                <w:kern w:val="0"/>
              </w:rPr>
              <w:t>6.</w:t>
            </w:r>
            <w:r w:rsidR="0071740C">
              <w:rPr>
                <w:kern w:val="0"/>
              </w:rPr>
              <w:t>4</w:t>
            </w:r>
          </w:p>
        </w:tc>
      </w:tr>
      <w:tr w:rsidR="00315E9C" w:rsidRPr="00B67ADE" w14:paraId="28843168" w14:textId="77777777" w:rsidTr="00D5719E">
        <w:trPr>
          <w:trHeight w:val="289"/>
        </w:trPr>
        <w:tc>
          <w:tcPr>
            <w:tcW w:w="1728" w:type="dxa"/>
          </w:tcPr>
          <w:p w14:paraId="1F5F7611" w14:textId="77777777" w:rsidR="00315E9C" w:rsidRPr="00B67ADE" w:rsidRDefault="00315E9C" w:rsidP="00315E9C">
            <w:pPr>
              <w:tabs>
                <w:tab w:val="left" w:pos="840"/>
              </w:tabs>
              <w:spacing w:line="260" w:lineRule="exact"/>
              <w:jc w:val="both"/>
            </w:pPr>
          </w:p>
        </w:tc>
        <w:tc>
          <w:tcPr>
            <w:tcW w:w="1720" w:type="dxa"/>
          </w:tcPr>
          <w:p w14:paraId="2C413AA6" w14:textId="77777777"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315E9C" w:rsidRPr="00D76305" w:rsidRDefault="00315E9C" w:rsidP="005061BA">
            <w:pPr>
              <w:tabs>
                <w:tab w:val="decimal" w:pos="638"/>
              </w:tabs>
              <w:spacing w:line="260" w:lineRule="exact"/>
              <w:jc w:val="both"/>
            </w:pPr>
          </w:p>
        </w:tc>
        <w:tc>
          <w:tcPr>
            <w:tcW w:w="1263" w:type="dxa"/>
          </w:tcPr>
          <w:p w14:paraId="3EE433AF" w14:textId="77777777" w:rsidR="00315E9C" w:rsidRPr="00D7630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315E9C" w:rsidRPr="00D76305" w:rsidRDefault="00315E9C" w:rsidP="005061BA">
            <w:pPr>
              <w:tabs>
                <w:tab w:val="decimal" w:pos="869"/>
              </w:tabs>
              <w:spacing w:line="260" w:lineRule="exact"/>
              <w:ind w:rightChars="-11" w:right="-26"/>
            </w:pPr>
          </w:p>
        </w:tc>
        <w:tc>
          <w:tcPr>
            <w:tcW w:w="1701" w:type="dxa"/>
          </w:tcPr>
          <w:p w14:paraId="29F148D7" w14:textId="77777777" w:rsidR="00315E9C" w:rsidRPr="00D76305" w:rsidRDefault="00315E9C" w:rsidP="005061BA">
            <w:pPr>
              <w:tabs>
                <w:tab w:val="decimal" w:pos="799"/>
              </w:tabs>
              <w:spacing w:line="260" w:lineRule="exact"/>
              <w:ind w:rightChars="-11" w:right="-26"/>
            </w:pPr>
          </w:p>
        </w:tc>
      </w:tr>
      <w:tr w:rsidR="00315E9C" w:rsidRPr="00B67ADE" w14:paraId="4F507264" w14:textId="77777777" w:rsidTr="00D5719E">
        <w:trPr>
          <w:trHeight w:val="289"/>
        </w:trPr>
        <w:tc>
          <w:tcPr>
            <w:tcW w:w="1728" w:type="dxa"/>
          </w:tcPr>
          <w:p w14:paraId="72681954" w14:textId="58BB808A" w:rsidR="00315E9C" w:rsidRPr="00B67ADE" w:rsidRDefault="00315E9C" w:rsidP="00315E9C">
            <w:pPr>
              <w:tabs>
                <w:tab w:val="left" w:pos="840"/>
              </w:tabs>
              <w:spacing w:line="260" w:lineRule="exact"/>
              <w:jc w:val="both"/>
            </w:pPr>
            <w:r w:rsidRPr="00B67ADE">
              <w:t>202</w:t>
            </w:r>
            <w:r>
              <w:t>5</w:t>
            </w:r>
            <w:r w:rsidRPr="00B67ADE">
              <w:tab/>
            </w:r>
            <w:r>
              <w:t>Q1</w:t>
            </w:r>
          </w:p>
        </w:tc>
        <w:tc>
          <w:tcPr>
            <w:tcW w:w="1720" w:type="dxa"/>
          </w:tcPr>
          <w:p w14:paraId="1EA08E59" w14:textId="247291DC" w:rsidR="00315E9C" w:rsidRPr="00A92B09" w:rsidRDefault="00315E9C" w:rsidP="00B61F4F">
            <w:pPr>
              <w:pStyle w:val="a"/>
              <w:widowControl/>
              <w:tabs>
                <w:tab w:val="clear" w:pos="1080"/>
                <w:tab w:val="decimal" w:pos="540"/>
                <w:tab w:val="decimal" w:pos="1409"/>
              </w:tabs>
              <w:overflowPunct w:val="0"/>
              <w:autoSpaceDE w:val="0"/>
              <w:autoSpaceDN w:val="0"/>
              <w:adjustRightInd w:val="0"/>
              <w:spacing w:line="260" w:lineRule="exact"/>
              <w:jc w:val="left"/>
              <w:textAlignment w:val="baseline"/>
              <w:rPr>
                <w:sz w:val="24"/>
                <w:lang w:val="en-GB"/>
              </w:rPr>
            </w:pPr>
            <w:r w:rsidRPr="00A92B09">
              <w:rPr>
                <w:sz w:val="24"/>
                <w:lang w:val="en-GB"/>
              </w:rPr>
              <w:tab/>
            </w:r>
            <w:r w:rsidR="00B97F4D">
              <w:rPr>
                <w:sz w:val="24"/>
                <w:lang w:val="en-GB"/>
              </w:rPr>
              <w:t>4.</w:t>
            </w:r>
            <w:r w:rsidR="00D925E6">
              <w:rPr>
                <w:sz w:val="24"/>
                <w:lang w:val="en-GB"/>
              </w:rPr>
              <w:t>7</w:t>
            </w:r>
            <w:r>
              <w:rPr>
                <w:sz w:val="24"/>
                <w:szCs w:val="24"/>
                <w:lang w:val="en-GB" w:eastAsia="zh-TW"/>
              </w:rPr>
              <w:tab/>
              <w:t>(</w:t>
            </w:r>
            <w:r w:rsidR="00D925E6">
              <w:rPr>
                <w:sz w:val="24"/>
                <w:szCs w:val="24"/>
                <w:lang w:val="en-GB" w:eastAsia="zh-TW"/>
              </w:rPr>
              <w:t>*</w:t>
            </w:r>
            <w:r w:rsidRPr="00A92B09">
              <w:rPr>
                <w:sz w:val="24"/>
                <w:lang w:val="en-GB"/>
              </w:rPr>
              <w:t>)</w:t>
            </w:r>
          </w:p>
        </w:tc>
        <w:tc>
          <w:tcPr>
            <w:tcW w:w="1271" w:type="dxa"/>
          </w:tcPr>
          <w:p w14:paraId="1081B64A" w14:textId="1E37E5A5" w:rsidR="00315E9C" w:rsidRPr="00A92B09" w:rsidRDefault="00B97F4D" w:rsidP="005061BA">
            <w:pPr>
              <w:tabs>
                <w:tab w:val="decimal" w:pos="638"/>
              </w:tabs>
              <w:spacing w:line="260" w:lineRule="exact"/>
              <w:jc w:val="both"/>
            </w:pPr>
            <w:r>
              <w:t>2.9</w:t>
            </w:r>
          </w:p>
        </w:tc>
        <w:tc>
          <w:tcPr>
            <w:tcW w:w="1263" w:type="dxa"/>
          </w:tcPr>
          <w:p w14:paraId="5B3AF312" w14:textId="26AE14DB" w:rsidR="00315E9C" w:rsidRPr="00A92B09" w:rsidRDefault="00647CF0"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w:t>
            </w:r>
            <w:r w:rsidR="00D96C84">
              <w:rPr>
                <w:sz w:val="24"/>
                <w:szCs w:val="24"/>
                <w:lang w:val="en-GB" w:eastAsia="zh-TW"/>
              </w:rPr>
              <w:t>.</w:t>
            </w:r>
            <w:r>
              <w:rPr>
                <w:sz w:val="24"/>
                <w:szCs w:val="24"/>
                <w:lang w:val="en-GB" w:eastAsia="zh-TW"/>
              </w:rPr>
              <w:t>5</w:t>
            </w:r>
          </w:p>
        </w:tc>
        <w:tc>
          <w:tcPr>
            <w:tcW w:w="1843" w:type="dxa"/>
          </w:tcPr>
          <w:p w14:paraId="7F8BF099" w14:textId="0CC7046F" w:rsidR="00315E9C" w:rsidRPr="00A92B09" w:rsidRDefault="00647CF0" w:rsidP="005061BA">
            <w:pPr>
              <w:tabs>
                <w:tab w:val="decimal" w:pos="869"/>
              </w:tabs>
              <w:spacing w:line="260" w:lineRule="exact"/>
              <w:ind w:rightChars="-11" w:right="-26"/>
            </w:pPr>
            <w:r>
              <w:t>2</w:t>
            </w:r>
            <w:r w:rsidR="0071740C">
              <w:t>.</w:t>
            </w:r>
            <w:r>
              <w:t>3</w:t>
            </w:r>
          </w:p>
        </w:tc>
        <w:tc>
          <w:tcPr>
            <w:tcW w:w="1701" w:type="dxa"/>
          </w:tcPr>
          <w:p w14:paraId="369A0F79" w14:textId="4A01DA49" w:rsidR="00315E9C" w:rsidRPr="00A92B09" w:rsidRDefault="0071740C" w:rsidP="005061BA">
            <w:pPr>
              <w:tabs>
                <w:tab w:val="decimal" w:pos="799"/>
              </w:tabs>
              <w:spacing w:line="260" w:lineRule="exact"/>
              <w:ind w:rightChars="-11" w:right="-26"/>
            </w:pPr>
            <w:r>
              <w:t>9.</w:t>
            </w:r>
            <w:r w:rsidR="00647CF0">
              <w:t>3</w:t>
            </w:r>
          </w:p>
        </w:tc>
      </w:tr>
      <w:tr w:rsidR="00012221" w:rsidRPr="00B67ADE" w14:paraId="1F948D23" w14:textId="77777777" w:rsidTr="00D5719E">
        <w:trPr>
          <w:trHeight w:val="289"/>
        </w:trPr>
        <w:tc>
          <w:tcPr>
            <w:tcW w:w="1728" w:type="dxa"/>
          </w:tcPr>
          <w:p w14:paraId="543C6763" w14:textId="4395FE01" w:rsidR="00012221" w:rsidRPr="00B67ADE" w:rsidRDefault="00012221" w:rsidP="00012221">
            <w:pPr>
              <w:tabs>
                <w:tab w:val="left" w:pos="840"/>
              </w:tabs>
              <w:spacing w:line="260" w:lineRule="exact"/>
              <w:jc w:val="both"/>
            </w:pPr>
            <w:r w:rsidRPr="00B67ADE">
              <w:tab/>
            </w:r>
            <w:r w:rsidRPr="00B67ADE">
              <w:rPr>
                <w:rFonts w:eastAsia="SimSun"/>
                <w:lang w:eastAsia="zh-CN"/>
              </w:rPr>
              <w:t>Q2</w:t>
            </w:r>
          </w:p>
        </w:tc>
        <w:tc>
          <w:tcPr>
            <w:tcW w:w="1720" w:type="dxa"/>
          </w:tcPr>
          <w:p w14:paraId="2C572B4A" w14:textId="71B25404" w:rsidR="00012221" w:rsidRPr="00A92B09" w:rsidRDefault="00012221" w:rsidP="0001222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eastAsia="zh-TW"/>
              </w:rPr>
            </w:pPr>
            <w:r w:rsidRPr="001E0504">
              <w:rPr>
                <w:sz w:val="24"/>
                <w:lang w:val="en-GB"/>
              </w:rPr>
              <w:tab/>
            </w:r>
            <w:r w:rsidR="003A1817">
              <w:rPr>
                <w:sz w:val="24"/>
                <w:lang w:val="en-GB"/>
              </w:rPr>
              <w:t>7.</w:t>
            </w:r>
            <w:r w:rsidR="002970BE">
              <w:rPr>
                <w:rFonts w:hint="eastAsia"/>
                <w:sz w:val="24"/>
                <w:lang w:val="en-GB" w:eastAsia="zh-TW"/>
              </w:rPr>
              <w:t>2</w:t>
            </w:r>
            <w:r>
              <w:rPr>
                <w:sz w:val="24"/>
                <w:lang w:val="en-GB"/>
              </w:rPr>
              <w:t xml:space="preserve"> </w:t>
            </w:r>
            <w:r>
              <w:rPr>
                <w:sz w:val="24"/>
                <w:lang w:val="en-GB"/>
              </w:rPr>
              <w:tab/>
              <w:t>(</w:t>
            </w:r>
            <w:r w:rsidR="002970BE">
              <w:rPr>
                <w:rFonts w:hint="eastAsia"/>
                <w:sz w:val="24"/>
                <w:lang w:val="en-GB" w:eastAsia="zh-TW"/>
              </w:rPr>
              <w:t>3</w:t>
            </w:r>
            <w:r>
              <w:rPr>
                <w:sz w:val="24"/>
                <w:lang w:val="en-GB"/>
              </w:rPr>
              <w:t>.</w:t>
            </w:r>
            <w:r w:rsidR="002970BE">
              <w:rPr>
                <w:rFonts w:hint="eastAsia"/>
                <w:sz w:val="24"/>
                <w:lang w:val="en-GB" w:eastAsia="zh-TW"/>
              </w:rPr>
              <w:t>0</w:t>
            </w:r>
            <w:r w:rsidRPr="001E0504">
              <w:rPr>
                <w:sz w:val="24"/>
                <w:lang w:val="en-GB"/>
              </w:rPr>
              <w:t>)</w:t>
            </w:r>
          </w:p>
        </w:tc>
        <w:tc>
          <w:tcPr>
            <w:tcW w:w="1271" w:type="dxa"/>
          </w:tcPr>
          <w:p w14:paraId="2724860F" w14:textId="40B628B6" w:rsidR="00012221" w:rsidRDefault="00647CF0" w:rsidP="00012221">
            <w:pPr>
              <w:tabs>
                <w:tab w:val="decimal" w:pos="638"/>
              </w:tabs>
              <w:spacing w:line="260" w:lineRule="exact"/>
              <w:jc w:val="both"/>
            </w:pPr>
            <w:r>
              <w:t>9</w:t>
            </w:r>
            <w:r w:rsidR="003A1817">
              <w:t>.</w:t>
            </w:r>
            <w:r w:rsidR="002970BE">
              <w:rPr>
                <w:rFonts w:hint="eastAsia"/>
              </w:rPr>
              <w:t>2</w:t>
            </w:r>
          </w:p>
        </w:tc>
        <w:tc>
          <w:tcPr>
            <w:tcW w:w="1263" w:type="dxa"/>
          </w:tcPr>
          <w:p w14:paraId="3F37AE90" w14:textId="3EF5AC3C" w:rsidR="00012221" w:rsidRDefault="002970BE" w:rsidP="00012221">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rFonts w:hint="eastAsia"/>
                <w:sz w:val="24"/>
                <w:szCs w:val="24"/>
                <w:lang w:val="en-GB" w:eastAsia="zh-TW"/>
              </w:rPr>
              <w:t>4</w:t>
            </w:r>
            <w:r w:rsidR="00012221">
              <w:rPr>
                <w:sz w:val="24"/>
                <w:szCs w:val="24"/>
                <w:lang w:val="en-GB" w:eastAsia="zh-TW"/>
              </w:rPr>
              <w:t>.</w:t>
            </w:r>
            <w:r>
              <w:rPr>
                <w:rFonts w:hint="eastAsia"/>
                <w:sz w:val="24"/>
                <w:szCs w:val="24"/>
                <w:lang w:val="en-GB" w:eastAsia="zh-TW"/>
              </w:rPr>
              <w:t>3</w:t>
            </w:r>
          </w:p>
        </w:tc>
        <w:tc>
          <w:tcPr>
            <w:tcW w:w="1843" w:type="dxa"/>
          </w:tcPr>
          <w:p w14:paraId="56309E3B" w14:textId="2B691832" w:rsidR="00012221" w:rsidRDefault="00647CF0" w:rsidP="00012221">
            <w:pPr>
              <w:tabs>
                <w:tab w:val="decimal" w:pos="869"/>
              </w:tabs>
              <w:spacing w:line="260" w:lineRule="exact"/>
              <w:ind w:rightChars="-11" w:right="-26"/>
            </w:pPr>
            <w:r>
              <w:t>9</w:t>
            </w:r>
            <w:r w:rsidR="00012221">
              <w:t>.</w:t>
            </w:r>
            <w:r w:rsidR="002970BE">
              <w:rPr>
                <w:rFonts w:hint="eastAsia"/>
              </w:rPr>
              <w:t>1</w:t>
            </w:r>
          </w:p>
        </w:tc>
        <w:tc>
          <w:tcPr>
            <w:tcW w:w="1701" w:type="dxa"/>
          </w:tcPr>
          <w:p w14:paraId="2233280F" w14:textId="4E32F031" w:rsidR="00012221" w:rsidRDefault="002970BE" w:rsidP="00012221">
            <w:pPr>
              <w:tabs>
                <w:tab w:val="decimal" w:pos="799"/>
              </w:tabs>
              <w:spacing w:line="260" w:lineRule="exact"/>
              <w:ind w:rightChars="-11" w:right="-26"/>
            </w:pPr>
            <w:r>
              <w:rPr>
                <w:rFonts w:hint="eastAsia"/>
              </w:rPr>
              <w:t>6</w:t>
            </w:r>
            <w:r w:rsidR="00012221">
              <w:t>.</w:t>
            </w:r>
            <w:r>
              <w:rPr>
                <w:rFonts w:hint="eastAsia"/>
              </w:rPr>
              <w:t>2</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proofErr w:type="gramStart"/>
      <w:r w:rsidRPr="00B67ADE">
        <w:rPr>
          <w:sz w:val="22"/>
          <w:szCs w:val="22"/>
        </w:rPr>
        <w:t>Notes :</w:t>
      </w:r>
      <w:proofErr w:type="gramEnd"/>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r>
      <w:proofErr w:type="gramStart"/>
      <w:r w:rsidRPr="00B67ADE">
        <w:rPr>
          <w:sz w:val="22"/>
          <w:szCs w:val="22"/>
        </w:rPr>
        <w:t>(</w:t>
      </w:r>
      <w:r w:rsidR="00671A1E">
        <w:rPr>
          <w:sz w:val="22"/>
          <w:szCs w:val="22"/>
        </w:rPr>
        <w:t>  </w:t>
      </w:r>
      <w:r w:rsidRPr="00B67ADE">
        <w:rPr>
          <w:sz w:val="22"/>
          <w:szCs w:val="22"/>
        </w:rPr>
        <w:t>)</w:t>
      </w:r>
      <w:proofErr w:type="gramEnd"/>
      <w:r w:rsidRPr="00B67ADE">
        <w:rPr>
          <w:sz w:val="22"/>
          <w:szCs w:val="22"/>
        </w:rPr>
        <w:tab/>
        <w:t>Seasonally adjusted quarter-to-quarter rate of change.</w:t>
      </w:r>
    </w:p>
    <w:p w14:paraId="37A94D3D" w14:textId="5EE5A8B2" w:rsidR="00647CF0" w:rsidRPr="00BE40F4" w:rsidRDefault="00647CF0" w:rsidP="00647CF0">
      <w:pPr>
        <w:keepNext/>
        <w:keepLines/>
        <w:tabs>
          <w:tab w:val="left" w:pos="864"/>
          <w:tab w:val="left" w:pos="1440"/>
        </w:tabs>
        <w:spacing w:afterLines="50" w:after="180" w:line="250" w:lineRule="exact"/>
        <w:ind w:left="1503" w:hanging="1503"/>
        <w:jc w:val="both"/>
        <w:rPr>
          <w:kern w:val="0"/>
          <w:sz w:val="22"/>
          <w:szCs w:val="22"/>
        </w:rPr>
      </w:pPr>
      <w:r>
        <w:rPr>
          <w:kern w:val="0"/>
          <w:sz w:val="22"/>
          <w:szCs w:val="22"/>
        </w:rPr>
        <w:tab/>
      </w:r>
      <w:r w:rsidRPr="00BE40F4">
        <w:rPr>
          <w:kern w:val="0"/>
          <w:sz w:val="22"/>
          <w:szCs w:val="22"/>
        </w:rPr>
        <w:t>(*)</w:t>
      </w:r>
      <w:r w:rsidRPr="00BE40F4">
        <w:rPr>
          <w:kern w:val="0"/>
          <w:sz w:val="22"/>
          <w:szCs w:val="22"/>
        </w:rPr>
        <w:tab/>
        <w:t>Change of less than ±0.05%.</w:t>
      </w:r>
    </w:p>
    <w:p w14:paraId="42903840" w14:textId="77777777" w:rsidR="00647CF0" w:rsidRPr="00B67ADE" w:rsidRDefault="00647CF0" w:rsidP="00671A1E">
      <w:pPr>
        <w:keepNext/>
        <w:keepLines/>
        <w:tabs>
          <w:tab w:val="left" w:pos="851"/>
          <w:tab w:val="left" w:pos="1440"/>
        </w:tabs>
        <w:spacing w:afterLines="50" w:after="180" w:line="250" w:lineRule="exact"/>
        <w:ind w:left="1503" w:hanging="1503"/>
        <w:jc w:val="both"/>
        <w:rPr>
          <w:sz w:val="22"/>
          <w:szCs w:val="22"/>
        </w:rPr>
      </w:pP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43A54194" w:rsidR="00540A25" w:rsidRPr="00D35D7E" w:rsidRDefault="00FC315D" w:rsidP="009A23A9">
      <w:pPr>
        <w:pStyle w:val="a"/>
        <w:numPr>
          <w:ilvl w:val="0"/>
          <w:numId w:val="6"/>
        </w:numPr>
        <w:tabs>
          <w:tab w:val="clear" w:pos="1080"/>
        </w:tabs>
        <w:spacing w:line="360" w:lineRule="atLeast"/>
        <w:rPr>
          <w:rFonts w:eastAsia="SimSun"/>
          <w:lang w:val="en-GB" w:eastAsia="zh-TW"/>
        </w:rPr>
      </w:pPr>
      <w:r w:rsidRPr="00933D29">
        <w:rPr>
          <w:lang w:val="en-GB"/>
        </w:rPr>
        <w:t xml:space="preserve">Based on the GDP </w:t>
      </w:r>
      <w:r w:rsidR="006D52E0" w:rsidRPr="00933D29">
        <w:rPr>
          <w:lang w:val="en-GB"/>
        </w:rPr>
        <w:t xml:space="preserve">compilation </w:t>
      </w:r>
      <w:r w:rsidR="005038A0" w:rsidRPr="00933D29">
        <w:rPr>
          <w:lang w:val="en-GB"/>
        </w:rPr>
        <w:t xml:space="preserve">framework and compared to a year earlier, the goods deficit </w:t>
      </w:r>
      <w:r w:rsidR="00D35D7E">
        <w:rPr>
          <w:lang w:val="en-GB"/>
        </w:rPr>
        <w:t xml:space="preserve">widened </w:t>
      </w:r>
      <w:r w:rsidR="00117159" w:rsidRPr="00933D29">
        <w:rPr>
          <w:lang w:val="en-GB"/>
        </w:rPr>
        <w:t>to</w:t>
      </w:r>
      <w:r w:rsidR="00C82A23" w:rsidRPr="00933D29">
        <w:rPr>
          <w:lang w:val="en-GB"/>
        </w:rPr>
        <w:t xml:space="preserve"> </w:t>
      </w:r>
      <w:r w:rsidR="002A4C23" w:rsidRPr="00933D29">
        <w:rPr>
          <w:lang w:val="en-GB"/>
        </w:rPr>
        <w:t>$</w:t>
      </w:r>
      <w:r w:rsidR="00D35D7E">
        <w:rPr>
          <w:lang w:val="en-GB" w:eastAsia="zh-TW"/>
        </w:rPr>
        <w:t>3</w:t>
      </w:r>
      <w:r w:rsidR="007A5B9E">
        <w:rPr>
          <w:rFonts w:hint="eastAsia"/>
          <w:lang w:val="en-GB" w:eastAsia="zh-TW"/>
        </w:rPr>
        <w:t>8</w:t>
      </w:r>
      <w:r w:rsidR="00F3028B" w:rsidRPr="00933D29">
        <w:rPr>
          <w:lang w:val="en-GB"/>
        </w:rPr>
        <w:t> </w:t>
      </w:r>
      <w:r w:rsidR="002A4C23" w:rsidRPr="00933D29">
        <w:rPr>
          <w:lang w:val="en-GB"/>
        </w:rPr>
        <w:t xml:space="preserve">billion in </w:t>
      </w:r>
      <w:r w:rsidR="00117159" w:rsidRPr="00933D29">
        <w:rPr>
          <w:lang w:val="en-GB"/>
        </w:rPr>
        <w:t xml:space="preserve">the </w:t>
      </w:r>
      <w:r w:rsidR="001D2708" w:rsidRPr="00933D29">
        <w:rPr>
          <w:lang w:val="en-GB" w:eastAsia="zh-TW"/>
        </w:rPr>
        <w:t>second</w:t>
      </w:r>
      <w:r w:rsidR="001D2708" w:rsidRPr="00933D29">
        <w:rPr>
          <w:lang w:val="en-GB"/>
        </w:rPr>
        <w:t xml:space="preserve"> </w:t>
      </w:r>
      <w:r w:rsidR="003F3D32" w:rsidRPr="00933D29">
        <w:rPr>
          <w:lang w:val="en-GB"/>
        </w:rPr>
        <w:t>quarter of 2025</w:t>
      </w:r>
      <w:r w:rsidRPr="00933D29">
        <w:rPr>
          <w:lang w:val="en-GB"/>
        </w:rPr>
        <w:t xml:space="preserve">, as the value of </w:t>
      </w:r>
      <w:r w:rsidR="00D35D7E">
        <w:rPr>
          <w:lang w:val="en-GB"/>
        </w:rPr>
        <w:t xml:space="preserve">imports </w:t>
      </w:r>
      <w:r w:rsidRPr="00933D29">
        <w:rPr>
          <w:lang w:val="en-GB"/>
        </w:rPr>
        <w:t xml:space="preserve">of goods </w:t>
      </w:r>
      <w:r w:rsidR="0008704D" w:rsidRPr="00933D29">
        <w:rPr>
          <w:lang w:val="en-GB"/>
        </w:rPr>
        <w:t xml:space="preserve">saw a larger </w:t>
      </w:r>
      <w:r w:rsidR="00CA2DC0" w:rsidRPr="00933D29">
        <w:rPr>
          <w:lang w:val="en-GB"/>
        </w:rPr>
        <w:t xml:space="preserve">increase </w:t>
      </w:r>
      <w:r w:rsidRPr="00933D29">
        <w:rPr>
          <w:lang w:val="en-GB" w:eastAsia="zh-TW"/>
        </w:rPr>
        <w:t>than</w:t>
      </w:r>
      <w:r w:rsidRPr="00933D29">
        <w:rPr>
          <w:lang w:val="en-GB"/>
        </w:rPr>
        <w:t xml:space="preserve"> that of</w:t>
      </w:r>
      <w:r w:rsidR="00D35D7E">
        <w:rPr>
          <w:lang w:val="en-GB"/>
        </w:rPr>
        <w:t xml:space="preserve"> exports</w:t>
      </w:r>
      <w:r w:rsidRPr="00933D29">
        <w:rPr>
          <w:lang w:val="en-GB" w:eastAsia="zh-TW"/>
        </w:rPr>
        <w:t xml:space="preserve">.  Meanwhile, the </w:t>
      </w:r>
      <w:r w:rsidRPr="00933D29">
        <w:rPr>
          <w:lang w:val="en-GB"/>
        </w:rPr>
        <w:t xml:space="preserve">services surplus </w:t>
      </w:r>
      <w:r w:rsidR="004D05A4" w:rsidRPr="00933D29">
        <w:rPr>
          <w:lang w:val="en-GB"/>
        </w:rPr>
        <w:t xml:space="preserve">widened </w:t>
      </w:r>
      <w:r w:rsidR="00D35D7E">
        <w:rPr>
          <w:lang w:val="en-GB"/>
        </w:rPr>
        <w:t xml:space="preserve">slightly </w:t>
      </w:r>
      <w:r w:rsidRPr="00933D29">
        <w:rPr>
          <w:lang w:val="en-GB"/>
        </w:rPr>
        <w:t xml:space="preserve">to </w:t>
      </w:r>
      <w:r w:rsidRPr="00933D29">
        <w:rPr>
          <w:lang w:val="en-GB" w:eastAsia="zh-TW"/>
        </w:rPr>
        <w:t>$</w:t>
      </w:r>
      <w:r w:rsidR="007A5B9E">
        <w:rPr>
          <w:rFonts w:hint="eastAsia"/>
          <w:lang w:val="en-GB" w:eastAsia="zh-TW"/>
        </w:rPr>
        <w:t>30</w:t>
      </w:r>
      <w:r w:rsidR="001D2708" w:rsidRPr="00933D29">
        <w:rPr>
          <w:lang w:val="en-GB"/>
        </w:rPr>
        <w:t> </w:t>
      </w:r>
      <w:r w:rsidRPr="00933D29">
        <w:rPr>
          <w:lang w:val="en-GB"/>
        </w:rPr>
        <w:t xml:space="preserve">billion.  The combined goods and services account registered a </w:t>
      </w:r>
      <w:r w:rsidR="00D35D7E">
        <w:rPr>
          <w:lang w:val="en-GB"/>
        </w:rPr>
        <w:t xml:space="preserve">deficit </w:t>
      </w:r>
      <w:r w:rsidRPr="00933D29">
        <w:rPr>
          <w:lang w:val="en-GB"/>
        </w:rPr>
        <w:t xml:space="preserve">of </w:t>
      </w:r>
      <w:r w:rsidRPr="00933D29">
        <w:rPr>
          <w:lang w:val="en-GB" w:eastAsia="zh-TW"/>
        </w:rPr>
        <w:t>$</w:t>
      </w:r>
      <w:r w:rsidR="00D35D7E">
        <w:rPr>
          <w:lang w:val="en-GB" w:eastAsia="zh-TW"/>
        </w:rPr>
        <w:t>8</w:t>
      </w:r>
      <w:r w:rsidR="001D2708" w:rsidRPr="00933D29">
        <w:rPr>
          <w:lang w:val="en-GB"/>
        </w:rPr>
        <w:t> </w:t>
      </w:r>
      <w:r w:rsidRPr="00933D29">
        <w:rPr>
          <w:lang w:val="en-GB"/>
        </w:rPr>
        <w:t>billion in</w:t>
      </w:r>
      <w:r w:rsidR="00295ECC" w:rsidRPr="00933D29">
        <w:rPr>
          <w:lang w:val="en-GB"/>
        </w:rPr>
        <w:t xml:space="preserve"> the </w:t>
      </w:r>
      <w:r w:rsidR="001D2708" w:rsidRPr="00933D29">
        <w:rPr>
          <w:lang w:val="en-GB" w:eastAsia="zh-TW"/>
        </w:rPr>
        <w:t>second</w:t>
      </w:r>
      <w:r w:rsidR="001D2708" w:rsidRPr="00933D29">
        <w:rPr>
          <w:lang w:val="en-GB"/>
        </w:rPr>
        <w:t xml:space="preserve"> </w:t>
      </w:r>
      <w:r w:rsidR="003F3D32" w:rsidRPr="00933D29">
        <w:rPr>
          <w:lang w:val="en-GB"/>
        </w:rPr>
        <w:t>quarter</w:t>
      </w:r>
      <w:r w:rsidRPr="00933D29">
        <w:rPr>
          <w:lang w:val="en-GB"/>
        </w:rPr>
        <w:t xml:space="preserve">, equivalent to </w:t>
      </w:r>
      <w:r w:rsidR="00D35D7E">
        <w:rPr>
          <w:lang w:val="en-GB" w:eastAsia="zh-TW"/>
        </w:rPr>
        <w:t>0.5</w:t>
      </w:r>
      <w:r w:rsidRPr="00933D29">
        <w:rPr>
          <w:lang w:val="en-GB" w:eastAsia="zh-TW"/>
        </w:rPr>
        <w:t>%</w:t>
      </w:r>
      <w:r w:rsidRPr="00933D29">
        <w:rPr>
          <w:lang w:val="en-GB"/>
        </w:rPr>
        <w:t xml:space="preserve"> of total import value, compared to </w:t>
      </w:r>
      <w:r w:rsidRPr="00933D29">
        <w:rPr>
          <w:lang w:val="en-GB" w:eastAsia="zh-TW"/>
        </w:rPr>
        <w:t xml:space="preserve">a </w:t>
      </w:r>
      <w:r w:rsidR="00F3028B" w:rsidRPr="00933D29">
        <w:rPr>
          <w:lang w:val="en-GB" w:eastAsia="zh-TW"/>
        </w:rPr>
        <w:t xml:space="preserve">surplus </w:t>
      </w:r>
      <w:r w:rsidRPr="00933D29">
        <w:rPr>
          <w:lang w:val="en-GB"/>
        </w:rPr>
        <w:t>of $</w:t>
      </w:r>
      <w:r w:rsidR="001D2708" w:rsidRPr="00933D29">
        <w:rPr>
          <w:lang w:val="en-GB" w:eastAsia="zh-TW"/>
        </w:rPr>
        <w:t>13</w:t>
      </w:r>
      <w:r w:rsidR="002E4E3E" w:rsidRPr="00933D29">
        <w:rPr>
          <w:lang w:val="en-GB"/>
        </w:rPr>
        <w:t> </w:t>
      </w:r>
      <w:r w:rsidRPr="00933D29">
        <w:rPr>
          <w:lang w:val="en-GB"/>
        </w:rPr>
        <w:t xml:space="preserve">billion or </w:t>
      </w:r>
      <w:r w:rsidR="001D2708" w:rsidRPr="00933D29">
        <w:rPr>
          <w:lang w:val="en-GB" w:eastAsia="zh-TW"/>
        </w:rPr>
        <w:t>1.0</w:t>
      </w:r>
      <w:r w:rsidRPr="00933D29">
        <w:rPr>
          <w:lang w:val="en-GB"/>
        </w:rPr>
        <w:t xml:space="preserve">% in </w:t>
      </w:r>
      <w:r w:rsidR="00117159" w:rsidRPr="00933D29">
        <w:rPr>
          <w:lang w:val="en-GB"/>
        </w:rPr>
        <w:t xml:space="preserve">the </w:t>
      </w:r>
      <w:r w:rsidR="001D2708" w:rsidRPr="00933D29">
        <w:rPr>
          <w:lang w:val="en-GB" w:eastAsia="zh-TW"/>
        </w:rPr>
        <w:t>second</w:t>
      </w:r>
      <w:r w:rsidR="001D2708" w:rsidRPr="00933D29">
        <w:rPr>
          <w:lang w:val="en-GB"/>
        </w:rPr>
        <w:t xml:space="preserve"> </w:t>
      </w:r>
      <w:r w:rsidR="00295ECC" w:rsidRPr="00933D29">
        <w:rPr>
          <w:lang w:val="en-GB"/>
        </w:rPr>
        <w:t xml:space="preserve">quarter </w:t>
      </w:r>
      <w:r w:rsidR="001B1766" w:rsidRPr="00933D29">
        <w:rPr>
          <w:lang w:val="en-GB"/>
        </w:rPr>
        <w:t>last year</w:t>
      </w:r>
      <w:r w:rsidRPr="00933D29">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proofErr w:type="gramStart"/>
      <w:r w:rsidR="00B42004" w:rsidRPr="00755857">
        <w:rPr>
          <w:b/>
          <w:sz w:val="28"/>
        </w:rPr>
        <w:t>2</w:t>
      </w:r>
      <w:r w:rsidRPr="00755857">
        <w:rPr>
          <w:b/>
          <w:sz w:val="28"/>
        </w:rPr>
        <w:t>.</w:t>
      </w:r>
      <w:r w:rsidR="00C63B5B" w:rsidRPr="00755857">
        <w:rPr>
          <w:b/>
          <w:sz w:val="28"/>
        </w:rPr>
        <w:t>6</w:t>
      </w:r>
      <w:r w:rsidRPr="00755857">
        <w:rPr>
          <w:b/>
          <w:sz w:val="28"/>
        </w:rPr>
        <w:t xml:space="preserve"> :</w:t>
      </w:r>
      <w:proofErr w:type="gramEnd"/>
      <w:r w:rsidRPr="00755857">
        <w:rPr>
          <w:b/>
          <w:sz w:val="28"/>
        </w:rPr>
        <w:t xml:space="preserve">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F02C8D" w:rsidRPr="00EE12A2" w14:paraId="0B8BFBC0" w14:textId="77777777" w:rsidTr="007A1E41">
        <w:trPr>
          <w:trHeight w:val="289"/>
          <w:jc w:val="center"/>
        </w:trPr>
        <w:tc>
          <w:tcPr>
            <w:tcW w:w="708" w:type="dxa"/>
          </w:tcPr>
          <w:p w14:paraId="239487DD" w14:textId="4CC30D12" w:rsidR="00F02C8D" w:rsidRPr="00EE12A2" w:rsidRDefault="00F02C8D" w:rsidP="00F02C8D">
            <w:pPr>
              <w:tabs>
                <w:tab w:val="left" w:pos="1080"/>
              </w:tabs>
              <w:spacing w:line="230" w:lineRule="exact"/>
              <w:jc w:val="both"/>
              <w:rPr>
                <w:lang w:eastAsia="zh-HK"/>
              </w:rPr>
            </w:pPr>
            <w:r w:rsidRPr="00EE12A2">
              <w:t>202</w:t>
            </w:r>
            <w:r>
              <w:t>4</w:t>
            </w:r>
          </w:p>
        </w:tc>
        <w:tc>
          <w:tcPr>
            <w:tcW w:w="931" w:type="dxa"/>
          </w:tcPr>
          <w:p w14:paraId="142CF1A2" w14:textId="77777777" w:rsidR="00F02C8D" w:rsidRPr="00EE12A2" w:rsidRDefault="00F02C8D" w:rsidP="007A1E41">
            <w:pPr>
              <w:tabs>
                <w:tab w:val="left" w:pos="99"/>
              </w:tabs>
              <w:spacing w:line="230" w:lineRule="exact"/>
              <w:jc w:val="center"/>
            </w:pPr>
            <w:r w:rsidRPr="00EE12A2">
              <w:t>Annual</w:t>
            </w:r>
          </w:p>
        </w:tc>
        <w:tc>
          <w:tcPr>
            <w:tcW w:w="908" w:type="dxa"/>
          </w:tcPr>
          <w:p w14:paraId="1B3E827F" w14:textId="00DE222C" w:rsidR="00F02C8D" w:rsidRPr="00020E47" w:rsidRDefault="00F02C8D" w:rsidP="00F02C8D">
            <w:pPr>
              <w:tabs>
                <w:tab w:val="decimal" w:pos="612"/>
              </w:tabs>
              <w:spacing w:line="230" w:lineRule="exact"/>
              <w:ind w:right="-18"/>
              <w:jc w:val="both"/>
            </w:pPr>
            <w:r>
              <w:t>4,925</w:t>
            </w:r>
          </w:p>
        </w:tc>
        <w:tc>
          <w:tcPr>
            <w:tcW w:w="1142" w:type="dxa"/>
          </w:tcPr>
          <w:p w14:paraId="48210B87" w14:textId="4D59ACA7" w:rsidR="00F02C8D" w:rsidRPr="00020E47" w:rsidRDefault="00F02C8D" w:rsidP="00F02C8D">
            <w:pPr>
              <w:tabs>
                <w:tab w:val="decimal" w:pos="612"/>
              </w:tabs>
              <w:spacing w:line="230" w:lineRule="exact"/>
              <w:ind w:right="-18"/>
              <w:jc w:val="both"/>
            </w:pPr>
            <w:r>
              <w:t>84</w:t>
            </w:r>
            <w:r w:rsidR="00A32685">
              <w:t>7</w:t>
            </w:r>
          </w:p>
        </w:tc>
        <w:tc>
          <w:tcPr>
            <w:tcW w:w="1018" w:type="dxa"/>
          </w:tcPr>
          <w:p w14:paraId="36C423E1" w14:textId="61C8C0E8" w:rsidR="00F02C8D" w:rsidRPr="00020E47" w:rsidRDefault="00F02C8D" w:rsidP="00F02C8D">
            <w:pPr>
              <w:tabs>
                <w:tab w:val="decimal" w:pos="612"/>
              </w:tabs>
              <w:spacing w:line="230" w:lineRule="exact"/>
              <w:ind w:right="-18"/>
              <w:jc w:val="both"/>
            </w:pPr>
            <w:r>
              <w:t>4,940</w:t>
            </w:r>
          </w:p>
        </w:tc>
        <w:tc>
          <w:tcPr>
            <w:tcW w:w="1080" w:type="dxa"/>
          </w:tcPr>
          <w:p w14:paraId="1DA14B34" w14:textId="04415851" w:rsidR="00F02C8D" w:rsidRPr="00020E47" w:rsidRDefault="00F02C8D" w:rsidP="00F02C8D">
            <w:pPr>
              <w:tabs>
                <w:tab w:val="decimal" w:pos="612"/>
              </w:tabs>
              <w:spacing w:line="230" w:lineRule="exact"/>
              <w:ind w:right="-18"/>
              <w:jc w:val="both"/>
            </w:pPr>
            <w:r>
              <w:rPr>
                <w:lang w:eastAsia="zh-HK"/>
              </w:rPr>
              <w:t>70</w:t>
            </w:r>
            <w:r w:rsidR="00A32685">
              <w:rPr>
                <w:lang w:eastAsia="zh-HK"/>
              </w:rPr>
              <w:t>2</w:t>
            </w:r>
          </w:p>
        </w:tc>
        <w:tc>
          <w:tcPr>
            <w:tcW w:w="900" w:type="dxa"/>
          </w:tcPr>
          <w:p w14:paraId="4FCEC2E9" w14:textId="59E5C024" w:rsidR="00F02C8D" w:rsidRPr="00020E47" w:rsidRDefault="00F02C8D" w:rsidP="00F02C8D">
            <w:pPr>
              <w:tabs>
                <w:tab w:val="decimal" w:pos="567"/>
              </w:tabs>
              <w:spacing w:line="230" w:lineRule="exact"/>
              <w:ind w:right="-18"/>
              <w:jc w:val="both"/>
            </w:pPr>
            <w:r>
              <w:rPr>
                <w:lang w:eastAsia="zh-HK"/>
              </w:rPr>
              <w:t>-1</w:t>
            </w:r>
            <w:r w:rsidR="00A32685">
              <w:rPr>
                <w:lang w:eastAsia="zh-HK"/>
              </w:rPr>
              <w:t>6</w:t>
            </w:r>
          </w:p>
        </w:tc>
        <w:tc>
          <w:tcPr>
            <w:tcW w:w="1091" w:type="dxa"/>
          </w:tcPr>
          <w:p w14:paraId="4A184740" w14:textId="5E08FF11" w:rsidR="00F02C8D" w:rsidRPr="00020E47" w:rsidRDefault="00F02C8D" w:rsidP="00F02C8D">
            <w:pPr>
              <w:tabs>
                <w:tab w:val="decimal" w:pos="612"/>
              </w:tabs>
              <w:spacing w:line="230" w:lineRule="exact"/>
              <w:ind w:left="-36" w:right="-18"/>
              <w:jc w:val="both"/>
            </w:pPr>
            <w:r>
              <w:rPr>
                <w:lang w:eastAsia="zh-HK"/>
              </w:rPr>
              <w:t>14</w:t>
            </w:r>
            <w:r w:rsidR="00A32685">
              <w:rPr>
                <w:lang w:eastAsia="zh-HK"/>
              </w:rPr>
              <w:t>5</w:t>
            </w:r>
          </w:p>
        </w:tc>
        <w:tc>
          <w:tcPr>
            <w:tcW w:w="1153" w:type="dxa"/>
          </w:tcPr>
          <w:p w14:paraId="20723D97" w14:textId="179C1EC7" w:rsidR="00F02C8D" w:rsidRPr="00020E47" w:rsidRDefault="00F02C8D" w:rsidP="00F02C8D">
            <w:pPr>
              <w:tabs>
                <w:tab w:val="decimal" w:pos="612"/>
              </w:tabs>
              <w:spacing w:line="230" w:lineRule="exact"/>
              <w:ind w:left="-36" w:right="-18"/>
              <w:jc w:val="both"/>
            </w:pPr>
            <w:r>
              <w:rPr>
                <w:lang w:eastAsia="zh-HK"/>
              </w:rPr>
              <w:t>129</w:t>
            </w:r>
          </w:p>
        </w:tc>
        <w:tc>
          <w:tcPr>
            <w:tcW w:w="1095" w:type="dxa"/>
          </w:tcPr>
          <w:p w14:paraId="59B18D71" w14:textId="7AD44B0A" w:rsidR="00F02C8D" w:rsidRPr="00020E47" w:rsidRDefault="00F02C8D" w:rsidP="00F02C8D">
            <w:pPr>
              <w:tabs>
                <w:tab w:val="decimal" w:pos="432"/>
              </w:tabs>
              <w:spacing w:line="230" w:lineRule="exact"/>
              <w:ind w:right="-18"/>
              <w:jc w:val="both"/>
            </w:pPr>
            <w:r>
              <w:t>2.3</w:t>
            </w:r>
          </w:p>
        </w:tc>
      </w:tr>
      <w:tr w:rsidR="00F02C8D" w:rsidRPr="00EE12A2" w14:paraId="2692A32E" w14:textId="77777777" w:rsidTr="006F50F1">
        <w:trPr>
          <w:trHeight w:val="289"/>
          <w:jc w:val="center"/>
        </w:trPr>
        <w:tc>
          <w:tcPr>
            <w:tcW w:w="708" w:type="dxa"/>
          </w:tcPr>
          <w:p w14:paraId="1445A41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B571DB" w14:textId="77777777" w:rsidR="00F02C8D" w:rsidRPr="00EE12A2" w:rsidRDefault="00F02C8D" w:rsidP="00F02C8D">
            <w:pPr>
              <w:tabs>
                <w:tab w:val="left" w:pos="99"/>
              </w:tabs>
              <w:spacing w:line="230" w:lineRule="exact"/>
              <w:jc w:val="both"/>
            </w:pPr>
          </w:p>
        </w:tc>
        <w:tc>
          <w:tcPr>
            <w:tcW w:w="908" w:type="dxa"/>
          </w:tcPr>
          <w:p w14:paraId="21DDB46E" w14:textId="77777777" w:rsidR="00F02C8D" w:rsidRPr="00020E47" w:rsidRDefault="00F02C8D" w:rsidP="00F02C8D">
            <w:pPr>
              <w:tabs>
                <w:tab w:val="decimal" w:pos="612"/>
              </w:tabs>
              <w:spacing w:line="230" w:lineRule="exact"/>
              <w:ind w:right="-18"/>
              <w:jc w:val="both"/>
            </w:pPr>
          </w:p>
        </w:tc>
        <w:tc>
          <w:tcPr>
            <w:tcW w:w="1142" w:type="dxa"/>
          </w:tcPr>
          <w:p w14:paraId="515F9994" w14:textId="77777777" w:rsidR="00F02C8D" w:rsidRPr="00020E47" w:rsidRDefault="00F02C8D" w:rsidP="00F02C8D">
            <w:pPr>
              <w:tabs>
                <w:tab w:val="decimal" w:pos="612"/>
              </w:tabs>
              <w:spacing w:line="230" w:lineRule="exact"/>
              <w:ind w:right="-18"/>
              <w:jc w:val="both"/>
            </w:pPr>
          </w:p>
        </w:tc>
        <w:tc>
          <w:tcPr>
            <w:tcW w:w="1018" w:type="dxa"/>
          </w:tcPr>
          <w:p w14:paraId="5B93B6C1" w14:textId="7662C6D8" w:rsidR="00F02C8D" w:rsidRPr="00020E47" w:rsidRDefault="00F02C8D" w:rsidP="00F02C8D">
            <w:pPr>
              <w:tabs>
                <w:tab w:val="decimal" w:pos="612"/>
              </w:tabs>
              <w:spacing w:line="230" w:lineRule="exact"/>
              <w:ind w:right="-18"/>
              <w:jc w:val="both"/>
            </w:pPr>
          </w:p>
        </w:tc>
        <w:tc>
          <w:tcPr>
            <w:tcW w:w="1080" w:type="dxa"/>
          </w:tcPr>
          <w:p w14:paraId="4CD6EAD8" w14:textId="77777777" w:rsidR="00F02C8D" w:rsidRPr="00020E47" w:rsidRDefault="00F02C8D" w:rsidP="00F02C8D">
            <w:pPr>
              <w:tabs>
                <w:tab w:val="decimal" w:pos="612"/>
              </w:tabs>
              <w:spacing w:line="230" w:lineRule="exact"/>
              <w:ind w:right="-18"/>
              <w:jc w:val="both"/>
            </w:pPr>
          </w:p>
        </w:tc>
        <w:tc>
          <w:tcPr>
            <w:tcW w:w="900" w:type="dxa"/>
          </w:tcPr>
          <w:p w14:paraId="6BFC4D6A" w14:textId="77777777" w:rsidR="00F02C8D" w:rsidRPr="00020E47" w:rsidRDefault="00F02C8D" w:rsidP="00F02C8D">
            <w:pPr>
              <w:tabs>
                <w:tab w:val="decimal" w:pos="567"/>
              </w:tabs>
              <w:spacing w:line="230" w:lineRule="exact"/>
              <w:ind w:right="-18"/>
              <w:jc w:val="both"/>
            </w:pPr>
          </w:p>
        </w:tc>
        <w:tc>
          <w:tcPr>
            <w:tcW w:w="1091" w:type="dxa"/>
          </w:tcPr>
          <w:p w14:paraId="4932B965" w14:textId="77777777" w:rsidR="00F02C8D" w:rsidRPr="00020E47" w:rsidRDefault="00F02C8D" w:rsidP="00F02C8D">
            <w:pPr>
              <w:tabs>
                <w:tab w:val="decimal" w:pos="612"/>
              </w:tabs>
              <w:spacing w:line="230" w:lineRule="exact"/>
              <w:ind w:left="-36" w:right="-18"/>
              <w:jc w:val="both"/>
            </w:pPr>
          </w:p>
        </w:tc>
        <w:tc>
          <w:tcPr>
            <w:tcW w:w="1153" w:type="dxa"/>
          </w:tcPr>
          <w:p w14:paraId="39FF2219" w14:textId="31B31D4B" w:rsidR="00F02C8D" w:rsidRPr="00020E47" w:rsidRDefault="00F02C8D" w:rsidP="00F02C8D">
            <w:pPr>
              <w:tabs>
                <w:tab w:val="decimal" w:pos="612"/>
              </w:tabs>
              <w:spacing w:line="230" w:lineRule="exact"/>
              <w:ind w:right="-18"/>
              <w:jc w:val="both"/>
            </w:pPr>
          </w:p>
        </w:tc>
        <w:tc>
          <w:tcPr>
            <w:tcW w:w="1095" w:type="dxa"/>
            <w:vAlign w:val="center"/>
          </w:tcPr>
          <w:p w14:paraId="0BCBDAB9" w14:textId="77777777" w:rsidR="00F02C8D" w:rsidRPr="00020E47" w:rsidRDefault="00F02C8D" w:rsidP="00F02C8D">
            <w:pPr>
              <w:tabs>
                <w:tab w:val="decimal" w:pos="432"/>
              </w:tabs>
              <w:spacing w:line="230" w:lineRule="exact"/>
              <w:ind w:left="-36" w:right="-18"/>
              <w:jc w:val="both"/>
              <w:rPr>
                <w:lang w:val="en-US"/>
              </w:rPr>
            </w:pPr>
          </w:p>
        </w:tc>
      </w:tr>
      <w:tr w:rsidR="00F02C8D" w:rsidRPr="00EE12A2" w14:paraId="16C2AD94" w14:textId="77777777" w:rsidTr="00D32D4E">
        <w:trPr>
          <w:trHeight w:val="289"/>
          <w:jc w:val="center"/>
        </w:trPr>
        <w:tc>
          <w:tcPr>
            <w:tcW w:w="708" w:type="dxa"/>
          </w:tcPr>
          <w:p w14:paraId="628AE97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062C28B8" w14:textId="77777777" w:rsidR="00F02C8D" w:rsidRPr="00EE12A2" w:rsidRDefault="00F02C8D" w:rsidP="00F02C8D">
            <w:pPr>
              <w:tabs>
                <w:tab w:val="left" w:pos="99"/>
              </w:tabs>
              <w:spacing w:line="230" w:lineRule="exact"/>
            </w:pPr>
            <w:r w:rsidRPr="00EE12A2">
              <w:t>Q1</w:t>
            </w:r>
          </w:p>
        </w:tc>
        <w:tc>
          <w:tcPr>
            <w:tcW w:w="908" w:type="dxa"/>
          </w:tcPr>
          <w:p w14:paraId="6722D92F" w14:textId="7FDE9EDD" w:rsidR="00F02C8D" w:rsidRPr="00020E47" w:rsidRDefault="00F02C8D" w:rsidP="00F02C8D">
            <w:pPr>
              <w:tabs>
                <w:tab w:val="decimal" w:pos="612"/>
              </w:tabs>
              <w:spacing w:line="230" w:lineRule="exact"/>
              <w:ind w:right="-18"/>
              <w:jc w:val="both"/>
            </w:pPr>
            <w:r>
              <w:t>1,148</w:t>
            </w:r>
          </w:p>
        </w:tc>
        <w:tc>
          <w:tcPr>
            <w:tcW w:w="1142" w:type="dxa"/>
          </w:tcPr>
          <w:p w14:paraId="3EF2BEB6" w14:textId="1A2E0EC9" w:rsidR="00F02C8D" w:rsidRPr="00020E47" w:rsidRDefault="00F02C8D" w:rsidP="00F02C8D">
            <w:pPr>
              <w:tabs>
                <w:tab w:val="decimal" w:pos="612"/>
              </w:tabs>
              <w:spacing w:line="230" w:lineRule="exact"/>
              <w:ind w:right="-18"/>
              <w:jc w:val="both"/>
            </w:pPr>
            <w:r>
              <w:t>21</w:t>
            </w:r>
            <w:r w:rsidR="0071740C">
              <w:t>8</w:t>
            </w:r>
          </w:p>
        </w:tc>
        <w:tc>
          <w:tcPr>
            <w:tcW w:w="1018" w:type="dxa"/>
          </w:tcPr>
          <w:p w14:paraId="018B0F68" w14:textId="29BF75ED" w:rsidR="00F02C8D" w:rsidRPr="00020E47" w:rsidRDefault="00F02C8D" w:rsidP="00F02C8D">
            <w:pPr>
              <w:tabs>
                <w:tab w:val="decimal" w:pos="612"/>
              </w:tabs>
              <w:spacing w:line="230" w:lineRule="exact"/>
              <w:ind w:right="-18"/>
              <w:jc w:val="both"/>
            </w:pPr>
            <w:r>
              <w:t>1,154</w:t>
            </w:r>
          </w:p>
        </w:tc>
        <w:tc>
          <w:tcPr>
            <w:tcW w:w="1080" w:type="dxa"/>
          </w:tcPr>
          <w:p w14:paraId="4EDAC09A" w14:textId="14DCF385" w:rsidR="00F02C8D" w:rsidRPr="00020E47" w:rsidRDefault="00F02C8D" w:rsidP="00F02C8D">
            <w:pPr>
              <w:tabs>
                <w:tab w:val="decimal" w:pos="612"/>
              </w:tabs>
              <w:spacing w:line="230" w:lineRule="exact"/>
              <w:ind w:right="-18"/>
              <w:jc w:val="both"/>
            </w:pPr>
            <w:r>
              <w:t>174</w:t>
            </w:r>
          </w:p>
        </w:tc>
        <w:tc>
          <w:tcPr>
            <w:tcW w:w="900" w:type="dxa"/>
          </w:tcPr>
          <w:p w14:paraId="391BBA26" w14:textId="1AF8CEFE" w:rsidR="00F02C8D" w:rsidRPr="00020E47" w:rsidRDefault="00F02C8D" w:rsidP="00F02C8D">
            <w:pPr>
              <w:tabs>
                <w:tab w:val="decimal" w:pos="567"/>
              </w:tabs>
              <w:spacing w:line="230" w:lineRule="exact"/>
              <w:ind w:right="-18"/>
              <w:jc w:val="both"/>
            </w:pPr>
            <w:r>
              <w:t>-6</w:t>
            </w:r>
          </w:p>
        </w:tc>
        <w:tc>
          <w:tcPr>
            <w:tcW w:w="1091" w:type="dxa"/>
          </w:tcPr>
          <w:p w14:paraId="77C11FD0" w14:textId="73FA062A" w:rsidR="00F02C8D" w:rsidRPr="00020E47" w:rsidRDefault="00F02C8D" w:rsidP="00F02C8D">
            <w:pPr>
              <w:tabs>
                <w:tab w:val="decimal" w:pos="612"/>
              </w:tabs>
              <w:spacing w:line="230" w:lineRule="exact"/>
              <w:ind w:left="-36" w:right="-18"/>
              <w:jc w:val="both"/>
            </w:pPr>
            <w:r>
              <w:t>4</w:t>
            </w:r>
            <w:r w:rsidR="00A32685">
              <w:t>5</w:t>
            </w:r>
          </w:p>
        </w:tc>
        <w:tc>
          <w:tcPr>
            <w:tcW w:w="1153" w:type="dxa"/>
          </w:tcPr>
          <w:p w14:paraId="46EE70DD" w14:textId="54D135DC" w:rsidR="00F02C8D" w:rsidRPr="00020E47" w:rsidRDefault="00F02C8D" w:rsidP="00F02C8D">
            <w:pPr>
              <w:tabs>
                <w:tab w:val="decimal" w:pos="612"/>
              </w:tabs>
              <w:spacing w:line="230" w:lineRule="exact"/>
              <w:ind w:left="-36" w:right="-18"/>
              <w:jc w:val="both"/>
            </w:pPr>
            <w:r>
              <w:t>38</w:t>
            </w:r>
          </w:p>
        </w:tc>
        <w:tc>
          <w:tcPr>
            <w:tcW w:w="1095" w:type="dxa"/>
          </w:tcPr>
          <w:p w14:paraId="446CA354" w14:textId="627FEEBF" w:rsidR="00F02C8D" w:rsidRPr="00020E47" w:rsidRDefault="00F02C8D" w:rsidP="00F02C8D">
            <w:pPr>
              <w:tabs>
                <w:tab w:val="decimal" w:pos="432"/>
              </w:tabs>
              <w:spacing w:line="230" w:lineRule="exact"/>
              <w:ind w:right="-18"/>
              <w:rPr>
                <w:lang w:val="en-US"/>
              </w:rPr>
            </w:pPr>
            <w:r>
              <w:t>2.9</w:t>
            </w:r>
          </w:p>
        </w:tc>
      </w:tr>
      <w:tr w:rsidR="00F02C8D" w:rsidRPr="00EE12A2" w14:paraId="4FFB821D" w14:textId="77777777" w:rsidTr="00D32D4E">
        <w:trPr>
          <w:trHeight w:val="289"/>
          <w:jc w:val="center"/>
        </w:trPr>
        <w:tc>
          <w:tcPr>
            <w:tcW w:w="708" w:type="dxa"/>
          </w:tcPr>
          <w:p w14:paraId="4589B4FF"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F1773F" w14:textId="77777777" w:rsidR="00F02C8D" w:rsidRPr="00EE12A2" w:rsidRDefault="00F02C8D" w:rsidP="00F02C8D">
            <w:pPr>
              <w:tabs>
                <w:tab w:val="left" w:pos="99"/>
              </w:tabs>
              <w:spacing w:line="230" w:lineRule="exact"/>
            </w:pPr>
            <w:r w:rsidRPr="00EE12A2">
              <w:t>Q2</w:t>
            </w:r>
          </w:p>
        </w:tc>
        <w:tc>
          <w:tcPr>
            <w:tcW w:w="908" w:type="dxa"/>
          </w:tcPr>
          <w:p w14:paraId="20789936" w14:textId="7FDC2C5B" w:rsidR="00F02C8D" w:rsidRPr="00020E47" w:rsidRDefault="00F02C8D" w:rsidP="00F02C8D">
            <w:pPr>
              <w:tabs>
                <w:tab w:val="decimal" w:pos="612"/>
              </w:tabs>
              <w:spacing w:line="230" w:lineRule="exact"/>
              <w:ind w:right="-18"/>
              <w:jc w:val="both"/>
            </w:pPr>
            <w:r>
              <w:t>1,201</w:t>
            </w:r>
          </w:p>
        </w:tc>
        <w:tc>
          <w:tcPr>
            <w:tcW w:w="1142" w:type="dxa"/>
          </w:tcPr>
          <w:p w14:paraId="4D9A609E" w14:textId="2A1778B2" w:rsidR="00F02C8D" w:rsidRPr="00020E47" w:rsidRDefault="00F02C8D" w:rsidP="00F02C8D">
            <w:pPr>
              <w:tabs>
                <w:tab w:val="decimal" w:pos="612"/>
              </w:tabs>
              <w:spacing w:line="230" w:lineRule="exact"/>
              <w:ind w:right="-18"/>
              <w:jc w:val="both"/>
            </w:pPr>
            <w:r>
              <w:t>192</w:t>
            </w:r>
          </w:p>
        </w:tc>
        <w:tc>
          <w:tcPr>
            <w:tcW w:w="1018" w:type="dxa"/>
          </w:tcPr>
          <w:p w14:paraId="3679697C" w14:textId="3B2C11A7" w:rsidR="00F02C8D" w:rsidRPr="00020E47" w:rsidRDefault="00F02C8D" w:rsidP="00F02C8D">
            <w:pPr>
              <w:tabs>
                <w:tab w:val="decimal" w:pos="612"/>
              </w:tabs>
              <w:spacing w:line="230" w:lineRule="exact"/>
              <w:ind w:right="-18"/>
              <w:jc w:val="both"/>
            </w:pPr>
            <w:r>
              <w:t>1,215</w:t>
            </w:r>
          </w:p>
        </w:tc>
        <w:tc>
          <w:tcPr>
            <w:tcW w:w="1080" w:type="dxa"/>
          </w:tcPr>
          <w:p w14:paraId="6AD09CF3" w14:textId="59CB6E98" w:rsidR="00F02C8D" w:rsidRPr="00020E47" w:rsidRDefault="00F02C8D" w:rsidP="00F02C8D">
            <w:pPr>
              <w:tabs>
                <w:tab w:val="decimal" w:pos="612"/>
              </w:tabs>
              <w:spacing w:line="230" w:lineRule="exact"/>
              <w:ind w:right="-18"/>
              <w:jc w:val="both"/>
            </w:pPr>
            <w:r>
              <w:t>16</w:t>
            </w:r>
            <w:r w:rsidR="00A32685">
              <w:t>4</w:t>
            </w:r>
          </w:p>
        </w:tc>
        <w:tc>
          <w:tcPr>
            <w:tcW w:w="900" w:type="dxa"/>
          </w:tcPr>
          <w:p w14:paraId="60220D7D" w14:textId="0F8DEC49" w:rsidR="00F02C8D" w:rsidRPr="00020E47" w:rsidRDefault="00F02C8D" w:rsidP="00F02C8D">
            <w:pPr>
              <w:tabs>
                <w:tab w:val="decimal" w:pos="567"/>
              </w:tabs>
              <w:spacing w:line="230" w:lineRule="exact"/>
              <w:ind w:right="-18"/>
              <w:jc w:val="both"/>
            </w:pPr>
            <w:r>
              <w:t>-14</w:t>
            </w:r>
          </w:p>
        </w:tc>
        <w:tc>
          <w:tcPr>
            <w:tcW w:w="1091" w:type="dxa"/>
          </w:tcPr>
          <w:p w14:paraId="156C4DF4" w14:textId="079FA010" w:rsidR="00F02C8D" w:rsidRPr="00020E47" w:rsidRDefault="00F02C8D" w:rsidP="00F02C8D">
            <w:pPr>
              <w:tabs>
                <w:tab w:val="decimal" w:pos="612"/>
              </w:tabs>
              <w:spacing w:line="230" w:lineRule="exact"/>
              <w:ind w:left="-36" w:right="-18"/>
              <w:jc w:val="both"/>
            </w:pPr>
            <w:r>
              <w:t>27</w:t>
            </w:r>
          </w:p>
        </w:tc>
        <w:tc>
          <w:tcPr>
            <w:tcW w:w="1153" w:type="dxa"/>
          </w:tcPr>
          <w:p w14:paraId="76F73F70" w14:textId="60B09538" w:rsidR="00F02C8D" w:rsidRPr="00020E47" w:rsidRDefault="00F02C8D" w:rsidP="00F02C8D">
            <w:pPr>
              <w:tabs>
                <w:tab w:val="decimal" w:pos="612"/>
              </w:tabs>
              <w:spacing w:line="230" w:lineRule="exact"/>
              <w:ind w:left="-36" w:right="-18"/>
              <w:jc w:val="both"/>
            </w:pPr>
            <w:r>
              <w:t>13</w:t>
            </w:r>
          </w:p>
        </w:tc>
        <w:tc>
          <w:tcPr>
            <w:tcW w:w="1095" w:type="dxa"/>
          </w:tcPr>
          <w:p w14:paraId="06499591" w14:textId="6C5EA870" w:rsidR="00F02C8D" w:rsidRPr="00020E47" w:rsidRDefault="00A32685" w:rsidP="00F02C8D">
            <w:pPr>
              <w:tabs>
                <w:tab w:val="decimal" w:pos="432"/>
              </w:tabs>
              <w:spacing w:line="230" w:lineRule="exact"/>
              <w:ind w:left="-36" w:right="-18"/>
              <w:jc w:val="both"/>
              <w:rPr>
                <w:lang w:val="en-US"/>
              </w:rPr>
            </w:pPr>
            <w:r>
              <w:t>1.0</w:t>
            </w:r>
          </w:p>
        </w:tc>
      </w:tr>
      <w:tr w:rsidR="00F02C8D" w:rsidRPr="00EE12A2" w14:paraId="1E93C331" w14:textId="77777777" w:rsidTr="00D32D4E">
        <w:trPr>
          <w:trHeight w:val="289"/>
          <w:jc w:val="center"/>
        </w:trPr>
        <w:tc>
          <w:tcPr>
            <w:tcW w:w="708" w:type="dxa"/>
          </w:tcPr>
          <w:p w14:paraId="7EBB735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7844C484" w14:textId="77777777" w:rsidR="00F02C8D" w:rsidRPr="00EE12A2" w:rsidRDefault="00F02C8D" w:rsidP="00F02C8D">
            <w:pPr>
              <w:tabs>
                <w:tab w:val="left" w:pos="99"/>
              </w:tabs>
              <w:spacing w:line="230" w:lineRule="exact"/>
            </w:pPr>
            <w:r w:rsidRPr="00EE12A2">
              <w:t>Q3</w:t>
            </w:r>
          </w:p>
        </w:tc>
        <w:tc>
          <w:tcPr>
            <w:tcW w:w="908" w:type="dxa"/>
          </w:tcPr>
          <w:p w14:paraId="0133FC29" w14:textId="4AB46281" w:rsidR="00F02C8D" w:rsidRPr="00020E47" w:rsidRDefault="00F02C8D" w:rsidP="00F02C8D">
            <w:pPr>
              <w:tabs>
                <w:tab w:val="decimal" w:pos="612"/>
              </w:tabs>
              <w:spacing w:line="230" w:lineRule="exact"/>
              <w:ind w:right="-18"/>
              <w:jc w:val="both"/>
            </w:pPr>
            <w:r>
              <w:t>1,264</w:t>
            </w:r>
          </w:p>
        </w:tc>
        <w:tc>
          <w:tcPr>
            <w:tcW w:w="1142" w:type="dxa"/>
          </w:tcPr>
          <w:p w14:paraId="425D5C47" w14:textId="2F7669C1" w:rsidR="00F02C8D" w:rsidRPr="00020E47" w:rsidRDefault="00F02C8D" w:rsidP="00F02C8D">
            <w:pPr>
              <w:tabs>
                <w:tab w:val="decimal" w:pos="612"/>
              </w:tabs>
              <w:spacing w:line="230" w:lineRule="exact"/>
              <w:ind w:right="-18"/>
              <w:jc w:val="both"/>
            </w:pPr>
            <w:r>
              <w:t>215</w:t>
            </w:r>
          </w:p>
        </w:tc>
        <w:tc>
          <w:tcPr>
            <w:tcW w:w="1018" w:type="dxa"/>
          </w:tcPr>
          <w:p w14:paraId="12A9F028" w14:textId="2ECF55B7" w:rsidR="00F02C8D" w:rsidRPr="00020E47" w:rsidRDefault="00F02C8D" w:rsidP="00F02C8D">
            <w:pPr>
              <w:tabs>
                <w:tab w:val="decimal" w:pos="612"/>
              </w:tabs>
              <w:spacing w:line="230" w:lineRule="exact"/>
              <w:ind w:right="-18"/>
              <w:jc w:val="both"/>
            </w:pPr>
            <w:r>
              <w:t>1,264</w:t>
            </w:r>
          </w:p>
        </w:tc>
        <w:tc>
          <w:tcPr>
            <w:tcW w:w="1080" w:type="dxa"/>
          </w:tcPr>
          <w:p w14:paraId="1C6EDDBD" w14:textId="0670CE1F" w:rsidR="00F02C8D" w:rsidRPr="00020E47" w:rsidRDefault="00F02C8D" w:rsidP="00F02C8D">
            <w:pPr>
              <w:tabs>
                <w:tab w:val="decimal" w:pos="612"/>
              </w:tabs>
              <w:spacing w:line="230" w:lineRule="exact"/>
              <w:ind w:right="-18"/>
              <w:jc w:val="both"/>
            </w:pPr>
            <w:r>
              <w:t>17</w:t>
            </w:r>
            <w:r w:rsidR="00A32685">
              <w:t>6</w:t>
            </w:r>
          </w:p>
        </w:tc>
        <w:tc>
          <w:tcPr>
            <w:tcW w:w="900" w:type="dxa"/>
          </w:tcPr>
          <w:p w14:paraId="643D5FC5" w14:textId="0C87D2A3" w:rsidR="00F02C8D" w:rsidRPr="00020E47" w:rsidRDefault="00F02C8D" w:rsidP="00F02C8D">
            <w:pPr>
              <w:tabs>
                <w:tab w:val="decimal" w:pos="567"/>
              </w:tabs>
              <w:spacing w:line="230" w:lineRule="exact"/>
              <w:ind w:right="-18"/>
              <w:jc w:val="both"/>
            </w:pPr>
            <w:r>
              <w:t>-1</w:t>
            </w:r>
          </w:p>
        </w:tc>
        <w:tc>
          <w:tcPr>
            <w:tcW w:w="1091" w:type="dxa"/>
          </w:tcPr>
          <w:p w14:paraId="218FE6AE" w14:textId="30A03170" w:rsidR="00F02C8D" w:rsidRPr="00020E47" w:rsidRDefault="00F02C8D" w:rsidP="00F02C8D">
            <w:pPr>
              <w:tabs>
                <w:tab w:val="decimal" w:pos="612"/>
              </w:tabs>
              <w:spacing w:line="230" w:lineRule="exact"/>
              <w:ind w:left="-36" w:right="-18"/>
              <w:jc w:val="both"/>
            </w:pPr>
            <w:r>
              <w:t>3</w:t>
            </w:r>
            <w:r w:rsidR="00A32685">
              <w:t>9</w:t>
            </w:r>
          </w:p>
        </w:tc>
        <w:tc>
          <w:tcPr>
            <w:tcW w:w="1153" w:type="dxa"/>
          </w:tcPr>
          <w:p w14:paraId="28915A15" w14:textId="3EC9D036" w:rsidR="00F02C8D" w:rsidRPr="00020E47" w:rsidRDefault="00F02C8D" w:rsidP="00F02C8D">
            <w:pPr>
              <w:tabs>
                <w:tab w:val="decimal" w:pos="612"/>
              </w:tabs>
              <w:spacing w:line="230" w:lineRule="exact"/>
              <w:ind w:left="-36" w:right="-18"/>
              <w:jc w:val="both"/>
            </w:pPr>
            <w:r>
              <w:t>38</w:t>
            </w:r>
          </w:p>
        </w:tc>
        <w:tc>
          <w:tcPr>
            <w:tcW w:w="1095" w:type="dxa"/>
          </w:tcPr>
          <w:p w14:paraId="6B39AC4C" w14:textId="0C9555AE" w:rsidR="00F02C8D" w:rsidRPr="00020E47" w:rsidRDefault="00F02C8D" w:rsidP="00F02C8D">
            <w:pPr>
              <w:tabs>
                <w:tab w:val="decimal" w:pos="432"/>
              </w:tabs>
              <w:spacing w:line="230" w:lineRule="exact"/>
              <w:ind w:left="-36" w:right="-18"/>
              <w:jc w:val="both"/>
              <w:rPr>
                <w:lang w:val="en-US"/>
              </w:rPr>
            </w:pPr>
            <w:r>
              <w:t>2.</w:t>
            </w:r>
            <w:r w:rsidR="00A32685">
              <w:t>7</w:t>
            </w:r>
          </w:p>
        </w:tc>
      </w:tr>
      <w:tr w:rsidR="00F02C8D" w:rsidRPr="00EE12A2" w14:paraId="71B0863D" w14:textId="77777777" w:rsidTr="00D32D4E">
        <w:trPr>
          <w:trHeight w:val="289"/>
          <w:jc w:val="center"/>
        </w:trPr>
        <w:tc>
          <w:tcPr>
            <w:tcW w:w="708" w:type="dxa"/>
          </w:tcPr>
          <w:p w14:paraId="25B3F1B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5347473A" w14:textId="77777777" w:rsidR="00F02C8D" w:rsidRDefault="00F02C8D" w:rsidP="00F02C8D">
            <w:pPr>
              <w:tabs>
                <w:tab w:val="left" w:pos="99"/>
              </w:tabs>
              <w:spacing w:line="230" w:lineRule="exact"/>
            </w:pPr>
            <w:r w:rsidRPr="00EE12A2">
              <w:t>Q4</w:t>
            </w:r>
          </w:p>
          <w:p w14:paraId="30C1D719" w14:textId="5C8AC8D4" w:rsidR="00F02C8D" w:rsidRPr="00EE12A2" w:rsidRDefault="00F02C8D" w:rsidP="00F02C8D">
            <w:pPr>
              <w:tabs>
                <w:tab w:val="left" w:pos="99"/>
              </w:tabs>
              <w:spacing w:line="230" w:lineRule="exact"/>
            </w:pPr>
          </w:p>
        </w:tc>
        <w:tc>
          <w:tcPr>
            <w:tcW w:w="908" w:type="dxa"/>
          </w:tcPr>
          <w:p w14:paraId="320800AE" w14:textId="77D54802" w:rsidR="00F02C8D" w:rsidRPr="00020E47" w:rsidRDefault="00F02C8D" w:rsidP="00F02C8D">
            <w:pPr>
              <w:tabs>
                <w:tab w:val="decimal" w:pos="612"/>
              </w:tabs>
              <w:spacing w:line="230" w:lineRule="exact"/>
              <w:ind w:right="-18"/>
              <w:jc w:val="both"/>
            </w:pPr>
            <w:r>
              <w:t>1,313</w:t>
            </w:r>
          </w:p>
        </w:tc>
        <w:tc>
          <w:tcPr>
            <w:tcW w:w="1142" w:type="dxa"/>
          </w:tcPr>
          <w:p w14:paraId="6E446D6E" w14:textId="2997C67D" w:rsidR="00F02C8D" w:rsidRPr="00020E47" w:rsidRDefault="00F02C8D" w:rsidP="00F02C8D">
            <w:pPr>
              <w:tabs>
                <w:tab w:val="decimal" w:pos="612"/>
              </w:tabs>
              <w:spacing w:line="230" w:lineRule="exact"/>
              <w:ind w:right="-18"/>
              <w:jc w:val="both"/>
            </w:pPr>
            <w:r>
              <w:t>223</w:t>
            </w:r>
          </w:p>
        </w:tc>
        <w:tc>
          <w:tcPr>
            <w:tcW w:w="1018" w:type="dxa"/>
          </w:tcPr>
          <w:p w14:paraId="3C6FEB87" w14:textId="14D52220" w:rsidR="00F02C8D" w:rsidRPr="00020E47" w:rsidRDefault="00F02C8D" w:rsidP="00F02C8D">
            <w:pPr>
              <w:tabs>
                <w:tab w:val="decimal" w:pos="612"/>
              </w:tabs>
              <w:spacing w:line="230" w:lineRule="exact"/>
              <w:ind w:right="-18"/>
              <w:jc w:val="both"/>
            </w:pPr>
            <w:r>
              <w:t>1,307</w:t>
            </w:r>
          </w:p>
        </w:tc>
        <w:tc>
          <w:tcPr>
            <w:tcW w:w="1080" w:type="dxa"/>
          </w:tcPr>
          <w:p w14:paraId="486F97F0" w14:textId="1BA67868" w:rsidR="00F02C8D" w:rsidRPr="00020E47" w:rsidRDefault="00F02C8D" w:rsidP="00F02C8D">
            <w:pPr>
              <w:tabs>
                <w:tab w:val="decimal" w:pos="612"/>
              </w:tabs>
              <w:spacing w:line="230" w:lineRule="exact"/>
              <w:ind w:right="-18"/>
              <w:jc w:val="both"/>
            </w:pPr>
            <w:r>
              <w:rPr>
                <w:lang w:eastAsia="zh-HK"/>
              </w:rPr>
              <w:t>189</w:t>
            </w:r>
          </w:p>
        </w:tc>
        <w:tc>
          <w:tcPr>
            <w:tcW w:w="900" w:type="dxa"/>
          </w:tcPr>
          <w:p w14:paraId="25A63D31" w14:textId="4C9C05D8" w:rsidR="00F02C8D" w:rsidRPr="00020E47" w:rsidRDefault="00F02C8D" w:rsidP="00F02C8D">
            <w:pPr>
              <w:tabs>
                <w:tab w:val="decimal" w:pos="567"/>
              </w:tabs>
              <w:spacing w:line="230" w:lineRule="exact"/>
              <w:ind w:right="-18"/>
              <w:jc w:val="both"/>
            </w:pPr>
            <w:r>
              <w:rPr>
                <w:lang w:eastAsia="zh-HK"/>
              </w:rPr>
              <w:t>5</w:t>
            </w:r>
          </w:p>
        </w:tc>
        <w:tc>
          <w:tcPr>
            <w:tcW w:w="1091" w:type="dxa"/>
          </w:tcPr>
          <w:p w14:paraId="3B36BAF2" w14:textId="440F35F7" w:rsidR="00F02C8D" w:rsidRPr="00020E47" w:rsidRDefault="00F02C8D" w:rsidP="00F02C8D">
            <w:pPr>
              <w:tabs>
                <w:tab w:val="decimal" w:pos="612"/>
              </w:tabs>
              <w:spacing w:line="230" w:lineRule="exact"/>
              <w:ind w:left="-36" w:right="-18"/>
              <w:jc w:val="both"/>
            </w:pPr>
            <w:r>
              <w:rPr>
                <w:lang w:eastAsia="zh-HK"/>
              </w:rPr>
              <w:t>34</w:t>
            </w:r>
          </w:p>
        </w:tc>
        <w:tc>
          <w:tcPr>
            <w:tcW w:w="1153" w:type="dxa"/>
          </w:tcPr>
          <w:p w14:paraId="6F886894" w14:textId="5804AC55" w:rsidR="00F02C8D" w:rsidRPr="00020E47" w:rsidRDefault="00A32685" w:rsidP="00F02C8D">
            <w:pPr>
              <w:tabs>
                <w:tab w:val="decimal" w:pos="612"/>
              </w:tabs>
              <w:spacing w:line="230" w:lineRule="exact"/>
              <w:ind w:left="-36" w:right="-18"/>
              <w:jc w:val="both"/>
            </w:pPr>
            <w:r>
              <w:rPr>
                <w:lang w:eastAsia="zh-HK"/>
              </w:rPr>
              <w:t>39</w:t>
            </w:r>
          </w:p>
        </w:tc>
        <w:tc>
          <w:tcPr>
            <w:tcW w:w="1095" w:type="dxa"/>
          </w:tcPr>
          <w:p w14:paraId="0D1ECD24" w14:textId="46541497" w:rsidR="00F02C8D" w:rsidRPr="00020E47" w:rsidRDefault="00F02C8D" w:rsidP="00F02C8D">
            <w:pPr>
              <w:tabs>
                <w:tab w:val="decimal" w:pos="432"/>
              </w:tabs>
              <w:spacing w:line="230" w:lineRule="exact"/>
              <w:ind w:left="-36" w:right="-18"/>
              <w:jc w:val="both"/>
            </w:pPr>
            <w:r>
              <w:t>2.</w:t>
            </w:r>
            <w:r w:rsidR="00A32685">
              <w:t>6</w:t>
            </w:r>
          </w:p>
        </w:tc>
      </w:tr>
      <w:tr w:rsidR="007A1E41" w:rsidRPr="00EE12A2" w14:paraId="32E8E49E" w14:textId="77777777" w:rsidTr="0017314D">
        <w:trPr>
          <w:trHeight w:val="289"/>
          <w:jc w:val="center"/>
        </w:trPr>
        <w:tc>
          <w:tcPr>
            <w:tcW w:w="708" w:type="dxa"/>
          </w:tcPr>
          <w:p w14:paraId="6320D841" w14:textId="0760D1E7" w:rsidR="007A1E41" w:rsidRPr="00EE12A2" w:rsidRDefault="007A1E41" w:rsidP="007A1E41">
            <w:pPr>
              <w:tabs>
                <w:tab w:val="left" w:pos="1080"/>
              </w:tabs>
              <w:spacing w:line="230" w:lineRule="exact"/>
              <w:jc w:val="both"/>
              <w:rPr>
                <w:lang w:eastAsia="zh-HK"/>
              </w:rPr>
            </w:pPr>
            <w:r w:rsidRPr="00EE12A2">
              <w:t>202</w:t>
            </w:r>
            <w:r>
              <w:t>5</w:t>
            </w:r>
          </w:p>
        </w:tc>
        <w:tc>
          <w:tcPr>
            <w:tcW w:w="931" w:type="dxa"/>
          </w:tcPr>
          <w:p w14:paraId="7E1520FB" w14:textId="174102E5" w:rsidR="007A1E41" w:rsidRPr="00EE12A2" w:rsidRDefault="007A1E41" w:rsidP="007A1E41">
            <w:pPr>
              <w:tabs>
                <w:tab w:val="left" w:pos="99"/>
              </w:tabs>
              <w:spacing w:line="230" w:lineRule="exact"/>
            </w:pPr>
            <w:r>
              <w:t>Q1</w:t>
            </w:r>
          </w:p>
        </w:tc>
        <w:tc>
          <w:tcPr>
            <w:tcW w:w="908" w:type="dxa"/>
          </w:tcPr>
          <w:p w14:paraId="0B9F488E" w14:textId="1723280C" w:rsidR="007A1E41" w:rsidRPr="00020E47" w:rsidRDefault="007A1E41" w:rsidP="007A1E41">
            <w:pPr>
              <w:tabs>
                <w:tab w:val="decimal" w:pos="612"/>
              </w:tabs>
              <w:spacing w:line="230" w:lineRule="exact"/>
              <w:ind w:right="-18"/>
              <w:jc w:val="both"/>
            </w:pPr>
            <w:r>
              <w:t>1,</w:t>
            </w:r>
            <w:r w:rsidR="0071740C">
              <w:t>287</w:t>
            </w:r>
          </w:p>
        </w:tc>
        <w:tc>
          <w:tcPr>
            <w:tcW w:w="1142" w:type="dxa"/>
          </w:tcPr>
          <w:p w14:paraId="78AF1D5D" w14:textId="411DBCC5" w:rsidR="007A1E41" w:rsidRPr="00020E47" w:rsidRDefault="00A32685" w:rsidP="007A1E41">
            <w:pPr>
              <w:tabs>
                <w:tab w:val="decimal" w:pos="612"/>
              </w:tabs>
              <w:spacing w:line="230" w:lineRule="exact"/>
              <w:ind w:right="-18"/>
              <w:jc w:val="both"/>
            </w:pPr>
            <w:r>
              <w:t>23</w:t>
            </w:r>
            <w:r w:rsidR="00D35D7E">
              <w:t>8</w:t>
            </w:r>
          </w:p>
        </w:tc>
        <w:tc>
          <w:tcPr>
            <w:tcW w:w="1018" w:type="dxa"/>
          </w:tcPr>
          <w:p w14:paraId="7106784F" w14:textId="2CDF9D52" w:rsidR="007A1E41" w:rsidRPr="00020E47" w:rsidRDefault="007A1E41">
            <w:pPr>
              <w:tabs>
                <w:tab w:val="decimal" w:pos="612"/>
              </w:tabs>
              <w:spacing w:line="230" w:lineRule="exact"/>
              <w:ind w:right="-18"/>
              <w:jc w:val="both"/>
            </w:pPr>
            <w:r>
              <w:t>1,</w:t>
            </w:r>
            <w:r w:rsidR="00A32685">
              <w:t>2</w:t>
            </w:r>
            <w:r w:rsidR="00D96C84">
              <w:t>9</w:t>
            </w:r>
            <w:r w:rsidR="00D35D7E">
              <w:t>1</w:t>
            </w:r>
          </w:p>
        </w:tc>
        <w:tc>
          <w:tcPr>
            <w:tcW w:w="1080" w:type="dxa"/>
          </w:tcPr>
          <w:p w14:paraId="204274E6" w14:textId="19A31EC5" w:rsidR="007A1E41" w:rsidRPr="00020E47" w:rsidRDefault="00A32685" w:rsidP="007A1E41">
            <w:pPr>
              <w:tabs>
                <w:tab w:val="decimal" w:pos="612"/>
              </w:tabs>
              <w:spacing w:line="230" w:lineRule="exact"/>
              <w:ind w:right="-18"/>
              <w:jc w:val="both"/>
            </w:pPr>
            <w:r>
              <w:t>18</w:t>
            </w:r>
            <w:r w:rsidR="00D35D7E">
              <w:t>1</w:t>
            </w:r>
          </w:p>
        </w:tc>
        <w:tc>
          <w:tcPr>
            <w:tcW w:w="900" w:type="dxa"/>
          </w:tcPr>
          <w:p w14:paraId="308B5B52" w14:textId="45207C7D" w:rsidR="007A1E41" w:rsidRPr="00020E47" w:rsidRDefault="00A32685" w:rsidP="007A1E41">
            <w:pPr>
              <w:tabs>
                <w:tab w:val="decimal" w:pos="567"/>
              </w:tabs>
              <w:spacing w:line="230" w:lineRule="exact"/>
              <w:ind w:right="-18"/>
              <w:jc w:val="both"/>
            </w:pPr>
            <w:r>
              <w:t>-</w:t>
            </w:r>
            <w:r w:rsidR="00D96C84">
              <w:t>3</w:t>
            </w:r>
          </w:p>
        </w:tc>
        <w:tc>
          <w:tcPr>
            <w:tcW w:w="1091" w:type="dxa"/>
          </w:tcPr>
          <w:p w14:paraId="6D3B225E" w14:textId="21E02616" w:rsidR="007A1E41" w:rsidRPr="00020E47" w:rsidRDefault="00A32685" w:rsidP="007A1E41">
            <w:pPr>
              <w:tabs>
                <w:tab w:val="decimal" w:pos="612"/>
              </w:tabs>
              <w:spacing w:line="230" w:lineRule="exact"/>
              <w:ind w:left="-36" w:right="-18"/>
              <w:jc w:val="both"/>
            </w:pPr>
            <w:r>
              <w:t>5</w:t>
            </w:r>
            <w:r w:rsidR="00D35D7E">
              <w:t>7</w:t>
            </w:r>
          </w:p>
        </w:tc>
        <w:tc>
          <w:tcPr>
            <w:tcW w:w="1153" w:type="dxa"/>
          </w:tcPr>
          <w:p w14:paraId="10A2583A" w14:textId="2F21EE83" w:rsidR="007A1E41" w:rsidRPr="00020E47" w:rsidRDefault="00A32685" w:rsidP="007A1E41">
            <w:pPr>
              <w:tabs>
                <w:tab w:val="decimal" w:pos="612"/>
              </w:tabs>
              <w:spacing w:line="230" w:lineRule="exact"/>
              <w:ind w:left="-36" w:right="-18"/>
              <w:jc w:val="both"/>
            </w:pPr>
            <w:r>
              <w:t>5</w:t>
            </w:r>
            <w:r w:rsidR="00D35D7E">
              <w:t>4</w:t>
            </w:r>
          </w:p>
        </w:tc>
        <w:tc>
          <w:tcPr>
            <w:tcW w:w="1095" w:type="dxa"/>
          </w:tcPr>
          <w:p w14:paraId="3F1F6816" w14:textId="43C7ED3C" w:rsidR="007A1E41" w:rsidRPr="00020E47" w:rsidRDefault="00A32685" w:rsidP="007A1E41">
            <w:pPr>
              <w:tabs>
                <w:tab w:val="decimal" w:pos="432"/>
              </w:tabs>
              <w:spacing w:line="230" w:lineRule="exact"/>
              <w:ind w:right="-18"/>
              <w:jc w:val="both"/>
            </w:pPr>
            <w:r>
              <w:t>3.</w:t>
            </w:r>
            <w:r w:rsidR="00D35D7E">
              <w:t>6</w:t>
            </w:r>
          </w:p>
        </w:tc>
      </w:tr>
      <w:tr w:rsidR="00072F22" w:rsidRPr="00EE12A2" w14:paraId="4CE89FA6" w14:textId="77777777" w:rsidTr="00B65A4E">
        <w:trPr>
          <w:trHeight w:val="476"/>
          <w:jc w:val="center"/>
        </w:trPr>
        <w:tc>
          <w:tcPr>
            <w:tcW w:w="708" w:type="dxa"/>
          </w:tcPr>
          <w:p w14:paraId="7EB1F4F9" w14:textId="77777777" w:rsidR="00072F22" w:rsidRPr="00EE12A2" w:rsidRDefault="00072F22" w:rsidP="00072F22">
            <w:pPr>
              <w:tabs>
                <w:tab w:val="left" w:pos="1080"/>
              </w:tabs>
              <w:spacing w:line="230" w:lineRule="exact"/>
              <w:jc w:val="both"/>
            </w:pPr>
          </w:p>
        </w:tc>
        <w:tc>
          <w:tcPr>
            <w:tcW w:w="931" w:type="dxa"/>
          </w:tcPr>
          <w:p w14:paraId="0C0FE71A" w14:textId="4F996E51" w:rsidR="00072F22" w:rsidRDefault="00072F22" w:rsidP="00072F22">
            <w:pPr>
              <w:tabs>
                <w:tab w:val="left" w:pos="99"/>
              </w:tabs>
              <w:spacing w:line="230" w:lineRule="exact"/>
            </w:pPr>
            <w:r w:rsidRPr="00EE12A2">
              <w:t>Q2</w:t>
            </w:r>
          </w:p>
        </w:tc>
        <w:tc>
          <w:tcPr>
            <w:tcW w:w="908" w:type="dxa"/>
          </w:tcPr>
          <w:p w14:paraId="5921809F" w14:textId="4714BAF0" w:rsidR="00072F22" w:rsidRDefault="00072F22" w:rsidP="00072F22">
            <w:pPr>
              <w:tabs>
                <w:tab w:val="decimal" w:pos="612"/>
              </w:tabs>
              <w:spacing w:line="230" w:lineRule="exact"/>
              <w:ind w:right="-18"/>
              <w:jc w:val="both"/>
            </w:pPr>
            <w:r>
              <w:t>1,</w:t>
            </w:r>
            <w:r w:rsidR="00D35D7E">
              <w:t>381</w:t>
            </w:r>
          </w:p>
        </w:tc>
        <w:tc>
          <w:tcPr>
            <w:tcW w:w="1142" w:type="dxa"/>
          </w:tcPr>
          <w:p w14:paraId="75504C18" w14:textId="1C3FC28A" w:rsidR="00072F22" w:rsidRDefault="00D35D7E" w:rsidP="00072F22">
            <w:pPr>
              <w:tabs>
                <w:tab w:val="decimal" w:pos="612"/>
              </w:tabs>
              <w:spacing w:line="230" w:lineRule="exact"/>
              <w:ind w:right="-18"/>
              <w:jc w:val="both"/>
            </w:pPr>
            <w:r>
              <w:t>207</w:t>
            </w:r>
          </w:p>
        </w:tc>
        <w:tc>
          <w:tcPr>
            <w:tcW w:w="1018" w:type="dxa"/>
          </w:tcPr>
          <w:p w14:paraId="248429FC" w14:textId="0D738D98" w:rsidR="00072F22" w:rsidRDefault="00072F22" w:rsidP="00072F22">
            <w:pPr>
              <w:tabs>
                <w:tab w:val="decimal" w:pos="612"/>
              </w:tabs>
              <w:spacing w:line="230" w:lineRule="exact"/>
              <w:ind w:right="-18"/>
              <w:jc w:val="both"/>
            </w:pPr>
            <w:r>
              <w:t>1,</w:t>
            </w:r>
            <w:r w:rsidR="00D35D7E">
              <w:t>41</w:t>
            </w:r>
            <w:r w:rsidR="002970BE">
              <w:rPr>
                <w:rFonts w:hint="eastAsia"/>
              </w:rPr>
              <w:t>9</w:t>
            </w:r>
          </w:p>
        </w:tc>
        <w:tc>
          <w:tcPr>
            <w:tcW w:w="1080" w:type="dxa"/>
          </w:tcPr>
          <w:p w14:paraId="7D4B665C" w14:textId="2AB42E25" w:rsidR="00072F22" w:rsidRDefault="00D35D7E" w:rsidP="00072F22">
            <w:pPr>
              <w:tabs>
                <w:tab w:val="decimal" w:pos="612"/>
              </w:tabs>
              <w:spacing w:line="230" w:lineRule="exact"/>
              <w:ind w:right="-18"/>
              <w:jc w:val="both"/>
            </w:pPr>
            <w:r>
              <w:t>17</w:t>
            </w:r>
            <w:r w:rsidR="002970BE">
              <w:rPr>
                <w:rFonts w:hint="eastAsia"/>
              </w:rPr>
              <w:t>7</w:t>
            </w:r>
          </w:p>
        </w:tc>
        <w:tc>
          <w:tcPr>
            <w:tcW w:w="900" w:type="dxa"/>
          </w:tcPr>
          <w:p w14:paraId="50A2D201" w14:textId="092F4DDA" w:rsidR="00072F22" w:rsidRDefault="00D35D7E" w:rsidP="00072F22">
            <w:pPr>
              <w:tabs>
                <w:tab w:val="decimal" w:pos="567"/>
              </w:tabs>
              <w:spacing w:line="230" w:lineRule="exact"/>
              <w:ind w:right="-18"/>
              <w:jc w:val="both"/>
            </w:pPr>
            <w:r>
              <w:t>-3</w:t>
            </w:r>
            <w:r w:rsidR="007A5B9E">
              <w:rPr>
                <w:rFonts w:hint="eastAsia"/>
              </w:rPr>
              <w:t>8</w:t>
            </w:r>
          </w:p>
        </w:tc>
        <w:tc>
          <w:tcPr>
            <w:tcW w:w="1091" w:type="dxa"/>
          </w:tcPr>
          <w:p w14:paraId="115F5080" w14:textId="2EF2CB82" w:rsidR="00072F22" w:rsidRDefault="007A5B9E" w:rsidP="00072F22">
            <w:pPr>
              <w:tabs>
                <w:tab w:val="decimal" w:pos="612"/>
              </w:tabs>
              <w:spacing w:line="230" w:lineRule="exact"/>
              <w:ind w:left="-36" w:right="-18"/>
              <w:jc w:val="both"/>
            </w:pPr>
            <w:r>
              <w:rPr>
                <w:rFonts w:hint="eastAsia"/>
              </w:rPr>
              <w:t>30</w:t>
            </w:r>
          </w:p>
        </w:tc>
        <w:tc>
          <w:tcPr>
            <w:tcW w:w="1153" w:type="dxa"/>
          </w:tcPr>
          <w:p w14:paraId="109FF3B4" w14:textId="544E5D73" w:rsidR="00072F22" w:rsidRDefault="00D35D7E" w:rsidP="00072F22">
            <w:pPr>
              <w:tabs>
                <w:tab w:val="decimal" w:pos="612"/>
              </w:tabs>
              <w:spacing w:line="230" w:lineRule="exact"/>
              <w:ind w:left="-36" w:right="-18"/>
              <w:jc w:val="both"/>
            </w:pPr>
            <w:r>
              <w:t>-8</w:t>
            </w:r>
          </w:p>
        </w:tc>
        <w:tc>
          <w:tcPr>
            <w:tcW w:w="1095" w:type="dxa"/>
          </w:tcPr>
          <w:p w14:paraId="6354F284" w14:textId="5D4E8ED3" w:rsidR="00072F22" w:rsidRDefault="00D35D7E" w:rsidP="00072F22">
            <w:pPr>
              <w:tabs>
                <w:tab w:val="decimal" w:pos="432"/>
              </w:tabs>
              <w:spacing w:line="230" w:lineRule="exact"/>
              <w:ind w:right="-18"/>
              <w:jc w:val="both"/>
            </w:pPr>
            <w:r>
              <w:t>-0.5</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1940BD7E" w14:textId="7F38B067" w:rsidR="00AA0532" w:rsidRPr="00EF349A" w:rsidRDefault="00CF07A6" w:rsidP="00EF349A">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5FA4BBE6" w14:textId="77777777" w:rsidR="0071545C" w:rsidRPr="00EF349A" w:rsidRDefault="0071545C" w:rsidP="0071545C">
      <w:pPr>
        <w:pStyle w:val="a"/>
        <w:tabs>
          <w:tab w:val="clear" w:pos="1080"/>
        </w:tabs>
        <w:overflowPunct w:val="0"/>
        <w:spacing w:line="360" w:lineRule="atLeast"/>
      </w:pPr>
    </w:p>
    <w:p w14:paraId="46510DAF" w14:textId="0494FB6F" w:rsidR="00BE29CA" w:rsidRPr="00AF175E" w:rsidRDefault="00D43F1C" w:rsidP="00AF175E">
      <w:pPr>
        <w:pStyle w:val="a"/>
        <w:numPr>
          <w:ilvl w:val="0"/>
          <w:numId w:val="6"/>
        </w:numPr>
        <w:overflowPunct w:val="0"/>
        <w:spacing w:line="360" w:lineRule="atLeast"/>
      </w:pPr>
      <w:r w:rsidRPr="00B52D83">
        <w:t>The Government has continued its efforts to bolster Hong Kong’s status as an international trade centre and logistics hub</w:t>
      </w:r>
      <w:r>
        <w:t xml:space="preserve"> </w:t>
      </w:r>
      <w:r w:rsidR="001B1766">
        <w:t>amid the uncertain external environment</w:t>
      </w:r>
      <w:r w:rsidRPr="00B52D83">
        <w:t xml:space="preserve">.  </w:t>
      </w:r>
      <w:r>
        <w:t>In May, t</w:t>
      </w:r>
      <w:r w:rsidRPr="00B52D83">
        <w:t xml:space="preserve">he </w:t>
      </w:r>
      <w:r w:rsidRPr="00AF175E">
        <w:t>Commerce and Economic Development Bureau</w:t>
      </w:r>
      <w:r>
        <w:t xml:space="preserve"> </w:t>
      </w:r>
      <w:r w:rsidRPr="00B52D83">
        <w:t xml:space="preserve">and </w:t>
      </w:r>
      <w:r w:rsidRPr="00AF175E">
        <w:t>the General Administration of Customs of the People</w:t>
      </w:r>
      <w:r>
        <w:t>’</w:t>
      </w:r>
      <w:r w:rsidRPr="00AF175E">
        <w:t>s Republic of China</w:t>
      </w:r>
      <w:r>
        <w:t xml:space="preserve"> </w:t>
      </w:r>
      <w:r w:rsidRPr="00B52D83">
        <w:t xml:space="preserve">signed the Cooperation Arrangement on Single Window to further strengthen collaboration and exchanges on </w:t>
      </w:r>
      <w:r w:rsidR="00716344">
        <w:rPr>
          <w:rFonts w:hint="eastAsia"/>
          <w:lang w:eastAsia="zh-TW"/>
        </w:rPr>
        <w:t xml:space="preserve">the </w:t>
      </w:r>
      <w:r w:rsidR="00F40EFB" w:rsidRPr="00F40EFB">
        <w:rPr>
          <w:rFonts w:hint="eastAsia"/>
          <w:lang w:eastAsia="zh-TW"/>
        </w:rPr>
        <w:t xml:space="preserve">Trade </w:t>
      </w:r>
      <w:r w:rsidRPr="00F40EFB">
        <w:t>Single Window</w:t>
      </w:r>
      <w:r w:rsidRPr="00B52D83">
        <w:t xml:space="preserve"> </w:t>
      </w:r>
      <w:r w:rsidR="00716344">
        <w:rPr>
          <w:rFonts w:hint="eastAsia"/>
          <w:lang w:eastAsia="zh-TW"/>
        </w:rPr>
        <w:t xml:space="preserve">(TSW) </w:t>
      </w:r>
      <w:r w:rsidRPr="00B52D83">
        <w:t xml:space="preserve">between Hong Kong and the Mainland, as well as to enhance system connectivity between the two places.  </w:t>
      </w:r>
      <w:r w:rsidRPr="00F40EFB">
        <w:rPr>
          <w:lang w:val="en-GB" w:eastAsia="zh-TW"/>
        </w:rPr>
        <w:t xml:space="preserve">The </w:t>
      </w:r>
      <w:r>
        <w:rPr>
          <w:lang w:val="en-GB" w:eastAsia="zh-TW"/>
        </w:rPr>
        <w:t xml:space="preserve">TSW </w:t>
      </w:r>
      <w:r w:rsidR="009106C7">
        <w:rPr>
          <w:lang w:val="en-GB" w:eastAsia="zh-TW"/>
        </w:rPr>
        <w:t xml:space="preserve">provides a one-stop electronic platform for the trade to lodge Business-to-Government trade documents for trade declaration and cargo clearance, </w:t>
      </w:r>
      <w:r w:rsidRPr="00B52D83">
        <w:rPr>
          <w:lang w:val="en-GB" w:eastAsia="zh-TW"/>
        </w:rPr>
        <w:t xml:space="preserve">overhauls and enhances the document submission workflows between participating government agencies and the trade, </w:t>
      </w:r>
      <w:r>
        <w:rPr>
          <w:lang w:val="en-GB" w:eastAsia="zh-TW"/>
        </w:rPr>
        <w:t xml:space="preserve">and </w:t>
      </w:r>
      <w:r w:rsidRPr="00B52D83">
        <w:rPr>
          <w:lang w:val="en-GB" w:eastAsia="zh-TW"/>
        </w:rPr>
        <w:t>enhances the efficiency of cargo clearance in Hong Kong</w:t>
      </w:r>
      <w:r w:rsidRPr="00B52D83">
        <w:rPr>
          <w:rFonts w:hint="eastAsia"/>
          <w:lang w:val="en-GB" w:eastAsia="zh-TW"/>
        </w:rPr>
        <w:t>.</w:t>
      </w:r>
      <w:r w:rsidR="005341E5">
        <w:rPr>
          <w:lang w:val="en-GB" w:eastAsia="zh-TW"/>
        </w:rPr>
        <w:t xml:space="preserve">  </w:t>
      </w:r>
    </w:p>
    <w:p w14:paraId="6653D28A" w14:textId="77777777" w:rsidR="00BE29CA" w:rsidRPr="00C6765C" w:rsidRDefault="00BE29CA" w:rsidP="000112F2">
      <w:pPr>
        <w:pStyle w:val="a"/>
        <w:tabs>
          <w:tab w:val="clear" w:pos="1080"/>
        </w:tabs>
        <w:overflowPunct w:val="0"/>
        <w:spacing w:line="360" w:lineRule="atLeast"/>
      </w:pPr>
    </w:p>
    <w:p w14:paraId="5BD06A4C" w14:textId="12A96286" w:rsidR="005127F6" w:rsidRPr="00B65A4E" w:rsidRDefault="00D43F1C" w:rsidP="00B65A4E">
      <w:pPr>
        <w:pStyle w:val="a"/>
        <w:numPr>
          <w:ilvl w:val="0"/>
          <w:numId w:val="6"/>
        </w:numPr>
        <w:tabs>
          <w:tab w:val="clear" w:pos="1080"/>
        </w:tabs>
        <w:overflowPunct w:val="0"/>
        <w:spacing w:line="360" w:lineRule="atLeast"/>
      </w:pPr>
      <w:r>
        <w:t>T</w:t>
      </w:r>
      <w:r>
        <w:rPr>
          <w:lang w:val="en-GB"/>
        </w:rPr>
        <w:t xml:space="preserve">he Government has </w:t>
      </w:r>
      <w:r w:rsidR="00A22D91">
        <w:rPr>
          <w:lang w:val="en-GB"/>
        </w:rPr>
        <w:t>been steadfast in enhancing</w:t>
      </w:r>
      <w:r>
        <w:rPr>
          <w:lang w:val="en-GB"/>
        </w:rPr>
        <w:t xml:space="preserve"> Hong Kong’s economic links with the Mainland and overseas economies.  I</w:t>
      </w:r>
      <w:proofErr w:type="spellStart"/>
      <w:r>
        <w:rPr>
          <w:rFonts w:hint="eastAsia"/>
        </w:rPr>
        <w:t>n</w:t>
      </w:r>
      <w:proofErr w:type="spellEnd"/>
      <w:r>
        <w:rPr>
          <w:rFonts w:hint="eastAsia"/>
        </w:rPr>
        <w:t xml:space="preserve"> May</w:t>
      </w:r>
      <w:r w:rsidRPr="00B65A4E">
        <w:rPr>
          <w:lang w:val="en-GB"/>
        </w:rPr>
        <w:t xml:space="preserve">, the Chief Executive led a business delegation to visit Qatar and Kuwait to </w:t>
      </w:r>
      <w:r>
        <w:rPr>
          <w:lang w:val="en-GB"/>
        </w:rPr>
        <w:t xml:space="preserve">strengthen exchanges and connections with the Middle East region in areas such as finance, trade, investment and innovation and technology (I&amp;T), and to promote the latest advantages and opportunities in Hong Kong to local political and business communities.  In June, the Financial Secretary led a delegation from the I&amp;T sector to attend the </w:t>
      </w:r>
      <w:r w:rsidRPr="00B6232E">
        <w:rPr>
          <w:lang w:val="en-GB"/>
        </w:rPr>
        <w:t>World Economic Forum Annual Meeting of the New Champions 2025</w:t>
      </w:r>
      <w:r>
        <w:rPr>
          <w:lang w:val="en-GB"/>
        </w:rPr>
        <w:t xml:space="preserve"> in Tianjin, where he met with officials from relevant Central Authorities, leaders of Tianjin, as well as political and business leaders from other regions, and briefed them on Hong Kong’s new advantages and opportunities.  In the same month, the Financial Secretary also attended the 10</w:t>
      </w:r>
      <w:r w:rsidRPr="00B65A4E">
        <w:rPr>
          <w:vertAlign w:val="superscript"/>
          <w:lang w:val="en-GB"/>
        </w:rPr>
        <w:t>th</w:t>
      </w:r>
      <w:r>
        <w:rPr>
          <w:lang w:val="en-GB"/>
        </w:rPr>
        <w:t xml:space="preserve"> Annual Meeting of the Board of Governors of the Asian Infrastructure Investment Bank (AIIB) in Beijing, where he witnessed the signing of a strategic partnership agreement between the Hong Kong Monetary Authority and AIIB to support venture capital in emerging Asia.  </w:t>
      </w:r>
      <w:r w:rsidR="00A22D91">
        <w:rPr>
          <w:lang w:val="en-GB"/>
        </w:rPr>
        <w:t xml:space="preserve">He also </w:t>
      </w:r>
      <w:r>
        <w:rPr>
          <w:lang w:val="en-GB"/>
        </w:rPr>
        <w:t>visited Korea in July</w:t>
      </w:r>
      <w:r w:rsidR="00A22D91">
        <w:rPr>
          <w:lang w:val="en-GB"/>
        </w:rPr>
        <w:t xml:space="preserve"> to </w:t>
      </w:r>
      <w:r>
        <w:rPr>
          <w:lang w:val="en-GB"/>
        </w:rPr>
        <w:t xml:space="preserve">highlight </w:t>
      </w:r>
      <w:r w:rsidRPr="00E37608">
        <w:rPr>
          <w:lang w:val="en-GB"/>
        </w:rPr>
        <w:t>Hong Kong</w:t>
      </w:r>
      <w:r>
        <w:rPr>
          <w:lang w:val="en-GB"/>
        </w:rPr>
        <w:t>’</w:t>
      </w:r>
      <w:r w:rsidRPr="00E37608">
        <w:rPr>
          <w:lang w:val="en-GB"/>
        </w:rPr>
        <w:t xml:space="preserve">s </w:t>
      </w:r>
      <w:r>
        <w:rPr>
          <w:lang w:val="en-GB"/>
        </w:rPr>
        <w:t>business</w:t>
      </w:r>
      <w:r w:rsidRPr="00E37608">
        <w:rPr>
          <w:lang w:val="en-GB"/>
        </w:rPr>
        <w:t xml:space="preserve"> advantages to </w:t>
      </w:r>
      <w:r>
        <w:rPr>
          <w:lang w:val="en-GB"/>
        </w:rPr>
        <w:t xml:space="preserve">representatives from </w:t>
      </w:r>
      <w:r w:rsidRPr="00E37608">
        <w:rPr>
          <w:lang w:val="en-GB"/>
        </w:rPr>
        <w:t>Korea</w:t>
      </w:r>
      <w:r>
        <w:rPr>
          <w:lang w:val="en-GB"/>
        </w:rPr>
        <w:t>’s financial, industrial and commercial, I&amp;T sectors, among others.</w:t>
      </w:r>
      <w:r w:rsidR="00A21118">
        <w:rPr>
          <w:lang w:val="en-GB"/>
        </w:rPr>
        <w:t xml:space="preserve">  </w:t>
      </w:r>
    </w:p>
    <w:p w14:paraId="2B023BA2" w14:textId="684C4FB5" w:rsidR="00472A02" w:rsidRPr="00F0061F" w:rsidRDefault="00472A02" w:rsidP="00B65A4E">
      <w:pPr>
        <w:pStyle w:val="a"/>
        <w:tabs>
          <w:tab w:val="clear" w:pos="1080"/>
        </w:tabs>
        <w:overflowPunct w:val="0"/>
        <w:spacing w:line="360" w:lineRule="atLeast"/>
      </w:pPr>
      <w:r w:rsidRPr="00420BBE">
        <w:br w:type="page"/>
      </w:r>
    </w:p>
    <w:p w14:paraId="5B9D5CF4" w14:textId="795AC9F2" w:rsidR="009B3766" w:rsidRDefault="009B3766" w:rsidP="00321C42">
      <w:pPr>
        <w:widowControl/>
        <w:rPr>
          <w:b/>
        </w:rPr>
      </w:pPr>
      <w:proofErr w:type="gramStart"/>
      <w:r w:rsidRPr="00B67ADE">
        <w:rPr>
          <w:b/>
        </w:rPr>
        <w:lastRenderedPageBreak/>
        <w:t>Notes :</w:t>
      </w:r>
      <w:proofErr w:type="gramEnd"/>
    </w:p>
    <w:p w14:paraId="0B772D64" w14:textId="77777777" w:rsidR="00792697" w:rsidRPr="00B67ADE" w:rsidRDefault="00792697" w:rsidP="00792697">
      <w:pPr>
        <w:overflowPunct w:val="0"/>
        <w:snapToGrid w:val="0"/>
        <w:jc w:val="both"/>
        <w:rPr>
          <w:b/>
        </w:rPr>
      </w:pPr>
    </w:p>
    <w:p w14:paraId="321C77C7" w14:textId="24052CCC" w:rsidR="00A76EBC" w:rsidRPr="00307C6E" w:rsidRDefault="00B076FC" w:rsidP="00B076FC">
      <w:pPr>
        <w:numPr>
          <w:ilvl w:val="0"/>
          <w:numId w:val="7"/>
        </w:numPr>
        <w:tabs>
          <w:tab w:val="clear" w:pos="360"/>
          <w:tab w:val="num" w:pos="540"/>
        </w:tabs>
        <w:overflowPunct w:val="0"/>
        <w:snapToGrid w:val="0"/>
        <w:ind w:left="539" w:hanging="539"/>
        <w:jc w:val="both"/>
      </w:pPr>
      <w:r w:rsidRPr="00B076FC">
        <w:rPr>
          <w:iCs/>
        </w:rPr>
        <w:t>Total</w:t>
      </w:r>
      <w:r>
        <w:rPr>
          <w:iCs/>
        </w:rPr>
        <w:t xml:space="preserve"> merchandise</w:t>
      </w:r>
      <w:r w:rsidRPr="00B076FC">
        <w:rPr>
          <w:iCs/>
        </w:rPr>
        <w:t xml:space="preserve"> exports comprise domestic exports and re-exports. </w:t>
      </w:r>
      <w:r>
        <w:rPr>
          <w:iCs/>
        </w:rPr>
        <w:t xml:space="preserve"> </w:t>
      </w:r>
      <w:r w:rsidR="00A76EBC"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00A76EBC" w:rsidRPr="00B67ADE">
        <w:rPr>
          <w:iCs/>
          <w:lang w:eastAsia="zh-HK"/>
        </w:rPr>
        <w:t>based on</w:t>
      </w:r>
      <w:r w:rsidR="00A76EBC" w:rsidRPr="00B67ADE">
        <w:rPr>
          <w:iCs/>
        </w:rPr>
        <w:t xml:space="preserve"> the external trade quantum index series compiled using the chain </w:t>
      </w:r>
      <w:r w:rsidR="00A76EBC" w:rsidRPr="005B4D52">
        <w:rPr>
          <w:iCs/>
          <w:kern w:val="0"/>
        </w:rPr>
        <w:t>linking</w:t>
      </w:r>
      <w:r w:rsidR="00A76EBC" w:rsidRPr="00B67ADE">
        <w:rPr>
          <w:iCs/>
        </w:rPr>
        <w:t xml:space="preserve"> approach</w:t>
      </w:r>
      <w:r w:rsidR="00A76EBC" w:rsidRPr="00B67ADE">
        <w:rPr>
          <w:iCs/>
          <w:lang w:eastAsia="zh-HK"/>
        </w:rPr>
        <w:t>, which were first released in March 2015 to replace the previous trade index numbers compiled using the Laspeyres method with a fixed base year</w:t>
      </w:r>
      <w:r w:rsidR="00A76EBC" w:rsidRPr="00B67ADE">
        <w:rPr>
          <w:iCs/>
        </w:rPr>
        <w:t xml:space="preserve">.  </w:t>
      </w:r>
      <w:r w:rsidR="00A76EBC" w:rsidRPr="00B67ADE">
        <w:rPr>
          <w:lang w:eastAsia="zh-HK"/>
        </w:rPr>
        <w:t xml:space="preserve">The series are not comparable with the real trade </w:t>
      </w:r>
      <w:r w:rsidR="00A76EBC" w:rsidRPr="00B076FC">
        <w:rPr>
          <w:szCs w:val="28"/>
        </w:rPr>
        <w:t>aggregates</w:t>
      </w:r>
      <w:r w:rsidR="00A76EBC" w:rsidRPr="00B67ADE">
        <w:rPr>
          <w:lang w:eastAsia="zh-HK"/>
        </w:rPr>
        <w:t xml:space="preserve"> under GDP (reported in Chapter 1) which are compiled based on the change of ownership principle in recording goods sent abroad for processing and merchanting under the standards stipulated in the</w:t>
      </w:r>
      <w:r w:rsidR="00A76EBC" w:rsidRPr="00B67ADE">
        <w:rPr>
          <w:i/>
          <w:lang w:eastAsia="zh-HK"/>
        </w:rPr>
        <w:t xml:space="preserve"> System of National Accounts 2008</w:t>
      </w:r>
      <w:r w:rsidR="00A76EBC" w:rsidRPr="00B67ADE">
        <w:rPr>
          <w:lang w:eastAsia="zh-HK"/>
        </w:rPr>
        <w:t xml:space="preserve">.  Apart from this, non-monetary gold is recorded as a separate item in the statistics of merchandise trade and not included in the trade aggregates reported in Chapter </w:t>
      </w:r>
      <w:r w:rsidR="00B42004">
        <w:rPr>
          <w:lang w:eastAsia="zh-HK"/>
        </w:rPr>
        <w:t>2</w:t>
      </w:r>
      <w:r w:rsidR="00A76EBC"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00A76EBC" w:rsidRPr="00B67ADE">
        <w:rPr>
          <w:lang w:eastAsia="zh-HK"/>
        </w:rPr>
        <w:t>the international compilation standard</w:t>
      </w:r>
      <w:r w:rsidR="00A76EBC" w:rsidRPr="00B67ADE">
        <w:rPr>
          <w:color w:val="0000FF"/>
          <w:lang w:eastAsia="zh-HK"/>
        </w:rPr>
        <w:t>.</w:t>
      </w:r>
    </w:p>
    <w:p w14:paraId="75EA5FBA" w14:textId="77777777" w:rsidR="002D7987" w:rsidRDefault="002D7987" w:rsidP="002D7987">
      <w:pPr>
        <w:overflowPunct w:val="0"/>
        <w:snapToGrid w:val="0"/>
        <w:ind w:left="539"/>
        <w:jc w:val="both"/>
      </w:pPr>
    </w:p>
    <w:p w14:paraId="794389F4" w14:textId="1F538C43" w:rsidR="002D7987" w:rsidRDefault="0001632C" w:rsidP="002D7987">
      <w:pPr>
        <w:numPr>
          <w:ilvl w:val="0"/>
          <w:numId w:val="7"/>
        </w:numPr>
        <w:tabs>
          <w:tab w:val="clear" w:pos="360"/>
          <w:tab w:val="num" w:pos="540"/>
        </w:tabs>
        <w:overflowPunct w:val="0"/>
        <w:snapToGrid w:val="0"/>
        <w:ind w:left="539" w:hanging="539"/>
        <w:jc w:val="both"/>
      </w:pPr>
      <w:r>
        <w:rPr>
          <w:rFonts w:hint="eastAsia"/>
        </w:rPr>
        <w:t xml:space="preserve">After announcing the temporary suspension of </w:t>
      </w:r>
      <w:r>
        <w:t>“</w:t>
      </w:r>
      <w:r w:rsidR="00A20A3F">
        <w:t>reciprocal</w:t>
      </w:r>
      <w:r>
        <w:rPr>
          <w:rFonts w:hint="eastAsia"/>
        </w:rPr>
        <w:t xml:space="preserve"> tariffs</w:t>
      </w:r>
      <w:r w:rsidR="00E84D24">
        <w:t>”</w:t>
      </w:r>
      <w:r w:rsidR="00951C22">
        <w:t>, t</w:t>
      </w:r>
      <w:r w:rsidR="00951C22" w:rsidRPr="00852EBC">
        <w:t>he US reached trade deals with</w:t>
      </w:r>
      <w:r w:rsidR="00951C22">
        <w:t xml:space="preserve"> a number of its trading partners (including the EU,</w:t>
      </w:r>
      <w:r w:rsidR="00951C22" w:rsidRPr="00852EBC">
        <w:t xml:space="preserve"> the </w:t>
      </w:r>
      <w:r w:rsidR="00951C22">
        <w:t>United Kingdom, Japan, Korea, Vietnam, Indonesia, etc.).  Under these deals, the tariff rates</w:t>
      </w:r>
      <w:r w:rsidR="00393719">
        <w:rPr>
          <w:lang w:val="en-US"/>
        </w:rPr>
        <w:t xml:space="preserve"> for these economies </w:t>
      </w:r>
      <w:r w:rsidR="00951C22">
        <w:t>were mostly set at around 15% to 20%.  These were lower than the full rates of “reciprocal tariffs” initially announced on 2 April.  In return, these economies will remove trade barriers previously imposed on US imports, and commit to purchas</w:t>
      </w:r>
      <w:r w:rsidR="00951C22">
        <w:rPr>
          <w:rFonts w:hint="eastAsia"/>
        </w:rPr>
        <w:t>ing</w:t>
      </w:r>
      <w:r w:rsidR="00951C22">
        <w:t xml:space="preserve"> a range of goods from the US (including energy products, agricultural products, aircrafts etc.).  For economies that have not reached trade deals with the US</w:t>
      </w:r>
      <w:r w:rsidR="00951C22" w:rsidRPr="006623D9">
        <w:t xml:space="preserve">, </w:t>
      </w:r>
      <w:r w:rsidR="00951C22">
        <w:t>t</w:t>
      </w:r>
      <w:r w:rsidR="00951C22" w:rsidRPr="00476F07">
        <w:t xml:space="preserve">he US </w:t>
      </w:r>
      <w:r w:rsidR="00951C22">
        <w:t xml:space="preserve">announced a set of </w:t>
      </w:r>
      <w:r w:rsidR="00951C22" w:rsidRPr="00476F07">
        <w:t xml:space="preserve">new </w:t>
      </w:r>
      <w:r w:rsidR="00951C22">
        <w:t xml:space="preserve">full “reciprocal </w:t>
      </w:r>
      <w:r w:rsidR="00951C22" w:rsidRPr="00476F07">
        <w:t>tariff</w:t>
      </w:r>
      <w:r w:rsidR="00951C22">
        <w:t>”</w:t>
      </w:r>
      <w:r w:rsidR="00951C22" w:rsidRPr="00476F07">
        <w:t xml:space="preserve"> rates</w:t>
      </w:r>
      <w:r w:rsidR="00951C22">
        <w:t xml:space="preserve"> on 31 July, which also took effect on 7 August</w:t>
      </w:r>
      <w:r w:rsidR="00951C22">
        <w:rPr>
          <w:rFonts w:hint="eastAsia"/>
        </w:rPr>
        <w:t xml:space="preserve">.  </w:t>
      </w:r>
      <w:r w:rsidR="00951C22">
        <w:rPr>
          <w:lang w:val="en-US"/>
        </w:rPr>
        <w:t xml:space="preserve">Except </w:t>
      </w:r>
      <w:r w:rsidR="00951C22" w:rsidRPr="006623D9">
        <w:t xml:space="preserve">for some </w:t>
      </w:r>
      <w:r w:rsidR="00951C22">
        <w:rPr>
          <w:lang w:val="en-US"/>
        </w:rPr>
        <w:t xml:space="preserve">economies </w:t>
      </w:r>
      <w:r w:rsidR="00951C22" w:rsidRPr="006623D9">
        <w:t xml:space="preserve">that are subject to particularly high tariff rates, the tariff rates </w:t>
      </w:r>
      <w:r w:rsidR="00393719">
        <w:t xml:space="preserve">for other economies </w:t>
      </w:r>
      <w:r w:rsidR="00951C22" w:rsidRPr="006623D9">
        <w:t>largely fall between 10</w:t>
      </w:r>
      <w:r w:rsidR="00951C22">
        <w:rPr>
          <w:rFonts w:hint="eastAsia"/>
        </w:rPr>
        <w:t xml:space="preserve">% </w:t>
      </w:r>
      <w:r w:rsidR="00951C22">
        <w:rPr>
          <w:lang w:val="en-US"/>
        </w:rPr>
        <w:t xml:space="preserve">to </w:t>
      </w:r>
      <w:r w:rsidR="00951C22" w:rsidRPr="006623D9">
        <w:t>30%</w:t>
      </w:r>
      <w:r w:rsidR="00951C22">
        <w:t>.</w:t>
      </w:r>
    </w:p>
    <w:p w14:paraId="65A2BADF" w14:textId="77777777" w:rsidR="007E75C5" w:rsidRPr="00307C6E" w:rsidRDefault="007E75C5" w:rsidP="00307C6E">
      <w:pPr>
        <w:overflowPunct w:val="0"/>
        <w:snapToGrid w:val="0"/>
        <w:ind w:left="539"/>
        <w:jc w:val="both"/>
      </w:pPr>
    </w:p>
    <w:p w14:paraId="0F412473" w14:textId="24C3C317" w:rsidR="00AF35B4" w:rsidRDefault="007E75C5" w:rsidP="007E75C5">
      <w:pPr>
        <w:numPr>
          <w:ilvl w:val="0"/>
          <w:numId w:val="7"/>
        </w:numPr>
        <w:tabs>
          <w:tab w:val="clear" w:pos="360"/>
          <w:tab w:val="num" w:pos="540"/>
        </w:tabs>
        <w:overflowPunct w:val="0"/>
        <w:snapToGrid w:val="0"/>
        <w:ind w:left="539" w:hanging="539"/>
        <w:jc w:val="both"/>
      </w:pPr>
      <w:r w:rsidRPr="007E75C5">
        <w:t xml:space="preserve">The US </w:t>
      </w:r>
      <w:r w:rsidR="0090429C">
        <w:t xml:space="preserve">enacted </w:t>
      </w:r>
      <w:r w:rsidR="00307C6E">
        <w:t xml:space="preserve">a number of tariff measures on imports from </w:t>
      </w:r>
      <w:r w:rsidR="0090429C">
        <w:t>China</w:t>
      </w:r>
      <w:r w:rsidR="00307C6E">
        <w:t xml:space="preserve"> (including Hong Kong)</w:t>
      </w:r>
      <w:r w:rsidR="0090429C">
        <w:t xml:space="preserve"> earlier in the </w:t>
      </w:r>
      <w:r w:rsidR="00307C6E">
        <w:t xml:space="preserve">second </w:t>
      </w:r>
      <w:r w:rsidR="0090429C">
        <w:t xml:space="preserve">quarter.  </w:t>
      </w:r>
      <w:r w:rsidR="00307C6E">
        <w:t>Specifically, t</w:t>
      </w:r>
      <w:r w:rsidR="00AF35B4">
        <w:t>he</w:t>
      </w:r>
      <w:r w:rsidR="00AF35B4" w:rsidRPr="00AF35B4">
        <w:t xml:space="preserve"> US increased </w:t>
      </w:r>
      <w:r w:rsidR="00307C6E">
        <w:t xml:space="preserve">the additional </w:t>
      </w:r>
      <w:r w:rsidR="00AF35B4" w:rsidRPr="00AF35B4">
        <w:t>tariff</w:t>
      </w:r>
      <w:r w:rsidR="00307C6E">
        <w:t xml:space="preserve"> rate</w:t>
      </w:r>
      <w:r w:rsidR="00AF35B4" w:rsidRPr="00AF35B4">
        <w:t xml:space="preserve"> </w:t>
      </w:r>
      <w:r w:rsidR="00307C6E">
        <w:t xml:space="preserve">sizably </w:t>
      </w:r>
      <w:r w:rsidR="00AF35B4" w:rsidRPr="00AF35B4">
        <w:t>to 145%</w:t>
      </w:r>
      <w:r w:rsidR="00AF35B4">
        <w:t xml:space="preserve"> </w:t>
      </w:r>
      <w:r w:rsidR="00307C6E">
        <w:t xml:space="preserve">in general </w:t>
      </w:r>
      <w:r w:rsidR="00AF35B4">
        <w:t>(including the 20% tariff implemented earlier</w:t>
      </w:r>
      <w:r w:rsidR="00307C6E">
        <w:t xml:space="preserve"> in February and March</w:t>
      </w:r>
      <w:r w:rsidR="00AF35B4">
        <w:t>)</w:t>
      </w:r>
      <w:r w:rsidR="00307C6E">
        <w:t xml:space="preserve"> from 10 April</w:t>
      </w:r>
      <w:r w:rsidR="00AF35B4">
        <w:t xml:space="preserve">.  </w:t>
      </w:r>
      <w:r w:rsidR="00307C6E">
        <w:t xml:space="preserve">In addition, </w:t>
      </w:r>
      <w:r w:rsidR="00AF35B4" w:rsidRPr="00AF35B4">
        <w:t xml:space="preserve">starting from 2 May, shipments </w:t>
      </w:r>
      <w:r w:rsidR="00307C6E">
        <w:t xml:space="preserve">from China (including Hong Kong) </w:t>
      </w:r>
      <w:r w:rsidR="00AF35B4" w:rsidRPr="00AF35B4">
        <w:t>valued at or under US$800</w:t>
      </w:r>
      <w:r w:rsidR="00307C6E">
        <w:t xml:space="preserve"> no longer benefit</w:t>
      </w:r>
      <w:r w:rsidR="00615D74">
        <w:t>ted</w:t>
      </w:r>
      <w:r w:rsidR="00307C6E">
        <w:t xml:space="preserve"> from the duty</w:t>
      </w:r>
      <w:r w:rsidR="00C03959">
        <w:noBreakHyphen/>
      </w:r>
      <w:r w:rsidR="00307C6E">
        <w:t>free de minimis exemption, and tariff rates on these shipments were also raised significantly</w:t>
      </w:r>
      <w:r w:rsidR="00AF35B4" w:rsidRPr="00AF35B4">
        <w:t xml:space="preserve">.  </w:t>
      </w:r>
      <w:r w:rsidR="002768AF" w:rsidRPr="002768AF">
        <w:t xml:space="preserve">In response, the </w:t>
      </w:r>
      <w:proofErr w:type="gramStart"/>
      <w:r w:rsidR="002768AF" w:rsidRPr="002768AF">
        <w:t>Mainland</w:t>
      </w:r>
      <w:proofErr w:type="gramEnd"/>
      <w:r w:rsidR="002768AF" w:rsidRPr="002768AF">
        <w:t xml:space="preserve"> imposed additional</w:t>
      </w:r>
      <w:r w:rsidR="00307C6E">
        <w:t xml:space="preserve"> 125% tariffs on all imports from the US</w:t>
      </w:r>
      <w:r w:rsidR="00615D74">
        <w:t xml:space="preserve"> from 12 April</w:t>
      </w:r>
      <w:r w:rsidR="00307C6E">
        <w:t>, among other counter-measures.</w:t>
      </w:r>
      <w:r w:rsidR="00A43BFE">
        <w:t xml:space="preserve">  </w:t>
      </w:r>
      <w:r w:rsidR="00A43BFE">
        <w:rPr>
          <w:szCs w:val="28"/>
        </w:rPr>
        <w:t xml:space="preserve">Subsequently, after </w:t>
      </w:r>
      <w:r w:rsidR="00A43BFE" w:rsidRPr="00027FBD">
        <w:t xml:space="preserve">the high-level trade talks </w:t>
      </w:r>
      <w:r w:rsidR="00A43BFE">
        <w:t xml:space="preserve">between </w:t>
      </w:r>
      <w:r w:rsidR="004F2400">
        <w:t xml:space="preserve">the two sides </w:t>
      </w:r>
      <w:r w:rsidR="00A43BFE" w:rsidRPr="00027FBD">
        <w:t>in</w:t>
      </w:r>
      <w:r w:rsidR="00A43BFE">
        <w:t xml:space="preserve"> Geneva in May</w:t>
      </w:r>
      <w:r w:rsidR="00A43BFE" w:rsidRPr="00027FBD">
        <w:t xml:space="preserve">, </w:t>
      </w:r>
      <w:r w:rsidR="00951C22">
        <w:t>as temporary measures,</w:t>
      </w:r>
      <w:r w:rsidR="00951C22" w:rsidRPr="00027FBD">
        <w:t xml:space="preserve"> </w:t>
      </w:r>
      <w:r w:rsidR="00A43BFE" w:rsidRPr="00027FBD">
        <w:t xml:space="preserve">the US reduced </w:t>
      </w:r>
      <w:r w:rsidR="00A43BFE">
        <w:t xml:space="preserve">the additional </w:t>
      </w:r>
      <w:r w:rsidR="00A43BFE" w:rsidRPr="00027FBD">
        <w:t>tariff</w:t>
      </w:r>
      <w:r w:rsidR="00A43BFE">
        <w:t xml:space="preserve"> rate</w:t>
      </w:r>
      <w:r w:rsidR="00A43BFE" w:rsidRPr="00027FBD">
        <w:t xml:space="preserve"> from 145% to 30%</w:t>
      </w:r>
      <w:r w:rsidR="00A43BFE">
        <w:t>, and the tariff rate for small</w:t>
      </w:r>
      <w:r w:rsidR="00C03959">
        <w:noBreakHyphen/>
      </w:r>
      <w:r w:rsidR="00EC4048">
        <w:rPr>
          <w:lang w:val="en-US"/>
        </w:rPr>
        <w:t>valued</w:t>
      </w:r>
      <w:r w:rsidR="00A43BFE">
        <w:t xml:space="preserve"> parcels was also lowered from 120% to 54%.  </w:t>
      </w:r>
      <w:r w:rsidR="00951C22">
        <w:t xml:space="preserve">Accordingly, </w:t>
      </w:r>
      <w:r w:rsidR="00A43BFE">
        <w:t>China reduced tariffs on imports from the US from 125% to 10%.</w:t>
      </w:r>
    </w:p>
    <w:p w14:paraId="717D6161" w14:textId="58249256" w:rsidR="00081F78" w:rsidRDefault="00081F78">
      <w:pPr>
        <w:widowControl/>
      </w:pPr>
      <w:r>
        <w:br w:type="page"/>
      </w:r>
    </w:p>
    <w:p w14:paraId="46D7E41F" w14:textId="1DA7331C" w:rsidR="0071545C" w:rsidRPr="006C6B94" w:rsidRDefault="0071545C" w:rsidP="002B7FF5">
      <w:pPr>
        <w:numPr>
          <w:ilvl w:val="0"/>
          <w:numId w:val="7"/>
        </w:numPr>
        <w:tabs>
          <w:tab w:val="clear" w:pos="360"/>
          <w:tab w:val="num" w:pos="540"/>
        </w:tabs>
        <w:overflowPunct w:val="0"/>
        <w:snapToGrid w:val="0"/>
        <w:ind w:left="539" w:hanging="539"/>
        <w:jc w:val="both"/>
        <w:rPr>
          <w:kern w:val="0"/>
        </w:rPr>
      </w:pPr>
      <w:r w:rsidRPr="006C6B94">
        <w:rPr>
          <w:kern w:val="0"/>
        </w:rPr>
        <w:lastRenderedPageBreak/>
        <w:t xml:space="preserve">The table below presents a more detailed comparison between the growth forecasts made by the IMF in </w:t>
      </w:r>
      <w:r w:rsidR="00490DB1">
        <w:rPr>
          <w:kern w:val="0"/>
        </w:rPr>
        <w:t xml:space="preserve">July </w:t>
      </w:r>
      <w:r w:rsidRPr="006C6B94">
        <w:rPr>
          <w:kern w:val="0"/>
        </w:rPr>
        <w:t xml:space="preserve">2025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71545C" w:rsidRPr="00490DB1" w14:paraId="794305A0" w14:textId="77777777" w:rsidTr="0039040A">
        <w:trPr>
          <w:trHeight w:val="60"/>
        </w:trPr>
        <w:tc>
          <w:tcPr>
            <w:tcW w:w="2977" w:type="dxa"/>
            <w:vAlign w:val="bottom"/>
          </w:tcPr>
          <w:p w14:paraId="635740F7" w14:textId="77777777" w:rsidR="0071545C" w:rsidRPr="006C6B94" w:rsidRDefault="0071545C" w:rsidP="0039040A">
            <w:pPr>
              <w:snapToGrid w:val="0"/>
              <w:jc w:val="center"/>
              <w:rPr>
                <w:b/>
                <w:kern w:val="0"/>
                <w:sz w:val="26"/>
                <w:szCs w:val="26"/>
              </w:rPr>
            </w:pPr>
          </w:p>
        </w:tc>
        <w:tc>
          <w:tcPr>
            <w:tcW w:w="1701" w:type="dxa"/>
            <w:vMerge w:val="restart"/>
            <w:vAlign w:val="bottom"/>
          </w:tcPr>
          <w:p w14:paraId="25643D6A" w14:textId="77777777" w:rsidR="0071545C" w:rsidRPr="006C6B94" w:rsidRDefault="0071545C" w:rsidP="0039040A">
            <w:pPr>
              <w:pStyle w:val="Heading1"/>
              <w:tabs>
                <w:tab w:val="decimal" w:pos="425"/>
                <w:tab w:val="decimal" w:pos="476"/>
              </w:tabs>
              <w:ind w:left="-28"/>
              <w:rPr>
                <w:b/>
                <w:kern w:val="0"/>
                <w:sz w:val="24"/>
                <w:szCs w:val="26"/>
                <w:u w:val="single"/>
              </w:rPr>
            </w:pPr>
            <w:r w:rsidRPr="006C6B94">
              <w:rPr>
                <w:kern w:val="0"/>
                <w:sz w:val="24"/>
                <w:szCs w:val="26"/>
                <w:u w:val="single"/>
              </w:rPr>
              <w:t>2024</w:t>
            </w:r>
          </w:p>
          <w:p w14:paraId="1194E4C0" w14:textId="77777777" w:rsidR="0071545C" w:rsidRPr="006C6B94" w:rsidRDefault="0071545C" w:rsidP="0039040A">
            <w:pPr>
              <w:pStyle w:val="Heading1"/>
              <w:tabs>
                <w:tab w:val="decimal" w:pos="425"/>
                <w:tab w:val="decimal" w:pos="476"/>
              </w:tabs>
              <w:ind w:left="-28"/>
              <w:rPr>
                <w:b/>
                <w:kern w:val="0"/>
                <w:sz w:val="26"/>
                <w:szCs w:val="26"/>
                <w:u w:val="single"/>
              </w:rPr>
            </w:pPr>
            <w:r w:rsidRPr="006C6B94">
              <w:rPr>
                <w:kern w:val="0"/>
                <w:sz w:val="24"/>
                <w:szCs w:val="26"/>
              </w:rPr>
              <w:t>(%)</w:t>
            </w:r>
          </w:p>
        </w:tc>
        <w:tc>
          <w:tcPr>
            <w:tcW w:w="4253" w:type="dxa"/>
            <w:gridSpan w:val="2"/>
            <w:vAlign w:val="bottom"/>
          </w:tcPr>
          <w:p w14:paraId="18185A0B" w14:textId="77777777" w:rsidR="0071545C" w:rsidRPr="006C6B94" w:rsidRDefault="0071545C" w:rsidP="0039040A">
            <w:pPr>
              <w:snapToGrid w:val="0"/>
              <w:jc w:val="center"/>
              <w:rPr>
                <w:rFonts w:eastAsia="SimSun"/>
                <w:kern w:val="0"/>
                <w:u w:val="single"/>
              </w:rPr>
            </w:pPr>
            <w:r w:rsidRPr="006C6B94">
              <w:rPr>
                <w:kern w:val="0"/>
                <w:u w:val="single"/>
              </w:rPr>
              <w:t>2025</w:t>
            </w:r>
          </w:p>
        </w:tc>
      </w:tr>
      <w:tr w:rsidR="0071545C" w:rsidRPr="00490DB1" w14:paraId="3BB3C555" w14:textId="77777777" w:rsidTr="0039040A">
        <w:trPr>
          <w:trHeight w:val="60"/>
        </w:trPr>
        <w:tc>
          <w:tcPr>
            <w:tcW w:w="2977" w:type="dxa"/>
            <w:vAlign w:val="bottom"/>
          </w:tcPr>
          <w:p w14:paraId="1B3BBCB8" w14:textId="77777777" w:rsidR="0071545C" w:rsidRPr="006C6B94" w:rsidRDefault="0071545C" w:rsidP="0039040A">
            <w:pPr>
              <w:snapToGrid w:val="0"/>
              <w:jc w:val="center"/>
              <w:rPr>
                <w:b/>
                <w:kern w:val="0"/>
              </w:rPr>
            </w:pPr>
          </w:p>
        </w:tc>
        <w:tc>
          <w:tcPr>
            <w:tcW w:w="1701" w:type="dxa"/>
            <w:vMerge/>
          </w:tcPr>
          <w:p w14:paraId="5DC3A068" w14:textId="77777777" w:rsidR="0071545C" w:rsidRPr="006C6B94" w:rsidRDefault="0071545C" w:rsidP="0039040A">
            <w:pPr>
              <w:snapToGrid w:val="0"/>
              <w:jc w:val="center"/>
              <w:rPr>
                <w:kern w:val="0"/>
              </w:rPr>
            </w:pPr>
          </w:p>
        </w:tc>
        <w:tc>
          <w:tcPr>
            <w:tcW w:w="2126" w:type="dxa"/>
            <w:vAlign w:val="bottom"/>
          </w:tcPr>
          <w:p w14:paraId="34ED8D26" w14:textId="7186CB7B" w:rsidR="0071545C" w:rsidRPr="006C6B94" w:rsidRDefault="00490DB1" w:rsidP="0039040A">
            <w:pPr>
              <w:pStyle w:val="Heading1"/>
              <w:suppressAutoHyphens/>
              <w:overflowPunct w:val="0"/>
              <w:autoSpaceDE w:val="0"/>
              <w:ind w:left="-28"/>
              <w:textAlignment w:val="baseline"/>
              <w:rPr>
                <w:b/>
                <w:kern w:val="0"/>
                <w:sz w:val="24"/>
                <w:vertAlign w:val="superscript"/>
              </w:rPr>
            </w:pPr>
            <w:r>
              <w:rPr>
                <w:kern w:val="0"/>
                <w:sz w:val="24"/>
                <w:u w:val="single"/>
              </w:rPr>
              <w:t xml:space="preserve">April </w:t>
            </w:r>
            <w:r w:rsidR="0071545C" w:rsidRPr="006C6B94">
              <w:rPr>
                <w:kern w:val="0"/>
                <w:sz w:val="24"/>
                <w:u w:val="single"/>
              </w:rPr>
              <w:t>round</w:t>
            </w:r>
          </w:p>
          <w:p w14:paraId="184CBCB4" w14:textId="77777777" w:rsidR="0071545C" w:rsidRPr="006C6B94" w:rsidRDefault="0071545C" w:rsidP="0039040A">
            <w:pPr>
              <w:pStyle w:val="Heading1"/>
              <w:suppressAutoHyphens/>
              <w:overflowPunct w:val="0"/>
              <w:autoSpaceDE w:val="0"/>
              <w:ind w:left="-28"/>
              <w:textAlignment w:val="baseline"/>
              <w:rPr>
                <w:b/>
                <w:kern w:val="0"/>
                <w:sz w:val="24"/>
              </w:rPr>
            </w:pPr>
            <w:r w:rsidRPr="006C6B94">
              <w:rPr>
                <w:kern w:val="0"/>
                <w:sz w:val="24"/>
              </w:rPr>
              <w:t>(%)</w:t>
            </w:r>
          </w:p>
        </w:tc>
        <w:tc>
          <w:tcPr>
            <w:tcW w:w="2127" w:type="dxa"/>
            <w:vAlign w:val="bottom"/>
          </w:tcPr>
          <w:p w14:paraId="52F00D52" w14:textId="42B95C4E" w:rsidR="0071545C" w:rsidRPr="006C6B94" w:rsidRDefault="00490DB1" w:rsidP="0039040A">
            <w:pPr>
              <w:pStyle w:val="Heading1"/>
              <w:suppressAutoHyphens/>
              <w:overflowPunct w:val="0"/>
              <w:autoSpaceDE w:val="0"/>
              <w:ind w:left="-28"/>
              <w:textAlignment w:val="baseline"/>
              <w:rPr>
                <w:b/>
                <w:kern w:val="0"/>
                <w:sz w:val="24"/>
                <w:vertAlign w:val="superscript"/>
              </w:rPr>
            </w:pPr>
            <w:r>
              <w:rPr>
                <w:kern w:val="0"/>
                <w:sz w:val="24"/>
                <w:u w:val="single"/>
              </w:rPr>
              <w:t xml:space="preserve">July </w:t>
            </w:r>
            <w:r w:rsidR="0071545C" w:rsidRPr="006C6B94">
              <w:rPr>
                <w:kern w:val="0"/>
                <w:sz w:val="24"/>
                <w:u w:val="single"/>
              </w:rPr>
              <w:t>round</w:t>
            </w:r>
          </w:p>
          <w:p w14:paraId="5E3BEB03" w14:textId="77777777" w:rsidR="0071545C" w:rsidRPr="006C6B94" w:rsidRDefault="0071545C" w:rsidP="0039040A">
            <w:pPr>
              <w:pStyle w:val="Heading1"/>
              <w:suppressAutoHyphens/>
              <w:overflowPunct w:val="0"/>
              <w:autoSpaceDE w:val="0"/>
              <w:ind w:left="-28"/>
              <w:textAlignment w:val="baseline"/>
              <w:rPr>
                <w:b/>
                <w:kern w:val="0"/>
                <w:sz w:val="24"/>
              </w:rPr>
            </w:pPr>
            <w:r w:rsidRPr="006C6B94">
              <w:rPr>
                <w:kern w:val="0"/>
                <w:sz w:val="24"/>
              </w:rPr>
              <w:t>(%)</w:t>
            </w:r>
          </w:p>
        </w:tc>
      </w:tr>
      <w:tr w:rsidR="0071545C" w:rsidRPr="00490DB1" w14:paraId="3E2381A0" w14:textId="77777777" w:rsidTr="0039040A">
        <w:trPr>
          <w:trHeight w:val="138"/>
        </w:trPr>
        <w:tc>
          <w:tcPr>
            <w:tcW w:w="2977" w:type="dxa"/>
            <w:vAlign w:val="bottom"/>
          </w:tcPr>
          <w:p w14:paraId="7AA60F4A" w14:textId="77777777" w:rsidR="0071545C" w:rsidRPr="006C6B94" w:rsidRDefault="0071545C" w:rsidP="0039040A">
            <w:pPr>
              <w:snapToGrid w:val="0"/>
              <w:spacing w:line="144" w:lineRule="auto"/>
              <w:jc w:val="both"/>
              <w:rPr>
                <w:kern w:val="0"/>
              </w:rPr>
            </w:pPr>
          </w:p>
        </w:tc>
        <w:tc>
          <w:tcPr>
            <w:tcW w:w="1701" w:type="dxa"/>
          </w:tcPr>
          <w:p w14:paraId="4FA579AD" w14:textId="77777777" w:rsidR="0071545C" w:rsidRPr="006C6B94" w:rsidRDefault="0071545C" w:rsidP="0039040A">
            <w:pPr>
              <w:tabs>
                <w:tab w:val="decimal" w:pos="888"/>
              </w:tabs>
              <w:snapToGrid w:val="0"/>
              <w:spacing w:line="144" w:lineRule="auto"/>
              <w:jc w:val="center"/>
              <w:rPr>
                <w:kern w:val="0"/>
              </w:rPr>
            </w:pPr>
          </w:p>
        </w:tc>
        <w:tc>
          <w:tcPr>
            <w:tcW w:w="2126" w:type="dxa"/>
            <w:vAlign w:val="bottom"/>
          </w:tcPr>
          <w:p w14:paraId="1A39BBFD" w14:textId="77777777" w:rsidR="0071545C" w:rsidRPr="006C6B94" w:rsidRDefault="0071545C" w:rsidP="0039040A">
            <w:pPr>
              <w:tabs>
                <w:tab w:val="decimal" w:pos="1081"/>
              </w:tabs>
              <w:snapToGrid w:val="0"/>
              <w:spacing w:line="144" w:lineRule="auto"/>
              <w:ind w:left="-28"/>
              <w:jc w:val="both"/>
              <w:rPr>
                <w:kern w:val="0"/>
              </w:rPr>
            </w:pPr>
          </w:p>
        </w:tc>
        <w:tc>
          <w:tcPr>
            <w:tcW w:w="2127" w:type="dxa"/>
            <w:vAlign w:val="bottom"/>
          </w:tcPr>
          <w:p w14:paraId="33EDA018" w14:textId="77777777" w:rsidR="0071545C" w:rsidRPr="006C6B94" w:rsidRDefault="0071545C" w:rsidP="0039040A">
            <w:pPr>
              <w:tabs>
                <w:tab w:val="decimal" w:pos="1081"/>
              </w:tabs>
              <w:snapToGrid w:val="0"/>
              <w:spacing w:line="144" w:lineRule="auto"/>
              <w:ind w:left="-28"/>
              <w:jc w:val="both"/>
              <w:rPr>
                <w:kern w:val="0"/>
              </w:rPr>
            </w:pPr>
          </w:p>
        </w:tc>
      </w:tr>
      <w:tr w:rsidR="00490DB1" w:rsidRPr="00490DB1" w14:paraId="741D0093" w14:textId="77777777" w:rsidTr="0039040A">
        <w:trPr>
          <w:trHeight w:val="60"/>
        </w:trPr>
        <w:tc>
          <w:tcPr>
            <w:tcW w:w="2977" w:type="dxa"/>
            <w:vAlign w:val="bottom"/>
          </w:tcPr>
          <w:p w14:paraId="7330A6D9" w14:textId="77777777" w:rsidR="00490DB1" w:rsidRPr="006C6B94" w:rsidRDefault="00490DB1" w:rsidP="00490DB1">
            <w:pPr>
              <w:snapToGrid w:val="0"/>
              <w:ind w:left="-28"/>
              <w:jc w:val="both"/>
              <w:rPr>
                <w:kern w:val="0"/>
              </w:rPr>
            </w:pPr>
            <w:r w:rsidRPr="006C6B94">
              <w:rPr>
                <w:kern w:val="0"/>
              </w:rPr>
              <w:t>World (PPP</w:t>
            </w:r>
            <w:r w:rsidRPr="006C6B94">
              <w:rPr>
                <w:kern w:val="0"/>
                <w:vertAlign w:val="superscript"/>
              </w:rPr>
              <w:t>##</w:t>
            </w:r>
            <w:r w:rsidRPr="006C6B94">
              <w:rPr>
                <w:kern w:val="0"/>
              </w:rPr>
              <w:t xml:space="preserve"> weigh</w:t>
            </w:r>
            <w:r w:rsidRPr="006C6B94">
              <w:rPr>
                <w:rFonts w:eastAsia="SimSun"/>
                <w:kern w:val="0"/>
                <w:lang w:eastAsia="zh-CN"/>
              </w:rPr>
              <w:t>ted</w:t>
            </w:r>
            <w:r w:rsidRPr="006C6B94">
              <w:rPr>
                <w:kern w:val="0"/>
              </w:rPr>
              <w:t>)</w:t>
            </w:r>
          </w:p>
        </w:tc>
        <w:tc>
          <w:tcPr>
            <w:tcW w:w="1701" w:type="dxa"/>
            <w:vAlign w:val="bottom"/>
          </w:tcPr>
          <w:p w14:paraId="2C7DB6DD" w14:textId="77777777" w:rsidR="00490DB1" w:rsidRPr="006C6B94" w:rsidRDefault="00490DB1" w:rsidP="00490DB1">
            <w:pPr>
              <w:pStyle w:val="Heading1"/>
              <w:tabs>
                <w:tab w:val="decimal" w:pos="702"/>
              </w:tabs>
              <w:ind w:left="-28"/>
              <w:jc w:val="left"/>
              <w:rPr>
                <w:b/>
                <w:kern w:val="0"/>
                <w:sz w:val="24"/>
                <w:szCs w:val="26"/>
              </w:rPr>
            </w:pPr>
            <w:r w:rsidRPr="006C6B94">
              <w:rPr>
                <w:kern w:val="0"/>
                <w:sz w:val="24"/>
                <w:szCs w:val="26"/>
              </w:rPr>
              <w:t>3.3</w:t>
            </w:r>
          </w:p>
        </w:tc>
        <w:tc>
          <w:tcPr>
            <w:tcW w:w="2126" w:type="dxa"/>
            <w:vAlign w:val="bottom"/>
          </w:tcPr>
          <w:p w14:paraId="6DDD02A4" w14:textId="37068702" w:rsidR="00490DB1" w:rsidRPr="006C6B94" w:rsidRDefault="00490DB1" w:rsidP="00490DB1">
            <w:pPr>
              <w:pStyle w:val="Heading1"/>
              <w:tabs>
                <w:tab w:val="decimal" w:pos="907"/>
              </w:tabs>
              <w:ind w:left="-28"/>
              <w:jc w:val="left"/>
              <w:rPr>
                <w:kern w:val="0"/>
                <w:sz w:val="24"/>
                <w:szCs w:val="26"/>
              </w:rPr>
            </w:pPr>
            <w:r w:rsidRPr="00892C8C">
              <w:rPr>
                <w:kern w:val="0"/>
                <w:sz w:val="24"/>
                <w:szCs w:val="26"/>
              </w:rPr>
              <w:t>2.8</w:t>
            </w:r>
          </w:p>
        </w:tc>
        <w:tc>
          <w:tcPr>
            <w:tcW w:w="2127" w:type="dxa"/>
            <w:vAlign w:val="bottom"/>
          </w:tcPr>
          <w:p w14:paraId="52BB3CEC" w14:textId="0CE5896B" w:rsidR="00490DB1" w:rsidRPr="00933D29" w:rsidRDefault="00782A05" w:rsidP="00490DB1">
            <w:pPr>
              <w:pStyle w:val="Heading1"/>
              <w:tabs>
                <w:tab w:val="decimal" w:pos="907"/>
              </w:tabs>
              <w:ind w:left="-28"/>
              <w:jc w:val="left"/>
              <w:rPr>
                <w:kern w:val="0"/>
                <w:sz w:val="24"/>
                <w:szCs w:val="26"/>
              </w:rPr>
            </w:pPr>
            <w:r w:rsidRPr="00933D29">
              <w:rPr>
                <w:kern w:val="0"/>
                <w:sz w:val="24"/>
                <w:szCs w:val="26"/>
              </w:rPr>
              <w:t>3.0</w:t>
            </w:r>
          </w:p>
        </w:tc>
      </w:tr>
      <w:tr w:rsidR="00490DB1" w:rsidRPr="00490DB1" w14:paraId="2260643F" w14:textId="77777777" w:rsidTr="006C6B94">
        <w:trPr>
          <w:trHeight w:val="60"/>
        </w:trPr>
        <w:tc>
          <w:tcPr>
            <w:tcW w:w="2977" w:type="dxa"/>
            <w:vAlign w:val="bottom"/>
          </w:tcPr>
          <w:p w14:paraId="17ABF540" w14:textId="77777777" w:rsidR="00490DB1" w:rsidRPr="006C6B94" w:rsidRDefault="00490DB1" w:rsidP="00490DB1">
            <w:pPr>
              <w:snapToGrid w:val="0"/>
              <w:ind w:left="-28"/>
              <w:jc w:val="both"/>
              <w:rPr>
                <w:kern w:val="0"/>
              </w:rPr>
            </w:pPr>
            <w:r w:rsidRPr="006C6B94">
              <w:rPr>
                <w:kern w:val="0"/>
              </w:rPr>
              <w:t>Advanced economies</w:t>
            </w:r>
          </w:p>
        </w:tc>
        <w:tc>
          <w:tcPr>
            <w:tcW w:w="1701" w:type="dxa"/>
            <w:vAlign w:val="bottom"/>
          </w:tcPr>
          <w:p w14:paraId="3AEC56D1"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1.8</w:t>
            </w:r>
          </w:p>
        </w:tc>
        <w:tc>
          <w:tcPr>
            <w:tcW w:w="2126" w:type="dxa"/>
          </w:tcPr>
          <w:p w14:paraId="17CB5D1B" w14:textId="5B383BA5" w:rsidR="00490DB1" w:rsidRPr="006C6B94" w:rsidRDefault="00490DB1" w:rsidP="00490DB1">
            <w:pPr>
              <w:pStyle w:val="Heading1"/>
              <w:tabs>
                <w:tab w:val="decimal" w:pos="907"/>
              </w:tabs>
              <w:ind w:left="-28"/>
              <w:jc w:val="left"/>
              <w:rPr>
                <w:kern w:val="0"/>
                <w:sz w:val="24"/>
                <w:szCs w:val="26"/>
              </w:rPr>
            </w:pPr>
            <w:r w:rsidRPr="00892C8C">
              <w:rPr>
                <w:kern w:val="0"/>
                <w:sz w:val="24"/>
                <w:szCs w:val="26"/>
              </w:rPr>
              <w:t>1.4</w:t>
            </w:r>
          </w:p>
        </w:tc>
        <w:tc>
          <w:tcPr>
            <w:tcW w:w="2127" w:type="dxa"/>
          </w:tcPr>
          <w:p w14:paraId="6FBF8BBA" w14:textId="5CD58DEF" w:rsidR="00490DB1" w:rsidRPr="00933D29" w:rsidRDefault="00782A05" w:rsidP="00490DB1">
            <w:pPr>
              <w:pStyle w:val="Heading1"/>
              <w:tabs>
                <w:tab w:val="decimal" w:pos="907"/>
              </w:tabs>
              <w:ind w:left="-28"/>
              <w:jc w:val="left"/>
              <w:rPr>
                <w:kern w:val="0"/>
                <w:sz w:val="24"/>
                <w:szCs w:val="26"/>
              </w:rPr>
            </w:pPr>
            <w:r w:rsidRPr="00933D29">
              <w:rPr>
                <w:kern w:val="0"/>
                <w:sz w:val="24"/>
                <w:szCs w:val="26"/>
              </w:rPr>
              <w:t>1.5</w:t>
            </w:r>
          </w:p>
        </w:tc>
      </w:tr>
      <w:tr w:rsidR="00490DB1" w:rsidRPr="00490DB1" w14:paraId="4BED0E5A" w14:textId="77777777" w:rsidTr="0039040A">
        <w:trPr>
          <w:trHeight w:val="60"/>
        </w:trPr>
        <w:tc>
          <w:tcPr>
            <w:tcW w:w="2977" w:type="dxa"/>
            <w:vAlign w:val="bottom"/>
          </w:tcPr>
          <w:p w14:paraId="66F27A29" w14:textId="77777777" w:rsidR="00490DB1" w:rsidRPr="006C6B94" w:rsidRDefault="00490DB1" w:rsidP="00490DB1">
            <w:pPr>
              <w:snapToGrid w:val="0"/>
              <w:ind w:firstLineChars="200" w:firstLine="480"/>
              <w:jc w:val="both"/>
              <w:rPr>
                <w:kern w:val="0"/>
              </w:rPr>
            </w:pPr>
            <w:r w:rsidRPr="006C6B94">
              <w:rPr>
                <w:kern w:val="0"/>
              </w:rPr>
              <w:t>US</w:t>
            </w:r>
          </w:p>
        </w:tc>
        <w:tc>
          <w:tcPr>
            <w:tcW w:w="1701" w:type="dxa"/>
            <w:vAlign w:val="bottom"/>
          </w:tcPr>
          <w:p w14:paraId="7F45565A"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2.8</w:t>
            </w:r>
            <w:r w:rsidRPr="006C6B94">
              <w:rPr>
                <w:kern w:val="0"/>
                <w:sz w:val="24"/>
                <w:szCs w:val="26"/>
                <w:vertAlign w:val="superscript"/>
              </w:rPr>
              <w:t>#</w:t>
            </w:r>
          </w:p>
        </w:tc>
        <w:tc>
          <w:tcPr>
            <w:tcW w:w="2126" w:type="dxa"/>
            <w:vAlign w:val="bottom"/>
          </w:tcPr>
          <w:p w14:paraId="220EA445" w14:textId="45B51833" w:rsidR="00490DB1" w:rsidRPr="006C6B94" w:rsidRDefault="00490DB1" w:rsidP="00490DB1">
            <w:pPr>
              <w:pStyle w:val="Heading1"/>
              <w:tabs>
                <w:tab w:val="decimal" w:pos="907"/>
              </w:tabs>
              <w:ind w:left="-28"/>
              <w:jc w:val="left"/>
              <w:rPr>
                <w:kern w:val="0"/>
                <w:sz w:val="24"/>
                <w:szCs w:val="26"/>
              </w:rPr>
            </w:pPr>
            <w:r w:rsidRPr="00892C8C">
              <w:rPr>
                <w:kern w:val="0"/>
                <w:sz w:val="24"/>
                <w:szCs w:val="26"/>
              </w:rPr>
              <w:t>1.8</w:t>
            </w:r>
          </w:p>
        </w:tc>
        <w:tc>
          <w:tcPr>
            <w:tcW w:w="2127" w:type="dxa"/>
            <w:vAlign w:val="bottom"/>
          </w:tcPr>
          <w:p w14:paraId="26C0C25C" w14:textId="07B2EF48" w:rsidR="00490DB1" w:rsidRPr="00933D29" w:rsidRDefault="00490DB1" w:rsidP="00490DB1">
            <w:pPr>
              <w:pStyle w:val="Heading1"/>
              <w:tabs>
                <w:tab w:val="decimal" w:pos="907"/>
              </w:tabs>
              <w:ind w:left="-28"/>
              <w:jc w:val="left"/>
              <w:rPr>
                <w:kern w:val="0"/>
                <w:sz w:val="24"/>
                <w:szCs w:val="26"/>
              </w:rPr>
            </w:pPr>
            <w:r w:rsidRPr="00933D29">
              <w:rPr>
                <w:kern w:val="0"/>
                <w:sz w:val="24"/>
                <w:szCs w:val="26"/>
              </w:rPr>
              <w:t>1.</w:t>
            </w:r>
            <w:r w:rsidR="00782A05" w:rsidRPr="00933D29">
              <w:rPr>
                <w:kern w:val="0"/>
                <w:sz w:val="24"/>
                <w:szCs w:val="26"/>
              </w:rPr>
              <w:t>9</w:t>
            </w:r>
          </w:p>
        </w:tc>
      </w:tr>
      <w:tr w:rsidR="00490DB1" w:rsidRPr="00490DB1" w14:paraId="686C1D85" w14:textId="77777777" w:rsidTr="0039040A">
        <w:trPr>
          <w:trHeight w:val="60"/>
        </w:trPr>
        <w:tc>
          <w:tcPr>
            <w:tcW w:w="2977" w:type="dxa"/>
            <w:vAlign w:val="bottom"/>
          </w:tcPr>
          <w:p w14:paraId="604C5EBF" w14:textId="77777777" w:rsidR="00490DB1" w:rsidRPr="006C6B94" w:rsidRDefault="00490DB1" w:rsidP="00490DB1">
            <w:pPr>
              <w:snapToGrid w:val="0"/>
              <w:ind w:firstLineChars="200" w:firstLine="480"/>
              <w:jc w:val="both"/>
              <w:rPr>
                <w:kern w:val="0"/>
              </w:rPr>
            </w:pPr>
            <w:r w:rsidRPr="006C6B94">
              <w:rPr>
                <w:kern w:val="0"/>
              </w:rPr>
              <w:t>Euro area</w:t>
            </w:r>
          </w:p>
        </w:tc>
        <w:tc>
          <w:tcPr>
            <w:tcW w:w="1701" w:type="dxa"/>
          </w:tcPr>
          <w:p w14:paraId="6CDBAD3C" w14:textId="7B71E12D" w:rsidR="00490DB1" w:rsidRPr="006C6B94" w:rsidRDefault="00490DB1" w:rsidP="00490DB1">
            <w:pPr>
              <w:pStyle w:val="Heading1"/>
              <w:tabs>
                <w:tab w:val="decimal" w:pos="702"/>
              </w:tabs>
              <w:ind w:left="-28"/>
              <w:jc w:val="left"/>
              <w:rPr>
                <w:kern w:val="0"/>
                <w:sz w:val="24"/>
                <w:szCs w:val="26"/>
              </w:rPr>
            </w:pPr>
            <w:r w:rsidRPr="006C6B94">
              <w:rPr>
                <w:kern w:val="0"/>
                <w:sz w:val="24"/>
                <w:szCs w:val="26"/>
              </w:rPr>
              <w:t>0.9</w:t>
            </w:r>
            <w:r w:rsidRPr="006C6B94">
              <w:rPr>
                <w:kern w:val="0"/>
                <w:sz w:val="24"/>
                <w:szCs w:val="26"/>
                <w:vertAlign w:val="superscript"/>
              </w:rPr>
              <w:t>#</w:t>
            </w:r>
          </w:p>
        </w:tc>
        <w:tc>
          <w:tcPr>
            <w:tcW w:w="2126" w:type="dxa"/>
            <w:vAlign w:val="bottom"/>
          </w:tcPr>
          <w:p w14:paraId="4291CD8F" w14:textId="460B3C12" w:rsidR="00490DB1" w:rsidRPr="006C6B94" w:rsidRDefault="00490DB1" w:rsidP="00490DB1">
            <w:pPr>
              <w:pStyle w:val="Heading1"/>
              <w:tabs>
                <w:tab w:val="decimal" w:pos="907"/>
              </w:tabs>
              <w:ind w:left="-28"/>
              <w:jc w:val="left"/>
              <w:rPr>
                <w:kern w:val="0"/>
                <w:sz w:val="24"/>
                <w:szCs w:val="26"/>
              </w:rPr>
            </w:pPr>
            <w:r w:rsidRPr="00892C8C">
              <w:rPr>
                <w:kern w:val="0"/>
                <w:sz w:val="24"/>
                <w:szCs w:val="26"/>
              </w:rPr>
              <w:t>0.8</w:t>
            </w:r>
          </w:p>
        </w:tc>
        <w:tc>
          <w:tcPr>
            <w:tcW w:w="2127" w:type="dxa"/>
            <w:vAlign w:val="bottom"/>
          </w:tcPr>
          <w:p w14:paraId="6E87BD0A" w14:textId="65D5EC67" w:rsidR="00490DB1" w:rsidRPr="00933D29" w:rsidRDefault="00782A05" w:rsidP="00490DB1">
            <w:pPr>
              <w:pStyle w:val="Heading1"/>
              <w:tabs>
                <w:tab w:val="decimal" w:pos="907"/>
              </w:tabs>
              <w:ind w:left="-28"/>
              <w:jc w:val="left"/>
              <w:rPr>
                <w:kern w:val="0"/>
                <w:sz w:val="24"/>
                <w:szCs w:val="26"/>
              </w:rPr>
            </w:pPr>
            <w:r w:rsidRPr="00933D29">
              <w:rPr>
                <w:kern w:val="0"/>
                <w:sz w:val="24"/>
                <w:szCs w:val="26"/>
              </w:rPr>
              <w:t>1</w:t>
            </w:r>
            <w:r w:rsidR="00490DB1" w:rsidRPr="00933D29">
              <w:rPr>
                <w:kern w:val="0"/>
                <w:sz w:val="24"/>
                <w:szCs w:val="26"/>
              </w:rPr>
              <w:t>.</w:t>
            </w:r>
            <w:r w:rsidRPr="00933D29">
              <w:rPr>
                <w:kern w:val="0"/>
                <w:sz w:val="24"/>
                <w:szCs w:val="26"/>
              </w:rPr>
              <w:t>0</w:t>
            </w:r>
          </w:p>
        </w:tc>
      </w:tr>
      <w:tr w:rsidR="00490DB1" w:rsidRPr="00490DB1" w14:paraId="5A9D743F" w14:textId="77777777" w:rsidTr="0039040A">
        <w:trPr>
          <w:trHeight w:val="60"/>
        </w:trPr>
        <w:tc>
          <w:tcPr>
            <w:tcW w:w="2977" w:type="dxa"/>
            <w:vAlign w:val="bottom"/>
          </w:tcPr>
          <w:p w14:paraId="16B55EF2" w14:textId="77777777" w:rsidR="00490DB1" w:rsidRPr="006C6B94" w:rsidRDefault="00490DB1" w:rsidP="00490DB1">
            <w:pPr>
              <w:snapToGrid w:val="0"/>
              <w:ind w:firstLineChars="200" w:firstLine="480"/>
              <w:jc w:val="both"/>
              <w:rPr>
                <w:kern w:val="0"/>
              </w:rPr>
            </w:pPr>
            <w:r w:rsidRPr="006C6B94">
              <w:rPr>
                <w:kern w:val="0"/>
              </w:rPr>
              <w:t>UK</w:t>
            </w:r>
          </w:p>
        </w:tc>
        <w:tc>
          <w:tcPr>
            <w:tcW w:w="1701" w:type="dxa"/>
          </w:tcPr>
          <w:p w14:paraId="47082568"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1.1</w:t>
            </w:r>
            <w:r w:rsidRPr="006C6B94">
              <w:rPr>
                <w:kern w:val="0"/>
                <w:sz w:val="24"/>
                <w:szCs w:val="26"/>
                <w:vertAlign w:val="superscript"/>
              </w:rPr>
              <w:t>#</w:t>
            </w:r>
          </w:p>
        </w:tc>
        <w:tc>
          <w:tcPr>
            <w:tcW w:w="2126" w:type="dxa"/>
            <w:vAlign w:val="bottom"/>
          </w:tcPr>
          <w:p w14:paraId="1E8FE92A" w14:textId="7D8AE944" w:rsidR="00490DB1" w:rsidRPr="006C6B94" w:rsidRDefault="00490DB1" w:rsidP="00490DB1">
            <w:pPr>
              <w:pStyle w:val="Heading1"/>
              <w:tabs>
                <w:tab w:val="decimal" w:pos="907"/>
              </w:tabs>
              <w:ind w:left="-28"/>
              <w:jc w:val="left"/>
              <w:rPr>
                <w:kern w:val="0"/>
                <w:sz w:val="24"/>
                <w:szCs w:val="26"/>
              </w:rPr>
            </w:pPr>
            <w:r w:rsidRPr="00892C8C">
              <w:rPr>
                <w:kern w:val="0"/>
                <w:sz w:val="24"/>
                <w:szCs w:val="26"/>
              </w:rPr>
              <w:t>1.1</w:t>
            </w:r>
          </w:p>
        </w:tc>
        <w:tc>
          <w:tcPr>
            <w:tcW w:w="2127" w:type="dxa"/>
            <w:vAlign w:val="bottom"/>
          </w:tcPr>
          <w:p w14:paraId="11F0B6B2" w14:textId="5ADB0D59" w:rsidR="00490DB1" w:rsidRPr="00933D29" w:rsidRDefault="00490DB1" w:rsidP="00490DB1">
            <w:pPr>
              <w:pStyle w:val="Heading1"/>
              <w:tabs>
                <w:tab w:val="decimal" w:pos="907"/>
              </w:tabs>
              <w:ind w:left="-28"/>
              <w:jc w:val="left"/>
              <w:rPr>
                <w:kern w:val="0"/>
                <w:sz w:val="24"/>
                <w:szCs w:val="26"/>
              </w:rPr>
            </w:pPr>
            <w:r w:rsidRPr="00933D29">
              <w:rPr>
                <w:kern w:val="0"/>
                <w:sz w:val="24"/>
                <w:szCs w:val="26"/>
              </w:rPr>
              <w:t>1.</w:t>
            </w:r>
            <w:r w:rsidR="00782A05" w:rsidRPr="00933D29">
              <w:rPr>
                <w:kern w:val="0"/>
                <w:sz w:val="24"/>
                <w:szCs w:val="26"/>
              </w:rPr>
              <w:t>2</w:t>
            </w:r>
          </w:p>
        </w:tc>
      </w:tr>
      <w:tr w:rsidR="00490DB1" w:rsidRPr="00490DB1" w14:paraId="7589ACAE" w14:textId="77777777" w:rsidTr="0039040A">
        <w:trPr>
          <w:trHeight w:val="60"/>
        </w:trPr>
        <w:tc>
          <w:tcPr>
            <w:tcW w:w="2977" w:type="dxa"/>
            <w:vAlign w:val="bottom"/>
          </w:tcPr>
          <w:p w14:paraId="65818DD2" w14:textId="77777777" w:rsidR="00490DB1" w:rsidRPr="006C6B94" w:rsidRDefault="00490DB1" w:rsidP="00490DB1">
            <w:pPr>
              <w:snapToGrid w:val="0"/>
              <w:ind w:firstLine="140"/>
              <w:jc w:val="both"/>
              <w:rPr>
                <w:kern w:val="0"/>
              </w:rPr>
            </w:pPr>
            <w:r w:rsidRPr="006C6B94">
              <w:rPr>
                <w:kern w:val="0"/>
              </w:rPr>
              <w:t xml:space="preserve">   Japan</w:t>
            </w:r>
          </w:p>
        </w:tc>
        <w:tc>
          <w:tcPr>
            <w:tcW w:w="1701" w:type="dxa"/>
          </w:tcPr>
          <w:p w14:paraId="362A9193" w14:textId="4058CFE7" w:rsidR="00490DB1" w:rsidRPr="006C6B94" w:rsidRDefault="00490DB1" w:rsidP="00490DB1">
            <w:pPr>
              <w:pStyle w:val="Heading1"/>
              <w:tabs>
                <w:tab w:val="decimal" w:pos="702"/>
              </w:tabs>
              <w:ind w:left="-28"/>
              <w:jc w:val="left"/>
              <w:rPr>
                <w:kern w:val="0"/>
                <w:sz w:val="24"/>
                <w:szCs w:val="26"/>
              </w:rPr>
            </w:pPr>
            <w:r w:rsidRPr="006C6B94">
              <w:rPr>
                <w:kern w:val="0"/>
                <w:sz w:val="24"/>
                <w:szCs w:val="26"/>
              </w:rPr>
              <w:t>0.</w:t>
            </w:r>
            <w:r w:rsidR="006C6B94">
              <w:rPr>
                <w:rFonts w:hint="eastAsia"/>
                <w:kern w:val="0"/>
                <w:sz w:val="24"/>
                <w:szCs w:val="26"/>
              </w:rPr>
              <w:t>2</w:t>
            </w:r>
            <w:r w:rsidRPr="006C6B94">
              <w:rPr>
                <w:kern w:val="0"/>
                <w:sz w:val="24"/>
                <w:szCs w:val="26"/>
                <w:vertAlign w:val="superscript"/>
              </w:rPr>
              <w:t>#</w:t>
            </w:r>
          </w:p>
        </w:tc>
        <w:tc>
          <w:tcPr>
            <w:tcW w:w="2126" w:type="dxa"/>
            <w:vAlign w:val="bottom"/>
          </w:tcPr>
          <w:p w14:paraId="1A1F778A" w14:textId="7D368FC7" w:rsidR="00490DB1" w:rsidRPr="006C6B94" w:rsidRDefault="00490DB1" w:rsidP="00490DB1">
            <w:pPr>
              <w:pStyle w:val="Heading1"/>
              <w:tabs>
                <w:tab w:val="decimal" w:pos="907"/>
              </w:tabs>
              <w:ind w:left="-28"/>
              <w:jc w:val="left"/>
              <w:rPr>
                <w:kern w:val="0"/>
                <w:sz w:val="24"/>
                <w:szCs w:val="26"/>
              </w:rPr>
            </w:pPr>
            <w:r w:rsidRPr="00892C8C">
              <w:rPr>
                <w:kern w:val="0"/>
                <w:sz w:val="24"/>
                <w:szCs w:val="26"/>
              </w:rPr>
              <w:t>0.6</w:t>
            </w:r>
          </w:p>
        </w:tc>
        <w:tc>
          <w:tcPr>
            <w:tcW w:w="2127" w:type="dxa"/>
            <w:vAlign w:val="bottom"/>
          </w:tcPr>
          <w:p w14:paraId="4439B962" w14:textId="209BF8AF" w:rsidR="00490DB1" w:rsidRPr="00933D29" w:rsidRDefault="00490DB1" w:rsidP="00490DB1">
            <w:pPr>
              <w:pStyle w:val="Heading1"/>
              <w:tabs>
                <w:tab w:val="decimal" w:pos="907"/>
              </w:tabs>
              <w:ind w:left="-28"/>
              <w:jc w:val="left"/>
              <w:rPr>
                <w:kern w:val="0"/>
                <w:sz w:val="24"/>
                <w:szCs w:val="26"/>
              </w:rPr>
            </w:pPr>
            <w:r w:rsidRPr="00933D29">
              <w:rPr>
                <w:kern w:val="0"/>
                <w:sz w:val="24"/>
                <w:szCs w:val="26"/>
              </w:rPr>
              <w:t>0.</w:t>
            </w:r>
            <w:r w:rsidR="00782A05" w:rsidRPr="00933D29">
              <w:rPr>
                <w:kern w:val="0"/>
                <w:sz w:val="24"/>
                <w:szCs w:val="26"/>
              </w:rPr>
              <w:t>7</w:t>
            </w:r>
          </w:p>
        </w:tc>
      </w:tr>
      <w:tr w:rsidR="00490DB1" w:rsidRPr="00490DB1" w14:paraId="742A9F11" w14:textId="77777777" w:rsidTr="0039040A">
        <w:trPr>
          <w:trHeight w:val="560"/>
        </w:trPr>
        <w:tc>
          <w:tcPr>
            <w:tcW w:w="2977" w:type="dxa"/>
            <w:vAlign w:val="bottom"/>
          </w:tcPr>
          <w:p w14:paraId="3DB28560" w14:textId="77777777" w:rsidR="00490DB1" w:rsidRPr="006C6B94" w:rsidRDefault="00490DB1" w:rsidP="00490DB1">
            <w:pPr>
              <w:snapToGrid w:val="0"/>
              <w:rPr>
                <w:kern w:val="0"/>
              </w:rPr>
            </w:pPr>
            <w:r w:rsidRPr="006C6B94">
              <w:rPr>
                <w:kern w:val="0"/>
              </w:rPr>
              <w:t>Emerging market and developing economies</w:t>
            </w:r>
          </w:p>
        </w:tc>
        <w:tc>
          <w:tcPr>
            <w:tcW w:w="1701" w:type="dxa"/>
            <w:vAlign w:val="bottom"/>
          </w:tcPr>
          <w:p w14:paraId="04B37897" w14:textId="77777777" w:rsidR="00490DB1" w:rsidRPr="006C6B94" w:rsidRDefault="00490DB1" w:rsidP="00490DB1">
            <w:pPr>
              <w:pStyle w:val="Heading1"/>
              <w:tabs>
                <w:tab w:val="decimal" w:pos="702"/>
              </w:tabs>
              <w:ind w:left="-28"/>
              <w:jc w:val="left"/>
              <w:rPr>
                <w:b/>
                <w:kern w:val="0"/>
                <w:sz w:val="24"/>
                <w:szCs w:val="26"/>
              </w:rPr>
            </w:pPr>
            <w:r w:rsidRPr="006C6B94">
              <w:rPr>
                <w:kern w:val="0"/>
                <w:sz w:val="24"/>
                <w:szCs w:val="26"/>
              </w:rPr>
              <w:t>4.3</w:t>
            </w:r>
          </w:p>
        </w:tc>
        <w:tc>
          <w:tcPr>
            <w:tcW w:w="2126" w:type="dxa"/>
            <w:vAlign w:val="bottom"/>
          </w:tcPr>
          <w:p w14:paraId="7425DB9F" w14:textId="00ECB9D0" w:rsidR="00490DB1" w:rsidRPr="006C6B94" w:rsidRDefault="00490DB1" w:rsidP="00490DB1">
            <w:pPr>
              <w:pStyle w:val="Heading1"/>
              <w:tabs>
                <w:tab w:val="decimal" w:pos="907"/>
              </w:tabs>
              <w:ind w:left="-28"/>
              <w:jc w:val="left"/>
              <w:rPr>
                <w:b/>
                <w:kern w:val="0"/>
                <w:sz w:val="24"/>
                <w:szCs w:val="26"/>
              </w:rPr>
            </w:pPr>
            <w:r w:rsidRPr="00892C8C">
              <w:rPr>
                <w:kern w:val="0"/>
                <w:sz w:val="24"/>
                <w:szCs w:val="26"/>
              </w:rPr>
              <w:t>3.7</w:t>
            </w:r>
          </w:p>
        </w:tc>
        <w:tc>
          <w:tcPr>
            <w:tcW w:w="2127" w:type="dxa"/>
            <w:vAlign w:val="bottom"/>
          </w:tcPr>
          <w:p w14:paraId="6B674763" w14:textId="0A27BBCB" w:rsidR="00490DB1" w:rsidRPr="00933D29" w:rsidRDefault="00782A05" w:rsidP="00490DB1">
            <w:pPr>
              <w:pStyle w:val="Heading1"/>
              <w:tabs>
                <w:tab w:val="decimal" w:pos="907"/>
              </w:tabs>
              <w:ind w:left="-28"/>
              <w:jc w:val="left"/>
              <w:rPr>
                <w:b/>
                <w:kern w:val="0"/>
                <w:sz w:val="24"/>
                <w:szCs w:val="26"/>
              </w:rPr>
            </w:pPr>
            <w:r w:rsidRPr="00933D29">
              <w:rPr>
                <w:kern w:val="0"/>
                <w:sz w:val="24"/>
                <w:szCs w:val="26"/>
              </w:rPr>
              <w:t>4</w:t>
            </w:r>
            <w:r w:rsidR="00490DB1" w:rsidRPr="00933D29">
              <w:rPr>
                <w:kern w:val="0"/>
                <w:sz w:val="24"/>
                <w:szCs w:val="26"/>
              </w:rPr>
              <w:t>.</w:t>
            </w:r>
            <w:r w:rsidRPr="00933D29">
              <w:rPr>
                <w:kern w:val="0"/>
                <w:sz w:val="24"/>
                <w:szCs w:val="26"/>
              </w:rPr>
              <w:t>1</w:t>
            </w:r>
          </w:p>
        </w:tc>
      </w:tr>
      <w:tr w:rsidR="00490DB1" w:rsidRPr="00490DB1" w14:paraId="4C269401" w14:textId="77777777" w:rsidTr="0039040A">
        <w:trPr>
          <w:trHeight w:val="60"/>
        </w:trPr>
        <w:tc>
          <w:tcPr>
            <w:tcW w:w="2977" w:type="dxa"/>
            <w:vAlign w:val="bottom"/>
          </w:tcPr>
          <w:p w14:paraId="222543FE" w14:textId="77777777" w:rsidR="00490DB1" w:rsidRPr="006C6B94" w:rsidRDefault="00490DB1" w:rsidP="00490DB1">
            <w:pPr>
              <w:snapToGrid w:val="0"/>
              <w:ind w:leftChars="199" w:left="478"/>
              <w:rPr>
                <w:kern w:val="0"/>
              </w:rPr>
            </w:pPr>
            <w:r w:rsidRPr="006C6B94">
              <w:rPr>
                <w:rFonts w:eastAsia="SimSun"/>
                <w:kern w:val="0"/>
                <w:lang w:eastAsia="zh-CN"/>
              </w:rPr>
              <w:t>Emerging and d</w:t>
            </w:r>
            <w:r w:rsidRPr="006C6B94">
              <w:rPr>
                <w:kern w:val="0"/>
              </w:rPr>
              <w:t>eveloping Asia</w:t>
            </w:r>
          </w:p>
        </w:tc>
        <w:tc>
          <w:tcPr>
            <w:tcW w:w="1701" w:type="dxa"/>
            <w:vAlign w:val="bottom"/>
          </w:tcPr>
          <w:p w14:paraId="0AAE21A5"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5.3</w:t>
            </w:r>
          </w:p>
        </w:tc>
        <w:tc>
          <w:tcPr>
            <w:tcW w:w="2126" w:type="dxa"/>
            <w:vAlign w:val="bottom"/>
          </w:tcPr>
          <w:p w14:paraId="554D7D86" w14:textId="2A2CDA7B" w:rsidR="00490DB1" w:rsidRPr="006C6B94" w:rsidRDefault="00490DB1" w:rsidP="00490DB1">
            <w:pPr>
              <w:pStyle w:val="Heading1"/>
              <w:tabs>
                <w:tab w:val="decimal" w:pos="907"/>
              </w:tabs>
              <w:ind w:left="-28"/>
              <w:jc w:val="left"/>
              <w:rPr>
                <w:kern w:val="0"/>
                <w:sz w:val="24"/>
                <w:szCs w:val="26"/>
              </w:rPr>
            </w:pPr>
            <w:r w:rsidRPr="00892C8C">
              <w:rPr>
                <w:kern w:val="0"/>
                <w:sz w:val="24"/>
                <w:szCs w:val="26"/>
              </w:rPr>
              <w:t>4.5</w:t>
            </w:r>
          </w:p>
        </w:tc>
        <w:tc>
          <w:tcPr>
            <w:tcW w:w="2127" w:type="dxa"/>
            <w:vAlign w:val="bottom"/>
          </w:tcPr>
          <w:p w14:paraId="18D55B91" w14:textId="31FC8501" w:rsidR="00490DB1" w:rsidRPr="00933D29" w:rsidRDefault="00782A05" w:rsidP="00490DB1">
            <w:pPr>
              <w:pStyle w:val="Heading1"/>
              <w:tabs>
                <w:tab w:val="decimal" w:pos="907"/>
              </w:tabs>
              <w:ind w:left="-28"/>
              <w:jc w:val="left"/>
              <w:rPr>
                <w:kern w:val="0"/>
                <w:sz w:val="24"/>
                <w:szCs w:val="26"/>
              </w:rPr>
            </w:pPr>
            <w:r w:rsidRPr="00933D29">
              <w:rPr>
                <w:kern w:val="0"/>
                <w:sz w:val="24"/>
                <w:szCs w:val="26"/>
              </w:rPr>
              <w:t>5</w:t>
            </w:r>
            <w:r w:rsidR="00490DB1" w:rsidRPr="00933D29">
              <w:rPr>
                <w:kern w:val="0"/>
                <w:sz w:val="24"/>
                <w:szCs w:val="26"/>
              </w:rPr>
              <w:t>.</w:t>
            </w:r>
            <w:r w:rsidRPr="00933D29">
              <w:rPr>
                <w:kern w:val="0"/>
                <w:sz w:val="24"/>
                <w:szCs w:val="26"/>
              </w:rPr>
              <w:t>1</w:t>
            </w:r>
          </w:p>
        </w:tc>
      </w:tr>
      <w:tr w:rsidR="00490DB1" w:rsidRPr="00490DB1" w14:paraId="36CB005B" w14:textId="77777777" w:rsidTr="0039040A">
        <w:trPr>
          <w:trHeight w:val="60"/>
        </w:trPr>
        <w:tc>
          <w:tcPr>
            <w:tcW w:w="2977" w:type="dxa"/>
            <w:vAlign w:val="bottom"/>
          </w:tcPr>
          <w:p w14:paraId="7F08CB64" w14:textId="77777777" w:rsidR="00490DB1" w:rsidRPr="006C6B94" w:rsidRDefault="00490DB1" w:rsidP="00490DB1">
            <w:pPr>
              <w:snapToGrid w:val="0"/>
              <w:ind w:left="268" w:firstLine="420"/>
              <w:jc w:val="both"/>
              <w:rPr>
                <w:kern w:val="0"/>
              </w:rPr>
            </w:pPr>
            <w:r w:rsidRPr="006C6B94">
              <w:rPr>
                <w:kern w:val="0"/>
              </w:rPr>
              <w:t>Mainland China</w:t>
            </w:r>
          </w:p>
        </w:tc>
        <w:tc>
          <w:tcPr>
            <w:tcW w:w="1701" w:type="dxa"/>
            <w:vAlign w:val="bottom"/>
          </w:tcPr>
          <w:p w14:paraId="0F6FC427"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5.0</w:t>
            </w:r>
            <w:r w:rsidRPr="006C6B94">
              <w:rPr>
                <w:kern w:val="0"/>
                <w:sz w:val="24"/>
                <w:szCs w:val="26"/>
                <w:vertAlign w:val="superscript"/>
              </w:rPr>
              <w:t>#</w:t>
            </w:r>
          </w:p>
        </w:tc>
        <w:tc>
          <w:tcPr>
            <w:tcW w:w="2126" w:type="dxa"/>
            <w:vAlign w:val="bottom"/>
          </w:tcPr>
          <w:p w14:paraId="4DC4B35B" w14:textId="7EF4AEB5" w:rsidR="00490DB1" w:rsidRPr="006C6B94" w:rsidRDefault="00490DB1" w:rsidP="00490DB1">
            <w:pPr>
              <w:pStyle w:val="Heading1"/>
              <w:tabs>
                <w:tab w:val="decimal" w:pos="907"/>
              </w:tabs>
              <w:ind w:left="-28"/>
              <w:jc w:val="left"/>
              <w:rPr>
                <w:kern w:val="0"/>
                <w:sz w:val="24"/>
                <w:szCs w:val="26"/>
              </w:rPr>
            </w:pPr>
            <w:r w:rsidRPr="00892C8C">
              <w:rPr>
                <w:kern w:val="0"/>
                <w:sz w:val="24"/>
                <w:szCs w:val="26"/>
              </w:rPr>
              <w:t>4.0</w:t>
            </w:r>
          </w:p>
        </w:tc>
        <w:tc>
          <w:tcPr>
            <w:tcW w:w="2127" w:type="dxa"/>
            <w:vAlign w:val="bottom"/>
          </w:tcPr>
          <w:p w14:paraId="0E2183D3" w14:textId="3F873C5F" w:rsidR="00490DB1" w:rsidRPr="00933D29" w:rsidRDefault="00490DB1" w:rsidP="00490DB1">
            <w:pPr>
              <w:pStyle w:val="Heading1"/>
              <w:tabs>
                <w:tab w:val="decimal" w:pos="907"/>
              </w:tabs>
              <w:jc w:val="left"/>
              <w:rPr>
                <w:kern w:val="0"/>
                <w:sz w:val="24"/>
                <w:szCs w:val="26"/>
              </w:rPr>
            </w:pPr>
            <w:r w:rsidRPr="00933D29">
              <w:rPr>
                <w:kern w:val="0"/>
                <w:sz w:val="24"/>
                <w:szCs w:val="26"/>
              </w:rPr>
              <w:t>4.</w:t>
            </w:r>
            <w:r w:rsidR="00782A05" w:rsidRPr="00933D29">
              <w:rPr>
                <w:kern w:val="0"/>
                <w:sz w:val="24"/>
                <w:szCs w:val="26"/>
              </w:rPr>
              <w:t>8</w:t>
            </w:r>
          </w:p>
        </w:tc>
      </w:tr>
      <w:tr w:rsidR="00490DB1" w:rsidRPr="00490DB1" w14:paraId="1BAD098E" w14:textId="77777777" w:rsidTr="0039040A">
        <w:trPr>
          <w:trHeight w:val="60"/>
        </w:trPr>
        <w:tc>
          <w:tcPr>
            <w:tcW w:w="2977" w:type="dxa"/>
            <w:vAlign w:val="bottom"/>
          </w:tcPr>
          <w:p w14:paraId="24D98092" w14:textId="77777777" w:rsidR="00490DB1" w:rsidRPr="006C6B94" w:rsidRDefault="00490DB1" w:rsidP="00490DB1">
            <w:pPr>
              <w:snapToGrid w:val="0"/>
              <w:ind w:left="268" w:firstLine="420"/>
              <w:jc w:val="both"/>
              <w:rPr>
                <w:kern w:val="0"/>
                <w:lang w:eastAsia="zh-HK"/>
              </w:rPr>
            </w:pPr>
            <w:r w:rsidRPr="006C6B94">
              <w:rPr>
                <w:kern w:val="0"/>
              </w:rPr>
              <w:t>India</w:t>
            </w:r>
            <w:r w:rsidRPr="006C6B94">
              <w:rPr>
                <w:kern w:val="0"/>
                <w:vertAlign w:val="superscript"/>
                <w:lang w:eastAsia="zh-HK"/>
              </w:rPr>
              <w:t>^</w:t>
            </w:r>
          </w:p>
        </w:tc>
        <w:tc>
          <w:tcPr>
            <w:tcW w:w="1701" w:type="dxa"/>
            <w:vAlign w:val="bottom"/>
          </w:tcPr>
          <w:p w14:paraId="47262EE4"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6.5</w:t>
            </w:r>
          </w:p>
        </w:tc>
        <w:tc>
          <w:tcPr>
            <w:tcW w:w="2126" w:type="dxa"/>
            <w:vAlign w:val="bottom"/>
          </w:tcPr>
          <w:p w14:paraId="1EE1B01B" w14:textId="08A0A30D" w:rsidR="00490DB1" w:rsidRPr="006C6B94" w:rsidRDefault="00490DB1" w:rsidP="00490DB1">
            <w:pPr>
              <w:pStyle w:val="Heading1"/>
              <w:tabs>
                <w:tab w:val="decimal" w:pos="907"/>
              </w:tabs>
              <w:ind w:left="-28"/>
              <w:jc w:val="left"/>
              <w:rPr>
                <w:kern w:val="0"/>
                <w:sz w:val="24"/>
                <w:szCs w:val="26"/>
              </w:rPr>
            </w:pPr>
            <w:r w:rsidRPr="00892C8C">
              <w:rPr>
                <w:kern w:val="0"/>
                <w:sz w:val="24"/>
                <w:szCs w:val="26"/>
              </w:rPr>
              <w:t>6.2</w:t>
            </w:r>
          </w:p>
        </w:tc>
        <w:tc>
          <w:tcPr>
            <w:tcW w:w="2127" w:type="dxa"/>
            <w:vAlign w:val="bottom"/>
          </w:tcPr>
          <w:p w14:paraId="532DB607" w14:textId="4223ED84" w:rsidR="00490DB1" w:rsidRPr="00933D29" w:rsidRDefault="00490DB1" w:rsidP="00490DB1">
            <w:pPr>
              <w:pStyle w:val="Heading1"/>
              <w:tabs>
                <w:tab w:val="decimal" w:pos="907"/>
              </w:tabs>
              <w:ind w:left="-28"/>
              <w:jc w:val="left"/>
              <w:rPr>
                <w:kern w:val="0"/>
                <w:sz w:val="24"/>
                <w:szCs w:val="26"/>
              </w:rPr>
            </w:pPr>
            <w:r w:rsidRPr="00933D29">
              <w:rPr>
                <w:kern w:val="0"/>
                <w:sz w:val="24"/>
                <w:szCs w:val="26"/>
              </w:rPr>
              <w:t>6.</w:t>
            </w:r>
            <w:r w:rsidR="00782A05" w:rsidRPr="00933D29">
              <w:rPr>
                <w:kern w:val="0"/>
                <w:sz w:val="24"/>
                <w:szCs w:val="26"/>
              </w:rPr>
              <w:t>4</w:t>
            </w:r>
          </w:p>
        </w:tc>
      </w:tr>
      <w:tr w:rsidR="00490DB1" w:rsidRPr="00490DB1" w14:paraId="6BED0446" w14:textId="77777777" w:rsidTr="0039040A">
        <w:trPr>
          <w:trHeight w:val="60"/>
        </w:trPr>
        <w:tc>
          <w:tcPr>
            <w:tcW w:w="2977" w:type="dxa"/>
            <w:vAlign w:val="bottom"/>
          </w:tcPr>
          <w:p w14:paraId="58544C59" w14:textId="77777777" w:rsidR="00490DB1" w:rsidRPr="006C6B94" w:rsidRDefault="00490DB1" w:rsidP="00490DB1">
            <w:pPr>
              <w:snapToGrid w:val="0"/>
              <w:ind w:left="268" w:firstLine="420"/>
              <w:jc w:val="both"/>
              <w:rPr>
                <w:kern w:val="0"/>
                <w:lang w:eastAsia="zh-HK"/>
              </w:rPr>
            </w:pPr>
            <w:r w:rsidRPr="006C6B94">
              <w:rPr>
                <w:kern w:val="0"/>
              </w:rPr>
              <w:t>ASEAN-5</w:t>
            </w:r>
            <w:r w:rsidRPr="006C6B94">
              <w:rPr>
                <w:kern w:val="0"/>
                <w:vertAlign w:val="superscript"/>
                <w:lang w:eastAsia="zh-HK"/>
              </w:rPr>
              <w:t>§</w:t>
            </w:r>
          </w:p>
        </w:tc>
        <w:tc>
          <w:tcPr>
            <w:tcW w:w="1701" w:type="dxa"/>
            <w:vAlign w:val="bottom"/>
          </w:tcPr>
          <w:p w14:paraId="3501E247"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4.6</w:t>
            </w:r>
          </w:p>
        </w:tc>
        <w:tc>
          <w:tcPr>
            <w:tcW w:w="2126" w:type="dxa"/>
            <w:vAlign w:val="bottom"/>
          </w:tcPr>
          <w:p w14:paraId="24527F82" w14:textId="198D7C44" w:rsidR="00490DB1" w:rsidRPr="006C6B94" w:rsidRDefault="00490DB1" w:rsidP="00490DB1">
            <w:pPr>
              <w:pStyle w:val="Heading1"/>
              <w:tabs>
                <w:tab w:val="decimal" w:pos="907"/>
              </w:tabs>
              <w:ind w:left="-28"/>
              <w:jc w:val="left"/>
              <w:rPr>
                <w:kern w:val="0"/>
                <w:sz w:val="24"/>
                <w:szCs w:val="26"/>
              </w:rPr>
            </w:pPr>
            <w:r w:rsidRPr="00892C8C">
              <w:rPr>
                <w:kern w:val="0"/>
                <w:sz w:val="24"/>
                <w:szCs w:val="26"/>
              </w:rPr>
              <w:t>4.0</w:t>
            </w:r>
          </w:p>
        </w:tc>
        <w:tc>
          <w:tcPr>
            <w:tcW w:w="2127" w:type="dxa"/>
            <w:vAlign w:val="bottom"/>
          </w:tcPr>
          <w:p w14:paraId="0BF25D2B" w14:textId="775BB518" w:rsidR="00490DB1" w:rsidRPr="00933D29" w:rsidRDefault="00490DB1" w:rsidP="00490DB1">
            <w:pPr>
              <w:pStyle w:val="Heading1"/>
              <w:tabs>
                <w:tab w:val="decimal" w:pos="907"/>
              </w:tabs>
              <w:ind w:left="-28"/>
              <w:jc w:val="left"/>
              <w:rPr>
                <w:kern w:val="0"/>
                <w:sz w:val="24"/>
                <w:szCs w:val="26"/>
              </w:rPr>
            </w:pPr>
            <w:r w:rsidRPr="00933D29">
              <w:rPr>
                <w:kern w:val="0"/>
                <w:sz w:val="24"/>
                <w:szCs w:val="26"/>
              </w:rPr>
              <w:t>4.</w:t>
            </w:r>
            <w:r w:rsidR="00782A05" w:rsidRPr="00933D29">
              <w:rPr>
                <w:kern w:val="0"/>
                <w:sz w:val="24"/>
                <w:szCs w:val="26"/>
              </w:rPr>
              <w:t>1</w:t>
            </w:r>
          </w:p>
        </w:tc>
      </w:tr>
      <w:tr w:rsidR="00490DB1" w:rsidRPr="00490DB1" w14:paraId="36F3C559" w14:textId="77777777" w:rsidTr="0039040A">
        <w:trPr>
          <w:trHeight w:val="60"/>
        </w:trPr>
        <w:tc>
          <w:tcPr>
            <w:tcW w:w="2977" w:type="dxa"/>
            <w:vAlign w:val="bottom"/>
          </w:tcPr>
          <w:p w14:paraId="7EC9E078" w14:textId="77777777" w:rsidR="00490DB1" w:rsidRPr="006C6B94" w:rsidRDefault="00490DB1" w:rsidP="00490DB1">
            <w:pPr>
              <w:snapToGrid w:val="0"/>
              <w:ind w:left="420"/>
              <w:rPr>
                <w:rFonts w:eastAsia="SimSun"/>
                <w:kern w:val="0"/>
                <w:lang w:eastAsia="zh-CN"/>
              </w:rPr>
            </w:pPr>
            <w:r w:rsidRPr="006C6B94">
              <w:rPr>
                <w:kern w:val="0"/>
              </w:rPr>
              <w:t xml:space="preserve">Middle East and </w:t>
            </w:r>
          </w:p>
          <w:p w14:paraId="21B5634B" w14:textId="77777777" w:rsidR="00490DB1" w:rsidRPr="006C6B94" w:rsidRDefault="00490DB1" w:rsidP="00490DB1">
            <w:pPr>
              <w:snapToGrid w:val="0"/>
              <w:ind w:left="420"/>
              <w:rPr>
                <w:kern w:val="0"/>
              </w:rPr>
            </w:pPr>
            <w:r w:rsidRPr="006C6B94">
              <w:rPr>
                <w:kern w:val="0"/>
              </w:rPr>
              <w:t>Central Asia</w:t>
            </w:r>
          </w:p>
        </w:tc>
        <w:tc>
          <w:tcPr>
            <w:tcW w:w="1701" w:type="dxa"/>
            <w:vAlign w:val="bottom"/>
          </w:tcPr>
          <w:p w14:paraId="46AEE5EC" w14:textId="77777777" w:rsidR="00490DB1" w:rsidRPr="006C6B94" w:rsidRDefault="00490DB1" w:rsidP="00490DB1">
            <w:pPr>
              <w:pStyle w:val="Heading1"/>
              <w:tabs>
                <w:tab w:val="decimal" w:pos="702"/>
              </w:tabs>
              <w:ind w:left="-28"/>
              <w:jc w:val="left"/>
              <w:rPr>
                <w:kern w:val="0"/>
                <w:sz w:val="24"/>
                <w:szCs w:val="26"/>
              </w:rPr>
            </w:pPr>
            <w:r w:rsidRPr="006C6B94">
              <w:rPr>
                <w:kern w:val="0"/>
                <w:sz w:val="24"/>
                <w:szCs w:val="26"/>
              </w:rPr>
              <w:t>2.4</w:t>
            </w:r>
          </w:p>
        </w:tc>
        <w:tc>
          <w:tcPr>
            <w:tcW w:w="2126" w:type="dxa"/>
            <w:vAlign w:val="bottom"/>
          </w:tcPr>
          <w:p w14:paraId="3EB778FC" w14:textId="5DB63BB6" w:rsidR="00490DB1" w:rsidRPr="006C6B94" w:rsidRDefault="00490DB1" w:rsidP="00490DB1">
            <w:pPr>
              <w:pStyle w:val="Heading1"/>
              <w:tabs>
                <w:tab w:val="decimal" w:pos="907"/>
              </w:tabs>
              <w:ind w:left="-28"/>
              <w:jc w:val="left"/>
              <w:rPr>
                <w:kern w:val="0"/>
                <w:sz w:val="24"/>
                <w:szCs w:val="26"/>
              </w:rPr>
            </w:pPr>
            <w:r w:rsidRPr="00892C8C">
              <w:rPr>
                <w:kern w:val="0"/>
                <w:sz w:val="24"/>
                <w:szCs w:val="26"/>
              </w:rPr>
              <w:t>3.0</w:t>
            </w:r>
          </w:p>
        </w:tc>
        <w:tc>
          <w:tcPr>
            <w:tcW w:w="2127" w:type="dxa"/>
            <w:vAlign w:val="bottom"/>
          </w:tcPr>
          <w:p w14:paraId="1FA924C1" w14:textId="143F5940" w:rsidR="00490DB1" w:rsidRPr="00933D29" w:rsidRDefault="00490DB1" w:rsidP="00490DB1">
            <w:pPr>
              <w:pStyle w:val="Heading1"/>
              <w:tabs>
                <w:tab w:val="decimal" w:pos="907"/>
              </w:tabs>
              <w:ind w:left="-28"/>
              <w:jc w:val="left"/>
              <w:rPr>
                <w:kern w:val="0"/>
                <w:sz w:val="24"/>
                <w:szCs w:val="26"/>
              </w:rPr>
            </w:pPr>
            <w:r w:rsidRPr="00933D29">
              <w:rPr>
                <w:kern w:val="0"/>
                <w:sz w:val="24"/>
                <w:szCs w:val="26"/>
              </w:rPr>
              <w:t>3.</w:t>
            </w:r>
            <w:r w:rsidR="00782A05" w:rsidRPr="00933D29">
              <w:rPr>
                <w:kern w:val="0"/>
                <w:sz w:val="24"/>
                <w:szCs w:val="26"/>
              </w:rPr>
              <w:t>4</w:t>
            </w:r>
          </w:p>
        </w:tc>
      </w:tr>
    </w:tbl>
    <w:p w14:paraId="40E6BAE1" w14:textId="77777777" w:rsidR="0071545C" w:rsidRPr="006C6B94" w:rsidRDefault="0071545C" w:rsidP="0071545C">
      <w:pPr>
        <w:pStyle w:val="Header"/>
        <w:spacing w:line="200" w:lineRule="exact"/>
        <w:ind w:left="360"/>
        <w:rPr>
          <w:kern w:val="0"/>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71545C" w:rsidRPr="00BE40F4" w14:paraId="4D483113" w14:textId="77777777" w:rsidTr="0039040A">
        <w:trPr>
          <w:trHeight w:val="74"/>
        </w:trPr>
        <w:tc>
          <w:tcPr>
            <w:tcW w:w="808" w:type="dxa"/>
          </w:tcPr>
          <w:p w14:paraId="6E9C1184" w14:textId="77777777" w:rsidR="0071545C" w:rsidRPr="006C6B94" w:rsidRDefault="0071545C" w:rsidP="0039040A">
            <w:pPr>
              <w:pStyle w:val="Header"/>
              <w:spacing w:line="260" w:lineRule="exact"/>
              <w:rPr>
                <w:kern w:val="0"/>
                <w:sz w:val="24"/>
                <w:lang w:eastAsia="zh-HK"/>
              </w:rPr>
            </w:pPr>
            <w:proofErr w:type="gramStart"/>
            <w:r w:rsidRPr="006C6B94">
              <w:rPr>
                <w:kern w:val="0"/>
                <w:sz w:val="24"/>
              </w:rPr>
              <w:t>Notes :</w:t>
            </w:r>
            <w:proofErr w:type="gramEnd"/>
          </w:p>
        </w:tc>
        <w:tc>
          <w:tcPr>
            <w:tcW w:w="293" w:type="dxa"/>
          </w:tcPr>
          <w:p w14:paraId="7458F59A" w14:textId="77777777" w:rsidR="0071545C" w:rsidRPr="006C6B94" w:rsidRDefault="0071545C" w:rsidP="0039040A">
            <w:pPr>
              <w:pStyle w:val="Header"/>
              <w:spacing w:line="260" w:lineRule="exact"/>
              <w:rPr>
                <w:kern w:val="0"/>
                <w:sz w:val="24"/>
              </w:rPr>
            </w:pPr>
          </w:p>
        </w:tc>
        <w:tc>
          <w:tcPr>
            <w:tcW w:w="707" w:type="dxa"/>
          </w:tcPr>
          <w:p w14:paraId="13D31081" w14:textId="77777777" w:rsidR="0071545C" w:rsidRPr="006C6B94" w:rsidRDefault="0071545C" w:rsidP="0039040A">
            <w:pPr>
              <w:pStyle w:val="Header"/>
              <w:spacing w:line="260" w:lineRule="exact"/>
              <w:rPr>
                <w:kern w:val="0"/>
                <w:sz w:val="24"/>
              </w:rPr>
            </w:pPr>
            <w:r w:rsidRPr="006C6B94">
              <w:rPr>
                <w:kern w:val="0"/>
                <w:sz w:val="24"/>
              </w:rPr>
              <w:t>(#)</w:t>
            </w:r>
          </w:p>
          <w:p w14:paraId="232CEC92" w14:textId="77777777" w:rsidR="0071545C" w:rsidRPr="006C6B94" w:rsidRDefault="0071545C" w:rsidP="0039040A">
            <w:pPr>
              <w:pStyle w:val="Header"/>
              <w:spacing w:line="260" w:lineRule="exact"/>
              <w:rPr>
                <w:kern w:val="0"/>
                <w:sz w:val="24"/>
              </w:rPr>
            </w:pPr>
            <w:r w:rsidRPr="006C6B94">
              <w:rPr>
                <w:kern w:val="0"/>
                <w:sz w:val="24"/>
              </w:rPr>
              <w:t>(##)</w:t>
            </w:r>
          </w:p>
          <w:p w14:paraId="0D7C705D" w14:textId="77777777" w:rsidR="0071545C" w:rsidRPr="006C6B94" w:rsidRDefault="0071545C" w:rsidP="0039040A">
            <w:pPr>
              <w:pStyle w:val="Header"/>
              <w:spacing w:line="260" w:lineRule="exact"/>
              <w:rPr>
                <w:kern w:val="0"/>
                <w:sz w:val="24"/>
              </w:rPr>
            </w:pPr>
            <w:r w:rsidRPr="006C6B94">
              <w:rPr>
                <w:kern w:val="0"/>
                <w:sz w:val="24"/>
                <w:lang w:eastAsia="zh-HK"/>
              </w:rPr>
              <w:t>(^)</w:t>
            </w:r>
          </w:p>
          <w:p w14:paraId="79EF52A9" w14:textId="77777777" w:rsidR="0071545C" w:rsidRPr="006C6B94" w:rsidRDefault="0071545C" w:rsidP="0039040A">
            <w:pPr>
              <w:pStyle w:val="Header"/>
              <w:spacing w:line="260" w:lineRule="exact"/>
              <w:rPr>
                <w:kern w:val="0"/>
                <w:sz w:val="24"/>
              </w:rPr>
            </w:pPr>
            <w:r w:rsidRPr="006C6B94">
              <w:rPr>
                <w:kern w:val="0"/>
                <w:sz w:val="24"/>
              </w:rPr>
              <w:t>(§)</w:t>
            </w:r>
          </w:p>
        </w:tc>
        <w:tc>
          <w:tcPr>
            <w:tcW w:w="7123" w:type="dxa"/>
          </w:tcPr>
          <w:p w14:paraId="6D43040B" w14:textId="77777777" w:rsidR="0071545C" w:rsidRPr="006C6B94" w:rsidRDefault="0071545C" w:rsidP="0039040A">
            <w:pPr>
              <w:pStyle w:val="Header"/>
              <w:spacing w:line="260" w:lineRule="exact"/>
              <w:rPr>
                <w:kern w:val="0"/>
                <w:lang w:eastAsia="zh-HK"/>
              </w:rPr>
            </w:pPr>
            <w:r w:rsidRPr="006C6B94">
              <w:rPr>
                <w:kern w:val="0"/>
                <w:sz w:val="24"/>
              </w:rPr>
              <w:t>Actual figures.</w:t>
            </w:r>
            <w:r w:rsidRPr="006C6B94">
              <w:rPr>
                <w:kern w:val="0"/>
              </w:rPr>
              <w:t xml:space="preserve"> </w:t>
            </w:r>
          </w:p>
          <w:p w14:paraId="3EFF1481" w14:textId="77777777" w:rsidR="0071545C" w:rsidRPr="006C6B94" w:rsidRDefault="0071545C" w:rsidP="0039040A">
            <w:pPr>
              <w:pStyle w:val="Header"/>
              <w:spacing w:line="260" w:lineRule="exact"/>
              <w:rPr>
                <w:kern w:val="0"/>
                <w:sz w:val="24"/>
              </w:rPr>
            </w:pPr>
            <w:r w:rsidRPr="006C6B94">
              <w:rPr>
                <w:kern w:val="0"/>
                <w:sz w:val="24"/>
              </w:rPr>
              <w:t>PPP refers to purchasing power parity.</w:t>
            </w:r>
          </w:p>
          <w:p w14:paraId="5AC2721A" w14:textId="77777777" w:rsidR="0071545C" w:rsidRPr="006C6B94" w:rsidRDefault="0071545C" w:rsidP="0039040A">
            <w:pPr>
              <w:pStyle w:val="Header"/>
              <w:spacing w:line="260" w:lineRule="exact"/>
              <w:rPr>
                <w:kern w:val="0"/>
                <w:sz w:val="24"/>
                <w:lang w:eastAsia="zh-HK"/>
              </w:rPr>
            </w:pPr>
            <w:r w:rsidRPr="006C6B94">
              <w:rPr>
                <w:kern w:val="0"/>
                <w:sz w:val="24"/>
                <w:lang w:eastAsia="zh-HK"/>
              </w:rPr>
              <w:t>Fiscal year.</w:t>
            </w:r>
          </w:p>
          <w:p w14:paraId="70A03618" w14:textId="77777777" w:rsidR="0071545C" w:rsidRPr="00BE40F4" w:rsidRDefault="0071545C" w:rsidP="0039040A">
            <w:pPr>
              <w:pStyle w:val="Header"/>
              <w:spacing w:line="260" w:lineRule="exact"/>
              <w:rPr>
                <w:kern w:val="0"/>
                <w:sz w:val="24"/>
              </w:rPr>
            </w:pPr>
            <w:r w:rsidRPr="006C6B94">
              <w:rPr>
                <w:kern w:val="0"/>
                <w:sz w:val="24"/>
              </w:rPr>
              <w:t>Includes Indonesia, Malaysia, the Philippines, Singapore and Thailand.</w:t>
            </w:r>
          </w:p>
        </w:tc>
      </w:tr>
    </w:tbl>
    <w:p w14:paraId="7331F636" w14:textId="658393F8" w:rsidR="00AB62B7" w:rsidRPr="00B67ADE" w:rsidRDefault="00AB62B7" w:rsidP="00CF4B45">
      <w:pPr>
        <w:overflowPunct w:val="0"/>
        <w:snapToGrid w:val="0"/>
        <w:jc w:val="both"/>
      </w:pPr>
    </w:p>
    <w:sectPr w:rsidR="00AB62B7" w:rsidRPr="00B67ADE" w:rsidSect="005949EB">
      <w:headerReference w:type="default" r:id="rId18"/>
      <w:footerReference w:type="even" r:id="rId19"/>
      <w:footerReference w:type="default" r:id="rId20"/>
      <w:pgSz w:w="11906" w:h="16838"/>
      <w:pgMar w:top="1009" w:right="1440" w:bottom="318" w:left="1440" w:header="720" w:footer="39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5D4B" w14:textId="77777777" w:rsidR="009938CD" w:rsidRDefault="009938CD">
      <w:r>
        <w:separator/>
      </w:r>
    </w:p>
  </w:endnote>
  <w:endnote w:type="continuationSeparator" w:id="0">
    <w:p w14:paraId="40119779" w14:textId="77777777" w:rsidR="009938CD" w:rsidRDefault="009938CD">
      <w:r>
        <w:continuationSeparator/>
      </w:r>
    </w:p>
  </w:endnote>
  <w:endnote w:type="continuationNotice" w:id="1">
    <w:p w14:paraId="0201C166" w14:textId="77777777" w:rsidR="009938CD" w:rsidRDefault="00993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標楷體">
    <w:panose1 w:val="03000509000000000000"/>
    <w:charset w:val="88"/>
    <w:family w:val="script"/>
    <w:pitch w:val="fixed"/>
    <w:sig w:usb0="00000003" w:usb1="080E0000"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F65A" w14:textId="77777777" w:rsidR="005127F6" w:rsidRDefault="00512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5127F6" w:rsidRDefault="00512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80AE" w14:textId="12105C7B" w:rsidR="005127F6" w:rsidRPr="00220CF1" w:rsidRDefault="005127F6"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B65A4E" w:rsidRPr="00B65A4E">
      <w:rPr>
        <w:noProof/>
        <w:sz w:val="28"/>
        <w:szCs w:val="28"/>
        <w:lang w:val="zh-TW"/>
      </w:rPr>
      <w:t>21</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3371B" w14:textId="77777777" w:rsidR="009938CD" w:rsidRDefault="009938CD" w:rsidP="00486A63">
      <w:pPr>
        <w:jc w:val="center"/>
      </w:pPr>
      <w:r>
        <w:separator/>
      </w:r>
    </w:p>
  </w:footnote>
  <w:footnote w:type="continuationSeparator" w:id="0">
    <w:p w14:paraId="79203F9C" w14:textId="77777777" w:rsidR="009938CD" w:rsidRDefault="009938CD">
      <w:r>
        <w:continuationSeparator/>
      </w:r>
    </w:p>
  </w:footnote>
  <w:footnote w:type="continuationNotice" w:id="1">
    <w:p w14:paraId="45F2CBB6" w14:textId="77777777" w:rsidR="009938CD" w:rsidRDefault="009938CD"/>
  </w:footnote>
  <w:footnote w:id="2">
    <w:p w14:paraId="5480EC06" w14:textId="77777777" w:rsidR="0064501B" w:rsidRPr="004719E3" w:rsidRDefault="0064501B" w:rsidP="0064501B">
      <w:pPr>
        <w:pStyle w:val="FootnoteText"/>
        <w:ind w:left="284" w:hangingChars="142" w:hanging="284"/>
        <w:jc w:val="both"/>
      </w:pPr>
      <w:r>
        <w:rPr>
          <w:rFonts w:hint="eastAsia"/>
        </w:rPr>
        <w:t>(</w:t>
      </w:r>
      <w:r w:rsidRPr="00785A90">
        <w:rPr>
          <w:rStyle w:val="FootnoteReference"/>
          <w:vertAlign w:val="baseline"/>
        </w:rPr>
        <w:footnoteRef/>
      </w:r>
      <w:r>
        <w:rPr>
          <w:rFonts w:hint="eastAsia"/>
        </w:rPr>
        <w:t>)</w:t>
      </w:r>
      <w:r>
        <w:t xml:space="preserve"> </w:t>
      </w:r>
      <w:r w:rsidRPr="004719E3">
        <w:t xml:space="preserve">The BRI encompasses many emerging </w:t>
      </w:r>
      <w:r>
        <w:t xml:space="preserve">markets </w:t>
      </w:r>
      <w:r w:rsidRPr="004719E3">
        <w:t xml:space="preserve">and developing economies globally. </w:t>
      </w:r>
      <w:r>
        <w:t xml:space="preserve"> </w:t>
      </w:r>
      <w:r w:rsidRPr="004719E3">
        <w:t>It includes all member states of ASEAN, the majority of countries in Latin America and Africa</w:t>
      </w:r>
      <w:r>
        <w:t>,</w:t>
      </w:r>
      <w:r>
        <w:rPr>
          <w:rFonts w:eastAsia="SimSun" w:hint="eastAsia"/>
          <w:lang w:eastAsia="zh-CN"/>
        </w:rPr>
        <w:t xml:space="preserve"> and other economies</w:t>
      </w:r>
      <w:r w:rsidRPr="004719E3">
        <w:t xml:space="preserve">. </w:t>
      </w:r>
      <w:r>
        <w:t xml:space="preserve"> </w:t>
      </w:r>
      <w:r w:rsidRPr="00D61E3D">
        <w:t>Currently</w:t>
      </w:r>
      <w:r w:rsidRPr="004719E3">
        <w:t>, over 150 countries participate in the BRI</w:t>
      </w:r>
      <w:r>
        <w:t>.</w:t>
      </w:r>
      <w:r w:rsidRPr="004719E3" w:rsidDel="006F0BDF">
        <w:t xml:space="preserve"> </w:t>
      </w:r>
    </w:p>
    <w:p w14:paraId="70EB769F" w14:textId="77777777" w:rsidR="0064501B" w:rsidRDefault="0064501B" w:rsidP="0064501B">
      <w:pPr>
        <w:pStyle w:val="FootnoteText"/>
        <w:ind w:firstLine="480"/>
      </w:pPr>
    </w:p>
  </w:footnote>
  <w:footnote w:id="3">
    <w:p w14:paraId="1432A6CD" w14:textId="77777777" w:rsidR="0064501B" w:rsidRDefault="0064501B" w:rsidP="0064501B">
      <w:pPr>
        <w:pStyle w:val="FootnoteText"/>
        <w:ind w:leftChars="1" w:left="284" w:hangingChars="141" w:hanging="282"/>
        <w:jc w:val="both"/>
      </w:pPr>
      <w:r>
        <w:rPr>
          <w:rFonts w:hint="eastAsia"/>
        </w:rPr>
        <w:t>(</w:t>
      </w:r>
      <w:r w:rsidRPr="00785A90">
        <w:rPr>
          <w:rStyle w:val="FootnoteReference"/>
          <w:vertAlign w:val="baseline"/>
        </w:rPr>
        <w:footnoteRef/>
      </w:r>
      <w:r>
        <w:rPr>
          <w:rFonts w:hint="eastAsia"/>
        </w:rPr>
        <w:t>)</w:t>
      </w:r>
      <w:r>
        <w:t xml:space="preserve"> </w:t>
      </w:r>
      <w:r w:rsidRPr="004C6715">
        <w:t>In this box article, the “Middle East” refers to Saudi Arabia, United Arab Emirates (UAE), Qatar, Iran, Iraq, Kuwait, Oman, Bahrain, Jordan, Lebanon, and Israel.</w:t>
      </w:r>
    </w:p>
    <w:p w14:paraId="7635D5D2" w14:textId="77777777" w:rsidR="0064501B" w:rsidRDefault="0064501B" w:rsidP="0064501B">
      <w:pPr>
        <w:pStyle w:val="FootnoteText"/>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6CE" w14:textId="77777777" w:rsidR="005127F6" w:rsidRPr="00C177F3" w:rsidRDefault="005127F6"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67621"/>
    <w:multiLevelType w:val="hybridMultilevel"/>
    <w:tmpl w:val="50846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A3E5F"/>
    <w:multiLevelType w:val="hybridMultilevel"/>
    <w:tmpl w:val="8FDC5570"/>
    <w:lvl w:ilvl="0" w:tplc="A4B42B20">
      <w:start w:val="1"/>
      <w:numFmt w:val="lowerRoman"/>
      <w:lvlText w:val="%1."/>
      <w:lvlJc w:val="left"/>
      <w:pPr>
        <w:ind w:left="1080" w:hanging="720"/>
      </w:pPr>
      <w:rPr>
        <w:rFonts w:hint="default"/>
      </w:rPr>
    </w:lvl>
    <w:lvl w:ilvl="1" w:tplc="3C090001">
      <w:start w:val="1"/>
      <w:numFmt w:val="bullet"/>
      <w:lvlText w:val=""/>
      <w:lvlJc w:val="left"/>
      <w:pPr>
        <w:ind w:left="1440" w:hanging="360"/>
      </w:pPr>
      <w:rPr>
        <w:rFonts w:ascii="Symbol" w:hAnsi="Symbol" w:hint="default"/>
      </w:r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6"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8"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16cid:durableId="2021616926">
    <w:abstractNumId w:val="7"/>
  </w:num>
  <w:num w:numId="2" w16cid:durableId="38209029">
    <w:abstractNumId w:val="0"/>
  </w:num>
  <w:num w:numId="3" w16cid:durableId="767850653">
    <w:abstractNumId w:val="2"/>
  </w:num>
  <w:num w:numId="4" w16cid:durableId="1364095602">
    <w:abstractNumId w:val="3"/>
  </w:num>
  <w:num w:numId="5" w16cid:durableId="617301501">
    <w:abstractNumId w:val="6"/>
  </w:num>
  <w:num w:numId="6" w16cid:durableId="2076126677">
    <w:abstractNumId w:val="1"/>
  </w:num>
  <w:num w:numId="7" w16cid:durableId="502553539">
    <w:abstractNumId w:val="8"/>
  </w:num>
  <w:num w:numId="8" w16cid:durableId="1052778438">
    <w:abstractNumId w:val="4"/>
  </w:num>
  <w:num w:numId="9" w16cid:durableId="103508591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zh-HK"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5E"/>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0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E89"/>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626"/>
    <w:rsid w:val="00010794"/>
    <w:rsid w:val="000107E8"/>
    <w:rsid w:val="00010845"/>
    <w:rsid w:val="00010885"/>
    <w:rsid w:val="000109CC"/>
    <w:rsid w:val="00010E7A"/>
    <w:rsid w:val="00010EA1"/>
    <w:rsid w:val="00010ED9"/>
    <w:rsid w:val="00010FB3"/>
    <w:rsid w:val="00011228"/>
    <w:rsid w:val="0001122F"/>
    <w:rsid w:val="000112F2"/>
    <w:rsid w:val="0001153D"/>
    <w:rsid w:val="00011740"/>
    <w:rsid w:val="00011874"/>
    <w:rsid w:val="0001189C"/>
    <w:rsid w:val="000119C4"/>
    <w:rsid w:val="00011B4F"/>
    <w:rsid w:val="00011D6D"/>
    <w:rsid w:val="00011F0D"/>
    <w:rsid w:val="00011F26"/>
    <w:rsid w:val="00011F34"/>
    <w:rsid w:val="0001206D"/>
    <w:rsid w:val="00012175"/>
    <w:rsid w:val="00012217"/>
    <w:rsid w:val="00012221"/>
    <w:rsid w:val="00012ACA"/>
    <w:rsid w:val="00012B1E"/>
    <w:rsid w:val="00012D29"/>
    <w:rsid w:val="00012D9B"/>
    <w:rsid w:val="00012E51"/>
    <w:rsid w:val="00012E7A"/>
    <w:rsid w:val="00012EE8"/>
    <w:rsid w:val="00012F09"/>
    <w:rsid w:val="00012F6D"/>
    <w:rsid w:val="00013243"/>
    <w:rsid w:val="000132AA"/>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2C"/>
    <w:rsid w:val="000163F4"/>
    <w:rsid w:val="0001652A"/>
    <w:rsid w:val="000165A5"/>
    <w:rsid w:val="000168B8"/>
    <w:rsid w:val="00016998"/>
    <w:rsid w:val="000169CE"/>
    <w:rsid w:val="00016DB7"/>
    <w:rsid w:val="00016E8E"/>
    <w:rsid w:val="00016F00"/>
    <w:rsid w:val="00016F29"/>
    <w:rsid w:val="0001737D"/>
    <w:rsid w:val="00017388"/>
    <w:rsid w:val="0001753C"/>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042"/>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AA8"/>
    <w:rsid w:val="00022B4F"/>
    <w:rsid w:val="00022BDE"/>
    <w:rsid w:val="00022C88"/>
    <w:rsid w:val="0002329A"/>
    <w:rsid w:val="00023399"/>
    <w:rsid w:val="000233E4"/>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AD8"/>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376"/>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7F7"/>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4C"/>
    <w:rsid w:val="0003795C"/>
    <w:rsid w:val="00037AF0"/>
    <w:rsid w:val="00037BAF"/>
    <w:rsid w:val="00037EB5"/>
    <w:rsid w:val="00040114"/>
    <w:rsid w:val="000402EC"/>
    <w:rsid w:val="000403A9"/>
    <w:rsid w:val="00040700"/>
    <w:rsid w:val="000407FE"/>
    <w:rsid w:val="0004093C"/>
    <w:rsid w:val="0004094E"/>
    <w:rsid w:val="000409DC"/>
    <w:rsid w:val="00040D44"/>
    <w:rsid w:val="00040EA6"/>
    <w:rsid w:val="00040EFE"/>
    <w:rsid w:val="00040F60"/>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BBF"/>
    <w:rsid w:val="00042D26"/>
    <w:rsid w:val="00042DA6"/>
    <w:rsid w:val="00042E4B"/>
    <w:rsid w:val="00042EF5"/>
    <w:rsid w:val="00042FE8"/>
    <w:rsid w:val="00043203"/>
    <w:rsid w:val="00043206"/>
    <w:rsid w:val="000432F1"/>
    <w:rsid w:val="0004330F"/>
    <w:rsid w:val="000434BD"/>
    <w:rsid w:val="000437D4"/>
    <w:rsid w:val="0004397A"/>
    <w:rsid w:val="00043995"/>
    <w:rsid w:val="00043B14"/>
    <w:rsid w:val="00043BBA"/>
    <w:rsid w:val="00043D6C"/>
    <w:rsid w:val="00043D95"/>
    <w:rsid w:val="00043DBD"/>
    <w:rsid w:val="00043FCD"/>
    <w:rsid w:val="000445FD"/>
    <w:rsid w:val="00044650"/>
    <w:rsid w:val="0004484C"/>
    <w:rsid w:val="0004484E"/>
    <w:rsid w:val="000449F8"/>
    <w:rsid w:val="00044B9E"/>
    <w:rsid w:val="00044BCF"/>
    <w:rsid w:val="00044D16"/>
    <w:rsid w:val="00044FA5"/>
    <w:rsid w:val="00044FBE"/>
    <w:rsid w:val="000450A6"/>
    <w:rsid w:val="000450BA"/>
    <w:rsid w:val="00045410"/>
    <w:rsid w:val="0004549F"/>
    <w:rsid w:val="0004553A"/>
    <w:rsid w:val="00045735"/>
    <w:rsid w:val="00045750"/>
    <w:rsid w:val="00045860"/>
    <w:rsid w:val="000458CC"/>
    <w:rsid w:val="000458E4"/>
    <w:rsid w:val="00045965"/>
    <w:rsid w:val="00045BEA"/>
    <w:rsid w:val="00045D06"/>
    <w:rsid w:val="00046110"/>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55"/>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3FBC"/>
    <w:rsid w:val="000541C2"/>
    <w:rsid w:val="00054322"/>
    <w:rsid w:val="000543F6"/>
    <w:rsid w:val="000545D7"/>
    <w:rsid w:val="000546EA"/>
    <w:rsid w:val="00054851"/>
    <w:rsid w:val="00054C18"/>
    <w:rsid w:val="00054E97"/>
    <w:rsid w:val="00054EF2"/>
    <w:rsid w:val="00054F37"/>
    <w:rsid w:val="00055056"/>
    <w:rsid w:val="00055070"/>
    <w:rsid w:val="00055749"/>
    <w:rsid w:val="00055931"/>
    <w:rsid w:val="00055A56"/>
    <w:rsid w:val="00055F76"/>
    <w:rsid w:val="00055F9D"/>
    <w:rsid w:val="00055FB7"/>
    <w:rsid w:val="00055FCD"/>
    <w:rsid w:val="000563C4"/>
    <w:rsid w:val="00056508"/>
    <w:rsid w:val="0005662F"/>
    <w:rsid w:val="000566E6"/>
    <w:rsid w:val="00056730"/>
    <w:rsid w:val="00056921"/>
    <w:rsid w:val="00056A46"/>
    <w:rsid w:val="00056CB2"/>
    <w:rsid w:val="00056DC5"/>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2CF"/>
    <w:rsid w:val="00061399"/>
    <w:rsid w:val="000614A2"/>
    <w:rsid w:val="0006171D"/>
    <w:rsid w:val="000617F3"/>
    <w:rsid w:val="000618A6"/>
    <w:rsid w:val="000618A8"/>
    <w:rsid w:val="00061A23"/>
    <w:rsid w:val="00061AA7"/>
    <w:rsid w:val="00061AE6"/>
    <w:rsid w:val="00061F0F"/>
    <w:rsid w:val="000621AE"/>
    <w:rsid w:val="0006220C"/>
    <w:rsid w:val="0006232B"/>
    <w:rsid w:val="000624F5"/>
    <w:rsid w:val="0006259C"/>
    <w:rsid w:val="000625F2"/>
    <w:rsid w:val="000626BA"/>
    <w:rsid w:val="0006282F"/>
    <w:rsid w:val="00062835"/>
    <w:rsid w:val="00062ACA"/>
    <w:rsid w:val="00062B17"/>
    <w:rsid w:val="00062D0F"/>
    <w:rsid w:val="00062D7C"/>
    <w:rsid w:val="00062DDB"/>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4F03"/>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7F0"/>
    <w:rsid w:val="00067826"/>
    <w:rsid w:val="0006790B"/>
    <w:rsid w:val="00067A31"/>
    <w:rsid w:val="00067D7F"/>
    <w:rsid w:val="00067EB6"/>
    <w:rsid w:val="00067F2E"/>
    <w:rsid w:val="000700CE"/>
    <w:rsid w:val="000704DB"/>
    <w:rsid w:val="000704EC"/>
    <w:rsid w:val="0007079C"/>
    <w:rsid w:val="0007080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E92"/>
    <w:rsid w:val="00072F22"/>
    <w:rsid w:val="00072FBC"/>
    <w:rsid w:val="00073057"/>
    <w:rsid w:val="000730AE"/>
    <w:rsid w:val="00073272"/>
    <w:rsid w:val="0007331C"/>
    <w:rsid w:val="000734BF"/>
    <w:rsid w:val="000736BE"/>
    <w:rsid w:val="000737C9"/>
    <w:rsid w:val="00073B07"/>
    <w:rsid w:val="00073C71"/>
    <w:rsid w:val="00073C75"/>
    <w:rsid w:val="00073CDE"/>
    <w:rsid w:val="00073E59"/>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D4"/>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CA9"/>
    <w:rsid w:val="00081D26"/>
    <w:rsid w:val="00081F78"/>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494"/>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17F"/>
    <w:rsid w:val="000862E8"/>
    <w:rsid w:val="000864B0"/>
    <w:rsid w:val="0008695C"/>
    <w:rsid w:val="00086AA4"/>
    <w:rsid w:val="00086CE9"/>
    <w:rsid w:val="00086DA0"/>
    <w:rsid w:val="0008704D"/>
    <w:rsid w:val="00087193"/>
    <w:rsid w:val="000872FA"/>
    <w:rsid w:val="0008734D"/>
    <w:rsid w:val="000873F5"/>
    <w:rsid w:val="000879B6"/>
    <w:rsid w:val="00087A31"/>
    <w:rsid w:val="00087AE3"/>
    <w:rsid w:val="00087B96"/>
    <w:rsid w:val="00087C05"/>
    <w:rsid w:val="00087C7A"/>
    <w:rsid w:val="00087D73"/>
    <w:rsid w:val="00087DB1"/>
    <w:rsid w:val="00087DBF"/>
    <w:rsid w:val="00087EFE"/>
    <w:rsid w:val="00087F14"/>
    <w:rsid w:val="00087F40"/>
    <w:rsid w:val="00090413"/>
    <w:rsid w:val="000904D3"/>
    <w:rsid w:val="0009068A"/>
    <w:rsid w:val="0009076F"/>
    <w:rsid w:val="0009092C"/>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D0A"/>
    <w:rsid w:val="00093D6F"/>
    <w:rsid w:val="00093EB6"/>
    <w:rsid w:val="00093EDF"/>
    <w:rsid w:val="00093F34"/>
    <w:rsid w:val="0009413E"/>
    <w:rsid w:val="00094388"/>
    <w:rsid w:val="000945C2"/>
    <w:rsid w:val="00094725"/>
    <w:rsid w:val="00094EA4"/>
    <w:rsid w:val="0009507F"/>
    <w:rsid w:val="00095096"/>
    <w:rsid w:val="0009509F"/>
    <w:rsid w:val="00095176"/>
    <w:rsid w:val="00095206"/>
    <w:rsid w:val="0009529D"/>
    <w:rsid w:val="00095370"/>
    <w:rsid w:val="0009551B"/>
    <w:rsid w:val="000955EA"/>
    <w:rsid w:val="00095681"/>
    <w:rsid w:val="0009570F"/>
    <w:rsid w:val="00095742"/>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9DE"/>
    <w:rsid w:val="00096ACC"/>
    <w:rsid w:val="00096BE3"/>
    <w:rsid w:val="00096CE3"/>
    <w:rsid w:val="00096E3B"/>
    <w:rsid w:val="00097135"/>
    <w:rsid w:val="000971CD"/>
    <w:rsid w:val="00097385"/>
    <w:rsid w:val="00097401"/>
    <w:rsid w:val="000974B2"/>
    <w:rsid w:val="000974B7"/>
    <w:rsid w:val="000975CA"/>
    <w:rsid w:val="000975EE"/>
    <w:rsid w:val="000976D5"/>
    <w:rsid w:val="000978B6"/>
    <w:rsid w:val="000978EA"/>
    <w:rsid w:val="00097B1D"/>
    <w:rsid w:val="00097D37"/>
    <w:rsid w:val="00097D9D"/>
    <w:rsid w:val="00097E83"/>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8E"/>
    <w:rsid w:val="000A1613"/>
    <w:rsid w:val="000A183A"/>
    <w:rsid w:val="000A1CD0"/>
    <w:rsid w:val="000A1EF2"/>
    <w:rsid w:val="000A1EFE"/>
    <w:rsid w:val="000A1F39"/>
    <w:rsid w:val="000A270F"/>
    <w:rsid w:val="000A27FC"/>
    <w:rsid w:val="000A2A76"/>
    <w:rsid w:val="000A2B1A"/>
    <w:rsid w:val="000A2B96"/>
    <w:rsid w:val="000A2F65"/>
    <w:rsid w:val="000A2FDD"/>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C62"/>
    <w:rsid w:val="000A7D0D"/>
    <w:rsid w:val="000A7E5E"/>
    <w:rsid w:val="000A7E86"/>
    <w:rsid w:val="000A7EF6"/>
    <w:rsid w:val="000B0230"/>
    <w:rsid w:val="000B02D8"/>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73"/>
    <w:rsid w:val="000B3899"/>
    <w:rsid w:val="000B3985"/>
    <w:rsid w:val="000B3A91"/>
    <w:rsid w:val="000B3D2B"/>
    <w:rsid w:val="000B3D8D"/>
    <w:rsid w:val="000B40B0"/>
    <w:rsid w:val="000B4178"/>
    <w:rsid w:val="000B4291"/>
    <w:rsid w:val="000B4470"/>
    <w:rsid w:val="000B45BE"/>
    <w:rsid w:val="000B4662"/>
    <w:rsid w:val="000B46AC"/>
    <w:rsid w:val="000B470B"/>
    <w:rsid w:val="000B48F0"/>
    <w:rsid w:val="000B495B"/>
    <w:rsid w:val="000B4A50"/>
    <w:rsid w:val="000B4CB7"/>
    <w:rsid w:val="000B4CE6"/>
    <w:rsid w:val="000B4F2D"/>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D6B"/>
    <w:rsid w:val="000B6E01"/>
    <w:rsid w:val="000B6EDD"/>
    <w:rsid w:val="000B7554"/>
    <w:rsid w:val="000B774E"/>
    <w:rsid w:val="000B7935"/>
    <w:rsid w:val="000B7ADE"/>
    <w:rsid w:val="000B7E10"/>
    <w:rsid w:val="000B7E66"/>
    <w:rsid w:val="000B7FAF"/>
    <w:rsid w:val="000C010B"/>
    <w:rsid w:val="000C0191"/>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1FA2"/>
    <w:rsid w:val="000C213A"/>
    <w:rsid w:val="000C2329"/>
    <w:rsid w:val="000C2583"/>
    <w:rsid w:val="000C2635"/>
    <w:rsid w:val="000C272C"/>
    <w:rsid w:val="000C27D0"/>
    <w:rsid w:val="000C285B"/>
    <w:rsid w:val="000C2A09"/>
    <w:rsid w:val="000C2AFB"/>
    <w:rsid w:val="000C2B18"/>
    <w:rsid w:val="000C2E66"/>
    <w:rsid w:val="000C2F62"/>
    <w:rsid w:val="000C319B"/>
    <w:rsid w:val="000C346D"/>
    <w:rsid w:val="000C35F6"/>
    <w:rsid w:val="000C370A"/>
    <w:rsid w:val="000C3C93"/>
    <w:rsid w:val="000C4454"/>
    <w:rsid w:val="000C4945"/>
    <w:rsid w:val="000C4A35"/>
    <w:rsid w:val="000C4F5C"/>
    <w:rsid w:val="000C50D4"/>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445"/>
    <w:rsid w:val="000C74C0"/>
    <w:rsid w:val="000C7547"/>
    <w:rsid w:val="000C7954"/>
    <w:rsid w:val="000C7C4F"/>
    <w:rsid w:val="000C7D43"/>
    <w:rsid w:val="000C7EDC"/>
    <w:rsid w:val="000D0256"/>
    <w:rsid w:val="000D02C7"/>
    <w:rsid w:val="000D0364"/>
    <w:rsid w:val="000D043A"/>
    <w:rsid w:val="000D0462"/>
    <w:rsid w:val="000D0477"/>
    <w:rsid w:val="000D050C"/>
    <w:rsid w:val="000D057D"/>
    <w:rsid w:val="000D0701"/>
    <w:rsid w:val="000D0737"/>
    <w:rsid w:val="000D0804"/>
    <w:rsid w:val="000D0A70"/>
    <w:rsid w:val="000D0AD8"/>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2B3"/>
    <w:rsid w:val="000D23C3"/>
    <w:rsid w:val="000D24F2"/>
    <w:rsid w:val="000D258F"/>
    <w:rsid w:val="000D2693"/>
    <w:rsid w:val="000D27DE"/>
    <w:rsid w:val="000D27E3"/>
    <w:rsid w:val="000D28DB"/>
    <w:rsid w:val="000D2911"/>
    <w:rsid w:val="000D298F"/>
    <w:rsid w:val="000D2EEF"/>
    <w:rsid w:val="000D3160"/>
    <w:rsid w:val="000D3177"/>
    <w:rsid w:val="000D3260"/>
    <w:rsid w:val="000D357A"/>
    <w:rsid w:val="000D35B4"/>
    <w:rsid w:val="000D37EE"/>
    <w:rsid w:val="000D3A30"/>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769"/>
    <w:rsid w:val="000D57A0"/>
    <w:rsid w:val="000D5889"/>
    <w:rsid w:val="000D5CE4"/>
    <w:rsid w:val="000D5E60"/>
    <w:rsid w:val="000D5E82"/>
    <w:rsid w:val="000D605B"/>
    <w:rsid w:val="000D60F5"/>
    <w:rsid w:val="000D63AC"/>
    <w:rsid w:val="000D646B"/>
    <w:rsid w:val="000D64CE"/>
    <w:rsid w:val="000D6777"/>
    <w:rsid w:val="000D68A9"/>
    <w:rsid w:val="000D68C0"/>
    <w:rsid w:val="000D6CA5"/>
    <w:rsid w:val="000D6D5E"/>
    <w:rsid w:val="000D70CE"/>
    <w:rsid w:val="000D71C7"/>
    <w:rsid w:val="000D7221"/>
    <w:rsid w:val="000D74C2"/>
    <w:rsid w:val="000D759F"/>
    <w:rsid w:val="000D7631"/>
    <w:rsid w:val="000D77D0"/>
    <w:rsid w:val="000D785C"/>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3"/>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B81"/>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3A1"/>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6F0"/>
    <w:rsid w:val="000F58E8"/>
    <w:rsid w:val="000F59AC"/>
    <w:rsid w:val="000F5C40"/>
    <w:rsid w:val="000F5D64"/>
    <w:rsid w:val="000F5F43"/>
    <w:rsid w:val="000F6446"/>
    <w:rsid w:val="000F656F"/>
    <w:rsid w:val="000F65DE"/>
    <w:rsid w:val="000F6915"/>
    <w:rsid w:val="000F69CD"/>
    <w:rsid w:val="000F6B92"/>
    <w:rsid w:val="000F6D7E"/>
    <w:rsid w:val="000F715A"/>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BC2"/>
    <w:rsid w:val="00103C89"/>
    <w:rsid w:val="00103D26"/>
    <w:rsid w:val="00103D3C"/>
    <w:rsid w:val="00104087"/>
    <w:rsid w:val="001046F6"/>
    <w:rsid w:val="001047C5"/>
    <w:rsid w:val="00104B60"/>
    <w:rsid w:val="00104C79"/>
    <w:rsid w:val="00104D34"/>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70D"/>
    <w:rsid w:val="00106712"/>
    <w:rsid w:val="00106ED4"/>
    <w:rsid w:val="00106FA9"/>
    <w:rsid w:val="00107563"/>
    <w:rsid w:val="0010782E"/>
    <w:rsid w:val="00107D15"/>
    <w:rsid w:val="00107D61"/>
    <w:rsid w:val="0011006D"/>
    <w:rsid w:val="0011016F"/>
    <w:rsid w:val="0011025A"/>
    <w:rsid w:val="00110539"/>
    <w:rsid w:val="00110603"/>
    <w:rsid w:val="00110712"/>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89A"/>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89"/>
    <w:rsid w:val="00116FE6"/>
    <w:rsid w:val="001170A9"/>
    <w:rsid w:val="00117159"/>
    <w:rsid w:val="00117208"/>
    <w:rsid w:val="001175D4"/>
    <w:rsid w:val="001176A8"/>
    <w:rsid w:val="00117704"/>
    <w:rsid w:val="001177FB"/>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0DF5"/>
    <w:rsid w:val="001215E5"/>
    <w:rsid w:val="00121721"/>
    <w:rsid w:val="00121852"/>
    <w:rsid w:val="00121B05"/>
    <w:rsid w:val="00121D73"/>
    <w:rsid w:val="00121EE6"/>
    <w:rsid w:val="00121F56"/>
    <w:rsid w:val="0012208D"/>
    <w:rsid w:val="001221B3"/>
    <w:rsid w:val="00122515"/>
    <w:rsid w:val="001226E8"/>
    <w:rsid w:val="001227DD"/>
    <w:rsid w:val="001227FF"/>
    <w:rsid w:val="001229CA"/>
    <w:rsid w:val="00122B87"/>
    <w:rsid w:val="00122C4A"/>
    <w:rsid w:val="00122D34"/>
    <w:rsid w:val="00122D88"/>
    <w:rsid w:val="00123372"/>
    <w:rsid w:val="001234B9"/>
    <w:rsid w:val="001235A9"/>
    <w:rsid w:val="00123885"/>
    <w:rsid w:val="00123A54"/>
    <w:rsid w:val="00123A58"/>
    <w:rsid w:val="00123AD5"/>
    <w:rsid w:val="00123B72"/>
    <w:rsid w:val="00123E81"/>
    <w:rsid w:val="00124045"/>
    <w:rsid w:val="001240E0"/>
    <w:rsid w:val="00124631"/>
    <w:rsid w:val="0012474A"/>
    <w:rsid w:val="00124751"/>
    <w:rsid w:val="00124937"/>
    <w:rsid w:val="00124997"/>
    <w:rsid w:val="001250E2"/>
    <w:rsid w:val="0012528E"/>
    <w:rsid w:val="00125475"/>
    <w:rsid w:val="001254FE"/>
    <w:rsid w:val="001255E6"/>
    <w:rsid w:val="001257FC"/>
    <w:rsid w:val="00125A1E"/>
    <w:rsid w:val="00125A42"/>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F6"/>
    <w:rsid w:val="00132762"/>
    <w:rsid w:val="00132BE1"/>
    <w:rsid w:val="00132F9C"/>
    <w:rsid w:val="00132FE6"/>
    <w:rsid w:val="001332E2"/>
    <w:rsid w:val="00133324"/>
    <w:rsid w:val="0013351B"/>
    <w:rsid w:val="0013356D"/>
    <w:rsid w:val="001337ED"/>
    <w:rsid w:val="00133810"/>
    <w:rsid w:val="00133B4D"/>
    <w:rsid w:val="00133E46"/>
    <w:rsid w:val="00133FCC"/>
    <w:rsid w:val="00134197"/>
    <w:rsid w:val="001343D0"/>
    <w:rsid w:val="001347E1"/>
    <w:rsid w:val="00134923"/>
    <w:rsid w:val="0013495E"/>
    <w:rsid w:val="001349E1"/>
    <w:rsid w:val="001349E7"/>
    <w:rsid w:val="00134AF7"/>
    <w:rsid w:val="00134E07"/>
    <w:rsid w:val="00135450"/>
    <w:rsid w:val="001356D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948"/>
    <w:rsid w:val="00140A25"/>
    <w:rsid w:val="00140DB0"/>
    <w:rsid w:val="00140E17"/>
    <w:rsid w:val="00140E92"/>
    <w:rsid w:val="00140EA2"/>
    <w:rsid w:val="00141086"/>
    <w:rsid w:val="001411F0"/>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3AF"/>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7B"/>
    <w:rsid w:val="001530EF"/>
    <w:rsid w:val="00153211"/>
    <w:rsid w:val="001533B0"/>
    <w:rsid w:val="001534F0"/>
    <w:rsid w:val="001534F1"/>
    <w:rsid w:val="00153516"/>
    <w:rsid w:val="00153537"/>
    <w:rsid w:val="00153C1B"/>
    <w:rsid w:val="00153D60"/>
    <w:rsid w:val="00153FAB"/>
    <w:rsid w:val="00153FCC"/>
    <w:rsid w:val="00154416"/>
    <w:rsid w:val="00154744"/>
    <w:rsid w:val="00154796"/>
    <w:rsid w:val="001547D4"/>
    <w:rsid w:val="00154928"/>
    <w:rsid w:val="00154978"/>
    <w:rsid w:val="00155162"/>
    <w:rsid w:val="001553CD"/>
    <w:rsid w:val="0015543D"/>
    <w:rsid w:val="001557AC"/>
    <w:rsid w:val="0015596F"/>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4B"/>
    <w:rsid w:val="001572ED"/>
    <w:rsid w:val="001573CC"/>
    <w:rsid w:val="001574AC"/>
    <w:rsid w:val="00157B82"/>
    <w:rsid w:val="00157CD8"/>
    <w:rsid w:val="00157E1F"/>
    <w:rsid w:val="00157FC2"/>
    <w:rsid w:val="00160064"/>
    <w:rsid w:val="0016008F"/>
    <w:rsid w:val="001601CF"/>
    <w:rsid w:val="00160406"/>
    <w:rsid w:val="001604A6"/>
    <w:rsid w:val="001606A8"/>
    <w:rsid w:val="00160708"/>
    <w:rsid w:val="0016070A"/>
    <w:rsid w:val="0016072D"/>
    <w:rsid w:val="0016080A"/>
    <w:rsid w:val="0016088A"/>
    <w:rsid w:val="00160A30"/>
    <w:rsid w:val="00160B04"/>
    <w:rsid w:val="00160B0F"/>
    <w:rsid w:val="00160C29"/>
    <w:rsid w:val="00160CC6"/>
    <w:rsid w:val="00160DE6"/>
    <w:rsid w:val="00160FA1"/>
    <w:rsid w:val="00161105"/>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BD6"/>
    <w:rsid w:val="00162C39"/>
    <w:rsid w:val="00162D05"/>
    <w:rsid w:val="00162D13"/>
    <w:rsid w:val="00162E14"/>
    <w:rsid w:val="00162E4B"/>
    <w:rsid w:val="00162F27"/>
    <w:rsid w:val="001633A8"/>
    <w:rsid w:val="00163AA6"/>
    <w:rsid w:val="00163B4B"/>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8F"/>
    <w:rsid w:val="00164CC3"/>
    <w:rsid w:val="00164CF1"/>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B5E"/>
    <w:rsid w:val="00167DE5"/>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70D"/>
    <w:rsid w:val="00171A02"/>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4D"/>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A42"/>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733"/>
    <w:rsid w:val="00185972"/>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ECC"/>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698"/>
    <w:rsid w:val="001917A2"/>
    <w:rsid w:val="001917FD"/>
    <w:rsid w:val="00191987"/>
    <w:rsid w:val="00191A1B"/>
    <w:rsid w:val="00191B65"/>
    <w:rsid w:val="00191BD5"/>
    <w:rsid w:val="00191C5C"/>
    <w:rsid w:val="00191C72"/>
    <w:rsid w:val="00191CD6"/>
    <w:rsid w:val="00191CFE"/>
    <w:rsid w:val="00191EE6"/>
    <w:rsid w:val="00192052"/>
    <w:rsid w:val="00192233"/>
    <w:rsid w:val="00192507"/>
    <w:rsid w:val="001925C2"/>
    <w:rsid w:val="001927AB"/>
    <w:rsid w:val="00192888"/>
    <w:rsid w:val="001929B5"/>
    <w:rsid w:val="001929CA"/>
    <w:rsid w:val="00192AE6"/>
    <w:rsid w:val="00192CEE"/>
    <w:rsid w:val="00192D41"/>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772"/>
    <w:rsid w:val="00194921"/>
    <w:rsid w:val="00194E8C"/>
    <w:rsid w:val="001955E6"/>
    <w:rsid w:val="001955F4"/>
    <w:rsid w:val="001959AC"/>
    <w:rsid w:val="00195B41"/>
    <w:rsid w:val="00195C32"/>
    <w:rsid w:val="00195CC3"/>
    <w:rsid w:val="00195E83"/>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E6C"/>
    <w:rsid w:val="00197F97"/>
    <w:rsid w:val="001A046E"/>
    <w:rsid w:val="001A0519"/>
    <w:rsid w:val="001A070D"/>
    <w:rsid w:val="001A08C4"/>
    <w:rsid w:val="001A08E1"/>
    <w:rsid w:val="001A0A46"/>
    <w:rsid w:val="001A0C1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35F"/>
    <w:rsid w:val="001B056C"/>
    <w:rsid w:val="001B0ABD"/>
    <w:rsid w:val="001B0BAD"/>
    <w:rsid w:val="001B0C83"/>
    <w:rsid w:val="001B0D4D"/>
    <w:rsid w:val="001B0ECD"/>
    <w:rsid w:val="001B1063"/>
    <w:rsid w:val="001B154A"/>
    <w:rsid w:val="001B159C"/>
    <w:rsid w:val="001B1739"/>
    <w:rsid w:val="001B1766"/>
    <w:rsid w:val="001B1863"/>
    <w:rsid w:val="001B18AB"/>
    <w:rsid w:val="001B1976"/>
    <w:rsid w:val="001B1A8E"/>
    <w:rsid w:val="001B1BAF"/>
    <w:rsid w:val="001B1C75"/>
    <w:rsid w:val="001B1DD9"/>
    <w:rsid w:val="001B1EB1"/>
    <w:rsid w:val="001B210A"/>
    <w:rsid w:val="001B2374"/>
    <w:rsid w:val="001B295E"/>
    <w:rsid w:val="001B2D06"/>
    <w:rsid w:val="001B31D2"/>
    <w:rsid w:val="001B327F"/>
    <w:rsid w:val="001B32B6"/>
    <w:rsid w:val="001B3374"/>
    <w:rsid w:val="001B341C"/>
    <w:rsid w:val="001B3717"/>
    <w:rsid w:val="001B3A97"/>
    <w:rsid w:val="001B3B32"/>
    <w:rsid w:val="001B3BBD"/>
    <w:rsid w:val="001B3C00"/>
    <w:rsid w:val="001B3D9D"/>
    <w:rsid w:val="001B3EE1"/>
    <w:rsid w:val="001B4093"/>
    <w:rsid w:val="001B409B"/>
    <w:rsid w:val="001B40CE"/>
    <w:rsid w:val="001B4254"/>
    <w:rsid w:val="001B4265"/>
    <w:rsid w:val="001B44A7"/>
    <w:rsid w:val="001B4582"/>
    <w:rsid w:val="001B461D"/>
    <w:rsid w:val="001B4730"/>
    <w:rsid w:val="001B4D58"/>
    <w:rsid w:val="001B50EF"/>
    <w:rsid w:val="001B51A6"/>
    <w:rsid w:val="001B51B0"/>
    <w:rsid w:val="001B5986"/>
    <w:rsid w:val="001B5B03"/>
    <w:rsid w:val="001B5B12"/>
    <w:rsid w:val="001B5B3E"/>
    <w:rsid w:val="001B5BB0"/>
    <w:rsid w:val="001B5D38"/>
    <w:rsid w:val="001B5DCA"/>
    <w:rsid w:val="001B5E17"/>
    <w:rsid w:val="001B5ECC"/>
    <w:rsid w:val="001B5EEE"/>
    <w:rsid w:val="001B5F0F"/>
    <w:rsid w:val="001B63B0"/>
    <w:rsid w:val="001B6475"/>
    <w:rsid w:val="001B64BE"/>
    <w:rsid w:val="001B6885"/>
    <w:rsid w:val="001B6AB6"/>
    <w:rsid w:val="001B6CF7"/>
    <w:rsid w:val="001B6F6B"/>
    <w:rsid w:val="001B708C"/>
    <w:rsid w:val="001B7090"/>
    <w:rsid w:val="001B7328"/>
    <w:rsid w:val="001B7351"/>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2E80"/>
    <w:rsid w:val="001C300D"/>
    <w:rsid w:val="001C3046"/>
    <w:rsid w:val="001C3057"/>
    <w:rsid w:val="001C3140"/>
    <w:rsid w:val="001C31E5"/>
    <w:rsid w:val="001C3291"/>
    <w:rsid w:val="001C32C0"/>
    <w:rsid w:val="001C3363"/>
    <w:rsid w:val="001C37FE"/>
    <w:rsid w:val="001C3BA2"/>
    <w:rsid w:val="001C3D29"/>
    <w:rsid w:val="001C3DD0"/>
    <w:rsid w:val="001C4136"/>
    <w:rsid w:val="001C415C"/>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AB6"/>
    <w:rsid w:val="001D1B57"/>
    <w:rsid w:val="001D1CB9"/>
    <w:rsid w:val="001D1D73"/>
    <w:rsid w:val="001D1EDC"/>
    <w:rsid w:val="001D2020"/>
    <w:rsid w:val="001D21FA"/>
    <w:rsid w:val="001D2660"/>
    <w:rsid w:val="001D2708"/>
    <w:rsid w:val="001D2877"/>
    <w:rsid w:val="001D2B26"/>
    <w:rsid w:val="001D2E28"/>
    <w:rsid w:val="001D2F2F"/>
    <w:rsid w:val="001D2F7C"/>
    <w:rsid w:val="001D30F5"/>
    <w:rsid w:val="001D31C6"/>
    <w:rsid w:val="001D31E0"/>
    <w:rsid w:val="001D3249"/>
    <w:rsid w:val="001D339D"/>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99"/>
    <w:rsid w:val="001D5BE9"/>
    <w:rsid w:val="001D5DE9"/>
    <w:rsid w:val="001D5F5A"/>
    <w:rsid w:val="001D601E"/>
    <w:rsid w:val="001D60FA"/>
    <w:rsid w:val="001D63BA"/>
    <w:rsid w:val="001D6484"/>
    <w:rsid w:val="001D64A4"/>
    <w:rsid w:val="001D6B98"/>
    <w:rsid w:val="001D6CCE"/>
    <w:rsid w:val="001D6E11"/>
    <w:rsid w:val="001D6E5A"/>
    <w:rsid w:val="001D6EAC"/>
    <w:rsid w:val="001D6F3F"/>
    <w:rsid w:val="001D72A7"/>
    <w:rsid w:val="001D7390"/>
    <w:rsid w:val="001D73BE"/>
    <w:rsid w:val="001D79BA"/>
    <w:rsid w:val="001D7A57"/>
    <w:rsid w:val="001D7A97"/>
    <w:rsid w:val="001D7DA5"/>
    <w:rsid w:val="001E000D"/>
    <w:rsid w:val="001E0258"/>
    <w:rsid w:val="001E03DA"/>
    <w:rsid w:val="001E0504"/>
    <w:rsid w:val="001E05C0"/>
    <w:rsid w:val="001E05E5"/>
    <w:rsid w:val="001E0728"/>
    <w:rsid w:val="001E08BE"/>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54"/>
    <w:rsid w:val="001E2E74"/>
    <w:rsid w:val="001E2FD6"/>
    <w:rsid w:val="001E30C7"/>
    <w:rsid w:val="001E31CC"/>
    <w:rsid w:val="001E3305"/>
    <w:rsid w:val="001E33AC"/>
    <w:rsid w:val="001E347A"/>
    <w:rsid w:val="001E3B6A"/>
    <w:rsid w:val="001E3C33"/>
    <w:rsid w:val="001E3C37"/>
    <w:rsid w:val="001E3CC1"/>
    <w:rsid w:val="001E3EB3"/>
    <w:rsid w:val="001E3F5D"/>
    <w:rsid w:val="001E404F"/>
    <w:rsid w:val="001E4056"/>
    <w:rsid w:val="001E41F5"/>
    <w:rsid w:val="001E431D"/>
    <w:rsid w:val="001E4341"/>
    <w:rsid w:val="001E4614"/>
    <w:rsid w:val="001E49DC"/>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19"/>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15"/>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3AA"/>
    <w:rsid w:val="001F562A"/>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61C"/>
    <w:rsid w:val="0020075E"/>
    <w:rsid w:val="00200ABD"/>
    <w:rsid w:val="00200BE6"/>
    <w:rsid w:val="00200CDB"/>
    <w:rsid w:val="00200D12"/>
    <w:rsid w:val="00200E2D"/>
    <w:rsid w:val="00200F12"/>
    <w:rsid w:val="00200F51"/>
    <w:rsid w:val="00200F94"/>
    <w:rsid w:val="00201064"/>
    <w:rsid w:val="002014A4"/>
    <w:rsid w:val="002017DE"/>
    <w:rsid w:val="002018C8"/>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B90"/>
    <w:rsid w:val="00203F61"/>
    <w:rsid w:val="00204154"/>
    <w:rsid w:val="0020427B"/>
    <w:rsid w:val="0020456A"/>
    <w:rsid w:val="002047A4"/>
    <w:rsid w:val="0020480B"/>
    <w:rsid w:val="00204870"/>
    <w:rsid w:val="002049BF"/>
    <w:rsid w:val="00204BE1"/>
    <w:rsid w:val="00204C15"/>
    <w:rsid w:val="00204D14"/>
    <w:rsid w:val="00204D71"/>
    <w:rsid w:val="00204F1C"/>
    <w:rsid w:val="00205260"/>
    <w:rsid w:val="0020535E"/>
    <w:rsid w:val="002055D0"/>
    <w:rsid w:val="0020565B"/>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282"/>
    <w:rsid w:val="00207301"/>
    <w:rsid w:val="00207938"/>
    <w:rsid w:val="00207A44"/>
    <w:rsid w:val="00207B36"/>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8B"/>
    <w:rsid w:val="002118CA"/>
    <w:rsid w:val="00211A09"/>
    <w:rsid w:val="00211DDE"/>
    <w:rsid w:val="00211EF7"/>
    <w:rsid w:val="00211F3B"/>
    <w:rsid w:val="00212133"/>
    <w:rsid w:val="0021220B"/>
    <w:rsid w:val="00212845"/>
    <w:rsid w:val="002128CB"/>
    <w:rsid w:val="00212A36"/>
    <w:rsid w:val="00212ACA"/>
    <w:rsid w:val="00212B30"/>
    <w:rsid w:val="00212B94"/>
    <w:rsid w:val="00212D29"/>
    <w:rsid w:val="00212DD5"/>
    <w:rsid w:val="00212F43"/>
    <w:rsid w:val="0021303D"/>
    <w:rsid w:val="002130A0"/>
    <w:rsid w:val="002130E1"/>
    <w:rsid w:val="00213105"/>
    <w:rsid w:val="002131BC"/>
    <w:rsid w:val="00213276"/>
    <w:rsid w:val="0021363C"/>
    <w:rsid w:val="002137BF"/>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1E0"/>
    <w:rsid w:val="00215554"/>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912"/>
    <w:rsid w:val="00221AA5"/>
    <w:rsid w:val="00221C51"/>
    <w:rsid w:val="00221D7F"/>
    <w:rsid w:val="00221E83"/>
    <w:rsid w:val="00221EDE"/>
    <w:rsid w:val="00221F61"/>
    <w:rsid w:val="00222116"/>
    <w:rsid w:val="00222249"/>
    <w:rsid w:val="00222598"/>
    <w:rsid w:val="0022267F"/>
    <w:rsid w:val="0022271A"/>
    <w:rsid w:val="0022275B"/>
    <w:rsid w:val="00222789"/>
    <w:rsid w:val="00222837"/>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20"/>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402"/>
    <w:rsid w:val="00230664"/>
    <w:rsid w:val="0023066F"/>
    <w:rsid w:val="00230E4F"/>
    <w:rsid w:val="00230FA9"/>
    <w:rsid w:val="00231112"/>
    <w:rsid w:val="0023126F"/>
    <w:rsid w:val="00231361"/>
    <w:rsid w:val="00231563"/>
    <w:rsid w:val="0023163F"/>
    <w:rsid w:val="00231785"/>
    <w:rsid w:val="0023180C"/>
    <w:rsid w:val="00231857"/>
    <w:rsid w:val="00231A18"/>
    <w:rsid w:val="00231A68"/>
    <w:rsid w:val="00231BB9"/>
    <w:rsid w:val="00231C1E"/>
    <w:rsid w:val="00231C35"/>
    <w:rsid w:val="00231CC0"/>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C3"/>
    <w:rsid w:val="00233AF5"/>
    <w:rsid w:val="00233B5E"/>
    <w:rsid w:val="00233BD8"/>
    <w:rsid w:val="00233C06"/>
    <w:rsid w:val="00233D4B"/>
    <w:rsid w:val="00233EBC"/>
    <w:rsid w:val="00233F1D"/>
    <w:rsid w:val="00233FB7"/>
    <w:rsid w:val="00234327"/>
    <w:rsid w:val="002344E6"/>
    <w:rsid w:val="0023476C"/>
    <w:rsid w:val="0023499C"/>
    <w:rsid w:val="002349A9"/>
    <w:rsid w:val="002349B7"/>
    <w:rsid w:val="00234BD9"/>
    <w:rsid w:val="00234C30"/>
    <w:rsid w:val="00234D7C"/>
    <w:rsid w:val="00234E47"/>
    <w:rsid w:val="0023504A"/>
    <w:rsid w:val="00235345"/>
    <w:rsid w:val="00235388"/>
    <w:rsid w:val="00235463"/>
    <w:rsid w:val="00235491"/>
    <w:rsid w:val="00235940"/>
    <w:rsid w:val="00235AF4"/>
    <w:rsid w:val="00235B07"/>
    <w:rsid w:val="00235FC9"/>
    <w:rsid w:val="0023640A"/>
    <w:rsid w:val="00236882"/>
    <w:rsid w:val="002368F2"/>
    <w:rsid w:val="00236A39"/>
    <w:rsid w:val="00236A9F"/>
    <w:rsid w:val="00236E10"/>
    <w:rsid w:val="00236E11"/>
    <w:rsid w:val="00236E51"/>
    <w:rsid w:val="00236E8E"/>
    <w:rsid w:val="00236F5C"/>
    <w:rsid w:val="00236FC6"/>
    <w:rsid w:val="00237281"/>
    <w:rsid w:val="0023760F"/>
    <w:rsid w:val="00237688"/>
    <w:rsid w:val="0023773F"/>
    <w:rsid w:val="0023782E"/>
    <w:rsid w:val="002378BE"/>
    <w:rsid w:val="00237A9D"/>
    <w:rsid w:val="00237B29"/>
    <w:rsid w:val="00237C2D"/>
    <w:rsid w:val="00237D4A"/>
    <w:rsid w:val="00237F6A"/>
    <w:rsid w:val="002401E8"/>
    <w:rsid w:val="00240228"/>
    <w:rsid w:val="00240374"/>
    <w:rsid w:val="00240398"/>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300"/>
    <w:rsid w:val="0024242C"/>
    <w:rsid w:val="002425D3"/>
    <w:rsid w:val="0024261F"/>
    <w:rsid w:val="002426B5"/>
    <w:rsid w:val="002426B6"/>
    <w:rsid w:val="00242866"/>
    <w:rsid w:val="00242B1E"/>
    <w:rsid w:val="00242F08"/>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6DA"/>
    <w:rsid w:val="002537B2"/>
    <w:rsid w:val="0025380C"/>
    <w:rsid w:val="002538B0"/>
    <w:rsid w:val="00253DC5"/>
    <w:rsid w:val="00253EE1"/>
    <w:rsid w:val="0025412C"/>
    <w:rsid w:val="002541D3"/>
    <w:rsid w:val="002544D6"/>
    <w:rsid w:val="002545FF"/>
    <w:rsid w:val="00254664"/>
    <w:rsid w:val="0025477C"/>
    <w:rsid w:val="00254806"/>
    <w:rsid w:val="00254828"/>
    <w:rsid w:val="00254884"/>
    <w:rsid w:val="0025496C"/>
    <w:rsid w:val="002549D0"/>
    <w:rsid w:val="00254B22"/>
    <w:rsid w:val="00254BB3"/>
    <w:rsid w:val="00254DBC"/>
    <w:rsid w:val="00254DE7"/>
    <w:rsid w:val="00254F51"/>
    <w:rsid w:val="00254F7F"/>
    <w:rsid w:val="00255123"/>
    <w:rsid w:val="00255260"/>
    <w:rsid w:val="002552BA"/>
    <w:rsid w:val="00255578"/>
    <w:rsid w:val="0025558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D61"/>
    <w:rsid w:val="00257E79"/>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BD8"/>
    <w:rsid w:val="00262D2E"/>
    <w:rsid w:val="00262E45"/>
    <w:rsid w:val="00262F25"/>
    <w:rsid w:val="002632EC"/>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1F"/>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B7E"/>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2EEA"/>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E2A"/>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8AF"/>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91D"/>
    <w:rsid w:val="00281991"/>
    <w:rsid w:val="00281D20"/>
    <w:rsid w:val="00281DEB"/>
    <w:rsid w:val="00281E56"/>
    <w:rsid w:val="0028210B"/>
    <w:rsid w:val="00282843"/>
    <w:rsid w:val="00282847"/>
    <w:rsid w:val="00282878"/>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8D2"/>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58"/>
    <w:rsid w:val="00286CE8"/>
    <w:rsid w:val="00286EB6"/>
    <w:rsid w:val="00286EC2"/>
    <w:rsid w:val="00286FBD"/>
    <w:rsid w:val="0028708C"/>
    <w:rsid w:val="002870F0"/>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995"/>
    <w:rsid w:val="00290A7C"/>
    <w:rsid w:val="00290CBC"/>
    <w:rsid w:val="00290D65"/>
    <w:rsid w:val="00290D71"/>
    <w:rsid w:val="00290DA4"/>
    <w:rsid w:val="00291087"/>
    <w:rsid w:val="00291200"/>
    <w:rsid w:val="00291246"/>
    <w:rsid w:val="0029153D"/>
    <w:rsid w:val="00291644"/>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6A4"/>
    <w:rsid w:val="00293703"/>
    <w:rsid w:val="0029371C"/>
    <w:rsid w:val="00293801"/>
    <w:rsid w:val="00293D08"/>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0BE"/>
    <w:rsid w:val="0029753B"/>
    <w:rsid w:val="0029761D"/>
    <w:rsid w:val="00297A5E"/>
    <w:rsid w:val="00297B64"/>
    <w:rsid w:val="00297E2F"/>
    <w:rsid w:val="00297F1B"/>
    <w:rsid w:val="002A00BF"/>
    <w:rsid w:val="002A01FF"/>
    <w:rsid w:val="002A0C1E"/>
    <w:rsid w:val="002A0C26"/>
    <w:rsid w:val="002A0C83"/>
    <w:rsid w:val="002A0CF7"/>
    <w:rsid w:val="002A0E1E"/>
    <w:rsid w:val="002A0E62"/>
    <w:rsid w:val="002A0FA2"/>
    <w:rsid w:val="002A1047"/>
    <w:rsid w:val="002A128F"/>
    <w:rsid w:val="002A1378"/>
    <w:rsid w:val="002A13AA"/>
    <w:rsid w:val="002A1468"/>
    <w:rsid w:val="002A1907"/>
    <w:rsid w:val="002A199F"/>
    <w:rsid w:val="002A1A11"/>
    <w:rsid w:val="002A1C7F"/>
    <w:rsid w:val="002A1C8E"/>
    <w:rsid w:val="002A1DF6"/>
    <w:rsid w:val="002A21AB"/>
    <w:rsid w:val="002A22BE"/>
    <w:rsid w:val="002A2460"/>
    <w:rsid w:val="002A25DC"/>
    <w:rsid w:val="002A2617"/>
    <w:rsid w:val="002A294A"/>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50"/>
    <w:rsid w:val="002A4368"/>
    <w:rsid w:val="002A475A"/>
    <w:rsid w:val="002A4799"/>
    <w:rsid w:val="002A4B6E"/>
    <w:rsid w:val="002A4BD7"/>
    <w:rsid w:val="002A4C23"/>
    <w:rsid w:val="002A4CA7"/>
    <w:rsid w:val="002A4EA2"/>
    <w:rsid w:val="002A4EEC"/>
    <w:rsid w:val="002A4FFC"/>
    <w:rsid w:val="002A5165"/>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408"/>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74"/>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4"/>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8B"/>
    <w:rsid w:val="002B68FC"/>
    <w:rsid w:val="002B6986"/>
    <w:rsid w:val="002B6B41"/>
    <w:rsid w:val="002B6B7E"/>
    <w:rsid w:val="002B6BBD"/>
    <w:rsid w:val="002B6C8E"/>
    <w:rsid w:val="002B6DDA"/>
    <w:rsid w:val="002B6DE5"/>
    <w:rsid w:val="002B7108"/>
    <w:rsid w:val="002B72F9"/>
    <w:rsid w:val="002B73BA"/>
    <w:rsid w:val="002B76A1"/>
    <w:rsid w:val="002B77E1"/>
    <w:rsid w:val="002B7B77"/>
    <w:rsid w:val="002B7C17"/>
    <w:rsid w:val="002B7C81"/>
    <w:rsid w:val="002B7C96"/>
    <w:rsid w:val="002B7DAE"/>
    <w:rsid w:val="002B7FF5"/>
    <w:rsid w:val="002C041D"/>
    <w:rsid w:val="002C0427"/>
    <w:rsid w:val="002C052D"/>
    <w:rsid w:val="002C071B"/>
    <w:rsid w:val="002C0762"/>
    <w:rsid w:val="002C0766"/>
    <w:rsid w:val="002C0834"/>
    <w:rsid w:val="002C09AE"/>
    <w:rsid w:val="002C0B39"/>
    <w:rsid w:val="002C0CA4"/>
    <w:rsid w:val="002C0DA1"/>
    <w:rsid w:val="002C0FBB"/>
    <w:rsid w:val="002C1023"/>
    <w:rsid w:val="002C1051"/>
    <w:rsid w:val="002C133A"/>
    <w:rsid w:val="002C19B0"/>
    <w:rsid w:val="002C1D2D"/>
    <w:rsid w:val="002C1F69"/>
    <w:rsid w:val="002C21C9"/>
    <w:rsid w:val="002C22CB"/>
    <w:rsid w:val="002C26BD"/>
    <w:rsid w:val="002C2735"/>
    <w:rsid w:val="002C2AB5"/>
    <w:rsid w:val="002C2BCF"/>
    <w:rsid w:val="002C2C12"/>
    <w:rsid w:val="002C2C28"/>
    <w:rsid w:val="002C2D4F"/>
    <w:rsid w:val="002C2DBB"/>
    <w:rsid w:val="002C2F59"/>
    <w:rsid w:val="002C30D6"/>
    <w:rsid w:val="002C328C"/>
    <w:rsid w:val="002C32EF"/>
    <w:rsid w:val="002C332F"/>
    <w:rsid w:val="002C33C5"/>
    <w:rsid w:val="002C35D3"/>
    <w:rsid w:val="002C3772"/>
    <w:rsid w:val="002C389A"/>
    <w:rsid w:val="002C3A8A"/>
    <w:rsid w:val="002C3AEE"/>
    <w:rsid w:val="002C3C86"/>
    <w:rsid w:val="002C3F05"/>
    <w:rsid w:val="002C4604"/>
    <w:rsid w:val="002C4644"/>
    <w:rsid w:val="002C46B4"/>
    <w:rsid w:val="002C487E"/>
    <w:rsid w:val="002C4B26"/>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278"/>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515"/>
    <w:rsid w:val="002D38AE"/>
    <w:rsid w:val="002D3990"/>
    <w:rsid w:val="002D3CC9"/>
    <w:rsid w:val="002D3D91"/>
    <w:rsid w:val="002D3F31"/>
    <w:rsid w:val="002D408C"/>
    <w:rsid w:val="002D4389"/>
    <w:rsid w:val="002D43E6"/>
    <w:rsid w:val="002D4840"/>
    <w:rsid w:val="002D4992"/>
    <w:rsid w:val="002D49D5"/>
    <w:rsid w:val="002D4A6C"/>
    <w:rsid w:val="002D4AFA"/>
    <w:rsid w:val="002D4C97"/>
    <w:rsid w:val="002D4E8A"/>
    <w:rsid w:val="002D5696"/>
    <w:rsid w:val="002D56B3"/>
    <w:rsid w:val="002D5B31"/>
    <w:rsid w:val="002D5DF2"/>
    <w:rsid w:val="002D60C4"/>
    <w:rsid w:val="002D6357"/>
    <w:rsid w:val="002D64EA"/>
    <w:rsid w:val="002D6714"/>
    <w:rsid w:val="002D686F"/>
    <w:rsid w:val="002D6BCF"/>
    <w:rsid w:val="002D6BFA"/>
    <w:rsid w:val="002D6D6C"/>
    <w:rsid w:val="002D6ED7"/>
    <w:rsid w:val="002D73BD"/>
    <w:rsid w:val="002D7497"/>
    <w:rsid w:val="002D74C5"/>
    <w:rsid w:val="002D7683"/>
    <w:rsid w:val="002D7920"/>
    <w:rsid w:val="002D7987"/>
    <w:rsid w:val="002D7B12"/>
    <w:rsid w:val="002D7C0F"/>
    <w:rsid w:val="002D7C72"/>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2E83"/>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93"/>
    <w:rsid w:val="002E46B4"/>
    <w:rsid w:val="002E474C"/>
    <w:rsid w:val="002E47BC"/>
    <w:rsid w:val="002E4803"/>
    <w:rsid w:val="002E491D"/>
    <w:rsid w:val="002E49BE"/>
    <w:rsid w:val="002E4AED"/>
    <w:rsid w:val="002E4E07"/>
    <w:rsid w:val="002E4E0A"/>
    <w:rsid w:val="002E4E3E"/>
    <w:rsid w:val="002E52AB"/>
    <w:rsid w:val="002E57D8"/>
    <w:rsid w:val="002E5859"/>
    <w:rsid w:val="002E5B18"/>
    <w:rsid w:val="002E5B1D"/>
    <w:rsid w:val="002E5EAC"/>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0C"/>
    <w:rsid w:val="002E734F"/>
    <w:rsid w:val="002E73B5"/>
    <w:rsid w:val="002E7594"/>
    <w:rsid w:val="002E7669"/>
    <w:rsid w:val="002E76D5"/>
    <w:rsid w:val="002E7DED"/>
    <w:rsid w:val="002E7E84"/>
    <w:rsid w:val="002E7EB2"/>
    <w:rsid w:val="002E7F17"/>
    <w:rsid w:val="002F0237"/>
    <w:rsid w:val="002F02EF"/>
    <w:rsid w:val="002F0359"/>
    <w:rsid w:val="002F06B8"/>
    <w:rsid w:val="002F0776"/>
    <w:rsid w:val="002F0859"/>
    <w:rsid w:val="002F0892"/>
    <w:rsid w:val="002F0BE0"/>
    <w:rsid w:val="002F0CBE"/>
    <w:rsid w:val="002F0E04"/>
    <w:rsid w:val="002F0E6F"/>
    <w:rsid w:val="002F0F02"/>
    <w:rsid w:val="002F1ABE"/>
    <w:rsid w:val="002F1D90"/>
    <w:rsid w:val="002F1DE5"/>
    <w:rsid w:val="002F1E04"/>
    <w:rsid w:val="002F1F6A"/>
    <w:rsid w:val="002F2214"/>
    <w:rsid w:val="002F2774"/>
    <w:rsid w:val="002F2891"/>
    <w:rsid w:val="002F2B5C"/>
    <w:rsid w:val="002F2E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2DF"/>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37E"/>
    <w:rsid w:val="002F740D"/>
    <w:rsid w:val="002F74A3"/>
    <w:rsid w:val="002F74F0"/>
    <w:rsid w:val="002F75B5"/>
    <w:rsid w:val="002F75BF"/>
    <w:rsid w:val="002F7A08"/>
    <w:rsid w:val="002F7A39"/>
    <w:rsid w:val="002F7AA0"/>
    <w:rsid w:val="002F7B1D"/>
    <w:rsid w:val="002F7E54"/>
    <w:rsid w:val="002F7E8F"/>
    <w:rsid w:val="003001CB"/>
    <w:rsid w:val="0030041E"/>
    <w:rsid w:val="00300524"/>
    <w:rsid w:val="00300A79"/>
    <w:rsid w:val="00300F5B"/>
    <w:rsid w:val="003010DF"/>
    <w:rsid w:val="00301351"/>
    <w:rsid w:val="00301472"/>
    <w:rsid w:val="003014C3"/>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C4"/>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498"/>
    <w:rsid w:val="00305544"/>
    <w:rsid w:val="003057B5"/>
    <w:rsid w:val="003057B8"/>
    <w:rsid w:val="00305B94"/>
    <w:rsid w:val="00305BDB"/>
    <w:rsid w:val="00305EE5"/>
    <w:rsid w:val="0030621B"/>
    <w:rsid w:val="0030624A"/>
    <w:rsid w:val="00306539"/>
    <w:rsid w:val="00306BAC"/>
    <w:rsid w:val="00306E6D"/>
    <w:rsid w:val="00306F2D"/>
    <w:rsid w:val="003071D6"/>
    <w:rsid w:val="003071EC"/>
    <w:rsid w:val="003075F4"/>
    <w:rsid w:val="003076B0"/>
    <w:rsid w:val="00307751"/>
    <w:rsid w:val="00307BB0"/>
    <w:rsid w:val="00307C6E"/>
    <w:rsid w:val="00307DBD"/>
    <w:rsid w:val="00307E90"/>
    <w:rsid w:val="00310127"/>
    <w:rsid w:val="0031015C"/>
    <w:rsid w:val="00310238"/>
    <w:rsid w:val="003103AF"/>
    <w:rsid w:val="003105D5"/>
    <w:rsid w:val="003106F5"/>
    <w:rsid w:val="003107CD"/>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5D"/>
    <w:rsid w:val="0031586A"/>
    <w:rsid w:val="00315ACC"/>
    <w:rsid w:val="00315AD5"/>
    <w:rsid w:val="00315B6E"/>
    <w:rsid w:val="00315B77"/>
    <w:rsid w:val="00315E33"/>
    <w:rsid w:val="00315E4A"/>
    <w:rsid w:val="00315E9C"/>
    <w:rsid w:val="00315F20"/>
    <w:rsid w:val="00315F3A"/>
    <w:rsid w:val="0031601B"/>
    <w:rsid w:val="0031606F"/>
    <w:rsid w:val="0031609E"/>
    <w:rsid w:val="003160B5"/>
    <w:rsid w:val="003161C9"/>
    <w:rsid w:val="00316503"/>
    <w:rsid w:val="00316657"/>
    <w:rsid w:val="00316733"/>
    <w:rsid w:val="00316938"/>
    <w:rsid w:val="00316ACB"/>
    <w:rsid w:val="00316BA8"/>
    <w:rsid w:val="00316BAE"/>
    <w:rsid w:val="00316E63"/>
    <w:rsid w:val="00316FC9"/>
    <w:rsid w:val="00316FCB"/>
    <w:rsid w:val="00317163"/>
    <w:rsid w:val="00317210"/>
    <w:rsid w:val="003174E6"/>
    <w:rsid w:val="003175BE"/>
    <w:rsid w:val="0031789B"/>
    <w:rsid w:val="0031799D"/>
    <w:rsid w:val="003179E9"/>
    <w:rsid w:val="00317DE4"/>
    <w:rsid w:val="00317DEE"/>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298"/>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A5B"/>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E4E"/>
    <w:rsid w:val="00327F0E"/>
    <w:rsid w:val="00327F54"/>
    <w:rsid w:val="0033040E"/>
    <w:rsid w:val="00330781"/>
    <w:rsid w:val="003307DF"/>
    <w:rsid w:val="003307E8"/>
    <w:rsid w:val="00330878"/>
    <w:rsid w:val="0033090D"/>
    <w:rsid w:val="0033097C"/>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6B4"/>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3E1"/>
    <w:rsid w:val="003426CC"/>
    <w:rsid w:val="003428E9"/>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CBF"/>
    <w:rsid w:val="00347E63"/>
    <w:rsid w:val="00350329"/>
    <w:rsid w:val="00350356"/>
    <w:rsid w:val="003506D7"/>
    <w:rsid w:val="00350714"/>
    <w:rsid w:val="00350A00"/>
    <w:rsid w:val="00350AEA"/>
    <w:rsid w:val="00350BC1"/>
    <w:rsid w:val="00350BDE"/>
    <w:rsid w:val="00350D02"/>
    <w:rsid w:val="00350E07"/>
    <w:rsid w:val="00350E79"/>
    <w:rsid w:val="00350EDB"/>
    <w:rsid w:val="00351238"/>
    <w:rsid w:val="003514D8"/>
    <w:rsid w:val="00351722"/>
    <w:rsid w:val="003518B3"/>
    <w:rsid w:val="00351DF0"/>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3B"/>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1D27"/>
    <w:rsid w:val="00361E49"/>
    <w:rsid w:val="00361EE0"/>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483"/>
    <w:rsid w:val="0036354E"/>
    <w:rsid w:val="00363573"/>
    <w:rsid w:val="0036371F"/>
    <w:rsid w:val="00363D90"/>
    <w:rsid w:val="00363E2A"/>
    <w:rsid w:val="00363EA1"/>
    <w:rsid w:val="00363F37"/>
    <w:rsid w:val="00363FFE"/>
    <w:rsid w:val="003640CC"/>
    <w:rsid w:val="0036412C"/>
    <w:rsid w:val="00364166"/>
    <w:rsid w:val="0036421A"/>
    <w:rsid w:val="0036421C"/>
    <w:rsid w:val="0036427C"/>
    <w:rsid w:val="0036435D"/>
    <w:rsid w:val="00364779"/>
    <w:rsid w:val="0036488A"/>
    <w:rsid w:val="00364D63"/>
    <w:rsid w:val="00364E67"/>
    <w:rsid w:val="00364FBE"/>
    <w:rsid w:val="00364FC7"/>
    <w:rsid w:val="00365043"/>
    <w:rsid w:val="00365151"/>
    <w:rsid w:val="003653FE"/>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5FD"/>
    <w:rsid w:val="003718CA"/>
    <w:rsid w:val="003719C3"/>
    <w:rsid w:val="00371D07"/>
    <w:rsid w:val="00371EF0"/>
    <w:rsid w:val="0037218F"/>
    <w:rsid w:val="003723D7"/>
    <w:rsid w:val="00372477"/>
    <w:rsid w:val="00372752"/>
    <w:rsid w:val="00372A6E"/>
    <w:rsid w:val="00372ADD"/>
    <w:rsid w:val="00372C0A"/>
    <w:rsid w:val="00372CCB"/>
    <w:rsid w:val="00372F0E"/>
    <w:rsid w:val="0037300B"/>
    <w:rsid w:val="00373014"/>
    <w:rsid w:val="00373030"/>
    <w:rsid w:val="00373163"/>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0"/>
    <w:rsid w:val="00377BE1"/>
    <w:rsid w:val="00377EBA"/>
    <w:rsid w:val="00377EDE"/>
    <w:rsid w:val="00380189"/>
    <w:rsid w:val="00380479"/>
    <w:rsid w:val="00380564"/>
    <w:rsid w:val="0038059B"/>
    <w:rsid w:val="003807DE"/>
    <w:rsid w:val="00380866"/>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202"/>
    <w:rsid w:val="00385307"/>
    <w:rsid w:val="00385AA8"/>
    <w:rsid w:val="00385DB7"/>
    <w:rsid w:val="00385ECF"/>
    <w:rsid w:val="00386044"/>
    <w:rsid w:val="00386133"/>
    <w:rsid w:val="00386386"/>
    <w:rsid w:val="003864D0"/>
    <w:rsid w:val="00386E49"/>
    <w:rsid w:val="003871FD"/>
    <w:rsid w:val="00387257"/>
    <w:rsid w:val="00387273"/>
    <w:rsid w:val="0038797F"/>
    <w:rsid w:val="0039020C"/>
    <w:rsid w:val="00390277"/>
    <w:rsid w:val="0039040A"/>
    <w:rsid w:val="00390426"/>
    <w:rsid w:val="003904DD"/>
    <w:rsid w:val="00390588"/>
    <w:rsid w:val="0039064B"/>
    <w:rsid w:val="0039068C"/>
    <w:rsid w:val="003908FA"/>
    <w:rsid w:val="003909C9"/>
    <w:rsid w:val="00390AA8"/>
    <w:rsid w:val="00390D3C"/>
    <w:rsid w:val="00390DBA"/>
    <w:rsid w:val="00390FC6"/>
    <w:rsid w:val="00391209"/>
    <w:rsid w:val="00391347"/>
    <w:rsid w:val="003913BB"/>
    <w:rsid w:val="003914E4"/>
    <w:rsid w:val="0039158C"/>
    <w:rsid w:val="003915F8"/>
    <w:rsid w:val="003916C2"/>
    <w:rsid w:val="00391A96"/>
    <w:rsid w:val="00391B54"/>
    <w:rsid w:val="00391CAD"/>
    <w:rsid w:val="00391D30"/>
    <w:rsid w:val="00391D99"/>
    <w:rsid w:val="00391EBF"/>
    <w:rsid w:val="003922F1"/>
    <w:rsid w:val="00392695"/>
    <w:rsid w:val="003928D2"/>
    <w:rsid w:val="0039291D"/>
    <w:rsid w:val="00392982"/>
    <w:rsid w:val="00392B7A"/>
    <w:rsid w:val="00392F6E"/>
    <w:rsid w:val="00392F8B"/>
    <w:rsid w:val="00392F94"/>
    <w:rsid w:val="00392FD0"/>
    <w:rsid w:val="00393205"/>
    <w:rsid w:val="003933B9"/>
    <w:rsid w:val="003934BB"/>
    <w:rsid w:val="0039351B"/>
    <w:rsid w:val="003935B4"/>
    <w:rsid w:val="003935C6"/>
    <w:rsid w:val="00393645"/>
    <w:rsid w:val="00393719"/>
    <w:rsid w:val="00393912"/>
    <w:rsid w:val="003939BB"/>
    <w:rsid w:val="003939BD"/>
    <w:rsid w:val="00393AFF"/>
    <w:rsid w:val="00394656"/>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50"/>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817"/>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B9C"/>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A7F2F"/>
    <w:rsid w:val="003B02A7"/>
    <w:rsid w:val="003B0336"/>
    <w:rsid w:val="003B0709"/>
    <w:rsid w:val="003B0729"/>
    <w:rsid w:val="003B0A84"/>
    <w:rsid w:val="003B0AB9"/>
    <w:rsid w:val="003B0BC0"/>
    <w:rsid w:val="003B0C3B"/>
    <w:rsid w:val="003B0FF8"/>
    <w:rsid w:val="003B1008"/>
    <w:rsid w:val="003B1258"/>
    <w:rsid w:val="003B1389"/>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298"/>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636"/>
    <w:rsid w:val="003B4674"/>
    <w:rsid w:val="003B469B"/>
    <w:rsid w:val="003B46BD"/>
    <w:rsid w:val="003B47FD"/>
    <w:rsid w:val="003B4C23"/>
    <w:rsid w:val="003B4CF9"/>
    <w:rsid w:val="003B50E3"/>
    <w:rsid w:val="003B55AD"/>
    <w:rsid w:val="003B5721"/>
    <w:rsid w:val="003B573B"/>
    <w:rsid w:val="003B5758"/>
    <w:rsid w:val="003B5D40"/>
    <w:rsid w:val="003B5DB8"/>
    <w:rsid w:val="003B5E71"/>
    <w:rsid w:val="003B5E79"/>
    <w:rsid w:val="003B5EC8"/>
    <w:rsid w:val="003B5F28"/>
    <w:rsid w:val="003B6044"/>
    <w:rsid w:val="003B60AE"/>
    <w:rsid w:val="003B6150"/>
    <w:rsid w:val="003B6500"/>
    <w:rsid w:val="003B6569"/>
    <w:rsid w:val="003B657D"/>
    <w:rsid w:val="003B663C"/>
    <w:rsid w:val="003B675E"/>
    <w:rsid w:val="003B67F1"/>
    <w:rsid w:val="003B6846"/>
    <w:rsid w:val="003B6CA5"/>
    <w:rsid w:val="003B6CCF"/>
    <w:rsid w:val="003B6FA6"/>
    <w:rsid w:val="003B705C"/>
    <w:rsid w:val="003B706E"/>
    <w:rsid w:val="003B7076"/>
    <w:rsid w:val="003B7113"/>
    <w:rsid w:val="003B7180"/>
    <w:rsid w:val="003B7186"/>
    <w:rsid w:val="003B71C1"/>
    <w:rsid w:val="003B72CC"/>
    <w:rsid w:val="003B730F"/>
    <w:rsid w:val="003B7391"/>
    <w:rsid w:val="003B74F7"/>
    <w:rsid w:val="003B7568"/>
    <w:rsid w:val="003B7907"/>
    <w:rsid w:val="003B7965"/>
    <w:rsid w:val="003B7A51"/>
    <w:rsid w:val="003B7C2D"/>
    <w:rsid w:val="003B7C52"/>
    <w:rsid w:val="003B7C66"/>
    <w:rsid w:val="003B7F3B"/>
    <w:rsid w:val="003C019B"/>
    <w:rsid w:val="003C01F7"/>
    <w:rsid w:val="003C0362"/>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546"/>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5E92"/>
    <w:rsid w:val="003C62D4"/>
    <w:rsid w:val="003C6326"/>
    <w:rsid w:val="003C635A"/>
    <w:rsid w:val="003C6375"/>
    <w:rsid w:val="003C63BC"/>
    <w:rsid w:val="003C646D"/>
    <w:rsid w:val="003C6535"/>
    <w:rsid w:val="003C65C1"/>
    <w:rsid w:val="003C663F"/>
    <w:rsid w:val="003C6687"/>
    <w:rsid w:val="003C6716"/>
    <w:rsid w:val="003C678B"/>
    <w:rsid w:val="003C67CB"/>
    <w:rsid w:val="003C6937"/>
    <w:rsid w:val="003C6E44"/>
    <w:rsid w:val="003C71A2"/>
    <w:rsid w:val="003C724B"/>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B39"/>
    <w:rsid w:val="003E0D30"/>
    <w:rsid w:val="003E0DDF"/>
    <w:rsid w:val="003E0E11"/>
    <w:rsid w:val="003E0ECD"/>
    <w:rsid w:val="003E0FB2"/>
    <w:rsid w:val="003E11CB"/>
    <w:rsid w:val="003E1472"/>
    <w:rsid w:val="003E15B6"/>
    <w:rsid w:val="003E16C3"/>
    <w:rsid w:val="003E192D"/>
    <w:rsid w:val="003E1B6C"/>
    <w:rsid w:val="003E1BC7"/>
    <w:rsid w:val="003E1F1B"/>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0A"/>
    <w:rsid w:val="003F063F"/>
    <w:rsid w:val="003F0765"/>
    <w:rsid w:val="003F0843"/>
    <w:rsid w:val="003F0849"/>
    <w:rsid w:val="003F0A02"/>
    <w:rsid w:val="003F0B5B"/>
    <w:rsid w:val="003F0BC5"/>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2C6"/>
    <w:rsid w:val="003F24CB"/>
    <w:rsid w:val="003F2D36"/>
    <w:rsid w:val="003F2EB5"/>
    <w:rsid w:val="003F2F79"/>
    <w:rsid w:val="003F366A"/>
    <w:rsid w:val="003F36B7"/>
    <w:rsid w:val="003F38FF"/>
    <w:rsid w:val="003F3988"/>
    <w:rsid w:val="003F3C8A"/>
    <w:rsid w:val="003F3D32"/>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1B"/>
    <w:rsid w:val="00400EF3"/>
    <w:rsid w:val="00401011"/>
    <w:rsid w:val="0040109A"/>
    <w:rsid w:val="00401198"/>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11B"/>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4F42"/>
    <w:rsid w:val="004051A9"/>
    <w:rsid w:val="004052C3"/>
    <w:rsid w:val="00405384"/>
    <w:rsid w:val="0040542A"/>
    <w:rsid w:val="004054E6"/>
    <w:rsid w:val="004055F5"/>
    <w:rsid w:val="004057E3"/>
    <w:rsid w:val="00405C7F"/>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17C"/>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A94"/>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A87"/>
    <w:rsid w:val="00413C36"/>
    <w:rsid w:val="00413D93"/>
    <w:rsid w:val="00413ED5"/>
    <w:rsid w:val="00413F4F"/>
    <w:rsid w:val="00413FC0"/>
    <w:rsid w:val="00414131"/>
    <w:rsid w:val="00414286"/>
    <w:rsid w:val="004143A2"/>
    <w:rsid w:val="004143F8"/>
    <w:rsid w:val="004145A1"/>
    <w:rsid w:val="00414632"/>
    <w:rsid w:val="00414641"/>
    <w:rsid w:val="00414650"/>
    <w:rsid w:val="00414724"/>
    <w:rsid w:val="004148BC"/>
    <w:rsid w:val="00414923"/>
    <w:rsid w:val="00414B20"/>
    <w:rsid w:val="00414B2D"/>
    <w:rsid w:val="00414D0C"/>
    <w:rsid w:val="00414E2D"/>
    <w:rsid w:val="0041505F"/>
    <w:rsid w:val="00415074"/>
    <w:rsid w:val="004153B7"/>
    <w:rsid w:val="004156C7"/>
    <w:rsid w:val="00415702"/>
    <w:rsid w:val="00415879"/>
    <w:rsid w:val="004158C7"/>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04"/>
    <w:rsid w:val="004175D2"/>
    <w:rsid w:val="004176BB"/>
    <w:rsid w:val="00417C72"/>
    <w:rsid w:val="00417D3C"/>
    <w:rsid w:val="00417D87"/>
    <w:rsid w:val="00417DBF"/>
    <w:rsid w:val="00420200"/>
    <w:rsid w:val="00420237"/>
    <w:rsid w:val="00420434"/>
    <w:rsid w:val="00420650"/>
    <w:rsid w:val="00420AEE"/>
    <w:rsid w:val="00420BBE"/>
    <w:rsid w:val="00420EF6"/>
    <w:rsid w:val="00421067"/>
    <w:rsid w:val="004210D8"/>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2A2"/>
    <w:rsid w:val="004253C0"/>
    <w:rsid w:val="00425588"/>
    <w:rsid w:val="004257C5"/>
    <w:rsid w:val="00425A8E"/>
    <w:rsid w:val="00425E2B"/>
    <w:rsid w:val="00425EF9"/>
    <w:rsid w:val="00426091"/>
    <w:rsid w:val="00426195"/>
    <w:rsid w:val="00426254"/>
    <w:rsid w:val="0042635A"/>
    <w:rsid w:val="0042664F"/>
    <w:rsid w:val="00426920"/>
    <w:rsid w:val="00426A33"/>
    <w:rsid w:val="00426BB3"/>
    <w:rsid w:val="00426C19"/>
    <w:rsid w:val="00426C5A"/>
    <w:rsid w:val="00426CD9"/>
    <w:rsid w:val="00426EC3"/>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BC9"/>
    <w:rsid w:val="00431C8A"/>
    <w:rsid w:val="00431F3C"/>
    <w:rsid w:val="0043202C"/>
    <w:rsid w:val="00432039"/>
    <w:rsid w:val="004323FC"/>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840"/>
    <w:rsid w:val="00437A7A"/>
    <w:rsid w:val="00437BF9"/>
    <w:rsid w:val="00437CB4"/>
    <w:rsid w:val="00437F85"/>
    <w:rsid w:val="004400F5"/>
    <w:rsid w:val="004402AC"/>
    <w:rsid w:val="00440353"/>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55"/>
    <w:rsid w:val="004422B3"/>
    <w:rsid w:val="004425BE"/>
    <w:rsid w:val="004425F2"/>
    <w:rsid w:val="0044274C"/>
    <w:rsid w:val="0044295E"/>
    <w:rsid w:val="00442B3D"/>
    <w:rsid w:val="00442C61"/>
    <w:rsid w:val="00442D00"/>
    <w:rsid w:val="00442F4F"/>
    <w:rsid w:val="00442FD8"/>
    <w:rsid w:val="00443080"/>
    <w:rsid w:val="004435CA"/>
    <w:rsid w:val="004435E9"/>
    <w:rsid w:val="00443A05"/>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0E3"/>
    <w:rsid w:val="0044513F"/>
    <w:rsid w:val="0044523D"/>
    <w:rsid w:val="004453C2"/>
    <w:rsid w:val="004453CC"/>
    <w:rsid w:val="00445413"/>
    <w:rsid w:val="00445580"/>
    <w:rsid w:val="00445599"/>
    <w:rsid w:val="00445664"/>
    <w:rsid w:val="00445A15"/>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23"/>
    <w:rsid w:val="004505E8"/>
    <w:rsid w:val="00450A4E"/>
    <w:rsid w:val="00450ADA"/>
    <w:rsid w:val="00450FC5"/>
    <w:rsid w:val="00451500"/>
    <w:rsid w:val="00451532"/>
    <w:rsid w:val="00451579"/>
    <w:rsid w:val="00451679"/>
    <w:rsid w:val="004516F2"/>
    <w:rsid w:val="00451738"/>
    <w:rsid w:val="0045177A"/>
    <w:rsid w:val="00451BC5"/>
    <w:rsid w:val="00451ED7"/>
    <w:rsid w:val="00451F09"/>
    <w:rsid w:val="00451F2E"/>
    <w:rsid w:val="00452056"/>
    <w:rsid w:val="004524C1"/>
    <w:rsid w:val="004528C1"/>
    <w:rsid w:val="00452A73"/>
    <w:rsid w:val="00452BBE"/>
    <w:rsid w:val="00452D8A"/>
    <w:rsid w:val="00452E5D"/>
    <w:rsid w:val="00452F6A"/>
    <w:rsid w:val="00453150"/>
    <w:rsid w:val="004531C6"/>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10E"/>
    <w:rsid w:val="0045642D"/>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2AC"/>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1F70"/>
    <w:rsid w:val="0046240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906"/>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07"/>
    <w:rsid w:val="004663BA"/>
    <w:rsid w:val="00466C22"/>
    <w:rsid w:val="00466CEF"/>
    <w:rsid w:val="00466E31"/>
    <w:rsid w:val="00466F1C"/>
    <w:rsid w:val="00466FE6"/>
    <w:rsid w:val="00467290"/>
    <w:rsid w:val="004672A2"/>
    <w:rsid w:val="0046756A"/>
    <w:rsid w:val="0046767B"/>
    <w:rsid w:val="004676E5"/>
    <w:rsid w:val="00467B98"/>
    <w:rsid w:val="00467BED"/>
    <w:rsid w:val="00470192"/>
    <w:rsid w:val="004701F6"/>
    <w:rsid w:val="00470A80"/>
    <w:rsid w:val="00470DF0"/>
    <w:rsid w:val="00471061"/>
    <w:rsid w:val="0047113B"/>
    <w:rsid w:val="00471704"/>
    <w:rsid w:val="00471902"/>
    <w:rsid w:val="00471A58"/>
    <w:rsid w:val="00471BB7"/>
    <w:rsid w:val="00471BDC"/>
    <w:rsid w:val="00471C83"/>
    <w:rsid w:val="00471E45"/>
    <w:rsid w:val="004720B1"/>
    <w:rsid w:val="00472248"/>
    <w:rsid w:val="00472324"/>
    <w:rsid w:val="00472474"/>
    <w:rsid w:val="004725B9"/>
    <w:rsid w:val="004726F9"/>
    <w:rsid w:val="0047286E"/>
    <w:rsid w:val="004729FF"/>
    <w:rsid w:val="00472A02"/>
    <w:rsid w:val="00472B5F"/>
    <w:rsid w:val="00472BF3"/>
    <w:rsid w:val="00472FC3"/>
    <w:rsid w:val="00472FF6"/>
    <w:rsid w:val="00473199"/>
    <w:rsid w:val="00473534"/>
    <w:rsid w:val="00473FFE"/>
    <w:rsid w:val="00474095"/>
    <w:rsid w:val="004741A7"/>
    <w:rsid w:val="0047429B"/>
    <w:rsid w:val="00474513"/>
    <w:rsid w:val="004745F6"/>
    <w:rsid w:val="00474628"/>
    <w:rsid w:val="00474735"/>
    <w:rsid w:val="0047494F"/>
    <w:rsid w:val="00474AA8"/>
    <w:rsid w:val="00475112"/>
    <w:rsid w:val="004754C1"/>
    <w:rsid w:val="00475511"/>
    <w:rsid w:val="0047555D"/>
    <w:rsid w:val="00475577"/>
    <w:rsid w:val="0047574A"/>
    <w:rsid w:val="0047595F"/>
    <w:rsid w:val="004759D3"/>
    <w:rsid w:val="00475DBE"/>
    <w:rsid w:val="00476017"/>
    <w:rsid w:val="00476070"/>
    <w:rsid w:val="0047607A"/>
    <w:rsid w:val="004761C6"/>
    <w:rsid w:val="00476264"/>
    <w:rsid w:val="004762EA"/>
    <w:rsid w:val="004762FB"/>
    <w:rsid w:val="00476328"/>
    <w:rsid w:val="004765C2"/>
    <w:rsid w:val="00476888"/>
    <w:rsid w:val="004769FC"/>
    <w:rsid w:val="00476B63"/>
    <w:rsid w:val="00476CE0"/>
    <w:rsid w:val="00476F07"/>
    <w:rsid w:val="00476F83"/>
    <w:rsid w:val="00476FD2"/>
    <w:rsid w:val="00477184"/>
    <w:rsid w:val="004771D9"/>
    <w:rsid w:val="00477297"/>
    <w:rsid w:val="00477361"/>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06"/>
    <w:rsid w:val="0048134C"/>
    <w:rsid w:val="00481362"/>
    <w:rsid w:val="00481667"/>
    <w:rsid w:val="004817C1"/>
    <w:rsid w:val="004818A3"/>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880"/>
    <w:rsid w:val="00482923"/>
    <w:rsid w:val="0048298C"/>
    <w:rsid w:val="004829A1"/>
    <w:rsid w:val="00482EFD"/>
    <w:rsid w:val="004830F7"/>
    <w:rsid w:val="00483118"/>
    <w:rsid w:val="004833CD"/>
    <w:rsid w:val="0048361A"/>
    <w:rsid w:val="0048363D"/>
    <w:rsid w:val="004836A0"/>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C48"/>
    <w:rsid w:val="00485E56"/>
    <w:rsid w:val="00485FAD"/>
    <w:rsid w:val="00485FD5"/>
    <w:rsid w:val="00486251"/>
    <w:rsid w:val="00486467"/>
    <w:rsid w:val="0048652B"/>
    <w:rsid w:val="004866A7"/>
    <w:rsid w:val="00486965"/>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DB1"/>
    <w:rsid w:val="00490ED1"/>
    <w:rsid w:val="00490F92"/>
    <w:rsid w:val="004913A3"/>
    <w:rsid w:val="0049178A"/>
    <w:rsid w:val="00491804"/>
    <w:rsid w:val="00491917"/>
    <w:rsid w:val="00491A33"/>
    <w:rsid w:val="00491A54"/>
    <w:rsid w:val="00491BEE"/>
    <w:rsid w:val="00491BFA"/>
    <w:rsid w:val="00491FA1"/>
    <w:rsid w:val="00492147"/>
    <w:rsid w:val="0049217C"/>
    <w:rsid w:val="00492208"/>
    <w:rsid w:val="00492348"/>
    <w:rsid w:val="0049242E"/>
    <w:rsid w:val="00492441"/>
    <w:rsid w:val="004924A6"/>
    <w:rsid w:val="00492502"/>
    <w:rsid w:val="00492850"/>
    <w:rsid w:val="004928B5"/>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14"/>
    <w:rsid w:val="00495AC9"/>
    <w:rsid w:val="00495B02"/>
    <w:rsid w:val="00495B07"/>
    <w:rsid w:val="00495D4C"/>
    <w:rsid w:val="00495F77"/>
    <w:rsid w:val="00495F9F"/>
    <w:rsid w:val="0049602F"/>
    <w:rsid w:val="0049630F"/>
    <w:rsid w:val="00496485"/>
    <w:rsid w:val="00496688"/>
    <w:rsid w:val="00496733"/>
    <w:rsid w:val="00496C42"/>
    <w:rsid w:val="00496D34"/>
    <w:rsid w:val="00496E04"/>
    <w:rsid w:val="0049746C"/>
    <w:rsid w:val="004975B0"/>
    <w:rsid w:val="004977F2"/>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1E4"/>
    <w:rsid w:val="004A328D"/>
    <w:rsid w:val="004A3AAC"/>
    <w:rsid w:val="004A3B9E"/>
    <w:rsid w:val="004A3C21"/>
    <w:rsid w:val="004A3DFB"/>
    <w:rsid w:val="004A41A8"/>
    <w:rsid w:val="004A41C1"/>
    <w:rsid w:val="004A4253"/>
    <w:rsid w:val="004A43A0"/>
    <w:rsid w:val="004A43B4"/>
    <w:rsid w:val="004A43E4"/>
    <w:rsid w:val="004A4409"/>
    <w:rsid w:val="004A4419"/>
    <w:rsid w:val="004A4480"/>
    <w:rsid w:val="004A4483"/>
    <w:rsid w:val="004A4634"/>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E88"/>
    <w:rsid w:val="004B4FFE"/>
    <w:rsid w:val="004B5006"/>
    <w:rsid w:val="004B5086"/>
    <w:rsid w:val="004B50EF"/>
    <w:rsid w:val="004B50F8"/>
    <w:rsid w:val="004B512F"/>
    <w:rsid w:val="004B51F6"/>
    <w:rsid w:val="004B555A"/>
    <w:rsid w:val="004B55FC"/>
    <w:rsid w:val="004B5664"/>
    <w:rsid w:val="004B567F"/>
    <w:rsid w:val="004B59B6"/>
    <w:rsid w:val="004B59D5"/>
    <w:rsid w:val="004B5A4B"/>
    <w:rsid w:val="004B5A98"/>
    <w:rsid w:val="004B5CA3"/>
    <w:rsid w:val="004B5D13"/>
    <w:rsid w:val="004B62BD"/>
    <w:rsid w:val="004B6553"/>
    <w:rsid w:val="004B6566"/>
    <w:rsid w:val="004B6680"/>
    <w:rsid w:val="004B6709"/>
    <w:rsid w:val="004B6766"/>
    <w:rsid w:val="004B68DF"/>
    <w:rsid w:val="004B6AA0"/>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24"/>
    <w:rsid w:val="004C1CAF"/>
    <w:rsid w:val="004C1EBB"/>
    <w:rsid w:val="004C2229"/>
    <w:rsid w:val="004C225E"/>
    <w:rsid w:val="004C2607"/>
    <w:rsid w:val="004C2871"/>
    <w:rsid w:val="004C2872"/>
    <w:rsid w:val="004C293F"/>
    <w:rsid w:val="004C2BFD"/>
    <w:rsid w:val="004C2D41"/>
    <w:rsid w:val="004C2F63"/>
    <w:rsid w:val="004C2F8E"/>
    <w:rsid w:val="004C309A"/>
    <w:rsid w:val="004C3112"/>
    <w:rsid w:val="004C35EE"/>
    <w:rsid w:val="004C36C8"/>
    <w:rsid w:val="004C36EE"/>
    <w:rsid w:val="004C44E7"/>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D26"/>
    <w:rsid w:val="004C6E06"/>
    <w:rsid w:val="004C6E4F"/>
    <w:rsid w:val="004C6EC3"/>
    <w:rsid w:val="004C6F34"/>
    <w:rsid w:val="004C706A"/>
    <w:rsid w:val="004C7173"/>
    <w:rsid w:val="004C723C"/>
    <w:rsid w:val="004C72F6"/>
    <w:rsid w:val="004C770D"/>
    <w:rsid w:val="004C77D8"/>
    <w:rsid w:val="004C7966"/>
    <w:rsid w:val="004C7B49"/>
    <w:rsid w:val="004C7CBA"/>
    <w:rsid w:val="004C7F85"/>
    <w:rsid w:val="004C7F98"/>
    <w:rsid w:val="004D01B1"/>
    <w:rsid w:val="004D0324"/>
    <w:rsid w:val="004D05A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ECC"/>
    <w:rsid w:val="004D1FBA"/>
    <w:rsid w:val="004D2012"/>
    <w:rsid w:val="004D207C"/>
    <w:rsid w:val="004D2321"/>
    <w:rsid w:val="004D25F3"/>
    <w:rsid w:val="004D262E"/>
    <w:rsid w:val="004D27BC"/>
    <w:rsid w:val="004D2834"/>
    <w:rsid w:val="004D283C"/>
    <w:rsid w:val="004D2899"/>
    <w:rsid w:val="004D2A42"/>
    <w:rsid w:val="004D2A72"/>
    <w:rsid w:val="004D2CAB"/>
    <w:rsid w:val="004D2D77"/>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69C"/>
    <w:rsid w:val="004D57C4"/>
    <w:rsid w:val="004D5BFF"/>
    <w:rsid w:val="004D5D40"/>
    <w:rsid w:val="004D5FDC"/>
    <w:rsid w:val="004D608E"/>
    <w:rsid w:val="004D60A4"/>
    <w:rsid w:val="004D6113"/>
    <w:rsid w:val="004D61A3"/>
    <w:rsid w:val="004D620E"/>
    <w:rsid w:val="004D6364"/>
    <w:rsid w:val="004D6561"/>
    <w:rsid w:val="004D6714"/>
    <w:rsid w:val="004D6B71"/>
    <w:rsid w:val="004D6F88"/>
    <w:rsid w:val="004D7340"/>
    <w:rsid w:val="004D7347"/>
    <w:rsid w:val="004D7A4E"/>
    <w:rsid w:val="004D7AC0"/>
    <w:rsid w:val="004D7B32"/>
    <w:rsid w:val="004D7E71"/>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0AC"/>
    <w:rsid w:val="004E610A"/>
    <w:rsid w:val="004E6239"/>
    <w:rsid w:val="004E636E"/>
    <w:rsid w:val="004E64DA"/>
    <w:rsid w:val="004E64FD"/>
    <w:rsid w:val="004E6651"/>
    <w:rsid w:val="004E6719"/>
    <w:rsid w:val="004E6823"/>
    <w:rsid w:val="004E6876"/>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C6E"/>
    <w:rsid w:val="004F0F29"/>
    <w:rsid w:val="004F100A"/>
    <w:rsid w:val="004F10A0"/>
    <w:rsid w:val="004F1248"/>
    <w:rsid w:val="004F1372"/>
    <w:rsid w:val="004F1485"/>
    <w:rsid w:val="004F18B1"/>
    <w:rsid w:val="004F18C2"/>
    <w:rsid w:val="004F1993"/>
    <w:rsid w:val="004F1B6F"/>
    <w:rsid w:val="004F1D73"/>
    <w:rsid w:val="004F1E6D"/>
    <w:rsid w:val="004F214E"/>
    <w:rsid w:val="004F2250"/>
    <w:rsid w:val="004F2293"/>
    <w:rsid w:val="004F23A5"/>
    <w:rsid w:val="004F2400"/>
    <w:rsid w:val="004F2527"/>
    <w:rsid w:val="004F290F"/>
    <w:rsid w:val="004F2971"/>
    <w:rsid w:val="004F2B04"/>
    <w:rsid w:val="004F2D10"/>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0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15"/>
    <w:rsid w:val="004F7820"/>
    <w:rsid w:val="004F79D4"/>
    <w:rsid w:val="004F7AB7"/>
    <w:rsid w:val="004F7B5E"/>
    <w:rsid w:val="004F7BDF"/>
    <w:rsid w:val="004F7C4F"/>
    <w:rsid w:val="004F7DA4"/>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E80"/>
    <w:rsid w:val="00505FA8"/>
    <w:rsid w:val="00506088"/>
    <w:rsid w:val="005061AF"/>
    <w:rsid w:val="005061BA"/>
    <w:rsid w:val="0050638E"/>
    <w:rsid w:val="00506590"/>
    <w:rsid w:val="005065A3"/>
    <w:rsid w:val="00506669"/>
    <w:rsid w:val="0050677C"/>
    <w:rsid w:val="005067AF"/>
    <w:rsid w:val="005067DA"/>
    <w:rsid w:val="0050696A"/>
    <w:rsid w:val="005069DD"/>
    <w:rsid w:val="005069EE"/>
    <w:rsid w:val="00506A7E"/>
    <w:rsid w:val="00506BDA"/>
    <w:rsid w:val="00506D32"/>
    <w:rsid w:val="005071A0"/>
    <w:rsid w:val="005071D0"/>
    <w:rsid w:val="0050743A"/>
    <w:rsid w:val="00507547"/>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3A3"/>
    <w:rsid w:val="0051145A"/>
    <w:rsid w:val="005115B9"/>
    <w:rsid w:val="0051162F"/>
    <w:rsid w:val="0051177E"/>
    <w:rsid w:val="0051186E"/>
    <w:rsid w:val="005119D4"/>
    <w:rsid w:val="00511B42"/>
    <w:rsid w:val="00511D75"/>
    <w:rsid w:val="0051237B"/>
    <w:rsid w:val="00512479"/>
    <w:rsid w:val="00512523"/>
    <w:rsid w:val="005126BA"/>
    <w:rsid w:val="00512740"/>
    <w:rsid w:val="005127F6"/>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3C16"/>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22E"/>
    <w:rsid w:val="005173D8"/>
    <w:rsid w:val="00517525"/>
    <w:rsid w:val="005175A2"/>
    <w:rsid w:val="00517621"/>
    <w:rsid w:val="005177AA"/>
    <w:rsid w:val="00517A7D"/>
    <w:rsid w:val="00517B97"/>
    <w:rsid w:val="00517B98"/>
    <w:rsid w:val="00517C49"/>
    <w:rsid w:val="00517E6C"/>
    <w:rsid w:val="00517E86"/>
    <w:rsid w:val="00520084"/>
    <w:rsid w:val="00520164"/>
    <w:rsid w:val="0052017A"/>
    <w:rsid w:val="005204E0"/>
    <w:rsid w:val="0052094D"/>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049"/>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0FA4"/>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1E5"/>
    <w:rsid w:val="00534459"/>
    <w:rsid w:val="00534515"/>
    <w:rsid w:val="005345DE"/>
    <w:rsid w:val="00534871"/>
    <w:rsid w:val="0053487C"/>
    <w:rsid w:val="0053492C"/>
    <w:rsid w:val="00534AAF"/>
    <w:rsid w:val="00534C58"/>
    <w:rsid w:val="00534D08"/>
    <w:rsid w:val="00534F67"/>
    <w:rsid w:val="005353AD"/>
    <w:rsid w:val="00535799"/>
    <w:rsid w:val="00535BEB"/>
    <w:rsid w:val="00535C8A"/>
    <w:rsid w:val="00535DCF"/>
    <w:rsid w:val="00535F8B"/>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74C"/>
    <w:rsid w:val="00540976"/>
    <w:rsid w:val="00540978"/>
    <w:rsid w:val="00540A25"/>
    <w:rsid w:val="00540A61"/>
    <w:rsid w:val="00540B1E"/>
    <w:rsid w:val="00540B84"/>
    <w:rsid w:val="00540B86"/>
    <w:rsid w:val="00540C69"/>
    <w:rsid w:val="00540CFC"/>
    <w:rsid w:val="00540F27"/>
    <w:rsid w:val="00540F47"/>
    <w:rsid w:val="00540F60"/>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2E"/>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90F"/>
    <w:rsid w:val="00546A18"/>
    <w:rsid w:val="00546A1C"/>
    <w:rsid w:val="00546BBE"/>
    <w:rsid w:val="00546C2E"/>
    <w:rsid w:val="00546CDF"/>
    <w:rsid w:val="00546DF5"/>
    <w:rsid w:val="00546E28"/>
    <w:rsid w:val="00546FBC"/>
    <w:rsid w:val="00546FC1"/>
    <w:rsid w:val="005470EA"/>
    <w:rsid w:val="00547127"/>
    <w:rsid w:val="00547262"/>
    <w:rsid w:val="0054728A"/>
    <w:rsid w:val="0054738E"/>
    <w:rsid w:val="00547489"/>
    <w:rsid w:val="00547882"/>
    <w:rsid w:val="00547DB0"/>
    <w:rsid w:val="00547ED2"/>
    <w:rsid w:val="00547EE1"/>
    <w:rsid w:val="00547FAE"/>
    <w:rsid w:val="005502A2"/>
    <w:rsid w:val="005504F9"/>
    <w:rsid w:val="005505C6"/>
    <w:rsid w:val="005507E6"/>
    <w:rsid w:val="00550972"/>
    <w:rsid w:val="00550A68"/>
    <w:rsid w:val="00550C0C"/>
    <w:rsid w:val="00550C9A"/>
    <w:rsid w:val="00550CC8"/>
    <w:rsid w:val="00550DE3"/>
    <w:rsid w:val="00550FDE"/>
    <w:rsid w:val="00551171"/>
    <w:rsid w:val="0055117F"/>
    <w:rsid w:val="0055127E"/>
    <w:rsid w:val="00551943"/>
    <w:rsid w:val="00551ABA"/>
    <w:rsid w:val="00551AFF"/>
    <w:rsid w:val="00551D87"/>
    <w:rsid w:val="00551F58"/>
    <w:rsid w:val="005520C3"/>
    <w:rsid w:val="005522DB"/>
    <w:rsid w:val="00552313"/>
    <w:rsid w:val="00552769"/>
    <w:rsid w:val="00552846"/>
    <w:rsid w:val="00552888"/>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D10"/>
    <w:rsid w:val="00556D6F"/>
    <w:rsid w:val="00556EEA"/>
    <w:rsid w:val="00556F15"/>
    <w:rsid w:val="00556F3E"/>
    <w:rsid w:val="00556FE9"/>
    <w:rsid w:val="00557152"/>
    <w:rsid w:val="005571FB"/>
    <w:rsid w:val="0055732A"/>
    <w:rsid w:val="0055777E"/>
    <w:rsid w:val="00557868"/>
    <w:rsid w:val="005578DB"/>
    <w:rsid w:val="00557AF0"/>
    <w:rsid w:val="00557AFE"/>
    <w:rsid w:val="00557B84"/>
    <w:rsid w:val="00557CEF"/>
    <w:rsid w:val="00557DDA"/>
    <w:rsid w:val="00557E7B"/>
    <w:rsid w:val="00560064"/>
    <w:rsid w:val="005601D7"/>
    <w:rsid w:val="00560201"/>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CEE"/>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440"/>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DE1"/>
    <w:rsid w:val="00567F09"/>
    <w:rsid w:val="00570009"/>
    <w:rsid w:val="0057016C"/>
    <w:rsid w:val="00570330"/>
    <w:rsid w:val="0057046C"/>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DDC"/>
    <w:rsid w:val="00573F25"/>
    <w:rsid w:val="00573F28"/>
    <w:rsid w:val="00573FBB"/>
    <w:rsid w:val="00574210"/>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C25"/>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904"/>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7F3"/>
    <w:rsid w:val="005878C3"/>
    <w:rsid w:val="00587997"/>
    <w:rsid w:val="00587CB5"/>
    <w:rsid w:val="00587FEB"/>
    <w:rsid w:val="00590056"/>
    <w:rsid w:val="00590166"/>
    <w:rsid w:val="0059031A"/>
    <w:rsid w:val="00590452"/>
    <w:rsid w:val="005905AF"/>
    <w:rsid w:val="005905C1"/>
    <w:rsid w:val="00590602"/>
    <w:rsid w:val="00590A04"/>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48"/>
    <w:rsid w:val="005919D7"/>
    <w:rsid w:val="00591BAF"/>
    <w:rsid w:val="00591E48"/>
    <w:rsid w:val="00591E7B"/>
    <w:rsid w:val="00592130"/>
    <w:rsid w:val="005921F2"/>
    <w:rsid w:val="005923D2"/>
    <w:rsid w:val="00592535"/>
    <w:rsid w:val="0059272C"/>
    <w:rsid w:val="00592762"/>
    <w:rsid w:val="00592870"/>
    <w:rsid w:val="00592BA3"/>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EB"/>
    <w:rsid w:val="005949F8"/>
    <w:rsid w:val="00594E4C"/>
    <w:rsid w:val="00594F3E"/>
    <w:rsid w:val="005950BA"/>
    <w:rsid w:val="00595191"/>
    <w:rsid w:val="00595380"/>
    <w:rsid w:val="005953EA"/>
    <w:rsid w:val="00595489"/>
    <w:rsid w:val="005954D7"/>
    <w:rsid w:val="00595584"/>
    <w:rsid w:val="005955F2"/>
    <w:rsid w:val="00595648"/>
    <w:rsid w:val="00595780"/>
    <w:rsid w:val="00595785"/>
    <w:rsid w:val="005958EC"/>
    <w:rsid w:val="00595B22"/>
    <w:rsid w:val="00595C6A"/>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58A"/>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8F"/>
    <w:rsid w:val="005A11F6"/>
    <w:rsid w:val="005A128D"/>
    <w:rsid w:val="005A136F"/>
    <w:rsid w:val="005A14F7"/>
    <w:rsid w:val="005A15FB"/>
    <w:rsid w:val="005A1B3C"/>
    <w:rsid w:val="005A1BC2"/>
    <w:rsid w:val="005A1BFB"/>
    <w:rsid w:val="005A1E71"/>
    <w:rsid w:val="005A2001"/>
    <w:rsid w:val="005A22D2"/>
    <w:rsid w:val="005A248E"/>
    <w:rsid w:val="005A24F6"/>
    <w:rsid w:val="005A2708"/>
    <w:rsid w:val="005A2796"/>
    <w:rsid w:val="005A2833"/>
    <w:rsid w:val="005A298A"/>
    <w:rsid w:val="005A2A46"/>
    <w:rsid w:val="005A2A74"/>
    <w:rsid w:val="005A2B6F"/>
    <w:rsid w:val="005A2C16"/>
    <w:rsid w:val="005A2CC4"/>
    <w:rsid w:val="005A2D46"/>
    <w:rsid w:val="005A33D7"/>
    <w:rsid w:val="005A3437"/>
    <w:rsid w:val="005A346F"/>
    <w:rsid w:val="005A36CF"/>
    <w:rsid w:val="005A3704"/>
    <w:rsid w:val="005A3837"/>
    <w:rsid w:val="005A3AC1"/>
    <w:rsid w:val="005A3B00"/>
    <w:rsid w:val="005A3C0F"/>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1AD"/>
    <w:rsid w:val="005A5310"/>
    <w:rsid w:val="005A5418"/>
    <w:rsid w:val="005A545A"/>
    <w:rsid w:val="005A561B"/>
    <w:rsid w:val="005A599B"/>
    <w:rsid w:val="005A5B57"/>
    <w:rsid w:val="005A5B75"/>
    <w:rsid w:val="005A5B88"/>
    <w:rsid w:val="005A5F71"/>
    <w:rsid w:val="005A6132"/>
    <w:rsid w:val="005A6252"/>
    <w:rsid w:val="005A6298"/>
    <w:rsid w:val="005A62AA"/>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2B"/>
    <w:rsid w:val="005B125D"/>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2F"/>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C72"/>
    <w:rsid w:val="005B6D05"/>
    <w:rsid w:val="005B705C"/>
    <w:rsid w:val="005B72DF"/>
    <w:rsid w:val="005B7395"/>
    <w:rsid w:val="005B7675"/>
    <w:rsid w:val="005B76DD"/>
    <w:rsid w:val="005B7766"/>
    <w:rsid w:val="005B77C1"/>
    <w:rsid w:val="005B7931"/>
    <w:rsid w:val="005B79CC"/>
    <w:rsid w:val="005B7C49"/>
    <w:rsid w:val="005B7DCE"/>
    <w:rsid w:val="005B7FC5"/>
    <w:rsid w:val="005C028D"/>
    <w:rsid w:val="005C06D7"/>
    <w:rsid w:val="005C0B2D"/>
    <w:rsid w:val="005C0BD5"/>
    <w:rsid w:val="005C0BF5"/>
    <w:rsid w:val="005C1019"/>
    <w:rsid w:val="005C104E"/>
    <w:rsid w:val="005C1215"/>
    <w:rsid w:val="005C12A1"/>
    <w:rsid w:val="005C15EC"/>
    <w:rsid w:val="005C1A27"/>
    <w:rsid w:val="005C1AAE"/>
    <w:rsid w:val="005C1B1A"/>
    <w:rsid w:val="005C1C67"/>
    <w:rsid w:val="005C1D96"/>
    <w:rsid w:val="005C1DB2"/>
    <w:rsid w:val="005C20A6"/>
    <w:rsid w:val="005C20CB"/>
    <w:rsid w:val="005C2848"/>
    <w:rsid w:val="005C2B9F"/>
    <w:rsid w:val="005C2D77"/>
    <w:rsid w:val="005C2DDB"/>
    <w:rsid w:val="005C2EF1"/>
    <w:rsid w:val="005C2F57"/>
    <w:rsid w:val="005C313D"/>
    <w:rsid w:val="005C366A"/>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355"/>
    <w:rsid w:val="005D14D6"/>
    <w:rsid w:val="005D156C"/>
    <w:rsid w:val="005D1BEA"/>
    <w:rsid w:val="005D1C43"/>
    <w:rsid w:val="005D1DCF"/>
    <w:rsid w:val="005D1E54"/>
    <w:rsid w:val="005D223E"/>
    <w:rsid w:val="005D22FB"/>
    <w:rsid w:val="005D2377"/>
    <w:rsid w:val="005D2506"/>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8A4"/>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02"/>
    <w:rsid w:val="005D7C14"/>
    <w:rsid w:val="005D7FCB"/>
    <w:rsid w:val="005E007D"/>
    <w:rsid w:val="005E00DF"/>
    <w:rsid w:val="005E0230"/>
    <w:rsid w:val="005E0233"/>
    <w:rsid w:val="005E0379"/>
    <w:rsid w:val="005E0399"/>
    <w:rsid w:val="005E03D4"/>
    <w:rsid w:val="005E058E"/>
    <w:rsid w:val="005E0599"/>
    <w:rsid w:val="005E05E8"/>
    <w:rsid w:val="005E062F"/>
    <w:rsid w:val="005E09E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40C"/>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CD9"/>
    <w:rsid w:val="005E7D81"/>
    <w:rsid w:val="005E7DAE"/>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A7"/>
    <w:rsid w:val="005F26EE"/>
    <w:rsid w:val="005F2976"/>
    <w:rsid w:val="005F2A9A"/>
    <w:rsid w:val="005F2A9B"/>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5DF"/>
    <w:rsid w:val="005F484A"/>
    <w:rsid w:val="005F4AB8"/>
    <w:rsid w:val="005F4C18"/>
    <w:rsid w:val="005F4CA7"/>
    <w:rsid w:val="005F4CC2"/>
    <w:rsid w:val="005F502B"/>
    <w:rsid w:val="005F510A"/>
    <w:rsid w:val="005F5113"/>
    <w:rsid w:val="005F5114"/>
    <w:rsid w:val="005F5206"/>
    <w:rsid w:val="005F527F"/>
    <w:rsid w:val="005F52EF"/>
    <w:rsid w:val="005F58C0"/>
    <w:rsid w:val="005F5D63"/>
    <w:rsid w:val="005F5DA0"/>
    <w:rsid w:val="005F5FD7"/>
    <w:rsid w:val="005F604F"/>
    <w:rsid w:val="005F608E"/>
    <w:rsid w:val="005F6214"/>
    <w:rsid w:val="005F6245"/>
    <w:rsid w:val="005F62C4"/>
    <w:rsid w:val="005F6439"/>
    <w:rsid w:val="005F66B2"/>
    <w:rsid w:val="005F69E4"/>
    <w:rsid w:val="005F69F5"/>
    <w:rsid w:val="005F6DEC"/>
    <w:rsid w:val="005F6E80"/>
    <w:rsid w:val="005F6EC2"/>
    <w:rsid w:val="005F6EFA"/>
    <w:rsid w:val="005F6F23"/>
    <w:rsid w:val="005F6FCB"/>
    <w:rsid w:val="005F7020"/>
    <w:rsid w:val="005F70E6"/>
    <w:rsid w:val="005F70F5"/>
    <w:rsid w:val="005F74C3"/>
    <w:rsid w:val="005F7513"/>
    <w:rsid w:val="005F7583"/>
    <w:rsid w:val="005F765B"/>
    <w:rsid w:val="005F768E"/>
    <w:rsid w:val="005F769F"/>
    <w:rsid w:val="005F77D8"/>
    <w:rsid w:val="005F7902"/>
    <w:rsid w:val="005F7B25"/>
    <w:rsid w:val="005F7C7C"/>
    <w:rsid w:val="005F7D8E"/>
    <w:rsid w:val="005F7DEB"/>
    <w:rsid w:val="0060002A"/>
    <w:rsid w:val="00600120"/>
    <w:rsid w:val="00600153"/>
    <w:rsid w:val="00600204"/>
    <w:rsid w:val="00600374"/>
    <w:rsid w:val="00600576"/>
    <w:rsid w:val="00600835"/>
    <w:rsid w:val="00600866"/>
    <w:rsid w:val="006009CB"/>
    <w:rsid w:val="00600A34"/>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B51"/>
    <w:rsid w:val="00601F3A"/>
    <w:rsid w:val="0060200D"/>
    <w:rsid w:val="006020A5"/>
    <w:rsid w:val="006020B6"/>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04"/>
    <w:rsid w:val="00603E13"/>
    <w:rsid w:val="00603E31"/>
    <w:rsid w:val="00603F90"/>
    <w:rsid w:val="0060405A"/>
    <w:rsid w:val="006040D0"/>
    <w:rsid w:val="006040E0"/>
    <w:rsid w:val="00604169"/>
    <w:rsid w:val="0060437E"/>
    <w:rsid w:val="006047F1"/>
    <w:rsid w:val="00604917"/>
    <w:rsid w:val="00604A9D"/>
    <w:rsid w:val="00604E44"/>
    <w:rsid w:val="00604EC5"/>
    <w:rsid w:val="006054E4"/>
    <w:rsid w:val="0060558E"/>
    <w:rsid w:val="00605795"/>
    <w:rsid w:val="006057E3"/>
    <w:rsid w:val="00605880"/>
    <w:rsid w:val="00605A17"/>
    <w:rsid w:val="00605EF1"/>
    <w:rsid w:val="00605F00"/>
    <w:rsid w:val="00605FA7"/>
    <w:rsid w:val="006062C7"/>
    <w:rsid w:val="00606471"/>
    <w:rsid w:val="00606576"/>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A6"/>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7E0"/>
    <w:rsid w:val="00612C73"/>
    <w:rsid w:val="00612D39"/>
    <w:rsid w:val="00612E57"/>
    <w:rsid w:val="00613092"/>
    <w:rsid w:val="00613245"/>
    <w:rsid w:val="0061354B"/>
    <w:rsid w:val="0061367C"/>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5D74"/>
    <w:rsid w:val="00615E2F"/>
    <w:rsid w:val="006160BE"/>
    <w:rsid w:val="006162A1"/>
    <w:rsid w:val="006164EF"/>
    <w:rsid w:val="00616969"/>
    <w:rsid w:val="006169CD"/>
    <w:rsid w:val="00616A22"/>
    <w:rsid w:val="00616A35"/>
    <w:rsid w:val="00616BE1"/>
    <w:rsid w:val="00616C0E"/>
    <w:rsid w:val="00616C94"/>
    <w:rsid w:val="00616F95"/>
    <w:rsid w:val="0061701A"/>
    <w:rsid w:val="006170D9"/>
    <w:rsid w:val="006170DF"/>
    <w:rsid w:val="0061747E"/>
    <w:rsid w:val="00617607"/>
    <w:rsid w:val="006177BE"/>
    <w:rsid w:val="006178F3"/>
    <w:rsid w:val="006179D6"/>
    <w:rsid w:val="00617FAE"/>
    <w:rsid w:val="00617FF0"/>
    <w:rsid w:val="00620096"/>
    <w:rsid w:val="0062011D"/>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78B"/>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46C"/>
    <w:rsid w:val="0062547E"/>
    <w:rsid w:val="006254DC"/>
    <w:rsid w:val="006257CB"/>
    <w:rsid w:val="00625887"/>
    <w:rsid w:val="00625991"/>
    <w:rsid w:val="00625A59"/>
    <w:rsid w:val="00625BBE"/>
    <w:rsid w:val="00625DF7"/>
    <w:rsid w:val="00625FCA"/>
    <w:rsid w:val="00626242"/>
    <w:rsid w:val="006262FB"/>
    <w:rsid w:val="0062633E"/>
    <w:rsid w:val="0062651F"/>
    <w:rsid w:val="006266D3"/>
    <w:rsid w:val="00626919"/>
    <w:rsid w:val="00626A19"/>
    <w:rsid w:val="00626A1B"/>
    <w:rsid w:val="00626A3F"/>
    <w:rsid w:val="00626C96"/>
    <w:rsid w:val="00626D2B"/>
    <w:rsid w:val="00626D62"/>
    <w:rsid w:val="00626E70"/>
    <w:rsid w:val="00626FB9"/>
    <w:rsid w:val="006272A0"/>
    <w:rsid w:val="006272FA"/>
    <w:rsid w:val="00627361"/>
    <w:rsid w:val="0062747D"/>
    <w:rsid w:val="006274C5"/>
    <w:rsid w:val="00627543"/>
    <w:rsid w:val="0062771B"/>
    <w:rsid w:val="0062778D"/>
    <w:rsid w:val="006279F7"/>
    <w:rsid w:val="00627B00"/>
    <w:rsid w:val="00627DD4"/>
    <w:rsid w:val="00627FAD"/>
    <w:rsid w:val="0063031F"/>
    <w:rsid w:val="00630380"/>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5C2"/>
    <w:rsid w:val="00636913"/>
    <w:rsid w:val="006369CE"/>
    <w:rsid w:val="00636A66"/>
    <w:rsid w:val="00636D4D"/>
    <w:rsid w:val="00636EA0"/>
    <w:rsid w:val="00636F58"/>
    <w:rsid w:val="00636F8C"/>
    <w:rsid w:val="006370B6"/>
    <w:rsid w:val="006371CF"/>
    <w:rsid w:val="0063740C"/>
    <w:rsid w:val="0063742F"/>
    <w:rsid w:val="00637491"/>
    <w:rsid w:val="00637526"/>
    <w:rsid w:val="006377F9"/>
    <w:rsid w:val="006379BA"/>
    <w:rsid w:val="00637A27"/>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751"/>
    <w:rsid w:val="0064280B"/>
    <w:rsid w:val="00642BE0"/>
    <w:rsid w:val="00642DE3"/>
    <w:rsid w:val="00642ED8"/>
    <w:rsid w:val="00643074"/>
    <w:rsid w:val="006430D4"/>
    <w:rsid w:val="00643267"/>
    <w:rsid w:val="006434B2"/>
    <w:rsid w:val="006434CB"/>
    <w:rsid w:val="0064376D"/>
    <w:rsid w:val="006439EB"/>
    <w:rsid w:val="00643B05"/>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1B"/>
    <w:rsid w:val="006450CC"/>
    <w:rsid w:val="00645160"/>
    <w:rsid w:val="006451CE"/>
    <w:rsid w:val="006454F1"/>
    <w:rsid w:val="00645609"/>
    <w:rsid w:val="00645729"/>
    <w:rsid w:val="006458BB"/>
    <w:rsid w:val="00645E16"/>
    <w:rsid w:val="00646109"/>
    <w:rsid w:val="006461EC"/>
    <w:rsid w:val="00646211"/>
    <w:rsid w:val="0064637B"/>
    <w:rsid w:val="00646549"/>
    <w:rsid w:val="006465EC"/>
    <w:rsid w:val="00646861"/>
    <w:rsid w:val="00646932"/>
    <w:rsid w:val="006469BA"/>
    <w:rsid w:val="006469CE"/>
    <w:rsid w:val="00646C11"/>
    <w:rsid w:val="00646C40"/>
    <w:rsid w:val="00646EFD"/>
    <w:rsid w:val="0064711F"/>
    <w:rsid w:val="006471C8"/>
    <w:rsid w:val="00647211"/>
    <w:rsid w:val="00647237"/>
    <w:rsid w:val="006472A1"/>
    <w:rsid w:val="006475AC"/>
    <w:rsid w:val="0064777A"/>
    <w:rsid w:val="0064778B"/>
    <w:rsid w:val="006477B9"/>
    <w:rsid w:val="00647825"/>
    <w:rsid w:val="00647831"/>
    <w:rsid w:val="00647C4E"/>
    <w:rsid w:val="00647CF0"/>
    <w:rsid w:val="00647E54"/>
    <w:rsid w:val="006501C1"/>
    <w:rsid w:val="006503EB"/>
    <w:rsid w:val="00650656"/>
    <w:rsid w:val="00650666"/>
    <w:rsid w:val="00650691"/>
    <w:rsid w:val="00650A5D"/>
    <w:rsid w:val="00650C39"/>
    <w:rsid w:val="00650C62"/>
    <w:rsid w:val="00650CA9"/>
    <w:rsid w:val="00650CF7"/>
    <w:rsid w:val="0065103A"/>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B6A"/>
    <w:rsid w:val="00652C66"/>
    <w:rsid w:val="00652DC7"/>
    <w:rsid w:val="00652ECB"/>
    <w:rsid w:val="00652F9F"/>
    <w:rsid w:val="006534D7"/>
    <w:rsid w:val="006538B2"/>
    <w:rsid w:val="00653D23"/>
    <w:rsid w:val="00653D33"/>
    <w:rsid w:val="00653D64"/>
    <w:rsid w:val="00654101"/>
    <w:rsid w:val="0065417C"/>
    <w:rsid w:val="006547EC"/>
    <w:rsid w:val="00654DEA"/>
    <w:rsid w:val="006550AF"/>
    <w:rsid w:val="006559DF"/>
    <w:rsid w:val="00655A01"/>
    <w:rsid w:val="00655ADB"/>
    <w:rsid w:val="00655B22"/>
    <w:rsid w:val="00655FF0"/>
    <w:rsid w:val="0065629E"/>
    <w:rsid w:val="006562D6"/>
    <w:rsid w:val="00656323"/>
    <w:rsid w:val="00656336"/>
    <w:rsid w:val="006563DA"/>
    <w:rsid w:val="00656421"/>
    <w:rsid w:val="0065649F"/>
    <w:rsid w:val="006565AA"/>
    <w:rsid w:val="006565D9"/>
    <w:rsid w:val="00656663"/>
    <w:rsid w:val="006566C4"/>
    <w:rsid w:val="006567AD"/>
    <w:rsid w:val="00656933"/>
    <w:rsid w:val="00656B9A"/>
    <w:rsid w:val="00656C15"/>
    <w:rsid w:val="00656CEF"/>
    <w:rsid w:val="00656E5F"/>
    <w:rsid w:val="00656E7E"/>
    <w:rsid w:val="00656F35"/>
    <w:rsid w:val="00656F91"/>
    <w:rsid w:val="006570CB"/>
    <w:rsid w:val="00657140"/>
    <w:rsid w:val="0065720B"/>
    <w:rsid w:val="006573A3"/>
    <w:rsid w:val="00657513"/>
    <w:rsid w:val="00657833"/>
    <w:rsid w:val="00657916"/>
    <w:rsid w:val="00657A11"/>
    <w:rsid w:val="00657B52"/>
    <w:rsid w:val="00657F4A"/>
    <w:rsid w:val="0066007E"/>
    <w:rsid w:val="006602FF"/>
    <w:rsid w:val="00660607"/>
    <w:rsid w:val="006607DF"/>
    <w:rsid w:val="00660984"/>
    <w:rsid w:val="006610D1"/>
    <w:rsid w:val="00661111"/>
    <w:rsid w:val="00661179"/>
    <w:rsid w:val="0066135C"/>
    <w:rsid w:val="006616E2"/>
    <w:rsid w:val="0066174D"/>
    <w:rsid w:val="0066179A"/>
    <w:rsid w:val="006617C6"/>
    <w:rsid w:val="00661AA4"/>
    <w:rsid w:val="00661BA3"/>
    <w:rsid w:val="00661C2C"/>
    <w:rsid w:val="0066206B"/>
    <w:rsid w:val="00662175"/>
    <w:rsid w:val="00662261"/>
    <w:rsid w:val="006623D9"/>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4E"/>
    <w:rsid w:val="00667E19"/>
    <w:rsid w:val="00667E61"/>
    <w:rsid w:val="00667F03"/>
    <w:rsid w:val="0067046F"/>
    <w:rsid w:val="00670471"/>
    <w:rsid w:val="0067065F"/>
    <w:rsid w:val="0067071C"/>
    <w:rsid w:val="00670924"/>
    <w:rsid w:val="0067095C"/>
    <w:rsid w:val="00670A6B"/>
    <w:rsid w:val="00670A86"/>
    <w:rsid w:val="00670B43"/>
    <w:rsid w:val="00670DAC"/>
    <w:rsid w:val="006711C4"/>
    <w:rsid w:val="0067121F"/>
    <w:rsid w:val="0067130B"/>
    <w:rsid w:val="006715B9"/>
    <w:rsid w:val="00671919"/>
    <w:rsid w:val="00671932"/>
    <w:rsid w:val="00671965"/>
    <w:rsid w:val="00671A1E"/>
    <w:rsid w:val="00671A8B"/>
    <w:rsid w:val="00671A8E"/>
    <w:rsid w:val="00671B68"/>
    <w:rsid w:val="00671BDD"/>
    <w:rsid w:val="00671FA3"/>
    <w:rsid w:val="0067225E"/>
    <w:rsid w:val="00672266"/>
    <w:rsid w:val="00672385"/>
    <w:rsid w:val="0067247A"/>
    <w:rsid w:val="0067275B"/>
    <w:rsid w:val="00672857"/>
    <w:rsid w:val="0067293E"/>
    <w:rsid w:val="0067294D"/>
    <w:rsid w:val="00672BF2"/>
    <w:rsid w:val="0067323F"/>
    <w:rsid w:val="00673269"/>
    <w:rsid w:val="00673872"/>
    <w:rsid w:val="00673B05"/>
    <w:rsid w:val="00673CA5"/>
    <w:rsid w:val="00674068"/>
    <w:rsid w:val="0067414F"/>
    <w:rsid w:val="00674226"/>
    <w:rsid w:val="0067452D"/>
    <w:rsid w:val="006747E9"/>
    <w:rsid w:val="00674B4A"/>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6C6"/>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B2D"/>
    <w:rsid w:val="00681C46"/>
    <w:rsid w:val="00681CA5"/>
    <w:rsid w:val="00681D01"/>
    <w:rsid w:val="00681D1E"/>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C8"/>
    <w:rsid w:val="00690FE4"/>
    <w:rsid w:val="00691242"/>
    <w:rsid w:val="0069148E"/>
    <w:rsid w:val="006916A8"/>
    <w:rsid w:val="006916EA"/>
    <w:rsid w:val="006918E3"/>
    <w:rsid w:val="00691BD4"/>
    <w:rsid w:val="00691E60"/>
    <w:rsid w:val="00691E8F"/>
    <w:rsid w:val="00691F06"/>
    <w:rsid w:val="00691F5E"/>
    <w:rsid w:val="00691FF5"/>
    <w:rsid w:val="00692166"/>
    <w:rsid w:val="00692261"/>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4A9"/>
    <w:rsid w:val="00694921"/>
    <w:rsid w:val="00694A3F"/>
    <w:rsid w:val="00694E0E"/>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2CBB"/>
    <w:rsid w:val="006A31B3"/>
    <w:rsid w:val="006A3261"/>
    <w:rsid w:val="006A3295"/>
    <w:rsid w:val="006A3447"/>
    <w:rsid w:val="006A36BF"/>
    <w:rsid w:val="006A380F"/>
    <w:rsid w:val="006A38E5"/>
    <w:rsid w:val="006A3939"/>
    <w:rsid w:val="006A3C6B"/>
    <w:rsid w:val="006A3CDF"/>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47"/>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0A"/>
    <w:rsid w:val="006B3071"/>
    <w:rsid w:val="006B3380"/>
    <w:rsid w:val="006B346A"/>
    <w:rsid w:val="006B34A8"/>
    <w:rsid w:val="006B350C"/>
    <w:rsid w:val="006B3667"/>
    <w:rsid w:val="006B375C"/>
    <w:rsid w:val="006B3801"/>
    <w:rsid w:val="006B3843"/>
    <w:rsid w:val="006B3863"/>
    <w:rsid w:val="006B3B37"/>
    <w:rsid w:val="006B3B91"/>
    <w:rsid w:val="006B3C2C"/>
    <w:rsid w:val="006B3D7B"/>
    <w:rsid w:val="006B40F1"/>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3CC"/>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0C3"/>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A65"/>
    <w:rsid w:val="006C6B94"/>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0F3"/>
    <w:rsid w:val="006D526F"/>
    <w:rsid w:val="006D52AC"/>
    <w:rsid w:val="006D52E0"/>
    <w:rsid w:val="006D531B"/>
    <w:rsid w:val="006D54C3"/>
    <w:rsid w:val="006D5538"/>
    <w:rsid w:val="006D5613"/>
    <w:rsid w:val="006D564C"/>
    <w:rsid w:val="006D5C2D"/>
    <w:rsid w:val="006D5D55"/>
    <w:rsid w:val="006D60CF"/>
    <w:rsid w:val="006D61E3"/>
    <w:rsid w:val="006D622E"/>
    <w:rsid w:val="006D6542"/>
    <w:rsid w:val="006D6B68"/>
    <w:rsid w:val="006D6D83"/>
    <w:rsid w:val="006D7023"/>
    <w:rsid w:val="006D7161"/>
    <w:rsid w:val="006D71CE"/>
    <w:rsid w:val="006D7236"/>
    <w:rsid w:val="006D7750"/>
    <w:rsid w:val="006D793C"/>
    <w:rsid w:val="006D7A47"/>
    <w:rsid w:val="006D7BD1"/>
    <w:rsid w:val="006E0071"/>
    <w:rsid w:val="006E00BF"/>
    <w:rsid w:val="006E018A"/>
    <w:rsid w:val="006E0200"/>
    <w:rsid w:val="006E027F"/>
    <w:rsid w:val="006E04B6"/>
    <w:rsid w:val="006E08E0"/>
    <w:rsid w:val="006E09A1"/>
    <w:rsid w:val="006E0A73"/>
    <w:rsid w:val="006E0C3A"/>
    <w:rsid w:val="006E0E6F"/>
    <w:rsid w:val="006E147B"/>
    <w:rsid w:val="006E14F7"/>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ED3"/>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AC6"/>
    <w:rsid w:val="006E4B8A"/>
    <w:rsid w:val="006E4C52"/>
    <w:rsid w:val="006E4D45"/>
    <w:rsid w:val="006E4F1C"/>
    <w:rsid w:val="006E535D"/>
    <w:rsid w:val="006E5386"/>
    <w:rsid w:val="006E551E"/>
    <w:rsid w:val="006E561E"/>
    <w:rsid w:val="006E5670"/>
    <w:rsid w:val="006E5687"/>
    <w:rsid w:val="006E5835"/>
    <w:rsid w:val="006E5B81"/>
    <w:rsid w:val="006E5DAD"/>
    <w:rsid w:val="006E5ED6"/>
    <w:rsid w:val="006E5FF1"/>
    <w:rsid w:val="006E61C3"/>
    <w:rsid w:val="006E62B1"/>
    <w:rsid w:val="006E650F"/>
    <w:rsid w:val="006E6596"/>
    <w:rsid w:val="006E672A"/>
    <w:rsid w:val="006E691F"/>
    <w:rsid w:val="006E6B0F"/>
    <w:rsid w:val="006E6B6F"/>
    <w:rsid w:val="006E6DF5"/>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3B9"/>
    <w:rsid w:val="006F1552"/>
    <w:rsid w:val="006F175E"/>
    <w:rsid w:val="006F178E"/>
    <w:rsid w:val="006F1869"/>
    <w:rsid w:val="006F1AEE"/>
    <w:rsid w:val="006F21B4"/>
    <w:rsid w:val="006F2225"/>
    <w:rsid w:val="006F24A1"/>
    <w:rsid w:val="006F2ABE"/>
    <w:rsid w:val="006F2CAF"/>
    <w:rsid w:val="006F2D3D"/>
    <w:rsid w:val="006F30E9"/>
    <w:rsid w:val="006F3112"/>
    <w:rsid w:val="006F32B2"/>
    <w:rsid w:val="006F3315"/>
    <w:rsid w:val="006F3469"/>
    <w:rsid w:val="006F34DD"/>
    <w:rsid w:val="006F3A5A"/>
    <w:rsid w:val="006F3BB3"/>
    <w:rsid w:val="006F3C67"/>
    <w:rsid w:val="006F3F24"/>
    <w:rsid w:val="006F407C"/>
    <w:rsid w:val="006F4394"/>
    <w:rsid w:val="006F43A9"/>
    <w:rsid w:val="006F4420"/>
    <w:rsid w:val="006F46B1"/>
    <w:rsid w:val="006F4A11"/>
    <w:rsid w:val="006F4CCA"/>
    <w:rsid w:val="006F4E7D"/>
    <w:rsid w:val="006F4E98"/>
    <w:rsid w:val="006F4ED5"/>
    <w:rsid w:val="006F4F58"/>
    <w:rsid w:val="006F4F91"/>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AC9"/>
    <w:rsid w:val="00701B2E"/>
    <w:rsid w:val="00701C41"/>
    <w:rsid w:val="00701E5B"/>
    <w:rsid w:val="00701EA5"/>
    <w:rsid w:val="00701F26"/>
    <w:rsid w:val="00701FD1"/>
    <w:rsid w:val="00702101"/>
    <w:rsid w:val="00702122"/>
    <w:rsid w:val="0070212B"/>
    <w:rsid w:val="007021F7"/>
    <w:rsid w:val="007023D1"/>
    <w:rsid w:val="00702604"/>
    <w:rsid w:val="007029E7"/>
    <w:rsid w:val="00702BA5"/>
    <w:rsid w:val="00702F14"/>
    <w:rsid w:val="00703231"/>
    <w:rsid w:val="00703714"/>
    <w:rsid w:val="00703871"/>
    <w:rsid w:val="007038D0"/>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5FE8"/>
    <w:rsid w:val="0070601B"/>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0E8D"/>
    <w:rsid w:val="00711103"/>
    <w:rsid w:val="00711415"/>
    <w:rsid w:val="00711455"/>
    <w:rsid w:val="00711545"/>
    <w:rsid w:val="0071164C"/>
    <w:rsid w:val="0071175A"/>
    <w:rsid w:val="00711871"/>
    <w:rsid w:val="00711B49"/>
    <w:rsid w:val="00711D77"/>
    <w:rsid w:val="00711FB1"/>
    <w:rsid w:val="007120A6"/>
    <w:rsid w:val="0071229F"/>
    <w:rsid w:val="00712376"/>
    <w:rsid w:val="00712441"/>
    <w:rsid w:val="007124C7"/>
    <w:rsid w:val="00712545"/>
    <w:rsid w:val="007126B6"/>
    <w:rsid w:val="007126BE"/>
    <w:rsid w:val="00712861"/>
    <w:rsid w:val="00712ADE"/>
    <w:rsid w:val="00712BDF"/>
    <w:rsid w:val="00713171"/>
    <w:rsid w:val="00713289"/>
    <w:rsid w:val="007132AD"/>
    <w:rsid w:val="007134E7"/>
    <w:rsid w:val="007134F8"/>
    <w:rsid w:val="0071359E"/>
    <w:rsid w:val="007136B6"/>
    <w:rsid w:val="007136BB"/>
    <w:rsid w:val="007136F4"/>
    <w:rsid w:val="00713A64"/>
    <w:rsid w:val="00713AF2"/>
    <w:rsid w:val="00713B5C"/>
    <w:rsid w:val="00713BE2"/>
    <w:rsid w:val="00713C49"/>
    <w:rsid w:val="00713DA4"/>
    <w:rsid w:val="00713E11"/>
    <w:rsid w:val="00713E84"/>
    <w:rsid w:val="00713F60"/>
    <w:rsid w:val="00713F8A"/>
    <w:rsid w:val="00714510"/>
    <w:rsid w:val="007146D1"/>
    <w:rsid w:val="0071482E"/>
    <w:rsid w:val="00715081"/>
    <w:rsid w:val="007153A7"/>
    <w:rsid w:val="0071545C"/>
    <w:rsid w:val="00715683"/>
    <w:rsid w:val="007158E0"/>
    <w:rsid w:val="0071590F"/>
    <w:rsid w:val="0071592A"/>
    <w:rsid w:val="00715ACB"/>
    <w:rsid w:val="00715C05"/>
    <w:rsid w:val="00715C1B"/>
    <w:rsid w:val="00715C35"/>
    <w:rsid w:val="00715C8B"/>
    <w:rsid w:val="00715C98"/>
    <w:rsid w:val="00715CE6"/>
    <w:rsid w:val="00716344"/>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0C"/>
    <w:rsid w:val="00717446"/>
    <w:rsid w:val="007178C6"/>
    <w:rsid w:val="00717C35"/>
    <w:rsid w:val="00717C6F"/>
    <w:rsid w:val="00717D7E"/>
    <w:rsid w:val="00717EDB"/>
    <w:rsid w:val="0072004B"/>
    <w:rsid w:val="007201F5"/>
    <w:rsid w:val="007202AB"/>
    <w:rsid w:val="007203BB"/>
    <w:rsid w:val="0072046F"/>
    <w:rsid w:val="00720557"/>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884"/>
    <w:rsid w:val="00722CE6"/>
    <w:rsid w:val="00723043"/>
    <w:rsid w:val="007232AD"/>
    <w:rsid w:val="007233B9"/>
    <w:rsid w:val="00723465"/>
    <w:rsid w:val="00723498"/>
    <w:rsid w:val="00723586"/>
    <w:rsid w:val="00723687"/>
    <w:rsid w:val="007236A4"/>
    <w:rsid w:val="0072373C"/>
    <w:rsid w:val="00723891"/>
    <w:rsid w:val="00723A0E"/>
    <w:rsid w:val="00723AEE"/>
    <w:rsid w:val="00723B53"/>
    <w:rsid w:val="00723C38"/>
    <w:rsid w:val="00723FEA"/>
    <w:rsid w:val="00724315"/>
    <w:rsid w:val="007243E3"/>
    <w:rsid w:val="007244B7"/>
    <w:rsid w:val="00724951"/>
    <w:rsid w:val="007249B7"/>
    <w:rsid w:val="00724AC9"/>
    <w:rsid w:val="00724CA2"/>
    <w:rsid w:val="00724F1C"/>
    <w:rsid w:val="00724F83"/>
    <w:rsid w:val="0072509D"/>
    <w:rsid w:val="0072524B"/>
    <w:rsid w:val="0072530A"/>
    <w:rsid w:val="0072548B"/>
    <w:rsid w:val="00725588"/>
    <w:rsid w:val="00725649"/>
    <w:rsid w:val="0072570E"/>
    <w:rsid w:val="00725722"/>
    <w:rsid w:val="0072581E"/>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D11"/>
    <w:rsid w:val="00730F6E"/>
    <w:rsid w:val="00730FBC"/>
    <w:rsid w:val="0073107B"/>
    <w:rsid w:val="0073118B"/>
    <w:rsid w:val="00731590"/>
    <w:rsid w:val="00731706"/>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16A"/>
    <w:rsid w:val="00734305"/>
    <w:rsid w:val="00734440"/>
    <w:rsid w:val="007353B0"/>
    <w:rsid w:val="00735470"/>
    <w:rsid w:val="00735883"/>
    <w:rsid w:val="007358B7"/>
    <w:rsid w:val="007358EA"/>
    <w:rsid w:val="00735917"/>
    <w:rsid w:val="0073596E"/>
    <w:rsid w:val="007359AE"/>
    <w:rsid w:val="00735BA9"/>
    <w:rsid w:val="00735BE0"/>
    <w:rsid w:val="007360A5"/>
    <w:rsid w:val="00736160"/>
    <w:rsid w:val="007361D5"/>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B52"/>
    <w:rsid w:val="00741C22"/>
    <w:rsid w:val="00741D25"/>
    <w:rsid w:val="00741DAB"/>
    <w:rsid w:val="00742042"/>
    <w:rsid w:val="0074209D"/>
    <w:rsid w:val="00742214"/>
    <w:rsid w:val="0074224A"/>
    <w:rsid w:val="00742268"/>
    <w:rsid w:val="007422DF"/>
    <w:rsid w:val="0074233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36"/>
    <w:rsid w:val="00743975"/>
    <w:rsid w:val="0074398A"/>
    <w:rsid w:val="007439A6"/>
    <w:rsid w:val="00743BEB"/>
    <w:rsid w:val="00743F07"/>
    <w:rsid w:val="00743F2C"/>
    <w:rsid w:val="00743F3D"/>
    <w:rsid w:val="00744040"/>
    <w:rsid w:val="007440D9"/>
    <w:rsid w:val="00744191"/>
    <w:rsid w:val="007441E7"/>
    <w:rsid w:val="007444CF"/>
    <w:rsid w:val="007445E6"/>
    <w:rsid w:val="0074493D"/>
    <w:rsid w:val="00744B62"/>
    <w:rsid w:val="00744CAF"/>
    <w:rsid w:val="00744D7B"/>
    <w:rsid w:val="00744EE0"/>
    <w:rsid w:val="00744F37"/>
    <w:rsid w:val="00745119"/>
    <w:rsid w:val="0074540D"/>
    <w:rsid w:val="00745539"/>
    <w:rsid w:val="00745661"/>
    <w:rsid w:val="00745706"/>
    <w:rsid w:val="0074587C"/>
    <w:rsid w:val="007458DF"/>
    <w:rsid w:val="00745901"/>
    <w:rsid w:val="00745A17"/>
    <w:rsid w:val="00745F7F"/>
    <w:rsid w:val="0074609B"/>
    <w:rsid w:val="00746286"/>
    <w:rsid w:val="00746317"/>
    <w:rsid w:val="00746600"/>
    <w:rsid w:val="0074668A"/>
    <w:rsid w:val="00746A89"/>
    <w:rsid w:val="00746AFD"/>
    <w:rsid w:val="00746B7B"/>
    <w:rsid w:val="00746B83"/>
    <w:rsid w:val="00746CEF"/>
    <w:rsid w:val="00746E33"/>
    <w:rsid w:val="00746E74"/>
    <w:rsid w:val="00746EBD"/>
    <w:rsid w:val="00747182"/>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766"/>
    <w:rsid w:val="0075290D"/>
    <w:rsid w:val="0075292D"/>
    <w:rsid w:val="00752991"/>
    <w:rsid w:val="007529E9"/>
    <w:rsid w:val="00752B15"/>
    <w:rsid w:val="00752C0B"/>
    <w:rsid w:val="00752C91"/>
    <w:rsid w:val="00752D30"/>
    <w:rsid w:val="00752DFE"/>
    <w:rsid w:val="00752E79"/>
    <w:rsid w:val="00752FB1"/>
    <w:rsid w:val="00753208"/>
    <w:rsid w:val="0075320F"/>
    <w:rsid w:val="00753261"/>
    <w:rsid w:val="00753412"/>
    <w:rsid w:val="0075357E"/>
    <w:rsid w:val="007535AD"/>
    <w:rsid w:val="00753649"/>
    <w:rsid w:val="00753660"/>
    <w:rsid w:val="007536EF"/>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57C19"/>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890"/>
    <w:rsid w:val="00764962"/>
    <w:rsid w:val="007649D2"/>
    <w:rsid w:val="00764A00"/>
    <w:rsid w:val="00764A3B"/>
    <w:rsid w:val="00764BB8"/>
    <w:rsid w:val="00764BFC"/>
    <w:rsid w:val="00764CC6"/>
    <w:rsid w:val="00765154"/>
    <w:rsid w:val="00765158"/>
    <w:rsid w:val="007652A1"/>
    <w:rsid w:val="007653A3"/>
    <w:rsid w:val="0076576D"/>
    <w:rsid w:val="00765845"/>
    <w:rsid w:val="007658E2"/>
    <w:rsid w:val="007658FC"/>
    <w:rsid w:val="007659B0"/>
    <w:rsid w:val="00765A2E"/>
    <w:rsid w:val="00765DE3"/>
    <w:rsid w:val="00765EF4"/>
    <w:rsid w:val="00765EF5"/>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89"/>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9D7"/>
    <w:rsid w:val="00780A69"/>
    <w:rsid w:val="00780B27"/>
    <w:rsid w:val="00780B55"/>
    <w:rsid w:val="00780BDC"/>
    <w:rsid w:val="00780F4E"/>
    <w:rsid w:val="00781060"/>
    <w:rsid w:val="0078110B"/>
    <w:rsid w:val="0078134E"/>
    <w:rsid w:val="00781421"/>
    <w:rsid w:val="0078151A"/>
    <w:rsid w:val="0078170B"/>
    <w:rsid w:val="0078180C"/>
    <w:rsid w:val="00781A5E"/>
    <w:rsid w:val="00781B09"/>
    <w:rsid w:val="00781D34"/>
    <w:rsid w:val="00781E5D"/>
    <w:rsid w:val="00782390"/>
    <w:rsid w:val="00782530"/>
    <w:rsid w:val="0078291B"/>
    <w:rsid w:val="00782A05"/>
    <w:rsid w:val="00782BB2"/>
    <w:rsid w:val="00782C6B"/>
    <w:rsid w:val="00782FD3"/>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2A4"/>
    <w:rsid w:val="0078435F"/>
    <w:rsid w:val="007844DE"/>
    <w:rsid w:val="007848A8"/>
    <w:rsid w:val="00784989"/>
    <w:rsid w:val="00784A5C"/>
    <w:rsid w:val="00784A87"/>
    <w:rsid w:val="00784ADF"/>
    <w:rsid w:val="00784EA8"/>
    <w:rsid w:val="00784EED"/>
    <w:rsid w:val="00784FC0"/>
    <w:rsid w:val="00785639"/>
    <w:rsid w:val="0078569F"/>
    <w:rsid w:val="00785782"/>
    <w:rsid w:val="00785A90"/>
    <w:rsid w:val="00785ADA"/>
    <w:rsid w:val="00785D6B"/>
    <w:rsid w:val="00785EEF"/>
    <w:rsid w:val="0078623A"/>
    <w:rsid w:val="007863B2"/>
    <w:rsid w:val="00786637"/>
    <w:rsid w:val="0078689A"/>
    <w:rsid w:val="0078694F"/>
    <w:rsid w:val="00786AD7"/>
    <w:rsid w:val="00786AF9"/>
    <w:rsid w:val="00786DDD"/>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D84"/>
    <w:rsid w:val="00790E24"/>
    <w:rsid w:val="00790E6F"/>
    <w:rsid w:val="00790E72"/>
    <w:rsid w:val="00790EEC"/>
    <w:rsid w:val="0079127A"/>
    <w:rsid w:val="007914E3"/>
    <w:rsid w:val="007915A2"/>
    <w:rsid w:val="00791663"/>
    <w:rsid w:val="00791937"/>
    <w:rsid w:val="00791A2A"/>
    <w:rsid w:val="00791B2F"/>
    <w:rsid w:val="00791BB1"/>
    <w:rsid w:val="00791F33"/>
    <w:rsid w:val="00792054"/>
    <w:rsid w:val="007920C9"/>
    <w:rsid w:val="0079247A"/>
    <w:rsid w:val="007924EC"/>
    <w:rsid w:val="00792697"/>
    <w:rsid w:val="007927F3"/>
    <w:rsid w:val="00792893"/>
    <w:rsid w:val="0079294A"/>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35C"/>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5BD"/>
    <w:rsid w:val="007A0BE1"/>
    <w:rsid w:val="007A0D53"/>
    <w:rsid w:val="007A0D9B"/>
    <w:rsid w:val="007A0ED9"/>
    <w:rsid w:val="007A11AA"/>
    <w:rsid w:val="007A1813"/>
    <w:rsid w:val="007A18CE"/>
    <w:rsid w:val="007A196E"/>
    <w:rsid w:val="007A1A6F"/>
    <w:rsid w:val="007A1C42"/>
    <w:rsid w:val="007A1C6F"/>
    <w:rsid w:val="007A1E41"/>
    <w:rsid w:val="007A1EB4"/>
    <w:rsid w:val="007A1F91"/>
    <w:rsid w:val="007A1F9D"/>
    <w:rsid w:val="007A2106"/>
    <w:rsid w:val="007A237C"/>
    <w:rsid w:val="007A2485"/>
    <w:rsid w:val="007A25C9"/>
    <w:rsid w:val="007A269B"/>
    <w:rsid w:val="007A2872"/>
    <w:rsid w:val="007A2B8D"/>
    <w:rsid w:val="007A2CA0"/>
    <w:rsid w:val="007A2CA4"/>
    <w:rsid w:val="007A2CBA"/>
    <w:rsid w:val="007A2D4C"/>
    <w:rsid w:val="007A2F34"/>
    <w:rsid w:val="007A3288"/>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4FDF"/>
    <w:rsid w:val="007A505F"/>
    <w:rsid w:val="007A50E9"/>
    <w:rsid w:val="007A511B"/>
    <w:rsid w:val="007A5149"/>
    <w:rsid w:val="007A5185"/>
    <w:rsid w:val="007A540D"/>
    <w:rsid w:val="007A5713"/>
    <w:rsid w:val="007A5899"/>
    <w:rsid w:val="007A58AC"/>
    <w:rsid w:val="007A5B0D"/>
    <w:rsid w:val="007A5B0F"/>
    <w:rsid w:val="007A5B5D"/>
    <w:rsid w:val="007A5B9E"/>
    <w:rsid w:val="007A5C8E"/>
    <w:rsid w:val="007A6035"/>
    <w:rsid w:val="007A6104"/>
    <w:rsid w:val="007A62E1"/>
    <w:rsid w:val="007A64E3"/>
    <w:rsid w:val="007A69A0"/>
    <w:rsid w:val="007A719C"/>
    <w:rsid w:val="007A7336"/>
    <w:rsid w:val="007A73CB"/>
    <w:rsid w:val="007A7459"/>
    <w:rsid w:val="007A764B"/>
    <w:rsid w:val="007A79F4"/>
    <w:rsid w:val="007A7C15"/>
    <w:rsid w:val="007A7D00"/>
    <w:rsid w:val="007B0027"/>
    <w:rsid w:val="007B0079"/>
    <w:rsid w:val="007B0118"/>
    <w:rsid w:val="007B0342"/>
    <w:rsid w:val="007B04A9"/>
    <w:rsid w:val="007B08E2"/>
    <w:rsid w:val="007B0AC3"/>
    <w:rsid w:val="007B0B58"/>
    <w:rsid w:val="007B0BD9"/>
    <w:rsid w:val="007B0C5D"/>
    <w:rsid w:val="007B0E6A"/>
    <w:rsid w:val="007B0EBF"/>
    <w:rsid w:val="007B0F82"/>
    <w:rsid w:val="007B10AF"/>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2FBE"/>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48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03"/>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8F1"/>
    <w:rsid w:val="007C4AE9"/>
    <w:rsid w:val="007C4C9D"/>
    <w:rsid w:val="007C4E0D"/>
    <w:rsid w:val="007C4E88"/>
    <w:rsid w:val="007C50C0"/>
    <w:rsid w:val="007C52C7"/>
    <w:rsid w:val="007C5334"/>
    <w:rsid w:val="007C57A9"/>
    <w:rsid w:val="007C5845"/>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0D5"/>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A38"/>
    <w:rsid w:val="007D0B1D"/>
    <w:rsid w:val="007D0B5B"/>
    <w:rsid w:val="007D0BC3"/>
    <w:rsid w:val="007D0C98"/>
    <w:rsid w:val="007D0EFC"/>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2D"/>
    <w:rsid w:val="007D33CF"/>
    <w:rsid w:val="007D34A6"/>
    <w:rsid w:val="007D353F"/>
    <w:rsid w:val="007D36CB"/>
    <w:rsid w:val="007D3869"/>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0"/>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49"/>
    <w:rsid w:val="007D6CCD"/>
    <w:rsid w:val="007D6D2C"/>
    <w:rsid w:val="007D6E64"/>
    <w:rsid w:val="007D6EE4"/>
    <w:rsid w:val="007D7014"/>
    <w:rsid w:val="007D7A2D"/>
    <w:rsid w:val="007D7B66"/>
    <w:rsid w:val="007D7BF8"/>
    <w:rsid w:val="007D7CA5"/>
    <w:rsid w:val="007D7E5C"/>
    <w:rsid w:val="007D7EEE"/>
    <w:rsid w:val="007E01A5"/>
    <w:rsid w:val="007E02DD"/>
    <w:rsid w:val="007E0390"/>
    <w:rsid w:val="007E092F"/>
    <w:rsid w:val="007E09FB"/>
    <w:rsid w:val="007E0C5D"/>
    <w:rsid w:val="007E0CAD"/>
    <w:rsid w:val="007E1121"/>
    <w:rsid w:val="007E112F"/>
    <w:rsid w:val="007E11CB"/>
    <w:rsid w:val="007E1339"/>
    <w:rsid w:val="007E1348"/>
    <w:rsid w:val="007E14F5"/>
    <w:rsid w:val="007E162F"/>
    <w:rsid w:val="007E17CA"/>
    <w:rsid w:val="007E1941"/>
    <w:rsid w:val="007E197F"/>
    <w:rsid w:val="007E1BC9"/>
    <w:rsid w:val="007E1CDF"/>
    <w:rsid w:val="007E1E18"/>
    <w:rsid w:val="007E1E37"/>
    <w:rsid w:val="007E1E9A"/>
    <w:rsid w:val="007E2057"/>
    <w:rsid w:val="007E2423"/>
    <w:rsid w:val="007E2A9F"/>
    <w:rsid w:val="007E2AB1"/>
    <w:rsid w:val="007E2B2F"/>
    <w:rsid w:val="007E2BE7"/>
    <w:rsid w:val="007E2CD9"/>
    <w:rsid w:val="007E2F59"/>
    <w:rsid w:val="007E2F6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05"/>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5C5"/>
    <w:rsid w:val="007E77B3"/>
    <w:rsid w:val="007E79F0"/>
    <w:rsid w:val="007E7AAC"/>
    <w:rsid w:val="007E7C78"/>
    <w:rsid w:val="007E7E63"/>
    <w:rsid w:val="007F0309"/>
    <w:rsid w:val="007F06E3"/>
    <w:rsid w:val="007F075F"/>
    <w:rsid w:val="007F0797"/>
    <w:rsid w:val="007F0810"/>
    <w:rsid w:val="007F08E5"/>
    <w:rsid w:val="007F08EE"/>
    <w:rsid w:val="007F0A5E"/>
    <w:rsid w:val="007F0F2E"/>
    <w:rsid w:val="007F1036"/>
    <w:rsid w:val="007F12FB"/>
    <w:rsid w:val="007F142C"/>
    <w:rsid w:val="007F17A8"/>
    <w:rsid w:val="007F182E"/>
    <w:rsid w:val="007F1B70"/>
    <w:rsid w:val="007F1EFD"/>
    <w:rsid w:val="007F1F8E"/>
    <w:rsid w:val="007F217B"/>
    <w:rsid w:val="007F2482"/>
    <w:rsid w:val="007F24CE"/>
    <w:rsid w:val="007F25DE"/>
    <w:rsid w:val="007F260D"/>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56F"/>
    <w:rsid w:val="007F466B"/>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16"/>
    <w:rsid w:val="007F6E3D"/>
    <w:rsid w:val="007F6E79"/>
    <w:rsid w:val="007F6EEF"/>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985"/>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1CC"/>
    <w:rsid w:val="0080348C"/>
    <w:rsid w:val="008036B2"/>
    <w:rsid w:val="00803A6E"/>
    <w:rsid w:val="00803BF6"/>
    <w:rsid w:val="00803CEA"/>
    <w:rsid w:val="00803DC8"/>
    <w:rsid w:val="00803F38"/>
    <w:rsid w:val="00803F62"/>
    <w:rsid w:val="00804065"/>
    <w:rsid w:val="00804162"/>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8CF"/>
    <w:rsid w:val="00806996"/>
    <w:rsid w:val="00806E24"/>
    <w:rsid w:val="00806E50"/>
    <w:rsid w:val="0080710C"/>
    <w:rsid w:val="0080718E"/>
    <w:rsid w:val="00807257"/>
    <w:rsid w:val="0080738D"/>
    <w:rsid w:val="008073DA"/>
    <w:rsid w:val="00807535"/>
    <w:rsid w:val="008077DB"/>
    <w:rsid w:val="008078A6"/>
    <w:rsid w:val="008078C1"/>
    <w:rsid w:val="00807B7A"/>
    <w:rsid w:val="00807CA1"/>
    <w:rsid w:val="00807D60"/>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907"/>
    <w:rsid w:val="00813B3E"/>
    <w:rsid w:val="00813BD6"/>
    <w:rsid w:val="00813DA1"/>
    <w:rsid w:val="00813F2E"/>
    <w:rsid w:val="008140F0"/>
    <w:rsid w:val="0081410F"/>
    <w:rsid w:val="008141EA"/>
    <w:rsid w:val="008142C7"/>
    <w:rsid w:val="008143BC"/>
    <w:rsid w:val="008145F8"/>
    <w:rsid w:val="00814851"/>
    <w:rsid w:val="00814950"/>
    <w:rsid w:val="00814987"/>
    <w:rsid w:val="00814BE9"/>
    <w:rsid w:val="008151D6"/>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69F"/>
    <w:rsid w:val="00821775"/>
    <w:rsid w:val="0082187B"/>
    <w:rsid w:val="00821D81"/>
    <w:rsid w:val="00822211"/>
    <w:rsid w:val="008222AD"/>
    <w:rsid w:val="0082244B"/>
    <w:rsid w:val="0082245E"/>
    <w:rsid w:val="008227ED"/>
    <w:rsid w:val="008228E2"/>
    <w:rsid w:val="008228E3"/>
    <w:rsid w:val="00822A44"/>
    <w:rsid w:val="00822ABF"/>
    <w:rsid w:val="00822B4A"/>
    <w:rsid w:val="00822CCC"/>
    <w:rsid w:val="00822DF0"/>
    <w:rsid w:val="00822E51"/>
    <w:rsid w:val="00823066"/>
    <w:rsid w:val="0082311D"/>
    <w:rsid w:val="0082334C"/>
    <w:rsid w:val="008234E6"/>
    <w:rsid w:val="00823515"/>
    <w:rsid w:val="00823558"/>
    <w:rsid w:val="00823833"/>
    <w:rsid w:val="00823893"/>
    <w:rsid w:val="00823ACB"/>
    <w:rsid w:val="00823DE2"/>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505"/>
    <w:rsid w:val="008256F2"/>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354"/>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2E64"/>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7F6"/>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7002"/>
    <w:rsid w:val="0083707D"/>
    <w:rsid w:val="008370C3"/>
    <w:rsid w:val="00837154"/>
    <w:rsid w:val="00837247"/>
    <w:rsid w:val="008372F0"/>
    <w:rsid w:val="0083730E"/>
    <w:rsid w:val="0083745E"/>
    <w:rsid w:val="00837571"/>
    <w:rsid w:val="008375AE"/>
    <w:rsid w:val="00837796"/>
    <w:rsid w:val="00837976"/>
    <w:rsid w:val="00837BF2"/>
    <w:rsid w:val="00837F8C"/>
    <w:rsid w:val="00840004"/>
    <w:rsid w:val="00840063"/>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A1E"/>
    <w:rsid w:val="00843B8E"/>
    <w:rsid w:val="00843D2B"/>
    <w:rsid w:val="00843DC3"/>
    <w:rsid w:val="008440AE"/>
    <w:rsid w:val="008440CB"/>
    <w:rsid w:val="008442D7"/>
    <w:rsid w:val="008442E7"/>
    <w:rsid w:val="008445A7"/>
    <w:rsid w:val="00844645"/>
    <w:rsid w:val="008447E9"/>
    <w:rsid w:val="00844CFF"/>
    <w:rsid w:val="00845057"/>
    <w:rsid w:val="0084520C"/>
    <w:rsid w:val="0084525A"/>
    <w:rsid w:val="008452B2"/>
    <w:rsid w:val="0084556B"/>
    <w:rsid w:val="00845743"/>
    <w:rsid w:val="008457B7"/>
    <w:rsid w:val="00845892"/>
    <w:rsid w:val="00845BEE"/>
    <w:rsid w:val="00845EA6"/>
    <w:rsid w:val="00845F02"/>
    <w:rsid w:val="00845FCA"/>
    <w:rsid w:val="00846039"/>
    <w:rsid w:val="008460C8"/>
    <w:rsid w:val="008462F4"/>
    <w:rsid w:val="00846456"/>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47FFD"/>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36"/>
    <w:rsid w:val="00851079"/>
    <w:rsid w:val="008510A3"/>
    <w:rsid w:val="008512B9"/>
    <w:rsid w:val="00851830"/>
    <w:rsid w:val="008518C8"/>
    <w:rsid w:val="008519CE"/>
    <w:rsid w:val="00851AAC"/>
    <w:rsid w:val="00851B04"/>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79D"/>
    <w:rsid w:val="008528F4"/>
    <w:rsid w:val="0085291E"/>
    <w:rsid w:val="008529C0"/>
    <w:rsid w:val="00852AA4"/>
    <w:rsid w:val="00852C5D"/>
    <w:rsid w:val="00852CBA"/>
    <w:rsid w:val="00852EBC"/>
    <w:rsid w:val="00853018"/>
    <w:rsid w:val="00853239"/>
    <w:rsid w:val="00853331"/>
    <w:rsid w:val="00853888"/>
    <w:rsid w:val="008538E5"/>
    <w:rsid w:val="008539C6"/>
    <w:rsid w:val="00853E39"/>
    <w:rsid w:val="00853E6F"/>
    <w:rsid w:val="00853E76"/>
    <w:rsid w:val="00854114"/>
    <w:rsid w:val="0085424D"/>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52"/>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D74"/>
    <w:rsid w:val="00857ECC"/>
    <w:rsid w:val="00860057"/>
    <w:rsid w:val="008601B7"/>
    <w:rsid w:val="00860203"/>
    <w:rsid w:val="008602AC"/>
    <w:rsid w:val="00860323"/>
    <w:rsid w:val="0086036C"/>
    <w:rsid w:val="00860376"/>
    <w:rsid w:val="0086083A"/>
    <w:rsid w:val="00860A89"/>
    <w:rsid w:val="00860C5A"/>
    <w:rsid w:val="00860EE9"/>
    <w:rsid w:val="00861206"/>
    <w:rsid w:val="00861253"/>
    <w:rsid w:val="008612C1"/>
    <w:rsid w:val="008613B1"/>
    <w:rsid w:val="0086145C"/>
    <w:rsid w:val="0086167C"/>
    <w:rsid w:val="008616B9"/>
    <w:rsid w:val="00861803"/>
    <w:rsid w:val="00861854"/>
    <w:rsid w:val="00861ACB"/>
    <w:rsid w:val="00862181"/>
    <w:rsid w:val="008621B1"/>
    <w:rsid w:val="008622F6"/>
    <w:rsid w:val="00862718"/>
    <w:rsid w:val="008627BA"/>
    <w:rsid w:val="008627C3"/>
    <w:rsid w:val="00862B58"/>
    <w:rsid w:val="00862E60"/>
    <w:rsid w:val="00862EED"/>
    <w:rsid w:val="00863010"/>
    <w:rsid w:val="0086338D"/>
    <w:rsid w:val="00863394"/>
    <w:rsid w:val="0086350E"/>
    <w:rsid w:val="00863536"/>
    <w:rsid w:val="00863639"/>
    <w:rsid w:val="0086378C"/>
    <w:rsid w:val="00863A85"/>
    <w:rsid w:val="00863E9B"/>
    <w:rsid w:val="008640DE"/>
    <w:rsid w:val="008643D2"/>
    <w:rsid w:val="00864780"/>
    <w:rsid w:val="008649FE"/>
    <w:rsid w:val="00864A51"/>
    <w:rsid w:val="00864A58"/>
    <w:rsid w:val="00864A92"/>
    <w:rsid w:val="00864B56"/>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4A0"/>
    <w:rsid w:val="00870C64"/>
    <w:rsid w:val="00870F57"/>
    <w:rsid w:val="0087108A"/>
    <w:rsid w:val="00871181"/>
    <w:rsid w:val="00871420"/>
    <w:rsid w:val="00871429"/>
    <w:rsid w:val="008714CB"/>
    <w:rsid w:val="00871B95"/>
    <w:rsid w:val="00871CED"/>
    <w:rsid w:val="00871F97"/>
    <w:rsid w:val="00872058"/>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3B0"/>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992"/>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CD0"/>
    <w:rsid w:val="00884D2C"/>
    <w:rsid w:val="00884E78"/>
    <w:rsid w:val="00885264"/>
    <w:rsid w:val="00885369"/>
    <w:rsid w:val="008853F3"/>
    <w:rsid w:val="008855E9"/>
    <w:rsid w:val="00885632"/>
    <w:rsid w:val="008856D0"/>
    <w:rsid w:val="008856EF"/>
    <w:rsid w:val="00885869"/>
    <w:rsid w:val="008859B7"/>
    <w:rsid w:val="00885A89"/>
    <w:rsid w:val="00886252"/>
    <w:rsid w:val="008862EB"/>
    <w:rsid w:val="0088654B"/>
    <w:rsid w:val="00886596"/>
    <w:rsid w:val="0088682E"/>
    <w:rsid w:val="00886B67"/>
    <w:rsid w:val="00886C80"/>
    <w:rsid w:val="00886CBF"/>
    <w:rsid w:val="00886DE2"/>
    <w:rsid w:val="00886DFC"/>
    <w:rsid w:val="00887025"/>
    <w:rsid w:val="0088709D"/>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14"/>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56"/>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79D"/>
    <w:rsid w:val="00896B21"/>
    <w:rsid w:val="00896CB9"/>
    <w:rsid w:val="00896DD7"/>
    <w:rsid w:val="008970CF"/>
    <w:rsid w:val="008973D1"/>
    <w:rsid w:val="008976E6"/>
    <w:rsid w:val="00897745"/>
    <w:rsid w:val="0089788B"/>
    <w:rsid w:val="008979C6"/>
    <w:rsid w:val="00897BA9"/>
    <w:rsid w:val="00897BBF"/>
    <w:rsid w:val="00897CB8"/>
    <w:rsid w:val="00897F76"/>
    <w:rsid w:val="00897FC5"/>
    <w:rsid w:val="008A0052"/>
    <w:rsid w:val="008A0094"/>
    <w:rsid w:val="008A0395"/>
    <w:rsid w:val="008A056D"/>
    <w:rsid w:val="008A0637"/>
    <w:rsid w:val="008A066A"/>
    <w:rsid w:val="008A0A6D"/>
    <w:rsid w:val="008A0C4D"/>
    <w:rsid w:val="008A0CA8"/>
    <w:rsid w:val="008A0E24"/>
    <w:rsid w:val="008A1131"/>
    <w:rsid w:val="008A1372"/>
    <w:rsid w:val="008A1AC3"/>
    <w:rsid w:val="008A1BE0"/>
    <w:rsid w:val="008A1BF5"/>
    <w:rsid w:val="008A2131"/>
    <w:rsid w:val="008A2322"/>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037"/>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28C"/>
    <w:rsid w:val="008B5378"/>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2F3"/>
    <w:rsid w:val="008B755F"/>
    <w:rsid w:val="008B762B"/>
    <w:rsid w:val="008B7A53"/>
    <w:rsid w:val="008B7AAC"/>
    <w:rsid w:val="008B7D4E"/>
    <w:rsid w:val="008C00F7"/>
    <w:rsid w:val="008C022B"/>
    <w:rsid w:val="008C049B"/>
    <w:rsid w:val="008C04C4"/>
    <w:rsid w:val="008C060C"/>
    <w:rsid w:val="008C09A6"/>
    <w:rsid w:val="008C0AEC"/>
    <w:rsid w:val="008C0F26"/>
    <w:rsid w:val="008C100F"/>
    <w:rsid w:val="008C10D2"/>
    <w:rsid w:val="008C10E1"/>
    <w:rsid w:val="008C1297"/>
    <w:rsid w:val="008C1353"/>
    <w:rsid w:val="008C15C7"/>
    <w:rsid w:val="008C16BC"/>
    <w:rsid w:val="008C17D7"/>
    <w:rsid w:val="008C187A"/>
    <w:rsid w:val="008C19ED"/>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514"/>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CC1"/>
    <w:rsid w:val="008C5D27"/>
    <w:rsid w:val="008C5D38"/>
    <w:rsid w:val="008C5D51"/>
    <w:rsid w:val="008C5D57"/>
    <w:rsid w:val="008C5E53"/>
    <w:rsid w:val="008C5ECA"/>
    <w:rsid w:val="008C5F18"/>
    <w:rsid w:val="008C6052"/>
    <w:rsid w:val="008C60BD"/>
    <w:rsid w:val="008C614F"/>
    <w:rsid w:val="008C6164"/>
    <w:rsid w:val="008C67B3"/>
    <w:rsid w:val="008C6922"/>
    <w:rsid w:val="008C69E9"/>
    <w:rsid w:val="008C6A99"/>
    <w:rsid w:val="008C6B49"/>
    <w:rsid w:val="008C6EB3"/>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ADF"/>
    <w:rsid w:val="008D0BF6"/>
    <w:rsid w:val="008D0F7E"/>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92"/>
    <w:rsid w:val="008D23DC"/>
    <w:rsid w:val="008D24C4"/>
    <w:rsid w:val="008D260A"/>
    <w:rsid w:val="008D268F"/>
    <w:rsid w:val="008D26AB"/>
    <w:rsid w:val="008D270C"/>
    <w:rsid w:val="008D2806"/>
    <w:rsid w:val="008D28AD"/>
    <w:rsid w:val="008D2B34"/>
    <w:rsid w:val="008D2E0B"/>
    <w:rsid w:val="008D2EBE"/>
    <w:rsid w:val="008D31F6"/>
    <w:rsid w:val="008D3218"/>
    <w:rsid w:val="008D3424"/>
    <w:rsid w:val="008D344C"/>
    <w:rsid w:val="008D34B2"/>
    <w:rsid w:val="008D3747"/>
    <w:rsid w:val="008D39BA"/>
    <w:rsid w:val="008D39C6"/>
    <w:rsid w:val="008D3AC1"/>
    <w:rsid w:val="008D3D6D"/>
    <w:rsid w:val="008D3FA1"/>
    <w:rsid w:val="008D3FDA"/>
    <w:rsid w:val="008D44F8"/>
    <w:rsid w:val="008D482B"/>
    <w:rsid w:val="008D4A3C"/>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D7F3A"/>
    <w:rsid w:val="008D7F7A"/>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D0"/>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85"/>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C61"/>
    <w:rsid w:val="008F2E0C"/>
    <w:rsid w:val="008F2F12"/>
    <w:rsid w:val="008F310F"/>
    <w:rsid w:val="008F3353"/>
    <w:rsid w:val="008F36F7"/>
    <w:rsid w:val="008F3708"/>
    <w:rsid w:val="008F3829"/>
    <w:rsid w:val="008F397F"/>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3B"/>
    <w:rsid w:val="008F4E55"/>
    <w:rsid w:val="008F4F3A"/>
    <w:rsid w:val="008F5084"/>
    <w:rsid w:val="008F54CF"/>
    <w:rsid w:val="008F55BB"/>
    <w:rsid w:val="008F56A4"/>
    <w:rsid w:val="008F5704"/>
    <w:rsid w:val="008F5726"/>
    <w:rsid w:val="008F575F"/>
    <w:rsid w:val="008F5A6B"/>
    <w:rsid w:val="008F6173"/>
    <w:rsid w:val="008F622A"/>
    <w:rsid w:val="008F63C2"/>
    <w:rsid w:val="008F650D"/>
    <w:rsid w:val="008F65C1"/>
    <w:rsid w:val="008F66B9"/>
    <w:rsid w:val="008F66EC"/>
    <w:rsid w:val="008F6D51"/>
    <w:rsid w:val="008F6F05"/>
    <w:rsid w:val="008F6FA5"/>
    <w:rsid w:val="008F727C"/>
    <w:rsid w:val="008F75D4"/>
    <w:rsid w:val="008F773B"/>
    <w:rsid w:val="008F7841"/>
    <w:rsid w:val="008F7989"/>
    <w:rsid w:val="008F7B2E"/>
    <w:rsid w:val="008F7DC3"/>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16B"/>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BC"/>
    <w:rsid w:val="009036CD"/>
    <w:rsid w:val="00903806"/>
    <w:rsid w:val="009038A0"/>
    <w:rsid w:val="00903A14"/>
    <w:rsid w:val="00903A2E"/>
    <w:rsid w:val="00903A68"/>
    <w:rsid w:val="00903D5C"/>
    <w:rsid w:val="00903F45"/>
    <w:rsid w:val="00903FF4"/>
    <w:rsid w:val="0090429C"/>
    <w:rsid w:val="0090436E"/>
    <w:rsid w:val="009043D3"/>
    <w:rsid w:val="0090452D"/>
    <w:rsid w:val="00904625"/>
    <w:rsid w:val="00904659"/>
    <w:rsid w:val="00904794"/>
    <w:rsid w:val="009047B3"/>
    <w:rsid w:val="00904A34"/>
    <w:rsid w:val="00904A42"/>
    <w:rsid w:val="00904B64"/>
    <w:rsid w:val="00904D3F"/>
    <w:rsid w:val="00904EEB"/>
    <w:rsid w:val="00904EF0"/>
    <w:rsid w:val="0090504B"/>
    <w:rsid w:val="009054EA"/>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6C7"/>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4DD"/>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B5"/>
    <w:rsid w:val="009221F6"/>
    <w:rsid w:val="00922260"/>
    <w:rsid w:val="00922270"/>
    <w:rsid w:val="009222A1"/>
    <w:rsid w:val="0092256E"/>
    <w:rsid w:val="00922662"/>
    <w:rsid w:val="00922751"/>
    <w:rsid w:val="00922829"/>
    <w:rsid w:val="00922836"/>
    <w:rsid w:val="00922D18"/>
    <w:rsid w:val="00922D50"/>
    <w:rsid w:val="00922D98"/>
    <w:rsid w:val="00922E2D"/>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4B2"/>
    <w:rsid w:val="0093052A"/>
    <w:rsid w:val="009305DA"/>
    <w:rsid w:val="00930834"/>
    <w:rsid w:val="00930849"/>
    <w:rsid w:val="00930925"/>
    <w:rsid w:val="00930F8F"/>
    <w:rsid w:val="00931024"/>
    <w:rsid w:val="009314B2"/>
    <w:rsid w:val="00931CED"/>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D29"/>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00A"/>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3"/>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8F"/>
    <w:rsid w:val="009417EE"/>
    <w:rsid w:val="0094188C"/>
    <w:rsid w:val="00941A14"/>
    <w:rsid w:val="00941AEF"/>
    <w:rsid w:val="00941EA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92B"/>
    <w:rsid w:val="00945B0D"/>
    <w:rsid w:val="009462F2"/>
    <w:rsid w:val="00946340"/>
    <w:rsid w:val="009464D8"/>
    <w:rsid w:val="009465B2"/>
    <w:rsid w:val="00946692"/>
    <w:rsid w:val="00946780"/>
    <w:rsid w:val="009468A4"/>
    <w:rsid w:val="009468B0"/>
    <w:rsid w:val="00946905"/>
    <w:rsid w:val="00946AAB"/>
    <w:rsid w:val="00946DF4"/>
    <w:rsid w:val="00946FC9"/>
    <w:rsid w:val="0094706D"/>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1C22"/>
    <w:rsid w:val="0095202F"/>
    <w:rsid w:val="00952096"/>
    <w:rsid w:val="009520F2"/>
    <w:rsid w:val="00952171"/>
    <w:rsid w:val="00952390"/>
    <w:rsid w:val="00952492"/>
    <w:rsid w:val="00952631"/>
    <w:rsid w:val="0095274C"/>
    <w:rsid w:val="009528BA"/>
    <w:rsid w:val="00952A9C"/>
    <w:rsid w:val="00952BE2"/>
    <w:rsid w:val="00952D1C"/>
    <w:rsid w:val="00952D2C"/>
    <w:rsid w:val="00952ED4"/>
    <w:rsid w:val="00953108"/>
    <w:rsid w:val="00953173"/>
    <w:rsid w:val="00953450"/>
    <w:rsid w:val="009539D3"/>
    <w:rsid w:val="00953B74"/>
    <w:rsid w:val="00953CD7"/>
    <w:rsid w:val="00953D20"/>
    <w:rsid w:val="00953D90"/>
    <w:rsid w:val="0095402B"/>
    <w:rsid w:val="0095419E"/>
    <w:rsid w:val="009542C8"/>
    <w:rsid w:val="0095439C"/>
    <w:rsid w:val="009543D2"/>
    <w:rsid w:val="009543E7"/>
    <w:rsid w:val="0095445E"/>
    <w:rsid w:val="009546FD"/>
    <w:rsid w:val="0095474F"/>
    <w:rsid w:val="00954977"/>
    <w:rsid w:val="00954B99"/>
    <w:rsid w:val="00954D0F"/>
    <w:rsid w:val="00954D55"/>
    <w:rsid w:val="00954DD8"/>
    <w:rsid w:val="00954E75"/>
    <w:rsid w:val="00954EBB"/>
    <w:rsid w:val="00954EED"/>
    <w:rsid w:val="009550CC"/>
    <w:rsid w:val="00955147"/>
    <w:rsid w:val="0095521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526"/>
    <w:rsid w:val="00956602"/>
    <w:rsid w:val="00956674"/>
    <w:rsid w:val="00956696"/>
    <w:rsid w:val="00956770"/>
    <w:rsid w:val="009569B1"/>
    <w:rsid w:val="00956BA8"/>
    <w:rsid w:val="00956BF9"/>
    <w:rsid w:val="00956C4B"/>
    <w:rsid w:val="00956E14"/>
    <w:rsid w:val="00956F10"/>
    <w:rsid w:val="009570BE"/>
    <w:rsid w:val="00957150"/>
    <w:rsid w:val="0095722D"/>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2F94"/>
    <w:rsid w:val="009630BB"/>
    <w:rsid w:val="009635B7"/>
    <w:rsid w:val="00963647"/>
    <w:rsid w:val="00963720"/>
    <w:rsid w:val="009637A1"/>
    <w:rsid w:val="0096380A"/>
    <w:rsid w:val="00963870"/>
    <w:rsid w:val="0096388F"/>
    <w:rsid w:val="00963CDE"/>
    <w:rsid w:val="00963E8F"/>
    <w:rsid w:val="00963F34"/>
    <w:rsid w:val="0096408A"/>
    <w:rsid w:val="00964267"/>
    <w:rsid w:val="0096430A"/>
    <w:rsid w:val="0096431E"/>
    <w:rsid w:val="009643E7"/>
    <w:rsid w:val="009645D2"/>
    <w:rsid w:val="0096464F"/>
    <w:rsid w:val="009647C8"/>
    <w:rsid w:val="0096496F"/>
    <w:rsid w:val="00964CFB"/>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4D2"/>
    <w:rsid w:val="009706DF"/>
    <w:rsid w:val="0097085F"/>
    <w:rsid w:val="009708FF"/>
    <w:rsid w:val="00970E33"/>
    <w:rsid w:val="00970ED7"/>
    <w:rsid w:val="00970F8F"/>
    <w:rsid w:val="0097109A"/>
    <w:rsid w:val="0097120E"/>
    <w:rsid w:val="00971426"/>
    <w:rsid w:val="009714B0"/>
    <w:rsid w:val="0097157F"/>
    <w:rsid w:val="009716F3"/>
    <w:rsid w:val="00971762"/>
    <w:rsid w:val="00971B39"/>
    <w:rsid w:val="00971C1B"/>
    <w:rsid w:val="00971CE3"/>
    <w:rsid w:val="00971EFA"/>
    <w:rsid w:val="00972196"/>
    <w:rsid w:val="00972385"/>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3C6"/>
    <w:rsid w:val="00973532"/>
    <w:rsid w:val="00973559"/>
    <w:rsid w:val="00973686"/>
    <w:rsid w:val="009736D6"/>
    <w:rsid w:val="00973764"/>
    <w:rsid w:val="00973801"/>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BB4"/>
    <w:rsid w:val="00975BCE"/>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2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1D9"/>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061"/>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63F"/>
    <w:rsid w:val="0099293B"/>
    <w:rsid w:val="00992AB3"/>
    <w:rsid w:val="00992C4B"/>
    <w:rsid w:val="00992D0D"/>
    <w:rsid w:val="00992FC8"/>
    <w:rsid w:val="009931E5"/>
    <w:rsid w:val="00993334"/>
    <w:rsid w:val="00993795"/>
    <w:rsid w:val="009938CD"/>
    <w:rsid w:val="00993B81"/>
    <w:rsid w:val="00993BA6"/>
    <w:rsid w:val="00993E01"/>
    <w:rsid w:val="009946FB"/>
    <w:rsid w:val="00994800"/>
    <w:rsid w:val="0099482A"/>
    <w:rsid w:val="00994D58"/>
    <w:rsid w:val="00995139"/>
    <w:rsid w:val="00995240"/>
    <w:rsid w:val="00995249"/>
    <w:rsid w:val="0099528E"/>
    <w:rsid w:val="00995867"/>
    <w:rsid w:val="009959DB"/>
    <w:rsid w:val="00995CBB"/>
    <w:rsid w:val="00995DF7"/>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60B"/>
    <w:rsid w:val="009977D8"/>
    <w:rsid w:val="0099799B"/>
    <w:rsid w:val="009979A7"/>
    <w:rsid w:val="00997B37"/>
    <w:rsid w:val="00997C2E"/>
    <w:rsid w:val="00997D8A"/>
    <w:rsid w:val="00997F2D"/>
    <w:rsid w:val="00997F9D"/>
    <w:rsid w:val="009A0224"/>
    <w:rsid w:val="009A04F9"/>
    <w:rsid w:val="009A06CC"/>
    <w:rsid w:val="009A0834"/>
    <w:rsid w:val="009A0A4B"/>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1FE3"/>
    <w:rsid w:val="009A20AE"/>
    <w:rsid w:val="009A2196"/>
    <w:rsid w:val="009A2286"/>
    <w:rsid w:val="009A23A9"/>
    <w:rsid w:val="009A243A"/>
    <w:rsid w:val="009A244D"/>
    <w:rsid w:val="009A2597"/>
    <w:rsid w:val="009A2690"/>
    <w:rsid w:val="009A28CA"/>
    <w:rsid w:val="009A28DC"/>
    <w:rsid w:val="009A2A22"/>
    <w:rsid w:val="009A30C2"/>
    <w:rsid w:val="009A31B7"/>
    <w:rsid w:val="009A32D6"/>
    <w:rsid w:val="009A3301"/>
    <w:rsid w:val="009A3344"/>
    <w:rsid w:val="009A385C"/>
    <w:rsid w:val="009A3D24"/>
    <w:rsid w:val="009A3E53"/>
    <w:rsid w:val="009A3EDB"/>
    <w:rsid w:val="009A4335"/>
    <w:rsid w:val="009A44D7"/>
    <w:rsid w:val="009A4632"/>
    <w:rsid w:val="009A465F"/>
    <w:rsid w:val="009A46DB"/>
    <w:rsid w:val="009A48B2"/>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A7F22"/>
    <w:rsid w:val="009B049D"/>
    <w:rsid w:val="009B04D5"/>
    <w:rsid w:val="009B0617"/>
    <w:rsid w:val="009B0681"/>
    <w:rsid w:val="009B0B25"/>
    <w:rsid w:val="009B0B7D"/>
    <w:rsid w:val="009B0C00"/>
    <w:rsid w:val="009B0E13"/>
    <w:rsid w:val="009B10C3"/>
    <w:rsid w:val="009B1149"/>
    <w:rsid w:val="009B1533"/>
    <w:rsid w:val="009B1683"/>
    <w:rsid w:val="009B17A8"/>
    <w:rsid w:val="009B183F"/>
    <w:rsid w:val="009B18C8"/>
    <w:rsid w:val="009B191E"/>
    <w:rsid w:val="009B1C4F"/>
    <w:rsid w:val="009B1CF0"/>
    <w:rsid w:val="009B1D8F"/>
    <w:rsid w:val="009B1DB2"/>
    <w:rsid w:val="009B1E20"/>
    <w:rsid w:val="009B1E80"/>
    <w:rsid w:val="009B2054"/>
    <w:rsid w:val="009B225C"/>
    <w:rsid w:val="009B22B7"/>
    <w:rsid w:val="009B2397"/>
    <w:rsid w:val="009B2670"/>
    <w:rsid w:val="009B281B"/>
    <w:rsid w:val="009B2A21"/>
    <w:rsid w:val="009B2A88"/>
    <w:rsid w:val="009B2BAA"/>
    <w:rsid w:val="009B2BAB"/>
    <w:rsid w:val="009B2C6E"/>
    <w:rsid w:val="009B2C96"/>
    <w:rsid w:val="009B2CF9"/>
    <w:rsid w:val="009B2D2F"/>
    <w:rsid w:val="009B2F11"/>
    <w:rsid w:val="009B2F60"/>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3B8"/>
    <w:rsid w:val="009B7482"/>
    <w:rsid w:val="009B74A9"/>
    <w:rsid w:val="009B766E"/>
    <w:rsid w:val="009B7755"/>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CBE"/>
    <w:rsid w:val="009C0E88"/>
    <w:rsid w:val="009C0FD9"/>
    <w:rsid w:val="009C10BF"/>
    <w:rsid w:val="009C120A"/>
    <w:rsid w:val="009C121E"/>
    <w:rsid w:val="009C1255"/>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2FAF"/>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754"/>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2FBE"/>
    <w:rsid w:val="009D317C"/>
    <w:rsid w:val="009D3285"/>
    <w:rsid w:val="009D3290"/>
    <w:rsid w:val="009D3317"/>
    <w:rsid w:val="009D33C8"/>
    <w:rsid w:val="009D340C"/>
    <w:rsid w:val="009D3428"/>
    <w:rsid w:val="009D35C8"/>
    <w:rsid w:val="009D3940"/>
    <w:rsid w:val="009D3B02"/>
    <w:rsid w:val="009D3C77"/>
    <w:rsid w:val="009D4054"/>
    <w:rsid w:val="009D4106"/>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7E1"/>
    <w:rsid w:val="009D780F"/>
    <w:rsid w:val="009D7F06"/>
    <w:rsid w:val="009E02D2"/>
    <w:rsid w:val="009E05BE"/>
    <w:rsid w:val="009E07A7"/>
    <w:rsid w:val="009E08F3"/>
    <w:rsid w:val="009E0D48"/>
    <w:rsid w:val="009E0EED"/>
    <w:rsid w:val="009E1125"/>
    <w:rsid w:val="009E14C9"/>
    <w:rsid w:val="009E160D"/>
    <w:rsid w:val="009E1A60"/>
    <w:rsid w:val="009E1B09"/>
    <w:rsid w:val="009E1EF9"/>
    <w:rsid w:val="009E1FE5"/>
    <w:rsid w:val="009E2174"/>
    <w:rsid w:val="009E2206"/>
    <w:rsid w:val="009E2295"/>
    <w:rsid w:val="009E22A9"/>
    <w:rsid w:val="009E257C"/>
    <w:rsid w:val="009E274E"/>
    <w:rsid w:val="009E2927"/>
    <w:rsid w:val="009E2A5C"/>
    <w:rsid w:val="009E2B34"/>
    <w:rsid w:val="009E2D59"/>
    <w:rsid w:val="009E2D93"/>
    <w:rsid w:val="009E2DBB"/>
    <w:rsid w:val="009E3005"/>
    <w:rsid w:val="009E3283"/>
    <w:rsid w:val="009E398F"/>
    <w:rsid w:val="009E3C4C"/>
    <w:rsid w:val="009E41A7"/>
    <w:rsid w:val="009E423E"/>
    <w:rsid w:val="009E428D"/>
    <w:rsid w:val="009E4389"/>
    <w:rsid w:val="009E43D3"/>
    <w:rsid w:val="009E450C"/>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531"/>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8CB"/>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4B8"/>
    <w:rsid w:val="009F65B8"/>
    <w:rsid w:val="009F6760"/>
    <w:rsid w:val="009F677D"/>
    <w:rsid w:val="009F68A9"/>
    <w:rsid w:val="009F68EE"/>
    <w:rsid w:val="009F6A4D"/>
    <w:rsid w:val="009F6A94"/>
    <w:rsid w:val="009F6C35"/>
    <w:rsid w:val="009F6D33"/>
    <w:rsid w:val="009F7039"/>
    <w:rsid w:val="009F70E6"/>
    <w:rsid w:val="009F7410"/>
    <w:rsid w:val="009F743D"/>
    <w:rsid w:val="009F7859"/>
    <w:rsid w:val="009F7EAA"/>
    <w:rsid w:val="00A0010D"/>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2F1"/>
    <w:rsid w:val="00A026D5"/>
    <w:rsid w:val="00A026DF"/>
    <w:rsid w:val="00A02A48"/>
    <w:rsid w:val="00A02BF3"/>
    <w:rsid w:val="00A02F6C"/>
    <w:rsid w:val="00A02FEB"/>
    <w:rsid w:val="00A030ED"/>
    <w:rsid w:val="00A035D0"/>
    <w:rsid w:val="00A037FC"/>
    <w:rsid w:val="00A03829"/>
    <w:rsid w:val="00A039DD"/>
    <w:rsid w:val="00A03A48"/>
    <w:rsid w:val="00A03B0D"/>
    <w:rsid w:val="00A03CBE"/>
    <w:rsid w:val="00A03EB9"/>
    <w:rsid w:val="00A03ED5"/>
    <w:rsid w:val="00A040A8"/>
    <w:rsid w:val="00A047AE"/>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6E50"/>
    <w:rsid w:val="00A070CA"/>
    <w:rsid w:val="00A071B2"/>
    <w:rsid w:val="00A071E7"/>
    <w:rsid w:val="00A07455"/>
    <w:rsid w:val="00A074F1"/>
    <w:rsid w:val="00A075BF"/>
    <w:rsid w:val="00A0767B"/>
    <w:rsid w:val="00A077B6"/>
    <w:rsid w:val="00A07B58"/>
    <w:rsid w:val="00A07F36"/>
    <w:rsid w:val="00A1005B"/>
    <w:rsid w:val="00A1007E"/>
    <w:rsid w:val="00A100AA"/>
    <w:rsid w:val="00A100F2"/>
    <w:rsid w:val="00A101C5"/>
    <w:rsid w:val="00A103F9"/>
    <w:rsid w:val="00A10671"/>
    <w:rsid w:val="00A10847"/>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26F"/>
    <w:rsid w:val="00A135EB"/>
    <w:rsid w:val="00A13766"/>
    <w:rsid w:val="00A138B3"/>
    <w:rsid w:val="00A1396C"/>
    <w:rsid w:val="00A13A5C"/>
    <w:rsid w:val="00A13B79"/>
    <w:rsid w:val="00A13DD4"/>
    <w:rsid w:val="00A13E09"/>
    <w:rsid w:val="00A14333"/>
    <w:rsid w:val="00A1447D"/>
    <w:rsid w:val="00A14595"/>
    <w:rsid w:val="00A14691"/>
    <w:rsid w:val="00A14762"/>
    <w:rsid w:val="00A14819"/>
    <w:rsid w:val="00A1487A"/>
    <w:rsid w:val="00A1488D"/>
    <w:rsid w:val="00A149B7"/>
    <w:rsid w:val="00A14C03"/>
    <w:rsid w:val="00A14CC8"/>
    <w:rsid w:val="00A14DC7"/>
    <w:rsid w:val="00A14DFA"/>
    <w:rsid w:val="00A151B3"/>
    <w:rsid w:val="00A15202"/>
    <w:rsid w:val="00A154EE"/>
    <w:rsid w:val="00A158BC"/>
    <w:rsid w:val="00A15D07"/>
    <w:rsid w:val="00A15F43"/>
    <w:rsid w:val="00A160FC"/>
    <w:rsid w:val="00A1611F"/>
    <w:rsid w:val="00A161A2"/>
    <w:rsid w:val="00A16404"/>
    <w:rsid w:val="00A16C89"/>
    <w:rsid w:val="00A16FC1"/>
    <w:rsid w:val="00A1704F"/>
    <w:rsid w:val="00A170E8"/>
    <w:rsid w:val="00A171C3"/>
    <w:rsid w:val="00A173A4"/>
    <w:rsid w:val="00A17A0A"/>
    <w:rsid w:val="00A17AF3"/>
    <w:rsid w:val="00A17F26"/>
    <w:rsid w:val="00A2000A"/>
    <w:rsid w:val="00A20083"/>
    <w:rsid w:val="00A201A4"/>
    <w:rsid w:val="00A2051B"/>
    <w:rsid w:val="00A20A3F"/>
    <w:rsid w:val="00A20B09"/>
    <w:rsid w:val="00A20B40"/>
    <w:rsid w:val="00A20E7B"/>
    <w:rsid w:val="00A20EBE"/>
    <w:rsid w:val="00A21118"/>
    <w:rsid w:val="00A21148"/>
    <w:rsid w:val="00A21170"/>
    <w:rsid w:val="00A21178"/>
    <w:rsid w:val="00A2146C"/>
    <w:rsid w:val="00A21472"/>
    <w:rsid w:val="00A214AC"/>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D91"/>
    <w:rsid w:val="00A22E94"/>
    <w:rsid w:val="00A2336F"/>
    <w:rsid w:val="00A23600"/>
    <w:rsid w:val="00A23689"/>
    <w:rsid w:val="00A236E4"/>
    <w:rsid w:val="00A2382D"/>
    <w:rsid w:val="00A240AC"/>
    <w:rsid w:val="00A2453E"/>
    <w:rsid w:val="00A24A53"/>
    <w:rsid w:val="00A24B92"/>
    <w:rsid w:val="00A24DA0"/>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191"/>
    <w:rsid w:val="00A2724F"/>
    <w:rsid w:val="00A27259"/>
    <w:rsid w:val="00A27431"/>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685"/>
    <w:rsid w:val="00A327A9"/>
    <w:rsid w:val="00A32AF2"/>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B55"/>
    <w:rsid w:val="00A36D42"/>
    <w:rsid w:val="00A37079"/>
    <w:rsid w:val="00A370C8"/>
    <w:rsid w:val="00A37309"/>
    <w:rsid w:val="00A3731C"/>
    <w:rsid w:val="00A373A4"/>
    <w:rsid w:val="00A373A5"/>
    <w:rsid w:val="00A3779B"/>
    <w:rsid w:val="00A379E3"/>
    <w:rsid w:val="00A37C7E"/>
    <w:rsid w:val="00A37DD1"/>
    <w:rsid w:val="00A40203"/>
    <w:rsid w:val="00A40249"/>
    <w:rsid w:val="00A402F1"/>
    <w:rsid w:val="00A40354"/>
    <w:rsid w:val="00A40382"/>
    <w:rsid w:val="00A40482"/>
    <w:rsid w:val="00A405E3"/>
    <w:rsid w:val="00A40877"/>
    <w:rsid w:val="00A4090B"/>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BFE"/>
    <w:rsid w:val="00A43CCB"/>
    <w:rsid w:val="00A43F42"/>
    <w:rsid w:val="00A44024"/>
    <w:rsid w:val="00A4430B"/>
    <w:rsid w:val="00A44385"/>
    <w:rsid w:val="00A4438E"/>
    <w:rsid w:val="00A446B8"/>
    <w:rsid w:val="00A4470B"/>
    <w:rsid w:val="00A44771"/>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88F"/>
    <w:rsid w:val="00A46A2C"/>
    <w:rsid w:val="00A46C4B"/>
    <w:rsid w:val="00A46CF7"/>
    <w:rsid w:val="00A46F78"/>
    <w:rsid w:val="00A470B5"/>
    <w:rsid w:val="00A47115"/>
    <w:rsid w:val="00A47312"/>
    <w:rsid w:val="00A473E4"/>
    <w:rsid w:val="00A47A45"/>
    <w:rsid w:val="00A47D9D"/>
    <w:rsid w:val="00A47E28"/>
    <w:rsid w:val="00A50023"/>
    <w:rsid w:val="00A500AE"/>
    <w:rsid w:val="00A50112"/>
    <w:rsid w:val="00A50274"/>
    <w:rsid w:val="00A5044B"/>
    <w:rsid w:val="00A504A8"/>
    <w:rsid w:val="00A50589"/>
    <w:rsid w:val="00A50689"/>
    <w:rsid w:val="00A507EB"/>
    <w:rsid w:val="00A5085A"/>
    <w:rsid w:val="00A509F9"/>
    <w:rsid w:val="00A50D3F"/>
    <w:rsid w:val="00A50EF8"/>
    <w:rsid w:val="00A50F34"/>
    <w:rsid w:val="00A50F3E"/>
    <w:rsid w:val="00A5138C"/>
    <w:rsid w:val="00A5153A"/>
    <w:rsid w:val="00A5157E"/>
    <w:rsid w:val="00A516D9"/>
    <w:rsid w:val="00A51756"/>
    <w:rsid w:val="00A5177F"/>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2EB"/>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57E7A"/>
    <w:rsid w:val="00A60111"/>
    <w:rsid w:val="00A6029C"/>
    <w:rsid w:val="00A60308"/>
    <w:rsid w:val="00A60382"/>
    <w:rsid w:val="00A6073F"/>
    <w:rsid w:val="00A6084C"/>
    <w:rsid w:val="00A6095D"/>
    <w:rsid w:val="00A60A25"/>
    <w:rsid w:val="00A60B33"/>
    <w:rsid w:val="00A60E1D"/>
    <w:rsid w:val="00A60E33"/>
    <w:rsid w:val="00A60FE5"/>
    <w:rsid w:val="00A60FF2"/>
    <w:rsid w:val="00A613DF"/>
    <w:rsid w:val="00A615AA"/>
    <w:rsid w:val="00A61724"/>
    <w:rsid w:val="00A61B40"/>
    <w:rsid w:val="00A61E8A"/>
    <w:rsid w:val="00A62130"/>
    <w:rsid w:val="00A622BB"/>
    <w:rsid w:val="00A6245D"/>
    <w:rsid w:val="00A624A1"/>
    <w:rsid w:val="00A6255F"/>
    <w:rsid w:val="00A626CC"/>
    <w:rsid w:val="00A628D3"/>
    <w:rsid w:val="00A628F5"/>
    <w:rsid w:val="00A62B4A"/>
    <w:rsid w:val="00A62B97"/>
    <w:rsid w:val="00A62D91"/>
    <w:rsid w:val="00A62FD2"/>
    <w:rsid w:val="00A630D5"/>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96"/>
    <w:rsid w:val="00A65AED"/>
    <w:rsid w:val="00A65B50"/>
    <w:rsid w:val="00A65BBC"/>
    <w:rsid w:val="00A65CDE"/>
    <w:rsid w:val="00A65D84"/>
    <w:rsid w:val="00A65E27"/>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C64"/>
    <w:rsid w:val="00A70E27"/>
    <w:rsid w:val="00A70FB2"/>
    <w:rsid w:val="00A71019"/>
    <w:rsid w:val="00A71054"/>
    <w:rsid w:val="00A71108"/>
    <w:rsid w:val="00A7114E"/>
    <w:rsid w:val="00A71169"/>
    <w:rsid w:val="00A71506"/>
    <w:rsid w:val="00A71619"/>
    <w:rsid w:val="00A71970"/>
    <w:rsid w:val="00A71ACE"/>
    <w:rsid w:val="00A71AD3"/>
    <w:rsid w:val="00A71DC0"/>
    <w:rsid w:val="00A71FFD"/>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D35"/>
    <w:rsid w:val="00A74ED4"/>
    <w:rsid w:val="00A74ED7"/>
    <w:rsid w:val="00A751C5"/>
    <w:rsid w:val="00A752CE"/>
    <w:rsid w:val="00A7539E"/>
    <w:rsid w:val="00A754C4"/>
    <w:rsid w:val="00A756E5"/>
    <w:rsid w:val="00A757B8"/>
    <w:rsid w:val="00A758E5"/>
    <w:rsid w:val="00A75B7F"/>
    <w:rsid w:val="00A75C21"/>
    <w:rsid w:val="00A75DF2"/>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ABE"/>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747"/>
    <w:rsid w:val="00A879DE"/>
    <w:rsid w:val="00A87AD9"/>
    <w:rsid w:val="00A87CC9"/>
    <w:rsid w:val="00A87D10"/>
    <w:rsid w:val="00A87DE9"/>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B42"/>
    <w:rsid w:val="00A92E2A"/>
    <w:rsid w:val="00A92ECC"/>
    <w:rsid w:val="00A92F1E"/>
    <w:rsid w:val="00A93534"/>
    <w:rsid w:val="00A93A66"/>
    <w:rsid w:val="00A93AE8"/>
    <w:rsid w:val="00A93B00"/>
    <w:rsid w:val="00A93BF0"/>
    <w:rsid w:val="00A93E3F"/>
    <w:rsid w:val="00A93F3E"/>
    <w:rsid w:val="00A93F5A"/>
    <w:rsid w:val="00A93FEA"/>
    <w:rsid w:val="00A940C9"/>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9ED"/>
    <w:rsid w:val="00A96A2B"/>
    <w:rsid w:val="00A96A8E"/>
    <w:rsid w:val="00A96B06"/>
    <w:rsid w:val="00A96E10"/>
    <w:rsid w:val="00A96F0B"/>
    <w:rsid w:val="00A96FC5"/>
    <w:rsid w:val="00A97064"/>
    <w:rsid w:val="00A97165"/>
    <w:rsid w:val="00A97277"/>
    <w:rsid w:val="00A972BB"/>
    <w:rsid w:val="00A97419"/>
    <w:rsid w:val="00A97505"/>
    <w:rsid w:val="00A97609"/>
    <w:rsid w:val="00A97612"/>
    <w:rsid w:val="00A9768C"/>
    <w:rsid w:val="00A97748"/>
    <w:rsid w:val="00A979DF"/>
    <w:rsid w:val="00A97AE7"/>
    <w:rsid w:val="00A97C48"/>
    <w:rsid w:val="00A97C81"/>
    <w:rsid w:val="00A97D5C"/>
    <w:rsid w:val="00A97DD0"/>
    <w:rsid w:val="00AA0197"/>
    <w:rsid w:val="00AA019B"/>
    <w:rsid w:val="00AA0261"/>
    <w:rsid w:val="00AA02B9"/>
    <w:rsid w:val="00AA031E"/>
    <w:rsid w:val="00AA04AD"/>
    <w:rsid w:val="00AA0532"/>
    <w:rsid w:val="00AA0580"/>
    <w:rsid w:val="00AA064E"/>
    <w:rsid w:val="00AA06CD"/>
    <w:rsid w:val="00AA0775"/>
    <w:rsid w:val="00AA0858"/>
    <w:rsid w:val="00AA0AAE"/>
    <w:rsid w:val="00AA0BC3"/>
    <w:rsid w:val="00AA0BC5"/>
    <w:rsid w:val="00AA0D27"/>
    <w:rsid w:val="00AA0E06"/>
    <w:rsid w:val="00AA102E"/>
    <w:rsid w:val="00AA10D0"/>
    <w:rsid w:val="00AA12A6"/>
    <w:rsid w:val="00AA1432"/>
    <w:rsid w:val="00AA1435"/>
    <w:rsid w:val="00AA1649"/>
    <w:rsid w:val="00AA176C"/>
    <w:rsid w:val="00AA19D7"/>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053"/>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E92"/>
    <w:rsid w:val="00AA5F4C"/>
    <w:rsid w:val="00AA6006"/>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C3B"/>
    <w:rsid w:val="00AB0D32"/>
    <w:rsid w:val="00AB0D84"/>
    <w:rsid w:val="00AB0F48"/>
    <w:rsid w:val="00AB1046"/>
    <w:rsid w:val="00AB11A8"/>
    <w:rsid w:val="00AB1304"/>
    <w:rsid w:val="00AB1384"/>
    <w:rsid w:val="00AB14F9"/>
    <w:rsid w:val="00AB164E"/>
    <w:rsid w:val="00AB1744"/>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D70"/>
    <w:rsid w:val="00AB3E6F"/>
    <w:rsid w:val="00AB3EA3"/>
    <w:rsid w:val="00AB3F76"/>
    <w:rsid w:val="00AB4097"/>
    <w:rsid w:val="00AB40B8"/>
    <w:rsid w:val="00AB439F"/>
    <w:rsid w:val="00AB4468"/>
    <w:rsid w:val="00AB4831"/>
    <w:rsid w:val="00AB4C5C"/>
    <w:rsid w:val="00AB4E17"/>
    <w:rsid w:val="00AB4E4A"/>
    <w:rsid w:val="00AB4F36"/>
    <w:rsid w:val="00AB533D"/>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6F96"/>
    <w:rsid w:val="00AB70D1"/>
    <w:rsid w:val="00AB710D"/>
    <w:rsid w:val="00AB74EF"/>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BB4"/>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6C9"/>
    <w:rsid w:val="00AC6B13"/>
    <w:rsid w:val="00AC6D82"/>
    <w:rsid w:val="00AC6DDA"/>
    <w:rsid w:val="00AC7015"/>
    <w:rsid w:val="00AC719C"/>
    <w:rsid w:val="00AC720B"/>
    <w:rsid w:val="00AC72DB"/>
    <w:rsid w:val="00AC760A"/>
    <w:rsid w:val="00AC7D16"/>
    <w:rsid w:val="00AD01F9"/>
    <w:rsid w:val="00AD02BD"/>
    <w:rsid w:val="00AD02F1"/>
    <w:rsid w:val="00AD0355"/>
    <w:rsid w:val="00AD0371"/>
    <w:rsid w:val="00AD083D"/>
    <w:rsid w:val="00AD08C4"/>
    <w:rsid w:val="00AD08E4"/>
    <w:rsid w:val="00AD0D90"/>
    <w:rsid w:val="00AD0F67"/>
    <w:rsid w:val="00AD0FD5"/>
    <w:rsid w:val="00AD1017"/>
    <w:rsid w:val="00AD1124"/>
    <w:rsid w:val="00AD1535"/>
    <w:rsid w:val="00AD1640"/>
    <w:rsid w:val="00AD1691"/>
    <w:rsid w:val="00AD16C2"/>
    <w:rsid w:val="00AD19AA"/>
    <w:rsid w:val="00AD1B20"/>
    <w:rsid w:val="00AD1D83"/>
    <w:rsid w:val="00AD2206"/>
    <w:rsid w:val="00AD2267"/>
    <w:rsid w:val="00AD2280"/>
    <w:rsid w:val="00AD238C"/>
    <w:rsid w:val="00AD24AD"/>
    <w:rsid w:val="00AD24DE"/>
    <w:rsid w:val="00AD2C9A"/>
    <w:rsid w:val="00AD2CF6"/>
    <w:rsid w:val="00AD2E57"/>
    <w:rsid w:val="00AD32BD"/>
    <w:rsid w:val="00AD32F4"/>
    <w:rsid w:val="00AD3412"/>
    <w:rsid w:val="00AD37C0"/>
    <w:rsid w:val="00AD388E"/>
    <w:rsid w:val="00AD38A4"/>
    <w:rsid w:val="00AD3B0F"/>
    <w:rsid w:val="00AD3D27"/>
    <w:rsid w:val="00AD3D4E"/>
    <w:rsid w:val="00AD3F6A"/>
    <w:rsid w:val="00AD400E"/>
    <w:rsid w:val="00AD4232"/>
    <w:rsid w:val="00AD4432"/>
    <w:rsid w:val="00AD46A4"/>
    <w:rsid w:val="00AD46E8"/>
    <w:rsid w:val="00AD478A"/>
    <w:rsid w:val="00AD47B1"/>
    <w:rsid w:val="00AD4A4A"/>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27A"/>
    <w:rsid w:val="00AE0590"/>
    <w:rsid w:val="00AE05A8"/>
    <w:rsid w:val="00AE0634"/>
    <w:rsid w:val="00AE079B"/>
    <w:rsid w:val="00AE08B7"/>
    <w:rsid w:val="00AE08BE"/>
    <w:rsid w:val="00AE08D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7D4"/>
    <w:rsid w:val="00AE487A"/>
    <w:rsid w:val="00AE4902"/>
    <w:rsid w:val="00AE4A02"/>
    <w:rsid w:val="00AE4AD4"/>
    <w:rsid w:val="00AE4B10"/>
    <w:rsid w:val="00AE4C41"/>
    <w:rsid w:val="00AE4C4D"/>
    <w:rsid w:val="00AE4E07"/>
    <w:rsid w:val="00AE4EA5"/>
    <w:rsid w:val="00AE5118"/>
    <w:rsid w:val="00AE5251"/>
    <w:rsid w:val="00AE5331"/>
    <w:rsid w:val="00AE5575"/>
    <w:rsid w:val="00AE5693"/>
    <w:rsid w:val="00AE587B"/>
    <w:rsid w:val="00AE595C"/>
    <w:rsid w:val="00AE5FFC"/>
    <w:rsid w:val="00AE6560"/>
    <w:rsid w:val="00AE66A1"/>
    <w:rsid w:val="00AE6946"/>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EC8"/>
    <w:rsid w:val="00AE7F94"/>
    <w:rsid w:val="00AF000E"/>
    <w:rsid w:val="00AF0035"/>
    <w:rsid w:val="00AF00A4"/>
    <w:rsid w:val="00AF033A"/>
    <w:rsid w:val="00AF094B"/>
    <w:rsid w:val="00AF0A34"/>
    <w:rsid w:val="00AF0ED0"/>
    <w:rsid w:val="00AF1000"/>
    <w:rsid w:val="00AF1059"/>
    <w:rsid w:val="00AF1103"/>
    <w:rsid w:val="00AF14A4"/>
    <w:rsid w:val="00AF161D"/>
    <w:rsid w:val="00AF175E"/>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4"/>
    <w:rsid w:val="00AF35BD"/>
    <w:rsid w:val="00AF3629"/>
    <w:rsid w:val="00AF37E7"/>
    <w:rsid w:val="00AF386D"/>
    <w:rsid w:val="00AF3A1A"/>
    <w:rsid w:val="00AF3B1F"/>
    <w:rsid w:val="00AF3B88"/>
    <w:rsid w:val="00AF3E73"/>
    <w:rsid w:val="00AF4021"/>
    <w:rsid w:val="00AF433F"/>
    <w:rsid w:val="00AF45B0"/>
    <w:rsid w:val="00AF48C5"/>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157"/>
    <w:rsid w:val="00AF63D1"/>
    <w:rsid w:val="00AF642A"/>
    <w:rsid w:val="00AF647B"/>
    <w:rsid w:val="00AF65C1"/>
    <w:rsid w:val="00AF678F"/>
    <w:rsid w:val="00AF68EC"/>
    <w:rsid w:val="00AF6978"/>
    <w:rsid w:val="00AF6C6C"/>
    <w:rsid w:val="00AF6CD7"/>
    <w:rsid w:val="00AF6F21"/>
    <w:rsid w:val="00AF6F6E"/>
    <w:rsid w:val="00AF74D2"/>
    <w:rsid w:val="00AF7571"/>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38"/>
    <w:rsid w:val="00B00F7F"/>
    <w:rsid w:val="00B01011"/>
    <w:rsid w:val="00B010BB"/>
    <w:rsid w:val="00B011A2"/>
    <w:rsid w:val="00B013FC"/>
    <w:rsid w:val="00B014F4"/>
    <w:rsid w:val="00B017BE"/>
    <w:rsid w:val="00B0188E"/>
    <w:rsid w:val="00B018C6"/>
    <w:rsid w:val="00B0192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514"/>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4FC2"/>
    <w:rsid w:val="00B050E7"/>
    <w:rsid w:val="00B051CC"/>
    <w:rsid w:val="00B052F7"/>
    <w:rsid w:val="00B0530F"/>
    <w:rsid w:val="00B054D7"/>
    <w:rsid w:val="00B0564C"/>
    <w:rsid w:val="00B05779"/>
    <w:rsid w:val="00B05A84"/>
    <w:rsid w:val="00B05BA3"/>
    <w:rsid w:val="00B05FE4"/>
    <w:rsid w:val="00B061CB"/>
    <w:rsid w:val="00B0635B"/>
    <w:rsid w:val="00B06403"/>
    <w:rsid w:val="00B0654E"/>
    <w:rsid w:val="00B065EA"/>
    <w:rsid w:val="00B06645"/>
    <w:rsid w:val="00B0671F"/>
    <w:rsid w:val="00B067ED"/>
    <w:rsid w:val="00B06866"/>
    <w:rsid w:val="00B0688F"/>
    <w:rsid w:val="00B06B5A"/>
    <w:rsid w:val="00B06BED"/>
    <w:rsid w:val="00B06E6C"/>
    <w:rsid w:val="00B07376"/>
    <w:rsid w:val="00B076FC"/>
    <w:rsid w:val="00B0787A"/>
    <w:rsid w:val="00B0790B"/>
    <w:rsid w:val="00B07A88"/>
    <w:rsid w:val="00B07B09"/>
    <w:rsid w:val="00B07B14"/>
    <w:rsid w:val="00B07B4D"/>
    <w:rsid w:val="00B07FC1"/>
    <w:rsid w:val="00B1006A"/>
    <w:rsid w:val="00B10083"/>
    <w:rsid w:val="00B10193"/>
    <w:rsid w:val="00B10230"/>
    <w:rsid w:val="00B10242"/>
    <w:rsid w:val="00B10292"/>
    <w:rsid w:val="00B103E2"/>
    <w:rsid w:val="00B10C12"/>
    <w:rsid w:val="00B10D35"/>
    <w:rsid w:val="00B10F7F"/>
    <w:rsid w:val="00B1124F"/>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822"/>
    <w:rsid w:val="00B13A60"/>
    <w:rsid w:val="00B13B29"/>
    <w:rsid w:val="00B13F4B"/>
    <w:rsid w:val="00B13F64"/>
    <w:rsid w:val="00B13FCE"/>
    <w:rsid w:val="00B140B5"/>
    <w:rsid w:val="00B14317"/>
    <w:rsid w:val="00B14391"/>
    <w:rsid w:val="00B1476E"/>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C33"/>
    <w:rsid w:val="00B17E7D"/>
    <w:rsid w:val="00B2016F"/>
    <w:rsid w:val="00B2020E"/>
    <w:rsid w:val="00B207C6"/>
    <w:rsid w:val="00B209D3"/>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3EE4"/>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2C54"/>
    <w:rsid w:val="00B33788"/>
    <w:rsid w:val="00B3378A"/>
    <w:rsid w:val="00B33863"/>
    <w:rsid w:val="00B33965"/>
    <w:rsid w:val="00B33BA9"/>
    <w:rsid w:val="00B33CB2"/>
    <w:rsid w:val="00B33D59"/>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6437"/>
    <w:rsid w:val="00B37195"/>
    <w:rsid w:val="00B3721B"/>
    <w:rsid w:val="00B37267"/>
    <w:rsid w:val="00B372B4"/>
    <w:rsid w:val="00B374E4"/>
    <w:rsid w:val="00B37627"/>
    <w:rsid w:val="00B3797D"/>
    <w:rsid w:val="00B37A54"/>
    <w:rsid w:val="00B37FAA"/>
    <w:rsid w:val="00B40111"/>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6B"/>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2E6F"/>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1A7"/>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83"/>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21A"/>
    <w:rsid w:val="00B55364"/>
    <w:rsid w:val="00B554E2"/>
    <w:rsid w:val="00B5565C"/>
    <w:rsid w:val="00B559C5"/>
    <w:rsid w:val="00B559D9"/>
    <w:rsid w:val="00B55AB2"/>
    <w:rsid w:val="00B55B1E"/>
    <w:rsid w:val="00B55DB0"/>
    <w:rsid w:val="00B55EDE"/>
    <w:rsid w:val="00B56073"/>
    <w:rsid w:val="00B5619E"/>
    <w:rsid w:val="00B56205"/>
    <w:rsid w:val="00B562FF"/>
    <w:rsid w:val="00B56300"/>
    <w:rsid w:val="00B56350"/>
    <w:rsid w:val="00B56506"/>
    <w:rsid w:val="00B56878"/>
    <w:rsid w:val="00B568E4"/>
    <w:rsid w:val="00B56E38"/>
    <w:rsid w:val="00B56EBD"/>
    <w:rsid w:val="00B570A7"/>
    <w:rsid w:val="00B57130"/>
    <w:rsid w:val="00B5716F"/>
    <w:rsid w:val="00B5730D"/>
    <w:rsid w:val="00B573AF"/>
    <w:rsid w:val="00B573F9"/>
    <w:rsid w:val="00B574A6"/>
    <w:rsid w:val="00B574A7"/>
    <w:rsid w:val="00B57735"/>
    <w:rsid w:val="00B57871"/>
    <w:rsid w:val="00B602C2"/>
    <w:rsid w:val="00B603EF"/>
    <w:rsid w:val="00B6046C"/>
    <w:rsid w:val="00B607A0"/>
    <w:rsid w:val="00B6099C"/>
    <w:rsid w:val="00B609C8"/>
    <w:rsid w:val="00B60B3B"/>
    <w:rsid w:val="00B60C86"/>
    <w:rsid w:val="00B611E7"/>
    <w:rsid w:val="00B614D8"/>
    <w:rsid w:val="00B6155B"/>
    <w:rsid w:val="00B6161C"/>
    <w:rsid w:val="00B61689"/>
    <w:rsid w:val="00B61694"/>
    <w:rsid w:val="00B6177E"/>
    <w:rsid w:val="00B61827"/>
    <w:rsid w:val="00B61839"/>
    <w:rsid w:val="00B61917"/>
    <w:rsid w:val="00B61B6B"/>
    <w:rsid w:val="00B61C74"/>
    <w:rsid w:val="00B61E3F"/>
    <w:rsid w:val="00B61F4F"/>
    <w:rsid w:val="00B62159"/>
    <w:rsid w:val="00B6232E"/>
    <w:rsid w:val="00B62362"/>
    <w:rsid w:val="00B62496"/>
    <w:rsid w:val="00B624A0"/>
    <w:rsid w:val="00B62503"/>
    <w:rsid w:val="00B62555"/>
    <w:rsid w:val="00B6261C"/>
    <w:rsid w:val="00B627C7"/>
    <w:rsid w:val="00B62805"/>
    <w:rsid w:val="00B62815"/>
    <w:rsid w:val="00B62816"/>
    <w:rsid w:val="00B628E3"/>
    <w:rsid w:val="00B632EA"/>
    <w:rsid w:val="00B635DB"/>
    <w:rsid w:val="00B636A6"/>
    <w:rsid w:val="00B6379D"/>
    <w:rsid w:val="00B6381C"/>
    <w:rsid w:val="00B63919"/>
    <w:rsid w:val="00B63A7E"/>
    <w:rsid w:val="00B6402B"/>
    <w:rsid w:val="00B64094"/>
    <w:rsid w:val="00B642F6"/>
    <w:rsid w:val="00B644D6"/>
    <w:rsid w:val="00B64520"/>
    <w:rsid w:val="00B6466D"/>
    <w:rsid w:val="00B646FE"/>
    <w:rsid w:val="00B6483E"/>
    <w:rsid w:val="00B64A6E"/>
    <w:rsid w:val="00B65147"/>
    <w:rsid w:val="00B6538B"/>
    <w:rsid w:val="00B65489"/>
    <w:rsid w:val="00B6559A"/>
    <w:rsid w:val="00B657A5"/>
    <w:rsid w:val="00B657AF"/>
    <w:rsid w:val="00B65898"/>
    <w:rsid w:val="00B6589E"/>
    <w:rsid w:val="00B65916"/>
    <w:rsid w:val="00B65917"/>
    <w:rsid w:val="00B65973"/>
    <w:rsid w:val="00B659D2"/>
    <w:rsid w:val="00B65A4E"/>
    <w:rsid w:val="00B65ACC"/>
    <w:rsid w:val="00B65DB6"/>
    <w:rsid w:val="00B663E7"/>
    <w:rsid w:val="00B66756"/>
    <w:rsid w:val="00B6679D"/>
    <w:rsid w:val="00B668BE"/>
    <w:rsid w:val="00B669E5"/>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41B"/>
    <w:rsid w:val="00B706FE"/>
    <w:rsid w:val="00B70722"/>
    <w:rsid w:val="00B70A16"/>
    <w:rsid w:val="00B70A97"/>
    <w:rsid w:val="00B70AED"/>
    <w:rsid w:val="00B70EAA"/>
    <w:rsid w:val="00B71040"/>
    <w:rsid w:val="00B7108C"/>
    <w:rsid w:val="00B711DC"/>
    <w:rsid w:val="00B71209"/>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DD1"/>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72"/>
    <w:rsid w:val="00B744E1"/>
    <w:rsid w:val="00B74597"/>
    <w:rsid w:val="00B745FB"/>
    <w:rsid w:val="00B74C4F"/>
    <w:rsid w:val="00B74D71"/>
    <w:rsid w:val="00B74DAD"/>
    <w:rsid w:val="00B74DC5"/>
    <w:rsid w:val="00B74F49"/>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950"/>
    <w:rsid w:val="00B76C38"/>
    <w:rsid w:val="00B76ED5"/>
    <w:rsid w:val="00B76EF8"/>
    <w:rsid w:val="00B77115"/>
    <w:rsid w:val="00B77315"/>
    <w:rsid w:val="00B7751B"/>
    <w:rsid w:val="00B77575"/>
    <w:rsid w:val="00B808E1"/>
    <w:rsid w:val="00B80A19"/>
    <w:rsid w:val="00B80B4B"/>
    <w:rsid w:val="00B80C02"/>
    <w:rsid w:val="00B81195"/>
    <w:rsid w:val="00B81591"/>
    <w:rsid w:val="00B816FF"/>
    <w:rsid w:val="00B81B08"/>
    <w:rsid w:val="00B81C99"/>
    <w:rsid w:val="00B81E7C"/>
    <w:rsid w:val="00B82118"/>
    <w:rsid w:val="00B82165"/>
    <w:rsid w:val="00B821EA"/>
    <w:rsid w:val="00B8224D"/>
    <w:rsid w:val="00B822B2"/>
    <w:rsid w:val="00B824C2"/>
    <w:rsid w:val="00B8266F"/>
    <w:rsid w:val="00B8268A"/>
    <w:rsid w:val="00B82737"/>
    <w:rsid w:val="00B82784"/>
    <w:rsid w:val="00B82B71"/>
    <w:rsid w:val="00B82B79"/>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63A"/>
    <w:rsid w:val="00B8575A"/>
    <w:rsid w:val="00B85785"/>
    <w:rsid w:val="00B857B6"/>
    <w:rsid w:val="00B8580F"/>
    <w:rsid w:val="00B8592F"/>
    <w:rsid w:val="00B85A32"/>
    <w:rsid w:val="00B85A7C"/>
    <w:rsid w:val="00B86182"/>
    <w:rsid w:val="00B861D0"/>
    <w:rsid w:val="00B8632E"/>
    <w:rsid w:val="00B8666B"/>
    <w:rsid w:val="00B86700"/>
    <w:rsid w:val="00B8680A"/>
    <w:rsid w:val="00B8683A"/>
    <w:rsid w:val="00B86AE5"/>
    <w:rsid w:val="00B86B25"/>
    <w:rsid w:val="00B86B6C"/>
    <w:rsid w:val="00B86C9F"/>
    <w:rsid w:val="00B86D07"/>
    <w:rsid w:val="00B86EE8"/>
    <w:rsid w:val="00B86FFE"/>
    <w:rsid w:val="00B873E2"/>
    <w:rsid w:val="00B875C8"/>
    <w:rsid w:val="00B87A1D"/>
    <w:rsid w:val="00B87AE6"/>
    <w:rsid w:val="00B87D87"/>
    <w:rsid w:val="00B87DA5"/>
    <w:rsid w:val="00B87F02"/>
    <w:rsid w:val="00B87F4B"/>
    <w:rsid w:val="00B900B7"/>
    <w:rsid w:val="00B9021D"/>
    <w:rsid w:val="00B90354"/>
    <w:rsid w:val="00B90935"/>
    <w:rsid w:val="00B90A7F"/>
    <w:rsid w:val="00B90E50"/>
    <w:rsid w:val="00B90F8A"/>
    <w:rsid w:val="00B91158"/>
    <w:rsid w:val="00B911D8"/>
    <w:rsid w:val="00B91584"/>
    <w:rsid w:val="00B91791"/>
    <w:rsid w:val="00B9179E"/>
    <w:rsid w:val="00B918CC"/>
    <w:rsid w:val="00B91C7D"/>
    <w:rsid w:val="00B91F19"/>
    <w:rsid w:val="00B9200A"/>
    <w:rsid w:val="00B92283"/>
    <w:rsid w:val="00B923F3"/>
    <w:rsid w:val="00B925A0"/>
    <w:rsid w:val="00B92772"/>
    <w:rsid w:val="00B927DA"/>
    <w:rsid w:val="00B92916"/>
    <w:rsid w:val="00B9297D"/>
    <w:rsid w:val="00B929E3"/>
    <w:rsid w:val="00B92AB0"/>
    <w:rsid w:val="00B92D67"/>
    <w:rsid w:val="00B92DF9"/>
    <w:rsid w:val="00B92FC9"/>
    <w:rsid w:val="00B93170"/>
    <w:rsid w:val="00B9323E"/>
    <w:rsid w:val="00B93264"/>
    <w:rsid w:val="00B932C3"/>
    <w:rsid w:val="00B93441"/>
    <w:rsid w:val="00B9389F"/>
    <w:rsid w:val="00B93A8B"/>
    <w:rsid w:val="00B93AFD"/>
    <w:rsid w:val="00B93DE6"/>
    <w:rsid w:val="00B93F37"/>
    <w:rsid w:val="00B944AE"/>
    <w:rsid w:val="00B94571"/>
    <w:rsid w:val="00B94694"/>
    <w:rsid w:val="00B9474D"/>
    <w:rsid w:val="00B947D2"/>
    <w:rsid w:val="00B94927"/>
    <w:rsid w:val="00B949CF"/>
    <w:rsid w:val="00B94A0C"/>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0BA"/>
    <w:rsid w:val="00B9716A"/>
    <w:rsid w:val="00B97459"/>
    <w:rsid w:val="00B9762F"/>
    <w:rsid w:val="00B9782F"/>
    <w:rsid w:val="00B978BE"/>
    <w:rsid w:val="00B97AF5"/>
    <w:rsid w:val="00B97B13"/>
    <w:rsid w:val="00B97D62"/>
    <w:rsid w:val="00B97DB7"/>
    <w:rsid w:val="00B97E26"/>
    <w:rsid w:val="00B97F4D"/>
    <w:rsid w:val="00B97FCC"/>
    <w:rsid w:val="00BA004F"/>
    <w:rsid w:val="00BA019F"/>
    <w:rsid w:val="00BA02BD"/>
    <w:rsid w:val="00BA0423"/>
    <w:rsid w:val="00BA07DD"/>
    <w:rsid w:val="00BA0903"/>
    <w:rsid w:val="00BA097E"/>
    <w:rsid w:val="00BA0A10"/>
    <w:rsid w:val="00BA0CCF"/>
    <w:rsid w:val="00BA10B5"/>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C81"/>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9F"/>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EE8"/>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9E4"/>
    <w:rsid w:val="00BB4A74"/>
    <w:rsid w:val="00BB4B02"/>
    <w:rsid w:val="00BB4BB7"/>
    <w:rsid w:val="00BB4BCF"/>
    <w:rsid w:val="00BB4CA2"/>
    <w:rsid w:val="00BB4E43"/>
    <w:rsid w:val="00BB510E"/>
    <w:rsid w:val="00BB5183"/>
    <w:rsid w:val="00BB531B"/>
    <w:rsid w:val="00BB55E7"/>
    <w:rsid w:val="00BB5999"/>
    <w:rsid w:val="00BB5B6F"/>
    <w:rsid w:val="00BB5E9C"/>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2C7"/>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A"/>
    <w:rsid w:val="00BC348F"/>
    <w:rsid w:val="00BC3554"/>
    <w:rsid w:val="00BC3599"/>
    <w:rsid w:val="00BC366E"/>
    <w:rsid w:val="00BC3788"/>
    <w:rsid w:val="00BC37D3"/>
    <w:rsid w:val="00BC3958"/>
    <w:rsid w:val="00BC3C42"/>
    <w:rsid w:val="00BC3C8A"/>
    <w:rsid w:val="00BC3F21"/>
    <w:rsid w:val="00BC403C"/>
    <w:rsid w:val="00BC439D"/>
    <w:rsid w:val="00BC4522"/>
    <w:rsid w:val="00BC4A2C"/>
    <w:rsid w:val="00BC4EB7"/>
    <w:rsid w:val="00BC502C"/>
    <w:rsid w:val="00BC5489"/>
    <w:rsid w:val="00BC574C"/>
    <w:rsid w:val="00BC58B0"/>
    <w:rsid w:val="00BC5A9F"/>
    <w:rsid w:val="00BC5F48"/>
    <w:rsid w:val="00BC5F6C"/>
    <w:rsid w:val="00BC60F2"/>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66B"/>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3EF9"/>
    <w:rsid w:val="00BD4426"/>
    <w:rsid w:val="00BD464B"/>
    <w:rsid w:val="00BD467C"/>
    <w:rsid w:val="00BD4763"/>
    <w:rsid w:val="00BD47F6"/>
    <w:rsid w:val="00BD47F9"/>
    <w:rsid w:val="00BD483D"/>
    <w:rsid w:val="00BD4A94"/>
    <w:rsid w:val="00BD4DD9"/>
    <w:rsid w:val="00BD4F16"/>
    <w:rsid w:val="00BD4F56"/>
    <w:rsid w:val="00BD4F7B"/>
    <w:rsid w:val="00BD4F96"/>
    <w:rsid w:val="00BD52A6"/>
    <w:rsid w:val="00BD53E8"/>
    <w:rsid w:val="00BD56D3"/>
    <w:rsid w:val="00BD5786"/>
    <w:rsid w:val="00BD5977"/>
    <w:rsid w:val="00BD5BBE"/>
    <w:rsid w:val="00BD5C71"/>
    <w:rsid w:val="00BD5E53"/>
    <w:rsid w:val="00BD5E66"/>
    <w:rsid w:val="00BD6165"/>
    <w:rsid w:val="00BD6330"/>
    <w:rsid w:val="00BD6667"/>
    <w:rsid w:val="00BD684F"/>
    <w:rsid w:val="00BD6B2A"/>
    <w:rsid w:val="00BD6B92"/>
    <w:rsid w:val="00BD6C36"/>
    <w:rsid w:val="00BD6DC9"/>
    <w:rsid w:val="00BD6E56"/>
    <w:rsid w:val="00BD6E92"/>
    <w:rsid w:val="00BD71BA"/>
    <w:rsid w:val="00BD7461"/>
    <w:rsid w:val="00BD7499"/>
    <w:rsid w:val="00BD749F"/>
    <w:rsid w:val="00BD7514"/>
    <w:rsid w:val="00BD7519"/>
    <w:rsid w:val="00BD7592"/>
    <w:rsid w:val="00BD7A8B"/>
    <w:rsid w:val="00BD7C78"/>
    <w:rsid w:val="00BE0023"/>
    <w:rsid w:val="00BE02F5"/>
    <w:rsid w:val="00BE0307"/>
    <w:rsid w:val="00BE041B"/>
    <w:rsid w:val="00BE0449"/>
    <w:rsid w:val="00BE0565"/>
    <w:rsid w:val="00BE0573"/>
    <w:rsid w:val="00BE07C2"/>
    <w:rsid w:val="00BE08E2"/>
    <w:rsid w:val="00BE0A0C"/>
    <w:rsid w:val="00BE0B4D"/>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964"/>
    <w:rsid w:val="00BE1A65"/>
    <w:rsid w:val="00BE1F69"/>
    <w:rsid w:val="00BE1F97"/>
    <w:rsid w:val="00BE2377"/>
    <w:rsid w:val="00BE25EA"/>
    <w:rsid w:val="00BE2772"/>
    <w:rsid w:val="00BE2946"/>
    <w:rsid w:val="00BE29CA"/>
    <w:rsid w:val="00BE29E7"/>
    <w:rsid w:val="00BE2AA2"/>
    <w:rsid w:val="00BE2CBD"/>
    <w:rsid w:val="00BE2CD6"/>
    <w:rsid w:val="00BE2D5B"/>
    <w:rsid w:val="00BE2DF6"/>
    <w:rsid w:val="00BE2F20"/>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31A"/>
    <w:rsid w:val="00BF273B"/>
    <w:rsid w:val="00BF283D"/>
    <w:rsid w:val="00BF28C2"/>
    <w:rsid w:val="00BF28DB"/>
    <w:rsid w:val="00BF2B6B"/>
    <w:rsid w:val="00BF2D5C"/>
    <w:rsid w:val="00BF3315"/>
    <w:rsid w:val="00BF37D3"/>
    <w:rsid w:val="00BF37E4"/>
    <w:rsid w:val="00BF38C1"/>
    <w:rsid w:val="00BF3A26"/>
    <w:rsid w:val="00BF42A4"/>
    <w:rsid w:val="00BF4464"/>
    <w:rsid w:val="00BF44AD"/>
    <w:rsid w:val="00BF457C"/>
    <w:rsid w:val="00BF475A"/>
    <w:rsid w:val="00BF47B5"/>
    <w:rsid w:val="00BF48D2"/>
    <w:rsid w:val="00BF4A2A"/>
    <w:rsid w:val="00BF4A31"/>
    <w:rsid w:val="00BF4A61"/>
    <w:rsid w:val="00BF4B5B"/>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922"/>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76A"/>
    <w:rsid w:val="00C00838"/>
    <w:rsid w:val="00C008D7"/>
    <w:rsid w:val="00C00ABB"/>
    <w:rsid w:val="00C00B5B"/>
    <w:rsid w:val="00C00C9F"/>
    <w:rsid w:val="00C00D24"/>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59"/>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9D4"/>
    <w:rsid w:val="00C04ACF"/>
    <w:rsid w:val="00C04B26"/>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34F"/>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0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8B9"/>
    <w:rsid w:val="00C229E1"/>
    <w:rsid w:val="00C22A35"/>
    <w:rsid w:val="00C22A76"/>
    <w:rsid w:val="00C22D49"/>
    <w:rsid w:val="00C232D3"/>
    <w:rsid w:val="00C2353E"/>
    <w:rsid w:val="00C235CE"/>
    <w:rsid w:val="00C236AB"/>
    <w:rsid w:val="00C237E4"/>
    <w:rsid w:val="00C23C42"/>
    <w:rsid w:val="00C23DC3"/>
    <w:rsid w:val="00C23DDA"/>
    <w:rsid w:val="00C23DDE"/>
    <w:rsid w:val="00C2414C"/>
    <w:rsid w:val="00C24375"/>
    <w:rsid w:val="00C243F4"/>
    <w:rsid w:val="00C2445B"/>
    <w:rsid w:val="00C246C6"/>
    <w:rsid w:val="00C246E1"/>
    <w:rsid w:val="00C247A5"/>
    <w:rsid w:val="00C247CB"/>
    <w:rsid w:val="00C24868"/>
    <w:rsid w:val="00C248AD"/>
    <w:rsid w:val="00C249B9"/>
    <w:rsid w:val="00C24DA7"/>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06"/>
    <w:rsid w:val="00C32911"/>
    <w:rsid w:val="00C32C79"/>
    <w:rsid w:val="00C32F42"/>
    <w:rsid w:val="00C33191"/>
    <w:rsid w:val="00C33378"/>
    <w:rsid w:val="00C333BD"/>
    <w:rsid w:val="00C33416"/>
    <w:rsid w:val="00C3343B"/>
    <w:rsid w:val="00C33550"/>
    <w:rsid w:val="00C33854"/>
    <w:rsid w:val="00C33B6F"/>
    <w:rsid w:val="00C341B5"/>
    <w:rsid w:val="00C34203"/>
    <w:rsid w:val="00C34257"/>
    <w:rsid w:val="00C34448"/>
    <w:rsid w:val="00C347B5"/>
    <w:rsid w:val="00C34966"/>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BEC"/>
    <w:rsid w:val="00C37C97"/>
    <w:rsid w:val="00C37E0C"/>
    <w:rsid w:val="00C37E3C"/>
    <w:rsid w:val="00C37E82"/>
    <w:rsid w:val="00C4006F"/>
    <w:rsid w:val="00C40378"/>
    <w:rsid w:val="00C40461"/>
    <w:rsid w:val="00C4078E"/>
    <w:rsid w:val="00C40795"/>
    <w:rsid w:val="00C4082E"/>
    <w:rsid w:val="00C40A8D"/>
    <w:rsid w:val="00C40D72"/>
    <w:rsid w:val="00C40E22"/>
    <w:rsid w:val="00C40FD4"/>
    <w:rsid w:val="00C410CF"/>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242"/>
    <w:rsid w:val="00C45377"/>
    <w:rsid w:val="00C45416"/>
    <w:rsid w:val="00C4584A"/>
    <w:rsid w:val="00C45A79"/>
    <w:rsid w:val="00C45B88"/>
    <w:rsid w:val="00C45BAC"/>
    <w:rsid w:val="00C46083"/>
    <w:rsid w:val="00C4618A"/>
    <w:rsid w:val="00C463EC"/>
    <w:rsid w:val="00C46552"/>
    <w:rsid w:val="00C46591"/>
    <w:rsid w:val="00C467EC"/>
    <w:rsid w:val="00C46876"/>
    <w:rsid w:val="00C46940"/>
    <w:rsid w:val="00C469F3"/>
    <w:rsid w:val="00C46D51"/>
    <w:rsid w:val="00C46D8B"/>
    <w:rsid w:val="00C46FB9"/>
    <w:rsid w:val="00C47037"/>
    <w:rsid w:val="00C47207"/>
    <w:rsid w:val="00C47301"/>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35"/>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6A5"/>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AE"/>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1B3"/>
    <w:rsid w:val="00C6420F"/>
    <w:rsid w:val="00C6439A"/>
    <w:rsid w:val="00C645E1"/>
    <w:rsid w:val="00C647CB"/>
    <w:rsid w:val="00C647DC"/>
    <w:rsid w:val="00C6488F"/>
    <w:rsid w:val="00C64AF9"/>
    <w:rsid w:val="00C64B1A"/>
    <w:rsid w:val="00C64CD0"/>
    <w:rsid w:val="00C64D59"/>
    <w:rsid w:val="00C64E3D"/>
    <w:rsid w:val="00C64FF7"/>
    <w:rsid w:val="00C653AF"/>
    <w:rsid w:val="00C65592"/>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3A1"/>
    <w:rsid w:val="00C67406"/>
    <w:rsid w:val="00C6755A"/>
    <w:rsid w:val="00C675FC"/>
    <w:rsid w:val="00C6765C"/>
    <w:rsid w:val="00C676ED"/>
    <w:rsid w:val="00C6781A"/>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251"/>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4A5"/>
    <w:rsid w:val="00C776D9"/>
    <w:rsid w:val="00C778F4"/>
    <w:rsid w:val="00C77909"/>
    <w:rsid w:val="00C779CD"/>
    <w:rsid w:val="00C779F3"/>
    <w:rsid w:val="00C77FEF"/>
    <w:rsid w:val="00C80002"/>
    <w:rsid w:val="00C80066"/>
    <w:rsid w:val="00C80201"/>
    <w:rsid w:val="00C80214"/>
    <w:rsid w:val="00C80559"/>
    <w:rsid w:val="00C80BB9"/>
    <w:rsid w:val="00C80C0A"/>
    <w:rsid w:val="00C80C79"/>
    <w:rsid w:val="00C80DA6"/>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3B4"/>
    <w:rsid w:val="00C8240A"/>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E7F"/>
    <w:rsid w:val="00C83FF0"/>
    <w:rsid w:val="00C8414B"/>
    <w:rsid w:val="00C8429D"/>
    <w:rsid w:val="00C842AA"/>
    <w:rsid w:val="00C843A7"/>
    <w:rsid w:val="00C846A7"/>
    <w:rsid w:val="00C846E5"/>
    <w:rsid w:val="00C84731"/>
    <w:rsid w:val="00C847E5"/>
    <w:rsid w:val="00C84A05"/>
    <w:rsid w:val="00C84B12"/>
    <w:rsid w:val="00C84B2A"/>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6D1"/>
    <w:rsid w:val="00C90928"/>
    <w:rsid w:val="00C90B24"/>
    <w:rsid w:val="00C90EF8"/>
    <w:rsid w:val="00C90F2D"/>
    <w:rsid w:val="00C90F6B"/>
    <w:rsid w:val="00C90F9A"/>
    <w:rsid w:val="00C91158"/>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BC4"/>
    <w:rsid w:val="00C92C0D"/>
    <w:rsid w:val="00C92DEB"/>
    <w:rsid w:val="00C92EDA"/>
    <w:rsid w:val="00C92F05"/>
    <w:rsid w:val="00C93001"/>
    <w:rsid w:val="00C9308F"/>
    <w:rsid w:val="00C930EF"/>
    <w:rsid w:val="00C93100"/>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C0D"/>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7AB"/>
    <w:rsid w:val="00C97B13"/>
    <w:rsid w:val="00C97B8D"/>
    <w:rsid w:val="00C97CBB"/>
    <w:rsid w:val="00C97CF0"/>
    <w:rsid w:val="00C97E05"/>
    <w:rsid w:val="00C97EEF"/>
    <w:rsid w:val="00C97F0F"/>
    <w:rsid w:val="00CA0497"/>
    <w:rsid w:val="00CA059B"/>
    <w:rsid w:val="00CA0680"/>
    <w:rsid w:val="00CA0752"/>
    <w:rsid w:val="00CA0826"/>
    <w:rsid w:val="00CA0973"/>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6B9"/>
    <w:rsid w:val="00CA3B7F"/>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A9"/>
    <w:rsid w:val="00CB48B8"/>
    <w:rsid w:val="00CB498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600A"/>
    <w:rsid w:val="00CC603C"/>
    <w:rsid w:val="00CC61EA"/>
    <w:rsid w:val="00CC6227"/>
    <w:rsid w:val="00CC64AF"/>
    <w:rsid w:val="00CC6A0F"/>
    <w:rsid w:val="00CC6A8B"/>
    <w:rsid w:val="00CC6B8D"/>
    <w:rsid w:val="00CC6CCC"/>
    <w:rsid w:val="00CC6DBC"/>
    <w:rsid w:val="00CC6F1F"/>
    <w:rsid w:val="00CC7021"/>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63F"/>
    <w:rsid w:val="00CD17C8"/>
    <w:rsid w:val="00CD18DF"/>
    <w:rsid w:val="00CD190A"/>
    <w:rsid w:val="00CD1928"/>
    <w:rsid w:val="00CD1955"/>
    <w:rsid w:val="00CD1A68"/>
    <w:rsid w:val="00CD1B47"/>
    <w:rsid w:val="00CD21AF"/>
    <w:rsid w:val="00CD2701"/>
    <w:rsid w:val="00CD2818"/>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D1"/>
    <w:rsid w:val="00CE12EC"/>
    <w:rsid w:val="00CE1347"/>
    <w:rsid w:val="00CE145C"/>
    <w:rsid w:val="00CE17FD"/>
    <w:rsid w:val="00CE1A30"/>
    <w:rsid w:val="00CE1B7A"/>
    <w:rsid w:val="00CE1C34"/>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44D"/>
    <w:rsid w:val="00CE3663"/>
    <w:rsid w:val="00CE372B"/>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78B"/>
    <w:rsid w:val="00CE58B1"/>
    <w:rsid w:val="00CE5906"/>
    <w:rsid w:val="00CE5AAD"/>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90"/>
    <w:rsid w:val="00CF1498"/>
    <w:rsid w:val="00CF15E9"/>
    <w:rsid w:val="00CF16C1"/>
    <w:rsid w:val="00CF175F"/>
    <w:rsid w:val="00CF176B"/>
    <w:rsid w:val="00CF1821"/>
    <w:rsid w:val="00CF1914"/>
    <w:rsid w:val="00CF1A26"/>
    <w:rsid w:val="00CF1A7C"/>
    <w:rsid w:val="00CF1C40"/>
    <w:rsid w:val="00CF1DF2"/>
    <w:rsid w:val="00CF1F5C"/>
    <w:rsid w:val="00CF2009"/>
    <w:rsid w:val="00CF2056"/>
    <w:rsid w:val="00CF2243"/>
    <w:rsid w:val="00CF229B"/>
    <w:rsid w:val="00CF25A2"/>
    <w:rsid w:val="00CF263A"/>
    <w:rsid w:val="00CF2918"/>
    <w:rsid w:val="00CF29E6"/>
    <w:rsid w:val="00CF2D32"/>
    <w:rsid w:val="00CF2F3C"/>
    <w:rsid w:val="00CF306E"/>
    <w:rsid w:val="00CF3077"/>
    <w:rsid w:val="00CF34DA"/>
    <w:rsid w:val="00CF3558"/>
    <w:rsid w:val="00CF3BA7"/>
    <w:rsid w:val="00CF3EFE"/>
    <w:rsid w:val="00CF3FF4"/>
    <w:rsid w:val="00CF40F4"/>
    <w:rsid w:val="00CF42C3"/>
    <w:rsid w:val="00CF446E"/>
    <w:rsid w:val="00CF456E"/>
    <w:rsid w:val="00CF4663"/>
    <w:rsid w:val="00CF46A0"/>
    <w:rsid w:val="00CF46D3"/>
    <w:rsid w:val="00CF4743"/>
    <w:rsid w:val="00CF4909"/>
    <w:rsid w:val="00CF49A4"/>
    <w:rsid w:val="00CF4B45"/>
    <w:rsid w:val="00CF4DEC"/>
    <w:rsid w:val="00CF4FF6"/>
    <w:rsid w:val="00CF5036"/>
    <w:rsid w:val="00CF5139"/>
    <w:rsid w:val="00CF521F"/>
    <w:rsid w:val="00CF525D"/>
    <w:rsid w:val="00CF52A1"/>
    <w:rsid w:val="00CF537E"/>
    <w:rsid w:val="00CF5406"/>
    <w:rsid w:val="00CF57AA"/>
    <w:rsid w:val="00CF57C4"/>
    <w:rsid w:val="00CF597A"/>
    <w:rsid w:val="00CF5B06"/>
    <w:rsid w:val="00CF5D19"/>
    <w:rsid w:val="00CF6130"/>
    <w:rsid w:val="00CF6136"/>
    <w:rsid w:val="00CF6235"/>
    <w:rsid w:val="00CF63E5"/>
    <w:rsid w:val="00CF6442"/>
    <w:rsid w:val="00CF66AB"/>
    <w:rsid w:val="00CF67A3"/>
    <w:rsid w:val="00CF6868"/>
    <w:rsid w:val="00CF6888"/>
    <w:rsid w:val="00CF693B"/>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45C"/>
    <w:rsid w:val="00D015C2"/>
    <w:rsid w:val="00D0166F"/>
    <w:rsid w:val="00D0168E"/>
    <w:rsid w:val="00D0186D"/>
    <w:rsid w:val="00D01948"/>
    <w:rsid w:val="00D019F6"/>
    <w:rsid w:val="00D01A1F"/>
    <w:rsid w:val="00D01BF6"/>
    <w:rsid w:val="00D01E1B"/>
    <w:rsid w:val="00D01E86"/>
    <w:rsid w:val="00D02381"/>
    <w:rsid w:val="00D02710"/>
    <w:rsid w:val="00D02755"/>
    <w:rsid w:val="00D027F2"/>
    <w:rsid w:val="00D02857"/>
    <w:rsid w:val="00D028B0"/>
    <w:rsid w:val="00D029AA"/>
    <w:rsid w:val="00D029F4"/>
    <w:rsid w:val="00D02AE2"/>
    <w:rsid w:val="00D02BD9"/>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76B"/>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4F53"/>
    <w:rsid w:val="00D15000"/>
    <w:rsid w:val="00D1508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966"/>
    <w:rsid w:val="00D20A08"/>
    <w:rsid w:val="00D20EB7"/>
    <w:rsid w:val="00D20F72"/>
    <w:rsid w:val="00D20F8D"/>
    <w:rsid w:val="00D210F0"/>
    <w:rsid w:val="00D21759"/>
    <w:rsid w:val="00D21843"/>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32"/>
    <w:rsid w:val="00D2485D"/>
    <w:rsid w:val="00D24870"/>
    <w:rsid w:val="00D24C8F"/>
    <w:rsid w:val="00D25282"/>
    <w:rsid w:val="00D252C6"/>
    <w:rsid w:val="00D2562B"/>
    <w:rsid w:val="00D25A38"/>
    <w:rsid w:val="00D25A4B"/>
    <w:rsid w:val="00D25AB9"/>
    <w:rsid w:val="00D25AE4"/>
    <w:rsid w:val="00D25CA0"/>
    <w:rsid w:val="00D25E0A"/>
    <w:rsid w:val="00D25F7E"/>
    <w:rsid w:val="00D260BC"/>
    <w:rsid w:val="00D262E1"/>
    <w:rsid w:val="00D266F5"/>
    <w:rsid w:val="00D26A41"/>
    <w:rsid w:val="00D26AA2"/>
    <w:rsid w:val="00D26ADA"/>
    <w:rsid w:val="00D26B28"/>
    <w:rsid w:val="00D26B80"/>
    <w:rsid w:val="00D26F19"/>
    <w:rsid w:val="00D27149"/>
    <w:rsid w:val="00D27642"/>
    <w:rsid w:val="00D277E2"/>
    <w:rsid w:val="00D278CD"/>
    <w:rsid w:val="00D30004"/>
    <w:rsid w:val="00D3004D"/>
    <w:rsid w:val="00D30202"/>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AD6"/>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248"/>
    <w:rsid w:val="00D34BA5"/>
    <w:rsid w:val="00D34D6D"/>
    <w:rsid w:val="00D34E7D"/>
    <w:rsid w:val="00D35074"/>
    <w:rsid w:val="00D352AB"/>
    <w:rsid w:val="00D35515"/>
    <w:rsid w:val="00D35722"/>
    <w:rsid w:val="00D3575C"/>
    <w:rsid w:val="00D35824"/>
    <w:rsid w:val="00D35865"/>
    <w:rsid w:val="00D35AA0"/>
    <w:rsid w:val="00D35C5B"/>
    <w:rsid w:val="00D35D7E"/>
    <w:rsid w:val="00D35DF4"/>
    <w:rsid w:val="00D35E33"/>
    <w:rsid w:val="00D35E94"/>
    <w:rsid w:val="00D360C3"/>
    <w:rsid w:val="00D363D1"/>
    <w:rsid w:val="00D36435"/>
    <w:rsid w:val="00D36546"/>
    <w:rsid w:val="00D366F4"/>
    <w:rsid w:val="00D367E0"/>
    <w:rsid w:val="00D3692C"/>
    <w:rsid w:val="00D36B4F"/>
    <w:rsid w:val="00D36C51"/>
    <w:rsid w:val="00D370D2"/>
    <w:rsid w:val="00D37296"/>
    <w:rsid w:val="00D373AC"/>
    <w:rsid w:val="00D3753E"/>
    <w:rsid w:val="00D3761D"/>
    <w:rsid w:val="00D3791D"/>
    <w:rsid w:val="00D37924"/>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2"/>
    <w:rsid w:val="00D41B94"/>
    <w:rsid w:val="00D41CB5"/>
    <w:rsid w:val="00D41D7B"/>
    <w:rsid w:val="00D420EE"/>
    <w:rsid w:val="00D42159"/>
    <w:rsid w:val="00D4234D"/>
    <w:rsid w:val="00D42388"/>
    <w:rsid w:val="00D423AE"/>
    <w:rsid w:val="00D42797"/>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3F1C"/>
    <w:rsid w:val="00D4454F"/>
    <w:rsid w:val="00D44848"/>
    <w:rsid w:val="00D44A20"/>
    <w:rsid w:val="00D44A89"/>
    <w:rsid w:val="00D44B32"/>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7A1"/>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8CA"/>
    <w:rsid w:val="00D50953"/>
    <w:rsid w:val="00D50BC7"/>
    <w:rsid w:val="00D50C37"/>
    <w:rsid w:val="00D50CA5"/>
    <w:rsid w:val="00D50E67"/>
    <w:rsid w:val="00D5101E"/>
    <w:rsid w:val="00D51028"/>
    <w:rsid w:val="00D5105C"/>
    <w:rsid w:val="00D51115"/>
    <w:rsid w:val="00D5126E"/>
    <w:rsid w:val="00D512F4"/>
    <w:rsid w:val="00D5152C"/>
    <w:rsid w:val="00D51D15"/>
    <w:rsid w:val="00D51FE3"/>
    <w:rsid w:val="00D52007"/>
    <w:rsid w:val="00D52191"/>
    <w:rsid w:val="00D5224E"/>
    <w:rsid w:val="00D52276"/>
    <w:rsid w:val="00D5242B"/>
    <w:rsid w:val="00D526B7"/>
    <w:rsid w:val="00D5296F"/>
    <w:rsid w:val="00D529D8"/>
    <w:rsid w:val="00D52B00"/>
    <w:rsid w:val="00D533BD"/>
    <w:rsid w:val="00D53501"/>
    <w:rsid w:val="00D535D7"/>
    <w:rsid w:val="00D53A2D"/>
    <w:rsid w:val="00D53B02"/>
    <w:rsid w:val="00D53C72"/>
    <w:rsid w:val="00D54299"/>
    <w:rsid w:val="00D54399"/>
    <w:rsid w:val="00D5483A"/>
    <w:rsid w:val="00D5484C"/>
    <w:rsid w:val="00D54937"/>
    <w:rsid w:val="00D54A68"/>
    <w:rsid w:val="00D54BCA"/>
    <w:rsid w:val="00D54D4A"/>
    <w:rsid w:val="00D54DD5"/>
    <w:rsid w:val="00D54DF1"/>
    <w:rsid w:val="00D54F96"/>
    <w:rsid w:val="00D54FDC"/>
    <w:rsid w:val="00D5511B"/>
    <w:rsid w:val="00D555F4"/>
    <w:rsid w:val="00D5574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46"/>
    <w:rsid w:val="00D57C62"/>
    <w:rsid w:val="00D57C79"/>
    <w:rsid w:val="00D57D3D"/>
    <w:rsid w:val="00D57E42"/>
    <w:rsid w:val="00D60160"/>
    <w:rsid w:val="00D60183"/>
    <w:rsid w:val="00D602BF"/>
    <w:rsid w:val="00D603C4"/>
    <w:rsid w:val="00D604E6"/>
    <w:rsid w:val="00D60534"/>
    <w:rsid w:val="00D605DA"/>
    <w:rsid w:val="00D60752"/>
    <w:rsid w:val="00D607F8"/>
    <w:rsid w:val="00D609A0"/>
    <w:rsid w:val="00D60B12"/>
    <w:rsid w:val="00D60D30"/>
    <w:rsid w:val="00D60D80"/>
    <w:rsid w:val="00D60E19"/>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1F46"/>
    <w:rsid w:val="00D620B5"/>
    <w:rsid w:val="00D621F6"/>
    <w:rsid w:val="00D62438"/>
    <w:rsid w:val="00D6276A"/>
    <w:rsid w:val="00D6284B"/>
    <w:rsid w:val="00D628E8"/>
    <w:rsid w:val="00D6290F"/>
    <w:rsid w:val="00D62A44"/>
    <w:rsid w:val="00D62F50"/>
    <w:rsid w:val="00D632B1"/>
    <w:rsid w:val="00D63590"/>
    <w:rsid w:val="00D6386D"/>
    <w:rsid w:val="00D63A0D"/>
    <w:rsid w:val="00D63A40"/>
    <w:rsid w:val="00D63B51"/>
    <w:rsid w:val="00D63B9A"/>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B6"/>
    <w:rsid w:val="00D65EF2"/>
    <w:rsid w:val="00D66157"/>
    <w:rsid w:val="00D66189"/>
    <w:rsid w:val="00D66288"/>
    <w:rsid w:val="00D662EB"/>
    <w:rsid w:val="00D663C5"/>
    <w:rsid w:val="00D663EC"/>
    <w:rsid w:val="00D66581"/>
    <w:rsid w:val="00D666C3"/>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4A"/>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68C"/>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2E9"/>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A1"/>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E9"/>
    <w:rsid w:val="00D85FF1"/>
    <w:rsid w:val="00D860D6"/>
    <w:rsid w:val="00D861AB"/>
    <w:rsid w:val="00D862E4"/>
    <w:rsid w:val="00D86788"/>
    <w:rsid w:val="00D867C0"/>
    <w:rsid w:val="00D86895"/>
    <w:rsid w:val="00D86B0C"/>
    <w:rsid w:val="00D87135"/>
    <w:rsid w:val="00D871BD"/>
    <w:rsid w:val="00D872D3"/>
    <w:rsid w:val="00D87594"/>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5E6"/>
    <w:rsid w:val="00D926FE"/>
    <w:rsid w:val="00D92A16"/>
    <w:rsid w:val="00D92A5D"/>
    <w:rsid w:val="00D92CA0"/>
    <w:rsid w:val="00D92CE0"/>
    <w:rsid w:val="00D92DF8"/>
    <w:rsid w:val="00D92EC5"/>
    <w:rsid w:val="00D92F0A"/>
    <w:rsid w:val="00D92F6F"/>
    <w:rsid w:val="00D9323C"/>
    <w:rsid w:val="00D933CF"/>
    <w:rsid w:val="00D934D0"/>
    <w:rsid w:val="00D93678"/>
    <w:rsid w:val="00D936E3"/>
    <w:rsid w:val="00D93AE7"/>
    <w:rsid w:val="00D93C80"/>
    <w:rsid w:val="00D93D29"/>
    <w:rsid w:val="00D93D86"/>
    <w:rsid w:val="00D93F1C"/>
    <w:rsid w:val="00D93F3E"/>
    <w:rsid w:val="00D93F74"/>
    <w:rsid w:val="00D94015"/>
    <w:rsid w:val="00D94692"/>
    <w:rsid w:val="00D94B7D"/>
    <w:rsid w:val="00D94C27"/>
    <w:rsid w:val="00D94CC8"/>
    <w:rsid w:val="00D950E5"/>
    <w:rsid w:val="00D95302"/>
    <w:rsid w:val="00D9534D"/>
    <w:rsid w:val="00D956AA"/>
    <w:rsid w:val="00D95733"/>
    <w:rsid w:val="00D959D4"/>
    <w:rsid w:val="00D95A4D"/>
    <w:rsid w:val="00D95BB6"/>
    <w:rsid w:val="00D95CD2"/>
    <w:rsid w:val="00D95F46"/>
    <w:rsid w:val="00D9621C"/>
    <w:rsid w:val="00D962E9"/>
    <w:rsid w:val="00D966EF"/>
    <w:rsid w:val="00D96984"/>
    <w:rsid w:val="00D96C84"/>
    <w:rsid w:val="00D96DD1"/>
    <w:rsid w:val="00D96E4C"/>
    <w:rsid w:val="00D96F99"/>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500"/>
    <w:rsid w:val="00DA1752"/>
    <w:rsid w:val="00DA1856"/>
    <w:rsid w:val="00DA1933"/>
    <w:rsid w:val="00DA195D"/>
    <w:rsid w:val="00DA1CF6"/>
    <w:rsid w:val="00DA1EBA"/>
    <w:rsid w:val="00DA214B"/>
    <w:rsid w:val="00DA2195"/>
    <w:rsid w:val="00DA22F5"/>
    <w:rsid w:val="00DA23C4"/>
    <w:rsid w:val="00DA255A"/>
    <w:rsid w:val="00DA25EB"/>
    <w:rsid w:val="00DA26C7"/>
    <w:rsid w:val="00DA2797"/>
    <w:rsid w:val="00DA2D5A"/>
    <w:rsid w:val="00DA2FDC"/>
    <w:rsid w:val="00DA304E"/>
    <w:rsid w:val="00DA30D2"/>
    <w:rsid w:val="00DA3166"/>
    <w:rsid w:val="00DA3209"/>
    <w:rsid w:val="00DA32A2"/>
    <w:rsid w:val="00DA32E8"/>
    <w:rsid w:val="00DA346C"/>
    <w:rsid w:val="00DA3629"/>
    <w:rsid w:val="00DA3631"/>
    <w:rsid w:val="00DA3797"/>
    <w:rsid w:val="00DA3846"/>
    <w:rsid w:val="00DA3A8B"/>
    <w:rsid w:val="00DA3B3D"/>
    <w:rsid w:val="00DA3D43"/>
    <w:rsid w:val="00DA4122"/>
    <w:rsid w:val="00DA41BD"/>
    <w:rsid w:val="00DA4377"/>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31D"/>
    <w:rsid w:val="00DA644D"/>
    <w:rsid w:val="00DA6688"/>
    <w:rsid w:val="00DA66FA"/>
    <w:rsid w:val="00DA6722"/>
    <w:rsid w:val="00DA67BD"/>
    <w:rsid w:val="00DA68F9"/>
    <w:rsid w:val="00DA6941"/>
    <w:rsid w:val="00DA6AF3"/>
    <w:rsid w:val="00DA6B66"/>
    <w:rsid w:val="00DA6BAD"/>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07"/>
    <w:rsid w:val="00DB0883"/>
    <w:rsid w:val="00DB0CEF"/>
    <w:rsid w:val="00DB0D3B"/>
    <w:rsid w:val="00DB0E92"/>
    <w:rsid w:val="00DB0ECF"/>
    <w:rsid w:val="00DB11D2"/>
    <w:rsid w:val="00DB13CE"/>
    <w:rsid w:val="00DB151C"/>
    <w:rsid w:val="00DB1770"/>
    <w:rsid w:val="00DB17B4"/>
    <w:rsid w:val="00DB1826"/>
    <w:rsid w:val="00DB1857"/>
    <w:rsid w:val="00DB19FF"/>
    <w:rsid w:val="00DB1B90"/>
    <w:rsid w:val="00DB1BE9"/>
    <w:rsid w:val="00DB1CF8"/>
    <w:rsid w:val="00DB1E0D"/>
    <w:rsid w:val="00DB26BE"/>
    <w:rsid w:val="00DB2750"/>
    <w:rsid w:val="00DB292D"/>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4B4"/>
    <w:rsid w:val="00DB65AA"/>
    <w:rsid w:val="00DB65C0"/>
    <w:rsid w:val="00DB6617"/>
    <w:rsid w:val="00DB68FD"/>
    <w:rsid w:val="00DB6A01"/>
    <w:rsid w:val="00DB6B85"/>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38A"/>
    <w:rsid w:val="00DC1496"/>
    <w:rsid w:val="00DC156E"/>
    <w:rsid w:val="00DC15DF"/>
    <w:rsid w:val="00DC166C"/>
    <w:rsid w:val="00DC177C"/>
    <w:rsid w:val="00DC1798"/>
    <w:rsid w:val="00DC1813"/>
    <w:rsid w:val="00DC1896"/>
    <w:rsid w:val="00DC1A27"/>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A10"/>
    <w:rsid w:val="00DC3BFA"/>
    <w:rsid w:val="00DC3C2A"/>
    <w:rsid w:val="00DC3D33"/>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8B3"/>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519"/>
    <w:rsid w:val="00DC77EB"/>
    <w:rsid w:val="00DC7A33"/>
    <w:rsid w:val="00DC7EF1"/>
    <w:rsid w:val="00DD0112"/>
    <w:rsid w:val="00DD0193"/>
    <w:rsid w:val="00DD02E9"/>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ABD"/>
    <w:rsid w:val="00DD1DF8"/>
    <w:rsid w:val="00DD21B2"/>
    <w:rsid w:val="00DD2431"/>
    <w:rsid w:val="00DD2613"/>
    <w:rsid w:val="00DD297D"/>
    <w:rsid w:val="00DD29DC"/>
    <w:rsid w:val="00DD2D69"/>
    <w:rsid w:val="00DD2E78"/>
    <w:rsid w:val="00DD316C"/>
    <w:rsid w:val="00DD385D"/>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4F1"/>
    <w:rsid w:val="00DD775D"/>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4EB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844"/>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B1"/>
    <w:rsid w:val="00DF50F8"/>
    <w:rsid w:val="00DF5172"/>
    <w:rsid w:val="00DF5292"/>
    <w:rsid w:val="00DF5360"/>
    <w:rsid w:val="00DF5544"/>
    <w:rsid w:val="00DF5B9E"/>
    <w:rsid w:val="00DF604A"/>
    <w:rsid w:val="00DF6082"/>
    <w:rsid w:val="00DF6B06"/>
    <w:rsid w:val="00DF6BF7"/>
    <w:rsid w:val="00DF6CA8"/>
    <w:rsid w:val="00DF6D97"/>
    <w:rsid w:val="00DF6E3A"/>
    <w:rsid w:val="00DF6ECD"/>
    <w:rsid w:val="00DF6F13"/>
    <w:rsid w:val="00DF732A"/>
    <w:rsid w:val="00DF7371"/>
    <w:rsid w:val="00DF7566"/>
    <w:rsid w:val="00DF7661"/>
    <w:rsid w:val="00DF771E"/>
    <w:rsid w:val="00DF78D1"/>
    <w:rsid w:val="00DF7902"/>
    <w:rsid w:val="00DF7AC4"/>
    <w:rsid w:val="00DF7B6C"/>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EE0"/>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4F95"/>
    <w:rsid w:val="00E050F1"/>
    <w:rsid w:val="00E05543"/>
    <w:rsid w:val="00E05609"/>
    <w:rsid w:val="00E05662"/>
    <w:rsid w:val="00E058BE"/>
    <w:rsid w:val="00E05AD8"/>
    <w:rsid w:val="00E05CBB"/>
    <w:rsid w:val="00E05EFD"/>
    <w:rsid w:val="00E05F81"/>
    <w:rsid w:val="00E06170"/>
    <w:rsid w:val="00E06184"/>
    <w:rsid w:val="00E06392"/>
    <w:rsid w:val="00E067A6"/>
    <w:rsid w:val="00E06A61"/>
    <w:rsid w:val="00E06AC4"/>
    <w:rsid w:val="00E06B60"/>
    <w:rsid w:val="00E06DA4"/>
    <w:rsid w:val="00E06EBE"/>
    <w:rsid w:val="00E07482"/>
    <w:rsid w:val="00E0767B"/>
    <w:rsid w:val="00E077C2"/>
    <w:rsid w:val="00E07AD9"/>
    <w:rsid w:val="00E07AE2"/>
    <w:rsid w:val="00E07AF8"/>
    <w:rsid w:val="00E07B73"/>
    <w:rsid w:val="00E07C3A"/>
    <w:rsid w:val="00E07D56"/>
    <w:rsid w:val="00E101D4"/>
    <w:rsid w:val="00E10526"/>
    <w:rsid w:val="00E10534"/>
    <w:rsid w:val="00E10666"/>
    <w:rsid w:val="00E106E7"/>
    <w:rsid w:val="00E107FE"/>
    <w:rsid w:val="00E108CD"/>
    <w:rsid w:val="00E109B0"/>
    <w:rsid w:val="00E109D1"/>
    <w:rsid w:val="00E10BD4"/>
    <w:rsid w:val="00E10E52"/>
    <w:rsid w:val="00E10E5A"/>
    <w:rsid w:val="00E10EAA"/>
    <w:rsid w:val="00E1130A"/>
    <w:rsid w:val="00E114AD"/>
    <w:rsid w:val="00E11C69"/>
    <w:rsid w:val="00E11C96"/>
    <w:rsid w:val="00E11E48"/>
    <w:rsid w:val="00E11EA2"/>
    <w:rsid w:val="00E11ECF"/>
    <w:rsid w:val="00E11F66"/>
    <w:rsid w:val="00E12152"/>
    <w:rsid w:val="00E122E5"/>
    <w:rsid w:val="00E125D8"/>
    <w:rsid w:val="00E12856"/>
    <w:rsid w:val="00E12AEA"/>
    <w:rsid w:val="00E12DD6"/>
    <w:rsid w:val="00E12DFE"/>
    <w:rsid w:val="00E1307D"/>
    <w:rsid w:val="00E131D3"/>
    <w:rsid w:val="00E1336C"/>
    <w:rsid w:val="00E13481"/>
    <w:rsid w:val="00E134CD"/>
    <w:rsid w:val="00E135BE"/>
    <w:rsid w:val="00E1361C"/>
    <w:rsid w:val="00E136A9"/>
    <w:rsid w:val="00E137E9"/>
    <w:rsid w:val="00E13893"/>
    <w:rsid w:val="00E13EE7"/>
    <w:rsid w:val="00E13EFE"/>
    <w:rsid w:val="00E13F40"/>
    <w:rsid w:val="00E13FA3"/>
    <w:rsid w:val="00E13FC0"/>
    <w:rsid w:val="00E14221"/>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E5"/>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93"/>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BC"/>
    <w:rsid w:val="00E272BC"/>
    <w:rsid w:val="00E27323"/>
    <w:rsid w:val="00E2737D"/>
    <w:rsid w:val="00E27646"/>
    <w:rsid w:val="00E27709"/>
    <w:rsid w:val="00E277E6"/>
    <w:rsid w:val="00E277FD"/>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066"/>
    <w:rsid w:val="00E3112D"/>
    <w:rsid w:val="00E3144F"/>
    <w:rsid w:val="00E3159A"/>
    <w:rsid w:val="00E3182A"/>
    <w:rsid w:val="00E31A4D"/>
    <w:rsid w:val="00E31B01"/>
    <w:rsid w:val="00E31B99"/>
    <w:rsid w:val="00E31F25"/>
    <w:rsid w:val="00E32234"/>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C7A"/>
    <w:rsid w:val="00E33E43"/>
    <w:rsid w:val="00E33F6C"/>
    <w:rsid w:val="00E3403E"/>
    <w:rsid w:val="00E340CE"/>
    <w:rsid w:val="00E34179"/>
    <w:rsid w:val="00E34440"/>
    <w:rsid w:val="00E346D4"/>
    <w:rsid w:val="00E34914"/>
    <w:rsid w:val="00E34A20"/>
    <w:rsid w:val="00E34ABC"/>
    <w:rsid w:val="00E34B0D"/>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608"/>
    <w:rsid w:val="00E376D5"/>
    <w:rsid w:val="00E3776D"/>
    <w:rsid w:val="00E378F3"/>
    <w:rsid w:val="00E378FC"/>
    <w:rsid w:val="00E3797B"/>
    <w:rsid w:val="00E379E6"/>
    <w:rsid w:val="00E37BA5"/>
    <w:rsid w:val="00E37CED"/>
    <w:rsid w:val="00E37D58"/>
    <w:rsid w:val="00E37D8F"/>
    <w:rsid w:val="00E37F41"/>
    <w:rsid w:val="00E37F5B"/>
    <w:rsid w:val="00E37F6B"/>
    <w:rsid w:val="00E400A3"/>
    <w:rsid w:val="00E40445"/>
    <w:rsid w:val="00E40793"/>
    <w:rsid w:val="00E40936"/>
    <w:rsid w:val="00E40C36"/>
    <w:rsid w:val="00E40C6B"/>
    <w:rsid w:val="00E40DF7"/>
    <w:rsid w:val="00E40EDE"/>
    <w:rsid w:val="00E40F21"/>
    <w:rsid w:val="00E41053"/>
    <w:rsid w:val="00E410C2"/>
    <w:rsid w:val="00E414A1"/>
    <w:rsid w:val="00E418CA"/>
    <w:rsid w:val="00E41B11"/>
    <w:rsid w:val="00E41B3A"/>
    <w:rsid w:val="00E41CD9"/>
    <w:rsid w:val="00E41F38"/>
    <w:rsid w:val="00E41FB8"/>
    <w:rsid w:val="00E41FEF"/>
    <w:rsid w:val="00E42082"/>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5A9"/>
    <w:rsid w:val="00E44DEC"/>
    <w:rsid w:val="00E45127"/>
    <w:rsid w:val="00E451A1"/>
    <w:rsid w:val="00E451CF"/>
    <w:rsid w:val="00E4536C"/>
    <w:rsid w:val="00E45376"/>
    <w:rsid w:val="00E45401"/>
    <w:rsid w:val="00E456DB"/>
    <w:rsid w:val="00E45809"/>
    <w:rsid w:val="00E45963"/>
    <w:rsid w:val="00E4598D"/>
    <w:rsid w:val="00E459FE"/>
    <w:rsid w:val="00E45AFE"/>
    <w:rsid w:val="00E45B5C"/>
    <w:rsid w:val="00E45BEF"/>
    <w:rsid w:val="00E45E06"/>
    <w:rsid w:val="00E45E1C"/>
    <w:rsid w:val="00E460E0"/>
    <w:rsid w:val="00E4623A"/>
    <w:rsid w:val="00E46246"/>
    <w:rsid w:val="00E462F9"/>
    <w:rsid w:val="00E4643E"/>
    <w:rsid w:val="00E4647B"/>
    <w:rsid w:val="00E46616"/>
    <w:rsid w:val="00E46686"/>
    <w:rsid w:val="00E4676E"/>
    <w:rsid w:val="00E4696C"/>
    <w:rsid w:val="00E4698A"/>
    <w:rsid w:val="00E46A8F"/>
    <w:rsid w:val="00E46C46"/>
    <w:rsid w:val="00E46DF2"/>
    <w:rsid w:val="00E46FEF"/>
    <w:rsid w:val="00E470ED"/>
    <w:rsid w:val="00E47109"/>
    <w:rsid w:val="00E4738D"/>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2B43"/>
    <w:rsid w:val="00E53023"/>
    <w:rsid w:val="00E530F5"/>
    <w:rsid w:val="00E53197"/>
    <w:rsid w:val="00E53292"/>
    <w:rsid w:val="00E53454"/>
    <w:rsid w:val="00E53537"/>
    <w:rsid w:val="00E537F7"/>
    <w:rsid w:val="00E53B8B"/>
    <w:rsid w:val="00E53CA9"/>
    <w:rsid w:val="00E53D49"/>
    <w:rsid w:val="00E540CA"/>
    <w:rsid w:val="00E541DC"/>
    <w:rsid w:val="00E541EA"/>
    <w:rsid w:val="00E54316"/>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63"/>
    <w:rsid w:val="00E55F82"/>
    <w:rsid w:val="00E56296"/>
    <w:rsid w:val="00E562DB"/>
    <w:rsid w:val="00E5631D"/>
    <w:rsid w:val="00E56415"/>
    <w:rsid w:val="00E56920"/>
    <w:rsid w:val="00E5699C"/>
    <w:rsid w:val="00E56C54"/>
    <w:rsid w:val="00E5710B"/>
    <w:rsid w:val="00E57298"/>
    <w:rsid w:val="00E57303"/>
    <w:rsid w:val="00E5753F"/>
    <w:rsid w:val="00E575C5"/>
    <w:rsid w:val="00E577EE"/>
    <w:rsid w:val="00E578A0"/>
    <w:rsid w:val="00E57CA0"/>
    <w:rsid w:val="00E57E3F"/>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A26"/>
    <w:rsid w:val="00E61C18"/>
    <w:rsid w:val="00E61DB5"/>
    <w:rsid w:val="00E620AB"/>
    <w:rsid w:val="00E6228B"/>
    <w:rsid w:val="00E62300"/>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3B4"/>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5CC"/>
    <w:rsid w:val="00E715EA"/>
    <w:rsid w:val="00E71860"/>
    <w:rsid w:val="00E718BA"/>
    <w:rsid w:val="00E718DD"/>
    <w:rsid w:val="00E71957"/>
    <w:rsid w:val="00E71BD6"/>
    <w:rsid w:val="00E71D9E"/>
    <w:rsid w:val="00E720A0"/>
    <w:rsid w:val="00E720BF"/>
    <w:rsid w:val="00E721F1"/>
    <w:rsid w:val="00E723A7"/>
    <w:rsid w:val="00E72410"/>
    <w:rsid w:val="00E72506"/>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57E"/>
    <w:rsid w:val="00E745F1"/>
    <w:rsid w:val="00E74668"/>
    <w:rsid w:val="00E74DD4"/>
    <w:rsid w:val="00E74DF9"/>
    <w:rsid w:val="00E74E8D"/>
    <w:rsid w:val="00E751F5"/>
    <w:rsid w:val="00E751FF"/>
    <w:rsid w:val="00E75223"/>
    <w:rsid w:val="00E75232"/>
    <w:rsid w:val="00E7560A"/>
    <w:rsid w:val="00E7568E"/>
    <w:rsid w:val="00E756CE"/>
    <w:rsid w:val="00E75AB3"/>
    <w:rsid w:val="00E75D04"/>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24"/>
    <w:rsid w:val="00E84D92"/>
    <w:rsid w:val="00E851BE"/>
    <w:rsid w:val="00E851D4"/>
    <w:rsid w:val="00E8529C"/>
    <w:rsid w:val="00E8535A"/>
    <w:rsid w:val="00E85367"/>
    <w:rsid w:val="00E8566D"/>
    <w:rsid w:val="00E8572B"/>
    <w:rsid w:val="00E859BC"/>
    <w:rsid w:val="00E85AE2"/>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68C"/>
    <w:rsid w:val="00E90749"/>
    <w:rsid w:val="00E907AF"/>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AE0"/>
    <w:rsid w:val="00E92E7A"/>
    <w:rsid w:val="00E92ED4"/>
    <w:rsid w:val="00E934A5"/>
    <w:rsid w:val="00E93518"/>
    <w:rsid w:val="00E93700"/>
    <w:rsid w:val="00E9389F"/>
    <w:rsid w:val="00E938D7"/>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7DE"/>
    <w:rsid w:val="00E95827"/>
    <w:rsid w:val="00E95849"/>
    <w:rsid w:val="00E95C2D"/>
    <w:rsid w:val="00E95CB2"/>
    <w:rsid w:val="00E95DB1"/>
    <w:rsid w:val="00E9605B"/>
    <w:rsid w:val="00E962EB"/>
    <w:rsid w:val="00E96392"/>
    <w:rsid w:val="00E9643A"/>
    <w:rsid w:val="00E967AA"/>
    <w:rsid w:val="00E9686D"/>
    <w:rsid w:val="00E96981"/>
    <w:rsid w:val="00E96B1F"/>
    <w:rsid w:val="00E96F93"/>
    <w:rsid w:val="00E96FE8"/>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0F09"/>
    <w:rsid w:val="00EA107A"/>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990"/>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84"/>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876"/>
    <w:rsid w:val="00EB098C"/>
    <w:rsid w:val="00EB0991"/>
    <w:rsid w:val="00EB0B74"/>
    <w:rsid w:val="00EB0DFB"/>
    <w:rsid w:val="00EB0E51"/>
    <w:rsid w:val="00EB0E57"/>
    <w:rsid w:val="00EB0E98"/>
    <w:rsid w:val="00EB0F04"/>
    <w:rsid w:val="00EB0F44"/>
    <w:rsid w:val="00EB10E5"/>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75"/>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1D7"/>
    <w:rsid w:val="00EB61FC"/>
    <w:rsid w:val="00EB6379"/>
    <w:rsid w:val="00EB646D"/>
    <w:rsid w:val="00EB65EB"/>
    <w:rsid w:val="00EB6767"/>
    <w:rsid w:val="00EB6799"/>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048"/>
    <w:rsid w:val="00EC41F5"/>
    <w:rsid w:val="00EC4277"/>
    <w:rsid w:val="00EC42F1"/>
    <w:rsid w:val="00EC454E"/>
    <w:rsid w:val="00EC4827"/>
    <w:rsid w:val="00EC4910"/>
    <w:rsid w:val="00EC49FB"/>
    <w:rsid w:val="00EC4AE0"/>
    <w:rsid w:val="00EC4BB4"/>
    <w:rsid w:val="00EC4C48"/>
    <w:rsid w:val="00EC4C68"/>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DD3"/>
    <w:rsid w:val="00EC6F45"/>
    <w:rsid w:val="00EC6F9D"/>
    <w:rsid w:val="00EC7181"/>
    <w:rsid w:val="00EC719E"/>
    <w:rsid w:val="00EC71E6"/>
    <w:rsid w:val="00EC71EB"/>
    <w:rsid w:val="00EC7436"/>
    <w:rsid w:val="00EC76D1"/>
    <w:rsid w:val="00EC7991"/>
    <w:rsid w:val="00EC7AA0"/>
    <w:rsid w:val="00EC7BAB"/>
    <w:rsid w:val="00ED042D"/>
    <w:rsid w:val="00ED056E"/>
    <w:rsid w:val="00ED062B"/>
    <w:rsid w:val="00ED06DE"/>
    <w:rsid w:val="00ED06F5"/>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BC8"/>
    <w:rsid w:val="00ED1CA9"/>
    <w:rsid w:val="00ED1CAD"/>
    <w:rsid w:val="00ED1F57"/>
    <w:rsid w:val="00ED2023"/>
    <w:rsid w:val="00ED23F1"/>
    <w:rsid w:val="00ED25A4"/>
    <w:rsid w:val="00ED26AF"/>
    <w:rsid w:val="00ED281E"/>
    <w:rsid w:val="00ED2D66"/>
    <w:rsid w:val="00ED2D72"/>
    <w:rsid w:val="00ED2DA7"/>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6D"/>
    <w:rsid w:val="00ED42A7"/>
    <w:rsid w:val="00ED43B3"/>
    <w:rsid w:val="00ED45B5"/>
    <w:rsid w:val="00ED4922"/>
    <w:rsid w:val="00ED4CB3"/>
    <w:rsid w:val="00ED4F20"/>
    <w:rsid w:val="00ED5054"/>
    <w:rsid w:val="00ED5058"/>
    <w:rsid w:val="00ED5464"/>
    <w:rsid w:val="00ED550A"/>
    <w:rsid w:val="00ED58AF"/>
    <w:rsid w:val="00ED58CD"/>
    <w:rsid w:val="00ED5917"/>
    <w:rsid w:val="00ED5A21"/>
    <w:rsid w:val="00ED5BBE"/>
    <w:rsid w:val="00ED5CDA"/>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8F7"/>
    <w:rsid w:val="00ED7AB1"/>
    <w:rsid w:val="00ED7ACB"/>
    <w:rsid w:val="00ED7AF3"/>
    <w:rsid w:val="00ED7B86"/>
    <w:rsid w:val="00ED7CC0"/>
    <w:rsid w:val="00ED7EDA"/>
    <w:rsid w:val="00ED7FCA"/>
    <w:rsid w:val="00EE032D"/>
    <w:rsid w:val="00EE04AA"/>
    <w:rsid w:val="00EE0531"/>
    <w:rsid w:val="00EE0541"/>
    <w:rsid w:val="00EE07E0"/>
    <w:rsid w:val="00EE081A"/>
    <w:rsid w:val="00EE0AD0"/>
    <w:rsid w:val="00EE0F66"/>
    <w:rsid w:val="00EE1073"/>
    <w:rsid w:val="00EE12A2"/>
    <w:rsid w:val="00EE1389"/>
    <w:rsid w:val="00EE1699"/>
    <w:rsid w:val="00EE1726"/>
    <w:rsid w:val="00EE186D"/>
    <w:rsid w:val="00EE1B49"/>
    <w:rsid w:val="00EE1D17"/>
    <w:rsid w:val="00EE2068"/>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422"/>
    <w:rsid w:val="00EE5694"/>
    <w:rsid w:val="00EE5AF6"/>
    <w:rsid w:val="00EE5B9B"/>
    <w:rsid w:val="00EE5E2A"/>
    <w:rsid w:val="00EE60C8"/>
    <w:rsid w:val="00EE622E"/>
    <w:rsid w:val="00EE6419"/>
    <w:rsid w:val="00EE651E"/>
    <w:rsid w:val="00EE6544"/>
    <w:rsid w:val="00EE6558"/>
    <w:rsid w:val="00EE69DD"/>
    <w:rsid w:val="00EE6B7E"/>
    <w:rsid w:val="00EE7090"/>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3FB"/>
    <w:rsid w:val="00EF04AF"/>
    <w:rsid w:val="00EF06A8"/>
    <w:rsid w:val="00EF07CE"/>
    <w:rsid w:val="00EF0891"/>
    <w:rsid w:val="00EF0A0C"/>
    <w:rsid w:val="00EF0A24"/>
    <w:rsid w:val="00EF0A2C"/>
    <w:rsid w:val="00EF0B21"/>
    <w:rsid w:val="00EF0CF6"/>
    <w:rsid w:val="00EF0F97"/>
    <w:rsid w:val="00EF123B"/>
    <w:rsid w:val="00EF13EC"/>
    <w:rsid w:val="00EF14FC"/>
    <w:rsid w:val="00EF15C6"/>
    <w:rsid w:val="00EF16A0"/>
    <w:rsid w:val="00EF1B24"/>
    <w:rsid w:val="00EF1C68"/>
    <w:rsid w:val="00EF2168"/>
    <w:rsid w:val="00EF254C"/>
    <w:rsid w:val="00EF2585"/>
    <w:rsid w:val="00EF2587"/>
    <w:rsid w:val="00EF28CD"/>
    <w:rsid w:val="00EF293B"/>
    <w:rsid w:val="00EF29A0"/>
    <w:rsid w:val="00EF2B71"/>
    <w:rsid w:val="00EF2D68"/>
    <w:rsid w:val="00EF2E74"/>
    <w:rsid w:val="00EF32D7"/>
    <w:rsid w:val="00EF33F9"/>
    <w:rsid w:val="00EF343A"/>
    <w:rsid w:val="00EF349A"/>
    <w:rsid w:val="00EF3587"/>
    <w:rsid w:val="00EF3652"/>
    <w:rsid w:val="00EF3816"/>
    <w:rsid w:val="00EF3962"/>
    <w:rsid w:val="00EF3A13"/>
    <w:rsid w:val="00EF3D70"/>
    <w:rsid w:val="00EF3EA3"/>
    <w:rsid w:val="00EF4009"/>
    <w:rsid w:val="00EF4070"/>
    <w:rsid w:val="00EF40A7"/>
    <w:rsid w:val="00EF45F2"/>
    <w:rsid w:val="00EF469A"/>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0AB"/>
    <w:rsid w:val="00EF7252"/>
    <w:rsid w:val="00EF72B1"/>
    <w:rsid w:val="00EF759F"/>
    <w:rsid w:val="00EF75EA"/>
    <w:rsid w:val="00EF7672"/>
    <w:rsid w:val="00EF7696"/>
    <w:rsid w:val="00EF76A1"/>
    <w:rsid w:val="00EF7742"/>
    <w:rsid w:val="00EF7825"/>
    <w:rsid w:val="00EF78E7"/>
    <w:rsid w:val="00EF799C"/>
    <w:rsid w:val="00EF7C24"/>
    <w:rsid w:val="00EF7CA0"/>
    <w:rsid w:val="00EF7F84"/>
    <w:rsid w:val="00F00377"/>
    <w:rsid w:val="00F0061F"/>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C8D"/>
    <w:rsid w:val="00F02D17"/>
    <w:rsid w:val="00F02D5F"/>
    <w:rsid w:val="00F02EA8"/>
    <w:rsid w:val="00F03208"/>
    <w:rsid w:val="00F032E1"/>
    <w:rsid w:val="00F032FC"/>
    <w:rsid w:val="00F03313"/>
    <w:rsid w:val="00F03423"/>
    <w:rsid w:val="00F0361B"/>
    <w:rsid w:val="00F03C07"/>
    <w:rsid w:val="00F03D5A"/>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C07"/>
    <w:rsid w:val="00F06F53"/>
    <w:rsid w:val="00F06FCB"/>
    <w:rsid w:val="00F072C1"/>
    <w:rsid w:val="00F07313"/>
    <w:rsid w:val="00F07396"/>
    <w:rsid w:val="00F073B6"/>
    <w:rsid w:val="00F0741B"/>
    <w:rsid w:val="00F074FC"/>
    <w:rsid w:val="00F076FB"/>
    <w:rsid w:val="00F077CE"/>
    <w:rsid w:val="00F07906"/>
    <w:rsid w:val="00F07DB6"/>
    <w:rsid w:val="00F100BA"/>
    <w:rsid w:val="00F101CB"/>
    <w:rsid w:val="00F102D8"/>
    <w:rsid w:val="00F10388"/>
    <w:rsid w:val="00F1042B"/>
    <w:rsid w:val="00F10753"/>
    <w:rsid w:val="00F10940"/>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6F7E"/>
    <w:rsid w:val="00F170A2"/>
    <w:rsid w:val="00F170BA"/>
    <w:rsid w:val="00F1714B"/>
    <w:rsid w:val="00F17286"/>
    <w:rsid w:val="00F173F1"/>
    <w:rsid w:val="00F1742A"/>
    <w:rsid w:val="00F174F4"/>
    <w:rsid w:val="00F17620"/>
    <w:rsid w:val="00F17886"/>
    <w:rsid w:val="00F17894"/>
    <w:rsid w:val="00F17ACE"/>
    <w:rsid w:val="00F17B67"/>
    <w:rsid w:val="00F17B86"/>
    <w:rsid w:val="00F17CB7"/>
    <w:rsid w:val="00F17D54"/>
    <w:rsid w:val="00F17E5F"/>
    <w:rsid w:val="00F200AD"/>
    <w:rsid w:val="00F200F0"/>
    <w:rsid w:val="00F2010A"/>
    <w:rsid w:val="00F20125"/>
    <w:rsid w:val="00F201BD"/>
    <w:rsid w:val="00F20357"/>
    <w:rsid w:val="00F20593"/>
    <w:rsid w:val="00F20678"/>
    <w:rsid w:val="00F2069B"/>
    <w:rsid w:val="00F207A6"/>
    <w:rsid w:val="00F20818"/>
    <w:rsid w:val="00F20986"/>
    <w:rsid w:val="00F20998"/>
    <w:rsid w:val="00F20C06"/>
    <w:rsid w:val="00F20D1D"/>
    <w:rsid w:val="00F20F60"/>
    <w:rsid w:val="00F21165"/>
    <w:rsid w:val="00F21247"/>
    <w:rsid w:val="00F2149B"/>
    <w:rsid w:val="00F214AC"/>
    <w:rsid w:val="00F21516"/>
    <w:rsid w:val="00F21741"/>
    <w:rsid w:val="00F2178D"/>
    <w:rsid w:val="00F21893"/>
    <w:rsid w:val="00F21B9A"/>
    <w:rsid w:val="00F21DC0"/>
    <w:rsid w:val="00F21E62"/>
    <w:rsid w:val="00F21F54"/>
    <w:rsid w:val="00F21F86"/>
    <w:rsid w:val="00F22073"/>
    <w:rsid w:val="00F223AE"/>
    <w:rsid w:val="00F223D3"/>
    <w:rsid w:val="00F226C3"/>
    <w:rsid w:val="00F22747"/>
    <w:rsid w:val="00F228B5"/>
    <w:rsid w:val="00F22A51"/>
    <w:rsid w:val="00F22C4C"/>
    <w:rsid w:val="00F22FE5"/>
    <w:rsid w:val="00F23430"/>
    <w:rsid w:val="00F23477"/>
    <w:rsid w:val="00F23536"/>
    <w:rsid w:val="00F2373D"/>
    <w:rsid w:val="00F23753"/>
    <w:rsid w:val="00F2388F"/>
    <w:rsid w:val="00F2389E"/>
    <w:rsid w:val="00F2397C"/>
    <w:rsid w:val="00F23A70"/>
    <w:rsid w:val="00F23DCE"/>
    <w:rsid w:val="00F23DF2"/>
    <w:rsid w:val="00F24119"/>
    <w:rsid w:val="00F24232"/>
    <w:rsid w:val="00F242DB"/>
    <w:rsid w:val="00F248D4"/>
    <w:rsid w:val="00F24919"/>
    <w:rsid w:val="00F24997"/>
    <w:rsid w:val="00F24B3A"/>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E61"/>
    <w:rsid w:val="00F25F67"/>
    <w:rsid w:val="00F2609F"/>
    <w:rsid w:val="00F2610F"/>
    <w:rsid w:val="00F26130"/>
    <w:rsid w:val="00F26299"/>
    <w:rsid w:val="00F2634D"/>
    <w:rsid w:val="00F26417"/>
    <w:rsid w:val="00F26452"/>
    <w:rsid w:val="00F2653D"/>
    <w:rsid w:val="00F267EA"/>
    <w:rsid w:val="00F26AFE"/>
    <w:rsid w:val="00F26C7E"/>
    <w:rsid w:val="00F26E45"/>
    <w:rsid w:val="00F26E9E"/>
    <w:rsid w:val="00F26F8F"/>
    <w:rsid w:val="00F27034"/>
    <w:rsid w:val="00F2707A"/>
    <w:rsid w:val="00F270AF"/>
    <w:rsid w:val="00F27183"/>
    <w:rsid w:val="00F27200"/>
    <w:rsid w:val="00F273AA"/>
    <w:rsid w:val="00F27458"/>
    <w:rsid w:val="00F27488"/>
    <w:rsid w:val="00F27690"/>
    <w:rsid w:val="00F27749"/>
    <w:rsid w:val="00F27A4E"/>
    <w:rsid w:val="00F27B48"/>
    <w:rsid w:val="00F27B4F"/>
    <w:rsid w:val="00F27BDF"/>
    <w:rsid w:val="00F30154"/>
    <w:rsid w:val="00F30155"/>
    <w:rsid w:val="00F3028B"/>
    <w:rsid w:val="00F3037E"/>
    <w:rsid w:val="00F30524"/>
    <w:rsid w:val="00F30530"/>
    <w:rsid w:val="00F3054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E5C"/>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4"/>
    <w:rsid w:val="00F37F15"/>
    <w:rsid w:val="00F400C0"/>
    <w:rsid w:val="00F400DE"/>
    <w:rsid w:val="00F402DF"/>
    <w:rsid w:val="00F403BC"/>
    <w:rsid w:val="00F40438"/>
    <w:rsid w:val="00F40479"/>
    <w:rsid w:val="00F40503"/>
    <w:rsid w:val="00F40568"/>
    <w:rsid w:val="00F40774"/>
    <w:rsid w:val="00F40953"/>
    <w:rsid w:val="00F40AFE"/>
    <w:rsid w:val="00F40B2A"/>
    <w:rsid w:val="00F40C38"/>
    <w:rsid w:val="00F40EF2"/>
    <w:rsid w:val="00F40EFB"/>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CC6"/>
    <w:rsid w:val="00F41EE9"/>
    <w:rsid w:val="00F421A7"/>
    <w:rsid w:val="00F421B6"/>
    <w:rsid w:val="00F424C0"/>
    <w:rsid w:val="00F424D1"/>
    <w:rsid w:val="00F42A88"/>
    <w:rsid w:val="00F42B16"/>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7"/>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A7F"/>
    <w:rsid w:val="00F46C16"/>
    <w:rsid w:val="00F46F7A"/>
    <w:rsid w:val="00F47031"/>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5F"/>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4F5C"/>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2C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35A"/>
    <w:rsid w:val="00F6140D"/>
    <w:rsid w:val="00F61645"/>
    <w:rsid w:val="00F61670"/>
    <w:rsid w:val="00F61707"/>
    <w:rsid w:val="00F61973"/>
    <w:rsid w:val="00F619B1"/>
    <w:rsid w:val="00F61A3F"/>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B9"/>
    <w:rsid w:val="00F633D5"/>
    <w:rsid w:val="00F63586"/>
    <w:rsid w:val="00F636AC"/>
    <w:rsid w:val="00F63701"/>
    <w:rsid w:val="00F63803"/>
    <w:rsid w:val="00F638B4"/>
    <w:rsid w:val="00F639AC"/>
    <w:rsid w:val="00F63D99"/>
    <w:rsid w:val="00F641D8"/>
    <w:rsid w:val="00F642ED"/>
    <w:rsid w:val="00F64395"/>
    <w:rsid w:val="00F6444E"/>
    <w:rsid w:val="00F6475C"/>
    <w:rsid w:val="00F64762"/>
    <w:rsid w:val="00F64DAC"/>
    <w:rsid w:val="00F64F54"/>
    <w:rsid w:val="00F65071"/>
    <w:rsid w:val="00F651C5"/>
    <w:rsid w:val="00F65621"/>
    <w:rsid w:val="00F658E5"/>
    <w:rsid w:val="00F659FA"/>
    <w:rsid w:val="00F66061"/>
    <w:rsid w:val="00F66208"/>
    <w:rsid w:val="00F662AB"/>
    <w:rsid w:val="00F66514"/>
    <w:rsid w:val="00F66934"/>
    <w:rsid w:val="00F66B07"/>
    <w:rsid w:val="00F66C50"/>
    <w:rsid w:val="00F66CC7"/>
    <w:rsid w:val="00F66D87"/>
    <w:rsid w:val="00F66D9F"/>
    <w:rsid w:val="00F66F15"/>
    <w:rsid w:val="00F66FFF"/>
    <w:rsid w:val="00F6703A"/>
    <w:rsid w:val="00F6710C"/>
    <w:rsid w:val="00F6712B"/>
    <w:rsid w:val="00F6732D"/>
    <w:rsid w:val="00F6750B"/>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A83"/>
    <w:rsid w:val="00F70D27"/>
    <w:rsid w:val="00F70DE9"/>
    <w:rsid w:val="00F712DA"/>
    <w:rsid w:val="00F716C6"/>
    <w:rsid w:val="00F71708"/>
    <w:rsid w:val="00F71A93"/>
    <w:rsid w:val="00F71C52"/>
    <w:rsid w:val="00F71D78"/>
    <w:rsid w:val="00F71D8F"/>
    <w:rsid w:val="00F71F4E"/>
    <w:rsid w:val="00F72231"/>
    <w:rsid w:val="00F723E8"/>
    <w:rsid w:val="00F72700"/>
    <w:rsid w:val="00F72819"/>
    <w:rsid w:val="00F72911"/>
    <w:rsid w:val="00F729F8"/>
    <w:rsid w:val="00F72B77"/>
    <w:rsid w:val="00F72DA7"/>
    <w:rsid w:val="00F7310D"/>
    <w:rsid w:val="00F731B3"/>
    <w:rsid w:val="00F73550"/>
    <w:rsid w:val="00F735F6"/>
    <w:rsid w:val="00F73602"/>
    <w:rsid w:val="00F73674"/>
    <w:rsid w:val="00F737D9"/>
    <w:rsid w:val="00F737E6"/>
    <w:rsid w:val="00F73983"/>
    <w:rsid w:val="00F73A3C"/>
    <w:rsid w:val="00F73D1D"/>
    <w:rsid w:val="00F73E05"/>
    <w:rsid w:val="00F73E85"/>
    <w:rsid w:val="00F73F4F"/>
    <w:rsid w:val="00F74002"/>
    <w:rsid w:val="00F74056"/>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5FA0"/>
    <w:rsid w:val="00F760F3"/>
    <w:rsid w:val="00F763D2"/>
    <w:rsid w:val="00F76443"/>
    <w:rsid w:val="00F765AB"/>
    <w:rsid w:val="00F766FF"/>
    <w:rsid w:val="00F769A9"/>
    <w:rsid w:val="00F76BED"/>
    <w:rsid w:val="00F76C3D"/>
    <w:rsid w:val="00F76DA7"/>
    <w:rsid w:val="00F76FE9"/>
    <w:rsid w:val="00F77340"/>
    <w:rsid w:val="00F7739C"/>
    <w:rsid w:val="00F774CC"/>
    <w:rsid w:val="00F7764B"/>
    <w:rsid w:val="00F7778E"/>
    <w:rsid w:val="00F7782A"/>
    <w:rsid w:val="00F77835"/>
    <w:rsid w:val="00F77866"/>
    <w:rsid w:val="00F77877"/>
    <w:rsid w:val="00F779AC"/>
    <w:rsid w:val="00F77AD8"/>
    <w:rsid w:val="00F77AEA"/>
    <w:rsid w:val="00F80281"/>
    <w:rsid w:val="00F8030E"/>
    <w:rsid w:val="00F80495"/>
    <w:rsid w:val="00F806AA"/>
    <w:rsid w:val="00F80700"/>
    <w:rsid w:val="00F80785"/>
    <w:rsid w:val="00F8078C"/>
    <w:rsid w:val="00F809FE"/>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A6A"/>
    <w:rsid w:val="00F83B8E"/>
    <w:rsid w:val="00F83C36"/>
    <w:rsid w:val="00F83C89"/>
    <w:rsid w:val="00F84404"/>
    <w:rsid w:val="00F845F7"/>
    <w:rsid w:val="00F84635"/>
    <w:rsid w:val="00F847C8"/>
    <w:rsid w:val="00F84801"/>
    <w:rsid w:val="00F84827"/>
    <w:rsid w:val="00F849AF"/>
    <w:rsid w:val="00F84A71"/>
    <w:rsid w:val="00F84BD5"/>
    <w:rsid w:val="00F84BF7"/>
    <w:rsid w:val="00F85242"/>
    <w:rsid w:val="00F8525F"/>
    <w:rsid w:val="00F8543A"/>
    <w:rsid w:val="00F8559A"/>
    <w:rsid w:val="00F856DC"/>
    <w:rsid w:val="00F857F1"/>
    <w:rsid w:val="00F85947"/>
    <w:rsid w:val="00F85986"/>
    <w:rsid w:val="00F85B05"/>
    <w:rsid w:val="00F85C88"/>
    <w:rsid w:val="00F85D44"/>
    <w:rsid w:val="00F85F45"/>
    <w:rsid w:val="00F86577"/>
    <w:rsid w:val="00F86709"/>
    <w:rsid w:val="00F8682E"/>
    <w:rsid w:val="00F86901"/>
    <w:rsid w:val="00F86AAB"/>
    <w:rsid w:val="00F86AFD"/>
    <w:rsid w:val="00F86C4F"/>
    <w:rsid w:val="00F86CA2"/>
    <w:rsid w:val="00F86E03"/>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34"/>
    <w:rsid w:val="00F90259"/>
    <w:rsid w:val="00F902C9"/>
    <w:rsid w:val="00F902FA"/>
    <w:rsid w:val="00F90514"/>
    <w:rsid w:val="00F9053F"/>
    <w:rsid w:val="00F906B9"/>
    <w:rsid w:val="00F90991"/>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2F"/>
    <w:rsid w:val="00F922F1"/>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68"/>
    <w:rsid w:val="00F93DE9"/>
    <w:rsid w:val="00F93E5B"/>
    <w:rsid w:val="00F93FF5"/>
    <w:rsid w:val="00F943A2"/>
    <w:rsid w:val="00F9446F"/>
    <w:rsid w:val="00F9455E"/>
    <w:rsid w:val="00F94650"/>
    <w:rsid w:val="00F94990"/>
    <w:rsid w:val="00F949C9"/>
    <w:rsid w:val="00F94A13"/>
    <w:rsid w:val="00F94D24"/>
    <w:rsid w:val="00F94D7D"/>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4C2"/>
    <w:rsid w:val="00F96544"/>
    <w:rsid w:val="00F966F1"/>
    <w:rsid w:val="00F96952"/>
    <w:rsid w:val="00F96B9B"/>
    <w:rsid w:val="00F96C56"/>
    <w:rsid w:val="00F96E1A"/>
    <w:rsid w:val="00F96F69"/>
    <w:rsid w:val="00F96FB7"/>
    <w:rsid w:val="00F96FE6"/>
    <w:rsid w:val="00F97013"/>
    <w:rsid w:val="00F9711A"/>
    <w:rsid w:val="00F9745A"/>
    <w:rsid w:val="00F977C5"/>
    <w:rsid w:val="00F9782D"/>
    <w:rsid w:val="00F9796C"/>
    <w:rsid w:val="00F97BDF"/>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448"/>
    <w:rsid w:val="00FA4963"/>
    <w:rsid w:val="00FA4C13"/>
    <w:rsid w:val="00FA4D0A"/>
    <w:rsid w:val="00FA4D2F"/>
    <w:rsid w:val="00FA4DB5"/>
    <w:rsid w:val="00FA4E4D"/>
    <w:rsid w:val="00FA4F50"/>
    <w:rsid w:val="00FA56C0"/>
    <w:rsid w:val="00FA57FE"/>
    <w:rsid w:val="00FA5859"/>
    <w:rsid w:val="00FA59D5"/>
    <w:rsid w:val="00FA5A23"/>
    <w:rsid w:val="00FA5B9D"/>
    <w:rsid w:val="00FA5BA0"/>
    <w:rsid w:val="00FA5BA4"/>
    <w:rsid w:val="00FA5D36"/>
    <w:rsid w:val="00FA5F46"/>
    <w:rsid w:val="00FA6027"/>
    <w:rsid w:val="00FA6078"/>
    <w:rsid w:val="00FA60CC"/>
    <w:rsid w:val="00FA618B"/>
    <w:rsid w:val="00FA644B"/>
    <w:rsid w:val="00FA6626"/>
    <w:rsid w:val="00FA66B9"/>
    <w:rsid w:val="00FA67BE"/>
    <w:rsid w:val="00FA69A8"/>
    <w:rsid w:val="00FA6AA8"/>
    <w:rsid w:val="00FA6E52"/>
    <w:rsid w:val="00FA72A8"/>
    <w:rsid w:val="00FA7674"/>
    <w:rsid w:val="00FA76AA"/>
    <w:rsid w:val="00FA78D2"/>
    <w:rsid w:val="00FA7AA5"/>
    <w:rsid w:val="00FA7B0D"/>
    <w:rsid w:val="00FA7CA3"/>
    <w:rsid w:val="00FA7D67"/>
    <w:rsid w:val="00FA7E0B"/>
    <w:rsid w:val="00FA7E9C"/>
    <w:rsid w:val="00FA7EAE"/>
    <w:rsid w:val="00FA7F5C"/>
    <w:rsid w:val="00FA7F98"/>
    <w:rsid w:val="00FB02F2"/>
    <w:rsid w:val="00FB039C"/>
    <w:rsid w:val="00FB05A9"/>
    <w:rsid w:val="00FB0AE2"/>
    <w:rsid w:val="00FB0AE4"/>
    <w:rsid w:val="00FB0C6D"/>
    <w:rsid w:val="00FB0E95"/>
    <w:rsid w:val="00FB0F58"/>
    <w:rsid w:val="00FB10AF"/>
    <w:rsid w:val="00FB126A"/>
    <w:rsid w:val="00FB137C"/>
    <w:rsid w:val="00FB1380"/>
    <w:rsid w:val="00FB1494"/>
    <w:rsid w:val="00FB1513"/>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A4E"/>
    <w:rsid w:val="00FB4B4F"/>
    <w:rsid w:val="00FB52A6"/>
    <w:rsid w:val="00FB5607"/>
    <w:rsid w:val="00FB5697"/>
    <w:rsid w:val="00FB58CF"/>
    <w:rsid w:val="00FB5A52"/>
    <w:rsid w:val="00FB5A95"/>
    <w:rsid w:val="00FB5B42"/>
    <w:rsid w:val="00FB5B83"/>
    <w:rsid w:val="00FB5BB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5CD"/>
    <w:rsid w:val="00FC473D"/>
    <w:rsid w:val="00FC484A"/>
    <w:rsid w:val="00FC4BA4"/>
    <w:rsid w:val="00FC4F43"/>
    <w:rsid w:val="00FC51A3"/>
    <w:rsid w:val="00FC5207"/>
    <w:rsid w:val="00FC5608"/>
    <w:rsid w:val="00FC583D"/>
    <w:rsid w:val="00FC58B4"/>
    <w:rsid w:val="00FC592D"/>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675"/>
    <w:rsid w:val="00FC7904"/>
    <w:rsid w:val="00FC7A7D"/>
    <w:rsid w:val="00FC7D5E"/>
    <w:rsid w:val="00FC7F36"/>
    <w:rsid w:val="00FC7FD7"/>
    <w:rsid w:val="00FD0154"/>
    <w:rsid w:val="00FD026D"/>
    <w:rsid w:val="00FD0816"/>
    <w:rsid w:val="00FD0B73"/>
    <w:rsid w:val="00FD0BC3"/>
    <w:rsid w:val="00FD0E9F"/>
    <w:rsid w:val="00FD0FC8"/>
    <w:rsid w:val="00FD10AA"/>
    <w:rsid w:val="00FD10C5"/>
    <w:rsid w:val="00FD1100"/>
    <w:rsid w:val="00FD116D"/>
    <w:rsid w:val="00FD12E3"/>
    <w:rsid w:val="00FD141A"/>
    <w:rsid w:val="00FD1576"/>
    <w:rsid w:val="00FD15C3"/>
    <w:rsid w:val="00FD19A2"/>
    <w:rsid w:val="00FD1ACF"/>
    <w:rsid w:val="00FD1F3B"/>
    <w:rsid w:val="00FD1FCD"/>
    <w:rsid w:val="00FD2256"/>
    <w:rsid w:val="00FD23DA"/>
    <w:rsid w:val="00FD2475"/>
    <w:rsid w:val="00FD26CB"/>
    <w:rsid w:val="00FD270C"/>
    <w:rsid w:val="00FD2728"/>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53B"/>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49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32C"/>
    <w:rsid w:val="00FE057C"/>
    <w:rsid w:val="00FE064D"/>
    <w:rsid w:val="00FE06E2"/>
    <w:rsid w:val="00FE0796"/>
    <w:rsid w:val="00FE09FD"/>
    <w:rsid w:val="00FE0A9A"/>
    <w:rsid w:val="00FE0B53"/>
    <w:rsid w:val="00FE0C34"/>
    <w:rsid w:val="00FE0C9A"/>
    <w:rsid w:val="00FE0D22"/>
    <w:rsid w:val="00FE0D41"/>
    <w:rsid w:val="00FE0D54"/>
    <w:rsid w:val="00FE0DD1"/>
    <w:rsid w:val="00FE0FF1"/>
    <w:rsid w:val="00FE1113"/>
    <w:rsid w:val="00FE111D"/>
    <w:rsid w:val="00FE136D"/>
    <w:rsid w:val="00FE1696"/>
    <w:rsid w:val="00FE189D"/>
    <w:rsid w:val="00FE19A7"/>
    <w:rsid w:val="00FE1A46"/>
    <w:rsid w:val="00FE1ADF"/>
    <w:rsid w:val="00FE2126"/>
    <w:rsid w:val="00FE214D"/>
    <w:rsid w:val="00FE2268"/>
    <w:rsid w:val="00FE238E"/>
    <w:rsid w:val="00FE239B"/>
    <w:rsid w:val="00FE2429"/>
    <w:rsid w:val="00FE2616"/>
    <w:rsid w:val="00FE2776"/>
    <w:rsid w:val="00FE2785"/>
    <w:rsid w:val="00FE2979"/>
    <w:rsid w:val="00FE2A49"/>
    <w:rsid w:val="00FE2A6E"/>
    <w:rsid w:val="00FE2C68"/>
    <w:rsid w:val="00FE2E28"/>
    <w:rsid w:val="00FE2F1A"/>
    <w:rsid w:val="00FE2F3D"/>
    <w:rsid w:val="00FE2F69"/>
    <w:rsid w:val="00FE2F97"/>
    <w:rsid w:val="00FE3309"/>
    <w:rsid w:val="00FE33EE"/>
    <w:rsid w:val="00FE3575"/>
    <w:rsid w:val="00FE3614"/>
    <w:rsid w:val="00FE3867"/>
    <w:rsid w:val="00FE3D7B"/>
    <w:rsid w:val="00FE4076"/>
    <w:rsid w:val="00FE4079"/>
    <w:rsid w:val="00FE40C1"/>
    <w:rsid w:val="00FE4376"/>
    <w:rsid w:val="00FE467C"/>
    <w:rsid w:val="00FE4812"/>
    <w:rsid w:val="00FE4846"/>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3"/>
    <w:rsid w:val="00FE7DA6"/>
    <w:rsid w:val="00FE7E3F"/>
    <w:rsid w:val="00FF00AE"/>
    <w:rsid w:val="00FF027D"/>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AC3"/>
    <w:rsid w:val="00FF3B65"/>
    <w:rsid w:val="00FF3B96"/>
    <w:rsid w:val="00FF3FBB"/>
    <w:rsid w:val="00FF406A"/>
    <w:rsid w:val="00FF4309"/>
    <w:rsid w:val="00FF43B5"/>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23F0A"/>
  <w15:docId w15:val="{DE20C0C5-E4CC-4B66-A171-D9E67264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 w:type="character" w:styleId="UnresolvedMention">
    <w:name w:val="Unresolved Mention"/>
    <w:basedOn w:val="DefaultParagraphFont"/>
    <w:uiPriority w:val="99"/>
    <w:semiHidden/>
    <w:unhideWhenUsed/>
    <w:rsid w:val="00BE29CA"/>
    <w:rPr>
      <w:color w:val="605E5C"/>
      <w:shd w:val="clear" w:color="auto" w:fill="E1DFDD"/>
    </w:rPr>
  </w:style>
  <w:style w:type="table" w:customStyle="1" w:styleId="TableGrid1">
    <w:name w:val="Table Grid1"/>
    <w:basedOn w:val="TableNormal"/>
    <w:next w:val="TableGrid"/>
    <w:uiPriority w:val="39"/>
    <w:rsid w:val="0064501B"/>
    <w:pPr>
      <w:overflowPunct w:val="0"/>
      <w:autoSpaceDE w:val="0"/>
      <w:autoSpaceDN w:val="0"/>
      <w:adjustRightInd w:val="0"/>
      <w:textAlignment w:val="baseline"/>
    </w:pPr>
    <w:rPr>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12430907">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53465852">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58339714">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946477">
      <w:bodyDiv w:val="1"/>
      <w:marLeft w:val="0"/>
      <w:marRight w:val="0"/>
      <w:marTop w:val="0"/>
      <w:marBottom w:val="0"/>
      <w:divBdr>
        <w:top w:val="none" w:sz="0" w:space="0" w:color="auto"/>
        <w:left w:val="none" w:sz="0" w:space="0" w:color="auto"/>
        <w:bottom w:val="none" w:sz="0" w:space="0" w:color="auto"/>
        <w:right w:val="none" w:sz="0" w:space="0" w:color="auto"/>
      </w:divBdr>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299650044">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694303102">
      <w:bodyDiv w:val="1"/>
      <w:marLeft w:val="0"/>
      <w:marRight w:val="0"/>
      <w:marTop w:val="0"/>
      <w:marBottom w:val="0"/>
      <w:divBdr>
        <w:top w:val="none" w:sz="0" w:space="0" w:color="auto"/>
        <w:left w:val="none" w:sz="0" w:space="0" w:color="auto"/>
        <w:bottom w:val="none" w:sz="0" w:space="0" w:color="auto"/>
        <w:right w:val="none" w:sz="0" w:space="0" w:color="auto"/>
      </w:divBdr>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E1D96-48EA-484E-91B8-6D7F6172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21</Pages>
  <Words>4620</Words>
  <Characters>24909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OGE</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15</cp:revision>
  <cp:lastPrinted>2025-08-08T10:24:00Z</cp:lastPrinted>
  <dcterms:created xsi:type="dcterms:W3CDTF">2025-08-08T03:13:00Z</dcterms:created>
  <dcterms:modified xsi:type="dcterms:W3CDTF">2025-08-08T10:50:00Z</dcterms:modified>
</cp:coreProperties>
</file>