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7F42F" w14:textId="77777777" w:rsidR="001B3BFC" w:rsidRPr="003B00ED" w:rsidRDefault="001B3BFC" w:rsidP="006E4C04">
      <w:pPr>
        <w:pStyle w:val="a9"/>
        <w:rPr>
          <w:lang w:val="en-GB"/>
        </w:rPr>
      </w:pPr>
      <w:bookmarkStart w:id="0" w:name="_GoBack"/>
      <w:bookmarkEnd w:id="0"/>
      <w:r w:rsidRPr="00F37532">
        <w:rPr>
          <w:rFonts w:hint="eastAsia"/>
          <w:lang w:val="en-GB"/>
        </w:rPr>
        <w:t>第三章</w:t>
      </w:r>
      <w:r w:rsidRPr="00A26439">
        <w:rPr>
          <w:rFonts w:hint="eastAsia"/>
          <w:b/>
          <w:lang w:val="en-GB"/>
        </w:rPr>
        <w:t>：</w:t>
      </w:r>
      <w:r w:rsidRPr="00F37532">
        <w:rPr>
          <w:rFonts w:hint="eastAsia"/>
          <w:lang w:val="en-GB"/>
        </w:rPr>
        <w:t>選定行業的發展</w:t>
      </w:r>
    </w:p>
    <w:p w14:paraId="7D4F7BF2" w14:textId="77777777" w:rsidR="001B3BFC" w:rsidRDefault="001B3BFC" w:rsidP="006E4C04">
      <w:pPr>
        <w:pStyle w:val="122"/>
        <w:rPr>
          <w:lang w:val="en-GB"/>
        </w:rPr>
      </w:pPr>
      <w:r w:rsidRPr="00A25D9D">
        <w:rPr>
          <w:rFonts w:hint="eastAsia"/>
          <w:lang w:val="en-GB"/>
        </w:rPr>
        <w:t>摘要</w:t>
      </w:r>
    </w:p>
    <w:p w14:paraId="4B5521FA" w14:textId="2659C404" w:rsidR="00F96A25" w:rsidRPr="00C16806" w:rsidRDefault="00F96A25" w:rsidP="001F3D9A">
      <w:pPr>
        <w:pStyle w:val="a0"/>
      </w:pPr>
      <w:r w:rsidRPr="00084AD5">
        <w:rPr>
          <w:rFonts w:hint="eastAsia"/>
        </w:rPr>
        <w:t>住宅物業市場在二零二三年第一季</w:t>
      </w:r>
      <w:r w:rsidR="001F3D9A" w:rsidRPr="001F3D9A">
        <w:rPr>
          <w:rFonts w:hint="eastAsia"/>
        </w:rPr>
        <w:t>有所恢</w:t>
      </w:r>
      <w:r w:rsidRPr="00084AD5">
        <w:rPr>
          <w:rFonts w:hint="eastAsia"/>
        </w:rPr>
        <w:t>復。</w:t>
      </w:r>
      <w:r w:rsidR="00496423" w:rsidRPr="00496423">
        <w:rPr>
          <w:rFonts w:hint="eastAsia"/>
        </w:rPr>
        <w:t>隨着</w:t>
      </w:r>
      <w:r w:rsidRPr="00084AD5">
        <w:rPr>
          <w:rFonts w:hint="eastAsia"/>
        </w:rPr>
        <w:t>本地經濟</w:t>
      </w:r>
      <w:r w:rsidR="00496423" w:rsidRPr="00496423">
        <w:rPr>
          <w:rFonts w:hint="eastAsia"/>
        </w:rPr>
        <w:t>復</w:t>
      </w:r>
      <w:r w:rsidR="001F3D9A" w:rsidRPr="001F3D9A">
        <w:rPr>
          <w:rFonts w:hint="eastAsia"/>
        </w:rPr>
        <w:t>蘇</w:t>
      </w:r>
      <w:r w:rsidRPr="00084AD5">
        <w:rPr>
          <w:rFonts w:hint="eastAsia"/>
        </w:rPr>
        <w:t>，市場氣氛有所改善。交投活動和住宅售價均見反彈。</w:t>
      </w:r>
    </w:p>
    <w:p w14:paraId="16E55F15" w14:textId="0A786E3A" w:rsidR="00F96A25" w:rsidRPr="00C16806" w:rsidRDefault="00F96A25" w:rsidP="00F96A25">
      <w:pPr>
        <w:pStyle w:val="a0"/>
      </w:pPr>
      <w:r w:rsidRPr="00C16806">
        <w:rPr>
          <w:rFonts w:hint="eastAsia"/>
        </w:rPr>
        <w:t>反映政府增加土地</w:t>
      </w:r>
      <w:r>
        <w:rPr>
          <w:rFonts w:hint="eastAsia"/>
          <w:lang w:eastAsia="zh-HK"/>
        </w:rPr>
        <w:t>及住宅</w:t>
      </w:r>
      <w:r w:rsidRPr="00C16806">
        <w:rPr>
          <w:rFonts w:hint="eastAsia"/>
        </w:rPr>
        <w:t>供應的持續努力，</w:t>
      </w:r>
      <w:r w:rsidRPr="007D1328">
        <w:rPr>
          <w:rFonts w:hint="eastAsia"/>
          <w:lang w:eastAsia="zh-HK"/>
        </w:rPr>
        <w:t>二零二</w:t>
      </w:r>
      <w:r>
        <w:rPr>
          <w:rFonts w:hint="eastAsia"/>
          <w:lang w:eastAsia="zh-HK"/>
        </w:rPr>
        <w:t>三</w:t>
      </w:r>
      <w:r w:rsidRPr="007D1328">
        <w:rPr>
          <w:rFonts w:hint="eastAsia"/>
          <w:lang w:eastAsia="zh-HK"/>
        </w:rPr>
        <w:t>年三月底時估計</w:t>
      </w:r>
      <w:r w:rsidRPr="00C16806">
        <w:rPr>
          <w:rFonts w:hint="eastAsia"/>
        </w:rPr>
        <w:t>未來三至四年</w:t>
      </w:r>
      <w:r>
        <w:rPr>
          <w:rFonts w:hint="eastAsia"/>
          <w:lang w:eastAsia="zh-HK"/>
        </w:rPr>
        <w:t>一手</w:t>
      </w:r>
      <w:r w:rsidRPr="00C16806">
        <w:rPr>
          <w:rFonts w:hint="eastAsia"/>
        </w:rPr>
        <w:t>私人住宅單位總供應量</w:t>
      </w:r>
      <w:r>
        <w:rPr>
          <w:rFonts w:hint="eastAsia"/>
          <w:lang w:eastAsia="zh-HK"/>
        </w:rPr>
        <w:t>會</w:t>
      </w:r>
      <w:r>
        <w:rPr>
          <w:rFonts w:hint="eastAsia"/>
        </w:rPr>
        <w:t>增</w:t>
      </w:r>
      <w:r>
        <w:rPr>
          <w:rFonts w:hint="eastAsia"/>
          <w:lang w:eastAsia="zh-HK"/>
        </w:rPr>
        <w:t>至</w:t>
      </w:r>
      <w:r w:rsidR="00D46B80">
        <w:rPr>
          <w:rFonts w:hint="eastAsia"/>
        </w:rPr>
        <w:t>10</w:t>
      </w:r>
      <w:r w:rsidR="00D46B80">
        <w:t>7</w:t>
      </w:r>
      <w:r w:rsidR="00D46B80">
        <w:rPr>
          <w:lang w:eastAsia="zh-HK"/>
        </w:rPr>
        <w:t> </w:t>
      </w:r>
      <w:r w:rsidRPr="007D1328">
        <w:rPr>
          <w:rFonts w:hint="eastAsia"/>
          <w:lang w:eastAsia="zh-HK"/>
        </w:rPr>
        <w:t>000</w:t>
      </w:r>
      <w:r w:rsidRPr="007D1328">
        <w:rPr>
          <w:rFonts w:hint="eastAsia"/>
          <w:lang w:eastAsia="zh-HK"/>
        </w:rPr>
        <w:t>個</w:t>
      </w:r>
      <w:r>
        <w:rPr>
          <w:rFonts w:hint="eastAsia"/>
          <w:lang w:eastAsia="zh-HK"/>
        </w:rPr>
        <w:t>的</w:t>
      </w:r>
      <w:r>
        <w:rPr>
          <w:rFonts w:hint="eastAsia"/>
        </w:rPr>
        <w:t>紀錄</w:t>
      </w:r>
      <w:r>
        <w:rPr>
          <w:rFonts w:hint="eastAsia"/>
          <w:lang w:eastAsia="zh-HK"/>
        </w:rPr>
        <w:t>新高</w:t>
      </w:r>
      <w:r w:rsidRPr="00C16806">
        <w:rPr>
          <w:rFonts w:hint="eastAsia"/>
        </w:rPr>
        <w:t>。</w:t>
      </w:r>
    </w:p>
    <w:p w14:paraId="6430FAA9" w14:textId="652E479F" w:rsidR="001B3BFC" w:rsidRPr="00C16806" w:rsidRDefault="00E220D1" w:rsidP="007C6A83">
      <w:pPr>
        <w:pStyle w:val="a0"/>
        <w:rPr>
          <w:lang w:eastAsia="zh-HK"/>
        </w:rPr>
      </w:pPr>
      <w:r w:rsidRPr="00E220D1">
        <w:rPr>
          <w:rFonts w:hint="eastAsia"/>
          <w:lang w:val="en-US" w:eastAsia="zh-HK"/>
        </w:rPr>
        <w:t>非住宅物業</w:t>
      </w:r>
      <w:r w:rsidRPr="00E35EC6">
        <w:rPr>
          <w:rFonts w:hint="eastAsia"/>
          <w:lang w:val="en-US"/>
        </w:rPr>
        <w:t>市場</w:t>
      </w:r>
      <w:r w:rsidR="001B3BFC" w:rsidRPr="00C16806">
        <w:rPr>
          <w:rFonts w:hint="eastAsia"/>
          <w:lang w:eastAsia="zh-HK"/>
        </w:rPr>
        <w:t>在第一季</w:t>
      </w:r>
      <w:r w:rsidR="00B035FF" w:rsidRPr="00B035FF">
        <w:rPr>
          <w:rFonts w:hint="eastAsia"/>
          <w:lang w:eastAsia="zh-HK"/>
        </w:rPr>
        <w:t>有所回穩</w:t>
      </w:r>
      <w:r w:rsidR="001B3BFC" w:rsidRPr="00C16806">
        <w:rPr>
          <w:rFonts w:hint="eastAsia"/>
          <w:lang w:eastAsia="zh-HK"/>
        </w:rPr>
        <w:t>。</w:t>
      </w:r>
      <w:r w:rsidR="001B3BFC" w:rsidRPr="00325B85">
        <w:rPr>
          <w:rFonts w:hint="eastAsia"/>
          <w:lang w:eastAsia="zh-HK"/>
        </w:rPr>
        <w:t>所有主要</w:t>
      </w:r>
      <w:r w:rsidR="001B3BFC" w:rsidRPr="009B7E24">
        <w:rPr>
          <w:rFonts w:hint="eastAsia"/>
          <w:lang w:eastAsia="zh-HK"/>
        </w:rPr>
        <w:t>環節</w:t>
      </w:r>
      <w:r w:rsidR="001B3BFC" w:rsidRPr="00325B85">
        <w:rPr>
          <w:rFonts w:hint="eastAsia"/>
          <w:lang w:eastAsia="zh-HK"/>
        </w:rPr>
        <w:t>的交投活動</w:t>
      </w:r>
      <w:r w:rsidR="007C6A83" w:rsidRPr="007C6A83">
        <w:rPr>
          <w:rFonts w:hint="eastAsia"/>
          <w:lang w:eastAsia="zh-HK"/>
        </w:rPr>
        <w:t>均見反彈</w:t>
      </w:r>
      <w:r w:rsidR="008D494C">
        <w:rPr>
          <w:rFonts w:hint="eastAsia"/>
          <w:lang w:eastAsia="zh-HK"/>
        </w:rPr>
        <w:t>，</w:t>
      </w:r>
      <w:r w:rsidR="008D494C" w:rsidRPr="007C6A83">
        <w:rPr>
          <w:rFonts w:hint="eastAsia"/>
          <w:lang w:eastAsia="zh-HK"/>
        </w:rPr>
        <w:t>尤其</w:t>
      </w:r>
      <w:r w:rsidR="008D494C" w:rsidRPr="00984230">
        <w:rPr>
          <w:rFonts w:hint="eastAsia"/>
          <w:lang w:eastAsia="zh-HK"/>
        </w:rPr>
        <w:t>是</w:t>
      </w:r>
      <w:r w:rsidR="00470348">
        <w:rPr>
          <w:rFonts w:hint="eastAsia"/>
          <w:lang w:eastAsia="zh-HK"/>
        </w:rPr>
        <w:t>臨近</w:t>
      </w:r>
      <w:r w:rsidR="008D494C" w:rsidRPr="007C6A83">
        <w:rPr>
          <w:rFonts w:hint="eastAsia"/>
          <w:lang w:eastAsia="zh-HK"/>
        </w:rPr>
        <w:t>季末</w:t>
      </w:r>
      <w:r w:rsidR="00470348">
        <w:rPr>
          <w:rFonts w:hint="eastAsia"/>
          <w:lang w:eastAsia="zh-HK"/>
        </w:rPr>
        <w:t>時</w:t>
      </w:r>
      <w:r w:rsidR="001B3BFC" w:rsidRPr="00C16806">
        <w:rPr>
          <w:rFonts w:hint="eastAsia"/>
          <w:lang w:eastAsia="zh-HK"/>
        </w:rPr>
        <w:t>，售價和租金</w:t>
      </w:r>
      <w:r w:rsidR="001B3BFC">
        <w:rPr>
          <w:rFonts w:hint="eastAsia"/>
          <w:lang w:eastAsia="zh-HK"/>
        </w:rPr>
        <w:t>則</w:t>
      </w:r>
      <w:r w:rsidR="001B3BFC" w:rsidRPr="00325B85">
        <w:rPr>
          <w:rFonts w:hint="eastAsia"/>
          <w:lang w:eastAsia="zh-HK"/>
        </w:rPr>
        <w:t>表現參差</w:t>
      </w:r>
      <w:r w:rsidR="001B3BFC">
        <w:rPr>
          <w:rFonts w:hint="eastAsia"/>
          <w:lang w:eastAsia="zh-HK"/>
        </w:rPr>
        <w:t>。</w:t>
      </w:r>
    </w:p>
    <w:p w14:paraId="460D10EB" w14:textId="3B7E80EB" w:rsidR="001B3BFC" w:rsidRPr="00C16806" w:rsidRDefault="001F3D9A" w:rsidP="001F3D9A">
      <w:pPr>
        <w:pStyle w:val="a0"/>
      </w:pPr>
      <w:r w:rsidRPr="001F3D9A">
        <w:rPr>
          <w:rFonts w:hint="eastAsia"/>
        </w:rPr>
        <w:t>隨着</w:t>
      </w:r>
      <w:r w:rsidR="002B1742" w:rsidRPr="002B1742">
        <w:rPr>
          <w:rFonts w:hint="eastAsia"/>
        </w:rPr>
        <w:t>與內地</w:t>
      </w:r>
      <w:r w:rsidRPr="001F3D9A">
        <w:rPr>
          <w:rFonts w:hint="eastAsia"/>
        </w:rPr>
        <w:t>和世界各地的</w:t>
      </w:r>
      <w:r w:rsidR="00D46B80" w:rsidRPr="00D46B80">
        <w:rPr>
          <w:rFonts w:hint="eastAsia"/>
        </w:rPr>
        <w:t>往</w:t>
      </w:r>
      <w:r w:rsidR="00F123E4" w:rsidRPr="00D46B80">
        <w:rPr>
          <w:rFonts w:hint="eastAsia"/>
        </w:rPr>
        <w:t>來</w:t>
      </w:r>
      <w:r w:rsidR="001B3BFC" w:rsidRPr="00325B85">
        <w:rPr>
          <w:rFonts w:hint="eastAsia"/>
        </w:rPr>
        <w:t>逐步</w:t>
      </w:r>
      <w:r w:rsidR="003F35D8" w:rsidRPr="003F35D8">
        <w:rPr>
          <w:rFonts w:hint="eastAsia"/>
        </w:rPr>
        <w:t>復常</w:t>
      </w:r>
      <w:r w:rsidR="001B3BFC">
        <w:rPr>
          <w:rFonts w:hint="eastAsia"/>
          <w:lang w:eastAsia="zh-HK"/>
        </w:rPr>
        <w:t>，</w:t>
      </w:r>
      <w:r w:rsidR="001B3BFC" w:rsidRPr="00C16806">
        <w:rPr>
          <w:rFonts w:hint="eastAsia"/>
        </w:rPr>
        <w:t>旅遊業</w:t>
      </w:r>
      <w:r w:rsidR="001B3BFC">
        <w:rPr>
          <w:rFonts w:hint="eastAsia"/>
          <w:lang w:eastAsia="zh-HK"/>
        </w:rPr>
        <w:t>在第一季</w:t>
      </w:r>
      <w:r w:rsidR="00B40C4F">
        <w:rPr>
          <w:rFonts w:hint="eastAsia"/>
          <w:lang w:eastAsia="zh-HK"/>
        </w:rPr>
        <w:t>強勁</w:t>
      </w:r>
      <w:r w:rsidRPr="001F3D9A">
        <w:rPr>
          <w:rFonts w:hint="eastAsia"/>
          <w:lang w:eastAsia="zh-HK"/>
        </w:rPr>
        <w:t>恢</w:t>
      </w:r>
      <w:r w:rsidR="001B3BFC">
        <w:rPr>
          <w:rFonts w:hint="eastAsia"/>
          <w:lang w:eastAsia="zh-HK"/>
        </w:rPr>
        <w:t>復</w:t>
      </w:r>
      <w:r w:rsidR="001B3BFC" w:rsidRPr="00C16806">
        <w:rPr>
          <w:rFonts w:hint="eastAsia"/>
        </w:rPr>
        <w:t>。</w:t>
      </w:r>
      <w:r w:rsidR="002B1742" w:rsidRPr="002B1742">
        <w:rPr>
          <w:rFonts w:hint="eastAsia"/>
        </w:rPr>
        <w:t>三月</w:t>
      </w:r>
      <w:r w:rsidR="001B3BFC" w:rsidRPr="00C16806">
        <w:rPr>
          <w:rFonts w:hint="eastAsia"/>
        </w:rPr>
        <w:t>訪港旅客</w:t>
      </w:r>
      <w:r w:rsidR="008E3F4D">
        <w:rPr>
          <w:rFonts w:hint="eastAsia"/>
          <w:lang w:eastAsia="zh-HK"/>
        </w:rPr>
        <w:t>急增</w:t>
      </w:r>
      <w:r w:rsidR="001B3BFC">
        <w:rPr>
          <w:rFonts w:hint="eastAsia"/>
          <w:lang w:eastAsia="zh-HK"/>
        </w:rPr>
        <w:t>至</w:t>
      </w:r>
      <w:r w:rsidR="002B1742">
        <w:t>25</w:t>
      </w:r>
      <w:r w:rsidR="002B1742">
        <w:rPr>
          <w:rFonts w:hint="eastAsia"/>
        </w:rPr>
        <w:t>0</w:t>
      </w:r>
      <w:r w:rsidR="001B3BFC">
        <w:rPr>
          <w:rFonts w:hint="eastAsia"/>
          <w:lang w:eastAsia="zh-HK"/>
        </w:rPr>
        <w:t>萬</w:t>
      </w:r>
      <w:r w:rsidR="001B3BFC" w:rsidRPr="00C16806">
        <w:rPr>
          <w:rFonts w:hint="eastAsia"/>
        </w:rPr>
        <w:t>人</w:t>
      </w:r>
      <w:r w:rsidR="001B3BFC">
        <w:rPr>
          <w:rFonts w:hint="eastAsia"/>
          <w:lang w:eastAsia="zh-HK"/>
        </w:rPr>
        <w:t>次</w:t>
      </w:r>
      <w:r w:rsidR="001B3BFC" w:rsidRPr="00C16806">
        <w:rPr>
          <w:rFonts w:hint="eastAsia"/>
        </w:rPr>
        <w:t>，</w:t>
      </w:r>
      <w:r w:rsidR="002B1742" w:rsidRPr="002B1742">
        <w:rPr>
          <w:rFonts w:hint="eastAsia"/>
        </w:rPr>
        <w:t>相</w:t>
      </w:r>
      <w:r w:rsidR="00470348">
        <w:rPr>
          <w:rFonts w:hint="eastAsia"/>
          <w:lang w:eastAsia="zh-HK"/>
        </w:rPr>
        <w:t>當</w:t>
      </w:r>
      <w:r w:rsidR="002B1742" w:rsidRPr="002B1742">
        <w:rPr>
          <w:rFonts w:hint="eastAsia"/>
        </w:rPr>
        <w:t>於</w:t>
      </w:r>
      <w:r w:rsidR="001B3BFC" w:rsidRPr="00325B85">
        <w:rPr>
          <w:rFonts w:hint="eastAsia"/>
        </w:rPr>
        <w:t>二零一九年第二季經濟衰退前</w:t>
      </w:r>
      <w:r w:rsidR="002B1742" w:rsidRPr="002B1742">
        <w:rPr>
          <w:rFonts w:hint="eastAsia"/>
        </w:rPr>
        <w:t>月</w:t>
      </w:r>
      <w:r w:rsidR="00B40C4F">
        <w:rPr>
          <w:rFonts w:hint="eastAsia"/>
        </w:rPr>
        <w:t>度</w:t>
      </w:r>
      <w:r w:rsidR="001B3BFC" w:rsidRPr="00325B85">
        <w:rPr>
          <w:rFonts w:hint="eastAsia"/>
        </w:rPr>
        <w:t>水平的</w:t>
      </w:r>
      <w:r w:rsidR="002B1742">
        <w:t>44</w:t>
      </w:r>
      <w:r w:rsidR="001B3BFC" w:rsidRPr="00325B85">
        <w:rPr>
          <w:rFonts w:hint="eastAsia"/>
        </w:rPr>
        <w:t>%</w:t>
      </w:r>
      <w:r w:rsidR="001B3BFC" w:rsidRPr="00325B85">
        <w:rPr>
          <w:rFonts w:hint="eastAsia"/>
        </w:rPr>
        <w:t>。</w:t>
      </w:r>
    </w:p>
    <w:p w14:paraId="7E4EEAF3" w14:textId="276695E9" w:rsidR="001B3BFC" w:rsidRPr="00C16806" w:rsidRDefault="005639AC" w:rsidP="001F3D9A">
      <w:pPr>
        <w:pStyle w:val="a0"/>
      </w:pPr>
      <w:r>
        <w:rPr>
          <w:rFonts w:hint="eastAsia"/>
        </w:rPr>
        <w:t>由於</w:t>
      </w:r>
      <w:r w:rsidR="001F3D9A" w:rsidRPr="001F3D9A">
        <w:rPr>
          <w:rFonts w:hint="eastAsia"/>
        </w:rPr>
        <w:t>外貿疲弱</w:t>
      </w:r>
      <w:r w:rsidR="001B3BFC" w:rsidRPr="0025171F">
        <w:rPr>
          <w:rFonts w:hint="eastAsia"/>
        </w:rPr>
        <w:t>，物流業在第一季</w:t>
      </w:r>
      <w:r w:rsidR="00D10B4E" w:rsidRPr="00D10B4E">
        <w:rPr>
          <w:rFonts w:hint="eastAsia"/>
        </w:rPr>
        <w:t>進一步</w:t>
      </w:r>
      <w:r w:rsidR="001F3D9A" w:rsidRPr="001F3D9A">
        <w:rPr>
          <w:rFonts w:hint="eastAsia"/>
          <w:lang w:eastAsia="zh-HK"/>
        </w:rPr>
        <w:t>減</w:t>
      </w:r>
      <w:r w:rsidR="00922E6C" w:rsidRPr="00922E6C">
        <w:rPr>
          <w:rFonts w:hint="eastAsia"/>
        </w:rPr>
        <w:t>弱</w:t>
      </w:r>
      <w:r w:rsidR="001B3BFC" w:rsidRPr="0025171F">
        <w:rPr>
          <w:rFonts w:hint="eastAsia"/>
        </w:rPr>
        <w:t>。</w:t>
      </w:r>
      <w:r w:rsidR="001B3BFC" w:rsidRPr="00C16806">
        <w:rPr>
          <w:rFonts w:hint="eastAsia"/>
        </w:rPr>
        <w:t>整體貨櫃吞吐量較</w:t>
      </w:r>
      <w:r w:rsidR="001B3BFC">
        <w:rPr>
          <w:rFonts w:hint="eastAsia"/>
        </w:rPr>
        <w:t>一年前</w:t>
      </w:r>
      <w:r w:rsidR="001B3BFC">
        <w:rPr>
          <w:rFonts w:hint="eastAsia"/>
          <w:lang w:eastAsia="zh-HK"/>
        </w:rPr>
        <w:t>下跌</w:t>
      </w:r>
      <w:r w:rsidR="00922E6C">
        <w:t>7.7</w:t>
      </w:r>
      <w:r w:rsidR="001B3BFC" w:rsidRPr="00C16806">
        <w:rPr>
          <w:rFonts w:hint="eastAsia"/>
        </w:rPr>
        <w:t>%</w:t>
      </w:r>
      <w:r w:rsidR="001B3BFC">
        <w:rPr>
          <w:rFonts w:hint="eastAsia"/>
          <w:lang w:eastAsia="zh-HK"/>
        </w:rPr>
        <w:t>，</w:t>
      </w:r>
      <w:r w:rsidR="001B3BFC" w:rsidRPr="00C16806">
        <w:rPr>
          <w:rFonts w:hint="eastAsia"/>
        </w:rPr>
        <w:t>空運吞吐量下跌</w:t>
      </w:r>
      <w:r w:rsidR="001B3BFC">
        <w:rPr>
          <w:rFonts w:hint="eastAsia"/>
        </w:rPr>
        <w:t>6.</w:t>
      </w:r>
      <w:r w:rsidR="00922E6C">
        <w:t>4</w:t>
      </w:r>
      <w:r w:rsidR="001B3BFC" w:rsidRPr="00C16806">
        <w:t>%</w:t>
      </w:r>
      <w:r w:rsidR="001B3BFC" w:rsidRPr="00C16806">
        <w:rPr>
          <w:rFonts w:hint="eastAsia"/>
        </w:rPr>
        <w:t>。</w:t>
      </w:r>
    </w:p>
    <w:p w14:paraId="3498557A" w14:textId="77777777" w:rsidR="001B3BFC" w:rsidRDefault="001B3BFC">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F0FB588" w14:textId="77777777" w:rsidR="00F96A25" w:rsidRDefault="00F96A25" w:rsidP="00F96A25">
      <w:pPr>
        <w:pStyle w:val="12"/>
      </w:pPr>
      <w:r w:rsidRPr="00D43B83">
        <w:rPr>
          <w:rFonts w:hint="eastAsia"/>
        </w:rPr>
        <w:lastRenderedPageBreak/>
        <w:t>物業</w:t>
      </w:r>
    </w:p>
    <w:p w14:paraId="68B3D19C" w14:textId="55600749" w:rsidR="00F96A25" w:rsidRPr="007D291E" w:rsidRDefault="00F96A25" w:rsidP="00F96A25">
      <w:pPr>
        <w:rPr>
          <w:highlight w:val="cyan"/>
        </w:rPr>
      </w:pPr>
      <w:r w:rsidRPr="007D291E">
        <w:rPr>
          <w:b/>
        </w:rPr>
        <w:t>3</w:t>
      </w:r>
      <w:r w:rsidRPr="007D291E">
        <w:rPr>
          <w:rFonts w:hint="eastAsia"/>
          <w:b/>
        </w:rPr>
        <w:t>.1</w:t>
      </w:r>
      <w:r w:rsidRPr="007D291E">
        <w:tab/>
      </w:r>
      <w:r w:rsidRPr="007D291E">
        <w:rPr>
          <w:rFonts w:hint="eastAsia"/>
          <w:i/>
        </w:rPr>
        <w:t>住宅物業市場</w:t>
      </w:r>
      <w:r w:rsidR="00035FB2">
        <w:rPr>
          <w:rFonts w:hint="eastAsia"/>
          <w:lang w:eastAsia="zh-HK"/>
        </w:rPr>
        <w:t>經歷了</w:t>
      </w:r>
      <w:r w:rsidRPr="007D291E">
        <w:rPr>
          <w:rFonts w:hint="eastAsia"/>
          <w:lang w:eastAsia="zh-HK"/>
        </w:rPr>
        <w:t>去年</w:t>
      </w:r>
      <w:r w:rsidR="00035FB2">
        <w:rPr>
          <w:rFonts w:hint="eastAsia"/>
          <w:lang w:eastAsia="zh-HK"/>
        </w:rPr>
        <w:t>的</w:t>
      </w:r>
      <w:r w:rsidRPr="007D291E">
        <w:rPr>
          <w:rFonts w:hint="eastAsia"/>
          <w:lang w:eastAsia="zh-HK"/>
        </w:rPr>
        <w:t>顯著調整後，在二零二三年第一季</w:t>
      </w:r>
      <w:r w:rsidR="001F3D9A" w:rsidRPr="001F3D9A">
        <w:rPr>
          <w:rFonts w:hint="eastAsia"/>
          <w:lang w:eastAsia="zh-HK"/>
        </w:rPr>
        <w:t>有所恢復</w:t>
      </w:r>
      <w:r w:rsidRPr="007D291E">
        <w:rPr>
          <w:rFonts w:hint="eastAsia"/>
        </w:rPr>
        <w:t>。</w:t>
      </w:r>
      <w:r w:rsidR="00922E6C" w:rsidRPr="00496423">
        <w:rPr>
          <w:rFonts w:hint="eastAsia"/>
        </w:rPr>
        <w:t>隨着</w:t>
      </w:r>
      <w:r w:rsidRPr="007D291E">
        <w:rPr>
          <w:rFonts w:hint="eastAsia"/>
          <w:lang w:eastAsia="zh-HK"/>
        </w:rPr>
        <w:t>本地經濟</w:t>
      </w:r>
      <w:r w:rsidR="00922E6C" w:rsidRPr="00496423">
        <w:rPr>
          <w:rFonts w:hint="eastAsia"/>
        </w:rPr>
        <w:t>復</w:t>
      </w:r>
      <w:r w:rsidR="001F3D9A" w:rsidRPr="001F3D9A">
        <w:rPr>
          <w:rFonts w:hint="eastAsia"/>
        </w:rPr>
        <w:t>蘇</w:t>
      </w:r>
      <w:r w:rsidRPr="007D291E">
        <w:rPr>
          <w:rFonts w:hint="eastAsia"/>
        </w:rPr>
        <w:t>，</w:t>
      </w:r>
      <w:r w:rsidRPr="007D291E">
        <w:rPr>
          <w:rFonts w:hint="eastAsia"/>
          <w:lang w:eastAsia="zh-HK"/>
        </w:rPr>
        <w:t>市場氣氛有所改善</w:t>
      </w:r>
      <w:r w:rsidRPr="007D291E">
        <w:rPr>
          <w:rFonts w:hint="eastAsia"/>
        </w:rPr>
        <w:t>。交投</w:t>
      </w:r>
      <w:r w:rsidRPr="007D291E">
        <w:rPr>
          <w:rFonts w:hint="eastAsia"/>
          <w:lang w:eastAsia="zh-HK"/>
        </w:rPr>
        <w:t>活動和住宅售價均見反彈</w:t>
      </w:r>
      <w:r w:rsidRPr="007D291E">
        <w:rPr>
          <w:rFonts w:hint="eastAsia"/>
        </w:rPr>
        <w:t>。</w:t>
      </w:r>
    </w:p>
    <w:p w14:paraId="557D3825" w14:textId="14A6F5E9" w:rsidR="00F96A25" w:rsidRPr="007D291E" w:rsidRDefault="00F96A25" w:rsidP="00F96A25">
      <w:r w:rsidRPr="007D291E">
        <w:rPr>
          <w:b/>
        </w:rPr>
        <w:t>3</w:t>
      </w:r>
      <w:r w:rsidRPr="007D291E">
        <w:rPr>
          <w:rFonts w:hint="eastAsia"/>
          <w:b/>
        </w:rPr>
        <w:t>.2</w:t>
      </w:r>
      <w:r w:rsidRPr="007D291E">
        <w:tab/>
      </w:r>
      <w:r w:rsidRPr="007D291E">
        <w:rPr>
          <w:rFonts w:hint="eastAsia"/>
        </w:rPr>
        <w:t>第</w:t>
      </w:r>
      <w:r w:rsidRPr="007D291E">
        <w:rPr>
          <w:rFonts w:hint="eastAsia"/>
          <w:lang w:eastAsia="zh-HK"/>
        </w:rPr>
        <w:t>一</w:t>
      </w:r>
      <w:r w:rsidRPr="007D291E">
        <w:rPr>
          <w:rFonts w:hint="eastAsia"/>
        </w:rPr>
        <w:t>季送交土地註冊處註冊的住宅物業買賣合約總數</w:t>
      </w:r>
      <w:r w:rsidRPr="007D291E">
        <w:rPr>
          <w:rFonts w:hint="eastAsia"/>
          <w:lang w:eastAsia="zh-HK"/>
        </w:rPr>
        <w:t>由</w:t>
      </w:r>
      <w:r w:rsidRPr="007D291E">
        <w:rPr>
          <w:rFonts w:hint="eastAsia"/>
        </w:rPr>
        <w:t>上一季</w:t>
      </w:r>
      <w:r w:rsidRPr="007D291E">
        <w:rPr>
          <w:rFonts w:hint="eastAsia"/>
          <w:lang w:eastAsia="zh-HK"/>
        </w:rPr>
        <w:t>的極低水平</w:t>
      </w:r>
      <w:r>
        <w:rPr>
          <w:rFonts w:hint="eastAsia"/>
          <w:lang w:eastAsia="zh-HK"/>
        </w:rPr>
        <w:t>跳</w:t>
      </w:r>
      <w:r w:rsidRPr="007D291E">
        <w:rPr>
          <w:rFonts w:hint="eastAsia"/>
          <w:lang w:eastAsia="zh-HK"/>
        </w:rPr>
        <w:t>升</w:t>
      </w:r>
      <w:r w:rsidRPr="007D291E">
        <w:t>67%</w:t>
      </w:r>
      <w:r w:rsidRPr="007D291E">
        <w:rPr>
          <w:rFonts w:hint="eastAsia"/>
        </w:rPr>
        <w:t>至</w:t>
      </w:r>
      <w:r w:rsidRPr="007D291E">
        <w:t>14 02</w:t>
      </w:r>
      <w:r w:rsidRPr="007D291E">
        <w:rPr>
          <w:lang w:eastAsia="zh-HK"/>
        </w:rPr>
        <w:t>3</w:t>
      </w:r>
      <w:r w:rsidRPr="007D291E">
        <w:rPr>
          <w:rFonts w:hint="eastAsia"/>
          <w:lang w:eastAsia="zh-HK"/>
        </w:rPr>
        <w:t>份，較一年前</w:t>
      </w:r>
      <w:r>
        <w:rPr>
          <w:rFonts w:hint="eastAsia"/>
          <w:lang w:eastAsia="zh-HK"/>
        </w:rPr>
        <w:t>上</w:t>
      </w:r>
      <w:r w:rsidRPr="007D291E">
        <w:rPr>
          <w:rFonts w:hint="eastAsia"/>
          <w:lang w:eastAsia="zh-HK"/>
        </w:rPr>
        <w:t>升</w:t>
      </w:r>
      <w:r w:rsidRPr="007D291E">
        <w:rPr>
          <w:lang w:eastAsia="zh-HK"/>
        </w:rPr>
        <w:t>39%</w:t>
      </w:r>
      <w:r w:rsidRPr="007D291E">
        <w:rPr>
          <w:rFonts w:hint="eastAsia"/>
          <w:lang w:eastAsia="zh-HK"/>
        </w:rPr>
        <w:t>，儘管仍</w:t>
      </w:r>
      <w:r w:rsidR="00922E6C" w:rsidRPr="00922E6C">
        <w:rPr>
          <w:rFonts w:hint="eastAsia"/>
          <w:lang w:eastAsia="zh-HK"/>
        </w:rPr>
        <w:t>稍</w:t>
      </w:r>
      <w:r w:rsidRPr="007D291E">
        <w:rPr>
          <w:rFonts w:hint="eastAsia"/>
          <w:lang w:eastAsia="zh-HK"/>
        </w:rPr>
        <w:t>低於二零一</w:t>
      </w:r>
      <w:r w:rsidR="008F361A" w:rsidRPr="008F361A">
        <w:rPr>
          <w:rFonts w:hint="eastAsia"/>
          <w:lang w:eastAsia="zh-HK"/>
        </w:rPr>
        <w:t>八</w:t>
      </w:r>
      <w:r w:rsidRPr="007D291E">
        <w:rPr>
          <w:rFonts w:hint="eastAsia"/>
          <w:lang w:eastAsia="zh-HK"/>
        </w:rPr>
        <w:t>至二零二二年期間約</w:t>
      </w:r>
      <w:r w:rsidRPr="007D291E">
        <w:rPr>
          <w:lang w:eastAsia="zh-HK"/>
        </w:rPr>
        <w:t>14</w:t>
      </w:r>
      <w:r w:rsidRPr="005D51B8">
        <w:rPr>
          <w:lang w:eastAsia="zh-HK"/>
        </w:rPr>
        <w:t> </w:t>
      </w:r>
      <w:r w:rsidR="008F361A">
        <w:rPr>
          <w:lang w:eastAsia="zh-HK"/>
        </w:rPr>
        <w:t>8</w:t>
      </w:r>
      <w:r w:rsidR="008F361A" w:rsidRPr="007D291E">
        <w:rPr>
          <w:lang w:eastAsia="zh-HK"/>
        </w:rPr>
        <w:t>00</w:t>
      </w:r>
      <w:r>
        <w:rPr>
          <w:rFonts w:hint="eastAsia"/>
          <w:lang w:eastAsia="zh-HK"/>
        </w:rPr>
        <w:t>份</w:t>
      </w:r>
      <w:r w:rsidRPr="007D291E">
        <w:rPr>
          <w:rFonts w:hint="eastAsia"/>
          <w:lang w:eastAsia="zh-HK"/>
        </w:rPr>
        <w:t>的季度平均數。當中，</w:t>
      </w:r>
      <w:r w:rsidR="00D46B80" w:rsidRPr="00D46B80">
        <w:rPr>
          <w:rFonts w:hint="eastAsia"/>
          <w:lang w:eastAsia="zh-HK"/>
        </w:rPr>
        <w:t>隨着</w:t>
      </w:r>
      <w:r w:rsidRPr="007D291E">
        <w:rPr>
          <w:rFonts w:hint="eastAsia"/>
          <w:lang w:eastAsia="zh-HK"/>
        </w:rPr>
        <w:t>發展商恢復推出新項目</w:t>
      </w:r>
      <w:r w:rsidRPr="007D291E">
        <w:rPr>
          <w:rFonts w:hint="eastAsia"/>
        </w:rPr>
        <w:t>，一手市場交易較上一季</w:t>
      </w:r>
      <w:r w:rsidRPr="007D291E">
        <w:rPr>
          <w:rFonts w:hint="eastAsia"/>
          <w:lang w:eastAsia="zh-HK"/>
        </w:rPr>
        <w:t>急升</w:t>
      </w:r>
      <w:r w:rsidRPr="007D291E">
        <w:t>118%</w:t>
      </w:r>
      <w:r w:rsidRPr="007D291E">
        <w:rPr>
          <w:rFonts w:hint="eastAsia"/>
        </w:rPr>
        <w:t>，</w:t>
      </w:r>
      <w:r w:rsidRPr="007D291E">
        <w:rPr>
          <w:rFonts w:hint="eastAsia"/>
          <w:lang w:eastAsia="zh-HK"/>
        </w:rPr>
        <w:t>二手市場交易亦上升</w:t>
      </w:r>
      <w:r w:rsidRPr="007D291E">
        <w:rPr>
          <w:lang w:eastAsia="zh-HK"/>
        </w:rPr>
        <w:t>58%</w:t>
      </w:r>
      <w:r w:rsidRPr="007D291E">
        <w:rPr>
          <w:rFonts w:hint="eastAsia"/>
        </w:rPr>
        <w:t>。買賣合約總值較上一季</w:t>
      </w:r>
      <w:r w:rsidRPr="007D291E">
        <w:rPr>
          <w:rFonts w:hint="eastAsia"/>
          <w:lang w:eastAsia="zh-HK"/>
        </w:rPr>
        <w:t>躍升</w:t>
      </w:r>
      <w:r w:rsidRPr="007D291E">
        <w:t>62%</w:t>
      </w:r>
      <w:r w:rsidRPr="007D291E">
        <w:rPr>
          <w:rFonts w:hint="eastAsia"/>
        </w:rPr>
        <w:t>至</w:t>
      </w:r>
      <w:r w:rsidRPr="007D291E">
        <w:t>1</w:t>
      </w:r>
      <w:r w:rsidRPr="007D291E">
        <w:rPr>
          <w:rFonts w:hint="eastAsia"/>
        </w:rPr>
        <w:t>,</w:t>
      </w:r>
      <w:r w:rsidRPr="007D291E">
        <w:t>200</w:t>
      </w:r>
      <w:r w:rsidRPr="007D291E">
        <w:rPr>
          <w:rFonts w:hint="eastAsia"/>
        </w:rPr>
        <w:t>億元。</w:t>
      </w:r>
    </w:p>
    <w:tbl>
      <w:tblPr>
        <w:tblW w:w="0" w:type="auto"/>
        <w:tblCellMar>
          <w:left w:w="28" w:type="dxa"/>
          <w:right w:w="28" w:type="dxa"/>
        </w:tblCellMar>
        <w:tblLook w:val="04A0" w:firstRow="1" w:lastRow="0" w:firstColumn="1" w:lastColumn="0" w:noHBand="0" w:noVBand="1"/>
      </w:tblPr>
      <w:tblGrid>
        <w:gridCol w:w="9071"/>
      </w:tblGrid>
      <w:tr w:rsidR="00F96A25" w:rsidRPr="009A5FAE" w14:paraId="06111D76" w14:textId="77777777" w:rsidTr="007E1566">
        <w:trPr>
          <w:trHeight w:hRule="exact" w:val="6521"/>
        </w:trPr>
        <w:tc>
          <w:tcPr>
            <w:tcW w:w="9071" w:type="dxa"/>
          </w:tcPr>
          <w:p w14:paraId="3FDFC18D" w14:textId="37A1E19B" w:rsidR="00F96A25" w:rsidRPr="002909B7" w:rsidRDefault="00864FF4" w:rsidP="007E1566">
            <w:pPr>
              <w:pStyle w:val="a9"/>
            </w:pPr>
            <w:r w:rsidRPr="00864FF4">
              <w:rPr>
                <w:noProof/>
              </w:rPr>
              <w:drawing>
                <wp:inline distT="0" distB="0" distL="0" distR="0" wp14:anchorId="5EB2947B" wp14:editId="08B0999D">
                  <wp:extent cx="5763260" cy="3523615"/>
                  <wp:effectExtent l="0" t="0" r="889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3260" cy="3523615"/>
                          </a:xfrm>
                          <a:prstGeom prst="rect">
                            <a:avLst/>
                          </a:prstGeom>
                          <a:noFill/>
                          <a:ln>
                            <a:noFill/>
                          </a:ln>
                        </pic:spPr>
                      </pic:pic>
                    </a:graphicData>
                  </a:graphic>
                </wp:inline>
              </w:drawing>
            </w:r>
          </w:p>
        </w:tc>
      </w:tr>
    </w:tbl>
    <w:p w14:paraId="0B3970B8" w14:textId="77777777" w:rsidR="001C0E99" w:rsidRDefault="001C0E99" w:rsidP="00F96A25">
      <w:pPr>
        <w:rPr>
          <w:b/>
        </w:rPr>
      </w:pPr>
    </w:p>
    <w:p w14:paraId="3A32619C" w14:textId="77777777" w:rsidR="001C0E99" w:rsidRDefault="001C0E99">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7FC2098F" w14:textId="35A5F19A" w:rsidR="00F96A25" w:rsidRDefault="00F96A25" w:rsidP="00F96A25">
      <w:r>
        <w:rPr>
          <w:b/>
        </w:rPr>
        <w:lastRenderedPageBreak/>
        <w:t>3</w:t>
      </w:r>
      <w:r>
        <w:rPr>
          <w:rFonts w:hint="eastAsia"/>
          <w:b/>
        </w:rPr>
        <w:t>.</w:t>
      </w:r>
      <w:r>
        <w:rPr>
          <w:b/>
        </w:rPr>
        <w:t>3</w:t>
      </w:r>
      <w:r w:rsidRPr="00D01081">
        <w:tab/>
      </w:r>
      <w:r w:rsidR="00FB7748" w:rsidRPr="00FB7748">
        <w:rPr>
          <w:rFonts w:hint="eastAsia"/>
        </w:rPr>
        <w:t>整體</w:t>
      </w:r>
      <w:r w:rsidRPr="00197C36">
        <w:rPr>
          <w:rFonts w:hint="eastAsia"/>
        </w:rPr>
        <w:t>住宅售價</w:t>
      </w:r>
      <w:r>
        <w:rPr>
          <w:rFonts w:hint="eastAsia"/>
          <w:lang w:eastAsia="zh-HK"/>
        </w:rPr>
        <w:t>在二零二二年第四季</w:t>
      </w:r>
      <w:r w:rsidR="001F3D9A" w:rsidRPr="001F3D9A">
        <w:rPr>
          <w:rFonts w:hint="eastAsia"/>
          <w:lang w:eastAsia="zh-HK"/>
        </w:rPr>
        <w:t>內</w:t>
      </w:r>
      <w:r>
        <w:rPr>
          <w:rFonts w:hint="eastAsia"/>
          <w:lang w:eastAsia="zh-HK"/>
        </w:rPr>
        <w:t>下跌</w:t>
      </w:r>
      <w:r>
        <w:t>7%</w:t>
      </w:r>
      <w:r>
        <w:rPr>
          <w:rFonts w:hint="eastAsia"/>
          <w:lang w:eastAsia="zh-HK"/>
        </w:rPr>
        <w:t>後</w:t>
      </w:r>
      <w:r>
        <w:rPr>
          <w:rFonts w:hint="eastAsia"/>
        </w:rPr>
        <w:t>，</w:t>
      </w:r>
      <w:r>
        <w:rPr>
          <w:rFonts w:hint="eastAsia"/>
          <w:lang w:eastAsia="zh-HK"/>
        </w:rPr>
        <w:t>在二零二三年第一季</w:t>
      </w:r>
      <w:r w:rsidR="001F3D9A" w:rsidRPr="001F3D9A">
        <w:rPr>
          <w:rFonts w:hint="eastAsia"/>
          <w:lang w:eastAsia="zh-HK"/>
        </w:rPr>
        <w:t>內</w:t>
      </w:r>
      <w:r>
        <w:rPr>
          <w:rFonts w:hint="eastAsia"/>
          <w:lang w:eastAsia="zh-HK"/>
        </w:rPr>
        <w:t>回升</w:t>
      </w:r>
      <w:r>
        <w:rPr>
          <w:rFonts w:hint="eastAsia"/>
        </w:rPr>
        <w:t>5%</w:t>
      </w:r>
      <w:r>
        <w:rPr>
          <w:rFonts w:hint="eastAsia"/>
        </w:rPr>
        <w:t>。</w:t>
      </w:r>
      <w:r w:rsidRPr="00197C36">
        <w:rPr>
          <w:rFonts w:hint="eastAsia"/>
        </w:rPr>
        <w:t>按面積分析，中小型單位和大型單位的售價分別</w:t>
      </w:r>
      <w:r>
        <w:rPr>
          <w:rFonts w:hint="eastAsia"/>
          <w:lang w:eastAsia="zh-HK"/>
        </w:rPr>
        <w:t>上升</w:t>
      </w:r>
      <w:r>
        <w:rPr>
          <w:rFonts w:hint="eastAsia"/>
        </w:rPr>
        <w:t>5</w:t>
      </w:r>
      <w:r w:rsidRPr="00197C36">
        <w:rPr>
          <w:rFonts w:hint="eastAsia"/>
        </w:rPr>
        <w:t>%</w:t>
      </w:r>
      <w:r w:rsidRPr="00197C36">
        <w:rPr>
          <w:rFonts w:hint="eastAsia"/>
        </w:rPr>
        <w:t>和</w:t>
      </w:r>
      <w:r w:rsidR="00FD267A">
        <w:t>2</w:t>
      </w:r>
      <w:r w:rsidRPr="00197C36">
        <w:rPr>
          <w:rFonts w:hint="eastAsia"/>
        </w:rPr>
        <w:t>%</w:t>
      </w:r>
      <w:r w:rsidRPr="00197C36">
        <w:rPr>
          <w:rFonts w:hint="eastAsia"/>
        </w:rPr>
        <w:t>。</w:t>
      </w:r>
      <w:r>
        <w:rPr>
          <w:rFonts w:hint="eastAsia"/>
          <w:lang w:eastAsia="zh-HK"/>
        </w:rPr>
        <w:t>不過，</w:t>
      </w:r>
      <w:r w:rsidRPr="00197C36">
        <w:rPr>
          <w:rFonts w:hint="eastAsia"/>
        </w:rPr>
        <w:t>二零二</w:t>
      </w:r>
      <w:r>
        <w:rPr>
          <w:rFonts w:hint="eastAsia"/>
          <w:lang w:eastAsia="zh-HK"/>
        </w:rPr>
        <w:t>三</w:t>
      </w:r>
      <w:r w:rsidRPr="00197C36">
        <w:rPr>
          <w:rFonts w:hint="eastAsia"/>
        </w:rPr>
        <w:t>年三月的住宅售價</w:t>
      </w:r>
      <w:r>
        <w:rPr>
          <w:rFonts w:hint="eastAsia"/>
          <w:lang w:eastAsia="zh-HK"/>
        </w:rPr>
        <w:t>仍</w:t>
      </w:r>
      <w:r>
        <w:rPr>
          <w:rFonts w:hint="eastAsia"/>
        </w:rPr>
        <w:t>然</w:t>
      </w:r>
      <w:r w:rsidRPr="00197C36">
        <w:rPr>
          <w:rFonts w:hint="eastAsia"/>
        </w:rPr>
        <w:t>平均較二零</w:t>
      </w:r>
      <w:r>
        <w:rPr>
          <w:rFonts w:hint="eastAsia"/>
          <w:lang w:eastAsia="zh-HK"/>
        </w:rPr>
        <w:t>二一</w:t>
      </w:r>
      <w:r w:rsidRPr="00197C36">
        <w:rPr>
          <w:rFonts w:hint="eastAsia"/>
        </w:rPr>
        <w:t>年</w:t>
      </w:r>
      <w:r>
        <w:rPr>
          <w:rFonts w:hint="eastAsia"/>
          <w:lang w:eastAsia="zh-HK"/>
        </w:rPr>
        <w:t>九</w:t>
      </w:r>
      <w:r w:rsidRPr="00197C36">
        <w:rPr>
          <w:rFonts w:hint="eastAsia"/>
        </w:rPr>
        <w:t>月的高</w:t>
      </w:r>
      <w:r w:rsidRPr="00C31456">
        <w:rPr>
          <w:rFonts w:hint="eastAsia"/>
        </w:rPr>
        <w:t>峯</w:t>
      </w:r>
      <w:r w:rsidRPr="00197C36">
        <w:rPr>
          <w:rFonts w:hint="eastAsia"/>
        </w:rPr>
        <w:t>低</w:t>
      </w:r>
      <w:r>
        <w:rPr>
          <w:rFonts w:hint="eastAsia"/>
        </w:rPr>
        <w:t>12</w:t>
      </w:r>
      <w:r w:rsidRPr="00197C36">
        <w:rPr>
          <w:rFonts w:hint="eastAsia"/>
        </w:rPr>
        <w:t>%</w:t>
      </w:r>
      <w:r w:rsidRPr="00197C36">
        <w:rPr>
          <w:rFonts w:hint="eastAsia"/>
        </w:rPr>
        <w:t>。</w:t>
      </w:r>
    </w:p>
    <w:p w14:paraId="51F5C283" w14:textId="7C1CD8A7" w:rsidR="00F96A25" w:rsidRDefault="00F96A25" w:rsidP="00F96A25">
      <w:r>
        <w:rPr>
          <w:b/>
        </w:rPr>
        <w:t>3</w:t>
      </w:r>
      <w:r>
        <w:rPr>
          <w:rFonts w:hint="eastAsia"/>
          <w:b/>
        </w:rPr>
        <w:t>.</w:t>
      </w:r>
      <w:r>
        <w:rPr>
          <w:b/>
        </w:rPr>
        <w:t>4</w:t>
      </w:r>
      <w:r w:rsidRPr="00D01081">
        <w:tab/>
      </w:r>
      <w:r w:rsidR="00FB7748" w:rsidRPr="00FB7748">
        <w:rPr>
          <w:rFonts w:hint="eastAsia"/>
        </w:rPr>
        <w:t>整體</w:t>
      </w:r>
      <w:r w:rsidRPr="001B4841">
        <w:rPr>
          <w:rFonts w:hint="eastAsia"/>
        </w:rPr>
        <w:t>住宅租金在</w:t>
      </w:r>
      <w:r w:rsidRPr="00B450A0">
        <w:rPr>
          <w:rFonts w:hint="eastAsia"/>
          <w:spacing w:val="26"/>
        </w:rPr>
        <w:t>二零二二年</w:t>
      </w:r>
      <w:r>
        <w:rPr>
          <w:rFonts w:hint="eastAsia"/>
          <w:spacing w:val="26"/>
          <w:lang w:eastAsia="zh-HK"/>
        </w:rPr>
        <w:t>十二月至二零二三年</w:t>
      </w:r>
      <w:r>
        <w:rPr>
          <w:rFonts w:hint="eastAsia"/>
        </w:rPr>
        <w:t>三</w:t>
      </w:r>
      <w:r w:rsidRPr="005B07CA">
        <w:rPr>
          <w:rFonts w:hint="eastAsia"/>
        </w:rPr>
        <w:t>月</w:t>
      </w:r>
      <w:r>
        <w:rPr>
          <w:rFonts w:hint="eastAsia"/>
          <w:lang w:eastAsia="zh-HK"/>
        </w:rPr>
        <w:t>期</w:t>
      </w:r>
      <w:r>
        <w:rPr>
          <w:rFonts w:hint="eastAsia"/>
        </w:rPr>
        <w:t>間</w:t>
      </w:r>
      <w:r w:rsidR="00731900" w:rsidRPr="00B450A0">
        <w:rPr>
          <w:rFonts w:hint="eastAsia"/>
          <w:spacing w:val="26"/>
        </w:rPr>
        <w:t>的</w:t>
      </w:r>
      <w:r w:rsidR="00731900" w:rsidRPr="00E35EC6">
        <w:rPr>
          <w:rFonts w:hint="eastAsia"/>
          <w:spacing w:val="26"/>
        </w:rPr>
        <w:t>變動</w:t>
      </w:r>
      <w:r w:rsidR="00731900" w:rsidRPr="003934AC">
        <w:rPr>
          <w:rFonts w:hint="eastAsia"/>
          <w:spacing w:val="26"/>
          <w:lang w:eastAsia="zh-HK"/>
        </w:rPr>
        <w:t>不大</w:t>
      </w:r>
      <w:r>
        <w:rPr>
          <w:rFonts w:hint="eastAsia"/>
          <w:lang w:eastAsia="zh-HK"/>
        </w:rPr>
        <w:t>，</w:t>
      </w:r>
      <w:r w:rsidR="00D46B80" w:rsidRPr="00D46B80">
        <w:rPr>
          <w:rFonts w:hint="eastAsia"/>
          <w:lang w:eastAsia="zh-HK"/>
        </w:rPr>
        <w:t>當中</w:t>
      </w:r>
      <w:r w:rsidR="00403567">
        <w:rPr>
          <w:rFonts w:hint="eastAsia"/>
          <w:lang w:eastAsia="zh-HK"/>
        </w:rPr>
        <w:t>，</w:t>
      </w:r>
      <w:r w:rsidRPr="001B4841">
        <w:rPr>
          <w:rFonts w:hint="eastAsia"/>
        </w:rPr>
        <w:t>中小型單</w:t>
      </w:r>
      <w:r w:rsidRPr="00B450A0">
        <w:rPr>
          <w:rFonts w:hint="eastAsia"/>
          <w:spacing w:val="26"/>
        </w:rPr>
        <w:t>位</w:t>
      </w:r>
      <w:r w:rsidR="00731900" w:rsidRPr="00B450A0">
        <w:rPr>
          <w:rFonts w:hint="eastAsia"/>
          <w:spacing w:val="26"/>
        </w:rPr>
        <w:t>的租金</w:t>
      </w:r>
      <w:r w:rsidR="00D46B80" w:rsidRPr="00D46B80">
        <w:rPr>
          <w:rFonts w:hint="eastAsia"/>
          <w:spacing w:val="26"/>
        </w:rPr>
        <w:t>在期內</w:t>
      </w:r>
      <w:r w:rsidR="00731900" w:rsidRPr="00213015">
        <w:rPr>
          <w:rFonts w:hint="eastAsia"/>
        </w:rPr>
        <w:t>幾無變動</w:t>
      </w:r>
      <w:r w:rsidR="00731900">
        <w:rPr>
          <w:rFonts w:hint="eastAsia"/>
          <w:lang w:eastAsia="zh-HK"/>
        </w:rPr>
        <w:t>，</w:t>
      </w:r>
      <w:r w:rsidRPr="00B450A0">
        <w:rPr>
          <w:rFonts w:hint="eastAsia"/>
          <w:spacing w:val="26"/>
        </w:rPr>
        <w:t>大型單位的租金</w:t>
      </w:r>
      <w:r w:rsidR="00D46B80" w:rsidRPr="00D46B80">
        <w:rPr>
          <w:rFonts w:hint="eastAsia"/>
          <w:spacing w:val="26"/>
          <w:lang w:eastAsia="zh-HK"/>
        </w:rPr>
        <w:t>則</w:t>
      </w:r>
      <w:r w:rsidR="00731900">
        <w:rPr>
          <w:rFonts w:hint="eastAsia"/>
          <w:lang w:eastAsia="zh-HK"/>
        </w:rPr>
        <w:t>微</w:t>
      </w:r>
      <w:r w:rsidR="00731900" w:rsidRPr="00731900">
        <w:rPr>
          <w:rFonts w:hint="eastAsia"/>
          <w:lang w:eastAsia="zh-HK"/>
        </w:rPr>
        <w:t>升</w:t>
      </w:r>
      <w:r w:rsidR="00731900">
        <w:rPr>
          <w:rFonts w:hint="eastAsia"/>
          <w:lang w:eastAsia="zh-HK"/>
        </w:rPr>
        <w:t>1%</w:t>
      </w:r>
      <w:r>
        <w:rPr>
          <w:rFonts w:hint="eastAsia"/>
          <w:spacing w:val="26"/>
          <w:lang w:eastAsia="zh-HK"/>
        </w:rPr>
        <w:t>。</w:t>
      </w:r>
      <w:r w:rsidRPr="00B450A0">
        <w:rPr>
          <w:rFonts w:hint="eastAsia"/>
          <w:spacing w:val="26"/>
        </w:rPr>
        <w:t>二零二</w:t>
      </w:r>
      <w:r>
        <w:rPr>
          <w:rFonts w:hint="eastAsia"/>
          <w:spacing w:val="26"/>
          <w:lang w:eastAsia="zh-HK"/>
        </w:rPr>
        <w:t>三</w:t>
      </w:r>
      <w:r w:rsidRPr="00B450A0">
        <w:rPr>
          <w:rFonts w:hint="eastAsia"/>
          <w:spacing w:val="26"/>
        </w:rPr>
        <w:t>年</w:t>
      </w:r>
      <w:r>
        <w:rPr>
          <w:rFonts w:hint="eastAsia"/>
        </w:rPr>
        <w:t>三</w:t>
      </w:r>
      <w:r w:rsidRPr="005B07CA">
        <w:rPr>
          <w:rFonts w:hint="eastAsia"/>
        </w:rPr>
        <w:t>月的</w:t>
      </w:r>
      <w:r w:rsidRPr="001B4841">
        <w:rPr>
          <w:rFonts w:hint="eastAsia"/>
        </w:rPr>
        <w:t>住宅租金平均較二零一九年八月的高峯低</w:t>
      </w:r>
      <w:r>
        <w:rPr>
          <w:rFonts w:hint="eastAsia"/>
        </w:rPr>
        <w:t>12</w:t>
      </w:r>
      <w:r w:rsidRPr="001B4841">
        <w:t>%</w:t>
      </w:r>
      <w:r w:rsidRPr="001B4841">
        <w:rPr>
          <w:rFonts w:hint="eastAsia"/>
        </w:rPr>
        <w:t>。住宅物業平均租金回報率</w:t>
      </w:r>
      <w:r>
        <w:rPr>
          <w:rFonts w:hint="eastAsia"/>
          <w:lang w:eastAsia="zh-HK"/>
        </w:rPr>
        <w:t>由</w:t>
      </w:r>
      <w:r w:rsidRPr="001B4841">
        <w:rPr>
          <w:rFonts w:hint="eastAsia"/>
        </w:rPr>
        <w:t>二零</w:t>
      </w:r>
      <w:r>
        <w:rPr>
          <w:rFonts w:hint="eastAsia"/>
        </w:rPr>
        <w:t>二二</w:t>
      </w:r>
      <w:r w:rsidRPr="001B4841">
        <w:rPr>
          <w:rFonts w:hint="eastAsia"/>
        </w:rPr>
        <w:t>年</w:t>
      </w:r>
      <w:r>
        <w:rPr>
          <w:rFonts w:hint="eastAsia"/>
          <w:lang w:eastAsia="zh-HK"/>
        </w:rPr>
        <w:t>十二</w:t>
      </w:r>
      <w:r>
        <w:rPr>
          <w:rFonts w:hint="eastAsia"/>
        </w:rPr>
        <w:t>月</w:t>
      </w:r>
      <w:r>
        <w:rPr>
          <w:rFonts w:hint="eastAsia"/>
          <w:lang w:eastAsia="zh-HK"/>
        </w:rPr>
        <w:t>的</w:t>
      </w:r>
      <w:r w:rsidRPr="002E20B0">
        <w:rPr>
          <w:lang w:val="en-GB"/>
        </w:rPr>
        <w:t>2.</w:t>
      </w:r>
      <w:r>
        <w:rPr>
          <w:rFonts w:hint="eastAsia"/>
          <w:lang w:val="en-GB"/>
        </w:rPr>
        <w:t>5</w:t>
      </w:r>
      <w:r w:rsidRPr="001B4841">
        <w:rPr>
          <w:rFonts w:hint="eastAsia"/>
        </w:rPr>
        <w:t>%</w:t>
      </w:r>
      <w:r>
        <w:rPr>
          <w:rFonts w:hint="eastAsia"/>
          <w:lang w:eastAsia="zh-HK"/>
        </w:rPr>
        <w:t>微跌至二零二三年三月的</w:t>
      </w:r>
      <w:r>
        <w:rPr>
          <w:rFonts w:hint="eastAsia"/>
        </w:rPr>
        <w:t>2</w:t>
      </w:r>
      <w:r>
        <w:t>.4%</w:t>
      </w:r>
      <w:r w:rsidRPr="001B4841">
        <w:rPr>
          <w:rFonts w:hint="eastAsia"/>
        </w:rPr>
        <w:t>。</w:t>
      </w:r>
    </w:p>
    <w:p w14:paraId="0B65B42E" w14:textId="651AC9B2" w:rsidR="00F96A25" w:rsidRPr="005267EE" w:rsidRDefault="008F361A" w:rsidP="00F96A25">
      <w:pPr>
        <w:tabs>
          <w:tab w:val="left" w:pos="1080"/>
        </w:tabs>
        <w:rPr>
          <w:sz w:val="28"/>
          <w:szCs w:val="28"/>
        </w:rPr>
      </w:pPr>
      <w:r w:rsidRPr="008F361A">
        <w:rPr>
          <w:noProof/>
        </w:rPr>
        <w:drawing>
          <wp:inline distT="0" distB="0" distL="0" distR="0" wp14:anchorId="00AE1A27" wp14:editId="7F46E8EA">
            <wp:extent cx="5760085" cy="35248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24840"/>
                    </a:xfrm>
                    <a:prstGeom prst="rect">
                      <a:avLst/>
                    </a:prstGeom>
                    <a:noFill/>
                    <a:ln>
                      <a:noFill/>
                    </a:ln>
                  </pic:spPr>
                </pic:pic>
              </a:graphicData>
            </a:graphic>
          </wp:inline>
        </w:drawing>
      </w:r>
    </w:p>
    <w:p w14:paraId="57BE1117" w14:textId="663815D3" w:rsidR="00F96A25" w:rsidRDefault="00F96A25" w:rsidP="00F96A25">
      <w:r>
        <w:rPr>
          <w:rFonts w:hint="eastAsia"/>
          <w:b/>
        </w:rPr>
        <w:t>3</w:t>
      </w:r>
      <w:r w:rsidRPr="00C026DB">
        <w:rPr>
          <w:rFonts w:hint="eastAsia"/>
          <w:b/>
        </w:rPr>
        <w:t>.5</w:t>
      </w:r>
      <w:r w:rsidRPr="00C026DB">
        <w:tab/>
      </w:r>
      <w:r w:rsidRPr="00FB713A">
        <w:rPr>
          <w:rFonts w:hint="eastAsia"/>
        </w:rPr>
        <w:t>隨着</w:t>
      </w:r>
      <w:r>
        <w:rPr>
          <w:rFonts w:hint="eastAsia"/>
        </w:rPr>
        <w:t>樓價反彈</w:t>
      </w:r>
      <w:r>
        <w:rPr>
          <w:rFonts w:hint="eastAsia"/>
          <w:lang w:eastAsia="zh-HK"/>
        </w:rPr>
        <w:t>，</w:t>
      </w:r>
      <w:r w:rsidRPr="00C026DB">
        <w:rPr>
          <w:rFonts w:hint="eastAsia"/>
        </w:rPr>
        <w:t>市民的置業負擔指數</w:t>
      </w:r>
      <w:r w:rsidRPr="00C026DB">
        <w:t>(</w:t>
      </w:r>
      <w:r w:rsidRPr="00C026DB">
        <w:rPr>
          <w:rFonts w:hint="eastAsia"/>
        </w:rPr>
        <w:t>即面積</w:t>
      </w:r>
      <w:r>
        <w:t> </w:t>
      </w:r>
      <w:r w:rsidRPr="00C026DB">
        <w:t>45</w:t>
      </w:r>
      <w:r w:rsidRPr="00C026DB">
        <w:rPr>
          <w:lang w:eastAsia="zh-HK"/>
        </w:rPr>
        <w:t> </w:t>
      </w:r>
      <w:r w:rsidRPr="00C026DB">
        <w:rPr>
          <w:rFonts w:hint="eastAsia"/>
        </w:rPr>
        <w:t>平方米單位的按揭供款相對住戶入息中位數</w:t>
      </w:r>
      <w:r w:rsidRPr="00C026DB">
        <w:t>(</w:t>
      </w:r>
      <w:r w:rsidRPr="00C026DB">
        <w:rPr>
          <w:rFonts w:hint="eastAsia"/>
        </w:rPr>
        <w:t>不包括</w:t>
      </w:r>
      <w:r w:rsidR="00060757" w:rsidRPr="00060757">
        <w:rPr>
          <w:rFonts w:hint="eastAsia"/>
        </w:rPr>
        <w:t>公共租住房屋和公營臨時房屋的住戶</w:t>
      </w:r>
      <w:r w:rsidRPr="00C026DB">
        <w:rPr>
          <w:rFonts w:hint="eastAsia"/>
        </w:rPr>
        <w:t>)</w:t>
      </w:r>
      <w:r w:rsidRPr="00C026DB">
        <w:rPr>
          <w:rFonts w:hint="eastAsia"/>
        </w:rPr>
        <w:t>的比</w:t>
      </w:r>
      <w:r w:rsidRPr="00465956">
        <w:rPr>
          <w:rFonts w:hint="eastAsia"/>
          <w:spacing w:val="32"/>
        </w:rPr>
        <w:t>率</w:t>
      </w:r>
      <w:r w:rsidRPr="00465956">
        <w:rPr>
          <w:spacing w:val="32"/>
        </w:rPr>
        <w:t>)</w:t>
      </w:r>
      <w:r w:rsidRPr="00465956">
        <w:rPr>
          <w:rFonts w:hint="eastAsia"/>
          <w:spacing w:val="32"/>
        </w:rPr>
        <w:t>在</w:t>
      </w:r>
      <w:r>
        <w:rPr>
          <w:rFonts w:hint="eastAsia"/>
          <w:spacing w:val="32"/>
        </w:rPr>
        <w:t>第一</w:t>
      </w:r>
      <w:r w:rsidRPr="00465956">
        <w:rPr>
          <w:rFonts w:hint="eastAsia"/>
          <w:spacing w:val="32"/>
        </w:rPr>
        <w:t>季</w:t>
      </w:r>
      <w:r>
        <w:rPr>
          <w:rFonts w:hint="eastAsia"/>
          <w:spacing w:val="32"/>
        </w:rPr>
        <w:t>上升至</w:t>
      </w:r>
      <w:r w:rsidR="00323A5A" w:rsidRPr="00465956">
        <w:rPr>
          <w:spacing w:val="32"/>
        </w:rPr>
        <w:t>7</w:t>
      </w:r>
      <w:r w:rsidR="00323A5A">
        <w:rPr>
          <w:spacing w:val="32"/>
        </w:rPr>
        <w:t>3</w:t>
      </w:r>
      <w:r w:rsidRPr="00465956">
        <w:rPr>
          <w:spacing w:val="32"/>
        </w:rPr>
        <w:t>%</w:t>
      </w:r>
      <w:r>
        <w:rPr>
          <w:rFonts w:hint="eastAsia"/>
          <w:lang w:eastAsia="zh-HK"/>
        </w:rPr>
        <w:t>，</w:t>
      </w:r>
      <w:r>
        <w:rPr>
          <w:rFonts w:hint="eastAsia"/>
          <w:spacing w:val="32"/>
        </w:rPr>
        <w:t>遠高於二零零三</w:t>
      </w:r>
      <w:r w:rsidRPr="00465956">
        <w:rPr>
          <w:rFonts w:hint="eastAsia"/>
          <w:spacing w:val="32"/>
        </w:rPr>
        <w:t>至二零二</w:t>
      </w:r>
      <w:r>
        <w:rPr>
          <w:rFonts w:hint="eastAsia"/>
          <w:spacing w:val="32"/>
        </w:rPr>
        <w:t>二</w:t>
      </w:r>
      <w:r w:rsidRPr="00465956">
        <w:rPr>
          <w:rFonts w:hint="eastAsia"/>
          <w:spacing w:val="32"/>
        </w:rPr>
        <w:t>年期間</w:t>
      </w:r>
      <w:r>
        <w:rPr>
          <w:rFonts w:hint="eastAsia"/>
          <w:spacing w:val="32"/>
        </w:rPr>
        <w:t>51</w:t>
      </w:r>
      <w:r w:rsidRPr="00465956">
        <w:rPr>
          <w:spacing w:val="32"/>
        </w:rPr>
        <w:t>%</w:t>
      </w:r>
      <w:r w:rsidRPr="00465956">
        <w:rPr>
          <w:rFonts w:hint="eastAsia"/>
          <w:spacing w:val="32"/>
        </w:rPr>
        <w:t>的長期平均數</w:t>
      </w:r>
      <w:r w:rsidRPr="00C026DB">
        <w:rPr>
          <w:rFonts w:hint="eastAsia"/>
          <w:vertAlign w:val="superscript"/>
        </w:rPr>
        <w:t>(1)</w:t>
      </w:r>
      <w:r w:rsidRPr="00465956">
        <w:rPr>
          <w:rFonts w:hint="eastAsia"/>
          <w:spacing w:val="32"/>
          <w:szCs w:val="24"/>
        </w:rPr>
        <w:t>。</w:t>
      </w:r>
      <w:r w:rsidRPr="00465956">
        <w:rPr>
          <w:rFonts w:hint="eastAsia"/>
          <w:spacing w:val="32"/>
        </w:rPr>
        <w:t>假如利率</w:t>
      </w:r>
      <w:r w:rsidRPr="00497D55">
        <w:rPr>
          <w:rFonts w:hint="eastAsia"/>
        </w:rPr>
        <w:t>上升兩個百分點至較接近以往的水平，該比率會</w:t>
      </w:r>
      <w:r w:rsidR="00035FB2">
        <w:rPr>
          <w:rFonts w:hint="eastAsia"/>
        </w:rPr>
        <w:t>達</w:t>
      </w:r>
      <w:r>
        <w:t>8</w:t>
      </w:r>
      <w:r>
        <w:rPr>
          <w:rFonts w:hint="eastAsia"/>
        </w:rPr>
        <w:t>6</w:t>
      </w:r>
      <w:r w:rsidRPr="00C026DB">
        <w:rPr>
          <w:rFonts w:hint="eastAsia"/>
        </w:rPr>
        <w:t>%</w:t>
      </w:r>
      <w:r w:rsidRPr="00C026DB">
        <w:rPr>
          <w:rFonts w:hint="eastAsia"/>
        </w:rPr>
        <w:t>。</w:t>
      </w:r>
    </w:p>
    <w:p w14:paraId="02D51408" w14:textId="1879CE5E" w:rsidR="00F96A25" w:rsidRPr="00DF74DF" w:rsidRDefault="001A14FC" w:rsidP="00F96A25">
      <w:pPr>
        <w:rPr>
          <w:b/>
        </w:rPr>
      </w:pPr>
      <w:r w:rsidRPr="001A14FC">
        <w:rPr>
          <w:noProof/>
        </w:rPr>
        <w:lastRenderedPageBreak/>
        <w:drawing>
          <wp:inline distT="0" distB="0" distL="0" distR="0" wp14:anchorId="3ED40F36" wp14:editId="6456A511">
            <wp:extent cx="5760085" cy="35498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49838"/>
                    </a:xfrm>
                    <a:prstGeom prst="rect">
                      <a:avLst/>
                    </a:prstGeom>
                    <a:noFill/>
                    <a:ln>
                      <a:noFill/>
                    </a:ln>
                  </pic:spPr>
                </pic:pic>
              </a:graphicData>
            </a:graphic>
          </wp:inline>
        </w:drawing>
      </w:r>
    </w:p>
    <w:p w14:paraId="436E22E4" w14:textId="6B568C71" w:rsidR="00F96A25" w:rsidRPr="00020C76" w:rsidRDefault="00F96A25" w:rsidP="00F96A25">
      <w:r w:rsidRPr="00020C76">
        <w:rPr>
          <w:b/>
        </w:rPr>
        <w:t>3.6</w:t>
      </w:r>
      <w:r w:rsidRPr="00020C76">
        <w:tab/>
      </w:r>
      <w:r w:rsidR="00A826DA" w:rsidRPr="00C026DB">
        <w:t>增加</w:t>
      </w:r>
      <w:r w:rsidR="00A826DA" w:rsidRPr="00084A1B">
        <w:rPr>
          <w:rFonts w:hint="eastAsia"/>
        </w:rPr>
        <w:t>房屋</w:t>
      </w:r>
      <w:r w:rsidR="00A826DA" w:rsidRPr="00C026DB">
        <w:t>土地供應</w:t>
      </w:r>
      <w:r w:rsidRPr="00020C76">
        <w:t>是政府的</w:t>
      </w:r>
      <w:r w:rsidRPr="00020C76">
        <w:rPr>
          <w:rFonts w:hint="eastAsia"/>
          <w:lang w:eastAsia="zh-HK"/>
        </w:rPr>
        <w:t>一項首要政策</w:t>
      </w:r>
      <w:r w:rsidRPr="00020C76">
        <w:rPr>
          <w:rFonts w:hint="eastAsia"/>
          <w:vertAlign w:val="superscript"/>
        </w:rPr>
        <w:t>(</w:t>
      </w:r>
      <w:r w:rsidRPr="00020C76">
        <w:rPr>
          <w:vertAlign w:val="superscript"/>
        </w:rPr>
        <w:t>2)</w:t>
      </w:r>
      <w:r w:rsidRPr="00020C76">
        <w:t>。政府在二月公布二零二</w:t>
      </w:r>
      <w:r>
        <w:rPr>
          <w:rFonts w:hint="eastAsia"/>
          <w:lang w:eastAsia="zh-HK"/>
        </w:rPr>
        <w:t>三</w:t>
      </w:r>
      <w:r w:rsidRPr="00020C76">
        <w:t>至二</w:t>
      </w:r>
      <w:r>
        <w:rPr>
          <w:rFonts w:hint="eastAsia"/>
          <w:lang w:eastAsia="zh-HK"/>
        </w:rPr>
        <w:t>四</w:t>
      </w:r>
      <w:r w:rsidRPr="00020C76">
        <w:t>年度賣地計劃，當中包括</w:t>
      </w:r>
      <w:r>
        <w:rPr>
          <w:rFonts w:hint="eastAsia"/>
        </w:rPr>
        <w:t>12</w:t>
      </w:r>
      <w:r w:rsidRPr="00020C76">
        <w:t>幅住宅用地，總共可供興建約</w:t>
      </w:r>
      <w:r>
        <w:rPr>
          <w:rFonts w:hint="eastAsia"/>
        </w:rPr>
        <w:t>9</w:t>
      </w:r>
      <w:r>
        <w:t> </w:t>
      </w:r>
      <w:r>
        <w:rPr>
          <w:rFonts w:hint="eastAsia"/>
        </w:rPr>
        <w:t>100</w:t>
      </w:r>
      <w:r w:rsidRPr="00020C76">
        <w:t>個單位。綜合各個來源</w:t>
      </w:r>
      <w:r w:rsidRPr="00020C76">
        <w:t>(</w:t>
      </w:r>
      <w:r w:rsidRPr="00020C76">
        <w:t>包括政府賣地、鐵路物業發展項目</w:t>
      </w:r>
      <w:r w:rsidRPr="00020C76">
        <w:rPr>
          <w:rFonts w:hint="eastAsia"/>
          <w:lang w:eastAsia="zh-HK"/>
        </w:rPr>
        <w:t>、市區重建局項目</w:t>
      </w:r>
      <w:r w:rsidRPr="00020C76">
        <w:t>，以及私人發展和重建項目</w:t>
      </w:r>
      <w:r w:rsidRPr="00020C76">
        <w:t>)</w:t>
      </w:r>
      <w:r w:rsidRPr="00020C76">
        <w:t>，二零二</w:t>
      </w:r>
      <w:r>
        <w:rPr>
          <w:rFonts w:hint="eastAsia"/>
          <w:lang w:eastAsia="zh-HK"/>
        </w:rPr>
        <w:t>三</w:t>
      </w:r>
      <w:r w:rsidRPr="00020C76">
        <w:t>至二</w:t>
      </w:r>
      <w:r>
        <w:rPr>
          <w:rFonts w:hint="eastAsia"/>
          <w:lang w:eastAsia="zh-HK"/>
        </w:rPr>
        <w:t>四</w:t>
      </w:r>
      <w:r w:rsidRPr="00020C76">
        <w:t>年度的私人房屋土地潛在總供應預計可供興建約</w:t>
      </w:r>
      <w:r>
        <w:rPr>
          <w:rFonts w:hint="eastAsia"/>
        </w:rPr>
        <w:t>20</w:t>
      </w:r>
      <w:r>
        <w:t> </w:t>
      </w:r>
      <w:r>
        <w:rPr>
          <w:rFonts w:hint="eastAsia"/>
        </w:rPr>
        <w:t>600</w:t>
      </w:r>
      <w:r>
        <w:t> </w:t>
      </w:r>
      <w:r w:rsidRPr="00020C76">
        <w:t>個單位</w:t>
      </w:r>
      <w:r w:rsidR="00A826DA">
        <w:rPr>
          <w:rFonts w:hint="eastAsia"/>
          <w:lang w:eastAsia="zh-HK"/>
        </w:rPr>
        <w:t>，</w:t>
      </w:r>
      <w:r w:rsidR="00DE41DD" w:rsidRPr="00DE41DD">
        <w:rPr>
          <w:rFonts w:hint="eastAsia"/>
          <w:lang w:eastAsia="zh-HK"/>
        </w:rPr>
        <w:t>較</w:t>
      </w:r>
      <w:r w:rsidR="00A826DA">
        <w:rPr>
          <w:rFonts w:hint="eastAsia"/>
          <w:lang w:eastAsia="zh-HK"/>
        </w:rPr>
        <w:t>私人房屋供應</w:t>
      </w:r>
      <w:r w:rsidR="004974A7">
        <w:rPr>
          <w:rFonts w:hint="eastAsia"/>
          <w:lang w:eastAsia="zh-HK"/>
        </w:rPr>
        <w:t>的</w:t>
      </w:r>
      <w:r w:rsidR="00DE41DD" w:rsidRPr="00DE41DD">
        <w:rPr>
          <w:rFonts w:hint="eastAsia"/>
          <w:lang w:eastAsia="zh-HK"/>
        </w:rPr>
        <w:t>年度</w:t>
      </w:r>
      <w:r w:rsidR="00A826DA">
        <w:rPr>
          <w:rFonts w:hint="eastAsia"/>
          <w:lang w:eastAsia="zh-HK"/>
        </w:rPr>
        <w:t>目標</w:t>
      </w:r>
      <w:r w:rsidR="00A826DA" w:rsidRPr="00C026DB">
        <w:rPr>
          <w:rFonts w:hint="eastAsia"/>
        </w:rPr>
        <w:t>12</w:t>
      </w:r>
      <w:r w:rsidR="00A826DA" w:rsidRPr="00C026DB">
        <w:t> </w:t>
      </w:r>
      <w:r w:rsidR="00A826DA" w:rsidRPr="00C026DB">
        <w:rPr>
          <w:rFonts w:hint="eastAsia"/>
        </w:rPr>
        <w:t>900</w:t>
      </w:r>
      <w:r w:rsidR="00A826DA">
        <w:t> </w:t>
      </w:r>
      <w:r w:rsidR="00A826DA" w:rsidRPr="00C026DB">
        <w:rPr>
          <w:rFonts w:hint="eastAsia"/>
          <w:lang w:eastAsia="zh-HK"/>
        </w:rPr>
        <w:t>個單位</w:t>
      </w:r>
      <w:r w:rsidR="00DE41DD" w:rsidRPr="00DE41DD">
        <w:rPr>
          <w:rFonts w:hint="eastAsia"/>
          <w:lang w:eastAsia="zh-HK"/>
        </w:rPr>
        <w:t>高出接近</w:t>
      </w:r>
      <w:r w:rsidR="00A826DA" w:rsidRPr="00A826DA">
        <w:rPr>
          <w:rFonts w:hint="eastAsia"/>
          <w:lang w:eastAsia="zh-HK"/>
        </w:rPr>
        <w:t>六成</w:t>
      </w:r>
      <w:r w:rsidRPr="00020C76">
        <w:t>。</w:t>
      </w:r>
    </w:p>
    <w:p w14:paraId="733D5035" w14:textId="40ED9205" w:rsidR="00F96A25" w:rsidRDefault="00F96A25" w:rsidP="00F96A25">
      <w:r w:rsidRPr="00C321D0">
        <w:rPr>
          <w:b/>
        </w:rPr>
        <w:t>3.7</w:t>
      </w:r>
      <w:r w:rsidRPr="00C321D0">
        <w:tab/>
      </w:r>
      <w:r w:rsidRPr="00C321D0">
        <w:t>反映政府增加土地</w:t>
      </w:r>
      <w:r w:rsidR="008F361A" w:rsidRPr="008F361A">
        <w:rPr>
          <w:rFonts w:hint="eastAsia"/>
        </w:rPr>
        <w:t>及住宅</w:t>
      </w:r>
      <w:r w:rsidRPr="00C321D0">
        <w:t>供應的持續努力，</w:t>
      </w:r>
      <w:r w:rsidRPr="00C321D0">
        <w:rPr>
          <w:rFonts w:hint="eastAsia"/>
          <w:spacing w:val="32"/>
        </w:rPr>
        <w:t>二零二</w:t>
      </w:r>
      <w:r>
        <w:rPr>
          <w:rFonts w:hint="eastAsia"/>
          <w:spacing w:val="32"/>
          <w:lang w:eastAsia="zh-HK"/>
        </w:rPr>
        <w:t>三</w:t>
      </w:r>
      <w:r w:rsidRPr="00C321D0">
        <w:rPr>
          <w:rFonts w:hint="eastAsia"/>
          <w:spacing w:val="32"/>
        </w:rPr>
        <w:t>年三月底時估計</w:t>
      </w:r>
      <w:r w:rsidRPr="00C321D0">
        <w:t>未來三至四年</w:t>
      </w:r>
      <w:r w:rsidRPr="0025322B">
        <w:rPr>
          <w:rFonts w:hint="eastAsia"/>
          <w:i/>
          <w:lang w:eastAsia="zh-HK"/>
        </w:rPr>
        <w:t>一手</w:t>
      </w:r>
      <w:r w:rsidRPr="008525B9">
        <w:rPr>
          <w:rFonts w:hint="eastAsia"/>
          <w:i/>
        </w:rPr>
        <w:t>私人</w:t>
      </w:r>
      <w:r w:rsidRPr="00C321D0">
        <w:rPr>
          <w:i/>
        </w:rPr>
        <w:t>住宅單位總供應量</w:t>
      </w:r>
      <w:r w:rsidRPr="00C321D0">
        <w:t>(</w:t>
      </w:r>
      <w:r w:rsidRPr="00C321D0">
        <w:t>包括已落成項目的未售出單位、建築中而未售出的單位，以及已批出土地而隨時可動工的項目所涉及的單位</w:t>
      </w:r>
      <w:r w:rsidRPr="00C321D0">
        <w:t>)</w:t>
      </w:r>
      <w:r w:rsidRPr="00C321D0">
        <w:t>會</w:t>
      </w:r>
      <w:r>
        <w:rPr>
          <w:rFonts w:hint="eastAsia"/>
        </w:rPr>
        <w:t>增</w:t>
      </w:r>
      <w:r>
        <w:rPr>
          <w:rFonts w:hint="eastAsia"/>
          <w:lang w:eastAsia="zh-HK"/>
        </w:rPr>
        <w:t>至</w:t>
      </w:r>
      <w:r w:rsidR="00DE41DD">
        <w:rPr>
          <w:rFonts w:hint="eastAsia"/>
          <w:spacing w:val="32"/>
        </w:rPr>
        <w:t>10</w:t>
      </w:r>
      <w:r w:rsidR="00DE41DD">
        <w:rPr>
          <w:spacing w:val="32"/>
        </w:rPr>
        <w:t>7</w:t>
      </w:r>
      <w:r w:rsidR="00DE41DD" w:rsidRPr="00C321D0">
        <w:rPr>
          <w:spacing w:val="32"/>
        </w:rPr>
        <w:t> </w:t>
      </w:r>
      <w:r w:rsidRPr="00C321D0">
        <w:rPr>
          <w:spacing w:val="32"/>
        </w:rPr>
        <w:t>000</w:t>
      </w:r>
      <w:r w:rsidRPr="00C321D0">
        <w:rPr>
          <w:rFonts w:hint="eastAsia"/>
          <w:spacing w:val="32"/>
        </w:rPr>
        <w:t>個</w:t>
      </w:r>
      <w:r>
        <w:rPr>
          <w:rFonts w:hint="eastAsia"/>
          <w:spacing w:val="32"/>
          <w:lang w:eastAsia="zh-HK"/>
        </w:rPr>
        <w:t>的</w:t>
      </w:r>
      <w:r>
        <w:rPr>
          <w:rFonts w:hint="eastAsia"/>
          <w:spacing w:val="32"/>
        </w:rPr>
        <w:t>紀錄</w:t>
      </w:r>
      <w:r>
        <w:rPr>
          <w:rFonts w:hint="eastAsia"/>
          <w:spacing w:val="32"/>
          <w:lang w:eastAsia="zh-HK"/>
        </w:rPr>
        <w:t>新高</w:t>
      </w:r>
      <w:r w:rsidRPr="00C321D0">
        <w:rPr>
          <w:rFonts w:hint="eastAsia"/>
          <w:spacing w:val="32"/>
        </w:rPr>
        <w:t>。在多幅住宅用地轉為「熟地」後，將可額外供應</w:t>
      </w:r>
      <w:r w:rsidR="00DE41DD">
        <w:rPr>
          <w:spacing w:val="32"/>
        </w:rPr>
        <w:t>3 000</w:t>
      </w:r>
      <w:r w:rsidRPr="00C321D0">
        <w:rPr>
          <w:rFonts w:hint="eastAsia"/>
          <w:spacing w:val="32"/>
        </w:rPr>
        <w:t>個單位。此外，二零二</w:t>
      </w:r>
      <w:r>
        <w:rPr>
          <w:rFonts w:hint="eastAsia"/>
          <w:spacing w:val="32"/>
          <w:lang w:eastAsia="zh-HK"/>
        </w:rPr>
        <w:t>三</w:t>
      </w:r>
      <w:r w:rsidRPr="00C321D0">
        <w:rPr>
          <w:rFonts w:hint="eastAsia"/>
          <w:spacing w:val="32"/>
        </w:rPr>
        <w:t>至二</w:t>
      </w:r>
      <w:r w:rsidRPr="00C321D0">
        <w:t>零二</w:t>
      </w:r>
      <w:r>
        <w:rPr>
          <w:rFonts w:hint="eastAsia"/>
          <w:lang w:eastAsia="zh-HK"/>
        </w:rPr>
        <w:t>七</w:t>
      </w:r>
      <w:r w:rsidRPr="00C321D0">
        <w:t>年間私人住宅單位平均每年落成量預計為</w:t>
      </w:r>
      <w:r w:rsidRPr="00C321D0">
        <w:rPr>
          <w:rFonts w:hint="eastAsia"/>
          <w:lang w:eastAsia="zh-HK"/>
        </w:rPr>
        <w:t>超過</w:t>
      </w:r>
      <w:r w:rsidRPr="00C321D0">
        <w:t>19 000</w:t>
      </w:r>
      <w:r w:rsidRPr="00C321D0">
        <w:t>個。</w:t>
      </w:r>
    </w:p>
    <w:p w14:paraId="38DCD088" w14:textId="77777777" w:rsidR="001C0E99" w:rsidRDefault="001C0E99">
      <w:pPr>
        <w:tabs>
          <w:tab w:val="clear" w:pos="936"/>
          <w:tab w:val="clear" w:pos="1560"/>
          <w:tab w:val="clear" w:pos="2184"/>
          <w:tab w:val="clear" w:pos="2808"/>
        </w:tabs>
        <w:overflowPunct/>
        <w:adjustRightInd/>
        <w:spacing w:after="0" w:line="240" w:lineRule="auto"/>
        <w:jc w:val="left"/>
        <w:textAlignment w:val="auto"/>
        <w:rPr>
          <w:b/>
          <w:noProof/>
        </w:rPr>
      </w:pPr>
      <w:r>
        <w:rPr>
          <w:b/>
          <w:noProof/>
        </w:rPr>
        <w:br w:type="page"/>
      </w:r>
    </w:p>
    <w:p w14:paraId="123AE7C2" w14:textId="1B56E92F" w:rsidR="00F96A25" w:rsidRPr="00D04BA9" w:rsidRDefault="00F96A25" w:rsidP="00F96A25">
      <w:pPr>
        <w:rPr>
          <w:sz w:val="28"/>
          <w:szCs w:val="28"/>
        </w:rPr>
      </w:pPr>
      <w:r w:rsidRPr="00D04BA9">
        <w:rPr>
          <w:b/>
          <w:noProof/>
        </w:rPr>
        <w:lastRenderedPageBreak/>
        <w:t>3.8</w:t>
      </w:r>
      <w:r w:rsidRPr="00D04BA9">
        <w:rPr>
          <w:b/>
          <w:noProof/>
        </w:rPr>
        <w:tab/>
      </w:r>
      <w:r w:rsidRPr="0025322B">
        <w:rPr>
          <w:rFonts w:hint="eastAsia"/>
          <w:noProof/>
        </w:rPr>
        <w:t>為</w:t>
      </w:r>
      <w:r w:rsidRPr="00D04BA9">
        <w:rPr>
          <w:rFonts w:hint="eastAsia"/>
        </w:rPr>
        <w:t>遏抑投機、投資及非本地需求，以及降低樓市亢奮對金融穩定可能帶來的風險，政府</w:t>
      </w:r>
      <w:r>
        <w:rPr>
          <w:rFonts w:hint="eastAsia"/>
        </w:rPr>
        <w:t>在</w:t>
      </w:r>
      <w:r w:rsidRPr="00D04BA9">
        <w:rPr>
          <w:rFonts w:hint="eastAsia"/>
        </w:rPr>
        <w:t>二零零九至二零一七年</w:t>
      </w:r>
      <w:r>
        <w:rPr>
          <w:rFonts w:hint="eastAsia"/>
        </w:rPr>
        <w:t>期間</w:t>
      </w:r>
      <w:r w:rsidRPr="00D04BA9">
        <w:rPr>
          <w:rFonts w:hint="eastAsia"/>
        </w:rPr>
        <w:t>推出</w:t>
      </w:r>
      <w:r>
        <w:rPr>
          <w:rFonts w:hint="eastAsia"/>
        </w:rPr>
        <w:t>多項</w:t>
      </w:r>
      <w:r w:rsidRPr="00D04BA9">
        <w:rPr>
          <w:rFonts w:hint="eastAsia"/>
        </w:rPr>
        <w:t>需求管理及宏觀審慎監管措施。這些措施已取得顯著成效。</w:t>
      </w:r>
      <w:r w:rsidRPr="00D04BA9">
        <w:rPr>
          <w:rFonts w:hint="eastAsia"/>
          <w:i/>
        </w:rPr>
        <w:t>投機活動</w:t>
      </w:r>
      <w:r w:rsidRPr="00D04BA9">
        <w:rPr>
          <w:rFonts w:hint="eastAsia"/>
        </w:rPr>
        <w:t>方面，短期轉售</w:t>
      </w:r>
      <w:r w:rsidRPr="00D04BA9">
        <w:rPr>
          <w:rFonts w:hint="eastAsia"/>
        </w:rPr>
        <w:t>(</w:t>
      </w:r>
      <w:r w:rsidRPr="00D04BA9">
        <w:rPr>
          <w:rFonts w:hint="eastAsia"/>
        </w:rPr>
        <w:t>包括確認人交易及</w:t>
      </w:r>
      <w:r w:rsidRPr="00D04BA9">
        <w:rPr>
          <w:rFonts w:hint="eastAsia"/>
        </w:rPr>
        <w:t>24</w:t>
      </w:r>
      <w:r w:rsidRPr="00D04BA9">
        <w:rPr>
          <w:rFonts w:hint="eastAsia"/>
        </w:rPr>
        <w:t>個月內轉售</w:t>
      </w:r>
      <w:r w:rsidRPr="00D04BA9">
        <w:rPr>
          <w:rFonts w:hint="eastAsia"/>
        </w:rPr>
        <w:t>)</w:t>
      </w:r>
      <w:r w:rsidRPr="00D04BA9">
        <w:rPr>
          <w:rFonts w:hint="eastAsia"/>
        </w:rPr>
        <w:t>在第</w:t>
      </w:r>
      <w:r w:rsidRPr="00D04BA9">
        <w:rPr>
          <w:rFonts w:hint="eastAsia"/>
          <w:lang w:eastAsia="zh-HK"/>
        </w:rPr>
        <w:t>一</w:t>
      </w:r>
      <w:r w:rsidRPr="00D04BA9">
        <w:rPr>
          <w:rFonts w:hint="eastAsia"/>
        </w:rPr>
        <w:t>季維持在平均每月</w:t>
      </w:r>
      <w:r w:rsidRPr="00D04BA9">
        <w:t>41</w:t>
      </w:r>
      <w:r w:rsidRPr="00D04BA9">
        <w:rPr>
          <w:rFonts w:hint="eastAsia"/>
        </w:rPr>
        <w:t>宗的低</w:t>
      </w:r>
      <w:r>
        <w:rPr>
          <w:rFonts w:hint="eastAsia"/>
          <w:lang w:eastAsia="zh-HK"/>
        </w:rPr>
        <w:t>位</w:t>
      </w:r>
      <w:r w:rsidRPr="00D04BA9">
        <w:rPr>
          <w:rFonts w:hint="eastAsia"/>
        </w:rPr>
        <w:t>，佔總成交的</w:t>
      </w:r>
      <w:r>
        <w:rPr>
          <w:rFonts w:hint="eastAsia"/>
        </w:rPr>
        <w:t>0.</w:t>
      </w:r>
      <w:r w:rsidR="008F361A">
        <w:t>8</w:t>
      </w:r>
      <w:r w:rsidRPr="00D04BA9">
        <w:rPr>
          <w:rFonts w:hint="eastAsia"/>
        </w:rPr>
        <w:t>%</w:t>
      </w:r>
      <w:r w:rsidRPr="00D04BA9">
        <w:rPr>
          <w:rFonts w:hint="eastAsia"/>
        </w:rPr>
        <w:t>，遠低於二零一零年一月至十一月期間</w:t>
      </w:r>
      <w:r w:rsidRPr="00D04BA9">
        <w:rPr>
          <w:rFonts w:hint="eastAsia"/>
        </w:rPr>
        <w:t>(</w:t>
      </w:r>
      <w:r w:rsidRPr="00D04BA9">
        <w:rPr>
          <w:rFonts w:hint="eastAsia"/>
        </w:rPr>
        <w:t>即開徵「額外印花稅」前</w:t>
      </w:r>
      <w:r w:rsidRPr="00D04BA9">
        <w:rPr>
          <w:rFonts w:hint="eastAsia"/>
        </w:rPr>
        <w:t>)</w:t>
      </w:r>
      <w:r w:rsidRPr="00D04BA9">
        <w:rPr>
          <w:rFonts w:hint="eastAsia"/>
        </w:rPr>
        <w:t>的平均每月</w:t>
      </w:r>
      <w:r w:rsidRPr="00D04BA9">
        <w:rPr>
          <w:rFonts w:hint="eastAsia"/>
        </w:rPr>
        <w:t>2</w:t>
      </w:r>
      <w:r w:rsidRPr="00D04BA9">
        <w:t> </w:t>
      </w:r>
      <w:r w:rsidRPr="00D04BA9">
        <w:rPr>
          <w:rFonts w:hint="eastAsia"/>
        </w:rPr>
        <w:t>661</w:t>
      </w:r>
      <w:r w:rsidRPr="00D04BA9">
        <w:rPr>
          <w:rFonts w:hint="eastAsia"/>
        </w:rPr>
        <w:t>宗或</w:t>
      </w:r>
      <w:r w:rsidRPr="00D04BA9">
        <w:rPr>
          <w:rFonts w:hint="eastAsia"/>
        </w:rPr>
        <w:t>20.0%</w:t>
      </w:r>
      <w:r w:rsidRPr="00D04BA9">
        <w:rPr>
          <w:rFonts w:hint="eastAsia"/>
        </w:rPr>
        <w:t>。反映「買家印花稅」的影響，</w:t>
      </w:r>
      <w:r w:rsidRPr="00D04BA9">
        <w:rPr>
          <w:rFonts w:hint="eastAsia"/>
          <w:i/>
        </w:rPr>
        <w:t>以非本地個人及非本地公司名義購買物業的個案</w:t>
      </w:r>
      <w:r w:rsidRPr="00D04BA9">
        <w:rPr>
          <w:rFonts w:hint="eastAsia"/>
        </w:rPr>
        <w:t>在第</w:t>
      </w:r>
      <w:r w:rsidRPr="00D04BA9">
        <w:rPr>
          <w:rFonts w:hint="eastAsia"/>
          <w:lang w:eastAsia="zh-HK"/>
        </w:rPr>
        <w:t>一</w:t>
      </w:r>
      <w:r w:rsidRPr="00D04BA9">
        <w:rPr>
          <w:rFonts w:hint="eastAsia"/>
        </w:rPr>
        <w:t>季亦處於平均每月</w:t>
      </w:r>
      <w:r w:rsidRPr="00D04BA9">
        <w:t>37</w:t>
      </w:r>
      <w:r w:rsidRPr="00D04BA9">
        <w:rPr>
          <w:rFonts w:hint="eastAsia"/>
        </w:rPr>
        <w:t>宗的低水平，佔總成交的</w:t>
      </w:r>
      <w:r>
        <w:rPr>
          <w:rFonts w:hint="eastAsia"/>
        </w:rPr>
        <w:t>0.7</w:t>
      </w:r>
      <w:r w:rsidRPr="00D04BA9">
        <w:rPr>
          <w:rFonts w:hint="eastAsia"/>
        </w:rPr>
        <w:t>%</w:t>
      </w:r>
      <w:r w:rsidRPr="00D04BA9">
        <w:rPr>
          <w:rFonts w:hint="eastAsia"/>
        </w:rPr>
        <w:t>，遠低於二零一二年一月至十月期間的平均每月</w:t>
      </w:r>
      <w:r w:rsidRPr="00D04BA9">
        <w:rPr>
          <w:rFonts w:hint="eastAsia"/>
        </w:rPr>
        <w:t>365</w:t>
      </w:r>
      <w:r w:rsidRPr="00D04BA9">
        <w:rPr>
          <w:rFonts w:hint="eastAsia"/>
        </w:rPr>
        <w:t>宗或</w:t>
      </w:r>
      <w:r w:rsidRPr="00D04BA9">
        <w:rPr>
          <w:rFonts w:hint="eastAsia"/>
        </w:rPr>
        <w:t>4.5%</w:t>
      </w:r>
      <w:r w:rsidRPr="00D04BA9">
        <w:rPr>
          <w:rFonts w:hint="eastAsia"/>
        </w:rPr>
        <w:t>。作為</w:t>
      </w:r>
      <w:r w:rsidRPr="00D04BA9">
        <w:rPr>
          <w:rFonts w:hint="eastAsia"/>
          <w:i/>
        </w:rPr>
        <w:t>投資活動</w:t>
      </w:r>
      <w:r w:rsidRPr="00D04BA9">
        <w:rPr>
          <w:rFonts w:hint="eastAsia"/>
        </w:rPr>
        <w:t>的指標，涉及「新住宅印花稅」的購買物業個案在第</w:t>
      </w:r>
      <w:r w:rsidRPr="00D04BA9">
        <w:rPr>
          <w:rFonts w:hint="eastAsia"/>
          <w:lang w:eastAsia="zh-HK"/>
        </w:rPr>
        <w:t>一</w:t>
      </w:r>
      <w:r w:rsidRPr="00D04BA9">
        <w:rPr>
          <w:rFonts w:hint="eastAsia"/>
        </w:rPr>
        <w:t>季處於平均每月</w:t>
      </w:r>
      <w:r>
        <w:rPr>
          <w:rFonts w:hint="eastAsia"/>
        </w:rPr>
        <w:t>177</w:t>
      </w:r>
      <w:r w:rsidRPr="00D04BA9">
        <w:rPr>
          <w:rFonts w:hint="eastAsia"/>
          <w:spacing w:val="32"/>
        </w:rPr>
        <w:t>宗的溫和水平，佔總成交的</w:t>
      </w:r>
      <w:r>
        <w:rPr>
          <w:rFonts w:hint="eastAsia"/>
          <w:spacing w:val="32"/>
        </w:rPr>
        <w:t>3.3</w:t>
      </w:r>
      <w:r w:rsidRPr="00D04BA9">
        <w:rPr>
          <w:spacing w:val="32"/>
        </w:rPr>
        <w:t>%</w:t>
      </w:r>
      <w:r w:rsidRPr="00D04BA9">
        <w:rPr>
          <w:rFonts w:hint="eastAsia"/>
          <w:spacing w:val="32"/>
        </w:rPr>
        <w:t>，明顯低於二零一六年一月至十</w:t>
      </w:r>
      <w:r w:rsidRPr="00D04BA9">
        <w:rPr>
          <w:rFonts w:hint="eastAsia"/>
        </w:rPr>
        <w:t>一月期間平均每月</w:t>
      </w:r>
      <w:r w:rsidRPr="00D04BA9">
        <w:rPr>
          <w:rFonts w:hint="eastAsia"/>
        </w:rPr>
        <w:t>1</w:t>
      </w:r>
      <w:r w:rsidRPr="00D04BA9">
        <w:t> </w:t>
      </w:r>
      <w:r w:rsidRPr="00D04BA9">
        <w:rPr>
          <w:rFonts w:hint="eastAsia"/>
        </w:rPr>
        <w:t>412</w:t>
      </w:r>
      <w:r w:rsidRPr="00D04BA9">
        <w:rPr>
          <w:rFonts w:hint="eastAsia"/>
        </w:rPr>
        <w:t>宗涉及「雙倍</w:t>
      </w:r>
      <w:r>
        <w:rPr>
          <w:rFonts w:hint="eastAsia"/>
        </w:rPr>
        <w:t>從價</w:t>
      </w:r>
      <w:r w:rsidRPr="00D04BA9">
        <w:rPr>
          <w:rFonts w:hint="eastAsia"/>
        </w:rPr>
        <w:t>印花稅」的購買物業個案</w:t>
      </w:r>
      <w:r>
        <w:t>(</w:t>
      </w:r>
      <w:r>
        <w:t>佔總成交的</w:t>
      </w:r>
      <w:r>
        <w:t>26.5%)</w:t>
      </w:r>
      <w:r w:rsidRPr="00D04BA9">
        <w:rPr>
          <w:rFonts w:hint="eastAsia"/>
        </w:rPr>
        <w:t>。</w:t>
      </w:r>
      <w:r w:rsidRPr="00D04BA9">
        <w:rPr>
          <w:rFonts w:hint="eastAsia"/>
          <w:i/>
        </w:rPr>
        <w:t>按揭貸款</w:t>
      </w:r>
      <w:r w:rsidRPr="00D04BA9">
        <w:rPr>
          <w:rFonts w:hint="eastAsia"/>
        </w:rPr>
        <w:t>方面，第</w:t>
      </w:r>
      <w:r w:rsidRPr="00D04BA9">
        <w:rPr>
          <w:rFonts w:hint="eastAsia"/>
          <w:lang w:eastAsia="zh-HK"/>
        </w:rPr>
        <w:t>一</w:t>
      </w:r>
      <w:r w:rsidRPr="00D04BA9">
        <w:rPr>
          <w:rFonts w:hint="eastAsia"/>
        </w:rPr>
        <w:t>季新造按揭的平均按揭成數為</w:t>
      </w:r>
      <w:r>
        <w:rPr>
          <w:rFonts w:hint="eastAsia"/>
        </w:rPr>
        <w:t>60</w:t>
      </w:r>
      <w:r w:rsidRPr="00D04BA9">
        <w:t>%</w:t>
      </w:r>
      <w:r w:rsidRPr="00D04BA9">
        <w:rPr>
          <w:rFonts w:hint="eastAsia"/>
        </w:rPr>
        <w:t>，同樣低於二零零九年一月至十月期間</w:t>
      </w:r>
      <w:r w:rsidRPr="00D04BA9">
        <w:rPr>
          <w:rFonts w:hint="eastAsia"/>
        </w:rPr>
        <w:t>(</w:t>
      </w:r>
      <w:r w:rsidRPr="00D04BA9">
        <w:rPr>
          <w:rFonts w:hint="eastAsia"/>
        </w:rPr>
        <w:t>即香港金融管理局推出首輪住宅物業按揭貸款宏觀審慎監管措施前</w:t>
      </w:r>
      <w:r w:rsidRPr="00D04BA9">
        <w:rPr>
          <w:rFonts w:hint="eastAsia"/>
        </w:rPr>
        <w:t>)64%</w:t>
      </w:r>
      <w:r w:rsidRPr="00D04BA9">
        <w:rPr>
          <w:rFonts w:hint="eastAsia"/>
        </w:rPr>
        <w:t>的平均數。</w:t>
      </w:r>
    </w:p>
    <w:p w14:paraId="0059681A" w14:textId="21B830E4" w:rsidR="00F96A25" w:rsidRDefault="00E77909" w:rsidP="00F96A25">
      <w:pPr>
        <w:rPr>
          <w:lang w:eastAsia="zh-HK"/>
        </w:rPr>
      </w:pPr>
      <w:r w:rsidRPr="00E77909">
        <w:rPr>
          <w:noProof/>
        </w:rPr>
        <w:drawing>
          <wp:inline distT="0" distB="0" distL="0" distR="0" wp14:anchorId="56B774B8" wp14:editId="5E56E89E">
            <wp:extent cx="5760085" cy="354977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49774"/>
                    </a:xfrm>
                    <a:prstGeom prst="rect">
                      <a:avLst/>
                    </a:prstGeom>
                    <a:noFill/>
                    <a:ln>
                      <a:noFill/>
                    </a:ln>
                  </pic:spPr>
                </pic:pic>
              </a:graphicData>
            </a:graphic>
          </wp:inline>
        </w:drawing>
      </w:r>
    </w:p>
    <w:p w14:paraId="3253CCAA" w14:textId="77777777" w:rsidR="00722002" w:rsidRDefault="00722002" w:rsidP="00F96A25">
      <w:pPr>
        <w:rPr>
          <w:noProof/>
          <w:lang w:val="en-GB"/>
        </w:rPr>
      </w:pPr>
    </w:p>
    <w:p w14:paraId="6C2B7441" w14:textId="0547E61E" w:rsidR="00F96A25" w:rsidRPr="009A5FAE" w:rsidRDefault="00E77909" w:rsidP="00F96A25">
      <w:r w:rsidRPr="00E77909">
        <w:rPr>
          <w:noProof/>
        </w:rPr>
        <w:lastRenderedPageBreak/>
        <w:drawing>
          <wp:inline distT="0" distB="0" distL="0" distR="0" wp14:anchorId="3CD228B3" wp14:editId="388984DD">
            <wp:extent cx="5760085" cy="352354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3541"/>
                    </a:xfrm>
                    <a:prstGeom prst="rect">
                      <a:avLst/>
                    </a:prstGeom>
                    <a:noFill/>
                    <a:ln>
                      <a:noFill/>
                    </a:ln>
                  </pic:spPr>
                </pic:pic>
              </a:graphicData>
            </a:graphic>
          </wp:inline>
        </w:drawing>
      </w:r>
    </w:p>
    <w:p w14:paraId="35524986" w14:textId="4F626EBB" w:rsidR="00F96A25" w:rsidRPr="009A5FAE" w:rsidRDefault="00E77909" w:rsidP="00F96A25">
      <w:r w:rsidRPr="00E77909">
        <w:rPr>
          <w:noProof/>
        </w:rPr>
        <w:drawing>
          <wp:inline distT="0" distB="0" distL="0" distR="0" wp14:anchorId="6E033666" wp14:editId="06681E21">
            <wp:extent cx="5760085" cy="377743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77434"/>
                    </a:xfrm>
                    <a:prstGeom prst="rect">
                      <a:avLst/>
                    </a:prstGeom>
                    <a:noFill/>
                    <a:ln>
                      <a:noFill/>
                    </a:ln>
                  </pic:spPr>
                </pic:pic>
              </a:graphicData>
            </a:graphic>
          </wp:inline>
        </w:drawing>
      </w:r>
    </w:p>
    <w:p w14:paraId="30DB6150" w14:textId="5B58B307" w:rsidR="00F96A25" w:rsidRPr="0025322B" w:rsidRDefault="00F96A25" w:rsidP="00F96A25">
      <w:pPr>
        <w:rPr>
          <w:shd w:val="clear" w:color="auto" w:fill="FFFFFF"/>
          <w:lang w:val="en-GB" w:eastAsia="zh-HK"/>
        </w:rPr>
      </w:pPr>
      <w:r>
        <w:rPr>
          <w:b/>
          <w:lang w:eastAsia="zh-HK"/>
        </w:rPr>
        <w:t>3.9</w:t>
      </w:r>
      <w:r>
        <w:rPr>
          <w:lang w:eastAsia="zh-HK"/>
        </w:rPr>
        <w:tab/>
      </w:r>
      <w:r w:rsidRPr="006E6BAE">
        <w:rPr>
          <w:rFonts w:hint="eastAsia"/>
          <w:lang w:eastAsia="zh-HK"/>
        </w:rPr>
        <w:t>財</w:t>
      </w:r>
      <w:r w:rsidRPr="006E6BAE">
        <w:rPr>
          <w:rFonts w:hint="eastAsia"/>
        </w:rPr>
        <w:t>政</w:t>
      </w:r>
      <w:r w:rsidRPr="006E6BAE">
        <w:rPr>
          <w:rFonts w:hint="eastAsia"/>
          <w:lang w:eastAsia="zh-HK"/>
        </w:rPr>
        <w:t>司司長在</w:t>
      </w:r>
      <w:r w:rsidRPr="006E6BAE">
        <w:rPr>
          <w:rFonts w:hint="eastAsia"/>
        </w:rPr>
        <w:t>《二零二</w:t>
      </w:r>
      <w:r>
        <w:rPr>
          <w:rFonts w:hint="eastAsia"/>
          <w:lang w:eastAsia="zh-HK"/>
        </w:rPr>
        <w:t>三</w:t>
      </w:r>
      <w:r w:rsidRPr="006E6BAE">
        <w:rPr>
          <w:rFonts w:hint="eastAsia"/>
        </w:rPr>
        <w:t>至二</w:t>
      </w:r>
      <w:r>
        <w:rPr>
          <w:rFonts w:hint="eastAsia"/>
          <w:lang w:eastAsia="zh-HK"/>
        </w:rPr>
        <w:t>四</w:t>
      </w:r>
      <w:r w:rsidRPr="006E6BAE">
        <w:rPr>
          <w:rFonts w:hint="eastAsia"/>
        </w:rPr>
        <w:t>財政年度政府財政預算案》</w:t>
      </w:r>
      <w:r w:rsidR="00C30844">
        <w:rPr>
          <w:rFonts w:hint="eastAsia"/>
        </w:rPr>
        <w:t>(</w:t>
      </w:r>
      <w:r w:rsidR="00C30844" w:rsidRPr="00C30844">
        <w:rPr>
          <w:rFonts w:hint="eastAsia"/>
        </w:rPr>
        <w:t>《財政預算案》</w:t>
      </w:r>
      <w:r w:rsidR="00C30844">
        <w:rPr>
          <w:rFonts w:hint="eastAsia"/>
        </w:rPr>
        <w:t>)</w:t>
      </w:r>
      <w:r w:rsidRPr="006E6BAE">
        <w:rPr>
          <w:rFonts w:hint="eastAsia"/>
          <w:lang w:eastAsia="zh-HK"/>
        </w:rPr>
        <w:t>中宣</w:t>
      </w:r>
      <w:r w:rsidRPr="005D51B8">
        <w:rPr>
          <w:rFonts w:hint="eastAsia"/>
        </w:rPr>
        <w:t>布調整買賣或轉讓住宅及非住宅物業須繳付的從價印花稅的稅階，</w:t>
      </w:r>
      <w:r w:rsidRPr="005D51B8">
        <w:rPr>
          <w:rFonts w:hint="eastAsia"/>
          <w:spacing w:val="32"/>
        </w:rPr>
        <w:t>目的是減輕一般家庭首次置業的負擔</w:t>
      </w:r>
      <w:r w:rsidRPr="005D51B8">
        <w:rPr>
          <w:rFonts w:hint="eastAsia"/>
          <w:spacing w:val="32"/>
          <w:shd w:val="clear" w:color="auto" w:fill="FFFFFF"/>
          <w:lang w:eastAsia="zh-HK"/>
        </w:rPr>
        <w:t>。有關調整由二零二三年二月二十二日起即時生效</w:t>
      </w:r>
      <w:r w:rsidRPr="005D51B8">
        <w:rPr>
          <w:rFonts w:hint="eastAsia"/>
          <w:spacing w:val="32"/>
          <w:shd w:val="clear" w:color="auto" w:fill="FFFFFF"/>
        </w:rPr>
        <w:t>。</w:t>
      </w:r>
    </w:p>
    <w:p w14:paraId="4EEAB85C" w14:textId="129E6208" w:rsidR="001B3BFC" w:rsidRDefault="001B3BFC" w:rsidP="006E4C04">
      <w:r>
        <w:rPr>
          <w:rFonts w:hint="eastAsia"/>
          <w:b/>
        </w:rPr>
        <w:lastRenderedPageBreak/>
        <w:t>3.</w:t>
      </w:r>
      <w:r>
        <w:rPr>
          <w:b/>
        </w:rPr>
        <w:t>10</w:t>
      </w:r>
      <w:r>
        <w:tab/>
      </w:r>
      <w:r>
        <w:rPr>
          <w:rFonts w:hint="eastAsia"/>
          <w:i/>
          <w:lang w:eastAsia="zh-HK"/>
        </w:rPr>
        <w:t>非</w:t>
      </w:r>
      <w:r w:rsidRPr="00F47B51">
        <w:rPr>
          <w:rFonts w:hint="eastAsia"/>
          <w:i/>
          <w:lang w:eastAsia="zh-HK"/>
        </w:rPr>
        <w:t>住宅物業市場</w:t>
      </w:r>
      <w:r w:rsidRPr="00B450A0">
        <w:rPr>
          <w:rFonts w:hint="eastAsia"/>
          <w:lang w:eastAsia="zh-HK"/>
        </w:rPr>
        <w:t>在第一季</w:t>
      </w:r>
      <w:r w:rsidR="00341693" w:rsidRPr="00341693">
        <w:rPr>
          <w:rFonts w:hint="eastAsia"/>
          <w:lang w:eastAsia="zh-HK"/>
        </w:rPr>
        <w:t>有所</w:t>
      </w:r>
      <w:r w:rsidR="00341693" w:rsidRPr="00341693">
        <w:rPr>
          <w:rFonts w:hint="eastAsia"/>
        </w:rPr>
        <w:t>回穩</w:t>
      </w:r>
      <w:r>
        <w:rPr>
          <w:rFonts w:hint="eastAsia"/>
          <w:lang w:eastAsia="zh-HK"/>
        </w:rPr>
        <w:t>。所有主要環節的</w:t>
      </w:r>
      <w:r w:rsidRPr="00B450A0">
        <w:rPr>
          <w:rFonts w:hint="eastAsia"/>
          <w:lang w:eastAsia="zh-HK"/>
        </w:rPr>
        <w:t>交</w:t>
      </w:r>
      <w:r w:rsidRPr="00B450A0">
        <w:rPr>
          <w:rFonts w:hint="eastAsia"/>
        </w:rPr>
        <w:t>投</w:t>
      </w:r>
      <w:r>
        <w:rPr>
          <w:rFonts w:hint="eastAsia"/>
        </w:rPr>
        <w:t>活動</w:t>
      </w:r>
      <w:r w:rsidR="00341693" w:rsidRPr="00341693">
        <w:rPr>
          <w:rFonts w:hint="eastAsia"/>
        </w:rPr>
        <w:t>均見反彈，</w:t>
      </w:r>
      <w:r w:rsidR="008D494C">
        <w:rPr>
          <w:rFonts w:hint="eastAsia"/>
        </w:rPr>
        <w:t>尤其</w:t>
      </w:r>
      <w:r w:rsidR="008D494C" w:rsidRPr="00984230">
        <w:rPr>
          <w:rFonts w:hint="eastAsia"/>
        </w:rPr>
        <w:t>是</w:t>
      </w:r>
      <w:r w:rsidR="00565BB4">
        <w:rPr>
          <w:rFonts w:hint="eastAsia"/>
          <w:lang w:eastAsia="zh-HK"/>
        </w:rPr>
        <w:t>臨近</w:t>
      </w:r>
      <w:r w:rsidR="008D494C">
        <w:rPr>
          <w:rFonts w:hint="eastAsia"/>
        </w:rPr>
        <w:t>季末</w:t>
      </w:r>
      <w:r w:rsidR="00565BB4">
        <w:rPr>
          <w:rFonts w:hint="eastAsia"/>
          <w:lang w:eastAsia="zh-HK"/>
        </w:rPr>
        <w:t>時</w:t>
      </w:r>
      <w:r w:rsidR="008D494C">
        <w:rPr>
          <w:rFonts w:hint="eastAsia"/>
        </w:rPr>
        <w:t>，</w:t>
      </w:r>
      <w:r w:rsidR="00341693" w:rsidRPr="00341693">
        <w:rPr>
          <w:rFonts w:hint="eastAsia"/>
        </w:rPr>
        <w:t>儘管</w:t>
      </w:r>
      <w:r w:rsidR="005D5249">
        <w:rPr>
          <w:rFonts w:hint="eastAsia"/>
        </w:rPr>
        <w:t>仍</w:t>
      </w:r>
      <w:r>
        <w:rPr>
          <w:rFonts w:hint="eastAsia"/>
        </w:rPr>
        <w:t>處於</w:t>
      </w:r>
      <w:r w:rsidR="00341693" w:rsidRPr="00341693">
        <w:rPr>
          <w:rFonts w:hint="eastAsia"/>
        </w:rPr>
        <w:t>較</w:t>
      </w:r>
      <w:r w:rsidRPr="00B450A0">
        <w:rPr>
          <w:rFonts w:hint="eastAsia"/>
        </w:rPr>
        <w:t>低水平</w:t>
      </w:r>
      <w:r>
        <w:rPr>
          <w:rFonts w:hint="eastAsia"/>
        </w:rPr>
        <w:t>。</w:t>
      </w:r>
      <w:r w:rsidRPr="00F47B51">
        <w:rPr>
          <w:rFonts w:hint="eastAsia"/>
        </w:rPr>
        <w:t>售價和租金</w:t>
      </w:r>
      <w:r>
        <w:rPr>
          <w:rFonts w:hint="eastAsia"/>
        </w:rPr>
        <w:t>表現參差</w:t>
      </w:r>
      <w:r w:rsidRPr="00B209C5">
        <w:rPr>
          <w:rFonts w:hint="eastAsia"/>
        </w:rPr>
        <w:t>。</w:t>
      </w:r>
    </w:p>
    <w:p w14:paraId="1DAF9078" w14:textId="2B097561" w:rsidR="001B3BFC" w:rsidRDefault="001B3BFC" w:rsidP="006E4C04">
      <w:r>
        <w:rPr>
          <w:rFonts w:hint="eastAsia"/>
          <w:b/>
        </w:rPr>
        <w:t>3.1</w:t>
      </w:r>
      <w:r>
        <w:rPr>
          <w:b/>
        </w:rPr>
        <w:t>1</w:t>
      </w:r>
      <w:r>
        <w:tab/>
      </w:r>
      <w:r w:rsidRPr="00B209C5">
        <w:rPr>
          <w:rFonts w:hint="eastAsia"/>
          <w:i/>
          <w:lang w:val="en-GB"/>
        </w:rPr>
        <w:t>寫字樓</w:t>
      </w:r>
      <w:r w:rsidRPr="00B209C5">
        <w:rPr>
          <w:rFonts w:hint="eastAsia"/>
          <w:lang w:val="en-GB"/>
        </w:rPr>
        <w:t>的售價</w:t>
      </w:r>
      <w:r>
        <w:rPr>
          <w:rFonts w:hint="eastAsia"/>
          <w:lang w:val="en-GB" w:eastAsia="zh-HK"/>
        </w:rPr>
        <w:t>在第一季</w:t>
      </w:r>
      <w:r w:rsidR="00DE41DD" w:rsidRPr="00DE41DD">
        <w:rPr>
          <w:rFonts w:hint="eastAsia"/>
          <w:lang w:val="en-GB" w:eastAsia="zh-HK"/>
        </w:rPr>
        <w:t>內</w:t>
      </w:r>
      <w:r w:rsidRPr="009D4270">
        <w:rPr>
          <w:rFonts w:hint="eastAsia"/>
          <w:lang w:val="en-GB"/>
        </w:rPr>
        <w:t>平均</w:t>
      </w:r>
      <w:r>
        <w:rPr>
          <w:rFonts w:hint="eastAsia"/>
          <w:lang w:val="en-GB" w:eastAsia="zh-HK"/>
        </w:rPr>
        <w:t>下</w:t>
      </w:r>
      <w:r w:rsidRPr="009D4270">
        <w:rPr>
          <w:rFonts w:hint="eastAsia"/>
          <w:lang w:val="en-GB"/>
        </w:rPr>
        <w:t>跌</w:t>
      </w:r>
      <w:r w:rsidR="00FA1690">
        <w:t> </w:t>
      </w:r>
      <w:r w:rsidR="00341693">
        <w:rPr>
          <w:lang w:val="en-GB"/>
        </w:rPr>
        <w:t>1</w:t>
      </w:r>
      <w:r w:rsidRPr="009D4270">
        <w:rPr>
          <w:rFonts w:hint="eastAsia"/>
          <w:lang w:val="en-GB"/>
        </w:rPr>
        <w:t>%</w:t>
      </w:r>
      <w:r w:rsidRPr="009D4270">
        <w:rPr>
          <w:rFonts w:hint="eastAsia"/>
          <w:lang w:val="en-GB"/>
        </w:rPr>
        <w:t>。按寫字樓級別分析，甲級</w:t>
      </w:r>
      <w:r w:rsidR="00341693" w:rsidRPr="009D4270">
        <w:rPr>
          <w:rFonts w:hint="eastAsia"/>
          <w:lang w:val="en-GB"/>
        </w:rPr>
        <w:t>和丙級</w:t>
      </w:r>
      <w:r w:rsidRPr="009D4270">
        <w:rPr>
          <w:rFonts w:hint="eastAsia"/>
          <w:lang w:val="en-GB"/>
        </w:rPr>
        <w:t>寫字樓的售價</w:t>
      </w:r>
      <w:r w:rsidR="00341693" w:rsidRPr="00341693">
        <w:rPr>
          <w:rFonts w:hint="eastAsia"/>
          <w:lang w:val="en-GB"/>
        </w:rPr>
        <w:t>分別</w:t>
      </w:r>
      <w:r>
        <w:rPr>
          <w:rFonts w:hint="eastAsia"/>
          <w:lang w:val="en-GB" w:eastAsia="zh-HK"/>
        </w:rPr>
        <w:t>上升</w:t>
      </w:r>
      <w:r>
        <w:rPr>
          <w:rFonts w:hint="eastAsia"/>
          <w:lang w:val="en-GB"/>
        </w:rPr>
        <w:t>2</w:t>
      </w:r>
      <w:r w:rsidRPr="009D4270">
        <w:rPr>
          <w:rFonts w:hint="eastAsia"/>
          <w:lang w:val="en-GB"/>
        </w:rPr>
        <w:t>%</w:t>
      </w:r>
      <w:r w:rsidR="00341693" w:rsidRPr="009D4270">
        <w:rPr>
          <w:rFonts w:hint="eastAsia"/>
          <w:lang w:val="en-GB"/>
        </w:rPr>
        <w:t>和</w:t>
      </w:r>
      <w:r w:rsidR="00341693" w:rsidRPr="009D4270">
        <w:rPr>
          <w:rFonts w:hint="eastAsia"/>
          <w:lang w:val="en-GB"/>
        </w:rPr>
        <w:t>1%</w:t>
      </w:r>
      <w:r>
        <w:rPr>
          <w:rFonts w:hint="eastAsia"/>
          <w:lang w:val="en-GB" w:eastAsia="zh-HK"/>
        </w:rPr>
        <w:t>，</w:t>
      </w:r>
      <w:r w:rsidRPr="009D4270">
        <w:rPr>
          <w:rFonts w:hint="eastAsia"/>
          <w:lang w:val="en-GB"/>
        </w:rPr>
        <w:t>乙級寫字樓的售價</w:t>
      </w:r>
      <w:r w:rsidRPr="00984230">
        <w:rPr>
          <w:rFonts w:hint="eastAsia"/>
        </w:rPr>
        <w:t>則下跌</w:t>
      </w:r>
      <w:r w:rsidRPr="00984230">
        <w:rPr>
          <w:rFonts w:hint="eastAsia"/>
        </w:rPr>
        <w:t>1%</w:t>
      </w:r>
      <w:r w:rsidRPr="00984230">
        <w:rPr>
          <w:rFonts w:hint="eastAsia"/>
        </w:rPr>
        <w:t>。</w:t>
      </w:r>
      <w:r w:rsidRPr="00E35EC6">
        <w:rPr>
          <w:rFonts w:hint="eastAsia"/>
        </w:rPr>
        <w:t>同時，</w:t>
      </w:r>
      <w:r w:rsidR="008D494C" w:rsidRPr="00984230">
        <w:rPr>
          <w:rFonts w:hint="eastAsia"/>
        </w:rPr>
        <w:t>整體</w:t>
      </w:r>
      <w:r w:rsidRPr="00E35EC6">
        <w:rPr>
          <w:rFonts w:hint="eastAsia"/>
        </w:rPr>
        <w:t>寫字樓</w:t>
      </w:r>
      <w:r w:rsidRPr="00F73A37">
        <w:rPr>
          <w:rFonts w:hint="eastAsia"/>
        </w:rPr>
        <w:t>租金</w:t>
      </w:r>
      <w:r w:rsidRPr="00E35EC6">
        <w:rPr>
          <w:rFonts w:hint="eastAsia"/>
        </w:rPr>
        <w:t>在二零二二年十二月至二零二三年三月期間</w:t>
      </w:r>
      <w:r w:rsidR="005D5249" w:rsidRPr="00213015">
        <w:rPr>
          <w:rFonts w:hint="eastAsia"/>
        </w:rPr>
        <w:t>幾無變動</w:t>
      </w:r>
      <w:r w:rsidRPr="00E35EC6">
        <w:rPr>
          <w:rFonts w:hint="eastAsia"/>
        </w:rPr>
        <w:t>，</w:t>
      </w:r>
      <w:r w:rsidRPr="00B344D0">
        <w:rPr>
          <w:rFonts w:hint="eastAsia"/>
        </w:rPr>
        <w:t>當中</w:t>
      </w:r>
      <w:r w:rsidRPr="00F73A37">
        <w:rPr>
          <w:rFonts w:hint="eastAsia"/>
        </w:rPr>
        <w:t>甲級寫字樓的租金</w:t>
      </w:r>
      <w:r w:rsidRPr="00E35EC6">
        <w:rPr>
          <w:rFonts w:hint="eastAsia"/>
        </w:rPr>
        <w:t>下跌</w:t>
      </w:r>
      <w:r w:rsidR="00341693" w:rsidRPr="00984230">
        <w:t>1</w:t>
      </w:r>
      <w:r w:rsidRPr="00984230">
        <w:rPr>
          <w:rFonts w:hint="eastAsia"/>
        </w:rPr>
        <w:t>%</w:t>
      </w:r>
      <w:r w:rsidRPr="00F73A37">
        <w:rPr>
          <w:rFonts w:hint="eastAsia"/>
        </w:rPr>
        <w:t>，</w:t>
      </w:r>
      <w:r w:rsidR="00341693" w:rsidRPr="00F73A37">
        <w:rPr>
          <w:rFonts w:hint="eastAsia"/>
        </w:rPr>
        <w:t>乙級</w:t>
      </w:r>
      <w:r w:rsidR="00341693" w:rsidRPr="00E35EC6">
        <w:rPr>
          <w:rFonts w:hint="eastAsia"/>
        </w:rPr>
        <w:t>和</w:t>
      </w:r>
      <w:r w:rsidRPr="00F73A37">
        <w:rPr>
          <w:rFonts w:hint="eastAsia"/>
        </w:rPr>
        <w:t>丙級寫字樓</w:t>
      </w:r>
      <w:r w:rsidRPr="00B344D0">
        <w:rPr>
          <w:rFonts w:hint="eastAsia"/>
        </w:rPr>
        <w:t>的租金</w:t>
      </w:r>
      <w:r w:rsidRPr="00F73A37">
        <w:rPr>
          <w:rFonts w:hint="eastAsia"/>
        </w:rPr>
        <w:t>則</w:t>
      </w:r>
      <w:r w:rsidR="008F02C5">
        <w:rPr>
          <w:rFonts w:hint="eastAsia"/>
        </w:rPr>
        <w:t>同樣</w:t>
      </w:r>
      <w:r w:rsidR="00341694" w:rsidRPr="00341694">
        <w:rPr>
          <w:rFonts w:hint="eastAsia"/>
        </w:rPr>
        <w:t>上升</w:t>
      </w:r>
      <w:r w:rsidR="00341694" w:rsidRPr="009D4270">
        <w:rPr>
          <w:rFonts w:hint="eastAsia"/>
          <w:lang w:val="en-GB"/>
        </w:rPr>
        <w:t>1%</w:t>
      </w:r>
      <w:r w:rsidRPr="00F73A37">
        <w:rPr>
          <w:rFonts w:hint="eastAsia"/>
        </w:rPr>
        <w:t>。與二零一八年和二零一九年</w:t>
      </w:r>
      <w:r w:rsidRPr="00B344D0">
        <w:rPr>
          <w:rFonts w:hint="eastAsia"/>
        </w:rPr>
        <w:t>各自</w:t>
      </w:r>
      <w:r w:rsidRPr="00F73A37">
        <w:rPr>
          <w:rFonts w:hint="eastAsia"/>
        </w:rPr>
        <w:t>的高峯相比，</w:t>
      </w:r>
      <w:r w:rsidRPr="00F73A37">
        <w:rPr>
          <w:rFonts w:hint="eastAsia"/>
          <w:lang w:eastAsia="zh-HK"/>
        </w:rPr>
        <w:t>二零二</w:t>
      </w:r>
      <w:r>
        <w:rPr>
          <w:rFonts w:hint="eastAsia"/>
          <w:lang w:eastAsia="zh-HK"/>
        </w:rPr>
        <w:t>三</w:t>
      </w:r>
      <w:r w:rsidRPr="00F73A37">
        <w:rPr>
          <w:rFonts w:hint="eastAsia"/>
          <w:lang w:eastAsia="zh-HK"/>
        </w:rPr>
        <w:t>年</w:t>
      </w:r>
      <w:r>
        <w:rPr>
          <w:rFonts w:hint="eastAsia"/>
          <w:lang w:eastAsia="zh-HK"/>
        </w:rPr>
        <w:t>三</w:t>
      </w:r>
      <w:r w:rsidRPr="00F73A37">
        <w:rPr>
          <w:rFonts w:hint="eastAsia"/>
          <w:lang w:eastAsia="zh-HK"/>
        </w:rPr>
        <w:t>月</w:t>
      </w:r>
      <w:r w:rsidRPr="00F73A37">
        <w:rPr>
          <w:rFonts w:hint="eastAsia"/>
        </w:rPr>
        <w:t>的售價</w:t>
      </w:r>
      <w:r w:rsidRPr="00F73A37">
        <w:rPr>
          <w:rFonts w:hint="eastAsia"/>
          <w:lang w:eastAsia="zh-HK"/>
        </w:rPr>
        <w:t>和</w:t>
      </w:r>
      <w:r w:rsidRPr="00F73A37">
        <w:rPr>
          <w:rFonts w:hint="eastAsia"/>
        </w:rPr>
        <w:t>租金</w:t>
      </w:r>
      <w:r w:rsidR="008C4D9B">
        <w:rPr>
          <w:rFonts w:hint="eastAsia"/>
          <w:lang w:eastAsia="zh-HK"/>
        </w:rPr>
        <w:t>分別</w:t>
      </w:r>
      <w:r w:rsidRPr="00F73A37">
        <w:rPr>
          <w:rFonts w:hint="eastAsia"/>
        </w:rPr>
        <w:t>平均</w:t>
      </w:r>
      <w:r w:rsidRPr="00B344D0">
        <w:rPr>
          <w:rFonts w:hint="eastAsia"/>
        </w:rPr>
        <w:t>低</w:t>
      </w:r>
      <w:r w:rsidR="00341694">
        <w:rPr>
          <w:rFonts w:hint="eastAsia"/>
        </w:rPr>
        <w:t>2</w:t>
      </w:r>
      <w:r w:rsidR="00341694">
        <w:t>1</w:t>
      </w:r>
      <w:r w:rsidRPr="00F73A37">
        <w:t>%</w:t>
      </w:r>
      <w:r w:rsidRPr="00F73A37">
        <w:rPr>
          <w:rFonts w:hint="eastAsia"/>
          <w:lang w:eastAsia="zh-HK"/>
        </w:rPr>
        <w:t>和</w:t>
      </w:r>
      <w:r w:rsidR="00341694">
        <w:rPr>
          <w:rFonts w:hint="eastAsia"/>
        </w:rPr>
        <w:t>1</w:t>
      </w:r>
      <w:r w:rsidR="00341694">
        <w:t>4</w:t>
      </w:r>
      <w:r w:rsidRPr="00F73A37">
        <w:t>%</w:t>
      </w:r>
      <w:r>
        <w:rPr>
          <w:rFonts w:hint="eastAsia"/>
        </w:rPr>
        <w:t>。</w:t>
      </w:r>
      <w:r w:rsidRPr="00F73A37">
        <w:rPr>
          <w:rFonts w:hint="eastAsia"/>
          <w:lang w:eastAsia="zh-HK"/>
        </w:rPr>
        <w:t>在二零二</w:t>
      </w:r>
      <w:r>
        <w:rPr>
          <w:rFonts w:hint="eastAsia"/>
          <w:lang w:eastAsia="zh-HK"/>
        </w:rPr>
        <w:t>三</w:t>
      </w:r>
      <w:r w:rsidRPr="00F73A37">
        <w:rPr>
          <w:rFonts w:hint="eastAsia"/>
          <w:lang w:eastAsia="zh-HK"/>
        </w:rPr>
        <w:t>年</w:t>
      </w:r>
      <w:r>
        <w:rPr>
          <w:rFonts w:hint="eastAsia"/>
          <w:lang w:eastAsia="zh-HK"/>
        </w:rPr>
        <w:t>三</w:t>
      </w:r>
      <w:r w:rsidRPr="00F73A37">
        <w:rPr>
          <w:rFonts w:hint="eastAsia"/>
          <w:lang w:eastAsia="zh-HK"/>
        </w:rPr>
        <w:t>月</w:t>
      </w:r>
      <w:r>
        <w:rPr>
          <w:rFonts w:hint="eastAsia"/>
        </w:rPr>
        <w:t>，</w:t>
      </w:r>
      <w:r w:rsidRPr="00F73A37">
        <w:rPr>
          <w:rFonts w:hint="eastAsia"/>
          <w:lang w:eastAsia="zh-HK"/>
        </w:rPr>
        <w:t>甲級、乙級和丙級寫字樓的平均租金回報率分別為</w:t>
      </w:r>
      <w:r w:rsidRPr="00F73A37">
        <w:t>2.</w:t>
      </w:r>
      <w:r>
        <w:rPr>
          <w:rFonts w:hint="eastAsia"/>
        </w:rPr>
        <w:t>5</w:t>
      </w:r>
      <w:r w:rsidRPr="00F73A37">
        <w:rPr>
          <w:lang w:eastAsia="zh-HK"/>
        </w:rPr>
        <w:t>%</w:t>
      </w:r>
      <w:r w:rsidRPr="00F73A37">
        <w:rPr>
          <w:rFonts w:hint="eastAsia"/>
          <w:lang w:eastAsia="zh-HK"/>
        </w:rPr>
        <w:t>、</w:t>
      </w:r>
      <w:r w:rsidRPr="00F73A37">
        <w:t>2.</w:t>
      </w:r>
      <w:r>
        <w:rPr>
          <w:rFonts w:hint="eastAsia"/>
        </w:rPr>
        <w:t>7</w:t>
      </w:r>
      <w:r w:rsidRPr="00F73A37">
        <w:rPr>
          <w:lang w:eastAsia="zh-HK"/>
        </w:rPr>
        <w:t>%</w:t>
      </w:r>
      <w:r w:rsidRPr="00F73A37">
        <w:rPr>
          <w:rFonts w:hint="eastAsia"/>
          <w:lang w:eastAsia="zh-HK"/>
        </w:rPr>
        <w:t>和</w:t>
      </w:r>
      <w:r>
        <w:rPr>
          <w:rFonts w:hint="eastAsia"/>
        </w:rPr>
        <w:t>3</w:t>
      </w:r>
      <w:r w:rsidRPr="00F73A37">
        <w:t>.</w:t>
      </w:r>
      <w:r>
        <w:rPr>
          <w:rFonts w:hint="eastAsia"/>
        </w:rPr>
        <w:t>0</w:t>
      </w:r>
      <w:r w:rsidRPr="00F73A37">
        <w:rPr>
          <w:lang w:eastAsia="zh-HK"/>
        </w:rPr>
        <w:t>%</w:t>
      </w:r>
      <w:r w:rsidRPr="00F73A37">
        <w:rPr>
          <w:rFonts w:hint="eastAsia"/>
          <w:lang w:eastAsia="zh-HK"/>
        </w:rPr>
        <w:t>，二零二</w:t>
      </w:r>
      <w:r>
        <w:rPr>
          <w:rFonts w:hint="eastAsia"/>
          <w:lang w:eastAsia="zh-HK"/>
        </w:rPr>
        <w:t>二</w:t>
      </w:r>
      <w:r w:rsidRPr="00F73A37">
        <w:rPr>
          <w:rFonts w:hint="eastAsia"/>
          <w:lang w:eastAsia="zh-HK"/>
        </w:rPr>
        <w:t>年十二月的回報率則分別為</w:t>
      </w:r>
      <w:r w:rsidRPr="00F73A37">
        <w:rPr>
          <w:lang w:eastAsia="zh-HK"/>
        </w:rPr>
        <w:t>2.</w:t>
      </w:r>
      <w:r>
        <w:rPr>
          <w:rFonts w:hint="eastAsia"/>
        </w:rPr>
        <w:t>6</w:t>
      </w:r>
      <w:r w:rsidRPr="00F73A37">
        <w:rPr>
          <w:lang w:eastAsia="zh-HK"/>
        </w:rPr>
        <w:t>%</w:t>
      </w:r>
      <w:r w:rsidRPr="00F73A37">
        <w:rPr>
          <w:rFonts w:hint="eastAsia"/>
          <w:lang w:eastAsia="zh-HK"/>
        </w:rPr>
        <w:t>、</w:t>
      </w:r>
      <w:r w:rsidRPr="00F73A37">
        <w:rPr>
          <w:lang w:eastAsia="zh-HK"/>
        </w:rPr>
        <w:t>2.</w:t>
      </w:r>
      <w:r w:rsidRPr="00F73A37">
        <w:t>7</w:t>
      </w:r>
      <w:r w:rsidRPr="00F73A37">
        <w:rPr>
          <w:lang w:eastAsia="zh-HK"/>
        </w:rPr>
        <w:t>%</w:t>
      </w:r>
      <w:r w:rsidRPr="00F73A37">
        <w:rPr>
          <w:rFonts w:hint="eastAsia"/>
          <w:lang w:eastAsia="zh-HK"/>
        </w:rPr>
        <w:t>和</w:t>
      </w:r>
      <w:r>
        <w:rPr>
          <w:rFonts w:hint="eastAsia"/>
        </w:rPr>
        <w:t>3</w:t>
      </w:r>
      <w:r w:rsidRPr="00F73A37">
        <w:rPr>
          <w:lang w:eastAsia="zh-HK"/>
        </w:rPr>
        <w:t>.</w:t>
      </w:r>
      <w:r>
        <w:rPr>
          <w:rFonts w:hint="eastAsia"/>
        </w:rPr>
        <w:t>0</w:t>
      </w:r>
      <w:r w:rsidRPr="00F73A37">
        <w:rPr>
          <w:lang w:eastAsia="zh-HK"/>
        </w:rPr>
        <w:t>%</w:t>
      </w:r>
      <w:r w:rsidRPr="00F73A37">
        <w:rPr>
          <w:rFonts w:hint="eastAsia"/>
          <w:lang w:eastAsia="zh-HK"/>
        </w:rPr>
        <w:t>。第一季寫字樓</w:t>
      </w:r>
      <w:r w:rsidRPr="00B344D0">
        <w:rPr>
          <w:rFonts w:hint="eastAsia"/>
        </w:rPr>
        <w:t>的</w:t>
      </w:r>
      <w:r w:rsidRPr="00F73A37">
        <w:rPr>
          <w:rFonts w:hint="eastAsia"/>
          <w:lang w:eastAsia="zh-HK"/>
        </w:rPr>
        <w:t>交投量較</w:t>
      </w:r>
      <w:r w:rsidRPr="00B344D0">
        <w:rPr>
          <w:rFonts w:hint="eastAsia"/>
        </w:rPr>
        <w:t>上</w:t>
      </w:r>
      <w:r w:rsidRPr="00F73A37">
        <w:rPr>
          <w:rFonts w:hint="eastAsia"/>
          <w:lang w:eastAsia="zh-HK"/>
        </w:rPr>
        <w:t>一</w:t>
      </w:r>
      <w:r>
        <w:rPr>
          <w:rFonts w:hint="eastAsia"/>
          <w:lang w:eastAsia="zh-HK"/>
        </w:rPr>
        <w:t>季</w:t>
      </w:r>
      <w:r w:rsidR="004E6DD4" w:rsidRPr="00341694">
        <w:rPr>
          <w:rFonts w:hint="eastAsia"/>
        </w:rPr>
        <w:t>上升</w:t>
      </w:r>
      <w:r w:rsidR="00341694">
        <w:rPr>
          <w:rFonts w:hint="eastAsia"/>
        </w:rPr>
        <w:t>1</w:t>
      </w:r>
      <w:r w:rsidR="00341694">
        <w:t>4</w:t>
      </w:r>
      <w:r>
        <w:rPr>
          <w:rFonts w:hint="eastAsia"/>
        </w:rPr>
        <w:t>%</w:t>
      </w:r>
      <w:r>
        <w:rPr>
          <w:rFonts w:hint="eastAsia"/>
          <w:lang w:eastAsia="zh-HK"/>
        </w:rPr>
        <w:t>至</w:t>
      </w:r>
      <w:r w:rsidR="00341694">
        <w:rPr>
          <w:lang w:eastAsia="zh-HK"/>
        </w:rPr>
        <w:t>1</w:t>
      </w:r>
      <w:r w:rsidR="00341694">
        <w:t>8</w:t>
      </w:r>
      <w:r w:rsidR="00341694">
        <w:rPr>
          <w:lang w:eastAsia="zh-HK"/>
        </w:rPr>
        <w:t>0</w:t>
      </w:r>
      <w:r>
        <w:rPr>
          <w:rFonts w:hint="eastAsia"/>
          <w:lang w:eastAsia="zh-HK"/>
        </w:rPr>
        <w:t>宗</w:t>
      </w:r>
      <w:r>
        <w:rPr>
          <w:rFonts w:hint="eastAsia"/>
        </w:rPr>
        <w:t>，</w:t>
      </w:r>
      <w:r>
        <w:rPr>
          <w:rFonts w:hint="eastAsia"/>
          <w:lang w:eastAsia="zh-HK"/>
        </w:rPr>
        <w:t>較一年前</w:t>
      </w:r>
      <w:r w:rsidR="008F361A" w:rsidRPr="008F361A">
        <w:rPr>
          <w:rFonts w:hint="eastAsia"/>
          <w:lang w:eastAsia="zh-HK"/>
        </w:rPr>
        <w:t>升</w:t>
      </w:r>
      <w:r w:rsidR="00341694">
        <w:t>32</w:t>
      </w:r>
      <w:r>
        <w:rPr>
          <w:rFonts w:hint="eastAsia"/>
        </w:rPr>
        <w:t>%</w:t>
      </w:r>
      <w:r>
        <w:rPr>
          <w:rFonts w:hint="eastAsia"/>
        </w:rPr>
        <w:t>，</w:t>
      </w:r>
      <w:r w:rsidR="00341694" w:rsidRPr="00341694">
        <w:rPr>
          <w:rFonts w:hint="eastAsia"/>
        </w:rPr>
        <w:t>但仍</w:t>
      </w:r>
      <w:r w:rsidRPr="00454D79">
        <w:rPr>
          <w:rFonts w:hint="eastAsia"/>
        </w:rPr>
        <w:t>顯著低於二零一</w:t>
      </w:r>
      <w:r w:rsidR="008F361A" w:rsidRPr="008F361A">
        <w:rPr>
          <w:rFonts w:hint="eastAsia"/>
        </w:rPr>
        <w:t>八</w:t>
      </w:r>
      <w:r w:rsidRPr="00454D79">
        <w:rPr>
          <w:rFonts w:hint="eastAsia"/>
        </w:rPr>
        <w:t>至二零二</w:t>
      </w:r>
      <w:r>
        <w:rPr>
          <w:rFonts w:hint="eastAsia"/>
          <w:lang w:eastAsia="zh-HK"/>
        </w:rPr>
        <w:t>二</w:t>
      </w:r>
      <w:r w:rsidRPr="00454D79">
        <w:rPr>
          <w:rFonts w:hint="eastAsia"/>
        </w:rPr>
        <w:t>年期間</w:t>
      </w:r>
      <w:r w:rsidR="008F361A">
        <w:rPr>
          <w:rFonts w:hint="eastAsia"/>
        </w:rPr>
        <w:t>2</w:t>
      </w:r>
      <w:r w:rsidR="008F361A">
        <w:t>3</w:t>
      </w:r>
      <w:r w:rsidR="008F361A">
        <w:rPr>
          <w:rFonts w:hint="eastAsia"/>
        </w:rPr>
        <w:t>0</w:t>
      </w:r>
      <w:r w:rsidRPr="00454D79">
        <w:rPr>
          <w:rFonts w:hint="eastAsia"/>
        </w:rPr>
        <w:t>宗的季度平均水平。</w:t>
      </w:r>
    </w:p>
    <w:p w14:paraId="4EA8C4DD" w14:textId="24E8C1C3" w:rsidR="001B3BFC" w:rsidRDefault="001B3BFC" w:rsidP="006E4C04">
      <w:pPr>
        <w:rPr>
          <w:lang w:eastAsia="zh-HK"/>
        </w:rPr>
      </w:pPr>
      <w:r w:rsidRPr="00984230">
        <w:rPr>
          <w:rFonts w:hint="eastAsia"/>
          <w:b/>
        </w:rPr>
        <w:t>3.1</w:t>
      </w:r>
      <w:r w:rsidRPr="00984230">
        <w:rPr>
          <w:b/>
        </w:rPr>
        <w:t>2</w:t>
      </w:r>
      <w:r w:rsidRPr="00984230">
        <w:rPr>
          <w:b/>
        </w:rPr>
        <w:tab/>
      </w:r>
      <w:r w:rsidRPr="00E35EC6">
        <w:rPr>
          <w:rFonts w:hint="eastAsia"/>
          <w:i/>
        </w:rPr>
        <w:t>零售舖位</w:t>
      </w:r>
      <w:r w:rsidRPr="00E35EC6">
        <w:rPr>
          <w:rFonts w:hint="eastAsia"/>
        </w:rPr>
        <w:t>的售價在</w:t>
      </w:r>
      <w:r w:rsidR="008D494C" w:rsidRPr="00984230">
        <w:rPr>
          <w:rFonts w:hint="eastAsia"/>
        </w:rPr>
        <w:t>第一</w:t>
      </w:r>
      <w:r w:rsidR="00341694" w:rsidRPr="00984230">
        <w:rPr>
          <w:rFonts w:hint="eastAsia"/>
        </w:rPr>
        <w:t>季內</w:t>
      </w:r>
      <w:r w:rsidRPr="00984230">
        <w:rPr>
          <w:rFonts w:hint="eastAsia"/>
        </w:rPr>
        <w:t>下跌</w:t>
      </w:r>
      <w:r w:rsidR="00341694" w:rsidRPr="00984230">
        <w:t>2</w:t>
      </w:r>
      <w:r w:rsidRPr="00984230">
        <w:rPr>
          <w:rFonts w:hint="eastAsia"/>
        </w:rPr>
        <w:t>%</w:t>
      </w:r>
      <w:r w:rsidRPr="00984230">
        <w:rPr>
          <w:rFonts w:hint="eastAsia"/>
        </w:rPr>
        <w:t>，租金則</w:t>
      </w:r>
      <w:r w:rsidR="00341694" w:rsidRPr="00984230">
        <w:rPr>
          <w:rFonts w:hint="eastAsia"/>
        </w:rPr>
        <w:t>微升</w:t>
      </w:r>
      <w:r w:rsidR="00341694" w:rsidRPr="00984230">
        <w:rPr>
          <w:rFonts w:hint="eastAsia"/>
        </w:rPr>
        <w:t>1</w:t>
      </w:r>
      <w:r w:rsidR="00341694" w:rsidRPr="00984230">
        <w:t>%</w:t>
      </w:r>
      <w:r w:rsidRPr="00984230">
        <w:rPr>
          <w:rFonts w:hint="eastAsia"/>
        </w:rPr>
        <w:t>。與二零一八年和二零一九年各自的高峯相比，二零二三年三月的售價和租金分別低</w:t>
      </w:r>
      <w:r w:rsidR="00341694" w:rsidRPr="00984230">
        <w:t>19</w:t>
      </w:r>
      <w:r w:rsidRPr="00984230">
        <w:t>%</w:t>
      </w:r>
      <w:r w:rsidRPr="00984230">
        <w:rPr>
          <w:rFonts w:hint="eastAsia"/>
        </w:rPr>
        <w:t>和</w:t>
      </w:r>
      <w:r w:rsidRPr="00984230">
        <w:t>12%</w:t>
      </w:r>
      <w:r w:rsidRPr="00984230">
        <w:rPr>
          <w:rFonts w:hint="eastAsia"/>
        </w:rPr>
        <w:t>。平均租金回報率由二零二二年十二月的</w:t>
      </w:r>
      <w:r w:rsidRPr="00984230">
        <w:rPr>
          <w:rFonts w:hint="eastAsia"/>
        </w:rPr>
        <w:t>2.7%</w:t>
      </w:r>
      <w:r w:rsidRPr="00984230">
        <w:rPr>
          <w:rFonts w:hint="eastAsia"/>
        </w:rPr>
        <w:t>微升</w:t>
      </w:r>
      <w:r>
        <w:rPr>
          <w:rFonts w:hint="eastAsia"/>
          <w:lang w:eastAsia="zh-HK"/>
        </w:rPr>
        <w:t>至</w:t>
      </w:r>
      <w:r>
        <w:rPr>
          <w:rFonts w:hint="eastAsia"/>
        </w:rPr>
        <w:t>二零二</w:t>
      </w:r>
      <w:r>
        <w:rPr>
          <w:rFonts w:hint="eastAsia"/>
          <w:lang w:eastAsia="zh-HK"/>
        </w:rPr>
        <w:t>三</w:t>
      </w:r>
      <w:r>
        <w:rPr>
          <w:rFonts w:hint="eastAsia"/>
        </w:rPr>
        <w:t>年</w:t>
      </w:r>
      <w:r>
        <w:rPr>
          <w:rFonts w:hint="eastAsia"/>
          <w:lang w:eastAsia="zh-HK"/>
        </w:rPr>
        <w:t>三</w:t>
      </w:r>
      <w:r>
        <w:rPr>
          <w:rFonts w:hint="eastAsia"/>
        </w:rPr>
        <w:t>月</w:t>
      </w:r>
      <w:r>
        <w:rPr>
          <w:rFonts w:hint="eastAsia"/>
          <w:lang w:eastAsia="zh-HK"/>
        </w:rPr>
        <w:t>的</w:t>
      </w:r>
      <w:r>
        <w:rPr>
          <w:rFonts w:hint="eastAsia"/>
        </w:rPr>
        <w:t>2.</w:t>
      </w:r>
      <w:r w:rsidR="00341694">
        <w:t>8</w:t>
      </w:r>
      <w:r>
        <w:rPr>
          <w:rFonts w:hint="eastAsia"/>
        </w:rPr>
        <w:t>%</w:t>
      </w:r>
      <w:r w:rsidRPr="00873300">
        <w:rPr>
          <w:rFonts w:hint="eastAsia"/>
        </w:rPr>
        <w:t>。</w:t>
      </w:r>
      <w:r w:rsidRPr="00873300">
        <w:rPr>
          <w:rFonts w:hint="eastAsia"/>
          <w:lang w:eastAsia="zh-HK"/>
        </w:rPr>
        <w:t>就所有商業樓宇而言，第一季</w:t>
      </w:r>
      <w:r w:rsidRPr="00873300">
        <w:rPr>
          <w:rFonts w:hint="eastAsia"/>
        </w:rPr>
        <w:t>的</w:t>
      </w:r>
      <w:r w:rsidRPr="00873300">
        <w:rPr>
          <w:rFonts w:hint="eastAsia"/>
          <w:lang w:eastAsia="zh-HK"/>
        </w:rPr>
        <w:t>交投量較</w:t>
      </w:r>
      <w:r w:rsidRPr="00B344D0">
        <w:rPr>
          <w:rFonts w:hint="eastAsia"/>
        </w:rPr>
        <w:t>上</w:t>
      </w:r>
      <w:r w:rsidRPr="00873300">
        <w:rPr>
          <w:rFonts w:hint="eastAsia"/>
          <w:lang w:eastAsia="zh-HK"/>
        </w:rPr>
        <w:t>一季</w:t>
      </w:r>
      <w:r w:rsidR="00341694" w:rsidRPr="00341694">
        <w:rPr>
          <w:rFonts w:hint="eastAsia"/>
          <w:lang w:eastAsia="zh-HK"/>
        </w:rPr>
        <w:t>上升</w:t>
      </w:r>
      <w:r w:rsidR="00341694">
        <w:t>7</w:t>
      </w:r>
      <w:r>
        <w:rPr>
          <w:rFonts w:hint="eastAsia"/>
        </w:rPr>
        <w:t>%</w:t>
      </w:r>
      <w:r>
        <w:rPr>
          <w:rFonts w:hint="eastAsia"/>
          <w:lang w:eastAsia="zh-HK"/>
        </w:rPr>
        <w:t>至</w:t>
      </w:r>
      <w:r w:rsidR="00341694">
        <w:t>310</w:t>
      </w:r>
      <w:r>
        <w:rPr>
          <w:rFonts w:hint="eastAsia"/>
          <w:lang w:eastAsia="zh-HK"/>
        </w:rPr>
        <w:t>宗</w:t>
      </w:r>
      <w:r w:rsidRPr="0079437E">
        <w:rPr>
          <w:rFonts w:hint="eastAsia"/>
          <w:vertAlign w:val="superscript"/>
        </w:rPr>
        <w:t>(3)</w:t>
      </w:r>
      <w:r>
        <w:rPr>
          <w:rFonts w:hint="eastAsia"/>
        </w:rPr>
        <w:t>，</w:t>
      </w:r>
      <w:r w:rsidR="00341694" w:rsidRPr="00341694">
        <w:rPr>
          <w:rFonts w:hint="eastAsia"/>
        </w:rPr>
        <w:t>但仍</w:t>
      </w:r>
      <w:r>
        <w:rPr>
          <w:rFonts w:hint="eastAsia"/>
          <w:lang w:eastAsia="zh-HK"/>
        </w:rPr>
        <w:t>較一年前</w:t>
      </w:r>
      <w:r w:rsidR="008F361A" w:rsidRPr="008F361A">
        <w:rPr>
          <w:rFonts w:hint="eastAsia"/>
          <w:lang w:eastAsia="zh-HK"/>
        </w:rPr>
        <w:t>低</w:t>
      </w:r>
      <w:r>
        <w:rPr>
          <w:rFonts w:hint="eastAsia"/>
        </w:rPr>
        <w:t>3%</w:t>
      </w:r>
      <w:r>
        <w:rPr>
          <w:rFonts w:hint="eastAsia"/>
          <w:lang w:eastAsia="zh-HK"/>
        </w:rPr>
        <w:t>，</w:t>
      </w:r>
      <w:r w:rsidR="00341694" w:rsidRPr="00341694">
        <w:rPr>
          <w:rFonts w:hint="eastAsia"/>
          <w:lang w:eastAsia="zh-HK"/>
        </w:rPr>
        <w:t>亦</w:t>
      </w:r>
      <w:r>
        <w:rPr>
          <w:rFonts w:hint="eastAsia"/>
          <w:lang w:eastAsia="zh-HK"/>
        </w:rPr>
        <w:t>遠低於二零一</w:t>
      </w:r>
      <w:r w:rsidR="008F361A" w:rsidRPr="008F361A">
        <w:rPr>
          <w:rFonts w:hint="eastAsia"/>
          <w:lang w:eastAsia="zh-HK"/>
        </w:rPr>
        <w:t>八</w:t>
      </w:r>
      <w:r>
        <w:rPr>
          <w:rFonts w:hint="eastAsia"/>
          <w:lang w:eastAsia="zh-HK"/>
        </w:rPr>
        <w:t>至二零二二年期</w:t>
      </w:r>
      <w:r>
        <w:rPr>
          <w:rFonts w:hint="eastAsia"/>
        </w:rPr>
        <w:t>間</w:t>
      </w:r>
      <w:r w:rsidR="008F361A">
        <w:rPr>
          <w:rFonts w:hint="eastAsia"/>
        </w:rPr>
        <w:t>4</w:t>
      </w:r>
      <w:r w:rsidR="008F361A">
        <w:t>0</w:t>
      </w:r>
      <w:r w:rsidR="008F361A">
        <w:rPr>
          <w:rFonts w:hint="eastAsia"/>
        </w:rPr>
        <w:t>0</w:t>
      </w:r>
      <w:r>
        <w:rPr>
          <w:rFonts w:hint="eastAsia"/>
          <w:lang w:eastAsia="zh-HK"/>
        </w:rPr>
        <w:t>宗的季度平均水平。</w:t>
      </w:r>
    </w:p>
    <w:p w14:paraId="3B95259B" w14:textId="7A068498" w:rsidR="001B3BFC" w:rsidRDefault="001B3BFC" w:rsidP="006E4C04">
      <w:r>
        <w:rPr>
          <w:rFonts w:hint="eastAsia"/>
          <w:b/>
        </w:rPr>
        <w:t>3.1</w:t>
      </w:r>
      <w:r>
        <w:rPr>
          <w:b/>
        </w:rPr>
        <w:t>3</w:t>
      </w:r>
      <w:r>
        <w:rPr>
          <w:lang w:eastAsia="zh-HK"/>
        </w:rPr>
        <w:tab/>
      </w:r>
      <w:r w:rsidRPr="00F50ED9">
        <w:rPr>
          <w:rFonts w:hint="eastAsia"/>
          <w:i/>
        </w:rPr>
        <w:t>分層工廠大廈</w:t>
      </w:r>
      <w:r w:rsidRPr="00F50ED9">
        <w:rPr>
          <w:rFonts w:hint="eastAsia"/>
        </w:rPr>
        <w:t>的售價</w:t>
      </w:r>
      <w:r w:rsidR="006F1931" w:rsidRPr="00F50ED9">
        <w:rPr>
          <w:rFonts w:hint="eastAsia"/>
        </w:rPr>
        <w:t>和租金</w:t>
      </w:r>
      <w:r w:rsidRPr="00F50ED9">
        <w:rPr>
          <w:rFonts w:hint="eastAsia"/>
        </w:rPr>
        <w:t>在</w:t>
      </w:r>
      <w:r w:rsidR="00307146" w:rsidRPr="00F50ED9">
        <w:rPr>
          <w:rFonts w:hint="eastAsia"/>
        </w:rPr>
        <w:t>第一</w:t>
      </w:r>
      <w:r w:rsidR="00475F07" w:rsidRPr="00F50ED9">
        <w:rPr>
          <w:rFonts w:hint="eastAsia"/>
        </w:rPr>
        <w:t>季內分別</w:t>
      </w:r>
      <w:r w:rsidRPr="00F50ED9">
        <w:rPr>
          <w:rFonts w:hint="eastAsia"/>
        </w:rPr>
        <w:t>上升</w:t>
      </w:r>
      <w:r w:rsidR="00475F07" w:rsidRPr="00F50ED9">
        <w:rPr>
          <w:rFonts w:hint="eastAsia"/>
        </w:rPr>
        <w:t>3%</w:t>
      </w:r>
      <w:r w:rsidR="00475F07" w:rsidRPr="00F50ED9">
        <w:rPr>
          <w:rFonts w:hint="eastAsia"/>
        </w:rPr>
        <w:t>和</w:t>
      </w:r>
      <w:r w:rsidRPr="00F50ED9">
        <w:t>2</w:t>
      </w:r>
      <w:r w:rsidRPr="00F50ED9">
        <w:rPr>
          <w:rFonts w:hint="eastAsia"/>
        </w:rPr>
        <w:t>%</w:t>
      </w:r>
      <w:r w:rsidRPr="00F50ED9">
        <w:rPr>
          <w:rFonts w:hint="eastAsia"/>
        </w:rPr>
        <w:t>。</w:t>
      </w:r>
      <w:r w:rsidR="00475F07" w:rsidRPr="00F50ED9">
        <w:rPr>
          <w:rFonts w:hint="eastAsia"/>
        </w:rPr>
        <w:t>二零二三年三月的售價</w:t>
      </w:r>
      <w:r w:rsidRPr="00F50ED9">
        <w:rPr>
          <w:rFonts w:hint="eastAsia"/>
        </w:rPr>
        <w:t>與二零一九年的高峯相比</w:t>
      </w:r>
      <w:r w:rsidR="00475F07" w:rsidRPr="00F50ED9">
        <w:rPr>
          <w:rFonts w:hint="eastAsia"/>
        </w:rPr>
        <w:t>低</w:t>
      </w:r>
      <w:r w:rsidR="00475F07" w:rsidRPr="00F50ED9">
        <w:rPr>
          <w:rFonts w:hint="eastAsia"/>
        </w:rPr>
        <w:t>8%</w:t>
      </w:r>
      <w:r w:rsidRPr="00F50ED9">
        <w:rPr>
          <w:rFonts w:hint="eastAsia"/>
        </w:rPr>
        <w:t>，租金</w:t>
      </w:r>
      <w:r w:rsidR="00475F07" w:rsidRPr="00F50ED9">
        <w:rPr>
          <w:rFonts w:hint="eastAsia"/>
        </w:rPr>
        <w:t>則與二零二一年的高峯相若</w:t>
      </w:r>
      <w:r w:rsidRPr="00F50ED9">
        <w:rPr>
          <w:rFonts w:hint="eastAsia"/>
        </w:rPr>
        <w:t>。平均租金回</w:t>
      </w:r>
      <w:r w:rsidRPr="00C03C2C">
        <w:rPr>
          <w:rFonts w:hint="eastAsia"/>
        </w:rPr>
        <w:t>報率由二零二二年十二月的</w:t>
      </w:r>
      <w:r>
        <w:rPr>
          <w:rFonts w:hint="eastAsia"/>
        </w:rPr>
        <w:t>3.1</w:t>
      </w:r>
      <w:r w:rsidRPr="00C03C2C">
        <w:t>%</w:t>
      </w:r>
      <w:r w:rsidRPr="00C03C2C">
        <w:rPr>
          <w:rFonts w:hint="eastAsia"/>
        </w:rPr>
        <w:t>微</w:t>
      </w:r>
      <w:r>
        <w:rPr>
          <w:rFonts w:hint="eastAsia"/>
          <w:lang w:eastAsia="zh-HK"/>
        </w:rPr>
        <w:t>跌</w:t>
      </w:r>
      <w:r w:rsidRPr="00C03C2C">
        <w:rPr>
          <w:rFonts w:hint="eastAsia"/>
        </w:rPr>
        <w:t>至二零二</w:t>
      </w:r>
      <w:r>
        <w:rPr>
          <w:rFonts w:hint="eastAsia"/>
          <w:lang w:eastAsia="zh-HK"/>
        </w:rPr>
        <w:t>三</w:t>
      </w:r>
      <w:r w:rsidRPr="00C03C2C">
        <w:rPr>
          <w:rFonts w:hint="eastAsia"/>
        </w:rPr>
        <w:t>年三月的</w:t>
      </w:r>
      <w:r w:rsidRPr="00C03C2C">
        <w:t>3.</w:t>
      </w:r>
      <w:r w:rsidR="00475F07">
        <w:t>0</w:t>
      </w:r>
      <w:r w:rsidRPr="00C03C2C">
        <w:t>%</w:t>
      </w:r>
      <w:r w:rsidRPr="00C03C2C">
        <w:rPr>
          <w:rFonts w:hint="eastAsia"/>
        </w:rPr>
        <w:t>。第一季的交投量較</w:t>
      </w:r>
      <w:r w:rsidRPr="00B344D0">
        <w:rPr>
          <w:rFonts w:hint="eastAsia"/>
        </w:rPr>
        <w:t>上</w:t>
      </w:r>
      <w:r w:rsidRPr="00C03C2C">
        <w:rPr>
          <w:rFonts w:hint="eastAsia"/>
        </w:rPr>
        <w:t>一季</w:t>
      </w:r>
      <w:r w:rsidR="000C21DC" w:rsidRPr="00475F07">
        <w:rPr>
          <w:rFonts w:hint="eastAsia"/>
          <w:spacing w:val="34"/>
          <w:lang w:eastAsia="zh-HK"/>
        </w:rPr>
        <w:t>飆</w:t>
      </w:r>
      <w:r>
        <w:rPr>
          <w:rFonts w:hint="eastAsia"/>
          <w:spacing w:val="34"/>
        </w:rPr>
        <w:t>升</w:t>
      </w:r>
      <w:r w:rsidR="00475F07">
        <w:rPr>
          <w:spacing w:val="34"/>
        </w:rPr>
        <w:t>40</w:t>
      </w:r>
      <w:r>
        <w:rPr>
          <w:rFonts w:hint="eastAsia"/>
          <w:spacing w:val="34"/>
        </w:rPr>
        <w:t>%</w:t>
      </w:r>
      <w:r w:rsidRPr="00B450A0">
        <w:rPr>
          <w:rFonts w:hint="eastAsia"/>
        </w:rPr>
        <w:t>至</w:t>
      </w:r>
      <w:r w:rsidR="00475F07">
        <w:t>520</w:t>
      </w:r>
      <w:r w:rsidR="00F50ED9">
        <w:t> </w:t>
      </w:r>
      <w:r w:rsidRPr="00B450A0">
        <w:rPr>
          <w:rFonts w:hint="eastAsia"/>
        </w:rPr>
        <w:t>宗，較一年前</w:t>
      </w:r>
      <w:r w:rsidR="00475F07" w:rsidRPr="00475F07">
        <w:rPr>
          <w:rFonts w:hint="eastAsia"/>
        </w:rPr>
        <w:t>高</w:t>
      </w:r>
      <w:r w:rsidR="00475F07">
        <w:t>3</w:t>
      </w:r>
      <w:r w:rsidRPr="00B450A0">
        <w:rPr>
          <w:rFonts w:hint="eastAsia"/>
        </w:rPr>
        <w:t>%</w:t>
      </w:r>
      <w:r>
        <w:rPr>
          <w:rFonts w:hint="eastAsia"/>
        </w:rPr>
        <w:t>，</w:t>
      </w:r>
      <w:r w:rsidR="00475F07" w:rsidRPr="00475F07">
        <w:rPr>
          <w:rFonts w:hint="eastAsia"/>
        </w:rPr>
        <w:t>但仍</w:t>
      </w:r>
      <w:r w:rsidR="001D307C" w:rsidRPr="001D307C">
        <w:rPr>
          <w:rFonts w:hint="eastAsia"/>
          <w:lang w:eastAsia="zh-HK"/>
        </w:rPr>
        <w:t>遠</w:t>
      </w:r>
      <w:r>
        <w:rPr>
          <w:rFonts w:hint="eastAsia"/>
          <w:lang w:eastAsia="zh-HK"/>
        </w:rPr>
        <w:t>低於二零一</w:t>
      </w:r>
      <w:r w:rsidR="008F361A" w:rsidRPr="008F361A">
        <w:rPr>
          <w:rFonts w:hint="eastAsia"/>
          <w:lang w:eastAsia="zh-HK"/>
        </w:rPr>
        <w:t>八</w:t>
      </w:r>
      <w:r>
        <w:rPr>
          <w:rFonts w:hint="eastAsia"/>
          <w:lang w:eastAsia="zh-HK"/>
        </w:rPr>
        <w:t>至二零二二年期</w:t>
      </w:r>
      <w:r>
        <w:rPr>
          <w:rFonts w:hint="eastAsia"/>
        </w:rPr>
        <w:t>間</w:t>
      </w:r>
      <w:r w:rsidR="008F361A">
        <w:t>75</w:t>
      </w:r>
      <w:r w:rsidR="008F361A">
        <w:rPr>
          <w:rFonts w:hint="eastAsia"/>
        </w:rPr>
        <w:t>0</w:t>
      </w:r>
      <w:r w:rsidR="008F361A">
        <w:t> </w:t>
      </w:r>
      <w:r>
        <w:rPr>
          <w:rFonts w:hint="eastAsia"/>
          <w:lang w:eastAsia="zh-HK"/>
        </w:rPr>
        <w:t>宗的季度平均水平。</w:t>
      </w:r>
    </w:p>
    <w:p w14:paraId="2A5A8E31" w14:textId="6832DB92" w:rsidR="00810E76" w:rsidRDefault="00C25C54" w:rsidP="00810E76">
      <w:r w:rsidRPr="00C25C54">
        <w:rPr>
          <w:noProof/>
        </w:rPr>
        <w:lastRenderedPageBreak/>
        <w:drawing>
          <wp:inline distT="0" distB="0" distL="0" distR="0" wp14:anchorId="502924B3" wp14:editId="44FD048C">
            <wp:extent cx="5760085" cy="352533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5339"/>
                    </a:xfrm>
                    <a:prstGeom prst="rect">
                      <a:avLst/>
                    </a:prstGeom>
                    <a:noFill/>
                    <a:ln>
                      <a:noFill/>
                    </a:ln>
                  </pic:spPr>
                </pic:pic>
              </a:graphicData>
            </a:graphic>
          </wp:inline>
        </w:drawing>
      </w:r>
    </w:p>
    <w:p w14:paraId="4DCFB78A" w14:textId="77777777" w:rsidR="001B3BFC" w:rsidRPr="006E4C04" w:rsidRDefault="001B3BFC" w:rsidP="006E4C04">
      <w:pPr>
        <w:pStyle w:val="12"/>
      </w:pPr>
      <w:r w:rsidRPr="007200F5">
        <w:rPr>
          <w:rFonts w:hint="eastAsia"/>
        </w:rPr>
        <w:t>土地</w:t>
      </w:r>
    </w:p>
    <w:p w14:paraId="34C10F43" w14:textId="41FF4F88" w:rsidR="001B3BFC" w:rsidRDefault="001B3BFC" w:rsidP="006E4C04">
      <w:pPr>
        <w:rPr>
          <w:lang w:eastAsia="zh-HK"/>
        </w:rPr>
      </w:pPr>
      <w:r>
        <w:rPr>
          <w:b/>
        </w:rPr>
        <w:t>3.14</w:t>
      </w:r>
      <w:r>
        <w:rPr>
          <w:b/>
        </w:rPr>
        <w:tab/>
      </w:r>
      <w:r w:rsidR="00F123E4" w:rsidRPr="006B19B2">
        <w:rPr>
          <w:rFonts w:hint="eastAsia"/>
        </w:rPr>
        <w:t>政府於第一季售出</w:t>
      </w:r>
      <w:r>
        <w:rPr>
          <w:rFonts w:hint="eastAsia"/>
          <w:lang w:eastAsia="zh-HK"/>
        </w:rPr>
        <w:t>三</w:t>
      </w:r>
      <w:r w:rsidRPr="00124E5B">
        <w:rPr>
          <w:rFonts w:hint="eastAsia"/>
        </w:rPr>
        <w:t>幅</w:t>
      </w:r>
      <w:r>
        <w:rPr>
          <w:rFonts w:hint="eastAsia"/>
        </w:rPr>
        <w:t>土</w:t>
      </w:r>
      <w:r w:rsidRPr="00124E5B">
        <w:rPr>
          <w:rFonts w:hint="eastAsia"/>
        </w:rPr>
        <w:t>地</w:t>
      </w:r>
      <w:r w:rsidRPr="00124E5B">
        <w:rPr>
          <w:rFonts w:hint="eastAsia"/>
        </w:rPr>
        <w:t>(</w:t>
      </w:r>
      <w:r w:rsidRPr="00124E5B">
        <w:rPr>
          <w:rFonts w:hint="eastAsia"/>
          <w:lang w:eastAsia="zh-HK"/>
        </w:rPr>
        <w:t>包</w:t>
      </w:r>
      <w:r w:rsidRPr="00124E5B">
        <w:rPr>
          <w:rFonts w:hint="eastAsia"/>
        </w:rPr>
        <w:t>括一幅</w:t>
      </w:r>
      <w:r w:rsidRPr="00124E5B">
        <w:rPr>
          <w:rFonts w:hint="eastAsia"/>
          <w:lang w:eastAsia="zh-HK"/>
        </w:rPr>
        <w:t>住宅用地、一幅商</w:t>
      </w:r>
      <w:r w:rsidRPr="00124E5B">
        <w:rPr>
          <w:rFonts w:hint="eastAsia"/>
        </w:rPr>
        <w:t>業</w:t>
      </w:r>
      <w:r w:rsidRPr="00124E5B">
        <w:rPr>
          <w:rFonts w:hint="eastAsia"/>
          <w:lang w:eastAsia="zh-HK"/>
        </w:rPr>
        <w:t>用地和一幅</w:t>
      </w:r>
      <w:r w:rsidR="007E1566" w:rsidRPr="00563FD2">
        <w:rPr>
          <w:rFonts w:hint="eastAsia"/>
          <w:lang w:eastAsia="zh-HK"/>
        </w:rPr>
        <w:t>對外</w:t>
      </w:r>
      <w:r w:rsidRPr="00124E5B">
        <w:rPr>
          <w:rFonts w:hint="eastAsia"/>
          <w:lang w:eastAsia="zh-HK"/>
        </w:rPr>
        <w:t>電訊站用地</w:t>
      </w:r>
      <w:r w:rsidRPr="00124E5B">
        <w:rPr>
          <w:rFonts w:hint="eastAsia"/>
        </w:rPr>
        <w:t>)</w:t>
      </w:r>
      <w:r w:rsidRPr="00124E5B">
        <w:rPr>
          <w:rFonts w:hint="eastAsia"/>
        </w:rPr>
        <w:t>，總面積約</w:t>
      </w:r>
      <w:r>
        <w:rPr>
          <w:rFonts w:hint="eastAsia"/>
        </w:rPr>
        <w:t>2.2</w:t>
      </w:r>
      <w:r w:rsidRPr="00124E5B">
        <w:rPr>
          <w:rFonts w:hint="eastAsia"/>
        </w:rPr>
        <w:t>公頃，成交金額約</w:t>
      </w:r>
      <w:r>
        <w:rPr>
          <w:rFonts w:hint="eastAsia"/>
        </w:rPr>
        <w:t>62</w:t>
      </w:r>
      <w:r w:rsidR="00145F85">
        <w:t> </w:t>
      </w:r>
      <w:r w:rsidRPr="00124E5B">
        <w:rPr>
          <w:rFonts w:hint="eastAsia"/>
        </w:rPr>
        <w:t>億元。</w:t>
      </w:r>
      <w:r>
        <w:rPr>
          <w:rFonts w:hint="eastAsia"/>
        </w:rPr>
        <w:t>第</w:t>
      </w:r>
      <w:r>
        <w:rPr>
          <w:rFonts w:hint="eastAsia"/>
          <w:lang w:eastAsia="zh-HK"/>
        </w:rPr>
        <w:t>一</w:t>
      </w:r>
      <w:r>
        <w:rPr>
          <w:rFonts w:hint="eastAsia"/>
        </w:rPr>
        <w:t>季</w:t>
      </w:r>
      <w:r>
        <w:rPr>
          <w:rFonts w:hint="eastAsia"/>
          <w:lang w:eastAsia="zh-HK"/>
        </w:rPr>
        <w:t>有</w:t>
      </w:r>
      <w:r w:rsidR="007E1566" w:rsidRPr="00F92483">
        <w:rPr>
          <w:rFonts w:hint="eastAsia"/>
          <w:lang w:eastAsia="zh-HK"/>
        </w:rPr>
        <w:t>一幅</w:t>
      </w:r>
      <w:r>
        <w:rPr>
          <w:rFonts w:hint="eastAsia"/>
          <w:lang w:eastAsia="zh-HK"/>
        </w:rPr>
        <w:t>換地個案</w:t>
      </w:r>
      <w:r w:rsidR="007E1566" w:rsidRPr="00563FD2">
        <w:rPr>
          <w:rFonts w:hint="eastAsia"/>
          <w:lang w:eastAsia="zh-HK"/>
        </w:rPr>
        <w:t>和</w:t>
      </w:r>
      <w:r w:rsidR="007E1566" w:rsidRPr="007E1566">
        <w:rPr>
          <w:rFonts w:hint="eastAsia"/>
        </w:rPr>
        <w:t>十</w:t>
      </w:r>
      <w:r>
        <w:rPr>
          <w:rFonts w:hint="eastAsia"/>
          <w:lang w:eastAsia="zh-HK"/>
        </w:rPr>
        <w:t>幅修訂契約的土地獲批。</w:t>
      </w:r>
    </w:p>
    <w:p w14:paraId="6D97A407" w14:textId="77777777" w:rsidR="001C0E99" w:rsidRDefault="001C0E99">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D7346EB" w14:textId="4E09EB60" w:rsidR="001B3BFC" w:rsidRPr="002A51FB" w:rsidRDefault="001B3BFC" w:rsidP="006E4C04">
      <w:pPr>
        <w:pStyle w:val="12"/>
      </w:pPr>
      <w:r w:rsidRPr="002A51FB">
        <w:rPr>
          <w:rFonts w:hint="eastAsia"/>
        </w:rPr>
        <w:lastRenderedPageBreak/>
        <w:t>旅遊業</w:t>
      </w:r>
    </w:p>
    <w:p w14:paraId="7A748D71" w14:textId="11E711E7" w:rsidR="001B3BFC" w:rsidRPr="002A51FB" w:rsidRDefault="001B3BFC" w:rsidP="006E4C04">
      <w:r w:rsidRPr="002A51FB">
        <w:rPr>
          <w:b/>
        </w:rPr>
        <w:t>3</w:t>
      </w:r>
      <w:r w:rsidRPr="002A51FB">
        <w:rPr>
          <w:b/>
          <w:lang w:eastAsia="zh-HK"/>
        </w:rPr>
        <w:t>.1</w:t>
      </w:r>
      <w:r w:rsidRPr="002A51FB">
        <w:rPr>
          <w:b/>
        </w:rPr>
        <w:t>5</w:t>
      </w:r>
      <w:r w:rsidRPr="002A51FB">
        <w:tab/>
      </w:r>
      <w:r w:rsidRPr="002A51FB">
        <w:rPr>
          <w:lang w:eastAsia="zh-HK"/>
        </w:rPr>
        <w:t>旅</w:t>
      </w:r>
      <w:r w:rsidRPr="002A51FB">
        <w:t>遊</w:t>
      </w:r>
      <w:r w:rsidRPr="002A51FB">
        <w:rPr>
          <w:lang w:eastAsia="zh-HK"/>
        </w:rPr>
        <w:t>業在第一季</w:t>
      </w:r>
      <w:r w:rsidR="00877882">
        <w:rPr>
          <w:lang w:eastAsia="zh-HK"/>
        </w:rPr>
        <w:t>強勁</w:t>
      </w:r>
      <w:r w:rsidR="001F3D9A" w:rsidRPr="001F3D9A">
        <w:rPr>
          <w:rFonts w:hint="eastAsia"/>
          <w:lang w:eastAsia="zh-HK"/>
        </w:rPr>
        <w:t>恢</w:t>
      </w:r>
      <w:r w:rsidRPr="002A51FB">
        <w:rPr>
          <w:lang w:eastAsia="zh-HK"/>
        </w:rPr>
        <w:t>復</w:t>
      </w:r>
      <w:r w:rsidRPr="002A51FB">
        <w:t>。</w:t>
      </w:r>
      <w:r w:rsidR="009F71CA" w:rsidRPr="009F71CA">
        <w:rPr>
          <w:rFonts w:hint="eastAsia"/>
          <w:lang w:eastAsia="zh-HK"/>
        </w:rPr>
        <w:t>隨着</w:t>
      </w:r>
      <w:r w:rsidR="002B1742" w:rsidRPr="001D307C">
        <w:rPr>
          <w:rFonts w:hint="eastAsia"/>
          <w:lang w:eastAsia="zh-HK"/>
        </w:rPr>
        <w:t>與內地</w:t>
      </w:r>
      <w:r w:rsidR="009F71CA" w:rsidRPr="009F71CA">
        <w:rPr>
          <w:rFonts w:hint="eastAsia"/>
          <w:lang w:eastAsia="zh-HK"/>
        </w:rPr>
        <w:t>和世界各地的</w:t>
      </w:r>
      <w:r w:rsidR="00F123E4" w:rsidRPr="00F123E4">
        <w:rPr>
          <w:rFonts w:hint="eastAsia"/>
          <w:lang w:eastAsia="zh-HK"/>
        </w:rPr>
        <w:t>往來</w:t>
      </w:r>
      <w:r w:rsidRPr="002A51FB">
        <w:rPr>
          <w:lang w:eastAsia="zh-HK"/>
        </w:rPr>
        <w:t>逐步</w:t>
      </w:r>
      <w:r w:rsidR="00096454">
        <w:rPr>
          <w:rFonts w:hint="eastAsia"/>
          <w:lang w:eastAsia="zh-HK"/>
        </w:rPr>
        <w:t>復</w:t>
      </w:r>
      <w:r w:rsidRPr="002A51FB">
        <w:rPr>
          <w:rFonts w:hint="eastAsia"/>
          <w:lang w:eastAsia="zh-HK"/>
        </w:rPr>
        <w:t>常</w:t>
      </w:r>
      <w:r w:rsidRPr="002A51FB">
        <w:rPr>
          <w:lang w:eastAsia="zh-HK"/>
        </w:rPr>
        <w:t>，</w:t>
      </w:r>
      <w:r w:rsidRPr="002A51FB">
        <w:rPr>
          <w:i/>
          <w:lang w:eastAsia="zh-HK"/>
        </w:rPr>
        <w:t>訪港旅客</w:t>
      </w:r>
      <w:r w:rsidRPr="002A51FB">
        <w:rPr>
          <w:lang w:eastAsia="zh-HK"/>
        </w:rPr>
        <w:t>由二零二二年十二月</w:t>
      </w:r>
      <w:r w:rsidR="006B2205">
        <w:rPr>
          <w:lang w:eastAsia="zh-HK"/>
        </w:rPr>
        <w:t>160 600</w:t>
      </w:r>
      <w:r w:rsidRPr="002A51FB">
        <w:rPr>
          <w:lang w:eastAsia="zh-HK"/>
        </w:rPr>
        <w:t>人次的低水平急升</w:t>
      </w:r>
      <w:r w:rsidR="00163C6C">
        <w:rPr>
          <w:rFonts w:hint="eastAsia"/>
          <w:lang w:eastAsia="zh-HK"/>
        </w:rPr>
        <w:t>至</w:t>
      </w:r>
      <w:r w:rsidRPr="002A51FB">
        <w:rPr>
          <w:lang w:eastAsia="zh-HK"/>
        </w:rPr>
        <w:t>二零二三年一月</w:t>
      </w:r>
      <w:r w:rsidR="00163C6C">
        <w:rPr>
          <w:rFonts w:hint="eastAsia"/>
          <w:lang w:eastAsia="zh-HK"/>
        </w:rPr>
        <w:t>的</w:t>
      </w:r>
      <w:r w:rsidRPr="002A51FB">
        <w:t>50</w:t>
      </w:r>
      <w:r w:rsidRPr="002A51FB">
        <w:rPr>
          <w:lang w:eastAsia="zh-HK"/>
        </w:rPr>
        <w:t>萬</w:t>
      </w:r>
      <w:r w:rsidRPr="002A51FB">
        <w:rPr>
          <w:rFonts w:hint="eastAsia"/>
          <w:lang w:eastAsia="zh-HK"/>
        </w:rPr>
        <w:t>人次</w:t>
      </w:r>
      <w:r w:rsidR="008F361A" w:rsidRPr="008F361A">
        <w:rPr>
          <w:rFonts w:hint="eastAsia"/>
          <w:lang w:eastAsia="zh-HK"/>
        </w:rPr>
        <w:t>、</w:t>
      </w:r>
      <w:r w:rsidRPr="002A51FB">
        <w:rPr>
          <w:rFonts w:hint="eastAsia"/>
          <w:lang w:eastAsia="zh-HK"/>
        </w:rPr>
        <w:t>二月</w:t>
      </w:r>
      <w:r w:rsidR="00163C6C">
        <w:rPr>
          <w:rFonts w:hint="eastAsia"/>
          <w:lang w:eastAsia="zh-HK"/>
        </w:rPr>
        <w:t>的</w:t>
      </w:r>
      <w:r w:rsidR="00163C6C" w:rsidRPr="002A51FB">
        <w:t>150</w:t>
      </w:r>
      <w:r w:rsidR="00163C6C" w:rsidRPr="002A51FB">
        <w:rPr>
          <w:lang w:eastAsia="zh-HK"/>
        </w:rPr>
        <w:t>萬</w:t>
      </w:r>
      <w:r w:rsidR="00163C6C">
        <w:rPr>
          <w:rFonts w:hint="eastAsia"/>
          <w:lang w:eastAsia="zh-HK"/>
        </w:rPr>
        <w:t>人次</w:t>
      </w:r>
      <w:r w:rsidRPr="002A51FB">
        <w:rPr>
          <w:rFonts w:hint="eastAsia"/>
          <w:lang w:eastAsia="zh-HK"/>
        </w:rPr>
        <w:t>和三月</w:t>
      </w:r>
      <w:r w:rsidR="00163C6C">
        <w:rPr>
          <w:rFonts w:hint="eastAsia"/>
          <w:lang w:eastAsia="zh-HK"/>
        </w:rPr>
        <w:t>的</w:t>
      </w:r>
      <w:r w:rsidRPr="002A51FB">
        <w:t>250</w:t>
      </w:r>
      <w:r w:rsidR="00C1752B">
        <w:t> </w:t>
      </w:r>
      <w:r w:rsidRPr="002A51FB">
        <w:rPr>
          <w:lang w:eastAsia="zh-HK"/>
        </w:rPr>
        <w:t>萬</w:t>
      </w:r>
      <w:r w:rsidR="00163C6C">
        <w:rPr>
          <w:rFonts w:hint="eastAsia"/>
          <w:lang w:eastAsia="zh-HK"/>
        </w:rPr>
        <w:t>人次</w:t>
      </w:r>
      <w:r w:rsidRPr="002A51FB">
        <w:rPr>
          <w:lang w:eastAsia="zh-HK"/>
        </w:rPr>
        <w:t>。</w:t>
      </w:r>
      <w:r w:rsidR="001D307C" w:rsidRPr="002A51FB">
        <w:rPr>
          <w:rFonts w:hint="eastAsia"/>
          <w:lang w:eastAsia="zh-HK"/>
        </w:rPr>
        <w:t>三月</w:t>
      </w:r>
      <w:r w:rsidR="001D307C">
        <w:rPr>
          <w:rFonts w:hint="eastAsia"/>
          <w:lang w:eastAsia="zh-HK"/>
        </w:rPr>
        <w:t>的</w:t>
      </w:r>
      <w:r w:rsidRPr="002A51FB">
        <w:rPr>
          <w:lang w:eastAsia="zh-HK"/>
        </w:rPr>
        <w:t>訪港旅客</w:t>
      </w:r>
      <w:r w:rsidR="00DC4938" w:rsidRPr="002A51FB">
        <w:rPr>
          <w:lang w:eastAsia="zh-HK"/>
        </w:rPr>
        <w:t>人次</w:t>
      </w:r>
      <w:r w:rsidR="001D307C" w:rsidRPr="001D307C">
        <w:rPr>
          <w:rFonts w:hint="eastAsia"/>
          <w:lang w:eastAsia="zh-HK"/>
        </w:rPr>
        <w:t>已</w:t>
      </w:r>
      <w:r w:rsidRPr="002A51FB">
        <w:rPr>
          <w:lang w:eastAsia="zh-HK"/>
        </w:rPr>
        <w:t>回</w:t>
      </w:r>
      <w:r w:rsidRPr="002A51FB">
        <w:rPr>
          <w:rFonts w:hint="eastAsia"/>
          <w:lang w:eastAsia="zh-HK"/>
        </w:rPr>
        <w:t>復</w:t>
      </w:r>
      <w:r w:rsidRPr="002A51FB">
        <w:rPr>
          <w:lang w:eastAsia="zh-HK"/>
        </w:rPr>
        <w:t>至二零一九年第二季經濟衰退前</w:t>
      </w:r>
      <w:r w:rsidR="001D307C" w:rsidRPr="001D307C">
        <w:rPr>
          <w:rFonts w:hint="eastAsia"/>
          <w:lang w:eastAsia="zh-HK"/>
        </w:rPr>
        <w:t>月</w:t>
      </w:r>
      <w:r w:rsidR="00877882">
        <w:rPr>
          <w:rFonts w:hint="eastAsia"/>
          <w:lang w:eastAsia="zh-HK"/>
        </w:rPr>
        <w:t>度</w:t>
      </w:r>
      <w:r w:rsidRPr="002A51FB">
        <w:rPr>
          <w:lang w:eastAsia="zh-HK"/>
        </w:rPr>
        <w:t>水平的</w:t>
      </w:r>
      <w:r w:rsidR="001D307C">
        <w:t>44</w:t>
      </w:r>
      <w:r w:rsidRPr="002A51FB">
        <w:rPr>
          <w:lang w:eastAsia="zh-HK"/>
        </w:rPr>
        <w:t>%</w:t>
      </w:r>
      <w:r w:rsidRPr="002A51FB">
        <w:rPr>
          <w:lang w:eastAsia="zh-HK"/>
        </w:rPr>
        <w:t>。</w:t>
      </w:r>
      <w:r w:rsidR="00C06C78" w:rsidRPr="002A51FB">
        <w:rPr>
          <w:lang w:eastAsia="zh-HK"/>
        </w:rPr>
        <w:t>內地訪港旅客</w:t>
      </w:r>
      <w:r w:rsidR="00C06C78">
        <w:rPr>
          <w:rFonts w:hint="eastAsia"/>
        </w:rPr>
        <w:t>(</w:t>
      </w:r>
      <w:r w:rsidR="008F361A" w:rsidRPr="008F361A">
        <w:rPr>
          <w:rFonts w:hint="eastAsia"/>
        </w:rPr>
        <w:t>在第一季</w:t>
      </w:r>
      <w:r w:rsidRPr="002A51FB">
        <w:rPr>
          <w:lang w:eastAsia="zh-HK"/>
        </w:rPr>
        <w:t>佔訪港旅客總人次</w:t>
      </w:r>
      <w:r w:rsidR="00DC4938">
        <w:rPr>
          <w:rFonts w:hint="eastAsia"/>
          <w:lang w:eastAsia="zh-HK"/>
        </w:rPr>
        <w:t>的</w:t>
      </w:r>
      <w:r w:rsidRPr="002A51FB">
        <w:t>76</w:t>
      </w:r>
      <w:r w:rsidRPr="002A51FB">
        <w:rPr>
          <w:lang w:eastAsia="zh-HK"/>
        </w:rPr>
        <w:t>%</w:t>
      </w:r>
      <w:r w:rsidR="00C06C78">
        <w:rPr>
          <w:rFonts w:hint="eastAsia"/>
        </w:rPr>
        <w:t>)</w:t>
      </w:r>
      <w:r w:rsidRPr="002A51FB">
        <w:rPr>
          <w:lang w:eastAsia="zh-HK"/>
        </w:rPr>
        <w:t>由</w:t>
      </w:r>
      <w:r w:rsidR="000D6DE8" w:rsidRPr="002A51FB">
        <w:rPr>
          <w:lang w:eastAsia="zh-HK"/>
        </w:rPr>
        <w:t>二零二二年</w:t>
      </w:r>
      <w:r w:rsidR="000D6DE8">
        <w:rPr>
          <w:rFonts w:hint="eastAsia"/>
        </w:rPr>
        <w:t>第四季的</w:t>
      </w:r>
      <w:r w:rsidRPr="002A51FB">
        <w:rPr>
          <w:lang w:eastAsia="zh-HK"/>
        </w:rPr>
        <w:t>17</w:t>
      </w:r>
      <w:r w:rsidR="000D6DE8">
        <w:rPr>
          <w:lang w:eastAsia="zh-HK"/>
        </w:rPr>
        <w:t>3</w:t>
      </w:r>
      <w:r w:rsidRPr="002A51FB">
        <w:rPr>
          <w:lang w:eastAsia="zh-HK"/>
        </w:rPr>
        <w:t> </w:t>
      </w:r>
      <w:r w:rsidR="000D6DE8">
        <w:rPr>
          <w:lang w:eastAsia="zh-HK"/>
        </w:rPr>
        <w:t>5</w:t>
      </w:r>
      <w:r w:rsidRPr="002A51FB">
        <w:rPr>
          <w:lang w:eastAsia="zh-HK"/>
        </w:rPr>
        <w:t>00</w:t>
      </w:r>
      <w:r w:rsidRPr="002A51FB">
        <w:rPr>
          <w:lang w:eastAsia="zh-HK"/>
        </w:rPr>
        <w:t>人次躍升至</w:t>
      </w:r>
      <w:r w:rsidR="000D6DE8" w:rsidRPr="002A51FB">
        <w:rPr>
          <w:lang w:eastAsia="zh-HK"/>
        </w:rPr>
        <w:t>二零二</w:t>
      </w:r>
      <w:r w:rsidR="000D6DE8">
        <w:rPr>
          <w:lang w:eastAsia="zh-HK"/>
        </w:rPr>
        <w:t>三</w:t>
      </w:r>
      <w:r w:rsidR="000D6DE8" w:rsidRPr="002A51FB">
        <w:rPr>
          <w:lang w:eastAsia="zh-HK"/>
        </w:rPr>
        <w:t>年</w:t>
      </w:r>
      <w:r w:rsidR="000D6DE8">
        <w:rPr>
          <w:rFonts w:hint="eastAsia"/>
        </w:rPr>
        <w:t>第一季的</w:t>
      </w:r>
      <w:r w:rsidRPr="002A51FB">
        <w:t>340</w:t>
      </w:r>
      <w:r w:rsidRPr="002A51FB">
        <w:rPr>
          <w:lang w:eastAsia="zh-HK"/>
        </w:rPr>
        <w:t>萬人次，來自其他短途市場和長途市場的訪港旅客亦分別由</w:t>
      </w:r>
      <w:r w:rsidRPr="002A51FB">
        <w:rPr>
          <w:lang w:eastAsia="zh-HK"/>
        </w:rPr>
        <w:t>10</w:t>
      </w:r>
      <w:r w:rsidR="000D6DE8">
        <w:rPr>
          <w:lang w:eastAsia="zh-HK"/>
        </w:rPr>
        <w:t>3</w:t>
      </w:r>
      <w:r w:rsidRPr="002A51FB">
        <w:rPr>
          <w:lang w:eastAsia="zh-HK"/>
        </w:rPr>
        <w:t> </w:t>
      </w:r>
      <w:r w:rsidR="000D6DE8">
        <w:rPr>
          <w:lang w:eastAsia="zh-HK"/>
        </w:rPr>
        <w:t>7</w:t>
      </w:r>
      <w:r w:rsidRPr="002A51FB">
        <w:rPr>
          <w:lang w:eastAsia="zh-HK"/>
        </w:rPr>
        <w:t>00</w:t>
      </w:r>
      <w:r w:rsidR="004E65D7" w:rsidRPr="004E65D7">
        <w:rPr>
          <w:rFonts w:hint="eastAsia"/>
          <w:lang w:eastAsia="zh-HK"/>
        </w:rPr>
        <w:t>人次</w:t>
      </w:r>
      <w:r w:rsidRPr="002A51FB">
        <w:rPr>
          <w:lang w:eastAsia="zh-HK"/>
        </w:rPr>
        <w:t>和</w:t>
      </w:r>
      <w:r w:rsidRPr="002A51FB">
        <w:rPr>
          <w:lang w:eastAsia="zh-HK"/>
        </w:rPr>
        <w:t>7</w:t>
      </w:r>
      <w:r w:rsidR="000D6DE8">
        <w:rPr>
          <w:lang w:eastAsia="zh-HK"/>
        </w:rPr>
        <w:t>7</w:t>
      </w:r>
      <w:r w:rsidRPr="002A51FB">
        <w:rPr>
          <w:lang w:eastAsia="zh-HK"/>
        </w:rPr>
        <w:t> </w:t>
      </w:r>
      <w:r w:rsidR="000D6DE8">
        <w:rPr>
          <w:lang w:eastAsia="zh-HK"/>
        </w:rPr>
        <w:t>6</w:t>
      </w:r>
      <w:r w:rsidRPr="002A51FB">
        <w:rPr>
          <w:lang w:eastAsia="zh-HK"/>
        </w:rPr>
        <w:t>00</w:t>
      </w:r>
      <w:r w:rsidR="004E65D7" w:rsidRPr="004E65D7">
        <w:rPr>
          <w:rFonts w:hint="eastAsia"/>
          <w:lang w:eastAsia="zh-HK"/>
        </w:rPr>
        <w:t>人次</w:t>
      </w:r>
      <w:r w:rsidR="006456CB">
        <w:rPr>
          <w:rFonts w:hint="eastAsia"/>
        </w:rPr>
        <w:t>急</w:t>
      </w:r>
      <w:r w:rsidR="00C06C78">
        <w:rPr>
          <w:rFonts w:hint="eastAsia"/>
          <w:lang w:eastAsia="zh-HK"/>
        </w:rPr>
        <w:t>增</w:t>
      </w:r>
      <w:r w:rsidRPr="002A51FB">
        <w:rPr>
          <w:lang w:eastAsia="zh-HK"/>
        </w:rPr>
        <w:t>至</w:t>
      </w:r>
      <w:r w:rsidR="007E1566">
        <w:rPr>
          <w:lang w:eastAsia="zh-HK"/>
        </w:rPr>
        <w:t>779 100</w:t>
      </w:r>
      <w:r w:rsidR="004E65D7" w:rsidRPr="004E65D7">
        <w:rPr>
          <w:rFonts w:hint="eastAsia"/>
          <w:lang w:eastAsia="zh-HK"/>
        </w:rPr>
        <w:t>人次</w:t>
      </w:r>
      <w:r w:rsidRPr="002A51FB">
        <w:rPr>
          <w:lang w:eastAsia="zh-HK"/>
        </w:rPr>
        <w:t>和</w:t>
      </w:r>
      <w:r w:rsidR="007E1566">
        <w:rPr>
          <w:lang w:eastAsia="zh-HK"/>
        </w:rPr>
        <w:t>274 400</w:t>
      </w:r>
      <w:r w:rsidR="004E65D7" w:rsidRPr="004E65D7">
        <w:rPr>
          <w:rFonts w:hint="eastAsia"/>
          <w:lang w:eastAsia="zh-HK"/>
        </w:rPr>
        <w:t>人次</w:t>
      </w:r>
      <w:r w:rsidRPr="002A51FB">
        <w:rPr>
          <w:vertAlign w:val="superscript"/>
        </w:rPr>
        <w:t>(4)</w:t>
      </w:r>
      <w:r w:rsidRPr="002A51FB">
        <w:rPr>
          <w:lang w:eastAsia="zh-HK"/>
        </w:rPr>
        <w:t>。按留港時間分析，過夜旅客和不過夜旅客</w:t>
      </w:r>
      <w:r w:rsidR="00F123E4" w:rsidRPr="00F123E4">
        <w:rPr>
          <w:rFonts w:hint="eastAsia"/>
          <w:lang w:eastAsia="zh-HK"/>
        </w:rPr>
        <w:t>分別</w:t>
      </w:r>
      <w:r w:rsidRPr="002A51FB">
        <w:rPr>
          <w:lang w:eastAsia="zh-HK"/>
        </w:rPr>
        <w:t>由</w:t>
      </w:r>
      <w:r w:rsidRPr="002A51FB">
        <w:rPr>
          <w:lang w:eastAsia="zh-HK"/>
        </w:rPr>
        <w:t>3</w:t>
      </w:r>
      <w:r w:rsidR="000D6DE8">
        <w:rPr>
          <w:lang w:eastAsia="zh-HK"/>
        </w:rPr>
        <w:t>29</w:t>
      </w:r>
      <w:r w:rsidRPr="002A51FB">
        <w:rPr>
          <w:rFonts w:eastAsia="Malgun Gothic"/>
          <w:lang w:eastAsia="zh-HK"/>
        </w:rPr>
        <w:t> </w:t>
      </w:r>
      <w:r w:rsidR="000D6DE8">
        <w:rPr>
          <w:lang w:eastAsia="zh-HK"/>
        </w:rPr>
        <w:t>8</w:t>
      </w:r>
      <w:r w:rsidRPr="002A51FB">
        <w:rPr>
          <w:lang w:eastAsia="zh-HK"/>
        </w:rPr>
        <w:t>00</w:t>
      </w:r>
      <w:r w:rsidR="004E65D7" w:rsidRPr="002A51FB">
        <w:rPr>
          <w:rFonts w:hint="eastAsia"/>
          <w:lang w:eastAsia="zh-HK"/>
        </w:rPr>
        <w:t>人次</w:t>
      </w:r>
      <w:r w:rsidRPr="002A51FB">
        <w:rPr>
          <w:lang w:eastAsia="zh-HK"/>
        </w:rPr>
        <w:t>和</w:t>
      </w:r>
      <w:r w:rsidRPr="002A51FB">
        <w:rPr>
          <w:lang w:eastAsia="zh-HK"/>
        </w:rPr>
        <w:t>25</w:t>
      </w:r>
      <w:r w:rsidRPr="002A51FB">
        <w:rPr>
          <w:rFonts w:eastAsia="Malgun Gothic"/>
          <w:lang w:eastAsia="zh-HK"/>
        </w:rPr>
        <w:t> </w:t>
      </w:r>
      <w:r w:rsidR="000D6DE8">
        <w:rPr>
          <w:lang w:eastAsia="zh-HK"/>
        </w:rPr>
        <w:t>1</w:t>
      </w:r>
      <w:r w:rsidRPr="002A51FB">
        <w:rPr>
          <w:lang w:eastAsia="zh-HK"/>
        </w:rPr>
        <w:t>00</w:t>
      </w:r>
      <w:r w:rsidR="00C1752B">
        <w:rPr>
          <w:lang w:eastAsia="zh-HK"/>
        </w:rPr>
        <w:t> </w:t>
      </w:r>
      <w:r w:rsidR="004E65D7" w:rsidRPr="004E65D7">
        <w:rPr>
          <w:rFonts w:hint="eastAsia"/>
          <w:lang w:eastAsia="zh-HK"/>
        </w:rPr>
        <w:t>人次</w:t>
      </w:r>
      <w:r w:rsidR="00A74E86">
        <w:rPr>
          <w:rFonts w:hint="eastAsia"/>
          <w:lang w:eastAsia="zh-HK"/>
        </w:rPr>
        <w:t>跳</w:t>
      </w:r>
      <w:r w:rsidRPr="002A51FB">
        <w:rPr>
          <w:lang w:eastAsia="zh-HK"/>
        </w:rPr>
        <w:t>升至</w:t>
      </w:r>
      <w:r w:rsidR="007E1566" w:rsidRPr="002A51FB">
        <w:rPr>
          <w:rFonts w:hint="eastAsia"/>
        </w:rPr>
        <w:t>2</w:t>
      </w:r>
      <w:r w:rsidR="007E1566">
        <w:t>3</w:t>
      </w:r>
      <w:r w:rsidR="007E1566" w:rsidRPr="002A51FB">
        <w:rPr>
          <w:rFonts w:hint="eastAsia"/>
        </w:rPr>
        <w:t>0</w:t>
      </w:r>
      <w:r w:rsidR="00F31CF5">
        <w:t> </w:t>
      </w:r>
      <w:r w:rsidRPr="002A51FB">
        <w:rPr>
          <w:rFonts w:hint="eastAsia"/>
          <w:lang w:eastAsia="zh-HK"/>
        </w:rPr>
        <w:t>萬</w:t>
      </w:r>
      <w:r w:rsidR="004E65D7" w:rsidRPr="004E65D7">
        <w:rPr>
          <w:rFonts w:hint="eastAsia"/>
          <w:lang w:eastAsia="zh-HK"/>
        </w:rPr>
        <w:t>人次</w:t>
      </w:r>
      <w:r w:rsidRPr="002A51FB">
        <w:rPr>
          <w:lang w:eastAsia="zh-HK"/>
        </w:rPr>
        <w:t>和</w:t>
      </w:r>
      <w:r w:rsidR="007E1566" w:rsidRPr="002A51FB">
        <w:rPr>
          <w:lang w:eastAsia="zh-HK"/>
        </w:rPr>
        <w:t>2</w:t>
      </w:r>
      <w:r w:rsidR="007E1566">
        <w:rPr>
          <w:lang w:eastAsia="zh-HK"/>
        </w:rPr>
        <w:t>1</w:t>
      </w:r>
      <w:r w:rsidR="007E1566" w:rsidRPr="002A51FB">
        <w:rPr>
          <w:lang w:eastAsia="zh-HK"/>
        </w:rPr>
        <w:t>0</w:t>
      </w:r>
      <w:r w:rsidRPr="002A51FB">
        <w:rPr>
          <w:rFonts w:hint="eastAsia"/>
          <w:lang w:eastAsia="zh-HK"/>
        </w:rPr>
        <w:t>萬</w:t>
      </w:r>
      <w:r w:rsidR="004E65D7" w:rsidRPr="004E65D7">
        <w:rPr>
          <w:rFonts w:hint="eastAsia"/>
          <w:lang w:eastAsia="zh-HK"/>
        </w:rPr>
        <w:t>人次</w:t>
      </w:r>
      <w:r w:rsidRPr="002A51FB">
        <w:rPr>
          <w:lang w:eastAsia="zh-HK"/>
        </w:rPr>
        <w:t>。以旅遊服務輸出計算，旅客消費</w:t>
      </w:r>
      <w:r w:rsidR="00145F85">
        <w:rPr>
          <w:rFonts w:hint="eastAsia"/>
          <w:lang w:eastAsia="zh-HK"/>
        </w:rPr>
        <w:t>由</w:t>
      </w:r>
      <w:r w:rsidRPr="002A51FB">
        <w:rPr>
          <w:lang w:eastAsia="zh-HK"/>
        </w:rPr>
        <w:t>一年</w:t>
      </w:r>
      <w:r w:rsidR="00486273">
        <w:rPr>
          <w:rFonts w:hint="eastAsia"/>
          <w:lang w:eastAsia="zh-HK"/>
        </w:rPr>
        <w:t>前</w:t>
      </w:r>
      <w:r w:rsidRPr="002A51FB">
        <w:rPr>
          <w:lang w:eastAsia="zh-HK"/>
        </w:rPr>
        <w:t>的低</w:t>
      </w:r>
      <w:r w:rsidR="00145F85">
        <w:rPr>
          <w:rFonts w:hint="eastAsia"/>
          <w:lang w:eastAsia="zh-HK"/>
        </w:rPr>
        <w:t>位</w:t>
      </w:r>
      <w:r w:rsidRPr="002A51FB">
        <w:rPr>
          <w:lang w:eastAsia="zh-HK"/>
        </w:rPr>
        <w:t>實質</w:t>
      </w:r>
      <w:r w:rsidR="007E1566" w:rsidRPr="007E1566">
        <w:rPr>
          <w:rFonts w:hint="eastAsia"/>
          <w:lang w:eastAsia="zh-HK"/>
        </w:rPr>
        <w:t>飆</w:t>
      </w:r>
      <w:r w:rsidRPr="002A51FB">
        <w:rPr>
          <w:lang w:eastAsia="zh-HK"/>
        </w:rPr>
        <w:t>升</w:t>
      </w:r>
      <w:r w:rsidR="007E1566">
        <w:rPr>
          <w:lang w:eastAsia="zh-HK"/>
        </w:rPr>
        <w:t>50</w:t>
      </w:r>
      <w:r w:rsidR="004934A3">
        <w:rPr>
          <w:lang w:eastAsia="zh-HK"/>
        </w:rPr>
        <w:t>4.5</w:t>
      </w:r>
      <w:r w:rsidRPr="002A51FB">
        <w:rPr>
          <w:lang w:eastAsia="zh-HK"/>
        </w:rPr>
        <w:t>%</w:t>
      </w:r>
      <w:r w:rsidRPr="002A51FB">
        <w:rPr>
          <w:lang w:eastAsia="zh-HK"/>
        </w:rPr>
        <w:t>，回復</w:t>
      </w:r>
      <w:r w:rsidRPr="002A51FB">
        <w:rPr>
          <w:rFonts w:hint="eastAsia"/>
          <w:lang w:eastAsia="zh-HK"/>
        </w:rPr>
        <w:t>至</w:t>
      </w:r>
      <w:r w:rsidRPr="002A51FB">
        <w:rPr>
          <w:lang w:eastAsia="zh-HK"/>
        </w:rPr>
        <w:t>二零一九年第二季經濟衰退前水平的</w:t>
      </w:r>
      <w:r w:rsidR="007E1566">
        <w:rPr>
          <w:lang w:eastAsia="zh-HK"/>
        </w:rPr>
        <w:t>42.4</w:t>
      </w:r>
      <w:r w:rsidRPr="002A51FB">
        <w:rPr>
          <w:lang w:eastAsia="zh-HK"/>
        </w:rPr>
        <w:t>%</w:t>
      </w:r>
      <w:r w:rsidRPr="002A51FB">
        <w:rPr>
          <w:lang w:eastAsia="zh-HK"/>
        </w:rPr>
        <w:t>。</w:t>
      </w:r>
    </w:p>
    <w:p w14:paraId="39BC14A7" w14:textId="77777777" w:rsidR="001B3BFC" w:rsidRPr="00210CAB" w:rsidRDefault="001B3BFC" w:rsidP="007E1566">
      <w:pPr>
        <w:pStyle w:val="afff6"/>
        <w:rPr>
          <w:rFonts w:eastAsia="Times New Roman"/>
          <w:b/>
        </w:rPr>
      </w:pPr>
      <w:r w:rsidRPr="00210CAB">
        <w:rPr>
          <w:rFonts w:hint="eastAsia"/>
          <w:lang w:eastAsia="zh-HK"/>
        </w:rPr>
        <w:t>表</w:t>
      </w:r>
      <w:r>
        <w:rPr>
          <w:rFonts w:eastAsia="Times New Roman"/>
          <w:b/>
        </w:rPr>
        <w:t>3</w:t>
      </w:r>
      <w:r w:rsidRPr="00210CAB">
        <w:rPr>
          <w:rFonts w:eastAsia="Times New Roman"/>
          <w:b/>
        </w:rPr>
        <w:t>.1</w:t>
      </w:r>
      <w:r w:rsidRPr="00210CAB">
        <w:rPr>
          <w:rFonts w:hint="eastAsia"/>
          <w:b/>
          <w:lang w:eastAsia="zh-HK"/>
        </w:rPr>
        <w:t>：</w:t>
      </w:r>
      <w:r w:rsidRPr="00210CAB">
        <w:rPr>
          <w:rFonts w:hint="eastAsia"/>
          <w:lang w:eastAsia="zh-HK"/>
        </w:rPr>
        <w:t>訪港旅</w:t>
      </w:r>
      <w:r w:rsidRPr="00210CAB">
        <w:rPr>
          <w:rFonts w:hint="eastAsia"/>
        </w:rPr>
        <w:t>客</w:t>
      </w:r>
      <w:r w:rsidRPr="00210CAB">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1B3BFC" w:rsidRPr="007F1DFD" w14:paraId="002B89FA" w14:textId="77777777" w:rsidTr="007E1566">
        <w:trPr>
          <w:trHeight w:val="340"/>
        </w:trPr>
        <w:tc>
          <w:tcPr>
            <w:tcW w:w="1375" w:type="dxa"/>
            <w:tcBorders>
              <w:top w:val="nil"/>
              <w:left w:val="nil"/>
              <w:bottom w:val="nil"/>
              <w:right w:val="nil"/>
            </w:tcBorders>
            <w:shd w:val="clear" w:color="auto" w:fill="auto"/>
            <w:noWrap/>
            <w:vAlign w:val="bottom"/>
            <w:hideMark/>
          </w:tcPr>
          <w:p w14:paraId="7F711EBC" w14:textId="77777777" w:rsidR="001B3BFC" w:rsidRPr="007F1DFD" w:rsidRDefault="001B3BFC" w:rsidP="007E1566">
            <w:pPr>
              <w:pStyle w:val="100"/>
              <w:snapToGrid w:val="0"/>
              <w:spacing w:before="0" w:line="240" w:lineRule="auto"/>
              <w:ind w:left="300" w:hanging="300"/>
              <w:rPr>
                <w:spacing w:val="0"/>
              </w:rPr>
            </w:pPr>
          </w:p>
          <w:p w14:paraId="31B50ADC"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096E5771" w14:textId="77777777" w:rsidR="001B3BFC" w:rsidRPr="007F1DFD" w:rsidRDefault="001B3BFC" w:rsidP="007E1566">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hideMark/>
          </w:tcPr>
          <w:p w14:paraId="691D4265" w14:textId="77777777" w:rsidR="001B3BFC" w:rsidRPr="007F1DFD" w:rsidRDefault="001B3BFC" w:rsidP="007E1566">
            <w:pPr>
              <w:pStyle w:val="100"/>
              <w:snapToGrid w:val="0"/>
              <w:spacing w:before="0" w:line="240" w:lineRule="auto"/>
              <w:ind w:left="300" w:hanging="300"/>
              <w:jc w:val="center"/>
              <w:rPr>
                <w:spacing w:val="0"/>
                <w:u w:val="single"/>
              </w:rPr>
            </w:pPr>
            <w:r w:rsidRPr="007F1DFD">
              <w:rPr>
                <w:rFonts w:hint="eastAsia"/>
                <w:spacing w:val="0"/>
                <w:u w:val="single"/>
              </w:rPr>
              <w:t>所有來源地</w:t>
            </w:r>
          </w:p>
        </w:tc>
        <w:tc>
          <w:tcPr>
            <w:tcW w:w="1693" w:type="dxa"/>
            <w:tcBorders>
              <w:top w:val="nil"/>
              <w:left w:val="nil"/>
              <w:bottom w:val="nil"/>
              <w:right w:val="nil"/>
            </w:tcBorders>
            <w:shd w:val="clear" w:color="auto" w:fill="auto"/>
            <w:noWrap/>
            <w:vAlign w:val="bottom"/>
            <w:hideMark/>
          </w:tcPr>
          <w:p w14:paraId="22890D50" w14:textId="77777777" w:rsidR="001B3BFC" w:rsidRPr="007F1DFD" w:rsidRDefault="001B3BFC" w:rsidP="007E1566">
            <w:pPr>
              <w:pStyle w:val="100"/>
              <w:snapToGrid w:val="0"/>
              <w:spacing w:before="0" w:line="240" w:lineRule="auto"/>
              <w:ind w:left="300" w:hanging="300"/>
              <w:jc w:val="center"/>
              <w:rPr>
                <w:spacing w:val="0"/>
                <w:u w:val="single"/>
              </w:rPr>
            </w:pPr>
            <w:r w:rsidRPr="007F1DFD">
              <w:rPr>
                <w:rFonts w:hint="eastAsia"/>
                <w:spacing w:val="0"/>
                <w:u w:val="single"/>
              </w:rPr>
              <w:t>中國內地</w:t>
            </w:r>
          </w:p>
        </w:tc>
        <w:tc>
          <w:tcPr>
            <w:tcW w:w="1693" w:type="dxa"/>
            <w:tcBorders>
              <w:top w:val="nil"/>
              <w:left w:val="nil"/>
              <w:bottom w:val="nil"/>
              <w:right w:val="nil"/>
            </w:tcBorders>
            <w:shd w:val="clear" w:color="auto" w:fill="auto"/>
            <w:noWrap/>
            <w:vAlign w:val="bottom"/>
            <w:hideMark/>
          </w:tcPr>
          <w:p w14:paraId="7ED069C2" w14:textId="77777777" w:rsidR="001B3BFC" w:rsidRPr="007F1DFD" w:rsidRDefault="001B3BFC" w:rsidP="007E1566">
            <w:pPr>
              <w:pStyle w:val="100"/>
              <w:snapToGrid w:val="0"/>
              <w:spacing w:before="0" w:line="240" w:lineRule="auto"/>
              <w:ind w:left="300" w:hanging="300"/>
              <w:jc w:val="center"/>
              <w:rPr>
                <w:spacing w:val="0"/>
                <w:u w:val="single"/>
              </w:rPr>
            </w:pPr>
            <w:r w:rsidRPr="007F1DFD">
              <w:rPr>
                <w:rFonts w:hint="eastAsia"/>
                <w:spacing w:val="0"/>
                <w:u w:val="single"/>
              </w:rPr>
              <w:t>其他短途市場</w:t>
            </w:r>
            <w:r w:rsidRPr="00D80A76">
              <w:rPr>
                <w:spacing w:val="0"/>
                <w:vertAlign w:val="superscript"/>
              </w:rPr>
              <w:t>*</w:t>
            </w:r>
          </w:p>
        </w:tc>
        <w:tc>
          <w:tcPr>
            <w:tcW w:w="1694" w:type="dxa"/>
            <w:tcBorders>
              <w:top w:val="nil"/>
              <w:left w:val="nil"/>
              <w:bottom w:val="nil"/>
              <w:right w:val="nil"/>
            </w:tcBorders>
            <w:shd w:val="clear" w:color="auto" w:fill="auto"/>
            <w:noWrap/>
            <w:vAlign w:val="bottom"/>
            <w:hideMark/>
          </w:tcPr>
          <w:p w14:paraId="1C76446B" w14:textId="77777777" w:rsidR="001B3BFC" w:rsidRPr="007F1DFD" w:rsidRDefault="001B3BFC" w:rsidP="007E1566">
            <w:pPr>
              <w:pStyle w:val="100"/>
              <w:snapToGrid w:val="0"/>
              <w:spacing w:before="0" w:line="240" w:lineRule="auto"/>
              <w:ind w:left="300" w:hanging="300"/>
              <w:jc w:val="center"/>
              <w:rPr>
                <w:spacing w:val="0"/>
                <w:u w:val="single"/>
              </w:rPr>
            </w:pPr>
            <w:r w:rsidRPr="007F1DFD">
              <w:rPr>
                <w:rFonts w:hint="eastAsia"/>
                <w:spacing w:val="0"/>
                <w:u w:val="single"/>
              </w:rPr>
              <w:t>長途市場</w:t>
            </w:r>
            <w:r w:rsidRPr="00D80A76">
              <w:rPr>
                <w:spacing w:val="0"/>
                <w:vertAlign w:val="superscript"/>
              </w:rPr>
              <w:t>*</w:t>
            </w:r>
          </w:p>
        </w:tc>
      </w:tr>
      <w:tr w:rsidR="001B3BFC" w:rsidRPr="007F1DFD" w14:paraId="671D708D" w14:textId="77777777" w:rsidTr="007E1566">
        <w:trPr>
          <w:trHeight w:hRule="exact" w:val="113"/>
        </w:trPr>
        <w:tc>
          <w:tcPr>
            <w:tcW w:w="1375" w:type="dxa"/>
            <w:tcBorders>
              <w:top w:val="nil"/>
              <w:left w:val="nil"/>
              <w:bottom w:val="nil"/>
              <w:right w:val="nil"/>
            </w:tcBorders>
            <w:shd w:val="clear" w:color="auto" w:fill="auto"/>
            <w:noWrap/>
            <w:vAlign w:val="bottom"/>
          </w:tcPr>
          <w:p w14:paraId="2158EBC7"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6B59EE5C" w14:textId="77777777" w:rsidR="001B3BFC" w:rsidRPr="007F1DFD" w:rsidRDefault="001B3BFC" w:rsidP="007E1566">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741A2911" w14:textId="77777777" w:rsidR="001B3BFC" w:rsidRPr="007F1DFD" w:rsidRDefault="001B3BFC" w:rsidP="007E1566">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2AA675E0" w14:textId="77777777" w:rsidR="001B3BFC" w:rsidRPr="007F1DFD" w:rsidRDefault="001B3BFC" w:rsidP="007E1566">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4F04E03A" w14:textId="77777777" w:rsidR="001B3BFC" w:rsidRPr="007F1DFD" w:rsidRDefault="001B3BFC" w:rsidP="007E1566">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091AE059" w14:textId="77777777" w:rsidR="001B3BFC" w:rsidRPr="007F1DFD" w:rsidRDefault="001B3BFC" w:rsidP="007E1566">
            <w:pPr>
              <w:pStyle w:val="100"/>
              <w:snapToGrid w:val="0"/>
              <w:spacing w:before="0" w:line="240" w:lineRule="auto"/>
              <w:ind w:left="300" w:hanging="300"/>
              <w:jc w:val="center"/>
              <w:rPr>
                <w:spacing w:val="0"/>
              </w:rPr>
            </w:pPr>
          </w:p>
        </w:tc>
      </w:tr>
      <w:tr w:rsidR="001B3BFC" w:rsidRPr="007F1DFD" w14:paraId="5BA475D6" w14:textId="77777777" w:rsidTr="007E1566">
        <w:trPr>
          <w:trHeight w:val="340"/>
        </w:trPr>
        <w:tc>
          <w:tcPr>
            <w:tcW w:w="1375" w:type="dxa"/>
            <w:tcBorders>
              <w:top w:val="nil"/>
              <w:left w:val="nil"/>
              <w:bottom w:val="nil"/>
              <w:right w:val="nil"/>
            </w:tcBorders>
            <w:shd w:val="clear" w:color="auto" w:fill="auto"/>
            <w:noWrap/>
            <w:vAlign w:val="bottom"/>
            <w:hideMark/>
          </w:tcPr>
          <w:p w14:paraId="6F73B03B"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二零一九年</w:t>
            </w:r>
          </w:p>
        </w:tc>
        <w:tc>
          <w:tcPr>
            <w:tcW w:w="1208" w:type="dxa"/>
            <w:tcBorders>
              <w:top w:val="nil"/>
              <w:left w:val="nil"/>
              <w:bottom w:val="nil"/>
              <w:right w:val="nil"/>
            </w:tcBorders>
            <w:shd w:val="clear" w:color="auto" w:fill="auto"/>
            <w:noWrap/>
            <w:vAlign w:val="bottom"/>
            <w:hideMark/>
          </w:tcPr>
          <w:p w14:paraId="443CAD90"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66DB36F7"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18 234 400</w:t>
            </w:r>
          </w:p>
        </w:tc>
        <w:tc>
          <w:tcPr>
            <w:tcW w:w="1693" w:type="dxa"/>
            <w:tcBorders>
              <w:top w:val="nil"/>
              <w:left w:val="nil"/>
              <w:bottom w:val="nil"/>
              <w:right w:val="nil"/>
            </w:tcBorders>
            <w:shd w:val="clear" w:color="auto" w:fill="auto"/>
            <w:noWrap/>
            <w:vAlign w:val="bottom"/>
            <w:hideMark/>
          </w:tcPr>
          <w:p w14:paraId="02D890C7"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14 582 200</w:t>
            </w:r>
          </w:p>
        </w:tc>
        <w:tc>
          <w:tcPr>
            <w:tcW w:w="1693" w:type="dxa"/>
            <w:tcBorders>
              <w:top w:val="nil"/>
              <w:left w:val="nil"/>
              <w:bottom w:val="nil"/>
              <w:right w:val="nil"/>
            </w:tcBorders>
            <w:shd w:val="clear" w:color="auto" w:fill="auto"/>
            <w:noWrap/>
            <w:vAlign w:val="bottom"/>
            <w:hideMark/>
          </w:tcPr>
          <w:p w14:paraId="4936DD1D"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2 486 500</w:t>
            </w:r>
          </w:p>
        </w:tc>
        <w:tc>
          <w:tcPr>
            <w:tcW w:w="1694" w:type="dxa"/>
            <w:tcBorders>
              <w:top w:val="nil"/>
              <w:left w:val="nil"/>
              <w:bottom w:val="nil"/>
              <w:right w:val="nil"/>
            </w:tcBorders>
            <w:shd w:val="clear" w:color="auto" w:fill="auto"/>
            <w:noWrap/>
            <w:vAlign w:val="bottom"/>
            <w:hideMark/>
          </w:tcPr>
          <w:p w14:paraId="58CD6B91"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1 165 700</w:t>
            </w:r>
          </w:p>
        </w:tc>
      </w:tr>
      <w:tr w:rsidR="001B3BFC" w:rsidRPr="007F1DFD" w14:paraId="1AFC33B9" w14:textId="77777777" w:rsidTr="007E1566">
        <w:trPr>
          <w:trHeight w:val="340"/>
        </w:trPr>
        <w:tc>
          <w:tcPr>
            <w:tcW w:w="1375" w:type="dxa"/>
            <w:tcBorders>
              <w:top w:val="nil"/>
              <w:left w:val="nil"/>
              <w:bottom w:val="nil"/>
              <w:right w:val="nil"/>
            </w:tcBorders>
            <w:shd w:val="clear" w:color="auto" w:fill="auto"/>
            <w:noWrap/>
            <w:vAlign w:val="bottom"/>
          </w:tcPr>
          <w:p w14:paraId="4F497C9E"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513E8620"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66AC5376"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16 637 500</w:t>
            </w:r>
          </w:p>
        </w:tc>
        <w:tc>
          <w:tcPr>
            <w:tcW w:w="1693" w:type="dxa"/>
            <w:tcBorders>
              <w:top w:val="nil"/>
              <w:left w:val="nil"/>
              <w:bottom w:val="nil"/>
              <w:right w:val="nil"/>
            </w:tcBorders>
            <w:shd w:val="clear" w:color="auto" w:fill="auto"/>
            <w:noWrap/>
            <w:vAlign w:val="bottom"/>
          </w:tcPr>
          <w:p w14:paraId="7C0ACDE6"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12 991 300</w:t>
            </w:r>
          </w:p>
        </w:tc>
        <w:tc>
          <w:tcPr>
            <w:tcW w:w="1693" w:type="dxa"/>
            <w:tcBorders>
              <w:top w:val="nil"/>
              <w:left w:val="nil"/>
              <w:bottom w:val="nil"/>
              <w:right w:val="nil"/>
            </w:tcBorders>
            <w:shd w:val="clear" w:color="auto" w:fill="auto"/>
            <w:noWrap/>
            <w:vAlign w:val="bottom"/>
          </w:tcPr>
          <w:p w14:paraId="4589F04F"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2 448 200</w:t>
            </w:r>
          </w:p>
        </w:tc>
        <w:tc>
          <w:tcPr>
            <w:tcW w:w="1694" w:type="dxa"/>
            <w:tcBorders>
              <w:top w:val="nil"/>
              <w:left w:val="nil"/>
              <w:bottom w:val="nil"/>
              <w:right w:val="nil"/>
            </w:tcBorders>
            <w:shd w:val="clear" w:color="auto" w:fill="auto"/>
            <w:noWrap/>
            <w:vAlign w:val="bottom"/>
          </w:tcPr>
          <w:p w14:paraId="57D4D500"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1 198 000</w:t>
            </w:r>
          </w:p>
        </w:tc>
      </w:tr>
      <w:tr w:rsidR="001B3BFC" w:rsidRPr="007F1DFD" w14:paraId="66782E59" w14:textId="77777777" w:rsidTr="007E1566">
        <w:trPr>
          <w:trHeight w:val="340"/>
        </w:trPr>
        <w:tc>
          <w:tcPr>
            <w:tcW w:w="1375" w:type="dxa"/>
            <w:tcBorders>
              <w:top w:val="nil"/>
              <w:left w:val="nil"/>
              <w:bottom w:val="nil"/>
              <w:right w:val="nil"/>
            </w:tcBorders>
            <w:shd w:val="clear" w:color="auto" w:fill="auto"/>
            <w:noWrap/>
            <w:vAlign w:val="bottom"/>
            <w:hideMark/>
          </w:tcPr>
          <w:p w14:paraId="58590810"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6A972F11"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44F59689"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11 891 600</w:t>
            </w:r>
          </w:p>
        </w:tc>
        <w:tc>
          <w:tcPr>
            <w:tcW w:w="1693" w:type="dxa"/>
            <w:tcBorders>
              <w:top w:val="nil"/>
              <w:left w:val="nil"/>
              <w:bottom w:val="nil"/>
              <w:right w:val="nil"/>
            </w:tcBorders>
            <w:shd w:val="clear" w:color="auto" w:fill="auto"/>
            <w:noWrap/>
            <w:vAlign w:val="bottom"/>
            <w:hideMark/>
          </w:tcPr>
          <w:p w14:paraId="1C9CED2C"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9 356 000</w:t>
            </w:r>
          </w:p>
        </w:tc>
        <w:tc>
          <w:tcPr>
            <w:tcW w:w="1693" w:type="dxa"/>
            <w:tcBorders>
              <w:top w:val="nil"/>
              <w:left w:val="nil"/>
              <w:bottom w:val="nil"/>
              <w:right w:val="nil"/>
            </w:tcBorders>
            <w:shd w:val="clear" w:color="auto" w:fill="auto"/>
            <w:noWrap/>
            <w:vAlign w:val="bottom"/>
            <w:hideMark/>
          </w:tcPr>
          <w:p w14:paraId="4B437DEF"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1 648 000</w:t>
            </w:r>
          </w:p>
        </w:tc>
        <w:tc>
          <w:tcPr>
            <w:tcW w:w="1694" w:type="dxa"/>
            <w:tcBorders>
              <w:top w:val="nil"/>
              <w:left w:val="nil"/>
              <w:bottom w:val="nil"/>
              <w:right w:val="nil"/>
            </w:tcBorders>
            <w:shd w:val="clear" w:color="auto" w:fill="auto"/>
            <w:noWrap/>
            <w:vAlign w:val="bottom"/>
            <w:hideMark/>
          </w:tcPr>
          <w:p w14:paraId="77432891"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887 600</w:t>
            </w:r>
          </w:p>
        </w:tc>
      </w:tr>
      <w:tr w:rsidR="001B3BFC" w:rsidRPr="007F1DFD" w14:paraId="7C41A3F4" w14:textId="77777777" w:rsidTr="007E1566">
        <w:trPr>
          <w:trHeight w:val="340"/>
        </w:trPr>
        <w:tc>
          <w:tcPr>
            <w:tcW w:w="1375" w:type="dxa"/>
            <w:tcBorders>
              <w:top w:val="nil"/>
              <w:left w:val="nil"/>
              <w:bottom w:val="nil"/>
              <w:right w:val="nil"/>
            </w:tcBorders>
            <w:shd w:val="clear" w:color="auto" w:fill="auto"/>
            <w:noWrap/>
            <w:vAlign w:val="bottom"/>
            <w:hideMark/>
          </w:tcPr>
          <w:p w14:paraId="2B96E6EC"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5725B65D"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5CD1E453"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9 149 200</w:t>
            </w:r>
          </w:p>
        </w:tc>
        <w:tc>
          <w:tcPr>
            <w:tcW w:w="1693" w:type="dxa"/>
            <w:tcBorders>
              <w:top w:val="nil"/>
              <w:left w:val="nil"/>
              <w:bottom w:val="nil"/>
              <w:right w:val="nil"/>
            </w:tcBorders>
            <w:shd w:val="clear" w:color="auto" w:fill="auto"/>
            <w:noWrap/>
            <w:vAlign w:val="bottom"/>
            <w:hideMark/>
          </w:tcPr>
          <w:p w14:paraId="7B313C7C"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6 845 100</w:t>
            </w:r>
          </w:p>
        </w:tc>
        <w:tc>
          <w:tcPr>
            <w:tcW w:w="1693" w:type="dxa"/>
            <w:tcBorders>
              <w:top w:val="nil"/>
              <w:left w:val="nil"/>
              <w:bottom w:val="nil"/>
              <w:right w:val="nil"/>
            </w:tcBorders>
            <w:shd w:val="clear" w:color="auto" w:fill="auto"/>
            <w:noWrap/>
            <w:vAlign w:val="bottom"/>
            <w:hideMark/>
          </w:tcPr>
          <w:p w14:paraId="2AEA5650"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1 356 900</w:t>
            </w:r>
          </w:p>
        </w:tc>
        <w:tc>
          <w:tcPr>
            <w:tcW w:w="1694" w:type="dxa"/>
            <w:tcBorders>
              <w:top w:val="nil"/>
              <w:left w:val="nil"/>
              <w:bottom w:val="nil"/>
              <w:right w:val="nil"/>
            </w:tcBorders>
            <w:shd w:val="clear" w:color="auto" w:fill="auto"/>
            <w:noWrap/>
            <w:vAlign w:val="bottom"/>
            <w:hideMark/>
          </w:tcPr>
          <w:p w14:paraId="7AFDF8E0"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947 100</w:t>
            </w:r>
          </w:p>
        </w:tc>
      </w:tr>
      <w:tr w:rsidR="001B3BFC" w:rsidRPr="007F1DFD" w14:paraId="216383CB" w14:textId="77777777" w:rsidTr="00B37605">
        <w:trPr>
          <w:trHeight w:val="265"/>
        </w:trPr>
        <w:tc>
          <w:tcPr>
            <w:tcW w:w="1375" w:type="dxa"/>
            <w:tcBorders>
              <w:top w:val="nil"/>
              <w:left w:val="nil"/>
              <w:bottom w:val="nil"/>
              <w:right w:val="nil"/>
            </w:tcBorders>
            <w:shd w:val="clear" w:color="auto" w:fill="auto"/>
            <w:noWrap/>
            <w:vAlign w:val="bottom"/>
          </w:tcPr>
          <w:p w14:paraId="7D3BCE22"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7A5FF059" w14:textId="77777777" w:rsidR="001B3BFC" w:rsidRPr="007F1DFD" w:rsidRDefault="001B3BFC" w:rsidP="007E1566">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4D948C3A" w14:textId="77777777" w:rsidR="001B3BFC" w:rsidRPr="007F1DFD" w:rsidRDefault="001B3BFC" w:rsidP="007E1566">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56D47DB0" w14:textId="77777777" w:rsidR="001B3BFC" w:rsidRPr="007F1DFD" w:rsidRDefault="001B3BFC" w:rsidP="007E1566">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30E6A301" w14:textId="77777777" w:rsidR="001B3BFC" w:rsidRPr="007F1DFD" w:rsidRDefault="001B3BFC" w:rsidP="007E1566">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1B081D94" w14:textId="77777777" w:rsidR="001B3BFC" w:rsidRPr="007F1DFD" w:rsidRDefault="001B3BFC" w:rsidP="007E1566">
            <w:pPr>
              <w:pStyle w:val="100"/>
              <w:snapToGrid w:val="0"/>
              <w:spacing w:before="0" w:line="240" w:lineRule="auto"/>
              <w:ind w:left="300" w:hanging="300"/>
              <w:jc w:val="center"/>
              <w:rPr>
                <w:spacing w:val="0"/>
              </w:rPr>
            </w:pPr>
          </w:p>
        </w:tc>
      </w:tr>
      <w:tr w:rsidR="001B3BFC" w:rsidRPr="007F1DFD" w14:paraId="20F16FD8" w14:textId="77777777" w:rsidTr="007E1566">
        <w:trPr>
          <w:trHeight w:val="340"/>
        </w:trPr>
        <w:tc>
          <w:tcPr>
            <w:tcW w:w="1375" w:type="dxa"/>
            <w:tcBorders>
              <w:top w:val="nil"/>
              <w:left w:val="nil"/>
              <w:bottom w:val="nil"/>
              <w:right w:val="nil"/>
            </w:tcBorders>
            <w:shd w:val="clear" w:color="auto" w:fill="auto"/>
            <w:noWrap/>
            <w:vAlign w:val="bottom"/>
            <w:hideMark/>
          </w:tcPr>
          <w:p w14:paraId="03F0188B"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二零二零年</w:t>
            </w:r>
          </w:p>
        </w:tc>
        <w:tc>
          <w:tcPr>
            <w:tcW w:w="1208" w:type="dxa"/>
            <w:tcBorders>
              <w:top w:val="nil"/>
              <w:left w:val="nil"/>
              <w:bottom w:val="nil"/>
              <w:right w:val="nil"/>
            </w:tcBorders>
            <w:shd w:val="clear" w:color="auto" w:fill="auto"/>
            <w:noWrap/>
            <w:vAlign w:val="bottom"/>
            <w:hideMark/>
          </w:tcPr>
          <w:p w14:paraId="2CEA4E23"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33C44CB0"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3 489 200</w:t>
            </w:r>
          </w:p>
        </w:tc>
        <w:tc>
          <w:tcPr>
            <w:tcW w:w="1693" w:type="dxa"/>
            <w:tcBorders>
              <w:top w:val="nil"/>
              <w:left w:val="nil"/>
              <w:bottom w:val="nil"/>
              <w:right w:val="nil"/>
            </w:tcBorders>
            <w:shd w:val="clear" w:color="auto" w:fill="auto"/>
            <w:noWrap/>
            <w:vAlign w:val="bottom"/>
            <w:hideMark/>
          </w:tcPr>
          <w:p w14:paraId="0CBEC9B7"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2 665 900</w:t>
            </w:r>
          </w:p>
        </w:tc>
        <w:tc>
          <w:tcPr>
            <w:tcW w:w="1693" w:type="dxa"/>
            <w:tcBorders>
              <w:top w:val="nil"/>
              <w:left w:val="nil"/>
              <w:bottom w:val="nil"/>
              <w:right w:val="nil"/>
            </w:tcBorders>
            <w:shd w:val="clear" w:color="auto" w:fill="auto"/>
            <w:noWrap/>
            <w:vAlign w:val="bottom"/>
            <w:hideMark/>
          </w:tcPr>
          <w:p w14:paraId="0E4D39CA"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483 500</w:t>
            </w:r>
          </w:p>
        </w:tc>
        <w:tc>
          <w:tcPr>
            <w:tcW w:w="1694" w:type="dxa"/>
            <w:tcBorders>
              <w:top w:val="nil"/>
              <w:left w:val="nil"/>
              <w:bottom w:val="nil"/>
              <w:right w:val="nil"/>
            </w:tcBorders>
            <w:shd w:val="clear" w:color="auto" w:fill="auto"/>
            <w:noWrap/>
            <w:vAlign w:val="bottom"/>
            <w:hideMark/>
          </w:tcPr>
          <w:p w14:paraId="43AEB8B9"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339 800</w:t>
            </w:r>
          </w:p>
        </w:tc>
      </w:tr>
      <w:tr w:rsidR="001B3BFC" w:rsidRPr="007F1DFD" w14:paraId="43B1E478" w14:textId="77777777" w:rsidTr="007E1566">
        <w:trPr>
          <w:trHeight w:val="340"/>
        </w:trPr>
        <w:tc>
          <w:tcPr>
            <w:tcW w:w="1375" w:type="dxa"/>
            <w:tcBorders>
              <w:top w:val="nil"/>
              <w:left w:val="nil"/>
              <w:bottom w:val="nil"/>
              <w:right w:val="nil"/>
            </w:tcBorders>
            <w:shd w:val="clear" w:color="auto" w:fill="auto"/>
            <w:noWrap/>
            <w:vAlign w:val="bottom"/>
          </w:tcPr>
          <w:p w14:paraId="695C74C1"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1AF7EE4D"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347DBFD0"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26 900</w:t>
            </w:r>
          </w:p>
        </w:tc>
        <w:tc>
          <w:tcPr>
            <w:tcW w:w="1693" w:type="dxa"/>
            <w:tcBorders>
              <w:top w:val="nil"/>
              <w:left w:val="nil"/>
              <w:bottom w:val="nil"/>
              <w:right w:val="nil"/>
            </w:tcBorders>
            <w:shd w:val="clear" w:color="auto" w:fill="auto"/>
            <w:noWrap/>
            <w:vAlign w:val="bottom"/>
          </w:tcPr>
          <w:p w14:paraId="57345F1C"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15 300</w:t>
            </w:r>
          </w:p>
        </w:tc>
        <w:tc>
          <w:tcPr>
            <w:tcW w:w="1693" w:type="dxa"/>
            <w:tcBorders>
              <w:top w:val="nil"/>
              <w:left w:val="nil"/>
              <w:bottom w:val="nil"/>
              <w:right w:val="nil"/>
            </w:tcBorders>
            <w:shd w:val="clear" w:color="auto" w:fill="auto"/>
            <w:noWrap/>
            <w:vAlign w:val="bottom"/>
          </w:tcPr>
          <w:p w14:paraId="0F319921"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4 800</w:t>
            </w:r>
          </w:p>
        </w:tc>
        <w:tc>
          <w:tcPr>
            <w:tcW w:w="1694" w:type="dxa"/>
            <w:tcBorders>
              <w:top w:val="nil"/>
              <w:left w:val="nil"/>
              <w:bottom w:val="nil"/>
              <w:right w:val="nil"/>
            </w:tcBorders>
            <w:shd w:val="clear" w:color="auto" w:fill="auto"/>
            <w:noWrap/>
            <w:vAlign w:val="bottom"/>
          </w:tcPr>
          <w:p w14:paraId="7CCC464D"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6 700</w:t>
            </w:r>
          </w:p>
        </w:tc>
      </w:tr>
      <w:tr w:rsidR="001B3BFC" w:rsidRPr="007F1DFD" w14:paraId="0184C57A" w14:textId="77777777" w:rsidTr="007E1566">
        <w:trPr>
          <w:trHeight w:val="340"/>
        </w:trPr>
        <w:tc>
          <w:tcPr>
            <w:tcW w:w="1375" w:type="dxa"/>
            <w:tcBorders>
              <w:top w:val="nil"/>
              <w:left w:val="nil"/>
              <w:bottom w:val="nil"/>
              <w:right w:val="nil"/>
            </w:tcBorders>
            <w:shd w:val="clear" w:color="auto" w:fill="auto"/>
            <w:noWrap/>
            <w:vAlign w:val="bottom"/>
            <w:hideMark/>
          </w:tcPr>
          <w:p w14:paraId="1A96AA09"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2105D7F7"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783AD726"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34 100</w:t>
            </w:r>
          </w:p>
        </w:tc>
        <w:tc>
          <w:tcPr>
            <w:tcW w:w="1693" w:type="dxa"/>
            <w:tcBorders>
              <w:top w:val="nil"/>
              <w:left w:val="nil"/>
              <w:bottom w:val="nil"/>
              <w:right w:val="nil"/>
            </w:tcBorders>
            <w:shd w:val="clear" w:color="auto" w:fill="auto"/>
            <w:noWrap/>
            <w:vAlign w:val="bottom"/>
            <w:hideMark/>
          </w:tcPr>
          <w:p w14:paraId="045CC465"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14 300</w:t>
            </w:r>
          </w:p>
        </w:tc>
        <w:tc>
          <w:tcPr>
            <w:tcW w:w="1693" w:type="dxa"/>
            <w:tcBorders>
              <w:top w:val="nil"/>
              <w:left w:val="nil"/>
              <w:bottom w:val="nil"/>
              <w:right w:val="nil"/>
            </w:tcBorders>
            <w:shd w:val="clear" w:color="auto" w:fill="auto"/>
            <w:noWrap/>
            <w:vAlign w:val="bottom"/>
            <w:hideMark/>
          </w:tcPr>
          <w:p w14:paraId="75E70645"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10 200</w:t>
            </w:r>
          </w:p>
        </w:tc>
        <w:tc>
          <w:tcPr>
            <w:tcW w:w="1694" w:type="dxa"/>
            <w:tcBorders>
              <w:top w:val="nil"/>
              <w:left w:val="nil"/>
              <w:bottom w:val="nil"/>
              <w:right w:val="nil"/>
            </w:tcBorders>
            <w:shd w:val="clear" w:color="auto" w:fill="auto"/>
            <w:noWrap/>
            <w:vAlign w:val="bottom"/>
            <w:hideMark/>
          </w:tcPr>
          <w:p w14:paraId="3AE86C05"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9 700</w:t>
            </w:r>
          </w:p>
        </w:tc>
      </w:tr>
      <w:tr w:rsidR="001B3BFC" w:rsidRPr="007F1DFD" w14:paraId="54AB733F" w14:textId="77777777" w:rsidTr="007E1566">
        <w:trPr>
          <w:trHeight w:val="340"/>
        </w:trPr>
        <w:tc>
          <w:tcPr>
            <w:tcW w:w="1375" w:type="dxa"/>
            <w:tcBorders>
              <w:top w:val="nil"/>
              <w:left w:val="nil"/>
              <w:bottom w:val="nil"/>
              <w:right w:val="nil"/>
            </w:tcBorders>
            <w:shd w:val="clear" w:color="auto" w:fill="auto"/>
            <w:noWrap/>
            <w:vAlign w:val="bottom"/>
            <w:hideMark/>
          </w:tcPr>
          <w:p w14:paraId="5D987BA3"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3DCBFD66"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55C5078C"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18 600</w:t>
            </w:r>
          </w:p>
        </w:tc>
        <w:tc>
          <w:tcPr>
            <w:tcW w:w="1693" w:type="dxa"/>
            <w:tcBorders>
              <w:top w:val="nil"/>
              <w:left w:val="nil"/>
              <w:bottom w:val="nil"/>
              <w:right w:val="nil"/>
            </w:tcBorders>
            <w:shd w:val="clear" w:color="auto" w:fill="auto"/>
            <w:noWrap/>
            <w:vAlign w:val="bottom"/>
            <w:hideMark/>
          </w:tcPr>
          <w:p w14:paraId="02BF695E"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10 900</w:t>
            </w:r>
          </w:p>
        </w:tc>
        <w:tc>
          <w:tcPr>
            <w:tcW w:w="1693" w:type="dxa"/>
            <w:tcBorders>
              <w:top w:val="nil"/>
              <w:left w:val="nil"/>
              <w:bottom w:val="nil"/>
              <w:right w:val="nil"/>
            </w:tcBorders>
            <w:shd w:val="clear" w:color="auto" w:fill="auto"/>
            <w:noWrap/>
            <w:vAlign w:val="bottom"/>
            <w:hideMark/>
          </w:tcPr>
          <w:p w14:paraId="0439F705"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5 100</w:t>
            </w:r>
          </w:p>
        </w:tc>
        <w:tc>
          <w:tcPr>
            <w:tcW w:w="1694" w:type="dxa"/>
            <w:tcBorders>
              <w:top w:val="nil"/>
              <w:left w:val="nil"/>
              <w:bottom w:val="nil"/>
              <w:right w:val="nil"/>
            </w:tcBorders>
            <w:shd w:val="clear" w:color="auto" w:fill="auto"/>
            <w:noWrap/>
            <w:vAlign w:val="bottom"/>
            <w:hideMark/>
          </w:tcPr>
          <w:p w14:paraId="3EC63351"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2 700</w:t>
            </w:r>
          </w:p>
        </w:tc>
      </w:tr>
      <w:tr w:rsidR="001B3BFC" w:rsidRPr="007F1DFD" w14:paraId="4962EFC4" w14:textId="77777777" w:rsidTr="00B37605">
        <w:trPr>
          <w:trHeight w:val="275"/>
        </w:trPr>
        <w:tc>
          <w:tcPr>
            <w:tcW w:w="1375" w:type="dxa"/>
            <w:tcBorders>
              <w:top w:val="nil"/>
              <w:left w:val="nil"/>
              <w:bottom w:val="nil"/>
              <w:right w:val="nil"/>
            </w:tcBorders>
            <w:shd w:val="clear" w:color="auto" w:fill="auto"/>
            <w:noWrap/>
            <w:vAlign w:val="bottom"/>
          </w:tcPr>
          <w:p w14:paraId="507117B8"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1DA7D3E6" w14:textId="77777777" w:rsidR="001B3BFC" w:rsidRPr="007F1DFD" w:rsidRDefault="001B3BFC" w:rsidP="007E1566">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4A78E12A" w14:textId="77777777" w:rsidR="001B3BFC" w:rsidRPr="007F1DFD" w:rsidRDefault="001B3BFC" w:rsidP="007E1566">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1A62F475" w14:textId="77777777" w:rsidR="001B3BFC" w:rsidRPr="007F1DFD" w:rsidRDefault="001B3BFC" w:rsidP="007E1566">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6148EB11" w14:textId="77777777" w:rsidR="001B3BFC" w:rsidRPr="007F1DFD" w:rsidRDefault="001B3BFC" w:rsidP="007E1566">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456EDEB7" w14:textId="77777777" w:rsidR="001B3BFC" w:rsidRPr="007F1DFD" w:rsidRDefault="001B3BFC" w:rsidP="007E1566">
            <w:pPr>
              <w:pStyle w:val="100"/>
              <w:snapToGrid w:val="0"/>
              <w:spacing w:before="0" w:line="240" w:lineRule="auto"/>
              <w:ind w:left="300" w:hanging="300"/>
              <w:jc w:val="center"/>
              <w:rPr>
                <w:spacing w:val="0"/>
              </w:rPr>
            </w:pPr>
          </w:p>
        </w:tc>
      </w:tr>
      <w:tr w:rsidR="001B3BFC" w:rsidRPr="007F1DFD" w14:paraId="0CBAB5F1" w14:textId="77777777" w:rsidTr="007E1566">
        <w:trPr>
          <w:trHeight w:val="340"/>
        </w:trPr>
        <w:tc>
          <w:tcPr>
            <w:tcW w:w="1375" w:type="dxa"/>
            <w:tcBorders>
              <w:top w:val="nil"/>
              <w:left w:val="nil"/>
              <w:bottom w:val="nil"/>
              <w:right w:val="nil"/>
            </w:tcBorders>
            <w:shd w:val="clear" w:color="auto" w:fill="auto"/>
            <w:noWrap/>
            <w:vAlign w:val="bottom"/>
            <w:hideMark/>
          </w:tcPr>
          <w:p w14:paraId="3A868B7E"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二零二一年</w:t>
            </w:r>
          </w:p>
        </w:tc>
        <w:tc>
          <w:tcPr>
            <w:tcW w:w="1208" w:type="dxa"/>
            <w:tcBorders>
              <w:top w:val="nil"/>
              <w:left w:val="nil"/>
              <w:bottom w:val="nil"/>
              <w:right w:val="nil"/>
            </w:tcBorders>
            <w:shd w:val="clear" w:color="auto" w:fill="auto"/>
            <w:noWrap/>
            <w:vAlign w:val="bottom"/>
            <w:hideMark/>
          </w:tcPr>
          <w:p w14:paraId="56A236F1"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2822910C"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16 500</w:t>
            </w:r>
          </w:p>
        </w:tc>
        <w:tc>
          <w:tcPr>
            <w:tcW w:w="1693" w:type="dxa"/>
            <w:tcBorders>
              <w:top w:val="nil"/>
              <w:left w:val="nil"/>
              <w:bottom w:val="nil"/>
              <w:right w:val="nil"/>
            </w:tcBorders>
            <w:shd w:val="clear" w:color="auto" w:fill="auto"/>
            <w:noWrap/>
            <w:vAlign w:val="bottom"/>
            <w:hideMark/>
          </w:tcPr>
          <w:p w14:paraId="51233680"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11 600</w:t>
            </w:r>
          </w:p>
        </w:tc>
        <w:tc>
          <w:tcPr>
            <w:tcW w:w="1693" w:type="dxa"/>
            <w:tcBorders>
              <w:top w:val="nil"/>
              <w:left w:val="nil"/>
              <w:bottom w:val="nil"/>
              <w:right w:val="nil"/>
            </w:tcBorders>
            <w:shd w:val="clear" w:color="auto" w:fill="auto"/>
            <w:noWrap/>
            <w:vAlign w:val="bottom"/>
            <w:hideMark/>
          </w:tcPr>
          <w:p w14:paraId="4EEEAEBB"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3 100</w:t>
            </w:r>
          </w:p>
        </w:tc>
        <w:tc>
          <w:tcPr>
            <w:tcW w:w="1694" w:type="dxa"/>
            <w:tcBorders>
              <w:top w:val="nil"/>
              <w:left w:val="nil"/>
              <w:bottom w:val="nil"/>
              <w:right w:val="nil"/>
            </w:tcBorders>
            <w:shd w:val="clear" w:color="auto" w:fill="auto"/>
            <w:noWrap/>
            <w:vAlign w:val="bottom"/>
            <w:hideMark/>
          </w:tcPr>
          <w:p w14:paraId="35B21ACB"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1 900</w:t>
            </w:r>
          </w:p>
        </w:tc>
      </w:tr>
      <w:tr w:rsidR="001B3BFC" w:rsidRPr="007F1DFD" w14:paraId="683081C5" w14:textId="77777777" w:rsidTr="007E1566">
        <w:trPr>
          <w:trHeight w:val="340"/>
        </w:trPr>
        <w:tc>
          <w:tcPr>
            <w:tcW w:w="1375" w:type="dxa"/>
            <w:tcBorders>
              <w:top w:val="nil"/>
              <w:left w:val="nil"/>
              <w:bottom w:val="nil"/>
              <w:right w:val="nil"/>
            </w:tcBorders>
            <w:shd w:val="clear" w:color="auto" w:fill="auto"/>
            <w:noWrap/>
            <w:vAlign w:val="bottom"/>
          </w:tcPr>
          <w:p w14:paraId="71E28A02"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1AD5560E"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05531D26"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17 200</w:t>
            </w:r>
          </w:p>
        </w:tc>
        <w:tc>
          <w:tcPr>
            <w:tcW w:w="1693" w:type="dxa"/>
            <w:tcBorders>
              <w:top w:val="nil"/>
              <w:left w:val="nil"/>
              <w:bottom w:val="nil"/>
              <w:right w:val="nil"/>
            </w:tcBorders>
            <w:shd w:val="clear" w:color="auto" w:fill="auto"/>
            <w:noWrap/>
            <w:vAlign w:val="bottom"/>
          </w:tcPr>
          <w:p w14:paraId="6091E7E9"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12 700</w:t>
            </w:r>
          </w:p>
        </w:tc>
        <w:tc>
          <w:tcPr>
            <w:tcW w:w="1693" w:type="dxa"/>
            <w:tcBorders>
              <w:top w:val="nil"/>
              <w:left w:val="nil"/>
              <w:bottom w:val="nil"/>
              <w:right w:val="nil"/>
            </w:tcBorders>
            <w:shd w:val="clear" w:color="auto" w:fill="auto"/>
            <w:noWrap/>
            <w:vAlign w:val="bottom"/>
          </w:tcPr>
          <w:p w14:paraId="587ABCD2" w14:textId="77777777" w:rsidR="001B3BFC" w:rsidRPr="007F1DFD" w:rsidRDefault="001B3BFC" w:rsidP="007E1566">
            <w:pPr>
              <w:pStyle w:val="100"/>
              <w:snapToGrid w:val="0"/>
              <w:spacing w:before="0" w:line="240" w:lineRule="auto"/>
              <w:ind w:left="300" w:hanging="300"/>
              <w:jc w:val="center"/>
              <w:rPr>
                <w:spacing w:val="0"/>
                <w:lang w:eastAsia="zh-CN"/>
              </w:rPr>
            </w:pPr>
            <w:r w:rsidRPr="007F1DFD">
              <w:rPr>
                <w:rFonts w:eastAsia="Times New Roman"/>
                <w:color w:val="000000"/>
                <w:spacing w:val="0"/>
              </w:rPr>
              <w:t>2 400</w:t>
            </w:r>
          </w:p>
        </w:tc>
        <w:tc>
          <w:tcPr>
            <w:tcW w:w="1694" w:type="dxa"/>
            <w:tcBorders>
              <w:top w:val="nil"/>
              <w:left w:val="nil"/>
              <w:bottom w:val="nil"/>
              <w:right w:val="nil"/>
            </w:tcBorders>
            <w:shd w:val="clear" w:color="auto" w:fill="auto"/>
            <w:noWrap/>
            <w:vAlign w:val="bottom"/>
          </w:tcPr>
          <w:p w14:paraId="77AAA2B2" w14:textId="77777777" w:rsidR="001B3BFC" w:rsidRPr="007F1DFD" w:rsidRDefault="001B3BFC" w:rsidP="007E1566">
            <w:pPr>
              <w:pStyle w:val="100"/>
              <w:snapToGrid w:val="0"/>
              <w:spacing w:before="0" w:line="240" w:lineRule="auto"/>
              <w:ind w:left="300" w:hanging="300"/>
              <w:jc w:val="center"/>
              <w:rPr>
                <w:spacing w:val="0"/>
                <w:lang w:eastAsia="zh-CN"/>
              </w:rPr>
            </w:pPr>
            <w:r w:rsidRPr="007F1DFD">
              <w:rPr>
                <w:rFonts w:eastAsia="Times New Roman"/>
                <w:color w:val="000000"/>
                <w:spacing w:val="0"/>
              </w:rPr>
              <w:t>2 100</w:t>
            </w:r>
          </w:p>
        </w:tc>
      </w:tr>
      <w:tr w:rsidR="001B3BFC" w:rsidRPr="007F1DFD" w14:paraId="67749100" w14:textId="77777777" w:rsidTr="007E1566">
        <w:trPr>
          <w:trHeight w:val="340"/>
        </w:trPr>
        <w:tc>
          <w:tcPr>
            <w:tcW w:w="1375" w:type="dxa"/>
            <w:tcBorders>
              <w:top w:val="nil"/>
              <w:left w:val="nil"/>
              <w:bottom w:val="nil"/>
              <w:right w:val="nil"/>
            </w:tcBorders>
            <w:shd w:val="clear" w:color="auto" w:fill="auto"/>
            <w:noWrap/>
            <w:vAlign w:val="bottom"/>
          </w:tcPr>
          <w:p w14:paraId="27EF4D31"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2271167C"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67786A09"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29 400</w:t>
            </w:r>
          </w:p>
        </w:tc>
        <w:tc>
          <w:tcPr>
            <w:tcW w:w="1693" w:type="dxa"/>
            <w:tcBorders>
              <w:top w:val="nil"/>
              <w:left w:val="nil"/>
              <w:bottom w:val="nil"/>
              <w:right w:val="nil"/>
            </w:tcBorders>
            <w:shd w:val="clear" w:color="auto" w:fill="auto"/>
            <w:noWrap/>
            <w:vAlign w:val="bottom"/>
          </w:tcPr>
          <w:p w14:paraId="1188D70E"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21 800</w:t>
            </w:r>
          </w:p>
        </w:tc>
        <w:tc>
          <w:tcPr>
            <w:tcW w:w="1693" w:type="dxa"/>
            <w:tcBorders>
              <w:top w:val="nil"/>
              <w:left w:val="nil"/>
              <w:bottom w:val="nil"/>
              <w:right w:val="nil"/>
            </w:tcBorders>
            <w:shd w:val="clear" w:color="auto" w:fill="auto"/>
            <w:noWrap/>
            <w:vAlign w:val="bottom"/>
          </w:tcPr>
          <w:p w14:paraId="49AEEA42" w14:textId="77777777" w:rsidR="001B3BFC" w:rsidRPr="007F1DFD" w:rsidRDefault="001B3BFC" w:rsidP="007E1566">
            <w:pPr>
              <w:pStyle w:val="100"/>
              <w:snapToGrid w:val="0"/>
              <w:spacing w:before="0" w:line="240" w:lineRule="auto"/>
              <w:ind w:left="300" w:hanging="300"/>
              <w:jc w:val="center"/>
              <w:rPr>
                <w:spacing w:val="0"/>
                <w:lang w:eastAsia="zh-CN"/>
              </w:rPr>
            </w:pPr>
            <w:r w:rsidRPr="007F1DFD">
              <w:rPr>
                <w:rFonts w:eastAsia="Times New Roman"/>
                <w:color w:val="000000"/>
                <w:spacing w:val="0"/>
              </w:rPr>
              <w:t>4 300</w:t>
            </w:r>
          </w:p>
        </w:tc>
        <w:tc>
          <w:tcPr>
            <w:tcW w:w="1694" w:type="dxa"/>
            <w:tcBorders>
              <w:top w:val="nil"/>
              <w:left w:val="nil"/>
              <w:bottom w:val="nil"/>
              <w:right w:val="nil"/>
            </w:tcBorders>
            <w:shd w:val="clear" w:color="auto" w:fill="auto"/>
            <w:noWrap/>
            <w:vAlign w:val="bottom"/>
          </w:tcPr>
          <w:p w14:paraId="565DCC54" w14:textId="77777777" w:rsidR="001B3BFC" w:rsidRPr="007F1DFD" w:rsidRDefault="001B3BFC" w:rsidP="007E1566">
            <w:pPr>
              <w:pStyle w:val="100"/>
              <w:snapToGrid w:val="0"/>
              <w:spacing w:before="0" w:line="240" w:lineRule="auto"/>
              <w:ind w:left="300" w:hanging="300"/>
              <w:jc w:val="center"/>
              <w:rPr>
                <w:spacing w:val="0"/>
                <w:lang w:eastAsia="zh-CN"/>
              </w:rPr>
            </w:pPr>
            <w:r w:rsidRPr="007F1DFD">
              <w:rPr>
                <w:rFonts w:eastAsia="Times New Roman"/>
                <w:color w:val="000000"/>
                <w:spacing w:val="0"/>
              </w:rPr>
              <w:t>3 200</w:t>
            </w:r>
          </w:p>
        </w:tc>
      </w:tr>
      <w:tr w:rsidR="001B3BFC" w:rsidRPr="007F1DFD" w14:paraId="42BC7E79" w14:textId="77777777" w:rsidTr="007E1566">
        <w:trPr>
          <w:trHeight w:val="340"/>
        </w:trPr>
        <w:tc>
          <w:tcPr>
            <w:tcW w:w="1375" w:type="dxa"/>
            <w:tcBorders>
              <w:top w:val="nil"/>
              <w:left w:val="nil"/>
              <w:bottom w:val="nil"/>
              <w:right w:val="nil"/>
            </w:tcBorders>
            <w:shd w:val="clear" w:color="auto" w:fill="auto"/>
            <w:noWrap/>
            <w:vAlign w:val="bottom"/>
            <w:hideMark/>
          </w:tcPr>
          <w:p w14:paraId="7DEB88B5"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4FE8948B"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28977E07" w14:textId="77777777" w:rsidR="001B3BFC" w:rsidRPr="007F1DFD" w:rsidRDefault="001B3BFC" w:rsidP="007E1566">
            <w:pPr>
              <w:pStyle w:val="100"/>
              <w:snapToGrid w:val="0"/>
              <w:spacing w:before="0" w:line="240" w:lineRule="auto"/>
              <w:ind w:left="300" w:hanging="300"/>
              <w:jc w:val="center"/>
              <w:rPr>
                <w:spacing w:val="0"/>
              </w:rPr>
            </w:pPr>
            <w:r w:rsidRPr="007F1DFD">
              <w:rPr>
                <w:rFonts w:eastAsia="Times New Roman"/>
                <w:color w:val="000000"/>
                <w:spacing w:val="0"/>
              </w:rPr>
              <w:t>28 300</w:t>
            </w:r>
          </w:p>
        </w:tc>
        <w:tc>
          <w:tcPr>
            <w:tcW w:w="1693" w:type="dxa"/>
            <w:tcBorders>
              <w:top w:val="nil"/>
              <w:left w:val="nil"/>
              <w:bottom w:val="nil"/>
              <w:right w:val="nil"/>
            </w:tcBorders>
            <w:shd w:val="clear" w:color="auto" w:fill="auto"/>
            <w:noWrap/>
            <w:vAlign w:val="bottom"/>
            <w:hideMark/>
          </w:tcPr>
          <w:p w14:paraId="56CA8ABD" w14:textId="77777777" w:rsidR="001B3BFC" w:rsidRPr="007F1DFD" w:rsidRDefault="001B3BFC" w:rsidP="007E1566">
            <w:pPr>
              <w:pStyle w:val="100"/>
              <w:snapToGrid w:val="0"/>
              <w:spacing w:before="0" w:line="240" w:lineRule="auto"/>
              <w:ind w:left="300" w:hanging="300"/>
              <w:jc w:val="center"/>
              <w:rPr>
                <w:spacing w:val="0"/>
              </w:rPr>
            </w:pPr>
            <w:r>
              <w:rPr>
                <w:rFonts w:eastAsia="Times New Roman"/>
                <w:color w:val="000000"/>
                <w:spacing w:val="0"/>
              </w:rPr>
              <w:t>19 700</w:t>
            </w:r>
          </w:p>
        </w:tc>
        <w:tc>
          <w:tcPr>
            <w:tcW w:w="1693" w:type="dxa"/>
            <w:tcBorders>
              <w:top w:val="nil"/>
              <w:left w:val="nil"/>
              <w:bottom w:val="nil"/>
              <w:right w:val="nil"/>
            </w:tcBorders>
            <w:shd w:val="clear" w:color="auto" w:fill="auto"/>
            <w:noWrap/>
            <w:vAlign w:val="bottom"/>
            <w:hideMark/>
          </w:tcPr>
          <w:p w14:paraId="33395758" w14:textId="77777777" w:rsidR="001B3BFC" w:rsidRPr="007F1DFD" w:rsidRDefault="001B3BFC" w:rsidP="007E1566">
            <w:pPr>
              <w:pStyle w:val="100"/>
              <w:snapToGrid w:val="0"/>
              <w:spacing w:before="0" w:line="240" w:lineRule="auto"/>
              <w:ind w:left="300" w:hanging="300"/>
              <w:jc w:val="center"/>
              <w:rPr>
                <w:spacing w:val="0"/>
              </w:rPr>
            </w:pPr>
            <w:r>
              <w:rPr>
                <w:rFonts w:eastAsia="Times New Roman"/>
                <w:color w:val="000000"/>
                <w:spacing w:val="0"/>
              </w:rPr>
              <w:t>5 200</w:t>
            </w:r>
          </w:p>
        </w:tc>
        <w:tc>
          <w:tcPr>
            <w:tcW w:w="1694" w:type="dxa"/>
            <w:tcBorders>
              <w:top w:val="nil"/>
              <w:left w:val="nil"/>
              <w:bottom w:val="nil"/>
              <w:right w:val="nil"/>
            </w:tcBorders>
            <w:shd w:val="clear" w:color="auto" w:fill="auto"/>
            <w:noWrap/>
            <w:vAlign w:val="bottom"/>
            <w:hideMark/>
          </w:tcPr>
          <w:p w14:paraId="39D886E9" w14:textId="77777777" w:rsidR="001B3BFC" w:rsidRPr="007F1DFD" w:rsidRDefault="001B3BFC" w:rsidP="007E1566">
            <w:pPr>
              <w:pStyle w:val="100"/>
              <w:snapToGrid w:val="0"/>
              <w:spacing w:before="0" w:line="240" w:lineRule="auto"/>
              <w:ind w:left="300" w:hanging="300"/>
              <w:jc w:val="center"/>
              <w:rPr>
                <w:spacing w:val="0"/>
              </w:rPr>
            </w:pPr>
            <w:r>
              <w:rPr>
                <w:rFonts w:eastAsia="Times New Roman"/>
                <w:color w:val="000000"/>
                <w:spacing w:val="0"/>
              </w:rPr>
              <w:t>3 500</w:t>
            </w:r>
          </w:p>
        </w:tc>
      </w:tr>
      <w:tr w:rsidR="001B3BFC" w:rsidRPr="007F1DFD" w14:paraId="7E85E945" w14:textId="77777777" w:rsidTr="00B37605">
        <w:trPr>
          <w:trHeight w:val="271"/>
        </w:trPr>
        <w:tc>
          <w:tcPr>
            <w:tcW w:w="1375" w:type="dxa"/>
            <w:tcBorders>
              <w:top w:val="nil"/>
              <w:left w:val="nil"/>
              <w:bottom w:val="nil"/>
              <w:right w:val="nil"/>
            </w:tcBorders>
            <w:shd w:val="clear" w:color="auto" w:fill="auto"/>
            <w:noWrap/>
            <w:vAlign w:val="bottom"/>
            <w:hideMark/>
          </w:tcPr>
          <w:p w14:paraId="544CBC07"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1ED62ABE" w14:textId="77777777" w:rsidR="001B3BFC" w:rsidRPr="007F1DFD" w:rsidRDefault="001B3BFC" w:rsidP="007E1566">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hideMark/>
          </w:tcPr>
          <w:p w14:paraId="19327878"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404444F9"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1616D2D6"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hideMark/>
          </w:tcPr>
          <w:p w14:paraId="04A30F12"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r>
      <w:tr w:rsidR="001B3BFC" w:rsidRPr="007F1DFD" w14:paraId="21803587" w14:textId="77777777" w:rsidTr="007E1566">
        <w:trPr>
          <w:trHeight w:val="340"/>
        </w:trPr>
        <w:tc>
          <w:tcPr>
            <w:tcW w:w="1375" w:type="dxa"/>
            <w:tcBorders>
              <w:top w:val="nil"/>
              <w:left w:val="nil"/>
              <w:bottom w:val="nil"/>
              <w:right w:val="nil"/>
            </w:tcBorders>
            <w:shd w:val="clear" w:color="auto" w:fill="auto"/>
            <w:noWrap/>
            <w:vAlign w:val="bottom"/>
          </w:tcPr>
          <w:p w14:paraId="7253040F"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二零二</w:t>
            </w:r>
            <w:r>
              <w:rPr>
                <w:rFonts w:hint="eastAsia"/>
                <w:spacing w:val="0"/>
                <w:lang w:eastAsia="zh-HK"/>
              </w:rPr>
              <w:t>二年</w:t>
            </w:r>
          </w:p>
        </w:tc>
        <w:tc>
          <w:tcPr>
            <w:tcW w:w="1208" w:type="dxa"/>
            <w:tcBorders>
              <w:top w:val="nil"/>
              <w:left w:val="nil"/>
              <w:bottom w:val="nil"/>
              <w:right w:val="nil"/>
            </w:tcBorders>
            <w:shd w:val="clear" w:color="auto" w:fill="auto"/>
            <w:noWrap/>
            <w:vAlign w:val="bottom"/>
          </w:tcPr>
          <w:p w14:paraId="75CFA75C" w14:textId="77777777" w:rsidR="001B3BFC" w:rsidRPr="007F1DFD" w:rsidRDefault="001B3BFC" w:rsidP="007E1566">
            <w:pPr>
              <w:pStyle w:val="100"/>
              <w:snapToGrid w:val="0"/>
              <w:spacing w:before="0" w:line="240" w:lineRule="auto"/>
              <w:ind w:left="300" w:hanging="300"/>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3A5474A0" w14:textId="77777777" w:rsidR="001B3BFC" w:rsidRPr="007F1DFD" w:rsidRDefault="001B3BFC" w:rsidP="007E1566">
            <w:pPr>
              <w:pStyle w:val="100"/>
              <w:snapToGrid w:val="0"/>
              <w:spacing w:before="0" w:line="240" w:lineRule="auto"/>
              <w:ind w:left="300" w:hanging="300"/>
              <w:jc w:val="center"/>
              <w:rPr>
                <w:spacing w:val="0"/>
              </w:rPr>
            </w:pPr>
            <w:r>
              <w:rPr>
                <w:rFonts w:hint="eastAsia"/>
                <w:spacing w:val="0"/>
              </w:rPr>
              <w:t>11</w:t>
            </w:r>
            <w:r>
              <w:rPr>
                <w:spacing w:val="0"/>
              </w:rPr>
              <w:t xml:space="preserve"> </w:t>
            </w:r>
            <w:r>
              <w:rPr>
                <w:rFonts w:hint="eastAsia"/>
                <w:spacing w:val="0"/>
              </w:rPr>
              <w:t>500</w:t>
            </w:r>
          </w:p>
        </w:tc>
        <w:tc>
          <w:tcPr>
            <w:tcW w:w="1693" w:type="dxa"/>
            <w:tcBorders>
              <w:top w:val="nil"/>
              <w:left w:val="nil"/>
              <w:bottom w:val="nil"/>
              <w:right w:val="nil"/>
            </w:tcBorders>
            <w:shd w:val="clear" w:color="auto" w:fill="auto"/>
            <w:noWrap/>
            <w:vAlign w:val="bottom"/>
          </w:tcPr>
          <w:p w14:paraId="550AEFDF" w14:textId="77777777" w:rsidR="001B3BFC" w:rsidRPr="007F1DFD" w:rsidRDefault="001B3BFC" w:rsidP="007E1566">
            <w:pPr>
              <w:pStyle w:val="100"/>
              <w:snapToGrid w:val="0"/>
              <w:spacing w:before="0" w:line="240" w:lineRule="auto"/>
              <w:ind w:left="300" w:hanging="300"/>
              <w:jc w:val="center"/>
              <w:rPr>
                <w:spacing w:val="0"/>
              </w:rPr>
            </w:pPr>
            <w:r>
              <w:rPr>
                <w:rFonts w:hint="eastAsia"/>
                <w:spacing w:val="0"/>
              </w:rPr>
              <w:t>8</w:t>
            </w:r>
            <w:r>
              <w:rPr>
                <w:spacing w:val="0"/>
              </w:rPr>
              <w:t xml:space="preserve"> </w:t>
            </w:r>
            <w:r>
              <w:rPr>
                <w:rFonts w:hint="eastAsia"/>
                <w:spacing w:val="0"/>
              </w:rPr>
              <w:t>600</w:t>
            </w:r>
          </w:p>
        </w:tc>
        <w:tc>
          <w:tcPr>
            <w:tcW w:w="1693" w:type="dxa"/>
            <w:tcBorders>
              <w:top w:val="nil"/>
              <w:left w:val="nil"/>
              <w:bottom w:val="nil"/>
              <w:right w:val="nil"/>
            </w:tcBorders>
            <w:shd w:val="clear" w:color="auto" w:fill="auto"/>
            <w:noWrap/>
            <w:vAlign w:val="bottom"/>
          </w:tcPr>
          <w:p w14:paraId="1FA11E5F" w14:textId="77777777" w:rsidR="001B3BFC" w:rsidRPr="007F1DFD" w:rsidRDefault="001B3BFC" w:rsidP="007E1566">
            <w:pPr>
              <w:pStyle w:val="100"/>
              <w:snapToGrid w:val="0"/>
              <w:spacing w:before="0" w:line="240" w:lineRule="auto"/>
              <w:ind w:left="300" w:hanging="300"/>
              <w:jc w:val="center"/>
              <w:rPr>
                <w:spacing w:val="0"/>
              </w:rPr>
            </w:pPr>
            <w:r>
              <w:rPr>
                <w:rFonts w:hint="eastAsia"/>
                <w:spacing w:val="0"/>
              </w:rPr>
              <w:t>2</w:t>
            </w:r>
            <w:r>
              <w:rPr>
                <w:spacing w:val="0"/>
              </w:rPr>
              <w:t xml:space="preserve"> </w:t>
            </w:r>
            <w:r>
              <w:rPr>
                <w:rFonts w:hint="eastAsia"/>
                <w:spacing w:val="0"/>
              </w:rPr>
              <w:t>000</w:t>
            </w:r>
          </w:p>
        </w:tc>
        <w:tc>
          <w:tcPr>
            <w:tcW w:w="1694" w:type="dxa"/>
            <w:tcBorders>
              <w:top w:val="nil"/>
              <w:left w:val="nil"/>
              <w:bottom w:val="nil"/>
              <w:right w:val="nil"/>
            </w:tcBorders>
            <w:shd w:val="clear" w:color="auto" w:fill="auto"/>
            <w:noWrap/>
            <w:vAlign w:val="bottom"/>
          </w:tcPr>
          <w:p w14:paraId="0316EC9F" w14:textId="77777777" w:rsidR="001B3BFC" w:rsidRPr="007F1DFD" w:rsidRDefault="001B3BFC" w:rsidP="007E1566">
            <w:pPr>
              <w:pStyle w:val="100"/>
              <w:snapToGrid w:val="0"/>
              <w:spacing w:before="0" w:line="240" w:lineRule="auto"/>
              <w:ind w:left="300" w:hanging="300"/>
              <w:jc w:val="center"/>
              <w:rPr>
                <w:spacing w:val="0"/>
              </w:rPr>
            </w:pPr>
            <w:r>
              <w:rPr>
                <w:rFonts w:hint="eastAsia"/>
                <w:spacing w:val="0"/>
              </w:rPr>
              <w:t>900</w:t>
            </w:r>
          </w:p>
        </w:tc>
      </w:tr>
      <w:tr w:rsidR="001B3BFC" w:rsidRPr="007F1DFD" w14:paraId="3C2323D6" w14:textId="77777777" w:rsidTr="007E1566">
        <w:trPr>
          <w:trHeight w:val="340"/>
        </w:trPr>
        <w:tc>
          <w:tcPr>
            <w:tcW w:w="1375" w:type="dxa"/>
            <w:tcBorders>
              <w:top w:val="nil"/>
              <w:left w:val="nil"/>
              <w:bottom w:val="nil"/>
              <w:right w:val="nil"/>
            </w:tcBorders>
            <w:shd w:val="clear" w:color="auto" w:fill="auto"/>
            <w:noWrap/>
            <w:vAlign w:val="bottom"/>
            <w:hideMark/>
          </w:tcPr>
          <w:p w14:paraId="4E924480"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5C5AC5C7"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hideMark/>
          </w:tcPr>
          <w:p w14:paraId="216256FC"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64 500</w:t>
            </w:r>
          </w:p>
        </w:tc>
        <w:tc>
          <w:tcPr>
            <w:tcW w:w="1693" w:type="dxa"/>
            <w:tcBorders>
              <w:top w:val="nil"/>
              <w:left w:val="nil"/>
              <w:bottom w:val="nil"/>
              <w:right w:val="nil"/>
            </w:tcBorders>
            <w:shd w:val="clear" w:color="auto" w:fill="auto"/>
            <w:noWrap/>
            <w:vAlign w:val="bottom"/>
            <w:hideMark/>
          </w:tcPr>
          <w:p w14:paraId="54AFC668"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53 400</w:t>
            </w:r>
          </w:p>
        </w:tc>
        <w:tc>
          <w:tcPr>
            <w:tcW w:w="1693" w:type="dxa"/>
            <w:tcBorders>
              <w:top w:val="nil"/>
              <w:left w:val="nil"/>
              <w:bottom w:val="nil"/>
              <w:right w:val="nil"/>
            </w:tcBorders>
            <w:shd w:val="clear" w:color="auto" w:fill="auto"/>
            <w:noWrap/>
            <w:vAlign w:val="bottom"/>
            <w:hideMark/>
          </w:tcPr>
          <w:p w14:paraId="765B5AD8"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5 700</w:t>
            </w:r>
          </w:p>
        </w:tc>
        <w:tc>
          <w:tcPr>
            <w:tcW w:w="1694" w:type="dxa"/>
            <w:tcBorders>
              <w:top w:val="nil"/>
              <w:left w:val="nil"/>
              <w:bottom w:val="nil"/>
              <w:right w:val="nil"/>
            </w:tcBorders>
            <w:shd w:val="clear" w:color="auto" w:fill="auto"/>
            <w:noWrap/>
            <w:vAlign w:val="bottom"/>
            <w:hideMark/>
          </w:tcPr>
          <w:p w14:paraId="29B91338"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5 500</w:t>
            </w:r>
          </w:p>
        </w:tc>
      </w:tr>
      <w:tr w:rsidR="001B3BFC" w:rsidRPr="007F1DFD" w14:paraId="78B192B8" w14:textId="77777777" w:rsidTr="007E1566">
        <w:trPr>
          <w:trHeight w:val="340"/>
        </w:trPr>
        <w:tc>
          <w:tcPr>
            <w:tcW w:w="1375" w:type="dxa"/>
            <w:tcBorders>
              <w:top w:val="nil"/>
              <w:left w:val="nil"/>
              <w:bottom w:val="nil"/>
              <w:right w:val="nil"/>
            </w:tcBorders>
            <w:shd w:val="clear" w:color="auto" w:fill="auto"/>
            <w:noWrap/>
            <w:vAlign w:val="bottom"/>
          </w:tcPr>
          <w:p w14:paraId="2B229013"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67FDFFBE"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164909DF"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173 700</w:t>
            </w:r>
          </w:p>
        </w:tc>
        <w:tc>
          <w:tcPr>
            <w:tcW w:w="1693" w:type="dxa"/>
            <w:tcBorders>
              <w:top w:val="nil"/>
              <w:left w:val="nil"/>
              <w:bottom w:val="nil"/>
              <w:right w:val="nil"/>
            </w:tcBorders>
            <w:shd w:val="clear" w:color="auto" w:fill="auto"/>
            <w:noWrap/>
            <w:vAlign w:val="bottom"/>
          </w:tcPr>
          <w:p w14:paraId="0B0C6E6E"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139 600</w:t>
            </w:r>
          </w:p>
        </w:tc>
        <w:tc>
          <w:tcPr>
            <w:tcW w:w="1693" w:type="dxa"/>
            <w:tcBorders>
              <w:top w:val="nil"/>
              <w:left w:val="nil"/>
              <w:bottom w:val="nil"/>
              <w:right w:val="nil"/>
            </w:tcBorders>
            <w:shd w:val="clear" w:color="auto" w:fill="auto"/>
            <w:noWrap/>
            <w:vAlign w:val="bottom"/>
          </w:tcPr>
          <w:p w14:paraId="76F53133"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17 300</w:t>
            </w:r>
          </w:p>
        </w:tc>
        <w:tc>
          <w:tcPr>
            <w:tcW w:w="1694" w:type="dxa"/>
            <w:tcBorders>
              <w:top w:val="nil"/>
              <w:left w:val="nil"/>
              <w:bottom w:val="nil"/>
              <w:right w:val="nil"/>
            </w:tcBorders>
            <w:shd w:val="clear" w:color="auto" w:fill="auto"/>
            <w:noWrap/>
            <w:vAlign w:val="bottom"/>
          </w:tcPr>
          <w:p w14:paraId="376D570E"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16 800</w:t>
            </w:r>
          </w:p>
        </w:tc>
      </w:tr>
      <w:tr w:rsidR="001B3BFC" w:rsidRPr="007F1DFD" w14:paraId="4B84B5BD" w14:textId="77777777" w:rsidTr="007E1566">
        <w:trPr>
          <w:trHeight w:val="340"/>
        </w:trPr>
        <w:tc>
          <w:tcPr>
            <w:tcW w:w="1375" w:type="dxa"/>
            <w:tcBorders>
              <w:top w:val="nil"/>
              <w:left w:val="nil"/>
              <w:bottom w:val="nil"/>
              <w:right w:val="nil"/>
            </w:tcBorders>
            <w:shd w:val="clear" w:color="auto" w:fill="auto"/>
            <w:noWrap/>
            <w:vAlign w:val="bottom"/>
          </w:tcPr>
          <w:p w14:paraId="4F56867E"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45726E1C" w14:textId="77777777" w:rsidR="001B3BFC" w:rsidRPr="007F1DFD" w:rsidRDefault="001B3BFC" w:rsidP="007E1566">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tcPr>
          <w:p w14:paraId="51F6F5F2"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354 900</w:t>
            </w:r>
          </w:p>
        </w:tc>
        <w:tc>
          <w:tcPr>
            <w:tcW w:w="1693" w:type="dxa"/>
            <w:tcBorders>
              <w:top w:val="nil"/>
              <w:left w:val="nil"/>
              <w:bottom w:val="nil"/>
              <w:right w:val="nil"/>
            </w:tcBorders>
            <w:shd w:val="clear" w:color="auto" w:fill="auto"/>
            <w:noWrap/>
            <w:vAlign w:val="bottom"/>
          </w:tcPr>
          <w:p w14:paraId="0A463396"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173 500</w:t>
            </w:r>
          </w:p>
        </w:tc>
        <w:tc>
          <w:tcPr>
            <w:tcW w:w="1693" w:type="dxa"/>
            <w:tcBorders>
              <w:top w:val="nil"/>
              <w:left w:val="nil"/>
              <w:bottom w:val="nil"/>
              <w:right w:val="nil"/>
            </w:tcBorders>
            <w:shd w:val="clear" w:color="auto" w:fill="auto"/>
            <w:noWrap/>
            <w:vAlign w:val="bottom"/>
          </w:tcPr>
          <w:p w14:paraId="4235BFD5" w14:textId="77777777" w:rsidR="001B3BFC" w:rsidRPr="00006C9D" w:rsidRDefault="001B3BFC" w:rsidP="007E1566">
            <w:pPr>
              <w:pStyle w:val="100"/>
              <w:snapToGrid w:val="0"/>
              <w:spacing w:before="0" w:line="240" w:lineRule="auto"/>
              <w:ind w:left="300" w:hanging="300"/>
              <w:jc w:val="center"/>
              <w:rPr>
                <w:spacing w:val="0"/>
              </w:rPr>
            </w:pPr>
            <w:r w:rsidRPr="00006C9D">
              <w:rPr>
                <w:spacing w:val="0"/>
              </w:rPr>
              <w:t>103 700</w:t>
            </w:r>
          </w:p>
        </w:tc>
        <w:tc>
          <w:tcPr>
            <w:tcW w:w="1694" w:type="dxa"/>
            <w:tcBorders>
              <w:top w:val="nil"/>
              <w:left w:val="nil"/>
              <w:bottom w:val="nil"/>
              <w:right w:val="nil"/>
            </w:tcBorders>
            <w:shd w:val="clear" w:color="auto" w:fill="auto"/>
            <w:noWrap/>
            <w:vAlign w:val="bottom"/>
          </w:tcPr>
          <w:p w14:paraId="230D2D04" w14:textId="77777777" w:rsidR="001B3BFC" w:rsidRPr="00006C9D" w:rsidRDefault="001B3BFC" w:rsidP="007E1566">
            <w:pPr>
              <w:pStyle w:val="100"/>
              <w:snapToGrid w:val="0"/>
              <w:spacing w:before="0" w:line="240" w:lineRule="auto"/>
              <w:ind w:left="300" w:hanging="300"/>
              <w:jc w:val="center"/>
              <w:rPr>
                <w:spacing w:val="0"/>
              </w:rPr>
            </w:pPr>
            <w:r>
              <w:rPr>
                <w:rFonts w:hint="eastAsia"/>
                <w:spacing w:val="0"/>
              </w:rPr>
              <w:t>77</w:t>
            </w:r>
            <w:r>
              <w:rPr>
                <w:spacing w:val="0"/>
              </w:rPr>
              <w:t xml:space="preserve"> </w:t>
            </w:r>
            <w:r>
              <w:rPr>
                <w:rFonts w:hint="eastAsia"/>
                <w:spacing w:val="0"/>
              </w:rPr>
              <w:t>600</w:t>
            </w:r>
          </w:p>
        </w:tc>
      </w:tr>
      <w:tr w:rsidR="001B3BFC" w:rsidRPr="007F1DFD" w14:paraId="6DF1C2B4" w14:textId="77777777" w:rsidTr="00B37605">
        <w:trPr>
          <w:trHeight w:val="267"/>
        </w:trPr>
        <w:tc>
          <w:tcPr>
            <w:tcW w:w="1375" w:type="dxa"/>
            <w:tcBorders>
              <w:top w:val="nil"/>
              <w:left w:val="nil"/>
              <w:bottom w:val="nil"/>
              <w:right w:val="nil"/>
            </w:tcBorders>
            <w:shd w:val="clear" w:color="auto" w:fill="auto"/>
            <w:noWrap/>
            <w:vAlign w:val="bottom"/>
          </w:tcPr>
          <w:p w14:paraId="3D3CF1D8"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6616D1AB" w14:textId="77777777" w:rsidR="001B3BFC" w:rsidRPr="007F1DFD" w:rsidRDefault="001B3BFC" w:rsidP="007E1566">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14768409"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21B40ADD"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13117F9A"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2158FD15"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r>
      <w:tr w:rsidR="001B3BFC" w:rsidRPr="007F1DFD" w14:paraId="7236978F" w14:textId="77777777" w:rsidTr="007E1566">
        <w:trPr>
          <w:trHeight w:val="340"/>
        </w:trPr>
        <w:tc>
          <w:tcPr>
            <w:tcW w:w="1375" w:type="dxa"/>
            <w:tcBorders>
              <w:top w:val="nil"/>
              <w:left w:val="nil"/>
              <w:bottom w:val="nil"/>
              <w:right w:val="nil"/>
            </w:tcBorders>
            <w:shd w:val="clear" w:color="auto" w:fill="auto"/>
            <w:noWrap/>
            <w:vAlign w:val="bottom"/>
          </w:tcPr>
          <w:p w14:paraId="5757685F" w14:textId="77777777" w:rsidR="001B3BFC" w:rsidRPr="007F1DFD" w:rsidRDefault="001B3BFC" w:rsidP="007E1566">
            <w:pPr>
              <w:pStyle w:val="100"/>
              <w:snapToGrid w:val="0"/>
              <w:spacing w:before="0" w:line="240" w:lineRule="auto"/>
              <w:ind w:left="300" w:hanging="300"/>
              <w:rPr>
                <w:spacing w:val="0"/>
              </w:rPr>
            </w:pPr>
            <w:r>
              <w:rPr>
                <w:rFonts w:hint="eastAsia"/>
                <w:spacing w:val="0"/>
                <w:lang w:eastAsia="zh-HK"/>
              </w:rPr>
              <w:t>二零二三年</w:t>
            </w:r>
          </w:p>
        </w:tc>
        <w:tc>
          <w:tcPr>
            <w:tcW w:w="1208" w:type="dxa"/>
            <w:tcBorders>
              <w:top w:val="nil"/>
              <w:left w:val="nil"/>
              <w:bottom w:val="nil"/>
              <w:right w:val="nil"/>
            </w:tcBorders>
            <w:shd w:val="clear" w:color="auto" w:fill="auto"/>
            <w:noWrap/>
            <w:vAlign w:val="bottom"/>
          </w:tcPr>
          <w:p w14:paraId="4F4BE492" w14:textId="77777777" w:rsidR="001B3BFC" w:rsidRPr="007F1DFD" w:rsidRDefault="001B3BFC" w:rsidP="007E1566">
            <w:pPr>
              <w:pStyle w:val="100"/>
              <w:snapToGrid w:val="0"/>
              <w:spacing w:before="0" w:line="240" w:lineRule="auto"/>
              <w:ind w:left="300" w:hanging="300"/>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2D8C89A2" w14:textId="6F3298C2" w:rsidR="001B3BFC" w:rsidRPr="003203E0" w:rsidRDefault="007E1566">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4 414 800</w:t>
            </w:r>
          </w:p>
        </w:tc>
        <w:tc>
          <w:tcPr>
            <w:tcW w:w="1693" w:type="dxa"/>
            <w:tcBorders>
              <w:top w:val="nil"/>
              <w:left w:val="nil"/>
              <w:bottom w:val="nil"/>
              <w:right w:val="nil"/>
            </w:tcBorders>
            <w:shd w:val="clear" w:color="auto" w:fill="auto"/>
            <w:noWrap/>
            <w:vAlign w:val="bottom"/>
          </w:tcPr>
          <w:p w14:paraId="0388E878" w14:textId="4518F47B" w:rsidR="001B3BFC" w:rsidRPr="003203E0" w:rsidRDefault="007E1566" w:rsidP="007E1566">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3 361 200</w:t>
            </w:r>
          </w:p>
        </w:tc>
        <w:tc>
          <w:tcPr>
            <w:tcW w:w="1693" w:type="dxa"/>
            <w:tcBorders>
              <w:top w:val="nil"/>
              <w:left w:val="nil"/>
              <w:bottom w:val="nil"/>
              <w:right w:val="nil"/>
            </w:tcBorders>
            <w:shd w:val="clear" w:color="auto" w:fill="auto"/>
            <w:noWrap/>
            <w:vAlign w:val="bottom"/>
          </w:tcPr>
          <w:p w14:paraId="364AE430" w14:textId="6967EBD9" w:rsidR="001B3BFC" w:rsidRPr="003203E0" w:rsidRDefault="007E1566" w:rsidP="007E1566">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779 100</w:t>
            </w:r>
          </w:p>
        </w:tc>
        <w:tc>
          <w:tcPr>
            <w:tcW w:w="1694" w:type="dxa"/>
            <w:tcBorders>
              <w:top w:val="nil"/>
              <w:left w:val="nil"/>
              <w:bottom w:val="nil"/>
              <w:right w:val="nil"/>
            </w:tcBorders>
            <w:shd w:val="clear" w:color="auto" w:fill="auto"/>
            <w:noWrap/>
            <w:vAlign w:val="bottom"/>
          </w:tcPr>
          <w:p w14:paraId="7220DFCC" w14:textId="7131B4D3" w:rsidR="001B3BFC" w:rsidRPr="00A46C8E" w:rsidRDefault="007E1566" w:rsidP="007E1566">
            <w:pPr>
              <w:pStyle w:val="100"/>
              <w:snapToGrid w:val="0"/>
              <w:spacing w:before="0" w:line="240" w:lineRule="auto"/>
              <w:ind w:left="300" w:hanging="300"/>
              <w:jc w:val="center"/>
              <w:rPr>
                <w:spacing w:val="0"/>
              </w:rPr>
            </w:pPr>
            <w:r>
              <w:rPr>
                <w:spacing w:val="0"/>
              </w:rPr>
              <w:t>274 400</w:t>
            </w:r>
          </w:p>
        </w:tc>
      </w:tr>
      <w:tr w:rsidR="001B3BFC" w:rsidRPr="007F1DFD" w14:paraId="17CF63BA" w14:textId="77777777" w:rsidTr="007E1566">
        <w:trPr>
          <w:trHeight w:val="340"/>
        </w:trPr>
        <w:tc>
          <w:tcPr>
            <w:tcW w:w="1375" w:type="dxa"/>
            <w:tcBorders>
              <w:top w:val="nil"/>
              <w:left w:val="nil"/>
              <w:bottom w:val="nil"/>
              <w:right w:val="nil"/>
            </w:tcBorders>
            <w:shd w:val="clear" w:color="auto" w:fill="auto"/>
            <w:noWrap/>
            <w:vAlign w:val="bottom"/>
          </w:tcPr>
          <w:p w14:paraId="33612BEE" w14:textId="77777777" w:rsidR="001B3BFC" w:rsidRPr="007F1DFD" w:rsidRDefault="001B3BFC" w:rsidP="007E1566">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31DF215A" w14:textId="77777777" w:rsidR="001B3BFC" w:rsidRPr="007F1DFD" w:rsidRDefault="001B3BFC" w:rsidP="007E1566">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580F5601"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5F635C2C"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01D3EED6"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3A7E3BF8" w14:textId="77777777" w:rsidR="001B3BFC" w:rsidRPr="003203E0" w:rsidRDefault="001B3BFC" w:rsidP="007E1566">
            <w:pPr>
              <w:pStyle w:val="100"/>
              <w:snapToGrid w:val="0"/>
              <w:spacing w:before="0" w:line="240" w:lineRule="auto"/>
              <w:ind w:left="300" w:hanging="300"/>
              <w:jc w:val="center"/>
              <w:rPr>
                <w:rFonts w:eastAsia="Times New Roman"/>
                <w:color w:val="000000"/>
                <w:spacing w:val="0"/>
              </w:rPr>
            </w:pPr>
          </w:p>
        </w:tc>
      </w:tr>
    </w:tbl>
    <w:p w14:paraId="0A319DC1" w14:textId="77777777" w:rsidR="001B3BFC" w:rsidRDefault="001B3BFC" w:rsidP="007E1566">
      <w:pPr>
        <w:pStyle w:val="aff8"/>
        <w:spacing w:before="180"/>
        <w:rPr>
          <w:lang w:eastAsia="zh-HK"/>
        </w:rPr>
      </w:pPr>
      <w:r>
        <w:rPr>
          <w:rFonts w:hint="eastAsia"/>
          <w:lang w:eastAsia="zh-HK"/>
        </w:rPr>
        <w:t>註：</w:t>
      </w:r>
      <w:r w:rsidRPr="00795AC1">
        <w:tab/>
        <w:t>(*)</w:t>
      </w:r>
      <w:r w:rsidRPr="00795AC1">
        <w:tab/>
      </w:r>
      <w:r w:rsidRPr="008E27FC">
        <w:rPr>
          <w:rFonts w:hint="eastAsia"/>
          <w:lang w:eastAsia="zh-HK"/>
        </w:rPr>
        <w:t>其</w:t>
      </w:r>
      <w:r w:rsidRPr="008E27FC">
        <w:rPr>
          <w:rFonts w:hint="eastAsia"/>
        </w:rPr>
        <w:t>他</w:t>
      </w:r>
      <w:r w:rsidRPr="008E27FC">
        <w:rPr>
          <w:rFonts w:hint="eastAsia"/>
          <w:lang w:eastAsia="zh-HK"/>
        </w:rPr>
        <w:t>短</w:t>
      </w:r>
      <w:r w:rsidRPr="008E27FC">
        <w:rPr>
          <w:rFonts w:hint="eastAsia"/>
        </w:rPr>
        <w:t>途市場</w:t>
      </w:r>
      <w:r w:rsidRPr="008E27FC">
        <w:rPr>
          <w:rFonts w:hint="eastAsia"/>
          <w:lang w:eastAsia="zh-HK"/>
        </w:rPr>
        <w:t>和長途市場的定義，見本章章末註</w:t>
      </w:r>
      <w:r>
        <w:rPr>
          <w:rFonts w:hint="eastAsia"/>
          <w:lang w:eastAsia="zh-HK"/>
        </w:rPr>
        <w:t>釋</w:t>
      </w:r>
      <w:r w:rsidRPr="008E27FC">
        <w:t>(</w:t>
      </w:r>
      <w:r>
        <w:t>4</w:t>
      </w:r>
      <w:r w:rsidRPr="008E27FC">
        <w:t>)</w:t>
      </w:r>
      <w:r w:rsidRPr="008E27FC">
        <w:rPr>
          <w:rFonts w:hint="eastAsia"/>
          <w:lang w:eastAsia="zh-HK"/>
        </w:rPr>
        <w:t>。</w:t>
      </w:r>
    </w:p>
    <w:p w14:paraId="2C7DBE05" w14:textId="6AFA58A6" w:rsidR="00ED6756" w:rsidRDefault="001B3BFC" w:rsidP="007E1566">
      <w:pPr>
        <w:pStyle w:val="aff8"/>
        <w:spacing w:before="180"/>
        <w:rPr>
          <w:lang w:eastAsia="zh-HK"/>
        </w:rPr>
      </w:pPr>
      <w:r>
        <w:rPr>
          <w:lang w:eastAsia="zh-HK"/>
        </w:rPr>
        <w:tab/>
      </w:r>
      <w:r>
        <w:rPr>
          <w:rFonts w:hint="eastAsia"/>
          <w:lang w:eastAsia="zh-HK"/>
        </w:rPr>
        <w:t>由</w:t>
      </w:r>
      <w:r>
        <w:rPr>
          <w:rFonts w:hint="eastAsia"/>
        </w:rPr>
        <w:t>於</w:t>
      </w:r>
      <w:r>
        <w:rPr>
          <w:rFonts w:hint="eastAsia"/>
          <w:lang w:eastAsia="zh-HK"/>
        </w:rPr>
        <w:t>進位關</w:t>
      </w:r>
      <w:r>
        <w:rPr>
          <w:rFonts w:hint="eastAsia"/>
        </w:rPr>
        <w:t>係</w:t>
      </w:r>
      <w:r>
        <w:rPr>
          <w:rFonts w:hint="eastAsia"/>
          <w:lang w:eastAsia="zh-HK"/>
        </w:rPr>
        <w:t>，數</w:t>
      </w:r>
      <w:r>
        <w:rPr>
          <w:rFonts w:hint="eastAsia"/>
        </w:rPr>
        <w:t>字</w:t>
      </w:r>
      <w:r>
        <w:rPr>
          <w:rFonts w:hint="eastAsia"/>
          <w:lang w:eastAsia="zh-HK"/>
        </w:rPr>
        <w:t>相加未必等於總數。</w:t>
      </w:r>
      <w:r w:rsidR="00ED6756">
        <w:rPr>
          <w:lang w:eastAsia="zh-HK"/>
        </w:rPr>
        <w:br w:type="page"/>
      </w:r>
    </w:p>
    <w:p w14:paraId="7848B329" w14:textId="3C8EFFC6" w:rsidR="001B3BFC" w:rsidRPr="00124E5B" w:rsidRDefault="001B3BFC" w:rsidP="00B02813">
      <w:pPr>
        <w:pStyle w:val="afff6"/>
      </w:pPr>
      <w:r w:rsidRPr="00124E5B">
        <w:rPr>
          <w:rFonts w:ascii="華康中黑體" w:hAnsi="華康中黑體" w:hint="eastAsia"/>
          <w:lang w:eastAsia="zh-HK"/>
        </w:rPr>
        <w:lastRenderedPageBreak/>
        <w:t>表</w:t>
      </w:r>
      <w:r w:rsidRPr="00124E5B">
        <w:rPr>
          <w:b/>
        </w:rPr>
        <w:t>3.2</w:t>
      </w:r>
      <w:r w:rsidRPr="00124E5B">
        <w:rPr>
          <w:rFonts w:ascii="華康中黑體" w:hAnsi="華康中黑體" w:hint="eastAsia"/>
          <w:b/>
          <w:lang w:eastAsia="zh-HK"/>
        </w:rPr>
        <w:t>：</w:t>
      </w:r>
      <w:r w:rsidRPr="00124E5B">
        <w:rPr>
          <w:rFonts w:hint="eastAsia"/>
          <w:lang w:eastAsia="zh-HK"/>
        </w:rPr>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1B3BFC" w:rsidRPr="00124E5B" w14:paraId="382CDBC7" w14:textId="77777777" w:rsidTr="007E1566">
        <w:trPr>
          <w:trHeight w:val="340"/>
        </w:trPr>
        <w:tc>
          <w:tcPr>
            <w:tcW w:w="1698" w:type="dxa"/>
            <w:tcBorders>
              <w:top w:val="nil"/>
              <w:left w:val="nil"/>
              <w:bottom w:val="nil"/>
              <w:right w:val="nil"/>
            </w:tcBorders>
            <w:shd w:val="clear" w:color="auto" w:fill="auto"/>
            <w:noWrap/>
            <w:vAlign w:val="bottom"/>
            <w:hideMark/>
          </w:tcPr>
          <w:p w14:paraId="180E189E" w14:textId="77777777" w:rsidR="001B3BFC" w:rsidRPr="00124E5B" w:rsidRDefault="001B3BFC" w:rsidP="007E1566">
            <w:pPr>
              <w:pStyle w:val="100"/>
              <w:snapToGrid w:val="0"/>
              <w:spacing w:before="0" w:line="240" w:lineRule="auto"/>
              <w:ind w:left="300" w:hanging="300"/>
              <w:rPr>
                <w:spacing w:val="0"/>
              </w:rPr>
            </w:pPr>
          </w:p>
          <w:p w14:paraId="6FD32E73"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13A9F5CE" w14:textId="77777777" w:rsidR="001B3BFC" w:rsidRPr="00124E5B" w:rsidRDefault="001B3BFC" w:rsidP="007E1566">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7A479568" w14:textId="77777777" w:rsidR="001B3BFC" w:rsidRPr="00124E5B" w:rsidRDefault="001B3BFC" w:rsidP="007E1566">
            <w:pPr>
              <w:pStyle w:val="100"/>
              <w:snapToGrid w:val="0"/>
              <w:spacing w:before="0" w:line="240" w:lineRule="auto"/>
              <w:ind w:left="300" w:hanging="300"/>
              <w:jc w:val="center"/>
              <w:rPr>
                <w:rFonts w:cs="華康細明體"/>
                <w:spacing w:val="0"/>
                <w:u w:val="single"/>
              </w:rPr>
            </w:pPr>
            <w:r w:rsidRPr="00124E5B">
              <w:rPr>
                <w:rFonts w:cs="華康細明體" w:hint="eastAsia"/>
                <w:spacing w:val="0"/>
                <w:u w:val="single"/>
                <w:lang w:eastAsia="zh-HK"/>
              </w:rPr>
              <w:t>過夜旅客人次</w:t>
            </w:r>
          </w:p>
        </w:tc>
        <w:tc>
          <w:tcPr>
            <w:tcW w:w="2403" w:type="dxa"/>
            <w:tcBorders>
              <w:top w:val="nil"/>
              <w:left w:val="nil"/>
              <w:bottom w:val="nil"/>
              <w:right w:val="nil"/>
            </w:tcBorders>
            <w:vAlign w:val="bottom"/>
          </w:tcPr>
          <w:p w14:paraId="273BB21D" w14:textId="54F7355B" w:rsidR="001B3BFC" w:rsidRPr="00124E5B" w:rsidRDefault="001B3BFC" w:rsidP="007E1566">
            <w:pPr>
              <w:pStyle w:val="100"/>
              <w:snapToGrid w:val="0"/>
              <w:spacing w:before="0" w:line="240" w:lineRule="auto"/>
              <w:ind w:left="300" w:hanging="300"/>
              <w:jc w:val="center"/>
              <w:rPr>
                <w:rFonts w:cs="華康細明體"/>
                <w:spacing w:val="0"/>
                <w:u w:val="single"/>
              </w:rPr>
            </w:pPr>
            <w:r w:rsidRPr="00124E5B">
              <w:rPr>
                <w:rFonts w:cs="華康細明體" w:hint="eastAsia"/>
                <w:spacing w:val="0"/>
                <w:u w:val="single"/>
                <w:lang w:eastAsia="zh-HK"/>
              </w:rPr>
              <w:t>不過夜旅客人次</w:t>
            </w:r>
          </w:p>
        </w:tc>
      </w:tr>
      <w:tr w:rsidR="001B3BFC" w:rsidRPr="00124E5B" w14:paraId="36C862A1" w14:textId="77777777" w:rsidTr="007E1566">
        <w:trPr>
          <w:trHeight w:val="340"/>
        </w:trPr>
        <w:tc>
          <w:tcPr>
            <w:tcW w:w="1698" w:type="dxa"/>
            <w:tcBorders>
              <w:top w:val="nil"/>
              <w:left w:val="nil"/>
              <w:bottom w:val="nil"/>
              <w:right w:val="nil"/>
            </w:tcBorders>
            <w:shd w:val="clear" w:color="auto" w:fill="auto"/>
            <w:noWrap/>
            <w:vAlign w:val="bottom"/>
          </w:tcPr>
          <w:p w14:paraId="2BF82195"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二零一九年</w:t>
            </w:r>
          </w:p>
        </w:tc>
        <w:tc>
          <w:tcPr>
            <w:tcW w:w="1491" w:type="dxa"/>
            <w:tcBorders>
              <w:top w:val="nil"/>
              <w:left w:val="nil"/>
              <w:bottom w:val="nil"/>
              <w:right w:val="nil"/>
            </w:tcBorders>
            <w:shd w:val="clear" w:color="auto" w:fill="auto"/>
            <w:noWrap/>
            <w:vAlign w:val="bottom"/>
          </w:tcPr>
          <w:p w14:paraId="692D251F"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03F607DB"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7 775 100</w:t>
            </w:r>
          </w:p>
        </w:tc>
        <w:tc>
          <w:tcPr>
            <w:tcW w:w="2403" w:type="dxa"/>
            <w:tcBorders>
              <w:top w:val="nil"/>
              <w:left w:val="nil"/>
              <w:bottom w:val="nil"/>
              <w:right w:val="nil"/>
            </w:tcBorders>
            <w:vAlign w:val="bottom"/>
          </w:tcPr>
          <w:p w14:paraId="10981E20"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10 459 300</w:t>
            </w:r>
          </w:p>
        </w:tc>
      </w:tr>
      <w:tr w:rsidR="001B3BFC" w:rsidRPr="00124E5B" w14:paraId="3B9E062A" w14:textId="77777777" w:rsidTr="007E1566">
        <w:trPr>
          <w:trHeight w:val="340"/>
        </w:trPr>
        <w:tc>
          <w:tcPr>
            <w:tcW w:w="1698" w:type="dxa"/>
            <w:tcBorders>
              <w:top w:val="nil"/>
              <w:left w:val="nil"/>
              <w:bottom w:val="nil"/>
              <w:right w:val="nil"/>
            </w:tcBorders>
            <w:shd w:val="clear" w:color="auto" w:fill="auto"/>
            <w:noWrap/>
            <w:vAlign w:val="bottom"/>
            <w:hideMark/>
          </w:tcPr>
          <w:p w14:paraId="407C8C63"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052279E6"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16AB2E6B"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7 145 100</w:t>
            </w:r>
          </w:p>
        </w:tc>
        <w:tc>
          <w:tcPr>
            <w:tcW w:w="2403" w:type="dxa"/>
            <w:tcBorders>
              <w:top w:val="nil"/>
              <w:left w:val="nil"/>
              <w:bottom w:val="nil"/>
              <w:right w:val="nil"/>
            </w:tcBorders>
            <w:vAlign w:val="bottom"/>
          </w:tcPr>
          <w:p w14:paraId="40208BBF"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9 492 400</w:t>
            </w:r>
          </w:p>
        </w:tc>
      </w:tr>
      <w:tr w:rsidR="001B3BFC" w:rsidRPr="00124E5B" w14:paraId="1C9DF74D" w14:textId="77777777" w:rsidTr="007E1566">
        <w:trPr>
          <w:trHeight w:val="340"/>
        </w:trPr>
        <w:tc>
          <w:tcPr>
            <w:tcW w:w="1698" w:type="dxa"/>
            <w:tcBorders>
              <w:top w:val="nil"/>
              <w:left w:val="nil"/>
              <w:bottom w:val="nil"/>
              <w:right w:val="nil"/>
            </w:tcBorders>
            <w:shd w:val="clear" w:color="auto" w:fill="auto"/>
            <w:noWrap/>
            <w:vAlign w:val="bottom"/>
            <w:hideMark/>
          </w:tcPr>
          <w:p w14:paraId="385F42B0"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398E3414"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1F70AA73"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5 108 400</w:t>
            </w:r>
          </w:p>
        </w:tc>
        <w:tc>
          <w:tcPr>
            <w:tcW w:w="2403" w:type="dxa"/>
            <w:tcBorders>
              <w:top w:val="nil"/>
              <w:left w:val="nil"/>
              <w:bottom w:val="nil"/>
              <w:right w:val="nil"/>
            </w:tcBorders>
            <w:vAlign w:val="bottom"/>
          </w:tcPr>
          <w:p w14:paraId="4047C6AF"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6 783 200</w:t>
            </w:r>
          </w:p>
        </w:tc>
      </w:tr>
      <w:tr w:rsidR="001B3BFC" w:rsidRPr="00124E5B" w14:paraId="735B876B" w14:textId="77777777" w:rsidTr="007E1566">
        <w:trPr>
          <w:trHeight w:val="340"/>
        </w:trPr>
        <w:tc>
          <w:tcPr>
            <w:tcW w:w="1698" w:type="dxa"/>
            <w:tcBorders>
              <w:top w:val="nil"/>
              <w:left w:val="nil"/>
              <w:bottom w:val="nil"/>
              <w:right w:val="nil"/>
            </w:tcBorders>
            <w:shd w:val="clear" w:color="auto" w:fill="auto"/>
            <w:noWrap/>
            <w:vAlign w:val="bottom"/>
            <w:hideMark/>
          </w:tcPr>
          <w:p w14:paraId="732502A3"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DE313DC"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3B7DC773"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3 723 700</w:t>
            </w:r>
          </w:p>
        </w:tc>
        <w:tc>
          <w:tcPr>
            <w:tcW w:w="2403" w:type="dxa"/>
            <w:tcBorders>
              <w:top w:val="nil"/>
              <w:left w:val="nil"/>
              <w:bottom w:val="nil"/>
              <w:right w:val="nil"/>
            </w:tcBorders>
            <w:vAlign w:val="bottom"/>
          </w:tcPr>
          <w:p w14:paraId="6359493D"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5 425 500</w:t>
            </w:r>
          </w:p>
        </w:tc>
      </w:tr>
      <w:tr w:rsidR="001B3BFC" w:rsidRPr="00124E5B" w14:paraId="1A25F7B1" w14:textId="77777777" w:rsidTr="007E1566">
        <w:trPr>
          <w:trHeight w:val="340"/>
        </w:trPr>
        <w:tc>
          <w:tcPr>
            <w:tcW w:w="1698" w:type="dxa"/>
            <w:tcBorders>
              <w:top w:val="nil"/>
              <w:left w:val="nil"/>
              <w:bottom w:val="nil"/>
              <w:right w:val="nil"/>
            </w:tcBorders>
            <w:shd w:val="clear" w:color="auto" w:fill="auto"/>
            <w:noWrap/>
            <w:vAlign w:val="bottom"/>
          </w:tcPr>
          <w:p w14:paraId="1967010B"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1F9FCF80" w14:textId="77777777" w:rsidR="001B3BFC" w:rsidRPr="00124E5B" w:rsidRDefault="001B3BFC" w:rsidP="007E1566">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50E8266F" w14:textId="77777777" w:rsidR="001B3BFC" w:rsidRPr="00124E5B" w:rsidRDefault="001B3BFC" w:rsidP="007E1566">
            <w:pPr>
              <w:pStyle w:val="100"/>
              <w:snapToGrid w:val="0"/>
              <w:spacing w:before="0" w:line="240" w:lineRule="auto"/>
              <w:ind w:left="300" w:hanging="300"/>
              <w:jc w:val="center"/>
              <w:rPr>
                <w:spacing w:val="0"/>
              </w:rPr>
            </w:pPr>
          </w:p>
        </w:tc>
        <w:tc>
          <w:tcPr>
            <w:tcW w:w="2403" w:type="dxa"/>
            <w:tcBorders>
              <w:top w:val="nil"/>
              <w:left w:val="nil"/>
              <w:bottom w:val="nil"/>
              <w:right w:val="nil"/>
            </w:tcBorders>
            <w:vAlign w:val="bottom"/>
          </w:tcPr>
          <w:p w14:paraId="75174E5B" w14:textId="77777777" w:rsidR="001B3BFC" w:rsidRPr="00124E5B" w:rsidRDefault="001B3BFC" w:rsidP="007E1566">
            <w:pPr>
              <w:pStyle w:val="100"/>
              <w:snapToGrid w:val="0"/>
              <w:spacing w:before="0" w:line="240" w:lineRule="auto"/>
              <w:ind w:left="300" w:hanging="300"/>
              <w:jc w:val="center"/>
              <w:rPr>
                <w:spacing w:val="0"/>
              </w:rPr>
            </w:pPr>
          </w:p>
        </w:tc>
      </w:tr>
      <w:tr w:rsidR="001B3BFC" w:rsidRPr="00124E5B" w14:paraId="00F91DBD" w14:textId="77777777" w:rsidTr="007E1566">
        <w:trPr>
          <w:trHeight w:val="340"/>
        </w:trPr>
        <w:tc>
          <w:tcPr>
            <w:tcW w:w="1698" w:type="dxa"/>
            <w:tcBorders>
              <w:top w:val="nil"/>
              <w:left w:val="nil"/>
              <w:bottom w:val="nil"/>
              <w:right w:val="nil"/>
            </w:tcBorders>
            <w:shd w:val="clear" w:color="auto" w:fill="auto"/>
            <w:noWrap/>
            <w:vAlign w:val="bottom"/>
          </w:tcPr>
          <w:p w14:paraId="3D9BF3E1"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二零二零年</w:t>
            </w:r>
          </w:p>
        </w:tc>
        <w:tc>
          <w:tcPr>
            <w:tcW w:w="1491" w:type="dxa"/>
            <w:tcBorders>
              <w:top w:val="nil"/>
              <w:left w:val="nil"/>
              <w:bottom w:val="nil"/>
              <w:right w:val="nil"/>
            </w:tcBorders>
            <w:shd w:val="clear" w:color="auto" w:fill="auto"/>
            <w:noWrap/>
            <w:vAlign w:val="bottom"/>
          </w:tcPr>
          <w:p w14:paraId="22E7C985"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312AB16F"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1 280 900</w:t>
            </w:r>
          </w:p>
        </w:tc>
        <w:tc>
          <w:tcPr>
            <w:tcW w:w="2403" w:type="dxa"/>
            <w:tcBorders>
              <w:top w:val="nil"/>
              <w:left w:val="nil"/>
              <w:bottom w:val="nil"/>
              <w:right w:val="nil"/>
            </w:tcBorders>
            <w:vAlign w:val="bottom"/>
          </w:tcPr>
          <w:p w14:paraId="4DE5B90E"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2 208 300</w:t>
            </w:r>
          </w:p>
        </w:tc>
      </w:tr>
      <w:tr w:rsidR="001B3BFC" w:rsidRPr="00124E5B" w14:paraId="5BBC8931" w14:textId="77777777" w:rsidTr="007E1566">
        <w:trPr>
          <w:trHeight w:val="340"/>
        </w:trPr>
        <w:tc>
          <w:tcPr>
            <w:tcW w:w="1698" w:type="dxa"/>
            <w:tcBorders>
              <w:top w:val="nil"/>
              <w:left w:val="nil"/>
              <w:bottom w:val="nil"/>
              <w:right w:val="nil"/>
            </w:tcBorders>
            <w:shd w:val="clear" w:color="auto" w:fill="auto"/>
            <w:noWrap/>
            <w:vAlign w:val="bottom"/>
            <w:hideMark/>
          </w:tcPr>
          <w:p w14:paraId="6FF6925B"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1599DD3"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46089B44"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26 500</w:t>
            </w:r>
          </w:p>
        </w:tc>
        <w:tc>
          <w:tcPr>
            <w:tcW w:w="2403" w:type="dxa"/>
            <w:tcBorders>
              <w:top w:val="nil"/>
              <w:left w:val="nil"/>
              <w:bottom w:val="nil"/>
              <w:right w:val="nil"/>
            </w:tcBorders>
            <w:vAlign w:val="bottom"/>
          </w:tcPr>
          <w:p w14:paraId="533963F5"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300</w:t>
            </w:r>
          </w:p>
        </w:tc>
      </w:tr>
      <w:tr w:rsidR="001B3BFC" w:rsidRPr="00124E5B" w14:paraId="70EF762D" w14:textId="77777777" w:rsidTr="007E1566">
        <w:trPr>
          <w:trHeight w:val="340"/>
        </w:trPr>
        <w:tc>
          <w:tcPr>
            <w:tcW w:w="1698" w:type="dxa"/>
            <w:tcBorders>
              <w:top w:val="nil"/>
              <w:left w:val="nil"/>
              <w:bottom w:val="nil"/>
              <w:right w:val="nil"/>
            </w:tcBorders>
            <w:shd w:val="clear" w:color="auto" w:fill="auto"/>
            <w:noWrap/>
            <w:vAlign w:val="bottom"/>
            <w:hideMark/>
          </w:tcPr>
          <w:p w14:paraId="6AE7F8CF"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0411F7F"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3D62468B"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33 800</w:t>
            </w:r>
          </w:p>
        </w:tc>
        <w:tc>
          <w:tcPr>
            <w:tcW w:w="2403" w:type="dxa"/>
            <w:tcBorders>
              <w:top w:val="nil"/>
              <w:left w:val="nil"/>
              <w:bottom w:val="nil"/>
              <w:right w:val="nil"/>
            </w:tcBorders>
            <w:vAlign w:val="bottom"/>
          </w:tcPr>
          <w:p w14:paraId="7E39228D"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300</w:t>
            </w:r>
          </w:p>
        </w:tc>
      </w:tr>
      <w:tr w:rsidR="001B3BFC" w:rsidRPr="00124E5B" w14:paraId="18C2210A" w14:textId="77777777" w:rsidTr="007E1566">
        <w:trPr>
          <w:trHeight w:val="340"/>
        </w:trPr>
        <w:tc>
          <w:tcPr>
            <w:tcW w:w="1698" w:type="dxa"/>
            <w:tcBorders>
              <w:top w:val="nil"/>
              <w:left w:val="nil"/>
              <w:bottom w:val="nil"/>
              <w:right w:val="nil"/>
            </w:tcBorders>
            <w:shd w:val="clear" w:color="auto" w:fill="auto"/>
            <w:noWrap/>
            <w:vAlign w:val="bottom"/>
            <w:hideMark/>
          </w:tcPr>
          <w:p w14:paraId="2D959F66"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010DA0E"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018A284D"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18 100</w:t>
            </w:r>
          </w:p>
        </w:tc>
        <w:tc>
          <w:tcPr>
            <w:tcW w:w="2403" w:type="dxa"/>
            <w:tcBorders>
              <w:top w:val="nil"/>
              <w:left w:val="nil"/>
              <w:bottom w:val="nil"/>
              <w:right w:val="nil"/>
            </w:tcBorders>
            <w:vAlign w:val="bottom"/>
          </w:tcPr>
          <w:p w14:paraId="2C38C3F4"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500</w:t>
            </w:r>
          </w:p>
        </w:tc>
      </w:tr>
      <w:tr w:rsidR="001B3BFC" w:rsidRPr="00124E5B" w14:paraId="7B39AB94" w14:textId="77777777" w:rsidTr="007E1566">
        <w:trPr>
          <w:trHeight w:val="340"/>
        </w:trPr>
        <w:tc>
          <w:tcPr>
            <w:tcW w:w="1698" w:type="dxa"/>
            <w:tcBorders>
              <w:top w:val="nil"/>
              <w:left w:val="nil"/>
              <w:bottom w:val="nil"/>
              <w:right w:val="nil"/>
            </w:tcBorders>
            <w:shd w:val="clear" w:color="auto" w:fill="auto"/>
            <w:noWrap/>
            <w:vAlign w:val="bottom"/>
          </w:tcPr>
          <w:p w14:paraId="6A7A40DA"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6F16E6F0" w14:textId="77777777" w:rsidR="001B3BFC" w:rsidRPr="00124E5B" w:rsidRDefault="001B3BFC" w:rsidP="007E1566">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5CA67162" w14:textId="77777777" w:rsidR="001B3BFC" w:rsidRPr="00124E5B" w:rsidRDefault="001B3BFC" w:rsidP="007E1566">
            <w:pPr>
              <w:pStyle w:val="100"/>
              <w:snapToGrid w:val="0"/>
              <w:spacing w:before="0" w:line="240" w:lineRule="auto"/>
              <w:ind w:left="300" w:hanging="300"/>
              <w:jc w:val="center"/>
              <w:rPr>
                <w:spacing w:val="0"/>
              </w:rPr>
            </w:pPr>
          </w:p>
        </w:tc>
        <w:tc>
          <w:tcPr>
            <w:tcW w:w="2403" w:type="dxa"/>
            <w:tcBorders>
              <w:top w:val="nil"/>
              <w:left w:val="nil"/>
              <w:bottom w:val="nil"/>
              <w:right w:val="nil"/>
            </w:tcBorders>
            <w:vAlign w:val="bottom"/>
          </w:tcPr>
          <w:p w14:paraId="7858A187" w14:textId="77777777" w:rsidR="001B3BFC" w:rsidRPr="00124E5B" w:rsidRDefault="001B3BFC" w:rsidP="007E1566">
            <w:pPr>
              <w:pStyle w:val="100"/>
              <w:snapToGrid w:val="0"/>
              <w:spacing w:before="0" w:line="240" w:lineRule="auto"/>
              <w:ind w:left="300" w:hanging="300"/>
              <w:jc w:val="center"/>
              <w:rPr>
                <w:spacing w:val="0"/>
              </w:rPr>
            </w:pPr>
          </w:p>
        </w:tc>
      </w:tr>
      <w:tr w:rsidR="001B3BFC" w:rsidRPr="00124E5B" w14:paraId="423E08F9" w14:textId="77777777" w:rsidTr="007E1566">
        <w:trPr>
          <w:trHeight w:val="340"/>
        </w:trPr>
        <w:tc>
          <w:tcPr>
            <w:tcW w:w="1698" w:type="dxa"/>
            <w:tcBorders>
              <w:top w:val="nil"/>
              <w:left w:val="nil"/>
              <w:bottom w:val="nil"/>
              <w:right w:val="nil"/>
            </w:tcBorders>
            <w:shd w:val="clear" w:color="auto" w:fill="auto"/>
            <w:noWrap/>
            <w:vAlign w:val="bottom"/>
          </w:tcPr>
          <w:p w14:paraId="6E785090"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二零二一年</w:t>
            </w:r>
          </w:p>
        </w:tc>
        <w:tc>
          <w:tcPr>
            <w:tcW w:w="1491" w:type="dxa"/>
            <w:tcBorders>
              <w:top w:val="nil"/>
              <w:left w:val="nil"/>
              <w:bottom w:val="nil"/>
              <w:right w:val="nil"/>
            </w:tcBorders>
            <w:shd w:val="clear" w:color="auto" w:fill="auto"/>
            <w:noWrap/>
            <w:vAlign w:val="bottom"/>
          </w:tcPr>
          <w:p w14:paraId="18B791A3"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555ACE4A"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16 300</w:t>
            </w:r>
          </w:p>
        </w:tc>
        <w:tc>
          <w:tcPr>
            <w:tcW w:w="2403" w:type="dxa"/>
            <w:tcBorders>
              <w:top w:val="nil"/>
              <w:left w:val="nil"/>
              <w:bottom w:val="nil"/>
              <w:right w:val="nil"/>
            </w:tcBorders>
            <w:vAlign w:val="bottom"/>
          </w:tcPr>
          <w:p w14:paraId="17A8CFF1"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200</w:t>
            </w:r>
          </w:p>
        </w:tc>
      </w:tr>
      <w:tr w:rsidR="001B3BFC" w:rsidRPr="00124E5B" w14:paraId="69DA134F" w14:textId="77777777" w:rsidTr="007E1566">
        <w:trPr>
          <w:trHeight w:val="340"/>
        </w:trPr>
        <w:tc>
          <w:tcPr>
            <w:tcW w:w="1698" w:type="dxa"/>
            <w:tcBorders>
              <w:top w:val="nil"/>
              <w:left w:val="nil"/>
              <w:bottom w:val="nil"/>
              <w:right w:val="nil"/>
            </w:tcBorders>
            <w:shd w:val="clear" w:color="auto" w:fill="auto"/>
            <w:noWrap/>
            <w:vAlign w:val="bottom"/>
            <w:hideMark/>
          </w:tcPr>
          <w:p w14:paraId="60EB09AD"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33DF2E28"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13FA751F"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16 900</w:t>
            </w:r>
          </w:p>
        </w:tc>
        <w:tc>
          <w:tcPr>
            <w:tcW w:w="2403" w:type="dxa"/>
            <w:tcBorders>
              <w:top w:val="nil"/>
              <w:left w:val="nil"/>
              <w:bottom w:val="nil"/>
              <w:right w:val="nil"/>
            </w:tcBorders>
            <w:vAlign w:val="bottom"/>
          </w:tcPr>
          <w:p w14:paraId="0A6BEFC5" w14:textId="7777777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300</w:t>
            </w:r>
          </w:p>
        </w:tc>
      </w:tr>
      <w:tr w:rsidR="001B3BFC" w:rsidRPr="00124E5B" w14:paraId="42D75D0B" w14:textId="77777777" w:rsidTr="007E1566">
        <w:trPr>
          <w:trHeight w:val="340"/>
        </w:trPr>
        <w:tc>
          <w:tcPr>
            <w:tcW w:w="1698" w:type="dxa"/>
            <w:tcBorders>
              <w:top w:val="nil"/>
              <w:left w:val="nil"/>
              <w:bottom w:val="nil"/>
              <w:right w:val="nil"/>
            </w:tcBorders>
            <w:shd w:val="clear" w:color="auto" w:fill="auto"/>
            <w:noWrap/>
            <w:vAlign w:val="bottom"/>
          </w:tcPr>
          <w:p w14:paraId="6E23A71F"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68CF3FE7"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71D373A1" w14:textId="77777777" w:rsidR="001B3BFC" w:rsidRPr="00124E5B" w:rsidRDefault="001B3BFC" w:rsidP="007E1566">
            <w:pPr>
              <w:pStyle w:val="100"/>
              <w:snapToGrid w:val="0"/>
              <w:spacing w:line="240" w:lineRule="auto"/>
              <w:ind w:left="300" w:hanging="300"/>
              <w:jc w:val="center"/>
              <w:rPr>
                <w:spacing w:val="0"/>
              </w:rPr>
            </w:pPr>
            <w:r w:rsidRPr="00124E5B">
              <w:rPr>
                <w:rFonts w:eastAsia="Times New Roman"/>
                <w:spacing w:val="0"/>
              </w:rPr>
              <w:t>29 000</w:t>
            </w:r>
          </w:p>
        </w:tc>
        <w:tc>
          <w:tcPr>
            <w:tcW w:w="2403" w:type="dxa"/>
            <w:tcBorders>
              <w:top w:val="nil"/>
              <w:left w:val="nil"/>
              <w:bottom w:val="nil"/>
              <w:right w:val="nil"/>
            </w:tcBorders>
            <w:vAlign w:val="bottom"/>
          </w:tcPr>
          <w:p w14:paraId="5807EB36" w14:textId="77777777" w:rsidR="001B3BFC" w:rsidRPr="00124E5B" w:rsidRDefault="001B3BFC" w:rsidP="007E1566">
            <w:pPr>
              <w:pStyle w:val="100"/>
              <w:snapToGrid w:val="0"/>
              <w:spacing w:line="240" w:lineRule="auto"/>
              <w:ind w:left="300" w:hanging="300"/>
              <w:jc w:val="center"/>
              <w:rPr>
                <w:spacing w:val="0"/>
              </w:rPr>
            </w:pPr>
            <w:r w:rsidRPr="00124E5B">
              <w:rPr>
                <w:rFonts w:eastAsia="Times New Roman"/>
                <w:spacing w:val="0"/>
              </w:rPr>
              <w:t>300</w:t>
            </w:r>
          </w:p>
        </w:tc>
      </w:tr>
      <w:tr w:rsidR="001B3BFC" w:rsidRPr="00124E5B" w14:paraId="4569459A" w14:textId="77777777" w:rsidTr="007E1566">
        <w:trPr>
          <w:trHeight w:val="340"/>
        </w:trPr>
        <w:tc>
          <w:tcPr>
            <w:tcW w:w="1698" w:type="dxa"/>
            <w:tcBorders>
              <w:top w:val="nil"/>
              <w:left w:val="nil"/>
              <w:bottom w:val="nil"/>
              <w:right w:val="nil"/>
            </w:tcBorders>
            <w:shd w:val="clear" w:color="auto" w:fill="auto"/>
            <w:noWrap/>
            <w:vAlign w:val="bottom"/>
            <w:hideMark/>
          </w:tcPr>
          <w:p w14:paraId="5B195473"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75C9975E" w14:textId="77777777" w:rsidR="001B3BFC" w:rsidRPr="00124E5B" w:rsidRDefault="001B3BFC" w:rsidP="007E1566">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51C0D7F3" w14:textId="1AF2EE07"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26</w:t>
            </w:r>
            <w:r w:rsidR="007E1566">
              <w:rPr>
                <w:rFonts w:eastAsia="Times New Roman"/>
                <w:spacing w:val="0"/>
              </w:rPr>
              <w:t xml:space="preserve"> </w:t>
            </w:r>
            <w:r w:rsidRPr="00124E5B">
              <w:rPr>
                <w:rFonts w:eastAsia="Times New Roman"/>
                <w:spacing w:val="0"/>
              </w:rPr>
              <w:t>900</w:t>
            </w:r>
          </w:p>
        </w:tc>
        <w:tc>
          <w:tcPr>
            <w:tcW w:w="2403" w:type="dxa"/>
            <w:tcBorders>
              <w:top w:val="nil"/>
              <w:left w:val="nil"/>
              <w:bottom w:val="nil"/>
              <w:right w:val="nil"/>
            </w:tcBorders>
            <w:vAlign w:val="bottom"/>
          </w:tcPr>
          <w:p w14:paraId="6E296735" w14:textId="74A24141" w:rsidR="001B3BFC" w:rsidRPr="00124E5B" w:rsidRDefault="001B3BFC" w:rsidP="007E1566">
            <w:pPr>
              <w:pStyle w:val="100"/>
              <w:snapToGrid w:val="0"/>
              <w:spacing w:before="0" w:line="240" w:lineRule="auto"/>
              <w:ind w:left="300" w:hanging="300"/>
              <w:jc w:val="center"/>
              <w:rPr>
                <w:spacing w:val="0"/>
              </w:rPr>
            </w:pPr>
            <w:r w:rsidRPr="00124E5B">
              <w:rPr>
                <w:rFonts w:eastAsia="Times New Roman"/>
                <w:spacing w:val="0"/>
              </w:rPr>
              <w:t>1</w:t>
            </w:r>
            <w:r w:rsidR="007E1566">
              <w:rPr>
                <w:rFonts w:eastAsia="Times New Roman"/>
                <w:spacing w:val="0"/>
              </w:rPr>
              <w:t xml:space="preserve"> </w:t>
            </w:r>
            <w:r w:rsidRPr="00124E5B">
              <w:rPr>
                <w:rFonts w:eastAsia="Times New Roman"/>
                <w:spacing w:val="0"/>
              </w:rPr>
              <w:t>400</w:t>
            </w:r>
          </w:p>
        </w:tc>
      </w:tr>
      <w:tr w:rsidR="001B3BFC" w:rsidRPr="00124E5B" w14:paraId="344B50E1" w14:textId="77777777" w:rsidTr="00B02813">
        <w:trPr>
          <w:trHeight w:val="340"/>
        </w:trPr>
        <w:tc>
          <w:tcPr>
            <w:tcW w:w="1698" w:type="dxa"/>
            <w:tcBorders>
              <w:top w:val="nil"/>
              <w:left w:val="nil"/>
              <w:bottom w:val="nil"/>
              <w:right w:val="nil"/>
            </w:tcBorders>
            <w:shd w:val="clear" w:color="auto" w:fill="auto"/>
            <w:noWrap/>
            <w:vAlign w:val="bottom"/>
            <w:hideMark/>
          </w:tcPr>
          <w:p w14:paraId="72A00DC4"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013D1CD5" w14:textId="77777777" w:rsidR="001B3BFC" w:rsidRPr="00124E5B" w:rsidRDefault="001B3BFC" w:rsidP="007E1566">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2087B7FA" w14:textId="77777777" w:rsidR="001B3BFC" w:rsidRPr="00124E5B" w:rsidRDefault="001B3BFC" w:rsidP="007E1566">
            <w:pPr>
              <w:pStyle w:val="100"/>
              <w:snapToGrid w:val="0"/>
              <w:spacing w:before="0"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11A9A5D3" w14:textId="77777777" w:rsidR="001B3BFC" w:rsidRPr="00124E5B" w:rsidRDefault="001B3BFC" w:rsidP="007E1566">
            <w:pPr>
              <w:pStyle w:val="100"/>
              <w:snapToGrid w:val="0"/>
              <w:spacing w:before="0" w:line="240" w:lineRule="auto"/>
              <w:ind w:left="300" w:hanging="300"/>
              <w:jc w:val="center"/>
              <w:rPr>
                <w:rFonts w:eastAsia="Times New Roman"/>
                <w:spacing w:val="0"/>
              </w:rPr>
            </w:pPr>
          </w:p>
        </w:tc>
      </w:tr>
      <w:tr w:rsidR="001B3BFC" w:rsidRPr="00124E5B" w14:paraId="2A3380D6" w14:textId="77777777" w:rsidTr="00B02813">
        <w:trPr>
          <w:trHeight w:val="340"/>
        </w:trPr>
        <w:tc>
          <w:tcPr>
            <w:tcW w:w="1698" w:type="dxa"/>
            <w:tcBorders>
              <w:top w:val="nil"/>
              <w:left w:val="nil"/>
              <w:bottom w:val="nil"/>
              <w:right w:val="nil"/>
            </w:tcBorders>
            <w:shd w:val="clear" w:color="auto" w:fill="auto"/>
            <w:noWrap/>
            <w:vAlign w:val="bottom"/>
            <w:hideMark/>
          </w:tcPr>
          <w:p w14:paraId="486A92EE" w14:textId="77777777" w:rsidR="001B3BFC" w:rsidRPr="00124E5B" w:rsidRDefault="001B3BFC" w:rsidP="00B02813">
            <w:pPr>
              <w:pStyle w:val="100"/>
              <w:snapToGrid w:val="0"/>
              <w:spacing w:before="0" w:line="240" w:lineRule="auto"/>
              <w:ind w:left="300" w:hanging="300"/>
              <w:rPr>
                <w:spacing w:val="0"/>
              </w:rPr>
            </w:pPr>
            <w:r w:rsidRPr="00124E5B">
              <w:rPr>
                <w:rFonts w:hint="eastAsia"/>
                <w:spacing w:val="0"/>
              </w:rPr>
              <w:t>二零二</w:t>
            </w:r>
            <w:r>
              <w:rPr>
                <w:rFonts w:hint="eastAsia"/>
                <w:spacing w:val="0"/>
              </w:rPr>
              <w:t>二</w:t>
            </w:r>
            <w:r w:rsidRPr="00124E5B">
              <w:rPr>
                <w:rFonts w:hint="eastAsia"/>
                <w:spacing w:val="0"/>
              </w:rPr>
              <w:t>年</w:t>
            </w:r>
          </w:p>
        </w:tc>
        <w:tc>
          <w:tcPr>
            <w:tcW w:w="1491" w:type="dxa"/>
            <w:tcBorders>
              <w:top w:val="nil"/>
              <w:left w:val="nil"/>
              <w:bottom w:val="nil"/>
              <w:right w:val="nil"/>
            </w:tcBorders>
            <w:shd w:val="clear" w:color="auto" w:fill="auto"/>
            <w:noWrap/>
            <w:vAlign w:val="bottom"/>
            <w:hideMark/>
          </w:tcPr>
          <w:p w14:paraId="3B9385B9" w14:textId="77777777" w:rsidR="001B3BFC" w:rsidRPr="00124E5B" w:rsidRDefault="001B3BFC" w:rsidP="00B02813">
            <w:pPr>
              <w:pStyle w:val="100"/>
              <w:snapToGrid w:val="0"/>
              <w:spacing w:before="0" w:line="240" w:lineRule="auto"/>
              <w:ind w:left="300" w:hanging="300"/>
              <w:rPr>
                <w:spacing w:val="0"/>
              </w:rPr>
            </w:pPr>
            <w:r w:rsidRPr="0025322B">
              <w:rPr>
                <w:rFonts w:hint="eastAsia"/>
                <w:spacing w:val="0"/>
              </w:rPr>
              <w:t>第一季</w:t>
            </w:r>
          </w:p>
        </w:tc>
        <w:tc>
          <w:tcPr>
            <w:tcW w:w="2403" w:type="dxa"/>
            <w:tcBorders>
              <w:top w:val="nil"/>
              <w:left w:val="nil"/>
              <w:bottom w:val="nil"/>
              <w:right w:val="nil"/>
            </w:tcBorders>
            <w:vAlign w:val="bottom"/>
          </w:tcPr>
          <w:p w14:paraId="257DD07E" w14:textId="0FAE5C18" w:rsidR="001B3BFC" w:rsidRPr="00124E5B" w:rsidRDefault="001B3BFC" w:rsidP="00B02813">
            <w:pPr>
              <w:pStyle w:val="100"/>
              <w:snapToGrid w:val="0"/>
              <w:spacing w:line="240" w:lineRule="auto"/>
              <w:ind w:left="300" w:hanging="300"/>
              <w:jc w:val="center"/>
              <w:rPr>
                <w:rFonts w:eastAsia="Times New Roman"/>
                <w:spacing w:val="0"/>
              </w:rPr>
            </w:pPr>
            <w:r w:rsidRPr="00124E5B">
              <w:rPr>
                <w:rFonts w:eastAsia="Times New Roman"/>
                <w:spacing w:val="0"/>
              </w:rPr>
              <w:t>10</w:t>
            </w:r>
            <w:r w:rsidR="007E1566">
              <w:rPr>
                <w:rFonts w:eastAsia="Times New Roman"/>
                <w:spacing w:val="0"/>
              </w:rPr>
              <w:t xml:space="preserve"> </w:t>
            </w:r>
            <w:r>
              <w:rPr>
                <w:rFonts w:eastAsia="Times New Roman"/>
                <w:spacing w:val="0"/>
              </w:rPr>
              <w:t>7</w:t>
            </w:r>
            <w:r w:rsidRPr="00124E5B">
              <w:rPr>
                <w:rFonts w:eastAsia="Times New Roman"/>
                <w:spacing w:val="0"/>
              </w:rPr>
              <w:t>00</w:t>
            </w:r>
          </w:p>
        </w:tc>
        <w:tc>
          <w:tcPr>
            <w:tcW w:w="2403" w:type="dxa"/>
            <w:tcBorders>
              <w:top w:val="nil"/>
              <w:left w:val="nil"/>
              <w:bottom w:val="nil"/>
              <w:right w:val="nil"/>
            </w:tcBorders>
            <w:vAlign w:val="bottom"/>
          </w:tcPr>
          <w:p w14:paraId="66B433C9" w14:textId="77777777" w:rsidR="001B3BFC" w:rsidRPr="00124E5B" w:rsidRDefault="001B3BFC" w:rsidP="00B02813">
            <w:pPr>
              <w:pStyle w:val="100"/>
              <w:snapToGrid w:val="0"/>
              <w:spacing w:before="0" w:line="240" w:lineRule="auto"/>
              <w:ind w:left="300" w:hanging="300"/>
              <w:jc w:val="center"/>
              <w:rPr>
                <w:rFonts w:eastAsia="Times New Roman"/>
                <w:spacing w:val="0"/>
              </w:rPr>
            </w:pPr>
            <w:r>
              <w:rPr>
                <w:rFonts w:eastAsia="Times New Roman"/>
                <w:spacing w:val="0"/>
              </w:rPr>
              <w:t>8</w:t>
            </w:r>
            <w:r w:rsidRPr="00124E5B">
              <w:rPr>
                <w:rFonts w:eastAsia="Times New Roman"/>
                <w:spacing w:val="0"/>
              </w:rPr>
              <w:t>00</w:t>
            </w:r>
          </w:p>
        </w:tc>
      </w:tr>
      <w:tr w:rsidR="001B3BFC" w:rsidRPr="00124E5B" w14:paraId="31A84976" w14:textId="77777777" w:rsidTr="00B02813">
        <w:trPr>
          <w:trHeight w:val="340"/>
        </w:trPr>
        <w:tc>
          <w:tcPr>
            <w:tcW w:w="1698" w:type="dxa"/>
            <w:tcBorders>
              <w:top w:val="nil"/>
              <w:left w:val="nil"/>
              <w:bottom w:val="nil"/>
              <w:right w:val="nil"/>
            </w:tcBorders>
            <w:shd w:val="clear" w:color="auto" w:fill="auto"/>
            <w:noWrap/>
            <w:vAlign w:val="bottom"/>
          </w:tcPr>
          <w:p w14:paraId="14E24AEA"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4860BD30" w14:textId="77777777" w:rsidR="001B3BFC" w:rsidRPr="0025322B" w:rsidRDefault="001B3BFC" w:rsidP="007E1566">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4246AD88" w14:textId="2F0FB367" w:rsidR="001B3BFC" w:rsidRPr="00124E5B" w:rsidRDefault="001B3BFC" w:rsidP="007E1566">
            <w:pPr>
              <w:pStyle w:val="100"/>
              <w:snapToGrid w:val="0"/>
              <w:spacing w:line="240" w:lineRule="auto"/>
              <w:ind w:left="300" w:hanging="300"/>
              <w:jc w:val="center"/>
              <w:rPr>
                <w:rFonts w:eastAsia="Times New Roman"/>
                <w:spacing w:val="0"/>
              </w:rPr>
            </w:pPr>
            <w:r w:rsidRPr="00006C9D">
              <w:rPr>
                <w:rFonts w:eastAsia="Times New Roman"/>
                <w:spacing w:val="0"/>
              </w:rPr>
              <w:t>62</w:t>
            </w:r>
            <w:r w:rsidR="007E1566">
              <w:rPr>
                <w:rFonts w:eastAsia="Times New Roman"/>
                <w:spacing w:val="0"/>
              </w:rPr>
              <w:t xml:space="preserve"> </w:t>
            </w:r>
            <w:r w:rsidRPr="00006C9D">
              <w:rPr>
                <w:rFonts w:eastAsia="Times New Roman"/>
                <w:spacing w:val="0"/>
              </w:rPr>
              <w:t>700</w:t>
            </w:r>
          </w:p>
        </w:tc>
        <w:tc>
          <w:tcPr>
            <w:tcW w:w="2403" w:type="dxa"/>
            <w:tcBorders>
              <w:top w:val="nil"/>
              <w:left w:val="nil"/>
              <w:bottom w:val="nil"/>
              <w:right w:val="nil"/>
            </w:tcBorders>
            <w:vAlign w:val="bottom"/>
          </w:tcPr>
          <w:p w14:paraId="2C7C251B" w14:textId="0862301E" w:rsidR="001B3BFC" w:rsidRDefault="001B3BFC" w:rsidP="007E1566">
            <w:pPr>
              <w:pStyle w:val="100"/>
              <w:snapToGrid w:val="0"/>
              <w:spacing w:before="0" w:line="240" w:lineRule="auto"/>
              <w:ind w:left="300" w:hanging="300"/>
              <w:jc w:val="center"/>
              <w:rPr>
                <w:rFonts w:eastAsia="Times New Roman"/>
                <w:spacing w:val="0"/>
              </w:rPr>
            </w:pPr>
            <w:r w:rsidRPr="00006C9D">
              <w:rPr>
                <w:rFonts w:eastAsia="Times New Roman"/>
                <w:spacing w:val="0"/>
              </w:rPr>
              <w:t>1</w:t>
            </w:r>
            <w:r w:rsidR="007E1566">
              <w:rPr>
                <w:rFonts w:eastAsia="Times New Roman"/>
                <w:spacing w:val="0"/>
              </w:rPr>
              <w:t xml:space="preserve"> </w:t>
            </w:r>
            <w:r w:rsidRPr="00006C9D">
              <w:rPr>
                <w:rFonts w:eastAsia="Times New Roman"/>
                <w:spacing w:val="0"/>
              </w:rPr>
              <w:t>800</w:t>
            </w:r>
          </w:p>
        </w:tc>
      </w:tr>
      <w:tr w:rsidR="001B3BFC" w:rsidRPr="00124E5B" w14:paraId="3A5C1527" w14:textId="77777777" w:rsidTr="00B02813">
        <w:trPr>
          <w:trHeight w:val="340"/>
        </w:trPr>
        <w:tc>
          <w:tcPr>
            <w:tcW w:w="1698" w:type="dxa"/>
            <w:tcBorders>
              <w:top w:val="nil"/>
              <w:left w:val="nil"/>
              <w:bottom w:val="nil"/>
              <w:right w:val="nil"/>
            </w:tcBorders>
            <w:shd w:val="clear" w:color="auto" w:fill="auto"/>
            <w:noWrap/>
            <w:vAlign w:val="bottom"/>
          </w:tcPr>
          <w:p w14:paraId="201706BD"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2E6A5674" w14:textId="77777777" w:rsidR="001B3BFC" w:rsidRPr="0025322B" w:rsidRDefault="001B3BFC" w:rsidP="007E1566">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40837928" w14:textId="39DC9D21" w:rsidR="001B3BFC" w:rsidRPr="00124E5B" w:rsidRDefault="001B3BFC" w:rsidP="007E1566">
            <w:pPr>
              <w:pStyle w:val="100"/>
              <w:snapToGrid w:val="0"/>
              <w:spacing w:line="240" w:lineRule="auto"/>
              <w:ind w:left="300" w:hanging="300"/>
              <w:jc w:val="center"/>
              <w:rPr>
                <w:rFonts w:eastAsia="Times New Roman"/>
                <w:spacing w:val="0"/>
              </w:rPr>
            </w:pPr>
            <w:r w:rsidRPr="00006C9D">
              <w:rPr>
                <w:rFonts w:eastAsia="Times New Roman"/>
                <w:spacing w:val="0"/>
              </w:rPr>
              <w:t>164</w:t>
            </w:r>
            <w:r w:rsidR="007E1566">
              <w:rPr>
                <w:rFonts w:eastAsia="Times New Roman"/>
                <w:spacing w:val="0"/>
              </w:rPr>
              <w:t xml:space="preserve"> </w:t>
            </w:r>
            <w:r w:rsidRPr="00006C9D">
              <w:rPr>
                <w:rFonts w:eastAsia="Times New Roman"/>
                <w:spacing w:val="0"/>
              </w:rPr>
              <w:t>600</w:t>
            </w:r>
          </w:p>
        </w:tc>
        <w:tc>
          <w:tcPr>
            <w:tcW w:w="2403" w:type="dxa"/>
            <w:tcBorders>
              <w:top w:val="nil"/>
              <w:left w:val="nil"/>
              <w:bottom w:val="nil"/>
              <w:right w:val="nil"/>
            </w:tcBorders>
            <w:vAlign w:val="bottom"/>
          </w:tcPr>
          <w:p w14:paraId="0ECBC548" w14:textId="77777777" w:rsidR="001B3BFC" w:rsidRDefault="001B3BFC" w:rsidP="007E1566">
            <w:pPr>
              <w:pStyle w:val="100"/>
              <w:snapToGrid w:val="0"/>
              <w:spacing w:before="0" w:line="240" w:lineRule="auto"/>
              <w:ind w:left="300" w:hanging="300"/>
              <w:jc w:val="center"/>
              <w:rPr>
                <w:rFonts w:eastAsia="Times New Roman"/>
                <w:spacing w:val="0"/>
              </w:rPr>
            </w:pPr>
            <w:r w:rsidRPr="00006C9D">
              <w:rPr>
                <w:rFonts w:eastAsia="Times New Roman"/>
                <w:spacing w:val="0"/>
              </w:rPr>
              <w:t>9 100</w:t>
            </w:r>
          </w:p>
        </w:tc>
      </w:tr>
      <w:tr w:rsidR="001B3BFC" w:rsidRPr="00124E5B" w14:paraId="2E3135D8" w14:textId="77777777" w:rsidTr="00B02813">
        <w:trPr>
          <w:trHeight w:val="340"/>
        </w:trPr>
        <w:tc>
          <w:tcPr>
            <w:tcW w:w="1698" w:type="dxa"/>
            <w:tcBorders>
              <w:top w:val="nil"/>
              <w:left w:val="nil"/>
              <w:bottom w:val="nil"/>
              <w:right w:val="nil"/>
            </w:tcBorders>
            <w:shd w:val="clear" w:color="auto" w:fill="auto"/>
            <w:noWrap/>
            <w:vAlign w:val="bottom"/>
          </w:tcPr>
          <w:p w14:paraId="79A44345"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2DB5A08F" w14:textId="77777777" w:rsidR="001B3BFC" w:rsidRPr="0025322B" w:rsidRDefault="001B3BFC" w:rsidP="007E1566">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2BDD5668" w14:textId="5F84D799" w:rsidR="001B3BFC" w:rsidRPr="00124E5B" w:rsidRDefault="001B3BFC" w:rsidP="007E1566">
            <w:pPr>
              <w:pStyle w:val="100"/>
              <w:snapToGrid w:val="0"/>
              <w:spacing w:line="240" w:lineRule="auto"/>
              <w:ind w:left="300" w:hanging="300"/>
              <w:jc w:val="center"/>
              <w:rPr>
                <w:rFonts w:eastAsia="Times New Roman"/>
                <w:spacing w:val="0"/>
              </w:rPr>
            </w:pPr>
            <w:r w:rsidRPr="00006C9D">
              <w:rPr>
                <w:rFonts w:eastAsia="Times New Roman"/>
                <w:spacing w:val="0"/>
              </w:rPr>
              <w:t>329</w:t>
            </w:r>
            <w:r w:rsidR="007E1566">
              <w:rPr>
                <w:rFonts w:eastAsia="Times New Roman"/>
                <w:spacing w:val="0"/>
              </w:rPr>
              <w:t xml:space="preserve"> </w:t>
            </w:r>
            <w:r w:rsidRPr="00006C9D">
              <w:rPr>
                <w:rFonts w:eastAsia="Times New Roman"/>
                <w:spacing w:val="0"/>
              </w:rPr>
              <w:t>800</w:t>
            </w:r>
          </w:p>
        </w:tc>
        <w:tc>
          <w:tcPr>
            <w:tcW w:w="2403" w:type="dxa"/>
            <w:tcBorders>
              <w:top w:val="nil"/>
              <w:left w:val="nil"/>
              <w:bottom w:val="nil"/>
              <w:right w:val="nil"/>
            </w:tcBorders>
            <w:vAlign w:val="bottom"/>
          </w:tcPr>
          <w:p w14:paraId="6548A00E" w14:textId="064FF5E8" w:rsidR="001B3BFC" w:rsidRDefault="001B3BFC" w:rsidP="007E1566">
            <w:pPr>
              <w:pStyle w:val="100"/>
              <w:snapToGrid w:val="0"/>
              <w:spacing w:before="0" w:line="240" w:lineRule="auto"/>
              <w:ind w:left="300" w:hanging="300"/>
              <w:jc w:val="center"/>
              <w:rPr>
                <w:rFonts w:eastAsia="Times New Roman"/>
                <w:spacing w:val="0"/>
              </w:rPr>
            </w:pPr>
            <w:r w:rsidRPr="00006C9D">
              <w:rPr>
                <w:rFonts w:eastAsia="Times New Roman"/>
                <w:spacing w:val="0"/>
              </w:rPr>
              <w:t>25</w:t>
            </w:r>
            <w:r w:rsidR="007E1566">
              <w:rPr>
                <w:rFonts w:eastAsia="Times New Roman"/>
                <w:spacing w:val="0"/>
              </w:rPr>
              <w:t xml:space="preserve"> </w:t>
            </w:r>
            <w:r w:rsidRPr="00006C9D">
              <w:rPr>
                <w:rFonts w:eastAsia="Times New Roman"/>
                <w:spacing w:val="0"/>
              </w:rPr>
              <w:t>100</w:t>
            </w:r>
          </w:p>
        </w:tc>
      </w:tr>
      <w:tr w:rsidR="001B3BFC" w:rsidRPr="00124E5B" w14:paraId="7EEC50D0" w14:textId="77777777" w:rsidTr="00B02813">
        <w:trPr>
          <w:trHeight w:val="340"/>
        </w:trPr>
        <w:tc>
          <w:tcPr>
            <w:tcW w:w="1698" w:type="dxa"/>
            <w:tcBorders>
              <w:top w:val="nil"/>
              <w:left w:val="nil"/>
              <w:bottom w:val="nil"/>
              <w:right w:val="nil"/>
            </w:tcBorders>
            <w:shd w:val="clear" w:color="auto" w:fill="auto"/>
            <w:noWrap/>
            <w:vAlign w:val="bottom"/>
          </w:tcPr>
          <w:p w14:paraId="30EB6381" w14:textId="77777777" w:rsidR="001B3BFC" w:rsidRPr="00124E5B" w:rsidRDefault="001B3BFC" w:rsidP="007E1566">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51552301" w14:textId="77777777" w:rsidR="001B3BFC" w:rsidRPr="0025322B" w:rsidRDefault="001B3BFC" w:rsidP="007E1566">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4A2CC0B8" w14:textId="77777777" w:rsidR="001B3BFC" w:rsidRPr="00124E5B" w:rsidRDefault="001B3BFC" w:rsidP="007E1566">
            <w:pPr>
              <w:pStyle w:val="100"/>
              <w:snapToGrid w:val="0"/>
              <w:spacing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31EA2724" w14:textId="77777777" w:rsidR="001B3BFC" w:rsidRDefault="001B3BFC" w:rsidP="007E1566">
            <w:pPr>
              <w:pStyle w:val="100"/>
              <w:snapToGrid w:val="0"/>
              <w:spacing w:before="0" w:line="240" w:lineRule="auto"/>
              <w:ind w:left="300" w:hanging="300"/>
              <w:jc w:val="center"/>
              <w:rPr>
                <w:rFonts w:eastAsia="Times New Roman"/>
                <w:spacing w:val="0"/>
              </w:rPr>
            </w:pPr>
          </w:p>
        </w:tc>
      </w:tr>
      <w:tr w:rsidR="001B3BFC" w:rsidRPr="00124E5B" w14:paraId="6A375A1B" w14:textId="77777777" w:rsidTr="00B02813">
        <w:trPr>
          <w:trHeight w:val="340"/>
        </w:trPr>
        <w:tc>
          <w:tcPr>
            <w:tcW w:w="1698" w:type="dxa"/>
            <w:tcBorders>
              <w:top w:val="nil"/>
              <w:left w:val="nil"/>
              <w:bottom w:val="nil"/>
              <w:right w:val="nil"/>
            </w:tcBorders>
            <w:shd w:val="clear" w:color="auto" w:fill="auto"/>
            <w:noWrap/>
            <w:vAlign w:val="bottom"/>
          </w:tcPr>
          <w:p w14:paraId="4AE5395E" w14:textId="77777777" w:rsidR="001B3BFC" w:rsidRPr="00124E5B" w:rsidRDefault="001B3BFC" w:rsidP="007E1566">
            <w:pPr>
              <w:pStyle w:val="100"/>
              <w:snapToGrid w:val="0"/>
              <w:spacing w:before="0" w:line="240" w:lineRule="auto"/>
              <w:ind w:left="300" w:hanging="300"/>
              <w:rPr>
                <w:spacing w:val="0"/>
              </w:rPr>
            </w:pPr>
            <w:r>
              <w:rPr>
                <w:rFonts w:hint="eastAsia"/>
                <w:spacing w:val="0"/>
                <w:lang w:eastAsia="zh-HK"/>
              </w:rPr>
              <w:t>二零二三年</w:t>
            </w:r>
          </w:p>
        </w:tc>
        <w:tc>
          <w:tcPr>
            <w:tcW w:w="1491" w:type="dxa"/>
            <w:tcBorders>
              <w:top w:val="nil"/>
              <w:left w:val="nil"/>
              <w:bottom w:val="nil"/>
              <w:right w:val="nil"/>
            </w:tcBorders>
            <w:shd w:val="clear" w:color="auto" w:fill="auto"/>
            <w:noWrap/>
            <w:vAlign w:val="bottom"/>
          </w:tcPr>
          <w:p w14:paraId="56D6A416" w14:textId="77777777" w:rsidR="001B3BFC" w:rsidRPr="0025322B" w:rsidRDefault="001B3BFC" w:rsidP="007E1566">
            <w:pPr>
              <w:pStyle w:val="100"/>
              <w:snapToGrid w:val="0"/>
              <w:spacing w:before="0" w:line="240" w:lineRule="auto"/>
              <w:ind w:left="300" w:hanging="300"/>
              <w:rPr>
                <w:spacing w:val="0"/>
              </w:rPr>
            </w:pPr>
            <w:r>
              <w:rPr>
                <w:rFonts w:hint="eastAsia"/>
                <w:spacing w:val="0"/>
                <w:lang w:eastAsia="zh-HK"/>
              </w:rPr>
              <w:t>第一季</w:t>
            </w:r>
          </w:p>
        </w:tc>
        <w:tc>
          <w:tcPr>
            <w:tcW w:w="2403" w:type="dxa"/>
            <w:tcBorders>
              <w:top w:val="nil"/>
              <w:left w:val="nil"/>
              <w:bottom w:val="nil"/>
              <w:right w:val="nil"/>
            </w:tcBorders>
            <w:vAlign w:val="bottom"/>
          </w:tcPr>
          <w:p w14:paraId="0361D123" w14:textId="4ECE9B3E" w:rsidR="001B3BFC" w:rsidRPr="00124E5B" w:rsidRDefault="007E1566">
            <w:pPr>
              <w:pStyle w:val="100"/>
              <w:snapToGrid w:val="0"/>
              <w:spacing w:line="240" w:lineRule="auto"/>
              <w:ind w:left="300" w:hanging="300"/>
              <w:jc w:val="center"/>
              <w:rPr>
                <w:rFonts w:eastAsia="Times New Roman"/>
                <w:spacing w:val="0"/>
              </w:rPr>
            </w:pPr>
            <w:r>
              <w:rPr>
                <w:rFonts w:eastAsia="Times New Roman"/>
                <w:spacing w:val="0"/>
              </w:rPr>
              <w:t>2 340 400</w:t>
            </w:r>
          </w:p>
        </w:tc>
        <w:tc>
          <w:tcPr>
            <w:tcW w:w="2403" w:type="dxa"/>
            <w:tcBorders>
              <w:top w:val="nil"/>
              <w:left w:val="nil"/>
              <w:bottom w:val="nil"/>
              <w:right w:val="nil"/>
            </w:tcBorders>
            <w:vAlign w:val="bottom"/>
          </w:tcPr>
          <w:p w14:paraId="5AA0E9D4" w14:textId="4A8058CF" w:rsidR="001B3BFC" w:rsidRDefault="007E1566">
            <w:pPr>
              <w:pStyle w:val="100"/>
              <w:snapToGrid w:val="0"/>
              <w:spacing w:before="0" w:line="240" w:lineRule="auto"/>
              <w:ind w:left="300" w:hanging="300"/>
              <w:jc w:val="center"/>
              <w:rPr>
                <w:rFonts w:eastAsia="Times New Roman"/>
                <w:spacing w:val="0"/>
              </w:rPr>
            </w:pPr>
            <w:r>
              <w:rPr>
                <w:rFonts w:eastAsia="Times New Roman"/>
                <w:spacing w:val="0"/>
              </w:rPr>
              <w:t>2 074 400</w:t>
            </w:r>
          </w:p>
        </w:tc>
      </w:tr>
      <w:tr w:rsidR="00ED6756" w:rsidRPr="00124E5B" w14:paraId="30147403" w14:textId="77777777" w:rsidTr="00B02813">
        <w:trPr>
          <w:trHeight w:val="340"/>
        </w:trPr>
        <w:tc>
          <w:tcPr>
            <w:tcW w:w="1698" w:type="dxa"/>
            <w:tcBorders>
              <w:top w:val="nil"/>
              <w:left w:val="nil"/>
              <w:bottom w:val="nil"/>
              <w:right w:val="nil"/>
            </w:tcBorders>
            <w:shd w:val="clear" w:color="auto" w:fill="auto"/>
            <w:noWrap/>
            <w:vAlign w:val="bottom"/>
          </w:tcPr>
          <w:p w14:paraId="76C5454A" w14:textId="77777777" w:rsidR="00ED6756" w:rsidRDefault="00ED6756" w:rsidP="007E1566">
            <w:pPr>
              <w:pStyle w:val="100"/>
              <w:snapToGrid w:val="0"/>
              <w:spacing w:before="0" w:line="240" w:lineRule="auto"/>
              <w:ind w:left="300" w:hanging="300"/>
              <w:rPr>
                <w:spacing w:val="0"/>
                <w:lang w:eastAsia="zh-HK"/>
              </w:rPr>
            </w:pPr>
          </w:p>
        </w:tc>
        <w:tc>
          <w:tcPr>
            <w:tcW w:w="1491" w:type="dxa"/>
            <w:tcBorders>
              <w:top w:val="nil"/>
              <w:left w:val="nil"/>
              <w:bottom w:val="nil"/>
              <w:right w:val="nil"/>
            </w:tcBorders>
            <w:shd w:val="clear" w:color="auto" w:fill="auto"/>
            <w:noWrap/>
            <w:vAlign w:val="bottom"/>
          </w:tcPr>
          <w:p w14:paraId="0900222B" w14:textId="77777777" w:rsidR="00ED6756" w:rsidRDefault="00ED6756" w:rsidP="007E1566">
            <w:pPr>
              <w:pStyle w:val="100"/>
              <w:snapToGrid w:val="0"/>
              <w:spacing w:before="0" w:line="240" w:lineRule="auto"/>
              <w:ind w:left="300" w:hanging="300"/>
              <w:rPr>
                <w:spacing w:val="0"/>
                <w:lang w:eastAsia="zh-HK"/>
              </w:rPr>
            </w:pPr>
          </w:p>
        </w:tc>
        <w:tc>
          <w:tcPr>
            <w:tcW w:w="2403" w:type="dxa"/>
            <w:tcBorders>
              <w:top w:val="nil"/>
              <w:left w:val="nil"/>
              <w:bottom w:val="nil"/>
              <w:right w:val="nil"/>
            </w:tcBorders>
            <w:vAlign w:val="bottom"/>
          </w:tcPr>
          <w:p w14:paraId="652B8FE1" w14:textId="77777777" w:rsidR="00ED6756" w:rsidRDefault="00ED6756">
            <w:pPr>
              <w:pStyle w:val="100"/>
              <w:snapToGrid w:val="0"/>
              <w:spacing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533B96C9" w14:textId="77777777" w:rsidR="00ED6756" w:rsidRDefault="00ED6756">
            <w:pPr>
              <w:pStyle w:val="100"/>
              <w:snapToGrid w:val="0"/>
              <w:spacing w:before="0" w:line="240" w:lineRule="auto"/>
              <w:ind w:left="300" w:hanging="300"/>
              <w:jc w:val="center"/>
              <w:rPr>
                <w:rFonts w:eastAsia="Times New Roman"/>
                <w:spacing w:val="0"/>
              </w:rPr>
            </w:pPr>
          </w:p>
        </w:tc>
      </w:tr>
    </w:tbl>
    <w:p w14:paraId="6888B3D2" w14:textId="77777777" w:rsidR="001B3BFC" w:rsidRPr="00124E5B" w:rsidRDefault="001B3BFC" w:rsidP="00B02813">
      <w:pPr>
        <w:pStyle w:val="aff8"/>
        <w:tabs>
          <w:tab w:val="clear" w:pos="720"/>
        </w:tabs>
        <w:spacing w:before="180"/>
        <w:ind w:left="966" w:firstLine="0"/>
        <w:rPr>
          <w:lang w:eastAsia="zh-HK"/>
        </w:rPr>
      </w:pPr>
      <w:r w:rsidRPr="00124E5B">
        <w:rPr>
          <w:rFonts w:hint="eastAsia"/>
          <w:lang w:eastAsia="zh-HK"/>
        </w:rPr>
        <w:t>註：</w:t>
      </w:r>
      <w:r w:rsidRPr="00124E5B">
        <w:tab/>
      </w:r>
      <w:r w:rsidRPr="00124E5B">
        <w:rPr>
          <w:rFonts w:hint="eastAsia"/>
          <w:lang w:eastAsia="zh-HK"/>
        </w:rPr>
        <w:t>由</w:t>
      </w:r>
      <w:r w:rsidRPr="00124E5B">
        <w:rPr>
          <w:rFonts w:hint="eastAsia"/>
        </w:rPr>
        <w:t>於</w:t>
      </w:r>
      <w:r w:rsidRPr="00124E5B">
        <w:rPr>
          <w:rFonts w:hint="eastAsia"/>
          <w:lang w:eastAsia="zh-HK"/>
        </w:rPr>
        <w:t>進位關</w:t>
      </w:r>
      <w:r w:rsidRPr="00124E5B">
        <w:rPr>
          <w:rFonts w:hint="eastAsia"/>
        </w:rPr>
        <w:t>係</w:t>
      </w:r>
      <w:r w:rsidRPr="00124E5B">
        <w:rPr>
          <w:rFonts w:hint="eastAsia"/>
          <w:lang w:eastAsia="zh-HK"/>
        </w:rPr>
        <w:t>，數</w:t>
      </w:r>
      <w:r w:rsidRPr="00124E5B">
        <w:rPr>
          <w:rFonts w:hint="eastAsia"/>
        </w:rPr>
        <w:t>字</w:t>
      </w:r>
      <w:r w:rsidRPr="00124E5B">
        <w:rPr>
          <w:rFonts w:hint="eastAsia"/>
          <w:lang w:eastAsia="zh-HK"/>
        </w:rPr>
        <w:t>相加未必等於訪港旅</w:t>
      </w:r>
      <w:r w:rsidRPr="00124E5B">
        <w:rPr>
          <w:rFonts w:hint="eastAsia"/>
        </w:rPr>
        <w:t>客</w:t>
      </w:r>
      <w:r w:rsidRPr="00124E5B">
        <w:rPr>
          <w:rFonts w:hint="eastAsia"/>
          <w:lang w:eastAsia="zh-HK"/>
        </w:rPr>
        <w:t>總人次。</w:t>
      </w:r>
    </w:p>
    <w:p w14:paraId="5F675C59" w14:textId="77777777" w:rsidR="001B3BFC" w:rsidRPr="00114216" w:rsidRDefault="001B3BFC" w:rsidP="00B02813">
      <w:pPr>
        <w:rPr>
          <w:lang w:eastAsia="zh-HK"/>
        </w:rPr>
      </w:pPr>
    </w:p>
    <w:p w14:paraId="1B4EB31A" w14:textId="757C4605" w:rsidR="001B3BFC" w:rsidRPr="0049633D" w:rsidRDefault="001B3BFC" w:rsidP="006E4C04">
      <w:r>
        <w:rPr>
          <w:b/>
        </w:rPr>
        <w:t>3.16</w:t>
      </w:r>
      <w:r w:rsidRPr="001B576E">
        <w:tab/>
      </w:r>
      <w:r w:rsidRPr="001B576E">
        <w:t>酒店業</w:t>
      </w:r>
      <w:r>
        <w:rPr>
          <w:rFonts w:hint="eastAsia"/>
          <w:lang w:eastAsia="zh-HK"/>
        </w:rPr>
        <w:t>隨之明顯復蘇</w:t>
      </w:r>
      <w:r w:rsidR="005639AC">
        <w:rPr>
          <w:rFonts w:hint="eastAsia"/>
        </w:rPr>
        <w:t>。</w:t>
      </w:r>
      <w:r w:rsidRPr="001B576E">
        <w:t>酒店房間平均入住率</w:t>
      </w:r>
      <w:r>
        <w:rPr>
          <w:rFonts w:hint="eastAsia"/>
          <w:lang w:eastAsia="zh-HK"/>
        </w:rPr>
        <w:t>由二零二二年第四季的</w:t>
      </w:r>
      <w:r>
        <w:rPr>
          <w:rFonts w:hint="eastAsia"/>
        </w:rPr>
        <w:t>66%</w:t>
      </w:r>
      <w:r>
        <w:rPr>
          <w:rFonts w:hint="eastAsia"/>
          <w:lang w:eastAsia="zh-HK"/>
        </w:rPr>
        <w:t>上升至</w:t>
      </w:r>
      <w:r w:rsidR="00662263" w:rsidRPr="00662263">
        <w:rPr>
          <w:rFonts w:hint="eastAsia"/>
          <w:lang w:eastAsia="zh-HK"/>
        </w:rPr>
        <w:t>二零二三年</w:t>
      </w:r>
      <w:r>
        <w:rPr>
          <w:rFonts w:hint="eastAsia"/>
          <w:lang w:eastAsia="zh-HK"/>
        </w:rPr>
        <w:t>第一季</w:t>
      </w:r>
      <w:r w:rsidR="00983B28" w:rsidRPr="00983B28">
        <w:rPr>
          <w:rFonts w:hint="eastAsia"/>
          <w:lang w:eastAsia="zh-HK"/>
        </w:rPr>
        <w:t>的</w:t>
      </w:r>
      <w:r w:rsidR="007E1566">
        <w:rPr>
          <w:rFonts w:hint="eastAsia"/>
        </w:rPr>
        <w:t>7</w:t>
      </w:r>
      <w:r w:rsidR="007E1566">
        <w:t>6</w:t>
      </w:r>
      <w:r>
        <w:t>%</w:t>
      </w:r>
      <w:r>
        <w:rPr>
          <w:rFonts w:hint="eastAsia"/>
        </w:rPr>
        <w:t>。</w:t>
      </w:r>
      <w:r>
        <w:rPr>
          <w:rFonts w:hint="eastAsia"/>
          <w:lang w:eastAsia="zh-HK"/>
        </w:rPr>
        <w:t>儘管如此</w:t>
      </w:r>
      <w:r>
        <w:rPr>
          <w:rFonts w:hint="eastAsia"/>
        </w:rPr>
        <w:t>，</w:t>
      </w:r>
      <w:r>
        <w:rPr>
          <w:rFonts w:hint="eastAsia"/>
          <w:lang w:eastAsia="zh-HK"/>
        </w:rPr>
        <w:t>入住率仍</w:t>
      </w:r>
      <w:r>
        <w:rPr>
          <w:rFonts w:hint="eastAsia"/>
        </w:rPr>
        <w:t>低於二零一九年第二季經濟衰退前</w:t>
      </w:r>
      <w:r>
        <w:rPr>
          <w:rFonts w:hint="eastAsia"/>
        </w:rPr>
        <w:t>88%</w:t>
      </w:r>
      <w:r>
        <w:rPr>
          <w:rFonts w:hint="eastAsia"/>
        </w:rPr>
        <w:t>的水平。</w:t>
      </w:r>
      <w:r w:rsidRPr="001B576E">
        <w:t>酒店實際平均房租按年</w:t>
      </w:r>
      <w:r>
        <w:rPr>
          <w:rFonts w:hint="eastAsia"/>
        </w:rPr>
        <w:t>上升</w:t>
      </w:r>
      <w:r w:rsidR="00C42B6D">
        <w:t>21.0</w:t>
      </w:r>
      <w:r w:rsidRPr="0072734B">
        <w:rPr>
          <w:rFonts w:hint="eastAsia"/>
        </w:rPr>
        <w:t>%</w:t>
      </w:r>
      <w:r w:rsidRPr="001B576E">
        <w:t>至</w:t>
      </w:r>
      <w:r w:rsidR="004210C4">
        <w:t>1,</w:t>
      </w:r>
      <w:r w:rsidR="00C42B6D">
        <w:t>200</w:t>
      </w:r>
      <w:r>
        <w:rPr>
          <w:rFonts w:hint="eastAsia"/>
        </w:rPr>
        <w:t>元</w:t>
      </w:r>
      <w:r w:rsidRPr="0072734B">
        <w:rPr>
          <w:vertAlign w:val="superscript"/>
        </w:rPr>
        <w:t>(5)</w:t>
      </w:r>
      <w:r>
        <w:rPr>
          <w:rFonts w:hint="eastAsia"/>
        </w:rPr>
        <w:t>。</w:t>
      </w:r>
    </w:p>
    <w:p w14:paraId="4922A135" w14:textId="77777777" w:rsidR="001B3BFC" w:rsidRPr="004B530A" w:rsidRDefault="001B3BFC" w:rsidP="006E4C04">
      <w:pPr>
        <w:pStyle w:val="12"/>
      </w:pPr>
      <w:r w:rsidRPr="003F012A">
        <w:t>物流業</w:t>
      </w:r>
    </w:p>
    <w:p w14:paraId="508F40D3" w14:textId="03BCE601" w:rsidR="001B3BFC" w:rsidRDefault="001B3BFC" w:rsidP="006E4C04">
      <w:r w:rsidRPr="003F012A">
        <w:rPr>
          <w:rFonts w:hint="eastAsia"/>
          <w:b/>
        </w:rPr>
        <w:t>3.</w:t>
      </w:r>
      <w:r w:rsidRPr="003F012A">
        <w:rPr>
          <w:b/>
        </w:rPr>
        <w:t>1</w:t>
      </w:r>
      <w:r>
        <w:rPr>
          <w:b/>
          <w:lang w:eastAsia="zh-HK"/>
        </w:rPr>
        <w:t>7</w:t>
      </w:r>
      <w:r w:rsidRPr="003F012A">
        <w:rPr>
          <w:b/>
        </w:rPr>
        <w:tab/>
      </w:r>
      <w:r w:rsidR="005639AC">
        <w:rPr>
          <w:rFonts w:hint="eastAsia"/>
        </w:rPr>
        <w:t>由於</w:t>
      </w:r>
      <w:r w:rsidR="00450A59" w:rsidRPr="00450A59">
        <w:rPr>
          <w:rFonts w:hint="eastAsia"/>
        </w:rPr>
        <w:t>外貿疲弱</w:t>
      </w:r>
      <w:r>
        <w:rPr>
          <w:rFonts w:hint="eastAsia"/>
        </w:rPr>
        <w:t>，</w:t>
      </w:r>
      <w:r w:rsidRPr="003F012A">
        <w:rPr>
          <w:rFonts w:hint="eastAsia"/>
        </w:rPr>
        <w:t>物流業在第一季</w:t>
      </w:r>
      <w:r w:rsidR="00D10B4E" w:rsidRPr="00D10B4E">
        <w:rPr>
          <w:rFonts w:hint="eastAsia"/>
        </w:rPr>
        <w:t>進一步</w:t>
      </w:r>
      <w:r w:rsidR="00450A59" w:rsidRPr="00450A59">
        <w:rPr>
          <w:rFonts w:hint="eastAsia"/>
          <w:lang w:eastAsia="zh-HK"/>
        </w:rPr>
        <w:t>減</w:t>
      </w:r>
      <w:r w:rsidR="00D10B4E" w:rsidRPr="00922E6C">
        <w:rPr>
          <w:rFonts w:hint="eastAsia"/>
        </w:rPr>
        <w:t>弱</w:t>
      </w:r>
      <w:r>
        <w:rPr>
          <w:rFonts w:hint="eastAsia"/>
        </w:rPr>
        <w:t>。</w:t>
      </w:r>
      <w:r w:rsidRPr="00906824">
        <w:rPr>
          <w:rFonts w:hint="eastAsia"/>
          <w:i/>
        </w:rPr>
        <w:t>整體貨櫃吞吐量</w:t>
      </w:r>
      <w:r>
        <w:rPr>
          <w:rFonts w:hint="eastAsia"/>
        </w:rPr>
        <w:t>較一年前下跌</w:t>
      </w:r>
      <w:r w:rsidR="00DB3A08">
        <w:t>7.7</w:t>
      </w:r>
      <w:r>
        <w:rPr>
          <w:rFonts w:hint="eastAsia"/>
        </w:rPr>
        <w:t>%</w:t>
      </w:r>
      <w:r>
        <w:rPr>
          <w:rFonts w:hint="eastAsia"/>
        </w:rPr>
        <w:t>至</w:t>
      </w:r>
      <w:r w:rsidR="00DB3A08">
        <w:t>340</w:t>
      </w:r>
      <w:r>
        <w:rPr>
          <w:rFonts w:hint="eastAsia"/>
        </w:rPr>
        <w:t>萬</w:t>
      </w:r>
      <w:r w:rsidRPr="003F012A">
        <w:t>個二十呎標準貨櫃單位</w:t>
      </w:r>
      <w:r>
        <w:rPr>
          <w:rFonts w:hint="eastAsia"/>
        </w:rPr>
        <w:t>。</w:t>
      </w:r>
      <w:r>
        <w:rPr>
          <w:rFonts w:hint="eastAsia"/>
          <w:lang w:eastAsia="zh-HK"/>
        </w:rPr>
        <w:t>經</w:t>
      </w:r>
      <w:r w:rsidRPr="003F012A">
        <w:rPr>
          <w:rFonts w:hint="eastAsia"/>
        </w:rPr>
        <w:t>香港港口處理的貿易貨值</w:t>
      </w:r>
      <w:r>
        <w:rPr>
          <w:rFonts w:hint="eastAsia"/>
        </w:rPr>
        <w:t>減少</w:t>
      </w:r>
      <w:r w:rsidR="00DB3A08">
        <w:t>32.0</w:t>
      </w:r>
      <w:r w:rsidRPr="00A917A1">
        <w:t>%</w:t>
      </w:r>
      <w:r w:rsidRPr="003F012A">
        <w:rPr>
          <w:rFonts w:hint="eastAsia"/>
        </w:rPr>
        <w:t>，其佔貿易總值的份額由一年前的</w:t>
      </w:r>
      <w:r w:rsidRPr="003F012A">
        <w:rPr>
          <w:rFonts w:hint="eastAsia"/>
        </w:rPr>
        <w:t>1</w:t>
      </w:r>
      <w:r>
        <w:rPr>
          <w:rFonts w:hint="eastAsia"/>
        </w:rPr>
        <w:t>7</w:t>
      </w:r>
      <w:r w:rsidRPr="003F012A">
        <w:t>.</w:t>
      </w:r>
      <w:r>
        <w:rPr>
          <w:rFonts w:hint="eastAsia"/>
        </w:rPr>
        <w:t>1</w:t>
      </w:r>
      <w:r w:rsidRPr="003F012A">
        <w:rPr>
          <w:rFonts w:hint="eastAsia"/>
        </w:rPr>
        <w:t>%</w:t>
      </w:r>
      <w:r>
        <w:rPr>
          <w:rFonts w:hint="eastAsia"/>
        </w:rPr>
        <w:t>下跌至</w:t>
      </w:r>
      <w:r w:rsidR="00DB3A08">
        <w:t>13.7</w:t>
      </w:r>
      <w:r w:rsidRPr="00F96C41">
        <w:rPr>
          <w:rFonts w:hint="eastAsia"/>
        </w:rPr>
        <w:t>%</w:t>
      </w:r>
      <w:r w:rsidRPr="003F012A">
        <w:rPr>
          <w:rFonts w:hint="eastAsia"/>
        </w:rPr>
        <w:t>。</w:t>
      </w:r>
    </w:p>
    <w:p w14:paraId="57C7C052" w14:textId="35E45E72" w:rsidR="001B3BFC" w:rsidRDefault="00983B28" w:rsidP="007E1566">
      <w:r w:rsidRPr="00983B28">
        <w:rPr>
          <w:noProof/>
        </w:rPr>
        <w:lastRenderedPageBreak/>
        <w:drawing>
          <wp:inline distT="0" distB="0" distL="0" distR="0" wp14:anchorId="4A195AAF" wp14:editId="3EF1F9AA">
            <wp:extent cx="5760085" cy="35024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02475"/>
                    </a:xfrm>
                    <a:prstGeom prst="rect">
                      <a:avLst/>
                    </a:prstGeom>
                    <a:noFill/>
                    <a:ln>
                      <a:noFill/>
                    </a:ln>
                  </pic:spPr>
                </pic:pic>
              </a:graphicData>
            </a:graphic>
          </wp:inline>
        </w:drawing>
      </w:r>
    </w:p>
    <w:p w14:paraId="575E377F" w14:textId="719CD54F" w:rsidR="001B3BFC" w:rsidRDefault="001B3BFC" w:rsidP="006E4C04">
      <w:r w:rsidRPr="008A7F8A">
        <w:rPr>
          <w:b/>
        </w:rPr>
        <w:t>3.1</w:t>
      </w:r>
      <w:r>
        <w:rPr>
          <w:b/>
          <w:lang w:eastAsia="zh-HK"/>
        </w:rPr>
        <w:t>8</w:t>
      </w:r>
      <w:r w:rsidRPr="008A7F8A">
        <w:tab/>
      </w:r>
      <w:r w:rsidRPr="008A7F8A">
        <w:rPr>
          <w:iCs/>
        </w:rPr>
        <w:t>同樣，</w:t>
      </w:r>
      <w:r w:rsidRPr="008A7F8A">
        <w:rPr>
          <w:i/>
        </w:rPr>
        <w:t>空運吞吐量</w:t>
      </w:r>
      <w:r w:rsidRPr="003F012A">
        <w:rPr>
          <w:rFonts w:hint="eastAsia"/>
        </w:rPr>
        <w:t>在第一季</w:t>
      </w:r>
      <w:r w:rsidRPr="008A7F8A">
        <w:t>按年</w:t>
      </w:r>
      <w:r w:rsidRPr="008A7F8A">
        <w:rPr>
          <w:iCs/>
        </w:rPr>
        <w:t>下跌</w:t>
      </w:r>
      <w:r>
        <w:rPr>
          <w:rFonts w:hint="eastAsia"/>
          <w:iCs/>
        </w:rPr>
        <w:t>6.</w:t>
      </w:r>
      <w:r w:rsidR="00DB3A08">
        <w:rPr>
          <w:iCs/>
        </w:rPr>
        <w:t>4</w:t>
      </w:r>
      <w:r w:rsidRPr="008A7F8A">
        <w:t>%</w:t>
      </w:r>
      <w:r w:rsidRPr="008A7F8A">
        <w:t>至</w:t>
      </w:r>
      <w:r>
        <w:rPr>
          <w:rFonts w:hint="eastAsia"/>
        </w:rPr>
        <w:t>90</w:t>
      </w:r>
      <w:r w:rsidRPr="008A7F8A">
        <w:t>萬公噸。空運貿易</w:t>
      </w:r>
      <w:r w:rsidRPr="008A7F8A">
        <w:rPr>
          <w:lang w:eastAsia="zh-HK"/>
        </w:rPr>
        <w:t>貨</w:t>
      </w:r>
      <w:r w:rsidRPr="008A7F8A">
        <w:t>值</w:t>
      </w:r>
      <w:r>
        <w:rPr>
          <w:rFonts w:hint="eastAsia"/>
        </w:rPr>
        <w:t>減少</w:t>
      </w:r>
      <w:r w:rsidR="00DB3A08">
        <w:t>14.5</w:t>
      </w:r>
      <w:r w:rsidRPr="008A7F8A">
        <w:t>%</w:t>
      </w:r>
      <w:r w:rsidRPr="008A7F8A">
        <w:t>，其佔貿易總值的份額</w:t>
      </w:r>
      <w:r w:rsidR="00DB3A08" w:rsidRPr="00DB3A08">
        <w:rPr>
          <w:rFonts w:hint="eastAsia"/>
        </w:rPr>
        <w:t>則</w:t>
      </w:r>
      <w:r w:rsidRPr="008A7F8A">
        <w:t>由一年前的</w:t>
      </w:r>
      <w:r w:rsidRPr="008A7F8A">
        <w:t>4</w:t>
      </w:r>
      <w:r>
        <w:t>7</w:t>
      </w:r>
      <w:r w:rsidRPr="008A7F8A">
        <w:t>.</w:t>
      </w:r>
      <w:r>
        <w:t>9</w:t>
      </w:r>
      <w:r w:rsidRPr="008A7F8A">
        <w:t>%</w:t>
      </w:r>
      <w:r w:rsidRPr="003809C4">
        <w:rPr>
          <w:rFonts w:hint="eastAsia"/>
        </w:rPr>
        <w:t>微</w:t>
      </w:r>
      <w:r w:rsidR="00DB3A08" w:rsidRPr="00DB3A08">
        <w:rPr>
          <w:rFonts w:hint="eastAsia"/>
        </w:rPr>
        <w:t>升</w:t>
      </w:r>
      <w:r w:rsidRPr="008A7F8A">
        <w:t>至</w:t>
      </w:r>
      <w:r w:rsidR="00DB3A08">
        <w:t>48.2</w:t>
      </w:r>
      <w:r w:rsidRPr="008A7F8A">
        <w:t>%</w:t>
      </w:r>
      <w:r w:rsidRPr="003F012A">
        <w:rPr>
          <w:rFonts w:hint="eastAsia"/>
        </w:rPr>
        <w:t>。</w:t>
      </w:r>
    </w:p>
    <w:p w14:paraId="4807C97B" w14:textId="7EE7F425" w:rsidR="001B3BFC" w:rsidRDefault="00983B28" w:rsidP="007B7655">
      <w:r w:rsidRPr="00983B28">
        <w:rPr>
          <w:noProof/>
        </w:rPr>
        <w:drawing>
          <wp:inline distT="0" distB="0" distL="0" distR="0" wp14:anchorId="7DDD5CF0" wp14:editId="705B1F1A">
            <wp:extent cx="5760085" cy="3504257"/>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04257"/>
                    </a:xfrm>
                    <a:prstGeom prst="rect">
                      <a:avLst/>
                    </a:prstGeom>
                    <a:noFill/>
                    <a:ln>
                      <a:noFill/>
                    </a:ln>
                  </pic:spPr>
                </pic:pic>
              </a:graphicData>
            </a:graphic>
          </wp:inline>
        </w:drawing>
      </w:r>
    </w:p>
    <w:p w14:paraId="6DC94C06" w14:textId="77777777" w:rsidR="001B3BFC" w:rsidRPr="005C749C" w:rsidRDefault="001B3BFC" w:rsidP="006E4C04">
      <w:pPr>
        <w:pStyle w:val="12"/>
      </w:pPr>
      <w:r w:rsidRPr="005C749C">
        <w:rPr>
          <w:rFonts w:hint="eastAsia"/>
        </w:rPr>
        <w:lastRenderedPageBreak/>
        <w:t>運輸</w:t>
      </w:r>
    </w:p>
    <w:p w14:paraId="5E7661F0" w14:textId="2EBDED92" w:rsidR="001B3BFC" w:rsidRDefault="001B3BFC" w:rsidP="006E4C04">
      <w:pPr>
        <w:rPr>
          <w:lang w:eastAsia="zh-HK"/>
        </w:rPr>
      </w:pPr>
      <w:r w:rsidRPr="005C749C">
        <w:rPr>
          <w:b/>
        </w:rPr>
        <w:t>3.1</w:t>
      </w:r>
      <w:r>
        <w:rPr>
          <w:b/>
        </w:rPr>
        <w:t>9</w:t>
      </w:r>
      <w:r w:rsidRPr="005C749C">
        <w:tab/>
      </w:r>
      <w:r w:rsidRPr="005C749C">
        <w:rPr>
          <w:rFonts w:hint="eastAsia"/>
        </w:rPr>
        <w:t>所有模式的跨境</w:t>
      </w:r>
      <w:r w:rsidR="00450A59" w:rsidRPr="005C749C">
        <w:rPr>
          <w:rFonts w:hint="eastAsia"/>
        </w:rPr>
        <w:t>客運</w:t>
      </w:r>
      <w:r w:rsidRPr="005C749C">
        <w:rPr>
          <w:rFonts w:hint="eastAsia"/>
        </w:rPr>
        <w:t>交通流量</w:t>
      </w:r>
      <w:r w:rsidRPr="005C749C">
        <w:t>在</w:t>
      </w:r>
      <w:r w:rsidRPr="005C749C">
        <w:rPr>
          <w:rFonts w:hint="eastAsia"/>
        </w:rPr>
        <w:t>第一季</w:t>
      </w:r>
      <w:r w:rsidRPr="00F9381E">
        <w:rPr>
          <w:rFonts w:hint="eastAsia"/>
        </w:rPr>
        <w:t>強勁復蘇</w:t>
      </w:r>
      <w:r>
        <w:rPr>
          <w:rFonts w:hint="eastAsia"/>
          <w:lang w:eastAsia="zh-HK"/>
        </w:rPr>
        <w:t>。</w:t>
      </w:r>
      <w:r w:rsidRPr="005C749C">
        <w:t>航空客運量</w:t>
      </w:r>
      <w:r>
        <w:rPr>
          <w:rFonts w:hint="eastAsia"/>
        </w:rPr>
        <w:t>由</w:t>
      </w:r>
      <w:r>
        <w:rPr>
          <w:rFonts w:hint="eastAsia"/>
          <w:lang w:eastAsia="zh-HK"/>
        </w:rPr>
        <w:t>上一季</w:t>
      </w:r>
      <w:r w:rsidR="00983B28" w:rsidRPr="00983B28">
        <w:rPr>
          <w:rFonts w:hint="eastAsia"/>
          <w:lang w:eastAsia="zh-HK"/>
        </w:rPr>
        <w:t>的</w:t>
      </w:r>
      <w:r w:rsidR="004822FA">
        <w:rPr>
          <w:lang w:eastAsia="zh-HK"/>
        </w:rPr>
        <w:t>340</w:t>
      </w:r>
      <w:r w:rsidR="00E220D1">
        <w:rPr>
          <w:lang w:eastAsia="zh-HK"/>
        </w:rPr>
        <w:t> </w:t>
      </w:r>
      <w:r>
        <w:rPr>
          <w:rFonts w:hint="eastAsia"/>
        </w:rPr>
        <w:t>萬人次</w:t>
      </w:r>
      <w:r w:rsidR="00983B28" w:rsidRPr="00983B28">
        <w:rPr>
          <w:rFonts w:hint="eastAsia"/>
        </w:rPr>
        <w:t>躍</w:t>
      </w:r>
      <w:r>
        <w:rPr>
          <w:rFonts w:hint="eastAsia"/>
        </w:rPr>
        <w:t>升</w:t>
      </w:r>
      <w:r w:rsidR="004822FA">
        <w:t>105.4</w:t>
      </w:r>
      <w:r>
        <w:rPr>
          <w:rFonts w:hint="eastAsia"/>
        </w:rPr>
        <w:t>%</w:t>
      </w:r>
      <w:r>
        <w:rPr>
          <w:rFonts w:hint="eastAsia"/>
        </w:rPr>
        <w:t>至</w:t>
      </w:r>
      <w:r w:rsidR="004822FA">
        <w:t>700</w:t>
      </w:r>
      <w:r w:rsidR="00E220D1">
        <w:t> </w:t>
      </w:r>
      <w:r>
        <w:rPr>
          <w:rFonts w:hint="eastAsia"/>
        </w:rPr>
        <w:t>萬人次，</w:t>
      </w:r>
      <w:r w:rsidRPr="005C749C">
        <w:t>水路和陸路跨境客運量</w:t>
      </w:r>
      <w:r>
        <w:rPr>
          <w:rFonts w:hint="eastAsia"/>
          <w:lang w:eastAsia="zh-HK"/>
        </w:rPr>
        <w:t>亦分</w:t>
      </w:r>
      <w:r>
        <w:rPr>
          <w:rFonts w:hint="eastAsia"/>
        </w:rPr>
        <w:t>別</w:t>
      </w:r>
      <w:r>
        <w:rPr>
          <w:rFonts w:hint="eastAsia"/>
          <w:lang w:eastAsia="zh-HK"/>
        </w:rPr>
        <w:t>從</w:t>
      </w:r>
      <w:r>
        <w:rPr>
          <w:rFonts w:hint="eastAsia"/>
        </w:rPr>
        <w:t>9</w:t>
      </w:r>
      <w:r>
        <w:rPr>
          <w:lang w:eastAsia="zh-HK"/>
        </w:rPr>
        <w:t> </w:t>
      </w:r>
      <w:r>
        <w:rPr>
          <w:rFonts w:hint="eastAsia"/>
        </w:rPr>
        <w:t>200</w:t>
      </w:r>
      <w:r>
        <w:rPr>
          <w:rFonts w:hint="eastAsia"/>
          <w:lang w:eastAsia="zh-HK"/>
        </w:rPr>
        <w:t>人次和</w:t>
      </w:r>
      <w:r>
        <w:rPr>
          <w:rFonts w:hint="eastAsia"/>
        </w:rPr>
        <w:t>364</w:t>
      </w:r>
      <w:r>
        <w:rPr>
          <w:lang w:eastAsia="zh-HK"/>
        </w:rPr>
        <w:t> </w:t>
      </w:r>
      <w:r>
        <w:rPr>
          <w:rFonts w:hint="eastAsia"/>
        </w:rPr>
        <w:t>600</w:t>
      </w:r>
      <w:r>
        <w:rPr>
          <w:rFonts w:hint="eastAsia"/>
          <w:lang w:eastAsia="zh-HK"/>
        </w:rPr>
        <w:t>人次急升至</w:t>
      </w:r>
      <w:r>
        <w:rPr>
          <w:lang w:eastAsia="zh-HK"/>
        </w:rPr>
        <w:t>130</w:t>
      </w:r>
      <w:r>
        <w:rPr>
          <w:rFonts w:hint="eastAsia"/>
          <w:lang w:eastAsia="zh-HK"/>
        </w:rPr>
        <w:t>萬</w:t>
      </w:r>
      <w:r>
        <w:rPr>
          <w:rFonts w:hint="eastAsia"/>
        </w:rPr>
        <w:t>人次</w:t>
      </w:r>
      <w:r>
        <w:rPr>
          <w:rFonts w:hint="eastAsia"/>
          <w:lang w:eastAsia="zh-HK"/>
        </w:rPr>
        <w:t>和</w:t>
      </w:r>
      <w:r>
        <w:rPr>
          <w:rFonts w:hint="eastAsia"/>
        </w:rPr>
        <w:t>2</w:t>
      </w:r>
      <w:r>
        <w:t> </w:t>
      </w:r>
      <w:r>
        <w:rPr>
          <w:rFonts w:hint="eastAsia"/>
        </w:rPr>
        <w:t>320</w:t>
      </w:r>
      <w:r w:rsidR="00F31CF5">
        <w:t> </w:t>
      </w:r>
      <w:r>
        <w:rPr>
          <w:rFonts w:hint="eastAsia"/>
          <w:lang w:eastAsia="zh-HK"/>
        </w:rPr>
        <w:t>萬人次。這三</w:t>
      </w:r>
      <w:r w:rsidR="006E73BE">
        <w:rPr>
          <w:rFonts w:hint="eastAsia"/>
          <w:lang w:eastAsia="zh-HK"/>
        </w:rPr>
        <w:t>種</w:t>
      </w:r>
      <w:r w:rsidRPr="005C749C">
        <w:rPr>
          <w:rFonts w:hint="eastAsia"/>
        </w:rPr>
        <w:t>客運模式的</w:t>
      </w:r>
      <w:r w:rsidRPr="00843858">
        <w:rPr>
          <w:rFonts w:hint="eastAsia"/>
        </w:rPr>
        <w:t>客運量</w:t>
      </w:r>
      <w:r>
        <w:rPr>
          <w:rFonts w:hint="eastAsia"/>
          <w:lang w:eastAsia="zh-HK"/>
        </w:rPr>
        <w:t>已回</w:t>
      </w:r>
      <w:r>
        <w:rPr>
          <w:rFonts w:hint="eastAsia"/>
        </w:rPr>
        <w:t>復</w:t>
      </w:r>
      <w:r>
        <w:rPr>
          <w:rFonts w:hint="eastAsia"/>
          <w:lang w:eastAsia="zh-HK"/>
        </w:rPr>
        <w:t>至</w:t>
      </w:r>
      <w:r w:rsidRPr="005C749C">
        <w:t>二零一</w:t>
      </w:r>
      <w:r w:rsidRPr="005C749C">
        <w:rPr>
          <w:rFonts w:hint="eastAsia"/>
        </w:rPr>
        <w:t>九</w:t>
      </w:r>
      <w:r w:rsidRPr="005C749C">
        <w:t>年</w:t>
      </w:r>
      <w:r w:rsidRPr="005C749C">
        <w:rPr>
          <w:rFonts w:hint="eastAsia"/>
        </w:rPr>
        <w:t>第</w:t>
      </w:r>
      <w:r>
        <w:rPr>
          <w:rFonts w:hint="eastAsia"/>
          <w:lang w:eastAsia="zh-HK"/>
        </w:rPr>
        <w:t>二</w:t>
      </w:r>
      <w:r w:rsidRPr="005C749C">
        <w:rPr>
          <w:rFonts w:hint="eastAsia"/>
        </w:rPr>
        <w:t>季</w:t>
      </w:r>
      <w:r w:rsidRPr="005C749C">
        <w:t>經濟衰退前</w:t>
      </w:r>
      <w:r>
        <w:rPr>
          <w:rFonts w:hint="eastAsia"/>
          <w:lang w:eastAsia="zh-HK"/>
        </w:rPr>
        <w:t>相應</w:t>
      </w:r>
      <w:r w:rsidRPr="005C749C">
        <w:t>水平</w:t>
      </w:r>
      <w:r>
        <w:rPr>
          <w:rFonts w:hint="eastAsia"/>
          <w:lang w:eastAsia="zh-HK"/>
        </w:rPr>
        <w:t>的</w:t>
      </w:r>
      <w:r w:rsidR="00E220D1">
        <w:t>36.7</w:t>
      </w:r>
      <w:r>
        <w:rPr>
          <w:rFonts w:hint="eastAsia"/>
        </w:rPr>
        <w:t>%</w:t>
      </w:r>
      <w:r>
        <w:rPr>
          <w:rFonts w:hint="eastAsia"/>
          <w:lang w:eastAsia="zh-HK"/>
        </w:rPr>
        <w:t>、</w:t>
      </w:r>
      <w:r>
        <w:rPr>
          <w:rFonts w:hint="eastAsia"/>
        </w:rPr>
        <w:t>29.4%</w:t>
      </w:r>
      <w:r w:rsidRPr="005C749C">
        <w:rPr>
          <w:rFonts w:hint="eastAsia"/>
        </w:rPr>
        <w:t>和</w:t>
      </w:r>
      <w:r>
        <w:rPr>
          <w:rFonts w:hint="eastAsia"/>
        </w:rPr>
        <w:t>35.4</w:t>
      </w:r>
      <w:r w:rsidRPr="005C749C">
        <w:t>%</w:t>
      </w:r>
      <w:r w:rsidRPr="005C749C">
        <w:t>。同時，平均每日跨境車輛流量</w:t>
      </w:r>
      <w:r>
        <w:rPr>
          <w:rFonts w:hint="eastAsia"/>
          <w:lang w:eastAsia="zh-HK"/>
        </w:rPr>
        <w:t>較上一季上</w:t>
      </w:r>
      <w:r>
        <w:rPr>
          <w:rFonts w:hint="eastAsia"/>
        </w:rPr>
        <w:t>升</w:t>
      </w:r>
      <w:r w:rsidR="00E220D1">
        <w:t>110.7</w:t>
      </w:r>
      <w:r>
        <w:rPr>
          <w:rFonts w:hint="eastAsia"/>
        </w:rPr>
        <w:t>%</w:t>
      </w:r>
      <w:r w:rsidRPr="005C749C">
        <w:rPr>
          <w:rFonts w:hint="eastAsia"/>
        </w:rPr>
        <w:t>至</w:t>
      </w:r>
      <w:r w:rsidR="00E220D1">
        <w:t>16 340</w:t>
      </w:r>
      <w:r w:rsidRPr="005C749C">
        <w:t>架次，</w:t>
      </w:r>
      <w:r w:rsidR="003779B1" w:rsidRPr="003779B1">
        <w:rPr>
          <w:rFonts w:hint="eastAsia"/>
          <w:lang w:eastAsia="zh-HK"/>
        </w:rPr>
        <w:t>相</w:t>
      </w:r>
      <w:r w:rsidR="00736D66">
        <w:rPr>
          <w:rFonts w:hint="eastAsia"/>
          <w:lang w:eastAsia="zh-HK"/>
        </w:rPr>
        <w:t>當</w:t>
      </w:r>
      <w:r w:rsidRPr="005C749C">
        <w:t>於二零一</w:t>
      </w:r>
      <w:r w:rsidRPr="005C749C">
        <w:rPr>
          <w:rFonts w:hint="eastAsia"/>
        </w:rPr>
        <w:t>九</w:t>
      </w:r>
      <w:r w:rsidRPr="005C749C">
        <w:t>年</w:t>
      </w:r>
      <w:r w:rsidRPr="005C749C">
        <w:rPr>
          <w:rFonts w:hint="eastAsia"/>
        </w:rPr>
        <w:t>第</w:t>
      </w:r>
      <w:r>
        <w:rPr>
          <w:rFonts w:hint="eastAsia"/>
          <w:lang w:eastAsia="zh-HK"/>
        </w:rPr>
        <w:t>二</w:t>
      </w:r>
      <w:r w:rsidRPr="005C749C">
        <w:rPr>
          <w:rFonts w:hint="eastAsia"/>
        </w:rPr>
        <w:t>季</w:t>
      </w:r>
      <w:r w:rsidRPr="005C749C">
        <w:t>經濟衰退前</w:t>
      </w:r>
      <w:r>
        <w:rPr>
          <w:rFonts w:hint="eastAsia"/>
        </w:rPr>
        <w:t>水平</w:t>
      </w:r>
      <w:r w:rsidR="003779B1" w:rsidRPr="005C749C">
        <w:t>的</w:t>
      </w:r>
      <w:r w:rsidR="00E220D1">
        <w:t>36.8</w:t>
      </w:r>
      <w:r w:rsidR="003779B1">
        <w:t>%</w:t>
      </w:r>
      <w:r w:rsidRPr="005C749C">
        <w:t>。</w:t>
      </w:r>
    </w:p>
    <w:p w14:paraId="18E3FA59" w14:textId="77777777" w:rsidR="001B3BFC" w:rsidRPr="005C749C" w:rsidRDefault="001B3BFC" w:rsidP="006E4C04">
      <w:pPr>
        <w:pStyle w:val="12"/>
        <w:rPr>
          <w:b/>
        </w:rPr>
      </w:pPr>
      <w:r w:rsidRPr="005C749C">
        <w:rPr>
          <w:rFonts w:hint="eastAsia"/>
        </w:rPr>
        <w:t>創新及科技</w:t>
      </w:r>
    </w:p>
    <w:p w14:paraId="7D07F9B3" w14:textId="4A4CAF63" w:rsidR="001B3BFC" w:rsidRPr="00B344D0" w:rsidRDefault="001B3BFC" w:rsidP="006E4C04">
      <w:r w:rsidRPr="005C749C">
        <w:rPr>
          <w:b/>
        </w:rPr>
        <w:t>3.</w:t>
      </w:r>
      <w:r>
        <w:rPr>
          <w:b/>
        </w:rPr>
        <w:t>20</w:t>
      </w:r>
      <w:r w:rsidRPr="005C749C">
        <w:tab/>
      </w:r>
      <w:r w:rsidRPr="005C749C">
        <w:rPr>
          <w:rFonts w:hint="eastAsia"/>
        </w:rPr>
        <w:t>財政司司長在《財政預算案》中公布多項措施，以推動創新及科技</w:t>
      </w:r>
      <w:r w:rsidR="002D18E2">
        <w:rPr>
          <w:rFonts w:hint="eastAsia"/>
          <w:lang w:eastAsia="zh-HK"/>
        </w:rPr>
        <w:t>、數字經濟和</w:t>
      </w:r>
      <w:r w:rsidR="002D18E2" w:rsidRPr="002D18E2">
        <w:rPr>
          <w:rFonts w:hint="eastAsia"/>
          <w:lang w:eastAsia="zh-HK"/>
        </w:rPr>
        <w:t>第三代互聯網</w:t>
      </w:r>
      <w:r w:rsidR="002D18E2">
        <w:rPr>
          <w:rFonts w:hint="eastAsia"/>
        </w:rPr>
        <w:t>(Web3)</w:t>
      </w:r>
      <w:r w:rsidR="002D18E2">
        <w:rPr>
          <w:rFonts w:hint="eastAsia"/>
          <w:lang w:eastAsia="zh-HK"/>
        </w:rPr>
        <w:t>的</w:t>
      </w:r>
      <w:r w:rsidR="002D18E2" w:rsidRPr="005C749C">
        <w:rPr>
          <w:rFonts w:hint="eastAsia"/>
        </w:rPr>
        <w:t>發展</w:t>
      </w:r>
      <w:r w:rsidRPr="005C749C">
        <w:rPr>
          <w:rFonts w:hint="eastAsia"/>
        </w:rPr>
        <w:t>。這些措施包括</w:t>
      </w:r>
      <w:r w:rsidRPr="005C749C">
        <w:t>(i)</w:t>
      </w:r>
      <w:r>
        <w:rPr>
          <w:rFonts w:hint="eastAsia"/>
        </w:rPr>
        <w:t>撥</w:t>
      </w:r>
      <w:r>
        <w:rPr>
          <w:rFonts w:hint="eastAsia"/>
          <w:lang w:eastAsia="zh-HK"/>
        </w:rPr>
        <w:t>出</w:t>
      </w:r>
      <w:r>
        <w:rPr>
          <w:rFonts w:hint="eastAsia"/>
        </w:rPr>
        <w:t>6</w:t>
      </w:r>
      <w:r w:rsidRPr="005C749C">
        <w:rPr>
          <w:rFonts w:hint="eastAsia"/>
        </w:rPr>
        <w:t>0</w:t>
      </w:r>
      <w:r>
        <w:t> </w:t>
      </w:r>
      <w:r w:rsidRPr="005C749C">
        <w:rPr>
          <w:rFonts w:hint="eastAsia"/>
        </w:rPr>
        <w:t>億元</w:t>
      </w:r>
      <w:r>
        <w:rPr>
          <w:rFonts w:hint="eastAsia"/>
        </w:rPr>
        <w:t>資助大學及科研機構設立</w:t>
      </w:r>
      <w:r w:rsidR="002D18E2">
        <w:rPr>
          <w:rFonts w:hint="eastAsia"/>
          <w:lang w:eastAsia="zh-HK"/>
        </w:rPr>
        <w:t>與</w:t>
      </w:r>
      <w:r>
        <w:rPr>
          <w:rFonts w:hint="eastAsia"/>
          <w:lang w:eastAsia="zh-HK"/>
        </w:rPr>
        <w:t>生命健</w:t>
      </w:r>
      <w:r>
        <w:rPr>
          <w:rFonts w:hint="eastAsia"/>
        </w:rPr>
        <w:t>康</w:t>
      </w:r>
      <w:r>
        <w:rPr>
          <w:rFonts w:hint="eastAsia"/>
          <w:lang w:eastAsia="zh-HK"/>
        </w:rPr>
        <w:t>科技</w:t>
      </w:r>
      <w:r w:rsidR="002D18E2">
        <w:rPr>
          <w:rFonts w:hint="eastAsia"/>
          <w:lang w:eastAsia="zh-HK"/>
        </w:rPr>
        <w:t>相關的</w:t>
      </w:r>
      <w:r>
        <w:rPr>
          <w:rFonts w:hint="eastAsia"/>
        </w:rPr>
        <w:t>主題研究</w:t>
      </w:r>
      <w:r>
        <w:rPr>
          <w:rFonts w:hint="eastAsia"/>
          <w:lang w:eastAsia="zh-HK"/>
        </w:rPr>
        <w:t>院</w:t>
      </w:r>
      <w:r w:rsidRPr="005C749C">
        <w:rPr>
          <w:rFonts w:hint="eastAsia"/>
        </w:rPr>
        <w:t>；</w:t>
      </w:r>
      <w:r w:rsidRPr="005C749C">
        <w:t>(ii)</w:t>
      </w:r>
      <w:r w:rsidRPr="005C749C">
        <w:rPr>
          <w:rFonts w:hint="eastAsia"/>
        </w:rPr>
        <w:t>預留</w:t>
      </w:r>
      <w:r>
        <w:rPr>
          <w:rFonts w:hint="eastAsia"/>
        </w:rPr>
        <w:t>3</w:t>
      </w:r>
      <w:r w:rsidRPr="005C749C">
        <w:rPr>
          <w:rFonts w:hint="eastAsia"/>
        </w:rPr>
        <w:t>0</w:t>
      </w:r>
      <w:r>
        <w:t> </w:t>
      </w:r>
      <w:r w:rsidRPr="005C749C">
        <w:rPr>
          <w:rFonts w:hint="eastAsia"/>
        </w:rPr>
        <w:t>億元</w:t>
      </w:r>
      <w:r>
        <w:rPr>
          <w:rFonts w:hint="eastAsia"/>
        </w:rPr>
        <w:t>加強人工智能</w:t>
      </w:r>
      <w:r w:rsidR="002D18E2">
        <w:rPr>
          <w:rFonts w:hint="eastAsia"/>
          <w:lang w:eastAsia="zh-HK"/>
        </w:rPr>
        <w:t>和</w:t>
      </w:r>
      <w:r>
        <w:rPr>
          <w:rFonts w:hint="eastAsia"/>
        </w:rPr>
        <w:t>量子科技等前沿科技領域的基礎研究</w:t>
      </w:r>
      <w:r w:rsidRPr="005C749C">
        <w:rPr>
          <w:rFonts w:hint="eastAsia"/>
        </w:rPr>
        <w:t>；</w:t>
      </w:r>
      <w:r w:rsidRPr="005C749C">
        <w:t>(iii)</w:t>
      </w:r>
      <w:r>
        <w:rPr>
          <w:rFonts w:hint="eastAsia"/>
          <w:lang w:eastAsia="zh-HK"/>
        </w:rPr>
        <w:t>支持</w:t>
      </w:r>
      <w:r>
        <w:rPr>
          <w:rFonts w:hint="eastAsia"/>
        </w:rPr>
        <w:t>設立一所微電子研發院</w:t>
      </w:r>
      <w:r>
        <w:rPr>
          <w:rFonts w:hint="eastAsia"/>
          <w:lang w:eastAsia="zh-HK"/>
        </w:rPr>
        <w:t>，</w:t>
      </w:r>
      <w:r w:rsidR="00450A59" w:rsidRPr="00450A59">
        <w:rPr>
          <w:rFonts w:hint="eastAsia"/>
          <w:lang w:eastAsia="zh-HK"/>
        </w:rPr>
        <w:t>以</w:t>
      </w:r>
      <w:r>
        <w:rPr>
          <w:rFonts w:hint="eastAsia"/>
          <w:lang w:eastAsia="zh-HK"/>
        </w:rPr>
        <w:t>強化大學、研發中心和業界之間的合作，從而</w:t>
      </w:r>
      <w:r>
        <w:rPr>
          <w:rFonts w:hint="eastAsia"/>
        </w:rPr>
        <w:t>加快「從一到</w:t>
      </w:r>
      <w:r>
        <w:rPr>
          <w:rFonts w:hint="eastAsia"/>
        </w:rPr>
        <w:t>N</w:t>
      </w:r>
      <w:r>
        <w:rPr>
          <w:rFonts w:hint="eastAsia"/>
        </w:rPr>
        <w:t>」的科技成果轉化</w:t>
      </w:r>
      <w:r w:rsidRPr="005C749C">
        <w:rPr>
          <w:rFonts w:hint="eastAsia"/>
        </w:rPr>
        <w:t>；</w:t>
      </w:r>
      <w:r w:rsidRPr="005C749C">
        <w:t>(iv)</w:t>
      </w:r>
      <w:r>
        <w:rPr>
          <w:rFonts w:hint="eastAsia"/>
        </w:rPr>
        <w:t>通過</w:t>
      </w:r>
      <w:r>
        <w:rPr>
          <w:rFonts w:hint="eastAsia"/>
          <w:lang w:eastAsia="zh-HK"/>
        </w:rPr>
        <w:t>香港</w:t>
      </w:r>
      <w:r>
        <w:rPr>
          <w:rFonts w:hint="eastAsia"/>
        </w:rPr>
        <w:t>科技園公司和數碼港</w:t>
      </w:r>
      <w:r w:rsidRPr="004D778A">
        <w:rPr>
          <w:rFonts w:hint="eastAsia"/>
        </w:rPr>
        <w:t>加強對</w:t>
      </w:r>
      <w:r w:rsidR="00983B28" w:rsidRPr="00983B28">
        <w:rPr>
          <w:rFonts w:hint="eastAsia"/>
        </w:rPr>
        <w:t>科技</w:t>
      </w:r>
      <w:r w:rsidRPr="004D778A">
        <w:rPr>
          <w:rFonts w:hint="eastAsia"/>
        </w:rPr>
        <w:t>初創企業的投</w:t>
      </w:r>
      <w:r>
        <w:rPr>
          <w:rFonts w:hint="eastAsia"/>
          <w:lang w:eastAsia="zh-HK"/>
        </w:rPr>
        <w:t>資</w:t>
      </w:r>
      <w:r w:rsidRPr="005C749C">
        <w:rPr>
          <w:rFonts w:hint="eastAsia"/>
        </w:rPr>
        <w:t>；</w:t>
      </w:r>
      <w:r w:rsidRPr="005C749C">
        <w:t>(v)</w:t>
      </w:r>
      <w:r w:rsidRPr="004B04F2">
        <w:rPr>
          <w:rFonts w:hint="eastAsia"/>
        </w:rPr>
        <w:t>預留</w:t>
      </w:r>
      <w:r>
        <w:rPr>
          <w:rFonts w:hint="eastAsia"/>
        </w:rPr>
        <w:t>5</w:t>
      </w:r>
      <w:r w:rsidR="00850ED7">
        <w:t> </w:t>
      </w:r>
      <w:r w:rsidRPr="004B04F2">
        <w:rPr>
          <w:rFonts w:hint="eastAsia"/>
        </w:rPr>
        <w:t>億元</w:t>
      </w:r>
      <w:r>
        <w:rPr>
          <w:rFonts w:hint="eastAsia"/>
        </w:rPr>
        <w:t>推行「數碼轉型支援先導計劃」，協助中小企業應用現成的基礎數碼方案配套</w:t>
      </w:r>
      <w:r w:rsidRPr="005C749C">
        <w:rPr>
          <w:rFonts w:hint="eastAsia"/>
        </w:rPr>
        <w:t>；以及</w:t>
      </w:r>
      <w:r w:rsidRPr="005C749C">
        <w:t>(vi)</w:t>
      </w:r>
      <w:r>
        <w:rPr>
          <w:rFonts w:hint="eastAsia"/>
        </w:rPr>
        <w:t>撥款</w:t>
      </w:r>
      <w:r>
        <w:rPr>
          <w:rFonts w:hint="eastAsia"/>
        </w:rPr>
        <w:t>5,000</w:t>
      </w:r>
      <w:r>
        <w:t> </w:t>
      </w:r>
      <w:r>
        <w:rPr>
          <w:rFonts w:hint="eastAsia"/>
        </w:rPr>
        <w:t>萬元加速推動</w:t>
      </w:r>
      <w:r>
        <w:rPr>
          <w:rFonts w:hint="eastAsia"/>
        </w:rPr>
        <w:t>Web3</w:t>
      </w:r>
      <w:r>
        <w:rPr>
          <w:rFonts w:hint="eastAsia"/>
        </w:rPr>
        <w:t>生態圈的發展</w:t>
      </w:r>
      <w:r w:rsidRPr="005C749C">
        <w:rPr>
          <w:rFonts w:hint="eastAsia"/>
        </w:rPr>
        <w:t>。</w:t>
      </w:r>
    </w:p>
    <w:p w14:paraId="44283A38" w14:textId="77777777" w:rsidR="00F96A25" w:rsidRDefault="00F96A25" w:rsidP="00F96A25">
      <w:pPr>
        <w:pStyle w:val="12"/>
      </w:pPr>
      <w:r w:rsidRPr="009A20C0">
        <w:rPr>
          <w:rFonts w:hint="eastAsia"/>
        </w:rPr>
        <w:t>環境</w:t>
      </w:r>
    </w:p>
    <w:p w14:paraId="564E42D8" w14:textId="11DD665F" w:rsidR="00F96A25" w:rsidRDefault="00F96A25" w:rsidP="00F96A25">
      <w:r>
        <w:rPr>
          <w:rFonts w:hint="eastAsia"/>
          <w:b/>
        </w:rPr>
        <w:t>3</w:t>
      </w:r>
      <w:r w:rsidRPr="00C026DB">
        <w:rPr>
          <w:rFonts w:hint="eastAsia"/>
          <w:b/>
        </w:rPr>
        <w:t>.</w:t>
      </w:r>
      <w:r>
        <w:rPr>
          <w:b/>
        </w:rPr>
        <w:t>21</w:t>
      </w:r>
      <w:r w:rsidRPr="00C026DB">
        <w:tab/>
      </w:r>
      <w:r w:rsidRPr="009A20C0">
        <w:rPr>
          <w:rFonts w:hint="eastAsia"/>
        </w:rPr>
        <w:t>財政司司長在</w:t>
      </w:r>
      <w:r>
        <w:rPr>
          <w:rFonts w:hint="eastAsia"/>
        </w:rPr>
        <w:t>《財政預算案》中</w:t>
      </w:r>
      <w:r w:rsidRPr="009A20C0">
        <w:rPr>
          <w:rFonts w:hint="eastAsia"/>
        </w:rPr>
        <w:t>提出</w:t>
      </w:r>
      <w:r>
        <w:rPr>
          <w:rFonts w:hint="eastAsia"/>
        </w:rPr>
        <w:t>多</w:t>
      </w:r>
      <w:r w:rsidRPr="009A20C0">
        <w:rPr>
          <w:rFonts w:hint="eastAsia"/>
        </w:rPr>
        <w:t>項</w:t>
      </w:r>
      <w:r>
        <w:rPr>
          <w:rFonts w:hint="eastAsia"/>
        </w:rPr>
        <w:t>環保</w:t>
      </w:r>
      <w:r w:rsidRPr="009A20C0">
        <w:rPr>
          <w:rFonts w:hint="eastAsia"/>
        </w:rPr>
        <w:t>措施，</w:t>
      </w:r>
      <w:r>
        <w:rPr>
          <w:rFonts w:hint="eastAsia"/>
        </w:rPr>
        <w:t>務求把</w:t>
      </w:r>
      <w:r w:rsidRPr="009A20C0">
        <w:rPr>
          <w:rFonts w:hint="eastAsia"/>
        </w:rPr>
        <w:t>香港</w:t>
      </w:r>
      <w:r>
        <w:rPr>
          <w:rFonts w:hint="eastAsia"/>
        </w:rPr>
        <w:t>建設成為</w:t>
      </w:r>
      <w:r w:rsidRPr="009A20C0">
        <w:rPr>
          <w:rFonts w:hint="eastAsia"/>
        </w:rPr>
        <w:t>綠色城市，</w:t>
      </w:r>
      <w:r>
        <w:rPr>
          <w:rFonts w:hint="eastAsia"/>
        </w:rPr>
        <w:t>並於二零五零</w:t>
      </w:r>
      <w:r w:rsidRPr="009A20C0">
        <w:rPr>
          <w:rFonts w:hint="eastAsia"/>
        </w:rPr>
        <w:t>年前實現碳中和</w:t>
      </w:r>
      <w:r>
        <w:rPr>
          <w:rFonts w:hint="eastAsia"/>
        </w:rPr>
        <w:t>。有關措施</w:t>
      </w:r>
      <w:r w:rsidRPr="009A20C0">
        <w:rPr>
          <w:rFonts w:hint="eastAsia"/>
        </w:rPr>
        <w:t>包括</w:t>
      </w:r>
      <w:r>
        <w:rPr>
          <w:rFonts w:hint="eastAsia"/>
        </w:rPr>
        <w:t>(i)</w:t>
      </w:r>
      <w:r>
        <w:rPr>
          <w:rFonts w:hint="eastAsia"/>
        </w:rPr>
        <w:t>預留</w:t>
      </w:r>
      <w:r>
        <w:rPr>
          <w:rFonts w:hint="eastAsia"/>
        </w:rPr>
        <w:t>2</w:t>
      </w:r>
      <w:r w:rsidR="00850ED7">
        <w:t> </w:t>
      </w:r>
      <w:r>
        <w:rPr>
          <w:rFonts w:hint="eastAsia"/>
        </w:rPr>
        <w:t>億元開展氫燃料電池雙層巴士和重型車輛試驗；</w:t>
      </w:r>
      <w:r>
        <w:rPr>
          <w:rFonts w:hint="eastAsia"/>
        </w:rPr>
        <w:t>(ii)</w:t>
      </w:r>
      <w:r>
        <w:rPr>
          <w:rFonts w:hint="eastAsia"/>
        </w:rPr>
        <w:t>預留</w:t>
      </w:r>
      <w:r>
        <w:rPr>
          <w:rFonts w:hint="eastAsia"/>
        </w:rPr>
        <w:t>3.5</w:t>
      </w:r>
      <w:r w:rsidR="00850ED7">
        <w:t> </w:t>
      </w:r>
      <w:r>
        <w:rPr>
          <w:rFonts w:hint="eastAsia"/>
        </w:rPr>
        <w:t>億元資助港內線渡輪營辦商建造及試驗電動渡輪和</w:t>
      </w:r>
      <w:r w:rsidR="00B01C3D">
        <w:rPr>
          <w:rFonts w:hint="eastAsia"/>
          <w:lang w:eastAsia="zh-HK"/>
        </w:rPr>
        <w:t>相關</w:t>
      </w:r>
      <w:r>
        <w:rPr>
          <w:rFonts w:hint="eastAsia"/>
        </w:rPr>
        <w:t>充電設施；</w:t>
      </w:r>
      <w:r>
        <w:rPr>
          <w:rFonts w:hint="eastAsia"/>
        </w:rPr>
        <w:t>(iii)</w:t>
      </w:r>
      <w:r>
        <w:rPr>
          <w:rFonts w:hint="eastAsia"/>
        </w:rPr>
        <w:t>為的士業界提供百分百擔保貸款</w:t>
      </w:r>
      <w:r w:rsidR="00CD4D65" w:rsidRPr="00CD4D65">
        <w:rPr>
          <w:rFonts w:hint="eastAsia"/>
        </w:rPr>
        <w:t>計劃</w:t>
      </w:r>
      <w:r>
        <w:rPr>
          <w:rFonts w:hint="eastAsia"/>
        </w:rPr>
        <w:t>，鼓勵</w:t>
      </w:r>
      <w:r w:rsidR="0048144B" w:rsidRPr="0048144B">
        <w:rPr>
          <w:rFonts w:hint="eastAsia"/>
        </w:rPr>
        <w:t>車主</w:t>
      </w:r>
      <w:r w:rsidR="00B01C3D">
        <w:rPr>
          <w:rFonts w:hint="eastAsia"/>
          <w:lang w:eastAsia="zh-HK"/>
        </w:rPr>
        <w:t>把</w:t>
      </w:r>
      <w:r w:rsidR="0048144B" w:rsidRPr="0048144B">
        <w:rPr>
          <w:rFonts w:hint="eastAsia"/>
        </w:rPr>
        <w:t>現有</w:t>
      </w:r>
      <w:r w:rsidR="00B01C3D">
        <w:rPr>
          <w:rFonts w:hint="eastAsia"/>
          <w:lang w:eastAsia="zh-HK"/>
        </w:rPr>
        <w:t>的士替換為</w:t>
      </w:r>
      <w:r>
        <w:rPr>
          <w:rFonts w:hint="eastAsia"/>
        </w:rPr>
        <w:t>純電動的士；</w:t>
      </w:r>
      <w:r>
        <w:rPr>
          <w:rFonts w:hint="eastAsia"/>
        </w:rPr>
        <w:t>(iv)</w:t>
      </w:r>
      <w:r>
        <w:rPr>
          <w:rFonts w:hint="eastAsia"/>
        </w:rPr>
        <w:t>增撥</w:t>
      </w:r>
      <w:r>
        <w:rPr>
          <w:rFonts w:hint="eastAsia"/>
        </w:rPr>
        <w:t>6,200</w:t>
      </w:r>
      <w:r w:rsidR="00850ED7">
        <w:t> </w:t>
      </w:r>
      <w:r>
        <w:rPr>
          <w:rFonts w:hint="eastAsia"/>
        </w:rPr>
        <w:t>萬元</w:t>
      </w:r>
      <w:r w:rsidR="00B01C3D">
        <w:rPr>
          <w:rFonts w:hint="eastAsia"/>
          <w:lang w:eastAsia="zh-HK"/>
        </w:rPr>
        <w:t>把</w:t>
      </w:r>
      <w:r w:rsidR="0048144B" w:rsidRPr="0048144B">
        <w:rPr>
          <w:rFonts w:hint="eastAsia"/>
        </w:rPr>
        <w:t>收集廚餘的網絡擴展至</w:t>
      </w:r>
      <w:r>
        <w:rPr>
          <w:rFonts w:hint="eastAsia"/>
        </w:rPr>
        <w:t>更多場所，並擴大在公共屋邨</w:t>
      </w:r>
      <w:r w:rsidR="00022452" w:rsidRPr="00022452">
        <w:rPr>
          <w:rFonts w:hint="eastAsia"/>
        </w:rPr>
        <w:t>收集廚餘</w:t>
      </w:r>
      <w:r>
        <w:rPr>
          <w:rFonts w:hint="eastAsia"/>
        </w:rPr>
        <w:t>的試</w:t>
      </w:r>
      <w:r w:rsidR="0048144B" w:rsidRPr="0048144B">
        <w:rPr>
          <w:rFonts w:hint="eastAsia"/>
        </w:rPr>
        <w:t>行</w:t>
      </w:r>
      <w:r>
        <w:rPr>
          <w:rFonts w:hint="eastAsia"/>
        </w:rPr>
        <w:t>計劃。</w:t>
      </w:r>
    </w:p>
    <w:p w14:paraId="136743C5" w14:textId="258468FE" w:rsidR="00F96A25" w:rsidRPr="003951C4" w:rsidRDefault="00F96A25" w:rsidP="00F96A25">
      <w:pPr>
        <w:rPr>
          <w:color w:val="000000"/>
        </w:rPr>
      </w:pPr>
      <w:r>
        <w:rPr>
          <w:rFonts w:hint="eastAsia"/>
          <w:b/>
        </w:rPr>
        <w:t>3</w:t>
      </w:r>
      <w:r w:rsidRPr="00C026DB">
        <w:rPr>
          <w:rFonts w:hint="eastAsia"/>
          <w:b/>
        </w:rPr>
        <w:t>.</w:t>
      </w:r>
      <w:r>
        <w:rPr>
          <w:b/>
        </w:rPr>
        <w:t>2</w:t>
      </w:r>
      <w:r>
        <w:rPr>
          <w:rFonts w:hint="eastAsia"/>
          <w:b/>
        </w:rPr>
        <w:t>2</w:t>
      </w:r>
      <w:r w:rsidRPr="00C026DB">
        <w:tab/>
      </w:r>
      <w:r w:rsidRPr="004C1557">
        <w:rPr>
          <w:rFonts w:hint="eastAsia"/>
        </w:rPr>
        <w:t>另外，政府於二零二三年三月向立法會提交《</w:t>
      </w:r>
      <w:r w:rsidRPr="004C1557">
        <w:rPr>
          <w:rFonts w:hint="eastAsia"/>
        </w:rPr>
        <w:t>2023</w:t>
      </w:r>
      <w:r>
        <w:rPr>
          <w:rFonts w:hint="eastAsia"/>
        </w:rPr>
        <w:t>年產品環保責任</w:t>
      </w:r>
      <w:r>
        <w:rPr>
          <w:rFonts w:hint="eastAsia"/>
        </w:rPr>
        <w:t>(</w:t>
      </w:r>
      <w:r w:rsidRPr="004C1557">
        <w:rPr>
          <w:rFonts w:hint="eastAsia"/>
        </w:rPr>
        <w:t>修訂</w:t>
      </w:r>
      <w:r>
        <w:rPr>
          <w:rFonts w:hint="eastAsia"/>
        </w:rPr>
        <w:t>)</w:t>
      </w:r>
      <w:r w:rsidRPr="004C1557">
        <w:rPr>
          <w:rFonts w:hint="eastAsia"/>
        </w:rPr>
        <w:t>條例草案》</w:t>
      </w:r>
      <w:r w:rsidR="00C42B6D">
        <w:rPr>
          <w:rFonts w:hint="eastAsia"/>
        </w:rPr>
        <w:t>(</w:t>
      </w:r>
      <w:r w:rsidR="00C42B6D" w:rsidRPr="004C1557">
        <w:rPr>
          <w:rFonts w:hint="eastAsia"/>
        </w:rPr>
        <w:t>《條例草案》</w:t>
      </w:r>
      <w:r w:rsidR="00C42B6D">
        <w:rPr>
          <w:rFonts w:hint="eastAsia"/>
        </w:rPr>
        <w:t>)</w:t>
      </w:r>
      <w:r w:rsidRPr="004C1557">
        <w:rPr>
          <w:rFonts w:hint="eastAsia"/>
        </w:rPr>
        <w:t>，以管制即棄膠餐具和其他塑膠產品。《條例草案》建議禁止</w:t>
      </w:r>
      <w:r w:rsidRPr="007D46FF">
        <w:rPr>
          <w:rFonts w:hint="eastAsia"/>
        </w:rPr>
        <w:t>在</w:t>
      </w:r>
      <w:r w:rsidRPr="004738FD">
        <w:rPr>
          <w:rFonts w:hint="eastAsia"/>
        </w:rPr>
        <w:t>本地銷售</w:t>
      </w:r>
      <w:r w:rsidR="00DE33A7" w:rsidRPr="004738FD">
        <w:rPr>
          <w:rFonts w:hint="eastAsia"/>
        </w:rPr>
        <w:t>九款</w:t>
      </w:r>
      <w:r w:rsidRPr="004738FD">
        <w:rPr>
          <w:rFonts w:hint="eastAsia"/>
        </w:rPr>
        <w:t>即棄膠餐具</w:t>
      </w:r>
      <w:r w:rsidR="002835AA" w:rsidRPr="007D46FF">
        <w:rPr>
          <w:rFonts w:hint="eastAsia"/>
          <w:lang w:eastAsia="zh-HK"/>
        </w:rPr>
        <w:t>、</w:t>
      </w:r>
      <w:r w:rsidRPr="004738FD">
        <w:rPr>
          <w:rFonts w:hint="eastAsia"/>
        </w:rPr>
        <w:t>禁止</w:t>
      </w:r>
      <w:r w:rsidRPr="007D46FF">
        <w:rPr>
          <w:rFonts w:hint="eastAsia"/>
        </w:rPr>
        <w:t>向</w:t>
      </w:r>
      <w:r w:rsidRPr="007D46FF">
        <w:rPr>
          <w:rFonts w:hint="eastAsia"/>
          <w:lang w:eastAsia="zh-HK"/>
        </w:rPr>
        <w:t>堂食和外賣</w:t>
      </w:r>
      <w:r w:rsidRPr="007D46FF">
        <w:rPr>
          <w:rFonts w:hint="eastAsia"/>
        </w:rPr>
        <w:t>顧客</w:t>
      </w:r>
      <w:r w:rsidRPr="004738FD">
        <w:rPr>
          <w:rFonts w:hint="eastAsia"/>
        </w:rPr>
        <w:t>提供</w:t>
      </w:r>
      <w:r w:rsidR="00E77E16" w:rsidRPr="004738FD">
        <w:rPr>
          <w:rFonts w:hint="eastAsia"/>
        </w:rPr>
        <w:t>該九款</w:t>
      </w:r>
      <w:r w:rsidRPr="004738FD">
        <w:rPr>
          <w:rFonts w:hint="eastAsia"/>
        </w:rPr>
        <w:t>餐具，</w:t>
      </w:r>
      <w:r w:rsidRPr="004C1557">
        <w:rPr>
          <w:rFonts w:hint="eastAsia"/>
        </w:rPr>
        <w:t>以及管制一系列即棄塑膠產品的製造、銷售和供應。</w:t>
      </w:r>
      <w:r w:rsidR="00E77E16">
        <w:rPr>
          <w:rFonts w:hint="eastAsia"/>
          <w:lang w:eastAsia="zh-HK"/>
        </w:rPr>
        <w:t>相關的</w:t>
      </w:r>
      <w:r w:rsidR="00E77E16" w:rsidRPr="004C1557">
        <w:rPr>
          <w:rFonts w:hint="eastAsia"/>
        </w:rPr>
        <w:t>管制</w:t>
      </w:r>
      <w:r w:rsidR="002835AA">
        <w:rPr>
          <w:rFonts w:hint="eastAsia"/>
          <w:lang w:eastAsia="zh-HK"/>
        </w:rPr>
        <w:t>會</w:t>
      </w:r>
      <w:r w:rsidR="00E77E16" w:rsidRPr="004C1557">
        <w:rPr>
          <w:rFonts w:hint="eastAsia"/>
        </w:rPr>
        <w:t>分兩個階段實施，第一階段</w:t>
      </w:r>
      <w:r w:rsidR="00E77E16">
        <w:rPr>
          <w:rFonts w:hint="eastAsia"/>
          <w:lang w:eastAsia="zh-HK"/>
        </w:rPr>
        <w:t>將</w:t>
      </w:r>
      <w:r w:rsidR="00E77E16" w:rsidRPr="004C1557">
        <w:rPr>
          <w:rFonts w:hint="eastAsia"/>
        </w:rPr>
        <w:t>於《條例草案》獲通過的六個月後</w:t>
      </w:r>
      <w:r w:rsidR="002835AA">
        <w:rPr>
          <w:rFonts w:hint="eastAsia"/>
        </w:rPr>
        <w:t>(</w:t>
      </w:r>
      <w:r w:rsidR="00983B28" w:rsidRPr="00983B28">
        <w:rPr>
          <w:rFonts w:hint="eastAsia"/>
        </w:rPr>
        <w:t>即最早於二零二三年年底或二零二四年年初</w:t>
      </w:r>
      <w:r w:rsidR="002835AA">
        <w:rPr>
          <w:rFonts w:hint="eastAsia"/>
        </w:rPr>
        <w:t>)</w:t>
      </w:r>
      <w:r w:rsidR="002835AA">
        <w:rPr>
          <w:rFonts w:hint="eastAsia"/>
          <w:lang w:eastAsia="zh-HK"/>
        </w:rPr>
        <w:t>展開</w:t>
      </w:r>
      <w:r w:rsidR="00E77E16" w:rsidRPr="004C1557">
        <w:rPr>
          <w:rFonts w:hint="eastAsia"/>
        </w:rPr>
        <w:t>。</w:t>
      </w:r>
      <w:r>
        <w:rPr>
          <w:rFonts w:hint="eastAsia"/>
          <w:lang w:eastAsia="zh-HK"/>
        </w:rPr>
        <w:t>同時，</w:t>
      </w:r>
      <w:r w:rsidRPr="004C1557">
        <w:rPr>
          <w:rFonts w:hint="eastAsia"/>
        </w:rPr>
        <w:t>《條例草案》亦建議優化玻璃飲料容器和廢電器電子產品生產者責任計劃的運作，以及擴大後者的涵蓋範圍。</w:t>
      </w:r>
    </w:p>
    <w:p w14:paraId="6E9F1F6A" w14:textId="4EFE33AE" w:rsidR="001B3BFC" w:rsidRDefault="001B3BFC" w:rsidP="006E4C04">
      <w:pPr>
        <w:pStyle w:val="12"/>
        <w:rPr>
          <w:noProof/>
          <w:lang w:eastAsia="zh-HK"/>
        </w:rPr>
      </w:pPr>
      <w:r w:rsidRPr="004B04F2">
        <w:rPr>
          <w:rFonts w:hint="eastAsia"/>
          <w:noProof/>
          <w:lang w:eastAsia="zh-HK"/>
        </w:rPr>
        <w:lastRenderedPageBreak/>
        <w:t>文化藝術及創意產業</w:t>
      </w:r>
    </w:p>
    <w:p w14:paraId="698521D0" w14:textId="1FC80A6C" w:rsidR="001B3BFC" w:rsidRPr="00EC3EAA" w:rsidRDefault="001B3BFC" w:rsidP="006E4C04">
      <w:pPr>
        <w:rPr>
          <w:lang w:eastAsia="zh-CN"/>
        </w:rPr>
      </w:pPr>
      <w:r>
        <w:rPr>
          <w:b/>
        </w:rPr>
        <w:t>3.2</w:t>
      </w:r>
      <w:r w:rsidR="00F96A25">
        <w:rPr>
          <w:b/>
        </w:rPr>
        <w:t>3</w:t>
      </w:r>
      <w:r w:rsidRPr="006F3BDC">
        <w:tab/>
      </w:r>
      <w:r>
        <w:rPr>
          <w:rFonts w:hint="eastAsia"/>
          <w:lang w:eastAsia="zh-HK"/>
        </w:rPr>
        <w:t>為</w:t>
      </w:r>
      <w:r w:rsidR="004210C4" w:rsidRPr="004210C4">
        <w:rPr>
          <w:rFonts w:hint="eastAsia"/>
          <w:lang w:eastAsia="zh-HK"/>
        </w:rPr>
        <w:t>進一步鞏固</w:t>
      </w:r>
      <w:r>
        <w:rPr>
          <w:rFonts w:hint="eastAsia"/>
        </w:rPr>
        <w:t>香港中外文化藝術交流中心的</w:t>
      </w:r>
      <w:r>
        <w:rPr>
          <w:rFonts w:hint="eastAsia"/>
          <w:lang w:eastAsia="zh-HK"/>
        </w:rPr>
        <w:t>定位，財</w:t>
      </w:r>
      <w:r w:rsidRPr="006F3BDC">
        <w:rPr>
          <w:rFonts w:hint="eastAsia"/>
          <w:lang w:eastAsia="zh-HK"/>
        </w:rPr>
        <w:t>政</w:t>
      </w:r>
      <w:r>
        <w:rPr>
          <w:rFonts w:hint="eastAsia"/>
          <w:lang w:eastAsia="zh-HK"/>
        </w:rPr>
        <w:t>司司長在</w:t>
      </w:r>
      <w:r w:rsidRPr="00175675">
        <w:rPr>
          <w:rFonts w:hint="eastAsia"/>
          <w:lang w:eastAsia="zh-HK"/>
        </w:rPr>
        <w:t>《財政預算案》</w:t>
      </w:r>
      <w:r>
        <w:rPr>
          <w:rFonts w:hint="eastAsia"/>
          <w:lang w:eastAsia="zh-HK"/>
        </w:rPr>
        <w:t>中</w:t>
      </w:r>
      <w:r w:rsidR="00FA428E">
        <w:rPr>
          <w:rFonts w:hint="eastAsia"/>
          <w:lang w:eastAsia="zh-HK"/>
        </w:rPr>
        <w:t>宣</w:t>
      </w:r>
      <w:r w:rsidRPr="0031189F">
        <w:rPr>
          <w:rFonts w:hint="eastAsia"/>
          <w:lang w:eastAsia="zh-HK"/>
        </w:rPr>
        <w:t>布</w:t>
      </w:r>
      <w:r w:rsidR="002835AA">
        <w:rPr>
          <w:rFonts w:hint="eastAsia"/>
          <w:lang w:eastAsia="zh-HK"/>
        </w:rPr>
        <w:t>於</w:t>
      </w:r>
      <w:r w:rsidR="004210C4" w:rsidRPr="004210C4">
        <w:rPr>
          <w:rFonts w:hint="eastAsia"/>
          <w:lang w:eastAsia="zh-HK"/>
        </w:rPr>
        <w:t>五年內</w:t>
      </w:r>
      <w:r w:rsidRPr="00337031">
        <w:rPr>
          <w:rFonts w:hint="eastAsia"/>
          <w:lang w:eastAsia="zh-HK"/>
        </w:rPr>
        <w:t>撥</w:t>
      </w:r>
      <w:r w:rsidR="00FA428E">
        <w:rPr>
          <w:rFonts w:hint="eastAsia"/>
          <w:lang w:eastAsia="zh-HK"/>
        </w:rPr>
        <w:t>出</w:t>
      </w:r>
      <w:r w:rsidR="00DB0377" w:rsidRPr="00984230">
        <w:rPr>
          <w:rFonts w:hint="eastAsia"/>
          <w:lang w:eastAsia="zh-HK"/>
        </w:rPr>
        <w:t>共</w:t>
      </w:r>
      <w:r>
        <w:rPr>
          <w:rFonts w:hint="eastAsia"/>
          <w:lang w:eastAsia="zh-HK"/>
        </w:rPr>
        <w:t>1</w:t>
      </w:r>
      <w:r w:rsidR="00EA10A9">
        <w:rPr>
          <w:lang w:eastAsia="zh-HK"/>
        </w:rPr>
        <w:t>.35</w:t>
      </w:r>
      <w:r w:rsidR="004210C4">
        <w:rPr>
          <w:lang w:eastAsia="zh-HK"/>
        </w:rPr>
        <w:t> </w:t>
      </w:r>
      <w:r w:rsidRPr="00E35738">
        <w:rPr>
          <w:rFonts w:hint="eastAsia"/>
          <w:lang w:eastAsia="zh-HK"/>
        </w:rPr>
        <w:t>億元</w:t>
      </w:r>
      <w:r>
        <w:rPr>
          <w:rFonts w:hint="eastAsia"/>
          <w:lang w:eastAsia="zh-HK"/>
        </w:rPr>
        <w:t>支持香港藝術家到大灣區參與演出及創作</w:t>
      </w:r>
      <w:r w:rsidRPr="00FC6ECA">
        <w:rPr>
          <w:rFonts w:hint="eastAsia"/>
          <w:lang w:eastAsia="zh-HK"/>
        </w:rPr>
        <w:t>，</w:t>
      </w:r>
      <w:r w:rsidR="000D105A">
        <w:rPr>
          <w:rFonts w:hint="eastAsia"/>
          <w:lang w:eastAsia="zh-HK"/>
        </w:rPr>
        <w:t>以及</w:t>
      </w:r>
      <w:r w:rsidR="000D105A" w:rsidRPr="00337031">
        <w:rPr>
          <w:rFonts w:hint="eastAsia"/>
          <w:lang w:eastAsia="zh-HK"/>
        </w:rPr>
        <w:t>撥</w:t>
      </w:r>
      <w:r w:rsidR="000D105A">
        <w:rPr>
          <w:rFonts w:hint="eastAsia"/>
          <w:lang w:eastAsia="zh-HK"/>
        </w:rPr>
        <w:t>出</w:t>
      </w:r>
      <w:r w:rsidR="000D105A">
        <w:rPr>
          <w:lang w:eastAsia="zh-HK"/>
        </w:rPr>
        <w:t>2,000</w:t>
      </w:r>
      <w:r w:rsidR="000D105A" w:rsidRPr="004210C4">
        <w:rPr>
          <w:rFonts w:hint="eastAsia"/>
          <w:lang w:eastAsia="zh-HK"/>
        </w:rPr>
        <w:t>萬</w:t>
      </w:r>
      <w:r w:rsidR="008F02C5" w:rsidRPr="00E35738">
        <w:rPr>
          <w:rFonts w:hint="eastAsia"/>
          <w:lang w:eastAsia="zh-HK"/>
        </w:rPr>
        <w:t>元</w:t>
      </w:r>
      <w:r w:rsidR="000D105A">
        <w:rPr>
          <w:rFonts w:hint="eastAsia"/>
        </w:rPr>
        <w:t>於</w:t>
      </w:r>
      <w:r w:rsidR="00FA428E" w:rsidRPr="00FA428E">
        <w:rPr>
          <w:rFonts w:hint="eastAsia"/>
        </w:rPr>
        <w:t>二零二四</w:t>
      </w:r>
      <w:r>
        <w:rPr>
          <w:rFonts w:hint="eastAsia"/>
          <w:lang w:eastAsia="zh-HK"/>
        </w:rPr>
        <w:t>年舉</w:t>
      </w:r>
      <w:r>
        <w:rPr>
          <w:rFonts w:hint="eastAsia"/>
        </w:rPr>
        <w:t>辦</w:t>
      </w:r>
      <w:r>
        <w:rPr>
          <w:rFonts w:hint="eastAsia"/>
          <w:lang w:eastAsia="zh-HK"/>
        </w:rPr>
        <w:t>「粵港澳大灣區文化藝術節」。</w:t>
      </w:r>
      <w:r w:rsidR="002835AA">
        <w:rPr>
          <w:rFonts w:hint="eastAsia"/>
          <w:lang w:eastAsia="zh-HK"/>
        </w:rPr>
        <w:t>《</w:t>
      </w:r>
      <w:r w:rsidR="00E77E16" w:rsidRPr="00175675">
        <w:rPr>
          <w:rFonts w:hint="eastAsia"/>
          <w:lang w:eastAsia="zh-HK"/>
        </w:rPr>
        <w:t>財政預算案</w:t>
      </w:r>
      <w:r w:rsidR="002835AA">
        <w:rPr>
          <w:rFonts w:hint="eastAsia"/>
          <w:lang w:eastAsia="zh-HK"/>
        </w:rPr>
        <w:t>》</w:t>
      </w:r>
      <w:r>
        <w:rPr>
          <w:rFonts w:hint="eastAsia"/>
          <w:lang w:eastAsia="zh-HK"/>
        </w:rPr>
        <w:t>亦</w:t>
      </w:r>
      <w:r w:rsidR="00E233FB" w:rsidRPr="00E233FB">
        <w:rPr>
          <w:rFonts w:hint="eastAsia"/>
          <w:lang w:eastAsia="zh-HK"/>
        </w:rPr>
        <w:t>建議</w:t>
      </w:r>
      <w:r w:rsidRPr="00434C66">
        <w:rPr>
          <w:rFonts w:hint="eastAsia"/>
          <w:lang w:eastAsia="zh-HK"/>
        </w:rPr>
        <w:t>向</w:t>
      </w:r>
      <w:r>
        <w:rPr>
          <w:rFonts w:hint="eastAsia"/>
          <w:lang w:eastAsia="zh-HK"/>
        </w:rPr>
        <w:t>「創意智優計劃」</w:t>
      </w:r>
      <w:r w:rsidRPr="00434C66">
        <w:rPr>
          <w:rFonts w:hint="eastAsia"/>
          <w:lang w:eastAsia="zh-HK"/>
        </w:rPr>
        <w:t>注資</w:t>
      </w:r>
      <w:r>
        <w:rPr>
          <w:rFonts w:hint="eastAsia"/>
        </w:rPr>
        <w:t>5</w:t>
      </w:r>
      <w:r>
        <w:rPr>
          <w:lang w:eastAsia="zh-HK"/>
        </w:rPr>
        <w:t> </w:t>
      </w:r>
      <w:r w:rsidRPr="00434C66">
        <w:rPr>
          <w:rFonts w:hint="eastAsia"/>
          <w:lang w:eastAsia="zh-HK"/>
        </w:rPr>
        <w:t>億元</w:t>
      </w:r>
      <w:r w:rsidR="00640BC0">
        <w:rPr>
          <w:rFonts w:hint="eastAsia"/>
          <w:lang w:eastAsia="zh-HK"/>
        </w:rPr>
        <w:t>，通過多項舉措來</w:t>
      </w:r>
      <w:r w:rsidR="00401D11" w:rsidRPr="00E35738">
        <w:rPr>
          <w:rFonts w:hint="eastAsia"/>
          <w:lang w:eastAsia="zh-HK"/>
        </w:rPr>
        <w:t>支持</w:t>
      </w:r>
      <w:r w:rsidR="00401D11" w:rsidRPr="00B062FE">
        <w:rPr>
          <w:rFonts w:hint="eastAsia"/>
          <w:lang w:eastAsia="zh-HK"/>
        </w:rPr>
        <w:t>創意產業</w:t>
      </w:r>
      <w:r>
        <w:rPr>
          <w:rFonts w:hint="eastAsia"/>
          <w:lang w:eastAsia="zh-HK"/>
        </w:rPr>
        <w:t>，</w:t>
      </w:r>
      <w:r w:rsidR="00401D11">
        <w:rPr>
          <w:rFonts w:hint="eastAsia"/>
          <w:lang w:eastAsia="zh-HK"/>
        </w:rPr>
        <w:t>包括</w:t>
      </w:r>
      <w:r>
        <w:rPr>
          <w:rFonts w:hint="eastAsia"/>
          <w:lang w:eastAsia="zh-HK"/>
        </w:rPr>
        <w:t>鼓勵舉</w:t>
      </w:r>
      <w:r>
        <w:rPr>
          <w:rFonts w:hint="eastAsia"/>
        </w:rPr>
        <w:t>辦</w:t>
      </w:r>
      <w:r>
        <w:rPr>
          <w:rFonts w:hint="eastAsia"/>
          <w:lang w:eastAsia="zh-HK"/>
        </w:rPr>
        <w:t>更多跨界別及跨領域合作項目</w:t>
      </w:r>
      <w:r w:rsidRPr="00E35738">
        <w:rPr>
          <w:rFonts w:hint="eastAsia"/>
          <w:lang w:eastAsia="zh-HK"/>
        </w:rPr>
        <w:t>、</w:t>
      </w:r>
      <w:r>
        <w:rPr>
          <w:rFonts w:hint="eastAsia"/>
          <w:lang w:eastAsia="zh-HK"/>
        </w:rPr>
        <w:t>支持</w:t>
      </w:r>
      <w:r w:rsidR="00187340" w:rsidRPr="00187340">
        <w:rPr>
          <w:rFonts w:hint="eastAsia"/>
          <w:lang w:eastAsia="zh-HK"/>
        </w:rPr>
        <w:t>本地電視台</w:t>
      </w:r>
      <w:r>
        <w:rPr>
          <w:rFonts w:hint="eastAsia"/>
          <w:lang w:eastAsia="zh-HK"/>
        </w:rPr>
        <w:t>與內地或亞洲團隊聯合製作電視</w:t>
      </w:r>
      <w:r w:rsidR="00187340" w:rsidRPr="00187340">
        <w:rPr>
          <w:rFonts w:hint="eastAsia"/>
          <w:lang w:eastAsia="zh-HK"/>
        </w:rPr>
        <w:t>綜藝</w:t>
      </w:r>
      <w:r>
        <w:rPr>
          <w:rFonts w:hint="eastAsia"/>
          <w:lang w:eastAsia="zh-HK"/>
        </w:rPr>
        <w:t>節目，以及資助</w:t>
      </w:r>
      <w:r w:rsidR="005F3B16" w:rsidRPr="005F3B16">
        <w:rPr>
          <w:lang w:eastAsia="zh-HK"/>
        </w:rPr>
        <w:t>香港設計中心</w:t>
      </w:r>
      <w:r w:rsidR="005F3B16" w:rsidRPr="005F3B16">
        <w:rPr>
          <w:rFonts w:hint="eastAsia"/>
          <w:lang w:eastAsia="zh-HK"/>
        </w:rPr>
        <w:t>和</w:t>
      </w:r>
      <w:r w:rsidR="005F3B16" w:rsidRPr="005F3B16">
        <w:rPr>
          <w:lang w:eastAsia="zh-HK"/>
        </w:rPr>
        <w:t>香港貿易發展局</w:t>
      </w:r>
      <w:r w:rsidR="005F3B16" w:rsidRPr="005F3B16">
        <w:rPr>
          <w:rFonts w:hint="eastAsia"/>
          <w:lang w:eastAsia="zh-HK"/>
        </w:rPr>
        <w:t>舉辦</w:t>
      </w:r>
      <w:r>
        <w:rPr>
          <w:rFonts w:hint="eastAsia"/>
          <w:lang w:eastAsia="zh-HK"/>
        </w:rPr>
        <w:t>旗艦活動及培育計劃</w:t>
      </w:r>
      <w:r w:rsidRPr="0013172C">
        <w:rPr>
          <w:rFonts w:hint="eastAsia"/>
          <w:lang w:eastAsia="zh-HK"/>
        </w:rPr>
        <w:t>。</w:t>
      </w:r>
    </w:p>
    <w:p w14:paraId="336F0F97" w14:textId="77777777" w:rsidR="001B3BFC" w:rsidRDefault="001B3BFC">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noProof/>
        </w:rPr>
        <w:br w:type="page"/>
      </w:r>
    </w:p>
    <w:p w14:paraId="46B5E454" w14:textId="77777777" w:rsidR="001B3BFC" w:rsidRPr="00B450A0" w:rsidRDefault="001B3BFC" w:rsidP="006E4C04">
      <w:pPr>
        <w:pStyle w:val="12"/>
      </w:pPr>
      <w:r w:rsidRPr="0085246B">
        <w:rPr>
          <w:noProof/>
        </w:rPr>
        <w:lastRenderedPageBreak/>
        <w:t>註釋</w:t>
      </w:r>
      <w:r w:rsidRPr="0085246B">
        <w:rPr>
          <w:b/>
          <w:noProof/>
        </w:rPr>
        <w:t>：</w:t>
      </w:r>
    </w:p>
    <w:p w14:paraId="290FCBB9" w14:textId="77777777" w:rsidR="00F96A25" w:rsidRPr="00777F12" w:rsidRDefault="00F96A25" w:rsidP="00F96A25">
      <w:pPr>
        <w:pStyle w:val="af9"/>
      </w:pPr>
      <w:r w:rsidRPr="00777F12">
        <w:t>(</w:t>
      </w:r>
      <w:r w:rsidRPr="00777F12">
        <w:rPr>
          <w:rFonts w:hint="eastAsia"/>
        </w:rPr>
        <w:t>1</w:t>
      </w:r>
      <w:r w:rsidRPr="00777F12">
        <w:t>)</w:t>
      </w:r>
      <w:r w:rsidRPr="00777F12">
        <w:tab/>
      </w:r>
      <w:r w:rsidRPr="00777F12">
        <w:rPr>
          <w:rFonts w:hint="eastAsia"/>
        </w:rPr>
        <w:t>由二零一九年第三季開始，置業負擔指數的計算基礎涵蓋以最優惠貸款利率為基準及以香港銀行同業拆息為基準的新造按揭貸款的按揭利率。因此，自二零一九年第三季起的數據未必能與以往季度的數據直接相比，因為後者只採用以最優惠貸款利率為基準的新造按揭貸款的按揭利率為計算基礎。</w:t>
      </w:r>
    </w:p>
    <w:p w14:paraId="5E073173" w14:textId="77777777" w:rsidR="00F96A25" w:rsidRPr="00777F12" w:rsidRDefault="00F96A25" w:rsidP="00F96A25">
      <w:pPr>
        <w:pStyle w:val="af9"/>
      </w:pPr>
      <w:r w:rsidRPr="00777F12">
        <w:tab/>
      </w:r>
      <w:r w:rsidRPr="00777F12">
        <w:rPr>
          <w:rFonts w:hint="eastAsia"/>
        </w:rPr>
        <w:t>這些數字會在取得更多數據後再作修訂。</w:t>
      </w:r>
    </w:p>
    <w:p w14:paraId="55010049" w14:textId="77777777" w:rsidR="00F96A25" w:rsidRPr="00777F12" w:rsidRDefault="00F96A25" w:rsidP="00F96A25">
      <w:pPr>
        <w:pStyle w:val="af9"/>
      </w:pPr>
      <w:r w:rsidRPr="00777F12">
        <w:t>(2)</w:t>
      </w:r>
      <w:r w:rsidRPr="00777F12">
        <w:tab/>
      </w:r>
      <w:r w:rsidRPr="009E78E4">
        <w:rPr>
          <w:rFonts w:hint="eastAsia"/>
        </w:rPr>
        <w:t>有關二零一零年公布的措施細節，見《二零一零年第一季經濟報告》專題</w:t>
      </w:r>
      <w:r w:rsidRPr="009E78E4">
        <w:t> 3.1</w:t>
      </w:r>
      <w:r w:rsidRPr="009E78E4">
        <w:rPr>
          <w:rFonts w:hint="eastAsia"/>
        </w:rPr>
        <w:t>、《二零一零年第三季經濟報告》專題</w:t>
      </w:r>
      <w:r w:rsidRPr="009E78E4">
        <w:t> 3.1</w:t>
      </w:r>
      <w:r w:rsidRPr="009E78E4">
        <w:rPr>
          <w:rFonts w:hint="eastAsia"/>
        </w:rPr>
        <w:t>，以及《二零一零年經濟概況及二零一一年展望》第四章章末註釋</w:t>
      </w:r>
      <w:r w:rsidRPr="009E78E4">
        <w:t>(2)</w:t>
      </w:r>
      <w:r w:rsidRPr="009E78E4">
        <w:rPr>
          <w:rFonts w:hint="eastAsia"/>
        </w:rPr>
        <w:t>。有關二零一一年公布的措施細節，見《二零一一年半年經濟報告》第三章章末註釋</w:t>
      </w:r>
      <w:r w:rsidRPr="009E78E4">
        <w:t>(2)</w:t>
      </w:r>
      <w:r w:rsidRPr="009E78E4">
        <w:rPr>
          <w:rFonts w:hint="eastAsia"/>
        </w:rPr>
        <w:t>及《二零一一年第三季經濟報告》專題</w:t>
      </w:r>
      <w:r w:rsidRPr="009E78E4">
        <w:t> 3.1</w:t>
      </w:r>
      <w:r w:rsidRPr="009E78E4">
        <w:rPr>
          <w:rFonts w:hint="eastAsia"/>
        </w:rPr>
        <w:t>。有關二零一二年公布的措施細節，見《二零一二年第三季經濟報告》專題</w:t>
      </w:r>
      <w:r w:rsidRPr="009E78E4">
        <w:t> 3.1</w:t>
      </w:r>
      <w:r w:rsidRPr="009E78E4">
        <w:rPr>
          <w:rFonts w:hint="eastAsia"/>
        </w:rPr>
        <w:t>及《二零一二年經濟概況及二零一三年展望》專題</w:t>
      </w:r>
      <w:r w:rsidRPr="009E78E4">
        <w:t> 4.1</w:t>
      </w:r>
      <w:r w:rsidRPr="009E78E4">
        <w:rPr>
          <w:rFonts w:hint="eastAsia"/>
        </w:rPr>
        <w:t>。有關二零一三年公布的措施細節，見《二零一二年經濟概況及二零一三年展望》專題</w:t>
      </w:r>
      <w:r w:rsidRPr="009E78E4">
        <w:t> 4.2</w:t>
      </w:r>
      <w:r w:rsidRPr="009E78E4">
        <w:rPr>
          <w:rFonts w:hint="eastAsia"/>
        </w:rPr>
        <w:t>及《二零一三年第一季經濟報告》專題</w:t>
      </w:r>
      <w:r w:rsidRPr="009E78E4">
        <w:t> 3.1</w:t>
      </w:r>
      <w:r w:rsidRPr="009E78E4">
        <w:rPr>
          <w:rFonts w:hint="eastAsia"/>
        </w:rPr>
        <w:t>。有關二零一四年公布的措施細節，見《二零一三年經濟概況及二零一四年展望》專題</w:t>
      </w:r>
      <w:r w:rsidRPr="009E78E4">
        <w:t> 4.1</w:t>
      </w:r>
      <w:r w:rsidRPr="009E78E4">
        <w:rPr>
          <w:rFonts w:hint="eastAsia"/>
        </w:rPr>
        <w:t>。有關二零一五年公布的措施細節，見《二零一五年第一季經濟報告》專題</w:t>
      </w:r>
      <w:r w:rsidRPr="009E78E4">
        <w:t> </w:t>
      </w:r>
      <w:r w:rsidRPr="009E78E4">
        <w:rPr>
          <w:rFonts w:hint="eastAsia"/>
        </w:rPr>
        <w:t>3.1</w:t>
      </w:r>
      <w:r w:rsidRPr="009E78E4">
        <w:rPr>
          <w:rFonts w:hint="eastAsia"/>
        </w:rPr>
        <w:t>。有關二零一六年公布的措施細節，見《二零一六年經濟概況及二零一七年展望》第四章章末註釋</w:t>
      </w:r>
      <w:r w:rsidRPr="009E78E4">
        <w:rPr>
          <w:rFonts w:hint="eastAsia"/>
        </w:rPr>
        <w:t>(1)</w:t>
      </w:r>
      <w:r w:rsidRPr="009E78E4">
        <w:rPr>
          <w:rFonts w:hint="eastAsia"/>
        </w:rPr>
        <w:t>。有關二零一七年公布的措施細節，見《二零一七年第一季經濟報告》第三章章末註釋</w:t>
      </w:r>
      <w:r w:rsidRPr="009E78E4">
        <w:t>(3)</w:t>
      </w:r>
      <w:r w:rsidRPr="009E78E4">
        <w:rPr>
          <w:rFonts w:hint="eastAsia"/>
        </w:rPr>
        <w:t>、《二零一七年半年經濟報告》第三章章末註釋</w:t>
      </w:r>
      <w:r w:rsidRPr="009E78E4">
        <w:rPr>
          <w:rFonts w:hint="eastAsia"/>
        </w:rPr>
        <w:t>(2)</w:t>
      </w:r>
      <w:r w:rsidRPr="009E78E4">
        <w:rPr>
          <w:rFonts w:hint="eastAsia"/>
        </w:rPr>
        <w:t>，以及《二零一七年第三季經濟報告》專題</w:t>
      </w:r>
      <w:r w:rsidRPr="009E78E4">
        <w:t> </w:t>
      </w:r>
      <w:r w:rsidRPr="009E78E4">
        <w:rPr>
          <w:rFonts w:hint="eastAsia"/>
        </w:rPr>
        <w:t>3.1</w:t>
      </w:r>
      <w:r w:rsidRPr="009E78E4">
        <w:rPr>
          <w:rFonts w:hint="eastAsia"/>
        </w:rPr>
        <w:t>。有關二零一八年公布的措施細節，見《二零一八年半年經濟報告》專題</w:t>
      </w:r>
      <w:r w:rsidRPr="009E78E4">
        <w:t> </w:t>
      </w:r>
      <w:r w:rsidRPr="009E78E4">
        <w:rPr>
          <w:rFonts w:hint="eastAsia"/>
        </w:rPr>
        <w:t>3.1</w:t>
      </w:r>
      <w:r w:rsidRPr="009E78E4">
        <w:rPr>
          <w:rFonts w:hint="eastAsia"/>
        </w:rPr>
        <w:t>及《二零一八年第三季經濟報告》專題</w:t>
      </w:r>
      <w:r w:rsidRPr="009E78E4">
        <w:t> </w:t>
      </w:r>
      <w:r w:rsidRPr="009E78E4">
        <w:rPr>
          <w:rFonts w:hint="eastAsia"/>
        </w:rPr>
        <w:t>3.1</w:t>
      </w:r>
      <w:r w:rsidRPr="009E78E4">
        <w:rPr>
          <w:rFonts w:hint="eastAsia"/>
        </w:rPr>
        <w:t>。有關二零一九年公布的措施細節，見《二零一九年第三季經濟報告》專題</w:t>
      </w:r>
      <w:r w:rsidRPr="009E78E4">
        <w:t> </w:t>
      </w:r>
      <w:r w:rsidRPr="009E78E4">
        <w:rPr>
          <w:rFonts w:hint="eastAsia"/>
        </w:rPr>
        <w:t>3.1</w:t>
      </w:r>
      <w:r w:rsidRPr="009E78E4">
        <w:rPr>
          <w:rFonts w:hint="eastAsia"/>
        </w:rPr>
        <w:t>。有關二零二零年公布的措施細節，見《二零二零年經濟概況及二零二一年展望》專題</w:t>
      </w:r>
      <w:r w:rsidRPr="009E78E4">
        <w:t> 4</w:t>
      </w:r>
      <w:r w:rsidRPr="009E78E4">
        <w:rPr>
          <w:rFonts w:hint="eastAsia"/>
        </w:rPr>
        <w:t>.1</w:t>
      </w:r>
      <w:r w:rsidRPr="009E78E4">
        <w:rPr>
          <w:rFonts w:hint="eastAsia"/>
        </w:rPr>
        <w:t>。有關二零二一年公布的措施細節，見《二零二一年第三季經濟報告》專題</w:t>
      </w:r>
      <w:r w:rsidRPr="009E78E4">
        <w:t> </w:t>
      </w:r>
      <w:r w:rsidRPr="009E78E4">
        <w:rPr>
          <w:rFonts w:hint="eastAsia"/>
        </w:rPr>
        <w:t>3.1</w:t>
      </w:r>
      <w:r w:rsidRPr="009E78E4">
        <w:rPr>
          <w:rFonts w:hint="eastAsia"/>
        </w:rPr>
        <w:t>。有關二零二二年公布的措施細節，見《二零二二年第三季經濟報告》專題</w:t>
      </w:r>
      <w:r w:rsidRPr="009E78E4">
        <w:t> </w:t>
      </w:r>
      <w:r w:rsidRPr="009E78E4">
        <w:rPr>
          <w:rFonts w:hint="eastAsia"/>
        </w:rPr>
        <w:t>3.1</w:t>
      </w:r>
      <w:r w:rsidRPr="009E78E4">
        <w:rPr>
          <w:rFonts w:hint="eastAsia"/>
        </w:rPr>
        <w:t>。</w:t>
      </w:r>
    </w:p>
    <w:p w14:paraId="2274E5DC" w14:textId="77777777" w:rsidR="00F96A25" w:rsidRPr="00777F12" w:rsidRDefault="00F96A25" w:rsidP="00F96A25">
      <w:pPr>
        <w:pStyle w:val="af9"/>
      </w:pPr>
      <w:r w:rsidRPr="00777F12">
        <w:rPr>
          <w:rFonts w:hint="eastAsia"/>
        </w:rPr>
        <w:t>(</w:t>
      </w:r>
      <w:r w:rsidRPr="00777F12">
        <w:t>3</w:t>
      </w:r>
      <w:r w:rsidRPr="00777F12">
        <w:rPr>
          <w:rFonts w:hint="eastAsia"/>
        </w:rPr>
        <w:t>)</w:t>
      </w:r>
      <w:r w:rsidRPr="00777F12">
        <w:rPr>
          <w:rFonts w:hint="eastAsia"/>
        </w:rPr>
        <w:tab/>
      </w:r>
      <w:r w:rsidRPr="00777F12">
        <w:rPr>
          <w:rFonts w:hint="eastAsia"/>
        </w:rPr>
        <w:t>交投量為商業樓宇的數字，商業樓宇包括零售舖位及其他設計或改建作商業用途的樓宇，但不包括專門作寫字樓用途的樓宇。</w:t>
      </w:r>
    </w:p>
    <w:p w14:paraId="1034D1E6" w14:textId="3F3701FF" w:rsidR="001B3BFC" w:rsidRPr="00C70037" w:rsidRDefault="001B3BFC" w:rsidP="00F96A25">
      <w:pPr>
        <w:pStyle w:val="af9"/>
      </w:pPr>
      <w:r w:rsidRPr="0085246B">
        <w:lastRenderedPageBreak/>
        <w:t>(</w:t>
      </w:r>
      <w:r>
        <w:t>4</w:t>
      </w:r>
      <w:r w:rsidRPr="0085246B">
        <w:t>)</w:t>
      </w:r>
      <w:r w:rsidRPr="0085246B">
        <w:tab/>
      </w:r>
      <w:r w:rsidRPr="00501A60">
        <w:rPr>
          <w:rFonts w:hint="eastAsia"/>
        </w:rPr>
        <w:t>其他短途市場指北亞、南亞及東南亞、台灣及澳門，但不包括內地；長途市場則指美洲、歐洲、非洲、中東、澳洲、新西蘭及南太平洋。在二零二</w:t>
      </w:r>
      <w:r>
        <w:rPr>
          <w:rFonts w:hint="eastAsia"/>
          <w:lang w:eastAsia="zh-HK"/>
        </w:rPr>
        <w:t>三</w:t>
      </w:r>
      <w:r w:rsidRPr="00501A60">
        <w:rPr>
          <w:rFonts w:hint="eastAsia"/>
        </w:rPr>
        <w:t>年</w:t>
      </w:r>
      <w:r>
        <w:rPr>
          <w:rFonts w:hint="eastAsia"/>
          <w:lang w:eastAsia="zh-HK"/>
        </w:rPr>
        <w:t>第一季</w:t>
      </w:r>
      <w:r w:rsidRPr="00501A60">
        <w:rPr>
          <w:rFonts w:hint="eastAsia"/>
        </w:rPr>
        <w:t>，來自內地、其他短途市場及長途市場的訪港旅客人次分別佔訪港旅客總人次的</w:t>
      </w:r>
      <w:r w:rsidRPr="00501A60">
        <w:rPr>
          <w:rFonts w:hint="eastAsia"/>
        </w:rPr>
        <w:t>7</w:t>
      </w:r>
      <w:r>
        <w:rPr>
          <w:rFonts w:hint="eastAsia"/>
        </w:rPr>
        <w:t>6</w:t>
      </w:r>
      <w:r w:rsidRPr="00501A60">
        <w:t>%</w:t>
      </w:r>
      <w:r w:rsidRPr="00501A60">
        <w:rPr>
          <w:rFonts w:hint="eastAsia"/>
        </w:rPr>
        <w:t>、</w:t>
      </w:r>
      <w:r>
        <w:t>1</w:t>
      </w:r>
      <w:r w:rsidR="0003579E">
        <w:t>8</w:t>
      </w:r>
      <w:r w:rsidRPr="00501A60">
        <w:t>%</w:t>
      </w:r>
      <w:r w:rsidRPr="00501A60">
        <w:rPr>
          <w:rFonts w:hint="eastAsia"/>
        </w:rPr>
        <w:t>和</w:t>
      </w:r>
      <w:r w:rsidR="0003579E">
        <w:t>6</w:t>
      </w:r>
      <w:r w:rsidRPr="00501A60">
        <w:t>%</w:t>
      </w:r>
      <w:r w:rsidRPr="00501A60">
        <w:rPr>
          <w:rFonts w:hint="eastAsia"/>
        </w:rPr>
        <w:t>。</w:t>
      </w:r>
    </w:p>
    <w:p w14:paraId="55650FA3" w14:textId="4741B229" w:rsidR="001B3BFC" w:rsidRDefault="001B3BFC" w:rsidP="006E4C04">
      <w:pPr>
        <w:pStyle w:val="af9"/>
      </w:pPr>
      <w:r w:rsidRPr="00AE678C">
        <w:t>(</w:t>
      </w:r>
      <w:r>
        <w:t>5</w:t>
      </w:r>
      <w:r w:rsidRPr="00AE678C">
        <w:t>)</w:t>
      </w:r>
      <w:r w:rsidRPr="00AE678C">
        <w:tab/>
      </w:r>
      <w:r w:rsidRPr="00501A60">
        <w:rPr>
          <w:rFonts w:hint="eastAsia"/>
        </w:rPr>
        <w:t>有關酒店房間入住率及實際房租的數字並不包括賓館。</w:t>
      </w:r>
      <w:r w:rsidR="00C42B6D" w:rsidRPr="00C42B6D">
        <w:rPr>
          <w:rFonts w:hint="eastAsia"/>
        </w:rPr>
        <w:t>這些數字會在取得更多數據後再作修訂。</w:t>
      </w:r>
    </w:p>
    <w:p w14:paraId="2E878C92" w14:textId="5EEBB8D3" w:rsidR="00D76003" w:rsidRPr="001B3BFC" w:rsidRDefault="00D76003" w:rsidP="001B3BFC"/>
    <w:sectPr w:rsidR="00D76003" w:rsidRPr="001B3BFC" w:rsidSect="000C21DC">
      <w:footerReference w:type="default" r:id="rId17"/>
      <w:pgSz w:w="11907" w:h="16840" w:code="9"/>
      <w:pgMar w:top="1134" w:right="1418" w:bottom="1134" w:left="1418" w:header="567" w:footer="340" w:gutter="0"/>
      <w:pgNumType w:start="31"/>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0F7E6" w16cex:dateUtc="2021-05-08T03:43:00Z"/>
  <w16cex:commentExtensible w16cex:durableId="2440F879" w16cex:dateUtc="2021-05-08T03:46:00Z"/>
  <w16cex:commentExtensible w16cex:durableId="2440FDAF" w16cex:dateUtc="2021-05-08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9958A5" w16cid:durableId="2440F7E6"/>
  <w16cid:commentId w16cid:paraId="22744A31" w16cid:durableId="2440F879"/>
  <w16cid:commentId w16cid:paraId="31C75996" w16cid:durableId="2440FD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25DAD" w14:textId="77777777" w:rsidR="004D2059" w:rsidRDefault="004D2059">
      <w:r>
        <w:separator/>
      </w:r>
    </w:p>
  </w:endnote>
  <w:endnote w:type="continuationSeparator" w:id="0">
    <w:p w14:paraId="3EA10BAB" w14:textId="77777777" w:rsidR="004D2059" w:rsidRDefault="004D2059">
      <w:r>
        <w:continuationSeparator/>
      </w:r>
    </w:p>
  </w:endnote>
  <w:endnote w:type="continuationNotice" w:id="1">
    <w:p w14:paraId="716AECCD" w14:textId="77777777" w:rsidR="004D2059" w:rsidRDefault="004D20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72F78E6C" w:rsidR="00ED6756" w:rsidRPr="00F558B4" w:rsidRDefault="00ED6756" w:rsidP="0080598F">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BD7D68">
      <w:rPr>
        <w:rStyle w:val="ad"/>
        <w:noProof/>
        <w:sz w:val="24"/>
        <w:szCs w:val="24"/>
      </w:rPr>
      <w:t>31</w:t>
    </w:r>
    <w:r w:rsidRPr="00F558B4">
      <w:rPr>
        <w:rStyle w:val="ad"/>
        <w:sz w:val="24"/>
        <w:szCs w:val="24"/>
      </w:rPr>
      <w:fldChar w:fldCharType="end"/>
    </w:r>
  </w:p>
  <w:p w14:paraId="29629341" w14:textId="77777777" w:rsidR="00ED6756" w:rsidRDefault="00ED675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B471C" w14:textId="77777777" w:rsidR="004D2059" w:rsidRDefault="004D2059" w:rsidP="003866D5">
      <w:pPr>
        <w:spacing w:line="240" w:lineRule="atLeast"/>
        <w:jc w:val="center"/>
      </w:pPr>
      <w:r>
        <w:separator/>
      </w:r>
    </w:p>
  </w:footnote>
  <w:footnote w:type="continuationSeparator" w:id="0">
    <w:p w14:paraId="2EA03424" w14:textId="77777777" w:rsidR="004D2059" w:rsidRDefault="004D2059">
      <w:r>
        <w:continuationSeparator/>
      </w:r>
    </w:p>
  </w:footnote>
  <w:footnote w:type="continuationNotice" w:id="1">
    <w:p w14:paraId="5148E48A" w14:textId="77777777" w:rsidR="004D2059" w:rsidRDefault="004D20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4"/>
  </w:num>
  <w:num w:numId="9">
    <w:abstractNumId w:val="4"/>
  </w:num>
  <w:num w:numId="10">
    <w:abstractNumId w:val="6"/>
  </w:num>
  <w:num w:numId="11">
    <w:abstractNumId w:val="0"/>
  </w:num>
  <w:num w:numId="12">
    <w:abstractNumId w:val="3"/>
  </w:num>
  <w:num w:numId="13">
    <w:abstractNumId w:val="0"/>
  </w:num>
  <w:num w:numId="14">
    <w:abstractNumId w:val="0"/>
  </w:num>
  <w:num w:numId="15">
    <w:abstractNumId w:val="3"/>
  </w:num>
  <w:num w:numId="1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276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69F"/>
    <w:rsid w:val="00006993"/>
    <w:rsid w:val="00006A69"/>
    <w:rsid w:val="00007695"/>
    <w:rsid w:val="000077C0"/>
    <w:rsid w:val="0001010B"/>
    <w:rsid w:val="00010176"/>
    <w:rsid w:val="00010790"/>
    <w:rsid w:val="00010B19"/>
    <w:rsid w:val="00011663"/>
    <w:rsid w:val="0001188C"/>
    <w:rsid w:val="000121FC"/>
    <w:rsid w:val="00012267"/>
    <w:rsid w:val="000123A9"/>
    <w:rsid w:val="00012873"/>
    <w:rsid w:val="00013D75"/>
    <w:rsid w:val="00013DF3"/>
    <w:rsid w:val="00014271"/>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B8A"/>
    <w:rsid w:val="00017CF4"/>
    <w:rsid w:val="00017DAA"/>
    <w:rsid w:val="000203E6"/>
    <w:rsid w:val="000203F6"/>
    <w:rsid w:val="000206FE"/>
    <w:rsid w:val="000207EB"/>
    <w:rsid w:val="00020B06"/>
    <w:rsid w:val="00020FB1"/>
    <w:rsid w:val="00020FD7"/>
    <w:rsid w:val="0002103B"/>
    <w:rsid w:val="00021AED"/>
    <w:rsid w:val="00021B55"/>
    <w:rsid w:val="00021EE0"/>
    <w:rsid w:val="0002222D"/>
    <w:rsid w:val="00022452"/>
    <w:rsid w:val="000227F6"/>
    <w:rsid w:val="00022A30"/>
    <w:rsid w:val="00022C5A"/>
    <w:rsid w:val="0002319E"/>
    <w:rsid w:val="000235D0"/>
    <w:rsid w:val="00023B0F"/>
    <w:rsid w:val="00023B22"/>
    <w:rsid w:val="00023C87"/>
    <w:rsid w:val="0002407B"/>
    <w:rsid w:val="00024137"/>
    <w:rsid w:val="000244DC"/>
    <w:rsid w:val="0002457E"/>
    <w:rsid w:val="00024A5A"/>
    <w:rsid w:val="00024D95"/>
    <w:rsid w:val="000252FB"/>
    <w:rsid w:val="00025455"/>
    <w:rsid w:val="000255C6"/>
    <w:rsid w:val="0002560B"/>
    <w:rsid w:val="000257F8"/>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3D6"/>
    <w:rsid w:val="0003049E"/>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9E"/>
    <w:rsid w:val="000357C3"/>
    <w:rsid w:val="00035AE9"/>
    <w:rsid w:val="00035DD7"/>
    <w:rsid w:val="00035FB2"/>
    <w:rsid w:val="000360A7"/>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C46"/>
    <w:rsid w:val="0004000F"/>
    <w:rsid w:val="000400C2"/>
    <w:rsid w:val="000406A2"/>
    <w:rsid w:val="00040771"/>
    <w:rsid w:val="0004084A"/>
    <w:rsid w:val="00040F66"/>
    <w:rsid w:val="000412E4"/>
    <w:rsid w:val="00041532"/>
    <w:rsid w:val="0004154A"/>
    <w:rsid w:val="000419EA"/>
    <w:rsid w:val="00041CE0"/>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AF"/>
    <w:rsid w:val="00051D44"/>
    <w:rsid w:val="00052477"/>
    <w:rsid w:val="000528B5"/>
    <w:rsid w:val="00052D4A"/>
    <w:rsid w:val="000533A9"/>
    <w:rsid w:val="000538F4"/>
    <w:rsid w:val="00053955"/>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71E9"/>
    <w:rsid w:val="00057F7E"/>
    <w:rsid w:val="000600D3"/>
    <w:rsid w:val="0006012B"/>
    <w:rsid w:val="000605F1"/>
    <w:rsid w:val="000605F4"/>
    <w:rsid w:val="00060674"/>
    <w:rsid w:val="00060757"/>
    <w:rsid w:val="00060877"/>
    <w:rsid w:val="00060891"/>
    <w:rsid w:val="00060B32"/>
    <w:rsid w:val="00061071"/>
    <w:rsid w:val="000610DC"/>
    <w:rsid w:val="000611FD"/>
    <w:rsid w:val="000613EF"/>
    <w:rsid w:val="000618A2"/>
    <w:rsid w:val="00061A36"/>
    <w:rsid w:val="00061F04"/>
    <w:rsid w:val="00061F07"/>
    <w:rsid w:val="000620DC"/>
    <w:rsid w:val="000620E1"/>
    <w:rsid w:val="000622C5"/>
    <w:rsid w:val="00062A35"/>
    <w:rsid w:val="00062BA7"/>
    <w:rsid w:val="00062F18"/>
    <w:rsid w:val="000636A5"/>
    <w:rsid w:val="0006395D"/>
    <w:rsid w:val="00063A4C"/>
    <w:rsid w:val="00063ED7"/>
    <w:rsid w:val="00064341"/>
    <w:rsid w:val="000647CE"/>
    <w:rsid w:val="00064AC7"/>
    <w:rsid w:val="00064CC0"/>
    <w:rsid w:val="00064E64"/>
    <w:rsid w:val="0006579C"/>
    <w:rsid w:val="00065864"/>
    <w:rsid w:val="0006592A"/>
    <w:rsid w:val="00065FF4"/>
    <w:rsid w:val="00066040"/>
    <w:rsid w:val="00066212"/>
    <w:rsid w:val="00066388"/>
    <w:rsid w:val="00066453"/>
    <w:rsid w:val="00066B2A"/>
    <w:rsid w:val="0006710A"/>
    <w:rsid w:val="00067290"/>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78D"/>
    <w:rsid w:val="0007592C"/>
    <w:rsid w:val="00075BAB"/>
    <w:rsid w:val="00075C28"/>
    <w:rsid w:val="00075DBD"/>
    <w:rsid w:val="00075FB2"/>
    <w:rsid w:val="00076089"/>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FF6"/>
    <w:rsid w:val="000815A6"/>
    <w:rsid w:val="000817B7"/>
    <w:rsid w:val="00081849"/>
    <w:rsid w:val="0008194C"/>
    <w:rsid w:val="00081A55"/>
    <w:rsid w:val="00081AC7"/>
    <w:rsid w:val="00081F50"/>
    <w:rsid w:val="000828C4"/>
    <w:rsid w:val="00082CA1"/>
    <w:rsid w:val="00082F24"/>
    <w:rsid w:val="00084361"/>
    <w:rsid w:val="00084493"/>
    <w:rsid w:val="000846B0"/>
    <w:rsid w:val="000847C5"/>
    <w:rsid w:val="00085873"/>
    <w:rsid w:val="00086011"/>
    <w:rsid w:val="00086024"/>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E51"/>
    <w:rsid w:val="000956ED"/>
    <w:rsid w:val="0009575D"/>
    <w:rsid w:val="000959BB"/>
    <w:rsid w:val="0009606D"/>
    <w:rsid w:val="000963DC"/>
    <w:rsid w:val="00096454"/>
    <w:rsid w:val="0009645C"/>
    <w:rsid w:val="00096777"/>
    <w:rsid w:val="000967CE"/>
    <w:rsid w:val="000969AC"/>
    <w:rsid w:val="00096C29"/>
    <w:rsid w:val="00096C80"/>
    <w:rsid w:val="00096DAA"/>
    <w:rsid w:val="00096ECA"/>
    <w:rsid w:val="000973D1"/>
    <w:rsid w:val="000976DA"/>
    <w:rsid w:val="000A0235"/>
    <w:rsid w:val="000A029B"/>
    <w:rsid w:val="000A02BE"/>
    <w:rsid w:val="000A0572"/>
    <w:rsid w:val="000A06C1"/>
    <w:rsid w:val="000A06F7"/>
    <w:rsid w:val="000A0A54"/>
    <w:rsid w:val="000A11C5"/>
    <w:rsid w:val="000A14AF"/>
    <w:rsid w:val="000A1BB2"/>
    <w:rsid w:val="000A1D77"/>
    <w:rsid w:val="000A248B"/>
    <w:rsid w:val="000A2831"/>
    <w:rsid w:val="000A286E"/>
    <w:rsid w:val="000A28DF"/>
    <w:rsid w:val="000A2907"/>
    <w:rsid w:val="000A2A88"/>
    <w:rsid w:val="000A2FFD"/>
    <w:rsid w:val="000A31A1"/>
    <w:rsid w:val="000A338E"/>
    <w:rsid w:val="000A367B"/>
    <w:rsid w:val="000A37E0"/>
    <w:rsid w:val="000A39AE"/>
    <w:rsid w:val="000A3A49"/>
    <w:rsid w:val="000A3B15"/>
    <w:rsid w:val="000A3B78"/>
    <w:rsid w:val="000A3E79"/>
    <w:rsid w:val="000A3E7C"/>
    <w:rsid w:val="000A481F"/>
    <w:rsid w:val="000A4931"/>
    <w:rsid w:val="000A4C9D"/>
    <w:rsid w:val="000A4CB5"/>
    <w:rsid w:val="000A515A"/>
    <w:rsid w:val="000A536E"/>
    <w:rsid w:val="000A54A2"/>
    <w:rsid w:val="000A56B3"/>
    <w:rsid w:val="000A570D"/>
    <w:rsid w:val="000A5DBE"/>
    <w:rsid w:val="000A5E31"/>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510"/>
    <w:rsid w:val="000B162B"/>
    <w:rsid w:val="000B167E"/>
    <w:rsid w:val="000B1F8F"/>
    <w:rsid w:val="000B27D3"/>
    <w:rsid w:val="000B2B9B"/>
    <w:rsid w:val="000B2E8C"/>
    <w:rsid w:val="000B2FA8"/>
    <w:rsid w:val="000B32BD"/>
    <w:rsid w:val="000B32FE"/>
    <w:rsid w:val="000B347C"/>
    <w:rsid w:val="000B365B"/>
    <w:rsid w:val="000B3C7B"/>
    <w:rsid w:val="000B3C82"/>
    <w:rsid w:val="000B4494"/>
    <w:rsid w:val="000B4950"/>
    <w:rsid w:val="000B4DE7"/>
    <w:rsid w:val="000B4E9A"/>
    <w:rsid w:val="000B51A9"/>
    <w:rsid w:val="000B527D"/>
    <w:rsid w:val="000B5623"/>
    <w:rsid w:val="000B563E"/>
    <w:rsid w:val="000B565A"/>
    <w:rsid w:val="000B5989"/>
    <w:rsid w:val="000B59B9"/>
    <w:rsid w:val="000B5A13"/>
    <w:rsid w:val="000B5AE6"/>
    <w:rsid w:val="000B5C5B"/>
    <w:rsid w:val="000B6A05"/>
    <w:rsid w:val="000B7001"/>
    <w:rsid w:val="000B7216"/>
    <w:rsid w:val="000B73F7"/>
    <w:rsid w:val="000B76E2"/>
    <w:rsid w:val="000B775A"/>
    <w:rsid w:val="000B7ABC"/>
    <w:rsid w:val="000C00E7"/>
    <w:rsid w:val="000C0352"/>
    <w:rsid w:val="000C0443"/>
    <w:rsid w:val="000C04DF"/>
    <w:rsid w:val="000C0882"/>
    <w:rsid w:val="000C09D1"/>
    <w:rsid w:val="000C1252"/>
    <w:rsid w:val="000C1257"/>
    <w:rsid w:val="000C12C4"/>
    <w:rsid w:val="000C14E0"/>
    <w:rsid w:val="000C17F2"/>
    <w:rsid w:val="000C17F9"/>
    <w:rsid w:val="000C21DC"/>
    <w:rsid w:val="000C2208"/>
    <w:rsid w:val="000C2295"/>
    <w:rsid w:val="000C23DF"/>
    <w:rsid w:val="000C2421"/>
    <w:rsid w:val="000C26E0"/>
    <w:rsid w:val="000C3360"/>
    <w:rsid w:val="000C389E"/>
    <w:rsid w:val="000C4212"/>
    <w:rsid w:val="000C4696"/>
    <w:rsid w:val="000C47DD"/>
    <w:rsid w:val="000C48E0"/>
    <w:rsid w:val="000C4AB5"/>
    <w:rsid w:val="000C4B9D"/>
    <w:rsid w:val="000C518D"/>
    <w:rsid w:val="000C52A4"/>
    <w:rsid w:val="000C55B9"/>
    <w:rsid w:val="000C56F6"/>
    <w:rsid w:val="000C5D8E"/>
    <w:rsid w:val="000C613D"/>
    <w:rsid w:val="000C6428"/>
    <w:rsid w:val="000C65D1"/>
    <w:rsid w:val="000C666C"/>
    <w:rsid w:val="000C692D"/>
    <w:rsid w:val="000C6F5B"/>
    <w:rsid w:val="000C70D6"/>
    <w:rsid w:val="000C7120"/>
    <w:rsid w:val="000C720E"/>
    <w:rsid w:val="000C7DEE"/>
    <w:rsid w:val="000D0653"/>
    <w:rsid w:val="000D06A1"/>
    <w:rsid w:val="000D0701"/>
    <w:rsid w:val="000D08D9"/>
    <w:rsid w:val="000D0B5D"/>
    <w:rsid w:val="000D0DB0"/>
    <w:rsid w:val="000D105A"/>
    <w:rsid w:val="000D10CA"/>
    <w:rsid w:val="000D12A2"/>
    <w:rsid w:val="000D1314"/>
    <w:rsid w:val="000D17D2"/>
    <w:rsid w:val="000D1806"/>
    <w:rsid w:val="000D18D7"/>
    <w:rsid w:val="000D18E1"/>
    <w:rsid w:val="000D1D07"/>
    <w:rsid w:val="000D1DF4"/>
    <w:rsid w:val="000D1F76"/>
    <w:rsid w:val="000D2135"/>
    <w:rsid w:val="000D26E4"/>
    <w:rsid w:val="000D2840"/>
    <w:rsid w:val="000D2FB7"/>
    <w:rsid w:val="000D30CA"/>
    <w:rsid w:val="000D30D1"/>
    <w:rsid w:val="000D3392"/>
    <w:rsid w:val="000D3B61"/>
    <w:rsid w:val="000D4242"/>
    <w:rsid w:val="000D4949"/>
    <w:rsid w:val="000D4F6C"/>
    <w:rsid w:val="000D4FB2"/>
    <w:rsid w:val="000D4FC4"/>
    <w:rsid w:val="000D5127"/>
    <w:rsid w:val="000D51F5"/>
    <w:rsid w:val="000D55D1"/>
    <w:rsid w:val="000D5716"/>
    <w:rsid w:val="000D5D4A"/>
    <w:rsid w:val="000D5D77"/>
    <w:rsid w:val="000D614B"/>
    <w:rsid w:val="000D618F"/>
    <w:rsid w:val="000D6DE8"/>
    <w:rsid w:val="000D6F96"/>
    <w:rsid w:val="000D78E9"/>
    <w:rsid w:val="000D7A41"/>
    <w:rsid w:val="000E0870"/>
    <w:rsid w:val="000E0997"/>
    <w:rsid w:val="000E0DF6"/>
    <w:rsid w:val="000E0E55"/>
    <w:rsid w:val="000E0EF8"/>
    <w:rsid w:val="000E1744"/>
    <w:rsid w:val="000E236F"/>
    <w:rsid w:val="000E237B"/>
    <w:rsid w:val="000E2667"/>
    <w:rsid w:val="000E26DF"/>
    <w:rsid w:val="000E28A9"/>
    <w:rsid w:val="000E3554"/>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74F"/>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A92"/>
    <w:rsid w:val="000F51E0"/>
    <w:rsid w:val="000F52A7"/>
    <w:rsid w:val="000F52F2"/>
    <w:rsid w:val="000F53D8"/>
    <w:rsid w:val="000F56F0"/>
    <w:rsid w:val="000F5817"/>
    <w:rsid w:val="000F5D0E"/>
    <w:rsid w:val="000F5D96"/>
    <w:rsid w:val="000F62E9"/>
    <w:rsid w:val="000F662E"/>
    <w:rsid w:val="000F667C"/>
    <w:rsid w:val="000F6B6A"/>
    <w:rsid w:val="000F6DEE"/>
    <w:rsid w:val="000F6DF6"/>
    <w:rsid w:val="000F6E52"/>
    <w:rsid w:val="000F7676"/>
    <w:rsid w:val="000F7720"/>
    <w:rsid w:val="000F7B16"/>
    <w:rsid w:val="00100034"/>
    <w:rsid w:val="00100400"/>
    <w:rsid w:val="00100579"/>
    <w:rsid w:val="001008DE"/>
    <w:rsid w:val="00100DBB"/>
    <w:rsid w:val="00100E6C"/>
    <w:rsid w:val="00100F46"/>
    <w:rsid w:val="00101776"/>
    <w:rsid w:val="00101863"/>
    <w:rsid w:val="00101BC6"/>
    <w:rsid w:val="00101C8F"/>
    <w:rsid w:val="001020AF"/>
    <w:rsid w:val="001021CD"/>
    <w:rsid w:val="001022A6"/>
    <w:rsid w:val="001023E5"/>
    <w:rsid w:val="00102592"/>
    <w:rsid w:val="00102942"/>
    <w:rsid w:val="00102A14"/>
    <w:rsid w:val="00102B8C"/>
    <w:rsid w:val="00102D96"/>
    <w:rsid w:val="001030EE"/>
    <w:rsid w:val="001032D1"/>
    <w:rsid w:val="001032E3"/>
    <w:rsid w:val="00103E32"/>
    <w:rsid w:val="00103F20"/>
    <w:rsid w:val="00103F57"/>
    <w:rsid w:val="00104028"/>
    <w:rsid w:val="00104695"/>
    <w:rsid w:val="00104977"/>
    <w:rsid w:val="001049A6"/>
    <w:rsid w:val="0010533B"/>
    <w:rsid w:val="00105851"/>
    <w:rsid w:val="00106192"/>
    <w:rsid w:val="001063F4"/>
    <w:rsid w:val="00106654"/>
    <w:rsid w:val="00106C10"/>
    <w:rsid w:val="00107015"/>
    <w:rsid w:val="001071EF"/>
    <w:rsid w:val="00107911"/>
    <w:rsid w:val="001079A2"/>
    <w:rsid w:val="00107A65"/>
    <w:rsid w:val="00107A7F"/>
    <w:rsid w:val="001106B9"/>
    <w:rsid w:val="00110907"/>
    <w:rsid w:val="00110BC8"/>
    <w:rsid w:val="00111089"/>
    <w:rsid w:val="00111258"/>
    <w:rsid w:val="001113A8"/>
    <w:rsid w:val="001116D8"/>
    <w:rsid w:val="00111823"/>
    <w:rsid w:val="00111BFE"/>
    <w:rsid w:val="0011218A"/>
    <w:rsid w:val="001123EE"/>
    <w:rsid w:val="001124C4"/>
    <w:rsid w:val="0011258A"/>
    <w:rsid w:val="00112606"/>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3BF"/>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60FB"/>
    <w:rsid w:val="001261AF"/>
    <w:rsid w:val="00126423"/>
    <w:rsid w:val="00126B9D"/>
    <w:rsid w:val="00127161"/>
    <w:rsid w:val="001271D0"/>
    <w:rsid w:val="001271E0"/>
    <w:rsid w:val="00127514"/>
    <w:rsid w:val="001275CA"/>
    <w:rsid w:val="001275EC"/>
    <w:rsid w:val="00127A21"/>
    <w:rsid w:val="00127E54"/>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99"/>
    <w:rsid w:val="0013524F"/>
    <w:rsid w:val="00135464"/>
    <w:rsid w:val="00135847"/>
    <w:rsid w:val="00135E12"/>
    <w:rsid w:val="001362AF"/>
    <w:rsid w:val="001363F3"/>
    <w:rsid w:val="001364BB"/>
    <w:rsid w:val="001366A1"/>
    <w:rsid w:val="00136901"/>
    <w:rsid w:val="00136D75"/>
    <w:rsid w:val="00137116"/>
    <w:rsid w:val="001371C1"/>
    <w:rsid w:val="00137BB5"/>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872"/>
    <w:rsid w:val="00144AA6"/>
    <w:rsid w:val="001454D2"/>
    <w:rsid w:val="0014572B"/>
    <w:rsid w:val="001458C5"/>
    <w:rsid w:val="00145A08"/>
    <w:rsid w:val="00145C0B"/>
    <w:rsid w:val="00145DD0"/>
    <w:rsid w:val="00145E38"/>
    <w:rsid w:val="00145F71"/>
    <w:rsid w:val="00145F85"/>
    <w:rsid w:val="00146409"/>
    <w:rsid w:val="00146796"/>
    <w:rsid w:val="00146989"/>
    <w:rsid w:val="00147088"/>
    <w:rsid w:val="00150001"/>
    <w:rsid w:val="00150363"/>
    <w:rsid w:val="001505AD"/>
    <w:rsid w:val="00150BCC"/>
    <w:rsid w:val="00150D97"/>
    <w:rsid w:val="00151583"/>
    <w:rsid w:val="0015168D"/>
    <w:rsid w:val="00151A8C"/>
    <w:rsid w:val="00151C61"/>
    <w:rsid w:val="00151EB1"/>
    <w:rsid w:val="0015252E"/>
    <w:rsid w:val="00152B12"/>
    <w:rsid w:val="00153259"/>
    <w:rsid w:val="00153583"/>
    <w:rsid w:val="00153905"/>
    <w:rsid w:val="00153A6D"/>
    <w:rsid w:val="00154272"/>
    <w:rsid w:val="00154298"/>
    <w:rsid w:val="001542FA"/>
    <w:rsid w:val="00154310"/>
    <w:rsid w:val="00154E4C"/>
    <w:rsid w:val="001550DA"/>
    <w:rsid w:val="00155915"/>
    <w:rsid w:val="00155A56"/>
    <w:rsid w:val="00155FC7"/>
    <w:rsid w:val="001562E6"/>
    <w:rsid w:val="0015630F"/>
    <w:rsid w:val="001564A7"/>
    <w:rsid w:val="00156559"/>
    <w:rsid w:val="00156E35"/>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35F"/>
    <w:rsid w:val="00162520"/>
    <w:rsid w:val="00162543"/>
    <w:rsid w:val="00162560"/>
    <w:rsid w:val="001628B2"/>
    <w:rsid w:val="001638F2"/>
    <w:rsid w:val="001639FD"/>
    <w:rsid w:val="00163BBF"/>
    <w:rsid w:val="00163C6C"/>
    <w:rsid w:val="00163C99"/>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791"/>
    <w:rsid w:val="00171FC8"/>
    <w:rsid w:val="001722C1"/>
    <w:rsid w:val="001740F5"/>
    <w:rsid w:val="00174B6C"/>
    <w:rsid w:val="0017501B"/>
    <w:rsid w:val="00175510"/>
    <w:rsid w:val="001756C1"/>
    <w:rsid w:val="00175999"/>
    <w:rsid w:val="00175DA2"/>
    <w:rsid w:val="00175EEF"/>
    <w:rsid w:val="00175FED"/>
    <w:rsid w:val="0017607F"/>
    <w:rsid w:val="001768EF"/>
    <w:rsid w:val="00176EF5"/>
    <w:rsid w:val="0017708B"/>
    <w:rsid w:val="001772AC"/>
    <w:rsid w:val="0017748F"/>
    <w:rsid w:val="001803E2"/>
    <w:rsid w:val="001804AA"/>
    <w:rsid w:val="00180856"/>
    <w:rsid w:val="001808E7"/>
    <w:rsid w:val="00180AF7"/>
    <w:rsid w:val="00180C60"/>
    <w:rsid w:val="00181035"/>
    <w:rsid w:val="00181A02"/>
    <w:rsid w:val="00181B90"/>
    <w:rsid w:val="00181C96"/>
    <w:rsid w:val="00181E70"/>
    <w:rsid w:val="00181F12"/>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D24"/>
    <w:rsid w:val="00184D69"/>
    <w:rsid w:val="0018533E"/>
    <w:rsid w:val="0018567E"/>
    <w:rsid w:val="00185B34"/>
    <w:rsid w:val="0018650F"/>
    <w:rsid w:val="00186510"/>
    <w:rsid w:val="00186937"/>
    <w:rsid w:val="001869FD"/>
    <w:rsid w:val="00186BA0"/>
    <w:rsid w:val="0018734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D8"/>
    <w:rsid w:val="0019762F"/>
    <w:rsid w:val="001978D8"/>
    <w:rsid w:val="001A02EB"/>
    <w:rsid w:val="001A0876"/>
    <w:rsid w:val="001A0B4D"/>
    <w:rsid w:val="001A0EA4"/>
    <w:rsid w:val="001A0F54"/>
    <w:rsid w:val="001A14FC"/>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105"/>
    <w:rsid w:val="001B0363"/>
    <w:rsid w:val="001B0561"/>
    <w:rsid w:val="001B0655"/>
    <w:rsid w:val="001B06EE"/>
    <w:rsid w:val="001B11CE"/>
    <w:rsid w:val="001B1276"/>
    <w:rsid w:val="001B18CA"/>
    <w:rsid w:val="001B1B29"/>
    <w:rsid w:val="001B1B6F"/>
    <w:rsid w:val="001B1C77"/>
    <w:rsid w:val="001B1CD0"/>
    <w:rsid w:val="001B1D43"/>
    <w:rsid w:val="001B1D9A"/>
    <w:rsid w:val="001B2076"/>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69"/>
    <w:rsid w:val="001B689A"/>
    <w:rsid w:val="001B6AF1"/>
    <w:rsid w:val="001B6DA3"/>
    <w:rsid w:val="001B6EF0"/>
    <w:rsid w:val="001B6F74"/>
    <w:rsid w:val="001B76FE"/>
    <w:rsid w:val="001B78B5"/>
    <w:rsid w:val="001B7B1B"/>
    <w:rsid w:val="001B7CF6"/>
    <w:rsid w:val="001C094F"/>
    <w:rsid w:val="001C0A94"/>
    <w:rsid w:val="001C0B70"/>
    <w:rsid w:val="001C0E99"/>
    <w:rsid w:val="001C13C2"/>
    <w:rsid w:val="001C1879"/>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ED4"/>
    <w:rsid w:val="001C5F93"/>
    <w:rsid w:val="001C625F"/>
    <w:rsid w:val="001C6556"/>
    <w:rsid w:val="001C6A87"/>
    <w:rsid w:val="001C6E28"/>
    <w:rsid w:val="001C6E78"/>
    <w:rsid w:val="001C72A0"/>
    <w:rsid w:val="001C7A92"/>
    <w:rsid w:val="001C7CDF"/>
    <w:rsid w:val="001C7D9F"/>
    <w:rsid w:val="001C7E35"/>
    <w:rsid w:val="001D0229"/>
    <w:rsid w:val="001D0323"/>
    <w:rsid w:val="001D071D"/>
    <w:rsid w:val="001D0A5B"/>
    <w:rsid w:val="001D0D43"/>
    <w:rsid w:val="001D1393"/>
    <w:rsid w:val="001D1A59"/>
    <w:rsid w:val="001D1EC7"/>
    <w:rsid w:val="001D2098"/>
    <w:rsid w:val="001D21B0"/>
    <w:rsid w:val="001D271D"/>
    <w:rsid w:val="001D2C0F"/>
    <w:rsid w:val="001D307C"/>
    <w:rsid w:val="001D30BD"/>
    <w:rsid w:val="001D340F"/>
    <w:rsid w:val="001D3DE5"/>
    <w:rsid w:val="001D3E3A"/>
    <w:rsid w:val="001D4D7E"/>
    <w:rsid w:val="001D4F0D"/>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3BAA"/>
    <w:rsid w:val="001E4257"/>
    <w:rsid w:val="001E430E"/>
    <w:rsid w:val="001E4BA3"/>
    <w:rsid w:val="001E4C70"/>
    <w:rsid w:val="001E4FBF"/>
    <w:rsid w:val="001E558A"/>
    <w:rsid w:val="001E5E6B"/>
    <w:rsid w:val="001E6139"/>
    <w:rsid w:val="001E6242"/>
    <w:rsid w:val="001E6758"/>
    <w:rsid w:val="001E67CA"/>
    <w:rsid w:val="001E68B0"/>
    <w:rsid w:val="001E69A8"/>
    <w:rsid w:val="001E6CF1"/>
    <w:rsid w:val="001E71BE"/>
    <w:rsid w:val="001E7915"/>
    <w:rsid w:val="001E7C86"/>
    <w:rsid w:val="001E7FEB"/>
    <w:rsid w:val="001F00A5"/>
    <w:rsid w:val="001F026F"/>
    <w:rsid w:val="001F02BF"/>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634"/>
    <w:rsid w:val="001F3AC5"/>
    <w:rsid w:val="001F3CE4"/>
    <w:rsid w:val="001F3D9A"/>
    <w:rsid w:val="001F457F"/>
    <w:rsid w:val="001F487A"/>
    <w:rsid w:val="001F4B4B"/>
    <w:rsid w:val="001F4F51"/>
    <w:rsid w:val="001F5032"/>
    <w:rsid w:val="001F5089"/>
    <w:rsid w:val="001F50CB"/>
    <w:rsid w:val="001F51C1"/>
    <w:rsid w:val="001F5ABB"/>
    <w:rsid w:val="001F5DD0"/>
    <w:rsid w:val="001F5DD8"/>
    <w:rsid w:val="001F6A9F"/>
    <w:rsid w:val="001F6C7B"/>
    <w:rsid w:val="001F7232"/>
    <w:rsid w:val="001F754C"/>
    <w:rsid w:val="001F7583"/>
    <w:rsid w:val="00200133"/>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FF8"/>
    <w:rsid w:val="00205219"/>
    <w:rsid w:val="00205408"/>
    <w:rsid w:val="002060C6"/>
    <w:rsid w:val="002062F4"/>
    <w:rsid w:val="00206380"/>
    <w:rsid w:val="00206869"/>
    <w:rsid w:val="002069F9"/>
    <w:rsid w:val="00206DB2"/>
    <w:rsid w:val="00206E15"/>
    <w:rsid w:val="0020728F"/>
    <w:rsid w:val="00207300"/>
    <w:rsid w:val="00207779"/>
    <w:rsid w:val="00207B1B"/>
    <w:rsid w:val="00207CBC"/>
    <w:rsid w:val="00210484"/>
    <w:rsid w:val="00210546"/>
    <w:rsid w:val="0021058D"/>
    <w:rsid w:val="00210C5E"/>
    <w:rsid w:val="00210C9D"/>
    <w:rsid w:val="00211618"/>
    <w:rsid w:val="00211EF5"/>
    <w:rsid w:val="002121F3"/>
    <w:rsid w:val="0021239C"/>
    <w:rsid w:val="002127FA"/>
    <w:rsid w:val="0021281B"/>
    <w:rsid w:val="002129BD"/>
    <w:rsid w:val="00212B95"/>
    <w:rsid w:val="00212E5E"/>
    <w:rsid w:val="00213129"/>
    <w:rsid w:val="00213231"/>
    <w:rsid w:val="00213803"/>
    <w:rsid w:val="00213F74"/>
    <w:rsid w:val="00214076"/>
    <w:rsid w:val="00214118"/>
    <w:rsid w:val="002141E9"/>
    <w:rsid w:val="002144D8"/>
    <w:rsid w:val="00214BE8"/>
    <w:rsid w:val="00214C77"/>
    <w:rsid w:val="0021516D"/>
    <w:rsid w:val="002152A3"/>
    <w:rsid w:val="002152EC"/>
    <w:rsid w:val="00215626"/>
    <w:rsid w:val="002157E2"/>
    <w:rsid w:val="002157F5"/>
    <w:rsid w:val="0021581A"/>
    <w:rsid w:val="002158D1"/>
    <w:rsid w:val="00215BDE"/>
    <w:rsid w:val="00215DA3"/>
    <w:rsid w:val="002160C6"/>
    <w:rsid w:val="00216404"/>
    <w:rsid w:val="0021680C"/>
    <w:rsid w:val="00216AF7"/>
    <w:rsid w:val="00216EA9"/>
    <w:rsid w:val="00217246"/>
    <w:rsid w:val="00217418"/>
    <w:rsid w:val="00217928"/>
    <w:rsid w:val="00217936"/>
    <w:rsid w:val="00217AB4"/>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F8"/>
    <w:rsid w:val="00222901"/>
    <w:rsid w:val="00222AE6"/>
    <w:rsid w:val="00222B8D"/>
    <w:rsid w:val="00222F4D"/>
    <w:rsid w:val="00223C34"/>
    <w:rsid w:val="00223D09"/>
    <w:rsid w:val="00223EB9"/>
    <w:rsid w:val="0022400C"/>
    <w:rsid w:val="002242A6"/>
    <w:rsid w:val="002244DA"/>
    <w:rsid w:val="002250C6"/>
    <w:rsid w:val="00225203"/>
    <w:rsid w:val="002254CE"/>
    <w:rsid w:val="002256A9"/>
    <w:rsid w:val="00225859"/>
    <w:rsid w:val="00225CD1"/>
    <w:rsid w:val="00225F2E"/>
    <w:rsid w:val="002261B4"/>
    <w:rsid w:val="002266AB"/>
    <w:rsid w:val="002268C6"/>
    <w:rsid w:val="00226A00"/>
    <w:rsid w:val="00226F08"/>
    <w:rsid w:val="00226F86"/>
    <w:rsid w:val="00227128"/>
    <w:rsid w:val="002271A8"/>
    <w:rsid w:val="00227760"/>
    <w:rsid w:val="002277D6"/>
    <w:rsid w:val="00227AE6"/>
    <w:rsid w:val="00227B9E"/>
    <w:rsid w:val="00227E98"/>
    <w:rsid w:val="002300F8"/>
    <w:rsid w:val="002301BD"/>
    <w:rsid w:val="00230474"/>
    <w:rsid w:val="00230F71"/>
    <w:rsid w:val="00231834"/>
    <w:rsid w:val="00231B0B"/>
    <w:rsid w:val="00231FA5"/>
    <w:rsid w:val="00232092"/>
    <w:rsid w:val="002325AB"/>
    <w:rsid w:val="002325B0"/>
    <w:rsid w:val="00232601"/>
    <w:rsid w:val="002327F4"/>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101"/>
    <w:rsid w:val="0023772E"/>
    <w:rsid w:val="002377D1"/>
    <w:rsid w:val="002379C8"/>
    <w:rsid w:val="00237CFF"/>
    <w:rsid w:val="00240096"/>
    <w:rsid w:val="002401DC"/>
    <w:rsid w:val="00240398"/>
    <w:rsid w:val="002407C9"/>
    <w:rsid w:val="0024174C"/>
    <w:rsid w:val="00241878"/>
    <w:rsid w:val="00241C00"/>
    <w:rsid w:val="00241DC8"/>
    <w:rsid w:val="0024251E"/>
    <w:rsid w:val="00242971"/>
    <w:rsid w:val="00242D3B"/>
    <w:rsid w:val="002433D4"/>
    <w:rsid w:val="0024373B"/>
    <w:rsid w:val="00243909"/>
    <w:rsid w:val="00243DFB"/>
    <w:rsid w:val="0024492E"/>
    <w:rsid w:val="0024496B"/>
    <w:rsid w:val="00244A35"/>
    <w:rsid w:val="00244CDF"/>
    <w:rsid w:val="002461B1"/>
    <w:rsid w:val="002461B6"/>
    <w:rsid w:val="00246986"/>
    <w:rsid w:val="00246A3E"/>
    <w:rsid w:val="00246DCF"/>
    <w:rsid w:val="00247978"/>
    <w:rsid w:val="002479FD"/>
    <w:rsid w:val="00247C94"/>
    <w:rsid w:val="00247CD1"/>
    <w:rsid w:val="002502FB"/>
    <w:rsid w:val="002504FF"/>
    <w:rsid w:val="00250969"/>
    <w:rsid w:val="00250A61"/>
    <w:rsid w:val="0025106F"/>
    <w:rsid w:val="002514FE"/>
    <w:rsid w:val="00251934"/>
    <w:rsid w:val="00252322"/>
    <w:rsid w:val="002525BC"/>
    <w:rsid w:val="0025275B"/>
    <w:rsid w:val="00252C25"/>
    <w:rsid w:val="0025331D"/>
    <w:rsid w:val="00253B77"/>
    <w:rsid w:val="00253DE1"/>
    <w:rsid w:val="002541FF"/>
    <w:rsid w:val="0025453B"/>
    <w:rsid w:val="0025485A"/>
    <w:rsid w:val="002549D5"/>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6D1"/>
    <w:rsid w:val="00265486"/>
    <w:rsid w:val="00265C26"/>
    <w:rsid w:val="00265D8B"/>
    <w:rsid w:val="00265E0B"/>
    <w:rsid w:val="00266203"/>
    <w:rsid w:val="002663EF"/>
    <w:rsid w:val="00266413"/>
    <w:rsid w:val="002669DE"/>
    <w:rsid w:val="00266D9C"/>
    <w:rsid w:val="00267475"/>
    <w:rsid w:val="002678A5"/>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69E"/>
    <w:rsid w:val="002779A0"/>
    <w:rsid w:val="002779D9"/>
    <w:rsid w:val="00277B15"/>
    <w:rsid w:val="00277D44"/>
    <w:rsid w:val="0028017E"/>
    <w:rsid w:val="0028017F"/>
    <w:rsid w:val="00280184"/>
    <w:rsid w:val="00280236"/>
    <w:rsid w:val="002802BE"/>
    <w:rsid w:val="002803E2"/>
    <w:rsid w:val="002804DB"/>
    <w:rsid w:val="002813BC"/>
    <w:rsid w:val="0028154E"/>
    <w:rsid w:val="002817DA"/>
    <w:rsid w:val="00281841"/>
    <w:rsid w:val="00281892"/>
    <w:rsid w:val="00281A19"/>
    <w:rsid w:val="0028267F"/>
    <w:rsid w:val="0028270E"/>
    <w:rsid w:val="0028271C"/>
    <w:rsid w:val="0028341F"/>
    <w:rsid w:val="002835AA"/>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A99"/>
    <w:rsid w:val="00285AC4"/>
    <w:rsid w:val="00285B24"/>
    <w:rsid w:val="00285E16"/>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3E3"/>
    <w:rsid w:val="002946B7"/>
    <w:rsid w:val="00294C93"/>
    <w:rsid w:val="00296136"/>
    <w:rsid w:val="002962D5"/>
    <w:rsid w:val="002962FE"/>
    <w:rsid w:val="00296434"/>
    <w:rsid w:val="0029672B"/>
    <w:rsid w:val="00296745"/>
    <w:rsid w:val="00296771"/>
    <w:rsid w:val="0029684F"/>
    <w:rsid w:val="00296B07"/>
    <w:rsid w:val="00296D3B"/>
    <w:rsid w:val="00296EA2"/>
    <w:rsid w:val="00296FEA"/>
    <w:rsid w:val="002971D0"/>
    <w:rsid w:val="00297720"/>
    <w:rsid w:val="00297971"/>
    <w:rsid w:val="00297BA5"/>
    <w:rsid w:val="00297EF5"/>
    <w:rsid w:val="002A01A3"/>
    <w:rsid w:val="002A01C5"/>
    <w:rsid w:val="002A0836"/>
    <w:rsid w:val="002A11FE"/>
    <w:rsid w:val="002A1939"/>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7841"/>
    <w:rsid w:val="002A78D5"/>
    <w:rsid w:val="002A7C23"/>
    <w:rsid w:val="002B0312"/>
    <w:rsid w:val="002B0313"/>
    <w:rsid w:val="002B03A5"/>
    <w:rsid w:val="002B0547"/>
    <w:rsid w:val="002B0B39"/>
    <w:rsid w:val="002B0FBD"/>
    <w:rsid w:val="002B1219"/>
    <w:rsid w:val="002B1714"/>
    <w:rsid w:val="002B1742"/>
    <w:rsid w:val="002B1817"/>
    <w:rsid w:val="002B1E1B"/>
    <w:rsid w:val="002B1F69"/>
    <w:rsid w:val="002B22D1"/>
    <w:rsid w:val="002B237F"/>
    <w:rsid w:val="002B2631"/>
    <w:rsid w:val="002B2E64"/>
    <w:rsid w:val="002B3620"/>
    <w:rsid w:val="002B3B07"/>
    <w:rsid w:val="002B3C00"/>
    <w:rsid w:val="002B3CA7"/>
    <w:rsid w:val="002B3F03"/>
    <w:rsid w:val="002B5496"/>
    <w:rsid w:val="002B5A3C"/>
    <w:rsid w:val="002B5AF8"/>
    <w:rsid w:val="002B5CAE"/>
    <w:rsid w:val="002B5DA2"/>
    <w:rsid w:val="002B639F"/>
    <w:rsid w:val="002B6497"/>
    <w:rsid w:val="002B6589"/>
    <w:rsid w:val="002B6DC5"/>
    <w:rsid w:val="002B70A6"/>
    <w:rsid w:val="002B734F"/>
    <w:rsid w:val="002B787C"/>
    <w:rsid w:val="002B7D50"/>
    <w:rsid w:val="002B7F3A"/>
    <w:rsid w:val="002C026B"/>
    <w:rsid w:val="002C03E7"/>
    <w:rsid w:val="002C07ED"/>
    <w:rsid w:val="002C0828"/>
    <w:rsid w:val="002C10A0"/>
    <w:rsid w:val="002C123F"/>
    <w:rsid w:val="002C12E5"/>
    <w:rsid w:val="002C1314"/>
    <w:rsid w:val="002C14B1"/>
    <w:rsid w:val="002C1774"/>
    <w:rsid w:val="002C1816"/>
    <w:rsid w:val="002C19B9"/>
    <w:rsid w:val="002C1C97"/>
    <w:rsid w:val="002C1D60"/>
    <w:rsid w:val="002C1F44"/>
    <w:rsid w:val="002C23EB"/>
    <w:rsid w:val="002C29BF"/>
    <w:rsid w:val="002C3012"/>
    <w:rsid w:val="002C34DD"/>
    <w:rsid w:val="002C39C0"/>
    <w:rsid w:val="002C42AC"/>
    <w:rsid w:val="002C46C3"/>
    <w:rsid w:val="002C4817"/>
    <w:rsid w:val="002C4A91"/>
    <w:rsid w:val="002C4DD2"/>
    <w:rsid w:val="002C4EA2"/>
    <w:rsid w:val="002C5140"/>
    <w:rsid w:val="002C5246"/>
    <w:rsid w:val="002C572C"/>
    <w:rsid w:val="002C585E"/>
    <w:rsid w:val="002C58DB"/>
    <w:rsid w:val="002C594B"/>
    <w:rsid w:val="002C5976"/>
    <w:rsid w:val="002C5E19"/>
    <w:rsid w:val="002C5F3B"/>
    <w:rsid w:val="002C5FEB"/>
    <w:rsid w:val="002C62BA"/>
    <w:rsid w:val="002C6403"/>
    <w:rsid w:val="002C67C4"/>
    <w:rsid w:val="002C6C7D"/>
    <w:rsid w:val="002C6F7B"/>
    <w:rsid w:val="002C792F"/>
    <w:rsid w:val="002C79E8"/>
    <w:rsid w:val="002C7B0D"/>
    <w:rsid w:val="002D025C"/>
    <w:rsid w:val="002D0CB6"/>
    <w:rsid w:val="002D0F88"/>
    <w:rsid w:val="002D10D3"/>
    <w:rsid w:val="002D12E3"/>
    <w:rsid w:val="002D13B8"/>
    <w:rsid w:val="002D18E2"/>
    <w:rsid w:val="002D1D1B"/>
    <w:rsid w:val="002D1E2F"/>
    <w:rsid w:val="002D21C1"/>
    <w:rsid w:val="002D26F9"/>
    <w:rsid w:val="002D2B11"/>
    <w:rsid w:val="002D2E62"/>
    <w:rsid w:val="002D2FBA"/>
    <w:rsid w:val="002D36B0"/>
    <w:rsid w:val="002D3790"/>
    <w:rsid w:val="002D37E0"/>
    <w:rsid w:val="002D3B17"/>
    <w:rsid w:val="002D3E6D"/>
    <w:rsid w:val="002D440C"/>
    <w:rsid w:val="002D47CD"/>
    <w:rsid w:val="002D4A32"/>
    <w:rsid w:val="002D4A5C"/>
    <w:rsid w:val="002D4C19"/>
    <w:rsid w:val="002D4CA0"/>
    <w:rsid w:val="002D4F38"/>
    <w:rsid w:val="002D5152"/>
    <w:rsid w:val="002D609E"/>
    <w:rsid w:val="002D62ED"/>
    <w:rsid w:val="002D633A"/>
    <w:rsid w:val="002D6786"/>
    <w:rsid w:val="002D6A1B"/>
    <w:rsid w:val="002D6CCE"/>
    <w:rsid w:val="002D703B"/>
    <w:rsid w:val="002D70A3"/>
    <w:rsid w:val="002D7336"/>
    <w:rsid w:val="002D7A69"/>
    <w:rsid w:val="002D7BC9"/>
    <w:rsid w:val="002D7CEA"/>
    <w:rsid w:val="002E02A6"/>
    <w:rsid w:val="002E064E"/>
    <w:rsid w:val="002E0AF1"/>
    <w:rsid w:val="002E0BE7"/>
    <w:rsid w:val="002E0E3E"/>
    <w:rsid w:val="002E0E92"/>
    <w:rsid w:val="002E0FCE"/>
    <w:rsid w:val="002E1539"/>
    <w:rsid w:val="002E19E1"/>
    <w:rsid w:val="002E1D79"/>
    <w:rsid w:val="002E1F70"/>
    <w:rsid w:val="002E20D0"/>
    <w:rsid w:val="002E2208"/>
    <w:rsid w:val="002E2266"/>
    <w:rsid w:val="002E26D8"/>
    <w:rsid w:val="002E290B"/>
    <w:rsid w:val="002E2F4A"/>
    <w:rsid w:val="002E3062"/>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788A"/>
    <w:rsid w:val="002E7A56"/>
    <w:rsid w:val="002E7CF3"/>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E3"/>
    <w:rsid w:val="002F2AA3"/>
    <w:rsid w:val="002F2BE6"/>
    <w:rsid w:val="002F316D"/>
    <w:rsid w:val="002F320C"/>
    <w:rsid w:val="002F32AE"/>
    <w:rsid w:val="002F345B"/>
    <w:rsid w:val="002F368E"/>
    <w:rsid w:val="002F3928"/>
    <w:rsid w:val="002F3BE2"/>
    <w:rsid w:val="002F3E6B"/>
    <w:rsid w:val="002F4077"/>
    <w:rsid w:val="002F4087"/>
    <w:rsid w:val="002F41C9"/>
    <w:rsid w:val="002F45EB"/>
    <w:rsid w:val="002F49BA"/>
    <w:rsid w:val="002F4D9C"/>
    <w:rsid w:val="002F4F6D"/>
    <w:rsid w:val="002F5279"/>
    <w:rsid w:val="002F5551"/>
    <w:rsid w:val="002F5729"/>
    <w:rsid w:val="002F5811"/>
    <w:rsid w:val="002F5C6A"/>
    <w:rsid w:val="002F6806"/>
    <w:rsid w:val="002F693F"/>
    <w:rsid w:val="002F69C4"/>
    <w:rsid w:val="002F73AA"/>
    <w:rsid w:val="002F747C"/>
    <w:rsid w:val="002F754F"/>
    <w:rsid w:val="002F7ED3"/>
    <w:rsid w:val="003003C8"/>
    <w:rsid w:val="0030092B"/>
    <w:rsid w:val="00300BF3"/>
    <w:rsid w:val="00301092"/>
    <w:rsid w:val="003011F6"/>
    <w:rsid w:val="00301993"/>
    <w:rsid w:val="00301BEE"/>
    <w:rsid w:val="00301F44"/>
    <w:rsid w:val="00302055"/>
    <w:rsid w:val="003025A9"/>
    <w:rsid w:val="00303114"/>
    <w:rsid w:val="00303291"/>
    <w:rsid w:val="00303A93"/>
    <w:rsid w:val="00303BB9"/>
    <w:rsid w:val="003043C9"/>
    <w:rsid w:val="00304478"/>
    <w:rsid w:val="003046FC"/>
    <w:rsid w:val="00304822"/>
    <w:rsid w:val="00304A52"/>
    <w:rsid w:val="00305027"/>
    <w:rsid w:val="003051D8"/>
    <w:rsid w:val="0030548E"/>
    <w:rsid w:val="003054BA"/>
    <w:rsid w:val="00305537"/>
    <w:rsid w:val="003059C1"/>
    <w:rsid w:val="003061F2"/>
    <w:rsid w:val="00306AAE"/>
    <w:rsid w:val="00306B1E"/>
    <w:rsid w:val="00307128"/>
    <w:rsid w:val="00307146"/>
    <w:rsid w:val="00307211"/>
    <w:rsid w:val="00307A6B"/>
    <w:rsid w:val="00307C56"/>
    <w:rsid w:val="00307D91"/>
    <w:rsid w:val="00310589"/>
    <w:rsid w:val="00310767"/>
    <w:rsid w:val="00310C9E"/>
    <w:rsid w:val="00310D02"/>
    <w:rsid w:val="00310E41"/>
    <w:rsid w:val="00311574"/>
    <w:rsid w:val="0031171F"/>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64AE"/>
    <w:rsid w:val="0031661D"/>
    <w:rsid w:val="003167F9"/>
    <w:rsid w:val="00316D12"/>
    <w:rsid w:val="00316FDC"/>
    <w:rsid w:val="00317092"/>
    <w:rsid w:val="00317571"/>
    <w:rsid w:val="003177C5"/>
    <w:rsid w:val="00317ABE"/>
    <w:rsid w:val="0032001E"/>
    <w:rsid w:val="00320920"/>
    <w:rsid w:val="00320B5B"/>
    <w:rsid w:val="00320DF8"/>
    <w:rsid w:val="003212E6"/>
    <w:rsid w:val="0032133A"/>
    <w:rsid w:val="0032176A"/>
    <w:rsid w:val="00321844"/>
    <w:rsid w:val="00321C1E"/>
    <w:rsid w:val="00321C39"/>
    <w:rsid w:val="003223A5"/>
    <w:rsid w:val="0032245C"/>
    <w:rsid w:val="0032293A"/>
    <w:rsid w:val="00322E91"/>
    <w:rsid w:val="00322FF4"/>
    <w:rsid w:val="003230AE"/>
    <w:rsid w:val="0032326B"/>
    <w:rsid w:val="003232E1"/>
    <w:rsid w:val="00323A5A"/>
    <w:rsid w:val="00323E49"/>
    <w:rsid w:val="003240A3"/>
    <w:rsid w:val="0032451D"/>
    <w:rsid w:val="00324593"/>
    <w:rsid w:val="00324827"/>
    <w:rsid w:val="00324B3D"/>
    <w:rsid w:val="0032559D"/>
    <w:rsid w:val="003256F7"/>
    <w:rsid w:val="003265A4"/>
    <w:rsid w:val="0032667A"/>
    <w:rsid w:val="003267E0"/>
    <w:rsid w:val="003271F8"/>
    <w:rsid w:val="00327684"/>
    <w:rsid w:val="0032783F"/>
    <w:rsid w:val="003305D3"/>
    <w:rsid w:val="0033065F"/>
    <w:rsid w:val="00330762"/>
    <w:rsid w:val="003307D9"/>
    <w:rsid w:val="0033088D"/>
    <w:rsid w:val="00330D18"/>
    <w:rsid w:val="00330DDD"/>
    <w:rsid w:val="003314A6"/>
    <w:rsid w:val="00331D35"/>
    <w:rsid w:val="00331ED5"/>
    <w:rsid w:val="00332472"/>
    <w:rsid w:val="00332ADB"/>
    <w:rsid w:val="00332C13"/>
    <w:rsid w:val="00332D2C"/>
    <w:rsid w:val="00333393"/>
    <w:rsid w:val="003333AD"/>
    <w:rsid w:val="003333E3"/>
    <w:rsid w:val="00333708"/>
    <w:rsid w:val="00333A5F"/>
    <w:rsid w:val="0033402D"/>
    <w:rsid w:val="003346EF"/>
    <w:rsid w:val="00334B1E"/>
    <w:rsid w:val="00334BF5"/>
    <w:rsid w:val="00334DEA"/>
    <w:rsid w:val="00334E2E"/>
    <w:rsid w:val="003352D1"/>
    <w:rsid w:val="0033534E"/>
    <w:rsid w:val="00335381"/>
    <w:rsid w:val="00335C77"/>
    <w:rsid w:val="00335D19"/>
    <w:rsid w:val="00335EDC"/>
    <w:rsid w:val="00335FD7"/>
    <w:rsid w:val="003365BD"/>
    <w:rsid w:val="00336836"/>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693"/>
    <w:rsid w:val="00341694"/>
    <w:rsid w:val="00341882"/>
    <w:rsid w:val="00341B30"/>
    <w:rsid w:val="00342313"/>
    <w:rsid w:val="00342408"/>
    <w:rsid w:val="00342864"/>
    <w:rsid w:val="00342B2C"/>
    <w:rsid w:val="0034325B"/>
    <w:rsid w:val="003432CE"/>
    <w:rsid w:val="0034361F"/>
    <w:rsid w:val="0034379C"/>
    <w:rsid w:val="003437AA"/>
    <w:rsid w:val="00343A0B"/>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9A7"/>
    <w:rsid w:val="00352C3A"/>
    <w:rsid w:val="00352C96"/>
    <w:rsid w:val="00352D37"/>
    <w:rsid w:val="003533E2"/>
    <w:rsid w:val="00353D5B"/>
    <w:rsid w:val="00354055"/>
    <w:rsid w:val="0035411E"/>
    <w:rsid w:val="0035469E"/>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5A"/>
    <w:rsid w:val="003568B2"/>
    <w:rsid w:val="00356D82"/>
    <w:rsid w:val="00356FA6"/>
    <w:rsid w:val="0035732B"/>
    <w:rsid w:val="00357722"/>
    <w:rsid w:val="00357726"/>
    <w:rsid w:val="0035794C"/>
    <w:rsid w:val="00357FCD"/>
    <w:rsid w:val="00360064"/>
    <w:rsid w:val="003604A5"/>
    <w:rsid w:val="003607DB"/>
    <w:rsid w:val="00360DEF"/>
    <w:rsid w:val="0036143B"/>
    <w:rsid w:val="00361692"/>
    <w:rsid w:val="00361695"/>
    <w:rsid w:val="003616CE"/>
    <w:rsid w:val="0036188B"/>
    <w:rsid w:val="00361B55"/>
    <w:rsid w:val="0036270A"/>
    <w:rsid w:val="00362915"/>
    <w:rsid w:val="00362A5A"/>
    <w:rsid w:val="00362ABE"/>
    <w:rsid w:val="00363395"/>
    <w:rsid w:val="003633AE"/>
    <w:rsid w:val="003637A7"/>
    <w:rsid w:val="0036381A"/>
    <w:rsid w:val="00363CE4"/>
    <w:rsid w:val="00363E0A"/>
    <w:rsid w:val="00364565"/>
    <w:rsid w:val="003648C6"/>
    <w:rsid w:val="003649E9"/>
    <w:rsid w:val="00364A24"/>
    <w:rsid w:val="00364AB0"/>
    <w:rsid w:val="00364CEF"/>
    <w:rsid w:val="0036544B"/>
    <w:rsid w:val="00366127"/>
    <w:rsid w:val="00366654"/>
    <w:rsid w:val="003668BA"/>
    <w:rsid w:val="00366AD7"/>
    <w:rsid w:val="00367104"/>
    <w:rsid w:val="00367530"/>
    <w:rsid w:val="003678BB"/>
    <w:rsid w:val="00367C88"/>
    <w:rsid w:val="00367ED7"/>
    <w:rsid w:val="00370172"/>
    <w:rsid w:val="0037082F"/>
    <w:rsid w:val="00370A35"/>
    <w:rsid w:val="00370BD9"/>
    <w:rsid w:val="00370CB6"/>
    <w:rsid w:val="00370D2D"/>
    <w:rsid w:val="00370E3D"/>
    <w:rsid w:val="0037160E"/>
    <w:rsid w:val="00371CF1"/>
    <w:rsid w:val="00372117"/>
    <w:rsid w:val="003726BA"/>
    <w:rsid w:val="00372C45"/>
    <w:rsid w:val="00372C9D"/>
    <w:rsid w:val="00373102"/>
    <w:rsid w:val="00373F4B"/>
    <w:rsid w:val="003747D2"/>
    <w:rsid w:val="00374CE1"/>
    <w:rsid w:val="0037507C"/>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9B1"/>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B7B"/>
    <w:rsid w:val="00382D2F"/>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71A"/>
    <w:rsid w:val="00385B6A"/>
    <w:rsid w:val="00385BEC"/>
    <w:rsid w:val="00385FE4"/>
    <w:rsid w:val="00386071"/>
    <w:rsid w:val="0038653E"/>
    <w:rsid w:val="003866D5"/>
    <w:rsid w:val="00386A13"/>
    <w:rsid w:val="00386E87"/>
    <w:rsid w:val="003872E0"/>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743"/>
    <w:rsid w:val="003948A6"/>
    <w:rsid w:val="003948D0"/>
    <w:rsid w:val="0039567E"/>
    <w:rsid w:val="00395764"/>
    <w:rsid w:val="00395DC2"/>
    <w:rsid w:val="00395F15"/>
    <w:rsid w:val="00396229"/>
    <w:rsid w:val="00396736"/>
    <w:rsid w:val="00396FB8"/>
    <w:rsid w:val="00397323"/>
    <w:rsid w:val="0039738D"/>
    <w:rsid w:val="003975C9"/>
    <w:rsid w:val="00397AFB"/>
    <w:rsid w:val="003A0363"/>
    <w:rsid w:val="003A04B4"/>
    <w:rsid w:val="003A053C"/>
    <w:rsid w:val="003A0FB9"/>
    <w:rsid w:val="003A12A5"/>
    <w:rsid w:val="003A131F"/>
    <w:rsid w:val="003A1493"/>
    <w:rsid w:val="003A1B24"/>
    <w:rsid w:val="003A1C9D"/>
    <w:rsid w:val="003A1DD9"/>
    <w:rsid w:val="003A2671"/>
    <w:rsid w:val="003A267B"/>
    <w:rsid w:val="003A2B48"/>
    <w:rsid w:val="003A2B86"/>
    <w:rsid w:val="003A2E54"/>
    <w:rsid w:val="003A2EAE"/>
    <w:rsid w:val="003A37B5"/>
    <w:rsid w:val="003A383D"/>
    <w:rsid w:val="003A3932"/>
    <w:rsid w:val="003A3BDF"/>
    <w:rsid w:val="003A3DF5"/>
    <w:rsid w:val="003A3EE5"/>
    <w:rsid w:val="003A4A08"/>
    <w:rsid w:val="003A4B68"/>
    <w:rsid w:val="003A4C36"/>
    <w:rsid w:val="003A4FA2"/>
    <w:rsid w:val="003A504C"/>
    <w:rsid w:val="003A505C"/>
    <w:rsid w:val="003A54B0"/>
    <w:rsid w:val="003A5BF3"/>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C9"/>
    <w:rsid w:val="003B32AB"/>
    <w:rsid w:val="003B414D"/>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C025C"/>
    <w:rsid w:val="003C0985"/>
    <w:rsid w:val="003C0FD4"/>
    <w:rsid w:val="003C10FF"/>
    <w:rsid w:val="003C1ADD"/>
    <w:rsid w:val="003C259B"/>
    <w:rsid w:val="003C2641"/>
    <w:rsid w:val="003C299F"/>
    <w:rsid w:val="003C2A79"/>
    <w:rsid w:val="003C2DE3"/>
    <w:rsid w:val="003C339E"/>
    <w:rsid w:val="003C3475"/>
    <w:rsid w:val="003C3FD5"/>
    <w:rsid w:val="003C435B"/>
    <w:rsid w:val="003C4377"/>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EEA"/>
    <w:rsid w:val="003C7F7D"/>
    <w:rsid w:val="003C7FAE"/>
    <w:rsid w:val="003D00BF"/>
    <w:rsid w:val="003D00F7"/>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B30"/>
    <w:rsid w:val="003D2BB0"/>
    <w:rsid w:val="003D2F70"/>
    <w:rsid w:val="003D2FAF"/>
    <w:rsid w:val="003D304F"/>
    <w:rsid w:val="003D31E7"/>
    <w:rsid w:val="003D38EC"/>
    <w:rsid w:val="003D3B6B"/>
    <w:rsid w:val="003D3FA4"/>
    <w:rsid w:val="003D45A4"/>
    <w:rsid w:val="003D4B65"/>
    <w:rsid w:val="003D4C03"/>
    <w:rsid w:val="003D5036"/>
    <w:rsid w:val="003D5685"/>
    <w:rsid w:val="003D5A55"/>
    <w:rsid w:val="003D5C4A"/>
    <w:rsid w:val="003D60B0"/>
    <w:rsid w:val="003D6137"/>
    <w:rsid w:val="003D6311"/>
    <w:rsid w:val="003D6757"/>
    <w:rsid w:val="003D695D"/>
    <w:rsid w:val="003D69C5"/>
    <w:rsid w:val="003D6B61"/>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5D8"/>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724"/>
    <w:rsid w:val="003F79D1"/>
    <w:rsid w:val="003F7FA0"/>
    <w:rsid w:val="004000EB"/>
    <w:rsid w:val="0040021C"/>
    <w:rsid w:val="00400738"/>
    <w:rsid w:val="00400B64"/>
    <w:rsid w:val="0040129E"/>
    <w:rsid w:val="0040179C"/>
    <w:rsid w:val="00401857"/>
    <w:rsid w:val="00401AB2"/>
    <w:rsid w:val="00401D11"/>
    <w:rsid w:val="00401F65"/>
    <w:rsid w:val="004022AC"/>
    <w:rsid w:val="00402352"/>
    <w:rsid w:val="004027DF"/>
    <w:rsid w:val="004027F2"/>
    <w:rsid w:val="0040286F"/>
    <w:rsid w:val="00402B0D"/>
    <w:rsid w:val="00403120"/>
    <w:rsid w:val="00403461"/>
    <w:rsid w:val="00403567"/>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F12"/>
    <w:rsid w:val="0040635C"/>
    <w:rsid w:val="0040660D"/>
    <w:rsid w:val="004068C8"/>
    <w:rsid w:val="004069C5"/>
    <w:rsid w:val="00407182"/>
    <w:rsid w:val="0040765D"/>
    <w:rsid w:val="004079A8"/>
    <w:rsid w:val="00407A15"/>
    <w:rsid w:val="00407B1F"/>
    <w:rsid w:val="00407DA7"/>
    <w:rsid w:val="00410001"/>
    <w:rsid w:val="004107E5"/>
    <w:rsid w:val="00410C65"/>
    <w:rsid w:val="00411294"/>
    <w:rsid w:val="0041146C"/>
    <w:rsid w:val="0041148F"/>
    <w:rsid w:val="00411C22"/>
    <w:rsid w:val="00412B53"/>
    <w:rsid w:val="00412B55"/>
    <w:rsid w:val="00412B8C"/>
    <w:rsid w:val="00412D5C"/>
    <w:rsid w:val="00412D80"/>
    <w:rsid w:val="00412DE8"/>
    <w:rsid w:val="004130BD"/>
    <w:rsid w:val="00413C13"/>
    <w:rsid w:val="00413C23"/>
    <w:rsid w:val="00414ABC"/>
    <w:rsid w:val="00414E1E"/>
    <w:rsid w:val="00414F56"/>
    <w:rsid w:val="0041510D"/>
    <w:rsid w:val="00415202"/>
    <w:rsid w:val="00415807"/>
    <w:rsid w:val="004158CE"/>
    <w:rsid w:val="004163BD"/>
    <w:rsid w:val="004167CE"/>
    <w:rsid w:val="00417410"/>
    <w:rsid w:val="004177D9"/>
    <w:rsid w:val="00417807"/>
    <w:rsid w:val="00417844"/>
    <w:rsid w:val="00417BDF"/>
    <w:rsid w:val="00417EB8"/>
    <w:rsid w:val="00420731"/>
    <w:rsid w:val="00420807"/>
    <w:rsid w:val="00420CFB"/>
    <w:rsid w:val="00420E36"/>
    <w:rsid w:val="004210C4"/>
    <w:rsid w:val="00421346"/>
    <w:rsid w:val="00421FF5"/>
    <w:rsid w:val="0042218C"/>
    <w:rsid w:val="004225E1"/>
    <w:rsid w:val="0042263C"/>
    <w:rsid w:val="00422BB8"/>
    <w:rsid w:val="00422D08"/>
    <w:rsid w:val="00422E4D"/>
    <w:rsid w:val="00422EE7"/>
    <w:rsid w:val="00422FB0"/>
    <w:rsid w:val="004232D1"/>
    <w:rsid w:val="00423459"/>
    <w:rsid w:val="0042402D"/>
    <w:rsid w:val="004249A3"/>
    <w:rsid w:val="004251CA"/>
    <w:rsid w:val="004259CB"/>
    <w:rsid w:val="00426246"/>
    <w:rsid w:val="00426661"/>
    <w:rsid w:val="0042688A"/>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C40"/>
    <w:rsid w:val="00433D2C"/>
    <w:rsid w:val="00434075"/>
    <w:rsid w:val="00434C5B"/>
    <w:rsid w:val="00435095"/>
    <w:rsid w:val="0043523E"/>
    <w:rsid w:val="004352B9"/>
    <w:rsid w:val="004358A5"/>
    <w:rsid w:val="00435BDD"/>
    <w:rsid w:val="00435CB9"/>
    <w:rsid w:val="004361A8"/>
    <w:rsid w:val="00436C72"/>
    <w:rsid w:val="00436D1C"/>
    <w:rsid w:val="00437479"/>
    <w:rsid w:val="00437846"/>
    <w:rsid w:val="00437C1E"/>
    <w:rsid w:val="00437CAD"/>
    <w:rsid w:val="0044001A"/>
    <w:rsid w:val="00440226"/>
    <w:rsid w:val="00440477"/>
    <w:rsid w:val="00440478"/>
    <w:rsid w:val="0044075B"/>
    <w:rsid w:val="00440808"/>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0C5"/>
    <w:rsid w:val="004444CD"/>
    <w:rsid w:val="00444C8C"/>
    <w:rsid w:val="00444D79"/>
    <w:rsid w:val="00444E05"/>
    <w:rsid w:val="004457C3"/>
    <w:rsid w:val="0044589D"/>
    <w:rsid w:val="00446068"/>
    <w:rsid w:val="00446274"/>
    <w:rsid w:val="004465B5"/>
    <w:rsid w:val="00446803"/>
    <w:rsid w:val="0044680E"/>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A59"/>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898"/>
    <w:rsid w:val="00454937"/>
    <w:rsid w:val="004549DE"/>
    <w:rsid w:val="00454A33"/>
    <w:rsid w:val="00454BA8"/>
    <w:rsid w:val="00454D17"/>
    <w:rsid w:val="00455639"/>
    <w:rsid w:val="00455D8E"/>
    <w:rsid w:val="004574B6"/>
    <w:rsid w:val="00457528"/>
    <w:rsid w:val="00457579"/>
    <w:rsid w:val="004576C2"/>
    <w:rsid w:val="00457D7D"/>
    <w:rsid w:val="00460232"/>
    <w:rsid w:val="004606D3"/>
    <w:rsid w:val="004608BB"/>
    <w:rsid w:val="00460BE6"/>
    <w:rsid w:val="00460EDF"/>
    <w:rsid w:val="00461248"/>
    <w:rsid w:val="00461E19"/>
    <w:rsid w:val="00462046"/>
    <w:rsid w:val="004625AA"/>
    <w:rsid w:val="00462A94"/>
    <w:rsid w:val="00462C59"/>
    <w:rsid w:val="00462CBC"/>
    <w:rsid w:val="00462F7C"/>
    <w:rsid w:val="00463122"/>
    <w:rsid w:val="00463134"/>
    <w:rsid w:val="004636E2"/>
    <w:rsid w:val="00463804"/>
    <w:rsid w:val="00463C0D"/>
    <w:rsid w:val="00463E3D"/>
    <w:rsid w:val="0046422D"/>
    <w:rsid w:val="004644AB"/>
    <w:rsid w:val="004645A3"/>
    <w:rsid w:val="00464C22"/>
    <w:rsid w:val="00464D73"/>
    <w:rsid w:val="004651BF"/>
    <w:rsid w:val="0046543C"/>
    <w:rsid w:val="00465B78"/>
    <w:rsid w:val="00465CEA"/>
    <w:rsid w:val="00465FC4"/>
    <w:rsid w:val="00466526"/>
    <w:rsid w:val="00466CC1"/>
    <w:rsid w:val="00467156"/>
    <w:rsid w:val="004674DB"/>
    <w:rsid w:val="00467885"/>
    <w:rsid w:val="00467DC6"/>
    <w:rsid w:val="004700F8"/>
    <w:rsid w:val="0047010B"/>
    <w:rsid w:val="00470348"/>
    <w:rsid w:val="004709BB"/>
    <w:rsid w:val="0047115F"/>
    <w:rsid w:val="00471165"/>
    <w:rsid w:val="004715CA"/>
    <w:rsid w:val="00471937"/>
    <w:rsid w:val="00471C5F"/>
    <w:rsid w:val="00471CC3"/>
    <w:rsid w:val="00471D4C"/>
    <w:rsid w:val="00471D5B"/>
    <w:rsid w:val="00472105"/>
    <w:rsid w:val="00472155"/>
    <w:rsid w:val="00472224"/>
    <w:rsid w:val="00473017"/>
    <w:rsid w:val="00473160"/>
    <w:rsid w:val="004738FD"/>
    <w:rsid w:val="00473A54"/>
    <w:rsid w:val="00473AD9"/>
    <w:rsid w:val="00473DBF"/>
    <w:rsid w:val="00474BEE"/>
    <w:rsid w:val="004751EB"/>
    <w:rsid w:val="00475A99"/>
    <w:rsid w:val="00475BBB"/>
    <w:rsid w:val="00475F07"/>
    <w:rsid w:val="00475F61"/>
    <w:rsid w:val="00476027"/>
    <w:rsid w:val="00476BCC"/>
    <w:rsid w:val="00476E9E"/>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4B"/>
    <w:rsid w:val="0048149B"/>
    <w:rsid w:val="00481688"/>
    <w:rsid w:val="00481785"/>
    <w:rsid w:val="00481866"/>
    <w:rsid w:val="00481943"/>
    <w:rsid w:val="00481A3F"/>
    <w:rsid w:val="00481D59"/>
    <w:rsid w:val="004822FA"/>
    <w:rsid w:val="00482BE2"/>
    <w:rsid w:val="0048368B"/>
    <w:rsid w:val="00483738"/>
    <w:rsid w:val="00483930"/>
    <w:rsid w:val="00483E42"/>
    <w:rsid w:val="00483F95"/>
    <w:rsid w:val="004841BD"/>
    <w:rsid w:val="004843F2"/>
    <w:rsid w:val="004845F0"/>
    <w:rsid w:val="00484EA3"/>
    <w:rsid w:val="00484EF1"/>
    <w:rsid w:val="00485B20"/>
    <w:rsid w:val="00485C60"/>
    <w:rsid w:val="00485CF5"/>
    <w:rsid w:val="00485F8D"/>
    <w:rsid w:val="00485FD6"/>
    <w:rsid w:val="00486273"/>
    <w:rsid w:val="004866D6"/>
    <w:rsid w:val="00486BA7"/>
    <w:rsid w:val="00486D80"/>
    <w:rsid w:val="00486E8B"/>
    <w:rsid w:val="0048714F"/>
    <w:rsid w:val="00487496"/>
    <w:rsid w:val="0048776A"/>
    <w:rsid w:val="00487A79"/>
    <w:rsid w:val="00487B71"/>
    <w:rsid w:val="00487BF1"/>
    <w:rsid w:val="0049025B"/>
    <w:rsid w:val="0049034B"/>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4A3"/>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6423"/>
    <w:rsid w:val="00496533"/>
    <w:rsid w:val="0049665E"/>
    <w:rsid w:val="00496F24"/>
    <w:rsid w:val="0049733D"/>
    <w:rsid w:val="004974A7"/>
    <w:rsid w:val="00497602"/>
    <w:rsid w:val="004979C6"/>
    <w:rsid w:val="00497AB1"/>
    <w:rsid w:val="00497C1A"/>
    <w:rsid w:val="00497DBB"/>
    <w:rsid w:val="00497E41"/>
    <w:rsid w:val="004A003C"/>
    <w:rsid w:val="004A0189"/>
    <w:rsid w:val="004A0218"/>
    <w:rsid w:val="004A05EB"/>
    <w:rsid w:val="004A0785"/>
    <w:rsid w:val="004A0D7D"/>
    <w:rsid w:val="004A0EC2"/>
    <w:rsid w:val="004A122F"/>
    <w:rsid w:val="004A1934"/>
    <w:rsid w:val="004A1DA1"/>
    <w:rsid w:val="004A1DFE"/>
    <w:rsid w:val="004A222B"/>
    <w:rsid w:val="004A27CE"/>
    <w:rsid w:val="004A2C38"/>
    <w:rsid w:val="004A2CBA"/>
    <w:rsid w:val="004A2E1E"/>
    <w:rsid w:val="004A3538"/>
    <w:rsid w:val="004A3620"/>
    <w:rsid w:val="004A36A2"/>
    <w:rsid w:val="004A3FFB"/>
    <w:rsid w:val="004A4558"/>
    <w:rsid w:val="004A49AE"/>
    <w:rsid w:val="004A4EB6"/>
    <w:rsid w:val="004A5259"/>
    <w:rsid w:val="004A5362"/>
    <w:rsid w:val="004A5433"/>
    <w:rsid w:val="004A569D"/>
    <w:rsid w:val="004A594B"/>
    <w:rsid w:val="004A5A39"/>
    <w:rsid w:val="004A60D0"/>
    <w:rsid w:val="004A6364"/>
    <w:rsid w:val="004A6474"/>
    <w:rsid w:val="004A668B"/>
    <w:rsid w:val="004A717C"/>
    <w:rsid w:val="004A71DB"/>
    <w:rsid w:val="004A7A5D"/>
    <w:rsid w:val="004A7F59"/>
    <w:rsid w:val="004B0B0A"/>
    <w:rsid w:val="004B0DA5"/>
    <w:rsid w:val="004B1119"/>
    <w:rsid w:val="004B16C9"/>
    <w:rsid w:val="004B1783"/>
    <w:rsid w:val="004B1BAB"/>
    <w:rsid w:val="004B1D29"/>
    <w:rsid w:val="004B1FAB"/>
    <w:rsid w:val="004B1FDE"/>
    <w:rsid w:val="004B23F5"/>
    <w:rsid w:val="004B23FD"/>
    <w:rsid w:val="004B257B"/>
    <w:rsid w:val="004B26D8"/>
    <w:rsid w:val="004B283A"/>
    <w:rsid w:val="004B2DD3"/>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F1"/>
    <w:rsid w:val="004B4E97"/>
    <w:rsid w:val="004B52AF"/>
    <w:rsid w:val="004B534F"/>
    <w:rsid w:val="004B55A0"/>
    <w:rsid w:val="004B593A"/>
    <w:rsid w:val="004B5A07"/>
    <w:rsid w:val="004B5B05"/>
    <w:rsid w:val="004B5E7A"/>
    <w:rsid w:val="004B5EA9"/>
    <w:rsid w:val="004B602D"/>
    <w:rsid w:val="004B60A8"/>
    <w:rsid w:val="004B61FD"/>
    <w:rsid w:val="004B667C"/>
    <w:rsid w:val="004B6A39"/>
    <w:rsid w:val="004B6F7D"/>
    <w:rsid w:val="004B7093"/>
    <w:rsid w:val="004B7519"/>
    <w:rsid w:val="004B773E"/>
    <w:rsid w:val="004B7BC2"/>
    <w:rsid w:val="004C031E"/>
    <w:rsid w:val="004C0A95"/>
    <w:rsid w:val="004C10C0"/>
    <w:rsid w:val="004C1114"/>
    <w:rsid w:val="004C1515"/>
    <w:rsid w:val="004C17E0"/>
    <w:rsid w:val="004C1A68"/>
    <w:rsid w:val="004C2995"/>
    <w:rsid w:val="004C2A86"/>
    <w:rsid w:val="004C359D"/>
    <w:rsid w:val="004C35C1"/>
    <w:rsid w:val="004C36C6"/>
    <w:rsid w:val="004C3926"/>
    <w:rsid w:val="004C3E94"/>
    <w:rsid w:val="004C3F84"/>
    <w:rsid w:val="004C4419"/>
    <w:rsid w:val="004C48F6"/>
    <w:rsid w:val="004C49AE"/>
    <w:rsid w:val="004C4C3F"/>
    <w:rsid w:val="004C4F40"/>
    <w:rsid w:val="004C5272"/>
    <w:rsid w:val="004C557D"/>
    <w:rsid w:val="004C55A9"/>
    <w:rsid w:val="004C55C9"/>
    <w:rsid w:val="004C5AEB"/>
    <w:rsid w:val="004C606E"/>
    <w:rsid w:val="004C60A0"/>
    <w:rsid w:val="004C6173"/>
    <w:rsid w:val="004C61E7"/>
    <w:rsid w:val="004C6ACB"/>
    <w:rsid w:val="004C6C64"/>
    <w:rsid w:val="004C6CCE"/>
    <w:rsid w:val="004C7189"/>
    <w:rsid w:val="004C73B3"/>
    <w:rsid w:val="004C73F1"/>
    <w:rsid w:val="004C743D"/>
    <w:rsid w:val="004C776A"/>
    <w:rsid w:val="004D0015"/>
    <w:rsid w:val="004D025A"/>
    <w:rsid w:val="004D09B6"/>
    <w:rsid w:val="004D10B3"/>
    <w:rsid w:val="004D1711"/>
    <w:rsid w:val="004D19CF"/>
    <w:rsid w:val="004D1AA0"/>
    <w:rsid w:val="004D1DE1"/>
    <w:rsid w:val="004D2023"/>
    <w:rsid w:val="004D2059"/>
    <w:rsid w:val="004D2895"/>
    <w:rsid w:val="004D2EEB"/>
    <w:rsid w:val="004D3029"/>
    <w:rsid w:val="004D357F"/>
    <w:rsid w:val="004D388C"/>
    <w:rsid w:val="004D3B6D"/>
    <w:rsid w:val="004D4A90"/>
    <w:rsid w:val="004D5761"/>
    <w:rsid w:val="004D586C"/>
    <w:rsid w:val="004D5B34"/>
    <w:rsid w:val="004D5C61"/>
    <w:rsid w:val="004D63E1"/>
    <w:rsid w:val="004D63E3"/>
    <w:rsid w:val="004D6423"/>
    <w:rsid w:val="004D72E4"/>
    <w:rsid w:val="004D7360"/>
    <w:rsid w:val="004D785B"/>
    <w:rsid w:val="004D7EE0"/>
    <w:rsid w:val="004D7FF1"/>
    <w:rsid w:val="004E0403"/>
    <w:rsid w:val="004E045D"/>
    <w:rsid w:val="004E0553"/>
    <w:rsid w:val="004E0674"/>
    <w:rsid w:val="004E0D35"/>
    <w:rsid w:val="004E0E59"/>
    <w:rsid w:val="004E0F3B"/>
    <w:rsid w:val="004E1433"/>
    <w:rsid w:val="004E14FF"/>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645"/>
    <w:rsid w:val="004E5973"/>
    <w:rsid w:val="004E5A1D"/>
    <w:rsid w:val="004E5BD4"/>
    <w:rsid w:val="004E6184"/>
    <w:rsid w:val="004E6353"/>
    <w:rsid w:val="004E65D7"/>
    <w:rsid w:val="004E6DD4"/>
    <w:rsid w:val="004E78C8"/>
    <w:rsid w:val="004E7C3A"/>
    <w:rsid w:val="004E7FAE"/>
    <w:rsid w:val="004E7FD6"/>
    <w:rsid w:val="004F0311"/>
    <w:rsid w:val="004F0623"/>
    <w:rsid w:val="004F09EB"/>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FC6"/>
    <w:rsid w:val="00502157"/>
    <w:rsid w:val="00502180"/>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E57"/>
    <w:rsid w:val="00513201"/>
    <w:rsid w:val="00513426"/>
    <w:rsid w:val="0051346B"/>
    <w:rsid w:val="00513CEE"/>
    <w:rsid w:val="00513D7C"/>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9EA"/>
    <w:rsid w:val="005236D6"/>
    <w:rsid w:val="00523810"/>
    <w:rsid w:val="0052484C"/>
    <w:rsid w:val="00524ABC"/>
    <w:rsid w:val="00524AD8"/>
    <w:rsid w:val="005250A8"/>
    <w:rsid w:val="00525C61"/>
    <w:rsid w:val="00525E75"/>
    <w:rsid w:val="005263E7"/>
    <w:rsid w:val="00526712"/>
    <w:rsid w:val="00526DE2"/>
    <w:rsid w:val="00526DF6"/>
    <w:rsid w:val="00526F01"/>
    <w:rsid w:val="00527476"/>
    <w:rsid w:val="00527642"/>
    <w:rsid w:val="0052779E"/>
    <w:rsid w:val="00527B5B"/>
    <w:rsid w:val="00527C79"/>
    <w:rsid w:val="0053060D"/>
    <w:rsid w:val="005307C8"/>
    <w:rsid w:val="00530A2C"/>
    <w:rsid w:val="00531195"/>
    <w:rsid w:val="005313A7"/>
    <w:rsid w:val="0053140D"/>
    <w:rsid w:val="00531B2A"/>
    <w:rsid w:val="005320CF"/>
    <w:rsid w:val="00532A33"/>
    <w:rsid w:val="00532E4C"/>
    <w:rsid w:val="0053319F"/>
    <w:rsid w:val="005334E9"/>
    <w:rsid w:val="00533697"/>
    <w:rsid w:val="00533870"/>
    <w:rsid w:val="00533A6E"/>
    <w:rsid w:val="00533AFA"/>
    <w:rsid w:val="00533CE6"/>
    <w:rsid w:val="00533D45"/>
    <w:rsid w:val="005341F8"/>
    <w:rsid w:val="00534413"/>
    <w:rsid w:val="00534904"/>
    <w:rsid w:val="00534A44"/>
    <w:rsid w:val="00534AEC"/>
    <w:rsid w:val="00534BC4"/>
    <w:rsid w:val="00534C5E"/>
    <w:rsid w:val="005351E4"/>
    <w:rsid w:val="0053553A"/>
    <w:rsid w:val="0053582F"/>
    <w:rsid w:val="00535A65"/>
    <w:rsid w:val="00535D93"/>
    <w:rsid w:val="00535FF1"/>
    <w:rsid w:val="005364EF"/>
    <w:rsid w:val="005367F6"/>
    <w:rsid w:val="00536911"/>
    <w:rsid w:val="00536C03"/>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BD7"/>
    <w:rsid w:val="00541090"/>
    <w:rsid w:val="00541285"/>
    <w:rsid w:val="0054130B"/>
    <w:rsid w:val="005415BD"/>
    <w:rsid w:val="00541726"/>
    <w:rsid w:val="005419D5"/>
    <w:rsid w:val="00541ABE"/>
    <w:rsid w:val="00541F49"/>
    <w:rsid w:val="005422BA"/>
    <w:rsid w:val="0054269A"/>
    <w:rsid w:val="00542837"/>
    <w:rsid w:val="005428A9"/>
    <w:rsid w:val="005428AF"/>
    <w:rsid w:val="00542EB1"/>
    <w:rsid w:val="00543610"/>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724D"/>
    <w:rsid w:val="00547449"/>
    <w:rsid w:val="00547478"/>
    <w:rsid w:val="00547774"/>
    <w:rsid w:val="0054787C"/>
    <w:rsid w:val="00547924"/>
    <w:rsid w:val="00547A59"/>
    <w:rsid w:val="00550331"/>
    <w:rsid w:val="005519E5"/>
    <w:rsid w:val="00551A0B"/>
    <w:rsid w:val="00551B01"/>
    <w:rsid w:val="00551D1C"/>
    <w:rsid w:val="00551F0A"/>
    <w:rsid w:val="005524DE"/>
    <w:rsid w:val="00552530"/>
    <w:rsid w:val="00552944"/>
    <w:rsid w:val="00552A9A"/>
    <w:rsid w:val="00552C2E"/>
    <w:rsid w:val="00552F5D"/>
    <w:rsid w:val="0055316A"/>
    <w:rsid w:val="00553867"/>
    <w:rsid w:val="00553977"/>
    <w:rsid w:val="00553A5D"/>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458"/>
    <w:rsid w:val="00560519"/>
    <w:rsid w:val="0056058B"/>
    <w:rsid w:val="0056072E"/>
    <w:rsid w:val="00560819"/>
    <w:rsid w:val="00560AB9"/>
    <w:rsid w:val="00561206"/>
    <w:rsid w:val="0056124A"/>
    <w:rsid w:val="00561415"/>
    <w:rsid w:val="0056193E"/>
    <w:rsid w:val="00561D47"/>
    <w:rsid w:val="00562901"/>
    <w:rsid w:val="00562C79"/>
    <w:rsid w:val="00562D0F"/>
    <w:rsid w:val="00563088"/>
    <w:rsid w:val="005630FA"/>
    <w:rsid w:val="005633F7"/>
    <w:rsid w:val="005635CB"/>
    <w:rsid w:val="005639AC"/>
    <w:rsid w:val="00563A87"/>
    <w:rsid w:val="0056407A"/>
    <w:rsid w:val="0056413F"/>
    <w:rsid w:val="00564507"/>
    <w:rsid w:val="00564B8B"/>
    <w:rsid w:val="005659D2"/>
    <w:rsid w:val="00565AAE"/>
    <w:rsid w:val="00565BB4"/>
    <w:rsid w:val="00565D2D"/>
    <w:rsid w:val="0056604D"/>
    <w:rsid w:val="00566A3B"/>
    <w:rsid w:val="00566CC5"/>
    <w:rsid w:val="00566E75"/>
    <w:rsid w:val="00567301"/>
    <w:rsid w:val="00567581"/>
    <w:rsid w:val="00567985"/>
    <w:rsid w:val="00567AAA"/>
    <w:rsid w:val="00567AD0"/>
    <w:rsid w:val="00567B64"/>
    <w:rsid w:val="00567C19"/>
    <w:rsid w:val="00570348"/>
    <w:rsid w:val="005703DE"/>
    <w:rsid w:val="00570700"/>
    <w:rsid w:val="00570D01"/>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95B"/>
    <w:rsid w:val="00572AF1"/>
    <w:rsid w:val="00573A2E"/>
    <w:rsid w:val="00573E1B"/>
    <w:rsid w:val="00574254"/>
    <w:rsid w:val="00574425"/>
    <w:rsid w:val="00574678"/>
    <w:rsid w:val="00574B5C"/>
    <w:rsid w:val="00574D90"/>
    <w:rsid w:val="00574DB8"/>
    <w:rsid w:val="00574E4B"/>
    <w:rsid w:val="00574F05"/>
    <w:rsid w:val="005753FC"/>
    <w:rsid w:val="0057550F"/>
    <w:rsid w:val="00575522"/>
    <w:rsid w:val="00575C04"/>
    <w:rsid w:val="00575E1B"/>
    <w:rsid w:val="005761D0"/>
    <w:rsid w:val="005767F9"/>
    <w:rsid w:val="00577508"/>
    <w:rsid w:val="005779FF"/>
    <w:rsid w:val="00580105"/>
    <w:rsid w:val="005806BC"/>
    <w:rsid w:val="00580A5A"/>
    <w:rsid w:val="00580D63"/>
    <w:rsid w:val="00580F56"/>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3AA0"/>
    <w:rsid w:val="00583D08"/>
    <w:rsid w:val="00583D98"/>
    <w:rsid w:val="00583EF9"/>
    <w:rsid w:val="00584197"/>
    <w:rsid w:val="00584200"/>
    <w:rsid w:val="00584345"/>
    <w:rsid w:val="005844BE"/>
    <w:rsid w:val="0058460B"/>
    <w:rsid w:val="00584900"/>
    <w:rsid w:val="00584C16"/>
    <w:rsid w:val="0058509F"/>
    <w:rsid w:val="00585EDD"/>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3035"/>
    <w:rsid w:val="005930E2"/>
    <w:rsid w:val="00593440"/>
    <w:rsid w:val="0059354F"/>
    <w:rsid w:val="00593752"/>
    <w:rsid w:val="00593D1B"/>
    <w:rsid w:val="00593F71"/>
    <w:rsid w:val="005942DE"/>
    <w:rsid w:val="00594567"/>
    <w:rsid w:val="005945F0"/>
    <w:rsid w:val="005949C4"/>
    <w:rsid w:val="00594C0B"/>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7A0"/>
    <w:rsid w:val="005A17E6"/>
    <w:rsid w:val="005A1FD4"/>
    <w:rsid w:val="005A22CB"/>
    <w:rsid w:val="005A28CD"/>
    <w:rsid w:val="005A292A"/>
    <w:rsid w:val="005A2F31"/>
    <w:rsid w:val="005A31E8"/>
    <w:rsid w:val="005A3232"/>
    <w:rsid w:val="005A34D1"/>
    <w:rsid w:val="005A3722"/>
    <w:rsid w:val="005A39CF"/>
    <w:rsid w:val="005A3C28"/>
    <w:rsid w:val="005A3E19"/>
    <w:rsid w:val="005A4525"/>
    <w:rsid w:val="005A4738"/>
    <w:rsid w:val="005A4896"/>
    <w:rsid w:val="005A4A44"/>
    <w:rsid w:val="005A53BC"/>
    <w:rsid w:val="005A5446"/>
    <w:rsid w:val="005A5729"/>
    <w:rsid w:val="005A5837"/>
    <w:rsid w:val="005A5C3A"/>
    <w:rsid w:val="005A5D85"/>
    <w:rsid w:val="005A5F45"/>
    <w:rsid w:val="005A657E"/>
    <w:rsid w:val="005A6C30"/>
    <w:rsid w:val="005A7950"/>
    <w:rsid w:val="005A79BD"/>
    <w:rsid w:val="005B03D1"/>
    <w:rsid w:val="005B0778"/>
    <w:rsid w:val="005B077B"/>
    <w:rsid w:val="005B082B"/>
    <w:rsid w:val="005B108B"/>
    <w:rsid w:val="005B127D"/>
    <w:rsid w:val="005B1AE0"/>
    <w:rsid w:val="005B1D22"/>
    <w:rsid w:val="005B1E56"/>
    <w:rsid w:val="005B21BA"/>
    <w:rsid w:val="005B2651"/>
    <w:rsid w:val="005B2B3B"/>
    <w:rsid w:val="005B2E62"/>
    <w:rsid w:val="005B306C"/>
    <w:rsid w:val="005B3213"/>
    <w:rsid w:val="005B34B9"/>
    <w:rsid w:val="005B3618"/>
    <w:rsid w:val="005B38DE"/>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B5F"/>
    <w:rsid w:val="005C5D47"/>
    <w:rsid w:val="005C5E2B"/>
    <w:rsid w:val="005C5E8E"/>
    <w:rsid w:val="005C5FAA"/>
    <w:rsid w:val="005C68AA"/>
    <w:rsid w:val="005C6901"/>
    <w:rsid w:val="005C6FD7"/>
    <w:rsid w:val="005C7194"/>
    <w:rsid w:val="005C71A1"/>
    <w:rsid w:val="005C7350"/>
    <w:rsid w:val="005C73C7"/>
    <w:rsid w:val="005C74AA"/>
    <w:rsid w:val="005C7C77"/>
    <w:rsid w:val="005D01EC"/>
    <w:rsid w:val="005D0471"/>
    <w:rsid w:val="005D172A"/>
    <w:rsid w:val="005D203F"/>
    <w:rsid w:val="005D235A"/>
    <w:rsid w:val="005D2367"/>
    <w:rsid w:val="005D2744"/>
    <w:rsid w:val="005D294B"/>
    <w:rsid w:val="005D3134"/>
    <w:rsid w:val="005D33FA"/>
    <w:rsid w:val="005D3A56"/>
    <w:rsid w:val="005D3BAF"/>
    <w:rsid w:val="005D424F"/>
    <w:rsid w:val="005D4712"/>
    <w:rsid w:val="005D4C97"/>
    <w:rsid w:val="005D4CC3"/>
    <w:rsid w:val="005D5000"/>
    <w:rsid w:val="005D5031"/>
    <w:rsid w:val="005D5249"/>
    <w:rsid w:val="005D541C"/>
    <w:rsid w:val="005D55E7"/>
    <w:rsid w:val="005D5872"/>
    <w:rsid w:val="005D5A68"/>
    <w:rsid w:val="005D5BF5"/>
    <w:rsid w:val="005D72B0"/>
    <w:rsid w:val="005D76BB"/>
    <w:rsid w:val="005D7D6E"/>
    <w:rsid w:val="005E07FF"/>
    <w:rsid w:val="005E0B68"/>
    <w:rsid w:val="005E0BFB"/>
    <w:rsid w:val="005E0CA0"/>
    <w:rsid w:val="005E0F0B"/>
    <w:rsid w:val="005E0FDE"/>
    <w:rsid w:val="005E1120"/>
    <w:rsid w:val="005E2E32"/>
    <w:rsid w:val="005E30EB"/>
    <w:rsid w:val="005E310E"/>
    <w:rsid w:val="005E349D"/>
    <w:rsid w:val="005E36AE"/>
    <w:rsid w:val="005E3A50"/>
    <w:rsid w:val="005E3E37"/>
    <w:rsid w:val="005E40C1"/>
    <w:rsid w:val="005E491D"/>
    <w:rsid w:val="005E4A7E"/>
    <w:rsid w:val="005E4AEF"/>
    <w:rsid w:val="005E51E6"/>
    <w:rsid w:val="005E5535"/>
    <w:rsid w:val="005E59A7"/>
    <w:rsid w:val="005E5BAE"/>
    <w:rsid w:val="005E5F3C"/>
    <w:rsid w:val="005E665B"/>
    <w:rsid w:val="005E6FB1"/>
    <w:rsid w:val="005E75B0"/>
    <w:rsid w:val="005E7C89"/>
    <w:rsid w:val="005F00AF"/>
    <w:rsid w:val="005F07BA"/>
    <w:rsid w:val="005F086D"/>
    <w:rsid w:val="005F0C00"/>
    <w:rsid w:val="005F0E1E"/>
    <w:rsid w:val="005F117C"/>
    <w:rsid w:val="005F1A64"/>
    <w:rsid w:val="005F1AE6"/>
    <w:rsid w:val="005F1BC0"/>
    <w:rsid w:val="005F1DC9"/>
    <w:rsid w:val="005F1F09"/>
    <w:rsid w:val="005F2227"/>
    <w:rsid w:val="005F2C71"/>
    <w:rsid w:val="005F2F6E"/>
    <w:rsid w:val="005F33EE"/>
    <w:rsid w:val="005F3911"/>
    <w:rsid w:val="005F3969"/>
    <w:rsid w:val="005F3B16"/>
    <w:rsid w:val="005F3CF1"/>
    <w:rsid w:val="005F3D77"/>
    <w:rsid w:val="005F4717"/>
    <w:rsid w:val="005F4824"/>
    <w:rsid w:val="005F4C9D"/>
    <w:rsid w:val="005F5741"/>
    <w:rsid w:val="005F5AA8"/>
    <w:rsid w:val="005F5D5E"/>
    <w:rsid w:val="005F676E"/>
    <w:rsid w:val="005F69B9"/>
    <w:rsid w:val="005F74DB"/>
    <w:rsid w:val="005F752E"/>
    <w:rsid w:val="005F77D2"/>
    <w:rsid w:val="005F77E5"/>
    <w:rsid w:val="005F7AF5"/>
    <w:rsid w:val="00600278"/>
    <w:rsid w:val="006002EA"/>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F18"/>
    <w:rsid w:val="006054A4"/>
    <w:rsid w:val="00605790"/>
    <w:rsid w:val="006059C0"/>
    <w:rsid w:val="00605B42"/>
    <w:rsid w:val="00605D79"/>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A12"/>
    <w:rsid w:val="00607D5B"/>
    <w:rsid w:val="006101A0"/>
    <w:rsid w:val="006106E4"/>
    <w:rsid w:val="0061080A"/>
    <w:rsid w:val="00610828"/>
    <w:rsid w:val="00610853"/>
    <w:rsid w:val="00610963"/>
    <w:rsid w:val="00610C52"/>
    <w:rsid w:val="00610F03"/>
    <w:rsid w:val="00610FA7"/>
    <w:rsid w:val="00610FFE"/>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F33"/>
    <w:rsid w:val="00615F4E"/>
    <w:rsid w:val="006161E0"/>
    <w:rsid w:val="0061648C"/>
    <w:rsid w:val="0061666E"/>
    <w:rsid w:val="00616A84"/>
    <w:rsid w:val="0061701F"/>
    <w:rsid w:val="00617181"/>
    <w:rsid w:val="006171C5"/>
    <w:rsid w:val="006174CC"/>
    <w:rsid w:val="006174D0"/>
    <w:rsid w:val="00617D39"/>
    <w:rsid w:val="00617E86"/>
    <w:rsid w:val="006202FD"/>
    <w:rsid w:val="0062034B"/>
    <w:rsid w:val="00620789"/>
    <w:rsid w:val="006208FD"/>
    <w:rsid w:val="00620BEF"/>
    <w:rsid w:val="00620D3A"/>
    <w:rsid w:val="00620DFC"/>
    <w:rsid w:val="0062166B"/>
    <w:rsid w:val="006217BE"/>
    <w:rsid w:val="00621C4E"/>
    <w:rsid w:val="00621C96"/>
    <w:rsid w:val="006222B4"/>
    <w:rsid w:val="00622675"/>
    <w:rsid w:val="006226C3"/>
    <w:rsid w:val="006228A6"/>
    <w:rsid w:val="00622B4D"/>
    <w:rsid w:val="00622EEA"/>
    <w:rsid w:val="00622F21"/>
    <w:rsid w:val="006233C4"/>
    <w:rsid w:val="006236D2"/>
    <w:rsid w:val="00623929"/>
    <w:rsid w:val="00623FF3"/>
    <w:rsid w:val="00624767"/>
    <w:rsid w:val="00624794"/>
    <w:rsid w:val="0062492E"/>
    <w:rsid w:val="00624D9A"/>
    <w:rsid w:val="00624E1D"/>
    <w:rsid w:val="00625343"/>
    <w:rsid w:val="00625375"/>
    <w:rsid w:val="00625716"/>
    <w:rsid w:val="00625FB1"/>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FDC"/>
    <w:rsid w:val="00634149"/>
    <w:rsid w:val="00634418"/>
    <w:rsid w:val="00634EB9"/>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B43"/>
    <w:rsid w:val="00637233"/>
    <w:rsid w:val="00637266"/>
    <w:rsid w:val="00637297"/>
    <w:rsid w:val="00637770"/>
    <w:rsid w:val="006377C3"/>
    <w:rsid w:val="006407B8"/>
    <w:rsid w:val="0064087D"/>
    <w:rsid w:val="0064091C"/>
    <w:rsid w:val="0064099D"/>
    <w:rsid w:val="00640BC0"/>
    <w:rsid w:val="00640F34"/>
    <w:rsid w:val="006410BF"/>
    <w:rsid w:val="00641347"/>
    <w:rsid w:val="00641911"/>
    <w:rsid w:val="00641968"/>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6CB"/>
    <w:rsid w:val="0064578D"/>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B0"/>
    <w:rsid w:val="006542C5"/>
    <w:rsid w:val="00654696"/>
    <w:rsid w:val="00654993"/>
    <w:rsid w:val="00654A6E"/>
    <w:rsid w:val="00654B3D"/>
    <w:rsid w:val="00655615"/>
    <w:rsid w:val="00655A6A"/>
    <w:rsid w:val="00655AE4"/>
    <w:rsid w:val="00655D9E"/>
    <w:rsid w:val="00655DE4"/>
    <w:rsid w:val="006562EE"/>
    <w:rsid w:val="0065633A"/>
    <w:rsid w:val="00656458"/>
    <w:rsid w:val="00656E0C"/>
    <w:rsid w:val="006573D2"/>
    <w:rsid w:val="006575FE"/>
    <w:rsid w:val="006576B2"/>
    <w:rsid w:val="00657863"/>
    <w:rsid w:val="00657A0F"/>
    <w:rsid w:val="00657F72"/>
    <w:rsid w:val="006600CE"/>
    <w:rsid w:val="00660A7D"/>
    <w:rsid w:val="00660AB2"/>
    <w:rsid w:val="00661389"/>
    <w:rsid w:val="00661661"/>
    <w:rsid w:val="00661806"/>
    <w:rsid w:val="006619AF"/>
    <w:rsid w:val="00661A84"/>
    <w:rsid w:val="00661BC1"/>
    <w:rsid w:val="00661C8C"/>
    <w:rsid w:val="00661E83"/>
    <w:rsid w:val="00661EE3"/>
    <w:rsid w:val="00662263"/>
    <w:rsid w:val="006622A6"/>
    <w:rsid w:val="006622E5"/>
    <w:rsid w:val="00662655"/>
    <w:rsid w:val="006628C2"/>
    <w:rsid w:val="006628DE"/>
    <w:rsid w:val="00662A04"/>
    <w:rsid w:val="00662A3E"/>
    <w:rsid w:val="00662D71"/>
    <w:rsid w:val="00662DCA"/>
    <w:rsid w:val="00663042"/>
    <w:rsid w:val="0066311D"/>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C70"/>
    <w:rsid w:val="00667E47"/>
    <w:rsid w:val="0067008E"/>
    <w:rsid w:val="00670097"/>
    <w:rsid w:val="0067088F"/>
    <w:rsid w:val="00670A3F"/>
    <w:rsid w:val="00670D9A"/>
    <w:rsid w:val="00671012"/>
    <w:rsid w:val="00671889"/>
    <w:rsid w:val="00671AEA"/>
    <w:rsid w:val="00671E82"/>
    <w:rsid w:val="006721EB"/>
    <w:rsid w:val="0067221B"/>
    <w:rsid w:val="00672449"/>
    <w:rsid w:val="00672670"/>
    <w:rsid w:val="0067289D"/>
    <w:rsid w:val="00672B2C"/>
    <w:rsid w:val="00672C41"/>
    <w:rsid w:val="00673ACB"/>
    <w:rsid w:val="00674098"/>
    <w:rsid w:val="006742A7"/>
    <w:rsid w:val="0067444B"/>
    <w:rsid w:val="0067482F"/>
    <w:rsid w:val="00674B56"/>
    <w:rsid w:val="006750A3"/>
    <w:rsid w:val="00675540"/>
    <w:rsid w:val="006771F9"/>
    <w:rsid w:val="00677359"/>
    <w:rsid w:val="006775BF"/>
    <w:rsid w:val="00677659"/>
    <w:rsid w:val="00677884"/>
    <w:rsid w:val="0067788A"/>
    <w:rsid w:val="00677947"/>
    <w:rsid w:val="00677DAB"/>
    <w:rsid w:val="00680319"/>
    <w:rsid w:val="00680522"/>
    <w:rsid w:val="0068070A"/>
    <w:rsid w:val="00680801"/>
    <w:rsid w:val="00681231"/>
    <w:rsid w:val="006814C8"/>
    <w:rsid w:val="0068190F"/>
    <w:rsid w:val="0068216C"/>
    <w:rsid w:val="00682228"/>
    <w:rsid w:val="00682239"/>
    <w:rsid w:val="0068235F"/>
    <w:rsid w:val="00682496"/>
    <w:rsid w:val="0068255F"/>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9D5"/>
    <w:rsid w:val="00687BF8"/>
    <w:rsid w:val="00687C6B"/>
    <w:rsid w:val="0069033A"/>
    <w:rsid w:val="0069040A"/>
    <w:rsid w:val="006907C3"/>
    <w:rsid w:val="006909E3"/>
    <w:rsid w:val="00690AA2"/>
    <w:rsid w:val="00690E34"/>
    <w:rsid w:val="00691008"/>
    <w:rsid w:val="006910ED"/>
    <w:rsid w:val="00691242"/>
    <w:rsid w:val="006915BD"/>
    <w:rsid w:val="00691A23"/>
    <w:rsid w:val="00691D1D"/>
    <w:rsid w:val="00691D2F"/>
    <w:rsid w:val="006921CF"/>
    <w:rsid w:val="00692AF5"/>
    <w:rsid w:val="00692BCD"/>
    <w:rsid w:val="00692CD0"/>
    <w:rsid w:val="00692D6D"/>
    <w:rsid w:val="006933CC"/>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C48"/>
    <w:rsid w:val="00696E97"/>
    <w:rsid w:val="00696F35"/>
    <w:rsid w:val="00697836"/>
    <w:rsid w:val="00697B20"/>
    <w:rsid w:val="00697C84"/>
    <w:rsid w:val="006A029F"/>
    <w:rsid w:val="006A05DE"/>
    <w:rsid w:val="006A0C6E"/>
    <w:rsid w:val="006A12DF"/>
    <w:rsid w:val="006A12ED"/>
    <w:rsid w:val="006A16C4"/>
    <w:rsid w:val="006A18A3"/>
    <w:rsid w:val="006A1F48"/>
    <w:rsid w:val="006A1FB8"/>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4B3"/>
    <w:rsid w:val="006A48EE"/>
    <w:rsid w:val="006A4D98"/>
    <w:rsid w:val="006A4E31"/>
    <w:rsid w:val="006A53E1"/>
    <w:rsid w:val="006A565C"/>
    <w:rsid w:val="006A56F6"/>
    <w:rsid w:val="006A5709"/>
    <w:rsid w:val="006A5946"/>
    <w:rsid w:val="006A595E"/>
    <w:rsid w:val="006A5DBC"/>
    <w:rsid w:val="006A60BC"/>
    <w:rsid w:val="006A625E"/>
    <w:rsid w:val="006A651F"/>
    <w:rsid w:val="006A6663"/>
    <w:rsid w:val="006A6987"/>
    <w:rsid w:val="006A715F"/>
    <w:rsid w:val="006A7526"/>
    <w:rsid w:val="006A77D5"/>
    <w:rsid w:val="006A7E32"/>
    <w:rsid w:val="006B0976"/>
    <w:rsid w:val="006B098A"/>
    <w:rsid w:val="006B0E0C"/>
    <w:rsid w:val="006B19B2"/>
    <w:rsid w:val="006B19E9"/>
    <w:rsid w:val="006B1DEC"/>
    <w:rsid w:val="006B2205"/>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EA"/>
    <w:rsid w:val="006B5158"/>
    <w:rsid w:val="006B51E9"/>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ED7"/>
    <w:rsid w:val="006C3068"/>
    <w:rsid w:val="006C363A"/>
    <w:rsid w:val="006C3790"/>
    <w:rsid w:val="006C381B"/>
    <w:rsid w:val="006C3FD4"/>
    <w:rsid w:val="006C4A09"/>
    <w:rsid w:val="006C4B15"/>
    <w:rsid w:val="006C4B78"/>
    <w:rsid w:val="006C502A"/>
    <w:rsid w:val="006C519A"/>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842"/>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62"/>
    <w:rsid w:val="006D7143"/>
    <w:rsid w:val="006D7252"/>
    <w:rsid w:val="006D781F"/>
    <w:rsid w:val="006D79CB"/>
    <w:rsid w:val="006D7DEF"/>
    <w:rsid w:val="006E00F1"/>
    <w:rsid w:val="006E034F"/>
    <w:rsid w:val="006E08AF"/>
    <w:rsid w:val="006E08CD"/>
    <w:rsid w:val="006E0962"/>
    <w:rsid w:val="006E1053"/>
    <w:rsid w:val="006E193B"/>
    <w:rsid w:val="006E1B25"/>
    <w:rsid w:val="006E1B2C"/>
    <w:rsid w:val="006E1B68"/>
    <w:rsid w:val="006E1CD1"/>
    <w:rsid w:val="006E22C7"/>
    <w:rsid w:val="006E233C"/>
    <w:rsid w:val="006E24AA"/>
    <w:rsid w:val="006E29DA"/>
    <w:rsid w:val="006E2AA6"/>
    <w:rsid w:val="006E2B8B"/>
    <w:rsid w:val="006E2E61"/>
    <w:rsid w:val="006E2E88"/>
    <w:rsid w:val="006E2EAB"/>
    <w:rsid w:val="006E3662"/>
    <w:rsid w:val="006E391A"/>
    <w:rsid w:val="006E3A0F"/>
    <w:rsid w:val="006E3CF9"/>
    <w:rsid w:val="006E3F14"/>
    <w:rsid w:val="006E41E6"/>
    <w:rsid w:val="006E443F"/>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3BE"/>
    <w:rsid w:val="006E7468"/>
    <w:rsid w:val="006E766C"/>
    <w:rsid w:val="006E7AF6"/>
    <w:rsid w:val="006E7B3D"/>
    <w:rsid w:val="006F00DF"/>
    <w:rsid w:val="006F026D"/>
    <w:rsid w:val="006F0281"/>
    <w:rsid w:val="006F0A92"/>
    <w:rsid w:val="006F0E1D"/>
    <w:rsid w:val="006F1022"/>
    <w:rsid w:val="006F1527"/>
    <w:rsid w:val="006F1931"/>
    <w:rsid w:val="006F1936"/>
    <w:rsid w:val="006F1C71"/>
    <w:rsid w:val="006F1CCF"/>
    <w:rsid w:val="006F206D"/>
    <w:rsid w:val="006F28A4"/>
    <w:rsid w:val="006F2B2E"/>
    <w:rsid w:val="006F2B31"/>
    <w:rsid w:val="006F2F96"/>
    <w:rsid w:val="006F30F4"/>
    <w:rsid w:val="006F37B9"/>
    <w:rsid w:val="006F37CF"/>
    <w:rsid w:val="006F3F59"/>
    <w:rsid w:val="006F42BB"/>
    <w:rsid w:val="006F443E"/>
    <w:rsid w:val="006F45C8"/>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CA"/>
    <w:rsid w:val="007008A9"/>
    <w:rsid w:val="00700E5F"/>
    <w:rsid w:val="00700EFF"/>
    <w:rsid w:val="00701404"/>
    <w:rsid w:val="00701FF9"/>
    <w:rsid w:val="007023F8"/>
    <w:rsid w:val="007025C3"/>
    <w:rsid w:val="007027ED"/>
    <w:rsid w:val="0070280E"/>
    <w:rsid w:val="007029E4"/>
    <w:rsid w:val="00702D04"/>
    <w:rsid w:val="00702EDB"/>
    <w:rsid w:val="00703407"/>
    <w:rsid w:val="0070382D"/>
    <w:rsid w:val="00703D68"/>
    <w:rsid w:val="007045FC"/>
    <w:rsid w:val="00704988"/>
    <w:rsid w:val="007052A1"/>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D2F"/>
    <w:rsid w:val="00710E9E"/>
    <w:rsid w:val="0071112B"/>
    <w:rsid w:val="0071116B"/>
    <w:rsid w:val="0071173C"/>
    <w:rsid w:val="007118A1"/>
    <w:rsid w:val="00711CF9"/>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AE"/>
    <w:rsid w:val="007218A2"/>
    <w:rsid w:val="00721BFD"/>
    <w:rsid w:val="00721FF6"/>
    <w:rsid w:val="00722002"/>
    <w:rsid w:val="00722057"/>
    <w:rsid w:val="007221EC"/>
    <w:rsid w:val="007222FA"/>
    <w:rsid w:val="00722B3E"/>
    <w:rsid w:val="00723047"/>
    <w:rsid w:val="0072312C"/>
    <w:rsid w:val="00723244"/>
    <w:rsid w:val="00723452"/>
    <w:rsid w:val="0072347F"/>
    <w:rsid w:val="007236E5"/>
    <w:rsid w:val="00723862"/>
    <w:rsid w:val="00723B5E"/>
    <w:rsid w:val="00723CCB"/>
    <w:rsid w:val="007240E6"/>
    <w:rsid w:val="0072416B"/>
    <w:rsid w:val="007241B5"/>
    <w:rsid w:val="0072440F"/>
    <w:rsid w:val="0072498C"/>
    <w:rsid w:val="00724E27"/>
    <w:rsid w:val="007253B7"/>
    <w:rsid w:val="007253DC"/>
    <w:rsid w:val="00725632"/>
    <w:rsid w:val="00725B68"/>
    <w:rsid w:val="00725FF5"/>
    <w:rsid w:val="007268B3"/>
    <w:rsid w:val="00726AC0"/>
    <w:rsid w:val="00726FB4"/>
    <w:rsid w:val="00727112"/>
    <w:rsid w:val="0072718B"/>
    <w:rsid w:val="007271EB"/>
    <w:rsid w:val="00727735"/>
    <w:rsid w:val="00727DA0"/>
    <w:rsid w:val="0073012D"/>
    <w:rsid w:val="00730776"/>
    <w:rsid w:val="00730876"/>
    <w:rsid w:val="00730A36"/>
    <w:rsid w:val="00730B2B"/>
    <w:rsid w:val="007311B1"/>
    <w:rsid w:val="007313FC"/>
    <w:rsid w:val="007315B8"/>
    <w:rsid w:val="007316AB"/>
    <w:rsid w:val="00731900"/>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D66"/>
    <w:rsid w:val="00736FA7"/>
    <w:rsid w:val="007372C2"/>
    <w:rsid w:val="00737676"/>
    <w:rsid w:val="0073770A"/>
    <w:rsid w:val="0073776E"/>
    <w:rsid w:val="007377A1"/>
    <w:rsid w:val="00737D6C"/>
    <w:rsid w:val="00740367"/>
    <w:rsid w:val="0074039F"/>
    <w:rsid w:val="007405D6"/>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A0B"/>
    <w:rsid w:val="00743B0F"/>
    <w:rsid w:val="00743D47"/>
    <w:rsid w:val="00744328"/>
    <w:rsid w:val="0074435B"/>
    <w:rsid w:val="0074435E"/>
    <w:rsid w:val="00744767"/>
    <w:rsid w:val="007447EF"/>
    <w:rsid w:val="0074491D"/>
    <w:rsid w:val="0074530C"/>
    <w:rsid w:val="00745342"/>
    <w:rsid w:val="00745663"/>
    <w:rsid w:val="00745BA9"/>
    <w:rsid w:val="00745C32"/>
    <w:rsid w:val="007460B6"/>
    <w:rsid w:val="007461BC"/>
    <w:rsid w:val="0074680C"/>
    <w:rsid w:val="00746A0F"/>
    <w:rsid w:val="00746C8A"/>
    <w:rsid w:val="007471F4"/>
    <w:rsid w:val="007472F8"/>
    <w:rsid w:val="00747329"/>
    <w:rsid w:val="0074749B"/>
    <w:rsid w:val="0074775F"/>
    <w:rsid w:val="00747A6F"/>
    <w:rsid w:val="007503C4"/>
    <w:rsid w:val="00750823"/>
    <w:rsid w:val="00750A95"/>
    <w:rsid w:val="00750C25"/>
    <w:rsid w:val="00750D19"/>
    <w:rsid w:val="00751170"/>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53B"/>
    <w:rsid w:val="007555BA"/>
    <w:rsid w:val="0075565F"/>
    <w:rsid w:val="007559C6"/>
    <w:rsid w:val="00755A3D"/>
    <w:rsid w:val="00755BB9"/>
    <w:rsid w:val="00755CA4"/>
    <w:rsid w:val="00755F7D"/>
    <w:rsid w:val="007562B2"/>
    <w:rsid w:val="00756765"/>
    <w:rsid w:val="007568A4"/>
    <w:rsid w:val="00757F23"/>
    <w:rsid w:val="007601F4"/>
    <w:rsid w:val="00760914"/>
    <w:rsid w:val="007609B4"/>
    <w:rsid w:val="00760A08"/>
    <w:rsid w:val="00760AD8"/>
    <w:rsid w:val="00760EE0"/>
    <w:rsid w:val="0076103C"/>
    <w:rsid w:val="007611B6"/>
    <w:rsid w:val="0076155A"/>
    <w:rsid w:val="007616ED"/>
    <w:rsid w:val="00761984"/>
    <w:rsid w:val="00761AB8"/>
    <w:rsid w:val="00761E36"/>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8F2"/>
    <w:rsid w:val="00764E70"/>
    <w:rsid w:val="00764FB8"/>
    <w:rsid w:val="00765161"/>
    <w:rsid w:val="007655F0"/>
    <w:rsid w:val="00765760"/>
    <w:rsid w:val="0076580E"/>
    <w:rsid w:val="00766007"/>
    <w:rsid w:val="00766253"/>
    <w:rsid w:val="007662D9"/>
    <w:rsid w:val="007662E8"/>
    <w:rsid w:val="00766963"/>
    <w:rsid w:val="007669CC"/>
    <w:rsid w:val="00767090"/>
    <w:rsid w:val="007670C9"/>
    <w:rsid w:val="00767207"/>
    <w:rsid w:val="00767235"/>
    <w:rsid w:val="00767641"/>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AEF"/>
    <w:rsid w:val="0077231B"/>
    <w:rsid w:val="00772416"/>
    <w:rsid w:val="00772A61"/>
    <w:rsid w:val="00772CCF"/>
    <w:rsid w:val="007734FD"/>
    <w:rsid w:val="0077354B"/>
    <w:rsid w:val="0077384A"/>
    <w:rsid w:val="007738FD"/>
    <w:rsid w:val="00773A9D"/>
    <w:rsid w:val="00773D2B"/>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AEE"/>
    <w:rsid w:val="00790C31"/>
    <w:rsid w:val="00790F2E"/>
    <w:rsid w:val="007914DD"/>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BC"/>
    <w:rsid w:val="0079418D"/>
    <w:rsid w:val="0079456B"/>
    <w:rsid w:val="00794820"/>
    <w:rsid w:val="007948DF"/>
    <w:rsid w:val="007948FC"/>
    <w:rsid w:val="00795215"/>
    <w:rsid w:val="007954F0"/>
    <w:rsid w:val="00795864"/>
    <w:rsid w:val="00795B29"/>
    <w:rsid w:val="0079602D"/>
    <w:rsid w:val="0079621C"/>
    <w:rsid w:val="0079656A"/>
    <w:rsid w:val="007966BF"/>
    <w:rsid w:val="00796C8D"/>
    <w:rsid w:val="00797330"/>
    <w:rsid w:val="0079747A"/>
    <w:rsid w:val="007A051A"/>
    <w:rsid w:val="007A05B6"/>
    <w:rsid w:val="007A066E"/>
    <w:rsid w:val="007A07D0"/>
    <w:rsid w:val="007A0908"/>
    <w:rsid w:val="007A1729"/>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1F"/>
    <w:rsid w:val="007A3754"/>
    <w:rsid w:val="007A3842"/>
    <w:rsid w:val="007A3974"/>
    <w:rsid w:val="007A3E01"/>
    <w:rsid w:val="007A3E3C"/>
    <w:rsid w:val="007A3E99"/>
    <w:rsid w:val="007A3EB8"/>
    <w:rsid w:val="007A3FEB"/>
    <w:rsid w:val="007A4056"/>
    <w:rsid w:val="007A41F2"/>
    <w:rsid w:val="007A44C9"/>
    <w:rsid w:val="007A44D3"/>
    <w:rsid w:val="007A500F"/>
    <w:rsid w:val="007A51E1"/>
    <w:rsid w:val="007A57C1"/>
    <w:rsid w:val="007A57F6"/>
    <w:rsid w:val="007A5A36"/>
    <w:rsid w:val="007A6B49"/>
    <w:rsid w:val="007A6F8D"/>
    <w:rsid w:val="007A76B5"/>
    <w:rsid w:val="007A7F95"/>
    <w:rsid w:val="007B0374"/>
    <w:rsid w:val="007B0B52"/>
    <w:rsid w:val="007B0C8F"/>
    <w:rsid w:val="007B163A"/>
    <w:rsid w:val="007B178E"/>
    <w:rsid w:val="007B1BD6"/>
    <w:rsid w:val="007B229F"/>
    <w:rsid w:val="007B23C2"/>
    <w:rsid w:val="007B281C"/>
    <w:rsid w:val="007B2D2F"/>
    <w:rsid w:val="007B34F8"/>
    <w:rsid w:val="007B3510"/>
    <w:rsid w:val="007B3808"/>
    <w:rsid w:val="007B3D11"/>
    <w:rsid w:val="007B43BE"/>
    <w:rsid w:val="007B4451"/>
    <w:rsid w:val="007B46B9"/>
    <w:rsid w:val="007B4C00"/>
    <w:rsid w:val="007B4E30"/>
    <w:rsid w:val="007B5531"/>
    <w:rsid w:val="007B560C"/>
    <w:rsid w:val="007B59A5"/>
    <w:rsid w:val="007B59C9"/>
    <w:rsid w:val="007B5AB2"/>
    <w:rsid w:val="007B6282"/>
    <w:rsid w:val="007B6324"/>
    <w:rsid w:val="007B651B"/>
    <w:rsid w:val="007B662C"/>
    <w:rsid w:val="007B6749"/>
    <w:rsid w:val="007B6872"/>
    <w:rsid w:val="007B6B6F"/>
    <w:rsid w:val="007B7337"/>
    <w:rsid w:val="007B7655"/>
    <w:rsid w:val="007B7AAD"/>
    <w:rsid w:val="007B7DFD"/>
    <w:rsid w:val="007B7F63"/>
    <w:rsid w:val="007B7FD9"/>
    <w:rsid w:val="007C01F8"/>
    <w:rsid w:val="007C048F"/>
    <w:rsid w:val="007C055A"/>
    <w:rsid w:val="007C089D"/>
    <w:rsid w:val="007C091F"/>
    <w:rsid w:val="007C0AE9"/>
    <w:rsid w:val="007C0B08"/>
    <w:rsid w:val="007C1133"/>
    <w:rsid w:val="007C16B2"/>
    <w:rsid w:val="007C1741"/>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C25"/>
    <w:rsid w:val="007C4F8F"/>
    <w:rsid w:val="007C536A"/>
    <w:rsid w:val="007C584F"/>
    <w:rsid w:val="007C597F"/>
    <w:rsid w:val="007C5B4D"/>
    <w:rsid w:val="007C67F9"/>
    <w:rsid w:val="007C6A83"/>
    <w:rsid w:val="007C6B19"/>
    <w:rsid w:val="007C6B46"/>
    <w:rsid w:val="007C6F61"/>
    <w:rsid w:val="007C707D"/>
    <w:rsid w:val="007C7778"/>
    <w:rsid w:val="007C7987"/>
    <w:rsid w:val="007C7B85"/>
    <w:rsid w:val="007C7FB8"/>
    <w:rsid w:val="007D0406"/>
    <w:rsid w:val="007D077A"/>
    <w:rsid w:val="007D0966"/>
    <w:rsid w:val="007D14C9"/>
    <w:rsid w:val="007D18DC"/>
    <w:rsid w:val="007D1BC5"/>
    <w:rsid w:val="007D1F55"/>
    <w:rsid w:val="007D20A8"/>
    <w:rsid w:val="007D24EE"/>
    <w:rsid w:val="007D25A0"/>
    <w:rsid w:val="007D284D"/>
    <w:rsid w:val="007D2A7E"/>
    <w:rsid w:val="007D2C77"/>
    <w:rsid w:val="007D32D5"/>
    <w:rsid w:val="007D3458"/>
    <w:rsid w:val="007D3550"/>
    <w:rsid w:val="007D3985"/>
    <w:rsid w:val="007D3B32"/>
    <w:rsid w:val="007D3E69"/>
    <w:rsid w:val="007D46D9"/>
    <w:rsid w:val="007D46FF"/>
    <w:rsid w:val="007D4905"/>
    <w:rsid w:val="007D5E2D"/>
    <w:rsid w:val="007D5E8E"/>
    <w:rsid w:val="007D5FE2"/>
    <w:rsid w:val="007D633B"/>
    <w:rsid w:val="007D72A3"/>
    <w:rsid w:val="007D72F2"/>
    <w:rsid w:val="007D799C"/>
    <w:rsid w:val="007E01F1"/>
    <w:rsid w:val="007E029E"/>
    <w:rsid w:val="007E0AEC"/>
    <w:rsid w:val="007E0B9C"/>
    <w:rsid w:val="007E0FA9"/>
    <w:rsid w:val="007E10FB"/>
    <w:rsid w:val="007E1282"/>
    <w:rsid w:val="007E14E1"/>
    <w:rsid w:val="007E1566"/>
    <w:rsid w:val="007E2042"/>
    <w:rsid w:val="007E28DB"/>
    <w:rsid w:val="007E2F44"/>
    <w:rsid w:val="007E2FEF"/>
    <w:rsid w:val="007E3CF5"/>
    <w:rsid w:val="007E4473"/>
    <w:rsid w:val="007E44A8"/>
    <w:rsid w:val="007E47C2"/>
    <w:rsid w:val="007E4801"/>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943"/>
    <w:rsid w:val="007E7EF8"/>
    <w:rsid w:val="007F0B26"/>
    <w:rsid w:val="007F0C7E"/>
    <w:rsid w:val="007F1301"/>
    <w:rsid w:val="007F14AB"/>
    <w:rsid w:val="007F1A43"/>
    <w:rsid w:val="007F1C12"/>
    <w:rsid w:val="007F1C73"/>
    <w:rsid w:val="007F1D39"/>
    <w:rsid w:val="007F21DC"/>
    <w:rsid w:val="007F2285"/>
    <w:rsid w:val="007F2296"/>
    <w:rsid w:val="007F2D4A"/>
    <w:rsid w:val="007F3034"/>
    <w:rsid w:val="007F4044"/>
    <w:rsid w:val="007F416F"/>
    <w:rsid w:val="007F43BD"/>
    <w:rsid w:val="007F44A4"/>
    <w:rsid w:val="007F4534"/>
    <w:rsid w:val="007F459E"/>
    <w:rsid w:val="007F4732"/>
    <w:rsid w:val="007F4D44"/>
    <w:rsid w:val="007F4DCA"/>
    <w:rsid w:val="007F5A49"/>
    <w:rsid w:val="007F5E7C"/>
    <w:rsid w:val="007F6003"/>
    <w:rsid w:val="007F6092"/>
    <w:rsid w:val="007F638B"/>
    <w:rsid w:val="007F665D"/>
    <w:rsid w:val="007F683F"/>
    <w:rsid w:val="007F6AE7"/>
    <w:rsid w:val="007F6AEB"/>
    <w:rsid w:val="007F6B1D"/>
    <w:rsid w:val="007F6B6C"/>
    <w:rsid w:val="007F6DA0"/>
    <w:rsid w:val="007F7341"/>
    <w:rsid w:val="007F7CE8"/>
    <w:rsid w:val="00800195"/>
    <w:rsid w:val="00800475"/>
    <w:rsid w:val="00800A0F"/>
    <w:rsid w:val="008012F4"/>
    <w:rsid w:val="00801315"/>
    <w:rsid w:val="00801625"/>
    <w:rsid w:val="00801CCA"/>
    <w:rsid w:val="00801D43"/>
    <w:rsid w:val="008023E7"/>
    <w:rsid w:val="00802544"/>
    <w:rsid w:val="00802695"/>
    <w:rsid w:val="00802C27"/>
    <w:rsid w:val="00802D12"/>
    <w:rsid w:val="0080340E"/>
    <w:rsid w:val="00803C27"/>
    <w:rsid w:val="00803CF4"/>
    <w:rsid w:val="008042F9"/>
    <w:rsid w:val="008043DE"/>
    <w:rsid w:val="008043F4"/>
    <w:rsid w:val="00804562"/>
    <w:rsid w:val="008045BB"/>
    <w:rsid w:val="008047AE"/>
    <w:rsid w:val="008048DF"/>
    <w:rsid w:val="00804934"/>
    <w:rsid w:val="008049DB"/>
    <w:rsid w:val="008051EB"/>
    <w:rsid w:val="008053A3"/>
    <w:rsid w:val="00805515"/>
    <w:rsid w:val="00805559"/>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AC"/>
    <w:rsid w:val="00814034"/>
    <w:rsid w:val="00814198"/>
    <w:rsid w:val="008141ED"/>
    <w:rsid w:val="00814264"/>
    <w:rsid w:val="008146C7"/>
    <w:rsid w:val="008151B5"/>
    <w:rsid w:val="00815238"/>
    <w:rsid w:val="008152A6"/>
    <w:rsid w:val="008154A2"/>
    <w:rsid w:val="00815ED8"/>
    <w:rsid w:val="00815F25"/>
    <w:rsid w:val="0081602B"/>
    <w:rsid w:val="008160A0"/>
    <w:rsid w:val="0081619B"/>
    <w:rsid w:val="0081625D"/>
    <w:rsid w:val="008164C8"/>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237"/>
    <w:rsid w:val="00821463"/>
    <w:rsid w:val="008215FB"/>
    <w:rsid w:val="00821A65"/>
    <w:rsid w:val="00821D2A"/>
    <w:rsid w:val="00821D44"/>
    <w:rsid w:val="00821D99"/>
    <w:rsid w:val="00822224"/>
    <w:rsid w:val="0082277D"/>
    <w:rsid w:val="008229D2"/>
    <w:rsid w:val="00822B46"/>
    <w:rsid w:val="00822F3B"/>
    <w:rsid w:val="0082362C"/>
    <w:rsid w:val="0082392C"/>
    <w:rsid w:val="00823933"/>
    <w:rsid w:val="00824591"/>
    <w:rsid w:val="00824792"/>
    <w:rsid w:val="0082488F"/>
    <w:rsid w:val="00824E13"/>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7A"/>
    <w:rsid w:val="00827F93"/>
    <w:rsid w:val="00830959"/>
    <w:rsid w:val="00830AD6"/>
    <w:rsid w:val="00830D89"/>
    <w:rsid w:val="00831044"/>
    <w:rsid w:val="0083106A"/>
    <w:rsid w:val="00831919"/>
    <w:rsid w:val="0083192C"/>
    <w:rsid w:val="00831A30"/>
    <w:rsid w:val="00831E36"/>
    <w:rsid w:val="00831E9E"/>
    <w:rsid w:val="00831F10"/>
    <w:rsid w:val="00832359"/>
    <w:rsid w:val="008325B5"/>
    <w:rsid w:val="00832BFA"/>
    <w:rsid w:val="00832DF1"/>
    <w:rsid w:val="00832FA6"/>
    <w:rsid w:val="0083312C"/>
    <w:rsid w:val="00833289"/>
    <w:rsid w:val="0083337B"/>
    <w:rsid w:val="008336A0"/>
    <w:rsid w:val="0083382B"/>
    <w:rsid w:val="0083385E"/>
    <w:rsid w:val="008344B4"/>
    <w:rsid w:val="008344F8"/>
    <w:rsid w:val="00834643"/>
    <w:rsid w:val="00834973"/>
    <w:rsid w:val="00834B88"/>
    <w:rsid w:val="00834E09"/>
    <w:rsid w:val="00834ED0"/>
    <w:rsid w:val="00835E13"/>
    <w:rsid w:val="008363A4"/>
    <w:rsid w:val="00836F55"/>
    <w:rsid w:val="00837129"/>
    <w:rsid w:val="00837474"/>
    <w:rsid w:val="00837575"/>
    <w:rsid w:val="00837E6B"/>
    <w:rsid w:val="0084010B"/>
    <w:rsid w:val="008406DA"/>
    <w:rsid w:val="00840E31"/>
    <w:rsid w:val="008410FD"/>
    <w:rsid w:val="0084113D"/>
    <w:rsid w:val="0084125F"/>
    <w:rsid w:val="0084131D"/>
    <w:rsid w:val="00841715"/>
    <w:rsid w:val="00841755"/>
    <w:rsid w:val="00841B5E"/>
    <w:rsid w:val="00841DD8"/>
    <w:rsid w:val="00841ED0"/>
    <w:rsid w:val="008420A2"/>
    <w:rsid w:val="008429B8"/>
    <w:rsid w:val="00842D67"/>
    <w:rsid w:val="00842F48"/>
    <w:rsid w:val="00843088"/>
    <w:rsid w:val="008431AA"/>
    <w:rsid w:val="0084336E"/>
    <w:rsid w:val="00843732"/>
    <w:rsid w:val="0084459F"/>
    <w:rsid w:val="0084518E"/>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8F8"/>
    <w:rsid w:val="00850ED7"/>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D2"/>
    <w:rsid w:val="0086262B"/>
    <w:rsid w:val="00862863"/>
    <w:rsid w:val="00862CA1"/>
    <w:rsid w:val="0086342A"/>
    <w:rsid w:val="00863618"/>
    <w:rsid w:val="00863811"/>
    <w:rsid w:val="008639C2"/>
    <w:rsid w:val="00864346"/>
    <w:rsid w:val="00864560"/>
    <w:rsid w:val="00864A4B"/>
    <w:rsid w:val="00864B1F"/>
    <w:rsid w:val="00864FF4"/>
    <w:rsid w:val="00865451"/>
    <w:rsid w:val="008654AB"/>
    <w:rsid w:val="008656E5"/>
    <w:rsid w:val="0086578E"/>
    <w:rsid w:val="008658E2"/>
    <w:rsid w:val="00865936"/>
    <w:rsid w:val="00865B87"/>
    <w:rsid w:val="00865E95"/>
    <w:rsid w:val="0086613B"/>
    <w:rsid w:val="00866388"/>
    <w:rsid w:val="008665BF"/>
    <w:rsid w:val="00866880"/>
    <w:rsid w:val="0086690D"/>
    <w:rsid w:val="0086700A"/>
    <w:rsid w:val="008672EB"/>
    <w:rsid w:val="008675D5"/>
    <w:rsid w:val="008679EB"/>
    <w:rsid w:val="008679EF"/>
    <w:rsid w:val="008700B2"/>
    <w:rsid w:val="00870651"/>
    <w:rsid w:val="00870B39"/>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B20"/>
    <w:rsid w:val="00874B8B"/>
    <w:rsid w:val="00874CEF"/>
    <w:rsid w:val="00874ED1"/>
    <w:rsid w:val="00874F2D"/>
    <w:rsid w:val="0087505A"/>
    <w:rsid w:val="008751E1"/>
    <w:rsid w:val="008752DA"/>
    <w:rsid w:val="0087543E"/>
    <w:rsid w:val="008756C6"/>
    <w:rsid w:val="00875C0B"/>
    <w:rsid w:val="008764A7"/>
    <w:rsid w:val="00876911"/>
    <w:rsid w:val="00876927"/>
    <w:rsid w:val="00876C57"/>
    <w:rsid w:val="008771A2"/>
    <w:rsid w:val="0087733B"/>
    <w:rsid w:val="00877377"/>
    <w:rsid w:val="008777E0"/>
    <w:rsid w:val="00877882"/>
    <w:rsid w:val="00877D29"/>
    <w:rsid w:val="00877EDF"/>
    <w:rsid w:val="00880313"/>
    <w:rsid w:val="00880E0F"/>
    <w:rsid w:val="00880E77"/>
    <w:rsid w:val="00880E7B"/>
    <w:rsid w:val="008817F7"/>
    <w:rsid w:val="00881959"/>
    <w:rsid w:val="00881A31"/>
    <w:rsid w:val="00882657"/>
    <w:rsid w:val="008826B7"/>
    <w:rsid w:val="00882785"/>
    <w:rsid w:val="00882948"/>
    <w:rsid w:val="008831BC"/>
    <w:rsid w:val="00883EB4"/>
    <w:rsid w:val="00884C90"/>
    <w:rsid w:val="0088525B"/>
    <w:rsid w:val="00885370"/>
    <w:rsid w:val="0088538A"/>
    <w:rsid w:val="0088562F"/>
    <w:rsid w:val="00885B41"/>
    <w:rsid w:val="00885CD9"/>
    <w:rsid w:val="008860FF"/>
    <w:rsid w:val="00886185"/>
    <w:rsid w:val="00886692"/>
    <w:rsid w:val="0088675E"/>
    <w:rsid w:val="00886905"/>
    <w:rsid w:val="00886E59"/>
    <w:rsid w:val="008871E5"/>
    <w:rsid w:val="00887225"/>
    <w:rsid w:val="0088789A"/>
    <w:rsid w:val="00887949"/>
    <w:rsid w:val="00890381"/>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741"/>
    <w:rsid w:val="00893811"/>
    <w:rsid w:val="00893A21"/>
    <w:rsid w:val="008940EA"/>
    <w:rsid w:val="00894481"/>
    <w:rsid w:val="008948D1"/>
    <w:rsid w:val="008948D6"/>
    <w:rsid w:val="00894B18"/>
    <w:rsid w:val="00894D1B"/>
    <w:rsid w:val="00894DE1"/>
    <w:rsid w:val="00894FEE"/>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276"/>
    <w:rsid w:val="008A141B"/>
    <w:rsid w:val="008A1E38"/>
    <w:rsid w:val="008A1E85"/>
    <w:rsid w:val="008A1E9B"/>
    <w:rsid w:val="008A203B"/>
    <w:rsid w:val="008A208C"/>
    <w:rsid w:val="008A2491"/>
    <w:rsid w:val="008A26D9"/>
    <w:rsid w:val="008A2A41"/>
    <w:rsid w:val="008A2F4F"/>
    <w:rsid w:val="008A2F92"/>
    <w:rsid w:val="008A3CDD"/>
    <w:rsid w:val="008A4304"/>
    <w:rsid w:val="008A440F"/>
    <w:rsid w:val="008A48A0"/>
    <w:rsid w:val="008A4CD2"/>
    <w:rsid w:val="008A4EB6"/>
    <w:rsid w:val="008A51E4"/>
    <w:rsid w:val="008A5296"/>
    <w:rsid w:val="008A548F"/>
    <w:rsid w:val="008A5848"/>
    <w:rsid w:val="008A58D4"/>
    <w:rsid w:val="008A5A6D"/>
    <w:rsid w:val="008A6066"/>
    <w:rsid w:val="008A62C4"/>
    <w:rsid w:val="008A65E4"/>
    <w:rsid w:val="008A68F8"/>
    <w:rsid w:val="008A69F9"/>
    <w:rsid w:val="008A6B37"/>
    <w:rsid w:val="008A6BAC"/>
    <w:rsid w:val="008A6C64"/>
    <w:rsid w:val="008A7C78"/>
    <w:rsid w:val="008A7D07"/>
    <w:rsid w:val="008B0110"/>
    <w:rsid w:val="008B01B6"/>
    <w:rsid w:val="008B054E"/>
    <w:rsid w:val="008B0A63"/>
    <w:rsid w:val="008B0C7E"/>
    <w:rsid w:val="008B0D86"/>
    <w:rsid w:val="008B1237"/>
    <w:rsid w:val="008B1848"/>
    <w:rsid w:val="008B1A13"/>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A86"/>
    <w:rsid w:val="008B4C6D"/>
    <w:rsid w:val="008B4C9B"/>
    <w:rsid w:val="008B4CAA"/>
    <w:rsid w:val="008B4F7B"/>
    <w:rsid w:val="008B4FBE"/>
    <w:rsid w:val="008B502F"/>
    <w:rsid w:val="008B521F"/>
    <w:rsid w:val="008B6023"/>
    <w:rsid w:val="008B6515"/>
    <w:rsid w:val="008B6CF7"/>
    <w:rsid w:val="008B6E80"/>
    <w:rsid w:val="008B6EA0"/>
    <w:rsid w:val="008B7043"/>
    <w:rsid w:val="008B78AD"/>
    <w:rsid w:val="008B7A50"/>
    <w:rsid w:val="008B7DAC"/>
    <w:rsid w:val="008C0135"/>
    <w:rsid w:val="008C055B"/>
    <w:rsid w:val="008C06FF"/>
    <w:rsid w:val="008C0BF2"/>
    <w:rsid w:val="008C0DC4"/>
    <w:rsid w:val="008C1271"/>
    <w:rsid w:val="008C17D8"/>
    <w:rsid w:val="008C1A49"/>
    <w:rsid w:val="008C1B13"/>
    <w:rsid w:val="008C1F22"/>
    <w:rsid w:val="008C202C"/>
    <w:rsid w:val="008C298E"/>
    <w:rsid w:val="008C2E3B"/>
    <w:rsid w:val="008C3437"/>
    <w:rsid w:val="008C3646"/>
    <w:rsid w:val="008C3A31"/>
    <w:rsid w:val="008C3B18"/>
    <w:rsid w:val="008C3C64"/>
    <w:rsid w:val="008C3E5E"/>
    <w:rsid w:val="008C4282"/>
    <w:rsid w:val="008C46D4"/>
    <w:rsid w:val="008C4723"/>
    <w:rsid w:val="008C4B69"/>
    <w:rsid w:val="008C4D9B"/>
    <w:rsid w:val="008C4E4D"/>
    <w:rsid w:val="008C4FA8"/>
    <w:rsid w:val="008C57E1"/>
    <w:rsid w:val="008C58B5"/>
    <w:rsid w:val="008C5A6A"/>
    <w:rsid w:val="008C5C19"/>
    <w:rsid w:val="008C5C52"/>
    <w:rsid w:val="008C5EDE"/>
    <w:rsid w:val="008C6142"/>
    <w:rsid w:val="008C63D1"/>
    <w:rsid w:val="008C6991"/>
    <w:rsid w:val="008C6B84"/>
    <w:rsid w:val="008C6B93"/>
    <w:rsid w:val="008C6B94"/>
    <w:rsid w:val="008C6BDD"/>
    <w:rsid w:val="008C6C09"/>
    <w:rsid w:val="008C716C"/>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619"/>
    <w:rsid w:val="008D3639"/>
    <w:rsid w:val="008D37A2"/>
    <w:rsid w:val="008D3BA9"/>
    <w:rsid w:val="008D3FAB"/>
    <w:rsid w:val="008D4103"/>
    <w:rsid w:val="008D4179"/>
    <w:rsid w:val="008D4195"/>
    <w:rsid w:val="008D430D"/>
    <w:rsid w:val="008D4411"/>
    <w:rsid w:val="008D4517"/>
    <w:rsid w:val="008D474D"/>
    <w:rsid w:val="008D494C"/>
    <w:rsid w:val="008D4A25"/>
    <w:rsid w:val="008D5101"/>
    <w:rsid w:val="008D5257"/>
    <w:rsid w:val="008D6401"/>
    <w:rsid w:val="008D643B"/>
    <w:rsid w:val="008D6574"/>
    <w:rsid w:val="008D6AEA"/>
    <w:rsid w:val="008D6B96"/>
    <w:rsid w:val="008D6F02"/>
    <w:rsid w:val="008D7419"/>
    <w:rsid w:val="008D7838"/>
    <w:rsid w:val="008D7B66"/>
    <w:rsid w:val="008D7DA1"/>
    <w:rsid w:val="008E018E"/>
    <w:rsid w:val="008E0659"/>
    <w:rsid w:val="008E0C32"/>
    <w:rsid w:val="008E0C94"/>
    <w:rsid w:val="008E1164"/>
    <w:rsid w:val="008E1217"/>
    <w:rsid w:val="008E12EA"/>
    <w:rsid w:val="008E150E"/>
    <w:rsid w:val="008E1519"/>
    <w:rsid w:val="008E1796"/>
    <w:rsid w:val="008E1A09"/>
    <w:rsid w:val="008E2209"/>
    <w:rsid w:val="008E245C"/>
    <w:rsid w:val="008E2AEC"/>
    <w:rsid w:val="008E338D"/>
    <w:rsid w:val="008E35C6"/>
    <w:rsid w:val="008E39DA"/>
    <w:rsid w:val="008E3F4D"/>
    <w:rsid w:val="008E41DA"/>
    <w:rsid w:val="008E53BB"/>
    <w:rsid w:val="008E58AF"/>
    <w:rsid w:val="008E59A4"/>
    <w:rsid w:val="008E5BCD"/>
    <w:rsid w:val="008E5D34"/>
    <w:rsid w:val="008E5DC5"/>
    <w:rsid w:val="008E5FBD"/>
    <w:rsid w:val="008E607C"/>
    <w:rsid w:val="008E66EE"/>
    <w:rsid w:val="008E6C37"/>
    <w:rsid w:val="008E6F25"/>
    <w:rsid w:val="008E7337"/>
    <w:rsid w:val="008E7902"/>
    <w:rsid w:val="008F02C5"/>
    <w:rsid w:val="008F0513"/>
    <w:rsid w:val="008F0948"/>
    <w:rsid w:val="008F0B65"/>
    <w:rsid w:val="008F0CAB"/>
    <w:rsid w:val="008F12D3"/>
    <w:rsid w:val="008F1822"/>
    <w:rsid w:val="008F1CC8"/>
    <w:rsid w:val="008F1F26"/>
    <w:rsid w:val="008F25AD"/>
    <w:rsid w:val="008F27C6"/>
    <w:rsid w:val="008F2E1A"/>
    <w:rsid w:val="008F32EC"/>
    <w:rsid w:val="008F34CC"/>
    <w:rsid w:val="008F361A"/>
    <w:rsid w:val="008F3655"/>
    <w:rsid w:val="008F373B"/>
    <w:rsid w:val="008F39AE"/>
    <w:rsid w:val="008F405E"/>
    <w:rsid w:val="008F437F"/>
    <w:rsid w:val="008F4866"/>
    <w:rsid w:val="008F52DE"/>
    <w:rsid w:val="008F55B0"/>
    <w:rsid w:val="008F56F3"/>
    <w:rsid w:val="008F5920"/>
    <w:rsid w:val="008F5F50"/>
    <w:rsid w:val="008F61C8"/>
    <w:rsid w:val="008F6266"/>
    <w:rsid w:val="008F6391"/>
    <w:rsid w:val="008F6871"/>
    <w:rsid w:val="008F690E"/>
    <w:rsid w:val="008F6B75"/>
    <w:rsid w:val="008F6BE3"/>
    <w:rsid w:val="008F6D25"/>
    <w:rsid w:val="008F7198"/>
    <w:rsid w:val="008F77FB"/>
    <w:rsid w:val="008F78BE"/>
    <w:rsid w:val="008F7F57"/>
    <w:rsid w:val="009000E1"/>
    <w:rsid w:val="009002B3"/>
    <w:rsid w:val="00900B5D"/>
    <w:rsid w:val="00900BE0"/>
    <w:rsid w:val="00901037"/>
    <w:rsid w:val="00901059"/>
    <w:rsid w:val="009014C9"/>
    <w:rsid w:val="0090161C"/>
    <w:rsid w:val="009017BD"/>
    <w:rsid w:val="009017F1"/>
    <w:rsid w:val="009017F4"/>
    <w:rsid w:val="009018C6"/>
    <w:rsid w:val="00901C8E"/>
    <w:rsid w:val="0090248A"/>
    <w:rsid w:val="0090277C"/>
    <w:rsid w:val="00902AA4"/>
    <w:rsid w:val="00902B69"/>
    <w:rsid w:val="00902F85"/>
    <w:rsid w:val="00903656"/>
    <w:rsid w:val="009038B3"/>
    <w:rsid w:val="00903C62"/>
    <w:rsid w:val="00903E0E"/>
    <w:rsid w:val="009040AB"/>
    <w:rsid w:val="009041EF"/>
    <w:rsid w:val="0090439E"/>
    <w:rsid w:val="0090460C"/>
    <w:rsid w:val="00904959"/>
    <w:rsid w:val="00904AF5"/>
    <w:rsid w:val="00904FE9"/>
    <w:rsid w:val="009053ED"/>
    <w:rsid w:val="00905752"/>
    <w:rsid w:val="00905788"/>
    <w:rsid w:val="00906016"/>
    <w:rsid w:val="009061C1"/>
    <w:rsid w:val="00906B29"/>
    <w:rsid w:val="00906CF1"/>
    <w:rsid w:val="00906EC7"/>
    <w:rsid w:val="00907579"/>
    <w:rsid w:val="00907670"/>
    <w:rsid w:val="00907772"/>
    <w:rsid w:val="00907837"/>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C0"/>
    <w:rsid w:val="00913847"/>
    <w:rsid w:val="00913E59"/>
    <w:rsid w:val="00913E8E"/>
    <w:rsid w:val="00914A70"/>
    <w:rsid w:val="00914B1B"/>
    <w:rsid w:val="00914C07"/>
    <w:rsid w:val="009158F4"/>
    <w:rsid w:val="009159AE"/>
    <w:rsid w:val="00915E69"/>
    <w:rsid w:val="0091624F"/>
    <w:rsid w:val="00916332"/>
    <w:rsid w:val="00916BFE"/>
    <w:rsid w:val="00916F59"/>
    <w:rsid w:val="00917148"/>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2E6C"/>
    <w:rsid w:val="009231AA"/>
    <w:rsid w:val="00923265"/>
    <w:rsid w:val="00923C7B"/>
    <w:rsid w:val="00924345"/>
    <w:rsid w:val="009244B8"/>
    <w:rsid w:val="009244EA"/>
    <w:rsid w:val="009244ED"/>
    <w:rsid w:val="00924A1B"/>
    <w:rsid w:val="00924A5D"/>
    <w:rsid w:val="00924C63"/>
    <w:rsid w:val="00924DAB"/>
    <w:rsid w:val="00925008"/>
    <w:rsid w:val="0092521C"/>
    <w:rsid w:val="0092577E"/>
    <w:rsid w:val="00925C29"/>
    <w:rsid w:val="00925C9D"/>
    <w:rsid w:val="009261C6"/>
    <w:rsid w:val="00926639"/>
    <w:rsid w:val="00926849"/>
    <w:rsid w:val="0092694F"/>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8D4"/>
    <w:rsid w:val="00934FEA"/>
    <w:rsid w:val="009352CE"/>
    <w:rsid w:val="0093539C"/>
    <w:rsid w:val="00935404"/>
    <w:rsid w:val="00935456"/>
    <w:rsid w:val="00935616"/>
    <w:rsid w:val="00935DDE"/>
    <w:rsid w:val="00935E7A"/>
    <w:rsid w:val="00935E85"/>
    <w:rsid w:val="00935F70"/>
    <w:rsid w:val="009366C6"/>
    <w:rsid w:val="00936826"/>
    <w:rsid w:val="00936DC1"/>
    <w:rsid w:val="00937023"/>
    <w:rsid w:val="00937157"/>
    <w:rsid w:val="009372EB"/>
    <w:rsid w:val="00937CDF"/>
    <w:rsid w:val="00937E49"/>
    <w:rsid w:val="00937FFA"/>
    <w:rsid w:val="0094015F"/>
    <w:rsid w:val="00940382"/>
    <w:rsid w:val="00940681"/>
    <w:rsid w:val="00940C0F"/>
    <w:rsid w:val="00940DF3"/>
    <w:rsid w:val="009411DE"/>
    <w:rsid w:val="00942069"/>
    <w:rsid w:val="009420F5"/>
    <w:rsid w:val="009429BC"/>
    <w:rsid w:val="00942C1E"/>
    <w:rsid w:val="00943217"/>
    <w:rsid w:val="0094369F"/>
    <w:rsid w:val="0094378A"/>
    <w:rsid w:val="00943DDA"/>
    <w:rsid w:val="00943E96"/>
    <w:rsid w:val="00944611"/>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2E5"/>
    <w:rsid w:val="00954C9D"/>
    <w:rsid w:val="00954E44"/>
    <w:rsid w:val="009550D3"/>
    <w:rsid w:val="009551A8"/>
    <w:rsid w:val="0095549A"/>
    <w:rsid w:val="00955770"/>
    <w:rsid w:val="00956314"/>
    <w:rsid w:val="00956883"/>
    <w:rsid w:val="009568F9"/>
    <w:rsid w:val="00956C98"/>
    <w:rsid w:val="00956F31"/>
    <w:rsid w:val="00956FB0"/>
    <w:rsid w:val="009571D7"/>
    <w:rsid w:val="009572D3"/>
    <w:rsid w:val="00957C98"/>
    <w:rsid w:val="0096001D"/>
    <w:rsid w:val="009601E8"/>
    <w:rsid w:val="009603F2"/>
    <w:rsid w:val="00960CA6"/>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E6"/>
    <w:rsid w:val="0096492C"/>
    <w:rsid w:val="00964E26"/>
    <w:rsid w:val="009652D3"/>
    <w:rsid w:val="009652EF"/>
    <w:rsid w:val="00965567"/>
    <w:rsid w:val="009659FE"/>
    <w:rsid w:val="00965DE7"/>
    <w:rsid w:val="0096605C"/>
    <w:rsid w:val="009664C9"/>
    <w:rsid w:val="00966C9C"/>
    <w:rsid w:val="00966CAA"/>
    <w:rsid w:val="00966DCA"/>
    <w:rsid w:val="009671F5"/>
    <w:rsid w:val="00967514"/>
    <w:rsid w:val="0096753C"/>
    <w:rsid w:val="009675F0"/>
    <w:rsid w:val="009700EC"/>
    <w:rsid w:val="00970115"/>
    <w:rsid w:val="00970A4D"/>
    <w:rsid w:val="00971121"/>
    <w:rsid w:val="00971E6C"/>
    <w:rsid w:val="00971F53"/>
    <w:rsid w:val="00971F88"/>
    <w:rsid w:val="009728DB"/>
    <w:rsid w:val="00972B53"/>
    <w:rsid w:val="00972EC8"/>
    <w:rsid w:val="00973C21"/>
    <w:rsid w:val="00974246"/>
    <w:rsid w:val="0097485F"/>
    <w:rsid w:val="00974B29"/>
    <w:rsid w:val="00974EC3"/>
    <w:rsid w:val="00974F84"/>
    <w:rsid w:val="0097581C"/>
    <w:rsid w:val="00975B50"/>
    <w:rsid w:val="00975DA4"/>
    <w:rsid w:val="009761DA"/>
    <w:rsid w:val="00976308"/>
    <w:rsid w:val="0097676B"/>
    <w:rsid w:val="00976CBB"/>
    <w:rsid w:val="009773FE"/>
    <w:rsid w:val="009774F6"/>
    <w:rsid w:val="009775DA"/>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F01"/>
    <w:rsid w:val="00982FAE"/>
    <w:rsid w:val="0098305C"/>
    <w:rsid w:val="009839B9"/>
    <w:rsid w:val="00983B28"/>
    <w:rsid w:val="00983BE3"/>
    <w:rsid w:val="00983DE1"/>
    <w:rsid w:val="00983DE3"/>
    <w:rsid w:val="00984031"/>
    <w:rsid w:val="009840A0"/>
    <w:rsid w:val="0098423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749E"/>
    <w:rsid w:val="009876B7"/>
    <w:rsid w:val="009878D1"/>
    <w:rsid w:val="00987FA2"/>
    <w:rsid w:val="00987FB1"/>
    <w:rsid w:val="00990016"/>
    <w:rsid w:val="009902D3"/>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410B"/>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E4"/>
    <w:rsid w:val="0099707E"/>
    <w:rsid w:val="009970EC"/>
    <w:rsid w:val="0099717F"/>
    <w:rsid w:val="009973D2"/>
    <w:rsid w:val="00997BEA"/>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3312"/>
    <w:rsid w:val="009A33CB"/>
    <w:rsid w:val="009A34BF"/>
    <w:rsid w:val="009A36A1"/>
    <w:rsid w:val="009A3890"/>
    <w:rsid w:val="009A3E42"/>
    <w:rsid w:val="009A42CE"/>
    <w:rsid w:val="009A44A9"/>
    <w:rsid w:val="009A45E9"/>
    <w:rsid w:val="009A4748"/>
    <w:rsid w:val="009A497A"/>
    <w:rsid w:val="009A533D"/>
    <w:rsid w:val="009A575C"/>
    <w:rsid w:val="009A58DB"/>
    <w:rsid w:val="009A5B75"/>
    <w:rsid w:val="009A5FAE"/>
    <w:rsid w:val="009A6056"/>
    <w:rsid w:val="009A60B1"/>
    <w:rsid w:val="009A629F"/>
    <w:rsid w:val="009A66BA"/>
    <w:rsid w:val="009A691F"/>
    <w:rsid w:val="009A7130"/>
    <w:rsid w:val="009A7366"/>
    <w:rsid w:val="009A7BD0"/>
    <w:rsid w:val="009A7C74"/>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A7B"/>
    <w:rsid w:val="009B5D70"/>
    <w:rsid w:val="009B66E4"/>
    <w:rsid w:val="009B6756"/>
    <w:rsid w:val="009B6C1C"/>
    <w:rsid w:val="009B6C86"/>
    <w:rsid w:val="009B6F99"/>
    <w:rsid w:val="009B7E24"/>
    <w:rsid w:val="009B7F90"/>
    <w:rsid w:val="009C0027"/>
    <w:rsid w:val="009C021A"/>
    <w:rsid w:val="009C0485"/>
    <w:rsid w:val="009C080D"/>
    <w:rsid w:val="009C08BF"/>
    <w:rsid w:val="009C09F5"/>
    <w:rsid w:val="009C1223"/>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65"/>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736"/>
    <w:rsid w:val="009D3877"/>
    <w:rsid w:val="009D3C3F"/>
    <w:rsid w:val="009D3C4A"/>
    <w:rsid w:val="009D3EDF"/>
    <w:rsid w:val="009D435D"/>
    <w:rsid w:val="009D45D4"/>
    <w:rsid w:val="009D5406"/>
    <w:rsid w:val="009D5A53"/>
    <w:rsid w:val="009D5C99"/>
    <w:rsid w:val="009D6F79"/>
    <w:rsid w:val="009D7205"/>
    <w:rsid w:val="009D7FB4"/>
    <w:rsid w:val="009D7FB5"/>
    <w:rsid w:val="009E0011"/>
    <w:rsid w:val="009E0165"/>
    <w:rsid w:val="009E0477"/>
    <w:rsid w:val="009E0B22"/>
    <w:rsid w:val="009E0CFF"/>
    <w:rsid w:val="009E108F"/>
    <w:rsid w:val="009E12B3"/>
    <w:rsid w:val="009E156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5103"/>
    <w:rsid w:val="009E51FD"/>
    <w:rsid w:val="009E53A6"/>
    <w:rsid w:val="009E5588"/>
    <w:rsid w:val="009E62E6"/>
    <w:rsid w:val="009E6521"/>
    <w:rsid w:val="009E6708"/>
    <w:rsid w:val="009E6C62"/>
    <w:rsid w:val="009E73D4"/>
    <w:rsid w:val="009E7609"/>
    <w:rsid w:val="009E7684"/>
    <w:rsid w:val="009E76C5"/>
    <w:rsid w:val="009E77D9"/>
    <w:rsid w:val="009E7B46"/>
    <w:rsid w:val="009F040C"/>
    <w:rsid w:val="009F06A7"/>
    <w:rsid w:val="009F0984"/>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943"/>
    <w:rsid w:val="009F3BD8"/>
    <w:rsid w:val="009F4222"/>
    <w:rsid w:val="009F455F"/>
    <w:rsid w:val="009F4771"/>
    <w:rsid w:val="009F4825"/>
    <w:rsid w:val="009F4AC1"/>
    <w:rsid w:val="009F4C0B"/>
    <w:rsid w:val="009F4FDC"/>
    <w:rsid w:val="009F5009"/>
    <w:rsid w:val="009F5732"/>
    <w:rsid w:val="009F59CF"/>
    <w:rsid w:val="009F5AA9"/>
    <w:rsid w:val="009F5B8E"/>
    <w:rsid w:val="009F5F28"/>
    <w:rsid w:val="009F5F54"/>
    <w:rsid w:val="009F6077"/>
    <w:rsid w:val="009F611B"/>
    <w:rsid w:val="009F63C1"/>
    <w:rsid w:val="009F6722"/>
    <w:rsid w:val="009F680B"/>
    <w:rsid w:val="009F68FF"/>
    <w:rsid w:val="009F6961"/>
    <w:rsid w:val="009F69A4"/>
    <w:rsid w:val="009F6A15"/>
    <w:rsid w:val="009F6A32"/>
    <w:rsid w:val="009F71CA"/>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40B1"/>
    <w:rsid w:val="00A04242"/>
    <w:rsid w:val="00A04291"/>
    <w:rsid w:val="00A044A3"/>
    <w:rsid w:val="00A04BDD"/>
    <w:rsid w:val="00A0514B"/>
    <w:rsid w:val="00A05A7E"/>
    <w:rsid w:val="00A05E55"/>
    <w:rsid w:val="00A05F0B"/>
    <w:rsid w:val="00A05F0E"/>
    <w:rsid w:val="00A06095"/>
    <w:rsid w:val="00A063D6"/>
    <w:rsid w:val="00A06553"/>
    <w:rsid w:val="00A06D53"/>
    <w:rsid w:val="00A06F82"/>
    <w:rsid w:val="00A06FEE"/>
    <w:rsid w:val="00A071FC"/>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D2B"/>
    <w:rsid w:val="00A14D4A"/>
    <w:rsid w:val="00A14EC8"/>
    <w:rsid w:val="00A14F04"/>
    <w:rsid w:val="00A150F6"/>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75B"/>
    <w:rsid w:val="00A178D5"/>
    <w:rsid w:val="00A17909"/>
    <w:rsid w:val="00A17A14"/>
    <w:rsid w:val="00A20091"/>
    <w:rsid w:val="00A202E5"/>
    <w:rsid w:val="00A2096A"/>
    <w:rsid w:val="00A20993"/>
    <w:rsid w:val="00A20A45"/>
    <w:rsid w:val="00A20DAA"/>
    <w:rsid w:val="00A21151"/>
    <w:rsid w:val="00A21335"/>
    <w:rsid w:val="00A218AA"/>
    <w:rsid w:val="00A21A27"/>
    <w:rsid w:val="00A21EAA"/>
    <w:rsid w:val="00A21F5E"/>
    <w:rsid w:val="00A2208B"/>
    <w:rsid w:val="00A2292E"/>
    <w:rsid w:val="00A22C9D"/>
    <w:rsid w:val="00A22FC3"/>
    <w:rsid w:val="00A232F5"/>
    <w:rsid w:val="00A23439"/>
    <w:rsid w:val="00A23451"/>
    <w:rsid w:val="00A23C70"/>
    <w:rsid w:val="00A23FBA"/>
    <w:rsid w:val="00A247A9"/>
    <w:rsid w:val="00A24B59"/>
    <w:rsid w:val="00A24C95"/>
    <w:rsid w:val="00A255B4"/>
    <w:rsid w:val="00A257CC"/>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DA1"/>
    <w:rsid w:val="00A354A8"/>
    <w:rsid w:val="00A356AD"/>
    <w:rsid w:val="00A35751"/>
    <w:rsid w:val="00A358B6"/>
    <w:rsid w:val="00A35978"/>
    <w:rsid w:val="00A3597F"/>
    <w:rsid w:val="00A35AF8"/>
    <w:rsid w:val="00A35BFE"/>
    <w:rsid w:val="00A35C22"/>
    <w:rsid w:val="00A35CDF"/>
    <w:rsid w:val="00A35E2C"/>
    <w:rsid w:val="00A364FB"/>
    <w:rsid w:val="00A36BD0"/>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A3"/>
    <w:rsid w:val="00A42D83"/>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B4F"/>
    <w:rsid w:val="00A46BD6"/>
    <w:rsid w:val="00A46BE5"/>
    <w:rsid w:val="00A46FB0"/>
    <w:rsid w:val="00A47033"/>
    <w:rsid w:val="00A470DE"/>
    <w:rsid w:val="00A47141"/>
    <w:rsid w:val="00A5001D"/>
    <w:rsid w:val="00A50087"/>
    <w:rsid w:val="00A502C0"/>
    <w:rsid w:val="00A50BC6"/>
    <w:rsid w:val="00A50EB2"/>
    <w:rsid w:val="00A50F93"/>
    <w:rsid w:val="00A51632"/>
    <w:rsid w:val="00A51859"/>
    <w:rsid w:val="00A51865"/>
    <w:rsid w:val="00A51C26"/>
    <w:rsid w:val="00A51F8D"/>
    <w:rsid w:val="00A52140"/>
    <w:rsid w:val="00A52195"/>
    <w:rsid w:val="00A5238C"/>
    <w:rsid w:val="00A524D4"/>
    <w:rsid w:val="00A526F0"/>
    <w:rsid w:val="00A52750"/>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01C"/>
    <w:rsid w:val="00A7265C"/>
    <w:rsid w:val="00A72812"/>
    <w:rsid w:val="00A72BFF"/>
    <w:rsid w:val="00A72F76"/>
    <w:rsid w:val="00A730E7"/>
    <w:rsid w:val="00A738BF"/>
    <w:rsid w:val="00A7433D"/>
    <w:rsid w:val="00A74AD4"/>
    <w:rsid w:val="00A74BDA"/>
    <w:rsid w:val="00A74BFF"/>
    <w:rsid w:val="00A74E86"/>
    <w:rsid w:val="00A75205"/>
    <w:rsid w:val="00A75890"/>
    <w:rsid w:val="00A75AFA"/>
    <w:rsid w:val="00A75D63"/>
    <w:rsid w:val="00A75E03"/>
    <w:rsid w:val="00A76288"/>
    <w:rsid w:val="00A76348"/>
    <w:rsid w:val="00A76B0C"/>
    <w:rsid w:val="00A76B36"/>
    <w:rsid w:val="00A77104"/>
    <w:rsid w:val="00A7720B"/>
    <w:rsid w:val="00A772DE"/>
    <w:rsid w:val="00A77B31"/>
    <w:rsid w:val="00A77F2A"/>
    <w:rsid w:val="00A8052C"/>
    <w:rsid w:val="00A8057D"/>
    <w:rsid w:val="00A805A4"/>
    <w:rsid w:val="00A80D30"/>
    <w:rsid w:val="00A81215"/>
    <w:rsid w:val="00A819E5"/>
    <w:rsid w:val="00A820D4"/>
    <w:rsid w:val="00A826DA"/>
    <w:rsid w:val="00A83306"/>
    <w:rsid w:val="00A8338C"/>
    <w:rsid w:val="00A833B0"/>
    <w:rsid w:val="00A8368F"/>
    <w:rsid w:val="00A839A5"/>
    <w:rsid w:val="00A83A42"/>
    <w:rsid w:val="00A83E08"/>
    <w:rsid w:val="00A83EA1"/>
    <w:rsid w:val="00A8475F"/>
    <w:rsid w:val="00A84988"/>
    <w:rsid w:val="00A84FAA"/>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7B68"/>
    <w:rsid w:val="00A97E38"/>
    <w:rsid w:val="00AA0B51"/>
    <w:rsid w:val="00AA0B9B"/>
    <w:rsid w:val="00AA0C63"/>
    <w:rsid w:val="00AA104C"/>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B6E"/>
    <w:rsid w:val="00AB1093"/>
    <w:rsid w:val="00AB1115"/>
    <w:rsid w:val="00AB1B10"/>
    <w:rsid w:val="00AB2994"/>
    <w:rsid w:val="00AB33FD"/>
    <w:rsid w:val="00AB3999"/>
    <w:rsid w:val="00AB39C2"/>
    <w:rsid w:val="00AB3B7F"/>
    <w:rsid w:val="00AB3BD1"/>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85E"/>
    <w:rsid w:val="00AC1A91"/>
    <w:rsid w:val="00AC1B08"/>
    <w:rsid w:val="00AC1B6C"/>
    <w:rsid w:val="00AC1E22"/>
    <w:rsid w:val="00AC2065"/>
    <w:rsid w:val="00AC2921"/>
    <w:rsid w:val="00AC2B4D"/>
    <w:rsid w:val="00AC2BED"/>
    <w:rsid w:val="00AC2D46"/>
    <w:rsid w:val="00AC30E6"/>
    <w:rsid w:val="00AC341E"/>
    <w:rsid w:val="00AC3460"/>
    <w:rsid w:val="00AC36D6"/>
    <w:rsid w:val="00AC3810"/>
    <w:rsid w:val="00AC3898"/>
    <w:rsid w:val="00AC3AAE"/>
    <w:rsid w:val="00AC3AE1"/>
    <w:rsid w:val="00AC3C12"/>
    <w:rsid w:val="00AC4A05"/>
    <w:rsid w:val="00AC558E"/>
    <w:rsid w:val="00AC58FC"/>
    <w:rsid w:val="00AC5A77"/>
    <w:rsid w:val="00AC5CFC"/>
    <w:rsid w:val="00AC6018"/>
    <w:rsid w:val="00AC6056"/>
    <w:rsid w:val="00AC62EB"/>
    <w:rsid w:val="00AC644D"/>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624"/>
    <w:rsid w:val="00AD47C4"/>
    <w:rsid w:val="00AD4A4E"/>
    <w:rsid w:val="00AD4AF6"/>
    <w:rsid w:val="00AD4E76"/>
    <w:rsid w:val="00AD53E1"/>
    <w:rsid w:val="00AD5550"/>
    <w:rsid w:val="00AD5866"/>
    <w:rsid w:val="00AD58EB"/>
    <w:rsid w:val="00AD5BB2"/>
    <w:rsid w:val="00AD5BEB"/>
    <w:rsid w:val="00AD643D"/>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4AE"/>
    <w:rsid w:val="00AF558D"/>
    <w:rsid w:val="00AF645F"/>
    <w:rsid w:val="00AF674C"/>
    <w:rsid w:val="00AF6831"/>
    <w:rsid w:val="00AF6A02"/>
    <w:rsid w:val="00AF6F18"/>
    <w:rsid w:val="00AF718A"/>
    <w:rsid w:val="00AF7319"/>
    <w:rsid w:val="00AF74C6"/>
    <w:rsid w:val="00AF76B9"/>
    <w:rsid w:val="00AF76E6"/>
    <w:rsid w:val="00AF777E"/>
    <w:rsid w:val="00AF77A3"/>
    <w:rsid w:val="00AF7898"/>
    <w:rsid w:val="00AF7F79"/>
    <w:rsid w:val="00AF7FE0"/>
    <w:rsid w:val="00B002D6"/>
    <w:rsid w:val="00B007C9"/>
    <w:rsid w:val="00B0103A"/>
    <w:rsid w:val="00B015A9"/>
    <w:rsid w:val="00B01C3D"/>
    <w:rsid w:val="00B01CC8"/>
    <w:rsid w:val="00B01CCF"/>
    <w:rsid w:val="00B01E04"/>
    <w:rsid w:val="00B027F8"/>
    <w:rsid w:val="00B02813"/>
    <w:rsid w:val="00B02925"/>
    <w:rsid w:val="00B02ED6"/>
    <w:rsid w:val="00B035FF"/>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DA9"/>
    <w:rsid w:val="00B1205B"/>
    <w:rsid w:val="00B1206C"/>
    <w:rsid w:val="00B124FD"/>
    <w:rsid w:val="00B12944"/>
    <w:rsid w:val="00B12E8C"/>
    <w:rsid w:val="00B130B4"/>
    <w:rsid w:val="00B133C7"/>
    <w:rsid w:val="00B138B0"/>
    <w:rsid w:val="00B139E2"/>
    <w:rsid w:val="00B13BB0"/>
    <w:rsid w:val="00B14371"/>
    <w:rsid w:val="00B14DE8"/>
    <w:rsid w:val="00B14F70"/>
    <w:rsid w:val="00B15234"/>
    <w:rsid w:val="00B153EA"/>
    <w:rsid w:val="00B15D98"/>
    <w:rsid w:val="00B15E49"/>
    <w:rsid w:val="00B16137"/>
    <w:rsid w:val="00B162BE"/>
    <w:rsid w:val="00B169BE"/>
    <w:rsid w:val="00B17031"/>
    <w:rsid w:val="00B1713F"/>
    <w:rsid w:val="00B17825"/>
    <w:rsid w:val="00B201A4"/>
    <w:rsid w:val="00B20533"/>
    <w:rsid w:val="00B20660"/>
    <w:rsid w:val="00B206B3"/>
    <w:rsid w:val="00B207A8"/>
    <w:rsid w:val="00B20EA9"/>
    <w:rsid w:val="00B21003"/>
    <w:rsid w:val="00B2103C"/>
    <w:rsid w:val="00B210C8"/>
    <w:rsid w:val="00B21281"/>
    <w:rsid w:val="00B218CD"/>
    <w:rsid w:val="00B21D13"/>
    <w:rsid w:val="00B21ECB"/>
    <w:rsid w:val="00B21EE6"/>
    <w:rsid w:val="00B21F24"/>
    <w:rsid w:val="00B22069"/>
    <w:rsid w:val="00B2209C"/>
    <w:rsid w:val="00B2212A"/>
    <w:rsid w:val="00B22688"/>
    <w:rsid w:val="00B22EBF"/>
    <w:rsid w:val="00B22F41"/>
    <w:rsid w:val="00B23064"/>
    <w:rsid w:val="00B23270"/>
    <w:rsid w:val="00B23516"/>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6E"/>
    <w:rsid w:val="00B35513"/>
    <w:rsid w:val="00B35705"/>
    <w:rsid w:val="00B360BA"/>
    <w:rsid w:val="00B36201"/>
    <w:rsid w:val="00B36325"/>
    <w:rsid w:val="00B36958"/>
    <w:rsid w:val="00B36A95"/>
    <w:rsid w:val="00B36B4C"/>
    <w:rsid w:val="00B36E18"/>
    <w:rsid w:val="00B36E58"/>
    <w:rsid w:val="00B36F94"/>
    <w:rsid w:val="00B37605"/>
    <w:rsid w:val="00B3789F"/>
    <w:rsid w:val="00B37A2C"/>
    <w:rsid w:val="00B37B12"/>
    <w:rsid w:val="00B37B6D"/>
    <w:rsid w:val="00B37F35"/>
    <w:rsid w:val="00B40204"/>
    <w:rsid w:val="00B40214"/>
    <w:rsid w:val="00B404C1"/>
    <w:rsid w:val="00B40A36"/>
    <w:rsid w:val="00B40C4F"/>
    <w:rsid w:val="00B40D09"/>
    <w:rsid w:val="00B41094"/>
    <w:rsid w:val="00B41780"/>
    <w:rsid w:val="00B41C49"/>
    <w:rsid w:val="00B41F20"/>
    <w:rsid w:val="00B41FAE"/>
    <w:rsid w:val="00B425AE"/>
    <w:rsid w:val="00B428AA"/>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C09"/>
    <w:rsid w:val="00B60C3E"/>
    <w:rsid w:val="00B60F66"/>
    <w:rsid w:val="00B61196"/>
    <w:rsid w:val="00B6128B"/>
    <w:rsid w:val="00B61299"/>
    <w:rsid w:val="00B613BF"/>
    <w:rsid w:val="00B61887"/>
    <w:rsid w:val="00B62333"/>
    <w:rsid w:val="00B626FE"/>
    <w:rsid w:val="00B62F0C"/>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E69"/>
    <w:rsid w:val="00B710FA"/>
    <w:rsid w:val="00B71510"/>
    <w:rsid w:val="00B71767"/>
    <w:rsid w:val="00B7182D"/>
    <w:rsid w:val="00B7186B"/>
    <w:rsid w:val="00B71E5F"/>
    <w:rsid w:val="00B71EE6"/>
    <w:rsid w:val="00B722B9"/>
    <w:rsid w:val="00B72884"/>
    <w:rsid w:val="00B728CE"/>
    <w:rsid w:val="00B72906"/>
    <w:rsid w:val="00B72D44"/>
    <w:rsid w:val="00B72FF8"/>
    <w:rsid w:val="00B730F4"/>
    <w:rsid w:val="00B7325B"/>
    <w:rsid w:val="00B73498"/>
    <w:rsid w:val="00B734F4"/>
    <w:rsid w:val="00B73A15"/>
    <w:rsid w:val="00B7407E"/>
    <w:rsid w:val="00B746DA"/>
    <w:rsid w:val="00B74A60"/>
    <w:rsid w:val="00B74C06"/>
    <w:rsid w:val="00B74C22"/>
    <w:rsid w:val="00B74C81"/>
    <w:rsid w:val="00B74DC3"/>
    <w:rsid w:val="00B7545D"/>
    <w:rsid w:val="00B7552E"/>
    <w:rsid w:val="00B7555B"/>
    <w:rsid w:val="00B756A4"/>
    <w:rsid w:val="00B75999"/>
    <w:rsid w:val="00B75FE7"/>
    <w:rsid w:val="00B76499"/>
    <w:rsid w:val="00B76880"/>
    <w:rsid w:val="00B76A18"/>
    <w:rsid w:val="00B76A7F"/>
    <w:rsid w:val="00B776CE"/>
    <w:rsid w:val="00B777A8"/>
    <w:rsid w:val="00B777FA"/>
    <w:rsid w:val="00B77C41"/>
    <w:rsid w:val="00B77CAE"/>
    <w:rsid w:val="00B77EEC"/>
    <w:rsid w:val="00B80577"/>
    <w:rsid w:val="00B8068D"/>
    <w:rsid w:val="00B8075E"/>
    <w:rsid w:val="00B807FA"/>
    <w:rsid w:val="00B80C52"/>
    <w:rsid w:val="00B81547"/>
    <w:rsid w:val="00B8156C"/>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8A0"/>
    <w:rsid w:val="00B84EA3"/>
    <w:rsid w:val="00B8509A"/>
    <w:rsid w:val="00B8557A"/>
    <w:rsid w:val="00B85882"/>
    <w:rsid w:val="00B863AD"/>
    <w:rsid w:val="00B86A38"/>
    <w:rsid w:val="00B86A88"/>
    <w:rsid w:val="00B86C39"/>
    <w:rsid w:val="00B86D3D"/>
    <w:rsid w:val="00B8708F"/>
    <w:rsid w:val="00B8728A"/>
    <w:rsid w:val="00B8728F"/>
    <w:rsid w:val="00B87386"/>
    <w:rsid w:val="00B878F7"/>
    <w:rsid w:val="00B9019C"/>
    <w:rsid w:val="00B90582"/>
    <w:rsid w:val="00B90E28"/>
    <w:rsid w:val="00B91081"/>
    <w:rsid w:val="00B91528"/>
    <w:rsid w:val="00B9193D"/>
    <w:rsid w:val="00B91EF0"/>
    <w:rsid w:val="00B92530"/>
    <w:rsid w:val="00B92A34"/>
    <w:rsid w:val="00B92C37"/>
    <w:rsid w:val="00B92C84"/>
    <w:rsid w:val="00B92CCA"/>
    <w:rsid w:val="00B92CEC"/>
    <w:rsid w:val="00B92EB1"/>
    <w:rsid w:val="00B9300D"/>
    <w:rsid w:val="00B93148"/>
    <w:rsid w:val="00B9335A"/>
    <w:rsid w:val="00B934B3"/>
    <w:rsid w:val="00B93776"/>
    <w:rsid w:val="00B937FC"/>
    <w:rsid w:val="00B939D7"/>
    <w:rsid w:val="00B93C01"/>
    <w:rsid w:val="00B93EA4"/>
    <w:rsid w:val="00B943B1"/>
    <w:rsid w:val="00B94593"/>
    <w:rsid w:val="00B9497E"/>
    <w:rsid w:val="00B9518B"/>
    <w:rsid w:val="00B95306"/>
    <w:rsid w:val="00B9547B"/>
    <w:rsid w:val="00B957BF"/>
    <w:rsid w:val="00B95C2F"/>
    <w:rsid w:val="00B95DB9"/>
    <w:rsid w:val="00B95FD3"/>
    <w:rsid w:val="00B961CB"/>
    <w:rsid w:val="00B962B9"/>
    <w:rsid w:val="00B96961"/>
    <w:rsid w:val="00B96B80"/>
    <w:rsid w:val="00B96B95"/>
    <w:rsid w:val="00B96E18"/>
    <w:rsid w:val="00B96F84"/>
    <w:rsid w:val="00B9714E"/>
    <w:rsid w:val="00B973C6"/>
    <w:rsid w:val="00B9763B"/>
    <w:rsid w:val="00B976E0"/>
    <w:rsid w:val="00BA04DA"/>
    <w:rsid w:val="00BA066F"/>
    <w:rsid w:val="00BA08DA"/>
    <w:rsid w:val="00BA0ED6"/>
    <w:rsid w:val="00BA10F5"/>
    <w:rsid w:val="00BA1555"/>
    <w:rsid w:val="00BA15A8"/>
    <w:rsid w:val="00BA1A16"/>
    <w:rsid w:val="00BA1F20"/>
    <w:rsid w:val="00BA1F70"/>
    <w:rsid w:val="00BA24BC"/>
    <w:rsid w:val="00BA25CF"/>
    <w:rsid w:val="00BA2B2C"/>
    <w:rsid w:val="00BA2B96"/>
    <w:rsid w:val="00BA3229"/>
    <w:rsid w:val="00BA4029"/>
    <w:rsid w:val="00BA41AD"/>
    <w:rsid w:val="00BA41EE"/>
    <w:rsid w:val="00BA448C"/>
    <w:rsid w:val="00BA46DE"/>
    <w:rsid w:val="00BA4801"/>
    <w:rsid w:val="00BA4942"/>
    <w:rsid w:val="00BA5099"/>
    <w:rsid w:val="00BA5288"/>
    <w:rsid w:val="00BA52C0"/>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540"/>
    <w:rsid w:val="00BB186F"/>
    <w:rsid w:val="00BB1B02"/>
    <w:rsid w:val="00BB1BCC"/>
    <w:rsid w:val="00BB1C13"/>
    <w:rsid w:val="00BB21C3"/>
    <w:rsid w:val="00BB24B3"/>
    <w:rsid w:val="00BB24C5"/>
    <w:rsid w:val="00BB26E7"/>
    <w:rsid w:val="00BB2E16"/>
    <w:rsid w:val="00BB2F32"/>
    <w:rsid w:val="00BB3112"/>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236"/>
    <w:rsid w:val="00BB5452"/>
    <w:rsid w:val="00BB5656"/>
    <w:rsid w:val="00BB5C26"/>
    <w:rsid w:val="00BB5C42"/>
    <w:rsid w:val="00BB5D0D"/>
    <w:rsid w:val="00BB5F08"/>
    <w:rsid w:val="00BB6000"/>
    <w:rsid w:val="00BB6F18"/>
    <w:rsid w:val="00BB6F87"/>
    <w:rsid w:val="00BB74D5"/>
    <w:rsid w:val="00BB755D"/>
    <w:rsid w:val="00BB765C"/>
    <w:rsid w:val="00BB7B7C"/>
    <w:rsid w:val="00BC0085"/>
    <w:rsid w:val="00BC0578"/>
    <w:rsid w:val="00BC08A4"/>
    <w:rsid w:val="00BC0DA9"/>
    <w:rsid w:val="00BC101A"/>
    <w:rsid w:val="00BC1369"/>
    <w:rsid w:val="00BC19AD"/>
    <w:rsid w:val="00BC1C31"/>
    <w:rsid w:val="00BC1DFB"/>
    <w:rsid w:val="00BC2358"/>
    <w:rsid w:val="00BC2DB4"/>
    <w:rsid w:val="00BC2E5D"/>
    <w:rsid w:val="00BC2EC3"/>
    <w:rsid w:val="00BC3502"/>
    <w:rsid w:val="00BC3660"/>
    <w:rsid w:val="00BC3729"/>
    <w:rsid w:val="00BC37F3"/>
    <w:rsid w:val="00BC3BAD"/>
    <w:rsid w:val="00BC4948"/>
    <w:rsid w:val="00BC49EB"/>
    <w:rsid w:val="00BC4A02"/>
    <w:rsid w:val="00BC4A59"/>
    <w:rsid w:val="00BC4AF2"/>
    <w:rsid w:val="00BC4B9E"/>
    <w:rsid w:val="00BC4E0D"/>
    <w:rsid w:val="00BC55FA"/>
    <w:rsid w:val="00BC56E8"/>
    <w:rsid w:val="00BC637C"/>
    <w:rsid w:val="00BC6760"/>
    <w:rsid w:val="00BC6A17"/>
    <w:rsid w:val="00BC6B0E"/>
    <w:rsid w:val="00BC6C87"/>
    <w:rsid w:val="00BC6D12"/>
    <w:rsid w:val="00BC6F99"/>
    <w:rsid w:val="00BC729E"/>
    <w:rsid w:val="00BC7578"/>
    <w:rsid w:val="00BC7741"/>
    <w:rsid w:val="00BC78E3"/>
    <w:rsid w:val="00BC7E14"/>
    <w:rsid w:val="00BD0389"/>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4B1"/>
    <w:rsid w:val="00BD3BB0"/>
    <w:rsid w:val="00BD3D73"/>
    <w:rsid w:val="00BD3E1F"/>
    <w:rsid w:val="00BD4111"/>
    <w:rsid w:val="00BD42B7"/>
    <w:rsid w:val="00BD48B2"/>
    <w:rsid w:val="00BD49F6"/>
    <w:rsid w:val="00BD4AD1"/>
    <w:rsid w:val="00BD4DE0"/>
    <w:rsid w:val="00BD4FD1"/>
    <w:rsid w:val="00BD4FDF"/>
    <w:rsid w:val="00BD5118"/>
    <w:rsid w:val="00BD52C9"/>
    <w:rsid w:val="00BD537D"/>
    <w:rsid w:val="00BD568A"/>
    <w:rsid w:val="00BD6238"/>
    <w:rsid w:val="00BD6C9D"/>
    <w:rsid w:val="00BD6CF4"/>
    <w:rsid w:val="00BD7210"/>
    <w:rsid w:val="00BD730B"/>
    <w:rsid w:val="00BD73B5"/>
    <w:rsid w:val="00BD73FA"/>
    <w:rsid w:val="00BD76B1"/>
    <w:rsid w:val="00BD788D"/>
    <w:rsid w:val="00BD7A6B"/>
    <w:rsid w:val="00BD7D68"/>
    <w:rsid w:val="00BD7DBF"/>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A68"/>
    <w:rsid w:val="00BE4E62"/>
    <w:rsid w:val="00BE548A"/>
    <w:rsid w:val="00BE553C"/>
    <w:rsid w:val="00BE5566"/>
    <w:rsid w:val="00BE55DD"/>
    <w:rsid w:val="00BE56A0"/>
    <w:rsid w:val="00BE56FA"/>
    <w:rsid w:val="00BE570D"/>
    <w:rsid w:val="00BE571F"/>
    <w:rsid w:val="00BE57DA"/>
    <w:rsid w:val="00BE58AF"/>
    <w:rsid w:val="00BE6439"/>
    <w:rsid w:val="00BE716E"/>
    <w:rsid w:val="00BE7B9F"/>
    <w:rsid w:val="00BE7D7A"/>
    <w:rsid w:val="00BE7FAE"/>
    <w:rsid w:val="00BF0E51"/>
    <w:rsid w:val="00BF0EC4"/>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BB9"/>
    <w:rsid w:val="00C01C6F"/>
    <w:rsid w:val="00C02413"/>
    <w:rsid w:val="00C02F21"/>
    <w:rsid w:val="00C0337D"/>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9E3"/>
    <w:rsid w:val="00C05D32"/>
    <w:rsid w:val="00C05FBA"/>
    <w:rsid w:val="00C06926"/>
    <w:rsid w:val="00C06970"/>
    <w:rsid w:val="00C06ACB"/>
    <w:rsid w:val="00C06BC3"/>
    <w:rsid w:val="00C06C78"/>
    <w:rsid w:val="00C06D28"/>
    <w:rsid w:val="00C06D77"/>
    <w:rsid w:val="00C06E59"/>
    <w:rsid w:val="00C06EDC"/>
    <w:rsid w:val="00C07262"/>
    <w:rsid w:val="00C072E2"/>
    <w:rsid w:val="00C07660"/>
    <w:rsid w:val="00C07714"/>
    <w:rsid w:val="00C07B43"/>
    <w:rsid w:val="00C07E52"/>
    <w:rsid w:val="00C10103"/>
    <w:rsid w:val="00C1029D"/>
    <w:rsid w:val="00C1058B"/>
    <w:rsid w:val="00C1096B"/>
    <w:rsid w:val="00C116BC"/>
    <w:rsid w:val="00C1174A"/>
    <w:rsid w:val="00C11A7A"/>
    <w:rsid w:val="00C127B0"/>
    <w:rsid w:val="00C12817"/>
    <w:rsid w:val="00C1281D"/>
    <w:rsid w:val="00C12B04"/>
    <w:rsid w:val="00C12B8C"/>
    <w:rsid w:val="00C12EF3"/>
    <w:rsid w:val="00C132B5"/>
    <w:rsid w:val="00C13691"/>
    <w:rsid w:val="00C1380A"/>
    <w:rsid w:val="00C1384B"/>
    <w:rsid w:val="00C14204"/>
    <w:rsid w:val="00C1426A"/>
    <w:rsid w:val="00C1430E"/>
    <w:rsid w:val="00C146D0"/>
    <w:rsid w:val="00C14E28"/>
    <w:rsid w:val="00C14E35"/>
    <w:rsid w:val="00C1502B"/>
    <w:rsid w:val="00C150A7"/>
    <w:rsid w:val="00C15121"/>
    <w:rsid w:val="00C1536A"/>
    <w:rsid w:val="00C1552E"/>
    <w:rsid w:val="00C15897"/>
    <w:rsid w:val="00C15973"/>
    <w:rsid w:val="00C15AF8"/>
    <w:rsid w:val="00C15BA0"/>
    <w:rsid w:val="00C1627D"/>
    <w:rsid w:val="00C16743"/>
    <w:rsid w:val="00C16806"/>
    <w:rsid w:val="00C16949"/>
    <w:rsid w:val="00C16A9F"/>
    <w:rsid w:val="00C16AC5"/>
    <w:rsid w:val="00C16D70"/>
    <w:rsid w:val="00C16EE7"/>
    <w:rsid w:val="00C17119"/>
    <w:rsid w:val="00C1739B"/>
    <w:rsid w:val="00C1752B"/>
    <w:rsid w:val="00C178EB"/>
    <w:rsid w:val="00C179DF"/>
    <w:rsid w:val="00C17C0A"/>
    <w:rsid w:val="00C20004"/>
    <w:rsid w:val="00C2042D"/>
    <w:rsid w:val="00C20607"/>
    <w:rsid w:val="00C20956"/>
    <w:rsid w:val="00C2099D"/>
    <w:rsid w:val="00C20F68"/>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5C54"/>
    <w:rsid w:val="00C26902"/>
    <w:rsid w:val="00C27029"/>
    <w:rsid w:val="00C271D9"/>
    <w:rsid w:val="00C27360"/>
    <w:rsid w:val="00C27693"/>
    <w:rsid w:val="00C277CE"/>
    <w:rsid w:val="00C2793F"/>
    <w:rsid w:val="00C27EF5"/>
    <w:rsid w:val="00C30180"/>
    <w:rsid w:val="00C30181"/>
    <w:rsid w:val="00C301C9"/>
    <w:rsid w:val="00C30563"/>
    <w:rsid w:val="00C305CA"/>
    <w:rsid w:val="00C30844"/>
    <w:rsid w:val="00C30FEC"/>
    <w:rsid w:val="00C31C19"/>
    <w:rsid w:val="00C31D35"/>
    <w:rsid w:val="00C32542"/>
    <w:rsid w:val="00C328D5"/>
    <w:rsid w:val="00C32E13"/>
    <w:rsid w:val="00C33290"/>
    <w:rsid w:val="00C33AEF"/>
    <w:rsid w:val="00C33F51"/>
    <w:rsid w:val="00C34B9D"/>
    <w:rsid w:val="00C34EE1"/>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F8A"/>
    <w:rsid w:val="00C40646"/>
    <w:rsid w:val="00C4078C"/>
    <w:rsid w:val="00C408B4"/>
    <w:rsid w:val="00C4096A"/>
    <w:rsid w:val="00C40D38"/>
    <w:rsid w:val="00C40DFD"/>
    <w:rsid w:val="00C410B4"/>
    <w:rsid w:val="00C41365"/>
    <w:rsid w:val="00C415E4"/>
    <w:rsid w:val="00C41FC9"/>
    <w:rsid w:val="00C421D6"/>
    <w:rsid w:val="00C4272B"/>
    <w:rsid w:val="00C42B6D"/>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997"/>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B35"/>
    <w:rsid w:val="00C5659F"/>
    <w:rsid w:val="00C567D2"/>
    <w:rsid w:val="00C56A93"/>
    <w:rsid w:val="00C56A96"/>
    <w:rsid w:val="00C57496"/>
    <w:rsid w:val="00C5792C"/>
    <w:rsid w:val="00C57A3B"/>
    <w:rsid w:val="00C57FB0"/>
    <w:rsid w:val="00C604E1"/>
    <w:rsid w:val="00C6057C"/>
    <w:rsid w:val="00C6097A"/>
    <w:rsid w:val="00C61395"/>
    <w:rsid w:val="00C61653"/>
    <w:rsid w:val="00C617CE"/>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A5D"/>
    <w:rsid w:val="00C72DA3"/>
    <w:rsid w:val="00C72E57"/>
    <w:rsid w:val="00C73C4C"/>
    <w:rsid w:val="00C73E3F"/>
    <w:rsid w:val="00C74A8F"/>
    <w:rsid w:val="00C74AF6"/>
    <w:rsid w:val="00C74C09"/>
    <w:rsid w:val="00C7576B"/>
    <w:rsid w:val="00C758AD"/>
    <w:rsid w:val="00C75A21"/>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C16"/>
    <w:rsid w:val="00C84E65"/>
    <w:rsid w:val="00C85547"/>
    <w:rsid w:val="00C865B0"/>
    <w:rsid w:val="00C86FC5"/>
    <w:rsid w:val="00C8711F"/>
    <w:rsid w:val="00C87606"/>
    <w:rsid w:val="00C87CDC"/>
    <w:rsid w:val="00C90016"/>
    <w:rsid w:val="00C90CBB"/>
    <w:rsid w:val="00C90D6B"/>
    <w:rsid w:val="00C90E03"/>
    <w:rsid w:val="00C91FCE"/>
    <w:rsid w:val="00C92272"/>
    <w:rsid w:val="00C9281E"/>
    <w:rsid w:val="00C93365"/>
    <w:rsid w:val="00C93501"/>
    <w:rsid w:val="00C938C3"/>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6575"/>
    <w:rsid w:val="00CA657B"/>
    <w:rsid w:val="00CA6A98"/>
    <w:rsid w:val="00CA6C3F"/>
    <w:rsid w:val="00CA6F1F"/>
    <w:rsid w:val="00CA7063"/>
    <w:rsid w:val="00CA7165"/>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DB"/>
    <w:rsid w:val="00CC0EBF"/>
    <w:rsid w:val="00CC10EE"/>
    <w:rsid w:val="00CC179B"/>
    <w:rsid w:val="00CC18FD"/>
    <w:rsid w:val="00CC19E6"/>
    <w:rsid w:val="00CC1F9E"/>
    <w:rsid w:val="00CC2109"/>
    <w:rsid w:val="00CC2388"/>
    <w:rsid w:val="00CC29C0"/>
    <w:rsid w:val="00CC2A82"/>
    <w:rsid w:val="00CC2DE0"/>
    <w:rsid w:val="00CC2DFA"/>
    <w:rsid w:val="00CC32B2"/>
    <w:rsid w:val="00CC32EA"/>
    <w:rsid w:val="00CC34DC"/>
    <w:rsid w:val="00CC3784"/>
    <w:rsid w:val="00CC3ADB"/>
    <w:rsid w:val="00CC3E4C"/>
    <w:rsid w:val="00CC3F4A"/>
    <w:rsid w:val="00CC4366"/>
    <w:rsid w:val="00CC43BF"/>
    <w:rsid w:val="00CC4527"/>
    <w:rsid w:val="00CC46D1"/>
    <w:rsid w:val="00CC48C7"/>
    <w:rsid w:val="00CC4EE9"/>
    <w:rsid w:val="00CC51A6"/>
    <w:rsid w:val="00CC51B3"/>
    <w:rsid w:val="00CC51B7"/>
    <w:rsid w:val="00CC534C"/>
    <w:rsid w:val="00CC5671"/>
    <w:rsid w:val="00CC58FA"/>
    <w:rsid w:val="00CC5A9E"/>
    <w:rsid w:val="00CC5AA3"/>
    <w:rsid w:val="00CC5CAB"/>
    <w:rsid w:val="00CC6372"/>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A46"/>
    <w:rsid w:val="00CD2C52"/>
    <w:rsid w:val="00CD2FFA"/>
    <w:rsid w:val="00CD3051"/>
    <w:rsid w:val="00CD310F"/>
    <w:rsid w:val="00CD341E"/>
    <w:rsid w:val="00CD348B"/>
    <w:rsid w:val="00CD39C5"/>
    <w:rsid w:val="00CD3D41"/>
    <w:rsid w:val="00CD41AD"/>
    <w:rsid w:val="00CD422E"/>
    <w:rsid w:val="00CD44A5"/>
    <w:rsid w:val="00CD4B7E"/>
    <w:rsid w:val="00CD4D65"/>
    <w:rsid w:val="00CD4E59"/>
    <w:rsid w:val="00CD5024"/>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FB2"/>
    <w:rsid w:val="00CE03D2"/>
    <w:rsid w:val="00CE064F"/>
    <w:rsid w:val="00CE0968"/>
    <w:rsid w:val="00CE0E74"/>
    <w:rsid w:val="00CE1926"/>
    <w:rsid w:val="00CE1A01"/>
    <w:rsid w:val="00CE2A8C"/>
    <w:rsid w:val="00CE2EE5"/>
    <w:rsid w:val="00CE3232"/>
    <w:rsid w:val="00CE34E2"/>
    <w:rsid w:val="00CE456B"/>
    <w:rsid w:val="00CE46D7"/>
    <w:rsid w:val="00CE55F4"/>
    <w:rsid w:val="00CE570C"/>
    <w:rsid w:val="00CE575C"/>
    <w:rsid w:val="00CE57FD"/>
    <w:rsid w:val="00CE58F6"/>
    <w:rsid w:val="00CE5900"/>
    <w:rsid w:val="00CE5A7F"/>
    <w:rsid w:val="00CE5F80"/>
    <w:rsid w:val="00CE6740"/>
    <w:rsid w:val="00CE6B11"/>
    <w:rsid w:val="00CE6CD0"/>
    <w:rsid w:val="00CE6DD3"/>
    <w:rsid w:val="00CE711F"/>
    <w:rsid w:val="00CE7372"/>
    <w:rsid w:val="00CE7698"/>
    <w:rsid w:val="00CE7801"/>
    <w:rsid w:val="00CE798C"/>
    <w:rsid w:val="00CE7EA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EE3"/>
    <w:rsid w:val="00CF4195"/>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0B4E"/>
    <w:rsid w:val="00D115B9"/>
    <w:rsid w:val="00D115E0"/>
    <w:rsid w:val="00D115FC"/>
    <w:rsid w:val="00D11839"/>
    <w:rsid w:val="00D119C3"/>
    <w:rsid w:val="00D11A5F"/>
    <w:rsid w:val="00D11B2C"/>
    <w:rsid w:val="00D11D80"/>
    <w:rsid w:val="00D12133"/>
    <w:rsid w:val="00D12318"/>
    <w:rsid w:val="00D126AB"/>
    <w:rsid w:val="00D12777"/>
    <w:rsid w:val="00D12BDB"/>
    <w:rsid w:val="00D12F76"/>
    <w:rsid w:val="00D133AE"/>
    <w:rsid w:val="00D13665"/>
    <w:rsid w:val="00D13C40"/>
    <w:rsid w:val="00D13C48"/>
    <w:rsid w:val="00D13D9D"/>
    <w:rsid w:val="00D145CF"/>
    <w:rsid w:val="00D14A32"/>
    <w:rsid w:val="00D14AFD"/>
    <w:rsid w:val="00D14EED"/>
    <w:rsid w:val="00D152A0"/>
    <w:rsid w:val="00D155FC"/>
    <w:rsid w:val="00D15786"/>
    <w:rsid w:val="00D15F6B"/>
    <w:rsid w:val="00D1655D"/>
    <w:rsid w:val="00D168C4"/>
    <w:rsid w:val="00D16CDA"/>
    <w:rsid w:val="00D17551"/>
    <w:rsid w:val="00D2026C"/>
    <w:rsid w:val="00D20292"/>
    <w:rsid w:val="00D20B14"/>
    <w:rsid w:val="00D21644"/>
    <w:rsid w:val="00D2182C"/>
    <w:rsid w:val="00D218EC"/>
    <w:rsid w:val="00D219DD"/>
    <w:rsid w:val="00D2290B"/>
    <w:rsid w:val="00D22CFD"/>
    <w:rsid w:val="00D22D45"/>
    <w:rsid w:val="00D22FCB"/>
    <w:rsid w:val="00D23251"/>
    <w:rsid w:val="00D233E5"/>
    <w:rsid w:val="00D23C82"/>
    <w:rsid w:val="00D23E34"/>
    <w:rsid w:val="00D23EB1"/>
    <w:rsid w:val="00D24371"/>
    <w:rsid w:val="00D248C1"/>
    <w:rsid w:val="00D24E54"/>
    <w:rsid w:val="00D2502F"/>
    <w:rsid w:val="00D251C5"/>
    <w:rsid w:val="00D2534E"/>
    <w:rsid w:val="00D2584E"/>
    <w:rsid w:val="00D25AC8"/>
    <w:rsid w:val="00D25CC4"/>
    <w:rsid w:val="00D25EBA"/>
    <w:rsid w:val="00D2618B"/>
    <w:rsid w:val="00D26A29"/>
    <w:rsid w:val="00D26BF2"/>
    <w:rsid w:val="00D26E1C"/>
    <w:rsid w:val="00D26F8C"/>
    <w:rsid w:val="00D270A3"/>
    <w:rsid w:val="00D271FD"/>
    <w:rsid w:val="00D27FE2"/>
    <w:rsid w:val="00D30695"/>
    <w:rsid w:val="00D306AD"/>
    <w:rsid w:val="00D3086C"/>
    <w:rsid w:val="00D30CF2"/>
    <w:rsid w:val="00D30DF1"/>
    <w:rsid w:val="00D30EDB"/>
    <w:rsid w:val="00D312E1"/>
    <w:rsid w:val="00D31551"/>
    <w:rsid w:val="00D31693"/>
    <w:rsid w:val="00D31B2D"/>
    <w:rsid w:val="00D31DC0"/>
    <w:rsid w:val="00D31F89"/>
    <w:rsid w:val="00D31FDE"/>
    <w:rsid w:val="00D32285"/>
    <w:rsid w:val="00D3298C"/>
    <w:rsid w:val="00D32A3B"/>
    <w:rsid w:val="00D32A51"/>
    <w:rsid w:val="00D32BAF"/>
    <w:rsid w:val="00D32DB7"/>
    <w:rsid w:val="00D32F1F"/>
    <w:rsid w:val="00D3311A"/>
    <w:rsid w:val="00D334A9"/>
    <w:rsid w:val="00D33589"/>
    <w:rsid w:val="00D336A4"/>
    <w:rsid w:val="00D3370F"/>
    <w:rsid w:val="00D33BAB"/>
    <w:rsid w:val="00D33C2D"/>
    <w:rsid w:val="00D33C52"/>
    <w:rsid w:val="00D33FA7"/>
    <w:rsid w:val="00D34191"/>
    <w:rsid w:val="00D34261"/>
    <w:rsid w:val="00D346F4"/>
    <w:rsid w:val="00D34B78"/>
    <w:rsid w:val="00D34C67"/>
    <w:rsid w:val="00D34E8C"/>
    <w:rsid w:val="00D34F3B"/>
    <w:rsid w:val="00D352D0"/>
    <w:rsid w:val="00D35356"/>
    <w:rsid w:val="00D3556B"/>
    <w:rsid w:val="00D3571C"/>
    <w:rsid w:val="00D35A0D"/>
    <w:rsid w:val="00D3686E"/>
    <w:rsid w:val="00D36A3D"/>
    <w:rsid w:val="00D36AC5"/>
    <w:rsid w:val="00D36D57"/>
    <w:rsid w:val="00D37113"/>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3C4A"/>
    <w:rsid w:val="00D4428E"/>
    <w:rsid w:val="00D44936"/>
    <w:rsid w:val="00D44CF2"/>
    <w:rsid w:val="00D44E94"/>
    <w:rsid w:val="00D451EC"/>
    <w:rsid w:val="00D453DF"/>
    <w:rsid w:val="00D46209"/>
    <w:rsid w:val="00D465F4"/>
    <w:rsid w:val="00D468F0"/>
    <w:rsid w:val="00D4696F"/>
    <w:rsid w:val="00D46B80"/>
    <w:rsid w:val="00D46C12"/>
    <w:rsid w:val="00D46CD0"/>
    <w:rsid w:val="00D46D39"/>
    <w:rsid w:val="00D47901"/>
    <w:rsid w:val="00D50402"/>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7D3"/>
    <w:rsid w:val="00D5482E"/>
    <w:rsid w:val="00D54877"/>
    <w:rsid w:val="00D548C8"/>
    <w:rsid w:val="00D552B7"/>
    <w:rsid w:val="00D553F1"/>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12C8"/>
    <w:rsid w:val="00D617E6"/>
    <w:rsid w:val="00D61A65"/>
    <w:rsid w:val="00D61B30"/>
    <w:rsid w:val="00D61FA4"/>
    <w:rsid w:val="00D6249C"/>
    <w:rsid w:val="00D62561"/>
    <w:rsid w:val="00D62659"/>
    <w:rsid w:val="00D626DD"/>
    <w:rsid w:val="00D6325A"/>
    <w:rsid w:val="00D632E3"/>
    <w:rsid w:val="00D63346"/>
    <w:rsid w:val="00D636C6"/>
    <w:rsid w:val="00D6379C"/>
    <w:rsid w:val="00D63E3E"/>
    <w:rsid w:val="00D642E5"/>
    <w:rsid w:val="00D64A73"/>
    <w:rsid w:val="00D64BB2"/>
    <w:rsid w:val="00D64E06"/>
    <w:rsid w:val="00D65096"/>
    <w:rsid w:val="00D65547"/>
    <w:rsid w:val="00D65649"/>
    <w:rsid w:val="00D65CD6"/>
    <w:rsid w:val="00D65D32"/>
    <w:rsid w:val="00D65F77"/>
    <w:rsid w:val="00D66862"/>
    <w:rsid w:val="00D66A39"/>
    <w:rsid w:val="00D66BAB"/>
    <w:rsid w:val="00D66C2B"/>
    <w:rsid w:val="00D66CCF"/>
    <w:rsid w:val="00D66CDC"/>
    <w:rsid w:val="00D67153"/>
    <w:rsid w:val="00D672BB"/>
    <w:rsid w:val="00D673DB"/>
    <w:rsid w:val="00D6779F"/>
    <w:rsid w:val="00D67E63"/>
    <w:rsid w:val="00D7044C"/>
    <w:rsid w:val="00D7063F"/>
    <w:rsid w:val="00D70BD2"/>
    <w:rsid w:val="00D70EE8"/>
    <w:rsid w:val="00D70EED"/>
    <w:rsid w:val="00D71094"/>
    <w:rsid w:val="00D7154E"/>
    <w:rsid w:val="00D71BC5"/>
    <w:rsid w:val="00D71E70"/>
    <w:rsid w:val="00D72347"/>
    <w:rsid w:val="00D727B2"/>
    <w:rsid w:val="00D727DA"/>
    <w:rsid w:val="00D736D5"/>
    <w:rsid w:val="00D737A3"/>
    <w:rsid w:val="00D7396F"/>
    <w:rsid w:val="00D73B80"/>
    <w:rsid w:val="00D740C4"/>
    <w:rsid w:val="00D74598"/>
    <w:rsid w:val="00D74612"/>
    <w:rsid w:val="00D746F9"/>
    <w:rsid w:val="00D74ABF"/>
    <w:rsid w:val="00D758E0"/>
    <w:rsid w:val="00D7592C"/>
    <w:rsid w:val="00D75945"/>
    <w:rsid w:val="00D75D87"/>
    <w:rsid w:val="00D75D8F"/>
    <w:rsid w:val="00D76003"/>
    <w:rsid w:val="00D76069"/>
    <w:rsid w:val="00D760AA"/>
    <w:rsid w:val="00D762F8"/>
    <w:rsid w:val="00D76678"/>
    <w:rsid w:val="00D766D5"/>
    <w:rsid w:val="00D76BA0"/>
    <w:rsid w:val="00D76DD5"/>
    <w:rsid w:val="00D76E23"/>
    <w:rsid w:val="00D76ED9"/>
    <w:rsid w:val="00D77000"/>
    <w:rsid w:val="00D773C7"/>
    <w:rsid w:val="00D776AF"/>
    <w:rsid w:val="00D7784B"/>
    <w:rsid w:val="00D77D08"/>
    <w:rsid w:val="00D80574"/>
    <w:rsid w:val="00D806F7"/>
    <w:rsid w:val="00D8088E"/>
    <w:rsid w:val="00D80961"/>
    <w:rsid w:val="00D80A5B"/>
    <w:rsid w:val="00D80D61"/>
    <w:rsid w:val="00D80FC0"/>
    <w:rsid w:val="00D81383"/>
    <w:rsid w:val="00D81416"/>
    <w:rsid w:val="00D81544"/>
    <w:rsid w:val="00D81613"/>
    <w:rsid w:val="00D81622"/>
    <w:rsid w:val="00D81DCA"/>
    <w:rsid w:val="00D8212F"/>
    <w:rsid w:val="00D8220B"/>
    <w:rsid w:val="00D82CB1"/>
    <w:rsid w:val="00D82D7C"/>
    <w:rsid w:val="00D82F4E"/>
    <w:rsid w:val="00D8319E"/>
    <w:rsid w:val="00D83C67"/>
    <w:rsid w:val="00D83CBE"/>
    <w:rsid w:val="00D83E76"/>
    <w:rsid w:val="00D8423C"/>
    <w:rsid w:val="00D846A6"/>
    <w:rsid w:val="00D848A1"/>
    <w:rsid w:val="00D84DF6"/>
    <w:rsid w:val="00D84E92"/>
    <w:rsid w:val="00D850B9"/>
    <w:rsid w:val="00D856D2"/>
    <w:rsid w:val="00D85A0E"/>
    <w:rsid w:val="00D85EE0"/>
    <w:rsid w:val="00D862FC"/>
    <w:rsid w:val="00D866AC"/>
    <w:rsid w:val="00D86A89"/>
    <w:rsid w:val="00D86D49"/>
    <w:rsid w:val="00D87495"/>
    <w:rsid w:val="00D87724"/>
    <w:rsid w:val="00D87890"/>
    <w:rsid w:val="00D879F4"/>
    <w:rsid w:val="00D87D1A"/>
    <w:rsid w:val="00D87DE5"/>
    <w:rsid w:val="00D87E2C"/>
    <w:rsid w:val="00D90272"/>
    <w:rsid w:val="00D903AC"/>
    <w:rsid w:val="00D90F3C"/>
    <w:rsid w:val="00D90F58"/>
    <w:rsid w:val="00D914A5"/>
    <w:rsid w:val="00D9162C"/>
    <w:rsid w:val="00D91740"/>
    <w:rsid w:val="00D91796"/>
    <w:rsid w:val="00D9187B"/>
    <w:rsid w:val="00D9215A"/>
    <w:rsid w:val="00D92442"/>
    <w:rsid w:val="00D92924"/>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B0F"/>
    <w:rsid w:val="00D96140"/>
    <w:rsid w:val="00D96254"/>
    <w:rsid w:val="00D962FB"/>
    <w:rsid w:val="00D963B1"/>
    <w:rsid w:val="00D964FB"/>
    <w:rsid w:val="00D965E3"/>
    <w:rsid w:val="00D96B09"/>
    <w:rsid w:val="00D96B2C"/>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703"/>
    <w:rsid w:val="00DA2A03"/>
    <w:rsid w:val="00DA2C55"/>
    <w:rsid w:val="00DA327A"/>
    <w:rsid w:val="00DA3342"/>
    <w:rsid w:val="00DA3379"/>
    <w:rsid w:val="00DA343F"/>
    <w:rsid w:val="00DA3805"/>
    <w:rsid w:val="00DA3D5D"/>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B00E7"/>
    <w:rsid w:val="00DB0377"/>
    <w:rsid w:val="00DB0541"/>
    <w:rsid w:val="00DB080E"/>
    <w:rsid w:val="00DB0A19"/>
    <w:rsid w:val="00DB0BEA"/>
    <w:rsid w:val="00DB0C6B"/>
    <w:rsid w:val="00DB114E"/>
    <w:rsid w:val="00DB115F"/>
    <w:rsid w:val="00DB131A"/>
    <w:rsid w:val="00DB149D"/>
    <w:rsid w:val="00DB172A"/>
    <w:rsid w:val="00DB1827"/>
    <w:rsid w:val="00DB1D36"/>
    <w:rsid w:val="00DB223F"/>
    <w:rsid w:val="00DB25F4"/>
    <w:rsid w:val="00DB29FB"/>
    <w:rsid w:val="00DB2EAE"/>
    <w:rsid w:val="00DB2F5D"/>
    <w:rsid w:val="00DB3141"/>
    <w:rsid w:val="00DB31AF"/>
    <w:rsid w:val="00DB338C"/>
    <w:rsid w:val="00DB362C"/>
    <w:rsid w:val="00DB3A08"/>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938"/>
    <w:rsid w:val="00DC4B2A"/>
    <w:rsid w:val="00DC4DC0"/>
    <w:rsid w:val="00DC51FA"/>
    <w:rsid w:val="00DC5895"/>
    <w:rsid w:val="00DC5BD7"/>
    <w:rsid w:val="00DC61F8"/>
    <w:rsid w:val="00DC6A8F"/>
    <w:rsid w:val="00DC6BC2"/>
    <w:rsid w:val="00DC6C92"/>
    <w:rsid w:val="00DC6D18"/>
    <w:rsid w:val="00DC7C0D"/>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7BC"/>
    <w:rsid w:val="00DD58A5"/>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2159"/>
    <w:rsid w:val="00DE2652"/>
    <w:rsid w:val="00DE2CBB"/>
    <w:rsid w:val="00DE33A7"/>
    <w:rsid w:val="00DE3413"/>
    <w:rsid w:val="00DE3469"/>
    <w:rsid w:val="00DE354A"/>
    <w:rsid w:val="00DE3D5F"/>
    <w:rsid w:val="00DE3F63"/>
    <w:rsid w:val="00DE41DD"/>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B8F"/>
    <w:rsid w:val="00DE7F20"/>
    <w:rsid w:val="00DE7FC3"/>
    <w:rsid w:val="00DF0414"/>
    <w:rsid w:val="00DF04B9"/>
    <w:rsid w:val="00DF0726"/>
    <w:rsid w:val="00DF0A21"/>
    <w:rsid w:val="00DF1297"/>
    <w:rsid w:val="00DF1425"/>
    <w:rsid w:val="00DF15E6"/>
    <w:rsid w:val="00DF19DE"/>
    <w:rsid w:val="00DF1E20"/>
    <w:rsid w:val="00DF2067"/>
    <w:rsid w:val="00DF2216"/>
    <w:rsid w:val="00DF25F2"/>
    <w:rsid w:val="00DF2DA7"/>
    <w:rsid w:val="00DF3875"/>
    <w:rsid w:val="00DF3DFF"/>
    <w:rsid w:val="00DF3E44"/>
    <w:rsid w:val="00DF4858"/>
    <w:rsid w:val="00DF49DF"/>
    <w:rsid w:val="00DF4A93"/>
    <w:rsid w:val="00DF4E1C"/>
    <w:rsid w:val="00DF4EF8"/>
    <w:rsid w:val="00DF5ABD"/>
    <w:rsid w:val="00DF5E65"/>
    <w:rsid w:val="00DF612F"/>
    <w:rsid w:val="00DF6260"/>
    <w:rsid w:val="00DF6271"/>
    <w:rsid w:val="00DF658D"/>
    <w:rsid w:val="00DF6925"/>
    <w:rsid w:val="00DF69A4"/>
    <w:rsid w:val="00DF6E3B"/>
    <w:rsid w:val="00DF7066"/>
    <w:rsid w:val="00DF725E"/>
    <w:rsid w:val="00DF74B8"/>
    <w:rsid w:val="00DF75F7"/>
    <w:rsid w:val="00DF7A0E"/>
    <w:rsid w:val="00DF7B98"/>
    <w:rsid w:val="00DF7BE8"/>
    <w:rsid w:val="00DF7C10"/>
    <w:rsid w:val="00DF7FEC"/>
    <w:rsid w:val="00E00150"/>
    <w:rsid w:val="00E00172"/>
    <w:rsid w:val="00E003CA"/>
    <w:rsid w:val="00E006A2"/>
    <w:rsid w:val="00E00708"/>
    <w:rsid w:val="00E008FF"/>
    <w:rsid w:val="00E00B3F"/>
    <w:rsid w:val="00E00C02"/>
    <w:rsid w:val="00E00E84"/>
    <w:rsid w:val="00E0138F"/>
    <w:rsid w:val="00E021F1"/>
    <w:rsid w:val="00E02B20"/>
    <w:rsid w:val="00E02B40"/>
    <w:rsid w:val="00E02E59"/>
    <w:rsid w:val="00E03902"/>
    <w:rsid w:val="00E03981"/>
    <w:rsid w:val="00E03A12"/>
    <w:rsid w:val="00E03C0E"/>
    <w:rsid w:val="00E04078"/>
    <w:rsid w:val="00E04382"/>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E53"/>
    <w:rsid w:val="00E1001E"/>
    <w:rsid w:val="00E10267"/>
    <w:rsid w:val="00E1029C"/>
    <w:rsid w:val="00E10778"/>
    <w:rsid w:val="00E1077F"/>
    <w:rsid w:val="00E10A52"/>
    <w:rsid w:val="00E110B0"/>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D69"/>
    <w:rsid w:val="00E14ECE"/>
    <w:rsid w:val="00E15034"/>
    <w:rsid w:val="00E1526A"/>
    <w:rsid w:val="00E152E0"/>
    <w:rsid w:val="00E153B7"/>
    <w:rsid w:val="00E15660"/>
    <w:rsid w:val="00E16A49"/>
    <w:rsid w:val="00E16DD7"/>
    <w:rsid w:val="00E17617"/>
    <w:rsid w:val="00E176F3"/>
    <w:rsid w:val="00E17E94"/>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20D1"/>
    <w:rsid w:val="00E2328C"/>
    <w:rsid w:val="00E233FB"/>
    <w:rsid w:val="00E235FA"/>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54A"/>
    <w:rsid w:val="00E27A31"/>
    <w:rsid w:val="00E27D3A"/>
    <w:rsid w:val="00E27F60"/>
    <w:rsid w:val="00E27FB3"/>
    <w:rsid w:val="00E30596"/>
    <w:rsid w:val="00E30924"/>
    <w:rsid w:val="00E30B9A"/>
    <w:rsid w:val="00E30ED6"/>
    <w:rsid w:val="00E30F78"/>
    <w:rsid w:val="00E310C4"/>
    <w:rsid w:val="00E31354"/>
    <w:rsid w:val="00E313E2"/>
    <w:rsid w:val="00E3167D"/>
    <w:rsid w:val="00E316B3"/>
    <w:rsid w:val="00E31BC3"/>
    <w:rsid w:val="00E32B6C"/>
    <w:rsid w:val="00E32F22"/>
    <w:rsid w:val="00E33B14"/>
    <w:rsid w:val="00E3407B"/>
    <w:rsid w:val="00E3411E"/>
    <w:rsid w:val="00E34122"/>
    <w:rsid w:val="00E3413A"/>
    <w:rsid w:val="00E34891"/>
    <w:rsid w:val="00E348B4"/>
    <w:rsid w:val="00E353F9"/>
    <w:rsid w:val="00E35467"/>
    <w:rsid w:val="00E359BE"/>
    <w:rsid w:val="00E35ABD"/>
    <w:rsid w:val="00E35AFB"/>
    <w:rsid w:val="00E35EC6"/>
    <w:rsid w:val="00E35FA0"/>
    <w:rsid w:val="00E365FC"/>
    <w:rsid w:val="00E367E3"/>
    <w:rsid w:val="00E36859"/>
    <w:rsid w:val="00E36CF8"/>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C49"/>
    <w:rsid w:val="00E43C50"/>
    <w:rsid w:val="00E43C92"/>
    <w:rsid w:val="00E43CF6"/>
    <w:rsid w:val="00E4423F"/>
    <w:rsid w:val="00E442DC"/>
    <w:rsid w:val="00E44679"/>
    <w:rsid w:val="00E44AE1"/>
    <w:rsid w:val="00E44F6D"/>
    <w:rsid w:val="00E450E4"/>
    <w:rsid w:val="00E45256"/>
    <w:rsid w:val="00E452FC"/>
    <w:rsid w:val="00E45893"/>
    <w:rsid w:val="00E46579"/>
    <w:rsid w:val="00E46679"/>
    <w:rsid w:val="00E46E4E"/>
    <w:rsid w:val="00E472D0"/>
    <w:rsid w:val="00E475FE"/>
    <w:rsid w:val="00E47962"/>
    <w:rsid w:val="00E47BD9"/>
    <w:rsid w:val="00E47C83"/>
    <w:rsid w:val="00E47FD1"/>
    <w:rsid w:val="00E50152"/>
    <w:rsid w:val="00E50282"/>
    <w:rsid w:val="00E50342"/>
    <w:rsid w:val="00E503FA"/>
    <w:rsid w:val="00E506D0"/>
    <w:rsid w:val="00E508E0"/>
    <w:rsid w:val="00E50D82"/>
    <w:rsid w:val="00E511B9"/>
    <w:rsid w:val="00E512C5"/>
    <w:rsid w:val="00E515A9"/>
    <w:rsid w:val="00E5168B"/>
    <w:rsid w:val="00E51A6E"/>
    <w:rsid w:val="00E51D4A"/>
    <w:rsid w:val="00E51DC6"/>
    <w:rsid w:val="00E525AF"/>
    <w:rsid w:val="00E5284F"/>
    <w:rsid w:val="00E532A6"/>
    <w:rsid w:val="00E533AE"/>
    <w:rsid w:val="00E534A0"/>
    <w:rsid w:val="00E53B09"/>
    <w:rsid w:val="00E540EB"/>
    <w:rsid w:val="00E5425B"/>
    <w:rsid w:val="00E545B0"/>
    <w:rsid w:val="00E545E8"/>
    <w:rsid w:val="00E546E3"/>
    <w:rsid w:val="00E54723"/>
    <w:rsid w:val="00E54E72"/>
    <w:rsid w:val="00E55288"/>
    <w:rsid w:val="00E5537A"/>
    <w:rsid w:val="00E55876"/>
    <w:rsid w:val="00E55892"/>
    <w:rsid w:val="00E55ACC"/>
    <w:rsid w:val="00E55C01"/>
    <w:rsid w:val="00E5679B"/>
    <w:rsid w:val="00E568F4"/>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706"/>
    <w:rsid w:val="00E6292C"/>
    <w:rsid w:val="00E62AF3"/>
    <w:rsid w:val="00E63253"/>
    <w:rsid w:val="00E63507"/>
    <w:rsid w:val="00E63825"/>
    <w:rsid w:val="00E63AA3"/>
    <w:rsid w:val="00E63E5E"/>
    <w:rsid w:val="00E645A8"/>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77909"/>
    <w:rsid w:val="00E77E16"/>
    <w:rsid w:val="00E80061"/>
    <w:rsid w:val="00E801D1"/>
    <w:rsid w:val="00E805E6"/>
    <w:rsid w:val="00E806A8"/>
    <w:rsid w:val="00E8072D"/>
    <w:rsid w:val="00E808F3"/>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E0C"/>
    <w:rsid w:val="00E85EF1"/>
    <w:rsid w:val="00E8613E"/>
    <w:rsid w:val="00E8661B"/>
    <w:rsid w:val="00E868C2"/>
    <w:rsid w:val="00E86B55"/>
    <w:rsid w:val="00E8703E"/>
    <w:rsid w:val="00E87234"/>
    <w:rsid w:val="00E87601"/>
    <w:rsid w:val="00E87CB0"/>
    <w:rsid w:val="00E87D68"/>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BE5"/>
    <w:rsid w:val="00E93FE0"/>
    <w:rsid w:val="00E942D7"/>
    <w:rsid w:val="00E94352"/>
    <w:rsid w:val="00E94788"/>
    <w:rsid w:val="00E94A6F"/>
    <w:rsid w:val="00E94EAA"/>
    <w:rsid w:val="00E94EFB"/>
    <w:rsid w:val="00E94FB8"/>
    <w:rsid w:val="00E95062"/>
    <w:rsid w:val="00E95700"/>
    <w:rsid w:val="00E96916"/>
    <w:rsid w:val="00E96A3F"/>
    <w:rsid w:val="00E96C10"/>
    <w:rsid w:val="00E96E7B"/>
    <w:rsid w:val="00E970EE"/>
    <w:rsid w:val="00E97126"/>
    <w:rsid w:val="00E9787A"/>
    <w:rsid w:val="00E97902"/>
    <w:rsid w:val="00E97C29"/>
    <w:rsid w:val="00EA062E"/>
    <w:rsid w:val="00EA08CD"/>
    <w:rsid w:val="00EA0A3D"/>
    <w:rsid w:val="00EA10A9"/>
    <w:rsid w:val="00EA14EF"/>
    <w:rsid w:val="00EA19AB"/>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9C6"/>
    <w:rsid w:val="00EA5C8E"/>
    <w:rsid w:val="00EA5EB6"/>
    <w:rsid w:val="00EA5FE1"/>
    <w:rsid w:val="00EA60E4"/>
    <w:rsid w:val="00EA6223"/>
    <w:rsid w:val="00EA6268"/>
    <w:rsid w:val="00EA6806"/>
    <w:rsid w:val="00EA694C"/>
    <w:rsid w:val="00EA6954"/>
    <w:rsid w:val="00EA6D9F"/>
    <w:rsid w:val="00EA720C"/>
    <w:rsid w:val="00EA728F"/>
    <w:rsid w:val="00EB0108"/>
    <w:rsid w:val="00EB08CA"/>
    <w:rsid w:val="00EB08D3"/>
    <w:rsid w:val="00EB092B"/>
    <w:rsid w:val="00EB0F1E"/>
    <w:rsid w:val="00EB1170"/>
    <w:rsid w:val="00EB117C"/>
    <w:rsid w:val="00EB1279"/>
    <w:rsid w:val="00EB1760"/>
    <w:rsid w:val="00EB1E0E"/>
    <w:rsid w:val="00EB1F97"/>
    <w:rsid w:val="00EB1FF9"/>
    <w:rsid w:val="00EB2357"/>
    <w:rsid w:val="00EB248B"/>
    <w:rsid w:val="00EB266D"/>
    <w:rsid w:val="00EB2E36"/>
    <w:rsid w:val="00EB3119"/>
    <w:rsid w:val="00EB3D87"/>
    <w:rsid w:val="00EB412F"/>
    <w:rsid w:val="00EB449A"/>
    <w:rsid w:val="00EB4AE0"/>
    <w:rsid w:val="00EB4B62"/>
    <w:rsid w:val="00EB5203"/>
    <w:rsid w:val="00EB55AC"/>
    <w:rsid w:val="00EB5871"/>
    <w:rsid w:val="00EB6016"/>
    <w:rsid w:val="00EB6CF9"/>
    <w:rsid w:val="00EB6EFC"/>
    <w:rsid w:val="00EB7127"/>
    <w:rsid w:val="00EB7286"/>
    <w:rsid w:val="00EB72E3"/>
    <w:rsid w:val="00EB78B2"/>
    <w:rsid w:val="00EB7CE7"/>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7AA"/>
    <w:rsid w:val="00ED0919"/>
    <w:rsid w:val="00ED0BA3"/>
    <w:rsid w:val="00ED0D87"/>
    <w:rsid w:val="00ED13E3"/>
    <w:rsid w:val="00ED184D"/>
    <w:rsid w:val="00ED1A39"/>
    <w:rsid w:val="00ED1B92"/>
    <w:rsid w:val="00ED1D4C"/>
    <w:rsid w:val="00ED2423"/>
    <w:rsid w:val="00ED2493"/>
    <w:rsid w:val="00ED296F"/>
    <w:rsid w:val="00ED2BCB"/>
    <w:rsid w:val="00ED2D8A"/>
    <w:rsid w:val="00ED3164"/>
    <w:rsid w:val="00ED34E4"/>
    <w:rsid w:val="00ED3742"/>
    <w:rsid w:val="00ED386A"/>
    <w:rsid w:val="00ED3993"/>
    <w:rsid w:val="00ED3E7A"/>
    <w:rsid w:val="00ED4158"/>
    <w:rsid w:val="00ED44A6"/>
    <w:rsid w:val="00ED4C6B"/>
    <w:rsid w:val="00ED4E39"/>
    <w:rsid w:val="00ED536E"/>
    <w:rsid w:val="00ED5966"/>
    <w:rsid w:val="00ED648C"/>
    <w:rsid w:val="00ED648D"/>
    <w:rsid w:val="00ED66D5"/>
    <w:rsid w:val="00ED6756"/>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5AC"/>
    <w:rsid w:val="00EE2779"/>
    <w:rsid w:val="00EE2919"/>
    <w:rsid w:val="00EE2AB5"/>
    <w:rsid w:val="00EE2DCE"/>
    <w:rsid w:val="00EE34B7"/>
    <w:rsid w:val="00EE36AB"/>
    <w:rsid w:val="00EE3A8F"/>
    <w:rsid w:val="00EE3C13"/>
    <w:rsid w:val="00EE408B"/>
    <w:rsid w:val="00EE4242"/>
    <w:rsid w:val="00EE4339"/>
    <w:rsid w:val="00EE44E4"/>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FB2"/>
    <w:rsid w:val="00EF1129"/>
    <w:rsid w:val="00EF142A"/>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4D"/>
    <w:rsid w:val="00F06698"/>
    <w:rsid w:val="00F068E6"/>
    <w:rsid w:val="00F06BAD"/>
    <w:rsid w:val="00F06C82"/>
    <w:rsid w:val="00F06F4C"/>
    <w:rsid w:val="00F07475"/>
    <w:rsid w:val="00F0763D"/>
    <w:rsid w:val="00F079B3"/>
    <w:rsid w:val="00F07C82"/>
    <w:rsid w:val="00F07FB6"/>
    <w:rsid w:val="00F10059"/>
    <w:rsid w:val="00F10963"/>
    <w:rsid w:val="00F11CEA"/>
    <w:rsid w:val="00F11FD3"/>
    <w:rsid w:val="00F120DA"/>
    <w:rsid w:val="00F12108"/>
    <w:rsid w:val="00F122E9"/>
    <w:rsid w:val="00F123E4"/>
    <w:rsid w:val="00F12CAC"/>
    <w:rsid w:val="00F12F35"/>
    <w:rsid w:val="00F12FC6"/>
    <w:rsid w:val="00F133FD"/>
    <w:rsid w:val="00F134AB"/>
    <w:rsid w:val="00F13D23"/>
    <w:rsid w:val="00F14421"/>
    <w:rsid w:val="00F14859"/>
    <w:rsid w:val="00F14B99"/>
    <w:rsid w:val="00F14F77"/>
    <w:rsid w:val="00F15159"/>
    <w:rsid w:val="00F15288"/>
    <w:rsid w:val="00F1539B"/>
    <w:rsid w:val="00F15671"/>
    <w:rsid w:val="00F15773"/>
    <w:rsid w:val="00F15A7E"/>
    <w:rsid w:val="00F15C15"/>
    <w:rsid w:val="00F15C64"/>
    <w:rsid w:val="00F160D7"/>
    <w:rsid w:val="00F16384"/>
    <w:rsid w:val="00F16906"/>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F37"/>
    <w:rsid w:val="00F23009"/>
    <w:rsid w:val="00F230C1"/>
    <w:rsid w:val="00F23279"/>
    <w:rsid w:val="00F23E90"/>
    <w:rsid w:val="00F23F67"/>
    <w:rsid w:val="00F24066"/>
    <w:rsid w:val="00F242CA"/>
    <w:rsid w:val="00F2486B"/>
    <w:rsid w:val="00F24E8F"/>
    <w:rsid w:val="00F24F3E"/>
    <w:rsid w:val="00F2507B"/>
    <w:rsid w:val="00F252E3"/>
    <w:rsid w:val="00F25758"/>
    <w:rsid w:val="00F258E5"/>
    <w:rsid w:val="00F25A0B"/>
    <w:rsid w:val="00F25A2A"/>
    <w:rsid w:val="00F25D90"/>
    <w:rsid w:val="00F260F3"/>
    <w:rsid w:val="00F26554"/>
    <w:rsid w:val="00F2668B"/>
    <w:rsid w:val="00F269C6"/>
    <w:rsid w:val="00F269DC"/>
    <w:rsid w:val="00F26BBE"/>
    <w:rsid w:val="00F26C13"/>
    <w:rsid w:val="00F26C68"/>
    <w:rsid w:val="00F26D6A"/>
    <w:rsid w:val="00F26F81"/>
    <w:rsid w:val="00F270EA"/>
    <w:rsid w:val="00F272E0"/>
    <w:rsid w:val="00F273DF"/>
    <w:rsid w:val="00F3020D"/>
    <w:rsid w:val="00F30B4E"/>
    <w:rsid w:val="00F30DDE"/>
    <w:rsid w:val="00F3128D"/>
    <w:rsid w:val="00F314F2"/>
    <w:rsid w:val="00F31AA2"/>
    <w:rsid w:val="00F31B7D"/>
    <w:rsid w:val="00F31CF5"/>
    <w:rsid w:val="00F31D88"/>
    <w:rsid w:val="00F3229E"/>
    <w:rsid w:val="00F32304"/>
    <w:rsid w:val="00F3267E"/>
    <w:rsid w:val="00F32682"/>
    <w:rsid w:val="00F32ACF"/>
    <w:rsid w:val="00F32B2A"/>
    <w:rsid w:val="00F32CDF"/>
    <w:rsid w:val="00F32D97"/>
    <w:rsid w:val="00F32ED5"/>
    <w:rsid w:val="00F33629"/>
    <w:rsid w:val="00F336F8"/>
    <w:rsid w:val="00F339A9"/>
    <w:rsid w:val="00F33A9B"/>
    <w:rsid w:val="00F33F17"/>
    <w:rsid w:val="00F34303"/>
    <w:rsid w:val="00F34B7F"/>
    <w:rsid w:val="00F34F7A"/>
    <w:rsid w:val="00F35014"/>
    <w:rsid w:val="00F35301"/>
    <w:rsid w:val="00F3599F"/>
    <w:rsid w:val="00F35D68"/>
    <w:rsid w:val="00F3616D"/>
    <w:rsid w:val="00F36322"/>
    <w:rsid w:val="00F36797"/>
    <w:rsid w:val="00F369F5"/>
    <w:rsid w:val="00F36C98"/>
    <w:rsid w:val="00F3715C"/>
    <w:rsid w:val="00F372B7"/>
    <w:rsid w:val="00F3767B"/>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D2"/>
    <w:rsid w:val="00F4337F"/>
    <w:rsid w:val="00F4359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0ED9"/>
    <w:rsid w:val="00F5126A"/>
    <w:rsid w:val="00F512FF"/>
    <w:rsid w:val="00F513A5"/>
    <w:rsid w:val="00F513E4"/>
    <w:rsid w:val="00F514AF"/>
    <w:rsid w:val="00F514D8"/>
    <w:rsid w:val="00F51CFC"/>
    <w:rsid w:val="00F51F75"/>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D11"/>
    <w:rsid w:val="00F60140"/>
    <w:rsid w:val="00F60193"/>
    <w:rsid w:val="00F601AD"/>
    <w:rsid w:val="00F6029B"/>
    <w:rsid w:val="00F60511"/>
    <w:rsid w:val="00F61511"/>
    <w:rsid w:val="00F615F2"/>
    <w:rsid w:val="00F61ACF"/>
    <w:rsid w:val="00F6208F"/>
    <w:rsid w:val="00F62226"/>
    <w:rsid w:val="00F623FD"/>
    <w:rsid w:val="00F625D6"/>
    <w:rsid w:val="00F62D87"/>
    <w:rsid w:val="00F63807"/>
    <w:rsid w:val="00F63948"/>
    <w:rsid w:val="00F63AF7"/>
    <w:rsid w:val="00F63CD4"/>
    <w:rsid w:val="00F63D4B"/>
    <w:rsid w:val="00F6426D"/>
    <w:rsid w:val="00F6444F"/>
    <w:rsid w:val="00F64654"/>
    <w:rsid w:val="00F64B60"/>
    <w:rsid w:val="00F64E01"/>
    <w:rsid w:val="00F6599E"/>
    <w:rsid w:val="00F66D33"/>
    <w:rsid w:val="00F66E29"/>
    <w:rsid w:val="00F67791"/>
    <w:rsid w:val="00F67CED"/>
    <w:rsid w:val="00F702B7"/>
    <w:rsid w:val="00F707A1"/>
    <w:rsid w:val="00F708CE"/>
    <w:rsid w:val="00F713C5"/>
    <w:rsid w:val="00F714D5"/>
    <w:rsid w:val="00F72340"/>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4C2"/>
    <w:rsid w:val="00F764FE"/>
    <w:rsid w:val="00F767EF"/>
    <w:rsid w:val="00F7694B"/>
    <w:rsid w:val="00F76D07"/>
    <w:rsid w:val="00F773E2"/>
    <w:rsid w:val="00F777B3"/>
    <w:rsid w:val="00F8011B"/>
    <w:rsid w:val="00F801B2"/>
    <w:rsid w:val="00F801CA"/>
    <w:rsid w:val="00F804AB"/>
    <w:rsid w:val="00F80A2C"/>
    <w:rsid w:val="00F80F02"/>
    <w:rsid w:val="00F80F46"/>
    <w:rsid w:val="00F81392"/>
    <w:rsid w:val="00F8177D"/>
    <w:rsid w:val="00F81E81"/>
    <w:rsid w:val="00F81E8E"/>
    <w:rsid w:val="00F81EB2"/>
    <w:rsid w:val="00F81F0D"/>
    <w:rsid w:val="00F81FE7"/>
    <w:rsid w:val="00F822F1"/>
    <w:rsid w:val="00F823C5"/>
    <w:rsid w:val="00F828C0"/>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602A"/>
    <w:rsid w:val="00F86095"/>
    <w:rsid w:val="00F86377"/>
    <w:rsid w:val="00F8668F"/>
    <w:rsid w:val="00F8669D"/>
    <w:rsid w:val="00F86A96"/>
    <w:rsid w:val="00F8710E"/>
    <w:rsid w:val="00F87604"/>
    <w:rsid w:val="00F876DD"/>
    <w:rsid w:val="00F8797A"/>
    <w:rsid w:val="00F87C3D"/>
    <w:rsid w:val="00F87D03"/>
    <w:rsid w:val="00F87EFD"/>
    <w:rsid w:val="00F9033B"/>
    <w:rsid w:val="00F90565"/>
    <w:rsid w:val="00F908B6"/>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D6"/>
    <w:rsid w:val="00F9385C"/>
    <w:rsid w:val="00F93C45"/>
    <w:rsid w:val="00F93C60"/>
    <w:rsid w:val="00F942F5"/>
    <w:rsid w:val="00F9464B"/>
    <w:rsid w:val="00F94694"/>
    <w:rsid w:val="00F94772"/>
    <w:rsid w:val="00F94CA5"/>
    <w:rsid w:val="00F94E9D"/>
    <w:rsid w:val="00F94EDD"/>
    <w:rsid w:val="00F9525E"/>
    <w:rsid w:val="00F953E3"/>
    <w:rsid w:val="00F955BA"/>
    <w:rsid w:val="00F95941"/>
    <w:rsid w:val="00F95AB8"/>
    <w:rsid w:val="00F95B65"/>
    <w:rsid w:val="00F9634C"/>
    <w:rsid w:val="00F96566"/>
    <w:rsid w:val="00F9674F"/>
    <w:rsid w:val="00F96761"/>
    <w:rsid w:val="00F967F7"/>
    <w:rsid w:val="00F96A25"/>
    <w:rsid w:val="00F96B46"/>
    <w:rsid w:val="00F96E27"/>
    <w:rsid w:val="00F96E3E"/>
    <w:rsid w:val="00F96E70"/>
    <w:rsid w:val="00F972B8"/>
    <w:rsid w:val="00F973B7"/>
    <w:rsid w:val="00F97540"/>
    <w:rsid w:val="00F97AD4"/>
    <w:rsid w:val="00F97DD2"/>
    <w:rsid w:val="00FA01F8"/>
    <w:rsid w:val="00FA125B"/>
    <w:rsid w:val="00FA1629"/>
    <w:rsid w:val="00FA1690"/>
    <w:rsid w:val="00FA1838"/>
    <w:rsid w:val="00FA1DF0"/>
    <w:rsid w:val="00FA210D"/>
    <w:rsid w:val="00FA2113"/>
    <w:rsid w:val="00FA2864"/>
    <w:rsid w:val="00FA290C"/>
    <w:rsid w:val="00FA2984"/>
    <w:rsid w:val="00FA2B0C"/>
    <w:rsid w:val="00FA315F"/>
    <w:rsid w:val="00FA31AD"/>
    <w:rsid w:val="00FA32EA"/>
    <w:rsid w:val="00FA39E2"/>
    <w:rsid w:val="00FA3A5A"/>
    <w:rsid w:val="00FA3CAB"/>
    <w:rsid w:val="00FA3CC2"/>
    <w:rsid w:val="00FA3DB4"/>
    <w:rsid w:val="00FA428E"/>
    <w:rsid w:val="00FA43BE"/>
    <w:rsid w:val="00FA4EEA"/>
    <w:rsid w:val="00FA5056"/>
    <w:rsid w:val="00FA51E3"/>
    <w:rsid w:val="00FA5767"/>
    <w:rsid w:val="00FA57D4"/>
    <w:rsid w:val="00FA596B"/>
    <w:rsid w:val="00FA5A07"/>
    <w:rsid w:val="00FA5AAF"/>
    <w:rsid w:val="00FA5B05"/>
    <w:rsid w:val="00FA5CAF"/>
    <w:rsid w:val="00FA5FDE"/>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7D4"/>
    <w:rsid w:val="00FB596D"/>
    <w:rsid w:val="00FB59E5"/>
    <w:rsid w:val="00FB5A8B"/>
    <w:rsid w:val="00FB5B6D"/>
    <w:rsid w:val="00FB5B7E"/>
    <w:rsid w:val="00FB5C0F"/>
    <w:rsid w:val="00FB6188"/>
    <w:rsid w:val="00FB62F5"/>
    <w:rsid w:val="00FB653B"/>
    <w:rsid w:val="00FB750E"/>
    <w:rsid w:val="00FB7748"/>
    <w:rsid w:val="00FB7DE5"/>
    <w:rsid w:val="00FC061B"/>
    <w:rsid w:val="00FC09C5"/>
    <w:rsid w:val="00FC0D16"/>
    <w:rsid w:val="00FC10BF"/>
    <w:rsid w:val="00FC18B7"/>
    <w:rsid w:val="00FC1A8D"/>
    <w:rsid w:val="00FC1DF2"/>
    <w:rsid w:val="00FC23DE"/>
    <w:rsid w:val="00FC24FF"/>
    <w:rsid w:val="00FC2534"/>
    <w:rsid w:val="00FC2733"/>
    <w:rsid w:val="00FC276F"/>
    <w:rsid w:val="00FC3083"/>
    <w:rsid w:val="00FC3308"/>
    <w:rsid w:val="00FC3356"/>
    <w:rsid w:val="00FC3408"/>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DB3"/>
    <w:rsid w:val="00FC6FC5"/>
    <w:rsid w:val="00FC7901"/>
    <w:rsid w:val="00FC7DCA"/>
    <w:rsid w:val="00FD0A5D"/>
    <w:rsid w:val="00FD0C03"/>
    <w:rsid w:val="00FD0C05"/>
    <w:rsid w:val="00FD0D86"/>
    <w:rsid w:val="00FD0F19"/>
    <w:rsid w:val="00FD126E"/>
    <w:rsid w:val="00FD1598"/>
    <w:rsid w:val="00FD1B84"/>
    <w:rsid w:val="00FD1D53"/>
    <w:rsid w:val="00FD267A"/>
    <w:rsid w:val="00FD2922"/>
    <w:rsid w:val="00FD2BE3"/>
    <w:rsid w:val="00FD2F03"/>
    <w:rsid w:val="00FD3005"/>
    <w:rsid w:val="00FD3607"/>
    <w:rsid w:val="00FD39B1"/>
    <w:rsid w:val="00FD3B03"/>
    <w:rsid w:val="00FD3B9E"/>
    <w:rsid w:val="00FD4472"/>
    <w:rsid w:val="00FD4577"/>
    <w:rsid w:val="00FD4B61"/>
    <w:rsid w:val="00FD4C29"/>
    <w:rsid w:val="00FD4E9A"/>
    <w:rsid w:val="00FD58B4"/>
    <w:rsid w:val="00FD5CBB"/>
    <w:rsid w:val="00FD5ED1"/>
    <w:rsid w:val="00FD67D0"/>
    <w:rsid w:val="00FD6E52"/>
    <w:rsid w:val="00FD7214"/>
    <w:rsid w:val="00FD74B3"/>
    <w:rsid w:val="00FD7523"/>
    <w:rsid w:val="00FE0230"/>
    <w:rsid w:val="00FE0461"/>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E9"/>
    <w:rsid w:val="00FE504A"/>
    <w:rsid w:val="00FE5060"/>
    <w:rsid w:val="00FE5073"/>
    <w:rsid w:val="00FE511D"/>
    <w:rsid w:val="00FE5972"/>
    <w:rsid w:val="00FE5A12"/>
    <w:rsid w:val="00FE5E4B"/>
    <w:rsid w:val="00FE5FEC"/>
    <w:rsid w:val="00FE600F"/>
    <w:rsid w:val="00FE60C1"/>
    <w:rsid w:val="00FE67B2"/>
    <w:rsid w:val="00FE67C8"/>
    <w:rsid w:val="00FE6B29"/>
    <w:rsid w:val="00FE6CCD"/>
    <w:rsid w:val="00FE6DC0"/>
    <w:rsid w:val="00FE70E9"/>
    <w:rsid w:val="00FE7607"/>
    <w:rsid w:val="00FE76AB"/>
    <w:rsid w:val="00FE76D6"/>
    <w:rsid w:val="00FE7D5A"/>
    <w:rsid w:val="00FF0D04"/>
    <w:rsid w:val="00FF0EE7"/>
    <w:rsid w:val="00FF1124"/>
    <w:rsid w:val="00FF176C"/>
    <w:rsid w:val="00FF17D4"/>
    <w:rsid w:val="00FF1DD2"/>
    <w:rsid w:val="00FF2402"/>
    <w:rsid w:val="00FF2593"/>
    <w:rsid w:val="00FF2941"/>
    <w:rsid w:val="00FF35D9"/>
    <w:rsid w:val="00FF3951"/>
    <w:rsid w:val="00FF3976"/>
    <w:rsid w:val="00FF3992"/>
    <w:rsid w:val="00FF3D00"/>
    <w:rsid w:val="00FF3D8F"/>
    <w:rsid w:val="00FF402F"/>
    <w:rsid w:val="00FF40F0"/>
    <w:rsid w:val="00FF42A5"/>
    <w:rsid w:val="00FF46CF"/>
    <w:rsid w:val="00FF4AA8"/>
    <w:rsid w:val="00FF4BA3"/>
    <w:rsid w:val="00FF50E9"/>
    <w:rsid w:val="00FF5272"/>
    <w:rsid w:val="00FF52CB"/>
    <w:rsid w:val="00FF52D9"/>
    <w:rsid w:val="00FF53E4"/>
    <w:rsid w:val="00FF56C1"/>
    <w:rsid w:val="00FF56CB"/>
    <w:rsid w:val="00FF5759"/>
    <w:rsid w:val="00FF5937"/>
    <w:rsid w:val="00FF5C23"/>
    <w:rsid w:val="00FF5D9B"/>
    <w:rsid w:val="00FF630B"/>
    <w:rsid w:val="00FF6F5C"/>
    <w:rsid w:val="00FF70AA"/>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F6635"/>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275D75"/>
    <w:pPr>
      <w:ind w:left="1248" w:hanging="624"/>
    </w:pPr>
  </w:style>
  <w:style w:type="paragraph" w:styleId="a6">
    <w:name w:val="footnote text"/>
    <w:basedOn w:val="a1"/>
    <w:link w:val="a7"/>
    <w:uiPriority w:val="99"/>
    <w:semiHidden/>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1"/>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rsid w:val="00275D75"/>
    <w:pPr>
      <w:tabs>
        <w:tab w:val="clear" w:pos="936"/>
        <w:tab w:val="clear" w:pos="1560"/>
        <w:tab w:val="clear" w:pos="2184"/>
        <w:tab w:val="clear" w:pos="2808"/>
        <w:tab w:val="center" w:pos="4153"/>
        <w:tab w:val="right" w:pos="8306"/>
      </w:tabs>
      <w:spacing w:after="0"/>
    </w:pPr>
    <w:rPr>
      <w:sz w:val="20"/>
    </w:rPr>
  </w:style>
  <w:style w:type="character" w:styleId="ad">
    <w:name w:val="page number"/>
    <w:rsid w:val="00275D75"/>
    <w:rPr>
      <w:rFonts w:ascii="Times New Roman"/>
      <w:spacing w:val="10"/>
      <w:position w:val="0"/>
    </w:rPr>
  </w:style>
  <w:style w:type="paragraph" w:styleId="ae">
    <w:name w:val="Signature"/>
    <w:basedOn w:val="a1"/>
    <w:semiHidden/>
    <w:rsid w:val="00275D75"/>
    <w:pPr>
      <w:ind w:left="4320"/>
    </w:pPr>
  </w:style>
  <w:style w:type="character" w:styleId="af">
    <w:name w:val="footnote reference"/>
    <w:uiPriority w:val="99"/>
    <w:semiHidden/>
    <w:rsid w:val="00275D75"/>
    <w:rPr>
      <w:vertAlign w:val="superscript"/>
    </w:rPr>
  </w:style>
  <w:style w:type="paragraph" w:customStyle="1" w:styleId="a0">
    <w:name w:val="圓點_斜體"/>
    <w:basedOn w:val="a1"/>
    <w:rsid w:val="00C16806"/>
    <w:pPr>
      <w:numPr>
        <w:numId w:val="3"/>
      </w:numPr>
      <w:autoSpaceDE w:val="0"/>
      <w:autoSpaceDN w:val="0"/>
    </w:pPr>
    <w:rPr>
      <w:i/>
      <w:lang w:val="en-GB"/>
    </w:rPr>
  </w:style>
  <w:style w:type="paragraph" w:customStyle="1" w:styleId="120">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275D75"/>
    <w:rPr>
      <w:rFonts w:ascii="Arial" w:eastAsia="新細明體" w:hAnsi="Arial"/>
      <w:sz w:val="18"/>
      <w:szCs w:val="18"/>
    </w:rPr>
  </w:style>
  <w:style w:type="paragraph" w:styleId="a2">
    <w:name w:val="Normal Indent"/>
    <w:basedOn w:val="a1"/>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275D75"/>
    <w:pPr>
      <w:keepNext/>
      <w:widowControl w:val="0"/>
      <w:jc w:val="center"/>
    </w:pPr>
    <w:rPr>
      <w:rFonts w:eastAsia="華康中黑體"/>
      <w:snapToGrid w:val="0"/>
    </w:rPr>
  </w:style>
  <w:style w:type="paragraph" w:styleId="af6">
    <w:name w:val="endnote text"/>
    <w:basedOn w:val="a1"/>
    <w:link w:val="af7"/>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275D75"/>
    <w:rPr>
      <w:vertAlign w:val="superscript"/>
    </w:rPr>
  </w:style>
  <w:style w:type="paragraph" w:customStyle="1" w:styleId="af9">
    <w:name w:val="註釋內文"/>
    <w:basedOn w:val="a2"/>
    <w:rsid w:val="00275D75"/>
    <w:pPr>
      <w:keepLines/>
      <w:snapToGrid w:val="0"/>
    </w:pPr>
    <w:rPr>
      <w:snapToGrid/>
    </w:rPr>
  </w:style>
  <w:style w:type="paragraph" w:customStyle="1" w:styleId="22">
    <w:name w:val="註釋內文2"/>
    <w:basedOn w:val="11"/>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275D75"/>
    <w:pPr>
      <w:ind w:leftChars="150" w:left="936" w:hangingChars="162" w:hanging="486"/>
    </w:pPr>
  </w:style>
  <w:style w:type="paragraph" w:styleId="afe">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uiPriority w:val="99"/>
    <w:semiHidden/>
    <w:rsid w:val="00275D75"/>
    <w:rPr>
      <w:rFonts w:eastAsia="華康細明體"/>
      <w:spacing w:val="30"/>
    </w:rPr>
  </w:style>
  <w:style w:type="character" w:customStyle="1" w:styleId="af7">
    <w:name w:val="章節附註文字 字元"/>
    <w:link w:val="af6"/>
    <w:semiHidden/>
    <w:rsid w:val="00275D75"/>
    <w:rPr>
      <w:rFonts w:eastAsia="華康細明體"/>
      <w:snapToGrid w:val="0"/>
      <w:spacing w:val="20"/>
      <w:kern w:val="2"/>
      <w:sz w:val="28"/>
    </w:rPr>
  </w:style>
  <w:style w:type="character" w:customStyle="1" w:styleId="af3">
    <w:name w:val="註解方塊文字 字元"/>
    <w:link w:val="af2"/>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
    <w:qFormat/>
    <w:rsid w:val="00275D75"/>
    <w:pPr>
      <w:keepNext w:val="0"/>
      <w:snapToGrid w:val="0"/>
      <w:spacing w:after="0" w:line="240" w:lineRule="auto"/>
      <w:jc w:val="center"/>
    </w:pPr>
    <w:rPr>
      <w:spacing w:val="20"/>
      <w:sz w:val="22"/>
      <w:szCs w:val="22"/>
    </w:rPr>
  </w:style>
  <w:style w:type="table" w:styleId="aff0">
    <w:name w:val="Table Grid"/>
    <w:basedOn w:val="a4"/>
    <w:uiPriority w:val="59"/>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3">
    <w:name w:val="Title"/>
    <w:basedOn w:val="a1"/>
    <w:link w:val="aff4"/>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275D75"/>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6">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275D75"/>
    <w:rPr>
      <w:sz w:val="18"/>
      <w:szCs w:val="18"/>
    </w:rPr>
  </w:style>
  <w:style w:type="paragraph" w:styleId="affa">
    <w:name w:val="Body Text"/>
    <w:basedOn w:val="a1"/>
    <w:link w:val="affb"/>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275D75"/>
    <w:rPr>
      <w:rFonts w:eastAsia="新細明體"/>
      <w:color w:val="000000"/>
      <w:kern w:val="2"/>
      <w:sz w:val="24"/>
    </w:rPr>
  </w:style>
  <w:style w:type="paragraph" w:styleId="affc">
    <w:name w:val="Subtitle"/>
    <w:basedOn w:val="a1"/>
    <w:link w:val="affd"/>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e">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uiPriority w:val="9"/>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9">
    <w:name w:val="內文_表註 字元"/>
    <w:link w:val="aff8"/>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275D75"/>
    <w:rPr>
      <w:sz w:val="18"/>
      <w:szCs w:val="18"/>
    </w:rPr>
  </w:style>
  <w:style w:type="paragraph" w:customStyle="1" w:styleId="afff0">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1">
    <w:name w:val="附件列"/>
    <w:basedOn w:val="affa"/>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Hyperlink"/>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3">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4">
    <w:name w:val="annotation subject"/>
    <w:basedOn w:val="afb"/>
    <w:next w:val="afb"/>
    <w:link w:val="afff5"/>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c">
    <w:name w:val="註解文字 字元"/>
    <w:link w:val="afb"/>
    <w:semiHidden/>
    <w:rsid w:val="00275D75"/>
    <w:rPr>
      <w:rFonts w:eastAsia="新細明體"/>
      <w:kern w:val="2"/>
      <w:sz w:val="24"/>
    </w:rPr>
  </w:style>
  <w:style w:type="character" w:customStyle="1" w:styleId="afff5">
    <w:name w:val="註解主旨 字元"/>
    <w:link w:val="afff4"/>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6">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2177">
      <w:bodyDiv w:val="1"/>
      <w:marLeft w:val="0"/>
      <w:marRight w:val="0"/>
      <w:marTop w:val="0"/>
      <w:marBottom w:val="0"/>
      <w:divBdr>
        <w:top w:val="none" w:sz="0" w:space="0" w:color="auto"/>
        <w:left w:val="none" w:sz="0" w:space="0" w:color="auto"/>
        <w:bottom w:val="none" w:sz="0" w:space="0" w:color="auto"/>
        <w:right w:val="none" w:sz="0" w:space="0" w:color="auto"/>
      </w:divBdr>
    </w:div>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82C38-847A-40EA-BD62-3DFA21A05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1049</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2</cp:revision>
  <cp:lastPrinted>2023-05-04T11:09:00Z</cp:lastPrinted>
  <dcterms:created xsi:type="dcterms:W3CDTF">2023-05-08T09:29:00Z</dcterms:created>
  <dcterms:modified xsi:type="dcterms:W3CDTF">2023-05-08T09:29:00Z</dcterms:modified>
</cp:coreProperties>
</file>