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EEDBB" w14:textId="77777777" w:rsidR="007F7586" w:rsidRPr="003B00ED" w:rsidRDefault="007F7586" w:rsidP="004A7B86">
      <w:pPr>
        <w:pStyle w:val="a9"/>
        <w:rPr>
          <w:lang w:val="en-GB"/>
        </w:rPr>
      </w:pPr>
      <w:r w:rsidRPr="00F37532">
        <w:rPr>
          <w:rFonts w:hint="eastAsia"/>
          <w:lang w:val="en-GB"/>
        </w:rPr>
        <w:t>第三章</w:t>
      </w:r>
      <w:r w:rsidRPr="00A26439">
        <w:rPr>
          <w:rFonts w:hint="eastAsia"/>
          <w:b/>
          <w:lang w:val="en-GB"/>
        </w:rPr>
        <w:t>：</w:t>
      </w:r>
      <w:r w:rsidRPr="00F37532">
        <w:rPr>
          <w:rFonts w:hint="eastAsia"/>
          <w:lang w:val="en-GB"/>
        </w:rPr>
        <w:t>選定行業的發展</w:t>
      </w:r>
    </w:p>
    <w:p w14:paraId="6472DC39" w14:textId="77777777" w:rsidR="007F7586" w:rsidRPr="004A7B86" w:rsidRDefault="007F7586" w:rsidP="004A7B86">
      <w:pPr>
        <w:pStyle w:val="122"/>
      </w:pPr>
      <w:r w:rsidRPr="00A25D9D">
        <w:rPr>
          <w:rFonts w:hint="eastAsia"/>
          <w:lang w:val="en-GB"/>
        </w:rPr>
        <w:t>摘要</w:t>
      </w:r>
    </w:p>
    <w:p w14:paraId="257766E0" w14:textId="79FC5202" w:rsidR="007F7586" w:rsidRDefault="007F7586" w:rsidP="00F95E74">
      <w:pPr>
        <w:pStyle w:val="a0"/>
      </w:pPr>
      <w:r w:rsidRPr="00DD475A">
        <w:rPr>
          <w:rFonts w:hint="eastAsia"/>
        </w:rPr>
        <w:t>住宅物業市場</w:t>
      </w:r>
      <w:r w:rsidR="00C33BD8">
        <w:rPr>
          <w:rFonts w:hint="eastAsia"/>
        </w:rPr>
        <w:t>繼</w:t>
      </w:r>
      <w:r w:rsidRPr="00DD475A">
        <w:rPr>
          <w:rFonts w:hint="eastAsia"/>
        </w:rPr>
        <w:t>二零二三年第一季反彈後，在第二季略為整固</w:t>
      </w:r>
      <w:r>
        <w:rPr>
          <w:rFonts w:hint="eastAsia"/>
        </w:rPr>
        <w:t>。</w:t>
      </w:r>
      <w:r w:rsidR="00C33BD8">
        <w:rPr>
          <w:rFonts w:hint="eastAsia"/>
          <w:lang w:eastAsia="zh-HK"/>
        </w:rPr>
        <w:t>由</w:t>
      </w:r>
      <w:r w:rsidR="00C33BD8">
        <w:rPr>
          <w:rFonts w:hint="eastAsia"/>
        </w:rPr>
        <w:t>於</w:t>
      </w:r>
      <w:r>
        <w:rPr>
          <w:rFonts w:hint="eastAsia"/>
        </w:rPr>
        <w:t>環球經濟前景</w:t>
      </w:r>
      <w:r w:rsidR="005C5FD0">
        <w:rPr>
          <w:rFonts w:hint="eastAsia"/>
          <w:lang w:eastAsia="zh-HK"/>
        </w:rPr>
        <w:t>不</w:t>
      </w:r>
      <w:r w:rsidR="00B91744">
        <w:rPr>
          <w:rFonts w:hint="eastAsia"/>
          <w:lang w:eastAsia="zh-HK"/>
        </w:rPr>
        <w:t>明朗</w:t>
      </w:r>
      <w:r>
        <w:rPr>
          <w:rFonts w:hint="eastAsia"/>
        </w:rPr>
        <w:t>、本港息口上</w:t>
      </w:r>
      <w:r w:rsidR="005C5FD0">
        <w:rPr>
          <w:rFonts w:hint="eastAsia"/>
          <w:lang w:eastAsia="zh-HK"/>
        </w:rPr>
        <w:t>升</w:t>
      </w:r>
      <w:r>
        <w:rPr>
          <w:rFonts w:hint="eastAsia"/>
        </w:rPr>
        <w:t>，以及市場預期美國</w:t>
      </w:r>
      <w:r>
        <w:rPr>
          <w:rFonts w:hint="eastAsia"/>
          <w:lang w:eastAsia="zh-HK"/>
        </w:rPr>
        <w:t>聯</w:t>
      </w:r>
      <w:r>
        <w:rPr>
          <w:rFonts w:hint="eastAsia"/>
        </w:rPr>
        <w:t>邦</w:t>
      </w:r>
      <w:r w:rsidRPr="00DD475A">
        <w:rPr>
          <w:rFonts w:hint="eastAsia"/>
        </w:rPr>
        <w:t>儲</w:t>
      </w:r>
      <w:r>
        <w:rPr>
          <w:rFonts w:hint="eastAsia"/>
          <w:lang w:eastAsia="zh-HK"/>
        </w:rPr>
        <w:t>備</w:t>
      </w:r>
      <w:r w:rsidRPr="00DD475A">
        <w:rPr>
          <w:rFonts w:hint="eastAsia"/>
        </w:rPr>
        <w:t>局</w:t>
      </w:r>
      <w:r>
        <w:rPr>
          <w:rFonts w:hint="eastAsia"/>
        </w:rPr>
        <w:t>(</w:t>
      </w:r>
      <w:r w:rsidRPr="00DD475A">
        <w:rPr>
          <w:rFonts w:hint="eastAsia"/>
        </w:rPr>
        <w:t>聯儲局</w:t>
      </w:r>
      <w:r>
        <w:rPr>
          <w:rFonts w:hint="eastAsia"/>
        </w:rPr>
        <w:t>)</w:t>
      </w:r>
      <w:r w:rsidR="00107933">
        <w:rPr>
          <w:rFonts w:hint="eastAsia"/>
          <w:lang w:eastAsia="zh-HK"/>
        </w:rPr>
        <w:t>將</w:t>
      </w:r>
      <w:r w:rsidRPr="00DD475A">
        <w:rPr>
          <w:rFonts w:hint="eastAsia"/>
        </w:rPr>
        <w:t>會進一步加息，市場氣氛</w:t>
      </w:r>
      <w:r w:rsidR="00225112">
        <w:rPr>
          <w:rFonts w:hint="eastAsia"/>
          <w:lang w:eastAsia="zh-HK"/>
        </w:rPr>
        <w:t>轉趨</w:t>
      </w:r>
      <w:r w:rsidRPr="00DD475A">
        <w:rPr>
          <w:rFonts w:hint="eastAsia"/>
        </w:rPr>
        <w:t>審慎。交投活動明顯</w:t>
      </w:r>
      <w:r w:rsidR="00225112">
        <w:rPr>
          <w:rFonts w:hint="eastAsia"/>
          <w:lang w:eastAsia="zh-HK"/>
        </w:rPr>
        <w:t>轉靜</w:t>
      </w:r>
      <w:r w:rsidRPr="00DD475A">
        <w:rPr>
          <w:rFonts w:hint="eastAsia"/>
        </w:rPr>
        <w:t>，住宅售價在季內</w:t>
      </w:r>
      <w:r w:rsidR="00225112">
        <w:rPr>
          <w:rFonts w:hint="eastAsia"/>
          <w:lang w:eastAsia="zh-HK"/>
        </w:rPr>
        <w:t>回落</w:t>
      </w:r>
      <w:r w:rsidR="00225112">
        <w:rPr>
          <w:rFonts w:hint="eastAsia"/>
        </w:rPr>
        <w:t>1%</w:t>
      </w:r>
      <w:r w:rsidRPr="00DD475A">
        <w:rPr>
          <w:rFonts w:hint="eastAsia"/>
        </w:rPr>
        <w:t>。</w:t>
      </w:r>
    </w:p>
    <w:p w14:paraId="70B275FD" w14:textId="024A6C21" w:rsidR="007F7586" w:rsidRDefault="007F7586" w:rsidP="004A7B86">
      <w:pPr>
        <w:pStyle w:val="a0"/>
      </w:pPr>
      <w:r w:rsidRPr="00DD475A">
        <w:rPr>
          <w:rFonts w:hint="eastAsia"/>
        </w:rPr>
        <w:t>反映政府增加土地及住宅供應的持續努力，六月底時估計未來三至四年一手私人住宅單位總供應量會維持在</w:t>
      </w:r>
      <w:r w:rsidRPr="00DD475A">
        <w:rPr>
          <w:rFonts w:hint="eastAsia"/>
        </w:rPr>
        <w:t>105</w:t>
      </w:r>
      <w:r w:rsidR="004A7B86">
        <w:rPr>
          <w:lang w:val="en-US"/>
        </w:rPr>
        <w:t> </w:t>
      </w:r>
      <w:r w:rsidRPr="00DD475A">
        <w:rPr>
          <w:rFonts w:hint="eastAsia"/>
        </w:rPr>
        <w:t>000</w:t>
      </w:r>
      <w:r w:rsidRPr="00DD475A">
        <w:rPr>
          <w:rFonts w:hint="eastAsia"/>
        </w:rPr>
        <w:t>個的高水平。</w:t>
      </w:r>
    </w:p>
    <w:p w14:paraId="09656A38" w14:textId="57D15E68" w:rsidR="007F7586" w:rsidRDefault="007F7586" w:rsidP="0063411F">
      <w:pPr>
        <w:pStyle w:val="a0"/>
      </w:pPr>
      <w:r w:rsidRPr="00DD475A">
        <w:rPr>
          <w:rFonts w:hint="eastAsia"/>
        </w:rPr>
        <w:t>非住宅物業市場在第二季大致</w:t>
      </w:r>
      <w:r w:rsidR="001364F1">
        <w:rPr>
          <w:rFonts w:hint="eastAsia"/>
          <w:lang w:eastAsia="zh-HK"/>
        </w:rPr>
        <w:t>保持</w:t>
      </w:r>
      <w:r w:rsidRPr="00DD475A">
        <w:rPr>
          <w:rFonts w:hint="eastAsia"/>
        </w:rPr>
        <w:t>平穩。交投活動仍</w:t>
      </w:r>
      <w:r w:rsidR="00097E08" w:rsidRPr="00097E08">
        <w:rPr>
          <w:rFonts w:hint="eastAsia"/>
          <w:lang w:val="en-US"/>
        </w:rPr>
        <w:t>然疏落</w:t>
      </w:r>
      <w:r w:rsidRPr="00DD475A">
        <w:rPr>
          <w:rFonts w:hint="eastAsia"/>
        </w:rPr>
        <w:t>，</w:t>
      </w:r>
      <w:r w:rsidR="00274172">
        <w:rPr>
          <w:rFonts w:hint="eastAsia"/>
          <w:lang w:eastAsia="zh-HK"/>
        </w:rPr>
        <w:t>不同環節的</w:t>
      </w:r>
      <w:r w:rsidRPr="00DD475A">
        <w:rPr>
          <w:rFonts w:hint="eastAsia"/>
        </w:rPr>
        <w:t>售價和租金</w:t>
      </w:r>
      <w:r w:rsidR="004D219A">
        <w:rPr>
          <w:rFonts w:hint="eastAsia"/>
          <w:lang w:eastAsia="zh-HK"/>
        </w:rPr>
        <w:t>表</w:t>
      </w:r>
      <w:r w:rsidR="004D219A">
        <w:rPr>
          <w:rFonts w:hint="eastAsia"/>
        </w:rPr>
        <w:t>現</w:t>
      </w:r>
      <w:r w:rsidR="004D219A">
        <w:rPr>
          <w:rFonts w:hint="eastAsia"/>
          <w:lang w:eastAsia="zh-HK"/>
        </w:rPr>
        <w:t>不一</w:t>
      </w:r>
      <w:r w:rsidR="004D219A" w:rsidRPr="00DD475A">
        <w:rPr>
          <w:rFonts w:hint="eastAsia"/>
        </w:rPr>
        <w:t>。</w:t>
      </w:r>
    </w:p>
    <w:p w14:paraId="21777E25" w14:textId="2346123A" w:rsidR="0029498B" w:rsidRDefault="0029498B" w:rsidP="0029498B">
      <w:pPr>
        <w:pStyle w:val="a0"/>
      </w:pPr>
      <w:r w:rsidRPr="00EB6739">
        <w:rPr>
          <w:rFonts w:hint="eastAsia"/>
        </w:rPr>
        <w:t>旅遊業在第二季</w:t>
      </w:r>
      <w:r w:rsidR="008C2426">
        <w:rPr>
          <w:rFonts w:hint="eastAsia"/>
          <w:lang w:eastAsia="zh-HK"/>
        </w:rPr>
        <w:t>繼</w:t>
      </w:r>
      <w:r>
        <w:rPr>
          <w:rFonts w:hint="eastAsia"/>
        </w:rPr>
        <w:t>續</w:t>
      </w:r>
      <w:r w:rsidRPr="00EB6739">
        <w:rPr>
          <w:rFonts w:hint="eastAsia"/>
        </w:rPr>
        <w:t>復蘇。訪港旅客由上一季的</w:t>
      </w:r>
      <w:r w:rsidRPr="00EB6739">
        <w:rPr>
          <w:rFonts w:hint="eastAsia"/>
        </w:rPr>
        <w:t>440</w:t>
      </w:r>
      <w:r>
        <w:rPr>
          <w:lang w:val="en-US"/>
        </w:rPr>
        <w:t> </w:t>
      </w:r>
      <w:r w:rsidRPr="00EB6739">
        <w:rPr>
          <w:rFonts w:hint="eastAsia"/>
        </w:rPr>
        <w:t>萬人次</w:t>
      </w:r>
      <w:r w:rsidRPr="00D10B4E">
        <w:rPr>
          <w:rFonts w:hint="eastAsia"/>
        </w:rPr>
        <w:t>進一步</w:t>
      </w:r>
      <w:r w:rsidRPr="00475F07">
        <w:rPr>
          <w:rFonts w:hint="eastAsia"/>
          <w:spacing w:val="34"/>
          <w:lang w:eastAsia="zh-HK"/>
        </w:rPr>
        <w:t>飆</w:t>
      </w:r>
      <w:r>
        <w:rPr>
          <w:rFonts w:hint="eastAsia"/>
          <w:spacing w:val="34"/>
        </w:rPr>
        <w:t>升</w:t>
      </w:r>
      <w:r w:rsidRPr="00EB6739">
        <w:rPr>
          <w:rFonts w:hint="eastAsia"/>
        </w:rPr>
        <w:t>至第二季的</w:t>
      </w:r>
      <w:r w:rsidRPr="00EB6739">
        <w:rPr>
          <w:rFonts w:hint="eastAsia"/>
        </w:rPr>
        <w:t>850</w:t>
      </w:r>
      <w:r>
        <w:rPr>
          <w:lang w:val="en-US"/>
        </w:rPr>
        <w:t> </w:t>
      </w:r>
      <w:r w:rsidRPr="00EB6739">
        <w:rPr>
          <w:rFonts w:hint="eastAsia"/>
        </w:rPr>
        <w:t>萬人次，</w:t>
      </w:r>
      <w:r>
        <w:rPr>
          <w:rFonts w:hint="eastAsia"/>
          <w:lang w:eastAsia="zh-HK"/>
        </w:rPr>
        <w:t>相當於</w:t>
      </w:r>
      <w:r w:rsidRPr="00EB6739">
        <w:rPr>
          <w:rFonts w:hint="eastAsia"/>
        </w:rPr>
        <w:t>二零一八年季度平均水平的</w:t>
      </w:r>
      <w:r w:rsidRPr="00EB6739">
        <w:rPr>
          <w:rFonts w:hint="eastAsia"/>
        </w:rPr>
        <w:t>52%</w:t>
      </w:r>
      <w:r w:rsidRPr="00EB6739">
        <w:rPr>
          <w:rFonts w:hint="eastAsia"/>
        </w:rPr>
        <w:t>。</w:t>
      </w:r>
    </w:p>
    <w:p w14:paraId="002F0F1D" w14:textId="161F9ED7" w:rsidR="0029498B" w:rsidRPr="00C16806" w:rsidRDefault="003B7CF5" w:rsidP="0029498B">
      <w:pPr>
        <w:pStyle w:val="a0"/>
      </w:pPr>
      <w:r w:rsidRPr="00944881">
        <w:rPr>
          <w:rFonts w:hint="eastAsia"/>
        </w:rPr>
        <w:t>對</w:t>
      </w:r>
      <w:r w:rsidR="0029498B" w:rsidRPr="00944881">
        <w:rPr>
          <w:rFonts w:hint="eastAsia"/>
        </w:rPr>
        <w:t>外貿</w:t>
      </w:r>
      <w:r w:rsidRPr="00944881">
        <w:rPr>
          <w:rFonts w:hint="eastAsia"/>
        </w:rPr>
        <w:t>易</w:t>
      </w:r>
      <w:r w:rsidR="0029498B" w:rsidRPr="00A970FA">
        <w:rPr>
          <w:rFonts w:hint="eastAsia"/>
        </w:rPr>
        <w:t>表現疲弱</w:t>
      </w:r>
      <w:r w:rsidR="0029498B" w:rsidRPr="00E9401F">
        <w:rPr>
          <w:rFonts w:hint="eastAsia"/>
        </w:rPr>
        <w:t>，物流業在第二季仍然</w:t>
      </w:r>
      <w:r w:rsidR="0029498B">
        <w:rPr>
          <w:rFonts w:hint="eastAsia"/>
          <w:lang w:eastAsia="zh-HK"/>
        </w:rPr>
        <w:t>乏</w:t>
      </w:r>
      <w:r w:rsidR="0029498B">
        <w:rPr>
          <w:rFonts w:hint="eastAsia"/>
        </w:rPr>
        <w:t>力</w:t>
      </w:r>
      <w:r w:rsidR="0029498B" w:rsidRPr="00E9401F">
        <w:rPr>
          <w:rFonts w:hint="eastAsia"/>
        </w:rPr>
        <w:t>。整體貨櫃吞吐量</w:t>
      </w:r>
      <w:r>
        <w:rPr>
          <w:rFonts w:hint="eastAsia"/>
        </w:rPr>
        <w:t>較</w:t>
      </w:r>
      <w:r w:rsidR="0029498B" w:rsidRPr="00E9401F">
        <w:rPr>
          <w:rFonts w:hint="eastAsia"/>
        </w:rPr>
        <w:t>一年前急跌</w:t>
      </w:r>
      <w:r w:rsidR="0029498B">
        <w:t>21.8</w:t>
      </w:r>
      <w:r w:rsidR="0029498B" w:rsidRPr="00E9401F">
        <w:rPr>
          <w:rFonts w:hint="eastAsia"/>
        </w:rPr>
        <w:t>%</w:t>
      </w:r>
      <w:r w:rsidR="0029498B">
        <w:rPr>
          <w:rFonts w:hint="eastAsia"/>
          <w:lang w:eastAsia="zh-HK"/>
        </w:rPr>
        <w:t>，空運</w:t>
      </w:r>
      <w:r w:rsidR="0029498B" w:rsidRPr="00E9401F">
        <w:rPr>
          <w:rFonts w:hint="eastAsia"/>
          <w:lang w:eastAsia="zh-HK"/>
        </w:rPr>
        <w:t>吞吐量</w:t>
      </w:r>
      <w:r w:rsidR="00E303ED" w:rsidRPr="00043170">
        <w:rPr>
          <w:rFonts w:hint="eastAsia"/>
          <w:lang w:eastAsia="zh-HK"/>
        </w:rPr>
        <w:t>則</w:t>
      </w:r>
      <w:r w:rsidR="0029498B">
        <w:rPr>
          <w:rFonts w:hint="eastAsia"/>
          <w:lang w:eastAsia="zh-HK"/>
        </w:rPr>
        <w:t>下</w:t>
      </w:r>
      <w:r w:rsidR="0029498B" w:rsidRPr="00E9401F">
        <w:rPr>
          <w:rFonts w:hint="eastAsia"/>
          <w:lang w:eastAsia="zh-HK"/>
        </w:rPr>
        <w:t>跌</w:t>
      </w:r>
      <w:r w:rsidR="0029498B">
        <w:t>4.8</w:t>
      </w:r>
      <w:r w:rsidR="0029498B" w:rsidRPr="00E9401F">
        <w:rPr>
          <w:rFonts w:hint="eastAsia"/>
          <w:lang w:eastAsia="zh-HK"/>
        </w:rPr>
        <w:t>%</w:t>
      </w:r>
      <w:r w:rsidR="0029498B">
        <w:rPr>
          <w:rFonts w:hint="eastAsia"/>
          <w:lang w:eastAsia="zh-HK"/>
        </w:rPr>
        <w:t>。</w:t>
      </w:r>
    </w:p>
    <w:p w14:paraId="62D60BE9" w14:textId="77777777" w:rsidR="000B57D5" w:rsidRDefault="000B57D5" w:rsidP="004A5EBA">
      <w:pPr>
        <w:pStyle w:val="a0"/>
        <w:numPr>
          <w:ilvl w:val="0"/>
          <w:numId w:val="0"/>
        </w:numPr>
      </w:pPr>
    </w:p>
    <w:p w14:paraId="12A88AD6" w14:textId="77777777" w:rsidR="007F7586" w:rsidRDefault="007F7586" w:rsidP="00DD475A">
      <w:pPr>
        <w:pStyle w:val="a0"/>
      </w:pPr>
      <w:r>
        <w:br w:type="page"/>
      </w:r>
    </w:p>
    <w:p w14:paraId="2D92FC77" w14:textId="77777777" w:rsidR="007F7586" w:rsidRPr="004A7B86" w:rsidRDefault="007F7586" w:rsidP="004A7B86">
      <w:pPr>
        <w:pStyle w:val="12"/>
      </w:pPr>
      <w:r w:rsidRPr="00D43B83">
        <w:rPr>
          <w:rFonts w:hint="eastAsia"/>
        </w:rPr>
        <w:lastRenderedPageBreak/>
        <w:t>物業</w:t>
      </w:r>
    </w:p>
    <w:p w14:paraId="7AEC24F6" w14:textId="3E8D4A44" w:rsidR="007F7586" w:rsidRPr="007D291E" w:rsidRDefault="007F7586" w:rsidP="004A7B86">
      <w:pPr>
        <w:rPr>
          <w:highlight w:val="cyan"/>
        </w:rPr>
      </w:pPr>
      <w:r w:rsidRPr="007D291E">
        <w:rPr>
          <w:b/>
        </w:rPr>
        <w:t>3</w:t>
      </w:r>
      <w:r w:rsidRPr="007D291E">
        <w:rPr>
          <w:rFonts w:hint="eastAsia"/>
          <w:b/>
        </w:rPr>
        <w:t>.1</w:t>
      </w:r>
      <w:r w:rsidRPr="007D291E">
        <w:tab/>
      </w:r>
      <w:r w:rsidRPr="007D291E">
        <w:rPr>
          <w:rFonts w:hint="eastAsia"/>
          <w:i/>
        </w:rPr>
        <w:t>住宅物業市場</w:t>
      </w:r>
      <w:r w:rsidR="00C33BD8">
        <w:rPr>
          <w:rFonts w:hint="eastAsia"/>
        </w:rPr>
        <w:t>繼</w:t>
      </w:r>
      <w:r>
        <w:rPr>
          <w:rFonts w:hint="eastAsia"/>
          <w:lang w:eastAsia="zh-HK"/>
        </w:rPr>
        <w:t>二零二三年</w:t>
      </w:r>
      <w:r w:rsidRPr="007D291E">
        <w:rPr>
          <w:rFonts w:hint="eastAsia"/>
          <w:lang w:eastAsia="zh-HK"/>
        </w:rPr>
        <w:t>第一季</w:t>
      </w:r>
      <w:r>
        <w:rPr>
          <w:rFonts w:hint="eastAsia"/>
          <w:lang w:eastAsia="zh-HK"/>
        </w:rPr>
        <w:t>反彈後，在第二季略為整固</w:t>
      </w:r>
      <w:r w:rsidRPr="007D291E">
        <w:rPr>
          <w:rFonts w:hint="eastAsia"/>
        </w:rPr>
        <w:t>。</w:t>
      </w:r>
      <w:r w:rsidR="00C33BD8">
        <w:rPr>
          <w:rFonts w:hint="eastAsia"/>
          <w:lang w:eastAsia="zh-HK"/>
        </w:rPr>
        <w:t>由</w:t>
      </w:r>
      <w:r w:rsidR="00C33BD8">
        <w:rPr>
          <w:rFonts w:hint="eastAsia"/>
        </w:rPr>
        <w:t>於</w:t>
      </w:r>
      <w:r>
        <w:rPr>
          <w:rFonts w:hint="eastAsia"/>
          <w:lang w:eastAsia="zh-HK"/>
        </w:rPr>
        <w:t>環球經</w:t>
      </w:r>
      <w:r>
        <w:rPr>
          <w:rFonts w:hint="eastAsia"/>
        </w:rPr>
        <w:t>濟</w:t>
      </w:r>
      <w:r>
        <w:rPr>
          <w:rFonts w:hint="eastAsia"/>
          <w:lang w:eastAsia="zh-HK"/>
        </w:rPr>
        <w:t>前景</w:t>
      </w:r>
      <w:r w:rsidR="00B91744">
        <w:rPr>
          <w:rFonts w:hint="eastAsia"/>
          <w:lang w:eastAsia="zh-HK"/>
        </w:rPr>
        <w:t>不明朗</w:t>
      </w:r>
      <w:r>
        <w:rPr>
          <w:rFonts w:hint="eastAsia"/>
          <w:lang w:eastAsia="zh-HK"/>
        </w:rPr>
        <w:t>、本港息口上</w:t>
      </w:r>
      <w:r w:rsidR="00BB7810" w:rsidRPr="00BB7810">
        <w:rPr>
          <w:rFonts w:hint="eastAsia"/>
          <w:lang w:eastAsia="zh-HK"/>
        </w:rPr>
        <w:t>升</w:t>
      </w:r>
      <w:r>
        <w:rPr>
          <w:rFonts w:hint="eastAsia"/>
          <w:lang w:eastAsia="zh-HK"/>
        </w:rPr>
        <w:t>，以及市場預期美國聯儲局</w:t>
      </w:r>
      <w:r w:rsidR="00107933">
        <w:rPr>
          <w:rFonts w:hint="eastAsia"/>
          <w:lang w:eastAsia="zh-HK"/>
        </w:rPr>
        <w:t>將</w:t>
      </w:r>
      <w:r>
        <w:rPr>
          <w:rFonts w:hint="eastAsia"/>
          <w:lang w:eastAsia="zh-HK"/>
        </w:rPr>
        <w:t>會進一步加息，</w:t>
      </w:r>
      <w:r w:rsidRPr="007D291E">
        <w:rPr>
          <w:rFonts w:hint="eastAsia"/>
          <w:lang w:eastAsia="zh-HK"/>
        </w:rPr>
        <w:t>市場氣氛</w:t>
      </w:r>
      <w:r w:rsidR="00BB7810">
        <w:rPr>
          <w:rFonts w:hint="eastAsia"/>
          <w:lang w:eastAsia="zh-HK"/>
        </w:rPr>
        <w:t>轉趨</w:t>
      </w:r>
      <w:r>
        <w:rPr>
          <w:rFonts w:hint="eastAsia"/>
          <w:lang w:eastAsia="zh-HK"/>
        </w:rPr>
        <w:t>審慎</w:t>
      </w:r>
      <w:r w:rsidRPr="007D291E">
        <w:rPr>
          <w:rFonts w:hint="eastAsia"/>
        </w:rPr>
        <w:t>。交投</w:t>
      </w:r>
      <w:r w:rsidRPr="007D291E">
        <w:rPr>
          <w:rFonts w:hint="eastAsia"/>
          <w:lang w:eastAsia="zh-HK"/>
        </w:rPr>
        <w:t>活動</w:t>
      </w:r>
      <w:r>
        <w:rPr>
          <w:rFonts w:hint="eastAsia"/>
          <w:lang w:eastAsia="zh-HK"/>
        </w:rPr>
        <w:t>明顯</w:t>
      </w:r>
      <w:r w:rsidR="00BB7810">
        <w:rPr>
          <w:rFonts w:hint="eastAsia"/>
          <w:lang w:eastAsia="zh-HK"/>
        </w:rPr>
        <w:t>轉靜</w:t>
      </w:r>
      <w:r>
        <w:rPr>
          <w:rFonts w:hint="eastAsia"/>
          <w:lang w:eastAsia="zh-HK"/>
        </w:rPr>
        <w:t>，住宅售價在季內</w:t>
      </w:r>
      <w:r w:rsidR="00F95E74" w:rsidRPr="00F95E74">
        <w:rPr>
          <w:rFonts w:hint="eastAsia"/>
          <w:lang w:eastAsia="zh-HK"/>
        </w:rPr>
        <w:t>輕微</w:t>
      </w:r>
      <w:r w:rsidR="00BB7810">
        <w:rPr>
          <w:rFonts w:hint="eastAsia"/>
          <w:lang w:eastAsia="zh-HK"/>
        </w:rPr>
        <w:t>回落</w:t>
      </w:r>
      <w:r w:rsidRPr="007D291E">
        <w:rPr>
          <w:rFonts w:hint="eastAsia"/>
        </w:rPr>
        <w:t>。</w:t>
      </w:r>
    </w:p>
    <w:p w14:paraId="5052F95D" w14:textId="61722FCB" w:rsidR="007F7586" w:rsidRDefault="007F7586" w:rsidP="004A7B86">
      <w:r w:rsidRPr="007D291E">
        <w:rPr>
          <w:b/>
        </w:rPr>
        <w:t>3</w:t>
      </w:r>
      <w:r w:rsidRPr="007D291E">
        <w:rPr>
          <w:rFonts w:hint="eastAsia"/>
          <w:b/>
        </w:rPr>
        <w:t>.2</w:t>
      </w:r>
      <w:r w:rsidRPr="007D291E">
        <w:tab/>
      </w:r>
      <w:r w:rsidRPr="007D291E">
        <w:rPr>
          <w:rFonts w:hint="eastAsia"/>
        </w:rPr>
        <w:t>第</w:t>
      </w:r>
      <w:r>
        <w:rPr>
          <w:rFonts w:hint="eastAsia"/>
          <w:lang w:eastAsia="zh-HK"/>
        </w:rPr>
        <w:t>二</w:t>
      </w:r>
      <w:r w:rsidRPr="007D291E">
        <w:rPr>
          <w:rFonts w:hint="eastAsia"/>
        </w:rPr>
        <w:t>季送交土地註冊處註冊的住宅物業買賣合約總數</w:t>
      </w:r>
      <w:r>
        <w:rPr>
          <w:rFonts w:hint="eastAsia"/>
          <w:lang w:eastAsia="zh-HK"/>
        </w:rPr>
        <w:t>較</w:t>
      </w:r>
      <w:r w:rsidRPr="007D291E">
        <w:rPr>
          <w:rFonts w:hint="eastAsia"/>
        </w:rPr>
        <w:t>上一季</w:t>
      </w:r>
      <w:r>
        <w:rPr>
          <w:rFonts w:hint="eastAsia"/>
          <w:lang w:eastAsia="zh-HK"/>
        </w:rPr>
        <w:t>下跌</w:t>
      </w:r>
      <w:r>
        <w:rPr>
          <w:rFonts w:hint="eastAsia"/>
        </w:rPr>
        <w:t>13</w:t>
      </w:r>
      <w:r w:rsidRPr="007D291E">
        <w:t>%</w:t>
      </w:r>
      <w:r w:rsidRPr="007D291E">
        <w:rPr>
          <w:rFonts w:hint="eastAsia"/>
        </w:rPr>
        <w:t>至</w:t>
      </w:r>
      <w:r w:rsidRPr="007D291E">
        <w:t>1</w:t>
      </w:r>
      <w:r>
        <w:rPr>
          <w:rFonts w:hint="eastAsia"/>
        </w:rPr>
        <w:t>2</w:t>
      </w:r>
      <w:r>
        <w:t> </w:t>
      </w:r>
      <w:r>
        <w:rPr>
          <w:rFonts w:hint="eastAsia"/>
        </w:rPr>
        <w:t>199</w:t>
      </w:r>
      <w:r w:rsidRPr="007D291E">
        <w:rPr>
          <w:rFonts w:hint="eastAsia"/>
          <w:lang w:eastAsia="zh-HK"/>
        </w:rPr>
        <w:t>份，較一年前</w:t>
      </w:r>
      <w:r>
        <w:rPr>
          <w:rFonts w:hint="eastAsia"/>
          <w:lang w:eastAsia="zh-HK"/>
        </w:rPr>
        <w:t>下跌</w:t>
      </w:r>
      <w:r>
        <w:rPr>
          <w:rFonts w:hint="eastAsia"/>
        </w:rPr>
        <w:t>18</w:t>
      </w:r>
      <w:r w:rsidRPr="007D291E">
        <w:rPr>
          <w:lang w:eastAsia="zh-HK"/>
        </w:rPr>
        <w:t>%</w:t>
      </w:r>
      <w:r>
        <w:rPr>
          <w:rFonts w:hint="eastAsia"/>
          <w:lang w:eastAsia="zh-HK"/>
        </w:rPr>
        <w:t>，明顯</w:t>
      </w:r>
      <w:r w:rsidRPr="007D291E">
        <w:rPr>
          <w:rFonts w:hint="eastAsia"/>
          <w:lang w:eastAsia="zh-HK"/>
        </w:rPr>
        <w:t>低於二零一</w:t>
      </w:r>
      <w:r w:rsidRPr="008F361A">
        <w:rPr>
          <w:rFonts w:hint="eastAsia"/>
          <w:lang w:eastAsia="zh-HK"/>
        </w:rPr>
        <w:t>八</w:t>
      </w:r>
      <w:r w:rsidRPr="007D291E">
        <w:rPr>
          <w:rFonts w:hint="eastAsia"/>
          <w:lang w:eastAsia="zh-HK"/>
        </w:rPr>
        <w:t>至二零二二年期間約</w:t>
      </w:r>
      <w:r w:rsidRPr="007D291E">
        <w:rPr>
          <w:lang w:eastAsia="zh-HK"/>
        </w:rPr>
        <w:t>14</w:t>
      </w:r>
      <w:r w:rsidRPr="005D51B8">
        <w:rPr>
          <w:lang w:eastAsia="zh-HK"/>
        </w:rPr>
        <w:t> </w:t>
      </w:r>
      <w:r>
        <w:rPr>
          <w:lang w:eastAsia="zh-HK"/>
        </w:rPr>
        <w:t>8</w:t>
      </w:r>
      <w:r w:rsidRPr="007D291E">
        <w:rPr>
          <w:lang w:eastAsia="zh-HK"/>
        </w:rPr>
        <w:t>00</w:t>
      </w:r>
      <w:r>
        <w:rPr>
          <w:rFonts w:hint="eastAsia"/>
          <w:lang w:eastAsia="zh-HK"/>
        </w:rPr>
        <w:t>份</w:t>
      </w:r>
      <w:r w:rsidRPr="007D291E">
        <w:rPr>
          <w:rFonts w:hint="eastAsia"/>
          <w:lang w:eastAsia="zh-HK"/>
        </w:rPr>
        <w:t>的季度平均數。</w:t>
      </w:r>
      <w:r w:rsidR="00C33BD8">
        <w:rPr>
          <w:rFonts w:hint="eastAsia"/>
          <w:lang w:eastAsia="zh-HK"/>
        </w:rPr>
        <w:t>雖</w:t>
      </w:r>
      <w:r w:rsidR="00C33BD8">
        <w:rPr>
          <w:rFonts w:hint="eastAsia"/>
        </w:rPr>
        <w:t>然</w:t>
      </w:r>
      <w:r>
        <w:rPr>
          <w:rFonts w:hint="eastAsia"/>
          <w:lang w:eastAsia="zh-HK"/>
        </w:rPr>
        <w:t>二手市場交易</w:t>
      </w:r>
      <w:r w:rsidR="00B91744">
        <w:rPr>
          <w:rFonts w:hint="eastAsia"/>
          <w:lang w:eastAsia="zh-HK"/>
        </w:rPr>
        <w:t>較</w:t>
      </w:r>
      <w:r w:rsidR="00B91744" w:rsidRPr="007D291E">
        <w:rPr>
          <w:rFonts w:hint="eastAsia"/>
        </w:rPr>
        <w:t>上一季</w:t>
      </w:r>
      <w:r>
        <w:rPr>
          <w:rFonts w:hint="eastAsia"/>
          <w:lang w:eastAsia="zh-HK"/>
        </w:rPr>
        <w:t>減少</w:t>
      </w:r>
      <w:r>
        <w:rPr>
          <w:rFonts w:hint="eastAsia"/>
        </w:rPr>
        <w:t>23%</w:t>
      </w:r>
      <w:r w:rsidR="00C33BD8">
        <w:rPr>
          <w:rFonts w:hint="eastAsia"/>
        </w:rPr>
        <w:t>，但</w:t>
      </w:r>
      <w:r w:rsidR="00C33BD8">
        <w:rPr>
          <w:rFonts w:hint="eastAsia"/>
          <w:lang w:eastAsia="zh-HK"/>
        </w:rPr>
        <w:t>因</w:t>
      </w:r>
      <w:r>
        <w:rPr>
          <w:rFonts w:hint="eastAsia"/>
          <w:lang w:eastAsia="zh-HK"/>
        </w:rPr>
        <w:t>發展商以普遍保守的訂價加快</w:t>
      </w:r>
      <w:r w:rsidRPr="007D291E">
        <w:rPr>
          <w:rFonts w:hint="eastAsia"/>
          <w:lang w:eastAsia="zh-HK"/>
        </w:rPr>
        <w:t>推出新</w:t>
      </w:r>
      <w:r>
        <w:rPr>
          <w:rFonts w:hint="eastAsia"/>
          <w:lang w:eastAsia="zh-HK"/>
        </w:rPr>
        <w:t>樓盤</w:t>
      </w:r>
      <w:r w:rsidR="00AC1183">
        <w:rPr>
          <w:rFonts w:hint="eastAsia"/>
          <w:lang w:eastAsia="zh-HK"/>
        </w:rPr>
        <w:t>，</w:t>
      </w:r>
      <w:r w:rsidR="00AC1183" w:rsidRPr="007D291E">
        <w:rPr>
          <w:rFonts w:hint="eastAsia"/>
        </w:rPr>
        <w:t>一手市場交易較上一季</w:t>
      </w:r>
      <w:r w:rsidR="00AC1183">
        <w:rPr>
          <w:rFonts w:hint="eastAsia"/>
          <w:lang w:eastAsia="zh-HK"/>
        </w:rPr>
        <w:t>的低基數上</w:t>
      </w:r>
      <w:r w:rsidR="00AC1183" w:rsidRPr="007D291E">
        <w:rPr>
          <w:rFonts w:hint="eastAsia"/>
          <w:lang w:eastAsia="zh-HK"/>
        </w:rPr>
        <w:t>升</w:t>
      </w:r>
      <w:r w:rsidR="00AC1183">
        <w:rPr>
          <w:rFonts w:hint="eastAsia"/>
        </w:rPr>
        <w:t>27</w:t>
      </w:r>
      <w:r w:rsidR="00AC1183" w:rsidRPr="007D291E">
        <w:t>%</w:t>
      </w:r>
      <w:r>
        <w:rPr>
          <w:rFonts w:hint="eastAsia"/>
          <w:lang w:eastAsia="zh-HK"/>
        </w:rPr>
        <w:t>。買賣合約總值較上一季微升</w:t>
      </w:r>
      <w:r>
        <w:rPr>
          <w:rFonts w:hint="eastAsia"/>
        </w:rPr>
        <w:t>2%</w:t>
      </w:r>
      <w:r>
        <w:rPr>
          <w:rFonts w:hint="eastAsia"/>
          <w:lang w:eastAsia="zh-HK"/>
        </w:rPr>
        <w:t>至</w:t>
      </w:r>
      <w:r>
        <w:rPr>
          <w:rFonts w:hint="eastAsia"/>
        </w:rPr>
        <w:t>1,228</w:t>
      </w:r>
      <w:r w:rsidR="004C64D1">
        <w:t> </w:t>
      </w:r>
      <w:r>
        <w:rPr>
          <w:rFonts w:hint="eastAsia"/>
          <w:lang w:eastAsia="zh-HK"/>
        </w:rPr>
        <w:t>億元。二零二三年上半年合計，買賣合約數目較二零二二年下半年上升</w:t>
      </w:r>
      <w:r>
        <w:rPr>
          <w:rFonts w:hint="eastAsia"/>
        </w:rPr>
        <w:t>31%</w:t>
      </w:r>
      <w:r>
        <w:rPr>
          <w:rFonts w:hint="eastAsia"/>
          <w:lang w:eastAsia="zh-HK"/>
        </w:rPr>
        <w:t>至</w:t>
      </w:r>
      <w:r>
        <w:rPr>
          <w:rFonts w:hint="eastAsia"/>
        </w:rPr>
        <w:t>26</w:t>
      </w:r>
      <w:r>
        <w:t> </w:t>
      </w:r>
      <w:r>
        <w:rPr>
          <w:rFonts w:hint="eastAsia"/>
        </w:rPr>
        <w:t>222</w:t>
      </w:r>
      <w:r w:rsidR="00107933">
        <w:t> </w:t>
      </w:r>
      <w:r>
        <w:rPr>
          <w:rFonts w:hint="eastAsia"/>
          <w:lang w:eastAsia="zh-HK"/>
        </w:rPr>
        <w:t>份，</w:t>
      </w:r>
      <w:r w:rsidRPr="007D291E">
        <w:rPr>
          <w:rFonts w:hint="eastAsia"/>
        </w:rPr>
        <w:t>買賣合約總值</w:t>
      </w:r>
      <w:r>
        <w:rPr>
          <w:rFonts w:hint="eastAsia"/>
          <w:lang w:eastAsia="zh-HK"/>
        </w:rPr>
        <w:t>上升</w:t>
      </w:r>
      <w:r>
        <w:rPr>
          <w:rFonts w:hint="eastAsia"/>
        </w:rPr>
        <w:t>43</w:t>
      </w:r>
      <w:r w:rsidRPr="007D291E">
        <w:t>%</w:t>
      </w:r>
      <w:r w:rsidRPr="007D291E">
        <w:rPr>
          <w:rFonts w:hint="eastAsia"/>
        </w:rPr>
        <w:t>至</w:t>
      </w:r>
      <w:r>
        <w:rPr>
          <w:rFonts w:hint="eastAsia"/>
        </w:rPr>
        <w:t>2</w:t>
      </w:r>
      <w:r w:rsidRPr="007D291E">
        <w:rPr>
          <w:rFonts w:hint="eastAsia"/>
        </w:rPr>
        <w:t>,</w:t>
      </w:r>
      <w:r>
        <w:rPr>
          <w:rFonts w:hint="eastAsia"/>
        </w:rPr>
        <w:t>427</w:t>
      </w:r>
      <w:r w:rsidRPr="007D291E">
        <w:rPr>
          <w:rFonts w:hint="eastAsia"/>
        </w:rPr>
        <w:t>億元。</w:t>
      </w:r>
    </w:p>
    <w:p w14:paraId="105A5316" w14:textId="170371DF" w:rsidR="000D0EBB" w:rsidRDefault="000D0EBB" w:rsidP="004A7B86">
      <w:pPr>
        <w:rPr>
          <w:lang w:val="en-GB" w:eastAsia="zh-HK"/>
        </w:rPr>
      </w:pPr>
      <w:r w:rsidRPr="000D0EBB">
        <w:rPr>
          <w:rFonts w:hint="eastAsia"/>
          <w:noProof/>
        </w:rPr>
        <w:drawing>
          <wp:inline distT="0" distB="0" distL="0" distR="0" wp14:anchorId="2CFF3249" wp14:editId="7164E02B">
            <wp:extent cx="5760085" cy="3525861"/>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5861"/>
                    </a:xfrm>
                    <a:prstGeom prst="rect">
                      <a:avLst/>
                    </a:prstGeom>
                    <a:noFill/>
                    <a:ln>
                      <a:noFill/>
                    </a:ln>
                  </pic:spPr>
                </pic:pic>
              </a:graphicData>
            </a:graphic>
          </wp:inline>
        </w:drawing>
      </w:r>
    </w:p>
    <w:p w14:paraId="55D317F4" w14:textId="77777777" w:rsidR="000D0EBB" w:rsidRDefault="000D0EBB">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36321577" w14:textId="35B0A171" w:rsidR="007F7586" w:rsidRDefault="007F7586" w:rsidP="004A7B86">
      <w:r>
        <w:rPr>
          <w:b/>
        </w:rPr>
        <w:lastRenderedPageBreak/>
        <w:t>3</w:t>
      </w:r>
      <w:r>
        <w:rPr>
          <w:rFonts w:hint="eastAsia"/>
          <w:b/>
        </w:rPr>
        <w:t>.</w:t>
      </w:r>
      <w:r>
        <w:rPr>
          <w:b/>
        </w:rPr>
        <w:t>3</w:t>
      </w:r>
      <w:r w:rsidRPr="00D01081">
        <w:tab/>
      </w:r>
      <w:r w:rsidRPr="00FB7748">
        <w:rPr>
          <w:rFonts w:hint="eastAsia"/>
        </w:rPr>
        <w:t>整體</w:t>
      </w:r>
      <w:r w:rsidRPr="00197C36">
        <w:rPr>
          <w:rFonts w:hint="eastAsia"/>
        </w:rPr>
        <w:t>住宅售價</w:t>
      </w:r>
      <w:r>
        <w:rPr>
          <w:rFonts w:hint="eastAsia"/>
          <w:lang w:eastAsia="zh-HK"/>
        </w:rPr>
        <w:t>在第一季</w:t>
      </w:r>
      <w:r w:rsidRPr="001F3D9A">
        <w:rPr>
          <w:rFonts w:hint="eastAsia"/>
          <w:lang w:eastAsia="zh-HK"/>
        </w:rPr>
        <w:t>內</w:t>
      </w:r>
      <w:r>
        <w:rPr>
          <w:rFonts w:hint="eastAsia"/>
          <w:lang w:eastAsia="zh-HK"/>
        </w:rPr>
        <w:t>上升</w:t>
      </w:r>
      <w:r>
        <w:rPr>
          <w:rFonts w:hint="eastAsia"/>
        </w:rPr>
        <w:t>5%</w:t>
      </w:r>
      <w:r>
        <w:rPr>
          <w:rFonts w:hint="eastAsia"/>
          <w:lang w:eastAsia="zh-HK"/>
        </w:rPr>
        <w:t>後，</w:t>
      </w:r>
      <w:r w:rsidR="00CA64EF">
        <w:rPr>
          <w:rFonts w:hint="eastAsia"/>
        </w:rPr>
        <w:t>於</w:t>
      </w:r>
      <w:r>
        <w:rPr>
          <w:rFonts w:hint="eastAsia"/>
          <w:lang w:eastAsia="zh-HK"/>
        </w:rPr>
        <w:t>第二季</w:t>
      </w:r>
      <w:r w:rsidRPr="001F3D9A">
        <w:rPr>
          <w:rFonts w:hint="eastAsia"/>
          <w:lang w:eastAsia="zh-HK"/>
        </w:rPr>
        <w:t>內</w:t>
      </w:r>
      <w:r w:rsidR="001B683D">
        <w:rPr>
          <w:rFonts w:hint="eastAsia"/>
          <w:lang w:eastAsia="zh-HK"/>
        </w:rPr>
        <w:t>錄得</w:t>
      </w:r>
      <w:r>
        <w:rPr>
          <w:rFonts w:hint="eastAsia"/>
        </w:rPr>
        <w:t>1%</w:t>
      </w:r>
      <w:r w:rsidR="001B683D">
        <w:rPr>
          <w:rFonts w:hint="eastAsia"/>
          <w:lang w:eastAsia="zh-HK"/>
        </w:rPr>
        <w:t>的跌幅</w:t>
      </w:r>
      <w:r w:rsidR="00007701" w:rsidRPr="00197C36">
        <w:rPr>
          <w:rFonts w:hint="eastAsia"/>
        </w:rPr>
        <w:t>。</w:t>
      </w:r>
      <w:r w:rsidR="004117C7">
        <w:rPr>
          <w:rFonts w:hint="eastAsia"/>
        </w:rPr>
        <w:t>樓價</w:t>
      </w:r>
      <w:r w:rsidR="001B683D">
        <w:rPr>
          <w:rFonts w:hint="eastAsia"/>
          <w:lang w:eastAsia="zh-HK"/>
        </w:rPr>
        <w:t>在</w:t>
      </w:r>
      <w:r>
        <w:rPr>
          <w:rFonts w:hint="eastAsia"/>
          <w:lang w:eastAsia="zh-HK"/>
        </w:rPr>
        <w:t>四月</w:t>
      </w:r>
      <w:r w:rsidR="00CA64EF">
        <w:rPr>
          <w:rFonts w:hint="eastAsia"/>
          <w:lang w:eastAsia="zh-HK"/>
        </w:rPr>
        <w:t>按月</w:t>
      </w:r>
      <w:r w:rsidR="006F39AA">
        <w:rPr>
          <w:rFonts w:hint="eastAsia"/>
        </w:rPr>
        <w:t>微</w:t>
      </w:r>
      <w:r>
        <w:rPr>
          <w:rFonts w:hint="eastAsia"/>
          <w:lang w:eastAsia="zh-HK"/>
        </w:rPr>
        <w:t>升</w:t>
      </w:r>
      <w:r w:rsidR="001B683D">
        <w:rPr>
          <w:rFonts w:hint="eastAsia"/>
          <w:lang w:eastAsia="zh-HK"/>
        </w:rPr>
        <w:t>後，</w:t>
      </w:r>
      <w:r w:rsidR="00BC59E3">
        <w:rPr>
          <w:rFonts w:hint="eastAsia"/>
          <w:lang w:eastAsia="zh-HK"/>
        </w:rPr>
        <w:t>在</w:t>
      </w:r>
      <w:r>
        <w:rPr>
          <w:rFonts w:hint="eastAsia"/>
          <w:lang w:eastAsia="zh-HK"/>
        </w:rPr>
        <w:t>五月和六月</w:t>
      </w:r>
      <w:r w:rsidR="004117C7">
        <w:rPr>
          <w:rFonts w:hint="eastAsia"/>
        </w:rPr>
        <w:t>均</w:t>
      </w:r>
      <w:r w:rsidR="00CA64EF">
        <w:rPr>
          <w:rFonts w:hint="eastAsia"/>
        </w:rPr>
        <w:t>下</w:t>
      </w:r>
      <w:r>
        <w:rPr>
          <w:rFonts w:hint="eastAsia"/>
          <w:lang w:eastAsia="zh-HK"/>
        </w:rPr>
        <w:t>跌。</w:t>
      </w:r>
      <w:r w:rsidRPr="00197C36">
        <w:rPr>
          <w:rFonts w:hint="eastAsia"/>
        </w:rPr>
        <w:t>按面積分析，中小型單位</w:t>
      </w:r>
      <w:r w:rsidR="006E1EE8">
        <w:rPr>
          <w:rFonts w:hint="eastAsia"/>
          <w:lang w:eastAsia="zh-HK"/>
        </w:rPr>
        <w:t>和大型單位</w:t>
      </w:r>
      <w:r w:rsidRPr="00197C36">
        <w:rPr>
          <w:rFonts w:hint="eastAsia"/>
        </w:rPr>
        <w:t>的售價</w:t>
      </w:r>
      <w:r>
        <w:rPr>
          <w:rFonts w:hint="eastAsia"/>
          <w:lang w:eastAsia="zh-HK"/>
        </w:rPr>
        <w:t>在季內</w:t>
      </w:r>
      <w:r w:rsidR="006E1EE8">
        <w:rPr>
          <w:rFonts w:hint="eastAsia"/>
          <w:lang w:eastAsia="zh-HK"/>
        </w:rPr>
        <w:t>均</w:t>
      </w:r>
      <w:r>
        <w:rPr>
          <w:rFonts w:hint="eastAsia"/>
        </w:rPr>
        <w:t>微</w:t>
      </w:r>
      <w:r>
        <w:rPr>
          <w:rFonts w:hint="eastAsia"/>
          <w:lang w:eastAsia="zh-HK"/>
        </w:rPr>
        <w:t>跌</w:t>
      </w:r>
      <w:r>
        <w:rPr>
          <w:rFonts w:hint="eastAsia"/>
        </w:rPr>
        <w:t>1%</w:t>
      </w:r>
      <w:r w:rsidRPr="009E7E6F">
        <w:rPr>
          <w:rFonts w:hint="eastAsia"/>
          <w:lang w:eastAsia="zh-HK"/>
        </w:rPr>
        <w:t>。</w:t>
      </w:r>
      <w:r w:rsidRPr="00197C36">
        <w:rPr>
          <w:rFonts w:hint="eastAsia"/>
        </w:rPr>
        <w:t>二零二</w:t>
      </w:r>
      <w:r>
        <w:rPr>
          <w:rFonts w:hint="eastAsia"/>
          <w:lang w:eastAsia="zh-HK"/>
        </w:rPr>
        <w:t>三</w:t>
      </w:r>
      <w:r w:rsidRPr="00197C36">
        <w:rPr>
          <w:rFonts w:hint="eastAsia"/>
        </w:rPr>
        <w:t>年</w:t>
      </w:r>
      <w:r>
        <w:rPr>
          <w:rFonts w:hint="eastAsia"/>
          <w:lang w:eastAsia="zh-HK"/>
        </w:rPr>
        <w:t>六</w:t>
      </w:r>
      <w:r w:rsidRPr="00197C36">
        <w:rPr>
          <w:rFonts w:hint="eastAsia"/>
        </w:rPr>
        <w:t>月的住宅售價平均</w:t>
      </w:r>
      <w:r w:rsidR="00AB5CFB">
        <w:rPr>
          <w:rFonts w:hint="eastAsia"/>
          <w:lang w:eastAsia="zh-HK"/>
        </w:rPr>
        <w:t>仍</w:t>
      </w:r>
      <w:r w:rsidRPr="00197C36">
        <w:rPr>
          <w:rFonts w:hint="eastAsia"/>
        </w:rPr>
        <w:t>較二零</w:t>
      </w:r>
      <w:r>
        <w:rPr>
          <w:rFonts w:hint="eastAsia"/>
          <w:lang w:eastAsia="zh-HK"/>
        </w:rPr>
        <w:t>二二</w:t>
      </w:r>
      <w:r w:rsidRPr="00197C36">
        <w:rPr>
          <w:rFonts w:hint="eastAsia"/>
        </w:rPr>
        <w:t>年</w:t>
      </w:r>
      <w:r>
        <w:rPr>
          <w:rFonts w:hint="eastAsia"/>
          <w:lang w:eastAsia="zh-HK"/>
        </w:rPr>
        <w:t>十二</w:t>
      </w:r>
      <w:r w:rsidRPr="00197C36">
        <w:rPr>
          <w:rFonts w:hint="eastAsia"/>
        </w:rPr>
        <w:t>月</w:t>
      </w:r>
      <w:r>
        <w:rPr>
          <w:rFonts w:hint="eastAsia"/>
          <w:lang w:eastAsia="zh-HK"/>
        </w:rPr>
        <w:t>高</w:t>
      </w:r>
      <w:r>
        <w:rPr>
          <w:rFonts w:hint="eastAsia"/>
        </w:rPr>
        <w:t>4%</w:t>
      </w:r>
      <w:r>
        <w:rPr>
          <w:rFonts w:hint="eastAsia"/>
          <w:lang w:eastAsia="zh-HK"/>
        </w:rPr>
        <w:t>，但</w:t>
      </w:r>
      <w:r w:rsidRPr="00197C36">
        <w:rPr>
          <w:rFonts w:hint="eastAsia"/>
        </w:rPr>
        <w:t>較二零</w:t>
      </w:r>
      <w:r>
        <w:rPr>
          <w:rFonts w:hint="eastAsia"/>
          <w:lang w:eastAsia="zh-HK"/>
        </w:rPr>
        <w:t>二一</w:t>
      </w:r>
      <w:r w:rsidRPr="00197C36">
        <w:rPr>
          <w:rFonts w:hint="eastAsia"/>
        </w:rPr>
        <w:t>年</w:t>
      </w:r>
      <w:r>
        <w:rPr>
          <w:rFonts w:hint="eastAsia"/>
          <w:lang w:eastAsia="zh-HK"/>
        </w:rPr>
        <w:t>九</w:t>
      </w:r>
      <w:r w:rsidRPr="00197C36">
        <w:rPr>
          <w:rFonts w:hint="eastAsia"/>
        </w:rPr>
        <w:t>月的高</w:t>
      </w:r>
      <w:r w:rsidRPr="00C31456">
        <w:rPr>
          <w:rFonts w:hint="eastAsia"/>
        </w:rPr>
        <w:t>峯</w:t>
      </w:r>
      <w:r w:rsidRPr="00197C36">
        <w:rPr>
          <w:rFonts w:hint="eastAsia"/>
        </w:rPr>
        <w:t>低</w:t>
      </w:r>
      <w:r>
        <w:rPr>
          <w:rFonts w:hint="eastAsia"/>
        </w:rPr>
        <w:t>12</w:t>
      </w:r>
      <w:r w:rsidRPr="00197C36">
        <w:rPr>
          <w:rFonts w:hint="eastAsia"/>
        </w:rPr>
        <w:t>%</w:t>
      </w:r>
      <w:r w:rsidRPr="00197C36">
        <w:rPr>
          <w:rFonts w:hint="eastAsia"/>
        </w:rPr>
        <w:t>。</w:t>
      </w:r>
    </w:p>
    <w:p w14:paraId="3A6E34F2" w14:textId="0C7C075D" w:rsidR="007F7586" w:rsidRDefault="007F7586" w:rsidP="004A7B86">
      <w:pPr>
        <w:rPr>
          <w:lang w:eastAsia="zh-HK"/>
        </w:rPr>
      </w:pPr>
      <w:r>
        <w:rPr>
          <w:b/>
        </w:rPr>
        <w:t>3</w:t>
      </w:r>
      <w:r>
        <w:rPr>
          <w:rFonts w:hint="eastAsia"/>
          <w:b/>
        </w:rPr>
        <w:t>.</w:t>
      </w:r>
      <w:r>
        <w:rPr>
          <w:b/>
        </w:rPr>
        <w:t>4</w:t>
      </w:r>
      <w:r w:rsidRPr="00D01081">
        <w:tab/>
      </w:r>
      <w:r w:rsidRPr="00FB7748">
        <w:rPr>
          <w:rFonts w:hint="eastAsia"/>
        </w:rPr>
        <w:t>整體</w:t>
      </w:r>
      <w:r w:rsidRPr="001B4841">
        <w:rPr>
          <w:rFonts w:hint="eastAsia"/>
        </w:rPr>
        <w:t>住宅租金在</w:t>
      </w:r>
      <w:r>
        <w:rPr>
          <w:rFonts w:hint="eastAsia"/>
          <w:lang w:eastAsia="zh-HK"/>
        </w:rPr>
        <w:t>第二季內上升</w:t>
      </w:r>
      <w:r>
        <w:rPr>
          <w:rFonts w:hint="eastAsia"/>
        </w:rPr>
        <w:t>3%</w:t>
      </w:r>
      <w:r>
        <w:rPr>
          <w:rFonts w:hint="eastAsia"/>
          <w:lang w:eastAsia="zh-HK"/>
        </w:rPr>
        <w:t>。按面積分析，中小型單位和</w:t>
      </w:r>
      <w:r w:rsidRPr="00144C46">
        <w:rPr>
          <w:rFonts w:hint="eastAsia"/>
          <w:spacing w:val="28"/>
          <w:lang w:eastAsia="zh-HK"/>
        </w:rPr>
        <w:t>大型單位的租金</w:t>
      </w:r>
      <w:r w:rsidR="001B683D" w:rsidRPr="00144C46">
        <w:rPr>
          <w:rFonts w:hint="eastAsia"/>
          <w:spacing w:val="28"/>
          <w:lang w:eastAsia="zh-HK"/>
        </w:rPr>
        <w:t>均</w:t>
      </w:r>
      <w:r w:rsidRPr="00144C46">
        <w:rPr>
          <w:rFonts w:hint="eastAsia"/>
          <w:spacing w:val="28"/>
          <w:lang w:eastAsia="zh-HK"/>
        </w:rPr>
        <w:t>上</w:t>
      </w:r>
      <w:r w:rsidRPr="00144C46">
        <w:rPr>
          <w:rFonts w:hint="eastAsia"/>
          <w:spacing w:val="28"/>
        </w:rPr>
        <w:t>升</w:t>
      </w:r>
      <w:r w:rsidRPr="00144C46">
        <w:rPr>
          <w:spacing w:val="28"/>
          <w:lang w:eastAsia="zh-HK"/>
        </w:rPr>
        <w:t>3%</w:t>
      </w:r>
      <w:r w:rsidRPr="00144C46">
        <w:rPr>
          <w:rFonts w:hint="eastAsia"/>
          <w:spacing w:val="28"/>
          <w:lang w:eastAsia="zh-HK"/>
        </w:rPr>
        <w:t>。二零二三年六月的住宅租金平均較二零二二年十二月高</w:t>
      </w:r>
      <w:r w:rsidR="001B683D" w:rsidRPr="00144C46">
        <w:rPr>
          <w:spacing w:val="28"/>
        </w:rPr>
        <w:t>3</w:t>
      </w:r>
      <w:r w:rsidRPr="00144C46">
        <w:rPr>
          <w:spacing w:val="28"/>
          <w:lang w:eastAsia="zh-HK"/>
        </w:rPr>
        <w:t>%</w:t>
      </w:r>
      <w:r w:rsidRPr="00144C46">
        <w:rPr>
          <w:rFonts w:hint="eastAsia"/>
          <w:spacing w:val="28"/>
          <w:lang w:eastAsia="zh-HK"/>
        </w:rPr>
        <w:t>，但仍較二零一</w:t>
      </w:r>
      <w:r>
        <w:rPr>
          <w:rFonts w:hint="eastAsia"/>
          <w:lang w:eastAsia="zh-HK"/>
        </w:rPr>
        <w:t>九年八月的高峯低</w:t>
      </w:r>
      <w:r>
        <w:rPr>
          <w:rFonts w:hint="eastAsia"/>
        </w:rPr>
        <w:t>9</w:t>
      </w:r>
      <w:r>
        <w:rPr>
          <w:rFonts w:hint="eastAsia"/>
          <w:lang w:eastAsia="zh-HK"/>
        </w:rPr>
        <w:t>%</w:t>
      </w:r>
      <w:r>
        <w:rPr>
          <w:rFonts w:hint="eastAsia"/>
          <w:lang w:eastAsia="zh-HK"/>
        </w:rPr>
        <w:t>。住宅物業平均租金回報率由三月的</w:t>
      </w:r>
      <w:r>
        <w:rPr>
          <w:rFonts w:hint="eastAsia"/>
        </w:rPr>
        <w:t>2.4</w:t>
      </w:r>
      <w:r>
        <w:rPr>
          <w:rFonts w:hint="eastAsia"/>
          <w:lang w:eastAsia="zh-HK"/>
        </w:rPr>
        <w:t>%</w:t>
      </w:r>
      <w:r>
        <w:rPr>
          <w:rFonts w:hint="eastAsia"/>
          <w:lang w:eastAsia="zh-HK"/>
        </w:rPr>
        <w:t>微升至六月的</w:t>
      </w:r>
      <w:r>
        <w:rPr>
          <w:rFonts w:hint="eastAsia"/>
        </w:rPr>
        <w:t>2.5</w:t>
      </w:r>
      <w:r>
        <w:rPr>
          <w:rFonts w:hint="eastAsia"/>
          <w:lang w:eastAsia="zh-HK"/>
        </w:rPr>
        <w:t>%</w:t>
      </w:r>
      <w:r>
        <w:rPr>
          <w:rFonts w:hint="eastAsia"/>
          <w:lang w:eastAsia="zh-HK"/>
        </w:rPr>
        <w:t>。</w:t>
      </w:r>
    </w:p>
    <w:p w14:paraId="3D2015B1" w14:textId="12397DA5" w:rsidR="004A7B86" w:rsidRPr="005267EE" w:rsidRDefault="009E0754" w:rsidP="004A7B86">
      <w:pPr>
        <w:tabs>
          <w:tab w:val="left" w:pos="1080"/>
        </w:tabs>
        <w:rPr>
          <w:sz w:val="28"/>
          <w:szCs w:val="28"/>
        </w:rPr>
      </w:pPr>
      <w:r w:rsidRPr="009E0754">
        <w:rPr>
          <w:noProof/>
        </w:rPr>
        <w:drawing>
          <wp:inline distT="0" distB="0" distL="0" distR="0" wp14:anchorId="3CD81DC9" wp14:editId="5CF22F00">
            <wp:extent cx="5760085" cy="3500176"/>
            <wp:effectExtent l="0" t="0" r="0" b="508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0176"/>
                    </a:xfrm>
                    <a:prstGeom prst="rect">
                      <a:avLst/>
                    </a:prstGeom>
                    <a:noFill/>
                    <a:ln>
                      <a:noFill/>
                    </a:ln>
                  </pic:spPr>
                </pic:pic>
              </a:graphicData>
            </a:graphic>
          </wp:inline>
        </w:drawing>
      </w:r>
    </w:p>
    <w:p w14:paraId="44AA7DE0" w14:textId="4A8F6C3D" w:rsidR="007F7586" w:rsidRDefault="007F7586" w:rsidP="004A7B86">
      <w:r>
        <w:rPr>
          <w:rFonts w:hint="eastAsia"/>
          <w:b/>
        </w:rPr>
        <w:t>3</w:t>
      </w:r>
      <w:r w:rsidRPr="00C026DB">
        <w:rPr>
          <w:rFonts w:hint="eastAsia"/>
          <w:b/>
        </w:rPr>
        <w:t>.5</w:t>
      </w:r>
      <w:r w:rsidRPr="00C026DB">
        <w:tab/>
      </w:r>
      <w:r w:rsidR="00F96841">
        <w:rPr>
          <w:rFonts w:hint="eastAsia"/>
          <w:lang w:eastAsia="zh-HK"/>
        </w:rPr>
        <w:t>隨着按揭利率上升，</w:t>
      </w:r>
      <w:r w:rsidRPr="00C026DB">
        <w:rPr>
          <w:rFonts w:hint="eastAsia"/>
        </w:rPr>
        <w:t>市民的置業負擔指數</w:t>
      </w:r>
      <w:r w:rsidRPr="00C026DB">
        <w:t>(</w:t>
      </w:r>
      <w:r w:rsidRPr="00C026DB">
        <w:rPr>
          <w:rFonts w:hint="eastAsia"/>
        </w:rPr>
        <w:t>即面積</w:t>
      </w:r>
      <w:r>
        <w:t> </w:t>
      </w:r>
      <w:r w:rsidRPr="00C026DB">
        <w:t>45</w:t>
      </w:r>
      <w:r w:rsidRPr="00C026DB">
        <w:rPr>
          <w:lang w:eastAsia="zh-HK"/>
        </w:rPr>
        <w:t> </w:t>
      </w:r>
      <w:r w:rsidRPr="00C026DB">
        <w:rPr>
          <w:rFonts w:hint="eastAsia"/>
        </w:rPr>
        <w:t>平方米單位的按揭供款相對住戶入息中位數</w:t>
      </w:r>
      <w:r w:rsidRPr="00C026DB">
        <w:t>(</w:t>
      </w:r>
      <w:r w:rsidRPr="00C026DB">
        <w:rPr>
          <w:rFonts w:hint="eastAsia"/>
        </w:rPr>
        <w:t>不包括</w:t>
      </w:r>
      <w:r w:rsidRPr="00060757">
        <w:rPr>
          <w:rFonts w:hint="eastAsia"/>
        </w:rPr>
        <w:t>公共租住房屋和公營臨時房屋的住戶</w:t>
      </w:r>
      <w:r w:rsidRPr="00C026DB">
        <w:rPr>
          <w:rFonts w:hint="eastAsia"/>
        </w:rPr>
        <w:t>)</w:t>
      </w:r>
      <w:r w:rsidRPr="00C026DB">
        <w:rPr>
          <w:rFonts w:hint="eastAsia"/>
        </w:rPr>
        <w:t>的比</w:t>
      </w:r>
      <w:r w:rsidRPr="00465956">
        <w:rPr>
          <w:rFonts w:hint="eastAsia"/>
          <w:spacing w:val="32"/>
        </w:rPr>
        <w:t>率</w:t>
      </w:r>
      <w:r w:rsidRPr="00465956">
        <w:rPr>
          <w:spacing w:val="32"/>
        </w:rPr>
        <w:t>)</w:t>
      </w:r>
      <w:r w:rsidRPr="00465956">
        <w:rPr>
          <w:rFonts w:hint="eastAsia"/>
          <w:spacing w:val="32"/>
        </w:rPr>
        <w:t>在</w:t>
      </w:r>
      <w:r>
        <w:rPr>
          <w:rFonts w:hint="eastAsia"/>
          <w:spacing w:val="32"/>
        </w:rPr>
        <w:t>第</w:t>
      </w:r>
      <w:r>
        <w:rPr>
          <w:rFonts w:hint="eastAsia"/>
          <w:spacing w:val="32"/>
          <w:lang w:eastAsia="zh-HK"/>
        </w:rPr>
        <w:t>二</w:t>
      </w:r>
      <w:r w:rsidRPr="00465956">
        <w:rPr>
          <w:rFonts w:hint="eastAsia"/>
          <w:spacing w:val="32"/>
        </w:rPr>
        <w:t>季</w:t>
      </w:r>
      <w:r w:rsidR="00F96841">
        <w:rPr>
          <w:rFonts w:hint="eastAsia"/>
          <w:spacing w:val="32"/>
          <w:lang w:eastAsia="zh-HK"/>
        </w:rPr>
        <w:t>進一步上升至</w:t>
      </w:r>
      <w:r w:rsidRPr="00190C48">
        <w:rPr>
          <w:rFonts w:hint="eastAsia"/>
          <w:spacing w:val="32"/>
        </w:rPr>
        <w:t>7</w:t>
      </w:r>
      <w:r w:rsidR="00F96841">
        <w:rPr>
          <w:rFonts w:hint="eastAsia"/>
          <w:spacing w:val="32"/>
        </w:rPr>
        <w:t>5</w:t>
      </w:r>
      <w:r w:rsidRPr="00190C48">
        <w:rPr>
          <w:rFonts w:hint="eastAsia"/>
          <w:spacing w:val="32"/>
        </w:rPr>
        <w:t>%</w:t>
      </w:r>
      <w:r>
        <w:rPr>
          <w:rFonts w:hint="eastAsia"/>
          <w:lang w:eastAsia="zh-HK"/>
        </w:rPr>
        <w:t>，</w:t>
      </w:r>
      <w:r>
        <w:rPr>
          <w:rFonts w:hint="eastAsia"/>
          <w:spacing w:val="32"/>
        </w:rPr>
        <w:t>遠高於二零零三</w:t>
      </w:r>
      <w:r w:rsidRPr="00465956">
        <w:rPr>
          <w:rFonts w:hint="eastAsia"/>
          <w:spacing w:val="32"/>
        </w:rPr>
        <w:t>至二零二</w:t>
      </w:r>
      <w:r>
        <w:rPr>
          <w:rFonts w:hint="eastAsia"/>
          <w:spacing w:val="32"/>
        </w:rPr>
        <w:t>二</w:t>
      </w:r>
      <w:r w:rsidRPr="00465956">
        <w:rPr>
          <w:rFonts w:hint="eastAsia"/>
          <w:spacing w:val="32"/>
        </w:rPr>
        <w:t>年期間</w:t>
      </w:r>
      <w:r>
        <w:rPr>
          <w:rFonts w:hint="eastAsia"/>
          <w:spacing w:val="32"/>
        </w:rPr>
        <w:t>51</w:t>
      </w:r>
      <w:r w:rsidRPr="00465956">
        <w:rPr>
          <w:spacing w:val="32"/>
        </w:rPr>
        <w:t>%</w:t>
      </w:r>
      <w:r w:rsidRPr="00465956">
        <w:rPr>
          <w:rFonts w:hint="eastAsia"/>
          <w:spacing w:val="32"/>
        </w:rPr>
        <w:t>的長期平均數</w:t>
      </w:r>
      <w:r w:rsidRPr="00C026DB">
        <w:rPr>
          <w:rFonts w:hint="eastAsia"/>
          <w:vertAlign w:val="superscript"/>
        </w:rPr>
        <w:t>(1)</w:t>
      </w:r>
      <w:r w:rsidRPr="00465956">
        <w:rPr>
          <w:rFonts w:hint="eastAsia"/>
          <w:spacing w:val="32"/>
          <w:szCs w:val="24"/>
        </w:rPr>
        <w:t>。</w:t>
      </w:r>
      <w:r w:rsidRPr="00465956">
        <w:rPr>
          <w:rFonts w:hint="eastAsia"/>
          <w:spacing w:val="32"/>
        </w:rPr>
        <w:t>假如利率</w:t>
      </w:r>
      <w:r w:rsidRPr="00497D55">
        <w:rPr>
          <w:rFonts w:hint="eastAsia"/>
        </w:rPr>
        <w:t>上升兩個百分點至較接近以往的水平，該比率會</w:t>
      </w:r>
      <w:r>
        <w:rPr>
          <w:rFonts w:hint="eastAsia"/>
        </w:rPr>
        <w:t>達</w:t>
      </w:r>
      <w:r>
        <w:t>8</w:t>
      </w:r>
      <w:r w:rsidR="00F96841">
        <w:rPr>
          <w:rFonts w:hint="eastAsia"/>
        </w:rPr>
        <w:t>9</w:t>
      </w:r>
      <w:r w:rsidRPr="00C026DB">
        <w:rPr>
          <w:rFonts w:hint="eastAsia"/>
        </w:rPr>
        <w:t>%</w:t>
      </w:r>
      <w:r w:rsidRPr="00C026DB">
        <w:rPr>
          <w:rFonts w:hint="eastAsia"/>
        </w:rPr>
        <w:t>。</w:t>
      </w:r>
    </w:p>
    <w:p w14:paraId="472B130D" w14:textId="7B383187" w:rsidR="004A7B86" w:rsidRPr="00DF74DF" w:rsidRDefault="007A2743" w:rsidP="004A7B86">
      <w:pPr>
        <w:rPr>
          <w:b/>
        </w:rPr>
      </w:pPr>
      <w:r w:rsidRPr="007A2743">
        <w:rPr>
          <w:noProof/>
        </w:rPr>
        <w:lastRenderedPageBreak/>
        <w:drawing>
          <wp:inline distT="0" distB="0" distL="0" distR="0" wp14:anchorId="3393CED7" wp14:editId="779412FA">
            <wp:extent cx="5760085" cy="355155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51555"/>
                    </a:xfrm>
                    <a:prstGeom prst="rect">
                      <a:avLst/>
                    </a:prstGeom>
                    <a:noFill/>
                    <a:ln>
                      <a:noFill/>
                    </a:ln>
                  </pic:spPr>
                </pic:pic>
              </a:graphicData>
            </a:graphic>
          </wp:inline>
        </w:drawing>
      </w:r>
    </w:p>
    <w:p w14:paraId="2525E72F" w14:textId="66646AEB" w:rsidR="007F7586" w:rsidRDefault="007F7586" w:rsidP="004A7B86">
      <w:r w:rsidRPr="00020C76">
        <w:rPr>
          <w:b/>
        </w:rPr>
        <w:t>3.6</w:t>
      </w:r>
      <w:r w:rsidRPr="00020C76">
        <w:tab/>
      </w:r>
      <w:r w:rsidRPr="00C026DB">
        <w:t>增加</w:t>
      </w:r>
      <w:r w:rsidRPr="00084A1B">
        <w:rPr>
          <w:rFonts w:hint="eastAsia"/>
        </w:rPr>
        <w:t>房屋</w:t>
      </w:r>
      <w:r w:rsidRPr="00C026DB">
        <w:t>土地供應</w:t>
      </w:r>
      <w:r w:rsidRPr="00020C76">
        <w:t>是政府的</w:t>
      </w:r>
      <w:r w:rsidRPr="00020C76">
        <w:rPr>
          <w:rFonts w:hint="eastAsia"/>
          <w:lang w:eastAsia="zh-HK"/>
        </w:rPr>
        <w:t>一項首要政策</w:t>
      </w:r>
      <w:r w:rsidRPr="00020C76">
        <w:rPr>
          <w:rFonts w:hint="eastAsia"/>
          <w:vertAlign w:val="superscript"/>
        </w:rPr>
        <w:t>(</w:t>
      </w:r>
      <w:r w:rsidRPr="00020C76">
        <w:rPr>
          <w:vertAlign w:val="superscript"/>
        </w:rPr>
        <w:t>2)</w:t>
      </w:r>
      <w:r w:rsidRPr="00020C76">
        <w:t>。政府在</w:t>
      </w:r>
      <w:r>
        <w:rPr>
          <w:rFonts w:hint="eastAsia"/>
        </w:rPr>
        <w:t>六</w:t>
      </w:r>
      <w:r w:rsidRPr="00020C76">
        <w:t>月公布</w:t>
      </w:r>
      <w:r>
        <w:rPr>
          <w:rFonts w:hint="eastAsia"/>
        </w:rPr>
        <w:t>將於第三季推售</w:t>
      </w:r>
      <w:r w:rsidRPr="004E6E12">
        <w:rPr>
          <w:rFonts w:hint="eastAsia"/>
        </w:rPr>
        <w:t>兩幅住宅用地</w:t>
      </w:r>
      <w:r>
        <w:rPr>
          <w:rFonts w:hint="eastAsia"/>
        </w:rPr>
        <w:t>。計及政府賣地和私人發展及重建項目的供應，第三季私人房屋土地總供應</w:t>
      </w:r>
      <w:r w:rsidRPr="00020C76">
        <w:t>預計</w:t>
      </w:r>
      <w:r>
        <w:rPr>
          <w:rFonts w:hint="eastAsia"/>
        </w:rPr>
        <w:t>可供興建約</w:t>
      </w:r>
      <w:r>
        <w:rPr>
          <w:rFonts w:hint="eastAsia"/>
        </w:rPr>
        <w:t>4</w:t>
      </w:r>
      <w:r>
        <w:t> </w:t>
      </w:r>
      <w:r>
        <w:rPr>
          <w:rFonts w:hint="eastAsia"/>
        </w:rPr>
        <w:t>050</w:t>
      </w:r>
      <w:r>
        <w:t> </w:t>
      </w:r>
      <w:r w:rsidRPr="00020C76">
        <w:t>個單位</w:t>
      </w:r>
      <w:r>
        <w:rPr>
          <w:rFonts w:hint="eastAsia"/>
        </w:rPr>
        <w:t>。連同上一季的供應，</w:t>
      </w:r>
      <w:r w:rsidRPr="00020C76">
        <w:t>二零二</w:t>
      </w:r>
      <w:r>
        <w:rPr>
          <w:rFonts w:hint="eastAsia"/>
          <w:lang w:eastAsia="zh-HK"/>
        </w:rPr>
        <w:t>三</w:t>
      </w:r>
      <w:r w:rsidRPr="00020C76">
        <w:t>至二</w:t>
      </w:r>
      <w:r>
        <w:rPr>
          <w:rFonts w:hint="eastAsia"/>
          <w:lang w:eastAsia="zh-HK"/>
        </w:rPr>
        <w:t>四</w:t>
      </w:r>
      <w:r w:rsidRPr="00020C76">
        <w:t>年度</w:t>
      </w:r>
      <w:r>
        <w:rPr>
          <w:rFonts w:hint="eastAsia"/>
        </w:rPr>
        <w:t>上半年的私人房屋土地總供應預計可供興建約</w:t>
      </w:r>
      <w:r>
        <w:rPr>
          <w:rFonts w:hint="eastAsia"/>
        </w:rPr>
        <w:t>8</w:t>
      </w:r>
      <w:r>
        <w:t> </w:t>
      </w:r>
      <w:r>
        <w:rPr>
          <w:rFonts w:hint="eastAsia"/>
        </w:rPr>
        <w:t>280</w:t>
      </w:r>
      <w:r w:rsidR="001C77AB">
        <w:t> </w:t>
      </w:r>
      <w:r>
        <w:rPr>
          <w:rFonts w:hint="eastAsia"/>
        </w:rPr>
        <w:t>個單位，</w:t>
      </w:r>
      <w:r w:rsidR="00A43119">
        <w:rPr>
          <w:rFonts w:hint="eastAsia"/>
        </w:rPr>
        <w:t>達</w:t>
      </w:r>
      <w:r>
        <w:rPr>
          <w:rFonts w:hint="eastAsia"/>
        </w:rPr>
        <w:t>私人房屋供應的年度目標</w:t>
      </w:r>
      <w:r>
        <w:rPr>
          <w:rFonts w:hint="eastAsia"/>
        </w:rPr>
        <w:t>12</w:t>
      </w:r>
      <w:r>
        <w:t> </w:t>
      </w:r>
      <w:r>
        <w:rPr>
          <w:rFonts w:hint="eastAsia"/>
        </w:rPr>
        <w:t>900</w:t>
      </w:r>
      <w:r w:rsidR="001C77AB">
        <w:t> </w:t>
      </w:r>
      <w:r>
        <w:rPr>
          <w:rFonts w:hint="eastAsia"/>
        </w:rPr>
        <w:t>個單位約</w:t>
      </w:r>
      <w:r>
        <w:rPr>
          <w:rFonts w:hint="eastAsia"/>
        </w:rPr>
        <w:t>65%</w:t>
      </w:r>
      <w:r>
        <w:rPr>
          <w:rFonts w:hint="eastAsia"/>
        </w:rPr>
        <w:t>。</w:t>
      </w:r>
    </w:p>
    <w:p w14:paraId="3A22BD8E" w14:textId="75F07762" w:rsidR="007F7586" w:rsidRDefault="007F7586" w:rsidP="004A7B86">
      <w:r w:rsidRPr="00C321D0">
        <w:rPr>
          <w:b/>
        </w:rPr>
        <w:t>3.7</w:t>
      </w:r>
      <w:r w:rsidRPr="00C321D0">
        <w:tab/>
      </w:r>
      <w:r w:rsidRPr="00C321D0">
        <w:t>反映政府增加土地</w:t>
      </w:r>
      <w:r w:rsidRPr="008F361A">
        <w:rPr>
          <w:rFonts w:hint="eastAsia"/>
        </w:rPr>
        <w:t>及住宅</w:t>
      </w:r>
      <w:r w:rsidRPr="00C321D0">
        <w:t>供應的持續努力，</w:t>
      </w:r>
      <w:r w:rsidRPr="00C321D0">
        <w:rPr>
          <w:rFonts w:hint="eastAsia"/>
          <w:spacing w:val="32"/>
        </w:rPr>
        <w:t>二零二</w:t>
      </w:r>
      <w:r>
        <w:rPr>
          <w:rFonts w:hint="eastAsia"/>
          <w:spacing w:val="32"/>
          <w:lang w:eastAsia="zh-HK"/>
        </w:rPr>
        <w:t>三</w:t>
      </w:r>
      <w:r w:rsidRPr="00C321D0">
        <w:rPr>
          <w:rFonts w:hint="eastAsia"/>
          <w:spacing w:val="32"/>
        </w:rPr>
        <w:t>年</w:t>
      </w:r>
      <w:r>
        <w:rPr>
          <w:rFonts w:hint="eastAsia"/>
          <w:spacing w:val="32"/>
        </w:rPr>
        <w:t>六</w:t>
      </w:r>
      <w:r w:rsidRPr="00C321D0">
        <w:rPr>
          <w:rFonts w:hint="eastAsia"/>
          <w:spacing w:val="32"/>
        </w:rPr>
        <w:t>月底時估計</w:t>
      </w:r>
      <w:r w:rsidRPr="00C321D0">
        <w:t>未來三至四年</w:t>
      </w:r>
      <w:r w:rsidRPr="0025322B">
        <w:rPr>
          <w:rFonts w:hint="eastAsia"/>
          <w:i/>
          <w:lang w:eastAsia="zh-HK"/>
        </w:rPr>
        <w:t>一手</w:t>
      </w:r>
      <w:r w:rsidRPr="008525B9">
        <w:rPr>
          <w:rFonts w:hint="eastAsia"/>
          <w:i/>
        </w:rPr>
        <w:t>私人</w:t>
      </w:r>
      <w:r w:rsidRPr="00C321D0">
        <w:rPr>
          <w:i/>
        </w:rPr>
        <w:t>住宅單位總供應量</w:t>
      </w:r>
      <w:r w:rsidRPr="00C321D0">
        <w:t>(</w:t>
      </w:r>
      <w:r w:rsidRPr="00C321D0">
        <w:t>包括已落成項目的未售出單位、建築中而未售出的單位，以及已批出土地而隨時可動工的項目所涉及的單位</w:t>
      </w:r>
      <w:r w:rsidRPr="00C321D0">
        <w:t>)</w:t>
      </w:r>
      <w:r w:rsidRPr="00C321D0">
        <w:t>會</w:t>
      </w:r>
      <w:r>
        <w:rPr>
          <w:rFonts w:hint="eastAsia"/>
        </w:rPr>
        <w:t>維持在</w:t>
      </w:r>
      <w:r>
        <w:rPr>
          <w:rFonts w:hint="eastAsia"/>
          <w:spacing w:val="32"/>
        </w:rPr>
        <w:t>105</w:t>
      </w:r>
      <w:r w:rsidRPr="00C321D0">
        <w:rPr>
          <w:spacing w:val="32"/>
        </w:rPr>
        <w:t> 000</w:t>
      </w:r>
      <w:r w:rsidRPr="00C321D0">
        <w:rPr>
          <w:rFonts w:hint="eastAsia"/>
          <w:spacing w:val="32"/>
        </w:rPr>
        <w:t>個</w:t>
      </w:r>
      <w:r>
        <w:rPr>
          <w:rFonts w:hint="eastAsia"/>
          <w:spacing w:val="32"/>
          <w:lang w:eastAsia="zh-HK"/>
        </w:rPr>
        <w:t>的高</w:t>
      </w:r>
      <w:r>
        <w:rPr>
          <w:rFonts w:hint="eastAsia"/>
          <w:spacing w:val="32"/>
        </w:rPr>
        <w:t>水平</w:t>
      </w:r>
      <w:r w:rsidRPr="00C321D0">
        <w:rPr>
          <w:rFonts w:hint="eastAsia"/>
          <w:spacing w:val="32"/>
        </w:rPr>
        <w:t>。在多幅住宅用地轉為「熟地」後，將可額外供應</w:t>
      </w:r>
      <w:r w:rsidR="00367043">
        <w:rPr>
          <w:rFonts w:hint="eastAsia"/>
          <w:spacing w:val="32"/>
        </w:rPr>
        <w:t>6 800</w:t>
      </w:r>
      <w:r w:rsidRPr="00C321D0">
        <w:rPr>
          <w:rFonts w:hint="eastAsia"/>
          <w:spacing w:val="32"/>
        </w:rPr>
        <w:t>個單位。</w:t>
      </w:r>
    </w:p>
    <w:p w14:paraId="23F561E1" w14:textId="77777777" w:rsidR="00FB2E03" w:rsidRDefault="00FB2E03">
      <w:pPr>
        <w:tabs>
          <w:tab w:val="clear" w:pos="936"/>
          <w:tab w:val="clear" w:pos="1560"/>
          <w:tab w:val="clear" w:pos="2184"/>
          <w:tab w:val="clear" w:pos="2808"/>
        </w:tabs>
        <w:overflowPunct/>
        <w:adjustRightInd/>
        <w:spacing w:after="0" w:line="240" w:lineRule="auto"/>
        <w:jc w:val="left"/>
        <w:textAlignment w:val="auto"/>
        <w:rPr>
          <w:b/>
          <w:noProof/>
        </w:rPr>
      </w:pPr>
      <w:r>
        <w:rPr>
          <w:b/>
          <w:noProof/>
        </w:rPr>
        <w:br w:type="page"/>
      </w:r>
    </w:p>
    <w:p w14:paraId="2A8FDC09" w14:textId="73C33C83" w:rsidR="007F7586" w:rsidRDefault="007F7586" w:rsidP="004A7B86">
      <w:r w:rsidRPr="00D04BA9">
        <w:rPr>
          <w:b/>
          <w:noProof/>
        </w:rPr>
        <w:lastRenderedPageBreak/>
        <w:t>3.8</w:t>
      </w:r>
      <w:r w:rsidRPr="00D04BA9">
        <w:rPr>
          <w:b/>
          <w:noProof/>
        </w:rPr>
        <w:tab/>
      </w:r>
      <w:r w:rsidRPr="0025322B">
        <w:rPr>
          <w:rFonts w:hint="eastAsia"/>
          <w:noProof/>
        </w:rPr>
        <w:t>為</w:t>
      </w:r>
      <w:r w:rsidRPr="00D04BA9">
        <w:rPr>
          <w:rFonts w:hint="eastAsia"/>
        </w:rPr>
        <w:t>遏抑投機、投資及非本地需求，政府</w:t>
      </w:r>
      <w:r>
        <w:rPr>
          <w:rFonts w:hint="eastAsia"/>
        </w:rPr>
        <w:t>在</w:t>
      </w:r>
      <w:r w:rsidRPr="00D04BA9">
        <w:rPr>
          <w:rFonts w:hint="eastAsia"/>
        </w:rPr>
        <w:t>二零一零至二零一七年</w:t>
      </w:r>
      <w:r>
        <w:rPr>
          <w:rFonts w:hint="eastAsia"/>
        </w:rPr>
        <w:t>期間</w:t>
      </w:r>
      <w:r w:rsidRPr="00D04BA9">
        <w:rPr>
          <w:rFonts w:hint="eastAsia"/>
        </w:rPr>
        <w:t>推出</w:t>
      </w:r>
      <w:r>
        <w:rPr>
          <w:rFonts w:hint="eastAsia"/>
        </w:rPr>
        <w:t>多項</w:t>
      </w:r>
      <w:r w:rsidRPr="00D04BA9">
        <w:rPr>
          <w:rFonts w:hint="eastAsia"/>
        </w:rPr>
        <w:t>需求管理措施。這些措施已取得顯著成效。</w:t>
      </w:r>
      <w:r w:rsidRPr="00D04BA9">
        <w:rPr>
          <w:rFonts w:hint="eastAsia"/>
          <w:i/>
        </w:rPr>
        <w:t>投機活動</w:t>
      </w:r>
      <w:r w:rsidRPr="00D04BA9">
        <w:rPr>
          <w:rFonts w:hint="eastAsia"/>
        </w:rPr>
        <w:t>方面，短期轉售</w:t>
      </w:r>
      <w:r w:rsidRPr="00D04BA9">
        <w:rPr>
          <w:rFonts w:hint="eastAsia"/>
        </w:rPr>
        <w:t>(</w:t>
      </w:r>
      <w:r w:rsidRPr="00D04BA9">
        <w:rPr>
          <w:rFonts w:hint="eastAsia"/>
        </w:rPr>
        <w:t>包括確認人交易及</w:t>
      </w:r>
      <w:r w:rsidRPr="00D04BA9">
        <w:rPr>
          <w:rFonts w:hint="eastAsia"/>
        </w:rPr>
        <w:t>24</w:t>
      </w:r>
      <w:r w:rsidRPr="00D04BA9">
        <w:rPr>
          <w:rFonts w:hint="eastAsia"/>
        </w:rPr>
        <w:t>個月內轉售</w:t>
      </w:r>
      <w:r w:rsidRPr="00D04BA9">
        <w:rPr>
          <w:rFonts w:hint="eastAsia"/>
        </w:rPr>
        <w:t>)</w:t>
      </w:r>
      <w:r w:rsidRPr="00D04BA9">
        <w:rPr>
          <w:rFonts w:hint="eastAsia"/>
        </w:rPr>
        <w:t>在第</w:t>
      </w:r>
      <w:r>
        <w:rPr>
          <w:rFonts w:hint="eastAsia"/>
        </w:rPr>
        <w:t>二</w:t>
      </w:r>
      <w:r w:rsidRPr="00D04BA9">
        <w:rPr>
          <w:rFonts w:hint="eastAsia"/>
        </w:rPr>
        <w:t>季維</w:t>
      </w:r>
      <w:r w:rsidRPr="00144C46">
        <w:rPr>
          <w:rFonts w:hint="eastAsia"/>
          <w:spacing w:val="28"/>
        </w:rPr>
        <w:t>持在平均每月</w:t>
      </w:r>
      <w:r w:rsidRPr="00144C46">
        <w:rPr>
          <w:spacing w:val="28"/>
        </w:rPr>
        <w:t>32</w:t>
      </w:r>
      <w:r w:rsidRPr="00144C46">
        <w:rPr>
          <w:rFonts w:hint="eastAsia"/>
          <w:spacing w:val="28"/>
        </w:rPr>
        <w:t>宗的低</w:t>
      </w:r>
      <w:r w:rsidRPr="00144C46">
        <w:rPr>
          <w:rFonts w:hint="eastAsia"/>
          <w:spacing w:val="28"/>
          <w:lang w:eastAsia="zh-HK"/>
        </w:rPr>
        <w:t>位</w:t>
      </w:r>
      <w:r w:rsidRPr="00144C46">
        <w:rPr>
          <w:rFonts w:hint="eastAsia"/>
          <w:spacing w:val="28"/>
        </w:rPr>
        <w:t>，佔總成交的</w:t>
      </w:r>
      <w:r w:rsidRPr="00144C46">
        <w:rPr>
          <w:spacing w:val="28"/>
        </w:rPr>
        <w:t>0.7%</w:t>
      </w:r>
      <w:r w:rsidRPr="00144C46">
        <w:rPr>
          <w:rFonts w:hint="eastAsia"/>
          <w:spacing w:val="28"/>
        </w:rPr>
        <w:t>，遠低於二零一零年一月至十一月期間</w:t>
      </w:r>
      <w:r w:rsidRPr="00D04BA9">
        <w:rPr>
          <w:rFonts w:hint="eastAsia"/>
        </w:rPr>
        <w:t>(</w:t>
      </w:r>
      <w:r w:rsidRPr="00D04BA9">
        <w:rPr>
          <w:rFonts w:hint="eastAsia"/>
        </w:rPr>
        <w:t>即開徵「額外印花稅」前</w:t>
      </w:r>
      <w:r w:rsidRPr="00D04BA9">
        <w:rPr>
          <w:rFonts w:hint="eastAsia"/>
        </w:rPr>
        <w:t>)</w:t>
      </w:r>
      <w:r w:rsidRPr="00D04BA9">
        <w:rPr>
          <w:rFonts w:hint="eastAsia"/>
        </w:rPr>
        <w:t>的平均每月</w:t>
      </w:r>
      <w:r w:rsidRPr="00D04BA9">
        <w:rPr>
          <w:rFonts w:hint="eastAsia"/>
        </w:rPr>
        <w:t>2</w:t>
      </w:r>
      <w:r w:rsidRPr="00D04BA9">
        <w:t> </w:t>
      </w:r>
      <w:r w:rsidRPr="00D04BA9">
        <w:rPr>
          <w:rFonts w:hint="eastAsia"/>
        </w:rPr>
        <w:t>661</w:t>
      </w:r>
      <w:r w:rsidRPr="00D04BA9">
        <w:rPr>
          <w:rFonts w:hint="eastAsia"/>
        </w:rPr>
        <w:t>宗或</w:t>
      </w:r>
      <w:r w:rsidRPr="00D04BA9">
        <w:rPr>
          <w:rFonts w:hint="eastAsia"/>
        </w:rPr>
        <w:t>20.0%</w:t>
      </w:r>
      <w:r w:rsidRPr="00D04BA9">
        <w:rPr>
          <w:rFonts w:hint="eastAsia"/>
        </w:rPr>
        <w:t>。反映「買家印花稅」的影響，</w:t>
      </w:r>
      <w:r w:rsidRPr="00D04BA9">
        <w:rPr>
          <w:rFonts w:hint="eastAsia"/>
          <w:i/>
        </w:rPr>
        <w:t>以非本地個人及非本地公司名義購買物業的個案</w:t>
      </w:r>
      <w:r w:rsidRPr="00D04BA9">
        <w:rPr>
          <w:rFonts w:hint="eastAsia"/>
        </w:rPr>
        <w:t>在第</w:t>
      </w:r>
      <w:r>
        <w:rPr>
          <w:rFonts w:hint="eastAsia"/>
        </w:rPr>
        <w:t>二</w:t>
      </w:r>
      <w:r w:rsidRPr="00D04BA9">
        <w:rPr>
          <w:rFonts w:hint="eastAsia"/>
        </w:rPr>
        <w:t>季處於平均每月</w:t>
      </w:r>
      <w:r w:rsidRPr="00D04BA9">
        <w:t>3</w:t>
      </w:r>
      <w:r>
        <w:rPr>
          <w:rFonts w:hint="eastAsia"/>
        </w:rPr>
        <w:t>5</w:t>
      </w:r>
      <w:r w:rsidRPr="00D04BA9">
        <w:rPr>
          <w:rFonts w:hint="eastAsia"/>
        </w:rPr>
        <w:t>宗的低水平，佔總成交的</w:t>
      </w:r>
      <w:r>
        <w:rPr>
          <w:rFonts w:hint="eastAsia"/>
        </w:rPr>
        <w:t>0.8</w:t>
      </w:r>
      <w:r w:rsidRPr="00D04BA9">
        <w:rPr>
          <w:rFonts w:hint="eastAsia"/>
        </w:rPr>
        <w:t>%</w:t>
      </w:r>
      <w:r w:rsidRPr="00D04BA9">
        <w:rPr>
          <w:rFonts w:hint="eastAsia"/>
        </w:rPr>
        <w:t>，遠低於二零一二年一月至十月期間的平均每月</w:t>
      </w:r>
      <w:r w:rsidRPr="00D04BA9">
        <w:rPr>
          <w:rFonts w:hint="eastAsia"/>
        </w:rPr>
        <w:t>365</w:t>
      </w:r>
      <w:r w:rsidRPr="00D04BA9">
        <w:rPr>
          <w:rFonts w:hint="eastAsia"/>
        </w:rPr>
        <w:t>宗或</w:t>
      </w:r>
      <w:r w:rsidRPr="00D04BA9">
        <w:rPr>
          <w:rFonts w:hint="eastAsia"/>
        </w:rPr>
        <w:t>4.5%</w:t>
      </w:r>
      <w:r w:rsidRPr="00D04BA9">
        <w:rPr>
          <w:rFonts w:hint="eastAsia"/>
        </w:rPr>
        <w:t>。作為</w:t>
      </w:r>
      <w:r w:rsidRPr="00D04BA9">
        <w:rPr>
          <w:rFonts w:hint="eastAsia"/>
          <w:i/>
        </w:rPr>
        <w:t>投資活動</w:t>
      </w:r>
      <w:r w:rsidRPr="00D04BA9">
        <w:rPr>
          <w:rFonts w:hint="eastAsia"/>
        </w:rPr>
        <w:t>的指標，涉及「新住宅印花稅」的購買物業個案在第</w:t>
      </w:r>
      <w:r>
        <w:rPr>
          <w:rFonts w:hint="eastAsia"/>
        </w:rPr>
        <w:t>二</w:t>
      </w:r>
      <w:r w:rsidRPr="00D04BA9">
        <w:rPr>
          <w:rFonts w:hint="eastAsia"/>
        </w:rPr>
        <w:t>季處於平均每</w:t>
      </w:r>
      <w:r w:rsidRPr="00144C46">
        <w:rPr>
          <w:rFonts w:hint="eastAsia"/>
          <w:spacing w:val="28"/>
        </w:rPr>
        <w:t>月</w:t>
      </w:r>
      <w:r w:rsidRPr="00144C46">
        <w:rPr>
          <w:spacing w:val="28"/>
        </w:rPr>
        <w:t>166</w:t>
      </w:r>
      <w:r w:rsidRPr="00144C46">
        <w:rPr>
          <w:rFonts w:hint="eastAsia"/>
          <w:spacing w:val="28"/>
        </w:rPr>
        <w:t>宗的溫和水平，佔總成交的</w:t>
      </w:r>
      <w:r w:rsidRPr="00144C46">
        <w:rPr>
          <w:spacing w:val="28"/>
        </w:rPr>
        <w:t>3.9%</w:t>
      </w:r>
      <w:r w:rsidRPr="00144C46">
        <w:rPr>
          <w:rFonts w:hint="eastAsia"/>
          <w:spacing w:val="28"/>
        </w:rPr>
        <w:t>，明顯低於二零一六年一月至十</w:t>
      </w:r>
      <w:r w:rsidRPr="00D04BA9">
        <w:rPr>
          <w:rFonts w:hint="eastAsia"/>
        </w:rPr>
        <w:t>一月期間平均每月</w:t>
      </w:r>
      <w:r w:rsidRPr="00D04BA9">
        <w:rPr>
          <w:rFonts w:hint="eastAsia"/>
        </w:rPr>
        <w:t>1</w:t>
      </w:r>
      <w:r w:rsidRPr="00D04BA9">
        <w:t> </w:t>
      </w:r>
      <w:r w:rsidRPr="00D04BA9">
        <w:rPr>
          <w:rFonts w:hint="eastAsia"/>
        </w:rPr>
        <w:t>412</w:t>
      </w:r>
      <w:r w:rsidRPr="00D04BA9">
        <w:rPr>
          <w:rFonts w:hint="eastAsia"/>
        </w:rPr>
        <w:t>宗涉及「雙倍</w:t>
      </w:r>
      <w:r>
        <w:rPr>
          <w:rFonts w:hint="eastAsia"/>
        </w:rPr>
        <w:t>從價</w:t>
      </w:r>
      <w:r w:rsidRPr="00D04BA9">
        <w:rPr>
          <w:rFonts w:hint="eastAsia"/>
        </w:rPr>
        <w:t>印花稅」的購買物業個案</w:t>
      </w:r>
      <w:r>
        <w:t>(</w:t>
      </w:r>
      <w:r>
        <w:t>佔總成交的</w:t>
      </w:r>
      <w:r>
        <w:t>26.5%)</w:t>
      </w:r>
      <w:r w:rsidRPr="00D04BA9">
        <w:rPr>
          <w:rFonts w:hint="eastAsia"/>
        </w:rPr>
        <w:t>。</w:t>
      </w:r>
    </w:p>
    <w:p w14:paraId="5311367D" w14:textId="3A9B5439" w:rsidR="004A7B86" w:rsidRDefault="00FB2E03" w:rsidP="004A7B86">
      <w:pPr>
        <w:rPr>
          <w:lang w:eastAsia="zh-HK"/>
        </w:rPr>
      </w:pPr>
      <w:r w:rsidRPr="00FB2E03">
        <w:rPr>
          <w:noProof/>
        </w:rPr>
        <w:drawing>
          <wp:inline distT="0" distB="0" distL="0" distR="0" wp14:anchorId="403803C5" wp14:editId="24D1379A">
            <wp:extent cx="5760085" cy="3548216"/>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48216"/>
                    </a:xfrm>
                    <a:prstGeom prst="rect">
                      <a:avLst/>
                    </a:prstGeom>
                    <a:noFill/>
                    <a:ln>
                      <a:noFill/>
                    </a:ln>
                  </pic:spPr>
                </pic:pic>
              </a:graphicData>
            </a:graphic>
          </wp:inline>
        </w:drawing>
      </w:r>
    </w:p>
    <w:p w14:paraId="534027C6" w14:textId="023E63CC" w:rsidR="00AD5EAA" w:rsidRPr="009A5FAE" w:rsidRDefault="00FB2E03" w:rsidP="00AD5EAA">
      <w:r w:rsidRPr="00FB2E03">
        <w:rPr>
          <w:noProof/>
        </w:rPr>
        <w:lastRenderedPageBreak/>
        <w:drawing>
          <wp:inline distT="0" distB="0" distL="0" distR="0" wp14:anchorId="6BBF4A02" wp14:editId="06A3955D">
            <wp:extent cx="5760085" cy="3526347"/>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6347"/>
                    </a:xfrm>
                    <a:prstGeom prst="rect">
                      <a:avLst/>
                    </a:prstGeom>
                    <a:noFill/>
                    <a:ln>
                      <a:noFill/>
                    </a:ln>
                  </pic:spPr>
                </pic:pic>
              </a:graphicData>
            </a:graphic>
          </wp:inline>
        </w:drawing>
      </w:r>
    </w:p>
    <w:p w14:paraId="525BDDDB" w14:textId="33C455A2" w:rsidR="00AD5EAA" w:rsidRPr="009A5FAE" w:rsidRDefault="001E0535" w:rsidP="00AD5EAA">
      <w:r w:rsidRPr="001E0535">
        <w:rPr>
          <w:noProof/>
        </w:rPr>
        <w:drawing>
          <wp:inline distT="0" distB="0" distL="0" distR="0" wp14:anchorId="35448246" wp14:editId="064D14E7">
            <wp:extent cx="5760085" cy="3776104"/>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p>
    <w:p w14:paraId="3412EA83" w14:textId="72520CA8" w:rsidR="007F7586" w:rsidRDefault="007F7586" w:rsidP="00AD5EAA">
      <w:r w:rsidRPr="00D04BA9">
        <w:rPr>
          <w:b/>
          <w:noProof/>
        </w:rPr>
        <w:t>3.</w:t>
      </w:r>
      <w:r>
        <w:rPr>
          <w:rFonts w:hint="eastAsia"/>
          <w:b/>
          <w:noProof/>
        </w:rPr>
        <w:t>9</w:t>
      </w:r>
      <w:r w:rsidRPr="00D04BA9">
        <w:rPr>
          <w:b/>
          <w:noProof/>
        </w:rPr>
        <w:tab/>
      </w:r>
      <w:r w:rsidR="009F39AD" w:rsidRPr="00D04BA9">
        <w:rPr>
          <w:rFonts w:hint="eastAsia"/>
        </w:rPr>
        <w:t>香港金融管理局</w:t>
      </w:r>
      <w:r w:rsidR="009F39AD" w:rsidRPr="005B62FA">
        <w:rPr>
          <w:rFonts w:hint="eastAsia"/>
        </w:rPr>
        <w:t>(</w:t>
      </w:r>
      <w:r w:rsidR="009F39AD" w:rsidRPr="005B62FA">
        <w:rPr>
          <w:rFonts w:hint="eastAsia"/>
        </w:rPr>
        <w:t>金管局</w:t>
      </w:r>
      <w:r w:rsidR="009F39AD" w:rsidRPr="005B62FA">
        <w:rPr>
          <w:rFonts w:hint="eastAsia"/>
        </w:rPr>
        <w:t>)</w:t>
      </w:r>
      <w:r w:rsidR="009F39AD">
        <w:rPr>
          <w:rFonts w:hint="eastAsia"/>
          <w:lang w:eastAsia="zh-HK"/>
        </w:rPr>
        <w:t>亦在</w:t>
      </w:r>
      <w:r w:rsidR="009F39AD" w:rsidRPr="00D04BA9">
        <w:rPr>
          <w:rFonts w:hint="eastAsia"/>
        </w:rPr>
        <w:t>二零零</w:t>
      </w:r>
      <w:r w:rsidR="009F39AD">
        <w:rPr>
          <w:rFonts w:hint="eastAsia"/>
          <w:lang w:eastAsia="zh-HK"/>
        </w:rPr>
        <w:t>九</w:t>
      </w:r>
      <w:r w:rsidR="009F39AD" w:rsidRPr="00D04BA9">
        <w:rPr>
          <w:rFonts w:hint="eastAsia"/>
        </w:rPr>
        <w:t>至二零一七年</w:t>
      </w:r>
      <w:r w:rsidR="009F39AD">
        <w:rPr>
          <w:rFonts w:hint="eastAsia"/>
        </w:rPr>
        <w:t>期間</w:t>
      </w:r>
      <w:r w:rsidR="009F39AD" w:rsidRPr="00D04BA9">
        <w:rPr>
          <w:rFonts w:hint="eastAsia"/>
        </w:rPr>
        <w:t>推出</w:t>
      </w:r>
      <w:r w:rsidR="009F39AD">
        <w:rPr>
          <w:rFonts w:hint="eastAsia"/>
          <w:lang w:eastAsia="zh-HK"/>
        </w:rPr>
        <w:t>八</w:t>
      </w:r>
      <w:r w:rsidR="009F39AD" w:rsidRPr="00D04BA9">
        <w:rPr>
          <w:rFonts w:hint="eastAsia"/>
        </w:rPr>
        <w:t>輪物業按揭貸款</w:t>
      </w:r>
      <w:r w:rsidR="009F39AD" w:rsidRPr="005B62FA">
        <w:rPr>
          <w:rFonts w:hint="eastAsia"/>
        </w:rPr>
        <w:t>逆周期</w:t>
      </w:r>
      <w:r w:rsidR="009F39AD" w:rsidRPr="00D04BA9">
        <w:rPr>
          <w:rFonts w:hint="eastAsia"/>
        </w:rPr>
        <w:t>宏觀審慎監管措施</w:t>
      </w:r>
      <w:r w:rsidR="009F39AD">
        <w:rPr>
          <w:rFonts w:hint="eastAsia"/>
          <w:lang w:eastAsia="zh-HK"/>
        </w:rPr>
        <w:t>，以降</w:t>
      </w:r>
      <w:r w:rsidR="009F39AD">
        <w:rPr>
          <w:rFonts w:hint="eastAsia"/>
        </w:rPr>
        <w:t>低</w:t>
      </w:r>
      <w:r w:rsidR="00FD4C93" w:rsidRPr="00114063">
        <w:rPr>
          <w:rFonts w:hint="eastAsia"/>
        </w:rPr>
        <w:t>樓市</w:t>
      </w:r>
      <w:r w:rsidR="002C750D" w:rsidRPr="00114063">
        <w:rPr>
          <w:rFonts w:hint="eastAsia"/>
        </w:rPr>
        <w:t>亢奮</w:t>
      </w:r>
      <w:r w:rsidR="009F39AD">
        <w:rPr>
          <w:rFonts w:hint="eastAsia"/>
          <w:lang w:eastAsia="zh-HK"/>
        </w:rPr>
        <w:t>對金融穩定可</w:t>
      </w:r>
      <w:r w:rsidR="009F39AD">
        <w:rPr>
          <w:rFonts w:hint="eastAsia"/>
        </w:rPr>
        <w:t>能</w:t>
      </w:r>
      <w:r w:rsidR="009F39AD">
        <w:rPr>
          <w:rFonts w:hint="eastAsia"/>
          <w:lang w:eastAsia="zh-HK"/>
        </w:rPr>
        <w:t>帶</w:t>
      </w:r>
      <w:r w:rsidR="009F39AD">
        <w:rPr>
          <w:rFonts w:hint="eastAsia"/>
        </w:rPr>
        <w:t>來</w:t>
      </w:r>
      <w:r w:rsidR="009F39AD">
        <w:rPr>
          <w:rFonts w:hint="eastAsia"/>
          <w:lang w:eastAsia="zh-HK"/>
        </w:rPr>
        <w:t>的風</w:t>
      </w:r>
      <w:r w:rsidR="009F39AD">
        <w:rPr>
          <w:rFonts w:hint="eastAsia"/>
        </w:rPr>
        <w:t>險</w:t>
      </w:r>
      <w:r w:rsidR="009F39AD">
        <w:rPr>
          <w:rFonts w:hint="eastAsia"/>
          <w:lang w:eastAsia="zh-HK"/>
        </w:rPr>
        <w:t>，直至</w:t>
      </w:r>
      <w:r w:rsidR="009F39AD" w:rsidRPr="00D04BA9">
        <w:rPr>
          <w:rFonts w:hint="eastAsia"/>
        </w:rPr>
        <w:t>二零</w:t>
      </w:r>
      <w:r w:rsidR="009F39AD">
        <w:rPr>
          <w:rFonts w:hint="eastAsia"/>
          <w:lang w:eastAsia="zh-HK"/>
        </w:rPr>
        <w:t>二三</w:t>
      </w:r>
      <w:r w:rsidR="009F39AD" w:rsidRPr="00D04BA9">
        <w:rPr>
          <w:rFonts w:hint="eastAsia"/>
        </w:rPr>
        <w:t>年</w:t>
      </w:r>
      <w:r w:rsidR="00736FD7">
        <w:rPr>
          <w:rFonts w:hint="eastAsia"/>
          <w:lang w:eastAsia="zh-HK"/>
        </w:rPr>
        <w:t>七月</w:t>
      </w:r>
      <w:r w:rsidR="00E303ED" w:rsidRPr="00043170">
        <w:rPr>
          <w:rFonts w:hint="eastAsia"/>
          <w:lang w:eastAsia="zh-HK"/>
        </w:rPr>
        <w:t>才</w:t>
      </w:r>
      <w:r w:rsidR="00736FD7">
        <w:rPr>
          <w:rFonts w:hint="eastAsia"/>
          <w:lang w:eastAsia="zh-HK"/>
        </w:rPr>
        <w:t>作出</w:t>
      </w:r>
      <w:r w:rsidR="00BA4F95" w:rsidRPr="00BA4F95">
        <w:rPr>
          <w:rFonts w:hint="eastAsia"/>
          <w:lang w:eastAsia="zh-HK"/>
        </w:rPr>
        <w:t>數項</w:t>
      </w:r>
      <w:r w:rsidR="00736FD7">
        <w:rPr>
          <w:rFonts w:hint="eastAsia"/>
          <w:lang w:eastAsia="zh-HK"/>
        </w:rPr>
        <w:t>調</w:t>
      </w:r>
      <w:r w:rsidR="00736FD7">
        <w:rPr>
          <w:rFonts w:hint="eastAsia"/>
        </w:rPr>
        <w:t>整</w:t>
      </w:r>
      <w:r w:rsidR="00736FD7">
        <w:rPr>
          <w:rFonts w:hint="eastAsia"/>
        </w:rPr>
        <w:t>(</w:t>
      </w:r>
      <w:r w:rsidR="00736FD7">
        <w:rPr>
          <w:rFonts w:hint="eastAsia"/>
          <w:lang w:eastAsia="zh-HK"/>
        </w:rPr>
        <w:t>見</w:t>
      </w:r>
      <w:r w:rsidR="001E0535">
        <w:rPr>
          <w:rFonts w:hint="eastAsia"/>
          <w:lang w:eastAsia="zh-HK"/>
        </w:rPr>
        <w:t> </w:t>
      </w:r>
      <w:r w:rsidR="00736FD7" w:rsidRPr="004B7155">
        <w:rPr>
          <w:b/>
          <w:i/>
        </w:rPr>
        <w:t>3.10</w:t>
      </w:r>
      <w:r w:rsidR="001E0535">
        <w:rPr>
          <w:b/>
          <w:i/>
        </w:rPr>
        <w:t> </w:t>
      </w:r>
      <w:r w:rsidR="00736FD7" w:rsidRPr="00144C46">
        <w:rPr>
          <w:rFonts w:ascii="華康中黑體" w:eastAsia="華康中黑體" w:hAnsi="華康中黑體" w:cs="華康中黑體" w:hint="eastAsia"/>
          <w:i/>
          <w:lang w:eastAsia="zh-HK"/>
        </w:rPr>
        <w:t>段</w:t>
      </w:r>
      <w:r w:rsidR="00736FD7">
        <w:rPr>
          <w:rFonts w:hint="eastAsia"/>
        </w:rPr>
        <w:t>)</w:t>
      </w:r>
      <w:r w:rsidR="00736FD7">
        <w:rPr>
          <w:rFonts w:hint="eastAsia"/>
          <w:lang w:eastAsia="zh-HK"/>
        </w:rPr>
        <w:t>。</w:t>
      </w:r>
      <w:r w:rsidRPr="00D04BA9">
        <w:rPr>
          <w:rFonts w:hint="eastAsia"/>
        </w:rPr>
        <w:t>第</w:t>
      </w:r>
      <w:r>
        <w:rPr>
          <w:rFonts w:hint="eastAsia"/>
        </w:rPr>
        <w:t>二</w:t>
      </w:r>
      <w:r w:rsidRPr="00D04BA9">
        <w:rPr>
          <w:rFonts w:hint="eastAsia"/>
        </w:rPr>
        <w:t>季新造</w:t>
      </w:r>
      <w:r w:rsidRPr="004B7155">
        <w:rPr>
          <w:rFonts w:hint="eastAsia"/>
          <w:i/>
        </w:rPr>
        <w:t>按揭</w:t>
      </w:r>
      <w:r w:rsidR="00736FD7" w:rsidRPr="00D04BA9">
        <w:rPr>
          <w:rFonts w:hint="eastAsia"/>
          <w:i/>
        </w:rPr>
        <w:t>貸款</w:t>
      </w:r>
      <w:r w:rsidRPr="00D04BA9">
        <w:rPr>
          <w:rFonts w:hint="eastAsia"/>
        </w:rPr>
        <w:t>的平均按揭成數為</w:t>
      </w:r>
      <w:r>
        <w:rPr>
          <w:rFonts w:hint="eastAsia"/>
        </w:rPr>
        <w:t>5</w:t>
      </w:r>
      <w:r w:rsidR="0051645E">
        <w:t>7</w:t>
      </w:r>
      <w:r w:rsidRPr="00D04BA9">
        <w:t>%</w:t>
      </w:r>
      <w:r w:rsidRPr="00D04BA9">
        <w:rPr>
          <w:rFonts w:hint="eastAsia"/>
        </w:rPr>
        <w:t>，低於二零零九年一月至十月期間</w:t>
      </w:r>
      <w:r w:rsidRPr="00D04BA9">
        <w:rPr>
          <w:rFonts w:hint="eastAsia"/>
        </w:rPr>
        <w:t>(</w:t>
      </w:r>
      <w:r w:rsidRPr="00D04BA9">
        <w:rPr>
          <w:rFonts w:hint="eastAsia"/>
        </w:rPr>
        <w:t>即推出首輪措施前</w:t>
      </w:r>
      <w:r w:rsidRPr="00D04BA9">
        <w:rPr>
          <w:rFonts w:hint="eastAsia"/>
        </w:rPr>
        <w:t>)64%</w:t>
      </w:r>
      <w:r w:rsidRPr="00D04BA9">
        <w:rPr>
          <w:rFonts w:hint="eastAsia"/>
        </w:rPr>
        <w:t>的平均數。</w:t>
      </w:r>
    </w:p>
    <w:p w14:paraId="54BB6DD8" w14:textId="416A8F6D" w:rsidR="007F7586" w:rsidRPr="005B62FA" w:rsidRDefault="007F7586" w:rsidP="00AD5EAA">
      <w:pPr>
        <w:rPr>
          <w:rFonts w:ascii="細明體" w:eastAsia="細明體" w:hAnsi="細明體"/>
          <w:color w:val="303030"/>
          <w:spacing w:val="0"/>
          <w:sz w:val="27"/>
          <w:szCs w:val="27"/>
        </w:rPr>
      </w:pPr>
      <w:r w:rsidRPr="005B62FA">
        <w:rPr>
          <w:b/>
        </w:rPr>
        <w:lastRenderedPageBreak/>
        <w:t>3.10</w:t>
      </w:r>
      <w:r>
        <w:tab/>
      </w:r>
      <w:r w:rsidR="00C93C19">
        <w:rPr>
          <w:rFonts w:hint="eastAsia"/>
          <w:lang w:eastAsia="zh-HK"/>
        </w:rPr>
        <w:t>在</w:t>
      </w:r>
      <w:r>
        <w:rPr>
          <w:rFonts w:hint="eastAsia"/>
        </w:rPr>
        <w:t>七月七日，</w:t>
      </w:r>
      <w:r w:rsidRPr="005B62FA">
        <w:rPr>
          <w:rFonts w:hint="eastAsia"/>
        </w:rPr>
        <w:t>金管局在繼續維持銀行體系穩定</w:t>
      </w:r>
      <w:r>
        <w:rPr>
          <w:rFonts w:hint="eastAsia"/>
        </w:rPr>
        <w:t>和確保妥善管理</w:t>
      </w:r>
      <w:r w:rsidRPr="005B62FA">
        <w:rPr>
          <w:rFonts w:hint="eastAsia"/>
        </w:rPr>
        <w:t>物業按揭貸款風險</w:t>
      </w:r>
      <w:r>
        <w:rPr>
          <w:rFonts w:hint="eastAsia"/>
        </w:rPr>
        <w:t>的</w:t>
      </w:r>
      <w:r w:rsidRPr="005B62FA">
        <w:rPr>
          <w:rFonts w:hint="eastAsia"/>
        </w:rPr>
        <w:t>前提下，</w:t>
      </w:r>
      <w:r>
        <w:rPr>
          <w:rFonts w:hint="eastAsia"/>
        </w:rPr>
        <w:t>對</w:t>
      </w:r>
      <w:r w:rsidR="002F689B" w:rsidRPr="005B62FA">
        <w:rPr>
          <w:rFonts w:hint="eastAsia"/>
        </w:rPr>
        <w:t>物業按揭貸款</w:t>
      </w:r>
      <w:r w:rsidRPr="005B62FA">
        <w:rPr>
          <w:rFonts w:hint="eastAsia"/>
        </w:rPr>
        <w:t>逆周期宏觀審慎監管措施</w:t>
      </w:r>
      <w:r>
        <w:rPr>
          <w:rFonts w:hint="eastAsia"/>
        </w:rPr>
        <w:t>作出數項調整。</w:t>
      </w:r>
      <w:r w:rsidR="00B37015">
        <w:rPr>
          <w:rFonts w:hint="eastAsia"/>
          <w:lang w:eastAsia="zh-HK"/>
        </w:rPr>
        <w:t>相</w:t>
      </w:r>
      <w:r>
        <w:rPr>
          <w:rFonts w:hint="eastAsia"/>
        </w:rPr>
        <w:t>關調整即</w:t>
      </w:r>
      <w:r w:rsidR="0060460C">
        <w:rPr>
          <w:rFonts w:hint="eastAsia"/>
        </w:rPr>
        <w:t>日</w:t>
      </w:r>
      <w:r>
        <w:rPr>
          <w:rFonts w:hint="eastAsia"/>
        </w:rPr>
        <w:t>生效，</w:t>
      </w:r>
      <w:r w:rsidRPr="005B62FA">
        <w:rPr>
          <w:rFonts w:hint="eastAsia"/>
        </w:rPr>
        <w:t>包括</w:t>
      </w:r>
      <w:r>
        <w:rPr>
          <w:rFonts w:hint="eastAsia"/>
        </w:rPr>
        <w:t>：</w:t>
      </w:r>
      <w:r>
        <w:rPr>
          <w:rFonts w:hint="eastAsia"/>
        </w:rPr>
        <w:t>(i)</w:t>
      </w:r>
      <w:r w:rsidR="00E303ED" w:rsidRPr="00043170">
        <w:rPr>
          <w:rFonts w:hint="eastAsia"/>
          <w:lang w:eastAsia="zh-HK"/>
        </w:rPr>
        <w:t>提高</w:t>
      </w:r>
      <w:r w:rsidRPr="005B62FA">
        <w:rPr>
          <w:rFonts w:hint="eastAsia"/>
        </w:rPr>
        <w:t>價值</w:t>
      </w:r>
      <w:r w:rsidRPr="005B62FA">
        <w:rPr>
          <w:rFonts w:hint="eastAsia"/>
        </w:rPr>
        <w:t>1,500</w:t>
      </w:r>
      <w:r w:rsidR="00582FBD">
        <w:t> </w:t>
      </w:r>
      <w:r>
        <w:rPr>
          <w:rFonts w:hint="eastAsia"/>
        </w:rPr>
        <w:t>萬</w:t>
      </w:r>
      <w:r w:rsidRPr="005B62FA">
        <w:rPr>
          <w:rFonts w:hint="eastAsia"/>
        </w:rPr>
        <w:t>元或以下的</w:t>
      </w:r>
      <w:r w:rsidR="00543A0F">
        <w:rPr>
          <w:rFonts w:hint="eastAsia"/>
        </w:rPr>
        <w:t>自用</w:t>
      </w:r>
      <w:r w:rsidR="00543A0F" w:rsidRPr="005B62FA">
        <w:rPr>
          <w:rFonts w:hint="eastAsia"/>
        </w:rPr>
        <w:t>住</w:t>
      </w:r>
      <w:r w:rsidR="00543A0F">
        <w:rPr>
          <w:rFonts w:hint="eastAsia"/>
        </w:rPr>
        <w:t>宅</w:t>
      </w:r>
      <w:r w:rsidRPr="005B62FA">
        <w:rPr>
          <w:rFonts w:hint="eastAsia"/>
        </w:rPr>
        <w:t>物業</w:t>
      </w:r>
      <w:r w:rsidR="006A2445">
        <w:rPr>
          <w:rFonts w:hint="eastAsia"/>
          <w:lang w:eastAsia="zh-HK"/>
        </w:rPr>
        <w:t>的</w:t>
      </w:r>
      <w:r w:rsidR="00543A0F" w:rsidRPr="00543A0F">
        <w:rPr>
          <w:rFonts w:hint="eastAsia"/>
          <w:lang w:eastAsia="zh-HK"/>
        </w:rPr>
        <w:t>按揭成數</w:t>
      </w:r>
      <w:r w:rsidR="006A2445" w:rsidRPr="006A2445">
        <w:rPr>
          <w:rFonts w:hint="eastAsia"/>
          <w:lang w:eastAsia="zh-HK"/>
        </w:rPr>
        <w:t>上限</w:t>
      </w:r>
      <w:r w:rsidR="00543A0F">
        <w:rPr>
          <w:rFonts w:hint="eastAsia"/>
          <w:lang w:eastAsia="zh-HK"/>
        </w:rPr>
        <w:t>至</w:t>
      </w:r>
      <w:r w:rsidRPr="005B62FA">
        <w:rPr>
          <w:rFonts w:hint="eastAsia"/>
        </w:rPr>
        <w:t>七成，</w:t>
      </w:r>
      <w:r w:rsidR="00396E04">
        <w:rPr>
          <w:rFonts w:hint="eastAsia"/>
        </w:rPr>
        <w:t>而</w:t>
      </w:r>
      <w:r w:rsidRPr="005B62FA">
        <w:rPr>
          <w:rFonts w:hint="eastAsia"/>
        </w:rPr>
        <w:t>價值</w:t>
      </w:r>
      <w:r w:rsidRPr="005B62FA">
        <w:rPr>
          <w:rFonts w:hint="eastAsia"/>
        </w:rPr>
        <w:t>1,500</w:t>
      </w:r>
      <w:r w:rsidR="00582FBD">
        <w:t> </w:t>
      </w:r>
      <w:r>
        <w:rPr>
          <w:rFonts w:hint="eastAsia"/>
        </w:rPr>
        <w:t>萬</w:t>
      </w:r>
      <w:r w:rsidRPr="005B62FA">
        <w:rPr>
          <w:rFonts w:hint="eastAsia"/>
        </w:rPr>
        <w:t>元以上至</w:t>
      </w:r>
      <w:r w:rsidRPr="005B62FA">
        <w:rPr>
          <w:rFonts w:hint="eastAsia"/>
        </w:rPr>
        <w:t>3,000</w:t>
      </w:r>
      <w:r w:rsidR="00582FBD">
        <w:t> </w:t>
      </w:r>
      <w:r>
        <w:rPr>
          <w:rFonts w:hint="eastAsia"/>
        </w:rPr>
        <w:t>萬</w:t>
      </w:r>
      <w:r w:rsidRPr="005B62FA">
        <w:rPr>
          <w:rFonts w:hint="eastAsia"/>
        </w:rPr>
        <w:t>元的</w:t>
      </w:r>
      <w:r w:rsidR="006A2445">
        <w:rPr>
          <w:rFonts w:hint="eastAsia"/>
        </w:rPr>
        <w:t>自用</w:t>
      </w:r>
      <w:r w:rsidR="006A2445" w:rsidRPr="005B62FA">
        <w:rPr>
          <w:rFonts w:hint="eastAsia"/>
        </w:rPr>
        <w:t>住</w:t>
      </w:r>
      <w:r w:rsidR="006A2445">
        <w:rPr>
          <w:rFonts w:hint="eastAsia"/>
        </w:rPr>
        <w:t>宅</w:t>
      </w:r>
      <w:r>
        <w:rPr>
          <w:rFonts w:hint="eastAsia"/>
        </w:rPr>
        <w:t>物業</w:t>
      </w:r>
      <w:r w:rsidR="006A2445" w:rsidRPr="005B62FA">
        <w:rPr>
          <w:rFonts w:hint="eastAsia"/>
        </w:rPr>
        <w:t>的</w:t>
      </w:r>
      <w:r w:rsidR="00543A0F" w:rsidRPr="00543A0F">
        <w:rPr>
          <w:rFonts w:hint="eastAsia"/>
        </w:rPr>
        <w:t>按揭成數</w:t>
      </w:r>
      <w:r w:rsidR="006A2445" w:rsidRPr="006A2445">
        <w:rPr>
          <w:rFonts w:hint="eastAsia"/>
          <w:lang w:eastAsia="zh-HK"/>
        </w:rPr>
        <w:t>上限</w:t>
      </w:r>
      <w:r w:rsidR="00542B4B">
        <w:rPr>
          <w:rFonts w:hint="eastAsia"/>
        </w:rPr>
        <w:t>則</w:t>
      </w:r>
      <w:r w:rsidR="00E303ED" w:rsidRPr="00043170">
        <w:rPr>
          <w:rFonts w:hint="eastAsia"/>
          <w:lang w:eastAsia="zh-HK"/>
        </w:rPr>
        <w:t>提升</w:t>
      </w:r>
      <w:r w:rsidR="00543A0F">
        <w:rPr>
          <w:rFonts w:hint="eastAsia"/>
          <w:lang w:eastAsia="zh-HK"/>
        </w:rPr>
        <w:t>至</w:t>
      </w:r>
      <w:r>
        <w:rPr>
          <w:rFonts w:hint="eastAsia"/>
        </w:rPr>
        <w:t>六</w:t>
      </w:r>
      <w:r w:rsidRPr="005B62FA">
        <w:rPr>
          <w:rFonts w:hint="eastAsia"/>
        </w:rPr>
        <w:t>成</w:t>
      </w:r>
      <w:r>
        <w:rPr>
          <w:rFonts w:hint="eastAsia"/>
        </w:rPr>
        <w:t>；</w:t>
      </w:r>
      <w:r>
        <w:rPr>
          <w:rFonts w:hint="eastAsia"/>
        </w:rPr>
        <w:t>(ii)</w:t>
      </w:r>
      <w:r w:rsidRPr="005B62FA">
        <w:rPr>
          <w:rFonts w:hint="eastAsia"/>
        </w:rPr>
        <w:t>非住宅物業的按揭成數</w:t>
      </w:r>
      <w:r w:rsidR="006A2445" w:rsidRPr="006A2445">
        <w:rPr>
          <w:rFonts w:hint="eastAsia"/>
          <w:lang w:eastAsia="zh-HK"/>
        </w:rPr>
        <w:t>上限</w:t>
      </w:r>
      <w:r w:rsidRPr="005B62FA">
        <w:rPr>
          <w:rFonts w:hint="eastAsia"/>
        </w:rPr>
        <w:t>由五成</w:t>
      </w:r>
      <w:r>
        <w:rPr>
          <w:rFonts w:hint="eastAsia"/>
        </w:rPr>
        <w:t>提升至六成；</w:t>
      </w:r>
      <w:r>
        <w:rPr>
          <w:rFonts w:hint="eastAsia"/>
        </w:rPr>
        <w:t>(iii)</w:t>
      </w:r>
      <w:r w:rsidRPr="000B419E">
        <w:rPr>
          <w:rFonts w:hint="eastAsia"/>
        </w:rPr>
        <w:t>以</w:t>
      </w:r>
      <w:r w:rsidRPr="005B62FA">
        <w:rPr>
          <w:rFonts w:hint="eastAsia"/>
        </w:rPr>
        <w:t>按揭</w:t>
      </w:r>
      <w:r w:rsidRPr="000B419E">
        <w:rPr>
          <w:rFonts w:hint="eastAsia"/>
        </w:rPr>
        <w:t>申請人</w:t>
      </w:r>
      <w:r>
        <w:rPr>
          <w:rFonts w:hint="eastAsia"/>
        </w:rPr>
        <w:t>的</w:t>
      </w:r>
      <w:r w:rsidRPr="005B62FA">
        <w:rPr>
          <w:rFonts w:hint="eastAsia"/>
        </w:rPr>
        <w:t>資產水平</w:t>
      </w:r>
      <w:r>
        <w:rPr>
          <w:rFonts w:hint="eastAsia"/>
        </w:rPr>
        <w:t>為審批基礎的物業按揭貸款</w:t>
      </w:r>
      <w:r w:rsidR="006A2445">
        <w:rPr>
          <w:rFonts w:hint="eastAsia"/>
          <w:lang w:eastAsia="zh-HK"/>
        </w:rPr>
        <w:t>的</w:t>
      </w:r>
      <w:r w:rsidRPr="005B62FA">
        <w:rPr>
          <w:rFonts w:hint="eastAsia"/>
        </w:rPr>
        <w:t>按揭成數</w:t>
      </w:r>
      <w:r w:rsidR="006A2445" w:rsidRPr="006A2445">
        <w:rPr>
          <w:rFonts w:hint="eastAsia"/>
        </w:rPr>
        <w:t>上限</w:t>
      </w:r>
      <w:r w:rsidRPr="005B62FA">
        <w:rPr>
          <w:rFonts w:hint="eastAsia"/>
        </w:rPr>
        <w:t>由四成</w:t>
      </w:r>
      <w:r>
        <w:rPr>
          <w:rFonts w:hint="eastAsia"/>
        </w:rPr>
        <w:t>提升至</w:t>
      </w:r>
      <w:r w:rsidRPr="005B62FA">
        <w:rPr>
          <w:rFonts w:hint="eastAsia"/>
        </w:rPr>
        <w:t>五成</w:t>
      </w:r>
      <w:r w:rsidR="006A2445">
        <w:rPr>
          <w:rFonts w:hint="eastAsia"/>
        </w:rPr>
        <w:t>(</w:t>
      </w:r>
      <w:r w:rsidR="006A2445">
        <w:rPr>
          <w:rFonts w:hint="eastAsia"/>
        </w:rPr>
        <w:t>適用於</w:t>
      </w:r>
      <w:r w:rsidR="006A2445" w:rsidRPr="006A2445">
        <w:rPr>
          <w:rFonts w:hint="eastAsia"/>
        </w:rPr>
        <w:t>住宅物業和非住宅物業</w:t>
      </w:r>
      <w:r w:rsidR="006A2445">
        <w:rPr>
          <w:rFonts w:hint="eastAsia"/>
        </w:rPr>
        <w:t>)</w:t>
      </w:r>
      <w:r>
        <w:rPr>
          <w:rFonts w:hint="eastAsia"/>
        </w:rPr>
        <w:t>；以及</w:t>
      </w:r>
      <w:r>
        <w:rPr>
          <w:rFonts w:hint="eastAsia"/>
        </w:rPr>
        <w:t>(iv)</w:t>
      </w:r>
      <w:r w:rsidRPr="00E3161E">
        <w:rPr>
          <w:rFonts w:hint="eastAsia"/>
        </w:rPr>
        <w:t>取消</w:t>
      </w:r>
      <w:r>
        <w:rPr>
          <w:rFonts w:hint="eastAsia"/>
        </w:rPr>
        <w:t>把</w:t>
      </w:r>
      <w:r w:rsidRPr="00E3161E">
        <w:rPr>
          <w:rFonts w:hint="eastAsia"/>
        </w:rPr>
        <w:t>主要收入來自香港以外地區的按揭申請人</w:t>
      </w:r>
      <w:r>
        <w:rPr>
          <w:rFonts w:hint="eastAsia"/>
        </w:rPr>
        <w:t>所適用的按揭成數</w:t>
      </w:r>
      <w:r w:rsidR="00277F7B" w:rsidRPr="006A2445">
        <w:rPr>
          <w:rFonts w:hint="eastAsia"/>
        </w:rPr>
        <w:t>上限</w:t>
      </w:r>
      <w:r>
        <w:rPr>
          <w:rFonts w:hint="eastAsia"/>
        </w:rPr>
        <w:t>和供款與入息比率</w:t>
      </w:r>
      <w:r w:rsidRPr="00E3161E">
        <w:rPr>
          <w:rFonts w:hint="eastAsia"/>
        </w:rPr>
        <w:t>上限</w:t>
      </w:r>
      <w:r>
        <w:rPr>
          <w:rFonts w:hint="eastAsia"/>
        </w:rPr>
        <w:t>下調</w:t>
      </w:r>
      <w:r>
        <w:rPr>
          <w:rFonts w:hint="eastAsia"/>
        </w:rPr>
        <w:t>10</w:t>
      </w:r>
      <w:r w:rsidR="00582FBD">
        <w:t> </w:t>
      </w:r>
      <w:r>
        <w:rPr>
          <w:rFonts w:hint="eastAsia"/>
        </w:rPr>
        <w:t>個</w:t>
      </w:r>
      <w:r w:rsidRPr="00E3161E">
        <w:rPr>
          <w:rFonts w:hint="eastAsia"/>
        </w:rPr>
        <w:t>百分點</w:t>
      </w:r>
      <w:r>
        <w:rPr>
          <w:rFonts w:hint="eastAsia"/>
        </w:rPr>
        <w:t>的要求，</w:t>
      </w:r>
      <w:r w:rsidR="000D32DE">
        <w:rPr>
          <w:rFonts w:hint="eastAsia"/>
          <w:lang w:eastAsia="zh-HK"/>
        </w:rPr>
        <w:t>並</w:t>
      </w:r>
      <w:r w:rsidRPr="00E3161E">
        <w:rPr>
          <w:rFonts w:hint="eastAsia"/>
        </w:rPr>
        <w:t>取消</w:t>
      </w:r>
      <w:r>
        <w:rPr>
          <w:rFonts w:hint="eastAsia"/>
        </w:rPr>
        <w:t>在</w:t>
      </w:r>
      <w:r w:rsidRPr="00E3161E">
        <w:rPr>
          <w:rFonts w:hint="eastAsia"/>
        </w:rPr>
        <w:t>按揭申請人</w:t>
      </w:r>
      <w:r w:rsidR="00D2764B">
        <w:rPr>
          <w:rFonts w:hint="eastAsia"/>
          <w:lang w:eastAsia="zh-HK"/>
        </w:rPr>
        <w:t>因</w:t>
      </w:r>
      <w:r>
        <w:rPr>
          <w:rFonts w:hint="eastAsia"/>
        </w:rPr>
        <w:t>整體按揭成數超</w:t>
      </w:r>
      <w:r>
        <w:rPr>
          <w:rFonts w:hint="eastAsia"/>
          <w:lang w:eastAsia="zh-HK"/>
        </w:rPr>
        <w:t>出</w:t>
      </w:r>
      <w:r w:rsidRPr="00E3161E">
        <w:rPr>
          <w:rFonts w:hint="eastAsia"/>
        </w:rPr>
        <w:t>金管局</w:t>
      </w:r>
      <w:r>
        <w:rPr>
          <w:rFonts w:hint="eastAsia"/>
        </w:rPr>
        <w:t>一般</w:t>
      </w:r>
      <w:r w:rsidR="00D2764B">
        <w:rPr>
          <w:rFonts w:hint="eastAsia"/>
          <w:lang w:eastAsia="zh-HK"/>
        </w:rPr>
        <w:t>所</w:t>
      </w:r>
      <w:r>
        <w:rPr>
          <w:rFonts w:hint="eastAsia"/>
        </w:rPr>
        <w:t>容許的按揭成數上限</w:t>
      </w:r>
      <w:r>
        <w:rPr>
          <w:rFonts w:hint="eastAsia"/>
        </w:rPr>
        <w:t>20</w:t>
      </w:r>
      <w:r w:rsidR="00582FBD">
        <w:t> </w:t>
      </w:r>
      <w:r>
        <w:rPr>
          <w:rFonts w:hint="eastAsia"/>
        </w:rPr>
        <w:t>個百分點時，把所適用的</w:t>
      </w:r>
      <w:r w:rsidRPr="00E3161E">
        <w:rPr>
          <w:rFonts w:hint="eastAsia"/>
        </w:rPr>
        <w:t>供款與入息比率上限下調</w:t>
      </w:r>
      <w:r w:rsidR="00582FBD">
        <w:rPr>
          <w:rFonts w:hint="eastAsia"/>
          <w:lang w:eastAsia="zh-HK"/>
        </w:rPr>
        <w:t>五</w:t>
      </w:r>
      <w:r w:rsidRPr="00E3161E">
        <w:rPr>
          <w:rFonts w:hint="eastAsia"/>
        </w:rPr>
        <w:t>個百分</w:t>
      </w:r>
      <w:r>
        <w:rPr>
          <w:rFonts w:hint="eastAsia"/>
        </w:rPr>
        <w:t>點的要求。同</w:t>
      </w:r>
      <w:r w:rsidR="000D32DE">
        <w:rPr>
          <w:rFonts w:hint="eastAsia"/>
          <w:lang w:eastAsia="zh-HK"/>
        </w:rPr>
        <w:t>時</w:t>
      </w:r>
      <w:r>
        <w:rPr>
          <w:rFonts w:hint="eastAsia"/>
        </w:rPr>
        <w:t>，</w:t>
      </w:r>
      <w:r w:rsidRPr="0080567E">
        <w:rPr>
          <w:rFonts w:hint="eastAsia"/>
        </w:rPr>
        <w:t>香港按</w:t>
      </w:r>
      <w:r>
        <w:rPr>
          <w:rFonts w:hint="eastAsia"/>
        </w:rPr>
        <w:t>證保險</w:t>
      </w:r>
      <w:r w:rsidRPr="0080567E">
        <w:rPr>
          <w:rFonts w:hint="eastAsia"/>
        </w:rPr>
        <w:t>有限公司</w:t>
      </w:r>
      <w:r w:rsidR="000B709D">
        <w:rPr>
          <w:rFonts w:hint="eastAsia"/>
        </w:rPr>
        <w:t>(</w:t>
      </w:r>
      <w:r w:rsidR="000B709D" w:rsidRPr="00A221CE">
        <w:rPr>
          <w:rFonts w:hint="eastAsia"/>
        </w:rPr>
        <w:t>按證保險公司</w:t>
      </w:r>
      <w:r w:rsidR="000B709D">
        <w:rPr>
          <w:rFonts w:hint="eastAsia"/>
        </w:rPr>
        <w:t>)</w:t>
      </w:r>
      <w:r w:rsidR="000D32DE">
        <w:rPr>
          <w:rFonts w:hint="eastAsia"/>
          <w:lang w:eastAsia="zh-HK"/>
        </w:rPr>
        <w:t>亦</w:t>
      </w:r>
      <w:r>
        <w:rPr>
          <w:rFonts w:hint="eastAsia"/>
        </w:rPr>
        <w:t>對</w:t>
      </w:r>
      <w:r w:rsidRPr="0080567E">
        <w:rPr>
          <w:rFonts w:hint="eastAsia"/>
        </w:rPr>
        <w:t>按揭保險計劃</w:t>
      </w:r>
      <w:r>
        <w:rPr>
          <w:rFonts w:hint="eastAsia"/>
        </w:rPr>
        <w:t>作出調整</w:t>
      </w:r>
      <w:r w:rsidRPr="000720FA">
        <w:rPr>
          <w:bCs/>
          <w:sz w:val="28"/>
          <w:szCs w:val="28"/>
          <w:vertAlign w:val="superscript"/>
          <w:lang w:eastAsia="zh-HK"/>
        </w:rPr>
        <w:t>(3)</w:t>
      </w:r>
      <w:r>
        <w:rPr>
          <w:rFonts w:hint="eastAsia"/>
        </w:rPr>
        <w:t>。</w:t>
      </w:r>
    </w:p>
    <w:p w14:paraId="00AE2A70" w14:textId="5A356543" w:rsidR="007F7586" w:rsidRDefault="007F7586" w:rsidP="00AD5EAA">
      <w:r>
        <w:rPr>
          <w:rFonts w:hint="eastAsia"/>
          <w:b/>
        </w:rPr>
        <w:t>3.</w:t>
      </w:r>
      <w:r>
        <w:rPr>
          <w:b/>
        </w:rPr>
        <w:t>11</w:t>
      </w:r>
      <w:r>
        <w:tab/>
      </w:r>
      <w:r>
        <w:rPr>
          <w:rFonts w:hint="eastAsia"/>
          <w:i/>
          <w:lang w:eastAsia="zh-HK"/>
        </w:rPr>
        <w:t>非</w:t>
      </w:r>
      <w:r w:rsidRPr="00F47B51">
        <w:rPr>
          <w:rFonts w:hint="eastAsia"/>
          <w:i/>
          <w:lang w:eastAsia="zh-HK"/>
        </w:rPr>
        <w:t>住宅物業市場</w:t>
      </w:r>
      <w:r w:rsidRPr="00B450A0">
        <w:rPr>
          <w:rFonts w:hint="eastAsia"/>
          <w:lang w:eastAsia="zh-HK"/>
        </w:rPr>
        <w:t>在第</w:t>
      </w:r>
      <w:r>
        <w:rPr>
          <w:rFonts w:hint="eastAsia"/>
          <w:lang w:eastAsia="zh-HK"/>
        </w:rPr>
        <w:t>二</w:t>
      </w:r>
      <w:r w:rsidRPr="00B450A0">
        <w:rPr>
          <w:rFonts w:hint="eastAsia"/>
          <w:lang w:eastAsia="zh-HK"/>
        </w:rPr>
        <w:t>季</w:t>
      </w:r>
      <w:r w:rsidRPr="00A40405">
        <w:rPr>
          <w:rFonts w:hint="eastAsia"/>
          <w:lang w:eastAsia="zh-HK"/>
        </w:rPr>
        <w:t>大致</w:t>
      </w:r>
      <w:r w:rsidR="001364F1">
        <w:rPr>
          <w:rFonts w:hint="eastAsia"/>
          <w:lang w:eastAsia="zh-HK"/>
        </w:rPr>
        <w:t>保持</w:t>
      </w:r>
      <w:r w:rsidRPr="00A40405">
        <w:rPr>
          <w:rFonts w:hint="eastAsia"/>
          <w:lang w:eastAsia="zh-HK"/>
        </w:rPr>
        <w:t>平穩</w:t>
      </w:r>
      <w:r>
        <w:rPr>
          <w:rFonts w:hint="eastAsia"/>
          <w:lang w:eastAsia="zh-HK"/>
        </w:rPr>
        <w:t>。</w:t>
      </w:r>
      <w:r w:rsidRPr="00B450A0">
        <w:rPr>
          <w:rFonts w:hint="eastAsia"/>
          <w:lang w:eastAsia="zh-HK"/>
        </w:rPr>
        <w:t>交</w:t>
      </w:r>
      <w:r w:rsidRPr="00B450A0">
        <w:rPr>
          <w:rFonts w:hint="eastAsia"/>
        </w:rPr>
        <w:t>投</w:t>
      </w:r>
      <w:r>
        <w:rPr>
          <w:rFonts w:hint="eastAsia"/>
        </w:rPr>
        <w:t>活動</w:t>
      </w:r>
      <w:r w:rsidRPr="00A40405">
        <w:rPr>
          <w:rFonts w:hint="eastAsia"/>
          <w:lang w:eastAsia="zh-HK"/>
        </w:rPr>
        <w:t>仍</w:t>
      </w:r>
      <w:r w:rsidR="00097E08" w:rsidRPr="00097E08">
        <w:rPr>
          <w:rFonts w:hint="eastAsia"/>
        </w:rPr>
        <w:t>然疏落</w:t>
      </w:r>
      <w:r w:rsidRPr="00A40405">
        <w:rPr>
          <w:rFonts w:hint="eastAsia"/>
        </w:rPr>
        <w:t>，</w:t>
      </w:r>
      <w:r w:rsidR="00274172" w:rsidRPr="00274172">
        <w:rPr>
          <w:rFonts w:hint="eastAsia"/>
        </w:rPr>
        <w:t>不同環節的</w:t>
      </w:r>
      <w:r w:rsidRPr="00F47B51">
        <w:rPr>
          <w:rFonts w:hint="eastAsia"/>
        </w:rPr>
        <w:t>售價和租金</w:t>
      </w:r>
      <w:r w:rsidR="004D219A">
        <w:rPr>
          <w:rFonts w:hint="eastAsia"/>
          <w:lang w:eastAsia="zh-HK"/>
        </w:rPr>
        <w:t>表</w:t>
      </w:r>
      <w:r w:rsidR="004D219A">
        <w:rPr>
          <w:rFonts w:hint="eastAsia"/>
        </w:rPr>
        <w:t>現</w:t>
      </w:r>
      <w:r w:rsidR="004D219A">
        <w:rPr>
          <w:rFonts w:hint="eastAsia"/>
          <w:lang w:eastAsia="zh-HK"/>
        </w:rPr>
        <w:t>不一</w:t>
      </w:r>
      <w:r w:rsidR="004D219A" w:rsidRPr="00DD475A">
        <w:rPr>
          <w:rFonts w:hint="eastAsia"/>
        </w:rPr>
        <w:t>。</w:t>
      </w:r>
    </w:p>
    <w:p w14:paraId="349ECBF3" w14:textId="46165E86" w:rsidR="007F7586" w:rsidRDefault="007F7586" w:rsidP="00AD5EAA">
      <w:pPr>
        <w:rPr>
          <w:lang w:val="en-GB"/>
        </w:rPr>
      </w:pPr>
      <w:r>
        <w:rPr>
          <w:rFonts w:hint="eastAsia"/>
          <w:b/>
        </w:rPr>
        <w:t>3.1</w:t>
      </w:r>
      <w:r>
        <w:rPr>
          <w:b/>
        </w:rPr>
        <w:t>2</w:t>
      </w:r>
      <w:r>
        <w:tab/>
      </w:r>
      <w:r w:rsidRPr="00B209C5">
        <w:rPr>
          <w:rFonts w:hint="eastAsia"/>
          <w:i/>
          <w:lang w:val="en-GB"/>
        </w:rPr>
        <w:t>寫字樓</w:t>
      </w:r>
      <w:r w:rsidRPr="00B209C5">
        <w:rPr>
          <w:rFonts w:hint="eastAsia"/>
          <w:lang w:val="en-GB"/>
        </w:rPr>
        <w:t>的售價</w:t>
      </w:r>
      <w:r>
        <w:rPr>
          <w:rFonts w:hint="eastAsia"/>
          <w:lang w:val="en-GB" w:eastAsia="zh-HK"/>
        </w:rPr>
        <w:t>在第二季</w:t>
      </w:r>
      <w:r w:rsidRPr="00DE41DD">
        <w:rPr>
          <w:rFonts w:hint="eastAsia"/>
          <w:lang w:val="en-GB" w:eastAsia="zh-HK"/>
        </w:rPr>
        <w:t>內</w:t>
      </w:r>
      <w:r w:rsidRPr="009D4270">
        <w:rPr>
          <w:rFonts w:hint="eastAsia"/>
          <w:lang w:val="en-GB"/>
        </w:rPr>
        <w:t>平均</w:t>
      </w:r>
      <w:r w:rsidR="0063411F">
        <w:rPr>
          <w:rFonts w:hint="eastAsia"/>
        </w:rPr>
        <w:t>微</w:t>
      </w:r>
      <w:r w:rsidR="0063411F">
        <w:rPr>
          <w:rFonts w:hint="eastAsia"/>
          <w:lang w:eastAsia="zh-HK"/>
        </w:rPr>
        <w:t>跌</w:t>
      </w:r>
      <w:r w:rsidR="0063411F">
        <w:rPr>
          <w:lang w:eastAsia="zh-HK"/>
        </w:rPr>
        <w:t> </w:t>
      </w:r>
      <w:r>
        <w:rPr>
          <w:lang w:val="en-GB"/>
        </w:rPr>
        <w:t>1</w:t>
      </w:r>
      <w:r w:rsidRPr="009D4270">
        <w:rPr>
          <w:rFonts w:hint="eastAsia"/>
          <w:lang w:val="en-GB"/>
        </w:rPr>
        <w:t>%</w:t>
      </w:r>
      <w:r>
        <w:rPr>
          <w:rFonts w:hint="eastAsia"/>
          <w:lang w:val="en-GB" w:eastAsia="zh-HK"/>
        </w:rPr>
        <w:t>，當中</w:t>
      </w:r>
      <w:r w:rsidRPr="009D4270">
        <w:rPr>
          <w:rFonts w:hint="eastAsia"/>
          <w:lang w:val="en-GB"/>
        </w:rPr>
        <w:t>乙級寫字樓售價</w:t>
      </w:r>
      <w:r w:rsidR="00227289">
        <w:rPr>
          <w:rFonts w:hint="eastAsia"/>
          <w:lang w:val="en-GB"/>
        </w:rPr>
        <w:t>的</w:t>
      </w:r>
      <w:r w:rsidR="0063411F">
        <w:rPr>
          <w:rFonts w:hint="eastAsia"/>
          <w:lang w:val="en-GB"/>
        </w:rPr>
        <w:t>4</w:t>
      </w:r>
      <w:r>
        <w:rPr>
          <w:rFonts w:hint="eastAsia"/>
          <w:lang w:val="en-GB"/>
        </w:rPr>
        <w:t>%</w:t>
      </w:r>
      <w:r w:rsidRPr="00C26C91">
        <w:rPr>
          <w:rFonts w:hint="eastAsia"/>
          <w:lang w:val="en-GB" w:eastAsia="zh-HK"/>
        </w:rPr>
        <w:t>升幅</w:t>
      </w:r>
      <w:r w:rsidR="0063411F">
        <w:rPr>
          <w:rFonts w:hint="eastAsia"/>
          <w:lang w:val="en-GB" w:eastAsia="zh-HK"/>
        </w:rPr>
        <w:t>被</w:t>
      </w:r>
      <w:r w:rsidRPr="00C26C91">
        <w:rPr>
          <w:rFonts w:hint="eastAsia"/>
          <w:lang w:val="en-GB" w:eastAsia="zh-HK"/>
        </w:rPr>
        <w:t>甲級和丙級寫字樓售價</w:t>
      </w:r>
      <w:r w:rsidR="0063411F">
        <w:rPr>
          <w:rFonts w:hint="eastAsia"/>
          <w:lang w:val="en-GB"/>
        </w:rPr>
        <w:t>3</w:t>
      </w:r>
      <w:r w:rsidR="00F728C5">
        <w:rPr>
          <w:rFonts w:hint="eastAsia"/>
          <w:lang w:val="en-GB"/>
        </w:rPr>
        <w:t>%</w:t>
      </w:r>
      <w:r w:rsidR="00F728C5">
        <w:rPr>
          <w:rFonts w:hint="eastAsia"/>
          <w:lang w:val="en-GB" w:eastAsia="zh-HK"/>
        </w:rPr>
        <w:t>和</w:t>
      </w:r>
      <w:r w:rsidR="00F728C5">
        <w:rPr>
          <w:rFonts w:hint="eastAsia"/>
          <w:lang w:val="en-GB"/>
        </w:rPr>
        <w:t>1%</w:t>
      </w:r>
      <w:r w:rsidR="001D5750">
        <w:rPr>
          <w:rFonts w:hint="eastAsia"/>
          <w:lang w:val="en-GB"/>
        </w:rPr>
        <w:t>的</w:t>
      </w:r>
      <w:r w:rsidRPr="00C26C91">
        <w:rPr>
          <w:rFonts w:hint="eastAsia"/>
          <w:lang w:val="en-GB" w:eastAsia="zh-HK"/>
        </w:rPr>
        <w:t>跌幅</w:t>
      </w:r>
      <w:r w:rsidR="0063411F" w:rsidRPr="00C26C91">
        <w:rPr>
          <w:rFonts w:hint="eastAsia"/>
          <w:lang w:val="en-GB" w:eastAsia="zh-HK"/>
        </w:rPr>
        <w:t>抵</w:t>
      </w:r>
      <w:r w:rsidR="0063411F">
        <w:rPr>
          <w:rFonts w:hint="eastAsia"/>
          <w:lang w:val="en-GB" w:eastAsia="zh-HK"/>
        </w:rPr>
        <w:t>銷</w:t>
      </w:r>
      <w:r w:rsidRPr="00C26C91">
        <w:rPr>
          <w:rFonts w:hint="eastAsia"/>
          <w:lang w:val="en-GB" w:eastAsia="zh-HK"/>
        </w:rPr>
        <w:t>有餘</w:t>
      </w:r>
      <w:r w:rsidRPr="009D4270">
        <w:rPr>
          <w:rFonts w:hint="eastAsia"/>
          <w:lang w:val="en-GB"/>
        </w:rPr>
        <w:t>。</w:t>
      </w:r>
      <w:r w:rsidRPr="00E35EC6">
        <w:rPr>
          <w:rFonts w:hint="eastAsia"/>
        </w:rPr>
        <w:t>同時，</w:t>
      </w:r>
      <w:r w:rsidRPr="00984230">
        <w:rPr>
          <w:rFonts w:hint="eastAsia"/>
        </w:rPr>
        <w:t>整體</w:t>
      </w:r>
      <w:r w:rsidRPr="00E35EC6">
        <w:rPr>
          <w:rFonts w:hint="eastAsia"/>
        </w:rPr>
        <w:t>寫字樓</w:t>
      </w:r>
      <w:r w:rsidRPr="00F73A37">
        <w:rPr>
          <w:rFonts w:hint="eastAsia"/>
        </w:rPr>
        <w:t>租金</w:t>
      </w:r>
      <w:r w:rsidRPr="00E35EC6">
        <w:rPr>
          <w:rFonts w:hint="eastAsia"/>
        </w:rPr>
        <w:t>在</w:t>
      </w:r>
      <w:r>
        <w:rPr>
          <w:rFonts w:hint="eastAsia"/>
          <w:lang w:eastAsia="zh-HK"/>
        </w:rPr>
        <w:t>三</w:t>
      </w:r>
      <w:r w:rsidRPr="00E35EC6">
        <w:rPr>
          <w:rFonts w:hint="eastAsia"/>
        </w:rPr>
        <w:t>月至</w:t>
      </w:r>
      <w:r>
        <w:rPr>
          <w:rFonts w:hint="eastAsia"/>
          <w:lang w:eastAsia="zh-HK"/>
        </w:rPr>
        <w:t>六</w:t>
      </w:r>
      <w:r w:rsidRPr="00E35EC6">
        <w:rPr>
          <w:rFonts w:hint="eastAsia"/>
        </w:rPr>
        <w:t>月期間</w:t>
      </w:r>
      <w:r w:rsidR="0063411F">
        <w:rPr>
          <w:rFonts w:hint="eastAsia"/>
          <w:lang w:eastAsia="zh-HK"/>
        </w:rPr>
        <w:t>幾無變</w:t>
      </w:r>
      <w:r w:rsidR="0063411F">
        <w:rPr>
          <w:rFonts w:hint="eastAsia"/>
        </w:rPr>
        <w:t>動</w:t>
      </w:r>
      <w:r w:rsidRPr="00E35EC6">
        <w:rPr>
          <w:rFonts w:hint="eastAsia"/>
        </w:rPr>
        <w:t>，</w:t>
      </w:r>
      <w:r w:rsidRPr="00B344D0">
        <w:rPr>
          <w:rFonts w:hint="eastAsia"/>
        </w:rPr>
        <w:t>當中</w:t>
      </w:r>
      <w:r w:rsidR="0063411F" w:rsidRPr="00F73A37">
        <w:rPr>
          <w:rFonts w:hint="eastAsia"/>
        </w:rPr>
        <w:t>丙</w:t>
      </w:r>
      <w:r w:rsidRPr="00F73A37">
        <w:rPr>
          <w:rFonts w:hint="eastAsia"/>
        </w:rPr>
        <w:t>級寫字樓的租金</w:t>
      </w:r>
      <w:r w:rsidR="0063411F" w:rsidRPr="00144C46">
        <w:rPr>
          <w:rFonts w:hint="eastAsia"/>
          <w:spacing w:val="28"/>
        </w:rPr>
        <w:t>微升</w:t>
      </w:r>
      <w:r w:rsidR="0063411F" w:rsidRPr="00144C46">
        <w:rPr>
          <w:spacing w:val="28"/>
        </w:rPr>
        <w:t> 1</w:t>
      </w:r>
      <w:r w:rsidRPr="00144C46">
        <w:rPr>
          <w:spacing w:val="28"/>
        </w:rPr>
        <w:t>%</w:t>
      </w:r>
      <w:r w:rsidRPr="00144C46">
        <w:rPr>
          <w:rFonts w:hint="eastAsia"/>
          <w:spacing w:val="28"/>
        </w:rPr>
        <w:t>，</w:t>
      </w:r>
      <w:r w:rsidRPr="00144C46">
        <w:rPr>
          <w:rFonts w:hint="eastAsia"/>
          <w:spacing w:val="28"/>
          <w:lang w:eastAsia="zh-HK"/>
        </w:rPr>
        <w:t>甲</w:t>
      </w:r>
      <w:r w:rsidRPr="00144C46">
        <w:rPr>
          <w:rFonts w:hint="eastAsia"/>
          <w:spacing w:val="28"/>
        </w:rPr>
        <w:t>級和</w:t>
      </w:r>
      <w:r w:rsidR="0063411F" w:rsidRPr="00144C46">
        <w:rPr>
          <w:rFonts w:hint="eastAsia"/>
          <w:spacing w:val="28"/>
          <w:lang w:eastAsia="zh-HK"/>
        </w:rPr>
        <w:t>乙</w:t>
      </w:r>
      <w:r w:rsidRPr="00144C46">
        <w:rPr>
          <w:rFonts w:hint="eastAsia"/>
          <w:spacing w:val="28"/>
        </w:rPr>
        <w:t>級寫字樓的租金</w:t>
      </w:r>
      <w:r w:rsidR="00EA7D02" w:rsidRPr="00144C46">
        <w:rPr>
          <w:rFonts w:hint="eastAsia"/>
          <w:spacing w:val="28"/>
          <w:lang w:eastAsia="zh-HK"/>
        </w:rPr>
        <w:t>均</w:t>
      </w:r>
      <w:r w:rsidRPr="00144C46">
        <w:rPr>
          <w:rFonts w:hint="eastAsia"/>
          <w:spacing w:val="28"/>
        </w:rPr>
        <w:t>變動不大。與二零一八年和二零一九年各自的高峯相比，</w:t>
      </w:r>
      <w:r>
        <w:rPr>
          <w:rFonts w:hint="eastAsia"/>
          <w:lang w:eastAsia="zh-HK"/>
        </w:rPr>
        <w:t>六</w:t>
      </w:r>
      <w:r w:rsidRPr="00F73A37">
        <w:rPr>
          <w:rFonts w:hint="eastAsia"/>
          <w:lang w:eastAsia="zh-HK"/>
        </w:rPr>
        <w:t>月</w:t>
      </w:r>
      <w:r w:rsidRPr="00F73A37">
        <w:rPr>
          <w:rFonts w:hint="eastAsia"/>
        </w:rPr>
        <w:t>的售價</w:t>
      </w:r>
      <w:r w:rsidRPr="00F73A37">
        <w:rPr>
          <w:rFonts w:hint="eastAsia"/>
          <w:lang w:eastAsia="zh-HK"/>
        </w:rPr>
        <w:t>和</w:t>
      </w:r>
      <w:r w:rsidRPr="00F73A37">
        <w:rPr>
          <w:rFonts w:hint="eastAsia"/>
        </w:rPr>
        <w:t>租金</w:t>
      </w:r>
      <w:r>
        <w:rPr>
          <w:rFonts w:hint="eastAsia"/>
          <w:lang w:eastAsia="zh-HK"/>
        </w:rPr>
        <w:t>分別</w:t>
      </w:r>
      <w:r w:rsidRPr="00F73A37">
        <w:rPr>
          <w:rFonts w:hint="eastAsia"/>
        </w:rPr>
        <w:t>平均</w:t>
      </w:r>
      <w:r w:rsidRPr="00B344D0">
        <w:rPr>
          <w:rFonts w:hint="eastAsia"/>
        </w:rPr>
        <w:t>低</w:t>
      </w:r>
      <w:r>
        <w:rPr>
          <w:rFonts w:hint="eastAsia"/>
        </w:rPr>
        <w:t>2</w:t>
      </w:r>
      <w:r w:rsidR="0063411F">
        <w:rPr>
          <w:rFonts w:hint="eastAsia"/>
        </w:rPr>
        <w:t>1</w:t>
      </w:r>
      <w:r w:rsidRPr="00F73A37">
        <w:t>%</w:t>
      </w:r>
      <w:r w:rsidRPr="00F73A37">
        <w:rPr>
          <w:rFonts w:hint="eastAsia"/>
          <w:lang w:eastAsia="zh-HK"/>
        </w:rPr>
        <w:t>和</w:t>
      </w:r>
      <w:r>
        <w:rPr>
          <w:rFonts w:hint="eastAsia"/>
        </w:rPr>
        <w:t>1</w:t>
      </w:r>
      <w:r w:rsidR="0063411F">
        <w:rPr>
          <w:rFonts w:hint="eastAsia"/>
        </w:rPr>
        <w:t>4</w:t>
      </w:r>
      <w:r w:rsidRPr="00F73A37">
        <w:t>%</w:t>
      </w:r>
      <w:r>
        <w:rPr>
          <w:rFonts w:hint="eastAsia"/>
        </w:rPr>
        <w:t>。</w:t>
      </w:r>
      <w:r w:rsidRPr="00F73A37">
        <w:rPr>
          <w:rFonts w:hint="eastAsia"/>
          <w:lang w:eastAsia="zh-HK"/>
        </w:rPr>
        <w:t>在</w:t>
      </w:r>
      <w:r>
        <w:rPr>
          <w:rFonts w:hint="eastAsia"/>
          <w:lang w:eastAsia="zh-HK"/>
        </w:rPr>
        <w:t>六</w:t>
      </w:r>
      <w:r w:rsidRPr="00F73A37">
        <w:rPr>
          <w:rFonts w:hint="eastAsia"/>
          <w:lang w:eastAsia="zh-HK"/>
        </w:rPr>
        <w:t>月</w:t>
      </w:r>
      <w:r>
        <w:rPr>
          <w:rFonts w:hint="eastAsia"/>
        </w:rPr>
        <w:t>，</w:t>
      </w:r>
      <w:r w:rsidRPr="00F73A37">
        <w:rPr>
          <w:rFonts w:hint="eastAsia"/>
          <w:lang w:eastAsia="zh-HK"/>
        </w:rPr>
        <w:t>甲級、乙級和丙級寫字樓的平均租金回報率分別為</w:t>
      </w:r>
      <w:r w:rsidR="0063411F">
        <w:rPr>
          <w:lang w:eastAsia="zh-HK"/>
        </w:rPr>
        <w:t> </w:t>
      </w:r>
      <w:r w:rsidRPr="00F73A37">
        <w:t>2.</w:t>
      </w:r>
      <w:r>
        <w:rPr>
          <w:rFonts w:hint="eastAsia"/>
        </w:rPr>
        <w:t>6</w:t>
      </w:r>
      <w:r w:rsidRPr="00F73A37">
        <w:rPr>
          <w:lang w:eastAsia="zh-HK"/>
        </w:rPr>
        <w:t>%</w:t>
      </w:r>
      <w:r w:rsidRPr="00F73A37">
        <w:rPr>
          <w:rFonts w:hint="eastAsia"/>
          <w:lang w:eastAsia="zh-HK"/>
        </w:rPr>
        <w:t>、</w:t>
      </w:r>
      <w:r w:rsidRPr="00F73A37">
        <w:t>2.</w:t>
      </w:r>
      <w:r>
        <w:rPr>
          <w:rFonts w:hint="eastAsia"/>
        </w:rPr>
        <w:t>6</w:t>
      </w:r>
      <w:r w:rsidRPr="00F73A37">
        <w:rPr>
          <w:lang w:eastAsia="zh-HK"/>
        </w:rPr>
        <w:t>%</w:t>
      </w:r>
      <w:r w:rsidRPr="00F73A37">
        <w:rPr>
          <w:rFonts w:hint="eastAsia"/>
          <w:lang w:eastAsia="zh-HK"/>
        </w:rPr>
        <w:t>和</w:t>
      </w:r>
      <w:r>
        <w:rPr>
          <w:rFonts w:hint="eastAsia"/>
        </w:rPr>
        <w:t>3</w:t>
      </w:r>
      <w:r w:rsidRPr="00F73A37">
        <w:t>.</w:t>
      </w:r>
      <w:r w:rsidR="0063411F">
        <w:rPr>
          <w:rFonts w:hint="eastAsia"/>
        </w:rPr>
        <w:t>1</w:t>
      </w:r>
      <w:r w:rsidRPr="00F73A37">
        <w:rPr>
          <w:lang w:eastAsia="zh-HK"/>
        </w:rPr>
        <w:t>%</w:t>
      </w:r>
      <w:r w:rsidRPr="00F73A37">
        <w:rPr>
          <w:rFonts w:hint="eastAsia"/>
          <w:lang w:eastAsia="zh-HK"/>
        </w:rPr>
        <w:t>，</w:t>
      </w:r>
      <w:r>
        <w:rPr>
          <w:rFonts w:hint="eastAsia"/>
          <w:lang w:eastAsia="zh-HK"/>
        </w:rPr>
        <w:t>三</w:t>
      </w:r>
      <w:r w:rsidRPr="00F73A37">
        <w:rPr>
          <w:rFonts w:hint="eastAsia"/>
          <w:lang w:eastAsia="zh-HK"/>
        </w:rPr>
        <w:t>月的</w:t>
      </w:r>
      <w:r w:rsidR="00EA7D02" w:rsidRPr="00EA7D02">
        <w:rPr>
          <w:rFonts w:hint="eastAsia"/>
          <w:lang w:eastAsia="zh-HK"/>
        </w:rPr>
        <w:t>平均租金</w:t>
      </w:r>
      <w:r w:rsidRPr="00F73A37">
        <w:rPr>
          <w:rFonts w:hint="eastAsia"/>
          <w:lang w:eastAsia="zh-HK"/>
        </w:rPr>
        <w:t>回報率則分別為</w:t>
      </w:r>
      <w:r w:rsidRPr="00F73A37">
        <w:rPr>
          <w:lang w:eastAsia="zh-HK"/>
        </w:rPr>
        <w:t>2.</w:t>
      </w:r>
      <w:r>
        <w:rPr>
          <w:rFonts w:hint="eastAsia"/>
        </w:rPr>
        <w:t>5</w:t>
      </w:r>
      <w:r w:rsidRPr="00F73A37">
        <w:rPr>
          <w:lang w:eastAsia="zh-HK"/>
        </w:rPr>
        <w:t>%</w:t>
      </w:r>
      <w:r w:rsidRPr="00F73A37">
        <w:rPr>
          <w:rFonts w:hint="eastAsia"/>
          <w:lang w:eastAsia="zh-HK"/>
        </w:rPr>
        <w:t>、</w:t>
      </w:r>
      <w:r w:rsidRPr="00F73A37">
        <w:rPr>
          <w:lang w:eastAsia="zh-HK"/>
        </w:rPr>
        <w:t>2.</w:t>
      </w:r>
      <w:r w:rsidRPr="00F73A37">
        <w:t>7</w:t>
      </w:r>
      <w:r w:rsidRPr="00F73A37">
        <w:rPr>
          <w:lang w:eastAsia="zh-HK"/>
        </w:rPr>
        <w:t>%</w:t>
      </w:r>
      <w:r w:rsidRPr="00F73A37">
        <w:rPr>
          <w:rFonts w:hint="eastAsia"/>
          <w:lang w:eastAsia="zh-HK"/>
        </w:rPr>
        <w:t>和</w:t>
      </w:r>
      <w:r>
        <w:rPr>
          <w:rFonts w:hint="eastAsia"/>
        </w:rPr>
        <w:t>3</w:t>
      </w:r>
      <w:r w:rsidRPr="00F73A37">
        <w:rPr>
          <w:lang w:eastAsia="zh-HK"/>
        </w:rPr>
        <w:t>.</w:t>
      </w:r>
      <w:r>
        <w:rPr>
          <w:rFonts w:hint="eastAsia"/>
        </w:rPr>
        <w:t>0</w:t>
      </w:r>
      <w:r w:rsidRPr="00F73A37">
        <w:rPr>
          <w:lang w:eastAsia="zh-HK"/>
        </w:rPr>
        <w:t>%</w:t>
      </w:r>
      <w:r w:rsidRPr="00F73A37">
        <w:rPr>
          <w:rFonts w:hint="eastAsia"/>
          <w:lang w:eastAsia="zh-HK"/>
        </w:rPr>
        <w:t>。第</w:t>
      </w:r>
      <w:r>
        <w:rPr>
          <w:rFonts w:hint="eastAsia"/>
          <w:lang w:eastAsia="zh-HK"/>
        </w:rPr>
        <w:t>二</w:t>
      </w:r>
      <w:r w:rsidRPr="00F73A37">
        <w:rPr>
          <w:rFonts w:hint="eastAsia"/>
          <w:lang w:eastAsia="zh-HK"/>
        </w:rPr>
        <w:t>季寫字樓</w:t>
      </w:r>
      <w:r w:rsidRPr="00B344D0">
        <w:rPr>
          <w:rFonts w:hint="eastAsia"/>
        </w:rPr>
        <w:t>的</w:t>
      </w:r>
      <w:r w:rsidRPr="00F73A37">
        <w:rPr>
          <w:rFonts w:hint="eastAsia"/>
          <w:lang w:eastAsia="zh-HK"/>
        </w:rPr>
        <w:t>交投量較</w:t>
      </w:r>
      <w:r w:rsidRPr="00B344D0">
        <w:rPr>
          <w:rFonts w:hint="eastAsia"/>
        </w:rPr>
        <w:t>上</w:t>
      </w:r>
      <w:r w:rsidRPr="00F73A37">
        <w:rPr>
          <w:rFonts w:hint="eastAsia"/>
          <w:lang w:eastAsia="zh-HK"/>
        </w:rPr>
        <w:t>一</w:t>
      </w:r>
      <w:r>
        <w:rPr>
          <w:rFonts w:hint="eastAsia"/>
          <w:lang w:eastAsia="zh-HK"/>
        </w:rPr>
        <w:t>季</w:t>
      </w:r>
      <w:r w:rsidR="0063411F">
        <w:rPr>
          <w:rFonts w:hint="eastAsia"/>
          <w:lang w:eastAsia="zh-HK"/>
        </w:rPr>
        <w:t>上</w:t>
      </w:r>
      <w:r w:rsidRPr="00341694">
        <w:rPr>
          <w:rFonts w:hint="eastAsia"/>
        </w:rPr>
        <w:t>升</w:t>
      </w:r>
      <w:r w:rsidR="0063411F">
        <w:t> </w:t>
      </w:r>
      <w:r w:rsidR="0063411F">
        <w:rPr>
          <w:rFonts w:hint="eastAsia"/>
        </w:rPr>
        <w:t>5</w:t>
      </w:r>
      <w:r>
        <w:rPr>
          <w:rFonts w:hint="eastAsia"/>
        </w:rPr>
        <w:t>%</w:t>
      </w:r>
      <w:r>
        <w:rPr>
          <w:rFonts w:hint="eastAsia"/>
          <w:lang w:eastAsia="zh-HK"/>
        </w:rPr>
        <w:t>至</w:t>
      </w:r>
      <w:r>
        <w:rPr>
          <w:lang w:eastAsia="zh-HK"/>
        </w:rPr>
        <w:t>1</w:t>
      </w:r>
      <w:r>
        <w:rPr>
          <w:rFonts w:hint="eastAsia"/>
        </w:rPr>
        <w:t>9</w:t>
      </w:r>
      <w:r>
        <w:rPr>
          <w:lang w:eastAsia="zh-HK"/>
        </w:rPr>
        <w:t>0</w:t>
      </w:r>
      <w:r>
        <w:rPr>
          <w:rFonts w:hint="eastAsia"/>
          <w:lang w:eastAsia="zh-HK"/>
        </w:rPr>
        <w:t>宗</w:t>
      </w:r>
      <w:r>
        <w:rPr>
          <w:rFonts w:hint="eastAsia"/>
        </w:rPr>
        <w:t>，</w:t>
      </w:r>
      <w:r w:rsidR="00F90A67">
        <w:rPr>
          <w:rFonts w:hint="eastAsia"/>
        </w:rPr>
        <w:t>儘管</w:t>
      </w:r>
      <w:r w:rsidRPr="00341694">
        <w:rPr>
          <w:rFonts w:hint="eastAsia"/>
        </w:rPr>
        <w:t>仍</w:t>
      </w:r>
      <w:r>
        <w:rPr>
          <w:rFonts w:hint="eastAsia"/>
          <w:lang w:eastAsia="zh-HK"/>
        </w:rPr>
        <w:t>較一年前低</w:t>
      </w:r>
      <w:r>
        <w:rPr>
          <w:rFonts w:hint="eastAsia"/>
        </w:rPr>
        <w:t>1</w:t>
      </w:r>
      <w:r w:rsidR="0063411F">
        <w:rPr>
          <w:rFonts w:hint="eastAsia"/>
        </w:rPr>
        <w:t>2</w:t>
      </w:r>
      <w:r>
        <w:rPr>
          <w:rFonts w:hint="eastAsia"/>
        </w:rPr>
        <w:t>%</w:t>
      </w:r>
      <w:r>
        <w:rPr>
          <w:rFonts w:hint="eastAsia"/>
          <w:lang w:eastAsia="zh-HK"/>
        </w:rPr>
        <w:t>，</w:t>
      </w:r>
      <w:r w:rsidR="00DF2CFC">
        <w:rPr>
          <w:rFonts w:hint="eastAsia"/>
          <w:lang w:eastAsia="zh-HK"/>
        </w:rPr>
        <w:t>並</w:t>
      </w:r>
      <w:r w:rsidRPr="00454D79">
        <w:rPr>
          <w:rFonts w:hint="eastAsia"/>
        </w:rPr>
        <w:t>顯著低於二零一</w:t>
      </w:r>
      <w:r w:rsidRPr="008F361A">
        <w:rPr>
          <w:rFonts w:hint="eastAsia"/>
        </w:rPr>
        <w:t>八</w:t>
      </w:r>
      <w:r w:rsidRPr="00454D79">
        <w:rPr>
          <w:rFonts w:hint="eastAsia"/>
        </w:rPr>
        <w:t>至二零二</w:t>
      </w:r>
      <w:r>
        <w:rPr>
          <w:rFonts w:hint="eastAsia"/>
          <w:lang w:eastAsia="zh-HK"/>
        </w:rPr>
        <w:t>二</w:t>
      </w:r>
      <w:r w:rsidRPr="00454D79">
        <w:rPr>
          <w:rFonts w:hint="eastAsia"/>
        </w:rPr>
        <w:t>年期間</w:t>
      </w:r>
      <w:r>
        <w:rPr>
          <w:rFonts w:hint="eastAsia"/>
        </w:rPr>
        <w:t>2</w:t>
      </w:r>
      <w:r>
        <w:t>3</w:t>
      </w:r>
      <w:r>
        <w:rPr>
          <w:rFonts w:hint="eastAsia"/>
        </w:rPr>
        <w:t>0</w:t>
      </w:r>
      <w:r w:rsidRPr="00454D79">
        <w:rPr>
          <w:rFonts w:hint="eastAsia"/>
        </w:rPr>
        <w:t>宗的季度平均水平。</w:t>
      </w:r>
    </w:p>
    <w:p w14:paraId="4FD201CA" w14:textId="26E23DC4" w:rsidR="007F7586" w:rsidRDefault="007F7586" w:rsidP="00AD5EAA">
      <w:pPr>
        <w:rPr>
          <w:lang w:eastAsia="zh-HK"/>
        </w:rPr>
      </w:pPr>
      <w:r w:rsidRPr="00984230">
        <w:rPr>
          <w:rFonts w:hint="eastAsia"/>
          <w:b/>
        </w:rPr>
        <w:t>3.1</w:t>
      </w:r>
      <w:r>
        <w:rPr>
          <w:rFonts w:hint="eastAsia"/>
          <w:b/>
        </w:rPr>
        <w:t>3</w:t>
      </w:r>
      <w:r w:rsidRPr="00984230">
        <w:rPr>
          <w:b/>
        </w:rPr>
        <w:tab/>
      </w:r>
      <w:r w:rsidRPr="00E35EC6">
        <w:rPr>
          <w:rFonts w:hint="eastAsia"/>
          <w:i/>
        </w:rPr>
        <w:t>零售舖位</w:t>
      </w:r>
      <w:r w:rsidRPr="00E35EC6">
        <w:rPr>
          <w:rFonts w:hint="eastAsia"/>
        </w:rPr>
        <w:t>的售價</w:t>
      </w:r>
      <w:r>
        <w:rPr>
          <w:rFonts w:hint="eastAsia"/>
        </w:rPr>
        <w:t>和</w:t>
      </w:r>
      <w:r w:rsidRPr="00984230">
        <w:rPr>
          <w:rFonts w:hint="eastAsia"/>
        </w:rPr>
        <w:t>租金</w:t>
      </w:r>
      <w:r w:rsidRPr="00E35EC6">
        <w:rPr>
          <w:rFonts w:hint="eastAsia"/>
        </w:rPr>
        <w:t>在</w:t>
      </w:r>
      <w:r w:rsidRPr="00984230">
        <w:rPr>
          <w:rFonts w:hint="eastAsia"/>
        </w:rPr>
        <w:t>第</w:t>
      </w:r>
      <w:r>
        <w:rPr>
          <w:rFonts w:hint="eastAsia"/>
        </w:rPr>
        <w:t>二</w:t>
      </w:r>
      <w:r w:rsidRPr="00984230">
        <w:rPr>
          <w:rFonts w:hint="eastAsia"/>
        </w:rPr>
        <w:t>季內</w:t>
      </w:r>
      <w:r>
        <w:rPr>
          <w:rFonts w:hint="eastAsia"/>
        </w:rPr>
        <w:t>均</w:t>
      </w:r>
      <w:r w:rsidR="008A740B">
        <w:rPr>
          <w:rFonts w:hint="eastAsia"/>
          <w:lang w:eastAsia="zh-HK"/>
        </w:rPr>
        <w:t>上</w:t>
      </w:r>
      <w:r>
        <w:rPr>
          <w:rFonts w:hint="eastAsia"/>
        </w:rPr>
        <w:t>升</w:t>
      </w:r>
      <w:r w:rsidR="008A740B">
        <w:t> </w:t>
      </w:r>
      <w:r w:rsidR="008A740B">
        <w:rPr>
          <w:rFonts w:hint="eastAsia"/>
        </w:rPr>
        <w:t>2</w:t>
      </w:r>
      <w:r w:rsidRPr="00984230">
        <w:rPr>
          <w:rFonts w:hint="eastAsia"/>
        </w:rPr>
        <w:t>%</w:t>
      </w:r>
      <w:r w:rsidRPr="00984230">
        <w:rPr>
          <w:rFonts w:hint="eastAsia"/>
        </w:rPr>
        <w:t>。與二零一八年和二零一九年各自的高峯相比，</w:t>
      </w:r>
      <w:r>
        <w:rPr>
          <w:rFonts w:hint="eastAsia"/>
        </w:rPr>
        <w:t>六</w:t>
      </w:r>
      <w:r w:rsidRPr="00984230">
        <w:rPr>
          <w:rFonts w:hint="eastAsia"/>
        </w:rPr>
        <w:t>月的售價和租金分別低</w:t>
      </w:r>
      <w:r w:rsidR="008A740B">
        <w:t> </w:t>
      </w:r>
      <w:r w:rsidRPr="00984230">
        <w:t>1</w:t>
      </w:r>
      <w:r>
        <w:rPr>
          <w:rFonts w:hint="eastAsia"/>
        </w:rPr>
        <w:t>7</w:t>
      </w:r>
      <w:r w:rsidRPr="00984230">
        <w:t>%</w:t>
      </w:r>
      <w:r w:rsidRPr="00984230">
        <w:rPr>
          <w:rFonts w:hint="eastAsia"/>
        </w:rPr>
        <w:t>和</w:t>
      </w:r>
      <w:r w:rsidRPr="00984230">
        <w:t>1</w:t>
      </w:r>
      <w:r w:rsidR="008A740B">
        <w:t>0</w:t>
      </w:r>
      <w:r w:rsidRPr="00984230">
        <w:t>%</w:t>
      </w:r>
      <w:r w:rsidRPr="00984230">
        <w:rPr>
          <w:rFonts w:hint="eastAsia"/>
        </w:rPr>
        <w:t>。平均租金回報率</w:t>
      </w:r>
      <w:r>
        <w:rPr>
          <w:rFonts w:hint="eastAsia"/>
        </w:rPr>
        <w:t>在六月維持在</w:t>
      </w:r>
      <w:r w:rsidRPr="00984230">
        <w:rPr>
          <w:rFonts w:hint="eastAsia"/>
        </w:rPr>
        <w:t>2.7%</w:t>
      </w:r>
      <w:r w:rsidR="000D32DE">
        <w:rPr>
          <w:rFonts w:hint="eastAsia"/>
          <w:lang w:eastAsia="zh-HK"/>
        </w:rPr>
        <w:t>的水平</w:t>
      </w:r>
      <w:r>
        <w:rPr>
          <w:rFonts w:hint="eastAsia"/>
        </w:rPr>
        <w:t>不變，與三月</w:t>
      </w:r>
      <w:r w:rsidR="00EA7D02">
        <w:rPr>
          <w:rFonts w:hint="eastAsia"/>
          <w:lang w:eastAsia="zh-HK"/>
        </w:rPr>
        <w:t>的水平</w:t>
      </w:r>
      <w:r>
        <w:rPr>
          <w:rFonts w:hint="eastAsia"/>
        </w:rPr>
        <w:t>相同。</w:t>
      </w:r>
      <w:r w:rsidRPr="00873300">
        <w:rPr>
          <w:rFonts w:hint="eastAsia"/>
          <w:lang w:eastAsia="zh-HK"/>
        </w:rPr>
        <w:t>就所有商業樓宇而言，第</w:t>
      </w:r>
      <w:r>
        <w:rPr>
          <w:rFonts w:hint="eastAsia"/>
        </w:rPr>
        <w:t>二</w:t>
      </w:r>
      <w:r w:rsidRPr="00873300">
        <w:rPr>
          <w:rFonts w:hint="eastAsia"/>
          <w:lang w:eastAsia="zh-HK"/>
        </w:rPr>
        <w:t>季</w:t>
      </w:r>
      <w:r w:rsidRPr="00873300">
        <w:rPr>
          <w:rFonts w:hint="eastAsia"/>
        </w:rPr>
        <w:t>的</w:t>
      </w:r>
      <w:r w:rsidRPr="00873300">
        <w:rPr>
          <w:rFonts w:hint="eastAsia"/>
          <w:lang w:eastAsia="zh-HK"/>
        </w:rPr>
        <w:t>交投量較</w:t>
      </w:r>
      <w:r w:rsidRPr="00B344D0">
        <w:rPr>
          <w:rFonts w:hint="eastAsia"/>
        </w:rPr>
        <w:t>上</w:t>
      </w:r>
      <w:r w:rsidRPr="00873300">
        <w:rPr>
          <w:rFonts w:hint="eastAsia"/>
          <w:lang w:eastAsia="zh-HK"/>
        </w:rPr>
        <w:t>一季</w:t>
      </w:r>
      <w:r w:rsidR="008A740B">
        <w:rPr>
          <w:rFonts w:hint="eastAsia"/>
          <w:lang w:eastAsia="zh-HK"/>
        </w:rPr>
        <w:t>下</w:t>
      </w:r>
      <w:r w:rsidR="008A740B">
        <w:rPr>
          <w:rFonts w:hint="eastAsia"/>
        </w:rPr>
        <w:t>跌</w:t>
      </w:r>
      <w:r w:rsidR="008A740B">
        <w:rPr>
          <w:rFonts w:hint="eastAsia"/>
        </w:rPr>
        <w:t>10</w:t>
      </w:r>
      <w:r>
        <w:rPr>
          <w:rFonts w:hint="eastAsia"/>
        </w:rPr>
        <w:t>%</w:t>
      </w:r>
      <w:r>
        <w:rPr>
          <w:rFonts w:hint="eastAsia"/>
          <w:lang w:eastAsia="zh-HK"/>
        </w:rPr>
        <w:t>至</w:t>
      </w:r>
      <w:r w:rsidR="008A740B">
        <w:rPr>
          <w:lang w:eastAsia="zh-HK"/>
        </w:rPr>
        <w:t> </w:t>
      </w:r>
      <w:r w:rsidR="008A740B">
        <w:rPr>
          <w:rFonts w:hint="eastAsia"/>
        </w:rPr>
        <w:t>280</w:t>
      </w:r>
      <w:r w:rsidR="008A740B">
        <w:t> </w:t>
      </w:r>
      <w:r>
        <w:rPr>
          <w:rFonts w:hint="eastAsia"/>
          <w:lang w:eastAsia="zh-HK"/>
        </w:rPr>
        <w:t>宗</w:t>
      </w:r>
      <w:r w:rsidRPr="0079437E">
        <w:rPr>
          <w:rFonts w:hint="eastAsia"/>
          <w:vertAlign w:val="superscript"/>
        </w:rPr>
        <w:t>(</w:t>
      </w:r>
      <w:r>
        <w:rPr>
          <w:rFonts w:hint="eastAsia"/>
          <w:vertAlign w:val="superscript"/>
        </w:rPr>
        <w:t>4</w:t>
      </w:r>
      <w:r w:rsidRPr="0079437E">
        <w:rPr>
          <w:rFonts w:hint="eastAsia"/>
          <w:vertAlign w:val="superscript"/>
        </w:rPr>
        <w:t>)</w:t>
      </w:r>
      <w:r>
        <w:rPr>
          <w:rFonts w:hint="eastAsia"/>
        </w:rPr>
        <w:t>，</w:t>
      </w:r>
      <w:r>
        <w:rPr>
          <w:rFonts w:hint="eastAsia"/>
          <w:lang w:eastAsia="zh-HK"/>
        </w:rPr>
        <w:t>較一年前</w:t>
      </w:r>
      <w:r w:rsidRPr="008F361A">
        <w:rPr>
          <w:rFonts w:hint="eastAsia"/>
          <w:lang w:eastAsia="zh-HK"/>
        </w:rPr>
        <w:t>低</w:t>
      </w:r>
      <w:r>
        <w:rPr>
          <w:rFonts w:hint="eastAsia"/>
        </w:rPr>
        <w:t>3</w:t>
      </w:r>
      <w:r w:rsidR="008A740B">
        <w:rPr>
          <w:rFonts w:hint="eastAsia"/>
        </w:rPr>
        <w:t>9</w:t>
      </w:r>
      <w:r>
        <w:rPr>
          <w:rFonts w:hint="eastAsia"/>
        </w:rPr>
        <w:t>%</w:t>
      </w:r>
      <w:r>
        <w:rPr>
          <w:rFonts w:hint="eastAsia"/>
          <w:lang w:eastAsia="zh-HK"/>
        </w:rPr>
        <w:t>，</w:t>
      </w:r>
      <w:r w:rsidR="00231E12">
        <w:rPr>
          <w:rFonts w:hint="eastAsia"/>
          <w:lang w:eastAsia="zh-HK"/>
        </w:rPr>
        <w:t>並</w:t>
      </w:r>
      <w:r>
        <w:rPr>
          <w:rFonts w:hint="eastAsia"/>
        </w:rPr>
        <w:t>明顯</w:t>
      </w:r>
      <w:r>
        <w:rPr>
          <w:rFonts w:hint="eastAsia"/>
          <w:lang w:eastAsia="zh-HK"/>
        </w:rPr>
        <w:t>低於二零一</w:t>
      </w:r>
      <w:r w:rsidRPr="008F361A">
        <w:rPr>
          <w:rFonts w:hint="eastAsia"/>
          <w:lang w:eastAsia="zh-HK"/>
        </w:rPr>
        <w:t>八</w:t>
      </w:r>
      <w:r>
        <w:rPr>
          <w:rFonts w:hint="eastAsia"/>
          <w:lang w:eastAsia="zh-HK"/>
        </w:rPr>
        <w:t>至二零二二年期</w:t>
      </w:r>
      <w:r>
        <w:rPr>
          <w:rFonts w:hint="eastAsia"/>
        </w:rPr>
        <w:t>間</w:t>
      </w:r>
      <w:r>
        <w:rPr>
          <w:rFonts w:hint="eastAsia"/>
        </w:rPr>
        <w:t>4</w:t>
      </w:r>
      <w:r>
        <w:t>0</w:t>
      </w:r>
      <w:r>
        <w:rPr>
          <w:rFonts w:hint="eastAsia"/>
        </w:rPr>
        <w:t>0</w:t>
      </w:r>
      <w:r>
        <w:rPr>
          <w:rFonts w:hint="eastAsia"/>
          <w:lang w:eastAsia="zh-HK"/>
        </w:rPr>
        <w:t>宗的季度平均水平。</w:t>
      </w:r>
    </w:p>
    <w:p w14:paraId="2A245432" w14:textId="77777777" w:rsidR="00C55966" w:rsidRDefault="00C55966">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469B8956" w14:textId="3DD96F98" w:rsidR="007F7586" w:rsidRDefault="007F7586" w:rsidP="00AD5EAA">
      <w:pPr>
        <w:rPr>
          <w:lang w:eastAsia="zh-HK"/>
        </w:rPr>
      </w:pPr>
      <w:r>
        <w:rPr>
          <w:rFonts w:hint="eastAsia"/>
          <w:b/>
        </w:rPr>
        <w:lastRenderedPageBreak/>
        <w:t>3.14</w:t>
      </w:r>
      <w:r>
        <w:rPr>
          <w:lang w:eastAsia="zh-HK"/>
        </w:rPr>
        <w:tab/>
      </w:r>
      <w:r w:rsidRPr="00F50ED9">
        <w:rPr>
          <w:rFonts w:hint="eastAsia"/>
          <w:i/>
        </w:rPr>
        <w:t>分層工廠大廈</w:t>
      </w:r>
      <w:r w:rsidRPr="00F50ED9">
        <w:rPr>
          <w:rFonts w:hint="eastAsia"/>
        </w:rPr>
        <w:t>的售價</w:t>
      </w:r>
      <w:r w:rsidR="00067B1C" w:rsidRPr="00E35EC6">
        <w:rPr>
          <w:rFonts w:hint="eastAsia"/>
        </w:rPr>
        <w:t>在</w:t>
      </w:r>
      <w:r w:rsidR="00067B1C">
        <w:rPr>
          <w:rFonts w:hint="eastAsia"/>
          <w:lang w:eastAsia="zh-HK"/>
        </w:rPr>
        <w:t>三</w:t>
      </w:r>
      <w:r w:rsidR="00067B1C" w:rsidRPr="00E35EC6">
        <w:rPr>
          <w:rFonts w:hint="eastAsia"/>
        </w:rPr>
        <w:t>月至</w:t>
      </w:r>
      <w:r w:rsidR="00067B1C">
        <w:rPr>
          <w:rFonts w:hint="eastAsia"/>
          <w:lang w:eastAsia="zh-HK"/>
        </w:rPr>
        <w:t>六</w:t>
      </w:r>
      <w:r w:rsidR="00067B1C" w:rsidRPr="00E35EC6">
        <w:rPr>
          <w:rFonts w:hint="eastAsia"/>
        </w:rPr>
        <w:t>月期間</w:t>
      </w:r>
      <w:r w:rsidR="00067B1C" w:rsidRPr="00C26C91">
        <w:rPr>
          <w:rFonts w:hint="eastAsia"/>
        </w:rPr>
        <w:t>變動不大</w:t>
      </w:r>
      <w:r>
        <w:rPr>
          <w:rFonts w:hint="eastAsia"/>
        </w:rPr>
        <w:t>，</w:t>
      </w:r>
      <w:r w:rsidRPr="00F50ED9">
        <w:rPr>
          <w:rFonts w:hint="eastAsia"/>
        </w:rPr>
        <w:t>租金</w:t>
      </w:r>
      <w:r>
        <w:rPr>
          <w:rFonts w:hint="eastAsia"/>
        </w:rPr>
        <w:t>則</w:t>
      </w:r>
      <w:r w:rsidR="00067B1C">
        <w:rPr>
          <w:rFonts w:hint="eastAsia"/>
          <w:lang w:eastAsia="zh-HK"/>
        </w:rPr>
        <w:t>上</w:t>
      </w:r>
      <w:r>
        <w:rPr>
          <w:rFonts w:hint="eastAsia"/>
        </w:rPr>
        <w:t>升</w:t>
      </w:r>
      <w:r w:rsidR="00067B1C">
        <w:rPr>
          <w:rFonts w:hint="eastAsia"/>
        </w:rPr>
        <w:t>2</w:t>
      </w:r>
      <w:r w:rsidRPr="009545CB">
        <w:rPr>
          <w:rFonts w:hint="eastAsia"/>
        </w:rPr>
        <w:t>%</w:t>
      </w:r>
      <w:r>
        <w:rPr>
          <w:rFonts w:hint="eastAsia"/>
        </w:rPr>
        <w:t>。六</w:t>
      </w:r>
      <w:r w:rsidRPr="00F50ED9">
        <w:rPr>
          <w:rFonts w:hint="eastAsia"/>
        </w:rPr>
        <w:t>月的售價</w:t>
      </w:r>
      <w:r w:rsidR="00C3520B" w:rsidRPr="00F50ED9">
        <w:rPr>
          <w:rFonts w:hint="eastAsia"/>
        </w:rPr>
        <w:t>比</w:t>
      </w:r>
      <w:r w:rsidRPr="00F50ED9">
        <w:rPr>
          <w:rFonts w:hint="eastAsia"/>
        </w:rPr>
        <w:t>二零一九年的高峯低</w:t>
      </w:r>
      <w:r w:rsidR="00EC6AA4">
        <w:rPr>
          <w:rFonts w:hint="eastAsia"/>
        </w:rPr>
        <w:t>7</w:t>
      </w:r>
      <w:r w:rsidRPr="00F50ED9">
        <w:rPr>
          <w:rFonts w:hint="eastAsia"/>
        </w:rPr>
        <w:t>%</w:t>
      </w:r>
      <w:r w:rsidRPr="00F50ED9">
        <w:rPr>
          <w:rFonts w:hint="eastAsia"/>
        </w:rPr>
        <w:t>，租金則</w:t>
      </w:r>
      <w:r w:rsidR="00C3520B" w:rsidRPr="00F50ED9">
        <w:rPr>
          <w:rFonts w:hint="eastAsia"/>
        </w:rPr>
        <w:t>比</w:t>
      </w:r>
      <w:r w:rsidRPr="00F50ED9">
        <w:rPr>
          <w:rFonts w:hint="eastAsia"/>
        </w:rPr>
        <w:t>二零二一年的高峯</w:t>
      </w:r>
      <w:r>
        <w:rPr>
          <w:rFonts w:hint="eastAsia"/>
        </w:rPr>
        <w:t>高</w:t>
      </w:r>
      <w:r w:rsidR="00EC6AA4">
        <w:rPr>
          <w:rFonts w:hint="eastAsia"/>
        </w:rPr>
        <w:t>2</w:t>
      </w:r>
      <w:r w:rsidRPr="00F50ED9">
        <w:rPr>
          <w:rFonts w:hint="eastAsia"/>
        </w:rPr>
        <w:t>%</w:t>
      </w:r>
      <w:r w:rsidRPr="00F50ED9">
        <w:rPr>
          <w:rFonts w:hint="eastAsia"/>
        </w:rPr>
        <w:t>。平均租金回</w:t>
      </w:r>
      <w:r w:rsidRPr="00C03C2C">
        <w:rPr>
          <w:rFonts w:hint="eastAsia"/>
        </w:rPr>
        <w:t>報率由</w:t>
      </w:r>
      <w:r>
        <w:rPr>
          <w:rFonts w:hint="eastAsia"/>
        </w:rPr>
        <w:t>三</w:t>
      </w:r>
      <w:r w:rsidRPr="00C03C2C">
        <w:rPr>
          <w:rFonts w:hint="eastAsia"/>
        </w:rPr>
        <w:t>月的</w:t>
      </w:r>
      <w:r>
        <w:rPr>
          <w:rFonts w:hint="eastAsia"/>
        </w:rPr>
        <w:t>3.0</w:t>
      </w:r>
      <w:r w:rsidRPr="00C03C2C">
        <w:t>%</w:t>
      </w:r>
      <w:r w:rsidRPr="00C03C2C">
        <w:rPr>
          <w:rFonts w:hint="eastAsia"/>
        </w:rPr>
        <w:t>微</w:t>
      </w:r>
      <w:r>
        <w:rPr>
          <w:rFonts w:hint="eastAsia"/>
        </w:rPr>
        <w:t>升</w:t>
      </w:r>
      <w:r w:rsidRPr="00C03C2C">
        <w:rPr>
          <w:rFonts w:hint="eastAsia"/>
        </w:rPr>
        <w:t>至</w:t>
      </w:r>
      <w:r>
        <w:rPr>
          <w:rFonts w:hint="eastAsia"/>
        </w:rPr>
        <w:t>六</w:t>
      </w:r>
      <w:r w:rsidRPr="00C03C2C">
        <w:rPr>
          <w:rFonts w:hint="eastAsia"/>
        </w:rPr>
        <w:t>月的</w:t>
      </w:r>
      <w:r w:rsidRPr="00C03C2C">
        <w:t>3.</w:t>
      </w:r>
      <w:r>
        <w:rPr>
          <w:rFonts w:hint="eastAsia"/>
        </w:rPr>
        <w:t>1</w:t>
      </w:r>
      <w:r w:rsidRPr="00C03C2C">
        <w:t>%</w:t>
      </w:r>
      <w:r w:rsidRPr="00C03C2C">
        <w:rPr>
          <w:rFonts w:hint="eastAsia"/>
        </w:rPr>
        <w:t>。第</w:t>
      </w:r>
      <w:r>
        <w:rPr>
          <w:rFonts w:hint="eastAsia"/>
        </w:rPr>
        <w:t>二</w:t>
      </w:r>
      <w:r w:rsidRPr="00C03C2C">
        <w:rPr>
          <w:rFonts w:hint="eastAsia"/>
        </w:rPr>
        <w:t>季的交投量較</w:t>
      </w:r>
      <w:r w:rsidRPr="00B344D0">
        <w:rPr>
          <w:rFonts w:hint="eastAsia"/>
        </w:rPr>
        <w:t>上</w:t>
      </w:r>
      <w:r w:rsidRPr="00C03C2C">
        <w:rPr>
          <w:rFonts w:hint="eastAsia"/>
        </w:rPr>
        <w:t>一季</w:t>
      </w:r>
      <w:r>
        <w:rPr>
          <w:rFonts w:hint="eastAsia"/>
          <w:spacing w:val="34"/>
        </w:rPr>
        <w:t>上升</w:t>
      </w:r>
      <w:r w:rsidR="00EC6AA4">
        <w:rPr>
          <w:rFonts w:hint="eastAsia"/>
          <w:spacing w:val="34"/>
        </w:rPr>
        <w:t>7</w:t>
      </w:r>
      <w:r>
        <w:rPr>
          <w:rFonts w:hint="eastAsia"/>
          <w:spacing w:val="34"/>
        </w:rPr>
        <w:t>%</w:t>
      </w:r>
      <w:r w:rsidRPr="00B450A0">
        <w:rPr>
          <w:rFonts w:hint="eastAsia"/>
        </w:rPr>
        <w:t>至</w:t>
      </w:r>
      <w:r w:rsidR="00EC6AA4">
        <w:rPr>
          <w:rFonts w:hint="eastAsia"/>
        </w:rPr>
        <w:t>5</w:t>
      </w:r>
      <w:r>
        <w:rPr>
          <w:rFonts w:hint="eastAsia"/>
        </w:rPr>
        <w:t>60</w:t>
      </w:r>
      <w:r w:rsidR="00EC6AA4">
        <w:t> </w:t>
      </w:r>
      <w:r w:rsidRPr="00B450A0">
        <w:rPr>
          <w:rFonts w:hint="eastAsia"/>
        </w:rPr>
        <w:t>宗，</w:t>
      </w:r>
      <w:r w:rsidR="00231E12">
        <w:rPr>
          <w:rFonts w:hint="eastAsia"/>
        </w:rPr>
        <w:t>儘管</w:t>
      </w:r>
      <w:r>
        <w:rPr>
          <w:rFonts w:hint="eastAsia"/>
        </w:rPr>
        <w:t>仍</w:t>
      </w:r>
      <w:r w:rsidRPr="00B450A0">
        <w:rPr>
          <w:rFonts w:hint="eastAsia"/>
        </w:rPr>
        <w:t>較一年前</w:t>
      </w:r>
      <w:r>
        <w:rPr>
          <w:rFonts w:hint="eastAsia"/>
        </w:rPr>
        <w:t>低</w:t>
      </w:r>
      <w:r w:rsidR="00EC6AA4">
        <w:rPr>
          <w:rFonts w:hint="eastAsia"/>
        </w:rPr>
        <w:t>10</w:t>
      </w:r>
      <w:r w:rsidRPr="00B450A0">
        <w:rPr>
          <w:rFonts w:hint="eastAsia"/>
        </w:rPr>
        <w:t>%</w:t>
      </w:r>
      <w:r>
        <w:rPr>
          <w:rFonts w:hint="eastAsia"/>
        </w:rPr>
        <w:t>，</w:t>
      </w:r>
      <w:r w:rsidR="00231E12">
        <w:rPr>
          <w:rFonts w:hint="eastAsia"/>
        </w:rPr>
        <w:t>並</w:t>
      </w:r>
      <w:r w:rsidRPr="001D307C">
        <w:rPr>
          <w:rFonts w:hint="eastAsia"/>
          <w:lang w:eastAsia="zh-HK"/>
        </w:rPr>
        <w:t>遠</w:t>
      </w:r>
      <w:r>
        <w:rPr>
          <w:rFonts w:hint="eastAsia"/>
          <w:lang w:eastAsia="zh-HK"/>
        </w:rPr>
        <w:t>低於二零一</w:t>
      </w:r>
      <w:r w:rsidRPr="008F361A">
        <w:rPr>
          <w:rFonts w:hint="eastAsia"/>
          <w:lang w:eastAsia="zh-HK"/>
        </w:rPr>
        <w:t>八</w:t>
      </w:r>
      <w:r>
        <w:rPr>
          <w:rFonts w:hint="eastAsia"/>
          <w:lang w:eastAsia="zh-HK"/>
        </w:rPr>
        <w:t>至二零二二年期</w:t>
      </w:r>
      <w:r>
        <w:rPr>
          <w:rFonts w:hint="eastAsia"/>
        </w:rPr>
        <w:t>間</w:t>
      </w:r>
      <w:r>
        <w:t>75</w:t>
      </w:r>
      <w:r>
        <w:rPr>
          <w:rFonts w:hint="eastAsia"/>
        </w:rPr>
        <w:t>0</w:t>
      </w:r>
      <w:r>
        <w:t> </w:t>
      </w:r>
      <w:r>
        <w:rPr>
          <w:rFonts w:hint="eastAsia"/>
          <w:lang w:eastAsia="zh-HK"/>
        </w:rPr>
        <w:t>宗的季度平均水平。</w:t>
      </w:r>
    </w:p>
    <w:p w14:paraId="15121EEC" w14:textId="300D11F4" w:rsidR="00AD5EAA" w:rsidRPr="0080444A" w:rsidRDefault="00F12A26" w:rsidP="00AD5EAA">
      <w:r w:rsidRPr="00F12A26">
        <w:rPr>
          <w:noProof/>
        </w:rPr>
        <w:drawing>
          <wp:inline distT="0" distB="0" distL="0" distR="0" wp14:anchorId="6F01B61C" wp14:editId="1109E511">
            <wp:extent cx="5760085" cy="3527679"/>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7679"/>
                    </a:xfrm>
                    <a:prstGeom prst="rect">
                      <a:avLst/>
                    </a:prstGeom>
                    <a:noFill/>
                    <a:ln>
                      <a:noFill/>
                    </a:ln>
                  </pic:spPr>
                </pic:pic>
              </a:graphicData>
            </a:graphic>
          </wp:inline>
        </w:drawing>
      </w:r>
    </w:p>
    <w:p w14:paraId="0CA68A6D" w14:textId="77777777" w:rsidR="007F7586" w:rsidRPr="006E4C04" w:rsidRDefault="007F7586" w:rsidP="006E4C04">
      <w:pPr>
        <w:pStyle w:val="12"/>
      </w:pPr>
      <w:r w:rsidRPr="007200F5">
        <w:rPr>
          <w:rFonts w:hint="eastAsia"/>
        </w:rPr>
        <w:t>土地</w:t>
      </w:r>
    </w:p>
    <w:p w14:paraId="6C1921A1" w14:textId="26AC3056" w:rsidR="0029498B" w:rsidRDefault="007F7586" w:rsidP="00AD5EAA">
      <w:pPr>
        <w:rPr>
          <w:lang w:eastAsia="zh-HK"/>
        </w:rPr>
      </w:pPr>
      <w:r>
        <w:rPr>
          <w:b/>
        </w:rPr>
        <w:t>3.1</w:t>
      </w:r>
      <w:r>
        <w:rPr>
          <w:rFonts w:hint="eastAsia"/>
          <w:b/>
        </w:rPr>
        <w:t>5</w:t>
      </w:r>
      <w:r>
        <w:rPr>
          <w:b/>
        </w:rPr>
        <w:tab/>
      </w:r>
      <w:r>
        <w:rPr>
          <w:rFonts w:hint="eastAsia"/>
        </w:rPr>
        <w:t>政府在</w:t>
      </w:r>
      <w:r w:rsidRPr="006B19B2">
        <w:rPr>
          <w:rFonts w:hint="eastAsia"/>
        </w:rPr>
        <w:t>第</w:t>
      </w:r>
      <w:r>
        <w:rPr>
          <w:rFonts w:hint="eastAsia"/>
        </w:rPr>
        <w:t>二</w:t>
      </w:r>
      <w:r w:rsidRPr="006B19B2">
        <w:rPr>
          <w:rFonts w:hint="eastAsia"/>
        </w:rPr>
        <w:t>季</w:t>
      </w:r>
      <w:r>
        <w:rPr>
          <w:rFonts w:hint="eastAsia"/>
        </w:rPr>
        <w:t>沒有</w:t>
      </w:r>
      <w:r w:rsidRPr="006B19B2">
        <w:rPr>
          <w:rFonts w:hint="eastAsia"/>
        </w:rPr>
        <w:t>售出</w:t>
      </w:r>
      <w:r>
        <w:rPr>
          <w:rFonts w:hint="eastAsia"/>
        </w:rPr>
        <w:t>土</w:t>
      </w:r>
      <w:r w:rsidRPr="00124E5B">
        <w:rPr>
          <w:rFonts w:hint="eastAsia"/>
        </w:rPr>
        <w:t>地。</w:t>
      </w:r>
      <w:r w:rsidR="00437AF1" w:rsidRPr="00124E5B">
        <w:rPr>
          <w:rFonts w:hint="eastAsia"/>
        </w:rPr>
        <w:t>此外，</w:t>
      </w:r>
      <w:r w:rsidR="00437AF1">
        <w:rPr>
          <w:rFonts w:hint="eastAsia"/>
          <w:lang w:eastAsia="zh-HK"/>
        </w:rPr>
        <w:t>兩</w:t>
      </w:r>
      <w:r w:rsidR="00437AF1" w:rsidRPr="00124E5B">
        <w:rPr>
          <w:rFonts w:hint="eastAsia"/>
        </w:rPr>
        <w:t>幅</w:t>
      </w:r>
      <w:r w:rsidR="00437AF1">
        <w:rPr>
          <w:rFonts w:hint="eastAsia"/>
          <w:lang w:eastAsia="zh-HK"/>
        </w:rPr>
        <w:t>分</w:t>
      </w:r>
      <w:r w:rsidR="00437AF1">
        <w:rPr>
          <w:rFonts w:hint="eastAsia"/>
        </w:rPr>
        <w:t>別</w:t>
      </w:r>
      <w:r w:rsidR="00437AF1" w:rsidRPr="00124E5B">
        <w:rPr>
          <w:rFonts w:hint="eastAsia"/>
          <w:lang w:eastAsia="zh-HK"/>
        </w:rPr>
        <w:t>位於</w:t>
      </w:r>
      <w:r w:rsidR="00437AF1" w:rsidRPr="00437AF1">
        <w:rPr>
          <w:rFonts w:hint="eastAsia"/>
          <w:lang w:eastAsia="zh-HK"/>
        </w:rPr>
        <w:t>堅尼地城及荃灣</w:t>
      </w:r>
      <w:r w:rsidR="00437AF1" w:rsidRPr="00124E5B">
        <w:rPr>
          <w:rFonts w:hint="eastAsia"/>
          <w:lang w:eastAsia="zh-HK"/>
        </w:rPr>
        <w:t>的</w:t>
      </w:r>
      <w:r w:rsidR="00437AF1" w:rsidRPr="00124E5B">
        <w:rPr>
          <w:rFonts w:hint="eastAsia"/>
        </w:rPr>
        <w:t>住宅用地在季內招標。</w:t>
      </w:r>
      <w:r w:rsidR="00437AF1">
        <w:rPr>
          <w:rFonts w:hint="eastAsia"/>
        </w:rPr>
        <w:t>第</w:t>
      </w:r>
      <w:r w:rsidR="00437AF1">
        <w:rPr>
          <w:rFonts w:hint="eastAsia"/>
          <w:lang w:eastAsia="zh-HK"/>
        </w:rPr>
        <w:t>二</w:t>
      </w:r>
      <w:r w:rsidR="00437AF1">
        <w:rPr>
          <w:rFonts w:hint="eastAsia"/>
        </w:rPr>
        <w:t>季</w:t>
      </w:r>
      <w:r w:rsidR="00367043" w:rsidRPr="00EB7E0C">
        <w:rPr>
          <w:rFonts w:hint="eastAsia"/>
          <w:lang w:eastAsia="zh-HK"/>
        </w:rPr>
        <w:t>有一幅</w:t>
      </w:r>
      <w:r>
        <w:rPr>
          <w:rFonts w:hint="eastAsia"/>
          <w:lang w:eastAsia="zh-HK"/>
        </w:rPr>
        <w:t>換地個案</w:t>
      </w:r>
      <w:r w:rsidR="00367043" w:rsidRPr="00563FD2">
        <w:rPr>
          <w:rFonts w:hint="eastAsia"/>
          <w:lang w:eastAsia="zh-HK"/>
        </w:rPr>
        <w:t>和</w:t>
      </w:r>
      <w:r w:rsidR="00E303ED" w:rsidRPr="00043170">
        <w:rPr>
          <w:lang w:eastAsia="zh-HK"/>
        </w:rPr>
        <w:t>13</w:t>
      </w:r>
      <w:r>
        <w:rPr>
          <w:rFonts w:hint="eastAsia"/>
          <w:lang w:eastAsia="zh-HK"/>
        </w:rPr>
        <w:t>幅修訂契約的土地獲批。</w:t>
      </w:r>
    </w:p>
    <w:p w14:paraId="5450673E" w14:textId="77777777" w:rsidR="0029498B" w:rsidRDefault="0029498B">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4037CD10" w14:textId="77777777" w:rsidR="0029498B" w:rsidRPr="002A51FB" w:rsidRDefault="0029498B" w:rsidP="0029498B">
      <w:pPr>
        <w:pStyle w:val="12"/>
      </w:pPr>
      <w:r w:rsidRPr="002A51FB">
        <w:rPr>
          <w:rFonts w:hint="eastAsia"/>
        </w:rPr>
        <w:lastRenderedPageBreak/>
        <w:t>旅遊業</w:t>
      </w:r>
    </w:p>
    <w:p w14:paraId="37C2BF8C" w14:textId="7823D9A9" w:rsidR="0029498B" w:rsidRPr="002A51FB" w:rsidRDefault="0029498B" w:rsidP="0029498B">
      <w:pPr>
        <w:rPr>
          <w:lang w:eastAsia="zh-HK"/>
        </w:rPr>
      </w:pPr>
      <w:r w:rsidRPr="002A51FB">
        <w:rPr>
          <w:b/>
        </w:rPr>
        <w:t>3</w:t>
      </w:r>
      <w:r w:rsidRPr="002A51FB">
        <w:rPr>
          <w:b/>
          <w:lang w:eastAsia="zh-HK"/>
        </w:rPr>
        <w:t>.1</w:t>
      </w:r>
      <w:r>
        <w:rPr>
          <w:b/>
        </w:rPr>
        <w:t>6</w:t>
      </w:r>
      <w:r w:rsidRPr="002A51FB">
        <w:tab/>
      </w:r>
      <w:r w:rsidRPr="002A51FB">
        <w:rPr>
          <w:lang w:eastAsia="zh-HK"/>
        </w:rPr>
        <w:t>旅</w:t>
      </w:r>
      <w:r w:rsidRPr="002A51FB">
        <w:t>遊</w:t>
      </w:r>
      <w:r w:rsidRPr="002A51FB">
        <w:rPr>
          <w:lang w:eastAsia="zh-HK"/>
        </w:rPr>
        <w:t>業</w:t>
      </w:r>
      <w:r w:rsidR="008C2426">
        <w:rPr>
          <w:rFonts w:hint="eastAsia"/>
          <w:lang w:eastAsia="zh-HK"/>
        </w:rPr>
        <w:t>繼</w:t>
      </w:r>
      <w:r w:rsidRPr="00FA3DDE">
        <w:rPr>
          <w:rFonts w:hint="eastAsia"/>
        </w:rPr>
        <w:t>續</w:t>
      </w:r>
      <w:r w:rsidRPr="002A51FB">
        <w:rPr>
          <w:lang w:eastAsia="zh-HK"/>
        </w:rPr>
        <w:t>復</w:t>
      </w:r>
      <w:r w:rsidRPr="00E74B9E">
        <w:rPr>
          <w:rFonts w:hint="eastAsia"/>
          <w:lang w:eastAsia="zh-HK"/>
        </w:rPr>
        <w:t>蘇</w:t>
      </w:r>
      <w:r w:rsidRPr="002A51FB">
        <w:t>。</w:t>
      </w:r>
      <w:r w:rsidRPr="002A51FB">
        <w:rPr>
          <w:i/>
          <w:lang w:eastAsia="zh-HK"/>
        </w:rPr>
        <w:t>訪港旅客</w:t>
      </w:r>
      <w:r w:rsidRPr="002A51FB">
        <w:rPr>
          <w:lang w:eastAsia="zh-HK"/>
        </w:rPr>
        <w:t>由</w:t>
      </w:r>
      <w:r>
        <w:rPr>
          <w:rFonts w:hint="eastAsia"/>
        </w:rPr>
        <w:t>上一季的</w:t>
      </w:r>
      <w:r>
        <w:rPr>
          <w:rFonts w:hint="eastAsia"/>
        </w:rPr>
        <w:t>440</w:t>
      </w:r>
      <w:r>
        <w:t> </w:t>
      </w:r>
      <w:r>
        <w:rPr>
          <w:rFonts w:hint="eastAsia"/>
        </w:rPr>
        <w:t>萬</w:t>
      </w:r>
      <w:r w:rsidRPr="00DC6222">
        <w:rPr>
          <w:rFonts w:hint="eastAsia"/>
          <w:lang w:eastAsia="zh-HK"/>
        </w:rPr>
        <w:t>人次</w:t>
      </w:r>
      <w:r w:rsidRPr="00D10B4E">
        <w:rPr>
          <w:rFonts w:hint="eastAsia"/>
        </w:rPr>
        <w:t>進一步</w:t>
      </w:r>
      <w:r w:rsidRPr="00475F07">
        <w:rPr>
          <w:rFonts w:hint="eastAsia"/>
          <w:spacing w:val="34"/>
          <w:lang w:eastAsia="zh-HK"/>
        </w:rPr>
        <w:t>飆</w:t>
      </w:r>
      <w:r>
        <w:rPr>
          <w:rFonts w:hint="eastAsia"/>
          <w:spacing w:val="34"/>
        </w:rPr>
        <w:t>升</w:t>
      </w:r>
      <w:r>
        <w:rPr>
          <w:rFonts w:hint="eastAsia"/>
          <w:lang w:eastAsia="zh-HK"/>
        </w:rPr>
        <w:t>至</w:t>
      </w:r>
      <w:r>
        <w:rPr>
          <w:rFonts w:hint="eastAsia"/>
        </w:rPr>
        <w:t>第二季</w:t>
      </w:r>
      <w:r>
        <w:rPr>
          <w:rFonts w:hint="eastAsia"/>
          <w:lang w:eastAsia="zh-HK"/>
        </w:rPr>
        <w:t>的</w:t>
      </w:r>
      <w:r>
        <w:rPr>
          <w:rFonts w:hint="eastAsia"/>
        </w:rPr>
        <w:t>8</w:t>
      </w:r>
      <w:r w:rsidRPr="002A51FB">
        <w:t>50</w:t>
      </w:r>
      <w:r>
        <w:t> </w:t>
      </w:r>
      <w:r w:rsidRPr="002A51FB">
        <w:rPr>
          <w:lang w:eastAsia="zh-HK"/>
        </w:rPr>
        <w:t>萬</w:t>
      </w:r>
      <w:r w:rsidRPr="00DC6222">
        <w:rPr>
          <w:rFonts w:hint="eastAsia"/>
          <w:lang w:eastAsia="zh-HK"/>
        </w:rPr>
        <w:t>人次</w:t>
      </w:r>
      <w:r>
        <w:rPr>
          <w:rFonts w:hint="eastAsia"/>
        </w:rPr>
        <w:t>，</w:t>
      </w:r>
      <w:r w:rsidRPr="002A51FB">
        <w:rPr>
          <w:lang w:eastAsia="zh-HK"/>
        </w:rPr>
        <w:t>回</w:t>
      </w:r>
      <w:r w:rsidRPr="002A51FB">
        <w:rPr>
          <w:rFonts w:hint="eastAsia"/>
          <w:lang w:eastAsia="zh-HK"/>
        </w:rPr>
        <w:t>復</w:t>
      </w:r>
      <w:r w:rsidRPr="002A51FB">
        <w:rPr>
          <w:lang w:eastAsia="zh-HK"/>
        </w:rPr>
        <w:t>至二零一</w:t>
      </w:r>
      <w:r>
        <w:rPr>
          <w:rFonts w:hint="eastAsia"/>
        </w:rPr>
        <w:t>八</w:t>
      </w:r>
      <w:r w:rsidRPr="002A51FB">
        <w:rPr>
          <w:lang w:eastAsia="zh-HK"/>
        </w:rPr>
        <w:t>年</w:t>
      </w:r>
      <w:r>
        <w:rPr>
          <w:rFonts w:hint="eastAsia"/>
        </w:rPr>
        <w:t>季</w:t>
      </w:r>
      <w:r>
        <w:rPr>
          <w:rFonts w:hint="eastAsia"/>
          <w:lang w:eastAsia="zh-HK"/>
        </w:rPr>
        <w:t>度</w:t>
      </w:r>
      <w:r>
        <w:rPr>
          <w:rFonts w:hint="eastAsia"/>
        </w:rPr>
        <w:t>平均</w:t>
      </w:r>
      <w:r w:rsidRPr="002A51FB">
        <w:rPr>
          <w:lang w:eastAsia="zh-HK"/>
        </w:rPr>
        <w:t>水平的</w:t>
      </w:r>
      <w:r>
        <w:rPr>
          <w:rFonts w:hint="eastAsia"/>
        </w:rPr>
        <w:t>52</w:t>
      </w:r>
      <w:r w:rsidRPr="002A51FB">
        <w:rPr>
          <w:lang w:eastAsia="zh-HK"/>
        </w:rPr>
        <w:t>%</w:t>
      </w:r>
      <w:r w:rsidRPr="002A51FB">
        <w:rPr>
          <w:lang w:eastAsia="zh-HK"/>
        </w:rPr>
        <w:t>。內地訪港旅客</w:t>
      </w:r>
      <w:r>
        <w:rPr>
          <w:rFonts w:hint="eastAsia"/>
        </w:rPr>
        <w:t>(</w:t>
      </w:r>
      <w:r w:rsidRPr="008F361A">
        <w:rPr>
          <w:rFonts w:hint="eastAsia"/>
        </w:rPr>
        <w:t>在第</w:t>
      </w:r>
      <w:r>
        <w:rPr>
          <w:rFonts w:hint="eastAsia"/>
        </w:rPr>
        <w:t>二</w:t>
      </w:r>
      <w:r w:rsidRPr="008F361A">
        <w:rPr>
          <w:rFonts w:hint="eastAsia"/>
        </w:rPr>
        <w:t>季</w:t>
      </w:r>
      <w:r w:rsidRPr="002A51FB">
        <w:rPr>
          <w:lang w:eastAsia="zh-HK"/>
        </w:rPr>
        <w:t>佔訪港旅客總人次</w:t>
      </w:r>
      <w:r>
        <w:rPr>
          <w:rFonts w:hint="eastAsia"/>
          <w:lang w:eastAsia="zh-HK"/>
        </w:rPr>
        <w:t>的</w:t>
      </w:r>
      <w:r>
        <w:t>80</w:t>
      </w:r>
      <w:r w:rsidRPr="002A51FB">
        <w:rPr>
          <w:lang w:eastAsia="zh-HK"/>
        </w:rPr>
        <w:t>%</w:t>
      </w:r>
      <w:r>
        <w:rPr>
          <w:rFonts w:hint="eastAsia"/>
        </w:rPr>
        <w:t>)</w:t>
      </w:r>
      <w:r>
        <w:rPr>
          <w:rFonts w:hint="eastAsia"/>
        </w:rPr>
        <w:t>大幅上</w:t>
      </w:r>
      <w:r w:rsidRPr="002A51FB">
        <w:rPr>
          <w:lang w:eastAsia="zh-HK"/>
        </w:rPr>
        <w:t>升至</w:t>
      </w:r>
      <w:r>
        <w:rPr>
          <w:rFonts w:hint="eastAsia"/>
        </w:rPr>
        <w:t>67</w:t>
      </w:r>
      <w:r w:rsidRPr="002A51FB">
        <w:t>0</w:t>
      </w:r>
      <w:r>
        <w:t> </w:t>
      </w:r>
      <w:r w:rsidRPr="002A51FB">
        <w:rPr>
          <w:lang w:eastAsia="zh-HK"/>
        </w:rPr>
        <w:t>萬人次，來自其他短途市場和長途市場的訪港旅客亦分別</w:t>
      </w:r>
      <w:r>
        <w:rPr>
          <w:rFonts w:hint="eastAsia"/>
        </w:rPr>
        <w:t>強勁上升</w:t>
      </w:r>
      <w:r w:rsidRPr="002A51FB">
        <w:rPr>
          <w:lang w:eastAsia="zh-HK"/>
        </w:rPr>
        <w:t>至</w:t>
      </w:r>
      <w:r>
        <w:rPr>
          <w:rFonts w:hint="eastAsia"/>
        </w:rPr>
        <w:t>120</w:t>
      </w:r>
      <w:r w:rsidR="005C19EF">
        <w:t> </w:t>
      </w:r>
      <w:r>
        <w:rPr>
          <w:rFonts w:hint="eastAsia"/>
        </w:rPr>
        <w:t>萬</w:t>
      </w:r>
      <w:r w:rsidRPr="004E65D7">
        <w:rPr>
          <w:rFonts w:hint="eastAsia"/>
          <w:lang w:eastAsia="zh-HK"/>
        </w:rPr>
        <w:t>人次</w:t>
      </w:r>
      <w:r w:rsidRPr="002A51FB">
        <w:rPr>
          <w:lang w:eastAsia="zh-HK"/>
        </w:rPr>
        <w:t>和</w:t>
      </w:r>
      <w:r>
        <w:t>5</w:t>
      </w:r>
      <w:r>
        <w:rPr>
          <w:rFonts w:hint="eastAsia"/>
        </w:rPr>
        <w:t>0</w:t>
      </w:r>
      <w:r>
        <w:rPr>
          <w:rFonts w:hint="eastAsia"/>
        </w:rPr>
        <w:t>萬</w:t>
      </w:r>
      <w:r w:rsidRPr="004E65D7">
        <w:rPr>
          <w:rFonts w:hint="eastAsia"/>
          <w:lang w:eastAsia="zh-HK"/>
        </w:rPr>
        <w:t>人次</w:t>
      </w:r>
      <w:r w:rsidRPr="00DC6222">
        <w:rPr>
          <w:rFonts w:hint="eastAsia"/>
          <w:vertAlign w:val="superscript"/>
          <w:lang w:eastAsia="zh-HK"/>
        </w:rPr>
        <w:t> </w:t>
      </w:r>
      <w:r w:rsidRPr="002A51FB">
        <w:rPr>
          <w:vertAlign w:val="superscript"/>
        </w:rPr>
        <w:t>(</w:t>
      </w:r>
      <w:r>
        <w:rPr>
          <w:vertAlign w:val="superscript"/>
        </w:rPr>
        <w:t>5</w:t>
      </w:r>
      <w:r w:rsidRPr="002A51FB">
        <w:rPr>
          <w:vertAlign w:val="superscript"/>
        </w:rPr>
        <w:t>)</w:t>
      </w:r>
      <w:r w:rsidRPr="002A51FB">
        <w:rPr>
          <w:lang w:eastAsia="zh-HK"/>
        </w:rPr>
        <w:t>。按留港時間分析，過夜旅客和不過夜旅客</w:t>
      </w:r>
      <w:r w:rsidR="00A73209">
        <w:rPr>
          <w:rFonts w:hint="eastAsia"/>
          <w:lang w:eastAsia="zh-HK"/>
        </w:rPr>
        <w:t>均</w:t>
      </w:r>
      <w:r>
        <w:rPr>
          <w:rFonts w:hint="eastAsia"/>
          <w:lang w:eastAsia="zh-HK"/>
        </w:rPr>
        <w:t>急增</w:t>
      </w:r>
      <w:r w:rsidRPr="002A51FB">
        <w:rPr>
          <w:lang w:eastAsia="zh-HK"/>
        </w:rPr>
        <w:t>至</w:t>
      </w:r>
      <w:r>
        <w:rPr>
          <w:rFonts w:hint="eastAsia"/>
        </w:rPr>
        <w:t>4</w:t>
      </w:r>
      <w:r w:rsidRPr="002A51FB">
        <w:rPr>
          <w:rFonts w:hint="eastAsia"/>
        </w:rPr>
        <w:t>20</w:t>
      </w:r>
      <w:r>
        <w:t> </w:t>
      </w:r>
      <w:r w:rsidRPr="002A51FB">
        <w:rPr>
          <w:rFonts w:hint="eastAsia"/>
          <w:lang w:eastAsia="zh-HK"/>
        </w:rPr>
        <w:t>萬</w:t>
      </w:r>
      <w:r w:rsidRPr="004E65D7">
        <w:rPr>
          <w:rFonts w:hint="eastAsia"/>
          <w:lang w:eastAsia="zh-HK"/>
        </w:rPr>
        <w:t>人次</w:t>
      </w:r>
      <w:r w:rsidRPr="002A51FB">
        <w:rPr>
          <w:lang w:eastAsia="zh-HK"/>
        </w:rPr>
        <w:t>。以旅遊服務輸出計算，旅客消費</w:t>
      </w:r>
      <w:r>
        <w:rPr>
          <w:rFonts w:hint="eastAsia"/>
          <w:lang w:eastAsia="zh-HK"/>
        </w:rPr>
        <w:t>由</w:t>
      </w:r>
      <w:r w:rsidRPr="002A51FB">
        <w:rPr>
          <w:lang w:eastAsia="zh-HK"/>
        </w:rPr>
        <w:t>一年</w:t>
      </w:r>
      <w:r>
        <w:rPr>
          <w:rFonts w:hint="eastAsia"/>
          <w:lang w:eastAsia="zh-HK"/>
        </w:rPr>
        <w:t>前</w:t>
      </w:r>
      <w:r w:rsidRPr="002A51FB">
        <w:rPr>
          <w:lang w:eastAsia="zh-HK"/>
        </w:rPr>
        <w:t>的</w:t>
      </w:r>
      <w:r>
        <w:rPr>
          <w:rFonts w:hint="eastAsia"/>
        </w:rPr>
        <w:t>極</w:t>
      </w:r>
      <w:r w:rsidRPr="002A51FB">
        <w:rPr>
          <w:lang w:eastAsia="zh-HK"/>
        </w:rPr>
        <w:t>低</w:t>
      </w:r>
      <w:r>
        <w:rPr>
          <w:rFonts w:hint="eastAsia"/>
        </w:rPr>
        <w:t>水平</w:t>
      </w:r>
      <w:r w:rsidRPr="002A51FB">
        <w:rPr>
          <w:lang w:eastAsia="zh-HK"/>
        </w:rPr>
        <w:t>實質</w:t>
      </w:r>
      <w:r w:rsidRPr="007E1566">
        <w:rPr>
          <w:rFonts w:hint="eastAsia"/>
          <w:lang w:eastAsia="zh-HK"/>
        </w:rPr>
        <w:t>飆</w:t>
      </w:r>
      <w:r w:rsidRPr="002A51FB">
        <w:rPr>
          <w:lang w:eastAsia="zh-HK"/>
        </w:rPr>
        <w:t>升</w:t>
      </w:r>
      <w:r w:rsidR="006D7F58">
        <w:rPr>
          <w:lang w:eastAsia="zh-HK"/>
        </w:rPr>
        <w:t>7</w:t>
      </w:r>
      <w:r w:rsidR="006C36DB">
        <w:rPr>
          <w:lang w:eastAsia="zh-HK"/>
        </w:rPr>
        <w:t>70.7</w:t>
      </w:r>
      <w:r w:rsidRPr="002A51FB">
        <w:rPr>
          <w:lang w:eastAsia="zh-HK"/>
        </w:rPr>
        <w:t>%</w:t>
      </w:r>
      <w:r w:rsidRPr="002A51FB">
        <w:rPr>
          <w:lang w:eastAsia="zh-HK"/>
        </w:rPr>
        <w:t>，回復</w:t>
      </w:r>
      <w:r w:rsidRPr="002A51FB">
        <w:rPr>
          <w:rFonts w:hint="eastAsia"/>
          <w:lang w:eastAsia="zh-HK"/>
        </w:rPr>
        <w:t>至</w:t>
      </w:r>
      <w:r w:rsidRPr="002A51FB">
        <w:rPr>
          <w:lang w:eastAsia="zh-HK"/>
        </w:rPr>
        <w:t>二零一</w:t>
      </w:r>
      <w:r>
        <w:rPr>
          <w:rFonts w:hint="eastAsia"/>
        </w:rPr>
        <w:t>八</w:t>
      </w:r>
      <w:r w:rsidRPr="002A51FB">
        <w:rPr>
          <w:lang w:eastAsia="zh-HK"/>
        </w:rPr>
        <w:t>年季</w:t>
      </w:r>
      <w:r>
        <w:rPr>
          <w:rFonts w:hint="eastAsia"/>
        </w:rPr>
        <w:t>度平均</w:t>
      </w:r>
      <w:r w:rsidRPr="002A51FB">
        <w:rPr>
          <w:lang w:eastAsia="zh-HK"/>
        </w:rPr>
        <w:t>水平的</w:t>
      </w:r>
      <w:r w:rsidR="006D7F58">
        <w:t>4</w:t>
      </w:r>
      <w:r w:rsidR="006C36DB">
        <w:t>8.2</w:t>
      </w:r>
      <w:r w:rsidRPr="002A51FB">
        <w:rPr>
          <w:lang w:eastAsia="zh-HK"/>
        </w:rPr>
        <w:t>%</w:t>
      </w:r>
      <w:r w:rsidRPr="002A51FB">
        <w:rPr>
          <w:lang w:eastAsia="zh-HK"/>
        </w:rPr>
        <w:t>。</w:t>
      </w:r>
    </w:p>
    <w:p w14:paraId="453B3B72" w14:textId="77777777" w:rsidR="0029498B" w:rsidRPr="00210CAB" w:rsidRDefault="0029498B" w:rsidP="0029498B">
      <w:pPr>
        <w:pStyle w:val="afff6"/>
        <w:rPr>
          <w:rFonts w:eastAsia="Times New Roman"/>
          <w:b/>
        </w:rPr>
      </w:pPr>
      <w:r w:rsidRPr="00210CAB">
        <w:rPr>
          <w:rFonts w:hint="eastAsia"/>
          <w:lang w:eastAsia="zh-HK"/>
        </w:rPr>
        <w:t>表</w:t>
      </w:r>
      <w:r>
        <w:rPr>
          <w:rFonts w:eastAsia="Times New Roman"/>
          <w:b/>
        </w:rPr>
        <w:t>3</w:t>
      </w:r>
      <w:r w:rsidRPr="00210CAB">
        <w:rPr>
          <w:rFonts w:eastAsia="Times New Roman"/>
          <w:b/>
        </w:rPr>
        <w:t>.1</w:t>
      </w:r>
      <w:r w:rsidRPr="00210CAB">
        <w:rPr>
          <w:rFonts w:hint="eastAsia"/>
          <w:b/>
          <w:lang w:eastAsia="zh-HK"/>
        </w:rPr>
        <w:t>：</w:t>
      </w:r>
      <w:r w:rsidRPr="00210CAB">
        <w:rPr>
          <w:rFonts w:hint="eastAsia"/>
          <w:lang w:eastAsia="zh-HK"/>
        </w:rPr>
        <w:t>訪港旅</w:t>
      </w:r>
      <w:r w:rsidRPr="00210CAB">
        <w:rPr>
          <w:rFonts w:hint="eastAsia"/>
        </w:rPr>
        <w:t>客</w:t>
      </w:r>
      <w:r w:rsidRPr="00210CAB">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29498B" w:rsidRPr="007F1DFD" w14:paraId="3443A4EA" w14:textId="77777777" w:rsidTr="005A0F55">
        <w:trPr>
          <w:trHeight w:val="340"/>
        </w:trPr>
        <w:tc>
          <w:tcPr>
            <w:tcW w:w="1375" w:type="dxa"/>
            <w:tcBorders>
              <w:top w:val="nil"/>
              <w:left w:val="nil"/>
              <w:bottom w:val="nil"/>
              <w:right w:val="nil"/>
            </w:tcBorders>
            <w:shd w:val="clear" w:color="auto" w:fill="auto"/>
            <w:noWrap/>
            <w:vAlign w:val="bottom"/>
            <w:hideMark/>
          </w:tcPr>
          <w:p w14:paraId="0C64593D" w14:textId="77777777" w:rsidR="0029498B" w:rsidRPr="007F1DFD" w:rsidRDefault="0029498B" w:rsidP="005A0F55">
            <w:pPr>
              <w:pStyle w:val="100"/>
              <w:snapToGrid w:val="0"/>
              <w:spacing w:before="0" w:line="240" w:lineRule="auto"/>
              <w:ind w:left="300" w:hanging="300"/>
              <w:rPr>
                <w:spacing w:val="0"/>
              </w:rPr>
            </w:pPr>
          </w:p>
          <w:p w14:paraId="00C01DF4"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6549D43C" w14:textId="77777777" w:rsidR="0029498B" w:rsidRPr="007F1DFD" w:rsidRDefault="0029498B" w:rsidP="005A0F55">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hideMark/>
          </w:tcPr>
          <w:p w14:paraId="5C5FDD49" w14:textId="77777777" w:rsidR="0029498B" w:rsidRPr="007F1DFD" w:rsidRDefault="0029498B" w:rsidP="005A0F55">
            <w:pPr>
              <w:pStyle w:val="100"/>
              <w:snapToGrid w:val="0"/>
              <w:spacing w:before="0" w:line="240" w:lineRule="auto"/>
              <w:ind w:left="300" w:hanging="300"/>
              <w:jc w:val="center"/>
              <w:rPr>
                <w:spacing w:val="0"/>
                <w:u w:val="single"/>
              </w:rPr>
            </w:pPr>
            <w:r w:rsidRPr="007F1DFD">
              <w:rPr>
                <w:rFonts w:hint="eastAsia"/>
                <w:spacing w:val="0"/>
                <w:u w:val="single"/>
              </w:rPr>
              <w:t>所有來源地</w:t>
            </w:r>
          </w:p>
        </w:tc>
        <w:tc>
          <w:tcPr>
            <w:tcW w:w="1693" w:type="dxa"/>
            <w:tcBorders>
              <w:top w:val="nil"/>
              <w:left w:val="nil"/>
              <w:bottom w:val="nil"/>
              <w:right w:val="nil"/>
            </w:tcBorders>
            <w:shd w:val="clear" w:color="auto" w:fill="auto"/>
            <w:noWrap/>
            <w:vAlign w:val="bottom"/>
            <w:hideMark/>
          </w:tcPr>
          <w:p w14:paraId="64B91681" w14:textId="77777777" w:rsidR="0029498B" w:rsidRPr="007F1DFD" w:rsidRDefault="0029498B" w:rsidP="005A0F55">
            <w:pPr>
              <w:pStyle w:val="100"/>
              <w:snapToGrid w:val="0"/>
              <w:spacing w:before="0" w:line="240" w:lineRule="auto"/>
              <w:ind w:left="300" w:hanging="300"/>
              <w:jc w:val="center"/>
              <w:rPr>
                <w:spacing w:val="0"/>
                <w:u w:val="single"/>
              </w:rPr>
            </w:pPr>
            <w:r w:rsidRPr="007F1DFD">
              <w:rPr>
                <w:rFonts w:hint="eastAsia"/>
                <w:spacing w:val="0"/>
                <w:u w:val="single"/>
              </w:rPr>
              <w:t>中國內地</w:t>
            </w:r>
          </w:p>
        </w:tc>
        <w:tc>
          <w:tcPr>
            <w:tcW w:w="1693" w:type="dxa"/>
            <w:tcBorders>
              <w:top w:val="nil"/>
              <w:left w:val="nil"/>
              <w:bottom w:val="nil"/>
              <w:right w:val="nil"/>
            </w:tcBorders>
            <w:shd w:val="clear" w:color="auto" w:fill="auto"/>
            <w:noWrap/>
            <w:vAlign w:val="bottom"/>
            <w:hideMark/>
          </w:tcPr>
          <w:p w14:paraId="2BA13CAA" w14:textId="77777777" w:rsidR="0029498B" w:rsidRPr="007F1DFD" w:rsidRDefault="0029498B" w:rsidP="005A0F55">
            <w:pPr>
              <w:pStyle w:val="100"/>
              <w:snapToGrid w:val="0"/>
              <w:spacing w:before="0" w:line="240" w:lineRule="auto"/>
              <w:ind w:left="300" w:hanging="300"/>
              <w:jc w:val="center"/>
              <w:rPr>
                <w:spacing w:val="0"/>
                <w:u w:val="single"/>
              </w:rPr>
            </w:pPr>
            <w:r w:rsidRPr="007F1DFD">
              <w:rPr>
                <w:rFonts w:hint="eastAsia"/>
                <w:spacing w:val="0"/>
                <w:u w:val="single"/>
              </w:rPr>
              <w:t>其他短途市場</w:t>
            </w:r>
            <w:r w:rsidRPr="00D80A76">
              <w:rPr>
                <w:spacing w:val="0"/>
                <w:vertAlign w:val="superscript"/>
              </w:rPr>
              <w:t>*</w:t>
            </w:r>
          </w:p>
        </w:tc>
        <w:tc>
          <w:tcPr>
            <w:tcW w:w="1694" w:type="dxa"/>
            <w:tcBorders>
              <w:top w:val="nil"/>
              <w:left w:val="nil"/>
              <w:bottom w:val="nil"/>
              <w:right w:val="nil"/>
            </w:tcBorders>
            <w:shd w:val="clear" w:color="auto" w:fill="auto"/>
            <w:noWrap/>
            <w:vAlign w:val="bottom"/>
            <w:hideMark/>
          </w:tcPr>
          <w:p w14:paraId="63A10B84" w14:textId="77777777" w:rsidR="0029498B" w:rsidRPr="007F1DFD" w:rsidRDefault="0029498B" w:rsidP="005A0F55">
            <w:pPr>
              <w:pStyle w:val="100"/>
              <w:snapToGrid w:val="0"/>
              <w:spacing w:before="0" w:line="240" w:lineRule="auto"/>
              <w:ind w:left="300" w:hanging="300"/>
              <w:jc w:val="center"/>
              <w:rPr>
                <w:spacing w:val="0"/>
                <w:u w:val="single"/>
              </w:rPr>
            </w:pPr>
            <w:r w:rsidRPr="007F1DFD">
              <w:rPr>
                <w:rFonts w:hint="eastAsia"/>
                <w:spacing w:val="0"/>
                <w:u w:val="single"/>
              </w:rPr>
              <w:t>長途市場</w:t>
            </w:r>
            <w:r w:rsidRPr="00D80A76">
              <w:rPr>
                <w:spacing w:val="0"/>
                <w:vertAlign w:val="superscript"/>
              </w:rPr>
              <w:t>*</w:t>
            </w:r>
          </w:p>
        </w:tc>
      </w:tr>
      <w:tr w:rsidR="0029498B" w:rsidRPr="007F1DFD" w14:paraId="7C8EC3CA" w14:textId="77777777" w:rsidTr="005A0F55">
        <w:trPr>
          <w:trHeight w:hRule="exact" w:val="113"/>
        </w:trPr>
        <w:tc>
          <w:tcPr>
            <w:tcW w:w="1375" w:type="dxa"/>
            <w:tcBorders>
              <w:top w:val="nil"/>
              <w:left w:val="nil"/>
              <w:bottom w:val="nil"/>
              <w:right w:val="nil"/>
            </w:tcBorders>
            <w:shd w:val="clear" w:color="auto" w:fill="auto"/>
            <w:noWrap/>
            <w:vAlign w:val="bottom"/>
          </w:tcPr>
          <w:p w14:paraId="221A764F"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6C396B3F" w14:textId="77777777" w:rsidR="0029498B" w:rsidRPr="007F1DFD" w:rsidRDefault="0029498B" w:rsidP="005A0F55">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71D432B7" w14:textId="77777777" w:rsidR="0029498B" w:rsidRPr="007F1DFD" w:rsidRDefault="0029498B" w:rsidP="005A0F55">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74AA86CC" w14:textId="77777777" w:rsidR="0029498B" w:rsidRPr="007F1DFD" w:rsidRDefault="0029498B" w:rsidP="005A0F55">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4D0224BD" w14:textId="77777777" w:rsidR="0029498B" w:rsidRPr="007F1DFD" w:rsidRDefault="0029498B" w:rsidP="005A0F55">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66483E66" w14:textId="77777777" w:rsidR="0029498B" w:rsidRPr="007F1DFD" w:rsidRDefault="0029498B" w:rsidP="005A0F55">
            <w:pPr>
              <w:pStyle w:val="100"/>
              <w:snapToGrid w:val="0"/>
              <w:spacing w:before="0" w:line="240" w:lineRule="auto"/>
              <w:ind w:left="300" w:hanging="300"/>
              <w:jc w:val="center"/>
              <w:rPr>
                <w:spacing w:val="0"/>
              </w:rPr>
            </w:pPr>
          </w:p>
        </w:tc>
      </w:tr>
      <w:tr w:rsidR="0029498B" w:rsidRPr="007F1DFD" w14:paraId="42AA354F" w14:textId="77777777" w:rsidTr="005A0F55">
        <w:trPr>
          <w:trHeight w:val="340"/>
        </w:trPr>
        <w:tc>
          <w:tcPr>
            <w:tcW w:w="1375" w:type="dxa"/>
            <w:tcBorders>
              <w:top w:val="nil"/>
              <w:left w:val="nil"/>
              <w:bottom w:val="nil"/>
              <w:right w:val="nil"/>
            </w:tcBorders>
            <w:shd w:val="clear" w:color="auto" w:fill="auto"/>
            <w:noWrap/>
            <w:vAlign w:val="bottom"/>
            <w:hideMark/>
          </w:tcPr>
          <w:p w14:paraId="0BFA1C70"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二零一九年</w:t>
            </w:r>
          </w:p>
        </w:tc>
        <w:tc>
          <w:tcPr>
            <w:tcW w:w="1208" w:type="dxa"/>
            <w:tcBorders>
              <w:top w:val="nil"/>
              <w:left w:val="nil"/>
              <w:bottom w:val="nil"/>
              <w:right w:val="nil"/>
            </w:tcBorders>
            <w:shd w:val="clear" w:color="auto" w:fill="auto"/>
            <w:noWrap/>
            <w:vAlign w:val="bottom"/>
            <w:hideMark/>
          </w:tcPr>
          <w:p w14:paraId="1521B880"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49AFC8BD"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18 234 400</w:t>
            </w:r>
          </w:p>
        </w:tc>
        <w:tc>
          <w:tcPr>
            <w:tcW w:w="1693" w:type="dxa"/>
            <w:tcBorders>
              <w:top w:val="nil"/>
              <w:left w:val="nil"/>
              <w:bottom w:val="nil"/>
              <w:right w:val="nil"/>
            </w:tcBorders>
            <w:shd w:val="clear" w:color="auto" w:fill="auto"/>
            <w:noWrap/>
            <w:vAlign w:val="bottom"/>
            <w:hideMark/>
          </w:tcPr>
          <w:p w14:paraId="77B4C403"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14 582 200</w:t>
            </w:r>
          </w:p>
        </w:tc>
        <w:tc>
          <w:tcPr>
            <w:tcW w:w="1693" w:type="dxa"/>
            <w:tcBorders>
              <w:top w:val="nil"/>
              <w:left w:val="nil"/>
              <w:bottom w:val="nil"/>
              <w:right w:val="nil"/>
            </w:tcBorders>
            <w:shd w:val="clear" w:color="auto" w:fill="auto"/>
            <w:noWrap/>
            <w:vAlign w:val="bottom"/>
            <w:hideMark/>
          </w:tcPr>
          <w:p w14:paraId="6CD0A09F"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2 486 500</w:t>
            </w:r>
          </w:p>
        </w:tc>
        <w:tc>
          <w:tcPr>
            <w:tcW w:w="1694" w:type="dxa"/>
            <w:tcBorders>
              <w:top w:val="nil"/>
              <w:left w:val="nil"/>
              <w:bottom w:val="nil"/>
              <w:right w:val="nil"/>
            </w:tcBorders>
            <w:shd w:val="clear" w:color="auto" w:fill="auto"/>
            <w:noWrap/>
            <w:vAlign w:val="bottom"/>
            <w:hideMark/>
          </w:tcPr>
          <w:p w14:paraId="1AAEE595"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1 165 700</w:t>
            </w:r>
          </w:p>
        </w:tc>
      </w:tr>
      <w:tr w:rsidR="0029498B" w:rsidRPr="007F1DFD" w14:paraId="0173588C" w14:textId="77777777" w:rsidTr="005A0F55">
        <w:trPr>
          <w:trHeight w:val="340"/>
        </w:trPr>
        <w:tc>
          <w:tcPr>
            <w:tcW w:w="1375" w:type="dxa"/>
            <w:tcBorders>
              <w:top w:val="nil"/>
              <w:left w:val="nil"/>
              <w:bottom w:val="nil"/>
              <w:right w:val="nil"/>
            </w:tcBorders>
            <w:shd w:val="clear" w:color="auto" w:fill="auto"/>
            <w:noWrap/>
            <w:vAlign w:val="bottom"/>
          </w:tcPr>
          <w:p w14:paraId="16CBE9AC"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27D03A63"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7A5CA5B4"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16 637 500</w:t>
            </w:r>
          </w:p>
        </w:tc>
        <w:tc>
          <w:tcPr>
            <w:tcW w:w="1693" w:type="dxa"/>
            <w:tcBorders>
              <w:top w:val="nil"/>
              <w:left w:val="nil"/>
              <w:bottom w:val="nil"/>
              <w:right w:val="nil"/>
            </w:tcBorders>
            <w:shd w:val="clear" w:color="auto" w:fill="auto"/>
            <w:noWrap/>
            <w:vAlign w:val="bottom"/>
          </w:tcPr>
          <w:p w14:paraId="4F4DDE01"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12 991 300</w:t>
            </w:r>
          </w:p>
        </w:tc>
        <w:tc>
          <w:tcPr>
            <w:tcW w:w="1693" w:type="dxa"/>
            <w:tcBorders>
              <w:top w:val="nil"/>
              <w:left w:val="nil"/>
              <w:bottom w:val="nil"/>
              <w:right w:val="nil"/>
            </w:tcBorders>
            <w:shd w:val="clear" w:color="auto" w:fill="auto"/>
            <w:noWrap/>
            <w:vAlign w:val="bottom"/>
          </w:tcPr>
          <w:p w14:paraId="794AB0B0"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2 448 200</w:t>
            </w:r>
          </w:p>
        </w:tc>
        <w:tc>
          <w:tcPr>
            <w:tcW w:w="1694" w:type="dxa"/>
            <w:tcBorders>
              <w:top w:val="nil"/>
              <w:left w:val="nil"/>
              <w:bottom w:val="nil"/>
              <w:right w:val="nil"/>
            </w:tcBorders>
            <w:shd w:val="clear" w:color="auto" w:fill="auto"/>
            <w:noWrap/>
            <w:vAlign w:val="bottom"/>
          </w:tcPr>
          <w:p w14:paraId="41695875"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1 198 000</w:t>
            </w:r>
          </w:p>
        </w:tc>
      </w:tr>
      <w:tr w:rsidR="0029498B" w:rsidRPr="007F1DFD" w14:paraId="453C9021" w14:textId="77777777" w:rsidTr="005A0F55">
        <w:trPr>
          <w:trHeight w:val="340"/>
        </w:trPr>
        <w:tc>
          <w:tcPr>
            <w:tcW w:w="1375" w:type="dxa"/>
            <w:tcBorders>
              <w:top w:val="nil"/>
              <w:left w:val="nil"/>
              <w:bottom w:val="nil"/>
              <w:right w:val="nil"/>
            </w:tcBorders>
            <w:shd w:val="clear" w:color="auto" w:fill="auto"/>
            <w:noWrap/>
            <w:vAlign w:val="bottom"/>
            <w:hideMark/>
          </w:tcPr>
          <w:p w14:paraId="4118B6BF"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6C278697"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436345EB"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11 891 600</w:t>
            </w:r>
          </w:p>
        </w:tc>
        <w:tc>
          <w:tcPr>
            <w:tcW w:w="1693" w:type="dxa"/>
            <w:tcBorders>
              <w:top w:val="nil"/>
              <w:left w:val="nil"/>
              <w:bottom w:val="nil"/>
              <w:right w:val="nil"/>
            </w:tcBorders>
            <w:shd w:val="clear" w:color="auto" w:fill="auto"/>
            <w:noWrap/>
            <w:vAlign w:val="bottom"/>
            <w:hideMark/>
          </w:tcPr>
          <w:p w14:paraId="527E13F9"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9 356 000</w:t>
            </w:r>
          </w:p>
        </w:tc>
        <w:tc>
          <w:tcPr>
            <w:tcW w:w="1693" w:type="dxa"/>
            <w:tcBorders>
              <w:top w:val="nil"/>
              <w:left w:val="nil"/>
              <w:bottom w:val="nil"/>
              <w:right w:val="nil"/>
            </w:tcBorders>
            <w:shd w:val="clear" w:color="auto" w:fill="auto"/>
            <w:noWrap/>
            <w:vAlign w:val="bottom"/>
            <w:hideMark/>
          </w:tcPr>
          <w:p w14:paraId="49D11BDC"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1 648 000</w:t>
            </w:r>
          </w:p>
        </w:tc>
        <w:tc>
          <w:tcPr>
            <w:tcW w:w="1694" w:type="dxa"/>
            <w:tcBorders>
              <w:top w:val="nil"/>
              <w:left w:val="nil"/>
              <w:bottom w:val="nil"/>
              <w:right w:val="nil"/>
            </w:tcBorders>
            <w:shd w:val="clear" w:color="auto" w:fill="auto"/>
            <w:noWrap/>
            <w:vAlign w:val="bottom"/>
            <w:hideMark/>
          </w:tcPr>
          <w:p w14:paraId="7626B00B"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887 600</w:t>
            </w:r>
          </w:p>
        </w:tc>
      </w:tr>
      <w:tr w:rsidR="0029498B" w:rsidRPr="007F1DFD" w14:paraId="34F60621" w14:textId="77777777" w:rsidTr="005A0F55">
        <w:trPr>
          <w:trHeight w:val="340"/>
        </w:trPr>
        <w:tc>
          <w:tcPr>
            <w:tcW w:w="1375" w:type="dxa"/>
            <w:tcBorders>
              <w:top w:val="nil"/>
              <w:left w:val="nil"/>
              <w:bottom w:val="nil"/>
              <w:right w:val="nil"/>
            </w:tcBorders>
            <w:shd w:val="clear" w:color="auto" w:fill="auto"/>
            <w:noWrap/>
            <w:vAlign w:val="bottom"/>
            <w:hideMark/>
          </w:tcPr>
          <w:p w14:paraId="3F721ED3"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18156084"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072475F5"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9 149 200</w:t>
            </w:r>
          </w:p>
        </w:tc>
        <w:tc>
          <w:tcPr>
            <w:tcW w:w="1693" w:type="dxa"/>
            <w:tcBorders>
              <w:top w:val="nil"/>
              <w:left w:val="nil"/>
              <w:bottom w:val="nil"/>
              <w:right w:val="nil"/>
            </w:tcBorders>
            <w:shd w:val="clear" w:color="auto" w:fill="auto"/>
            <w:noWrap/>
            <w:vAlign w:val="bottom"/>
            <w:hideMark/>
          </w:tcPr>
          <w:p w14:paraId="1CCDEEDB"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6 845 100</w:t>
            </w:r>
          </w:p>
        </w:tc>
        <w:tc>
          <w:tcPr>
            <w:tcW w:w="1693" w:type="dxa"/>
            <w:tcBorders>
              <w:top w:val="nil"/>
              <w:left w:val="nil"/>
              <w:bottom w:val="nil"/>
              <w:right w:val="nil"/>
            </w:tcBorders>
            <w:shd w:val="clear" w:color="auto" w:fill="auto"/>
            <w:noWrap/>
            <w:vAlign w:val="bottom"/>
            <w:hideMark/>
          </w:tcPr>
          <w:p w14:paraId="2350F98A"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1 356 900</w:t>
            </w:r>
          </w:p>
        </w:tc>
        <w:tc>
          <w:tcPr>
            <w:tcW w:w="1694" w:type="dxa"/>
            <w:tcBorders>
              <w:top w:val="nil"/>
              <w:left w:val="nil"/>
              <w:bottom w:val="nil"/>
              <w:right w:val="nil"/>
            </w:tcBorders>
            <w:shd w:val="clear" w:color="auto" w:fill="auto"/>
            <w:noWrap/>
            <w:vAlign w:val="bottom"/>
            <w:hideMark/>
          </w:tcPr>
          <w:p w14:paraId="7481DC86"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947 100</w:t>
            </w:r>
          </w:p>
        </w:tc>
      </w:tr>
      <w:tr w:rsidR="0029498B" w:rsidRPr="007F1DFD" w14:paraId="40C206B8" w14:textId="77777777" w:rsidTr="005A0F55">
        <w:trPr>
          <w:trHeight w:val="265"/>
        </w:trPr>
        <w:tc>
          <w:tcPr>
            <w:tcW w:w="1375" w:type="dxa"/>
            <w:tcBorders>
              <w:top w:val="nil"/>
              <w:left w:val="nil"/>
              <w:bottom w:val="nil"/>
              <w:right w:val="nil"/>
            </w:tcBorders>
            <w:shd w:val="clear" w:color="auto" w:fill="auto"/>
            <w:noWrap/>
            <w:vAlign w:val="bottom"/>
          </w:tcPr>
          <w:p w14:paraId="5D55E6CB"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4383EC89" w14:textId="77777777" w:rsidR="0029498B" w:rsidRPr="007F1DFD" w:rsidRDefault="0029498B" w:rsidP="005A0F55">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37162819" w14:textId="77777777" w:rsidR="0029498B" w:rsidRPr="007F1DFD" w:rsidRDefault="0029498B" w:rsidP="005A0F55">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680D293C" w14:textId="77777777" w:rsidR="0029498B" w:rsidRPr="007F1DFD" w:rsidRDefault="0029498B" w:rsidP="005A0F55">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5BF3E10D" w14:textId="77777777" w:rsidR="0029498B" w:rsidRPr="007F1DFD" w:rsidRDefault="0029498B" w:rsidP="005A0F55">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360D8C09" w14:textId="77777777" w:rsidR="0029498B" w:rsidRPr="007F1DFD" w:rsidRDefault="0029498B" w:rsidP="005A0F55">
            <w:pPr>
              <w:pStyle w:val="100"/>
              <w:snapToGrid w:val="0"/>
              <w:spacing w:before="0" w:line="240" w:lineRule="auto"/>
              <w:ind w:left="300" w:hanging="300"/>
              <w:jc w:val="center"/>
              <w:rPr>
                <w:spacing w:val="0"/>
              </w:rPr>
            </w:pPr>
          </w:p>
        </w:tc>
      </w:tr>
      <w:tr w:rsidR="0029498B" w:rsidRPr="007F1DFD" w14:paraId="464A3ED5" w14:textId="77777777" w:rsidTr="005A0F55">
        <w:trPr>
          <w:trHeight w:val="340"/>
        </w:trPr>
        <w:tc>
          <w:tcPr>
            <w:tcW w:w="1375" w:type="dxa"/>
            <w:tcBorders>
              <w:top w:val="nil"/>
              <w:left w:val="nil"/>
              <w:bottom w:val="nil"/>
              <w:right w:val="nil"/>
            </w:tcBorders>
            <w:shd w:val="clear" w:color="auto" w:fill="auto"/>
            <w:noWrap/>
            <w:vAlign w:val="bottom"/>
            <w:hideMark/>
          </w:tcPr>
          <w:p w14:paraId="6E888553"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二零二零年</w:t>
            </w:r>
          </w:p>
        </w:tc>
        <w:tc>
          <w:tcPr>
            <w:tcW w:w="1208" w:type="dxa"/>
            <w:tcBorders>
              <w:top w:val="nil"/>
              <w:left w:val="nil"/>
              <w:bottom w:val="nil"/>
              <w:right w:val="nil"/>
            </w:tcBorders>
            <w:shd w:val="clear" w:color="auto" w:fill="auto"/>
            <w:noWrap/>
            <w:vAlign w:val="bottom"/>
            <w:hideMark/>
          </w:tcPr>
          <w:p w14:paraId="066FC21C"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08765084"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3 489 200</w:t>
            </w:r>
          </w:p>
        </w:tc>
        <w:tc>
          <w:tcPr>
            <w:tcW w:w="1693" w:type="dxa"/>
            <w:tcBorders>
              <w:top w:val="nil"/>
              <w:left w:val="nil"/>
              <w:bottom w:val="nil"/>
              <w:right w:val="nil"/>
            </w:tcBorders>
            <w:shd w:val="clear" w:color="auto" w:fill="auto"/>
            <w:noWrap/>
            <w:vAlign w:val="bottom"/>
            <w:hideMark/>
          </w:tcPr>
          <w:p w14:paraId="3DFB8F1A"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2 665 900</w:t>
            </w:r>
          </w:p>
        </w:tc>
        <w:tc>
          <w:tcPr>
            <w:tcW w:w="1693" w:type="dxa"/>
            <w:tcBorders>
              <w:top w:val="nil"/>
              <w:left w:val="nil"/>
              <w:bottom w:val="nil"/>
              <w:right w:val="nil"/>
            </w:tcBorders>
            <w:shd w:val="clear" w:color="auto" w:fill="auto"/>
            <w:noWrap/>
            <w:vAlign w:val="bottom"/>
            <w:hideMark/>
          </w:tcPr>
          <w:p w14:paraId="76ADA64B"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483 500</w:t>
            </w:r>
          </w:p>
        </w:tc>
        <w:tc>
          <w:tcPr>
            <w:tcW w:w="1694" w:type="dxa"/>
            <w:tcBorders>
              <w:top w:val="nil"/>
              <w:left w:val="nil"/>
              <w:bottom w:val="nil"/>
              <w:right w:val="nil"/>
            </w:tcBorders>
            <w:shd w:val="clear" w:color="auto" w:fill="auto"/>
            <w:noWrap/>
            <w:vAlign w:val="bottom"/>
            <w:hideMark/>
          </w:tcPr>
          <w:p w14:paraId="7ED180E1"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339 800</w:t>
            </w:r>
          </w:p>
        </w:tc>
      </w:tr>
      <w:tr w:rsidR="0029498B" w:rsidRPr="007F1DFD" w14:paraId="0B810842" w14:textId="77777777" w:rsidTr="005A0F55">
        <w:trPr>
          <w:trHeight w:val="340"/>
        </w:trPr>
        <w:tc>
          <w:tcPr>
            <w:tcW w:w="1375" w:type="dxa"/>
            <w:tcBorders>
              <w:top w:val="nil"/>
              <w:left w:val="nil"/>
              <w:bottom w:val="nil"/>
              <w:right w:val="nil"/>
            </w:tcBorders>
            <w:shd w:val="clear" w:color="auto" w:fill="auto"/>
            <w:noWrap/>
            <w:vAlign w:val="bottom"/>
          </w:tcPr>
          <w:p w14:paraId="29595E67"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648753E8"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36AAD7DA"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26 900</w:t>
            </w:r>
          </w:p>
        </w:tc>
        <w:tc>
          <w:tcPr>
            <w:tcW w:w="1693" w:type="dxa"/>
            <w:tcBorders>
              <w:top w:val="nil"/>
              <w:left w:val="nil"/>
              <w:bottom w:val="nil"/>
              <w:right w:val="nil"/>
            </w:tcBorders>
            <w:shd w:val="clear" w:color="auto" w:fill="auto"/>
            <w:noWrap/>
            <w:vAlign w:val="bottom"/>
          </w:tcPr>
          <w:p w14:paraId="5327A79A"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15 300</w:t>
            </w:r>
          </w:p>
        </w:tc>
        <w:tc>
          <w:tcPr>
            <w:tcW w:w="1693" w:type="dxa"/>
            <w:tcBorders>
              <w:top w:val="nil"/>
              <w:left w:val="nil"/>
              <w:bottom w:val="nil"/>
              <w:right w:val="nil"/>
            </w:tcBorders>
            <w:shd w:val="clear" w:color="auto" w:fill="auto"/>
            <w:noWrap/>
            <w:vAlign w:val="bottom"/>
          </w:tcPr>
          <w:p w14:paraId="33559DE1"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4 800</w:t>
            </w:r>
          </w:p>
        </w:tc>
        <w:tc>
          <w:tcPr>
            <w:tcW w:w="1694" w:type="dxa"/>
            <w:tcBorders>
              <w:top w:val="nil"/>
              <w:left w:val="nil"/>
              <w:bottom w:val="nil"/>
              <w:right w:val="nil"/>
            </w:tcBorders>
            <w:shd w:val="clear" w:color="auto" w:fill="auto"/>
            <w:noWrap/>
            <w:vAlign w:val="bottom"/>
          </w:tcPr>
          <w:p w14:paraId="76969FE5"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6 700</w:t>
            </w:r>
          </w:p>
        </w:tc>
      </w:tr>
      <w:tr w:rsidR="0029498B" w:rsidRPr="007F1DFD" w14:paraId="7B7E372C" w14:textId="77777777" w:rsidTr="005A0F55">
        <w:trPr>
          <w:trHeight w:val="340"/>
        </w:trPr>
        <w:tc>
          <w:tcPr>
            <w:tcW w:w="1375" w:type="dxa"/>
            <w:tcBorders>
              <w:top w:val="nil"/>
              <w:left w:val="nil"/>
              <w:bottom w:val="nil"/>
              <w:right w:val="nil"/>
            </w:tcBorders>
            <w:shd w:val="clear" w:color="auto" w:fill="auto"/>
            <w:noWrap/>
            <w:vAlign w:val="bottom"/>
            <w:hideMark/>
          </w:tcPr>
          <w:p w14:paraId="70268D63"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120AFEC3"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4ADC329D"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34 100</w:t>
            </w:r>
          </w:p>
        </w:tc>
        <w:tc>
          <w:tcPr>
            <w:tcW w:w="1693" w:type="dxa"/>
            <w:tcBorders>
              <w:top w:val="nil"/>
              <w:left w:val="nil"/>
              <w:bottom w:val="nil"/>
              <w:right w:val="nil"/>
            </w:tcBorders>
            <w:shd w:val="clear" w:color="auto" w:fill="auto"/>
            <w:noWrap/>
            <w:vAlign w:val="bottom"/>
            <w:hideMark/>
          </w:tcPr>
          <w:p w14:paraId="7C8E9E94"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14 300</w:t>
            </w:r>
          </w:p>
        </w:tc>
        <w:tc>
          <w:tcPr>
            <w:tcW w:w="1693" w:type="dxa"/>
            <w:tcBorders>
              <w:top w:val="nil"/>
              <w:left w:val="nil"/>
              <w:bottom w:val="nil"/>
              <w:right w:val="nil"/>
            </w:tcBorders>
            <w:shd w:val="clear" w:color="auto" w:fill="auto"/>
            <w:noWrap/>
            <w:vAlign w:val="bottom"/>
            <w:hideMark/>
          </w:tcPr>
          <w:p w14:paraId="0666830A"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10 200</w:t>
            </w:r>
          </w:p>
        </w:tc>
        <w:tc>
          <w:tcPr>
            <w:tcW w:w="1694" w:type="dxa"/>
            <w:tcBorders>
              <w:top w:val="nil"/>
              <w:left w:val="nil"/>
              <w:bottom w:val="nil"/>
              <w:right w:val="nil"/>
            </w:tcBorders>
            <w:shd w:val="clear" w:color="auto" w:fill="auto"/>
            <w:noWrap/>
            <w:vAlign w:val="bottom"/>
            <w:hideMark/>
          </w:tcPr>
          <w:p w14:paraId="25BDC012"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9 700</w:t>
            </w:r>
          </w:p>
        </w:tc>
      </w:tr>
      <w:tr w:rsidR="0029498B" w:rsidRPr="007F1DFD" w14:paraId="7C707A1A" w14:textId="77777777" w:rsidTr="005A0F55">
        <w:trPr>
          <w:trHeight w:val="340"/>
        </w:trPr>
        <w:tc>
          <w:tcPr>
            <w:tcW w:w="1375" w:type="dxa"/>
            <w:tcBorders>
              <w:top w:val="nil"/>
              <w:left w:val="nil"/>
              <w:bottom w:val="nil"/>
              <w:right w:val="nil"/>
            </w:tcBorders>
            <w:shd w:val="clear" w:color="auto" w:fill="auto"/>
            <w:noWrap/>
            <w:vAlign w:val="bottom"/>
            <w:hideMark/>
          </w:tcPr>
          <w:p w14:paraId="34177B83"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03EA130E"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45E9B7FB"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18 600</w:t>
            </w:r>
          </w:p>
        </w:tc>
        <w:tc>
          <w:tcPr>
            <w:tcW w:w="1693" w:type="dxa"/>
            <w:tcBorders>
              <w:top w:val="nil"/>
              <w:left w:val="nil"/>
              <w:bottom w:val="nil"/>
              <w:right w:val="nil"/>
            </w:tcBorders>
            <w:shd w:val="clear" w:color="auto" w:fill="auto"/>
            <w:noWrap/>
            <w:vAlign w:val="bottom"/>
            <w:hideMark/>
          </w:tcPr>
          <w:p w14:paraId="3244055B"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10 900</w:t>
            </w:r>
          </w:p>
        </w:tc>
        <w:tc>
          <w:tcPr>
            <w:tcW w:w="1693" w:type="dxa"/>
            <w:tcBorders>
              <w:top w:val="nil"/>
              <w:left w:val="nil"/>
              <w:bottom w:val="nil"/>
              <w:right w:val="nil"/>
            </w:tcBorders>
            <w:shd w:val="clear" w:color="auto" w:fill="auto"/>
            <w:noWrap/>
            <w:vAlign w:val="bottom"/>
            <w:hideMark/>
          </w:tcPr>
          <w:p w14:paraId="768E407C"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5 100</w:t>
            </w:r>
          </w:p>
        </w:tc>
        <w:tc>
          <w:tcPr>
            <w:tcW w:w="1694" w:type="dxa"/>
            <w:tcBorders>
              <w:top w:val="nil"/>
              <w:left w:val="nil"/>
              <w:bottom w:val="nil"/>
              <w:right w:val="nil"/>
            </w:tcBorders>
            <w:shd w:val="clear" w:color="auto" w:fill="auto"/>
            <w:noWrap/>
            <w:vAlign w:val="bottom"/>
            <w:hideMark/>
          </w:tcPr>
          <w:p w14:paraId="4A4CB960"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2 700</w:t>
            </w:r>
          </w:p>
        </w:tc>
      </w:tr>
      <w:tr w:rsidR="0029498B" w:rsidRPr="007F1DFD" w14:paraId="48F035BD" w14:textId="77777777" w:rsidTr="005A0F55">
        <w:trPr>
          <w:trHeight w:val="275"/>
        </w:trPr>
        <w:tc>
          <w:tcPr>
            <w:tcW w:w="1375" w:type="dxa"/>
            <w:tcBorders>
              <w:top w:val="nil"/>
              <w:left w:val="nil"/>
              <w:bottom w:val="nil"/>
              <w:right w:val="nil"/>
            </w:tcBorders>
            <w:shd w:val="clear" w:color="auto" w:fill="auto"/>
            <w:noWrap/>
            <w:vAlign w:val="bottom"/>
          </w:tcPr>
          <w:p w14:paraId="02093CAC"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37694476" w14:textId="77777777" w:rsidR="0029498B" w:rsidRPr="007F1DFD" w:rsidRDefault="0029498B" w:rsidP="005A0F55">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5C7442A0" w14:textId="77777777" w:rsidR="0029498B" w:rsidRPr="007F1DFD" w:rsidRDefault="0029498B" w:rsidP="005A0F55">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732CEA36" w14:textId="77777777" w:rsidR="0029498B" w:rsidRPr="007F1DFD" w:rsidRDefault="0029498B" w:rsidP="005A0F55">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1D21FDA6" w14:textId="77777777" w:rsidR="0029498B" w:rsidRPr="007F1DFD" w:rsidRDefault="0029498B" w:rsidP="005A0F55">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3C0C8FAA" w14:textId="77777777" w:rsidR="0029498B" w:rsidRPr="007F1DFD" w:rsidRDefault="0029498B" w:rsidP="005A0F55">
            <w:pPr>
              <w:pStyle w:val="100"/>
              <w:snapToGrid w:val="0"/>
              <w:spacing w:before="0" w:line="240" w:lineRule="auto"/>
              <w:ind w:left="300" w:hanging="300"/>
              <w:jc w:val="center"/>
              <w:rPr>
                <w:spacing w:val="0"/>
              </w:rPr>
            </w:pPr>
          </w:p>
        </w:tc>
      </w:tr>
      <w:tr w:rsidR="0029498B" w:rsidRPr="007F1DFD" w14:paraId="2CB7E6E9" w14:textId="77777777" w:rsidTr="005A0F55">
        <w:trPr>
          <w:trHeight w:val="340"/>
        </w:trPr>
        <w:tc>
          <w:tcPr>
            <w:tcW w:w="1375" w:type="dxa"/>
            <w:tcBorders>
              <w:top w:val="nil"/>
              <w:left w:val="nil"/>
              <w:bottom w:val="nil"/>
              <w:right w:val="nil"/>
            </w:tcBorders>
            <w:shd w:val="clear" w:color="auto" w:fill="auto"/>
            <w:noWrap/>
            <w:vAlign w:val="bottom"/>
            <w:hideMark/>
          </w:tcPr>
          <w:p w14:paraId="424A6A5A"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二零二一年</w:t>
            </w:r>
          </w:p>
        </w:tc>
        <w:tc>
          <w:tcPr>
            <w:tcW w:w="1208" w:type="dxa"/>
            <w:tcBorders>
              <w:top w:val="nil"/>
              <w:left w:val="nil"/>
              <w:bottom w:val="nil"/>
              <w:right w:val="nil"/>
            </w:tcBorders>
            <w:shd w:val="clear" w:color="auto" w:fill="auto"/>
            <w:noWrap/>
            <w:vAlign w:val="bottom"/>
            <w:hideMark/>
          </w:tcPr>
          <w:p w14:paraId="3BDEDE9B"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700EA6F7"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16 500</w:t>
            </w:r>
          </w:p>
        </w:tc>
        <w:tc>
          <w:tcPr>
            <w:tcW w:w="1693" w:type="dxa"/>
            <w:tcBorders>
              <w:top w:val="nil"/>
              <w:left w:val="nil"/>
              <w:bottom w:val="nil"/>
              <w:right w:val="nil"/>
            </w:tcBorders>
            <w:shd w:val="clear" w:color="auto" w:fill="auto"/>
            <w:noWrap/>
            <w:vAlign w:val="bottom"/>
            <w:hideMark/>
          </w:tcPr>
          <w:p w14:paraId="7D283695"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11 600</w:t>
            </w:r>
          </w:p>
        </w:tc>
        <w:tc>
          <w:tcPr>
            <w:tcW w:w="1693" w:type="dxa"/>
            <w:tcBorders>
              <w:top w:val="nil"/>
              <w:left w:val="nil"/>
              <w:bottom w:val="nil"/>
              <w:right w:val="nil"/>
            </w:tcBorders>
            <w:shd w:val="clear" w:color="auto" w:fill="auto"/>
            <w:noWrap/>
            <w:vAlign w:val="bottom"/>
            <w:hideMark/>
          </w:tcPr>
          <w:p w14:paraId="0AC2DEDA"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3 100</w:t>
            </w:r>
          </w:p>
        </w:tc>
        <w:tc>
          <w:tcPr>
            <w:tcW w:w="1694" w:type="dxa"/>
            <w:tcBorders>
              <w:top w:val="nil"/>
              <w:left w:val="nil"/>
              <w:bottom w:val="nil"/>
              <w:right w:val="nil"/>
            </w:tcBorders>
            <w:shd w:val="clear" w:color="auto" w:fill="auto"/>
            <w:noWrap/>
            <w:vAlign w:val="bottom"/>
            <w:hideMark/>
          </w:tcPr>
          <w:p w14:paraId="70EC1A3F"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1 900</w:t>
            </w:r>
          </w:p>
        </w:tc>
      </w:tr>
      <w:tr w:rsidR="0029498B" w:rsidRPr="007F1DFD" w14:paraId="68E2DAD4" w14:textId="77777777" w:rsidTr="005A0F55">
        <w:trPr>
          <w:trHeight w:val="340"/>
        </w:trPr>
        <w:tc>
          <w:tcPr>
            <w:tcW w:w="1375" w:type="dxa"/>
            <w:tcBorders>
              <w:top w:val="nil"/>
              <w:left w:val="nil"/>
              <w:bottom w:val="nil"/>
              <w:right w:val="nil"/>
            </w:tcBorders>
            <w:shd w:val="clear" w:color="auto" w:fill="auto"/>
            <w:noWrap/>
            <w:vAlign w:val="bottom"/>
          </w:tcPr>
          <w:p w14:paraId="26225495"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0E13AD1A"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23E4712C"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17 200</w:t>
            </w:r>
          </w:p>
        </w:tc>
        <w:tc>
          <w:tcPr>
            <w:tcW w:w="1693" w:type="dxa"/>
            <w:tcBorders>
              <w:top w:val="nil"/>
              <w:left w:val="nil"/>
              <w:bottom w:val="nil"/>
              <w:right w:val="nil"/>
            </w:tcBorders>
            <w:shd w:val="clear" w:color="auto" w:fill="auto"/>
            <w:noWrap/>
            <w:vAlign w:val="bottom"/>
          </w:tcPr>
          <w:p w14:paraId="0DD67DB4"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12 700</w:t>
            </w:r>
          </w:p>
        </w:tc>
        <w:tc>
          <w:tcPr>
            <w:tcW w:w="1693" w:type="dxa"/>
            <w:tcBorders>
              <w:top w:val="nil"/>
              <w:left w:val="nil"/>
              <w:bottom w:val="nil"/>
              <w:right w:val="nil"/>
            </w:tcBorders>
            <w:shd w:val="clear" w:color="auto" w:fill="auto"/>
            <w:noWrap/>
            <w:vAlign w:val="bottom"/>
          </w:tcPr>
          <w:p w14:paraId="78A11843" w14:textId="77777777" w:rsidR="0029498B" w:rsidRPr="007F1DFD" w:rsidRDefault="0029498B" w:rsidP="005A0F55">
            <w:pPr>
              <w:pStyle w:val="100"/>
              <w:snapToGrid w:val="0"/>
              <w:spacing w:before="0" w:line="240" w:lineRule="auto"/>
              <w:ind w:left="300" w:hanging="300"/>
              <w:jc w:val="center"/>
              <w:rPr>
                <w:spacing w:val="0"/>
                <w:lang w:eastAsia="zh-CN"/>
              </w:rPr>
            </w:pPr>
            <w:r w:rsidRPr="007F1DFD">
              <w:rPr>
                <w:rFonts w:eastAsia="Times New Roman"/>
                <w:color w:val="000000"/>
                <w:spacing w:val="0"/>
              </w:rPr>
              <w:t>2 400</w:t>
            </w:r>
          </w:p>
        </w:tc>
        <w:tc>
          <w:tcPr>
            <w:tcW w:w="1694" w:type="dxa"/>
            <w:tcBorders>
              <w:top w:val="nil"/>
              <w:left w:val="nil"/>
              <w:bottom w:val="nil"/>
              <w:right w:val="nil"/>
            </w:tcBorders>
            <w:shd w:val="clear" w:color="auto" w:fill="auto"/>
            <w:noWrap/>
            <w:vAlign w:val="bottom"/>
          </w:tcPr>
          <w:p w14:paraId="572CB32E" w14:textId="77777777" w:rsidR="0029498B" w:rsidRPr="007F1DFD" w:rsidRDefault="0029498B" w:rsidP="005A0F55">
            <w:pPr>
              <w:pStyle w:val="100"/>
              <w:snapToGrid w:val="0"/>
              <w:spacing w:before="0" w:line="240" w:lineRule="auto"/>
              <w:ind w:left="300" w:hanging="300"/>
              <w:jc w:val="center"/>
              <w:rPr>
                <w:spacing w:val="0"/>
                <w:lang w:eastAsia="zh-CN"/>
              </w:rPr>
            </w:pPr>
            <w:r w:rsidRPr="007F1DFD">
              <w:rPr>
                <w:rFonts w:eastAsia="Times New Roman"/>
                <w:color w:val="000000"/>
                <w:spacing w:val="0"/>
              </w:rPr>
              <w:t>2 100</w:t>
            </w:r>
          </w:p>
        </w:tc>
      </w:tr>
      <w:tr w:rsidR="0029498B" w:rsidRPr="007F1DFD" w14:paraId="1064BB23" w14:textId="77777777" w:rsidTr="005A0F55">
        <w:trPr>
          <w:trHeight w:val="340"/>
        </w:trPr>
        <w:tc>
          <w:tcPr>
            <w:tcW w:w="1375" w:type="dxa"/>
            <w:tcBorders>
              <w:top w:val="nil"/>
              <w:left w:val="nil"/>
              <w:bottom w:val="nil"/>
              <w:right w:val="nil"/>
            </w:tcBorders>
            <w:shd w:val="clear" w:color="auto" w:fill="auto"/>
            <w:noWrap/>
            <w:vAlign w:val="bottom"/>
          </w:tcPr>
          <w:p w14:paraId="61F1DF2A"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170B3A88"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24D138F1"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29 400</w:t>
            </w:r>
          </w:p>
        </w:tc>
        <w:tc>
          <w:tcPr>
            <w:tcW w:w="1693" w:type="dxa"/>
            <w:tcBorders>
              <w:top w:val="nil"/>
              <w:left w:val="nil"/>
              <w:bottom w:val="nil"/>
              <w:right w:val="nil"/>
            </w:tcBorders>
            <w:shd w:val="clear" w:color="auto" w:fill="auto"/>
            <w:noWrap/>
            <w:vAlign w:val="bottom"/>
          </w:tcPr>
          <w:p w14:paraId="09823E9C"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21 800</w:t>
            </w:r>
          </w:p>
        </w:tc>
        <w:tc>
          <w:tcPr>
            <w:tcW w:w="1693" w:type="dxa"/>
            <w:tcBorders>
              <w:top w:val="nil"/>
              <w:left w:val="nil"/>
              <w:bottom w:val="nil"/>
              <w:right w:val="nil"/>
            </w:tcBorders>
            <w:shd w:val="clear" w:color="auto" w:fill="auto"/>
            <w:noWrap/>
            <w:vAlign w:val="bottom"/>
          </w:tcPr>
          <w:p w14:paraId="64A89DF8" w14:textId="77777777" w:rsidR="0029498B" w:rsidRPr="007F1DFD" w:rsidRDefault="0029498B" w:rsidP="005A0F55">
            <w:pPr>
              <w:pStyle w:val="100"/>
              <w:snapToGrid w:val="0"/>
              <w:spacing w:before="0" w:line="240" w:lineRule="auto"/>
              <w:ind w:left="300" w:hanging="300"/>
              <w:jc w:val="center"/>
              <w:rPr>
                <w:spacing w:val="0"/>
                <w:lang w:eastAsia="zh-CN"/>
              </w:rPr>
            </w:pPr>
            <w:r w:rsidRPr="007F1DFD">
              <w:rPr>
                <w:rFonts w:eastAsia="Times New Roman"/>
                <w:color w:val="000000"/>
                <w:spacing w:val="0"/>
              </w:rPr>
              <w:t>4 300</w:t>
            </w:r>
          </w:p>
        </w:tc>
        <w:tc>
          <w:tcPr>
            <w:tcW w:w="1694" w:type="dxa"/>
            <w:tcBorders>
              <w:top w:val="nil"/>
              <w:left w:val="nil"/>
              <w:bottom w:val="nil"/>
              <w:right w:val="nil"/>
            </w:tcBorders>
            <w:shd w:val="clear" w:color="auto" w:fill="auto"/>
            <w:noWrap/>
            <w:vAlign w:val="bottom"/>
          </w:tcPr>
          <w:p w14:paraId="33C10EE2" w14:textId="77777777" w:rsidR="0029498B" w:rsidRPr="007F1DFD" w:rsidRDefault="0029498B" w:rsidP="005A0F55">
            <w:pPr>
              <w:pStyle w:val="100"/>
              <w:snapToGrid w:val="0"/>
              <w:spacing w:before="0" w:line="240" w:lineRule="auto"/>
              <w:ind w:left="300" w:hanging="300"/>
              <w:jc w:val="center"/>
              <w:rPr>
                <w:spacing w:val="0"/>
                <w:lang w:eastAsia="zh-CN"/>
              </w:rPr>
            </w:pPr>
            <w:r w:rsidRPr="007F1DFD">
              <w:rPr>
                <w:rFonts w:eastAsia="Times New Roman"/>
                <w:color w:val="000000"/>
                <w:spacing w:val="0"/>
              </w:rPr>
              <w:t>3 200</w:t>
            </w:r>
          </w:p>
        </w:tc>
      </w:tr>
      <w:tr w:rsidR="0029498B" w:rsidRPr="007F1DFD" w14:paraId="46E3E57A" w14:textId="77777777" w:rsidTr="005A0F55">
        <w:trPr>
          <w:trHeight w:val="340"/>
        </w:trPr>
        <w:tc>
          <w:tcPr>
            <w:tcW w:w="1375" w:type="dxa"/>
            <w:tcBorders>
              <w:top w:val="nil"/>
              <w:left w:val="nil"/>
              <w:bottom w:val="nil"/>
              <w:right w:val="nil"/>
            </w:tcBorders>
            <w:shd w:val="clear" w:color="auto" w:fill="auto"/>
            <w:noWrap/>
            <w:vAlign w:val="bottom"/>
            <w:hideMark/>
          </w:tcPr>
          <w:p w14:paraId="036BE8B0"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5DCA598A"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36D9E66A" w14:textId="77777777" w:rsidR="0029498B" w:rsidRPr="007F1DFD" w:rsidRDefault="0029498B" w:rsidP="005A0F55">
            <w:pPr>
              <w:pStyle w:val="100"/>
              <w:snapToGrid w:val="0"/>
              <w:spacing w:before="0" w:line="240" w:lineRule="auto"/>
              <w:ind w:left="300" w:hanging="300"/>
              <w:jc w:val="center"/>
              <w:rPr>
                <w:spacing w:val="0"/>
              </w:rPr>
            </w:pPr>
            <w:r w:rsidRPr="007F1DFD">
              <w:rPr>
                <w:rFonts w:eastAsia="Times New Roman"/>
                <w:color w:val="000000"/>
                <w:spacing w:val="0"/>
              </w:rPr>
              <w:t>28 300</w:t>
            </w:r>
          </w:p>
        </w:tc>
        <w:tc>
          <w:tcPr>
            <w:tcW w:w="1693" w:type="dxa"/>
            <w:tcBorders>
              <w:top w:val="nil"/>
              <w:left w:val="nil"/>
              <w:bottom w:val="nil"/>
              <w:right w:val="nil"/>
            </w:tcBorders>
            <w:shd w:val="clear" w:color="auto" w:fill="auto"/>
            <w:noWrap/>
            <w:vAlign w:val="bottom"/>
            <w:hideMark/>
          </w:tcPr>
          <w:p w14:paraId="60693DD5" w14:textId="77777777" w:rsidR="0029498B" w:rsidRPr="007F1DFD" w:rsidRDefault="0029498B" w:rsidP="005A0F55">
            <w:pPr>
              <w:pStyle w:val="100"/>
              <w:snapToGrid w:val="0"/>
              <w:spacing w:before="0" w:line="240" w:lineRule="auto"/>
              <w:ind w:left="300" w:hanging="300"/>
              <w:jc w:val="center"/>
              <w:rPr>
                <w:spacing w:val="0"/>
              </w:rPr>
            </w:pPr>
            <w:r>
              <w:rPr>
                <w:rFonts w:eastAsia="Times New Roman"/>
                <w:color w:val="000000"/>
                <w:spacing w:val="0"/>
              </w:rPr>
              <w:t>19 700</w:t>
            </w:r>
          </w:p>
        </w:tc>
        <w:tc>
          <w:tcPr>
            <w:tcW w:w="1693" w:type="dxa"/>
            <w:tcBorders>
              <w:top w:val="nil"/>
              <w:left w:val="nil"/>
              <w:bottom w:val="nil"/>
              <w:right w:val="nil"/>
            </w:tcBorders>
            <w:shd w:val="clear" w:color="auto" w:fill="auto"/>
            <w:noWrap/>
            <w:vAlign w:val="bottom"/>
            <w:hideMark/>
          </w:tcPr>
          <w:p w14:paraId="4075FF9A" w14:textId="77777777" w:rsidR="0029498B" w:rsidRPr="007F1DFD" w:rsidRDefault="0029498B" w:rsidP="005A0F55">
            <w:pPr>
              <w:pStyle w:val="100"/>
              <w:snapToGrid w:val="0"/>
              <w:spacing w:before="0" w:line="240" w:lineRule="auto"/>
              <w:ind w:left="300" w:hanging="300"/>
              <w:jc w:val="center"/>
              <w:rPr>
                <w:spacing w:val="0"/>
              </w:rPr>
            </w:pPr>
            <w:r>
              <w:rPr>
                <w:rFonts w:eastAsia="Times New Roman"/>
                <w:color w:val="000000"/>
                <w:spacing w:val="0"/>
              </w:rPr>
              <w:t>5 200</w:t>
            </w:r>
          </w:p>
        </w:tc>
        <w:tc>
          <w:tcPr>
            <w:tcW w:w="1694" w:type="dxa"/>
            <w:tcBorders>
              <w:top w:val="nil"/>
              <w:left w:val="nil"/>
              <w:bottom w:val="nil"/>
              <w:right w:val="nil"/>
            </w:tcBorders>
            <w:shd w:val="clear" w:color="auto" w:fill="auto"/>
            <w:noWrap/>
            <w:vAlign w:val="bottom"/>
            <w:hideMark/>
          </w:tcPr>
          <w:p w14:paraId="09DB8E04" w14:textId="77777777" w:rsidR="0029498B" w:rsidRPr="007F1DFD" w:rsidRDefault="0029498B" w:rsidP="005A0F55">
            <w:pPr>
              <w:pStyle w:val="100"/>
              <w:snapToGrid w:val="0"/>
              <w:spacing w:before="0" w:line="240" w:lineRule="auto"/>
              <w:ind w:left="300" w:hanging="300"/>
              <w:jc w:val="center"/>
              <w:rPr>
                <w:spacing w:val="0"/>
              </w:rPr>
            </w:pPr>
            <w:r>
              <w:rPr>
                <w:rFonts w:eastAsia="Times New Roman"/>
                <w:color w:val="000000"/>
                <w:spacing w:val="0"/>
              </w:rPr>
              <w:t>3 500</w:t>
            </w:r>
          </w:p>
        </w:tc>
      </w:tr>
      <w:tr w:rsidR="0029498B" w:rsidRPr="007F1DFD" w14:paraId="0ABE3452" w14:textId="77777777" w:rsidTr="005A0F55">
        <w:trPr>
          <w:trHeight w:val="271"/>
        </w:trPr>
        <w:tc>
          <w:tcPr>
            <w:tcW w:w="1375" w:type="dxa"/>
            <w:tcBorders>
              <w:top w:val="nil"/>
              <w:left w:val="nil"/>
              <w:bottom w:val="nil"/>
              <w:right w:val="nil"/>
            </w:tcBorders>
            <w:shd w:val="clear" w:color="auto" w:fill="auto"/>
            <w:noWrap/>
            <w:vAlign w:val="bottom"/>
            <w:hideMark/>
          </w:tcPr>
          <w:p w14:paraId="2FE751BD"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58378006" w14:textId="77777777" w:rsidR="0029498B" w:rsidRPr="007F1DFD" w:rsidRDefault="0029498B" w:rsidP="005A0F55">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hideMark/>
          </w:tcPr>
          <w:p w14:paraId="64374124"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36CAEF8D"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2254B629"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hideMark/>
          </w:tcPr>
          <w:p w14:paraId="26DD16BE"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r>
      <w:tr w:rsidR="0029498B" w:rsidRPr="007F1DFD" w14:paraId="13ACA6D6" w14:textId="77777777" w:rsidTr="005A0F55">
        <w:trPr>
          <w:trHeight w:val="340"/>
        </w:trPr>
        <w:tc>
          <w:tcPr>
            <w:tcW w:w="1375" w:type="dxa"/>
            <w:tcBorders>
              <w:top w:val="nil"/>
              <w:left w:val="nil"/>
              <w:bottom w:val="nil"/>
              <w:right w:val="nil"/>
            </w:tcBorders>
            <w:shd w:val="clear" w:color="auto" w:fill="auto"/>
            <w:noWrap/>
            <w:vAlign w:val="bottom"/>
          </w:tcPr>
          <w:p w14:paraId="3DE9D13B"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二零二</w:t>
            </w:r>
            <w:r>
              <w:rPr>
                <w:rFonts w:hint="eastAsia"/>
                <w:spacing w:val="0"/>
                <w:lang w:eastAsia="zh-HK"/>
              </w:rPr>
              <w:t>二年</w:t>
            </w:r>
          </w:p>
        </w:tc>
        <w:tc>
          <w:tcPr>
            <w:tcW w:w="1208" w:type="dxa"/>
            <w:tcBorders>
              <w:top w:val="nil"/>
              <w:left w:val="nil"/>
              <w:bottom w:val="nil"/>
              <w:right w:val="nil"/>
            </w:tcBorders>
            <w:shd w:val="clear" w:color="auto" w:fill="auto"/>
            <w:noWrap/>
            <w:vAlign w:val="bottom"/>
          </w:tcPr>
          <w:p w14:paraId="4E0C9B0D" w14:textId="77777777" w:rsidR="0029498B" w:rsidRPr="007F1DFD" w:rsidRDefault="0029498B" w:rsidP="005A0F55">
            <w:pPr>
              <w:pStyle w:val="100"/>
              <w:snapToGrid w:val="0"/>
              <w:spacing w:before="0" w:line="240" w:lineRule="auto"/>
              <w:ind w:left="300" w:hanging="300"/>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54A51AA9" w14:textId="77777777" w:rsidR="0029498B" w:rsidRPr="007F1DFD" w:rsidRDefault="0029498B" w:rsidP="005A0F55">
            <w:pPr>
              <w:pStyle w:val="100"/>
              <w:snapToGrid w:val="0"/>
              <w:spacing w:before="0" w:line="240" w:lineRule="auto"/>
              <w:ind w:left="300" w:hanging="300"/>
              <w:jc w:val="center"/>
              <w:rPr>
                <w:spacing w:val="0"/>
              </w:rPr>
            </w:pPr>
            <w:r>
              <w:rPr>
                <w:rFonts w:hint="eastAsia"/>
                <w:spacing w:val="0"/>
              </w:rPr>
              <w:t>11</w:t>
            </w:r>
            <w:r>
              <w:rPr>
                <w:spacing w:val="0"/>
              </w:rPr>
              <w:t xml:space="preserve"> </w:t>
            </w:r>
            <w:r>
              <w:rPr>
                <w:rFonts w:hint="eastAsia"/>
                <w:spacing w:val="0"/>
              </w:rPr>
              <w:t>500</w:t>
            </w:r>
          </w:p>
        </w:tc>
        <w:tc>
          <w:tcPr>
            <w:tcW w:w="1693" w:type="dxa"/>
            <w:tcBorders>
              <w:top w:val="nil"/>
              <w:left w:val="nil"/>
              <w:bottom w:val="nil"/>
              <w:right w:val="nil"/>
            </w:tcBorders>
            <w:shd w:val="clear" w:color="auto" w:fill="auto"/>
            <w:noWrap/>
            <w:vAlign w:val="bottom"/>
          </w:tcPr>
          <w:p w14:paraId="5CFCB689" w14:textId="77777777" w:rsidR="0029498B" w:rsidRPr="007F1DFD" w:rsidRDefault="0029498B" w:rsidP="005A0F55">
            <w:pPr>
              <w:pStyle w:val="100"/>
              <w:snapToGrid w:val="0"/>
              <w:spacing w:before="0" w:line="240" w:lineRule="auto"/>
              <w:ind w:left="300" w:hanging="300"/>
              <w:jc w:val="center"/>
              <w:rPr>
                <w:spacing w:val="0"/>
              </w:rPr>
            </w:pPr>
            <w:r>
              <w:rPr>
                <w:rFonts w:hint="eastAsia"/>
                <w:spacing w:val="0"/>
              </w:rPr>
              <w:t>8</w:t>
            </w:r>
            <w:r>
              <w:rPr>
                <w:spacing w:val="0"/>
              </w:rPr>
              <w:t xml:space="preserve"> </w:t>
            </w:r>
            <w:r>
              <w:rPr>
                <w:rFonts w:hint="eastAsia"/>
                <w:spacing w:val="0"/>
              </w:rPr>
              <w:t>600</w:t>
            </w:r>
          </w:p>
        </w:tc>
        <w:tc>
          <w:tcPr>
            <w:tcW w:w="1693" w:type="dxa"/>
            <w:tcBorders>
              <w:top w:val="nil"/>
              <w:left w:val="nil"/>
              <w:bottom w:val="nil"/>
              <w:right w:val="nil"/>
            </w:tcBorders>
            <w:shd w:val="clear" w:color="auto" w:fill="auto"/>
            <w:noWrap/>
            <w:vAlign w:val="bottom"/>
          </w:tcPr>
          <w:p w14:paraId="65F38A3F" w14:textId="77777777" w:rsidR="0029498B" w:rsidRPr="007F1DFD" w:rsidRDefault="0029498B" w:rsidP="005A0F55">
            <w:pPr>
              <w:pStyle w:val="100"/>
              <w:snapToGrid w:val="0"/>
              <w:spacing w:before="0" w:line="240" w:lineRule="auto"/>
              <w:ind w:left="300" w:hanging="300"/>
              <w:jc w:val="center"/>
              <w:rPr>
                <w:spacing w:val="0"/>
              </w:rPr>
            </w:pPr>
            <w:r>
              <w:rPr>
                <w:rFonts w:hint="eastAsia"/>
                <w:spacing w:val="0"/>
              </w:rPr>
              <w:t>2</w:t>
            </w:r>
            <w:r>
              <w:rPr>
                <w:spacing w:val="0"/>
              </w:rPr>
              <w:t xml:space="preserve"> </w:t>
            </w:r>
            <w:r>
              <w:rPr>
                <w:rFonts w:hint="eastAsia"/>
                <w:spacing w:val="0"/>
              </w:rPr>
              <w:t>000</w:t>
            </w:r>
          </w:p>
        </w:tc>
        <w:tc>
          <w:tcPr>
            <w:tcW w:w="1694" w:type="dxa"/>
            <w:tcBorders>
              <w:top w:val="nil"/>
              <w:left w:val="nil"/>
              <w:bottom w:val="nil"/>
              <w:right w:val="nil"/>
            </w:tcBorders>
            <w:shd w:val="clear" w:color="auto" w:fill="auto"/>
            <w:noWrap/>
            <w:vAlign w:val="bottom"/>
          </w:tcPr>
          <w:p w14:paraId="4B0B82FB" w14:textId="77777777" w:rsidR="0029498B" w:rsidRPr="007F1DFD" w:rsidRDefault="0029498B" w:rsidP="005A0F55">
            <w:pPr>
              <w:pStyle w:val="100"/>
              <w:snapToGrid w:val="0"/>
              <w:spacing w:before="0" w:line="240" w:lineRule="auto"/>
              <w:ind w:left="300" w:hanging="300"/>
              <w:jc w:val="center"/>
              <w:rPr>
                <w:spacing w:val="0"/>
              </w:rPr>
            </w:pPr>
            <w:r>
              <w:rPr>
                <w:rFonts w:hint="eastAsia"/>
                <w:spacing w:val="0"/>
              </w:rPr>
              <w:t>900</w:t>
            </w:r>
          </w:p>
        </w:tc>
      </w:tr>
      <w:tr w:rsidR="0029498B" w:rsidRPr="007F1DFD" w14:paraId="5A67AF5B" w14:textId="77777777" w:rsidTr="005A0F55">
        <w:trPr>
          <w:trHeight w:val="340"/>
        </w:trPr>
        <w:tc>
          <w:tcPr>
            <w:tcW w:w="1375" w:type="dxa"/>
            <w:tcBorders>
              <w:top w:val="nil"/>
              <w:left w:val="nil"/>
              <w:bottom w:val="nil"/>
              <w:right w:val="nil"/>
            </w:tcBorders>
            <w:shd w:val="clear" w:color="auto" w:fill="auto"/>
            <w:noWrap/>
            <w:vAlign w:val="bottom"/>
            <w:hideMark/>
          </w:tcPr>
          <w:p w14:paraId="61891670"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632EB774"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hideMark/>
          </w:tcPr>
          <w:p w14:paraId="1240C525"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64 500</w:t>
            </w:r>
          </w:p>
        </w:tc>
        <w:tc>
          <w:tcPr>
            <w:tcW w:w="1693" w:type="dxa"/>
            <w:tcBorders>
              <w:top w:val="nil"/>
              <w:left w:val="nil"/>
              <w:bottom w:val="nil"/>
              <w:right w:val="nil"/>
            </w:tcBorders>
            <w:shd w:val="clear" w:color="auto" w:fill="auto"/>
            <w:noWrap/>
            <w:vAlign w:val="bottom"/>
            <w:hideMark/>
          </w:tcPr>
          <w:p w14:paraId="59D7D469"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53 400</w:t>
            </w:r>
          </w:p>
        </w:tc>
        <w:tc>
          <w:tcPr>
            <w:tcW w:w="1693" w:type="dxa"/>
            <w:tcBorders>
              <w:top w:val="nil"/>
              <w:left w:val="nil"/>
              <w:bottom w:val="nil"/>
              <w:right w:val="nil"/>
            </w:tcBorders>
            <w:shd w:val="clear" w:color="auto" w:fill="auto"/>
            <w:noWrap/>
            <w:vAlign w:val="bottom"/>
            <w:hideMark/>
          </w:tcPr>
          <w:p w14:paraId="47FCB449"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5 700</w:t>
            </w:r>
          </w:p>
        </w:tc>
        <w:tc>
          <w:tcPr>
            <w:tcW w:w="1694" w:type="dxa"/>
            <w:tcBorders>
              <w:top w:val="nil"/>
              <w:left w:val="nil"/>
              <w:bottom w:val="nil"/>
              <w:right w:val="nil"/>
            </w:tcBorders>
            <w:shd w:val="clear" w:color="auto" w:fill="auto"/>
            <w:noWrap/>
            <w:vAlign w:val="bottom"/>
            <w:hideMark/>
          </w:tcPr>
          <w:p w14:paraId="449D1CD3"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5 500</w:t>
            </w:r>
          </w:p>
        </w:tc>
      </w:tr>
      <w:tr w:rsidR="0029498B" w:rsidRPr="007F1DFD" w14:paraId="22A750C4" w14:textId="77777777" w:rsidTr="005A0F55">
        <w:trPr>
          <w:trHeight w:val="340"/>
        </w:trPr>
        <w:tc>
          <w:tcPr>
            <w:tcW w:w="1375" w:type="dxa"/>
            <w:tcBorders>
              <w:top w:val="nil"/>
              <w:left w:val="nil"/>
              <w:bottom w:val="nil"/>
              <w:right w:val="nil"/>
            </w:tcBorders>
            <w:shd w:val="clear" w:color="auto" w:fill="auto"/>
            <w:noWrap/>
            <w:vAlign w:val="bottom"/>
          </w:tcPr>
          <w:p w14:paraId="56BF14B1"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7B89B3F2"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6CC94F76"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173 700</w:t>
            </w:r>
          </w:p>
        </w:tc>
        <w:tc>
          <w:tcPr>
            <w:tcW w:w="1693" w:type="dxa"/>
            <w:tcBorders>
              <w:top w:val="nil"/>
              <w:left w:val="nil"/>
              <w:bottom w:val="nil"/>
              <w:right w:val="nil"/>
            </w:tcBorders>
            <w:shd w:val="clear" w:color="auto" w:fill="auto"/>
            <w:noWrap/>
            <w:vAlign w:val="bottom"/>
          </w:tcPr>
          <w:p w14:paraId="01FA4826"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139 600</w:t>
            </w:r>
          </w:p>
        </w:tc>
        <w:tc>
          <w:tcPr>
            <w:tcW w:w="1693" w:type="dxa"/>
            <w:tcBorders>
              <w:top w:val="nil"/>
              <w:left w:val="nil"/>
              <w:bottom w:val="nil"/>
              <w:right w:val="nil"/>
            </w:tcBorders>
            <w:shd w:val="clear" w:color="auto" w:fill="auto"/>
            <w:noWrap/>
            <w:vAlign w:val="bottom"/>
          </w:tcPr>
          <w:p w14:paraId="79AE8B08"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17 300</w:t>
            </w:r>
          </w:p>
        </w:tc>
        <w:tc>
          <w:tcPr>
            <w:tcW w:w="1694" w:type="dxa"/>
            <w:tcBorders>
              <w:top w:val="nil"/>
              <w:left w:val="nil"/>
              <w:bottom w:val="nil"/>
              <w:right w:val="nil"/>
            </w:tcBorders>
            <w:shd w:val="clear" w:color="auto" w:fill="auto"/>
            <w:noWrap/>
            <w:vAlign w:val="bottom"/>
          </w:tcPr>
          <w:p w14:paraId="381898B6"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16 800</w:t>
            </w:r>
          </w:p>
        </w:tc>
      </w:tr>
      <w:tr w:rsidR="0029498B" w:rsidRPr="007F1DFD" w14:paraId="55B490C6" w14:textId="77777777" w:rsidTr="005A0F55">
        <w:trPr>
          <w:trHeight w:val="340"/>
        </w:trPr>
        <w:tc>
          <w:tcPr>
            <w:tcW w:w="1375" w:type="dxa"/>
            <w:tcBorders>
              <w:top w:val="nil"/>
              <w:left w:val="nil"/>
              <w:bottom w:val="nil"/>
              <w:right w:val="nil"/>
            </w:tcBorders>
            <w:shd w:val="clear" w:color="auto" w:fill="auto"/>
            <w:noWrap/>
            <w:vAlign w:val="bottom"/>
          </w:tcPr>
          <w:p w14:paraId="07D23018"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258BC7BC" w14:textId="77777777" w:rsidR="0029498B" w:rsidRPr="007F1DFD" w:rsidRDefault="0029498B" w:rsidP="005A0F55">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tcPr>
          <w:p w14:paraId="7E7A47EB"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354 900</w:t>
            </w:r>
          </w:p>
        </w:tc>
        <w:tc>
          <w:tcPr>
            <w:tcW w:w="1693" w:type="dxa"/>
            <w:tcBorders>
              <w:top w:val="nil"/>
              <w:left w:val="nil"/>
              <w:bottom w:val="nil"/>
              <w:right w:val="nil"/>
            </w:tcBorders>
            <w:shd w:val="clear" w:color="auto" w:fill="auto"/>
            <w:noWrap/>
            <w:vAlign w:val="bottom"/>
          </w:tcPr>
          <w:p w14:paraId="3425ED4B"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173 500</w:t>
            </w:r>
          </w:p>
        </w:tc>
        <w:tc>
          <w:tcPr>
            <w:tcW w:w="1693" w:type="dxa"/>
            <w:tcBorders>
              <w:top w:val="nil"/>
              <w:left w:val="nil"/>
              <w:bottom w:val="nil"/>
              <w:right w:val="nil"/>
            </w:tcBorders>
            <w:shd w:val="clear" w:color="auto" w:fill="auto"/>
            <w:noWrap/>
            <w:vAlign w:val="bottom"/>
          </w:tcPr>
          <w:p w14:paraId="2E0D37E1" w14:textId="77777777" w:rsidR="0029498B" w:rsidRPr="00006C9D" w:rsidRDefault="0029498B" w:rsidP="005A0F55">
            <w:pPr>
              <w:pStyle w:val="100"/>
              <w:snapToGrid w:val="0"/>
              <w:spacing w:before="0" w:line="240" w:lineRule="auto"/>
              <w:ind w:left="300" w:hanging="300"/>
              <w:jc w:val="center"/>
              <w:rPr>
                <w:spacing w:val="0"/>
              </w:rPr>
            </w:pPr>
            <w:r w:rsidRPr="00006C9D">
              <w:rPr>
                <w:spacing w:val="0"/>
              </w:rPr>
              <w:t>103 700</w:t>
            </w:r>
          </w:p>
        </w:tc>
        <w:tc>
          <w:tcPr>
            <w:tcW w:w="1694" w:type="dxa"/>
            <w:tcBorders>
              <w:top w:val="nil"/>
              <w:left w:val="nil"/>
              <w:bottom w:val="nil"/>
              <w:right w:val="nil"/>
            </w:tcBorders>
            <w:shd w:val="clear" w:color="auto" w:fill="auto"/>
            <w:noWrap/>
            <w:vAlign w:val="bottom"/>
          </w:tcPr>
          <w:p w14:paraId="4C258037" w14:textId="77777777" w:rsidR="0029498B" w:rsidRPr="00006C9D" w:rsidRDefault="0029498B" w:rsidP="005A0F55">
            <w:pPr>
              <w:pStyle w:val="100"/>
              <w:snapToGrid w:val="0"/>
              <w:spacing w:before="0" w:line="240" w:lineRule="auto"/>
              <w:ind w:left="300" w:hanging="300"/>
              <w:jc w:val="center"/>
              <w:rPr>
                <w:spacing w:val="0"/>
              </w:rPr>
            </w:pPr>
            <w:r>
              <w:rPr>
                <w:rFonts w:hint="eastAsia"/>
                <w:spacing w:val="0"/>
              </w:rPr>
              <w:t>77</w:t>
            </w:r>
            <w:r>
              <w:rPr>
                <w:spacing w:val="0"/>
              </w:rPr>
              <w:t xml:space="preserve"> </w:t>
            </w:r>
            <w:r>
              <w:rPr>
                <w:rFonts w:hint="eastAsia"/>
                <w:spacing w:val="0"/>
              </w:rPr>
              <w:t>600</w:t>
            </w:r>
          </w:p>
        </w:tc>
      </w:tr>
      <w:tr w:rsidR="0029498B" w:rsidRPr="007F1DFD" w14:paraId="17D8F0DD" w14:textId="77777777" w:rsidTr="005A0F55">
        <w:trPr>
          <w:trHeight w:val="267"/>
        </w:trPr>
        <w:tc>
          <w:tcPr>
            <w:tcW w:w="1375" w:type="dxa"/>
            <w:tcBorders>
              <w:top w:val="nil"/>
              <w:left w:val="nil"/>
              <w:bottom w:val="nil"/>
              <w:right w:val="nil"/>
            </w:tcBorders>
            <w:shd w:val="clear" w:color="auto" w:fill="auto"/>
            <w:noWrap/>
            <w:vAlign w:val="bottom"/>
          </w:tcPr>
          <w:p w14:paraId="0B22F11F"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5688E909" w14:textId="77777777" w:rsidR="0029498B" w:rsidRPr="007F1DFD" w:rsidRDefault="0029498B" w:rsidP="005A0F55">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5D60CFA4"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660AAA75"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423A2937"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4C4BED3C"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r>
      <w:tr w:rsidR="0029498B" w:rsidRPr="007F1DFD" w14:paraId="0EAD3E8D" w14:textId="77777777" w:rsidTr="005A0F55">
        <w:trPr>
          <w:trHeight w:val="340"/>
        </w:trPr>
        <w:tc>
          <w:tcPr>
            <w:tcW w:w="1375" w:type="dxa"/>
            <w:tcBorders>
              <w:top w:val="nil"/>
              <w:left w:val="nil"/>
              <w:bottom w:val="nil"/>
              <w:right w:val="nil"/>
            </w:tcBorders>
            <w:shd w:val="clear" w:color="auto" w:fill="auto"/>
            <w:noWrap/>
            <w:vAlign w:val="bottom"/>
          </w:tcPr>
          <w:p w14:paraId="789D0E7F" w14:textId="77777777" w:rsidR="0029498B" w:rsidRPr="007F1DFD" w:rsidRDefault="0029498B" w:rsidP="005A0F55">
            <w:pPr>
              <w:pStyle w:val="100"/>
              <w:snapToGrid w:val="0"/>
              <w:spacing w:before="0" w:line="240" w:lineRule="auto"/>
              <w:ind w:left="300" w:hanging="300"/>
              <w:rPr>
                <w:spacing w:val="0"/>
              </w:rPr>
            </w:pPr>
            <w:r>
              <w:rPr>
                <w:rFonts w:hint="eastAsia"/>
                <w:spacing w:val="0"/>
                <w:lang w:eastAsia="zh-HK"/>
              </w:rPr>
              <w:t>二零二三年</w:t>
            </w:r>
          </w:p>
        </w:tc>
        <w:tc>
          <w:tcPr>
            <w:tcW w:w="1208" w:type="dxa"/>
            <w:tcBorders>
              <w:top w:val="nil"/>
              <w:left w:val="nil"/>
              <w:bottom w:val="nil"/>
              <w:right w:val="nil"/>
            </w:tcBorders>
            <w:shd w:val="clear" w:color="auto" w:fill="auto"/>
            <w:noWrap/>
            <w:vAlign w:val="bottom"/>
          </w:tcPr>
          <w:p w14:paraId="3C421187" w14:textId="77777777" w:rsidR="0029498B" w:rsidRPr="007F1DFD" w:rsidRDefault="0029498B" w:rsidP="005A0F55">
            <w:pPr>
              <w:pStyle w:val="100"/>
              <w:snapToGrid w:val="0"/>
              <w:spacing w:before="0" w:line="240" w:lineRule="auto"/>
              <w:ind w:left="300" w:hanging="300"/>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4DA73764"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4 414 800</w:t>
            </w:r>
          </w:p>
        </w:tc>
        <w:tc>
          <w:tcPr>
            <w:tcW w:w="1693" w:type="dxa"/>
            <w:tcBorders>
              <w:top w:val="nil"/>
              <w:left w:val="nil"/>
              <w:bottom w:val="nil"/>
              <w:right w:val="nil"/>
            </w:tcBorders>
            <w:shd w:val="clear" w:color="auto" w:fill="auto"/>
            <w:noWrap/>
            <w:vAlign w:val="bottom"/>
          </w:tcPr>
          <w:p w14:paraId="2304DEE2"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3 361 200</w:t>
            </w:r>
          </w:p>
        </w:tc>
        <w:tc>
          <w:tcPr>
            <w:tcW w:w="1693" w:type="dxa"/>
            <w:tcBorders>
              <w:top w:val="nil"/>
              <w:left w:val="nil"/>
              <w:bottom w:val="nil"/>
              <w:right w:val="nil"/>
            </w:tcBorders>
            <w:shd w:val="clear" w:color="auto" w:fill="auto"/>
            <w:noWrap/>
            <w:vAlign w:val="bottom"/>
          </w:tcPr>
          <w:p w14:paraId="0CE738A1"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779 100</w:t>
            </w:r>
          </w:p>
        </w:tc>
        <w:tc>
          <w:tcPr>
            <w:tcW w:w="1694" w:type="dxa"/>
            <w:tcBorders>
              <w:top w:val="nil"/>
              <w:left w:val="nil"/>
              <w:bottom w:val="nil"/>
              <w:right w:val="nil"/>
            </w:tcBorders>
            <w:shd w:val="clear" w:color="auto" w:fill="auto"/>
            <w:noWrap/>
            <w:vAlign w:val="bottom"/>
          </w:tcPr>
          <w:p w14:paraId="1D7438A1" w14:textId="77777777" w:rsidR="0029498B" w:rsidRPr="00A46C8E" w:rsidRDefault="0029498B" w:rsidP="005A0F55">
            <w:pPr>
              <w:pStyle w:val="100"/>
              <w:snapToGrid w:val="0"/>
              <w:spacing w:before="0" w:line="240" w:lineRule="auto"/>
              <w:ind w:left="300" w:hanging="300"/>
              <w:jc w:val="center"/>
              <w:rPr>
                <w:spacing w:val="0"/>
              </w:rPr>
            </w:pPr>
            <w:r>
              <w:rPr>
                <w:spacing w:val="0"/>
              </w:rPr>
              <w:t>274 400</w:t>
            </w:r>
          </w:p>
        </w:tc>
      </w:tr>
      <w:tr w:rsidR="0029498B" w:rsidRPr="007F1DFD" w14:paraId="2EABF07D" w14:textId="77777777" w:rsidTr="005A0F55">
        <w:trPr>
          <w:trHeight w:val="340"/>
        </w:trPr>
        <w:tc>
          <w:tcPr>
            <w:tcW w:w="1375" w:type="dxa"/>
            <w:tcBorders>
              <w:top w:val="nil"/>
              <w:left w:val="nil"/>
              <w:bottom w:val="nil"/>
              <w:right w:val="nil"/>
            </w:tcBorders>
            <w:shd w:val="clear" w:color="auto" w:fill="auto"/>
            <w:noWrap/>
            <w:vAlign w:val="bottom"/>
          </w:tcPr>
          <w:p w14:paraId="27455455" w14:textId="77777777" w:rsidR="0029498B" w:rsidRDefault="0029498B" w:rsidP="005A0F55">
            <w:pPr>
              <w:pStyle w:val="100"/>
              <w:snapToGrid w:val="0"/>
              <w:spacing w:before="0" w:line="240" w:lineRule="auto"/>
              <w:ind w:left="300" w:hanging="300"/>
              <w:rPr>
                <w:spacing w:val="0"/>
                <w:lang w:eastAsia="zh-HK"/>
              </w:rPr>
            </w:pPr>
          </w:p>
        </w:tc>
        <w:tc>
          <w:tcPr>
            <w:tcW w:w="1208" w:type="dxa"/>
            <w:tcBorders>
              <w:top w:val="nil"/>
              <w:left w:val="nil"/>
              <w:bottom w:val="nil"/>
              <w:right w:val="nil"/>
            </w:tcBorders>
            <w:shd w:val="clear" w:color="auto" w:fill="auto"/>
            <w:noWrap/>
            <w:vAlign w:val="bottom"/>
          </w:tcPr>
          <w:p w14:paraId="29C101B2" w14:textId="77777777" w:rsidR="0029498B" w:rsidRDefault="0029498B" w:rsidP="005A0F55">
            <w:pPr>
              <w:pStyle w:val="100"/>
              <w:snapToGrid w:val="0"/>
              <w:spacing w:before="0" w:line="240" w:lineRule="auto"/>
              <w:ind w:left="300" w:hanging="300"/>
              <w:rPr>
                <w:spacing w:val="0"/>
                <w:lang w:eastAsia="zh-HK"/>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6C6AC1B5" w14:textId="77777777" w:rsidR="0029498B" w:rsidRPr="00AB7B8C" w:rsidRDefault="0029498B" w:rsidP="005A0F55">
            <w:pPr>
              <w:pStyle w:val="100"/>
              <w:snapToGrid w:val="0"/>
              <w:spacing w:before="0" w:line="240" w:lineRule="auto"/>
              <w:ind w:left="300" w:hanging="300"/>
              <w:jc w:val="center"/>
              <w:rPr>
                <w:rFonts w:eastAsia="Times New Roman"/>
                <w:color w:val="000000"/>
                <w:spacing w:val="0"/>
              </w:rPr>
            </w:pPr>
            <w:r w:rsidRPr="00EA0A1D">
              <w:rPr>
                <w:rFonts w:eastAsia="Times New Roman"/>
                <w:color w:val="000000"/>
                <w:spacing w:val="0"/>
              </w:rPr>
              <w:t>8 469 100</w:t>
            </w:r>
          </w:p>
        </w:tc>
        <w:tc>
          <w:tcPr>
            <w:tcW w:w="1693" w:type="dxa"/>
            <w:tcBorders>
              <w:top w:val="nil"/>
              <w:left w:val="nil"/>
              <w:bottom w:val="nil"/>
              <w:right w:val="nil"/>
            </w:tcBorders>
            <w:shd w:val="clear" w:color="auto" w:fill="auto"/>
            <w:noWrap/>
            <w:vAlign w:val="bottom"/>
          </w:tcPr>
          <w:p w14:paraId="569637DC" w14:textId="77777777" w:rsidR="0029498B" w:rsidRPr="00AB7B8C" w:rsidRDefault="0029498B" w:rsidP="005A0F55">
            <w:pPr>
              <w:pStyle w:val="100"/>
              <w:snapToGrid w:val="0"/>
              <w:spacing w:before="0" w:line="240" w:lineRule="auto"/>
              <w:ind w:left="300" w:hanging="300"/>
              <w:jc w:val="center"/>
              <w:rPr>
                <w:rFonts w:eastAsia="Times New Roman"/>
                <w:color w:val="000000"/>
                <w:spacing w:val="0"/>
              </w:rPr>
            </w:pPr>
            <w:r w:rsidRPr="00EA0A1D">
              <w:rPr>
                <w:rFonts w:eastAsia="Times New Roman"/>
                <w:color w:val="000000"/>
                <w:spacing w:val="0"/>
              </w:rPr>
              <w:t>6 </w:t>
            </w:r>
            <w:r>
              <w:rPr>
                <w:rFonts w:eastAsia="Times New Roman"/>
                <w:color w:val="000000"/>
                <w:spacing w:val="0"/>
              </w:rPr>
              <w:t>749</w:t>
            </w:r>
            <w:r w:rsidRPr="00EA0A1D">
              <w:rPr>
                <w:rFonts w:eastAsia="Times New Roman"/>
                <w:color w:val="000000"/>
                <w:spacing w:val="0"/>
              </w:rPr>
              <w:t> </w:t>
            </w:r>
            <w:r>
              <w:rPr>
                <w:rFonts w:eastAsia="Times New Roman"/>
                <w:color w:val="000000"/>
                <w:spacing w:val="0"/>
              </w:rPr>
              <w:t>6</w:t>
            </w:r>
            <w:r w:rsidRPr="00EA0A1D">
              <w:rPr>
                <w:rFonts w:eastAsia="Times New Roman"/>
                <w:color w:val="000000"/>
                <w:spacing w:val="0"/>
              </w:rPr>
              <w:t>00</w:t>
            </w:r>
          </w:p>
        </w:tc>
        <w:tc>
          <w:tcPr>
            <w:tcW w:w="1693" w:type="dxa"/>
            <w:tcBorders>
              <w:top w:val="nil"/>
              <w:left w:val="nil"/>
              <w:bottom w:val="nil"/>
              <w:right w:val="nil"/>
            </w:tcBorders>
            <w:shd w:val="clear" w:color="auto" w:fill="auto"/>
            <w:noWrap/>
            <w:vAlign w:val="bottom"/>
          </w:tcPr>
          <w:p w14:paraId="5BE9DD8B" w14:textId="77777777" w:rsidR="0029498B" w:rsidRPr="00990B2F" w:rsidRDefault="0029498B" w:rsidP="005A0F55">
            <w:pPr>
              <w:pStyle w:val="100"/>
              <w:snapToGrid w:val="0"/>
              <w:spacing w:before="0" w:line="240" w:lineRule="auto"/>
              <w:ind w:left="300" w:hanging="300"/>
              <w:jc w:val="center"/>
              <w:rPr>
                <w:rFonts w:eastAsia="Times New Roman"/>
                <w:color w:val="000000"/>
                <w:spacing w:val="0"/>
              </w:rPr>
            </w:pPr>
            <w:r w:rsidRPr="00990B2F">
              <w:rPr>
                <w:rFonts w:eastAsia="Times New Roman"/>
                <w:color w:val="000000"/>
                <w:spacing w:val="0"/>
              </w:rPr>
              <w:t>1 </w:t>
            </w:r>
            <w:r w:rsidRPr="00CD41F6">
              <w:rPr>
                <w:rFonts w:eastAsia="Times New Roman"/>
                <w:color w:val="000000"/>
                <w:spacing w:val="0"/>
              </w:rPr>
              <w:t>224</w:t>
            </w:r>
            <w:r w:rsidRPr="00990B2F">
              <w:rPr>
                <w:rFonts w:eastAsia="Times New Roman"/>
                <w:color w:val="000000"/>
                <w:spacing w:val="0"/>
              </w:rPr>
              <w:t> </w:t>
            </w:r>
            <w:r w:rsidRPr="00CD41F6">
              <w:rPr>
                <w:rFonts w:eastAsia="Times New Roman"/>
                <w:color w:val="000000"/>
                <w:spacing w:val="0"/>
              </w:rPr>
              <w:t>1</w:t>
            </w:r>
            <w:r w:rsidRPr="00990B2F">
              <w:rPr>
                <w:rFonts w:eastAsia="Times New Roman"/>
                <w:color w:val="000000"/>
                <w:spacing w:val="0"/>
              </w:rPr>
              <w:t>00</w:t>
            </w:r>
          </w:p>
        </w:tc>
        <w:tc>
          <w:tcPr>
            <w:tcW w:w="1694" w:type="dxa"/>
            <w:tcBorders>
              <w:top w:val="nil"/>
              <w:left w:val="nil"/>
              <w:bottom w:val="nil"/>
              <w:right w:val="nil"/>
            </w:tcBorders>
            <w:shd w:val="clear" w:color="auto" w:fill="auto"/>
            <w:noWrap/>
            <w:vAlign w:val="bottom"/>
          </w:tcPr>
          <w:p w14:paraId="35E5098B" w14:textId="77777777" w:rsidR="0029498B" w:rsidRPr="00990B2F" w:rsidRDefault="0029498B" w:rsidP="005A0F55">
            <w:pPr>
              <w:pStyle w:val="100"/>
              <w:snapToGrid w:val="0"/>
              <w:spacing w:before="0" w:line="240" w:lineRule="auto"/>
              <w:ind w:left="300" w:hanging="300"/>
              <w:jc w:val="center"/>
              <w:rPr>
                <w:spacing w:val="0"/>
              </w:rPr>
            </w:pPr>
            <w:r w:rsidRPr="00CD41F6">
              <w:rPr>
                <w:rFonts w:eastAsia="Times New Roman"/>
                <w:color w:val="000000"/>
                <w:spacing w:val="0"/>
              </w:rPr>
              <w:t>495</w:t>
            </w:r>
            <w:r w:rsidRPr="00990B2F">
              <w:rPr>
                <w:rFonts w:eastAsia="Times New Roman"/>
                <w:color w:val="000000"/>
                <w:spacing w:val="0"/>
              </w:rPr>
              <w:t> </w:t>
            </w:r>
            <w:r w:rsidRPr="00CD41F6">
              <w:rPr>
                <w:rFonts w:eastAsia="Times New Roman"/>
                <w:color w:val="000000"/>
                <w:spacing w:val="0"/>
              </w:rPr>
              <w:t>5</w:t>
            </w:r>
            <w:r w:rsidRPr="00990B2F">
              <w:rPr>
                <w:rFonts w:eastAsia="Times New Roman"/>
                <w:color w:val="000000"/>
                <w:spacing w:val="0"/>
              </w:rPr>
              <w:t>00</w:t>
            </w:r>
          </w:p>
        </w:tc>
      </w:tr>
      <w:tr w:rsidR="0029498B" w:rsidRPr="007F1DFD" w14:paraId="0ACF0263" w14:textId="77777777" w:rsidTr="005A0F55">
        <w:trPr>
          <w:trHeight w:val="340"/>
        </w:trPr>
        <w:tc>
          <w:tcPr>
            <w:tcW w:w="1375" w:type="dxa"/>
            <w:tcBorders>
              <w:top w:val="nil"/>
              <w:left w:val="nil"/>
              <w:bottom w:val="nil"/>
              <w:right w:val="nil"/>
            </w:tcBorders>
            <w:shd w:val="clear" w:color="auto" w:fill="auto"/>
            <w:noWrap/>
            <w:vAlign w:val="bottom"/>
          </w:tcPr>
          <w:p w14:paraId="1535C0D5" w14:textId="77777777" w:rsidR="0029498B" w:rsidRPr="007F1DFD" w:rsidRDefault="0029498B" w:rsidP="005A0F55">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4A33618D" w14:textId="77777777" w:rsidR="0029498B" w:rsidRPr="007F1DFD" w:rsidRDefault="0029498B" w:rsidP="005A0F55">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30324493"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137D99E4"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5485752D"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1EED25C7" w14:textId="77777777" w:rsidR="0029498B" w:rsidRPr="003203E0" w:rsidRDefault="0029498B" w:rsidP="005A0F55">
            <w:pPr>
              <w:pStyle w:val="100"/>
              <w:snapToGrid w:val="0"/>
              <w:spacing w:before="0" w:line="240" w:lineRule="auto"/>
              <w:ind w:left="300" w:hanging="300"/>
              <w:jc w:val="center"/>
              <w:rPr>
                <w:rFonts w:eastAsia="Times New Roman"/>
                <w:color w:val="000000"/>
                <w:spacing w:val="0"/>
              </w:rPr>
            </w:pPr>
          </w:p>
        </w:tc>
      </w:tr>
    </w:tbl>
    <w:p w14:paraId="429B4131" w14:textId="77777777" w:rsidR="0029498B" w:rsidRDefault="0029498B" w:rsidP="0029498B">
      <w:pPr>
        <w:pStyle w:val="aff8"/>
        <w:spacing w:before="180"/>
        <w:rPr>
          <w:lang w:eastAsia="zh-HK"/>
        </w:rPr>
      </w:pPr>
      <w:r>
        <w:rPr>
          <w:rFonts w:hint="eastAsia"/>
          <w:lang w:eastAsia="zh-HK"/>
        </w:rPr>
        <w:t>註：</w:t>
      </w:r>
      <w:r w:rsidRPr="00795AC1">
        <w:tab/>
        <w:t>(*)</w:t>
      </w:r>
      <w:r w:rsidRPr="00795AC1">
        <w:tab/>
      </w:r>
      <w:r w:rsidRPr="008E27FC">
        <w:rPr>
          <w:rFonts w:hint="eastAsia"/>
          <w:lang w:eastAsia="zh-HK"/>
        </w:rPr>
        <w:t>其</w:t>
      </w:r>
      <w:r w:rsidRPr="008E27FC">
        <w:rPr>
          <w:rFonts w:hint="eastAsia"/>
        </w:rPr>
        <w:t>他</w:t>
      </w:r>
      <w:r w:rsidRPr="008E27FC">
        <w:rPr>
          <w:rFonts w:hint="eastAsia"/>
          <w:lang w:eastAsia="zh-HK"/>
        </w:rPr>
        <w:t>短</w:t>
      </w:r>
      <w:r w:rsidRPr="008E27FC">
        <w:rPr>
          <w:rFonts w:hint="eastAsia"/>
        </w:rPr>
        <w:t>途市場</w:t>
      </w:r>
      <w:r w:rsidRPr="008E27FC">
        <w:rPr>
          <w:rFonts w:hint="eastAsia"/>
          <w:lang w:eastAsia="zh-HK"/>
        </w:rPr>
        <w:t>和長途市場的定義，見本章章末註</w:t>
      </w:r>
      <w:r>
        <w:rPr>
          <w:rFonts w:hint="eastAsia"/>
          <w:lang w:eastAsia="zh-HK"/>
        </w:rPr>
        <w:t>釋</w:t>
      </w:r>
      <w:r w:rsidRPr="008E27FC">
        <w:t>(</w:t>
      </w:r>
      <w:r>
        <w:t>5</w:t>
      </w:r>
      <w:r w:rsidRPr="008E27FC">
        <w:t>)</w:t>
      </w:r>
      <w:r w:rsidRPr="008E27FC">
        <w:rPr>
          <w:rFonts w:hint="eastAsia"/>
          <w:lang w:eastAsia="zh-HK"/>
        </w:rPr>
        <w:t>。</w:t>
      </w:r>
    </w:p>
    <w:p w14:paraId="5920DB9A" w14:textId="77777777" w:rsidR="0029498B" w:rsidRPr="00EE1F23" w:rsidRDefault="0029498B" w:rsidP="0029498B">
      <w:pPr>
        <w:pStyle w:val="aff8"/>
        <w:spacing w:before="180"/>
        <w:rPr>
          <w:lang w:eastAsia="zh-HK"/>
        </w:rPr>
      </w:pPr>
      <w:r>
        <w:rPr>
          <w:lang w:eastAsia="zh-HK"/>
        </w:rPr>
        <w:tab/>
      </w:r>
      <w:r>
        <w:rPr>
          <w:rFonts w:hint="eastAsia"/>
          <w:lang w:eastAsia="zh-HK"/>
        </w:rPr>
        <w:t>由</w:t>
      </w:r>
      <w:r>
        <w:rPr>
          <w:rFonts w:hint="eastAsia"/>
        </w:rPr>
        <w:t>於</w:t>
      </w:r>
      <w:r>
        <w:rPr>
          <w:rFonts w:hint="eastAsia"/>
          <w:lang w:eastAsia="zh-HK"/>
        </w:rPr>
        <w:t>進位關</w:t>
      </w:r>
      <w:r>
        <w:rPr>
          <w:rFonts w:hint="eastAsia"/>
        </w:rPr>
        <w:t>係</w:t>
      </w:r>
      <w:r>
        <w:rPr>
          <w:rFonts w:hint="eastAsia"/>
          <w:lang w:eastAsia="zh-HK"/>
        </w:rPr>
        <w:t>，數</w:t>
      </w:r>
      <w:r>
        <w:rPr>
          <w:rFonts w:hint="eastAsia"/>
        </w:rPr>
        <w:t>字</w:t>
      </w:r>
      <w:r>
        <w:rPr>
          <w:rFonts w:hint="eastAsia"/>
          <w:lang w:eastAsia="zh-HK"/>
        </w:rPr>
        <w:t>相加未必等於總數。</w:t>
      </w:r>
    </w:p>
    <w:p w14:paraId="5C9584E0" w14:textId="77777777" w:rsidR="0029498B" w:rsidRPr="00124E5B" w:rsidRDefault="0029498B" w:rsidP="0029498B">
      <w:pPr>
        <w:pStyle w:val="afff6"/>
      </w:pPr>
      <w:r w:rsidRPr="00124E5B">
        <w:rPr>
          <w:rFonts w:ascii="華康中黑體" w:hAnsi="華康中黑體" w:hint="eastAsia"/>
          <w:lang w:eastAsia="zh-HK"/>
        </w:rPr>
        <w:lastRenderedPageBreak/>
        <w:t>表</w:t>
      </w:r>
      <w:r w:rsidRPr="00124E5B">
        <w:rPr>
          <w:b/>
        </w:rPr>
        <w:t>3.2</w:t>
      </w:r>
      <w:r w:rsidRPr="00124E5B">
        <w:rPr>
          <w:rFonts w:ascii="華康中黑體" w:hAnsi="華康中黑體" w:hint="eastAsia"/>
          <w:b/>
          <w:lang w:eastAsia="zh-HK"/>
        </w:rPr>
        <w:t>：</w:t>
      </w:r>
      <w:r w:rsidRPr="00124E5B">
        <w:rPr>
          <w:rFonts w:hint="eastAsia"/>
          <w:lang w:eastAsia="zh-HK"/>
        </w:rPr>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29498B" w:rsidRPr="00124E5B" w14:paraId="0A9052A7" w14:textId="77777777" w:rsidTr="005A0F55">
        <w:trPr>
          <w:trHeight w:val="340"/>
        </w:trPr>
        <w:tc>
          <w:tcPr>
            <w:tcW w:w="1698" w:type="dxa"/>
            <w:tcBorders>
              <w:top w:val="nil"/>
              <w:left w:val="nil"/>
              <w:bottom w:val="nil"/>
              <w:right w:val="nil"/>
            </w:tcBorders>
            <w:shd w:val="clear" w:color="auto" w:fill="auto"/>
            <w:noWrap/>
            <w:vAlign w:val="bottom"/>
            <w:hideMark/>
          </w:tcPr>
          <w:p w14:paraId="6F176EB9" w14:textId="77777777" w:rsidR="0029498B" w:rsidRPr="00124E5B" w:rsidRDefault="0029498B" w:rsidP="005A0F55">
            <w:pPr>
              <w:pStyle w:val="100"/>
              <w:snapToGrid w:val="0"/>
              <w:spacing w:before="0" w:line="240" w:lineRule="auto"/>
              <w:ind w:left="300" w:hanging="300"/>
              <w:rPr>
                <w:spacing w:val="0"/>
              </w:rPr>
            </w:pPr>
          </w:p>
          <w:p w14:paraId="70FF97E1"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18728981" w14:textId="77777777" w:rsidR="0029498B" w:rsidRPr="00124E5B" w:rsidRDefault="0029498B" w:rsidP="005A0F55">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7D11C997" w14:textId="77777777" w:rsidR="0029498B" w:rsidRPr="00124E5B" w:rsidRDefault="0029498B" w:rsidP="005A0F55">
            <w:pPr>
              <w:pStyle w:val="100"/>
              <w:snapToGrid w:val="0"/>
              <w:spacing w:before="0" w:line="240" w:lineRule="auto"/>
              <w:ind w:left="300" w:hanging="300"/>
              <w:jc w:val="center"/>
              <w:rPr>
                <w:rFonts w:cs="華康細明體"/>
                <w:spacing w:val="0"/>
                <w:u w:val="single"/>
              </w:rPr>
            </w:pPr>
            <w:r w:rsidRPr="00124E5B">
              <w:rPr>
                <w:rFonts w:cs="華康細明體" w:hint="eastAsia"/>
                <w:spacing w:val="0"/>
                <w:u w:val="single"/>
                <w:lang w:eastAsia="zh-HK"/>
              </w:rPr>
              <w:t>過夜旅客人次</w:t>
            </w:r>
          </w:p>
        </w:tc>
        <w:tc>
          <w:tcPr>
            <w:tcW w:w="2403" w:type="dxa"/>
            <w:tcBorders>
              <w:top w:val="nil"/>
              <w:left w:val="nil"/>
              <w:bottom w:val="nil"/>
              <w:right w:val="nil"/>
            </w:tcBorders>
            <w:vAlign w:val="bottom"/>
          </w:tcPr>
          <w:p w14:paraId="2E6F9ABF" w14:textId="77777777" w:rsidR="0029498B" w:rsidRPr="00124E5B" w:rsidRDefault="0029498B" w:rsidP="005A0F55">
            <w:pPr>
              <w:pStyle w:val="100"/>
              <w:snapToGrid w:val="0"/>
              <w:spacing w:before="0" w:line="240" w:lineRule="auto"/>
              <w:ind w:left="300" w:hanging="300"/>
              <w:jc w:val="center"/>
              <w:rPr>
                <w:rFonts w:cs="華康細明體"/>
                <w:spacing w:val="0"/>
                <w:u w:val="single"/>
              </w:rPr>
            </w:pPr>
            <w:r w:rsidRPr="00124E5B">
              <w:rPr>
                <w:rFonts w:cs="華康細明體" w:hint="eastAsia"/>
                <w:spacing w:val="0"/>
                <w:u w:val="single"/>
                <w:lang w:eastAsia="zh-HK"/>
              </w:rPr>
              <w:t>不過夜旅客人次</w:t>
            </w:r>
          </w:p>
        </w:tc>
      </w:tr>
      <w:tr w:rsidR="0029498B" w:rsidRPr="00124E5B" w14:paraId="0C341864" w14:textId="77777777" w:rsidTr="005A0F55">
        <w:trPr>
          <w:trHeight w:val="340"/>
        </w:trPr>
        <w:tc>
          <w:tcPr>
            <w:tcW w:w="1698" w:type="dxa"/>
            <w:tcBorders>
              <w:top w:val="nil"/>
              <w:left w:val="nil"/>
              <w:bottom w:val="nil"/>
              <w:right w:val="nil"/>
            </w:tcBorders>
            <w:shd w:val="clear" w:color="auto" w:fill="auto"/>
            <w:noWrap/>
            <w:vAlign w:val="bottom"/>
          </w:tcPr>
          <w:p w14:paraId="5DBF8C29"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二零一九年</w:t>
            </w:r>
          </w:p>
        </w:tc>
        <w:tc>
          <w:tcPr>
            <w:tcW w:w="1491" w:type="dxa"/>
            <w:tcBorders>
              <w:top w:val="nil"/>
              <w:left w:val="nil"/>
              <w:bottom w:val="nil"/>
              <w:right w:val="nil"/>
            </w:tcBorders>
            <w:shd w:val="clear" w:color="auto" w:fill="auto"/>
            <w:noWrap/>
            <w:vAlign w:val="bottom"/>
          </w:tcPr>
          <w:p w14:paraId="1870E347"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3DCBE13A"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7 775 100</w:t>
            </w:r>
          </w:p>
        </w:tc>
        <w:tc>
          <w:tcPr>
            <w:tcW w:w="2403" w:type="dxa"/>
            <w:tcBorders>
              <w:top w:val="nil"/>
              <w:left w:val="nil"/>
              <w:bottom w:val="nil"/>
              <w:right w:val="nil"/>
            </w:tcBorders>
            <w:vAlign w:val="bottom"/>
          </w:tcPr>
          <w:p w14:paraId="518C3E05"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10 459 300</w:t>
            </w:r>
          </w:p>
        </w:tc>
      </w:tr>
      <w:tr w:rsidR="0029498B" w:rsidRPr="00124E5B" w14:paraId="2E4D499D" w14:textId="77777777" w:rsidTr="005A0F55">
        <w:trPr>
          <w:trHeight w:val="340"/>
        </w:trPr>
        <w:tc>
          <w:tcPr>
            <w:tcW w:w="1698" w:type="dxa"/>
            <w:tcBorders>
              <w:top w:val="nil"/>
              <w:left w:val="nil"/>
              <w:bottom w:val="nil"/>
              <w:right w:val="nil"/>
            </w:tcBorders>
            <w:shd w:val="clear" w:color="auto" w:fill="auto"/>
            <w:noWrap/>
            <w:vAlign w:val="bottom"/>
            <w:hideMark/>
          </w:tcPr>
          <w:p w14:paraId="45986E3F"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03CA5064"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037AB638"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7 145 100</w:t>
            </w:r>
          </w:p>
        </w:tc>
        <w:tc>
          <w:tcPr>
            <w:tcW w:w="2403" w:type="dxa"/>
            <w:tcBorders>
              <w:top w:val="nil"/>
              <w:left w:val="nil"/>
              <w:bottom w:val="nil"/>
              <w:right w:val="nil"/>
            </w:tcBorders>
            <w:vAlign w:val="bottom"/>
          </w:tcPr>
          <w:p w14:paraId="15AD2410"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9 492 400</w:t>
            </w:r>
          </w:p>
        </w:tc>
      </w:tr>
      <w:tr w:rsidR="0029498B" w:rsidRPr="00124E5B" w14:paraId="615C0525" w14:textId="77777777" w:rsidTr="005A0F55">
        <w:trPr>
          <w:trHeight w:val="340"/>
        </w:trPr>
        <w:tc>
          <w:tcPr>
            <w:tcW w:w="1698" w:type="dxa"/>
            <w:tcBorders>
              <w:top w:val="nil"/>
              <w:left w:val="nil"/>
              <w:bottom w:val="nil"/>
              <w:right w:val="nil"/>
            </w:tcBorders>
            <w:shd w:val="clear" w:color="auto" w:fill="auto"/>
            <w:noWrap/>
            <w:vAlign w:val="bottom"/>
            <w:hideMark/>
          </w:tcPr>
          <w:p w14:paraId="660DD0AB"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3B0B18A6"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33BD5AB1"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5 108 400</w:t>
            </w:r>
          </w:p>
        </w:tc>
        <w:tc>
          <w:tcPr>
            <w:tcW w:w="2403" w:type="dxa"/>
            <w:tcBorders>
              <w:top w:val="nil"/>
              <w:left w:val="nil"/>
              <w:bottom w:val="nil"/>
              <w:right w:val="nil"/>
            </w:tcBorders>
            <w:vAlign w:val="bottom"/>
          </w:tcPr>
          <w:p w14:paraId="024D0F99"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6 783 200</w:t>
            </w:r>
          </w:p>
        </w:tc>
      </w:tr>
      <w:tr w:rsidR="0029498B" w:rsidRPr="00124E5B" w14:paraId="3C8DB6C2" w14:textId="77777777" w:rsidTr="005A0F55">
        <w:trPr>
          <w:trHeight w:val="340"/>
        </w:trPr>
        <w:tc>
          <w:tcPr>
            <w:tcW w:w="1698" w:type="dxa"/>
            <w:tcBorders>
              <w:top w:val="nil"/>
              <w:left w:val="nil"/>
              <w:bottom w:val="nil"/>
              <w:right w:val="nil"/>
            </w:tcBorders>
            <w:shd w:val="clear" w:color="auto" w:fill="auto"/>
            <w:noWrap/>
            <w:vAlign w:val="bottom"/>
            <w:hideMark/>
          </w:tcPr>
          <w:p w14:paraId="223E4EDD"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4B642669"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5C2277D7"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3 723 700</w:t>
            </w:r>
          </w:p>
        </w:tc>
        <w:tc>
          <w:tcPr>
            <w:tcW w:w="2403" w:type="dxa"/>
            <w:tcBorders>
              <w:top w:val="nil"/>
              <w:left w:val="nil"/>
              <w:bottom w:val="nil"/>
              <w:right w:val="nil"/>
            </w:tcBorders>
            <w:vAlign w:val="bottom"/>
          </w:tcPr>
          <w:p w14:paraId="315C49F3"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5 425 500</w:t>
            </w:r>
          </w:p>
        </w:tc>
      </w:tr>
      <w:tr w:rsidR="0029498B" w:rsidRPr="00124E5B" w14:paraId="12D725B4" w14:textId="77777777" w:rsidTr="005A0F55">
        <w:trPr>
          <w:trHeight w:val="340"/>
        </w:trPr>
        <w:tc>
          <w:tcPr>
            <w:tcW w:w="1698" w:type="dxa"/>
            <w:tcBorders>
              <w:top w:val="nil"/>
              <w:left w:val="nil"/>
              <w:bottom w:val="nil"/>
              <w:right w:val="nil"/>
            </w:tcBorders>
            <w:shd w:val="clear" w:color="auto" w:fill="auto"/>
            <w:noWrap/>
            <w:vAlign w:val="bottom"/>
          </w:tcPr>
          <w:p w14:paraId="23A91542"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28A14438" w14:textId="77777777" w:rsidR="0029498B" w:rsidRPr="00124E5B" w:rsidRDefault="0029498B" w:rsidP="005A0F55">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4DC2D782" w14:textId="77777777" w:rsidR="0029498B" w:rsidRPr="00124E5B" w:rsidRDefault="0029498B" w:rsidP="005A0F55">
            <w:pPr>
              <w:pStyle w:val="100"/>
              <w:snapToGrid w:val="0"/>
              <w:spacing w:before="0" w:line="240" w:lineRule="auto"/>
              <w:ind w:left="300" w:hanging="300"/>
              <w:jc w:val="center"/>
              <w:rPr>
                <w:spacing w:val="0"/>
              </w:rPr>
            </w:pPr>
          </w:p>
        </w:tc>
        <w:tc>
          <w:tcPr>
            <w:tcW w:w="2403" w:type="dxa"/>
            <w:tcBorders>
              <w:top w:val="nil"/>
              <w:left w:val="nil"/>
              <w:bottom w:val="nil"/>
              <w:right w:val="nil"/>
            </w:tcBorders>
            <w:vAlign w:val="bottom"/>
          </w:tcPr>
          <w:p w14:paraId="46D274C9" w14:textId="77777777" w:rsidR="0029498B" w:rsidRPr="00124E5B" w:rsidRDefault="0029498B" w:rsidP="005A0F55">
            <w:pPr>
              <w:pStyle w:val="100"/>
              <w:snapToGrid w:val="0"/>
              <w:spacing w:before="0" w:line="240" w:lineRule="auto"/>
              <w:ind w:left="300" w:hanging="300"/>
              <w:jc w:val="center"/>
              <w:rPr>
                <w:spacing w:val="0"/>
              </w:rPr>
            </w:pPr>
          </w:p>
        </w:tc>
      </w:tr>
      <w:tr w:rsidR="0029498B" w:rsidRPr="00124E5B" w14:paraId="205E13A4" w14:textId="77777777" w:rsidTr="005A0F55">
        <w:trPr>
          <w:trHeight w:val="340"/>
        </w:trPr>
        <w:tc>
          <w:tcPr>
            <w:tcW w:w="1698" w:type="dxa"/>
            <w:tcBorders>
              <w:top w:val="nil"/>
              <w:left w:val="nil"/>
              <w:bottom w:val="nil"/>
              <w:right w:val="nil"/>
            </w:tcBorders>
            <w:shd w:val="clear" w:color="auto" w:fill="auto"/>
            <w:noWrap/>
            <w:vAlign w:val="bottom"/>
          </w:tcPr>
          <w:p w14:paraId="62CE2655"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二零二零年</w:t>
            </w:r>
          </w:p>
        </w:tc>
        <w:tc>
          <w:tcPr>
            <w:tcW w:w="1491" w:type="dxa"/>
            <w:tcBorders>
              <w:top w:val="nil"/>
              <w:left w:val="nil"/>
              <w:bottom w:val="nil"/>
              <w:right w:val="nil"/>
            </w:tcBorders>
            <w:shd w:val="clear" w:color="auto" w:fill="auto"/>
            <w:noWrap/>
            <w:vAlign w:val="bottom"/>
          </w:tcPr>
          <w:p w14:paraId="19A170B6"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616DA3D2"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1 280 900</w:t>
            </w:r>
          </w:p>
        </w:tc>
        <w:tc>
          <w:tcPr>
            <w:tcW w:w="2403" w:type="dxa"/>
            <w:tcBorders>
              <w:top w:val="nil"/>
              <w:left w:val="nil"/>
              <w:bottom w:val="nil"/>
              <w:right w:val="nil"/>
            </w:tcBorders>
            <w:vAlign w:val="bottom"/>
          </w:tcPr>
          <w:p w14:paraId="4632A7D9"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2 208 300</w:t>
            </w:r>
          </w:p>
        </w:tc>
      </w:tr>
      <w:tr w:rsidR="0029498B" w:rsidRPr="00124E5B" w14:paraId="3F8DFBCC" w14:textId="77777777" w:rsidTr="005A0F55">
        <w:trPr>
          <w:trHeight w:val="340"/>
        </w:trPr>
        <w:tc>
          <w:tcPr>
            <w:tcW w:w="1698" w:type="dxa"/>
            <w:tcBorders>
              <w:top w:val="nil"/>
              <w:left w:val="nil"/>
              <w:bottom w:val="nil"/>
              <w:right w:val="nil"/>
            </w:tcBorders>
            <w:shd w:val="clear" w:color="auto" w:fill="auto"/>
            <w:noWrap/>
            <w:vAlign w:val="bottom"/>
            <w:hideMark/>
          </w:tcPr>
          <w:p w14:paraId="54242BF4"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0AB72462"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2EFB76EE"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26 500</w:t>
            </w:r>
          </w:p>
        </w:tc>
        <w:tc>
          <w:tcPr>
            <w:tcW w:w="2403" w:type="dxa"/>
            <w:tcBorders>
              <w:top w:val="nil"/>
              <w:left w:val="nil"/>
              <w:bottom w:val="nil"/>
              <w:right w:val="nil"/>
            </w:tcBorders>
            <w:vAlign w:val="bottom"/>
          </w:tcPr>
          <w:p w14:paraId="000E4C33"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300</w:t>
            </w:r>
          </w:p>
        </w:tc>
      </w:tr>
      <w:tr w:rsidR="0029498B" w:rsidRPr="00124E5B" w14:paraId="4E71C92E" w14:textId="77777777" w:rsidTr="005A0F55">
        <w:trPr>
          <w:trHeight w:val="340"/>
        </w:trPr>
        <w:tc>
          <w:tcPr>
            <w:tcW w:w="1698" w:type="dxa"/>
            <w:tcBorders>
              <w:top w:val="nil"/>
              <w:left w:val="nil"/>
              <w:bottom w:val="nil"/>
              <w:right w:val="nil"/>
            </w:tcBorders>
            <w:shd w:val="clear" w:color="auto" w:fill="auto"/>
            <w:noWrap/>
            <w:vAlign w:val="bottom"/>
            <w:hideMark/>
          </w:tcPr>
          <w:p w14:paraId="45018E96"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7C7F0EC"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7C72852B"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33 800</w:t>
            </w:r>
          </w:p>
        </w:tc>
        <w:tc>
          <w:tcPr>
            <w:tcW w:w="2403" w:type="dxa"/>
            <w:tcBorders>
              <w:top w:val="nil"/>
              <w:left w:val="nil"/>
              <w:bottom w:val="nil"/>
              <w:right w:val="nil"/>
            </w:tcBorders>
            <w:vAlign w:val="bottom"/>
          </w:tcPr>
          <w:p w14:paraId="506BB0FD"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300</w:t>
            </w:r>
          </w:p>
        </w:tc>
      </w:tr>
      <w:tr w:rsidR="0029498B" w:rsidRPr="00124E5B" w14:paraId="39A866C2" w14:textId="77777777" w:rsidTr="005A0F55">
        <w:trPr>
          <w:trHeight w:val="340"/>
        </w:trPr>
        <w:tc>
          <w:tcPr>
            <w:tcW w:w="1698" w:type="dxa"/>
            <w:tcBorders>
              <w:top w:val="nil"/>
              <w:left w:val="nil"/>
              <w:bottom w:val="nil"/>
              <w:right w:val="nil"/>
            </w:tcBorders>
            <w:shd w:val="clear" w:color="auto" w:fill="auto"/>
            <w:noWrap/>
            <w:vAlign w:val="bottom"/>
            <w:hideMark/>
          </w:tcPr>
          <w:p w14:paraId="7E3FB96E"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DB9BB5A"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0955586C"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18 100</w:t>
            </w:r>
          </w:p>
        </w:tc>
        <w:tc>
          <w:tcPr>
            <w:tcW w:w="2403" w:type="dxa"/>
            <w:tcBorders>
              <w:top w:val="nil"/>
              <w:left w:val="nil"/>
              <w:bottom w:val="nil"/>
              <w:right w:val="nil"/>
            </w:tcBorders>
            <w:vAlign w:val="bottom"/>
          </w:tcPr>
          <w:p w14:paraId="2A2DC9EE"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500</w:t>
            </w:r>
          </w:p>
        </w:tc>
      </w:tr>
      <w:tr w:rsidR="0029498B" w:rsidRPr="00124E5B" w14:paraId="02672193" w14:textId="77777777" w:rsidTr="005A0F55">
        <w:trPr>
          <w:trHeight w:val="340"/>
        </w:trPr>
        <w:tc>
          <w:tcPr>
            <w:tcW w:w="1698" w:type="dxa"/>
            <w:tcBorders>
              <w:top w:val="nil"/>
              <w:left w:val="nil"/>
              <w:bottom w:val="nil"/>
              <w:right w:val="nil"/>
            </w:tcBorders>
            <w:shd w:val="clear" w:color="auto" w:fill="auto"/>
            <w:noWrap/>
            <w:vAlign w:val="bottom"/>
          </w:tcPr>
          <w:p w14:paraId="0C7AFC44"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652C83BC" w14:textId="77777777" w:rsidR="0029498B" w:rsidRPr="00124E5B" w:rsidRDefault="0029498B" w:rsidP="005A0F55">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77C6A4A0" w14:textId="77777777" w:rsidR="0029498B" w:rsidRPr="00124E5B" w:rsidRDefault="0029498B" w:rsidP="005A0F55">
            <w:pPr>
              <w:pStyle w:val="100"/>
              <w:snapToGrid w:val="0"/>
              <w:spacing w:before="0" w:line="240" w:lineRule="auto"/>
              <w:ind w:left="300" w:hanging="300"/>
              <w:jc w:val="center"/>
              <w:rPr>
                <w:spacing w:val="0"/>
              </w:rPr>
            </w:pPr>
          </w:p>
        </w:tc>
        <w:tc>
          <w:tcPr>
            <w:tcW w:w="2403" w:type="dxa"/>
            <w:tcBorders>
              <w:top w:val="nil"/>
              <w:left w:val="nil"/>
              <w:bottom w:val="nil"/>
              <w:right w:val="nil"/>
            </w:tcBorders>
            <w:vAlign w:val="bottom"/>
          </w:tcPr>
          <w:p w14:paraId="1AA68C75" w14:textId="77777777" w:rsidR="0029498B" w:rsidRPr="00124E5B" w:rsidRDefault="0029498B" w:rsidP="005A0F55">
            <w:pPr>
              <w:pStyle w:val="100"/>
              <w:snapToGrid w:val="0"/>
              <w:spacing w:before="0" w:line="240" w:lineRule="auto"/>
              <w:ind w:left="300" w:hanging="300"/>
              <w:jc w:val="center"/>
              <w:rPr>
                <w:spacing w:val="0"/>
              </w:rPr>
            </w:pPr>
          </w:p>
        </w:tc>
      </w:tr>
      <w:tr w:rsidR="0029498B" w:rsidRPr="00124E5B" w14:paraId="4595ECD5" w14:textId="77777777" w:rsidTr="005A0F55">
        <w:trPr>
          <w:trHeight w:val="340"/>
        </w:trPr>
        <w:tc>
          <w:tcPr>
            <w:tcW w:w="1698" w:type="dxa"/>
            <w:tcBorders>
              <w:top w:val="nil"/>
              <w:left w:val="nil"/>
              <w:bottom w:val="nil"/>
              <w:right w:val="nil"/>
            </w:tcBorders>
            <w:shd w:val="clear" w:color="auto" w:fill="auto"/>
            <w:noWrap/>
            <w:vAlign w:val="bottom"/>
          </w:tcPr>
          <w:p w14:paraId="497FB94D"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二零二一年</w:t>
            </w:r>
          </w:p>
        </w:tc>
        <w:tc>
          <w:tcPr>
            <w:tcW w:w="1491" w:type="dxa"/>
            <w:tcBorders>
              <w:top w:val="nil"/>
              <w:left w:val="nil"/>
              <w:bottom w:val="nil"/>
              <w:right w:val="nil"/>
            </w:tcBorders>
            <w:shd w:val="clear" w:color="auto" w:fill="auto"/>
            <w:noWrap/>
            <w:vAlign w:val="bottom"/>
          </w:tcPr>
          <w:p w14:paraId="43F4A1F5"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1AF5FC76"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16 300</w:t>
            </w:r>
          </w:p>
        </w:tc>
        <w:tc>
          <w:tcPr>
            <w:tcW w:w="2403" w:type="dxa"/>
            <w:tcBorders>
              <w:top w:val="nil"/>
              <w:left w:val="nil"/>
              <w:bottom w:val="nil"/>
              <w:right w:val="nil"/>
            </w:tcBorders>
            <w:vAlign w:val="bottom"/>
          </w:tcPr>
          <w:p w14:paraId="69E30724"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200</w:t>
            </w:r>
          </w:p>
        </w:tc>
      </w:tr>
      <w:tr w:rsidR="0029498B" w:rsidRPr="00124E5B" w14:paraId="7C3041F6" w14:textId="77777777" w:rsidTr="005A0F55">
        <w:trPr>
          <w:trHeight w:val="340"/>
        </w:trPr>
        <w:tc>
          <w:tcPr>
            <w:tcW w:w="1698" w:type="dxa"/>
            <w:tcBorders>
              <w:top w:val="nil"/>
              <w:left w:val="nil"/>
              <w:bottom w:val="nil"/>
              <w:right w:val="nil"/>
            </w:tcBorders>
            <w:shd w:val="clear" w:color="auto" w:fill="auto"/>
            <w:noWrap/>
            <w:vAlign w:val="bottom"/>
            <w:hideMark/>
          </w:tcPr>
          <w:p w14:paraId="23AB91C7"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08045670"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2974C3AE"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16 900</w:t>
            </w:r>
          </w:p>
        </w:tc>
        <w:tc>
          <w:tcPr>
            <w:tcW w:w="2403" w:type="dxa"/>
            <w:tcBorders>
              <w:top w:val="nil"/>
              <w:left w:val="nil"/>
              <w:bottom w:val="nil"/>
              <w:right w:val="nil"/>
            </w:tcBorders>
            <w:vAlign w:val="bottom"/>
          </w:tcPr>
          <w:p w14:paraId="7F83BE80"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300</w:t>
            </w:r>
          </w:p>
        </w:tc>
      </w:tr>
      <w:tr w:rsidR="0029498B" w:rsidRPr="00124E5B" w14:paraId="55098249" w14:textId="77777777" w:rsidTr="005A0F55">
        <w:trPr>
          <w:trHeight w:val="340"/>
        </w:trPr>
        <w:tc>
          <w:tcPr>
            <w:tcW w:w="1698" w:type="dxa"/>
            <w:tcBorders>
              <w:top w:val="nil"/>
              <w:left w:val="nil"/>
              <w:bottom w:val="nil"/>
              <w:right w:val="nil"/>
            </w:tcBorders>
            <w:shd w:val="clear" w:color="auto" w:fill="auto"/>
            <w:noWrap/>
            <w:vAlign w:val="bottom"/>
          </w:tcPr>
          <w:p w14:paraId="625F782C"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039208EE"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146D36E1" w14:textId="77777777" w:rsidR="0029498B" w:rsidRPr="00124E5B" w:rsidRDefault="0029498B" w:rsidP="005A0F55">
            <w:pPr>
              <w:pStyle w:val="100"/>
              <w:snapToGrid w:val="0"/>
              <w:spacing w:line="240" w:lineRule="auto"/>
              <w:ind w:left="300" w:hanging="300"/>
              <w:jc w:val="center"/>
              <w:rPr>
                <w:spacing w:val="0"/>
              </w:rPr>
            </w:pPr>
            <w:r w:rsidRPr="00124E5B">
              <w:rPr>
                <w:rFonts w:eastAsia="Times New Roman"/>
                <w:spacing w:val="0"/>
              </w:rPr>
              <w:t>29 000</w:t>
            </w:r>
          </w:p>
        </w:tc>
        <w:tc>
          <w:tcPr>
            <w:tcW w:w="2403" w:type="dxa"/>
            <w:tcBorders>
              <w:top w:val="nil"/>
              <w:left w:val="nil"/>
              <w:bottom w:val="nil"/>
              <w:right w:val="nil"/>
            </w:tcBorders>
            <w:vAlign w:val="bottom"/>
          </w:tcPr>
          <w:p w14:paraId="3CDF13DB" w14:textId="77777777" w:rsidR="0029498B" w:rsidRPr="00124E5B" w:rsidRDefault="0029498B" w:rsidP="005A0F55">
            <w:pPr>
              <w:pStyle w:val="100"/>
              <w:snapToGrid w:val="0"/>
              <w:spacing w:line="240" w:lineRule="auto"/>
              <w:ind w:left="300" w:hanging="300"/>
              <w:jc w:val="center"/>
              <w:rPr>
                <w:spacing w:val="0"/>
              </w:rPr>
            </w:pPr>
            <w:r w:rsidRPr="00124E5B">
              <w:rPr>
                <w:rFonts w:eastAsia="Times New Roman"/>
                <w:spacing w:val="0"/>
              </w:rPr>
              <w:t>300</w:t>
            </w:r>
          </w:p>
        </w:tc>
      </w:tr>
      <w:tr w:rsidR="0029498B" w:rsidRPr="00124E5B" w14:paraId="382D348D" w14:textId="77777777" w:rsidTr="005A0F55">
        <w:trPr>
          <w:trHeight w:val="340"/>
        </w:trPr>
        <w:tc>
          <w:tcPr>
            <w:tcW w:w="1698" w:type="dxa"/>
            <w:tcBorders>
              <w:top w:val="nil"/>
              <w:left w:val="nil"/>
              <w:bottom w:val="nil"/>
              <w:right w:val="nil"/>
            </w:tcBorders>
            <w:shd w:val="clear" w:color="auto" w:fill="auto"/>
            <w:noWrap/>
            <w:vAlign w:val="bottom"/>
            <w:hideMark/>
          </w:tcPr>
          <w:p w14:paraId="68D82088"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4664DE78"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26B76C00"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26</w:t>
            </w:r>
            <w:r>
              <w:rPr>
                <w:rFonts w:eastAsia="Times New Roman"/>
                <w:spacing w:val="0"/>
              </w:rPr>
              <w:t xml:space="preserve"> </w:t>
            </w:r>
            <w:r w:rsidRPr="00124E5B">
              <w:rPr>
                <w:rFonts w:eastAsia="Times New Roman"/>
                <w:spacing w:val="0"/>
              </w:rPr>
              <w:t>900</w:t>
            </w:r>
          </w:p>
        </w:tc>
        <w:tc>
          <w:tcPr>
            <w:tcW w:w="2403" w:type="dxa"/>
            <w:tcBorders>
              <w:top w:val="nil"/>
              <w:left w:val="nil"/>
              <w:bottom w:val="nil"/>
              <w:right w:val="nil"/>
            </w:tcBorders>
            <w:vAlign w:val="bottom"/>
          </w:tcPr>
          <w:p w14:paraId="65B6FDA3" w14:textId="77777777" w:rsidR="0029498B" w:rsidRPr="00124E5B" w:rsidRDefault="0029498B" w:rsidP="005A0F55">
            <w:pPr>
              <w:pStyle w:val="100"/>
              <w:snapToGrid w:val="0"/>
              <w:spacing w:before="0" w:line="240" w:lineRule="auto"/>
              <w:ind w:left="300" w:hanging="300"/>
              <w:jc w:val="center"/>
              <w:rPr>
                <w:spacing w:val="0"/>
              </w:rPr>
            </w:pPr>
            <w:r w:rsidRPr="00124E5B">
              <w:rPr>
                <w:rFonts w:eastAsia="Times New Roman"/>
                <w:spacing w:val="0"/>
              </w:rPr>
              <w:t>1</w:t>
            </w:r>
            <w:r>
              <w:rPr>
                <w:rFonts w:eastAsia="Times New Roman"/>
                <w:spacing w:val="0"/>
              </w:rPr>
              <w:t xml:space="preserve"> </w:t>
            </w:r>
            <w:r w:rsidRPr="00124E5B">
              <w:rPr>
                <w:rFonts w:eastAsia="Times New Roman"/>
                <w:spacing w:val="0"/>
              </w:rPr>
              <w:t>400</w:t>
            </w:r>
          </w:p>
        </w:tc>
      </w:tr>
      <w:tr w:rsidR="0029498B" w:rsidRPr="00124E5B" w14:paraId="3DF7685A" w14:textId="77777777" w:rsidTr="005A0F55">
        <w:trPr>
          <w:trHeight w:val="340"/>
        </w:trPr>
        <w:tc>
          <w:tcPr>
            <w:tcW w:w="1698" w:type="dxa"/>
            <w:tcBorders>
              <w:top w:val="nil"/>
              <w:left w:val="nil"/>
              <w:bottom w:val="nil"/>
              <w:right w:val="nil"/>
            </w:tcBorders>
            <w:shd w:val="clear" w:color="auto" w:fill="auto"/>
            <w:noWrap/>
            <w:vAlign w:val="bottom"/>
            <w:hideMark/>
          </w:tcPr>
          <w:p w14:paraId="3945D300"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46BC6F4E" w14:textId="77777777" w:rsidR="0029498B" w:rsidRPr="00124E5B" w:rsidRDefault="0029498B" w:rsidP="005A0F55">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4606E80A" w14:textId="77777777" w:rsidR="0029498B" w:rsidRPr="00124E5B" w:rsidRDefault="0029498B" w:rsidP="005A0F55">
            <w:pPr>
              <w:pStyle w:val="100"/>
              <w:snapToGrid w:val="0"/>
              <w:spacing w:before="0"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1200A645" w14:textId="77777777" w:rsidR="0029498B" w:rsidRPr="00124E5B" w:rsidRDefault="0029498B" w:rsidP="005A0F55">
            <w:pPr>
              <w:pStyle w:val="100"/>
              <w:snapToGrid w:val="0"/>
              <w:spacing w:before="0" w:line="240" w:lineRule="auto"/>
              <w:ind w:left="300" w:hanging="300"/>
              <w:jc w:val="center"/>
              <w:rPr>
                <w:rFonts w:eastAsia="Times New Roman"/>
                <w:spacing w:val="0"/>
              </w:rPr>
            </w:pPr>
          </w:p>
        </w:tc>
      </w:tr>
      <w:tr w:rsidR="0029498B" w:rsidRPr="00124E5B" w14:paraId="0622271A" w14:textId="77777777" w:rsidTr="005A0F55">
        <w:trPr>
          <w:trHeight w:val="340"/>
        </w:trPr>
        <w:tc>
          <w:tcPr>
            <w:tcW w:w="1698" w:type="dxa"/>
            <w:tcBorders>
              <w:top w:val="nil"/>
              <w:left w:val="nil"/>
              <w:bottom w:val="nil"/>
              <w:right w:val="nil"/>
            </w:tcBorders>
            <w:shd w:val="clear" w:color="auto" w:fill="auto"/>
            <w:noWrap/>
            <w:vAlign w:val="bottom"/>
            <w:hideMark/>
          </w:tcPr>
          <w:p w14:paraId="576B22E1" w14:textId="77777777" w:rsidR="0029498B" w:rsidRPr="00124E5B" w:rsidRDefault="0029498B" w:rsidP="005A0F55">
            <w:pPr>
              <w:pStyle w:val="100"/>
              <w:snapToGrid w:val="0"/>
              <w:spacing w:before="0" w:line="240" w:lineRule="auto"/>
              <w:ind w:left="300" w:hanging="300"/>
              <w:rPr>
                <w:spacing w:val="0"/>
              </w:rPr>
            </w:pPr>
            <w:r w:rsidRPr="00124E5B">
              <w:rPr>
                <w:rFonts w:hint="eastAsia"/>
                <w:spacing w:val="0"/>
              </w:rPr>
              <w:t>二零二</w:t>
            </w:r>
            <w:r>
              <w:rPr>
                <w:rFonts w:hint="eastAsia"/>
                <w:spacing w:val="0"/>
              </w:rPr>
              <w:t>二</w:t>
            </w:r>
            <w:r w:rsidRPr="00124E5B">
              <w:rPr>
                <w:rFonts w:hint="eastAsia"/>
                <w:spacing w:val="0"/>
              </w:rPr>
              <w:t>年</w:t>
            </w:r>
          </w:p>
        </w:tc>
        <w:tc>
          <w:tcPr>
            <w:tcW w:w="1491" w:type="dxa"/>
            <w:tcBorders>
              <w:top w:val="nil"/>
              <w:left w:val="nil"/>
              <w:bottom w:val="nil"/>
              <w:right w:val="nil"/>
            </w:tcBorders>
            <w:shd w:val="clear" w:color="auto" w:fill="auto"/>
            <w:noWrap/>
            <w:vAlign w:val="bottom"/>
            <w:hideMark/>
          </w:tcPr>
          <w:p w14:paraId="4425F7F1" w14:textId="77777777" w:rsidR="0029498B" w:rsidRPr="00124E5B" w:rsidRDefault="0029498B" w:rsidP="005A0F55">
            <w:pPr>
              <w:pStyle w:val="100"/>
              <w:snapToGrid w:val="0"/>
              <w:spacing w:before="0" w:line="240" w:lineRule="auto"/>
              <w:ind w:left="300" w:hanging="300"/>
              <w:rPr>
                <w:spacing w:val="0"/>
              </w:rPr>
            </w:pPr>
            <w:r w:rsidRPr="0025322B">
              <w:rPr>
                <w:rFonts w:hint="eastAsia"/>
                <w:spacing w:val="0"/>
              </w:rPr>
              <w:t>第一季</w:t>
            </w:r>
          </w:p>
        </w:tc>
        <w:tc>
          <w:tcPr>
            <w:tcW w:w="2403" w:type="dxa"/>
            <w:tcBorders>
              <w:top w:val="nil"/>
              <w:left w:val="nil"/>
              <w:bottom w:val="nil"/>
              <w:right w:val="nil"/>
            </w:tcBorders>
            <w:vAlign w:val="bottom"/>
          </w:tcPr>
          <w:p w14:paraId="7FA5A918" w14:textId="77777777" w:rsidR="0029498B" w:rsidRPr="00124E5B" w:rsidRDefault="0029498B" w:rsidP="005A0F55">
            <w:pPr>
              <w:pStyle w:val="100"/>
              <w:snapToGrid w:val="0"/>
              <w:spacing w:line="240" w:lineRule="auto"/>
              <w:ind w:left="300" w:hanging="300"/>
              <w:jc w:val="center"/>
              <w:rPr>
                <w:rFonts w:eastAsia="Times New Roman"/>
                <w:spacing w:val="0"/>
              </w:rPr>
            </w:pPr>
            <w:r w:rsidRPr="00124E5B">
              <w:rPr>
                <w:rFonts w:eastAsia="Times New Roman"/>
                <w:spacing w:val="0"/>
              </w:rPr>
              <w:t>10</w:t>
            </w:r>
            <w:r>
              <w:rPr>
                <w:rFonts w:eastAsia="Times New Roman"/>
                <w:spacing w:val="0"/>
              </w:rPr>
              <w:t xml:space="preserve"> 7</w:t>
            </w:r>
            <w:r w:rsidRPr="00124E5B">
              <w:rPr>
                <w:rFonts w:eastAsia="Times New Roman"/>
                <w:spacing w:val="0"/>
              </w:rPr>
              <w:t>00</w:t>
            </w:r>
          </w:p>
        </w:tc>
        <w:tc>
          <w:tcPr>
            <w:tcW w:w="2403" w:type="dxa"/>
            <w:tcBorders>
              <w:top w:val="nil"/>
              <w:left w:val="nil"/>
              <w:bottom w:val="nil"/>
              <w:right w:val="nil"/>
            </w:tcBorders>
            <w:vAlign w:val="bottom"/>
          </w:tcPr>
          <w:p w14:paraId="1155080A" w14:textId="77777777" w:rsidR="0029498B" w:rsidRPr="00124E5B" w:rsidRDefault="0029498B" w:rsidP="005A0F55">
            <w:pPr>
              <w:pStyle w:val="100"/>
              <w:snapToGrid w:val="0"/>
              <w:spacing w:before="0" w:line="240" w:lineRule="auto"/>
              <w:ind w:left="300" w:hanging="300"/>
              <w:jc w:val="center"/>
              <w:rPr>
                <w:rFonts w:eastAsia="Times New Roman"/>
                <w:spacing w:val="0"/>
              </w:rPr>
            </w:pPr>
            <w:r>
              <w:rPr>
                <w:rFonts w:eastAsia="Times New Roman"/>
                <w:spacing w:val="0"/>
              </w:rPr>
              <w:t>8</w:t>
            </w:r>
            <w:r w:rsidRPr="00124E5B">
              <w:rPr>
                <w:rFonts w:eastAsia="Times New Roman"/>
                <w:spacing w:val="0"/>
              </w:rPr>
              <w:t>00</w:t>
            </w:r>
          </w:p>
        </w:tc>
      </w:tr>
      <w:tr w:rsidR="0029498B" w:rsidRPr="00124E5B" w14:paraId="5FC96EF5" w14:textId="77777777" w:rsidTr="005A0F55">
        <w:trPr>
          <w:trHeight w:val="340"/>
        </w:trPr>
        <w:tc>
          <w:tcPr>
            <w:tcW w:w="1698" w:type="dxa"/>
            <w:tcBorders>
              <w:top w:val="nil"/>
              <w:left w:val="nil"/>
              <w:bottom w:val="nil"/>
              <w:right w:val="nil"/>
            </w:tcBorders>
            <w:shd w:val="clear" w:color="auto" w:fill="auto"/>
            <w:noWrap/>
            <w:vAlign w:val="bottom"/>
          </w:tcPr>
          <w:p w14:paraId="6742BE26"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0685B05E" w14:textId="77777777" w:rsidR="0029498B" w:rsidRPr="0025322B" w:rsidRDefault="0029498B" w:rsidP="005A0F55">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51CBC397" w14:textId="77777777" w:rsidR="0029498B" w:rsidRPr="00124E5B" w:rsidRDefault="0029498B" w:rsidP="005A0F55">
            <w:pPr>
              <w:pStyle w:val="100"/>
              <w:snapToGrid w:val="0"/>
              <w:spacing w:line="240" w:lineRule="auto"/>
              <w:ind w:left="300" w:hanging="300"/>
              <w:jc w:val="center"/>
              <w:rPr>
                <w:rFonts w:eastAsia="Times New Roman"/>
                <w:spacing w:val="0"/>
              </w:rPr>
            </w:pPr>
            <w:r w:rsidRPr="00006C9D">
              <w:rPr>
                <w:rFonts w:eastAsia="Times New Roman"/>
                <w:spacing w:val="0"/>
              </w:rPr>
              <w:t>62</w:t>
            </w:r>
            <w:r>
              <w:rPr>
                <w:rFonts w:eastAsia="Times New Roman"/>
                <w:spacing w:val="0"/>
              </w:rPr>
              <w:t xml:space="preserve"> </w:t>
            </w:r>
            <w:r w:rsidRPr="00006C9D">
              <w:rPr>
                <w:rFonts w:eastAsia="Times New Roman"/>
                <w:spacing w:val="0"/>
              </w:rPr>
              <w:t>700</w:t>
            </w:r>
          </w:p>
        </w:tc>
        <w:tc>
          <w:tcPr>
            <w:tcW w:w="2403" w:type="dxa"/>
            <w:tcBorders>
              <w:top w:val="nil"/>
              <w:left w:val="nil"/>
              <w:bottom w:val="nil"/>
              <w:right w:val="nil"/>
            </w:tcBorders>
            <w:vAlign w:val="bottom"/>
          </w:tcPr>
          <w:p w14:paraId="111B4F9A" w14:textId="77777777" w:rsidR="0029498B" w:rsidRDefault="0029498B" w:rsidP="005A0F55">
            <w:pPr>
              <w:pStyle w:val="100"/>
              <w:snapToGrid w:val="0"/>
              <w:spacing w:before="0" w:line="240" w:lineRule="auto"/>
              <w:ind w:left="300" w:hanging="300"/>
              <w:jc w:val="center"/>
              <w:rPr>
                <w:rFonts w:eastAsia="Times New Roman"/>
                <w:spacing w:val="0"/>
              </w:rPr>
            </w:pPr>
            <w:r w:rsidRPr="00006C9D">
              <w:rPr>
                <w:rFonts w:eastAsia="Times New Roman"/>
                <w:spacing w:val="0"/>
              </w:rPr>
              <w:t>1</w:t>
            </w:r>
            <w:r>
              <w:rPr>
                <w:rFonts w:eastAsia="Times New Roman"/>
                <w:spacing w:val="0"/>
              </w:rPr>
              <w:t xml:space="preserve"> </w:t>
            </w:r>
            <w:r w:rsidRPr="00006C9D">
              <w:rPr>
                <w:rFonts w:eastAsia="Times New Roman"/>
                <w:spacing w:val="0"/>
              </w:rPr>
              <w:t>800</w:t>
            </w:r>
          </w:p>
        </w:tc>
      </w:tr>
      <w:tr w:rsidR="0029498B" w:rsidRPr="00124E5B" w14:paraId="5D139E4D" w14:textId="77777777" w:rsidTr="005A0F55">
        <w:trPr>
          <w:trHeight w:val="340"/>
        </w:trPr>
        <w:tc>
          <w:tcPr>
            <w:tcW w:w="1698" w:type="dxa"/>
            <w:tcBorders>
              <w:top w:val="nil"/>
              <w:left w:val="nil"/>
              <w:bottom w:val="nil"/>
              <w:right w:val="nil"/>
            </w:tcBorders>
            <w:shd w:val="clear" w:color="auto" w:fill="auto"/>
            <w:noWrap/>
            <w:vAlign w:val="bottom"/>
          </w:tcPr>
          <w:p w14:paraId="4DB286B1"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54E61E66" w14:textId="77777777" w:rsidR="0029498B" w:rsidRPr="0025322B" w:rsidRDefault="0029498B" w:rsidP="005A0F55">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1B2910B0" w14:textId="77777777" w:rsidR="0029498B" w:rsidRPr="00124E5B" w:rsidRDefault="0029498B" w:rsidP="005A0F55">
            <w:pPr>
              <w:pStyle w:val="100"/>
              <w:snapToGrid w:val="0"/>
              <w:spacing w:line="240" w:lineRule="auto"/>
              <w:ind w:left="300" w:hanging="300"/>
              <w:jc w:val="center"/>
              <w:rPr>
                <w:rFonts w:eastAsia="Times New Roman"/>
                <w:spacing w:val="0"/>
              </w:rPr>
            </w:pPr>
            <w:r w:rsidRPr="00006C9D">
              <w:rPr>
                <w:rFonts w:eastAsia="Times New Roman"/>
                <w:spacing w:val="0"/>
              </w:rPr>
              <w:t>164</w:t>
            </w:r>
            <w:r>
              <w:rPr>
                <w:rFonts w:eastAsia="Times New Roman"/>
                <w:spacing w:val="0"/>
              </w:rPr>
              <w:t xml:space="preserve"> </w:t>
            </w:r>
            <w:r w:rsidRPr="00006C9D">
              <w:rPr>
                <w:rFonts w:eastAsia="Times New Roman"/>
                <w:spacing w:val="0"/>
              </w:rPr>
              <w:t>600</w:t>
            </w:r>
          </w:p>
        </w:tc>
        <w:tc>
          <w:tcPr>
            <w:tcW w:w="2403" w:type="dxa"/>
            <w:tcBorders>
              <w:top w:val="nil"/>
              <w:left w:val="nil"/>
              <w:bottom w:val="nil"/>
              <w:right w:val="nil"/>
            </w:tcBorders>
            <w:vAlign w:val="bottom"/>
          </w:tcPr>
          <w:p w14:paraId="1171FD6B" w14:textId="77777777" w:rsidR="0029498B" w:rsidRDefault="0029498B" w:rsidP="005A0F55">
            <w:pPr>
              <w:pStyle w:val="100"/>
              <w:snapToGrid w:val="0"/>
              <w:spacing w:before="0" w:line="240" w:lineRule="auto"/>
              <w:ind w:left="300" w:hanging="300"/>
              <w:jc w:val="center"/>
              <w:rPr>
                <w:rFonts w:eastAsia="Times New Roman"/>
                <w:spacing w:val="0"/>
              </w:rPr>
            </w:pPr>
            <w:r w:rsidRPr="00006C9D">
              <w:rPr>
                <w:rFonts w:eastAsia="Times New Roman"/>
                <w:spacing w:val="0"/>
              </w:rPr>
              <w:t>9 100</w:t>
            </w:r>
          </w:p>
        </w:tc>
      </w:tr>
      <w:tr w:rsidR="0029498B" w:rsidRPr="00124E5B" w14:paraId="5BEAD331" w14:textId="77777777" w:rsidTr="005A0F55">
        <w:trPr>
          <w:trHeight w:val="340"/>
        </w:trPr>
        <w:tc>
          <w:tcPr>
            <w:tcW w:w="1698" w:type="dxa"/>
            <w:tcBorders>
              <w:top w:val="nil"/>
              <w:left w:val="nil"/>
              <w:bottom w:val="nil"/>
              <w:right w:val="nil"/>
            </w:tcBorders>
            <w:shd w:val="clear" w:color="auto" w:fill="auto"/>
            <w:noWrap/>
            <w:vAlign w:val="bottom"/>
          </w:tcPr>
          <w:p w14:paraId="54ACE529"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07E03309" w14:textId="77777777" w:rsidR="0029498B" w:rsidRPr="0025322B" w:rsidRDefault="0029498B" w:rsidP="005A0F55">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3F128B47" w14:textId="77777777" w:rsidR="0029498B" w:rsidRPr="00124E5B" w:rsidRDefault="0029498B" w:rsidP="005A0F55">
            <w:pPr>
              <w:pStyle w:val="100"/>
              <w:snapToGrid w:val="0"/>
              <w:spacing w:line="240" w:lineRule="auto"/>
              <w:ind w:left="300" w:hanging="300"/>
              <w:jc w:val="center"/>
              <w:rPr>
                <w:rFonts w:eastAsia="Times New Roman"/>
                <w:spacing w:val="0"/>
              </w:rPr>
            </w:pPr>
            <w:r w:rsidRPr="00006C9D">
              <w:rPr>
                <w:rFonts w:eastAsia="Times New Roman"/>
                <w:spacing w:val="0"/>
              </w:rPr>
              <w:t>329</w:t>
            </w:r>
            <w:r>
              <w:rPr>
                <w:rFonts w:eastAsia="Times New Roman"/>
                <w:spacing w:val="0"/>
              </w:rPr>
              <w:t xml:space="preserve"> </w:t>
            </w:r>
            <w:r w:rsidRPr="00006C9D">
              <w:rPr>
                <w:rFonts w:eastAsia="Times New Roman"/>
                <w:spacing w:val="0"/>
              </w:rPr>
              <w:t>800</w:t>
            </w:r>
          </w:p>
        </w:tc>
        <w:tc>
          <w:tcPr>
            <w:tcW w:w="2403" w:type="dxa"/>
            <w:tcBorders>
              <w:top w:val="nil"/>
              <w:left w:val="nil"/>
              <w:bottom w:val="nil"/>
              <w:right w:val="nil"/>
            </w:tcBorders>
            <w:vAlign w:val="bottom"/>
          </w:tcPr>
          <w:p w14:paraId="457606AC" w14:textId="77777777" w:rsidR="0029498B" w:rsidRDefault="0029498B" w:rsidP="005A0F55">
            <w:pPr>
              <w:pStyle w:val="100"/>
              <w:snapToGrid w:val="0"/>
              <w:spacing w:before="0" w:line="240" w:lineRule="auto"/>
              <w:ind w:left="300" w:hanging="300"/>
              <w:jc w:val="center"/>
              <w:rPr>
                <w:rFonts w:eastAsia="Times New Roman"/>
                <w:spacing w:val="0"/>
              </w:rPr>
            </w:pPr>
            <w:r w:rsidRPr="00006C9D">
              <w:rPr>
                <w:rFonts w:eastAsia="Times New Roman"/>
                <w:spacing w:val="0"/>
              </w:rPr>
              <w:t>25</w:t>
            </w:r>
            <w:r>
              <w:rPr>
                <w:rFonts w:eastAsia="Times New Roman"/>
                <w:spacing w:val="0"/>
              </w:rPr>
              <w:t xml:space="preserve"> </w:t>
            </w:r>
            <w:r w:rsidRPr="00006C9D">
              <w:rPr>
                <w:rFonts w:eastAsia="Times New Roman"/>
                <w:spacing w:val="0"/>
              </w:rPr>
              <w:t>100</w:t>
            </w:r>
          </w:p>
        </w:tc>
      </w:tr>
      <w:tr w:rsidR="0029498B" w:rsidRPr="00124E5B" w14:paraId="16A2E8C4" w14:textId="77777777" w:rsidTr="005A0F55">
        <w:trPr>
          <w:trHeight w:val="340"/>
        </w:trPr>
        <w:tc>
          <w:tcPr>
            <w:tcW w:w="1698" w:type="dxa"/>
            <w:tcBorders>
              <w:top w:val="nil"/>
              <w:left w:val="nil"/>
              <w:bottom w:val="nil"/>
              <w:right w:val="nil"/>
            </w:tcBorders>
            <w:shd w:val="clear" w:color="auto" w:fill="auto"/>
            <w:noWrap/>
            <w:vAlign w:val="bottom"/>
          </w:tcPr>
          <w:p w14:paraId="5AB4EF6B" w14:textId="77777777" w:rsidR="0029498B" w:rsidRPr="00124E5B" w:rsidRDefault="0029498B" w:rsidP="005A0F55">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6A51B5EF" w14:textId="77777777" w:rsidR="0029498B" w:rsidRPr="0025322B" w:rsidRDefault="0029498B" w:rsidP="005A0F55">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5BBD7866" w14:textId="77777777" w:rsidR="0029498B" w:rsidRPr="00124E5B" w:rsidRDefault="0029498B" w:rsidP="005A0F55">
            <w:pPr>
              <w:pStyle w:val="100"/>
              <w:snapToGrid w:val="0"/>
              <w:spacing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0EC0D473" w14:textId="77777777" w:rsidR="0029498B" w:rsidRDefault="0029498B" w:rsidP="005A0F55">
            <w:pPr>
              <w:pStyle w:val="100"/>
              <w:snapToGrid w:val="0"/>
              <w:spacing w:before="0" w:line="240" w:lineRule="auto"/>
              <w:ind w:left="300" w:hanging="300"/>
              <w:jc w:val="center"/>
              <w:rPr>
                <w:rFonts w:eastAsia="Times New Roman"/>
                <w:spacing w:val="0"/>
              </w:rPr>
            </w:pPr>
          </w:p>
        </w:tc>
      </w:tr>
      <w:tr w:rsidR="0029498B" w:rsidRPr="00124E5B" w14:paraId="3F8EC593" w14:textId="77777777" w:rsidTr="005A0F55">
        <w:trPr>
          <w:trHeight w:val="340"/>
        </w:trPr>
        <w:tc>
          <w:tcPr>
            <w:tcW w:w="1698" w:type="dxa"/>
            <w:tcBorders>
              <w:top w:val="nil"/>
              <w:left w:val="nil"/>
              <w:bottom w:val="nil"/>
              <w:right w:val="nil"/>
            </w:tcBorders>
            <w:shd w:val="clear" w:color="auto" w:fill="auto"/>
            <w:noWrap/>
            <w:vAlign w:val="bottom"/>
          </w:tcPr>
          <w:p w14:paraId="02C86865" w14:textId="77777777" w:rsidR="0029498B" w:rsidRPr="00124E5B" w:rsidRDefault="0029498B" w:rsidP="005A0F55">
            <w:pPr>
              <w:pStyle w:val="100"/>
              <w:snapToGrid w:val="0"/>
              <w:spacing w:before="0" w:line="240" w:lineRule="auto"/>
              <w:ind w:left="300" w:hanging="300"/>
              <w:rPr>
                <w:spacing w:val="0"/>
              </w:rPr>
            </w:pPr>
            <w:r>
              <w:rPr>
                <w:rFonts w:hint="eastAsia"/>
                <w:spacing w:val="0"/>
                <w:lang w:eastAsia="zh-HK"/>
              </w:rPr>
              <w:t>二零二三年</w:t>
            </w:r>
          </w:p>
        </w:tc>
        <w:tc>
          <w:tcPr>
            <w:tcW w:w="1491" w:type="dxa"/>
            <w:tcBorders>
              <w:top w:val="nil"/>
              <w:left w:val="nil"/>
              <w:bottom w:val="nil"/>
              <w:right w:val="nil"/>
            </w:tcBorders>
            <w:shd w:val="clear" w:color="auto" w:fill="auto"/>
            <w:noWrap/>
            <w:vAlign w:val="bottom"/>
          </w:tcPr>
          <w:p w14:paraId="5D599F37" w14:textId="77777777" w:rsidR="0029498B" w:rsidRPr="0025322B" w:rsidRDefault="0029498B" w:rsidP="005A0F55">
            <w:pPr>
              <w:pStyle w:val="100"/>
              <w:snapToGrid w:val="0"/>
              <w:spacing w:before="0" w:line="240" w:lineRule="auto"/>
              <w:ind w:left="300" w:hanging="300"/>
              <w:rPr>
                <w:spacing w:val="0"/>
              </w:rPr>
            </w:pPr>
            <w:r>
              <w:rPr>
                <w:rFonts w:hint="eastAsia"/>
                <w:spacing w:val="0"/>
                <w:lang w:eastAsia="zh-HK"/>
              </w:rPr>
              <w:t>第一季</w:t>
            </w:r>
          </w:p>
        </w:tc>
        <w:tc>
          <w:tcPr>
            <w:tcW w:w="2403" w:type="dxa"/>
            <w:tcBorders>
              <w:top w:val="nil"/>
              <w:left w:val="nil"/>
              <w:bottom w:val="nil"/>
              <w:right w:val="nil"/>
            </w:tcBorders>
            <w:vAlign w:val="bottom"/>
          </w:tcPr>
          <w:p w14:paraId="523DE77C" w14:textId="77777777" w:rsidR="0029498B" w:rsidRPr="00124E5B" w:rsidRDefault="0029498B" w:rsidP="005A0F55">
            <w:pPr>
              <w:pStyle w:val="100"/>
              <w:snapToGrid w:val="0"/>
              <w:spacing w:line="240" w:lineRule="auto"/>
              <w:ind w:left="300" w:hanging="300"/>
              <w:jc w:val="center"/>
              <w:rPr>
                <w:rFonts w:eastAsia="Times New Roman"/>
                <w:spacing w:val="0"/>
              </w:rPr>
            </w:pPr>
            <w:r>
              <w:rPr>
                <w:rFonts w:eastAsia="Times New Roman"/>
                <w:spacing w:val="0"/>
              </w:rPr>
              <w:t>2 340 400</w:t>
            </w:r>
          </w:p>
        </w:tc>
        <w:tc>
          <w:tcPr>
            <w:tcW w:w="2403" w:type="dxa"/>
            <w:tcBorders>
              <w:top w:val="nil"/>
              <w:left w:val="nil"/>
              <w:bottom w:val="nil"/>
              <w:right w:val="nil"/>
            </w:tcBorders>
            <w:vAlign w:val="bottom"/>
          </w:tcPr>
          <w:p w14:paraId="2BE65D1C" w14:textId="77777777" w:rsidR="0029498B" w:rsidRDefault="0029498B" w:rsidP="005A0F55">
            <w:pPr>
              <w:pStyle w:val="100"/>
              <w:snapToGrid w:val="0"/>
              <w:spacing w:before="0" w:line="240" w:lineRule="auto"/>
              <w:ind w:left="300" w:hanging="300"/>
              <w:jc w:val="center"/>
              <w:rPr>
                <w:rFonts w:eastAsia="Times New Roman"/>
                <w:spacing w:val="0"/>
              </w:rPr>
            </w:pPr>
            <w:r>
              <w:rPr>
                <w:rFonts w:eastAsia="Times New Roman"/>
                <w:spacing w:val="0"/>
              </w:rPr>
              <w:t>2 074 400</w:t>
            </w:r>
          </w:p>
        </w:tc>
      </w:tr>
      <w:tr w:rsidR="0029498B" w:rsidRPr="00124E5B" w14:paraId="61CB45CB" w14:textId="77777777" w:rsidTr="005A0F55">
        <w:trPr>
          <w:trHeight w:val="340"/>
        </w:trPr>
        <w:tc>
          <w:tcPr>
            <w:tcW w:w="1698" w:type="dxa"/>
            <w:tcBorders>
              <w:top w:val="nil"/>
              <w:left w:val="nil"/>
              <w:bottom w:val="nil"/>
              <w:right w:val="nil"/>
            </w:tcBorders>
            <w:shd w:val="clear" w:color="auto" w:fill="auto"/>
            <w:noWrap/>
            <w:vAlign w:val="bottom"/>
          </w:tcPr>
          <w:p w14:paraId="633E8067" w14:textId="77777777" w:rsidR="0029498B" w:rsidRDefault="0029498B" w:rsidP="005A0F55">
            <w:pPr>
              <w:pStyle w:val="100"/>
              <w:snapToGrid w:val="0"/>
              <w:spacing w:before="0" w:line="240" w:lineRule="auto"/>
              <w:ind w:left="300" w:hanging="300"/>
              <w:rPr>
                <w:spacing w:val="0"/>
                <w:lang w:eastAsia="zh-HK"/>
              </w:rPr>
            </w:pPr>
          </w:p>
        </w:tc>
        <w:tc>
          <w:tcPr>
            <w:tcW w:w="1491" w:type="dxa"/>
            <w:tcBorders>
              <w:top w:val="nil"/>
              <w:left w:val="nil"/>
              <w:bottom w:val="nil"/>
              <w:right w:val="nil"/>
            </w:tcBorders>
            <w:shd w:val="clear" w:color="auto" w:fill="auto"/>
            <w:noWrap/>
            <w:vAlign w:val="bottom"/>
          </w:tcPr>
          <w:p w14:paraId="6FD0CDC0" w14:textId="77777777" w:rsidR="0029498B" w:rsidRDefault="0029498B" w:rsidP="005A0F55">
            <w:pPr>
              <w:pStyle w:val="100"/>
              <w:snapToGrid w:val="0"/>
              <w:spacing w:before="0" w:line="240" w:lineRule="auto"/>
              <w:ind w:left="300" w:hanging="300"/>
              <w:rPr>
                <w:spacing w:val="0"/>
              </w:rPr>
            </w:pPr>
            <w:r>
              <w:rPr>
                <w:rFonts w:hint="eastAsia"/>
                <w:spacing w:val="0"/>
              </w:rPr>
              <w:t>第二季</w:t>
            </w:r>
          </w:p>
        </w:tc>
        <w:tc>
          <w:tcPr>
            <w:tcW w:w="2403" w:type="dxa"/>
            <w:tcBorders>
              <w:top w:val="nil"/>
              <w:left w:val="nil"/>
              <w:bottom w:val="nil"/>
              <w:right w:val="nil"/>
            </w:tcBorders>
            <w:vAlign w:val="bottom"/>
          </w:tcPr>
          <w:p w14:paraId="387232E4" w14:textId="7A6A42D8" w:rsidR="0029498B" w:rsidRDefault="0029498B" w:rsidP="005A0F55">
            <w:pPr>
              <w:pStyle w:val="100"/>
              <w:snapToGrid w:val="0"/>
              <w:spacing w:line="240" w:lineRule="auto"/>
              <w:ind w:left="300" w:hanging="300"/>
              <w:jc w:val="center"/>
              <w:rPr>
                <w:rFonts w:eastAsia="Times New Roman"/>
                <w:spacing w:val="0"/>
              </w:rPr>
            </w:pPr>
            <w:r w:rsidRPr="006D76D6">
              <w:rPr>
                <w:rFonts w:eastAsia="Times New Roman"/>
                <w:spacing w:val="0"/>
              </w:rPr>
              <w:t>4</w:t>
            </w:r>
            <w:r>
              <w:rPr>
                <w:rFonts w:asciiTheme="minorEastAsia" w:eastAsiaTheme="minorEastAsia" w:hAnsiTheme="minorEastAsia" w:hint="eastAsia"/>
                <w:spacing w:val="0"/>
              </w:rPr>
              <w:t xml:space="preserve"> </w:t>
            </w:r>
            <w:r w:rsidRPr="006D76D6">
              <w:rPr>
                <w:rFonts w:eastAsia="Times New Roman"/>
                <w:spacing w:val="0"/>
              </w:rPr>
              <w:t>2</w:t>
            </w:r>
            <w:r w:rsidR="005A33F5">
              <w:rPr>
                <w:rFonts w:eastAsia="Times New Roman"/>
                <w:spacing w:val="0"/>
              </w:rPr>
              <w:t>37</w:t>
            </w:r>
            <w:r>
              <w:rPr>
                <w:rFonts w:asciiTheme="minorEastAsia" w:eastAsiaTheme="minorEastAsia" w:hAnsiTheme="minorEastAsia" w:hint="eastAsia"/>
                <w:spacing w:val="0"/>
              </w:rPr>
              <w:t xml:space="preserve"> </w:t>
            </w:r>
            <w:r w:rsidRPr="006D76D6">
              <w:rPr>
                <w:rFonts w:eastAsia="Times New Roman"/>
                <w:spacing w:val="0"/>
              </w:rPr>
              <w:t>500</w:t>
            </w:r>
          </w:p>
        </w:tc>
        <w:tc>
          <w:tcPr>
            <w:tcW w:w="2403" w:type="dxa"/>
            <w:tcBorders>
              <w:top w:val="nil"/>
              <w:left w:val="nil"/>
              <w:bottom w:val="nil"/>
              <w:right w:val="nil"/>
            </w:tcBorders>
            <w:vAlign w:val="bottom"/>
          </w:tcPr>
          <w:p w14:paraId="10171D49" w14:textId="7D8F6C92" w:rsidR="0029498B" w:rsidRDefault="0029498B" w:rsidP="005A0F55">
            <w:pPr>
              <w:pStyle w:val="100"/>
              <w:snapToGrid w:val="0"/>
              <w:spacing w:before="0" w:line="240" w:lineRule="auto"/>
              <w:ind w:left="300" w:hanging="300"/>
              <w:jc w:val="center"/>
              <w:rPr>
                <w:rFonts w:eastAsia="Times New Roman"/>
                <w:spacing w:val="0"/>
              </w:rPr>
            </w:pPr>
            <w:r w:rsidRPr="006D76D6">
              <w:rPr>
                <w:rFonts w:eastAsia="Times New Roman"/>
                <w:spacing w:val="0"/>
              </w:rPr>
              <w:t>4</w:t>
            </w:r>
            <w:r>
              <w:rPr>
                <w:rFonts w:asciiTheme="minorEastAsia" w:eastAsiaTheme="minorEastAsia" w:hAnsiTheme="minorEastAsia" w:hint="eastAsia"/>
                <w:spacing w:val="0"/>
              </w:rPr>
              <w:t xml:space="preserve"> </w:t>
            </w:r>
            <w:r w:rsidRPr="006D76D6">
              <w:rPr>
                <w:rFonts w:eastAsia="Times New Roman"/>
                <w:spacing w:val="0"/>
              </w:rPr>
              <w:t>2</w:t>
            </w:r>
            <w:r w:rsidR="005A33F5">
              <w:rPr>
                <w:rFonts w:eastAsia="Times New Roman"/>
                <w:spacing w:val="0"/>
              </w:rPr>
              <w:t>31</w:t>
            </w:r>
            <w:r>
              <w:rPr>
                <w:rFonts w:asciiTheme="minorEastAsia" w:eastAsiaTheme="minorEastAsia" w:hAnsiTheme="minorEastAsia" w:hint="eastAsia"/>
                <w:spacing w:val="0"/>
              </w:rPr>
              <w:t xml:space="preserve"> </w:t>
            </w:r>
            <w:r w:rsidR="005A33F5">
              <w:rPr>
                <w:rFonts w:eastAsia="Times New Roman"/>
                <w:spacing w:val="0"/>
              </w:rPr>
              <w:t>7</w:t>
            </w:r>
            <w:r w:rsidRPr="006D76D6">
              <w:rPr>
                <w:rFonts w:eastAsia="Times New Roman"/>
                <w:spacing w:val="0"/>
              </w:rPr>
              <w:t>00</w:t>
            </w:r>
          </w:p>
        </w:tc>
      </w:tr>
      <w:tr w:rsidR="0029498B" w:rsidRPr="00124E5B" w14:paraId="0C0A631D" w14:textId="77777777" w:rsidTr="005A0F55">
        <w:trPr>
          <w:trHeight w:val="340"/>
        </w:trPr>
        <w:tc>
          <w:tcPr>
            <w:tcW w:w="1698" w:type="dxa"/>
            <w:tcBorders>
              <w:top w:val="nil"/>
              <w:left w:val="nil"/>
              <w:bottom w:val="nil"/>
              <w:right w:val="nil"/>
            </w:tcBorders>
            <w:shd w:val="clear" w:color="auto" w:fill="auto"/>
            <w:noWrap/>
            <w:vAlign w:val="bottom"/>
          </w:tcPr>
          <w:p w14:paraId="4E417980" w14:textId="77777777" w:rsidR="0029498B" w:rsidRDefault="0029498B" w:rsidP="005A0F55">
            <w:pPr>
              <w:pStyle w:val="100"/>
              <w:snapToGrid w:val="0"/>
              <w:spacing w:before="0" w:line="240" w:lineRule="auto"/>
              <w:ind w:left="300" w:hanging="300"/>
              <w:rPr>
                <w:spacing w:val="0"/>
                <w:lang w:eastAsia="zh-HK"/>
              </w:rPr>
            </w:pPr>
          </w:p>
        </w:tc>
        <w:tc>
          <w:tcPr>
            <w:tcW w:w="1491" w:type="dxa"/>
            <w:tcBorders>
              <w:top w:val="nil"/>
              <w:left w:val="nil"/>
              <w:bottom w:val="nil"/>
              <w:right w:val="nil"/>
            </w:tcBorders>
            <w:shd w:val="clear" w:color="auto" w:fill="auto"/>
            <w:noWrap/>
            <w:vAlign w:val="bottom"/>
          </w:tcPr>
          <w:p w14:paraId="40DF0DE6" w14:textId="77777777" w:rsidR="0029498B" w:rsidRDefault="0029498B" w:rsidP="005A0F55">
            <w:pPr>
              <w:pStyle w:val="100"/>
              <w:snapToGrid w:val="0"/>
              <w:spacing w:before="0" w:line="240" w:lineRule="auto"/>
              <w:ind w:left="300" w:hanging="300"/>
              <w:rPr>
                <w:spacing w:val="0"/>
                <w:lang w:eastAsia="zh-HK"/>
              </w:rPr>
            </w:pPr>
          </w:p>
        </w:tc>
        <w:tc>
          <w:tcPr>
            <w:tcW w:w="2403" w:type="dxa"/>
            <w:tcBorders>
              <w:top w:val="nil"/>
              <w:left w:val="nil"/>
              <w:bottom w:val="nil"/>
              <w:right w:val="nil"/>
            </w:tcBorders>
            <w:vAlign w:val="bottom"/>
          </w:tcPr>
          <w:p w14:paraId="482507B2" w14:textId="77777777" w:rsidR="0029498B" w:rsidRDefault="0029498B" w:rsidP="005A0F55">
            <w:pPr>
              <w:pStyle w:val="100"/>
              <w:snapToGrid w:val="0"/>
              <w:spacing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4FA51B05" w14:textId="77777777" w:rsidR="0029498B" w:rsidRDefault="0029498B" w:rsidP="005A0F55">
            <w:pPr>
              <w:pStyle w:val="100"/>
              <w:snapToGrid w:val="0"/>
              <w:spacing w:before="0" w:line="240" w:lineRule="auto"/>
              <w:ind w:left="300" w:hanging="300"/>
              <w:jc w:val="center"/>
              <w:rPr>
                <w:rFonts w:eastAsia="Times New Roman"/>
                <w:spacing w:val="0"/>
              </w:rPr>
            </w:pPr>
          </w:p>
        </w:tc>
      </w:tr>
    </w:tbl>
    <w:p w14:paraId="05891047" w14:textId="77777777" w:rsidR="0029498B" w:rsidRDefault="0029498B" w:rsidP="0029498B">
      <w:pPr>
        <w:pStyle w:val="aff8"/>
        <w:tabs>
          <w:tab w:val="clear" w:pos="720"/>
        </w:tabs>
        <w:spacing w:before="180"/>
        <w:ind w:left="966" w:firstLine="0"/>
        <w:rPr>
          <w:lang w:eastAsia="zh-HK"/>
        </w:rPr>
      </w:pPr>
      <w:r w:rsidRPr="00124E5B">
        <w:rPr>
          <w:rFonts w:hint="eastAsia"/>
          <w:lang w:eastAsia="zh-HK"/>
        </w:rPr>
        <w:t>註：</w:t>
      </w:r>
      <w:r w:rsidRPr="00124E5B">
        <w:tab/>
      </w:r>
      <w:r w:rsidRPr="00124E5B">
        <w:rPr>
          <w:rFonts w:hint="eastAsia"/>
          <w:lang w:eastAsia="zh-HK"/>
        </w:rPr>
        <w:t>由</w:t>
      </w:r>
      <w:r w:rsidRPr="00124E5B">
        <w:rPr>
          <w:rFonts w:hint="eastAsia"/>
        </w:rPr>
        <w:t>於</w:t>
      </w:r>
      <w:r w:rsidRPr="00124E5B">
        <w:rPr>
          <w:rFonts w:hint="eastAsia"/>
          <w:lang w:eastAsia="zh-HK"/>
        </w:rPr>
        <w:t>進位關</w:t>
      </w:r>
      <w:r w:rsidRPr="00124E5B">
        <w:rPr>
          <w:rFonts w:hint="eastAsia"/>
        </w:rPr>
        <w:t>係</w:t>
      </w:r>
      <w:r w:rsidRPr="00124E5B">
        <w:rPr>
          <w:rFonts w:hint="eastAsia"/>
          <w:lang w:eastAsia="zh-HK"/>
        </w:rPr>
        <w:t>，數</w:t>
      </w:r>
      <w:r w:rsidRPr="00124E5B">
        <w:rPr>
          <w:rFonts w:hint="eastAsia"/>
        </w:rPr>
        <w:t>字</w:t>
      </w:r>
      <w:r w:rsidRPr="00124E5B">
        <w:rPr>
          <w:rFonts w:hint="eastAsia"/>
          <w:lang w:eastAsia="zh-HK"/>
        </w:rPr>
        <w:t>相加未必等於訪港旅</w:t>
      </w:r>
      <w:r w:rsidRPr="00124E5B">
        <w:rPr>
          <w:rFonts w:hint="eastAsia"/>
        </w:rPr>
        <w:t>客</w:t>
      </w:r>
      <w:r w:rsidRPr="00124E5B">
        <w:rPr>
          <w:rFonts w:hint="eastAsia"/>
          <w:lang w:eastAsia="zh-HK"/>
        </w:rPr>
        <w:t>總人次。</w:t>
      </w:r>
    </w:p>
    <w:p w14:paraId="764224DE" w14:textId="77777777" w:rsidR="0029498B" w:rsidRPr="00124E5B" w:rsidRDefault="0029498B" w:rsidP="0029498B">
      <w:pPr>
        <w:rPr>
          <w:lang w:eastAsia="zh-HK"/>
        </w:rPr>
      </w:pPr>
    </w:p>
    <w:p w14:paraId="628D57E0" w14:textId="2DB0AE3A" w:rsidR="0029498B" w:rsidRPr="0049633D" w:rsidRDefault="0029498B" w:rsidP="0029498B">
      <w:r>
        <w:rPr>
          <w:b/>
        </w:rPr>
        <w:t>3.17</w:t>
      </w:r>
      <w:r w:rsidRPr="001B576E">
        <w:tab/>
      </w:r>
      <w:r w:rsidRPr="001B576E">
        <w:t>酒店業</w:t>
      </w:r>
      <w:r>
        <w:rPr>
          <w:rFonts w:ascii="新細明體" w:eastAsia="新細明體" w:hAnsi="新細明體" w:cs="新細明體" w:hint="eastAsia"/>
        </w:rPr>
        <w:t>務</w:t>
      </w:r>
      <w:r>
        <w:rPr>
          <w:rFonts w:hint="eastAsia"/>
          <w:lang w:eastAsia="zh-HK"/>
        </w:rPr>
        <w:t>隨之</w:t>
      </w:r>
      <w:r>
        <w:rPr>
          <w:rFonts w:hint="eastAsia"/>
        </w:rPr>
        <w:t>進一步改善。</w:t>
      </w:r>
      <w:r w:rsidRPr="001B576E">
        <w:t>酒店房間平均入住率</w:t>
      </w:r>
      <w:r>
        <w:rPr>
          <w:rFonts w:hint="eastAsia"/>
          <w:lang w:eastAsia="zh-HK"/>
        </w:rPr>
        <w:t>由第</w:t>
      </w:r>
      <w:r>
        <w:rPr>
          <w:rFonts w:hint="eastAsia"/>
        </w:rPr>
        <w:t>一</w:t>
      </w:r>
      <w:r>
        <w:rPr>
          <w:rFonts w:hint="eastAsia"/>
          <w:lang w:eastAsia="zh-HK"/>
        </w:rPr>
        <w:t>季的</w:t>
      </w:r>
      <w:r>
        <w:rPr>
          <w:rFonts w:hint="eastAsia"/>
        </w:rPr>
        <w:t>7</w:t>
      </w:r>
      <w:r>
        <w:t>6%</w:t>
      </w:r>
      <w:r>
        <w:rPr>
          <w:rFonts w:hint="eastAsia"/>
          <w:lang w:eastAsia="zh-HK"/>
        </w:rPr>
        <w:t>上升至第</w:t>
      </w:r>
      <w:r>
        <w:rPr>
          <w:rFonts w:hint="eastAsia"/>
        </w:rPr>
        <w:t>二</w:t>
      </w:r>
      <w:r>
        <w:rPr>
          <w:rFonts w:hint="eastAsia"/>
          <w:lang w:eastAsia="zh-HK"/>
        </w:rPr>
        <w:t>季</w:t>
      </w:r>
      <w:r w:rsidRPr="00983B28">
        <w:rPr>
          <w:rFonts w:hint="eastAsia"/>
          <w:lang w:eastAsia="zh-HK"/>
        </w:rPr>
        <w:t>的</w:t>
      </w:r>
      <w:r>
        <w:rPr>
          <w:rFonts w:hint="eastAsia"/>
        </w:rPr>
        <w:t>8</w:t>
      </w:r>
      <w:r w:rsidR="00A73209">
        <w:t>3</w:t>
      </w:r>
      <w:r>
        <w:rPr>
          <w:rFonts w:hint="eastAsia"/>
        </w:rPr>
        <w:t>%</w:t>
      </w:r>
      <w:r>
        <w:rPr>
          <w:rFonts w:hint="eastAsia"/>
        </w:rPr>
        <w:t>，儘管</w:t>
      </w:r>
      <w:r>
        <w:rPr>
          <w:rFonts w:hint="eastAsia"/>
          <w:lang w:eastAsia="zh-HK"/>
        </w:rPr>
        <w:t>仍</w:t>
      </w:r>
      <w:r>
        <w:rPr>
          <w:rFonts w:hint="eastAsia"/>
        </w:rPr>
        <w:t>低於二零一八年</w:t>
      </w:r>
      <w:r w:rsidR="005019F8">
        <w:rPr>
          <w:rFonts w:hint="eastAsia"/>
        </w:rPr>
        <w:t>91%</w:t>
      </w:r>
      <w:r w:rsidR="005019F8">
        <w:rPr>
          <w:rFonts w:hint="eastAsia"/>
        </w:rPr>
        <w:t>的</w:t>
      </w:r>
      <w:r>
        <w:rPr>
          <w:rFonts w:hint="eastAsia"/>
        </w:rPr>
        <w:t>平均水平。</w:t>
      </w:r>
      <w:r w:rsidRPr="001B576E">
        <w:t>酒店實際平均房租按年</w:t>
      </w:r>
      <w:r>
        <w:rPr>
          <w:rFonts w:hint="eastAsia"/>
        </w:rPr>
        <w:t>上升</w:t>
      </w:r>
      <w:r w:rsidR="00A73209">
        <w:rPr>
          <w:rFonts w:hint="eastAsia"/>
        </w:rPr>
        <w:t>29.5</w:t>
      </w:r>
      <w:r w:rsidRPr="0072734B">
        <w:rPr>
          <w:rFonts w:hint="eastAsia"/>
        </w:rPr>
        <w:t>%</w:t>
      </w:r>
      <w:r w:rsidRPr="001B576E">
        <w:t>至</w:t>
      </w:r>
      <w:r>
        <w:t>1,</w:t>
      </w:r>
      <w:r w:rsidR="00A73209">
        <w:t>404</w:t>
      </w:r>
      <w:r>
        <w:rPr>
          <w:rFonts w:hint="eastAsia"/>
        </w:rPr>
        <w:t>元</w:t>
      </w:r>
      <w:r w:rsidRPr="0072734B">
        <w:rPr>
          <w:vertAlign w:val="superscript"/>
        </w:rPr>
        <w:t>(</w:t>
      </w:r>
      <w:r>
        <w:rPr>
          <w:vertAlign w:val="superscript"/>
        </w:rPr>
        <w:t>6</w:t>
      </w:r>
      <w:r w:rsidRPr="0072734B">
        <w:rPr>
          <w:vertAlign w:val="superscript"/>
        </w:rPr>
        <w:t>)</w:t>
      </w:r>
      <w:r>
        <w:rPr>
          <w:rFonts w:hint="eastAsia"/>
        </w:rPr>
        <w:t>。</w:t>
      </w:r>
    </w:p>
    <w:p w14:paraId="637116B2" w14:textId="77777777" w:rsidR="0029498B" w:rsidRPr="004B530A" w:rsidRDefault="0029498B" w:rsidP="0029498B">
      <w:pPr>
        <w:pStyle w:val="12"/>
      </w:pPr>
      <w:r w:rsidRPr="003F012A">
        <w:t>物</w:t>
      </w:r>
      <w:r>
        <w:rPr>
          <w:rFonts w:hint="eastAsia"/>
          <w:lang w:eastAsia="zh-HK"/>
        </w:rPr>
        <w:t>流</w:t>
      </w:r>
      <w:r w:rsidRPr="003F012A">
        <w:t>業</w:t>
      </w:r>
    </w:p>
    <w:p w14:paraId="0480A134" w14:textId="3EAC181D" w:rsidR="0029498B" w:rsidRDefault="0029498B" w:rsidP="0029498B">
      <w:r w:rsidRPr="003F012A">
        <w:rPr>
          <w:rFonts w:hint="eastAsia"/>
          <w:b/>
        </w:rPr>
        <w:t>3.</w:t>
      </w:r>
      <w:r w:rsidRPr="003F012A">
        <w:rPr>
          <w:b/>
        </w:rPr>
        <w:t>1</w:t>
      </w:r>
      <w:r>
        <w:rPr>
          <w:b/>
          <w:lang w:eastAsia="zh-HK"/>
        </w:rPr>
        <w:t>8</w:t>
      </w:r>
      <w:r w:rsidRPr="003F012A">
        <w:rPr>
          <w:b/>
        </w:rPr>
        <w:tab/>
      </w:r>
      <w:r w:rsidR="003B7CF5" w:rsidRPr="00944881">
        <w:rPr>
          <w:rFonts w:hint="eastAsia"/>
        </w:rPr>
        <w:t>對</w:t>
      </w:r>
      <w:r w:rsidRPr="00944881">
        <w:rPr>
          <w:rFonts w:hint="eastAsia"/>
        </w:rPr>
        <w:t>外貿</w:t>
      </w:r>
      <w:r w:rsidR="003B7CF5" w:rsidRPr="00944881">
        <w:rPr>
          <w:rFonts w:hint="eastAsia"/>
        </w:rPr>
        <w:t>易</w:t>
      </w:r>
      <w:r w:rsidRPr="00A970FA">
        <w:rPr>
          <w:rFonts w:hint="eastAsia"/>
        </w:rPr>
        <w:t>表現疲弱</w:t>
      </w:r>
      <w:r>
        <w:rPr>
          <w:rFonts w:hint="eastAsia"/>
        </w:rPr>
        <w:t>，</w:t>
      </w:r>
      <w:r w:rsidRPr="003F012A">
        <w:rPr>
          <w:rFonts w:hint="eastAsia"/>
        </w:rPr>
        <w:t>物流業在第</w:t>
      </w:r>
      <w:r>
        <w:rPr>
          <w:rFonts w:hint="eastAsia"/>
          <w:lang w:eastAsia="zh-HK"/>
        </w:rPr>
        <w:t>二</w:t>
      </w:r>
      <w:r w:rsidRPr="003F012A">
        <w:rPr>
          <w:rFonts w:hint="eastAsia"/>
        </w:rPr>
        <w:t>季</w:t>
      </w:r>
      <w:r>
        <w:rPr>
          <w:rFonts w:hint="eastAsia"/>
          <w:lang w:eastAsia="zh-HK"/>
        </w:rPr>
        <w:t>仍然乏</w:t>
      </w:r>
      <w:r>
        <w:rPr>
          <w:rFonts w:hint="eastAsia"/>
        </w:rPr>
        <w:t>力。</w:t>
      </w:r>
      <w:r w:rsidRPr="00906824">
        <w:rPr>
          <w:rFonts w:hint="eastAsia"/>
          <w:i/>
        </w:rPr>
        <w:t>整體貨櫃吞吐</w:t>
      </w:r>
      <w:r>
        <w:rPr>
          <w:rFonts w:hint="eastAsia"/>
          <w:i/>
          <w:lang w:eastAsia="zh-HK"/>
        </w:rPr>
        <w:t>量</w:t>
      </w:r>
      <w:r>
        <w:rPr>
          <w:rFonts w:hint="eastAsia"/>
          <w:lang w:eastAsia="zh-HK"/>
        </w:rPr>
        <w:t>由</w:t>
      </w:r>
      <w:r>
        <w:rPr>
          <w:rFonts w:hint="eastAsia"/>
        </w:rPr>
        <w:t>一年前</w:t>
      </w:r>
      <w:r>
        <w:rPr>
          <w:rFonts w:hint="eastAsia"/>
          <w:lang w:eastAsia="zh-HK"/>
        </w:rPr>
        <w:t>的高位急跌</w:t>
      </w:r>
      <w:r>
        <w:rPr>
          <w:rFonts w:hint="eastAsia"/>
        </w:rPr>
        <w:t>2</w:t>
      </w:r>
      <w:r>
        <w:t>1.8</w:t>
      </w:r>
      <w:r>
        <w:rPr>
          <w:rFonts w:hint="eastAsia"/>
        </w:rPr>
        <w:t>%</w:t>
      </w:r>
      <w:r>
        <w:rPr>
          <w:rFonts w:hint="eastAsia"/>
        </w:rPr>
        <w:t>至</w:t>
      </w:r>
      <w:r>
        <w:t>370 </w:t>
      </w:r>
      <w:r>
        <w:rPr>
          <w:rFonts w:hint="eastAsia"/>
        </w:rPr>
        <w:t>萬</w:t>
      </w:r>
      <w:r w:rsidRPr="003F012A">
        <w:t>個二十呎標準貨櫃單位</w:t>
      </w:r>
      <w:r>
        <w:rPr>
          <w:rFonts w:hint="eastAsia"/>
        </w:rPr>
        <w:t>。</w:t>
      </w:r>
      <w:r>
        <w:rPr>
          <w:rFonts w:hint="eastAsia"/>
          <w:lang w:eastAsia="zh-HK"/>
        </w:rPr>
        <w:t>經</w:t>
      </w:r>
      <w:r w:rsidRPr="003F012A">
        <w:rPr>
          <w:rFonts w:hint="eastAsia"/>
        </w:rPr>
        <w:t>香港港口處</w:t>
      </w:r>
      <w:r>
        <w:rPr>
          <w:rFonts w:hint="eastAsia"/>
          <w:lang w:eastAsia="zh-HK"/>
        </w:rPr>
        <w:t>理</w:t>
      </w:r>
      <w:r w:rsidRPr="003F012A">
        <w:rPr>
          <w:rFonts w:hint="eastAsia"/>
        </w:rPr>
        <w:t>的貿</w:t>
      </w:r>
      <w:r>
        <w:rPr>
          <w:rFonts w:hint="eastAsia"/>
          <w:lang w:eastAsia="zh-HK"/>
        </w:rPr>
        <w:t>易</w:t>
      </w:r>
      <w:r w:rsidRPr="003F012A">
        <w:rPr>
          <w:rFonts w:hint="eastAsia"/>
        </w:rPr>
        <w:t>貨值</w:t>
      </w:r>
      <w:r>
        <w:rPr>
          <w:rFonts w:hint="eastAsia"/>
          <w:lang w:eastAsia="zh-HK"/>
        </w:rPr>
        <w:t>急挫</w:t>
      </w:r>
      <w:r>
        <w:rPr>
          <w:rFonts w:hint="eastAsia"/>
        </w:rPr>
        <w:t>4</w:t>
      </w:r>
      <w:r>
        <w:t>0.3</w:t>
      </w:r>
      <w:r w:rsidRPr="00A917A1">
        <w:t>%</w:t>
      </w:r>
      <w:r w:rsidRPr="003F012A">
        <w:rPr>
          <w:rFonts w:hint="eastAsia"/>
        </w:rPr>
        <w:t>，其佔貿易總值的份額由一年前的</w:t>
      </w:r>
      <w:r>
        <w:rPr>
          <w:rFonts w:hint="eastAsia"/>
        </w:rPr>
        <w:t>18.6</w:t>
      </w:r>
      <w:r w:rsidRPr="003F012A">
        <w:rPr>
          <w:rFonts w:hint="eastAsia"/>
        </w:rPr>
        <w:t>%</w:t>
      </w:r>
      <w:r>
        <w:rPr>
          <w:rFonts w:hint="eastAsia"/>
        </w:rPr>
        <w:t>下跌至</w:t>
      </w:r>
      <w:r>
        <w:t>12.8</w:t>
      </w:r>
      <w:r w:rsidRPr="00F96C41">
        <w:rPr>
          <w:rFonts w:hint="eastAsia"/>
        </w:rPr>
        <w:t>%</w:t>
      </w:r>
      <w:r w:rsidRPr="003F012A">
        <w:rPr>
          <w:rFonts w:hint="eastAsia"/>
        </w:rPr>
        <w:t>。</w:t>
      </w:r>
    </w:p>
    <w:p w14:paraId="55B50901" w14:textId="77777777" w:rsidR="0029498B" w:rsidRDefault="0029498B" w:rsidP="0029498B">
      <w:r w:rsidRPr="0018283E">
        <w:rPr>
          <w:noProof/>
        </w:rPr>
        <w:lastRenderedPageBreak/>
        <w:drawing>
          <wp:inline distT="0" distB="0" distL="0" distR="0" wp14:anchorId="427691AE" wp14:editId="59BF97CD">
            <wp:extent cx="5760085" cy="3511559"/>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11559"/>
                    </a:xfrm>
                    <a:prstGeom prst="rect">
                      <a:avLst/>
                    </a:prstGeom>
                    <a:noFill/>
                    <a:ln>
                      <a:noFill/>
                    </a:ln>
                  </pic:spPr>
                </pic:pic>
              </a:graphicData>
            </a:graphic>
          </wp:inline>
        </w:drawing>
      </w:r>
    </w:p>
    <w:p w14:paraId="1D273F49" w14:textId="77777777" w:rsidR="0029498B" w:rsidRDefault="0029498B" w:rsidP="0029498B"/>
    <w:p w14:paraId="05B397C8" w14:textId="77777777" w:rsidR="0029498B" w:rsidRDefault="0029498B" w:rsidP="0029498B">
      <w:r w:rsidRPr="008A7F8A">
        <w:rPr>
          <w:b/>
        </w:rPr>
        <w:t>3.1</w:t>
      </w:r>
      <w:r>
        <w:rPr>
          <w:b/>
          <w:lang w:eastAsia="zh-HK"/>
        </w:rPr>
        <w:t>9</w:t>
      </w:r>
      <w:r w:rsidRPr="008A7F8A">
        <w:tab/>
      </w:r>
      <w:r w:rsidRPr="008A7F8A">
        <w:rPr>
          <w:i/>
        </w:rPr>
        <w:t>空運吞吐量</w:t>
      </w:r>
      <w:r>
        <w:rPr>
          <w:rFonts w:hint="eastAsia"/>
          <w:lang w:eastAsia="zh-HK"/>
        </w:rPr>
        <w:t>亦</w:t>
      </w:r>
      <w:r>
        <w:rPr>
          <w:rFonts w:hint="eastAsia"/>
        </w:rPr>
        <w:t>有所下跌，</w:t>
      </w:r>
      <w:r w:rsidRPr="003F012A">
        <w:rPr>
          <w:rFonts w:hint="eastAsia"/>
        </w:rPr>
        <w:t>在第</w:t>
      </w:r>
      <w:r>
        <w:rPr>
          <w:rFonts w:hint="eastAsia"/>
          <w:lang w:eastAsia="zh-HK"/>
        </w:rPr>
        <w:t>二</w:t>
      </w:r>
      <w:r w:rsidRPr="003F012A">
        <w:rPr>
          <w:rFonts w:hint="eastAsia"/>
        </w:rPr>
        <w:t>季</w:t>
      </w:r>
      <w:r w:rsidRPr="008A7F8A">
        <w:t>按年</w:t>
      </w:r>
      <w:r>
        <w:rPr>
          <w:rFonts w:hint="eastAsia"/>
          <w:iCs/>
        </w:rPr>
        <w:t>回落</w:t>
      </w:r>
      <w:r>
        <w:rPr>
          <w:iCs/>
        </w:rPr>
        <w:t>4.8</w:t>
      </w:r>
      <w:r w:rsidRPr="008A7F8A">
        <w:t>%</w:t>
      </w:r>
      <w:r w:rsidRPr="008A7F8A">
        <w:t>至</w:t>
      </w:r>
      <w:r>
        <w:rPr>
          <w:rFonts w:hint="eastAsia"/>
        </w:rPr>
        <w:t>100</w:t>
      </w:r>
      <w:r>
        <w:t> </w:t>
      </w:r>
      <w:r w:rsidRPr="008A7F8A">
        <w:t>萬公噸。空運貿易</w:t>
      </w:r>
      <w:r w:rsidRPr="008A7F8A">
        <w:rPr>
          <w:lang w:eastAsia="zh-HK"/>
        </w:rPr>
        <w:t>貨</w:t>
      </w:r>
      <w:r w:rsidRPr="008A7F8A">
        <w:t>值</w:t>
      </w:r>
      <w:r>
        <w:rPr>
          <w:rFonts w:ascii="新細明體" w:eastAsia="新細明體" w:hAnsi="新細明體" w:cs="新細明體" w:hint="eastAsia"/>
          <w:lang w:eastAsia="zh-HK"/>
        </w:rPr>
        <w:t>縮</w:t>
      </w:r>
      <w:r>
        <w:rPr>
          <w:rFonts w:hint="eastAsia"/>
        </w:rPr>
        <w:t>減</w:t>
      </w:r>
      <w:r>
        <w:t>17.3</w:t>
      </w:r>
      <w:r w:rsidRPr="008A7F8A">
        <w:t>%</w:t>
      </w:r>
      <w:r w:rsidRPr="008A7F8A">
        <w:t>，其佔貿易總值的份額由一年前的</w:t>
      </w:r>
      <w:r>
        <w:rPr>
          <w:rFonts w:hint="eastAsia"/>
        </w:rPr>
        <w:t>49.0</w:t>
      </w:r>
      <w:r w:rsidRPr="008A7F8A">
        <w:t>%</w:t>
      </w:r>
      <w:r>
        <w:rPr>
          <w:rFonts w:hint="eastAsia"/>
          <w:lang w:eastAsia="zh-HK"/>
        </w:rPr>
        <w:t>降</w:t>
      </w:r>
      <w:r w:rsidRPr="008A7F8A">
        <w:t>至</w:t>
      </w:r>
      <w:r>
        <w:rPr>
          <w:rFonts w:hint="eastAsia"/>
        </w:rPr>
        <w:t>46.</w:t>
      </w:r>
      <w:r>
        <w:t>8</w:t>
      </w:r>
      <w:r w:rsidRPr="008A7F8A">
        <w:t>%</w:t>
      </w:r>
      <w:r w:rsidRPr="003F012A">
        <w:rPr>
          <w:rFonts w:hint="eastAsia"/>
        </w:rPr>
        <w:t>。</w:t>
      </w:r>
    </w:p>
    <w:p w14:paraId="55D29957" w14:textId="77777777" w:rsidR="0029498B" w:rsidRDefault="0029498B" w:rsidP="0029498B">
      <w:r w:rsidRPr="008C7FDB">
        <w:rPr>
          <w:noProof/>
        </w:rPr>
        <w:drawing>
          <wp:inline distT="0" distB="0" distL="0" distR="0" wp14:anchorId="262F7A47" wp14:editId="0672B15D">
            <wp:extent cx="5760085" cy="3512672"/>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12672"/>
                    </a:xfrm>
                    <a:prstGeom prst="rect">
                      <a:avLst/>
                    </a:prstGeom>
                    <a:noFill/>
                    <a:ln>
                      <a:noFill/>
                    </a:ln>
                  </pic:spPr>
                </pic:pic>
              </a:graphicData>
            </a:graphic>
          </wp:inline>
        </w:drawing>
      </w:r>
    </w:p>
    <w:p w14:paraId="4F194400" w14:textId="77777777" w:rsidR="0029498B" w:rsidRPr="005C749C" w:rsidRDefault="0029498B" w:rsidP="0029498B">
      <w:pPr>
        <w:pStyle w:val="12"/>
      </w:pPr>
      <w:r w:rsidRPr="005C749C">
        <w:rPr>
          <w:rFonts w:hint="eastAsia"/>
        </w:rPr>
        <w:lastRenderedPageBreak/>
        <w:t>運輸</w:t>
      </w:r>
    </w:p>
    <w:p w14:paraId="1752908A" w14:textId="1719300F" w:rsidR="0029498B" w:rsidRDefault="0029498B" w:rsidP="0029498B">
      <w:r w:rsidRPr="005C749C">
        <w:rPr>
          <w:b/>
        </w:rPr>
        <w:t>3.</w:t>
      </w:r>
      <w:r>
        <w:rPr>
          <w:b/>
        </w:rPr>
        <w:t>20</w:t>
      </w:r>
      <w:r w:rsidRPr="005C749C">
        <w:tab/>
      </w:r>
      <w:r w:rsidRPr="005C749C">
        <w:rPr>
          <w:rFonts w:hint="eastAsia"/>
        </w:rPr>
        <w:t>所有模式的跨境客運交通流量</w:t>
      </w:r>
      <w:r w:rsidRPr="005C749C">
        <w:t>在</w:t>
      </w:r>
      <w:r w:rsidRPr="005C749C">
        <w:rPr>
          <w:rFonts w:hint="eastAsia"/>
        </w:rPr>
        <w:t>第</w:t>
      </w:r>
      <w:r>
        <w:rPr>
          <w:rFonts w:hint="eastAsia"/>
        </w:rPr>
        <w:t>二</w:t>
      </w:r>
      <w:r w:rsidRPr="005C749C">
        <w:rPr>
          <w:rFonts w:hint="eastAsia"/>
        </w:rPr>
        <w:t>季</w:t>
      </w:r>
      <w:r>
        <w:rPr>
          <w:rFonts w:hint="eastAsia"/>
          <w:lang w:eastAsia="zh-HK"/>
        </w:rPr>
        <w:t>繼</w:t>
      </w:r>
      <w:r>
        <w:rPr>
          <w:rFonts w:hint="eastAsia"/>
        </w:rPr>
        <w:t>續</w:t>
      </w:r>
      <w:r w:rsidRPr="001F3D9A">
        <w:rPr>
          <w:rFonts w:hint="eastAsia"/>
          <w:lang w:eastAsia="zh-HK"/>
        </w:rPr>
        <w:t>恢</w:t>
      </w:r>
      <w:r w:rsidRPr="00F9381E">
        <w:rPr>
          <w:rFonts w:hint="eastAsia"/>
        </w:rPr>
        <w:t>復</w:t>
      </w:r>
      <w:r>
        <w:rPr>
          <w:rFonts w:hint="eastAsia"/>
          <w:lang w:eastAsia="zh-HK"/>
        </w:rPr>
        <w:t>。</w:t>
      </w:r>
      <w:r w:rsidRPr="005C749C">
        <w:t>航空客運量</w:t>
      </w:r>
      <w:r>
        <w:rPr>
          <w:rFonts w:hint="eastAsia"/>
        </w:rPr>
        <w:t>由</w:t>
      </w:r>
      <w:r>
        <w:rPr>
          <w:rFonts w:hint="eastAsia"/>
          <w:lang w:eastAsia="zh-HK"/>
        </w:rPr>
        <w:t>上一季</w:t>
      </w:r>
      <w:r w:rsidRPr="00983B28">
        <w:rPr>
          <w:rFonts w:hint="eastAsia"/>
          <w:lang w:eastAsia="zh-HK"/>
        </w:rPr>
        <w:t>的</w:t>
      </w:r>
      <w:r>
        <w:rPr>
          <w:rFonts w:hint="eastAsia"/>
        </w:rPr>
        <w:t>700</w:t>
      </w:r>
      <w:r>
        <w:rPr>
          <w:lang w:eastAsia="zh-HK"/>
        </w:rPr>
        <w:t> </w:t>
      </w:r>
      <w:r>
        <w:rPr>
          <w:rFonts w:hint="eastAsia"/>
        </w:rPr>
        <w:t>萬人次上升至</w:t>
      </w:r>
      <w:r>
        <w:rPr>
          <w:rFonts w:hint="eastAsia"/>
        </w:rPr>
        <w:t>950</w:t>
      </w:r>
      <w:r>
        <w:t> </w:t>
      </w:r>
      <w:r>
        <w:rPr>
          <w:rFonts w:hint="eastAsia"/>
        </w:rPr>
        <w:t>萬人次，而</w:t>
      </w:r>
      <w:r w:rsidRPr="005C749C">
        <w:t>水路和陸路跨境客運量</w:t>
      </w:r>
      <w:r>
        <w:rPr>
          <w:rFonts w:hint="eastAsia"/>
          <w:lang w:eastAsia="zh-HK"/>
        </w:rPr>
        <w:t>亦分</w:t>
      </w:r>
      <w:r>
        <w:rPr>
          <w:rFonts w:hint="eastAsia"/>
        </w:rPr>
        <w:t>別</w:t>
      </w:r>
      <w:r>
        <w:rPr>
          <w:rFonts w:hint="eastAsia"/>
          <w:lang w:eastAsia="zh-HK"/>
        </w:rPr>
        <w:t>從</w:t>
      </w:r>
      <w:r>
        <w:rPr>
          <w:rFonts w:hint="eastAsia"/>
        </w:rPr>
        <w:t>130</w:t>
      </w:r>
      <w:r>
        <w:t> </w:t>
      </w:r>
      <w:r>
        <w:rPr>
          <w:rFonts w:hint="eastAsia"/>
        </w:rPr>
        <w:t>萬</w:t>
      </w:r>
      <w:r>
        <w:rPr>
          <w:rFonts w:hint="eastAsia"/>
          <w:lang w:eastAsia="zh-HK"/>
        </w:rPr>
        <w:t>人次和</w:t>
      </w:r>
      <w:r>
        <w:rPr>
          <w:rFonts w:hint="eastAsia"/>
        </w:rPr>
        <w:t>2</w:t>
      </w:r>
      <w:r>
        <w:t> </w:t>
      </w:r>
      <w:r>
        <w:rPr>
          <w:rFonts w:hint="eastAsia"/>
        </w:rPr>
        <w:t>320</w:t>
      </w:r>
      <w:r>
        <w:rPr>
          <w:rFonts w:hint="eastAsia"/>
        </w:rPr>
        <w:t>萬</w:t>
      </w:r>
      <w:r>
        <w:rPr>
          <w:rFonts w:hint="eastAsia"/>
          <w:lang w:eastAsia="zh-HK"/>
        </w:rPr>
        <w:t>人次</w:t>
      </w:r>
      <w:r>
        <w:rPr>
          <w:rFonts w:hint="eastAsia"/>
          <w:spacing w:val="34"/>
        </w:rPr>
        <w:t>急</w:t>
      </w:r>
      <w:r>
        <w:rPr>
          <w:rFonts w:hint="eastAsia"/>
        </w:rPr>
        <w:t>升至</w:t>
      </w:r>
      <w:r>
        <w:rPr>
          <w:rFonts w:hint="eastAsia"/>
        </w:rPr>
        <w:t>220</w:t>
      </w:r>
      <w:r>
        <w:t> </w:t>
      </w:r>
      <w:r>
        <w:rPr>
          <w:rFonts w:hint="eastAsia"/>
        </w:rPr>
        <w:t>萬人次和</w:t>
      </w:r>
      <w:r>
        <w:rPr>
          <w:rFonts w:hint="eastAsia"/>
        </w:rPr>
        <w:t>4</w:t>
      </w:r>
      <w:r>
        <w:rPr>
          <w:lang w:eastAsia="zh-HK"/>
        </w:rPr>
        <w:t> </w:t>
      </w:r>
      <w:r>
        <w:rPr>
          <w:rFonts w:hint="eastAsia"/>
        </w:rPr>
        <w:t>310</w:t>
      </w:r>
      <w:r>
        <w:t> </w:t>
      </w:r>
      <w:r>
        <w:rPr>
          <w:rFonts w:hint="eastAsia"/>
        </w:rPr>
        <w:t>萬人次。</w:t>
      </w:r>
      <w:r>
        <w:rPr>
          <w:rFonts w:hint="eastAsia"/>
          <w:lang w:eastAsia="zh-HK"/>
        </w:rPr>
        <w:t>這三種</w:t>
      </w:r>
      <w:r w:rsidRPr="005C749C">
        <w:rPr>
          <w:rFonts w:hint="eastAsia"/>
        </w:rPr>
        <w:t>客運模式的</w:t>
      </w:r>
      <w:r w:rsidRPr="00843858">
        <w:rPr>
          <w:rFonts w:hint="eastAsia"/>
        </w:rPr>
        <w:t>客運量</w:t>
      </w:r>
      <w:r>
        <w:rPr>
          <w:rFonts w:hint="eastAsia"/>
          <w:lang w:eastAsia="zh-HK"/>
        </w:rPr>
        <w:t>已</w:t>
      </w:r>
      <w:r w:rsidR="0060460C">
        <w:rPr>
          <w:rFonts w:hint="eastAsia"/>
          <w:lang w:eastAsia="zh-HK"/>
        </w:rPr>
        <w:t>相應</w:t>
      </w:r>
      <w:r>
        <w:rPr>
          <w:rFonts w:hint="eastAsia"/>
          <w:lang w:eastAsia="zh-HK"/>
        </w:rPr>
        <w:t>回</w:t>
      </w:r>
      <w:r>
        <w:rPr>
          <w:rFonts w:hint="eastAsia"/>
        </w:rPr>
        <w:t>復</w:t>
      </w:r>
      <w:r>
        <w:rPr>
          <w:rFonts w:hint="eastAsia"/>
          <w:lang w:eastAsia="zh-HK"/>
        </w:rPr>
        <w:t>至</w:t>
      </w:r>
      <w:r w:rsidRPr="005C749C">
        <w:t>二零一</w:t>
      </w:r>
      <w:r>
        <w:rPr>
          <w:rFonts w:hint="eastAsia"/>
        </w:rPr>
        <w:t>八</w:t>
      </w:r>
      <w:r w:rsidRPr="005C749C">
        <w:t>年</w:t>
      </w:r>
      <w:r>
        <w:rPr>
          <w:rFonts w:hint="eastAsia"/>
        </w:rPr>
        <w:t>季度平均</w:t>
      </w:r>
      <w:r w:rsidRPr="005C749C">
        <w:t>水平</w:t>
      </w:r>
      <w:r>
        <w:rPr>
          <w:rFonts w:hint="eastAsia"/>
          <w:lang w:eastAsia="zh-HK"/>
        </w:rPr>
        <w:t>的</w:t>
      </w:r>
      <w:r>
        <w:rPr>
          <w:rFonts w:hint="eastAsia"/>
        </w:rPr>
        <w:t>51.</w:t>
      </w:r>
      <w:r>
        <w:t>4</w:t>
      </w:r>
      <w:r>
        <w:rPr>
          <w:rFonts w:hint="eastAsia"/>
        </w:rPr>
        <w:t>%</w:t>
      </w:r>
      <w:r>
        <w:rPr>
          <w:rFonts w:hint="eastAsia"/>
          <w:lang w:eastAsia="zh-HK"/>
        </w:rPr>
        <w:t>、</w:t>
      </w:r>
      <w:r>
        <w:rPr>
          <w:rFonts w:hint="eastAsia"/>
        </w:rPr>
        <w:t>34.2%</w:t>
      </w:r>
      <w:r w:rsidRPr="005C749C">
        <w:rPr>
          <w:rFonts w:hint="eastAsia"/>
        </w:rPr>
        <w:t>和</w:t>
      </w:r>
      <w:r>
        <w:rPr>
          <w:rFonts w:hint="eastAsia"/>
        </w:rPr>
        <w:t>73.1</w:t>
      </w:r>
      <w:r w:rsidRPr="005C749C">
        <w:t>%</w:t>
      </w:r>
      <w:r w:rsidRPr="005C749C">
        <w:t>。同時，平均每日跨境車輛流量</w:t>
      </w:r>
      <w:r>
        <w:rPr>
          <w:rFonts w:hint="eastAsia"/>
        </w:rPr>
        <w:t>由</w:t>
      </w:r>
      <w:r>
        <w:t>16 340</w:t>
      </w:r>
      <w:r w:rsidR="00C61447">
        <w:t> </w:t>
      </w:r>
      <w:r w:rsidRPr="005C749C">
        <w:t>架次</w:t>
      </w:r>
      <w:r>
        <w:rPr>
          <w:rFonts w:hint="eastAsia"/>
        </w:rPr>
        <w:t>進一步</w:t>
      </w:r>
      <w:r>
        <w:rPr>
          <w:rFonts w:hint="eastAsia"/>
          <w:lang w:eastAsia="zh-HK"/>
        </w:rPr>
        <w:t>上</w:t>
      </w:r>
      <w:r>
        <w:rPr>
          <w:rFonts w:hint="eastAsia"/>
        </w:rPr>
        <w:t>升</w:t>
      </w:r>
      <w:r w:rsidRPr="005C749C">
        <w:rPr>
          <w:rFonts w:hint="eastAsia"/>
        </w:rPr>
        <w:t>至</w:t>
      </w:r>
      <w:r>
        <w:rPr>
          <w:rFonts w:hint="eastAsia"/>
        </w:rPr>
        <w:t>27</w:t>
      </w:r>
      <w:r>
        <w:t> </w:t>
      </w:r>
      <w:r w:rsidR="007630DB">
        <w:t>105</w:t>
      </w:r>
      <w:r w:rsidRPr="005C749C">
        <w:t>架次，</w:t>
      </w:r>
      <w:r w:rsidRPr="003779B1">
        <w:rPr>
          <w:rFonts w:hint="eastAsia"/>
          <w:lang w:eastAsia="zh-HK"/>
        </w:rPr>
        <w:t>相</w:t>
      </w:r>
      <w:r>
        <w:rPr>
          <w:rFonts w:hint="eastAsia"/>
          <w:lang w:eastAsia="zh-HK"/>
        </w:rPr>
        <w:t>當</w:t>
      </w:r>
      <w:r w:rsidRPr="005C749C">
        <w:t>於二零一</w:t>
      </w:r>
      <w:r>
        <w:rPr>
          <w:rFonts w:hint="eastAsia"/>
        </w:rPr>
        <w:t>八</w:t>
      </w:r>
      <w:r w:rsidRPr="005C749C">
        <w:t>年</w:t>
      </w:r>
      <w:r>
        <w:rPr>
          <w:rFonts w:hint="eastAsia"/>
        </w:rPr>
        <w:t>每日平均水平</w:t>
      </w:r>
      <w:r w:rsidRPr="005C749C">
        <w:t>的</w:t>
      </w:r>
      <w:r>
        <w:rPr>
          <w:rFonts w:hint="eastAsia"/>
        </w:rPr>
        <w:t>63.</w:t>
      </w:r>
      <w:r w:rsidR="007630DB">
        <w:t>1</w:t>
      </w:r>
      <w:r>
        <w:t>%</w:t>
      </w:r>
      <w:r w:rsidRPr="005C749C">
        <w:t>。</w:t>
      </w:r>
    </w:p>
    <w:p w14:paraId="557FBE1F" w14:textId="77777777" w:rsidR="0029498B" w:rsidRPr="005C749C" w:rsidRDefault="0029498B" w:rsidP="0029498B">
      <w:pPr>
        <w:pStyle w:val="12"/>
        <w:rPr>
          <w:b/>
        </w:rPr>
      </w:pPr>
      <w:r w:rsidRPr="005C749C">
        <w:rPr>
          <w:rFonts w:hint="eastAsia"/>
        </w:rPr>
        <w:t>創新及科技</w:t>
      </w:r>
    </w:p>
    <w:p w14:paraId="20AD89C0" w14:textId="4A4CEE17" w:rsidR="0029498B" w:rsidRDefault="0029498B" w:rsidP="0029498B">
      <w:r w:rsidRPr="005C749C">
        <w:rPr>
          <w:b/>
        </w:rPr>
        <w:t>3.</w:t>
      </w:r>
      <w:r>
        <w:rPr>
          <w:b/>
        </w:rPr>
        <w:t>21</w:t>
      </w:r>
      <w:r w:rsidRPr="005C749C">
        <w:tab/>
      </w:r>
      <w:r>
        <w:rPr>
          <w:rFonts w:hint="eastAsia"/>
          <w:lang w:eastAsia="zh-HK"/>
        </w:rPr>
        <w:t>政</w:t>
      </w:r>
      <w:r>
        <w:rPr>
          <w:rFonts w:hint="eastAsia"/>
        </w:rPr>
        <w:t>府</w:t>
      </w:r>
      <w:r w:rsidRPr="00FE4E7C">
        <w:rPr>
          <w:rFonts w:hint="eastAsia"/>
        </w:rPr>
        <w:t>與國家互聯網信息辦公室</w:t>
      </w:r>
      <w:r>
        <w:rPr>
          <w:rFonts w:hint="eastAsia"/>
        </w:rPr>
        <w:t>(</w:t>
      </w:r>
      <w:r>
        <w:rPr>
          <w:rFonts w:hint="eastAsia"/>
        </w:rPr>
        <w:t>國家網信辦</w:t>
      </w:r>
      <w:r>
        <w:rPr>
          <w:rFonts w:hint="eastAsia"/>
        </w:rPr>
        <w:t>)</w:t>
      </w:r>
      <w:r>
        <w:rPr>
          <w:rFonts w:hint="eastAsia"/>
          <w:lang w:eastAsia="zh-HK"/>
        </w:rPr>
        <w:t>在六月</w:t>
      </w:r>
      <w:r w:rsidRPr="00FE4E7C">
        <w:rPr>
          <w:rFonts w:hint="eastAsia"/>
        </w:rPr>
        <w:t>簽署《促進粵港澳大灣區數據跨境流動的合作備忘錄》</w:t>
      </w:r>
      <w:r>
        <w:rPr>
          <w:rFonts w:hint="eastAsia"/>
        </w:rPr>
        <w:t>(</w:t>
      </w:r>
      <w:r w:rsidRPr="00FE4E7C">
        <w:rPr>
          <w:rFonts w:hint="eastAsia"/>
        </w:rPr>
        <w:t>《合作備忘錄》</w:t>
      </w:r>
      <w:r>
        <w:rPr>
          <w:rFonts w:hint="eastAsia"/>
        </w:rPr>
        <w:t>)</w:t>
      </w:r>
      <w:r w:rsidRPr="00FE4E7C">
        <w:rPr>
          <w:rFonts w:hint="eastAsia"/>
        </w:rPr>
        <w:t>，共同推動粵港澳大灣區</w:t>
      </w:r>
      <w:r>
        <w:rPr>
          <w:rFonts w:hint="eastAsia"/>
        </w:rPr>
        <w:t>(</w:t>
      </w:r>
      <w:r w:rsidRPr="00FE4E7C">
        <w:rPr>
          <w:rFonts w:hint="eastAsia"/>
        </w:rPr>
        <w:t>大灣區</w:t>
      </w:r>
      <w:r>
        <w:rPr>
          <w:rFonts w:hint="eastAsia"/>
        </w:rPr>
        <w:t>)</w:t>
      </w:r>
      <w:r w:rsidRPr="00FE4E7C">
        <w:rPr>
          <w:rFonts w:hint="eastAsia"/>
        </w:rPr>
        <w:t>數據跨境流動的工作。</w:t>
      </w:r>
      <w:r w:rsidRPr="008E45B6">
        <w:rPr>
          <w:rFonts w:hint="eastAsia"/>
        </w:rPr>
        <w:t>根據《合作備忘錄》，</w:t>
      </w:r>
      <w:r w:rsidRPr="00B3509C">
        <w:rPr>
          <w:rFonts w:hint="eastAsia"/>
        </w:rPr>
        <w:t>創新科技及工業局</w:t>
      </w:r>
      <w:r w:rsidRPr="008E45B6">
        <w:rPr>
          <w:rFonts w:hint="eastAsia"/>
        </w:rPr>
        <w:t>和政府資訊科技總監辦公室會與國家網信辦緊密合作</w:t>
      </w:r>
      <w:r>
        <w:rPr>
          <w:rFonts w:hint="eastAsia"/>
          <w:lang w:eastAsia="zh-HK"/>
        </w:rPr>
        <w:t>，</w:t>
      </w:r>
      <w:r w:rsidRPr="008E45B6">
        <w:rPr>
          <w:rFonts w:hint="eastAsia"/>
        </w:rPr>
        <w:t>探討有效</w:t>
      </w:r>
      <w:r>
        <w:rPr>
          <w:rFonts w:hint="eastAsia"/>
          <w:lang w:eastAsia="zh-HK"/>
        </w:rPr>
        <w:t>的</w:t>
      </w:r>
      <w:r w:rsidRPr="008E45B6">
        <w:rPr>
          <w:rFonts w:hint="eastAsia"/>
        </w:rPr>
        <w:t>管理措施，</w:t>
      </w:r>
      <w:r w:rsidRPr="005C42EE">
        <w:rPr>
          <w:rFonts w:hint="eastAsia"/>
        </w:rPr>
        <w:t>以期</w:t>
      </w:r>
      <w:r w:rsidRPr="008E45B6">
        <w:rPr>
          <w:rFonts w:hint="eastAsia"/>
        </w:rPr>
        <w:t>促進</w:t>
      </w:r>
      <w:r w:rsidRPr="00FE4E7C">
        <w:rPr>
          <w:rFonts w:hint="eastAsia"/>
        </w:rPr>
        <w:t>大灣</w:t>
      </w:r>
      <w:r w:rsidRPr="008E45B6">
        <w:rPr>
          <w:rFonts w:hint="eastAsia"/>
        </w:rPr>
        <w:t>區內</w:t>
      </w:r>
      <w:r>
        <w:rPr>
          <w:rFonts w:hint="eastAsia"/>
          <w:lang w:eastAsia="zh-HK"/>
        </w:rPr>
        <w:t>的</w:t>
      </w:r>
      <w:r w:rsidRPr="008E45B6">
        <w:rPr>
          <w:rFonts w:hint="eastAsia"/>
        </w:rPr>
        <w:t>數據跨境流動</w:t>
      </w:r>
      <w:r w:rsidRPr="008E45B6">
        <w:rPr>
          <w:rFonts w:hint="eastAsia"/>
          <w:lang w:eastAsia="zh-HK"/>
        </w:rPr>
        <w:t>。</w:t>
      </w:r>
      <w:r>
        <w:rPr>
          <w:rFonts w:hint="eastAsia"/>
          <w:lang w:eastAsia="zh-HK"/>
        </w:rPr>
        <w:t>此舉措將有利</w:t>
      </w:r>
      <w:r w:rsidRPr="00AA6EF7">
        <w:rPr>
          <w:rFonts w:hint="eastAsia"/>
        </w:rPr>
        <w:t>推動</w:t>
      </w:r>
      <w:r>
        <w:rPr>
          <w:rFonts w:hint="eastAsia"/>
          <w:lang w:eastAsia="zh-HK"/>
        </w:rPr>
        <w:t>大灣區的</w:t>
      </w:r>
      <w:r w:rsidRPr="00AA6EF7">
        <w:rPr>
          <w:rFonts w:hint="eastAsia"/>
        </w:rPr>
        <w:t>高質量</w:t>
      </w:r>
      <w:r>
        <w:rPr>
          <w:rFonts w:hint="eastAsia"/>
          <w:lang w:eastAsia="zh-HK"/>
        </w:rPr>
        <w:t>融合</w:t>
      </w:r>
      <w:r w:rsidRPr="00AA6EF7">
        <w:rPr>
          <w:rFonts w:hint="eastAsia"/>
        </w:rPr>
        <w:t>發展，降低企業跨境數據流動的合規成本</w:t>
      </w:r>
      <w:r w:rsidRPr="005D54BF">
        <w:rPr>
          <w:rFonts w:hint="eastAsia"/>
        </w:rPr>
        <w:t>，</w:t>
      </w:r>
      <w:r>
        <w:rPr>
          <w:rFonts w:hint="eastAsia"/>
          <w:lang w:eastAsia="zh-HK"/>
        </w:rPr>
        <w:t>帶動本</w:t>
      </w:r>
      <w:r>
        <w:rPr>
          <w:rFonts w:hint="eastAsia"/>
        </w:rPr>
        <w:t>港</w:t>
      </w:r>
      <w:r w:rsidRPr="005D54BF">
        <w:rPr>
          <w:rFonts w:hint="eastAsia"/>
        </w:rPr>
        <w:t>數字經濟</w:t>
      </w:r>
      <w:r w:rsidR="005019F8">
        <w:rPr>
          <w:rFonts w:hint="eastAsia"/>
          <w:lang w:eastAsia="zh-HK"/>
        </w:rPr>
        <w:t>的</w:t>
      </w:r>
      <w:r w:rsidRPr="005D54BF">
        <w:rPr>
          <w:rFonts w:hint="eastAsia"/>
        </w:rPr>
        <w:t>發展</w:t>
      </w:r>
      <w:r w:rsidR="008C2426">
        <w:rPr>
          <w:rFonts w:hint="eastAsia"/>
          <w:lang w:eastAsia="zh-HK"/>
        </w:rPr>
        <w:t>和</w:t>
      </w:r>
      <w:r>
        <w:rPr>
          <w:rFonts w:hint="eastAsia"/>
          <w:lang w:eastAsia="zh-HK"/>
        </w:rPr>
        <w:t>把</w:t>
      </w:r>
      <w:r w:rsidRPr="004B3C47">
        <w:rPr>
          <w:rFonts w:hint="eastAsia"/>
          <w:lang w:eastAsia="zh-HK"/>
        </w:rPr>
        <w:t>香港建設成國際數據港。</w:t>
      </w:r>
    </w:p>
    <w:p w14:paraId="3C8A4019" w14:textId="77777777" w:rsidR="0029498B" w:rsidRDefault="0029498B" w:rsidP="0029498B">
      <w:pPr>
        <w:pStyle w:val="12"/>
      </w:pPr>
      <w:r w:rsidRPr="009A20C0">
        <w:rPr>
          <w:rFonts w:hint="eastAsia"/>
        </w:rPr>
        <w:t>環境</w:t>
      </w:r>
    </w:p>
    <w:p w14:paraId="1EC9E583" w14:textId="0418D3C5" w:rsidR="0029498B" w:rsidRDefault="0029498B" w:rsidP="0029498B">
      <w:pPr>
        <w:rPr>
          <w:bCs/>
          <w:sz w:val="28"/>
          <w:szCs w:val="28"/>
          <w:lang w:val="en-GB"/>
        </w:rPr>
      </w:pPr>
      <w:r>
        <w:rPr>
          <w:rFonts w:hint="eastAsia"/>
          <w:b/>
        </w:rPr>
        <w:t>3</w:t>
      </w:r>
      <w:r w:rsidRPr="00C026DB">
        <w:rPr>
          <w:rFonts w:hint="eastAsia"/>
          <w:b/>
        </w:rPr>
        <w:t>.</w:t>
      </w:r>
      <w:r>
        <w:rPr>
          <w:b/>
        </w:rPr>
        <w:t>22</w:t>
      </w:r>
      <w:r w:rsidRPr="00C026DB">
        <w:tab/>
      </w:r>
      <w:r w:rsidRPr="003B20FE">
        <w:t>《</w:t>
      </w:r>
      <w:r w:rsidRPr="003B20FE">
        <w:t>2023</w:t>
      </w:r>
      <w:r>
        <w:t> </w:t>
      </w:r>
      <w:r w:rsidRPr="003B20FE">
        <w:t>年罰款及定額罰款</w:t>
      </w:r>
      <w:r w:rsidRPr="003B20FE">
        <w:t>(</w:t>
      </w:r>
      <w:r w:rsidRPr="003B20FE">
        <w:t>公眾地方潔淨及阻礙</w:t>
      </w:r>
      <w:r w:rsidRPr="003B20FE">
        <w:t>)(</w:t>
      </w:r>
      <w:r w:rsidRPr="003B20FE">
        <w:t>雜項修訂</w:t>
      </w:r>
      <w:r w:rsidRPr="003B20FE">
        <w:t>)</w:t>
      </w:r>
      <w:r w:rsidRPr="003B20FE">
        <w:t>條例草案》</w:t>
      </w:r>
      <w:r w:rsidR="006D7F58">
        <w:rPr>
          <w:rFonts w:hint="eastAsia"/>
          <w:lang w:eastAsia="zh-HK"/>
        </w:rPr>
        <w:t>已於七月</w:t>
      </w:r>
      <w:r w:rsidR="00043170">
        <w:rPr>
          <w:rFonts w:hint="eastAsia"/>
        </w:rPr>
        <w:t>中</w:t>
      </w:r>
      <w:r w:rsidR="006D7F58">
        <w:rPr>
          <w:rFonts w:hint="eastAsia"/>
          <w:lang w:eastAsia="zh-HK"/>
        </w:rPr>
        <w:t>獲</w:t>
      </w:r>
      <w:r>
        <w:rPr>
          <w:rFonts w:hint="eastAsia"/>
          <w:lang w:eastAsia="zh-HK"/>
        </w:rPr>
        <w:t>立法會</w:t>
      </w:r>
      <w:r w:rsidR="006D7F58">
        <w:rPr>
          <w:rFonts w:hint="eastAsia"/>
          <w:lang w:eastAsia="zh-HK"/>
        </w:rPr>
        <w:t>通</w:t>
      </w:r>
      <w:r w:rsidR="006D7F58">
        <w:rPr>
          <w:rFonts w:hint="eastAsia"/>
        </w:rPr>
        <w:t>過</w:t>
      </w:r>
      <w:r w:rsidR="006D7F58" w:rsidRPr="000B014D">
        <w:rPr>
          <w:rFonts w:hint="eastAsia"/>
          <w:lang w:eastAsia="zh-HK"/>
        </w:rPr>
        <w:t>，</w:t>
      </w:r>
      <w:r w:rsidR="006D7F58">
        <w:rPr>
          <w:rFonts w:hint="eastAsia"/>
          <w:lang w:eastAsia="zh-HK"/>
        </w:rPr>
        <w:t>並會於</w:t>
      </w:r>
      <w:r w:rsidR="00386653">
        <w:t>二零</w:t>
      </w:r>
      <w:r w:rsidR="00386653">
        <w:rPr>
          <w:rFonts w:hint="eastAsia"/>
          <w:lang w:eastAsia="zh-HK"/>
        </w:rPr>
        <w:t>二三</w:t>
      </w:r>
      <w:r w:rsidR="00386653" w:rsidRPr="003B20FE">
        <w:t>年</w:t>
      </w:r>
      <w:r w:rsidR="00386653">
        <w:rPr>
          <w:rFonts w:hint="eastAsia"/>
          <w:lang w:eastAsia="zh-HK"/>
        </w:rPr>
        <w:t>十月二十二日生效</w:t>
      </w:r>
      <w:r>
        <w:rPr>
          <w:rFonts w:hint="eastAsia"/>
          <w:lang w:eastAsia="zh-HK"/>
        </w:rPr>
        <w:t>。該條例草案</w:t>
      </w:r>
      <w:r w:rsidR="00386653">
        <w:rPr>
          <w:rFonts w:hint="eastAsia"/>
          <w:lang w:eastAsia="zh-HK"/>
        </w:rPr>
        <w:t>主</w:t>
      </w:r>
      <w:r w:rsidR="00386653">
        <w:rPr>
          <w:rFonts w:hint="eastAsia"/>
        </w:rPr>
        <w:t>要</w:t>
      </w:r>
      <w:r w:rsidRPr="000B014D">
        <w:rPr>
          <w:rFonts w:hint="eastAsia"/>
          <w:lang w:eastAsia="zh-HK"/>
        </w:rPr>
        <w:t>旨在調高《定額罰款</w:t>
      </w:r>
      <w:r>
        <w:rPr>
          <w:rFonts w:hint="eastAsia"/>
          <w:lang w:eastAsia="zh-HK"/>
        </w:rPr>
        <w:t>(</w:t>
      </w:r>
      <w:r w:rsidRPr="000B014D">
        <w:rPr>
          <w:rFonts w:hint="eastAsia"/>
          <w:lang w:eastAsia="zh-HK"/>
        </w:rPr>
        <w:t>公眾地方潔淨及阻礙</w:t>
      </w:r>
      <w:r>
        <w:rPr>
          <w:rFonts w:hint="eastAsia"/>
          <w:lang w:eastAsia="zh-HK"/>
        </w:rPr>
        <w:t>)</w:t>
      </w:r>
      <w:r w:rsidRPr="000B014D">
        <w:rPr>
          <w:rFonts w:hint="eastAsia"/>
          <w:lang w:eastAsia="zh-HK"/>
        </w:rPr>
        <w:t>條例》</w:t>
      </w:r>
      <w:r>
        <w:rPr>
          <w:rFonts w:hint="eastAsia"/>
          <w:lang w:eastAsia="zh-HK"/>
        </w:rPr>
        <w:t>(</w:t>
      </w:r>
      <w:r w:rsidRPr="000B014D">
        <w:rPr>
          <w:rFonts w:hint="eastAsia"/>
          <w:lang w:eastAsia="zh-HK"/>
        </w:rPr>
        <w:t>第</w:t>
      </w:r>
      <w:r>
        <w:rPr>
          <w:lang w:eastAsia="zh-HK"/>
        </w:rPr>
        <w:t> </w:t>
      </w:r>
      <w:r w:rsidRPr="000B014D">
        <w:rPr>
          <w:rFonts w:hint="eastAsia"/>
          <w:lang w:eastAsia="zh-HK"/>
        </w:rPr>
        <w:t>570</w:t>
      </w:r>
      <w:r>
        <w:rPr>
          <w:lang w:eastAsia="zh-HK"/>
        </w:rPr>
        <w:t> </w:t>
      </w:r>
      <w:r w:rsidRPr="000B014D">
        <w:rPr>
          <w:rFonts w:hint="eastAsia"/>
          <w:lang w:eastAsia="zh-HK"/>
        </w:rPr>
        <w:t>章</w:t>
      </w:r>
      <w:r>
        <w:rPr>
          <w:rFonts w:hint="eastAsia"/>
          <w:lang w:eastAsia="zh-HK"/>
        </w:rPr>
        <w:t>)</w:t>
      </w:r>
      <w:r>
        <w:rPr>
          <w:rFonts w:hint="eastAsia"/>
          <w:lang w:eastAsia="zh-HK"/>
        </w:rPr>
        <w:t>中</w:t>
      </w:r>
      <w:r w:rsidRPr="000B014D">
        <w:rPr>
          <w:rFonts w:hint="eastAsia"/>
          <w:lang w:eastAsia="zh-HK"/>
        </w:rPr>
        <w:t>表列罪行</w:t>
      </w:r>
      <w:r w:rsidR="00043170" w:rsidRPr="003B20FE">
        <w:t>(</w:t>
      </w:r>
      <w:r w:rsidR="00043170">
        <w:rPr>
          <w:rFonts w:hint="eastAsia"/>
        </w:rPr>
        <w:t>包括</w:t>
      </w:r>
      <w:r w:rsidR="00043170">
        <w:rPr>
          <w:color w:val="000000"/>
          <w:szCs w:val="22"/>
          <w:shd w:val="clear" w:color="auto" w:fill="FFFFFF"/>
        </w:rPr>
        <w:t>未經准許而展示招貼或海</w:t>
      </w:r>
      <w:r w:rsidR="00043170">
        <w:rPr>
          <w:rFonts w:ascii="新細明體" w:eastAsia="新細明體" w:hAnsi="新細明體" w:cs="新細明體" w:hint="eastAsia"/>
          <w:color w:val="000000"/>
          <w:szCs w:val="22"/>
          <w:shd w:val="clear" w:color="auto" w:fill="FFFFFF"/>
        </w:rPr>
        <w:t>報</w:t>
      </w:r>
      <w:r w:rsidR="00043170">
        <w:rPr>
          <w:rFonts w:hint="eastAsia"/>
        </w:rPr>
        <w:t>；</w:t>
      </w:r>
      <w:r w:rsidR="00043170">
        <w:rPr>
          <w:color w:val="000000"/>
          <w:szCs w:val="22"/>
          <w:shd w:val="clear" w:color="auto" w:fill="FFFFFF"/>
        </w:rPr>
        <w:t>在公眾地</w:t>
      </w:r>
      <w:r w:rsidR="00043170">
        <w:rPr>
          <w:rFonts w:ascii="新細明體" w:eastAsia="新細明體" w:hAnsi="新細明體" w:cs="新細明體" w:hint="eastAsia"/>
          <w:color w:val="000000"/>
          <w:szCs w:val="22"/>
          <w:shd w:val="clear" w:color="auto" w:fill="FFFFFF"/>
        </w:rPr>
        <w:t>方</w:t>
      </w:r>
      <w:r w:rsidR="00043170">
        <w:rPr>
          <w:rFonts w:hint="eastAsia"/>
        </w:rPr>
        <w:t>、</w:t>
      </w:r>
      <w:r w:rsidR="00043170">
        <w:rPr>
          <w:color w:val="000000"/>
          <w:szCs w:val="22"/>
          <w:shd w:val="clear" w:color="auto" w:fill="FFFFFF"/>
        </w:rPr>
        <w:t>郊野公園及特別地區棄置扔棄物或廢物及吐</w:t>
      </w:r>
      <w:r w:rsidR="00043170">
        <w:rPr>
          <w:rFonts w:ascii="新細明體" w:eastAsia="新細明體" w:hAnsi="新細明體" w:cs="新細明體" w:hint="eastAsia"/>
          <w:color w:val="000000"/>
          <w:szCs w:val="22"/>
          <w:shd w:val="clear" w:color="auto" w:fill="FFFFFF"/>
        </w:rPr>
        <w:t>痰</w:t>
      </w:r>
      <w:r w:rsidR="00043170">
        <w:rPr>
          <w:rFonts w:hint="eastAsia"/>
        </w:rPr>
        <w:t>；</w:t>
      </w:r>
      <w:r w:rsidR="00043170">
        <w:rPr>
          <w:color w:val="000000"/>
          <w:szCs w:val="22"/>
          <w:shd w:val="clear" w:color="auto" w:fill="FFFFFF"/>
        </w:rPr>
        <w:t>犬隻糞便弄污街</w:t>
      </w:r>
      <w:r w:rsidR="00043170">
        <w:rPr>
          <w:rFonts w:ascii="新細明體" w:eastAsia="新細明體" w:hAnsi="新細明體" w:cs="新細明體" w:hint="eastAsia"/>
          <w:color w:val="000000"/>
          <w:szCs w:val="22"/>
          <w:shd w:val="clear" w:color="auto" w:fill="FFFFFF"/>
        </w:rPr>
        <w:t>道</w:t>
      </w:r>
      <w:r w:rsidR="00043170">
        <w:rPr>
          <w:rFonts w:hint="eastAsia"/>
        </w:rPr>
        <w:t>；</w:t>
      </w:r>
      <w:r w:rsidR="00043170">
        <w:rPr>
          <w:color w:val="000000"/>
          <w:szCs w:val="22"/>
          <w:shd w:val="clear" w:color="auto" w:fill="FFFFFF"/>
        </w:rPr>
        <w:t>海上棄置廢</w:t>
      </w:r>
      <w:r w:rsidR="00043170">
        <w:rPr>
          <w:rFonts w:ascii="新細明體" w:eastAsia="新細明體" w:hAnsi="新細明體" w:cs="新細明體" w:hint="eastAsia"/>
          <w:color w:val="000000"/>
          <w:szCs w:val="22"/>
          <w:shd w:val="clear" w:color="auto" w:fill="FFFFFF"/>
        </w:rPr>
        <w:t>物</w:t>
      </w:r>
      <w:r w:rsidR="00043170">
        <w:rPr>
          <w:rFonts w:hint="eastAsia"/>
        </w:rPr>
        <w:t>；</w:t>
      </w:r>
      <w:r w:rsidR="00043170">
        <w:rPr>
          <w:color w:val="000000"/>
          <w:szCs w:val="22"/>
          <w:shd w:val="clear" w:color="auto" w:fill="FFFFFF"/>
        </w:rPr>
        <w:t>在公眾地方造成阻</w:t>
      </w:r>
      <w:r w:rsidR="00043170">
        <w:rPr>
          <w:rFonts w:ascii="新細明體" w:eastAsia="新細明體" w:hAnsi="新細明體" w:cs="新細明體" w:hint="eastAsia"/>
          <w:color w:val="000000"/>
          <w:szCs w:val="22"/>
          <w:shd w:val="clear" w:color="auto" w:fill="FFFFFF"/>
        </w:rPr>
        <w:t>礙</w:t>
      </w:r>
      <w:r w:rsidR="00043170">
        <w:rPr>
          <w:rFonts w:hint="eastAsia"/>
          <w:lang w:eastAsia="zh-HK"/>
        </w:rPr>
        <w:t>；</w:t>
      </w:r>
      <w:r w:rsidR="00043170">
        <w:rPr>
          <w:rFonts w:hint="eastAsia"/>
        </w:rPr>
        <w:t>以</w:t>
      </w:r>
      <w:r w:rsidR="00043170">
        <w:rPr>
          <w:rFonts w:hint="eastAsia"/>
          <w:lang w:eastAsia="zh-HK"/>
        </w:rPr>
        <w:t>及</w:t>
      </w:r>
      <w:r w:rsidR="00043170">
        <w:rPr>
          <w:color w:val="000000"/>
          <w:szCs w:val="22"/>
          <w:shd w:val="clear" w:color="auto" w:fill="FFFFFF"/>
        </w:rPr>
        <w:t>非法擺放廢</w:t>
      </w:r>
      <w:r w:rsidR="00043170">
        <w:rPr>
          <w:rFonts w:ascii="新細明體" w:eastAsia="新細明體" w:hAnsi="新細明體" w:cs="新細明體" w:hint="eastAsia"/>
          <w:color w:val="000000"/>
          <w:szCs w:val="22"/>
          <w:shd w:val="clear" w:color="auto" w:fill="FFFFFF"/>
        </w:rPr>
        <w:t>物</w:t>
      </w:r>
      <w:r w:rsidR="00043170" w:rsidRPr="003B20FE">
        <w:t>)</w:t>
      </w:r>
      <w:r w:rsidRPr="000B014D">
        <w:rPr>
          <w:rFonts w:hint="eastAsia"/>
          <w:lang w:eastAsia="zh-HK"/>
        </w:rPr>
        <w:t>的定額罰款金額，以及法庭就某</w:t>
      </w:r>
      <w:r>
        <w:rPr>
          <w:rFonts w:hint="eastAsia"/>
          <w:lang w:eastAsia="zh-HK"/>
        </w:rPr>
        <w:t>些公眾地方潔淨或阻礙罪行可判處的最高罰款額，以加強阻嚇力，長遠和</w:t>
      </w:r>
      <w:r w:rsidRPr="000B014D">
        <w:rPr>
          <w:rFonts w:hint="eastAsia"/>
          <w:lang w:eastAsia="zh-HK"/>
        </w:rPr>
        <w:t>持續改善環境衞生。</w:t>
      </w:r>
    </w:p>
    <w:p w14:paraId="3E9A93E1" w14:textId="77777777" w:rsidR="007F7586" w:rsidRDefault="007F7586" w:rsidP="00AD5EAA">
      <w:pPr>
        <w:rPr>
          <w:lang w:eastAsia="zh-HK"/>
        </w:rPr>
      </w:pPr>
    </w:p>
    <w:p w14:paraId="1B2C19DF" w14:textId="77777777" w:rsidR="007F7586" w:rsidRDefault="007F7586">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noProof/>
        </w:rPr>
        <w:br w:type="page"/>
      </w:r>
    </w:p>
    <w:p w14:paraId="05E94792" w14:textId="77777777" w:rsidR="007F7586" w:rsidRPr="00B450A0" w:rsidRDefault="007F7586" w:rsidP="004A7B86">
      <w:pPr>
        <w:pStyle w:val="12"/>
      </w:pPr>
      <w:r w:rsidRPr="0085246B">
        <w:rPr>
          <w:noProof/>
        </w:rPr>
        <w:lastRenderedPageBreak/>
        <w:t>註釋</w:t>
      </w:r>
      <w:r w:rsidRPr="0085246B">
        <w:rPr>
          <w:b/>
          <w:noProof/>
        </w:rPr>
        <w:t>：</w:t>
      </w:r>
    </w:p>
    <w:p w14:paraId="616B716C" w14:textId="77777777" w:rsidR="007F7586" w:rsidRPr="00777F12" w:rsidRDefault="007F7586" w:rsidP="004A7B86">
      <w:pPr>
        <w:pStyle w:val="af9"/>
      </w:pPr>
      <w:r w:rsidRPr="00777F12">
        <w:t>(</w:t>
      </w:r>
      <w:r w:rsidRPr="00777F12">
        <w:rPr>
          <w:rFonts w:hint="eastAsia"/>
        </w:rPr>
        <w:t>1</w:t>
      </w:r>
      <w:r w:rsidRPr="00777F12">
        <w:t>)</w:t>
      </w:r>
      <w:r w:rsidRPr="00777F12">
        <w:tab/>
      </w:r>
      <w:r w:rsidRPr="00777F12">
        <w:rPr>
          <w:rFonts w:hint="eastAsia"/>
        </w:rPr>
        <w:t>由二零一九年第三季開始，置業負擔指數的計算基礎涵蓋以最優惠貸款利率為基準及以香港銀行同業拆息為基準的新造按揭貸款的按揭利率。因此，自二零一九年第三季起的數據未必能與以往季度的數據直接相比，因為後者只採用以最優惠貸款利率為基準的新造按揭貸款的按揭利率為計算基礎。</w:t>
      </w:r>
    </w:p>
    <w:p w14:paraId="71EB1DB7" w14:textId="77777777" w:rsidR="007F7586" w:rsidRDefault="007F7586" w:rsidP="004A7B86">
      <w:pPr>
        <w:pStyle w:val="af9"/>
      </w:pPr>
      <w:r w:rsidRPr="00777F12">
        <w:tab/>
      </w:r>
      <w:r w:rsidRPr="00777F12">
        <w:rPr>
          <w:rFonts w:hint="eastAsia"/>
        </w:rPr>
        <w:t>這些數字會在取得更多數據後再作修訂。</w:t>
      </w:r>
    </w:p>
    <w:p w14:paraId="63DFDB62" w14:textId="77777777" w:rsidR="007F7586" w:rsidRPr="00777F12" w:rsidRDefault="007F7586" w:rsidP="004A7B86">
      <w:pPr>
        <w:pStyle w:val="af9"/>
      </w:pPr>
      <w:r w:rsidRPr="00777F12">
        <w:t>(2)</w:t>
      </w:r>
      <w:r w:rsidRPr="00777F12">
        <w:tab/>
      </w:r>
      <w:r w:rsidRPr="009E78E4">
        <w:rPr>
          <w:rFonts w:hint="eastAsia"/>
        </w:rPr>
        <w:t>有關二零一零年公布的措施細節，見《二零一零年第一季經濟報告》專題</w:t>
      </w:r>
      <w:r w:rsidRPr="009E78E4">
        <w:t> 3.1</w:t>
      </w:r>
      <w:r w:rsidRPr="009E78E4">
        <w:rPr>
          <w:rFonts w:hint="eastAsia"/>
        </w:rPr>
        <w:t>、《二零一零年第三季經濟報告》專題</w:t>
      </w:r>
      <w:r w:rsidRPr="009E78E4">
        <w:t> 3.1</w:t>
      </w:r>
      <w:r w:rsidRPr="009E78E4">
        <w:rPr>
          <w:rFonts w:hint="eastAsia"/>
        </w:rPr>
        <w:t>，以及《二零一零年經濟概況及二零一一年展望》第四章章末註釋</w:t>
      </w:r>
      <w:r w:rsidRPr="009E78E4">
        <w:t>(2)</w:t>
      </w:r>
      <w:r w:rsidRPr="009E78E4">
        <w:rPr>
          <w:rFonts w:hint="eastAsia"/>
        </w:rPr>
        <w:t>。有關二零一一年公布的措施細節，見《二零一一年半年經濟報告》第三章章末註釋</w:t>
      </w:r>
      <w:r w:rsidRPr="009E78E4">
        <w:t>(2)</w:t>
      </w:r>
      <w:r w:rsidRPr="009E78E4">
        <w:rPr>
          <w:rFonts w:hint="eastAsia"/>
        </w:rPr>
        <w:t>及《二零一一年第三季經濟報告》專題</w:t>
      </w:r>
      <w:r w:rsidRPr="009E78E4">
        <w:t> 3.1</w:t>
      </w:r>
      <w:r w:rsidRPr="009E78E4">
        <w:rPr>
          <w:rFonts w:hint="eastAsia"/>
        </w:rPr>
        <w:t>。有關二零一二年公布的措施細節，見《二零一二年第三季經濟報告》專題</w:t>
      </w:r>
      <w:r w:rsidRPr="009E78E4">
        <w:t> 3.1</w:t>
      </w:r>
      <w:r w:rsidRPr="009E78E4">
        <w:rPr>
          <w:rFonts w:hint="eastAsia"/>
        </w:rPr>
        <w:t>及《二零一二年經濟概況及二零一三年展望》專題</w:t>
      </w:r>
      <w:r w:rsidRPr="009E78E4">
        <w:t> 4.1</w:t>
      </w:r>
      <w:r w:rsidRPr="009E78E4">
        <w:rPr>
          <w:rFonts w:hint="eastAsia"/>
        </w:rPr>
        <w:t>。有關二零一三年公布的措施細節，見《二零一二年經濟概況及二零一三年展望》專題</w:t>
      </w:r>
      <w:r w:rsidRPr="009E78E4">
        <w:t> 4.2</w:t>
      </w:r>
      <w:r w:rsidRPr="009E78E4">
        <w:rPr>
          <w:rFonts w:hint="eastAsia"/>
        </w:rPr>
        <w:t>及《二零一三年第一季經濟報告》專題</w:t>
      </w:r>
      <w:r w:rsidRPr="009E78E4">
        <w:t> 3.1</w:t>
      </w:r>
      <w:r w:rsidRPr="009E78E4">
        <w:rPr>
          <w:rFonts w:hint="eastAsia"/>
        </w:rPr>
        <w:t>。有關二零一四年公布的措施細節，見《二零一三年經濟概況及二零一四年展望》專題</w:t>
      </w:r>
      <w:r w:rsidRPr="009E78E4">
        <w:t> 4.1</w:t>
      </w:r>
      <w:r w:rsidRPr="009E78E4">
        <w:rPr>
          <w:rFonts w:hint="eastAsia"/>
        </w:rPr>
        <w:t>。有關二零一五年公布的措施細節，見《二零一五年第一季經濟報告》專題</w:t>
      </w:r>
      <w:r w:rsidRPr="009E78E4">
        <w:t> </w:t>
      </w:r>
      <w:r w:rsidRPr="009E78E4">
        <w:rPr>
          <w:rFonts w:hint="eastAsia"/>
        </w:rPr>
        <w:t>3.1</w:t>
      </w:r>
      <w:r w:rsidRPr="009E78E4">
        <w:rPr>
          <w:rFonts w:hint="eastAsia"/>
        </w:rPr>
        <w:t>。有關二零一六年公布的措施細節，見《二零一六年經濟概況及二零一七年展望》第四章章末註釋</w:t>
      </w:r>
      <w:r w:rsidRPr="009E78E4">
        <w:rPr>
          <w:rFonts w:hint="eastAsia"/>
        </w:rPr>
        <w:t>(1)</w:t>
      </w:r>
      <w:r w:rsidRPr="009E78E4">
        <w:rPr>
          <w:rFonts w:hint="eastAsia"/>
        </w:rPr>
        <w:t>。有關二零一七年公布的措施細節，見《二零一七年第一季經濟報告》第三章章末註釋</w:t>
      </w:r>
      <w:r w:rsidRPr="009E78E4">
        <w:t>(3)</w:t>
      </w:r>
      <w:r w:rsidRPr="009E78E4">
        <w:rPr>
          <w:rFonts w:hint="eastAsia"/>
        </w:rPr>
        <w:t>、《二零一七年半年經濟報告》第三章章末註釋</w:t>
      </w:r>
      <w:r w:rsidRPr="009E78E4">
        <w:rPr>
          <w:rFonts w:hint="eastAsia"/>
        </w:rPr>
        <w:t>(2)</w:t>
      </w:r>
      <w:r w:rsidRPr="009E78E4">
        <w:rPr>
          <w:rFonts w:hint="eastAsia"/>
        </w:rPr>
        <w:t>，以及《二零一七年第三季經濟報告》專題</w:t>
      </w:r>
      <w:r w:rsidRPr="009E78E4">
        <w:t> </w:t>
      </w:r>
      <w:r w:rsidRPr="009E78E4">
        <w:rPr>
          <w:rFonts w:hint="eastAsia"/>
        </w:rPr>
        <w:t>3.1</w:t>
      </w:r>
      <w:r w:rsidRPr="009E78E4">
        <w:rPr>
          <w:rFonts w:hint="eastAsia"/>
        </w:rPr>
        <w:t>。有關二零一八年公布的措施細節，見《二零一八年半年經濟報告》專題</w:t>
      </w:r>
      <w:r w:rsidRPr="009E78E4">
        <w:t> </w:t>
      </w:r>
      <w:r w:rsidRPr="009E78E4">
        <w:rPr>
          <w:rFonts w:hint="eastAsia"/>
        </w:rPr>
        <w:t>3.1</w:t>
      </w:r>
      <w:r w:rsidRPr="009E78E4">
        <w:rPr>
          <w:rFonts w:hint="eastAsia"/>
        </w:rPr>
        <w:t>及《二零一八年第三季經濟報告》專題</w:t>
      </w:r>
      <w:r w:rsidRPr="009E78E4">
        <w:t> </w:t>
      </w:r>
      <w:r w:rsidRPr="009E78E4">
        <w:rPr>
          <w:rFonts w:hint="eastAsia"/>
        </w:rPr>
        <w:t>3.1</w:t>
      </w:r>
      <w:r w:rsidRPr="009E78E4">
        <w:rPr>
          <w:rFonts w:hint="eastAsia"/>
        </w:rPr>
        <w:t>。有關二零一九年公布的措施細節，見《二零一九年第三季經濟報告》專題</w:t>
      </w:r>
      <w:r w:rsidRPr="009E78E4">
        <w:t> </w:t>
      </w:r>
      <w:r w:rsidRPr="009E78E4">
        <w:rPr>
          <w:rFonts w:hint="eastAsia"/>
        </w:rPr>
        <w:t>3.1</w:t>
      </w:r>
      <w:r w:rsidRPr="009E78E4">
        <w:rPr>
          <w:rFonts w:hint="eastAsia"/>
        </w:rPr>
        <w:t>。有關二零二零年公布的措施細節，見《二零二零年經濟概況及二零二一年展望》專題</w:t>
      </w:r>
      <w:r w:rsidRPr="009E78E4">
        <w:t> 4</w:t>
      </w:r>
      <w:r w:rsidRPr="009E78E4">
        <w:rPr>
          <w:rFonts w:hint="eastAsia"/>
        </w:rPr>
        <w:t>.1</w:t>
      </w:r>
      <w:r w:rsidRPr="009E78E4">
        <w:rPr>
          <w:rFonts w:hint="eastAsia"/>
        </w:rPr>
        <w:t>。有關二零二一年公布的措施細節，見《二零二一年第三季經濟報告》專題</w:t>
      </w:r>
      <w:r w:rsidRPr="009E78E4">
        <w:t> </w:t>
      </w:r>
      <w:r w:rsidRPr="009E78E4">
        <w:rPr>
          <w:rFonts w:hint="eastAsia"/>
        </w:rPr>
        <w:t>3.1</w:t>
      </w:r>
      <w:r w:rsidRPr="009E78E4">
        <w:rPr>
          <w:rFonts w:hint="eastAsia"/>
        </w:rPr>
        <w:t>。有關二零二二年公布的措施細節，見《二零二二年第三季經濟報告》專題</w:t>
      </w:r>
      <w:r w:rsidRPr="009E78E4">
        <w:t> </w:t>
      </w:r>
      <w:r w:rsidRPr="009E78E4">
        <w:rPr>
          <w:rFonts w:hint="eastAsia"/>
        </w:rPr>
        <w:t>3.1</w:t>
      </w:r>
      <w:r w:rsidRPr="009E78E4">
        <w:rPr>
          <w:rFonts w:hint="eastAsia"/>
        </w:rPr>
        <w:t>。</w:t>
      </w:r>
    </w:p>
    <w:p w14:paraId="2AD705BA" w14:textId="11AC1D24" w:rsidR="007F7586" w:rsidRPr="00777F12" w:rsidRDefault="007F7586" w:rsidP="004A7B86">
      <w:pPr>
        <w:pStyle w:val="af9"/>
        <w:rPr>
          <w:lang w:eastAsia="zh-HK"/>
        </w:rPr>
      </w:pPr>
      <w:r w:rsidRPr="00777F12">
        <w:lastRenderedPageBreak/>
        <w:t>(</w:t>
      </w:r>
      <w:r>
        <w:t>3</w:t>
      </w:r>
      <w:r w:rsidRPr="00777F12">
        <w:t>)</w:t>
      </w:r>
      <w:r w:rsidRPr="00777F12">
        <w:tab/>
      </w:r>
      <w:r>
        <w:rPr>
          <w:rFonts w:hint="eastAsia"/>
          <w:lang w:eastAsia="zh-HK"/>
        </w:rPr>
        <w:t>在七月七日</w:t>
      </w:r>
      <w:r w:rsidRPr="00777F12">
        <w:rPr>
          <w:rFonts w:hint="eastAsia"/>
        </w:rPr>
        <w:t>，</w:t>
      </w:r>
      <w:r w:rsidRPr="00A221CE">
        <w:rPr>
          <w:rFonts w:hint="eastAsia"/>
        </w:rPr>
        <w:t>按證保險公司</w:t>
      </w:r>
      <w:r>
        <w:rPr>
          <w:rFonts w:hint="eastAsia"/>
          <w:lang w:eastAsia="zh-HK"/>
        </w:rPr>
        <w:t>把</w:t>
      </w:r>
      <w:r w:rsidRPr="00DD49E9">
        <w:rPr>
          <w:rFonts w:hint="eastAsia"/>
          <w:lang w:eastAsia="zh-HK"/>
        </w:rPr>
        <w:t>按揭保險計劃</w:t>
      </w:r>
      <w:r>
        <w:rPr>
          <w:rFonts w:hint="eastAsia"/>
          <w:lang w:eastAsia="zh-HK"/>
        </w:rPr>
        <w:t>的</w:t>
      </w:r>
      <w:r w:rsidR="000F4654">
        <w:rPr>
          <w:rFonts w:hint="eastAsia"/>
          <w:lang w:eastAsia="zh-HK"/>
        </w:rPr>
        <w:t>適用</w:t>
      </w:r>
      <w:r>
        <w:rPr>
          <w:rFonts w:hint="eastAsia"/>
          <w:lang w:eastAsia="zh-HK"/>
        </w:rPr>
        <w:t>範</w:t>
      </w:r>
      <w:r>
        <w:rPr>
          <w:rFonts w:hint="eastAsia"/>
        </w:rPr>
        <w:t>圍</w:t>
      </w:r>
      <w:r>
        <w:rPr>
          <w:rFonts w:hint="eastAsia"/>
          <w:lang w:eastAsia="zh-HK"/>
        </w:rPr>
        <w:t>擴</w:t>
      </w:r>
      <w:r>
        <w:rPr>
          <w:rFonts w:hint="eastAsia"/>
        </w:rPr>
        <w:t>展</w:t>
      </w:r>
      <w:r>
        <w:rPr>
          <w:rFonts w:hint="eastAsia"/>
          <w:lang w:eastAsia="zh-HK"/>
        </w:rPr>
        <w:t>至涵蓋</w:t>
      </w:r>
      <w:r w:rsidR="00B35202" w:rsidRPr="00A221CE">
        <w:rPr>
          <w:rFonts w:hint="eastAsia"/>
        </w:rPr>
        <w:t>價</w:t>
      </w:r>
      <w:r w:rsidR="00B35202">
        <w:rPr>
          <w:rFonts w:hint="eastAsia"/>
          <w:lang w:eastAsia="zh-HK"/>
        </w:rPr>
        <w:t>值</w:t>
      </w:r>
      <w:r w:rsidR="00B35202" w:rsidRPr="00ED3676">
        <w:rPr>
          <w:rFonts w:hint="eastAsia"/>
        </w:rPr>
        <w:t>高達</w:t>
      </w:r>
      <w:r>
        <w:rPr>
          <w:rFonts w:hint="eastAsia"/>
        </w:rPr>
        <w:t>3</w:t>
      </w:r>
      <w:r w:rsidRPr="00C1230A">
        <w:rPr>
          <w:rFonts w:hint="eastAsia"/>
        </w:rPr>
        <w:t>,000</w:t>
      </w:r>
      <w:r w:rsidR="000F4654">
        <w:t> </w:t>
      </w:r>
      <w:r w:rsidRPr="00C1230A">
        <w:rPr>
          <w:rFonts w:hint="eastAsia"/>
        </w:rPr>
        <w:t>萬</w:t>
      </w:r>
      <w:r>
        <w:rPr>
          <w:rFonts w:hint="eastAsia"/>
        </w:rPr>
        <w:t>元</w:t>
      </w:r>
      <w:r w:rsidRPr="00C1230A">
        <w:rPr>
          <w:rFonts w:hint="eastAsia"/>
        </w:rPr>
        <w:t>的已落成住宅物業</w:t>
      </w:r>
      <w:r>
        <w:rPr>
          <w:rFonts w:hint="eastAsia"/>
          <w:lang w:eastAsia="zh-HK"/>
        </w:rPr>
        <w:t>，並作出以</w:t>
      </w:r>
      <w:r>
        <w:rPr>
          <w:rFonts w:hint="eastAsia"/>
        </w:rPr>
        <w:t>下</w:t>
      </w:r>
      <w:r>
        <w:rPr>
          <w:rFonts w:hint="eastAsia"/>
          <w:lang w:eastAsia="zh-HK"/>
        </w:rPr>
        <w:t>調</w:t>
      </w:r>
      <w:r>
        <w:rPr>
          <w:rFonts w:hint="eastAsia"/>
        </w:rPr>
        <w:t>整</w:t>
      </w:r>
      <w:r>
        <w:rPr>
          <w:rFonts w:hint="eastAsia"/>
          <w:lang w:eastAsia="zh-HK"/>
        </w:rPr>
        <w:t>：</w:t>
      </w:r>
      <w:r>
        <w:rPr>
          <w:rFonts w:hint="eastAsia"/>
          <w:lang w:eastAsia="zh-HK"/>
        </w:rPr>
        <w:t>(i)</w:t>
      </w:r>
      <w:r w:rsidR="00ED3676">
        <w:rPr>
          <w:rFonts w:hint="eastAsia"/>
        </w:rPr>
        <w:t>提高</w:t>
      </w:r>
      <w:r w:rsidR="00ED3676">
        <w:rPr>
          <w:rFonts w:hint="eastAsia"/>
          <w:shd w:val="clear" w:color="auto" w:fill="FFFFFF"/>
          <w:lang w:eastAsia="zh-HK"/>
        </w:rPr>
        <w:t>八成按揭</w:t>
      </w:r>
      <w:r w:rsidR="00ED3676">
        <w:rPr>
          <w:rFonts w:hint="eastAsia"/>
          <w:shd w:val="clear" w:color="auto" w:fill="FFFFFF"/>
        </w:rPr>
        <w:t>保險計劃</w:t>
      </w:r>
      <w:r w:rsidR="00ED3676">
        <w:rPr>
          <w:rFonts w:hint="eastAsia"/>
          <w:shd w:val="clear" w:color="auto" w:fill="FFFFFF"/>
          <w:lang w:eastAsia="zh-HK"/>
        </w:rPr>
        <w:t>的</w:t>
      </w:r>
      <w:r w:rsidR="00ED3676">
        <w:rPr>
          <w:rFonts w:hint="eastAsia"/>
          <w:shd w:val="clear" w:color="auto" w:fill="FFFFFF"/>
        </w:rPr>
        <w:t>合資格物業價格</w:t>
      </w:r>
      <w:r w:rsidR="00ED3676">
        <w:rPr>
          <w:rFonts w:hint="eastAsia"/>
          <w:shd w:val="clear" w:color="auto" w:fill="FFFFFF"/>
          <w:lang w:eastAsia="zh-HK"/>
        </w:rPr>
        <w:t>上限</w:t>
      </w:r>
      <w:r w:rsidR="00607820">
        <w:rPr>
          <w:rFonts w:hint="eastAsia"/>
          <w:lang w:eastAsia="zh-HK"/>
        </w:rPr>
        <w:t>，</w:t>
      </w:r>
      <w:r>
        <w:rPr>
          <w:rFonts w:hint="eastAsia"/>
          <w:lang w:eastAsia="zh-HK"/>
        </w:rPr>
        <w:t>由</w:t>
      </w:r>
      <w:r>
        <w:rPr>
          <w:rFonts w:hint="eastAsia"/>
        </w:rPr>
        <w:t>1,200</w:t>
      </w:r>
      <w:r w:rsidR="000F4654">
        <w:t> </w:t>
      </w:r>
      <w:r>
        <w:rPr>
          <w:rFonts w:hint="eastAsia"/>
          <w:lang w:eastAsia="zh-HK"/>
        </w:rPr>
        <w:t>萬元</w:t>
      </w:r>
      <w:r w:rsidR="00607820" w:rsidRPr="00607820">
        <w:rPr>
          <w:rFonts w:hint="eastAsia"/>
          <w:lang w:eastAsia="zh-HK"/>
        </w:rPr>
        <w:t>調</w:t>
      </w:r>
      <w:r>
        <w:rPr>
          <w:rFonts w:hint="eastAsia"/>
          <w:lang w:eastAsia="zh-HK"/>
        </w:rPr>
        <w:t>升至</w:t>
      </w:r>
      <w:r>
        <w:rPr>
          <w:rFonts w:hint="eastAsia"/>
        </w:rPr>
        <w:t>1,500</w:t>
      </w:r>
      <w:r w:rsidR="000F4654">
        <w:t> </w:t>
      </w:r>
      <w:r>
        <w:rPr>
          <w:rFonts w:hint="eastAsia"/>
          <w:lang w:eastAsia="zh-HK"/>
        </w:rPr>
        <w:t>萬元；</w:t>
      </w:r>
      <w:r>
        <w:rPr>
          <w:rFonts w:hint="eastAsia"/>
          <w:lang w:eastAsia="zh-HK"/>
        </w:rPr>
        <w:t>(ii)</w:t>
      </w:r>
      <w:r w:rsidRPr="005C6CF5">
        <w:rPr>
          <w:rFonts w:hint="eastAsia"/>
          <w:lang w:eastAsia="zh-HK"/>
        </w:rPr>
        <w:t>價</w:t>
      </w:r>
      <w:r w:rsidR="00FF65FD">
        <w:rPr>
          <w:rFonts w:hint="eastAsia"/>
          <w:lang w:eastAsia="zh-HK"/>
        </w:rPr>
        <w:t>值</w:t>
      </w:r>
      <w:r w:rsidRPr="005C6CF5">
        <w:rPr>
          <w:rFonts w:hint="eastAsia"/>
          <w:lang w:eastAsia="zh-HK"/>
        </w:rPr>
        <w:t>1,500</w:t>
      </w:r>
      <w:r w:rsidR="000F4654">
        <w:rPr>
          <w:lang w:eastAsia="zh-HK"/>
        </w:rPr>
        <w:t> </w:t>
      </w:r>
      <w:r w:rsidRPr="005C6CF5">
        <w:rPr>
          <w:rFonts w:hint="eastAsia"/>
          <w:lang w:eastAsia="zh-HK"/>
        </w:rPr>
        <w:t>萬</w:t>
      </w:r>
      <w:r>
        <w:rPr>
          <w:rFonts w:hint="eastAsia"/>
          <w:lang w:eastAsia="zh-HK"/>
        </w:rPr>
        <w:t>元</w:t>
      </w:r>
      <w:r w:rsidRPr="005C6CF5">
        <w:rPr>
          <w:rFonts w:hint="eastAsia"/>
          <w:lang w:eastAsia="zh-HK"/>
        </w:rPr>
        <w:t>以上至</w:t>
      </w:r>
      <w:r>
        <w:rPr>
          <w:rFonts w:hint="eastAsia"/>
        </w:rPr>
        <w:t>1,715</w:t>
      </w:r>
      <w:r w:rsidR="000F4654">
        <w:t> </w:t>
      </w:r>
      <w:r w:rsidRPr="005C6CF5">
        <w:rPr>
          <w:rFonts w:hint="eastAsia"/>
          <w:lang w:eastAsia="zh-HK"/>
        </w:rPr>
        <w:t>萬</w:t>
      </w:r>
      <w:r>
        <w:rPr>
          <w:rFonts w:hint="eastAsia"/>
          <w:lang w:eastAsia="zh-HK"/>
        </w:rPr>
        <w:t>元</w:t>
      </w:r>
      <w:r w:rsidRPr="005C6CF5">
        <w:rPr>
          <w:rFonts w:hint="eastAsia"/>
          <w:lang w:eastAsia="zh-HK"/>
        </w:rPr>
        <w:t>的合資格物業</w:t>
      </w:r>
      <w:r w:rsidR="00607820">
        <w:rPr>
          <w:rFonts w:hint="eastAsia"/>
          <w:lang w:eastAsia="zh-HK"/>
        </w:rPr>
        <w:t>的</w:t>
      </w:r>
      <w:r w:rsidR="00607820" w:rsidRPr="00607820">
        <w:rPr>
          <w:rFonts w:hint="eastAsia"/>
          <w:lang w:eastAsia="zh-HK"/>
        </w:rPr>
        <w:t>最高按揭保險成數</w:t>
      </w:r>
      <w:r w:rsidRPr="005C6CF5">
        <w:rPr>
          <w:rFonts w:hint="eastAsia"/>
          <w:lang w:eastAsia="zh-HK"/>
        </w:rPr>
        <w:t>以</w:t>
      </w:r>
      <w:r w:rsidRPr="00591688">
        <w:rPr>
          <w:rFonts w:hint="eastAsia"/>
          <w:lang w:eastAsia="zh-HK"/>
        </w:rPr>
        <w:t>按揭貸款上限</w:t>
      </w:r>
      <w:r w:rsidRPr="00591688">
        <w:rPr>
          <w:rFonts w:hint="eastAsia"/>
          <w:lang w:eastAsia="zh-HK"/>
        </w:rPr>
        <w:t>1,200</w:t>
      </w:r>
      <w:r w:rsidR="000F4654">
        <w:rPr>
          <w:lang w:eastAsia="zh-HK"/>
        </w:rPr>
        <w:t> </w:t>
      </w:r>
      <w:r w:rsidRPr="00591688">
        <w:rPr>
          <w:rFonts w:hint="eastAsia"/>
          <w:lang w:eastAsia="zh-HK"/>
        </w:rPr>
        <w:t>萬元計算</w:t>
      </w:r>
      <w:r w:rsidRPr="00591688">
        <w:rPr>
          <w:rFonts w:hint="eastAsia"/>
        </w:rPr>
        <w:t>(</w:t>
      </w:r>
      <w:r w:rsidRPr="00591688">
        <w:rPr>
          <w:rFonts w:hint="eastAsia"/>
          <w:lang w:eastAsia="zh-HK"/>
        </w:rPr>
        <w:t>即七至八成</w:t>
      </w:r>
      <w:r w:rsidRPr="00591688">
        <w:rPr>
          <w:rFonts w:hint="eastAsia"/>
        </w:rPr>
        <w:t>)</w:t>
      </w:r>
      <w:r>
        <w:rPr>
          <w:rFonts w:hint="eastAsia"/>
          <w:lang w:eastAsia="zh-HK"/>
        </w:rPr>
        <w:t>；以</w:t>
      </w:r>
      <w:r>
        <w:rPr>
          <w:rFonts w:hint="eastAsia"/>
        </w:rPr>
        <w:t>及</w:t>
      </w:r>
      <w:r>
        <w:rPr>
          <w:rFonts w:hint="eastAsia"/>
          <w:lang w:eastAsia="zh-HK"/>
        </w:rPr>
        <w:t>(</w:t>
      </w:r>
      <w:r>
        <w:rPr>
          <w:lang w:eastAsia="zh-HK"/>
        </w:rPr>
        <w:t>iii</w:t>
      </w:r>
      <w:r>
        <w:rPr>
          <w:rFonts w:hint="eastAsia"/>
          <w:lang w:eastAsia="zh-HK"/>
        </w:rPr>
        <w:t>)</w:t>
      </w:r>
      <w:r w:rsidRPr="005C6CF5">
        <w:rPr>
          <w:rFonts w:hint="eastAsia"/>
          <w:lang w:eastAsia="zh-HK"/>
        </w:rPr>
        <w:t>價</w:t>
      </w:r>
      <w:r w:rsidR="00FF65FD">
        <w:rPr>
          <w:rFonts w:hint="eastAsia"/>
          <w:lang w:eastAsia="zh-HK"/>
        </w:rPr>
        <w:t>值</w:t>
      </w:r>
      <w:r>
        <w:rPr>
          <w:rFonts w:hint="eastAsia"/>
        </w:rPr>
        <w:t>1,715</w:t>
      </w:r>
      <w:r w:rsidR="000F4654">
        <w:t> </w:t>
      </w:r>
      <w:r w:rsidRPr="005C6CF5">
        <w:rPr>
          <w:rFonts w:hint="eastAsia"/>
          <w:lang w:eastAsia="zh-HK"/>
        </w:rPr>
        <w:t>萬</w:t>
      </w:r>
      <w:r>
        <w:rPr>
          <w:rFonts w:hint="eastAsia"/>
          <w:lang w:eastAsia="zh-HK"/>
        </w:rPr>
        <w:t>元</w:t>
      </w:r>
      <w:r w:rsidRPr="005C6CF5">
        <w:rPr>
          <w:rFonts w:hint="eastAsia"/>
          <w:lang w:eastAsia="zh-HK"/>
        </w:rPr>
        <w:t>以上至</w:t>
      </w:r>
      <w:r>
        <w:t>3,000</w:t>
      </w:r>
      <w:r w:rsidR="000B709D">
        <w:t> </w:t>
      </w:r>
      <w:r w:rsidRPr="005C6CF5">
        <w:rPr>
          <w:rFonts w:hint="eastAsia"/>
          <w:lang w:eastAsia="zh-HK"/>
        </w:rPr>
        <w:t>萬</w:t>
      </w:r>
      <w:r>
        <w:rPr>
          <w:rFonts w:hint="eastAsia"/>
          <w:lang w:eastAsia="zh-HK"/>
        </w:rPr>
        <w:t>元</w:t>
      </w:r>
      <w:r w:rsidRPr="005C6CF5">
        <w:rPr>
          <w:rFonts w:hint="eastAsia"/>
          <w:lang w:eastAsia="zh-HK"/>
        </w:rPr>
        <w:t>的合資格物業</w:t>
      </w:r>
      <w:r w:rsidR="00607820">
        <w:rPr>
          <w:rFonts w:hint="eastAsia"/>
          <w:lang w:eastAsia="zh-HK"/>
        </w:rPr>
        <w:t>的</w:t>
      </w:r>
      <w:r w:rsidRPr="00BE5FAD">
        <w:rPr>
          <w:rFonts w:hint="eastAsia"/>
          <w:lang w:eastAsia="zh-HK"/>
        </w:rPr>
        <w:t>最高</w:t>
      </w:r>
      <w:r w:rsidR="006822F5" w:rsidRPr="006822F5">
        <w:rPr>
          <w:rFonts w:hint="eastAsia"/>
          <w:lang w:eastAsia="zh-HK"/>
        </w:rPr>
        <w:t>按揭</w:t>
      </w:r>
      <w:r w:rsidR="00607820" w:rsidRPr="004B7155">
        <w:rPr>
          <w:rFonts w:hint="eastAsia"/>
          <w:lang w:eastAsia="zh-HK"/>
        </w:rPr>
        <w:t>保險</w:t>
      </w:r>
      <w:r w:rsidR="006822F5" w:rsidRPr="006822F5">
        <w:rPr>
          <w:rFonts w:hint="eastAsia"/>
          <w:lang w:eastAsia="zh-HK"/>
        </w:rPr>
        <w:t>成數</w:t>
      </w:r>
      <w:r w:rsidR="006822F5">
        <w:rPr>
          <w:rFonts w:hint="eastAsia"/>
          <w:lang w:eastAsia="zh-HK"/>
        </w:rPr>
        <w:t>為</w:t>
      </w:r>
      <w:r w:rsidRPr="00BE5FAD">
        <w:rPr>
          <w:rFonts w:hint="eastAsia"/>
          <w:lang w:eastAsia="zh-HK"/>
        </w:rPr>
        <w:t>七成</w:t>
      </w:r>
      <w:r>
        <w:rPr>
          <w:rFonts w:hint="eastAsia"/>
          <w:lang w:eastAsia="zh-HK"/>
        </w:rPr>
        <w:t>。同</w:t>
      </w:r>
      <w:r>
        <w:rPr>
          <w:rFonts w:hint="eastAsia"/>
        </w:rPr>
        <w:t>時</w:t>
      </w:r>
      <w:r>
        <w:rPr>
          <w:rFonts w:hint="eastAsia"/>
          <w:lang w:eastAsia="zh-HK"/>
        </w:rPr>
        <w:t>，</w:t>
      </w:r>
      <w:r w:rsidRPr="00A221CE">
        <w:rPr>
          <w:rFonts w:hint="eastAsia"/>
        </w:rPr>
        <w:t>按證保險公司會為首次置業人士提供保費特惠，就價</w:t>
      </w:r>
      <w:r w:rsidR="006822F5">
        <w:rPr>
          <w:rFonts w:hint="eastAsia"/>
          <w:lang w:eastAsia="zh-HK"/>
        </w:rPr>
        <w:t>值</w:t>
      </w:r>
      <w:r w:rsidRPr="00A221CE">
        <w:rPr>
          <w:rFonts w:hint="eastAsia"/>
        </w:rPr>
        <w:t>1,500</w:t>
      </w:r>
      <w:r w:rsidR="000F4654">
        <w:t> </w:t>
      </w:r>
      <w:r w:rsidRPr="00A221CE">
        <w:rPr>
          <w:rFonts w:hint="eastAsia"/>
        </w:rPr>
        <w:t>萬</w:t>
      </w:r>
      <w:r>
        <w:rPr>
          <w:rFonts w:hint="eastAsia"/>
        </w:rPr>
        <w:t>元</w:t>
      </w:r>
      <w:r w:rsidRPr="00A221CE">
        <w:rPr>
          <w:rFonts w:hint="eastAsia"/>
        </w:rPr>
        <w:t>或以下的物業，</w:t>
      </w:r>
      <w:r w:rsidRPr="00D85525">
        <w:rPr>
          <w:rFonts w:hint="eastAsia"/>
        </w:rPr>
        <w:t>寬免按揭貸款</w:t>
      </w:r>
      <w:r w:rsidR="000F4654">
        <w:rPr>
          <w:rFonts w:hint="eastAsia"/>
          <w:lang w:eastAsia="zh-HK"/>
        </w:rPr>
        <w:t>超出</w:t>
      </w:r>
      <w:r w:rsidRPr="00D85525">
        <w:rPr>
          <w:rFonts w:hint="eastAsia"/>
        </w:rPr>
        <w:t>銀行最高按揭成數不多於</w:t>
      </w:r>
      <w:r w:rsidRPr="00D85525">
        <w:rPr>
          <w:rFonts w:hint="eastAsia"/>
        </w:rPr>
        <w:t>5%</w:t>
      </w:r>
      <w:r w:rsidRPr="00D85525">
        <w:rPr>
          <w:rFonts w:hint="eastAsia"/>
        </w:rPr>
        <w:t>的受保範圍的保費</w:t>
      </w:r>
      <w:r>
        <w:rPr>
          <w:rFonts w:hint="eastAsia"/>
          <w:lang w:eastAsia="zh-HK"/>
        </w:rPr>
        <w:t>。</w:t>
      </w:r>
    </w:p>
    <w:p w14:paraId="1603883D" w14:textId="77777777" w:rsidR="007F7586" w:rsidRDefault="007F7586" w:rsidP="004A7B86">
      <w:pPr>
        <w:pStyle w:val="af9"/>
        <w:rPr>
          <w:color w:val="000000"/>
        </w:rPr>
      </w:pPr>
      <w:r w:rsidRPr="00777F12">
        <w:rPr>
          <w:rFonts w:hint="eastAsia"/>
        </w:rPr>
        <w:t>(</w:t>
      </w:r>
      <w:r>
        <w:t>4</w:t>
      </w:r>
      <w:r w:rsidRPr="00777F12">
        <w:rPr>
          <w:rFonts w:hint="eastAsia"/>
        </w:rPr>
        <w:t>)</w:t>
      </w:r>
      <w:r w:rsidRPr="00777F12">
        <w:rPr>
          <w:rFonts w:hint="eastAsia"/>
        </w:rPr>
        <w:tab/>
      </w:r>
      <w:r w:rsidRPr="00777F12">
        <w:rPr>
          <w:rFonts w:hint="eastAsia"/>
        </w:rPr>
        <w:t>交投量為商業樓宇的數字，商業樓宇包括零售舖位及其他設計或改建作商業用途的樓宇，但不包括專門作寫字樓用途的樓宇。</w:t>
      </w:r>
    </w:p>
    <w:p w14:paraId="1B4DCA71" w14:textId="77777777" w:rsidR="0029498B" w:rsidRPr="0029498B" w:rsidRDefault="007F7586" w:rsidP="0029498B">
      <w:pPr>
        <w:pStyle w:val="af9"/>
      </w:pPr>
      <w:r w:rsidRPr="0029498B">
        <w:t>(5)</w:t>
      </w:r>
      <w:r w:rsidRPr="0029498B">
        <w:tab/>
      </w:r>
      <w:r w:rsidR="0029498B" w:rsidRPr="0029498B">
        <w:rPr>
          <w:rFonts w:hint="eastAsia"/>
        </w:rPr>
        <w:t>其他短途市場指北亞、南亞及東南亞、台灣及澳門，但不包括內地；長途市場則指美洲、歐洲、非洲、中東、澳洲、新西蘭及南太平洋。在二零二</w:t>
      </w:r>
      <w:r w:rsidR="0029498B" w:rsidRPr="0029498B">
        <w:rPr>
          <w:rFonts w:hint="eastAsia"/>
          <w:lang w:eastAsia="zh-HK"/>
        </w:rPr>
        <w:t>三</w:t>
      </w:r>
      <w:r w:rsidR="0029498B" w:rsidRPr="0029498B">
        <w:rPr>
          <w:rFonts w:hint="eastAsia"/>
        </w:rPr>
        <w:t>年</w:t>
      </w:r>
      <w:r w:rsidR="0029498B" w:rsidRPr="0029498B">
        <w:rPr>
          <w:rFonts w:hint="eastAsia"/>
          <w:lang w:eastAsia="zh-HK"/>
        </w:rPr>
        <w:t>第二季</w:t>
      </w:r>
      <w:r w:rsidR="0029498B" w:rsidRPr="0029498B">
        <w:rPr>
          <w:rFonts w:hint="eastAsia"/>
        </w:rPr>
        <w:t>，來自內地、其他短途市場及長途市場的訪港旅客人次分別佔訪港旅客總人次的</w:t>
      </w:r>
      <w:r w:rsidR="0029498B" w:rsidRPr="0029498B">
        <w:t>80%</w:t>
      </w:r>
      <w:r w:rsidR="0029498B" w:rsidRPr="0029498B">
        <w:rPr>
          <w:rFonts w:hint="eastAsia"/>
        </w:rPr>
        <w:t>、</w:t>
      </w:r>
      <w:r w:rsidR="0029498B" w:rsidRPr="0029498B">
        <w:t>1</w:t>
      </w:r>
      <w:r w:rsidR="0029498B" w:rsidRPr="0029498B">
        <w:rPr>
          <w:rFonts w:hint="eastAsia"/>
        </w:rPr>
        <w:t>4</w:t>
      </w:r>
      <w:r w:rsidR="0029498B" w:rsidRPr="0029498B">
        <w:t>%</w:t>
      </w:r>
      <w:r w:rsidR="0029498B" w:rsidRPr="0029498B">
        <w:rPr>
          <w:rFonts w:hint="eastAsia"/>
        </w:rPr>
        <w:t>和</w:t>
      </w:r>
      <w:r w:rsidR="0029498B" w:rsidRPr="0029498B">
        <w:t>6%</w:t>
      </w:r>
      <w:r w:rsidR="0029498B" w:rsidRPr="0029498B">
        <w:rPr>
          <w:rFonts w:hint="eastAsia"/>
        </w:rPr>
        <w:t>。</w:t>
      </w:r>
    </w:p>
    <w:p w14:paraId="125C134A" w14:textId="77777777" w:rsidR="0029498B" w:rsidRDefault="0029498B" w:rsidP="0029498B">
      <w:pPr>
        <w:pStyle w:val="af9"/>
      </w:pPr>
      <w:r w:rsidRPr="0029498B">
        <w:t>(6)</w:t>
      </w:r>
      <w:r w:rsidRPr="0029498B">
        <w:tab/>
      </w:r>
      <w:r w:rsidRPr="0029498B">
        <w:rPr>
          <w:rFonts w:hint="eastAsia"/>
        </w:rPr>
        <w:t>有關酒店房間入住率及實際房租的數字並不包括賓館。這些數字會在取得更多數據後再作修訂。</w:t>
      </w:r>
    </w:p>
    <w:p w14:paraId="0F28BF7D" w14:textId="2C818106" w:rsidR="007F7586" w:rsidRPr="000D30FA" w:rsidRDefault="007F7586" w:rsidP="0029498B">
      <w:pPr>
        <w:pStyle w:val="af9"/>
      </w:pPr>
      <w:bookmarkStart w:id="0" w:name="_GoBack"/>
      <w:bookmarkEnd w:id="0"/>
    </w:p>
    <w:sectPr w:rsidR="007F7586" w:rsidRPr="000D30FA" w:rsidSect="007500C3">
      <w:footerReference w:type="default" r:id="rId17"/>
      <w:pgSz w:w="11907" w:h="16840" w:code="9"/>
      <w:pgMar w:top="1134" w:right="1418" w:bottom="1134" w:left="1418" w:header="567" w:footer="340" w:gutter="0"/>
      <w:pgNumType w:start="33"/>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0F7E6" w16cex:dateUtc="2021-05-08T03:43:00Z"/>
  <w16cex:commentExtensible w16cex:durableId="2440F879" w16cex:dateUtc="2021-05-08T03:46:00Z"/>
  <w16cex:commentExtensible w16cex:durableId="2440FDAF" w16cex:dateUtc="2021-05-08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9958A5" w16cid:durableId="2440F7E6"/>
  <w16cid:commentId w16cid:paraId="22744A31" w16cid:durableId="2440F879"/>
  <w16cid:commentId w16cid:paraId="31C75996" w16cid:durableId="2440FD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71750" w14:textId="77777777" w:rsidR="00BB1D08" w:rsidRDefault="00BB1D08">
      <w:r>
        <w:separator/>
      </w:r>
    </w:p>
  </w:endnote>
  <w:endnote w:type="continuationSeparator" w:id="0">
    <w:p w14:paraId="16FEE144" w14:textId="77777777" w:rsidR="00BB1D08" w:rsidRDefault="00BB1D08">
      <w:r>
        <w:continuationSeparator/>
      </w:r>
    </w:p>
  </w:endnote>
  <w:endnote w:type="continuationNotice" w:id="1">
    <w:p w14:paraId="71A35171" w14:textId="77777777" w:rsidR="00BB1D08" w:rsidRDefault="00BB1D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0F0E92FF" w:rsidR="00401AB2" w:rsidRPr="00F558B4" w:rsidRDefault="00401AB2" w:rsidP="0080598F">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512169">
      <w:rPr>
        <w:rStyle w:val="ad"/>
        <w:noProof/>
        <w:sz w:val="24"/>
        <w:szCs w:val="24"/>
      </w:rPr>
      <w:t>46</w:t>
    </w:r>
    <w:r w:rsidRPr="00F558B4">
      <w:rPr>
        <w:rStyle w:val="ad"/>
        <w:sz w:val="24"/>
        <w:szCs w:val="24"/>
      </w:rPr>
      <w:fldChar w:fldCharType="end"/>
    </w:r>
  </w:p>
  <w:p w14:paraId="29629341" w14:textId="77777777" w:rsidR="00401AB2" w:rsidRDefault="00401A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3D423" w14:textId="77777777" w:rsidR="00BB1D08" w:rsidRDefault="00BB1D08" w:rsidP="003866D5">
      <w:pPr>
        <w:spacing w:line="240" w:lineRule="atLeast"/>
        <w:jc w:val="center"/>
      </w:pPr>
      <w:r>
        <w:separator/>
      </w:r>
    </w:p>
  </w:footnote>
  <w:footnote w:type="continuationSeparator" w:id="0">
    <w:p w14:paraId="6CC9D52E" w14:textId="77777777" w:rsidR="00BB1D08" w:rsidRDefault="00BB1D08">
      <w:r>
        <w:continuationSeparator/>
      </w:r>
    </w:p>
  </w:footnote>
  <w:footnote w:type="continuationNotice" w:id="1">
    <w:p w14:paraId="3B1AE947" w14:textId="77777777" w:rsidR="00BB1D08" w:rsidRDefault="00BB1D0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4"/>
  </w:num>
  <w:num w:numId="9">
    <w:abstractNumId w:val="4"/>
  </w:num>
  <w:num w:numId="10">
    <w:abstractNumId w:val="6"/>
  </w:num>
  <w:num w:numId="11">
    <w:abstractNumId w:val="0"/>
  </w:num>
  <w:num w:numId="12">
    <w:abstractNumId w:val="3"/>
  </w:num>
  <w:num w:numId="13">
    <w:abstractNumId w:val="0"/>
  </w:num>
  <w:num w:numId="14">
    <w:abstractNumId w:val="0"/>
  </w:num>
  <w:num w:numId="15">
    <w:abstractNumId w:val="3"/>
  </w:num>
  <w:num w:numId="16">
    <w:abstractNumId w:val="0"/>
  </w:num>
  <w:num w:numId="1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69F"/>
    <w:rsid w:val="00006993"/>
    <w:rsid w:val="00006A69"/>
    <w:rsid w:val="00007695"/>
    <w:rsid w:val="00007701"/>
    <w:rsid w:val="000077C0"/>
    <w:rsid w:val="0001010B"/>
    <w:rsid w:val="00010176"/>
    <w:rsid w:val="000101BE"/>
    <w:rsid w:val="00010790"/>
    <w:rsid w:val="00010B19"/>
    <w:rsid w:val="0001188C"/>
    <w:rsid w:val="000121FC"/>
    <w:rsid w:val="00012267"/>
    <w:rsid w:val="000123A9"/>
    <w:rsid w:val="00012873"/>
    <w:rsid w:val="00013471"/>
    <w:rsid w:val="00013D75"/>
    <w:rsid w:val="00013DF3"/>
    <w:rsid w:val="00014271"/>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B8A"/>
    <w:rsid w:val="00017CF4"/>
    <w:rsid w:val="00017DAA"/>
    <w:rsid w:val="000203E6"/>
    <w:rsid w:val="000203F6"/>
    <w:rsid w:val="000206FE"/>
    <w:rsid w:val="000207EB"/>
    <w:rsid w:val="00020B06"/>
    <w:rsid w:val="00020FB1"/>
    <w:rsid w:val="00020FD7"/>
    <w:rsid w:val="0002103B"/>
    <w:rsid w:val="00021AED"/>
    <w:rsid w:val="00021B55"/>
    <w:rsid w:val="00021EE0"/>
    <w:rsid w:val="0002222D"/>
    <w:rsid w:val="000227F6"/>
    <w:rsid w:val="00022A30"/>
    <w:rsid w:val="00022C5A"/>
    <w:rsid w:val="0002319E"/>
    <w:rsid w:val="000235D0"/>
    <w:rsid w:val="00023B0F"/>
    <w:rsid w:val="00023C87"/>
    <w:rsid w:val="0002407B"/>
    <w:rsid w:val="00024137"/>
    <w:rsid w:val="000244DC"/>
    <w:rsid w:val="0002457E"/>
    <w:rsid w:val="00024A5A"/>
    <w:rsid w:val="00024D95"/>
    <w:rsid w:val="000252FB"/>
    <w:rsid w:val="00025455"/>
    <w:rsid w:val="000255C6"/>
    <w:rsid w:val="0002560B"/>
    <w:rsid w:val="000257F8"/>
    <w:rsid w:val="000259FA"/>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3D6"/>
    <w:rsid w:val="0003049E"/>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C46"/>
    <w:rsid w:val="000400C2"/>
    <w:rsid w:val="000406A2"/>
    <w:rsid w:val="00040771"/>
    <w:rsid w:val="0004084A"/>
    <w:rsid w:val="00040F66"/>
    <w:rsid w:val="000412E4"/>
    <w:rsid w:val="00041532"/>
    <w:rsid w:val="0004154A"/>
    <w:rsid w:val="000419EA"/>
    <w:rsid w:val="00041CE0"/>
    <w:rsid w:val="00042076"/>
    <w:rsid w:val="0004208F"/>
    <w:rsid w:val="0004214A"/>
    <w:rsid w:val="00042436"/>
    <w:rsid w:val="000426C1"/>
    <w:rsid w:val="0004303C"/>
    <w:rsid w:val="00043170"/>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AF"/>
    <w:rsid w:val="00051D44"/>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71E9"/>
    <w:rsid w:val="00057F7E"/>
    <w:rsid w:val="000600D3"/>
    <w:rsid w:val="0006012B"/>
    <w:rsid w:val="000605F1"/>
    <w:rsid w:val="00060674"/>
    <w:rsid w:val="00060877"/>
    <w:rsid w:val="00060891"/>
    <w:rsid w:val="00060B32"/>
    <w:rsid w:val="00061071"/>
    <w:rsid w:val="000610DC"/>
    <w:rsid w:val="000611FD"/>
    <w:rsid w:val="000613EF"/>
    <w:rsid w:val="000618A2"/>
    <w:rsid w:val="00061A36"/>
    <w:rsid w:val="00061F04"/>
    <w:rsid w:val="00061F07"/>
    <w:rsid w:val="000620DC"/>
    <w:rsid w:val="000620E1"/>
    <w:rsid w:val="000622C5"/>
    <w:rsid w:val="00062A35"/>
    <w:rsid w:val="00062BA7"/>
    <w:rsid w:val="00062F18"/>
    <w:rsid w:val="000636A5"/>
    <w:rsid w:val="0006395D"/>
    <w:rsid w:val="00063A4C"/>
    <w:rsid w:val="00063ED7"/>
    <w:rsid w:val="00064341"/>
    <w:rsid w:val="000647CE"/>
    <w:rsid w:val="00064AC7"/>
    <w:rsid w:val="00064CC0"/>
    <w:rsid w:val="00064E64"/>
    <w:rsid w:val="0006579C"/>
    <w:rsid w:val="00065864"/>
    <w:rsid w:val="0006592A"/>
    <w:rsid w:val="00065FF4"/>
    <w:rsid w:val="00066040"/>
    <w:rsid w:val="00066212"/>
    <w:rsid w:val="00066388"/>
    <w:rsid w:val="00066453"/>
    <w:rsid w:val="00066B2A"/>
    <w:rsid w:val="0006710A"/>
    <w:rsid w:val="00067290"/>
    <w:rsid w:val="00067615"/>
    <w:rsid w:val="00067B1C"/>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78D"/>
    <w:rsid w:val="0007592C"/>
    <w:rsid w:val="00075BAB"/>
    <w:rsid w:val="00075C28"/>
    <w:rsid w:val="00075DBD"/>
    <w:rsid w:val="00075FB2"/>
    <w:rsid w:val="00076089"/>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FF6"/>
    <w:rsid w:val="000815A6"/>
    <w:rsid w:val="000817B7"/>
    <w:rsid w:val="00081849"/>
    <w:rsid w:val="0008194C"/>
    <w:rsid w:val="00081A55"/>
    <w:rsid w:val="00081AC7"/>
    <w:rsid w:val="00081F50"/>
    <w:rsid w:val="000828C4"/>
    <w:rsid w:val="00082CA1"/>
    <w:rsid w:val="00082F24"/>
    <w:rsid w:val="00084361"/>
    <w:rsid w:val="00084493"/>
    <w:rsid w:val="000846B0"/>
    <w:rsid w:val="000847C5"/>
    <w:rsid w:val="00085873"/>
    <w:rsid w:val="00086011"/>
    <w:rsid w:val="00086024"/>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E51"/>
    <w:rsid w:val="000956ED"/>
    <w:rsid w:val="0009575D"/>
    <w:rsid w:val="000959BB"/>
    <w:rsid w:val="0009606D"/>
    <w:rsid w:val="000963DC"/>
    <w:rsid w:val="0009645C"/>
    <w:rsid w:val="00096777"/>
    <w:rsid w:val="000967CE"/>
    <w:rsid w:val="000969AC"/>
    <w:rsid w:val="00096C29"/>
    <w:rsid w:val="00096C80"/>
    <w:rsid w:val="00096DAA"/>
    <w:rsid w:val="00096ECA"/>
    <w:rsid w:val="000973D1"/>
    <w:rsid w:val="000976DA"/>
    <w:rsid w:val="00097E08"/>
    <w:rsid w:val="000A0235"/>
    <w:rsid w:val="000A029B"/>
    <w:rsid w:val="000A02BE"/>
    <w:rsid w:val="000A0572"/>
    <w:rsid w:val="000A06C1"/>
    <w:rsid w:val="000A06F7"/>
    <w:rsid w:val="000A0A54"/>
    <w:rsid w:val="000A11C5"/>
    <w:rsid w:val="000A14AF"/>
    <w:rsid w:val="000A1BB2"/>
    <w:rsid w:val="000A1D77"/>
    <w:rsid w:val="000A248B"/>
    <w:rsid w:val="000A2831"/>
    <w:rsid w:val="000A286E"/>
    <w:rsid w:val="000A28DF"/>
    <w:rsid w:val="000A2907"/>
    <w:rsid w:val="000A2A88"/>
    <w:rsid w:val="000A2FFD"/>
    <w:rsid w:val="000A31A1"/>
    <w:rsid w:val="000A338E"/>
    <w:rsid w:val="000A367B"/>
    <w:rsid w:val="000A37E0"/>
    <w:rsid w:val="000A39AE"/>
    <w:rsid w:val="000A3A49"/>
    <w:rsid w:val="000A3B15"/>
    <w:rsid w:val="000A3B78"/>
    <w:rsid w:val="000A3E79"/>
    <w:rsid w:val="000A3E7C"/>
    <w:rsid w:val="000A481F"/>
    <w:rsid w:val="000A4931"/>
    <w:rsid w:val="000A4C9D"/>
    <w:rsid w:val="000A4CB5"/>
    <w:rsid w:val="000A515A"/>
    <w:rsid w:val="000A536E"/>
    <w:rsid w:val="000A54A2"/>
    <w:rsid w:val="000A56B3"/>
    <w:rsid w:val="000A570D"/>
    <w:rsid w:val="000A5DBE"/>
    <w:rsid w:val="000A5E31"/>
    <w:rsid w:val="000A5E34"/>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510"/>
    <w:rsid w:val="000B162B"/>
    <w:rsid w:val="000B167E"/>
    <w:rsid w:val="000B1F8F"/>
    <w:rsid w:val="000B27D3"/>
    <w:rsid w:val="000B2B9B"/>
    <w:rsid w:val="000B2E8C"/>
    <w:rsid w:val="000B2FA8"/>
    <w:rsid w:val="000B32BD"/>
    <w:rsid w:val="000B32FE"/>
    <w:rsid w:val="000B347C"/>
    <w:rsid w:val="000B365B"/>
    <w:rsid w:val="000B3C7B"/>
    <w:rsid w:val="000B3C82"/>
    <w:rsid w:val="000B4494"/>
    <w:rsid w:val="000B4950"/>
    <w:rsid w:val="000B4DE7"/>
    <w:rsid w:val="000B4E9A"/>
    <w:rsid w:val="000B51A9"/>
    <w:rsid w:val="000B527D"/>
    <w:rsid w:val="000B5623"/>
    <w:rsid w:val="000B563E"/>
    <w:rsid w:val="000B565A"/>
    <w:rsid w:val="000B57D5"/>
    <w:rsid w:val="000B5989"/>
    <w:rsid w:val="000B59B9"/>
    <w:rsid w:val="000B5A13"/>
    <w:rsid w:val="000B5AE6"/>
    <w:rsid w:val="000B5C5B"/>
    <w:rsid w:val="000B6A05"/>
    <w:rsid w:val="000B7001"/>
    <w:rsid w:val="000B709D"/>
    <w:rsid w:val="000B7216"/>
    <w:rsid w:val="000B73F7"/>
    <w:rsid w:val="000B76E2"/>
    <w:rsid w:val="000B775A"/>
    <w:rsid w:val="000B7ABC"/>
    <w:rsid w:val="000C00E7"/>
    <w:rsid w:val="000C0352"/>
    <w:rsid w:val="000C0443"/>
    <w:rsid w:val="000C04DF"/>
    <w:rsid w:val="000C0882"/>
    <w:rsid w:val="000C09D1"/>
    <w:rsid w:val="000C1252"/>
    <w:rsid w:val="000C1257"/>
    <w:rsid w:val="000C12C4"/>
    <w:rsid w:val="000C14E0"/>
    <w:rsid w:val="000C17F2"/>
    <w:rsid w:val="000C17F9"/>
    <w:rsid w:val="000C2208"/>
    <w:rsid w:val="000C2295"/>
    <w:rsid w:val="000C23DF"/>
    <w:rsid w:val="000C2421"/>
    <w:rsid w:val="000C26E0"/>
    <w:rsid w:val="000C3360"/>
    <w:rsid w:val="000C389E"/>
    <w:rsid w:val="000C4212"/>
    <w:rsid w:val="000C4696"/>
    <w:rsid w:val="000C47DD"/>
    <w:rsid w:val="000C48E0"/>
    <w:rsid w:val="000C4AB5"/>
    <w:rsid w:val="000C4B9D"/>
    <w:rsid w:val="000C518D"/>
    <w:rsid w:val="000C52A4"/>
    <w:rsid w:val="000C55B9"/>
    <w:rsid w:val="000C56F6"/>
    <w:rsid w:val="000C5D8E"/>
    <w:rsid w:val="000C613D"/>
    <w:rsid w:val="000C6428"/>
    <w:rsid w:val="000C65D1"/>
    <w:rsid w:val="000C666C"/>
    <w:rsid w:val="000C692D"/>
    <w:rsid w:val="000C6F5B"/>
    <w:rsid w:val="000C70D6"/>
    <w:rsid w:val="000C7120"/>
    <w:rsid w:val="000C720E"/>
    <w:rsid w:val="000C7DEE"/>
    <w:rsid w:val="000D0653"/>
    <w:rsid w:val="000D06A1"/>
    <w:rsid w:val="000D0701"/>
    <w:rsid w:val="000D08D9"/>
    <w:rsid w:val="000D0B5D"/>
    <w:rsid w:val="000D0DB0"/>
    <w:rsid w:val="000D0EBB"/>
    <w:rsid w:val="000D10CA"/>
    <w:rsid w:val="000D12A2"/>
    <w:rsid w:val="000D1314"/>
    <w:rsid w:val="000D17D2"/>
    <w:rsid w:val="000D1806"/>
    <w:rsid w:val="000D18D7"/>
    <w:rsid w:val="000D18E1"/>
    <w:rsid w:val="000D1D07"/>
    <w:rsid w:val="000D1DF4"/>
    <w:rsid w:val="000D1F76"/>
    <w:rsid w:val="000D2135"/>
    <w:rsid w:val="000D26E4"/>
    <w:rsid w:val="000D2840"/>
    <w:rsid w:val="000D2FB7"/>
    <w:rsid w:val="000D30CA"/>
    <w:rsid w:val="000D30D1"/>
    <w:rsid w:val="000D32DE"/>
    <w:rsid w:val="000D3392"/>
    <w:rsid w:val="000D3B61"/>
    <w:rsid w:val="000D4242"/>
    <w:rsid w:val="000D4949"/>
    <w:rsid w:val="000D4F6C"/>
    <w:rsid w:val="000D4FB2"/>
    <w:rsid w:val="000D4FC4"/>
    <w:rsid w:val="000D5127"/>
    <w:rsid w:val="000D51F5"/>
    <w:rsid w:val="000D55D1"/>
    <w:rsid w:val="000D5716"/>
    <w:rsid w:val="000D5D4A"/>
    <w:rsid w:val="000D5D77"/>
    <w:rsid w:val="000D614B"/>
    <w:rsid w:val="000D618F"/>
    <w:rsid w:val="000D6F96"/>
    <w:rsid w:val="000D78E9"/>
    <w:rsid w:val="000D7A41"/>
    <w:rsid w:val="000E0870"/>
    <w:rsid w:val="000E0997"/>
    <w:rsid w:val="000E0DF6"/>
    <w:rsid w:val="000E0E55"/>
    <w:rsid w:val="000E0EF8"/>
    <w:rsid w:val="000E1744"/>
    <w:rsid w:val="000E236F"/>
    <w:rsid w:val="000E237B"/>
    <w:rsid w:val="000E2667"/>
    <w:rsid w:val="000E26DF"/>
    <w:rsid w:val="000E28A9"/>
    <w:rsid w:val="000E3554"/>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74F"/>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654"/>
    <w:rsid w:val="000F4A92"/>
    <w:rsid w:val="000F51E0"/>
    <w:rsid w:val="000F52A7"/>
    <w:rsid w:val="000F52F2"/>
    <w:rsid w:val="000F53D8"/>
    <w:rsid w:val="000F56F0"/>
    <w:rsid w:val="000F5817"/>
    <w:rsid w:val="000F5D0E"/>
    <w:rsid w:val="000F5D96"/>
    <w:rsid w:val="000F62E9"/>
    <w:rsid w:val="000F662E"/>
    <w:rsid w:val="000F667C"/>
    <w:rsid w:val="000F6B6A"/>
    <w:rsid w:val="000F6DEE"/>
    <w:rsid w:val="000F6DF6"/>
    <w:rsid w:val="000F6E52"/>
    <w:rsid w:val="000F7676"/>
    <w:rsid w:val="000F7720"/>
    <w:rsid w:val="000F7B16"/>
    <w:rsid w:val="00100034"/>
    <w:rsid w:val="00100400"/>
    <w:rsid w:val="00100579"/>
    <w:rsid w:val="001008DE"/>
    <w:rsid w:val="00100DBB"/>
    <w:rsid w:val="00100E6C"/>
    <w:rsid w:val="00100F46"/>
    <w:rsid w:val="00101776"/>
    <w:rsid w:val="00101863"/>
    <w:rsid w:val="00101BC6"/>
    <w:rsid w:val="00101C8F"/>
    <w:rsid w:val="001020AF"/>
    <w:rsid w:val="001021CD"/>
    <w:rsid w:val="001022A6"/>
    <w:rsid w:val="001023E5"/>
    <w:rsid w:val="00102592"/>
    <w:rsid w:val="001025E3"/>
    <w:rsid w:val="00102942"/>
    <w:rsid w:val="00102A14"/>
    <w:rsid w:val="00102B8C"/>
    <w:rsid w:val="00102D96"/>
    <w:rsid w:val="001030EE"/>
    <w:rsid w:val="001032D1"/>
    <w:rsid w:val="001032E3"/>
    <w:rsid w:val="00103E32"/>
    <w:rsid w:val="00103F20"/>
    <w:rsid w:val="00103F57"/>
    <w:rsid w:val="00104028"/>
    <w:rsid w:val="00104695"/>
    <w:rsid w:val="00104977"/>
    <w:rsid w:val="001049A6"/>
    <w:rsid w:val="0010533B"/>
    <w:rsid w:val="00105851"/>
    <w:rsid w:val="00106192"/>
    <w:rsid w:val="001063F4"/>
    <w:rsid w:val="00106654"/>
    <w:rsid w:val="00106C10"/>
    <w:rsid w:val="00107015"/>
    <w:rsid w:val="001071EF"/>
    <w:rsid w:val="00107911"/>
    <w:rsid w:val="00107933"/>
    <w:rsid w:val="001079A2"/>
    <w:rsid w:val="00107A65"/>
    <w:rsid w:val="00107A7F"/>
    <w:rsid w:val="001106B9"/>
    <w:rsid w:val="00110907"/>
    <w:rsid w:val="00110BC8"/>
    <w:rsid w:val="00111089"/>
    <w:rsid w:val="00111258"/>
    <w:rsid w:val="001113A8"/>
    <w:rsid w:val="001116D8"/>
    <w:rsid w:val="00111823"/>
    <w:rsid w:val="00111BFE"/>
    <w:rsid w:val="0011218A"/>
    <w:rsid w:val="001123EE"/>
    <w:rsid w:val="001124C4"/>
    <w:rsid w:val="0011258A"/>
    <w:rsid w:val="00112606"/>
    <w:rsid w:val="00113CD6"/>
    <w:rsid w:val="00114063"/>
    <w:rsid w:val="001140D1"/>
    <w:rsid w:val="00114310"/>
    <w:rsid w:val="00114991"/>
    <w:rsid w:val="00114AD4"/>
    <w:rsid w:val="00114BC6"/>
    <w:rsid w:val="00114C0E"/>
    <w:rsid w:val="00114DB5"/>
    <w:rsid w:val="00114E7F"/>
    <w:rsid w:val="0011520E"/>
    <w:rsid w:val="0011542B"/>
    <w:rsid w:val="00115644"/>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60FB"/>
    <w:rsid w:val="001261AF"/>
    <w:rsid w:val="00126423"/>
    <w:rsid w:val="00126B9D"/>
    <w:rsid w:val="00127161"/>
    <w:rsid w:val="001271D0"/>
    <w:rsid w:val="001271E0"/>
    <w:rsid w:val="00127514"/>
    <w:rsid w:val="001275CA"/>
    <w:rsid w:val="001275EC"/>
    <w:rsid w:val="00127A21"/>
    <w:rsid w:val="00127E54"/>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99"/>
    <w:rsid w:val="0013524F"/>
    <w:rsid w:val="00135464"/>
    <w:rsid w:val="00135847"/>
    <w:rsid w:val="00135E12"/>
    <w:rsid w:val="001362AF"/>
    <w:rsid w:val="001363F3"/>
    <w:rsid w:val="001364BB"/>
    <w:rsid w:val="001364F1"/>
    <w:rsid w:val="001366A1"/>
    <w:rsid w:val="00136901"/>
    <w:rsid w:val="00136D75"/>
    <w:rsid w:val="00137116"/>
    <w:rsid w:val="001371C1"/>
    <w:rsid w:val="00137BB5"/>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872"/>
    <w:rsid w:val="00144AA6"/>
    <w:rsid w:val="00144C46"/>
    <w:rsid w:val="001454D2"/>
    <w:rsid w:val="0014572B"/>
    <w:rsid w:val="001458C5"/>
    <w:rsid w:val="00145A08"/>
    <w:rsid w:val="00145C0B"/>
    <w:rsid w:val="00145DD0"/>
    <w:rsid w:val="00145E38"/>
    <w:rsid w:val="00145F71"/>
    <w:rsid w:val="00146409"/>
    <w:rsid w:val="00146796"/>
    <w:rsid w:val="00146989"/>
    <w:rsid w:val="00147088"/>
    <w:rsid w:val="00150001"/>
    <w:rsid w:val="00150363"/>
    <w:rsid w:val="001505AD"/>
    <w:rsid w:val="00150BCC"/>
    <w:rsid w:val="00150D97"/>
    <w:rsid w:val="00151583"/>
    <w:rsid w:val="0015168D"/>
    <w:rsid w:val="00151C61"/>
    <w:rsid w:val="00151EB1"/>
    <w:rsid w:val="0015252E"/>
    <w:rsid w:val="001527BB"/>
    <w:rsid w:val="00152B12"/>
    <w:rsid w:val="00153259"/>
    <w:rsid w:val="00153583"/>
    <w:rsid w:val="00153905"/>
    <w:rsid w:val="00153A6D"/>
    <w:rsid w:val="00154272"/>
    <w:rsid w:val="00154298"/>
    <w:rsid w:val="001542FA"/>
    <w:rsid w:val="00154310"/>
    <w:rsid w:val="00154E4C"/>
    <w:rsid w:val="001550DA"/>
    <w:rsid w:val="00155915"/>
    <w:rsid w:val="00155A56"/>
    <w:rsid w:val="00155FC7"/>
    <w:rsid w:val="001562E6"/>
    <w:rsid w:val="0015630F"/>
    <w:rsid w:val="001564A7"/>
    <w:rsid w:val="00156559"/>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35F"/>
    <w:rsid w:val="00162520"/>
    <w:rsid w:val="00162543"/>
    <w:rsid w:val="00162560"/>
    <w:rsid w:val="001628B2"/>
    <w:rsid w:val="001638F2"/>
    <w:rsid w:val="001639FD"/>
    <w:rsid w:val="00163BBF"/>
    <w:rsid w:val="00163C99"/>
    <w:rsid w:val="0016481D"/>
    <w:rsid w:val="00164E1F"/>
    <w:rsid w:val="00164EDF"/>
    <w:rsid w:val="00164FF1"/>
    <w:rsid w:val="0016518A"/>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791"/>
    <w:rsid w:val="00171C12"/>
    <w:rsid w:val="00171FC8"/>
    <w:rsid w:val="001722C1"/>
    <w:rsid w:val="001740F5"/>
    <w:rsid w:val="00174B6C"/>
    <w:rsid w:val="0017501B"/>
    <w:rsid w:val="00175510"/>
    <w:rsid w:val="001756C1"/>
    <w:rsid w:val="00175999"/>
    <w:rsid w:val="00175DA2"/>
    <w:rsid w:val="00175EEF"/>
    <w:rsid w:val="00175FED"/>
    <w:rsid w:val="0017607F"/>
    <w:rsid w:val="001768EF"/>
    <w:rsid w:val="00176EF5"/>
    <w:rsid w:val="0017708B"/>
    <w:rsid w:val="001772AC"/>
    <w:rsid w:val="0017748F"/>
    <w:rsid w:val="001803E2"/>
    <w:rsid w:val="001804AA"/>
    <w:rsid w:val="00180856"/>
    <w:rsid w:val="001808E7"/>
    <w:rsid w:val="00180AF7"/>
    <w:rsid w:val="00180C60"/>
    <w:rsid w:val="00181035"/>
    <w:rsid w:val="00181A02"/>
    <w:rsid w:val="00181B90"/>
    <w:rsid w:val="00181BFF"/>
    <w:rsid w:val="00181C96"/>
    <w:rsid w:val="00181E70"/>
    <w:rsid w:val="00181F12"/>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D24"/>
    <w:rsid w:val="00184D69"/>
    <w:rsid w:val="0018533E"/>
    <w:rsid w:val="0018567E"/>
    <w:rsid w:val="00185B34"/>
    <w:rsid w:val="0018650F"/>
    <w:rsid w:val="00186510"/>
    <w:rsid w:val="00186937"/>
    <w:rsid w:val="001869FD"/>
    <w:rsid w:val="00186BA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6F91"/>
    <w:rsid w:val="00197474"/>
    <w:rsid w:val="001974D8"/>
    <w:rsid w:val="0019762F"/>
    <w:rsid w:val="001978D8"/>
    <w:rsid w:val="001A02EB"/>
    <w:rsid w:val="001A0876"/>
    <w:rsid w:val="001A0B4D"/>
    <w:rsid w:val="001A0EA4"/>
    <w:rsid w:val="001A0F54"/>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105"/>
    <w:rsid w:val="001B0363"/>
    <w:rsid w:val="001B0561"/>
    <w:rsid w:val="001B0655"/>
    <w:rsid w:val="001B06EE"/>
    <w:rsid w:val="001B11CE"/>
    <w:rsid w:val="001B1276"/>
    <w:rsid w:val="001B18CA"/>
    <w:rsid w:val="001B1B29"/>
    <w:rsid w:val="001B1B6F"/>
    <w:rsid w:val="001B1C77"/>
    <w:rsid w:val="001B1CD0"/>
    <w:rsid w:val="001B1D43"/>
    <w:rsid w:val="001B1D9A"/>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3D"/>
    <w:rsid w:val="001B6869"/>
    <w:rsid w:val="001B689A"/>
    <w:rsid w:val="001B6AF1"/>
    <w:rsid w:val="001B6DA3"/>
    <w:rsid w:val="001B6EF0"/>
    <w:rsid w:val="001B6F74"/>
    <w:rsid w:val="001B76FE"/>
    <w:rsid w:val="001B78B5"/>
    <w:rsid w:val="001B7B1B"/>
    <w:rsid w:val="001B7CF6"/>
    <w:rsid w:val="001C094F"/>
    <w:rsid w:val="001C0A94"/>
    <w:rsid w:val="001C0B70"/>
    <w:rsid w:val="001C13C2"/>
    <w:rsid w:val="001C1879"/>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ED4"/>
    <w:rsid w:val="001C5F93"/>
    <w:rsid w:val="001C625F"/>
    <w:rsid w:val="001C6556"/>
    <w:rsid w:val="001C6861"/>
    <w:rsid w:val="001C6A87"/>
    <w:rsid w:val="001C6E28"/>
    <w:rsid w:val="001C6E78"/>
    <w:rsid w:val="001C72A0"/>
    <w:rsid w:val="001C77AB"/>
    <w:rsid w:val="001C7A92"/>
    <w:rsid w:val="001C7CDF"/>
    <w:rsid w:val="001C7D9F"/>
    <w:rsid w:val="001C7E35"/>
    <w:rsid w:val="001D0229"/>
    <w:rsid w:val="001D0323"/>
    <w:rsid w:val="001D071D"/>
    <w:rsid w:val="001D0A5B"/>
    <w:rsid w:val="001D0D43"/>
    <w:rsid w:val="001D1393"/>
    <w:rsid w:val="001D1A59"/>
    <w:rsid w:val="001D1EC7"/>
    <w:rsid w:val="001D2098"/>
    <w:rsid w:val="001D21B0"/>
    <w:rsid w:val="001D271D"/>
    <w:rsid w:val="001D2C0F"/>
    <w:rsid w:val="001D30BD"/>
    <w:rsid w:val="001D340F"/>
    <w:rsid w:val="001D3DE5"/>
    <w:rsid w:val="001D3E3A"/>
    <w:rsid w:val="001D4D7E"/>
    <w:rsid w:val="001D4F0D"/>
    <w:rsid w:val="001D5750"/>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535"/>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4257"/>
    <w:rsid w:val="001E430E"/>
    <w:rsid w:val="001E4BA3"/>
    <w:rsid w:val="001E4C70"/>
    <w:rsid w:val="001E4FBF"/>
    <w:rsid w:val="001E558A"/>
    <w:rsid w:val="001E5E6B"/>
    <w:rsid w:val="001E6139"/>
    <w:rsid w:val="001E6242"/>
    <w:rsid w:val="001E6758"/>
    <w:rsid w:val="001E67CA"/>
    <w:rsid w:val="001E68B0"/>
    <w:rsid w:val="001E69A8"/>
    <w:rsid w:val="001E6CF1"/>
    <w:rsid w:val="001E71BE"/>
    <w:rsid w:val="001E7915"/>
    <w:rsid w:val="001E7C86"/>
    <w:rsid w:val="001E7FEB"/>
    <w:rsid w:val="001F00A5"/>
    <w:rsid w:val="001F026F"/>
    <w:rsid w:val="001F02BF"/>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634"/>
    <w:rsid w:val="001F3AC5"/>
    <w:rsid w:val="001F3CE4"/>
    <w:rsid w:val="001F457F"/>
    <w:rsid w:val="001F487A"/>
    <w:rsid w:val="001F4B4B"/>
    <w:rsid w:val="001F4F51"/>
    <w:rsid w:val="001F5032"/>
    <w:rsid w:val="001F5089"/>
    <w:rsid w:val="001F50CB"/>
    <w:rsid w:val="001F51C1"/>
    <w:rsid w:val="001F5ABB"/>
    <w:rsid w:val="001F5DD0"/>
    <w:rsid w:val="001F5DD8"/>
    <w:rsid w:val="001F6A9F"/>
    <w:rsid w:val="001F6C7B"/>
    <w:rsid w:val="001F7232"/>
    <w:rsid w:val="001F754C"/>
    <w:rsid w:val="001F7583"/>
    <w:rsid w:val="00200133"/>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53A"/>
    <w:rsid w:val="0020473C"/>
    <w:rsid w:val="0020486E"/>
    <w:rsid w:val="00204FF8"/>
    <w:rsid w:val="00205219"/>
    <w:rsid w:val="00205408"/>
    <w:rsid w:val="002060C6"/>
    <w:rsid w:val="002062F4"/>
    <w:rsid w:val="00206380"/>
    <w:rsid w:val="002069F9"/>
    <w:rsid w:val="00206DB2"/>
    <w:rsid w:val="00206E15"/>
    <w:rsid w:val="0020728F"/>
    <w:rsid w:val="00207300"/>
    <w:rsid w:val="00207779"/>
    <w:rsid w:val="00207B1B"/>
    <w:rsid w:val="00207CBC"/>
    <w:rsid w:val="00210484"/>
    <w:rsid w:val="00210546"/>
    <w:rsid w:val="0021058D"/>
    <w:rsid w:val="00210C5E"/>
    <w:rsid w:val="00210C9D"/>
    <w:rsid w:val="00211618"/>
    <w:rsid w:val="00211C15"/>
    <w:rsid w:val="00211EF5"/>
    <w:rsid w:val="002121F3"/>
    <w:rsid w:val="0021239C"/>
    <w:rsid w:val="002127FA"/>
    <w:rsid w:val="0021281B"/>
    <w:rsid w:val="002129BD"/>
    <w:rsid w:val="00212B95"/>
    <w:rsid w:val="00212E5E"/>
    <w:rsid w:val="00213129"/>
    <w:rsid w:val="00213231"/>
    <w:rsid w:val="00213803"/>
    <w:rsid w:val="00213F74"/>
    <w:rsid w:val="00214076"/>
    <w:rsid w:val="00214118"/>
    <w:rsid w:val="002141E9"/>
    <w:rsid w:val="002144D8"/>
    <w:rsid w:val="00214BE8"/>
    <w:rsid w:val="00214C77"/>
    <w:rsid w:val="0021516D"/>
    <w:rsid w:val="002152A3"/>
    <w:rsid w:val="002152EC"/>
    <w:rsid w:val="00215626"/>
    <w:rsid w:val="002157E2"/>
    <w:rsid w:val="002157F5"/>
    <w:rsid w:val="0021581A"/>
    <w:rsid w:val="002158D1"/>
    <w:rsid w:val="00215BDE"/>
    <w:rsid w:val="00215DA3"/>
    <w:rsid w:val="002160C6"/>
    <w:rsid w:val="00216404"/>
    <w:rsid w:val="0021680C"/>
    <w:rsid w:val="00216AF7"/>
    <w:rsid w:val="00216EA9"/>
    <w:rsid w:val="00217246"/>
    <w:rsid w:val="00217418"/>
    <w:rsid w:val="00217928"/>
    <w:rsid w:val="00217936"/>
    <w:rsid w:val="00217AB4"/>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F8"/>
    <w:rsid w:val="00222901"/>
    <w:rsid w:val="00222AE6"/>
    <w:rsid w:val="00222B8D"/>
    <w:rsid w:val="00222F4D"/>
    <w:rsid w:val="00223683"/>
    <w:rsid w:val="002238CD"/>
    <w:rsid w:val="00223C34"/>
    <w:rsid w:val="00223D09"/>
    <w:rsid w:val="00223EB9"/>
    <w:rsid w:val="0022400C"/>
    <w:rsid w:val="002242A6"/>
    <w:rsid w:val="002244DA"/>
    <w:rsid w:val="002250C6"/>
    <w:rsid w:val="00225112"/>
    <w:rsid w:val="00225203"/>
    <w:rsid w:val="002254CE"/>
    <w:rsid w:val="002256A9"/>
    <w:rsid w:val="00225859"/>
    <w:rsid w:val="00225CD1"/>
    <w:rsid w:val="00225F2E"/>
    <w:rsid w:val="002261B4"/>
    <w:rsid w:val="002266AB"/>
    <w:rsid w:val="002268C6"/>
    <w:rsid w:val="00226A00"/>
    <w:rsid w:val="00226F08"/>
    <w:rsid w:val="00226F86"/>
    <w:rsid w:val="00227128"/>
    <w:rsid w:val="002271A8"/>
    <w:rsid w:val="00227289"/>
    <w:rsid w:val="00227760"/>
    <w:rsid w:val="002277D6"/>
    <w:rsid w:val="00227AE6"/>
    <w:rsid w:val="00227B9E"/>
    <w:rsid w:val="00227E98"/>
    <w:rsid w:val="002300F8"/>
    <w:rsid w:val="002301BD"/>
    <w:rsid w:val="00230474"/>
    <w:rsid w:val="00230F71"/>
    <w:rsid w:val="00231834"/>
    <w:rsid w:val="00231B0B"/>
    <w:rsid w:val="00231E12"/>
    <w:rsid w:val="00231FA5"/>
    <w:rsid w:val="00232092"/>
    <w:rsid w:val="002325AB"/>
    <w:rsid w:val="002325B0"/>
    <w:rsid w:val="00232601"/>
    <w:rsid w:val="002327F4"/>
    <w:rsid w:val="00232A29"/>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101"/>
    <w:rsid w:val="0023772E"/>
    <w:rsid w:val="002377D1"/>
    <w:rsid w:val="002379C8"/>
    <w:rsid w:val="00237CFF"/>
    <w:rsid w:val="00240096"/>
    <w:rsid w:val="002401DC"/>
    <w:rsid w:val="00240398"/>
    <w:rsid w:val="002407C9"/>
    <w:rsid w:val="0024174C"/>
    <w:rsid w:val="00241878"/>
    <w:rsid w:val="00241C00"/>
    <w:rsid w:val="00241DC8"/>
    <w:rsid w:val="0024251E"/>
    <w:rsid w:val="00242971"/>
    <w:rsid w:val="00242D3B"/>
    <w:rsid w:val="002433D4"/>
    <w:rsid w:val="0024373B"/>
    <w:rsid w:val="00243909"/>
    <w:rsid w:val="00243DFB"/>
    <w:rsid w:val="0024492E"/>
    <w:rsid w:val="0024496B"/>
    <w:rsid w:val="00244A35"/>
    <w:rsid w:val="00244CDF"/>
    <w:rsid w:val="00245C0D"/>
    <w:rsid w:val="002461B1"/>
    <w:rsid w:val="002461B6"/>
    <w:rsid w:val="00246986"/>
    <w:rsid w:val="00246A3E"/>
    <w:rsid w:val="00246DCF"/>
    <w:rsid w:val="00247978"/>
    <w:rsid w:val="002479FD"/>
    <w:rsid w:val="00247C94"/>
    <w:rsid w:val="00247CD1"/>
    <w:rsid w:val="002502FB"/>
    <w:rsid w:val="002504FF"/>
    <w:rsid w:val="00250969"/>
    <w:rsid w:val="00250A61"/>
    <w:rsid w:val="0025106F"/>
    <w:rsid w:val="002514BA"/>
    <w:rsid w:val="002514FE"/>
    <w:rsid w:val="00251934"/>
    <w:rsid w:val="00252322"/>
    <w:rsid w:val="002525BC"/>
    <w:rsid w:val="0025275B"/>
    <w:rsid w:val="00252C25"/>
    <w:rsid w:val="0025331D"/>
    <w:rsid w:val="00253B77"/>
    <w:rsid w:val="00253DE1"/>
    <w:rsid w:val="002541FF"/>
    <w:rsid w:val="0025453B"/>
    <w:rsid w:val="0025485A"/>
    <w:rsid w:val="002549D5"/>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573"/>
    <w:rsid w:val="002646D1"/>
    <w:rsid w:val="00265486"/>
    <w:rsid w:val="00265C26"/>
    <w:rsid w:val="00265D8B"/>
    <w:rsid w:val="00265E0B"/>
    <w:rsid w:val="00266203"/>
    <w:rsid w:val="002663EF"/>
    <w:rsid w:val="00266413"/>
    <w:rsid w:val="002669DE"/>
    <w:rsid w:val="00266D9C"/>
    <w:rsid w:val="00267475"/>
    <w:rsid w:val="002678A5"/>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20"/>
    <w:rsid w:val="00273E59"/>
    <w:rsid w:val="00274082"/>
    <w:rsid w:val="00274172"/>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69E"/>
    <w:rsid w:val="002779A0"/>
    <w:rsid w:val="002779D9"/>
    <w:rsid w:val="00277B15"/>
    <w:rsid w:val="00277D44"/>
    <w:rsid w:val="00277F7B"/>
    <w:rsid w:val="0028017E"/>
    <w:rsid w:val="0028017F"/>
    <w:rsid w:val="00280184"/>
    <w:rsid w:val="00280236"/>
    <w:rsid w:val="002802BE"/>
    <w:rsid w:val="002803E2"/>
    <w:rsid w:val="002804DB"/>
    <w:rsid w:val="002813BC"/>
    <w:rsid w:val="0028154E"/>
    <w:rsid w:val="002817DA"/>
    <w:rsid w:val="00281841"/>
    <w:rsid w:val="00281892"/>
    <w:rsid w:val="00281A19"/>
    <w:rsid w:val="0028270E"/>
    <w:rsid w:val="0028271C"/>
    <w:rsid w:val="0028341F"/>
    <w:rsid w:val="00283C2E"/>
    <w:rsid w:val="00283E86"/>
    <w:rsid w:val="00283F44"/>
    <w:rsid w:val="002840E0"/>
    <w:rsid w:val="002843E7"/>
    <w:rsid w:val="00284559"/>
    <w:rsid w:val="0028459B"/>
    <w:rsid w:val="0028476C"/>
    <w:rsid w:val="002847BF"/>
    <w:rsid w:val="0028489A"/>
    <w:rsid w:val="00284A42"/>
    <w:rsid w:val="00284A59"/>
    <w:rsid w:val="00284CFA"/>
    <w:rsid w:val="00284F01"/>
    <w:rsid w:val="00285136"/>
    <w:rsid w:val="00285A99"/>
    <w:rsid w:val="00285AC4"/>
    <w:rsid w:val="00285B24"/>
    <w:rsid w:val="00285E16"/>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6B7"/>
    <w:rsid w:val="0029498B"/>
    <w:rsid w:val="00294C93"/>
    <w:rsid w:val="00296136"/>
    <w:rsid w:val="002962D5"/>
    <w:rsid w:val="002962FE"/>
    <w:rsid w:val="00296434"/>
    <w:rsid w:val="0029672B"/>
    <w:rsid w:val="00296745"/>
    <w:rsid w:val="00296771"/>
    <w:rsid w:val="0029684F"/>
    <w:rsid w:val="00296B07"/>
    <w:rsid w:val="00296D3B"/>
    <w:rsid w:val="00296EA2"/>
    <w:rsid w:val="00296FEA"/>
    <w:rsid w:val="002971D0"/>
    <w:rsid w:val="00297720"/>
    <w:rsid w:val="00297971"/>
    <w:rsid w:val="00297BA5"/>
    <w:rsid w:val="00297EF5"/>
    <w:rsid w:val="002A01A3"/>
    <w:rsid w:val="002A01C5"/>
    <w:rsid w:val="002A0836"/>
    <w:rsid w:val="002A11FE"/>
    <w:rsid w:val="002A1939"/>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7841"/>
    <w:rsid w:val="002A78D5"/>
    <w:rsid w:val="002A7C23"/>
    <w:rsid w:val="002B0312"/>
    <w:rsid w:val="002B0313"/>
    <w:rsid w:val="002B03A5"/>
    <w:rsid w:val="002B0547"/>
    <w:rsid w:val="002B0B39"/>
    <w:rsid w:val="002B0FBD"/>
    <w:rsid w:val="002B1219"/>
    <w:rsid w:val="002B1714"/>
    <w:rsid w:val="002B1817"/>
    <w:rsid w:val="002B1E1B"/>
    <w:rsid w:val="002B1F69"/>
    <w:rsid w:val="002B22D1"/>
    <w:rsid w:val="002B237F"/>
    <w:rsid w:val="002B2631"/>
    <w:rsid w:val="002B2E64"/>
    <w:rsid w:val="002B3620"/>
    <w:rsid w:val="002B3B07"/>
    <w:rsid w:val="002B3C00"/>
    <w:rsid w:val="002B3CA7"/>
    <w:rsid w:val="002B3F03"/>
    <w:rsid w:val="002B5496"/>
    <w:rsid w:val="002B5A3C"/>
    <w:rsid w:val="002B5AF8"/>
    <w:rsid w:val="002B5CAE"/>
    <w:rsid w:val="002B5DA2"/>
    <w:rsid w:val="002B639F"/>
    <w:rsid w:val="002B6497"/>
    <w:rsid w:val="002B6589"/>
    <w:rsid w:val="002B6DC5"/>
    <w:rsid w:val="002B70A6"/>
    <w:rsid w:val="002B734F"/>
    <w:rsid w:val="002B787C"/>
    <w:rsid w:val="002B7D50"/>
    <w:rsid w:val="002B7F3A"/>
    <w:rsid w:val="002C026B"/>
    <w:rsid w:val="002C03E7"/>
    <w:rsid w:val="002C07ED"/>
    <w:rsid w:val="002C0828"/>
    <w:rsid w:val="002C10A0"/>
    <w:rsid w:val="002C123F"/>
    <w:rsid w:val="002C12E5"/>
    <w:rsid w:val="002C1314"/>
    <w:rsid w:val="002C14B1"/>
    <w:rsid w:val="002C1774"/>
    <w:rsid w:val="002C1816"/>
    <w:rsid w:val="002C19B9"/>
    <w:rsid w:val="002C1C97"/>
    <w:rsid w:val="002C1D60"/>
    <w:rsid w:val="002C1F44"/>
    <w:rsid w:val="002C23EB"/>
    <w:rsid w:val="002C29BF"/>
    <w:rsid w:val="002C3012"/>
    <w:rsid w:val="002C34DD"/>
    <w:rsid w:val="002C39C0"/>
    <w:rsid w:val="002C42AC"/>
    <w:rsid w:val="002C46C3"/>
    <w:rsid w:val="002C4817"/>
    <w:rsid w:val="002C4A91"/>
    <w:rsid w:val="002C4DD2"/>
    <w:rsid w:val="002C4EA2"/>
    <w:rsid w:val="002C5140"/>
    <w:rsid w:val="002C5246"/>
    <w:rsid w:val="002C572C"/>
    <w:rsid w:val="002C585E"/>
    <w:rsid w:val="002C58DB"/>
    <w:rsid w:val="002C594B"/>
    <w:rsid w:val="002C5976"/>
    <w:rsid w:val="002C5E19"/>
    <w:rsid w:val="002C5F3B"/>
    <w:rsid w:val="002C5FEB"/>
    <w:rsid w:val="002C62BA"/>
    <w:rsid w:val="002C6403"/>
    <w:rsid w:val="002C67C4"/>
    <w:rsid w:val="002C6A81"/>
    <w:rsid w:val="002C6C7D"/>
    <w:rsid w:val="002C6F7B"/>
    <w:rsid w:val="002C750D"/>
    <w:rsid w:val="002C792F"/>
    <w:rsid w:val="002C79E8"/>
    <w:rsid w:val="002C7B0D"/>
    <w:rsid w:val="002D025C"/>
    <w:rsid w:val="002D0CB6"/>
    <w:rsid w:val="002D0F88"/>
    <w:rsid w:val="002D10D3"/>
    <w:rsid w:val="002D12E3"/>
    <w:rsid w:val="002D13B8"/>
    <w:rsid w:val="002D1D1B"/>
    <w:rsid w:val="002D1E2F"/>
    <w:rsid w:val="002D21C1"/>
    <w:rsid w:val="002D26F9"/>
    <w:rsid w:val="002D29EC"/>
    <w:rsid w:val="002D2B11"/>
    <w:rsid w:val="002D2E62"/>
    <w:rsid w:val="002D2FBA"/>
    <w:rsid w:val="002D36B0"/>
    <w:rsid w:val="002D3790"/>
    <w:rsid w:val="002D37E0"/>
    <w:rsid w:val="002D3B17"/>
    <w:rsid w:val="002D3E6D"/>
    <w:rsid w:val="002D440C"/>
    <w:rsid w:val="002D47CD"/>
    <w:rsid w:val="002D4A32"/>
    <w:rsid w:val="002D4A5C"/>
    <w:rsid w:val="002D4C19"/>
    <w:rsid w:val="002D4CA0"/>
    <w:rsid w:val="002D4F38"/>
    <w:rsid w:val="002D5152"/>
    <w:rsid w:val="002D609E"/>
    <w:rsid w:val="002D62ED"/>
    <w:rsid w:val="002D633A"/>
    <w:rsid w:val="002D6786"/>
    <w:rsid w:val="002D6A1B"/>
    <w:rsid w:val="002D6CCE"/>
    <w:rsid w:val="002D703B"/>
    <w:rsid w:val="002D70A3"/>
    <w:rsid w:val="002D7336"/>
    <w:rsid w:val="002D7A69"/>
    <w:rsid w:val="002D7BC9"/>
    <w:rsid w:val="002D7CEA"/>
    <w:rsid w:val="002E02A6"/>
    <w:rsid w:val="002E064E"/>
    <w:rsid w:val="002E0AF1"/>
    <w:rsid w:val="002E0BE7"/>
    <w:rsid w:val="002E0E3E"/>
    <w:rsid w:val="002E0E92"/>
    <w:rsid w:val="002E0FCE"/>
    <w:rsid w:val="002E1539"/>
    <w:rsid w:val="002E19E1"/>
    <w:rsid w:val="002E1D79"/>
    <w:rsid w:val="002E1F70"/>
    <w:rsid w:val="002E20D0"/>
    <w:rsid w:val="002E2208"/>
    <w:rsid w:val="002E2266"/>
    <w:rsid w:val="002E26D8"/>
    <w:rsid w:val="002E290B"/>
    <w:rsid w:val="002E2F4A"/>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7752"/>
    <w:rsid w:val="002E788A"/>
    <w:rsid w:val="002E7A56"/>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E3"/>
    <w:rsid w:val="002F2AA3"/>
    <w:rsid w:val="002F2BE6"/>
    <w:rsid w:val="002F316D"/>
    <w:rsid w:val="002F320C"/>
    <w:rsid w:val="002F32AE"/>
    <w:rsid w:val="002F345B"/>
    <w:rsid w:val="002F368E"/>
    <w:rsid w:val="002F3928"/>
    <w:rsid w:val="002F3BE2"/>
    <w:rsid w:val="002F3E6B"/>
    <w:rsid w:val="002F4077"/>
    <w:rsid w:val="002F4087"/>
    <w:rsid w:val="002F45EB"/>
    <w:rsid w:val="002F49BA"/>
    <w:rsid w:val="002F4D9C"/>
    <w:rsid w:val="002F4F6D"/>
    <w:rsid w:val="002F5279"/>
    <w:rsid w:val="002F5551"/>
    <w:rsid w:val="002F5729"/>
    <w:rsid w:val="002F5811"/>
    <w:rsid w:val="002F5C6A"/>
    <w:rsid w:val="002F6806"/>
    <w:rsid w:val="002F689B"/>
    <w:rsid w:val="002F693F"/>
    <w:rsid w:val="002F69C4"/>
    <w:rsid w:val="002F73AA"/>
    <w:rsid w:val="002F747C"/>
    <w:rsid w:val="002F754F"/>
    <w:rsid w:val="002F7ED3"/>
    <w:rsid w:val="0030092B"/>
    <w:rsid w:val="00300BF3"/>
    <w:rsid w:val="00301092"/>
    <w:rsid w:val="003011F6"/>
    <w:rsid w:val="00301993"/>
    <w:rsid w:val="00301BEE"/>
    <w:rsid w:val="00301F44"/>
    <w:rsid w:val="00302055"/>
    <w:rsid w:val="003025A9"/>
    <w:rsid w:val="00303114"/>
    <w:rsid w:val="00303291"/>
    <w:rsid w:val="00303A93"/>
    <w:rsid w:val="00303BB9"/>
    <w:rsid w:val="003043C9"/>
    <w:rsid w:val="00304478"/>
    <w:rsid w:val="003046FC"/>
    <w:rsid w:val="00304822"/>
    <w:rsid w:val="00304A52"/>
    <w:rsid w:val="00305027"/>
    <w:rsid w:val="003051D8"/>
    <w:rsid w:val="0030548E"/>
    <w:rsid w:val="003054BA"/>
    <w:rsid w:val="00305537"/>
    <w:rsid w:val="003059C1"/>
    <w:rsid w:val="003061F2"/>
    <w:rsid w:val="0030671A"/>
    <w:rsid w:val="00306AAE"/>
    <w:rsid w:val="00306B1E"/>
    <w:rsid w:val="00307128"/>
    <w:rsid w:val="00307A6B"/>
    <w:rsid w:val="00307C56"/>
    <w:rsid w:val="00307D91"/>
    <w:rsid w:val="00310589"/>
    <w:rsid w:val="00310767"/>
    <w:rsid w:val="00310D02"/>
    <w:rsid w:val="00310E41"/>
    <w:rsid w:val="00311574"/>
    <w:rsid w:val="0031171F"/>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64AE"/>
    <w:rsid w:val="0031661D"/>
    <w:rsid w:val="003167F9"/>
    <w:rsid w:val="00316D12"/>
    <w:rsid w:val="00316FDC"/>
    <w:rsid w:val="00317092"/>
    <w:rsid w:val="00317571"/>
    <w:rsid w:val="003177C5"/>
    <w:rsid w:val="00317ABE"/>
    <w:rsid w:val="0032001E"/>
    <w:rsid w:val="00320920"/>
    <w:rsid w:val="00320B5B"/>
    <w:rsid w:val="003212E6"/>
    <w:rsid w:val="0032133A"/>
    <w:rsid w:val="0032176A"/>
    <w:rsid w:val="00321844"/>
    <w:rsid w:val="00321C1E"/>
    <w:rsid w:val="00321C39"/>
    <w:rsid w:val="003223A5"/>
    <w:rsid w:val="0032245C"/>
    <w:rsid w:val="0032293A"/>
    <w:rsid w:val="00322E91"/>
    <w:rsid w:val="00322FF4"/>
    <w:rsid w:val="003230AE"/>
    <w:rsid w:val="0032326B"/>
    <w:rsid w:val="003232E1"/>
    <w:rsid w:val="00323E49"/>
    <w:rsid w:val="003240A3"/>
    <w:rsid w:val="0032451D"/>
    <w:rsid w:val="00324593"/>
    <w:rsid w:val="00324827"/>
    <w:rsid w:val="00324B3D"/>
    <w:rsid w:val="0032559D"/>
    <w:rsid w:val="003256F7"/>
    <w:rsid w:val="003265A4"/>
    <w:rsid w:val="0032667A"/>
    <w:rsid w:val="003267E0"/>
    <w:rsid w:val="003271F8"/>
    <w:rsid w:val="00327684"/>
    <w:rsid w:val="0032783F"/>
    <w:rsid w:val="003305D3"/>
    <w:rsid w:val="0033065F"/>
    <w:rsid w:val="00330762"/>
    <w:rsid w:val="003307D9"/>
    <w:rsid w:val="0033088D"/>
    <w:rsid w:val="00330D18"/>
    <w:rsid w:val="00330DDD"/>
    <w:rsid w:val="003314A6"/>
    <w:rsid w:val="00331D35"/>
    <w:rsid w:val="00331ED5"/>
    <w:rsid w:val="00332472"/>
    <w:rsid w:val="00332ADB"/>
    <w:rsid w:val="00332C13"/>
    <w:rsid w:val="00332D2C"/>
    <w:rsid w:val="00333393"/>
    <w:rsid w:val="003333AD"/>
    <w:rsid w:val="003333E3"/>
    <w:rsid w:val="00333708"/>
    <w:rsid w:val="00333A5F"/>
    <w:rsid w:val="0033402D"/>
    <w:rsid w:val="00334B1E"/>
    <w:rsid w:val="00334BF5"/>
    <w:rsid w:val="00334DEA"/>
    <w:rsid w:val="00334E2E"/>
    <w:rsid w:val="003352D1"/>
    <w:rsid w:val="0033534E"/>
    <w:rsid w:val="00335381"/>
    <w:rsid w:val="00335C77"/>
    <w:rsid w:val="00335D19"/>
    <w:rsid w:val="00335EDC"/>
    <w:rsid w:val="00335FD7"/>
    <w:rsid w:val="003365BD"/>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9A7"/>
    <w:rsid w:val="00352C3A"/>
    <w:rsid w:val="00352C96"/>
    <w:rsid w:val="00352D37"/>
    <w:rsid w:val="003533E2"/>
    <w:rsid w:val="00353D5B"/>
    <w:rsid w:val="00354055"/>
    <w:rsid w:val="0035411E"/>
    <w:rsid w:val="0035469E"/>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5A"/>
    <w:rsid w:val="003568B2"/>
    <w:rsid w:val="00356D82"/>
    <w:rsid w:val="00356FA6"/>
    <w:rsid w:val="00357722"/>
    <w:rsid w:val="00357726"/>
    <w:rsid w:val="0035794C"/>
    <w:rsid w:val="00357FCD"/>
    <w:rsid w:val="00360064"/>
    <w:rsid w:val="003604A5"/>
    <w:rsid w:val="003607DB"/>
    <w:rsid w:val="00360DEF"/>
    <w:rsid w:val="0036143B"/>
    <w:rsid w:val="00361692"/>
    <w:rsid w:val="00361695"/>
    <w:rsid w:val="003616CE"/>
    <w:rsid w:val="0036188B"/>
    <w:rsid w:val="00361B55"/>
    <w:rsid w:val="0036270A"/>
    <w:rsid w:val="00362915"/>
    <w:rsid w:val="00362A5A"/>
    <w:rsid w:val="00362ABE"/>
    <w:rsid w:val="00363395"/>
    <w:rsid w:val="003633AE"/>
    <w:rsid w:val="003637A7"/>
    <w:rsid w:val="0036381A"/>
    <w:rsid w:val="00363CE4"/>
    <w:rsid w:val="00363E0A"/>
    <w:rsid w:val="00364565"/>
    <w:rsid w:val="003648C6"/>
    <w:rsid w:val="003649E9"/>
    <w:rsid w:val="00364A24"/>
    <w:rsid w:val="00364AB0"/>
    <w:rsid w:val="00364CEF"/>
    <w:rsid w:val="0036544B"/>
    <w:rsid w:val="00366127"/>
    <w:rsid w:val="003663F3"/>
    <w:rsid w:val="00366654"/>
    <w:rsid w:val="003668BA"/>
    <w:rsid w:val="00366AD7"/>
    <w:rsid w:val="00367043"/>
    <w:rsid w:val="00367104"/>
    <w:rsid w:val="00367530"/>
    <w:rsid w:val="003678BB"/>
    <w:rsid w:val="00367C88"/>
    <w:rsid w:val="00367ED7"/>
    <w:rsid w:val="00370172"/>
    <w:rsid w:val="0037082F"/>
    <w:rsid w:val="00370A35"/>
    <w:rsid w:val="00370BD9"/>
    <w:rsid w:val="00370CB6"/>
    <w:rsid w:val="00370D2D"/>
    <w:rsid w:val="00370E3D"/>
    <w:rsid w:val="0037160E"/>
    <w:rsid w:val="00371CF1"/>
    <w:rsid w:val="00372117"/>
    <w:rsid w:val="003726BA"/>
    <w:rsid w:val="00372C45"/>
    <w:rsid w:val="00372C9D"/>
    <w:rsid w:val="00373102"/>
    <w:rsid w:val="00373F4B"/>
    <w:rsid w:val="00374CE1"/>
    <w:rsid w:val="0037507C"/>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AAB"/>
    <w:rsid w:val="00382B7B"/>
    <w:rsid w:val="00382D2F"/>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71A"/>
    <w:rsid w:val="00385B6A"/>
    <w:rsid w:val="00385BC0"/>
    <w:rsid w:val="00385BEC"/>
    <w:rsid w:val="00385FE4"/>
    <w:rsid w:val="00386071"/>
    <w:rsid w:val="0038653E"/>
    <w:rsid w:val="00386653"/>
    <w:rsid w:val="003866D5"/>
    <w:rsid w:val="00386A13"/>
    <w:rsid w:val="00386E87"/>
    <w:rsid w:val="003872E0"/>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743"/>
    <w:rsid w:val="003948A6"/>
    <w:rsid w:val="003948D0"/>
    <w:rsid w:val="0039567E"/>
    <w:rsid w:val="00395764"/>
    <w:rsid w:val="00395DC2"/>
    <w:rsid w:val="00395F15"/>
    <w:rsid w:val="00396229"/>
    <w:rsid w:val="00396736"/>
    <w:rsid w:val="00396E04"/>
    <w:rsid w:val="00396FB8"/>
    <w:rsid w:val="00397323"/>
    <w:rsid w:val="0039738D"/>
    <w:rsid w:val="003975C9"/>
    <w:rsid w:val="00397AFB"/>
    <w:rsid w:val="003A0363"/>
    <w:rsid w:val="003A04B4"/>
    <w:rsid w:val="003A053C"/>
    <w:rsid w:val="003A079E"/>
    <w:rsid w:val="003A0FB9"/>
    <w:rsid w:val="003A12A5"/>
    <w:rsid w:val="003A131F"/>
    <w:rsid w:val="003A1493"/>
    <w:rsid w:val="003A1B24"/>
    <w:rsid w:val="003A1C9D"/>
    <w:rsid w:val="003A1DD9"/>
    <w:rsid w:val="003A2671"/>
    <w:rsid w:val="003A267B"/>
    <w:rsid w:val="003A2B48"/>
    <w:rsid w:val="003A2B86"/>
    <w:rsid w:val="003A2E54"/>
    <w:rsid w:val="003A2EAE"/>
    <w:rsid w:val="003A37B5"/>
    <w:rsid w:val="003A383D"/>
    <w:rsid w:val="003A3932"/>
    <w:rsid w:val="003A3BDF"/>
    <w:rsid w:val="003A3DF5"/>
    <w:rsid w:val="003A3EE5"/>
    <w:rsid w:val="003A40F8"/>
    <w:rsid w:val="003A4A08"/>
    <w:rsid w:val="003A4B68"/>
    <w:rsid w:val="003A4C36"/>
    <w:rsid w:val="003A4FA2"/>
    <w:rsid w:val="003A504C"/>
    <w:rsid w:val="003A505C"/>
    <w:rsid w:val="003A54B0"/>
    <w:rsid w:val="003A5BF3"/>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C9"/>
    <w:rsid w:val="003B32AB"/>
    <w:rsid w:val="003B414D"/>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B7CF5"/>
    <w:rsid w:val="003C025C"/>
    <w:rsid w:val="003C0985"/>
    <w:rsid w:val="003C0FD4"/>
    <w:rsid w:val="003C10FF"/>
    <w:rsid w:val="003C1ADD"/>
    <w:rsid w:val="003C259B"/>
    <w:rsid w:val="003C2641"/>
    <w:rsid w:val="003C299F"/>
    <w:rsid w:val="003C2A79"/>
    <w:rsid w:val="003C2DE3"/>
    <w:rsid w:val="003C339E"/>
    <w:rsid w:val="003C3475"/>
    <w:rsid w:val="003C3FD5"/>
    <w:rsid w:val="003C435B"/>
    <w:rsid w:val="003C4377"/>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EEA"/>
    <w:rsid w:val="003C7F7D"/>
    <w:rsid w:val="003C7FAE"/>
    <w:rsid w:val="003D00BF"/>
    <w:rsid w:val="003D00F7"/>
    <w:rsid w:val="003D0501"/>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B30"/>
    <w:rsid w:val="003D2BB0"/>
    <w:rsid w:val="003D2F70"/>
    <w:rsid w:val="003D2FAF"/>
    <w:rsid w:val="003D304F"/>
    <w:rsid w:val="003D31E7"/>
    <w:rsid w:val="003D38EC"/>
    <w:rsid w:val="003D3B6B"/>
    <w:rsid w:val="003D3FA4"/>
    <w:rsid w:val="003D45A4"/>
    <w:rsid w:val="003D4B2E"/>
    <w:rsid w:val="003D4B65"/>
    <w:rsid w:val="003D4C03"/>
    <w:rsid w:val="003D5036"/>
    <w:rsid w:val="003D5685"/>
    <w:rsid w:val="003D5A55"/>
    <w:rsid w:val="003D5C4A"/>
    <w:rsid w:val="003D60B0"/>
    <w:rsid w:val="003D6137"/>
    <w:rsid w:val="003D6311"/>
    <w:rsid w:val="003D6757"/>
    <w:rsid w:val="003D695D"/>
    <w:rsid w:val="003D69C5"/>
    <w:rsid w:val="003D6B61"/>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724"/>
    <w:rsid w:val="003F79D1"/>
    <w:rsid w:val="003F7FA0"/>
    <w:rsid w:val="004000EB"/>
    <w:rsid w:val="0040021C"/>
    <w:rsid w:val="00400738"/>
    <w:rsid w:val="00400B64"/>
    <w:rsid w:val="0040129E"/>
    <w:rsid w:val="0040179C"/>
    <w:rsid w:val="00401857"/>
    <w:rsid w:val="00401AB2"/>
    <w:rsid w:val="00401F65"/>
    <w:rsid w:val="004022AC"/>
    <w:rsid w:val="00402352"/>
    <w:rsid w:val="004027DF"/>
    <w:rsid w:val="004027F2"/>
    <w:rsid w:val="0040286F"/>
    <w:rsid w:val="00402B0D"/>
    <w:rsid w:val="00403120"/>
    <w:rsid w:val="00403461"/>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F12"/>
    <w:rsid w:val="0040635C"/>
    <w:rsid w:val="0040660D"/>
    <w:rsid w:val="004068C8"/>
    <w:rsid w:val="004069C5"/>
    <w:rsid w:val="00407182"/>
    <w:rsid w:val="0040765D"/>
    <w:rsid w:val="004079A8"/>
    <w:rsid w:val="00407A15"/>
    <w:rsid w:val="00407B1F"/>
    <w:rsid w:val="00407DA7"/>
    <w:rsid w:val="00410001"/>
    <w:rsid w:val="004107E5"/>
    <w:rsid w:val="00410C65"/>
    <w:rsid w:val="00411294"/>
    <w:rsid w:val="0041146C"/>
    <w:rsid w:val="0041148F"/>
    <w:rsid w:val="004117C7"/>
    <w:rsid w:val="00411C22"/>
    <w:rsid w:val="00412B53"/>
    <w:rsid w:val="00412B55"/>
    <w:rsid w:val="00412B8C"/>
    <w:rsid w:val="00412D5C"/>
    <w:rsid w:val="00412D80"/>
    <w:rsid w:val="00412DE8"/>
    <w:rsid w:val="004130BD"/>
    <w:rsid w:val="00413C13"/>
    <w:rsid w:val="00413C23"/>
    <w:rsid w:val="00414ABC"/>
    <w:rsid w:val="00414E1E"/>
    <w:rsid w:val="00414F56"/>
    <w:rsid w:val="0041510D"/>
    <w:rsid w:val="00415202"/>
    <w:rsid w:val="00415807"/>
    <w:rsid w:val="004158CE"/>
    <w:rsid w:val="004163BD"/>
    <w:rsid w:val="004167CE"/>
    <w:rsid w:val="00417410"/>
    <w:rsid w:val="004177D9"/>
    <w:rsid w:val="00417807"/>
    <w:rsid w:val="00417844"/>
    <w:rsid w:val="00417BDF"/>
    <w:rsid w:val="00417EB8"/>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2D1"/>
    <w:rsid w:val="00423459"/>
    <w:rsid w:val="0042402D"/>
    <w:rsid w:val="004249A3"/>
    <w:rsid w:val="004251CA"/>
    <w:rsid w:val="004259CB"/>
    <w:rsid w:val="00426246"/>
    <w:rsid w:val="00426661"/>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C40"/>
    <w:rsid w:val="00433D2C"/>
    <w:rsid w:val="00434075"/>
    <w:rsid w:val="00434C5B"/>
    <w:rsid w:val="00435095"/>
    <w:rsid w:val="0043523E"/>
    <w:rsid w:val="004352B9"/>
    <w:rsid w:val="004358A5"/>
    <w:rsid w:val="00435BDD"/>
    <w:rsid w:val="00435CB9"/>
    <w:rsid w:val="004361A8"/>
    <w:rsid w:val="00436C72"/>
    <w:rsid w:val="00436D1C"/>
    <w:rsid w:val="00437479"/>
    <w:rsid w:val="00437846"/>
    <w:rsid w:val="00437AF1"/>
    <w:rsid w:val="00437C1E"/>
    <w:rsid w:val="00437CAD"/>
    <w:rsid w:val="0044001A"/>
    <w:rsid w:val="00440226"/>
    <w:rsid w:val="00440477"/>
    <w:rsid w:val="00440478"/>
    <w:rsid w:val="0044075B"/>
    <w:rsid w:val="00440808"/>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4CD"/>
    <w:rsid w:val="00444C8C"/>
    <w:rsid w:val="00444D79"/>
    <w:rsid w:val="00444E05"/>
    <w:rsid w:val="004457C3"/>
    <w:rsid w:val="0044589D"/>
    <w:rsid w:val="00446068"/>
    <w:rsid w:val="00446274"/>
    <w:rsid w:val="004465B5"/>
    <w:rsid w:val="00446803"/>
    <w:rsid w:val="0044680E"/>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898"/>
    <w:rsid w:val="00454937"/>
    <w:rsid w:val="004549DE"/>
    <w:rsid w:val="00454A33"/>
    <w:rsid w:val="00454BA8"/>
    <w:rsid w:val="00454D17"/>
    <w:rsid w:val="00455639"/>
    <w:rsid w:val="00455D8E"/>
    <w:rsid w:val="004574B6"/>
    <w:rsid w:val="00457528"/>
    <w:rsid w:val="00457579"/>
    <w:rsid w:val="004576C2"/>
    <w:rsid w:val="00457D7D"/>
    <w:rsid w:val="00460232"/>
    <w:rsid w:val="004606D3"/>
    <w:rsid w:val="004608BB"/>
    <w:rsid w:val="00460BE6"/>
    <w:rsid w:val="00460EDF"/>
    <w:rsid w:val="00461248"/>
    <w:rsid w:val="00461E19"/>
    <w:rsid w:val="00462046"/>
    <w:rsid w:val="004625AA"/>
    <w:rsid w:val="00462A94"/>
    <w:rsid w:val="00462CBC"/>
    <w:rsid w:val="00462F7C"/>
    <w:rsid w:val="00463122"/>
    <w:rsid w:val="00463134"/>
    <w:rsid w:val="004636E2"/>
    <w:rsid w:val="00463804"/>
    <w:rsid w:val="00463C0D"/>
    <w:rsid w:val="00463E3D"/>
    <w:rsid w:val="0046422D"/>
    <w:rsid w:val="004644AB"/>
    <w:rsid w:val="004645A3"/>
    <w:rsid w:val="00464C22"/>
    <w:rsid w:val="00464D73"/>
    <w:rsid w:val="004651BF"/>
    <w:rsid w:val="0046543C"/>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2105"/>
    <w:rsid w:val="00472155"/>
    <w:rsid w:val="00472224"/>
    <w:rsid w:val="00473017"/>
    <w:rsid w:val="00473160"/>
    <w:rsid w:val="00473A54"/>
    <w:rsid w:val="00473AD9"/>
    <w:rsid w:val="00473DBF"/>
    <w:rsid w:val="00474BEE"/>
    <w:rsid w:val="004751EB"/>
    <w:rsid w:val="00475A99"/>
    <w:rsid w:val="00475BBB"/>
    <w:rsid w:val="00475F61"/>
    <w:rsid w:val="00476027"/>
    <w:rsid w:val="00476BCC"/>
    <w:rsid w:val="00476E9E"/>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66"/>
    <w:rsid w:val="00481943"/>
    <w:rsid w:val="00481A3F"/>
    <w:rsid w:val="00481D59"/>
    <w:rsid w:val="00482BE2"/>
    <w:rsid w:val="0048368B"/>
    <w:rsid w:val="00483738"/>
    <w:rsid w:val="00483930"/>
    <w:rsid w:val="00483E42"/>
    <w:rsid w:val="00483F95"/>
    <w:rsid w:val="004841BD"/>
    <w:rsid w:val="004843F2"/>
    <w:rsid w:val="004845F0"/>
    <w:rsid w:val="00484EA3"/>
    <w:rsid w:val="00484EF1"/>
    <w:rsid w:val="00485B20"/>
    <w:rsid w:val="00485C60"/>
    <w:rsid w:val="00485CF5"/>
    <w:rsid w:val="00485F8D"/>
    <w:rsid w:val="00485FD6"/>
    <w:rsid w:val="004866D6"/>
    <w:rsid w:val="00486BA7"/>
    <w:rsid w:val="00486D80"/>
    <w:rsid w:val="00486E8B"/>
    <w:rsid w:val="0048714F"/>
    <w:rsid w:val="00487496"/>
    <w:rsid w:val="0048776A"/>
    <w:rsid w:val="00487A79"/>
    <w:rsid w:val="00487B71"/>
    <w:rsid w:val="00487BF1"/>
    <w:rsid w:val="0049025B"/>
    <w:rsid w:val="0049034B"/>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D7D"/>
    <w:rsid w:val="004A0EC2"/>
    <w:rsid w:val="004A122F"/>
    <w:rsid w:val="004A1934"/>
    <w:rsid w:val="004A1DA1"/>
    <w:rsid w:val="004A1DFE"/>
    <w:rsid w:val="004A222B"/>
    <w:rsid w:val="004A27CE"/>
    <w:rsid w:val="004A2C38"/>
    <w:rsid w:val="004A2CBA"/>
    <w:rsid w:val="004A2E1E"/>
    <w:rsid w:val="004A3538"/>
    <w:rsid w:val="004A3620"/>
    <w:rsid w:val="004A36A2"/>
    <w:rsid w:val="004A3FFB"/>
    <w:rsid w:val="004A4558"/>
    <w:rsid w:val="004A49AE"/>
    <w:rsid w:val="004A4EB6"/>
    <w:rsid w:val="004A5259"/>
    <w:rsid w:val="004A5362"/>
    <w:rsid w:val="004A5433"/>
    <w:rsid w:val="004A569D"/>
    <w:rsid w:val="004A594B"/>
    <w:rsid w:val="004A5A39"/>
    <w:rsid w:val="004A5EBA"/>
    <w:rsid w:val="004A60D0"/>
    <w:rsid w:val="004A6364"/>
    <w:rsid w:val="004A6474"/>
    <w:rsid w:val="004A668B"/>
    <w:rsid w:val="004A717C"/>
    <w:rsid w:val="004A71DB"/>
    <w:rsid w:val="004A7A5D"/>
    <w:rsid w:val="004A7B86"/>
    <w:rsid w:val="004A7F59"/>
    <w:rsid w:val="004B0B0A"/>
    <w:rsid w:val="004B0DA5"/>
    <w:rsid w:val="004B1119"/>
    <w:rsid w:val="004B16C9"/>
    <w:rsid w:val="004B1783"/>
    <w:rsid w:val="004B1BAB"/>
    <w:rsid w:val="004B1D29"/>
    <w:rsid w:val="004B1FAB"/>
    <w:rsid w:val="004B1FDE"/>
    <w:rsid w:val="004B23F5"/>
    <w:rsid w:val="004B257B"/>
    <w:rsid w:val="004B26D8"/>
    <w:rsid w:val="004B283A"/>
    <w:rsid w:val="004B2DD3"/>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F1"/>
    <w:rsid w:val="004B4E97"/>
    <w:rsid w:val="004B52AF"/>
    <w:rsid w:val="004B534F"/>
    <w:rsid w:val="004B55A0"/>
    <w:rsid w:val="004B593A"/>
    <w:rsid w:val="004B5A07"/>
    <w:rsid w:val="004B5B05"/>
    <w:rsid w:val="004B5E7A"/>
    <w:rsid w:val="004B5EA9"/>
    <w:rsid w:val="004B602D"/>
    <w:rsid w:val="004B60A8"/>
    <w:rsid w:val="004B61FD"/>
    <w:rsid w:val="004B667C"/>
    <w:rsid w:val="004B6A39"/>
    <w:rsid w:val="004B6F7D"/>
    <w:rsid w:val="004B7093"/>
    <w:rsid w:val="004B7155"/>
    <w:rsid w:val="004B7519"/>
    <w:rsid w:val="004B773E"/>
    <w:rsid w:val="004B7BC2"/>
    <w:rsid w:val="004C031E"/>
    <w:rsid w:val="004C0A95"/>
    <w:rsid w:val="004C10C0"/>
    <w:rsid w:val="004C1114"/>
    <w:rsid w:val="004C1515"/>
    <w:rsid w:val="004C17E0"/>
    <w:rsid w:val="004C1A68"/>
    <w:rsid w:val="004C2995"/>
    <w:rsid w:val="004C2A86"/>
    <w:rsid w:val="004C359D"/>
    <w:rsid w:val="004C35C1"/>
    <w:rsid w:val="004C36C6"/>
    <w:rsid w:val="004C3926"/>
    <w:rsid w:val="004C3E94"/>
    <w:rsid w:val="004C3F84"/>
    <w:rsid w:val="004C4419"/>
    <w:rsid w:val="004C48F6"/>
    <w:rsid w:val="004C49AE"/>
    <w:rsid w:val="004C4C3F"/>
    <w:rsid w:val="004C4F40"/>
    <w:rsid w:val="004C5272"/>
    <w:rsid w:val="004C557D"/>
    <w:rsid w:val="004C55A9"/>
    <w:rsid w:val="004C55C9"/>
    <w:rsid w:val="004C5AEB"/>
    <w:rsid w:val="004C606E"/>
    <w:rsid w:val="004C60A0"/>
    <w:rsid w:val="004C61E7"/>
    <w:rsid w:val="004C64D1"/>
    <w:rsid w:val="004C6ACB"/>
    <w:rsid w:val="004C6C64"/>
    <w:rsid w:val="004C6CCE"/>
    <w:rsid w:val="004C7189"/>
    <w:rsid w:val="004C73B3"/>
    <w:rsid w:val="004C73F1"/>
    <w:rsid w:val="004C743D"/>
    <w:rsid w:val="004C776A"/>
    <w:rsid w:val="004D0015"/>
    <w:rsid w:val="004D025A"/>
    <w:rsid w:val="004D09B6"/>
    <w:rsid w:val="004D10B3"/>
    <w:rsid w:val="004D1711"/>
    <w:rsid w:val="004D19CF"/>
    <w:rsid w:val="004D1AA0"/>
    <w:rsid w:val="004D1DE1"/>
    <w:rsid w:val="004D2023"/>
    <w:rsid w:val="004D219A"/>
    <w:rsid w:val="004D2895"/>
    <w:rsid w:val="004D2EEB"/>
    <w:rsid w:val="004D3029"/>
    <w:rsid w:val="004D357F"/>
    <w:rsid w:val="004D388C"/>
    <w:rsid w:val="004D3B6D"/>
    <w:rsid w:val="004D4A90"/>
    <w:rsid w:val="004D5761"/>
    <w:rsid w:val="004D586C"/>
    <w:rsid w:val="004D5B34"/>
    <w:rsid w:val="004D5C61"/>
    <w:rsid w:val="004D63E1"/>
    <w:rsid w:val="004D63E3"/>
    <w:rsid w:val="004D6423"/>
    <w:rsid w:val="004D72E4"/>
    <w:rsid w:val="004D7360"/>
    <w:rsid w:val="004D785B"/>
    <w:rsid w:val="004D7EE0"/>
    <w:rsid w:val="004D7FF1"/>
    <w:rsid w:val="004E0403"/>
    <w:rsid w:val="004E045D"/>
    <w:rsid w:val="004E0553"/>
    <w:rsid w:val="004E0674"/>
    <w:rsid w:val="004E0D35"/>
    <w:rsid w:val="004E0E59"/>
    <w:rsid w:val="004E0F3B"/>
    <w:rsid w:val="004E1433"/>
    <w:rsid w:val="004E14FF"/>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645"/>
    <w:rsid w:val="004E5973"/>
    <w:rsid w:val="004E5A1D"/>
    <w:rsid w:val="004E5BD4"/>
    <w:rsid w:val="004E6184"/>
    <w:rsid w:val="004E6353"/>
    <w:rsid w:val="004E78C8"/>
    <w:rsid w:val="004E7C3A"/>
    <w:rsid w:val="004E7FAE"/>
    <w:rsid w:val="004E7FD6"/>
    <w:rsid w:val="004F0311"/>
    <w:rsid w:val="004F0623"/>
    <w:rsid w:val="004F09EB"/>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9F8"/>
    <w:rsid w:val="00501FC6"/>
    <w:rsid w:val="00502157"/>
    <w:rsid w:val="00502180"/>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169"/>
    <w:rsid w:val="00512631"/>
    <w:rsid w:val="00512E57"/>
    <w:rsid w:val="00513201"/>
    <w:rsid w:val="00513426"/>
    <w:rsid w:val="0051346B"/>
    <w:rsid w:val="00513CEE"/>
    <w:rsid w:val="0051421A"/>
    <w:rsid w:val="005143F0"/>
    <w:rsid w:val="0051452F"/>
    <w:rsid w:val="00514A87"/>
    <w:rsid w:val="00514A8E"/>
    <w:rsid w:val="00514C66"/>
    <w:rsid w:val="00514F0A"/>
    <w:rsid w:val="0051540C"/>
    <w:rsid w:val="0051554C"/>
    <w:rsid w:val="00515585"/>
    <w:rsid w:val="00515809"/>
    <w:rsid w:val="00515918"/>
    <w:rsid w:val="00515F3B"/>
    <w:rsid w:val="00515F58"/>
    <w:rsid w:val="0051643E"/>
    <w:rsid w:val="00516452"/>
    <w:rsid w:val="0051645E"/>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9EA"/>
    <w:rsid w:val="005236D6"/>
    <w:rsid w:val="00523810"/>
    <w:rsid w:val="0052484C"/>
    <w:rsid w:val="00524ABC"/>
    <w:rsid w:val="00524AD8"/>
    <w:rsid w:val="005250A8"/>
    <w:rsid w:val="00525C61"/>
    <w:rsid w:val="00525E75"/>
    <w:rsid w:val="005263E7"/>
    <w:rsid w:val="00526712"/>
    <w:rsid w:val="00526DE2"/>
    <w:rsid w:val="00526DF6"/>
    <w:rsid w:val="00526F01"/>
    <w:rsid w:val="00527476"/>
    <w:rsid w:val="00527642"/>
    <w:rsid w:val="0052779E"/>
    <w:rsid w:val="00527B5B"/>
    <w:rsid w:val="00527C79"/>
    <w:rsid w:val="0053060D"/>
    <w:rsid w:val="005307C8"/>
    <w:rsid w:val="00530A2C"/>
    <w:rsid w:val="00531195"/>
    <w:rsid w:val="005313A7"/>
    <w:rsid w:val="0053140D"/>
    <w:rsid w:val="00531B2A"/>
    <w:rsid w:val="005320CF"/>
    <w:rsid w:val="00532A33"/>
    <w:rsid w:val="00532E4C"/>
    <w:rsid w:val="0053319F"/>
    <w:rsid w:val="005334E9"/>
    <w:rsid w:val="00533697"/>
    <w:rsid w:val="00533870"/>
    <w:rsid w:val="00533A6E"/>
    <w:rsid w:val="00533AFA"/>
    <w:rsid w:val="00533CE6"/>
    <w:rsid w:val="00533D45"/>
    <w:rsid w:val="005341F8"/>
    <w:rsid w:val="00534413"/>
    <w:rsid w:val="00534904"/>
    <w:rsid w:val="00534A44"/>
    <w:rsid w:val="00534AEC"/>
    <w:rsid w:val="00534BC4"/>
    <w:rsid w:val="00534C5E"/>
    <w:rsid w:val="005351E4"/>
    <w:rsid w:val="0053553A"/>
    <w:rsid w:val="0053582F"/>
    <w:rsid w:val="00535A65"/>
    <w:rsid w:val="00535D93"/>
    <w:rsid w:val="00535FF1"/>
    <w:rsid w:val="005364EF"/>
    <w:rsid w:val="005367F6"/>
    <w:rsid w:val="00536911"/>
    <w:rsid w:val="00536C03"/>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BD7"/>
    <w:rsid w:val="00541090"/>
    <w:rsid w:val="00541285"/>
    <w:rsid w:val="0054130B"/>
    <w:rsid w:val="005415BD"/>
    <w:rsid w:val="00541726"/>
    <w:rsid w:val="005419D5"/>
    <w:rsid w:val="00541ABE"/>
    <w:rsid w:val="00541F49"/>
    <w:rsid w:val="005422BA"/>
    <w:rsid w:val="0054269A"/>
    <w:rsid w:val="00542837"/>
    <w:rsid w:val="005428A9"/>
    <w:rsid w:val="005428AF"/>
    <w:rsid w:val="00542B4B"/>
    <w:rsid w:val="00542EB1"/>
    <w:rsid w:val="00543610"/>
    <w:rsid w:val="00543A0F"/>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724D"/>
    <w:rsid w:val="00547449"/>
    <w:rsid w:val="00547478"/>
    <w:rsid w:val="00547774"/>
    <w:rsid w:val="0054787C"/>
    <w:rsid w:val="00547924"/>
    <w:rsid w:val="00547A59"/>
    <w:rsid w:val="00550331"/>
    <w:rsid w:val="005519E5"/>
    <w:rsid w:val="00551A0B"/>
    <w:rsid w:val="00551B01"/>
    <w:rsid w:val="00551D1C"/>
    <w:rsid w:val="00551F0A"/>
    <w:rsid w:val="005524DE"/>
    <w:rsid w:val="00552530"/>
    <w:rsid w:val="00552944"/>
    <w:rsid w:val="00552A9A"/>
    <w:rsid w:val="00552C2E"/>
    <w:rsid w:val="00552F5D"/>
    <w:rsid w:val="0055316A"/>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458"/>
    <w:rsid w:val="00560519"/>
    <w:rsid w:val="0056058B"/>
    <w:rsid w:val="0056072E"/>
    <w:rsid w:val="00560819"/>
    <w:rsid w:val="00560AB9"/>
    <w:rsid w:val="00561206"/>
    <w:rsid w:val="0056124A"/>
    <w:rsid w:val="00561415"/>
    <w:rsid w:val="00561833"/>
    <w:rsid w:val="0056193E"/>
    <w:rsid w:val="00561D47"/>
    <w:rsid w:val="00562901"/>
    <w:rsid w:val="00562C79"/>
    <w:rsid w:val="00562D0F"/>
    <w:rsid w:val="00563088"/>
    <w:rsid w:val="005630FA"/>
    <w:rsid w:val="005633F7"/>
    <w:rsid w:val="005635CB"/>
    <w:rsid w:val="00563A87"/>
    <w:rsid w:val="0056407A"/>
    <w:rsid w:val="0056413F"/>
    <w:rsid w:val="00564507"/>
    <w:rsid w:val="00564B8B"/>
    <w:rsid w:val="005659D2"/>
    <w:rsid w:val="00565AAE"/>
    <w:rsid w:val="00565D2D"/>
    <w:rsid w:val="0056604D"/>
    <w:rsid w:val="00566A3B"/>
    <w:rsid w:val="00566CC5"/>
    <w:rsid w:val="00566E75"/>
    <w:rsid w:val="00567301"/>
    <w:rsid w:val="00567581"/>
    <w:rsid w:val="00567985"/>
    <w:rsid w:val="00567AAA"/>
    <w:rsid w:val="00567AD0"/>
    <w:rsid w:val="00567B64"/>
    <w:rsid w:val="00567C19"/>
    <w:rsid w:val="00570348"/>
    <w:rsid w:val="005703DE"/>
    <w:rsid w:val="00570700"/>
    <w:rsid w:val="00570D01"/>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AF1"/>
    <w:rsid w:val="00573A2E"/>
    <w:rsid w:val="00573E1B"/>
    <w:rsid w:val="00574254"/>
    <w:rsid w:val="00574425"/>
    <w:rsid w:val="00574678"/>
    <w:rsid w:val="00574B5C"/>
    <w:rsid w:val="00574D90"/>
    <w:rsid w:val="00574DB8"/>
    <w:rsid w:val="00574E4B"/>
    <w:rsid w:val="00574F05"/>
    <w:rsid w:val="005753FC"/>
    <w:rsid w:val="0057548A"/>
    <w:rsid w:val="0057550F"/>
    <w:rsid w:val="00575522"/>
    <w:rsid w:val="00575C04"/>
    <w:rsid w:val="00575E1B"/>
    <w:rsid w:val="005761D0"/>
    <w:rsid w:val="00576215"/>
    <w:rsid w:val="005767F9"/>
    <w:rsid w:val="00577508"/>
    <w:rsid w:val="005779FF"/>
    <w:rsid w:val="00580105"/>
    <w:rsid w:val="005806BC"/>
    <w:rsid w:val="005807C2"/>
    <w:rsid w:val="00580A5A"/>
    <w:rsid w:val="00580D63"/>
    <w:rsid w:val="00580F56"/>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2FBD"/>
    <w:rsid w:val="00583AA0"/>
    <w:rsid w:val="00583D08"/>
    <w:rsid w:val="00583D98"/>
    <w:rsid w:val="00583EF9"/>
    <w:rsid w:val="00584197"/>
    <w:rsid w:val="00584200"/>
    <w:rsid w:val="00584345"/>
    <w:rsid w:val="005844BE"/>
    <w:rsid w:val="0058460B"/>
    <w:rsid w:val="00584900"/>
    <w:rsid w:val="00584C16"/>
    <w:rsid w:val="0058509F"/>
    <w:rsid w:val="00585EDD"/>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3035"/>
    <w:rsid w:val="005930E2"/>
    <w:rsid w:val="00593440"/>
    <w:rsid w:val="0059354F"/>
    <w:rsid w:val="00593752"/>
    <w:rsid w:val="00593D1B"/>
    <w:rsid w:val="00593F71"/>
    <w:rsid w:val="005942DE"/>
    <w:rsid w:val="00594567"/>
    <w:rsid w:val="005945F0"/>
    <w:rsid w:val="005949A7"/>
    <w:rsid w:val="005949C4"/>
    <w:rsid w:val="00594C0B"/>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7A0"/>
    <w:rsid w:val="005A17E6"/>
    <w:rsid w:val="005A1FD4"/>
    <w:rsid w:val="005A22CB"/>
    <w:rsid w:val="005A265E"/>
    <w:rsid w:val="005A28CD"/>
    <w:rsid w:val="005A292A"/>
    <w:rsid w:val="005A2F31"/>
    <w:rsid w:val="005A31E8"/>
    <w:rsid w:val="005A3232"/>
    <w:rsid w:val="005A33F5"/>
    <w:rsid w:val="005A34D1"/>
    <w:rsid w:val="005A3722"/>
    <w:rsid w:val="005A39CF"/>
    <w:rsid w:val="005A3C28"/>
    <w:rsid w:val="005A3E19"/>
    <w:rsid w:val="005A4525"/>
    <w:rsid w:val="005A4738"/>
    <w:rsid w:val="005A4896"/>
    <w:rsid w:val="005A4A44"/>
    <w:rsid w:val="005A53BC"/>
    <w:rsid w:val="005A5446"/>
    <w:rsid w:val="005A5729"/>
    <w:rsid w:val="005A5837"/>
    <w:rsid w:val="005A5C3A"/>
    <w:rsid w:val="005A5D85"/>
    <w:rsid w:val="005A5F45"/>
    <w:rsid w:val="005A657E"/>
    <w:rsid w:val="005A6C30"/>
    <w:rsid w:val="005A7950"/>
    <w:rsid w:val="005A79BD"/>
    <w:rsid w:val="005B03D1"/>
    <w:rsid w:val="005B0778"/>
    <w:rsid w:val="005B077B"/>
    <w:rsid w:val="005B082B"/>
    <w:rsid w:val="005B108B"/>
    <w:rsid w:val="005B127D"/>
    <w:rsid w:val="005B1AE0"/>
    <w:rsid w:val="005B1D22"/>
    <w:rsid w:val="005B1E56"/>
    <w:rsid w:val="005B21BA"/>
    <w:rsid w:val="005B2651"/>
    <w:rsid w:val="005B2B3B"/>
    <w:rsid w:val="005B2E62"/>
    <w:rsid w:val="005B306C"/>
    <w:rsid w:val="005B3213"/>
    <w:rsid w:val="005B34B9"/>
    <w:rsid w:val="005B3618"/>
    <w:rsid w:val="005B38DE"/>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9EF"/>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B5F"/>
    <w:rsid w:val="005C5D47"/>
    <w:rsid w:val="005C5E2B"/>
    <w:rsid w:val="005C5E8E"/>
    <w:rsid w:val="005C5FAA"/>
    <w:rsid w:val="005C5FD0"/>
    <w:rsid w:val="005C68AA"/>
    <w:rsid w:val="005C6901"/>
    <w:rsid w:val="005C6FD7"/>
    <w:rsid w:val="005C7194"/>
    <w:rsid w:val="005C71A1"/>
    <w:rsid w:val="005C7350"/>
    <w:rsid w:val="005C73C7"/>
    <w:rsid w:val="005C74AA"/>
    <w:rsid w:val="005C7C77"/>
    <w:rsid w:val="005D01EC"/>
    <w:rsid w:val="005D0471"/>
    <w:rsid w:val="005D172A"/>
    <w:rsid w:val="005D203F"/>
    <w:rsid w:val="005D235A"/>
    <w:rsid w:val="005D2367"/>
    <w:rsid w:val="005D2744"/>
    <w:rsid w:val="005D294B"/>
    <w:rsid w:val="005D3134"/>
    <w:rsid w:val="005D33FA"/>
    <w:rsid w:val="005D3A56"/>
    <w:rsid w:val="005D3BAF"/>
    <w:rsid w:val="005D424F"/>
    <w:rsid w:val="005D4712"/>
    <w:rsid w:val="005D4C97"/>
    <w:rsid w:val="005D4CC3"/>
    <w:rsid w:val="005D5000"/>
    <w:rsid w:val="005D5031"/>
    <w:rsid w:val="005D541C"/>
    <w:rsid w:val="005D55E7"/>
    <w:rsid w:val="005D5872"/>
    <w:rsid w:val="005D5A68"/>
    <w:rsid w:val="005D5BF5"/>
    <w:rsid w:val="005D72B0"/>
    <w:rsid w:val="005D76BB"/>
    <w:rsid w:val="005D7D6E"/>
    <w:rsid w:val="005E07FF"/>
    <w:rsid w:val="005E0B68"/>
    <w:rsid w:val="005E0BFB"/>
    <w:rsid w:val="005E0CA0"/>
    <w:rsid w:val="005E0F0B"/>
    <w:rsid w:val="005E0FDE"/>
    <w:rsid w:val="005E1120"/>
    <w:rsid w:val="005E2E32"/>
    <w:rsid w:val="005E30EB"/>
    <w:rsid w:val="005E310E"/>
    <w:rsid w:val="005E349D"/>
    <w:rsid w:val="005E36AE"/>
    <w:rsid w:val="005E3A50"/>
    <w:rsid w:val="005E3E37"/>
    <w:rsid w:val="005E40C1"/>
    <w:rsid w:val="005E44B3"/>
    <w:rsid w:val="005E491D"/>
    <w:rsid w:val="005E4A7E"/>
    <w:rsid w:val="005E4AEF"/>
    <w:rsid w:val="005E51E6"/>
    <w:rsid w:val="005E5535"/>
    <w:rsid w:val="005E59A7"/>
    <w:rsid w:val="005E5BAE"/>
    <w:rsid w:val="005E5F3C"/>
    <w:rsid w:val="005E665B"/>
    <w:rsid w:val="005E6FB1"/>
    <w:rsid w:val="005E75B0"/>
    <w:rsid w:val="005E7C89"/>
    <w:rsid w:val="005F00AF"/>
    <w:rsid w:val="005F07BA"/>
    <w:rsid w:val="005F086D"/>
    <w:rsid w:val="005F0C00"/>
    <w:rsid w:val="005F0E1E"/>
    <w:rsid w:val="005F117C"/>
    <w:rsid w:val="005F1A64"/>
    <w:rsid w:val="005F1AE6"/>
    <w:rsid w:val="005F1BC0"/>
    <w:rsid w:val="005F1DC9"/>
    <w:rsid w:val="005F1F09"/>
    <w:rsid w:val="005F2227"/>
    <w:rsid w:val="005F2C71"/>
    <w:rsid w:val="005F2F6E"/>
    <w:rsid w:val="005F33EE"/>
    <w:rsid w:val="005F3911"/>
    <w:rsid w:val="005F3969"/>
    <w:rsid w:val="005F3CF1"/>
    <w:rsid w:val="005F3D77"/>
    <w:rsid w:val="005F4717"/>
    <w:rsid w:val="005F4824"/>
    <w:rsid w:val="005F4C9D"/>
    <w:rsid w:val="005F5741"/>
    <w:rsid w:val="005F5AA8"/>
    <w:rsid w:val="005F676E"/>
    <w:rsid w:val="005F69B9"/>
    <w:rsid w:val="005F74DB"/>
    <w:rsid w:val="005F752E"/>
    <w:rsid w:val="005F77D2"/>
    <w:rsid w:val="005F77E5"/>
    <w:rsid w:val="005F7AF5"/>
    <w:rsid w:val="00600278"/>
    <w:rsid w:val="006002EA"/>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60C"/>
    <w:rsid w:val="00604817"/>
    <w:rsid w:val="00604940"/>
    <w:rsid w:val="00604AD3"/>
    <w:rsid w:val="00604C29"/>
    <w:rsid w:val="00604F18"/>
    <w:rsid w:val="006054A4"/>
    <w:rsid w:val="00605790"/>
    <w:rsid w:val="006059C0"/>
    <w:rsid w:val="00605B42"/>
    <w:rsid w:val="00605D79"/>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820"/>
    <w:rsid w:val="00607935"/>
    <w:rsid w:val="00607A12"/>
    <w:rsid w:val="006101A0"/>
    <w:rsid w:val="006106E4"/>
    <w:rsid w:val="0061080A"/>
    <w:rsid w:val="00610828"/>
    <w:rsid w:val="00610853"/>
    <w:rsid w:val="00610963"/>
    <w:rsid w:val="00610C52"/>
    <w:rsid w:val="00610F03"/>
    <w:rsid w:val="00610FA7"/>
    <w:rsid w:val="00610FFE"/>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789"/>
    <w:rsid w:val="006208FD"/>
    <w:rsid w:val="00620BEF"/>
    <w:rsid w:val="00620D3A"/>
    <w:rsid w:val="00620DFC"/>
    <w:rsid w:val="0062166B"/>
    <w:rsid w:val="006217BE"/>
    <w:rsid w:val="00621C4E"/>
    <w:rsid w:val="00621C96"/>
    <w:rsid w:val="006222B4"/>
    <w:rsid w:val="00622675"/>
    <w:rsid w:val="006226C3"/>
    <w:rsid w:val="006228A6"/>
    <w:rsid w:val="00622B4D"/>
    <w:rsid w:val="00622EEA"/>
    <w:rsid w:val="00622F21"/>
    <w:rsid w:val="006233C4"/>
    <w:rsid w:val="006236D2"/>
    <w:rsid w:val="00623929"/>
    <w:rsid w:val="00623FF3"/>
    <w:rsid w:val="00624767"/>
    <w:rsid w:val="00624794"/>
    <w:rsid w:val="0062492E"/>
    <w:rsid w:val="00624D9A"/>
    <w:rsid w:val="00624E1D"/>
    <w:rsid w:val="00625343"/>
    <w:rsid w:val="00625375"/>
    <w:rsid w:val="00625716"/>
    <w:rsid w:val="00625FB1"/>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FDC"/>
    <w:rsid w:val="0063411F"/>
    <w:rsid w:val="00634149"/>
    <w:rsid w:val="00634418"/>
    <w:rsid w:val="00634EB9"/>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B43"/>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78D"/>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C5"/>
    <w:rsid w:val="00654696"/>
    <w:rsid w:val="00654993"/>
    <w:rsid w:val="00654A6E"/>
    <w:rsid w:val="00654B3D"/>
    <w:rsid w:val="00655615"/>
    <w:rsid w:val="00655A6A"/>
    <w:rsid w:val="00655AE4"/>
    <w:rsid w:val="00655D40"/>
    <w:rsid w:val="00655D9E"/>
    <w:rsid w:val="00655DE4"/>
    <w:rsid w:val="006562EE"/>
    <w:rsid w:val="0065633A"/>
    <w:rsid w:val="00656458"/>
    <w:rsid w:val="00656E0C"/>
    <w:rsid w:val="006573D2"/>
    <w:rsid w:val="006575FE"/>
    <w:rsid w:val="006576B2"/>
    <w:rsid w:val="00657863"/>
    <w:rsid w:val="00657A0F"/>
    <w:rsid w:val="00657F72"/>
    <w:rsid w:val="006600CE"/>
    <w:rsid w:val="00660A7D"/>
    <w:rsid w:val="00660AB2"/>
    <w:rsid w:val="00661389"/>
    <w:rsid w:val="00661661"/>
    <w:rsid w:val="00661806"/>
    <w:rsid w:val="006619AF"/>
    <w:rsid w:val="00661A84"/>
    <w:rsid w:val="00661BC1"/>
    <w:rsid w:val="00661C8C"/>
    <w:rsid w:val="00661E83"/>
    <w:rsid w:val="00661EE3"/>
    <w:rsid w:val="006622A6"/>
    <w:rsid w:val="006622E5"/>
    <w:rsid w:val="00662655"/>
    <w:rsid w:val="006628C2"/>
    <w:rsid w:val="006628DE"/>
    <w:rsid w:val="00662A04"/>
    <w:rsid w:val="00662A3E"/>
    <w:rsid w:val="00662D71"/>
    <w:rsid w:val="00662DCA"/>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C70"/>
    <w:rsid w:val="00667E47"/>
    <w:rsid w:val="0067008E"/>
    <w:rsid w:val="00670097"/>
    <w:rsid w:val="0067088F"/>
    <w:rsid w:val="00670A3F"/>
    <w:rsid w:val="00670D9A"/>
    <w:rsid w:val="00671012"/>
    <w:rsid w:val="00671889"/>
    <w:rsid w:val="00671AEA"/>
    <w:rsid w:val="00671E82"/>
    <w:rsid w:val="006721EB"/>
    <w:rsid w:val="0067221B"/>
    <w:rsid w:val="00672449"/>
    <w:rsid w:val="00672670"/>
    <w:rsid w:val="0067289D"/>
    <w:rsid w:val="00672B2C"/>
    <w:rsid w:val="00672C41"/>
    <w:rsid w:val="00673ACB"/>
    <w:rsid w:val="00674098"/>
    <w:rsid w:val="006742A7"/>
    <w:rsid w:val="0067444B"/>
    <w:rsid w:val="0067482F"/>
    <w:rsid w:val="00674B56"/>
    <w:rsid w:val="006750A3"/>
    <w:rsid w:val="00675540"/>
    <w:rsid w:val="006771F9"/>
    <w:rsid w:val="00677359"/>
    <w:rsid w:val="006775BF"/>
    <w:rsid w:val="00677659"/>
    <w:rsid w:val="00677884"/>
    <w:rsid w:val="0067788A"/>
    <w:rsid w:val="00677947"/>
    <w:rsid w:val="00677DAB"/>
    <w:rsid w:val="00680522"/>
    <w:rsid w:val="0068070A"/>
    <w:rsid w:val="00680801"/>
    <w:rsid w:val="00681231"/>
    <w:rsid w:val="006814C8"/>
    <w:rsid w:val="0068190F"/>
    <w:rsid w:val="0068216C"/>
    <w:rsid w:val="00682228"/>
    <w:rsid w:val="00682239"/>
    <w:rsid w:val="006822F5"/>
    <w:rsid w:val="0068235F"/>
    <w:rsid w:val="00682496"/>
    <w:rsid w:val="0068255F"/>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9D5"/>
    <w:rsid w:val="00687BF8"/>
    <w:rsid w:val="00687C6B"/>
    <w:rsid w:val="0069033A"/>
    <w:rsid w:val="0069040A"/>
    <w:rsid w:val="006907C3"/>
    <w:rsid w:val="006909E3"/>
    <w:rsid w:val="00690AA2"/>
    <w:rsid w:val="00690E34"/>
    <w:rsid w:val="00691008"/>
    <w:rsid w:val="006910ED"/>
    <w:rsid w:val="00691242"/>
    <w:rsid w:val="006915BD"/>
    <w:rsid w:val="00691A23"/>
    <w:rsid w:val="00691D1D"/>
    <w:rsid w:val="00691D2F"/>
    <w:rsid w:val="006921CF"/>
    <w:rsid w:val="00692AF5"/>
    <w:rsid w:val="00692BCD"/>
    <w:rsid w:val="00692CD0"/>
    <w:rsid w:val="00692D6D"/>
    <w:rsid w:val="006933CC"/>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C48"/>
    <w:rsid w:val="00696E97"/>
    <w:rsid w:val="00696F35"/>
    <w:rsid w:val="006971BB"/>
    <w:rsid w:val="00697836"/>
    <w:rsid w:val="00697B20"/>
    <w:rsid w:val="00697C84"/>
    <w:rsid w:val="006A029F"/>
    <w:rsid w:val="006A05DE"/>
    <w:rsid w:val="006A0C6E"/>
    <w:rsid w:val="006A12DF"/>
    <w:rsid w:val="006A12ED"/>
    <w:rsid w:val="006A16C4"/>
    <w:rsid w:val="006A18A3"/>
    <w:rsid w:val="006A1F48"/>
    <w:rsid w:val="006A1FB8"/>
    <w:rsid w:val="006A23DD"/>
    <w:rsid w:val="006A241A"/>
    <w:rsid w:val="006A2445"/>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4B3"/>
    <w:rsid w:val="006A48EE"/>
    <w:rsid w:val="006A4D98"/>
    <w:rsid w:val="006A4E31"/>
    <w:rsid w:val="006A53E1"/>
    <w:rsid w:val="006A565C"/>
    <w:rsid w:val="006A56F6"/>
    <w:rsid w:val="006A5709"/>
    <w:rsid w:val="006A5946"/>
    <w:rsid w:val="006A595E"/>
    <w:rsid w:val="006A5DBC"/>
    <w:rsid w:val="006A60BC"/>
    <w:rsid w:val="006A625E"/>
    <w:rsid w:val="006A651F"/>
    <w:rsid w:val="006A6663"/>
    <w:rsid w:val="006A6987"/>
    <w:rsid w:val="006A715F"/>
    <w:rsid w:val="006A7526"/>
    <w:rsid w:val="006A77D5"/>
    <w:rsid w:val="006A7E32"/>
    <w:rsid w:val="006B0976"/>
    <w:rsid w:val="006B098A"/>
    <w:rsid w:val="006B0E0C"/>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EA"/>
    <w:rsid w:val="006B5158"/>
    <w:rsid w:val="006B51E9"/>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ED7"/>
    <w:rsid w:val="006C3068"/>
    <w:rsid w:val="006C363A"/>
    <w:rsid w:val="006C36DB"/>
    <w:rsid w:val="006C3790"/>
    <w:rsid w:val="006C381B"/>
    <w:rsid w:val="006C3FD4"/>
    <w:rsid w:val="006C4A09"/>
    <w:rsid w:val="006C4B15"/>
    <w:rsid w:val="006C4B78"/>
    <w:rsid w:val="006C502A"/>
    <w:rsid w:val="006C519A"/>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62"/>
    <w:rsid w:val="006D7143"/>
    <w:rsid w:val="006D7252"/>
    <w:rsid w:val="006D781F"/>
    <w:rsid w:val="006D79CB"/>
    <w:rsid w:val="006D7DEF"/>
    <w:rsid w:val="006D7F58"/>
    <w:rsid w:val="006E00F1"/>
    <w:rsid w:val="006E034F"/>
    <w:rsid w:val="006E08AF"/>
    <w:rsid w:val="006E08CD"/>
    <w:rsid w:val="006E0962"/>
    <w:rsid w:val="006E1053"/>
    <w:rsid w:val="006E193B"/>
    <w:rsid w:val="006E1B25"/>
    <w:rsid w:val="006E1B2C"/>
    <w:rsid w:val="006E1B68"/>
    <w:rsid w:val="006E1CD1"/>
    <w:rsid w:val="006E1EE8"/>
    <w:rsid w:val="006E22C7"/>
    <w:rsid w:val="006E233C"/>
    <w:rsid w:val="006E24AA"/>
    <w:rsid w:val="006E29DA"/>
    <w:rsid w:val="006E2AA6"/>
    <w:rsid w:val="006E2B8B"/>
    <w:rsid w:val="006E2E61"/>
    <w:rsid w:val="006E2E88"/>
    <w:rsid w:val="006E2EAB"/>
    <w:rsid w:val="006E32C4"/>
    <w:rsid w:val="006E3662"/>
    <w:rsid w:val="006E391A"/>
    <w:rsid w:val="006E3A0F"/>
    <w:rsid w:val="006E3CF9"/>
    <w:rsid w:val="006E3F14"/>
    <w:rsid w:val="006E41E6"/>
    <w:rsid w:val="006E443F"/>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468"/>
    <w:rsid w:val="006E766C"/>
    <w:rsid w:val="006E7AF6"/>
    <w:rsid w:val="006E7B3D"/>
    <w:rsid w:val="006F00DF"/>
    <w:rsid w:val="006F026D"/>
    <w:rsid w:val="006F0281"/>
    <w:rsid w:val="006F0A92"/>
    <w:rsid w:val="006F0E1D"/>
    <w:rsid w:val="006F1022"/>
    <w:rsid w:val="006F1527"/>
    <w:rsid w:val="006F1936"/>
    <w:rsid w:val="006F1C71"/>
    <w:rsid w:val="006F1CCF"/>
    <w:rsid w:val="006F206D"/>
    <w:rsid w:val="006F28A4"/>
    <w:rsid w:val="006F2B2E"/>
    <w:rsid w:val="006F2B31"/>
    <w:rsid w:val="006F2F96"/>
    <w:rsid w:val="006F30F4"/>
    <w:rsid w:val="006F37B9"/>
    <w:rsid w:val="006F37CF"/>
    <w:rsid w:val="006F39AA"/>
    <w:rsid w:val="006F3F59"/>
    <w:rsid w:val="006F42BB"/>
    <w:rsid w:val="006F443E"/>
    <w:rsid w:val="006F45C8"/>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CA"/>
    <w:rsid w:val="007008A9"/>
    <w:rsid w:val="00700E5F"/>
    <w:rsid w:val="00700EFF"/>
    <w:rsid w:val="00701330"/>
    <w:rsid w:val="00701404"/>
    <w:rsid w:val="00701FF9"/>
    <w:rsid w:val="007023F8"/>
    <w:rsid w:val="007025C3"/>
    <w:rsid w:val="007027ED"/>
    <w:rsid w:val="0070280E"/>
    <w:rsid w:val="007029E4"/>
    <w:rsid w:val="00702D04"/>
    <w:rsid w:val="00702EDB"/>
    <w:rsid w:val="00703407"/>
    <w:rsid w:val="0070382D"/>
    <w:rsid w:val="00703D68"/>
    <w:rsid w:val="007045FC"/>
    <w:rsid w:val="00704988"/>
    <w:rsid w:val="007052A1"/>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D2F"/>
    <w:rsid w:val="00710E9E"/>
    <w:rsid w:val="0071112B"/>
    <w:rsid w:val="0071116B"/>
    <w:rsid w:val="0071173C"/>
    <w:rsid w:val="007118A1"/>
    <w:rsid w:val="00711CF9"/>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AE"/>
    <w:rsid w:val="007218A2"/>
    <w:rsid w:val="00721BFD"/>
    <w:rsid w:val="00721FF6"/>
    <w:rsid w:val="00722057"/>
    <w:rsid w:val="007221EC"/>
    <w:rsid w:val="007222FA"/>
    <w:rsid w:val="00722B3E"/>
    <w:rsid w:val="00723047"/>
    <w:rsid w:val="0072312C"/>
    <w:rsid w:val="00723244"/>
    <w:rsid w:val="00723452"/>
    <w:rsid w:val="0072347F"/>
    <w:rsid w:val="007236E5"/>
    <w:rsid w:val="00723862"/>
    <w:rsid w:val="00723B5E"/>
    <w:rsid w:val="00723CCB"/>
    <w:rsid w:val="007240E6"/>
    <w:rsid w:val="0072416B"/>
    <w:rsid w:val="007241B5"/>
    <w:rsid w:val="007242EA"/>
    <w:rsid w:val="0072440F"/>
    <w:rsid w:val="0072498C"/>
    <w:rsid w:val="00724E27"/>
    <w:rsid w:val="007253B7"/>
    <w:rsid w:val="007253DC"/>
    <w:rsid w:val="00725632"/>
    <w:rsid w:val="00725B68"/>
    <w:rsid w:val="00725FF5"/>
    <w:rsid w:val="007268B3"/>
    <w:rsid w:val="00726AC0"/>
    <w:rsid w:val="00726FB4"/>
    <w:rsid w:val="00727112"/>
    <w:rsid w:val="0072718B"/>
    <w:rsid w:val="007271EB"/>
    <w:rsid w:val="00727735"/>
    <w:rsid w:val="00727DA0"/>
    <w:rsid w:val="0073012D"/>
    <w:rsid w:val="00730776"/>
    <w:rsid w:val="00730876"/>
    <w:rsid w:val="00730A36"/>
    <w:rsid w:val="00730B2B"/>
    <w:rsid w:val="007311B1"/>
    <w:rsid w:val="007313FC"/>
    <w:rsid w:val="007315B8"/>
    <w:rsid w:val="007316AB"/>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FA7"/>
    <w:rsid w:val="00736FD7"/>
    <w:rsid w:val="007372C2"/>
    <w:rsid w:val="00737676"/>
    <w:rsid w:val="0073770A"/>
    <w:rsid w:val="0073776E"/>
    <w:rsid w:val="007377A1"/>
    <w:rsid w:val="00737D6C"/>
    <w:rsid w:val="00740367"/>
    <w:rsid w:val="0074039F"/>
    <w:rsid w:val="007405D6"/>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A0B"/>
    <w:rsid w:val="00743B0F"/>
    <w:rsid w:val="00743D47"/>
    <w:rsid w:val="00744328"/>
    <w:rsid w:val="0074435B"/>
    <w:rsid w:val="0074435E"/>
    <w:rsid w:val="00744767"/>
    <w:rsid w:val="007447EF"/>
    <w:rsid w:val="0074491D"/>
    <w:rsid w:val="0074530C"/>
    <w:rsid w:val="00745342"/>
    <w:rsid w:val="00745663"/>
    <w:rsid w:val="00745C32"/>
    <w:rsid w:val="007460B6"/>
    <w:rsid w:val="007461BC"/>
    <w:rsid w:val="0074680C"/>
    <w:rsid w:val="00746A0F"/>
    <w:rsid w:val="00746C8A"/>
    <w:rsid w:val="007471F4"/>
    <w:rsid w:val="007472F8"/>
    <w:rsid w:val="00747329"/>
    <w:rsid w:val="0074749B"/>
    <w:rsid w:val="0074775F"/>
    <w:rsid w:val="00747A6F"/>
    <w:rsid w:val="007500C3"/>
    <w:rsid w:val="007503C4"/>
    <w:rsid w:val="00750823"/>
    <w:rsid w:val="00750A95"/>
    <w:rsid w:val="00750C25"/>
    <w:rsid w:val="00750D19"/>
    <w:rsid w:val="00751170"/>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53B"/>
    <w:rsid w:val="007555BA"/>
    <w:rsid w:val="0075565F"/>
    <w:rsid w:val="007557FD"/>
    <w:rsid w:val="007559C6"/>
    <w:rsid w:val="00755A3D"/>
    <w:rsid w:val="00755BB9"/>
    <w:rsid w:val="00755CA4"/>
    <w:rsid w:val="00755F7D"/>
    <w:rsid w:val="007562B2"/>
    <w:rsid w:val="00756765"/>
    <w:rsid w:val="007568A4"/>
    <w:rsid w:val="00757F23"/>
    <w:rsid w:val="007601F4"/>
    <w:rsid w:val="00760914"/>
    <w:rsid w:val="007609B4"/>
    <w:rsid w:val="00760A08"/>
    <w:rsid w:val="00760AD8"/>
    <w:rsid w:val="00760EE0"/>
    <w:rsid w:val="0076103C"/>
    <w:rsid w:val="007611B6"/>
    <w:rsid w:val="0076155A"/>
    <w:rsid w:val="007615AE"/>
    <w:rsid w:val="007616ED"/>
    <w:rsid w:val="00761984"/>
    <w:rsid w:val="00761AB8"/>
    <w:rsid w:val="00761E3D"/>
    <w:rsid w:val="00761EA1"/>
    <w:rsid w:val="00761FE1"/>
    <w:rsid w:val="007622AB"/>
    <w:rsid w:val="007625C5"/>
    <w:rsid w:val="00762784"/>
    <w:rsid w:val="007628E6"/>
    <w:rsid w:val="00762A90"/>
    <w:rsid w:val="00762BD1"/>
    <w:rsid w:val="007630DB"/>
    <w:rsid w:val="007630E6"/>
    <w:rsid w:val="007635E3"/>
    <w:rsid w:val="00763710"/>
    <w:rsid w:val="00763B39"/>
    <w:rsid w:val="00763E75"/>
    <w:rsid w:val="007648F2"/>
    <w:rsid w:val="00764E70"/>
    <w:rsid w:val="00764FB8"/>
    <w:rsid w:val="00765161"/>
    <w:rsid w:val="007653B0"/>
    <w:rsid w:val="007655F0"/>
    <w:rsid w:val="00765760"/>
    <w:rsid w:val="0076580E"/>
    <w:rsid w:val="00766007"/>
    <w:rsid w:val="00766253"/>
    <w:rsid w:val="007662D9"/>
    <w:rsid w:val="007662E8"/>
    <w:rsid w:val="00766963"/>
    <w:rsid w:val="007669CC"/>
    <w:rsid w:val="00767090"/>
    <w:rsid w:val="007670C9"/>
    <w:rsid w:val="00767207"/>
    <w:rsid w:val="00767235"/>
    <w:rsid w:val="00767641"/>
    <w:rsid w:val="00767797"/>
    <w:rsid w:val="0076783B"/>
    <w:rsid w:val="00767AED"/>
    <w:rsid w:val="00767B9F"/>
    <w:rsid w:val="00767E84"/>
    <w:rsid w:val="00767F3B"/>
    <w:rsid w:val="00770277"/>
    <w:rsid w:val="0077066F"/>
    <w:rsid w:val="00770682"/>
    <w:rsid w:val="007708D1"/>
    <w:rsid w:val="00770970"/>
    <w:rsid w:val="00770C1F"/>
    <w:rsid w:val="00770C22"/>
    <w:rsid w:val="00770F03"/>
    <w:rsid w:val="00771232"/>
    <w:rsid w:val="007712C5"/>
    <w:rsid w:val="00771448"/>
    <w:rsid w:val="00771603"/>
    <w:rsid w:val="00771AEF"/>
    <w:rsid w:val="0077231B"/>
    <w:rsid w:val="00772416"/>
    <w:rsid w:val="00772A61"/>
    <w:rsid w:val="00772CCF"/>
    <w:rsid w:val="007734FD"/>
    <w:rsid w:val="0077354B"/>
    <w:rsid w:val="0077384A"/>
    <w:rsid w:val="007738FD"/>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AEE"/>
    <w:rsid w:val="00790C31"/>
    <w:rsid w:val="00790F2E"/>
    <w:rsid w:val="007914DD"/>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BC"/>
    <w:rsid w:val="0079418D"/>
    <w:rsid w:val="0079456B"/>
    <w:rsid w:val="00794820"/>
    <w:rsid w:val="007948DF"/>
    <w:rsid w:val="007948FC"/>
    <w:rsid w:val="00795215"/>
    <w:rsid w:val="007954F0"/>
    <w:rsid w:val="00795864"/>
    <w:rsid w:val="00795B29"/>
    <w:rsid w:val="0079602D"/>
    <w:rsid w:val="0079621C"/>
    <w:rsid w:val="0079656A"/>
    <w:rsid w:val="007966BF"/>
    <w:rsid w:val="00796C8D"/>
    <w:rsid w:val="00797330"/>
    <w:rsid w:val="0079747A"/>
    <w:rsid w:val="007A051A"/>
    <w:rsid w:val="007A05B6"/>
    <w:rsid w:val="007A066E"/>
    <w:rsid w:val="007A07D0"/>
    <w:rsid w:val="007A0908"/>
    <w:rsid w:val="007A1729"/>
    <w:rsid w:val="007A1E2F"/>
    <w:rsid w:val="007A1E74"/>
    <w:rsid w:val="007A2229"/>
    <w:rsid w:val="007A22F0"/>
    <w:rsid w:val="007A22F5"/>
    <w:rsid w:val="007A23EF"/>
    <w:rsid w:val="007A249F"/>
    <w:rsid w:val="007A24A6"/>
    <w:rsid w:val="007A2743"/>
    <w:rsid w:val="007A295C"/>
    <w:rsid w:val="007A2C53"/>
    <w:rsid w:val="007A2DF7"/>
    <w:rsid w:val="007A3213"/>
    <w:rsid w:val="007A32A8"/>
    <w:rsid w:val="007A33FC"/>
    <w:rsid w:val="007A3754"/>
    <w:rsid w:val="007A3842"/>
    <w:rsid w:val="007A3974"/>
    <w:rsid w:val="007A3E01"/>
    <w:rsid w:val="007A3E3C"/>
    <w:rsid w:val="007A3E99"/>
    <w:rsid w:val="007A3EB8"/>
    <w:rsid w:val="007A3FEB"/>
    <w:rsid w:val="007A4056"/>
    <w:rsid w:val="007A44C9"/>
    <w:rsid w:val="007A44D3"/>
    <w:rsid w:val="007A500F"/>
    <w:rsid w:val="007A51E1"/>
    <w:rsid w:val="007A57C1"/>
    <w:rsid w:val="007A57F6"/>
    <w:rsid w:val="007A5A36"/>
    <w:rsid w:val="007A6B49"/>
    <w:rsid w:val="007A6F8D"/>
    <w:rsid w:val="007A76B5"/>
    <w:rsid w:val="007A7F95"/>
    <w:rsid w:val="007B0374"/>
    <w:rsid w:val="007B0B52"/>
    <w:rsid w:val="007B0C8F"/>
    <w:rsid w:val="007B163A"/>
    <w:rsid w:val="007B178E"/>
    <w:rsid w:val="007B1BD6"/>
    <w:rsid w:val="007B229F"/>
    <w:rsid w:val="007B23C2"/>
    <w:rsid w:val="007B281C"/>
    <w:rsid w:val="007B2D2F"/>
    <w:rsid w:val="007B34F8"/>
    <w:rsid w:val="007B3510"/>
    <w:rsid w:val="007B3808"/>
    <w:rsid w:val="007B3D11"/>
    <w:rsid w:val="007B43BE"/>
    <w:rsid w:val="007B4451"/>
    <w:rsid w:val="007B46B9"/>
    <w:rsid w:val="007B4C00"/>
    <w:rsid w:val="007B4E30"/>
    <w:rsid w:val="007B5531"/>
    <w:rsid w:val="007B560C"/>
    <w:rsid w:val="007B59A5"/>
    <w:rsid w:val="007B59C9"/>
    <w:rsid w:val="007B5AB2"/>
    <w:rsid w:val="007B6282"/>
    <w:rsid w:val="007B6324"/>
    <w:rsid w:val="007B651B"/>
    <w:rsid w:val="007B662C"/>
    <w:rsid w:val="007B6749"/>
    <w:rsid w:val="007B6872"/>
    <w:rsid w:val="007B6B6F"/>
    <w:rsid w:val="007B7337"/>
    <w:rsid w:val="007B7655"/>
    <w:rsid w:val="007B7AAD"/>
    <w:rsid w:val="007B7DFD"/>
    <w:rsid w:val="007B7F63"/>
    <w:rsid w:val="007B7FD9"/>
    <w:rsid w:val="007C01F8"/>
    <w:rsid w:val="007C048F"/>
    <w:rsid w:val="007C055A"/>
    <w:rsid w:val="007C089D"/>
    <w:rsid w:val="007C0AE9"/>
    <w:rsid w:val="007C0B08"/>
    <w:rsid w:val="007C1133"/>
    <w:rsid w:val="007C16B2"/>
    <w:rsid w:val="007C1741"/>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C25"/>
    <w:rsid w:val="007C4F8F"/>
    <w:rsid w:val="007C536A"/>
    <w:rsid w:val="007C584F"/>
    <w:rsid w:val="007C597F"/>
    <w:rsid w:val="007C5B4D"/>
    <w:rsid w:val="007C67F9"/>
    <w:rsid w:val="007C6B19"/>
    <w:rsid w:val="007C6B46"/>
    <w:rsid w:val="007C6F61"/>
    <w:rsid w:val="007C707D"/>
    <w:rsid w:val="007C7778"/>
    <w:rsid w:val="007C7987"/>
    <w:rsid w:val="007C7B85"/>
    <w:rsid w:val="007C7FB8"/>
    <w:rsid w:val="007D03E2"/>
    <w:rsid w:val="007D0406"/>
    <w:rsid w:val="007D077A"/>
    <w:rsid w:val="007D0966"/>
    <w:rsid w:val="007D14C9"/>
    <w:rsid w:val="007D18DC"/>
    <w:rsid w:val="007D1BC5"/>
    <w:rsid w:val="007D1F55"/>
    <w:rsid w:val="007D20A8"/>
    <w:rsid w:val="007D24EE"/>
    <w:rsid w:val="007D25A0"/>
    <w:rsid w:val="007D284D"/>
    <w:rsid w:val="007D2A7E"/>
    <w:rsid w:val="007D2C77"/>
    <w:rsid w:val="007D32D5"/>
    <w:rsid w:val="007D3458"/>
    <w:rsid w:val="007D3550"/>
    <w:rsid w:val="007D3985"/>
    <w:rsid w:val="007D3B32"/>
    <w:rsid w:val="007D3E69"/>
    <w:rsid w:val="007D46D9"/>
    <w:rsid w:val="007D4905"/>
    <w:rsid w:val="007D5E2D"/>
    <w:rsid w:val="007D5E8E"/>
    <w:rsid w:val="007D5FE2"/>
    <w:rsid w:val="007D633B"/>
    <w:rsid w:val="007D72A3"/>
    <w:rsid w:val="007D72F2"/>
    <w:rsid w:val="007D799C"/>
    <w:rsid w:val="007E01F1"/>
    <w:rsid w:val="007E029E"/>
    <w:rsid w:val="007E0AEC"/>
    <w:rsid w:val="007E0B9C"/>
    <w:rsid w:val="007E0FA9"/>
    <w:rsid w:val="007E10FB"/>
    <w:rsid w:val="007E1282"/>
    <w:rsid w:val="007E14E1"/>
    <w:rsid w:val="007E2042"/>
    <w:rsid w:val="007E28DB"/>
    <w:rsid w:val="007E2F44"/>
    <w:rsid w:val="007E2FEF"/>
    <w:rsid w:val="007E3CF5"/>
    <w:rsid w:val="007E4473"/>
    <w:rsid w:val="007E44A8"/>
    <w:rsid w:val="007E47C2"/>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943"/>
    <w:rsid w:val="007E7EF8"/>
    <w:rsid w:val="007F0B26"/>
    <w:rsid w:val="007F0C7E"/>
    <w:rsid w:val="007F1301"/>
    <w:rsid w:val="007F14AB"/>
    <w:rsid w:val="007F1A43"/>
    <w:rsid w:val="007F1C12"/>
    <w:rsid w:val="007F1C73"/>
    <w:rsid w:val="007F1D39"/>
    <w:rsid w:val="007F21DC"/>
    <w:rsid w:val="007F2285"/>
    <w:rsid w:val="007F2296"/>
    <w:rsid w:val="007F2D4A"/>
    <w:rsid w:val="007F3034"/>
    <w:rsid w:val="007F4044"/>
    <w:rsid w:val="007F416F"/>
    <w:rsid w:val="007F43BD"/>
    <w:rsid w:val="007F44A4"/>
    <w:rsid w:val="007F4534"/>
    <w:rsid w:val="007F459E"/>
    <w:rsid w:val="007F4732"/>
    <w:rsid w:val="007F4D44"/>
    <w:rsid w:val="007F4DCA"/>
    <w:rsid w:val="007F5A49"/>
    <w:rsid w:val="007F5E7C"/>
    <w:rsid w:val="007F6003"/>
    <w:rsid w:val="007F6092"/>
    <w:rsid w:val="007F638B"/>
    <w:rsid w:val="007F665D"/>
    <w:rsid w:val="007F6AE7"/>
    <w:rsid w:val="007F6AEB"/>
    <w:rsid w:val="007F6B1D"/>
    <w:rsid w:val="007F6B6C"/>
    <w:rsid w:val="007F6DA0"/>
    <w:rsid w:val="007F7341"/>
    <w:rsid w:val="007F7586"/>
    <w:rsid w:val="007F7CE8"/>
    <w:rsid w:val="00800195"/>
    <w:rsid w:val="00800413"/>
    <w:rsid w:val="00800475"/>
    <w:rsid w:val="00800A0F"/>
    <w:rsid w:val="008012F4"/>
    <w:rsid w:val="00801315"/>
    <w:rsid w:val="00801625"/>
    <w:rsid w:val="00801CCA"/>
    <w:rsid w:val="00801D43"/>
    <w:rsid w:val="008023E7"/>
    <w:rsid w:val="00802544"/>
    <w:rsid w:val="00802695"/>
    <w:rsid w:val="00802C27"/>
    <w:rsid w:val="00802D12"/>
    <w:rsid w:val="0080340E"/>
    <w:rsid w:val="00803C27"/>
    <w:rsid w:val="00803CF4"/>
    <w:rsid w:val="008042F9"/>
    <w:rsid w:val="008043DE"/>
    <w:rsid w:val="008043F4"/>
    <w:rsid w:val="00804562"/>
    <w:rsid w:val="008045BB"/>
    <w:rsid w:val="008047AE"/>
    <w:rsid w:val="008048DF"/>
    <w:rsid w:val="00804934"/>
    <w:rsid w:val="008049DB"/>
    <w:rsid w:val="008051EB"/>
    <w:rsid w:val="008053A3"/>
    <w:rsid w:val="00805515"/>
    <w:rsid w:val="00805559"/>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AC"/>
    <w:rsid w:val="00814034"/>
    <w:rsid w:val="00814198"/>
    <w:rsid w:val="008141ED"/>
    <w:rsid w:val="00814264"/>
    <w:rsid w:val="008146C7"/>
    <w:rsid w:val="008151B5"/>
    <w:rsid w:val="00815238"/>
    <w:rsid w:val="008152A6"/>
    <w:rsid w:val="00815ED8"/>
    <w:rsid w:val="00815F25"/>
    <w:rsid w:val="0081602B"/>
    <w:rsid w:val="008160A0"/>
    <w:rsid w:val="0081619B"/>
    <w:rsid w:val="0081625D"/>
    <w:rsid w:val="008164C8"/>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463"/>
    <w:rsid w:val="008215FB"/>
    <w:rsid w:val="00821A65"/>
    <w:rsid w:val="00821D2A"/>
    <w:rsid w:val="00821D44"/>
    <w:rsid w:val="00821D99"/>
    <w:rsid w:val="00822224"/>
    <w:rsid w:val="0082277D"/>
    <w:rsid w:val="008229D2"/>
    <w:rsid w:val="00822B46"/>
    <w:rsid w:val="00822F3B"/>
    <w:rsid w:val="0082362C"/>
    <w:rsid w:val="0082392C"/>
    <w:rsid w:val="00823933"/>
    <w:rsid w:val="00824591"/>
    <w:rsid w:val="00824792"/>
    <w:rsid w:val="0082488F"/>
    <w:rsid w:val="00824E13"/>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7A"/>
    <w:rsid w:val="00827F93"/>
    <w:rsid w:val="00830959"/>
    <w:rsid w:val="00830AD6"/>
    <w:rsid w:val="00830D89"/>
    <w:rsid w:val="00831044"/>
    <w:rsid w:val="0083106A"/>
    <w:rsid w:val="0083186E"/>
    <w:rsid w:val="00831919"/>
    <w:rsid w:val="0083192C"/>
    <w:rsid w:val="00831A30"/>
    <w:rsid w:val="00831E36"/>
    <w:rsid w:val="00831E9E"/>
    <w:rsid w:val="00831F10"/>
    <w:rsid w:val="00832359"/>
    <w:rsid w:val="008325B5"/>
    <w:rsid w:val="00832BFA"/>
    <w:rsid w:val="00832DF1"/>
    <w:rsid w:val="00832FA6"/>
    <w:rsid w:val="0083312C"/>
    <w:rsid w:val="00833289"/>
    <w:rsid w:val="0083337B"/>
    <w:rsid w:val="008336A0"/>
    <w:rsid w:val="0083382B"/>
    <w:rsid w:val="0083385E"/>
    <w:rsid w:val="00833F8E"/>
    <w:rsid w:val="008344B4"/>
    <w:rsid w:val="008344F8"/>
    <w:rsid w:val="00834643"/>
    <w:rsid w:val="00834973"/>
    <w:rsid w:val="00834B88"/>
    <w:rsid w:val="00834E09"/>
    <w:rsid w:val="00834ED0"/>
    <w:rsid w:val="00835E13"/>
    <w:rsid w:val="008363A4"/>
    <w:rsid w:val="00836F55"/>
    <w:rsid w:val="00837129"/>
    <w:rsid w:val="00837474"/>
    <w:rsid w:val="00837575"/>
    <w:rsid w:val="00837E6B"/>
    <w:rsid w:val="0084010B"/>
    <w:rsid w:val="008406DA"/>
    <w:rsid w:val="00840E31"/>
    <w:rsid w:val="008410FD"/>
    <w:rsid w:val="0084113D"/>
    <w:rsid w:val="0084125F"/>
    <w:rsid w:val="0084131D"/>
    <w:rsid w:val="00841715"/>
    <w:rsid w:val="00841755"/>
    <w:rsid w:val="00841B5E"/>
    <w:rsid w:val="00841DD8"/>
    <w:rsid w:val="00841ED0"/>
    <w:rsid w:val="008420A2"/>
    <w:rsid w:val="008429B8"/>
    <w:rsid w:val="00842D67"/>
    <w:rsid w:val="00842F48"/>
    <w:rsid w:val="00843088"/>
    <w:rsid w:val="008431AA"/>
    <w:rsid w:val="0084336E"/>
    <w:rsid w:val="00843732"/>
    <w:rsid w:val="0084459F"/>
    <w:rsid w:val="0084518E"/>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8F8"/>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D2"/>
    <w:rsid w:val="0086262B"/>
    <w:rsid w:val="00862863"/>
    <w:rsid w:val="00862CA1"/>
    <w:rsid w:val="0086342A"/>
    <w:rsid w:val="00863618"/>
    <w:rsid w:val="00863811"/>
    <w:rsid w:val="008639C2"/>
    <w:rsid w:val="00864346"/>
    <w:rsid w:val="00864560"/>
    <w:rsid w:val="00864A4B"/>
    <w:rsid w:val="00864B1F"/>
    <w:rsid w:val="00865451"/>
    <w:rsid w:val="008654AB"/>
    <w:rsid w:val="008656E5"/>
    <w:rsid w:val="0086578E"/>
    <w:rsid w:val="008658E2"/>
    <w:rsid w:val="00865936"/>
    <w:rsid w:val="00865B87"/>
    <w:rsid w:val="00865E95"/>
    <w:rsid w:val="0086613B"/>
    <w:rsid w:val="00866388"/>
    <w:rsid w:val="008665BF"/>
    <w:rsid w:val="00866880"/>
    <w:rsid w:val="0086690D"/>
    <w:rsid w:val="0086700A"/>
    <w:rsid w:val="008672EB"/>
    <w:rsid w:val="008675D5"/>
    <w:rsid w:val="008679EB"/>
    <w:rsid w:val="008679EF"/>
    <w:rsid w:val="008700B2"/>
    <w:rsid w:val="00870651"/>
    <w:rsid w:val="00870B39"/>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B20"/>
    <w:rsid w:val="00874B8B"/>
    <w:rsid w:val="00874CEF"/>
    <w:rsid w:val="00874ED1"/>
    <w:rsid w:val="00874F2D"/>
    <w:rsid w:val="0087505A"/>
    <w:rsid w:val="008751E1"/>
    <w:rsid w:val="008752DA"/>
    <w:rsid w:val="0087543E"/>
    <w:rsid w:val="008756C6"/>
    <w:rsid w:val="00875C0B"/>
    <w:rsid w:val="008764A7"/>
    <w:rsid w:val="00876911"/>
    <w:rsid w:val="00876927"/>
    <w:rsid w:val="00876C57"/>
    <w:rsid w:val="008771A2"/>
    <w:rsid w:val="0087733B"/>
    <w:rsid w:val="00877377"/>
    <w:rsid w:val="008777E0"/>
    <w:rsid w:val="00877D29"/>
    <w:rsid w:val="00877EDF"/>
    <w:rsid w:val="00880E0F"/>
    <w:rsid w:val="00880E77"/>
    <w:rsid w:val="00880E7B"/>
    <w:rsid w:val="008817F7"/>
    <w:rsid w:val="00881959"/>
    <w:rsid w:val="00881A31"/>
    <w:rsid w:val="00882657"/>
    <w:rsid w:val="008826B7"/>
    <w:rsid w:val="00882785"/>
    <w:rsid w:val="00882948"/>
    <w:rsid w:val="008831BC"/>
    <w:rsid w:val="00883EB4"/>
    <w:rsid w:val="00884C90"/>
    <w:rsid w:val="0088525B"/>
    <w:rsid w:val="00885370"/>
    <w:rsid w:val="0088562F"/>
    <w:rsid w:val="00885B41"/>
    <w:rsid w:val="00885CD9"/>
    <w:rsid w:val="008860FF"/>
    <w:rsid w:val="00886185"/>
    <w:rsid w:val="00886692"/>
    <w:rsid w:val="0088675E"/>
    <w:rsid w:val="00886905"/>
    <w:rsid w:val="00886E59"/>
    <w:rsid w:val="008871E5"/>
    <w:rsid w:val="00887225"/>
    <w:rsid w:val="0088789A"/>
    <w:rsid w:val="00887949"/>
    <w:rsid w:val="00890381"/>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988"/>
    <w:rsid w:val="00892C92"/>
    <w:rsid w:val="008932E1"/>
    <w:rsid w:val="00893741"/>
    <w:rsid w:val="00893811"/>
    <w:rsid w:val="00893A21"/>
    <w:rsid w:val="008940EA"/>
    <w:rsid w:val="00894481"/>
    <w:rsid w:val="008948D1"/>
    <w:rsid w:val="008948D6"/>
    <w:rsid w:val="00894B18"/>
    <w:rsid w:val="00894D1B"/>
    <w:rsid w:val="00894DE1"/>
    <w:rsid w:val="00894FEE"/>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276"/>
    <w:rsid w:val="008A141B"/>
    <w:rsid w:val="008A1E38"/>
    <w:rsid w:val="008A1E85"/>
    <w:rsid w:val="008A1E9B"/>
    <w:rsid w:val="008A203B"/>
    <w:rsid w:val="008A208C"/>
    <w:rsid w:val="008A2491"/>
    <w:rsid w:val="008A26D9"/>
    <w:rsid w:val="008A2A41"/>
    <w:rsid w:val="008A2F4F"/>
    <w:rsid w:val="008A2F92"/>
    <w:rsid w:val="008A30FC"/>
    <w:rsid w:val="008A3760"/>
    <w:rsid w:val="008A3CDD"/>
    <w:rsid w:val="008A4304"/>
    <w:rsid w:val="008A440F"/>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40B"/>
    <w:rsid w:val="008A7C78"/>
    <w:rsid w:val="008A7D07"/>
    <w:rsid w:val="008B0110"/>
    <w:rsid w:val="008B01B6"/>
    <w:rsid w:val="008B054E"/>
    <w:rsid w:val="008B0A63"/>
    <w:rsid w:val="008B0C7E"/>
    <w:rsid w:val="008B0D86"/>
    <w:rsid w:val="008B1237"/>
    <w:rsid w:val="008B1848"/>
    <w:rsid w:val="008B1A13"/>
    <w:rsid w:val="008B1CE5"/>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A86"/>
    <w:rsid w:val="008B4C6D"/>
    <w:rsid w:val="008B4C9B"/>
    <w:rsid w:val="008B4CAA"/>
    <w:rsid w:val="008B4F7B"/>
    <w:rsid w:val="008B4FBE"/>
    <w:rsid w:val="008B502F"/>
    <w:rsid w:val="008B521F"/>
    <w:rsid w:val="008B6023"/>
    <w:rsid w:val="008B6515"/>
    <w:rsid w:val="008B6CF7"/>
    <w:rsid w:val="008B6E80"/>
    <w:rsid w:val="008B6EA0"/>
    <w:rsid w:val="008B7043"/>
    <w:rsid w:val="008B78AD"/>
    <w:rsid w:val="008B7A50"/>
    <w:rsid w:val="008B7DAC"/>
    <w:rsid w:val="008C0135"/>
    <w:rsid w:val="008C055B"/>
    <w:rsid w:val="008C06FF"/>
    <w:rsid w:val="008C0BF2"/>
    <w:rsid w:val="008C0DC4"/>
    <w:rsid w:val="008C1271"/>
    <w:rsid w:val="008C17D8"/>
    <w:rsid w:val="008C1A49"/>
    <w:rsid w:val="008C1B13"/>
    <w:rsid w:val="008C1F22"/>
    <w:rsid w:val="008C202C"/>
    <w:rsid w:val="008C2426"/>
    <w:rsid w:val="008C298E"/>
    <w:rsid w:val="008C2E3B"/>
    <w:rsid w:val="008C3437"/>
    <w:rsid w:val="008C3646"/>
    <w:rsid w:val="008C3A31"/>
    <w:rsid w:val="008C3B18"/>
    <w:rsid w:val="008C3C64"/>
    <w:rsid w:val="008C3E5E"/>
    <w:rsid w:val="008C4282"/>
    <w:rsid w:val="008C46D4"/>
    <w:rsid w:val="008C4723"/>
    <w:rsid w:val="008C4B69"/>
    <w:rsid w:val="008C4E4D"/>
    <w:rsid w:val="008C4FA8"/>
    <w:rsid w:val="008C57E1"/>
    <w:rsid w:val="008C5A6A"/>
    <w:rsid w:val="008C5C19"/>
    <w:rsid w:val="008C5C52"/>
    <w:rsid w:val="008C5EDE"/>
    <w:rsid w:val="008C6142"/>
    <w:rsid w:val="008C63D1"/>
    <w:rsid w:val="008C6991"/>
    <w:rsid w:val="008C6B84"/>
    <w:rsid w:val="008C6B93"/>
    <w:rsid w:val="008C6B94"/>
    <w:rsid w:val="008C6BDD"/>
    <w:rsid w:val="008C6C09"/>
    <w:rsid w:val="008C716C"/>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619"/>
    <w:rsid w:val="008D3639"/>
    <w:rsid w:val="008D37A2"/>
    <w:rsid w:val="008D3BA9"/>
    <w:rsid w:val="008D3FAB"/>
    <w:rsid w:val="008D4103"/>
    <w:rsid w:val="008D4179"/>
    <w:rsid w:val="008D4195"/>
    <w:rsid w:val="008D430D"/>
    <w:rsid w:val="008D4411"/>
    <w:rsid w:val="008D4517"/>
    <w:rsid w:val="008D474D"/>
    <w:rsid w:val="008D4A25"/>
    <w:rsid w:val="008D5101"/>
    <w:rsid w:val="008D5257"/>
    <w:rsid w:val="008D6401"/>
    <w:rsid w:val="008D643B"/>
    <w:rsid w:val="008D6574"/>
    <w:rsid w:val="008D6AEA"/>
    <w:rsid w:val="008D6B96"/>
    <w:rsid w:val="008D6F02"/>
    <w:rsid w:val="008D7419"/>
    <w:rsid w:val="008D7838"/>
    <w:rsid w:val="008D7B66"/>
    <w:rsid w:val="008D7DA1"/>
    <w:rsid w:val="008E018E"/>
    <w:rsid w:val="008E0659"/>
    <w:rsid w:val="008E0C32"/>
    <w:rsid w:val="008E0C94"/>
    <w:rsid w:val="008E1164"/>
    <w:rsid w:val="008E1217"/>
    <w:rsid w:val="008E12EA"/>
    <w:rsid w:val="008E150E"/>
    <w:rsid w:val="008E1519"/>
    <w:rsid w:val="008E1796"/>
    <w:rsid w:val="008E1A09"/>
    <w:rsid w:val="008E2209"/>
    <w:rsid w:val="008E245C"/>
    <w:rsid w:val="008E2AEC"/>
    <w:rsid w:val="008E338D"/>
    <w:rsid w:val="008E35C6"/>
    <w:rsid w:val="008E39DA"/>
    <w:rsid w:val="008E41DA"/>
    <w:rsid w:val="008E53BB"/>
    <w:rsid w:val="008E58AF"/>
    <w:rsid w:val="008E59A4"/>
    <w:rsid w:val="008E5BCD"/>
    <w:rsid w:val="008E5D34"/>
    <w:rsid w:val="008E5DC5"/>
    <w:rsid w:val="008E5FBD"/>
    <w:rsid w:val="008E607C"/>
    <w:rsid w:val="008E66EE"/>
    <w:rsid w:val="008E6C37"/>
    <w:rsid w:val="008E6F25"/>
    <w:rsid w:val="008E7337"/>
    <w:rsid w:val="008E7902"/>
    <w:rsid w:val="008F0513"/>
    <w:rsid w:val="008F0948"/>
    <w:rsid w:val="008F0B65"/>
    <w:rsid w:val="008F0CAB"/>
    <w:rsid w:val="008F12D3"/>
    <w:rsid w:val="008F1822"/>
    <w:rsid w:val="008F1CC8"/>
    <w:rsid w:val="008F1F26"/>
    <w:rsid w:val="008F25AD"/>
    <w:rsid w:val="008F27C6"/>
    <w:rsid w:val="008F2E1A"/>
    <w:rsid w:val="008F32EC"/>
    <w:rsid w:val="008F34CC"/>
    <w:rsid w:val="008F3655"/>
    <w:rsid w:val="008F373B"/>
    <w:rsid w:val="008F39AE"/>
    <w:rsid w:val="008F405E"/>
    <w:rsid w:val="008F437F"/>
    <w:rsid w:val="008F4866"/>
    <w:rsid w:val="008F52DE"/>
    <w:rsid w:val="008F55B0"/>
    <w:rsid w:val="008F56F3"/>
    <w:rsid w:val="008F5920"/>
    <w:rsid w:val="008F5F50"/>
    <w:rsid w:val="008F61C8"/>
    <w:rsid w:val="008F6266"/>
    <w:rsid w:val="008F6391"/>
    <w:rsid w:val="008F6871"/>
    <w:rsid w:val="008F690E"/>
    <w:rsid w:val="008F6B75"/>
    <w:rsid w:val="008F6BE3"/>
    <w:rsid w:val="008F6D25"/>
    <w:rsid w:val="008F7198"/>
    <w:rsid w:val="008F77FB"/>
    <w:rsid w:val="008F78BE"/>
    <w:rsid w:val="008F7F57"/>
    <w:rsid w:val="009000E1"/>
    <w:rsid w:val="009002B3"/>
    <w:rsid w:val="00900B5D"/>
    <w:rsid w:val="00900BE0"/>
    <w:rsid w:val="00901037"/>
    <w:rsid w:val="00901059"/>
    <w:rsid w:val="009014C9"/>
    <w:rsid w:val="0090161C"/>
    <w:rsid w:val="009017BD"/>
    <w:rsid w:val="009017F1"/>
    <w:rsid w:val="009017F4"/>
    <w:rsid w:val="009018C6"/>
    <w:rsid w:val="00901C8E"/>
    <w:rsid w:val="0090248A"/>
    <w:rsid w:val="0090277C"/>
    <w:rsid w:val="00902AA4"/>
    <w:rsid w:val="00902B69"/>
    <w:rsid w:val="00902F85"/>
    <w:rsid w:val="00903656"/>
    <w:rsid w:val="009038B3"/>
    <w:rsid w:val="00903C62"/>
    <w:rsid w:val="00903E0E"/>
    <w:rsid w:val="009040AB"/>
    <w:rsid w:val="009041EF"/>
    <w:rsid w:val="0090439E"/>
    <w:rsid w:val="0090460C"/>
    <w:rsid w:val="00904959"/>
    <w:rsid w:val="00904AF5"/>
    <w:rsid w:val="00904FE9"/>
    <w:rsid w:val="009053ED"/>
    <w:rsid w:val="00905752"/>
    <w:rsid w:val="00905788"/>
    <w:rsid w:val="00906016"/>
    <w:rsid w:val="009061C1"/>
    <w:rsid w:val="00906B29"/>
    <w:rsid w:val="00906CF1"/>
    <w:rsid w:val="00906EC7"/>
    <w:rsid w:val="00907579"/>
    <w:rsid w:val="00907670"/>
    <w:rsid w:val="00907772"/>
    <w:rsid w:val="00907837"/>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C0"/>
    <w:rsid w:val="00913847"/>
    <w:rsid w:val="00913E59"/>
    <w:rsid w:val="00913E8E"/>
    <w:rsid w:val="00914B1B"/>
    <w:rsid w:val="00914C07"/>
    <w:rsid w:val="009158F4"/>
    <w:rsid w:val="009159AE"/>
    <w:rsid w:val="00915E69"/>
    <w:rsid w:val="0091624F"/>
    <w:rsid w:val="00916332"/>
    <w:rsid w:val="00916BFE"/>
    <w:rsid w:val="00916F59"/>
    <w:rsid w:val="00917148"/>
    <w:rsid w:val="00917329"/>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31AA"/>
    <w:rsid w:val="00923265"/>
    <w:rsid w:val="00923C7B"/>
    <w:rsid w:val="00924345"/>
    <w:rsid w:val="009244B8"/>
    <w:rsid w:val="009244EA"/>
    <w:rsid w:val="009244ED"/>
    <w:rsid w:val="00924A1B"/>
    <w:rsid w:val="00924A5D"/>
    <w:rsid w:val="00924C63"/>
    <w:rsid w:val="00924DAB"/>
    <w:rsid w:val="00925008"/>
    <w:rsid w:val="0092521C"/>
    <w:rsid w:val="0092577E"/>
    <w:rsid w:val="00925C29"/>
    <w:rsid w:val="00925C9D"/>
    <w:rsid w:val="009261C6"/>
    <w:rsid w:val="00926639"/>
    <w:rsid w:val="00926849"/>
    <w:rsid w:val="0092694F"/>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8D4"/>
    <w:rsid w:val="00934FEA"/>
    <w:rsid w:val="009352CE"/>
    <w:rsid w:val="0093539C"/>
    <w:rsid w:val="00935404"/>
    <w:rsid w:val="00935456"/>
    <w:rsid w:val="00935616"/>
    <w:rsid w:val="00935DDE"/>
    <w:rsid w:val="00935E7A"/>
    <w:rsid w:val="00935E85"/>
    <w:rsid w:val="00935F70"/>
    <w:rsid w:val="009366C6"/>
    <w:rsid w:val="00936826"/>
    <w:rsid w:val="00936DC1"/>
    <w:rsid w:val="00937023"/>
    <w:rsid w:val="00937157"/>
    <w:rsid w:val="009372EB"/>
    <w:rsid w:val="00937CDF"/>
    <w:rsid w:val="00937E49"/>
    <w:rsid w:val="00937FFA"/>
    <w:rsid w:val="0094015F"/>
    <w:rsid w:val="00940382"/>
    <w:rsid w:val="00940681"/>
    <w:rsid w:val="00940C0F"/>
    <w:rsid w:val="00940DF3"/>
    <w:rsid w:val="009411DE"/>
    <w:rsid w:val="00942069"/>
    <w:rsid w:val="009420F5"/>
    <w:rsid w:val="009429BC"/>
    <w:rsid w:val="00942C1E"/>
    <w:rsid w:val="00943217"/>
    <w:rsid w:val="0094369F"/>
    <w:rsid w:val="0094378A"/>
    <w:rsid w:val="00943DDA"/>
    <w:rsid w:val="00943E96"/>
    <w:rsid w:val="00944611"/>
    <w:rsid w:val="00944881"/>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71D7"/>
    <w:rsid w:val="009572D3"/>
    <w:rsid w:val="00957C98"/>
    <w:rsid w:val="0096001D"/>
    <w:rsid w:val="009601E8"/>
    <w:rsid w:val="009603F2"/>
    <w:rsid w:val="00960CA6"/>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E6"/>
    <w:rsid w:val="0096492C"/>
    <w:rsid w:val="00964E26"/>
    <w:rsid w:val="009652D3"/>
    <w:rsid w:val="009652EF"/>
    <w:rsid w:val="00965567"/>
    <w:rsid w:val="009659FE"/>
    <w:rsid w:val="00965DE7"/>
    <w:rsid w:val="0096605C"/>
    <w:rsid w:val="00966C9C"/>
    <w:rsid w:val="00966CAA"/>
    <w:rsid w:val="00966DCA"/>
    <w:rsid w:val="009671F5"/>
    <w:rsid w:val="00967514"/>
    <w:rsid w:val="0096753C"/>
    <w:rsid w:val="009675BB"/>
    <w:rsid w:val="009675F0"/>
    <w:rsid w:val="009700EC"/>
    <w:rsid w:val="00970115"/>
    <w:rsid w:val="00970A4D"/>
    <w:rsid w:val="00971121"/>
    <w:rsid w:val="00971E6C"/>
    <w:rsid w:val="00971F53"/>
    <w:rsid w:val="00971F88"/>
    <w:rsid w:val="009728DB"/>
    <w:rsid w:val="00972B53"/>
    <w:rsid w:val="00972EC8"/>
    <w:rsid w:val="00973C21"/>
    <w:rsid w:val="00974246"/>
    <w:rsid w:val="0097485F"/>
    <w:rsid w:val="00974B29"/>
    <w:rsid w:val="00974EC3"/>
    <w:rsid w:val="00974F84"/>
    <w:rsid w:val="0097581C"/>
    <w:rsid w:val="00975B50"/>
    <w:rsid w:val="00975DA4"/>
    <w:rsid w:val="009761DA"/>
    <w:rsid w:val="00976308"/>
    <w:rsid w:val="0097676B"/>
    <w:rsid w:val="00976CBB"/>
    <w:rsid w:val="009773FE"/>
    <w:rsid w:val="009774F6"/>
    <w:rsid w:val="009775DA"/>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F01"/>
    <w:rsid w:val="00982FAE"/>
    <w:rsid w:val="0098305C"/>
    <w:rsid w:val="009839B9"/>
    <w:rsid w:val="00983BE3"/>
    <w:rsid w:val="00983DE1"/>
    <w:rsid w:val="00983DE3"/>
    <w:rsid w:val="00984031"/>
    <w:rsid w:val="009840A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749E"/>
    <w:rsid w:val="009876B7"/>
    <w:rsid w:val="009878D1"/>
    <w:rsid w:val="00987FA2"/>
    <w:rsid w:val="00987FB1"/>
    <w:rsid w:val="00990016"/>
    <w:rsid w:val="009902D3"/>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410B"/>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C2"/>
    <w:rsid w:val="00996EE4"/>
    <w:rsid w:val="0099707E"/>
    <w:rsid w:val="009970EC"/>
    <w:rsid w:val="0099717F"/>
    <w:rsid w:val="009973D2"/>
    <w:rsid w:val="00997BEA"/>
    <w:rsid w:val="009A0080"/>
    <w:rsid w:val="009A051D"/>
    <w:rsid w:val="009A092C"/>
    <w:rsid w:val="009A0D4F"/>
    <w:rsid w:val="009A0FC0"/>
    <w:rsid w:val="009A12A7"/>
    <w:rsid w:val="009A13D4"/>
    <w:rsid w:val="009A1639"/>
    <w:rsid w:val="009A17FD"/>
    <w:rsid w:val="009A1891"/>
    <w:rsid w:val="009A1976"/>
    <w:rsid w:val="009A19D0"/>
    <w:rsid w:val="009A1BDC"/>
    <w:rsid w:val="009A1FDE"/>
    <w:rsid w:val="009A2224"/>
    <w:rsid w:val="009A22C1"/>
    <w:rsid w:val="009A2383"/>
    <w:rsid w:val="009A2951"/>
    <w:rsid w:val="009A3312"/>
    <w:rsid w:val="009A33CB"/>
    <w:rsid w:val="009A34BF"/>
    <w:rsid w:val="009A36A1"/>
    <w:rsid w:val="009A3890"/>
    <w:rsid w:val="009A3E42"/>
    <w:rsid w:val="009A42CE"/>
    <w:rsid w:val="009A44A9"/>
    <w:rsid w:val="009A45E9"/>
    <w:rsid w:val="009A4748"/>
    <w:rsid w:val="009A497A"/>
    <w:rsid w:val="009A533D"/>
    <w:rsid w:val="009A575C"/>
    <w:rsid w:val="009A58DB"/>
    <w:rsid w:val="009A5B75"/>
    <w:rsid w:val="009A5FAE"/>
    <w:rsid w:val="009A6056"/>
    <w:rsid w:val="009A60B1"/>
    <w:rsid w:val="009A629F"/>
    <w:rsid w:val="009A66BA"/>
    <w:rsid w:val="009A691F"/>
    <w:rsid w:val="009A7130"/>
    <w:rsid w:val="009A7366"/>
    <w:rsid w:val="009A7BD0"/>
    <w:rsid w:val="009A7C74"/>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D70"/>
    <w:rsid w:val="009B66E4"/>
    <w:rsid w:val="009B6756"/>
    <w:rsid w:val="009B6C1C"/>
    <w:rsid w:val="009B6C86"/>
    <w:rsid w:val="009B6F99"/>
    <w:rsid w:val="009B7F90"/>
    <w:rsid w:val="009C0027"/>
    <w:rsid w:val="009C021A"/>
    <w:rsid w:val="009C0485"/>
    <w:rsid w:val="009C080D"/>
    <w:rsid w:val="009C08BF"/>
    <w:rsid w:val="009C09F5"/>
    <w:rsid w:val="009C1223"/>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736"/>
    <w:rsid w:val="009D3877"/>
    <w:rsid w:val="009D3C3F"/>
    <w:rsid w:val="009D3C4A"/>
    <w:rsid w:val="009D3EDF"/>
    <w:rsid w:val="009D435D"/>
    <w:rsid w:val="009D45D4"/>
    <w:rsid w:val="009D5406"/>
    <w:rsid w:val="009D5A53"/>
    <w:rsid w:val="009D5C99"/>
    <w:rsid w:val="009D6F79"/>
    <w:rsid w:val="009D7205"/>
    <w:rsid w:val="009D7FB4"/>
    <w:rsid w:val="009D7FB5"/>
    <w:rsid w:val="009E0011"/>
    <w:rsid w:val="009E0165"/>
    <w:rsid w:val="009E0477"/>
    <w:rsid w:val="009E0754"/>
    <w:rsid w:val="009E0B22"/>
    <w:rsid w:val="009E0CFF"/>
    <w:rsid w:val="009E108F"/>
    <w:rsid w:val="009E12B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5103"/>
    <w:rsid w:val="009E51FD"/>
    <w:rsid w:val="009E53A6"/>
    <w:rsid w:val="009E5588"/>
    <w:rsid w:val="009E62E6"/>
    <w:rsid w:val="009E6521"/>
    <w:rsid w:val="009E6708"/>
    <w:rsid w:val="009E6C62"/>
    <w:rsid w:val="009E73D4"/>
    <w:rsid w:val="009E7609"/>
    <w:rsid w:val="009E7684"/>
    <w:rsid w:val="009E76C5"/>
    <w:rsid w:val="009E77D9"/>
    <w:rsid w:val="009E7B46"/>
    <w:rsid w:val="009F040C"/>
    <w:rsid w:val="009F06A7"/>
    <w:rsid w:val="009F0984"/>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943"/>
    <w:rsid w:val="009F39AD"/>
    <w:rsid w:val="009F3BD8"/>
    <w:rsid w:val="009F4222"/>
    <w:rsid w:val="009F455F"/>
    <w:rsid w:val="009F4771"/>
    <w:rsid w:val="009F4825"/>
    <w:rsid w:val="009F4AC1"/>
    <w:rsid w:val="009F4C0B"/>
    <w:rsid w:val="009F4FDC"/>
    <w:rsid w:val="009F5009"/>
    <w:rsid w:val="009F5732"/>
    <w:rsid w:val="009F59CF"/>
    <w:rsid w:val="009F5AA9"/>
    <w:rsid w:val="009F5B8E"/>
    <w:rsid w:val="009F5F28"/>
    <w:rsid w:val="009F5F54"/>
    <w:rsid w:val="009F6077"/>
    <w:rsid w:val="009F611B"/>
    <w:rsid w:val="009F63C1"/>
    <w:rsid w:val="009F6722"/>
    <w:rsid w:val="009F680B"/>
    <w:rsid w:val="009F68FF"/>
    <w:rsid w:val="009F6961"/>
    <w:rsid w:val="009F69A4"/>
    <w:rsid w:val="009F6A15"/>
    <w:rsid w:val="009F6A32"/>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40B1"/>
    <w:rsid w:val="00A04242"/>
    <w:rsid w:val="00A04291"/>
    <w:rsid w:val="00A044A3"/>
    <w:rsid w:val="00A04BDD"/>
    <w:rsid w:val="00A0514B"/>
    <w:rsid w:val="00A05A7E"/>
    <w:rsid w:val="00A05E55"/>
    <w:rsid w:val="00A05F0B"/>
    <w:rsid w:val="00A05F0E"/>
    <w:rsid w:val="00A06095"/>
    <w:rsid w:val="00A063D6"/>
    <w:rsid w:val="00A06553"/>
    <w:rsid w:val="00A06D53"/>
    <w:rsid w:val="00A06F82"/>
    <w:rsid w:val="00A06FEE"/>
    <w:rsid w:val="00A071FC"/>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D2B"/>
    <w:rsid w:val="00A14D4A"/>
    <w:rsid w:val="00A14EC8"/>
    <w:rsid w:val="00A14F04"/>
    <w:rsid w:val="00A150F6"/>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75B"/>
    <w:rsid w:val="00A178D5"/>
    <w:rsid w:val="00A17909"/>
    <w:rsid w:val="00A17A14"/>
    <w:rsid w:val="00A20091"/>
    <w:rsid w:val="00A202E5"/>
    <w:rsid w:val="00A2096A"/>
    <w:rsid w:val="00A20993"/>
    <w:rsid w:val="00A20A45"/>
    <w:rsid w:val="00A20DAA"/>
    <w:rsid w:val="00A21151"/>
    <w:rsid w:val="00A21335"/>
    <w:rsid w:val="00A218AA"/>
    <w:rsid w:val="00A21A27"/>
    <w:rsid w:val="00A21EAA"/>
    <w:rsid w:val="00A21F5E"/>
    <w:rsid w:val="00A2208B"/>
    <w:rsid w:val="00A2292E"/>
    <w:rsid w:val="00A22C9D"/>
    <w:rsid w:val="00A22FC3"/>
    <w:rsid w:val="00A232F5"/>
    <w:rsid w:val="00A23439"/>
    <w:rsid w:val="00A23451"/>
    <w:rsid w:val="00A23C70"/>
    <w:rsid w:val="00A23FBA"/>
    <w:rsid w:val="00A247A9"/>
    <w:rsid w:val="00A24B59"/>
    <w:rsid w:val="00A24C95"/>
    <w:rsid w:val="00A255B4"/>
    <w:rsid w:val="00A257CC"/>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DA1"/>
    <w:rsid w:val="00A354A8"/>
    <w:rsid w:val="00A356AD"/>
    <w:rsid w:val="00A35751"/>
    <w:rsid w:val="00A358B6"/>
    <w:rsid w:val="00A35978"/>
    <w:rsid w:val="00A3597F"/>
    <w:rsid w:val="00A35AF8"/>
    <w:rsid w:val="00A35BFE"/>
    <w:rsid w:val="00A35C22"/>
    <w:rsid w:val="00A35CDF"/>
    <w:rsid w:val="00A35E2C"/>
    <w:rsid w:val="00A364FB"/>
    <w:rsid w:val="00A36BD0"/>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A3"/>
    <w:rsid w:val="00A42D83"/>
    <w:rsid w:val="00A43119"/>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B4F"/>
    <w:rsid w:val="00A46BD6"/>
    <w:rsid w:val="00A46BE5"/>
    <w:rsid w:val="00A46FB0"/>
    <w:rsid w:val="00A47033"/>
    <w:rsid w:val="00A470DE"/>
    <w:rsid w:val="00A47141"/>
    <w:rsid w:val="00A5001D"/>
    <w:rsid w:val="00A50087"/>
    <w:rsid w:val="00A502C0"/>
    <w:rsid w:val="00A50BC6"/>
    <w:rsid w:val="00A50EB2"/>
    <w:rsid w:val="00A50F93"/>
    <w:rsid w:val="00A51632"/>
    <w:rsid w:val="00A51859"/>
    <w:rsid w:val="00A51865"/>
    <w:rsid w:val="00A51C26"/>
    <w:rsid w:val="00A51F8D"/>
    <w:rsid w:val="00A52140"/>
    <w:rsid w:val="00A5238C"/>
    <w:rsid w:val="00A524D4"/>
    <w:rsid w:val="00A526F0"/>
    <w:rsid w:val="00A52750"/>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3C4"/>
    <w:rsid w:val="00A66465"/>
    <w:rsid w:val="00A668AB"/>
    <w:rsid w:val="00A66E4D"/>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209"/>
    <w:rsid w:val="00A738BF"/>
    <w:rsid w:val="00A7433D"/>
    <w:rsid w:val="00A74AD4"/>
    <w:rsid w:val="00A74BDA"/>
    <w:rsid w:val="00A74BFF"/>
    <w:rsid w:val="00A75205"/>
    <w:rsid w:val="00A75890"/>
    <w:rsid w:val="00A75AFA"/>
    <w:rsid w:val="00A75D63"/>
    <w:rsid w:val="00A75E03"/>
    <w:rsid w:val="00A76288"/>
    <w:rsid w:val="00A76348"/>
    <w:rsid w:val="00A76B0C"/>
    <w:rsid w:val="00A76B36"/>
    <w:rsid w:val="00A77104"/>
    <w:rsid w:val="00A7720B"/>
    <w:rsid w:val="00A772DE"/>
    <w:rsid w:val="00A77B31"/>
    <w:rsid w:val="00A77F2A"/>
    <w:rsid w:val="00A8052C"/>
    <w:rsid w:val="00A8057D"/>
    <w:rsid w:val="00A805A4"/>
    <w:rsid w:val="00A80D30"/>
    <w:rsid w:val="00A81215"/>
    <w:rsid w:val="00A819E5"/>
    <w:rsid w:val="00A820D4"/>
    <w:rsid w:val="00A83306"/>
    <w:rsid w:val="00A8338C"/>
    <w:rsid w:val="00A833B0"/>
    <w:rsid w:val="00A8368F"/>
    <w:rsid w:val="00A839A5"/>
    <w:rsid w:val="00A83A42"/>
    <w:rsid w:val="00A83E08"/>
    <w:rsid w:val="00A83EA1"/>
    <w:rsid w:val="00A8475F"/>
    <w:rsid w:val="00A84FAA"/>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7B68"/>
    <w:rsid w:val="00A97E38"/>
    <w:rsid w:val="00AA0B51"/>
    <w:rsid w:val="00AA0B9B"/>
    <w:rsid w:val="00AA0C63"/>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6CF"/>
    <w:rsid w:val="00AB0B6E"/>
    <w:rsid w:val="00AB1093"/>
    <w:rsid w:val="00AB1115"/>
    <w:rsid w:val="00AB1B10"/>
    <w:rsid w:val="00AB2994"/>
    <w:rsid w:val="00AB33FD"/>
    <w:rsid w:val="00AB3999"/>
    <w:rsid w:val="00AB39C2"/>
    <w:rsid w:val="00AB3B7F"/>
    <w:rsid w:val="00AB3BD1"/>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CFB"/>
    <w:rsid w:val="00AB5D11"/>
    <w:rsid w:val="00AB5FC8"/>
    <w:rsid w:val="00AB6596"/>
    <w:rsid w:val="00AB6AED"/>
    <w:rsid w:val="00AB6DF0"/>
    <w:rsid w:val="00AB6FDD"/>
    <w:rsid w:val="00AB734E"/>
    <w:rsid w:val="00AB7360"/>
    <w:rsid w:val="00AB7517"/>
    <w:rsid w:val="00AB7A6B"/>
    <w:rsid w:val="00AC024A"/>
    <w:rsid w:val="00AC0AD4"/>
    <w:rsid w:val="00AC0D36"/>
    <w:rsid w:val="00AC1098"/>
    <w:rsid w:val="00AC1183"/>
    <w:rsid w:val="00AC1616"/>
    <w:rsid w:val="00AC185E"/>
    <w:rsid w:val="00AC1A91"/>
    <w:rsid w:val="00AC1B08"/>
    <w:rsid w:val="00AC1B6C"/>
    <w:rsid w:val="00AC1E22"/>
    <w:rsid w:val="00AC2065"/>
    <w:rsid w:val="00AC2921"/>
    <w:rsid w:val="00AC2B4D"/>
    <w:rsid w:val="00AC2BED"/>
    <w:rsid w:val="00AC2D46"/>
    <w:rsid w:val="00AC30E6"/>
    <w:rsid w:val="00AC341E"/>
    <w:rsid w:val="00AC3460"/>
    <w:rsid w:val="00AC36D6"/>
    <w:rsid w:val="00AC3810"/>
    <w:rsid w:val="00AC3898"/>
    <w:rsid w:val="00AC3AAE"/>
    <w:rsid w:val="00AC3AE1"/>
    <w:rsid w:val="00AC3C12"/>
    <w:rsid w:val="00AC4A05"/>
    <w:rsid w:val="00AC558E"/>
    <w:rsid w:val="00AC58FC"/>
    <w:rsid w:val="00AC5A77"/>
    <w:rsid w:val="00AC5CFC"/>
    <w:rsid w:val="00AC6018"/>
    <w:rsid w:val="00AC6056"/>
    <w:rsid w:val="00AC62EB"/>
    <w:rsid w:val="00AC644D"/>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624"/>
    <w:rsid w:val="00AD47C4"/>
    <w:rsid w:val="00AD4A4E"/>
    <w:rsid w:val="00AD4AF6"/>
    <w:rsid w:val="00AD4E76"/>
    <w:rsid w:val="00AD53E1"/>
    <w:rsid w:val="00AD5550"/>
    <w:rsid w:val="00AD5866"/>
    <w:rsid w:val="00AD58EB"/>
    <w:rsid w:val="00AD5BB2"/>
    <w:rsid w:val="00AD5BEB"/>
    <w:rsid w:val="00AD5EAA"/>
    <w:rsid w:val="00AD643D"/>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4AE"/>
    <w:rsid w:val="00AF558D"/>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103A"/>
    <w:rsid w:val="00B015A9"/>
    <w:rsid w:val="00B01CC8"/>
    <w:rsid w:val="00B01CCF"/>
    <w:rsid w:val="00B01E04"/>
    <w:rsid w:val="00B027F8"/>
    <w:rsid w:val="00B02813"/>
    <w:rsid w:val="00B02925"/>
    <w:rsid w:val="00B02ED6"/>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DA9"/>
    <w:rsid w:val="00B1205B"/>
    <w:rsid w:val="00B1206C"/>
    <w:rsid w:val="00B124FD"/>
    <w:rsid w:val="00B12944"/>
    <w:rsid w:val="00B12E8C"/>
    <w:rsid w:val="00B130B4"/>
    <w:rsid w:val="00B137C3"/>
    <w:rsid w:val="00B138B0"/>
    <w:rsid w:val="00B139E2"/>
    <w:rsid w:val="00B13BB0"/>
    <w:rsid w:val="00B14371"/>
    <w:rsid w:val="00B14DE8"/>
    <w:rsid w:val="00B14F70"/>
    <w:rsid w:val="00B15234"/>
    <w:rsid w:val="00B153EA"/>
    <w:rsid w:val="00B15D98"/>
    <w:rsid w:val="00B15E49"/>
    <w:rsid w:val="00B16137"/>
    <w:rsid w:val="00B162BE"/>
    <w:rsid w:val="00B169BE"/>
    <w:rsid w:val="00B17031"/>
    <w:rsid w:val="00B1713F"/>
    <w:rsid w:val="00B17825"/>
    <w:rsid w:val="00B201A4"/>
    <w:rsid w:val="00B20533"/>
    <w:rsid w:val="00B20660"/>
    <w:rsid w:val="00B206B3"/>
    <w:rsid w:val="00B207A8"/>
    <w:rsid w:val="00B20EA9"/>
    <w:rsid w:val="00B21003"/>
    <w:rsid w:val="00B2103C"/>
    <w:rsid w:val="00B210C8"/>
    <w:rsid w:val="00B21281"/>
    <w:rsid w:val="00B218CD"/>
    <w:rsid w:val="00B21D13"/>
    <w:rsid w:val="00B21ECB"/>
    <w:rsid w:val="00B21EE6"/>
    <w:rsid w:val="00B21F24"/>
    <w:rsid w:val="00B22069"/>
    <w:rsid w:val="00B2209C"/>
    <w:rsid w:val="00B2212A"/>
    <w:rsid w:val="00B22688"/>
    <w:rsid w:val="00B22EBF"/>
    <w:rsid w:val="00B22F41"/>
    <w:rsid w:val="00B23064"/>
    <w:rsid w:val="00B23270"/>
    <w:rsid w:val="00B23516"/>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02"/>
    <w:rsid w:val="00B3526E"/>
    <w:rsid w:val="00B35513"/>
    <w:rsid w:val="00B35705"/>
    <w:rsid w:val="00B360BA"/>
    <w:rsid w:val="00B36201"/>
    <w:rsid w:val="00B36325"/>
    <w:rsid w:val="00B36958"/>
    <w:rsid w:val="00B36A95"/>
    <w:rsid w:val="00B36B4C"/>
    <w:rsid w:val="00B36E18"/>
    <w:rsid w:val="00B36E58"/>
    <w:rsid w:val="00B36F94"/>
    <w:rsid w:val="00B37015"/>
    <w:rsid w:val="00B3789F"/>
    <w:rsid w:val="00B37A2C"/>
    <w:rsid w:val="00B37B12"/>
    <w:rsid w:val="00B37B6D"/>
    <w:rsid w:val="00B37F35"/>
    <w:rsid w:val="00B40204"/>
    <w:rsid w:val="00B40214"/>
    <w:rsid w:val="00B404C1"/>
    <w:rsid w:val="00B40A36"/>
    <w:rsid w:val="00B40D09"/>
    <w:rsid w:val="00B41094"/>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C09"/>
    <w:rsid w:val="00B60C3E"/>
    <w:rsid w:val="00B60F66"/>
    <w:rsid w:val="00B6128B"/>
    <w:rsid w:val="00B61299"/>
    <w:rsid w:val="00B613BF"/>
    <w:rsid w:val="00B61887"/>
    <w:rsid w:val="00B62333"/>
    <w:rsid w:val="00B626FE"/>
    <w:rsid w:val="00B62F0C"/>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E69"/>
    <w:rsid w:val="00B710FA"/>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545D"/>
    <w:rsid w:val="00B7552E"/>
    <w:rsid w:val="00B7555B"/>
    <w:rsid w:val="00B756A4"/>
    <w:rsid w:val="00B75999"/>
    <w:rsid w:val="00B75FE7"/>
    <w:rsid w:val="00B76499"/>
    <w:rsid w:val="00B76880"/>
    <w:rsid w:val="00B76A18"/>
    <w:rsid w:val="00B76A7F"/>
    <w:rsid w:val="00B776CE"/>
    <w:rsid w:val="00B777A8"/>
    <w:rsid w:val="00B777FA"/>
    <w:rsid w:val="00B77C41"/>
    <w:rsid w:val="00B77CAE"/>
    <w:rsid w:val="00B77EEC"/>
    <w:rsid w:val="00B80577"/>
    <w:rsid w:val="00B8068D"/>
    <w:rsid w:val="00B8075E"/>
    <w:rsid w:val="00B807FA"/>
    <w:rsid w:val="00B80C52"/>
    <w:rsid w:val="00B81547"/>
    <w:rsid w:val="00B8156C"/>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8A0"/>
    <w:rsid w:val="00B84EA3"/>
    <w:rsid w:val="00B8509A"/>
    <w:rsid w:val="00B8557A"/>
    <w:rsid w:val="00B85882"/>
    <w:rsid w:val="00B863AD"/>
    <w:rsid w:val="00B86A38"/>
    <w:rsid w:val="00B86A88"/>
    <w:rsid w:val="00B86C39"/>
    <w:rsid w:val="00B86D3D"/>
    <w:rsid w:val="00B8708F"/>
    <w:rsid w:val="00B8728A"/>
    <w:rsid w:val="00B8728F"/>
    <w:rsid w:val="00B87386"/>
    <w:rsid w:val="00B875F1"/>
    <w:rsid w:val="00B878F7"/>
    <w:rsid w:val="00B9019C"/>
    <w:rsid w:val="00B90582"/>
    <w:rsid w:val="00B90E28"/>
    <w:rsid w:val="00B91081"/>
    <w:rsid w:val="00B91528"/>
    <w:rsid w:val="00B91744"/>
    <w:rsid w:val="00B9193D"/>
    <w:rsid w:val="00B91EF0"/>
    <w:rsid w:val="00B92530"/>
    <w:rsid w:val="00B92A34"/>
    <w:rsid w:val="00B92C37"/>
    <w:rsid w:val="00B92C84"/>
    <w:rsid w:val="00B92CCA"/>
    <w:rsid w:val="00B92CEC"/>
    <w:rsid w:val="00B92EB1"/>
    <w:rsid w:val="00B9300D"/>
    <w:rsid w:val="00B93148"/>
    <w:rsid w:val="00B9335A"/>
    <w:rsid w:val="00B934B3"/>
    <w:rsid w:val="00B93776"/>
    <w:rsid w:val="00B937FC"/>
    <w:rsid w:val="00B939D7"/>
    <w:rsid w:val="00B93C01"/>
    <w:rsid w:val="00B93EA4"/>
    <w:rsid w:val="00B943B1"/>
    <w:rsid w:val="00B94593"/>
    <w:rsid w:val="00B9497E"/>
    <w:rsid w:val="00B9518B"/>
    <w:rsid w:val="00B95306"/>
    <w:rsid w:val="00B9547B"/>
    <w:rsid w:val="00B957BF"/>
    <w:rsid w:val="00B95C2F"/>
    <w:rsid w:val="00B95DB9"/>
    <w:rsid w:val="00B95FD3"/>
    <w:rsid w:val="00B962B9"/>
    <w:rsid w:val="00B96961"/>
    <w:rsid w:val="00B96B80"/>
    <w:rsid w:val="00B96B95"/>
    <w:rsid w:val="00B96E18"/>
    <w:rsid w:val="00B96F84"/>
    <w:rsid w:val="00B9714E"/>
    <w:rsid w:val="00B973C6"/>
    <w:rsid w:val="00B9763B"/>
    <w:rsid w:val="00B976E0"/>
    <w:rsid w:val="00BA04DA"/>
    <w:rsid w:val="00BA066F"/>
    <w:rsid w:val="00BA0677"/>
    <w:rsid w:val="00BA08DA"/>
    <w:rsid w:val="00BA0ED6"/>
    <w:rsid w:val="00BA10F5"/>
    <w:rsid w:val="00BA1555"/>
    <w:rsid w:val="00BA15A8"/>
    <w:rsid w:val="00BA1A16"/>
    <w:rsid w:val="00BA1F20"/>
    <w:rsid w:val="00BA1F70"/>
    <w:rsid w:val="00BA24BC"/>
    <w:rsid w:val="00BA25CF"/>
    <w:rsid w:val="00BA2B2C"/>
    <w:rsid w:val="00BA2B96"/>
    <w:rsid w:val="00BA3229"/>
    <w:rsid w:val="00BA4029"/>
    <w:rsid w:val="00BA41AD"/>
    <w:rsid w:val="00BA41EE"/>
    <w:rsid w:val="00BA448C"/>
    <w:rsid w:val="00BA46DE"/>
    <w:rsid w:val="00BA4801"/>
    <w:rsid w:val="00BA4942"/>
    <w:rsid w:val="00BA4F95"/>
    <w:rsid w:val="00BA5099"/>
    <w:rsid w:val="00BA5288"/>
    <w:rsid w:val="00BA52C0"/>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540"/>
    <w:rsid w:val="00BB186F"/>
    <w:rsid w:val="00BB1B02"/>
    <w:rsid w:val="00BB1BCC"/>
    <w:rsid w:val="00BB1C13"/>
    <w:rsid w:val="00BB1D08"/>
    <w:rsid w:val="00BB21C3"/>
    <w:rsid w:val="00BB24B3"/>
    <w:rsid w:val="00BB24C5"/>
    <w:rsid w:val="00BB26E7"/>
    <w:rsid w:val="00BB2E16"/>
    <w:rsid w:val="00BB2F32"/>
    <w:rsid w:val="00BB3112"/>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236"/>
    <w:rsid w:val="00BB5452"/>
    <w:rsid w:val="00BB5656"/>
    <w:rsid w:val="00BB5C26"/>
    <w:rsid w:val="00BB5C42"/>
    <w:rsid w:val="00BB5D0D"/>
    <w:rsid w:val="00BB5F08"/>
    <w:rsid w:val="00BB6000"/>
    <w:rsid w:val="00BB6F18"/>
    <w:rsid w:val="00BB6F87"/>
    <w:rsid w:val="00BB74D5"/>
    <w:rsid w:val="00BB755D"/>
    <w:rsid w:val="00BB765C"/>
    <w:rsid w:val="00BB7810"/>
    <w:rsid w:val="00BB7B7C"/>
    <w:rsid w:val="00BC0085"/>
    <w:rsid w:val="00BC0578"/>
    <w:rsid w:val="00BC08A4"/>
    <w:rsid w:val="00BC0DA9"/>
    <w:rsid w:val="00BC101A"/>
    <w:rsid w:val="00BC1369"/>
    <w:rsid w:val="00BC19AD"/>
    <w:rsid w:val="00BC1C31"/>
    <w:rsid w:val="00BC1DFB"/>
    <w:rsid w:val="00BC2358"/>
    <w:rsid w:val="00BC2DB4"/>
    <w:rsid w:val="00BC2E5D"/>
    <w:rsid w:val="00BC2EC3"/>
    <w:rsid w:val="00BC3502"/>
    <w:rsid w:val="00BC3660"/>
    <w:rsid w:val="00BC3729"/>
    <w:rsid w:val="00BC37F3"/>
    <w:rsid w:val="00BC3BAD"/>
    <w:rsid w:val="00BC49EB"/>
    <w:rsid w:val="00BC4A02"/>
    <w:rsid w:val="00BC4A59"/>
    <w:rsid w:val="00BC4AF2"/>
    <w:rsid w:val="00BC4B9E"/>
    <w:rsid w:val="00BC4E0D"/>
    <w:rsid w:val="00BC55FA"/>
    <w:rsid w:val="00BC56E8"/>
    <w:rsid w:val="00BC59E3"/>
    <w:rsid w:val="00BC637C"/>
    <w:rsid w:val="00BC6760"/>
    <w:rsid w:val="00BC6A17"/>
    <w:rsid w:val="00BC6B0E"/>
    <w:rsid w:val="00BC6C87"/>
    <w:rsid w:val="00BC6D12"/>
    <w:rsid w:val="00BC6F99"/>
    <w:rsid w:val="00BC729E"/>
    <w:rsid w:val="00BC7578"/>
    <w:rsid w:val="00BC7741"/>
    <w:rsid w:val="00BC78E3"/>
    <w:rsid w:val="00BC7A92"/>
    <w:rsid w:val="00BC7E14"/>
    <w:rsid w:val="00BD0389"/>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4B1"/>
    <w:rsid w:val="00BD3BB0"/>
    <w:rsid w:val="00BD3D73"/>
    <w:rsid w:val="00BD3E1F"/>
    <w:rsid w:val="00BD4111"/>
    <w:rsid w:val="00BD42B7"/>
    <w:rsid w:val="00BD48B2"/>
    <w:rsid w:val="00BD49F6"/>
    <w:rsid w:val="00BD4AD1"/>
    <w:rsid w:val="00BD4DE0"/>
    <w:rsid w:val="00BD4FD1"/>
    <w:rsid w:val="00BD4FDF"/>
    <w:rsid w:val="00BD5118"/>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A68"/>
    <w:rsid w:val="00BE4E62"/>
    <w:rsid w:val="00BE548A"/>
    <w:rsid w:val="00BE553C"/>
    <w:rsid w:val="00BE5566"/>
    <w:rsid w:val="00BE55DD"/>
    <w:rsid w:val="00BE56A0"/>
    <w:rsid w:val="00BE56FA"/>
    <w:rsid w:val="00BE570D"/>
    <w:rsid w:val="00BE571F"/>
    <w:rsid w:val="00BE57DA"/>
    <w:rsid w:val="00BE58AF"/>
    <w:rsid w:val="00BE6439"/>
    <w:rsid w:val="00BE716E"/>
    <w:rsid w:val="00BE7B9F"/>
    <w:rsid w:val="00BE7D7A"/>
    <w:rsid w:val="00BE7FAE"/>
    <w:rsid w:val="00BF0E51"/>
    <w:rsid w:val="00BF0EC4"/>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A94"/>
    <w:rsid w:val="00C01BB9"/>
    <w:rsid w:val="00C01C6F"/>
    <w:rsid w:val="00C02413"/>
    <w:rsid w:val="00C02F21"/>
    <w:rsid w:val="00C0337D"/>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B43"/>
    <w:rsid w:val="00C07E52"/>
    <w:rsid w:val="00C10103"/>
    <w:rsid w:val="00C1029D"/>
    <w:rsid w:val="00C1058B"/>
    <w:rsid w:val="00C1096B"/>
    <w:rsid w:val="00C116BC"/>
    <w:rsid w:val="00C1174A"/>
    <w:rsid w:val="00C11A7A"/>
    <w:rsid w:val="00C127B0"/>
    <w:rsid w:val="00C12817"/>
    <w:rsid w:val="00C1281D"/>
    <w:rsid w:val="00C12B04"/>
    <w:rsid w:val="00C12B8C"/>
    <w:rsid w:val="00C12D4D"/>
    <w:rsid w:val="00C12EF3"/>
    <w:rsid w:val="00C132B5"/>
    <w:rsid w:val="00C13691"/>
    <w:rsid w:val="00C1380A"/>
    <w:rsid w:val="00C1384B"/>
    <w:rsid w:val="00C14204"/>
    <w:rsid w:val="00C1426A"/>
    <w:rsid w:val="00C1430E"/>
    <w:rsid w:val="00C146D0"/>
    <w:rsid w:val="00C14E28"/>
    <w:rsid w:val="00C14E35"/>
    <w:rsid w:val="00C1502B"/>
    <w:rsid w:val="00C150A7"/>
    <w:rsid w:val="00C15121"/>
    <w:rsid w:val="00C1536A"/>
    <w:rsid w:val="00C1552E"/>
    <w:rsid w:val="00C15897"/>
    <w:rsid w:val="00C15973"/>
    <w:rsid w:val="00C15AF8"/>
    <w:rsid w:val="00C15BA0"/>
    <w:rsid w:val="00C1627D"/>
    <w:rsid w:val="00C16743"/>
    <w:rsid w:val="00C16806"/>
    <w:rsid w:val="00C16949"/>
    <w:rsid w:val="00C16A9F"/>
    <w:rsid w:val="00C16AC5"/>
    <w:rsid w:val="00C16D70"/>
    <w:rsid w:val="00C16EE7"/>
    <w:rsid w:val="00C17119"/>
    <w:rsid w:val="00C1739B"/>
    <w:rsid w:val="00C178EB"/>
    <w:rsid w:val="00C179DF"/>
    <w:rsid w:val="00C17C0A"/>
    <w:rsid w:val="00C20004"/>
    <w:rsid w:val="00C2042D"/>
    <w:rsid w:val="00C20956"/>
    <w:rsid w:val="00C2099D"/>
    <w:rsid w:val="00C20F68"/>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6902"/>
    <w:rsid w:val="00C27029"/>
    <w:rsid w:val="00C271D9"/>
    <w:rsid w:val="00C27360"/>
    <w:rsid w:val="00C27693"/>
    <w:rsid w:val="00C277CE"/>
    <w:rsid w:val="00C2793F"/>
    <w:rsid w:val="00C27EF5"/>
    <w:rsid w:val="00C30180"/>
    <w:rsid w:val="00C30181"/>
    <w:rsid w:val="00C301C9"/>
    <w:rsid w:val="00C30563"/>
    <w:rsid w:val="00C305CA"/>
    <w:rsid w:val="00C30FEC"/>
    <w:rsid w:val="00C31C19"/>
    <w:rsid w:val="00C31D35"/>
    <w:rsid w:val="00C32542"/>
    <w:rsid w:val="00C328D5"/>
    <w:rsid w:val="00C32E13"/>
    <w:rsid w:val="00C33290"/>
    <w:rsid w:val="00C33AEF"/>
    <w:rsid w:val="00C33BD8"/>
    <w:rsid w:val="00C33F51"/>
    <w:rsid w:val="00C34B9D"/>
    <w:rsid w:val="00C34EE1"/>
    <w:rsid w:val="00C3520B"/>
    <w:rsid w:val="00C355A1"/>
    <w:rsid w:val="00C359C8"/>
    <w:rsid w:val="00C35A98"/>
    <w:rsid w:val="00C35DD4"/>
    <w:rsid w:val="00C361AF"/>
    <w:rsid w:val="00C362D3"/>
    <w:rsid w:val="00C3637E"/>
    <w:rsid w:val="00C367BB"/>
    <w:rsid w:val="00C3681E"/>
    <w:rsid w:val="00C368E9"/>
    <w:rsid w:val="00C36A40"/>
    <w:rsid w:val="00C36BC6"/>
    <w:rsid w:val="00C36BE7"/>
    <w:rsid w:val="00C36C53"/>
    <w:rsid w:val="00C36D65"/>
    <w:rsid w:val="00C37187"/>
    <w:rsid w:val="00C37263"/>
    <w:rsid w:val="00C37F8A"/>
    <w:rsid w:val="00C40646"/>
    <w:rsid w:val="00C4078C"/>
    <w:rsid w:val="00C408B4"/>
    <w:rsid w:val="00C4096A"/>
    <w:rsid w:val="00C40D38"/>
    <w:rsid w:val="00C40DFD"/>
    <w:rsid w:val="00C410B4"/>
    <w:rsid w:val="00C41365"/>
    <w:rsid w:val="00C415E4"/>
    <w:rsid w:val="00C41FC9"/>
    <w:rsid w:val="00C421D6"/>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966"/>
    <w:rsid w:val="00C55B35"/>
    <w:rsid w:val="00C5659F"/>
    <w:rsid w:val="00C567D2"/>
    <w:rsid w:val="00C56A93"/>
    <w:rsid w:val="00C56A96"/>
    <w:rsid w:val="00C57496"/>
    <w:rsid w:val="00C5792C"/>
    <w:rsid w:val="00C57A3B"/>
    <w:rsid w:val="00C57FB0"/>
    <w:rsid w:val="00C604E1"/>
    <w:rsid w:val="00C6057C"/>
    <w:rsid w:val="00C6097A"/>
    <w:rsid w:val="00C61395"/>
    <w:rsid w:val="00C61447"/>
    <w:rsid w:val="00C61653"/>
    <w:rsid w:val="00C617CE"/>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A5D"/>
    <w:rsid w:val="00C72DA3"/>
    <w:rsid w:val="00C72E57"/>
    <w:rsid w:val="00C73C4C"/>
    <w:rsid w:val="00C73E3F"/>
    <w:rsid w:val="00C74A8F"/>
    <w:rsid w:val="00C74AF6"/>
    <w:rsid w:val="00C74C09"/>
    <w:rsid w:val="00C7576B"/>
    <w:rsid w:val="00C758AD"/>
    <w:rsid w:val="00C75A21"/>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C16"/>
    <w:rsid w:val="00C84E65"/>
    <w:rsid w:val="00C85547"/>
    <w:rsid w:val="00C865B0"/>
    <w:rsid w:val="00C86FC5"/>
    <w:rsid w:val="00C8711F"/>
    <w:rsid w:val="00C87606"/>
    <w:rsid w:val="00C87CDC"/>
    <w:rsid w:val="00C90016"/>
    <w:rsid w:val="00C90CBB"/>
    <w:rsid w:val="00C90D6B"/>
    <w:rsid w:val="00C90E03"/>
    <w:rsid w:val="00C91FCE"/>
    <w:rsid w:val="00C92272"/>
    <w:rsid w:val="00C9281E"/>
    <w:rsid w:val="00C93365"/>
    <w:rsid w:val="00C93501"/>
    <w:rsid w:val="00C938C3"/>
    <w:rsid w:val="00C93C19"/>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A000E"/>
    <w:rsid w:val="00CA0649"/>
    <w:rsid w:val="00CA0838"/>
    <w:rsid w:val="00CA0B5C"/>
    <w:rsid w:val="00CA0CF2"/>
    <w:rsid w:val="00CA0EEF"/>
    <w:rsid w:val="00CA1817"/>
    <w:rsid w:val="00CA1C3B"/>
    <w:rsid w:val="00CA1C49"/>
    <w:rsid w:val="00CA2086"/>
    <w:rsid w:val="00CA25E0"/>
    <w:rsid w:val="00CA29CC"/>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5CC4"/>
    <w:rsid w:val="00CA64EF"/>
    <w:rsid w:val="00CA6575"/>
    <w:rsid w:val="00CA657B"/>
    <w:rsid w:val="00CA6A98"/>
    <w:rsid w:val="00CA6C3F"/>
    <w:rsid w:val="00CA6F1F"/>
    <w:rsid w:val="00CA7063"/>
    <w:rsid w:val="00CA7165"/>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DB"/>
    <w:rsid w:val="00CC0EBF"/>
    <w:rsid w:val="00CC10EE"/>
    <w:rsid w:val="00CC1799"/>
    <w:rsid w:val="00CC179B"/>
    <w:rsid w:val="00CC18FD"/>
    <w:rsid w:val="00CC19E6"/>
    <w:rsid w:val="00CC2109"/>
    <w:rsid w:val="00CC2388"/>
    <w:rsid w:val="00CC29C0"/>
    <w:rsid w:val="00CC2A82"/>
    <w:rsid w:val="00CC2DE0"/>
    <w:rsid w:val="00CC2DFA"/>
    <w:rsid w:val="00CC32B2"/>
    <w:rsid w:val="00CC32EA"/>
    <w:rsid w:val="00CC34DC"/>
    <w:rsid w:val="00CC3784"/>
    <w:rsid w:val="00CC3ADB"/>
    <w:rsid w:val="00CC3E4C"/>
    <w:rsid w:val="00CC3F4A"/>
    <w:rsid w:val="00CC4366"/>
    <w:rsid w:val="00CC43BF"/>
    <w:rsid w:val="00CC4527"/>
    <w:rsid w:val="00CC46D1"/>
    <w:rsid w:val="00CC48C7"/>
    <w:rsid w:val="00CC4EE9"/>
    <w:rsid w:val="00CC51A6"/>
    <w:rsid w:val="00CC51B3"/>
    <w:rsid w:val="00CC51B7"/>
    <w:rsid w:val="00CC534C"/>
    <w:rsid w:val="00CC5671"/>
    <w:rsid w:val="00CC58FA"/>
    <w:rsid w:val="00CC5AA3"/>
    <w:rsid w:val="00CC5CAB"/>
    <w:rsid w:val="00CC6372"/>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A46"/>
    <w:rsid w:val="00CD2C52"/>
    <w:rsid w:val="00CD2FFA"/>
    <w:rsid w:val="00CD3051"/>
    <w:rsid w:val="00CD310F"/>
    <w:rsid w:val="00CD341E"/>
    <w:rsid w:val="00CD348B"/>
    <w:rsid w:val="00CD39C5"/>
    <w:rsid w:val="00CD3D41"/>
    <w:rsid w:val="00CD41AD"/>
    <w:rsid w:val="00CD422E"/>
    <w:rsid w:val="00CD44A5"/>
    <w:rsid w:val="00CD4B7E"/>
    <w:rsid w:val="00CD4E59"/>
    <w:rsid w:val="00CD5024"/>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FB2"/>
    <w:rsid w:val="00CE03D2"/>
    <w:rsid w:val="00CE064F"/>
    <w:rsid w:val="00CE0968"/>
    <w:rsid w:val="00CE0E74"/>
    <w:rsid w:val="00CE1905"/>
    <w:rsid w:val="00CE1926"/>
    <w:rsid w:val="00CE1A01"/>
    <w:rsid w:val="00CE2A8C"/>
    <w:rsid w:val="00CE2EE5"/>
    <w:rsid w:val="00CE3232"/>
    <w:rsid w:val="00CE34E2"/>
    <w:rsid w:val="00CE456B"/>
    <w:rsid w:val="00CE46D7"/>
    <w:rsid w:val="00CE55F4"/>
    <w:rsid w:val="00CE570C"/>
    <w:rsid w:val="00CE575C"/>
    <w:rsid w:val="00CE57FD"/>
    <w:rsid w:val="00CE58F6"/>
    <w:rsid w:val="00CE5900"/>
    <w:rsid w:val="00CE5A7F"/>
    <w:rsid w:val="00CE5F80"/>
    <w:rsid w:val="00CE6740"/>
    <w:rsid w:val="00CE6B11"/>
    <w:rsid w:val="00CE6CD0"/>
    <w:rsid w:val="00CE6DD3"/>
    <w:rsid w:val="00CE711F"/>
    <w:rsid w:val="00CE7372"/>
    <w:rsid w:val="00CE7698"/>
    <w:rsid w:val="00CE7801"/>
    <w:rsid w:val="00CE798C"/>
    <w:rsid w:val="00CE7EA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EE3"/>
    <w:rsid w:val="00CF4195"/>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5E"/>
    <w:rsid w:val="00D07472"/>
    <w:rsid w:val="00D07768"/>
    <w:rsid w:val="00D07CBE"/>
    <w:rsid w:val="00D07F26"/>
    <w:rsid w:val="00D103B3"/>
    <w:rsid w:val="00D1099C"/>
    <w:rsid w:val="00D115B9"/>
    <w:rsid w:val="00D115E0"/>
    <w:rsid w:val="00D115FC"/>
    <w:rsid w:val="00D11839"/>
    <w:rsid w:val="00D119C3"/>
    <w:rsid w:val="00D11A5F"/>
    <w:rsid w:val="00D11B2C"/>
    <w:rsid w:val="00D11D80"/>
    <w:rsid w:val="00D12133"/>
    <w:rsid w:val="00D12318"/>
    <w:rsid w:val="00D126AB"/>
    <w:rsid w:val="00D12777"/>
    <w:rsid w:val="00D12BDB"/>
    <w:rsid w:val="00D12F76"/>
    <w:rsid w:val="00D133AE"/>
    <w:rsid w:val="00D13665"/>
    <w:rsid w:val="00D13C40"/>
    <w:rsid w:val="00D13C48"/>
    <w:rsid w:val="00D13D9D"/>
    <w:rsid w:val="00D145CF"/>
    <w:rsid w:val="00D14A32"/>
    <w:rsid w:val="00D14AFD"/>
    <w:rsid w:val="00D14EED"/>
    <w:rsid w:val="00D152A0"/>
    <w:rsid w:val="00D155FC"/>
    <w:rsid w:val="00D15786"/>
    <w:rsid w:val="00D15F6B"/>
    <w:rsid w:val="00D1655D"/>
    <w:rsid w:val="00D168C4"/>
    <w:rsid w:val="00D16CDA"/>
    <w:rsid w:val="00D17551"/>
    <w:rsid w:val="00D2026C"/>
    <w:rsid w:val="00D20292"/>
    <w:rsid w:val="00D20B14"/>
    <w:rsid w:val="00D21644"/>
    <w:rsid w:val="00D2182C"/>
    <w:rsid w:val="00D218EC"/>
    <w:rsid w:val="00D219DD"/>
    <w:rsid w:val="00D2290B"/>
    <w:rsid w:val="00D22CFD"/>
    <w:rsid w:val="00D22D45"/>
    <w:rsid w:val="00D22FCB"/>
    <w:rsid w:val="00D23251"/>
    <w:rsid w:val="00D233E5"/>
    <w:rsid w:val="00D23C82"/>
    <w:rsid w:val="00D23E34"/>
    <w:rsid w:val="00D23EB1"/>
    <w:rsid w:val="00D24371"/>
    <w:rsid w:val="00D248C1"/>
    <w:rsid w:val="00D24E54"/>
    <w:rsid w:val="00D2502F"/>
    <w:rsid w:val="00D251C5"/>
    <w:rsid w:val="00D2534E"/>
    <w:rsid w:val="00D2584E"/>
    <w:rsid w:val="00D25AC8"/>
    <w:rsid w:val="00D25CC4"/>
    <w:rsid w:val="00D25EBA"/>
    <w:rsid w:val="00D2618B"/>
    <w:rsid w:val="00D26A29"/>
    <w:rsid w:val="00D26BF2"/>
    <w:rsid w:val="00D26E1C"/>
    <w:rsid w:val="00D26F8C"/>
    <w:rsid w:val="00D270A3"/>
    <w:rsid w:val="00D271FD"/>
    <w:rsid w:val="00D2764B"/>
    <w:rsid w:val="00D27FE2"/>
    <w:rsid w:val="00D30695"/>
    <w:rsid w:val="00D306AD"/>
    <w:rsid w:val="00D3086C"/>
    <w:rsid w:val="00D30CF2"/>
    <w:rsid w:val="00D30DF1"/>
    <w:rsid w:val="00D30EDB"/>
    <w:rsid w:val="00D312E1"/>
    <w:rsid w:val="00D31551"/>
    <w:rsid w:val="00D31693"/>
    <w:rsid w:val="00D31B2D"/>
    <w:rsid w:val="00D31DC0"/>
    <w:rsid w:val="00D31F89"/>
    <w:rsid w:val="00D31FDE"/>
    <w:rsid w:val="00D3298C"/>
    <w:rsid w:val="00D32A3B"/>
    <w:rsid w:val="00D32A51"/>
    <w:rsid w:val="00D32BAF"/>
    <w:rsid w:val="00D32DB7"/>
    <w:rsid w:val="00D32F1F"/>
    <w:rsid w:val="00D3311A"/>
    <w:rsid w:val="00D334A9"/>
    <w:rsid w:val="00D33589"/>
    <w:rsid w:val="00D336A4"/>
    <w:rsid w:val="00D3370F"/>
    <w:rsid w:val="00D33B5B"/>
    <w:rsid w:val="00D33BAB"/>
    <w:rsid w:val="00D33C2D"/>
    <w:rsid w:val="00D33C52"/>
    <w:rsid w:val="00D33FA7"/>
    <w:rsid w:val="00D34191"/>
    <w:rsid w:val="00D34261"/>
    <w:rsid w:val="00D346F4"/>
    <w:rsid w:val="00D34B78"/>
    <w:rsid w:val="00D34C67"/>
    <w:rsid w:val="00D34E8C"/>
    <w:rsid w:val="00D34F3B"/>
    <w:rsid w:val="00D352D0"/>
    <w:rsid w:val="00D35356"/>
    <w:rsid w:val="00D3556B"/>
    <w:rsid w:val="00D3571C"/>
    <w:rsid w:val="00D35A0D"/>
    <w:rsid w:val="00D3686E"/>
    <w:rsid w:val="00D36A3D"/>
    <w:rsid w:val="00D36AC5"/>
    <w:rsid w:val="00D36D57"/>
    <w:rsid w:val="00D37113"/>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3C4A"/>
    <w:rsid w:val="00D4428E"/>
    <w:rsid w:val="00D44936"/>
    <w:rsid w:val="00D44CF2"/>
    <w:rsid w:val="00D44E94"/>
    <w:rsid w:val="00D451EC"/>
    <w:rsid w:val="00D453DF"/>
    <w:rsid w:val="00D46209"/>
    <w:rsid w:val="00D465F4"/>
    <w:rsid w:val="00D468F0"/>
    <w:rsid w:val="00D4696F"/>
    <w:rsid w:val="00D46C12"/>
    <w:rsid w:val="00D46CD0"/>
    <w:rsid w:val="00D46D39"/>
    <w:rsid w:val="00D47901"/>
    <w:rsid w:val="00D50402"/>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7D3"/>
    <w:rsid w:val="00D5482E"/>
    <w:rsid w:val="00D54877"/>
    <w:rsid w:val="00D548C8"/>
    <w:rsid w:val="00D552B7"/>
    <w:rsid w:val="00D553F1"/>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12C8"/>
    <w:rsid w:val="00D613AA"/>
    <w:rsid w:val="00D617E6"/>
    <w:rsid w:val="00D61A65"/>
    <w:rsid w:val="00D61B30"/>
    <w:rsid w:val="00D61FA4"/>
    <w:rsid w:val="00D6249C"/>
    <w:rsid w:val="00D62561"/>
    <w:rsid w:val="00D62659"/>
    <w:rsid w:val="00D626DD"/>
    <w:rsid w:val="00D6325A"/>
    <w:rsid w:val="00D632E3"/>
    <w:rsid w:val="00D63346"/>
    <w:rsid w:val="00D636C6"/>
    <w:rsid w:val="00D6379C"/>
    <w:rsid w:val="00D63E3E"/>
    <w:rsid w:val="00D642E5"/>
    <w:rsid w:val="00D64A73"/>
    <w:rsid w:val="00D64BB2"/>
    <w:rsid w:val="00D64E06"/>
    <w:rsid w:val="00D65096"/>
    <w:rsid w:val="00D65547"/>
    <w:rsid w:val="00D65649"/>
    <w:rsid w:val="00D65CD6"/>
    <w:rsid w:val="00D65D32"/>
    <w:rsid w:val="00D65F77"/>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54E"/>
    <w:rsid w:val="00D71BC5"/>
    <w:rsid w:val="00D71E70"/>
    <w:rsid w:val="00D72347"/>
    <w:rsid w:val="00D727B2"/>
    <w:rsid w:val="00D736D5"/>
    <w:rsid w:val="00D737A3"/>
    <w:rsid w:val="00D7396F"/>
    <w:rsid w:val="00D73B80"/>
    <w:rsid w:val="00D740C4"/>
    <w:rsid w:val="00D74598"/>
    <w:rsid w:val="00D74612"/>
    <w:rsid w:val="00D746F9"/>
    <w:rsid w:val="00D74ABF"/>
    <w:rsid w:val="00D74B5C"/>
    <w:rsid w:val="00D758E0"/>
    <w:rsid w:val="00D7592C"/>
    <w:rsid w:val="00D75945"/>
    <w:rsid w:val="00D75CB6"/>
    <w:rsid w:val="00D75D87"/>
    <w:rsid w:val="00D75D8F"/>
    <w:rsid w:val="00D76003"/>
    <w:rsid w:val="00D76069"/>
    <w:rsid w:val="00D760AA"/>
    <w:rsid w:val="00D762F8"/>
    <w:rsid w:val="00D76678"/>
    <w:rsid w:val="00D766D5"/>
    <w:rsid w:val="00D76BA0"/>
    <w:rsid w:val="00D76DD5"/>
    <w:rsid w:val="00D76E23"/>
    <w:rsid w:val="00D76ED9"/>
    <w:rsid w:val="00D77000"/>
    <w:rsid w:val="00D773C7"/>
    <w:rsid w:val="00D776AF"/>
    <w:rsid w:val="00D7784B"/>
    <w:rsid w:val="00D77D08"/>
    <w:rsid w:val="00D80574"/>
    <w:rsid w:val="00D806F7"/>
    <w:rsid w:val="00D8088E"/>
    <w:rsid w:val="00D80961"/>
    <w:rsid w:val="00D80A5B"/>
    <w:rsid w:val="00D80D61"/>
    <w:rsid w:val="00D80FC0"/>
    <w:rsid w:val="00D81383"/>
    <w:rsid w:val="00D81416"/>
    <w:rsid w:val="00D81544"/>
    <w:rsid w:val="00D81613"/>
    <w:rsid w:val="00D81622"/>
    <w:rsid w:val="00D81DCA"/>
    <w:rsid w:val="00D8212F"/>
    <w:rsid w:val="00D8220B"/>
    <w:rsid w:val="00D82CB1"/>
    <w:rsid w:val="00D82D7C"/>
    <w:rsid w:val="00D82F4E"/>
    <w:rsid w:val="00D8319E"/>
    <w:rsid w:val="00D832CD"/>
    <w:rsid w:val="00D83C67"/>
    <w:rsid w:val="00D83CBE"/>
    <w:rsid w:val="00D83E76"/>
    <w:rsid w:val="00D8423C"/>
    <w:rsid w:val="00D846A6"/>
    <w:rsid w:val="00D848A1"/>
    <w:rsid w:val="00D84E92"/>
    <w:rsid w:val="00D850B9"/>
    <w:rsid w:val="00D856D2"/>
    <w:rsid w:val="00D85A0E"/>
    <w:rsid w:val="00D85EE0"/>
    <w:rsid w:val="00D862FC"/>
    <w:rsid w:val="00D866AC"/>
    <w:rsid w:val="00D86A89"/>
    <w:rsid w:val="00D86D49"/>
    <w:rsid w:val="00D87495"/>
    <w:rsid w:val="00D87724"/>
    <w:rsid w:val="00D87890"/>
    <w:rsid w:val="00D879F4"/>
    <w:rsid w:val="00D87D1A"/>
    <w:rsid w:val="00D87DE5"/>
    <w:rsid w:val="00D87E2C"/>
    <w:rsid w:val="00D90272"/>
    <w:rsid w:val="00D903AC"/>
    <w:rsid w:val="00D90F3C"/>
    <w:rsid w:val="00D90F58"/>
    <w:rsid w:val="00D914A5"/>
    <w:rsid w:val="00D9162C"/>
    <w:rsid w:val="00D91740"/>
    <w:rsid w:val="00D91796"/>
    <w:rsid w:val="00D9187B"/>
    <w:rsid w:val="00D9215A"/>
    <w:rsid w:val="00D92442"/>
    <w:rsid w:val="00D92924"/>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B0F"/>
    <w:rsid w:val="00D96140"/>
    <w:rsid w:val="00D96254"/>
    <w:rsid w:val="00D962FB"/>
    <w:rsid w:val="00D963B1"/>
    <w:rsid w:val="00D964FB"/>
    <w:rsid w:val="00D965E3"/>
    <w:rsid w:val="00D96B09"/>
    <w:rsid w:val="00D96B2C"/>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703"/>
    <w:rsid w:val="00DA2A03"/>
    <w:rsid w:val="00DA2C55"/>
    <w:rsid w:val="00DA327A"/>
    <w:rsid w:val="00DA3342"/>
    <w:rsid w:val="00DA3379"/>
    <w:rsid w:val="00DA343F"/>
    <w:rsid w:val="00DA3D5D"/>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B00E7"/>
    <w:rsid w:val="00DB0541"/>
    <w:rsid w:val="00DB080E"/>
    <w:rsid w:val="00DB0A19"/>
    <w:rsid w:val="00DB0BEA"/>
    <w:rsid w:val="00DB0C6B"/>
    <w:rsid w:val="00DB114E"/>
    <w:rsid w:val="00DB115F"/>
    <w:rsid w:val="00DB131A"/>
    <w:rsid w:val="00DB149D"/>
    <w:rsid w:val="00DB172A"/>
    <w:rsid w:val="00DB1827"/>
    <w:rsid w:val="00DB1D36"/>
    <w:rsid w:val="00DB223F"/>
    <w:rsid w:val="00DB25F4"/>
    <w:rsid w:val="00DB2EAE"/>
    <w:rsid w:val="00DB2F5D"/>
    <w:rsid w:val="00DB3141"/>
    <w:rsid w:val="00DB31AF"/>
    <w:rsid w:val="00DB338C"/>
    <w:rsid w:val="00DB362C"/>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B2A"/>
    <w:rsid w:val="00DC4DC0"/>
    <w:rsid w:val="00DC51FA"/>
    <w:rsid w:val="00DC5895"/>
    <w:rsid w:val="00DC5BD7"/>
    <w:rsid w:val="00DC61F8"/>
    <w:rsid w:val="00DC6A8F"/>
    <w:rsid w:val="00DC6BC2"/>
    <w:rsid w:val="00DC6C92"/>
    <w:rsid w:val="00DC6D18"/>
    <w:rsid w:val="00DC7C0D"/>
    <w:rsid w:val="00DC7DE7"/>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7BC"/>
    <w:rsid w:val="00DD58A5"/>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2159"/>
    <w:rsid w:val="00DE2652"/>
    <w:rsid w:val="00DE2CBB"/>
    <w:rsid w:val="00DE3413"/>
    <w:rsid w:val="00DE3469"/>
    <w:rsid w:val="00DE354A"/>
    <w:rsid w:val="00DE3583"/>
    <w:rsid w:val="00DE3D5F"/>
    <w:rsid w:val="00DE3F63"/>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B8F"/>
    <w:rsid w:val="00DE7F20"/>
    <w:rsid w:val="00DE7FC3"/>
    <w:rsid w:val="00DF0414"/>
    <w:rsid w:val="00DF04B9"/>
    <w:rsid w:val="00DF0726"/>
    <w:rsid w:val="00DF0A21"/>
    <w:rsid w:val="00DF1297"/>
    <w:rsid w:val="00DF1425"/>
    <w:rsid w:val="00DF15E6"/>
    <w:rsid w:val="00DF19DE"/>
    <w:rsid w:val="00DF1E20"/>
    <w:rsid w:val="00DF2067"/>
    <w:rsid w:val="00DF2216"/>
    <w:rsid w:val="00DF25F2"/>
    <w:rsid w:val="00DF2CFC"/>
    <w:rsid w:val="00DF2DA7"/>
    <w:rsid w:val="00DF3875"/>
    <w:rsid w:val="00DF3DFF"/>
    <w:rsid w:val="00DF3E44"/>
    <w:rsid w:val="00DF4858"/>
    <w:rsid w:val="00DF4A93"/>
    <w:rsid w:val="00DF4E1C"/>
    <w:rsid w:val="00DF4EF8"/>
    <w:rsid w:val="00DF5ABD"/>
    <w:rsid w:val="00DF5E65"/>
    <w:rsid w:val="00DF612F"/>
    <w:rsid w:val="00DF6260"/>
    <w:rsid w:val="00DF6271"/>
    <w:rsid w:val="00DF658D"/>
    <w:rsid w:val="00DF6925"/>
    <w:rsid w:val="00DF69A4"/>
    <w:rsid w:val="00DF6E3B"/>
    <w:rsid w:val="00DF7066"/>
    <w:rsid w:val="00DF725E"/>
    <w:rsid w:val="00DF74B8"/>
    <w:rsid w:val="00DF75F7"/>
    <w:rsid w:val="00DF7A0E"/>
    <w:rsid w:val="00DF7B98"/>
    <w:rsid w:val="00DF7BE8"/>
    <w:rsid w:val="00DF7C10"/>
    <w:rsid w:val="00DF7FEC"/>
    <w:rsid w:val="00E00150"/>
    <w:rsid w:val="00E00172"/>
    <w:rsid w:val="00E003CA"/>
    <w:rsid w:val="00E006A2"/>
    <w:rsid w:val="00E00708"/>
    <w:rsid w:val="00E008FF"/>
    <w:rsid w:val="00E00B3F"/>
    <w:rsid w:val="00E00C02"/>
    <w:rsid w:val="00E00E84"/>
    <w:rsid w:val="00E0138F"/>
    <w:rsid w:val="00E021F1"/>
    <w:rsid w:val="00E02B20"/>
    <w:rsid w:val="00E02B40"/>
    <w:rsid w:val="00E02E59"/>
    <w:rsid w:val="00E03902"/>
    <w:rsid w:val="00E03981"/>
    <w:rsid w:val="00E03A12"/>
    <w:rsid w:val="00E03C0E"/>
    <w:rsid w:val="00E04078"/>
    <w:rsid w:val="00E04382"/>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E53"/>
    <w:rsid w:val="00E1001E"/>
    <w:rsid w:val="00E10267"/>
    <w:rsid w:val="00E1029C"/>
    <w:rsid w:val="00E10778"/>
    <w:rsid w:val="00E1077F"/>
    <w:rsid w:val="00E10A52"/>
    <w:rsid w:val="00E110B0"/>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D69"/>
    <w:rsid w:val="00E14ECE"/>
    <w:rsid w:val="00E15034"/>
    <w:rsid w:val="00E1526A"/>
    <w:rsid w:val="00E152E0"/>
    <w:rsid w:val="00E153B7"/>
    <w:rsid w:val="00E15660"/>
    <w:rsid w:val="00E16A49"/>
    <w:rsid w:val="00E16DD7"/>
    <w:rsid w:val="00E17617"/>
    <w:rsid w:val="00E176F3"/>
    <w:rsid w:val="00E17E94"/>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328C"/>
    <w:rsid w:val="00E235FA"/>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54A"/>
    <w:rsid w:val="00E27A31"/>
    <w:rsid w:val="00E27D3A"/>
    <w:rsid w:val="00E27F60"/>
    <w:rsid w:val="00E27FB3"/>
    <w:rsid w:val="00E303ED"/>
    <w:rsid w:val="00E30596"/>
    <w:rsid w:val="00E30924"/>
    <w:rsid w:val="00E30B9A"/>
    <w:rsid w:val="00E30ED6"/>
    <w:rsid w:val="00E30F78"/>
    <w:rsid w:val="00E310C4"/>
    <w:rsid w:val="00E31354"/>
    <w:rsid w:val="00E313E2"/>
    <w:rsid w:val="00E3167D"/>
    <w:rsid w:val="00E316B3"/>
    <w:rsid w:val="00E31BC3"/>
    <w:rsid w:val="00E32B6C"/>
    <w:rsid w:val="00E32F22"/>
    <w:rsid w:val="00E33B14"/>
    <w:rsid w:val="00E33D4E"/>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C49"/>
    <w:rsid w:val="00E43C50"/>
    <w:rsid w:val="00E43C92"/>
    <w:rsid w:val="00E43CF6"/>
    <w:rsid w:val="00E4423F"/>
    <w:rsid w:val="00E442DC"/>
    <w:rsid w:val="00E44679"/>
    <w:rsid w:val="00E44AE1"/>
    <w:rsid w:val="00E44F6D"/>
    <w:rsid w:val="00E450E4"/>
    <w:rsid w:val="00E45256"/>
    <w:rsid w:val="00E452FC"/>
    <w:rsid w:val="00E45893"/>
    <w:rsid w:val="00E46579"/>
    <w:rsid w:val="00E46679"/>
    <w:rsid w:val="00E46E4E"/>
    <w:rsid w:val="00E472D0"/>
    <w:rsid w:val="00E475FE"/>
    <w:rsid w:val="00E47962"/>
    <w:rsid w:val="00E47BD9"/>
    <w:rsid w:val="00E47C83"/>
    <w:rsid w:val="00E47FD1"/>
    <w:rsid w:val="00E50152"/>
    <w:rsid w:val="00E50282"/>
    <w:rsid w:val="00E50342"/>
    <w:rsid w:val="00E503FA"/>
    <w:rsid w:val="00E506D0"/>
    <w:rsid w:val="00E508E0"/>
    <w:rsid w:val="00E50D82"/>
    <w:rsid w:val="00E511B9"/>
    <w:rsid w:val="00E512C5"/>
    <w:rsid w:val="00E515A9"/>
    <w:rsid w:val="00E5168B"/>
    <w:rsid w:val="00E51A6E"/>
    <w:rsid w:val="00E51D4A"/>
    <w:rsid w:val="00E51DC6"/>
    <w:rsid w:val="00E525AF"/>
    <w:rsid w:val="00E5284F"/>
    <w:rsid w:val="00E532A6"/>
    <w:rsid w:val="00E533AE"/>
    <w:rsid w:val="00E534A0"/>
    <w:rsid w:val="00E53B09"/>
    <w:rsid w:val="00E540EB"/>
    <w:rsid w:val="00E5425B"/>
    <w:rsid w:val="00E545B0"/>
    <w:rsid w:val="00E545E8"/>
    <w:rsid w:val="00E546E3"/>
    <w:rsid w:val="00E54723"/>
    <w:rsid w:val="00E54AFD"/>
    <w:rsid w:val="00E54E72"/>
    <w:rsid w:val="00E55288"/>
    <w:rsid w:val="00E5537A"/>
    <w:rsid w:val="00E55876"/>
    <w:rsid w:val="00E55892"/>
    <w:rsid w:val="00E55ACC"/>
    <w:rsid w:val="00E55C01"/>
    <w:rsid w:val="00E5679B"/>
    <w:rsid w:val="00E568F4"/>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706"/>
    <w:rsid w:val="00E6292C"/>
    <w:rsid w:val="00E62AF3"/>
    <w:rsid w:val="00E63253"/>
    <w:rsid w:val="00E63507"/>
    <w:rsid w:val="00E63825"/>
    <w:rsid w:val="00E63AA3"/>
    <w:rsid w:val="00E63E5E"/>
    <w:rsid w:val="00E645A8"/>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80061"/>
    <w:rsid w:val="00E801D1"/>
    <w:rsid w:val="00E805E6"/>
    <w:rsid w:val="00E806A8"/>
    <w:rsid w:val="00E8072D"/>
    <w:rsid w:val="00E808F3"/>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E0C"/>
    <w:rsid w:val="00E85EF1"/>
    <w:rsid w:val="00E8613E"/>
    <w:rsid w:val="00E8661B"/>
    <w:rsid w:val="00E868C2"/>
    <w:rsid w:val="00E86B55"/>
    <w:rsid w:val="00E8703E"/>
    <w:rsid w:val="00E87234"/>
    <w:rsid w:val="00E87601"/>
    <w:rsid w:val="00E87CB0"/>
    <w:rsid w:val="00E87D68"/>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BE5"/>
    <w:rsid w:val="00E93FE0"/>
    <w:rsid w:val="00E942D7"/>
    <w:rsid w:val="00E94352"/>
    <w:rsid w:val="00E94788"/>
    <w:rsid w:val="00E94A6F"/>
    <w:rsid w:val="00E94EAA"/>
    <w:rsid w:val="00E94EFB"/>
    <w:rsid w:val="00E94FB8"/>
    <w:rsid w:val="00E95062"/>
    <w:rsid w:val="00E95700"/>
    <w:rsid w:val="00E96916"/>
    <w:rsid w:val="00E96A3F"/>
    <w:rsid w:val="00E96C10"/>
    <w:rsid w:val="00E96E7B"/>
    <w:rsid w:val="00E970EE"/>
    <w:rsid w:val="00E97126"/>
    <w:rsid w:val="00E9787A"/>
    <w:rsid w:val="00E97902"/>
    <w:rsid w:val="00E97C29"/>
    <w:rsid w:val="00EA062E"/>
    <w:rsid w:val="00EA0A3D"/>
    <w:rsid w:val="00EA14EF"/>
    <w:rsid w:val="00EA19AB"/>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9C6"/>
    <w:rsid w:val="00EA5C8E"/>
    <w:rsid w:val="00EA5EB6"/>
    <w:rsid w:val="00EA5FE1"/>
    <w:rsid w:val="00EA60E4"/>
    <w:rsid w:val="00EA6223"/>
    <w:rsid w:val="00EA6268"/>
    <w:rsid w:val="00EA6806"/>
    <w:rsid w:val="00EA694C"/>
    <w:rsid w:val="00EA6954"/>
    <w:rsid w:val="00EA6D9F"/>
    <w:rsid w:val="00EA720C"/>
    <w:rsid w:val="00EA728F"/>
    <w:rsid w:val="00EA7D02"/>
    <w:rsid w:val="00EB0108"/>
    <w:rsid w:val="00EB08A6"/>
    <w:rsid w:val="00EB08CA"/>
    <w:rsid w:val="00EB08D3"/>
    <w:rsid w:val="00EB092B"/>
    <w:rsid w:val="00EB0F1E"/>
    <w:rsid w:val="00EB1170"/>
    <w:rsid w:val="00EB117C"/>
    <w:rsid w:val="00EB1279"/>
    <w:rsid w:val="00EB1760"/>
    <w:rsid w:val="00EB1E0E"/>
    <w:rsid w:val="00EB1F97"/>
    <w:rsid w:val="00EB1FF9"/>
    <w:rsid w:val="00EB2357"/>
    <w:rsid w:val="00EB248B"/>
    <w:rsid w:val="00EB266D"/>
    <w:rsid w:val="00EB2E36"/>
    <w:rsid w:val="00EB3119"/>
    <w:rsid w:val="00EB3D87"/>
    <w:rsid w:val="00EB412F"/>
    <w:rsid w:val="00EB449A"/>
    <w:rsid w:val="00EB4AE0"/>
    <w:rsid w:val="00EB4B62"/>
    <w:rsid w:val="00EB5203"/>
    <w:rsid w:val="00EB55AC"/>
    <w:rsid w:val="00EB5871"/>
    <w:rsid w:val="00EB6016"/>
    <w:rsid w:val="00EB6CF9"/>
    <w:rsid w:val="00EB6EFC"/>
    <w:rsid w:val="00EB7127"/>
    <w:rsid w:val="00EB7286"/>
    <w:rsid w:val="00EB72E3"/>
    <w:rsid w:val="00EB78B2"/>
    <w:rsid w:val="00EB7CE7"/>
    <w:rsid w:val="00EB7E0C"/>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AA4"/>
    <w:rsid w:val="00EC6C21"/>
    <w:rsid w:val="00EC7085"/>
    <w:rsid w:val="00EC744D"/>
    <w:rsid w:val="00EC7507"/>
    <w:rsid w:val="00EC756F"/>
    <w:rsid w:val="00EC7FDC"/>
    <w:rsid w:val="00ED0509"/>
    <w:rsid w:val="00ED058C"/>
    <w:rsid w:val="00ED07AA"/>
    <w:rsid w:val="00ED0919"/>
    <w:rsid w:val="00ED0BA3"/>
    <w:rsid w:val="00ED0D87"/>
    <w:rsid w:val="00ED13E3"/>
    <w:rsid w:val="00ED184D"/>
    <w:rsid w:val="00ED1A39"/>
    <w:rsid w:val="00ED1D4C"/>
    <w:rsid w:val="00ED2423"/>
    <w:rsid w:val="00ED2493"/>
    <w:rsid w:val="00ED296F"/>
    <w:rsid w:val="00ED2BCB"/>
    <w:rsid w:val="00ED2D8A"/>
    <w:rsid w:val="00ED3164"/>
    <w:rsid w:val="00ED34E4"/>
    <w:rsid w:val="00ED3676"/>
    <w:rsid w:val="00ED3742"/>
    <w:rsid w:val="00ED386A"/>
    <w:rsid w:val="00ED3993"/>
    <w:rsid w:val="00ED3E7A"/>
    <w:rsid w:val="00ED4158"/>
    <w:rsid w:val="00ED44A6"/>
    <w:rsid w:val="00ED4C6B"/>
    <w:rsid w:val="00ED4E39"/>
    <w:rsid w:val="00ED536E"/>
    <w:rsid w:val="00ED5966"/>
    <w:rsid w:val="00ED648C"/>
    <w:rsid w:val="00ED648D"/>
    <w:rsid w:val="00ED65F8"/>
    <w:rsid w:val="00ED66D5"/>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5AC"/>
    <w:rsid w:val="00EE2779"/>
    <w:rsid w:val="00EE2919"/>
    <w:rsid w:val="00EE2AB5"/>
    <w:rsid w:val="00EE2DCE"/>
    <w:rsid w:val="00EE34B7"/>
    <w:rsid w:val="00EE36AB"/>
    <w:rsid w:val="00EE3A8F"/>
    <w:rsid w:val="00EE3C13"/>
    <w:rsid w:val="00EE408B"/>
    <w:rsid w:val="00EE4242"/>
    <w:rsid w:val="00EE4339"/>
    <w:rsid w:val="00EE44E4"/>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FB2"/>
    <w:rsid w:val="00EF1129"/>
    <w:rsid w:val="00EF142A"/>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4D"/>
    <w:rsid w:val="00F06698"/>
    <w:rsid w:val="00F068E6"/>
    <w:rsid w:val="00F06BAD"/>
    <w:rsid w:val="00F06C82"/>
    <w:rsid w:val="00F06F4C"/>
    <w:rsid w:val="00F07475"/>
    <w:rsid w:val="00F0763D"/>
    <w:rsid w:val="00F079B3"/>
    <w:rsid w:val="00F07C82"/>
    <w:rsid w:val="00F07FB6"/>
    <w:rsid w:val="00F10059"/>
    <w:rsid w:val="00F10963"/>
    <w:rsid w:val="00F11CEA"/>
    <w:rsid w:val="00F11FD3"/>
    <w:rsid w:val="00F120DA"/>
    <w:rsid w:val="00F12108"/>
    <w:rsid w:val="00F122E9"/>
    <w:rsid w:val="00F12A26"/>
    <w:rsid w:val="00F12CAC"/>
    <w:rsid w:val="00F12F35"/>
    <w:rsid w:val="00F12FC6"/>
    <w:rsid w:val="00F133FD"/>
    <w:rsid w:val="00F134AB"/>
    <w:rsid w:val="00F13D23"/>
    <w:rsid w:val="00F14421"/>
    <w:rsid w:val="00F14859"/>
    <w:rsid w:val="00F14B99"/>
    <w:rsid w:val="00F14D41"/>
    <w:rsid w:val="00F14F77"/>
    <w:rsid w:val="00F15159"/>
    <w:rsid w:val="00F15288"/>
    <w:rsid w:val="00F1539B"/>
    <w:rsid w:val="00F15671"/>
    <w:rsid w:val="00F15773"/>
    <w:rsid w:val="00F15A7E"/>
    <w:rsid w:val="00F15C15"/>
    <w:rsid w:val="00F15C64"/>
    <w:rsid w:val="00F160D7"/>
    <w:rsid w:val="00F16384"/>
    <w:rsid w:val="00F16906"/>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F37"/>
    <w:rsid w:val="00F23009"/>
    <w:rsid w:val="00F230C1"/>
    <w:rsid w:val="00F23279"/>
    <w:rsid w:val="00F23E90"/>
    <w:rsid w:val="00F23F67"/>
    <w:rsid w:val="00F24066"/>
    <w:rsid w:val="00F242CA"/>
    <w:rsid w:val="00F2486B"/>
    <w:rsid w:val="00F24E8F"/>
    <w:rsid w:val="00F24F3E"/>
    <w:rsid w:val="00F2507B"/>
    <w:rsid w:val="00F252E3"/>
    <w:rsid w:val="00F25758"/>
    <w:rsid w:val="00F258E5"/>
    <w:rsid w:val="00F25A0B"/>
    <w:rsid w:val="00F25A2A"/>
    <w:rsid w:val="00F25D90"/>
    <w:rsid w:val="00F260F3"/>
    <w:rsid w:val="00F26554"/>
    <w:rsid w:val="00F2668B"/>
    <w:rsid w:val="00F269C6"/>
    <w:rsid w:val="00F269DC"/>
    <w:rsid w:val="00F26BBE"/>
    <w:rsid w:val="00F26C13"/>
    <w:rsid w:val="00F26C68"/>
    <w:rsid w:val="00F26D6A"/>
    <w:rsid w:val="00F26F81"/>
    <w:rsid w:val="00F270EA"/>
    <w:rsid w:val="00F272E0"/>
    <w:rsid w:val="00F273DF"/>
    <w:rsid w:val="00F3020D"/>
    <w:rsid w:val="00F30B4E"/>
    <w:rsid w:val="00F30DDE"/>
    <w:rsid w:val="00F3128D"/>
    <w:rsid w:val="00F314F2"/>
    <w:rsid w:val="00F31793"/>
    <w:rsid w:val="00F31AA2"/>
    <w:rsid w:val="00F31B7D"/>
    <w:rsid w:val="00F31D88"/>
    <w:rsid w:val="00F3229E"/>
    <w:rsid w:val="00F32304"/>
    <w:rsid w:val="00F3267E"/>
    <w:rsid w:val="00F32682"/>
    <w:rsid w:val="00F32ACF"/>
    <w:rsid w:val="00F32B2A"/>
    <w:rsid w:val="00F32CDF"/>
    <w:rsid w:val="00F32D97"/>
    <w:rsid w:val="00F32ED5"/>
    <w:rsid w:val="00F33629"/>
    <w:rsid w:val="00F336F8"/>
    <w:rsid w:val="00F339A9"/>
    <w:rsid w:val="00F33A9B"/>
    <w:rsid w:val="00F33F17"/>
    <w:rsid w:val="00F34303"/>
    <w:rsid w:val="00F34B7F"/>
    <w:rsid w:val="00F34F7A"/>
    <w:rsid w:val="00F35014"/>
    <w:rsid w:val="00F35301"/>
    <w:rsid w:val="00F3599F"/>
    <w:rsid w:val="00F35D68"/>
    <w:rsid w:val="00F3616D"/>
    <w:rsid w:val="00F36322"/>
    <w:rsid w:val="00F36797"/>
    <w:rsid w:val="00F369F5"/>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D2"/>
    <w:rsid w:val="00F4337F"/>
    <w:rsid w:val="00F4359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126A"/>
    <w:rsid w:val="00F512FF"/>
    <w:rsid w:val="00F513A5"/>
    <w:rsid w:val="00F513E4"/>
    <w:rsid w:val="00F514AF"/>
    <w:rsid w:val="00F514D8"/>
    <w:rsid w:val="00F51CFC"/>
    <w:rsid w:val="00F51F75"/>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C5E"/>
    <w:rsid w:val="00F57D11"/>
    <w:rsid w:val="00F60140"/>
    <w:rsid w:val="00F60193"/>
    <w:rsid w:val="00F601AD"/>
    <w:rsid w:val="00F6029B"/>
    <w:rsid w:val="00F60511"/>
    <w:rsid w:val="00F61511"/>
    <w:rsid w:val="00F615F2"/>
    <w:rsid w:val="00F61ACF"/>
    <w:rsid w:val="00F6208F"/>
    <w:rsid w:val="00F62226"/>
    <w:rsid w:val="00F623FD"/>
    <w:rsid w:val="00F625D6"/>
    <w:rsid w:val="00F62D87"/>
    <w:rsid w:val="00F63807"/>
    <w:rsid w:val="00F63948"/>
    <w:rsid w:val="00F63ADC"/>
    <w:rsid w:val="00F63AF7"/>
    <w:rsid w:val="00F63CD4"/>
    <w:rsid w:val="00F63D4B"/>
    <w:rsid w:val="00F6426D"/>
    <w:rsid w:val="00F6444F"/>
    <w:rsid w:val="00F64654"/>
    <w:rsid w:val="00F64B60"/>
    <w:rsid w:val="00F64E01"/>
    <w:rsid w:val="00F6599E"/>
    <w:rsid w:val="00F66D33"/>
    <w:rsid w:val="00F66E29"/>
    <w:rsid w:val="00F67791"/>
    <w:rsid w:val="00F67CED"/>
    <w:rsid w:val="00F702B7"/>
    <w:rsid w:val="00F707A1"/>
    <w:rsid w:val="00F708CE"/>
    <w:rsid w:val="00F713C5"/>
    <w:rsid w:val="00F714D5"/>
    <w:rsid w:val="00F72340"/>
    <w:rsid w:val="00F728C5"/>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4C2"/>
    <w:rsid w:val="00F764FE"/>
    <w:rsid w:val="00F767EF"/>
    <w:rsid w:val="00F7694B"/>
    <w:rsid w:val="00F76D07"/>
    <w:rsid w:val="00F773E2"/>
    <w:rsid w:val="00F777B3"/>
    <w:rsid w:val="00F8011B"/>
    <w:rsid w:val="00F801B2"/>
    <w:rsid w:val="00F801CA"/>
    <w:rsid w:val="00F804AB"/>
    <w:rsid w:val="00F80A2C"/>
    <w:rsid w:val="00F80F02"/>
    <w:rsid w:val="00F80F46"/>
    <w:rsid w:val="00F81392"/>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602A"/>
    <w:rsid w:val="00F86095"/>
    <w:rsid w:val="00F86377"/>
    <w:rsid w:val="00F8668F"/>
    <w:rsid w:val="00F8669D"/>
    <w:rsid w:val="00F86A96"/>
    <w:rsid w:val="00F8710E"/>
    <w:rsid w:val="00F87604"/>
    <w:rsid w:val="00F876DD"/>
    <w:rsid w:val="00F8797A"/>
    <w:rsid w:val="00F87C3D"/>
    <w:rsid w:val="00F87D03"/>
    <w:rsid w:val="00F87EFD"/>
    <w:rsid w:val="00F9033B"/>
    <w:rsid w:val="00F90565"/>
    <w:rsid w:val="00F908B6"/>
    <w:rsid w:val="00F90A67"/>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D6"/>
    <w:rsid w:val="00F9385C"/>
    <w:rsid w:val="00F93C45"/>
    <w:rsid w:val="00F93C60"/>
    <w:rsid w:val="00F942F5"/>
    <w:rsid w:val="00F9464B"/>
    <w:rsid w:val="00F94694"/>
    <w:rsid w:val="00F94772"/>
    <w:rsid w:val="00F94CA5"/>
    <w:rsid w:val="00F94E9D"/>
    <w:rsid w:val="00F94EDD"/>
    <w:rsid w:val="00F9525E"/>
    <w:rsid w:val="00F953E3"/>
    <w:rsid w:val="00F955BA"/>
    <w:rsid w:val="00F95941"/>
    <w:rsid w:val="00F95AB8"/>
    <w:rsid w:val="00F95B65"/>
    <w:rsid w:val="00F95E74"/>
    <w:rsid w:val="00F9634C"/>
    <w:rsid w:val="00F96566"/>
    <w:rsid w:val="00F9674F"/>
    <w:rsid w:val="00F96761"/>
    <w:rsid w:val="00F967F7"/>
    <w:rsid w:val="00F96841"/>
    <w:rsid w:val="00F96B46"/>
    <w:rsid w:val="00F96E27"/>
    <w:rsid w:val="00F96E3E"/>
    <w:rsid w:val="00F96E70"/>
    <w:rsid w:val="00F972B8"/>
    <w:rsid w:val="00F973B7"/>
    <w:rsid w:val="00F97540"/>
    <w:rsid w:val="00F97AD4"/>
    <w:rsid w:val="00F97DD2"/>
    <w:rsid w:val="00FA01F8"/>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B4"/>
    <w:rsid w:val="00FA43BE"/>
    <w:rsid w:val="00FA4EEA"/>
    <w:rsid w:val="00FA5056"/>
    <w:rsid w:val="00FA51E3"/>
    <w:rsid w:val="00FA5767"/>
    <w:rsid w:val="00FA57D4"/>
    <w:rsid w:val="00FA596B"/>
    <w:rsid w:val="00FA5A07"/>
    <w:rsid w:val="00FA5AAF"/>
    <w:rsid w:val="00FA5B05"/>
    <w:rsid w:val="00FA5CAF"/>
    <w:rsid w:val="00FA5FDE"/>
    <w:rsid w:val="00FA6057"/>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77C"/>
    <w:rsid w:val="00FB2B6B"/>
    <w:rsid w:val="00FB2E03"/>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7D4"/>
    <w:rsid w:val="00FB596D"/>
    <w:rsid w:val="00FB59E5"/>
    <w:rsid w:val="00FB5A8B"/>
    <w:rsid w:val="00FB5B6D"/>
    <w:rsid w:val="00FB5B7E"/>
    <w:rsid w:val="00FB5C0F"/>
    <w:rsid w:val="00FB6188"/>
    <w:rsid w:val="00FB62F5"/>
    <w:rsid w:val="00FB653B"/>
    <w:rsid w:val="00FB750E"/>
    <w:rsid w:val="00FB7DE5"/>
    <w:rsid w:val="00FC061B"/>
    <w:rsid w:val="00FC09C5"/>
    <w:rsid w:val="00FC0D16"/>
    <w:rsid w:val="00FC10BF"/>
    <w:rsid w:val="00FC18B7"/>
    <w:rsid w:val="00FC1A8D"/>
    <w:rsid w:val="00FC1DF2"/>
    <w:rsid w:val="00FC23DE"/>
    <w:rsid w:val="00FC24FF"/>
    <w:rsid w:val="00FC2534"/>
    <w:rsid w:val="00FC2733"/>
    <w:rsid w:val="00FC276F"/>
    <w:rsid w:val="00FC3083"/>
    <w:rsid w:val="00FC3308"/>
    <w:rsid w:val="00FC3356"/>
    <w:rsid w:val="00FC34D5"/>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DB3"/>
    <w:rsid w:val="00FC6FC5"/>
    <w:rsid w:val="00FC7901"/>
    <w:rsid w:val="00FC7DCA"/>
    <w:rsid w:val="00FD0A5D"/>
    <w:rsid w:val="00FD0C03"/>
    <w:rsid w:val="00FD0C05"/>
    <w:rsid w:val="00FD0D86"/>
    <w:rsid w:val="00FD0F19"/>
    <w:rsid w:val="00FD126E"/>
    <w:rsid w:val="00FD1598"/>
    <w:rsid w:val="00FD1B84"/>
    <w:rsid w:val="00FD1D53"/>
    <w:rsid w:val="00FD2922"/>
    <w:rsid w:val="00FD2BE3"/>
    <w:rsid w:val="00FD2F03"/>
    <w:rsid w:val="00FD3005"/>
    <w:rsid w:val="00FD3607"/>
    <w:rsid w:val="00FD3936"/>
    <w:rsid w:val="00FD39B1"/>
    <w:rsid w:val="00FD3B03"/>
    <w:rsid w:val="00FD3B9E"/>
    <w:rsid w:val="00FD4472"/>
    <w:rsid w:val="00FD4577"/>
    <w:rsid w:val="00FD4B61"/>
    <w:rsid w:val="00FD4C29"/>
    <w:rsid w:val="00FD4C93"/>
    <w:rsid w:val="00FD4E9A"/>
    <w:rsid w:val="00FD5490"/>
    <w:rsid w:val="00FD58B4"/>
    <w:rsid w:val="00FD5CBB"/>
    <w:rsid w:val="00FD5ED1"/>
    <w:rsid w:val="00FD67D0"/>
    <w:rsid w:val="00FD6E52"/>
    <w:rsid w:val="00FD7214"/>
    <w:rsid w:val="00FD74B3"/>
    <w:rsid w:val="00FD7523"/>
    <w:rsid w:val="00FE0461"/>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E9"/>
    <w:rsid w:val="00FE504A"/>
    <w:rsid w:val="00FE5060"/>
    <w:rsid w:val="00FE5073"/>
    <w:rsid w:val="00FE511D"/>
    <w:rsid w:val="00FE5972"/>
    <w:rsid w:val="00FE5A12"/>
    <w:rsid w:val="00FE5E4B"/>
    <w:rsid w:val="00FE5FEC"/>
    <w:rsid w:val="00FE600F"/>
    <w:rsid w:val="00FE60C1"/>
    <w:rsid w:val="00FE67B2"/>
    <w:rsid w:val="00FE67C8"/>
    <w:rsid w:val="00FE6B29"/>
    <w:rsid w:val="00FE6CCD"/>
    <w:rsid w:val="00FE6DC0"/>
    <w:rsid w:val="00FE70E9"/>
    <w:rsid w:val="00FE7607"/>
    <w:rsid w:val="00FE76AB"/>
    <w:rsid w:val="00FE76D6"/>
    <w:rsid w:val="00FE7D5A"/>
    <w:rsid w:val="00FF0D04"/>
    <w:rsid w:val="00FF0EE7"/>
    <w:rsid w:val="00FF1124"/>
    <w:rsid w:val="00FF176C"/>
    <w:rsid w:val="00FF17D4"/>
    <w:rsid w:val="00FF1DD2"/>
    <w:rsid w:val="00FF2402"/>
    <w:rsid w:val="00FF2593"/>
    <w:rsid w:val="00FF2941"/>
    <w:rsid w:val="00FF35D9"/>
    <w:rsid w:val="00FF3951"/>
    <w:rsid w:val="00FF3976"/>
    <w:rsid w:val="00FF3992"/>
    <w:rsid w:val="00FF3D00"/>
    <w:rsid w:val="00FF3D8F"/>
    <w:rsid w:val="00FF402F"/>
    <w:rsid w:val="00FF40F0"/>
    <w:rsid w:val="00FF42A5"/>
    <w:rsid w:val="00FF46CF"/>
    <w:rsid w:val="00FF4AA8"/>
    <w:rsid w:val="00FF4BA3"/>
    <w:rsid w:val="00FF50E9"/>
    <w:rsid w:val="00FF5272"/>
    <w:rsid w:val="00FF52CB"/>
    <w:rsid w:val="00FF52D9"/>
    <w:rsid w:val="00FF53E4"/>
    <w:rsid w:val="00FF56C1"/>
    <w:rsid w:val="00FF56CB"/>
    <w:rsid w:val="00FF5759"/>
    <w:rsid w:val="00FF5937"/>
    <w:rsid w:val="00FF5C23"/>
    <w:rsid w:val="00FF5D9B"/>
    <w:rsid w:val="00FF630B"/>
    <w:rsid w:val="00FF65FD"/>
    <w:rsid w:val="00FF6F5C"/>
    <w:rsid w:val="00FF70AA"/>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F6635"/>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275D75"/>
    <w:pPr>
      <w:ind w:left="1248" w:hanging="624"/>
    </w:pPr>
  </w:style>
  <w:style w:type="paragraph" w:styleId="a6">
    <w:name w:val="footnote text"/>
    <w:basedOn w:val="a1"/>
    <w:link w:val="a7"/>
    <w:uiPriority w:val="99"/>
    <w:semiHidden/>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1"/>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rsid w:val="00275D75"/>
    <w:pPr>
      <w:tabs>
        <w:tab w:val="clear" w:pos="936"/>
        <w:tab w:val="clear" w:pos="1560"/>
        <w:tab w:val="clear" w:pos="2184"/>
        <w:tab w:val="clear" w:pos="2808"/>
        <w:tab w:val="center" w:pos="4153"/>
        <w:tab w:val="right" w:pos="8306"/>
      </w:tabs>
      <w:spacing w:after="0"/>
    </w:pPr>
    <w:rPr>
      <w:sz w:val="20"/>
    </w:rPr>
  </w:style>
  <w:style w:type="character" w:styleId="ad">
    <w:name w:val="page number"/>
    <w:rsid w:val="00275D75"/>
    <w:rPr>
      <w:rFonts w:ascii="Times New Roman"/>
      <w:spacing w:val="10"/>
      <w:position w:val="0"/>
    </w:rPr>
  </w:style>
  <w:style w:type="paragraph" w:styleId="ae">
    <w:name w:val="Signature"/>
    <w:basedOn w:val="a1"/>
    <w:semiHidden/>
    <w:rsid w:val="00275D75"/>
    <w:pPr>
      <w:ind w:left="4320"/>
    </w:pPr>
  </w:style>
  <w:style w:type="character" w:styleId="af">
    <w:name w:val="footnote reference"/>
    <w:uiPriority w:val="99"/>
    <w:semiHidden/>
    <w:rsid w:val="00275D75"/>
    <w:rPr>
      <w:vertAlign w:val="superscript"/>
    </w:rPr>
  </w:style>
  <w:style w:type="paragraph" w:customStyle="1" w:styleId="a0">
    <w:name w:val="圓點_斜體"/>
    <w:basedOn w:val="a1"/>
    <w:rsid w:val="00C16806"/>
    <w:pPr>
      <w:numPr>
        <w:numId w:val="3"/>
      </w:numPr>
      <w:autoSpaceDE w:val="0"/>
      <w:autoSpaceDN w:val="0"/>
    </w:pPr>
    <w:rPr>
      <w:i/>
      <w:lang w:val="en-GB"/>
    </w:rPr>
  </w:style>
  <w:style w:type="paragraph" w:customStyle="1" w:styleId="120">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275D75"/>
    <w:rPr>
      <w:rFonts w:ascii="Arial" w:eastAsia="新細明體" w:hAnsi="Arial"/>
      <w:sz w:val="18"/>
      <w:szCs w:val="18"/>
    </w:rPr>
  </w:style>
  <w:style w:type="paragraph" w:styleId="a2">
    <w:name w:val="Normal Indent"/>
    <w:basedOn w:val="a1"/>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275D75"/>
    <w:pPr>
      <w:keepNext/>
      <w:widowControl w:val="0"/>
      <w:jc w:val="center"/>
    </w:pPr>
    <w:rPr>
      <w:rFonts w:eastAsia="華康中黑體"/>
      <w:snapToGrid w:val="0"/>
    </w:rPr>
  </w:style>
  <w:style w:type="paragraph" w:styleId="af6">
    <w:name w:val="endnote text"/>
    <w:basedOn w:val="a1"/>
    <w:link w:val="af7"/>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275D75"/>
    <w:rPr>
      <w:vertAlign w:val="superscript"/>
    </w:rPr>
  </w:style>
  <w:style w:type="paragraph" w:customStyle="1" w:styleId="af9">
    <w:name w:val="註釋內文"/>
    <w:basedOn w:val="a2"/>
    <w:rsid w:val="00275D75"/>
    <w:pPr>
      <w:keepLines/>
      <w:snapToGrid w:val="0"/>
    </w:pPr>
    <w:rPr>
      <w:snapToGrid/>
    </w:rPr>
  </w:style>
  <w:style w:type="paragraph" w:customStyle="1" w:styleId="22">
    <w:name w:val="註釋內文2"/>
    <w:basedOn w:val="11"/>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275D75"/>
    <w:pPr>
      <w:ind w:leftChars="150" w:left="936" w:hangingChars="162" w:hanging="486"/>
    </w:pPr>
  </w:style>
  <w:style w:type="paragraph" w:styleId="afe">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uiPriority w:val="99"/>
    <w:semiHidden/>
    <w:rsid w:val="00275D75"/>
    <w:rPr>
      <w:rFonts w:eastAsia="華康細明體"/>
      <w:spacing w:val="30"/>
    </w:rPr>
  </w:style>
  <w:style w:type="character" w:customStyle="1" w:styleId="af7">
    <w:name w:val="章節附註文字 字元"/>
    <w:link w:val="af6"/>
    <w:semiHidden/>
    <w:rsid w:val="00275D75"/>
    <w:rPr>
      <w:rFonts w:eastAsia="華康細明體"/>
      <w:snapToGrid w:val="0"/>
      <w:spacing w:val="20"/>
      <w:kern w:val="2"/>
      <w:sz w:val="28"/>
    </w:rPr>
  </w:style>
  <w:style w:type="character" w:customStyle="1" w:styleId="af3">
    <w:name w:val="註解方塊文字 字元"/>
    <w:link w:val="af2"/>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
    <w:qFormat/>
    <w:rsid w:val="00275D75"/>
    <w:pPr>
      <w:keepNext w:val="0"/>
      <w:snapToGrid w:val="0"/>
      <w:spacing w:after="0" w:line="240" w:lineRule="auto"/>
      <w:jc w:val="center"/>
    </w:pPr>
    <w:rPr>
      <w:spacing w:val="20"/>
      <w:sz w:val="22"/>
      <w:szCs w:val="22"/>
    </w:rPr>
  </w:style>
  <w:style w:type="table" w:styleId="aff0">
    <w:name w:val="Table Grid"/>
    <w:basedOn w:val="a4"/>
    <w:uiPriority w:val="59"/>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3">
    <w:name w:val="Title"/>
    <w:basedOn w:val="a1"/>
    <w:link w:val="aff4"/>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275D75"/>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6">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275D75"/>
    <w:rPr>
      <w:sz w:val="18"/>
      <w:szCs w:val="18"/>
    </w:rPr>
  </w:style>
  <w:style w:type="paragraph" w:styleId="affa">
    <w:name w:val="Body Text"/>
    <w:basedOn w:val="a1"/>
    <w:link w:val="affb"/>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275D75"/>
    <w:rPr>
      <w:rFonts w:eastAsia="新細明體"/>
      <w:color w:val="000000"/>
      <w:kern w:val="2"/>
      <w:sz w:val="24"/>
    </w:rPr>
  </w:style>
  <w:style w:type="paragraph" w:styleId="affc">
    <w:name w:val="Subtitle"/>
    <w:basedOn w:val="a1"/>
    <w:link w:val="affd"/>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e">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uiPriority w:val="9"/>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9">
    <w:name w:val="內文_表註 字元"/>
    <w:link w:val="aff8"/>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275D75"/>
    <w:rPr>
      <w:sz w:val="18"/>
      <w:szCs w:val="18"/>
    </w:rPr>
  </w:style>
  <w:style w:type="paragraph" w:customStyle="1" w:styleId="afff0">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1">
    <w:name w:val="附件列"/>
    <w:basedOn w:val="affa"/>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Hyperlink"/>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3">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4">
    <w:name w:val="annotation subject"/>
    <w:basedOn w:val="afb"/>
    <w:next w:val="afb"/>
    <w:link w:val="afff5"/>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c">
    <w:name w:val="註解文字 字元"/>
    <w:link w:val="afb"/>
    <w:semiHidden/>
    <w:rsid w:val="00275D75"/>
    <w:rPr>
      <w:rFonts w:eastAsia="新細明體"/>
      <w:kern w:val="2"/>
      <w:sz w:val="24"/>
    </w:rPr>
  </w:style>
  <w:style w:type="character" w:customStyle="1" w:styleId="afff5">
    <w:name w:val="註解主旨 字元"/>
    <w:link w:val="afff4"/>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6">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50143">
      <w:bodyDiv w:val="1"/>
      <w:marLeft w:val="0"/>
      <w:marRight w:val="0"/>
      <w:marTop w:val="0"/>
      <w:marBottom w:val="0"/>
      <w:divBdr>
        <w:top w:val="none" w:sz="0" w:space="0" w:color="auto"/>
        <w:left w:val="none" w:sz="0" w:space="0" w:color="auto"/>
        <w:bottom w:val="none" w:sz="0" w:space="0" w:color="auto"/>
        <w:right w:val="none" w:sz="0" w:space="0" w:color="auto"/>
      </w:divBdr>
    </w:div>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A968F-7413-4727-BE03-3645756A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2</cp:revision>
  <cp:lastPrinted>2023-08-07T02:28:00Z</cp:lastPrinted>
  <dcterms:created xsi:type="dcterms:W3CDTF">2023-08-07T02:29:00Z</dcterms:created>
  <dcterms:modified xsi:type="dcterms:W3CDTF">2023-08-07T02:29:00Z</dcterms:modified>
</cp:coreProperties>
</file>