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29200A" w14:textId="77777777" w:rsidR="00540201" w:rsidRPr="003B00ED" w:rsidRDefault="00540201" w:rsidP="002F2F8C">
      <w:pPr>
        <w:pStyle w:val="a9"/>
        <w:rPr>
          <w:lang w:val="en-GB"/>
        </w:rPr>
      </w:pPr>
      <w:bookmarkStart w:id="0" w:name="_GoBack"/>
      <w:r w:rsidRPr="00F37532">
        <w:rPr>
          <w:rFonts w:hint="eastAsia"/>
          <w:lang w:val="en-GB"/>
        </w:rPr>
        <w:t>第三章</w:t>
      </w:r>
      <w:r w:rsidRPr="00A26439">
        <w:rPr>
          <w:rFonts w:hint="eastAsia"/>
          <w:b/>
          <w:lang w:val="en-GB"/>
        </w:rPr>
        <w:t>：</w:t>
      </w:r>
      <w:r w:rsidRPr="00F37532">
        <w:rPr>
          <w:rFonts w:hint="eastAsia"/>
          <w:lang w:val="en-GB"/>
        </w:rPr>
        <w:t>選定行業的發展</w:t>
      </w:r>
    </w:p>
    <w:p w14:paraId="43BEDCED" w14:textId="77777777" w:rsidR="00540201" w:rsidRPr="003B640A" w:rsidRDefault="00540201" w:rsidP="002F2F8C">
      <w:pPr>
        <w:pStyle w:val="123"/>
      </w:pPr>
      <w:r w:rsidRPr="00A25D9D">
        <w:rPr>
          <w:rFonts w:hint="eastAsia"/>
          <w:lang w:val="en-GB"/>
        </w:rPr>
        <w:t>摘要</w:t>
      </w:r>
    </w:p>
    <w:p w14:paraId="0C2E39E8" w14:textId="1FE2044E" w:rsidR="00540201" w:rsidRPr="00E813DF" w:rsidRDefault="00540201" w:rsidP="001428D7">
      <w:pPr>
        <w:pStyle w:val="a0"/>
        <w:rPr>
          <w:lang w:val="en-US"/>
        </w:rPr>
      </w:pPr>
      <w:r w:rsidRPr="00644C86">
        <w:rPr>
          <w:rFonts w:hint="eastAsia"/>
        </w:rPr>
        <w:t>住宅物業市場在二零二五年第二季</w:t>
      </w:r>
      <w:r w:rsidR="004870C8" w:rsidRPr="004870C8">
        <w:rPr>
          <w:rFonts w:hint="eastAsia"/>
        </w:rPr>
        <w:t>略見回</w:t>
      </w:r>
      <w:r w:rsidRPr="00644C86">
        <w:rPr>
          <w:rFonts w:hint="eastAsia"/>
        </w:rPr>
        <w:t>穩。</w:t>
      </w:r>
      <w:r w:rsidR="001428D7" w:rsidRPr="001428D7">
        <w:rPr>
          <w:rFonts w:hint="eastAsia"/>
        </w:rPr>
        <w:t>隨</w:t>
      </w:r>
      <w:r w:rsidR="00EA1AA0">
        <w:rPr>
          <w:rFonts w:hint="eastAsia"/>
          <w:lang w:eastAsia="zh-HK"/>
        </w:rPr>
        <w:t>着</w:t>
      </w:r>
      <w:r w:rsidR="00BF68DE" w:rsidRPr="00BF68DE">
        <w:rPr>
          <w:rFonts w:hint="eastAsia"/>
          <w:lang w:val="en-US"/>
        </w:rPr>
        <w:t>外圍環境</w:t>
      </w:r>
      <w:r w:rsidR="004007B4" w:rsidRPr="004007B4">
        <w:rPr>
          <w:lang w:val="en-US"/>
        </w:rPr>
        <w:t>的</w:t>
      </w:r>
      <w:r w:rsidR="00BF68DE" w:rsidRPr="00BF68DE">
        <w:rPr>
          <w:rFonts w:hint="eastAsia"/>
          <w:lang w:val="en-US"/>
        </w:rPr>
        <w:t>不確定性有所緩解</w:t>
      </w:r>
      <w:r w:rsidR="00BF68DE" w:rsidRPr="00644C86">
        <w:rPr>
          <w:rFonts w:hint="eastAsia"/>
        </w:rPr>
        <w:t>，</w:t>
      </w:r>
      <w:r w:rsidR="00BF68DE" w:rsidRPr="00BF68DE">
        <w:rPr>
          <w:lang w:val="en-US"/>
        </w:rPr>
        <w:t>尤其是在</w:t>
      </w:r>
      <w:r w:rsidR="001428D7" w:rsidRPr="001428D7">
        <w:rPr>
          <w:rFonts w:hint="eastAsia"/>
          <w:lang w:val="en-US"/>
        </w:rPr>
        <w:t>港元銀行同業拆息</w:t>
      </w:r>
      <w:r w:rsidR="001428D7">
        <w:rPr>
          <w:rFonts w:hint="eastAsia"/>
          <w:lang w:val="en-US"/>
        </w:rPr>
        <w:t>於</w:t>
      </w:r>
      <w:r w:rsidR="001428D7" w:rsidRPr="00644C86">
        <w:rPr>
          <w:rFonts w:hint="eastAsia"/>
        </w:rPr>
        <w:t>五</w:t>
      </w:r>
      <w:r w:rsidR="001428D7">
        <w:rPr>
          <w:rFonts w:hint="eastAsia"/>
        </w:rPr>
        <w:t>月急跌</w:t>
      </w:r>
      <w:r w:rsidR="001428D7" w:rsidRPr="001428D7">
        <w:rPr>
          <w:rFonts w:hint="eastAsia"/>
          <w:lang w:val="en-US"/>
        </w:rPr>
        <w:t>帶動按揭利率</w:t>
      </w:r>
      <w:r w:rsidR="001428D7">
        <w:rPr>
          <w:rFonts w:hint="eastAsia"/>
          <w:lang w:val="en-US"/>
        </w:rPr>
        <w:t>向下</w:t>
      </w:r>
      <w:r w:rsidR="004007B4">
        <w:rPr>
          <w:rFonts w:hint="eastAsia"/>
        </w:rPr>
        <w:t>後</w:t>
      </w:r>
      <w:r w:rsidR="004C1825" w:rsidRPr="00644C86">
        <w:rPr>
          <w:rFonts w:hint="eastAsia"/>
        </w:rPr>
        <w:t>，市場氣氛</w:t>
      </w:r>
      <w:r w:rsidR="005F22AC">
        <w:rPr>
          <w:rFonts w:hint="eastAsia"/>
        </w:rPr>
        <w:t>繼</w:t>
      </w:r>
      <w:r w:rsidR="004C1825">
        <w:rPr>
          <w:rFonts w:hint="eastAsia"/>
        </w:rPr>
        <w:t>續</w:t>
      </w:r>
      <w:r w:rsidR="004C1825" w:rsidRPr="00644C86">
        <w:rPr>
          <w:rFonts w:hint="eastAsia"/>
        </w:rPr>
        <w:t>改善</w:t>
      </w:r>
      <w:r w:rsidRPr="00644C86">
        <w:rPr>
          <w:rFonts w:hint="eastAsia"/>
        </w:rPr>
        <w:t>。交投活動</w:t>
      </w:r>
      <w:r>
        <w:rPr>
          <w:rFonts w:hint="eastAsia"/>
          <w:lang w:eastAsia="zh-HK"/>
        </w:rPr>
        <w:t>轉趨</w:t>
      </w:r>
      <w:r w:rsidRPr="00644C86">
        <w:rPr>
          <w:rFonts w:hint="eastAsia"/>
        </w:rPr>
        <w:t>活躍。住宅售價大致</w:t>
      </w:r>
      <w:r w:rsidR="00DC4980">
        <w:rPr>
          <w:rFonts w:hint="eastAsia"/>
        </w:rPr>
        <w:t>企</w:t>
      </w:r>
      <w:r w:rsidRPr="00644C86">
        <w:rPr>
          <w:rFonts w:hint="eastAsia"/>
        </w:rPr>
        <w:t>穩</w:t>
      </w:r>
      <w:r w:rsidR="00896A4C">
        <w:rPr>
          <w:rFonts w:hint="eastAsia"/>
          <w:lang w:eastAsia="zh-HK"/>
        </w:rPr>
        <w:t>，</w:t>
      </w:r>
      <w:r w:rsidRPr="00644C86">
        <w:rPr>
          <w:rFonts w:hint="eastAsia"/>
        </w:rPr>
        <w:t>租金保持強韌。</w:t>
      </w:r>
    </w:p>
    <w:p w14:paraId="64702988" w14:textId="5D13A26A" w:rsidR="00540201" w:rsidRDefault="00540201" w:rsidP="0013042F">
      <w:pPr>
        <w:pStyle w:val="a0"/>
        <w:rPr>
          <w:lang w:eastAsia="zh-HK"/>
        </w:rPr>
      </w:pPr>
      <w:r w:rsidRPr="000B0F90">
        <w:t>反映政府增加</w:t>
      </w:r>
      <w:r w:rsidRPr="000B0F90">
        <w:rPr>
          <w:rFonts w:hint="eastAsia"/>
        </w:rPr>
        <w:t>住宅</w:t>
      </w:r>
      <w:r w:rsidRPr="000B0F90">
        <w:t>供應的持續努力</w:t>
      </w:r>
      <w:r w:rsidRPr="000B0F90">
        <w:rPr>
          <w:rFonts w:hint="eastAsia"/>
        </w:rPr>
        <w:t>，未來三至四年一手私人住宅單位總供應量</w:t>
      </w:r>
      <w:r>
        <w:rPr>
          <w:rFonts w:hint="eastAsia"/>
        </w:rPr>
        <w:t>會</w:t>
      </w:r>
      <w:r w:rsidRPr="000B0F90">
        <w:rPr>
          <w:rFonts w:hint="eastAsia"/>
        </w:rPr>
        <w:t>維持</w:t>
      </w:r>
      <w:r w:rsidRPr="00342BFF">
        <w:rPr>
          <w:rFonts w:hint="eastAsia"/>
          <w:spacing w:val="36"/>
        </w:rPr>
        <w:t>高水平</w:t>
      </w:r>
      <w:r w:rsidRPr="00342BFF">
        <w:rPr>
          <w:rFonts w:ascii="細明體" w:eastAsia="細明體" w:hAnsi="細明體" w:hint="eastAsia"/>
          <w:spacing w:val="36"/>
        </w:rPr>
        <w:t>，</w:t>
      </w:r>
      <w:r w:rsidRPr="00342BFF">
        <w:rPr>
          <w:rFonts w:hint="eastAsia"/>
          <w:spacing w:val="36"/>
        </w:rPr>
        <w:t>按</w:t>
      </w:r>
      <w:r>
        <w:rPr>
          <w:rFonts w:hint="eastAsia"/>
          <w:spacing w:val="36"/>
          <w:lang w:eastAsia="zh-HK"/>
        </w:rPr>
        <w:t>六月</w:t>
      </w:r>
      <w:r w:rsidRPr="00342BFF">
        <w:rPr>
          <w:rFonts w:hint="eastAsia"/>
          <w:spacing w:val="36"/>
        </w:rPr>
        <w:t>底估算</w:t>
      </w:r>
      <w:r w:rsidRPr="00F3129D">
        <w:rPr>
          <w:rFonts w:hint="eastAsia"/>
        </w:rPr>
        <w:t>達</w:t>
      </w:r>
      <w:r w:rsidR="00F3129D" w:rsidRPr="005C0E6B">
        <w:rPr>
          <w:rFonts w:hint="eastAsia"/>
        </w:rPr>
        <w:t>10</w:t>
      </w:r>
      <w:r w:rsidR="004870C8">
        <w:t>1</w:t>
      </w:r>
      <w:r w:rsidR="00F3129D" w:rsidRPr="00F3129D">
        <w:t> </w:t>
      </w:r>
      <w:r w:rsidRPr="005C0E6B">
        <w:rPr>
          <w:rFonts w:hint="eastAsia"/>
        </w:rPr>
        <w:t>000</w:t>
      </w:r>
      <w:r w:rsidRPr="005C0E6B">
        <w:rPr>
          <w:rFonts w:hint="eastAsia"/>
        </w:rPr>
        <w:t>個</w:t>
      </w:r>
      <w:r w:rsidR="00ED24F1" w:rsidRPr="00974DFD">
        <w:rPr>
          <w:rFonts w:hint="eastAsia"/>
        </w:rPr>
        <w:t>單位</w:t>
      </w:r>
      <w:r w:rsidRPr="000B0F90">
        <w:rPr>
          <w:rFonts w:hint="eastAsia"/>
        </w:rPr>
        <w:t>。</w:t>
      </w:r>
    </w:p>
    <w:p w14:paraId="3DF645B6" w14:textId="4EC1A7B8" w:rsidR="00540201" w:rsidRDefault="00540201" w:rsidP="0013042F">
      <w:pPr>
        <w:pStyle w:val="a0"/>
      </w:pPr>
      <w:r w:rsidRPr="005C0E6B">
        <w:rPr>
          <w:rFonts w:hint="eastAsia"/>
        </w:rPr>
        <w:t>非住宅物業市場</w:t>
      </w:r>
      <w:r>
        <w:rPr>
          <w:rFonts w:hint="eastAsia"/>
          <w:lang w:eastAsia="zh-HK"/>
        </w:rPr>
        <w:t>方面，</w:t>
      </w:r>
      <w:r w:rsidRPr="005C0E6B">
        <w:rPr>
          <w:rFonts w:hint="eastAsia"/>
        </w:rPr>
        <w:t>售價和租金</w:t>
      </w:r>
      <w:r w:rsidR="00001157">
        <w:rPr>
          <w:rFonts w:hint="eastAsia"/>
          <w:lang w:eastAsia="zh-HK"/>
        </w:rPr>
        <w:t>在第二季</w:t>
      </w:r>
      <w:r w:rsidR="009830DB" w:rsidRPr="009830DB">
        <w:rPr>
          <w:lang w:val="en-US"/>
        </w:rPr>
        <w:t>仍然偏軟</w:t>
      </w:r>
      <w:r w:rsidRPr="005C0E6B">
        <w:rPr>
          <w:rFonts w:hint="eastAsia"/>
        </w:rPr>
        <w:t>，</w:t>
      </w:r>
      <w:r w:rsidR="009830DB" w:rsidRPr="00F84D33">
        <w:rPr>
          <w:rFonts w:hint="eastAsia"/>
        </w:rPr>
        <w:t>所有</w:t>
      </w:r>
      <w:r w:rsidRPr="005C0E6B">
        <w:rPr>
          <w:rFonts w:hint="eastAsia"/>
        </w:rPr>
        <w:t>主要市場環節的交投活動</w:t>
      </w:r>
      <w:r w:rsidR="005A3C62">
        <w:rPr>
          <w:rFonts w:hint="eastAsia"/>
        </w:rPr>
        <w:t>則</w:t>
      </w:r>
      <w:r w:rsidR="00460BED">
        <w:rPr>
          <w:rFonts w:hint="eastAsia"/>
        </w:rPr>
        <w:t>有所</w:t>
      </w:r>
      <w:r w:rsidRPr="005C0E6B">
        <w:rPr>
          <w:rFonts w:hint="eastAsia"/>
        </w:rPr>
        <w:t>增加。</w:t>
      </w:r>
    </w:p>
    <w:p w14:paraId="248FB441" w14:textId="256746FF" w:rsidR="00850A9C" w:rsidRDefault="00EA1AA0" w:rsidP="00850A9C">
      <w:pPr>
        <w:pStyle w:val="a0"/>
      </w:pPr>
      <w:r>
        <w:rPr>
          <w:rFonts w:hint="eastAsia"/>
          <w:lang w:eastAsia="zh-HK"/>
        </w:rPr>
        <w:t>訪港</w:t>
      </w:r>
      <w:r w:rsidR="00850A9C" w:rsidRPr="000E6E1D">
        <w:rPr>
          <w:lang w:eastAsia="zh-HK"/>
        </w:rPr>
        <w:t>旅遊</w:t>
      </w:r>
      <w:r>
        <w:rPr>
          <w:rFonts w:hint="eastAsia"/>
          <w:lang w:eastAsia="zh-HK"/>
        </w:rPr>
        <w:t>業</w:t>
      </w:r>
      <w:r w:rsidR="00850A9C" w:rsidRPr="00B047CF">
        <w:rPr>
          <w:rFonts w:hint="eastAsia"/>
          <w:lang w:eastAsia="zh-HK"/>
        </w:rPr>
        <w:t>進一步</w:t>
      </w:r>
      <w:r w:rsidR="00850A9C">
        <w:rPr>
          <w:rFonts w:hint="eastAsia"/>
        </w:rPr>
        <w:t>向好</w:t>
      </w:r>
      <w:r w:rsidR="00850A9C" w:rsidRPr="000E6E1D">
        <w:rPr>
          <w:rFonts w:hint="eastAsia"/>
          <w:lang w:eastAsia="zh-HK"/>
        </w:rPr>
        <w:t>。訪港旅客</w:t>
      </w:r>
      <w:r w:rsidR="00850A9C" w:rsidRPr="007302ED">
        <w:rPr>
          <w:rFonts w:hint="eastAsia"/>
          <w:lang w:eastAsia="zh-HK"/>
        </w:rPr>
        <w:t>人次</w:t>
      </w:r>
      <w:r w:rsidR="00850A9C">
        <w:rPr>
          <w:rFonts w:hint="eastAsia"/>
          <w:lang w:eastAsia="zh-HK"/>
        </w:rPr>
        <w:t>在第二季按</w:t>
      </w:r>
      <w:r w:rsidR="00850A9C" w:rsidRPr="000E6E1D">
        <w:rPr>
          <w:rFonts w:hint="eastAsia"/>
          <w:lang w:eastAsia="zh-HK"/>
        </w:rPr>
        <w:t>年上升</w:t>
      </w:r>
      <w:r w:rsidR="00850A9C" w:rsidRPr="007302ED">
        <w:rPr>
          <w:rFonts w:hint="eastAsia"/>
          <w:lang w:eastAsia="zh-HK"/>
        </w:rPr>
        <w:t>15.0%</w:t>
      </w:r>
      <w:r w:rsidR="00850A9C" w:rsidRPr="007302ED">
        <w:rPr>
          <w:rFonts w:hint="eastAsia"/>
          <w:lang w:eastAsia="zh-HK"/>
        </w:rPr>
        <w:t>至</w:t>
      </w:r>
      <w:r w:rsidR="00850A9C" w:rsidRPr="007302ED">
        <w:rPr>
          <w:rFonts w:hint="eastAsia"/>
          <w:lang w:eastAsia="zh-HK"/>
        </w:rPr>
        <w:t>1</w:t>
      </w:r>
      <w:r w:rsidR="00850A9C">
        <w:rPr>
          <w:lang w:val="en-US" w:eastAsia="zh-HK"/>
        </w:rPr>
        <w:t> </w:t>
      </w:r>
      <w:r w:rsidR="00850A9C" w:rsidRPr="007302ED">
        <w:rPr>
          <w:rFonts w:hint="eastAsia"/>
          <w:lang w:eastAsia="zh-HK"/>
        </w:rPr>
        <w:t>140</w:t>
      </w:r>
      <w:r w:rsidR="00850A9C">
        <w:rPr>
          <w:lang w:val="en-US" w:eastAsia="zh-HK"/>
        </w:rPr>
        <w:t> </w:t>
      </w:r>
      <w:r w:rsidR="00850A9C" w:rsidRPr="007302ED">
        <w:rPr>
          <w:rFonts w:hint="eastAsia"/>
          <w:lang w:eastAsia="zh-HK"/>
        </w:rPr>
        <w:t>萬人次</w:t>
      </w:r>
      <w:r w:rsidR="00850A9C">
        <w:rPr>
          <w:rFonts w:hint="eastAsia"/>
          <w:lang w:eastAsia="zh-HK"/>
        </w:rPr>
        <w:t>。</w:t>
      </w:r>
    </w:p>
    <w:p w14:paraId="5D6A32AB" w14:textId="7FF4FAC5" w:rsidR="00540201" w:rsidRPr="00C16806" w:rsidRDefault="00540201" w:rsidP="0013042F">
      <w:pPr>
        <w:pStyle w:val="a0"/>
      </w:pPr>
      <w:r w:rsidRPr="007302ED">
        <w:rPr>
          <w:rFonts w:hint="eastAsia"/>
        </w:rPr>
        <w:t>物流業</w:t>
      </w:r>
      <w:r>
        <w:rPr>
          <w:rFonts w:hint="eastAsia"/>
          <w:lang w:eastAsia="zh-HK"/>
        </w:rPr>
        <w:t>各個</w:t>
      </w:r>
      <w:r w:rsidRPr="007302ED">
        <w:rPr>
          <w:rFonts w:hint="eastAsia"/>
        </w:rPr>
        <w:t>主要環節在第二季表現</w:t>
      </w:r>
      <w:r w:rsidR="005A3C62">
        <w:rPr>
          <w:rFonts w:hint="eastAsia"/>
        </w:rPr>
        <w:t>各異</w:t>
      </w:r>
      <w:r w:rsidRPr="007302ED">
        <w:rPr>
          <w:rFonts w:hint="eastAsia"/>
        </w:rPr>
        <w:t>。</w:t>
      </w:r>
      <w:r w:rsidRPr="00770B62">
        <w:t>空運吞吐量</w:t>
      </w:r>
      <w:r>
        <w:rPr>
          <w:rFonts w:hint="eastAsia"/>
          <w:lang w:eastAsia="zh-HK"/>
        </w:rPr>
        <w:t>和</w:t>
      </w:r>
      <w:r w:rsidRPr="00DB04B5">
        <w:rPr>
          <w:rFonts w:hint="eastAsia"/>
        </w:rPr>
        <w:t>整體路運貨物吞吐量</w:t>
      </w:r>
      <w:r>
        <w:rPr>
          <w:rFonts w:hint="eastAsia"/>
          <w:lang w:eastAsia="zh-HK"/>
        </w:rPr>
        <w:t>分別按年上升</w:t>
      </w:r>
      <w:r>
        <w:rPr>
          <w:rFonts w:hint="eastAsia"/>
        </w:rPr>
        <w:t>0.8</w:t>
      </w:r>
      <w:r w:rsidRPr="008B40F2">
        <w:t>%</w:t>
      </w:r>
      <w:r>
        <w:rPr>
          <w:rFonts w:hint="eastAsia"/>
          <w:lang w:eastAsia="zh-HK"/>
        </w:rPr>
        <w:t>和</w:t>
      </w:r>
      <w:r w:rsidR="004870C8">
        <w:t>7.0</w:t>
      </w:r>
      <w:r>
        <w:rPr>
          <w:rFonts w:hint="eastAsia"/>
        </w:rPr>
        <w:t>%</w:t>
      </w:r>
      <w:r>
        <w:rPr>
          <w:rFonts w:hint="eastAsia"/>
          <w:lang w:eastAsia="zh-HK"/>
        </w:rPr>
        <w:t>，</w:t>
      </w:r>
      <w:r w:rsidRPr="00906824">
        <w:rPr>
          <w:rFonts w:hint="eastAsia"/>
        </w:rPr>
        <w:t>整體貨櫃吞吐量</w:t>
      </w:r>
      <w:r>
        <w:rPr>
          <w:rFonts w:hint="eastAsia"/>
          <w:lang w:eastAsia="zh-HK"/>
        </w:rPr>
        <w:t>則</w:t>
      </w:r>
      <w:r w:rsidR="00784320">
        <w:rPr>
          <w:rFonts w:hint="eastAsia"/>
        </w:rPr>
        <w:t>重回</w:t>
      </w:r>
      <w:r w:rsidR="00974DFD" w:rsidRPr="00FB76C9">
        <w:rPr>
          <w:rFonts w:hint="eastAsia"/>
        </w:rPr>
        <w:t>下</w:t>
      </w:r>
      <w:r w:rsidR="00784320">
        <w:rPr>
          <w:rFonts w:hint="eastAsia"/>
        </w:rPr>
        <w:t>行趨勢</w:t>
      </w:r>
      <w:r w:rsidR="003F7FC6" w:rsidRPr="003F7FC6">
        <w:rPr>
          <w:lang w:val="en-US" w:eastAsia="zh-HK"/>
        </w:rPr>
        <w:t>，錄得</w:t>
      </w:r>
      <w:r w:rsidR="003F7FC6" w:rsidRPr="003F7FC6">
        <w:rPr>
          <w:lang w:val="en-US" w:eastAsia="zh-HK"/>
        </w:rPr>
        <w:t>7.7%</w:t>
      </w:r>
      <w:r w:rsidR="003F7FC6" w:rsidRPr="003F7FC6">
        <w:rPr>
          <w:lang w:val="en-US" w:eastAsia="zh-HK"/>
        </w:rPr>
        <w:t>的跌幅</w:t>
      </w:r>
      <w:r w:rsidRPr="00C16806">
        <w:rPr>
          <w:rFonts w:hint="eastAsia"/>
        </w:rPr>
        <w:t>。</w:t>
      </w:r>
    </w:p>
    <w:p w14:paraId="4E26BA37" w14:textId="77777777" w:rsidR="00540201" w:rsidRDefault="00540201" w:rsidP="002F2F8C">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7E84A041" w14:textId="77777777" w:rsidR="00540201" w:rsidRPr="00AA7EF0" w:rsidRDefault="00540201" w:rsidP="0013042F">
      <w:pPr>
        <w:pStyle w:val="120"/>
      </w:pPr>
      <w:r w:rsidRPr="00AA7EF0">
        <w:rPr>
          <w:rFonts w:hint="eastAsia"/>
        </w:rPr>
        <w:lastRenderedPageBreak/>
        <w:t>物業</w:t>
      </w:r>
    </w:p>
    <w:p w14:paraId="4104CC35" w14:textId="1E934E46" w:rsidR="00540201" w:rsidRPr="00E43246" w:rsidRDefault="00540201" w:rsidP="0013042F">
      <w:pPr>
        <w:rPr>
          <w:highlight w:val="cyan"/>
        </w:rPr>
      </w:pPr>
      <w:r w:rsidRPr="00AA7EF0">
        <w:rPr>
          <w:b/>
        </w:rPr>
        <w:t>3</w:t>
      </w:r>
      <w:r w:rsidRPr="00AA7EF0">
        <w:rPr>
          <w:rFonts w:hint="eastAsia"/>
          <w:b/>
        </w:rPr>
        <w:t>.1</w:t>
      </w:r>
      <w:r w:rsidRPr="00AA7EF0">
        <w:tab/>
      </w:r>
      <w:r w:rsidRPr="00C05F8C">
        <w:rPr>
          <w:rFonts w:hint="eastAsia"/>
          <w:i/>
        </w:rPr>
        <w:t>住宅物業市場</w:t>
      </w:r>
      <w:r w:rsidRPr="00C05F8C">
        <w:rPr>
          <w:rFonts w:hint="eastAsia"/>
        </w:rPr>
        <w:t>在二零二五年第二季</w:t>
      </w:r>
      <w:r w:rsidR="004870C8" w:rsidRPr="004870C8">
        <w:rPr>
          <w:rFonts w:hint="eastAsia"/>
        </w:rPr>
        <w:t>略見回</w:t>
      </w:r>
      <w:r w:rsidRPr="00C05F8C">
        <w:rPr>
          <w:rFonts w:hint="eastAsia"/>
        </w:rPr>
        <w:t>穩。</w:t>
      </w:r>
      <w:r w:rsidR="00326957" w:rsidRPr="001428D7">
        <w:rPr>
          <w:rFonts w:hint="eastAsia"/>
        </w:rPr>
        <w:t>隨</w:t>
      </w:r>
      <w:r w:rsidR="00EA1AA0">
        <w:rPr>
          <w:rFonts w:hint="eastAsia"/>
          <w:lang w:eastAsia="zh-HK"/>
        </w:rPr>
        <w:t>着</w:t>
      </w:r>
      <w:r w:rsidR="00326957" w:rsidRPr="00BF68DE">
        <w:rPr>
          <w:rFonts w:hint="eastAsia"/>
        </w:rPr>
        <w:t>外圍環境</w:t>
      </w:r>
      <w:r w:rsidR="002B62EE" w:rsidRPr="004007B4">
        <w:t>的</w:t>
      </w:r>
      <w:r w:rsidR="00326957" w:rsidRPr="00BF68DE">
        <w:rPr>
          <w:rFonts w:hint="eastAsia"/>
        </w:rPr>
        <w:t>不確定性有所緩解</w:t>
      </w:r>
      <w:r w:rsidR="00326957" w:rsidRPr="00644C86">
        <w:rPr>
          <w:rFonts w:hint="eastAsia"/>
        </w:rPr>
        <w:t>，</w:t>
      </w:r>
      <w:r w:rsidR="00326957" w:rsidRPr="00BF68DE">
        <w:t>尤其是在</w:t>
      </w:r>
      <w:r w:rsidR="00326957" w:rsidRPr="001428D7">
        <w:rPr>
          <w:rFonts w:hint="eastAsia"/>
        </w:rPr>
        <w:t>港元銀行同業拆息</w:t>
      </w:r>
      <w:r w:rsidR="00326957">
        <w:rPr>
          <w:rFonts w:hint="eastAsia"/>
        </w:rPr>
        <w:t>於</w:t>
      </w:r>
      <w:r w:rsidR="00326957" w:rsidRPr="00644C86">
        <w:rPr>
          <w:rFonts w:hint="eastAsia"/>
        </w:rPr>
        <w:t>五</w:t>
      </w:r>
      <w:r w:rsidR="00326957">
        <w:rPr>
          <w:rFonts w:hint="eastAsia"/>
        </w:rPr>
        <w:t>月急跌</w:t>
      </w:r>
      <w:r w:rsidR="00326957" w:rsidRPr="001428D7">
        <w:rPr>
          <w:rFonts w:hint="eastAsia"/>
        </w:rPr>
        <w:t>帶動按揭利率</w:t>
      </w:r>
      <w:r w:rsidR="00326957">
        <w:rPr>
          <w:rFonts w:hint="eastAsia"/>
        </w:rPr>
        <w:t>向下</w:t>
      </w:r>
      <w:r w:rsidR="002B62EE">
        <w:rPr>
          <w:rFonts w:hint="eastAsia"/>
        </w:rPr>
        <w:t>後</w:t>
      </w:r>
      <w:r w:rsidR="005A3C62">
        <w:rPr>
          <w:rFonts w:hint="eastAsia"/>
        </w:rPr>
        <w:t>，</w:t>
      </w:r>
      <w:r w:rsidR="005A3C62" w:rsidRPr="00974DFD">
        <w:rPr>
          <w:rFonts w:hint="eastAsia"/>
        </w:rPr>
        <w:t>市場氣氛</w:t>
      </w:r>
      <w:r w:rsidR="005F22AC">
        <w:rPr>
          <w:rFonts w:hint="eastAsia"/>
        </w:rPr>
        <w:t>繼</w:t>
      </w:r>
      <w:r w:rsidR="005A3C62" w:rsidRPr="00974DFD">
        <w:rPr>
          <w:rFonts w:hint="eastAsia"/>
        </w:rPr>
        <w:t>續改善</w:t>
      </w:r>
      <w:r w:rsidRPr="00C05F8C">
        <w:rPr>
          <w:rFonts w:hint="eastAsia"/>
        </w:rPr>
        <w:t>。</w:t>
      </w:r>
      <w:r w:rsidRPr="00C77FE0">
        <w:rPr>
          <w:rFonts w:hint="eastAsia"/>
        </w:rPr>
        <w:t>交投活動</w:t>
      </w:r>
      <w:r w:rsidR="004724AC">
        <w:rPr>
          <w:rFonts w:hint="eastAsia"/>
          <w:lang w:eastAsia="zh-HK"/>
        </w:rPr>
        <w:t>轉趨</w:t>
      </w:r>
      <w:r w:rsidRPr="00C05F8C">
        <w:rPr>
          <w:rFonts w:hint="eastAsia"/>
        </w:rPr>
        <w:t>活躍。住宅售價大致</w:t>
      </w:r>
      <w:r w:rsidR="00DC4980">
        <w:rPr>
          <w:rFonts w:hint="eastAsia"/>
          <w:lang w:eastAsia="zh-HK"/>
        </w:rPr>
        <w:t>企</w:t>
      </w:r>
      <w:r w:rsidRPr="00C05F8C">
        <w:rPr>
          <w:rFonts w:hint="eastAsia"/>
        </w:rPr>
        <w:t>穩</w:t>
      </w:r>
      <w:r w:rsidR="00476EA0">
        <w:rPr>
          <w:rFonts w:hint="eastAsia"/>
          <w:lang w:eastAsia="zh-HK"/>
        </w:rPr>
        <w:t>，</w:t>
      </w:r>
      <w:r w:rsidRPr="00F95D72">
        <w:rPr>
          <w:rFonts w:hint="eastAsia"/>
        </w:rPr>
        <w:t>租金</w:t>
      </w:r>
      <w:r w:rsidRPr="00C05F8C">
        <w:rPr>
          <w:rFonts w:hint="eastAsia"/>
        </w:rPr>
        <w:t>保持強韌。</w:t>
      </w:r>
    </w:p>
    <w:p w14:paraId="272131AE" w14:textId="70DAD322" w:rsidR="00540201" w:rsidRDefault="00540201" w:rsidP="0013042F">
      <w:r w:rsidRPr="007D291E">
        <w:rPr>
          <w:b/>
        </w:rPr>
        <w:t>3</w:t>
      </w:r>
      <w:r w:rsidRPr="007D291E">
        <w:rPr>
          <w:rFonts w:hint="eastAsia"/>
          <w:b/>
        </w:rPr>
        <w:t>.2</w:t>
      </w:r>
      <w:r w:rsidRPr="007D291E">
        <w:tab/>
      </w:r>
      <w:r w:rsidRPr="007D291E">
        <w:rPr>
          <w:rFonts w:hint="eastAsia"/>
        </w:rPr>
        <w:t>第</w:t>
      </w:r>
      <w:r w:rsidRPr="00A905F3">
        <w:rPr>
          <w:rFonts w:hint="eastAsia"/>
        </w:rPr>
        <w:t>二</w:t>
      </w:r>
      <w:r w:rsidRPr="007D291E">
        <w:rPr>
          <w:rFonts w:hint="eastAsia"/>
        </w:rPr>
        <w:t>季送交土地註冊處註冊的住宅物業買賣合約總數</w:t>
      </w:r>
      <w:r>
        <w:rPr>
          <w:rFonts w:hint="eastAsia"/>
        </w:rPr>
        <w:t>較</w:t>
      </w:r>
      <w:r w:rsidRPr="007D291E">
        <w:rPr>
          <w:rFonts w:hint="eastAsia"/>
        </w:rPr>
        <w:t>上一季</w:t>
      </w:r>
      <w:r w:rsidRPr="00A905F3">
        <w:rPr>
          <w:rFonts w:hint="eastAsia"/>
        </w:rPr>
        <w:t>顯著</w:t>
      </w:r>
      <w:r w:rsidRPr="004E4E59">
        <w:rPr>
          <w:rFonts w:hint="eastAsia"/>
        </w:rPr>
        <w:t>反彈</w:t>
      </w:r>
      <w:r w:rsidRPr="00A905F3">
        <w:rPr>
          <w:rFonts w:hint="eastAsia"/>
        </w:rPr>
        <w:t>37%</w:t>
      </w:r>
      <w:r w:rsidRPr="007D291E">
        <w:rPr>
          <w:rFonts w:hint="eastAsia"/>
        </w:rPr>
        <w:t>至</w:t>
      </w:r>
      <w:r w:rsidRPr="00A905F3">
        <w:rPr>
          <w:rFonts w:hint="eastAsia"/>
        </w:rPr>
        <w:t>16</w:t>
      </w:r>
      <w:r>
        <w:t> </w:t>
      </w:r>
      <w:r w:rsidR="00764674">
        <w:t>75</w:t>
      </w:r>
      <w:r w:rsidRPr="00A905F3">
        <w:rPr>
          <w:rFonts w:hint="eastAsia"/>
        </w:rPr>
        <w:t>4</w:t>
      </w:r>
      <w:r w:rsidRPr="007D291E">
        <w:rPr>
          <w:rFonts w:hint="eastAsia"/>
          <w:lang w:eastAsia="zh-HK"/>
        </w:rPr>
        <w:t>份</w:t>
      </w:r>
      <w:r>
        <w:rPr>
          <w:rFonts w:hint="eastAsia"/>
          <w:lang w:eastAsia="zh-HK"/>
        </w:rPr>
        <w:t>，</w:t>
      </w:r>
      <w:r w:rsidR="00784320">
        <w:rPr>
          <w:rFonts w:hint="eastAsia"/>
          <w:lang w:eastAsia="zh-HK"/>
        </w:rPr>
        <w:t>較</w:t>
      </w:r>
      <w:r w:rsidRPr="00A905F3">
        <w:rPr>
          <w:rFonts w:hint="eastAsia"/>
        </w:rPr>
        <w:t>一年前取消所有住宅物業</w:t>
      </w:r>
      <w:r w:rsidRPr="00E31F2D">
        <w:rPr>
          <w:rFonts w:hint="eastAsia"/>
        </w:rPr>
        <w:t>需求管理措施</w:t>
      </w:r>
      <w:r w:rsidRPr="00A905F3">
        <w:rPr>
          <w:rFonts w:hint="eastAsia"/>
        </w:rPr>
        <w:t>後的高</w:t>
      </w:r>
      <w:r w:rsidR="005A3C62">
        <w:rPr>
          <w:rFonts w:hint="eastAsia"/>
        </w:rPr>
        <w:t>成交</w:t>
      </w:r>
      <w:r w:rsidRPr="00A905F3">
        <w:rPr>
          <w:rFonts w:hint="eastAsia"/>
        </w:rPr>
        <w:t>水平</w:t>
      </w:r>
      <w:r>
        <w:rPr>
          <w:rFonts w:hint="eastAsia"/>
          <w:lang w:eastAsia="zh-HK"/>
        </w:rPr>
        <w:t>僅低</w:t>
      </w:r>
      <w:r w:rsidR="00ED6172">
        <w:rPr>
          <w:lang w:eastAsia="zh-HK"/>
        </w:rPr>
        <w:t> </w:t>
      </w:r>
      <w:r w:rsidRPr="00A905F3">
        <w:rPr>
          <w:rFonts w:hint="eastAsia"/>
        </w:rPr>
        <w:t>7%</w:t>
      </w:r>
      <w:r w:rsidRPr="00A905F3">
        <w:rPr>
          <w:rFonts w:hint="eastAsia"/>
        </w:rPr>
        <w:t>。</w:t>
      </w:r>
      <w:r w:rsidRPr="007D291E">
        <w:rPr>
          <w:rFonts w:hint="eastAsia"/>
          <w:lang w:eastAsia="zh-HK"/>
        </w:rPr>
        <w:t>當中，</w:t>
      </w:r>
      <w:r w:rsidRPr="007D291E">
        <w:rPr>
          <w:rFonts w:hint="eastAsia"/>
        </w:rPr>
        <w:t>一手</w:t>
      </w:r>
      <w:r>
        <w:rPr>
          <w:rFonts w:hint="eastAsia"/>
          <w:lang w:eastAsia="zh-HK"/>
        </w:rPr>
        <w:t>和</w:t>
      </w:r>
      <w:r w:rsidRPr="007D291E">
        <w:rPr>
          <w:rFonts w:hint="eastAsia"/>
          <w:lang w:eastAsia="zh-HK"/>
        </w:rPr>
        <w:t>二手市場交易</w:t>
      </w:r>
      <w:r w:rsidRPr="00A905F3">
        <w:rPr>
          <w:rFonts w:hint="eastAsia"/>
        </w:rPr>
        <w:t>均</w:t>
      </w:r>
      <w:r w:rsidR="005A3C62">
        <w:rPr>
          <w:rFonts w:hint="eastAsia"/>
        </w:rPr>
        <w:t>見</w:t>
      </w:r>
      <w:r>
        <w:rPr>
          <w:rFonts w:hint="eastAsia"/>
          <w:lang w:eastAsia="zh-HK"/>
        </w:rPr>
        <w:t>明</w:t>
      </w:r>
      <w:r w:rsidRPr="00A905F3">
        <w:rPr>
          <w:rFonts w:hint="eastAsia"/>
        </w:rPr>
        <w:t>顯反彈，</w:t>
      </w:r>
      <w:r w:rsidR="005A3C62">
        <w:rPr>
          <w:rFonts w:hint="eastAsia"/>
        </w:rPr>
        <w:t>分別</w:t>
      </w:r>
      <w:r w:rsidRPr="00A905F3">
        <w:rPr>
          <w:rFonts w:hint="eastAsia"/>
        </w:rPr>
        <w:t>較上一季上升</w:t>
      </w:r>
      <w:r w:rsidR="00ED6172">
        <w:t> </w:t>
      </w:r>
      <w:r w:rsidRPr="00A905F3">
        <w:rPr>
          <w:rFonts w:hint="eastAsia"/>
        </w:rPr>
        <w:t>40%</w:t>
      </w:r>
      <w:r w:rsidRPr="00A905F3">
        <w:rPr>
          <w:rFonts w:hint="eastAsia"/>
        </w:rPr>
        <w:t>和</w:t>
      </w:r>
      <w:r w:rsidR="00ED6172">
        <w:t> </w:t>
      </w:r>
      <w:r w:rsidRPr="00A905F3">
        <w:rPr>
          <w:rFonts w:hint="eastAsia"/>
        </w:rPr>
        <w:t>36%</w:t>
      </w:r>
      <w:r w:rsidRPr="00A905F3">
        <w:rPr>
          <w:rFonts w:hint="eastAsia"/>
        </w:rPr>
        <w:t>。</w:t>
      </w:r>
      <w:r w:rsidR="005A3C62" w:rsidRPr="00974DFD">
        <w:rPr>
          <w:rFonts w:hint="eastAsia"/>
        </w:rPr>
        <w:t>同期的</w:t>
      </w:r>
      <w:r w:rsidRPr="00F36072">
        <w:rPr>
          <w:rFonts w:hint="eastAsia"/>
        </w:rPr>
        <w:t>買賣合約總值</w:t>
      </w:r>
      <w:r w:rsidR="005A3C62">
        <w:rPr>
          <w:rFonts w:hint="eastAsia"/>
        </w:rPr>
        <w:t>亦</w:t>
      </w:r>
      <w:r w:rsidRPr="00A905F3">
        <w:rPr>
          <w:rFonts w:hint="eastAsia"/>
        </w:rPr>
        <w:t>躍升</w:t>
      </w:r>
      <w:r w:rsidRPr="00A905F3">
        <w:rPr>
          <w:rFonts w:hint="eastAsia"/>
        </w:rPr>
        <w:t>60%</w:t>
      </w:r>
      <w:r>
        <w:rPr>
          <w:rFonts w:hint="eastAsia"/>
          <w:lang w:eastAsia="zh-HK"/>
        </w:rPr>
        <w:t>至</w:t>
      </w:r>
      <w:r w:rsidR="00A24F24">
        <w:rPr>
          <w:lang w:val="en-GB" w:eastAsia="zh-HK"/>
        </w:rPr>
        <w:t> </w:t>
      </w:r>
      <w:r w:rsidRPr="00A905F3">
        <w:rPr>
          <w:rFonts w:hint="eastAsia"/>
        </w:rPr>
        <w:t>1,415</w:t>
      </w:r>
      <w:r w:rsidR="00ED6172">
        <w:t> </w:t>
      </w:r>
      <w:r w:rsidRPr="00A905F3">
        <w:rPr>
          <w:rFonts w:hint="eastAsia"/>
        </w:rPr>
        <w:t>億元，</w:t>
      </w:r>
      <w:r w:rsidR="005A3C62">
        <w:rPr>
          <w:rFonts w:hint="eastAsia"/>
        </w:rPr>
        <w:t>不過</w:t>
      </w:r>
      <w:r w:rsidRPr="00A905F3">
        <w:rPr>
          <w:rFonts w:hint="eastAsia"/>
        </w:rPr>
        <w:t>仍較</w:t>
      </w:r>
      <w:r>
        <w:rPr>
          <w:rFonts w:hint="eastAsia"/>
          <w:lang w:eastAsia="zh-HK"/>
        </w:rPr>
        <w:t>一</w:t>
      </w:r>
      <w:r w:rsidRPr="00A905F3">
        <w:rPr>
          <w:rFonts w:hint="eastAsia"/>
        </w:rPr>
        <w:t>年</w:t>
      </w:r>
      <w:r>
        <w:rPr>
          <w:rFonts w:hint="eastAsia"/>
          <w:lang w:eastAsia="zh-HK"/>
        </w:rPr>
        <w:t>前</w:t>
      </w:r>
      <w:r w:rsidRPr="00A905F3">
        <w:rPr>
          <w:rFonts w:hint="eastAsia"/>
        </w:rPr>
        <w:t>低約</w:t>
      </w:r>
      <w:r w:rsidRPr="00A905F3">
        <w:rPr>
          <w:rFonts w:hint="eastAsia"/>
        </w:rPr>
        <w:t>14%</w:t>
      </w:r>
      <w:r w:rsidRPr="00A905F3">
        <w:rPr>
          <w:rFonts w:hint="eastAsia"/>
        </w:rPr>
        <w:t>。</w:t>
      </w:r>
    </w:p>
    <w:p w14:paraId="4B0BF0E0" w14:textId="77777777" w:rsidR="001620C3" w:rsidRDefault="008E2204" w:rsidP="0013042F">
      <w:pPr>
        <w:rPr>
          <w:b/>
        </w:rPr>
      </w:pPr>
      <w:r w:rsidRPr="008E2204">
        <w:rPr>
          <w:b/>
          <w:noProof/>
        </w:rPr>
        <w:drawing>
          <wp:inline distT="0" distB="0" distL="0" distR="0" wp14:anchorId="0D79421D" wp14:editId="6FFA87C7">
            <wp:extent cx="5760085" cy="3516630"/>
            <wp:effectExtent l="0" t="0" r="0" b="762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16630"/>
                    </a:xfrm>
                    <a:prstGeom prst="rect">
                      <a:avLst/>
                    </a:prstGeom>
                    <a:noFill/>
                    <a:ln>
                      <a:noFill/>
                    </a:ln>
                  </pic:spPr>
                </pic:pic>
              </a:graphicData>
            </a:graphic>
          </wp:inline>
        </w:drawing>
      </w:r>
    </w:p>
    <w:p w14:paraId="5142CDB4" w14:textId="6953B321" w:rsidR="00540201" w:rsidRPr="008315F8" w:rsidRDefault="00540201" w:rsidP="0013042F">
      <w:pPr>
        <w:rPr>
          <w:sz w:val="32"/>
          <w:szCs w:val="28"/>
        </w:rPr>
      </w:pPr>
      <w:r w:rsidRPr="008315F8">
        <w:rPr>
          <w:b/>
        </w:rPr>
        <w:t>3.3</w:t>
      </w:r>
      <w:r w:rsidRPr="008315F8">
        <w:tab/>
      </w:r>
      <w:r w:rsidRPr="008315F8">
        <w:rPr>
          <w:rFonts w:hint="eastAsia"/>
        </w:rPr>
        <w:t>整體住宅售價</w:t>
      </w:r>
      <w:r>
        <w:rPr>
          <w:rFonts w:hint="eastAsia"/>
        </w:rPr>
        <w:t>大致</w:t>
      </w:r>
      <w:r w:rsidR="00DC4980">
        <w:rPr>
          <w:rFonts w:hint="eastAsia"/>
        </w:rPr>
        <w:t>企</w:t>
      </w:r>
      <w:r>
        <w:rPr>
          <w:rFonts w:hint="eastAsia"/>
        </w:rPr>
        <w:t>穩，</w:t>
      </w:r>
      <w:r w:rsidR="002F3D4E">
        <w:rPr>
          <w:rFonts w:hint="eastAsia"/>
          <w:lang w:eastAsia="zh-HK"/>
        </w:rPr>
        <w:t>在第</w:t>
      </w:r>
      <w:r w:rsidR="002F3D4E">
        <w:rPr>
          <w:rFonts w:hint="eastAsia"/>
        </w:rPr>
        <w:t>二</w:t>
      </w:r>
      <w:r w:rsidR="002F3D4E" w:rsidRPr="008315F8">
        <w:rPr>
          <w:rFonts w:hint="eastAsia"/>
          <w:lang w:eastAsia="zh-HK"/>
        </w:rPr>
        <w:t>季</w:t>
      </w:r>
      <w:r w:rsidR="002F3D4E">
        <w:rPr>
          <w:rFonts w:hint="eastAsia"/>
          <w:lang w:eastAsia="zh-HK"/>
        </w:rPr>
        <w:t>內</w:t>
      </w:r>
      <w:r>
        <w:rPr>
          <w:rFonts w:hint="eastAsia"/>
        </w:rPr>
        <w:t>回升</w:t>
      </w:r>
      <w:r w:rsidRPr="008315F8">
        <w:t> </w:t>
      </w:r>
      <w:r>
        <w:rPr>
          <w:rFonts w:hint="eastAsia"/>
        </w:rPr>
        <w:t>1</w:t>
      </w:r>
      <w:r w:rsidRPr="008315F8">
        <w:t>%</w:t>
      </w:r>
      <w:r w:rsidRPr="008315F8">
        <w:rPr>
          <w:rFonts w:hint="eastAsia"/>
        </w:rPr>
        <w:t>。按面積分析，中小型單位的售價</w:t>
      </w:r>
      <w:r w:rsidRPr="008315F8">
        <w:rPr>
          <w:rFonts w:hint="eastAsia"/>
          <w:lang w:eastAsia="zh-HK"/>
        </w:rPr>
        <w:t>在季內</w:t>
      </w:r>
      <w:r>
        <w:rPr>
          <w:rFonts w:hint="eastAsia"/>
        </w:rPr>
        <w:t>上升</w:t>
      </w:r>
      <w:r w:rsidRPr="008315F8">
        <w:t> </w:t>
      </w:r>
      <w:r>
        <w:rPr>
          <w:rFonts w:hint="eastAsia"/>
        </w:rPr>
        <w:t>1</w:t>
      </w:r>
      <w:r w:rsidRPr="008315F8">
        <w:t>%</w:t>
      </w:r>
      <w:r>
        <w:rPr>
          <w:rFonts w:hint="eastAsia"/>
        </w:rPr>
        <w:t>，</w:t>
      </w:r>
      <w:r w:rsidRPr="008315F8">
        <w:rPr>
          <w:rFonts w:hint="eastAsia"/>
        </w:rPr>
        <w:t>大型單位</w:t>
      </w:r>
      <w:r>
        <w:rPr>
          <w:rFonts w:hint="eastAsia"/>
        </w:rPr>
        <w:t>的售價則</w:t>
      </w:r>
      <w:r w:rsidR="00DC4980">
        <w:rPr>
          <w:rFonts w:hint="eastAsia"/>
        </w:rPr>
        <w:t>大抵持平</w:t>
      </w:r>
      <w:r w:rsidRPr="008315F8">
        <w:rPr>
          <w:rFonts w:hint="eastAsia"/>
        </w:rPr>
        <w:t>。</w:t>
      </w:r>
      <w:r>
        <w:rPr>
          <w:rFonts w:hint="eastAsia"/>
        </w:rPr>
        <w:t>六</w:t>
      </w:r>
      <w:r w:rsidRPr="008315F8">
        <w:rPr>
          <w:rFonts w:hint="eastAsia"/>
        </w:rPr>
        <w:t>月的住宅售價平均較</w:t>
      </w:r>
      <w:r w:rsidR="0027415A" w:rsidRPr="008315F8">
        <w:rPr>
          <w:rFonts w:hint="eastAsia"/>
        </w:rPr>
        <w:t>二零</w:t>
      </w:r>
      <w:r w:rsidR="0027415A">
        <w:rPr>
          <w:rFonts w:hint="eastAsia"/>
          <w:lang w:eastAsia="zh-HK"/>
        </w:rPr>
        <w:t>二四</w:t>
      </w:r>
      <w:r w:rsidR="0027415A" w:rsidRPr="008315F8">
        <w:rPr>
          <w:rFonts w:hint="eastAsia"/>
        </w:rPr>
        <w:t>年</w:t>
      </w:r>
      <w:r w:rsidR="0027415A">
        <w:rPr>
          <w:rFonts w:hint="eastAsia"/>
          <w:lang w:eastAsia="zh-HK"/>
        </w:rPr>
        <w:t>十二</w:t>
      </w:r>
      <w:r w:rsidR="0027415A" w:rsidRPr="008315F8">
        <w:rPr>
          <w:rFonts w:hint="eastAsia"/>
        </w:rPr>
        <w:t>月低</w:t>
      </w:r>
      <w:r w:rsidR="00996135">
        <w:t> </w:t>
      </w:r>
      <w:r w:rsidR="0027415A">
        <w:t>1</w:t>
      </w:r>
      <w:r w:rsidR="0027415A" w:rsidRPr="008315F8">
        <w:t>%</w:t>
      </w:r>
      <w:r w:rsidR="0027415A">
        <w:rPr>
          <w:rFonts w:hint="eastAsia"/>
        </w:rPr>
        <w:t>，</w:t>
      </w:r>
      <w:r w:rsidR="00784320">
        <w:rPr>
          <w:rFonts w:hint="eastAsia"/>
        </w:rPr>
        <w:t>相比</w:t>
      </w:r>
      <w:r w:rsidRPr="008315F8">
        <w:rPr>
          <w:rFonts w:hint="eastAsia"/>
        </w:rPr>
        <w:t>二零</w:t>
      </w:r>
      <w:r w:rsidRPr="008315F8">
        <w:rPr>
          <w:rFonts w:hint="eastAsia"/>
          <w:lang w:eastAsia="zh-HK"/>
        </w:rPr>
        <w:t>二一</w:t>
      </w:r>
      <w:r w:rsidRPr="008315F8">
        <w:rPr>
          <w:rFonts w:hint="eastAsia"/>
        </w:rPr>
        <w:t>年</w:t>
      </w:r>
      <w:r w:rsidRPr="008315F8">
        <w:rPr>
          <w:rFonts w:hint="eastAsia"/>
          <w:lang w:eastAsia="zh-HK"/>
        </w:rPr>
        <w:t>九</w:t>
      </w:r>
      <w:r w:rsidRPr="008315F8">
        <w:rPr>
          <w:rFonts w:hint="eastAsia"/>
        </w:rPr>
        <w:t>月的</w:t>
      </w:r>
      <w:r w:rsidR="00FA7416">
        <w:rPr>
          <w:rFonts w:hint="eastAsia"/>
        </w:rPr>
        <w:t>最</w:t>
      </w:r>
      <w:r w:rsidRPr="008315F8">
        <w:rPr>
          <w:rFonts w:hint="eastAsia"/>
        </w:rPr>
        <w:t>高位</w:t>
      </w:r>
      <w:r w:rsidR="00DC4980">
        <w:rPr>
          <w:rFonts w:hint="eastAsia"/>
        </w:rPr>
        <w:t>則</w:t>
      </w:r>
      <w:r w:rsidR="008E2204">
        <w:rPr>
          <w:rFonts w:hint="eastAsia"/>
          <w:lang w:val="en-GB"/>
        </w:rPr>
        <w:t>仍</w:t>
      </w:r>
      <w:r w:rsidRPr="008315F8">
        <w:rPr>
          <w:rFonts w:hint="eastAsia"/>
        </w:rPr>
        <w:t>低</w:t>
      </w:r>
      <w:r w:rsidRPr="008315F8">
        <w:t>2</w:t>
      </w:r>
      <w:r>
        <w:rPr>
          <w:rFonts w:hint="eastAsia"/>
        </w:rPr>
        <w:t>8</w:t>
      </w:r>
      <w:r w:rsidRPr="008315F8">
        <w:t>%</w:t>
      </w:r>
      <w:r w:rsidRPr="008315F8">
        <w:rPr>
          <w:rFonts w:hint="eastAsia"/>
        </w:rPr>
        <w:t>。</w:t>
      </w:r>
    </w:p>
    <w:p w14:paraId="0ADA58F9" w14:textId="100C35FD" w:rsidR="00540201" w:rsidRDefault="00540201" w:rsidP="0013042F">
      <w:r w:rsidRPr="008315F8">
        <w:rPr>
          <w:b/>
        </w:rPr>
        <w:t>3.4</w:t>
      </w:r>
      <w:r w:rsidRPr="008315F8">
        <w:tab/>
      </w:r>
      <w:r w:rsidRPr="008315F8">
        <w:rPr>
          <w:rFonts w:hint="eastAsia"/>
          <w:lang w:eastAsia="zh-HK"/>
        </w:rPr>
        <w:t>與此</w:t>
      </w:r>
      <w:r w:rsidRPr="008315F8">
        <w:rPr>
          <w:rFonts w:hint="eastAsia"/>
        </w:rPr>
        <w:t>同時，整體住宅租金</w:t>
      </w:r>
      <w:r w:rsidR="00BD3FA7">
        <w:rPr>
          <w:rFonts w:hint="eastAsia"/>
          <w:lang w:eastAsia="zh-HK"/>
        </w:rPr>
        <w:t>保</w:t>
      </w:r>
      <w:r w:rsidRPr="008315F8">
        <w:rPr>
          <w:rFonts w:hint="eastAsia"/>
          <w:lang w:eastAsia="zh-HK"/>
        </w:rPr>
        <w:t>持強韌</w:t>
      </w:r>
      <w:r w:rsidRPr="008315F8">
        <w:rPr>
          <w:rFonts w:hint="eastAsia"/>
        </w:rPr>
        <w:t>，在</w:t>
      </w:r>
      <w:r>
        <w:rPr>
          <w:rFonts w:hint="eastAsia"/>
        </w:rPr>
        <w:t>三至六月期間進一步上升</w:t>
      </w:r>
      <w:r w:rsidR="00E722FF">
        <w:t> </w:t>
      </w:r>
      <w:r>
        <w:rPr>
          <w:rFonts w:hint="eastAsia"/>
        </w:rPr>
        <w:t>1</w:t>
      </w:r>
      <w:r w:rsidRPr="008315F8">
        <w:rPr>
          <w:rFonts w:hint="eastAsia"/>
        </w:rPr>
        <w:t>%</w:t>
      </w:r>
      <w:r w:rsidRPr="008315F8">
        <w:rPr>
          <w:rFonts w:hint="eastAsia"/>
        </w:rPr>
        <w:t>。按面積分析，中小型單位和大型單位的租金分別</w:t>
      </w:r>
      <w:r>
        <w:rPr>
          <w:rFonts w:hint="eastAsia"/>
        </w:rPr>
        <w:t>上升</w:t>
      </w:r>
      <w:r w:rsidR="0027415A">
        <w:rPr>
          <w:lang w:val="en-GB"/>
        </w:rPr>
        <w:t> </w:t>
      </w:r>
      <w:r>
        <w:rPr>
          <w:rFonts w:hint="eastAsia"/>
        </w:rPr>
        <w:t>1</w:t>
      </w:r>
      <w:r w:rsidRPr="008315F8">
        <w:rPr>
          <w:rFonts w:hint="eastAsia"/>
        </w:rPr>
        <w:t>%</w:t>
      </w:r>
      <w:r w:rsidRPr="008315F8">
        <w:rPr>
          <w:rFonts w:hint="eastAsia"/>
        </w:rPr>
        <w:t>和</w:t>
      </w:r>
      <w:r>
        <w:rPr>
          <w:rFonts w:hint="eastAsia"/>
        </w:rPr>
        <w:t>2</w:t>
      </w:r>
      <w:r w:rsidRPr="008315F8">
        <w:rPr>
          <w:rFonts w:hint="eastAsia"/>
        </w:rPr>
        <w:t>%</w:t>
      </w:r>
      <w:r w:rsidRPr="008315F8">
        <w:rPr>
          <w:rFonts w:hint="eastAsia"/>
          <w:lang w:eastAsia="zh-HK"/>
        </w:rPr>
        <w:t>。</w:t>
      </w:r>
      <w:r w:rsidR="00396F46">
        <w:rPr>
          <w:rFonts w:hint="eastAsia"/>
        </w:rPr>
        <w:t>六月</w:t>
      </w:r>
      <w:r w:rsidR="00396F46" w:rsidRPr="00711D28">
        <w:rPr>
          <w:rFonts w:hint="eastAsia"/>
        </w:rPr>
        <w:t>的</w:t>
      </w:r>
      <w:r w:rsidR="00E626D3" w:rsidRPr="00E626D3">
        <w:rPr>
          <w:rFonts w:hint="eastAsia"/>
        </w:rPr>
        <w:t>整體</w:t>
      </w:r>
      <w:r w:rsidR="00396F46" w:rsidRPr="00711D28">
        <w:rPr>
          <w:rFonts w:hint="eastAsia"/>
        </w:rPr>
        <w:t>住宅</w:t>
      </w:r>
      <w:r w:rsidR="00396F46" w:rsidRPr="00711D28">
        <w:rPr>
          <w:rFonts w:hint="eastAsia"/>
          <w:lang w:eastAsia="zh-HK"/>
        </w:rPr>
        <w:t>租金平均</w:t>
      </w:r>
      <w:r w:rsidR="00396F46" w:rsidRPr="00711D28">
        <w:rPr>
          <w:rFonts w:hint="eastAsia"/>
        </w:rPr>
        <w:t>較</w:t>
      </w:r>
      <w:r w:rsidR="00396F46" w:rsidRPr="00711D28">
        <w:rPr>
          <w:rFonts w:hint="eastAsia"/>
          <w:lang w:eastAsia="zh-HK"/>
        </w:rPr>
        <w:t>二零二</w:t>
      </w:r>
      <w:r w:rsidR="00396F46">
        <w:rPr>
          <w:rFonts w:hint="eastAsia"/>
          <w:lang w:eastAsia="zh-HK"/>
        </w:rPr>
        <w:t>四</w:t>
      </w:r>
      <w:r w:rsidR="00396F46" w:rsidRPr="00711D28">
        <w:rPr>
          <w:rFonts w:hint="eastAsia"/>
          <w:lang w:eastAsia="zh-HK"/>
        </w:rPr>
        <w:t>年十二月高</w:t>
      </w:r>
      <w:r w:rsidR="00155E36">
        <w:rPr>
          <w:lang w:val="en-GB" w:eastAsia="zh-HK"/>
        </w:rPr>
        <w:t> </w:t>
      </w:r>
      <w:r w:rsidR="00396F46">
        <w:rPr>
          <w:rFonts w:hint="eastAsia"/>
        </w:rPr>
        <w:t>2</w:t>
      </w:r>
      <w:r w:rsidR="00396F46" w:rsidRPr="00711D28">
        <w:rPr>
          <w:rFonts w:hint="eastAsia"/>
        </w:rPr>
        <w:t>%</w:t>
      </w:r>
      <w:r w:rsidR="00396F46" w:rsidRPr="008315F8">
        <w:rPr>
          <w:rFonts w:hint="eastAsia"/>
        </w:rPr>
        <w:t>。</w:t>
      </w:r>
      <w:r>
        <w:rPr>
          <w:rFonts w:hint="eastAsia"/>
        </w:rPr>
        <w:t>六月的</w:t>
      </w:r>
      <w:r w:rsidRPr="008315F8">
        <w:rPr>
          <w:rFonts w:hint="eastAsia"/>
        </w:rPr>
        <w:t>住宅物業平均租金回報率</w:t>
      </w:r>
      <w:r>
        <w:rPr>
          <w:rFonts w:hint="eastAsia"/>
        </w:rPr>
        <w:t>維持在</w:t>
      </w:r>
      <w:r w:rsidR="00AB3E1F">
        <w:rPr>
          <w:lang w:val="en-GB"/>
        </w:rPr>
        <w:t> </w:t>
      </w:r>
      <w:r w:rsidRPr="008315F8">
        <w:t>3.</w:t>
      </w:r>
      <w:r>
        <w:rPr>
          <w:rFonts w:hint="eastAsia"/>
        </w:rPr>
        <w:t>2</w:t>
      </w:r>
      <w:r w:rsidRPr="008315F8">
        <w:t>%</w:t>
      </w:r>
      <w:r>
        <w:rPr>
          <w:rFonts w:hint="eastAsia"/>
        </w:rPr>
        <w:t>的水平不變</w:t>
      </w:r>
      <w:r w:rsidR="00784320">
        <w:rPr>
          <w:rFonts w:hint="eastAsia"/>
        </w:rPr>
        <w:t>，與三月相同</w:t>
      </w:r>
      <w:r w:rsidRPr="008315F8">
        <w:rPr>
          <w:rFonts w:hint="eastAsia"/>
        </w:rPr>
        <w:t>。</w:t>
      </w:r>
    </w:p>
    <w:p w14:paraId="1662579C" w14:textId="1C11C780" w:rsidR="0013042F" w:rsidRPr="00E813DF" w:rsidRDefault="001620C3" w:rsidP="0013042F">
      <w:pPr>
        <w:tabs>
          <w:tab w:val="left" w:pos="1080"/>
        </w:tabs>
        <w:rPr>
          <w:sz w:val="28"/>
          <w:szCs w:val="28"/>
          <w:lang w:val="en-GB"/>
        </w:rPr>
      </w:pPr>
      <w:r w:rsidRPr="001620C3">
        <w:rPr>
          <w:noProof/>
          <w:sz w:val="28"/>
          <w:szCs w:val="28"/>
        </w:rPr>
        <w:drawing>
          <wp:inline distT="0" distB="0" distL="0" distR="0" wp14:anchorId="3944DBC1" wp14:editId="0B08F32E">
            <wp:extent cx="5760085" cy="3508375"/>
            <wp:effectExtent l="0" t="0" r="0" b="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08375"/>
                    </a:xfrm>
                    <a:prstGeom prst="rect">
                      <a:avLst/>
                    </a:prstGeom>
                    <a:noFill/>
                    <a:ln>
                      <a:noFill/>
                    </a:ln>
                  </pic:spPr>
                </pic:pic>
              </a:graphicData>
            </a:graphic>
          </wp:inline>
        </w:drawing>
      </w:r>
    </w:p>
    <w:p w14:paraId="695A46D9" w14:textId="1B85B30B" w:rsidR="00540201" w:rsidRDefault="00540201" w:rsidP="0013042F">
      <w:r>
        <w:rPr>
          <w:b/>
        </w:rPr>
        <w:t>3</w:t>
      </w:r>
      <w:r>
        <w:rPr>
          <w:rFonts w:hint="eastAsia"/>
          <w:b/>
        </w:rPr>
        <w:t>.5</w:t>
      </w:r>
      <w:r>
        <w:tab/>
      </w:r>
      <w:r w:rsidR="00BD3FA7">
        <w:rPr>
          <w:rFonts w:hint="eastAsia"/>
        </w:rPr>
        <w:t>主要</w:t>
      </w:r>
      <w:r w:rsidR="00BD3FA7">
        <w:rPr>
          <w:rFonts w:hint="eastAsia"/>
          <w:lang w:eastAsia="zh-HK"/>
        </w:rPr>
        <w:t>受</w:t>
      </w:r>
      <w:r w:rsidR="00BD3FA7">
        <w:rPr>
          <w:rFonts w:hint="eastAsia"/>
        </w:rPr>
        <w:t>按揭利率在</w:t>
      </w:r>
      <w:r w:rsidR="0027415A">
        <w:rPr>
          <w:rFonts w:hint="eastAsia"/>
        </w:rPr>
        <w:t>第二</w:t>
      </w:r>
      <w:r w:rsidR="00BD3FA7">
        <w:rPr>
          <w:rFonts w:hint="eastAsia"/>
        </w:rPr>
        <w:t>季內顯</w:t>
      </w:r>
      <w:r w:rsidR="003D4052">
        <w:rPr>
          <w:rFonts w:hint="eastAsia"/>
          <w:lang w:eastAsia="zh-HK"/>
        </w:rPr>
        <w:t>著</w:t>
      </w:r>
      <w:r w:rsidR="00BD3FA7">
        <w:rPr>
          <w:rFonts w:hint="eastAsia"/>
        </w:rPr>
        <w:t>下跌</w:t>
      </w:r>
      <w:r w:rsidR="00BD3FA7">
        <w:rPr>
          <w:rFonts w:hint="eastAsia"/>
          <w:lang w:eastAsia="zh-HK"/>
        </w:rPr>
        <w:t>所</w:t>
      </w:r>
      <w:r w:rsidR="00784320">
        <w:rPr>
          <w:rFonts w:hint="eastAsia"/>
          <w:lang w:eastAsia="zh-HK"/>
        </w:rPr>
        <w:t>支持</w:t>
      </w:r>
      <w:r w:rsidR="00BD3FA7">
        <w:rPr>
          <w:rFonts w:hint="eastAsia"/>
          <w:lang w:eastAsia="zh-HK"/>
        </w:rPr>
        <w:t>，</w:t>
      </w:r>
      <w:r w:rsidRPr="006273B1">
        <w:rPr>
          <w:rFonts w:hint="eastAsia"/>
        </w:rPr>
        <w:t>置業負擔指數</w:t>
      </w:r>
      <w:r w:rsidRPr="006273B1">
        <w:t>(</w:t>
      </w:r>
      <w:r w:rsidRPr="006273B1">
        <w:rPr>
          <w:rFonts w:hint="eastAsia"/>
        </w:rPr>
        <w:t>即面積</w:t>
      </w:r>
      <w:r w:rsidRPr="006273B1">
        <w:t>45</w:t>
      </w:r>
      <w:r>
        <w:t> </w:t>
      </w:r>
      <w:r w:rsidRPr="006273B1">
        <w:rPr>
          <w:rFonts w:hint="eastAsia"/>
        </w:rPr>
        <w:t>平方米單位的按揭供款相對</w:t>
      </w:r>
      <w:r w:rsidRPr="00E60507">
        <w:rPr>
          <w:rFonts w:hint="eastAsia"/>
        </w:rPr>
        <w:t>住戶入息中位數</w:t>
      </w:r>
      <w:r w:rsidRPr="00E60507">
        <w:t>(</w:t>
      </w:r>
      <w:r w:rsidRPr="00E60507">
        <w:rPr>
          <w:rFonts w:hint="eastAsia"/>
        </w:rPr>
        <w:t>不包括公共租住房屋和公營臨時房屋的住戶</w:t>
      </w:r>
      <w:r w:rsidRPr="00E60507">
        <w:t>)</w:t>
      </w:r>
      <w:r w:rsidRPr="00E60507">
        <w:rPr>
          <w:rFonts w:hint="eastAsia"/>
        </w:rPr>
        <w:t>的比</w:t>
      </w:r>
      <w:r w:rsidRPr="006273B1">
        <w:rPr>
          <w:rFonts w:hint="eastAsia"/>
        </w:rPr>
        <w:t>率</w:t>
      </w:r>
      <w:r w:rsidRPr="00E60507">
        <w:t>)</w:t>
      </w:r>
      <w:r>
        <w:rPr>
          <w:rFonts w:hint="eastAsia"/>
        </w:rPr>
        <w:t>進一步</w:t>
      </w:r>
      <w:r>
        <w:rPr>
          <w:rFonts w:hint="eastAsia"/>
          <w:lang w:eastAsia="zh-HK"/>
        </w:rPr>
        <w:t>改</w:t>
      </w:r>
      <w:r>
        <w:rPr>
          <w:rFonts w:hint="eastAsia"/>
        </w:rPr>
        <w:t>善</w:t>
      </w:r>
      <w:r w:rsidRPr="009A4E49">
        <w:rPr>
          <w:rFonts w:hint="eastAsia"/>
          <w:lang w:eastAsia="zh-HK"/>
        </w:rPr>
        <w:t>至</w:t>
      </w:r>
      <w:r w:rsidRPr="009A4E49">
        <w:rPr>
          <w:rFonts w:hint="eastAsia"/>
        </w:rPr>
        <w:t>約</w:t>
      </w:r>
      <w:r w:rsidR="007316E3">
        <w:rPr>
          <w:lang w:val="en-GB"/>
        </w:rPr>
        <w:t> </w:t>
      </w:r>
      <w:r w:rsidRPr="00810E5F">
        <w:t>5</w:t>
      </w:r>
      <w:r w:rsidR="007B65FE" w:rsidRPr="00810E5F">
        <w:t>5</w:t>
      </w:r>
      <w:r w:rsidRPr="00810E5F">
        <w:t>%</w:t>
      </w:r>
      <w:r>
        <w:rPr>
          <w:rFonts w:hint="eastAsia"/>
          <w:lang w:eastAsia="zh-HK"/>
        </w:rPr>
        <w:t>，</w:t>
      </w:r>
      <w:r>
        <w:rPr>
          <w:rFonts w:hint="eastAsia"/>
        </w:rPr>
        <w:t>與</w:t>
      </w:r>
      <w:r w:rsidRPr="00E60507">
        <w:rPr>
          <w:rFonts w:hint="eastAsia"/>
        </w:rPr>
        <w:t>二零零</w:t>
      </w:r>
      <w:r>
        <w:rPr>
          <w:rFonts w:hint="eastAsia"/>
          <w:lang w:eastAsia="zh-HK"/>
        </w:rPr>
        <w:t>五</w:t>
      </w:r>
      <w:r w:rsidRPr="00E60507">
        <w:rPr>
          <w:rFonts w:hint="eastAsia"/>
        </w:rPr>
        <w:t>至二零二</w:t>
      </w:r>
      <w:r>
        <w:rPr>
          <w:rFonts w:hint="eastAsia"/>
          <w:lang w:eastAsia="zh-HK"/>
        </w:rPr>
        <w:t>四</w:t>
      </w:r>
      <w:r w:rsidRPr="00E60507">
        <w:rPr>
          <w:rFonts w:hint="eastAsia"/>
        </w:rPr>
        <w:t>年期間</w:t>
      </w:r>
      <w:r>
        <w:rPr>
          <w:rFonts w:hint="eastAsia"/>
        </w:rPr>
        <w:t>56</w:t>
      </w:r>
      <w:r w:rsidRPr="00C96009">
        <w:t>%</w:t>
      </w:r>
      <w:r w:rsidRPr="00E60507">
        <w:rPr>
          <w:rFonts w:hint="eastAsia"/>
        </w:rPr>
        <w:t>的長期平均數</w:t>
      </w:r>
      <w:r w:rsidRPr="00C75E6B">
        <w:rPr>
          <w:rFonts w:hint="eastAsia"/>
          <w:vertAlign w:val="superscript"/>
        </w:rPr>
        <w:t>(1)</w:t>
      </w:r>
      <w:r>
        <w:rPr>
          <w:rFonts w:hint="eastAsia"/>
        </w:rPr>
        <w:t>相若</w:t>
      </w:r>
      <w:r w:rsidRPr="00C75E6B">
        <w:rPr>
          <w:rFonts w:hint="eastAsia"/>
        </w:rPr>
        <w:t>。</w:t>
      </w:r>
    </w:p>
    <w:p w14:paraId="30E489EC" w14:textId="5DF9CB92" w:rsidR="0027415A" w:rsidRDefault="00FE2861" w:rsidP="0013042F">
      <w:r w:rsidRPr="00FE2861">
        <w:rPr>
          <w:noProof/>
        </w:rPr>
        <w:drawing>
          <wp:inline distT="0" distB="0" distL="0" distR="0" wp14:anchorId="0400ED7C" wp14:editId="753ADA06">
            <wp:extent cx="5760085" cy="3535045"/>
            <wp:effectExtent l="0" t="0" r="0" b="825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35045"/>
                    </a:xfrm>
                    <a:prstGeom prst="rect">
                      <a:avLst/>
                    </a:prstGeom>
                    <a:noFill/>
                    <a:ln>
                      <a:noFill/>
                    </a:ln>
                  </pic:spPr>
                </pic:pic>
              </a:graphicData>
            </a:graphic>
          </wp:inline>
        </w:drawing>
      </w:r>
    </w:p>
    <w:p w14:paraId="787D91F6" w14:textId="42980253" w:rsidR="00540201" w:rsidRDefault="00540201" w:rsidP="0013042F">
      <w:r>
        <w:rPr>
          <w:b/>
        </w:rPr>
        <w:t>3</w:t>
      </w:r>
      <w:r>
        <w:rPr>
          <w:rFonts w:hint="eastAsia"/>
          <w:b/>
        </w:rPr>
        <w:t>.6</w:t>
      </w:r>
      <w:r w:rsidRPr="00020C76">
        <w:tab/>
      </w:r>
      <w:r w:rsidRPr="00BC3FCE">
        <w:rPr>
          <w:rFonts w:hint="eastAsia"/>
          <w:lang w:eastAsia="zh-HK"/>
        </w:rPr>
        <w:t>政府的政策重點是以</w:t>
      </w:r>
      <w:r>
        <w:rPr>
          <w:rFonts w:hint="eastAsia"/>
        </w:rPr>
        <w:t>審慎</w:t>
      </w:r>
      <w:r w:rsidRPr="00BC3FCE">
        <w:rPr>
          <w:rFonts w:hint="eastAsia"/>
          <w:lang w:eastAsia="zh-HK"/>
        </w:rPr>
        <w:t>務實的</w:t>
      </w:r>
      <w:r>
        <w:rPr>
          <w:rFonts w:hint="eastAsia"/>
          <w:lang w:eastAsia="zh-HK"/>
        </w:rPr>
        <w:t>方式，</w:t>
      </w:r>
      <w:r w:rsidRPr="00BC3FCE">
        <w:rPr>
          <w:rFonts w:hint="eastAsia"/>
          <w:lang w:eastAsia="zh-HK"/>
        </w:rPr>
        <w:t>維持持續</w:t>
      </w:r>
      <w:r>
        <w:rPr>
          <w:rFonts w:hint="eastAsia"/>
          <w:lang w:eastAsia="zh-HK"/>
        </w:rPr>
        <w:t>穩定的</w:t>
      </w:r>
      <w:r w:rsidRPr="00BC3FCE">
        <w:rPr>
          <w:rFonts w:hint="eastAsia"/>
        </w:rPr>
        <w:t>房屋土地供應，確保</w:t>
      </w:r>
      <w:r w:rsidRPr="00BC3FCE">
        <w:rPr>
          <w:rFonts w:hint="eastAsia"/>
          <w:lang w:eastAsia="zh-HK"/>
        </w:rPr>
        <w:t>住宅</w:t>
      </w:r>
      <w:r w:rsidRPr="00BC3FCE">
        <w:rPr>
          <w:rFonts w:hint="eastAsia"/>
        </w:rPr>
        <w:t>物業市場健康平穩發展。</w:t>
      </w:r>
      <w:r w:rsidRPr="009259DD">
        <w:rPr>
          <w:rFonts w:hint="eastAsia"/>
        </w:rPr>
        <w:t>政府</w:t>
      </w:r>
      <w:r>
        <w:rPr>
          <w:rFonts w:hint="eastAsia"/>
          <w:lang w:eastAsia="zh-HK"/>
        </w:rPr>
        <w:t>在</w:t>
      </w:r>
      <w:r>
        <w:rPr>
          <w:rFonts w:hint="eastAsia"/>
        </w:rPr>
        <w:t>七月</w:t>
      </w:r>
      <w:r>
        <w:rPr>
          <w:rFonts w:hint="eastAsia"/>
          <w:lang w:eastAsia="zh-HK"/>
        </w:rPr>
        <w:t>公布</w:t>
      </w:r>
      <w:r>
        <w:rPr>
          <w:rFonts w:hint="eastAsia"/>
        </w:rPr>
        <w:t>將於第三季推售一幅住宅用地</w:t>
      </w:r>
      <w:r w:rsidR="00A56D5A" w:rsidRPr="00BC3FCE">
        <w:rPr>
          <w:rFonts w:hint="eastAsia"/>
        </w:rPr>
        <w:t>。</w:t>
      </w:r>
      <w:r w:rsidR="000675E0">
        <w:rPr>
          <w:rFonts w:hint="eastAsia"/>
          <w:lang w:eastAsia="zh-HK"/>
        </w:rPr>
        <w:t>計及這幅</w:t>
      </w:r>
      <w:r w:rsidR="007B65FE" w:rsidRPr="007B65FE">
        <w:t>土</w:t>
      </w:r>
      <w:r w:rsidR="00A56D5A">
        <w:rPr>
          <w:rFonts w:hint="eastAsia"/>
        </w:rPr>
        <w:t>地</w:t>
      </w:r>
      <w:r w:rsidR="000675E0">
        <w:rPr>
          <w:rFonts w:hint="eastAsia"/>
          <w:lang w:eastAsia="zh-HK"/>
        </w:rPr>
        <w:t>和</w:t>
      </w:r>
      <w:r>
        <w:rPr>
          <w:rFonts w:hint="eastAsia"/>
        </w:rPr>
        <w:t>六宗</w:t>
      </w:r>
      <w:r w:rsidR="007B65FE" w:rsidRPr="00797C3A">
        <w:rPr>
          <w:rFonts w:hint="eastAsia"/>
        </w:rPr>
        <w:t>地</w:t>
      </w:r>
      <w:r w:rsidR="007B65FE">
        <w:rPr>
          <w:rFonts w:hint="eastAsia"/>
        </w:rPr>
        <w:t>契</w:t>
      </w:r>
      <w:r>
        <w:rPr>
          <w:rFonts w:hint="eastAsia"/>
        </w:rPr>
        <w:t>修訂個案，</w:t>
      </w:r>
      <w:r w:rsidR="00E54172" w:rsidRPr="00E54172">
        <w:rPr>
          <w:rFonts w:hint="eastAsia"/>
        </w:rPr>
        <w:t>第三</w:t>
      </w:r>
      <w:r>
        <w:rPr>
          <w:rFonts w:hint="eastAsia"/>
        </w:rPr>
        <w:t>季</w:t>
      </w:r>
      <w:r w:rsidRPr="000A52B5">
        <w:rPr>
          <w:rFonts w:hint="eastAsia"/>
        </w:rPr>
        <w:t>私人房屋土地總供應預計可供興建約</w:t>
      </w:r>
      <w:r w:rsidR="00975702">
        <w:t> </w:t>
      </w:r>
      <w:r>
        <w:rPr>
          <w:rFonts w:hint="eastAsia"/>
        </w:rPr>
        <w:t>4</w:t>
      </w:r>
      <w:r>
        <w:t> </w:t>
      </w:r>
      <w:r>
        <w:rPr>
          <w:rFonts w:hint="eastAsia"/>
        </w:rPr>
        <w:t>950</w:t>
      </w:r>
      <w:r w:rsidR="00975702">
        <w:t> </w:t>
      </w:r>
      <w:r w:rsidRPr="000A52B5">
        <w:rPr>
          <w:rFonts w:hint="eastAsia"/>
        </w:rPr>
        <w:t>個單位</w:t>
      </w:r>
      <w:r>
        <w:rPr>
          <w:rFonts w:hint="eastAsia"/>
        </w:rPr>
        <w:t>。連同上季的供應量，</w:t>
      </w:r>
      <w:r w:rsidRPr="000A52B5">
        <w:rPr>
          <w:rFonts w:hint="eastAsia"/>
        </w:rPr>
        <w:t>二零二</w:t>
      </w:r>
      <w:r>
        <w:rPr>
          <w:rFonts w:hint="eastAsia"/>
          <w:lang w:eastAsia="zh-HK"/>
        </w:rPr>
        <w:t>五</w:t>
      </w:r>
      <w:r>
        <w:rPr>
          <w:rFonts w:hint="eastAsia"/>
        </w:rPr>
        <w:t>至二</w:t>
      </w:r>
      <w:r>
        <w:rPr>
          <w:rFonts w:hint="eastAsia"/>
          <w:lang w:eastAsia="zh-HK"/>
        </w:rPr>
        <w:t>六財政</w:t>
      </w:r>
      <w:r w:rsidRPr="000A52B5">
        <w:rPr>
          <w:rFonts w:hint="eastAsia"/>
        </w:rPr>
        <w:t>年度</w:t>
      </w:r>
      <w:r>
        <w:rPr>
          <w:rFonts w:hint="eastAsia"/>
        </w:rPr>
        <w:t>上半年</w:t>
      </w:r>
      <w:r w:rsidRPr="000A52B5">
        <w:rPr>
          <w:rFonts w:hint="eastAsia"/>
        </w:rPr>
        <w:t>的私人房屋土地總供應預計可供興建約</w:t>
      </w:r>
      <w:r w:rsidR="00975702">
        <w:t> </w:t>
      </w:r>
      <w:r>
        <w:rPr>
          <w:rFonts w:hint="eastAsia"/>
        </w:rPr>
        <w:t>6</w:t>
      </w:r>
      <w:r>
        <w:t> </w:t>
      </w:r>
      <w:r>
        <w:rPr>
          <w:rFonts w:hint="eastAsia"/>
        </w:rPr>
        <w:t>000</w:t>
      </w:r>
      <w:r w:rsidR="00975702">
        <w:t> </w:t>
      </w:r>
      <w:r w:rsidRPr="000A52B5">
        <w:rPr>
          <w:rFonts w:hint="eastAsia"/>
        </w:rPr>
        <w:t>個單位</w:t>
      </w:r>
      <w:r>
        <w:rPr>
          <w:rFonts w:hint="eastAsia"/>
        </w:rPr>
        <w:t>，達</w:t>
      </w:r>
      <w:r w:rsidR="00797C3A" w:rsidRPr="00797C3A">
        <w:rPr>
          <w:rFonts w:hint="eastAsia"/>
        </w:rPr>
        <w:t>本年度</w:t>
      </w:r>
      <w:r w:rsidRPr="000A52B5">
        <w:rPr>
          <w:rFonts w:hint="eastAsia"/>
        </w:rPr>
        <w:t>私人房屋供應目標</w:t>
      </w:r>
      <w:r>
        <w:rPr>
          <w:rFonts w:hint="eastAsia"/>
        </w:rPr>
        <w:t>(13</w:t>
      </w:r>
      <w:r>
        <w:t> </w:t>
      </w:r>
      <w:r>
        <w:rPr>
          <w:rFonts w:hint="eastAsia"/>
        </w:rPr>
        <w:t>200</w:t>
      </w:r>
      <w:r w:rsidR="00975702">
        <w:t> </w:t>
      </w:r>
      <w:r>
        <w:rPr>
          <w:rFonts w:hint="eastAsia"/>
        </w:rPr>
        <w:t>個單位</w:t>
      </w:r>
      <w:r>
        <w:rPr>
          <w:rFonts w:hint="eastAsia"/>
        </w:rPr>
        <w:t>)</w:t>
      </w:r>
      <w:r>
        <w:rPr>
          <w:rFonts w:hint="eastAsia"/>
        </w:rPr>
        <w:t>約</w:t>
      </w:r>
      <w:r>
        <w:rPr>
          <w:rFonts w:hint="eastAsia"/>
        </w:rPr>
        <w:t>45%</w:t>
      </w:r>
      <w:r>
        <w:rPr>
          <w:rFonts w:hint="eastAsia"/>
        </w:rPr>
        <w:t>。</w:t>
      </w:r>
      <w:r w:rsidRPr="006F11AB">
        <w:rPr>
          <w:rFonts w:hint="eastAsia"/>
        </w:rPr>
        <w:t>政府會繼續</w:t>
      </w:r>
      <w:r w:rsidR="00DC4980">
        <w:rPr>
          <w:rFonts w:hint="eastAsia"/>
        </w:rPr>
        <w:t>按</w:t>
      </w:r>
      <w:r w:rsidR="005651B2" w:rsidRPr="005651B2">
        <w:rPr>
          <w:rFonts w:hint="eastAsia"/>
        </w:rPr>
        <w:t>市況靈活調整推地策略，</w:t>
      </w:r>
      <w:r w:rsidR="000675E0">
        <w:rPr>
          <w:rFonts w:hint="eastAsia"/>
          <w:lang w:eastAsia="zh-HK"/>
        </w:rPr>
        <w:t>以</w:t>
      </w:r>
      <w:r w:rsidR="00DC4980">
        <w:rPr>
          <w:rFonts w:hint="eastAsia"/>
        </w:rPr>
        <w:t>貼合</w:t>
      </w:r>
      <w:r w:rsidR="005651B2" w:rsidRPr="005651B2">
        <w:rPr>
          <w:rFonts w:hint="eastAsia"/>
        </w:rPr>
        <w:t>社會發展需要</w:t>
      </w:r>
      <w:r w:rsidRPr="006F11AB">
        <w:rPr>
          <w:rFonts w:hint="eastAsia"/>
        </w:rPr>
        <w:t>。</w:t>
      </w:r>
    </w:p>
    <w:p w14:paraId="5A79D76B" w14:textId="2812CF1A" w:rsidR="00540201" w:rsidRDefault="00540201" w:rsidP="0013042F">
      <w:r>
        <w:rPr>
          <w:b/>
          <w:szCs w:val="24"/>
        </w:rPr>
        <w:t>3</w:t>
      </w:r>
      <w:r w:rsidRPr="003E1E16">
        <w:rPr>
          <w:b/>
          <w:szCs w:val="24"/>
        </w:rPr>
        <w:t>.7</w:t>
      </w:r>
      <w:r>
        <w:rPr>
          <w:sz w:val="28"/>
          <w:szCs w:val="28"/>
        </w:rPr>
        <w:tab/>
      </w:r>
      <w:r w:rsidRPr="000B0F90">
        <w:t>反映政府增加</w:t>
      </w:r>
      <w:r w:rsidRPr="000B0F90">
        <w:rPr>
          <w:rFonts w:hint="eastAsia"/>
        </w:rPr>
        <w:t>住宅</w:t>
      </w:r>
      <w:r w:rsidRPr="000B0F90">
        <w:t>供應的持續努力</w:t>
      </w:r>
      <w:r w:rsidRPr="000B0F90">
        <w:rPr>
          <w:rFonts w:hint="eastAsia"/>
        </w:rPr>
        <w:t>，未來三至四年</w:t>
      </w:r>
      <w:r w:rsidRPr="000B0F90">
        <w:rPr>
          <w:rFonts w:hint="eastAsia"/>
          <w:i/>
        </w:rPr>
        <w:t>一手私人住宅單位總供應量</w:t>
      </w:r>
      <w:r w:rsidRPr="000B0F90">
        <w:t>(</w:t>
      </w:r>
      <w:r w:rsidRPr="000B0F90">
        <w:rPr>
          <w:rFonts w:hint="eastAsia"/>
        </w:rPr>
        <w:t>包括已落成項目的未售出單位、建築中而未售出的單位，以及已批出土地而隨時可動工的項目所涉及的單位</w:t>
      </w:r>
      <w:r w:rsidRPr="000B0F90">
        <w:t>)</w:t>
      </w:r>
      <w:r>
        <w:rPr>
          <w:rFonts w:hint="eastAsia"/>
        </w:rPr>
        <w:t>會</w:t>
      </w:r>
      <w:r w:rsidRPr="000B0F90">
        <w:rPr>
          <w:rFonts w:hint="eastAsia"/>
        </w:rPr>
        <w:t>維持</w:t>
      </w:r>
      <w:r w:rsidRPr="00342BFF">
        <w:rPr>
          <w:rFonts w:hint="eastAsia"/>
          <w:spacing w:val="36"/>
        </w:rPr>
        <w:t>高水平</w:t>
      </w:r>
      <w:r w:rsidRPr="00342BFF">
        <w:rPr>
          <w:rFonts w:ascii="細明體" w:eastAsia="細明體" w:hAnsi="細明體" w:hint="eastAsia"/>
          <w:spacing w:val="36"/>
        </w:rPr>
        <w:t>，</w:t>
      </w:r>
      <w:r w:rsidRPr="00342BFF">
        <w:rPr>
          <w:rFonts w:hint="eastAsia"/>
          <w:spacing w:val="36"/>
        </w:rPr>
        <w:t>按</w:t>
      </w:r>
      <w:r>
        <w:rPr>
          <w:rFonts w:hint="eastAsia"/>
          <w:spacing w:val="36"/>
        </w:rPr>
        <w:t>六</w:t>
      </w:r>
      <w:r>
        <w:rPr>
          <w:rFonts w:hint="eastAsia"/>
          <w:spacing w:val="36"/>
          <w:lang w:eastAsia="zh-HK"/>
        </w:rPr>
        <w:t>月</w:t>
      </w:r>
      <w:r w:rsidRPr="00342BFF">
        <w:rPr>
          <w:rFonts w:hint="eastAsia"/>
          <w:spacing w:val="36"/>
        </w:rPr>
        <w:t>底估算達</w:t>
      </w:r>
      <w:r w:rsidR="00D5410C">
        <w:rPr>
          <w:spacing w:val="36"/>
        </w:rPr>
        <w:t> </w:t>
      </w:r>
      <w:r>
        <w:rPr>
          <w:spacing w:val="36"/>
        </w:rPr>
        <w:t>10</w:t>
      </w:r>
      <w:r w:rsidR="00797C3A">
        <w:rPr>
          <w:rFonts w:hint="eastAsia"/>
          <w:spacing w:val="36"/>
        </w:rPr>
        <w:t>1</w:t>
      </w:r>
      <w:r>
        <w:rPr>
          <w:spacing w:val="36"/>
        </w:rPr>
        <w:t> 000</w:t>
      </w:r>
      <w:r w:rsidR="00495BE0">
        <w:rPr>
          <w:spacing w:val="36"/>
        </w:rPr>
        <w:t> </w:t>
      </w:r>
      <w:r w:rsidRPr="00215F6A">
        <w:rPr>
          <w:rFonts w:hint="eastAsia"/>
          <w:spacing w:val="36"/>
        </w:rPr>
        <w:t>個</w:t>
      </w:r>
      <w:r w:rsidRPr="00974DFD">
        <w:rPr>
          <w:rFonts w:hint="eastAsia"/>
        </w:rPr>
        <w:t>單位</w:t>
      </w:r>
      <w:r w:rsidRPr="000B0F90">
        <w:rPr>
          <w:rFonts w:hint="eastAsia"/>
        </w:rPr>
        <w:t>。在多幅住宅用地轉為「熟地」後，將可額外供應</w:t>
      </w:r>
      <w:r w:rsidR="00797C3A">
        <w:rPr>
          <w:rFonts w:hint="eastAsia"/>
        </w:rPr>
        <w:t>5</w:t>
      </w:r>
      <w:r>
        <w:t> </w:t>
      </w:r>
      <w:r w:rsidR="00797C3A">
        <w:rPr>
          <w:rFonts w:hint="eastAsia"/>
        </w:rPr>
        <w:t>1</w:t>
      </w:r>
      <w:r>
        <w:t>00</w:t>
      </w:r>
      <w:r w:rsidRPr="000B0F90">
        <w:rPr>
          <w:rFonts w:hint="eastAsia"/>
        </w:rPr>
        <w:t>個單位。</w:t>
      </w:r>
      <w:r>
        <w:tab/>
      </w:r>
    </w:p>
    <w:p w14:paraId="0F4A0222" w14:textId="54662AB7" w:rsidR="00540201" w:rsidRDefault="00540201" w:rsidP="0013042F">
      <w:pPr>
        <w:rPr>
          <w:lang w:eastAsia="zh-HK"/>
        </w:rPr>
      </w:pPr>
      <w:r>
        <w:rPr>
          <w:b/>
        </w:rPr>
        <w:t>3</w:t>
      </w:r>
      <w:r>
        <w:rPr>
          <w:rFonts w:hint="eastAsia"/>
          <w:b/>
        </w:rPr>
        <w:t>.</w:t>
      </w:r>
      <w:r>
        <w:rPr>
          <w:b/>
        </w:rPr>
        <w:t>8</w:t>
      </w:r>
      <w:r>
        <w:tab/>
      </w:r>
      <w:r>
        <w:rPr>
          <w:rFonts w:hint="eastAsia"/>
          <w:i/>
          <w:lang w:eastAsia="zh-HK"/>
        </w:rPr>
        <w:t>非</w:t>
      </w:r>
      <w:r w:rsidRPr="00F47B51">
        <w:rPr>
          <w:rFonts w:hint="eastAsia"/>
          <w:i/>
          <w:lang w:eastAsia="zh-HK"/>
        </w:rPr>
        <w:t>住宅物業市場</w:t>
      </w:r>
      <w:r w:rsidRPr="00B450A0">
        <w:rPr>
          <w:rFonts w:hint="eastAsia"/>
          <w:lang w:eastAsia="zh-HK"/>
        </w:rPr>
        <w:t>在</w:t>
      </w:r>
      <w:r>
        <w:rPr>
          <w:rFonts w:hint="eastAsia"/>
          <w:lang w:eastAsia="zh-HK"/>
        </w:rPr>
        <w:t>第</w:t>
      </w:r>
      <w:r>
        <w:rPr>
          <w:rFonts w:hint="eastAsia"/>
        </w:rPr>
        <w:t>二</w:t>
      </w:r>
      <w:r>
        <w:rPr>
          <w:rFonts w:hint="eastAsia"/>
          <w:lang w:eastAsia="zh-HK"/>
        </w:rPr>
        <w:t>季</w:t>
      </w:r>
      <w:r>
        <w:rPr>
          <w:rFonts w:hint="eastAsia"/>
        </w:rPr>
        <w:t>大致維持</w:t>
      </w:r>
      <w:r w:rsidRPr="00860C0D">
        <w:rPr>
          <w:rFonts w:hint="eastAsia"/>
          <w:lang w:eastAsia="zh-HK"/>
        </w:rPr>
        <w:t>疲弱</w:t>
      </w:r>
      <w:r>
        <w:rPr>
          <w:rFonts w:hint="eastAsia"/>
          <w:lang w:eastAsia="zh-HK"/>
        </w:rPr>
        <w:t>。</w:t>
      </w:r>
      <w:r>
        <w:rPr>
          <w:rFonts w:hint="eastAsia"/>
        </w:rPr>
        <w:t>售價和租金</w:t>
      </w:r>
      <w:r w:rsidR="009977F0" w:rsidRPr="009830DB">
        <w:t>仍然偏軟</w:t>
      </w:r>
      <w:r>
        <w:rPr>
          <w:rFonts w:hint="eastAsia"/>
        </w:rPr>
        <w:t>，</w:t>
      </w:r>
      <w:r w:rsidR="009977F0" w:rsidRPr="00F84D33">
        <w:rPr>
          <w:rFonts w:hint="eastAsia"/>
        </w:rPr>
        <w:t>所有</w:t>
      </w:r>
      <w:r w:rsidRPr="000A686A">
        <w:rPr>
          <w:rFonts w:hint="eastAsia"/>
        </w:rPr>
        <w:t>主要市場環節</w:t>
      </w:r>
      <w:r w:rsidRPr="006273B1">
        <w:rPr>
          <w:rFonts w:hint="eastAsia"/>
        </w:rPr>
        <w:t>的交投活動</w:t>
      </w:r>
      <w:r w:rsidR="00D65EE1">
        <w:rPr>
          <w:rFonts w:hint="eastAsia"/>
        </w:rPr>
        <w:t>則</w:t>
      </w:r>
      <w:r w:rsidR="00093FF3">
        <w:rPr>
          <w:rFonts w:hint="eastAsia"/>
        </w:rPr>
        <w:t>有所</w:t>
      </w:r>
      <w:r>
        <w:rPr>
          <w:rFonts w:hint="eastAsia"/>
        </w:rPr>
        <w:t>增加</w:t>
      </w:r>
      <w:r>
        <w:rPr>
          <w:rFonts w:hint="eastAsia"/>
          <w:lang w:eastAsia="zh-HK"/>
        </w:rPr>
        <w:t>。</w:t>
      </w:r>
    </w:p>
    <w:p w14:paraId="2D6645BB" w14:textId="5C9DFF0B" w:rsidR="00540201" w:rsidRPr="005A28E8" w:rsidRDefault="00540201" w:rsidP="0013042F">
      <w:r>
        <w:rPr>
          <w:rFonts w:hint="eastAsia"/>
          <w:b/>
        </w:rPr>
        <w:t>3.</w:t>
      </w:r>
      <w:r>
        <w:rPr>
          <w:b/>
        </w:rPr>
        <w:t>9</w:t>
      </w:r>
      <w:r>
        <w:tab/>
      </w:r>
      <w:r w:rsidRPr="0059650C">
        <w:rPr>
          <w:rFonts w:hint="eastAsia"/>
          <w:i/>
        </w:rPr>
        <w:t>寫字樓</w:t>
      </w:r>
      <w:r>
        <w:rPr>
          <w:rFonts w:hint="eastAsia"/>
        </w:rPr>
        <w:t>的</w:t>
      </w:r>
      <w:r w:rsidRPr="00465956">
        <w:rPr>
          <w:rFonts w:hint="eastAsia"/>
        </w:rPr>
        <w:t>售價</w:t>
      </w:r>
      <w:r>
        <w:rPr>
          <w:rFonts w:hint="eastAsia"/>
        </w:rPr>
        <w:t>和租金</w:t>
      </w:r>
      <w:r>
        <w:rPr>
          <w:rFonts w:hint="eastAsia"/>
          <w:lang w:eastAsia="zh-HK"/>
        </w:rPr>
        <w:t>在三至六</w:t>
      </w:r>
      <w:r>
        <w:rPr>
          <w:rFonts w:hint="eastAsia"/>
        </w:rPr>
        <w:t>月</w:t>
      </w:r>
      <w:r>
        <w:rPr>
          <w:rFonts w:hint="eastAsia"/>
          <w:lang w:eastAsia="zh-HK"/>
        </w:rPr>
        <w:t>期間</w:t>
      </w:r>
      <w:r w:rsidRPr="00465956">
        <w:rPr>
          <w:rFonts w:hint="eastAsia"/>
          <w:lang w:eastAsia="zh-HK"/>
        </w:rPr>
        <w:t>分別</w:t>
      </w:r>
      <w:r>
        <w:rPr>
          <w:rFonts w:hint="eastAsia"/>
        </w:rPr>
        <w:t>平均</w:t>
      </w:r>
      <w:r w:rsidRPr="000A686A">
        <w:rPr>
          <w:rFonts w:hint="eastAsia"/>
        </w:rPr>
        <w:t>下跌</w:t>
      </w:r>
      <w:r>
        <w:t> </w:t>
      </w:r>
      <w:r w:rsidR="0049040E">
        <w:t>3</w:t>
      </w:r>
      <w:r w:rsidRPr="00465956">
        <w:t>%</w:t>
      </w:r>
      <w:r>
        <w:rPr>
          <w:rFonts w:hint="eastAsia"/>
        </w:rPr>
        <w:t>和</w:t>
      </w:r>
      <w:r>
        <w:rPr>
          <w:rFonts w:hint="eastAsia"/>
        </w:rPr>
        <w:t>1</w:t>
      </w:r>
      <w:r w:rsidRPr="00E33C15">
        <w:t>%</w:t>
      </w:r>
      <w:r>
        <w:rPr>
          <w:rFonts w:hint="eastAsia"/>
        </w:rPr>
        <w:t>。</w:t>
      </w:r>
      <w:r w:rsidRPr="00E33C15">
        <w:rPr>
          <w:rFonts w:hint="eastAsia"/>
        </w:rPr>
        <w:t>甲級寫字樓</w:t>
      </w:r>
      <w:r w:rsidR="0090104D">
        <w:rPr>
          <w:rFonts w:hint="eastAsia"/>
          <w:lang w:eastAsia="zh-HK"/>
        </w:rPr>
        <w:t>方面</w:t>
      </w:r>
      <w:r w:rsidR="00AC2822">
        <w:rPr>
          <w:rFonts w:hint="eastAsia"/>
          <w:lang w:eastAsia="zh-HK"/>
        </w:rPr>
        <w:t>，</w:t>
      </w:r>
      <w:r w:rsidRPr="007C0E48">
        <w:rPr>
          <w:rFonts w:hint="eastAsia"/>
          <w:szCs w:val="24"/>
        </w:rPr>
        <w:t>售價和租金分別</w:t>
      </w:r>
      <w:r w:rsidRPr="007C0E48">
        <w:rPr>
          <w:rFonts w:hint="eastAsia"/>
          <w:szCs w:val="24"/>
          <w:lang w:eastAsia="zh-HK"/>
        </w:rPr>
        <w:t>下跌</w:t>
      </w:r>
      <w:r w:rsidR="000F0C6E" w:rsidRPr="00B80238">
        <w:rPr>
          <w:szCs w:val="24"/>
          <w:lang w:eastAsia="zh-HK"/>
        </w:rPr>
        <w:t> </w:t>
      </w:r>
      <w:r w:rsidR="0049040E" w:rsidRPr="00B80238">
        <w:rPr>
          <w:szCs w:val="24"/>
        </w:rPr>
        <w:t>5</w:t>
      </w:r>
      <w:r w:rsidRPr="007C0E48">
        <w:rPr>
          <w:szCs w:val="24"/>
        </w:rPr>
        <w:t>%</w:t>
      </w:r>
      <w:r w:rsidRPr="007C0E48">
        <w:rPr>
          <w:rFonts w:hint="eastAsia"/>
          <w:szCs w:val="24"/>
          <w:lang w:eastAsia="zh-HK"/>
        </w:rPr>
        <w:t>和</w:t>
      </w:r>
      <w:r w:rsidR="00B80238">
        <w:rPr>
          <w:szCs w:val="24"/>
          <w:lang w:val="en-GB" w:eastAsia="zh-HK"/>
        </w:rPr>
        <w:t> </w:t>
      </w:r>
      <w:r w:rsidRPr="00B80238">
        <w:rPr>
          <w:szCs w:val="24"/>
        </w:rPr>
        <w:t>1</w:t>
      </w:r>
      <w:r w:rsidRPr="007C0E48">
        <w:rPr>
          <w:szCs w:val="24"/>
        </w:rPr>
        <w:t>%</w:t>
      </w:r>
      <w:r w:rsidRPr="007C0E48">
        <w:rPr>
          <w:rFonts w:hint="eastAsia"/>
          <w:szCs w:val="24"/>
        </w:rPr>
        <w:t>。</w:t>
      </w:r>
      <w:r w:rsidRPr="00E33C15">
        <w:rPr>
          <w:rFonts w:hint="eastAsia"/>
        </w:rPr>
        <w:t>與二零一八年和二零一九年各自的</w:t>
      </w:r>
      <w:r w:rsidR="004B044E">
        <w:rPr>
          <w:rFonts w:hint="eastAsia"/>
        </w:rPr>
        <w:t>最</w:t>
      </w:r>
      <w:r w:rsidRPr="00E33C15">
        <w:rPr>
          <w:rFonts w:hint="eastAsia"/>
        </w:rPr>
        <w:t>高</w:t>
      </w:r>
      <w:r>
        <w:rPr>
          <w:rFonts w:hint="eastAsia"/>
        </w:rPr>
        <w:t>位</w:t>
      </w:r>
      <w:r w:rsidRPr="00E33C15">
        <w:rPr>
          <w:rFonts w:hint="eastAsia"/>
        </w:rPr>
        <w:t>相比，</w:t>
      </w:r>
      <w:r>
        <w:rPr>
          <w:rFonts w:hint="eastAsia"/>
          <w:lang w:eastAsia="zh-HK"/>
        </w:rPr>
        <w:t>六</w:t>
      </w:r>
      <w:r w:rsidRPr="0024676B">
        <w:rPr>
          <w:rFonts w:hint="eastAsia"/>
          <w:lang w:eastAsia="zh-HK"/>
        </w:rPr>
        <w:t>月</w:t>
      </w:r>
      <w:r>
        <w:rPr>
          <w:rFonts w:hint="eastAsia"/>
          <w:lang w:eastAsia="zh-HK"/>
        </w:rPr>
        <w:t>整體寫字樓</w:t>
      </w:r>
      <w:r w:rsidRPr="00E33C15">
        <w:rPr>
          <w:rFonts w:hint="eastAsia"/>
        </w:rPr>
        <w:t>的</w:t>
      </w:r>
      <w:r w:rsidRPr="00465956">
        <w:rPr>
          <w:rFonts w:hint="eastAsia"/>
        </w:rPr>
        <w:t>售價</w:t>
      </w:r>
      <w:r w:rsidRPr="00465956">
        <w:rPr>
          <w:rFonts w:hint="eastAsia"/>
          <w:lang w:eastAsia="zh-HK"/>
        </w:rPr>
        <w:t>和</w:t>
      </w:r>
      <w:r w:rsidRPr="00465956">
        <w:rPr>
          <w:rFonts w:hint="eastAsia"/>
        </w:rPr>
        <w:t>租金</w:t>
      </w:r>
      <w:r w:rsidRPr="00465956">
        <w:rPr>
          <w:rFonts w:hint="eastAsia"/>
          <w:lang w:eastAsia="zh-HK"/>
        </w:rPr>
        <w:t>分別平均低</w:t>
      </w:r>
      <w:r w:rsidR="00B80238">
        <w:rPr>
          <w:lang w:val="en-GB" w:eastAsia="zh-HK"/>
        </w:rPr>
        <w:t> </w:t>
      </w:r>
      <w:r>
        <w:rPr>
          <w:rFonts w:hint="eastAsia"/>
        </w:rPr>
        <w:t>4</w:t>
      </w:r>
      <w:r w:rsidR="0049040E">
        <w:t>8</w:t>
      </w:r>
      <w:r w:rsidRPr="00465956">
        <w:t>%</w:t>
      </w:r>
      <w:r w:rsidRPr="00465956">
        <w:rPr>
          <w:rFonts w:hint="eastAsia"/>
          <w:lang w:eastAsia="zh-HK"/>
        </w:rPr>
        <w:t>和</w:t>
      </w:r>
      <w:r w:rsidR="00B80238">
        <w:rPr>
          <w:lang w:val="en-GB" w:eastAsia="zh-HK"/>
        </w:rPr>
        <w:t> </w:t>
      </w:r>
      <w:r>
        <w:rPr>
          <w:rFonts w:hint="eastAsia"/>
        </w:rPr>
        <w:t>20</w:t>
      </w:r>
      <w:r w:rsidRPr="00465956">
        <w:t>%</w:t>
      </w:r>
      <w:r w:rsidRPr="00465956">
        <w:rPr>
          <w:rFonts w:hint="eastAsia"/>
        </w:rPr>
        <w:t>。</w:t>
      </w:r>
      <w:r>
        <w:rPr>
          <w:rFonts w:hint="eastAsia"/>
          <w:lang w:eastAsia="zh-HK"/>
        </w:rPr>
        <w:t>整體</w:t>
      </w:r>
      <w:r w:rsidRPr="009D3FE4">
        <w:rPr>
          <w:rFonts w:hint="eastAsia"/>
        </w:rPr>
        <w:t>寫字樓</w:t>
      </w:r>
      <w:r w:rsidR="0049040E">
        <w:rPr>
          <w:rFonts w:hint="eastAsia"/>
          <w:lang w:val="en-GB"/>
        </w:rPr>
        <w:t>及</w:t>
      </w:r>
      <w:r w:rsidR="0049040E">
        <w:rPr>
          <w:rFonts w:hint="eastAsia"/>
        </w:rPr>
        <w:t>甲級寫字樓</w:t>
      </w:r>
      <w:r w:rsidRPr="009D3FE4">
        <w:rPr>
          <w:rFonts w:hint="eastAsia"/>
        </w:rPr>
        <w:t>的平均租金回報率</w:t>
      </w:r>
      <w:r w:rsidR="0049040E" w:rsidRPr="00465956">
        <w:rPr>
          <w:rFonts w:hint="eastAsia"/>
          <w:lang w:eastAsia="zh-HK"/>
        </w:rPr>
        <w:t>分別</w:t>
      </w:r>
      <w:r>
        <w:rPr>
          <w:rFonts w:hint="eastAsia"/>
          <w:lang w:eastAsia="zh-HK"/>
        </w:rPr>
        <w:t>由三</w:t>
      </w:r>
      <w:r w:rsidRPr="00E94658">
        <w:rPr>
          <w:rFonts w:hint="eastAsia"/>
        </w:rPr>
        <w:t>月</w:t>
      </w:r>
      <w:r w:rsidRPr="009D3FE4">
        <w:rPr>
          <w:rFonts w:hint="eastAsia"/>
        </w:rPr>
        <w:t>的</w:t>
      </w:r>
      <w:r w:rsidR="00F559C7">
        <w:rPr>
          <w:rFonts w:hint="eastAsia"/>
        </w:rPr>
        <w:t> </w:t>
      </w:r>
      <w:r>
        <w:rPr>
          <w:rFonts w:hint="eastAsia"/>
        </w:rPr>
        <w:t>3.8%</w:t>
      </w:r>
      <w:r w:rsidR="0049040E">
        <w:rPr>
          <w:rFonts w:hint="eastAsia"/>
          <w:lang w:val="en-GB"/>
        </w:rPr>
        <w:t>及</w:t>
      </w:r>
      <w:r w:rsidR="009977F0">
        <w:rPr>
          <w:lang w:val="en-GB"/>
        </w:rPr>
        <w:t> </w:t>
      </w:r>
      <w:r w:rsidR="0049040E">
        <w:rPr>
          <w:lang w:val="en-GB"/>
        </w:rPr>
        <w:t>3.5%</w:t>
      </w:r>
      <w:r>
        <w:rPr>
          <w:rFonts w:hint="eastAsia"/>
          <w:lang w:eastAsia="zh-HK"/>
        </w:rPr>
        <w:t>進一步</w:t>
      </w:r>
      <w:r>
        <w:rPr>
          <w:rFonts w:hint="eastAsia"/>
        </w:rPr>
        <w:t>升至</w:t>
      </w:r>
      <w:r>
        <w:rPr>
          <w:rFonts w:hint="eastAsia"/>
          <w:lang w:eastAsia="zh-HK"/>
        </w:rPr>
        <w:t>六</w:t>
      </w:r>
      <w:r w:rsidRPr="0024676B">
        <w:rPr>
          <w:rFonts w:hint="eastAsia"/>
        </w:rPr>
        <w:t>月</w:t>
      </w:r>
      <w:r>
        <w:rPr>
          <w:rFonts w:hint="eastAsia"/>
          <w:lang w:eastAsia="zh-HK"/>
        </w:rPr>
        <w:t>的</w:t>
      </w:r>
      <w:r w:rsidR="00B80238">
        <w:rPr>
          <w:lang w:val="en-GB" w:eastAsia="zh-HK"/>
        </w:rPr>
        <w:t> </w:t>
      </w:r>
      <w:r w:rsidR="0049040E">
        <w:t>4.0</w:t>
      </w:r>
      <w:r w:rsidRPr="009D3FE4">
        <w:rPr>
          <w:rFonts w:hint="eastAsia"/>
        </w:rPr>
        <w:t>%</w:t>
      </w:r>
      <w:r w:rsidR="0049040E">
        <w:rPr>
          <w:rFonts w:hint="eastAsia"/>
          <w:lang w:val="en-GB"/>
        </w:rPr>
        <w:t>及</w:t>
      </w:r>
      <w:r w:rsidR="009977F0">
        <w:rPr>
          <w:lang w:val="en-GB"/>
        </w:rPr>
        <w:t> </w:t>
      </w:r>
      <w:r w:rsidR="0049040E">
        <w:rPr>
          <w:lang w:val="en-GB"/>
        </w:rPr>
        <w:t>3.6%</w:t>
      </w:r>
      <w:r>
        <w:rPr>
          <w:rFonts w:hint="eastAsia"/>
        </w:rPr>
        <w:t>。</w:t>
      </w:r>
      <w:r w:rsidRPr="00A1682F">
        <w:rPr>
          <w:rFonts w:hint="eastAsia"/>
        </w:rPr>
        <w:t>第</w:t>
      </w:r>
      <w:r>
        <w:rPr>
          <w:rFonts w:hint="eastAsia"/>
          <w:lang w:eastAsia="zh-HK"/>
        </w:rPr>
        <w:t>二</w:t>
      </w:r>
      <w:r w:rsidRPr="00A1682F">
        <w:rPr>
          <w:rFonts w:hint="eastAsia"/>
        </w:rPr>
        <w:t>季寫字樓的交投量</w:t>
      </w:r>
      <w:r w:rsidRPr="000A686A">
        <w:rPr>
          <w:rFonts w:hint="eastAsia"/>
        </w:rPr>
        <w:t>較</w:t>
      </w:r>
      <w:r w:rsidRPr="00A1682F">
        <w:rPr>
          <w:rFonts w:hint="eastAsia"/>
        </w:rPr>
        <w:t>上一季</w:t>
      </w:r>
      <w:r>
        <w:rPr>
          <w:rFonts w:hint="eastAsia"/>
        </w:rPr>
        <w:t>上升</w:t>
      </w:r>
      <w:r w:rsidR="00495BE0">
        <w:t> </w:t>
      </w:r>
      <w:r w:rsidR="0049040E">
        <w:t>13</w:t>
      </w:r>
      <w:r w:rsidRPr="00A1682F">
        <w:rPr>
          <w:rFonts w:hint="eastAsia"/>
        </w:rPr>
        <w:t>%</w:t>
      </w:r>
      <w:r w:rsidRPr="00A1682F">
        <w:rPr>
          <w:rFonts w:hint="eastAsia"/>
        </w:rPr>
        <w:t>至</w:t>
      </w:r>
      <w:r w:rsidR="00B80238">
        <w:rPr>
          <w:lang w:val="en-GB"/>
        </w:rPr>
        <w:t> </w:t>
      </w:r>
      <w:r>
        <w:rPr>
          <w:rFonts w:hint="eastAsia"/>
        </w:rPr>
        <w:t>250</w:t>
      </w:r>
      <w:r w:rsidR="009245B9">
        <w:t> </w:t>
      </w:r>
      <w:r w:rsidRPr="00A1682F">
        <w:rPr>
          <w:rFonts w:hint="eastAsia"/>
        </w:rPr>
        <w:t>宗，</w:t>
      </w:r>
      <w:r w:rsidR="00BD31CA" w:rsidRPr="00BD31CA">
        <w:t>顯著</w:t>
      </w:r>
      <w:r>
        <w:rPr>
          <w:rFonts w:hint="eastAsia"/>
        </w:rPr>
        <w:t>高</w:t>
      </w:r>
      <w:r w:rsidRPr="000A686A">
        <w:rPr>
          <w:rFonts w:hint="eastAsia"/>
        </w:rPr>
        <w:t>於</w:t>
      </w:r>
      <w:r w:rsidRPr="00A1682F">
        <w:rPr>
          <w:rFonts w:hint="eastAsia"/>
        </w:rPr>
        <w:t>二零</w:t>
      </w:r>
      <w:r>
        <w:rPr>
          <w:rFonts w:hint="eastAsia"/>
        </w:rPr>
        <w:t>二零</w:t>
      </w:r>
      <w:r w:rsidRPr="00A1682F">
        <w:rPr>
          <w:rFonts w:hint="eastAsia"/>
        </w:rPr>
        <w:t>至二零二</w:t>
      </w:r>
      <w:r>
        <w:rPr>
          <w:rFonts w:hint="eastAsia"/>
        </w:rPr>
        <w:t>四</w:t>
      </w:r>
      <w:r w:rsidRPr="00A1682F">
        <w:rPr>
          <w:rFonts w:hint="eastAsia"/>
        </w:rPr>
        <w:t>年期間</w:t>
      </w:r>
      <w:r w:rsidR="00495BE0">
        <w:t> </w:t>
      </w:r>
      <w:r>
        <w:t>1</w:t>
      </w:r>
      <w:r>
        <w:rPr>
          <w:rFonts w:hint="eastAsia"/>
        </w:rPr>
        <w:t>80</w:t>
      </w:r>
      <w:r w:rsidR="00495BE0">
        <w:t> </w:t>
      </w:r>
      <w:r w:rsidRPr="00A1682F">
        <w:rPr>
          <w:rFonts w:hint="eastAsia"/>
        </w:rPr>
        <w:t>宗的季度平均水平。</w:t>
      </w:r>
    </w:p>
    <w:p w14:paraId="478DF3FF" w14:textId="138DAAD7" w:rsidR="00540201" w:rsidRPr="003B640A" w:rsidRDefault="00540201" w:rsidP="0013042F">
      <w:r>
        <w:rPr>
          <w:rFonts w:hint="eastAsia"/>
          <w:b/>
        </w:rPr>
        <w:t>3</w:t>
      </w:r>
      <w:r w:rsidRPr="004E14B2">
        <w:rPr>
          <w:b/>
        </w:rPr>
        <w:t>.</w:t>
      </w:r>
      <w:r w:rsidRPr="004E14B2">
        <w:rPr>
          <w:rFonts w:hint="eastAsia"/>
          <w:b/>
        </w:rPr>
        <w:t>1</w:t>
      </w:r>
      <w:r>
        <w:rPr>
          <w:b/>
        </w:rPr>
        <w:t>0</w:t>
      </w:r>
      <w:r w:rsidRPr="004E14B2">
        <w:tab/>
      </w:r>
      <w:r w:rsidRPr="004E14B2">
        <w:rPr>
          <w:rFonts w:hint="eastAsia"/>
          <w:i/>
          <w:lang w:eastAsia="zh-HK"/>
        </w:rPr>
        <w:t>零售舖位</w:t>
      </w:r>
      <w:r w:rsidRPr="004E14B2">
        <w:rPr>
          <w:rFonts w:hint="eastAsia"/>
          <w:lang w:eastAsia="zh-HK"/>
        </w:rPr>
        <w:t>的售價</w:t>
      </w:r>
      <w:r w:rsidRPr="004E14B2">
        <w:rPr>
          <w:rFonts w:hint="eastAsia"/>
        </w:rPr>
        <w:t>在</w:t>
      </w:r>
      <w:r>
        <w:rPr>
          <w:rFonts w:hint="eastAsia"/>
          <w:lang w:eastAsia="zh-HK"/>
        </w:rPr>
        <w:t>季內</w:t>
      </w:r>
      <w:r w:rsidRPr="000A686A">
        <w:rPr>
          <w:rFonts w:hint="eastAsia"/>
        </w:rPr>
        <w:t>下跌</w:t>
      </w:r>
      <w:r w:rsidR="008845CD">
        <w:t> </w:t>
      </w:r>
      <w:r>
        <w:rPr>
          <w:rFonts w:hint="eastAsia"/>
        </w:rPr>
        <w:t>3</w:t>
      </w:r>
      <w:r w:rsidRPr="004E14B2">
        <w:rPr>
          <w:rFonts w:hint="eastAsia"/>
        </w:rPr>
        <w:t>%</w:t>
      </w:r>
      <w:r w:rsidR="0049040E" w:rsidRPr="004E14B2">
        <w:rPr>
          <w:rFonts w:hint="eastAsia"/>
          <w:lang w:eastAsia="zh-HK"/>
        </w:rPr>
        <w:t>，</w:t>
      </w:r>
      <w:r w:rsidR="0049040E">
        <w:rPr>
          <w:rFonts w:hint="eastAsia"/>
        </w:rPr>
        <w:t>租金</w:t>
      </w:r>
      <w:r w:rsidR="0049040E">
        <w:rPr>
          <w:rFonts w:hint="eastAsia"/>
          <w:lang w:val="en-GB"/>
        </w:rPr>
        <w:t>則持平</w:t>
      </w:r>
      <w:r w:rsidRPr="004E14B2">
        <w:rPr>
          <w:rFonts w:hint="eastAsia"/>
        </w:rPr>
        <w:t>。</w:t>
      </w:r>
      <w:r w:rsidRPr="004E14B2">
        <w:rPr>
          <w:rFonts w:hint="eastAsia"/>
          <w:lang w:eastAsia="zh-HK"/>
        </w:rPr>
        <w:t>與二零一八年和二零一九年</w:t>
      </w:r>
      <w:r w:rsidRPr="004E14B2">
        <w:rPr>
          <w:rFonts w:hint="eastAsia"/>
        </w:rPr>
        <w:t>各自</w:t>
      </w:r>
      <w:r w:rsidRPr="004E14B2">
        <w:rPr>
          <w:rFonts w:hint="eastAsia"/>
          <w:lang w:eastAsia="zh-HK"/>
        </w:rPr>
        <w:t>的</w:t>
      </w:r>
      <w:r w:rsidR="00433D51">
        <w:rPr>
          <w:rFonts w:hint="eastAsia"/>
        </w:rPr>
        <w:t>最</w:t>
      </w:r>
      <w:r w:rsidRPr="004E14B2">
        <w:rPr>
          <w:rFonts w:hint="eastAsia"/>
          <w:lang w:eastAsia="zh-HK"/>
        </w:rPr>
        <w:t>高</w:t>
      </w:r>
      <w:r>
        <w:rPr>
          <w:rFonts w:hint="eastAsia"/>
        </w:rPr>
        <w:t>位</w:t>
      </w:r>
      <w:r w:rsidRPr="004E14B2">
        <w:rPr>
          <w:rFonts w:hint="eastAsia"/>
          <w:lang w:eastAsia="zh-HK"/>
        </w:rPr>
        <w:t>相比，</w:t>
      </w:r>
      <w:r>
        <w:rPr>
          <w:rFonts w:hint="eastAsia"/>
          <w:lang w:eastAsia="zh-HK"/>
        </w:rPr>
        <w:t>六</w:t>
      </w:r>
      <w:r w:rsidRPr="004E14B2">
        <w:rPr>
          <w:rFonts w:hint="eastAsia"/>
        </w:rPr>
        <w:t>月</w:t>
      </w:r>
      <w:r w:rsidRPr="004E14B2">
        <w:rPr>
          <w:rFonts w:hint="eastAsia"/>
          <w:lang w:eastAsia="zh-HK"/>
        </w:rPr>
        <w:t>的售價和租金分別</w:t>
      </w:r>
      <w:r w:rsidRPr="004E14B2">
        <w:rPr>
          <w:rFonts w:hint="eastAsia"/>
        </w:rPr>
        <w:t>低</w:t>
      </w:r>
      <w:r w:rsidR="00B80238">
        <w:rPr>
          <w:lang w:val="en-GB"/>
        </w:rPr>
        <w:t> </w:t>
      </w:r>
      <w:r>
        <w:rPr>
          <w:rFonts w:hint="eastAsia"/>
        </w:rPr>
        <w:t>39</w:t>
      </w:r>
      <w:r w:rsidRPr="004E14B2">
        <w:rPr>
          <w:rFonts w:hint="eastAsia"/>
        </w:rPr>
        <w:t>%</w:t>
      </w:r>
      <w:r w:rsidRPr="004E14B2">
        <w:rPr>
          <w:rFonts w:hint="eastAsia"/>
          <w:lang w:eastAsia="zh-HK"/>
        </w:rPr>
        <w:t>和</w:t>
      </w:r>
      <w:r>
        <w:rPr>
          <w:rFonts w:hint="eastAsia"/>
        </w:rPr>
        <w:t>1</w:t>
      </w:r>
      <w:r w:rsidR="0049040E">
        <w:rPr>
          <w:rFonts w:hint="eastAsia"/>
        </w:rPr>
        <w:t>8</w:t>
      </w:r>
      <w:r w:rsidRPr="004E14B2">
        <w:rPr>
          <w:rFonts w:hint="eastAsia"/>
        </w:rPr>
        <w:t>%</w:t>
      </w:r>
      <w:r w:rsidRPr="004E14B2">
        <w:rPr>
          <w:rFonts w:hint="eastAsia"/>
          <w:lang w:eastAsia="zh-HK"/>
        </w:rPr>
        <w:t>。平均租金回報率</w:t>
      </w:r>
      <w:r w:rsidR="0049040E">
        <w:rPr>
          <w:rFonts w:hint="eastAsia"/>
          <w:lang w:eastAsia="zh-HK"/>
        </w:rPr>
        <w:t>由三</w:t>
      </w:r>
      <w:r w:rsidR="0049040E" w:rsidRPr="00E94658">
        <w:rPr>
          <w:rFonts w:hint="eastAsia"/>
        </w:rPr>
        <w:t>月</w:t>
      </w:r>
      <w:r w:rsidR="0049040E" w:rsidRPr="009D3FE4">
        <w:rPr>
          <w:rFonts w:hint="eastAsia"/>
        </w:rPr>
        <w:t>的</w:t>
      </w:r>
      <w:r w:rsidR="0049040E">
        <w:rPr>
          <w:rFonts w:hint="eastAsia"/>
        </w:rPr>
        <w:t> 3.3%</w:t>
      </w:r>
      <w:r w:rsidR="0049040E">
        <w:rPr>
          <w:rFonts w:hint="eastAsia"/>
        </w:rPr>
        <w:t>微升至</w:t>
      </w:r>
      <w:r w:rsidR="0049040E">
        <w:rPr>
          <w:rFonts w:hint="eastAsia"/>
          <w:lang w:eastAsia="zh-HK"/>
        </w:rPr>
        <w:t>六月的</w:t>
      </w:r>
      <w:r w:rsidR="00B80238">
        <w:rPr>
          <w:lang w:val="en-GB" w:eastAsia="zh-HK"/>
        </w:rPr>
        <w:t> </w:t>
      </w:r>
      <w:r>
        <w:rPr>
          <w:rFonts w:hint="eastAsia"/>
        </w:rPr>
        <w:t>3.4%</w:t>
      </w:r>
      <w:r w:rsidRPr="004E14B2">
        <w:rPr>
          <w:rFonts w:hint="eastAsia"/>
        </w:rPr>
        <w:t>。</w:t>
      </w:r>
      <w:r w:rsidRPr="00295D73">
        <w:rPr>
          <w:rFonts w:hint="eastAsia"/>
        </w:rPr>
        <w:t>第</w:t>
      </w:r>
      <w:r>
        <w:rPr>
          <w:rFonts w:hint="eastAsia"/>
          <w:lang w:eastAsia="zh-HK"/>
        </w:rPr>
        <w:t>二</w:t>
      </w:r>
      <w:r w:rsidRPr="00295D73">
        <w:rPr>
          <w:rFonts w:hint="eastAsia"/>
        </w:rPr>
        <w:t>季所有商業樓宇的交投量</w:t>
      </w:r>
      <w:r w:rsidRPr="000A686A">
        <w:rPr>
          <w:rFonts w:hint="eastAsia"/>
        </w:rPr>
        <w:t>較</w:t>
      </w:r>
      <w:r w:rsidRPr="00295D73">
        <w:rPr>
          <w:rFonts w:hint="eastAsia"/>
        </w:rPr>
        <w:t>上一季</w:t>
      </w:r>
      <w:r w:rsidR="001A1114">
        <w:rPr>
          <w:rFonts w:hint="eastAsia"/>
          <w:lang w:eastAsia="zh-HK"/>
        </w:rPr>
        <w:t>反彈</w:t>
      </w:r>
      <w:r w:rsidR="00495BE0">
        <w:rPr>
          <w:lang w:eastAsia="zh-HK"/>
        </w:rPr>
        <w:t> </w:t>
      </w:r>
      <w:r w:rsidR="0049040E">
        <w:rPr>
          <w:rFonts w:hint="eastAsia"/>
        </w:rPr>
        <w:t>33</w:t>
      </w:r>
      <w:r w:rsidRPr="00295D73">
        <w:rPr>
          <w:rFonts w:hint="eastAsia"/>
        </w:rPr>
        <w:t>%</w:t>
      </w:r>
      <w:r w:rsidRPr="00295D73">
        <w:rPr>
          <w:rFonts w:hint="eastAsia"/>
        </w:rPr>
        <w:t>至</w:t>
      </w:r>
      <w:r w:rsidR="00B80238">
        <w:rPr>
          <w:lang w:val="en-GB"/>
        </w:rPr>
        <w:t> </w:t>
      </w:r>
      <w:r>
        <w:rPr>
          <w:rFonts w:hint="eastAsia"/>
        </w:rPr>
        <w:t>3</w:t>
      </w:r>
      <w:r w:rsidR="0049040E">
        <w:rPr>
          <w:rFonts w:hint="eastAsia"/>
        </w:rPr>
        <w:t>6</w:t>
      </w:r>
      <w:r>
        <w:rPr>
          <w:rFonts w:hint="eastAsia"/>
        </w:rPr>
        <w:t>0</w:t>
      </w:r>
      <w:r w:rsidR="009245B9">
        <w:t> </w:t>
      </w:r>
      <w:r w:rsidRPr="00295D73">
        <w:rPr>
          <w:rFonts w:hint="eastAsia"/>
        </w:rPr>
        <w:t>宗</w:t>
      </w:r>
      <w:r w:rsidRPr="00295D73">
        <w:rPr>
          <w:rFonts w:hint="eastAsia"/>
          <w:vertAlign w:val="superscript"/>
        </w:rPr>
        <w:t>(</w:t>
      </w:r>
      <w:r>
        <w:rPr>
          <w:rFonts w:hint="eastAsia"/>
          <w:vertAlign w:val="superscript"/>
        </w:rPr>
        <w:t>2</w:t>
      </w:r>
      <w:r w:rsidRPr="00295D73">
        <w:rPr>
          <w:rFonts w:hint="eastAsia"/>
          <w:vertAlign w:val="superscript"/>
        </w:rPr>
        <w:t>)</w:t>
      </w:r>
      <w:r w:rsidRPr="00295D73">
        <w:rPr>
          <w:rFonts w:hint="eastAsia"/>
        </w:rPr>
        <w:t>，</w:t>
      </w:r>
      <w:r w:rsidR="00BD31CA">
        <w:rPr>
          <w:rFonts w:hint="eastAsia"/>
        </w:rPr>
        <w:t>稍</w:t>
      </w:r>
      <w:r w:rsidR="0049040E">
        <w:rPr>
          <w:rFonts w:hint="eastAsia"/>
          <w:lang w:val="en-GB"/>
        </w:rPr>
        <w:t>高</w:t>
      </w:r>
      <w:r w:rsidRPr="00295D73">
        <w:rPr>
          <w:rFonts w:hint="eastAsia"/>
        </w:rPr>
        <w:t>於二零</w:t>
      </w:r>
      <w:r>
        <w:rPr>
          <w:rFonts w:hint="eastAsia"/>
          <w:lang w:eastAsia="zh-HK"/>
        </w:rPr>
        <w:t>二零</w:t>
      </w:r>
      <w:r w:rsidRPr="00295D73">
        <w:rPr>
          <w:rFonts w:hint="eastAsia"/>
        </w:rPr>
        <w:t>至二零二</w:t>
      </w:r>
      <w:r>
        <w:rPr>
          <w:rFonts w:hint="eastAsia"/>
          <w:lang w:eastAsia="zh-HK"/>
        </w:rPr>
        <w:t>四</w:t>
      </w:r>
      <w:r w:rsidRPr="00295D73">
        <w:rPr>
          <w:rFonts w:hint="eastAsia"/>
        </w:rPr>
        <w:t>年期間</w:t>
      </w:r>
      <w:r w:rsidR="00495BE0">
        <w:t> </w:t>
      </w:r>
      <w:r>
        <w:rPr>
          <w:rFonts w:hint="eastAsia"/>
        </w:rPr>
        <w:t>350</w:t>
      </w:r>
      <w:r w:rsidR="009245B9">
        <w:t> </w:t>
      </w:r>
      <w:r w:rsidRPr="00295D73">
        <w:rPr>
          <w:rFonts w:hint="eastAsia"/>
        </w:rPr>
        <w:t>宗的季度平均水平。</w:t>
      </w:r>
    </w:p>
    <w:p w14:paraId="43A10687" w14:textId="63ED03E2" w:rsidR="003F72D1" w:rsidRDefault="00540201" w:rsidP="003F72D1">
      <w:r>
        <w:rPr>
          <w:rFonts w:hint="eastAsia"/>
          <w:b/>
        </w:rPr>
        <w:t>3</w:t>
      </w:r>
      <w:r w:rsidRPr="004E14B2">
        <w:rPr>
          <w:b/>
        </w:rPr>
        <w:t>.</w:t>
      </w:r>
      <w:r w:rsidRPr="004E14B2">
        <w:rPr>
          <w:rFonts w:hint="eastAsia"/>
          <w:b/>
        </w:rPr>
        <w:t>1</w:t>
      </w:r>
      <w:r>
        <w:rPr>
          <w:b/>
        </w:rPr>
        <w:t>1</w:t>
      </w:r>
      <w:r w:rsidRPr="004E14B2">
        <w:tab/>
      </w:r>
      <w:r w:rsidRPr="00295D73">
        <w:rPr>
          <w:rFonts w:hint="eastAsia"/>
          <w:i/>
        </w:rPr>
        <w:t>分層工廠大廈</w:t>
      </w:r>
      <w:r w:rsidRPr="00295D73">
        <w:rPr>
          <w:rFonts w:hint="eastAsia"/>
        </w:rPr>
        <w:t>的售價在</w:t>
      </w:r>
      <w:r w:rsidRPr="007A2DB0">
        <w:rPr>
          <w:rFonts w:hint="eastAsia"/>
        </w:rPr>
        <w:t>三至六月</w:t>
      </w:r>
      <w:r w:rsidR="00E73B6D">
        <w:rPr>
          <w:rFonts w:hint="eastAsia"/>
          <w:lang w:eastAsia="zh-HK"/>
        </w:rPr>
        <w:t>期間</w:t>
      </w:r>
      <w:r w:rsidR="00574B67" w:rsidRPr="000A686A">
        <w:rPr>
          <w:rFonts w:hint="eastAsia"/>
        </w:rPr>
        <w:t>下跌</w:t>
      </w:r>
      <w:r w:rsidR="00F559C7">
        <w:t> </w:t>
      </w:r>
      <w:r w:rsidR="0049040E">
        <w:rPr>
          <w:rFonts w:hint="eastAsia"/>
        </w:rPr>
        <w:t>3</w:t>
      </w:r>
      <w:r>
        <w:rPr>
          <w:rFonts w:hint="eastAsia"/>
        </w:rPr>
        <w:t>%</w:t>
      </w:r>
      <w:r w:rsidR="0049040E" w:rsidRPr="004E14B2">
        <w:rPr>
          <w:rFonts w:hint="eastAsia"/>
          <w:lang w:eastAsia="zh-HK"/>
        </w:rPr>
        <w:t>，</w:t>
      </w:r>
      <w:r w:rsidR="0049040E">
        <w:rPr>
          <w:rFonts w:hint="eastAsia"/>
        </w:rPr>
        <w:t>租金</w:t>
      </w:r>
      <w:r w:rsidR="0049040E">
        <w:rPr>
          <w:rFonts w:hint="eastAsia"/>
          <w:lang w:val="en-GB"/>
        </w:rPr>
        <w:t>則幾無變動</w:t>
      </w:r>
      <w:r w:rsidRPr="00295D73">
        <w:rPr>
          <w:rFonts w:hint="eastAsia"/>
        </w:rPr>
        <w:t>。</w:t>
      </w:r>
      <w:r w:rsidRPr="004E14B2">
        <w:rPr>
          <w:rFonts w:hint="eastAsia"/>
          <w:lang w:eastAsia="zh-HK"/>
        </w:rPr>
        <w:t>與二零一</w:t>
      </w:r>
      <w:r>
        <w:rPr>
          <w:rFonts w:hint="eastAsia"/>
          <w:lang w:eastAsia="zh-HK"/>
        </w:rPr>
        <w:t>九年和</w:t>
      </w:r>
      <w:r w:rsidRPr="00FC4B35">
        <w:rPr>
          <w:rFonts w:hint="eastAsia"/>
          <w:lang w:eastAsia="zh-HK"/>
        </w:rPr>
        <w:t>二零二三</w:t>
      </w:r>
      <w:r w:rsidRPr="004E14B2">
        <w:rPr>
          <w:rFonts w:hint="eastAsia"/>
          <w:lang w:eastAsia="zh-HK"/>
        </w:rPr>
        <w:t>年</w:t>
      </w:r>
      <w:r w:rsidRPr="004E14B2">
        <w:rPr>
          <w:rFonts w:hint="eastAsia"/>
        </w:rPr>
        <w:t>各自</w:t>
      </w:r>
      <w:r w:rsidRPr="004E14B2">
        <w:rPr>
          <w:rFonts w:hint="eastAsia"/>
          <w:lang w:eastAsia="zh-HK"/>
        </w:rPr>
        <w:t>的</w:t>
      </w:r>
      <w:r w:rsidR="00433D51">
        <w:rPr>
          <w:rFonts w:hint="eastAsia"/>
        </w:rPr>
        <w:t>最</w:t>
      </w:r>
      <w:r w:rsidRPr="004E14B2">
        <w:rPr>
          <w:rFonts w:hint="eastAsia"/>
          <w:lang w:eastAsia="zh-HK"/>
        </w:rPr>
        <w:t>高</w:t>
      </w:r>
      <w:r>
        <w:rPr>
          <w:rFonts w:hint="eastAsia"/>
        </w:rPr>
        <w:t>位</w:t>
      </w:r>
      <w:r w:rsidRPr="004E14B2">
        <w:rPr>
          <w:rFonts w:hint="eastAsia"/>
          <w:lang w:eastAsia="zh-HK"/>
        </w:rPr>
        <w:t>相比，</w:t>
      </w:r>
      <w:r w:rsidRPr="007A2DB0">
        <w:rPr>
          <w:rFonts w:hint="eastAsia"/>
        </w:rPr>
        <w:t>六</w:t>
      </w:r>
      <w:r w:rsidRPr="00295D73">
        <w:rPr>
          <w:rFonts w:hint="eastAsia"/>
        </w:rPr>
        <w:t>月的售價</w:t>
      </w:r>
      <w:r>
        <w:rPr>
          <w:rFonts w:hint="eastAsia"/>
          <w:lang w:eastAsia="zh-HK"/>
        </w:rPr>
        <w:t>和租金分別</w:t>
      </w:r>
      <w:r w:rsidRPr="00295D73">
        <w:rPr>
          <w:rFonts w:hint="eastAsia"/>
        </w:rPr>
        <w:t>低</w:t>
      </w:r>
      <w:r w:rsidR="00B80238">
        <w:rPr>
          <w:lang w:val="en-GB"/>
        </w:rPr>
        <w:t> </w:t>
      </w:r>
      <w:r w:rsidRPr="007A2DB0">
        <w:t>3</w:t>
      </w:r>
      <w:r w:rsidR="0049040E">
        <w:rPr>
          <w:rFonts w:hint="eastAsia"/>
        </w:rPr>
        <w:t>2</w:t>
      </w:r>
      <w:r w:rsidRPr="007A2DB0">
        <w:t>%</w:t>
      </w:r>
      <w:r>
        <w:rPr>
          <w:rFonts w:hint="eastAsia"/>
          <w:lang w:eastAsia="zh-HK"/>
        </w:rPr>
        <w:t>和</w:t>
      </w:r>
      <w:r w:rsidR="00B80238">
        <w:rPr>
          <w:lang w:val="en-GB" w:eastAsia="zh-HK"/>
        </w:rPr>
        <w:t> </w:t>
      </w:r>
      <w:r w:rsidR="0049040E">
        <w:rPr>
          <w:rFonts w:hint="eastAsia"/>
        </w:rPr>
        <w:t>5</w:t>
      </w:r>
      <w:r>
        <w:t>%</w:t>
      </w:r>
      <w:r w:rsidRPr="00295D73">
        <w:rPr>
          <w:rFonts w:hint="eastAsia"/>
        </w:rPr>
        <w:t>。</w:t>
      </w:r>
      <w:r w:rsidRPr="004E14B2">
        <w:rPr>
          <w:rFonts w:hint="eastAsia"/>
          <w:lang w:eastAsia="zh-HK"/>
        </w:rPr>
        <w:t>平均租金回報率</w:t>
      </w:r>
      <w:r w:rsidR="0049040E">
        <w:rPr>
          <w:rFonts w:hint="eastAsia"/>
          <w:lang w:eastAsia="zh-HK"/>
        </w:rPr>
        <w:t>由三</w:t>
      </w:r>
      <w:r w:rsidR="0049040E" w:rsidRPr="00E94658">
        <w:rPr>
          <w:rFonts w:hint="eastAsia"/>
        </w:rPr>
        <w:t>月</w:t>
      </w:r>
      <w:r w:rsidR="0049040E" w:rsidRPr="009D3FE4">
        <w:rPr>
          <w:rFonts w:hint="eastAsia"/>
        </w:rPr>
        <w:t>的</w:t>
      </w:r>
      <w:r w:rsidR="0049040E">
        <w:rPr>
          <w:rFonts w:hint="eastAsia"/>
        </w:rPr>
        <w:t> 3.9%</w:t>
      </w:r>
      <w:r w:rsidR="0049040E">
        <w:rPr>
          <w:rFonts w:hint="eastAsia"/>
        </w:rPr>
        <w:t>微升至</w:t>
      </w:r>
      <w:r w:rsidR="0049040E">
        <w:rPr>
          <w:rFonts w:hint="eastAsia"/>
          <w:lang w:eastAsia="zh-HK"/>
        </w:rPr>
        <w:t>六月的</w:t>
      </w:r>
      <w:r w:rsidR="0049040E">
        <w:rPr>
          <w:rFonts w:hint="eastAsia"/>
        </w:rPr>
        <w:t>4.0</w:t>
      </w:r>
      <w:r w:rsidRPr="007A2DB0">
        <w:rPr>
          <w:lang w:eastAsia="zh-HK"/>
        </w:rPr>
        <w:t>%</w:t>
      </w:r>
      <w:r w:rsidRPr="008B5F50">
        <w:rPr>
          <w:rFonts w:hint="eastAsia"/>
        </w:rPr>
        <w:t>。第</w:t>
      </w:r>
      <w:r w:rsidRPr="007A2DB0">
        <w:rPr>
          <w:rFonts w:hint="eastAsia"/>
        </w:rPr>
        <w:t>二</w:t>
      </w:r>
      <w:r w:rsidRPr="008B5F50">
        <w:rPr>
          <w:rFonts w:hint="eastAsia"/>
        </w:rPr>
        <w:t>季</w:t>
      </w:r>
      <w:r w:rsidRPr="00282871">
        <w:rPr>
          <w:rFonts w:hint="eastAsia"/>
        </w:rPr>
        <w:t>分層工廠大廈</w:t>
      </w:r>
      <w:r w:rsidRPr="008B5F50">
        <w:rPr>
          <w:rFonts w:hint="eastAsia"/>
        </w:rPr>
        <w:t>的交投量</w:t>
      </w:r>
      <w:r w:rsidRPr="00D236EB">
        <w:rPr>
          <w:rFonts w:hint="eastAsia"/>
        </w:rPr>
        <w:t>較</w:t>
      </w:r>
      <w:r w:rsidRPr="008B5F50">
        <w:rPr>
          <w:rFonts w:hint="eastAsia"/>
        </w:rPr>
        <w:t>上一季</w:t>
      </w:r>
      <w:r w:rsidR="0049040E">
        <w:rPr>
          <w:rFonts w:hint="eastAsia"/>
        </w:rPr>
        <w:t>上升</w:t>
      </w:r>
      <w:r w:rsidR="00495BE0">
        <w:t> </w:t>
      </w:r>
      <w:r w:rsidR="0049040E">
        <w:rPr>
          <w:rFonts w:hint="eastAsia"/>
        </w:rPr>
        <w:t>5</w:t>
      </w:r>
      <w:r>
        <w:rPr>
          <w:rFonts w:hint="eastAsia"/>
        </w:rPr>
        <w:t>%</w:t>
      </w:r>
      <w:r>
        <w:rPr>
          <w:rFonts w:hint="eastAsia"/>
          <w:lang w:eastAsia="zh-HK"/>
        </w:rPr>
        <w:t>至</w:t>
      </w:r>
      <w:r w:rsidR="00B80238">
        <w:rPr>
          <w:lang w:val="en-GB" w:eastAsia="zh-HK"/>
        </w:rPr>
        <w:t> </w:t>
      </w:r>
      <w:r>
        <w:rPr>
          <w:rFonts w:hint="eastAsia"/>
        </w:rPr>
        <w:t>5</w:t>
      </w:r>
      <w:r w:rsidR="0049040E">
        <w:rPr>
          <w:rFonts w:hint="eastAsia"/>
        </w:rPr>
        <w:t>9</w:t>
      </w:r>
      <w:r>
        <w:rPr>
          <w:rFonts w:hint="eastAsia"/>
        </w:rPr>
        <w:t>0</w:t>
      </w:r>
      <w:r w:rsidR="009245B9">
        <w:t> </w:t>
      </w:r>
      <w:r>
        <w:rPr>
          <w:rFonts w:hint="eastAsia"/>
          <w:lang w:eastAsia="zh-HK"/>
        </w:rPr>
        <w:t>宗</w:t>
      </w:r>
      <w:r w:rsidRPr="008B5F50">
        <w:rPr>
          <w:rFonts w:hint="eastAsia"/>
        </w:rPr>
        <w:t>，</w:t>
      </w:r>
      <w:r w:rsidR="0049040E">
        <w:rPr>
          <w:rFonts w:hint="eastAsia"/>
          <w:lang w:val="en-GB"/>
        </w:rPr>
        <w:t>高</w:t>
      </w:r>
      <w:r w:rsidRPr="008B5F50">
        <w:rPr>
          <w:rFonts w:hint="eastAsia"/>
        </w:rPr>
        <w:t>於二零</w:t>
      </w:r>
      <w:r>
        <w:rPr>
          <w:rFonts w:hint="eastAsia"/>
          <w:lang w:eastAsia="zh-HK"/>
        </w:rPr>
        <w:t>二零</w:t>
      </w:r>
      <w:r w:rsidRPr="008B5F50">
        <w:rPr>
          <w:rFonts w:hint="eastAsia"/>
        </w:rPr>
        <w:t>至二零二</w:t>
      </w:r>
      <w:r>
        <w:rPr>
          <w:rFonts w:hint="eastAsia"/>
          <w:lang w:eastAsia="zh-HK"/>
        </w:rPr>
        <w:t>四</w:t>
      </w:r>
      <w:r w:rsidRPr="008B5F50">
        <w:rPr>
          <w:rFonts w:hint="eastAsia"/>
        </w:rPr>
        <w:t>年期間</w:t>
      </w:r>
      <w:r w:rsidR="00495BE0">
        <w:t> </w:t>
      </w:r>
      <w:r>
        <w:t>560 </w:t>
      </w:r>
      <w:r w:rsidRPr="008B5F50">
        <w:rPr>
          <w:rFonts w:hint="eastAsia"/>
        </w:rPr>
        <w:t>宗的季度平均水平。</w:t>
      </w:r>
    </w:p>
    <w:p w14:paraId="38CF11AD" w14:textId="4BA98647" w:rsidR="0013042F" w:rsidRDefault="00615D67" w:rsidP="0013042F">
      <w:r w:rsidRPr="00615D67">
        <w:rPr>
          <w:noProof/>
        </w:rPr>
        <w:drawing>
          <wp:inline distT="0" distB="0" distL="0" distR="0" wp14:anchorId="6D678754" wp14:editId="27CEE979">
            <wp:extent cx="5760085" cy="3515360"/>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085" cy="3515360"/>
                    </a:xfrm>
                    <a:prstGeom prst="rect">
                      <a:avLst/>
                    </a:prstGeom>
                    <a:noFill/>
                    <a:ln>
                      <a:noFill/>
                    </a:ln>
                  </pic:spPr>
                </pic:pic>
              </a:graphicData>
            </a:graphic>
          </wp:inline>
        </w:drawing>
      </w:r>
    </w:p>
    <w:p w14:paraId="418B392E" w14:textId="3789B41A" w:rsidR="00540201" w:rsidRPr="00B02813" w:rsidRDefault="00540201" w:rsidP="0013042F">
      <w:pPr>
        <w:pStyle w:val="120"/>
      </w:pPr>
      <w:r w:rsidRPr="007200F5">
        <w:rPr>
          <w:rFonts w:hint="eastAsia"/>
        </w:rPr>
        <w:t>土地</w:t>
      </w:r>
    </w:p>
    <w:p w14:paraId="151D63D1" w14:textId="0ADE0EC2" w:rsidR="00540201" w:rsidRDefault="00540201" w:rsidP="0013042F">
      <w:pPr>
        <w:rPr>
          <w:lang w:eastAsia="zh-HK"/>
        </w:rPr>
      </w:pPr>
      <w:r>
        <w:rPr>
          <w:rFonts w:hint="eastAsia"/>
          <w:b/>
        </w:rPr>
        <w:t>3.1</w:t>
      </w:r>
      <w:r>
        <w:rPr>
          <w:b/>
        </w:rPr>
        <w:t>2</w:t>
      </w:r>
      <w:r>
        <w:rPr>
          <w:b/>
        </w:rPr>
        <w:tab/>
      </w:r>
      <w:r>
        <w:rPr>
          <w:rFonts w:hint="eastAsia"/>
          <w:lang w:eastAsia="zh-HK"/>
        </w:rPr>
        <w:t>政府在第</w:t>
      </w:r>
      <w:r>
        <w:rPr>
          <w:rFonts w:hint="eastAsia"/>
        </w:rPr>
        <w:t>二</w:t>
      </w:r>
      <w:r w:rsidRPr="001B787E">
        <w:rPr>
          <w:rFonts w:hint="eastAsia"/>
          <w:lang w:eastAsia="zh-HK"/>
        </w:rPr>
        <w:t>季</w:t>
      </w:r>
      <w:r>
        <w:rPr>
          <w:rFonts w:hint="eastAsia"/>
        </w:rPr>
        <w:t>沒有</w:t>
      </w:r>
      <w:r w:rsidRPr="001B787E">
        <w:rPr>
          <w:rFonts w:hint="eastAsia"/>
          <w:lang w:eastAsia="zh-HK"/>
        </w:rPr>
        <w:t>售出土地</w:t>
      </w:r>
      <w:r w:rsidRPr="00C272BD">
        <w:rPr>
          <w:rFonts w:hint="eastAsia"/>
          <w:lang w:eastAsia="zh-HK"/>
        </w:rPr>
        <w:t>。</w:t>
      </w:r>
      <w:r>
        <w:rPr>
          <w:rFonts w:hint="eastAsia"/>
        </w:rPr>
        <w:t>此</w:t>
      </w:r>
      <w:r>
        <w:rPr>
          <w:rFonts w:hint="eastAsia"/>
          <w:lang w:eastAsia="zh-HK"/>
        </w:rPr>
        <w:t>外</w:t>
      </w:r>
      <w:r>
        <w:rPr>
          <w:rFonts w:hint="eastAsia"/>
        </w:rPr>
        <w:t>，一幅位於屯門的住宅用地在季內招標</w:t>
      </w:r>
      <w:r w:rsidRPr="00F232B5">
        <w:rPr>
          <w:rFonts w:hint="eastAsia"/>
          <w:lang w:eastAsia="zh-HK"/>
        </w:rPr>
        <w:t>，</w:t>
      </w:r>
      <w:r>
        <w:rPr>
          <w:rFonts w:hint="eastAsia"/>
        </w:rPr>
        <w:t>另</w:t>
      </w:r>
      <w:r w:rsidRPr="00F232B5">
        <w:rPr>
          <w:rFonts w:hint="eastAsia"/>
          <w:lang w:eastAsia="zh-HK"/>
        </w:rPr>
        <w:t>有</w:t>
      </w:r>
      <w:r>
        <w:rPr>
          <w:rFonts w:hint="eastAsia"/>
        </w:rPr>
        <w:t>兩</w:t>
      </w:r>
      <w:r w:rsidRPr="00F232B5">
        <w:rPr>
          <w:rFonts w:hint="eastAsia"/>
          <w:lang w:eastAsia="zh-HK"/>
        </w:rPr>
        <w:t>宗換地個案和</w:t>
      </w:r>
      <w:r>
        <w:rPr>
          <w:rFonts w:hint="eastAsia"/>
        </w:rPr>
        <w:t>七</w:t>
      </w:r>
      <w:r w:rsidRPr="00F232B5">
        <w:rPr>
          <w:rFonts w:hint="eastAsia"/>
          <w:lang w:eastAsia="zh-HK"/>
        </w:rPr>
        <w:t>幅修訂契約的土地獲批。</w:t>
      </w:r>
    </w:p>
    <w:p w14:paraId="1840A541" w14:textId="77777777" w:rsidR="0013042F" w:rsidRDefault="0013042F">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78D158D8" w14:textId="03E8E9AB" w:rsidR="00540201" w:rsidRPr="00E813DF" w:rsidRDefault="00540201" w:rsidP="0013042F">
      <w:pPr>
        <w:pStyle w:val="120"/>
        <w:rPr>
          <w:lang w:val="en-GB"/>
        </w:rPr>
      </w:pPr>
      <w:r w:rsidRPr="009F5B27">
        <w:rPr>
          <w:rFonts w:hint="eastAsia"/>
        </w:rPr>
        <w:t>旅遊業</w:t>
      </w:r>
    </w:p>
    <w:p w14:paraId="557D421B" w14:textId="5F1434F2" w:rsidR="00850A9C" w:rsidRDefault="00850A9C" w:rsidP="0013042F">
      <w:pPr>
        <w:rPr>
          <w:lang w:eastAsia="zh-HK"/>
        </w:rPr>
      </w:pPr>
      <w:r>
        <w:rPr>
          <w:b/>
        </w:rPr>
        <w:t>3.13</w:t>
      </w:r>
      <w:r w:rsidRPr="002A51FB">
        <w:tab/>
      </w:r>
      <w:r w:rsidR="000675E0">
        <w:rPr>
          <w:rFonts w:hint="eastAsia"/>
          <w:lang w:eastAsia="zh-HK"/>
        </w:rPr>
        <w:t>訪港</w:t>
      </w:r>
      <w:r w:rsidRPr="007B3354">
        <w:rPr>
          <w:lang w:eastAsia="zh-HK"/>
        </w:rPr>
        <w:t>旅</w:t>
      </w:r>
      <w:r w:rsidRPr="007B3354">
        <w:t>遊</w:t>
      </w:r>
      <w:r w:rsidR="000675E0">
        <w:rPr>
          <w:rFonts w:hint="eastAsia"/>
          <w:lang w:eastAsia="zh-HK"/>
        </w:rPr>
        <w:t>業</w:t>
      </w:r>
      <w:r>
        <w:rPr>
          <w:rFonts w:hint="eastAsia"/>
        </w:rPr>
        <w:t>進一步向好</w:t>
      </w:r>
      <w:r>
        <w:rPr>
          <w:rFonts w:hint="eastAsia"/>
          <w:lang w:eastAsia="zh-HK"/>
        </w:rPr>
        <w:t>。</w:t>
      </w:r>
      <w:r w:rsidRPr="007B3354">
        <w:rPr>
          <w:rFonts w:hint="eastAsia"/>
          <w:i/>
        </w:rPr>
        <w:t>訪港旅客</w:t>
      </w:r>
      <w:r w:rsidRPr="00B551F4">
        <w:rPr>
          <w:rFonts w:hint="eastAsia"/>
          <w:i/>
        </w:rPr>
        <w:t>人次</w:t>
      </w:r>
      <w:r w:rsidRPr="00564AD5">
        <w:rPr>
          <w:rFonts w:hint="eastAsia"/>
        </w:rPr>
        <w:t>在第</w:t>
      </w:r>
      <w:r>
        <w:rPr>
          <w:rFonts w:hint="eastAsia"/>
          <w:lang w:eastAsia="zh-HK"/>
        </w:rPr>
        <w:t>二</w:t>
      </w:r>
      <w:r w:rsidRPr="00564AD5">
        <w:rPr>
          <w:rFonts w:hint="eastAsia"/>
        </w:rPr>
        <w:t>季按年</w:t>
      </w:r>
      <w:r w:rsidRPr="00A546D0">
        <w:rPr>
          <w:rFonts w:hint="eastAsia"/>
        </w:rPr>
        <w:t>上升</w:t>
      </w:r>
      <w:r>
        <w:rPr>
          <w:rFonts w:hint="eastAsia"/>
        </w:rPr>
        <w:t>15.0</w:t>
      </w:r>
      <w:r w:rsidRPr="007B3354">
        <w:rPr>
          <w:rFonts w:hint="eastAsia"/>
        </w:rPr>
        <w:t>%</w:t>
      </w:r>
      <w:r w:rsidRPr="007B3354">
        <w:rPr>
          <w:rFonts w:hint="eastAsia"/>
        </w:rPr>
        <w:t>至</w:t>
      </w:r>
      <w:r w:rsidR="002644A8">
        <w:rPr>
          <w:lang w:val="en-GB"/>
        </w:rPr>
        <w:t> </w:t>
      </w:r>
      <w:r>
        <w:rPr>
          <w:rFonts w:hint="eastAsia"/>
        </w:rPr>
        <w:t>1</w:t>
      </w:r>
      <w:r>
        <w:t> </w:t>
      </w:r>
      <w:r>
        <w:rPr>
          <w:rFonts w:hint="eastAsia"/>
        </w:rPr>
        <w:t>140</w:t>
      </w:r>
      <w:r>
        <w:t> </w:t>
      </w:r>
      <w:r w:rsidRPr="007B3354">
        <w:rPr>
          <w:rFonts w:hint="eastAsia"/>
        </w:rPr>
        <w:t>萬人次</w:t>
      </w:r>
      <w:r>
        <w:rPr>
          <w:rFonts w:hint="eastAsia"/>
          <w:lang w:eastAsia="zh-HK"/>
        </w:rPr>
        <w:t>。</w:t>
      </w:r>
      <w:r w:rsidRPr="007B3354">
        <w:rPr>
          <w:rFonts w:hint="eastAsia"/>
        </w:rPr>
        <w:t>內地訪港旅客人次</w:t>
      </w:r>
      <w:r w:rsidRPr="007B3354">
        <w:rPr>
          <w:rFonts w:hint="eastAsia"/>
        </w:rPr>
        <w:t>(</w:t>
      </w:r>
      <w:r w:rsidRPr="007B3354">
        <w:rPr>
          <w:rFonts w:hint="eastAsia"/>
        </w:rPr>
        <w:t>佔訪港旅客總人次的</w:t>
      </w:r>
      <w:r>
        <w:rPr>
          <w:rFonts w:hint="eastAsia"/>
        </w:rPr>
        <w:t>74.9</w:t>
      </w:r>
      <w:r w:rsidRPr="007B3354">
        <w:rPr>
          <w:rFonts w:hint="eastAsia"/>
        </w:rPr>
        <w:t>%)</w:t>
      </w:r>
      <w:r>
        <w:rPr>
          <w:rFonts w:hint="eastAsia"/>
        </w:rPr>
        <w:t>進一步顯著增長，</w:t>
      </w:r>
      <w:r w:rsidRPr="00C30D6A">
        <w:rPr>
          <w:rFonts w:hint="eastAsia"/>
        </w:rPr>
        <w:t>按年</w:t>
      </w:r>
      <w:r w:rsidRPr="007B3354">
        <w:rPr>
          <w:rFonts w:hint="eastAsia"/>
        </w:rPr>
        <w:t>上升</w:t>
      </w:r>
      <w:r w:rsidR="00702D33">
        <w:rPr>
          <w:lang w:val="en-GB"/>
        </w:rPr>
        <w:t> </w:t>
      </w:r>
      <w:r>
        <w:rPr>
          <w:rFonts w:hint="eastAsia"/>
        </w:rPr>
        <w:t>14.7</w:t>
      </w:r>
      <w:r w:rsidRPr="007B3354">
        <w:rPr>
          <w:rFonts w:hint="eastAsia"/>
        </w:rPr>
        <w:t>%</w:t>
      </w:r>
      <w:r w:rsidRPr="007B3354">
        <w:rPr>
          <w:rFonts w:hint="eastAsia"/>
        </w:rPr>
        <w:t>至</w:t>
      </w:r>
      <w:r w:rsidR="00702D33">
        <w:rPr>
          <w:lang w:val="en-GB"/>
        </w:rPr>
        <w:t> </w:t>
      </w:r>
      <w:r>
        <w:rPr>
          <w:rFonts w:hint="eastAsia"/>
        </w:rPr>
        <w:t>850</w:t>
      </w:r>
      <w:r>
        <w:t> </w:t>
      </w:r>
      <w:r w:rsidRPr="007B3354">
        <w:rPr>
          <w:rFonts w:hint="eastAsia"/>
        </w:rPr>
        <w:t>萬人次</w:t>
      </w:r>
      <w:r>
        <w:rPr>
          <w:rFonts w:hint="eastAsia"/>
        </w:rPr>
        <w:t>，</w:t>
      </w:r>
      <w:r w:rsidRPr="007B3354">
        <w:rPr>
          <w:rFonts w:hint="eastAsia"/>
        </w:rPr>
        <w:t>同</w:t>
      </w:r>
      <w:r>
        <w:rPr>
          <w:rFonts w:hint="eastAsia"/>
        </w:rPr>
        <w:t>期</w:t>
      </w:r>
      <w:r>
        <w:rPr>
          <w:rFonts w:hint="eastAsia"/>
          <w:lang w:eastAsia="zh-HK"/>
        </w:rPr>
        <w:t>非</w:t>
      </w:r>
      <w:r w:rsidRPr="007B3354">
        <w:rPr>
          <w:rFonts w:hint="eastAsia"/>
        </w:rPr>
        <w:t>內地訪港旅客人次</w:t>
      </w:r>
      <w:r w:rsidRPr="00BD6CC3">
        <w:rPr>
          <w:rFonts w:hint="eastAsia"/>
        </w:rPr>
        <w:t>錄得</w:t>
      </w:r>
      <w:r>
        <w:rPr>
          <w:rFonts w:hint="eastAsia"/>
        </w:rPr>
        <w:t>更</w:t>
      </w:r>
      <w:r w:rsidRPr="00BD6CC3">
        <w:rPr>
          <w:rFonts w:hint="eastAsia"/>
        </w:rPr>
        <w:t>快</w:t>
      </w:r>
      <w:r>
        <w:rPr>
          <w:rFonts w:hint="eastAsia"/>
        </w:rPr>
        <w:t>的</w:t>
      </w:r>
      <w:r w:rsidRPr="00BD6CC3">
        <w:rPr>
          <w:rFonts w:hint="eastAsia"/>
          <w:lang w:val="en-GB"/>
        </w:rPr>
        <w:t>增長</w:t>
      </w:r>
      <w:r>
        <w:rPr>
          <w:rFonts w:hint="eastAsia"/>
          <w:lang w:val="en-GB"/>
        </w:rPr>
        <w:t>，</w:t>
      </w:r>
      <w:r>
        <w:rPr>
          <w:rFonts w:hint="eastAsia"/>
        </w:rPr>
        <w:t>按年</w:t>
      </w:r>
      <w:r w:rsidRPr="007B3354">
        <w:rPr>
          <w:rFonts w:hint="eastAsia"/>
        </w:rPr>
        <w:t>上升</w:t>
      </w:r>
      <w:r w:rsidR="00FF0384">
        <w:rPr>
          <w:lang w:val="en-GB"/>
        </w:rPr>
        <w:t> </w:t>
      </w:r>
      <w:r>
        <w:rPr>
          <w:rFonts w:hint="eastAsia"/>
        </w:rPr>
        <w:t>15.8</w:t>
      </w:r>
      <w:r w:rsidRPr="007B3354">
        <w:rPr>
          <w:rFonts w:hint="eastAsia"/>
        </w:rPr>
        <w:t>%</w:t>
      </w:r>
      <w:r w:rsidRPr="007B3354">
        <w:rPr>
          <w:rFonts w:hint="eastAsia"/>
        </w:rPr>
        <w:t>至</w:t>
      </w:r>
      <w:r w:rsidR="00FF0384">
        <w:rPr>
          <w:lang w:val="en-GB"/>
        </w:rPr>
        <w:t> </w:t>
      </w:r>
      <w:r>
        <w:rPr>
          <w:rFonts w:hint="eastAsia"/>
        </w:rPr>
        <w:t>290</w:t>
      </w:r>
      <w:r>
        <w:t> </w:t>
      </w:r>
      <w:r w:rsidRPr="007B3354">
        <w:rPr>
          <w:rFonts w:hint="eastAsia"/>
        </w:rPr>
        <w:t>萬人次</w:t>
      </w:r>
      <w:r>
        <w:rPr>
          <w:rFonts w:hint="eastAsia"/>
          <w:lang w:eastAsia="zh-HK"/>
        </w:rPr>
        <w:t>。</w:t>
      </w:r>
      <w:r w:rsidRPr="007B3354">
        <w:rPr>
          <w:rFonts w:hint="eastAsia"/>
        </w:rPr>
        <w:t>來自長途市場的訪港旅客人次上升</w:t>
      </w:r>
      <w:r w:rsidR="00FF0384">
        <w:t> </w:t>
      </w:r>
      <w:r>
        <w:rPr>
          <w:rFonts w:hint="eastAsia"/>
        </w:rPr>
        <w:t>17.7%</w:t>
      </w:r>
      <w:r>
        <w:rPr>
          <w:rFonts w:hint="eastAsia"/>
          <w:lang w:eastAsia="zh-HK"/>
        </w:rPr>
        <w:t>至</w:t>
      </w:r>
      <w:r w:rsidR="00FF0384">
        <w:rPr>
          <w:lang w:val="en-GB"/>
        </w:rPr>
        <w:t> </w:t>
      </w:r>
      <w:r>
        <w:rPr>
          <w:rFonts w:hint="eastAsia"/>
        </w:rPr>
        <w:t>90</w:t>
      </w:r>
      <w:r>
        <w:t> </w:t>
      </w:r>
      <w:r w:rsidRPr="007B3354">
        <w:rPr>
          <w:rFonts w:hint="eastAsia"/>
        </w:rPr>
        <w:t>萬人次</w:t>
      </w:r>
      <w:r>
        <w:rPr>
          <w:rFonts w:hint="eastAsia"/>
        </w:rPr>
        <w:t>，</w:t>
      </w:r>
      <w:r w:rsidRPr="00A52658">
        <w:rPr>
          <w:rFonts w:hint="eastAsia"/>
          <w:lang w:val="en-GB"/>
        </w:rPr>
        <w:t>高於</w:t>
      </w:r>
      <w:r w:rsidRPr="00A52658">
        <w:rPr>
          <w:rFonts w:hint="eastAsia"/>
        </w:rPr>
        <w:t>短途市場</w:t>
      </w:r>
      <w:r w:rsidRPr="00A52658">
        <w:t>(</w:t>
      </w:r>
      <w:r w:rsidRPr="00A52658">
        <w:rPr>
          <w:rFonts w:hint="eastAsia"/>
        </w:rPr>
        <w:t>不包括內地</w:t>
      </w:r>
      <w:r w:rsidRPr="00A52658">
        <w:t>)</w:t>
      </w:r>
      <w:r>
        <w:rPr>
          <w:rFonts w:hint="eastAsia"/>
        </w:rPr>
        <w:t>14.9%</w:t>
      </w:r>
      <w:r>
        <w:rPr>
          <w:rFonts w:hint="eastAsia"/>
        </w:rPr>
        <w:t>的增長</w:t>
      </w:r>
      <w:r w:rsidRPr="00A52658">
        <w:t>(</w:t>
      </w:r>
      <w:r w:rsidRPr="00A52658">
        <w:rPr>
          <w:rFonts w:hint="eastAsia"/>
          <w:lang w:eastAsia="zh-HK"/>
        </w:rPr>
        <w:t>至</w:t>
      </w:r>
      <w:r w:rsidR="00FF0384">
        <w:rPr>
          <w:lang w:val="en-GB" w:eastAsia="zh-HK"/>
        </w:rPr>
        <w:t> </w:t>
      </w:r>
      <w:r w:rsidRPr="00A52658">
        <w:rPr>
          <w:rFonts w:hint="eastAsia"/>
        </w:rPr>
        <w:t>200</w:t>
      </w:r>
      <w:r w:rsidRPr="00A52658">
        <w:t> </w:t>
      </w:r>
      <w:r w:rsidRPr="00A52658">
        <w:rPr>
          <w:rFonts w:hint="eastAsia"/>
        </w:rPr>
        <w:t>萬人次</w:t>
      </w:r>
      <w:r w:rsidRPr="00A52658">
        <w:t>)</w:t>
      </w:r>
      <w:r w:rsidRPr="007B3354">
        <w:rPr>
          <w:rFonts w:hint="eastAsia"/>
        </w:rPr>
        <w:t>。按留港時間分析，過夜旅客和不過夜旅客人次分別</w:t>
      </w:r>
      <w:r w:rsidRPr="00C30D6A">
        <w:rPr>
          <w:rFonts w:hint="eastAsia"/>
        </w:rPr>
        <w:t>按年</w:t>
      </w:r>
      <w:r w:rsidRPr="007B3354">
        <w:rPr>
          <w:rFonts w:hint="eastAsia"/>
        </w:rPr>
        <w:t>上升</w:t>
      </w:r>
      <w:r>
        <w:rPr>
          <w:rFonts w:hint="eastAsia"/>
        </w:rPr>
        <w:t>9.5%</w:t>
      </w:r>
      <w:r w:rsidRPr="007B3354">
        <w:rPr>
          <w:rFonts w:hint="eastAsia"/>
        </w:rPr>
        <w:t>和</w:t>
      </w:r>
      <w:r>
        <w:rPr>
          <w:rFonts w:hint="eastAsia"/>
        </w:rPr>
        <w:t>20.4%</w:t>
      </w:r>
      <w:r>
        <w:rPr>
          <w:rFonts w:hint="eastAsia"/>
          <w:lang w:eastAsia="zh-HK"/>
        </w:rPr>
        <w:t>至</w:t>
      </w:r>
      <w:r w:rsidR="000675E0">
        <w:rPr>
          <w:lang w:eastAsia="zh-HK"/>
        </w:rPr>
        <w:t> </w:t>
      </w:r>
      <w:r>
        <w:rPr>
          <w:rFonts w:hint="eastAsia"/>
        </w:rPr>
        <w:t>540</w:t>
      </w:r>
      <w:r>
        <w:t> </w:t>
      </w:r>
      <w:r w:rsidRPr="007B3354">
        <w:rPr>
          <w:rFonts w:hint="eastAsia"/>
        </w:rPr>
        <w:t>萬</w:t>
      </w:r>
      <w:r w:rsidR="000328D0" w:rsidRPr="000328D0">
        <w:rPr>
          <w:rFonts w:hint="eastAsia"/>
        </w:rPr>
        <w:t>人次</w:t>
      </w:r>
      <w:r w:rsidRPr="00B60B0C">
        <w:rPr>
          <w:rFonts w:hint="eastAsia"/>
        </w:rPr>
        <w:t>和</w:t>
      </w:r>
      <w:r w:rsidR="000675E0">
        <w:t> </w:t>
      </w:r>
      <w:r>
        <w:rPr>
          <w:rFonts w:hint="eastAsia"/>
        </w:rPr>
        <w:t>600</w:t>
      </w:r>
      <w:r>
        <w:t> </w:t>
      </w:r>
      <w:r w:rsidRPr="00B6354A">
        <w:rPr>
          <w:rFonts w:hint="eastAsia"/>
        </w:rPr>
        <w:t>萬</w:t>
      </w:r>
      <w:r w:rsidRPr="007B3354">
        <w:rPr>
          <w:rFonts w:hint="eastAsia"/>
        </w:rPr>
        <w:t>人次。</w:t>
      </w:r>
      <w:r>
        <w:rPr>
          <w:rFonts w:hint="eastAsia"/>
          <w:lang w:eastAsia="zh-HK"/>
        </w:rPr>
        <w:t>與此</w:t>
      </w:r>
      <w:r w:rsidRPr="007B3354">
        <w:rPr>
          <w:rFonts w:hint="eastAsia"/>
        </w:rPr>
        <w:t>同時，</w:t>
      </w:r>
      <w:r w:rsidRPr="007B3354">
        <w:rPr>
          <w:lang w:eastAsia="zh-HK"/>
        </w:rPr>
        <w:t>旅客消費</w:t>
      </w:r>
      <w:r>
        <w:rPr>
          <w:rFonts w:hint="eastAsia"/>
          <w:lang w:eastAsia="zh-HK"/>
        </w:rPr>
        <w:t>(</w:t>
      </w:r>
      <w:r w:rsidRPr="007B3354">
        <w:rPr>
          <w:lang w:eastAsia="zh-HK"/>
        </w:rPr>
        <w:t>以旅遊服務輸出計算</w:t>
      </w:r>
      <w:r>
        <w:rPr>
          <w:rFonts w:hint="eastAsia"/>
          <w:lang w:eastAsia="zh-HK"/>
        </w:rPr>
        <w:t>)</w:t>
      </w:r>
      <w:r w:rsidRPr="00C30D6A">
        <w:rPr>
          <w:rFonts w:hint="eastAsia"/>
        </w:rPr>
        <w:t>按年</w:t>
      </w:r>
      <w:r w:rsidRPr="007B3354">
        <w:rPr>
          <w:lang w:eastAsia="zh-HK"/>
        </w:rPr>
        <w:t>實質</w:t>
      </w:r>
      <w:r>
        <w:rPr>
          <w:rFonts w:hint="eastAsia"/>
        </w:rPr>
        <w:t>上升</w:t>
      </w:r>
      <w:r w:rsidRPr="00810E5F">
        <w:t>13.6%</w:t>
      </w:r>
      <w:r w:rsidRPr="002A51FB">
        <w:rPr>
          <w:lang w:eastAsia="zh-HK"/>
        </w:rPr>
        <w:t>。</w:t>
      </w:r>
    </w:p>
    <w:p w14:paraId="5A75A492" w14:textId="710F122D" w:rsidR="00850A9C" w:rsidRDefault="00850A9C" w:rsidP="00C0038F">
      <w:pPr>
        <w:spacing w:after="160"/>
        <w:jc w:val="center"/>
        <w:rPr>
          <w:rFonts w:eastAsia="華康中黑體"/>
        </w:rPr>
      </w:pPr>
      <w:r w:rsidRPr="00A267E3">
        <w:rPr>
          <w:rFonts w:eastAsia="華康中黑體" w:hint="eastAsia"/>
        </w:rPr>
        <w:t>表</w:t>
      </w:r>
      <w:r w:rsidRPr="000675E0">
        <w:rPr>
          <w:rFonts w:eastAsia="華康中黑體"/>
          <w:b/>
          <w:bCs/>
        </w:rPr>
        <w:t>3.1</w:t>
      </w:r>
      <w:r w:rsidRPr="00CD5503">
        <w:rPr>
          <w:rFonts w:hint="eastAsia"/>
          <w:b/>
        </w:rPr>
        <w:t>：</w:t>
      </w:r>
      <w:r w:rsidRPr="00A267E3">
        <w:rPr>
          <w:rFonts w:eastAsia="華康中黑體" w:hint="eastAsia"/>
        </w:rPr>
        <w:t>訪港旅客人次</w:t>
      </w:r>
      <w:r w:rsidRPr="00CD5503">
        <w:rPr>
          <w:b/>
        </w:rPr>
        <w:t>(</w:t>
      </w:r>
      <w:r w:rsidRPr="00A267E3">
        <w:rPr>
          <w:rFonts w:eastAsia="華康中黑體" w:hint="eastAsia"/>
        </w:rPr>
        <w:t>千人次</w:t>
      </w:r>
      <w:r w:rsidRPr="00CD5503">
        <w:rPr>
          <w:b/>
        </w:rPr>
        <w:t>)</w:t>
      </w:r>
    </w:p>
    <w:tbl>
      <w:tblPr>
        <w:tblW w:w="10561" w:type="dxa"/>
        <w:jc w:val="center"/>
        <w:tblLayout w:type="fixed"/>
        <w:tblCellMar>
          <w:left w:w="28" w:type="dxa"/>
          <w:right w:w="28" w:type="dxa"/>
        </w:tblCellMar>
        <w:tblLook w:val="04A0" w:firstRow="1" w:lastRow="0" w:firstColumn="1" w:lastColumn="0" w:noHBand="0" w:noVBand="1"/>
      </w:tblPr>
      <w:tblGrid>
        <w:gridCol w:w="1375"/>
        <w:gridCol w:w="1020"/>
        <w:gridCol w:w="1361"/>
        <w:gridCol w:w="1361"/>
        <w:gridCol w:w="1361"/>
        <w:gridCol w:w="1361"/>
        <w:gridCol w:w="1361"/>
        <w:gridCol w:w="1361"/>
      </w:tblGrid>
      <w:tr w:rsidR="00801E45" w:rsidRPr="00770B62" w14:paraId="7626D4D0" w14:textId="77777777" w:rsidTr="005E5B9C">
        <w:trPr>
          <w:trHeight w:val="340"/>
          <w:jc w:val="center"/>
        </w:trPr>
        <w:tc>
          <w:tcPr>
            <w:tcW w:w="1375" w:type="dxa"/>
            <w:tcBorders>
              <w:top w:val="nil"/>
              <w:left w:val="nil"/>
              <w:bottom w:val="nil"/>
              <w:right w:val="nil"/>
            </w:tcBorders>
            <w:shd w:val="clear" w:color="auto" w:fill="auto"/>
            <w:noWrap/>
            <w:vAlign w:val="center"/>
          </w:tcPr>
          <w:p w14:paraId="73B6CBD1" w14:textId="77777777" w:rsidR="00801E45" w:rsidRPr="006F76A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020" w:type="dxa"/>
            <w:tcBorders>
              <w:top w:val="nil"/>
              <w:left w:val="nil"/>
              <w:bottom w:val="nil"/>
              <w:right w:val="nil"/>
            </w:tcBorders>
            <w:shd w:val="clear" w:color="auto" w:fill="auto"/>
            <w:noWrap/>
            <w:vAlign w:val="center"/>
          </w:tcPr>
          <w:p w14:paraId="46B6158C"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61" w:type="dxa"/>
            <w:vMerge w:val="restart"/>
            <w:tcBorders>
              <w:top w:val="nil"/>
              <w:left w:val="nil"/>
              <w:right w:val="nil"/>
            </w:tcBorders>
            <w:shd w:val="clear" w:color="auto" w:fill="auto"/>
            <w:noWrap/>
            <w:vAlign w:val="center"/>
          </w:tcPr>
          <w:p w14:paraId="5265892E" w14:textId="77777777" w:rsidR="00801E45" w:rsidRPr="00770B62" w:rsidDel="00784320" w:rsidRDefault="00801E45" w:rsidP="005E5B9C">
            <w:pPr>
              <w:keepNext/>
              <w:keepLines/>
              <w:widowControl w:val="0"/>
              <w:tabs>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Pr>
                <w:rFonts w:hint="eastAsia"/>
                <w:spacing w:val="0"/>
                <w:sz w:val="20"/>
                <w:u w:val="single"/>
              </w:rPr>
              <w:t>整體</w:t>
            </w:r>
          </w:p>
        </w:tc>
        <w:tc>
          <w:tcPr>
            <w:tcW w:w="4083" w:type="dxa"/>
            <w:gridSpan w:val="3"/>
            <w:tcBorders>
              <w:top w:val="nil"/>
              <w:left w:val="nil"/>
              <w:bottom w:val="nil"/>
              <w:right w:val="nil"/>
            </w:tcBorders>
            <w:shd w:val="clear" w:color="auto" w:fill="auto"/>
            <w:noWrap/>
            <w:vAlign w:val="center"/>
          </w:tcPr>
          <w:p w14:paraId="1C4C8414" w14:textId="22737EF2"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Pr>
                <w:rFonts w:hint="eastAsia"/>
                <w:spacing w:val="0"/>
                <w:sz w:val="20"/>
                <w:u w:val="single"/>
              </w:rPr>
              <w:t>按來源地</w:t>
            </w:r>
            <w:r w:rsidR="000328D0">
              <w:rPr>
                <w:rFonts w:hint="eastAsia"/>
                <w:spacing w:val="0"/>
                <w:sz w:val="20"/>
                <w:u w:val="single"/>
                <w:lang w:eastAsia="zh-HK"/>
              </w:rPr>
              <w:t>劃分</w:t>
            </w:r>
            <w:r w:rsidRPr="00897DA7">
              <w:rPr>
                <w:spacing w:val="0"/>
                <w:sz w:val="20"/>
                <w:vertAlign w:val="superscript"/>
              </w:rPr>
              <w:t>*</w:t>
            </w:r>
          </w:p>
        </w:tc>
        <w:tc>
          <w:tcPr>
            <w:tcW w:w="2722" w:type="dxa"/>
            <w:gridSpan w:val="2"/>
            <w:tcBorders>
              <w:top w:val="nil"/>
              <w:left w:val="nil"/>
              <w:bottom w:val="nil"/>
              <w:right w:val="nil"/>
            </w:tcBorders>
            <w:vAlign w:val="center"/>
          </w:tcPr>
          <w:p w14:paraId="3E73A8FD" w14:textId="03C25197" w:rsidR="00801E45" w:rsidRPr="00784320"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lang w:eastAsia="zh-HK"/>
              </w:rPr>
            </w:pPr>
            <w:r w:rsidRPr="00784320">
              <w:rPr>
                <w:rFonts w:hint="eastAsia"/>
                <w:spacing w:val="0"/>
                <w:sz w:val="20"/>
                <w:u w:val="single"/>
                <w:lang w:eastAsia="zh-HK"/>
              </w:rPr>
              <w:t>按留港時間</w:t>
            </w:r>
            <w:r w:rsidR="000328D0">
              <w:rPr>
                <w:rFonts w:hint="eastAsia"/>
                <w:spacing w:val="0"/>
                <w:sz w:val="20"/>
                <w:u w:val="single"/>
                <w:lang w:eastAsia="zh-HK"/>
              </w:rPr>
              <w:t>劃分</w:t>
            </w:r>
          </w:p>
        </w:tc>
      </w:tr>
      <w:tr w:rsidR="00801E45" w:rsidRPr="00770B62" w14:paraId="47FC5709" w14:textId="77777777" w:rsidTr="005E5B9C">
        <w:trPr>
          <w:trHeight w:val="340"/>
          <w:jc w:val="center"/>
        </w:trPr>
        <w:tc>
          <w:tcPr>
            <w:tcW w:w="1375" w:type="dxa"/>
            <w:tcBorders>
              <w:top w:val="nil"/>
              <w:left w:val="nil"/>
              <w:bottom w:val="nil"/>
              <w:right w:val="nil"/>
            </w:tcBorders>
            <w:shd w:val="clear" w:color="auto" w:fill="auto"/>
            <w:noWrap/>
            <w:vAlign w:val="center"/>
            <w:hideMark/>
          </w:tcPr>
          <w:p w14:paraId="4ABF26C6"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p w14:paraId="223F5379"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020" w:type="dxa"/>
            <w:tcBorders>
              <w:top w:val="nil"/>
              <w:left w:val="nil"/>
              <w:bottom w:val="nil"/>
              <w:right w:val="nil"/>
            </w:tcBorders>
            <w:shd w:val="clear" w:color="auto" w:fill="auto"/>
            <w:noWrap/>
            <w:vAlign w:val="center"/>
            <w:hideMark/>
          </w:tcPr>
          <w:p w14:paraId="7271FEC1"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61" w:type="dxa"/>
            <w:vMerge/>
            <w:tcBorders>
              <w:left w:val="nil"/>
              <w:bottom w:val="nil"/>
              <w:right w:val="nil"/>
            </w:tcBorders>
            <w:shd w:val="clear" w:color="auto" w:fill="auto"/>
            <w:noWrap/>
            <w:vAlign w:val="center"/>
            <w:hideMark/>
          </w:tcPr>
          <w:p w14:paraId="1A471BFD"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p>
        </w:tc>
        <w:tc>
          <w:tcPr>
            <w:tcW w:w="1361" w:type="dxa"/>
            <w:tcBorders>
              <w:top w:val="nil"/>
              <w:left w:val="nil"/>
              <w:bottom w:val="nil"/>
              <w:right w:val="nil"/>
            </w:tcBorders>
            <w:shd w:val="clear" w:color="auto" w:fill="auto"/>
            <w:noWrap/>
            <w:vAlign w:val="center"/>
            <w:hideMark/>
          </w:tcPr>
          <w:p w14:paraId="350985B6" w14:textId="77777777" w:rsidR="00801E45" w:rsidRPr="00897DA7"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897DA7">
              <w:rPr>
                <w:rFonts w:hint="eastAsia"/>
                <w:spacing w:val="0"/>
                <w:sz w:val="20"/>
                <w:u w:val="single"/>
              </w:rPr>
              <w:t>中國內地</w:t>
            </w:r>
          </w:p>
        </w:tc>
        <w:tc>
          <w:tcPr>
            <w:tcW w:w="1361" w:type="dxa"/>
            <w:tcBorders>
              <w:top w:val="nil"/>
              <w:left w:val="nil"/>
              <w:bottom w:val="nil"/>
              <w:right w:val="nil"/>
            </w:tcBorders>
            <w:shd w:val="clear" w:color="auto" w:fill="auto"/>
            <w:noWrap/>
            <w:vAlign w:val="center"/>
            <w:hideMark/>
          </w:tcPr>
          <w:p w14:paraId="495B77ED" w14:textId="59E67BE8" w:rsidR="00801E45" w:rsidRPr="00897DA7"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897DA7">
              <w:rPr>
                <w:rFonts w:hint="eastAsia"/>
                <w:spacing w:val="0"/>
                <w:sz w:val="20"/>
                <w:u w:val="single"/>
              </w:rPr>
              <w:t>其他短途市場</w:t>
            </w:r>
          </w:p>
        </w:tc>
        <w:tc>
          <w:tcPr>
            <w:tcW w:w="1361" w:type="dxa"/>
            <w:tcBorders>
              <w:top w:val="nil"/>
              <w:left w:val="nil"/>
              <w:bottom w:val="nil"/>
              <w:right w:val="nil"/>
            </w:tcBorders>
            <w:shd w:val="clear" w:color="auto" w:fill="auto"/>
            <w:noWrap/>
            <w:vAlign w:val="center"/>
            <w:hideMark/>
          </w:tcPr>
          <w:p w14:paraId="55148CA6" w14:textId="7A2C63E5" w:rsidR="00801E45" w:rsidRPr="00897DA7"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897DA7">
              <w:rPr>
                <w:rFonts w:hint="eastAsia"/>
                <w:spacing w:val="0"/>
                <w:sz w:val="20"/>
                <w:u w:val="single"/>
              </w:rPr>
              <w:t>長途市場</w:t>
            </w:r>
          </w:p>
        </w:tc>
        <w:tc>
          <w:tcPr>
            <w:tcW w:w="1361" w:type="dxa"/>
            <w:tcBorders>
              <w:top w:val="nil"/>
              <w:left w:val="nil"/>
              <w:bottom w:val="nil"/>
              <w:right w:val="nil"/>
            </w:tcBorders>
            <w:vAlign w:val="center"/>
          </w:tcPr>
          <w:p w14:paraId="10649612" w14:textId="77777777" w:rsidR="00801E45" w:rsidRPr="00897DA7"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897DA7">
              <w:rPr>
                <w:rFonts w:hint="eastAsia"/>
                <w:spacing w:val="0"/>
                <w:sz w:val="20"/>
                <w:u w:val="single"/>
                <w:lang w:eastAsia="zh-HK"/>
              </w:rPr>
              <w:t>過夜旅客</w:t>
            </w:r>
          </w:p>
        </w:tc>
        <w:tc>
          <w:tcPr>
            <w:tcW w:w="1361" w:type="dxa"/>
            <w:tcBorders>
              <w:top w:val="nil"/>
              <w:left w:val="nil"/>
              <w:bottom w:val="nil"/>
              <w:right w:val="nil"/>
            </w:tcBorders>
            <w:vAlign w:val="center"/>
          </w:tcPr>
          <w:p w14:paraId="7DDDFB3D" w14:textId="77777777" w:rsidR="00801E45" w:rsidRPr="00897DA7"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897DA7">
              <w:rPr>
                <w:rFonts w:hint="eastAsia"/>
                <w:spacing w:val="0"/>
                <w:sz w:val="20"/>
                <w:u w:val="single"/>
                <w:lang w:eastAsia="zh-HK"/>
              </w:rPr>
              <w:t>不過夜旅客</w:t>
            </w:r>
          </w:p>
        </w:tc>
      </w:tr>
      <w:tr w:rsidR="00801E45" w:rsidRPr="00770B62" w14:paraId="7F5ACAB4" w14:textId="77777777" w:rsidTr="005E5B9C">
        <w:trPr>
          <w:trHeight w:hRule="exact" w:val="113"/>
          <w:jc w:val="center"/>
        </w:trPr>
        <w:tc>
          <w:tcPr>
            <w:tcW w:w="1375" w:type="dxa"/>
            <w:tcBorders>
              <w:top w:val="nil"/>
              <w:left w:val="nil"/>
              <w:bottom w:val="nil"/>
              <w:right w:val="nil"/>
            </w:tcBorders>
            <w:shd w:val="clear" w:color="auto" w:fill="auto"/>
            <w:noWrap/>
            <w:vAlign w:val="center"/>
          </w:tcPr>
          <w:p w14:paraId="36A3C21F"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020" w:type="dxa"/>
            <w:tcBorders>
              <w:top w:val="nil"/>
              <w:left w:val="nil"/>
              <w:bottom w:val="nil"/>
              <w:right w:val="nil"/>
            </w:tcBorders>
            <w:shd w:val="clear" w:color="auto" w:fill="auto"/>
            <w:noWrap/>
            <w:vAlign w:val="center"/>
          </w:tcPr>
          <w:p w14:paraId="435AEE89"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61" w:type="dxa"/>
            <w:tcBorders>
              <w:top w:val="nil"/>
              <w:left w:val="nil"/>
              <w:bottom w:val="nil"/>
              <w:right w:val="nil"/>
            </w:tcBorders>
            <w:shd w:val="clear" w:color="auto" w:fill="auto"/>
            <w:noWrap/>
            <w:vAlign w:val="center"/>
          </w:tcPr>
          <w:p w14:paraId="127DDE5B"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61" w:type="dxa"/>
            <w:tcBorders>
              <w:top w:val="nil"/>
              <w:left w:val="nil"/>
              <w:bottom w:val="nil"/>
              <w:right w:val="nil"/>
            </w:tcBorders>
            <w:shd w:val="clear" w:color="auto" w:fill="auto"/>
            <w:noWrap/>
            <w:vAlign w:val="center"/>
          </w:tcPr>
          <w:p w14:paraId="01C801B5"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61" w:type="dxa"/>
            <w:tcBorders>
              <w:top w:val="nil"/>
              <w:left w:val="nil"/>
              <w:bottom w:val="nil"/>
              <w:right w:val="nil"/>
            </w:tcBorders>
            <w:shd w:val="clear" w:color="auto" w:fill="auto"/>
            <w:noWrap/>
            <w:vAlign w:val="center"/>
          </w:tcPr>
          <w:p w14:paraId="70F63C84"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61" w:type="dxa"/>
            <w:tcBorders>
              <w:top w:val="nil"/>
              <w:left w:val="nil"/>
              <w:bottom w:val="nil"/>
              <w:right w:val="nil"/>
            </w:tcBorders>
            <w:shd w:val="clear" w:color="auto" w:fill="auto"/>
            <w:noWrap/>
            <w:vAlign w:val="center"/>
          </w:tcPr>
          <w:p w14:paraId="317C83E6"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61" w:type="dxa"/>
            <w:tcBorders>
              <w:top w:val="nil"/>
              <w:left w:val="nil"/>
              <w:bottom w:val="nil"/>
              <w:right w:val="nil"/>
            </w:tcBorders>
            <w:vAlign w:val="center"/>
          </w:tcPr>
          <w:p w14:paraId="10DCE759"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61" w:type="dxa"/>
            <w:tcBorders>
              <w:top w:val="nil"/>
              <w:left w:val="nil"/>
              <w:bottom w:val="nil"/>
              <w:right w:val="nil"/>
            </w:tcBorders>
            <w:vAlign w:val="center"/>
          </w:tcPr>
          <w:p w14:paraId="05A3FE2D"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801E45" w:rsidRPr="00770B62" w14:paraId="5C5D006D" w14:textId="77777777" w:rsidTr="005E5B9C">
        <w:trPr>
          <w:trHeight w:val="340"/>
          <w:jc w:val="center"/>
        </w:trPr>
        <w:tc>
          <w:tcPr>
            <w:tcW w:w="1375" w:type="dxa"/>
            <w:tcBorders>
              <w:top w:val="nil"/>
              <w:left w:val="nil"/>
              <w:bottom w:val="nil"/>
              <w:right w:val="nil"/>
            </w:tcBorders>
            <w:shd w:val="clear" w:color="auto" w:fill="auto"/>
            <w:noWrap/>
            <w:vAlign w:val="center"/>
          </w:tcPr>
          <w:p w14:paraId="591F4ABC"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lang w:eastAsia="zh-HK"/>
              </w:rPr>
            </w:pPr>
            <w:r w:rsidRPr="00770B62">
              <w:rPr>
                <w:rFonts w:hint="eastAsia"/>
                <w:spacing w:val="0"/>
                <w:sz w:val="20"/>
                <w:lang w:eastAsia="zh-HK"/>
              </w:rPr>
              <w:t>二零二三年</w:t>
            </w:r>
          </w:p>
        </w:tc>
        <w:tc>
          <w:tcPr>
            <w:tcW w:w="1020" w:type="dxa"/>
            <w:tcBorders>
              <w:top w:val="nil"/>
              <w:left w:val="nil"/>
              <w:bottom w:val="nil"/>
              <w:right w:val="nil"/>
            </w:tcBorders>
            <w:shd w:val="clear" w:color="auto" w:fill="auto"/>
            <w:noWrap/>
            <w:vAlign w:val="center"/>
          </w:tcPr>
          <w:p w14:paraId="2082E524"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770B62">
              <w:rPr>
                <w:rFonts w:hint="eastAsia"/>
                <w:spacing w:val="0"/>
                <w:sz w:val="20"/>
              </w:rPr>
              <w:t>第三季</w:t>
            </w:r>
          </w:p>
        </w:tc>
        <w:tc>
          <w:tcPr>
            <w:tcW w:w="1361" w:type="dxa"/>
            <w:shd w:val="clear" w:color="auto" w:fill="auto"/>
            <w:noWrap/>
            <w:vAlign w:val="center"/>
          </w:tcPr>
          <w:p w14:paraId="589D5D8F"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10 438.1</w:t>
            </w:r>
          </w:p>
        </w:tc>
        <w:tc>
          <w:tcPr>
            <w:tcW w:w="1361" w:type="dxa"/>
            <w:shd w:val="clear" w:color="auto" w:fill="auto"/>
            <w:noWrap/>
            <w:vAlign w:val="center"/>
          </w:tcPr>
          <w:p w14:paraId="281B1BBB"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8 573.5</w:t>
            </w:r>
          </w:p>
        </w:tc>
        <w:tc>
          <w:tcPr>
            <w:tcW w:w="1361" w:type="dxa"/>
            <w:shd w:val="clear" w:color="auto" w:fill="auto"/>
            <w:noWrap/>
            <w:vAlign w:val="center"/>
          </w:tcPr>
          <w:p w14:paraId="3303942D"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1 328.7</w:t>
            </w:r>
          </w:p>
        </w:tc>
        <w:tc>
          <w:tcPr>
            <w:tcW w:w="1361" w:type="dxa"/>
            <w:shd w:val="clear" w:color="auto" w:fill="auto"/>
            <w:noWrap/>
            <w:vAlign w:val="center"/>
          </w:tcPr>
          <w:p w14:paraId="2B584184"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535.9</w:t>
            </w:r>
          </w:p>
        </w:tc>
        <w:tc>
          <w:tcPr>
            <w:tcW w:w="1361" w:type="dxa"/>
            <w:vAlign w:val="center"/>
          </w:tcPr>
          <w:p w14:paraId="73D61D26"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5 267.6</w:t>
            </w:r>
          </w:p>
        </w:tc>
        <w:tc>
          <w:tcPr>
            <w:tcW w:w="1361" w:type="dxa"/>
            <w:vAlign w:val="center"/>
          </w:tcPr>
          <w:p w14:paraId="78291D7B"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5 170.5</w:t>
            </w:r>
          </w:p>
        </w:tc>
      </w:tr>
      <w:tr w:rsidR="00801E45" w:rsidRPr="00770B62" w14:paraId="6F575D6A" w14:textId="77777777" w:rsidTr="005E5B9C">
        <w:trPr>
          <w:trHeight w:val="340"/>
          <w:jc w:val="center"/>
        </w:trPr>
        <w:tc>
          <w:tcPr>
            <w:tcW w:w="1375" w:type="dxa"/>
            <w:tcBorders>
              <w:top w:val="nil"/>
              <w:left w:val="nil"/>
              <w:bottom w:val="nil"/>
              <w:right w:val="nil"/>
            </w:tcBorders>
            <w:shd w:val="clear" w:color="auto" w:fill="auto"/>
            <w:noWrap/>
            <w:vAlign w:val="center"/>
          </w:tcPr>
          <w:p w14:paraId="76E64277"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lang w:eastAsia="zh-HK"/>
              </w:rPr>
            </w:pPr>
          </w:p>
        </w:tc>
        <w:tc>
          <w:tcPr>
            <w:tcW w:w="1020" w:type="dxa"/>
            <w:tcBorders>
              <w:top w:val="nil"/>
              <w:left w:val="nil"/>
              <w:bottom w:val="nil"/>
              <w:right w:val="nil"/>
            </w:tcBorders>
            <w:shd w:val="clear" w:color="auto" w:fill="auto"/>
            <w:noWrap/>
            <w:vAlign w:val="center"/>
          </w:tcPr>
          <w:p w14:paraId="7A90CC82"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p>
        </w:tc>
        <w:tc>
          <w:tcPr>
            <w:tcW w:w="1361" w:type="dxa"/>
            <w:shd w:val="clear" w:color="auto" w:fill="auto"/>
            <w:noWrap/>
            <w:vAlign w:val="center"/>
          </w:tcPr>
          <w:p w14:paraId="20028C0B"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w:t>
            </w:r>
            <w:r w:rsidRPr="00091A72">
              <w:rPr>
                <w:rFonts w:eastAsia="新細明體"/>
                <w:color w:val="000000"/>
                <w:spacing w:val="0"/>
                <w:kern w:val="2"/>
                <w:sz w:val="20"/>
              </w:rPr>
              <w:t xml:space="preserve"> </w:t>
            </w:r>
            <w:r w:rsidRPr="00091A72">
              <w:rPr>
                <w:rFonts w:eastAsia="新細明體"/>
                <w:color w:val="000000"/>
                <w:spacing w:val="0"/>
                <w:kern w:val="2"/>
                <w:sz w:val="20"/>
                <w:lang w:val="en-GB"/>
              </w:rPr>
              <w:t>909.4)</w:t>
            </w:r>
          </w:p>
        </w:tc>
        <w:tc>
          <w:tcPr>
            <w:tcW w:w="1361" w:type="dxa"/>
            <w:shd w:val="clear" w:color="auto" w:fill="auto"/>
            <w:noWrap/>
            <w:vAlign w:val="center"/>
          </w:tcPr>
          <w:p w14:paraId="1CC33C5E"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(6</w:t>
            </w:r>
            <w:r w:rsidRPr="00091A72">
              <w:rPr>
                <w:rFonts w:eastAsia="新細明體"/>
                <w:color w:val="000000"/>
                <w:spacing w:val="0"/>
                <w:kern w:val="2"/>
                <w:sz w:val="20"/>
              </w:rPr>
              <w:t xml:space="preserve"> </w:t>
            </w:r>
            <w:r w:rsidRPr="00091A72">
              <w:rPr>
                <w:rFonts w:eastAsia="新細明體"/>
                <w:color w:val="000000"/>
                <w:spacing w:val="0"/>
                <w:kern w:val="2"/>
                <w:sz w:val="20"/>
                <w:lang w:val="en-GB"/>
              </w:rPr>
              <w:t>038.5)</w:t>
            </w:r>
          </w:p>
        </w:tc>
        <w:tc>
          <w:tcPr>
            <w:tcW w:w="1361" w:type="dxa"/>
            <w:shd w:val="clear" w:color="auto" w:fill="auto"/>
            <w:noWrap/>
            <w:vAlign w:val="center"/>
          </w:tcPr>
          <w:p w14:paraId="08EFA8BC"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(7</w:t>
            </w:r>
            <w:r w:rsidRPr="00091A72">
              <w:rPr>
                <w:rFonts w:eastAsia="新細明體"/>
                <w:color w:val="000000"/>
                <w:spacing w:val="0"/>
                <w:kern w:val="2"/>
                <w:sz w:val="20"/>
              </w:rPr>
              <w:t xml:space="preserve"> </w:t>
            </w:r>
            <w:r w:rsidRPr="00091A72">
              <w:rPr>
                <w:rFonts w:eastAsia="新細明體"/>
                <w:color w:val="000000"/>
                <w:spacing w:val="0"/>
                <w:kern w:val="2"/>
                <w:sz w:val="20"/>
                <w:lang w:val="en-GB"/>
              </w:rPr>
              <w:t>631.6)</w:t>
            </w:r>
          </w:p>
        </w:tc>
        <w:tc>
          <w:tcPr>
            <w:tcW w:w="1361" w:type="dxa"/>
            <w:shd w:val="clear" w:color="auto" w:fill="auto"/>
            <w:noWrap/>
            <w:vAlign w:val="center"/>
          </w:tcPr>
          <w:p w14:paraId="6D28EBD1"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(3</w:t>
            </w:r>
            <w:r w:rsidRPr="00091A72">
              <w:rPr>
                <w:rFonts w:eastAsia="新細明體"/>
                <w:color w:val="000000"/>
                <w:spacing w:val="0"/>
                <w:kern w:val="2"/>
                <w:sz w:val="20"/>
              </w:rPr>
              <w:t xml:space="preserve"> </w:t>
            </w:r>
            <w:r w:rsidRPr="00091A72">
              <w:rPr>
                <w:rFonts w:eastAsia="新細明體"/>
                <w:color w:val="000000"/>
                <w:spacing w:val="0"/>
                <w:kern w:val="2"/>
                <w:sz w:val="20"/>
                <w:lang w:val="en-GB"/>
              </w:rPr>
              <w:t>082.2)</w:t>
            </w:r>
          </w:p>
        </w:tc>
        <w:tc>
          <w:tcPr>
            <w:tcW w:w="1361" w:type="dxa"/>
            <w:vAlign w:val="center"/>
          </w:tcPr>
          <w:p w14:paraId="55EBA19E"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(3</w:t>
            </w:r>
            <w:r w:rsidRPr="00091A72">
              <w:rPr>
                <w:rFonts w:eastAsia="新細明體"/>
                <w:color w:val="000000"/>
                <w:spacing w:val="0"/>
                <w:kern w:val="2"/>
                <w:sz w:val="20"/>
              </w:rPr>
              <w:t xml:space="preserve"> </w:t>
            </w:r>
            <w:r w:rsidRPr="00091A72">
              <w:rPr>
                <w:rFonts w:eastAsia="新細明體"/>
                <w:color w:val="000000"/>
                <w:spacing w:val="0"/>
                <w:kern w:val="2"/>
                <w:sz w:val="20"/>
                <w:lang w:val="en-GB"/>
              </w:rPr>
              <w:t>100.0)</w:t>
            </w:r>
          </w:p>
        </w:tc>
        <w:tc>
          <w:tcPr>
            <w:tcW w:w="1361" w:type="dxa"/>
            <w:vAlign w:val="center"/>
          </w:tcPr>
          <w:p w14:paraId="4BA40B6E"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(56</w:t>
            </w:r>
            <w:r w:rsidRPr="00091A72">
              <w:rPr>
                <w:rFonts w:eastAsia="新細明體"/>
                <w:color w:val="000000"/>
                <w:spacing w:val="0"/>
                <w:kern w:val="2"/>
                <w:sz w:val="20"/>
              </w:rPr>
              <w:t xml:space="preserve"> </w:t>
            </w:r>
            <w:r w:rsidRPr="00091A72">
              <w:rPr>
                <w:rFonts w:eastAsia="新細明體"/>
                <w:color w:val="000000"/>
                <w:spacing w:val="0"/>
                <w:kern w:val="2"/>
                <w:sz w:val="20"/>
                <w:lang w:val="en-GB"/>
              </w:rPr>
              <w:t>831.0)</w:t>
            </w:r>
          </w:p>
        </w:tc>
      </w:tr>
      <w:tr w:rsidR="00801E45" w:rsidRPr="00770B62" w14:paraId="3077FC5F" w14:textId="77777777" w:rsidTr="005E5B9C">
        <w:trPr>
          <w:trHeight w:val="340"/>
          <w:jc w:val="center"/>
        </w:trPr>
        <w:tc>
          <w:tcPr>
            <w:tcW w:w="1375" w:type="dxa"/>
            <w:tcBorders>
              <w:top w:val="nil"/>
              <w:left w:val="nil"/>
              <w:bottom w:val="nil"/>
              <w:right w:val="nil"/>
            </w:tcBorders>
            <w:shd w:val="clear" w:color="auto" w:fill="auto"/>
            <w:noWrap/>
            <w:vAlign w:val="center"/>
          </w:tcPr>
          <w:p w14:paraId="05A79F47"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lang w:eastAsia="zh-HK"/>
              </w:rPr>
            </w:pPr>
          </w:p>
        </w:tc>
        <w:tc>
          <w:tcPr>
            <w:tcW w:w="1020" w:type="dxa"/>
            <w:tcBorders>
              <w:top w:val="nil"/>
              <w:left w:val="nil"/>
              <w:bottom w:val="nil"/>
              <w:right w:val="nil"/>
            </w:tcBorders>
            <w:shd w:val="clear" w:color="auto" w:fill="auto"/>
            <w:noWrap/>
            <w:vAlign w:val="center"/>
          </w:tcPr>
          <w:p w14:paraId="0A960C56"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770B62">
              <w:rPr>
                <w:rFonts w:hint="eastAsia"/>
                <w:spacing w:val="0"/>
                <w:sz w:val="20"/>
              </w:rPr>
              <w:t>第四季</w:t>
            </w:r>
          </w:p>
        </w:tc>
        <w:tc>
          <w:tcPr>
            <w:tcW w:w="1361" w:type="dxa"/>
            <w:shd w:val="clear" w:color="auto" w:fill="auto"/>
            <w:noWrap/>
            <w:vAlign w:val="center"/>
          </w:tcPr>
          <w:p w14:paraId="3963F2CB"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10 677.7</w:t>
            </w:r>
          </w:p>
        </w:tc>
        <w:tc>
          <w:tcPr>
            <w:tcW w:w="1361" w:type="dxa"/>
            <w:shd w:val="clear" w:color="auto" w:fill="auto"/>
            <w:noWrap/>
            <w:vAlign w:val="center"/>
          </w:tcPr>
          <w:p w14:paraId="4A662E63"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8 077.7</w:t>
            </w:r>
          </w:p>
        </w:tc>
        <w:tc>
          <w:tcPr>
            <w:tcW w:w="1361" w:type="dxa"/>
            <w:shd w:val="clear" w:color="auto" w:fill="auto"/>
            <w:noWrap/>
            <w:vAlign w:val="center"/>
          </w:tcPr>
          <w:p w14:paraId="4D0E613C"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1 834.1</w:t>
            </w:r>
          </w:p>
        </w:tc>
        <w:tc>
          <w:tcPr>
            <w:tcW w:w="1361" w:type="dxa"/>
            <w:shd w:val="clear" w:color="auto" w:fill="auto"/>
            <w:noWrap/>
            <w:vAlign w:val="center"/>
          </w:tcPr>
          <w:p w14:paraId="3BB50966"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765.9</w:t>
            </w:r>
          </w:p>
        </w:tc>
        <w:tc>
          <w:tcPr>
            <w:tcW w:w="1361" w:type="dxa"/>
            <w:vAlign w:val="center"/>
          </w:tcPr>
          <w:p w14:paraId="2B36564A"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5 313.9</w:t>
            </w:r>
          </w:p>
        </w:tc>
        <w:tc>
          <w:tcPr>
            <w:tcW w:w="1361" w:type="dxa"/>
            <w:vAlign w:val="center"/>
          </w:tcPr>
          <w:p w14:paraId="5E990C41"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5 363.8</w:t>
            </w:r>
          </w:p>
        </w:tc>
      </w:tr>
      <w:tr w:rsidR="00801E45" w:rsidRPr="00770B62" w14:paraId="1D6800C3" w14:textId="77777777" w:rsidTr="005E5B9C">
        <w:trPr>
          <w:trHeight w:val="340"/>
          <w:jc w:val="center"/>
        </w:trPr>
        <w:tc>
          <w:tcPr>
            <w:tcW w:w="1375" w:type="dxa"/>
            <w:tcBorders>
              <w:top w:val="nil"/>
              <w:left w:val="nil"/>
              <w:bottom w:val="nil"/>
              <w:right w:val="nil"/>
            </w:tcBorders>
            <w:shd w:val="clear" w:color="auto" w:fill="auto"/>
            <w:noWrap/>
            <w:vAlign w:val="center"/>
          </w:tcPr>
          <w:p w14:paraId="06198B6D"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lang w:eastAsia="zh-HK"/>
              </w:rPr>
            </w:pPr>
          </w:p>
        </w:tc>
        <w:tc>
          <w:tcPr>
            <w:tcW w:w="1020" w:type="dxa"/>
            <w:tcBorders>
              <w:top w:val="nil"/>
              <w:left w:val="nil"/>
              <w:bottom w:val="nil"/>
              <w:right w:val="nil"/>
            </w:tcBorders>
            <w:shd w:val="clear" w:color="auto" w:fill="auto"/>
            <w:noWrap/>
            <w:vAlign w:val="center"/>
          </w:tcPr>
          <w:p w14:paraId="1D068FF1"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p>
        </w:tc>
        <w:tc>
          <w:tcPr>
            <w:tcW w:w="1361" w:type="dxa"/>
            <w:shd w:val="clear" w:color="auto" w:fill="auto"/>
            <w:noWrap/>
            <w:vAlign w:val="center"/>
          </w:tcPr>
          <w:p w14:paraId="1FCCE4FF"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(2</w:t>
            </w:r>
            <w:r w:rsidRPr="00091A72">
              <w:rPr>
                <w:rFonts w:eastAsia="新細明體"/>
                <w:color w:val="000000"/>
                <w:spacing w:val="0"/>
                <w:kern w:val="2"/>
                <w:sz w:val="20"/>
              </w:rPr>
              <w:t xml:space="preserve"> </w:t>
            </w:r>
            <w:r w:rsidRPr="00091A72">
              <w:rPr>
                <w:rFonts w:eastAsia="新細明體"/>
                <w:color w:val="000000"/>
                <w:spacing w:val="0"/>
                <w:kern w:val="2"/>
                <w:sz w:val="20"/>
                <w:lang w:val="en-GB"/>
              </w:rPr>
              <w:t>908.9)</w:t>
            </w:r>
          </w:p>
        </w:tc>
        <w:tc>
          <w:tcPr>
            <w:tcW w:w="1361" w:type="dxa"/>
            <w:shd w:val="clear" w:color="auto" w:fill="auto"/>
            <w:noWrap/>
            <w:vAlign w:val="center"/>
          </w:tcPr>
          <w:p w14:paraId="1279D951"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(4</w:t>
            </w:r>
            <w:r w:rsidRPr="00091A72">
              <w:rPr>
                <w:rFonts w:eastAsia="新細明體"/>
                <w:color w:val="000000"/>
                <w:spacing w:val="0"/>
                <w:kern w:val="2"/>
                <w:sz w:val="20"/>
              </w:rPr>
              <w:t xml:space="preserve"> </w:t>
            </w:r>
            <w:r w:rsidRPr="00091A72">
              <w:rPr>
                <w:rFonts w:eastAsia="新細明體"/>
                <w:color w:val="000000"/>
                <w:spacing w:val="0"/>
                <w:kern w:val="2"/>
                <w:sz w:val="20"/>
                <w:lang w:val="en-GB"/>
              </w:rPr>
              <w:t>552.7)</w:t>
            </w:r>
          </w:p>
        </w:tc>
        <w:tc>
          <w:tcPr>
            <w:tcW w:w="1361" w:type="dxa"/>
            <w:shd w:val="clear" w:color="auto" w:fill="auto"/>
            <w:noWrap/>
            <w:vAlign w:val="center"/>
          </w:tcPr>
          <w:p w14:paraId="6792A142"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w:t>
            </w:r>
            <w:r w:rsidRPr="00091A72">
              <w:rPr>
                <w:rFonts w:eastAsia="新細明體"/>
                <w:color w:val="000000"/>
                <w:spacing w:val="0"/>
                <w:kern w:val="2"/>
                <w:sz w:val="20"/>
              </w:rPr>
              <w:t xml:space="preserve"> </w:t>
            </w:r>
            <w:r w:rsidRPr="00091A72">
              <w:rPr>
                <w:rFonts w:eastAsia="新細明體"/>
                <w:color w:val="000000"/>
                <w:spacing w:val="0"/>
                <w:kern w:val="2"/>
                <w:sz w:val="20"/>
                <w:lang w:val="en-GB"/>
              </w:rPr>
              <w:t>689.8)</w:t>
            </w:r>
          </w:p>
        </w:tc>
        <w:tc>
          <w:tcPr>
            <w:tcW w:w="1361" w:type="dxa"/>
            <w:shd w:val="clear" w:color="auto" w:fill="auto"/>
            <w:noWrap/>
            <w:vAlign w:val="center"/>
          </w:tcPr>
          <w:p w14:paraId="7F4160F3"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(872.2)</w:t>
            </w:r>
          </w:p>
        </w:tc>
        <w:tc>
          <w:tcPr>
            <w:tcW w:w="1361" w:type="dxa"/>
            <w:vAlign w:val="center"/>
          </w:tcPr>
          <w:p w14:paraId="0A3153C6"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w:t>
            </w:r>
            <w:r w:rsidRPr="00091A72">
              <w:rPr>
                <w:rFonts w:eastAsia="新細明體"/>
                <w:color w:val="000000"/>
                <w:spacing w:val="0"/>
                <w:kern w:val="2"/>
                <w:sz w:val="20"/>
              </w:rPr>
              <w:t xml:space="preserve"> </w:t>
            </w:r>
            <w:r w:rsidRPr="00091A72">
              <w:rPr>
                <w:rFonts w:eastAsia="新細明體"/>
                <w:color w:val="000000"/>
                <w:spacing w:val="0"/>
                <w:kern w:val="2"/>
                <w:sz w:val="20"/>
                <w:lang w:val="en-GB"/>
              </w:rPr>
              <w:t>511.3)</w:t>
            </w:r>
          </w:p>
        </w:tc>
        <w:tc>
          <w:tcPr>
            <w:tcW w:w="1361" w:type="dxa"/>
            <w:vAlign w:val="center"/>
          </w:tcPr>
          <w:p w14:paraId="21679265"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(21</w:t>
            </w:r>
            <w:r w:rsidRPr="00091A72">
              <w:rPr>
                <w:rFonts w:eastAsia="新細明體"/>
                <w:color w:val="000000"/>
                <w:spacing w:val="0"/>
                <w:kern w:val="2"/>
                <w:sz w:val="20"/>
              </w:rPr>
              <w:t xml:space="preserve"> </w:t>
            </w:r>
            <w:r w:rsidRPr="00091A72">
              <w:rPr>
                <w:rFonts w:eastAsia="新細明體"/>
                <w:color w:val="000000"/>
                <w:spacing w:val="0"/>
                <w:kern w:val="2"/>
                <w:sz w:val="20"/>
                <w:lang w:val="en-GB"/>
              </w:rPr>
              <w:t>286.8)</w:t>
            </w:r>
          </w:p>
        </w:tc>
      </w:tr>
      <w:tr w:rsidR="00801E45" w:rsidRPr="00770B62" w14:paraId="07C77338" w14:textId="77777777" w:rsidTr="005E5B9C">
        <w:trPr>
          <w:trHeight w:val="340"/>
          <w:jc w:val="center"/>
        </w:trPr>
        <w:tc>
          <w:tcPr>
            <w:tcW w:w="1375" w:type="dxa"/>
            <w:tcBorders>
              <w:top w:val="nil"/>
              <w:left w:val="nil"/>
              <w:bottom w:val="nil"/>
              <w:right w:val="nil"/>
            </w:tcBorders>
            <w:shd w:val="clear" w:color="auto" w:fill="auto"/>
            <w:noWrap/>
            <w:vAlign w:val="center"/>
          </w:tcPr>
          <w:p w14:paraId="39F20B09"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020" w:type="dxa"/>
            <w:tcBorders>
              <w:top w:val="nil"/>
              <w:left w:val="nil"/>
              <w:bottom w:val="nil"/>
              <w:right w:val="nil"/>
            </w:tcBorders>
            <w:shd w:val="clear" w:color="auto" w:fill="auto"/>
            <w:noWrap/>
            <w:vAlign w:val="center"/>
          </w:tcPr>
          <w:p w14:paraId="159E3C14"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61" w:type="dxa"/>
            <w:tcBorders>
              <w:top w:val="nil"/>
              <w:left w:val="nil"/>
              <w:bottom w:val="nil"/>
              <w:right w:val="nil"/>
            </w:tcBorders>
            <w:shd w:val="clear" w:color="auto" w:fill="auto"/>
            <w:noWrap/>
            <w:vAlign w:val="center"/>
          </w:tcPr>
          <w:p w14:paraId="72737CA4"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Times New Roman"/>
                <w:color w:val="000000"/>
                <w:spacing w:val="0"/>
                <w:sz w:val="20"/>
              </w:rPr>
            </w:pPr>
          </w:p>
        </w:tc>
        <w:tc>
          <w:tcPr>
            <w:tcW w:w="1361" w:type="dxa"/>
            <w:tcBorders>
              <w:top w:val="nil"/>
              <w:left w:val="nil"/>
              <w:bottom w:val="nil"/>
              <w:right w:val="nil"/>
            </w:tcBorders>
            <w:shd w:val="clear" w:color="auto" w:fill="auto"/>
            <w:noWrap/>
            <w:vAlign w:val="center"/>
          </w:tcPr>
          <w:p w14:paraId="53819451"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Times New Roman"/>
                <w:color w:val="000000"/>
                <w:spacing w:val="0"/>
                <w:sz w:val="20"/>
              </w:rPr>
            </w:pPr>
          </w:p>
        </w:tc>
        <w:tc>
          <w:tcPr>
            <w:tcW w:w="1361" w:type="dxa"/>
            <w:tcBorders>
              <w:top w:val="nil"/>
              <w:left w:val="nil"/>
              <w:bottom w:val="nil"/>
              <w:right w:val="nil"/>
            </w:tcBorders>
            <w:shd w:val="clear" w:color="auto" w:fill="auto"/>
            <w:noWrap/>
            <w:vAlign w:val="center"/>
          </w:tcPr>
          <w:p w14:paraId="2D23C144"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Times New Roman"/>
                <w:color w:val="000000"/>
                <w:spacing w:val="0"/>
                <w:sz w:val="20"/>
              </w:rPr>
            </w:pPr>
          </w:p>
        </w:tc>
        <w:tc>
          <w:tcPr>
            <w:tcW w:w="1361" w:type="dxa"/>
            <w:tcBorders>
              <w:top w:val="nil"/>
              <w:left w:val="nil"/>
              <w:bottom w:val="nil"/>
              <w:right w:val="nil"/>
            </w:tcBorders>
            <w:shd w:val="clear" w:color="auto" w:fill="auto"/>
            <w:noWrap/>
            <w:vAlign w:val="center"/>
          </w:tcPr>
          <w:p w14:paraId="4FBA1F60"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Times New Roman"/>
                <w:color w:val="000000"/>
                <w:spacing w:val="0"/>
                <w:sz w:val="20"/>
              </w:rPr>
            </w:pPr>
          </w:p>
        </w:tc>
        <w:tc>
          <w:tcPr>
            <w:tcW w:w="1361" w:type="dxa"/>
            <w:tcBorders>
              <w:top w:val="nil"/>
              <w:left w:val="nil"/>
              <w:bottom w:val="nil"/>
              <w:right w:val="nil"/>
            </w:tcBorders>
            <w:vAlign w:val="center"/>
          </w:tcPr>
          <w:p w14:paraId="32527F44"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Times New Roman"/>
                <w:color w:val="000000"/>
                <w:spacing w:val="0"/>
                <w:sz w:val="20"/>
              </w:rPr>
            </w:pPr>
          </w:p>
        </w:tc>
        <w:tc>
          <w:tcPr>
            <w:tcW w:w="1361" w:type="dxa"/>
            <w:tcBorders>
              <w:top w:val="nil"/>
              <w:left w:val="nil"/>
              <w:bottom w:val="nil"/>
              <w:right w:val="nil"/>
            </w:tcBorders>
            <w:vAlign w:val="center"/>
          </w:tcPr>
          <w:p w14:paraId="21E921EE"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Times New Roman"/>
                <w:color w:val="000000"/>
                <w:spacing w:val="0"/>
                <w:sz w:val="20"/>
              </w:rPr>
            </w:pPr>
          </w:p>
        </w:tc>
      </w:tr>
      <w:tr w:rsidR="00801E45" w:rsidRPr="00770B62" w14:paraId="46F305E5" w14:textId="77777777" w:rsidTr="005E5B9C">
        <w:trPr>
          <w:trHeight w:val="340"/>
          <w:jc w:val="center"/>
        </w:trPr>
        <w:tc>
          <w:tcPr>
            <w:tcW w:w="1375" w:type="dxa"/>
            <w:tcBorders>
              <w:top w:val="nil"/>
              <w:left w:val="nil"/>
              <w:bottom w:val="nil"/>
              <w:right w:val="nil"/>
            </w:tcBorders>
            <w:shd w:val="clear" w:color="auto" w:fill="auto"/>
            <w:noWrap/>
            <w:vAlign w:val="center"/>
          </w:tcPr>
          <w:p w14:paraId="099BD0F6"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hint="eastAsia"/>
                <w:spacing w:val="0"/>
                <w:sz w:val="20"/>
              </w:rPr>
              <w:t>二零二</w:t>
            </w:r>
            <w:r>
              <w:rPr>
                <w:rFonts w:hint="eastAsia"/>
                <w:spacing w:val="0"/>
                <w:sz w:val="20"/>
                <w:lang w:eastAsia="zh-HK"/>
              </w:rPr>
              <w:t>四</w:t>
            </w:r>
            <w:r w:rsidRPr="00770B62">
              <w:rPr>
                <w:rFonts w:hint="eastAsia"/>
                <w:spacing w:val="0"/>
                <w:sz w:val="20"/>
              </w:rPr>
              <w:t>年</w:t>
            </w:r>
          </w:p>
        </w:tc>
        <w:tc>
          <w:tcPr>
            <w:tcW w:w="1020" w:type="dxa"/>
            <w:tcBorders>
              <w:top w:val="nil"/>
              <w:left w:val="nil"/>
              <w:bottom w:val="nil"/>
              <w:right w:val="nil"/>
            </w:tcBorders>
            <w:shd w:val="clear" w:color="auto" w:fill="auto"/>
            <w:noWrap/>
            <w:vAlign w:val="center"/>
          </w:tcPr>
          <w:p w14:paraId="39AC27E3"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hint="eastAsia"/>
                <w:spacing w:val="0"/>
                <w:sz w:val="20"/>
              </w:rPr>
              <w:t>第一季</w:t>
            </w:r>
          </w:p>
        </w:tc>
        <w:tc>
          <w:tcPr>
            <w:tcW w:w="1361" w:type="dxa"/>
            <w:tcBorders>
              <w:top w:val="nil"/>
              <w:left w:val="nil"/>
              <w:bottom w:val="nil"/>
              <w:right w:val="nil"/>
            </w:tcBorders>
            <w:shd w:val="clear" w:color="auto" w:fill="auto"/>
            <w:noWrap/>
            <w:vAlign w:val="center"/>
          </w:tcPr>
          <w:p w14:paraId="1C8303FD"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11 228.8</w:t>
            </w:r>
          </w:p>
        </w:tc>
        <w:tc>
          <w:tcPr>
            <w:tcW w:w="1361" w:type="dxa"/>
            <w:tcBorders>
              <w:top w:val="nil"/>
              <w:left w:val="nil"/>
              <w:bottom w:val="nil"/>
              <w:right w:val="nil"/>
            </w:tcBorders>
            <w:shd w:val="clear" w:color="auto" w:fill="auto"/>
            <w:noWrap/>
            <w:vAlign w:val="center"/>
          </w:tcPr>
          <w:p w14:paraId="693CB030"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8 698.2</w:t>
            </w:r>
          </w:p>
        </w:tc>
        <w:tc>
          <w:tcPr>
            <w:tcW w:w="1361" w:type="dxa"/>
            <w:tcBorders>
              <w:top w:val="nil"/>
              <w:left w:val="nil"/>
              <w:bottom w:val="nil"/>
              <w:right w:val="nil"/>
            </w:tcBorders>
            <w:shd w:val="clear" w:color="auto" w:fill="auto"/>
            <w:noWrap/>
            <w:vAlign w:val="center"/>
          </w:tcPr>
          <w:p w14:paraId="584012E1"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1 770.3</w:t>
            </w:r>
          </w:p>
        </w:tc>
        <w:tc>
          <w:tcPr>
            <w:tcW w:w="1361" w:type="dxa"/>
            <w:tcBorders>
              <w:top w:val="nil"/>
              <w:left w:val="nil"/>
              <w:bottom w:val="nil"/>
              <w:right w:val="nil"/>
            </w:tcBorders>
            <w:shd w:val="clear" w:color="auto" w:fill="auto"/>
            <w:noWrap/>
            <w:vAlign w:val="center"/>
          </w:tcPr>
          <w:p w14:paraId="2D211BBB"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760.3</w:t>
            </w:r>
          </w:p>
        </w:tc>
        <w:tc>
          <w:tcPr>
            <w:tcW w:w="1361" w:type="dxa"/>
            <w:tcBorders>
              <w:top w:val="nil"/>
              <w:left w:val="nil"/>
              <w:bottom w:val="nil"/>
              <w:right w:val="nil"/>
            </w:tcBorders>
            <w:vAlign w:val="center"/>
          </w:tcPr>
          <w:p w14:paraId="6A318E2D"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5 613.4</w:t>
            </w:r>
          </w:p>
        </w:tc>
        <w:tc>
          <w:tcPr>
            <w:tcW w:w="1361" w:type="dxa"/>
            <w:tcBorders>
              <w:top w:val="nil"/>
              <w:left w:val="nil"/>
              <w:bottom w:val="nil"/>
              <w:right w:val="nil"/>
            </w:tcBorders>
            <w:vAlign w:val="center"/>
          </w:tcPr>
          <w:p w14:paraId="0A284BDD"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5 615.4</w:t>
            </w:r>
          </w:p>
        </w:tc>
      </w:tr>
      <w:tr w:rsidR="00801E45" w:rsidRPr="00770B62" w14:paraId="0AE65AD5" w14:textId="77777777" w:rsidTr="005E5B9C">
        <w:trPr>
          <w:trHeight w:val="340"/>
          <w:jc w:val="center"/>
        </w:trPr>
        <w:tc>
          <w:tcPr>
            <w:tcW w:w="1375" w:type="dxa"/>
            <w:tcBorders>
              <w:top w:val="nil"/>
              <w:left w:val="nil"/>
              <w:bottom w:val="nil"/>
              <w:right w:val="nil"/>
            </w:tcBorders>
            <w:shd w:val="clear" w:color="auto" w:fill="auto"/>
            <w:noWrap/>
            <w:vAlign w:val="center"/>
          </w:tcPr>
          <w:p w14:paraId="74360D43"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020" w:type="dxa"/>
            <w:tcBorders>
              <w:top w:val="nil"/>
              <w:left w:val="nil"/>
              <w:bottom w:val="nil"/>
              <w:right w:val="nil"/>
            </w:tcBorders>
            <w:shd w:val="clear" w:color="auto" w:fill="auto"/>
            <w:noWrap/>
            <w:vAlign w:val="center"/>
          </w:tcPr>
          <w:p w14:paraId="58A7B2D5"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61" w:type="dxa"/>
            <w:tcBorders>
              <w:top w:val="nil"/>
              <w:left w:val="nil"/>
              <w:bottom w:val="nil"/>
              <w:right w:val="nil"/>
            </w:tcBorders>
            <w:shd w:val="clear" w:color="auto" w:fill="auto"/>
            <w:noWrap/>
            <w:vAlign w:val="center"/>
          </w:tcPr>
          <w:p w14:paraId="34847A02"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(154.3)</w:t>
            </w:r>
          </w:p>
        </w:tc>
        <w:tc>
          <w:tcPr>
            <w:tcW w:w="1361" w:type="dxa"/>
            <w:tcBorders>
              <w:top w:val="nil"/>
              <w:left w:val="nil"/>
              <w:bottom w:val="nil"/>
              <w:right w:val="nil"/>
            </w:tcBorders>
            <w:shd w:val="clear" w:color="auto" w:fill="auto"/>
            <w:noWrap/>
            <w:vAlign w:val="center"/>
          </w:tcPr>
          <w:p w14:paraId="59497664"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(159.2)</w:t>
            </w:r>
          </w:p>
        </w:tc>
        <w:tc>
          <w:tcPr>
            <w:tcW w:w="1361" w:type="dxa"/>
            <w:tcBorders>
              <w:top w:val="nil"/>
              <w:left w:val="nil"/>
              <w:bottom w:val="nil"/>
              <w:right w:val="nil"/>
            </w:tcBorders>
            <w:shd w:val="clear" w:color="auto" w:fill="auto"/>
            <w:noWrap/>
            <w:vAlign w:val="center"/>
          </w:tcPr>
          <w:p w14:paraId="724FC818"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(126.3)</w:t>
            </w:r>
          </w:p>
        </w:tc>
        <w:tc>
          <w:tcPr>
            <w:tcW w:w="1361" w:type="dxa"/>
            <w:tcBorders>
              <w:top w:val="nil"/>
              <w:left w:val="nil"/>
              <w:bottom w:val="nil"/>
              <w:right w:val="nil"/>
            </w:tcBorders>
            <w:shd w:val="clear" w:color="auto" w:fill="auto"/>
            <w:noWrap/>
            <w:vAlign w:val="center"/>
          </w:tcPr>
          <w:p w14:paraId="79BC44E4"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(175.1)</w:t>
            </w:r>
          </w:p>
        </w:tc>
        <w:tc>
          <w:tcPr>
            <w:tcW w:w="1361" w:type="dxa"/>
            <w:tcBorders>
              <w:top w:val="nil"/>
              <w:left w:val="nil"/>
              <w:bottom w:val="nil"/>
              <w:right w:val="nil"/>
            </w:tcBorders>
            <w:vAlign w:val="center"/>
          </w:tcPr>
          <w:p w14:paraId="46ABC88D"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(139.9)</w:t>
            </w:r>
          </w:p>
        </w:tc>
        <w:tc>
          <w:tcPr>
            <w:tcW w:w="1361" w:type="dxa"/>
            <w:tcBorders>
              <w:top w:val="nil"/>
              <w:left w:val="nil"/>
              <w:bottom w:val="nil"/>
              <w:right w:val="nil"/>
            </w:tcBorders>
            <w:vAlign w:val="center"/>
          </w:tcPr>
          <w:p w14:paraId="4739AE73"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(170.7)</w:t>
            </w:r>
          </w:p>
        </w:tc>
      </w:tr>
      <w:tr w:rsidR="00801E45" w:rsidRPr="00770B62" w14:paraId="06DF0511" w14:textId="77777777" w:rsidTr="005E5B9C">
        <w:trPr>
          <w:trHeight w:val="340"/>
          <w:jc w:val="center"/>
        </w:trPr>
        <w:tc>
          <w:tcPr>
            <w:tcW w:w="1375" w:type="dxa"/>
            <w:tcBorders>
              <w:top w:val="nil"/>
              <w:left w:val="nil"/>
              <w:bottom w:val="nil"/>
              <w:right w:val="nil"/>
            </w:tcBorders>
            <w:shd w:val="clear" w:color="auto" w:fill="auto"/>
            <w:noWrap/>
            <w:vAlign w:val="center"/>
          </w:tcPr>
          <w:p w14:paraId="423743D1"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020" w:type="dxa"/>
            <w:tcBorders>
              <w:top w:val="nil"/>
              <w:left w:val="nil"/>
              <w:bottom w:val="nil"/>
              <w:right w:val="nil"/>
            </w:tcBorders>
            <w:shd w:val="clear" w:color="auto" w:fill="auto"/>
            <w:noWrap/>
            <w:vAlign w:val="center"/>
          </w:tcPr>
          <w:p w14:paraId="5D3189BB"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hint="eastAsia"/>
                <w:spacing w:val="0"/>
                <w:sz w:val="20"/>
              </w:rPr>
              <w:t>第二季</w:t>
            </w:r>
          </w:p>
        </w:tc>
        <w:tc>
          <w:tcPr>
            <w:tcW w:w="1361" w:type="dxa"/>
            <w:tcBorders>
              <w:top w:val="nil"/>
              <w:left w:val="nil"/>
              <w:bottom w:val="nil"/>
              <w:right w:val="nil"/>
            </w:tcBorders>
            <w:shd w:val="clear" w:color="auto" w:fill="auto"/>
            <w:noWrap/>
            <w:vAlign w:val="center"/>
          </w:tcPr>
          <w:p w14:paraId="507DBED9"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9 922.4</w:t>
            </w:r>
          </w:p>
        </w:tc>
        <w:tc>
          <w:tcPr>
            <w:tcW w:w="1361" w:type="dxa"/>
            <w:tcBorders>
              <w:top w:val="nil"/>
              <w:left w:val="nil"/>
              <w:bottom w:val="nil"/>
              <w:right w:val="nil"/>
            </w:tcBorders>
            <w:shd w:val="clear" w:color="auto" w:fill="auto"/>
            <w:noWrap/>
            <w:vAlign w:val="center"/>
          </w:tcPr>
          <w:p w14:paraId="030F649A"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7 452.3</w:t>
            </w:r>
          </w:p>
        </w:tc>
        <w:tc>
          <w:tcPr>
            <w:tcW w:w="1361" w:type="dxa"/>
            <w:tcBorders>
              <w:top w:val="nil"/>
              <w:left w:val="nil"/>
              <w:bottom w:val="nil"/>
              <w:right w:val="nil"/>
            </w:tcBorders>
            <w:shd w:val="clear" w:color="auto" w:fill="auto"/>
            <w:noWrap/>
            <w:vAlign w:val="center"/>
          </w:tcPr>
          <w:p w14:paraId="00930C4A"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1 713.0</w:t>
            </w:r>
          </w:p>
        </w:tc>
        <w:tc>
          <w:tcPr>
            <w:tcW w:w="1361" w:type="dxa"/>
            <w:tcBorders>
              <w:top w:val="nil"/>
              <w:left w:val="nil"/>
              <w:bottom w:val="nil"/>
              <w:right w:val="nil"/>
            </w:tcBorders>
            <w:shd w:val="clear" w:color="auto" w:fill="auto"/>
            <w:noWrap/>
            <w:vAlign w:val="center"/>
          </w:tcPr>
          <w:p w14:paraId="244B2A09"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757.1</w:t>
            </w:r>
          </w:p>
        </w:tc>
        <w:tc>
          <w:tcPr>
            <w:tcW w:w="1361" w:type="dxa"/>
            <w:tcBorders>
              <w:top w:val="nil"/>
              <w:left w:val="nil"/>
              <w:bottom w:val="nil"/>
              <w:right w:val="nil"/>
            </w:tcBorders>
            <w:vAlign w:val="center"/>
          </w:tcPr>
          <w:p w14:paraId="729859C0"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4 928.9</w:t>
            </w:r>
          </w:p>
        </w:tc>
        <w:tc>
          <w:tcPr>
            <w:tcW w:w="1361" w:type="dxa"/>
            <w:tcBorders>
              <w:top w:val="nil"/>
              <w:left w:val="nil"/>
              <w:bottom w:val="nil"/>
              <w:right w:val="nil"/>
            </w:tcBorders>
            <w:vAlign w:val="center"/>
          </w:tcPr>
          <w:p w14:paraId="59B81A8A"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4 993.6</w:t>
            </w:r>
          </w:p>
        </w:tc>
      </w:tr>
      <w:tr w:rsidR="00801E45" w:rsidRPr="00770B62" w14:paraId="4038BB75" w14:textId="77777777" w:rsidTr="005E5B9C">
        <w:trPr>
          <w:trHeight w:val="340"/>
          <w:jc w:val="center"/>
        </w:trPr>
        <w:tc>
          <w:tcPr>
            <w:tcW w:w="1375" w:type="dxa"/>
            <w:tcBorders>
              <w:top w:val="nil"/>
              <w:left w:val="nil"/>
              <w:bottom w:val="nil"/>
              <w:right w:val="nil"/>
            </w:tcBorders>
            <w:shd w:val="clear" w:color="auto" w:fill="auto"/>
            <w:noWrap/>
            <w:vAlign w:val="center"/>
          </w:tcPr>
          <w:p w14:paraId="34D203FD"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020" w:type="dxa"/>
            <w:tcBorders>
              <w:top w:val="nil"/>
              <w:left w:val="nil"/>
              <w:bottom w:val="nil"/>
              <w:right w:val="nil"/>
            </w:tcBorders>
            <w:shd w:val="clear" w:color="auto" w:fill="auto"/>
            <w:noWrap/>
            <w:vAlign w:val="center"/>
          </w:tcPr>
          <w:p w14:paraId="77EFDE31"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61" w:type="dxa"/>
            <w:tcBorders>
              <w:top w:val="nil"/>
              <w:left w:val="nil"/>
              <w:bottom w:val="nil"/>
              <w:right w:val="nil"/>
            </w:tcBorders>
            <w:shd w:val="clear" w:color="auto" w:fill="auto"/>
            <w:noWrap/>
            <w:vAlign w:val="center"/>
          </w:tcPr>
          <w:p w14:paraId="482C0379"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(17.2)</w:t>
            </w:r>
          </w:p>
        </w:tc>
        <w:tc>
          <w:tcPr>
            <w:tcW w:w="1361" w:type="dxa"/>
            <w:tcBorders>
              <w:top w:val="nil"/>
              <w:left w:val="nil"/>
              <w:bottom w:val="nil"/>
              <w:right w:val="nil"/>
            </w:tcBorders>
            <w:shd w:val="clear" w:color="auto" w:fill="auto"/>
            <w:noWrap/>
            <w:vAlign w:val="center"/>
          </w:tcPr>
          <w:p w14:paraId="5B8E1498"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(10.4)</w:t>
            </w:r>
          </w:p>
        </w:tc>
        <w:tc>
          <w:tcPr>
            <w:tcW w:w="1361" w:type="dxa"/>
            <w:tcBorders>
              <w:top w:val="nil"/>
              <w:left w:val="nil"/>
              <w:bottom w:val="nil"/>
              <w:right w:val="nil"/>
            </w:tcBorders>
            <w:shd w:val="clear" w:color="auto" w:fill="auto"/>
            <w:noWrap/>
            <w:vAlign w:val="center"/>
          </w:tcPr>
          <w:p w14:paraId="74B8EAAD"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(40.1)</w:t>
            </w:r>
          </w:p>
        </w:tc>
        <w:tc>
          <w:tcPr>
            <w:tcW w:w="1361" w:type="dxa"/>
            <w:tcBorders>
              <w:top w:val="nil"/>
              <w:left w:val="nil"/>
              <w:bottom w:val="nil"/>
              <w:right w:val="nil"/>
            </w:tcBorders>
            <w:shd w:val="clear" w:color="auto" w:fill="auto"/>
            <w:noWrap/>
            <w:vAlign w:val="center"/>
          </w:tcPr>
          <w:p w14:paraId="750FD86B"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(52.1)</w:t>
            </w:r>
          </w:p>
        </w:tc>
        <w:tc>
          <w:tcPr>
            <w:tcW w:w="1361" w:type="dxa"/>
            <w:tcBorders>
              <w:top w:val="nil"/>
              <w:left w:val="nil"/>
              <w:bottom w:val="nil"/>
              <w:right w:val="nil"/>
            </w:tcBorders>
            <w:vAlign w:val="center"/>
          </w:tcPr>
          <w:p w14:paraId="7BEE7E86"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(16.3)</w:t>
            </w:r>
          </w:p>
        </w:tc>
        <w:tc>
          <w:tcPr>
            <w:tcW w:w="1361" w:type="dxa"/>
            <w:tcBorders>
              <w:top w:val="nil"/>
              <w:left w:val="nil"/>
              <w:bottom w:val="nil"/>
              <w:right w:val="nil"/>
            </w:tcBorders>
            <w:vAlign w:val="center"/>
          </w:tcPr>
          <w:p w14:paraId="0778CC0D"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(18.0)</w:t>
            </w:r>
          </w:p>
        </w:tc>
      </w:tr>
      <w:tr w:rsidR="00801E45" w:rsidRPr="00770B62" w14:paraId="6994F6AE" w14:textId="77777777" w:rsidTr="005E5B9C">
        <w:trPr>
          <w:trHeight w:val="340"/>
          <w:jc w:val="center"/>
        </w:trPr>
        <w:tc>
          <w:tcPr>
            <w:tcW w:w="1375" w:type="dxa"/>
            <w:tcBorders>
              <w:top w:val="nil"/>
              <w:left w:val="nil"/>
              <w:bottom w:val="nil"/>
              <w:right w:val="nil"/>
            </w:tcBorders>
            <w:shd w:val="clear" w:color="auto" w:fill="auto"/>
            <w:noWrap/>
            <w:vAlign w:val="center"/>
          </w:tcPr>
          <w:p w14:paraId="5B7C3BD6"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020" w:type="dxa"/>
            <w:tcBorders>
              <w:top w:val="nil"/>
              <w:left w:val="nil"/>
              <w:bottom w:val="nil"/>
              <w:right w:val="nil"/>
            </w:tcBorders>
            <w:shd w:val="clear" w:color="auto" w:fill="auto"/>
            <w:noWrap/>
            <w:vAlign w:val="center"/>
          </w:tcPr>
          <w:p w14:paraId="481073C2"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hint="eastAsia"/>
                <w:spacing w:val="0"/>
                <w:sz w:val="20"/>
              </w:rPr>
              <w:t>第三季</w:t>
            </w:r>
          </w:p>
        </w:tc>
        <w:tc>
          <w:tcPr>
            <w:tcW w:w="1361" w:type="dxa"/>
            <w:tcBorders>
              <w:top w:val="nil"/>
              <w:left w:val="nil"/>
              <w:bottom w:val="nil"/>
              <w:right w:val="nil"/>
            </w:tcBorders>
            <w:shd w:val="clear" w:color="auto" w:fill="auto"/>
            <w:noWrap/>
            <w:vAlign w:val="center"/>
          </w:tcPr>
          <w:p w14:paraId="3A35AC59"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11 437.5</w:t>
            </w:r>
          </w:p>
        </w:tc>
        <w:tc>
          <w:tcPr>
            <w:tcW w:w="1361" w:type="dxa"/>
            <w:tcBorders>
              <w:top w:val="nil"/>
              <w:left w:val="nil"/>
              <w:bottom w:val="nil"/>
              <w:right w:val="nil"/>
            </w:tcBorders>
            <w:shd w:val="clear" w:color="auto" w:fill="auto"/>
            <w:noWrap/>
            <w:vAlign w:val="center"/>
          </w:tcPr>
          <w:p w14:paraId="3821A820"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9 095.7</w:t>
            </w:r>
          </w:p>
        </w:tc>
        <w:tc>
          <w:tcPr>
            <w:tcW w:w="1361" w:type="dxa"/>
            <w:tcBorders>
              <w:top w:val="nil"/>
              <w:left w:val="nil"/>
              <w:bottom w:val="nil"/>
              <w:right w:val="nil"/>
            </w:tcBorders>
            <w:shd w:val="clear" w:color="auto" w:fill="auto"/>
            <w:noWrap/>
            <w:vAlign w:val="center"/>
          </w:tcPr>
          <w:p w14:paraId="7E3BACA3"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1 662.9</w:t>
            </w:r>
          </w:p>
        </w:tc>
        <w:tc>
          <w:tcPr>
            <w:tcW w:w="1361" w:type="dxa"/>
            <w:tcBorders>
              <w:top w:val="nil"/>
              <w:left w:val="nil"/>
              <w:bottom w:val="nil"/>
              <w:right w:val="nil"/>
            </w:tcBorders>
            <w:shd w:val="clear" w:color="auto" w:fill="auto"/>
            <w:noWrap/>
            <w:vAlign w:val="center"/>
          </w:tcPr>
          <w:p w14:paraId="525AE153"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679.0</w:t>
            </w:r>
          </w:p>
        </w:tc>
        <w:tc>
          <w:tcPr>
            <w:tcW w:w="1361" w:type="dxa"/>
            <w:tcBorders>
              <w:top w:val="nil"/>
              <w:left w:val="nil"/>
              <w:bottom w:val="nil"/>
              <w:right w:val="nil"/>
            </w:tcBorders>
            <w:vAlign w:val="center"/>
          </w:tcPr>
          <w:p w14:paraId="03830D97"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5 656.8</w:t>
            </w:r>
          </w:p>
        </w:tc>
        <w:tc>
          <w:tcPr>
            <w:tcW w:w="1361" w:type="dxa"/>
            <w:tcBorders>
              <w:top w:val="nil"/>
              <w:left w:val="nil"/>
              <w:bottom w:val="nil"/>
              <w:right w:val="nil"/>
            </w:tcBorders>
            <w:vAlign w:val="center"/>
          </w:tcPr>
          <w:p w14:paraId="55AD0490"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5 780.8</w:t>
            </w:r>
          </w:p>
        </w:tc>
      </w:tr>
      <w:tr w:rsidR="00801E45" w:rsidRPr="00770B62" w14:paraId="0DE69B5B" w14:textId="77777777" w:rsidTr="005E5B9C">
        <w:trPr>
          <w:trHeight w:val="340"/>
          <w:jc w:val="center"/>
        </w:trPr>
        <w:tc>
          <w:tcPr>
            <w:tcW w:w="1375" w:type="dxa"/>
            <w:tcBorders>
              <w:top w:val="nil"/>
              <w:left w:val="nil"/>
              <w:bottom w:val="nil"/>
              <w:right w:val="nil"/>
            </w:tcBorders>
            <w:shd w:val="clear" w:color="auto" w:fill="auto"/>
            <w:noWrap/>
            <w:vAlign w:val="center"/>
          </w:tcPr>
          <w:p w14:paraId="12C86068"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020" w:type="dxa"/>
            <w:tcBorders>
              <w:top w:val="nil"/>
              <w:left w:val="nil"/>
              <w:bottom w:val="nil"/>
              <w:right w:val="nil"/>
            </w:tcBorders>
            <w:shd w:val="clear" w:color="auto" w:fill="auto"/>
            <w:noWrap/>
            <w:vAlign w:val="center"/>
          </w:tcPr>
          <w:p w14:paraId="2C273E8A"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61" w:type="dxa"/>
            <w:tcBorders>
              <w:top w:val="nil"/>
              <w:left w:val="nil"/>
              <w:bottom w:val="nil"/>
              <w:right w:val="nil"/>
            </w:tcBorders>
            <w:shd w:val="clear" w:color="auto" w:fill="auto"/>
            <w:noWrap/>
            <w:vAlign w:val="center"/>
          </w:tcPr>
          <w:p w14:paraId="7896F5EB"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(9.6)</w:t>
            </w:r>
          </w:p>
        </w:tc>
        <w:tc>
          <w:tcPr>
            <w:tcW w:w="1361" w:type="dxa"/>
            <w:tcBorders>
              <w:top w:val="nil"/>
              <w:left w:val="nil"/>
              <w:bottom w:val="nil"/>
              <w:right w:val="nil"/>
            </w:tcBorders>
            <w:shd w:val="clear" w:color="auto" w:fill="auto"/>
            <w:noWrap/>
            <w:vAlign w:val="center"/>
          </w:tcPr>
          <w:p w14:paraId="526524A4"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(6.1)</w:t>
            </w:r>
          </w:p>
        </w:tc>
        <w:tc>
          <w:tcPr>
            <w:tcW w:w="1361" w:type="dxa"/>
            <w:tcBorders>
              <w:top w:val="nil"/>
              <w:left w:val="nil"/>
              <w:bottom w:val="nil"/>
              <w:right w:val="nil"/>
            </w:tcBorders>
            <w:shd w:val="clear" w:color="auto" w:fill="auto"/>
            <w:noWrap/>
            <w:vAlign w:val="center"/>
          </w:tcPr>
          <w:p w14:paraId="0D3B938E"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(25.2)</w:t>
            </w:r>
          </w:p>
        </w:tc>
        <w:tc>
          <w:tcPr>
            <w:tcW w:w="1361" w:type="dxa"/>
            <w:tcBorders>
              <w:top w:val="nil"/>
              <w:left w:val="nil"/>
              <w:bottom w:val="nil"/>
              <w:right w:val="nil"/>
            </w:tcBorders>
            <w:shd w:val="clear" w:color="auto" w:fill="auto"/>
            <w:noWrap/>
            <w:vAlign w:val="center"/>
          </w:tcPr>
          <w:p w14:paraId="4198583F"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(26.7)</w:t>
            </w:r>
          </w:p>
        </w:tc>
        <w:tc>
          <w:tcPr>
            <w:tcW w:w="1361" w:type="dxa"/>
            <w:tcBorders>
              <w:top w:val="nil"/>
              <w:left w:val="nil"/>
              <w:bottom w:val="nil"/>
              <w:right w:val="nil"/>
            </w:tcBorders>
            <w:vAlign w:val="center"/>
          </w:tcPr>
          <w:p w14:paraId="0C7E426E"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(7.4)</w:t>
            </w:r>
          </w:p>
        </w:tc>
        <w:tc>
          <w:tcPr>
            <w:tcW w:w="1361" w:type="dxa"/>
            <w:tcBorders>
              <w:top w:val="nil"/>
              <w:left w:val="nil"/>
              <w:bottom w:val="nil"/>
              <w:right w:val="nil"/>
            </w:tcBorders>
            <w:vAlign w:val="center"/>
          </w:tcPr>
          <w:p w14:paraId="62C72BC2"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(11.8)</w:t>
            </w:r>
          </w:p>
        </w:tc>
      </w:tr>
      <w:tr w:rsidR="00801E45" w:rsidRPr="00770B62" w14:paraId="566060F7" w14:textId="77777777" w:rsidTr="005E5B9C">
        <w:trPr>
          <w:trHeight w:val="340"/>
          <w:jc w:val="center"/>
        </w:trPr>
        <w:tc>
          <w:tcPr>
            <w:tcW w:w="1375" w:type="dxa"/>
            <w:tcBorders>
              <w:top w:val="nil"/>
              <w:left w:val="nil"/>
              <w:bottom w:val="nil"/>
              <w:right w:val="nil"/>
            </w:tcBorders>
            <w:shd w:val="clear" w:color="auto" w:fill="auto"/>
            <w:noWrap/>
            <w:vAlign w:val="center"/>
          </w:tcPr>
          <w:p w14:paraId="62E2986C"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020" w:type="dxa"/>
            <w:tcBorders>
              <w:top w:val="nil"/>
              <w:left w:val="nil"/>
              <w:bottom w:val="nil"/>
              <w:right w:val="nil"/>
            </w:tcBorders>
            <w:shd w:val="clear" w:color="auto" w:fill="auto"/>
            <w:noWrap/>
            <w:vAlign w:val="center"/>
          </w:tcPr>
          <w:p w14:paraId="29FE4113"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hint="eastAsia"/>
                <w:spacing w:val="0"/>
                <w:sz w:val="20"/>
              </w:rPr>
              <w:t>第四季</w:t>
            </w:r>
          </w:p>
        </w:tc>
        <w:tc>
          <w:tcPr>
            <w:tcW w:w="1361" w:type="dxa"/>
            <w:tcBorders>
              <w:top w:val="nil"/>
              <w:left w:val="nil"/>
              <w:bottom w:val="nil"/>
              <w:right w:val="nil"/>
            </w:tcBorders>
            <w:shd w:val="clear" w:color="auto" w:fill="auto"/>
            <w:noWrap/>
            <w:vAlign w:val="center"/>
          </w:tcPr>
          <w:p w14:paraId="1A134794"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11 914.0</w:t>
            </w:r>
          </w:p>
        </w:tc>
        <w:tc>
          <w:tcPr>
            <w:tcW w:w="1361" w:type="dxa"/>
            <w:tcBorders>
              <w:top w:val="nil"/>
              <w:left w:val="nil"/>
              <w:bottom w:val="nil"/>
              <w:right w:val="nil"/>
            </w:tcBorders>
            <w:shd w:val="clear" w:color="auto" w:fill="auto"/>
            <w:noWrap/>
            <w:vAlign w:val="center"/>
          </w:tcPr>
          <w:p w14:paraId="70ADABCA"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8 797.0</w:t>
            </w:r>
          </w:p>
        </w:tc>
        <w:tc>
          <w:tcPr>
            <w:tcW w:w="1361" w:type="dxa"/>
            <w:tcBorders>
              <w:top w:val="nil"/>
              <w:left w:val="nil"/>
              <w:bottom w:val="nil"/>
              <w:right w:val="nil"/>
            </w:tcBorders>
            <w:shd w:val="clear" w:color="auto" w:fill="auto"/>
            <w:noWrap/>
            <w:vAlign w:val="center"/>
          </w:tcPr>
          <w:p w14:paraId="51A458F8"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2 133.9</w:t>
            </w:r>
          </w:p>
        </w:tc>
        <w:tc>
          <w:tcPr>
            <w:tcW w:w="1361" w:type="dxa"/>
            <w:tcBorders>
              <w:top w:val="nil"/>
              <w:left w:val="nil"/>
              <w:bottom w:val="nil"/>
              <w:right w:val="nil"/>
            </w:tcBorders>
            <w:shd w:val="clear" w:color="auto" w:fill="auto"/>
            <w:noWrap/>
            <w:vAlign w:val="center"/>
          </w:tcPr>
          <w:p w14:paraId="28F61436"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983.2</w:t>
            </w:r>
          </w:p>
        </w:tc>
        <w:tc>
          <w:tcPr>
            <w:tcW w:w="1361" w:type="dxa"/>
            <w:tcBorders>
              <w:top w:val="nil"/>
              <w:left w:val="nil"/>
              <w:bottom w:val="nil"/>
              <w:right w:val="nil"/>
            </w:tcBorders>
            <w:vAlign w:val="center"/>
          </w:tcPr>
          <w:p w14:paraId="03722799"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5 744.9</w:t>
            </w:r>
          </w:p>
        </w:tc>
        <w:tc>
          <w:tcPr>
            <w:tcW w:w="1361" w:type="dxa"/>
            <w:tcBorders>
              <w:top w:val="nil"/>
              <w:left w:val="nil"/>
              <w:bottom w:val="nil"/>
              <w:right w:val="nil"/>
            </w:tcBorders>
            <w:vAlign w:val="center"/>
          </w:tcPr>
          <w:p w14:paraId="4D65D31A"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6 169.2</w:t>
            </w:r>
          </w:p>
        </w:tc>
      </w:tr>
      <w:tr w:rsidR="00801E45" w:rsidRPr="00770B62" w14:paraId="4B3F2B79" w14:textId="77777777" w:rsidTr="005E5B9C">
        <w:trPr>
          <w:trHeight w:val="340"/>
          <w:jc w:val="center"/>
        </w:trPr>
        <w:tc>
          <w:tcPr>
            <w:tcW w:w="1375" w:type="dxa"/>
            <w:tcBorders>
              <w:top w:val="nil"/>
              <w:left w:val="nil"/>
              <w:bottom w:val="nil"/>
              <w:right w:val="nil"/>
            </w:tcBorders>
            <w:shd w:val="clear" w:color="auto" w:fill="auto"/>
            <w:noWrap/>
            <w:vAlign w:val="center"/>
          </w:tcPr>
          <w:p w14:paraId="4A74B960"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020" w:type="dxa"/>
            <w:tcBorders>
              <w:top w:val="nil"/>
              <w:left w:val="nil"/>
              <w:bottom w:val="nil"/>
              <w:right w:val="nil"/>
            </w:tcBorders>
            <w:shd w:val="clear" w:color="auto" w:fill="auto"/>
            <w:noWrap/>
            <w:vAlign w:val="center"/>
          </w:tcPr>
          <w:p w14:paraId="7AF862F3"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61" w:type="dxa"/>
            <w:tcBorders>
              <w:top w:val="nil"/>
              <w:left w:val="nil"/>
              <w:bottom w:val="nil"/>
              <w:right w:val="nil"/>
            </w:tcBorders>
            <w:shd w:val="clear" w:color="auto" w:fill="auto"/>
            <w:noWrap/>
            <w:vAlign w:val="center"/>
          </w:tcPr>
          <w:p w14:paraId="25F904A2"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(11.6)</w:t>
            </w:r>
          </w:p>
        </w:tc>
        <w:tc>
          <w:tcPr>
            <w:tcW w:w="1361" w:type="dxa"/>
            <w:tcBorders>
              <w:top w:val="nil"/>
              <w:left w:val="nil"/>
              <w:bottom w:val="nil"/>
              <w:right w:val="nil"/>
            </w:tcBorders>
            <w:shd w:val="clear" w:color="auto" w:fill="auto"/>
            <w:noWrap/>
            <w:vAlign w:val="center"/>
          </w:tcPr>
          <w:p w14:paraId="5D33742C"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(8.9)</w:t>
            </w:r>
          </w:p>
        </w:tc>
        <w:tc>
          <w:tcPr>
            <w:tcW w:w="1361" w:type="dxa"/>
            <w:tcBorders>
              <w:top w:val="nil"/>
              <w:left w:val="nil"/>
              <w:bottom w:val="nil"/>
              <w:right w:val="nil"/>
            </w:tcBorders>
            <w:shd w:val="clear" w:color="auto" w:fill="auto"/>
            <w:noWrap/>
            <w:vAlign w:val="center"/>
          </w:tcPr>
          <w:p w14:paraId="19FC941A"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(16.3)</w:t>
            </w:r>
          </w:p>
        </w:tc>
        <w:tc>
          <w:tcPr>
            <w:tcW w:w="1361" w:type="dxa"/>
            <w:tcBorders>
              <w:top w:val="nil"/>
              <w:left w:val="nil"/>
              <w:bottom w:val="nil"/>
              <w:right w:val="nil"/>
            </w:tcBorders>
            <w:shd w:val="clear" w:color="auto" w:fill="auto"/>
            <w:noWrap/>
            <w:vAlign w:val="center"/>
          </w:tcPr>
          <w:p w14:paraId="09CA744D"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(28.4)</w:t>
            </w:r>
          </w:p>
        </w:tc>
        <w:tc>
          <w:tcPr>
            <w:tcW w:w="1361" w:type="dxa"/>
            <w:tcBorders>
              <w:top w:val="nil"/>
              <w:left w:val="nil"/>
              <w:bottom w:val="nil"/>
              <w:right w:val="nil"/>
            </w:tcBorders>
            <w:vAlign w:val="center"/>
          </w:tcPr>
          <w:p w14:paraId="36DC730F"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(8.1)</w:t>
            </w:r>
          </w:p>
        </w:tc>
        <w:tc>
          <w:tcPr>
            <w:tcW w:w="1361" w:type="dxa"/>
            <w:tcBorders>
              <w:top w:val="nil"/>
              <w:left w:val="nil"/>
              <w:bottom w:val="nil"/>
              <w:right w:val="nil"/>
            </w:tcBorders>
            <w:vAlign w:val="center"/>
          </w:tcPr>
          <w:p w14:paraId="4236CC0F"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(15.0)</w:t>
            </w:r>
          </w:p>
        </w:tc>
      </w:tr>
      <w:tr w:rsidR="00801E45" w:rsidRPr="00770B62" w14:paraId="55D3A787" w14:textId="77777777" w:rsidTr="005E5B9C">
        <w:trPr>
          <w:trHeight w:val="340"/>
          <w:jc w:val="center"/>
        </w:trPr>
        <w:tc>
          <w:tcPr>
            <w:tcW w:w="1375" w:type="dxa"/>
            <w:tcBorders>
              <w:top w:val="nil"/>
              <w:left w:val="nil"/>
              <w:bottom w:val="nil"/>
              <w:right w:val="nil"/>
            </w:tcBorders>
            <w:shd w:val="clear" w:color="auto" w:fill="auto"/>
            <w:noWrap/>
            <w:vAlign w:val="center"/>
          </w:tcPr>
          <w:p w14:paraId="51739A7F"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020" w:type="dxa"/>
            <w:tcBorders>
              <w:top w:val="nil"/>
              <w:left w:val="nil"/>
              <w:bottom w:val="nil"/>
              <w:right w:val="nil"/>
            </w:tcBorders>
            <w:shd w:val="clear" w:color="auto" w:fill="auto"/>
            <w:noWrap/>
            <w:vAlign w:val="center"/>
          </w:tcPr>
          <w:p w14:paraId="5AFAD64C"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61" w:type="dxa"/>
            <w:tcBorders>
              <w:top w:val="nil"/>
              <w:left w:val="nil"/>
              <w:bottom w:val="nil"/>
              <w:right w:val="nil"/>
            </w:tcBorders>
            <w:shd w:val="clear" w:color="auto" w:fill="auto"/>
            <w:noWrap/>
            <w:vAlign w:val="center"/>
          </w:tcPr>
          <w:p w14:paraId="63FC0B7B"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新細明體"/>
                <w:color w:val="000000"/>
                <w:spacing w:val="0"/>
                <w:kern w:val="2"/>
                <w:sz w:val="20"/>
                <w:szCs w:val="24"/>
                <w:lang w:val="en-GB"/>
              </w:rPr>
            </w:pPr>
          </w:p>
        </w:tc>
        <w:tc>
          <w:tcPr>
            <w:tcW w:w="1361" w:type="dxa"/>
            <w:tcBorders>
              <w:top w:val="nil"/>
              <w:left w:val="nil"/>
              <w:bottom w:val="nil"/>
              <w:right w:val="nil"/>
            </w:tcBorders>
            <w:shd w:val="clear" w:color="auto" w:fill="auto"/>
            <w:noWrap/>
            <w:vAlign w:val="center"/>
          </w:tcPr>
          <w:p w14:paraId="575160C6"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新細明體"/>
                <w:color w:val="000000"/>
                <w:spacing w:val="0"/>
                <w:kern w:val="2"/>
                <w:sz w:val="20"/>
                <w:szCs w:val="24"/>
                <w:lang w:val="en-GB"/>
              </w:rPr>
            </w:pPr>
          </w:p>
        </w:tc>
        <w:tc>
          <w:tcPr>
            <w:tcW w:w="1361" w:type="dxa"/>
            <w:tcBorders>
              <w:top w:val="nil"/>
              <w:left w:val="nil"/>
              <w:bottom w:val="nil"/>
              <w:right w:val="nil"/>
            </w:tcBorders>
            <w:shd w:val="clear" w:color="auto" w:fill="auto"/>
            <w:noWrap/>
            <w:vAlign w:val="center"/>
          </w:tcPr>
          <w:p w14:paraId="67FA65C4"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新細明體"/>
                <w:color w:val="000000"/>
                <w:spacing w:val="0"/>
                <w:kern w:val="2"/>
                <w:sz w:val="20"/>
                <w:szCs w:val="24"/>
              </w:rPr>
            </w:pPr>
          </w:p>
        </w:tc>
        <w:tc>
          <w:tcPr>
            <w:tcW w:w="1361" w:type="dxa"/>
            <w:tcBorders>
              <w:top w:val="nil"/>
              <w:left w:val="nil"/>
              <w:bottom w:val="nil"/>
              <w:right w:val="nil"/>
            </w:tcBorders>
            <w:shd w:val="clear" w:color="auto" w:fill="auto"/>
            <w:noWrap/>
            <w:vAlign w:val="center"/>
          </w:tcPr>
          <w:p w14:paraId="0C1F083E"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Times New Roman"/>
                <w:color w:val="000000"/>
                <w:spacing w:val="0"/>
                <w:kern w:val="2"/>
                <w:sz w:val="20"/>
              </w:rPr>
            </w:pPr>
          </w:p>
        </w:tc>
        <w:tc>
          <w:tcPr>
            <w:tcW w:w="1361" w:type="dxa"/>
            <w:tcBorders>
              <w:top w:val="nil"/>
              <w:left w:val="nil"/>
              <w:bottom w:val="nil"/>
              <w:right w:val="nil"/>
            </w:tcBorders>
            <w:vAlign w:val="center"/>
          </w:tcPr>
          <w:p w14:paraId="1D8BE58D"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Times New Roman"/>
                <w:color w:val="000000"/>
                <w:spacing w:val="0"/>
                <w:kern w:val="2"/>
                <w:sz w:val="20"/>
              </w:rPr>
            </w:pPr>
          </w:p>
        </w:tc>
        <w:tc>
          <w:tcPr>
            <w:tcW w:w="1361" w:type="dxa"/>
            <w:tcBorders>
              <w:top w:val="nil"/>
              <w:left w:val="nil"/>
              <w:bottom w:val="nil"/>
              <w:right w:val="nil"/>
            </w:tcBorders>
            <w:vAlign w:val="center"/>
          </w:tcPr>
          <w:p w14:paraId="1AF22073"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Times New Roman"/>
                <w:color w:val="000000"/>
                <w:spacing w:val="0"/>
                <w:kern w:val="2"/>
                <w:sz w:val="20"/>
              </w:rPr>
            </w:pPr>
          </w:p>
        </w:tc>
      </w:tr>
      <w:tr w:rsidR="00801E45" w:rsidRPr="00770B62" w14:paraId="2733A973" w14:textId="77777777" w:rsidTr="005E5B9C">
        <w:trPr>
          <w:trHeight w:val="340"/>
          <w:jc w:val="center"/>
        </w:trPr>
        <w:tc>
          <w:tcPr>
            <w:tcW w:w="1375" w:type="dxa"/>
            <w:tcBorders>
              <w:top w:val="nil"/>
              <w:left w:val="nil"/>
              <w:bottom w:val="nil"/>
              <w:right w:val="nil"/>
            </w:tcBorders>
            <w:shd w:val="clear" w:color="auto" w:fill="auto"/>
            <w:noWrap/>
            <w:vAlign w:val="center"/>
          </w:tcPr>
          <w:p w14:paraId="33CED862"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hint="eastAsia"/>
                <w:spacing w:val="0"/>
                <w:sz w:val="20"/>
              </w:rPr>
              <w:t>二零二</w:t>
            </w:r>
            <w:r>
              <w:rPr>
                <w:rFonts w:hint="eastAsia"/>
                <w:spacing w:val="0"/>
                <w:sz w:val="20"/>
                <w:lang w:eastAsia="zh-HK"/>
              </w:rPr>
              <w:t>五</w:t>
            </w:r>
            <w:r w:rsidRPr="00770B62">
              <w:rPr>
                <w:rFonts w:hint="eastAsia"/>
                <w:spacing w:val="0"/>
                <w:sz w:val="20"/>
              </w:rPr>
              <w:t>年</w:t>
            </w:r>
          </w:p>
        </w:tc>
        <w:tc>
          <w:tcPr>
            <w:tcW w:w="1020" w:type="dxa"/>
            <w:tcBorders>
              <w:top w:val="nil"/>
              <w:left w:val="nil"/>
              <w:bottom w:val="nil"/>
              <w:right w:val="nil"/>
            </w:tcBorders>
            <w:shd w:val="clear" w:color="auto" w:fill="auto"/>
            <w:noWrap/>
            <w:vAlign w:val="center"/>
          </w:tcPr>
          <w:p w14:paraId="2150087C"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Pr>
                <w:rFonts w:hint="eastAsia"/>
                <w:spacing w:val="0"/>
                <w:sz w:val="20"/>
                <w:lang w:eastAsia="zh-HK"/>
              </w:rPr>
              <w:t>第一季</w:t>
            </w:r>
          </w:p>
        </w:tc>
        <w:tc>
          <w:tcPr>
            <w:tcW w:w="1361" w:type="dxa"/>
            <w:tcBorders>
              <w:top w:val="nil"/>
              <w:left w:val="nil"/>
              <w:bottom w:val="nil"/>
              <w:right w:val="nil"/>
            </w:tcBorders>
            <w:shd w:val="clear" w:color="auto" w:fill="auto"/>
            <w:noWrap/>
            <w:vAlign w:val="center"/>
          </w:tcPr>
          <w:p w14:paraId="16625192"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12 228.2</w:t>
            </w:r>
          </w:p>
        </w:tc>
        <w:tc>
          <w:tcPr>
            <w:tcW w:w="1361" w:type="dxa"/>
            <w:tcBorders>
              <w:top w:val="nil"/>
              <w:left w:val="nil"/>
              <w:bottom w:val="nil"/>
              <w:right w:val="nil"/>
            </w:tcBorders>
            <w:shd w:val="clear" w:color="auto" w:fill="auto"/>
            <w:noWrap/>
            <w:vAlign w:val="center"/>
          </w:tcPr>
          <w:p w14:paraId="54DFFD51"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9 245.4</w:t>
            </w:r>
          </w:p>
        </w:tc>
        <w:tc>
          <w:tcPr>
            <w:tcW w:w="1361" w:type="dxa"/>
            <w:tcBorders>
              <w:top w:val="nil"/>
              <w:left w:val="nil"/>
              <w:bottom w:val="nil"/>
              <w:right w:val="nil"/>
            </w:tcBorders>
            <w:shd w:val="clear" w:color="auto" w:fill="auto"/>
            <w:noWrap/>
            <w:vAlign w:val="center"/>
          </w:tcPr>
          <w:p w14:paraId="3005FDDE"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2 084.3</w:t>
            </w:r>
          </w:p>
        </w:tc>
        <w:tc>
          <w:tcPr>
            <w:tcW w:w="1361" w:type="dxa"/>
            <w:tcBorders>
              <w:top w:val="nil"/>
              <w:left w:val="nil"/>
              <w:bottom w:val="nil"/>
              <w:right w:val="nil"/>
            </w:tcBorders>
            <w:shd w:val="clear" w:color="auto" w:fill="auto"/>
            <w:noWrap/>
            <w:vAlign w:val="center"/>
          </w:tcPr>
          <w:p w14:paraId="70E907A2"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898.6</w:t>
            </w:r>
          </w:p>
        </w:tc>
        <w:tc>
          <w:tcPr>
            <w:tcW w:w="1361" w:type="dxa"/>
            <w:tcBorders>
              <w:top w:val="nil"/>
              <w:left w:val="nil"/>
              <w:bottom w:val="nil"/>
              <w:right w:val="nil"/>
            </w:tcBorders>
            <w:vAlign w:val="center"/>
          </w:tcPr>
          <w:p w14:paraId="36D6D7D3"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5 888.4</w:t>
            </w:r>
          </w:p>
        </w:tc>
        <w:tc>
          <w:tcPr>
            <w:tcW w:w="1361" w:type="dxa"/>
            <w:tcBorders>
              <w:top w:val="nil"/>
              <w:left w:val="nil"/>
              <w:bottom w:val="nil"/>
              <w:right w:val="nil"/>
            </w:tcBorders>
            <w:vAlign w:val="center"/>
          </w:tcPr>
          <w:p w14:paraId="6B228ACC"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6 339.8</w:t>
            </w:r>
          </w:p>
        </w:tc>
      </w:tr>
      <w:tr w:rsidR="00801E45" w:rsidRPr="00770B62" w14:paraId="7A7E1D61" w14:textId="77777777" w:rsidTr="005E5B9C">
        <w:trPr>
          <w:trHeight w:val="340"/>
          <w:jc w:val="center"/>
        </w:trPr>
        <w:tc>
          <w:tcPr>
            <w:tcW w:w="1375" w:type="dxa"/>
            <w:tcBorders>
              <w:top w:val="nil"/>
              <w:left w:val="nil"/>
              <w:bottom w:val="nil"/>
              <w:right w:val="nil"/>
            </w:tcBorders>
            <w:shd w:val="clear" w:color="auto" w:fill="auto"/>
            <w:noWrap/>
            <w:vAlign w:val="center"/>
          </w:tcPr>
          <w:p w14:paraId="03F865A4"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020" w:type="dxa"/>
            <w:tcBorders>
              <w:top w:val="nil"/>
              <w:left w:val="nil"/>
              <w:bottom w:val="nil"/>
              <w:right w:val="nil"/>
            </w:tcBorders>
            <w:shd w:val="clear" w:color="auto" w:fill="auto"/>
            <w:noWrap/>
            <w:vAlign w:val="center"/>
          </w:tcPr>
          <w:p w14:paraId="6B5FF547" w14:textId="77777777" w:rsidR="00801E45"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p>
        </w:tc>
        <w:tc>
          <w:tcPr>
            <w:tcW w:w="1361" w:type="dxa"/>
            <w:tcBorders>
              <w:top w:val="nil"/>
              <w:left w:val="nil"/>
              <w:bottom w:val="nil"/>
              <w:right w:val="nil"/>
            </w:tcBorders>
            <w:shd w:val="clear" w:color="auto" w:fill="auto"/>
            <w:noWrap/>
            <w:vAlign w:val="center"/>
          </w:tcPr>
          <w:p w14:paraId="5B51A78B"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(8.9)</w:t>
            </w:r>
          </w:p>
        </w:tc>
        <w:tc>
          <w:tcPr>
            <w:tcW w:w="1361" w:type="dxa"/>
            <w:tcBorders>
              <w:top w:val="nil"/>
              <w:left w:val="nil"/>
              <w:bottom w:val="nil"/>
              <w:right w:val="nil"/>
            </w:tcBorders>
            <w:shd w:val="clear" w:color="auto" w:fill="auto"/>
            <w:noWrap/>
            <w:vAlign w:val="center"/>
          </w:tcPr>
          <w:p w14:paraId="669557FC"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(6.3)</w:t>
            </w:r>
          </w:p>
        </w:tc>
        <w:tc>
          <w:tcPr>
            <w:tcW w:w="1361" w:type="dxa"/>
            <w:tcBorders>
              <w:top w:val="nil"/>
              <w:left w:val="nil"/>
              <w:bottom w:val="nil"/>
              <w:right w:val="nil"/>
            </w:tcBorders>
            <w:shd w:val="clear" w:color="auto" w:fill="auto"/>
            <w:noWrap/>
            <w:vAlign w:val="center"/>
          </w:tcPr>
          <w:p w14:paraId="0A5D4C3F"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(17.7)</w:t>
            </w:r>
          </w:p>
        </w:tc>
        <w:tc>
          <w:tcPr>
            <w:tcW w:w="1361" w:type="dxa"/>
            <w:tcBorders>
              <w:top w:val="nil"/>
              <w:left w:val="nil"/>
              <w:bottom w:val="nil"/>
              <w:right w:val="nil"/>
            </w:tcBorders>
            <w:shd w:val="clear" w:color="auto" w:fill="auto"/>
            <w:noWrap/>
            <w:vAlign w:val="center"/>
          </w:tcPr>
          <w:p w14:paraId="3842BD5E"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(18.2)</w:t>
            </w:r>
          </w:p>
        </w:tc>
        <w:tc>
          <w:tcPr>
            <w:tcW w:w="1361" w:type="dxa"/>
            <w:tcBorders>
              <w:top w:val="nil"/>
              <w:left w:val="nil"/>
              <w:bottom w:val="nil"/>
              <w:right w:val="nil"/>
            </w:tcBorders>
            <w:vAlign w:val="center"/>
          </w:tcPr>
          <w:p w14:paraId="736786A1"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(4.9)</w:t>
            </w:r>
          </w:p>
        </w:tc>
        <w:tc>
          <w:tcPr>
            <w:tcW w:w="1361" w:type="dxa"/>
            <w:tcBorders>
              <w:top w:val="nil"/>
              <w:left w:val="nil"/>
              <w:bottom w:val="nil"/>
              <w:right w:val="nil"/>
            </w:tcBorders>
            <w:vAlign w:val="center"/>
          </w:tcPr>
          <w:p w14:paraId="65A4B344"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(12.9)</w:t>
            </w:r>
          </w:p>
        </w:tc>
      </w:tr>
      <w:tr w:rsidR="00801E45" w:rsidRPr="00770B62" w14:paraId="6D5DC6E1" w14:textId="77777777" w:rsidTr="005E5B9C">
        <w:trPr>
          <w:trHeight w:val="340"/>
          <w:jc w:val="center"/>
        </w:trPr>
        <w:tc>
          <w:tcPr>
            <w:tcW w:w="1375" w:type="dxa"/>
            <w:tcBorders>
              <w:top w:val="nil"/>
              <w:left w:val="nil"/>
              <w:bottom w:val="nil"/>
              <w:right w:val="nil"/>
            </w:tcBorders>
            <w:shd w:val="clear" w:color="auto" w:fill="auto"/>
            <w:noWrap/>
            <w:vAlign w:val="center"/>
          </w:tcPr>
          <w:p w14:paraId="5339FEBC"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p>
        </w:tc>
        <w:tc>
          <w:tcPr>
            <w:tcW w:w="1020" w:type="dxa"/>
            <w:tcBorders>
              <w:top w:val="nil"/>
              <w:left w:val="nil"/>
              <w:bottom w:val="nil"/>
              <w:right w:val="nil"/>
            </w:tcBorders>
            <w:shd w:val="clear" w:color="auto" w:fill="auto"/>
            <w:noWrap/>
            <w:vAlign w:val="center"/>
          </w:tcPr>
          <w:p w14:paraId="72EE4CBC" w14:textId="77777777" w:rsidR="00801E45"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r>
              <w:rPr>
                <w:rFonts w:hint="eastAsia"/>
                <w:spacing w:val="0"/>
                <w:sz w:val="20"/>
                <w:lang w:eastAsia="zh-HK"/>
              </w:rPr>
              <w:t>第二季</w:t>
            </w:r>
          </w:p>
        </w:tc>
        <w:tc>
          <w:tcPr>
            <w:tcW w:w="1361" w:type="dxa"/>
            <w:tcBorders>
              <w:top w:val="nil"/>
              <w:left w:val="nil"/>
              <w:bottom w:val="nil"/>
              <w:right w:val="nil"/>
            </w:tcBorders>
            <w:shd w:val="clear" w:color="auto" w:fill="auto"/>
            <w:noWrap/>
            <w:vAlign w:val="center"/>
          </w:tcPr>
          <w:p w14:paraId="3B02AB5A"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11 407.9</w:t>
            </w:r>
          </w:p>
        </w:tc>
        <w:tc>
          <w:tcPr>
            <w:tcW w:w="1361" w:type="dxa"/>
            <w:tcBorders>
              <w:top w:val="nil"/>
              <w:left w:val="nil"/>
              <w:bottom w:val="nil"/>
              <w:right w:val="nil"/>
            </w:tcBorders>
            <w:shd w:val="clear" w:color="auto" w:fill="auto"/>
            <w:noWrap/>
            <w:vAlign w:val="center"/>
          </w:tcPr>
          <w:p w14:paraId="70747AA0"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8 548.4</w:t>
            </w:r>
          </w:p>
        </w:tc>
        <w:tc>
          <w:tcPr>
            <w:tcW w:w="1361" w:type="dxa"/>
            <w:tcBorders>
              <w:top w:val="nil"/>
              <w:left w:val="nil"/>
              <w:bottom w:val="nil"/>
              <w:right w:val="nil"/>
            </w:tcBorders>
            <w:shd w:val="clear" w:color="auto" w:fill="auto"/>
            <w:noWrap/>
            <w:vAlign w:val="center"/>
          </w:tcPr>
          <w:p w14:paraId="3F9151A6"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1 968.4</w:t>
            </w:r>
          </w:p>
        </w:tc>
        <w:tc>
          <w:tcPr>
            <w:tcW w:w="1361" w:type="dxa"/>
            <w:tcBorders>
              <w:top w:val="nil"/>
              <w:left w:val="nil"/>
              <w:bottom w:val="nil"/>
              <w:right w:val="nil"/>
            </w:tcBorders>
            <w:shd w:val="clear" w:color="auto" w:fill="auto"/>
            <w:noWrap/>
            <w:vAlign w:val="center"/>
          </w:tcPr>
          <w:p w14:paraId="44F61B28"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891.1</w:t>
            </w:r>
          </w:p>
        </w:tc>
        <w:tc>
          <w:tcPr>
            <w:tcW w:w="1361" w:type="dxa"/>
            <w:tcBorders>
              <w:top w:val="nil"/>
              <w:left w:val="nil"/>
              <w:bottom w:val="nil"/>
              <w:right w:val="nil"/>
            </w:tcBorders>
            <w:vAlign w:val="center"/>
          </w:tcPr>
          <w:p w14:paraId="307C9CCF"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5 395.9</w:t>
            </w:r>
          </w:p>
        </w:tc>
        <w:tc>
          <w:tcPr>
            <w:tcW w:w="1361" w:type="dxa"/>
            <w:tcBorders>
              <w:top w:val="nil"/>
              <w:left w:val="nil"/>
              <w:bottom w:val="nil"/>
              <w:right w:val="nil"/>
            </w:tcBorders>
            <w:vAlign w:val="center"/>
          </w:tcPr>
          <w:p w14:paraId="37986B6B"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6 012.0</w:t>
            </w:r>
          </w:p>
        </w:tc>
      </w:tr>
      <w:tr w:rsidR="00801E45" w:rsidRPr="00770B62" w14:paraId="5689C445" w14:textId="77777777" w:rsidTr="005E5B9C">
        <w:trPr>
          <w:trHeight w:val="340"/>
          <w:jc w:val="center"/>
        </w:trPr>
        <w:tc>
          <w:tcPr>
            <w:tcW w:w="1375" w:type="dxa"/>
            <w:tcBorders>
              <w:top w:val="nil"/>
              <w:left w:val="nil"/>
              <w:bottom w:val="nil"/>
              <w:right w:val="nil"/>
            </w:tcBorders>
            <w:shd w:val="clear" w:color="auto" w:fill="auto"/>
            <w:noWrap/>
            <w:vAlign w:val="center"/>
          </w:tcPr>
          <w:p w14:paraId="41A38BDE" w14:textId="77777777" w:rsidR="00801E45" w:rsidRPr="00770B6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p>
        </w:tc>
        <w:tc>
          <w:tcPr>
            <w:tcW w:w="1020" w:type="dxa"/>
            <w:tcBorders>
              <w:top w:val="nil"/>
              <w:left w:val="nil"/>
              <w:bottom w:val="nil"/>
              <w:right w:val="nil"/>
            </w:tcBorders>
            <w:shd w:val="clear" w:color="auto" w:fill="auto"/>
            <w:noWrap/>
            <w:vAlign w:val="center"/>
          </w:tcPr>
          <w:p w14:paraId="3A398D4E" w14:textId="77777777" w:rsidR="00801E45"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p>
        </w:tc>
        <w:tc>
          <w:tcPr>
            <w:tcW w:w="1361" w:type="dxa"/>
            <w:tcBorders>
              <w:top w:val="nil"/>
              <w:left w:val="nil"/>
              <w:bottom w:val="nil"/>
              <w:right w:val="nil"/>
            </w:tcBorders>
            <w:shd w:val="clear" w:color="auto" w:fill="auto"/>
            <w:noWrap/>
            <w:vAlign w:val="center"/>
          </w:tcPr>
          <w:p w14:paraId="4CEEB204" w14:textId="77777777" w:rsidR="00801E45" w:rsidRPr="00091A72" w:rsidRDefault="00801E45" w:rsidP="005E5B9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(15.0)</w:t>
            </w:r>
          </w:p>
        </w:tc>
        <w:tc>
          <w:tcPr>
            <w:tcW w:w="1361" w:type="dxa"/>
            <w:tcBorders>
              <w:top w:val="nil"/>
              <w:left w:val="nil"/>
              <w:bottom w:val="nil"/>
              <w:right w:val="nil"/>
            </w:tcBorders>
            <w:shd w:val="clear" w:color="auto" w:fill="auto"/>
            <w:noWrap/>
            <w:vAlign w:val="center"/>
          </w:tcPr>
          <w:p w14:paraId="7C3024A2"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(14.7)</w:t>
            </w:r>
          </w:p>
        </w:tc>
        <w:tc>
          <w:tcPr>
            <w:tcW w:w="1361" w:type="dxa"/>
            <w:tcBorders>
              <w:top w:val="nil"/>
              <w:left w:val="nil"/>
              <w:bottom w:val="nil"/>
              <w:right w:val="nil"/>
            </w:tcBorders>
            <w:shd w:val="clear" w:color="auto" w:fill="auto"/>
            <w:noWrap/>
            <w:vAlign w:val="center"/>
          </w:tcPr>
          <w:p w14:paraId="5DFA4B3E"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(14.9)</w:t>
            </w:r>
          </w:p>
        </w:tc>
        <w:tc>
          <w:tcPr>
            <w:tcW w:w="1361" w:type="dxa"/>
            <w:tcBorders>
              <w:top w:val="nil"/>
              <w:left w:val="nil"/>
              <w:bottom w:val="nil"/>
              <w:right w:val="nil"/>
            </w:tcBorders>
            <w:shd w:val="clear" w:color="auto" w:fill="auto"/>
            <w:noWrap/>
            <w:vAlign w:val="center"/>
          </w:tcPr>
          <w:p w14:paraId="6625750B"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(17.7)</w:t>
            </w:r>
          </w:p>
        </w:tc>
        <w:tc>
          <w:tcPr>
            <w:tcW w:w="1361" w:type="dxa"/>
            <w:tcBorders>
              <w:top w:val="nil"/>
              <w:left w:val="nil"/>
              <w:bottom w:val="nil"/>
              <w:right w:val="nil"/>
            </w:tcBorders>
            <w:vAlign w:val="center"/>
          </w:tcPr>
          <w:p w14:paraId="460819F0"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(9.5)</w:t>
            </w:r>
          </w:p>
        </w:tc>
        <w:tc>
          <w:tcPr>
            <w:tcW w:w="1361" w:type="dxa"/>
            <w:tcBorders>
              <w:top w:val="nil"/>
              <w:left w:val="nil"/>
              <w:bottom w:val="nil"/>
              <w:right w:val="nil"/>
            </w:tcBorders>
            <w:vAlign w:val="center"/>
          </w:tcPr>
          <w:p w14:paraId="3FD7D817" w14:textId="77777777" w:rsidR="00801E45" w:rsidRPr="00091A72" w:rsidRDefault="00801E45" w:rsidP="00810E5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(20.4)</w:t>
            </w:r>
          </w:p>
        </w:tc>
      </w:tr>
    </w:tbl>
    <w:p w14:paraId="093D4FD5" w14:textId="48A7A8E1" w:rsidR="00801E45" w:rsidRPr="0013042F" w:rsidRDefault="00801E45" w:rsidP="00801E45">
      <w:pPr>
        <w:pStyle w:val="affd"/>
        <w:spacing w:before="180"/>
        <w:rPr>
          <w:lang w:eastAsia="zh-HK"/>
        </w:rPr>
      </w:pPr>
      <w:r w:rsidRPr="0013042F">
        <w:rPr>
          <w:rFonts w:hint="eastAsia"/>
          <w:lang w:eastAsia="zh-HK"/>
        </w:rPr>
        <w:t>註：</w:t>
      </w:r>
      <w:r>
        <w:rPr>
          <w:lang w:eastAsia="zh-HK"/>
        </w:rPr>
        <w:tab/>
      </w:r>
      <w:r w:rsidRPr="0013042F">
        <w:rPr>
          <w:lang w:eastAsia="zh-HK"/>
        </w:rPr>
        <w:t>(*)</w:t>
      </w:r>
      <w:r w:rsidRPr="0013042F">
        <w:rPr>
          <w:lang w:eastAsia="zh-HK"/>
        </w:rPr>
        <w:tab/>
      </w:r>
      <w:r w:rsidRPr="0013042F">
        <w:rPr>
          <w:rFonts w:hint="eastAsia"/>
          <w:lang w:eastAsia="zh-HK"/>
        </w:rPr>
        <w:t>其他短途市場指北亞、南亞及東南亞、台灣及澳門，但不包括內地；長途市場則指美洲、歐洲、非洲、中東、澳洲、新西蘭及南太平洋。</w:t>
      </w:r>
      <w:r>
        <w:rPr>
          <w:rFonts w:hint="eastAsia"/>
          <w:lang w:val="en-GB"/>
        </w:rPr>
        <w:t>旅客</w:t>
      </w:r>
      <w:r w:rsidRPr="002C65D3">
        <w:rPr>
          <w:rFonts w:hint="eastAsia"/>
          <w:lang w:val="en-GB"/>
        </w:rPr>
        <w:t>按國籍／地區</w:t>
      </w:r>
      <w:r w:rsidR="000328D0">
        <w:rPr>
          <w:rFonts w:hint="eastAsia"/>
          <w:lang w:val="en-GB" w:eastAsia="zh-HK"/>
        </w:rPr>
        <w:t>劃</w:t>
      </w:r>
      <w:r w:rsidRPr="00F278A7">
        <w:rPr>
          <w:rFonts w:hint="eastAsia"/>
          <w:lang w:eastAsia="zh-HK"/>
        </w:rPr>
        <w:t>分</w:t>
      </w:r>
      <w:r>
        <w:rPr>
          <w:rFonts w:hint="eastAsia"/>
          <w:lang w:eastAsia="zh-HK"/>
        </w:rPr>
        <w:t>。</w:t>
      </w:r>
    </w:p>
    <w:p w14:paraId="102C4C77" w14:textId="77777777" w:rsidR="00801E45" w:rsidRPr="0013042F" w:rsidRDefault="00801E45" w:rsidP="00801E45">
      <w:pPr>
        <w:pStyle w:val="affd"/>
        <w:spacing w:before="180"/>
        <w:rPr>
          <w:lang w:eastAsia="zh-HK"/>
        </w:rPr>
      </w:pPr>
      <w:r w:rsidRPr="00481699">
        <w:rPr>
          <w:lang w:val="en-GB"/>
        </w:rPr>
        <w:tab/>
      </w:r>
      <w:r>
        <w:rPr>
          <w:rFonts w:hint="eastAsia"/>
        </w:rPr>
        <w:t>(</w:t>
      </w:r>
      <w:r>
        <w:rPr>
          <w:rFonts w:hint="eastAsia"/>
          <w:lang w:eastAsia="zh-HK"/>
        </w:rPr>
        <w:t xml:space="preserve"> </w:t>
      </w:r>
      <w:r>
        <w:rPr>
          <w:rFonts w:hint="eastAsia"/>
        </w:rPr>
        <w:t>)</w:t>
      </w:r>
      <w:r>
        <w:rPr>
          <w:lang w:eastAsia="zh-HK"/>
        </w:rPr>
        <w:tab/>
      </w:r>
      <w:r>
        <w:rPr>
          <w:rFonts w:hint="eastAsia"/>
          <w:lang w:eastAsia="zh-HK"/>
        </w:rPr>
        <w:t>與一年前比較的增減百分率。二零二三年的按年</w:t>
      </w:r>
      <w:r w:rsidRPr="00871277">
        <w:rPr>
          <w:rFonts w:hint="eastAsia"/>
          <w:lang w:eastAsia="zh-HK"/>
        </w:rPr>
        <w:t>訪港旅客人次</w:t>
      </w:r>
      <w:r>
        <w:rPr>
          <w:rFonts w:hint="eastAsia"/>
          <w:lang w:eastAsia="zh-HK"/>
        </w:rPr>
        <w:t>出現異常</w:t>
      </w:r>
      <w:r>
        <w:rPr>
          <w:rFonts w:hint="eastAsia"/>
          <w:lang w:val="en-GB" w:eastAsia="zh-HK"/>
        </w:rPr>
        <w:t>變動，</w:t>
      </w:r>
      <w:r>
        <w:rPr>
          <w:rFonts w:hint="eastAsia"/>
          <w:lang w:eastAsia="zh-HK"/>
        </w:rPr>
        <w:t>是由於新冠疫情期間實施邊境管制，導致比較基數較低。</w:t>
      </w:r>
    </w:p>
    <w:p w14:paraId="0E7E198C" w14:textId="609D3903" w:rsidR="00801E45" w:rsidRDefault="00801E45" w:rsidP="00801E45">
      <w:pPr>
        <w:pStyle w:val="affd"/>
        <w:tabs>
          <w:tab w:val="clear" w:pos="720"/>
          <w:tab w:val="left" w:pos="709"/>
        </w:tabs>
        <w:spacing w:before="180"/>
        <w:ind w:left="748" w:hanging="680"/>
        <w:rPr>
          <w:lang w:val="en-GB"/>
        </w:rPr>
      </w:pPr>
      <w:r>
        <w:tab/>
      </w:r>
      <w:r w:rsidRPr="002E45D9">
        <w:rPr>
          <w:rFonts w:hint="eastAsia"/>
          <w:lang w:val="en-GB"/>
        </w:rPr>
        <w:t>由於進位關係，數字相加未必等於總數。</w:t>
      </w:r>
    </w:p>
    <w:p w14:paraId="014F7FA3" w14:textId="1BAA311B" w:rsidR="00A96B1C" w:rsidRDefault="00526C3F" w:rsidP="00D344AF">
      <w:pPr>
        <w:pageBreakBefore/>
      </w:pPr>
      <w:r>
        <w:rPr>
          <w:rFonts w:hint="eastAsia"/>
          <w:b/>
        </w:rPr>
        <w:t>3</w:t>
      </w:r>
      <w:r>
        <w:rPr>
          <w:b/>
        </w:rPr>
        <w:t>.1</w:t>
      </w:r>
      <w:r>
        <w:rPr>
          <w:rFonts w:hint="eastAsia"/>
          <w:b/>
        </w:rPr>
        <w:t>4</w:t>
      </w:r>
      <w:r w:rsidRPr="002A51FB">
        <w:tab/>
      </w:r>
      <w:r>
        <w:rPr>
          <w:rFonts w:hint="eastAsia"/>
          <w:lang w:eastAsia="zh-HK"/>
        </w:rPr>
        <w:t>第</w:t>
      </w:r>
      <w:r>
        <w:rPr>
          <w:rFonts w:hint="eastAsia"/>
        </w:rPr>
        <w:t>二</w:t>
      </w:r>
      <w:r>
        <w:rPr>
          <w:rFonts w:hint="eastAsia"/>
          <w:lang w:eastAsia="zh-HK"/>
        </w:rPr>
        <w:t>季</w:t>
      </w:r>
      <w:r w:rsidRPr="007061D5">
        <w:rPr>
          <w:rFonts w:hint="eastAsia"/>
        </w:rPr>
        <w:t>酒店房間平均入住率</w:t>
      </w:r>
      <w:r>
        <w:rPr>
          <w:rFonts w:hint="eastAsia"/>
        </w:rPr>
        <w:t>為</w:t>
      </w:r>
      <w:r w:rsidR="00724E45">
        <w:rPr>
          <w:lang w:val="en-GB"/>
        </w:rPr>
        <w:t> </w:t>
      </w:r>
      <w:r>
        <w:rPr>
          <w:rFonts w:hint="eastAsia"/>
        </w:rPr>
        <w:t>83%</w:t>
      </w:r>
      <w:r w:rsidRPr="007061D5">
        <w:rPr>
          <w:rFonts w:hint="eastAsia"/>
        </w:rPr>
        <w:t>，高於</w:t>
      </w:r>
      <w:r>
        <w:rPr>
          <w:rFonts w:hint="eastAsia"/>
          <w:lang w:eastAsia="zh-HK"/>
        </w:rPr>
        <w:t>一年前錄得的</w:t>
      </w:r>
      <w:r>
        <w:rPr>
          <w:rFonts w:hint="eastAsia"/>
        </w:rPr>
        <w:t>81</w:t>
      </w:r>
      <w:r w:rsidRPr="007061D5">
        <w:rPr>
          <w:rFonts w:hint="eastAsia"/>
        </w:rPr>
        <w:t>%</w:t>
      </w:r>
      <w:r w:rsidRPr="007061D5">
        <w:rPr>
          <w:rFonts w:hint="eastAsia"/>
        </w:rPr>
        <w:t>。同時，酒店實際平均房租</w:t>
      </w:r>
      <w:r>
        <w:rPr>
          <w:rFonts w:hint="eastAsia"/>
          <w:lang w:eastAsia="zh-HK"/>
        </w:rPr>
        <w:t>按年</w:t>
      </w:r>
      <w:r w:rsidRPr="007061D5">
        <w:rPr>
          <w:rFonts w:hint="eastAsia"/>
        </w:rPr>
        <w:t>下跌</w:t>
      </w:r>
      <w:r w:rsidR="00724E45">
        <w:rPr>
          <w:lang w:val="en-GB"/>
        </w:rPr>
        <w:t> </w:t>
      </w:r>
      <w:r>
        <w:rPr>
          <w:rFonts w:hint="eastAsia"/>
        </w:rPr>
        <w:t>10.0%</w:t>
      </w:r>
      <w:r w:rsidRPr="007061D5">
        <w:rPr>
          <w:rFonts w:hint="eastAsia"/>
        </w:rPr>
        <w:t>至</w:t>
      </w:r>
      <w:r>
        <w:rPr>
          <w:rFonts w:hint="eastAsia"/>
        </w:rPr>
        <w:t>1,174</w:t>
      </w:r>
      <w:r>
        <w:rPr>
          <w:rFonts w:hint="eastAsia"/>
        </w:rPr>
        <w:t>元</w:t>
      </w:r>
      <w:r w:rsidRPr="007061D5">
        <w:rPr>
          <w:rFonts w:hint="eastAsia"/>
          <w:vertAlign w:val="superscript"/>
        </w:rPr>
        <w:t>(</w:t>
      </w:r>
      <w:r>
        <w:rPr>
          <w:vertAlign w:val="superscript"/>
        </w:rPr>
        <w:t>3</w:t>
      </w:r>
      <w:r w:rsidRPr="007061D5">
        <w:rPr>
          <w:rFonts w:hint="eastAsia"/>
          <w:vertAlign w:val="superscript"/>
        </w:rPr>
        <w:t>)</w:t>
      </w:r>
      <w:r w:rsidRPr="007061D5">
        <w:rPr>
          <w:rFonts w:hint="eastAsia"/>
        </w:rPr>
        <w:t>。</w:t>
      </w:r>
    </w:p>
    <w:p w14:paraId="2E4DB4C5" w14:textId="33D9D10D" w:rsidR="008223CA" w:rsidRDefault="00526C3F" w:rsidP="0013042F">
      <w:r w:rsidRPr="002A77FC">
        <w:rPr>
          <w:b/>
        </w:rPr>
        <w:t>3.15</w:t>
      </w:r>
      <w:r w:rsidRPr="0089248B">
        <w:tab/>
      </w:r>
      <w:r>
        <w:rPr>
          <w:rFonts w:hint="eastAsia"/>
        </w:rPr>
        <w:t>政府</w:t>
      </w:r>
      <w:r w:rsidRPr="00386E4E">
        <w:rPr>
          <w:rFonts w:hint="eastAsia"/>
        </w:rPr>
        <w:t>在五月</w:t>
      </w:r>
      <w:r w:rsidR="000675E0" w:rsidRPr="0089248B">
        <w:t>公布九個項目，</w:t>
      </w:r>
      <w:r>
        <w:rPr>
          <w:rFonts w:hint="eastAsia"/>
          <w:lang w:val="en-GB"/>
        </w:rPr>
        <w:t>透過</w:t>
      </w:r>
      <w:r w:rsidRPr="0089248B">
        <w:t>整合和豐富現有旅遊資源</w:t>
      </w:r>
      <w:r>
        <w:rPr>
          <w:rFonts w:hint="eastAsia"/>
        </w:rPr>
        <w:t>，</w:t>
      </w:r>
      <w:r>
        <w:rPr>
          <w:rFonts w:hint="eastAsia"/>
          <w:lang w:eastAsia="zh-HK"/>
        </w:rPr>
        <w:t>盡</w:t>
      </w:r>
      <w:r>
        <w:rPr>
          <w:rFonts w:hint="eastAsia"/>
        </w:rPr>
        <w:t>量</w:t>
      </w:r>
      <w:r w:rsidRPr="0089248B">
        <w:t>發揮各旅遊熱點</w:t>
      </w:r>
      <w:r>
        <w:rPr>
          <w:rFonts w:hint="eastAsia"/>
          <w:lang w:eastAsia="zh-HK"/>
        </w:rPr>
        <w:t>的</w:t>
      </w:r>
      <w:r w:rsidRPr="0089248B">
        <w:t>價值</w:t>
      </w:r>
      <w:r>
        <w:rPr>
          <w:rFonts w:hint="eastAsia"/>
        </w:rPr>
        <w:t>，</w:t>
      </w:r>
      <w:r>
        <w:rPr>
          <w:rFonts w:hint="eastAsia"/>
          <w:lang w:eastAsia="zh-HK"/>
        </w:rPr>
        <w:t>目標是在</w:t>
      </w:r>
      <w:r w:rsidRPr="0089248B">
        <w:rPr>
          <w:lang w:eastAsia="zh-HK"/>
        </w:rPr>
        <w:t>二零二六</w:t>
      </w:r>
      <w:r w:rsidRPr="0089248B">
        <w:t>年</w:t>
      </w:r>
      <w:r w:rsidRPr="0089248B">
        <w:rPr>
          <w:lang w:eastAsia="zh-HK"/>
        </w:rPr>
        <w:t>年</w:t>
      </w:r>
      <w:r w:rsidRPr="0089248B">
        <w:t>底前</w:t>
      </w:r>
      <w:r w:rsidRPr="0089248B">
        <w:rPr>
          <w:rFonts w:hint="eastAsia"/>
          <w:lang w:eastAsia="zh-HK"/>
        </w:rPr>
        <w:t>落實</w:t>
      </w:r>
      <w:r>
        <w:rPr>
          <w:rFonts w:hint="eastAsia"/>
          <w:lang w:eastAsia="zh-HK"/>
        </w:rPr>
        <w:t>推行</w:t>
      </w:r>
      <w:r w:rsidRPr="0089248B">
        <w:t>所有項目，為旅客</w:t>
      </w:r>
      <w:r w:rsidRPr="0089248B">
        <w:rPr>
          <w:lang w:eastAsia="zh-HK"/>
        </w:rPr>
        <w:t>帶來嶄新體驗</w:t>
      </w:r>
      <w:r w:rsidRPr="0089248B">
        <w:t>。</w:t>
      </w:r>
      <w:r w:rsidRPr="0089248B">
        <w:rPr>
          <w:lang w:eastAsia="zh-HK"/>
        </w:rPr>
        <w:t>另</w:t>
      </w:r>
      <w:r w:rsidRPr="0089248B">
        <w:t>外，</w:t>
      </w:r>
      <w:r w:rsidRPr="0089248B">
        <w:rPr>
          <w:lang w:eastAsia="zh-HK"/>
        </w:rPr>
        <w:t>二零二五</w:t>
      </w:r>
      <w:r w:rsidRPr="0089248B">
        <w:t>年上半年</w:t>
      </w:r>
      <w:r w:rsidRPr="0089248B">
        <w:rPr>
          <w:lang w:eastAsia="zh-HK"/>
        </w:rPr>
        <w:t>已</w:t>
      </w:r>
      <w:r>
        <w:rPr>
          <w:rFonts w:hint="eastAsia"/>
          <w:lang w:eastAsia="zh-HK"/>
        </w:rPr>
        <w:t>有近</w:t>
      </w:r>
      <w:r w:rsidR="00B971A3">
        <w:rPr>
          <w:lang w:val="en-GB" w:eastAsia="zh-HK"/>
        </w:rPr>
        <w:t> </w:t>
      </w:r>
      <w:r>
        <w:rPr>
          <w:rFonts w:hint="eastAsia"/>
        </w:rPr>
        <w:t>100</w:t>
      </w:r>
      <w:r w:rsidR="00B971A3">
        <w:t> </w:t>
      </w:r>
      <w:r>
        <w:rPr>
          <w:rFonts w:hint="eastAsia"/>
          <w:lang w:eastAsia="zh-HK"/>
        </w:rPr>
        <w:t>項</w:t>
      </w:r>
      <w:r>
        <w:rPr>
          <w:rFonts w:hint="eastAsia"/>
        </w:rPr>
        <w:t>盛事在港舉行</w:t>
      </w:r>
      <w:r w:rsidRPr="0089248B">
        <w:t>，</w:t>
      </w:r>
      <w:r w:rsidRPr="00F61531">
        <w:rPr>
          <w:rFonts w:hint="eastAsia"/>
        </w:rPr>
        <w:t>涵蓋標誌性的文化、藝術及創意活動；節慶、慶祝、晚會及嘉年華活動；體育賽事；金融、經濟、創新科技</w:t>
      </w:r>
      <w:r w:rsidR="00335703">
        <w:rPr>
          <w:lang w:val="en-GB"/>
        </w:rPr>
        <w:t>(</w:t>
      </w:r>
      <w:r w:rsidR="00335703" w:rsidRPr="00146F14">
        <w:rPr>
          <w:rFonts w:hint="eastAsia"/>
        </w:rPr>
        <w:t>創科</w:t>
      </w:r>
      <w:r w:rsidR="00335703">
        <w:rPr>
          <w:lang w:val="en-GB"/>
        </w:rPr>
        <w:t>)</w:t>
      </w:r>
      <w:r w:rsidRPr="00F61531">
        <w:rPr>
          <w:rFonts w:hint="eastAsia"/>
        </w:rPr>
        <w:t>活動，以及會議和展覽</w:t>
      </w:r>
      <w:r>
        <w:rPr>
          <w:rFonts w:hint="eastAsia"/>
        </w:rPr>
        <w:t>。這些</w:t>
      </w:r>
      <w:r w:rsidRPr="00386E4E">
        <w:rPr>
          <w:rFonts w:hint="eastAsia"/>
        </w:rPr>
        <w:t>盛事</w:t>
      </w:r>
      <w:r w:rsidR="000675E0">
        <w:rPr>
          <w:rFonts w:hint="eastAsia"/>
          <w:lang w:eastAsia="zh-HK"/>
        </w:rPr>
        <w:t>提高</w:t>
      </w:r>
      <w:r>
        <w:rPr>
          <w:rFonts w:hint="eastAsia"/>
        </w:rPr>
        <w:t>了</w:t>
      </w:r>
      <w:r w:rsidRPr="0089248B">
        <w:t>香港作為旅遊目的地的吸引力。</w:t>
      </w:r>
    </w:p>
    <w:p w14:paraId="52091BB4" w14:textId="77777777" w:rsidR="008223CA" w:rsidRDefault="008223CA">
      <w:pPr>
        <w:tabs>
          <w:tab w:val="clear" w:pos="936"/>
          <w:tab w:val="clear" w:pos="1560"/>
          <w:tab w:val="clear" w:pos="2184"/>
          <w:tab w:val="clear" w:pos="2808"/>
        </w:tabs>
        <w:overflowPunct/>
        <w:adjustRightInd/>
        <w:spacing w:after="0" w:line="240" w:lineRule="auto"/>
        <w:jc w:val="left"/>
        <w:textAlignment w:val="auto"/>
      </w:pPr>
      <w:r>
        <w:br w:type="page"/>
      </w:r>
    </w:p>
    <w:p w14:paraId="023DEFC8" w14:textId="77777777" w:rsidR="00540201" w:rsidRPr="004B530A" w:rsidRDefault="00540201" w:rsidP="008223CA">
      <w:pPr>
        <w:pStyle w:val="120"/>
      </w:pPr>
      <w:r w:rsidRPr="003F012A">
        <w:t>物流業</w:t>
      </w:r>
    </w:p>
    <w:p w14:paraId="1D246AC1" w14:textId="3CB65C0E" w:rsidR="00540201" w:rsidRPr="00E813DF" w:rsidRDefault="00540201" w:rsidP="002F2F8C">
      <w:pPr>
        <w:rPr>
          <w:lang w:val="en-GB"/>
        </w:rPr>
      </w:pPr>
      <w:r w:rsidRPr="003F012A">
        <w:rPr>
          <w:rFonts w:hint="eastAsia"/>
          <w:b/>
        </w:rPr>
        <w:t>3.</w:t>
      </w:r>
      <w:r w:rsidRPr="003F012A">
        <w:rPr>
          <w:b/>
        </w:rPr>
        <w:t>1</w:t>
      </w:r>
      <w:r>
        <w:rPr>
          <w:b/>
        </w:rPr>
        <w:t>6</w:t>
      </w:r>
      <w:r w:rsidRPr="00917EE4">
        <w:tab/>
      </w:r>
      <w:r>
        <w:rPr>
          <w:rFonts w:hint="eastAsia"/>
        </w:rPr>
        <w:t>物流業</w:t>
      </w:r>
      <w:r>
        <w:rPr>
          <w:rFonts w:hint="eastAsia"/>
          <w:lang w:eastAsia="zh-HK"/>
        </w:rPr>
        <w:t>各個</w:t>
      </w:r>
      <w:r>
        <w:rPr>
          <w:rFonts w:hint="eastAsia"/>
        </w:rPr>
        <w:t>主要環節在第二</w:t>
      </w:r>
      <w:r w:rsidRPr="003F012A">
        <w:rPr>
          <w:rFonts w:hint="eastAsia"/>
        </w:rPr>
        <w:t>季</w:t>
      </w:r>
      <w:r>
        <w:rPr>
          <w:rFonts w:hint="eastAsia"/>
        </w:rPr>
        <w:t>表現</w:t>
      </w:r>
      <w:r w:rsidR="009E1A47">
        <w:rPr>
          <w:rFonts w:hint="eastAsia"/>
        </w:rPr>
        <w:t>各異</w:t>
      </w:r>
      <w:r>
        <w:rPr>
          <w:rFonts w:hint="eastAsia"/>
        </w:rPr>
        <w:t>。</w:t>
      </w:r>
      <w:r w:rsidRPr="00906824">
        <w:rPr>
          <w:rFonts w:hint="eastAsia"/>
          <w:i/>
        </w:rPr>
        <w:t>整體貨櫃吞吐量</w:t>
      </w:r>
      <w:r w:rsidR="00784320">
        <w:rPr>
          <w:rFonts w:hint="eastAsia"/>
          <w:lang w:val="en-GB"/>
        </w:rPr>
        <w:t>重回</w:t>
      </w:r>
      <w:r w:rsidR="00974DFD">
        <w:rPr>
          <w:rFonts w:hint="eastAsia"/>
        </w:rPr>
        <w:t>下</w:t>
      </w:r>
      <w:r w:rsidR="00784320">
        <w:rPr>
          <w:rFonts w:hint="eastAsia"/>
        </w:rPr>
        <w:t>行趨勢</w:t>
      </w:r>
      <w:r w:rsidR="007C5E4D" w:rsidRPr="003F7FC6">
        <w:rPr>
          <w:lang w:eastAsia="zh-HK"/>
        </w:rPr>
        <w:t>，</w:t>
      </w:r>
      <w:r w:rsidR="009E1A47">
        <w:rPr>
          <w:rFonts w:hint="eastAsia"/>
          <w:lang w:eastAsia="zh-HK"/>
        </w:rPr>
        <w:t>按</w:t>
      </w:r>
      <w:r w:rsidR="009E1A47">
        <w:rPr>
          <w:rFonts w:hint="eastAsia"/>
        </w:rPr>
        <w:t>年</w:t>
      </w:r>
      <w:r w:rsidR="00113340">
        <w:rPr>
          <w:rFonts w:hint="eastAsia"/>
          <w:lang w:eastAsia="zh-HK"/>
        </w:rPr>
        <w:t>下跌</w:t>
      </w:r>
      <w:r w:rsidR="007A128D">
        <w:rPr>
          <w:lang w:val="en-GB" w:eastAsia="zh-HK"/>
        </w:rPr>
        <w:t> </w:t>
      </w:r>
      <w:r w:rsidR="007C5E4D" w:rsidRPr="003F7FC6">
        <w:rPr>
          <w:lang w:eastAsia="zh-HK"/>
        </w:rPr>
        <w:t>7.7%</w:t>
      </w:r>
      <w:r>
        <w:rPr>
          <w:rFonts w:hint="eastAsia"/>
        </w:rPr>
        <w:t>至</w:t>
      </w:r>
      <w:r>
        <w:rPr>
          <w:rFonts w:hint="eastAsia"/>
          <w:lang w:eastAsia="zh-HK"/>
        </w:rPr>
        <w:t>約</w:t>
      </w:r>
      <w:r w:rsidR="007A128D">
        <w:rPr>
          <w:lang w:val="en-GB" w:eastAsia="zh-HK"/>
        </w:rPr>
        <w:t> </w:t>
      </w:r>
      <w:r>
        <w:rPr>
          <w:rFonts w:hint="eastAsia"/>
        </w:rPr>
        <w:t>320</w:t>
      </w:r>
      <w:r>
        <w:t> </w:t>
      </w:r>
      <w:r>
        <w:rPr>
          <w:rFonts w:hint="eastAsia"/>
        </w:rPr>
        <w:t>萬</w:t>
      </w:r>
      <w:r w:rsidRPr="003F012A">
        <w:t>個二十呎標準貨櫃單位</w:t>
      </w:r>
      <w:r>
        <w:rPr>
          <w:rFonts w:hint="eastAsia"/>
        </w:rPr>
        <w:t>。</w:t>
      </w:r>
      <w:r>
        <w:rPr>
          <w:rFonts w:hint="eastAsia"/>
          <w:lang w:eastAsia="zh-HK"/>
        </w:rPr>
        <w:t>經</w:t>
      </w:r>
      <w:r w:rsidRPr="003F012A">
        <w:rPr>
          <w:rFonts w:hint="eastAsia"/>
        </w:rPr>
        <w:t>香港港口處理的貿易貨值</w:t>
      </w:r>
      <w:r w:rsidR="007C5E4D">
        <w:rPr>
          <w:rFonts w:hint="eastAsia"/>
        </w:rPr>
        <w:t>收縮</w:t>
      </w:r>
      <w:r w:rsidR="003210A0">
        <w:rPr>
          <w:lang w:val="en-GB"/>
        </w:rPr>
        <w:t> </w:t>
      </w:r>
      <w:r w:rsidR="00A83EBD">
        <w:t>2.6</w:t>
      </w:r>
      <w:r w:rsidRPr="00A917A1">
        <w:t>%</w:t>
      </w:r>
      <w:r w:rsidRPr="003F012A">
        <w:rPr>
          <w:rFonts w:hint="eastAsia"/>
        </w:rPr>
        <w:t>，佔貿易總值的份額</w:t>
      </w:r>
      <w:r>
        <w:rPr>
          <w:rFonts w:hint="eastAsia"/>
        </w:rPr>
        <w:t>進一步</w:t>
      </w:r>
      <w:r w:rsidRPr="00773677">
        <w:rPr>
          <w:rFonts w:hint="eastAsia"/>
        </w:rPr>
        <w:t>跌</w:t>
      </w:r>
      <w:r>
        <w:rPr>
          <w:rFonts w:hint="eastAsia"/>
        </w:rPr>
        <w:t>至</w:t>
      </w:r>
      <w:r>
        <w:rPr>
          <w:rFonts w:hint="eastAsia"/>
        </w:rPr>
        <w:t>9</w:t>
      </w:r>
      <w:r>
        <w:t>.</w:t>
      </w:r>
      <w:r w:rsidR="00A83EBD">
        <w:t>6</w:t>
      </w:r>
      <w:r w:rsidRPr="00F96C41">
        <w:rPr>
          <w:rFonts w:hint="eastAsia"/>
        </w:rPr>
        <w:t>%</w:t>
      </w:r>
      <w:r w:rsidRPr="003F012A">
        <w:rPr>
          <w:rFonts w:hint="eastAsia"/>
        </w:rPr>
        <w:t>。</w:t>
      </w:r>
    </w:p>
    <w:p w14:paraId="587C8A48" w14:textId="715C72A6" w:rsidR="00A96B1C" w:rsidRDefault="00DC7386" w:rsidP="00A96B1C">
      <w:pPr>
        <w:rPr>
          <w:b/>
        </w:rPr>
      </w:pPr>
      <w:r w:rsidRPr="00DC7386">
        <w:rPr>
          <w:b/>
          <w:noProof/>
        </w:rPr>
        <w:drawing>
          <wp:inline distT="0" distB="0" distL="0" distR="0" wp14:anchorId="7474E355" wp14:editId="482D90A8">
            <wp:extent cx="5760085" cy="351536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15360"/>
                    </a:xfrm>
                    <a:prstGeom prst="rect">
                      <a:avLst/>
                    </a:prstGeom>
                    <a:noFill/>
                    <a:ln>
                      <a:noFill/>
                    </a:ln>
                  </pic:spPr>
                </pic:pic>
              </a:graphicData>
            </a:graphic>
          </wp:inline>
        </w:drawing>
      </w:r>
    </w:p>
    <w:p w14:paraId="7312EF86" w14:textId="11F02C1F" w:rsidR="00540201" w:rsidRDefault="00540201" w:rsidP="00A96B1C">
      <w:r>
        <w:rPr>
          <w:b/>
        </w:rPr>
        <w:t>3.1</w:t>
      </w:r>
      <w:r>
        <w:rPr>
          <w:rFonts w:hint="eastAsia"/>
          <w:b/>
        </w:rPr>
        <w:t>7</w:t>
      </w:r>
      <w:r>
        <w:tab/>
      </w:r>
      <w:r w:rsidRPr="00F57A02">
        <w:rPr>
          <w:rFonts w:hint="eastAsia"/>
          <w:i/>
        </w:rPr>
        <w:t>空運吞吐量</w:t>
      </w:r>
      <w:r w:rsidR="007C5E4D">
        <w:rPr>
          <w:rFonts w:hint="eastAsia"/>
        </w:rPr>
        <w:t>在第二</w:t>
      </w:r>
      <w:r w:rsidR="007C5E4D" w:rsidRPr="003F012A">
        <w:rPr>
          <w:rFonts w:hint="eastAsia"/>
        </w:rPr>
        <w:t>季</w:t>
      </w:r>
      <w:r w:rsidR="007C5E4D">
        <w:rPr>
          <w:rFonts w:hint="eastAsia"/>
          <w:lang w:eastAsia="zh-HK"/>
        </w:rPr>
        <w:t>按</w:t>
      </w:r>
      <w:r w:rsidR="007C5E4D">
        <w:rPr>
          <w:rFonts w:hint="eastAsia"/>
        </w:rPr>
        <w:t>年</w:t>
      </w:r>
      <w:r>
        <w:rPr>
          <w:rFonts w:hint="eastAsia"/>
        </w:rPr>
        <w:t>微升</w:t>
      </w:r>
      <w:r>
        <w:rPr>
          <w:rFonts w:hint="eastAsia"/>
        </w:rPr>
        <w:t> 0</w:t>
      </w:r>
      <w:r>
        <w:t>.</w:t>
      </w:r>
      <w:r>
        <w:rPr>
          <w:rFonts w:hint="eastAsia"/>
        </w:rPr>
        <w:t>8</w:t>
      </w:r>
      <w:r w:rsidRPr="00C64361">
        <w:t>%</w:t>
      </w:r>
      <w:r w:rsidRPr="00C64361">
        <w:rPr>
          <w:rFonts w:hint="eastAsia"/>
        </w:rPr>
        <w:t>至</w:t>
      </w:r>
      <w:r>
        <w:rPr>
          <w:rFonts w:hint="eastAsia"/>
        </w:rPr>
        <w:t> 1</w:t>
      </w:r>
      <w:r>
        <w:t>2</w:t>
      </w:r>
      <w:r>
        <w:rPr>
          <w:rFonts w:hint="eastAsia"/>
        </w:rPr>
        <w:t>0</w:t>
      </w:r>
      <w:r>
        <w:t> </w:t>
      </w:r>
      <w:r w:rsidRPr="00C64361">
        <w:rPr>
          <w:rFonts w:hint="eastAsia"/>
        </w:rPr>
        <w:t>萬公噸。空運貿易貨值</w:t>
      </w:r>
      <w:r>
        <w:rPr>
          <w:rFonts w:hint="eastAsia"/>
        </w:rPr>
        <w:t>顯著上升</w:t>
      </w:r>
      <w:r w:rsidR="002B1296">
        <w:t> </w:t>
      </w:r>
      <w:r w:rsidR="00A14C54">
        <w:t>12.1</w:t>
      </w:r>
      <w:r w:rsidRPr="00C64361">
        <w:t>%</w:t>
      </w:r>
      <w:r>
        <w:rPr>
          <w:rFonts w:hint="eastAsia"/>
          <w:lang w:eastAsia="zh-HK"/>
        </w:rPr>
        <w:t>，</w:t>
      </w:r>
      <w:r w:rsidRPr="001D221C">
        <w:rPr>
          <w:rFonts w:hint="eastAsia"/>
        </w:rPr>
        <w:t>儘管</w:t>
      </w:r>
      <w:r w:rsidRPr="00C64361">
        <w:rPr>
          <w:rFonts w:hint="eastAsia"/>
        </w:rPr>
        <w:t>其佔貿易總值的份額</w:t>
      </w:r>
      <w:r>
        <w:rPr>
          <w:rFonts w:hint="eastAsia"/>
        </w:rPr>
        <w:t>微</w:t>
      </w:r>
      <w:r w:rsidRPr="00C64361">
        <w:rPr>
          <w:rFonts w:hint="eastAsia"/>
        </w:rPr>
        <w:t>跌至</w:t>
      </w:r>
      <w:r w:rsidRPr="00C64361">
        <w:t>4</w:t>
      </w:r>
      <w:r w:rsidR="00A14C54">
        <w:t>4.6</w:t>
      </w:r>
      <w:r w:rsidRPr="00C64361">
        <w:t>%</w:t>
      </w:r>
      <w:r w:rsidRPr="00C64361">
        <w:rPr>
          <w:rFonts w:hint="eastAsia"/>
        </w:rPr>
        <w:t>。</w:t>
      </w:r>
    </w:p>
    <w:p w14:paraId="5AAAFEE9" w14:textId="1B0415C8" w:rsidR="00A96B1C" w:rsidRDefault="00C97EA0" w:rsidP="00A96B1C">
      <w:r w:rsidRPr="00C97EA0">
        <w:rPr>
          <w:noProof/>
        </w:rPr>
        <w:drawing>
          <wp:inline distT="0" distB="0" distL="0" distR="0" wp14:anchorId="74EA7B5D" wp14:editId="061ECE3C">
            <wp:extent cx="5760085" cy="3507105"/>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07105"/>
                    </a:xfrm>
                    <a:prstGeom prst="rect">
                      <a:avLst/>
                    </a:prstGeom>
                    <a:noFill/>
                    <a:ln>
                      <a:noFill/>
                    </a:ln>
                  </pic:spPr>
                </pic:pic>
              </a:graphicData>
            </a:graphic>
          </wp:inline>
        </w:drawing>
      </w:r>
    </w:p>
    <w:p w14:paraId="6ABB225B" w14:textId="05589F3F" w:rsidR="00540201" w:rsidRDefault="00540201" w:rsidP="00A96B1C">
      <w:r>
        <w:rPr>
          <w:b/>
        </w:rPr>
        <w:t>3</w:t>
      </w:r>
      <w:r>
        <w:rPr>
          <w:rFonts w:hint="eastAsia"/>
          <w:b/>
        </w:rPr>
        <w:t>.</w:t>
      </w:r>
      <w:r>
        <w:rPr>
          <w:b/>
        </w:rPr>
        <w:t>18</w:t>
      </w:r>
      <w:r>
        <w:tab/>
      </w:r>
      <w:r>
        <w:rPr>
          <w:rFonts w:hint="eastAsia"/>
          <w:lang w:eastAsia="zh-HK"/>
        </w:rPr>
        <w:t>第二季</w:t>
      </w:r>
      <w:r w:rsidRPr="00DB04B5">
        <w:rPr>
          <w:rFonts w:hint="eastAsia"/>
          <w:i/>
        </w:rPr>
        <w:t>整體路運貨物吞吐量</w:t>
      </w:r>
      <w:r>
        <w:rPr>
          <w:rFonts w:hint="eastAsia"/>
          <w:lang w:eastAsia="zh-HK"/>
        </w:rPr>
        <w:t>較一年前顯著增長</w:t>
      </w:r>
      <w:r>
        <w:rPr>
          <w:rFonts w:hint="eastAsia"/>
        </w:rPr>
        <w:t> </w:t>
      </w:r>
      <w:r w:rsidR="007C5E4D">
        <w:t>7.0</w:t>
      </w:r>
      <w:r w:rsidRPr="00C64361">
        <w:t>%</w:t>
      </w:r>
      <w:r w:rsidRPr="00C64361">
        <w:rPr>
          <w:rFonts w:hint="eastAsia"/>
        </w:rPr>
        <w:t>至</w:t>
      </w:r>
      <w:r w:rsidR="00EE49D5">
        <w:t> </w:t>
      </w:r>
      <w:r>
        <w:rPr>
          <w:rFonts w:hint="eastAsia"/>
        </w:rPr>
        <w:t>430</w:t>
      </w:r>
      <w:r>
        <w:t> </w:t>
      </w:r>
      <w:r w:rsidRPr="00C64361">
        <w:rPr>
          <w:rFonts w:hint="eastAsia"/>
        </w:rPr>
        <w:t>萬公噸。</w:t>
      </w:r>
      <w:r w:rsidRPr="00A82D85">
        <w:rPr>
          <w:rFonts w:hint="eastAsia"/>
          <w:lang w:eastAsia="zh-HK"/>
        </w:rPr>
        <w:t>路運</w:t>
      </w:r>
      <w:r w:rsidRPr="00C64361">
        <w:rPr>
          <w:rFonts w:hint="eastAsia"/>
        </w:rPr>
        <w:t>貿易貨值</w:t>
      </w:r>
      <w:r>
        <w:rPr>
          <w:rFonts w:hint="eastAsia"/>
          <w:lang w:eastAsia="zh-HK"/>
        </w:rPr>
        <w:t>激</w:t>
      </w:r>
      <w:r w:rsidRPr="001B740C">
        <w:rPr>
          <w:rFonts w:hint="eastAsia"/>
          <w:lang w:eastAsia="zh-HK"/>
        </w:rPr>
        <w:t>增</w:t>
      </w:r>
      <w:r>
        <w:rPr>
          <w:rFonts w:hint="eastAsia"/>
        </w:rPr>
        <w:t> 22.</w:t>
      </w:r>
      <w:r w:rsidR="005306D7">
        <w:t>2</w:t>
      </w:r>
      <w:r w:rsidRPr="00C64361">
        <w:t>%</w:t>
      </w:r>
      <w:r>
        <w:rPr>
          <w:rFonts w:hint="eastAsia"/>
          <w:lang w:eastAsia="zh-HK"/>
        </w:rPr>
        <w:t>，</w:t>
      </w:r>
      <w:r w:rsidRPr="00C64361">
        <w:rPr>
          <w:rFonts w:hint="eastAsia"/>
        </w:rPr>
        <w:t>佔貿易總值的份額</w:t>
      </w:r>
      <w:r w:rsidR="007C6C7A">
        <w:rPr>
          <w:rFonts w:hint="eastAsia"/>
          <w:lang w:val="en-GB"/>
        </w:rPr>
        <w:t>上</w:t>
      </w:r>
      <w:r w:rsidR="007C5E4D">
        <w:rPr>
          <w:rFonts w:hint="eastAsia"/>
        </w:rPr>
        <w:t>升</w:t>
      </w:r>
      <w:r w:rsidRPr="00C64361">
        <w:rPr>
          <w:rFonts w:hint="eastAsia"/>
        </w:rPr>
        <w:t>至</w:t>
      </w:r>
      <w:r>
        <w:rPr>
          <w:rFonts w:hint="eastAsia"/>
        </w:rPr>
        <w:t>45.</w:t>
      </w:r>
      <w:r w:rsidR="005306D7">
        <w:t>4</w:t>
      </w:r>
      <w:r w:rsidRPr="00C64361">
        <w:t>%</w:t>
      </w:r>
      <w:r w:rsidRPr="00C64361">
        <w:rPr>
          <w:rFonts w:hint="eastAsia"/>
        </w:rPr>
        <w:t>。</w:t>
      </w:r>
    </w:p>
    <w:p w14:paraId="2821F146" w14:textId="77777777" w:rsidR="00540201" w:rsidRPr="00770B62" w:rsidRDefault="00540201" w:rsidP="00A96B1C">
      <w:pPr>
        <w:pStyle w:val="120"/>
      </w:pPr>
      <w:r w:rsidRPr="00770B62">
        <w:t>運輸</w:t>
      </w:r>
    </w:p>
    <w:p w14:paraId="3931D9B4" w14:textId="31A39B4C" w:rsidR="00540201" w:rsidRDefault="00540201" w:rsidP="00A96B1C">
      <w:r>
        <w:rPr>
          <w:b/>
        </w:rPr>
        <w:t>3</w:t>
      </w:r>
      <w:r w:rsidRPr="00770B62">
        <w:rPr>
          <w:b/>
        </w:rPr>
        <w:t>.</w:t>
      </w:r>
      <w:r>
        <w:rPr>
          <w:b/>
        </w:rPr>
        <w:t>19</w:t>
      </w:r>
      <w:r w:rsidRPr="00770B62">
        <w:tab/>
      </w:r>
      <w:r w:rsidRPr="00845411">
        <w:rPr>
          <w:rFonts w:hint="eastAsia"/>
        </w:rPr>
        <w:t>跨境客運交通流量</w:t>
      </w:r>
      <w:r>
        <w:rPr>
          <w:rFonts w:hint="eastAsia"/>
          <w:lang w:eastAsia="zh-HK"/>
        </w:rPr>
        <w:t>在第二季有所</w:t>
      </w:r>
      <w:r w:rsidR="00231CA6">
        <w:rPr>
          <w:rFonts w:hint="eastAsia"/>
          <w:lang w:eastAsia="zh-HK"/>
        </w:rPr>
        <w:t>改善</w:t>
      </w:r>
      <w:r>
        <w:rPr>
          <w:rFonts w:hint="eastAsia"/>
          <w:lang w:eastAsia="zh-HK"/>
        </w:rPr>
        <w:t>。</w:t>
      </w:r>
      <w:r w:rsidRPr="00770B62">
        <w:t>航空</w:t>
      </w:r>
      <w:r>
        <w:rPr>
          <w:rFonts w:hint="eastAsia"/>
          <w:lang w:eastAsia="zh-HK"/>
        </w:rPr>
        <w:t>和</w:t>
      </w:r>
      <w:r w:rsidRPr="00770B62">
        <w:t>陸路客運量</w:t>
      </w:r>
      <w:r w:rsidR="007C6C7A">
        <w:rPr>
          <w:rFonts w:hint="eastAsia"/>
        </w:rPr>
        <w:t>兩者</w:t>
      </w:r>
      <w:r>
        <w:rPr>
          <w:rFonts w:hint="eastAsia"/>
          <w:lang w:eastAsia="zh-HK"/>
        </w:rPr>
        <w:t>較一年前分別顯著增加</w:t>
      </w:r>
      <w:r w:rsidR="002F28AE">
        <w:rPr>
          <w:lang w:val="en-GB" w:eastAsia="zh-HK"/>
        </w:rPr>
        <w:t> </w:t>
      </w:r>
      <w:r>
        <w:rPr>
          <w:rFonts w:hint="eastAsia"/>
        </w:rPr>
        <w:t>18.</w:t>
      </w:r>
      <w:r w:rsidR="002F28AE">
        <w:t>0</w:t>
      </w:r>
      <w:r>
        <w:rPr>
          <w:rFonts w:hint="eastAsia"/>
        </w:rPr>
        <w:t>%</w:t>
      </w:r>
      <w:r>
        <w:rPr>
          <w:rFonts w:hint="eastAsia"/>
          <w:lang w:eastAsia="zh-HK"/>
        </w:rPr>
        <w:t>和</w:t>
      </w:r>
      <w:r w:rsidR="00CF6BDC">
        <w:rPr>
          <w:lang w:eastAsia="zh-HK"/>
        </w:rPr>
        <w:t> </w:t>
      </w:r>
      <w:r>
        <w:rPr>
          <w:rFonts w:hint="eastAsia"/>
        </w:rPr>
        <w:t>17.5%</w:t>
      </w:r>
      <w:r w:rsidRPr="00AF4D72">
        <w:rPr>
          <w:rFonts w:hint="eastAsia"/>
          <w:lang w:eastAsia="zh-HK"/>
        </w:rPr>
        <w:t>至</w:t>
      </w:r>
      <w:r w:rsidR="002F28AE">
        <w:rPr>
          <w:lang w:val="en-GB" w:eastAsia="zh-HK"/>
        </w:rPr>
        <w:t> </w:t>
      </w:r>
      <w:r>
        <w:rPr>
          <w:rFonts w:hint="eastAsia"/>
        </w:rPr>
        <w:t>1 480</w:t>
      </w:r>
      <w:r w:rsidRPr="00770B62">
        <w:t> </w:t>
      </w:r>
      <w:r w:rsidRPr="00770B62">
        <w:t>萬</w:t>
      </w:r>
      <w:r w:rsidR="00CF6BDC" w:rsidRPr="00CF6BDC">
        <w:rPr>
          <w:rFonts w:hint="eastAsia"/>
        </w:rPr>
        <w:t>人次</w:t>
      </w:r>
      <w:r>
        <w:rPr>
          <w:rFonts w:hint="eastAsia"/>
          <w:lang w:eastAsia="zh-HK"/>
        </w:rPr>
        <w:t>和</w:t>
      </w:r>
      <w:r>
        <w:rPr>
          <w:lang w:eastAsia="zh-HK"/>
        </w:rPr>
        <w:t> </w:t>
      </w:r>
      <w:r>
        <w:rPr>
          <w:rFonts w:hint="eastAsia"/>
        </w:rPr>
        <w:t>6</w:t>
      </w:r>
      <w:r>
        <w:t> </w:t>
      </w:r>
      <w:r>
        <w:rPr>
          <w:rFonts w:hint="eastAsia"/>
        </w:rPr>
        <w:t>870</w:t>
      </w:r>
      <w:r>
        <w:t> </w:t>
      </w:r>
      <w:r>
        <w:rPr>
          <w:rFonts w:hint="eastAsia"/>
          <w:lang w:eastAsia="zh-HK"/>
        </w:rPr>
        <w:t>萬</w:t>
      </w:r>
      <w:r w:rsidRPr="00770B62">
        <w:t>人次</w:t>
      </w:r>
      <w:r>
        <w:rPr>
          <w:rFonts w:hint="eastAsia"/>
          <w:lang w:eastAsia="zh-HK"/>
        </w:rPr>
        <w:t>。</w:t>
      </w:r>
      <w:r w:rsidRPr="00770B62">
        <w:t>水路客運量</w:t>
      </w:r>
      <w:r>
        <w:rPr>
          <w:rFonts w:hint="eastAsia"/>
          <w:lang w:eastAsia="zh-HK"/>
        </w:rPr>
        <w:t>達</w:t>
      </w:r>
      <w:r w:rsidR="00EE49D5">
        <w:rPr>
          <w:lang w:eastAsia="zh-HK"/>
        </w:rPr>
        <w:t> </w:t>
      </w:r>
      <w:r>
        <w:rPr>
          <w:rFonts w:hint="eastAsia"/>
        </w:rPr>
        <w:t>200</w:t>
      </w:r>
      <w:r>
        <w:t> </w:t>
      </w:r>
      <w:r>
        <w:rPr>
          <w:rFonts w:hint="eastAsia"/>
          <w:lang w:eastAsia="zh-HK"/>
        </w:rPr>
        <w:t>萬人次，按年跌幅由上一季的</w:t>
      </w:r>
      <w:r w:rsidR="00EE49D5">
        <w:rPr>
          <w:lang w:eastAsia="zh-HK"/>
        </w:rPr>
        <w:t> </w:t>
      </w:r>
      <w:r>
        <w:rPr>
          <w:rFonts w:hint="eastAsia"/>
        </w:rPr>
        <w:t>11</w:t>
      </w:r>
      <w:r w:rsidR="004720B0">
        <w:rPr>
          <w:rFonts w:hint="eastAsia"/>
        </w:rPr>
        <w:t>.0</w:t>
      </w:r>
      <w:r>
        <w:rPr>
          <w:rFonts w:hint="eastAsia"/>
        </w:rPr>
        <w:t>%</w:t>
      </w:r>
      <w:r>
        <w:rPr>
          <w:rFonts w:hint="eastAsia"/>
          <w:lang w:eastAsia="zh-HK"/>
        </w:rPr>
        <w:t>收窄至</w:t>
      </w:r>
      <w:r>
        <w:rPr>
          <w:rFonts w:hint="eastAsia"/>
        </w:rPr>
        <w:t>3.1%</w:t>
      </w:r>
      <w:r>
        <w:rPr>
          <w:rFonts w:hint="eastAsia"/>
          <w:lang w:eastAsia="zh-HK"/>
        </w:rPr>
        <w:t>。</w:t>
      </w:r>
      <w:r w:rsidRPr="00770B62">
        <w:t>車輛流量</w:t>
      </w:r>
      <w:r>
        <w:rPr>
          <w:rFonts w:hint="eastAsia"/>
          <w:lang w:eastAsia="zh-HK"/>
        </w:rPr>
        <w:t>方面，</w:t>
      </w:r>
      <w:r w:rsidRPr="00770B62">
        <w:t>平均每日跨境車輛流量</w:t>
      </w:r>
      <w:r>
        <w:rPr>
          <w:rFonts w:hint="eastAsia"/>
          <w:lang w:eastAsia="zh-HK"/>
        </w:rPr>
        <w:t>維持暢旺，按年進一步急增</w:t>
      </w:r>
      <w:r w:rsidR="007A1E23">
        <w:rPr>
          <w:lang w:eastAsia="zh-HK"/>
        </w:rPr>
        <w:t> </w:t>
      </w:r>
      <w:r>
        <w:rPr>
          <w:rFonts w:hint="eastAsia"/>
        </w:rPr>
        <w:t>19.</w:t>
      </w:r>
      <w:r w:rsidR="004720B0">
        <w:rPr>
          <w:rFonts w:hint="eastAsia"/>
        </w:rPr>
        <w:t>1</w:t>
      </w:r>
      <w:r>
        <w:rPr>
          <w:rFonts w:hint="eastAsia"/>
        </w:rPr>
        <w:t>%</w:t>
      </w:r>
      <w:r>
        <w:rPr>
          <w:rFonts w:hint="eastAsia"/>
          <w:lang w:eastAsia="zh-HK"/>
        </w:rPr>
        <w:t>至</w:t>
      </w:r>
      <w:r>
        <w:rPr>
          <w:rFonts w:hint="eastAsia"/>
        </w:rPr>
        <w:t>49</w:t>
      </w:r>
      <w:r>
        <w:t> </w:t>
      </w:r>
      <w:r w:rsidR="004720B0">
        <w:rPr>
          <w:rFonts w:hint="eastAsia"/>
        </w:rPr>
        <w:t>169</w:t>
      </w:r>
      <w:r w:rsidR="00BE0E32">
        <w:t> </w:t>
      </w:r>
      <w:r w:rsidRPr="00770B62">
        <w:t>架次。</w:t>
      </w:r>
    </w:p>
    <w:p w14:paraId="55E9AEB7" w14:textId="6308FEEF" w:rsidR="004720B0" w:rsidRPr="004720B0" w:rsidRDefault="004720B0" w:rsidP="00A96B1C">
      <w:r>
        <w:rPr>
          <w:b/>
        </w:rPr>
        <w:t>3</w:t>
      </w:r>
      <w:r w:rsidRPr="00770B62">
        <w:rPr>
          <w:b/>
        </w:rPr>
        <w:t>.</w:t>
      </w:r>
      <w:r>
        <w:rPr>
          <w:b/>
        </w:rPr>
        <w:t>20</w:t>
      </w:r>
      <w:r w:rsidRPr="00770B62">
        <w:tab/>
      </w:r>
      <w:r w:rsidR="00385A78">
        <w:rPr>
          <w:rFonts w:hint="eastAsia"/>
        </w:rPr>
        <w:t>政府在</w:t>
      </w:r>
      <w:r w:rsidR="00385A78" w:rsidRPr="00385A78">
        <w:rPr>
          <w:rFonts w:hint="eastAsia"/>
        </w:rPr>
        <w:t>七月公布</w:t>
      </w:r>
      <w:r w:rsidR="00317EB1" w:rsidRPr="0089248B">
        <w:rPr>
          <w:lang w:eastAsia="zh-HK"/>
        </w:rPr>
        <w:t>「</w:t>
      </w:r>
      <w:r w:rsidR="00317EB1" w:rsidRPr="0089248B">
        <w:t>粵車南下</w:t>
      </w:r>
      <w:r w:rsidR="00317EB1" w:rsidRPr="0089248B">
        <w:rPr>
          <w:lang w:eastAsia="zh-HK"/>
        </w:rPr>
        <w:t>」</w:t>
      </w:r>
      <w:r w:rsidR="00385A78" w:rsidRPr="00385A78">
        <w:rPr>
          <w:rFonts w:hint="eastAsia"/>
          <w:lang w:eastAsia="zh-HK"/>
        </w:rPr>
        <w:t>政策</w:t>
      </w:r>
      <w:r w:rsidR="00385A78" w:rsidRPr="00770B62">
        <w:t>。</w:t>
      </w:r>
      <w:r w:rsidR="00784320">
        <w:rPr>
          <w:rFonts w:hint="eastAsia"/>
        </w:rPr>
        <w:t>這</w:t>
      </w:r>
      <w:r w:rsidR="00784320" w:rsidRPr="00385A78">
        <w:rPr>
          <w:rFonts w:hint="eastAsia"/>
          <w:lang w:eastAsia="zh-HK"/>
        </w:rPr>
        <w:t>政策</w:t>
      </w:r>
      <w:r w:rsidR="00385A78" w:rsidRPr="00385A78">
        <w:rPr>
          <w:rFonts w:hint="eastAsia"/>
        </w:rPr>
        <w:t>是與</w:t>
      </w:r>
      <w:r w:rsidR="00EF46B5" w:rsidRPr="00385A78">
        <w:rPr>
          <w:rFonts w:hint="eastAsia"/>
        </w:rPr>
        <w:t>「</w:t>
      </w:r>
      <w:r w:rsidR="00385A78" w:rsidRPr="00385A78">
        <w:rPr>
          <w:rFonts w:hint="eastAsia"/>
        </w:rPr>
        <w:t>港車北上</w:t>
      </w:r>
      <w:r w:rsidR="00EF46B5" w:rsidRPr="00B8120D">
        <w:rPr>
          <w:rFonts w:hint="eastAsia"/>
          <w:lang w:eastAsia="zh-HK"/>
        </w:rPr>
        <w:t>」</w:t>
      </w:r>
      <w:r w:rsidR="00385A78" w:rsidRPr="00385A78">
        <w:rPr>
          <w:rFonts w:hint="eastAsia"/>
        </w:rPr>
        <w:t>的互惠安排</w:t>
      </w:r>
      <w:r w:rsidR="00385A78" w:rsidRPr="0089248B">
        <w:rPr>
          <w:lang w:eastAsia="zh-HK"/>
        </w:rPr>
        <w:t>，</w:t>
      </w:r>
      <w:r w:rsidR="00B8120D">
        <w:rPr>
          <w:rFonts w:hint="eastAsia"/>
          <w:lang w:eastAsia="zh-HK"/>
        </w:rPr>
        <w:t>目標</w:t>
      </w:r>
      <w:r w:rsidR="00E04C3A">
        <w:rPr>
          <w:rFonts w:hint="eastAsia"/>
          <w:lang w:eastAsia="zh-HK"/>
        </w:rPr>
        <w:t>是在</w:t>
      </w:r>
      <w:r w:rsidR="00267AAE">
        <w:rPr>
          <w:rFonts w:hint="eastAsia"/>
          <w:lang w:eastAsia="zh-HK"/>
        </w:rPr>
        <w:t>今</w:t>
      </w:r>
      <w:r w:rsidR="00317EB1" w:rsidRPr="0089248B">
        <w:rPr>
          <w:lang w:eastAsia="zh-HK"/>
        </w:rPr>
        <w:t>年十一月推出</w:t>
      </w:r>
      <w:r w:rsidR="00B8120D" w:rsidRPr="0089248B">
        <w:t>。</w:t>
      </w:r>
      <w:r w:rsidR="00B8120D" w:rsidRPr="00B8120D">
        <w:rPr>
          <w:rFonts w:hint="eastAsia"/>
          <w:lang w:eastAsia="zh-HK"/>
        </w:rPr>
        <w:t>「粵車南下」將開</w:t>
      </w:r>
      <w:r w:rsidR="000675E0">
        <w:rPr>
          <w:rFonts w:hint="eastAsia"/>
          <w:lang w:eastAsia="zh-HK"/>
        </w:rPr>
        <w:t>啟</w:t>
      </w:r>
      <w:r w:rsidR="00267AAE" w:rsidRPr="00B8120D">
        <w:rPr>
          <w:rFonts w:hint="eastAsia"/>
          <w:lang w:eastAsia="zh-HK"/>
        </w:rPr>
        <w:t>南下旅遊新模式</w:t>
      </w:r>
      <w:r w:rsidR="00267AAE" w:rsidRPr="0089248B">
        <w:t>，</w:t>
      </w:r>
      <w:r w:rsidR="000675E0">
        <w:rPr>
          <w:rFonts w:hint="eastAsia"/>
          <w:lang w:eastAsia="zh-HK"/>
        </w:rPr>
        <w:t>方便</w:t>
      </w:r>
      <w:r w:rsidR="00B8120D" w:rsidRPr="00B8120D">
        <w:rPr>
          <w:rFonts w:hint="eastAsia"/>
          <w:lang w:eastAsia="zh-HK"/>
        </w:rPr>
        <w:t>出行目的不同的內地居民</w:t>
      </w:r>
      <w:r w:rsidR="00135BD7" w:rsidRPr="00135BD7">
        <w:rPr>
          <w:rFonts w:hint="eastAsia"/>
          <w:lang w:eastAsia="zh-HK"/>
        </w:rPr>
        <w:t>使用香港</w:t>
      </w:r>
      <w:r w:rsidR="00231CA6">
        <w:rPr>
          <w:rFonts w:hint="eastAsia"/>
          <w:lang w:eastAsia="zh-HK"/>
        </w:rPr>
        <w:t>國際</w:t>
      </w:r>
      <w:r w:rsidR="00135BD7" w:rsidRPr="00135BD7">
        <w:rPr>
          <w:rFonts w:hint="eastAsia"/>
          <w:lang w:eastAsia="zh-HK"/>
        </w:rPr>
        <w:t>機場或留港</w:t>
      </w:r>
      <w:r w:rsidR="00317EB1" w:rsidRPr="0089248B">
        <w:t>，</w:t>
      </w:r>
      <w:r w:rsidR="00135BD7">
        <w:rPr>
          <w:rFonts w:hint="eastAsia"/>
        </w:rPr>
        <w:t>從而</w:t>
      </w:r>
      <w:r w:rsidR="00135BD7" w:rsidRPr="00135BD7">
        <w:rPr>
          <w:rFonts w:hint="eastAsia"/>
        </w:rPr>
        <w:t>推動</w:t>
      </w:r>
      <w:r w:rsidR="00135BD7" w:rsidRPr="006E084A">
        <w:rPr>
          <w:rFonts w:hint="eastAsia"/>
        </w:rPr>
        <w:t>人文交流，讓香港百業受惠</w:t>
      </w:r>
      <w:r w:rsidR="00135BD7" w:rsidRPr="00135BD7">
        <w:rPr>
          <w:rFonts w:hint="eastAsia"/>
        </w:rPr>
        <w:t>，</w:t>
      </w:r>
      <w:r w:rsidR="000675E0">
        <w:rPr>
          <w:rFonts w:hint="eastAsia"/>
          <w:lang w:eastAsia="zh-HK"/>
        </w:rPr>
        <w:t>並</w:t>
      </w:r>
      <w:r w:rsidR="00135BD7" w:rsidRPr="00135BD7">
        <w:rPr>
          <w:rFonts w:hint="eastAsia"/>
        </w:rPr>
        <w:t>促進大灣區融合</w:t>
      </w:r>
      <w:r w:rsidR="00317EB1" w:rsidRPr="0089248B">
        <w:t>。</w:t>
      </w:r>
    </w:p>
    <w:p w14:paraId="4879AEF9" w14:textId="26A154A9" w:rsidR="00A96B1C" w:rsidRDefault="00A96B1C">
      <w:pPr>
        <w:tabs>
          <w:tab w:val="clear" w:pos="936"/>
          <w:tab w:val="clear" w:pos="1560"/>
          <w:tab w:val="clear" w:pos="2184"/>
          <w:tab w:val="clear" w:pos="2808"/>
        </w:tabs>
        <w:overflowPunct/>
        <w:adjustRightInd/>
        <w:spacing w:after="0" w:line="240" w:lineRule="auto"/>
        <w:jc w:val="left"/>
        <w:textAlignment w:val="auto"/>
      </w:pPr>
      <w:r>
        <w:br w:type="page"/>
      </w:r>
    </w:p>
    <w:p w14:paraId="06005F2B" w14:textId="02BE7F54" w:rsidR="00540201" w:rsidRPr="00E813DF" w:rsidRDefault="00540201" w:rsidP="00A96B1C">
      <w:pPr>
        <w:pStyle w:val="120"/>
        <w:rPr>
          <w:lang w:val="en-GB"/>
        </w:rPr>
      </w:pPr>
      <w:r w:rsidRPr="007A4A4B">
        <w:rPr>
          <w:rFonts w:hint="eastAsia"/>
        </w:rPr>
        <w:t>創新科技</w:t>
      </w:r>
    </w:p>
    <w:p w14:paraId="5FC8D945" w14:textId="567677A1" w:rsidR="007C0E48" w:rsidRPr="007C0E48" w:rsidRDefault="007C0E48">
      <w:pPr>
        <w:rPr>
          <w:lang w:val="en-GB" w:eastAsia="zh-HK"/>
        </w:rPr>
      </w:pPr>
      <w:r>
        <w:rPr>
          <w:b/>
        </w:rPr>
        <w:t>3.21</w:t>
      </w:r>
      <w:r w:rsidRPr="00C321D0">
        <w:tab/>
      </w:r>
      <w:r w:rsidRPr="00832345">
        <w:rPr>
          <w:rFonts w:hint="eastAsia"/>
        </w:rPr>
        <w:t>「</w:t>
      </w:r>
      <w:r w:rsidRPr="006E084A">
        <w:rPr>
          <w:rFonts w:hint="eastAsia"/>
          <w:lang w:val="en-HK"/>
        </w:rPr>
        <w:t>國際創科營商周</w:t>
      </w:r>
      <w:r w:rsidRPr="00832345">
        <w:rPr>
          <w:rFonts w:hint="eastAsia"/>
        </w:rPr>
        <w:t>」</w:t>
      </w:r>
      <w:r w:rsidRPr="006E084A">
        <w:rPr>
          <w:rFonts w:hint="eastAsia"/>
        </w:rPr>
        <w:t>於四月舉行，</w:t>
      </w:r>
      <w:r w:rsidR="00231CA6">
        <w:rPr>
          <w:rFonts w:hint="eastAsia"/>
          <w:lang w:eastAsia="zh-HK"/>
        </w:rPr>
        <w:t>其</w:t>
      </w:r>
      <w:r w:rsidRPr="00832345">
        <w:t>間</w:t>
      </w:r>
      <w:r w:rsidRPr="006E084A">
        <w:rPr>
          <w:rFonts w:hint="eastAsia"/>
        </w:rPr>
        <w:t>舉辦了多項</w:t>
      </w:r>
      <w:r w:rsidR="00146F14" w:rsidRPr="00146F14">
        <w:rPr>
          <w:rFonts w:hint="eastAsia"/>
        </w:rPr>
        <w:t>創科</w:t>
      </w:r>
      <w:r w:rsidRPr="00832345">
        <w:rPr>
          <w:rFonts w:hint="eastAsia"/>
        </w:rPr>
        <w:t>盛事</w:t>
      </w:r>
      <w:r w:rsidRPr="006E084A">
        <w:rPr>
          <w:rFonts w:hint="eastAsia"/>
        </w:rPr>
        <w:t>，包括年度大型展覽</w:t>
      </w:r>
      <w:r w:rsidRPr="00CE127A">
        <w:rPr>
          <w:rFonts w:hint="eastAsia"/>
        </w:rPr>
        <w:t>「香港國際創科展」</w:t>
      </w:r>
      <w:r w:rsidRPr="006E084A">
        <w:rPr>
          <w:rFonts w:hint="eastAsia"/>
        </w:rPr>
        <w:t>，展示低空經濟、人工智能、</w:t>
      </w:r>
      <w:r w:rsidRPr="005A5822">
        <w:t>機械人技術</w:t>
      </w:r>
      <w:r w:rsidRPr="006E084A">
        <w:rPr>
          <w:rFonts w:hint="eastAsia"/>
        </w:rPr>
        <w:t>、網絡安全</w:t>
      </w:r>
      <w:r w:rsidR="000675E0">
        <w:rPr>
          <w:rFonts w:hint="eastAsia"/>
          <w:lang w:eastAsia="zh-HK"/>
        </w:rPr>
        <w:t>和</w:t>
      </w:r>
      <w:r w:rsidRPr="006E084A">
        <w:rPr>
          <w:rFonts w:hint="eastAsia"/>
        </w:rPr>
        <w:t>智慧出行等重點領域的尖端科技方案；</w:t>
      </w:r>
      <w:r w:rsidRPr="006E279C">
        <w:t>以及</w:t>
      </w:r>
      <w:r w:rsidRPr="006E084A">
        <w:rPr>
          <w:rFonts w:hint="eastAsia"/>
        </w:rPr>
        <w:t>「香港世界青年科學大會」，</w:t>
      </w:r>
      <w:r w:rsidRPr="009D1A2E">
        <w:t>雲集</w:t>
      </w:r>
      <w:r w:rsidRPr="006E084A">
        <w:rPr>
          <w:rFonts w:hint="eastAsia"/>
        </w:rPr>
        <w:t>頂尖著名科學家</w:t>
      </w:r>
      <w:r w:rsidRPr="005A5822">
        <w:rPr>
          <w:rFonts w:hint="eastAsia"/>
        </w:rPr>
        <w:t>、諾貝爾獎</w:t>
      </w:r>
      <w:r w:rsidR="000675E0">
        <w:rPr>
          <w:rFonts w:hint="eastAsia"/>
          <w:lang w:eastAsia="zh-HK"/>
        </w:rPr>
        <w:t>和</w:t>
      </w:r>
      <w:r w:rsidRPr="005A5822">
        <w:rPr>
          <w:rFonts w:hint="eastAsia"/>
        </w:rPr>
        <w:t>圖靈獎</w:t>
      </w:r>
      <w:r w:rsidR="000675E0">
        <w:rPr>
          <w:rFonts w:hint="eastAsia"/>
          <w:lang w:eastAsia="zh-HK"/>
        </w:rPr>
        <w:t>的</w:t>
      </w:r>
      <w:r w:rsidRPr="005A5822">
        <w:rPr>
          <w:rFonts w:hint="eastAsia"/>
        </w:rPr>
        <w:t>得獎學者</w:t>
      </w:r>
      <w:r w:rsidRPr="006E084A">
        <w:rPr>
          <w:rFonts w:hint="eastAsia"/>
        </w:rPr>
        <w:t>進行交流。</w:t>
      </w:r>
      <w:r w:rsidRPr="005A5822">
        <w:rPr>
          <w:rFonts w:hint="eastAsia"/>
        </w:rPr>
        <w:t>同</w:t>
      </w:r>
      <w:r w:rsidR="00784320">
        <w:rPr>
          <w:rFonts w:hint="eastAsia"/>
        </w:rPr>
        <w:t>時</w:t>
      </w:r>
      <w:r w:rsidRPr="006E084A">
        <w:rPr>
          <w:rFonts w:hint="eastAsia"/>
        </w:rPr>
        <w:t>，</w:t>
      </w:r>
      <w:r w:rsidRPr="005A5822">
        <w:rPr>
          <w:rFonts w:hint="eastAsia"/>
        </w:rPr>
        <w:t>「世界互聯網大會亞太峰會」</w:t>
      </w:r>
      <w:r w:rsidRPr="006E279C">
        <w:t>首次在香港</w:t>
      </w:r>
      <w:r w:rsidR="000675E0">
        <w:rPr>
          <w:rFonts w:hint="eastAsia"/>
          <w:lang w:eastAsia="zh-HK"/>
        </w:rPr>
        <w:t>舉辦</w:t>
      </w:r>
      <w:r w:rsidRPr="006E084A">
        <w:rPr>
          <w:rFonts w:hint="eastAsia"/>
        </w:rPr>
        <w:t>，聚焦大語言模型、數字金融、數字政府和智慧生活</w:t>
      </w:r>
      <w:r w:rsidRPr="00B05A3F">
        <w:rPr>
          <w:rFonts w:hint="eastAsia"/>
        </w:rPr>
        <w:t>的</w:t>
      </w:r>
      <w:r w:rsidRPr="009D1A2E">
        <w:t>全球高端</w:t>
      </w:r>
      <w:r>
        <w:t>對</w:t>
      </w:r>
      <w:r>
        <w:rPr>
          <w:rFonts w:hint="eastAsia"/>
        </w:rPr>
        <w:t>話</w:t>
      </w:r>
      <w:r w:rsidRPr="006E084A">
        <w:rPr>
          <w:rFonts w:hint="eastAsia"/>
        </w:rPr>
        <w:t>。這些活動不僅展示香港在創科</w:t>
      </w:r>
      <w:r w:rsidR="000675E0">
        <w:rPr>
          <w:rFonts w:hint="eastAsia"/>
          <w:lang w:eastAsia="zh-HK"/>
        </w:rPr>
        <w:t>方面</w:t>
      </w:r>
      <w:r w:rsidRPr="006E084A">
        <w:rPr>
          <w:rFonts w:hint="eastAsia"/>
        </w:rPr>
        <w:t>的優勢，</w:t>
      </w:r>
      <w:r w:rsidRPr="009D1A2E">
        <w:t>也</w:t>
      </w:r>
      <w:r w:rsidRPr="006E084A">
        <w:rPr>
          <w:rFonts w:hint="eastAsia"/>
        </w:rPr>
        <w:t>促進</w:t>
      </w:r>
      <w:r w:rsidRPr="009D1A2E">
        <w:t>了</w:t>
      </w:r>
      <w:r w:rsidRPr="006E084A">
        <w:rPr>
          <w:rFonts w:hint="eastAsia"/>
        </w:rPr>
        <w:t>國際合作</w:t>
      </w:r>
      <w:r w:rsidR="000675E0">
        <w:rPr>
          <w:rFonts w:hint="eastAsia"/>
          <w:lang w:eastAsia="zh-HK"/>
        </w:rPr>
        <w:t>，</w:t>
      </w:r>
      <w:r w:rsidRPr="006E084A">
        <w:rPr>
          <w:rFonts w:hint="eastAsia"/>
        </w:rPr>
        <w:t>推動跨行業協同</w:t>
      </w:r>
      <w:r w:rsidR="000675E0">
        <w:rPr>
          <w:rFonts w:hint="eastAsia"/>
          <w:lang w:eastAsia="zh-HK"/>
        </w:rPr>
        <w:t>效應</w:t>
      </w:r>
      <w:r w:rsidRPr="009D1A2E">
        <w:t>，</w:t>
      </w:r>
      <w:r w:rsidRPr="006E084A">
        <w:rPr>
          <w:rFonts w:hint="eastAsia"/>
        </w:rPr>
        <w:t>進一步鞏固香港國際創科中心的地位。</w:t>
      </w:r>
    </w:p>
    <w:p w14:paraId="231235C9" w14:textId="436D43F8" w:rsidR="00540201" w:rsidRPr="000F2CBB" w:rsidRDefault="00540201" w:rsidP="00A96B1C">
      <w:pPr>
        <w:pStyle w:val="120"/>
      </w:pPr>
      <w:r w:rsidRPr="000F2CBB">
        <w:rPr>
          <w:rFonts w:hint="eastAsia"/>
        </w:rPr>
        <w:t>環境</w:t>
      </w:r>
    </w:p>
    <w:p w14:paraId="0CA614B3" w14:textId="7B9D86B2" w:rsidR="00540201" w:rsidRPr="000F2CBB" w:rsidRDefault="00540201" w:rsidP="002F2F8C">
      <w:pPr>
        <w:rPr>
          <w:szCs w:val="24"/>
          <w:lang w:eastAsia="zh-HK"/>
        </w:rPr>
      </w:pPr>
      <w:r w:rsidRPr="000F2CBB">
        <w:rPr>
          <w:b/>
          <w:szCs w:val="24"/>
        </w:rPr>
        <w:t>3.2</w:t>
      </w:r>
      <w:r w:rsidR="00905303">
        <w:rPr>
          <w:b/>
          <w:szCs w:val="24"/>
        </w:rPr>
        <w:t>2</w:t>
      </w:r>
      <w:r w:rsidRPr="000F2CBB">
        <w:rPr>
          <w:szCs w:val="24"/>
        </w:rPr>
        <w:tab/>
      </w:r>
      <w:r w:rsidRPr="000F2CBB">
        <w:rPr>
          <w:rFonts w:hint="eastAsia"/>
          <w:szCs w:val="24"/>
        </w:rPr>
        <w:t>《</w:t>
      </w:r>
      <w:r w:rsidRPr="000F2CBB">
        <w:rPr>
          <w:rFonts w:hint="eastAsia"/>
          <w:szCs w:val="24"/>
        </w:rPr>
        <w:t>2025</w:t>
      </w:r>
      <w:r w:rsidR="005C61D0">
        <w:rPr>
          <w:szCs w:val="24"/>
        </w:rPr>
        <w:t> </w:t>
      </w:r>
      <w:r w:rsidRPr="000F2CBB">
        <w:rPr>
          <w:rFonts w:hint="eastAsia"/>
          <w:szCs w:val="24"/>
        </w:rPr>
        <w:t>年空氣污染管制</w:t>
      </w:r>
      <w:r w:rsidRPr="000F2CBB">
        <w:rPr>
          <w:rFonts w:hint="eastAsia"/>
          <w:szCs w:val="24"/>
        </w:rPr>
        <w:t>(</w:t>
      </w:r>
      <w:r w:rsidRPr="000F2CBB">
        <w:rPr>
          <w:rFonts w:hint="eastAsia"/>
          <w:szCs w:val="24"/>
        </w:rPr>
        <w:t>修訂</w:t>
      </w:r>
      <w:r w:rsidRPr="000F2CBB">
        <w:rPr>
          <w:rFonts w:hint="eastAsia"/>
          <w:szCs w:val="24"/>
        </w:rPr>
        <w:t>)</w:t>
      </w:r>
      <w:r w:rsidRPr="000F2CBB">
        <w:rPr>
          <w:rFonts w:hint="eastAsia"/>
          <w:szCs w:val="24"/>
        </w:rPr>
        <w:t>條例》</w:t>
      </w:r>
      <w:r w:rsidRPr="000F2CBB">
        <w:rPr>
          <w:rFonts w:hint="eastAsia"/>
          <w:szCs w:val="24"/>
          <w:lang w:eastAsia="zh-HK"/>
        </w:rPr>
        <w:t>在</w:t>
      </w:r>
      <w:r w:rsidRPr="000F2CBB">
        <w:rPr>
          <w:rFonts w:hint="eastAsia"/>
          <w:szCs w:val="24"/>
        </w:rPr>
        <w:t>四月生效</w:t>
      </w:r>
      <w:r w:rsidR="00BE10A6" w:rsidRPr="000F2CBB">
        <w:rPr>
          <w:rFonts w:hint="eastAsia"/>
          <w:szCs w:val="24"/>
          <w:lang w:eastAsia="zh-HK"/>
        </w:rPr>
        <w:t>。</w:t>
      </w:r>
      <w:r w:rsidR="00BE10A6">
        <w:rPr>
          <w:rFonts w:hint="eastAsia"/>
          <w:szCs w:val="24"/>
          <w:lang w:eastAsia="zh-HK"/>
        </w:rPr>
        <w:t>該</w:t>
      </w:r>
      <w:r w:rsidR="00BE10A6" w:rsidRPr="000F2CBB">
        <w:rPr>
          <w:rFonts w:hint="eastAsia"/>
          <w:szCs w:val="24"/>
        </w:rPr>
        <w:t>條例</w:t>
      </w:r>
      <w:r w:rsidR="00BE10A6" w:rsidRPr="00BE10A6">
        <w:rPr>
          <w:szCs w:val="24"/>
          <w:lang w:eastAsia="zh-HK"/>
        </w:rPr>
        <w:t>參照</w:t>
      </w:r>
      <w:r w:rsidRPr="000F2CBB">
        <w:rPr>
          <w:rFonts w:hint="eastAsia"/>
          <w:szCs w:val="24"/>
          <w:lang w:eastAsia="zh-HK"/>
        </w:rPr>
        <w:t>世界衞生組織最新發表的《全球空氣質量指南》</w:t>
      </w:r>
      <w:r w:rsidR="00BE10A6" w:rsidRPr="000F2CBB">
        <w:rPr>
          <w:rFonts w:hint="eastAsia"/>
          <w:szCs w:val="24"/>
          <w:lang w:eastAsia="zh-HK"/>
        </w:rPr>
        <w:t>，</w:t>
      </w:r>
      <w:r w:rsidR="00B818FD" w:rsidRPr="000F2CBB">
        <w:rPr>
          <w:rFonts w:hint="eastAsia"/>
          <w:szCs w:val="24"/>
          <w:lang w:eastAsia="zh-HK"/>
        </w:rPr>
        <w:t>更新空氣質素指標。</w:t>
      </w:r>
      <w:r w:rsidR="00BE10A6" w:rsidRPr="00BE10A6">
        <w:rPr>
          <w:szCs w:val="24"/>
          <w:lang w:eastAsia="zh-HK"/>
        </w:rPr>
        <w:t>在</w:t>
      </w:r>
      <w:r w:rsidR="00464B2F">
        <w:rPr>
          <w:szCs w:val="24"/>
          <w:lang w:val="en-GB" w:eastAsia="zh-HK"/>
        </w:rPr>
        <w:t> </w:t>
      </w:r>
      <w:r w:rsidR="00A20C9D">
        <w:rPr>
          <w:szCs w:val="24"/>
          <w:lang w:val="en-GB" w:eastAsia="zh-HK"/>
        </w:rPr>
        <w:t>15</w:t>
      </w:r>
      <w:r w:rsidR="00B6128D">
        <w:rPr>
          <w:szCs w:val="24"/>
          <w:lang w:val="en-GB" w:eastAsia="zh-HK"/>
        </w:rPr>
        <w:t> </w:t>
      </w:r>
      <w:r w:rsidR="00BE10A6" w:rsidRPr="00BE10A6">
        <w:rPr>
          <w:szCs w:val="24"/>
          <w:lang w:eastAsia="zh-HK"/>
        </w:rPr>
        <w:t>項</w:t>
      </w:r>
      <w:r w:rsidR="000675E0">
        <w:rPr>
          <w:rFonts w:hint="eastAsia"/>
          <w:szCs w:val="24"/>
          <w:lang w:eastAsia="zh-HK"/>
        </w:rPr>
        <w:t>經</w:t>
      </w:r>
      <w:r w:rsidR="00BE10A6" w:rsidRPr="00BE10A6">
        <w:rPr>
          <w:szCs w:val="24"/>
          <w:lang w:eastAsia="zh-HK"/>
        </w:rPr>
        <w:t>更新的</w:t>
      </w:r>
      <w:r w:rsidR="00B818FD" w:rsidRPr="000F2CBB">
        <w:rPr>
          <w:rFonts w:hint="eastAsia"/>
          <w:szCs w:val="24"/>
          <w:lang w:eastAsia="zh-HK"/>
        </w:rPr>
        <w:t>空氣質素指標</w:t>
      </w:r>
      <w:r w:rsidR="00BE10A6" w:rsidRPr="00BE10A6">
        <w:rPr>
          <w:szCs w:val="24"/>
          <w:lang w:eastAsia="zh-HK"/>
        </w:rPr>
        <w:t>當</w:t>
      </w:r>
      <w:r w:rsidR="00B818FD">
        <w:rPr>
          <w:rFonts w:hint="eastAsia"/>
          <w:szCs w:val="24"/>
          <w:lang w:eastAsia="zh-HK"/>
        </w:rPr>
        <w:t>中</w:t>
      </w:r>
      <w:r w:rsidRPr="000F2CBB">
        <w:rPr>
          <w:rFonts w:hint="eastAsia"/>
          <w:szCs w:val="24"/>
          <w:lang w:eastAsia="zh-HK"/>
        </w:rPr>
        <w:t>，</w:t>
      </w:r>
      <w:r w:rsidR="005D6EA4">
        <w:rPr>
          <w:rFonts w:hint="eastAsia"/>
          <w:szCs w:val="24"/>
        </w:rPr>
        <w:t>有</w:t>
      </w:r>
      <w:r w:rsidRPr="000F2CBB">
        <w:rPr>
          <w:rFonts w:hint="eastAsia"/>
          <w:szCs w:val="24"/>
          <w:lang w:eastAsia="zh-HK"/>
        </w:rPr>
        <w:t>七項</w:t>
      </w:r>
      <w:r w:rsidR="005D6EA4" w:rsidRPr="005D6EA4">
        <w:rPr>
          <w:rFonts w:hint="eastAsia"/>
          <w:szCs w:val="24"/>
          <w:lang w:eastAsia="zh-HK"/>
        </w:rPr>
        <w:t>訂</w:t>
      </w:r>
      <w:r w:rsidRPr="000F2CBB">
        <w:rPr>
          <w:rFonts w:hint="eastAsia"/>
          <w:szCs w:val="24"/>
          <w:lang w:eastAsia="zh-HK"/>
        </w:rPr>
        <w:t>於</w:t>
      </w:r>
      <w:r w:rsidR="00905751">
        <w:rPr>
          <w:rFonts w:hint="eastAsia"/>
          <w:szCs w:val="24"/>
          <w:lang w:eastAsia="zh-HK"/>
        </w:rPr>
        <w:t>該</w:t>
      </w:r>
      <w:r w:rsidRPr="000F2CBB">
        <w:rPr>
          <w:rFonts w:hint="eastAsia"/>
          <w:szCs w:val="24"/>
          <w:lang w:eastAsia="zh-HK"/>
        </w:rPr>
        <w:t>指南</w:t>
      </w:r>
      <w:r w:rsidR="005D6EA4">
        <w:rPr>
          <w:rFonts w:hint="eastAsia"/>
          <w:szCs w:val="24"/>
          <w:lang w:eastAsia="zh-HK"/>
        </w:rPr>
        <w:t>中</w:t>
      </w:r>
      <w:r w:rsidRPr="000F2CBB">
        <w:rPr>
          <w:rFonts w:hint="eastAsia"/>
          <w:szCs w:val="24"/>
          <w:lang w:eastAsia="zh-HK"/>
        </w:rPr>
        <w:t>最嚴格</w:t>
      </w:r>
      <w:r w:rsidR="006A4344">
        <w:rPr>
          <w:rFonts w:hint="eastAsia"/>
          <w:szCs w:val="24"/>
          <w:lang w:eastAsia="zh-HK"/>
        </w:rPr>
        <w:t>的</w:t>
      </w:r>
      <w:r w:rsidRPr="000F2CBB">
        <w:rPr>
          <w:rFonts w:hint="eastAsia"/>
          <w:szCs w:val="24"/>
          <w:lang w:eastAsia="zh-HK"/>
        </w:rPr>
        <w:t>水平，與其他先進經濟體的標</w:t>
      </w:r>
      <w:r>
        <w:rPr>
          <w:rFonts w:hint="eastAsia"/>
          <w:szCs w:val="24"/>
          <w:lang w:eastAsia="zh-HK"/>
        </w:rPr>
        <w:t>準看齊</w:t>
      </w:r>
      <w:r w:rsidRPr="000F2CBB">
        <w:rPr>
          <w:rFonts w:hint="eastAsia"/>
          <w:szCs w:val="24"/>
          <w:lang w:eastAsia="zh-HK"/>
        </w:rPr>
        <w:t>。</w:t>
      </w:r>
    </w:p>
    <w:p w14:paraId="3B4727D8" w14:textId="54C82B1E" w:rsidR="00540201" w:rsidRDefault="00540201">
      <w:pPr>
        <w:tabs>
          <w:tab w:val="clear" w:pos="936"/>
          <w:tab w:val="clear" w:pos="1560"/>
          <w:tab w:val="clear" w:pos="2184"/>
          <w:tab w:val="clear" w:pos="2808"/>
        </w:tabs>
        <w:overflowPunct/>
        <w:adjustRightInd/>
        <w:spacing w:after="0" w:line="240" w:lineRule="auto"/>
        <w:jc w:val="left"/>
        <w:textAlignment w:val="auto"/>
      </w:pPr>
      <w:r>
        <w:br w:type="page"/>
      </w:r>
    </w:p>
    <w:p w14:paraId="34FD6D63" w14:textId="77777777" w:rsidR="00540201" w:rsidRPr="00DF3AD2" w:rsidRDefault="00540201" w:rsidP="00A96B1C">
      <w:pPr>
        <w:pStyle w:val="120"/>
      </w:pPr>
      <w:r w:rsidRPr="006214A8">
        <w:rPr>
          <w:rFonts w:hint="eastAsia"/>
          <w:noProof/>
        </w:rPr>
        <w:t>註釋</w:t>
      </w:r>
      <w:r w:rsidRPr="00DF3AD2">
        <w:rPr>
          <w:b/>
          <w:noProof/>
        </w:rPr>
        <w:t>：</w:t>
      </w:r>
    </w:p>
    <w:p w14:paraId="795A4D85" w14:textId="77777777" w:rsidR="00540201" w:rsidRPr="00DF3AD2" w:rsidRDefault="00540201" w:rsidP="00A96B1C">
      <w:pPr>
        <w:pStyle w:val="afd"/>
      </w:pPr>
      <w:r w:rsidRPr="00DF3AD2">
        <w:t>(</w:t>
      </w:r>
      <w:r w:rsidRPr="00DF3AD2">
        <w:rPr>
          <w:rFonts w:hint="eastAsia"/>
        </w:rPr>
        <w:t>1</w:t>
      </w:r>
      <w:r w:rsidRPr="00DF3AD2">
        <w:t>)</w:t>
      </w:r>
      <w:r w:rsidRPr="00DF3AD2">
        <w:tab/>
      </w:r>
      <w:r w:rsidRPr="00DF3AD2">
        <w:rPr>
          <w:rFonts w:hint="eastAsia"/>
        </w:rPr>
        <w:t>由二零一九年第三季開始，置業負擔指數的計算基礎涵蓋以最優惠貸款利率為基準及以香港銀行同業拆息為基準的新造按揭貸款的按揭利率。因此，自二零一九年第三季起的數據未必能與以往季度的數據直接</w:t>
      </w:r>
      <w:r>
        <w:rPr>
          <w:rFonts w:hint="eastAsia"/>
        </w:rPr>
        <w:t>相比</w:t>
      </w:r>
      <w:r w:rsidRPr="00DF3AD2">
        <w:rPr>
          <w:rFonts w:hint="eastAsia"/>
        </w:rPr>
        <w:t>，因為後者只採用以最優惠貸款利率為基準的新造按揭貸款的按揭利率為計算基礎。</w:t>
      </w:r>
    </w:p>
    <w:p w14:paraId="185CF05D" w14:textId="77777777" w:rsidR="00540201" w:rsidRPr="00DF3AD2" w:rsidRDefault="00540201" w:rsidP="00A96B1C">
      <w:pPr>
        <w:pStyle w:val="afd"/>
      </w:pPr>
      <w:r w:rsidRPr="00DF3AD2">
        <w:tab/>
      </w:r>
      <w:r w:rsidRPr="00DF3AD2">
        <w:rPr>
          <w:rFonts w:hint="eastAsia"/>
        </w:rPr>
        <w:t>這些數字會在取得更多數據後再作修訂。</w:t>
      </w:r>
    </w:p>
    <w:p w14:paraId="407DDBCE" w14:textId="77777777" w:rsidR="00540201" w:rsidRDefault="00540201" w:rsidP="00A96B1C">
      <w:pPr>
        <w:pStyle w:val="afd"/>
      </w:pPr>
      <w:r>
        <w:rPr>
          <w:rFonts w:hint="eastAsia"/>
        </w:rPr>
        <w:t>(</w:t>
      </w:r>
      <w:r>
        <w:t>2</w:t>
      </w:r>
      <w:r>
        <w:rPr>
          <w:rFonts w:hint="eastAsia"/>
        </w:rPr>
        <w:t>)</w:t>
      </w:r>
      <w:r>
        <w:tab/>
      </w:r>
      <w:r>
        <w:rPr>
          <w:rFonts w:hint="eastAsia"/>
        </w:rPr>
        <w:t>交投量為商業樓宇的數字，商業樓宇包括零售舖位及其他設計或改建作商業用途的樓宇，但不包括專門作寫字樓用途的樓宇。</w:t>
      </w:r>
    </w:p>
    <w:p w14:paraId="37663445" w14:textId="77777777" w:rsidR="00540201" w:rsidRDefault="00540201" w:rsidP="00A96B1C">
      <w:pPr>
        <w:pStyle w:val="afd"/>
      </w:pPr>
      <w:r>
        <w:t>(3)</w:t>
      </w:r>
      <w:r>
        <w:tab/>
      </w:r>
      <w:r>
        <w:rPr>
          <w:rFonts w:hint="eastAsia"/>
        </w:rPr>
        <w:t>有關酒店房間入住率及實際房租的數字並不包括賓館。這些數字會在取得更多數據後再作修訂。</w:t>
      </w:r>
    </w:p>
    <w:bookmarkEnd w:id="0"/>
    <w:p w14:paraId="1E2AFCE9" w14:textId="77777777" w:rsidR="00C7226C" w:rsidRPr="00481821" w:rsidRDefault="00C7226C" w:rsidP="00481821"/>
    <w:sectPr w:rsidR="00C7226C" w:rsidRPr="00481821" w:rsidSect="00921BF8">
      <w:footerReference w:type="default" r:id="rId14"/>
      <w:pgSz w:w="11907" w:h="16840" w:code="9"/>
      <w:pgMar w:top="1134" w:right="1418" w:bottom="1134" w:left="1418" w:header="567" w:footer="340" w:gutter="0"/>
      <w:pgNumType w:start="3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A65E" w14:textId="77777777" w:rsidR="00EA5E4F" w:rsidRDefault="00EA5E4F">
      <w:r>
        <w:separator/>
      </w:r>
    </w:p>
  </w:endnote>
  <w:endnote w:type="continuationSeparator" w:id="0">
    <w:p w14:paraId="3CBE599B" w14:textId="77777777" w:rsidR="00EA5E4F" w:rsidRDefault="00EA5E4F">
      <w:r>
        <w:continuationSeparator/>
      </w:r>
    </w:p>
  </w:endnote>
  <w:endnote w:type="continuationNotice" w:id="1">
    <w:p w14:paraId="727CA668" w14:textId="77777777" w:rsidR="00EA5E4F" w:rsidRDefault="00EA5E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87D7B" w14:textId="15B0BC38" w:rsidR="006370B4" w:rsidRPr="00F558B4" w:rsidRDefault="006370B4" w:rsidP="0080598F">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2604DD">
      <w:rPr>
        <w:rStyle w:val="ae"/>
        <w:noProof/>
        <w:sz w:val="24"/>
        <w:szCs w:val="24"/>
      </w:rPr>
      <w:t>37</w:t>
    </w:r>
    <w:r w:rsidRPr="00F558B4">
      <w:rPr>
        <w:rStyle w:val="ae"/>
        <w:sz w:val="24"/>
        <w:szCs w:val="24"/>
      </w:rPr>
      <w:fldChar w:fldCharType="end"/>
    </w:r>
  </w:p>
  <w:p w14:paraId="29629341" w14:textId="77777777" w:rsidR="006370B4" w:rsidRDefault="006370B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7D81E4" w14:textId="77777777" w:rsidR="00EA5E4F" w:rsidRDefault="00EA5E4F" w:rsidP="003866D5">
      <w:pPr>
        <w:spacing w:line="240" w:lineRule="atLeast"/>
        <w:jc w:val="center"/>
      </w:pPr>
      <w:r>
        <w:separator/>
      </w:r>
    </w:p>
  </w:footnote>
  <w:footnote w:type="continuationSeparator" w:id="0">
    <w:p w14:paraId="7E136BE3" w14:textId="77777777" w:rsidR="00EA5E4F" w:rsidRDefault="00EA5E4F">
      <w:r>
        <w:continuationSeparator/>
      </w:r>
    </w:p>
  </w:footnote>
  <w:footnote w:type="continuationNotice" w:id="1">
    <w:p w14:paraId="1EF9BE52" w14:textId="77777777" w:rsidR="00EA5E4F" w:rsidRDefault="00EA5E4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 w15:restartNumberingAfterBreak="0">
    <w:nsid w:val="228E5BD4"/>
    <w:multiLevelType w:val="hybridMultilevel"/>
    <w:tmpl w:val="A294ADC2"/>
    <w:lvl w:ilvl="0" w:tplc="B3CE7B54">
      <w:start w:val="1"/>
      <w:numFmt w:val="decimal"/>
      <w:lvlText w:val="(%1)"/>
      <w:lvlJc w:val="left"/>
      <w:pPr>
        <w:ind w:left="930" w:hanging="93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3D720390"/>
    <w:multiLevelType w:val="singleLevel"/>
    <w:tmpl w:val="6396EFAE"/>
    <w:lvl w:ilvl="0">
      <w:start w:val="1"/>
      <w:numFmt w:val="bullet"/>
      <w:pStyle w:val="1"/>
      <w:lvlText w:val=""/>
      <w:lvlJc w:val="left"/>
      <w:pPr>
        <w:tabs>
          <w:tab w:val="num" w:pos="425"/>
        </w:tabs>
        <w:ind w:left="425" w:hanging="425"/>
      </w:pPr>
      <w:rPr>
        <w:rFonts w:ascii="Wingdings" w:hAnsi="Wingdings" w:hint="default"/>
        <w:sz w:val="20"/>
      </w:rPr>
    </w:lvl>
  </w:abstractNum>
  <w:abstractNum w:abstractNumId="4" w15:restartNumberingAfterBreak="0">
    <w:nsid w:val="442E4C51"/>
    <w:multiLevelType w:val="singleLevel"/>
    <w:tmpl w:val="D3ECC294"/>
    <w:lvl w:ilvl="0">
      <w:start w:val="1"/>
      <w:numFmt w:val="bullet"/>
      <w:pStyle w:val="a0"/>
      <w:lvlText w:val=""/>
      <w:lvlJc w:val="left"/>
      <w:pPr>
        <w:tabs>
          <w:tab w:val="num" w:pos="624"/>
        </w:tabs>
        <w:ind w:left="624" w:hanging="624"/>
      </w:pPr>
      <w:rPr>
        <w:rFonts w:ascii="Wingdings" w:hAnsi="Wingdings" w:hint="default"/>
        <w:sz w:val="16"/>
        <w:lang w:val="en-US"/>
      </w:rPr>
    </w:lvl>
  </w:abstractNum>
  <w:abstractNum w:abstractNumId="5" w15:restartNumberingAfterBreak="0">
    <w:nsid w:val="5F870A2E"/>
    <w:multiLevelType w:val="hybridMultilevel"/>
    <w:tmpl w:val="53EE253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6B7116CC"/>
    <w:multiLevelType w:val="multilevel"/>
    <w:tmpl w:val="A36C182E"/>
    <w:lvl w:ilvl="0">
      <w:start w:val="3"/>
      <w:numFmt w:val="decimal"/>
      <w:lvlText w:val="%1"/>
      <w:lvlJc w:val="left"/>
      <w:pPr>
        <w:tabs>
          <w:tab w:val="num" w:pos="1080"/>
        </w:tabs>
        <w:ind w:left="1080" w:hanging="1080"/>
      </w:pPr>
      <w:rPr>
        <w:rFonts w:hint="default"/>
        <w:lang w:val="en-GB"/>
      </w:rPr>
    </w:lvl>
    <w:lvl w:ilvl="1">
      <w:start w:val="4"/>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73AF62C0"/>
    <w:multiLevelType w:val="hybridMultilevel"/>
    <w:tmpl w:val="B1F0DB2A"/>
    <w:lvl w:ilvl="0" w:tplc="8B420B9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5604183"/>
    <w:multiLevelType w:val="hybridMultilevel"/>
    <w:tmpl w:val="B40E2326"/>
    <w:lvl w:ilvl="0" w:tplc="ABDEE6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4"/>
  </w:num>
  <w:num w:numId="9">
    <w:abstractNumId w:val="4"/>
  </w:num>
  <w:num w:numId="10">
    <w:abstractNumId w:val="6"/>
  </w:num>
  <w:num w:numId="11">
    <w:abstractNumId w:val="0"/>
  </w:num>
  <w:num w:numId="12">
    <w:abstractNumId w:val="3"/>
  </w:num>
  <w:num w:numId="13">
    <w:abstractNumId w:val="0"/>
  </w:num>
  <w:num w:numId="14">
    <w:abstractNumId w:val="0"/>
  </w:num>
  <w:num w:numId="15">
    <w:abstractNumId w:val="3"/>
  </w:num>
  <w:num w:numId="16">
    <w:abstractNumId w:val="0"/>
  </w:num>
  <w:num w:numId="17">
    <w:abstractNumId w:val="7"/>
  </w:num>
  <w:num w:numId="18">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20A"/>
    <w:rsid w:val="00000515"/>
    <w:rsid w:val="00000991"/>
    <w:rsid w:val="00001157"/>
    <w:rsid w:val="0000187D"/>
    <w:rsid w:val="00001893"/>
    <w:rsid w:val="00001E18"/>
    <w:rsid w:val="00001F0E"/>
    <w:rsid w:val="000024CA"/>
    <w:rsid w:val="000026EA"/>
    <w:rsid w:val="00002812"/>
    <w:rsid w:val="00002836"/>
    <w:rsid w:val="000029BD"/>
    <w:rsid w:val="00003047"/>
    <w:rsid w:val="0000305C"/>
    <w:rsid w:val="00004624"/>
    <w:rsid w:val="00004D73"/>
    <w:rsid w:val="00004EB7"/>
    <w:rsid w:val="00005303"/>
    <w:rsid w:val="000053AE"/>
    <w:rsid w:val="0000552A"/>
    <w:rsid w:val="000055D4"/>
    <w:rsid w:val="00005B1C"/>
    <w:rsid w:val="00006307"/>
    <w:rsid w:val="0000669F"/>
    <w:rsid w:val="00006993"/>
    <w:rsid w:val="00006A69"/>
    <w:rsid w:val="00007695"/>
    <w:rsid w:val="000077C0"/>
    <w:rsid w:val="0001010B"/>
    <w:rsid w:val="00010176"/>
    <w:rsid w:val="00010790"/>
    <w:rsid w:val="00010B19"/>
    <w:rsid w:val="0001188C"/>
    <w:rsid w:val="000121FC"/>
    <w:rsid w:val="00012267"/>
    <w:rsid w:val="000123A9"/>
    <w:rsid w:val="00012873"/>
    <w:rsid w:val="00013D75"/>
    <w:rsid w:val="00013DF3"/>
    <w:rsid w:val="00014271"/>
    <w:rsid w:val="000146A5"/>
    <w:rsid w:val="00014967"/>
    <w:rsid w:val="0001499A"/>
    <w:rsid w:val="0001519A"/>
    <w:rsid w:val="00015738"/>
    <w:rsid w:val="00015776"/>
    <w:rsid w:val="00015A51"/>
    <w:rsid w:val="00015FD3"/>
    <w:rsid w:val="000161ED"/>
    <w:rsid w:val="00016463"/>
    <w:rsid w:val="00016624"/>
    <w:rsid w:val="00016686"/>
    <w:rsid w:val="000169A3"/>
    <w:rsid w:val="000169F3"/>
    <w:rsid w:val="00017060"/>
    <w:rsid w:val="000174ED"/>
    <w:rsid w:val="000177DE"/>
    <w:rsid w:val="00017B8A"/>
    <w:rsid w:val="00017CF4"/>
    <w:rsid w:val="00017DAA"/>
    <w:rsid w:val="000203E6"/>
    <w:rsid w:val="000203F6"/>
    <w:rsid w:val="000206FE"/>
    <w:rsid w:val="000207EB"/>
    <w:rsid w:val="00020B06"/>
    <w:rsid w:val="00020FB1"/>
    <w:rsid w:val="00020FD7"/>
    <w:rsid w:val="0002103B"/>
    <w:rsid w:val="00021AED"/>
    <w:rsid w:val="00021B55"/>
    <w:rsid w:val="00021EE0"/>
    <w:rsid w:val="0002222D"/>
    <w:rsid w:val="000227F6"/>
    <w:rsid w:val="00022A30"/>
    <w:rsid w:val="00022C5A"/>
    <w:rsid w:val="0002319E"/>
    <w:rsid w:val="000235D0"/>
    <w:rsid w:val="00023B0F"/>
    <w:rsid w:val="00023C87"/>
    <w:rsid w:val="0002407B"/>
    <w:rsid w:val="00024137"/>
    <w:rsid w:val="000244DC"/>
    <w:rsid w:val="0002457E"/>
    <w:rsid w:val="00024A5A"/>
    <w:rsid w:val="00024D95"/>
    <w:rsid w:val="000252FB"/>
    <w:rsid w:val="00025455"/>
    <w:rsid w:val="000255C6"/>
    <w:rsid w:val="0002560B"/>
    <w:rsid w:val="000257A0"/>
    <w:rsid w:val="000257F8"/>
    <w:rsid w:val="00025CCD"/>
    <w:rsid w:val="00025CEF"/>
    <w:rsid w:val="00025D00"/>
    <w:rsid w:val="00025EB9"/>
    <w:rsid w:val="000261F3"/>
    <w:rsid w:val="00026498"/>
    <w:rsid w:val="000264F2"/>
    <w:rsid w:val="000265B3"/>
    <w:rsid w:val="0002664B"/>
    <w:rsid w:val="00026B6A"/>
    <w:rsid w:val="00026C1B"/>
    <w:rsid w:val="00026FD8"/>
    <w:rsid w:val="000272C7"/>
    <w:rsid w:val="000272D7"/>
    <w:rsid w:val="0002759B"/>
    <w:rsid w:val="000275C5"/>
    <w:rsid w:val="00027926"/>
    <w:rsid w:val="00027973"/>
    <w:rsid w:val="00027F6B"/>
    <w:rsid w:val="00030134"/>
    <w:rsid w:val="0003026B"/>
    <w:rsid w:val="0003038E"/>
    <w:rsid w:val="000303D6"/>
    <w:rsid w:val="0003049E"/>
    <w:rsid w:val="00030AF9"/>
    <w:rsid w:val="0003105C"/>
    <w:rsid w:val="000311CA"/>
    <w:rsid w:val="000312CD"/>
    <w:rsid w:val="000315A5"/>
    <w:rsid w:val="000315F6"/>
    <w:rsid w:val="00031679"/>
    <w:rsid w:val="00031C85"/>
    <w:rsid w:val="00031D3D"/>
    <w:rsid w:val="00031D54"/>
    <w:rsid w:val="00031E33"/>
    <w:rsid w:val="00032430"/>
    <w:rsid w:val="00032500"/>
    <w:rsid w:val="000327F6"/>
    <w:rsid w:val="000328D0"/>
    <w:rsid w:val="00033354"/>
    <w:rsid w:val="0003422B"/>
    <w:rsid w:val="000342A7"/>
    <w:rsid w:val="000346B5"/>
    <w:rsid w:val="00034D2E"/>
    <w:rsid w:val="0003509E"/>
    <w:rsid w:val="000351C8"/>
    <w:rsid w:val="000351F3"/>
    <w:rsid w:val="00035552"/>
    <w:rsid w:val="0003568D"/>
    <w:rsid w:val="000357C3"/>
    <w:rsid w:val="00035AE9"/>
    <w:rsid w:val="00035DD7"/>
    <w:rsid w:val="000360A7"/>
    <w:rsid w:val="0003634E"/>
    <w:rsid w:val="00036376"/>
    <w:rsid w:val="0003640C"/>
    <w:rsid w:val="000364AF"/>
    <w:rsid w:val="0003665E"/>
    <w:rsid w:val="00036843"/>
    <w:rsid w:val="00036CBF"/>
    <w:rsid w:val="00036CD0"/>
    <w:rsid w:val="00037295"/>
    <w:rsid w:val="00037546"/>
    <w:rsid w:val="000378CC"/>
    <w:rsid w:val="00037905"/>
    <w:rsid w:val="000379B7"/>
    <w:rsid w:val="000379F4"/>
    <w:rsid w:val="00037AA3"/>
    <w:rsid w:val="00037AFF"/>
    <w:rsid w:val="00037C46"/>
    <w:rsid w:val="000400C2"/>
    <w:rsid w:val="000406A2"/>
    <w:rsid w:val="00040771"/>
    <w:rsid w:val="0004084A"/>
    <w:rsid w:val="00040F66"/>
    <w:rsid w:val="000412E4"/>
    <w:rsid w:val="00041532"/>
    <w:rsid w:val="0004154A"/>
    <w:rsid w:val="000419EA"/>
    <w:rsid w:val="00041BAF"/>
    <w:rsid w:val="00041CE0"/>
    <w:rsid w:val="00042076"/>
    <w:rsid w:val="0004208F"/>
    <w:rsid w:val="0004214A"/>
    <w:rsid w:val="00042436"/>
    <w:rsid w:val="000426C1"/>
    <w:rsid w:val="0004303C"/>
    <w:rsid w:val="00043CA0"/>
    <w:rsid w:val="00043DB4"/>
    <w:rsid w:val="00043E72"/>
    <w:rsid w:val="000441E9"/>
    <w:rsid w:val="00044D18"/>
    <w:rsid w:val="0004522E"/>
    <w:rsid w:val="000452C3"/>
    <w:rsid w:val="0004549F"/>
    <w:rsid w:val="00045746"/>
    <w:rsid w:val="00045A18"/>
    <w:rsid w:val="00045B14"/>
    <w:rsid w:val="00045C15"/>
    <w:rsid w:val="00045C64"/>
    <w:rsid w:val="00045CF6"/>
    <w:rsid w:val="00045F75"/>
    <w:rsid w:val="00046670"/>
    <w:rsid w:val="000466B0"/>
    <w:rsid w:val="000467D7"/>
    <w:rsid w:val="0004694E"/>
    <w:rsid w:val="00046A4D"/>
    <w:rsid w:val="00046C51"/>
    <w:rsid w:val="00046C6D"/>
    <w:rsid w:val="0005067D"/>
    <w:rsid w:val="0005072B"/>
    <w:rsid w:val="00050B8D"/>
    <w:rsid w:val="00050BFE"/>
    <w:rsid w:val="00050C72"/>
    <w:rsid w:val="00051438"/>
    <w:rsid w:val="0005170C"/>
    <w:rsid w:val="00051B6D"/>
    <w:rsid w:val="00051CAF"/>
    <w:rsid w:val="00051D44"/>
    <w:rsid w:val="00052477"/>
    <w:rsid w:val="000528B5"/>
    <w:rsid w:val="00052D4A"/>
    <w:rsid w:val="000533A9"/>
    <w:rsid w:val="000538F4"/>
    <w:rsid w:val="00053A45"/>
    <w:rsid w:val="00053E75"/>
    <w:rsid w:val="00053F69"/>
    <w:rsid w:val="00054224"/>
    <w:rsid w:val="000542C4"/>
    <w:rsid w:val="000549AA"/>
    <w:rsid w:val="00054AAF"/>
    <w:rsid w:val="00054F4C"/>
    <w:rsid w:val="000553F9"/>
    <w:rsid w:val="00055535"/>
    <w:rsid w:val="000555B2"/>
    <w:rsid w:val="00055A81"/>
    <w:rsid w:val="00055B65"/>
    <w:rsid w:val="00055ED5"/>
    <w:rsid w:val="0005647D"/>
    <w:rsid w:val="00056741"/>
    <w:rsid w:val="00056B87"/>
    <w:rsid w:val="00056C8B"/>
    <w:rsid w:val="00056DE8"/>
    <w:rsid w:val="00056E6F"/>
    <w:rsid w:val="000571E9"/>
    <w:rsid w:val="00057F7E"/>
    <w:rsid w:val="000600D3"/>
    <w:rsid w:val="0006012B"/>
    <w:rsid w:val="000605F1"/>
    <w:rsid w:val="00060674"/>
    <w:rsid w:val="00060877"/>
    <w:rsid w:val="00060891"/>
    <w:rsid w:val="00060B32"/>
    <w:rsid w:val="00061071"/>
    <w:rsid w:val="000610DC"/>
    <w:rsid w:val="000611FD"/>
    <w:rsid w:val="000613EF"/>
    <w:rsid w:val="000618A2"/>
    <w:rsid w:val="00061A36"/>
    <w:rsid w:val="00061F04"/>
    <w:rsid w:val="00061F07"/>
    <w:rsid w:val="000620DC"/>
    <w:rsid w:val="000620E1"/>
    <w:rsid w:val="000622C5"/>
    <w:rsid w:val="00062589"/>
    <w:rsid w:val="00062962"/>
    <w:rsid w:val="00062A35"/>
    <w:rsid w:val="00062BA7"/>
    <w:rsid w:val="00062F18"/>
    <w:rsid w:val="000636A5"/>
    <w:rsid w:val="0006395D"/>
    <w:rsid w:val="000639DC"/>
    <w:rsid w:val="00063A4C"/>
    <w:rsid w:val="00063ED7"/>
    <w:rsid w:val="00064341"/>
    <w:rsid w:val="000647CE"/>
    <w:rsid w:val="00064AC7"/>
    <w:rsid w:val="00064CC0"/>
    <w:rsid w:val="00064E64"/>
    <w:rsid w:val="0006579C"/>
    <w:rsid w:val="00065864"/>
    <w:rsid w:val="0006592A"/>
    <w:rsid w:val="00065FF4"/>
    <w:rsid w:val="00066040"/>
    <w:rsid w:val="00066212"/>
    <w:rsid w:val="00066388"/>
    <w:rsid w:val="00066453"/>
    <w:rsid w:val="00066B2A"/>
    <w:rsid w:val="0006710A"/>
    <w:rsid w:val="00067290"/>
    <w:rsid w:val="000675E0"/>
    <w:rsid w:val="00067EFE"/>
    <w:rsid w:val="000702AF"/>
    <w:rsid w:val="000704F0"/>
    <w:rsid w:val="00070796"/>
    <w:rsid w:val="00070A7C"/>
    <w:rsid w:val="00070C45"/>
    <w:rsid w:val="00070D6F"/>
    <w:rsid w:val="00071173"/>
    <w:rsid w:val="000711A5"/>
    <w:rsid w:val="000715F4"/>
    <w:rsid w:val="000716D0"/>
    <w:rsid w:val="0007180C"/>
    <w:rsid w:val="00071D7E"/>
    <w:rsid w:val="00071DA6"/>
    <w:rsid w:val="00072179"/>
    <w:rsid w:val="000721B1"/>
    <w:rsid w:val="00072237"/>
    <w:rsid w:val="00072AB5"/>
    <w:rsid w:val="00072B3D"/>
    <w:rsid w:val="00072B8E"/>
    <w:rsid w:val="00072C44"/>
    <w:rsid w:val="00073476"/>
    <w:rsid w:val="0007366E"/>
    <w:rsid w:val="00073745"/>
    <w:rsid w:val="000738EA"/>
    <w:rsid w:val="00073B69"/>
    <w:rsid w:val="00073C08"/>
    <w:rsid w:val="000742DA"/>
    <w:rsid w:val="000742FB"/>
    <w:rsid w:val="000747F4"/>
    <w:rsid w:val="00074EB5"/>
    <w:rsid w:val="00075017"/>
    <w:rsid w:val="0007578D"/>
    <w:rsid w:val="0007592C"/>
    <w:rsid w:val="00075BAB"/>
    <w:rsid w:val="00075C28"/>
    <w:rsid w:val="00075DBD"/>
    <w:rsid w:val="00075FB2"/>
    <w:rsid w:val="00076089"/>
    <w:rsid w:val="00076C2C"/>
    <w:rsid w:val="00076CBF"/>
    <w:rsid w:val="00076E13"/>
    <w:rsid w:val="00076E2F"/>
    <w:rsid w:val="00077338"/>
    <w:rsid w:val="00077574"/>
    <w:rsid w:val="000779CC"/>
    <w:rsid w:val="000779D8"/>
    <w:rsid w:val="00077A1D"/>
    <w:rsid w:val="00077B19"/>
    <w:rsid w:val="0008011F"/>
    <w:rsid w:val="000802CB"/>
    <w:rsid w:val="000803C0"/>
    <w:rsid w:val="0008096E"/>
    <w:rsid w:val="00080A98"/>
    <w:rsid w:val="00080C94"/>
    <w:rsid w:val="00080FF6"/>
    <w:rsid w:val="000815A6"/>
    <w:rsid w:val="000817B7"/>
    <w:rsid w:val="00081849"/>
    <w:rsid w:val="0008194C"/>
    <w:rsid w:val="00081A55"/>
    <w:rsid w:val="00081AC7"/>
    <w:rsid w:val="00081F50"/>
    <w:rsid w:val="000828C4"/>
    <w:rsid w:val="00082CA1"/>
    <w:rsid w:val="00082F24"/>
    <w:rsid w:val="00084361"/>
    <w:rsid w:val="00084493"/>
    <w:rsid w:val="000846B0"/>
    <w:rsid w:val="000847C5"/>
    <w:rsid w:val="00085873"/>
    <w:rsid w:val="00086011"/>
    <w:rsid w:val="00086024"/>
    <w:rsid w:val="00086409"/>
    <w:rsid w:val="000864D0"/>
    <w:rsid w:val="0008656D"/>
    <w:rsid w:val="00086891"/>
    <w:rsid w:val="00086914"/>
    <w:rsid w:val="00086EE2"/>
    <w:rsid w:val="00086EF4"/>
    <w:rsid w:val="00087476"/>
    <w:rsid w:val="000878E5"/>
    <w:rsid w:val="00087D49"/>
    <w:rsid w:val="00090230"/>
    <w:rsid w:val="000906E5"/>
    <w:rsid w:val="00090C1A"/>
    <w:rsid w:val="00090F66"/>
    <w:rsid w:val="000910DA"/>
    <w:rsid w:val="00091B3B"/>
    <w:rsid w:val="00092117"/>
    <w:rsid w:val="00092640"/>
    <w:rsid w:val="00092765"/>
    <w:rsid w:val="000927FB"/>
    <w:rsid w:val="00092937"/>
    <w:rsid w:val="00092D05"/>
    <w:rsid w:val="00092E05"/>
    <w:rsid w:val="00092E6B"/>
    <w:rsid w:val="00093295"/>
    <w:rsid w:val="000932EC"/>
    <w:rsid w:val="00093780"/>
    <w:rsid w:val="00093CD6"/>
    <w:rsid w:val="00093E9E"/>
    <w:rsid w:val="00093FF3"/>
    <w:rsid w:val="00094751"/>
    <w:rsid w:val="000947D3"/>
    <w:rsid w:val="00094AF6"/>
    <w:rsid w:val="00094E51"/>
    <w:rsid w:val="000956ED"/>
    <w:rsid w:val="0009575D"/>
    <w:rsid w:val="000959BB"/>
    <w:rsid w:val="0009606D"/>
    <w:rsid w:val="000963DC"/>
    <w:rsid w:val="0009645C"/>
    <w:rsid w:val="00096777"/>
    <w:rsid w:val="000967CE"/>
    <w:rsid w:val="000969AC"/>
    <w:rsid w:val="00096C29"/>
    <w:rsid w:val="00096C80"/>
    <w:rsid w:val="00096DAA"/>
    <w:rsid w:val="00096ECA"/>
    <w:rsid w:val="000973D1"/>
    <w:rsid w:val="000976DA"/>
    <w:rsid w:val="000A0235"/>
    <w:rsid w:val="000A029B"/>
    <w:rsid w:val="000A02BE"/>
    <w:rsid w:val="000A0572"/>
    <w:rsid w:val="000A06C1"/>
    <w:rsid w:val="000A06F7"/>
    <w:rsid w:val="000A0A54"/>
    <w:rsid w:val="000A11C5"/>
    <w:rsid w:val="000A14AF"/>
    <w:rsid w:val="000A1BB2"/>
    <w:rsid w:val="000A1D77"/>
    <w:rsid w:val="000A248B"/>
    <w:rsid w:val="000A2831"/>
    <w:rsid w:val="000A286E"/>
    <w:rsid w:val="000A28DF"/>
    <w:rsid w:val="000A2907"/>
    <w:rsid w:val="000A2A88"/>
    <w:rsid w:val="000A2FFD"/>
    <w:rsid w:val="000A31A1"/>
    <w:rsid w:val="000A338E"/>
    <w:rsid w:val="000A367B"/>
    <w:rsid w:val="000A37E0"/>
    <w:rsid w:val="000A39AE"/>
    <w:rsid w:val="000A3A49"/>
    <w:rsid w:val="000A3B15"/>
    <w:rsid w:val="000A3B78"/>
    <w:rsid w:val="000A3E79"/>
    <w:rsid w:val="000A3E7C"/>
    <w:rsid w:val="000A3FC3"/>
    <w:rsid w:val="000A481F"/>
    <w:rsid w:val="000A4931"/>
    <w:rsid w:val="000A4C9D"/>
    <w:rsid w:val="000A4CB5"/>
    <w:rsid w:val="000A515A"/>
    <w:rsid w:val="000A536E"/>
    <w:rsid w:val="000A54A2"/>
    <w:rsid w:val="000A56B3"/>
    <w:rsid w:val="000A570D"/>
    <w:rsid w:val="000A5DBE"/>
    <w:rsid w:val="000A5E31"/>
    <w:rsid w:val="000A5E91"/>
    <w:rsid w:val="000A5FAC"/>
    <w:rsid w:val="000A66BF"/>
    <w:rsid w:val="000A67A2"/>
    <w:rsid w:val="000A69F2"/>
    <w:rsid w:val="000A707A"/>
    <w:rsid w:val="000A718B"/>
    <w:rsid w:val="000A7308"/>
    <w:rsid w:val="000A76F4"/>
    <w:rsid w:val="000A7CD7"/>
    <w:rsid w:val="000A7F22"/>
    <w:rsid w:val="000B0137"/>
    <w:rsid w:val="000B07DA"/>
    <w:rsid w:val="000B08B7"/>
    <w:rsid w:val="000B098B"/>
    <w:rsid w:val="000B09B4"/>
    <w:rsid w:val="000B1232"/>
    <w:rsid w:val="000B1510"/>
    <w:rsid w:val="000B162B"/>
    <w:rsid w:val="000B167E"/>
    <w:rsid w:val="000B1F8F"/>
    <w:rsid w:val="000B27D3"/>
    <w:rsid w:val="000B2A30"/>
    <w:rsid w:val="000B2B9B"/>
    <w:rsid w:val="000B2E8C"/>
    <w:rsid w:val="000B2FA8"/>
    <w:rsid w:val="000B32BD"/>
    <w:rsid w:val="000B32FE"/>
    <w:rsid w:val="000B347C"/>
    <w:rsid w:val="000B365B"/>
    <w:rsid w:val="000B3C7B"/>
    <w:rsid w:val="000B3C82"/>
    <w:rsid w:val="000B4494"/>
    <w:rsid w:val="000B4950"/>
    <w:rsid w:val="000B4DE7"/>
    <w:rsid w:val="000B4E9A"/>
    <w:rsid w:val="000B51A9"/>
    <w:rsid w:val="000B527D"/>
    <w:rsid w:val="000B5623"/>
    <w:rsid w:val="000B563E"/>
    <w:rsid w:val="000B565A"/>
    <w:rsid w:val="000B5989"/>
    <w:rsid w:val="000B59B9"/>
    <w:rsid w:val="000B5A13"/>
    <w:rsid w:val="000B5AE6"/>
    <w:rsid w:val="000B5B8D"/>
    <w:rsid w:val="000B5C5B"/>
    <w:rsid w:val="000B6A05"/>
    <w:rsid w:val="000B7001"/>
    <w:rsid w:val="000B7216"/>
    <w:rsid w:val="000B73F7"/>
    <w:rsid w:val="000B76E2"/>
    <w:rsid w:val="000B775A"/>
    <w:rsid w:val="000B7ABC"/>
    <w:rsid w:val="000C00E7"/>
    <w:rsid w:val="000C0352"/>
    <w:rsid w:val="000C03FB"/>
    <w:rsid w:val="000C0443"/>
    <w:rsid w:val="000C04DF"/>
    <w:rsid w:val="000C0882"/>
    <w:rsid w:val="000C09D1"/>
    <w:rsid w:val="000C1252"/>
    <w:rsid w:val="000C1257"/>
    <w:rsid w:val="000C12C4"/>
    <w:rsid w:val="000C14E0"/>
    <w:rsid w:val="000C17F2"/>
    <w:rsid w:val="000C17F9"/>
    <w:rsid w:val="000C2208"/>
    <w:rsid w:val="000C2295"/>
    <w:rsid w:val="000C23DF"/>
    <w:rsid w:val="000C2421"/>
    <w:rsid w:val="000C26E0"/>
    <w:rsid w:val="000C3360"/>
    <w:rsid w:val="000C389E"/>
    <w:rsid w:val="000C4212"/>
    <w:rsid w:val="000C4696"/>
    <w:rsid w:val="000C47DD"/>
    <w:rsid w:val="000C48E0"/>
    <w:rsid w:val="000C4AB5"/>
    <w:rsid w:val="000C4B9D"/>
    <w:rsid w:val="000C518D"/>
    <w:rsid w:val="000C52A4"/>
    <w:rsid w:val="000C55B9"/>
    <w:rsid w:val="000C56F6"/>
    <w:rsid w:val="000C5D8E"/>
    <w:rsid w:val="000C613D"/>
    <w:rsid w:val="000C6428"/>
    <w:rsid w:val="000C65D1"/>
    <w:rsid w:val="000C666C"/>
    <w:rsid w:val="000C692D"/>
    <w:rsid w:val="000C6F5B"/>
    <w:rsid w:val="000C70D6"/>
    <w:rsid w:val="000C7120"/>
    <w:rsid w:val="000C720E"/>
    <w:rsid w:val="000C7DEE"/>
    <w:rsid w:val="000D0653"/>
    <w:rsid w:val="000D06A1"/>
    <w:rsid w:val="000D0701"/>
    <w:rsid w:val="000D08D9"/>
    <w:rsid w:val="000D0B5D"/>
    <w:rsid w:val="000D0DB0"/>
    <w:rsid w:val="000D10CA"/>
    <w:rsid w:val="000D12A2"/>
    <w:rsid w:val="000D1314"/>
    <w:rsid w:val="000D17D2"/>
    <w:rsid w:val="000D1806"/>
    <w:rsid w:val="000D18D7"/>
    <w:rsid w:val="000D18E1"/>
    <w:rsid w:val="000D1D07"/>
    <w:rsid w:val="000D1DF4"/>
    <w:rsid w:val="000D1F76"/>
    <w:rsid w:val="000D2135"/>
    <w:rsid w:val="000D26E4"/>
    <w:rsid w:val="000D2840"/>
    <w:rsid w:val="000D2FB7"/>
    <w:rsid w:val="000D30CA"/>
    <w:rsid w:val="000D30D1"/>
    <w:rsid w:val="000D3392"/>
    <w:rsid w:val="000D3B61"/>
    <w:rsid w:val="000D4242"/>
    <w:rsid w:val="000D4949"/>
    <w:rsid w:val="000D4F6C"/>
    <w:rsid w:val="000D4FB2"/>
    <w:rsid w:val="000D4FC4"/>
    <w:rsid w:val="000D5127"/>
    <w:rsid w:val="000D51F5"/>
    <w:rsid w:val="000D55D1"/>
    <w:rsid w:val="000D5716"/>
    <w:rsid w:val="000D5D4A"/>
    <w:rsid w:val="000D5D77"/>
    <w:rsid w:val="000D614B"/>
    <w:rsid w:val="000D618F"/>
    <w:rsid w:val="000D6F96"/>
    <w:rsid w:val="000D7693"/>
    <w:rsid w:val="000D78E9"/>
    <w:rsid w:val="000D7A41"/>
    <w:rsid w:val="000E0870"/>
    <w:rsid w:val="000E0997"/>
    <w:rsid w:val="000E0DF6"/>
    <w:rsid w:val="000E0E55"/>
    <w:rsid w:val="000E0EF8"/>
    <w:rsid w:val="000E1744"/>
    <w:rsid w:val="000E236F"/>
    <w:rsid w:val="000E237B"/>
    <w:rsid w:val="000E2667"/>
    <w:rsid w:val="000E26DF"/>
    <w:rsid w:val="000E28A9"/>
    <w:rsid w:val="000E3554"/>
    <w:rsid w:val="000E372A"/>
    <w:rsid w:val="000E3E4B"/>
    <w:rsid w:val="000E4081"/>
    <w:rsid w:val="000E439A"/>
    <w:rsid w:val="000E447A"/>
    <w:rsid w:val="000E48BF"/>
    <w:rsid w:val="000E4BFA"/>
    <w:rsid w:val="000E53C3"/>
    <w:rsid w:val="000E5910"/>
    <w:rsid w:val="000E59F5"/>
    <w:rsid w:val="000E5A46"/>
    <w:rsid w:val="000E5ABE"/>
    <w:rsid w:val="000E619E"/>
    <w:rsid w:val="000E644E"/>
    <w:rsid w:val="000E64F2"/>
    <w:rsid w:val="000E65D7"/>
    <w:rsid w:val="000E6AD8"/>
    <w:rsid w:val="000E6D28"/>
    <w:rsid w:val="000E7154"/>
    <w:rsid w:val="000E71A9"/>
    <w:rsid w:val="000E749A"/>
    <w:rsid w:val="000E751B"/>
    <w:rsid w:val="000E7988"/>
    <w:rsid w:val="000E79A1"/>
    <w:rsid w:val="000E7A7E"/>
    <w:rsid w:val="000E7ACF"/>
    <w:rsid w:val="000E7B22"/>
    <w:rsid w:val="000F0032"/>
    <w:rsid w:val="000F00ED"/>
    <w:rsid w:val="000F04DA"/>
    <w:rsid w:val="000F08F0"/>
    <w:rsid w:val="000F0C61"/>
    <w:rsid w:val="000F0C6E"/>
    <w:rsid w:val="000F120B"/>
    <w:rsid w:val="000F13D1"/>
    <w:rsid w:val="000F148E"/>
    <w:rsid w:val="000F1554"/>
    <w:rsid w:val="000F15DA"/>
    <w:rsid w:val="000F174F"/>
    <w:rsid w:val="000F180B"/>
    <w:rsid w:val="000F1A37"/>
    <w:rsid w:val="000F1B8C"/>
    <w:rsid w:val="000F1C2A"/>
    <w:rsid w:val="000F1C3B"/>
    <w:rsid w:val="000F24C5"/>
    <w:rsid w:val="000F2A8D"/>
    <w:rsid w:val="000F2CA8"/>
    <w:rsid w:val="000F2DD7"/>
    <w:rsid w:val="000F2ED8"/>
    <w:rsid w:val="000F35B7"/>
    <w:rsid w:val="000F389D"/>
    <w:rsid w:val="000F39B1"/>
    <w:rsid w:val="000F3DE4"/>
    <w:rsid w:val="000F3F35"/>
    <w:rsid w:val="000F4A92"/>
    <w:rsid w:val="000F51E0"/>
    <w:rsid w:val="000F52A7"/>
    <w:rsid w:val="000F52F2"/>
    <w:rsid w:val="000F53D8"/>
    <w:rsid w:val="000F56F0"/>
    <w:rsid w:val="000F5817"/>
    <w:rsid w:val="000F5D0E"/>
    <w:rsid w:val="000F5D96"/>
    <w:rsid w:val="000F62E9"/>
    <w:rsid w:val="000F662E"/>
    <w:rsid w:val="000F667C"/>
    <w:rsid w:val="000F6B6A"/>
    <w:rsid w:val="000F6DEE"/>
    <w:rsid w:val="000F6DF6"/>
    <w:rsid w:val="000F6E52"/>
    <w:rsid w:val="000F7676"/>
    <w:rsid w:val="000F7720"/>
    <w:rsid w:val="000F7B16"/>
    <w:rsid w:val="00100034"/>
    <w:rsid w:val="00100400"/>
    <w:rsid w:val="00100579"/>
    <w:rsid w:val="001008DE"/>
    <w:rsid w:val="00100DBB"/>
    <w:rsid w:val="00100E6C"/>
    <w:rsid w:val="00100F46"/>
    <w:rsid w:val="00101776"/>
    <w:rsid w:val="00101863"/>
    <w:rsid w:val="00101BC6"/>
    <w:rsid w:val="00101C8F"/>
    <w:rsid w:val="001020AF"/>
    <w:rsid w:val="001021CD"/>
    <w:rsid w:val="001022A6"/>
    <w:rsid w:val="001023E5"/>
    <w:rsid w:val="00102592"/>
    <w:rsid w:val="00102942"/>
    <w:rsid w:val="00102A14"/>
    <w:rsid w:val="00102B8C"/>
    <w:rsid w:val="00102D96"/>
    <w:rsid w:val="001030EE"/>
    <w:rsid w:val="001032D1"/>
    <w:rsid w:val="001032E3"/>
    <w:rsid w:val="00103E32"/>
    <w:rsid w:val="00103F20"/>
    <w:rsid w:val="00103F57"/>
    <w:rsid w:val="00104028"/>
    <w:rsid w:val="00104695"/>
    <w:rsid w:val="00104977"/>
    <w:rsid w:val="001049A6"/>
    <w:rsid w:val="0010533B"/>
    <w:rsid w:val="00105851"/>
    <w:rsid w:val="00106192"/>
    <w:rsid w:val="001063F4"/>
    <w:rsid w:val="00106654"/>
    <w:rsid w:val="00106C10"/>
    <w:rsid w:val="00107015"/>
    <w:rsid w:val="001071EF"/>
    <w:rsid w:val="00107911"/>
    <w:rsid w:val="001079A2"/>
    <w:rsid w:val="00107A65"/>
    <w:rsid w:val="00107A7F"/>
    <w:rsid w:val="001106B9"/>
    <w:rsid w:val="00110907"/>
    <w:rsid w:val="00110BC8"/>
    <w:rsid w:val="00111089"/>
    <w:rsid w:val="00111258"/>
    <w:rsid w:val="001113A8"/>
    <w:rsid w:val="001116D8"/>
    <w:rsid w:val="00111823"/>
    <w:rsid w:val="00111BFE"/>
    <w:rsid w:val="0011218A"/>
    <w:rsid w:val="001123EE"/>
    <w:rsid w:val="001124C4"/>
    <w:rsid w:val="0011258A"/>
    <w:rsid w:val="00112606"/>
    <w:rsid w:val="00113340"/>
    <w:rsid w:val="00113CD6"/>
    <w:rsid w:val="001140D1"/>
    <w:rsid w:val="00114310"/>
    <w:rsid w:val="00114991"/>
    <w:rsid w:val="00114AD4"/>
    <w:rsid w:val="00114BC6"/>
    <w:rsid w:val="00114C0E"/>
    <w:rsid w:val="00114DB5"/>
    <w:rsid w:val="00114E7F"/>
    <w:rsid w:val="0011520E"/>
    <w:rsid w:val="0011542B"/>
    <w:rsid w:val="001156C6"/>
    <w:rsid w:val="00115729"/>
    <w:rsid w:val="001157DC"/>
    <w:rsid w:val="00115BF2"/>
    <w:rsid w:val="00115E7F"/>
    <w:rsid w:val="00115F4D"/>
    <w:rsid w:val="0011601D"/>
    <w:rsid w:val="00116467"/>
    <w:rsid w:val="0011683E"/>
    <w:rsid w:val="00116A00"/>
    <w:rsid w:val="001170EA"/>
    <w:rsid w:val="0011716B"/>
    <w:rsid w:val="00117221"/>
    <w:rsid w:val="001174A0"/>
    <w:rsid w:val="0011754F"/>
    <w:rsid w:val="00117689"/>
    <w:rsid w:val="00117C8D"/>
    <w:rsid w:val="001200FE"/>
    <w:rsid w:val="001204EE"/>
    <w:rsid w:val="00120847"/>
    <w:rsid w:val="00120A53"/>
    <w:rsid w:val="00120B75"/>
    <w:rsid w:val="00120E97"/>
    <w:rsid w:val="001210BC"/>
    <w:rsid w:val="0012132D"/>
    <w:rsid w:val="001218F0"/>
    <w:rsid w:val="001221B6"/>
    <w:rsid w:val="0012239C"/>
    <w:rsid w:val="0012264A"/>
    <w:rsid w:val="0012275A"/>
    <w:rsid w:val="00122A71"/>
    <w:rsid w:val="00122DBA"/>
    <w:rsid w:val="001236DC"/>
    <w:rsid w:val="00123CA7"/>
    <w:rsid w:val="0012457D"/>
    <w:rsid w:val="001247D2"/>
    <w:rsid w:val="001248C6"/>
    <w:rsid w:val="00124B22"/>
    <w:rsid w:val="00124E5B"/>
    <w:rsid w:val="0012513D"/>
    <w:rsid w:val="00125738"/>
    <w:rsid w:val="00125C51"/>
    <w:rsid w:val="00125D89"/>
    <w:rsid w:val="001260FB"/>
    <w:rsid w:val="001261AF"/>
    <w:rsid w:val="00126423"/>
    <w:rsid w:val="00126B9D"/>
    <w:rsid w:val="00127161"/>
    <w:rsid w:val="001271D0"/>
    <w:rsid w:val="001271E0"/>
    <w:rsid w:val="00127514"/>
    <w:rsid w:val="001275CA"/>
    <w:rsid w:val="001275EC"/>
    <w:rsid w:val="00127A21"/>
    <w:rsid w:val="00127E54"/>
    <w:rsid w:val="00130363"/>
    <w:rsid w:val="0013042F"/>
    <w:rsid w:val="001307F6"/>
    <w:rsid w:val="001309A2"/>
    <w:rsid w:val="001309E0"/>
    <w:rsid w:val="00130A6D"/>
    <w:rsid w:val="00131107"/>
    <w:rsid w:val="0013149B"/>
    <w:rsid w:val="00131973"/>
    <w:rsid w:val="00131D78"/>
    <w:rsid w:val="00132084"/>
    <w:rsid w:val="00132AD3"/>
    <w:rsid w:val="00132CCB"/>
    <w:rsid w:val="00132D57"/>
    <w:rsid w:val="00132DF5"/>
    <w:rsid w:val="00132E69"/>
    <w:rsid w:val="00132FD4"/>
    <w:rsid w:val="001330FA"/>
    <w:rsid w:val="001335D1"/>
    <w:rsid w:val="00133758"/>
    <w:rsid w:val="00133ABF"/>
    <w:rsid w:val="00133AE7"/>
    <w:rsid w:val="00133B90"/>
    <w:rsid w:val="00133BCF"/>
    <w:rsid w:val="00133C68"/>
    <w:rsid w:val="00134049"/>
    <w:rsid w:val="00134620"/>
    <w:rsid w:val="00134C58"/>
    <w:rsid w:val="00134D8C"/>
    <w:rsid w:val="00134E10"/>
    <w:rsid w:val="00135099"/>
    <w:rsid w:val="0013524F"/>
    <w:rsid w:val="00135464"/>
    <w:rsid w:val="00135847"/>
    <w:rsid w:val="00135BD7"/>
    <w:rsid w:val="00135E12"/>
    <w:rsid w:val="001362AF"/>
    <w:rsid w:val="001363F3"/>
    <w:rsid w:val="001364BB"/>
    <w:rsid w:val="001366A1"/>
    <w:rsid w:val="00136901"/>
    <w:rsid w:val="00136D75"/>
    <w:rsid w:val="00137116"/>
    <w:rsid w:val="001371C1"/>
    <w:rsid w:val="00137BB5"/>
    <w:rsid w:val="00137FF5"/>
    <w:rsid w:val="001404B8"/>
    <w:rsid w:val="001405C2"/>
    <w:rsid w:val="001406AF"/>
    <w:rsid w:val="0014083D"/>
    <w:rsid w:val="00140BD1"/>
    <w:rsid w:val="00141182"/>
    <w:rsid w:val="00141226"/>
    <w:rsid w:val="00141459"/>
    <w:rsid w:val="00142227"/>
    <w:rsid w:val="00142358"/>
    <w:rsid w:val="0014255B"/>
    <w:rsid w:val="001428D7"/>
    <w:rsid w:val="00142C93"/>
    <w:rsid w:val="00142F40"/>
    <w:rsid w:val="001438E3"/>
    <w:rsid w:val="00143C10"/>
    <w:rsid w:val="00143E68"/>
    <w:rsid w:val="00144070"/>
    <w:rsid w:val="00144872"/>
    <w:rsid w:val="00144AA6"/>
    <w:rsid w:val="001454D2"/>
    <w:rsid w:val="0014572B"/>
    <w:rsid w:val="001458C5"/>
    <w:rsid w:val="00145A08"/>
    <w:rsid w:val="00145C0B"/>
    <w:rsid w:val="00145DD0"/>
    <w:rsid w:val="00145E38"/>
    <w:rsid w:val="00145F71"/>
    <w:rsid w:val="00146409"/>
    <w:rsid w:val="00146796"/>
    <w:rsid w:val="00146989"/>
    <w:rsid w:val="00146F14"/>
    <w:rsid w:val="00147088"/>
    <w:rsid w:val="00150001"/>
    <w:rsid w:val="00150363"/>
    <w:rsid w:val="001505AD"/>
    <w:rsid w:val="00150BCC"/>
    <w:rsid w:val="00150D97"/>
    <w:rsid w:val="00151583"/>
    <w:rsid w:val="0015168D"/>
    <w:rsid w:val="00151C61"/>
    <w:rsid w:val="00151EB1"/>
    <w:rsid w:val="0015252E"/>
    <w:rsid w:val="00152B12"/>
    <w:rsid w:val="00153259"/>
    <w:rsid w:val="00153583"/>
    <w:rsid w:val="00153905"/>
    <w:rsid w:val="00153A6D"/>
    <w:rsid w:val="00154272"/>
    <w:rsid w:val="00154298"/>
    <w:rsid w:val="001542FA"/>
    <w:rsid w:val="00154310"/>
    <w:rsid w:val="00154E4C"/>
    <w:rsid w:val="0015500E"/>
    <w:rsid w:val="001550DA"/>
    <w:rsid w:val="00155915"/>
    <w:rsid w:val="00155A56"/>
    <w:rsid w:val="00155E36"/>
    <w:rsid w:val="00155FC7"/>
    <w:rsid w:val="001562E6"/>
    <w:rsid w:val="0015630F"/>
    <w:rsid w:val="001564A7"/>
    <w:rsid w:val="00156559"/>
    <w:rsid w:val="00157091"/>
    <w:rsid w:val="00157466"/>
    <w:rsid w:val="00157836"/>
    <w:rsid w:val="001578A3"/>
    <w:rsid w:val="00157C0E"/>
    <w:rsid w:val="00157CA3"/>
    <w:rsid w:val="00157D81"/>
    <w:rsid w:val="00157E9F"/>
    <w:rsid w:val="001603D6"/>
    <w:rsid w:val="001609AA"/>
    <w:rsid w:val="00160BE5"/>
    <w:rsid w:val="00160BEB"/>
    <w:rsid w:val="00160FB0"/>
    <w:rsid w:val="00161763"/>
    <w:rsid w:val="00161A0F"/>
    <w:rsid w:val="00161A9B"/>
    <w:rsid w:val="00161B54"/>
    <w:rsid w:val="001620C3"/>
    <w:rsid w:val="0016235F"/>
    <w:rsid w:val="00162520"/>
    <w:rsid w:val="00162543"/>
    <w:rsid w:val="00162560"/>
    <w:rsid w:val="001628B2"/>
    <w:rsid w:val="001638F2"/>
    <w:rsid w:val="001639FD"/>
    <w:rsid w:val="00163BBF"/>
    <w:rsid w:val="00163C99"/>
    <w:rsid w:val="0016481D"/>
    <w:rsid w:val="00164E1F"/>
    <w:rsid w:val="00164EDF"/>
    <w:rsid w:val="00164FF1"/>
    <w:rsid w:val="0016560A"/>
    <w:rsid w:val="00165B58"/>
    <w:rsid w:val="00165D83"/>
    <w:rsid w:val="00165FDE"/>
    <w:rsid w:val="0016659F"/>
    <w:rsid w:val="001669A3"/>
    <w:rsid w:val="00166CD8"/>
    <w:rsid w:val="00166F9C"/>
    <w:rsid w:val="00167184"/>
    <w:rsid w:val="00167464"/>
    <w:rsid w:val="001675E3"/>
    <w:rsid w:val="0016780F"/>
    <w:rsid w:val="00167ADA"/>
    <w:rsid w:val="00170380"/>
    <w:rsid w:val="0017043C"/>
    <w:rsid w:val="0017069F"/>
    <w:rsid w:val="001707E3"/>
    <w:rsid w:val="00170AC5"/>
    <w:rsid w:val="00170B4C"/>
    <w:rsid w:val="00171791"/>
    <w:rsid w:val="00171FC8"/>
    <w:rsid w:val="001722C1"/>
    <w:rsid w:val="001740F5"/>
    <w:rsid w:val="00174B6C"/>
    <w:rsid w:val="0017501B"/>
    <w:rsid w:val="00175510"/>
    <w:rsid w:val="001756C1"/>
    <w:rsid w:val="00175999"/>
    <w:rsid w:val="00175DA2"/>
    <w:rsid w:val="00175EEF"/>
    <w:rsid w:val="00175FED"/>
    <w:rsid w:val="0017607F"/>
    <w:rsid w:val="001768EF"/>
    <w:rsid w:val="00176EF5"/>
    <w:rsid w:val="0017708B"/>
    <w:rsid w:val="001772AC"/>
    <w:rsid w:val="0017748F"/>
    <w:rsid w:val="001803E2"/>
    <w:rsid w:val="001804AA"/>
    <w:rsid w:val="00180856"/>
    <w:rsid w:val="001808E7"/>
    <w:rsid w:val="00180AF7"/>
    <w:rsid w:val="00180C60"/>
    <w:rsid w:val="00181035"/>
    <w:rsid w:val="00181A02"/>
    <w:rsid w:val="00181B90"/>
    <w:rsid w:val="00181C96"/>
    <w:rsid w:val="00181E70"/>
    <w:rsid w:val="00181F12"/>
    <w:rsid w:val="001825B4"/>
    <w:rsid w:val="001827AD"/>
    <w:rsid w:val="001834B6"/>
    <w:rsid w:val="001834C9"/>
    <w:rsid w:val="00183596"/>
    <w:rsid w:val="001837B4"/>
    <w:rsid w:val="00183905"/>
    <w:rsid w:val="00183A2E"/>
    <w:rsid w:val="00183AE6"/>
    <w:rsid w:val="00183BDC"/>
    <w:rsid w:val="00184190"/>
    <w:rsid w:val="0018483E"/>
    <w:rsid w:val="001849E3"/>
    <w:rsid w:val="00184C80"/>
    <w:rsid w:val="00184C84"/>
    <w:rsid w:val="00184D24"/>
    <w:rsid w:val="00184D69"/>
    <w:rsid w:val="0018533E"/>
    <w:rsid w:val="0018567E"/>
    <w:rsid w:val="00185B34"/>
    <w:rsid w:val="0018650F"/>
    <w:rsid w:val="00186510"/>
    <w:rsid w:val="00186937"/>
    <w:rsid w:val="001869FD"/>
    <w:rsid w:val="001869FF"/>
    <w:rsid w:val="00186BA0"/>
    <w:rsid w:val="00187682"/>
    <w:rsid w:val="00187783"/>
    <w:rsid w:val="00187857"/>
    <w:rsid w:val="00187BA1"/>
    <w:rsid w:val="001901B4"/>
    <w:rsid w:val="0019023C"/>
    <w:rsid w:val="0019028C"/>
    <w:rsid w:val="0019032D"/>
    <w:rsid w:val="00190528"/>
    <w:rsid w:val="0019088C"/>
    <w:rsid w:val="001909D6"/>
    <w:rsid w:val="00190A89"/>
    <w:rsid w:val="00190FAC"/>
    <w:rsid w:val="00191056"/>
    <w:rsid w:val="00191655"/>
    <w:rsid w:val="0019173A"/>
    <w:rsid w:val="00191780"/>
    <w:rsid w:val="001917DF"/>
    <w:rsid w:val="00192479"/>
    <w:rsid w:val="0019293F"/>
    <w:rsid w:val="00192A36"/>
    <w:rsid w:val="001930FF"/>
    <w:rsid w:val="0019329B"/>
    <w:rsid w:val="001934C9"/>
    <w:rsid w:val="0019376C"/>
    <w:rsid w:val="00193915"/>
    <w:rsid w:val="00193B75"/>
    <w:rsid w:val="00193BCD"/>
    <w:rsid w:val="001943B6"/>
    <w:rsid w:val="001944E1"/>
    <w:rsid w:val="00194553"/>
    <w:rsid w:val="001949A8"/>
    <w:rsid w:val="00194C02"/>
    <w:rsid w:val="00194E13"/>
    <w:rsid w:val="00194EDE"/>
    <w:rsid w:val="001952E9"/>
    <w:rsid w:val="00195586"/>
    <w:rsid w:val="00195627"/>
    <w:rsid w:val="0019565F"/>
    <w:rsid w:val="001956AB"/>
    <w:rsid w:val="00195816"/>
    <w:rsid w:val="001958B2"/>
    <w:rsid w:val="00195B2E"/>
    <w:rsid w:val="00195BF6"/>
    <w:rsid w:val="00195CB5"/>
    <w:rsid w:val="00195CEC"/>
    <w:rsid w:val="00195FA5"/>
    <w:rsid w:val="0019623A"/>
    <w:rsid w:val="00196248"/>
    <w:rsid w:val="0019675D"/>
    <w:rsid w:val="001969D9"/>
    <w:rsid w:val="00196C01"/>
    <w:rsid w:val="00197474"/>
    <w:rsid w:val="001974D8"/>
    <w:rsid w:val="0019762F"/>
    <w:rsid w:val="001978D8"/>
    <w:rsid w:val="001A02EB"/>
    <w:rsid w:val="001A0876"/>
    <w:rsid w:val="001A0B4D"/>
    <w:rsid w:val="001A0EA4"/>
    <w:rsid w:val="001A0F54"/>
    <w:rsid w:val="001A1114"/>
    <w:rsid w:val="001A1F89"/>
    <w:rsid w:val="001A2061"/>
    <w:rsid w:val="001A213E"/>
    <w:rsid w:val="001A25BA"/>
    <w:rsid w:val="001A2828"/>
    <w:rsid w:val="001A29B8"/>
    <w:rsid w:val="001A2B38"/>
    <w:rsid w:val="001A3005"/>
    <w:rsid w:val="001A387E"/>
    <w:rsid w:val="001A3986"/>
    <w:rsid w:val="001A41BA"/>
    <w:rsid w:val="001A432E"/>
    <w:rsid w:val="001A45B4"/>
    <w:rsid w:val="001A4609"/>
    <w:rsid w:val="001A47C7"/>
    <w:rsid w:val="001A48B5"/>
    <w:rsid w:val="001A492A"/>
    <w:rsid w:val="001A4930"/>
    <w:rsid w:val="001A4A27"/>
    <w:rsid w:val="001A4A77"/>
    <w:rsid w:val="001A501E"/>
    <w:rsid w:val="001A53FC"/>
    <w:rsid w:val="001A5792"/>
    <w:rsid w:val="001A57E8"/>
    <w:rsid w:val="001A5E1A"/>
    <w:rsid w:val="001A5EDB"/>
    <w:rsid w:val="001A5F53"/>
    <w:rsid w:val="001A613D"/>
    <w:rsid w:val="001A62B7"/>
    <w:rsid w:val="001A6916"/>
    <w:rsid w:val="001A6D2F"/>
    <w:rsid w:val="001A6E35"/>
    <w:rsid w:val="001A6FBA"/>
    <w:rsid w:val="001A70FC"/>
    <w:rsid w:val="001A71CA"/>
    <w:rsid w:val="001A7239"/>
    <w:rsid w:val="001A7424"/>
    <w:rsid w:val="001A7816"/>
    <w:rsid w:val="001B0105"/>
    <w:rsid w:val="001B0363"/>
    <w:rsid w:val="001B0561"/>
    <w:rsid w:val="001B0655"/>
    <w:rsid w:val="001B06EE"/>
    <w:rsid w:val="001B11CE"/>
    <w:rsid w:val="001B1276"/>
    <w:rsid w:val="001B18CA"/>
    <w:rsid w:val="001B1B29"/>
    <w:rsid w:val="001B1B6F"/>
    <w:rsid w:val="001B1C77"/>
    <w:rsid w:val="001B1CD0"/>
    <w:rsid w:val="001B1D43"/>
    <w:rsid w:val="001B1D9A"/>
    <w:rsid w:val="001B207D"/>
    <w:rsid w:val="001B20C6"/>
    <w:rsid w:val="001B22DE"/>
    <w:rsid w:val="001B25B9"/>
    <w:rsid w:val="001B2909"/>
    <w:rsid w:val="001B2E7C"/>
    <w:rsid w:val="001B336E"/>
    <w:rsid w:val="001B3BFC"/>
    <w:rsid w:val="001B3F2A"/>
    <w:rsid w:val="001B47FB"/>
    <w:rsid w:val="001B4945"/>
    <w:rsid w:val="001B4AAB"/>
    <w:rsid w:val="001B4C93"/>
    <w:rsid w:val="001B4E82"/>
    <w:rsid w:val="001B5265"/>
    <w:rsid w:val="001B52BA"/>
    <w:rsid w:val="001B53F8"/>
    <w:rsid w:val="001B56D2"/>
    <w:rsid w:val="001B5734"/>
    <w:rsid w:val="001B5C54"/>
    <w:rsid w:val="001B60B9"/>
    <w:rsid w:val="001B6869"/>
    <w:rsid w:val="001B689A"/>
    <w:rsid w:val="001B6AF1"/>
    <w:rsid w:val="001B6DA3"/>
    <w:rsid w:val="001B6EF0"/>
    <w:rsid w:val="001B6F74"/>
    <w:rsid w:val="001B76FE"/>
    <w:rsid w:val="001B78B5"/>
    <w:rsid w:val="001B7B1B"/>
    <w:rsid w:val="001B7CF6"/>
    <w:rsid w:val="001C094F"/>
    <w:rsid w:val="001C0A94"/>
    <w:rsid w:val="001C0B70"/>
    <w:rsid w:val="001C13C2"/>
    <w:rsid w:val="001C1879"/>
    <w:rsid w:val="001C1D12"/>
    <w:rsid w:val="001C1DBC"/>
    <w:rsid w:val="001C209D"/>
    <w:rsid w:val="001C21BF"/>
    <w:rsid w:val="001C29F8"/>
    <w:rsid w:val="001C2C7D"/>
    <w:rsid w:val="001C314D"/>
    <w:rsid w:val="001C350C"/>
    <w:rsid w:val="001C38A2"/>
    <w:rsid w:val="001C3CB8"/>
    <w:rsid w:val="001C4054"/>
    <w:rsid w:val="001C4071"/>
    <w:rsid w:val="001C4AE7"/>
    <w:rsid w:val="001C4C17"/>
    <w:rsid w:val="001C4C82"/>
    <w:rsid w:val="001C5125"/>
    <w:rsid w:val="001C5234"/>
    <w:rsid w:val="001C53BC"/>
    <w:rsid w:val="001C541A"/>
    <w:rsid w:val="001C5437"/>
    <w:rsid w:val="001C551B"/>
    <w:rsid w:val="001C5597"/>
    <w:rsid w:val="001C5ED4"/>
    <w:rsid w:val="001C5F93"/>
    <w:rsid w:val="001C625F"/>
    <w:rsid w:val="001C6556"/>
    <w:rsid w:val="001C6A87"/>
    <w:rsid w:val="001C6E28"/>
    <w:rsid w:val="001C6E78"/>
    <w:rsid w:val="001C72A0"/>
    <w:rsid w:val="001C7A92"/>
    <w:rsid w:val="001C7CDF"/>
    <w:rsid w:val="001C7D9F"/>
    <w:rsid w:val="001C7E35"/>
    <w:rsid w:val="001D0229"/>
    <w:rsid w:val="001D0323"/>
    <w:rsid w:val="001D071D"/>
    <w:rsid w:val="001D097D"/>
    <w:rsid w:val="001D0A5B"/>
    <w:rsid w:val="001D0D43"/>
    <w:rsid w:val="001D1393"/>
    <w:rsid w:val="001D1A59"/>
    <w:rsid w:val="001D1EC7"/>
    <w:rsid w:val="001D2098"/>
    <w:rsid w:val="001D21B0"/>
    <w:rsid w:val="001D227B"/>
    <w:rsid w:val="001D271D"/>
    <w:rsid w:val="001D2C0F"/>
    <w:rsid w:val="001D30BD"/>
    <w:rsid w:val="001D340F"/>
    <w:rsid w:val="001D3DE5"/>
    <w:rsid w:val="001D3E3A"/>
    <w:rsid w:val="001D4D7E"/>
    <w:rsid w:val="001D4F0D"/>
    <w:rsid w:val="001D5A34"/>
    <w:rsid w:val="001D5C8C"/>
    <w:rsid w:val="001D5CE7"/>
    <w:rsid w:val="001D6090"/>
    <w:rsid w:val="001D643A"/>
    <w:rsid w:val="001D6C1D"/>
    <w:rsid w:val="001D6E48"/>
    <w:rsid w:val="001D7570"/>
    <w:rsid w:val="001D79A5"/>
    <w:rsid w:val="001D7A26"/>
    <w:rsid w:val="001D7DBE"/>
    <w:rsid w:val="001D7E24"/>
    <w:rsid w:val="001D7E97"/>
    <w:rsid w:val="001D7F96"/>
    <w:rsid w:val="001E033A"/>
    <w:rsid w:val="001E04A9"/>
    <w:rsid w:val="001E06A5"/>
    <w:rsid w:val="001E0957"/>
    <w:rsid w:val="001E0A31"/>
    <w:rsid w:val="001E0DF0"/>
    <w:rsid w:val="001E132E"/>
    <w:rsid w:val="001E15E8"/>
    <w:rsid w:val="001E160E"/>
    <w:rsid w:val="001E16FE"/>
    <w:rsid w:val="001E1A5E"/>
    <w:rsid w:val="001E1CC6"/>
    <w:rsid w:val="001E1DB9"/>
    <w:rsid w:val="001E2249"/>
    <w:rsid w:val="001E260B"/>
    <w:rsid w:val="001E2CDD"/>
    <w:rsid w:val="001E3020"/>
    <w:rsid w:val="001E3331"/>
    <w:rsid w:val="001E3545"/>
    <w:rsid w:val="001E37EB"/>
    <w:rsid w:val="001E3932"/>
    <w:rsid w:val="001E3AC1"/>
    <w:rsid w:val="001E4257"/>
    <w:rsid w:val="001E430E"/>
    <w:rsid w:val="001E4BA3"/>
    <w:rsid w:val="001E4C70"/>
    <w:rsid w:val="001E4FBF"/>
    <w:rsid w:val="001E558A"/>
    <w:rsid w:val="001E5E6B"/>
    <w:rsid w:val="001E6139"/>
    <w:rsid w:val="001E6242"/>
    <w:rsid w:val="001E6758"/>
    <w:rsid w:val="001E67CA"/>
    <w:rsid w:val="001E68B0"/>
    <w:rsid w:val="001E69A8"/>
    <w:rsid w:val="001E6CF1"/>
    <w:rsid w:val="001E71BE"/>
    <w:rsid w:val="001E7915"/>
    <w:rsid w:val="001E7C86"/>
    <w:rsid w:val="001E7FEB"/>
    <w:rsid w:val="001F00A5"/>
    <w:rsid w:val="001F026F"/>
    <w:rsid w:val="001F02BF"/>
    <w:rsid w:val="001F0DF0"/>
    <w:rsid w:val="001F0E49"/>
    <w:rsid w:val="001F0F87"/>
    <w:rsid w:val="001F0F90"/>
    <w:rsid w:val="001F0FB1"/>
    <w:rsid w:val="001F0FCC"/>
    <w:rsid w:val="001F11BA"/>
    <w:rsid w:val="001F1622"/>
    <w:rsid w:val="001F170C"/>
    <w:rsid w:val="001F1B52"/>
    <w:rsid w:val="001F2314"/>
    <w:rsid w:val="001F232F"/>
    <w:rsid w:val="001F2964"/>
    <w:rsid w:val="001F2D0B"/>
    <w:rsid w:val="001F2EAD"/>
    <w:rsid w:val="001F3211"/>
    <w:rsid w:val="001F3452"/>
    <w:rsid w:val="001F3463"/>
    <w:rsid w:val="001F3634"/>
    <w:rsid w:val="001F3AC5"/>
    <w:rsid w:val="001F3CE4"/>
    <w:rsid w:val="001F457F"/>
    <w:rsid w:val="001F487A"/>
    <w:rsid w:val="001F4B4B"/>
    <w:rsid w:val="001F4F51"/>
    <w:rsid w:val="001F5032"/>
    <w:rsid w:val="001F5089"/>
    <w:rsid w:val="001F50CB"/>
    <w:rsid w:val="001F51C1"/>
    <w:rsid w:val="001F5ABB"/>
    <w:rsid w:val="001F5AE0"/>
    <w:rsid w:val="001F5DD0"/>
    <w:rsid w:val="001F5DD8"/>
    <w:rsid w:val="001F6A9F"/>
    <w:rsid w:val="001F6C7B"/>
    <w:rsid w:val="001F7232"/>
    <w:rsid w:val="001F754C"/>
    <w:rsid w:val="001F7583"/>
    <w:rsid w:val="00200133"/>
    <w:rsid w:val="002010B8"/>
    <w:rsid w:val="0020116C"/>
    <w:rsid w:val="0020118C"/>
    <w:rsid w:val="002013B4"/>
    <w:rsid w:val="00201844"/>
    <w:rsid w:val="00201A6E"/>
    <w:rsid w:val="00201D4A"/>
    <w:rsid w:val="0020221F"/>
    <w:rsid w:val="00202243"/>
    <w:rsid w:val="0020244A"/>
    <w:rsid w:val="002029CE"/>
    <w:rsid w:val="00202A08"/>
    <w:rsid w:val="00202BE8"/>
    <w:rsid w:val="00202EB7"/>
    <w:rsid w:val="00203014"/>
    <w:rsid w:val="0020302D"/>
    <w:rsid w:val="002033AB"/>
    <w:rsid w:val="0020356B"/>
    <w:rsid w:val="00203767"/>
    <w:rsid w:val="00203EA1"/>
    <w:rsid w:val="002042F7"/>
    <w:rsid w:val="002044F3"/>
    <w:rsid w:val="0020473C"/>
    <w:rsid w:val="0020486E"/>
    <w:rsid w:val="00204FF8"/>
    <w:rsid w:val="00205219"/>
    <w:rsid w:val="00205408"/>
    <w:rsid w:val="002060C6"/>
    <w:rsid w:val="002062F4"/>
    <w:rsid w:val="00206380"/>
    <w:rsid w:val="002069F9"/>
    <w:rsid w:val="00206DB2"/>
    <w:rsid w:val="00206E15"/>
    <w:rsid w:val="0020728F"/>
    <w:rsid w:val="00207300"/>
    <w:rsid w:val="00207779"/>
    <w:rsid w:val="00207B1B"/>
    <w:rsid w:val="00207CBC"/>
    <w:rsid w:val="00210484"/>
    <w:rsid w:val="00210546"/>
    <w:rsid w:val="0021058D"/>
    <w:rsid w:val="00210C5E"/>
    <w:rsid w:val="00210C9D"/>
    <w:rsid w:val="00211618"/>
    <w:rsid w:val="00211EF5"/>
    <w:rsid w:val="002121F3"/>
    <w:rsid w:val="0021239C"/>
    <w:rsid w:val="002127FA"/>
    <w:rsid w:val="0021281B"/>
    <w:rsid w:val="002129BD"/>
    <w:rsid w:val="00212B95"/>
    <w:rsid w:val="00212E5E"/>
    <w:rsid w:val="00213129"/>
    <w:rsid w:val="00213231"/>
    <w:rsid w:val="00213803"/>
    <w:rsid w:val="00213F74"/>
    <w:rsid w:val="00214076"/>
    <w:rsid w:val="00214118"/>
    <w:rsid w:val="002141E9"/>
    <w:rsid w:val="002144D8"/>
    <w:rsid w:val="00214BE8"/>
    <w:rsid w:val="00214C77"/>
    <w:rsid w:val="0021516D"/>
    <w:rsid w:val="002152A3"/>
    <w:rsid w:val="002152EC"/>
    <w:rsid w:val="00215626"/>
    <w:rsid w:val="002157E2"/>
    <w:rsid w:val="002157F5"/>
    <w:rsid w:val="0021581A"/>
    <w:rsid w:val="002158D1"/>
    <w:rsid w:val="00215BDE"/>
    <w:rsid w:val="00215DA3"/>
    <w:rsid w:val="002160C6"/>
    <w:rsid w:val="00216404"/>
    <w:rsid w:val="0021680C"/>
    <w:rsid w:val="00216AF7"/>
    <w:rsid w:val="00216EA9"/>
    <w:rsid w:val="00217246"/>
    <w:rsid w:val="00217418"/>
    <w:rsid w:val="00217928"/>
    <w:rsid w:val="00217936"/>
    <w:rsid w:val="00217AB4"/>
    <w:rsid w:val="00217FF8"/>
    <w:rsid w:val="0022043F"/>
    <w:rsid w:val="002207EB"/>
    <w:rsid w:val="00220A1A"/>
    <w:rsid w:val="00220FAA"/>
    <w:rsid w:val="00221220"/>
    <w:rsid w:val="002212D2"/>
    <w:rsid w:val="00221550"/>
    <w:rsid w:val="00221657"/>
    <w:rsid w:val="00221668"/>
    <w:rsid w:val="002218AC"/>
    <w:rsid w:val="00221B2A"/>
    <w:rsid w:val="00222014"/>
    <w:rsid w:val="00222050"/>
    <w:rsid w:val="00222075"/>
    <w:rsid w:val="002225F8"/>
    <w:rsid w:val="00222901"/>
    <w:rsid w:val="00222AE6"/>
    <w:rsid w:val="00222B8D"/>
    <w:rsid w:val="00222F4D"/>
    <w:rsid w:val="00223C34"/>
    <w:rsid w:val="00223D09"/>
    <w:rsid w:val="00223EB9"/>
    <w:rsid w:val="0022400C"/>
    <w:rsid w:val="002242A6"/>
    <w:rsid w:val="002244DA"/>
    <w:rsid w:val="002250C6"/>
    <w:rsid w:val="00225203"/>
    <w:rsid w:val="002254CE"/>
    <w:rsid w:val="002256A9"/>
    <w:rsid w:val="00225859"/>
    <w:rsid w:val="00225CD1"/>
    <w:rsid w:val="00225F2E"/>
    <w:rsid w:val="002261B4"/>
    <w:rsid w:val="002266AB"/>
    <w:rsid w:val="002268C6"/>
    <w:rsid w:val="00226A00"/>
    <w:rsid w:val="00226F08"/>
    <w:rsid w:val="00226F86"/>
    <w:rsid w:val="00227128"/>
    <w:rsid w:val="002271A8"/>
    <w:rsid w:val="00227760"/>
    <w:rsid w:val="002277D6"/>
    <w:rsid w:val="00227AE6"/>
    <w:rsid w:val="00227B9E"/>
    <w:rsid w:val="00227E98"/>
    <w:rsid w:val="002300F8"/>
    <w:rsid w:val="002301BD"/>
    <w:rsid w:val="00230474"/>
    <w:rsid w:val="00230F71"/>
    <w:rsid w:val="00231834"/>
    <w:rsid w:val="00231B0B"/>
    <w:rsid w:val="00231CA6"/>
    <w:rsid w:val="00231FA5"/>
    <w:rsid w:val="00232092"/>
    <w:rsid w:val="002325AB"/>
    <w:rsid w:val="002325B0"/>
    <w:rsid w:val="00232601"/>
    <w:rsid w:val="002327F4"/>
    <w:rsid w:val="00232DA8"/>
    <w:rsid w:val="00232EDC"/>
    <w:rsid w:val="00233481"/>
    <w:rsid w:val="00233875"/>
    <w:rsid w:val="002339EF"/>
    <w:rsid w:val="00233BA4"/>
    <w:rsid w:val="00234344"/>
    <w:rsid w:val="00234483"/>
    <w:rsid w:val="002345BD"/>
    <w:rsid w:val="0023489B"/>
    <w:rsid w:val="0023492F"/>
    <w:rsid w:val="00234F8F"/>
    <w:rsid w:val="002350AC"/>
    <w:rsid w:val="002350C8"/>
    <w:rsid w:val="002359BE"/>
    <w:rsid w:val="00235C1D"/>
    <w:rsid w:val="00235E7A"/>
    <w:rsid w:val="00235FCC"/>
    <w:rsid w:val="0023605D"/>
    <w:rsid w:val="00236180"/>
    <w:rsid w:val="002368B4"/>
    <w:rsid w:val="002369AD"/>
    <w:rsid w:val="00236E02"/>
    <w:rsid w:val="00237101"/>
    <w:rsid w:val="00237609"/>
    <w:rsid w:val="0023772E"/>
    <w:rsid w:val="002377D1"/>
    <w:rsid w:val="002379C8"/>
    <w:rsid w:val="00237CFF"/>
    <w:rsid w:val="00240096"/>
    <w:rsid w:val="002401DC"/>
    <w:rsid w:val="00240398"/>
    <w:rsid w:val="002407C9"/>
    <w:rsid w:val="0024174C"/>
    <w:rsid w:val="00241878"/>
    <w:rsid w:val="0024198C"/>
    <w:rsid w:val="00241C00"/>
    <w:rsid w:val="00241DC8"/>
    <w:rsid w:val="0024251E"/>
    <w:rsid w:val="00242971"/>
    <w:rsid w:val="00242D3B"/>
    <w:rsid w:val="002433D4"/>
    <w:rsid w:val="0024373B"/>
    <w:rsid w:val="00243909"/>
    <w:rsid w:val="00243DFB"/>
    <w:rsid w:val="0024492E"/>
    <w:rsid w:val="0024496B"/>
    <w:rsid w:val="00244A35"/>
    <w:rsid w:val="00244CDF"/>
    <w:rsid w:val="002461B1"/>
    <w:rsid w:val="002461B6"/>
    <w:rsid w:val="00246986"/>
    <w:rsid w:val="00246A3E"/>
    <w:rsid w:val="00246DCF"/>
    <w:rsid w:val="00247021"/>
    <w:rsid w:val="00247978"/>
    <w:rsid w:val="002479FD"/>
    <w:rsid w:val="00247C94"/>
    <w:rsid w:val="00247CD1"/>
    <w:rsid w:val="002502FB"/>
    <w:rsid w:val="002504FF"/>
    <w:rsid w:val="00250969"/>
    <w:rsid w:val="00250A61"/>
    <w:rsid w:val="0025106F"/>
    <w:rsid w:val="002514FE"/>
    <w:rsid w:val="00251934"/>
    <w:rsid w:val="00252322"/>
    <w:rsid w:val="002525BC"/>
    <w:rsid w:val="0025275B"/>
    <w:rsid w:val="00252C25"/>
    <w:rsid w:val="0025331D"/>
    <w:rsid w:val="00253B77"/>
    <w:rsid w:val="00253DE1"/>
    <w:rsid w:val="002541FF"/>
    <w:rsid w:val="0025453B"/>
    <w:rsid w:val="0025485A"/>
    <w:rsid w:val="002549D5"/>
    <w:rsid w:val="0025566B"/>
    <w:rsid w:val="00255C10"/>
    <w:rsid w:val="00255E0C"/>
    <w:rsid w:val="00255E26"/>
    <w:rsid w:val="0025639A"/>
    <w:rsid w:val="00256440"/>
    <w:rsid w:val="002564FF"/>
    <w:rsid w:val="00256510"/>
    <w:rsid w:val="0025659A"/>
    <w:rsid w:val="0025691B"/>
    <w:rsid w:val="00256E5A"/>
    <w:rsid w:val="002570B6"/>
    <w:rsid w:val="002571B6"/>
    <w:rsid w:val="002573DB"/>
    <w:rsid w:val="0025749D"/>
    <w:rsid w:val="002575FC"/>
    <w:rsid w:val="00257908"/>
    <w:rsid w:val="00257C8E"/>
    <w:rsid w:val="002604DD"/>
    <w:rsid w:val="002607AE"/>
    <w:rsid w:val="002615EC"/>
    <w:rsid w:val="002618A4"/>
    <w:rsid w:val="0026199F"/>
    <w:rsid w:val="00261D27"/>
    <w:rsid w:val="00261EAA"/>
    <w:rsid w:val="00261ED0"/>
    <w:rsid w:val="002621FE"/>
    <w:rsid w:val="00262429"/>
    <w:rsid w:val="00262643"/>
    <w:rsid w:val="00262C7D"/>
    <w:rsid w:val="00262DA1"/>
    <w:rsid w:val="00262F4C"/>
    <w:rsid w:val="0026313E"/>
    <w:rsid w:val="0026322A"/>
    <w:rsid w:val="002635F3"/>
    <w:rsid w:val="0026386B"/>
    <w:rsid w:val="00263953"/>
    <w:rsid w:val="00263986"/>
    <w:rsid w:val="00263AD1"/>
    <w:rsid w:val="00263ADF"/>
    <w:rsid w:val="0026422C"/>
    <w:rsid w:val="002642F9"/>
    <w:rsid w:val="002644A8"/>
    <w:rsid w:val="002644C3"/>
    <w:rsid w:val="00264558"/>
    <w:rsid w:val="002646D1"/>
    <w:rsid w:val="00265486"/>
    <w:rsid w:val="00265C26"/>
    <w:rsid w:val="00265D8B"/>
    <w:rsid w:val="00265E0B"/>
    <w:rsid w:val="00266203"/>
    <w:rsid w:val="002663EF"/>
    <w:rsid w:val="00266413"/>
    <w:rsid w:val="002669DE"/>
    <w:rsid w:val="00266D9C"/>
    <w:rsid w:val="00267475"/>
    <w:rsid w:val="002678A5"/>
    <w:rsid w:val="00267AAE"/>
    <w:rsid w:val="00267B8F"/>
    <w:rsid w:val="00267BE1"/>
    <w:rsid w:val="00267C6B"/>
    <w:rsid w:val="00267E76"/>
    <w:rsid w:val="0027008A"/>
    <w:rsid w:val="00270642"/>
    <w:rsid w:val="00270D63"/>
    <w:rsid w:val="00271053"/>
    <w:rsid w:val="002716D3"/>
    <w:rsid w:val="002718D0"/>
    <w:rsid w:val="00271AC3"/>
    <w:rsid w:val="00271C3D"/>
    <w:rsid w:val="00271E0B"/>
    <w:rsid w:val="00271E8C"/>
    <w:rsid w:val="00272617"/>
    <w:rsid w:val="002736E3"/>
    <w:rsid w:val="002736F5"/>
    <w:rsid w:val="002737FE"/>
    <w:rsid w:val="00273898"/>
    <w:rsid w:val="00273D3C"/>
    <w:rsid w:val="00273E59"/>
    <w:rsid w:val="00274082"/>
    <w:rsid w:val="0027415A"/>
    <w:rsid w:val="00274351"/>
    <w:rsid w:val="00274B60"/>
    <w:rsid w:val="00274C11"/>
    <w:rsid w:val="00274D86"/>
    <w:rsid w:val="00274DB2"/>
    <w:rsid w:val="00274E07"/>
    <w:rsid w:val="00274F41"/>
    <w:rsid w:val="00275125"/>
    <w:rsid w:val="00275381"/>
    <w:rsid w:val="00275508"/>
    <w:rsid w:val="00275B6D"/>
    <w:rsid w:val="00275D75"/>
    <w:rsid w:val="00275F19"/>
    <w:rsid w:val="00276CAC"/>
    <w:rsid w:val="00276EDF"/>
    <w:rsid w:val="00276F61"/>
    <w:rsid w:val="0027769E"/>
    <w:rsid w:val="002779A0"/>
    <w:rsid w:val="002779D9"/>
    <w:rsid w:val="00277B15"/>
    <w:rsid w:val="00277D44"/>
    <w:rsid w:val="0028017E"/>
    <w:rsid w:val="0028017F"/>
    <w:rsid w:val="00280184"/>
    <w:rsid w:val="00280236"/>
    <w:rsid w:val="002802BE"/>
    <w:rsid w:val="002803E2"/>
    <w:rsid w:val="002804DB"/>
    <w:rsid w:val="002813BC"/>
    <w:rsid w:val="0028154E"/>
    <w:rsid w:val="002817DA"/>
    <w:rsid w:val="00281841"/>
    <w:rsid w:val="00281892"/>
    <w:rsid w:val="00281A19"/>
    <w:rsid w:val="0028270E"/>
    <w:rsid w:val="0028271C"/>
    <w:rsid w:val="0028341F"/>
    <w:rsid w:val="00283C2E"/>
    <w:rsid w:val="00283E86"/>
    <w:rsid w:val="00283F44"/>
    <w:rsid w:val="002840E0"/>
    <w:rsid w:val="002843E7"/>
    <w:rsid w:val="00284559"/>
    <w:rsid w:val="0028459B"/>
    <w:rsid w:val="0028476C"/>
    <w:rsid w:val="002847BF"/>
    <w:rsid w:val="0028489A"/>
    <w:rsid w:val="00284A59"/>
    <w:rsid w:val="00284CFA"/>
    <w:rsid w:val="00284F01"/>
    <w:rsid w:val="00285136"/>
    <w:rsid w:val="00285A99"/>
    <w:rsid w:val="00285AC4"/>
    <w:rsid w:val="00285B24"/>
    <w:rsid w:val="00285E16"/>
    <w:rsid w:val="0028640C"/>
    <w:rsid w:val="00286982"/>
    <w:rsid w:val="00286AD7"/>
    <w:rsid w:val="00286AE0"/>
    <w:rsid w:val="00287047"/>
    <w:rsid w:val="00287318"/>
    <w:rsid w:val="00287334"/>
    <w:rsid w:val="002875D5"/>
    <w:rsid w:val="002878D1"/>
    <w:rsid w:val="00287A69"/>
    <w:rsid w:val="00287E19"/>
    <w:rsid w:val="00287E86"/>
    <w:rsid w:val="00290037"/>
    <w:rsid w:val="002902D7"/>
    <w:rsid w:val="0029095F"/>
    <w:rsid w:val="00290DBB"/>
    <w:rsid w:val="002910ED"/>
    <w:rsid w:val="00291592"/>
    <w:rsid w:val="00291D5A"/>
    <w:rsid w:val="00291E5B"/>
    <w:rsid w:val="0029204A"/>
    <w:rsid w:val="002925DD"/>
    <w:rsid w:val="002929EA"/>
    <w:rsid w:val="00292E5F"/>
    <w:rsid w:val="00293350"/>
    <w:rsid w:val="002935CE"/>
    <w:rsid w:val="00293761"/>
    <w:rsid w:val="0029395C"/>
    <w:rsid w:val="0029396A"/>
    <w:rsid w:val="00293B1E"/>
    <w:rsid w:val="00293EB7"/>
    <w:rsid w:val="0029404D"/>
    <w:rsid w:val="002946B7"/>
    <w:rsid w:val="00294C93"/>
    <w:rsid w:val="00296136"/>
    <w:rsid w:val="002962D5"/>
    <w:rsid w:val="002962FE"/>
    <w:rsid w:val="00296434"/>
    <w:rsid w:val="0029672B"/>
    <w:rsid w:val="00296745"/>
    <w:rsid w:val="00296771"/>
    <w:rsid w:val="0029684F"/>
    <w:rsid w:val="00296B07"/>
    <w:rsid w:val="00296D3B"/>
    <w:rsid w:val="00296EA2"/>
    <w:rsid w:val="00296FEA"/>
    <w:rsid w:val="002971D0"/>
    <w:rsid w:val="002975D4"/>
    <w:rsid w:val="00297720"/>
    <w:rsid w:val="00297971"/>
    <w:rsid w:val="00297BA5"/>
    <w:rsid w:val="00297EF5"/>
    <w:rsid w:val="002A01A3"/>
    <w:rsid w:val="002A01C5"/>
    <w:rsid w:val="002A0836"/>
    <w:rsid w:val="002A11FE"/>
    <w:rsid w:val="002A1939"/>
    <w:rsid w:val="002A19BC"/>
    <w:rsid w:val="002A1B3F"/>
    <w:rsid w:val="002A21D9"/>
    <w:rsid w:val="002A2873"/>
    <w:rsid w:val="002A2C9D"/>
    <w:rsid w:val="002A3332"/>
    <w:rsid w:val="002A3478"/>
    <w:rsid w:val="002A3805"/>
    <w:rsid w:val="002A459E"/>
    <w:rsid w:val="002A4BB8"/>
    <w:rsid w:val="002A5221"/>
    <w:rsid w:val="002A6146"/>
    <w:rsid w:val="002A6684"/>
    <w:rsid w:val="002A6C4B"/>
    <w:rsid w:val="002A6CD9"/>
    <w:rsid w:val="002A77FC"/>
    <w:rsid w:val="002A7841"/>
    <w:rsid w:val="002A78D5"/>
    <w:rsid w:val="002A7C23"/>
    <w:rsid w:val="002B0312"/>
    <w:rsid w:val="002B0313"/>
    <w:rsid w:val="002B03A5"/>
    <w:rsid w:val="002B0547"/>
    <w:rsid w:val="002B0B39"/>
    <w:rsid w:val="002B0FBD"/>
    <w:rsid w:val="002B11D2"/>
    <w:rsid w:val="002B1219"/>
    <w:rsid w:val="002B1296"/>
    <w:rsid w:val="002B1714"/>
    <w:rsid w:val="002B1817"/>
    <w:rsid w:val="002B1E1B"/>
    <w:rsid w:val="002B1F69"/>
    <w:rsid w:val="002B22D1"/>
    <w:rsid w:val="002B237F"/>
    <w:rsid w:val="002B2631"/>
    <w:rsid w:val="002B2E64"/>
    <w:rsid w:val="002B3620"/>
    <w:rsid w:val="002B3B07"/>
    <w:rsid w:val="002B3C00"/>
    <w:rsid w:val="002B3CA7"/>
    <w:rsid w:val="002B3F03"/>
    <w:rsid w:val="002B5496"/>
    <w:rsid w:val="002B5A3C"/>
    <w:rsid w:val="002B5AF8"/>
    <w:rsid w:val="002B5CAE"/>
    <w:rsid w:val="002B5DA2"/>
    <w:rsid w:val="002B62EE"/>
    <w:rsid w:val="002B639F"/>
    <w:rsid w:val="002B6497"/>
    <w:rsid w:val="002B6589"/>
    <w:rsid w:val="002B6DC5"/>
    <w:rsid w:val="002B70A6"/>
    <w:rsid w:val="002B734F"/>
    <w:rsid w:val="002B787C"/>
    <w:rsid w:val="002B7D50"/>
    <w:rsid w:val="002B7F3A"/>
    <w:rsid w:val="002C026B"/>
    <w:rsid w:val="002C03E7"/>
    <w:rsid w:val="002C07ED"/>
    <w:rsid w:val="002C0828"/>
    <w:rsid w:val="002C10A0"/>
    <w:rsid w:val="002C123F"/>
    <w:rsid w:val="002C12E5"/>
    <w:rsid w:val="002C1314"/>
    <w:rsid w:val="002C14B1"/>
    <w:rsid w:val="002C1774"/>
    <w:rsid w:val="002C1816"/>
    <w:rsid w:val="002C19B9"/>
    <w:rsid w:val="002C1C97"/>
    <w:rsid w:val="002C1D60"/>
    <w:rsid w:val="002C1F44"/>
    <w:rsid w:val="002C23EB"/>
    <w:rsid w:val="002C29BF"/>
    <w:rsid w:val="002C3012"/>
    <w:rsid w:val="002C34DD"/>
    <w:rsid w:val="002C39C0"/>
    <w:rsid w:val="002C42AC"/>
    <w:rsid w:val="002C46C3"/>
    <w:rsid w:val="002C4817"/>
    <w:rsid w:val="002C4A91"/>
    <w:rsid w:val="002C4DD2"/>
    <w:rsid w:val="002C4EA2"/>
    <w:rsid w:val="002C5140"/>
    <w:rsid w:val="002C5246"/>
    <w:rsid w:val="002C572C"/>
    <w:rsid w:val="002C585E"/>
    <w:rsid w:val="002C58DB"/>
    <w:rsid w:val="002C594B"/>
    <w:rsid w:val="002C5976"/>
    <w:rsid w:val="002C5E19"/>
    <w:rsid w:val="002C5F3B"/>
    <w:rsid w:val="002C5FEB"/>
    <w:rsid w:val="002C62BA"/>
    <w:rsid w:val="002C6403"/>
    <w:rsid w:val="002C67C4"/>
    <w:rsid w:val="002C6C7D"/>
    <w:rsid w:val="002C6F7B"/>
    <w:rsid w:val="002C792F"/>
    <w:rsid w:val="002C79E8"/>
    <w:rsid w:val="002C7B0D"/>
    <w:rsid w:val="002D025C"/>
    <w:rsid w:val="002D0CB6"/>
    <w:rsid w:val="002D0F88"/>
    <w:rsid w:val="002D10D3"/>
    <w:rsid w:val="002D12E3"/>
    <w:rsid w:val="002D13B8"/>
    <w:rsid w:val="002D1D1B"/>
    <w:rsid w:val="002D1E2F"/>
    <w:rsid w:val="002D21C1"/>
    <w:rsid w:val="002D26F9"/>
    <w:rsid w:val="002D2B11"/>
    <w:rsid w:val="002D2E62"/>
    <w:rsid w:val="002D2FBA"/>
    <w:rsid w:val="002D36B0"/>
    <w:rsid w:val="002D3790"/>
    <w:rsid w:val="002D37E0"/>
    <w:rsid w:val="002D3B17"/>
    <w:rsid w:val="002D3E6D"/>
    <w:rsid w:val="002D440C"/>
    <w:rsid w:val="002D47CD"/>
    <w:rsid w:val="002D4A32"/>
    <w:rsid w:val="002D4A5C"/>
    <w:rsid w:val="002D4C19"/>
    <w:rsid w:val="002D4CA0"/>
    <w:rsid w:val="002D4F38"/>
    <w:rsid w:val="002D5152"/>
    <w:rsid w:val="002D609E"/>
    <w:rsid w:val="002D62ED"/>
    <w:rsid w:val="002D633A"/>
    <w:rsid w:val="002D6786"/>
    <w:rsid w:val="002D6A1B"/>
    <w:rsid w:val="002D6CCE"/>
    <w:rsid w:val="002D703B"/>
    <w:rsid w:val="002D70A3"/>
    <w:rsid w:val="002D7336"/>
    <w:rsid w:val="002D7A69"/>
    <w:rsid w:val="002D7BC9"/>
    <w:rsid w:val="002D7CEA"/>
    <w:rsid w:val="002E02A6"/>
    <w:rsid w:val="002E064E"/>
    <w:rsid w:val="002E0AF1"/>
    <w:rsid w:val="002E0BE7"/>
    <w:rsid w:val="002E0E3E"/>
    <w:rsid w:val="002E0E92"/>
    <w:rsid w:val="002E0FCE"/>
    <w:rsid w:val="002E1539"/>
    <w:rsid w:val="002E19E1"/>
    <w:rsid w:val="002E1D79"/>
    <w:rsid w:val="002E1F70"/>
    <w:rsid w:val="002E20D0"/>
    <w:rsid w:val="002E2208"/>
    <w:rsid w:val="002E2266"/>
    <w:rsid w:val="002E243D"/>
    <w:rsid w:val="002E26D8"/>
    <w:rsid w:val="002E290B"/>
    <w:rsid w:val="002E2F4A"/>
    <w:rsid w:val="002E31D1"/>
    <w:rsid w:val="002E33C4"/>
    <w:rsid w:val="002E3594"/>
    <w:rsid w:val="002E35ED"/>
    <w:rsid w:val="002E36C6"/>
    <w:rsid w:val="002E3758"/>
    <w:rsid w:val="002E3909"/>
    <w:rsid w:val="002E4039"/>
    <w:rsid w:val="002E4593"/>
    <w:rsid w:val="002E4838"/>
    <w:rsid w:val="002E49F0"/>
    <w:rsid w:val="002E4AC3"/>
    <w:rsid w:val="002E5301"/>
    <w:rsid w:val="002E562D"/>
    <w:rsid w:val="002E5812"/>
    <w:rsid w:val="002E5BE2"/>
    <w:rsid w:val="002E5E90"/>
    <w:rsid w:val="002E5F03"/>
    <w:rsid w:val="002E5FCD"/>
    <w:rsid w:val="002E6418"/>
    <w:rsid w:val="002E65AD"/>
    <w:rsid w:val="002E788A"/>
    <w:rsid w:val="002E7A56"/>
    <w:rsid w:val="002E7D1A"/>
    <w:rsid w:val="002E7D6C"/>
    <w:rsid w:val="002E7E01"/>
    <w:rsid w:val="002E7F70"/>
    <w:rsid w:val="002F0124"/>
    <w:rsid w:val="002F0143"/>
    <w:rsid w:val="002F03B0"/>
    <w:rsid w:val="002F0A5C"/>
    <w:rsid w:val="002F0B2C"/>
    <w:rsid w:val="002F0B99"/>
    <w:rsid w:val="002F1474"/>
    <w:rsid w:val="002F1B25"/>
    <w:rsid w:val="002F276E"/>
    <w:rsid w:val="002F288E"/>
    <w:rsid w:val="002F28AE"/>
    <w:rsid w:val="002F28E3"/>
    <w:rsid w:val="002F2AA3"/>
    <w:rsid w:val="002F2BE6"/>
    <w:rsid w:val="002F2F8C"/>
    <w:rsid w:val="002F316D"/>
    <w:rsid w:val="002F320C"/>
    <w:rsid w:val="002F32AE"/>
    <w:rsid w:val="002F345B"/>
    <w:rsid w:val="002F368E"/>
    <w:rsid w:val="002F3928"/>
    <w:rsid w:val="002F3BE2"/>
    <w:rsid w:val="002F3D4E"/>
    <w:rsid w:val="002F3E6B"/>
    <w:rsid w:val="002F4077"/>
    <w:rsid w:val="002F4087"/>
    <w:rsid w:val="002F45EB"/>
    <w:rsid w:val="002F49BA"/>
    <w:rsid w:val="002F4D9C"/>
    <w:rsid w:val="002F4F6D"/>
    <w:rsid w:val="002F5279"/>
    <w:rsid w:val="002F5551"/>
    <w:rsid w:val="002F5729"/>
    <w:rsid w:val="002F5811"/>
    <w:rsid w:val="002F5C6A"/>
    <w:rsid w:val="002F6806"/>
    <w:rsid w:val="002F693F"/>
    <w:rsid w:val="002F69C4"/>
    <w:rsid w:val="002F73AA"/>
    <w:rsid w:val="002F747C"/>
    <w:rsid w:val="002F754F"/>
    <w:rsid w:val="002F7ED3"/>
    <w:rsid w:val="0030092B"/>
    <w:rsid w:val="00300BF3"/>
    <w:rsid w:val="00301092"/>
    <w:rsid w:val="003011F6"/>
    <w:rsid w:val="00301993"/>
    <w:rsid w:val="00301BEE"/>
    <w:rsid w:val="00301F44"/>
    <w:rsid w:val="00302055"/>
    <w:rsid w:val="003025A9"/>
    <w:rsid w:val="00303114"/>
    <w:rsid w:val="00303291"/>
    <w:rsid w:val="00303A93"/>
    <w:rsid w:val="00303BB9"/>
    <w:rsid w:val="003043C9"/>
    <w:rsid w:val="00304478"/>
    <w:rsid w:val="003046FC"/>
    <w:rsid w:val="00304822"/>
    <w:rsid w:val="00304A52"/>
    <w:rsid w:val="00305027"/>
    <w:rsid w:val="003051D8"/>
    <w:rsid w:val="0030548E"/>
    <w:rsid w:val="003054BA"/>
    <w:rsid w:val="00305537"/>
    <w:rsid w:val="003059C1"/>
    <w:rsid w:val="003061F2"/>
    <w:rsid w:val="00306AAE"/>
    <w:rsid w:val="00306B1E"/>
    <w:rsid w:val="00307128"/>
    <w:rsid w:val="00307A6B"/>
    <w:rsid w:val="00307C56"/>
    <w:rsid w:val="00307D91"/>
    <w:rsid w:val="00310589"/>
    <w:rsid w:val="00310767"/>
    <w:rsid w:val="00310D02"/>
    <w:rsid w:val="00310E41"/>
    <w:rsid w:val="00311574"/>
    <w:rsid w:val="0031171F"/>
    <w:rsid w:val="00311AC2"/>
    <w:rsid w:val="00311E85"/>
    <w:rsid w:val="003125F4"/>
    <w:rsid w:val="003129FF"/>
    <w:rsid w:val="00312A22"/>
    <w:rsid w:val="00312A4D"/>
    <w:rsid w:val="0031361A"/>
    <w:rsid w:val="00313DA0"/>
    <w:rsid w:val="00313DEB"/>
    <w:rsid w:val="00314148"/>
    <w:rsid w:val="0031441A"/>
    <w:rsid w:val="00314A3E"/>
    <w:rsid w:val="00314D40"/>
    <w:rsid w:val="00314E87"/>
    <w:rsid w:val="00315180"/>
    <w:rsid w:val="003157ED"/>
    <w:rsid w:val="00315C91"/>
    <w:rsid w:val="00315F0D"/>
    <w:rsid w:val="003164AE"/>
    <w:rsid w:val="0031661D"/>
    <w:rsid w:val="003167F9"/>
    <w:rsid w:val="00316D12"/>
    <w:rsid w:val="00316FDC"/>
    <w:rsid w:val="00317092"/>
    <w:rsid w:val="00317571"/>
    <w:rsid w:val="003177C5"/>
    <w:rsid w:val="00317ABE"/>
    <w:rsid w:val="00317EB1"/>
    <w:rsid w:val="0032001E"/>
    <w:rsid w:val="00320920"/>
    <w:rsid w:val="00320B5B"/>
    <w:rsid w:val="003210A0"/>
    <w:rsid w:val="003212E6"/>
    <w:rsid w:val="0032133A"/>
    <w:rsid w:val="0032176A"/>
    <w:rsid w:val="00321844"/>
    <w:rsid w:val="00321C1E"/>
    <w:rsid w:val="00321C39"/>
    <w:rsid w:val="003223A5"/>
    <w:rsid w:val="0032245C"/>
    <w:rsid w:val="0032293A"/>
    <w:rsid w:val="00322D69"/>
    <w:rsid w:val="00322E91"/>
    <w:rsid w:val="00322FF4"/>
    <w:rsid w:val="003230AE"/>
    <w:rsid w:val="0032326B"/>
    <w:rsid w:val="003232E1"/>
    <w:rsid w:val="00323E49"/>
    <w:rsid w:val="003240A3"/>
    <w:rsid w:val="0032451D"/>
    <w:rsid w:val="00324593"/>
    <w:rsid w:val="00324827"/>
    <w:rsid w:val="00324B3D"/>
    <w:rsid w:val="0032559D"/>
    <w:rsid w:val="003256F7"/>
    <w:rsid w:val="003265A4"/>
    <w:rsid w:val="0032667A"/>
    <w:rsid w:val="003267E0"/>
    <w:rsid w:val="00326957"/>
    <w:rsid w:val="003271F8"/>
    <w:rsid w:val="00327684"/>
    <w:rsid w:val="0032783F"/>
    <w:rsid w:val="003305D3"/>
    <w:rsid w:val="0033065F"/>
    <w:rsid w:val="00330762"/>
    <w:rsid w:val="003307D9"/>
    <w:rsid w:val="0033088D"/>
    <w:rsid w:val="00330D18"/>
    <w:rsid w:val="00330DDD"/>
    <w:rsid w:val="003314A6"/>
    <w:rsid w:val="00331D35"/>
    <w:rsid w:val="00331ED5"/>
    <w:rsid w:val="00332472"/>
    <w:rsid w:val="00332ADB"/>
    <w:rsid w:val="00332C13"/>
    <w:rsid w:val="00332D2C"/>
    <w:rsid w:val="00333393"/>
    <w:rsid w:val="003333AD"/>
    <w:rsid w:val="003333E3"/>
    <w:rsid w:val="00333708"/>
    <w:rsid w:val="00333A5F"/>
    <w:rsid w:val="0033402D"/>
    <w:rsid w:val="00334B1E"/>
    <w:rsid w:val="00334BF5"/>
    <w:rsid w:val="00334DEA"/>
    <w:rsid w:val="00334E2E"/>
    <w:rsid w:val="003352D1"/>
    <w:rsid w:val="0033534E"/>
    <w:rsid w:val="00335381"/>
    <w:rsid w:val="00335703"/>
    <w:rsid w:val="00335C77"/>
    <w:rsid w:val="00335D19"/>
    <w:rsid w:val="00335EDC"/>
    <w:rsid w:val="00335FD7"/>
    <w:rsid w:val="003365BD"/>
    <w:rsid w:val="003368B2"/>
    <w:rsid w:val="00336A4D"/>
    <w:rsid w:val="00336A84"/>
    <w:rsid w:val="00336C59"/>
    <w:rsid w:val="00336E5B"/>
    <w:rsid w:val="00336FD6"/>
    <w:rsid w:val="00337283"/>
    <w:rsid w:val="00337517"/>
    <w:rsid w:val="00337715"/>
    <w:rsid w:val="0033779C"/>
    <w:rsid w:val="00337827"/>
    <w:rsid w:val="00337A06"/>
    <w:rsid w:val="00337A40"/>
    <w:rsid w:val="00337B6A"/>
    <w:rsid w:val="00337C52"/>
    <w:rsid w:val="00337C8D"/>
    <w:rsid w:val="00337DDE"/>
    <w:rsid w:val="003404FD"/>
    <w:rsid w:val="0034074B"/>
    <w:rsid w:val="00340BD6"/>
    <w:rsid w:val="00340DBE"/>
    <w:rsid w:val="003410B0"/>
    <w:rsid w:val="00341301"/>
    <w:rsid w:val="00341882"/>
    <w:rsid w:val="00341B30"/>
    <w:rsid w:val="00342313"/>
    <w:rsid w:val="00342408"/>
    <w:rsid w:val="00342864"/>
    <w:rsid w:val="00342B2C"/>
    <w:rsid w:val="0034325B"/>
    <w:rsid w:val="003432CE"/>
    <w:rsid w:val="0034361F"/>
    <w:rsid w:val="0034379C"/>
    <w:rsid w:val="003437AA"/>
    <w:rsid w:val="00343A0B"/>
    <w:rsid w:val="003444B2"/>
    <w:rsid w:val="00344617"/>
    <w:rsid w:val="00344992"/>
    <w:rsid w:val="00344D3A"/>
    <w:rsid w:val="00344DA0"/>
    <w:rsid w:val="00344F23"/>
    <w:rsid w:val="003450CA"/>
    <w:rsid w:val="00345A6E"/>
    <w:rsid w:val="00345DB4"/>
    <w:rsid w:val="00345EB0"/>
    <w:rsid w:val="00346178"/>
    <w:rsid w:val="003461C8"/>
    <w:rsid w:val="00346292"/>
    <w:rsid w:val="003465BA"/>
    <w:rsid w:val="0034663C"/>
    <w:rsid w:val="003468B8"/>
    <w:rsid w:val="00346B55"/>
    <w:rsid w:val="00346E5C"/>
    <w:rsid w:val="00346EE6"/>
    <w:rsid w:val="003477B5"/>
    <w:rsid w:val="00347D74"/>
    <w:rsid w:val="003509C8"/>
    <w:rsid w:val="00350E87"/>
    <w:rsid w:val="00350F56"/>
    <w:rsid w:val="00351011"/>
    <w:rsid w:val="0035126C"/>
    <w:rsid w:val="003512CC"/>
    <w:rsid w:val="0035136D"/>
    <w:rsid w:val="00351438"/>
    <w:rsid w:val="003514E9"/>
    <w:rsid w:val="0035197B"/>
    <w:rsid w:val="00351A23"/>
    <w:rsid w:val="00351AF3"/>
    <w:rsid w:val="0035232E"/>
    <w:rsid w:val="003525F0"/>
    <w:rsid w:val="00352652"/>
    <w:rsid w:val="003529A7"/>
    <w:rsid w:val="00352C3A"/>
    <w:rsid w:val="00352C96"/>
    <w:rsid w:val="00352D37"/>
    <w:rsid w:val="003533E2"/>
    <w:rsid w:val="00353D5B"/>
    <w:rsid w:val="00354055"/>
    <w:rsid w:val="0035411E"/>
    <w:rsid w:val="0035469E"/>
    <w:rsid w:val="003549AC"/>
    <w:rsid w:val="0035503F"/>
    <w:rsid w:val="003550EC"/>
    <w:rsid w:val="00355216"/>
    <w:rsid w:val="003552C2"/>
    <w:rsid w:val="0035554D"/>
    <w:rsid w:val="00355730"/>
    <w:rsid w:val="00355972"/>
    <w:rsid w:val="00355CF8"/>
    <w:rsid w:val="00355D20"/>
    <w:rsid w:val="00355D8F"/>
    <w:rsid w:val="00355FDC"/>
    <w:rsid w:val="003561D9"/>
    <w:rsid w:val="003565FF"/>
    <w:rsid w:val="0035675A"/>
    <w:rsid w:val="003568B2"/>
    <w:rsid w:val="00356D82"/>
    <w:rsid w:val="00356FA6"/>
    <w:rsid w:val="00357722"/>
    <w:rsid w:val="00357726"/>
    <w:rsid w:val="0035794C"/>
    <w:rsid w:val="00357FCD"/>
    <w:rsid w:val="00360064"/>
    <w:rsid w:val="003604A5"/>
    <w:rsid w:val="003607DB"/>
    <w:rsid w:val="00360DEF"/>
    <w:rsid w:val="0036143B"/>
    <w:rsid w:val="00361692"/>
    <w:rsid w:val="00361695"/>
    <w:rsid w:val="003616CE"/>
    <w:rsid w:val="0036188B"/>
    <w:rsid w:val="00361B55"/>
    <w:rsid w:val="0036270A"/>
    <w:rsid w:val="00362915"/>
    <w:rsid w:val="00362A5A"/>
    <w:rsid w:val="00362ABE"/>
    <w:rsid w:val="00363395"/>
    <w:rsid w:val="003633AE"/>
    <w:rsid w:val="003637A7"/>
    <w:rsid w:val="0036381A"/>
    <w:rsid w:val="00363CE4"/>
    <w:rsid w:val="00363E0A"/>
    <w:rsid w:val="00364565"/>
    <w:rsid w:val="003648C6"/>
    <w:rsid w:val="003649E9"/>
    <w:rsid w:val="00364A24"/>
    <w:rsid w:val="00364AB0"/>
    <w:rsid w:val="00364CEF"/>
    <w:rsid w:val="0036544B"/>
    <w:rsid w:val="00366127"/>
    <w:rsid w:val="00366654"/>
    <w:rsid w:val="003668BA"/>
    <w:rsid w:val="00366AD7"/>
    <w:rsid w:val="00367104"/>
    <w:rsid w:val="00367530"/>
    <w:rsid w:val="003678BB"/>
    <w:rsid w:val="00367C88"/>
    <w:rsid w:val="00367ED7"/>
    <w:rsid w:val="00370172"/>
    <w:rsid w:val="0037082F"/>
    <w:rsid w:val="00370A35"/>
    <w:rsid w:val="00370BD9"/>
    <w:rsid w:val="00370CB6"/>
    <w:rsid w:val="00370D2D"/>
    <w:rsid w:val="00370E3D"/>
    <w:rsid w:val="0037117A"/>
    <w:rsid w:val="0037160E"/>
    <w:rsid w:val="00371CF1"/>
    <w:rsid w:val="00372117"/>
    <w:rsid w:val="003726BA"/>
    <w:rsid w:val="00372C45"/>
    <w:rsid w:val="00372C9D"/>
    <w:rsid w:val="00373102"/>
    <w:rsid w:val="00373F4B"/>
    <w:rsid w:val="00374CE1"/>
    <w:rsid w:val="0037507C"/>
    <w:rsid w:val="003754FB"/>
    <w:rsid w:val="0037551B"/>
    <w:rsid w:val="003757B3"/>
    <w:rsid w:val="00375A58"/>
    <w:rsid w:val="00375CB6"/>
    <w:rsid w:val="00375D5C"/>
    <w:rsid w:val="00375FF8"/>
    <w:rsid w:val="0037605F"/>
    <w:rsid w:val="003763DA"/>
    <w:rsid w:val="00376630"/>
    <w:rsid w:val="003766E0"/>
    <w:rsid w:val="00376CA0"/>
    <w:rsid w:val="00376CC4"/>
    <w:rsid w:val="00377303"/>
    <w:rsid w:val="00377627"/>
    <w:rsid w:val="00377A2E"/>
    <w:rsid w:val="00377B62"/>
    <w:rsid w:val="0038017B"/>
    <w:rsid w:val="003801A8"/>
    <w:rsid w:val="003803BD"/>
    <w:rsid w:val="0038053F"/>
    <w:rsid w:val="0038088B"/>
    <w:rsid w:val="00380F89"/>
    <w:rsid w:val="00381415"/>
    <w:rsid w:val="003814BC"/>
    <w:rsid w:val="00381A98"/>
    <w:rsid w:val="00381F65"/>
    <w:rsid w:val="00381FCA"/>
    <w:rsid w:val="003821B1"/>
    <w:rsid w:val="00382B7B"/>
    <w:rsid w:val="00382D2F"/>
    <w:rsid w:val="003830CA"/>
    <w:rsid w:val="003831E5"/>
    <w:rsid w:val="003832FF"/>
    <w:rsid w:val="00383460"/>
    <w:rsid w:val="0038357E"/>
    <w:rsid w:val="003836DE"/>
    <w:rsid w:val="00383886"/>
    <w:rsid w:val="00383C62"/>
    <w:rsid w:val="00384054"/>
    <w:rsid w:val="0038444B"/>
    <w:rsid w:val="0038456E"/>
    <w:rsid w:val="00384693"/>
    <w:rsid w:val="0038477A"/>
    <w:rsid w:val="00385254"/>
    <w:rsid w:val="00385361"/>
    <w:rsid w:val="0038544D"/>
    <w:rsid w:val="0038571A"/>
    <w:rsid w:val="00385A78"/>
    <w:rsid w:val="00385B6A"/>
    <w:rsid w:val="00385BEC"/>
    <w:rsid w:val="00385FE4"/>
    <w:rsid w:val="00386071"/>
    <w:rsid w:val="0038653E"/>
    <w:rsid w:val="003866D5"/>
    <w:rsid w:val="00386A13"/>
    <w:rsid w:val="00386E87"/>
    <w:rsid w:val="003872E0"/>
    <w:rsid w:val="00387538"/>
    <w:rsid w:val="003875AB"/>
    <w:rsid w:val="003875FC"/>
    <w:rsid w:val="00387CD5"/>
    <w:rsid w:val="00387D54"/>
    <w:rsid w:val="003906D0"/>
    <w:rsid w:val="00390755"/>
    <w:rsid w:val="003908ED"/>
    <w:rsid w:val="00390D2A"/>
    <w:rsid w:val="003912C8"/>
    <w:rsid w:val="003917A1"/>
    <w:rsid w:val="00391AAB"/>
    <w:rsid w:val="00391BE8"/>
    <w:rsid w:val="00391D4A"/>
    <w:rsid w:val="00391E90"/>
    <w:rsid w:val="003923C5"/>
    <w:rsid w:val="003924B4"/>
    <w:rsid w:val="003924F1"/>
    <w:rsid w:val="003926D5"/>
    <w:rsid w:val="00392A50"/>
    <w:rsid w:val="00392AC0"/>
    <w:rsid w:val="00392C89"/>
    <w:rsid w:val="003931E3"/>
    <w:rsid w:val="00393213"/>
    <w:rsid w:val="0039328C"/>
    <w:rsid w:val="003939A3"/>
    <w:rsid w:val="003939EE"/>
    <w:rsid w:val="00393BF9"/>
    <w:rsid w:val="00393CBB"/>
    <w:rsid w:val="00394393"/>
    <w:rsid w:val="00394743"/>
    <w:rsid w:val="003948A6"/>
    <w:rsid w:val="003948D0"/>
    <w:rsid w:val="0039548C"/>
    <w:rsid w:val="0039567E"/>
    <w:rsid w:val="00395764"/>
    <w:rsid w:val="00395DC2"/>
    <w:rsid w:val="00395F15"/>
    <w:rsid w:val="00396229"/>
    <w:rsid w:val="00396736"/>
    <w:rsid w:val="00396B05"/>
    <w:rsid w:val="00396F46"/>
    <w:rsid w:val="00396FB8"/>
    <w:rsid w:val="00397323"/>
    <w:rsid w:val="0039738D"/>
    <w:rsid w:val="003975C9"/>
    <w:rsid w:val="00397AFB"/>
    <w:rsid w:val="003A0363"/>
    <w:rsid w:val="003A04B4"/>
    <w:rsid w:val="003A053C"/>
    <w:rsid w:val="003A0FB9"/>
    <w:rsid w:val="003A12A5"/>
    <w:rsid w:val="003A131F"/>
    <w:rsid w:val="003A1493"/>
    <w:rsid w:val="003A1B24"/>
    <w:rsid w:val="003A1C9D"/>
    <w:rsid w:val="003A1DD9"/>
    <w:rsid w:val="003A2671"/>
    <w:rsid w:val="003A267B"/>
    <w:rsid w:val="003A2B48"/>
    <w:rsid w:val="003A2B86"/>
    <w:rsid w:val="003A2E54"/>
    <w:rsid w:val="003A2EAE"/>
    <w:rsid w:val="003A37B5"/>
    <w:rsid w:val="003A383D"/>
    <w:rsid w:val="003A3932"/>
    <w:rsid w:val="003A3BDF"/>
    <w:rsid w:val="003A3DF5"/>
    <w:rsid w:val="003A3EE5"/>
    <w:rsid w:val="003A4A08"/>
    <w:rsid w:val="003A4B68"/>
    <w:rsid w:val="003A4C36"/>
    <w:rsid w:val="003A4FA2"/>
    <w:rsid w:val="003A504C"/>
    <w:rsid w:val="003A505C"/>
    <w:rsid w:val="003A54B0"/>
    <w:rsid w:val="003A5BF3"/>
    <w:rsid w:val="003A5F29"/>
    <w:rsid w:val="003A61E1"/>
    <w:rsid w:val="003A6D3A"/>
    <w:rsid w:val="003A7002"/>
    <w:rsid w:val="003A73B0"/>
    <w:rsid w:val="003A76E0"/>
    <w:rsid w:val="003A779D"/>
    <w:rsid w:val="003A7D03"/>
    <w:rsid w:val="003A7F5E"/>
    <w:rsid w:val="003B01F8"/>
    <w:rsid w:val="003B0576"/>
    <w:rsid w:val="003B0ACE"/>
    <w:rsid w:val="003B11C3"/>
    <w:rsid w:val="003B1BBB"/>
    <w:rsid w:val="003B1F69"/>
    <w:rsid w:val="003B21E7"/>
    <w:rsid w:val="003B291C"/>
    <w:rsid w:val="003B2C8E"/>
    <w:rsid w:val="003B2DC9"/>
    <w:rsid w:val="003B32AB"/>
    <w:rsid w:val="003B414D"/>
    <w:rsid w:val="003B4846"/>
    <w:rsid w:val="003B50EA"/>
    <w:rsid w:val="003B5343"/>
    <w:rsid w:val="003B5357"/>
    <w:rsid w:val="003B53E3"/>
    <w:rsid w:val="003B5647"/>
    <w:rsid w:val="003B5F7C"/>
    <w:rsid w:val="003B5FA7"/>
    <w:rsid w:val="003B64AD"/>
    <w:rsid w:val="003B6863"/>
    <w:rsid w:val="003B6BC8"/>
    <w:rsid w:val="003B70CD"/>
    <w:rsid w:val="003B7465"/>
    <w:rsid w:val="003B77FB"/>
    <w:rsid w:val="003C025C"/>
    <w:rsid w:val="003C0985"/>
    <w:rsid w:val="003C0FD4"/>
    <w:rsid w:val="003C10FF"/>
    <w:rsid w:val="003C1ADD"/>
    <w:rsid w:val="003C259B"/>
    <w:rsid w:val="003C2641"/>
    <w:rsid w:val="003C299F"/>
    <w:rsid w:val="003C2A79"/>
    <w:rsid w:val="003C2DE3"/>
    <w:rsid w:val="003C339E"/>
    <w:rsid w:val="003C3475"/>
    <w:rsid w:val="003C3FD5"/>
    <w:rsid w:val="003C435B"/>
    <w:rsid w:val="003C4377"/>
    <w:rsid w:val="003C4E3F"/>
    <w:rsid w:val="003C5077"/>
    <w:rsid w:val="003C5628"/>
    <w:rsid w:val="003C5764"/>
    <w:rsid w:val="003C5D8E"/>
    <w:rsid w:val="003C60E0"/>
    <w:rsid w:val="003C6178"/>
    <w:rsid w:val="003C6543"/>
    <w:rsid w:val="003C6606"/>
    <w:rsid w:val="003C6BBA"/>
    <w:rsid w:val="003C6FEA"/>
    <w:rsid w:val="003C72C9"/>
    <w:rsid w:val="003C7612"/>
    <w:rsid w:val="003C7741"/>
    <w:rsid w:val="003C787E"/>
    <w:rsid w:val="003C78E1"/>
    <w:rsid w:val="003C7D9D"/>
    <w:rsid w:val="003C7EEA"/>
    <w:rsid w:val="003C7F7D"/>
    <w:rsid w:val="003C7FAE"/>
    <w:rsid w:val="003D00BF"/>
    <w:rsid w:val="003D00F7"/>
    <w:rsid w:val="003D06DE"/>
    <w:rsid w:val="003D0764"/>
    <w:rsid w:val="003D0A62"/>
    <w:rsid w:val="003D0E05"/>
    <w:rsid w:val="003D120F"/>
    <w:rsid w:val="003D149A"/>
    <w:rsid w:val="003D14D2"/>
    <w:rsid w:val="003D161C"/>
    <w:rsid w:val="003D1691"/>
    <w:rsid w:val="003D1EFA"/>
    <w:rsid w:val="003D1F66"/>
    <w:rsid w:val="003D22E5"/>
    <w:rsid w:val="003D23BF"/>
    <w:rsid w:val="003D252D"/>
    <w:rsid w:val="003D2652"/>
    <w:rsid w:val="003D2B30"/>
    <w:rsid w:val="003D2BB0"/>
    <w:rsid w:val="003D2F70"/>
    <w:rsid w:val="003D2FAF"/>
    <w:rsid w:val="003D304F"/>
    <w:rsid w:val="003D31E7"/>
    <w:rsid w:val="003D38EC"/>
    <w:rsid w:val="003D3B6B"/>
    <w:rsid w:val="003D3FA4"/>
    <w:rsid w:val="003D4052"/>
    <w:rsid w:val="003D45A4"/>
    <w:rsid w:val="003D4B65"/>
    <w:rsid w:val="003D4C03"/>
    <w:rsid w:val="003D5036"/>
    <w:rsid w:val="003D5685"/>
    <w:rsid w:val="003D5A55"/>
    <w:rsid w:val="003D5C4A"/>
    <w:rsid w:val="003D60B0"/>
    <w:rsid w:val="003D6137"/>
    <w:rsid w:val="003D6311"/>
    <w:rsid w:val="003D6757"/>
    <w:rsid w:val="003D695D"/>
    <w:rsid w:val="003D69C5"/>
    <w:rsid w:val="003D6B61"/>
    <w:rsid w:val="003D6E8F"/>
    <w:rsid w:val="003D6FA1"/>
    <w:rsid w:val="003D705A"/>
    <w:rsid w:val="003D7174"/>
    <w:rsid w:val="003D721D"/>
    <w:rsid w:val="003D7272"/>
    <w:rsid w:val="003D735B"/>
    <w:rsid w:val="003D73E6"/>
    <w:rsid w:val="003D7428"/>
    <w:rsid w:val="003D766D"/>
    <w:rsid w:val="003D797E"/>
    <w:rsid w:val="003D7BAA"/>
    <w:rsid w:val="003D7C14"/>
    <w:rsid w:val="003D7C58"/>
    <w:rsid w:val="003E027F"/>
    <w:rsid w:val="003E085A"/>
    <w:rsid w:val="003E0896"/>
    <w:rsid w:val="003E09D7"/>
    <w:rsid w:val="003E0A38"/>
    <w:rsid w:val="003E0CC7"/>
    <w:rsid w:val="003E1278"/>
    <w:rsid w:val="003E1357"/>
    <w:rsid w:val="003E148F"/>
    <w:rsid w:val="003E1550"/>
    <w:rsid w:val="003E205A"/>
    <w:rsid w:val="003E21B5"/>
    <w:rsid w:val="003E2661"/>
    <w:rsid w:val="003E270F"/>
    <w:rsid w:val="003E2800"/>
    <w:rsid w:val="003E2E0D"/>
    <w:rsid w:val="003E3385"/>
    <w:rsid w:val="003E3A8C"/>
    <w:rsid w:val="003E3EF6"/>
    <w:rsid w:val="003E3FBC"/>
    <w:rsid w:val="003E401A"/>
    <w:rsid w:val="003E4126"/>
    <w:rsid w:val="003E4185"/>
    <w:rsid w:val="003E444F"/>
    <w:rsid w:val="003E464D"/>
    <w:rsid w:val="003E4FCC"/>
    <w:rsid w:val="003E4FF6"/>
    <w:rsid w:val="003E5334"/>
    <w:rsid w:val="003E5726"/>
    <w:rsid w:val="003E5FF9"/>
    <w:rsid w:val="003E606F"/>
    <w:rsid w:val="003E613C"/>
    <w:rsid w:val="003E6268"/>
    <w:rsid w:val="003E63A1"/>
    <w:rsid w:val="003E6599"/>
    <w:rsid w:val="003E665A"/>
    <w:rsid w:val="003E6BA8"/>
    <w:rsid w:val="003E71F2"/>
    <w:rsid w:val="003E72EC"/>
    <w:rsid w:val="003E7686"/>
    <w:rsid w:val="003E772F"/>
    <w:rsid w:val="003E793A"/>
    <w:rsid w:val="003E7ECF"/>
    <w:rsid w:val="003F00B7"/>
    <w:rsid w:val="003F00CE"/>
    <w:rsid w:val="003F0140"/>
    <w:rsid w:val="003F07CF"/>
    <w:rsid w:val="003F1611"/>
    <w:rsid w:val="003F1D64"/>
    <w:rsid w:val="003F2124"/>
    <w:rsid w:val="003F2450"/>
    <w:rsid w:val="003F2518"/>
    <w:rsid w:val="003F2744"/>
    <w:rsid w:val="003F2BA2"/>
    <w:rsid w:val="003F2C85"/>
    <w:rsid w:val="003F2C88"/>
    <w:rsid w:val="003F2D4D"/>
    <w:rsid w:val="003F2F1E"/>
    <w:rsid w:val="003F3305"/>
    <w:rsid w:val="003F3387"/>
    <w:rsid w:val="003F3696"/>
    <w:rsid w:val="003F3A86"/>
    <w:rsid w:val="003F3E7E"/>
    <w:rsid w:val="003F40C1"/>
    <w:rsid w:val="003F415B"/>
    <w:rsid w:val="003F4251"/>
    <w:rsid w:val="003F4591"/>
    <w:rsid w:val="003F4680"/>
    <w:rsid w:val="003F4E02"/>
    <w:rsid w:val="003F51B3"/>
    <w:rsid w:val="003F543F"/>
    <w:rsid w:val="003F56BA"/>
    <w:rsid w:val="003F5EF1"/>
    <w:rsid w:val="003F62CD"/>
    <w:rsid w:val="003F6312"/>
    <w:rsid w:val="003F63F1"/>
    <w:rsid w:val="003F65A7"/>
    <w:rsid w:val="003F66BA"/>
    <w:rsid w:val="003F6A57"/>
    <w:rsid w:val="003F72D1"/>
    <w:rsid w:val="003F72EB"/>
    <w:rsid w:val="003F7304"/>
    <w:rsid w:val="003F7724"/>
    <w:rsid w:val="003F79D1"/>
    <w:rsid w:val="003F7FA0"/>
    <w:rsid w:val="003F7FC6"/>
    <w:rsid w:val="004000EB"/>
    <w:rsid w:val="0040021C"/>
    <w:rsid w:val="00400738"/>
    <w:rsid w:val="004007B4"/>
    <w:rsid w:val="00400B64"/>
    <w:rsid w:val="0040129E"/>
    <w:rsid w:val="0040179C"/>
    <w:rsid w:val="00401857"/>
    <w:rsid w:val="00401AB2"/>
    <w:rsid w:val="00401F65"/>
    <w:rsid w:val="004022AC"/>
    <w:rsid w:val="00402352"/>
    <w:rsid w:val="004027DF"/>
    <w:rsid w:val="004027F2"/>
    <w:rsid w:val="0040286F"/>
    <w:rsid w:val="00402B0D"/>
    <w:rsid w:val="00403120"/>
    <w:rsid w:val="00403316"/>
    <w:rsid w:val="00403461"/>
    <w:rsid w:val="004035CF"/>
    <w:rsid w:val="0040369F"/>
    <w:rsid w:val="00403AF7"/>
    <w:rsid w:val="004040A6"/>
    <w:rsid w:val="0040442A"/>
    <w:rsid w:val="0040474A"/>
    <w:rsid w:val="00404A21"/>
    <w:rsid w:val="00404C18"/>
    <w:rsid w:val="00404EE5"/>
    <w:rsid w:val="00404FBD"/>
    <w:rsid w:val="0040500B"/>
    <w:rsid w:val="00405115"/>
    <w:rsid w:val="0040565C"/>
    <w:rsid w:val="004059DA"/>
    <w:rsid w:val="00405F12"/>
    <w:rsid w:val="0040635C"/>
    <w:rsid w:val="0040660D"/>
    <w:rsid w:val="004068C8"/>
    <w:rsid w:val="004069C5"/>
    <w:rsid w:val="00407182"/>
    <w:rsid w:val="0040765D"/>
    <w:rsid w:val="004079A8"/>
    <w:rsid w:val="00407A15"/>
    <w:rsid w:val="00407B1F"/>
    <w:rsid w:val="00407DA7"/>
    <w:rsid w:val="00410001"/>
    <w:rsid w:val="004107E5"/>
    <w:rsid w:val="00410C65"/>
    <w:rsid w:val="00411294"/>
    <w:rsid w:val="0041146C"/>
    <w:rsid w:val="0041148F"/>
    <w:rsid w:val="00411C22"/>
    <w:rsid w:val="00412B53"/>
    <w:rsid w:val="00412B55"/>
    <w:rsid w:val="00412B8C"/>
    <w:rsid w:val="00412D5C"/>
    <w:rsid w:val="00412D80"/>
    <w:rsid w:val="00412DE8"/>
    <w:rsid w:val="004130BD"/>
    <w:rsid w:val="00413C13"/>
    <w:rsid w:val="00413C23"/>
    <w:rsid w:val="00414ABC"/>
    <w:rsid w:val="00414E1E"/>
    <w:rsid w:val="00414F56"/>
    <w:rsid w:val="0041510D"/>
    <w:rsid w:val="00415202"/>
    <w:rsid w:val="00415807"/>
    <w:rsid w:val="004158CE"/>
    <w:rsid w:val="004163BD"/>
    <w:rsid w:val="004167CE"/>
    <w:rsid w:val="00417410"/>
    <w:rsid w:val="004177D9"/>
    <w:rsid w:val="00417807"/>
    <w:rsid w:val="00417844"/>
    <w:rsid w:val="00417BDF"/>
    <w:rsid w:val="00417EB8"/>
    <w:rsid w:val="00420731"/>
    <w:rsid w:val="00420807"/>
    <w:rsid w:val="00420CFB"/>
    <w:rsid w:val="00420E36"/>
    <w:rsid w:val="00421346"/>
    <w:rsid w:val="00421FF5"/>
    <w:rsid w:val="0042218C"/>
    <w:rsid w:val="004225E1"/>
    <w:rsid w:val="0042263C"/>
    <w:rsid w:val="00422BB8"/>
    <w:rsid w:val="00422D08"/>
    <w:rsid w:val="00422E4D"/>
    <w:rsid w:val="00422EE7"/>
    <w:rsid w:val="00422FB0"/>
    <w:rsid w:val="004232D1"/>
    <w:rsid w:val="00423459"/>
    <w:rsid w:val="0042402D"/>
    <w:rsid w:val="004249A3"/>
    <w:rsid w:val="004251CA"/>
    <w:rsid w:val="004259CB"/>
    <w:rsid w:val="00426246"/>
    <w:rsid w:val="00426661"/>
    <w:rsid w:val="00426A76"/>
    <w:rsid w:val="00426B25"/>
    <w:rsid w:val="00426B2A"/>
    <w:rsid w:val="00426B8C"/>
    <w:rsid w:val="0042717E"/>
    <w:rsid w:val="00427584"/>
    <w:rsid w:val="00427598"/>
    <w:rsid w:val="0042796D"/>
    <w:rsid w:val="00427D18"/>
    <w:rsid w:val="00427E33"/>
    <w:rsid w:val="004301DA"/>
    <w:rsid w:val="00430559"/>
    <w:rsid w:val="0043062D"/>
    <w:rsid w:val="004306C5"/>
    <w:rsid w:val="00430B0E"/>
    <w:rsid w:val="00430BEF"/>
    <w:rsid w:val="00430C6D"/>
    <w:rsid w:val="00430D4A"/>
    <w:rsid w:val="004316CB"/>
    <w:rsid w:val="004318B9"/>
    <w:rsid w:val="00431B3A"/>
    <w:rsid w:val="00431E45"/>
    <w:rsid w:val="0043222D"/>
    <w:rsid w:val="00432564"/>
    <w:rsid w:val="00432598"/>
    <w:rsid w:val="0043273D"/>
    <w:rsid w:val="00432CC6"/>
    <w:rsid w:val="004330FC"/>
    <w:rsid w:val="00433434"/>
    <w:rsid w:val="004334BD"/>
    <w:rsid w:val="00433BD0"/>
    <w:rsid w:val="00433C40"/>
    <w:rsid w:val="00433D2C"/>
    <w:rsid w:val="00433D51"/>
    <w:rsid w:val="00434075"/>
    <w:rsid w:val="00434C5B"/>
    <w:rsid w:val="00435095"/>
    <w:rsid w:val="0043523E"/>
    <w:rsid w:val="004352B9"/>
    <w:rsid w:val="004358A5"/>
    <w:rsid w:val="00435BDD"/>
    <w:rsid w:val="00435CB9"/>
    <w:rsid w:val="004361A8"/>
    <w:rsid w:val="00436C72"/>
    <w:rsid w:val="00436D1C"/>
    <w:rsid w:val="00437479"/>
    <w:rsid w:val="00437846"/>
    <w:rsid w:val="00437C1E"/>
    <w:rsid w:val="00437CAD"/>
    <w:rsid w:val="0044001A"/>
    <w:rsid w:val="00440226"/>
    <w:rsid w:val="00440477"/>
    <w:rsid w:val="00440478"/>
    <w:rsid w:val="0044075B"/>
    <w:rsid w:val="00440808"/>
    <w:rsid w:val="00440A01"/>
    <w:rsid w:val="00441382"/>
    <w:rsid w:val="004419D5"/>
    <w:rsid w:val="0044218F"/>
    <w:rsid w:val="0044231F"/>
    <w:rsid w:val="004429D7"/>
    <w:rsid w:val="00442F01"/>
    <w:rsid w:val="00442F2C"/>
    <w:rsid w:val="00443090"/>
    <w:rsid w:val="004430E6"/>
    <w:rsid w:val="00443135"/>
    <w:rsid w:val="004435A8"/>
    <w:rsid w:val="00443873"/>
    <w:rsid w:val="00443A04"/>
    <w:rsid w:val="00443CAD"/>
    <w:rsid w:val="00444139"/>
    <w:rsid w:val="004444CD"/>
    <w:rsid w:val="00444C8C"/>
    <w:rsid w:val="00444D79"/>
    <w:rsid w:val="00444E05"/>
    <w:rsid w:val="004457C3"/>
    <w:rsid w:val="0044589D"/>
    <w:rsid w:val="00445C1E"/>
    <w:rsid w:val="00446068"/>
    <w:rsid w:val="00446274"/>
    <w:rsid w:val="004465B5"/>
    <w:rsid w:val="00446803"/>
    <w:rsid w:val="0044680E"/>
    <w:rsid w:val="00446B9F"/>
    <w:rsid w:val="00446C0D"/>
    <w:rsid w:val="00446D26"/>
    <w:rsid w:val="00446E79"/>
    <w:rsid w:val="00446F05"/>
    <w:rsid w:val="0044711D"/>
    <w:rsid w:val="004472CE"/>
    <w:rsid w:val="00447CCB"/>
    <w:rsid w:val="00447FD4"/>
    <w:rsid w:val="00450151"/>
    <w:rsid w:val="0045031C"/>
    <w:rsid w:val="00450347"/>
    <w:rsid w:val="00450591"/>
    <w:rsid w:val="004508E1"/>
    <w:rsid w:val="00450D79"/>
    <w:rsid w:val="00450FEC"/>
    <w:rsid w:val="0045152E"/>
    <w:rsid w:val="0045212C"/>
    <w:rsid w:val="0045239E"/>
    <w:rsid w:val="004529DB"/>
    <w:rsid w:val="00452FA6"/>
    <w:rsid w:val="00452FDB"/>
    <w:rsid w:val="0045302A"/>
    <w:rsid w:val="00453058"/>
    <w:rsid w:val="0045308E"/>
    <w:rsid w:val="00453589"/>
    <w:rsid w:val="0045374B"/>
    <w:rsid w:val="004539CE"/>
    <w:rsid w:val="00453A5B"/>
    <w:rsid w:val="00453B60"/>
    <w:rsid w:val="00454163"/>
    <w:rsid w:val="00454898"/>
    <w:rsid w:val="00454937"/>
    <w:rsid w:val="004549DE"/>
    <w:rsid w:val="00454A33"/>
    <w:rsid w:val="00454BA8"/>
    <w:rsid w:val="00454D17"/>
    <w:rsid w:val="00455639"/>
    <w:rsid w:val="00455D8E"/>
    <w:rsid w:val="004574B6"/>
    <w:rsid w:val="00457528"/>
    <w:rsid w:val="00457579"/>
    <w:rsid w:val="004576C2"/>
    <w:rsid w:val="00457D7D"/>
    <w:rsid w:val="00460232"/>
    <w:rsid w:val="004606D3"/>
    <w:rsid w:val="004608BB"/>
    <w:rsid w:val="00460BE6"/>
    <w:rsid w:val="00460BED"/>
    <w:rsid w:val="00460EDF"/>
    <w:rsid w:val="00461248"/>
    <w:rsid w:val="00461E19"/>
    <w:rsid w:val="00462046"/>
    <w:rsid w:val="004625AA"/>
    <w:rsid w:val="00462A94"/>
    <w:rsid w:val="00462CBC"/>
    <w:rsid w:val="00462F7C"/>
    <w:rsid w:val="00463122"/>
    <w:rsid w:val="00463134"/>
    <w:rsid w:val="004636E2"/>
    <w:rsid w:val="00463804"/>
    <w:rsid w:val="00463C0D"/>
    <w:rsid w:val="00463E3D"/>
    <w:rsid w:val="0046422D"/>
    <w:rsid w:val="004644AB"/>
    <w:rsid w:val="004645A3"/>
    <w:rsid w:val="00464B2F"/>
    <w:rsid w:val="00464C22"/>
    <w:rsid w:val="00464D73"/>
    <w:rsid w:val="004651BF"/>
    <w:rsid w:val="0046543C"/>
    <w:rsid w:val="00465B78"/>
    <w:rsid w:val="00465CEA"/>
    <w:rsid w:val="00465FC4"/>
    <w:rsid w:val="00466526"/>
    <w:rsid w:val="00466CC1"/>
    <w:rsid w:val="00467156"/>
    <w:rsid w:val="00467885"/>
    <w:rsid w:val="00467DC6"/>
    <w:rsid w:val="004700F8"/>
    <w:rsid w:val="0047010B"/>
    <w:rsid w:val="004709BB"/>
    <w:rsid w:val="0047115F"/>
    <w:rsid w:val="00471165"/>
    <w:rsid w:val="004715CA"/>
    <w:rsid w:val="00471937"/>
    <w:rsid w:val="00471C5F"/>
    <w:rsid w:val="00471CC3"/>
    <w:rsid w:val="00471D4C"/>
    <w:rsid w:val="00471D5B"/>
    <w:rsid w:val="004720B0"/>
    <w:rsid w:val="00472105"/>
    <w:rsid w:val="00472155"/>
    <w:rsid w:val="00472224"/>
    <w:rsid w:val="004724AC"/>
    <w:rsid w:val="00473017"/>
    <w:rsid w:val="00473160"/>
    <w:rsid w:val="00473A54"/>
    <w:rsid w:val="00473AD9"/>
    <w:rsid w:val="00473DBF"/>
    <w:rsid w:val="00474BEE"/>
    <w:rsid w:val="004751EB"/>
    <w:rsid w:val="00475A99"/>
    <w:rsid w:val="00475BBB"/>
    <w:rsid w:val="00475F61"/>
    <w:rsid w:val="00476027"/>
    <w:rsid w:val="00476BCC"/>
    <w:rsid w:val="00476E9E"/>
    <w:rsid w:val="00476EA0"/>
    <w:rsid w:val="00476FF3"/>
    <w:rsid w:val="0047731C"/>
    <w:rsid w:val="0047736D"/>
    <w:rsid w:val="00477463"/>
    <w:rsid w:val="00477A02"/>
    <w:rsid w:val="00477C4B"/>
    <w:rsid w:val="00477C8C"/>
    <w:rsid w:val="00477DB4"/>
    <w:rsid w:val="00477F8C"/>
    <w:rsid w:val="004804CF"/>
    <w:rsid w:val="0048069F"/>
    <w:rsid w:val="004808DC"/>
    <w:rsid w:val="00480CAE"/>
    <w:rsid w:val="00480D7A"/>
    <w:rsid w:val="00480E9D"/>
    <w:rsid w:val="00481200"/>
    <w:rsid w:val="0048149B"/>
    <w:rsid w:val="00481688"/>
    <w:rsid w:val="00481785"/>
    <w:rsid w:val="00481821"/>
    <w:rsid w:val="00481866"/>
    <w:rsid w:val="00481943"/>
    <w:rsid w:val="00481A3F"/>
    <w:rsid w:val="00481D59"/>
    <w:rsid w:val="00482BE2"/>
    <w:rsid w:val="0048368B"/>
    <w:rsid w:val="00483738"/>
    <w:rsid w:val="00483930"/>
    <w:rsid w:val="00483E42"/>
    <w:rsid w:val="00483F95"/>
    <w:rsid w:val="004841BD"/>
    <w:rsid w:val="004843F2"/>
    <w:rsid w:val="004845F0"/>
    <w:rsid w:val="00484EA3"/>
    <w:rsid w:val="00484EF1"/>
    <w:rsid w:val="00485B20"/>
    <w:rsid w:val="00485C60"/>
    <w:rsid w:val="00485CF5"/>
    <w:rsid w:val="00485F8D"/>
    <w:rsid w:val="00485FD6"/>
    <w:rsid w:val="004866D6"/>
    <w:rsid w:val="00486BA7"/>
    <w:rsid w:val="00486D80"/>
    <w:rsid w:val="00486E8B"/>
    <w:rsid w:val="004870C8"/>
    <w:rsid w:val="0048714F"/>
    <w:rsid w:val="00487496"/>
    <w:rsid w:val="0048776A"/>
    <w:rsid w:val="00487A79"/>
    <w:rsid w:val="00487B71"/>
    <w:rsid w:val="00487BF1"/>
    <w:rsid w:val="0049025B"/>
    <w:rsid w:val="0049034B"/>
    <w:rsid w:val="0049040E"/>
    <w:rsid w:val="004907DA"/>
    <w:rsid w:val="004908A3"/>
    <w:rsid w:val="00490BFA"/>
    <w:rsid w:val="00491066"/>
    <w:rsid w:val="00491716"/>
    <w:rsid w:val="00491734"/>
    <w:rsid w:val="00492A42"/>
    <w:rsid w:val="00492C3A"/>
    <w:rsid w:val="00492CC3"/>
    <w:rsid w:val="00492DAC"/>
    <w:rsid w:val="00492DC7"/>
    <w:rsid w:val="00493224"/>
    <w:rsid w:val="0049328C"/>
    <w:rsid w:val="0049344E"/>
    <w:rsid w:val="00493730"/>
    <w:rsid w:val="00493AF8"/>
    <w:rsid w:val="00493F2F"/>
    <w:rsid w:val="004943FE"/>
    <w:rsid w:val="00494976"/>
    <w:rsid w:val="00494FC7"/>
    <w:rsid w:val="00494FF8"/>
    <w:rsid w:val="00495028"/>
    <w:rsid w:val="004954BB"/>
    <w:rsid w:val="004958B5"/>
    <w:rsid w:val="004959A8"/>
    <w:rsid w:val="00495BE0"/>
    <w:rsid w:val="00495CB8"/>
    <w:rsid w:val="00495D44"/>
    <w:rsid w:val="00495D78"/>
    <w:rsid w:val="00496533"/>
    <w:rsid w:val="0049665E"/>
    <w:rsid w:val="00496F24"/>
    <w:rsid w:val="0049733D"/>
    <w:rsid w:val="00497602"/>
    <w:rsid w:val="004979C6"/>
    <w:rsid w:val="00497AB1"/>
    <w:rsid w:val="00497C1A"/>
    <w:rsid w:val="00497DBB"/>
    <w:rsid w:val="00497E41"/>
    <w:rsid w:val="004A003C"/>
    <w:rsid w:val="004A0189"/>
    <w:rsid w:val="004A0218"/>
    <w:rsid w:val="004A05EB"/>
    <w:rsid w:val="004A0785"/>
    <w:rsid w:val="004A0D7D"/>
    <w:rsid w:val="004A0EC2"/>
    <w:rsid w:val="004A122F"/>
    <w:rsid w:val="004A1934"/>
    <w:rsid w:val="004A1DA1"/>
    <w:rsid w:val="004A1DFE"/>
    <w:rsid w:val="004A222B"/>
    <w:rsid w:val="004A27CE"/>
    <w:rsid w:val="004A2C38"/>
    <w:rsid w:val="004A2CBA"/>
    <w:rsid w:val="004A2E1E"/>
    <w:rsid w:val="004A3538"/>
    <w:rsid w:val="004A3620"/>
    <w:rsid w:val="004A36A2"/>
    <w:rsid w:val="004A3FFB"/>
    <w:rsid w:val="004A4558"/>
    <w:rsid w:val="004A49AE"/>
    <w:rsid w:val="004A4EB6"/>
    <w:rsid w:val="004A5259"/>
    <w:rsid w:val="004A5362"/>
    <w:rsid w:val="004A5433"/>
    <w:rsid w:val="004A569D"/>
    <w:rsid w:val="004A594B"/>
    <w:rsid w:val="004A5A39"/>
    <w:rsid w:val="004A60D0"/>
    <w:rsid w:val="004A6364"/>
    <w:rsid w:val="004A6474"/>
    <w:rsid w:val="004A668B"/>
    <w:rsid w:val="004A717C"/>
    <w:rsid w:val="004A71DB"/>
    <w:rsid w:val="004A7A5D"/>
    <w:rsid w:val="004A7B86"/>
    <w:rsid w:val="004A7F59"/>
    <w:rsid w:val="004B044E"/>
    <w:rsid w:val="004B0B0A"/>
    <w:rsid w:val="004B0DA5"/>
    <w:rsid w:val="004B1119"/>
    <w:rsid w:val="004B16C9"/>
    <w:rsid w:val="004B1783"/>
    <w:rsid w:val="004B1BAB"/>
    <w:rsid w:val="004B1D29"/>
    <w:rsid w:val="004B1FAB"/>
    <w:rsid w:val="004B1FDE"/>
    <w:rsid w:val="004B23F5"/>
    <w:rsid w:val="004B257B"/>
    <w:rsid w:val="004B26D8"/>
    <w:rsid w:val="004B283A"/>
    <w:rsid w:val="004B2DD3"/>
    <w:rsid w:val="004B3038"/>
    <w:rsid w:val="004B3335"/>
    <w:rsid w:val="004B335C"/>
    <w:rsid w:val="004B350B"/>
    <w:rsid w:val="004B382E"/>
    <w:rsid w:val="004B39CE"/>
    <w:rsid w:val="004B3A08"/>
    <w:rsid w:val="004B3A77"/>
    <w:rsid w:val="004B3B69"/>
    <w:rsid w:val="004B3CDC"/>
    <w:rsid w:val="004B3DA8"/>
    <w:rsid w:val="004B3E67"/>
    <w:rsid w:val="004B3F41"/>
    <w:rsid w:val="004B439D"/>
    <w:rsid w:val="004B457B"/>
    <w:rsid w:val="004B459A"/>
    <w:rsid w:val="004B4CF1"/>
    <w:rsid w:val="004B4E97"/>
    <w:rsid w:val="004B52AF"/>
    <w:rsid w:val="004B534F"/>
    <w:rsid w:val="004B55A0"/>
    <w:rsid w:val="004B593A"/>
    <w:rsid w:val="004B5A07"/>
    <w:rsid w:val="004B5B05"/>
    <w:rsid w:val="004B5E7A"/>
    <w:rsid w:val="004B5EA9"/>
    <w:rsid w:val="004B602D"/>
    <w:rsid w:val="004B60A8"/>
    <w:rsid w:val="004B61FD"/>
    <w:rsid w:val="004B667C"/>
    <w:rsid w:val="004B6A39"/>
    <w:rsid w:val="004B6F7D"/>
    <w:rsid w:val="004B7093"/>
    <w:rsid w:val="004B7519"/>
    <w:rsid w:val="004B773E"/>
    <w:rsid w:val="004B7BC2"/>
    <w:rsid w:val="004C031E"/>
    <w:rsid w:val="004C0A95"/>
    <w:rsid w:val="004C10C0"/>
    <w:rsid w:val="004C1114"/>
    <w:rsid w:val="004C1515"/>
    <w:rsid w:val="004C17E0"/>
    <w:rsid w:val="004C1825"/>
    <w:rsid w:val="004C1A68"/>
    <w:rsid w:val="004C2995"/>
    <w:rsid w:val="004C2A86"/>
    <w:rsid w:val="004C359D"/>
    <w:rsid w:val="004C35C1"/>
    <w:rsid w:val="004C36C6"/>
    <w:rsid w:val="004C3926"/>
    <w:rsid w:val="004C3E94"/>
    <w:rsid w:val="004C3F84"/>
    <w:rsid w:val="004C4419"/>
    <w:rsid w:val="004C48F6"/>
    <w:rsid w:val="004C49AE"/>
    <w:rsid w:val="004C4C3F"/>
    <w:rsid w:val="004C4D19"/>
    <w:rsid w:val="004C4F40"/>
    <w:rsid w:val="004C5272"/>
    <w:rsid w:val="004C557D"/>
    <w:rsid w:val="004C55A9"/>
    <w:rsid w:val="004C55C9"/>
    <w:rsid w:val="004C5AEB"/>
    <w:rsid w:val="004C606E"/>
    <w:rsid w:val="004C60A0"/>
    <w:rsid w:val="004C61E7"/>
    <w:rsid w:val="004C6ACB"/>
    <w:rsid w:val="004C6C64"/>
    <w:rsid w:val="004C6CCE"/>
    <w:rsid w:val="004C7189"/>
    <w:rsid w:val="004C73B3"/>
    <w:rsid w:val="004C73F1"/>
    <w:rsid w:val="004C743D"/>
    <w:rsid w:val="004C776A"/>
    <w:rsid w:val="004D0015"/>
    <w:rsid w:val="004D025A"/>
    <w:rsid w:val="004D09B6"/>
    <w:rsid w:val="004D10B3"/>
    <w:rsid w:val="004D1711"/>
    <w:rsid w:val="004D19CF"/>
    <w:rsid w:val="004D1AA0"/>
    <w:rsid w:val="004D1DE1"/>
    <w:rsid w:val="004D2023"/>
    <w:rsid w:val="004D2754"/>
    <w:rsid w:val="004D2895"/>
    <w:rsid w:val="004D2D18"/>
    <w:rsid w:val="004D2EEB"/>
    <w:rsid w:val="004D3029"/>
    <w:rsid w:val="004D357F"/>
    <w:rsid w:val="004D388C"/>
    <w:rsid w:val="004D3B6D"/>
    <w:rsid w:val="004D4A90"/>
    <w:rsid w:val="004D5761"/>
    <w:rsid w:val="004D586C"/>
    <w:rsid w:val="004D5B34"/>
    <w:rsid w:val="004D5C61"/>
    <w:rsid w:val="004D63E1"/>
    <w:rsid w:val="004D63E3"/>
    <w:rsid w:val="004D6423"/>
    <w:rsid w:val="004D72E4"/>
    <w:rsid w:val="004D7360"/>
    <w:rsid w:val="004D785B"/>
    <w:rsid w:val="004D7EE0"/>
    <w:rsid w:val="004D7FF1"/>
    <w:rsid w:val="004E0403"/>
    <w:rsid w:val="004E045D"/>
    <w:rsid w:val="004E0553"/>
    <w:rsid w:val="004E0674"/>
    <w:rsid w:val="004E0D35"/>
    <w:rsid w:val="004E0E59"/>
    <w:rsid w:val="004E0F3B"/>
    <w:rsid w:val="004E1433"/>
    <w:rsid w:val="004E14FF"/>
    <w:rsid w:val="004E1722"/>
    <w:rsid w:val="004E1768"/>
    <w:rsid w:val="004E1933"/>
    <w:rsid w:val="004E1975"/>
    <w:rsid w:val="004E1B04"/>
    <w:rsid w:val="004E1D46"/>
    <w:rsid w:val="004E2023"/>
    <w:rsid w:val="004E20C2"/>
    <w:rsid w:val="004E26C5"/>
    <w:rsid w:val="004E299F"/>
    <w:rsid w:val="004E2C77"/>
    <w:rsid w:val="004E305A"/>
    <w:rsid w:val="004E3288"/>
    <w:rsid w:val="004E334D"/>
    <w:rsid w:val="004E33C4"/>
    <w:rsid w:val="004E35B9"/>
    <w:rsid w:val="004E3746"/>
    <w:rsid w:val="004E376C"/>
    <w:rsid w:val="004E3D11"/>
    <w:rsid w:val="004E4BBA"/>
    <w:rsid w:val="004E4CCE"/>
    <w:rsid w:val="004E4E7A"/>
    <w:rsid w:val="004E4EA8"/>
    <w:rsid w:val="004E5645"/>
    <w:rsid w:val="004E5973"/>
    <w:rsid w:val="004E5A1D"/>
    <w:rsid w:val="004E5BD4"/>
    <w:rsid w:val="004E6184"/>
    <w:rsid w:val="004E6353"/>
    <w:rsid w:val="004E73DE"/>
    <w:rsid w:val="004E78C8"/>
    <w:rsid w:val="004E7C3A"/>
    <w:rsid w:val="004E7FAE"/>
    <w:rsid w:val="004E7FD6"/>
    <w:rsid w:val="004F0311"/>
    <w:rsid w:val="004F0623"/>
    <w:rsid w:val="004F09EB"/>
    <w:rsid w:val="004F0AF8"/>
    <w:rsid w:val="004F0F85"/>
    <w:rsid w:val="004F0F89"/>
    <w:rsid w:val="004F128D"/>
    <w:rsid w:val="004F16ED"/>
    <w:rsid w:val="004F1BDD"/>
    <w:rsid w:val="004F20C3"/>
    <w:rsid w:val="004F21D8"/>
    <w:rsid w:val="004F2355"/>
    <w:rsid w:val="004F25FA"/>
    <w:rsid w:val="004F2D46"/>
    <w:rsid w:val="004F2F7B"/>
    <w:rsid w:val="004F319E"/>
    <w:rsid w:val="004F3643"/>
    <w:rsid w:val="004F38F3"/>
    <w:rsid w:val="004F3D04"/>
    <w:rsid w:val="004F3D0D"/>
    <w:rsid w:val="004F3EA3"/>
    <w:rsid w:val="004F4064"/>
    <w:rsid w:val="004F4337"/>
    <w:rsid w:val="004F4420"/>
    <w:rsid w:val="004F4A41"/>
    <w:rsid w:val="004F4B6C"/>
    <w:rsid w:val="004F4F3E"/>
    <w:rsid w:val="004F50C2"/>
    <w:rsid w:val="004F52B0"/>
    <w:rsid w:val="004F5B3E"/>
    <w:rsid w:val="004F5E31"/>
    <w:rsid w:val="004F5EB1"/>
    <w:rsid w:val="004F63C9"/>
    <w:rsid w:val="004F6635"/>
    <w:rsid w:val="004F6DAD"/>
    <w:rsid w:val="004F6DE9"/>
    <w:rsid w:val="004F70A4"/>
    <w:rsid w:val="004F7734"/>
    <w:rsid w:val="004F788D"/>
    <w:rsid w:val="004F7B32"/>
    <w:rsid w:val="0050026E"/>
    <w:rsid w:val="00500ABB"/>
    <w:rsid w:val="00500B2B"/>
    <w:rsid w:val="00500CF8"/>
    <w:rsid w:val="00500D05"/>
    <w:rsid w:val="00500D6F"/>
    <w:rsid w:val="0050130A"/>
    <w:rsid w:val="0050146F"/>
    <w:rsid w:val="00501579"/>
    <w:rsid w:val="00501FC6"/>
    <w:rsid w:val="00502157"/>
    <w:rsid w:val="00502180"/>
    <w:rsid w:val="00502604"/>
    <w:rsid w:val="00502657"/>
    <w:rsid w:val="00502E66"/>
    <w:rsid w:val="0050378E"/>
    <w:rsid w:val="00503AD3"/>
    <w:rsid w:val="00503C10"/>
    <w:rsid w:val="00503F19"/>
    <w:rsid w:val="00504735"/>
    <w:rsid w:val="00504E44"/>
    <w:rsid w:val="005051FE"/>
    <w:rsid w:val="00505222"/>
    <w:rsid w:val="005054D1"/>
    <w:rsid w:val="00505790"/>
    <w:rsid w:val="005058F3"/>
    <w:rsid w:val="00505AE7"/>
    <w:rsid w:val="00505CA3"/>
    <w:rsid w:val="00505EF2"/>
    <w:rsid w:val="00505F67"/>
    <w:rsid w:val="005060AF"/>
    <w:rsid w:val="00506567"/>
    <w:rsid w:val="00506CCF"/>
    <w:rsid w:val="005070CE"/>
    <w:rsid w:val="0050743A"/>
    <w:rsid w:val="00507564"/>
    <w:rsid w:val="005079D8"/>
    <w:rsid w:val="00507AC7"/>
    <w:rsid w:val="00507E96"/>
    <w:rsid w:val="00507F82"/>
    <w:rsid w:val="00510307"/>
    <w:rsid w:val="00510654"/>
    <w:rsid w:val="005106E2"/>
    <w:rsid w:val="00510D59"/>
    <w:rsid w:val="00510DB8"/>
    <w:rsid w:val="00511242"/>
    <w:rsid w:val="005112A8"/>
    <w:rsid w:val="0051136D"/>
    <w:rsid w:val="00511883"/>
    <w:rsid w:val="00512631"/>
    <w:rsid w:val="00512E57"/>
    <w:rsid w:val="00513201"/>
    <w:rsid w:val="00513426"/>
    <w:rsid w:val="0051346B"/>
    <w:rsid w:val="00513CEE"/>
    <w:rsid w:val="0051421A"/>
    <w:rsid w:val="005143F0"/>
    <w:rsid w:val="0051452F"/>
    <w:rsid w:val="00514A87"/>
    <w:rsid w:val="00514A8E"/>
    <w:rsid w:val="00514C66"/>
    <w:rsid w:val="00514F0A"/>
    <w:rsid w:val="0051554C"/>
    <w:rsid w:val="00515585"/>
    <w:rsid w:val="00515809"/>
    <w:rsid w:val="00515918"/>
    <w:rsid w:val="00515F3B"/>
    <w:rsid w:val="00515F58"/>
    <w:rsid w:val="0051643E"/>
    <w:rsid w:val="00516452"/>
    <w:rsid w:val="0051691E"/>
    <w:rsid w:val="00516CCD"/>
    <w:rsid w:val="00516D18"/>
    <w:rsid w:val="0051708C"/>
    <w:rsid w:val="005171AB"/>
    <w:rsid w:val="00517690"/>
    <w:rsid w:val="00517F82"/>
    <w:rsid w:val="0052034D"/>
    <w:rsid w:val="00520484"/>
    <w:rsid w:val="00520839"/>
    <w:rsid w:val="00520BDB"/>
    <w:rsid w:val="00520D48"/>
    <w:rsid w:val="00520E78"/>
    <w:rsid w:val="005212E4"/>
    <w:rsid w:val="005216D2"/>
    <w:rsid w:val="00521748"/>
    <w:rsid w:val="00521956"/>
    <w:rsid w:val="00521F3F"/>
    <w:rsid w:val="00522208"/>
    <w:rsid w:val="00522355"/>
    <w:rsid w:val="005229EA"/>
    <w:rsid w:val="005236D6"/>
    <w:rsid w:val="00523810"/>
    <w:rsid w:val="0052484C"/>
    <w:rsid w:val="00524ABC"/>
    <w:rsid w:val="00524AD8"/>
    <w:rsid w:val="005250A8"/>
    <w:rsid w:val="00525C61"/>
    <w:rsid w:val="00525E75"/>
    <w:rsid w:val="005263E7"/>
    <w:rsid w:val="00526712"/>
    <w:rsid w:val="00526C3F"/>
    <w:rsid w:val="00526DE2"/>
    <w:rsid w:val="00526DF6"/>
    <w:rsid w:val="00526F01"/>
    <w:rsid w:val="00527476"/>
    <w:rsid w:val="00527642"/>
    <w:rsid w:val="0052779E"/>
    <w:rsid w:val="00527B5B"/>
    <w:rsid w:val="00527C79"/>
    <w:rsid w:val="0053060D"/>
    <w:rsid w:val="005306D7"/>
    <w:rsid w:val="005307C8"/>
    <w:rsid w:val="00530A2C"/>
    <w:rsid w:val="00531195"/>
    <w:rsid w:val="005313A7"/>
    <w:rsid w:val="0053140D"/>
    <w:rsid w:val="00531B2A"/>
    <w:rsid w:val="005320CF"/>
    <w:rsid w:val="00532A33"/>
    <w:rsid w:val="00532E4C"/>
    <w:rsid w:val="0053319F"/>
    <w:rsid w:val="005334E9"/>
    <w:rsid w:val="00533697"/>
    <w:rsid w:val="00533870"/>
    <w:rsid w:val="00533A6E"/>
    <w:rsid w:val="00533AFA"/>
    <w:rsid w:val="00533CE6"/>
    <w:rsid w:val="00533D45"/>
    <w:rsid w:val="005341F8"/>
    <w:rsid w:val="00534413"/>
    <w:rsid w:val="00534904"/>
    <w:rsid w:val="00534A44"/>
    <w:rsid w:val="00534AEC"/>
    <w:rsid w:val="00534BC4"/>
    <w:rsid w:val="00534C5E"/>
    <w:rsid w:val="005351E4"/>
    <w:rsid w:val="0053553A"/>
    <w:rsid w:val="0053582F"/>
    <w:rsid w:val="00535A65"/>
    <w:rsid w:val="00535D93"/>
    <w:rsid w:val="00535FF1"/>
    <w:rsid w:val="005364EF"/>
    <w:rsid w:val="005367F6"/>
    <w:rsid w:val="00536911"/>
    <w:rsid w:val="00536C03"/>
    <w:rsid w:val="00536DA9"/>
    <w:rsid w:val="0053709B"/>
    <w:rsid w:val="005370F2"/>
    <w:rsid w:val="005371D8"/>
    <w:rsid w:val="005371FE"/>
    <w:rsid w:val="005372C3"/>
    <w:rsid w:val="00537382"/>
    <w:rsid w:val="005375D9"/>
    <w:rsid w:val="0053777B"/>
    <w:rsid w:val="00537D3F"/>
    <w:rsid w:val="0054014D"/>
    <w:rsid w:val="00540201"/>
    <w:rsid w:val="005404BF"/>
    <w:rsid w:val="00540594"/>
    <w:rsid w:val="005408E2"/>
    <w:rsid w:val="00540BD7"/>
    <w:rsid w:val="00541090"/>
    <w:rsid w:val="00541285"/>
    <w:rsid w:val="0054130B"/>
    <w:rsid w:val="005415BD"/>
    <w:rsid w:val="00541726"/>
    <w:rsid w:val="005419D5"/>
    <w:rsid w:val="00541ABE"/>
    <w:rsid w:val="00541F49"/>
    <w:rsid w:val="005422BA"/>
    <w:rsid w:val="0054269A"/>
    <w:rsid w:val="00542837"/>
    <w:rsid w:val="005428A9"/>
    <w:rsid w:val="005428AF"/>
    <w:rsid w:val="00542EB1"/>
    <w:rsid w:val="00543610"/>
    <w:rsid w:val="00543A44"/>
    <w:rsid w:val="00543B15"/>
    <w:rsid w:val="00543D1D"/>
    <w:rsid w:val="00543DA3"/>
    <w:rsid w:val="0054417D"/>
    <w:rsid w:val="005442C4"/>
    <w:rsid w:val="00544674"/>
    <w:rsid w:val="00544779"/>
    <w:rsid w:val="005448A6"/>
    <w:rsid w:val="00544932"/>
    <w:rsid w:val="00544C57"/>
    <w:rsid w:val="00544F34"/>
    <w:rsid w:val="005450DB"/>
    <w:rsid w:val="00545158"/>
    <w:rsid w:val="00545270"/>
    <w:rsid w:val="00545374"/>
    <w:rsid w:val="0054579B"/>
    <w:rsid w:val="00545EBE"/>
    <w:rsid w:val="005461DC"/>
    <w:rsid w:val="0054696E"/>
    <w:rsid w:val="00546D0A"/>
    <w:rsid w:val="00546D1F"/>
    <w:rsid w:val="0054724D"/>
    <w:rsid w:val="00547449"/>
    <w:rsid w:val="00547478"/>
    <w:rsid w:val="00547774"/>
    <w:rsid w:val="0054787C"/>
    <w:rsid w:val="00547924"/>
    <w:rsid w:val="00547A59"/>
    <w:rsid w:val="00550331"/>
    <w:rsid w:val="005519E5"/>
    <w:rsid w:val="00551A0B"/>
    <w:rsid w:val="00551B01"/>
    <w:rsid w:val="00551D1C"/>
    <w:rsid w:val="00551F0A"/>
    <w:rsid w:val="005524DE"/>
    <w:rsid w:val="00552530"/>
    <w:rsid w:val="00552944"/>
    <w:rsid w:val="00552A9A"/>
    <w:rsid w:val="00552C2E"/>
    <w:rsid w:val="00552F5D"/>
    <w:rsid w:val="0055316A"/>
    <w:rsid w:val="00553867"/>
    <w:rsid w:val="00553977"/>
    <w:rsid w:val="00553B80"/>
    <w:rsid w:val="00553FFB"/>
    <w:rsid w:val="00554088"/>
    <w:rsid w:val="005543FD"/>
    <w:rsid w:val="005545CE"/>
    <w:rsid w:val="005546F3"/>
    <w:rsid w:val="00554C22"/>
    <w:rsid w:val="0055533B"/>
    <w:rsid w:val="0055576A"/>
    <w:rsid w:val="00555BB0"/>
    <w:rsid w:val="005563DD"/>
    <w:rsid w:val="005564AF"/>
    <w:rsid w:val="005566CE"/>
    <w:rsid w:val="00556861"/>
    <w:rsid w:val="00556C2C"/>
    <w:rsid w:val="00556D19"/>
    <w:rsid w:val="005578FC"/>
    <w:rsid w:val="00557A65"/>
    <w:rsid w:val="00557A89"/>
    <w:rsid w:val="00557B2D"/>
    <w:rsid w:val="00557E9D"/>
    <w:rsid w:val="00560458"/>
    <w:rsid w:val="00560519"/>
    <w:rsid w:val="0056058B"/>
    <w:rsid w:val="0056072E"/>
    <w:rsid w:val="00560819"/>
    <w:rsid w:val="00560AB9"/>
    <w:rsid w:val="00561206"/>
    <w:rsid w:val="0056124A"/>
    <w:rsid w:val="00561415"/>
    <w:rsid w:val="0056193E"/>
    <w:rsid w:val="00561D47"/>
    <w:rsid w:val="00562901"/>
    <w:rsid w:val="00562C79"/>
    <w:rsid w:val="00562D0F"/>
    <w:rsid w:val="00563088"/>
    <w:rsid w:val="005630FA"/>
    <w:rsid w:val="005633F7"/>
    <w:rsid w:val="005635CB"/>
    <w:rsid w:val="00563A87"/>
    <w:rsid w:val="0056407A"/>
    <w:rsid w:val="0056413F"/>
    <w:rsid w:val="00564507"/>
    <w:rsid w:val="00564B8B"/>
    <w:rsid w:val="005651B2"/>
    <w:rsid w:val="005659D2"/>
    <w:rsid w:val="00565AAE"/>
    <w:rsid w:val="00565D2D"/>
    <w:rsid w:val="0056604D"/>
    <w:rsid w:val="00566A3B"/>
    <w:rsid w:val="00566CC5"/>
    <w:rsid w:val="00566E75"/>
    <w:rsid w:val="00567301"/>
    <w:rsid w:val="00567581"/>
    <w:rsid w:val="00567985"/>
    <w:rsid w:val="00567AAA"/>
    <w:rsid w:val="00567AD0"/>
    <w:rsid w:val="00567B64"/>
    <w:rsid w:val="00567C19"/>
    <w:rsid w:val="00570348"/>
    <w:rsid w:val="005703DE"/>
    <w:rsid w:val="00570700"/>
    <w:rsid w:val="00570D01"/>
    <w:rsid w:val="00570E24"/>
    <w:rsid w:val="00570EF6"/>
    <w:rsid w:val="005711B7"/>
    <w:rsid w:val="00571843"/>
    <w:rsid w:val="005719D1"/>
    <w:rsid w:val="00571A09"/>
    <w:rsid w:val="00571F2D"/>
    <w:rsid w:val="00571F45"/>
    <w:rsid w:val="00572002"/>
    <w:rsid w:val="005720E3"/>
    <w:rsid w:val="005721EA"/>
    <w:rsid w:val="0057228D"/>
    <w:rsid w:val="00572476"/>
    <w:rsid w:val="005724C3"/>
    <w:rsid w:val="0057269B"/>
    <w:rsid w:val="00572733"/>
    <w:rsid w:val="00572752"/>
    <w:rsid w:val="00572AF1"/>
    <w:rsid w:val="00573A2E"/>
    <w:rsid w:val="00573E1B"/>
    <w:rsid w:val="00574254"/>
    <w:rsid w:val="00574425"/>
    <w:rsid w:val="00574678"/>
    <w:rsid w:val="00574B5C"/>
    <w:rsid w:val="00574B67"/>
    <w:rsid w:val="00574D90"/>
    <w:rsid w:val="00574DB8"/>
    <w:rsid w:val="00574E4B"/>
    <w:rsid w:val="00574F05"/>
    <w:rsid w:val="005753FC"/>
    <w:rsid w:val="0057550F"/>
    <w:rsid w:val="00575522"/>
    <w:rsid w:val="00575C04"/>
    <w:rsid w:val="00575E1B"/>
    <w:rsid w:val="005761D0"/>
    <w:rsid w:val="005767F9"/>
    <w:rsid w:val="00577508"/>
    <w:rsid w:val="005779FF"/>
    <w:rsid w:val="00580105"/>
    <w:rsid w:val="005806BC"/>
    <w:rsid w:val="00580A5A"/>
    <w:rsid w:val="00580D63"/>
    <w:rsid w:val="00580F56"/>
    <w:rsid w:val="005814B3"/>
    <w:rsid w:val="00581514"/>
    <w:rsid w:val="005817DE"/>
    <w:rsid w:val="00581EF8"/>
    <w:rsid w:val="00582176"/>
    <w:rsid w:val="00582500"/>
    <w:rsid w:val="005825C2"/>
    <w:rsid w:val="0058268A"/>
    <w:rsid w:val="00582731"/>
    <w:rsid w:val="00582972"/>
    <w:rsid w:val="00582B37"/>
    <w:rsid w:val="00582CA9"/>
    <w:rsid w:val="00582E61"/>
    <w:rsid w:val="00582F77"/>
    <w:rsid w:val="00583AA0"/>
    <w:rsid w:val="00583D08"/>
    <w:rsid w:val="00583D98"/>
    <w:rsid w:val="00583EF9"/>
    <w:rsid w:val="00584197"/>
    <w:rsid w:val="00584200"/>
    <w:rsid w:val="00584345"/>
    <w:rsid w:val="005844BE"/>
    <w:rsid w:val="0058460B"/>
    <w:rsid w:val="00584900"/>
    <w:rsid w:val="00584C16"/>
    <w:rsid w:val="0058509F"/>
    <w:rsid w:val="00585EDD"/>
    <w:rsid w:val="00586990"/>
    <w:rsid w:val="00586D90"/>
    <w:rsid w:val="00586E47"/>
    <w:rsid w:val="00586E8A"/>
    <w:rsid w:val="0058712B"/>
    <w:rsid w:val="00587495"/>
    <w:rsid w:val="005874E0"/>
    <w:rsid w:val="005875F8"/>
    <w:rsid w:val="00587906"/>
    <w:rsid w:val="00587AE8"/>
    <w:rsid w:val="00587BEB"/>
    <w:rsid w:val="00587E70"/>
    <w:rsid w:val="00587F2E"/>
    <w:rsid w:val="00587FB2"/>
    <w:rsid w:val="00587FCC"/>
    <w:rsid w:val="00590241"/>
    <w:rsid w:val="00590540"/>
    <w:rsid w:val="00590A24"/>
    <w:rsid w:val="00591138"/>
    <w:rsid w:val="0059160E"/>
    <w:rsid w:val="00592301"/>
    <w:rsid w:val="005923ED"/>
    <w:rsid w:val="00592407"/>
    <w:rsid w:val="005924F2"/>
    <w:rsid w:val="005929E0"/>
    <w:rsid w:val="00593035"/>
    <w:rsid w:val="005930E2"/>
    <w:rsid w:val="00593440"/>
    <w:rsid w:val="0059354F"/>
    <w:rsid w:val="00593752"/>
    <w:rsid w:val="00593D1B"/>
    <w:rsid w:val="00593F71"/>
    <w:rsid w:val="005942DE"/>
    <w:rsid w:val="00594567"/>
    <w:rsid w:val="005945F0"/>
    <w:rsid w:val="005949C4"/>
    <w:rsid w:val="00594C0B"/>
    <w:rsid w:val="0059583E"/>
    <w:rsid w:val="00595A14"/>
    <w:rsid w:val="00595D43"/>
    <w:rsid w:val="00595F21"/>
    <w:rsid w:val="00596288"/>
    <w:rsid w:val="00596431"/>
    <w:rsid w:val="005965F9"/>
    <w:rsid w:val="00596CB4"/>
    <w:rsid w:val="00596DEF"/>
    <w:rsid w:val="00596F94"/>
    <w:rsid w:val="00596FFB"/>
    <w:rsid w:val="0059713D"/>
    <w:rsid w:val="005975C8"/>
    <w:rsid w:val="00597775"/>
    <w:rsid w:val="005979AB"/>
    <w:rsid w:val="00597C16"/>
    <w:rsid w:val="00597C48"/>
    <w:rsid w:val="00597FBE"/>
    <w:rsid w:val="005A006B"/>
    <w:rsid w:val="005A0464"/>
    <w:rsid w:val="005A0560"/>
    <w:rsid w:val="005A062B"/>
    <w:rsid w:val="005A0667"/>
    <w:rsid w:val="005A0AC6"/>
    <w:rsid w:val="005A0BEA"/>
    <w:rsid w:val="005A10AA"/>
    <w:rsid w:val="005A11BB"/>
    <w:rsid w:val="005A17A0"/>
    <w:rsid w:val="005A17E6"/>
    <w:rsid w:val="005A1FD4"/>
    <w:rsid w:val="005A22CB"/>
    <w:rsid w:val="005A28CD"/>
    <w:rsid w:val="005A292A"/>
    <w:rsid w:val="005A2F31"/>
    <w:rsid w:val="005A31E8"/>
    <w:rsid w:val="005A3232"/>
    <w:rsid w:val="005A34D1"/>
    <w:rsid w:val="005A3722"/>
    <w:rsid w:val="005A39CF"/>
    <w:rsid w:val="005A3C28"/>
    <w:rsid w:val="005A3C62"/>
    <w:rsid w:val="005A3E19"/>
    <w:rsid w:val="005A4525"/>
    <w:rsid w:val="005A4738"/>
    <w:rsid w:val="005A4896"/>
    <w:rsid w:val="005A4A44"/>
    <w:rsid w:val="005A53BC"/>
    <w:rsid w:val="005A5446"/>
    <w:rsid w:val="005A5729"/>
    <w:rsid w:val="005A5837"/>
    <w:rsid w:val="005A5C3A"/>
    <w:rsid w:val="005A5D85"/>
    <w:rsid w:val="005A5F45"/>
    <w:rsid w:val="005A657E"/>
    <w:rsid w:val="005A6C30"/>
    <w:rsid w:val="005A7950"/>
    <w:rsid w:val="005A79BD"/>
    <w:rsid w:val="005B03D1"/>
    <w:rsid w:val="005B0778"/>
    <w:rsid w:val="005B077B"/>
    <w:rsid w:val="005B082B"/>
    <w:rsid w:val="005B108B"/>
    <w:rsid w:val="005B127D"/>
    <w:rsid w:val="005B1437"/>
    <w:rsid w:val="005B1AE0"/>
    <w:rsid w:val="005B1D22"/>
    <w:rsid w:val="005B1E56"/>
    <w:rsid w:val="005B21BA"/>
    <w:rsid w:val="005B2651"/>
    <w:rsid w:val="005B2B3B"/>
    <w:rsid w:val="005B2E62"/>
    <w:rsid w:val="005B306C"/>
    <w:rsid w:val="005B3213"/>
    <w:rsid w:val="005B34B9"/>
    <w:rsid w:val="005B3618"/>
    <w:rsid w:val="005B38DE"/>
    <w:rsid w:val="005B3FDA"/>
    <w:rsid w:val="005B4165"/>
    <w:rsid w:val="005B421A"/>
    <w:rsid w:val="005B44BD"/>
    <w:rsid w:val="005B4A18"/>
    <w:rsid w:val="005B5782"/>
    <w:rsid w:val="005B58C9"/>
    <w:rsid w:val="005B5F9E"/>
    <w:rsid w:val="005B6093"/>
    <w:rsid w:val="005B62B8"/>
    <w:rsid w:val="005B656F"/>
    <w:rsid w:val="005B69B1"/>
    <w:rsid w:val="005B6D12"/>
    <w:rsid w:val="005B6D17"/>
    <w:rsid w:val="005B7191"/>
    <w:rsid w:val="005B7440"/>
    <w:rsid w:val="005B750D"/>
    <w:rsid w:val="005B7602"/>
    <w:rsid w:val="005B7731"/>
    <w:rsid w:val="005B7AC7"/>
    <w:rsid w:val="005B7D38"/>
    <w:rsid w:val="005B7D4D"/>
    <w:rsid w:val="005C026B"/>
    <w:rsid w:val="005C0543"/>
    <w:rsid w:val="005C0846"/>
    <w:rsid w:val="005C1482"/>
    <w:rsid w:val="005C1832"/>
    <w:rsid w:val="005C193C"/>
    <w:rsid w:val="005C1A6A"/>
    <w:rsid w:val="005C1B2D"/>
    <w:rsid w:val="005C1EAE"/>
    <w:rsid w:val="005C2539"/>
    <w:rsid w:val="005C2575"/>
    <w:rsid w:val="005C2D54"/>
    <w:rsid w:val="005C2D6A"/>
    <w:rsid w:val="005C2DFD"/>
    <w:rsid w:val="005C3251"/>
    <w:rsid w:val="005C3704"/>
    <w:rsid w:val="005C3830"/>
    <w:rsid w:val="005C39A8"/>
    <w:rsid w:val="005C3A18"/>
    <w:rsid w:val="005C3ECF"/>
    <w:rsid w:val="005C4099"/>
    <w:rsid w:val="005C4757"/>
    <w:rsid w:val="005C4874"/>
    <w:rsid w:val="005C4A3E"/>
    <w:rsid w:val="005C4BFB"/>
    <w:rsid w:val="005C4C6C"/>
    <w:rsid w:val="005C4E82"/>
    <w:rsid w:val="005C5195"/>
    <w:rsid w:val="005C52AA"/>
    <w:rsid w:val="005C546C"/>
    <w:rsid w:val="005C5493"/>
    <w:rsid w:val="005C54C5"/>
    <w:rsid w:val="005C5538"/>
    <w:rsid w:val="005C5A95"/>
    <w:rsid w:val="005C5B5F"/>
    <w:rsid w:val="005C5D47"/>
    <w:rsid w:val="005C5E2B"/>
    <w:rsid w:val="005C5E8E"/>
    <w:rsid w:val="005C5FAA"/>
    <w:rsid w:val="005C61D0"/>
    <w:rsid w:val="005C68AA"/>
    <w:rsid w:val="005C6901"/>
    <w:rsid w:val="005C6FD7"/>
    <w:rsid w:val="005C7194"/>
    <w:rsid w:val="005C71A1"/>
    <w:rsid w:val="005C7350"/>
    <w:rsid w:val="005C73C7"/>
    <w:rsid w:val="005C74AA"/>
    <w:rsid w:val="005C7C77"/>
    <w:rsid w:val="005D01EC"/>
    <w:rsid w:val="005D0471"/>
    <w:rsid w:val="005D1080"/>
    <w:rsid w:val="005D172A"/>
    <w:rsid w:val="005D203F"/>
    <w:rsid w:val="005D235A"/>
    <w:rsid w:val="005D2367"/>
    <w:rsid w:val="005D2744"/>
    <w:rsid w:val="005D294B"/>
    <w:rsid w:val="005D3134"/>
    <w:rsid w:val="005D33FA"/>
    <w:rsid w:val="005D3A56"/>
    <w:rsid w:val="005D3BAF"/>
    <w:rsid w:val="005D424F"/>
    <w:rsid w:val="005D4712"/>
    <w:rsid w:val="005D4C97"/>
    <w:rsid w:val="005D4CC3"/>
    <w:rsid w:val="005D5000"/>
    <w:rsid w:val="005D5031"/>
    <w:rsid w:val="005D541C"/>
    <w:rsid w:val="005D55E7"/>
    <w:rsid w:val="005D5872"/>
    <w:rsid w:val="005D5A68"/>
    <w:rsid w:val="005D5BF5"/>
    <w:rsid w:val="005D6EA4"/>
    <w:rsid w:val="005D72B0"/>
    <w:rsid w:val="005D76BB"/>
    <w:rsid w:val="005D7D6E"/>
    <w:rsid w:val="005E07FF"/>
    <w:rsid w:val="005E0B68"/>
    <w:rsid w:val="005E0BFB"/>
    <w:rsid w:val="005E0CA0"/>
    <w:rsid w:val="005E0F0B"/>
    <w:rsid w:val="005E0FDE"/>
    <w:rsid w:val="005E1120"/>
    <w:rsid w:val="005E2E32"/>
    <w:rsid w:val="005E30EB"/>
    <w:rsid w:val="005E310E"/>
    <w:rsid w:val="005E349D"/>
    <w:rsid w:val="005E36AE"/>
    <w:rsid w:val="005E3A50"/>
    <w:rsid w:val="005E3E37"/>
    <w:rsid w:val="005E40C1"/>
    <w:rsid w:val="005E44B3"/>
    <w:rsid w:val="005E491D"/>
    <w:rsid w:val="005E4A7E"/>
    <w:rsid w:val="005E4AEF"/>
    <w:rsid w:val="005E51E6"/>
    <w:rsid w:val="005E5535"/>
    <w:rsid w:val="005E59A7"/>
    <w:rsid w:val="005E5BAE"/>
    <w:rsid w:val="005E5E20"/>
    <w:rsid w:val="005E5F3C"/>
    <w:rsid w:val="005E665B"/>
    <w:rsid w:val="005E6FB1"/>
    <w:rsid w:val="005E75B0"/>
    <w:rsid w:val="005E7C89"/>
    <w:rsid w:val="005F00AF"/>
    <w:rsid w:val="005F07BA"/>
    <w:rsid w:val="005F086D"/>
    <w:rsid w:val="005F0C00"/>
    <w:rsid w:val="005F0E1E"/>
    <w:rsid w:val="005F117C"/>
    <w:rsid w:val="005F1A64"/>
    <w:rsid w:val="005F1AE6"/>
    <w:rsid w:val="005F1BC0"/>
    <w:rsid w:val="005F1DC9"/>
    <w:rsid w:val="005F1F09"/>
    <w:rsid w:val="005F2227"/>
    <w:rsid w:val="005F22AC"/>
    <w:rsid w:val="005F2C71"/>
    <w:rsid w:val="005F2F6E"/>
    <w:rsid w:val="005F33EE"/>
    <w:rsid w:val="005F3911"/>
    <w:rsid w:val="005F3969"/>
    <w:rsid w:val="005F3CF1"/>
    <w:rsid w:val="005F3D77"/>
    <w:rsid w:val="005F4717"/>
    <w:rsid w:val="005F4824"/>
    <w:rsid w:val="005F4C9D"/>
    <w:rsid w:val="005F5741"/>
    <w:rsid w:val="005F5AA8"/>
    <w:rsid w:val="005F676E"/>
    <w:rsid w:val="005F6867"/>
    <w:rsid w:val="005F69B9"/>
    <w:rsid w:val="005F74DB"/>
    <w:rsid w:val="005F752E"/>
    <w:rsid w:val="005F77D2"/>
    <w:rsid w:val="005F77E5"/>
    <w:rsid w:val="005F7AF5"/>
    <w:rsid w:val="00600278"/>
    <w:rsid w:val="006002EA"/>
    <w:rsid w:val="006005C7"/>
    <w:rsid w:val="00600F1A"/>
    <w:rsid w:val="00600F32"/>
    <w:rsid w:val="00601018"/>
    <w:rsid w:val="00601076"/>
    <w:rsid w:val="0060107B"/>
    <w:rsid w:val="0060118C"/>
    <w:rsid w:val="00601238"/>
    <w:rsid w:val="0060150E"/>
    <w:rsid w:val="0060184D"/>
    <w:rsid w:val="00601B76"/>
    <w:rsid w:val="00601CF5"/>
    <w:rsid w:val="00601D33"/>
    <w:rsid w:val="00602137"/>
    <w:rsid w:val="00602235"/>
    <w:rsid w:val="00602875"/>
    <w:rsid w:val="006028A7"/>
    <w:rsid w:val="0060297F"/>
    <w:rsid w:val="006029E9"/>
    <w:rsid w:val="00602A89"/>
    <w:rsid w:val="00602B7D"/>
    <w:rsid w:val="006031FA"/>
    <w:rsid w:val="0060332F"/>
    <w:rsid w:val="006035DD"/>
    <w:rsid w:val="00603899"/>
    <w:rsid w:val="00603B48"/>
    <w:rsid w:val="00604817"/>
    <w:rsid w:val="00604940"/>
    <w:rsid w:val="00604AD3"/>
    <w:rsid w:val="00604C29"/>
    <w:rsid w:val="00604F18"/>
    <w:rsid w:val="006054A4"/>
    <w:rsid w:val="00605790"/>
    <w:rsid w:val="006059C0"/>
    <w:rsid w:val="00605B42"/>
    <w:rsid w:val="00605D79"/>
    <w:rsid w:val="00605EEC"/>
    <w:rsid w:val="00605F99"/>
    <w:rsid w:val="006060E0"/>
    <w:rsid w:val="00606584"/>
    <w:rsid w:val="006065D8"/>
    <w:rsid w:val="0060696F"/>
    <w:rsid w:val="0060697A"/>
    <w:rsid w:val="00606B4F"/>
    <w:rsid w:val="00606C05"/>
    <w:rsid w:val="00606C35"/>
    <w:rsid w:val="00606CEB"/>
    <w:rsid w:val="00606D4B"/>
    <w:rsid w:val="00607262"/>
    <w:rsid w:val="00607310"/>
    <w:rsid w:val="00607420"/>
    <w:rsid w:val="0060747B"/>
    <w:rsid w:val="006075CF"/>
    <w:rsid w:val="0060762B"/>
    <w:rsid w:val="00607935"/>
    <w:rsid w:val="00607A12"/>
    <w:rsid w:val="006101A0"/>
    <w:rsid w:val="006106E4"/>
    <w:rsid w:val="0061080A"/>
    <w:rsid w:val="00610828"/>
    <w:rsid w:val="00610853"/>
    <w:rsid w:val="00610963"/>
    <w:rsid w:val="00610C52"/>
    <w:rsid w:val="00610F03"/>
    <w:rsid w:val="00610FA7"/>
    <w:rsid w:val="00610FFE"/>
    <w:rsid w:val="00611799"/>
    <w:rsid w:val="006117FA"/>
    <w:rsid w:val="00612638"/>
    <w:rsid w:val="00612BA9"/>
    <w:rsid w:val="00612FEE"/>
    <w:rsid w:val="00613249"/>
    <w:rsid w:val="0061362D"/>
    <w:rsid w:val="00613650"/>
    <w:rsid w:val="0061382E"/>
    <w:rsid w:val="0061387C"/>
    <w:rsid w:val="0061392D"/>
    <w:rsid w:val="0061396E"/>
    <w:rsid w:val="00613AF9"/>
    <w:rsid w:val="00613C82"/>
    <w:rsid w:val="00613D78"/>
    <w:rsid w:val="00614167"/>
    <w:rsid w:val="006144D2"/>
    <w:rsid w:val="00614628"/>
    <w:rsid w:val="00614FE2"/>
    <w:rsid w:val="006150CA"/>
    <w:rsid w:val="006152CE"/>
    <w:rsid w:val="006153A0"/>
    <w:rsid w:val="006154F6"/>
    <w:rsid w:val="00615D67"/>
    <w:rsid w:val="00615F33"/>
    <w:rsid w:val="00615F4E"/>
    <w:rsid w:val="006161E0"/>
    <w:rsid w:val="0061648C"/>
    <w:rsid w:val="0061666E"/>
    <w:rsid w:val="0061701F"/>
    <w:rsid w:val="00617181"/>
    <w:rsid w:val="006171C5"/>
    <w:rsid w:val="006174CC"/>
    <w:rsid w:val="006174D0"/>
    <w:rsid w:val="00617D39"/>
    <w:rsid w:val="00617E86"/>
    <w:rsid w:val="006202FD"/>
    <w:rsid w:val="0062034B"/>
    <w:rsid w:val="00620789"/>
    <w:rsid w:val="006208FD"/>
    <w:rsid w:val="00620BEF"/>
    <w:rsid w:val="00620D3A"/>
    <w:rsid w:val="00620DFC"/>
    <w:rsid w:val="0062166B"/>
    <w:rsid w:val="006217BE"/>
    <w:rsid w:val="00621C4E"/>
    <w:rsid w:val="00621C96"/>
    <w:rsid w:val="006222B4"/>
    <w:rsid w:val="00622675"/>
    <w:rsid w:val="006226C3"/>
    <w:rsid w:val="006228A6"/>
    <w:rsid w:val="00622B4D"/>
    <w:rsid w:val="00622EEA"/>
    <w:rsid w:val="00622F21"/>
    <w:rsid w:val="006233C4"/>
    <w:rsid w:val="006236D2"/>
    <w:rsid w:val="00623929"/>
    <w:rsid w:val="00623FF3"/>
    <w:rsid w:val="00624767"/>
    <w:rsid w:val="00624794"/>
    <w:rsid w:val="00624868"/>
    <w:rsid w:val="0062492E"/>
    <w:rsid w:val="00624D9A"/>
    <w:rsid w:val="00624E1D"/>
    <w:rsid w:val="00625343"/>
    <w:rsid w:val="00625375"/>
    <w:rsid w:val="00625716"/>
    <w:rsid w:val="00625FB1"/>
    <w:rsid w:val="0062630B"/>
    <w:rsid w:val="006264E1"/>
    <w:rsid w:val="006265F9"/>
    <w:rsid w:val="00626B04"/>
    <w:rsid w:val="00626E9B"/>
    <w:rsid w:val="0062730E"/>
    <w:rsid w:val="00627341"/>
    <w:rsid w:val="00627418"/>
    <w:rsid w:val="00627778"/>
    <w:rsid w:val="006278C5"/>
    <w:rsid w:val="006279C2"/>
    <w:rsid w:val="00627D20"/>
    <w:rsid w:val="00627F4D"/>
    <w:rsid w:val="00630248"/>
    <w:rsid w:val="006304D7"/>
    <w:rsid w:val="00630951"/>
    <w:rsid w:val="00630ABF"/>
    <w:rsid w:val="00630AC2"/>
    <w:rsid w:val="00630D54"/>
    <w:rsid w:val="0063103A"/>
    <w:rsid w:val="0063119C"/>
    <w:rsid w:val="00631499"/>
    <w:rsid w:val="00631996"/>
    <w:rsid w:val="00631CDE"/>
    <w:rsid w:val="00631F98"/>
    <w:rsid w:val="0063265E"/>
    <w:rsid w:val="006327E3"/>
    <w:rsid w:val="006329EC"/>
    <w:rsid w:val="00632A27"/>
    <w:rsid w:val="00632D35"/>
    <w:rsid w:val="00632DFF"/>
    <w:rsid w:val="00633008"/>
    <w:rsid w:val="00633280"/>
    <w:rsid w:val="006334FF"/>
    <w:rsid w:val="006336CD"/>
    <w:rsid w:val="006336DE"/>
    <w:rsid w:val="00633B17"/>
    <w:rsid w:val="00633FDC"/>
    <w:rsid w:val="00634149"/>
    <w:rsid w:val="00634418"/>
    <w:rsid w:val="00634EB9"/>
    <w:rsid w:val="0063524E"/>
    <w:rsid w:val="00635265"/>
    <w:rsid w:val="0063526C"/>
    <w:rsid w:val="00635334"/>
    <w:rsid w:val="006354EC"/>
    <w:rsid w:val="00635522"/>
    <w:rsid w:val="006357C5"/>
    <w:rsid w:val="0063591A"/>
    <w:rsid w:val="00635AC4"/>
    <w:rsid w:val="00635ADA"/>
    <w:rsid w:val="00635AEB"/>
    <w:rsid w:val="00635E18"/>
    <w:rsid w:val="0063623F"/>
    <w:rsid w:val="006362E1"/>
    <w:rsid w:val="00636B43"/>
    <w:rsid w:val="006370B4"/>
    <w:rsid w:val="00637233"/>
    <w:rsid w:val="00637266"/>
    <w:rsid w:val="00637297"/>
    <w:rsid w:val="00637770"/>
    <w:rsid w:val="006377C3"/>
    <w:rsid w:val="006407B8"/>
    <w:rsid w:val="0064087D"/>
    <w:rsid w:val="0064091C"/>
    <w:rsid w:val="0064099D"/>
    <w:rsid w:val="00640F34"/>
    <w:rsid w:val="006410BF"/>
    <w:rsid w:val="00641347"/>
    <w:rsid w:val="00641911"/>
    <w:rsid w:val="00641968"/>
    <w:rsid w:val="00641D81"/>
    <w:rsid w:val="00641FE9"/>
    <w:rsid w:val="00642216"/>
    <w:rsid w:val="00642812"/>
    <w:rsid w:val="00642A7B"/>
    <w:rsid w:val="00643200"/>
    <w:rsid w:val="006432FB"/>
    <w:rsid w:val="00643592"/>
    <w:rsid w:val="006436C2"/>
    <w:rsid w:val="0064374E"/>
    <w:rsid w:val="00643819"/>
    <w:rsid w:val="00643A8D"/>
    <w:rsid w:val="00643D09"/>
    <w:rsid w:val="00644332"/>
    <w:rsid w:val="0064443A"/>
    <w:rsid w:val="00644450"/>
    <w:rsid w:val="0064448B"/>
    <w:rsid w:val="00644DE5"/>
    <w:rsid w:val="0064578D"/>
    <w:rsid w:val="00645F98"/>
    <w:rsid w:val="00645FB7"/>
    <w:rsid w:val="00646A3B"/>
    <w:rsid w:val="00646F70"/>
    <w:rsid w:val="0064737F"/>
    <w:rsid w:val="00647675"/>
    <w:rsid w:val="00647692"/>
    <w:rsid w:val="00647CFD"/>
    <w:rsid w:val="00647D20"/>
    <w:rsid w:val="00647DBB"/>
    <w:rsid w:val="00650560"/>
    <w:rsid w:val="006509C7"/>
    <w:rsid w:val="00650DB7"/>
    <w:rsid w:val="00650F8A"/>
    <w:rsid w:val="00651283"/>
    <w:rsid w:val="00651AA7"/>
    <w:rsid w:val="00651BB3"/>
    <w:rsid w:val="00651EC6"/>
    <w:rsid w:val="006520F7"/>
    <w:rsid w:val="0065240C"/>
    <w:rsid w:val="00652666"/>
    <w:rsid w:val="00652744"/>
    <w:rsid w:val="00652796"/>
    <w:rsid w:val="00652870"/>
    <w:rsid w:val="00652AE0"/>
    <w:rsid w:val="00652D33"/>
    <w:rsid w:val="00652E8A"/>
    <w:rsid w:val="00652FE2"/>
    <w:rsid w:val="0065358D"/>
    <w:rsid w:val="00653A42"/>
    <w:rsid w:val="00653C49"/>
    <w:rsid w:val="00653C8D"/>
    <w:rsid w:val="00654069"/>
    <w:rsid w:val="0065409B"/>
    <w:rsid w:val="006540E9"/>
    <w:rsid w:val="00654131"/>
    <w:rsid w:val="006542C5"/>
    <w:rsid w:val="00654696"/>
    <w:rsid w:val="00654993"/>
    <w:rsid w:val="00654A6E"/>
    <w:rsid w:val="00654B3D"/>
    <w:rsid w:val="00655615"/>
    <w:rsid w:val="00655A6A"/>
    <w:rsid w:val="00655AE4"/>
    <w:rsid w:val="00655D9E"/>
    <w:rsid w:val="00655DE4"/>
    <w:rsid w:val="006562EE"/>
    <w:rsid w:val="0065633A"/>
    <w:rsid w:val="00656458"/>
    <w:rsid w:val="00656E0C"/>
    <w:rsid w:val="006573D2"/>
    <w:rsid w:val="006575FE"/>
    <w:rsid w:val="006576B2"/>
    <w:rsid w:val="00657863"/>
    <w:rsid w:val="00657A0F"/>
    <w:rsid w:val="00657F72"/>
    <w:rsid w:val="006600CE"/>
    <w:rsid w:val="00660A7D"/>
    <w:rsid w:val="00660AB2"/>
    <w:rsid w:val="00661389"/>
    <w:rsid w:val="00661661"/>
    <w:rsid w:val="00661806"/>
    <w:rsid w:val="006619AF"/>
    <w:rsid w:val="00661A84"/>
    <w:rsid w:val="00661BC1"/>
    <w:rsid w:val="00661C8C"/>
    <w:rsid w:val="00661E83"/>
    <w:rsid w:val="00661EE3"/>
    <w:rsid w:val="006622A6"/>
    <w:rsid w:val="006622E5"/>
    <w:rsid w:val="00662655"/>
    <w:rsid w:val="006628C2"/>
    <w:rsid w:val="006628DE"/>
    <w:rsid w:val="00662A04"/>
    <w:rsid w:val="00662A3E"/>
    <w:rsid w:val="00662D71"/>
    <w:rsid w:val="00662DCA"/>
    <w:rsid w:val="00663042"/>
    <w:rsid w:val="006632FA"/>
    <w:rsid w:val="00663633"/>
    <w:rsid w:val="0066379B"/>
    <w:rsid w:val="00663930"/>
    <w:rsid w:val="00663B05"/>
    <w:rsid w:val="00663C45"/>
    <w:rsid w:val="00663CAC"/>
    <w:rsid w:val="0066428F"/>
    <w:rsid w:val="006642D6"/>
    <w:rsid w:val="006643C1"/>
    <w:rsid w:val="00664408"/>
    <w:rsid w:val="0066442E"/>
    <w:rsid w:val="00664450"/>
    <w:rsid w:val="006646D7"/>
    <w:rsid w:val="006648B8"/>
    <w:rsid w:val="006651E0"/>
    <w:rsid w:val="00665607"/>
    <w:rsid w:val="00665764"/>
    <w:rsid w:val="00665AF9"/>
    <w:rsid w:val="00666091"/>
    <w:rsid w:val="006662F2"/>
    <w:rsid w:val="00666695"/>
    <w:rsid w:val="00666C13"/>
    <w:rsid w:val="00666FBC"/>
    <w:rsid w:val="00667046"/>
    <w:rsid w:val="00667058"/>
    <w:rsid w:val="006671DF"/>
    <w:rsid w:val="00667603"/>
    <w:rsid w:val="00667731"/>
    <w:rsid w:val="00667732"/>
    <w:rsid w:val="0066779E"/>
    <w:rsid w:val="00667802"/>
    <w:rsid w:val="006678F5"/>
    <w:rsid w:val="00667C70"/>
    <w:rsid w:val="00667E47"/>
    <w:rsid w:val="0067008E"/>
    <w:rsid w:val="00670097"/>
    <w:rsid w:val="0067088F"/>
    <w:rsid w:val="00670A3F"/>
    <w:rsid w:val="00670D9A"/>
    <w:rsid w:val="00671012"/>
    <w:rsid w:val="00671889"/>
    <w:rsid w:val="00671AEA"/>
    <w:rsid w:val="00671E82"/>
    <w:rsid w:val="006721EB"/>
    <w:rsid w:val="0067221B"/>
    <w:rsid w:val="00672449"/>
    <w:rsid w:val="00672670"/>
    <w:rsid w:val="0067289D"/>
    <w:rsid w:val="00672B2C"/>
    <w:rsid w:val="00672C41"/>
    <w:rsid w:val="00673ACB"/>
    <w:rsid w:val="00674098"/>
    <w:rsid w:val="006742A7"/>
    <w:rsid w:val="0067444B"/>
    <w:rsid w:val="0067482F"/>
    <w:rsid w:val="00674B56"/>
    <w:rsid w:val="006750A3"/>
    <w:rsid w:val="00675540"/>
    <w:rsid w:val="006771F9"/>
    <w:rsid w:val="00677359"/>
    <w:rsid w:val="006775BF"/>
    <w:rsid w:val="00677659"/>
    <w:rsid w:val="00677884"/>
    <w:rsid w:val="0067788A"/>
    <w:rsid w:val="00677947"/>
    <w:rsid w:val="00677DAB"/>
    <w:rsid w:val="00680522"/>
    <w:rsid w:val="0068070A"/>
    <w:rsid w:val="00680801"/>
    <w:rsid w:val="00681231"/>
    <w:rsid w:val="006814C8"/>
    <w:rsid w:val="0068190F"/>
    <w:rsid w:val="0068216C"/>
    <w:rsid w:val="00682228"/>
    <w:rsid w:val="00682239"/>
    <w:rsid w:val="0068235F"/>
    <w:rsid w:val="00682496"/>
    <w:rsid w:val="0068255F"/>
    <w:rsid w:val="0068312D"/>
    <w:rsid w:val="0068369D"/>
    <w:rsid w:val="00683EDA"/>
    <w:rsid w:val="00683F99"/>
    <w:rsid w:val="00684347"/>
    <w:rsid w:val="006844FE"/>
    <w:rsid w:val="006849AD"/>
    <w:rsid w:val="006849C5"/>
    <w:rsid w:val="00684BE2"/>
    <w:rsid w:val="00684D65"/>
    <w:rsid w:val="0068534D"/>
    <w:rsid w:val="006853A0"/>
    <w:rsid w:val="0068558C"/>
    <w:rsid w:val="00685B76"/>
    <w:rsid w:val="006864B3"/>
    <w:rsid w:val="006866C6"/>
    <w:rsid w:val="0068697B"/>
    <w:rsid w:val="00686C99"/>
    <w:rsid w:val="006871EE"/>
    <w:rsid w:val="006875F8"/>
    <w:rsid w:val="006878CC"/>
    <w:rsid w:val="006879D5"/>
    <w:rsid w:val="00687BF8"/>
    <w:rsid w:val="00687C6B"/>
    <w:rsid w:val="0069033A"/>
    <w:rsid w:val="0069040A"/>
    <w:rsid w:val="006907C3"/>
    <w:rsid w:val="006909E3"/>
    <w:rsid w:val="00690AA2"/>
    <w:rsid w:val="00690E34"/>
    <w:rsid w:val="00691008"/>
    <w:rsid w:val="006910ED"/>
    <w:rsid w:val="00691242"/>
    <w:rsid w:val="006915BD"/>
    <w:rsid w:val="00691A23"/>
    <w:rsid w:val="00691D1D"/>
    <w:rsid w:val="00691D2F"/>
    <w:rsid w:val="006921CF"/>
    <w:rsid w:val="00692AF5"/>
    <w:rsid w:val="00692BCD"/>
    <w:rsid w:val="00692CD0"/>
    <w:rsid w:val="00692D6D"/>
    <w:rsid w:val="006933CC"/>
    <w:rsid w:val="006935A1"/>
    <w:rsid w:val="006937B7"/>
    <w:rsid w:val="0069381B"/>
    <w:rsid w:val="0069394D"/>
    <w:rsid w:val="00693B06"/>
    <w:rsid w:val="00694019"/>
    <w:rsid w:val="0069410A"/>
    <w:rsid w:val="0069416E"/>
    <w:rsid w:val="006946C8"/>
    <w:rsid w:val="006947B6"/>
    <w:rsid w:val="006948DB"/>
    <w:rsid w:val="00694CEF"/>
    <w:rsid w:val="00695D3F"/>
    <w:rsid w:val="00696108"/>
    <w:rsid w:val="006962A5"/>
    <w:rsid w:val="006964A4"/>
    <w:rsid w:val="00696849"/>
    <w:rsid w:val="0069684A"/>
    <w:rsid w:val="00696A54"/>
    <w:rsid w:val="00696C48"/>
    <w:rsid w:val="00696E97"/>
    <w:rsid w:val="00696F35"/>
    <w:rsid w:val="00697836"/>
    <w:rsid w:val="00697B20"/>
    <w:rsid w:val="00697C84"/>
    <w:rsid w:val="006A029F"/>
    <w:rsid w:val="006A05DE"/>
    <w:rsid w:val="006A0C6E"/>
    <w:rsid w:val="006A12DF"/>
    <w:rsid w:val="006A12ED"/>
    <w:rsid w:val="006A16C4"/>
    <w:rsid w:val="006A18A3"/>
    <w:rsid w:val="006A1F48"/>
    <w:rsid w:val="006A1FB8"/>
    <w:rsid w:val="006A23DD"/>
    <w:rsid w:val="006A241A"/>
    <w:rsid w:val="006A2A23"/>
    <w:rsid w:val="006A2BCE"/>
    <w:rsid w:val="006A30CF"/>
    <w:rsid w:val="006A3346"/>
    <w:rsid w:val="006A34F3"/>
    <w:rsid w:val="006A35F7"/>
    <w:rsid w:val="006A379F"/>
    <w:rsid w:val="006A3945"/>
    <w:rsid w:val="006A3958"/>
    <w:rsid w:val="006A39B0"/>
    <w:rsid w:val="006A3C07"/>
    <w:rsid w:val="006A3C77"/>
    <w:rsid w:val="006A3F36"/>
    <w:rsid w:val="006A401A"/>
    <w:rsid w:val="006A4046"/>
    <w:rsid w:val="006A41DE"/>
    <w:rsid w:val="006A4272"/>
    <w:rsid w:val="006A4344"/>
    <w:rsid w:val="006A44B3"/>
    <w:rsid w:val="006A48EE"/>
    <w:rsid w:val="006A4D98"/>
    <w:rsid w:val="006A4E31"/>
    <w:rsid w:val="006A53E1"/>
    <w:rsid w:val="006A565C"/>
    <w:rsid w:val="006A56F6"/>
    <w:rsid w:val="006A5709"/>
    <w:rsid w:val="006A5946"/>
    <w:rsid w:val="006A595E"/>
    <w:rsid w:val="006A5DBC"/>
    <w:rsid w:val="006A60BC"/>
    <w:rsid w:val="006A6114"/>
    <w:rsid w:val="006A625E"/>
    <w:rsid w:val="006A651F"/>
    <w:rsid w:val="006A6663"/>
    <w:rsid w:val="006A6987"/>
    <w:rsid w:val="006A715F"/>
    <w:rsid w:val="006A7526"/>
    <w:rsid w:val="006A77D5"/>
    <w:rsid w:val="006A7E32"/>
    <w:rsid w:val="006B0182"/>
    <w:rsid w:val="006B0976"/>
    <w:rsid w:val="006B098A"/>
    <w:rsid w:val="006B0E0C"/>
    <w:rsid w:val="006B17D9"/>
    <w:rsid w:val="006B19E9"/>
    <w:rsid w:val="006B1DEC"/>
    <w:rsid w:val="006B235A"/>
    <w:rsid w:val="006B2394"/>
    <w:rsid w:val="006B23D0"/>
    <w:rsid w:val="006B24EE"/>
    <w:rsid w:val="006B2AC4"/>
    <w:rsid w:val="006B2B6A"/>
    <w:rsid w:val="006B30C0"/>
    <w:rsid w:val="006B3F56"/>
    <w:rsid w:val="006B41D0"/>
    <w:rsid w:val="006B4358"/>
    <w:rsid w:val="006B45A1"/>
    <w:rsid w:val="006B48D3"/>
    <w:rsid w:val="006B48D8"/>
    <w:rsid w:val="006B4A23"/>
    <w:rsid w:val="006B4C30"/>
    <w:rsid w:val="006B4C4F"/>
    <w:rsid w:val="006B4CA5"/>
    <w:rsid w:val="006B4FEA"/>
    <w:rsid w:val="006B5158"/>
    <w:rsid w:val="006B51E9"/>
    <w:rsid w:val="006B617F"/>
    <w:rsid w:val="006B64C0"/>
    <w:rsid w:val="006B64FA"/>
    <w:rsid w:val="006B6916"/>
    <w:rsid w:val="006B7016"/>
    <w:rsid w:val="006B72F5"/>
    <w:rsid w:val="006B7343"/>
    <w:rsid w:val="006B74F2"/>
    <w:rsid w:val="006B7B0A"/>
    <w:rsid w:val="006B7E68"/>
    <w:rsid w:val="006B7EB2"/>
    <w:rsid w:val="006B7F4D"/>
    <w:rsid w:val="006B7F5F"/>
    <w:rsid w:val="006B7FFE"/>
    <w:rsid w:val="006C00BB"/>
    <w:rsid w:val="006C017D"/>
    <w:rsid w:val="006C0405"/>
    <w:rsid w:val="006C0455"/>
    <w:rsid w:val="006C0462"/>
    <w:rsid w:val="006C0469"/>
    <w:rsid w:val="006C054D"/>
    <w:rsid w:val="006C135A"/>
    <w:rsid w:val="006C14CB"/>
    <w:rsid w:val="006C1787"/>
    <w:rsid w:val="006C17CF"/>
    <w:rsid w:val="006C1927"/>
    <w:rsid w:val="006C1A6B"/>
    <w:rsid w:val="006C1F62"/>
    <w:rsid w:val="006C1FE2"/>
    <w:rsid w:val="006C238A"/>
    <w:rsid w:val="006C2542"/>
    <w:rsid w:val="006C2ED7"/>
    <w:rsid w:val="006C3068"/>
    <w:rsid w:val="006C363A"/>
    <w:rsid w:val="006C3790"/>
    <w:rsid w:val="006C381B"/>
    <w:rsid w:val="006C3FD4"/>
    <w:rsid w:val="006C4A09"/>
    <w:rsid w:val="006C4B15"/>
    <w:rsid w:val="006C4B78"/>
    <w:rsid w:val="006C502A"/>
    <w:rsid w:val="006C519A"/>
    <w:rsid w:val="006C57FA"/>
    <w:rsid w:val="006C637A"/>
    <w:rsid w:val="006C70E8"/>
    <w:rsid w:val="006C723A"/>
    <w:rsid w:val="006C7922"/>
    <w:rsid w:val="006C7B18"/>
    <w:rsid w:val="006C7CE6"/>
    <w:rsid w:val="006C7E67"/>
    <w:rsid w:val="006D02A4"/>
    <w:rsid w:val="006D0B32"/>
    <w:rsid w:val="006D0CEE"/>
    <w:rsid w:val="006D0E0C"/>
    <w:rsid w:val="006D0F64"/>
    <w:rsid w:val="006D131E"/>
    <w:rsid w:val="006D1ABB"/>
    <w:rsid w:val="006D1EFB"/>
    <w:rsid w:val="006D1FBA"/>
    <w:rsid w:val="006D2178"/>
    <w:rsid w:val="006D2288"/>
    <w:rsid w:val="006D27DE"/>
    <w:rsid w:val="006D290B"/>
    <w:rsid w:val="006D2F8F"/>
    <w:rsid w:val="006D35B0"/>
    <w:rsid w:val="006D3656"/>
    <w:rsid w:val="006D36D8"/>
    <w:rsid w:val="006D3919"/>
    <w:rsid w:val="006D39DD"/>
    <w:rsid w:val="006D3C94"/>
    <w:rsid w:val="006D3D04"/>
    <w:rsid w:val="006D3D1D"/>
    <w:rsid w:val="006D4041"/>
    <w:rsid w:val="006D54CB"/>
    <w:rsid w:val="006D5684"/>
    <w:rsid w:val="006D59FE"/>
    <w:rsid w:val="006D5E19"/>
    <w:rsid w:val="006D6002"/>
    <w:rsid w:val="006D614D"/>
    <w:rsid w:val="006D665A"/>
    <w:rsid w:val="006D6C5D"/>
    <w:rsid w:val="006D6E82"/>
    <w:rsid w:val="006D7062"/>
    <w:rsid w:val="006D7143"/>
    <w:rsid w:val="006D7252"/>
    <w:rsid w:val="006D781F"/>
    <w:rsid w:val="006D79CB"/>
    <w:rsid w:val="006D7DEF"/>
    <w:rsid w:val="006E00F1"/>
    <w:rsid w:val="006E034F"/>
    <w:rsid w:val="006E084A"/>
    <w:rsid w:val="006E08AF"/>
    <w:rsid w:val="006E08CD"/>
    <w:rsid w:val="006E0962"/>
    <w:rsid w:val="006E1053"/>
    <w:rsid w:val="006E193B"/>
    <w:rsid w:val="006E1B25"/>
    <w:rsid w:val="006E1B2C"/>
    <w:rsid w:val="006E1B68"/>
    <w:rsid w:val="006E1CD1"/>
    <w:rsid w:val="006E22C7"/>
    <w:rsid w:val="006E233C"/>
    <w:rsid w:val="006E24AA"/>
    <w:rsid w:val="006E29DA"/>
    <w:rsid w:val="006E2AA6"/>
    <w:rsid w:val="006E2B8B"/>
    <w:rsid w:val="006E2E61"/>
    <w:rsid w:val="006E2E88"/>
    <w:rsid w:val="006E2EAB"/>
    <w:rsid w:val="006E3662"/>
    <w:rsid w:val="006E391A"/>
    <w:rsid w:val="006E3A0F"/>
    <w:rsid w:val="006E3CF9"/>
    <w:rsid w:val="006E3F14"/>
    <w:rsid w:val="006E41E6"/>
    <w:rsid w:val="006E443F"/>
    <w:rsid w:val="006E48DB"/>
    <w:rsid w:val="006E4BCD"/>
    <w:rsid w:val="006E4C04"/>
    <w:rsid w:val="006E515F"/>
    <w:rsid w:val="006E51EF"/>
    <w:rsid w:val="006E5320"/>
    <w:rsid w:val="006E54D4"/>
    <w:rsid w:val="006E589B"/>
    <w:rsid w:val="006E59AE"/>
    <w:rsid w:val="006E5A5B"/>
    <w:rsid w:val="006E5A66"/>
    <w:rsid w:val="006E5F25"/>
    <w:rsid w:val="006E5F87"/>
    <w:rsid w:val="006E6A8B"/>
    <w:rsid w:val="006E6F0A"/>
    <w:rsid w:val="006E7468"/>
    <w:rsid w:val="006E766C"/>
    <w:rsid w:val="006E7AF6"/>
    <w:rsid w:val="006E7B3D"/>
    <w:rsid w:val="006F00DF"/>
    <w:rsid w:val="006F026D"/>
    <w:rsid w:val="006F0281"/>
    <w:rsid w:val="006F0A92"/>
    <w:rsid w:val="006F0E1D"/>
    <w:rsid w:val="006F1022"/>
    <w:rsid w:val="006F1527"/>
    <w:rsid w:val="006F1936"/>
    <w:rsid w:val="006F1C71"/>
    <w:rsid w:val="006F1CCF"/>
    <w:rsid w:val="006F206D"/>
    <w:rsid w:val="006F28A4"/>
    <w:rsid w:val="006F2B2E"/>
    <w:rsid w:val="006F2B31"/>
    <w:rsid w:val="006F2F96"/>
    <w:rsid w:val="006F30F4"/>
    <w:rsid w:val="006F37B9"/>
    <w:rsid w:val="006F37CF"/>
    <w:rsid w:val="006F3F59"/>
    <w:rsid w:val="006F42BB"/>
    <w:rsid w:val="006F443E"/>
    <w:rsid w:val="006F45C8"/>
    <w:rsid w:val="006F4C00"/>
    <w:rsid w:val="006F4C60"/>
    <w:rsid w:val="006F50E4"/>
    <w:rsid w:val="006F5541"/>
    <w:rsid w:val="006F5565"/>
    <w:rsid w:val="006F5AC0"/>
    <w:rsid w:val="006F5ED7"/>
    <w:rsid w:val="006F64B6"/>
    <w:rsid w:val="006F6CA4"/>
    <w:rsid w:val="006F6ECD"/>
    <w:rsid w:val="006F712D"/>
    <w:rsid w:val="006F7197"/>
    <w:rsid w:val="006F7474"/>
    <w:rsid w:val="006F78A6"/>
    <w:rsid w:val="006F7B22"/>
    <w:rsid w:val="006F7D7B"/>
    <w:rsid w:val="006F7E4F"/>
    <w:rsid w:val="00700143"/>
    <w:rsid w:val="007001CA"/>
    <w:rsid w:val="007008A9"/>
    <w:rsid w:val="00700E5F"/>
    <w:rsid w:val="00700EFF"/>
    <w:rsid w:val="00701404"/>
    <w:rsid w:val="00701FF9"/>
    <w:rsid w:val="007023F8"/>
    <w:rsid w:val="007025C3"/>
    <w:rsid w:val="007027ED"/>
    <w:rsid w:val="0070280E"/>
    <w:rsid w:val="007029E4"/>
    <w:rsid w:val="00702D04"/>
    <w:rsid w:val="00702D33"/>
    <w:rsid w:val="00702EDB"/>
    <w:rsid w:val="00703407"/>
    <w:rsid w:val="0070382D"/>
    <w:rsid w:val="00703D68"/>
    <w:rsid w:val="007045FC"/>
    <w:rsid w:val="00704988"/>
    <w:rsid w:val="007052A1"/>
    <w:rsid w:val="0070537F"/>
    <w:rsid w:val="00705890"/>
    <w:rsid w:val="00705B1C"/>
    <w:rsid w:val="00705CC5"/>
    <w:rsid w:val="00705E4E"/>
    <w:rsid w:val="007062A5"/>
    <w:rsid w:val="007062BB"/>
    <w:rsid w:val="00706431"/>
    <w:rsid w:val="0070647D"/>
    <w:rsid w:val="00706489"/>
    <w:rsid w:val="00706646"/>
    <w:rsid w:val="0070679D"/>
    <w:rsid w:val="007067DF"/>
    <w:rsid w:val="00706FB3"/>
    <w:rsid w:val="007072F7"/>
    <w:rsid w:val="007072FF"/>
    <w:rsid w:val="007073DC"/>
    <w:rsid w:val="00707410"/>
    <w:rsid w:val="007074E0"/>
    <w:rsid w:val="007101B3"/>
    <w:rsid w:val="007102C8"/>
    <w:rsid w:val="007105AB"/>
    <w:rsid w:val="007108DD"/>
    <w:rsid w:val="00710D2F"/>
    <w:rsid w:val="00710E9E"/>
    <w:rsid w:val="0071112B"/>
    <w:rsid w:val="0071116B"/>
    <w:rsid w:val="0071173C"/>
    <w:rsid w:val="007118A1"/>
    <w:rsid w:val="00711CF9"/>
    <w:rsid w:val="00711F0A"/>
    <w:rsid w:val="0071249D"/>
    <w:rsid w:val="007129F9"/>
    <w:rsid w:val="007135B3"/>
    <w:rsid w:val="0071366D"/>
    <w:rsid w:val="00713E33"/>
    <w:rsid w:val="00714287"/>
    <w:rsid w:val="007142F8"/>
    <w:rsid w:val="007148EB"/>
    <w:rsid w:val="00714A23"/>
    <w:rsid w:val="00714A98"/>
    <w:rsid w:val="00714D48"/>
    <w:rsid w:val="00715047"/>
    <w:rsid w:val="007155F2"/>
    <w:rsid w:val="007156EE"/>
    <w:rsid w:val="00715780"/>
    <w:rsid w:val="00715875"/>
    <w:rsid w:val="00715885"/>
    <w:rsid w:val="00715BB4"/>
    <w:rsid w:val="0071602B"/>
    <w:rsid w:val="0071610A"/>
    <w:rsid w:val="00716684"/>
    <w:rsid w:val="00716A5A"/>
    <w:rsid w:val="00716D47"/>
    <w:rsid w:val="00716FD7"/>
    <w:rsid w:val="00717161"/>
    <w:rsid w:val="007171F7"/>
    <w:rsid w:val="00717414"/>
    <w:rsid w:val="00717453"/>
    <w:rsid w:val="0071799C"/>
    <w:rsid w:val="00717B29"/>
    <w:rsid w:val="00717DEE"/>
    <w:rsid w:val="007200B4"/>
    <w:rsid w:val="0072013E"/>
    <w:rsid w:val="007201E6"/>
    <w:rsid w:val="0072033E"/>
    <w:rsid w:val="00720C5B"/>
    <w:rsid w:val="00720E59"/>
    <w:rsid w:val="00720EA6"/>
    <w:rsid w:val="0072101D"/>
    <w:rsid w:val="00721228"/>
    <w:rsid w:val="007212AE"/>
    <w:rsid w:val="007218A2"/>
    <w:rsid w:val="00721BFD"/>
    <w:rsid w:val="00721FF6"/>
    <w:rsid w:val="00722057"/>
    <w:rsid w:val="007221EC"/>
    <w:rsid w:val="007222FA"/>
    <w:rsid w:val="00722AAA"/>
    <w:rsid w:val="00722B3E"/>
    <w:rsid w:val="00723047"/>
    <w:rsid w:val="0072312C"/>
    <w:rsid w:val="00723244"/>
    <w:rsid w:val="00723452"/>
    <w:rsid w:val="0072347F"/>
    <w:rsid w:val="007236E5"/>
    <w:rsid w:val="00723862"/>
    <w:rsid w:val="00723B5E"/>
    <w:rsid w:val="00723CCB"/>
    <w:rsid w:val="007240E6"/>
    <w:rsid w:val="0072416B"/>
    <w:rsid w:val="007241B5"/>
    <w:rsid w:val="0072440F"/>
    <w:rsid w:val="0072498C"/>
    <w:rsid w:val="00724E27"/>
    <w:rsid w:val="00724E45"/>
    <w:rsid w:val="007253B7"/>
    <w:rsid w:val="007253DC"/>
    <w:rsid w:val="00725632"/>
    <w:rsid w:val="00725B68"/>
    <w:rsid w:val="00725FF5"/>
    <w:rsid w:val="00726166"/>
    <w:rsid w:val="007268B3"/>
    <w:rsid w:val="00726AC0"/>
    <w:rsid w:val="00726FB4"/>
    <w:rsid w:val="00727112"/>
    <w:rsid w:val="0072718B"/>
    <w:rsid w:val="007271EB"/>
    <w:rsid w:val="00727735"/>
    <w:rsid w:val="00727DA0"/>
    <w:rsid w:val="0073012D"/>
    <w:rsid w:val="00730776"/>
    <w:rsid w:val="00730876"/>
    <w:rsid w:val="00730A36"/>
    <w:rsid w:val="00730B2B"/>
    <w:rsid w:val="007311B1"/>
    <w:rsid w:val="007313FC"/>
    <w:rsid w:val="007315B8"/>
    <w:rsid w:val="007316AB"/>
    <w:rsid w:val="007316E3"/>
    <w:rsid w:val="00731C24"/>
    <w:rsid w:val="00731D78"/>
    <w:rsid w:val="00731DB6"/>
    <w:rsid w:val="0073218E"/>
    <w:rsid w:val="0073341C"/>
    <w:rsid w:val="0073358E"/>
    <w:rsid w:val="00733685"/>
    <w:rsid w:val="0073381F"/>
    <w:rsid w:val="00733898"/>
    <w:rsid w:val="007341ED"/>
    <w:rsid w:val="0073469C"/>
    <w:rsid w:val="007349DC"/>
    <w:rsid w:val="00734E90"/>
    <w:rsid w:val="007351C7"/>
    <w:rsid w:val="007353C1"/>
    <w:rsid w:val="007355BC"/>
    <w:rsid w:val="007356B7"/>
    <w:rsid w:val="00735E42"/>
    <w:rsid w:val="00735ECA"/>
    <w:rsid w:val="007364E9"/>
    <w:rsid w:val="00736950"/>
    <w:rsid w:val="00736AD1"/>
    <w:rsid w:val="00736BF8"/>
    <w:rsid w:val="00736FA7"/>
    <w:rsid w:val="007372C2"/>
    <w:rsid w:val="00737676"/>
    <w:rsid w:val="0073770A"/>
    <w:rsid w:val="0073776E"/>
    <w:rsid w:val="007377A1"/>
    <w:rsid w:val="00737D6C"/>
    <w:rsid w:val="00740367"/>
    <w:rsid w:val="0074039F"/>
    <w:rsid w:val="007405D6"/>
    <w:rsid w:val="00740B86"/>
    <w:rsid w:val="007410B2"/>
    <w:rsid w:val="00741204"/>
    <w:rsid w:val="0074121F"/>
    <w:rsid w:val="00741550"/>
    <w:rsid w:val="0074168D"/>
    <w:rsid w:val="00741690"/>
    <w:rsid w:val="007416A6"/>
    <w:rsid w:val="007416BA"/>
    <w:rsid w:val="00741AEB"/>
    <w:rsid w:val="00741F7D"/>
    <w:rsid w:val="007421BD"/>
    <w:rsid w:val="0074233A"/>
    <w:rsid w:val="00742B36"/>
    <w:rsid w:val="00742DDF"/>
    <w:rsid w:val="00743A0B"/>
    <w:rsid w:val="00743B0F"/>
    <w:rsid w:val="00743D47"/>
    <w:rsid w:val="00744328"/>
    <w:rsid w:val="0074435B"/>
    <w:rsid w:val="0074435E"/>
    <w:rsid w:val="00744767"/>
    <w:rsid w:val="007447EF"/>
    <w:rsid w:val="0074491D"/>
    <w:rsid w:val="0074530C"/>
    <w:rsid w:val="00745342"/>
    <w:rsid w:val="00745663"/>
    <w:rsid w:val="00745C32"/>
    <w:rsid w:val="007460B6"/>
    <w:rsid w:val="007461BC"/>
    <w:rsid w:val="0074680C"/>
    <w:rsid w:val="00746A0F"/>
    <w:rsid w:val="00746C8A"/>
    <w:rsid w:val="0074718D"/>
    <w:rsid w:val="007471F4"/>
    <w:rsid w:val="007472F8"/>
    <w:rsid w:val="00747329"/>
    <w:rsid w:val="0074749B"/>
    <w:rsid w:val="0074775F"/>
    <w:rsid w:val="00747A6F"/>
    <w:rsid w:val="007503C4"/>
    <w:rsid w:val="007505D9"/>
    <w:rsid w:val="00750823"/>
    <w:rsid w:val="00750A95"/>
    <w:rsid w:val="00750C25"/>
    <w:rsid w:val="00750D19"/>
    <w:rsid w:val="00751170"/>
    <w:rsid w:val="007519B7"/>
    <w:rsid w:val="007526F1"/>
    <w:rsid w:val="007528C1"/>
    <w:rsid w:val="00752936"/>
    <w:rsid w:val="00752A84"/>
    <w:rsid w:val="00752DE3"/>
    <w:rsid w:val="00753121"/>
    <w:rsid w:val="00753131"/>
    <w:rsid w:val="007531D2"/>
    <w:rsid w:val="007533F5"/>
    <w:rsid w:val="0075376C"/>
    <w:rsid w:val="007539E8"/>
    <w:rsid w:val="00753C21"/>
    <w:rsid w:val="00754063"/>
    <w:rsid w:val="0075454E"/>
    <w:rsid w:val="00754800"/>
    <w:rsid w:val="007548E6"/>
    <w:rsid w:val="00754932"/>
    <w:rsid w:val="0075493C"/>
    <w:rsid w:val="00754A0C"/>
    <w:rsid w:val="00755119"/>
    <w:rsid w:val="0075553B"/>
    <w:rsid w:val="007555BA"/>
    <w:rsid w:val="0075565F"/>
    <w:rsid w:val="007559C6"/>
    <w:rsid w:val="00755A3D"/>
    <w:rsid w:val="00755BB9"/>
    <w:rsid w:val="00755CA4"/>
    <w:rsid w:val="00755F7D"/>
    <w:rsid w:val="007562B2"/>
    <w:rsid w:val="00756765"/>
    <w:rsid w:val="007568A4"/>
    <w:rsid w:val="00756E05"/>
    <w:rsid w:val="00757F23"/>
    <w:rsid w:val="007601F4"/>
    <w:rsid w:val="00760914"/>
    <w:rsid w:val="007609B4"/>
    <w:rsid w:val="00760A08"/>
    <w:rsid w:val="00760AD8"/>
    <w:rsid w:val="00760EE0"/>
    <w:rsid w:val="0076103C"/>
    <w:rsid w:val="007611B6"/>
    <w:rsid w:val="0076155A"/>
    <w:rsid w:val="007616ED"/>
    <w:rsid w:val="00761984"/>
    <w:rsid w:val="00761AB8"/>
    <w:rsid w:val="00761E3D"/>
    <w:rsid w:val="00761EA1"/>
    <w:rsid w:val="00761FE1"/>
    <w:rsid w:val="007622AB"/>
    <w:rsid w:val="007625C5"/>
    <w:rsid w:val="00762784"/>
    <w:rsid w:val="007628E6"/>
    <w:rsid w:val="00762A90"/>
    <w:rsid w:val="00762BD1"/>
    <w:rsid w:val="007630E6"/>
    <w:rsid w:val="007635E3"/>
    <w:rsid w:val="00763710"/>
    <w:rsid w:val="00763B39"/>
    <w:rsid w:val="00763E75"/>
    <w:rsid w:val="00764674"/>
    <w:rsid w:val="007648F2"/>
    <w:rsid w:val="00764E70"/>
    <w:rsid w:val="00764FB8"/>
    <w:rsid w:val="00765161"/>
    <w:rsid w:val="007653B0"/>
    <w:rsid w:val="007655F0"/>
    <w:rsid w:val="00765760"/>
    <w:rsid w:val="0076580E"/>
    <w:rsid w:val="00766007"/>
    <w:rsid w:val="00766253"/>
    <w:rsid w:val="007662D9"/>
    <w:rsid w:val="007662E8"/>
    <w:rsid w:val="00766963"/>
    <w:rsid w:val="007669CC"/>
    <w:rsid w:val="00767090"/>
    <w:rsid w:val="007670C9"/>
    <w:rsid w:val="00767207"/>
    <w:rsid w:val="00767235"/>
    <w:rsid w:val="00767641"/>
    <w:rsid w:val="00767797"/>
    <w:rsid w:val="0076783B"/>
    <w:rsid w:val="00767AED"/>
    <w:rsid w:val="00767B9F"/>
    <w:rsid w:val="00767E84"/>
    <w:rsid w:val="00767F3B"/>
    <w:rsid w:val="00770277"/>
    <w:rsid w:val="0077066F"/>
    <w:rsid w:val="00770682"/>
    <w:rsid w:val="007708D1"/>
    <w:rsid w:val="00770970"/>
    <w:rsid w:val="00770C22"/>
    <w:rsid w:val="00770F03"/>
    <w:rsid w:val="00771232"/>
    <w:rsid w:val="007712C5"/>
    <w:rsid w:val="00771448"/>
    <w:rsid w:val="00771603"/>
    <w:rsid w:val="00771AEF"/>
    <w:rsid w:val="0077231B"/>
    <w:rsid w:val="00772416"/>
    <w:rsid w:val="00772A61"/>
    <w:rsid w:val="00772CCF"/>
    <w:rsid w:val="007734FD"/>
    <w:rsid w:val="0077354B"/>
    <w:rsid w:val="0077384A"/>
    <w:rsid w:val="007738FD"/>
    <w:rsid w:val="00773A9D"/>
    <w:rsid w:val="00773DA1"/>
    <w:rsid w:val="00773FB4"/>
    <w:rsid w:val="007741F1"/>
    <w:rsid w:val="007745B5"/>
    <w:rsid w:val="00774E07"/>
    <w:rsid w:val="007754F8"/>
    <w:rsid w:val="007756C5"/>
    <w:rsid w:val="00775F2F"/>
    <w:rsid w:val="00776321"/>
    <w:rsid w:val="00776374"/>
    <w:rsid w:val="007763A5"/>
    <w:rsid w:val="00776697"/>
    <w:rsid w:val="0077698D"/>
    <w:rsid w:val="0077699C"/>
    <w:rsid w:val="00776E24"/>
    <w:rsid w:val="007775B7"/>
    <w:rsid w:val="007775EA"/>
    <w:rsid w:val="00777AEE"/>
    <w:rsid w:val="00777BDA"/>
    <w:rsid w:val="007806B3"/>
    <w:rsid w:val="00780764"/>
    <w:rsid w:val="007807B9"/>
    <w:rsid w:val="00780976"/>
    <w:rsid w:val="007817E7"/>
    <w:rsid w:val="00781954"/>
    <w:rsid w:val="00781B04"/>
    <w:rsid w:val="00781B7B"/>
    <w:rsid w:val="00782251"/>
    <w:rsid w:val="00782406"/>
    <w:rsid w:val="0078271A"/>
    <w:rsid w:val="00782A59"/>
    <w:rsid w:val="00782AC4"/>
    <w:rsid w:val="00783284"/>
    <w:rsid w:val="00783692"/>
    <w:rsid w:val="0078375F"/>
    <w:rsid w:val="00783A1B"/>
    <w:rsid w:val="00783A8F"/>
    <w:rsid w:val="00783F69"/>
    <w:rsid w:val="00784320"/>
    <w:rsid w:val="00784462"/>
    <w:rsid w:val="0078489C"/>
    <w:rsid w:val="00784969"/>
    <w:rsid w:val="00784B0D"/>
    <w:rsid w:val="00784CD0"/>
    <w:rsid w:val="00784FEC"/>
    <w:rsid w:val="007852F1"/>
    <w:rsid w:val="00785806"/>
    <w:rsid w:val="00785D36"/>
    <w:rsid w:val="00786328"/>
    <w:rsid w:val="00786569"/>
    <w:rsid w:val="007865E7"/>
    <w:rsid w:val="00786659"/>
    <w:rsid w:val="007869DD"/>
    <w:rsid w:val="00787087"/>
    <w:rsid w:val="007871C0"/>
    <w:rsid w:val="00787982"/>
    <w:rsid w:val="0079001C"/>
    <w:rsid w:val="00790070"/>
    <w:rsid w:val="007904E9"/>
    <w:rsid w:val="00790AEE"/>
    <w:rsid w:val="00790C31"/>
    <w:rsid w:val="00790F2E"/>
    <w:rsid w:val="007914DD"/>
    <w:rsid w:val="007915E8"/>
    <w:rsid w:val="007917AC"/>
    <w:rsid w:val="00791A74"/>
    <w:rsid w:val="00791D5A"/>
    <w:rsid w:val="00791D63"/>
    <w:rsid w:val="0079234C"/>
    <w:rsid w:val="0079235F"/>
    <w:rsid w:val="007923E9"/>
    <w:rsid w:val="00792C45"/>
    <w:rsid w:val="00792D87"/>
    <w:rsid w:val="007932FF"/>
    <w:rsid w:val="0079357E"/>
    <w:rsid w:val="00793638"/>
    <w:rsid w:val="00793882"/>
    <w:rsid w:val="00793889"/>
    <w:rsid w:val="007938BC"/>
    <w:rsid w:val="0079418D"/>
    <w:rsid w:val="0079456B"/>
    <w:rsid w:val="007945C9"/>
    <w:rsid w:val="00794820"/>
    <w:rsid w:val="007948DF"/>
    <w:rsid w:val="007948FC"/>
    <w:rsid w:val="00795215"/>
    <w:rsid w:val="007954F0"/>
    <w:rsid w:val="00795864"/>
    <w:rsid w:val="00795B29"/>
    <w:rsid w:val="00795DCB"/>
    <w:rsid w:val="0079602D"/>
    <w:rsid w:val="0079621C"/>
    <w:rsid w:val="0079656A"/>
    <w:rsid w:val="007966BF"/>
    <w:rsid w:val="00796C8D"/>
    <w:rsid w:val="00797330"/>
    <w:rsid w:val="0079747A"/>
    <w:rsid w:val="00797C3A"/>
    <w:rsid w:val="007A051A"/>
    <w:rsid w:val="007A05B6"/>
    <w:rsid w:val="007A066E"/>
    <w:rsid w:val="007A07D0"/>
    <w:rsid w:val="007A0908"/>
    <w:rsid w:val="007A128D"/>
    <w:rsid w:val="007A1729"/>
    <w:rsid w:val="007A1E23"/>
    <w:rsid w:val="007A1E2F"/>
    <w:rsid w:val="007A1E74"/>
    <w:rsid w:val="007A2229"/>
    <w:rsid w:val="007A22F0"/>
    <w:rsid w:val="007A22F5"/>
    <w:rsid w:val="007A23EF"/>
    <w:rsid w:val="007A249F"/>
    <w:rsid w:val="007A24A6"/>
    <w:rsid w:val="007A295C"/>
    <w:rsid w:val="007A2C53"/>
    <w:rsid w:val="007A2DF7"/>
    <w:rsid w:val="007A3213"/>
    <w:rsid w:val="007A32A8"/>
    <w:rsid w:val="007A33FC"/>
    <w:rsid w:val="007A3754"/>
    <w:rsid w:val="007A3842"/>
    <w:rsid w:val="007A3974"/>
    <w:rsid w:val="007A3E01"/>
    <w:rsid w:val="007A3E3C"/>
    <w:rsid w:val="007A3E99"/>
    <w:rsid w:val="007A3EB8"/>
    <w:rsid w:val="007A3FEB"/>
    <w:rsid w:val="007A4056"/>
    <w:rsid w:val="007A44C9"/>
    <w:rsid w:val="007A44D3"/>
    <w:rsid w:val="007A500F"/>
    <w:rsid w:val="007A51E1"/>
    <w:rsid w:val="007A57C1"/>
    <w:rsid w:val="007A57F6"/>
    <w:rsid w:val="007A5A36"/>
    <w:rsid w:val="007A5B93"/>
    <w:rsid w:val="007A6B49"/>
    <w:rsid w:val="007A6F8D"/>
    <w:rsid w:val="007A76B5"/>
    <w:rsid w:val="007A7F95"/>
    <w:rsid w:val="007B0374"/>
    <w:rsid w:val="007B0B52"/>
    <w:rsid w:val="007B0C8F"/>
    <w:rsid w:val="007B163A"/>
    <w:rsid w:val="007B178E"/>
    <w:rsid w:val="007B1BD6"/>
    <w:rsid w:val="007B229F"/>
    <w:rsid w:val="007B23C2"/>
    <w:rsid w:val="007B27B6"/>
    <w:rsid w:val="007B281C"/>
    <w:rsid w:val="007B2D2F"/>
    <w:rsid w:val="007B34F8"/>
    <w:rsid w:val="007B3510"/>
    <w:rsid w:val="007B3808"/>
    <w:rsid w:val="007B3D11"/>
    <w:rsid w:val="007B43BE"/>
    <w:rsid w:val="007B4451"/>
    <w:rsid w:val="007B46B9"/>
    <w:rsid w:val="007B4C00"/>
    <w:rsid w:val="007B4E30"/>
    <w:rsid w:val="007B5531"/>
    <w:rsid w:val="007B560C"/>
    <w:rsid w:val="007B59A5"/>
    <w:rsid w:val="007B59C9"/>
    <w:rsid w:val="007B5AB2"/>
    <w:rsid w:val="007B6282"/>
    <w:rsid w:val="007B6324"/>
    <w:rsid w:val="007B651B"/>
    <w:rsid w:val="007B65FE"/>
    <w:rsid w:val="007B662C"/>
    <w:rsid w:val="007B6749"/>
    <w:rsid w:val="007B6872"/>
    <w:rsid w:val="007B6B6F"/>
    <w:rsid w:val="007B7337"/>
    <w:rsid w:val="007B7655"/>
    <w:rsid w:val="007B7AAD"/>
    <w:rsid w:val="007B7DFD"/>
    <w:rsid w:val="007B7F63"/>
    <w:rsid w:val="007B7FD9"/>
    <w:rsid w:val="007C01F8"/>
    <w:rsid w:val="007C048F"/>
    <w:rsid w:val="007C055A"/>
    <w:rsid w:val="007C089D"/>
    <w:rsid w:val="007C0AE9"/>
    <w:rsid w:val="007C0B08"/>
    <w:rsid w:val="007C0E48"/>
    <w:rsid w:val="007C1133"/>
    <w:rsid w:val="007C16B2"/>
    <w:rsid w:val="007C1741"/>
    <w:rsid w:val="007C1833"/>
    <w:rsid w:val="007C1A81"/>
    <w:rsid w:val="007C1D31"/>
    <w:rsid w:val="007C20EB"/>
    <w:rsid w:val="007C218A"/>
    <w:rsid w:val="007C22DF"/>
    <w:rsid w:val="007C24EC"/>
    <w:rsid w:val="007C250E"/>
    <w:rsid w:val="007C27E4"/>
    <w:rsid w:val="007C28C0"/>
    <w:rsid w:val="007C2EC1"/>
    <w:rsid w:val="007C3951"/>
    <w:rsid w:val="007C3C2C"/>
    <w:rsid w:val="007C414F"/>
    <w:rsid w:val="007C41E0"/>
    <w:rsid w:val="007C4261"/>
    <w:rsid w:val="007C45C2"/>
    <w:rsid w:val="007C4C25"/>
    <w:rsid w:val="007C4F8F"/>
    <w:rsid w:val="007C536A"/>
    <w:rsid w:val="007C584F"/>
    <w:rsid w:val="007C597F"/>
    <w:rsid w:val="007C5B4D"/>
    <w:rsid w:val="007C5E4D"/>
    <w:rsid w:val="007C67F9"/>
    <w:rsid w:val="007C6B19"/>
    <w:rsid w:val="007C6B46"/>
    <w:rsid w:val="007C6C7A"/>
    <w:rsid w:val="007C6F61"/>
    <w:rsid w:val="007C707D"/>
    <w:rsid w:val="007C7778"/>
    <w:rsid w:val="007C7987"/>
    <w:rsid w:val="007C7B85"/>
    <w:rsid w:val="007C7FB8"/>
    <w:rsid w:val="007D0406"/>
    <w:rsid w:val="007D077A"/>
    <w:rsid w:val="007D0966"/>
    <w:rsid w:val="007D14C9"/>
    <w:rsid w:val="007D18DC"/>
    <w:rsid w:val="007D1BC5"/>
    <w:rsid w:val="007D1F55"/>
    <w:rsid w:val="007D20A8"/>
    <w:rsid w:val="007D24EE"/>
    <w:rsid w:val="007D25A0"/>
    <w:rsid w:val="007D284D"/>
    <w:rsid w:val="007D2A7E"/>
    <w:rsid w:val="007D2C77"/>
    <w:rsid w:val="007D32D5"/>
    <w:rsid w:val="007D3458"/>
    <w:rsid w:val="007D3550"/>
    <w:rsid w:val="007D3985"/>
    <w:rsid w:val="007D3B32"/>
    <w:rsid w:val="007D3E69"/>
    <w:rsid w:val="007D46D9"/>
    <w:rsid w:val="007D4905"/>
    <w:rsid w:val="007D5AF1"/>
    <w:rsid w:val="007D5E2D"/>
    <w:rsid w:val="007D5E8E"/>
    <w:rsid w:val="007D5FE2"/>
    <w:rsid w:val="007D633B"/>
    <w:rsid w:val="007D72A3"/>
    <w:rsid w:val="007D72F2"/>
    <w:rsid w:val="007D799C"/>
    <w:rsid w:val="007E01F1"/>
    <w:rsid w:val="007E029E"/>
    <w:rsid w:val="007E0AEC"/>
    <w:rsid w:val="007E0B9C"/>
    <w:rsid w:val="007E0FA9"/>
    <w:rsid w:val="007E10FB"/>
    <w:rsid w:val="007E1282"/>
    <w:rsid w:val="007E14E1"/>
    <w:rsid w:val="007E2042"/>
    <w:rsid w:val="007E28DB"/>
    <w:rsid w:val="007E2F44"/>
    <w:rsid w:val="007E2FEF"/>
    <w:rsid w:val="007E3CF5"/>
    <w:rsid w:val="007E4473"/>
    <w:rsid w:val="007E44A8"/>
    <w:rsid w:val="007E47C2"/>
    <w:rsid w:val="007E48B8"/>
    <w:rsid w:val="007E498E"/>
    <w:rsid w:val="007E4CBA"/>
    <w:rsid w:val="007E50EA"/>
    <w:rsid w:val="007E5103"/>
    <w:rsid w:val="007E510C"/>
    <w:rsid w:val="007E5246"/>
    <w:rsid w:val="007E5274"/>
    <w:rsid w:val="007E5399"/>
    <w:rsid w:val="007E53B9"/>
    <w:rsid w:val="007E54AC"/>
    <w:rsid w:val="007E54C7"/>
    <w:rsid w:val="007E56D3"/>
    <w:rsid w:val="007E58BD"/>
    <w:rsid w:val="007E5A04"/>
    <w:rsid w:val="007E5BC4"/>
    <w:rsid w:val="007E5CD1"/>
    <w:rsid w:val="007E5E50"/>
    <w:rsid w:val="007E6028"/>
    <w:rsid w:val="007E65A1"/>
    <w:rsid w:val="007E65CC"/>
    <w:rsid w:val="007E700D"/>
    <w:rsid w:val="007E7247"/>
    <w:rsid w:val="007E7943"/>
    <w:rsid w:val="007E7EF8"/>
    <w:rsid w:val="007F0B26"/>
    <w:rsid w:val="007F0C7E"/>
    <w:rsid w:val="007F1301"/>
    <w:rsid w:val="007F14AB"/>
    <w:rsid w:val="007F1A43"/>
    <w:rsid w:val="007F1C12"/>
    <w:rsid w:val="007F1C73"/>
    <w:rsid w:val="007F1D39"/>
    <w:rsid w:val="007F21DC"/>
    <w:rsid w:val="007F2285"/>
    <w:rsid w:val="007F2296"/>
    <w:rsid w:val="007F2D4A"/>
    <w:rsid w:val="007F3034"/>
    <w:rsid w:val="007F4044"/>
    <w:rsid w:val="007F416F"/>
    <w:rsid w:val="007F43BD"/>
    <w:rsid w:val="007F44A4"/>
    <w:rsid w:val="007F4534"/>
    <w:rsid w:val="007F459E"/>
    <w:rsid w:val="007F4732"/>
    <w:rsid w:val="007F4D44"/>
    <w:rsid w:val="007F4DCA"/>
    <w:rsid w:val="007F5A49"/>
    <w:rsid w:val="007F5E7C"/>
    <w:rsid w:val="007F6003"/>
    <w:rsid w:val="007F6092"/>
    <w:rsid w:val="007F638B"/>
    <w:rsid w:val="007F665D"/>
    <w:rsid w:val="007F69C2"/>
    <w:rsid w:val="007F6AE7"/>
    <w:rsid w:val="007F6AEB"/>
    <w:rsid w:val="007F6B1D"/>
    <w:rsid w:val="007F6B6C"/>
    <w:rsid w:val="007F6DA0"/>
    <w:rsid w:val="007F7341"/>
    <w:rsid w:val="007F7586"/>
    <w:rsid w:val="007F7CE8"/>
    <w:rsid w:val="00800195"/>
    <w:rsid w:val="00800475"/>
    <w:rsid w:val="00800A0F"/>
    <w:rsid w:val="008012F4"/>
    <w:rsid w:val="00801315"/>
    <w:rsid w:val="00801625"/>
    <w:rsid w:val="00801CCA"/>
    <w:rsid w:val="00801D43"/>
    <w:rsid w:val="00801E45"/>
    <w:rsid w:val="008023E7"/>
    <w:rsid w:val="00802544"/>
    <w:rsid w:val="00802695"/>
    <w:rsid w:val="00802C27"/>
    <w:rsid w:val="00802D12"/>
    <w:rsid w:val="0080340E"/>
    <w:rsid w:val="00803C27"/>
    <w:rsid w:val="00803CF4"/>
    <w:rsid w:val="008042F9"/>
    <w:rsid w:val="008043DE"/>
    <w:rsid w:val="008043F4"/>
    <w:rsid w:val="00804562"/>
    <w:rsid w:val="008045BB"/>
    <w:rsid w:val="008047AE"/>
    <w:rsid w:val="008048DF"/>
    <w:rsid w:val="00804934"/>
    <w:rsid w:val="008049DB"/>
    <w:rsid w:val="008051EB"/>
    <w:rsid w:val="008053A3"/>
    <w:rsid w:val="00805515"/>
    <w:rsid w:val="00805559"/>
    <w:rsid w:val="008056D3"/>
    <w:rsid w:val="008058EE"/>
    <w:rsid w:val="0080598F"/>
    <w:rsid w:val="008059BD"/>
    <w:rsid w:val="00805A69"/>
    <w:rsid w:val="00805EAE"/>
    <w:rsid w:val="00805F99"/>
    <w:rsid w:val="008060CF"/>
    <w:rsid w:val="00806822"/>
    <w:rsid w:val="008069E0"/>
    <w:rsid w:val="00806A2B"/>
    <w:rsid w:val="00806BA9"/>
    <w:rsid w:val="00806C18"/>
    <w:rsid w:val="00806D3F"/>
    <w:rsid w:val="00806D4E"/>
    <w:rsid w:val="00806FE8"/>
    <w:rsid w:val="008078FC"/>
    <w:rsid w:val="00807948"/>
    <w:rsid w:val="008079FB"/>
    <w:rsid w:val="00807EBD"/>
    <w:rsid w:val="00810756"/>
    <w:rsid w:val="0081081E"/>
    <w:rsid w:val="00810B3E"/>
    <w:rsid w:val="00810CE7"/>
    <w:rsid w:val="00810DE0"/>
    <w:rsid w:val="00810E5F"/>
    <w:rsid w:val="00810E76"/>
    <w:rsid w:val="0081138F"/>
    <w:rsid w:val="008116BB"/>
    <w:rsid w:val="008116CB"/>
    <w:rsid w:val="0081197F"/>
    <w:rsid w:val="00812579"/>
    <w:rsid w:val="0081276C"/>
    <w:rsid w:val="00812ADA"/>
    <w:rsid w:val="00812D13"/>
    <w:rsid w:val="00812E38"/>
    <w:rsid w:val="00813194"/>
    <w:rsid w:val="008137FE"/>
    <w:rsid w:val="008138A8"/>
    <w:rsid w:val="00813909"/>
    <w:rsid w:val="00813FAC"/>
    <w:rsid w:val="00814034"/>
    <w:rsid w:val="00814198"/>
    <w:rsid w:val="008141ED"/>
    <w:rsid w:val="00814264"/>
    <w:rsid w:val="008146C7"/>
    <w:rsid w:val="008151B5"/>
    <w:rsid w:val="00815238"/>
    <w:rsid w:val="008152A6"/>
    <w:rsid w:val="00815ED8"/>
    <w:rsid w:val="00815F25"/>
    <w:rsid w:val="0081602B"/>
    <w:rsid w:val="008160A0"/>
    <w:rsid w:val="0081619B"/>
    <w:rsid w:val="0081625D"/>
    <w:rsid w:val="008164C8"/>
    <w:rsid w:val="00816B17"/>
    <w:rsid w:val="00816B49"/>
    <w:rsid w:val="00817104"/>
    <w:rsid w:val="008175D8"/>
    <w:rsid w:val="00817757"/>
    <w:rsid w:val="00817860"/>
    <w:rsid w:val="00817C4A"/>
    <w:rsid w:val="00817E0E"/>
    <w:rsid w:val="00820348"/>
    <w:rsid w:val="008204F7"/>
    <w:rsid w:val="00820697"/>
    <w:rsid w:val="0082074B"/>
    <w:rsid w:val="008207E4"/>
    <w:rsid w:val="00820BBE"/>
    <w:rsid w:val="00820C1B"/>
    <w:rsid w:val="00821463"/>
    <w:rsid w:val="008215FB"/>
    <w:rsid w:val="00821A65"/>
    <w:rsid w:val="00821D2A"/>
    <w:rsid w:val="00821D44"/>
    <w:rsid w:val="00821D99"/>
    <w:rsid w:val="00822224"/>
    <w:rsid w:val="008223CA"/>
    <w:rsid w:val="0082277D"/>
    <w:rsid w:val="008229D2"/>
    <w:rsid w:val="00822B46"/>
    <w:rsid w:val="00822F3B"/>
    <w:rsid w:val="0082362C"/>
    <w:rsid w:val="0082392C"/>
    <w:rsid w:val="00823933"/>
    <w:rsid w:val="00824591"/>
    <w:rsid w:val="00824792"/>
    <w:rsid w:val="0082488F"/>
    <w:rsid w:val="00824D87"/>
    <w:rsid w:val="00824E13"/>
    <w:rsid w:val="00825974"/>
    <w:rsid w:val="00826009"/>
    <w:rsid w:val="008260C5"/>
    <w:rsid w:val="008260ED"/>
    <w:rsid w:val="008261E5"/>
    <w:rsid w:val="008262F4"/>
    <w:rsid w:val="0082635D"/>
    <w:rsid w:val="0082642F"/>
    <w:rsid w:val="0082653A"/>
    <w:rsid w:val="0082653E"/>
    <w:rsid w:val="00826622"/>
    <w:rsid w:val="008267AE"/>
    <w:rsid w:val="0082699A"/>
    <w:rsid w:val="00826C31"/>
    <w:rsid w:val="008273C1"/>
    <w:rsid w:val="0082755E"/>
    <w:rsid w:val="0082788B"/>
    <w:rsid w:val="00827B0D"/>
    <w:rsid w:val="00827F7A"/>
    <w:rsid w:val="00827F93"/>
    <w:rsid w:val="00830959"/>
    <w:rsid w:val="00830AD6"/>
    <w:rsid w:val="00830D89"/>
    <w:rsid w:val="00831044"/>
    <w:rsid w:val="0083106A"/>
    <w:rsid w:val="00831919"/>
    <w:rsid w:val="0083192C"/>
    <w:rsid w:val="00831A30"/>
    <w:rsid w:val="00831E36"/>
    <w:rsid w:val="00831E9E"/>
    <w:rsid w:val="00831F10"/>
    <w:rsid w:val="0083226D"/>
    <w:rsid w:val="00832359"/>
    <w:rsid w:val="008325B5"/>
    <w:rsid w:val="00832BFA"/>
    <w:rsid w:val="00832DF1"/>
    <w:rsid w:val="00832FA6"/>
    <w:rsid w:val="0083303E"/>
    <w:rsid w:val="0083312C"/>
    <w:rsid w:val="00833289"/>
    <w:rsid w:val="0083337B"/>
    <w:rsid w:val="008333B6"/>
    <w:rsid w:val="008336A0"/>
    <w:rsid w:val="0083382B"/>
    <w:rsid w:val="0083385E"/>
    <w:rsid w:val="008344B4"/>
    <w:rsid w:val="008344F8"/>
    <w:rsid w:val="00834643"/>
    <w:rsid w:val="00834973"/>
    <w:rsid w:val="00834B88"/>
    <w:rsid w:val="00834E09"/>
    <w:rsid w:val="00834ED0"/>
    <w:rsid w:val="0083547A"/>
    <w:rsid w:val="00835E13"/>
    <w:rsid w:val="008363A4"/>
    <w:rsid w:val="00836F55"/>
    <w:rsid w:val="00837129"/>
    <w:rsid w:val="00837474"/>
    <w:rsid w:val="00837575"/>
    <w:rsid w:val="00837E6B"/>
    <w:rsid w:val="0084010B"/>
    <w:rsid w:val="008406DA"/>
    <w:rsid w:val="00840E31"/>
    <w:rsid w:val="008410FD"/>
    <w:rsid w:val="0084113D"/>
    <w:rsid w:val="0084125F"/>
    <w:rsid w:val="0084131D"/>
    <w:rsid w:val="00841715"/>
    <w:rsid w:val="00841755"/>
    <w:rsid w:val="00841B5E"/>
    <w:rsid w:val="00841DD8"/>
    <w:rsid w:val="00841ED0"/>
    <w:rsid w:val="008420A2"/>
    <w:rsid w:val="008429B8"/>
    <w:rsid w:val="00842D67"/>
    <w:rsid w:val="00842F48"/>
    <w:rsid w:val="00843088"/>
    <w:rsid w:val="008431AA"/>
    <w:rsid w:val="0084336E"/>
    <w:rsid w:val="00843732"/>
    <w:rsid w:val="0084459F"/>
    <w:rsid w:val="0084518E"/>
    <w:rsid w:val="00845757"/>
    <w:rsid w:val="00845A51"/>
    <w:rsid w:val="00845B03"/>
    <w:rsid w:val="00845D16"/>
    <w:rsid w:val="00845EEA"/>
    <w:rsid w:val="00846292"/>
    <w:rsid w:val="0084676C"/>
    <w:rsid w:val="00846F0E"/>
    <w:rsid w:val="00846F27"/>
    <w:rsid w:val="00847720"/>
    <w:rsid w:val="00847A1F"/>
    <w:rsid w:val="00847BF0"/>
    <w:rsid w:val="00847D6B"/>
    <w:rsid w:val="00847EC6"/>
    <w:rsid w:val="008503F2"/>
    <w:rsid w:val="008508F8"/>
    <w:rsid w:val="00850A9C"/>
    <w:rsid w:val="0085109B"/>
    <w:rsid w:val="008511D3"/>
    <w:rsid w:val="00851F09"/>
    <w:rsid w:val="00852905"/>
    <w:rsid w:val="00852B5B"/>
    <w:rsid w:val="00852EA0"/>
    <w:rsid w:val="008530D2"/>
    <w:rsid w:val="0085346F"/>
    <w:rsid w:val="008534F5"/>
    <w:rsid w:val="00853814"/>
    <w:rsid w:val="00853949"/>
    <w:rsid w:val="00853998"/>
    <w:rsid w:val="00853E1D"/>
    <w:rsid w:val="00853E9B"/>
    <w:rsid w:val="008540E2"/>
    <w:rsid w:val="008547DA"/>
    <w:rsid w:val="008549A0"/>
    <w:rsid w:val="00854DE4"/>
    <w:rsid w:val="008550DF"/>
    <w:rsid w:val="008552B3"/>
    <w:rsid w:val="0085582D"/>
    <w:rsid w:val="00855A28"/>
    <w:rsid w:val="00856097"/>
    <w:rsid w:val="0085634A"/>
    <w:rsid w:val="00856861"/>
    <w:rsid w:val="00856E2D"/>
    <w:rsid w:val="0085792F"/>
    <w:rsid w:val="00857D43"/>
    <w:rsid w:val="00857EE1"/>
    <w:rsid w:val="00857FEB"/>
    <w:rsid w:val="008600D5"/>
    <w:rsid w:val="0086057B"/>
    <w:rsid w:val="008605E6"/>
    <w:rsid w:val="008607FE"/>
    <w:rsid w:val="008618EA"/>
    <w:rsid w:val="00861AA2"/>
    <w:rsid w:val="00861D74"/>
    <w:rsid w:val="00861FBC"/>
    <w:rsid w:val="008623D2"/>
    <w:rsid w:val="0086262B"/>
    <w:rsid w:val="00862863"/>
    <w:rsid w:val="00862CA1"/>
    <w:rsid w:val="0086342A"/>
    <w:rsid w:val="00863618"/>
    <w:rsid w:val="00863811"/>
    <w:rsid w:val="008639C2"/>
    <w:rsid w:val="00864346"/>
    <w:rsid w:val="00864560"/>
    <w:rsid w:val="00864A4B"/>
    <w:rsid w:val="00864B1F"/>
    <w:rsid w:val="00865451"/>
    <w:rsid w:val="008654AB"/>
    <w:rsid w:val="008656E5"/>
    <w:rsid w:val="0086578E"/>
    <w:rsid w:val="008658E2"/>
    <w:rsid w:val="00865936"/>
    <w:rsid w:val="00865B87"/>
    <w:rsid w:val="00865E95"/>
    <w:rsid w:val="0086613B"/>
    <w:rsid w:val="00866388"/>
    <w:rsid w:val="008665BF"/>
    <w:rsid w:val="00866880"/>
    <w:rsid w:val="0086690D"/>
    <w:rsid w:val="0086700A"/>
    <w:rsid w:val="008672EB"/>
    <w:rsid w:val="008675D5"/>
    <w:rsid w:val="008679EB"/>
    <w:rsid w:val="008679EF"/>
    <w:rsid w:val="008700B2"/>
    <w:rsid w:val="00870651"/>
    <w:rsid w:val="00870B39"/>
    <w:rsid w:val="00870D69"/>
    <w:rsid w:val="00871024"/>
    <w:rsid w:val="00871153"/>
    <w:rsid w:val="0087119D"/>
    <w:rsid w:val="00871544"/>
    <w:rsid w:val="0087156E"/>
    <w:rsid w:val="0087182D"/>
    <w:rsid w:val="00871BB4"/>
    <w:rsid w:val="00871CE9"/>
    <w:rsid w:val="00871D10"/>
    <w:rsid w:val="008720BA"/>
    <w:rsid w:val="0087228D"/>
    <w:rsid w:val="00872488"/>
    <w:rsid w:val="00872978"/>
    <w:rsid w:val="00872A38"/>
    <w:rsid w:val="0087303B"/>
    <w:rsid w:val="0087376F"/>
    <w:rsid w:val="00873B0E"/>
    <w:rsid w:val="00873BE3"/>
    <w:rsid w:val="00873C87"/>
    <w:rsid w:val="00874225"/>
    <w:rsid w:val="00874B20"/>
    <w:rsid w:val="00874B8B"/>
    <w:rsid w:val="00874CEF"/>
    <w:rsid w:val="00874ED1"/>
    <w:rsid w:val="00874F2D"/>
    <w:rsid w:val="0087505A"/>
    <w:rsid w:val="0087514E"/>
    <w:rsid w:val="008751E1"/>
    <w:rsid w:val="008752DA"/>
    <w:rsid w:val="0087543E"/>
    <w:rsid w:val="008756C6"/>
    <w:rsid w:val="00875C0B"/>
    <w:rsid w:val="008764A7"/>
    <w:rsid w:val="00876911"/>
    <w:rsid w:val="00876927"/>
    <w:rsid w:val="00876C57"/>
    <w:rsid w:val="008771A2"/>
    <w:rsid w:val="0087733B"/>
    <w:rsid w:val="00877377"/>
    <w:rsid w:val="008777E0"/>
    <w:rsid w:val="00877D29"/>
    <w:rsid w:val="00877EDF"/>
    <w:rsid w:val="00880E0F"/>
    <w:rsid w:val="00880E77"/>
    <w:rsid w:val="00880E7B"/>
    <w:rsid w:val="008817F7"/>
    <w:rsid w:val="00881959"/>
    <w:rsid w:val="00881A31"/>
    <w:rsid w:val="00882657"/>
    <w:rsid w:val="008826B7"/>
    <w:rsid w:val="00882785"/>
    <w:rsid w:val="00882948"/>
    <w:rsid w:val="008831BC"/>
    <w:rsid w:val="00883EB4"/>
    <w:rsid w:val="008845CD"/>
    <w:rsid w:val="00884C90"/>
    <w:rsid w:val="0088525B"/>
    <w:rsid w:val="00885370"/>
    <w:rsid w:val="0088562F"/>
    <w:rsid w:val="00885B41"/>
    <w:rsid w:val="00885CD9"/>
    <w:rsid w:val="00885F2E"/>
    <w:rsid w:val="008860FF"/>
    <w:rsid w:val="00886185"/>
    <w:rsid w:val="00886692"/>
    <w:rsid w:val="0088675E"/>
    <w:rsid w:val="00886905"/>
    <w:rsid w:val="00886E59"/>
    <w:rsid w:val="008871E5"/>
    <w:rsid w:val="00887225"/>
    <w:rsid w:val="0088789A"/>
    <w:rsid w:val="00887949"/>
    <w:rsid w:val="00890381"/>
    <w:rsid w:val="00890C67"/>
    <w:rsid w:val="00891019"/>
    <w:rsid w:val="00891736"/>
    <w:rsid w:val="00891AFD"/>
    <w:rsid w:val="00891C48"/>
    <w:rsid w:val="00891CCB"/>
    <w:rsid w:val="00891DBF"/>
    <w:rsid w:val="00891E35"/>
    <w:rsid w:val="008920DB"/>
    <w:rsid w:val="00892413"/>
    <w:rsid w:val="00892463"/>
    <w:rsid w:val="0089248F"/>
    <w:rsid w:val="008926FC"/>
    <w:rsid w:val="0089276E"/>
    <w:rsid w:val="0089297B"/>
    <w:rsid w:val="00892C92"/>
    <w:rsid w:val="008932E1"/>
    <w:rsid w:val="00893741"/>
    <w:rsid w:val="00893811"/>
    <w:rsid w:val="00893A21"/>
    <w:rsid w:val="008940EA"/>
    <w:rsid w:val="00894481"/>
    <w:rsid w:val="008948D1"/>
    <w:rsid w:val="008948D6"/>
    <w:rsid w:val="00894B18"/>
    <w:rsid w:val="00894D1B"/>
    <w:rsid w:val="00894DE1"/>
    <w:rsid w:val="00894FEE"/>
    <w:rsid w:val="00895205"/>
    <w:rsid w:val="00895264"/>
    <w:rsid w:val="008952B5"/>
    <w:rsid w:val="00895528"/>
    <w:rsid w:val="00895967"/>
    <w:rsid w:val="00895FD9"/>
    <w:rsid w:val="00896650"/>
    <w:rsid w:val="00896A2F"/>
    <w:rsid w:val="00896A4C"/>
    <w:rsid w:val="00896FED"/>
    <w:rsid w:val="008974CD"/>
    <w:rsid w:val="00897522"/>
    <w:rsid w:val="00897C07"/>
    <w:rsid w:val="00897DEA"/>
    <w:rsid w:val="00897E1E"/>
    <w:rsid w:val="00897E74"/>
    <w:rsid w:val="008A0806"/>
    <w:rsid w:val="008A0B0B"/>
    <w:rsid w:val="008A1276"/>
    <w:rsid w:val="008A141B"/>
    <w:rsid w:val="008A1E38"/>
    <w:rsid w:val="008A1E85"/>
    <w:rsid w:val="008A1E9B"/>
    <w:rsid w:val="008A203B"/>
    <w:rsid w:val="008A208C"/>
    <w:rsid w:val="008A2491"/>
    <w:rsid w:val="008A26D9"/>
    <w:rsid w:val="008A2A41"/>
    <w:rsid w:val="008A2F4F"/>
    <w:rsid w:val="008A2F92"/>
    <w:rsid w:val="008A3C3C"/>
    <w:rsid w:val="008A3CDD"/>
    <w:rsid w:val="008A4304"/>
    <w:rsid w:val="008A440F"/>
    <w:rsid w:val="008A48A0"/>
    <w:rsid w:val="008A4CD2"/>
    <w:rsid w:val="008A4EB6"/>
    <w:rsid w:val="008A51E4"/>
    <w:rsid w:val="008A5296"/>
    <w:rsid w:val="008A548F"/>
    <w:rsid w:val="008A5848"/>
    <w:rsid w:val="008A58D4"/>
    <w:rsid w:val="008A5A6D"/>
    <w:rsid w:val="008A62C4"/>
    <w:rsid w:val="008A65E4"/>
    <w:rsid w:val="008A68F8"/>
    <w:rsid w:val="008A69F9"/>
    <w:rsid w:val="008A6B37"/>
    <w:rsid w:val="008A6BAC"/>
    <w:rsid w:val="008A6C64"/>
    <w:rsid w:val="008A751D"/>
    <w:rsid w:val="008A7C78"/>
    <w:rsid w:val="008A7D07"/>
    <w:rsid w:val="008B0110"/>
    <w:rsid w:val="008B01B6"/>
    <w:rsid w:val="008B054E"/>
    <w:rsid w:val="008B0A63"/>
    <w:rsid w:val="008B0C7E"/>
    <w:rsid w:val="008B0D86"/>
    <w:rsid w:val="008B1237"/>
    <w:rsid w:val="008B1848"/>
    <w:rsid w:val="008B1A13"/>
    <w:rsid w:val="008B2197"/>
    <w:rsid w:val="008B22CB"/>
    <w:rsid w:val="008B266C"/>
    <w:rsid w:val="008B297A"/>
    <w:rsid w:val="008B2994"/>
    <w:rsid w:val="008B2A22"/>
    <w:rsid w:val="008B2AA5"/>
    <w:rsid w:val="008B2E53"/>
    <w:rsid w:val="008B347D"/>
    <w:rsid w:val="008B3731"/>
    <w:rsid w:val="008B3B2E"/>
    <w:rsid w:val="008B3D8A"/>
    <w:rsid w:val="008B4180"/>
    <w:rsid w:val="008B4324"/>
    <w:rsid w:val="008B4344"/>
    <w:rsid w:val="008B4372"/>
    <w:rsid w:val="008B46B3"/>
    <w:rsid w:val="008B47C7"/>
    <w:rsid w:val="008B4A86"/>
    <w:rsid w:val="008B4C6D"/>
    <w:rsid w:val="008B4C9B"/>
    <w:rsid w:val="008B4CAA"/>
    <w:rsid w:val="008B4F7B"/>
    <w:rsid w:val="008B4FBE"/>
    <w:rsid w:val="008B502F"/>
    <w:rsid w:val="008B521F"/>
    <w:rsid w:val="008B6023"/>
    <w:rsid w:val="008B6515"/>
    <w:rsid w:val="008B6CF7"/>
    <w:rsid w:val="008B6E80"/>
    <w:rsid w:val="008B6EA0"/>
    <w:rsid w:val="008B7043"/>
    <w:rsid w:val="008B78AD"/>
    <w:rsid w:val="008B7A50"/>
    <w:rsid w:val="008B7DAC"/>
    <w:rsid w:val="008C0135"/>
    <w:rsid w:val="008C055B"/>
    <w:rsid w:val="008C06FF"/>
    <w:rsid w:val="008C0BF2"/>
    <w:rsid w:val="008C0DC4"/>
    <w:rsid w:val="008C1271"/>
    <w:rsid w:val="008C17D8"/>
    <w:rsid w:val="008C1A49"/>
    <w:rsid w:val="008C1B13"/>
    <w:rsid w:val="008C1F22"/>
    <w:rsid w:val="008C202C"/>
    <w:rsid w:val="008C298E"/>
    <w:rsid w:val="008C2E3B"/>
    <w:rsid w:val="008C3437"/>
    <w:rsid w:val="008C3646"/>
    <w:rsid w:val="008C3A31"/>
    <w:rsid w:val="008C3B18"/>
    <w:rsid w:val="008C3C64"/>
    <w:rsid w:val="008C3E5E"/>
    <w:rsid w:val="008C4282"/>
    <w:rsid w:val="008C46D4"/>
    <w:rsid w:val="008C4723"/>
    <w:rsid w:val="008C4B69"/>
    <w:rsid w:val="008C4E4D"/>
    <w:rsid w:val="008C4FA8"/>
    <w:rsid w:val="008C57E1"/>
    <w:rsid w:val="008C5A6A"/>
    <w:rsid w:val="008C5C19"/>
    <w:rsid w:val="008C5C52"/>
    <w:rsid w:val="008C5EDE"/>
    <w:rsid w:val="008C6142"/>
    <w:rsid w:val="008C63D1"/>
    <w:rsid w:val="008C6991"/>
    <w:rsid w:val="008C6B84"/>
    <w:rsid w:val="008C6B93"/>
    <w:rsid w:val="008C6B94"/>
    <w:rsid w:val="008C6BDD"/>
    <w:rsid w:val="008C6C09"/>
    <w:rsid w:val="008C716C"/>
    <w:rsid w:val="008D0198"/>
    <w:rsid w:val="008D0335"/>
    <w:rsid w:val="008D05FF"/>
    <w:rsid w:val="008D07BB"/>
    <w:rsid w:val="008D0AF4"/>
    <w:rsid w:val="008D0BBF"/>
    <w:rsid w:val="008D0BE9"/>
    <w:rsid w:val="008D0C4C"/>
    <w:rsid w:val="008D0D35"/>
    <w:rsid w:val="008D1285"/>
    <w:rsid w:val="008D13F0"/>
    <w:rsid w:val="008D1B58"/>
    <w:rsid w:val="008D1BDE"/>
    <w:rsid w:val="008D1C89"/>
    <w:rsid w:val="008D1D52"/>
    <w:rsid w:val="008D1D57"/>
    <w:rsid w:val="008D21B9"/>
    <w:rsid w:val="008D27BC"/>
    <w:rsid w:val="008D2907"/>
    <w:rsid w:val="008D3619"/>
    <w:rsid w:val="008D3639"/>
    <w:rsid w:val="008D37A2"/>
    <w:rsid w:val="008D3BA9"/>
    <w:rsid w:val="008D3FAB"/>
    <w:rsid w:val="008D4103"/>
    <w:rsid w:val="008D4179"/>
    <w:rsid w:val="008D4195"/>
    <w:rsid w:val="008D430D"/>
    <w:rsid w:val="008D4411"/>
    <w:rsid w:val="008D4517"/>
    <w:rsid w:val="008D474D"/>
    <w:rsid w:val="008D4A25"/>
    <w:rsid w:val="008D5101"/>
    <w:rsid w:val="008D5257"/>
    <w:rsid w:val="008D6401"/>
    <w:rsid w:val="008D643B"/>
    <w:rsid w:val="008D6574"/>
    <w:rsid w:val="008D6AEA"/>
    <w:rsid w:val="008D6B96"/>
    <w:rsid w:val="008D6F02"/>
    <w:rsid w:val="008D7419"/>
    <w:rsid w:val="008D7838"/>
    <w:rsid w:val="008D7B66"/>
    <w:rsid w:val="008D7DA1"/>
    <w:rsid w:val="008E018E"/>
    <w:rsid w:val="008E0659"/>
    <w:rsid w:val="008E0C32"/>
    <w:rsid w:val="008E0C94"/>
    <w:rsid w:val="008E1164"/>
    <w:rsid w:val="008E1217"/>
    <w:rsid w:val="008E12EA"/>
    <w:rsid w:val="008E150E"/>
    <w:rsid w:val="008E1519"/>
    <w:rsid w:val="008E1796"/>
    <w:rsid w:val="008E1A09"/>
    <w:rsid w:val="008E2204"/>
    <w:rsid w:val="008E2209"/>
    <w:rsid w:val="008E245C"/>
    <w:rsid w:val="008E2AEC"/>
    <w:rsid w:val="008E338D"/>
    <w:rsid w:val="008E35C6"/>
    <w:rsid w:val="008E39DA"/>
    <w:rsid w:val="008E41DA"/>
    <w:rsid w:val="008E53BB"/>
    <w:rsid w:val="008E58AF"/>
    <w:rsid w:val="008E59A4"/>
    <w:rsid w:val="008E5BCD"/>
    <w:rsid w:val="008E5D34"/>
    <w:rsid w:val="008E5DC5"/>
    <w:rsid w:val="008E5FBD"/>
    <w:rsid w:val="008E607C"/>
    <w:rsid w:val="008E66EE"/>
    <w:rsid w:val="008E6C37"/>
    <w:rsid w:val="008E6F25"/>
    <w:rsid w:val="008E7337"/>
    <w:rsid w:val="008E7902"/>
    <w:rsid w:val="008F0513"/>
    <w:rsid w:val="008F0948"/>
    <w:rsid w:val="008F0B65"/>
    <w:rsid w:val="008F0CAB"/>
    <w:rsid w:val="008F12D3"/>
    <w:rsid w:val="008F1822"/>
    <w:rsid w:val="008F1CC8"/>
    <w:rsid w:val="008F1F26"/>
    <w:rsid w:val="008F25AD"/>
    <w:rsid w:val="008F27C6"/>
    <w:rsid w:val="008F289F"/>
    <w:rsid w:val="008F2E1A"/>
    <w:rsid w:val="008F32EC"/>
    <w:rsid w:val="008F34CC"/>
    <w:rsid w:val="008F3655"/>
    <w:rsid w:val="008F373B"/>
    <w:rsid w:val="008F39AE"/>
    <w:rsid w:val="008F405E"/>
    <w:rsid w:val="008F437F"/>
    <w:rsid w:val="008F4866"/>
    <w:rsid w:val="008F52DE"/>
    <w:rsid w:val="008F55B0"/>
    <w:rsid w:val="008F5627"/>
    <w:rsid w:val="008F56F3"/>
    <w:rsid w:val="008F5920"/>
    <w:rsid w:val="008F5F50"/>
    <w:rsid w:val="008F61C8"/>
    <w:rsid w:val="008F6266"/>
    <w:rsid w:val="008F6391"/>
    <w:rsid w:val="008F6871"/>
    <w:rsid w:val="008F690E"/>
    <w:rsid w:val="008F6B75"/>
    <w:rsid w:val="008F6BE3"/>
    <w:rsid w:val="008F6D25"/>
    <w:rsid w:val="008F7198"/>
    <w:rsid w:val="008F77FB"/>
    <w:rsid w:val="008F78BE"/>
    <w:rsid w:val="008F7F57"/>
    <w:rsid w:val="009000E1"/>
    <w:rsid w:val="009002B3"/>
    <w:rsid w:val="0090077D"/>
    <w:rsid w:val="00900B5D"/>
    <w:rsid w:val="00900BE0"/>
    <w:rsid w:val="00901037"/>
    <w:rsid w:val="0090104D"/>
    <w:rsid w:val="00901059"/>
    <w:rsid w:val="009014C9"/>
    <w:rsid w:val="0090161C"/>
    <w:rsid w:val="009017BD"/>
    <w:rsid w:val="009017F1"/>
    <w:rsid w:val="009017F4"/>
    <w:rsid w:val="009018C6"/>
    <w:rsid w:val="00901904"/>
    <w:rsid w:val="00901C8E"/>
    <w:rsid w:val="0090248A"/>
    <w:rsid w:val="0090277C"/>
    <w:rsid w:val="00902AA4"/>
    <w:rsid w:val="00902B69"/>
    <w:rsid w:val="00902F85"/>
    <w:rsid w:val="00903656"/>
    <w:rsid w:val="009038B3"/>
    <w:rsid w:val="00903C62"/>
    <w:rsid w:val="00903E0E"/>
    <w:rsid w:val="009040AB"/>
    <w:rsid w:val="009041EF"/>
    <w:rsid w:val="0090439E"/>
    <w:rsid w:val="0090460C"/>
    <w:rsid w:val="00904959"/>
    <w:rsid w:val="00904AF5"/>
    <w:rsid w:val="00904FE9"/>
    <w:rsid w:val="00905303"/>
    <w:rsid w:val="009053ED"/>
    <w:rsid w:val="00905751"/>
    <w:rsid w:val="00905752"/>
    <w:rsid w:val="00905788"/>
    <w:rsid w:val="00906016"/>
    <w:rsid w:val="009061C1"/>
    <w:rsid w:val="00906B29"/>
    <w:rsid w:val="00906CF1"/>
    <w:rsid w:val="00906EC7"/>
    <w:rsid w:val="00907579"/>
    <w:rsid w:val="00907670"/>
    <w:rsid w:val="00907772"/>
    <w:rsid w:val="00907837"/>
    <w:rsid w:val="00907F16"/>
    <w:rsid w:val="0091020D"/>
    <w:rsid w:val="00910584"/>
    <w:rsid w:val="00910672"/>
    <w:rsid w:val="0091068F"/>
    <w:rsid w:val="0091094F"/>
    <w:rsid w:val="00910FA5"/>
    <w:rsid w:val="00911046"/>
    <w:rsid w:val="00911222"/>
    <w:rsid w:val="009112ED"/>
    <w:rsid w:val="00911932"/>
    <w:rsid w:val="00911ABB"/>
    <w:rsid w:val="00911E1F"/>
    <w:rsid w:val="00911E91"/>
    <w:rsid w:val="00911F07"/>
    <w:rsid w:val="00911FC5"/>
    <w:rsid w:val="009124AB"/>
    <w:rsid w:val="00912D32"/>
    <w:rsid w:val="00912E37"/>
    <w:rsid w:val="009136C0"/>
    <w:rsid w:val="00913847"/>
    <w:rsid w:val="00913E59"/>
    <w:rsid w:val="00913E8E"/>
    <w:rsid w:val="00914B1B"/>
    <w:rsid w:val="00914C07"/>
    <w:rsid w:val="009158F4"/>
    <w:rsid w:val="009159AE"/>
    <w:rsid w:val="00915E69"/>
    <w:rsid w:val="0091624F"/>
    <w:rsid w:val="00916332"/>
    <w:rsid w:val="00916BFE"/>
    <w:rsid w:val="00916F59"/>
    <w:rsid w:val="00917148"/>
    <w:rsid w:val="009175D4"/>
    <w:rsid w:val="009177B6"/>
    <w:rsid w:val="009177DE"/>
    <w:rsid w:val="00917813"/>
    <w:rsid w:val="00917C28"/>
    <w:rsid w:val="00917DD4"/>
    <w:rsid w:val="00917E24"/>
    <w:rsid w:val="00920364"/>
    <w:rsid w:val="0092068D"/>
    <w:rsid w:val="009207AA"/>
    <w:rsid w:val="00920B28"/>
    <w:rsid w:val="00921275"/>
    <w:rsid w:val="009216FA"/>
    <w:rsid w:val="00921810"/>
    <w:rsid w:val="00921976"/>
    <w:rsid w:val="009219F5"/>
    <w:rsid w:val="00921BF8"/>
    <w:rsid w:val="00922127"/>
    <w:rsid w:val="0092252D"/>
    <w:rsid w:val="0092281A"/>
    <w:rsid w:val="0092289E"/>
    <w:rsid w:val="009231AA"/>
    <w:rsid w:val="00923265"/>
    <w:rsid w:val="00923C7B"/>
    <w:rsid w:val="00924345"/>
    <w:rsid w:val="009244B8"/>
    <w:rsid w:val="009244EA"/>
    <w:rsid w:val="009244ED"/>
    <w:rsid w:val="009245B9"/>
    <w:rsid w:val="00924A1B"/>
    <w:rsid w:val="00924A5D"/>
    <w:rsid w:val="00924C63"/>
    <w:rsid w:val="00924DAB"/>
    <w:rsid w:val="00925008"/>
    <w:rsid w:val="0092521C"/>
    <w:rsid w:val="0092577E"/>
    <w:rsid w:val="00925C29"/>
    <w:rsid w:val="00925C9D"/>
    <w:rsid w:val="009261C6"/>
    <w:rsid w:val="00926639"/>
    <w:rsid w:val="00926849"/>
    <w:rsid w:val="0092694F"/>
    <w:rsid w:val="00927071"/>
    <w:rsid w:val="009271FC"/>
    <w:rsid w:val="00927472"/>
    <w:rsid w:val="00927965"/>
    <w:rsid w:val="00927C1E"/>
    <w:rsid w:val="00930076"/>
    <w:rsid w:val="009302DA"/>
    <w:rsid w:val="009303BA"/>
    <w:rsid w:val="009311CF"/>
    <w:rsid w:val="0093135C"/>
    <w:rsid w:val="0093156D"/>
    <w:rsid w:val="00931626"/>
    <w:rsid w:val="0093193F"/>
    <w:rsid w:val="00931A82"/>
    <w:rsid w:val="00931F39"/>
    <w:rsid w:val="00932350"/>
    <w:rsid w:val="00932556"/>
    <w:rsid w:val="009325C9"/>
    <w:rsid w:val="009331D5"/>
    <w:rsid w:val="0093350C"/>
    <w:rsid w:val="0093353E"/>
    <w:rsid w:val="009335F3"/>
    <w:rsid w:val="00933653"/>
    <w:rsid w:val="009336E1"/>
    <w:rsid w:val="009337A6"/>
    <w:rsid w:val="00933DD2"/>
    <w:rsid w:val="00933FB2"/>
    <w:rsid w:val="0093405B"/>
    <w:rsid w:val="009341A1"/>
    <w:rsid w:val="009348D4"/>
    <w:rsid w:val="00934FEA"/>
    <w:rsid w:val="009352CE"/>
    <w:rsid w:val="0093539C"/>
    <w:rsid w:val="00935404"/>
    <w:rsid w:val="00935456"/>
    <w:rsid w:val="00935616"/>
    <w:rsid w:val="00935DDE"/>
    <w:rsid w:val="00935E7A"/>
    <w:rsid w:val="00935E85"/>
    <w:rsid w:val="00935F70"/>
    <w:rsid w:val="009366C6"/>
    <w:rsid w:val="00936826"/>
    <w:rsid w:val="00936DC1"/>
    <w:rsid w:val="00937023"/>
    <w:rsid w:val="00937157"/>
    <w:rsid w:val="009372EB"/>
    <w:rsid w:val="00937CDF"/>
    <w:rsid w:val="00937E49"/>
    <w:rsid w:val="00937FFA"/>
    <w:rsid w:val="0094015F"/>
    <w:rsid w:val="00940382"/>
    <w:rsid w:val="00940681"/>
    <w:rsid w:val="00940C0F"/>
    <w:rsid w:val="00940DF3"/>
    <w:rsid w:val="009411DE"/>
    <w:rsid w:val="00942069"/>
    <w:rsid w:val="009420F5"/>
    <w:rsid w:val="009429BC"/>
    <w:rsid w:val="00942A73"/>
    <w:rsid w:val="00942C1E"/>
    <w:rsid w:val="00943217"/>
    <w:rsid w:val="0094369F"/>
    <w:rsid w:val="0094378A"/>
    <w:rsid w:val="00943DDA"/>
    <w:rsid w:val="00943E96"/>
    <w:rsid w:val="00944611"/>
    <w:rsid w:val="00945246"/>
    <w:rsid w:val="009454F9"/>
    <w:rsid w:val="0094553C"/>
    <w:rsid w:val="00945A42"/>
    <w:rsid w:val="00945EA5"/>
    <w:rsid w:val="009462F8"/>
    <w:rsid w:val="0094639D"/>
    <w:rsid w:val="00946548"/>
    <w:rsid w:val="00946B45"/>
    <w:rsid w:val="0094767B"/>
    <w:rsid w:val="0094767E"/>
    <w:rsid w:val="00947CA0"/>
    <w:rsid w:val="00947F06"/>
    <w:rsid w:val="00950259"/>
    <w:rsid w:val="009502E9"/>
    <w:rsid w:val="009508F0"/>
    <w:rsid w:val="00950A2D"/>
    <w:rsid w:val="00951173"/>
    <w:rsid w:val="009511AE"/>
    <w:rsid w:val="00951A59"/>
    <w:rsid w:val="00951D4D"/>
    <w:rsid w:val="009522DF"/>
    <w:rsid w:val="00952A58"/>
    <w:rsid w:val="00952CD0"/>
    <w:rsid w:val="00953124"/>
    <w:rsid w:val="0095331F"/>
    <w:rsid w:val="00953454"/>
    <w:rsid w:val="009534E2"/>
    <w:rsid w:val="0095384E"/>
    <w:rsid w:val="009538C8"/>
    <w:rsid w:val="00953A61"/>
    <w:rsid w:val="00954021"/>
    <w:rsid w:val="0095411A"/>
    <w:rsid w:val="0095424C"/>
    <w:rsid w:val="00954C9D"/>
    <w:rsid w:val="00954E44"/>
    <w:rsid w:val="009550D3"/>
    <w:rsid w:val="009551A8"/>
    <w:rsid w:val="0095549A"/>
    <w:rsid w:val="00955770"/>
    <w:rsid w:val="00956314"/>
    <w:rsid w:val="00956883"/>
    <w:rsid w:val="009568F9"/>
    <w:rsid w:val="00956C98"/>
    <w:rsid w:val="00956F31"/>
    <w:rsid w:val="00956FB0"/>
    <w:rsid w:val="009571D7"/>
    <w:rsid w:val="009572D3"/>
    <w:rsid w:val="00957C98"/>
    <w:rsid w:val="0096001D"/>
    <w:rsid w:val="009601E8"/>
    <w:rsid w:val="009603F2"/>
    <w:rsid w:val="00960CA6"/>
    <w:rsid w:val="00960DF2"/>
    <w:rsid w:val="00961005"/>
    <w:rsid w:val="009610A6"/>
    <w:rsid w:val="009610DA"/>
    <w:rsid w:val="009611F6"/>
    <w:rsid w:val="00961780"/>
    <w:rsid w:val="00961B28"/>
    <w:rsid w:val="00961E7A"/>
    <w:rsid w:val="009623BF"/>
    <w:rsid w:val="00962931"/>
    <w:rsid w:val="00962A54"/>
    <w:rsid w:val="0096372F"/>
    <w:rsid w:val="00963752"/>
    <w:rsid w:val="00963C72"/>
    <w:rsid w:val="00963D94"/>
    <w:rsid w:val="00963FDD"/>
    <w:rsid w:val="0096434B"/>
    <w:rsid w:val="009643E6"/>
    <w:rsid w:val="0096492C"/>
    <w:rsid w:val="00964E26"/>
    <w:rsid w:val="009652D3"/>
    <w:rsid w:val="009652EF"/>
    <w:rsid w:val="00965567"/>
    <w:rsid w:val="009659FE"/>
    <w:rsid w:val="00965DE7"/>
    <w:rsid w:val="0096605C"/>
    <w:rsid w:val="00966C9C"/>
    <w:rsid w:val="00966CAA"/>
    <w:rsid w:val="00966DCA"/>
    <w:rsid w:val="009671F5"/>
    <w:rsid w:val="00967514"/>
    <w:rsid w:val="0096753C"/>
    <w:rsid w:val="009675F0"/>
    <w:rsid w:val="009700EC"/>
    <w:rsid w:val="00970115"/>
    <w:rsid w:val="00970A4D"/>
    <w:rsid w:val="00971121"/>
    <w:rsid w:val="00971E6C"/>
    <w:rsid w:val="00971F53"/>
    <w:rsid w:val="00971F88"/>
    <w:rsid w:val="009728DB"/>
    <w:rsid w:val="00972B53"/>
    <w:rsid w:val="00972EC8"/>
    <w:rsid w:val="00973C21"/>
    <w:rsid w:val="00974246"/>
    <w:rsid w:val="0097485F"/>
    <w:rsid w:val="00974B29"/>
    <w:rsid w:val="00974DFD"/>
    <w:rsid w:val="00974EC3"/>
    <w:rsid w:val="00974F84"/>
    <w:rsid w:val="00975702"/>
    <w:rsid w:val="0097581C"/>
    <w:rsid w:val="00975B50"/>
    <w:rsid w:val="00975DA4"/>
    <w:rsid w:val="009761DA"/>
    <w:rsid w:val="00976308"/>
    <w:rsid w:val="0097676B"/>
    <w:rsid w:val="009769BA"/>
    <w:rsid w:val="00976CBB"/>
    <w:rsid w:val="009773FE"/>
    <w:rsid w:val="009774F6"/>
    <w:rsid w:val="009775DA"/>
    <w:rsid w:val="00977895"/>
    <w:rsid w:val="009778E1"/>
    <w:rsid w:val="0097792E"/>
    <w:rsid w:val="00977C3C"/>
    <w:rsid w:val="0098085C"/>
    <w:rsid w:val="009808CF"/>
    <w:rsid w:val="00981306"/>
    <w:rsid w:val="009813C8"/>
    <w:rsid w:val="00981546"/>
    <w:rsid w:val="00981921"/>
    <w:rsid w:val="00981A8C"/>
    <w:rsid w:val="00981B98"/>
    <w:rsid w:val="00981C3D"/>
    <w:rsid w:val="00981C96"/>
    <w:rsid w:val="0098282C"/>
    <w:rsid w:val="00982F01"/>
    <w:rsid w:val="00982FAE"/>
    <w:rsid w:val="0098305C"/>
    <w:rsid w:val="009830DB"/>
    <w:rsid w:val="009839B9"/>
    <w:rsid w:val="00983BE3"/>
    <w:rsid w:val="00983DE1"/>
    <w:rsid w:val="00983DE3"/>
    <w:rsid w:val="00984031"/>
    <w:rsid w:val="009840A0"/>
    <w:rsid w:val="00984364"/>
    <w:rsid w:val="0098461B"/>
    <w:rsid w:val="009847AE"/>
    <w:rsid w:val="00984870"/>
    <w:rsid w:val="00984C38"/>
    <w:rsid w:val="00984D69"/>
    <w:rsid w:val="00984F5A"/>
    <w:rsid w:val="009850C7"/>
    <w:rsid w:val="009858C9"/>
    <w:rsid w:val="00985A33"/>
    <w:rsid w:val="00985B91"/>
    <w:rsid w:val="00985E45"/>
    <w:rsid w:val="009861E9"/>
    <w:rsid w:val="009861F2"/>
    <w:rsid w:val="0098639A"/>
    <w:rsid w:val="009864C7"/>
    <w:rsid w:val="00986720"/>
    <w:rsid w:val="00986859"/>
    <w:rsid w:val="00986878"/>
    <w:rsid w:val="0098749E"/>
    <w:rsid w:val="009876B7"/>
    <w:rsid w:val="009878D1"/>
    <w:rsid w:val="00987FA2"/>
    <w:rsid w:val="00987FB1"/>
    <w:rsid w:val="00990016"/>
    <w:rsid w:val="009902D3"/>
    <w:rsid w:val="00990489"/>
    <w:rsid w:val="00990892"/>
    <w:rsid w:val="009909CD"/>
    <w:rsid w:val="00990BD7"/>
    <w:rsid w:val="00990DC0"/>
    <w:rsid w:val="00991BD0"/>
    <w:rsid w:val="00991CC6"/>
    <w:rsid w:val="00991DB6"/>
    <w:rsid w:val="00991FE9"/>
    <w:rsid w:val="0099262B"/>
    <w:rsid w:val="00992B88"/>
    <w:rsid w:val="00992C04"/>
    <w:rsid w:val="00992EA0"/>
    <w:rsid w:val="00992F6C"/>
    <w:rsid w:val="00993052"/>
    <w:rsid w:val="00993448"/>
    <w:rsid w:val="009938F5"/>
    <w:rsid w:val="00993A31"/>
    <w:rsid w:val="00993CAB"/>
    <w:rsid w:val="0099410B"/>
    <w:rsid w:val="00994635"/>
    <w:rsid w:val="00994651"/>
    <w:rsid w:val="009948B6"/>
    <w:rsid w:val="00994B08"/>
    <w:rsid w:val="00994F72"/>
    <w:rsid w:val="009951A7"/>
    <w:rsid w:val="009951ED"/>
    <w:rsid w:val="009953C0"/>
    <w:rsid w:val="0099553C"/>
    <w:rsid w:val="00995CA6"/>
    <w:rsid w:val="00995CA9"/>
    <w:rsid w:val="00995DC4"/>
    <w:rsid w:val="00996135"/>
    <w:rsid w:val="00996242"/>
    <w:rsid w:val="009965EC"/>
    <w:rsid w:val="009966D7"/>
    <w:rsid w:val="009968A9"/>
    <w:rsid w:val="0099698E"/>
    <w:rsid w:val="00996EE4"/>
    <w:rsid w:val="00996F79"/>
    <w:rsid w:val="0099707E"/>
    <w:rsid w:val="009970EC"/>
    <w:rsid w:val="0099717F"/>
    <w:rsid w:val="009973D2"/>
    <w:rsid w:val="00997790"/>
    <w:rsid w:val="009977F0"/>
    <w:rsid w:val="00997BEA"/>
    <w:rsid w:val="009A0080"/>
    <w:rsid w:val="009A051D"/>
    <w:rsid w:val="009A092C"/>
    <w:rsid w:val="009A0FC0"/>
    <w:rsid w:val="009A12A7"/>
    <w:rsid w:val="009A13D4"/>
    <w:rsid w:val="009A1639"/>
    <w:rsid w:val="009A17FD"/>
    <w:rsid w:val="009A1891"/>
    <w:rsid w:val="009A1976"/>
    <w:rsid w:val="009A19D0"/>
    <w:rsid w:val="009A1BDC"/>
    <w:rsid w:val="009A1FDE"/>
    <w:rsid w:val="009A22C1"/>
    <w:rsid w:val="009A2383"/>
    <w:rsid w:val="009A2951"/>
    <w:rsid w:val="009A3312"/>
    <w:rsid w:val="009A33CB"/>
    <w:rsid w:val="009A34BF"/>
    <w:rsid w:val="009A36A1"/>
    <w:rsid w:val="009A3890"/>
    <w:rsid w:val="009A3E42"/>
    <w:rsid w:val="009A42CE"/>
    <w:rsid w:val="009A44A9"/>
    <w:rsid w:val="009A45E9"/>
    <w:rsid w:val="009A4748"/>
    <w:rsid w:val="009A497A"/>
    <w:rsid w:val="009A533D"/>
    <w:rsid w:val="009A575C"/>
    <w:rsid w:val="009A58DB"/>
    <w:rsid w:val="009A5B75"/>
    <w:rsid w:val="009A5FAE"/>
    <w:rsid w:val="009A6056"/>
    <w:rsid w:val="009A60B1"/>
    <w:rsid w:val="009A629F"/>
    <w:rsid w:val="009A66BA"/>
    <w:rsid w:val="009A691F"/>
    <w:rsid w:val="009A6CC1"/>
    <w:rsid w:val="009A7130"/>
    <w:rsid w:val="009A7366"/>
    <w:rsid w:val="009A7BD0"/>
    <w:rsid w:val="009A7C74"/>
    <w:rsid w:val="009A7E90"/>
    <w:rsid w:val="009A7F9E"/>
    <w:rsid w:val="009B076D"/>
    <w:rsid w:val="009B087D"/>
    <w:rsid w:val="009B0897"/>
    <w:rsid w:val="009B0A1C"/>
    <w:rsid w:val="009B176B"/>
    <w:rsid w:val="009B1DAC"/>
    <w:rsid w:val="009B221E"/>
    <w:rsid w:val="009B2287"/>
    <w:rsid w:val="009B2836"/>
    <w:rsid w:val="009B2AFE"/>
    <w:rsid w:val="009B33CE"/>
    <w:rsid w:val="009B3690"/>
    <w:rsid w:val="009B3AE6"/>
    <w:rsid w:val="009B3DC8"/>
    <w:rsid w:val="009B4585"/>
    <w:rsid w:val="009B477B"/>
    <w:rsid w:val="009B4C64"/>
    <w:rsid w:val="009B4F56"/>
    <w:rsid w:val="009B4FF2"/>
    <w:rsid w:val="009B5445"/>
    <w:rsid w:val="009B545A"/>
    <w:rsid w:val="009B55EC"/>
    <w:rsid w:val="009B5D70"/>
    <w:rsid w:val="009B66E4"/>
    <w:rsid w:val="009B6756"/>
    <w:rsid w:val="009B6C1C"/>
    <w:rsid w:val="009B6C86"/>
    <w:rsid w:val="009B6F99"/>
    <w:rsid w:val="009B7F90"/>
    <w:rsid w:val="009C0027"/>
    <w:rsid w:val="009C021A"/>
    <w:rsid w:val="009C0485"/>
    <w:rsid w:val="009C080D"/>
    <w:rsid w:val="009C08BF"/>
    <w:rsid w:val="009C09F5"/>
    <w:rsid w:val="009C1223"/>
    <w:rsid w:val="009C1532"/>
    <w:rsid w:val="009C1637"/>
    <w:rsid w:val="009C1947"/>
    <w:rsid w:val="009C1A46"/>
    <w:rsid w:val="009C1CC6"/>
    <w:rsid w:val="009C1D24"/>
    <w:rsid w:val="009C1D2B"/>
    <w:rsid w:val="009C1D9A"/>
    <w:rsid w:val="009C2062"/>
    <w:rsid w:val="009C209F"/>
    <w:rsid w:val="009C2889"/>
    <w:rsid w:val="009C288A"/>
    <w:rsid w:val="009C292A"/>
    <w:rsid w:val="009C2A04"/>
    <w:rsid w:val="009C3416"/>
    <w:rsid w:val="009C347C"/>
    <w:rsid w:val="009C3817"/>
    <w:rsid w:val="009C38DA"/>
    <w:rsid w:val="009C39DB"/>
    <w:rsid w:val="009C430E"/>
    <w:rsid w:val="009C46C0"/>
    <w:rsid w:val="009C46C8"/>
    <w:rsid w:val="009C48CC"/>
    <w:rsid w:val="009C4C88"/>
    <w:rsid w:val="009C4D8D"/>
    <w:rsid w:val="009C4F3F"/>
    <w:rsid w:val="009C4FAE"/>
    <w:rsid w:val="009C54BB"/>
    <w:rsid w:val="009C5591"/>
    <w:rsid w:val="009C5998"/>
    <w:rsid w:val="009C5B04"/>
    <w:rsid w:val="009C5BA3"/>
    <w:rsid w:val="009C5FA6"/>
    <w:rsid w:val="009C6165"/>
    <w:rsid w:val="009C657F"/>
    <w:rsid w:val="009C6A29"/>
    <w:rsid w:val="009C7625"/>
    <w:rsid w:val="009C76AD"/>
    <w:rsid w:val="009C7728"/>
    <w:rsid w:val="009C776C"/>
    <w:rsid w:val="009C7883"/>
    <w:rsid w:val="009C7885"/>
    <w:rsid w:val="009C7991"/>
    <w:rsid w:val="009D00D8"/>
    <w:rsid w:val="009D02B7"/>
    <w:rsid w:val="009D0304"/>
    <w:rsid w:val="009D035C"/>
    <w:rsid w:val="009D08FC"/>
    <w:rsid w:val="009D094F"/>
    <w:rsid w:val="009D0CF3"/>
    <w:rsid w:val="009D149C"/>
    <w:rsid w:val="009D14BB"/>
    <w:rsid w:val="009D16B8"/>
    <w:rsid w:val="009D1AF9"/>
    <w:rsid w:val="009D23F1"/>
    <w:rsid w:val="009D2630"/>
    <w:rsid w:val="009D264A"/>
    <w:rsid w:val="009D270F"/>
    <w:rsid w:val="009D27A7"/>
    <w:rsid w:val="009D2809"/>
    <w:rsid w:val="009D2BBD"/>
    <w:rsid w:val="009D2C7E"/>
    <w:rsid w:val="009D2F87"/>
    <w:rsid w:val="009D2F8F"/>
    <w:rsid w:val="009D3736"/>
    <w:rsid w:val="009D3877"/>
    <w:rsid w:val="009D3C3F"/>
    <w:rsid w:val="009D3C4A"/>
    <w:rsid w:val="009D3EDF"/>
    <w:rsid w:val="009D435D"/>
    <w:rsid w:val="009D45D4"/>
    <w:rsid w:val="009D5406"/>
    <w:rsid w:val="009D5A53"/>
    <w:rsid w:val="009D5C99"/>
    <w:rsid w:val="009D6C0D"/>
    <w:rsid w:val="009D6F79"/>
    <w:rsid w:val="009D7168"/>
    <w:rsid w:val="009D7205"/>
    <w:rsid w:val="009D7FB4"/>
    <w:rsid w:val="009D7FB5"/>
    <w:rsid w:val="009E0011"/>
    <w:rsid w:val="009E0165"/>
    <w:rsid w:val="009E0477"/>
    <w:rsid w:val="009E0B22"/>
    <w:rsid w:val="009E0CFF"/>
    <w:rsid w:val="009E108F"/>
    <w:rsid w:val="009E12B3"/>
    <w:rsid w:val="009E1853"/>
    <w:rsid w:val="009E1975"/>
    <w:rsid w:val="009E1A47"/>
    <w:rsid w:val="009E1B90"/>
    <w:rsid w:val="009E2437"/>
    <w:rsid w:val="009E28D8"/>
    <w:rsid w:val="009E2AA2"/>
    <w:rsid w:val="009E2F99"/>
    <w:rsid w:val="009E321B"/>
    <w:rsid w:val="009E3419"/>
    <w:rsid w:val="009E351F"/>
    <w:rsid w:val="009E3CF5"/>
    <w:rsid w:val="009E3EF0"/>
    <w:rsid w:val="009E404A"/>
    <w:rsid w:val="009E4108"/>
    <w:rsid w:val="009E4419"/>
    <w:rsid w:val="009E44EE"/>
    <w:rsid w:val="009E4EDB"/>
    <w:rsid w:val="009E4F2B"/>
    <w:rsid w:val="009E5103"/>
    <w:rsid w:val="009E51FD"/>
    <w:rsid w:val="009E53A6"/>
    <w:rsid w:val="009E5588"/>
    <w:rsid w:val="009E62E6"/>
    <w:rsid w:val="009E6521"/>
    <w:rsid w:val="009E6708"/>
    <w:rsid w:val="009E6C62"/>
    <w:rsid w:val="009E73D4"/>
    <w:rsid w:val="009E7609"/>
    <w:rsid w:val="009E7684"/>
    <w:rsid w:val="009E76C5"/>
    <w:rsid w:val="009E77D9"/>
    <w:rsid w:val="009E7B46"/>
    <w:rsid w:val="009F040C"/>
    <w:rsid w:val="009F06A7"/>
    <w:rsid w:val="009F0984"/>
    <w:rsid w:val="009F0CC8"/>
    <w:rsid w:val="009F10A8"/>
    <w:rsid w:val="009F1348"/>
    <w:rsid w:val="009F1401"/>
    <w:rsid w:val="009F20E9"/>
    <w:rsid w:val="009F27AB"/>
    <w:rsid w:val="009F2B70"/>
    <w:rsid w:val="009F2BEB"/>
    <w:rsid w:val="009F2C7A"/>
    <w:rsid w:val="009F2DA9"/>
    <w:rsid w:val="009F2F70"/>
    <w:rsid w:val="009F3020"/>
    <w:rsid w:val="009F3279"/>
    <w:rsid w:val="009F3394"/>
    <w:rsid w:val="009F3786"/>
    <w:rsid w:val="009F3943"/>
    <w:rsid w:val="009F3BD8"/>
    <w:rsid w:val="009F4222"/>
    <w:rsid w:val="009F455F"/>
    <w:rsid w:val="009F4771"/>
    <w:rsid w:val="009F4825"/>
    <w:rsid w:val="009F4AC1"/>
    <w:rsid w:val="009F4C0B"/>
    <w:rsid w:val="009F4FDC"/>
    <w:rsid w:val="009F5009"/>
    <w:rsid w:val="009F5732"/>
    <w:rsid w:val="009F59CF"/>
    <w:rsid w:val="009F5AA9"/>
    <w:rsid w:val="009F5B8E"/>
    <w:rsid w:val="009F5F28"/>
    <w:rsid w:val="009F5F54"/>
    <w:rsid w:val="009F6077"/>
    <w:rsid w:val="009F611B"/>
    <w:rsid w:val="009F63C1"/>
    <w:rsid w:val="009F6722"/>
    <w:rsid w:val="009F680B"/>
    <w:rsid w:val="009F68FF"/>
    <w:rsid w:val="009F6961"/>
    <w:rsid w:val="009F69A4"/>
    <w:rsid w:val="009F6A15"/>
    <w:rsid w:val="009F6A32"/>
    <w:rsid w:val="009F73A9"/>
    <w:rsid w:val="009F74CE"/>
    <w:rsid w:val="009F764F"/>
    <w:rsid w:val="009F7B32"/>
    <w:rsid w:val="009F7B8E"/>
    <w:rsid w:val="009F7C86"/>
    <w:rsid w:val="00A00672"/>
    <w:rsid w:val="00A00768"/>
    <w:rsid w:val="00A007EB"/>
    <w:rsid w:val="00A008C9"/>
    <w:rsid w:val="00A0099D"/>
    <w:rsid w:val="00A00A3B"/>
    <w:rsid w:val="00A00B19"/>
    <w:rsid w:val="00A00B45"/>
    <w:rsid w:val="00A01372"/>
    <w:rsid w:val="00A015AE"/>
    <w:rsid w:val="00A016FC"/>
    <w:rsid w:val="00A017A4"/>
    <w:rsid w:val="00A019CA"/>
    <w:rsid w:val="00A01A90"/>
    <w:rsid w:val="00A01ACA"/>
    <w:rsid w:val="00A01DEE"/>
    <w:rsid w:val="00A0206F"/>
    <w:rsid w:val="00A020FC"/>
    <w:rsid w:val="00A021BD"/>
    <w:rsid w:val="00A023DC"/>
    <w:rsid w:val="00A024C0"/>
    <w:rsid w:val="00A024D0"/>
    <w:rsid w:val="00A024FA"/>
    <w:rsid w:val="00A025A5"/>
    <w:rsid w:val="00A026DF"/>
    <w:rsid w:val="00A026F4"/>
    <w:rsid w:val="00A02AFE"/>
    <w:rsid w:val="00A02C7D"/>
    <w:rsid w:val="00A0380E"/>
    <w:rsid w:val="00A0385F"/>
    <w:rsid w:val="00A0399B"/>
    <w:rsid w:val="00A03D54"/>
    <w:rsid w:val="00A03E84"/>
    <w:rsid w:val="00A040B1"/>
    <w:rsid w:val="00A04242"/>
    <w:rsid w:val="00A04291"/>
    <w:rsid w:val="00A044A3"/>
    <w:rsid w:val="00A04BDD"/>
    <w:rsid w:val="00A0514B"/>
    <w:rsid w:val="00A05A7E"/>
    <w:rsid w:val="00A05E55"/>
    <w:rsid w:val="00A05F0B"/>
    <w:rsid w:val="00A05F0E"/>
    <w:rsid w:val="00A06095"/>
    <w:rsid w:val="00A063D6"/>
    <w:rsid w:val="00A06553"/>
    <w:rsid w:val="00A06D53"/>
    <w:rsid w:val="00A06F82"/>
    <w:rsid w:val="00A06FEE"/>
    <w:rsid w:val="00A071FC"/>
    <w:rsid w:val="00A105DB"/>
    <w:rsid w:val="00A105F1"/>
    <w:rsid w:val="00A108CB"/>
    <w:rsid w:val="00A10DC3"/>
    <w:rsid w:val="00A1117A"/>
    <w:rsid w:val="00A112E3"/>
    <w:rsid w:val="00A11314"/>
    <w:rsid w:val="00A11E1B"/>
    <w:rsid w:val="00A12297"/>
    <w:rsid w:val="00A123CE"/>
    <w:rsid w:val="00A1257D"/>
    <w:rsid w:val="00A12C0F"/>
    <w:rsid w:val="00A12EA7"/>
    <w:rsid w:val="00A13819"/>
    <w:rsid w:val="00A138C7"/>
    <w:rsid w:val="00A13934"/>
    <w:rsid w:val="00A13AE0"/>
    <w:rsid w:val="00A13C7F"/>
    <w:rsid w:val="00A13FBF"/>
    <w:rsid w:val="00A140F7"/>
    <w:rsid w:val="00A14C54"/>
    <w:rsid w:val="00A14D2B"/>
    <w:rsid w:val="00A14D4A"/>
    <w:rsid w:val="00A14EC8"/>
    <w:rsid w:val="00A14F04"/>
    <w:rsid w:val="00A150F6"/>
    <w:rsid w:val="00A15936"/>
    <w:rsid w:val="00A159C0"/>
    <w:rsid w:val="00A15A09"/>
    <w:rsid w:val="00A15BB7"/>
    <w:rsid w:val="00A15CEB"/>
    <w:rsid w:val="00A160E3"/>
    <w:rsid w:val="00A162BC"/>
    <w:rsid w:val="00A1636C"/>
    <w:rsid w:val="00A163A4"/>
    <w:rsid w:val="00A164DC"/>
    <w:rsid w:val="00A16658"/>
    <w:rsid w:val="00A1699B"/>
    <w:rsid w:val="00A16ACC"/>
    <w:rsid w:val="00A16CC0"/>
    <w:rsid w:val="00A16E9B"/>
    <w:rsid w:val="00A17310"/>
    <w:rsid w:val="00A1775B"/>
    <w:rsid w:val="00A178D5"/>
    <w:rsid w:val="00A17909"/>
    <w:rsid w:val="00A17A14"/>
    <w:rsid w:val="00A20091"/>
    <w:rsid w:val="00A202E5"/>
    <w:rsid w:val="00A2096A"/>
    <w:rsid w:val="00A20993"/>
    <w:rsid w:val="00A20A45"/>
    <w:rsid w:val="00A20C9D"/>
    <w:rsid w:val="00A20DAA"/>
    <w:rsid w:val="00A21151"/>
    <w:rsid w:val="00A21335"/>
    <w:rsid w:val="00A218AA"/>
    <w:rsid w:val="00A21A27"/>
    <w:rsid w:val="00A21EAA"/>
    <w:rsid w:val="00A21F5E"/>
    <w:rsid w:val="00A2208B"/>
    <w:rsid w:val="00A2292E"/>
    <w:rsid w:val="00A22C9D"/>
    <w:rsid w:val="00A22FC3"/>
    <w:rsid w:val="00A232F5"/>
    <w:rsid w:val="00A23439"/>
    <w:rsid w:val="00A23451"/>
    <w:rsid w:val="00A23C70"/>
    <w:rsid w:val="00A23FBA"/>
    <w:rsid w:val="00A247A9"/>
    <w:rsid w:val="00A24B59"/>
    <w:rsid w:val="00A24C95"/>
    <w:rsid w:val="00A24F24"/>
    <w:rsid w:val="00A255B4"/>
    <w:rsid w:val="00A257CC"/>
    <w:rsid w:val="00A267E3"/>
    <w:rsid w:val="00A26B0B"/>
    <w:rsid w:val="00A26EB9"/>
    <w:rsid w:val="00A2775F"/>
    <w:rsid w:val="00A30125"/>
    <w:rsid w:val="00A30934"/>
    <w:rsid w:val="00A314A9"/>
    <w:rsid w:val="00A31516"/>
    <w:rsid w:val="00A315F5"/>
    <w:rsid w:val="00A31753"/>
    <w:rsid w:val="00A3188D"/>
    <w:rsid w:val="00A31D31"/>
    <w:rsid w:val="00A324F8"/>
    <w:rsid w:val="00A32508"/>
    <w:rsid w:val="00A32609"/>
    <w:rsid w:val="00A32B14"/>
    <w:rsid w:val="00A32D63"/>
    <w:rsid w:val="00A33E85"/>
    <w:rsid w:val="00A34286"/>
    <w:rsid w:val="00A342F0"/>
    <w:rsid w:val="00A34468"/>
    <w:rsid w:val="00A345C9"/>
    <w:rsid w:val="00A34BF4"/>
    <w:rsid w:val="00A34DA1"/>
    <w:rsid w:val="00A354A8"/>
    <w:rsid w:val="00A356AD"/>
    <w:rsid w:val="00A35751"/>
    <w:rsid w:val="00A358B6"/>
    <w:rsid w:val="00A35978"/>
    <w:rsid w:val="00A3597F"/>
    <w:rsid w:val="00A35AF8"/>
    <w:rsid w:val="00A35BFE"/>
    <w:rsid w:val="00A35C22"/>
    <w:rsid w:val="00A35CDF"/>
    <w:rsid w:val="00A35E2C"/>
    <w:rsid w:val="00A364FB"/>
    <w:rsid w:val="00A36BD0"/>
    <w:rsid w:val="00A37AEE"/>
    <w:rsid w:val="00A37E79"/>
    <w:rsid w:val="00A401C2"/>
    <w:rsid w:val="00A40218"/>
    <w:rsid w:val="00A403EE"/>
    <w:rsid w:val="00A40619"/>
    <w:rsid w:val="00A40825"/>
    <w:rsid w:val="00A40AAE"/>
    <w:rsid w:val="00A40E14"/>
    <w:rsid w:val="00A40ED9"/>
    <w:rsid w:val="00A40FF3"/>
    <w:rsid w:val="00A41132"/>
    <w:rsid w:val="00A41317"/>
    <w:rsid w:val="00A41734"/>
    <w:rsid w:val="00A41761"/>
    <w:rsid w:val="00A41A16"/>
    <w:rsid w:val="00A41C0C"/>
    <w:rsid w:val="00A41E8A"/>
    <w:rsid w:val="00A41F64"/>
    <w:rsid w:val="00A42089"/>
    <w:rsid w:val="00A42258"/>
    <w:rsid w:val="00A423AD"/>
    <w:rsid w:val="00A4262C"/>
    <w:rsid w:val="00A4263F"/>
    <w:rsid w:val="00A42731"/>
    <w:rsid w:val="00A42BA3"/>
    <w:rsid w:val="00A42D83"/>
    <w:rsid w:val="00A43475"/>
    <w:rsid w:val="00A4394D"/>
    <w:rsid w:val="00A43985"/>
    <w:rsid w:val="00A43C88"/>
    <w:rsid w:val="00A43CD4"/>
    <w:rsid w:val="00A43EB0"/>
    <w:rsid w:val="00A4441D"/>
    <w:rsid w:val="00A4454B"/>
    <w:rsid w:val="00A4491E"/>
    <w:rsid w:val="00A44A11"/>
    <w:rsid w:val="00A44D3C"/>
    <w:rsid w:val="00A44D7C"/>
    <w:rsid w:val="00A44DC3"/>
    <w:rsid w:val="00A44FFB"/>
    <w:rsid w:val="00A454F9"/>
    <w:rsid w:val="00A45868"/>
    <w:rsid w:val="00A45D92"/>
    <w:rsid w:val="00A46035"/>
    <w:rsid w:val="00A46470"/>
    <w:rsid w:val="00A464A0"/>
    <w:rsid w:val="00A46618"/>
    <w:rsid w:val="00A46B4F"/>
    <w:rsid w:val="00A46BD6"/>
    <w:rsid w:val="00A46BE5"/>
    <w:rsid w:val="00A46FB0"/>
    <w:rsid w:val="00A47033"/>
    <w:rsid w:val="00A470DE"/>
    <w:rsid w:val="00A47141"/>
    <w:rsid w:val="00A5001D"/>
    <w:rsid w:val="00A50087"/>
    <w:rsid w:val="00A502C0"/>
    <w:rsid w:val="00A50BC6"/>
    <w:rsid w:val="00A50EB2"/>
    <w:rsid w:val="00A50F93"/>
    <w:rsid w:val="00A51632"/>
    <w:rsid w:val="00A51859"/>
    <w:rsid w:val="00A51865"/>
    <w:rsid w:val="00A51C26"/>
    <w:rsid w:val="00A51F8D"/>
    <w:rsid w:val="00A52140"/>
    <w:rsid w:val="00A5238C"/>
    <w:rsid w:val="00A524D4"/>
    <w:rsid w:val="00A526F0"/>
    <w:rsid w:val="00A52750"/>
    <w:rsid w:val="00A534B7"/>
    <w:rsid w:val="00A537AE"/>
    <w:rsid w:val="00A54235"/>
    <w:rsid w:val="00A544AA"/>
    <w:rsid w:val="00A54B1E"/>
    <w:rsid w:val="00A54E4C"/>
    <w:rsid w:val="00A54FE1"/>
    <w:rsid w:val="00A55C74"/>
    <w:rsid w:val="00A5604D"/>
    <w:rsid w:val="00A56084"/>
    <w:rsid w:val="00A563C4"/>
    <w:rsid w:val="00A565CF"/>
    <w:rsid w:val="00A5685F"/>
    <w:rsid w:val="00A568B0"/>
    <w:rsid w:val="00A56B37"/>
    <w:rsid w:val="00A56D5A"/>
    <w:rsid w:val="00A574FD"/>
    <w:rsid w:val="00A57747"/>
    <w:rsid w:val="00A57AAB"/>
    <w:rsid w:val="00A601C1"/>
    <w:rsid w:val="00A60206"/>
    <w:rsid w:val="00A60287"/>
    <w:rsid w:val="00A6030B"/>
    <w:rsid w:val="00A60649"/>
    <w:rsid w:val="00A608BA"/>
    <w:rsid w:val="00A6094A"/>
    <w:rsid w:val="00A60B37"/>
    <w:rsid w:val="00A60BCB"/>
    <w:rsid w:val="00A60BEA"/>
    <w:rsid w:val="00A60CDA"/>
    <w:rsid w:val="00A60EF3"/>
    <w:rsid w:val="00A612F0"/>
    <w:rsid w:val="00A61393"/>
    <w:rsid w:val="00A61908"/>
    <w:rsid w:val="00A61B78"/>
    <w:rsid w:val="00A61FF4"/>
    <w:rsid w:val="00A61FFD"/>
    <w:rsid w:val="00A625A4"/>
    <w:rsid w:val="00A629EE"/>
    <w:rsid w:val="00A62BA0"/>
    <w:rsid w:val="00A62D02"/>
    <w:rsid w:val="00A62E06"/>
    <w:rsid w:val="00A62E5D"/>
    <w:rsid w:val="00A6308F"/>
    <w:rsid w:val="00A63312"/>
    <w:rsid w:val="00A63663"/>
    <w:rsid w:val="00A637FA"/>
    <w:rsid w:val="00A63858"/>
    <w:rsid w:val="00A63A11"/>
    <w:rsid w:val="00A63D81"/>
    <w:rsid w:val="00A641F0"/>
    <w:rsid w:val="00A642C4"/>
    <w:rsid w:val="00A64639"/>
    <w:rsid w:val="00A647F9"/>
    <w:rsid w:val="00A64A1E"/>
    <w:rsid w:val="00A64D11"/>
    <w:rsid w:val="00A65111"/>
    <w:rsid w:val="00A65A18"/>
    <w:rsid w:val="00A65CC6"/>
    <w:rsid w:val="00A663C4"/>
    <w:rsid w:val="00A66465"/>
    <w:rsid w:val="00A668AB"/>
    <w:rsid w:val="00A6705C"/>
    <w:rsid w:val="00A67120"/>
    <w:rsid w:val="00A6718B"/>
    <w:rsid w:val="00A672B5"/>
    <w:rsid w:val="00A70363"/>
    <w:rsid w:val="00A7037D"/>
    <w:rsid w:val="00A70678"/>
    <w:rsid w:val="00A70A01"/>
    <w:rsid w:val="00A70CA6"/>
    <w:rsid w:val="00A71729"/>
    <w:rsid w:val="00A71797"/>
    <w:rsid w:val="00A719A1"/>
    <w:rsid w:val="00A71ABE"/>
    <w:rsid w:val="00A71C80"/>
    <w:rsid w:val="00A7265C"/>
    <w:rsid w:val="00A72812"/>
    <w:rsid w:val="00A72BFF"/>
    <w:rsid w:val="00A72F76"/>
    <w:rsid w:val="00A730E7"/>
    <w:rsid w:val="00A738BF"/>
    <w:rsid w:val="00A7433D"/>
    <w:rsid w:val="00A74AD4"/>
    <w:rsid w:val="00A74BDA"/>
    <w:rsid w:val="00A74BFF"/>
    <w:rsid w:val="00A75205"/>
    <w:rsid w:val="00A75890"/>
    <w:rsid w:val="00A75AFA"/>
    <w:rsid w:val="00A75D63"/>
    <w:rsid w:val="00A75E03"/>
    <w:rsid w:val="00A76288"/>
    <w:rsid w:val="00A76348"/>
    <w:rsid w:val="00A76B0C"/>
    <w:rsid w:val="00A76B36"/>
    <w:rsid w:val="00A77104"/>
    <w:rsid w:val="00A7720B"/>
    <w:rsid w:val="00A772DE"/>
    <w:rsid w:val="00A77B31"/>
    <w:rsid w:val="00A77F2A"/>
    <w:rsid w:val="00A8052C"/>
    <w:rsid w:val="00A8057D"/>
    <w:rsid w:val="00A805A4"/>
    <w:rsid w:val="00A80D30"/>
    <w:rsid w:val="00A81215"/>
    <w:rsid w:val="00A819E5"/>
    <w:rsid w:val="00A820D4"/>
    <w:rsid w:val="00A83306"/>
    <w:rsid w:val="00A8338C"/>
    <w:rsid w:val="00A833B0"/>
    <w:rsid w:val="00A8368F"/>
    <w:rsid w:val="00A839A5"/>
    <w:rsid w:val="00A83A42"/>
    <w:rsid w:val="00A83E08"/>
    <w:rsid w:val="00A83EA1"/>
    <w:rsid w:val="00A83EBD"/>
    <w:rsid w:val="00A8475F"/>
    <w:rsid w:val="00A84FAA"/>
    <w:rsid w:val="00A85246"/>
    <w:rsid w:val="00A85459"/>
    <w:rsid w:val="00A8596A"/>
    <w:rsid w:val="00A860AF"/>
    <w:rsid w:val="00A865FC"/>
    <w:rsid w:val="00A86B08"/>
    <w:rsid w:val="00A86D2F"/>
    <w:rsid w:val="00A86E60"/>
    <w:rsid w:val="00A871BD"/>
    <w:rsid w:val="00A87E88"/>
    <w:rsid w:val="00A900FE"/>
    <w:rsid w:val="00A90BCE"/>
    <w:rsid w:val="00A90E9D"/>
    <w:rsid w:val="00A90F08"/>
    <w:rsid w:val="00A911BA"/>
    <w:rsid w:val="00A911E9"/>
    <w:rsid w:val="00A914DE"/>
    <w:rsid w:val="00A915DC"/>
    <w:rsid w:val="00A91788"/>
    <w:rsid w:val="00A91A43"/>
    <w:rsid w:val="00A91EE0"/>
    <w:rsid w:val="00A92A02"/>
    <w:rsid w:val="00A9334A"/>
    <w:rsid w:val="00A934A3"/>
    <w:rsid w:val="00A936AC"/>
    <w:rsid w:val="00A94507"/>
    <w:rsid w:val="00A94DAB"/>
    <w:rsid w:val="00A95273"/>
    <w:rsid w:val="00A9552D"/>
    <w:rsid w:val="00A955E1"/>
    <w:rsid w:val="00A957FF"/>
    <w:rsid w:val="00A959BB"/>
    <w:rsid w:val="00A95A05"/>
    <w:rsid w:val="00A95ADE"/>
    <w:rsid w:val="00A95E7E"/>
    <w:rsid w:val="00A962EF"/>
    <w:rsid w:val="00A9658D"/>
    <w:rsid w:val="00A96A41"/>
    <w:rsid w:val="00A96B1C"/>
    <w:rsid w:val="00A97B68"/>
    <w:rsid w:val="00A97E38"/>
    <w:rsid w:val="00AA0B51"/>
    <w:rsid w:val="00AA0B9B"/>
    <w:rsid w:val="00AA0C63"/>
    <w:rsid w:val="00AA15EF"/>
    <w:rsid w:val="00AA178F"/>
    <w:rsid w:val="00AA17BA"/>
    <w:rsid w:val="00AA17E3"/>
    <w:rsid w:val="00AA1A3A"/>
    <w:rsid w:val="00AA2354"/>
    <w:rsid w:val="00AA2363"/>
    <w:rsid w:val="00AA24B5"/>
    <w:rsid w:val="00AA283B"/>
    <w:rsid w:val="00AA28D4"/>
    <w:rsid w:val="00AA36A5"/>
    <w:rsid w:val="00AA3811"/>
    <w:rsid w:val="00AA3D2B"/>
    <w:rsid w:val="00AA3D5F"/>
    <w:rsid w:val="00AA425E"/>
    <w:rsid w:val="00AA468A"/>
    <w:rsid w:val="00AA4727"/>
    <w:rsid w:val="00AA48F6"/>
    <w:rsid w:val="00AA571B"/>
    <w:rsid w:val="00AA57CE"/>
    <w:rsid w:val="00AA5954"/>
    <w:rsid w:val="00AA5A05"/>
    <w:rsid w:val="00AA5BAF"/>
    <w:rsid w:val="00AA6125"/>
    <w:rsid w:val="00AA6CCD"/>
    <w:rsid w:val="00AA6ECD"/>
    <w:rsid w:val="00AA7217"/>
    <w:rsid w:val="00AA7554"/>
    <w:rsid w:val="00AA770C"/>
    <w:rsid w:val="00AA7F12"/>
    <w:rsid w:val="00AB03DA"/>
    <w:rsid w:val="00AB0B6E"/>
    <w:rsid w:val="00AB1093"/>
    <w:rsid w:val="00AB1115"/>
    <w:rsid w:val="00AB1B10"/>
    <w:rsid w:val="00AB2994"/>
    <w:rsid w:val="00AB33FD"/>
    <w:rsid w:val="00AB3999"/>
    <w:rsid w:val="00AB39C2"/>
    <w:rsid w:val="00AB3B7F"/>
    <w:rsid w:val="00AB3BD1"/>
    <w:rsid w:val="00AB3E1F"/>
    <w:rsid w:val="00AB429B"/>
    <w:rsid w:val="00AB43AE"/>
    <w:rsid w:val="00AB43D6"/>
    <w:rsid w:val="00AB4550"/>
    <w:rsid w:val="00AB4750"/>
    <w:rsid w:val="00AB47E8"/>
    <w:rsid w:val="00AB486A"/>
    <w:rsid w:val="00AB4E63"/>
    <w:rsid w:val="00AB50FC"/>
    <w:rsid w:val="00AB51E4"/>
    <w:rsid w:val="00AB54B0"/>
    <w:rsid w:val="00AB571D"/>
    <w:rsid w:val="00AB57D7"/>
    <w:rsid w:val="00AB5B8D"/>
    <w:rsid w:val="00AB5BD2"/>
    <w:rsid w:val="00AB5D11"/>
    <w:rsid w:val="00AB5FC8"/>
    <w:rsid w:val="00AB6596"/>
    <w:rsid w:val="00AB6AED"/>
    <w:rsid w:val="00AB6DF0"/>
    <w:rsid w:val="00AB6FDD"/>
    <w:rsid w:val="00AB7360"/>
    <w:rsid w:val="00AB7517"/>
    <w:rsid w:val="00AB7A6B"/>
    <w:rsid w:val="00AC024A"/>
    <w:rsid w:val="00AC0AD4"/>
    <w:rsid w:val="00AC0D36"/>
    <w:rsid w:val="00AC1098"/>
    <w:rsid w:val="00AC1616"/>
    <w:rsid w:val="00AC185E"/>
    <w:rsid w:val="00AC1A91"/>
    <w:rsid w:val="00AC1B08"/>
    <w:rsid w:val="00AC1B6C"/>
    <w:rsid w:val="00AC1E22"/>
    <w:rsid w:val="00AC2065"/>
    <w:rsid w:val="00AC2822"/>
    <w:rsid w:val="00AC2921"/>
    <w:rsid w:val="00AC2B4D"/>
    <w:rsid w:val="00AC2BED"/>
    <w:rsid w:val="00AC2D46"/>
    <w:rsid w:val="00AC30E6"/>
    <w:rsid w:val="00AC341E"/>
    <w:rsid w:val="00AC3460"/>
    <w:rsid w:val="00AC36D6"/>
    <w:rsid w:val="00AC3810"/>
    <w:rsid w:val="00AC3898"/>
    <w:rsid w:val="00AC3AAE"/>
    <w:rsid w:val="00AC3AE1"/>
    <w:rsid w:val="00AC3C12"/>
    <w:rsid w:val="00AC4A05"/>
    <w:rsid w:val="00AC558E"/>
    <w:rsid w:val="00AC58FC"/>
    <w:rsid w:val="00AC5A77"/>
    <w:rsid w:val="00AC5CFC"/>
    <w:rsid w:val="00AC6018"/>
    <w:rsid w:val="00AC6056"/>
    <w:rsid w:val="00AC62EB"/>
    <w:rsid w:val="00AC644D"/>
    <w:rsid w:val="00AC69F8"/>
    <w:rsid w:val="00AC6B1F"/>
    <w:rsid w:val="00AC740F"/>
    <w:rsid w:val="00AC7C17"/>
    <w:rsid w:val="00AC7E04"/>
    <w:rsid w:val="00AC7E46"/>
    <w:rsid w:val="00AD08B3"/>
    <w:rsid w:val="00AD08BE"/>
    <w:rsid w:val="00AD0A00"/>
    <w:rsid w:val="00AD1208"/>
    <w:rsid w:val="00AD1258"/>
    <w:rsid w:val="00AD1576"/>
    <w:rsid w:val="00AD15B2"/>
    <w:rsid w:val="00AD171B"/>
    <w:rsid w:val="00AD189E"/>
    <w:rsid w:val="00AD1DAE"/>
    <w:rsid w:val="00AD1E10"/>
    <w:rsid w:val="00AD1EBC"/>
    <w:rsid w:val="00AD1F67"/>
    <w:rsid w:val="00AD218F"/>
    <w:rsid w:val="00AD2238"/>
    <w:rsid w:val="00AD256A"/>
    <w:rsid w:val="00AD2ECC"/>
    <w:rsid w:val="00AD344C"/>
    <w:rsid w:val="00AD353C"/>
    <w:rsid w:val="00AD3DBB"/>
    <w:rsid w:val="00AD427D"/>
    <w:rsid w:val="00AD4624"/>
    <w:rsid w:val="00AD47C4"/>
    <w:rsid w:val="00AD4A4E"/>
    <w:rsid w:val="00AD4AF6"/>
    <w:rsid w:val="00AD4E76"/>
    <w:rsid w:val="00AD53E1"/>
    <w:rsid w:val="00AD5550"/>
    <w:rsid w:val="00AD5866"/>
    <w:rsid w:val="00AD58EB"/>
    <w:rsid w:val="00AD5BB2"/>
    <w:rsid w:val="00AD5BEB"/>
    <w:rsid w:val="00AD5EAA"/>
    <w:rsid w:val="00AD643D"/>
    <w:rsid w:val="00AD6DB5"/>
    <w:rsid w:val="00AD6E38"/>
    <w:rsid w:val="00AD720E"/>
    <w:rsid w:val="00AD74DB"/>
    <w:rsid w:val="00AD794D"/>
    <w:rsid w:val="00AD7C30"/>
    <w:rsid w:val="00AD7CA2"/>
    <w:rsid w:val="00AD7CBF"/>
    <w:rsid w:val="00AE0142"/>
    <w:rsid w:val="00AE0727"/>
    <w:rsid w:val="00AE0769"/>
    <w:rsid w:val="00AE0846"/>
    <w:rsid w:val="00AE0B13"/>
    <w:rsid w:val="00AE11D0"/>
    <w:rsid w:val="00AE1445"/>
    <w:rsid w:val="00AE14A5"/>
    <w:rsid w:val="00AE1673"/>
    <w:rsid w:val="00AE170F"/>
    <w:rsid w:val="00AE1C4A"/>
    <w:rsid w:val="00AE1E20"/>
    <w:rsid w:val="00AE2232"/>
    <w:rsid w:val="00AE23BF"/>
    <w:rsid w:val="00AE2425"/>
    <w:rsid w:val="00AE2634"/>
    <w:rsid w:val="00AE2704"/>
    <w:rsid w:val="00AE2784"/>
    <w:rsid w:val="00AE2D1C"/>
    <w:rsid w:val="00AE2ED6"/>
    <w:rsid w:val="00AE3103"/>
    <w:rsid w:val="00AE3142"/>
    <w:rsid w:val="00AE3B78"/>
    <w:rsid w:val="00AE406C"/>
    <w:rsid w:val="00AE4250"/>
    <w:rsid w:val="00AE44C4"/>
    <w:rsid w:val="00AE4A17"/>
    <w:rsid w:val="00AE4DE5"/>
    <w:rsid w:val="00AE53DB"/>
    <w:rsid w:val="00AE57F4"/>
    <w:rsid w:val="00AE597D"/>
    <w:rsid w:val="00AE5BD0"/>
    <w:rsid w:val="00AE5E79"/>
    <w:rsid w:val="00AE5F38"/>
    <w:rsid w:val="00AE5FF6"/>
    <w:rsid w:val="00AE60A4"/>
    <w:rsid w:val="00AE6728"/>
    <w:rsid w:val="00AE6A5B"/>
    <w:rsid w:val="00AE6AD4"/>
    <w:rsid w:val="00AE77FA"/>
    <w:rsid w:val="00AE795E"/>
    <w:rsid w:val="00AE7D31"/>
    <w:rsid w:val="00AE7E44"/>
    <w:rsid w:val="00AE7ED6"/>
    <w:rsid w:val="00AF0416"/>
    <w:rsid w:val="00AF06F2"/>
    <w:rsid w:val="00AF0A9C"/>
    <w:rsid w:val="00AF0AAF"/>
    <w:rsid w:val="00AF101E"/>
    <w:rsid w:val="00AF1353"/>
    <w:rsid w:val="00AF14BE"/>
    <w:rsid w:val="00AF18D5"/>
    <w:rsid w:val="00AF1EC1"/>
    <w:rsid w:val="00AF1F83"/>
    <w:rsid w:val="00AF1FB7"/>
    <w:rsid w:val="00AF2047"/>
    <w:rsid w:val="00AF214F"/>
    <w:rsid w:val="00AF22FE"/>
    <w:rsid w:val="00AF2390"/>
    <w:rsid w:val="00AF270E"/>
    <w:rsid w:val="00AF2C98"/>
    <w:rsid w:val="00AF2EBF"/>
    <w:rsid w:val="00AF2F27"/>
    <w:rsid w:val="00AF2FDE"/>
    <w:rsid w:val="00AF35B2"/>
    <w:rsid w:val="00AF3965"/>
    <w:rsid w:val="00AF3A20"/>
    <w:rsid w:val="00AF3AF0"/>
    <w:rsid w:val="00AF3B6B"/>
    <w:rsid w:val="00AF3C5F"/>
    <w:rsid w:val="00AF4047"/>
    <w:rsid w:val="00AF42B6"/>
    <w:rsid w:val="00AF46A9"/>
    <w:rsid w:val="00AF4C46"/>
    <w:rsid w:val="00AF54AE"/>
    <w:rsid w:val="00AF558D"/>
    <w:rsid w:val="00AF645F"/>
    <w:rsid w:val="00AF674C"/>
    <w:rsid w:val="00AF6831"/>
    <w:rsid w:val="00AF6A02"/>
    <w:rsid w:val="00AF6F18"/>
    <w:rsid w:val="00AF718A"/>
    <w:rsid w:val="00AF7319"/>
    <w:rsid w:val="00AF74C6"/>
    <w:rsid w:val="00AF76B9"/>
    <w:rsid w:val="00AF76E6"/>
    <w:rsid w:val="00AF777E"/>
    <w:rsid w:val="00AF7898"/>
    <w:rsid w:val="00AF7F79"/>
    <w:rsid w:val="00AF7FE0"/>
    <w:rsid w:val="00B002D6"/>
    <w:rsid w:val="00B007C9"/>
    <w:rsid w:val="00B0103A"/>
    <w:rsid w:val="00B015A9"/>
    <w:rsid w:val="00B01CC8"/>
    <w:rsid w:val="00B01CCF"/>
    <w:rsid w:val="00B01E04"/>
    <w:rsid w:val="00B027F8"/>
    <w:rsid w:val="00B02813"/>
    <w:rsid w:val="00B02925"/>
    <w:rsid w:val="00B02ED6"/>
    <w:rsid w:val="00B03752"/>
    <w:rsid w:val="00B03914"/>
    <w:rsid w:val="00B0397C"/>
    <w:rsid w:val="00B03C71"/>
    <w:rsid w:val="00B044B6"/>
    <w:rsid w:val="00B04869"/>
    <w:rsid w:val="00B048EC"/>
    <w:rsid w:val="00B04AD0"/>
    <w:rsid w:val="00B04BD5"/>
    <w:rsid w:val="00B04FFC"/>
    <w:rsid w:val="00B0500E"/>
    <w:rsid w:val="00B0503A"/>
    <w:rsid w:val="00B050F8"/>
    <w:rsid w:val="00B05190"/>
    <w:rsid w:val="00B051B0"/>
    <w:rsid w:val="00B0555D"/>
    <w:rsid w:val="00B057D9"/>
    <w:rsid w:val="00B05EC8"/>
    <w:rsid w:val="00B062E3"/>
    <w:rsid w:val="00B066AE"/>
    <w:rsid w:val="00B06A10"/>
    <w:rsid w:val="00B06D78"/>
    <w:rsid w:val="00B07016"/>
    <w:rsid w:val="00B075DB"/>
    <w:rsid w:val="00B077E5"/>
    <w:rsid w:val="00B07A0C"/>
    <w:rsid w:val="00B07FA5"/>
    <w:rsid w:val="00B101E8"/>
    <w:rsid w:val="00B104A7"/>
    <w:rsid w:val="00B106A7"/>
    <w:rsid w:val="00B10857"/>
    <w:rsid w:val="00B10EF1"/>
    <w:rsid w:val="00B1109A"/>
    <w:rsid w:val="00B11162"/>
    <w:rsid w:val="00B1138B"/>
    <w:rsid w:val="00B115F6"/>
    <w:rsid w:val="00B11717"/>
    <w:rsid w:val="00B11967"/>
    <w:rsid w:val="00B11A7E"/>
    <w:rsid w:val="00B11DA9"/>
    <w:rsid w:val="00B1205B"/>
    <w:rsid w:val="00B1206C"/>
    <w:rsid w:val="00B124FD"/>
    <w:rsid w:val="00B12944"/>
    <w:rsid w:val="00B12E8C"/>
    <w:rsid w:val="00B130B4"/>
    <w:rsid w:val="00B138B0"/>
    <w:rsid w:val="00B139E2"/>
    <w:rsid w:val="00B13BB0"/>
    <w:rsid w:val="00B14371"/>
    <w:rsid w:val="00B14DE8"/>
    <w:rsid w:val="00B14F70"/>
    <w:rsid w:val="00B15234"/>
    <w:rsid w:val="00B153EA"/>
    <w:rsid w:val="00B15D98"/>
    <w:rsid w:val="00B15E49"/>
    <w:rsid w:val="00B16137"/>
    <w:rsid w:val="00B162BE"/>
    <w:rsid w:val="00B169BE"/>
    <w:rsid w:val="00B17031"/>
    <w:rsid w:val="00B1713F"/>
    <w:rsid w:val="00B17825"/>
    <w:rsid w:val="00B201A4"/>
    <w:rsid w:val="00B20533"/>
    <w:rsid w:val="00B20660"/>
    <w:rsid w:val="00B206B3"/>
    <w:rsid w:val="00B207A8"/>
    <w:rsid w:val="00B20EA9"/>
    <w:rsid w:val="00B21003"/>
    <w:rsid w:val="00B2103C"/>
    <w:rsid w:val="00B210C8"/>
    <w:rsid w:val="00B21281"/>
    <w:rsid w:val="00B218CD"/>
    <w:rsid w:val="00B21D13"/>
    <w:rsid w:val="00B21ECB"/>
    <w:rsid w:val="00B21EE6"/>
    <w:rsid w:val="00B21F24"/>
    <w:rsid w:val="00B22069"/>
    <w:rsid w:val="00B2209C"/>
    <w:rsid w:val="00B2212A"/>
    <w:rsid w:val="00B22688"/>
    <w:rsid w:val="00B22EBF"/>
    <w:rsid w:val="00B22F41"/>
    <w:rsid w:val="00B23064"/>
    <w:rsid w:val="00B23270"/>
    <w:rsid w:val="00B23516"/>
    <w:rsid w:val="00B2365B"/>
    <w:rsid w:val="00B23A28"/>
    <w:rsid w:val="00B23B4C"/>
    <w:rsid w:val="00B23BA4"/>
    <w:rsid w:val="00B24052"/>
    <w:rsid w:val="00B246E9"/>
    <w:rsid w:val="00B24B5A"/>
    <w:rsid w:val="00B250C8"/>
    <w:rsid w:val="00B25123"/>
    <w:rsid w:val="00B251D5"/>
    <w:rsid w:val="00B258E4"/>
    <w:rsid w:val="00B2597B"/>
    <w:rsid w:val="00B25B12"/>
    <w:rsid w:val="00B25C1B"/>
    <w:rsid w:val="00B25C86"/>
    <w:rsid w:val="00B26270"/>
    <w:rsid w:val="00B264E5"/>
    <w:rsid w:val="00B26AAE"/>
    <w:rsid w:val="00B26ED5"/>
    <w:rsid w:val="00B26F95"/>
    <w:rsid w:val="00B26FD8"/>
    <w:rsid w:val="00B27188"/>
    <w:rsid w:val="00B27467"/>
    <w:rsid w:val="00B27627"/>
    <w:rsid w:val="00B30271"/>
    <w:rsid w:val="00B30850"/>
    <w:rsid w:val="00B30A5F"/>
    <w:rsid w:val="00B310B9"/>
    <w:rsid w:val="00B312E5"/>
    <w:rsid w:val="00B3130E"/>
    <w:rsid w:val="00B3146A"/>
    <w:rsid w:val="00B31747"/>
    <w:rsid w:val="00B322E8"/>
    <w:rsid w:val="00B33224"/>
    <w:rsid w:val="00B3362C"/>
    <w:rsid w:val="00B337B0"/>
    <w:rsid w:val="00B339EB"/>
    <w:rsid w:val="00B33A7E"/>
    <w:rsid w:val="00B33CC6"/>
    <w:rsid w:val="00B33DA9"/>
    <w:rsid w:val="00B34344"/>
    <w:rsid w:val="00B34562"/>
    <w:rsid w:val="00B34780"/>
    <w:rsid w:val="00B34C37"/>
    <w:rsid w:val="00B34E18"/>
    <w:rsid w:val="00B34F12"/>
    <w:rsid w:val="00B351EF"/>
    <w:rsid w:val="00B3526E"/>
    <w:rsid w:val="00B35513"/>
    <w:rsid w:val="00B35705"/>
    <w:rsid w:val="00B360BA"/>
    <w:rsid w:val="00B36201"/>
    <w:rsid w:val="00B36325"/>
    <w:rsid w:val="00B36958"/>
    <w:rsid w:val="00B36A95"/>
    <w:rsid w:val="00B36B4C"/>
    <w:rsid w:val="00B36E18"/>
    <w:rsid w:val="00B36E58"/>
    <w:rsid w:val="00B36F94"/>
    <w:rsid w:val="00B3789F"/>
    <w:rsid w:val="00B37A2C"/>
    <w:rsid w:val="00B37B12"/>
    <w:rsid w:val="00B37B6D"/>
    <w:rsid w:val="00B37F35"/>
    <w:rsid w:val="00B40204"/>
    <w:rsid w:val="00B40214"/>
    <w:rsid w:val="00B404C1"/>
    <w:rsid w:val="00B40A36"/>
    <w:rsid w:val="00B40D09"/>
    <w:rsid w:val="00B41094"/>
    <w:rsid w:val="00B41780"/>
    <w:rsid w:val="00B41C49"/>
    <w:rsid w:val="00B41F20"/>
    <w:rsid w:val="00B41FAE"/>
    <w:rsid w:val="00B425AE"/>
    <w:rsid w:val="00B42980"/>
    <w:rsid w:val="00B429BC"/>
    <w:rsid w:val="00B42C27"/>
    <w:rsid w:val="00B42CA3"/>
    <w:rsid w:val="00B42E3E"/>
    <w:rsid w:val="00B430DE"/>
    <w:rsid w:val="00B435FE"/>
    <w:rsid w:val="00B44FAD"/>
    <w:rsid w:val="00B45041"/>
    <w:rsid w:val="00B4504A"/>
    <w:rsid w:val="00B450A0"/>
    <w:rsid w:val="00B450A4"/>
    <w:rsid w:val="00B454BF"/>
    <w:rsid w:val="00B45DDD"/>
    <w:rsid w:val="00B45F3B"/>
    <w:rsid w:val="00B46202"/>
    <w:rsid w:val="00B463A4"/>
    <w:rsid w:val="00B4669A"/>
    <w:rsid w:val="00B470D8"/>
    <w:rsid w:val="00B47173"/>
    <w:rsid w:val="00B47538"/>
    <w:rsid w:val="00B47EAE"/>
    <w:rsid w:val="00B47F98"/>
    <w:rsid w:val="00B505BF"/>
    <w:rsid w:val="00B50731"/>
    <w:rsid w:val="00B508D9"/>
    <w:rsid w:val="00B516C3"/>
    <w:rsid w:val="00B51AD7"/>
    <w:rsid w:val="00B51B10"/>
    <w:rsid w:val="00B520C5"/>
    <w:rsid w:val="00B5250D"/>
    <w:rsid w:val="00B525E4"/>
    <w:rsid w:val="00B52A88"/>
    <w:rsid w:val="00B52BA8"/>
    <w:rsid w:val="00B52C05"/>
    <w:rsid w:val="00B52D9B"/>
    <w:rsid w:val="00B5300E"/>
    <w:rsid w:val="00B53287"/>
    <w:rsid w:val="00B53448"/>
    <w:rsid w:val="00B534DD"/>
    <w:rsid w:val="00B5373A"/>
    <w:rsid w:val="00B53901"/>
    <w:rsid w:val="00B53C52"/>
    <w:rsid w:val="00B53C61"/>
    <w:rsid w:val="00B53D5C"/>
    <w:rsid w:val="00B53E4B"/>
    <w:rsid w:val="00B53F03"/>
    <w:rsid w:val="00B5402A"/>
    <w:rsid w:val="00B54299"/>
    <w:rsid w:val="00B54396"/>
    <w:rsid w:val="00B552F9"/>
    <w:rsid w:val="00B55479"/>
    <w:rsid w:val="00B5570A"/>
    <w:rsid w:val="00B5582C"/>
    <w:rsid w:val="00B559A5"/>
    <w:rsid w:val="00B55C53"/>
    <w:rsid w:val="00B55FBE"/>
    <w:rsid w:val="00B5649B"/>
    <w:rsid w:val="00B565D9"/>
    <w:rsid w:val="00B56AA8"/>
    <w:rsid w:val="00B57515"/>
    <w:rsid w:val="00B57846"/>
    <w:rsid w:val="00B602BE"/>
    <w:rsid w:val="00B60637"/>
    <w:rsid w:val="00B60935"/>
    <w:rsid w:val="00B60A40"/>
    <w:rsid w:val="00B60A68"/>
    <w:rsid w:val="00B60C09"/>
    <w:rsid w:val="00B60C3E"/>
    <w:rsid w:val="00B60F66"/>
    <w:rsid w:val="00B6128B"/>
    <w:rsid w:val="00B6128D"/>
    <w:rsid w:val="00B61299"/>
    <w:rsid w:val="00B613BF"/>
    <w:rsid w:val="00B61887"/>
    <w:rsid w:val="00B62333"/>
    <w:rsid w:val="00B626FE"/>
    <w:rsid w:val="00B62F0C"/>
    <w:rsid w:val="00B63B82"/>
    <w:rsid w:val="00B63D27"/>
    <w:rsid w:val="00B63DAA"/>
    <w:rsid w:val="00B64349"/>
    <w:rsid w:val="00B645ED"/>
    <w:rsid w:val="00B64A79"/>
    <w:rsid w:val="00B64BEF"/>
    <w:rsid w:val="00B64CFB"/>
    <w:rsid w:val="00B64D59"/>
    <w:rsid w:val="00B64FAB"/>
    <w:rsid w:val="00B65229"/>
    <w:rsid w:val="00B653C9"/>
    <w:rsid w:val="00B653FF"/>
    <w:rsid w:val="00B654FF"/>
    <w:rsid w:val="00B65E0D"/>
    <w:rsid w:val="00B65FC2"/>
    <w:rsid w:val="00B66091"/>
    <w:rsid w:val="00B6620F"/>
    <w:rsid w:val="00B66532"/>
    <w:rsid w:val="00B66AC6"/>
    <w:rsid w:val="00B66F97"/>
    <w:rsid w:val="00B670D5"/>
    <w:rsid w:val="00B6734C"/>
    <w:rsid w:val="00B674FA"/>
    <w:rsid w:val="00B67CCF"/>
    <w:rsid w:val="00B67CE3"/>
    <w:rsid w:val="00B70015"/>
    <w:rsid w:val="00B70471"/>
    <w:rsid w:val="00B704E0"/>
    <w:rsid w:val="00B706E6"/>
    <w:rsid w:val="00B70E69"/>
    <w:rsid w:val="00B710FA"/>
    <w:rsid w:val="00B71510"/>
    <w:rsid w:val="00B71767"/>
    <w:rsid w:val="00B7182D"/>
    <w:rsid w:val="00B7186B"/>
    <w:rsid w:val="00B71E5F"/>
    <w:rsid w:val="00B722B9"/>
    <w:rsid w:val="00B72884"/>
    <w:rsid w:val="00B728CE"/>
    <w:rsid w:val="00B72906"/>
    <w:rsid w:val="00B72D44"/>
    <w:rsid w:val="00B72FF8"/>
    <w:rsid w:val="00B730F4"/>
    <w:rsid w:val="00B7325B"/>
    <w:rsid w:val="00B73498"/>
    <w:rsid w:val="00B734F4"/>
    <w:rsid w:val="00B73A15"/>
    <w:rsid w:val="00B7407E"/>
    <w:rsid w:val="00B746DA"/>
    <w:rsid w:val="00B74C06"/>
    <w:rsid w:val="00B74C22"/>
    <w:rsid w:val="00B74C81"/>
    <w:rsid w:val="00B74DC3"/>
    <w:rsid w:val="00B7545D"/>
    <w:rsid w:val="00B7552E"/>
    <w:rsid w:val="00B7555B"/>
    <w:rsid w:val="00B756A4"/>
    <w:rsid w:val="00B75999"/>
    <w:rsid w:val="00B75FE7"/>
    <w:rsid w:val="00B76499"/>
    <w:rsid w:val="00B76880"/>
    <w:rsid w:val="00B76A18"/>
    <w:rsid w:val="00B76A7F"/>
    <w:rsid w:val="00B776CE"/>
    <w:rsid w:val="00B777A8"/>
    <w:rsid w:val="00B777FA"/>
    <w:rsid w:val="00B77C41"/>
    <w:rsid w:val="00B77CAE"/>
    <w:rsid w:val="00B77EEC"/>
    <w:rsid w:val="00B77FDE"/>
    <w:rsid w:val="00B80238"/>
    <w:rsid w:val="00B80577"/>
    <w:rsid w:val="00B8068D"/>
    <w:rsid w:val="00B8075E"/>
    <w:rsid w:val="00B807FA"/>
    <w:rsid w:val="00B80C52"/>
    <w:rsid w:val="00B8120D"/>
    <w:rsid w:val="00B81547"/>
    <w:rsid w:val="00B8156C"/>
    <w:rsid w:val="00B818FD"/>
    <w:rsid w:val="00B81B81"/>
    <w:rsid w:val="00B81BA9"/>
    <w:rsid w:val="00B81F98"/>
    <w:rsid w:val="00B8217A"/>
    <w:rsid w:val="00B8231E"/>
    <w:rsid w:val="00B82464"/>
    <w:rsid w:val="00B82707"/>
    <w:rsid w:val="00B83478"/>
    <w:rsid w:val="00B83479"/>
    <w:rsid w:val="00B836D0"/>
    <w:rsid w:val="00B8386E"/>
    <w:rsid w:val="00B83E47"/>
    <w:rsid w:val="00B83EC8"/>
    <w:rsid w:val="00B84136"/>
    <w:rsid w:val="00B8438F"/>
    <w:rsid w:val="00B848A0"/>
    <w:rsid w:val="00B84EA3"/>
    <w:rsid w:val="00B8509A"/>
    <w:rsid w:val="00B8557A"/>
    <w:rsid w:val="00B85882"/>
    <w:rsid w:val="00B863AD"/>
    <w:rsid w:val="00B86A38"/>
    <w:rsid w:val="00B86A88"/>
    <w:rsid w:val="00B86C39"/>
    <w:rsid w:val="00B86D3D"/>
    <w:rsid w:val="00B8708F"/>
    <w:rsid w:val="00B8728A"/>
    <w:rsid w:val="00B8728F"/>
    <w:rsid w:val="00B87386"/>
    <w:rsid w:val="00B878F7"/>
    <w:rsid w:val="00B9019C"/>
    <w:rsid w:val="00B90582"/>
    <w:rsid w:val="00B90E28"/>
    <w:rsid w:val="00B91081"/>
    <w:rsid w:val="00B91528"/>
    <w:rsid w:val="00B9193D"/>
    <w:rsid w:val="00B91EF0"/>
    <w:rsid w:val="00B92530"/>
    <w:rsid w:val="00B92A34"/>
    <w:rsid w:val="00B92C37"/>
    <w:rsid w:val="00B92C84"/>
    <w:rsid w:val="00B92CCA"/>
    <w:rsid w:val="00B92CEC"/>
    <w:rsid w:val="00B92EB1"/>
    <w:rsid w:val="00B9300D"/>
    <w:rsid w:val="00B93148"/>
    <w:rsid w:val="00B9335A"/>
    <w:rsid w:val="00B934B3"/>
    <w:rsid w:val="00B93776"/>
    <w:rsid w:val="00B937FC"/>
    <w:rsid w:val="00B939D7"/>
    <w:rsid w:val="00B93C01"/>
    <w:rsid w:val="00B93EA4"/>
    <w:rsid w:val="00B943B1"/>
    <w:rsid w:val="00B94593"/>
    <w:rsid w:val="00B9497E"/>
    <w:rsid w:val="00B9518B"/>
    <w:rsid w:val="00B95306"/>
    <w:rsid w:val="00B9547B"/>
    <w:rsid w:val="00B957BF"/>
    <w:rsid w:val="00B95C2F"/>
    <w:rsid w:val="00B95DB9"/>
    <w:rsid w:val="00B95FD3"/>
    <w:rsid w:val="00B962B9"/>
    <w:rsid w:val="00B96961"/>
    <w:rsid w:val="00B96B80"/>
    <w:rsid w:val="00B96B95"/>
    <w:rsid w:val="00B96E18"/>
    <w:rsid w:val="00B96F84"/>
    <w:rsid w:val="00B9714E"/>
    <w:rsid w:val="00B971A3"/>
    <w:rsid w:val="00B973C6"/>
    <w:rsid w:val="00B9763B"/>
    <w:rsid w:val="00B976E0"/>
    <w:rsid w:val="00BA04DA"/>
    <w:rsid w:val="00BA066F"/>
    <w:rsid w:val="00BA08DA"/>
    <w:rsid w:val="00BA0ED6"/>
    <w:rsid w:val="00BA10F5"/>
    <w:rsid w:val="00BA1555"/>
    <w:rsid w:val="00BA15A8"/>
    <w:rsid w:val="00BA1A16"/>
    <w:rsid w:val="00BA1F20"/>
    <w:rsid w:val="00BA1F70"/>
    <w:rsid w:val="00BA24BC"/>
    <w:rsid w:val="00BA25CF"/>
    <w:rsid w:val="00BA2B2C"/>
    <w:rsid w:val="00BA2B96"/>
    <w:rsid w:val="00BA3229"/>
    <w:rsid w:val="00BA4029"/>
    <w:rsid w:val="00BA41AD"/>
    <w:rsid w:val="00BA41EE"/>
    <w:rsid w:val="00BA448C"/>
    <w:rsid w:val="00BA46DE"/>
    <w:rsid w:val="00BA4801"/>
    <w:rsid w:val="00BA4942"/>
    <w:rsid w:val="00BA5099"/>
    <w:rsid w:val="00BA5288"/>
    <w:rsid w:val="00BA52C0"/>
    <w:rsid w:val="00BA5502"/>
    <w:rsid w:val="00BA5517"/>
    <w:rsid w:val="00BA5C2C"/>
    <w:rsid w:val="00BA5E88"/>
    <w:rsid w:val="00BA5F9D"/>
    <w:rsid w:val="00BA5FEE"/>
    <w:rsid w:val="00BA615B"/>
    <w:rsid w:val="00BA61D0"/>
    <w:rsid w:val="00BA655A"/>
    <w:rsid w:val="00BA6615"/>
    <w:rsid w:val="00BA6A6B"/>
    <w:rsid w:val="00BA6BFF"/>
    <w:rsid w:val="00BA6C56"/>
    <w:rsid w:val="00BA6E8D"/>
    <w:rsid w:val="00BA7106"/>
    <w:rsid w:val="00BA7F22"/>
    <w:rsid w:val="00BB069E"/>
    <w:rsid w:val="00BB0812"/>
    <w:rsid w:val="00BB09D9"/>
    <w:rsid w:val="00BB0A01"/>
    <w:rsid w:val="00BB0B1E"/>
    <w:rsid w:val="00BB0BB6"/>
    <w:rsid w:val="00BB0BC0"/>
    <w:rsid w:val="00BB0D19"/>
    <w:rsid w:val="00BB1540"/>
    <w:rsid w:val="00BB186F"/>
    <w:rsid w:val="00BB1B02"/>
    <w:rsid w:val="00BB1BCC"/>
    <w:rsid w:val="00BB1C13"/>
    <w:rsid w:val="00BB21C3"/>
    <w:rsid w:val="00BB24B3"/>
    <w:rsid w:val="00BB24C5"/>
    <w:rsid w:val="00BB2597"/>
    <w:rsid w:val="00BB26E7"/>
    <w:rsid w:val="00BB2E16"/>
    <w:rsid w:val="00BB2F32"/>
    <w:rsid w:val="00BB3112"/>
    <w:rsid w:val="00BB3616"/>
    <w:rsid w:val="00BB380C"/>
    <w:rsid w:val="00BB3A96"/>
    <w:rsid w:val="00BB3AC0"/>
    <w:rsid w:val="00BB3B12"/>
    <w:rsid w:val="00BB3C66"/>
    <w:rsid w:val="00BB3DC5"/>
    <w:rsid w:val="00BB3DCF"/>
    <w:rsid w:val="00BB3E5E"/>
    <w:rsid w:val="00BB3E6A"/>
    <w:rsid w:val="00BB3F7B"/>
    <w:rsid w:val="00BB442D"/>
    <w:rsid w:val="00BB44A9"/>
    <w:rsid w:val="00BB4D8E"/>
    <w:rsid w:val="00BB4F3D"/>
    <w:rsid w:val="00BB50D6"/>
    <w:rsid w:val="00BB5236"/>
    <w:rsid w:val="00BB5452"/>
    <w:rsid w:val="00BB5656"/>
    <w:rsid w:val="00BB5C26"/>
    <w:rsid w:val="00BB5C42"/>
    <w:rsid w:val="00BB5D0D"/>
    <w:rsid w:val="00BB5F08"/>
    <w:rsid w:val="00BB6000"/>
    <w:rsid w:val="00BB6F18"/>
    <w:rsid w:val="00BB6F87"/>
    <w:rsid w:val="00BB74D5"/>
    <w:rsid w:val="00BB755D"/>
    <w:rsid w:val="00BB765C"/>
    <w:rsid w:val="00BB7B7C"/>
    <w:rsid w:val="00BC0085"/>
    <w:rsid w:val="00BC0578"/>
    <w:rsid w:val="00BC08A4"/>
    <w:rsid w:val="00BC0DA9"/>
    <w:rsid w:val="00BC101A"/>
    <w:rsid w:val="00BC1369"/>
    <w:rsid w:val="00BC1409"/>
    <w:rsid w:val="00BC19AD"/>
    <w:rsid w:val="00BC1C31"/>
    <w:rsid w:val="00BC1DFB"/>
    <w:rsid w:val="00BC2358"/>
    <w:rsid w:val="00BC2DB4"/>
    <w:rsid w:val="00BC2E5D"/>
    <w:rsid w:val="00BC2EC3"/>
    <w:rsid w:val="00BC3502"/>
    <w:rsid w:val="00BC3660"/>
    <w:rsid w:val="00BC3729"/>
    <w:rsid w:val="00BC37F3"/>
    <w:rsid w:val="00BC3BAD"/>
    <w:rsid w:val="00BC49EB"/>
    <w:rsid w:val="00BC4A02"/>
    <w:rsid w:val="00BC4A59"/>
    <w:rsid w:val="00BC4AF2"/>
    <w:rsid w:val="00BC4B9E"/>
    <w:rsid w:val="00BC4E0D"/>
    <w:rsid w:val="00BC55FA"/>
    <w:rsid w:val="00BC56E8"/>
    <w:rsid w:val="00BC637C"/>
    <w:rsid w:val="00BC6760"/>
    <w:rsid w:val="00BC6A17"/>
    <w:rsid w:val="00BC6B0E"/>
    <w:rsid w:val="00BC6C87"/>
    <w:rsid w:val="00BC6D12"/>
    <w:rsid w:val="00BC6F99"/>
    <w:rsid w:val="00BC729E"/>
    <w:rsid w:val="00BC7578"/>
    <w:rsid w:val="00BC7741"/>
    <w:rsid w:val="00BC78E3"/>
    <w:rsid w:val="00BC7E14"/>
    <w:rsid w:val="00BD0389"/>
    <w:rsid w:val="00BD0C67"/>
    <w:rsid w:val="00BD1586"/>
    <w:rsid w:val="00BD15CE"/>
    <w:rsid w:val="00BD168E"/>
    <w:rsid w:val="00BD1C8D"/>
    <w:rsid w:val="00BD1F8C"/>
    <w:rsid w:val="00BD2196"/>
    <w:rsid w:val="00BD247C"/>
    <w:rsid w:val="00BD2624"/>
    <w:rsid w:val="00BD265E"/>
    <w:rsid w:val="00BD26A7"/>
    <w:rsid w:val="00BD2B49"/>
    <w:rsid w:val="00BD2C42"/>
    <w:rsid w:val="00BD2F01"/>
    <w:rsid w:val="00BD3161"/>
    <w:rsid w:val="00BD31CA"/>
    <w:rsid w:val="00BD34B1"/>
    <w:rsid w:val="00BD3BB0"/>
    <w:rsid w:val="00BD3D73"/>
    <w:rsid w:val="00BD3E1F"/>
    <w:rsid w:val="00BD3FA7"/>
    <w:rsid w:val="00BD4111"/>
    <w:rsid w:val="00BD42B7"/>
    <w:rsid w:val="00BD48B2"/>
    <w:rsid w:val="00BD49F6"/>
    <w:rsid w:val="00BD4AD1"/>
    <w:rsid w:val="00BD4DE0"/>
    <w:rsid w:val="00BD4FD1"/>
    <w:rsid w:val="00BD4FDF"/>
    <w:rsid w:val="00BD5118"/>
    <w:rsid w:val="00BD52C9"/>
    <w:rsid w:val="00BD537D"/>
    <w:rsid w:val="00BD568A"/>
    <w:rsid w:val="00BD6238"/>
    <w:rsid w:val="00BD6C9D"/>
    <w:rsid w:val="00BD6CF4"/>
    <w:rsid w:val="00BD7210"/>
    <w:rsid w:val="00BD730B"/>
    <w:rsid w:val="00BD73B5"/>
    <w:rsid w:val="00BD73FA"/>
    <w:rsid w:val="00BD76B1"/>
    <w:rsid w:val="00BD788D"/>
    <w:rsid w:val="00BD7A6B"/>
    <w:rsid w:val="00BD7DBF"/>
    <w:rsid w:val="00BE0115"/>
    <w:rsid w:val="00BE03B2"/>
    <w:rsid w:val="00BE04C7"/>
    <w:rsid w:val="00BE070E"/>
    <w:rsid w:val="00BE08EA"/>
    <w:rsid w:val="00BE0AA3"/>
    <w:rsid w:val="00BE0C3F"/>
    <w:rsid w:val="00BE0D9F"/>
    <w:rsid w:val="00BE0E19"/>
    <w:rsid w:val="00BE0E32"/>
    <w:rsid w:val="00BE0F58"/>
    <w:rsid w:val="00BE0FF0"/>
    <w:rsid w:val="00BE10A6"/>
    <w:rsid w:val="00BE18A5"/>
    <w:rsid w:val="00BE1B40"/>
    <w:rsid w:val="00BE1B88"/>
    <w:rsid w:val="00BE1B99"/>
    <w:rsid w:val="00BE1E4B"/>
    <w:rsid w:val="00BE1FE7"/>
    <w:rsid w:val="00BE2079"/>
    <w:rsid w:val="00BE2241"/>
    <w:rsid w:val="00BE2304"/>
    <w:rsid w:val="00BE2463"/>
    <w:rsid w:val="00BE24AB"/>
    <w:rsid w:val="00BE299A"/>
    <w:rsid w:val="00BE300D"/>
    <w:rsid w:val="00BE3433"/>
    <w:rsid w:val="00BE34D0"/>
    <w:rsid w:val="00BE38C0"/>
    <w:rsid w:val="00BE3A36"/>
    <w:rsid w:val="00BE3D83"/>
    <w:rsid w:val="00BE3DCF"/>
    <w:rsid w:val="00BE4087"/>
    <w:rsid w:val="00BE41F4"/>
    <w:rsid w:val="00BE47EC"/>
    <w:rsid w:val="00BE481C"/>
    <w:rsid w:val="00BE4A68"/>
    <w:rsid w:val="00BE4E62"/>
    <w:rsid w:val="00BE548A"/>
    <w:rsid w:val="00BE553C"/>
    <w:rsid w:val="00BE5566"/>
    <w:rsid w:val="00BE55DD"/>
    <w:rsid w:val="00BE56A0"/>
    <w:rsid w:val="00BE56FA"/>
    <w:rsid w:val="00BE570D"/>
    <w:rsid w:val="00BE571F"/>
    <w:rsid w:val="00BE57DA"/>
    <w:rsid w:val="00BE58AF"/>
    <w:rsid w:val="00BE6439"/>
    <w:rsid w:val="00BE716E"/>
    <w:rsid w:val="00BE7455"/>
    <w:rsid w:val="00BE7B9F"/>
    <w:rsid w:val="00BE7D7A"/>
    <w:rsid w:val="00BE7FAE"/>
    <w:rsid w:val="00BF0138"/>
    <w:rsid w:val="00BF0E51"/>
    <w:rsid w:val="00BF0EC4"/>
    <w:rsid w:val="00BF109B"/>
    <w:rsid w:val="00BF1159"/>
    <w:rsid w:val="00BF1463"/>
    <w:rsid w:val="00BF1491"/>
    <w:rsid w:val="00BF14C6"/>
    <w:rsid w:val="00BF1543"/>
    <w:rsid w:val="00BF1B11"/>
    <w:rsid w:val="00BF1CED"/>
    <w:rsid w:val="00BF289A"/>
    <w:rsid w:val="00BF28FA"/>
    <w:rsid w:val="00BF307C"/>
    <w:rsid w:val="00BF378B"/>
    <w:rsid w:val="00BF3825"/>
    <w:rsid w:val="00BF3A3D"/>
    <w:rsid w:val="00BF470F"/>
    <w:rsid w:val="00BF473C"/>
    <w:rsid w:val="00BF4949"/>
    <w:rsid w:val="00BF4A2A"/>
    <w:rsid w:val="00BF4AA2"/>
    <w:rsid w:val="00BF4D5E"/>
    <w:rsid w:val="00BF5CAC"/>
    <w:rsid w:val="00BF6041"/>
    <w:rsid w:val="00BF659D"/>
    <w:rsid w:val="00BF65C6"/>
    <w:rsid w:val="00BF68DE"/>
    <w:rsid w:val="00BF690D"/>
    <w:rsid w:val="00BF6E41"/>
    <w:rsid w:val="00BF71E5"/>
    <w:rsid w:val="00BF74EE"/>
    <w:rsid w:val="00BF76F1"/>
    <w:rsid w:val="00BF781D"/>
    <w:rsid w:val="00BF7A2E"/>
    <w:rsid w:val="00BF7B3B"/>
    <w:rsid w:val="00BF7D52"/>
    <w:rsid w:val="00BF7FC4"/>
    <w:rsid w:val="00C007E4"/>
    <w:rsid w:val="00C01456"/>
    <w:rsid w:val="00C01801"/>
    <w:rsid w:val="00C0197E"/>
    <w:rsid w:val="00C01A8A"/>
    <w:rsid w:val="00C01BB9"/>
    <w:rsid w:val="00C01C6F"/>
    <w:rsid w:val="00C02413"/>
    <w:rsid w:val="00C02F21"/>
    <w:rsid w:val="00C0337D"/>
    <w:rsid w:val="00C03927"/>
    <w:rsid w:val="00C03B39"/>
    <w:rsid w:val="00C03BC3"/>
    <w:rsid w:val="00C03BE8"/>
    <w:rsid w:val="00C03D2D"/>
    <w:rsid w:val="00C03D42"/>
    <w:rsid w:val="00C03D9D"/>
    <w:rsid w:val="00C0428A"/>
    <w:rsid w:val="00C04542"/>
    <w:rsid w:val="00C046D3"/>
    <w:rsid w:val="00C046DE"/>
    <w:rsid w:val="00C047AF"/>
    <w:rsid w:val="00C04887"/>
    <w:rsid w:val="00C04A67"/>
    <w:rsid w:val="00C04C8B"/>
    <w:rsid w:val="00C050C9"/>
    <w:rsid w:val="00C051E6"/>
    <w:rsid w:val="00C05239"/>
    <w:rsid w:val="00C054A2"/>
    <w:rsid w:val="00C0559E"/>
    <w:rsid w:val="00C05682"/>
    <w:rsid w:val="00C05790"/>
    <w:rsid w:val="00C058F7"/>
    <w:rsid w:val="00C059AF"/>
    <w:rsid w:val="00C05D32"/>
    <w:rsid w:val="00C05FBA"/>
    <w:rsid w:val="00C06926"/>
    <w:rsid w:val="00C06970"/>
    <w:rsid w:val="00C06ACB"/>
    <w:rsid w:val="00C06BC3"/>
    <w:rsid w:val="00C06D28"/>
    <w:rsid w:val="00C06D77"/>
    <w:rsid w:val="00C06E59"/>
    <w:rsid w:val="00C06EDC"/>
    <w:rsid w:val="00C07262"/>
    <w:rsid w:val="00C072E2"/>
    <w:rsid w:val="00C07660"/>
    <w:rsid w:val="00C07714"/>
    <w:rsid w:val="00C07B43"/>
    <w:rsid w:val="00C07C27"/>
    <w:rsid w:val="00C07E52"/>
    <w:rsid w:val="00C10103"/>
    <w:rsid w:val="00C1029D"/>
    <w:rsid w:val="00C1058B"/>
    <w:rsid w:val="00C1096B"/>
    <w:rsid w:val="00C116BC"/>
    <w:rsid w:val="00C1174A"/>
    <w:rsid w:val="00C11A7A"/>
    <w:rsid w:val="00C127B0"/>
    <w:rsid w:val="00C12817"/>
    <w:rsid w:val="00C1281D"/>
    <w:rsid w:val="00C12B04"/>
    <w:rsid w:val="00C12B8C"/>
    <w:rsid w:val="00C12EF3"/>
    <w:rsid w:val="00C132B5"/>
    <w:rsid w:val="00C13691"/>
    <w:rsid w:val="00C1380A"/>
    <w:rsid w:val="00C1384B"/>
    <w:rsid w:val="00C14204"/>
    <w:rsid w:val="00C1426A"/>
    <w:rsid w:val="00C1430E"/>
    <w:rsid w:val="00C146D0"/>
    <w:rsid w:val="00C14E28"/>
    <w:rsid w:val="00C14E35"/>
    <w:rsid w:val="00C1502B"/>
    <w:rsid w:val="00C150A7"/>
    <w:rsid w:val="00C15121"/>
    <w:rsid w:val="00C1536A"/>
    <w:rsid w:val="00C1552E"/>
    <w:rsid w:val="00C15897"/>
    <w:rsid w:val="00C15973"/>
    <w:rsid w:val="00C15AF8"/>
    <w:rsid w:val="00C15BA0"/>
    <w:rsid w:val="00C1627D"/>
    <w:rsid w:val="00C16743"/>
    <w:rsid w:val="00C16806"/>
    <w:rsid w:val="00C16949"/>
    <w:rsid w:val="00C16A9F"/>
    <w:rsid w:val="00C16AC5"/>
    <w:rsid w:val="00C16D70"/>
    <w:rsid w:val="00C16EE7"/>
    <w:rsid w:val="00C17119"/>
    <w:rsid w:val="00C1739B"/>
    <w:rsid w:val="00C178EB"/>
    <w:rsid w:val="00C179DF"/>
    <w:rsid w:val="00C17C0A"/>
    <w:rsid w:val="00C20004"/>
    <w:rsid w:val="00C2042D"/>
    <w:rsid w:val="00C20956"/>
    <w:rsid w:val="00C2099D"/>
    <w:rsid w:val="00C20F68"/>
    <w:rsid w:val="00C216AE"/>
    <w:rsid w:val="00C22094"/>
    <w:rsid w:val="00C22106"/>
    <w:rsid w:val="00C22681"/>
    <w:rsid w:val="00C227F1"/>
    <w:rsid w:val="00C22D68"/>
    <w:rsid w:val="00C23491"/>
    <w:rsid w:val="00C23991"/>
    <w:rsid w:val="00C23BC6"/>
    <w:rsid w:val="00C23C8C"/>
    <w:rsid w:val="00C23E67"/>
    <w:rsid w:val="00C23F3A"/>
    <w:rsid w:val="00C243F9"/>
    <w:rsid w:val="00C2443F"/>
    <w:rsid w:val="00C248FD"/>
    <w:rsid w:val="00C24D2A"/>
    <w:rsid w:val="00C24D7D"/>
    <w:rsid w:val="00C24E4F"/>
    <w:rsid w:val="00C24EF8"/>
    <w:rsid w:val="00C2568A"/>
    <w:rsid w:val="00C26902"/>
    <w:rsid w:val="00C27029"/>
    <w:rsid w:val="00C271D9"/>
    <w:rsid w:val="00C27360"/>
    <w:rsid w:val="00C27693"/>
    <w:rsid w:val="00C277CE"/>
    <w:rsid w:val="00C2793F"/>
    <w:rsid w:val="00C27EF5"/>
    <w:rsid w:val="00C30180"/>
    <w:rsid w:val="00C30181"/>
    <w:rsid w:val="00C301C9"/>
    <w:rsid w:val="00C30563"/>
    <w:rsid w:val="00C305CA"/>
    <w:rsid w:val="00C30FEC"/>
    <w:rsid w:val="00C31C19"/>
    <w:rsid w:val="00C31D35"/>
    <w:rsid w:val="00C32542"/>
    <w:rsid w:val="00C328D5"/>
    <w:rsid w:val="00C32E13"/>
    <w:rsid w:val="00C33290"/>
    <w:rsid w:val="00C33AEF"/>
    <w:rsid w:val="00C33F51"/>
    <w:rsid w:val="00C34B9D"/>
    <w:rsid w:val="00C34EE1"/>
    <w:rsid w:val="00C355A1"/>
    <w:rsid w:val="00C359C8"/>
    <w:rsid w:val="00C35A98"/>
    <w:rsid w:val="00C35DD4"/>
    <w:rsid w:val="00C361AF"/>
    <w:rsid w:val="00C362D3"/>
    <w:rsid w:val="00C3637E"/>
    <w:rsid w:val="00C367BB"/>
    <w:rsid w:val="00C3681E"/>
    <w:rsid w:val="00C368E9"/>
    <w:rsid w:val="00C36BC6"/>
    <w:rsid w:val="00C36BE7"/>
    <w:rsid w:val="00C36D65"/>
    <w:rsid w:val="00C37187"/>
    <w:rsid w:val="00C37263"/>
    <w:rsid w:val="00C37F8A"/>
    <w:rsid w:val="00C40646"/>
    <w:rsid w:val="00C4078C"/>
    <w:rsid w:val="00C408B4"/>
    <w:rsid w:val="00C4096A"/>
    <w:rsid w:val="00C40D38"/>
    <w:rsid w:val="00C40DFD"/>
    <w:rsid w:val="00C410B4"/>
    <w:rsid w:val="00C41365"/>
    <w:rsid w:val="00C415E4"/>
    <w:rsid w:val="00C41FC9"/>
    <w:rsid w:val="00C421D6"/>
    <w:rsid w:val="00C4272B"/>
    <w:rsid w:val="00C42C89"/>
    <w:rsid w:val="00C42F02"/>
    <w:rsid w:val="00C431F4"/>
    <w:rsid w:val="00C4323E"/>
    <w:rsid w:val="00C4353C"/>
    <w:rsid w:val="00C43992"/>
    <w:rsid w:val="00C43A7E"/>
    <w:rsid w:val="00C43B56"/>
    <w:rsid w:val="00C43D94"/>
    <w:rsid w:val="00C43DA4"/>
    <w:rsid w:val="00C443E1"/>
    <w:rsid w:val="00C44816"/>
    <w:rsid w:val="00C449D1"/>
    <w:rsid w:val="00C44A9C"/>
    <w:rsid w:val="00C44B92"/>
    <w:rsid w:val="00C45099"/>
    <w:rsid w:val="00C451DD"/>
    <w:rsid w:val="00C4531B"/>
    <w:rsid w:val="00C454D1"/>
    <w:rsid w:val="00C45754"/>
    <w:rsid w:val="00C458F3"/>
    <w:rsid w:val="00C45E67"/>
    <w:rsid w:val="00C45EB9"/>
    <w:rsid w:val="00C45FBE"/>
    <w:rsid w:val="00C4653A"/>
    <w:rsid w:val="00C46A2B"/>
    <w:rsid w:val="00C46D1F"/>
    <w:rsid w:val="00C46D4F"/>
    <w:rsid w:val="00C47609"/>
    <w:rsid w:val="00C47FAC"/>
    <w:rsid w:val="00C50059"/>
    <w:rsid w:val="00C5031B"/>
    <w:rsid w:val="00C50C7D"/>
    <w:rsid w:val="00C5136C"/>
    <w:rsid w:val="00C51547"/>
    <w:rsid w:val="00C5163C"/>
    <w:rsid w:val="00C5165C"/>
    <w:rsid w:val="00C516A1"/>
    <w:rsid w:val="00C51846"/>
    <w:rsid w:val="00C51A0A"/>
    <w:rsid w:val="00C51DDA"/>
    <w:rsid w:val="00C51E2C"/>
    <w:rsid w:val="00C51E7F"/>
    <w:rsid w:val="00C52178"/>
    <w:rsid w:val="00C52EC1"/>
    <w:rsid w:val="00C5323C"/>
    <w:rsid w:val="00C533F2"/>
    <w:rsid w:val="00C5397B"/>
    <w:rsid w:val="00C53BB9"/>
    <w:rsid w:val="00C53C7B"/>
    <w:rsid w:val="00C53D64"/>
    <w:rsid w:val="00C5457B"/>
    <w:rsid w:val="00C546CC"/>
    <w:rsid w:val="00C54988"/>
    <w:rsid w:val="00C55324"/>
    <w:rsid w:val="00C554E2"/>
    <w:rsid w:val="00C5584E"/>
    <w:rsid w:val="00C5584F"/>
    <w:rsid w:val="00C55B35"/>
    <w:rsid w:val="00C5659F"/>
    <w:rsid w:val="00C567D2"/>
    <w:rsid w:val="00C56A93"/>
    <w:rsid w:val="00C56A96"/>
    <w:rsid w:val="00C57496"/>
    <w:rsid w:val="00C5792C"/>
    <w:rsid w:val="00C57A3B"/>
    <w:rsid w:val="00C57D80"/>
    <w:rsid w:val="00C57FB0"/>
    <w:rsid w:val="00C604E1"/>
    <w:rsid w:val="00C6057C"/>
    <w:rsid w:val="00C6097A"/>
    <w:rsid w:val="00C61395"/>
    <w:rsid w:val="00C61653"/>
    <w:rsid w:val="00C617CE"/>
    <w:rsid w:val="00C61A08"/>
    <w:rsid w:val="00C61BC5"/>
    <w:rsid w:val="00C61CEC"/>
    <w:rsid w:val="00C61E82"/>
    <w:rsid w:val="00C61F0B"/>
    <w:rsid w:val="00C62151"/>
    <w:rsid w:val="00C62224"/>
    <w:rsid w:val="00C62336"/>
    <w:rsid w:val="00C6258A"/>
    <w:rsid w:val="00C62597"/>
    <w:rsid w:val="00C627D3"/>
    <w:rsid w:val="00C6290B"/>
    <w:rsid w:val="00C62D9F"/>
    <w:rsid w:val="00C6332F"/>
    <w:rsid w:val="00C63659"/>
    <w:rsid w:val="00C63B58"/>
    <w:rsid w:val="00C64015"/>
    <w:rsid w:val="00C644A2"/>
    <w:rsid w:val="00C646C6"/>
    <w:rsid w:val="00C64DEE"/>
    <w:rsid w:val="00C650FA"/>
    <w:rsid w:val="00C65AD2"/>
    <w:rsid w:val="00C65BF0"/>
    <w:rsid w:val="00C663A7"/>
    <w:rsid w:val="00C664A5"/>
    <w:rsid w:val="00C669D3"/>
    <w:rsid w:val="00C66AFC"/>
    <w:rsid w:val="00C66C78"/>
    <w:rsid w:val="00C66F2A"/>
    <w:rsid w:val="00C66FDC"/>
    <w:rsid w:val="00C671A1"/>
    <w:rsid w:val="00C67285"/>
    <w:rsid w:val="00C6729D"/>
    <w:rsid w:val="00C67380"/>
    <w:rsid w:val="00C677A2"/>
    <w:rsid w:val="00C70364"/>
    <w:rsid w:val="00C70513"/>
    <w:rsid w:val="00C708C2"/>
    <w:rsid w:val="00C70A4D"/>
    <w:rsid w:val="00C70AE0"/>
    <w:rsid w:val="00C70BF6"/>
    <w:rsid w:val="00C70F7A"/>
    <w:rsid w:val="00C71080"/>
    <w:rsid w:val="00C7112D"/>
    <w:rsid w:val="00C713DE"/>
    <w:rsid w:val="00C71AED"/>
    <w:rsid w:val="00C71FDB"/>
    <w:rsid w:val="00C7226C"/>
    <w:rsid w:val="00C72A5D"/>
    <w:rsid w:val="00C72DA3"/>
    <w:rsid w:val="00C72E57"/>
    <w:rsid w:val="00C73C4C"/>
    <w:rsid w:val="00C73E3F"/>
    <w:rsid w:val="00C74A8F"/>
    <w:rsid w:val="00C74AF6"/>
    <w:rsid w:val="00C74C09"/>
    <w:rsid w:val="00C7576B"/>
    <w:rsid w:val="00C758AD"/>
    <w:rsid w:val="00C75A21"/>
    <w:rsid w:val="00C75BD2"/>
    <w:rsid w:val="00C75DE1"/>
    <w:rsid w:val="00C75ECA"/>
    <w:rsid w:val="00C75F00"/>
    <w:rsid w:val="00C7607B"/>
    <w:rsid w:val="00C763D4"/>
    <w:rsid w:val="00C76F17"/>
    <w:rsid w:val="00C76F1D"/>
    <w:rsid w:val="00C77573"/>
    <w:rsid w:val="00C778B4"/>
    <w:rsid w:val="00C77BCF"/>
    <w:rsid w:val="00C77BEA"/>
    <w:rsid w:val="00C80316"/>
    <w:rsid w:val="00C80459"/>
    <w:rsid w:val="00C8057D"/>
    <w:rsid w:val="00C805B9"/>
    <w:rsid w:val="00C8082B"/>
    <w:rsid w:val="00C80BE4"/>
    <w:rsid w:val="00C80D45"/>
    <w:rsid w:val="00C80DED"/>
    <w:rsid w:val="00C81085"/>
    <w:rsid w:val="00C8175E"/>
    <w:rsid w:val="00C81BB5"/>
    <w:rsid w:val="00C81E82"/>
    <w:rsid w:val="00C8200F"/>
    <w:rsid w:val="00C8213C"/>
    <w:rsid w:val="00C8224C"/>
    <w:rsid w:val="00C8229F"/>
    <w:rsid w:val="00C828B6"/>
    <w:rsid w:val="00C828F7"/>
    <w:rsid w:val="00C82939"/>
    <w:rsid w:val="00C82980"/>
    <w:rsid w:val="00C829B8"/>
    <w:rsid w:val="00C82A82"/>
    <w:rsid w:val="00C82AD7"/>
    <w:rsid w:val="00C82F07"/>
    <w:rsid w:val="00C8381A"/>
    <w:rsid w:val="00C83A05"/>
    <w:rsid w:val="00C83A33"/>
    <w:rsid w:val="00C842CB"/>
    <w:rsid w:val="00C84479"/>
    <w:rsid w:val="00C84793"/>
    <w:rsid w:val="00C8493B"/>
    <w:rsid w:val="00C84C16"/>
    <w:rsid w:val="00C84E65"/>
    <w:rsid w:val="00C85547"/>
    <w:rsid w:val="00C865B0"/>
    <w:rsid w:val="00C86FC5"/>
    <w:rsid w:val="00C8711F"/>
    <w:rsid w:val="00C87606"/>
    <w:rsid w:val="00C87CDC"/>
    <w:rsid w:val="00C90016"/>
    <w:rsid w:val="00C90CBB"/>
    <w:rsid w:val="00C90D6B"/>
    <w:rsid w:val="00C90E03"/>
    <w:rsid w:val="00C91FCE"/>
    <w:rsid w:val="00C92272"/>
    <w:rsid w:val="00C9281E"/>
    <w:rsid w:val="00C93365"/>
    <w:rsid w:val="00C93501"/>
    <w:rsid w:val="00C938C3"/>
    <w:rsid w:val="00C9412E"/>
    <w:rsid w:val="00C944AB"/>
    <w:rsid w:val="00C94A82"/>
    <w:rsid w:val="00C94B1D"/>
    <w:rsid w:val="00C94BD5"/>
    <w:rsid w:val="00C94C8C"/>
    <w:rsid w:val="00C9509E"/>
    <w:rsid w:val="00C9510C"/>
    <w:rsid w:val="00C95189"/>
    <w:rsid w:val="00C9531A"/>
    <w:rsid w:val="00C9559F"/>
    <w:rsid w:val="00C957F6"/>
    <w:rsid w:val="00C95933"/>
    <w:rsid w:val="00C959D5"/>
    <w:rsid w:val="00C95E49"/>
    <w:rsid w:val="00C95E67"/>
    <w:rsid w:val="00C961C3"/>
    <w:rsid w:val="00C9667F"/>
    <w:rsid w:val="00C96BEC"/>
    <w:rsid w:val="00C97095"/>
    <w:rsid w:val="00C97225"/>
    <w:rsid w:val="00C9757F"/>
    <w:rsid w:val="00C97759"/>
    <w:rsid w:val="00C97EA0"/>
    <w:rsid w:val="00CA000E"/>
    <w:rsid w:val="00CA0649"/>
    <w:rsid w:val="00CA0838"/>
    <w:rsid w:val="00CA0CF2"/>
    <w:rsid w:val="00CA0EEF"/>
    <w:rsid w:val="00CA1817"/>
    <w:rsid w:val="00CA1C3B"/>
    <w:rsid w:val="00CA1C49"/>
    <w:rsid w:val="00CA2086"/>
    <w:rsid w:val="00CA25E0"/>
    <w:rsid w:val="00CA2A36"/>
    <w:rsid w:val="00CA2EA9"/>
    <w:rsid w:val="00CA2EC0"/>
    <w:rsid w:val="00CA2FA8"/>
    <w:rsid w:val="00CA30BC"/>
    <w:rsid w:val="00CA3259"/>
    <w:rsid w:val="00CA3455"/>
    <w:rsid w:val="00CA34D9"/>
    <w:rsid w:val="00CA3576"/>
    <w:rsid w:val="00CA3907"/>
    <w:rsid w:val="00CA3BCE"/>
    <w:rsid w:val="00CA48B0"/>
    <w:rsid w:val="00CA4C83"/>
    <w:rsid w:val="00CA4DF3"/>
    <w:rsid w:val="00CA5110"/>
    <w:rsid w:val="00CA5390"/>
    <w:rsid w:val="00CA5594"/>
    <w:rsid w:val="00CA5624"/>
    <w:rsid w:val="00CA56FE"/>
    <w:rsid w:val="00CA5CB4"/>
    <w:rsid w:val="00CA6575"/>
    <w:rsid w:val="00CA657B"/>
    <w:rsid w:val="00CA6A98"/>
    <w:rsid w:val="00CA6C3F"/>
    <w:rsid w:val="00CA6F1F"/>
    <w:rsid w:val="00CA7063"/>
    <w:rsid w:val="00CA7165"/>
    <w:rsid w:val="00CB0167"/>
    <w:rsid w:val="00CB07C2"/>
    <w:rsid w:val="00CB0E67"/>
    <w:rsid w:val="00CB1195"/>
    <w:rsid w:val="00CB11D3"/>
    <w:rsid w:val="00CB1201"/>
    <w:rsid w:val="00CB1445"/>
    <w:rsid w:val="00CB1766"/>
    <w:rsid w:val="00CB181F"/>
    <w:rsid w:val="00CB191A"/>
    <w:rsid w:val="00CB1A9F"/>
    <w:rsid w:val="00CB1C96"/>
    <w:rsid w:val="00CB21D4"/>
    <w:rsid w:val="00CB2300"/>
    <w:rsid w:val="00CB2310"/>
    <w:rsid w:val="00CB2320"/>
    <w:rsid w:val="00CB2442"/>
    <w:rsid w:val="00CB2BF3"/>
    <w:rsid w:val="00CB2CE8"/>
    <w:rsid w:val="00CB2D29"/>
    <w:rsid w:val="00CB2F64"/>
    <w:rsid w:val="00CB3066"/>
    <w:rsid w:val="00CB3273"/>
    <w:rsid w:val="00CB3614"/>
    <w:rsid w:val="00CB365A"/>
    <w:rsid w:val="00CB36CD"/>
    <w:rsid w:val="00CB3720"/>
    <w:rsid w:val="00CB37A8"/>
    <w:rsid w:val="00CB4170"/>
    <w:rsid w:val="00CB4204"/>
    <w:rsid w:val="00CB42D3"/>
    <w:rsid w:val="00CB45E5"/>
    <w:rsid w:val="00CB48CE"/>
    <w:rsid w:val="00CB5491"/>
    <w:rsid w:val="00CB54A1"/>
    <w:rsid w:val="00CB5CE5"/>
    <w:rsid w:val="00CB5DF6"/>
    <w:rsid w:val="00CB6427"/>
    <w:rsid w:val="00CB6634"/>
    <w:rsid w:val="00CB66AE"/>
    <w:rsid w:val="00CB67AD"/>
    <w:rsid w:val="00CB6C2C"/>
    <w:rsid w:val="00CB6F65"/>
    <w:rsid w:val="00CB7B34"/>
    <w:rsid w:val="00CB7CC0"/>
    <w:rsid w:val="00CB7D64"/>
    <w:rsid w:val="00CC002A"/>
    <w:rsid w:val="00CC014E"/>
    <w:rsid w:val="00CC01CB"/>
    <w:rsid w:val="00CC0665"/>
    <w:rsid w:val="00CC0721"/>
    <w:rsid w:val="00CC09CA"/>
    <w:rsid w:val="00CC0BDB"/>
    <w:rsid w:val="00CC0EBF"/>
    <w:rsid w:val="00CC10EE"/>
    <w:rsid w:val="00CC179B"/>
    <w:rsid w:val="00CC18FD"/>
    <w:rsid w:val="00CC19E6"/>
    <w:rsid w:val="00CC2109"/>
    <w:rsid w:val="00CC2388"/>
    <w:rsid w:val="00CC29C0"/>
    <w:rsid w:val="00CC2A82"/>
    <w:rsid w:val="00CC2DE0"/>
    <w:rsid w:val="00CC2DFA"/>
    <w:rsid w:val="00CC32B2"/>
    <w:rsid w:val="00CC32EA"/>
    <w:rsid w:val="00CC34DC"/>
    <w:rsid w:val="00CC3784"/>
    <w:rsid w:val="00CC3ADB"/>
    <w:rsid w:val="00CC3E4C"/>
    <w:rsid w:val="00CC3F4A"/>
    <w:rsid w:val="00CC4366"/>
    <w:rsid w:val="00CC43BF"/>
    <w:rsid w:val="00CC4527"/>
    <w:rsid w:val="00CC46D1"/>
    <w:rsid w:val="00CC48C7"/>
    <w:rsid w:val="00CC4EE9"/>
    <w:rsid w:val="00CC51A6"/>
    <w:rsid w:val="00CC51B3"/>
    <w:rsid w:val="00CC51B7"/>
    <w:rsid w:val="00CC534C"/>
    <w:rsid w:val="00CC5671"/>
    <w:rsid w:val="00CC58FA"/>
    <w:rsid w:val="00CC5AA3"/>
    <w:rsid w:val="00CC5CAB"/>
    <w:rsid w:val="00CC6372"/>
    <w:rsid w:val="00CC652A"/>
    <w:rsid w:val="00CC6BB1"/>
    <w:rsid w:val="00CC6C4E"/>
    <w:rsid w:val="00CC7135"/>
    <w:rsid w:val="00CC77B7"/>
    <w:rsid w:val="00CC7C5E"/>
    <w:rsid w:val="00CC7CDB"/>
    <w:rsid w:val="00CD0776"/>
    <w:rsid w:val="00CD0A4A"/>
    <w:rsid w:val="00CD0AD2"/>
    <w:rsid w:val="00CD0B8B"/>
    <w:rsid w:val="00CD1250"/>
    <w:rsid w:val="00CD1311"/>
    <w:rsid w:val="00CD1397"/>
    <w:rsid w:val="00CD1635"/>
    <w:rsid w:val="00CD1716"/>
    <w:rsid w:val="00CD17D7"/>
    <w:rsid w:val="00CD184C"/>
    <w:rsid w:val="00CD1B4D"/>
    <w:rsid w:val="00CD1C68"/>
    <w:rsid w:val="00CD1E00"/>
    <w:rsid w:val="00CD253A"/>
    <w:rsid w:val="00CD25F9"/>
    <w:rsid w:val="00CD28FD"/>
    <w:rsid w:val="00CD2A46"/>
    <w:rsid w:val="00CD2C52"/>
    <w:rsid w:val="00CD2FFA"/>
    <w:rsid w:val="00CD3051"/>
    <w:rsid w:val="00CD310F"/>
    <w:rsid w:val="00CD341E"/>
    <w:rsid w:val="00CD348B"/>
    <w:rsid w:val="00CD39C5"/>
    <w:rsid w:val="00CD3D41"/>
    <w:rsid w:val="00CD41AD"/>
    <w:rsid w:val="00CD422E"/>
    <w:rsid w:val="00CD44A5"/>
    <w:rsid w:val="00CD4B7E"/>
    <w:rsid w:val="00CD4E59"/>
    <w:rsid w:val="00CD5024"/>
    <w:rsid w:val="00CD5503"/>
    <w:rsid w:val="00CD5566"/>
    <w:rsid w:val="00CD559D"/>
    <w:rsid w:val="00CD5667"/>
    <w:rsid w:val="00CD56A8"/>
    <w:rsid w:val="00CD58AB"/>
    <w:rsid w:val="00CD5D58"/>
    <w:rsid w:val="00CD5EC5"/>
    <w:rsid w:val="00CD62B2"/>
    <w:rsid w:val="00CD640E"/>
    <w:rsid w:val="00CD64C9"/>
    <w:rsid w:val="00CD667B"/>
    <w:rsid w:val="00CD6BD9"/>
    <w:rsid w:val="00CD6E45"/>
    <w:rsid w:val="00CD706A"/>
    <w:rsid w:val="00CD726E"/>
    <w:rsid w:val="00CD7584"/>
    <w:rsid w:val="00CD764F"/>
    <w:rsid w:val="00CD7697"/>
    <w:rsid w:val="00CD7737"/>
    <w:rsid w:val="00CD774E"/>
    <w:rsid w:val="00CD78C6"/>
    <w:rsid w:val="00CD7FB2"/>
    <w:rsid w:val="00CE03D2"/>
    <w:rsid w:val="00CE064F"/>
    <w:rsid w:val="00CE0968"/>
    <w:rsid w:val="00CE0E74"/>
    <w:rsid w:val="00CE1926"/>
    <w:rsid w:val="00CE1A01"/>
    <w:rsid w:val="00CE2A8C"/>
    <w:rsid w:val="00CE2EE5"/>
    <w:rsid w:val="00CE3232"/>
    <w:rsid w:val="00CE34E2"/>
    <w:rsid w:val="00CE456B"/>
    <w:rsid w:val="00CE46D7"/>
    <w:rsid w:val="00CE55F4"/>
    <w:rsid w:val="00CE570C"/>
    <w:rsid w:val="00CE575C"/>
    <w:rsid w:val="00CE57FD"/>
    <w:rsid w:val="00CE58F6"/>
    <w:rsid w:val="00CE5900"/>
    <w:rsid w:val="00CE5A7F"/>
    <w:rsid w:val="00CE5F80"/>
    <w:rsid w:val="00CE6740"/>
    <w:rsid w:val="00CE6B11"/>
    <w:rsid w:val="00CE6CD0"/>
    <w:rsid w:val="00CE6DD3"/>
    <w:rsid w:val="00CE711F"/>
    <w:rsid w:val="00CE7372"/>
    <w:rsid w:val="00CE7698"/>
    <w:rsid w:val="00CE7801"/>
    <w:rsid w:val="00CE798C"/>
    <w:rsid w:val="00CE7EAE"/>
    <w:rsid w:val="00CF029A"/>
    <w:rsid w:val="00CF04A8"/>
    <w:rsid w:val="00CF0672"/>
    <w:rsid w:val="00CF0A3B"/>
    <w:rsid w:val="00CF10E1"/>
    <w:rsid w:val="00CF198E"/>
    <w:rsid w:val="00CF1EFD"/>
    <w:rsid w:val="00CF20BB"/>
    <w:rsid w:val="00CF21A9"/>
    <w:rsid w:val="00CF227A"/>
    <w:rsid w:val="00CF29CC"/>
    <w:rsid w:val="00CF33F5"/>
    <w:rsid w:val="00CF3432"/>
    <w:rsid w:val="00CF3722"/>
    <w:rsid w:val="00CF3EE3"/>
    <w:rsid w:val="00CF4195"/>
    <w:rsid w:val="00CF45E4"/>
    <w:rsid w:val="00CF49CC"/>
    <w:rsid w:val="00CF4A3D"/>
    <w:rsid w:val="00CF4B48"/>
    <w:rsid w:val="00CF4BCD"/>
    <w:rsid w:val="00CF504C"/>
    <w:rsid w:val="00CF51BE"/>
    <w:rsid w:val="00CF5723"/>
    <w:rsid w:val="00CF59C5"/>
    <w:rsid w:val="00CF5E64"/>
    <w:rsid w:val="00CF5F51"/>
    <w:rsid w:val="00CF6156"/>
    <w:rsid w:val="00CF633D"/>
    <w:rsid w:val="00CF662A"/>
    <w:rsid w:val="00CF6730"/>
    <w:rsid w:val="00CF6AF1"/>
    <w:rsid w:val="00CF6BDC"/>
    <w:rsid w:val="00CF6ED4"/>
    <w:rsid w:val="00CF6FE3"/>
    <w:rsid w:val="00CF706D"/>
    <w:rsid w:val="00CF715F"/>
    <w:rsid w:val="00CF71D0"/>
    <w:rsid w:val="00CF71D7"/>
    <w:rsid w:val="00CF72BE"/>
    <w:rsid w:val="00CF735E"/>
    <w:rsid w:val="00CF7476"/>
    <w:rsid w:val="00CF76EF"/>
    <w:rsid w:val="00CF77BE"/>
    <w:rsid w:val="00CF7C85"/>
    <w:rsid w:val="00CF7F39"/>
    <w:rsid w:val="00D0011B"/>
    <w:rsid w:val="00D004A9"/>
    <w:rsid w:val="00D007BC"/>
    <w:rsid w:val="00D0091D"/>
    <w:rsid w:val="00D00B18"/>
    <w:rsid w:val="00D00CBA"/>
    <w:rsid w:val="00D00EBC"/>
    <w:rsid w:val="00D00EE3"/>
    <w:rsid w:val="00D01089"/>
    <w:rsid w:val="00D01532"/>
    <w:rsid w:val="00D01578"/>
    <w:rsid w:val="00D0191E"/>
    <w:rsid w:val="00D01AE9"/>
    <w:rsid w:val="00D01D85"/>
    <w:rsid w:val="00D022D5"/>
    <w:rsid w:val="00D02315"/>
    <w:rsid w:val="00D02D58"/>
    <w:rsid w:val="00D02D81"/>
    <w:rsid w:val="00D02E54"/>
    <w:rsid w:val="00D02EA5"/>
    <w:rsid w:val="00D03156"/>
    <w:rsid w:val="00D0318C"/>
    <w:rsid w:val="00D0365F"/>
    <w:rsid w:val="00D03992"/>
    <w:rsid w:val="00D03A42"/>
    <w:rsid w:val="00D0442C"/>
    <w:rsid w:val="00D04624"/>
    <w:rsid w:val="00D04646"/>
    <w:rsid w:val="00D04CC1"/>
    <w:rsid w:val="00D04DA4"/>
    <w:rsid w:val="00D0551E"/>
    <w:rsid w:val="00D05691"/>
    <w:rsid w:val="00D05C58"/>
    <w:rsid w:val="00D05CB8"/>
    <w:rsid w:val="00D05EE7"/>
    <w:rsid w:val="00D06047"/>
    <w:rsid w:val="00D06186"/>
    <w:rsid w:val="00D064B4"/>
    <w:rsid w:val="00D064C8"/>
    <w:rsid w:val="00D064D2"/>
    <w:rsid w:val="00D06596"/>
    <w:rsid w:val="00D06934"/>
    <w:rsid w:val="00D06DCE"/>
    <w:rsid w:val="00D0722A"/>
    <w:rsid w:val="00D07295"/>
    <w:rsid w:val="00D07472"/>
    <w:rsid w:val="00D07768"/>
    <w:rsid w:val="00D07CBE"/>
    <w:rsid w:val="00D07F26"/>
    <w:rsid w:val="00D103B3"/>
    <w:rsid w:val="00D1099C"/>
    <w:rsid w:val="00D115B9"/>
    <w:rsid w:val="00D115E0"/>
    <w:rsid w:val="00D115FC"/>
    <w:rsid w:val="00D11839"/>
    <w:rsid w:val="00D119C3"/>
    <w:rsid w:val="00D11A5F"/>
    <w:rsid w:val="00D11B2C"/>
    <w:rsid w:val="00D11C0D"/>
    <w:rsid w:val="00D11D80"/>
    <w:rsid w:val="00D12133"/>
    <w:rsid w:val="00D12318"/>
    <w:rsid w:val="00D126AB"/>
    <w:rsid w:val="00D12777"/>
    <w:rsid w:val="00D12BDB"/>
    <w:rsid w:val="00D12F76"/>
    <w:rsid w:val="00D133AE"/>
    <w:rsid w:val="00D13665"/>
    <w:rsid w:val="00D13C40"/>
    <w:rsid w:val="00D13C48"/>
    <w:rsid w:val="00D13D9D"/>
    <w:rsid w:val="00D14379"/>
    <w:rsid w:val="00D145CF"/>
    <w:rsid w:val="00D14A32"/>
    <w:rsid w:val="00D14AFD"/>
    <w:rsid w:val="00D14EED"/>
    <w:rsid w:val="00D152A0"/>
    <w:rsid w:val="00D155FC"/>
    <w:rsid w:val="00D15786"/>
    <w:rsid w:val="00D15F6B"/>
    <w:rsid w:val="00D1655D"/>
    <w:rsid w:val="00D168C4"/>
    <w:rsid w:val="00D16CDA"/>
    <w:rsid w:val="00D17551"/>
    <w:rsid w:val="00D2026C"/>
    <w:rsid w:val="00D20292"/>
    <w:rsid w:val="00D20B14"/>
    <w:rsid w:val="00D21644"/>
    <w:rsid w:val="00D2182C"/>
    <w:rsid w:val="00D218EC"/>
    <w:rsid w:val="00D219DD"/>
    <w:rsid w:val="00D2290B"/>
    <w:rsid w:val="00D22CFD"/>
    <w:rsid w:val="00D22D45"/>
    <w:rsid w:val="00D22FCB"/>
    <w:rsid w:val="00D23251"/>
    <w:rsid w:val="00D233E5"/>
    <w:rsid w:val="00D23C82"/>
    <w:rsid w:val="00D23E34"/>
    <w:rsid w:val="00D23EB1"/>
    <w:rsid w:val="00D24371"/>
    <w:rsid w:val="00D248C1"/>
    <w:rsid w:val="00D24E54"/>
    <w:rsid w:val="00D2502F"/>
    <w:rsid w:val="00D251C5"/>
    <w:rsid w:val="00D2534E"/>
    <w:rsid w:val="00D2584E"/>
    <w:rsid w:val="00D25AC8"/>
    <w:rsid w:val="00D25CC4"/>
    <w:rsid w:val="00D25E91"/>
    <w:rsid w:val="00D25EBA"/>
    <w:rsid w:val="00D2618B"/>
    <w:rsid w:val="00D26A29"/>
    <w:rsid w:val="00D26BF2"/>
    <w:rsid w:val="00D26E1C"/>
    <w:rsid w:val="00D26F8C"/>
    <w:rsid w:val="00D270A3"/>
    <w:rsid w:val="00D271FD"/>
    <w:rsid w:val="00D27FE2"/>
    <w:rsid w:val="00D30215"/>
    <w:rsid w:val="00D30695"/>
    <w:rsid w:val="00D306AD"/>
    <w:rsid w:val="00D3086C"/>
    <w:rsid w:val="00D30CF2"/>
    <w:rsid w:val="00D30DF1"/>
    <w:rsid w:val="00D30EDB"/>
    <w:rsid w:val="00D312E1"/>
    <w:rsid w:val="00D31551"/>
    <w:rsid w:val="00D31693"/>
    <w:rsid w:val="00D31B2D"/>
    <w:rsid w:val="00D31DC0"/>
    <w:rsid w:val="00D31F89"/>
    <w:rsid w:val="00D31FDE"/>
    <w:rsid w:val="00D3298C"/>
    <w:rsid w:val="00D32A3B"/>
    <w:rsid w:val="00D32A51"/>
    <w:rsid w:val="00D32BAF"/>
    <w:rsid w:val="00D32DB7"/>
    <w:rsid w:val="00D32F1F"/>
    <w:rsid w:val="00D3311A"/>
    <w:rsid w:val="00D334A9"/>
    <w:rsid w:val="00D33589"/>
    <w:rsid w:val="00D336A4"/>
    <w:rsid w:val="00D3370F"/>
    <w:rsid w:val="00D33BAB"/>
    <w:rsid w:val="00D33C2D"/>
    <w:rsid w:val="00D33C52"/>
    <w:rsid w:val="00D33FA7"/>
    <w:rsid w:val="00D34191"/>
    <w:rsid w:val="00D34261"/>
    <w:rsid w:val="00D344AF"/>
    <w:rsid w:val="00D346F4"/>
    <w:rsid w:val="00D34B78"/>
    <w:rsid w:val="00D34C67"/>
    <w:rsid w:val="00D34E8C"/>
    <w:rsid w:val="00D34F3B"/>
    <w:rsid w:val="00D352D0"/>
    <w:rsid w:val="00D35356"/>
    <w:rsid w:val="00D3556B"/>
    <w:rsid w:val="00D3571C"/>
    <w:rsid w:val="00D35A0D"/>
    <w:rsid w:val="00D3686E"/>
    <w:rsid w:val="00D36A3D"/>
    <w:rsid w:val="00D36AC5"/>
    <w:rsid w:val="00D36D57"/>
    <w:rsid w:val="00D37113"/>
    <w:rsid w:val="00D37F2A"/>
    <w:rsid w:val="00D40084"/>
    <w:rsid w:val="00D40093"/>
    <w:rsid w:val="00D4013C"/>
    <w:rsid w:val="00D405DB"/>
    <w:rsid w:val="00D40619"/>
    <w:rsid w:val="00D40AD5"/>
    <w:rsid w:val="00D41AFD"/>
    <w:rsid w:val="00D41E42"/>
    <w:rsid w:val="00D41EA7"/>
    <w:rsid w:val="00D41FC3"/>
    <w:rsid w:val="00D42108"/>
    <w:rsid w:val="00D421A5"/>
    <w:rsid w:val="00D42454"/>
    <w:rsid w:val="00D42956"/>
    <w:rsid w:val="00D429C3"/>
    <w:rsid w:val="00D42CE6"/>
    <w:rsid w:val="00D42E1B"/>
    <w:rsid w:val="00D42EC8"/>
    <w:rsid w:val="00D43C4A"/>
    <w:rsid w:val="00D4428E"/>
    <w:rsid w:val="00D44936"/>
    <w:rsid w:val="00D44CF2"/>
    <w:rsid w:val="00D44E94"/>
    <w:rsid w:val="00D451EC"/>
    <w:rsid w:val="00D453DF"/>
    <w:rsid w:val="00D46209"/>
    <w:rsid w:val="00D465F4"/>
    <w:rsid w:val="00D468F0"/>
    <w:rsid w:val="00D4696F"/>
    <w:rsid w:val="00D4699C"/>
    <w:rsid w:val="00D46C12"/>
    <w:rsid w:val="00D46CD0"/>
    <w:rsid w:val="00D46D39"/>
    <w:rsid w:val="00D47901"/>
    <w:rsid w:val="00D50402"/>
    <w:rsid w:val="00D5109E"/>
    <w:rsid w:val="00D5146A"/>
    <w:rsid w:val="00D51554"/>
    <w:rsid w:val="00D516CB"/>
    <w:rsid w:val="00D51966"/>
    <w:rsid w:val="00D51BBF"/>
    <w:rsid w:val="00D51D50"/>
    <w:rsid w:val="00D526D4"/>
    <w:rsid w:val="00D5286F"/>
    <w:rsid w:val="00D528EC"/>
    <w:rsid w:val="00D529F6"/>
    <w:rsid w:val="00D52A85"/>
    <w:rsid w:val="00D52F82"/>
    <w:rsid w:val="00D53039"/>
    <w:rsid w:val="00D53145"/>
    <w:rsid w:val="00D53E39"/>
    <w:rsid w:val="00D540A8"/>
    <w:rsid w:val="00D5410C"/>
    <w:rsid w:val="00D547D3"/>
    <w:rsid w:val="00D5482E"/>
    <w:rsid w:val="00D54877"/>
    <w:rsid w:val="00D548C8"/>
    <w:rsid w:val="00D552B7"/>
    <w:rsid w:val="00D553F1"/>
    <w:rsid w:val="00D55982"/>
    <w:rsid w:val="00D564F8"/>
    <w:rsid w:val="00D5663E"/>
    <w:rsid w:val="00D56860"/>
    <w:rsid w:val="00D56A7D"/>
    <w:rsid w:val="00D56E34"/>
    <w:rsid w:val="00D57288"/>
    <w:rsid w:val="00D5767E"/>
    <w:rsid w:val="00D5796B"/>
    <w:rsid w:val="00D579B6"/>
    <w:rsid w:val="00D57C42"/>
    <w:rsid w:val="00D57C5D"/>
    <w:rsid w:val="00D57E1E"/>
    <w:rsid w:val="00D600B3"/>
    <w:rsid w:val="00D6050C"/>
    <w:rsid w:val="00D6059C"/>
    <w:rsid w:val="00D612C8"/>
    <w:rsid w:val="00D617E6"/>
    <w:rsid w:val="00D61A65"/>
    <w:rsid w:val="00D61B30"/>
    <w:rsid w:val="00D61FA4"/>
    <w:rsid w:val="00D6249C"/>
    <w:rsid w:val="00D62561"/>
    <w:rsid w:val="00D62659"/>
    <w:rsid w:val="00D626DD"/>
    <w:rsid w:val="00D6325A"/>
    <w:rsid w:val="00D632E3"/>
    <w:rsid w:val="00D63346"/>
    <w:rsid w:val="00D636C6"/>
    <w:rsid w:val="00D6379C"/>
    <w:rsid w:val="00D63E3E"/>
    <w:rsid w:val="00D642E5"/>
    <w:rsid w:val="00D64A73"/>
    <w:rsid w:val="00D64BB2"/>
    <w:rsid w:val="00D64E06"/>
    <w:rsid w:val="00D65096"/>
    <w:rsid w:val="00D65547"/>
    <w:rsid w:val="00D65649"/>
    <w:rsid w:val="00D65CD6"/>
    <w:rsid w:val="00D65D32"/>
    <w:rsid w:val="00D65EE1"/>
    <w:rsid w:val="00D65F77"/>
    <w:rsid w:val="00D66862"/>
    <w:rsid w:val="00D66A39"/>
    <w:rsid w:val="00D66BAB"/>
    <w:rsid w:val="00D66C2B"/>
    <w:rsid w:val="00D66CCF"/>
    <w:rsid w:val="00D66CDC"/>
    <w:rsid w:val="00D67153"/>
    <w:rsid w:val="00D672BB"/>
    <w:rsid w:val="00D6779F"/>
    <w:rsid w:val="00D7044C"/>
    <w:rsid w:val="00D7063F"/>
    <w:rsid w:val="00D70BD2"/>
    <w:rsid w:val="00D70EE8"/>
    <w:rsid w:val="00D70EED"/>
    <w:rsid w:val="00D71094"/>
    <w:rsid w:val="00D7154E"/>
    <w:rsid w:val="00D71BC5"/>
    <w:rsid w:val="00D71E70"/>
    <w:rsid w:val="00D72347"/>
    <w:rsid w:val="00D727B2"/>
    <w:rsid w:val="00D736D5"/>
    <w:rsid w:val="00D737A3"/>
    <w:rsid w:val="00D7396F"/>
    <w:rsid w:val="00D73B80"/>
    <w:rsid w:val="00D740C4"/>
    <w:rsid w:val="00D74598"/>
    <w:rsid w:val="00D74612"/>
    <w:rsid w:val="00D746F9"/>
    <w:rsid w:val="00D74ABF"/>
    <w:rsid w:val="00D758E0"/>
    <w:rsid w:val="00D7592C"/>
    <w:rsid w:val="00D75945"/>
    <w:rsid w:val="00D75D87"/>
    <w:rsid w:val="00D75D8F"/>
    <w:rsid w:val="00D76003"/>
    <w:rsid w:val="00D76069"/>
    <w:rsid w:val="00D760AA"/>
    <w:rsid w:val="00D762F8"/>
    <w:rsid w:val="00D76678"/>
    <w:rsid w:val="00D766D5"/>
    <w:rsid w:val="00D76BA0"/>
    <w:rsid w:val="00D76DD5"/>
    <w:rsid w:val="00D76E23"/>
    <w:rsid w:val="00D76ED9"/>
    <w:rsid w:val="00D77000"/>
    <w:rsid w:val="00D773C7"/>
    <w:rsid w:val="00D776AF"/>
    <w:rsid w:val="00D7784B"/>
    <w:rsid w:val="00D77D08"/>
    <w:rsid w:val="00D80574"/>
    <w:rsid w:val="00D806F7"/>
    <w:rsid w:val="00D8088E"/>
    <w:rsid w:val="00D80961"/>
    <w:rsid w:val="00D80A5B"/>
    <w:rsid w:val="00D80D61"/>
    <w:rsid w:val="00D80FC0"/>
    <w:rsid w:val="00D812A7"/>
    <w:rsid w:val="00D81383"/>
    <w:rsid w:val="00D81416"/>
    <w:rsid w:val="00D81544"/>
    <w:rsid w:val="00D81613"/>
    <w:rsid w:val="00D81622"/>
    <w:rsid w:val="00D81DCA"/>
    <w:rsid w:val="00D8212F"/>
    <w:rsid w:val="00D821B1"/>
    <w:rsid w:val="00D8220B"/>
    <w:rsid w:val="00D82CB1"/>
    <w:rsid w:val="00D82D7C"/>
    <w:rsid w:val="00D82F4E"/>
    <w:rsid w:val="00D8319E"/>
    <w:rsid w:val="00D83C67"/>
    <w:rsid w:val="00D83CBE"/>
    <w:rsid w:val="00D83E76"/>
    <w:rsid w:val="00D8423C"/>
    <w:rsid w:val="00D846A6"/>
    <w:rsid w:val="00D848A1"/>
    <w:rsid w:val="00D84E92"/>
    <w:rsid w:val="00D850B9"/>
    <w:rsid w:val="00D856D2"/>
    <w:rsid w:val="00D85A0E"/>
    <w:rsid w:val="00D85EE0"/>
    <w:rsid w:val="00D862FC"/>
    <w:rsid w:val="00D866AC"/>
    <w:rsid w:val="00D86A89"/>
    <w:rsid w:val="00D86D49"/>
    <w:rsid w:val="00D87409"/>
    <w:rsid w:val="00D87495"/>
    <w:rsid w:val="00D87724"/>
    <w:rsid w:val="00D87890"/>
    <w:rsid w:val="00D879F4"/>
    <w:rsid w:val="00D87D1A"/>
    <w:rsid w:val="00D87DE5"/>
    <w:rsid w:val="00D87E2C"/>
    <w:rsid w:val="00D90272"/>
    <w:rsid w:val="00D903AC"/>
    <w:rsid w:val="00D90F3C"/>
    <w:rsid w:val="00D90F58"/>
    <w:rsid w:val="00D914A5"/>
    <w:rsid w:val="00D9162C"/>
    <w:rsid w:val="00D91740"/>
    <w:rsid w:val="00D91796"/>
    <w:rsid w:val="00D9187B"/>
    <w:rsid w:val="00D9215A"/>
    <w:rsid w:val="00D92442"/>
    <w:rsid w:val="00D92924"/>
    <w:rsid w:val="00D92CEC"/>
    <w:rsid w:val="00D9331B"/>
    <w:rsid w:val="00D9370D"/>
    <w:rsid w:val="00D93865"/>
    <w:rsid w:val="00D93D34"/>
    <w:rsid w:val="00D93D46"/>
    <w:rsid w:val="00D9415E"/>
    <w:rsid w:val="00D94428"/>
    <w:rsid w:val="00D94779"/>
    <w:rsid w:val="00D94792"/>
    <w:rsid w:val="00D949A6"/>
    <w:rsid w:val="00D94B01"/>
    <w:rsid w:val="00D94BEC"/>
    <w:rsid w:val="00D94C62"/>
    <w:rsid w:val="00D9513A"/>
    <w:rsid w:val="00D953DD"/>
    <w:rsid w:val="00D95890"/>
    <w:rsid w:val="00D95AB7"/>
    <w:rsid w:val="00D95B0F"/>
    <w:rsid w:val="00D95BC4"/>
    <w:rsid w:val="00D96140"/>
    <w:rsid w:val="00D96254"/>
    <w:rsid w:val="00D962FB"/>
    <w:rsid w:val="00D963B1"/>
    <w:rsid w:val="00D964FB"/>
    <w:rsid w:val="00D965E3"/>
    <w:rsid w:val="00D96B09"/>
    <w:rsid w:val="00D96B2C"/>
    <w:rsid w:val="00D97575"/>
    <w:rsid w:val="00D975A6"/>
    <w:rsid w:val="00D97743"/>
    <w:rsid w:val="00D97D2F"/>
    <w:rsid w:val="00DA023E"/>
    <w:rsid w:val="00DA03B2"/>
    <w:rsid w:val="00DA03DE"/>
    <w:rsid w:val="00DA06F4"/>
    <w:rsid w:val="00DA0819"/>
    <w:rsid w:val="00DA0BB6"/>
    <w:rsid w:val="00DA1044"/>
    <w:rsid w:val="00DA121C"/>
    <w:rsid w:val="00DA159E"/>
    <w:rsid w:val="00DA1713"/>
    <w:rsid w:val="00DA1769"/>
    <w:rsid w:val="00DA1A7D"/>
    <w:rsid w:val="00DA2301"/>
    <w:rsid w:val="00DA247F"/>
    <w:rsid w:val="00DA2703"/>
    <w:rsid w:val="00DA2A03"/>
    <w:rsid w:val="00DA2C55"/>
    <w:rsid w:val="00DA327A"/>
    <w:rsid w:val="00DA3342"/>
    <w:rsid w:val="00DA3379"/>
    <w:rsid w:val="00DA343F"/>
    <w:rsid w:val="00DA3D5D"/>
    <w:rsid w:val="00DA494F"/>
    <w:rsid w:val="00DA4BBF"/>
    <w:rsid w:val="00DA4BE9"/>
    <w:rsid w:val="00DA4ED2"/>
    <w:rsid w:val="00DA54F7"/>
    <w:rsid w:val="00DA55F3"/>
    <w:rsid w:val="00DA55F9"/>
    <w:rsid w:val="00DA5C82"/>
    <w:rsid w:val="00DA68C6"/>
    <w:rsid w:val="00DA69A9"/>
    <w:rsid w:val="00DA6B4B"/>
    <w:rsid w:val="00DA6C69"/>
    <w:rsid w:val="00DA6ECB"/>
    <w:rsid w:val="00DA729B"/>
    <w:rsid w:val="00DA72B0"/>
    <w:rsid w:val="00DA758C"/>
    <w:rsid w:val="00DA75B0"/>
    <w:rsid w:val="00DB00E7"/>
    <w:rsid w:val="00DB0541"/>
    <w:rsid w:val="00DB080E"/>
    <w:rsid w:val="00DB0A19"/>
    <w:rsid w:val="00DB0BEA"/>
    <w:rsid w:val="00DB0C6B"/>
    <w:rsid w:val="00DB114E"/>
    <w:rsid w:val="00DB115F"/>
    <w:rsid w:val="00DB131A"/>
    <w:rsid w:val="00DB149D"/>
    <w:rsid w:val="00DB172A"/>
    <w:rsid w:val="00DB1827"/>
    <w:rsid w:val="00DB1D36"/>
    <w:rsid w:val="00DB223F"/>
    <w:rsid w:val="00DB25F4"/>
    <w:rsid w:val="00DB2EAE"/>
    <w:rsid w:val="00DB2F5D"/>
    <w:rsid w:val="00DB3141"/>
    <w:rsid w:val="00DB31AF"/>
    <w:rsid w:val="00DB338C"/>
    <w:rsid w:val="00DB362C"/>
    <w:rsid w:val="00DB3BAA"/>
    <w:rsid w:val="00DB3F3D"/>
    <w:rsid w:val="00DB3F83"/>
    <w:rsid w:val="00DB3FE6"/>
    <w:rsid w:val="00DB45DA"/>
    <w:rsid w:val="00DB4A75"/>
    <w:rsid w:val="00DB4BD4"/>
    <w:rsid w:val="00DB4DD9"/>
    <w:rsid w:val="00DB4FC7"/>
    <w:rsid w:val="00DB50B6"/>
    <w:rsid w:val="00DB52A3"/>
    <w:rsid w:val="00DB568F"/>
    <w:rsid w:val="00DB5C16"/>
    <w:rsid w:val="00DB611C"/>
    <w:rsid w:val="00DB621A"/>
    <w:rsid w:val="00DB640C"/>
    <w:rsid w:val="00DB7089"/>
    <w:rsid w:val="00DB76B2"/>
    <w:rsid w:val="00DB7D28"/>
    <w:rsid w:val="00DC0153"/>
    <w:rsid w:val="00DC0424"/>
    <w:rsid w:val="00DC066E"/>
    <w:rsid w:val="00DC0A3A"/>
    <w:rsid w:val="00DC0AC0"/>
    <w:rsid w:val="00DC0C5B"/>
    <w:rsid w:val="00DC0D31"/>
    <w:rsid w:val="00DC1129"/>
    <w:rsid w:val="00DC1491"/>
    <w:rsid w:val="00DC1906"/>
    <w:rsid w:val="00DC2377"/>
    <w:rsid w:val="00DC2644"/>
    <w:rsid w:val="00DC2A53"/>
    <w:rsid w:val="00DC2FAA"/>
    <w:rsid w:val="00DC31BE"/>
    <w:rsid w:val="00DC3224"/>
    <w:rsid w:val="00DC3323"/>
    <w:rsid w:val="00DC333C"/>
    <w:rsid w:val="00DC337C"/>
    <w:rsid w:val="00DC3596"/>
    <w:rsid w:val="00DC38FE"/>
    <w:rsid w:val="00DC3CB2"/>
    <w:rsid w:val="00DC3ED2"/>
    <w:rsid w:val="00DC4517"/>
    <w:rsid w:val="00DC4980"/>
    <w:rsid w:val="00DC4B2A"/>
    <w:rsid w:val="00DC4DC0"/>
    <w:rsid w:val="00DC51FA"/>
    <w:rsid w:val="00DC5895"/>
    <w:rsid w:val="00DC5BD7"/>
    <w:rsid w:val="00DC61F8"/>
    <w:rsid w:val="00DC6A8F"/>
    <w:rsid w:val="00DC6BC2"/>
    <w:rsid w:val="00DC6C92"/>
    <w:rsid w:val="00DC6D18"/>
    <w:rsid w:val="00DC7386"/>
    <w:rsid w:val="00DC7C0D"/>
    <w:rsid w:val="00DD01BD"/>
    <w:rsid w:val="00DD055C"/>
    <w:rsid w:val="00DD0799"/>
    <w:rsid w:val="00DD09D9"/>
    <w:rsid w:val="00DD0A9C"/>
    <w:rsid w:val="00DD0E2E"/>
    <w:rsid w:val="00DD0F59"/>
    <w:rsid w:val="00DD1034"/>
    <w:rsid w:val="00DD10FF"/>
    <w:rsid w:val="00DD14E3"/>
    <w:rsid w:val="00DD18E5"/>
    <w:rsid w:val="00DD1CBE"/>
    <w:rsid w:val="00DD1D07"/>
    <w:rsid w:val="00DD1F3E"/>
    <w:rsid w:val="00DD1F55"/>
    <w:rsid w:val="00DD1FD5"/>
    <w:rsid w:val="00DD22E6"/>
    <w:rsid w:val="00DD25C5"/>
    <w:rsid w:val="00DD2675"/>
    <w:rsid w:val="00DD26A1"/>
    <w:rsid w:val="00DD26DC"/>
    <w:rsid w:val="00DD27BF"/>
    <w:rsid w:val="00DD2821"/>
    <w:rsid w:val="00DD2A01"/>
    <w:rsid w:val="00DD2C62"/>
    <w:rsid w:val="00DD2E9D"/>
    <w:rsid w:val="00DD328E"/>
    <w:rsid w:val="00DD35DD"/>
    <w:rsid w:val="00DD36B7"/>
    <w:rsid w:val="00DD424B"/>
    <w:rsid w:val="00DD47D1"/>
    <w:rsid w:val="00DD485F"/>
    <w:rsid w:val="00DD48EC"/>
    <w:rsid w:val="00DD4D86"/>
    <w:rsid w:val="00DD521D"/>
    <w:rsid w:val="00DD57BC"/>
    <w:rsid w:val="00DD58A5"/>
    <w:rsid w:val="00DD5D99"/>
    <w:rsid w:val="00DD6665"/>
    <w:rsid w:val="00DD7110"/>
    <w:rsid w:val="00DD74A1"/>
    <w:rsid w:val="00DD758A"/>
    <w:rsid w:val="00DD7847"/>
    <w:rsid w:val="00DD7893"/>
    <w:rsid w:val="00DD7B32"/>
    <w:rsid w:val="00DD7BF5"/>
    <w:rsid w:val="00DD7DF0"/>
    <w:rsid w:val="00DE0490"/>
    <w:rsid w:val="00DE09DA"/>
    <w:rsid w:val="00DE0C8F"/>
    <w:rsid w:val="00DE0EF4"/>
    <w:rsid w:val="00DE143B"/>
    <w:rsid w:val="00DE1B88"/>
    <w:rsid w:val="00DE2159"/>
    <w:rsid w:val="00DE2652"/>
    <w:rsid w:val="00DE2CBB"/>
    <w:rsid w:val="00DE3413"/>
    <w:rsid w:val="00DE3469"/>
    <w:rsid w:val="00DE354A"/>
    <w:rsid w:val="00DE3D5F"/>
    <w:rsid w:val="00DE3F63"/>
    <w:rsid w:val="00DE4466"/>
    <w:rsid w:val="00DE4727"/>
    <w:rsid w:val="00DE4751"/>
    <w:rsid w:val="00DE47E6"/>
    <w:rsid w:val="00DE483E"/>
    <w:rsid w:val="00DE4DFE"/>
    <w:rsid w:val="00DE4F68"/>
    <w:rsid w:val="00DE5200"/>
    <w:rsid w:val="00DE5E90"/>
    <w:rsid w:val="00DE616D"/>
    <w:rsid w:val="00DE6232"/>
    <w:rsid w:val="00DE6254"/>
    <w:rsid w:val="00DE6367"/>
    <w:rsid w:val="00DE6427"/>
    <w:rsid w:val="00DE6869"/>
    <w:rsid w:val="00DE6D31"/>
    <w:rsid w:val="00DE6FB2"/>
    <w:rsid w:val="00DE75BE"/>
    <w:rsid w:val="00DE7B8F"/>
    <w:rsid w:val="00DE7F20"/>
    <w:rsid w:val="00DE7FC3"/>
    <w:rsid w:val="00DF0414"/>
    <w:rsid w:val="00DF04B9"/>
    <w:rsid w:val="00DF0726"/>
    <w:rsid w:val="00DF0A21"/>
    <w:rsid w:val="00DF1297"/>
    <w:rsid w:val="00DF1425"/>
    <w:rsid w:val="00DF15E6"/>
    <w:rsid w:val="00DF19DE"/>
    <w:rsid w:val="00DF1E20"/>
    <w:rsid w:val="00DF2067"/>
    <w:rsid w:val="00DF2216"/>
    <w:rsid w:val="00DF25F2"/>
    <w:rsid w:val="00DF2DA7"/>
    <w:rsid w:val="00DF317C"/>
    <w:rsid w:val="00DF3875"/>
    <w:rsid w:val="00DF3DFF"/>
    <w:rsid w:val="00DF3E44"/>
    <w:rsid w:val="00DF4858"/>
    <w:rsid w:val="00DF4A93"/>
    <w:rsid w:val="00DF4E1C"/>
    <w:rsid w:val="00DF4EDC"/>
    <w:rsid w:val="00DF4EF8"/>
    <w:rsid w:val="00DF5ABD"/>
    <w:rsid w:val="00DF5E65"/>
    <w:rsid w:val="00DF612F"/>
    <w:rsid w:val="00DF6260"/>
    <w:rsid w:val="00DF6271"/>
    <w:rsid w:val="00DF658D"/>
    <w:rsid w:val="00DF6925"/>
    <w:rsid w:val="00DF69A4"/>
    <w:rsid w:val="00DF6E3B"/>
    <w:rsid w:val="00DF7066"/>
    <w:rsid w:val="00DF71E4"/>
    <w:rsid w:val="00DF725E"/>
    <w:rsid w:val="00DF74B8"/>
    <w:rsid w:val="00DF75F7"/>
    <w:rsid w:val="00DF7A0E"/>
    <w:rsid w:val="00DF7B98"/>
    <w:rsid w:val="00DF7BE8"/>
    <w:rsid w:val="00DF7C10"/>
    <w:rsid w:val="00DF7FEC"/>
    <w:rsid w:val="00E00150"/>
    <w:rsid w:val="00E00172"/>
    <w:rsid w:val="00E003CA"/>
    <w:rsid w:val="00E006A2"/>
    <w:rsid w:val="00E00708"/>
    <w:rsid w:val="00E008FF"/>
    <w:rsid w:val="00E00B3F"/>
    <w:rsid w:val="00E00C02"/>
    <w:rsid w:val="00E00E84"/>
    <w:rsid w:val="00E0138F"/>
    <w:rsid w:val="00E021F1"/>
    <w:rsid w:val="00E02B20"/>
    <w:rsid w:val="00E02B40"/>
    <w:rsid w:val="00E02E59"/>
    <w:rsid w:val="00E03902"/>
    <w:rsid w:val="00E03981"/>
    <w:rsid w:val="00E03A12"/>
    <w:rsid w:val="00E03C0E"/>
    <w:rsid w:val="00E03D69"/>
    <w:rsid w:val="00E04078"/>
    <w:rsid w:val="00E04382"/>
    <w:rsid w:val="00E045F7"/>
    <w:rsid w:val="00E04ABF"/>
    <w:rsid w:val="00E04C1B"/>
    <w:rsid w:val="00E04C3A"/>
    <w:rsid w:val="00E04C3F"/>
    <w:rsid w:val="00E04DD4"/>
    <w:rsid w:val="00E05100"/>
    <w:rsid w:val="00E0512E"/>
    <w:rsid w:val="00E05409"/>
    <w:rsid w:val="00E05422"/>
    <w:rsid w:val="00E05D37"/>
    <w:rsid w:val="00E0608F"/>
    <w:rsid w:val="00E063B7"/>
    <w:rsid w:val="00E0641A"/>
    <w:rsid w:val="00E06AA7"/>
    <w:rsid w:val="00E06B2C"/>
    <w:rsid w:val="00E06BA5"/>
    <w:rsid w:val="00E072B1"/>
    <w:rsid w:val="00E07499"/>
    <w:rsid w:val="00E07945"/>
    <w:rsid w:val="00E07E53"/>
    <w:rsid w:val="00E1001E"/>
    <w:rsid w:val="00E10267"/>
    <w:rsid w:val="00E1029C"/>
    <w:rsid w:val="00E10778"/>
    <w:rsid w:val="00E1077F"/>
    <w:rsid w:val="00E10A52"/>
    <w:rsid w:val="00E110B0"/>
    <w:rsid w:val="00E121A5"/>
    <w:rsid w:val="00E12A10"/>
    <w:rsid w:val="00E12A91"/>
    <w:rsid w:val="00E12AE6"/>
    <w:rsid w:val="00E130EC"/>
    <w:rsid w:val="00E1358D"/>
    <w:rsid w:val="00E13624"/>
    <w:rsid w:val="00E13BE8"/>
    <w:rsid w:val="00E13C74"/>
    <w:rsid w:val="00E13E44"/>
    <w:rsid w:val="00E1408B"/>
    <w:rsid w:val="00E1420A"/>
    <w:rsid w:val="00E142D4"/>
    <w:rsid w:val="00E14562"/>
    <w:rsid w:val="00E14D69"/>
    <w:rsid w:val="00E14ECE"/>
    <w:rsid w:val="00E15034"/>
    <w:rsid w:val="00E1526A"/>
    <w:rsid w:val="00E152E0"/>
    <w:rsid w:val="00E153B7"/>
    <w:rsid w:val="00E15660"/>
    <w:rsid w:val="00E16A49"/>
    <w:rsid w:val="00E16DD7"/>
    <w:rsid w:val="00E17617"/>
    <w:rsid w:val="00E176F3"/>
    <w:rsid w:val="00E17E94"/>
    <w:rsid w:val="00E20111"/>
    <w:rsid w:val="00E20325"/>
    <w:rsid w:val="00E203EF"/>
    <w:rsid w:val="00E2041A"/>
    <w:rsid w:val="00E20658"/>
    <w:rsid w:val="00E20A2C"/>
    <w:rsid w:val="00E20C45"/>
    <w:rsid w:val="00E20D54"/>
    <w:rsid w:val="00E20ECF"/>
    <w:rsid w:val="00E212DB"/>
    <w:rsid w:val="00E215CF"/>
    <w:rsid w:val="00E21AA2"/>
    <w:rsid w:val="00E21AB4"/>
    <w:rsid w:val="00E21FB5"/>
    <w:rsid w:val="00E2287A"/>
    <w:rsid w:val="00E2328C"/>
    <w:rsid w:val="00E235FA"/>
    <w:rsid w:val="00E23F8C"/>
    <w:rsid w:val="00E23FC3"/>
    <w:rsid w:val="00E242E4"/>
    <w:rsid w:val="00E24498"/>
    <w:rsid w:val="00E2466D"/>
    <w:rsid w:val="00E24A94"/>
    <w:rsid w:val="00E24BBA"/>
    <w:rsid w:val="00E253C9"/>
    <w:rsid w:val="00E254A3"/>
    <w:rsid w:val="00E25D71"/>
    <w:rsid w:val="00E25E3D"/>
    <w:rsid w:val="00E2639F"/>
    <w:rsid w:val="00E2693F"/>
    <w:rsid w:val="00E26BE7"/>
    <w:rsid w:val="00E27082"/>
    <w:rsid w:val="00E2733D"/>
    <w:rsid w:val="00E2754A"/>
    <w:rsid w:val="00E27A31"/>
    <w:rsid w:val="00E27D3A"/>
    <w:rsid w:val="00E27F60"/>
    <w:rsid w:val="00E27FB3"/>
    <w:rsid w:val="00E30596"/>
    <w:rsid w:val="00E30924"/>
    <w:rsid w:val="00E30B9A"/>
    <w:rsid w:val="00E30ED6"/>
    <w:rsid w:val="00E30F78"/>
    <w:rsid w:val="00E310C4"/>
    <w:rsid w:val="00E31354"/>
    <w:rsid w:val="00E313E2"/>
    <w:rsid w:val="00E3167D"/>
    <w:rsid w:val="00E316B3"/>
    <w:rsid w:val="00E31BC3"/>
    <w:rsid w:val="00E32B6C"/>
    <w:rsid w:val="00E32F22"/>
    <w:rsid w:val="00E33B14"/>
    <w:rsid w:val="00E3407B"/>
    <w:rsid w:val="00E3411E"/>
    <w:rsid w:val="00E34122"/>
    <w:rsid w:val="00E3413A"/>
    <w:rsid w:val="00E34891"/>
    <w:rsid w:val="00E348B4"/>
    <w:rsid w:val="00E353F9"/>
    <w:rsid w:val="00E35467"/>
    <w:rsid w:val="00E359BE"/>
    <w:rsid w:val="00E35ABD"/>
    <w:rsid w:val="00E35AFB"/>
    <w:rsid w:val="00E35FA0"/>
    <w:rsid w:val="00E365FC"/>
    <w:rsid w:val="00E367E3"/>
    <w:rsid w:val="00E36859"/>
    <w:rsid w:val="00E36CF8"/>
    <w:rsid w:val="00E36F9B"/>
    <w:rsid w:val="00E37046"/>
    <w:rsid w:val="00E37211"/>
    <w:rsid w:val="00E373EF"/>
    <w:rsid w:val="00E376AC"/>
    <w:rsid w:val="00E37829"/>
    <w:rsid w:val="00E378A9"/>
    <w:rsid w:val="00E37D6A"/>
    <w:rsid w:val="00E400F3"/>
    <w:rsid w:val="00E40A93"/>
    <w:rsid w:val="00E41976"/>
    <w:rsid w:val="00E41A52"/>
    <w:rsid w:val="00E41C4C"/>
    <w:rsid w:val="00E41D29"/>
    <w:rsid w:val="00E41E1D"/>
    <w:rsid w:val="00E42037"/>
    <w:rsid w:val="00E42216"/>
    <w:rsid w:val="00E4233F"/>
    <w:rsid w:val="00E424EE"/>
    <w:rsid w:val="00E4282B"/>
    <w:rsid w:val="00E42DF8"/>
    <w:rsid w:val="00E4386C"/>
    <w:rsid w:val="00E43C49"/>
    <w:rsid w:val="00E43C50"/>
    <w:rsid w:val="00E43C92"/>
    <w:rsid w:val="00E43CF6"/>
    <w:rsid w:val="00E4423F"/>
    <w:rsid w:val="00E442DC"/>
    <w:rsid w:val="00E44679"/>
    <w:rsid w:val="00E44AE1"/>
    <w:rsid w:val="00E44F6D"/>
    <w:rsid w:val="00E450E4"/>
    <w:rsid w:val="00E45256"/>
    <w:rsid w:val="00E452FC"/>
    <w:rsid w:val="00E45893"/>
    <w:rsid w:val="00E46579"/>
    <w:rsid w:val="00E46679"/>
    <w:rsid w:val="00E46C86"/>
    <w:rsid w:val="00E46E4E"/>
    <w:rsid w:val="00E472D0"/>
    <w:rsid w:val="00E475FE"/>
    <w:rsid w:val="00E47962"/>
    <w:rsid w:val="00E47BD9"/>
    <w:rsid w:val="00E47C83"/>
    <w:rsid w:val="00E47FD1"/>
    <w:rsid w:val="00E50152"/>
    <w:rsid w:val="00E50282"/>
    <w:rsid w:val="00E50342"/>
    <w:rsid w:val="00E503FA"/>
    <w:rsid w:val="00E506D0"/>
    <w:rsid w:val="00E508E0"/>
    <w:rsid w:val="00E50D82"/>
    <w:rsid w:val="00E511B9"/>
    <w:rsid w:val="00E512C5"/>
    <w:rsid w:val="00E515A9"/>
    <w:rsid w:val="00E5168B"/>
    <w:rsid w:val="00E51A6E"/>
    <w:rsid w:val="00E51D4A"/>
    <w:rsid w:val="00E51DC6"/>
    <w:rsid w:val="00E525AF"/>
    <w:rsid w:val="00E5284F"/>
    <w:rsid w:val="00E532A6"/>
    <w:rsid w:val="00E533AE"/>
    <w:rsid w:val="00E534A0"/>
    <w:rsid w:val="00E53B09"/>
    <w:rsid w:val="00E540EB"/>
    <w:rsid w:val="00E54172"/>
    <w:rsid w:val="00E5425B"/>
    <w:rsid w:val="00E545B0"/>
    <w:rsid w:val="00E545E8"/>
    <w:rsid w:val="00E546E3"/>
    <w:rsid w:val="00E54723"/>
    <w:rsid w:val="00E54E72"/>
    <w:rsid w:val="00E55288"/>
    <w:rsid w:val="00E5537A"/>
    <w:rsid w:val="00E55876"/>
    <w:rsid w:val="00E55892"/>
    <w:rsid w:val="00E55ACC"/>
    <w:rsid w:val="00E55C01"/>
    <w:rsid w:val="00E56223"/>
    <w:rsid w:val="00E5679B"/>
    <w:rsid w:val="00E568F4"/>
    <w:rsid w:val="00E56F92"/>
    <w:rsid w:val="00E57034"/>
    <w:rsid w:val="00E5721E"/>
    <w:rsid w:val="00E57569"/>
    <w:rsid w:val="00E5784C"/>
    <w:rsid w:val="00E57FAD"/>
    <w:rsid w:val="00E60238"/>
    <w:rsid w:val="00E60243"/>
    <w:rsid w:val="00E602C7"/>
    <w:rsid w:val="00E6046F"/>
    <w:rsid w:val="00E6064D"/>
    <w:rsid w:val="00E60941"/>
    <w:rsid w:val="00E6094A"/>
    <w:rsid w:val="00E60C3A"/>
    <w:rsid w:val="00E60E7B"/>
    <w:rsid w:val="00E6134C"/>
    <w:rsid w:val="00E6170E"/>
    <w:rsid w:val="00E61721"/>
    <w:rsid w:val="00E617CE"/>
    <w:rsid w:val="00E61E94"/>
    <w:rsid w:val="00E6236A"/>
    <w:rsid w:val="00E626D3"/>
    <w:rsid w:val="00E62706"/>
    <w:rsid w:val="00E6292C"/>
    <w:rsid w:val="00E62AF3"/>
    <w:rsid w:val="00E63253"/>
    <w:rsid w:val="00E63507"/>
    <w:rsid w:val="00E63825"/>
    <w:rsid w:val="00E63AA3"/>
    <w:rsid w:val="00E63E5E"/>
    <w:rsid w:val="00E645A8"/>
    <w:rsid w:val="00E649A3"/>
    <w:rsid w:val="00E64B46"/>
    <w:rsid w:val="00E64D46"/>
    <w:rsid w:val="00E64E21"/>
    <w:rsid w:val="00E651C3"/>
    <w:rsid w:val="00E65386"/>
    <w:rsid w:val="00E65913"/>
    <w:rsid w:val="00E65C2C"/>
    <w:rsid w:val="00E6663D"/>
    <w:rsid w:val="00E669EA"/>
    <w:rsid w:val="00E66B2D"/>
    <w:rsid w:val="00E66D4A"/>
    <w:rsid w:val="00E6754E"/>
    <w:rsid w:val="00E67591"/>
    <w:rsid w:val="00E67794"/>
    <w:rsid w:val="00E67E06"/>
    <w:rsid w:val="00E701A2"/>
    <w:rsid w:val="00E70A1F"/>
    <w:rsid w:val="00E70E09"/>
    <w:rsid w:val="00E712E4"/>
    <w:rsid w:val="00E71356"/>
    <w:rsid w:val="00E71E2B"/>
    <w:rsid w:val="00E71EAA"/>
    <w:rsid w:val="00E720A3"/>
    <w:rsid w:val="00E722B3"/>
    <w:rsid w:val="00E722FF"/>
    <w:rsid w:val="00E728A2"/>
    <w:rsid w:val="00E72966"/>
    <w:rsid w:val="00E72B50"/>
    <w:rsid w:val="00E73167"/>
    <w:rsid w:val="00E731F4"/>
    <w:rsid w:val="00E73331"/>
    <w:rsid w:val="00E73A0C"/>
    <w:rsid w:val="00E73B6D"/>
    <w:rsid w:val="00E73FA9"/>
    <w:rsid w:val="00E7418C"/>
    <w:rsid w:val="00E74608"/>
    <w:rsid w:val="00E74C83"/>
    <w:rsid w:val="00E74E00"/>
    <w:rsid w:val="00E74E7F"/>
    <w:rsid w:val="00E74F7D"/>
    <w:rsid w:val="00E74FBB"/>
    <w:rsid w:val="00E750C9"/>
    <w:rsid w:val="00E75BB5"/>
    <w:rsid w:val="00E75CD2"/>
    <w:rsid w:val="00E75F55"/>
    <w:rsid w:val="00E75F6C"/>
    <w:rsid w:val="00E76479"/>
    <w:rsid w:val="00E76C97"/>
    <w:rsid w:val="00E770BA"/>
    <w:rsid w:val="00E775FF"/>
    <w:rsid w:val="00E80061"/>
    <w:rsid w:val="00E801D1"/>
    <w:rsid w:val="00E805E6"/>
    <w:rsid w:val="00E806A8"/>
    <w:rsid w:val="00E8072D"/>
    <w:rsid w:val="00E808F3"/>
    <w:rsid w:val="00E81263"/>
    <w:rsid w:val="00E81295"/>
    <w:rsid w:val="00E813DF"/>
    <w:rsid w:val="00E819AE"/>
    <w:rsid w:val="00E81B90"/>
    <w:rsid w:val="00E81C56"/>
    <w:rsid w:val="00E81DBA"/>
    <w:rsid w:val="00E82083"/>
    <w:rsid w:val="00E820FB"/>
    <w:rsid w:val="00E8222D"/>
    <w:rsid w:val="00E82395"/>
    <w:rsid w:val="00E829AA"/>
    <w:rsid w:val="00E82FFC"/>
    <w:rsid w:val="00E831C5"/>
    <w:rsid w:val="00E83234"/>
    <w:rsid w:val="00E838E1"/>
    <w:rsid w:val="00E839B6"/>
    <w:rsid w:val="00E840EB"/>
    <w:rsid w:val="00E84560"/>
    <w:rsid w:val="00E8466F"/>
    <w:rsid w:val="00E84A03"/>
    <w:rsid w:val="00E84D6B"/>
    <w:rsid w:val="00E850C2"/>
    <w:rsid w:val="00E85752"/>
    <w:rsid w:val="00E85E0C"/>
    <w:rsid w:val="00E85EF1"/>
    <w:rsid w:val="00E8613E"/>
    <w:rsid w:val="00E8661B"/>
    <w:rsid w:val="00E868C2"/>
    <w:rsid w:val="00E86B55"/>
    <w:rsid w:val="00E8703E"/>
    <w:rsid w:val="00E87234"/>
    <w:rsid w:val="00E87601"/>
    <w:rsid w:val="00E87CB0"/>
    <w:rsid w:val="00E87D68"/>
    <w:rsid w:val="00E90312"/>
    <w:rsid w:val="00E90465"/>
    <w:rsid w:val="00E90B73"/>
    <w:rsid w:val="00E90B86"/>
    <w:rsid w:val="00E90C01"/>
    <w:rsid w:val="00E90E65"/>
    <w:rsid w:val="00E91543"/>
    <w:rsid w:val="00E91899"/>
    <w:rsid w:val="00E91EEC"/>
    <w:rsid w:val="00E91F65"/>
    <w:rsid w:val="00E929B9"/>
    <w:rsid w:val="00E92A6B"/>
    <w:rsid w:val="00E92D2E"/>
    <w:rsid w:val="00E93182"/>
    <w:rsid w:val="00E93561"/>
    <w:rsid w:val="00E93BE5"/>
    <w:rsid w:val="00E93FE0"/>
    <w:rsid w:val="00E942D7"/>
    <w:rsid w:val="00E94352"/>
    <w:rsid w:val="00E94788"/>
    <w:rsid w:val="00E94A6F"/>
    <w:rsid w:val="00E94EAA"/>
    <w:rsid w:val="00E94EFB"/>
    <w:rsid w:val="00E94FB8"/>
    <w:rsid w:val="00E95062"/>
    <w:rsid w:val="00E95700"/>
    <w:rsid w:val="00E96916"/>
    <w:rsid w:val="00E96A3F"/>
    <w:rsid w:val="00E96C10"/>
    <w:rsid w:val="00E96E7B"/>
    <w:rsid w:val="00E970EE"/>
    <w:rsid w:val="00E97126"/>
    <w:rsid w:val="00E9787A"/>
    <w:rsid w:val="00E97902"/>
    <w:rsid w:val="00E97C29"/>
    <w:rsid w:val="00EA062E"/>
    <w:rsid w:val="00EA0A3D"/>
    <w:rsid w:val="00EA14EF"/>
    <w:rsid w:val="00EA19AB"/>
    <w:rsid w:val="00EA1AA0"/>
    <w:rsid w:val="00EA1DED"/>
    <w:rsid w:val="00EA214E"/>
    <w:rsid w:val="00EA247C"/>
    <w:rsid w:val="00EA3037"/>
    <w:rsid w:val="00EA317E"/>
    <w:rsid w:val="00EA3308"/>
    <w:rsid w:val="00EA3933"/>
    <w:rsid w:val="00EA3A8F"/>
    <w:rsid w:val="00EA3E36"/>
    <w:rsid w:val="00EA40F3"/>
    <w:rsid w:val="00EA43E5"/>
    <w:rsid w:val="00EA44BF"/>
    <w:rsid w:val="00EA4623"/>
    <w:rsid w:val="00EA4D96"/>
    <w:rsid w:val="00EA4E92"/>
    <w:rsid w:val="00EA4E9A"/>
    <w:rsid w:val="00EA5002"/>
    <w:rsid w:val="00EA5216"/>
    <w:rsid w:val="00EA52B5"/>
    <w:rsid w:val="00EA56AF"/>
    <w:rsid w:val="00EA59C6"/>
    <w:rsid w:val="00EA5C8E"/>
    <w:rsid w:val="00EA5E4F"/>
    <w:rsid w:val="00EA5EB6"/>
    <w:rsid w:val="00EA5FE1"/>
    <w:rsid w:val="00EA60E4"/>
    <w:rsid w:val="00EA6223"/>
    <w:rsid w:val="00EA6268"/>
    <w:rsid w:val="00EA6806"/>
    <w:rsid w:val="00EA694C"/>
    <w:rsid w:val="00EA6954"/>
    <w:rsid w:val="00EA6B4B"/>
    <w:rsid w:val="00EA6D9F"/>
    <w:rsid w:val="00EA720C"/>
    <w:rsid w:val="00EA728F"/>
    <w:rsid w:val="00EB0108"/>
    <w:rsid w:val="00EB08CA"/>
    <w:rsid w:val="00EB08D3"/>
    <w:rsid w:val="00EB092B"/>
    <w:rsid w:val="00EB0F1E"/>
    <w:rsid w:val="00EB1170"/>
    <w:rsid w:val="00EB117C"/>
    <w:rsid w:val="00EB1279"/>
    <w:rsid w:val="00EB1760"/>
    <w:rsid w:val="00EB1E0E"/>
    <w:rsid w:val="00EB1F97"/>
    <w:rsid w:val="00EB1FF9"/>
    <w:rsid w:val="00EB2357"/>
    <w:rsid w:val="00EB248B"/>
    <w:rsid w:val="00EB266D"/>
    <w:rsid w:val="00EB2E36"/>
    <w:rsid w:val="00EB3119"/>
    <w:rsid w:val="00EB3D87"/>
    <w:rsid w:val="00EB412F"/>
    <w:rsid w:val="00EB449A"/>
    <w:rsid w:val="00EB4AE0"/>
    <w:rsid w:val="00EB4B62"/>
    <w:rsid w:val="00EB5203"/>
    <w:rsid w:val="00EB55AC"/>
    <w:rsid w:val="00EB5871"/>
    <w:rsid w:val="00EB6016"/>
    <w:rsid w:val="00EB6A65"/>
    <w:rsid w:val="00EB6CF9"/>
    <w:rsid w:val="00EB6EFC"/>
    <w:rsid w:val="00EB7127"/>
    <w:rsid w:val="00EB7286"/>
    <w:rsid w:val="00EB72E3"/>
    <w:rsid w:val="00EB78B2"/>
    <w:rsid w:val="00EB7CE7"/>
    <w:rsid w:val="00EC011B"/>
    <w:rsid w:val="00EC01EC"/>
    <w:rsid w:val="00EC0543"/>
    <w:rsid w:val="00EC0582"/>
    <w:rsid w:val="00EC0885"/>
    <w:rsid w:val="00EC0944"/>
    <w:rsid w:val="00EC09C5"/>
    <w:rsid w:val="00EC0A7C"/>
    <w:rsid w:val="00EC12A5"/>
    <w:rsid w:val="00EC1455"/>
    <w:rsid w:val="00EC1749"/>
    <w:rsid w:val="00EC19AD"/>
    <w:rsid w:val="00EC1DD4"/>
    <w:rsid w:val="00EC20DB"/>
    <w:rsid w:val="00EC21EE"/>
    <w:rsid w:val="00EC2CFF"/>
    <w:rsid w:val="00EC2D4B"/>
    <w:rsid w:val="00EC3663"/>
    <w:rsid w:val="00EC3F3E"/>
    <w:rsid w:val="00EC402D"/>
    <w:rsid w:val="00EC4B2F"/>
    <w:rsid w:val="00EC4F3D"/>
    <w:rsid w:val="00EC4FB0"/>
    <w:rsid w:val="00EC52EC"/>
    <w:rsid w:val="00EC566B"/>
    <w:rsid w:val="00EC5704"/>
    <w:rsid w:val="00EC5F12"/>
    <w:rsid w:val="00EC6142"/>
    <w:rsid w:val="00EC6334"/>
    <w:rsid w:val="00EC663B"/>
    <w:rsid w:val="00EC67F2"/>
    <w:rsid w:val="00EC6849"/>
    <w:rsid w:val="00EC6A0A"/>
    <w:rsid w:val="00EC6C21"/>
    <w:rsid w:val="00EC7085"/>
    <w:rsid w:val="00EC744D"/>
    <w:rsid w:val="00EC756F"/>
    <w:rsid w:val="00EC7FDC"/>
    <w:rsid w:val="00ED0509"/>
    <w:rsid w:val="00ED058C"/>
    <w:rsid w:val="00ED07AA"/>
    <w:rsid w:val="00ED0919"/>
    <w:rsid w:val="00ED0BA3"/>
    <w:rsid w:val="00ED0D87"/>
    <w:rsid w:val="00ED13E3"/>
    <w:rsid w:val="00ED184D"/>
    <w:rsid w:val="00ED1A39"/>
    <w:rsid w:val="00ED1D4C"/>
    <w:rsid w:val="00ED2423"/>
    <w:rsid w:val="00ED2493"/>
    <w:rsid w:val="00ED24F1"/>
    <w:rsid w:val="00ED296F"/>
    <w:rsid w:val="00ED2BCB"/>
    <w:rsid w:val="00ED2D8A"/>
    <w:rsid w:val="00ED3164"/>
    <w:rsid w:val="00ED34E4"/>
    <w:rsid w:val="00ED3742"/>
    <w:rsid w:val="00ED386A"/>
    <w:rsid w:val="00ED3993"/>
    <w:rsid w:val="00ED3E7A"/>
    <w:rsid w:val="00ED4158"/>
    <w:rsid w:val="00ED44A6"/>
    <w:rsid w:val="00ED4C6B"/>
    <w:rsid w:val="00ED4E39"/>
    <w:rsid w:val="00ED536E"/>
    <w:rsid w:val="00ED5966"/>
    <w:rsid w:val="00ED6172"/>
    <w:rsid w:val="00ED648C"/>
    <w:rsid w:val="00ED648D"/>
    <w:rsid w:val="00ED66D5"/>
    <w:rsid w:val="00ED69FE"/>
    <w:rsid w:val="00ED6CF3"/>
    <w:rsid w:val="00ED71AB"/>
    <w:rsid w:val="00ED75D4"/>
    <w:rsid w:val="00ED77F3"/>
    <w:rsid w:val="00ED7A6F"/>
    <w:rsid w:val="00ED7FBF"/>
    <w:rsid w:val="00EE05DE"/>
    <w:rsid w:val="00EE07CD"/>
    <w:rsid w:val="00EE0987"/>
    <w:rsid w:val="00EE0D90"/>
    <w:rsid w:val="00EE106F"/>
    <w:rsid w:val="00EE1676"/>
    <w:rsid w:val="00EE1AA0"/>
    <w:rsid w:val="00EE1AF4"/>
    <w:rsid w:val="00EE1B74"/>
    <w:rsid w:val="00EE1EB1"/>
    <w:rsid w:val="00EE1FDA"/>
    <w:rsid w:val="00EE25AC"/>
    <w:rsid w:val="00EE2779"/>
    <w:rsid w:val="00EE2919"/>
    <w:rsid w:val="00EE2AB5"/>
    <w:rsid w:val="00EE2DCE"/>
    <w:rsid w:val="00EE34B7"/>
    <w:rsid w:val="00EE36AB"/>
    <w:rsid w:val="00EE3A8F"/>
    <w:rsid w:val="00EE3C13"/>
    <w:rsid w:val="00EE408B"/>
    <w:rsid w:val="00EE4242"/>
    <w:rsid w:val="00EE4339"/>
    <w:rsid w:val="00EE44E4"/>
    <w:rsid w:val="00EE49D5"/>
    <w:rsid w:val="00EE4C17"/>
    <w:rsid w:val="00EE4DEA"/>
    <w:rsid w:val="00EE4E6D"/>
    <w:rsid w:val="00EE50BB"/>
    <w:rsid w:val="00EE57F5"/>
    <w:rsid w:val="00EE613C"/>
    <w:rsid w:val="00EE65E2"/>
    <w:rsid w:val="00EE6670"/>
    <w:rsid w:val="00EE6886"/>
    <w:rsid w:val="00EE6B9E"/>
    <w:rsid w:val="00EE758B"/>
    <w:rsid w:val="00EE7DE4"/>
    <w:rsid w:val="00EF0087"/>
    <w:rsid w:val="00EF034B"/>
    <w:rsid w:val="00EF043D"/>
    <w:rsid w:val="00EF0AA8"/>
    <w:rsid w:val="00EF0B1F"/>
    <w:rsid w:val="00EF0D69"/>
    <w:rsid w:val="00EF0FB2"/>
    <w:rsid w:val="00EF1129"/>
    <w:rsid w:val="00EF142A"/>
    <w:rsid w:val="00EF1FEE"/>
    <w:rsid w:val="00EF2275"/>
    <w:rsid w:val="00EF22AE"/>
    <w:rsid w:val="00EF2337"/>
    <w:rsid w:val="00EF296F"/>
    <w:rsid w:val="00EF3136"/>
    <w:rsid w:val="00EF315B"/>
    <w:rsid w:val="00EF3179"/>
    <w:rsid w:val="00EF33E3"/>
    <w:rsid w:val="00EF3502"/>
    <w:rsid w:val="00EF3A2B"/>
    <w:rsid w:val="00EF3A3E"/>
    <w:rsid w:val="00EF3A5E"/>
    <w:rsid w:val="00EF3B19"/>
    <w:rsid w:val="00EF3BAA"/>
    <w:rsid w:val="00EF3C14"/>
    <w:rsid w:val="00EF3D4C"/>
    <w:rsid w:val="00EF40F3"/>
    <w:rsid w:val="00EF4187"/>
    <w:rsid w:val="00EF422B"/>
    <w:rsid w:val="00EF469C"/>
    <w:rsid w:val="00EF46B5"/>
    <w:rsid w:val="00EF49C4"/>
    <w:rsid w:val="00EF4B3A"/>
    <w:rsid w:val="00EF4C0C"/>
    <w:rsid w:val="00EF5828"/>
    <w:rsid w:val="00EF5C50"/>
    <w:rsid w:val="00EF6732"/>
    <w:rsid w:val="00EF69B7"/>
    <w:rsid w:val="00EF6AD7"/>
    <w:rsid w:val="00EF6D04"/>
    <w:rsid w:val="00EF70BE"/>
    <w:rsid w:val="00EF73F0"/>
    <w:rsid w:val="00EF767F"/>
    <w:rsid w:val="00EF7A74"/>
    <w:rsid w:val="00EF7BB6"/>
    <w:rsid w:val="00EF7C81"/>
    <w:rsid w:val="00EF7E15"/>
    <w:rsid w:val="00F00122"/>
    <w:rsid w:val="00F0017A"/>
    <w:rsid w:val="00F00435"/>
    <w:rsid w:val="00F0077E"/>
    <w:rsid w:val="00F00C38"/>
    <w:rsid w:val="00F00D32"/>
    <w:rsid w:val="00F01082"/>
    <w:rsid w:val="00F0123E"/>
    <w:rsid w:val="00F01337"/>
    <w:rsid w:val="00F01432"/>
    <w:rsid w:val="00F015AA"/>
    <w:rsid w:val="00F01972"/>
    <w:rsid w:val="00F019A2"/>
    <w:rsid w:val="00F01D34"/>
    <w:rsid w:val="00F02128"/>
    <w:rsid w:val="00F028B9"/>
    <w:rsid w:val="00F03276"/>
    <w:rsid w:val="00F039F3"/>
    <w:rsid w:val="00F03B99"/>
    <w:rsid w:val="00F049ED"/>
    <w:rsid w:val="00F04BD1"/>
    <w:rsid w:val="00F04C08"/>
    <w:rsid w:val="00F04C76"/>
    <w:rsid w:val="00F04D26"/>
    <w:rsid w:val="00F04FE5"/>
    <w:rsid w:val="00F053A2"/>
    <w:rsid w:val="00F05602"/>
    <w:rsid w:val="00F057B9"/>
    <w:rsid w:val="00F0592B"/>
    <w:rsid w:val="00F06370"/>
    <w:rsid w:val="00F0640C"/>
    <w:rsid w:val="00F0644D"/>
    <w:rsid w:val="00F06698"/>
    <w:rsid w:val="00F068E6"/>
    <w:rsid w:val="00F06BAD"/>
    <w:rsid w:val="00F06C82"/>
    <w:rsid w:val="00F06F4C"/>
    <w:rsid w:val="00F07475"/>
    <w:rsid w:val="00F0763D"/>
    <w:rsid w:val="00F079B3"/>
    <w:rsid w:val="00F07C82"/>
    <w:rsid w:val="00F07FB6"/>
    <w:rsid w:val="00F10059"/>
    <w:rsid w:val="00F10963"/>
    <w:rsid w:val="00F11CEA"/>
    <w:rsid w:val="00F11FD3"/>
    <w:rsid w:val="00F120DA"/>
    <w:rsid w:val="00F12108"/>
    <w:rsid w:val="00F122E9"/>
    <w:rsid w:val="00F12CAC"/>
    <w:rsid w:val="00F12F35"/>
    <w:rsid w:val="00F12FC6"/>
    <w:rsid w:val="00F133FD"/>
    <w:rsid w:val="00F134AB"/>
    <w:rsid w:val="00F13D23"/>
    <w:rsid w:val="00F14421"/>
    <w:rsid w:val="00F14859"/>
    <w:rsid w:val="00F14B99"/>
    <w:rsid w:val="00F14F77"/>
    <w:rsid w:val="00F15159"/>
    <w:rsid w:val="00F15288"/>
    <w:rsid w:val="00F1539B"/>
    <w:rsid w:val="00F15671"/>
    <w:rsid w:val="00F15773"/>
    <w:rsid w:val="00F15A7E"/>
    <w:rsid w:val="00F15C15"/>
    <w:rsid w:val="00F15C64"/>
    <w:rsid w:val="00F160D7"/>
    <w:rsid w:val="00F16384"/>
    <w:rsid w:val="00F16906"/>
    <w:rsid w:val="00F1769D"/>
    <w:rsid w:val="00F176AC"/>
    <w:rsid w:val="00F17A4E"/>
    <w:rsid w:val="00F2025A"/>
    <w:rsid w:val="00F20336"/>
    <w:rsid w:val="00F20684"/>
    <w:rsid w:val="00F20709"/>
    <w:rsid w:val="00F20F54"/>
    <w:rsid w:val="00F2109F"/>
    <w:rsid w:val="00F21265"/>
    <w:rsid w:val="00F215BB"/>
    <w:rsid w:val="00F21CFC"/>
    <w:rsid w:val="00F21D5A"/>
    <w:rsid w:val="00F21E4D"/>
    <w:rsid w:val="00F223C6"/>
    <w:rsid w:val="00F22513"/>
    <w:rsid w:val="00F22542"/>
    <w:rsid w:val="00F22F37"/>
    <w:rsid w:val="00F23009"/>
    <w:rsid w:val="00F230C1"/>
    <w:rsid w:val="00F23279"/>
    <w:rsid w:val="00F23E90"/>
    <w:rsid w:val="00F23F67"/>
    <w:rsid w:val="00F24066"/>
    <w:rsid w:val="00F242CA"/>
    <w:rsid w:val="00F2486B"/>
    <w:rsid w:val="00F24E8F"/>
    <w:rsid w:val="00F24F3E"/>
    <w:rsid w:val="00F2507B"/>
    <w:rsid w:val="00F252E3"/>
    <w:rsid w:val="00F25758"/>
    <w:rsid w:val="00F258E5"/>
    <w:rsid w:val="00F25A0B"/>
    <w:rsid w:val="00F25A2A"/>
    <w:rsid w:val="00F25D90"/>
    <w:rsid w:val="00F260F3"/>
    <w:rsid w:val="00F26554"/>
    <w:rsid w:val="00F2668B"/>
    <w:rsid w:val="00F269C6"/>
    <w:rsid w:val="00F269DC"/>
    <w:rsid w:val="00F26BBE"/>
    <w:rsid w:val="00F26C13"/>
    <w:rsid w:val="00F26C68"/>
    <w:rsid w:val="00F26D6A"/>
    <w:rsid w:val="00F26F81"/>
    <w:rsid w:val="00F270EA"/>
    <w:rsid w:val="00F272E0"/>
    <w:rsid w:val="00F273DF"/>
    <w:rsid w:val="00F3020D"/>
    <w:rsid w:val="00F30B4E"/>
    <w:rsid w:val="00F30DDE"/>
    <w:rsid w:val="00F3128D"/>
    <w:rsid w:val="00F3129D"/>
    <w:rsid w:val="00F314F2"/>
    <w:rsid w:val="00F31AA2"/>
    <w:rsid w:val="00F31B7D"/>
    <w:rsid w:val="00F31D88"/>
    <w:rsid w:val="00F3229E"/>
    <w:rsid w:val="00F32304"/>
    <w:rsid w:val="00F3267E"/>
    <w:rsid w:val="00F32682"/>
    <w:rsid w:val="00F32ACF"/>
    <w:rsid w:val="00F32B2A"/>
    <w:rsid w:val="00F32CDF"/>
    <w:rsid w:val="00F32D97"/>
    <w:rsid w:val="00F32ED5"/>
    <w:rsid w:val="00F33629"/>
    <w:rsid w:val="00F336F8"/>
    <w:rsid w:val="00F339A9"/>
    <w:rsid w:val="00F33A9B"/>
    <w:rsid w:val="00F33F17"/>
    <w:rsid w:val="00F34303"/>
    <w:rsid w:val="00F34B7F"/>
    <w:rsid w:val="00F34F7A"/>
    <w:rsid w:val="00F35014"/>
    <w:rsid w:val="00F35301"/>
    <w:rsid w:val="00F3599F"/>
    <w:rsid w:val="00F35D68"/>
    <w:rsid w:val="00F3616D"/>
    <w:rsid w:val="00F36322"/>
    <w:rsid w:val="00F36797"/>
    <w:rsid w:val="00F369F5"/>
    <w:rsid w:val="00F36C98"/>
    <w:rsid w:val="00F3715C"/>
    <w:rsid w:val="00F372B7"/>
    <w:rsid w:val="00F377C1"/>
    <w:rsid w:val="00F378DC"/>
    <w:rsid w:val="00F37909"/>
    <w:rsid w:val="00F37B06"/>
    <w:rsid w:val="00F37C9D"/>
    <w:rsid w:val="00F37D31"/>
    <w:rsid w:val="00F4028F"/>
    <w:rsid w:val="00F402C9"/>
    <w:rsid w:val="00F40685"/>
    <w:rsid w:val="00F40746"/>
    <w:rsid w:val="00F41211"/>
    <w:rsid w:val="00F4142C"/>
    <w:rsid w:val="00F416E7"/>
    <w:rsid w:val="00F41796"/>
    <w:rsid w:val="00F41BC1"/>
    <w:rsid w:val="00F41C61"/>
    <w:rsid w:val="00F41E18"/>
    <w:rsid w:val="00F42054"/>
    <w:rsid w:val="00F424A8"/>
    <w:rsid w:val="00F42560"/>
    <w:rsid w:val="00F42946"/>
    <w:rsid w:val="00F42B03"/>
    <w:rsid w:val="00F42B99"/>
    <w:rsid w:val="00F42CD2"/>
    <w:rsid w:val="00F4337F"/>
    <w:rsid w:val="00F43590"/>
    <w:rsid w:val="00F43943"/>
    <w:rsid w:val="00F43C72"/>
    <w:rsid w:val="00F43E51"/>
    <w:rsid w:val="00F44916"/>
    <w:rsid w:val="00F44D28"/>
    <w:rsid w:val="00F45104"/>
    <w:rsid w:val="00F4513B"/>
    <w:rsid w:val="00F453B8"/>
    <w:rsid w:val="00F455CA"/>
    <w:rsid w:val="00F457DE"/>
    <w:rsid w:val="00F45A15"/>
    <w:rsid w:val="00F45C8A"/>
    <w:rsid w:val="00F46188"/>
    <w:rsid w:val="00F461EE"/>
    <w:rsid w:val="00F4626A"/>
    <w:rsid w:val="00F4639A"/>
    <w:rsid w:val="00F4645B"/>
    <w:rsid w:val="00F46504"/>
    <w:rsid w:val="00F467BE"/>
    <w:rsid w:val="00F46B05"/>
    <w:rsid w:val="00F46BB7"/>
    <w:rsid w:val="00F46DB1"/>
    <w:rsid w:val="00F46EF3"/>
    <w:rsid w:val="00F470F8"/>
    <w:rsid w:val="00F47213"/>
    <w:rsid w:val="00F47307"/>
    <w:rsid w:val="00F4796F"/>
    <w:rsid w:val="00F500AB"/>
    <w:rsid w:val="00F50239"/>
    <w:rsid w:val="00F5049E"/>
    <w:rsid w:val="00F50D86"/>
    <w:rsid w:val="00F50DF9"/>
    <w:rsid w:val="00F5126A"/>
    <w:rsid w:val="00F512FF"/>
    <w:rsid w:val="00F513A5"/>
    <w:rsid w:val="00F513E4"/>
    <w:rsid w:val="00F514AF"/>
    <w:rsid w:val="00F514D8"/>
    <w:rsid w:val="00F51CFC"/>
    <w:rsid w:val="00F51F75"/>
    <w:rsid w:val="00F51F76"/>
    <w:rsid w:val="00F524CC"/>
    <w:rsid w:val="00F5265E"/>
    <w:rsid w:val="00F52C56"/>
    <w:rsid w:val="00F52DFA"/>
    <w:rsid w:val="00F532D9"/>
    <w:rsid w:val="00F53469"/>
    <w:rsid w:val="00F541A7"/>
    <w:rsid w:val="00F5449C"/>
    <w:rsid w:val="00F545BE"/>
    <w:rsid w:val="00F54933"/>
    <w:rsid w:val="00F54AD3"/>
    <w:rsid w:val="00F54B29"/>
    <w:rsid w:val="00F552DB"/>
    <w:rsid w:val="00F554AC"/>
    <w:rsid w:val="00F5564A"/>
    <w:rsid w:val="00F558B4"/>
    <w:rsid w:val="00F559C7"/>
    <w:rsid w:val="00F5611E"/>
    <w:rsid w:val="00F561BC"/>
    <w:rsid w:val="00F56795"/>
    <w:rsid w:val="00F56F0E"/>
    <w:rsid w:val="00F574E6"/>
    <w:rsid w:val="00F57522"/>
    <w:rsid w:val="00F57808"/>
    <w:rsid w:val="00F57D11"/>
    <w:rsid w:val="00F60140"/>
    <w:rsid w:val="00F60193"/>
    <w:rsid w:val="00F601AD"/>
    <w:rsid w:val="00F6029B"/>
    <w:rsid w:val="00F60511"/>
    <w:rsid w:val="00F61511"/>
    <w:rsid w:val="00F615F2"/>
    <w:rsid w:val="00F61ACF"/>
    <w:rsid w:val="00F6208F"/>
    <w:rsid w:val="00F62226"/>
    <w:rsid w:val="00F623FD"/>
    <w:rsid w:val="00F625D6"/>
    <w:rsid w:val="00F62D87"/>
    <w:rsid w:val="00F63807"/>
    <w:rsid w:val="00F63948"/>
    <w:rsid w:val="00F63AF7"/>
    <w:rsid w:val="00F63CD4"/>
    <w:rsid w:val="00F63D4B"/>
    <w:rsid w:val="00F6426D"/>
    <w:rsid w:val="00F6444F"/>
    <w:rsid w:val="00F64654"/>
    <w:rsid w:val="00F64B60"/>
    <w:rsid w:val="00F64E01"/>
    <w:rsid w:val="00F6599E"/>
    <w:rsid w:val="00F6698F"/>
    <w:rsid w:val="00F66D33"/>
    <w:rsid w:val="00F66E29"/>
    <w:rsid w:val="00F67791"/>
    <w:rsid w:val="00F67CED"/>
    <w:rsid w:val="00F702B7"/>
    <w:rsid w:val="00F707A1"/>
    <w:rsid w:val="00F708CE"/>
    <w:rsid w:val="00F713C5"/>
    <w:rsid w:val="00F714D5"/>
    <w:rsid w:val="00F72340"/>
    <w:rsid w:val="00F72973"/>
    <w:rsid w:val="00F729CA"/>
    <w:rsid w:val="00F72B3B"/>
    <w:rsid w:val="00F72CF2"/>
    <w:rsid w:val="00F72E0D"/>
    <w:rsid w:val="00F72F5E"/>
    <w:rsid w:val="00F730BD"/>
    <w:rsid w:val="00F732AC"/>
    <w:rsid w:val="00F732D1"/>
    <w:rsid w:val="00F737CC"/>
    <w:rsid w:val="00F7385A"/>
    <w:rsid w:val="00F74D2E"/>
    <w:rsid w:val="00F74E69"/>
    <w:rsid w:val="00F75204"/>
    <w:rsid w:val="00F7549B"/>
    <w:rsid w:val="00F755EE"/>
    <w:rsid w:val="00F75D7A"/>
    <w:rsid w:val="00F7641B"/>
    <w:rsid w:val="00F764C2"/>
    <w:rsid w:val="00F764FE"/>
    <w:rsid w:val="00F767EF"/>
    <w:rsid w:val="00F7694B"/>
    <w:rsid w:val="00F76D07"/>
    <w:rsid w:val="00F773E2"/>
    <w:rsid w:val="00F777B3"/>
    <w:rsid w:val="00F8011B"/>
    <w:rsid w:val="00F801B2"/>
    <w:rsid w:val="00F801CA"/>
    <w:rsid w:val="00F804AB"/>
    <w:rsid w:val="00F80A2C"/>
    <w:rsid w:val="00F80F02"/>
    <w:rsid w:val="00F80F46"/>
    <w:rsid w:val="00F81392"/>
    <w:rsid w:val="00F8177D"/>
    <w:rsid w:val="00F81E81"/>
    <w:rsid w:val="00F81E8E"/>
    <w:rsid w:val="00F81EB2"/>
    <w:rsid w:val="00F81F0D"/>
    <w:rsid w:val="00F81FE7"/>
    <w:rsid w:val="00F822F1"/>
    <w:rsid w:val="00F823C5"/>
    <w:rsid w:val="00F829CB"/>
    <w:rsid w:val="00F82EEA"/>
    <w:rsid w:val="00F83009"/>
    <w:rsid w:val="00F83715"/>
    <w:rsid w:val="00F83801"/>
    <w:rsid w:val="00F8384F"/>
    <w:rsid w:val="00F83DE0"/>
    <w:rsid w:val="00F83DFB"/>
    <w:rsid w:val="00F83F61"/>
    <w:rsid w:val="00F8425B"/>
    <w:rsid w:val="00F842C7"/>
    <w:rsid w:val="00F8435E"/>
    <w:rsid w:val="00F843EB"/>
    <w:rsid w:val="00F84546"/>
    <w:rsid w:val="00F84CDF"/>
    <w:rsid w:val="00F85128"/>
    <w:rsid w:val="00F8558B"/>
    <w:rsid w:val="00F8593F"/>
    <w:rsid w:val="00F8602A"/>
    <w:rsid w:val="00F86095"/>
    <w:rsid w:val="00F86377"/>
    <w:rsid w:val="00F8668F"/>
    <w:rsid w:val="00F8669D"/>
    <w:rsid w:val="00F86A96"/>
    <w:rsid w:val="00F8710E"/>
    <w:rsid w:val="00F87159"/>
    <w:rsid w:val="00F87604"/>
    <w:rsid w:val="00F876DD"/>
    <w:rsid w:val="00F8797A"/>
    <w:rsid w:val="00F87C3D"/>
    <w:rsid w:val="00F87D03"/>
    <w:rsid w:val="00F87EFD"/>
    <w:rsid w:val="00F9033B"/>
    <w:rsid w:val="00F90565"/>
    <w:rsid w:val="00F908B6"/>
    <w:rsid w:val="00F91010"/>
    <w:rsid w:val="00F91B7F"/>
    <w:rsid w:val="00F91CF5"/>
    <w:rsid w:val="00F9213F"/>
    <w:rsid w:val="00F922EF"/>
    <w:rsid w:val="00F92582"/>
    <w:rsid w:val="00F92607"/>
    <w:rsid w:val="00F926CD"/>
    <w:rsid w:val="00F92A49"/>
    <w:rsid w:val="00F92BBF"/>
    <w:rsid w:val="00F92D31"/>
    <w:rsid w:val="00F93112"/>
    <w:rsid w:val="00F93299"/>
    <w:rsid w:val="00F93388"/>
    <w:rsid w:val="00F935D6"/>
    <w:rsid w:val="00F9385C"/>
    <w:rsid w:val="00F93C45"/>
    <w:rsid w:val="00F93C60"/>
    <w:rsid w:val="00F942F5"/>
    <w:rsid w:val="00F9464B"/>
    <w:rsid w:val="00F94694"/>
    <w:rsid w:val="00F94772"/>
    <w:rsid w:val="00F94CA5"/>
    <w:rsid w:val="00F94E9D"/>
    <w:rsid w:val="00F94EDD"/>
    <w:rsid w:val="00F9525E"/>
    <w:rsid w:val="00F953E3"/>
    <w:rsid w:val="00F955BA"/>
    <w:rsid w:val="00F95941"/>
    <w:rsid w:val="00F95AB8"/>
    <w:rsid w:val="00F95B65"/>
    <w:rsid w:val="00F9634C"/>
    <w:rsid w:val="00F96566"/>
    <w:rsid w:val="00F9674F"/>
    <w:rsid w:val="00F96761"/>
    <w:rsid w:val="00F967F7"/>
    <w:rsid w:val="00F96B46"/>
    <w:rsid w:val="00F96E27"/>
    <w:rsid w:val="00F96E3E"/>
    <w:rsid w:val="00F96E70"/>
    <w:rsid w:val="00F972B8"/>
    <w:rsid w:val="00F973B7"/>
    <w:rsid w:val="00F97540"/>
    <w:rsid w:val="00F97AD4"/>
    <w:rsid w:val="00F97DD2"/>
    <w:rsid w:val="00FA01F8"/>
    <w:rsid w:val="00FA125B"/>
    <w:rsid w:val="00FA1629"/>
    <w:rsid w:val="00FA1838"/>
    <w:rsid w:val="00FA1DF0"/>
    <w:rsid w:val="00FA210D"/>
    <w:rsid w:val="00FA2113"/>
    <w:rsid w:val="00FA2864"/>
    <w:rsid w:val="00FA290C"/>
    <w:rsid w:val="00FA2984"/>
    <w:rsid w:val="00FA315F"/>
    <w:rsid w:val="00FA31AD"/>
    <w:rsid w:val="00FA32EA"/>
    <w:rsid w:val="00FA39E2"/>
    <w:rsid w:val="00FA3A5A"/>
    <w:rsid w:val="00FA3CAB"/>
    <w:rsid w:val="00FA3CC2"/>
    <w:rsid w:val="00FA3DB4"/>
    <w:rsid w:val="00FA43BE"/>
    <w:rsid w:val="00FA4EEA"/>
    <w:rsid w:val="00FA5056"/>
    <w:rsid w:val="00FA51E3"/>
    <w:rsid w:val="00FA5767"/>
    <w:rsid w:val="00FA57D4"/>
    <w:rsid w:val="00FA596B"/>
    <w:rsid w:val="00FA5A07"/>
    <w:rsid w:val="00FA5AAF"/>
    <w:rsid w:val="00FA5B05"/>
    <w:rsid w:val="00FA5CAF"/>
    <w:rsid w:val="00FA5FDE"/>
    <w:rsid w:val="00FA65FB"/>
    <w:rsid w:val="00FA6B0B"/>
    <w:rsid w:val="00FA725B"/>
    <w:rsid w:val="00FA7287"/>
    <w:rsid w:val="00FA7416"/>
    <w:rsid w:val="00FA7457"/>
    <w:rsid w:val="00FA74DB"/>
    <w:rsid w:val="00FA78E9"/>
    <w:rsid w:val="00FB00DE"/>
    <w:rsid w:val="00FB02C5"/>
    <w:rsid w:val="00FB06EB"/>
    <w:rsid w:val="00FB088A"/>
    <w:rsid w:val="00FB0B53"/>
    <w:rsid w:val="00FB0CBA"/>
    <w:rsid w:val="00FB0DAC"/>
    <w:rsid w:val="00FB16C9"/>
    <w:rsid w:val="00FB1F15"/>
    <w:rsid w:val="00FB20C8"/>
    <w:rsid w:val="00FB2199"/>
    <w:rsid w:val="00FB2313"/>
    <w:rsid w:val="00FB23E2"/>
    <w:rsid w:val="00FB277C"/>
    <w:rsid w:val="00FB2B6B"/>
    <w:rsid w:val="00FB3016"/>
    <w:rsid w:val="00FB3113"/>
    <w:rsid w:val="00FB34D9"/>
    <w:rsid w:val="00FB379B"/>
    <w:rsid w:val="00FB3B89"/>
    <w:rsid w:val="00FB3CB8"/>
    <w:rsid w:val="00FB3CF0"/>
    <w:rsid w:val="00FB3D76"/>
    <w:rsid w:val="00FB40CE"/>
    <w:rsid w:val="00FB43D5"/>
    <w:rsid w:val="00FB4519"/>
    <w:rsid w:val="00FB4530"/>
    <w:rsid w:val="00FB4955"/>
    <w:rsid w:val="00FB4A71"/>
    <w:rsid w:val="00FB4F67"/>
    <w:rsid w:val="00FB57D4"/>
    <w:rsid w:val="00FB596D"/>
    <w:rsid w:val="00FB59E5"/>
    <w:rsid w:val="00FB5A8B"/>
    <w:rsid w:val="00FB5B6D"/>
    <w:rsid w:val="00FB5B7E"/>
    <w:rsid w:val="00FB5C0F"/>
    <w:rsid w:val="00FB6188"/>
    <w:rsid w:val="00FB62F5"/>
    <w:rsid w:val="00FB653B"/>
    <w:rsid w:val="00FB750E"/>
    <w:rsid w:val="00FB76C9"/>
    <w:rsid w:val="00FB7DE5"/>
    <w:rsid w:val="00FC061B"/>
    <w:rsid w:val="00FC09C5"/>
    <w:rsid w:val="00FC0D16"/>
    <w:rsid w:val="00FC10BF"/>
    <w:rsid w:val="00FC18B7"/>
    <w:rsid w:val="00FC1A8D"/>
    <w:rsid w:val="00FC1DF2"/>
    <w:rsid w:val="00FC23DE"/>
    <w:rsid w:val="00FC24FF"/>
    <w:rsid w:val="00FC2534"/>
    <w:rsid w:val="00FC2733"/>
    <w:rsid w:val="00FC276F"/>
    <w:rsid w:val="00FC3083"/>
    <w:rsid w:val="00FC3308"/>
    <w:rsid w:val="00FC3356"/>
    <w:rsid w:val="00FC3607"/>
    <w:rsid w:val="00FC3925"/>
    <w:rsid w:val="00FC421A"/>
    <w:rsid w:val="00FC48C3"/>
    <w:rsid w:val="00FC4961"/>
    <w:rsid w:val="00FC499E"/>
    <w:rsid w:val="00FC4D89"/>
    <w:rsid w:val="00FC51D9"/>
    <w:rsid w:val="00FC538B"/>
    <w:rsid w:val="00FC54CA"/>
    <w:rsid w:val="00FC58BF"/>
    <w:rsid w:val="00FC5AE7"/>
    <w:rsid w:val="00FC5D9B"/>
    <w:rsid w:val="00FC5ED1"/>
    <w:rsid w:val="00FC608D"/>
    <w:rsid w:val="00FC6269"/>
    <w:rsid w:val="00FC6539"/>
    <w:rsid w:val="00FC6952"/>
    <w:rsid w:val="00FC69E6"/>
    <w:rsid w:val="00FC6DB3"/>
    <w:rsid w:val="00FC6FC5"/>
    <w:rsid w:val="00FC7901"/>
    <w:rsid w:val="00FC7DCA"/>
    <w:rsid w:val="00FD0A5D"/>
    <w:rsid w:val="00FD0C03"/>
    <w:rsid w:val="00FD0C05"/>
    <w:rsid w:val="00FD0D86"/>
    <w:rsid w:val="00FD0F19"/>
    <w:rsid w:val="00FD126E"/>
    <w:rsid w:val="00FD1598"/>
    <w:rsid w:val="00FD1B84"/>
    <w:rsid w:val="00FD1D53"/>
    <w:rsid w:val="00FD2922"/>
    <w:rsid w:val="00FD2BE3"/>
    <w:rsid w:val="00FD2F03"/>
    <w:rsid w:val="00FD3005"/>
    <w:rsid w:val="00FD3607"/>
    <w:rsid w:val="00FD39B1"/>
    <w:rsid w:val="00FD3B03"/>
    <w:rsid w:val="00FD3B9E"/>
    <w:rsid w:val="00FD4472"/>
    <w:rsid w:val="00FD4577"/>
    <w:rsid w:val="00FD4B61"/>
    <w:rsid w:val="00FD4C29"/>
    <w:rsid w:val="00FD4E9A"/>
    <w:rsid w:val="00FD58B4"/>
    <w:rsid w:val="00FD5CBB"/>
    <w:rsid w:val="00FD5ED1"/>
    <w:rsid w:val="00FD67D0"/>
    <w:rsid w:val="00FD6E52"/>
    <w:rsid w:val="00FD7214"/>
    <w:rsid w:val="00FD74B3"/>
    <w:rsid w:val="00FD7523"/>
    <w:rsid w:val="00FE0461"/>
    <w:rsid w:val="00FE0A16"/>
    <w:rsid w:val="00FE0B7D"/>
    <w:rsid w:val="00FE191A"/>
    <w:rsid w:val="00FE194D"/>
    <w:rsid w:val="00FE2148"/>
    <w:rsid w:val="00FE2861"/>
    <w:rsid w:val="00FE295B"/>
    <w:rsid w:val="00FE2A96"/>
    <w:rsid w:val="00FE2C09"/>
    <w:rsid w:val="00FE2C57"/>
    <w:rsid w:val="00FE2C80"/>
    <w:rsid w:val="00FE3A24"/>
    <w:rsid w:val="00FE3EBF"/>
    <w:rsid w:val="00FE4060"/>
    <w:rsid w:val="00FE44E6"/>
    <w:rsid w:val="00FE46E9"/>
    <w:rsid w:val="00FE504A"/>
    <w:rsid w:val="00FE5060"/>
    <w:rsid w:val="00FE5073"/>
    <w:rsid w:val="00FE511D"/>
    <w:rsid w:val="00FE5972"/>
    <w:rsid w:val="00FE5A12"/>
    <w:rsid w:val="00FE5E4B"/>
    <w:rsid w:val="00FE5FEC"/>
    <w:rsid w:val="00FE600F"/>
    <w:rsid w:val="00FE60C1"/>
    <w:rsid w:val="00FE67B2"/>
    <w:rsid w:val="00FE67C8"/>
    <w:rsid w:val="00FE6B29"/>
    <w:rsid w:val="00FE6B6C"/>
    <w:rsid w:val="00FE6CCD"/>
    <w:rsid w:val="00FE6DC0"/>
    <w:rsid w:val="00FE70E9"/>
    <w:rsid w:val="00FE7607"/>
    <w:rsid w:val="00FE76AB"/>
    <w:rsid w:val="00FE76D6"/>
    <w:rsid w:val="00FE7D5A"/>
    <w:rsid w:val="00FF0384"/>
    <w:rsid w:val="00FF0D04"/>
    <w:rsid w:val="00FF0EE7"/>
    <w:rsid w:val="00FF1124"/>
    <w:rsid w:val="00FF176C"/>
    <w:rsid w:val="00FF17D4"/>
    <w:rsid w:val="00FF19DA"/>
    <w:rsid w:val="00FF1DD2"/>
    <w:rsid w:val="00FF2402"/>
    <w:rsid w:val="00FF2593"/>
    <w:rsid w:val="00FF2941"/>
    <w:rsid w:val="00FF35D9"/>
    <w:rsid w:val="00FF3951"/>
    <w:rsid w:val="00FF3976"/>
    <w:rsid w:val="00FF3992"/>
    <w:rsid w:val="00FF3D00"/>
    <w:rsid w:val="00FF3D8F"/>
    <w:rsid w:val="00FF402F"/>
    <w:rsid w:val="00FF40F0"/>
    <w:rsid w:val="00FF42A5"/>
    <w:rsid w:val="00FF46CF"/>
    <w:rsid w:val="00FF4AA8"/>
    <w:rsid w:val="00FF4BA3"/>
    <w:rsid w:val="00FF50E9"/>
    <w:rsid w:val="00FF5272"/>
    <w:rsid w:val="00FF52CB"/>
    <w:rsid w:val="00FF52D9"/>
    <w:rsid w:val="00FF53E4"/>
    <w:rsid w:val="00FF56C1"/>
    <w:rsid w:val="00FF56CB"/>
    <w:rsid w:val="00FF5759"/>
    <w:rsid w:val="00FF5937"/>
    <w:rsid w:val="00FF5C23"/>
    <w:rsid w:val="00FF5D9B"/>
    <w:rsid w:val="00FF630B"/>
    <w:rsid w:val="00FF6F5C"/>
    <w:rsid w:val="00FF6FC6"/>
    <w:rsid w:val="00FF70AA"/>
    <w:rsid w:val="00FF72C3"/>
    <w:rsid w:val="00FF734A"/>
    <w:rsid w:val="00FF75CD"/>
    <w:rsid w:val="00FF7AB0"/>
    <w:rsid w:val="00FF7D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79144"/>
  <w15:docId w15:val="{B61CC30B-2E22-4127-83E8-08BBC65A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7514E"/>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275D75"/>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275D75"/>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275D75"/>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275D75"/>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275D75"/>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C7226C"/>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C7226C"/>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275D75"/>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275D75"/>
    <w:pPr>
      <w:ind w:left="1248" w:hanging="624"/>
    </w:pPr>
  </w:style>
  <w:style w:type="paragraph" w:styleId="a6">
    <w:name w:val="footnote text"/>
    <w:basedOn w:val="a1"/>
    <w:link w:val="a7"/>
    <w:rsid w:val="00275D75"/>
    <w:pPr>
      <w:snapToGrid w:val="0"/>
      <w:spacing w:after="120" w:line="320" w:lineRule="atLeast"/>
      <w:ind w:left="150" w:hangingChars="150" w:hanging="150"/>
      <w:jc w:val="left"/>
    </w:pPr>
    <w:rPr>
      <w:sz w:val="20"/>
    </w:rPr>
  </w:style>
  <w:style w:type="paragraph" w:customStyle="1" w:styleId="a8">
    <w:name w:val="內縮"/>
    <w:basedOn w:val="a1"/>
    <w:rsid w:val="00275D75"/>
    <w:pPr>
      <w:ind w:left="624" w:hanging="624"/>
    </w:pPr>
  </w:style>
  <w:style w:type="paragraph" w:customStyle="1" w:styleId="21">
    <w:name w:val="內縮2"/>
    <w:basedOn w:val="a1"/>
    <w:rsid w:val="00275D75"/>
    <w:pPr>
      <w:ind w:left="1871" w:hanging="624"/>
    </w:pPr>
  </w:style>
  <w:style w:type="paragraph" w:customStyle="1" w:styleId="31">
    <w:name w:val="內縮3"/>
    <w:basedOn w:val="a1"/>
    <w:rsid w:val="00275D75"/>
    <w:pPr>
      <w:ind w:left="2495" w:hanging="624"/>
    </w:pPr>
  </w:style>
  <w:style w:type="paragraph" w:customStyle="1" w:styleId="a9">
    <w:name w:val="標題分中"/>
    <w:basedOn w:val="a1"/>
    <w:next w:val="a1"/>
    <w:rsid w:val="00275D75"/>
    <w:pPr>
      <w:jc w:val="center"/>
    </w:pPr>
    <w:rPr>
      <w:rFonts w:eastAsia="華康中黑體"/>
    </w:rPr>
  </w:style>
  <w:style w:type="paragraph" w:customStyle="1" w:styleId="120">
    <w:name w:val="標題12"/>
    <w:basedOn w:val="a1"/>
    <w:next w:val="a1"/>
    <w:rsid w:val="00275D75"/>
    <w:pPr>
      <w:keepNext/>
    </w:pPr>
    <w:rPr>
      <w:rFonts w:eastAsia="華康中黑體"/>
    </w:rPr>
  </w:style>
  <w:style w:type="paragraph" w:customStyle="1" w:styleId="13">
    <w:name w:val="標題13"/>
    <w:basedOn w:val="a1"/>
    <w:next w:val="a1"/>
    <w:rsid w:val="00275D75"/>
    <w:pPr>
      <w:keepNext/>
    </w:pPr>
    <w:rPr>
      <w:rFonts w:eastAsia="華康中黑體"/>
      <w:sz w:val="26"/>
    </w:rPr>
  </w:style>
  <w:style w:type="paragraph" w:customStyle="1" w:styleId="14">
    <w:name w:val="標題14"/>
    <w:basedOn w:val="a1"/>
    <w:next w:val="a1"/>
    <w:rsid w:val="00275D75"/>
    <w:pPr>
      <w:keepNext/>
    </w:pPr>
    <w:rPr>
      <w:rFonts w:eastAsia="華康中黑體"/>
      <w:sz w:val="28"/>
    </w:rPr>
  </w:style>
  <w:style w:type="paragraph" w:customStyle="1" w:styleId="a">
    <w:name w:val="圓點"/>
    <w:basedOn w:val="a1"/>
    <w:rsid w:val="00275D75"/>
    <w:pPr>
      <w:numPr>
        <w:numId w:val="16"/>
      </w:numPr>
    </w:pPr>
  </w:style>
  <w:style w:type="paragraph" w:customStyle="1" w:styleId="1">
    <w:name w:val="圓點1"/>
    <w:basedOn w:val="12"/>
    <w:rsid w:val="00275D75"/>
    <w:pPr>
      <w:numPr>
        <w:numId w:val="15"/>
      </w:numPr>
      <w:tabs>
        <w:tab w:val="clear" w:pos="425"/>
      </w:tabs>
    </w:pPr>
  </w:style>
  <w:style w:type="paragraph" w:styleId="aa">
    <w:name w:val="footer"/>
    <w:basedOn w:val="a1"/>
    <w:link w:val="ab"/>
    <w:rsid w:val="00275D75"/>
    <w:pPr>
      <w:tabs>
        <w:tab w:val="center" w:pos="4153"/>
        <w:tab w:val="right" w:pos="9072"/>
      </w:tabs>
      <w:spacing w:after="0"/>
    </w:pPr>
    <w:rPr>
      <w:sz w:val="16"/>
    </w:rPr>
  </w:style>
  <w:style w:type="paragraph" w:styleId="ac">
    <w:name w:val="header"/>
    <w:basedOn w:val="a1"/>
    <w:link w:val="ad"/>
    <w:rsid w:val="00275D75"/>
    <w:pPr>
      <w:tabs>
        <w:tab w:val="clear" w:pos="936"/>
        <w:tab w:val="clear" w:pos="1560"/>
        <w:tab w:val="clear" w:pos="2184"/>
        <w:tab w:val="clear" w:pos="2808"/>
        <w:tab w:val="center" w:pos="4153"/>
        <w:tab w:val="right" w:pos="8306"/>
      </w:tabs>
      <w:spacing w:after="0"/>
    </w:pPr>
    <w:rPr>
      <w:sz w:val="20"/>
    </w:rPr>
  </w:style>
  <w:style w:type="character" w:styleId="ae">
    <w:name w:val="page number"/>
    <w:rsid w:val="00275D75"/>
    <w:rPr>
      <w:rFonts w:ascii="Times New Roman"/>
      <w:spacing w:val="10"/>
      <w:position w:val="0"/>
    </w:rPr>
  </w:style>
  <w:style w:type="paragraph" w:styleId="af">
    <w:name w:val="Signature"/>
    <w:basedOn w:val="a1"/>
    <w:link w:val="af0"/>
    <w:semiHidden/>
    <w:rsid w:val="00275D75"/>
    <w:pPr>
      <w:ind w:left="4320"/>
    </w:pPr>
  </w:style>
  <w:style w:type="character" w:styleId="af1">
    <w:name w:val="footnote reference"/>
    <w:qFormat/>
    <w:rsid w:val="00275D75"/>
    <w:rPr>
      <w:vertAlign w:val="superscript"/>
    </w:rPr>
  </w:style>
  <w:style w:type="paragraph" w:customStyle="1" w:styleId="a0">
    <w:name w:val="圓點_斜體"/>
    <w:basedOn w:val="a1"/>
    <w:link w:val="af2"/>
    <w:qFormat/>
    <w:rsid w:val="00C16806"/>
    <w:pPr>
      <w:numPr>
        <w:numId w:val="3"/>
      </w:numPr>
      <w:autoSpaceDE w:val="0"/>
      <w:autoSpaceDN w:val="0"/>
    </w:pPr>
    <w:rPr>
      <w:i/>
      <w:lang w:val="en-GB"/>
    </w:rPr>
  </w:style>
  <w:style w:type="paragraph" w:customStyle="1" w:styleId="121">
    <w:name w:val="表標題12"/>
    <w:basedOn w:val="a1"/>
    <w:next w:val="10"/>
    <w:rsid w:val="00275D75"/>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3">
    <w:name w:val="內文_底標題"/>
    <w:basedOn w:val="a1"/>
    <w:qFormat/>
    <w:rsid w:val="00275D75"/>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4">
    <w:name w:val="內文_斜標題"/>
    <w:basedOn w:val="a1"/>
    <w:next w:val="a1"/>
    <w:qFormat/>
    <w:rsid w:val="00275D75"/>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275D75"/>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275D75"/>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275D75"/>
    <w:pPr>
      <w:tabs>
        <w:tab w:val="clear" w:pos="630"/>
      </w:tabs>
      <w:ind w:left="737" w:hanging="624"/>
    </w:pPr>
  </w:style>
  <w:style w:type="paragraph" w:customStyle="1" w:styleId="BOX2">
    <w:name w:val="BOX_表內文"/>
    <w:basedOn w:val="BOX"/>
    <w:link w:val="BOX3"/>
    <w:rsid w:val="00275D75"/>
    <w:pPr>
      <w:spacing w:before="60" w:after="60"/>
    </w:pPr>
    <w:rPr>
      <w:snapToGrid w:val="0"/>
      <w:spacing w:val="0"/>
      <w:sz w:val="18"/>
    </w:rPr>
  </w:style>
  <w:style w:type="paragraph" w:customStyle="1" w:styleId="BOX4">
    <w:name w:val="BOX_註"/>
    <w:basedOn w:val="BOX"/>
    <w:rsid w:val="00275D75"/>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275D75"/>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275D75"/>
    <w:pPr>
      <w:ind w:left="113" w:firstLine="0"/>
      <w:jc w:val="center"/>
    </w:pPr>
    <w:rPr>
      <w:spacing w:val="10"/>
      <w:sz w:val="18"/>
    </w:rPr>
  </w:style>
  <w:style w:type="paragraph" w:customStyle="1" w:styleId="BOX6">
    <w:name w:val="BOX_標題分中"/>
    <w:basedOn w:val="a9"/>
    <w:next w:val="BOX"/>
    <w:rsid w:val="00275D75"/>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275D75"/>
    <w:pPr>
      <w:pageBreakBefore/>
      <w:spacing w:after="240"/>
      <w:ind w:leftChars="20" w:left="60" w:rightChars="20" w:right="60"/>
    </w:pPr>
    <w:rPr>
      <w:rFonts w:eastAsia="華康中黑體"/>
      <w:b/>
      <w:noProof/>
      <w:spacing w:val="20"/>
      <w:sz w:val="24"/>
      <w:u w:color="0000FF"/>
    </w:rPr>
  </w:style>
  <w:style w:type="paragraph" w:styleId="af5">
    <w:name w:val="Balloon Text"/>
    <w:basedOn w:val="a1"/>
    <w:link w:val="af6"/>
    <w:uiPriority w:val="99"/>
    <w:semiHidden/>
    <w:rsid w:val="00275D75"/>
    <w:rPr>
      <w:rFonts w:ascii="Arial" w:eastAsia="新細明體" w:hAnsi="Arial"/>
      <w:sz w:val="18"/>
      <w:szCs w:val="18"/>
    </w:rPr>
  </w:style>
  <w:style w:type="paragraph" w:styleId="a2">
    <w:name w:val="Normal Indent"/>
    <w:basedOn w:val="a1"/>
    <w:qFormat/>
    <w:rsid w:val="00275D75"/>
    <w:pPr>
      <w:tabs>
        <w:tab w:val="clear" w:pos="1560"/>
        <w:tab w:val="clear" w:pos="2184"/>
        <w:tab w:val="clear" w:pos="2808"/>
        <w:tab w:val="left" w:pos="1559"/>
        <w:tab w:val="left" w:pos="2183"/>
        <w:tab w:val="left" w:pos="2807"/>
      </w:tabs>
      <w:ind w:left="936" w:hanging="936"/>
    </w:pPr>
    <w:rPr>
      <w:snapToGrid w:val="0"/>
      <w:sz w:val="22"/>
    </w:rPr>
  </w:style>
  <w:style w:type="paragraph" w:styleId="af7">
    <w:name w:val="Body Text Indent"/>
    <w:basedOn w:val="a1"/>
    <w:link w:val="af8"/>
    <w:qFormat/>
    <w:rsid w:val="00275D75"/>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275D75"/>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9">
    <w:name w:val="表內標題"/>
    <w:basedOn w:val="a1"/>
    <w:rsid w:val="00275D75"/>
    <w:pPr>
      <w:keepNext/>
      <w:widowControl w:val="0"/>
      <w:jc w:val="center"/>
    </w:pPr>
    <w:rPr>
      <w:rFonts w:eastAsia="華康中黑體"/>
      <w:snapToGrid w:val="0"/>
    </w:rPr>
  </w:style>
  <w:style w:type="paragraph" w:styleId="afa">
    <w:name w:val="endnote text"/>
    <w:basedOn w:val="a1"/>
    <w:link w:val="afb"/>
    <w:semiHidden/>
    <w:rsid w:val="00275D75"/>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c">
    <w:name w:val="endnote reference"/>
    <w:uiPriority w:val="99"/>
    <w:semiHidden/>
    <w:rsid w:val="00275D75"/>
    <w:rPr>
      <w:vertAlign w:val="superscript"/>
    </w:rPr>
  </w:style>
  <w:style w:type="paragraph" w:customStyle="1" w:styleId="afd">
    <w:name w:val="註釋內文"/>
    <w:basedOn w:val="a2"/>
    <w:rsid w:val="00275D75"/>
    <w:pPr>
      <w:keepLines/>
      <w:snapToGrid w:val="0"/>
    </w:pPr>
    <w:rPr>
      <w:snapToGrid/>
    </w:rPr>
  </w:style>
  <w:style w:type="paragraph" w:customStyle="1" w:styleId="22">
    <w:name w:val="註釋內文2"/>
    <w:basedOn w:val="12"/>
    <w:rsid w:val="00275D75"/>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e">
    <w:name w:val="資料來源"/>
    <w:basedOn w:val="a6"/>
    <w:rsid w:val="00275D75"/>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275D75"/>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275D75"/>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
    <w:name w:val="annotation text"/>
    <w:basedOn w:val="a1"/>
    <w:link w:val="aff0"/>
    <w:semiHidden/>
    <w:rsid w:val="00275D75"/>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275D75"/>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1">
    <w:name w:val="圓點a"/>
    <w:basedOn w:val="a"/>
    <w:rsid w:val="00275D75"/>
    <w:pPr>
      <w:ind w:leftChars="150" w:left="936" w:hangingChars="162" w:hanging="486"/>
    </w:pPr>
  </w:style>
  <w:style w:type="paragraph" w:styleId="aff2">
    <w:name w:val="List Bullet"/>
    <w:basedOn w:val="a1"/>
    <w:autoRedefine/>
    <w:semiHidden/>
    <w:rsid w:val="00275D75"/>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3">
    <w:name w:val="FollowedHyperlink"/>
    <w:semiHidden/>
    <w:rsid w:val="00275D75"/>
    <w:rPr>
      <w:color w:val="800080"/>
      <w:u w:val="single"/>
    </w:rPr>
  </w:style>
  <w:style w:type="paragraph" w:customStyle="1" w:styleId="BOX11">
    <w:name w:val="BOX_標題11"/>
    <w:basedOn w:val="BOX12"/>
    <w:rsid w:val="00275D75"/>
    <w:rPr>
      <w:sz w:val="22"/>
    </w:rPr>
  </w:style>
  <w:style w:type="paragraph" w:styleId="Web">
    <w:name w:val="Normal (Web)"/>
    <w:basedOn w:val="a1"/>
    <w:semiHidden/>
    <w:rsid w:val="00275D75"/>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275D75"/>
    <w:pPr>
      <w:tabs>
        <w:tab w:val="clear" w:pos="1531"/>
      </w:tabs>
      <w:spacing w:beforeLines="100" w:after="240"/>
      <w:ind w:left="397" w:right="113" w:hanging="284"/>
    </w:pPr>
  </w:style>
  <w:style w:type="character" w:customStyle="1" w:styleId="a7">
    <w:name w:val="註腳文字 字元"/>
    <w:link w:val="a6"/>
    <w:rsid w:val="00275D75"/>
    <w:rPr>
      <w:rFonts w:eastAsia="華康細明體"/>
      <w:spacing w:val="30"/>
    </w:rPr>
  </w:style>
  <w:style w:type="character" w:customStyle="1" w:styleId="afb">
    <w:name w:val="章節附註文字 字元"/>
    <w:link w:val="afa"/>
    <w:semiHidden/>
    <w:rsid w:val="00275D75"/>
    <w:rPr>
      <w:rFonts w:eastAsia="華康細明體"/>
      <w:snapToGrid w:val="0"/>
      <w:spacing w:val="20"/>
      <w:kern w:val="2"/>
      <w:sz w:val="28"/>
    </w:rPr>
  </w:style>
  <w:style w:type="character" w:customStyle="1" w:styleId="af6">
    <w:name w:val="註解方塊文字 字元"/>
    <w:link w:val="af5"/>
    <w:uiPriority w:val="99"/>
    <w:semiHidden/>
    <w:rsid w:val="00275D75"/>
    <w:rPr>
      <w:rFonts w:ascii="Arial" w:eastAsia="新細明體" w:hAnsi="Arial"/>
      <w:spacing w:val="30"/>
      <w:sz w:val="18"/>
      <w:szCs w:val="18"/>
    </w:rPr>
  </w:style>
  <w:style w:type="character" w:customStyle="1" w:styleId="50">
    <w:name w:val="標題 5 字元"/>
    <w:link w:val="5"/>
    <w:rsid w:val="00275D75"/>
    <w:rPr>
      <w:rFonts w:ascii="新細明體" w:eastAsia="新細明體"/>
      <w:kern w:val="2"/>
      <w:sz w:val="21"/>
      <w:u w:val="single"/>
    </w:rPr>
  </w:style>
  <w:style w:type="paragraph" w:customStyle="1" w:styleId="110">
    <w:name w:val="標題_圖(11)"/>
    <w:basedOn w:val="120"/>
    <w:qFormat/>
    <w:rsid w:val="00275D75"/>
    <w:pPr>
      <w:keepNext w:val="0"/>
      <w:snapToGrid w:val="0"/>
      <w:spacing w:after="0" w:line="240" w:lineRule="auto"/>
      <w:jc w:val="center"/>
    </w:pPr>
    <w:rPr>
      <w:spacing w:val="20"/>
      <w:sz w:val="22"/>
      <w:szCs w:val="22"/>
    </w:rPr>
  </w:style>
  <w:style w:type="table" w:styleId="aff4">
    <w:name w:val="Table Grid"/>
    <w:basedOn w:val="a4"/>
    <w:uiPriority w:val="59"/>
    <w:qFormat/>
    <w:rsid w:val="00275D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List Paragraph"/>
    <w:aliases w:val="Issue Action POC,List Paragraph1,3,POCG Table Text,Dot pt,F5 List Paragraph,List Paragraph Char Char Char,Indicator Text,Colorful List - Accent 11,Numbered Para 1,Bullet 1,Bullet Points,List Paragraph2,MAIN CONTENT,Normal numbered"/>
    <w:basedOn w:val="a1"/>
    <w:link w:val="aff6"/>
    <w:uiPriority w:val="34"/>
    <w:qFormat/>
    <w:rsid w:val="00275D75"/>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7">
    <w:name w:val="Block Text"/>
    <w:basedOn w:val="a1"/>
    <w:rsid w:val="00275D75"/>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275D75"/>
    <w:pPr>
      <w:ind w:left="2665" w:hanging="2552"/>
    </w:pPr>
  </w:style>
  <w:style w:type="paragraph" w:styleId="aff8">
    <w:name w:val="Title"/>
    <w:basedOn w:val="a1"/>
    <w:link w:val="aff9"/>
    <w:qFormat/>
    <w:rsid w:val="00275D75"/>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9">
    <w:name w:val="標題 字元"/>
    <w:link w:val="aff8"/>
    <w:rsid w:val="00275D75"/>
    <w:rPr>
      <w:rFonts w:eastAsia="新細明體"/>
      <w:b/>
      <w:sz w:val="28"/>
      <w:szCs w:val="24"/>
      <w:lang w:val="en-GB"/>
    </w:rPr>
  </w:style>
  <w:style w:type="paragraph" w:styleId="affa">
    <w:name w:val="Revision"/>
    <w:hidden/>
    <w:uiPriority w:val="99"/>
    <w:semiHidden/>
    <w:rsid w:val="00A23451"/>
    <w:rPr>
      <w:rFonts w:eastAsia="華康細明體"/>
      <w:spacing w:val="30"/>
      <w:sz w:val="24"/>
    </w:rPr>
  </w:style>
  <w:style w:type="character" w:customStyle="1" w:styleId="40">
    <w:name w:val="標題 4 字元"/>
    <w:link w:val="4"/>
    <w:rsid w:val="00275D75"/>
    <w:rPr>
      <w:rFonts w:eastAsia="新細明體"/>
      <w:kern w:val="2"/>
      <w:sz w:val="22"/>
      <w:szCs w:val="22"/>
      <w:u w:val="single"/>
      <w:lang w:val="en-GB"/>
    </w:rPr>
  </w:style>
  <w:style w:type="paragraph" w:customStyle="1" w:styleId="16">
    <w:name w:val="樣式1"/>
    <w:basedOn w:val="a1"/>
    <w:rsid w:val="00275D75"/>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275D75"/>
    <w:rPr>
      <w:rFonts w:ascii="Cambria" w:eastAsia="新細明體" w:hAnsi="Cambria"/>
      <w:spacing w:val="30"/>
      <w:sz w:val="36"/>
      <w:szCs w:val="36"/>
    </w:rPr>
  </w:style>
  <w:style w:type="paragraph" w:customStyle="1" w:styleId="affb">
    <w:name w:val="內文_表"/>
    <w:basedOn w:val="a1"/>
    <w:qFormat/>
    <w:rsid w:val="00275D75"/>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c">
    <w:name w:val="內文_表(中)"/>
    <w:basedOn w:val="a1"/>
    <w:qFormat/>
    <w:rsid w:val="00275D75"/>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d">
    <w:name w:val="內文_表註"/>
    <w:link w:val="affe"/>
    <w:qFormat/>
    <w:rsid w:val="00275D75"/>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b"/>
    <w:qFormat/>
    <w:rsid w:val="00275D75"/>
    <w:rPr>
      <w:sz w:val="18"/>
      <w:szCs w:val="18"/>
    </w:rPr>
  </w:style>
  <w:style w:type="paragraph" w:styleId="afff">
    <w:name w:val="Body Text"/>
    <w:basedOn w:val="a1"/>
    <w:link w:val="afff0"/>
    <w:qFormat/>
    <w:rsid w:val="00275D75"/>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f0">
    <w:name w:val="本文 字元"/>
    <w:link w:val="afff"/>
    <w:qFormat/>
    <w:rsid w:val="00275D75"/>
    <w:rPr>
      <w:rFonts w:eastAsia="新細明體"/>
      <w:color w:val="000000"/>
      <w:kern w:val="2"/>
      <w:sz w:val="24"/>
    </w:rPr>
  </w:style>
  <w:style w:type="paragraph" w:styleId="afff1">
    <w:name w:val="Subtitle"/>
    <w:basedOn w:val="a1"/>
    <w:link w:val="afff2"/>
    <w:qFormat/>
    <w:rsid w:val="00275D75"/>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2">
    <w:name w:val="副標題 字元"/>
    <w:link w:val="afff1"/>
    <w:rsid w:val="00275D75"/>
    <w:rPr>
      <w:rFonts w:eastAsia="新細明體"/>
      <w:b/>
      <w:kern w:val="2"/>
      <w:sz w:val="28"/>
    </w:rPr>
  </w:style>
  <w:style w:type="paragraph" w:customStyle="1" w:styleId="100">
    <w:name w:val="表10"/>
    <w:basedOn w:val="a1"/>
    <w:rsid w:val="00275D7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275D75"/>
    <w:pPr>
      <w:keepNext/>
    </w:pPr>
    <w:rPr>
      <w:sz w:val="20"/>
      <w:szCs w:val="20"/>
    </w:rPr>
  </w:style>
  <w:style w:type="paragraph" w:customStyle="1" w:styleId="afff3">
    <w:name w:val="註"/>
    <w:basedOn w:val="a6"/>
    <w:rsid w:val="00275D75"/>
    <w:pPr>
      <w:tabs>
        <w:tab w:val="clear" w:pos="936"/>
        <w:tab w:val="clear" w:pos="1560"/>
        <w:tab w:val="clear" w:pos="2184"/>
        <w:tab w:val="clear" w:pos="2808"/>
        <w:tab w:val="left" w:pos="624"/>
      </w:tabs>
      <w:spacing w:before="60" w:after="60" w:line="240" w:lineRule="auto"/>
      <w:ind w:left="1247" w:firstLineChars="0" w:hanging="1247"/>
      <w:jc w:val="both"/>
    </w:pPr>
    <w:rPr>
      <w:spacing w:val="10"/>
      <w:sz w:val="18"/>
    </w:rPr>
  </w:style>
  <w:style w:type="character" w:customStyle="1" w:styleId="30">
    <w:name w:val="標題 3 字元"/>
    <w:link w:val="3"/>
    <w:rsid w:val="00275D75"/>
    <w:rPr>
      <w:rFonts w:ascii="Arial" w:hAnsi="Arial"/>
      <w:b/>
      <w:snapToGrid w:val="0"/>
      <w:spacing w:val="30"/>
      <w:sz w:val="36"/>
    </w:rPr>
  </w:style>
  <w:style w:type="paragraph" w:customStyle="1" w:styleId="17">
    <w:name w:val="表格內文1"/>
    <w:basedOn w:val="a1"/>
    <w:rsid w:val="00275D75"/>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275D75"/>
    <w:pPr>
      <w:ind w:left="1418"/>
    </w:pPr>
  </w:style>
  <w:style w:type="character" w:customStyle="1" w:styleId="affe">
    <w:name w:val="內文_表註 字元"/>
    <w:link w:val="affd"/>
    <w:rsid w:val="00275D75"/>
    <w:rPr>
      <w:rFonts w:eastAsia="華康細明體"/>
      <w:snapToGrid w:val="0"/>
      <w:spacing w:val="30"/>
      <w:sz w:val="18"/>
      <w:szCs w:val="18"/>
    </w:rPr>
  </w:style>
  <w:style w:type="character" w:customStyle="1" w:styleId="BOX3">
    <w:name w:val="BOX_表內文 字元"/>
    <w:link w:val="BOX2"/>
    <w:rsid w:val="00275D75"/>
    <w:rPr>
      <w:rFonts w:eastAsia="華康細明體"/>
      <w:snapToGrid w:val="0"/>
      <w:sz w:val="18"/>
    </w:rPr>
  </w:style>
  <w:style w:type="character" w:customStyle="1" w:styleId="20">
    <w:name w:val="標題 2 字元"/>
    <w:link w:val="2"/>
    <w:rsid w:val="00275D75"/>
    <w:rPr>
      <w:rFonts w:eastAsia="新細明體"/>
      <w:b/>
      <w:sz w:val="28"/>
    </w:rPr>
  </w:style>
  <w:style w:type="paragraph" w:styleId="23">
    <w:name w:val="Body Text 2"/>
    <w:basedOn w:val="a1"/>
    <w:link w:val="24"/>
    <w:rsid w:val="00275D75"/>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275D75"/>
    <w:rPr>
      <w:rFonts w:eastAsia="新細明體"/>
      <w:kern w:val="2"/>
      <w:sz w:val="24"/>
    </w:rPr>
  </w:style>
  <w:style w:type="paragraph" w:customStyle="1" w:styleId="CharChar">
    <w:name w:val="Char Char"/>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annotation reference"/>
    <w:semiHidden/>
    <w:unhideWhenUsed/>
    <w:rsid w:val="00275D75"/>
    <w:rPr>
      <w:sz w:val="18"/>
      <w:szCs w:val="18"/>
    </w:rPr>
  </w:style>
  <w:style w:type="paragraph" w:customStyle="1" w:styleId="afff5">
    <w:name w:val="字元 字元"/>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275D75"/>
    <w:rPr>
      <w:rFonts w:eastAsia="華康細明體"/>
      <w:spacing w:val="20"/>
      <w:sz w:val="22"/>
    </w:rPr>
  </w:style>
  <w:style w:type="paragraph" w:customStyle="1" w:styleId="Default">
    <w:name w:val="Default"/>
    <w:rsid w:val="00275D75"/>
    <w:pPr>
      <w:widowControl w:val="0"/>
      <w:autoSpaceDE w:val="0"/>
      <w:autoSpaceDN w:val="0"/>
      <w:adjustRightInd w:val="0"/>
    </w:pPr>
    <w:rPr>
      <w:rFonts w:ascii="新細明體.." w:eastAsia="新細明體.." w:hAnsi="Calibri" w:cs="新細明體.."/>
      <w:color w:val="000000"/>
      <w:sz w:val="24"/>
      <w:szCs w:val="24"/>
    </w:rPr>
  </w:style>
  <w:style w:type="paragraph" w:customStyle="1" w:styleId="afff6">
    <w:name w:val="附件列"/>
    <w:basedOn w:val="afff"/>
    <w:qFormat/>
    <w:rsid w:val="00275D75"/>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7">
    <w:name w:val="Hyperlink"/>
    <w:qFormat/>
    <w:rsid w:val="00275D75"/>
    <w:rPr>
      <w:color w:val="0000FF"/>
      <w:u w:val="single"/>
    </w:rPr>
  </w:style>
  <w:style w:type="paragraph" w:customStyle="1" w:styleId="BOX100">
    <w:name w:val="BOX_註(10)"/>
    <w:basedOn w:val="BOX4"/>
    <w:rsid w:val="00275D75"/>
    <w:pPr>
      <w:tabs>
        <w:tab w:val="clear" w:pos="630"/>
        <w:tab w:val="clear" w:pos="1531"/>
      </w:tabs>
      <w:spacing w:after="0"/>
      <w:ind w:left="680" w:right="113" w:hanging="567"/>
    </w:pPr>
    <w:rPr>
      <w:kern w:val="2"/>
    </w:rPr>
  </w:style>
  <w:style w:type="paragraph" w:customStyle="1" w:styleId="BOX111">
    <w:name w:val="BOX_標題分中(11)"/>
    <w:basedOn w:val="BOX6"/>
    <w:qFormat/>
    <w:rsid w:val="00275D75"/>
    <w:rPr>
      <w:sz w:val="22"/>
    </w:rPr>
  </w:style>
  <w:style w:type="paragraph" w:customStyle="1" w:styleId="Box9">
    <w:name w:val="Box_內文(9)"/>
    <w:basedOn w:val="a1"/>
    <w:qFormat/>
    <w:rsid w:val="00275D75"/>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275D75"/>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8">
    <w:name w:val="Emphasis"/>
    <w:uiPriority w:val="20"/>
    <w:qFormat/>
    <w:rsid w:val="00275D75"/>
    <w:rPr>
      <w:i/>
      <w:iCs/>
    </w:rPr>
  </w:style>
  <w:style w:type="paragraph" w:customStyle="1" w:styleId="BodyText21">
    <w:name w:val="Body Text 21"/>
    <w:basedOn w:val="a1"/>
    <w:rsid w:val="00275D75"/>
    <w:pPr>
      <w:tabs>
        <w:tab w:val="clear" w:pos="936"/>
        <w:tab w:val="clear" w:pos="1560"/>
        <w:tab w:val="clear" w:pos="2184"/>
        <w:tab w:val="clear" w:pos="2808"/>
        <w:tab w:val="left" w:pos="1080"/>
      </w:tabs>
      <w:autoSpaceDE w:val="0"/>
      <w:autoSpaceDN w:val="0"/>
      <w:spacing w:after="0" w:line="240" w:lineRule="atLeast"/>
      <w:ind w:right="28"/>
    </w:pPr>
    <w:rPr>
      <w:rFonts w:eastAsia="新細明體"/>
      <w:spacing w:val="0"/>
      <w:sz w:val="28"/>
    </w:rPr>
  </w:style>
  <w:style w:type="paragraph" w:styleId="afff9">
    <w:name w:val="annotation subject"/>
    <w:basedOn w:val="aff"/>
    <w:next w:val="aff"/>
    <w:link w:val="afffa"/>
    <w:uiPriority w:val="99"/>
    <w:semiHidden/>
    <w:unhideWhenUsed/>
    <w:rsid w:val="00275D75"/>
    <w:pPr>
      <w:widowControl/>
      <w:tabs>
        <w:tab w:val="left" w:pos="936"/>
        <w:tab w:val="left" w:pos="1560"/>
        <w:tab w:val="left" w:pos="2184"/>
        <w:tab w:val="left" w:pos="2808"/>
      </w:tabs>
      <w:adjustRightInd w:val="0"/>
      <w:spacing w:after="360" w:line="360" w:lineRule="atLeast"/>
      <w:textAlignment w:val="baseline"/>
    </w:pPr>
  </w:style>
  <w:style w:type="character" w:customStyle="1" w:styleId="aff0">
    <w:name w:val="註解文字 字元"/>
    <w:link w:val="aff"/>
    <w:semiHidden/>
    <w:rsid w:val="00275D75"/>
    <w:rPr>
      <w:rFonts w:eastAsia="新細明體"/>
      <w:kern w:val="2"/>
      <w:sz w:val="24"/>
    </w:rPr>
  </w:style>
  <w:style w:type="character" w:customStyle="1" w:styleId="afffa">
    <w:name w:val="註解主旨 字元"/>
    <w:link w:val="afff9"/>
    <w:uiPriority w:val="99"/>
    <w:semiHidden/>
    <w:rsid w:val="00275D75"/>
    <w:rPr>
      <w:rFonts w:eastAsia="新細明體"/>
      <w:kern w:val="2"/>
      <w:sz w:val="24"/>
    </w:rPr>
  </w:style>
  <w:style w:type="character" w:customStyle="1" w:styleId="nowrapclass">
    <w:name w:val="nowrapclass"/>
    <w:basedOn w:val="a3"/>
    <w:rsid w:val="00275D75"/>
  </w:style>
  <w:style w:type="paragraph" w:customStyle="1" w:styleId="BOXa">
    <w:name w:val="BOX_內文(斜)"/>
    <w:basedOn w:val="BOX"/>
    <w:qFormat/>
    <w:rsid w:val="00275D75"/>
    <w:rPr>
      <w:i/>
    </w:rPr>
  </w:style>
  <w:style w:type="character" w:customStyle="1" w:styleId="ab">
    <w:name w:val="頁尾 字元"/>
    <w:link w:val="aa"/>
    <w:rsid w:val="00275D75"/>
    <w:rPr>
      <w:rFonts w:eastAsia="華康細明體"/>
      <w:spacing w:val="30"/>
      <w:sz w:val="16"/>
    </w:rPr>
  </w:style>
  <w:style w:type="paragraph" w:customStyle="1" w:styleId="afffb">
    <w:name w:val="標題_表"/>
    <w:basedOn w:val="a9"/>
    <w:qFormat/>
    <w:rsid w:val="00275D75"/>
    <w:pPr>
      <w:keepNext/>
      <w:spacing w:after="120"/>
    </w:pPr>
  </w:style>
  <w:style w:type="paragraph" w:customStyle="1" w:styleId="BOX20">
    <w:name w:val="BOX_內縮2"/>
    <w:basedOn w:val="BOX10"/>
    <w:qFormat/>
    <w:rsid w:val="00275D75"/>
    <w:pPr>
      <w:tabs>
        <w:tab w:val="left" w:pos="630"/>
      </w:tabs>
      <w:ind w:left="1814" w:hanging="567"/>
    </w:pPr>
  </w:style>
  <w:style w:type="character" w:customStyle="1" w:styleId="fontsize1">
    <w:name w:val="fontsize1"/>
    <w:basedOn w:val="a3"/>
    <w:rsid w:val="00275D75"/>
  </w:style>
  <w:style w:type="paragraph" w:customStyle="1" w:styleId="BOX90">
    <w:name w:val="BOX_註(9)"/>
    <w:basedOn w:val="BOX4"/>
    <w:rsid w:val="00275D75"/>
    <w:pPr>
      <w:tabs>
        <w:tab w:val="clear" w:pos="630"/>
        <w:tab w:val="clear" w:pos="964"/>
        <w:tab w:val="clear" w:pos="1531"/>
      </w:tabs>
      <w:snapToGrid w:val="0"/>
      <w:spacing w:afterLines="15" w:after="15"/>
      <w:ind w:left="680" w:right="113" w:hanging="567"/>
    </w:pPr>
    <w:rPr>
      <w:kern w:val="2"/>
    </w:rPr>
  </w:style>
  <w:style w:type="paragraph" w:customStyle="1" w:styleId="BOXb">
    <w:name w:val="BOX_圖內文"/>
    <w:basedOn w:val="a1"/>
    <w:qFormat/>
    <w:rsid w:val="00275D75"/>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BOXc">
    <w:name w:val="BOX_註、資料來源"/>
    <w:basedOn w:val="BOX8"/>
    <w:qFormat/>
    <w:rsid w:val="00275D75"/>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paragraph" w:customStyle="1" w:styleId="BOX112">
    <w:name w:val="BOX_標題11_斜"/>
    <w:basedOn w:val="BOX11"/>
    <w:qFormat/>
    <w:rsid w:val="00275D75"/>
    <w:rPr>
      <w:i/>
      <w:lang w:eastAsia="zh-HK"/>
    </w:rPr>
  </w:style>
  <w:style w:type="paragraph" w:styleId="HTML">
    <w:name w:val="HTML Preformatted"/>
    <w:basedOn w:val="a1"/>
    <w:link w:val="HTML0"/>
    <w:uiPriority w:val="99"/>
    <w:semiHidden/>
    <w:unhideWhenUsed/>
    <w:rsid w:val="00275D75"/>
    <w:pPr>
      <w:spacing w:after="0" w:line="240" w:lineRule="auto"/>
    </w:pPr>
    <w:rPr>
      <w:rFonts w:ascii="Consolas" w:hAnsi="Consolas"/>
      <w:sz w:val="20"/>
    </w:rPr>
  </w:style>
  <w:style w:type="character" w:customStyle="1" w:styleId="HTML0">
    <w:name w:val="HTML 預設格式 字元"/>
    <w:basedOn w:val="a3"/>
    <w:link w:val="HTML"/>
    <w:uiPriority w:val="99"/>
    <w:semiHidden/>
    <w:rsid w:val="00275D75"/>
    <w:rPr>
      <w:rFonts w:ascii="Consolas" w:eastAsia="華康細明體" w:hAnsi="Consolas"/>
      <w:spacing w:val="30"/>
    </w:rPr>
  </w:style>
  <w:style w:type="paragraph" w:customStyle="1" w:styleId="engnote">
    <w:name w:val="內文(eng note)"/>
    <w:basedOn w:val="a1"/>
    <w:qFormat/>
    <w:rsid w:val="00E3167D"/>
    <w:pPr>
      <w:tabs>
        <w:tab w:val="left" w:pos="1080"/>
      </w:tabs>
      <w:snapToGrid w:val="0"/>
      <w:spacing w:after="0" w:line="300" w:lineRule="atLeast"/>
    </w:pPr>
    <w:rPr>
      <w:color w:val="000000"/>
      <w:spacing w:val="0"/>
    </w:rPr>
  </w:style>
  <w:style w:type="character" w:customStyle="1" w:styleId="60">
    <w:name w:val="標題 6 字元"/>
    <w:basedOn w:val="a3"/>
    <w:link w:val="6"/>
    <w:rsid w:val="00C7226C"/>
    <w:rPr>
      <w:rFonts w:eastAsia="新細明體"/>
      <w:b/>
      <w:sz w:val="28"/>
    </w:rPr>
  </w:style>
  <w:style w:type="character" w:customStyle="1" w:styleId="70">
    <w:name w:val="標題 7 字元"/>
    <w:basedOn w:val="a3"/>
    <w:link w:val="7"/>
    <w:rsid w:val="00C7226C"/>
    <w:rPr>
      <w:rFonts w:ascii="Arial" w:eastAsia="新細明體" w:hAnsi="Arial"/>
      <w:b/>
      <w:bCs/>
      <w:kern w:val="1"/>
      <w:sz w:val="36"/>
      <w:szCs w:val="36"/>
      <w:lang w:val="en-GB" w:eastAsia="ar-SA"/>
    </w:rPr>
  </w:style>
  <w:style w:type="character" w:customStyle="1" w:styleId="af8">
    <w:name w:val="本文縮排 字元"/>
    <w:link w:val="af7"/>
    <w:rsid w:val="00C7226C"/>
    <w:rPr>
      <w:rFonts w:eastAsia="新細明體"/>
      <w:kern w:val="2"/>
      <w:sz w:val="28"/>
      <w:szCs w:val="24"/>
    </w:rPr>
  </w:style>
  <w:style w:type="character" w:customStyle="1" w:styleId="apple-converted-space">
    <w:name w:val="apple-converted-space"/>
    <w:rsid w:val="00C7226C"/>
  </w:style>
  <w:style w:type="paragraph" w:customStyle="1" w:styleId="BOXd">
    <w:name w:val="BOX_圖"/>
    <w:basedOn w:val="a1"/>
    <w:qFormat/>
    <w:rsid w:val="00C7226C"/>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6">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f5"/>
    <w:uiPriority w:val="34"/>
    <w:locked/>
    <w:rsid w:val="00C7226C"/>
    <w:rPr>
      <w:rFonts w:eastAsia="新細明體"/>
      <w:kern w:val="2"/>
      <w:sz w:val="24"/>
      <w:szCs w:val="24"/>
      <w:lang w:val="en-GB"/>
    </w:rPr>
  </w:style>
  <w:style w:type="paragraph" w:customStyle="1" w:styleId="18">
    <w:name w:val="註1"/>
    <w:basedOn w:val="afff3"/>
    <w:qFormat/>
    <w:rsid w:val="00C7226C"/>
    <w:rPr>
      <w:spacing w:val="30"/>
      <w:lang w:eastAsia="zh-CN"/>
    </w:rPr>
  </w:style>
  <w:style w:type="paragraph" w:customStyle="1" w:styleId="afffc">
    <w:name w:val="內文_圖文字"/>
    <w:qFormat/>
    <w:rsid w:val="00C7226C"/>
    <w:pPr>
      <w:snapToGrid w:val="0"/>
    </w:pPr>
    <w:rPr>
      <w:rFonts w:eastAsia="華康細明體"/>
      <w:sz w:val="16"/>
      <w:szCs w:val="16"/>
    </w:rPr>
  </w:style>
  <w:style w:type="character" w:customStyle="1" w:styleId="af2">
    <w:name w:val="圓點_斜體 字元"/>
    <w:link w:val="a0"/>
    <w:rsid w:val="00C7226C"/>
    <w:rPr>
      <w:rFonts w:eastAsia="華康細明體"/>
      <w:i/>
      <w:spacing w:val="30"/>
      <w:sz w:val="24"/>
      <w:lang w:val="en-GB"/>
    </w:rPr>
  </w:style>
  <w:style w:type="paragraph" w:customStyle="1" w:styleId="afffd">
    <w:name w:val="圖表_註"/>
    <w:basedOn w:val="a1"/>
    <w:qFormat/>
    <w:rsid w:val="00C7226C"/>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4"/>
    <w:uiPriority w:val="39"/>
    <w:rsid w:val="00C7226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a3"/>
    <w:rsid w:val="00C7226C"/>
  </w:style>
  <w:style w:type="character" w:customStyle="1" w:styleId="11">
    <w:name w:val="標題 1 字元"/>
    <w:basedOn w:val="a3"/>
    <w:link w:val="10"/>
    <w:rsid w:val="00C7226C"/>
    <w:rPr>
      <w:rFonts w:ascii="Arial" w:eastAsia="新細明體" w:hAnsi="Arial"/>
      <w:b/>
      <w:bCs/>
      <w:spacing w:val="30"/>
      <w:kern w:val="52"/>
      <w:sz w:val="52"/>
      <w:szCs w:val="52"/>
    </w:rPr>
  </w:style>
  <w:style w:type="character" w:customStyle="1" w:styleId="ad">
    <w:name w:val="頁首 字元"/>
    <w:basedOn w:val="a3"/>
    <w:link w:val="ac"/>
    <w:rsid w:val="00C7226C"/>
    <w:rPr>
      <w:rFonts w:eastAsia="華康細明體"/>
      <w:spacing w:val="30"/>
    </w:rPr>
  </w:style>
  <w:style w:type="character" w:customStyle="1" w:styleId="af0">
    <w:name w:val="簽名 字元"/>
    <w:basedOn w:val="a3"/>
    <w:link w:val="af"/>
    <w:semiHidden/>
    <w:rsid w:val="00C7226C"/>
    <w:rPr>
      <w:rFonts w:eastAsia="華康細明體"/>
      <w:spacing w:val="30"/>
      <w:sz w:val="24"/>
    </w:rPr>
  </w:style>
  <w:style w:type="paragraph" w:customStyle="1" w:styleId="1a">
    <w:name w:val="註釋內文1"/>
    <w:basedOn w:val="a1"/>
    <w:rsid w:val="00C7226C"/>
    <w:pPr>
      <w:keepLines/>
      <w:tabs>
        <w:tab w:val="clear" w:pos="1560"/>
        <w:tab w:val="clear" w:pos="2184"/>
        <w:tab w:val="clear" w:pos="2808"/>
        <w:tab w:val="left" w:pos="2183"/>
        <w:tab w:val="left" w:pos="2807"/>
      </w:tabs>
      <w:snapToGrid w:val="0"/>
      <w:spacing w:after="120"/>
      <w:ind w:left="1985" w:hanging="1049"/>
    </w:pPr>
    <w:rPr>
      <w:sz w:val="22"/>
      <w:szCs w:val="22"/>
    </w:rPr>
  </w:style>
  <w:style w:type="paragraph" w:styleId="32">
    <w:name w:val="Body Text Indent 3"/>
    <w:basedOn w:val="a1"/>
    <w:link w:val="33"/>
    <w:rsid w:val="00C7226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basedOn w:val="a3"/>
    <w:link w:val="32"/>
    <w:rsid w:val="00C7226C"/>
    <w:rPr>
      <w:rFonts w:eastAsia="新細明體"/>
      <w:sz w:val="24"/>
    </w:rPr>
  </w:style>
  <w:style w:type="paragraph" w:styleId="25">
    <w:name w:val="Body Text Indent 2"/>
    <w:basedOn w:val="a1"/>
    <w:link w:val="26"/>
    <w:rsid w:val="00C7226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basedOn w:val="a3"/>
    <w:link w:val="25"/>
    <w:rsid w:val="00C7226C"/>
    <w:rPr>
      <w:rFonts w:eastAsia="新細明體"/>
      <w:sz w:val="24"/>
      <w:lang w:val="en-GB"/>
    </w:rPr>
  </w:style>
  <w:style w:type="character" w:customStyle="1" w:styleId="content1">
    <w:name w:val="content1"/>
    <w:rsid w:val="00C7226C"/>
    <w:rPr>
      <w:rFonts w:ascii="Verdana" w:hAnsi="Verdana" w:hint="default"/>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559094457">
      <w:bodyDiv w:val="1"/>
      <w:marLeft w:val="0"/>
      <w:marRight w:val="0"/>
      <w:marTop w:val="0"/>
      <w:marBottom w:val="0"/>
      <w:divBdr>
        <w:top w:val="none" w:sz="0" w:space="0" w:color="auto"/>
        <w:left w:val="none" w:sz="0" w:space="0" w:color="auto"/>
        <w:bottom w:val="none" w:sz="0" w:space="0" w:color="auto"/>
        <w:right w:val="none" w:sz="0" w:space="0" w:color="auto"/>
      </w:divBdr>
    </w:div>
    <w:div w:id="826627502">
      <w:bodyDiv w:val="1"/>
      <w:marLeft w:val="0"/>
      <w:marRight w:val="0"/>
      <w:marTop w:val="0"/>
      <w:marBottom w:val="0"/>
      <w:divBdr>
        <w:top w:val="none" w:sz="0" w:space="0" w:color="auto"/>
        <w:left w:val="none" w:sz="0" w:space="0" w:color="auto"/>
        <w:bottom w:val="none" w:sz="0" w:space="0" w:color="auto"/>
        <w:right w:val="none" w:sz="0" w:space="0" w:color="auto"/>
      </w:divBdr>
    </w:div>
    <w:div w:id="958492265">
      <w:bodyDiv w:val="1"/>
      <w:marLeft w:val="0"/>
      <w:marRight w:val="0"/>
      <w:marTop w:val="0"/>
      <w:marBottom w:val="0"/>
      <w:divBdr>
        <w:top w:val="none" w:sz="0" w:space="0" w:color="auto"/>
        <w:left w:val="none" w:sz="0" w:space="0" w:color="auto"/>
        <w:bottom w:val="none" w:sz="0" w:space="0" w:color="auto"/>
        <w:right w:val="none" w:sz="0" w:space="0" w:color="auto"/>
      </w:divBdr>
    </w:div>
    <w:div w:id="1015494628">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AB1807-2014-435B-A229-BB2947715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718</Words>
  <Characters>4095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3</cp:revision>
  <cp:lastPrinted>2025-08-08T14:17:00Z</cp:lastPrinted>
  <dcterms:created xsi:type="dcterms:W3CDTF">2025-08-11T03:41:00Z</dcterms:created>
  <dcterms:modified xsi:type="dcterms:W3CDTF">2025-08-11T05:48:00Z</dcterms:modified>
</cp:coreProperties>
</file>