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9D2F1" w14:textId="77777777" w:rsidR="00624C05" w:rsidRPr="00C613D7" w:rsidRDefault="00624C05" w:rsidP="00F01FAE">
      <w:pPr>
        <w:pStyle w:val="a9"/>
      </w:pPr>
      <w:r w:rsidRPr="00C613D7">
        <w:rPr>
          <w:rFonts w:hint="eastAsia"/>
        </w:rPr>
        <w:t>第一章</w:t>
      </w:r>
      <w:r w:rsidRPr="00817668">
        <w:rPr>
          <w:rFonts w:hint="eastAsia"/>
        </w:rPr>
        <w:t>：</w:t>
      </w:r>
      <w:r w:rsidRPr="00C613D7">
        <w:rPr>
          <w:rFonts w:hint="eastAsia"/>
        </w:rPr>
        <w:t>經濟表現的全面概況</w:t>
      </w:r>
    </w:p>
    <w:p w14:paraId="2C7E5ACB" w14:textId="77777777" w:rsidR="00624C05" w:rsidRPr="00E76C0F" w:rsidRDefault="00624C05" w:rsidP="00F01FAE">
      <w:pPr>
        <w:pStyle w:val="124"/>
      </w:pPr>
      <w:r w:rsidRPr="00C613D7">
        <w:rPr>
          <w:rFonts w:hint="eastAsia"/>
        </w:rPr>
        <w:t>摘要</w:t>
      </w:r>
    </w:p>
    <w:p w14:paraId="066DDF2A" w14:textId="65B552BB" w:rsidR="00624C05" w:rsidRPr="00D358CE" w:rsidRDefault="0012671A" w:rsidP="00C7132A">
      <w:pPr>
        <w:pStyle w:val="a0"/>
      </w:pPr>
      <w:r w:rsidRPr="00D358CE">
        <w:rPr>
          <w:rFonts w:hint="eastAsia"/>
          <w:lang w:val="en-GB"/>
        </w:rPr>
        <w:t>在</w:t>
      </w:r>
      <w:r w:rsidR="00624C05" w:rsidRPr="00D358CE">
        <w:rPr>
          <w:rFonts w:hint="eastAsia"/>
          <w:lang w:val="en-GB"/>
        </w:rPr>
        <w:t>出口表現強勁</w:t>
      </w:r>
      <w:r w:rsidRPr="00D358CE">
        <w:rPr>
          <w:rFonts w:hint="eastAsia"/>
          <w:lang w:val="en-GB"/>
        </w:rPr>
        <w:t>及本地</w:t>
      </w:r>
      <w:r w:rsidR="00624C05" w:rsidRPr="00D358CE">
        <w:rPr>
          <w:rFonts w:hint="eastAsia"/>
          <w:lang w:val="en-GB"/>
        </w:rPr>
        <w:t>需求</w:t>
      </w:r>
      <w:bookmarkStart w:id="0" w:name="_GoBack"/>
      <w:bookmarkEnd w:id="0"/>
      <w:r w:rsidRPr="00D358CE">
        <w:rPr>
          <w:rFonts w:hint="eastAsia"/>
          <w:lang w:val="en-GB"/>
        </w:rPr>
        <w:t>改善的支持下</w:t>
      </w:r>
      <w:r w:rsidR="00897ABC" w:rsidRPr="00D358CE">
        <w:rPr>
          <w:rFonts w:hint="eastAsia"/>
          <w:lang w:val="en-GB"/>
        </w:rPr>
        <w:t>，</w:t>
      </w:r>
      <w:r w:rsidR="00624C05" w:rsidRPr="00D358CE">
        <w:rPr>
          <w:rFonts w:hint="eastAsia"/>
          <w:lang w:val="en-GB"/>
        </w:rPr>
        <w:t>香港經濟在二零二五年第二季繼續穩健擴張。實質本地生產總值</w:t>
      </w:r>
      <w:r w:rsidR="00624C05" w:rsidRPr="00D358CE">
        <w:rPr>
          <w:rFonts w:hint="eastAsia"/>
          <w:vertAlign w:val="superscript"/>
          <w:lang w:val="en-GB"/>
        </w:rPr>
        <w:t>(1</w:t>
      </w:r>
      <w:r w:rsidR="00624C05" w:rsidRPr="00D358CE">
        <w:rPr>
          <w:vertAlign w:val="superscript"/>
          <w:lang w:val="en-GB"/>
        </w:rPr>
        <w:t>)</w:t>
      </w:r>
      <w:r w:rsidR="00624C05" w:rsidRPr="00D358CE">
        <w:rPr>
          <w:rFonts w:hint="eastAsia"/>
          <w:lang w:val="en-GB" w:eastAsia="zh-HK"/>
        </w:rPr>
        <w:t>按年增長</w:t>
      </w:r>
      <w:r w:rsidR="00624C05" w:rsidRPr="00A46BDC">
        <w:rPr>
          <w:lang w:val="en-GB" w:eastAsia="zh-HK"/>
        </w:rPr>
        <w:t>3.</w:t>
      </w:r>
      <w:r w:rsidR="00C7132A" w:rsidRPr="00A46BDC">
        <w:rPr>
          <w:lang w:val="en-GB" w:eastAsia="zh-HK"/>
        </w:rPr>
        <w:t>1</w:t>
      </w:r>
      <w:r w:rsidR="00624C05" w:rsidRPr="00A46BDC">
        <w:rPr>
          <w:lang w:val="en-GB" w:eastAsia="zh-HK"/>
        </w:rPr>
        <w:t>%</w:t>
      </w:r>
      <w:r w:rsidR="00C7132A" w:rsidRPr="003F7780">
        <w:rPr>
          <w:rFonts w:hint="eastAsia"/>
          <w:lang w:val="en-GB" w:eastAsia="zh-HK"/>
        </w:rPr>
        <w:t>，</w:t>
      </w:r>
      <w:r w:rsidRPr="00A46BDC">
        <w:rPr>
          <w:rFonts w:hint="eastAsia"/>
          <w:lang w:eastAsia="zh-HK"/>
        </w:rPr>
        <w:t>輕微高於上一季的增幅</w:t>
      </w:r>
      <w:r w:rsidR="00C7132A" w:rsidRPr="00D358CE">
        <w:rPr>
          <w:rFonts w:hint="eastAsia"/>
          <w:lang w:val="en-GB" w:eastAsia="zh-HK"/>
        </w:rPr>
        <w:t>。</w:t>
      </w:r>
      <w:r w:rsidR="00624C05" w:rsidRPr="00D358CE">
        <w:rPr>
          <w:rFonts w:hint="eastAsia"/>
          <w:lang w:val="en-GB"/>
        </w:rPr>
        <w:t>經季節性調整後</w:t>
      </w:r>
      <w:r w:rsidR="007207DE" w:rsidRPr="00D358CE">
        <w:rPr>
          <w:rFonts w:hint="eastAsia"/>
          <w:lang w:val="en-GB" w:eastAsia="zh-HK"/>
        </w:rPr>
        <w:t>按季</w:t>
      </w:r>
      <w:r w:rsidR="007207DE">
        <w:rPr>
          <w:rFonts w:hint="eastAsia"/>
          <w:lang w:val="en-GB" w:eastAsia="zh-HK"/>
        </w:rPr>
        <w:t>比較</w:t>
      </w:r>
      <w:r w:rsidR="00624C05" w:rsidRPr="00D358CE">
        <w:rPr>
          <w:rFonts w:hint="eastAsia"/>
          <w:vertAlign w:val="superscript"/>
          <w:lang w:val="en-GB"/>
        </w:rPr>
        <w:t>(2</w:t>
      </w:r>
      <w:r w:rsidR="00624C05" w:rsidRPr="00D358CE">
        <w:rPr>
          <w:vertAlign w:val="superscript"/>
          <w:lang w:val="en-GB" w:eastAsia="zh-HK"/>
        </w:rPr>
        <w:t>)</w:t>
      </w:r>
      <w:r w:rsidR="00C7132A" w:rsidRPr="00D358CE">
        <w:rPr>
          <w:rFonts w:hint="eastAsia"/>
          <w:lang w:val="en-GB"/>
        </w:rPr>
        <w:t>，實質本地生產總值</w:t>
      </w:r>
      <w:r w:rsidR="00C7132A" w:rsidRPr="00D358CE">
        <w:rPr>
          <w:rFonts w:hint="eastAsia"/>
          <w:lang w:val="en-GB" w:eastAsia="zh-HK"/>
        </w:rPr>
        <w:t>進一步上升</w:t>
      </w:r>
      <w:r w:rsidR="00624C05" w:rsidRPr="00A46BDC">
        <w:t>0.</w:t>
      </w:r>
      <w:r w:rsidR="00C7132A" w:rsidRPr="00A46BDC">
        <w:t>4</w:t>
      </w:r>
      <w:r w:rsidR="00624C05" w:rsidRPr="00A46BDC">
        <w:t>%</w:t>
      </w:r>
      <w:r w:rsidR="00624C05" w:rsidRPr="00D358CE">
        <w:rPr>
          <w:rFonts w:hint="eastAsia"/>
          <w:lang w:val="en-GB"/>
        </w:rPr>
        <w:t>。</w:t>
      </w:r>
    </w:p>
    <w:p w14:paraId="4016F153" w14:textId="2314CC02" w:rsidR="00624C05" w:rsidRPr="00D358CE" w:rsidRDefault="00463BCB" w:rsidP="00463BCB">
      <w:pPr>
        <w:pStyle w:val="a0"/>
        <w:rPr>
          <w:lang w:eastAsia="zh-HK"/>
        </w:rPr>
      </w:pPr>
      <w:r w:rsidRPr="00D358CE">
        <w:rPr>
          <w:rFonts w:hint="eastAsia"/>
        </w:rPr>
        <w:t>外部需求</w:t>
      </w:r>
      <w:r w:rsidRPr="00D358CE">
        <w:rPr>
          <w:rFonts w:hint="eastAsia"/>
          <w:lang w:eastAsia="zh-HK"/>
        </w:rPr>
        <w:t>強韌</w:t>
      </w:r>
      <w:r w:rsidRPr="00D358CE">
        <w:rPr>
          <w:rFonts w:hint="eastAsia"/>
        </w:rPr>
        <w:t>，加上</w:t>
      </w:r>
      <w:r w:rsidR="002F4FC1">
        <w:rPr>
          <w:rFonts w:hint="eastAsia"/>
          <w:lang w:eastAsia="zh-HK"/>
        </w:rPr>
        <w:t>因</w:t>
      </w:r>
      <w:r w:rsidRPr="00D358CE">
        <w:rPr>
          <w:rFonts w:hint="eastAsia"/>
        </w:rPr>
        <w:t>美國關稅</w:t>
      </w:r>
      <w:r w:rsidR="009F7DB7">
        <w:rPr>
          <w:rFonts w:hint="eastAsia"/>
        </w:rPr>
        <w:t>措施暫時有所緩</w:t>
      </w:r>
      <w:r w:rsidR="009F7DB7">
        <w:rPr>
          <w:rFonts w:hint="eastAsia"/>
          <w:lang w:val="en-HK"/>
        </w:rPr>
        <w:t>和</w:t>
      </w:r>
      <w:r w:rsidR="009F7DB7">
        <w:rPr>
          <w:rFonts w:hint="eastAsia"/>
        </w:rPr>
        <w:t>而</w:t>
      </w:r>
      <w:r w:rsidRPr="00D358CE">
        <w:rPr>
          <w:rFonts w:hint="eastAsia"/>
          <w:lang w:eastAsia="zh-HK"/>
        </w:rPr>
        <w:t>令部分</w:t>
      </w:r>
      <w:r w:rsidRPr="00D358CE">
        <w:rPr>
          <w:rFonts w:hint="eastAsia"/>
        </w:rPr>
        <w:t>貨物</w:t>
      </w:r>
      <w:r w:rsidR="002A2AAE" w:rsidRPr="00D358CE">
        <w:rPr>
          <w:rFonts w:hint="eastAsia"/>
        </w:rPr>
        <w:t>搶先</w:t>
      </w:r>
      <w:r w:rsidRPr="00D358CE">
        <w:rPr>
          <w:rFonts w:hint="eastAsia"/>
        </w:rPr>
        <w:t>付運，</w:t>
      </w:r>
      <w:r w:rsidR="008102E9">
        <w:rPr>
          <w:rFonts w:hint="eastAsia"/>
        </w:rPr>
        <w:t>支持</w:t>
      </w:r>
      <w:r w:rsidRPr="00D358CE">
        <w:rPr>
          <w:rFonts w:hint="eastAsia"/>
        </w:rPr>
        <w:t>香港</w:t>
      </w:r>
      <w:r w:rsidR="006C14A7" w:rsidRPr="00D358CE">
        <w:rPr>
          <w:rFonts w:hint="eastAsia"/>
        </w:rPr>
        <w:t>整體貨物</w:t>
      </w:r>
      <w:r w:rsidRPr="00D358CE">
        <w:rPr>
          <w:rFonts w:hint="eastAsia"/>
        </w:rPr>
        <w:t>出口</w:t>
      </w:r>
      <w:r w:rsidRPr="00D358CE">
        <w:rPr>
          <w:rFonts w:hint="eastAsia"/>
          <w:lang w:eastAsia="zh-HK"/>
        </w:rPr>
        <w:t>在</w:t>
      </w:r>
      <w:r w:rsidRPr="00D358CE">
        <w:rPr>
          <w:rFonts w:hint="eastAsia"/>
        </w:rPr>
        <w:t>第二季</w:t>
      </w:r>
      <w:r w:rsidR="00403E43" w:rsidRPr="00D358CE">
        <w:rPr>
          <w:rFonts w:hint="eastAsia"/>
        </w:rPr>
        <w:t>的</w:t>
      </w:r>
      <w:r w:rsidRPr="00D358CE">
        <w:rPr>
          <w:rFonts w:hint="eastAsia"/>
          <w:lang w:eastAsia="zh-HK"/>
        </w:rPr>
        <w:t>按年</w:t>
      </w:r>
      <w:r w:rsidRPr="00D358CE">
        <w:rPr>
          <w:rFonts w:hint="eastAsia"/>
        </w:rPr>
        <w:t>增長</w:t>
      </w:r>
      <w:r w:rsidRPr="00D358CE">
        <w:rPr>
          <w:rFonts w:hint="eastAsia"/>
          <w:lang w:eastAsia="zh-HK"/>
        </w:rPr>
        <w:t>加快。同時，服務輸出繼續顯著</w:t>
      </w:r>
      <w:r w:rsidR="002A6DB4" w:rsidRPr="00D358CE">
        <w:rPr>
          <w:rFonts w:hint="eastAsia"/>
          <w:lang w:eastAsia="zh-HK"/>
        </w:rPr>
        <w:t>擴張</w:t>
      </w:r>
      <w:r w:rsidR="00DE0651" w:rsidRPr="00D358CE">
        <w:rPr>
          <w:rFonts w:hint="eastAsia"/>
          <w:lang w:eastAsia="zh-HK"/>
        </w:rPr>
        <w:t>，</w:t>
      </w:r>
      <w:r w:rsidR="001E649C" w:rsidRPr="00D358CE">
        <w:rPr>
          <w:rFonts w:hint="eastAsia"/>
          <w:lang w:eastAsia="zh-HK"/>
        </w:rPr>
        <w:t>所有主要服務組別的輸出均進一步</w:t>
      </w:r>
      <w:r w:rsidR="001E649C">
        <w:rPr>
          <w:rFonts w:hint="eastAsia"/>
          <w:lang w:val="en-GB"/>
        </w:rPr>
        <w:t>上升</w:t>
      </w:r>
      <w:r w:rsidRPr="00D358CE">
        <w:rPr>
          <w:rFonts w:hint="eastAsia"/>
          <w:lang w:eastAsia="zh-HK"/>
        </w:rPr>
        <w:t>。</w:t>
      </w:r>
    </w:p>
    <w:p w14:paraId="4B34D74A" w14:textId="18D13580" w:rsidR="00624C05" w:rsidRPr="00D358CE" w:rsidRDefault="00624C05" w:rsidP="00EC132C">
      <w:pPr>
        <w:pStyle w:val="a0"/>
      </w:pPr>
      <w:r w:rsidRPr="00D358CE">
        <w:rPr>
          <w:rFonts w:hint="eastAsia"/>
          <w:lang w:val="en-HK" w:eastAsia="zh-HK"/>
        </w:rPr>
        <w:t>本地方面，私人消費開支</w:t>
      </w:r>
      <w:r w:rsidR="009E56DF">
        <w:rPr>
          <w:rFonts w:hint="eastAsia"/>
          <w:lang w:val="en-HK" w:eastAsia="zh-HK"/>
        </w:rPr>
        <w:t>經過</w:t>
      </w:r>
      <w:r w:rsidR="00DE0651" w:rsidRPr="00D358CE">
        <w:rPr>
          <w:rFonts w:hint="eastAsia"/>
          <w:lang w:val="en-HK" w:eastAsia="zh-HK"/>
        </w:rPr>
        <w:t>連</w:t>
      </w:r>
      <w:r w:rsidR="009E56DF">
        <w:rPr>
          <w:rFonts w:hint="eastAsia"/>
          <w:lang w:val="en-HK" w:eastAsia="zh-HK"/>
        </w:rPr>
        <w:t>續</w:t>
      </w:r>
      <w:r w:rsidR="009E56DF" w:rsidRPr="00D358CE">
        <w:rPr>
          <w:rFonts w:hint="eastAsia"/>
          <w:lang w:val="en-HK" w:eastAsia="zh-HK"/>
        </w:rPr>
        <w:t>四季</w:t>
      </w:r>
      <w:r w:rsidR="009E56DF">
        <w:rPr>
          <w:rFonts w:hint="eastAsia"/>
          <w:lang w:val="en-HK" w:eastAsia="zh-HK"/>
        </w:rPr>
        <w:t>下</w:t>
      </w:r>
      <w:r w:rsidR="00DE0651" w:rsidRPr="00D358CE">
        <w:rPr>
          <w:rFonts w:hint="eastAsia"/>
          <w:lang w:val="en-HK" w:eastAsia="zh-HK"/>
        </w:rPr>
        <w:t>跌後，在第二季</w:t>
      </w:r>
      <w:r w:rsidR="00DD25FA" w:rsidRPr="00DD25FA">
        <w:rPr>
          <w:rFonts w:hint="eastAsia"/>
          <w:lang w:val="en-HK" w:eastAsia="zh-HK"/>
        </w:rPr>
        <w:t>受本地消費市場回穩所支持</w:t>
      </w:r>
      <w:r w:rsidR="00DD25FA">
        <w:rPr>
          <w:rFonts w:hint="eastAsia"/>
          <w:lang w:val="en-HK" w:eastAsia="zh-HK"/>
        </w:rPr>
        <w:t>而</w:t>
      </w:r>
      <w:r w:rsidR="003F6D10">
        <w:rPr>
          <w:rFonts w:hint="eastAsia"/>
          <w:lang w:val="en-HK" w:eastAsia="zh-HK"/>
        </w:rPr>
        <w:t>恢復</w:t>
      </w:r>
      <w:r w:rsidRPr="00D358CE">
        <w:rPr>
          <w:rFonts w:hint="eastAsia"/>
          <w:lang w:val="en-HK" w:eastAsia="zh-HK"/>
        </w:rPr>
        <w:t>溫和增長。</w:t>
      </w:r>
      <w:r w:rsidR="00DD25FA" w:rsidRPr="00D358CE">
        <w:rPr>
          <w:rFonts w:hint="eastAsia"/>
          <w:lang w:val="en-GB" w:eastAsia="zh-HK"/>
        </w:rPr>
        <w:t>整體投資開支進一步</w:t>
      </w:r>
      <w:r w:rsidR="00DD25FA">
        <w:rPr>
          <w:rFonts w:hint="eastAsia"/>
          <w:lang w:val="en-GB" w:eastAsia="zh-HK"/>
        </w:rPr>
        <w:t>上升，</w:t>
      </w:r>
      <w:r w:rsidR="008102E9" w:rsidRPr="00D358CE">
        <w:rPr>
          <w:rFonts w:hint="eastAsia"/>
          <w:lang w:val="en-GB"/>
        </w:rPr>
        <w:t>受惠</w:t>
      </w:r>
      <w:r w:rsidR="008102E9">
        <w:rPr>
          <w:rFonts w:hint="eastAsia"/>
          <w:lang w:val="en-GB"/>
        </w:rPr>
        <w:t>於</w:t>
      </w:r>
      <w:r w:rsidR="008102E9" w:rsidRPr="00D358CE">
        <w:rPr>
          <w:rFonts w:hint="eastAsia"/>
          <w:lang w:val="en-GB" w:eastAsia="zh-HK"/>
        </w:rPr>
        <w:t>購置機器、設備及知識產權產品的開支急升</w:t>
      </w:r>
      <w:r w:rsidRPr="00D358CE">
        <w:rPr>
          <w:rFonts w:hint="eastAsia"/>
          <w:lang w:val="en-GB" w:eastAsia="zh-HK"/>
        </w:rPr>
        <w:t>。</w:t>
      </w:r>
    </w:p>
    <w:p w14:paraId="45341F6E" w14:textId="4303D8EA" w:rsidR="00624C05" w:rsidRPr="00D358CE" w:rsidRDefault="00624C05" w:rsidP="00F01FAE">
      <w:pPr>
        <w:pStyle w:val="a0"/>
        <w:rPr>
          <w:lang w:eastAsia="zh-HK"/>
        </w:rPr>
      </w:pPr>
      <w:r w:rsidRPr="00D358CE">
        <w:rPr>
          <w:rFonts w:hint="eastAsia"/>
        </w:rPr>
        <w:t>勞工市場在第</w:t>
      </w:r>
      <w:r w:rsidRPr="00D358CE">
        <w:rPr>
          <w:rFonts w:hint="eastAsia"/>
          <w:lang w:eastAsia="zh-HK"/>
        </w:rPr>
        <w:t>二</w:t>
      </w:r>
      <w:r w:rsidRPr="00D358CE">
        <w:rPr>
          <w:rFonts w:hint="eastAsia"/>
        </w:rPr>
        <w:t>季</w:t>
      </w:r>
      <w:r w:rsidR="006F026A" w:rsidRPr="00D358CE">
        <w:rPr>
          <w:rFonts w:hint="eastAsia"/>
        </w:rPr>
        <w:t>稍為放緩</w:t>
      </w:r>
      <w:r w:rsidRPr="00D358CE">
        <w:rPr>
          <w:rFonts w:hint="eastAsia"/>
        </w:rPr>
        <w:t>。經季節性調整的失業率</w:t>
      </w:r>
      <w:r w:rsidR="006F026A" w:rsidRPr="00D358CE">
        <w:rPr>
          <w:rFonts w:hint="eastAsia"/>
          <w:lang w:eastAsia="zh-HK"/>
        </w:rPr>
        <w:t>由</w:t>
      </w:r>
      <w:r w:rsidR="006F026A" w:rsidRPr="00D358CE">
        <w:rPr>
          <w:rFonts w:hint="eastAsia"/>
        </w:rPr>
        <w:t>上一季的</w:t>
      </w:r>
      <w:r w:rsidR="006F026A" w:rsidRPr="00D358CE">
        <w:rPr>
          <w:rFonts w:hint="eastAsia"/>
        </w:rPr>
        <w:t>3.2%</w:t>
      </w:r>
      <w:r w:rsidR="006F026A" w:rsidRPr="00D358CE">
        <w:rPr>
          <w:rFonts w:hint="eastAsia"/>
          <w:lang w:val="en-HK"/>
        </w:rPr>
        <w:t>上</w:t>
      </w:r>
      <w:r w:rsidR="006F026A" w:rsidRPr="00D358CE">
        <w:rPr>
          <w:rFonts w:hint="eastAsia"/>
          <w:lang w:eastAsia="zh-HK"/>
        </w:rPr>
        <w:t>升至</w:t>
      </w:r>
      <w:r w:rsidRPr="00D358CE">
        <w:rPr>
          <w:rFonts w:hint="eastAsia"/>
          <w:lang w:eastAsia="zh-HK"/>
        </w:rPr>
        <w:t>第二季</w:t>
      </w:r>
      <w:r w:rsidR="006F026A" w:rsidRPr="00D358CE">
        <w:rPr>
          <w:rFonts w:hint="eastAsia"/>
          <w:lang w:eastAsia="zh-HK"/>
        </w:rPr>
        <w:t>的</w:t>
      </w:r>
      <w:r w:rsidRPr="00D358CE">
        <w:rPr>
          <w:rFonts w:hint="eastAsia"/>
        </w:rPr>
        <w:t>3.5%</w:t>
      </w:r>
      <w:r w:rsidRPr="00D358CE">
        <w:rPr>
          <w:rFonts w:hint="eastAsia"/>
        </w:rPr>
        <w:t>。就業不足率</w:t>
      </w:r>
      <w:r w:rsidRPr="00D358CE">
        <w:rPr>
          <w:rFonts w:hint="eastAsia"/>
          <w:lang w:eastAsia="zh-HK"/>
        </w:rPr>
        <w:t>亦</w:t>
      </w:r>
      <w:r w:rsidR="00DE0651" w:rsidRPr="00D358CE">
        <w:rPr>
          <w:rFonts w:hint="eastAsia"/>
          <w:lang w:eastAsia="zh-HK"/>
        </w:rPr>
        <w:t>上升</w:t>
      </w:r>
      <w:r w:rsidRPr="00D358CE">
        <w:rPr>
          <w:rFonts w:hint="eastAsia"/>
        </w:rPr>
        <w:t>。</w:t>
      </w:r>
    </w:p>
    <w:p w14:paraId="7BA687DD" w14:textId="3BB45466" w:rsidR="00624C05" w:rsidRPr="00D358CE" w:rsidRDefault="003D443D" w:rsidP="00F01FAE">
      <w:pPr>
        <w:pStyle w:val="a0"/>
        <w:rPr>
          <w:lang w:val="en-HK" w:eastAsia="zh-HK"/>
        </w:rPr>
      </w:pPr>
      <w:r w:rsidRPr="00D358CE">
        <w:rPr>
          <w:rFonts w:hint="eastAsia"/>
          <w:lang w:eastAsia="zh-HK"/>
        </w:rPr>
        <w:t>由於</w:t>
      </w:r>
      <w:r w:rsidRPr="00D358CE">
        <w:rPr>
          <w:rFonts w:hint="eastAsia"/>
          <w:lang w:val="en-GB"/>
        </w:rPr>
        <w:t>市場氣氛在</w:t>
      </w:r>
      <w:r w:rsidR="001356AF" w:rsidRPr="00D358CE">
        <w:rPr>
          <w:rFonts w:hint="eastAsia"/>
          <w:lang w:val="en-GB"/>
        </w:rPr>
        <w:t>美國</w:t>
      </w:r>
      <w:r w:rsidR="001356AF" w:rsidRPr="00D358CE">
        <w:rPr>
          <w:rFonts w:hint="eastAsia"/>
          <w:lang w:val="en-GB" w:eastAsia="zh-HK"/>
        </w:rPr>
        <w:t>暫緩實施</w:t>
      </w:r>
      <w:r w:rsidRPr="00D358CE">
        <w:rPr>
          <w:rFonts w:hint="eastAsia"/>
          <w:lang w:eastAsia="zh-HK"/>
        </w:rPr>
        <w:t>大部分</w:t>
      </w:r>
      <w:r w:rsidR="001356AF" w:rsidRPr="00D358CE">
        <w:rPr>
          <w:rFonts w:hint="eastAsia"/>
          <w:lang w:val="en-GB"/>
        </w:rPr>
        <w:t>關稅</w:t>
      </w:r>
      <w:r w:rsidRPr="00D358CE">
        <w:rPr>
          <w:rFonts w:hint="eastAsia"/>
          <w:lang w:eastAsia="zh-HK"/>
        </w:rPr>
        <w:t>措施</w:t>
      </w:r>
      <w:r w:rsidR="001356AF" w:rsidRPr="00D358CE">
        <w:rPr>
          <w:rFonts w:hint="eastAsia"/>
          <w:lang w:val="en-GB" w:eastAsia="zh-HK"/>
        </w:rPr>
        <w:t>後</w:t>
      </w:r>
      <w:r w:rsidR="001356AF" w:rsidRPr="00D358CE">
        <w:rPr>
          <w:rFonts w:hint="eastAsia"/>
          <w:lang w:val="en-GB"/>
        </w:rPr>
        <w:t>好轉</w:t>
      </w:r>
      <w:r w:rsidR="001356AF" w:rsidRPr="00D358CE">
        <w:rPr>
          <w:rFonts w:hint="eastAsia"/>
          <w:lang w:val="en-GB" w:eastAsia="zh-HK"/>
        </w:rPr>
        <w:t>，</w:t>
      </w:r>
      <w:r w:rsidR="00624C05" w:rsidRPr="00D358CE">
        <w:rPr>
          <w:rFonts w:hint="eastAsia"/>
          <w:lang w:eastAsia="zh-HK"/>
        </w:rPr>
        <w:t>本地股票市場</w:t>
      </w:r>
      <w:r w:rsidRPr="00D358CE">
        <w:rPr>
          <w:rFonts w:hint="eastAsia"/>
          <w:lang w:eastAsia="zh-HK"/>
        </w:rPr>
        <w:t>在第二季</w:t>
      </w:r>
      <w:r w:rsidR="001356AF" w:rsidRPr="00D358CE">
        <w:rPr>
          <w:rFonts w:hint="eastAsia"/>
          <w:lang w:val="en-GB"/>
        </w:rPr>
        <w:t>維持</w:t>
      </w:r>
      <w:r w:rsidR="001356AF" w:rsidRPr="00D358CE">
        <w:rPr>
          <w:rFonts w:hint="eastAsia"/>
          <w:lang w:val="en-GB" w:eastAsia="zh-HK"/>
        </w:rPr>
        <w:t>升勢</w:t>
      </w:r>
      <w:r w:rsidR="00624C05" w:rsidRPr="00D358CE">
        <w:rPr>
          <w:rFonts w:hint="eastAsia"/>
          <w:lang w:eastAsia="zh-HK"/>
        </w:rPr>
        <w:t>。恒生指數</w:t>
      </w:r>
      <w:r w:rsidR="00624C05" w:rsidRPr="00D358CE">
        <w:rPr>
          <w:rFonts w:hint="eastAsia"/>
          <w:lang w:eastAsia="zh-HK"/>
        </w:rPr>
        <w:t>(</w:t>
      </w:r>
      <w:r w:rsidR="00624C05" w:rsidRPr="00D358CE">
        <w:rPr>
          <w:rFonts w:hint="eastAsia"/>
          <w:lang w:eastAsia="zh-HK"/>
        </w:rPr>
        <w:t>恒指</w:t>
      </w:r>
      <w:r w:rsidR="00624C05" w:rsidRPr="00D358CE">
        <w:rPr>
          <w:rFonts w:hint="eastAsia"/>
          <w:lang w:eastAsia="zh-HK"/>
        </w:rPr>
        <w:t>)</w:t>
      </w:r>
      <w:r w:rsidR="001356AF" w:rsidRPr="00D358CE">
        <w:rPr>
          <w:rFonts w:hint="eastAsia"/>
        </w:rPr>
        <w:t>收復失地</w:t>
      </w:r>
      <w:r w:rsidR="001356AF" w:rsidRPr="00D358CE">
        <w:rPr>
          <w:rFonts w:hint="eastAsia"/>
          <w:lang w:eastAsia="zh-HK"/>
        </w:rPr>
        <w:t>並</w:t>
      </w:r>
      <w:r w:rsidR="00C84D90" w:rsidRPr="00D358CE">
        <w:rPr>
          <w:rFonts w:hint="eastAsia"/>
          <w:lang w:val="en-GB" w:eastAsia="zh-HK"/>
        </w:rPr>
        <w:t>持續上升</w:t>
      </w:r>
      <w:r w:rsidR="001356AF" w:rsidRPr="00D358CE">
        <w:rPr>
          <w:rFonts w:hint="eastAsia"/>
          <w:lang w:eastAsia="zh-HK"/>
        </w:rPr>
        <w:t>，</w:t>
      </w:r>
      <w:r w:rsidR="00624C05" w:rsidRPr="00D358CE">
        <w:rPr>
          <w:rFonts w:hint="eastAsia"/>
          <w:lang w:eastAsia="zh-HK"/>
        </w:rPr>
        <w:t>於第二季末收報</w:t>
      </w:r>
      <w:r w:rsidR="00624C05" w:rsidRPr="00D358CE">
        <w:rPr>
          <w:rFonts w:hint="eastAsia"/>
          <w:lang w:eastAsia="zh-HK"/>
        </w:rPr>
        <w:t>2</w:t>
      </w:r>
      <w:r w:rsidR="00624C05" w:rsidRPr="00D358CE">
        <w:rPr>
          <w:rFonts w:hint="eastAsia"/>
        </w:rPr>
        <w:t>4</w:t>
      </w:r>
      <w:r w:rsidR="00624C05" w:rsidRPr="00D358CE">
        <w:rPr>
          <w:lang w:eastAsia="zh-HK"/>
        </w:rPr>
        <w:t> </w:t>
      </w:r>
      <w:r w:rsidR="00624C05" w:rsidRPr="00D358CE">
        <w:rPr>
          <w:rFonts w:hint="eastAsia"/>
        </w:rPr>
        <w:t>072</w:t>
      </w:r>
      <w:r w:rsidR="00624C05" w:rsidRPr="00D358CE">
        <w:rPr>
          <w:lang w:eastAsia="zh-HK"/>
        </w:rPr>
        <w:t> </w:t>
      </w:r>
      <w:r w:rsidR="00624C05" w:rsidRPr="00D358CE">
        <w:rPr>
          <w:rFonts w:hint="eastAsia"/>
          <w:lang w:eastAsia="zh-HK"/>
        </w:rPr>
        <w:t>點，較三月底高</w:t>
      </w:r>
      <w:r w:rsidR="00624C05" w:rsidRPr="00D358CE">
        <w:rPr>
          <w:rFonts w:hint="eastAsia"/>
        </w:rPr>
        <w:t>4.1</w:t>
      </w:r>
      <w:r w:rsidR="00624C05" w:rsidRPr="00D358CE">
        <w:rPr>
          <w:rFonts w:hint="eastAsia"/>
          <w:lang w:eastAsia="zh-HK"/>
        </w:rPr>
        <w:t>%</w:t>
      </w:r>
      <w:r w:rsidR="00624C05" w:rsidRPr="00D358CE">
        <w:rPr>
          <w:rFonts w:hint="eastAsia"/>
          <w:lang w:eastAsia="zh-HK"/>
        </w:rPr>
        <w:t>。</w:t>
      </w:r>
      <w:r w:rsidR="00624C05" w:rsidRPr="00D358CE">
        <w:rPr>
          <w:rFonts w:hint="eastAsia"/>
          <w:lang w:val="en-HK" w:eastAsia="zh-HK"/>
        </w:rPr>
        <w:t>住宅物業市場在第二季略見回穩。住宅售價大致</w:t>
      </w:r>
      <w:r w:rsidR="00532DF5" w:rsidRPr="00D358CE">
        <w:rPr>
          <w:rFonts w:hint="eastAsia"/>
          <w:lang w:val="en-HK" w:eastAsia="zh-HK"/>
        </w:rPr>
        <w:t>企</w:t>
      </w:r>
      <w:r w:rsidR="00624C05" w:rsidRPr="00D358CE">
        <w:rPr>
          <w:rFonts w:hint="eastAsia"/>
          <w:lang w:val="en-HK" w:eastAsia="zh-HK"/>
        </w:rPr>
        <w:t>穩，租金</w:t>
      </w:r>
      <w:r w:rsidR="00532DF5" w:rsidRPr="00D358CE">
        <w:rPr>
          <w:rFonts w:hint="eastAsia"/>
          <w:lang w:val="en-HK" w:eastAsia="zh-HK"/>
        </w:rPr>
        <w:t>保</w:t>
      </w:r>
      <w:r w:rsidR="00624C05" w:rsidRPr="00D358CE">
        <w:rPr>
          <w:rFonts w:hint="eastAsia"/>
          <w:lang w:val="en-HK" w:eastAsia="zh-HK"/>
        </w:rPr>
        <w:t>持強韌。</w:t>
      </w:r>
    </w:p>
    <w:p w14:paraId="3EB71F5F" w14:textId="6DA84300" w:rsidR="00624C05" w:rsidRPr="00D358CE" w:rsidRDefault="00624C05" w:rsidP="00F01FAE">
      <w:pPr>
        <w:pStyle w:val="a0"/>
      </w:pPr>
      <w:r w:rsidRPr="00D358CE">
        <w:rPr>
          <w:rFonts w:hint="eastAsia"/>
          <w:lang w:val="en-HK" w:eastAsia="zh-HK"/>
        </w:rPr>
        <w:t>第二季基本消費物價通脹維持輕微。主要組成項目的價格壓力大致受控。</w:t>
      </w:r>
    </w:p>
    <w:p w14:paraId="123B638B" w14:textId="77777777" w:rsidR="00624C05" w:rsidRDefault="00624C05" w:rsidP="00F01FAE">
      <w:pPr>
        <w:pStyle w:val="120"/>
        <w:rPr>
          <w:lang w:eastAsia="zh-HK"/>
        </w:rPr>
      </w:pPr>
      <w:r w:rsidRPr="005164C2">
        <w:rPr>
          <w:lang w:eastAsia="zh-HK"/>
        </w:rPr>
        <w:br w:type="page"/>
      </w:r>
    </w:p>
    <w:p w14:paraId="6791DE9E" w14:textId="77777777" w:rsidR="00624C05" w:rsidRPr="00E76C0F" w:rsidRDefault="00624C05" w:rsidP="00F01FAE">
      <w:pPr>
        <w:pStyle w:val="120"/>
        <w:rPr>
          <w:lang w:eastAsia="zh-HK"/>
        </w:rPr>
      </w:pPr>
      <w:r>
        <w:rPr>
          <w:rFonts w:hint="eastAsia"/>
          <w:lang w:eastAsia="zh-HK"/>
        </w:rPr>
        <w:lastRenderedPageBreak/>
        <w:t>整體情況</w:t>
      </w:r>
    </w:p>
    <w:p w14:paraId="62163A93" w14:textId="56B1FE98" w:rsidR="00624C05" w:rsidRDefault="00624C05" w:rsidP="00624C05">
      <w:pPr>
        <w:rPr>
          <w:lang w:eastAsia="zh-HK"/>
        </w:rPr>
      </w:pPr>
      <w:r>
        <w:rPr>
          <w:rFonts w:hint="eastAsia"/>
          <w:b/>
        </w:rPr>
        <w:t>1.1</w:t>
      </w:r>
      <w:r w:rsidRPr="006F1C53">
        <w:rPr>
          <w:lang w:eastAsia="zh-HK"/>
        </w:rPr>
        <w:tab/>
      </w:r>
      <w:r w:rsidR="00022213">
        <w:rPr>
          <w:rFonts w:hint="eastAsia"/>
          <w:lang w:val="en-GB"/>
        </w:rPr>
        <w:t>在</w:t>
      </w:r>
      <w:r w:rsidR="00B502D4">
        <w:rPr>
          <w:rFonts w:hint="eastAsia"/>
          <w:lang w:eastAsia="zh-HK"/>
        </w:rPr>
        <w:t>出</w:t>
      </w:r>
      <w:r w:rsidR="00B502D4">
        <w:rPr>
          <w:rFonts w:hint="eastAsia"/>
        </w:rPr>
        <w:t>口</w:t>
      </w:r>
      <w:r w:rsidR="00B502D4">
        <w:rPr>
          <w:rFonts w:hint="eastAsia"/>
          <w:lang w:eastAsia="zh-HK"/>
        </w:rPr>
        <w:t>表</w:t>
      </w:r>
      <w:r w:rsidR="00B502D4">
        <w:rPr>
          <w:rFonts w:hint="eastAsia"/>
        </w:rPr>
        <w:t>現</w:t>
      </w:r>
      <w:r w:rsidR="00B502D4">
        <w:rPr>
          <w:rFonts w:hint="eastAsia"/>
          <w:lang w:eastAsia="zh-HK"/>
        </w:rPr>
        <w:t>強</w:t>
      </w:r>
      <w:r w:rsidR="00B502D4">
        <w:rPr>
          <w:rFonts w:hint="eastAsia"/>
        </w:rPr>
        <w:t>勁</w:t>
      </w:r>
      <w:r w:rsidR="00022213">
        <w:rPr>
          <w:rFonts w:hint="eastAsia"/>
          <w:lang w:val="en-GB"/>
        </w:rPr>
        <w:t>及本地</w:t>
      </w:r>
      <w:r w:rsidR="00022213" w:rsidRPr="00AB0490">
        <w:rPr>
          <w:rFonts w:hint="eastAsia"/>
          <w:lang w:val="en-GB"/>
        </w:rPr>
        <w:t>需求</w:t>
      </w:r>
      <w:r w:rsidR="00022213">
        <w:rPr>
          <w:rFonts w:hint="eastAsia"/>
          <w:lang w:val="en-GB"/>
        </w:rPr>
        <w:t>改善的支持下</w:t>
      </w:r>
      <w:r w:rsidR="00B502D4">
        <w:rPr>
          <w:rFonts w:hint="eastAsia"/>
          <w:lang w:eastAsia="zh-HK"/>
        </w:rPr>
        <w:t>，</w:t>
      </w:r>
      <w:r w:rsidR="00B502D4" w:rsidRPr="005B7BF5">
        <w:rPr>
          <w:rFonts w:hint="eastAsia"/>
          <w:lang w:eastAsia="zh-HK"/>
        </w:rPr>
        <w:t>香港經濟在二零二</w:t>
      </w:r>
      <w:r w:rsidR="00B502D4">
        <w:rPr>
          <w:rFonts w:hint="eastAsia"/>
          <w:lang w:eastAsia="zh-HK"/>
        </w:rPr>
        <w:t>五</w:t>
      </w:r>
      <w:r w:rsidR="00B502D4" w:rsidRPr="005B7BF5">
        <w:rPr>
          <w:rFonts w:hint="eastAsia"/>
          <w:lang w:eastAsia="zh-HK"/>
        </w:rPr>
        <w:t>年第</w:t>
      </w:r>
      <w:r w:rsidR="00B502D4">
        <w:rPr>
          <w:rFonts w:hint="eastAsia"/>
          <w:lang w:eastAsia="zh-HK"/>
        </w:rPr>
        <w:t>二</w:t>
      </w:r>
      <w:r w:rsidR="00B502D4" w:rsidRPr="005B7BF5">
        <w:rPr>
          <w:rFonts w:hint="eastAsia"/>
          <w:lang w:eastAsia="zh-HK"/>
        </w:rPr>
        <w:t>季</w:t>
      </w:r>
      <w:r w:rsidR="00B502D4">
        <w:rPr>
          <w:rFonts w:hint="eastAsia"/>
          <w:lang w:eastAsia="zh-HK"/>
        </w:rPr>
        <w:t>繼</w:t>
      </w:r>
      <w:r w:rsidR="00B502D4">
        <w:rPr>
          <w:rFonts w:hint="eastAsia"/>
        </w:rPr>
        <w:t>續</w:t>
      </w:r>
      <w:r w:rsidR="00B502D4" w:rsidRPr="00031806">
        <w:rPr>
          <w:rFonts w:hint="eastAsia"/>
          <w:lang w:eastAsia="zh-HK"/>
        </w:rPr>
        <w:t>穩健擴張</w:t>
      </w:r>
      <w:r w:rsidR="00B502D4" w:rsidRPr="00031806">
        <w:rPr>
          <w:lang w:eastAsia="zh-HK"/>
        </w:rPr>
        <w:t>。</w:t>
      </w:r>
      <w:r w:rsidR="00B502D4" w:rsidRPr="00031806">
        <w:rPr>
          <w:rFonts w:hint="eastAsia"/>
          <w:lang w:eastAsia="zh-HK"/>
        </w:rPr>
        <w:t>外部需求強韌</w:t>
      </w:r>
      <w:r w:rsidR="00B502D4">
        <w:rPr>
          <w:rFonts w:hint="eastAsia"/>
          <w:lang w:eastAsia="zh-HK"/>
        </w:rPr>
        <w:t>，</w:t>
      </w:r>
      <w:r w:rsidR="00897ABC" w:rsidRPr="00897ABC">
        <w:rPr>
          <w:rFonts w:hint="eastAsia"/>
          <w:lang w:eastAsia="zh-HK"/>
        </w:rPr>
        <w:t>加上</w:t>
      </w:r>
      <w:r w:rsidR="002F4FC1">
        <w:rPr>
          <w:rFonts w:hint="eastAsia"/>
          <w:lang w:eastAsia="zh-HK"/>
        </w:rPr>
        <w:t>因</w:t>
      </w:r>
      <w:r w:rsidR="009F7DB7" w:rsidRPr="00D358CE">
        <w:rPr>
          <w:rFonts w:hint="eastAsia"/>
        </w:rPr>
        <w:t>美國關稅</w:t>
      </w:r>
      <w:r w:rsidR="009F7DB7">
        <w:rPr>
          <w:rFonts w:hint="eastAsia"/>
        </w:rPr>
        <w:t>措施暫時有所緩</w:t>
      </w:r>
      <w:r w:rsidR="009F7DB7">
        <w:rPr>
          <w:rFonts w:hint="eastAsia"/>
          <w:lang w:val="en-HK"/>
        </w:rPr>
        <w:t>和</w:t>
      </w:r>
      <w:r w:rsidR="009F7DB7">
        <w:rPr>
          <w:rFonts w:hint="eastAsia"/>
        </w:rPr>
        <w:t>而</w:t>
      </w:r>
      <w:r w:rsidR="009F7DB7" w:rsidRPr="00D358CE">
        <w:rPr>
          <w:rFonts w:hint="eastAsia"/>
          <w:lang w:eastAsia="zh-HK"/>
        </w:rPr>
        <w:t>令部分</w:t>
      </w:r>
      <w:r w:rsidR="009F7DB7" w:rsidRPr="00D358CE">
        <w:rPr>
          <w:rFonts w:hint="eastAsia"/>
        </w:rPr>
        <w:t>貨物搶先付運</w:t>
      </w:r>
      <w:r w:rsidR="00B502D4" w:rsidRPr="00031806">
        <w:rPr>
          <w:rFonts w:hint="eastAsia"/>
          <w:lang w:eastAsia="zh-HK"/>
        </w:rPr>
        <w:t>，</w:t>
      </w:r>
      <w:r w:rsidR="008102E9">
        <w:rPr>
          <w:rFonts w:hint="eastAsia"/>
          <w:lang w:eastAsia="zh-HK"/>
        </w:rPr>
        <w:t>支持</w:t>
      </w:r>
      <w:r w:rsidR="00B502D4" w:rsidRPr="00031806">
        <w:rPr>
          <w:rFonts w:hint="eastAsia"/>
        </w:rPr>
        <w:t>整體</w:t>
      </w:r>
      <w:r w:rsidR="00B502D4" w:rsidRPr="00031806">
        <w:rPr>
          <w:rFonts w:hint="eastAsia"/>
          <w:lang w:eastAsia="zh-HK"/>
        </w:rPr>
        <w:t>貨物出口</w:t>
      </w:r>
      <w:r w:rsidR="00B502D4" w:rsidRPr="004F2ED2">
        <w:rPr>
          <w:rFonts w:hint="eastAsia"/>
          <w:lang w:eastAsia="zh-HK"/>
        </w:rPr>
        <w:t>按年增長加快。服務輸出</w:t>
      </w:r>
      <w:r w:rsidR="00B502D4">
        <w:rPr>
          <w:rFonts w:hint="eastAsia"/>
          <w:lang w:eastAsia="zh-HK"/>
        </w:rPr>
        <w:t>繼</w:t>
      </w:r>
      <w:r w:rsidR="00B502D4">
        <w:rPr>
          <w:rFonts w:hint="eastAsia"/>
        </w:rPr>
        <w:t>續</w:t>
      </w:r>
      <w:r w:rsidR="00B502D4">
        <w:rPr>
          <w:rFonts w:hint="eastAsia"/>
          <w:lang w:eastAsia="zh-HK"/>
        </w:rPr>
        <w:t>顯</w:t>
      </w:r>
      <w:r w:rsidR="00B502D4">
        <w:rPr>
          <w:rFonts w:hint="eastAsia"/>
        </w:rPr>
        <w:t>著</w:t>
      </w:r>
      <w:r w:rsidR="001E649C" w:rsidRPr="00D358CE">
        <w:rPr>
          <w:rFonts w:hint="eastAsia"/>
          <w:lang w:eastAsia="zh-HK"/>
        </w:rPr>
        <w:t>擴張</w:t>
      </w:r>
      <w:r w:rsidR="00B502D4">
        <w:rPr>
          <w:rFonts w:hint="eastAsia"/>
          <w:lang w:eastAsia="zh-HK"/>
        </w:rPr>
        <w:t>，</w:t>
      </w:r>
      <w:r w:rsidR="00B502D4" w:rsidRPr="00634D6E">
        <w:rPr>
          <w:rFonts w:hint="eastAsia"/>
          <w:lang w:eastAsia="zh-HK"/>
        </w:rPr>
        <w:t>所有主要服務組別</w:t>
      </w:r>
      <w:r w:rsidR="00B502D4" w:rsidRPr="00730E2D">
        <w:rPr>
          <w:rFonts w:hint="eastAsia"/>
          <w:lang w:eastAsia="zh-HK"/>
        </w:rPr>
        <w:t>的輸出</w:t>
      </w:r>
      <w:r w:rsidR="00B502D4" w:rsidRPr="00634D6E">
        <w:rPr>
          <w:rFonts w:hint="eastAsia"/>
          <w:lang w:eastAsia="zh-HK"/>
        </w:rPr>
        <w:t>均進一步</w:t>
      </w:r>
      <w:r w:rsidR="001E649C">
        <w:rPr>
          <w:rFonts w:hint="eastAsia"/>
          <w:lang w:eastAsia="zh-HK"/>
        </w:rPr>
        <w:t>上升</w:t>
      </w:r>
      <w:r w:rsidR="00B502D4">
        <w:rPr>
          <w:rFonts w:hint="eastAsia"/>
          <w:lang w:eastAsia="zh-HK"/>
        </w:rPr>
        <w:t>。</w:t>
      </w:r>
      <w:r w:rsidR="00FE51C8">
        <w:rPr>
          <w:rFonts w:hint="eastAsia"/>
          <w:lang w:eastAsia="zh-HK"/>
        </w:rPr>
        <w:t>受本地</w:t>
      </w:r>
      <w:r w:rsidR="00FE51C8" w:rsidRPr="00DB5A72">
        <w:rPr>
          <w:rFonts w:hint="eastAsia"/>
          <w:lang w:eastAsia="zh-HK"/>
        </w:rPr>
        <w:t>消費</w:t>
      </w:r>
      <w:r w:rsidR="00FE51C8">
        <w:rPr>
          <w:rFonts w:hint="eastAsia"/>
          <w:lang w:eastAsia="zh-HK"/>
        </w:rPr>
        <w:t>市</w:t>
      </w:r>
      <w:r w:rsidR="00FE51C8">
        <w:rPr>
          <w:rFonts w:hint="eastAsia"/>
        </w:rPr>
        <w:t>場</w:t>
      </w:r>
      <w:r w:rsidR="00FE51C8">
        <w:rPr>
          <w:rFonts w:hint="eastAsia"/>
          <w:lang w:eastAsia="zh-HK"/>
        </w:rPr>
        <w:t>回穩</w:t>
      </w:r>
      <w:r w:rsidR="00FE51C8" w:rsidRPr="0069553F">
        <w:rPr>
          <w:rFonts w:ascii="華康細明體" w:hAnsi="華康細明體" w:hint="eastAsia"/>
          <w:lang w:val="en-GB"/>
        </w:rPr>
        <w:t>所</w:t>
      </w:r>
      <w:r w:rsidR="00FE51C8">
        <w:rPr>
          <w:rFonts w:hint="eastAsia"/>
          <w:lang w:eastAsia="zh-HK"/>
        </w:rPr>
        <w:t>支</w:t>
      </w:r>
      <w:r w:rsidR="00FE51C8">
        <w:rPr>
          <w:rFonts w:hint="eastAsia"/>
        </w:rPr>
        <w:t>持</w:t>
      </w:r>
      <w:r w:rsidR="00FE51C8">
        <w:rPr>
          <w:rFonts w:hint="eastAsia"/>
          <w:lang w:eastAsia="zh-HK"/>
        </w:rPr>
        <w:t>，</w:t>
      </w:r>
      <w:r w:rsidR="00B502D4">
        <w:rPr>
          <w:rFonts w:hint="eastAsia"/>
        </w:rPr>
        <w:t>私人消費</w:t>
      </w:r>
      <w:r w:rsidR="00B502D4">
        <w:rPr>
          <w:rFonts w:hint="eastAsia"/>
          <w:lang w:eastAsia="zh-HK"/>
        </w:rPr>
        <w:t>開支</w:t>
      </w:r>
      <w:r w:rsidR="00B9752B">
        <w:rPr>
          <w:rFonts w:hint="eastAsia"/>
          <w:lang w:eastAsia="zh-HK"/>
        </w:rPr>
        <w:t>經過</w:t>
      </w:r>
      <w:r w:rsidR="00B502D4">
        <w:rPr>
          <w:rFonts w:hint="eastAsia"/>
          <w:lang w:eastAsia="zh-HK"/>
        </w:rPr>
        <w:t>連</w:t>
      </w:r>
      <w:r w:rsidR="00FE51C8">
        <w:rPr>
          <w:rFonts w:hint="eastAsia"/>
          <w:lang w:eastAsia="zh-HK"/>
        </w:rPr>
        <w:t>續</w:t>
      </w:r>
      <w:r w:rsidR="00B502D4">
        <w:rPr>
          <w:rFonts w:hint="eastAsia"/>
          <w:lang w:eastAsia="zh-HK"/>
        </w:rPr>
        <w:t>四季</w:t>
      </w:r>
      <w:r w:rsidR="00FE51C8">
        <w:rPr>
          <w:rFonts w:hint="eastAsia"/>
          <w:lang w:eastAsia="zh-HK"/>
        </w:rPr>
        <w:t>下跌</w:t>
      </w:r>
      <w:r w:rsidR="00B502D4">
        <w:rPr>
          <w:rFonts w:hint="eastAsia"/>
          <w:lang w:eastAsia="zh-HK"/>
        </w:rPr>
        <w:t>後</w:t>
      </w:r>
      <w:r w:rsidR="008102E9">
        <w:rPr>
          <w:rFonts w:hint="eastAsia"/>
          <w:lang w:eastAsia="zh-HK"/>
        </w:rPr>
        <w:t>恢復溫</w:t>
      </w:r>
      <w:r w:rsidR="008102E9">
        <w:rPr>
          <w:rFonts w:hint="eastAsia"/>
        </w:rPr>
        <w:t>和</w:t>
      </w:r>
      <w:r w:rsidR="008102E9">
        <w:rPr>
          <w:rFonts w:hint="eastAsia"/>
          <w:lang w:eastAsia="zh-HK"/>
        </w:rPr>
        <w:t>增長</w:t>
      </w:r>
      <w:r w:rsidR="00B502D4">
        <w:rPr>
          <w:rFonts w:hint="eastAsia"/>
          <w:lang w:eastAsia="zh-HK"/>
        </w:rPr>
        <w:t>。</w:t>
      </w:r>
      <w:r w:rsidR="00233510" w:rsidRPr="00C72B60">
        <w:rPr>
          <w:rFonts w:hint="eastAsia"/>
          <w:lang w:eastAsia="zh-HK"/>
        </w:rPr>
        <w:t>受惠</w:t>
      </w:r>
      <w:r w:rsidR="00233510">
        <w:rPr>
          <w:rFonts w:hint="eastAsia"/>
          <w:lang w:eastAsia="zh-HK"/>
        </w:rPr>
        <w:t>於</w:t>
      </w:r>
      <w:r w:rsidR="00233510" w:rsidRPr="00C72B60">
        <w:rPr>
          <w:rFonts w:hint="eastAsia"/>
          <w:lang w:eastAsia="zh-HK"/>
        </w:rPr>
        <w:t>購置機器、設備及知識產權產品的開支急升</w:t>
      </w:r>
      <w:r w:rsidR="002F4FC1">
        <w:rPr>
          <w:rFonts w:hint="eastAsia"/>
          <w:lang w:eastAsia="zh-HK"/>
        </w:rPr>
        <w:t>，</w:t>
      </w:r>
      <w:r w:rsidR="002F4FC1">
        <w:rPr>
          <w:rFonts w:hint="eastAsia"/>
        </w:rPr>
        <w:t>整體投資開支</w:t>
      </w:r>
      <w:r w:rsidR="002F4FC1">
        <w:rPr>
          <w:rFonts w:hint="eastAsia"/>
          <w:lang w:eastAsia="zh-HK"/>
        </w:rPr>
        <w:t>進</w:t>
      </w:r>
      <w:r w:rsidR="002F4FC1">
        <w:rPr>
          <w:rFonts w:hint="eastAsia"/>
        </w:rPr>
        <w:t>一步</w:t>
      </w:r>
      <w:r w:rsidR="002F4FC1" w:rsidRPr="004F2ED2">
        <w:rPr>
          <w:rFonts w:hint="eastAsia"/>
          <w:lang w:eastAsia="zh-HK"/>
        </w:rPr>
        <w:t>上升</w:t>
      </w:r>
      <w:r w:rsidR="00B502D4">
        <w:rPr>
          <w:rFonts w:hint="eastAsia"/>
          <w:lang w:eastAsia="zh-HK"/>
        </w:rPr>
        <w:t>。</w:t>
      </w:r>
    </w:p>
    <w:p w14:paraId="09D1F7D1" w14:textId="12CC337E" w:rsidR="00624C05" w:rsidRDefault="00624C05" w:rsidP="00624C05">
      <w:r w:rsidRPr="002F2696">
        <w:rPr>
          <w:b/>
        </w:rPr>
        <w:t>1.</w:t>
      </w:r>
      <w:r>
        <w:rPr>
          <w:b/>
        </w:rPr>
        <w:t>2</w:t>
      </w:r>
      <w:r w:rsidRPr="00EB105A">
        <w:tab/>
      </w:r>
      <w:r w:rsidR="00B502D4" w:rsidRPr="004C248F">
        <w:rPr>
          <w:rFonts w:hint="eastAsia"/>
        </w:rPr>
        <w:t>實質本地生產總值在第</w:t>
      </w:r>
      <w:r w:rsidR="00B502D4">
        <w:rPr>
          <w:rFonts w:hint="eastAsia"/>
          <w:lang w:eastAsia="zh-HK"/>
        </w:rPr>
        <w:t>二</w:t>
      </w:r>
      <w:r w:rsidR="00B502D4" w:rsidRPr="004C248F">
        <w:rPr>
          <w:rFonts w:hint="eastAsia"/>
        </w:rPr>
        <w:t>季按年增長</w:t>
      </w:r>
      <w:r w:rsidR="00B502D4" w:rsidRPr="00A46BDC">
        <w:t>3.1%</w:t>
      </w:r>
      <w:r w:rsidR="00B502D4" w:rsidRPr="004C248F">
        <w:rPr>
          <w:rFonts w:hint="eastAsia"/>
        </w:rPr>
        <w:t>(</w:t>
      </w:r>
      <w:r w:rsidR="00B502D4" w:rsidRPr="00A46BDC">
        <w:rPr>
          <w:rFonts w:hint="eastAsia"/>
        </w:rPr>
        <w:t>與預先估計相同</w:t>
      </w:r>
      <w:r w:rsidR="00B502D4" w:rsidRPr="004C248F">
        <w:rPr>
          <w:rFonts w:hint="eastAsia"/>
        </w:rPr>
        <w:t>)</w:t>
      </w:r>
      <w:r w:rsidR="00B502D4" w:rsidRPr="004C248F">
        <w:rPr>
          <w:rFonts w:hint="eastAsia"/>
        </w:rPr>
        <w:t>，</w:t>
      </w:r>
      <w:r w:rsidR="00B502D4" w:rsidRPr="00A46BDC">
        <w:rPr>
          <w:rFonts w:hint="eastAsia"/>
          <w:lang w:val="en-GB" w:eastAsia="zh-HK"/>
        </w:rPr>
        <w:t>輕微</w:t>
      </w:r>
      <w:r w:rsidR="00EC69E3" w:rsidRPr="00A46BDC">
        <w:rPr>
          <w:rFonts w:hint="eastAsia"/>
          <w:lang w:val="en-GB" w:eastAsia="zh-HK"/>
        </w:rPr>
        <w:t>高於上一季</w:t>
      </w:r>
      <w:r w:rsidR="00B502D4">
        <w:rPr>
          <w:rFonts w:hint="eastAsia"/>
        </w:rPr>
        <w:t>3.0</w:t>
      </w:r>
      <w:r w:rsidR="00B502D4" w:rsidRPr="004C248F">
        <w:rPr>
          <w:rFonts w:hint="eastAsia"/>
        </w:rPr>
        <w:t>%</w:t>
      </w:r>
      <w:r w:rsidR="00DD25FA">
        <w:rPr>
          <w:rFonts w:hint="eastAsia"/>
        </w:rPr>
        <w:t>的增幅</w:t>
      </w:r>
      <w:r w:rsidR="00B502D4" w:rsidRPr="004C248F">
        <w:rPr>
          <w:rFonts w:hint="eastAsia"/>
        </w:rPr>
        <w:t>。經季節性調整後按季比較，實質本地生產總值上升</w:t>
      </w:r>
      <w:r w:rsidR="00B502D4" w:rsidRPr="00A46BDC">
        <w:t>0.4%</w:t>
      </w:r>
      <w:r w:rsidR="00B502D4" w:rsidRPr="004C248F">
        <w:rPr>
          <w:rFonts w:hint="eastAsia"/>
        </w:rPr>
        <w:t>(</w:t>
      </w:r>
      <w:r w:rsidR="00B502D4" w:rsidRPr="00A46BDC">
        <w:rPr>
          <w:rFonts w:hint="eastAsia"/>
        </w:rPr>
        <w:t>與預先估計相同</w:t>
      </w:r>
      <w:r w:rsidR="00B502D4" w:rsidRPr="004C248F">
        <w:rPr>
          <w:rFonts w:hint="eastAsia"/>
        </w:rPr>
        <w:t>)</w:t>
      </w:r>
      <w:r w:rsidR="00B502D4" w:rsidRPr="004C248F">
        <w:rPr>
          <w:rFonts w:hint="eastAsia"/>
        </w:rPr>
        <w:t>，上一季</w:t>
      </w:r>
      <w:r w:rsidR="00DB6523" w:rsidRPr="00DB6523">
        <w:rPr>
          <w:rFonts w:hint="eastAsia"/>
          <w:lang w:eastAsia="zh-HK"/>
        </w:rPr>
        <w:t>上升</w:t>
      </w:r>
      <w:r w:rsidR="00B502D4">
        <w:t>1.8</w:t>
      </w:r>
      <w:r w:rsidR="00B502D4" w:rsidRPr="004C248F">
        <w:rPr>
          <w:rFonts w:hint="eastAsia"/>
        </w:rPr>
        <w:t>%</w:t>
      </w:r>
      <w:r w:rsidR="00B502D4" w:rsidRPr="004C248F">
        <w:rPr>
          <w:rFonts w:hint="eastAsia"/>
        </w:rPr>
        <w:t>。</w:t>
      </w:r>
    </w:p>
    <w:p w14:paraId="68FBEFBC" w14:textId="4F08C1B8" w:rsidR="00624C05" w:rsidRDefault="001676AE" w:rsidP="00624C05">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eastAsia="zh-HK"/>
        </w:rPr>
      </w:pPr>
      <w:r w:rsidRPr="001676AE">
        <w:rPr>
          <w:noProof/>
        </w:rPr>
        <w:drawing>
          <wp:inline distT="0" distB="0" distL="0" distR="0" wp14:anchorId="3D478B20" wp14:editId="6BA0A4B9">
            <wp:extent cx="5760085" cy="3509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09010"/>
                    </a:xfrm>
                    <a:prstGeom prst="rect">
                      <a:avLst/>
                    </a:prstGeom>
                    <a:noFill/>
                    <a:ln>
                      <a:noFill/>
                    </a:ln>
                  </pic:spPr>
                </pic:pic>
              </a:graphicData>
            </a:graphic>
          </wp:inline>
        </w:drawing>
      </w:r>
    </w:p>
    <w:p w14:paraId="3A98882E" w14:textId="0E5D4A54" w:rsidR="00624C05" w:rsidRDefault="00624C05">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eastAsia="zh-HK"/>
        </w:rPr>
      </w:pPr>
      <w:r>
        <w:rPr>
          <w:rFonts w:eastAsia="華康中黑體"/>
          <w:lang w:eastAsia="zh-HK"/>
        </w:rPr>
        <w:br w:type="page"/>
      </w:r>
    </w:p>
    <w:p w14:paraId="4802767D" w14:textId="77777777" w:rsidR="00624C05" w:rsidRPr="00F46E57" w:rsidRDefault="00624C05" w:rsidP="00F01FAE">
      <w:pPr>
        <w:pStyle w:val="120"/>
        <w:rPr>
          <w:lang w:eastAsia="zh-HK"/>
        </w:rPr>
      </w:pPr>
      <w:r w:rsidRPr="00F46E57">
        <w:rPr>
          <w:rFonts w:hint="eastAsia"/>
          <w:lang w:eastAsia="zh-HK"/>
        </w:rPr>
        <w:t>對外貿易</w:t>
      </w:r>
    </w:p>
    <w:p w14:paraId="218870DB" w14:textId="4A41120D" w:rsidR="00624C05" w:rsidRPr="00F46E57" w:rsidRDefault="00624C05" w:rsidP="00624C05">
      <w:r w:rsidRPr="00F46E57">
        <w:rPr>
          <w:b/>
          <w:lang w:val="en-GB"/>
        </w:rPr>
        <w:t>1.</w:t>
      </w:r>
      <w:r w:rsidRPr="00F46E57">
        <w:rPr>
          <w:rFonts w:hint="eastAsia"/>
          <w:b/>
          <w:lang w:val="en-GB"/>
        </w:rPr>
        <w:t>3</w:t>
      </w:r>
      <w:r w:rsidRPr="00F46E57">
        <w:tab/>
      </w:r>
      <w:r w:rsidR="00B502D4" w:rsidRPr="00F46E57">
        <w:rPr>
          <w:rFonts w:hint="eastAsia"/>
        </w:rPr>
        <w:t>根據</w:t>
      </w:r>
      <w:r w:rsidR="00B502D4" w:rsidRPr="00F46E57">
        <w:rPr>
          <w:rFonts w:hint="eastAsia"/>
          <w:lang w:eastAsia="zh-HK"/>
        </w:rPr>
        <w:t>本地生</w:t>
      </w:r>
      <w:r w:rsidR="00B502D4" w:rsidRPr="00F46E57">
        <w:rPr>
          <w:rFonts w:hint="eastAsia"/>
        </w:rPr>
        <w:t>產</w:t>
      </w:r>
      <w:r w:rsidR="00B502D4" w:rsidRPr="00F46E57">
        <w:rPr>
          <w:rFonts w:hint="eastAsia"/>
          <w:lang w:eastAsia="zh-HK"/>
        </w:rPr>
        <w:t>總值</w:t>
      </w:r>
      <w:r w:rsidR="00B502D4" w:rsidRPr="00F46E57">
        <w:rPr>
          <w:rFonts w:hint="eastAsia"/>
        </w:rPr>
        <w:t>編製架構的</w:t>
      </w:r>
      <w:r w:rsidR="00B502D4" w:rsidRPr="00F46E57">
        <w:rPr>
          <w:rFonts w:hint="eastAsia"/>
          <w:i/>
        </w:rPr>
        <w:t>整體貨物出口</w:t>
      </w:r>
      <w:r w:rsidR="00B502D4" w:rsidRPr="00F46E57">
        <w:rPr>
          <w:rFonts w:hint="eastAsia"/>
          <w:lang w:val="en-GB"/>
        </w:rPr>
        <w:t>繼上一季按年實質</w:t>
      </w:r>
      <w:r w:rsidR="005D20E5">
        <w:rPr>
          <w:rFonts w:hint="eastAsia"/>
          <w:lang w:val="en-GB"/>
        </w:rPr>
        <w:t>上升</w:t>
      </w:r>
      <w:r w:rsidR="00B502D4" w:rsidRPr="00F46E57">
        <w:rPr>
          <w:lang w:val="en-GB"/>
        </w:rPr>
        <w:t>8.4</w:t>
      </w:r>
      <w:r w:rsidR="00B502D4" w:rsidRPr="00F46E57">
        <w:rPr>
          <w:rFonts w:hint="eastAsia"/>
          <w:lang w:val="en-GB"/>
        </w:rPr>
        <w:t>%</w:t>
      </w:r>
      <w:r w:rsidR="00B502D4" w:rsidRPr="00F46E57">
        <w:rPr>
          <w:rFonts w:hint="eastAsia"/>
          <w:lang w:val="en-GB"/>
        </w:rPr>
        <w:t>後，在二零二五年第</w:t>
      </w:r>
      <w:r w:rsidR="00B502D4" w:rsidRPr="00F46E57">
        <w:rPr>
          <w:rFonts w:hint="eastAsia"/>
          <w:lang w:val="en-GB" w:eastAsia="zh-HK"/>
        </w:rPr>
        <w:t>二</w:t>
      </w:r>
      <w:r w:rsidR="00B502D4" w:rsidRPr="00F46E57">
        <w:rPr>
          <w:rFonts w:hint="eastAsia"/>
          <w:lang w:val="en-GB"/>
        </w:rPr>
        <w:t>季</w:t>
      </w:r>
      <w:r w:rsidR="00E01D84">
        <w:rPr>
          <w:rFonts w:hint="eastAsia"/>
          <w:lang w:val="en-GB"/>
        </w:rPr>
        <w:t>的</w:t>
      </w:r>
      <w:r w:rsidR="00B502D4" w:rsidRPr="00F46E57">
        <w:rPr>
          <w:rFonts w:hint="eastAsia"/>
          <w:lang w:val="en-GB"/>
        </w:rPr>
        <w:t>增長加快至</w:t>
      </w:r>
      <w:r w:rsidR="00B502D4" w:rsidRPr="00A46BDC">
        <w:rPr>
          <w:lang w:val="en-GB"/>
        </w:rPr>
        <w:t>11.5%</w:t>
      </w:r>
      <w:r w:rsidR="00B502D4" w:rsidRPr="00F46E57">
        <w:rPr>
          <w:rFonts w:hint="eastAsia"/>
          <w:lang w:val="en-GB"/>
        </w:rPr>
        <w:t>。外部需求強韌，加上</w:t>
      </w:r>
      <w:r w:rsidR="00E749F4">
        <w:rPr>
          <w:rFonts w:hint="eastAsia"/>
          <w:lang w:val="en-GB" w:eastAsia="zh-HK"/>
        </w:rPr>
        <w:t>因</w:t>
      </w:r>
      <w:r w:rsidR="00E01D84" w:rsidRPr="00D358CE">
        <w:rPr>
          <w:rFonts w:hint="eastAsia"/>
        </w:rPr>
        <w:t>美國關稅</w:t>
      </w:r>
      <w:r w:rsidR="00E01D84">
        <w:rPr>
          <w:rFonts w:hint="eastAsia"/>
        </w:rPr>
        <w:t>措施暫時有所緩</w:t>
      </w:r>
      <w:r w:rsidR="00E01D84">
        <w:rPr>
          <w:rFonts w:hint="eastAsia"/>
          <w:lang w:val="en-HK"/>
        </w:rPr>
        <w:t>和</w:t>
      </w:r>
      <w:r w:rsidR="00E01D84">
        <w:rPr>
          <w:rFonts w:hint="eastAsia"/>
        </w:rPr>
        <w:t>而</w:t>
      </w:r>
      <w:r w:rsidR="00E01D84" w:rsidRPr="00D358CE">
        <w:rPr>
          <w:rFonts w:hint="eastAsia"/>
          <w:lang w:eastAsia="zh-HK"/>
        </w:rPr>
        <w:t>令部分</w:t>
      </w:r>
      <w:r w:rsidR="00E01D84" w:rsidRPr="00D358CE">
        <w:rPr>
          <w:rFonts w:hint="eastAsia"/>
        </w:rPr>
        <w:t>貨物搶先付運</w:t>
      </w:r>
      <w:r w:rsidR="00B502D4" w:rsidRPr="00F46E57">
        <w:rPr>
          <w:rFonts w:hint="eastAsia"/>
          <w:lang w:val="en-GB"/>
        </w:rPr>
        <w:t>，</w:t>
      </w:r>
      <w:r w:rsidR="00B502D4">
        <w:rPr>
          <w:rFonts w:hint="eastAsia"/>
          <w:lang w:val="en-GB" w:eastAsia="zh-HK"/>
        </w:rPr>
        <w:t>均</w:t>
      </w:r>
      <w:r w:rsidR="00B502D4" w:rsidRPr="00F46E57">
        <w:rPr>
          <w:rFonts w:hint="eastAsia"/>
          <w:lang w:val="en-GB" w:eastAsia="zh-HK"/>
        </w:rPr>
        <w:t>為</w:t>
      </w:r>
      <w:r w:rsidR="00B502D4" w:rsidRPr="00F46E57">
        <w:rPr>
          <w:rFonts w:hint="eastAsia"/>
          <w:lang w:val="en-GB"/>
        </w:rPr>
        <w:t>出口</w:t>
      </w:r>
      <w:r w:rsidR="00B502D4" w:rsidRPr="00F46E57">
        <w:rPr>
          <w:rFonts w:hint="eastAsia"/>
          <w:lang w:val="en-GB" w:eastAsia="zh-HK"/>
        </w:rPr>
        <w:t>表</w:t>
      </w:r>
      <w:r w:rsidR="00B502D4" w:rsidRPr="00F46E57">
        <w:rPr>
          <w:rFonts w:hint="eastAsia"/>
          <w:lang w:val="en-GB"/>
        </w:rPr>
        <w:t>現</w:t>
      </w:r>
      <w:r w:rsidR="00B502D4" w:rsidRPr="00F46E57">
        <w:rPr>
          <w:rFonts w:hint="eastAsia"/>
          <w:lang w:val="en-GB" w:eastAsia="zh-HK"/>
        </w:rPr>
        <w:t>提</w:t>
      </w:r>
      <w:r w:rsidR="00B502D4" w:rsidRPr="00F46E57">
        <w:rPr>
          <w:rFonts w:hint="eastAsia"/>
          <w:lang w:val="en-GB"/>
        </w:rPr>
        <w:t>供支持。</w:t>
      </w:r>
      <w:r w:rsidR="00D405C3">
        <w:rPr>
          <w:rFonts w:hint="eastAsia"/>
        </w:rPr>
        <w:t>參考</w:t>
      </w:r>
      <w:r w:rsidR="00B502D4" w:rsidRPr="00F46E57">
        <w:rPr>
          <w:rFonts w:hint="eastAsia"/>
        </w:rPr>
        <w:t>對外商品貿易統計數字</w:t>
      </w:r>
      <w:r w:rsidR="00D405C3">
        <w:rPr>
          <w:rFonts w:hint="eastAsia"/>
        </w:rPr>
        <w:t>並</w:t>
      </w:r>
      <w:r w:rsidR="00B502D4" w:rsidRPr="00F46E57">
        <w:rPr>
          <w:rFonts w:hint="eastAsia"/>
        </w:rPr>
        <w:t>按主要市場分析</w:t>
      </w:r>
      <w:r w:rsidR="00B502D4" w:rsidRPr="00F46E57">
        <w:rPr>
          <w:rFonts w:hint="eastAsia"/>
          <w:lang w:val="en-GB"/>
        </w:rPr>
        <w:t>，輸往內地的出口</w:t>
      </w:r>
      <w:r w:rsidR="00E749F4" w:rsidRPr="00E749F4">
        <w:rPr>
          <w:rFonts w:hint="eastAsia"/>
        </w:rPr>
        <w:t>繼續</w:t>
      </w:r>
      <w:r w:rsidR="00B502D4" w:rsidRPr="00F46E57">
        <w:rPr>
          <w:rFonts w:hint="eastAsia"/>
          <w:lang w:val="en-GB"/>
        </w:rPr>
        <w:t>錄得雙位數</w:t>
      </w:r>
      <w:r w:rsidR="00E749F4" w:rsidRPr="00E749F4">
        <w:rPr>
          <w:rFonts w:hint="eastAsia"/>
        </w:rPr>
        <w:t>升幅</w:t>
      </w:r>
      <w:r w:rsidR="00B502D4" w:rsidRPr="00F46E57">
        <w:rPr>
          <w:rFonts w:hint="eastAsia"/>
          <w:lang w:val="en-GB"/>
        </w:rPr>
        <w:t>。輸往東盟市場的出口</w:t>
      </w:r>
      <w:r w:rsidR="00B502D4" w:rsidRPr="00F46E57">
        <w:rPr>
          <w:rFonts w:hint="eastAsia"/>
          <w:lang w:eastAsia="zh-HK"/>
        </w:rPr>
        <w:t>進一步加快</w:t>
      </w:r>
      <w:r w:rsidR="00B502D4" w:rsidRPr="00F46E57">
        <w:rPr>
          <w:rFonts w:hint="eastAsia"/>
        </w:rPr>
        <w:t>，輸往</w:t>
      </w:r>
      <w:r w:rsidR="00B502D4" w:rsidRPr="00F46E57">
        <w:rPr>
          <w:rFonts w:hint="eastAsia"/>
          <w:lang w:eastAsia="zh-HK"/>
        </w:rPr>
        <w:t>大部分</w:t>
      </w:r>
      <w:r w:rsidR="00B502D4" w:rsidRPr="00F46E57">
        <w:rPr>
          <w:rFonts w:hint="eastAsia"/>
        </w:rPr>
        <w:t>亞洲高收入經濟體的出口</w:t>
      </w:r>
      <w:r w:rsidR="00865B5C">
        <w:rPr>
          <w:rFonts w:hint="eastAsia"/>
        </w:rPr>
        <w:t>錄得</w:t>
      </w:r>
      <w:r w:rsidR="00B502D4" w:rsidRPr="00F46E57">
        <w:rPr>
          <w:rFonts w:hint="eastAsia"/>
          <w:lang w:eastAsia="zh-HK"/>
        </w:rPr>
        <w:t>不同程度升幅</w:t>
      </w:r>
      <w:r w:rsidR="00B502D4" w:rsidRPr="00F46E57">
        <w:rPr>
          <w:rFonts w:hint="eastAsia"/>
        </w:rPr>
        <w:t>。</w:t>
      </w:r>
      <w:r w:rsidR="00B502D4" w:rsidRPr="00667967">
        <w:rPr>
          <w:rFonts w:hint="eastAsia"/>
        </w:rPr>
        <w:t>輸往美國的出口轉為下跌，輸往歐盟的出口進一步下跌。</w:t>
      </w:r>
    </w:p>
    <w:p w14:paraId="0A5E3410" w14:textId="4C102AF0" w:rsidR="00624C05" w:rsidRPr="00F46E57" w:rsidRDefault="00624C05" w:rsidP="00624C05">
      <w:pPr>
        <w:rPr>
          <w:color w:val="FF0000"/>
          <w:sz w:val="28"/>
          <w:szCs w:val="28"/>
        </w:rPr>
      </w:pPr>
      <w:r w:rsidRPr="00F46E57">
        <w:rPr>
          <w:rFonts w:hint="eastAsia"/>
          <w:b/>
          <w:lang w:val="en-GB"/>
        </w:rPr>
        <w:t>1</w:t>
      </w:r>
      <w:r w:rsidRPr="00F46E57">
        <w:rPr>
          <w:b/>
          <w:lang w:val="en-GB"/>
        </w:rPr>
        <w:t>.</w:t>
      </w:r>
      <w:r w:rsidRPr="00F46E57">
        <w:rPr>
          <w:rFonts w:hint="eastAsia"/>
          <w:b/>
          <w:lang w:val="en-GB"/>
        </w:rPr>
        <w:t>4</w:t>
      </w:r>
      <w:r w:rsidRPr="00F46E57">
        <w:rPr>
          <w:lang w:val="en-GB"/>
        </w:rPr>
        <w:tab/>
      </w:r>
      <w:r w:rsidR="00B502D4" w:rsidRPr="00F46E57">
        <w:rPr>
          <w:rFonts w:hint="eastAsia"/>
          <w:i/>
          <w:lang w:val="en-GB"/>
        </w:rPr>
        <w:t>服務輸出</w:t>
      </w:r>
      <w:r w:rsidR="00B502D4" w:rsidRPr="00F46E57">
        <w:rPr>
          <w:rFonts w:hint="eastAsia"/>
          <w:lang w:val="en-GB"/>
        </w:rPr>
        <w:t>繼上一季按年實質增長</w:t>
      </w:r>
      <w:r w:rsidR="00B502D4" w:rsidRPr="00F46E57">
        <w:t> </w:t>
      </w:r>
      <w:r w:rsidR="00B502D4" w:rsidRPr="00F46E57">
        <w:rPr>
          <w:rFonts w:hint="eastAsia"/>
        </w:rPr>
        <w:t>6.3</w:t>
      </w:r>
      <w:r w:rsidR="00B502D4" w:rsidRPr="00F46E57">
        <w:rPr>
          <w:rFonts w:hint="eastAsia"/>
          <w:lang w:val="en-GB"/>
        </w:rPr>
        <w:t>%</w:t>
      </w:r>
      <w:r w:rsidR="00B502D4" w:rsidRPr="00F46E57">
        <w:rPr>
          <w:rFonts w:hint="eastAsia"/>
          <w:lang w:val="en-GB"/>
        </w:rPr>
        <w:t>後，在第</w:t>
      </w:r>
      <w:r w:rsidR="00B502D4" w:rsidRPr="00F46E57">
        <w:rPr>
          <w:rFonts w:hint="eastAsia"/>
          <w:lang w:val="en-GB" w:eastAsia="zh-HK"/>
        </w:rPr>
        <w:t>二</w:t>
      </w:r>
      <w:r w:rsidR="00B502D4" w:rsidRPr="00F46E57">
        <w:rPr>
          <w:rFonts w:hint="eastAsia"/>
          <w:lang w:val="en-GB"/>
        </w:rPr>
        <w:t>季繼續</w:t>
      </w:r>
      <w:r w:rsidR="00B502D4" w:rsidRPr="00F46E57">
        <w:rPr>
          <w:rFonts w:hint="eastAsia"/>
          <w:lang w:val="en-GB" w:eastAsia="zh-HK"/>
        </w:rPr>
        <w:t>顯</w:t>
      </w:r>
      <w:r w:rsidR="00B502D4" w:rsidRPr="00F46E57">
        <w:rPr>
          <w:rFonts w:hint="eastAsia"/>
          <w:lang w:val="en-GB"/>
        </w:rPr>
        <w:t>著</w:t>
      </w:r>
      <w:r w:rsidR="001F7A50">
        <w:rPr>
          <w:rFonts w:hint="eastAsia"/>
          <w:lang w:val="en-GB"/>
        </w:rPr>
        <w:t>擴張</w:t>
      </w:r>
      <w:r w:rsidR="00B502D4" w:rsidRPr="00A46BDC">
        <w:rPr>
          <w:lang w:val="en-GB"/>
        </w:rPr>
        <w:t>7.5%</w:t>
      </w:r>
      <w:r w:rsidR="00B502D4" w:rsidRPr="00F46E57">
        <w:rPr>
          <w:rFonts w:hint="eastAsia"/>
          <w:lang w:val="en-GB"/>
        </w:rPr>
        <w:t>。所有主要服務組別的輸出均進一步</w:t>
      </w:r>
      <w:r w:rsidR="00F554FF" w:rsidRPr="00F554FF">
        <w:rPr>
          <w:rFonts w:hint="eastAsia"/>
          <w:lang w:val="en-GB"/>
        </w:rPr>
        <w:t>增加</w:t>
      </w:r>
      <w:r w:rsidR="00B502D4" w:rsidRPr="00F46E57">
        <w:rPr>
          <w:rFonts w:hint="eastAsia"/>
          <w:lang w:val="en-GB"/>
        </w:rPr>
        <w:t>。具體而言，</w:t>
      </w:r>
      <w:r w:rsidR="001F3B88" w:rsidRPr="00A46BDC">
        <w:rPr>
          <w:rFonts w:hint="eastAsia"/>
          <w:lang w:val="en-GB"/>
        </w:rPr>
        <w:t>受惠於訪港旅遊業強勁增長和跨境運輸量</w:t>
      </w:r>
      <w:r w:rsidR="0020408A" w:rsidRPr="00A46BDC">
        <w:rPr>
          <w:rFonts w:hint="eastAsia"/>
          <w:lang w:val="en-GB"/>
        </w:rPr>
        <w:t>持續</w:t>
      </w:r>
      <w:r w:rsidR="001F3B88" w:rsidRPr="00A46BDC">
        <w:rPr>
          <w:rFonts w:hint="eastAsia"/>
          <w:lang w:val="en-GB"/>
        </w:rPr>
        <w:t>擴張，旅遊服務輸出和運輸服務輸出進一步上升</w:t>
      </w:r>
      <w:r w:rsidR="00B502D4" w:rsidRPr="00F46E57">
        <w:rPr>
          <w:rFonts w:hint="eastAsia"/>
          <w:lang w:val="en-GB"/>
        </w:rPr>
        <w:t>。</w:t>
      </w:r>
      <w:r w:rsidR="009C4BDB" w:rsidRPr="009C4BDB">
        <w:rPr>
          <w:rFonts w:hint="eastAsia"/>
          <w:lang w:val="en-GB"/>
        </w:rPr>
        <w:t>金融及相關商業服務活動在</w:t>
      </w:r>
      <w:r w:rsidR="00B502D4" w:rsidRPr="00F46E57">
        <w:rPr>
          <w:rFonts w:hint="eastAsia"/>
          <w:lang w:val="en-GB"/>
        </w:rPr>
        <w:t>本</w:t>
      </w:r>
      <w:r w:rsidR="00F554FF">
        <w:rPr>
          <w:rFonts w:hint="eastAsia"/>
          <w:lang w:val="en-GB" w:eastAsia="zh-HK"/>
        </w:rPr>
        <w:t>地</w:t>
      </w:r>
      <w:r w:rsidR="00B502D4" w:rsidRPr="00F46E57">
        <w:rPr>
          <w:rFonts w:hint="eastAsia"/>
          <w:lang w:val="en-GB"/>
        </w:rPr>
        <w:t>股市</w:t>
      </w:r>
      <w:r w:rsidR="009C4BDB" w:rsidRPr="003F7780">
        <w:rPr>
          <w:rFonts w:hint="eastAsia"/>
          <w:lang w:val="en-GB"/>
        </w:rPr>
        <w:t>暢旺下表現活躍</w:t>
      </w:r>
      <w:r w:rsidR="00B502D4" w:rsidRPr="00F46E57">
        <w:rPr>
          <w:rFonts w:hint="eastAsia"/>
          <w:lang w:val="en-GB"/>
        </w:rPr>
        <w:t>，</w:t>
      </w:r>
      <w:r w:rsidR="00F554FF">
        <w:rPr>
          <w:rFonts w:hint="eastAsia"/>
          <w:lang w:val="en-GB" w:eastAsia="zh-HK"/>
        </w:rPr>
        <w:t>支持</w:t>
      </w:r>
      <w:r w:rsidR="00B502D4" w:rsidRPr="00F46E57">
        <w:rPr>
          <w:rFonts w:hint="eastAsia"/>
          <w:lang w:val="en-GB"/>
        </w:rPr>
        <w:t>金融服務輸出和商用及其他服務輸出繼續增長。</w:t>
      </w:r>
    </w:p>
    <w:p w14:paraId="5B000D9F" w14:textId="77777777" w:rsidR="00624C05" w:rsidRPr="00F46E57" w:rsidRDefault="00624C05" w:rsidP="00F01FAE"/>
    <w:p w14:paraId="2ED5BFDA" w14:textId="627BA88B" w:rsidR="00624C05" w:rsidRDefault="00624C05" w:rsidP="00D300A4">
      <w:pPr>
        <w:pStyle w:val="afffa"/>
        <w:rPr>
          <w:b/>
        </w:rPr>
      </w:pPr>
      <w:r w:rsidRPr="000B0817">
        <w:rPr>
          <w:rFonts w:hint="eastAsia"/>
          <w:kern w:val="2"/>
          <w:lang w:val="en-GB"/>
        </w:rPr>
        <w:t>表</w:t>
      </w:r>
      <w:r w:rsidRPr="000B0817">
        <w:rPr>
          <w:b/>
          <w:kern w:val="2"/>
          <w:lang w:val="en-GB"/>
        </w:rPr>
        <w:t>1.1</w:t>
      </w:r>
      <w:r w:rsidRPr="000B0817">
        <w:rPr>
          <w:rFonts w:hint="eastAsia"/>
          <w:b/>
          <w:kern w:val="2"/>
          <w:lang w:val="en-GB"/>
        </w:rPr>
        <w:t>：</w:t>
      </w:r>
      <w:r w:rsidRPr="000B0817">
        <w:t>本地生產總值與其主要開支組成項目及主要價格指標</w:t>
      </w:r>
      <w:r w:rsidRPr="000B0817">
        <w:br/>
      </w:r>
      <w:r w:rsidRPr="000B0817">
        <w:rPr>
          <w:b/>
        </w:rPr>
        <w:t>(</w:t>
      </w:r>
      <w:r w:rsidRPr="000B0817">
        <w:t>與一年前比較的增減百分率</w:t>
      </w:r>
      <w:r w:rsidRPr="000B0817">
        <w:rPr>
          <w:b/>
        </w:rPr>
        <w:t>)</w:t>
      </w:r>
    </w:p>
    <w:tbl>
      <w:tblPr>
        <w:tblW w:w="5000" w:type="pct"/>
        <w:jc w:val="center"/>
        <w:tblLayout w:type="fixed"/>
        <w:tblCellMar>
          <w:left w:w="28" w:type="dxa"/>
          <w:right w:w="28" w:type="dxa"/>
        </w:tblCellMar>
        <w:tblLook w:val="0000" w:firstRow="0" w:lastRow="0" w:firstColumn="0" w:lastColumn="0" w:noHBand="0" w:noVBand="0"/>
      </w:tblPr>
      <w:tblGrid>
        <w:gridCol w:w="2837"/>
        <w:gridCol w:w="1130"/>
        <w:gridCol w:w="851"/>
        <w:gridCol w:w="851"/>
        <w:gridCol w:w="851"/>
        <w:gridCol w:w="851"/>
        <w:gridCol w:w="851"/>
        <w:gridCol w:w="849"/>
      </w:tblGrid>
      <w:tr w:rsidR="00624C05" w:rsidRPr="002152AF" w14:paraId="2E431288" w14:textId="77777777" w:rsidTr="0069553F">
        <w:trPr>
          <w:jc w:val="center"/>
        </w:trPr>
        <w:tc>
          <w:tcPr>
            <w:tcW w:w="1564" w:type="pct"/>
          </w:tcPr>
          <w:p w14:paraId="592DCDBC" w14:textId="77777777" w:rsidR="00624C05" w:rsidRPr="002152AF" w:rsidRDefault="00624C05" w:rsidP="00F01FAE">
            <w:pPr>
              <w:keepNext/>
              <w:tabs>
                <w:tab w:val="clear" w:pos="936"/>
              </w:tabs>
              <w:snapToGrid w:val="0"/>
              <w:spacing w:afterLines="50" w:after="180" w:line="240" w:lineRule="atLeast"/>
              <w:jc w:val="center"/>
              <w:rPr>
                <w:spacing w:val="0"/>
                <w:sz w:val="20"/>
              </w:rPr>
            </w:pPr>
          </w:p>
        </w:tc>
        <w:tc>
          <w:tcPr>
            <w:tcW w:w="623" w:type="pct"/>
          </w:tcPr>
          <w:p w14:paraId="4D3A8056" w14:textId="77777777" w:rsidR="00624C05" w:rsidRPr="002152AF" w:rsidRDefault="00624C05" w:rsidP="00F01FAE">
            <w:pPr>
              <w:keepNext/>
              <w:tabs>
                <w:tab w:val="clear" w:pos="936"/>
                <w:tab w:val="clear" w:pos="1560"/>
                <w:tab w:val="clear" w:pos="2184"/>
                <w:tab w:val="clear" w:pos="2808"/>
                <w:tab w:val="decimal" w:pos="525"/>
              </w:tabs>
              <w:snapToGrid w:val="0"/>
              <w:spacing w:afterLines="50" w:after="180" w:line="240" w:lineRule="atLeast"/>
              <w:jc w:val="center"/>
              <w:rPr>
                <w:spacing w:val="0"/>
                <w:sz w:val="20"/>
              </w:rPr>
            </w:pPr>
            <w:r w:rsidRPr="002152AF">
              <w:rPr>
                <w:rFonts w:hint="eastAsia"/>
                <w:spacing w:val="0"/>
                <w:sz w:val="18"/>
                <w:u w:val="single"/>
              </w:rPr>
              <w:t>二零二</w:t>
            </w:r>
            <w:r>
              <w:rPr>
                <w:rFonts w:hint="eastAsia"/>
                <w:spacing w:val="0"/>
                <w:sz w:val="18"/>
                <w:u w:val="single"/>
              </w:rPr>
              <w:t>四</w:t>
            </w:r>
            <w:r w:rsidRPr="002152AF">
              <w:rPr>
                <w:rFonts w:hint="eastAsia"/>
                <w:spacing w:val="0"/>
                <w:sz w:val="18"/>
                <w:u w:val="single"/>
              </w:rPr>
              <w:t>年</w:t>
            </w:r>
            <w:r w:rsidRPr="002152AF">
              <w:rPr>
                <w:spacing w:val="0"/>
                <w:sz w:val="18"/>
                <w:vertAlign w:val="superscript"/>
              </w:rPr>
              <w:t>#</w:t>
            </w:r>
          </w:p>
        </w:tc>
        <w:tc>
          <w:tcPr>
            <w:tcW w:w="1876" w:type="pct"/>
            <w:gridSpan w:val="4"/>
          </w:tcPr>
          <w:p w14:paraId="585A3151" w14:textId="77777777" w:rsidR="00624C05" w:rsidRPr="002152AF" w:rsidRDefault="00624C05" w:rsidP="00F01FAE">
            <w:pPr>
              <w:keepNext/>
              <w:tabs>
                <w:tab w:val="clear" w:pos="936"/>
                <w:tab w:val="clear" w:pos="1560"/>
                <w:tab w:val="clear" w:pos="2184"/>
                <w:tab w:val="clear" w:pos="2808"/>
              </w:tabs>
              <w:snapToGrid w:val="0"/>
              <w:spacing w:afterLines="50" w:after="180" w:line="240" w:lineRule="atLeast"/>
              <w:jc w:val="center"/>
              <w:rPr>
                <w:spacing w:val="0"/>
                <w:sz w:val="18"/>
                <w:u w:val="single"/>
              </w:rPr>
            </w:pPr>
            <w:r w:rsidRPr="002152AF">
              <w:rPr>
                <w:rFonts w:hint="eastAsia"/>
                <w:spacing w:val="0"/>
                <w:sz w:val="18"/>
                <w:u w:val="single"/>
              </w:rPr>
              <w:t>二零</w:t>
            </w:r>
            <w:r w:rsidRPr="002152AF">
              <w:rPr>
                <w:rFonts w:hint="eastAsia"/>
                <w:spacing w:val="0"/>
                <w:sz w:val="18"/>
                <w:u w:val="single"/>
                <w:lang w:eastAsia="zh-HK"/>
              </w:rPr>
              <w:t>二</w:t>
            </w:r>
            <w:r>
              <w:rPr>
                <w:rFonts w:hint="eastAsia"/>
                <w:spacing w:val="0"/>
                <w:sz w:val="18"/>
                <w:u w:val="single"/>
              </w:rPr>
              <w:t>四</w:t>
            </w:r>
            <w:r w:rsidRPr="002152AF">
              <w:rPr>
                <w:rFonts w:hint="eastAsia"/>
                <w:spacing w:val="0"/>
                <w:sz w:val="18"/>
                <w:u w:val="single"/>
              </w:rPr>
              <w:t>年</w:t>
            </w:r>
          </w:p>
        </w:tc>
        <w:tc>
          <w:tcPr>
            <w:tcW w:w="937" w:type="pct"/>
            <w:gridSpan w:val="2"/>
          </w:tcPr>
          <w:p w14:paraId="1722D49C" w14:textId="77777777" w:rsidR="00624C05" w:rsidRPr="002152AF" w:rsidRDefault="00624C05" w:rsidP="00F01FAE">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lang w:eastAsia="zh-HK"/>
              </w:rPr>
            </w:pPr>
            <w:r w:rsidRPr="002152AF">
              <w:rPr>
                <w:rFonts w:hint="eastAsia"/>
                <w:spacing w:val="0"/>
                <w:sz w:val="18"/>
                <w:u w:val="single"/>
                <w:lang w:eastAsia="zh-HK"/>
              </w:rPr>
              <w:t>二零二</w:t>
            </w:r>
            <w:r>
              <w:rPr>
                <w:rFonts w:hint="eastAsia"/>
                <w:spacing w:val="0"/>
                <w:sz w:val="18"/>
                <w:u w:val="single"/>
              </w:rPr>
              <w:t>五</w:t>
            </w:r>
            <w:r w:rsidRPr="002152AF">
              <w:rPr>
                <w:rFonts w:hint="eastAsia"/>
                <w:spacing w:val="0"/>
                <w:sz w:val="18"/>
                <w:u w:val="single"/>
                <w:lang w:eastAsia="zh-HK"/>
              </w:rPr>
              <w:t>年</w:t>
            </w:r>
          </w:p>
        </w:tc>
      </w:tr>
      <w:tr w:rsidR="001C2B1B" w:rsidRPr="002152AF" w14:paraId="35F7A772" w14:textId="77777777" w:rsidTr="00CC0729">
        <w:trPr>
          <w:jc w:val="center"/>
        </w:trPr>
        <w:tc>
          <w:tcPr>
            <w:tcW w:w="1564" w:type="pct"/>
          </w:tcPr>
          <w:p w14:paraId="5E2AA52D" w14:textId="77777777" w:rsidR="00624C05" w:rsidRPr="002152AF" w:rsidRDefault="00624C05" w:rsidP="00F01FAE">
            <w:pPr>
              <w:keepNext/>
              <w:tabs>
                <w:tab w:val="clear" w:pos="936"/>
              </w:tabs>
              <w:snapToGrid w:val="0"/>
              <w:spacing w:afterLines="50" w:after="180" w:line="240" w:lineRule="atLeast"/>
              <w:jc w:val="center"/>
              <w:rPr>
                <w:i/>
                <w:spacing w:val="0"/>
                <w:sz w:val="20"/>
              </w:rPr>
            </w:pPr>
            <w:r w:rsidRPr="002152AF">
              <w:rPr>
                <w:spacing w:val="0"/>
                <w:sz w:val="20"/>
              </w:rPr>
              <w:br w:type="page"/>
            </w:r>
          </w:p>
        </w:tc>
        <w:tc>
          <w:tcPr>
            <w:tcW w:w="623" w:type="pct"/>
          </w:tcPr>
          <w:p w14:paraId="250F8AE9" w14:textId="77777777" w:rsidR="00624C05" w:rsidRPr="002152AF" w:rsidRDefault="00624C05" w:rsidP="00F01FAE">
            <w:pPr>
              <w:keepNext/>
              <w:tabs>
                <w:tab w:val="clear" w:pos="936"/>
                <w:tab w:val="clear" w:pos="1560"/>
                <w:tab w:val="clear" w:pos="2184"/>
                <w:tab w:val="clear" w:pos="2808"/>
                <w:tab w:val="decimal" w:pos="525"/>
              </w:tabs>
              <w:snapToGrid w:val="0"/>
              <w:spacing w:afterLines="50" w:after="180" w:line="240" w:lineRule="atLeast"/>
              <w:jc w:val="center"/>
              <w:rPr>
                <w:spacing w:val="0"/>
                <w:sz w:val="20"/>
              </w:rPr>
            </w:pPr>
          </w:p>
        </w:tc>
        <w:tc>
          <w:tcPr>
            <w:tcW w:w="469" w:type="pct"/>
          </w:tcPr>
          <w:p w14:paraId="6050E522" w14:textId="77777777" w:rsidR="00624C05" w:rsidRPr="002152AF" w:rsidRDefault="00624C05" w:rsidP="00F01FAE">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rPr>
              <w:t>第一季</w:t>
            </w:r>
            <w:r w:rsidRPr="002152AF">
              <w:rPr>
                <w:spacing w:val="0"/>
                <w:sz w:val="18"/>
                <w:vertAlign w:val="superscript"/>
              </w:rPr>
              <w:t>#</w:t>
            </w:r>
          </w:p>
        </w:tc>
        <w:tc>
          <w:tcPr>
            <w:tcW w:w="469" w:type="pct"/>
          </w:tcPr>
          <w:p w14:paraId="1A73370D" w14:textId="77777777" w:rsidR="00624C05" w:rsidRPr="002152AF" w:rsidRDefault="00624C05" w:rsidP="00F01FAE">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rPr>
              <w:t>第</w:t>
            </w:r>
            <w:r w:rsidRPr="002152AF">
              <w:rPr>
                <w:rFonts w:hint="eastAsia"/>
                <w:spacing w:val="0"/>
                <w:sz w:val="18"/>
                <w:u w:val="single"/>
                <w:lang w:eastAsia="zh-HK"/>
              </w:rPr>
              <w:t>二</w:t>
            </w:r>
            <w:r w:rsidRPr="002152AF">
              <w:rPr>
                <w:rFonts w:hint="eastAsia"/>
                <w:spacing w:val="0"/>
                <w:sz w:val="18"/>
                <w:u w:val="single"/>
              </w:rPr>
              <w:t>季</w:t>
            </w:r>
            <w:r w:rsidRPr="002152AF">
              <w:rPr>
                <w:spacing w:val="0"/>
                <w:sz w:val="18"/>
                <w:vertAlign w:val="superscript"/>
              </w:rPr>
              <w:t>#</w:t>
            </w:r>
          </w:p>
        </w:tc>
        <w:tc>
          <w:tcPr>
            <w:tcW w:w="469" w:type="pct"/>
          </w:tcPr>
          <w:p w14:paraId="51139E33" w14:textId="77777777" w:rsidR="00624C05" w:rsidRPr="002152AF" w:rsidRDefault="00624C05" w:rsidP="00F01FAE">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rPr>
              <w:t>第三季</w:t>
            </w:r>
            <w:r w:rsidRPr="002152AF">
              <w:rPr>
                <w:spacing w:val="0"/>
                <w:sz w:val="18"/>
                <w:vertAlign w:val="superscript"/>
              </w:rPr>
              <w:t>#</w:t>
            </w:r>
          </w:p>
        </w:tc>
        <w:tc>
          <w:tcPr>
            <w:tcW w:w="469" w:type="pct"/>
          </w:tcPr>
          <w:p w14:paraId="78A8F85E" w14:textId="77777777" w:rsidR="00624C05" w:rsidRPr="002152AF" w:rsidRDefault="00624C05" w:rsidP="00F01FAE">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rPr>
              <w:t>第四季</w:t>
            </w:r>
            <w:r w:rsidRPr="002152AF">
              <w:rPr>
                <w:spacing w:val="0"/>
                <w:sz w:val="18"/>
                <w:vertAlign w:val="superscript"/>
              </w:rPr>
              <w:t>#</w:t>
            </w:r>
          </w:p>
        </w:tc>
        <w:tc>
          <w:tcPr>
            <w:tcW w:w="469" w:type="pct"/>
          </w:tcPr>
          <w:p w14:paraId="054D394B" w14:textId="77777777" w:rsidR="00624C05" w:rsidRPr="002152AF" w:rsidRDefault="00624C05" w:rsidP="00F01FAE">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lang w:eastAsia="zh-HK"/>
              </w:rPr>
              <w:t>第一季</w:t>
            </w:r>
            <w:r w:rsidRPr="002152AF">
              <w:rPr>
                <w:rFonts w:hint="eastAsia"/>
                <w:spacing w:val="0"/>
                <w:sz w:val="18"/>
                <w:vertAlign w:val="superscript"/>
              </w:rPr>
              <w:t>#</w:t>
            </w:r>
          </w:p>
        </w:tc>
        <w:tc>
          <w:tcPr>
            <w:tcW w:w="469" w:type="pct"/>
          </w:tcPr>
          <w:p w14:paraId="7E9BB18F" w14:textId="77777777" w:rsidR="00624C05" w:rsidRPr="002152AF" w:rsidRDefault="00624C05" w:rsidP="00F01FAE">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lang w:eastAsia="zh-HK"/>
              </w:rPr>
            </w:pPr>
            <w:r>
              <w:rPr>
                <w:rFonts w:hint="eastAsia"/>
                <w:spacing w:val="0"/>
                <w:sz w:val="18"/>
                <w:u w:val="single"/>
                <w:lang w:eastAsia="zh-HK"/>
              </w:rPr>
              <w:t>第二季</w:t>
            </w:r>
            <w:r w:rsidRPr="00BB4986">
              <w:rPr>
                <w:rFonts w:hint="eastAsia"/>
                <w:spacing w:val="0"/>
                <w:sz w:val="18"/>
                <w:vertAlign w:val="superscript"/>
              </w:rPr>
              <w:t>#</w:t>
            </w:r>
          </w:p>
        </w:tc>
      </w:tr>
      <w:tr w:rsidR="001C2B1B" w:rsidRPr="002152AF" w14:paraId="557B4E25" w14:textId="77777777" w:rsidTr="00CC0729">
        <w:trPr>
          <w:jc w:val="center"/>
        </w:trPr>
        <w:tc>
          <w:tcPr>
            <w:tcW w:w="1564" w:type="pct"/>
          </w:tcPr>
          <w:p w14:paraId="78DF9AD9" w14:textId="77777777" w:rsidR="00624C05" w:rsidRPr="002152AF" w:rsidRDefault="00624C05" w:rsidP="00F01FAE">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0"/>
                <w:sz w:val="20"/>
              </w:rPr>
            </w:pPr>
            <w:r w:rsidRPr="002152AF">
              <w:rPr>
                <w:rFonts w:hAnsi="華康細明體" w:hint="eastAsia"/>
                <w:i/>
                <w:spacing w:val="0"/>
                <w:sz w:val="20"/>
              </w:rPr>
              <w:t>本地生產總值與其主要開支</w:t>
            </w:r>
            <w:r w:rsidRPr="002152AF">
              <w:rPr>
                <w:rFonts w:hAnsi="華康細明體"/>
                <w:i/>
                <w:spacing w:val="0"/>
                <w:sz w:val="20"/>
              </w:rPr>
              <w:br/>
            </w:r>
            <w:r w:rsidRPr="002152AF">
              <w:rPr>
                <w:rFonts w:hAnsi="華康細明體" w:hint="eastAsia"/>
                <w:i/>
                <w:spacing w:val="0"/>
                <w:sz w:val="20"/>
                <w:u w:val="single"/>
              </w:rPr>
              <w:t>組成項目的實質增減百分率</w:t>
            </w:r>
          </w:p>
        </w:tc>
        <w:tc>
          <w:tcPr>
            <w:tcW w:w="623" w:type="pct"/>
          </w:tcPr>
          <w:p w14:paraId="35448040" w14:textId="77777777" w:rsidR="00624C05" w:rsidRPr="002152AF" w:rsidRDefault="00624C05" w:rsidP="00F01FAE">
            <w:pPr>
              <w:keepNext/>
              <w:tabs>
                <w:tab w:val="clear" w:pos="936"/>
                <w:tab w:val="clear" w:pos="1560"/>
                <w:tab w:val="clear" w:pos="2184"/>
                <w:tab w:val="clear" w:pos="2808"/>
                <w:tab w:val="decimal" w:pos="501"/>
              </w:tabs>
              <w:snapToGrid w:val="0"/>
              <w:spacing w:after="0" w:line="240" w:lineRule="atLeast"/>
              <w:jc w:val="left"/>
              <w:textAlignment w:val="auto"/>
              <w:rPr>
                <w:snapToGrid w:val="0"/>
                <w:spacing w:val="0"/>
                <w:kern w:val="2"/>
                <w:sz w:val="18"/>
                <w:szCs w:val="18"/>
                <w:lang w:val="en-GB"/>
              </w:rPr>
            </w:pPr>
          </w:p>
        </w:tc>
        <w:tc>
          <w:tcPr>
            <w:tcW w:w="469" w:type="pct"/>
          </w:tcPr>
          <w:p w14:paraId="1FF8F630" w14:textId="77777777" w:rsidR="00624C05" w:rsidRPr="002152AF" w:rsidRDefault="00624C05" w:rsidP="00F01FAE">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469" w:type="pct"/>
          </w:tcPr>
          <w:p w14:paraId="2D09483C" w14:textId="77777777" w:rsidR="00624C05" w:rsidRPr="002152AF" w:rsidRDefault="00624C05" w:rsidP="00F01FAE">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469" w:type="pct"/>
          </w:tcPr>
          <w:p w14:paraId="5824F37F" w14:textId="77777777" w:rsidR="00624C05" w:rsidRPr="002152AF" w:rsidRDefault="00624C05" w:rsidP="00F01FAE">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469" w:type="pct"/>
          </w:tcPr>
          <w:p w14:paraId="1C9E36D7" w14:textId="77777777" w:rsidR="00624C05" w:rsidRPr="002152AF" w:rsidRDefault="00624C05" w:rsidP="00F01FAE">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469" w:type="pct"/>
          </w:tcPr>
          <w:p w14:paraId="7CAA9890" w14:textId="77777777" w:rsidR="00624C05" w:rsidRPr="002152AF" w:rsidRDefault="00624C05" w:rsidP="00F01FAE">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469" w:type="pct"/>
          </w:tcPr>
          <w:p w14:paraId="37ABD0F0" w14:textId="77777777" w:rsidR="00624C05" w:rsidRPr="002152AF" w:rsidRDefault="00624C05" w:rsidP="00F01FAE">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r>
      <w:tr w:rsidR="001C2B1B" w:rsidRPr="002152AF" w14:paraId="272B403C" w14:textId="77777777" w:rsidTr="00CC0729">
        <w:trPr>
          <w:jc w:val="center"/>
        </w:trPr>
        <w:tc>
          <w:tcPr>
            <w:tcW w:w="1564" w:type="pct"/>
          </w:tcPr>
          <w:p w14:paraId="7671BBCD" w14:textId="77777777" w:rsidR="00B502D4" w:rsidRPr="002152AF" w:rsidRDefault="00B502D4" w:rsidP="00B502D4">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rFonts w:hAnsi="華康細明體"/>
                <w:i/>
                <w:spacing w:val="0"/>
                <w:sz w:val="20"/>
              </w:rPr>
            </w:pPr>
            <w:r w:rsidRPr="002152AF">
              <w:rPr>
                <w:rFonts w:hint="eastAsia"/>
                <w:spacing w:val="0"/>
                <w:sz w:val="20"/>
              </w:rPr>
              <w:t>私人消費開支</w:t>
            </w:r>
          </w:p>
        </w:tc>
        <w:tc>
          <w:tcPr>
            <w:tcW w:w="623" w:type="pct"/>
          </w:tcPr>
          <w:p w14:paraId="043EA9ED" w14:textId="77777777" w:rsidR="00B502D4" w:rsidRPr="002152AF"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snapToGrid w:val="0"/>
                <w:spacing w:val="0"/>
                <w:kern w:val="2"/>
                <w:sz w:val="18"/>
                <w:szCs w:val="18"/>
                <w:lang w:val="en-GB"/>
              </w:rPr>
            </w:pPr>
            <w:r>
              <w:rPr>
                <w:rFonts w:hint="eastAsia"/>
                <w:spacing w:val="0"/>
                <w:sz w:val="20"/>
              </w:rPr>
              <w:t>-0.7</w:t>
            </w:r>
          </w:p>
        </w:tc>
        <w:tc>
          <w:tcPr>
            <w:tcW w:w="469" w:type="pct"/>
          </w:tcPr>
          <w:p w14:paraId="7309A5B6"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0.9</w:t>
            </w:r>
          </w:p>
          <w:p w14:paraId="5427354C" w14:textId="77777777" w:rsidR="00B502D4" w:rsidRPr="00C137CC" w:rsidRDefault="00B502D4" w:rsidP="00CC0729">
            <w:pPr>
              <w:keepNext/>
              <w:tabs>
                <w:tab w:val="clear" w:pos="936"/>
                <w:tab w:val="clear" w:pos="1560"/>
                <w:tab w:val="clear" w:pos="2184"/>
                <w:tab w:val="clear" w:pos="2808"/>
                <w:tab w:val="decimal" w:pos="394"/>
              </w:tabs>
              <w:adjustRightInd/>
              <w:snapToGrid w:val="0"/>
              <w:spacing w:after="0" w:line="240" w:lineRule="atLeast"/>
              <w:ind w:right="-15"/>
              <w:jc w:val="left"/>
              <w:textAlignment w:val="auto"/>
              <w:rPr>
                <w:spacing w:val="0"/>
                <w:sz w:val="20"/>
              </w:rPr>
            </w:pPr>
            <w:r>
              <w:rPr>
                <w:rFonts w:hint="eastAsia"/>
                <w:spacing w:val="0"/>
                <w:sz w:val="20"/>
              </w:rPr>
              <w:t>(-0.7)</w:t>
            </w:r>
          </w:p>
        </w:tc>
        <w:tc>
          <w:tcPr>
            <w:tcW w:w="469" w:type="pct"/>
          </w:tcPr>
          <w:p w14:paraId="7F3479F3"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-1.9</w:t>
            </w:r>
          </w:p>
          <w:p w14:paraId="1B375B36" w14:textId="77777777" w:rsidR="00B502D4" w:rsidRPr="00C137CC" w:rsidRDefault="00B502D4" w:rsidP="00CC0729">
            <w:pPr>
              <w:keepNext/>
              <w:tabs>
                <w:tab w:val="clear" w:pos="936"/>
                <w:tab w:val="clear" w:pos="1560"/>
                <w:tab w:val="clear" w:pos="2184"/>
                <w:tab w:val="clear" w:pos="2808"/>
                <w:tab w:val="decimal" w:pos="394"/>
              </w:tabs>
              <w:adjustRightInd/>
              <w:snapToGrid w:val="0"/>
              <w:spacing w:after="0" w:line="240" w:lineRule="atLeast"/>
              <w:ind w:right="-15"/>
              <w:jc w:val="left"/>
              <w:textAlignment w:val="auto"/>
              <w:rPr>
                <w:spacing w:val="0"/>
                <w:sz w:val="20"/>
              </w:rPr>
            </w:pPr>
            <w:r>
              <w:rPr>
                <w:rFonts w:hint="eastAsia"/>
                <w:spacing w:val="0"/>
                <w:sz w:val="20"/>
              </w:rPr>
              <w:t>(0.4)</w:t>
            </w:r>
          </w:p>
        </w:tc>
        <w:tc>
          <w:tcPr>
            <w:tcW w:w="469" w:type="pct"/>
          </w:tcPr>
          <w:p w14:paraId="35B2EAE1"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-1.3</w:t>
            </w:r>
          </w:p>
          <w:p w14:paraId="2BE97F6C" w14:textId="77777777" w:rsidR="00B502D4" w:rsidRPr="00C137CC" w:rsidRDefault="00B502D4" w:rsidP="00B502D4">
            <w:pPr>
              <w:keepNext/>
              <w:tabs>
                <w:tab w:val="clear" w:pos="936"/>
                <w:tab w:val="clear" w:pos="1560"/>
                <w:tab w:val="clear" w:pos="2184"/>
                <w:tab w:val="clear" w:pos="2808"/>
                <w:tab w:val="decimal" w:pos="394"/>
              </w:tabs>
              <w:adjustRightInd/>
              <w:snapToGrid w:val="0"/>
              <w:spacing w:after="0" w:line="240" w:lineRule="atLeast"/>
              <w:ind w:right="-15"/>
              <w:jc w:val="left"/>
              <w:textAlignment w:val="auto"/>
              <w:rPr>
                <w:spacing w:val="0"/>
                <w:sz w:val="20"/>
              </w:rPr>
            </w:pPr>
            <w:r>
              <w:rPr>
                <w:rFonts w:hint="eastAsia"/>
                <w:spacing w:val="0"/>
                <w:sz w:val="20"/>
              </w:rPr>
              <w:t>(-0.2)</w:t>
            </w:r>
          </w:p>
        </w:tc>
        <w:tc>
          <w:tcPr>
            <w:tcW w:w="469" w:type="pct"/>
          </w:tcPr>
          <w:p w14:paraId="37CA293A"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-0.2</w:t>
            </w:r>
          </w:p>
          <w:p w14:paraId="619C6B7D" w14:textId="77777777" w:rsidR="00B502D4" w:rsidRPr="00C137CC" w:rsidRDefault="00B502D4" w:rsidP="00B502D4">
            <w:pPr>
              <w:keepNext/>
              <w:tabs>
                <w:tab w:val="clear" w:pos="936"/>
                <w:tab w:val="clear" w:pos="1560"/>
                <w:tab w:val="clear" w:pos="2184"/>
                <w:tab w:val="clear" w:pos="2808"/>
                <w:tab w:val="decimal" w:pos="394"/>
              </w:tabs>
              <w:adjustRightInd/>
              <w:snapToGrid w:val="0"/>
              <w:spacing w:after="0" w:line="240" w:lineRule="atLeast"/>
              <w:ind w:right="-15"/>
              <w:jc w:val="left"/>
              <w:textAlignment w:val="auto"/>
              <w:rPr>
                <w:spacing w:val="0"/>
                <w:sz w:val="20"/>
              </w:rPr>
            </w:pPr>
            <w:r>
              <w:rPr>
                <w:rFonts w:hint="eastAsia"/>
                <w:spacing w:val="0"/>
                <w:sz w:val="20"/>
              </w:rPr>
              <w:t>(0.3)</w:t>
            </w:r>
          </w:p>
        </w:tc>
        <w:tc>
          <w:tcPr>
            <w:tcW w:w="469" w:type="pct"/>
          </w:tcPr>
          <w:p w14:paraId="1C691298" w14:textId="77777777" w:rsidR="00B502D4" w:rsidRPr="0053154D"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-1.2</w:t>
            </w:r>
          </w:p>
          <w:p w14:paraId="19E40845" w14:textId="65A42574" w:rsidR="00B502D4" w:rsidRPr="00CC0729"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(-1.7)</w:t>
            </w:r>
          </w:p>
        </w:tc>
        <w:tc>
          <w:tcPr>
            <w:tcW w:w="469" w:type="pct"/>
          </w:tcPr>
          <w:p w14:paraId="6A919CA4" w14:textId="77777777" w:rsidR="00B502D4" w:rsidRPr="00A46BDC"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A46BDC">
              <w:rPr>
                <w:spacing w:val="0"/>
                <w:sz w:val="20"/>
              </w:rPr>
              <w:t>1.9</w:t>
            </w:r>
          </w:p>
          <w:p w14:paraId="04A0C827" w14:textId="67085C8B" w:rsidR="00B502D4" w:rsidRPr="00A46BDC" w:rsidRDefault="00B502D4" w:rsidP="00CC0729">
            <w:pPr>
              <w:keepNext/>
              <w:tabs>
                <w:tab w:val="clear" w:pos="936"/>
                <w:tab w:val="clear" w:pos="1560"/>
                <w:tab w:val="clear" w:pos="2184"/>
                <w:tab w:val="clear" w:pos="2808"/>
                <w:tab w:val="decimal" w:pos="394"/>
              </w:tabs>
              <w:snapToGrid w:val="0"/>
              <w:spacing w:after="0" w:line="240" w:lineRule="auto"/>
              <w:rPr>
                <w:spacing w:val="0"/>
                <w:sz w:val="20"/>
              </w:rPr>
            </w:pPr>
            <w:r w:rsidRPr="00A46BDC">
              <w:rPr>
                <w:spacing w:val="0"/>
                <w:sz w:val="20"/>
              </w:rPr>
              <w:t>(3.4)</w:t>
            </w:r>
          </w:p>
        </w:tc>
      </w:tr>
      <w:tr w:rsidR="001C2B1B" w:rsidRPr="002152AF" w14:paraId="3F8489B4" w14:textId="77777777" w:rsidTr="00CC0729">
        <w:trPr>
          <w:jc w:val="center"/>
        </w:trPr>
        <w:tc>
          <w:tcPr>
            <w:tcW w:w="1564" w:type="pct"/>
          </w:tcPr>
          <w:p w14:paraId="414BFCE3" w14:textId="77777777" w:rsidR="00B502D4" w:rsidRPr="002152AF" w:rsidRDefault="00B502D4" w:rsidP="00B502D4">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pacing w:val="0"/>
                <w:sz w:val="20"/>
              </w:rPr>
            </w:pPr>
            <w:r w:rsidRPr="002152AF">
              <w:rPr>
                <w:rFonts w:hint="eastAsia"/>
                <w:spacing w:val="0"/>
                <w:sz w:val="20"/>
              </w:rPr>
              <w:t>政府消費開支</w:t>
            </w:r>
          </w:p>
        </w:tc>
        <w:tc>
          <w:tcPr>
            <w:tcW w:w="623" w:type="pct"/>
          </w:tcPr>
          <w:p w14:paraId="1B31680F"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0.9</w:t>
            </w:r>
          </w:p>
        </w:tc>
        <w:tc>
          <w:tcPr>
            <w:tcW w:w="469" w:type="pct"/>
          </w:tcPr>
          <w:p w14:paraId="5171C7E3"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-1.6</w:t>
            </w:r>
          </w:p>
          <w:p w14:paraId="150E3166"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(1.1)</w:t>
            </w:r>
          </w:p>
        </w:tc>
        <w:tc>
          <w:tcPr>
            <w:tcW w:w="469" w:type="pct"/>
          </w:tcPr>
          <w:p w14:paraId="5C89D90A"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1.7</w:t>
            </w:r>
          </w:p>
          <w:p w14:paraId="2F583D4F"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(-0.6)</w:t>
            </w:r>
          </w:p>
        </w:tc>
        <w:tc>
          <w:tcPr>
            <w:tcW w:w="469" w:type="pct"/>
          </w:tcPr>
          <w:p w14:paraId="6734D005"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1.6</w:t>
            </w:r>
          </w:p>
          <w:p w14:paraId="701D453A"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(0.6)</w:t>
            </w:r>
          </w:p>
        </w:tc>
        <w:tc>
          <w:tcPr>
            <w:tcW w:w="469" w:type="pct"/>
          </w:tcPr>
          <w:p w14:paraId="2DF5B41D"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2.1</w:t>
            </w:r>
          </w:p>
          <w:p w14:paraId="460B81B2"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(0.8)</w:t>
            </w:r>
          </w:p>
        </w:tc>
        <w:tc>
          <w:tcPr>
            <w:tcW w:w="469" w:type="pct"/>
          </w:tcPr>
          <w:p w14:paraId="448AD71D" w14:textId="77777777" w:rsidR="00B502D4" w:rsidRPr="0053154D"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0.9</w:t>
            </w:r>
          </w:p>
          <w:p w14:paraId="10A8546E" w14:textId="103DE940"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(0.2)</w:t>
            </w:r>
          </w:p>
        </w:tc>
        <w:tc>
          <w:tcPr>
            <w:tcW w:w="469" w:type="pct"/>
          </w:tcPr>
          <w:p w14:paraId="23683807" w14:textId="77777777" w:rsidR="00B502D4" w:rsidRPr="00A46BDC"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A46BDC">
              <w:rPr>
                <w:spacing w:val="0"/>
                <w:sz w:val="20"/>
              </w:rPr>
              <w:t>2.5</w:t>
            </w:r>
          </w:p>
          <w:p w14:paraId="4FE2813B" w14:textId="5CC90A66" w:rsidR="00B502D4" w:rsidRPr="00A46BDC" w:rsidRDefault="00B502D4" w:rsidP="00CC0729">
            <w:pPr>
              <w:keepNext/>
              <w:tabs>
                <w:tab w:val="clear" w:pos="936"/>
                <w:tab w:val="clear" w:pos="1560"/>
                <w:tab w:val="clear" w:pos="2184"/>
                <w:tab w:val="clear" w:pos="2808"/>
                <w:tab w:val="decimal" w:pos="394"/>
              </w:tabs>
              <w:snapToGrid w:val="0"/>
              <w:spacing w:after="0" w:line="240" w:lineRule="auto"/>
              <w:rPr>
                <w:spacing w:val="0"/>
                <w:sz w:val="20"/>
              </w:rPr>
            </w:pPr>
            <w:r w:rsidRPr="00A46BDC">
              <w:rPr>
                <w:spacing w:val="0"/>
                <w:sz w:val="20"/>
              </w:rPr>
              <w:t>(0.9)</w:t>
            </w:r>
          </w:p>
        </w:tc>
      </w:tr>
      <w:tr w:rsidR="001C2B1B" w:rsidRPr="002152AF" w14:paraId="427683CD" w14:textId="77777777" w:rsidTr="00CC0729">
        <w:trPr>
          <w:jc w:val="center"/>
        </w:trPr>
        <w:tc>
          <w:tcPr>
            <w:tcW w:w="1564" w:type="pct"/>
          </w:tcPr>
          <w:p w14:paraId="5AA38CFD" w14:textId="77777777" w:rsidR="00B502D4" w:rsidRPr="002152AF" w:rsidRDefault="00B502D4" w:rsidP="00B502D4">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pacing w:val="0"/>
                <w:sz w:val="20"/>
              </w:rPr>
            </w:pPr>
            <w:r w:rsidRPr="002152AF">
              <w:rPr>
                <w:rFonts w:hint="eastAsia"/>
                <w:spacing w:val="0"/>
                <w:sz w:val="20"/>
              </w:rPr>
              <w:t>本地固定資本形成總額</w:t>
            </w:r>
          </w:p>
        </w:tc>
        <w:tc>
          <w:tcPr>
            <w:tcW w:w="623" w:type="pct"/>
          </w:tcPr>
          <w:p w14:paraId="4F64B481"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1.9</w:t>
            </w:r>
          </w:p>
        </w:tc>
        <w:tc>
          <w:tcPr>
            <w:tcW w:w="469" w:type="pct"/>
          </w:tcPr>
          <w:p w14:paraId="656D9699"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-0.9</w:t>
            </w:r>
          </w:p>
        </w:tc>
        <w:tc>
          <w:tcPr>
            <w:tcW w:w="469" w:type="pct"/>
          </w:tcPr>
          <w:p w14:paraId="38374E57"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3.1</w:t>
            </w:r>
          </w:p>
        </w:tc>
        <w:tc>
          <w:tcPr>
            <w:tcW w:w="469" w:type="pct"/>
          </w:tcPr>
          <w:p w14:paraId="3CC52284"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5.8</w:t>
            </w:r>
          </w:p>
        </w:tc>
        <w:tc>
          <w:tcPr>
            <w:tcW w:w="469" w:type="pct"/>
          </w:tcPr>
          <w:p w14:paraId="71CA03A8"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-0.7</w:t>
            </w:r>
          </w:p>
        </w:tc>
        <w:tc>
          <w:tcPr>
            <w:tcW w:w="469" w:type="pct"/>
          </w:tcPr>
          <w:p w14:paraId="6DFB3ED6" w14:textId="27A0C69E"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1.1</w:t>
            </w:r>
          </w:p>
        </w:tc>
        <w:tc>
          <w:tcPr>
            <w:tcW w:w="469" w:type="pct"/>
          </w:tcPr>
          <w:p w14:paraId="5AA68CDB" w14:textId="235BE849" w:rsidR="00B502D4" w:rsidRPr="00A46BDC"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A46BDC">
              <w:rPr>
                <w:spacing w:val="0"/>
                <w:sz w:val="20"/>
              </w:rPr>
              <w:t>2.</w:t>
            </w:r>
            <w:r w:rsidR="004923BD" w:rsidRPr="00A46BDC">
              <w:rPr>
                <w:spacing w:val="0"/>
                <w:sz w:val="20"/>
              </w:rPr>
              <w:t>8</w:t>
            </w:r>
          </w:p>
        </w:tc>
      </w:tr>
      <w:tr w:rsidR="001C2B1B" w:rsidRPr="002152AF" w14:paraId="63AF8207" w14:textId="77777777" w:rsidTr="00CC0729">
        <w:trPr>
          <w:jc w:val="center"/>
        </w:trPr>
        <w:tc>
          <w:tcPr>
            <w:tcW w:w="1564" w:type="pct"/>
            <w:vAlign w:val="center"/>
          </w:tcPr>
          <w:p w14:paraId="57AB2BEF" w14:textId="77777777" w:rsidR="00B502D4" w:rsidRPr="0058091A" w:rsidRDefault="00B502D4" w:rsidP="00B502D4">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0"/>
                <w:sz w:val="20"/>
              </w:rPr>
            </w:pPr>
            <w:r w:rsidRPr="002152AF">
              <w:rPr>
                <w:rFonts w:hAnsi="華康細明體" w:hint="eastAsia"/>
                <w:spacing w:val="0"/>
                <w:sz w:val="20"/>
              </w:rPr>
              <w:t>樓宇及建造</w:t>
            </w:r>
          </w:p>
        </w:tc>
        <w:tc>
          <w:tcPr>
            <w:tcW w:w="623" w:type="pct"/>
          </w:tcPr>
          <w:p w14:paraId="5CC14F35"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3.6</w:t>
            </w:r>
          </w:p>
        </w:tc>
        <w:tc>
          <w:tcPr>
            <w:tcW w:w="469" w:type="pct"/>
          </w:tcPr>
          <w:p w14:paraId="7F0886DB"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9.7</w:t>
            </w:r>
          </w:p>
        </w:tc>
        <w:tc>
          <w:tcPr>
            <w:tcW w:w="469" w:type="pct"/>
          </w:tcPr>
          <w:p w14:paraId="052A8143"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10.2</w:t>
            </w:r>
          </w:p>
        </w:tc>
        <w:tc>
          <w:tcPr>
            <w:tcW w:w="469" w:type="pct"/>
          </w:tcPr>
          <w:p w14:paraId="4AADAB00"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-0.4</w:t>
            </w:r>
          </w:p>
        </w:tc>
        <w:tc>
          <w:tcPr>
            <w:tcW w:w="469" w:type="pct"/>
          </w:tcPr>
          <w:p w14:paraId="0385F9AB"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-4.8</w:t>
            </w:r>
          </w:p>
        </w:tc>
        <w:tc>
          <w:tcPr>
            <w:tcW w:w="469" w:type="pct"/>
          </w:tcPr>
          <w:p w14:paraId="45C7C05B" w14:textId="6C9AB928"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-5.5</w:t>
            </w:r>
          </w:p>
        </w:tc>
        <w:tc>
          <w:tcPr>
            <w:tcW w:w="469" w:type="pct"/>
          </w:tcPr>
          <w:p w14:paraId="1B2B357B" w14:textId="06BE30BE" w:rsidR="00B502D4" w:rsidRPr="00A46BDC"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A46BDC">
              <w:rPr>
                <w:spacing w:val="0"/>
                <w:sz w:val="20"/>
              </w:rPr>
              <w:t>-9.5</w:t>
            </w:r>
          </w:p>
        </w:tc>
      </w:tr>
      <w:tr w:rsidR="001C2B1B" w:rsidRPr="002152AF" w14:paraId="75E22B90" w14:textId="77777777" w:rsidTr="00CC0729">
        <w:trPr>
          <w:jc w:val="center"/>
        </w:trPr>
        <w:tc>
          <w:tcPr>
            <w:tcW w:w="1564" w:type="pct"/>
          </w:tcPr>
          <w:p w14:paraId="5F1C3848" w14:textId="77777777" w:rsidR="00B502D4" w:rsidRPr="002152AF" w:rsidRDefault="00B502D4" w:rsidP="00B502D4">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0"/>
                <w:sz w:val="20"/>
              </w:rPr>
            </w:pPr>
            <w:r w:rsidRPr="002152AF">
              <w:rPr>
                <w:rFonts w:hAnsi="華康細明體" w:hint="eastAsia"/>
                <w:spacing w:val="0"/>
                <w:sz w:val="20"/>
              </w:rPr>
              <w:t>擁有權轉讓費用</w:t>
            </w:r>
          </w:p>
        </w:tc>
        <w:tc>
          <w:tcPr>
            <w:tcW w:w="623" w:type="pct"/>
          </w:tcPr>
          <w:p w14:paraId="58A81804"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11.7</w:t>
            </w:r>
          </w:p>
        </w:tc>
        <w:tc>
          <w:tcPr>
            <w:tcW w:w="469" w:type="pct"/>
          </w:tcPr>
          <w:p w14:paraId="43AE46F1"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-35.7</w:t>
            </w:r>
          </w:p>
        </w:tc>
        <w:tc>
          <w:tcPr>
            <w:tcW w:w="469" w:type="pct"/>
          </w:tcPr>
          <w:p w14:paraId="0FE45E33"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31.5</w:t>
            </w:r>
          </w:p>
        </w:tc>
        <w:tc>
          <w:tcPr>
            <w:tcW w:w="469" w:type="pct"/>
          </w:tcPr>
          <w:p w14:paraId="46FE8B6A"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6.8</w:t>
            </w:r>
          </w:p>
        </w:tc>
        <w:tc>
          <w:tcPr>
            <w:tcW w:w="469" w:type="pct"/>
          </w:tcPr>
          <w:p w14:paraId="2E3746E3"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75.0</w:t>
            </w:r>
          </w:p>
        </w:tc>
        <w:tc>
          <w:tcPr>
            <w:tcW w:w="469" w:type="pct"/>
          </w:tcPr>
          <w:p w14:paraId="19A74317" w14:textId="49608A3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41.0</w:t>
            </w:r>
          </w:p>
        </w:tc>
        <w:tc>
          <w:tcPr>
            <w:tcW w:w="469" w:type="pct"/>
          </w:tcPr>
          <w:p w14:paraId="40C58DEA" w14:textId="17A34BBB" w:rsidR="00B502D4" w:rsidRPr="00A46BDC"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A46BDC">
              <w:rPr>
                <w:spacing w:val="0"/>
                <w:sz w:val="20"/>
              </w:rPr>
              <w:t>-8.7</w:t>
            </w:r>
          </w:p>
        </w:tc>
      </w:tr>
      <w:tr w:rsidR="001C2B1B" w:rsidRPr="002152AF" w14:paraId="66062958" w14:textId="77777777" w:rsidTr="00CC0729">
        <w:trPr>
          <w:jc w:val="center"/>
        </w:trPr>
        <w:tc>
          <w:tcPr>
            <w:tcW w:w="1564" w:type="pct"/>
          </w:tcPr>
          <w:p w14:paraId="00AE2030" w14:textId="77777777" w:rsidR="00B502D4" w:rsidRPr="002152AF" w:rsidRDefault="00B502D4" w:rsidP="00B502D4">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0"/>
                <w:sz w:val="20"/>
              </w:rPr>
            </w:pPr>
            <w:r w:rsidRPr="0058091A">
              <w:rPr>
                <w:rFonts w:hAnsi="華康細明體" w:hint="eastAsia"/>
                <w:spacing w:val="0"/>
                <w:sz w:val="20"/>
              </w:rPr>
              <w:t>機器、設備及知識產權產品</w:t>
            </w:r>
          </w:p>
        </w:tc>
        <w:tc>
          <w:tcPr>
            <w:tcW w:w="623" w:type="pct"/>
          </w:tcPr>
          <w:p w14:paraId="33158211"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-2.5</w:t>
            </w:r>
          </w:p>
        </w:tc>
        <w:tc>
          <w:tcPr>
            <w:tcW w:w="469" w:type="pct"/>
          </w:tcPr>
          <w:p w14:paraId="5B2B9B98"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-12.9</w:t>
            </w:r>
          </w:p>
        </w:tc>
        <w:tc>
          <w:tcPr>
            <w:tcW w:w="469" w:type="pct"/>
          </w:tcPr>
          <w:p w14:paraId="32FCFE42"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-15.3</w:t>
            </w:r>
          </w:p>
        </w:tc>
        <w:tc>
          <w:tcPr>
            <w:tcW w:w="469" w:type="pct"/>
          </w:tcPr>
          <w:p w14:paraId="2EB2F8A7"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14.8</w:t>
            </w:r>
          </w:p>
        </w:tc>
        <w:tc>
          <w:tcPr>
            <w:tcW w:w="469" w:type="pct"/>
          </w:tcPr>
          <w:p w14:paraId="22F9EDDF"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-1.9</w:t>
            </w:r>
          </w:p>
        </w:tc>
        <w:tc>
          <w:tcPr>
            <w:tcW w:w="469" w:type="pct"/>
          </w:tcPr>
          <w:p w14:paraId="69273743" w14:textId="7940AE5B"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11.1</w:t>
            </w:r>
          </w:p>
        </w:tc>
        <w:tc>
          <w:tcPr>
            <w:tcW w:w="469" w:type="pct"/>
          </w:tcPr>
          <w:p w14:paraId="207FE879" w14:textId="22D7A8F6" w:rsidR="00B502D4" w:rsidRPr="00A46BDC"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A46BDC">
              <w:rPr>
                <w:spacing w:val="0"/>
                <w:sz w:val="20"/>
              </w:rPr>
              <w:t>38.</w:t>
            </w:r>
            <w:r w:rsidR="004923BD" w:rsidRPr="00A46BDC">
              <w:rPr>
                <w:spacing w:val="0"/>
                <w:sz w:val="20"/>
              </w:rPr>
              <w:t>4</w:t>
            </w:r>
          </w:p>
        </w:tc>
      </w:tr>
      <w:tr w:rsidR="001C2B1B" w:rsidRPr="002152AF" w14:paraId="1C2D2936" w14:textId="77777777" w:rsidTr="00CC0729">
        <w:trPr>
          <w:jc w:val="center"/>
        </w:trPr>
        <w:tc>
          <w:tcPr>
            <w:tcW w:w="1564" w:type="pct"/>
          </w:tcPr>
          <w:p w14:paraId="156D0870" w14:textId="77777777" w:rsidR="00B502D4" w:rsidRPr="002152AF" w:rsidRDefault="00B502D4" w:rsidP="00B502D4">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napToGrid w:val="0"/>
                <w:spacing w:val="0"/>
                <w:kern w:val="2"/>
                <w:sz w:val="20"/>
              </w:rPr>
            </w:pPr>
            <w:r w:rsidRPr="002152AF">
              <w:rPr>
                <w:rFonts w:hint="eastAsia"/>
                <w:spacing w:val="0"/>
                <w:sz w:val="20"/>
              </w:rPr>
              <w:t>整體貨物出口</w:t>
            </w:r>
            <w:r w:rsidRPr="002152AF">
              <w:rPr>
                <w:spacing w:val="0"/>
                <w:sz w:val="20"/>
                <w:vertAlign w:val="superscript"/>
              </w:rPr>
              <w:t>&amp;</w:t>
            </w:r>
          </w:p>
        </w:tc>
        <w:tc>
          <w:tcPr>
            <w:tcW w:w="623" w:type="pct"/>
          </w:tcPr>
          <w:p w14:paraId="12E960A5"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4.7</w:t>
            </w:r>
          </w:p>
        </w:tc>
        <w:tc>
          <w:tcPr>
            <w:tcW w:w="469" w:type="pct"/>
          </w:tcPr>
          <w:p w14:paraId="1E2D5703"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6.7</w:t>
            </w:r>
          </w:p>
          <w:p w14:paraId="4C6FC2FD"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(2.9)</w:t>
            </w:r>
          </w:p>
        </w:tc>
        <w:tc>
          <w:tcPr>
            <w:tcW w:w="469" w:type="pct"/>
          </w:tcPr>
          <w:p w14:paraId="769846E3"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7.4</w:t>
            </w:r>
          </w:p>
          <w:p w14:paraId="4AE470A5" w14:textId="77777777" w:rsidR="00B502D4" w:rsidRPr="00817668" w:rsidRDefault="00B502D4" w:rsidP="00CC0729">
            <w:pPr>
              <w:keepNext/>
              <w:tabs>
                <w:tab w:val="clear" w:pos="936"/>
                <w:tab w:val="clear" w:pos="1560"/>
                <w:tab w:val="clear" w:pos="2184"/>
                <w:tab w:val="clear" w:pos="2808"/>
                <w:tab w:val="decimal" w:pos="394"/>
                <w:tab w:val="decimal" w:pos="677"/>
              </w:tabs>
              <w:snapToGrid w:val="0"/>
              <w:spacing w:after="0" w:line="240" w:lineRule="atLeast"/>
              <w:ind w:firstLineChars="150" w:firstLine="300"/>
              <w:jc w:val="left"/>
              <w:textAlignment w:val="auto"/>
              <w:rPr>
                <w:spacing w:val="0"/>
                <w:sz w:val="20"/>
              </w:rPr>
            </w:pPr>
            <w:r w:rsidRPr="00817668">
              <w:rPr>
                <w:rFonts w:hint="eastAsia"/>
                <w:spacing w:val="0"/>
                <w:sz w:val="20"/>
              </w:rPr>
              <w:t>(*)</w:t>
            </w:r>
          </w:p>
        </w:tc>
        <w:tc>
          <w:tcPr>
            <w:tcW w:w="469" w:type="pct"/>
          </w:tcPr>
          <w:p w14:paraId="38C23F49"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3.9</w:t>
            </w:r>
          </w:p>
          <w:p w14:paraId="0F02A917"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(-2.1)</w:t>
            </w:r>
          </w:p>
        </w:tc>
        <w:tc>
          <w:tcPr>
            <w:tcW w:w="469" w:type="pct"/>
          </w:tcPr>
          <w:p w14:paraId="741D9B76"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1.3</w:t>
            </w:r>
          </w:p>
          <w:p w14:paraId="2EE20257"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(0.3)</w:t>
            </w:r>
          </w:p>
        </w:tc>
        <w:tc>
          <w:tcPr>
            <w:tcW w:w="469" w:type="pct"/>
          </w:tcPr>
          <w:p w14:paraId="43C9B97F" w14:textId="77777777" w:rsidR="00B502D4" w:rsidRPr="0053154D"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8.4</w:t>
            </w:r>
          </w:p>
          <w:p w14:paraId="74F3E6C6" w14:textId="47CE2A41"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w:t>
            </w:r>
            <w:r w:rsidRPr="0053154D">
              <w:rPr>
                <w:rFonts w:hint="eastAsia"/>
                <w:spacing w:val="0"/>
                <w:sz w:val="20"/>
              </w:rPr>
              <w:t>10.</w:t>
            </w:r>
            <w:r w:rsidRPr="0053154D">
              <w:rPr>
                <w:spacing w:val="0"/>
                <w:sz w:val="20"/>
              </w:rPr>
              <w:t>3)</w:t>
            </w:r>
          </w:p>
        </w:tc>
        <w:tc>
          <w:tcPr>
            <w:tcW w:w="469" w:type="pct"/>
          </w:tcPr>
          <w:p w14:paraId="4235F4C0" w14:textId="77777777" w:rsidR="00B502D4" w:rsidRPr="00A46BDC"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A46BDC">
              <w:rPr>
                <w:spacing w:val="0"/>
                <w:sz w:val="20"/>
              </w:rPr>
              <w:t>11.5</w:t>
            </w:r>
          </w:p>
          <w:p w14:paraId="491DED80" w14:textId="0E3A2141" w:rsidR="00B502D4" w:rsidRPr="00A46BDC" w:rsidRDefault="00B502D4" w:rsidP="00CC0729">
            <w:pPr>
              <w:keepNext/>
              <w:tabs>
                <w:tab w:val="clear" w:pos="936"/>
                <w:tab w:val="clear" w:pos="1560"/>
                <w:tab w:val="clear" w:pos="2184"/>
                <w:tab w:val="clear" w:pos="2808"/>
                <w:tab w:val="decimal" w:pos="394"/>
              </w:tabs>
              <w:snapToGrid w:val="0"/>
              <w:spacing w:after="0" w:line="240" w:lineRule="auto"/>
              <w:rPr>
                <w:spacing w:val="0"/>
                <w:sz w:val="20"/>
              </w:rPr>
            </w:pPr>
            <w:r w:rsidRPr="00A46BDC">
              <w:rPr>
                <w:spacing w:val="0"/>
                <w:sz w:val="20"/>
              </w:rPr>
              <w:t>(2.</w:t>
            </w:r>
            <w:r w:rsidR="004923BD" w:rsidRPr="00A46BDC">
              <w:rPr>
                <w:spacing w:val="0"/>
                <w:sz w:val="20"/>
              </w:rPr>
              <w:t>9</w:t>
            </w:r>
            <w:r w:rsidRPr="00A46BDC">
              <w:rPr>
                <w:spacing w:val="0"/>
                <w:sz w:val="20"/>
              </w:rPr>
              <w:t>)</w:t>
            </w:r>
          </w:p>
        </w:tc>
      </w:tr>
      <w:tr w:rsidR="001C2B1B" w:rsidRPr="002152AF" w14:paraId="63B5CCC1" w14:textId="77777777" w:rsidTr="00CC0729">
        <w:trPr>
          <w:jc w:val="center"/>
        </w:trPr>
        <w:tc>
          <w:tcPr>
            <w:tcW w:w="1564" w:type="pct"/>
          </w:tcPr>
          <w:p w14:paraId="0B92AAB4" w14:textId="77777777" w:rsidR="00B502D4" w:rsidRPr="002152AF" w:rsidRDefault="00B502D4" w:rsidP="00B502D4">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pacing w:val="0"/>
                <w:sz w:val="20"/>
              </w:rPr>
            </w:pPr>
            <w:r w:rsidRPr="002152AF">
              <w:rPr>
                <w:rFonts w:hint="eastAsia"/>
                <w:spacing w:val="0"/>
                <w:sz w:val="20"/>
              </w:rPr>
              <w:t>貨物進口</w:t>
            </w:r>
            <w:r w:rsidRPr="002152AF">
              <w:rPr>
                <w:spacing w:val="0"/>
                <w:sz w:val="20"/>
                <w:vertAlign w:val="superscript"/>
              </w:rPr>
              <w:t>&amp;</w:t>
            </w:r>
          </w:p>
        </w:tc>
        <w:tc>
          <w:tcPr>
            <w:tcW w:w="623" w:type="pct"/>
          </w:tcPr>
          <w:p w14:paraId="14AB63B4"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2.4</w:t>
            </w:r>
          </w:p>
        </w:tc>
        <w:tc>
          <w:tcPr>
            <w:tcW w:w="469" w:type="pct"/>
          </w:tcPr>
          <w:p w14:paraId="0E1CBF98"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3.3</w:t>
            </w:r>
          </w:p>
          <w:p w14:paraId="7FEEDD77"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(0.7)</w:t>
            </w:r>
          </w:p>
        </w:tc>
        <w:tc>
          <w:tcPr>
            <w:tcW w:w="469" w:type="pct"/>
          </w:tcPr>
          <w:p w14:paraId="09B327BA"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3.4</w:t>
            </w:r>
          </w:p>
          <w:p w14:paraId="3907CA09"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(-0.5)</w:t>
            </w:r>
          </w:p>
        </w:tc>
        <w:tc>
          <w:tcPr>
            <w:tcW w:w="469" w:type="pct"/>
          </w:tcPr>
          <w:p w14:paraId="7ADE8F56"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2.8</w:t>
            </w:r>
          </w:p>
          <w:p w14:paraId="472DCECD"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(0.5)</w:t>
            </w:r>
          </w:p>
        </w:tc>
        <w:tc>
          <w:tcPr>
            <w:tcW w:w="469" w:type="pct"/>
          </w:tcPr>
          <w:p w14:paraId="4363725A"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0.4</w:t>
            </w:r>
          </w:p>
          <w:p w14:paraId="5926C567"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(-0.5)</w:t>
            </w:r>
          </w:p>
        </w:tc>
        <w:tc>
          <w:tcPr>
            <w:tcW w:w="469" w:type="pct"/>
          </w:tcPr>
          <w:p w14:paraId="054EC99C" w14:textId="77777777" w:rsidR="00B502D4" w:rsidRPr="0053154D"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7.2</w:t>
            </w:r>
          </w:p>
          <w:p w14:paraId="447EC055" w14:textId="31510BBB"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w:t>
            </w:r>
            <w:r w:rsidRPr="0053154D">
              <w:rPr>
                <w:rFonts w:hint="eastAsia"/>
                <w:spacing w:val="0"/>
                <w:sz w:val="20"/>
              </w:rPr>
              <w:t>7.</w:t>
            </w:r>
            <w:r w:rsidRPr="0053154D">
              <w:rPr>
                <w:spacing w:val="0"/>
                <w:sz w:val="20"/>
              </w:rPr>
              <w:t>6)</w:t>
            </w:r>
          </w:p>
        </w:tc>
        <w:tc>
          <w:tcPr>
            <w:tcW w:w="469" w:type="pct"/>
          </w:tcPr>
          <w:p w14:paraId="4221D441" w14:textId="44E5278F" w:rsidR="00B502D4" w:rsidRPr="00A46BDC"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A46BDC">
              <w:rPr>
                <w:spacing w:val="0"/>
                <w:sz w:val="20"/>
              </w:rPr>
              <w:t>12.</w:t>
            </w:r>
            <w:r w:rsidR="004923BD" w:rsidRPr="00A46BDC">
              <w:rPr>
                <w:spacing w:val="0"/>
                <w:sz w:val="20"/>
              </w:rPr>
              <w:t>6</w:t>
            </w:r>
          </w:p>
          <w:p w14:paraId="5CE54C87" w14:textId="3021D594" w:rsidR="00B502D4" w:rsidRPr="00A46BDC"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A46BDC">
              <w:rPr>
                <w:spacing w:val="0"/>
                <w:sz w:val="20"/>
              </w:rPr>
              <w:t>(4.6)</w:t>
            </w:r>
          </w:p>
        </w:tc>
      </w:tr>
      <w:tr w:rsidR="001C2B1B" w:rsidRPr="006448CE" w14:paraId="60794134" w14:textId="77777777" w:rsidTr="00CC0729">
        <w:trPr>
          <w:jc w:val="center"/>
        </w:trPr>
        <w:tc>
          <w:tcPr>
            <w:tcW w:w="1564" w:type="pct"/>
          </w:tcPr>
          <w:p w14:paraId="507CEFAA" w14:textId="77777777" w:rsidR="00B502D4" w:rsidRPr="002152AF" w:rsidRDefault="00B502D4" w:rsidP="00B502D4">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pacing w:val="0"/>
                <w:sz w:val="20"/>
              </w:rPr>
            </w:pPr>
            <w:r w:rsidRPr="002152AF">
              <w:rPr>
                <w:rFonts w:hint="eastAsia"/>
                <w:spacing w:val="0"/>
                <w:sz w:val="20"/>
              </w:rPr>
              <w:t>服務輸出</w:t>
            </w:r>
            <w:r w:rsidRPr="002152AF">
              <w:rPr>
                <w:spacing w:val="0"/>
                <w:sz w:val="20"/>
                <w:vertAlign w:val="superscript"/>
              </w:rPr>
              <w:t>&amp;</w:t>
            </w:r>
          </w:p>
        </w:tc>
        <w:tc>
          <w:tcPr>
            <w:tcW w:w="623" w:type="pct"/>
          </w:tcPr>
          <w:p w14:paraId="640327A5"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5.1</w:t>
            </w:r>
          </w:p>
        </w:tc>
        <w:tc>
          <w:tcPr>
            <w:tcW w:w="469" w:type="pct"/>
          </w:tcPr>
          <w:p w14:paraId="6814CB71"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9.9</w:t>
            </w:r>
          </w:p>
          <w:p w14:paraId="00CD9A7A"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(0.1)</w:t>
            </w:r>
          </w:p>
        </w:tc>
        <w:tc>
          <w:tcPr>
            <w:tcW w:w="469" w:type="pct"/>
          </w:tcPr>
          <w:p w14:paraId="6AABE76D"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1.0</w:t>
            </w:r>
          </w:p>
          <w:p w14:paraId="5FDA27C6"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(-1.8)</w:t>
            </w:r>
          </w:p>
        </w:tc>
        <w:tc>
          <w:tcPr>
            <w:tcW w:w="469" w:type="pct"/>
          </w:tcPr>
          <w:p w14:paraId="4F34C0CE"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2.8</w:t>
            </w:r>
          </w:p>
          <w:p w14:paraId="35D56B90"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(3.5)</w:t>
            </w:r>
          </w:p>
        </w:tc>
        <w:tc>
          <w:tcPr>
            <w:tcW w:w="469" w:type="pct"/>
          </w:tcPr>
          <w:p w14:paraId="578C4D27"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6.5</w:t>
            </w:r>
          </w:p>
          <w:p w14:paraId="3C78A2D7"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(4.7)</w:t>
            </w:r>
          </w:p>
        </w:tc>
        <w:tc>
          <w:tcPr>
            <w:tcW w:w="469" w:type="pct"/>
          </w:tcPr>
          <w:p w14:paraId="11E3B786" w14:textId="77777777" w:rsidR="00B502D4" w:rsidRPr="0053154D"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6.3</w:t>
            </w:r>
          </w:p>
          <w:p w14:paraId="1356355D" w14:textId="329AECBA"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(-0.3)</w:t>
            </w:r>
          </w:p>
        </w:tc>
        <w:tc>
          <w:tcPr>
            <w:tcW w:w="469" w:type="pct"/>
          </w:tcPr>
          <w:p w14:paraId="294FDED9" w14:textId="77777777" w:rsidR="00B502D4" w:rsidRPr="00A46BDC"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A46BDC">
              <w:rPr>
                <w:spacing w:val="0"/>
                <w:sz w:val="20"/>
              </w:rPr>
              <w:t>7.5</w:t>
            </w:r>
          </w:p>
          <w:p w14:paraId="4A6A061C" w14:textId="55C2CF3C" w:rsidR="00B502D4" w:rsidRPr="00A46BDC"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A46BDC">
              <w:rPr>
                <w:spacing w:val="0"/>
                <w:sz w:val="20"/>
              </w:rPr>
              <w:t>(-0.5)</w:t>
            </w:r>
          </w:p>
        </w:tc>
      </w:tr>
      <w:tr w:rsidR="001C2B1B" w:rsidRPr="002152AF" w14:paraId="7854A25C" w14:textId="77777777" w:rsidTr="00CC0729">
        <w:trPr>
          <w:jc w:val="center"/>
        </w:trPr>
        <w:tc>
          <w:tcPr>
            <w:tcW w:w="1564" w:type="pct"/>
          </w:tcPr>
          <w:p w14:paraId="26C74A59" w14:textId="77777777" w:rsidR="00B502D4" w:rsidRPr="002152AF" w:rsidRDefault="00B502D4" w:rsidP="00B502D4">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pacing w:val="0"/>
                <w:sz w:val="20"/>
              </w:rPr>
            </w:pPr>
            <w:r w:rsidRPr="002152AF">
              <w:rPr>
                <w:rFonts w:hint="eastAsia"/>
                <w:snapToGrid w:val="0"/>
                <w:spacing w:val="0"/>
                <w:kern w:val="2"/>
                <w:sz w:val="20"/>
              </w:rPr>
              <w:t>服務輸入</w:t>
            </w:r>
            <w:r w:rsidRPr="002152AF">
              <w:rPr>
                <w:spacing w:val="0"/>
                <w:sz w:val="20"/>
                <w:vertAlign w:val="superscript"/>
              </w:rPr>
              <w:t>&amp;</w:t>
            </w:r>
          </w:p>
        </w:tc>
        <w:tc>
          <w:tcPr>
            <w:tcW w:w="623" w:type="pct"/>
          </w:tcPr>
          <w:p w14:paraId="467C05BC"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11.6</w:t>
            </w:r>
          </w:p>
        </w:tc>
        <w:tc>
          <w:tcPr>
            <w:tcW w:w="469" w:type="pct"/>
          </w:tcPr>
          <w:p w14:paraId="1EF4C920"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18.2</w:t>
            </w:r>
          </w:p>
          <w:p w14:paraId="2FD4A392"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(3.8)</w:t>
            </w:r>
          </w:p>
        </w:tc>
        <w:tc>
          <w:tcPr>
            <w:tcW w:w="469" w:type="pct"/>
          </w:tcPr>
          <w:p w14:paraId="0B93F4CE"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11.7</w:t>
            </w:r>
          </w:p>
          <w:p w14:paraId="4623315E" w14:textId="77777777" w:rsidR="00B502D4"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(0.5)</w:t>
            </w:r>
          </w:p>
        </w:tc>
        <w:tc>
          <w:tcPr>
            <w:tcW w:w="469" w:type="pct"/>
          </w:tcPr>
          <w:p w14:paraId="4F29B545"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9.0</w:t>
            </w:r>
          </w:p>
          <w:p w14:paraId="0E1BF4E8"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(1.3)</w:t>
            </w:r>
          </w:p>
        </w:tc>
        <w:tc>
          <w:tcPr>
            <w:tcW w:w="469" w:type="pct"/>
          </w:tcPr>
          <w:p w14:paraId="618F1DC7"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8.3</w:t>
            </w:r>
          </w:p>
          <w:p w14:paraId="4A764FA8" w14:textId="77777777" w:rsidR="00B502D4"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(2.6)</w:t>
            </w:r>
          </w:p>
        </w:tc>
        <w:tc>
          <w:tcPr>
            <w:tcW w:w="469" w:type="pct"/>
          </w:tcPr>
          <w:p w14:paraId="54E9A00C" w14:textId="77777777" w:rsidR="00B502D4" w:rsidRPr="0053154D"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53154D">
              <w:rPr>
                <w:spacing w:val="0"/>
                <w:sz w:val="20"/>
              </w:rPr>
              <w:t>4.7</w:t>
            </w:r>
          </w:p>
          <w:p w14:paraId="5D9ACBDD" w14:textId="16D947E1" w:rsidR="00B502D4" w:rsidRDefault="0069553F" w:rsidP="00CC0729">
            <w:pPr>
              <w:keepNext/>
              <w:tabs>
                <w:tab w:val="clear" w:pos="936"/>
                <w:tab w:val="clear" w:pos="1560"/>
                <w:tab w:val="clear" w:pos="2184"/>
                <w:tab w:val="clear" w:pos="2808"/>
                <w:tab w:val="decimal" w:pos="394"/>
                <w:tab w:val="decimal" w:pos="686"/>
              </w:tabs>
              <w:snapToGrid w:val="0"/>
              <w:spacing w:after="0" w:line="240" w:lineRule="atLeast"/>
              <w:jc w:val="left"/>
              <w:textAlignment w:val="auto"/>
              <w:rPr>
                <w:spacing w:val="0"/>
                <w:sz w:val="20"/>
              </w:rPr>
            </w:pPr>
            <w:r w:rsidRPr="0053154D">
              <w:rPr>
                <w:spacing w:val="0"/>
                <w:sz w:val="20"/>
              </w:rPr>
              <w:t xml:space="preserve"> </w:t>
            </w:r>
            <w:r>
              <w:rPr>
                <w:spacing w:val="0"/>
                <w:sz w:val="20"/>
              </w:rPr>
              <w:t xml:space="preserve">  </w:t>
            </w:r>
            <w:r w:rsidR="00B502D4" w:rsidRPr="0053154D">
              <w:rPr>
                <w:spacing w:val="0"/>
                <w:sz w:val="20"/>
              </w:rPr>
              <w:t>(*)</w:t>
            </w:r>
          </w:p>
        </w:tc>
        <w:tc>
          <w:tcPr>
            <w:tcW w:w="469" w:type="pct"/>
          </w:tcPr>
          <w:p w14:paraId="1A950468" w14:textId="4DD6AC12" w:rsidR="00B502D4" w:rsidRPr="00A46BDC"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sidRPr="00A46BDC">
              <w:rPr>
                <w:spacing w:val="0"/>
                <w:sz w:val="20"/>
              </w:rPr>
              <w:t>7.</w:t>
            </w:r>
            <w:r w:rsidR="004923BD" w:rsidRPr="00A46BDC">
              <w:rPr>
                <w:spacing w:val="0"/>
                <w:sz w:val="20"/>
              </w:rPr>
              <w:t>2</w:t>
            </w:r>
          </w:p>
          <w:p w14:paraId="09E02E15" w14:textId="26C57D79" w:rsidR="00B502D4" w:rsidRPr="00A46BDC" w:rsidRDefault="00B502D4" w:rsidP="00CC0729">
            <w:pPr>
              <w:keepNext/>
              <w:tabs>
                <w:tab w:val="clear" w:pos="936"/>
                <w:tab w:val="clear" w:pos="1560"/>
                <w:tab w:val="clear" w:pos="2184"/>
                <w:tab w:val="clear" w:pos="2808"/>
                <w:tab w:val="decimal" w:pos="394"/>
              </w:tabs>
              <w:snapToGrid w:val="0"/>
              <w:spacing w:after="0" w:line="240" w:lineRule="auto"/>
              <w:rPr>
                <w:spacing w:val="0"/>
                <w:sz w:val="20"/>
              </w:rPr>
            </w:pPr>
            <w:r w:rsidRPr="00A46BDC">
              <w:rPr>
                <w:spacing w:val="0"/>
                <w:sz w:val="20"/>
              </w:rPr>
              <w:t>(</w:t>
            </w:r>
            <w:r w:rsidR="004923BD" w:rsidRPr="00A46BDC">
              <w:rPr>
                <w:spacing w:val="0"/>
                <w:sz w:val="20"/>
              </w:rPr>
              <w:t>3.0</w:t>
            </w:r>
            <w:r w:rsidRPr="00A46BDC">
              <w:rPr>
                <w:spacing w:val="0"/>
                <w:sz w:val="20"/>
              </w:rPr>
              <w:t>)</w:t>
            </w:r>
          </w:p>
        </w:tc>
      </w:tr>
      <w:tr w:rsidR="001C2B1B" w:rsidRPr="002152AF" w14:paraId="56E26EA9" w14:textId="77777777" w:rsidTr="00CC0729">
        <w:trPr>
          <w:jc w:val="center"/>
        </w:trPr>
        <w:tc>
          <w:tcPr>
            <w:tcW w:w="1564" w:type="pct"/>
          </w:tcPr>
          <w:p w14:paraId="61E58F3E" w14:textId="77777777" w:rsidR="00B502D4" w:rsidRPr="002152AF" w:rsidRDefault="00B502D4" w:rsidP="00B502D4">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napToGrid w:val="0"/>
                <w:spacing w:val="0"/>
                <w:kern w:val="2"/>
                <w:sz w:val="20"/>
              </w:rPr>
            </w:pPr>
            <w:r w:rsidRPr="002152AF">
              <w:rPr>
                <w:rFonts w:eastAsia="華康中黑體" w:hint="eastAsia"/>
                <w:spacing w:val="0"/>
                <w:sz w:val="20"/>
              </w:rPr>
              <w:t>本地生產總值</w:t>
            </w:r>
          </w:p>
        </w:tc>
        <w:tc>
          <w:tcPr>
            <w:tcW w:w="623" w:type="pct"/>
          </w:tcPr>
          <w:p w14:paraId="3EB5260C"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b/>
                <w:spacing w:val="0"/>
                <w:sz w:val="20"/>
              </w:rPr>
              <w:t>2.5</w:t>
            </w:r>
          </w:p>
        </w:tc>
        <w:tc>
          <w:tcPr>
            <w:tcW w:w="469" w:type="pct"/>
          </w:tcPr>
          <w:p w14:paraId="4681831C"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rFonts w:hint="eastAsia"/>
                <w:b/>
                <w:bCs/>
                <w:spacing w:val="0"/>
                <w:sz w:val="20"/>
              </w:rPr>
              <w:t>2.8</w:t>
            </w:r>
          </w:p>
          <w:p w14:paraId="718FA076"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(1.3)</w:t>
            </w:r>
          </w:p>
        </w:tc>
        <w:tc>
          <w:tcPr>
            <w:tcW w:w="469" w:type="pct"/>
          </w:tcPr>
          <w:p w14:paraId="2E0BC029"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rFonts w:hint="eastAsia"/>
                <w:b/>
                <w:bCs/>
                <w:spacing w:val="0"/>
                <w:sz w:val="20"/>
              </w:rPr>
              <w:t>3.0</w:t>
            </w:r>
          </w:p>
          <w:p w14:paraId="13D7B0F3"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(0.3)</w:t>
            </w:r>
          </w:p>
        </w:tc>
        <w:tc>
          <w:tcPr>
            <w:tcW w:w="469" w:type="pct"/>
          </w:tcPr>
          <w:p w14:paraId="54AC1BC4" w14:textId="77777777" w:rsidR="00B502D4" w:rsidRPr="00C137CC"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rFonts w:hint="eastAsia"/>
                <w:b/>
                <w:spacing w:val="0"/>
                <w:sz w:val="20"/>
              </w:rPr>
              <w:t>1.9</w:t>
            </w:r>
          </w:p>
          <w:p w14:paraId="69B1FE99" w14:textId="77777777" w:rsidR="00B502D4" w:rsidRPr="00C137CC"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b/>
                <w:spacing w:val="0"/>
                <w:sz w:val="20"/>
              </w:rPr>
              <w:t>(-0.1)</w:t>
            </w:r>
          </w:p>
        </w:tc>
        <w:tc>
          <w:tcPr>
            <w:tcW w:w="469" w:type="pct"/>
          </w:tcPr>
          <w:p w14:paraId="6C812FF6" w14:textId="77777777" w:rsidR="00B502D4" w:rsidRPr="00C137CC" w:rsidRDefault="00B502D4" w:rsidP="00B502D4">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rFonts w:hint="eastAsia"/>
                <w:b/>
                <w:spacing w:val="0"/>
                <w:sz w:val="20"/>
              </w:rPr>
              <w:t>2.5</w:t>
            </w:r>
          </w:p>
          <w:p w14:paraId="3319DE4A" w14:textId="77777777" w:rsidR="00B502D4" w:rsidRPr="00C137CC" w:rsidRDefault="00B502D4" w:rsidP="00B502D4">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b/>
                <w:spacing w:val="0"/>
                <w:sz w:val="20"/>
              </w:rPr>
              <w:t>(0.9)</w:t>
            </w:r>
          </w:p>
        </w:tc>
        <w:tc>
          <w:tcPr>
            <w:tcW w:w="469" w:type="pct"/>
          </w:tcPr>
          <w:p w14:paraId="7B91E3F8"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3.0</w:t>
            </w:r>
          </w:p>
          <w:p w14:paraId="57A22C0E" w14:textId="26E39CA7" w:rsidR="00B502D4" w:rsidRPr="0069553F" w:rsidRDefault="00B502D4" w:rsidP="00CC0729">
            <w:pPr>
              <w:keepNext/>
              <w:tabs>
                <w:tab w:val="clear" w:pos="936"/>
                <w:tab w:val="clear" w:pos="1560"/>
                <w:tab w:val="clear" w:pos="2184"/>
                <w:tab w:val="clear" w:pos="2808"/>
                <w:tab w:val="decimal" w:pos="394"/>
              </w:tabs>
              <w:snapToGrid w:val="0"/>
              <w:spacing w:after="0" w:line="240" w:lineRule="auto"/>
              <w:rPr>
                <w:b/>
                <w:bCs/>
                <w:spacing w:val="0"/>
                <w:sz w:val="20"/>
              </w:rPr>
            </w:pPr>
            <w:r w:rsidRPr="0069553F">
              <w:rPr>
                <w:b/>
                <w:bCs/>
                <w:spacing w:val="0"/>
                <w:sz w:val="20"/>
              </w:rPr>
              <w:t>(1.8)</w:t>
            </w:r>
          </w:p>
        </w:tc>
        <w:tc>
          <w:tcPr>
            <w:tcW w:w="469" w:type="pct"/>
          </w:tcPr>
          <w:p w14:paraId="0B4C8833"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3.1</w:t>
            </w:r>
          </w:p>
          <w:p w14:paraId="058B9511" w14:textId="6627402C" w:rsidR="00B502D4" w:rsidRPr="0069553F" w:rsidRDefault="00B502D4" w:rsidP="00CC0729">
            <w:pPr>
              <w:keepNext/>
              <w:tabs>
                <w:tab w:val="clear" w:pos="936"/>
                <w:tab w:val="clear" w:pos="1560"/>
                <w:tab w:val="clear" w:pos="2184"/>
                <w:tab w:val="clear" w:pos="2808"/>
                <w:tab w:val="decimal" w:pos="394"/>
              </w:tabs>
              <w:snapToGrid w:val="0"/>
              <w:spacing w:after="0" w:line="240" w:lineRule="auto"/>
              <w:rPr>
                <w:b/>
                <w:bCs/>
                <w:spacing w:val="0"/>
                <w:sz w:val="20"/>
              </w:rPr>
            </w:pPr>
            <w:r w:rsidRPr="0069553F">
              <w:rPr>
                <w:b/>
                <w:bCs/>
                <w:spacing w:val="0"/>
                <w:sz w:val="20"/>
              </w:rPr>
              <w:t>(0.4)</w:t>
            </w:r>
          </w:p>
        </w:tc>
      </w:tr>
      <w:tr w:rsidR="001C2B1B" w:rsidRPr="002152AF" w14:paraId="09060B20" w14:textId="77777777" w:rsidTr="00CC0729">
        <w:trPr>
          <w:jc w:val="center"/>
        </w:trPr>
        <w:tc>
          <w:tcPr>
            <w:tcW w:w="1564" w:type="pct"/>
          </w:tcPr>
          <w:p w14:paraId="47BC4028" w14:textId="77777777" w:rsidR="00B502D4" w:rsidRPr="002152AF" w:rsidRDefault="00B502D4" w:rsidP="00B502D4">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rFonts w:eastAsia="華康中黑體"/>
                <w:spacing w:val="0"/>
                <w:sz w:val="20"/>
              </w:rPr>
            </w:pPr>
            <w:r w:rsidRPr="002152AF">
              <w:rPr>
                <w:rFonts w:hint="eastAsia"/>
                <w:i/>
                <w:spacing w:val="0"/>
                <w:sz w:val="20"/>
                <w:u w:val="single"/>
              </w:rPr>
              <w:t>主要價格指標的增減百分率</w:t>
            </w:r>
          </w:p>
        </w:tc>
        <w:tc>
          <w:tcPr>
            <w:tcW w:w="623" w:type="pct"/>
          </w:tcPr>
          <w:p w14:paraId="1BF6148D"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p>
        </w:tc>
        <w:tc>
          <w:tcPr>
            <w:tcW w:w="469" w:type="pct"/>
          </w:tcPr>
          <w:p w14:paraId="4A7F2CC7"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p>
        </w:tc>
        <w:tc>
          <w:tcPr>
            <w:tcW w:w="469" w:type="pct"/>
          </w:tcPr>
          <w:p w14:paraId="0BE5BA0B"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p>
        </w:tc>
        <w:tc>
          <w:tcPr>
            <w:tcW w:w="469" w:type="pct"/>
          </w:tcPr>
          <w:p w14:paraId="071EF31E" w14:textId="77777777" w:rsidR="00B502D4" w:rsidRPr="00D93311"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p>
        </w:tc>
        <w:tc>
          <w:tcPr>
            <w:tcW w:w="469" w:type="pct"/>
          </w:tcPr>
          <w:p w14:paraId="49618570" w14:textId="77777777" w:rsidR="00B502D4" w:rsidRPr="00073DE0" w:rsidRDefault="00B502D4" w:rsidP="00B502D4">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p>
        </w:tc>
        <w:tc>
          <w:tcPr>
            <w:tcW w:w="469" w:type="pct"/>
          </w:tcPr>
          <w:p w14:paraId="3D48F4BA"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p>
        </w:tc>
        <w:tc>
          <w:tcPr>
            <w:tcW w:w="469" w:type="pct"/>
          </w:tcPr>
          <w:p w14:paraId="32E151A6"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p>
        </w:tc>
      </w:tr>
      <w:tr w:rsidR="001C2B1B" w:rsidRPr="002152AF" w14:paraId="7354D1E5" w14:textId="77777777" w:rsidTr="00CC0729">
        <w:trPr>
          <w:jc w:val="center"/>
        </w:trPr>
        <w:tc>
          <w:tcPr>
            <w:tcW w:w="1564" w:type="pct"/>
          </w:tcPr>
          <w:p w14:paraId="47E5787B" w14:textId="77777777" w:rsidR="00B502D4" w:rsidRPr="002152AF" w:rsidRDefault="00B502D4" w:rsidP="00B502D4">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0"/>
                <w:sz w:val="20"/>
                <w:u w:val="single"/>
              </w:rPr>
            </w:pPr>
            <w:r w:rsidRPr="002152AF">
              <w:rPr>
                <w:rFonts w:eastAsia="華康中黑體" w:hint="eastAsia"/>
                <w:spacing w:val="0"/>
                <w:sz w:val="20"/>
              </w:rPr>
              <w:t>本地生產總值平減物價指數</w:t>
            </w:r>
          </w:p>
        </w:tc>
        <w:tc>
          <w:tcPr>
            <w:tcW w:w="623" w:type="pct"/>
          </w:tcPr>
          <w:p w14:paraId="494BE6D1"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Pr>
                <w:rFonts w:hint="eastAsia"/>
                <w:b/>
                <w:spacing w:val="0"/>
                <w:sz w:val="20"/>
              </w:rPr>
              <w:t>3.8</w:t>
            </w:r>
          </w:p>
        </w:tc>
        <w:tc>
          <w:tcPr>
            <w:tcW w:w="469" w:type="pct"/>
          </w:tcPr>
          <w:p w14:paraId="7FE2BB7C"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rFonts w:hint="eastAsia"/>
                <w:b/>
                <w:bCs/>
                <w:spacing w:val="0"/>
                <w:sz w:val="20"/>
              </w:rPr>
              <w:t>3.8</w:t>
            </w:r>
          </w:p>
          <w:p w14:paraId="383F82E7"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(0.7)</w:t>
            </w:r>
          </w:p>
        </w:tc>
        <w:tc>
          <w:tcPr>
            <w:tcW w:w="469" w:type="pct"/>
          </w:tcPr>
          <w:p w14:paraId="778D9F52"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4.5</w:t>
            </w:r>
          </w:p>
          <w:p w14:paraId="0F2610F7"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(1.2)</w:t>
            </w:r>
          </w:p>
        </w:tc>
        <w:tc>
          <w:tcPr>
            <w:tcW w:w="469" w:type="pct"/>
          </w:tcPr>
          <w:p w14:paraId="42659717" w14:textId="77777777" w:rsidR="00B502D4" w:rsidRPr="00C137CC"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b/>
                <w:spacing w:val="0"/>
                <w:sz w:val="20"/>
              </w:rPr>
              <w:t>4.3</w:t>
            </w:r>
          </w:p>
          <w:p w14:paraId="4E623282" w14:textId="77777777" w:rsidR="00B502D4" w:rsidRPr="000D509A"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b/>
                <w:spacing w:val="0"/>
                <w:sz w:val="20"/>
              </w:rPr>
              <w:t>(1.0)</w:t>
            </w:r>
          </w:p>
        </w:tc>
        <w:tc>
          <w:tcPr>
            <w:tcW w:w="469" w:type="pct"/>
          </w:tcPr>
          <w:p w14:paraId="2838874F" w14:textId="77777777" w:rsidR="00B502D4" w:rsidRPr="00C137CC" w:rsidRDefault="00B502D4" w:rsidP="00B502D4">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b/>
                <w:spacing w:val="0"/>
                <w:sz w:val="20"/>
              </w:rPr>
              <w:t>2.8</w:t>
            </w:r>
          </w:p>
          <w:p w14:paraId="1BABB2A0" w14:textId="77777777" w:rsidR="00B502D4" w:rsidRPr="000D509A" w:rsidRDefault="00B502D4" w:rsidP="00B502D4">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b/>
                <w:spacing w:val="0"/>
                <w:sz w:val="20"/>
              </w:rPr>
              <w:t>(-0.2)</w:t>
            </w:r>
          </w:p>
        </w:tc>
        <w:tc>
          <w:tcPr>
            <w:tcW w:w="469" w:type="pct"/>
          </w:tcPr>
          <w:p w14:paraId="40F741FF"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1.3</w:t>
            </w:r>
          </w:p>
          <w:p w14:paraId="345A753D" w14:textId="708650FC" w:rsidR="00B502D4" w:rsidRPr="0069553F" w:rsidRDefault="00B502D4" w:rsidP="00CC0729">
            <w:pPr>
              <w:keepNext/>
              <w:tabs>
                <w:tab w:val="clear" w:pos="936"/>
                <w:tab w:val="clear" w:pos="1560"/>
                <w:tab w:val="clear" w:pos="2184"/>
                <w:tab w:val="clear" w:pos="2808"/>
                <w:tab w:val="decimal" w:pos="394"/>
              </w:tabs>
              <w:snapToGrid w:val="0"/>
              <w:spacing w:after="0" w:line="240" w:lineRule="auto"/>
              <w:rPr>
                <w:b/>
                <w:bCs/>
                <w:spacing w:val="0"/>
                <w:sz w:val="20"/>
              </w:rPr>
            </w:pPr>
            <w:r w:rsidRPr="0069553F">
              <w:rPr>
                <w:b/>
                <w:bCs/>
                <w:spacing w:val="0"/>
                <w:sz w:val="20"/>
              </w:rPr>
              <w:t xml:space="preserve"> (</w:t>
            </w:r>
            <w:r w:rsidRPr="0069553F">
              <w:rPr>
                <w:rFonts w:hint="eastAsia"/>
                <w:b/>
                <w:bCs/>
                <w:spacing w:val="0"/>
                <w:sz w:val="20"/>
              </w:rPr>
              <w:t>-0.</w:t>
            </w:r>
            <w:r w:rsidRPr="0069553F">
              <w:rPr>
                <w:b/>
                <w:bCs/>
                <w:spacing w:val="0"/>
                <w:sz w:val="20"/>
              </w:rPr>
              <w:t>7)</w:t>
            </w:r>
          </w:p>
        </w:tc>
        <w:tc>
          <w:tcPr>
            <w:tcW w:w="469" w:type="pct"/>
          </w:tcPr>
          <w:p w14:paraId="20A7D51B" w14:textId="6D67ABB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0.</w:t>
            </w:r>
            <w:r w:rsidR="004923BD" w:rsidRPr="0069553F">
              <w:rPr>
                <w:b/>
                <w:bCs/>
                <w:spacing w:val="0"/>
                <w:sz w:val="20"/>
              </w:rPr>
              <w:t>5</w:t>
            </w:r>
          </w:p>
          <w:p w14:paraId="6178D373" w14:textId="31CCE7B3" w:rsidR="00B502D4" w:rsidRPr="0069553F" w:rsidRDefault="00B502D4" w:rsidP="00CC0729">
            <w:pPr>
              <w:keepNext/>
              <w:tabs>
                <w:tab w:val="clear" w:pos="936"/>
                <w:tab w:val="clear" w:pos="1560"/>
                <w:tab w:val="clear" w:pos="2184"/>
                <w:tab w:val="clear" w:pos="2808"/>
                <w:tab w:val="decimal" w:pos="394"/>
              </w:tabs>
              <w:snapToGrid w:val="0"/>
              <w:spacing w:after="0" w:line="240" w:lineRule="auto"/>
              <w:rPr>
                <w:b/>
                <w:bCs/>
                <w:spacing w:val="0"/>
                <w:sz w:val="20"/>
              </w:rPr>
            </w:pPr>
            <w:r w:rsidRPr="0069553F">
              <w:rPr>
                <w:b/>
                <w:bCs/>
                <w:spacing w:val="0"/>
                <w:sz w:val="20"/>
              </w:rPr>
              <w:t>(0.</w:t>
            </w:r>
            <w:r w:rsidR="004923BD" w:rsidRPr="0069553F">
              <w:rPr>
                <w:b/>
                <w:bCs/>
                <w:spacing w:val="0"/>
                <w:sz w:val="20"/>
              </w:rPr>
              <w:t>4</w:t>
            </w:r>
            <w:r w:rsidRPr="0069553F">
              <w:rPr>
                <w:b/>
                <w:bCs/>
                <w:spacing w:val="0"/>
                <w:sz w:val="20"/>
              </w:rPr>
              <w:t>)</w:t>
            </w:r>
          </w:p>
        </w:tc>
      </w:tr>
      <w:tr w:rsidR="001C2B1B" w:rsidRPr="002152AF" w14:paraId="6BBC6EAF" w14:textId="77777777" w:rsidTr="00CC0729">
        <w:trPr>
          <w:jc w:val="center"/>
        </w:trPr>
        <w:tc>
          <w:tcPr>
            <w:tcW w:w="1564" w:type="pct"/>
          </w:tcPr>
          <w:p w14:paraId="18052658" w14:textId="77777777" w:rsidR="00B502D4" w:rsidRPr="002152AF" w:rsidRDefault="00B502D4" w:rsidP="00B502D4">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rFonts w:eastAsia="華康中黑體"/>
                <w:spacing w:val="0"/>
                <w:sz w:val="20"/>
              </w:rPr>
            </w:pPr>
            <w:r w:rsidRPr="002152AF">
              <w:rPr>
                <w:rFonts w:eastAsia="華康中黑體" w:hint="eastAsia"/>
                <w:spacing w:val="0"/>
                <w:sz w:val="20"/>
              </w:rPr>
              <w:t>綜合消費物價指數</w:t>
            </w:r>
          </w:p>
        </w:tc>
        <w:tc>
          <w:tcPr>
            <w:tcW w:w="623" w:type="pct"/>
          </w:tcPr>
          <w:p w14:paraId="189CC408"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p>
        </w:tc>
        <w:tc>
          <w:tcPr>
            <w:tcW w:w="469" w:type="pct"/>
          </w:tcPr>
          <w:p w14:paraId="51191403"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p>
        </w:tc>
        <w:tc>
          <w:tcPr>
            <w:tcW w:w="469" w:type="pct"/>
          </w:tcPr>
          <w:p w14:paraId="4A219E44"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p>
        </w:tc>
        <w:tc>
          <w:tcPr>
            <w:tcW w:w="469" w:type="pct"/>
          </w:tcPr>
          <w:p w14:paraId="06C1751E" w14:textId="77777777" w:rsidR="00B502D4" w:rsidRPr="00D93311"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p>
        </w:tc>
        <w:tc>
          <w:tcPr>
            <w:tcW w:w="469" w:type="pct"/>
          </w:tcPr>
          <w:p w14:paraId="46B6AE47" w14:textId="77777777" w:rsidR="00B502D4" w:rsidRPr="00073DE0" w:rsidRDefault="00B502D4" w:rsidP="00B502D4">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p>
        </w:tc>
        <w:tc>
          <w:tcPr>
            <w:tcW w:w="469" w:type="pct"/>
          </w:tcPr>
          <w:p w14:paraId="6948C457"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p>
        </w:tc>
        <w:tc>
          <w:tcPr>
            <w:tcW w:w="469" w:type="pct"/>
          </w:tcPr>
          <w:p w14:paraId="27A122AF" w14:textId="7618E72A"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p>
        </w:tc>
      </w:tr>
      <w:tr w:rsidR="001C2B1B" w:rsidRPr="002152AF" w14:paraId="65DCF763" w14:textId="77777777" w:rsidTr="00CC0729">
        <w:trPr>
          <w:jc w:val="center"/>
        </w:trPr>
        <w:tc>
          <w:tcPr>
            <w:tcW w:w="1564" w:type="pct"/>
          </w:tcPr>
          <w:p w14:paraId="36EF2AFB" w14:textId="77777777" w:rsidR="00B502D4" w:rsidRPr="002152AF" w:rsidRDefault="00B502D4" w:rsidP="00B502D4">
            <w:pPr>
              <w:keepNext/>
              <w:tabs>
                <w:tab w:val="clear" w:pos="936"/>
                <w:tab w:val="clear" w:pos="1560"/>
                <w:tab w:val="clear" w:pos="2184"/>
                <w:tab w:val="clear" w:pos="2808"/>
              </w:tabs>
              <w:snapToGrid w:val="0"/>
              <w:spacing w:afterLines="30" w:after="108" w:line="240" w:lineRule="atLeast"/>
              <w:ind w:firstLineChars="100" w:firstLine="200"/>
              <w:rPr>
                <w:rFonts w:eastAsia="華康中黑體"/>
                <w:spacing w:val="0"/>
                <w:sz w:val="20"/>
              </w:rPr>
            </w:pPr>
            <w:r w:rsidRPr="002152AF">
              <w:rPr>
                <w:rFonts w:eastAsia="華康中黑體" w:hint="eastAsia"/>
                <w:spacing w:val="0"/>
                <w:sz w:val="20"/>
              </w:rPr>
              <w:t>整體消費物價指數</w:t>
            </w:r>
          </w:p>
        </w:tc>
        <w:tc>
          <w:tcPr>
            <w:tcW w:w="623" w:type="pct"/>
          </w:tcPr>
          <w:p w14:paraId="1050BF52"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Pr>
                <w:rFonts w:hint="eastAsia"/>
                <w:b/>
                <w:spacing w:val="0"/>
                <w:sz w:val="20"/>
              </w:rPr>
              <w:t>1.7</w:t>
            </w:r>
          </w:p>
        </w:tc>
        <w:tc>
          <w:tcPr>
            <w:tcW w:w="469" w:type="pct"/>
          </w:tcPr>
          <w:p w14:paraId="04C861FE"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rFonts w:hint="eastAsia"/>
                <w:b/>
                <w:bCs/>
                <w:spacing w:val="0"/>
                <w:sz w:val="20"/>
              </w:rPr>
              <w:t>1.9</w:t>
            </w:r>
          </w:p>
          <w:p w14:paraId="1663FF67" w14:textId="77777777" w:rsidR="00B502D4" w:rsidRPr="0069553F" w:rsidRDefault="00B502D4" w:rsidP="00CC0729">
            <w:pPr>
              <w:keepNext/>
              <w:tabs>
                <w:tab w:val="clear" w:pos="936"/>
                <w:tab w:val="clear" w:pos="1560"/>
                <w:tab w:val="clear" w:pos="2184"/>
                <w:tab w:val="clear" w:pos="2808"/>
                <w:tab w:val="decimal" w:pos="394"/>
                <w:tab w:val="decimal" w:pos="677"/>
              </w:tabs>
              <w:snapToGrid w:val="0"/>
              <w:spacing w:after="0" w:line="240" w:lineRule="atLeast"/>
              <w:ind w:firstLineChars="150" w:firstLine="300"/>
              <w:jc w:val="left"/>
              <w:textAlignment w:val="auto"/>
              <w:rPr>
                <w:b/>
                <w:bCs/>
                <w:spacing w:val="0"/>
                <w:sz w:val="20"/>
              </w:rPr>
            </w:pPr>
            <w:r w:rsidRPr="0069553F">
              <w:rPr>
                <w:b/>
                <w:bCs/>
                <w:spacing w:val="0"/>
                <w:sz w:val="20"/>
              </w:rPr>
              <w:t>(</w:t>
            </w:r>
            <w:r w:rsidRPr="0069553F">
              <w:rPr>
                <w:spacing w:val="0"/>
                <w:sz w:val="20"/>
              </w:rPr>
              <w:t>*</w:t>
            </w:r>
            <w:r w:rsidRPr="0069553F">
              <w:rPr>
                <w:b/>
                <w:bCs/>
                <w:spacing w:val="0"/>
                <w:sz w:val="20"/>
              </w:rPr>
              <w:t>)</w:t>
            </w:r>
          </w:p>
        </w:tc>
        <w:tc>
          <w:tcPr>
            <w:tcW w:w="469" w:type="pct"/>
          </w:tcPr>
          <w:p w14:paraId="1549D9C1"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1.2</w:t>
            </w:r>
          </w:p>
          <w:p w14:paraId="4D337197"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(-0.4)</w:t>
            </w:r>
          </w:p>
        </w:tc>
        <w:tc>
          <w:tcPr>
            <w:tcW w:w="469" w:type="pct"/>
          </w:tcPr>
          <w:p w14:paraId="49999BB3" w14:textId="77777777" w:rsidR="00B502D4" w:rsidRPr="00C137CC"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b/>
                <w:spacing w:val="0"/>
                <w:sz w:val="20"/>
              </w:rPr>
              <w:t>2.4</w:t>
            </w:r>
          </w:p>
          <w:p w14:paraId="24F706CF" w14:textId="77777777" w:rsidR="00B502D4" w:rsidRPr="000D509A"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b/>
                <w:spacing w:val="0"/>
                <w:sz w:val="20"/>
              </w:rPr>
              <w:t>(1.5)</w:t>
            </w:r>
          </w:p>
        </w:tc>
        <w:tc>
          <w:tcPr>
            <w:tcW w:w="469" w:type="pct"/>
          </w:tcPr>
          <w:p w14:paraId="33CCF271" w14:textId="77777777" w:rsidR="00B502D4" w:rsidRPr="00C137CC" w:rsidRDefault="00B502D4" w:rsidP="00B502D4">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b/>
                <w:spacing w:val="0"/>
                <w:sz w:val="20"/>
              </w:rPr>
              <w:t>1.4</w:t>
            </w:r>
          </w:p>
          <w:p w14:paraId="587D9837" w14:textId="77777777" w:rsidR="00B502D4" w:rsidRPr="000D509A" w:rsidRDefault="00B502D4" w:rsidP="00B502D4">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b/>
                <w:spacing w:val="0"/>
                <w:sz w:val="20"/>
              </w:rPr>
              <w:t>(0.3)</w:t>
            </w:r>
          </w:p>
        </w:tc>
        <w:tc>
          <w:tcPr>
            <w:tcW w:w="469" w:type="pct"/>
          </w:tcPr>
          <w:p w14:paraId="51110BF5"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1.</w:t>
            </w:r>
            <w:r w:rsidRPr="0069553F">
              <w:rPr>
                <w:rFonts w:hint="eastAsia"/>
                <w:b/>
                <w:bCs/>
                <w:spacing w:val="0"/>
                <w:sz w:val="20"/>
              </w:rPr>
              <w:t>6</w:t>
            </w:r>
          </w:p>
          <w:p w14:paraId="2FC914D1" w14:textId="16049025" w:rsidR="00B502D4" w:rsidRPr="0069553F" w:rsidRDefault="00B502D4" w:rsidP="00CC0729">
            <w:pPr>
              <w:keepNext/>
              <w:tabs>
                <w:tab w:val="clear" w:pos="936"/>
                <w:tab w:val="clear" w:pos="1560"/>
                <w:tab w:val="clear" w:pos="2184"/>
                <w:tab w:val="clear" w:pos="2808"/>
                <w:tab w:val="decimal" w:pos="394"/>
              </w:tabs>
              <w:snapToGrid w:val="0"/>
              <w:spacing w:after="0" w:line="240" w:lineRule="auto"/>
              <w:rPr>
                <w:b/>
                <w:bCs/>
                <w:spacing w:val="0"/>
                <w:sz w:val="20"/>
              </w:rPr>
            </w:pPr>
            <w:r w:rsidRPr="0069553F">
              <w:rPr>
                <w:b/>
                <w:bCs/>
                <w:spacing w:val="0"/>
                <w:sz w:val="20"/>
              </w:rPr>
              <w:t>(0.2)</w:t>
            </w:r>
          </w:p>
        </w:tc>
        <w:tc>
          <w:tcPr>
            <w:tcW w:w="469" w:type="pct"/>
          </w:tcPr>
          <w:p w14:paraId="40DD9D08" w14:textId="79234C2B"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1.8</w:t>
            </w:r>
          </w:p>
          <w:p w14:paraId="68C19779" w14:textId="509FA5EB" w:rsidR="00B502D4" w:rsidRPr="0069553F" w:rsidRDefault="00B502D4" w:rsidP="00CC0729">
            <w:pPr>
              <w:keepNext/>
              <w:tabs>
                <w:tab w:val="clear" w:pos="936"/>
                <w:tab w:val="clear" w:pos="1560"/>
                <w:tab w:val="clear" w:pos="2184"/>
                <w:tab w:val="clear" w:pos="2808"/>
                <w:tab w:val="decimal" w:pos="394"/>
              </w:tabs>
              <w:snapToGrid w:val="0"/>
              <w:spacing w:after="0" w:line="240" w:lineRule="auto"/>
              <w:rPr>
                <w:b/>
                <w:bCs/>
                <w:spacing w:val="0"/>
                <w:sz w:val="20"/>
              </w:rPr>
            </w:pPr>
            <w:r w:rsidRPr="0069553F">
              <w:rPr>
                <w:b/>
                <w:bCs/>
                <w:spacing w:val="0"/>
                <w:sz w:val="20"/>
              </w:rPr>
              <w:t>(-0.2)</w:t>
            </w:r>
          </w:p>
        </w:tc>
      </w:tr>
      <w:tr w:rsidR="001C2B1B" w:rsidRPr="002152AF" w14:paraId="6641F760" w14:textId="77777777" w:rsidTr="00CC0729">
        <w:trPr>
          <w:jc w:val="center"/>
        </w:trPr>
        <w:tc>
          <w:tcPr>
            <w:tcW w:w="1564" w:type="pct"/>
          </w:tcPr>
          <w:p w14:paraId="690B8986" w14:textId="77777777" w:rsidR="00B502D4" w:rsidRPr="002152AF" w:rsidRDefault="00B502D4" w:rsidP="00B502D4">
            <w:pPr>
              <w:keepNext/>
              <w:tabs>
                <w:tab w:val="clear" w:pos="936"/>
                <w:tab w:val="clear" w:pos="1560"/>
                <w:tab w:val="clear" w:pos="2184"/>
                <w:tab w:val="clear" w:pos="2808"/>
              </w:tabs>
              <w:snapToGrid w:val="0"/>
              <w:spacing w:afterLines="30" w:after="108" w:line="240" w:lineRule="atLeast"/>
              <w:ind w:firstLineChars="100" w:firstLine="200"/>
              <w:rPr>
                <w:rFonts w:eastAsia="華康中黑體"/>
                <w:spacing w:val="0"/>
                <w:sz w:val="20"/>
              </w:rPr>
            </w:pPr>
            <w:r w:rsidRPr="002152AF">
              <w:rPr>
                <w:rFonts w:eastAsia="華康中黑體" w:hint="eastAsia"/>
                <w:spacing w:val="0"/>
                <w:sz w:val="20"/>
              </w:rPr>
              <w:t>基本消費物價指數</w:t>
            </w:r>
            <w:r w:rsidRPr="002152AF">
              <w:rPr>
                <w:rFonts w:eastAsia="華康中黑體"/>
                <w:spacing w:val="0"/>
                <w:sz w:val="20"/>
              </w:rPr>
              <w:t>^</w:t>
            </w:r>
          </w:p>
        </w:tc>
        <w:tc>
          <w:tcPr>
            <w:tcW w:w="623" w:type="pct"/>
          </w:tcPr>
          <w:p w14:paraId="7AA7BD7B"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Pr>
                <w:rFonts w:hint="eastAsia"/>
                <w:b/>
                <w:spacing w:val="0"/>
                <w:sz w:val="20"/>
              </w:rPr>
              <w:t>1.1</w:t>
            </w:r>
          </w:p>
        </w:tc>
        <w:tc>
          <w:tcPr>
            <w:tcW w:w="469" w:type="pct"/>
          </w:tcPr>
          <w:p w14:paraId="101D15CB"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rFonts w:hint="eastAsia"/>
                <w:b/>
                <w:bCs/>
                <w:spacing w:val="0"/>
                <w:sz w:val="20"/>
              </w:rPr>
              <w:t>1.0</w:t>
            </w:r>
          </w:p>
          <w:p w14:paraId="46D9B4D5" w14:textId="77777777" w:rsidR="00B502D4" w:rsidRPr="0069553F" w:rsidRDefault="00B502D4" w:rsidP="00CC0729">
            <w:pPr>
              <w:keepNext/>
              <w:tabs>
                <w:tab w:val="clear" w:pos="936"/>
                <w:tab w:val="clear" w:pos="1560"/>
                <w:tab w:val="clear" w:pos="2184"/>
                <w:tab w:val="clear" w:pos="2808"/>
                <w:tab w:val="decimal" w:pos="394"/>
                <w:tab w:val="decimal" w:pos="677"/>
              </w:tabs>
              <w:snapToGrid w:val="0"/>
              <w:spacing w:after="0" w:line="240" w:lineRule="atLeast"/>
              <w:ind w:firstLineChars="150" w:firstLine="300"/>
              <w:jc w:val="left"/>
              <w:textAlignment w:val="auto"/>
              <w:rPr>
                <w:b/>
                <w:bCs/>
                <w:spacing w:val="0"/>
                <w:sz w:val="20"/>
              </w:rPr>
            </w:pPr>
            <w:r w:rsidRPr="0069553F">
              <w:rPr>
                <w:b/>
                <w:bCs/>
                <w:spacing w:val="0"/>
                <w:sz w:val="20"/>
              </w:rPr>
              <w:t>(</w:t>
            </w:r>
            <w:r w:rsidRPr="0069553F">
              <w:rPr>
                <w:spacing w:val="0"/>
                <w:sz w:val="20"/>
              </w:rPr>
              <w:t>*</w:t>
            </w:r>
            <w:r w:rsidRPr="0069553F">
              <w:rPr>
                <w:b/>
                <w:bCs/>
                <w:spacing w:val="0"/>
                <w:sz w:val="20"/>
              </w:rPr>
              <w:t>)</w:t>
            </w:r>
          </w:p>
        </w:tc>
        <w:tc>
          <w:tcPr>
            <w:tcW w:w="469" w:type="pct"/>
          </w:tcPr>
          <w:p w14:paraId="28FB300A"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1.0</w:t>
            </w:r>
          </w:p>
          <w:p w14:paraId="476EAF3F"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(0.4)</w:t>
            </w:r>
          </w:p>
        </w:tc>
        <w:tc>
          <w:tcPr>
            <w:tcW w:w="469" w:type="pct"/>
          </w:tcPr>
          <w:p w14:paraId="7C45E5E4" w14:textId="77777777" w:rsidR="00B502D4" w:rsidRPr="00C137CC"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b/>
                <w:spacing w:val="0"/>
                <w:sz w:val="20"/>
              </w:rPr>
              <w:t>1.1</w:t>
            </w:r>
          </w:p>
          <w:p w14:paraId="20914C26" w14:textId="77777777" w:rsidR="00B502D4" w:rsidRPr="000D509A"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b/>
                <w:spacing w:val="0"/>
                <w:sz w:val="20"/>
              </w:rPr>
              <w:t>(0.4)</w:t>
            </w:r>
          </w:p>
        </w:tc>
        <w:tc>
          <w:tcPr>
            <w:tcW w:w="469" w:type="pct"/>
          </w:tcPr>
          <w:p w14:paraId="01230C13" w14:textId="77777777" w:rsidR="00B502D4" w:rsidRPr="00C137CC" w:rsidRDefault="00B502D4" w:rsidP="00B502D4">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b/>
                <w:spacing w:val="0"/>
                <w:sz w:val="20"/>
              </w:rPr>
              <w:t>1.2</w:t>
            </w:r>
          </w:p>
          <w:p w14:paraId="3892E635" w14:textId="77777777" w:rsidR="00B502D4" w:rsidRPr="000D509A" w:rsidRDefault="00B502D4" w:rsidP="00B502D4">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b/>
                <w:spacing w:val="0"/>
                <w:sz w:val="20"/>
              </w:rPr>
              <w:t>(0.5)</w:t>
            </w:r>
          </w:p>
        </w:tc>
        <w:tc>
          <w:tcPr>
            <w:tcW w:w="469" w:type="pct"/>
          </w:tcPr>
          <w:p w14:paraId="4EAF94F5"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1.2</w:t>
            </w:r>
          </w:p>
          <w:p w14:paraId="7E21AAAA" w14:textId="382F3040" w:rsidR="00B502D4" w:rsidRPr="0069553F" w:rsidRDefault="0069553F" w:rsidP="00CC0729">
            <w:pPr>
              <w:keepNext/>
              <w:tabs>
                <w:tab w:val="clear" w:pos="936"/>
                <w:tab w:val="clear" w:pos="1560"/>
                <w:tab w:val="clear" w:pos="2184"/>
                <w:tab w:val="clear" w:pos="2808"/>
                <w:tab w:val="decimal" w:pos="394"/>
                <w:tab w:val="decimal" w:pos="686"/>
              </w:tabs>
              <w:snapToGrid w:val="0"/>
              <w:spacing w:after="0" w:line="240" w:lineRule="atLeast"/>
              <w:jc w:val="left"/>
              <w:textAlignment w:val="auto"/>
              <w:rPr>
                <w:b/>
                <w:bCs/>
                <w:spacing w:val="0"/>
                <w:sz w:val="20"/>
              </w:rPr>
            </w:pPr>
            <w:r w:rsidRPr="00CC0729">
              <w:rPr>
                <w:b/>
                <w:bCs/>
                <w:spacing w:val="0"/>
                <w:sz w:val="20"/>
              </w:rPr>
              <w:t xml:space="preserve">   </w:t>
            </w:r>
            <w:r w:rsidR="00B502D4" w:rsidRPr="0069553F">
              <w:rPr>
                <w:b/>
                <w:bCs/>
                <w:spacing w:val="0"/>
                <w:sz w:val="20"/>
              </w:rPr>
              <w:t>(</w:t>
            </w:r>
            <w:r w:rsidR="00B502D4" w:rsidRPr="0069553F">
              <w:rPr>
                <w:spacing w:val="0"/>
                <w:sz w:val="20"/>
              </w:rPr>
              <w:t>*</w:t>
            </w:r>
            <w:r w:rsidR="00B502D4" w:rsidRPr="0069553F">
              <w:rPr>
                <w:b/>
                <w:bCs/>
                <w:spacing w:val="0"/>
                <w:sz w:val="20"/>
              </w:rPr>
              <w:t>)</w:t>
            </w:r>
          </w:p>
        </w:tc>
        <w:tc>
          <w:tcPr>
            <w:tcW w:w="469" w:type="pct"/>
          </w:tcPr>
          <w:p w14:paraId="5B78030B" w14:textId="61B0EAA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1.1</w:t>
            </w:r>
          </w:p>
          <w:p w14:paraId="6842D067" w14:textId="653D2C23" w:rsidR="00B502D4" w:rsidRPr="0069553F" w:rsidRDefault="00B502D4" w:rsidP="00CC0729">
            <w:pPr>
              <w:keepNext/>
              <w:tabs>
                <w:tab w:val="clear" w:pos="936"/>
                <w:tab w:val="clear" w:pos="1560"/>
                <w:tab w:val="clear" w:pos="2184"/>
                <w:tab w:val="clear" w:pos="2808"/>
                <w:tab w:val="decimal" w:pos="394"/>
              </w:tabs>
              <w:snapToGrid w:val="0"/>
              <w:spacing w:after="0" w:line="240" w:lineRule="auto"/>
              <w:rPr>
                <w:b/>
                <w:bCs/>
                <w:spacing w:val="0"/>
                <w:sz w:val="20"/>
              </w:rPr>
            </w:pPr>
            <w:r w:rsidRPr="0069553F">
              <w:rPr>
                <w:b/>
                <w:bCs/>
                <w:spacing w:val="0"/>
                <w:sz w:val="20"/>
              </w:rPr>
              <w:t>(0.2)</w:t>
            </w:r>
          </w:p>
        </w:tc>
      </w:tr>
      <w:tr w:rsidR="001C2B1B" w:rsidRPr="002152AF" w14:paraId="7F797D3A" w14:textId="77777777" w:rsidTr="00CC0729">
        <w:trPr>
          <w:jc w:val="center"/>
        </w:trPr>
        <w:tc>
          <w:tcPr>
            <w:tcW w:w="1564" w:type="pct"/>
          </w:tcPr>
          <w:p w14:paraId="0BBC16AA" w14:textId="77777777" w:rsidR="00B502D4" w:rsidRPr="002152AF" w:rsidRDefault="00B502D4" w:rsidP="00B502D4">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rFonts w:eastAsia="華康中黑體"/>
                <w:spacing w:val="0"/>
                <w:sz w:val="20"/>
              </w:rPr>
            </w:pPr>
            <w:r w:rsidRPr="002152AF">
              <w:rPr>
                <w:rFonts w:eastAsia="華康中黑體" w:hint="eastAsia"/>
                <w:spacing w:val="0"/>
                <w:sz w:val="20"/>
              </w:rPr>
              <w:t>名義本地生產總值</w:t>
            </w:r>
            <w:r w:rsidRPr="002152AF">
              <w:rPr>
                <w:rFonts w:eastAsia="華康中黑體"/>
                <w:spacing w:val="0"/>
                <w:sz w:val="20"/>
              </w:rPr>
              <w:br/>
            </w:r>
            <w:r w:rsidRPr="002152AF">
              <w:rPr>
                <w:rFonts w:hint="eastAsia"/>
                <w:i/>
                <w:spacing w:val="0"/>
                <w:sz w:val="20"/>
              </w:rPr>
              <w:t>增減百分率</w:t>
            </w:r>
          </w:p>
        </w:tc>
        <w:tc>
          <w:tcPr>
            <w:tcW w:w="623" w:type="pct"/>
            <w:vAlign w:val="center"/>
          </w:tcPr>
          <w:p w14:paraId="49BE23BE" w14:textId="77777777" w:rsidR="00B502D4" w:rsidRDefault="00B502D4" w:rsidP="00B502D4">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Pr>
                <w:rFonts w:hint="eastAsia"/>
                <w:b/>
                <w:spacing w:val="0"/>
                <w:sz w:val="20"/>
              </w:rPr>
              <w:t>6.4</w:t>
            </w:r>
          </w:p>
        </w:tc>
        <w:tc>
          <w:tcPr>
            <w:tcW w:w="469" w:type="pct"/>
            <w:vAlign w:val="center"/>
          </w:tcPr>
          <w:p w14:paraId="1E6DFB67"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rFonts w:hint="eastAsia"/>
                <w:b/>
                <w:bCs/>
                <w:spacing w:val="0"/>
                <w:sz w:val="20"/>
              </w:rPr>
              <w:t>6.7</w:t>
            </w:r>
          </w:p>
        </w:tc>
        <w:tc>
          <w:tcPr>
            <w:tcW w:w="469" w:type="pct"/>
            <w:vAlign w:val="center"/>
          </w:tcPr>
          <w:p w14:paraId="7C526DEA" w14:textId="7777777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rFonts w:hint="eastAsia"/>
                <w:b/>
                <w:bCs/>
                <w:spacing w:val="0"/>
                <w:sz w:val="20"/>
              </w:rPr>
              <w:t>7.6</w:t>
            </w:r>
          </w:p>
        </w:tc>
        <w:tc>
          <w:tcPr>
            <w:tcW w:w="469" w:type="pct"/>
            <w:vAlign w:val="center"/>
          </w:tcPr>
          <w:p w14:paraId="014F9F80" w14:textId="77777777" w:rsidR="00B502D4" w:rsidRPr="00D93311" w:rsidRDefault="00B502D4" w:rsidP="00B502D4">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D93311">
              <w:rPr>
                <w:rFonts w:hint="eastAsia"/>
                <w:b/>
                <w:spacing w:val="0"/>
                <w:sz w:val="20"/>
              </w:rPr>
              <w:t>6.3</w:t>
            </w:r>
          </w:p>
        </w:tc>
        <w:tc>
          <w:tcPr>
            <w:tcW w:w="469" w:type="pct"/>
            <w:vAlign w:val="center"/>
          </w:tcPr>
          <w:p w14:paraId="66A69DC8" w14:textId="77777777" w:rsidR="00B502D4" w:rsidRPr="00073DE0" w:rsidRDefault="00B502D4" w:rsidP="00B502D4">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73DE0">
              <w:rPr>
                <w:rFonts w:hint="eastAsia"/>
                <w:b/>
                <w:spacing w:val="0"/>
                <w:sz w:val="20"/>
              </w:rPr>
              <w:t>5.3</w:t>
            </w:r>
          </w:p>
        </w:tc>
        <w:tc>
          <w:tcPr>
            <w:tcW w:w="469" w:type="pct"/>
            <w:vAlign w:val="center"/>
          </w:tcPr>
          <w:p w14:paraId="20FFE8E9" w14:textId="1F268AF4"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4.4</w:t>
            </w:r>
          </w:p>
        </w:tc>
        <w:tc>
          <w:tcPr>
            <w:tcW w:w="469" w:type="pct"/>
            <w:vAlign w:val="center"/>
          </w:tcPr>
          <w:p w14:paraId="1496FD20" w14:textId="312CAA17" w:rsidR="00B502D4" w:rsidRPr="0069553F" w:rsidRDefault="00B502D4" w:rsidP="00CC0729">
            <w:pPr>
              <w:keepNext/>
              <w:tabs>
                <w:tab w:val="clear" w:pos="936"/>
                <w:tab w:val="clear" w:pos="1560"/>
                <w:tab w:val="clear" w:pos="2184"/>
                <w:tab w:val="clear" w:pos="2808"/>
                <w:tab w:val="decimal" w:pos="394"/>
              </w:tabs>
              <w:snapToGrid w:val="0"/>
              <w:spacing w:after="0" w:line="240" w:lineRule="atLeast"/>
              <w:jc w:val="left"/>
              <w:textAlignment w:val="auto"/>
              <w:rPr>
                <w:b/>
                <w:bCs/>
                <w:spacing w:val="0"/>
                <w:sz w:val="20"/>
              </w:rPr>
            </w:pPr>
            <w:r w:rsidRPr="0069553F">
              <w:rPr>
                <w:b/>
                <w:bCs/>
                <w:spacing w:val="0"/>
                <w:sz w:val="20"/>
              </w:rPr>
              <w:t>3.</w:t>
            </w:r>
            <w:r w:rsidR="004923BD" w:rsidRPr="0069553F">
              <w:rPr>
                <w:b/>
                <w:bCs/>
                <w:spacing w:val="0"/>
                <w:sz w:val="20"/>
              </w:rPr>
              <w:t>7</w:t>
            </w:r>
          </w:p>
        </w:tc>
      </w:tr>
    </w:tbl>
    <w:p w14:paraId="72C61AA5" w14:textId="77777777" w:rsidR="00624C05" w:rsidRPr="000B0817" w:rsidRDefault="00624C05" w:rsidP="00D300A4">
      <w:pPr>
        <w:keepNext/>
        <w:tabs>
          <w:tab w:val="clear" w:pos="936"/>
          <w:tab w:val="clear" w:pos="1560"/>
          <w:tab w:val="clear" w:pos="2184"/>
          <w:tab w:val="clear" w:pos="2808"/>
          <w:tab w:val="left" w:pos="420"/>
        </w:tabs>
        <w:adjustRightInd/>
        <w:snapToGrid w:val="0"/>
        <w:spacing w:after="0" w:line="220" w:lineRule="exact"/>
        <w:ind w:left="437" w:right="-516" w:hanging="794"/>
        <w:textAlignment w:val="auto"/>
        <w:rPr>
          <w:rFonts w:ascii="華康細明體" w:hAnsi="華康細明體" w:cs="華康細明體"/>
          <w:spacing w:val="0"/>
          <w:kern w:val="2"/>
          <w:sz w:val="22"/>
          <w:szCs w:val="24"/>
          <w:highlight w:val="yellow"/>
          <w:lang w:val="en-GB"/>
        </w:rPr>
      </w:pPr>
    </w:p>
    <w:p w14:paraId="34F92075" w14:textId="77777777" w:rsidR="00624C05" w:rsidRPr="000B0817" w:rsidRDefault="00624C05" w:rsidP="00624C05">
      <w:pPr>
        <w:pStyle w:val="15"/>
        <w:keepNext/>
        <w:tabs>
          <w:tab w:val="clear" w:pos="595"/>
          <w:tab w:val="left" w:pos="142"/>
        </w:tabs>
        <w:ind w:left="680" w:hanging="680"/>
        <w:rPr>
          <w:snapToGrid w:val="0"/>
        </w:rPr>
      </w:pPr>
      <w:r w:rsidRPr="000B0817">
        <w:rPr>
          <w:rFonts w:hint="eastAsia"/>
          <w:snapToGrid w:val="0"/>
        </w:rPr>
        <w:t>註：</w:t>
      </w:r>
      <w:r w:rsidRPr="000B0817">
        <w:rPr>
          <w:snapToGrid w:val="0"/>
        </w:rPr>
        <w:tab/>
      </w:r>
      <w:r w:rsidRPr="000B0817">
        <w:rPr>
          <w:rFonts w:hint="eastAsia"/>
          <w:snapToGrid w:val="0"/>
        </w:rPr>
        <w:t>這些數字會在取得更多數據後再作修訂。經季節性調整後與上季度比較的增減百分率，不適用於本地固定資本形成總額，原因是本地固定資本形成總額常有短期變動，並無明顯的季節性模式。</w:t>
      </w:r>
    </w:p>
    <w:p w14:paraId="545EED5D" w14:textId="77777777" w:rsidR="00624C05" w:rsidRPr="00AA6FAE" w:rsidRDefault="00624C05" w:rsidP="00624C05">
      <w:pPr>
        <w:pStyle w:val="afff3"/>
        <w:keepNext/>
        <w:tabs>
          <w:tab w:val="clear" w:pos="624"/>
          <w:tab w:val="left" w:pos="709"/>
        </w:tabs>
        <w:ind w:left="1304" w:hanging="1304"/>
      </w:pPr>
      <w:r>
        <w:tab/>
      </w:r>
      <w:r w:rsidRPr="00AA6FAE">
        <w:rPr>
          <w:rFonts w:hint="eastAsia"/>
        </w:rPr>
        <w:t>(&amp;)</w:t>
      </w:r>
      <w:r w:rsidRPr="00AA6FAE">
        <w:tab/>
      </w:r>
      <w:r w:rsidRPr="00AA6FAE">
        <w:rPr>
          <w:rFonts w:hint="eastAsia"/>
        </w:rPr>
        <w:t>數字是根據《二零零八年國民經濟核算體系》的標準，採用所有權轉移原則記錄外地加工貨品和轉手商貿活動編製而成的。</w:t>
      </w:r>
    </w:p>
    <w:p w14:paraId="58C4DFDA" w14:textId="77777777" w:rsidR="00624C05" w:rsidRPr="00AA6FAE" w:rsidRDefault="00624C05" w:rsidP="00624C05">
      <w:pPr>
        <w:pStyle w:val="afff3"/>
        <w:keepNext/>
        <w:tabs>
          <w:tab w:val="clear" w:pos="624"/>
          <w:tab w:val="left" w:pos="709"/>
        </w:tabs>
        <w:ind w:left="1304" w:hanging="1304"/>
      </w:pPr>
      <w:r>
        <w:tab/>
      </w:r>
      <w:r w:rsidRPr="00AA6FAE">
        <w:t>(#)</w:t>
      </w:r>
      <w:r w:rsidRPr="00AA6FAE">
        <w:tab/>
      </w:r>
      <w:r w:rsidRPr="00AA6FAE">
        <w:rPr>
          <w:rFonts w:hint="eastAsia"/>
        </w:rPr>
        <w:t>修訂數字。</w:t>
      </w:r>
    </w:p>
    <w:p w14:paraId="13CC8A96" w14:textId="77777777" w:rsidR="00624C05" w:rsidRPr="00AA6FAE" w:rsidRDefault="00624C05" w:rsidP="00624C05">
      <w:pPr>
        <w:pStyle w:val="afff3"/>
        <w:keepNext/>
        <w:tabs>
          <w:tab w:val="clear" w:pos="624"/>
          <w:tab w:val="left" w:pos="709"/>
        </w:tabs>
        <w:ind w:left="1304" w:hanging="1304"/>
      </w:pPr>
      <w:r>
        <w:tab/>
      </w:r>
      <w:r w:rsidRPr="00AA6FAE">
        <w:t>(  )</w:t>
      </w:r>
      <w:r w:rsidRPr="00AA6FAE">
        <w:tab/>
      </w:r>
      <w:r w:rsidRPr="00AA6FAE">
        <w:rPr>
          <w:rFonts w:hint="eastAsia"/>
        </w:rPr>
        <w:t>經季節性調整後與上季度比較的增減百分率</w:t>
      </w:r>
      <w:r w:rsidRPr="00A46BDC">
        <w:rPr>
          <w:rFonts w:hint="eastAsia"/>
          <w:vertAlign w:val="superscript"/>
        </w:rPr>
        <w:t>(2</w:t>
      </w:r>
      <w:r w:rsidRPr="0069553F">
        <w:rPr>
          <w:vertAlign w:val="superscript"/>
        </w:rPr>
        <w:t>)</w:t>
      </w:r>
      <w:r w:rsidRPr="00AA6FAE">
        <w:rPr>
          <w:rFonts w:hint="eastAsia"/>
        </w:rPr>
        <w:t>。</w:t>
      </w:r>
    </w:p>
    <w:p w14:paraId="28ED4E8C" w14:textId="77777777" w:rsidR="00624C05" w:rsidRPr="00AA6FAE" w:rsidRDefault="00624C05" w:rsidP="00624C05">
      <w:pPr>
        <w:pStyle w:val="afff3"/>
        <w:keepNext/>
        <w:tabs>
          <w:tab w:val="clear" w:pos="624"/>
          <w:tab w:val="left" w:pos="709"/>
        </w:tabs>
        <w:ind w:left="1304" w:hanging="1304"/>
      </w:pPr>
      <w:r>
        <w:tab/>
      </w:r>
      <w:r w:rsidRPr="00AA6FAE">
        <w:rPr>
          <w:rFonts w:hint="eastAsia"/>
        </w:rPr>
        <w:t>(^)</w:t>
      </w:r>
      <w:r w:rsidRPr="00AA6FAE">
        <w:tab/>
      </w:r>
      <w:r w:rsidRPr="00AA6FAE">
        <w:rPr>
          <w:rFonts w:hint="eastAsia"/>
        </w:rPr>
        <w:t>撇除政府一次性紓緩措施的影響。</w:t>
      </w:r>
    </w:p>
    <w:p w14:paraId="32EB1139" w14:textId="77777777" w:rsidR="00624C05" w:rsidRPr="00624C05" w:rsidRDefault="00624C05" w:rsidP="00624C05">
      <w:pPr>
        <w:pStyle w:val="afff3"/>
        <w:keepNext/>
        <w:tabs>
          <w:tab w:val="clear" w:pos="624"/>
          <w:tab w:val="left" w:pos="709"/>
        </w:tabs>
        <w:ind w:left="1304" w:hanging="1304"/>
      </w:pPr>
      <w:r>
        <w:tab/>
      </w:r>
      <w:r w:rsidRPr="00AA6FAE">
        <w:rPr>
          <w:rFonts w:hint="eastAsia"/>
        </w:rPr>
        <w:t>(*)</w:t>
      </w:r>
      <w:r w:rsidRPr="00AA6FAE">
        <w:tab/>
      </w:r>
      <w:r w:rsidRPr="00AA6FAE">
        <w:rPr>
          <w:rFonts w:hint="eastAsia"/>
        </w:rPr>
        <w:t>增減小於</w:t>
      </w:r>
      <w:r w:rsidRPr="00AA6FAE">
        <w:rPr>
          <w:rFonts w:hint="eastAsia"/>
        </w:rPr>
        <w:t>0.05%</w:t>
      </w:r>
      <w:r w:rsidRPr="00AA6FAE">
        <w:rPr>
          <w:rFonts w:hint="eastAsia"/>
        </w:rPr>
        <w:t>。</w:t>
      </w:r>
    </w:p>
    <w:p w14:paraId="3209D6B7" w14:textId="77777777" w:rsidR="00624C05" w:rsidRDefault="00624C05">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eastAsia="zh-HK"/>
        </w:rPr>
      </w:pPr>
      <w:r>
        <w:rPr>
          <w:lang w:eastAsia="zh-HK"/>
        </w:rPr>
        <w:br w:type="page"/>
      </w:r>
    </w:p>
    <w:p w14:paraId="172BF995" w14:textId="4FB3712E" w:rsidR="00624C05" w:rsidRPr="00F1377F" w:rsidRDefault="00624C05" w:rsidP="00F01FAE">
      <w:pPr>
        <w:pStyle w:val="120"/>
        <w:rPr>
          <w:lang w:eastAsia="zh-HK"/>
        </w:rPr>
      </w:pPr>
      <w:r w:rsidRPr="00F1377F">
        <w:rPr>
          <w:lang w:eastAsia="zh-HK"/>
        </w:rPr>
        <w:t>內部需求</w:t>
      </w:r>
    </w:p>
    <w:p w14:paraId="0D1293E9" w14:textId="48C15493" w:rsidR="00624C05" w:rsidRDefault="00624C05" w:rsidP="00624C05">
      <w:pPr>
        <w:rPr>
          <w:lang w:val="en-GB"/>
        </w:rPr>
      </w:pPr>
      <w:r w:rsidRPr="00886DAF">
        <w:rPr>
          <w:b/>
          <w:lang w:val="en-GB" w:eastAsia="zh-HK"/>
        </w:rPr>
        <w:t>1.</w:t>
      </w:r>
      <w:r>
        <w:rPr>
          <w:b/>
          <w:lang w:val="en-GB" w:eastAsia="zh-HK"/>
        </w:rPr>
        <w:t>5</w:t>
      </w:r>
      <w:r w:rsidRPr="00D43A2A">
        <w:rPr>
          <w:lang w:val="en-GB" w:eastAsia="zh-HK"/>
        </w:rPr>
        <w:tab/>
      </w:r>
      <w:r w:rsidR="007802C8">
        <w:rPr>
          <w:rFonts w:hint="eastAsia"/>
          <w:lang w:val="en-GB" w:eastAsia="zh-HK"/>
        </w:rPr>
        <w:t>私人消費</w:t>
      </w:r>
      <w:r w:rsidR="00B502D4">
        <w:rPr>
          <w:rFonts w:hint="eastAsia"/>
          <w:lang w:val="en-GB"/>
        </w:rPr>
        <w:t>在二零二五年第二季略見回穩</w:t>
      </w:r>
      <w:r w:rsidR="004A41D6">
        <w:rPr>
          <w:rFonts w:hint="eastAsia"/>
          <w:lang w:val="en-GB"/>
        </w:rPr>
        <w:t>，</w:t>
      </w:r>
      <w:r w:rsidR="006B12D2">
        <w:rPr>
          <w:rFonts w:hint="eastAsia"/>
          <w:lang w:val="en-GB"/>
        </w:rPr>
        <w:t>在</w:t>
      </w:r>
      <w:r w:rsidR="004A41D6">
        <w:rPr>
          <w:rFonts w:hint="eastAsia"/>
          <w:lang w:val="en-GB"/>
        </w:rPr>
        <w:t>此</w:t>
      </w:r>
      <w:r w:rsidR="006B12D2">
        <w:rPr>
          <w:rFonts w:hint="eastAsia"/>
          <w:lang w:val="en-GB"/>
        </w:rPr>
        <w:t>之</w:t>
      </w:r>
      <w:r w:rsidR="004A41D6">
        <w:rPr>
          <w:rFonts w:hint="eastAsia"/>
          <w:lang w:val="en-GB"/>
        </w:rPr>
        <w:t>前</w:t>
      </w:r>
      <w:r w:rsidR="006B12D2">
        <w:rPr>
          <w:rFonts w:hint="eastAsia"/>
          <w:lang w:val="en-GB"/>
        </w:rPr>
        <w:t>的</w:t>
      </w:r>
      <w:r w:rsidR="004A41D6">
        <w:rPr>
          <w:rFonts w:hint="eastAsia"/>
          <w:lang w:val="en-GB" w:eastAsia="zh-HK"/>
        </w:rPr>
        <w:t>一年</w:t>
      </w:r>
      <w:r w:rsidR="006B12D2">
        <w:rPr>
          <w:rFonts w:hint="eastAsia"/>
          <w:lang w:val="en-GB" w:eastAsia="zh-HK"/>
        </w:rPr>
        <w:t>間，私人消費</w:t>
      </w:r>
      <w:r w:rsidR="004A41D6">
        <w:rPr>
          <w:rFonts w:hint="eastAsia"/>
          <w:lang w:val="en-GB" w:eastAsia="zh-HK"/>
        </w:rPr>
        <w:t>在</w:t>
      </w:r>
      <w:r w:rsidR="004A41D6">
        <w:rPr>
          <w:rFonts w:hint="eastAsia"/>
          <w:lang w:val="en-GB"/>
        </w:rPr>
        <w:t>市民消費模式</w:t>
      </w:r>
      <w:r w:rsidR="004A41D6">
        <w:rPr>
          <w:rFonts w:hint="eastAsia"/>
          <w:lang w:val="en-GB" w:eastAsia="zh-HK"/>
        </w:rPr>
        <w:t>持</w:t>
      </w:r>
      <w:r w:rsidR="004A41D6">
        <w:rPr>
          <w:rFonts w:hint="eastAsia"/>
          <w:lang w:val="en-GB"/>
        </w:rPr>
        <w:t>續</w:t>
      </w:r>
      <w:r w:rsidR="004A41D6">
        <w:rPr>
          <w:rFonts w:hint="eastAsia"/>
          <w:lang w:val="en-HK"/>
        </w:rPr>
        <w:t>改</w:t>
      </w:r>
      <w:r w:rsidR="004A41D6">
        <w:rPr>
          <w:rFonts w:hint="eastAsia"/>
          <w:lang w:val="en-GB"/>
        </w:rPr>
        <w:t>變下表現疲弱</w:t>
      </w:r>
      <w:r w:rsidR="00B502D4">
        <w:rPr>
          <w:rFonts w:hint="eastAsia"/>
          <w:lang w:val="en-GB"/>
        </w:rPr>
        <w:t>。</w:t>
      </w:r>
      <w:r w:rsidR="00B502D4" w:rsidRPr="006A2979">
        <w:rPr>
          <w:rFonts w:hint="eastAsia"/>
          <w:lang w:val="en-GB"/>
        </w:rPr>
        <w:t>就業收入持續增加、本地</w:t>
      </w:r>
      <w:r w:rsidR="00B502D4">
        <w:rPr>
          <w:rFonts w:hint="eastAsia"/>
          <w:lang w:val="en-GB"/>
        </w:rPr>
        <w:t>息口</w:t>
      </w:r>
      <w:r w:rsidR="00B502D4" w:rsidRPr="006A2979">
        <w:rPr>
          <w:rFonts w:hint="eastAsia"/>
          <w:lang w:val="en-GB"/>
        </w:rPr>
        <w:t>下降、本地股票市場暢旺，以及住宅物業市場回穩提供</w:t>
      </w:r>
      <w:r w:rsidR="00B502D4">
        <w:rPr>
          <w:rFonts w:hint="eastAsia"/>
          <w:lang w:val="en-GB"/>
        </w:rPr>
        <w:t>了支持</w:t>
      </w:r>
      <w:r w:rsidR="00B502D4" w:rsidRPr="006A2979">
        <w:rPr>
          <w:rFonts w:hint="eastAsia"/>
          <w:lang w:val="en-GB"/>
        </w:rPr>
        <w:t>。</w:t>
      </w:r>
      <w:r w:rsidR="00B502D4" w:rsidRPr="00FE0CCA">
        <w:rPr>
          <w:rFonts w:hint="eastAsia"/>
          <w:i/>
          <w:lang w:val="en-GB" w:eastAsia="zh-HK"/>
        </w:rPr>
        <w:t>私人消費開支</w:t>
      </w:r>
      <w:r w:rsidR="00B502D4">
        <w:rPr>
          <w:rFonts w:hint="eastAsia"/>
          <w:lang w:val="en-GB"/>
        </w:rPr>
        <w:t>轉為</w:t>
      </w:r>
      <w:r w:rsidR="00CE73B5">
        <w:rPr>
          <w:rFonts w:hint="eastAsia"/>
          <w:lang w:val="en-GB" w:eastAsia="zh-HK"/>
        </w:rPr>
        <w:t>按年實</w:t>
      </w:r>
      <w:r w:rsidR="00CE73B5">
        <w:rPr>
          <w:rFonts w:hint="eastAsia"/>
          <w:lang w:val="en-GB"/>
        </w:rPr>
        <w:t>質</w:t>
      </w:r>
      <w:r w:rsidR="00B502D4">
        <w:rPr>
          <w:rFonts w:hint="eastAsia"/>
          <w:lang w:val="en-GB"/>
        </w:rPr>
        <w:t>上升</w:t>
      </w:r>
      <w:r w:rsidR="00B502D4" w:rsidRPr="00A46BDC">
        <w:rPr>
          <w:lang w:val="en-GB"/>
        </w:rPr>
        <w:t>1.9%</w:t>
      </w:r>
      <w:r w:rsidR="00B502D4">
        <w:rPr>
          <w:rFonts w:hint="eastAsia"/>
          <w:lang w:val="en-GB"/>
        </w:rPr>
        <w:t>，上一季下跌</w:t>
      </w:r>
      <w:r w:rsidR="00B502D4">
        <w:rPr>
          <w:rFonts w:hint="eastAsia"/>
          <w:lang w:val="en-GB"/>
        </w:rPr>
        <w:t>1</w:t>
      </w:r>
      <w:r w:rsidR="00B502D4">
        <w:rPr>
          <w:lang w:val="en-GB"/>
        </w:rPr>
        <w:t>.2%</w:t>
      </w:r>
      <w:r w:rsidR="00B502D4">
        <w:rPr>
          <w:rFonts w:hint="eastAsia"/>
          <w:lang w:val="en-GB" w:eastAsia="zh-HK"/>
        </w:rPr>
        <w:t>。</w:t>
      </w:r>
      <w:r w:rsidR="00B502D4" w:rsidRPr="00FE0CCA">
        <w:rPr>
          <w:rFonts w:hint="eastAsia"/>
          <w:lang w:val="en-GB" w:eastAsia="zh-HK"/>
        </w:rPr>
        <w:t>經季節性調整後按季比較</w:t>
      </w:r>
      <w:r w:rsidR="00B502D4" w:rsidRPr="00D43A2A">
        <w:rPr>
          <w:lang w:val="en-GB" w:eastAsia="zh-HK"/>
        </w:rPr>
        <w:t>，</w:t>
      </w:r>
      <w:r w:rsidR="00B502D4" w:rsidRPr="007B70AA">
        <w:rPr>
          <w:rFonts w:hint="eastAsia"/>
          <w:lang w:val="en-GB" w:eastAsia="zh-HK"/>
        </w:rPr>
        <w:t>私人消費開支</w:t>
      </w:r>
      <w:r w:rsidR="00B502D4">
        <w:rPr>
          <w:rFonts w:hint="eastAsia"/>
          <w:lang w:val="en-GB"/>
        </w:rPr>
        <w:t>上升</w:t>
      </w:r>
      <w:r w:rsidR="00B502D4" w:rsidRPr="00A46BDC">
        <w:rPr>
          <w:lang w:val="en-GB"/>
        </w:rPr>
        <w:t>3.4%</w:t>
      </w:r>
      <w:r w:rsidR="00B502D4" w:rsidRPr="007B70AA">
        <w:rPr>
          <w:rFonts w:hint="eastAsia"/>
          <w:lang w:val="en-GB"/>
        </w:rPr>
        <w:t>。</w:t>
      </w:r>
      <w:r w:rsidR="00B502D4" w:rsidRPr="00E47DB9">
        <w:rPr>
          <w:rFonts w:hint="eastAsia"/>
          <w:lang w:val="en-GB"/>
        </w:rPr>
        <w:t>同時，</w:t>
      </w:r>
      <w:r w:rsidR="00B502D4" w:rsidRPr="00D43A2A">
        <w:rPr>
          <w:i/>
          <w:iCs/>
          <w:lang w:val="en-GB" w:eastAsia="zh-HK"/>
        </w:rPr>
        <w:t>政府消費開支</w:t>
      </w:r>
      <w:r w:rsidR="00B502D4" w:rsidRPr="00D43A2A">
        <w:rPr>
          <w:lang w:val="en-GB" w:eastAsia="zh-HK"/>
        </w:rPr>
        <w:t>繼</w:t>
      </w:r>
      <w:r w:rsidR="00B502D4">
        <w:rPr>
          <w:rFonts w:hint="eastAsia"/>
          <w:lang w:val="en-GB"/>
        </w:rPr>
        <w:t>上一季</w:t>
      </w:r>
      <w:r w:rsidR="00B502D4">
        <w:rPr>
          <w:rFonts w:hint="eastAsia"/>
          <w:lang w:val="en-GB" w:eastAsia="zh-HK"/>
        </w:rPr>
        <w:t>按年</w:t>
      </w:r>
      <w:r w:rsidR="00B502D4">
        <w:rPr>
          <w:rFonts w:hint="eastAsia"/>
          <w:lang w:val="en-GB"/>
        </w:rPr>
        <w:t>實質</w:t>
      </w:r>
      <w:r w:rsidR="00F91145" w:rsidRPr="00F91145">
        <w:rPr>
          <w:rFonts w:hint="eastAsia"/>
          <w:lang w:val="en-GB"/>
        </w:rPr>
        <w:t>上升</w:t>
      </w:r>
      <w:r w:rsidR="00B502D4">
        <w:rPr>
          <w:rFonts w:hint="eastAsia"/>
        </w:rPr>
        <w:t>0.9</w:t>
      </w:r>
      <w:r w:rsidR="00B502D4" w:rsidRPr="00773284">
        <w:rPr>
          <w:lang w:val="en-GB"/>
        </w:rPr>
        <w:t>%</w:t>
      </w:r>
      <w:r w:rsidR="00B502D4" w:rsidRPr="00D43A2A">
        <w:rPr>
          <w:lang w:val="en-GB" w:eastAsia="zh-HK"/>
        </w:rPr>
        <w:t>後，</w:t>
      </w:r>
      <w:r w:rsidR="00B502D4">
        <w:rPr>
          <w:rFonts w:hint="eastAsia"/>
          <w:lang w:val="en-GB" w:eastAsia="zh-HK"/>
        </w:rPr>
        <w:t>在第</w:t>
      </w:r>
      <w:r w:rsidR="00B502D4">
        <w:rPr>
          <w:rFonts w:hint="eastAsia"/>
          <w:lang w:val="en-GB"/>
        </w:rPr>
        <w:t>二</w:t>
      </w:r>
      <w:r w:rsidR="00B502D4">
        <w:rPr>
          <w:rFonts w:hint="eastAsia"/>
          <w:lang w:val="en-GB" w:eastAsia="zh-HK"/>
        </w:rPr>
        <w:t>季</w:t>
      </w:r>
      <w:r w:rsidR="00B502D4">
        <w:rPr>
          <w:rFonts w:hint="eastAsia"/>
          <w:lang w:val="en-GB"/>
        </w:rPr>
        <w:t>上升</w:t>
      </w:r>
      <w:r w:rsidR="00B502D4" w:rsidRPr="00A46BDC">
        <w:rPr>
          <w:lang w:val="en-GB"/>
        </w:rPr>
        <w:t>2.5%</w:t>
      </w:r>
      <w:r w:rsidR="00B502D4" w:rsidRPr="00D43A2A">
        <w:rPr>
          <w:lang w:val="en-GB" w:eastAsia="zh-HK"/>
        </w:rPr>
        <w:t>。</w:t>
      </w:r>
      <w:r w:rsidR="00B502D4" w:rsidRPr="00FE0CCA">
        <w:rPr>
          <w:rFonts w:hint="eastAsia"/>
          <w:lang w:val="en-GB" w:eastAsia="zh-HK"/>
        </w:rPr>
        <w:t>經季節性調整後按季比較</w:t>
      </w:r>
      <w:r w:rsidR="00B502D4" w:rsidRPr="00D43A2A">
        <w:rPr>
          <w:lang w:val="en-GB" w:eastAsia="zh-HK"/>
        </w:rPr>
        <w:t>，</w:t>
      </w:r>
      <w:r w:rsidR="00B502D4">
        <w:rPr>
          <w:rFonts w:hint="eastAsia"/>
          <w:lang w:val="en-GB"/>
        </w:rPr>
        <w:t>政府消費開支</w:t>
      </w:r>
      <w:r w:rsidR="00F91145" w:rsidRPr="00F91145">
        <w:rPr>
          <w:rFonts w:hint="eastAsia"/>
          <w:lang w:val="en-GB"/>
        </w:rPr>
        <w:t>上升</w:t>
      </w:r>
      <w:r w:rsidR="00B502D4" w:rsidRPr="00A46BDC">
        <w:rPr>
          <w:lang w:val="en-GB"/>
        </w:rPr>
        <w:t>0.9%</w:t>
      </w:r>
      <w:r w:rsidR="00B502D4">
        <w:rPr>
          <w:rFonts w:hint="eastAsia"/>
          <w:lang w:val="en-GB"/>
        </w:rPr>
        <w:t>。</w:t>
      </w:r>
    </w:p>
    <w:p w14:paraId="35867592" w14:textId="77777777" w:rsidR="00624C05" w:rsidRPr="00D43A2A" w:rsidRDefault="00624C05" w:rsidP="00F01FAE">
      <w:pPr>
        <w:pStyle w:val="afffa"/>
        <w:rPr>
          <w:b/>
          <w:lang w:val="en-GB" w:eastAsia="zh-HK"/>
        </w:rPr>
      </w:pPr>
      <w:r w:rsidRPr="00D43A2A">
        <w:rPr>
          <w:rFonts w:hint="eastAsia"/>
          <w:lang w:val="en-GB" w:eastAsia="zh-HK"/>
        </w:rPr>
        <w:t>表</w:t>
      </w:r>
      <w:r w:rsidRPr="00D43A2A">
        <w:rPr>
          <w:rFonts w:hint="eastAsia"/>
          <w:b/>
          <w:lang w:val="en-GB" w:eastAsia="zh-HK"/>
        </w:rPr>
        <w:t>1.2</w:t>
      </w:r>
      <w:r w:rsidRPr="00D43A2A">
        <w:rPr>
          <w:rFonts w:hint="eastAsia"/>
          <w:b/>
          <w:lang w:val="en-GB" w:eastAsia="zh-HK"/>
        </w:rPr>
        <w:t>：</w:t>
      </w:r>
      <w:r w:rsidRPr="00D43A2A">
        <w:rPr>
          <w:rFonts w:hint="eastAsia"/>
          <w:lang w:val="en-GB" w:eastAsia="zh-HK"/>
        </w:rPr>
        <w:t>按主要組成項目劃分的消費開支</w:t>
      </w:r>
      <w:r w:rsidRPr="00D43A2A">
        <w:rPr>
          <w:rFonts w:hint="eastAsia"/>
          <w:b/>
          <w:vertAlign w:val="superscript"/>
          <w:lang w:val="en-GB" w:eastAsia="zh-HK"/>
        </w:rPr>
        <w:t>(a)</w:t>
      </w:r>
      <w:r>
        <w:rPr>
          <w:b/>
          <w:lang w:val="en-GB" w:eastAsia="zh-HK"/>
        </w:rPr>
        <w:br/>
      </w:r>
      <w:r w:rsidRPr="00D43A2A">
        <w:rPr>
          <w:rFonts w:hint="eastAsia"/>
          <w:b/>
          <w:lang w:val="en-GB" w:eastAsia="zh-HK"/>
        </w:rPr>
        <w:t>(</w:t>
      </w:r>
      <w:r w:rsidRPr="00D43A2A">
        <w:rPr>
          <w:rFonts w:hint="eastAsia"/>
          <w:lang w:val="en-GB" w:eastAsia="zh-HK"/>
        </w:rPr>
        <w:t>與一年前比較的實質增減百分率</w:t>
      </w:r>
      <w:r w:rsidRPr="00D43A2A">
        <w:rPr>
          <w:rFonts w:hint="eastAsia"/>
          <w:b/>
          <w:lang w:val="en-GB" w:eastAsia="zh-HK"/>
        </w:rPr>
        <w:t>)</w:t>
      </w:r>
    </w:p>
    <w:tbl>
      <w:tblPr>
        <w:tblW w:w="9065" w:type="dxa"/>
        <w:tblLayout w:type="fixed"/>
        <w:tblCellMar>
          <w:left w:w="28" w:type="dxa"/>
          <w:right w:w="28" w:type="dxa"/>
        </w:tblCellMar>
        <w:tblLook w:val="0000" w:firstRow="0" w:lastRow="0" w:firstColumn="0" w:lastColumn="0" w:noHBand="0" w:noVBand="0"/>
      </w:tblPr>
      <w:tblGrid>
        <w:gridCol w:w="1148"/>
        <w:gridCol w:w="830"/>
        <w:gridCol w:w="885"/>
        <w:gridCol w:w="886"/>
        <w:gridCol w:w="886"/>
        <w:gridCol w:w="886"/>
        <w:gridCol w:w="886"/>
        <w:gridCol w:w="886"/>
        <w:gridCol w:w="886"/>
        <w:gridCol w:w="886"/>
      </w:tblGrid>
      <w:tr w:rsidR="00624C05" w:rsidRPr="00877DF1" w14:paraId="22D15B0D" w14:textId="77777777" w:rsidTr="00F01FAE">
        <w:tc>
          <w:tcPr>
            <w:tcW w:w="1148" w:type="dxa"/>
            <w:vAlign w:val="bottom"/>
          </w:tcPr>
          <w:p w14:paraId="025931B1" w14:textId="77777777" w:rsidR="00624C05" w:rsidRPr="00877DF1" w:rsidRDefault="00624C05" w:rsidP="00F01FAE">
            <w:pPr>
              <w:keepNext/>
              <w:tabs>
                <w:tab w:val="clear" w:pos="936"/>
              </w:tabs>
              <w:autoSpaceDE w:val="0"/>
              <w:autoSpaceDN w:val="0"/>
              <w:snapToGrid w:val="0"/>
              <w:spacing w:before="120" w:after="0" w:line="240" w:lineRule="atLeast"/>
              <w:jc w:val="center"/>
              <w:rPr>
                <w:spacing w:val="0"/>
                <w:sz w:val="20"/>
              </w:rPr>
            </w:pPr>
          </w:p>
        </w:tc>
        <w:tc>
          <w:tcPr>
            <w:tcW w:w="830" w:type="dxa"/>
            <w:vAlign w:val="bottom"/>
          </w:tcPr>
          <w:p w14:paraId="32D40A00" w14:textId="77777777" w:rsidR="00624C05" w:rsidRPr="00877DF1" w:rsidRDefault="00624C05" w:rsidP="00F01FAE">
            <w:pPr>
              <w:keepNext/>
              <w:tabs>
                <w:tab w:val="clear" w:pos="936"/>
              </w:tabs>
              <w:autoSpaceDE w:val="0"/>
              <w:autoSpaceDN w:val="0"/>
              <w:snapToGrid w:val="0"/>
              <w:spacing w:before="120" w:after="0" w:line="240" w:lineRule="atLeast"/>
              <w:jc w:val="center"/>
              <w:rPr>
                <w:spacing w:val="0"/>
                <w:sz w:val="20"/>
              </w:rPr>
            </w:pPr>
          </w:p>
        </w:tc>
        <w:tc>
          <w:tcPr>
            <w:tcW w:w="885" w:type="dxa"/>
            <w:vAlign w:val="bottom"/>
          </w:tcPr>
          <w:p w14:paraId="0B906C69" w14:textId="77777777" w:rsidR="00624C05" w:rsidRPr="00877DF1" w:rsidRDefault="00624C05" w:rsidP="00F01FAE">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3E9BAA6C" w14:textId="77777777" w:rsidR="00624C05" w:rsidRPr="00877DF1" w:rsidRDefault="00624C05" w:rsidP="00F01FAE">
            <w:pPr>
              <w:keepNext/>
              <w:tabs>
                <w:tab w:val="clear" w:pos="936"/>
              </w:tabs>
              <w:autoSpaceDE w:val="0"/>
              <w:autoSpaceDN w:val="0"/>
              <w:snapToGrid w:val="0"/>
              <w:spacing w:before="120" w:after="0" w:line="240" w:lineRule="atLeast"/>
              <w:jc w:val="center"/>
              <w:rPr>
                <w:i/>
                <w:iCs/>
                <w:spacing w:val="0"/>
                <w:sz w:val="20"/>
              </w:rPr>
            </w:pPr>
            <w:r w:rsidRPr="00877DF1">
              <w:rPr>
                <w:rFonts w:hint="eastAsia"/>
                <w:i/>
                <w:iCs/>
                <w:spacing w:val="0"/>
                <w:sz w:val="20"/>
              </w:rPr>
              <w:t>其中：</w:t>
            </w:r>
          </w:p>
        </w:tc>
        <w:tc>
          <w:tcPr>
            <w:tcW w:w="886" w:type="dxa"/>
            <w:vAlign w:val="bottom"/>
          </w:tcPr>
          <w:p w14:paraId="74E5C680" w14:textId="77777777" w:rsidR="00624C05" w:rsidRPr="00877DF1" w:rsidRDefault="00624C05" w:rsidP="00F01FAE">
            <w:pPr>
              <w:keepNext/>
              <w:tabs>
                <w:tab w:val="clear" w:pos="936"/>
              </w:tabs>
              <w:autoSpaceDE w:val="0"/>
              <w:autoSpaceDN w:val="0"/>
              <w:snapToGrid w:val="0"/>
              <w:spacing w:before="120" w:after="0" w:line="240" w:lineRule="atLeast"/>
              <w:ind w:right="57"/>
              <w:jc w:val="center"/>
              <w:rPr>
                <w:spacing w:val="0"/>
                <w:sz w:val="20"/>
                <w:u w:val="single"/>
              </w:rPr>
            </w:pPr>
          </w:p>
        </w:tc>
        <w:tc>
          <w:tcPr>
            <w:tcW w:w="886" w:type="dxa"/>
            <w:vAlign w:val="bottom"/>
          </w:tcPr>
          <w:p w14:paraId="2DFD1177" w14:textId="77777777" w:rsidR="00624C05" w:rsidRPr="00877DF1" w:rsidRDefault="00624C05" w:rsidP="00F01FAE">
            <w:pPr>
              <w:keepNext/>
              <w:tabs>
                <w:tab w:val="clear" w:pos="936"/>
              </w:tabs>
              <w:autoSpaceDE w:val="0"/>
              <w:autoSpaceDN w:val="0"/>
              <w:snapToGrid w:val="0"/>
              <w:spacing w:before="120" w:after="0" w:line="240" w:lineRule="atLeast"/>
              <w:ind w:right="26"/>
              <w:jc w:val="center"/>
              <w:rPr>
                <w:spacing w:val="0"/>
                <w:sz w:val="20"/>
                <w:u w:val="single"/>
              </w:rPr>
            </w:pPr>
          </w:p>
        </w:tc>
        <w:tc>
          <w:tcPr>
            <w:tcW w:w="886" w:type="dxa"/>
            <w:vAlign w:val="bottom"/>
          </w:tcPr>
          <w:p w14:paraId="6093CA89" w14:textId="77777777" w:rsidR="00624C05" w:rsidRPr="00877DF1" w:rsidRDefault="00624C05" w:rsidP="00F01FAE">
            <w:pPr>
              <w:keepNext/>
              <w:tabs>
                <w:tab w:val="clear" w:pos="936"/>
              </w:tabs>
              <w:autoSpaceDE w:val="0"/>
              <w:autoSpaceDN w:val="0"/>
              <w:snapToGrid w:val="0"/>
              <w:spacing w:before="120" w:after="0" w:line="240" w:lineRule="atLeast"/>
              <w:jc w:val="center"/>
              <w:rPr>
                <w:spacing w:val="0"/>
                <w:sz w:val="20"/>
                <w:u w:val="single"/>
              </w:rPr>
            </w:pPr>
          </w:p>
        </w:tc>
        <w:tc>
          <w:tcPr>
            <w:tcW w:w="886" w:type="dxa"/>
            <w:vAlign w:val="bottom"/>
          </w:tcPr>
          <w:p w14:paraId="20CDCE7A" w14:textId="77777777" w:rsidR="00624C05" w:rsidRPr="00877DF1" w:rsidRDefault="00624C05" w:rsidP="00F01FAE">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1276D698" w14:textId="77777777" w:rsidR="00624C05" w:rsidRPr="00877DF1" w:rsidRDefault="00624C05" w:rsidP="00F01FAE">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74134880" w14:textId="77777777" w:rsidR="00624C05" w:rsidRPr="00877DF1" w:rsidRDefault="00624C05" w:rsidP="00F01FAE">
            <w:pPr>
              <w:keepNext/>
              <w:tabs>
                <w:tab w:val="clear" w:pos="936"/>
              </w:tabs>
              <w:autoSpaceDE w:val="0"/>
              <w:autoSpaceDN w:val="0"/>
              <w:snapToGrid w:val="0"/>
              <w:spacing w:before="120" w:after="0" w:line="240" w:lineRule="atLeast"/>
              <w:jc w:val="center"/>
              <w:rPr>
                <w:spacing w:val="0"/>
                <w:sz w:val="20"/>
              </w:rPr>
            </w:pPr>
          </w:p>
        </w:tc>
      </w:tr>
      <w:tr w:rsidR="00624C05" w:rsidRPr="00877DF1" w14:paraId="0ADB908F" w14:textId="77777777" w:rsidTr="00F01FAE">
        <w:tc>
          <w:tcPr>
            <w:tcW w:w="1148" w:type="dxa"/>
            <w:vAlign w:val="bottom"/>
          </w:tcPr>
          <w:p w14:paraId="549EC1A3" w14:textId="77777777" w:rsidR="00624C05" w:rsidRPr="00877DF1" w:rsidRDefault="00624C05" w:rsidP="00F01FAE">
            <w:pPr>
              <w:keepNext/>
              <w:tabs>
                <w:tab w:val="clear" w:pos="936"/>
              </w:tabs>
              <w:autoSpaceDE w:val="0"/>
              <w:autoSpaceDN w:val="0"/>
              <w:snapToGrid w:val="0"/>
              <w:spacing w:after="120" w:line="240" w:lineRule="atLeast"/>
              <w:jc w:val="center"/>
              <w:rPr>
                <w:spacing w:val="0"/>
                <w:sz w:val="20"/>
              </w:rPr>
            </w:pPr>
          </w:p>
        </w:tc>
        <w:tc>
          <w:tcPr>
            <w:tcW w:w="830" w:type="dxa"/>
            <w:vAlign w:val="bottom"/>
          </w:tcPr>
          <w:p w14:paraId="697761BB" w14:textId="77777777" w:rsidR="00624C05" w:rsidRPr="00877DF1" w:rsidRDefault="00624C05" w:rsidP="00F01FAE">
            <w:pPr>
              <w:keepNext/>
              <w:tabs>
                <w:tab w:val="clear" w:pos="936"/>
              </w:tabs>
              <w:autoSpaceDE w:val="0"/>
              <w:autoSpaceDN w:val="0"/>
              <w:snapToGrid w:val="0"/>
              <w:spacing w:after="120" w:line="240" w:lineRule="atLeast"/>
              <w:jc w:val="center"/>
              <w:rPr>
                <w:spacing w:val="0"/>
                <w:sz w:val="20"/>
              </w:rPr>
            </w:pPr>
          </w:p>
        </w:tc>
        <w:tc>
          <w:tcPr>
            <w:tcW w:w="885" w:type="dxa"/>
            <w:vAlign w:val="bottom"/>
          </w:tcPr>
          <w:p w14:paraId="23ED22C5" w14:textId="77777777" w:rsidR="00624C05" w:rsidRPr="00877DF1" w:rsidRDefault="00624C05" w:rsidP="00F01FAE">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本土</w:t>
            </w:r>
            <w:r w:rsidRPr="00877DF1">
              <w:rPr>
                <w:spacing w:val="0"/>
                <w:sz w:val="20"/>
              </w:rPr>
              <w:br/>
            </w:r>
            <w:r w:rsidRPr="00877DF1">
              <w:rPr>
                <w:rFonts w:hint="eastAsia"/>
                <w:spacing w:val="0"/>
                <w:sz w:val="20"/>
              </w:rPr>
              <w:t>市場的</w:t>
            </w:r>
            <w:r w:rsidRPr="00877DF1">
              <w:rPr>
                <w:spacing w:val="0"/>
                <w:sz w:val="20"/>
              </w:rPr>
              <w:br/>
            </w:r>
            <w:r w:rsidRPr="00877DF1">
              <w:rPr>
                <w:rFonts w:hint="eastAsia"/>
                <w:spacing w:val="0"/>
                <w:sz w:val="20"/>
              </w:rPr>
              <w:t>總消費</w:t>
            </w:r>
            <w:r w:rsidRPr="00877DF1">
              <w:rPr>
                <w:spacing w:val="0"/>
                <w:sz w:val="20"/>
                <w:u w:val="single"/>
              </w:rPr>
              <w:br/>
            </w:r>
            <w:r w:rsidRPr="00877DF1">
              <w:rPr>
                <w:rFonts w:hint="eastAsia"/>
                <w:spacing w:val="0"/>
                <w:sz w:val="20"/>
                <w:u w:val="single"/>
              </w:rPr>
              <w:t>開支</w:t>
            </w:r>
            <w:r w:rsidRPr="00877DF1">
              <w:rPr>
                <w:spacing w:val="0"/>
                <w:sz w:val="20"/>
                <w:vertAlign w:val="superscript"/>
              </w:rPr>
              <w:t>(a)</w:t>
            </w:r>
          </w:p>
        </w:tc>
        <w:tc>
          <w:tcPr>
            <w:tcW w:w="886" w:type="dxa"/>
            <w:vAlign w:val="bottom"/>
          </w:tcPr>
          <w:p w14:paraId="5B5B9F41" w14:textId="77777777" w:rsidR="00624C05" w:rsidRPr="00877DF1" w:rsidRDefault="00624C05" w:rsidP="00F01FAE">
            <w:pPr>
              <w:keepNext/>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食品</w:t>
            </w:r>
          </w:p>
        </w:tc>
        <w:tc>
          <w:tcPr>
            <w:tcW w:w="886" w:type="dxa"/>
            <w:vAlign w:val="bottom"/>
          </w:tcPr>
          <w:p w14:paraId="64F96996" w14:textId="77777777" w:rsidR="00624C05" w:rsidRPr="00877DF1" w:rsidRDefault="00624C05" w:rsidP="00F01FAE">
            <w:pPr>
              <w:keepNext/>
              <w:tabs>
                <w:tab w:val="clear" w:pos="936"/>
              </w:tabs>
              <w:autoSpaceDE w:val="0"/>
              <w:autoSpaceDN w:val="0"/>
              <w:snapToGrid w:val="0"/>
              <w:spacing w:after="120" w:line="240" w:lineRule="atLeast"/>
              <w:ind w:right="57"/>
              <w:jc w:val="center"/>
              <w:rPr>
                <w:spacing w:val="0"/>
                <w:sz w:val="20"/>
                <w:u w:val="single"/>
              </w:rPr>
            </w:pPr>
            <w:r w:rsidRPr="00877DF1">
              <w:rPr>
                <w:rFonts w:hint="eastAsia"/>
                <w:spacing w:val="0"/>
                <w:sz w:val="20"/>
                <w:u w:val="single"/>
              </w:rPr>
              <w:t>耐用品</w:t>
            </w:r>
          </w:p>
        </w:tc>
        <w:tc>
          <w:tcPr>
            <w:tcW w:w="886" w:type="dxa"/>
            <w:vAlign w:val="bottom"/>
          </w:tcPr>
          <w:p w14:paraId="4F548BB0" w14:textId="77777777" w:rsidR="00624C05" w:rsidRPr="00877DF1" w:rsidRDefault="00624C05" w:rsidP="00F01FAE">
            <w:pPr>
              <w:keepNext/>
              <w:tabs>
                <w:tab w:val="clear" w:pos="936"/>
              </w:tabs>
              <w:autoSpaceDE w:val="0"/>
              <w:autoSpaceDN w:val="0"/>
              <w:snapToGrid w:val="0"/>
              <w:spacing w:after="120" w:line="240" w:lineRule="atLeast"/>
              <w:ind w:right="26"/>
              <w:jc w:val="center"/>
              <w:rPr>
                <w:spacing w:val="0"/>
                <w:sz w:val="20"/>
                <w:u w:val="single"/>
              </w:rPr>
            </w:pPr>
            <w:r w:rsidRPr="00877DF1">
              <w:rPr>
                <w:rFonts w:hint="eastAsia"/>
                <w:spacing w:val="0"/>
                <w:sz w:val="20"/>
                <w:u w:val="single"/>
              </w:rPr>
              <w:t>非耐用品</w:t>
            </w:r>
          </w:p>
        </w:tc>
        <w:tc>
          <w:tcPr>
            <w:tcW w:w="886" w:type="dxa"/>
            <w:vAlign w:val="bottom"/>
          </w:tcPr>
          <w:p w14:paraId="797FC3DD" w14:textId="77777777" w:rsidR="00624C05" w:rsidRPr="00877DF1" w:rsidRDefault="00624C05" w:rsidP="00F01FAE">
            <w:pPr>
              <w:keepNext/>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服務</w:t>
            </w:r>
          </w:p>
        </w:tc>
        <w:tc>
          <w:tcPr>
            <w:tcW w:w="886" w:type="dxa"/>
            <w:vAlign w:val="bottom"/>
          </w:tcPr>
          <w:p w14:paraId="3589E8D3" w14:textId="77777777" w:rsidR="00624C05" w:rsidRPr="00877DF1" w:rsidRDefault="00624C05" w:rsidP="00F01FAE">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居民在</w:t>
            </w:r>
            <w:r w:rsidRPr="00877DF1">
              <w:rPr>
                <w:spacing w:val="0"/>
                <w:sz w:val="20"/>
              </w:rPr>
              <w:br/>
            </w:r>
            <w:r w:rsidRPr="00877DF1">
              <w:rPr>
                <w:rFonts w:hint="eastAsia"/>
                <w:spacing w:val="0"/>
                <w:sz w:val="20"/>
              </w:rPr>
              <w:t>外地的</w:t>
            </w:r>
            <w:r w:rsidRPr="00877DF1">
              <w:rPr>
                <w:spacing w:val="0"/>
                <w:sz w:val="20"/>
              </w:rPr>
              <w:br/>
            </w:r>
            <w:r w:rsidRPr="00877DF1">
              <w:rPr>
                <w:rFonts w:hint="eastAsia"/>
                <w:spacing w:val="0"/>
                <w:sz w:val="20"/>
                <w:u w:val="single"/>
              </w:rPr>
              <w:t>開支</w:t>
            </w:r>
          </w:p>
        </w:tc>
        <w:tc>
          <w:tcPr>
            <w:tcW w:w="886" w:type="dxa"/>
            <w:vAlign w:val="bottom"/>
          </w:tcPr>
          <w:p w14:paraId="06B5C417" w14:textId="77777777" w:rsidR="00624C05" w:rsidRPr="00877DF1" w:rsidRDefault="00624C05" w:rsidP="00F01FAE">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旅客</w:t>
            </w:r>
            <w:r w:rsidRPr="00877DF1">
              <w:rPr>
                <w:spacing w:val="0"/>
                <w:sz w:val="20"/>
              </w:rPr>
              <w:br/>
            </w:r>
            <w:r w:rsidRPr="00877DF1">
              <w:rPr>
                <w:rFonts w:hint="eastAsia"/>
                <w:spacing w:val="0"/>
                <w:sz w:val="20"/>
                <w:u w:val="single"/>
              </w:rPr>
              <w:t>消費</w:t>
            </w:r>
          </w:p>
        </w:tc>
        <w:tc>
          <w:tcPr>
            <w:tcW w:w="886" w:type="dxa"/>
            <w:vAlign w:val="bottom"/>
          </w:tcPr>
          <w:p w14:paraId="06306D3E" w14:textId="77777777" w:rsidR="00624C05" w:rsidRPr="00877DF1" w:rsidRDefault="00624C05" w:rsidP="00F01FAE">
            <w:pPr>
              <w:keepNext/>
              <w:tabs>
                <w:tab w:val="clear" w:pos="936"/>
              </w:tabs>
              <w:autoSpaceDE w:val="0"/>
              <w:autoSpaceDN w:val="0"/>
              <w:snapToGrid w:val="0"/>
              <w:spacing w:after="120" w:line="240" w:lineRule="atLeast"/>
              <w:ind w:leftChars="67" w:left="201"/>
              <w:rPr>
                <w:spacing w:val="0"/>
                <w:sz w:val="20"/>
              </w:rPr>
            </w:pPr>
            <w:r w:rsidRPr="00877DF1">
              <w:rPr>
                <w:rFonts w:hint="eastAsia"/>
                <w:spacing w:val="0"/>
                <w:sz w:val="20"/>
              </w:rPr>
              <w:t>私人</w:t>
            </w:r>
            <w:r w:rsidRPr="00877DF1">
              <w:rPr>
                <w:spacing w:val="0"/>
                <w:sz w:val="20"/>
              </w:rPr>
              <w:br/>
            </w:r>
            <w:r w:rsidRPr="00877DF1">
              <w:rPr>
                <w:rFonts w:hint="eastAsia"/>
                <w:spacing w:val="0"/>
                <w:sz w:val="20"/>
              </w:rPr>
              <w:t>消費</w:t>
            </w:r>
            <w:r w:rsidRPr="00877DF1">
              <w:rPr>
                <w:spacing w:val="0"/>
                <w:sz w:val="20"/>
              </w:rPr>
              <w:br/>
            </w:r>
            <w:r w:rsidRPr="00877DF1">
              <w:rPr>
                <w:rFonts w:hint="eastAsia"/>
                <w:spacing w:val="0"/>
                <w:sz w:val="20"/>
                <w:u w:val="single"/>
              </w:rPr>
              <w:t>開支</w:t>
            </w:r>
            <w:r w:rsidRPr="00877DF1">
              <w:rPr>
                <w:spacing w:val="0"/>
                <w:sz w:val="20"/>
                <w:vertAlign w:val="superscript"/>
              </w:rPr>
              <w:t>(b)</w:t>
            </w:r>
          </w:p>
        </w:tc>
      </w:tr>
      <w:tr w:rsidR="00624C05" w:rsidRPr="00877DF1" w14:paraId="39A9AF7F" w14:textId="77777777" w:rsidTr="00F01FAE">
        <w:tc>
          <w:tcPr>
            <w:tcW w:w="1148" w:type="dxa"/>
          </w:tcPr>
          <w:p w14:paraId="244577CC" w14:textId="77777777" w:rsidR="00624C05" w:rsidRPr="00877DF1" w:rsidRDefault="00624C05" w:rsidP="00F01FAE">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30" w:type="dxa"/>
          </w:tcPr>
          <w:p w14:paraId="18118948" w14:textId="77777777" w:rsidR="00624C05" w:rsidRPr="00877DF1" w:rsidRDefault="00624C05" w:rsidP="00F01FAE">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85" w:type="dxa"/>
          </w:tcPr>
          <w:p w14:paraId="73CC3D29" w14:textId="77777777" w:rsidR="00624C05" w:rsidRPr="00877DF1" w:rsidRDefault="00624C05" w:rsidP="00F01FAE">
            <w:pPr>
              <w:keepNext/>
              <w:tabs>
                <w:tab w:val="clear" w:pos="936"/>
                <w:tab w:val="clear" w:pos="1560"/>
                <w:tab w:val="clear" w:pos="2184"/>
                <w:tab w:val="clear" w:pos="2808"/>
                <w:tab w:val="decimal" w:pos="356"/>
              </w:tabs>
              <w:snapToGrid w:val="0"/>
              <w:spacing w:after="0" w:line="320" w:lineRule="atLeast"/>
              <w:ind w:right="28"/>
              <w:rPr>
                <w:bCs/>
                <w:spacing w:val="0"/>
                <w:sz w:val="20"/>
              </w:rPr>
            </w:pPr>
          </w:p>
        </w:tc>
        <w:tc>
          <w:tcPr>
            <w:tcW w:w="886" w:type="dxa"/>
          </w:tcPr>
          <w:p w14:paraId="7D533BF6" w14:textId="77777777" w:rsidR="00624C05" w:rsidRPr="00877DF1" w:rsidRDefault="00624C05" w:rsidP="00F01FAE">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7D30461F" w14:textId="77777777" w:rsidR="00624C05" w:rsidRPr="00877DF1" w:rsidRDefault="00624C05" w:rsidP="00F01FAE">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3FFF19E8" w14:textId="77777777" w:rsidR="00624C05" w:rsidRPr="00877DF1" w:rsidRDefault="00624C05" w:rsidP="00F01FAE">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3891C2DB" w14:textId="77777777" w:rsidR="00624C05" w:rsidRPr="00877DF1" w:rsidRDefault="00624C05" w:rsidP="00F01FAE">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4AED22C6" w14:textId="77777777" w:rsidR="00624C05" w:rsidRPr="00877DF1" w:rsidRDefault="00624C05" w:rsidP="00F01FAE">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065BF042" w14:textId="77777777" w:rsidR="00624C05" w:rsidRPr="00877DF1" w:rsidRDefault="00624C05" w:rsidP="00F01FAE">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101CBDCA" w14:textId="77777777" w:rsidR="00624C05" w:rsidRPr="00877DF1" w:rsidRDefault="00624C05" w:rsidP="00F01FAE">
            <w:pPr>
              <w:keepNext/>
              <w:tabs>
                <w:tab w:val="clear" w:pos="936"/>
                <w:tab w:val="clear" w:pos="1560"/>
                <w:tab w:val="clear" w:pos="2184"/>
                <w:tab w:val="clear" w:pos="2808"/>
                <w:tab w:val="decimal" w:pos="356"/>
              </w:tabs>
              <w:snapToGrid w:val="0"/>
              <w:spacing w:after="0" w:line="320" w:lineRule="atLeast"/>
              <w:ind w:right="28"/>
              <w:rPr>
                <w:bCs/>
                <w:spacing w:val="0"/>
                <w:sz w:val="20"/>
              </w:rPr>
            </w:pPr>
          </w:p>
        </w:tc>
      </w:tr>
      <w:tr w:rsidR="00624C05" w:rsidRPr="00E47DB9" w14:paraId="78A885C7" w14:textId="77777777" w:rsidTr="00F01FAE">
        <w:tc>
          <w:tcPr>
            <w:tcW w:w="1148" w:type="dxa"/>
          </w:tcPr>
          <w:p w14:paraId="3DBE6F0F" w14:textId="77777777" w:rsidR="00624C05" w:rsidRPr="00877DF1" w:rsidRDefault="00624C05" w:rsidP="00F01FAE">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二</w:t>
            </w:r>
            <w:r w:rsidRPr="00877DF1">
              <w:rPr>
                <w:rFonts w:ascii="華康細明體" w:hAnsi="華康細明體" w:cs="華康細明體" w:hint="eastAsia"/>
                <w:bCs/>
                <w:spacing w:val="0"/>
                <w:sz w:val="20"/>
              </w:rPr>
              <w:t>零</w:t>
            </w:r>
            <w:r w:rsidRPr="00877DF1">
              <w:rPr>
                <w:rFonts w:hint="eastAsia"/>
                <w:bCs/>
                <w:spacing w:val="0"/>
                <w:sz w:val="20"/>
              </w:rPr>
              <w:t>二</w:t>
            </w:r>
            <w:r w:rsidRPr="001A41FF">
              <w:rPr>
                <w:rFonts w:hint="eastAsia"/>
                <w:bCs/>
                <w:spacing w:val="0"/>
                <w:sz w:val="20"/>
              </w:rPr>
              <w:t>四</w:t>
            </w:r>
            <w:r w:rsidRPr="00877DF1">
              <w:rPr>
                <w:rFonts w:hint="eastAsia"/>
                <w:bCs/>
                <w:spacing w:val="0"/>
                <w:sz w:val="20"/>
              </w:rPr>
              <w:t>年</w:t>
            </w:r>
          </w:p>
        </w:tc>
        <w:tc>
          <w:tcPr>
            <w:tcW w:w="830" w:type="dxa"/>
          </w:tcPr>
          <w:p w14:paraId="4DB756B5" w14:textId="77777777" w:rsidR="00624C05" w:rsidRPr="00877DF1" w:rsidRDefault="00624C05" w:rsidP="00F01FAE">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全年</w:t>
            </w:r>
          </w:p>
        </w:tc>
        <w:tc>
          <w:tcPr>
            <w:tcW w:w="885" w:type="dxa"/>
            <w:tcBorders>
              <w:top w:val="nil"/>
              <w:left w:val="nil"/>
              <w:bottom w:val="nil"/>
              <w:right w:val="nil"/>
            </w:tcBorders>
            <w:shd w:val="clear" w:color="auto" w:fill="auto"/>
            <w:vAlign w:val="center"/>
          </w:tcPr>
          <w:p w14:paraId="0D8649CE" w14:textId="77777777" w:rsidR="00624C05" w:rsidRPr="007976E3" w:rsidRDefault="00624C05" w:rsidP="00624C05">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7976E3">
              <w:rPr>
                <w:rFonts w:asciiTheme="minorHAnsi" w:hAnsiTheme="minorHAnsi" w:cstheme="minorHAnsi"/>
                <w:sz w:val="20"/>
                <w:u w:val="none"/>
              </w:rPr>
              <w:t>-2.0</w:t>
            </w:r>
          </w:p>
        </w:tc>
        <w:tc>
          <w:tcPr>
            <w:tcW w:w="886" w:type="dxa"/>
            <w:tcBorders>
              <w:top w:val="nil"/>
              <w:left w:val="nil"/>
              <w:bottom w:val="nil"/>
              <w:right w:val="nil"/>
            </w:tcBorders>
            <w:shd w:val="clear" w:color="auto" w:fill="auto"/>
            <w:vAlign w:val="center"/>
          </w:tcPr>
          <w:p w14:paraId="73CA1476" w14:textId="77777777" w:rsidR="00624C05" w:rsidRPr="007976E3" w:rsidRDefault="00624C05" w:rsidP="00F01FAE">
            <w:pPr>
              <w:pStyle w:val="5"/>
              <w:tabs>
                <w:tab w:val="decimal" w:pos="225"/>
              </w:tabs>
              <w:adjustRightInd w:val="0"/>
              <w:spacing w:line="320" w:lineRule="atLeast"/>
              <w:ind w:left="0" w:right="0"/>
              <w:rPr>
                <w:rFonts w:asciiTheme="minorHAnsi" w:hAnsiTheme="minorHAnsi" w:cstheme="minorHAnsi"/>
                <w:kern w:val="0"/>
                <w:sz w:val="20"/>
                <w:u w:val="none"/>
                <w:lang w:val="en-GB" w:eastAsia="zh-HK"/>
              </w:rPr>
            </w:pPr>
            <w:r w:rsidRPr="007976E3">
              <w:rPr>
                <w:rFonts w:ascii="Times New Roman"/>
                <w:kern w:val="0"/>
                <w:sz w:val="20"/>
                <w:u w:val="none"/>
                <w:lang w:val="en-GB"/>
              </w:rPr>
              <w:t>-</w:t>
            </w:r>
            <w:r w:rsidRPr="007976E3">
              <w:rPr>
                <w:rFonts w:ascii="Times New Roman" w:hint="eastAsia"/>
                <w:kern w:val="0"/>
                <w:sz w:val="20"/>
                <w:u w:val="none"/>
                <w:lang w:val="en-GB"/>
              </w:rPr>
              <w:t>3.3</w:t>
            </w:r>
          </w:p>
        </w:tc>
        <w:tc>
          <w:tcPr>
            <w:tcW w:w="886" w:type="dxa"/>
            <w:tcBorders>
              <w:top w:val="nil"/>
              <w:left w:val="nil"/>
              <w:bottom w:val="nil"/>
              <w:right w:val="nil"/>
            </w:tcBorders>
            <w:shd w:val="clear" w:color="auto" w:fill="auto"/>
            <w:vAlign w:val="center"/>
          </w:tcPr>
          <w:p w14:paraId="2A7FEEA6" w14:textId="77777777" w:rsidR="00624C05" w:rsidRPr="007976E3" w:rsidRDefault="00624C05" w:rsidP="00F01FAE">
            <w:pPr>
              <w:pStyle w:val="5"/>
              <w:tabs>
                <w:tab w:val="decimal" w:pos="328"/>
              </w:tabs>
              <w:adjustRightInd w:val="0"/>
              <w:spacing w:line="320" w:lineRule="atLeast"/>
              <w:ind w:left="0" w:right="0"/>
              <w:rPr>
                <w:rFonts w:asciiTheme="minorHAnsi" w:hAnsiTheme="minorHAnsi" w:cstheme="minorHAnsi"/>
                <w:kern w:val="0"/>
                <w:sz w:val="20"/>
                <w:u w:val="none"/>
                <w:lang w:val="en-GB" w:eastAsia="zh-HK"/>
              </w:rPr>
            </w:pPr>
            <w:r w:rsidRPr="007976E3">
              <w:rPr>
                <w:rFonts w:ascii="Times New Roman"/>
                <w:kern w:val="0"/>
                <w:sz w:val="20"/>
                <w:u w:val="none"/>
                <w:lang w:val="en-GB"/>
              </w:rPr>
              <w:t>-</w:t>
            </w:r>
            <w:r w:rsidRPr="007976E3">
              <w:rPr>
                <w:rFonts w:ascii="Times New Roman" w:hint="eastAsia"/>
                <w:kern w:val="0"/>
                <w:sz w:val="20"/>
                <w:u w:val="none"/>
                <w:lang w:val="en-GB"/>
              </w:rPr>
              <w:t>14.3</w:t>
            </w:r>
          </w:p>
        </w:tc>
        <w:tc>
          <w:tcPr>
            <w:tcW w:w="886" w:type="dxa"/>
            <w:tcBorders>
              <w:top w:val="nil"/>
              <w:left w:val="nil"/>
              <w:bottom w:val="nil"/>
              <w:right w:val="nil"/>
            </w:tcBorders>
            <w:shd w:val="clear" w:color="auto" w:fill="auto"/>
            <w:vAlign w:val="center"/>
          </w:tcPr>
          <w:p w14:paraId="08F332D8" w14:textId="77777777" w:rsidR="00624C05" w:rsidRPr="007976E3" w:rsidRDefault="00624C05" w:rsidP="00F01FAE">
            <w:pPr>
              <w:pStyle w:val="5"/>
              <w:tabs>
                <w:tab w:val="decimal" w:pos="303"/>
              </w:tabs>
              <w:adjustRightInd w:val="0"/>
              <w:spacing w:line="320" w:lineRule="atLeast"/>
              <w:ind w:left="0" w:right="0"/>
              <w:rPr>
                <w:rFonts w:asciiTheme="minorHAnsi" w:hAnsiTheme="minorHAnsi" w:cstheme="minorHAnsi"/>
                <w:kern w:val="0"/>
                <w:sz w:val="20"/>
                <w:u w:val="none"/>
                <w:lang w:val="en-GB" w:eastAsia="zh-HK"/>
              </w:rPr>
            </w:pPr>
            <w:r w:rsidRPr="007976E3">
              <w:rPr>
                <w:rFonts w:ascii="Times New Roman"/>
                <w:kern w:val="0"/>
                <w:sz w:val="20"/>
                <w:u w:val="none"/>
                <w:lang w:val="en-GB" w:eastAsia="zh-HK"/>
              </w:rPr>
              <w:t>-</w:t>
            </w:r>
            <w:r w:rsidRPr="007976E3">
              <w:rPr>
                <w:rFonts w:ascii="Times New Roman" w:hint="eastAsia"/>
                <w:kern w:val="0"/>
                <w:sz w:val="20"/>
                <w:u w:val="none"/>
                <w:lang w:val="en-GB"/>
              </w:rPr>
              <w:t>10.3</w:t>
            </w:r>
          </w:p>
        </w:tc>
        <w:tc>
          <w:tcPr>
            <w:tcW w:w="886" w:type="dxa"/>
            <w:tcBorders>
              <w:top w:val="nil"/>
              <w:left w:val="nil"/>
              <w:bottom w:val="nil"/>
              <w:right w:val="nil"/>
            </w:tcBorders>
            <w:shd w:val="clear" w:color="auto" w:fill="auto"/>
            <w:vAlign w:val="center"/>
          </w:tcPr>
          <w:p w14:paraId="74F24874" w14:textId="77777777" w:rsidR="00624C05" w:rsidRPr="007976E3" w:rsidRDefault="00624C05" w:rsidP="00F01FAE">
            <w:pPr>
              <w:pStyle w:val="5"/>
              <w:tabs>
                <w:tab w:val="decimal" w:pos="264"/>
              </w:tabs>
              <w:adjustRightInd w:val="0"/>
              <w:spacing w:line="320" w:lineRule="atLeast"/>
              <w:ind w:left="0" w:right="0"/>
              <w:rPr>
                <w:rFonts w:asciiTheme="minorHAnsi" w:hAnsiTheme="minorHAnsi" w:cstheme="minorHAnsi"/>
                <w:kern w:val="0"/>
                <w:sz w:val="20"/>
                <w:u w:val="none"/>
                <w:lang w:val="en-GB" w:eastAsia="zh-HK"/>
              </w:rPr>
            </w:pPr>
            <w:r w:rsidRPr="007976E3">
              <w:rPr>
                <w:rFonts w:ascii="Times New Roman"/>
                <w:kern w:val="0"/>
                <w:sz w:val="20"/>
                <w:u w:val="none"/>
                <w:lang w:val="en-GB" w:eastAsia="zh-HK"/>
              </w:rPr>
              <w:t>2.</w:t>
            </w:r>
            <w:r w:rsidRPr="007976E3">
              <w:rPr>
                <w:rFonts w:ascii="Times New Roman" w:hint="eastAsia"/>
                <w:kern w:val="0"/>
                <w:sz w:val="20"/>
                <w:u w:val="none"/>
                <w:lang w:val="en-GB"/>
              </w:rPr>
              <w:t>2</w:t>
            </w:r>
          </w:p>
        </w:tc>
        <w:tc>
          <w:tcPr>
            <w:tcW w:w="886" w:type="dxa"/>
            <w:tcBorders>
              <w:top w:val="nil"/>
              <w:left w:val="nil"/>
              <w:bottom w:val="nil"/>
              <w:right w:val="nil"/>
            </w:tcBorders>
            <w:shd w:val="clear" w:color="auto" w:fill="auto"/>
            <w:vAlign w:val="center"/>
          </w:tcPr>
          <w:p w14:paraId="0DD28EFE" w14:textId="77777777" w:rsidR="00624C05" w:rsidRPr="007976E3" w:rsidRDefault="00624C05" w:rsidP="00F01FAE">
            <w:pPr>
              <w:pStyle w:val="5"/>
              <w:tabs>
                <w:tab w:val="decimal" w:pos="226"/>
              </w:tabs>
              <w:adjustRightInd w:val="0"/>
              <w:spacing w:line="320" w:lineRule="atLeast"/>
              <w:ind w:left="0" w:right="0"/>
              <w:rPr>
                <w:rFonts w:asciiTheme="minorHAnsi" w:hAnsiTheme="minorHAnsi" w:cstheme="minorHAnsi"/>
                <w:kern w:val="0"/>
                <w:sz w:val="20"/>
                <w:u w:val="none"/>
                <w:lang w:val="en-GB" w:eastAsia="zh-HK"/>
              </w:rPr>
            </w:pPr>
            <w:r w:rsidRPr="007976E3">
              <w:rPr>
                <w:rFonts w:ascii="Times New Roman"/>
                <w:kern w:val="0"/>
                <w:sz w:val="20"/>
                <w:u w:val="none"/>
                <w:lang w:val="en-GB" w:eastAsia="zh-HK"/>
              </w:rPr>
              <w:t>27.</w:t>
            </w:r>
            <w:r w:rsidRPr="007976E3">
              <w:rPr>
                <w:rFonts w:ascii="Times New Roman" w:hint="eastAsia"/>
                <w:kern w:val="0"/>
                <w:sz w:val="20"/>
                <w:u w:val="none"/>
                <w:lang w:val="en-GB"/>
              </w:rPr>
              <w:t>1</w:t>
            </w:r>
          </w:p>
        </w:tc>
        <w:tc>
          <w:tcPr>
            <w:tcW w:w="886" w:type="dxa"/>
            <w:tcBorders>
              <w:top w:val="nil"/>
              <w:left w:val="nil"/>
              <w:bottom w:val="nil"/>
              <w:right w:val="nil"/>
            </w:tcBorders>
            <w:shd w:val="clear" w:color="auto" w:fill="auto"/>
            <w:vAlign w:val="center"/>
          </w:tcPr>
          <w:p w14:paraId="61C45BB2" w14:textId="77777777" w:rsidR="00624C05" w:rsidRPr="007976E3" w:rsidRDefault="00624C05" w:rsidP="00F01FAE">
            <w:pPr>
              <w:pStyle w:val="5"/>
              <w:tabs>
                <w:tab w:val="decimal" w:pos="328"/>
              </w:tabs>
              <w:adjustRightInd w:val="0"/>
              <w:spacing w:line="320" w:lineRule="atLeast"/>
              <w:ind w:left="0" w:right="0"/>
              <w:rPr>
                <w:rFonts w:asciiTheme="minorHAnsi" w:hAnsiTheme="minorHAnsi" w:cstheme="minorHAnsi"/>
                <w:kern w:val="0"/>
                <w:sz w:val="20"/>
                <w:u w:val="none"/>
                <w:lang w:val="en-GB" w:eastAsia="zh-HK"/>
              </w:rPr>
            </w:pPr>
            <w:r w:rsidRPr="007976E3">
              <w:rPr>
                <w:rFonts w:ascii="Times New Roman"/>
                <w:kern w:val="0"/>
                <w:sz w:val="20"/>
                <w:u w:val="none"/>
                <w:lang w:val="en-GB" w:eastAsia="zh-HK"/>
              </w:rPr>
              <w:t>7.</w:t>
            </w:r>
            <w:r w:rsidRPr="007976E3">
              <w:rPr>
                <w:rFonts w:ascii="Times New Roman" w:hint="eastAsia"/>
                <w:kern w:val="0"/>
                <w:sz w:val="20"/>
                <w:u w:val="none"/>
                <w:lang w:val="en-GB"/>
              </w:rPr>
              <w:t>2</w:t>
            </w:r>
          </w:p>
        </w:tc>
        <w:tc>
          <w:tcPr>
            <w:tcW w:w="886" w:type="dxa"/>
            <w:tcBorders>
              <w:top w:val="nil"/>
              <w:left w:val="nil"/>
              <w:bottom w:val="nil"/>
              <w:right w:val="nil"/>
            </w:tcBorders>
            <w:shd w:val="clear" w:color="auto" w:fill="auto"/>
            <w:vAlign w:val="center"/>
          </w:tcPr>
          <w:p w14:paraId="44FEA90F" w14:textId="77777777" w:rsidR="00624C05" w:rsidRPr="007976E3" w:rsidRDefault="00624C05" w:rsidP="00F01FAE">
            <w:pPr>
              <w:pStyle w:val="5"/>
              <w:tabs>
                <w:tab w:val="decimal" w:pos="303"/>
              </w:tabs>
              <w:adjustRightInd w:val="0"/>
              <w:spacing w:line="320" w:lineRule="atLeast"/>
              <w:ind w:left="0" w:right="0"/>
              <w:rPr>
                <w:rFonts w:asciiTheme="minorHAnsi" w:hAnsiTheme="minorHAnsi" w:cstheme="minorHAnsi"/>
                <w:kern w:val="0"/>
                <w:sz w:val="20"/>
                <w:u w:val="none"/>
                <w:lang w:val="en-GB" w:eastAsia="zh-HK"/>
              </w:rPr>
            </w:pPr>
            <w:r w:rsidRPr="007976E3">
              <w:rPr>
                <w:rFonts w:ascii="Times New Roman"/>
                <w:kern w:val="0"/>
                <w:sz w:val="20"/>
                <w:u w:val="none"/>
                <w:lang w:val="en-GB" w:eastAsia="zh-HK"/>
              </w:rPr>
              <w:t>-0.</w:t>
            </w:r>
            <w:r w:rsidRPr="007976E3">
              <w:rPr>
                <w:rFonts w:ascii="Times New Roman" w:hint="eastAsia"/>
                <w:kern w:val="0"/>
                <w:sz w:val="20"/>
                <w:u w:val="none"/>
                <w:lang w:val="en-GB"/>
              </w:rPr>
              <w:t>7</w:t>
            </w:r>
          </w:p>
        </w:tc>
      </w:tr>
      <w:tr w:rsidR="00624C05" w:rsidRPr="00E47DB9" w14:paraId="5B653485" w14:textId="77777777" w:rsidTr="00F01FAE">
        <w:tc>
          <w:tcPr>
            <w:tcW w:w="1148" w:type="dxa"/>
          </w:tcPr>
          <w:p w14:paraId="7421219F" w14:textId="77777777" w:rsidR="00624C05" w:rsidRPr="00877DF1" w:rsidRDefault="00624C05" w:rsidP="00F01FAE">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3613B431" w14:textId="77777777" w:rsidR="00624C05" w:rsidRPr="00877DF1" w:rsidRDefault="00624C05" w:rsidP="00F01FAE">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第一季</w:t>
            </w:r>
          </w:p>
        </w:tc>
        <w:tc>
          <w:tcPr>
            <w:tcW w:w="885" w:type="dxa"/>
            <w:tcBorders>
              <w:top w:val="nil"/>
              <w:left w:val="nil"/>
              <w:bottom w:val="nil"/>
              <w:right w:val="nil"/>
            </w:tcBorders>
            <w:shd w:val="clear" w:color="auto" w:fill="auto"/>
            <w:vAlign w:val="center"/>
          </w:tcPr>
          <w:p w14:paraId="2CF49724" w14:textId="77777777" w:rsidR="00624C05" w:rsidRPr="007976E3" w:rsidRDefault="00624C05" w:rsidP="00624C05">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7976E3">
              <w:rPr>
                <w:rFonts w:asciiTheme="minorHAnsi" w:hAnsiTheme="minorHAnsi" w:cstheme="minorHAnsi"/>
                <w:sz w:val="20"/>
                <w:u w:val="none"/>
              </w:rPr>
              <w:t>0.2</w:t>
            </w:r>
          </w:p>
        </w:tc>
        <w:tc>
          <w:tcPr>
            <w:tcW w:w="886" w:type="dxa"/>
            <w:tcBorders>
              <w:top w:val="nil"/>
              <w:left w:val="nil"/>
              <w:bottom w:val="nil"/>
              <w:right w:val="nil"/>
            </w:tcBorders>
            <w:shd w:val="clear" w:color="auto" w:fill="auto"/>
            <w:vAlign w:val="center"/>
          </w:tcPr>
          <w:p w14:paraId="3E5703AA" w14:textId="77777777" w:rsidR="00624C05" w:rsidRPr="007976E3" w:rsidRDefault="00624C05" w:rsidP="00F01FAE">
            <w:pPr>
              <w:pStyle w:val="5"/>
              <w:tabs>
                <w:tab w:val="decimal" w:pos="225"/>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-4.2</w:t>
            </w:r>
          </w:p>
        </w:tc>
        <w:tc>
          <w:tcPr>
            <w:tcW w:w="886" w:type="dxa"/>
            <w:tcBorders>
              <w:top w:val="nil"/>
              <w:left w:val="nil"/>
              <w:bottom w:val="nil"/>
              <w:right w:val="nil"/>
            </w:tcBorders>
            <w:shd w:val="clear" w:color="auto" w:fill="auto"/>
            <w:vAlign w:val="center"/>
          </w:tcPr>
          <w:p w14:paraId="2B346474" w14:textId="77777777" w:rsidR="00624C05" w:rsidRPr="007976E3" w:rsidRDefault="00624C05" w:rsidP="00F01FAE">
            <w:pPr>
              <w:pStyle w:val="5"/>
              <w:tabs>
                <w:tab w:val="decimal" w:pos="328"/>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rPr>
              <w:t>-11.8</w:t>
            </w:r>
          </w:p>
        </w:tc>
        <w:tc>
          <w:tcPr>
            <w:tcW w:w="886" w:type="dxa"/>
            <w:tcBorders>
              <w:top w:val="nil"/>
              <w:left w:val="nil"/>
              <w:bottom w:val="nil"/>
              <w:right w:val="nil"/>
            </w:tcBorders>
            <w:shd w:val="clear" w:color="auto" w:fill="auto"/>
            <w:vAlign w:val="center"/>
          </w:tcPr>
          <w:p w14:paraId="13FE8BDD" w14:textId="77777777" w:rsidR="00624C05" w:rsidRPr="007976E3" w:rsidRDefault="00624C05" w:rsidP="00F01FAE">
            <w:pPr>
              <w:pStyle w:val="5"/>
              <w:tabs>
                <w:tab w:val="decimal" w:pos="303"/>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1.8</w:t>
            </w:r>
          </w:p>
        </w:tc>
        <w:tc>
          <w:tcPr>
            <w:tcW w:w="886" w:type="dxa"/>
            <w:tcBorders>
              <w:top w:val="nil"/>
              <w:left w:val="nil"/>
              <w:bottom w:val="nil"/>
              <w:right w:val="nil"/>
            </w:tcBorders>
            <w:shd w:val="clear" w:color="auto" w:fill="auto"/>
            <w:vAlign w:val="center"/>
          </w:tcPr>
          <w:p w14:paraId="274848F8" w14:textId="77777777" w:rsidR="00624C05" w:rsidRPr="007976E3" w:rsidRDefault="00624C05" w:rsidP="00F01FAE">
            <w:pPr>
              <w:pStyle w:val="5"/>
              <w:tabs>
                <w:tab w:val="decimal" w:pos="264"/>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2.</w:t>
            </w:r>
            <w:r w:rsidRPr="007976E3">
              <w:rPr>
                <w:rFonts w:ascii="Times New Roman" w:hint="eastAsia"/>
                <w:kern w:val="0"/>
                <w:sz w:val="20"/>
                <w:u w:val="none"/>
                <w:lang w:val="en-GB"/>
              </w:rPr>
              <w:t>0</w:t>
            </w:r>
          </w:p>
        </w:tc>
        <w:tc>
          <w:tcPr>
            <w:tcW w:w="886" w:type="dxa"/>
            <w:tcBorders>
              <w:top w:val="nil"/>
              <w:left w:val="nil"/>
              <w:bottom w:val="nil"/>
              <w:right w:val="nil"/>
            </w:tcBorders>
            <w:shd w:val="clear" w:color="auto" w:fill="auto"/>
            <w:vAlign w:val="center"/>
          </w:tcPr>
          <w:p w14:paraId="1B2427F7" w14:textId="77777777" w:rsidR="00624C05" w:rsidRPr="007976E3" w:rsidRDefault="00624C05" w:rsidP="00F01FAE">
            <w:pPr>
              <w:pStyle w:val="5"/>
              <w:tabs>
                <w:tab w:val="decimal" w:pos="226"/>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5</w:t>
            </w:r>
            <w:r w:rsidRPr="007976E3">
              <w:rPr>
                <w:rFonts w:ascii="Times New Roman" w:hint="eastAsia"/>
                <w:kern w:val="0"/>
                <w:sz w:val="20"/>
                <w:u w:val="none"/>
                <w:lang w:val="en-GB"/>
              </w:rPr>
              <w:t>8.9</w:t>
            </w:r>
          </w:p>
        </w:tc>
        <w:tc>
          <w:tcPr>
            <w:tcW w:w="886" w:type="dxa"/>
            <w:tcBorders>
              <w:top w:val="nil"/>
              <w:left w:val="nil"/>
              <w:bottom w:val="nil"/>
              <w:right w:val="nil"/>
            </w:tcBorders>
            <w:shd w:val="clear" w:color="auto" w:fill="auto"/>
            <w:vAlign w:val="center"/>
          </w:tcPr>
          <w:p w14:paraId="551DE859" w14:textId="77777777" w:rsidR="00624C05" w:rsidRPr="007976E3" w:rsidRDefault="00624C05" w:rsidP="00F01FAE">
            <w:pPr>
              <w:pStyle w:val="5"/>
              <w:tabs>
                <w:tab w:val="decimal" w:pos="328"/>
              </w:tabs>
              <w:adjustRightInd w:val="0"/>
              <w:spacing w:line="320" w:lineRule="atLeast"/>
              <w:ind w:left="0" w:right="0"/>
              <w:rPr>
                <w:rFonts w:ascii="Times New Roman"/>
                <w:kern w:val="0"/>
                <w:sz w:val="20"/>
                <w:u w:val="none"/>
                <w:lang w:val="en-GB" w:eastAsia="zh-HK"/>
              </w:rPr>
            </w:pPr>
            <w:r w:rsidRPr="007976E3">
              <w:rPr>
                <w:rFonts w:ascii="Times New Roman" w:hint="eastAsia"/>
                <w:kern w:val="0"/>
                <w:sz w:val="20"/>
                <w:u w:val="none"/>
                <w:lang w:val="en-GB"/>
              </w:rPr>
              <w:t>41.3</w:t>
            </w:r>
          </w:p>
        </w:tc>
        <w:tc>
          <w:tcPr>
            <w:tcW w:w="886" w:type="dxa"/>
            <w:tcBorders>
              <w:top w:val="nil"/>
              <w:left w:val="nil"/>
              <w:bottom w:val="nil"/>
              <w:right w:val="nil"/>
            </w:tcBorders>
            <w:shd w:val="clear" w:color="auto" w:fill="auto"/>
            <w:vAlign w:val="center"/>
          </w:tcPr>
          <w:p w14:paraId="77679251" w14:textId="77777777" w:rsidR="00624C05" w:rsidRPr="007976E3" w:rsidRDefault="00624C05" w:rsidP="00F01FAE">
            <w:pPr>
              <w:pStyle w:val="5"/>
              <w:tabs>
                <w:tab w:val="decimal" w:pos="303"/>
              </w:tabs>
              <w:adjustRightInd w:val="0"/>
              <w:spacing w:line="320" w:lineRule="atLeast"/>
              <w:ind w:left="0" w:right="0"/>
              <w:rPr>
                <w:rFonts w:ascii="Times New Roman"/>
                <w:kern w:val="0"/>
                <w:sz w:val="20"/>
                <w:u w:val="none"/>
                <w:lang w:val="en-GB" w:eastAsia="zh-HK"/>
              </w:rPr>
            </w:pPr>
            <w:r w:rsidRPr="007976E3">
              <w:rPr>
                <w:rFonts w:ascii="Times New Roman" w:hint="eastAsia"/>
                <w:kern w:val="0"/>
                <w:sz w:val="20"/>
                <w:u w:val="none"/>
                <w:lang w:val="en-GB"/>
              </w:rPr>
              <w:t>0.9</w:t>
            </w:r>
          </w:p>
        </w:tc>
      </w:tr>
      <w:tr w:rsidR="00624C05" w:rsidRPr="00E47DB9" w14:paraId="13CF23B9" w14:textId="77777777" w:rsidTr="00F01FAE">
        <w:tc>
          <w:tcPr>
            <w:tcW w:w="1148" w:type="dxa"/>
          </w:tcPr>
          <w:p w14:paraId="549CBF56" w14:textId="77777777" w:rsidR="00624C05" w:rsidRPr="00877DF1" w:rsidRDefault="00624C05" w:rsidP="00F01FAE">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1C652B19" w14:textId="77777777" w:rsidR="00624C05" w:rsidRPr="00877DF1" w:rsidRDefault="00624C05" w:rsidP="00F01FAE">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第二季</w:t>
            </w:r>
          </w:p>
        </w:tc>
        <w:tc>
          <w:tcPr>
            <w:tcW w:w="885" w:type="dxa"/>
            <w:tcBorders>
              <w:top w:val="nil"/>
              <w:left w:val="nil"/>
              <w:bottom w:val="nil"/>
              <w:right w:val="nil"/>
            </w:tcBorders>
            <w:shd w:val="clear" w:color="auto" w:fill="auto"/>
            <w:vAlign w:val="center"/>
          </w:tcPr>
          <w:p w14:paraId="7033244A" w14:textId="77777777" w:rsidR="00624C05" w:rsidRPr="007976E3" w:rsidRDefault="00624C05" w:rsidP="00624C05">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7976E3">
              <w:rPr>
                <w:rFonts w:asciiTheme="minorHAnsi" w:hAnsiTheme="minorHAnsi" w:cstheme="minorHAnsi"/>
                <w:sz w:val="20"/>
                <w:u w:val="none"/>
              </w:rPr>
              <w:t>-4.</w:t>
            </w:r>
            <w:r w:rsidRPr="007976E3">
              <w:rPr>
                <w:rFonts w:asciiTheme="minorHAnsi" w:hAnsiTheme="minorHAnsi" w:cstheme="minorHAnsi" w:hint="eastAsia"/>
                <w:sz w:val="20"/>
                <w:u w:val="none"/>
              </w:rPr>
              <w:t>2</w:t>
            </w:r>
          </w:p>
        </w:tc>
        <w:tc>
          <w:tcPr>
            <w:tcW w:w="886" w:type="dxa"/>
            <w:tcBorders>
              <w:top w:val="nil"/>
              <w:left w:val="nil"/>
              <w:bottom w:val="nil"/>
              <w:right w:val="nil"/>
            </w:tcBorders>
            <w:shd w:val="clear" w:color="auto" w:fill="auto"/>
            <w:vAlign w:val="center"/>
          </w:tcPr>
          <w:p w14:paraId="75040C49" w14:textId="77777777" w:rsidR="00624C05" w:rsidRPr="007976E3" w:rsidRDefault="00624C05" w:rsidP="00F01FAE">
            <w:pPr>
              <w:pStyle w:val="5"/>
              <w:tabs>
                <w:tab w:val="decimal" w:pos="225"/>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-6.1</w:t>
            </w:r>
          </w:p>
        </w:tc>
        <w:tc>
          <w:tcPr>
            <w:tcW w:w="886" w:type="dxa"/>
            <w:tcBorders>
              <w:top w:val="nil"/>
              <w:left w:val="nil"/>
              <w:bottom w:val="nil"/>
              <w:right w:val="nil"/>
            </w:tcBorders>
            <w:shd w:val="clear" w:color="auto" w:fill="auto"/>
            <w:vAlign w:val="center"/>
          </w:tcPr>
          <w:p w14:paraId="375851D1" w14:textId="77777777" w:rsidR="00624C05" w:rsidRPr="007976E3" w:rsidRDefault="00624C05" w:rsidP="00F01FAE">
            <w:pPr>
              <w:pStyle w:val="5"/>
              <w:tabs>
                <w:tab w:val="decimal" w:pos="328"/>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rPr>
              <w:t>-1</w:t>
            </w:r>
            <w:r w:rsidRPr="007976E3">
              <w:rPr>
                <w:rFonts w:ascii="Times New Roman" w:hint="eastAsia"/>
                <w:kern w:val="0"/>
                <w:sz w:val="20"/>
                <w:u w:val="none"/>
                <w:lang w:val="en-GB"/>
              </w:rPr>
              <w:t>5</w:t>
            </w:r>
            <w:r w:rsidRPr="007976E3">
              <w:rPr>
                <w:rFonts w:ascii="Times New Roman"/>
                <w:kern w:val="0"/>
                <w:sz w:val="20"/>
                <w:u w:val="none"/>
                <w:lang w:val="en-GB"/>
              </w:rPr>
              <w:t>.4</w:t>
            </w:r>
          </w:p>
        </w:tc>
        <w:tc>
          <w:tcPr>
            <w:tcW w:w="886" w:type="dxa"/>
            <w:tcBorders>
              <w:top w:val="nil"/>
              <w:left w:val="nil"/>
              <w:bottom w:val="nil"/>
              <w:right w:val="nil"/>
            </w:tcBorders>
            <w:shd w:val="clear" w:color="auto" w:fill="auto"/>
            <w:vAlign w:val="center"/>
          </w:tcPr>
          <w:p w14:paraId="52479E29" w14:textId="77777777" w:rsidR="00624C05" w:rsidRPr="007976E3" w:rsidRDefault="00624C05" w:rsidP="00F01FAE">
            <w:pPr>
              <w:pStyle w:val="5"/>
              <w:tabs>
                <w:tab w:val="decimal" w:pos="303"/>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w:t>
            </w:r>
            <w:r w:rsidRPr="007976E3">
              <w:rPr>
                <w:rFonts w:ascii="Times New Roman" w:hint="eastAsia"/>
                <w:kern w:val="0"/>
                <w:sz w:val="20"/>
                <w:u w:val="none"/>
                <w:lang w:val="en-GB"/>
              </w:rPr>
              <w:t>17.5</w:t>
            </w:r>
          </w:p>
        </w:tc>
        <w:tc>
          <w:tcPr>
            <w:tcW w:w="886" w:type="dxa"/>
            <w:tcBorders>
              <w:top w:val="nil"/>
              <w:left w:val="nil"/>
              <w:bottom w:val="nil"/>
              <w:right w:val="nil"/>
            </w:tcBorders>
            <w:shd w:val="clear" w:color="auto" w:fill="auto"/>
            <w:vAlign w:val="center"/>
          </w:tcPr>
          <w:p w14:paraId="208B5F91" w14:textId="77777777" w:rsidR="00624C05" w:rsidRPr="007976E3" w:rsidRDefault="00624C05" w:rsidP="00F01FAE">
            <w:pPr>
              <w:pStyle w:val="5"/>
              <w:tabs>
                <w:tab w:val="decimal" w:pos="264"/>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1.</w:t>
            </w:r>
            <w:r w:rsidRPr="007976E3">
              <w:rPr>
                <w:rFonts w:ascii="Times New Roman" w:hint="eastAsia"/>
                <w:kern w:val="0"/>
                <w:sz w:val="20"/>
                <w:u w:val="none"/>
                <w:lang w:val="en-GB"/>
              </w:rPr>
              <w:t>5</w:t>
            </w:r>
          </w:p>
        </w:tc>
        <w:tc>
          <w:tcPr>
            <w:tcW w:w="886" w:type="dxa"/>
            <w:tcBorders>
              <w:top w:val="nil"/>
              <w:left w:val="nil"/>
              <w:bottom w:val="nil"/>
              <w:right w:val="nil"/>
            </w:tcBorders>
            <w:shd w:val="clear" w:color="auto" w:fill="auto"/>
            <w:vAlign w:val="center"/>
          </w:tcPr>
          <w:p w14:paraId="1DDDFAE5" w14:textId="77777777" w:rsidR="00624C05" w:rsidRPr="007976E3" w:rsidRDefault="00624C05" w:rsidP="00F01FAE">
            <w:pPr>
              <w:pStyle w:val="5"/>
              <w:tabs>
                <w:tab w:val="decimal" w:pos="226"/>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2</w:t>
            </w:r>
            <w:r w:rsidRPr="007976E3">
              <w:rPr>
                <w:rFonts w:ascii="Times New Roman" w:hint="eastAsia"/>
                <w:kern w:val="0"/>
                <w:sz w:val="20"/>
                <w:u w:val="none"/>
                <w:lang w:val="en-GB"/>
              </w:rPr>
              <w:t>3.7</w:t>
            </w:r>
          </w:p>
        </w:tc>
        <w:tc>
          <w:tcPr>
            <w:tcW w:w="886" w:type="dxa"/>
            <w:tcBorders>
              <w:top w:val="nil"/>
              <w:left w:val="nil"/>
              <w:bottom w:val="nil"/>
              <w:right w:val="nil"/>
            </w:tcBorders>
            <w:shd w:val="clear" w:color="auto" w:fill="auto"/>
            <w:vAlign w:val="center"/>
          </w:tcPr>
          <w:p w14:paraId="67EEE606" w14:textId="77777777" w:rsidR="00624C05" w:rsidRPr="007976E3" w:rsidRDefault="00624C05" w:rsidP="00F01FAE">
            <w:pPr>
              <w:pStyle w:val="5"/>
              <w:tabs>
                <w:tab w:val="decimal" w:pos="328"/>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-8</w:t>
            </w:r>
            <w:r w:rsidRPr="007976E3">
              <w:rPr>
                <w:rFonts w:ascii="Times New Roman" w:hint="eastAsia"/>
                <w:kern w:val="0"/>
                <w:sz w:val="20"/>
                <w:u w:val="none"/>
                <w:lang w:val="en-GB"/>
              </w:rPr>
              <w:t>.5</w:t>
            </w:r>
          </w:p>
        </w:tc>
        <w:tc>
          <w:tcPr>
            <w:tcW w:w="886" w:type="dxa"/>
            <w:tcBorders>
              <w:top w:val="nil"/>
              <w:left w:val="nil"/>
              <w:bottom w:val="nil"/>
              <w:right w:val="nil"/>
            </w:tcBorders>
            <w:shd w:val="clear" w:color="auto" w:fill="auto"/>
            <w:vAlign w:val="center"/>
          </w:tcPr>
          <w:p w14:paraId="52FB7548" w14:textId="77777777" w:rsidR="00624C05" w:rsidRPr="007976E3" w:rsidRDefault="00624C05" w:rsidP="00F01FAE">
            <w:pPr>
              <w:pStyle w:val="5"/>
              <w:tabs>
                <w:tab w:val="decimal" w:pos="303"/>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-1.</w:t>
            </w:r>
            <w:r w:rsidRPr="007976E3">
              <w:rPr>
                <w:rFonts w:ascii="Times New Roman" w:hint="eastAsia"/>
                <w:kern w:val="0"/>
                <w:sz w:val="20"/>
                <w:u w:val="none"/>
                <w:lang w:val="en-GB"/>
              </w:rPr>
              <w:t>9</w:t>
            </w:r>
          </w:p>
        </w:tc>
      </w:tr>
      <w:tr w:rsidR="00624C05" w:rsidRPr="00E47DB9" w14:paraId="727182CF" w14:textId="77777777" w:rsidTr="00F01FAE">
        <w:tc>
          <w:tcPr>
            <w:tcW w:w="1148" w:type="dxa"/>
          </w:tcPr>
          <w:p w14:paraId="0C9A3E83" w14:textId="77777777" w:rsidR="00624C05" w:rsidRPr="00877DF1" w:rsidRDefault="00624C05" w:rsidP="00F01FAE">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145CD3F3" w14:textId="77777777" w:rsidR="00624C05" w:rsidRPr="00877DF1" w:rsidRDefault="00624C05" w:rsidP="00F01FAE">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第三季</w:t>
            </w:r>
          </w:p>
        </w:tc>
        <w:tc>
          <w:tcPr>
            <w:tcW w:w="885" w:type="dxa"/>
            <w:tcBorders>
              <w:top w:val="nil"/>
              <w:left w:val="nil"/>
              <w:bottom w:val="nil"/>
              <w:right w:val="nil"/>
            </w:tcBorders>
            <w:shd w:val="clear" w:color="auto" w:fill="auto"/>
            <w:vAlign w:val="center"/>
          </w:tcPr>
          <w:p w14:paraId="483BD922" w14:textId="77777777" w:rsidR="00624C05" w:rsidRPr="007976E3" w:rsidRDefault="00624C05" w:rsidP="00624C05">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7976E3">
              <w:rPr>
                <w:rFonts w:asciiTheme="minorHAnsi" w:hAnsiTheme="minorHAnsi" w:cstheme="minorHAnsi"/>
                <w:sz w:val="20"/>
                <w:u w:val="none"/>
              </w:rPr>
              <w:t>-2.9</w:t>
            </w:r>
          </w:p>
        </w:tc>
        <w:tc>
          <w:tcPr>
            <w:tcW w:w="886" w:type="dxa"/>
            <w:tcBorders>
              <w:top w:val="nil"/>
              <w:left w:val="nil"/>
              <w:bottom w:val="nil"/>
              <w:right w:val="nil"/>
            </w:tcBorders>
            <w:shd w:val="clear" w:color="auto" w:fill="auto"/>
            <w:vAlign w:val="center"/>
          </w:tcPr>
          <w:p w14:paraId="3B05CE9C" w14:textId="77777777" w:rsidR="00624C05" w:rsidRPr="007976E3" w:rsidRDefault="00624C05" w:rsidP="00F01FAE">
            <w:pPr>
              <w:pStyle w:val="5"/>
              <w:tabs>
                <w:tab w:val="decimal" w:pos="225"/>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-1.7</w:t>
            </w:r>
          </w:p>
        </w:tc>
        <w:tc>
          <w:tcPr>
            <w:tcW w:w="886" w:type="dxa"/>
            <w:tcBorders>
              <w:top w:val="nil"/>
              <w:left w:val="nil"/>
              <w:bottom w:val="nil"/>
              <w:right w:val="nil"/>
            </w:tcBorders>
            <w:shd w:val="clear" w:color="auto" w:fill="auto"/>
            <w:vAlign w:val="center"/>
          </w:tcPr>
          <w:p w14:paraId="68D407AB" w14:textId="77777777" w:rsidR="00624C05" w:rsidRPr="007976E3" w:rsidRDefault="00624C05" w:rsidP="00F01FAE">
            <w:pPr>
              <w:pStyle w:val="5"/>
              <w:tabs>
                <w:tab w:val="decimal" w:pos="328"/>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rPr>
              <w:t>-1</w:t>
            </w:r>
            <w:r w:rsidRPr="007976E3">
              <w:rPr>
                <w:rFonts w:ascii="Times New Roman" w:hint="eastAsia"/>
                <w:kern w:val="0"/>
                <w:sz w:val="20"/>
                <w:u w:val="none"/>
                <w:lang w:val="en-GB"/>
              </w:rPr>
              <w:t>7</w:t>
            </w:r>
            <w:r w:rsidRPr="007976E3">
              <w:rPr>
                <w:rFonts w:ascii="Times New Roman"/>
                <w:kern w:val="0"/>
                <w:sz w:val="20"/>
                <w:u w:val="none"/>
                <w:lang w:val="en-GB"/>
              </w:rPr>
              <w:t>.</w:t>
            </w:r>
            <w:r w:rsidRPr="007976E3">
              <w:rPr>
                <w:rFonts w:ascii="Times New Roman" w:hint="eastAsia"/>
                <w:kern w:val="0"/>
                <w:sz w:val="20"/>
                <w:u w:val="none"/>
                <w:lang w:val="en-GB"/>
              </w:rPr>
              <w:t>1</w:t>
            </w:r>
          </w:p>
        </w:tc>
        <w:tc>
          <w:tcPr>
            <w:tcW w:w="886" w:type="dxa"/>
            <w:tcBorders>
              <w:top w:val="nil"/>
              <w:left w:val="nil"/>
              <w:bottom w:val="nil"/>
              <w:right w:val="nil"/>
            </w:tcBorders>
            <w:shd w:val="clear" w:color="auto" w:fill="auto"/>
            <w:vAlign w:val="center"/>
          </w:tcPr>
          <w:p w14:paraId="29371286" w14:textId="77777777" w:rsidR="00624C05" w:rsidRPr="007976E3" w:rsidRDefault="00624C05" w:rsidP="00F01FAE">
            <w:pPr>
              <w:pStyle w:val="5"/>
              <w:tabs>
                <w:tab w:val="decimal" w:pos="303"/>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-1</w:t>
            </w:r>
            <w:r w:rsidRPr="007976E3">
              <w:rPr>
                <w:rFonts w:ascii="Times New Roman" w:hint="eastAsia"/>
                <w:kern w:val="0"/>
                <w:sz w:val="20"/>
                <w:u w:val="none"/>
                <w:lang w:val="en-GB"/>
              </w:rPr>
              <w:t>4.5</w:t>
            </w:r>
          </w:p>
        </w:tc>
        <w:tc>
          <w:tcPr>
            <w:tcW w:w="886" w:type="dxa"/>
            <w:tcBorders>
              <w:top w:val="nil"/>
              <w:left w:val="nil"/>
              <w:bottom w:val="nil"/>
              <w:right w:val="nil"/>
            </w:tcBorders>
            <w:shd w:val="clear" w:color="auto" w:fill="auto"/>
            <w:vAlign w:val="center"/>
          </w:tcPr>
          <w:p w14:paraId="40CE6BA2" w14:textId="77777777" w:rsidR="00624C05" w:rsidRPr="007976E3" w:rsidRDefault="00624C05" w:rsidP="00F01FAE">
            <w:pPr>
              <w:pStyle w:val="5"/>
              <w:tabs>
                <w:tab w:val="decimal" w:pos="264"/>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1.</w:t>
            </w:r>
            <w:r w:rsidRPr="007976E3">
              <w:rPr>
                <w:rFonts w:ascii="Times New Roman" w:hint="eastAsia"/>
                <w:kern w:val="0"/>
                <w:sz w:val="20"/>
                <w:u w:val="none"/>
                <w:lang w:val="en-GB"/>
              </w:rPr>
              <w:t>9</w:t>
            </w:r>
          </w:p>
        </w:tc>
        <w:tc>
          <w:tcPr>
            <w:tcW w:w="886" w:type="dxa"/>
            <w:tcBorders>
              <w:top w:val="nil"/>
              <w:left w:val="nil"/>
              <w:bottom w:val="nil"/>
              <w:right w:val="nil"/>
            </w:tcBorders>
            <w:shd w:val="clear" w:color="auto" w:fill="auto"/>
            <w:vAlign w:val="center"/>
          </w:tcPr>
          <w:p w14:paraId="4A03EE3B" w14:textId="77777777" w:rsidR="00624C05" w:rsidRPr="007976E3" w:rsidRDefault="00624C05" w:rsidP="00F01FAE">
            <w:pPr>
              <w:pStyle w:val="5"/>
              <w:tabs>
                <w:tab w:val="decimal" w:pos="226"/>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17.</w:t>
            </w:r>
            <w:r w:rsidRPr="007976E3">
              <w:rPr>
                <w:rFonts w:ascii="Times New Roman" w:hint="eastAsia"/>
                <w:kern w:val="0"/>
                <w:sz w:val="20"/>
                <w:u w:val="none"/>
                <w:lang w:val="en-GB"/>
              </w:rPr>
              <w:t>6</w:t>
            </w:r>
          </w:p>
        </w:tc>
        <w:tc>
          <w:tcPr>
            <w:tcW w:w="886" w:type="dxa"/>
            <w:tcBorders>
              <w:top w:val="nil"/>
              <w:left w:val="nil"/>
              <w:bottom w:val="nil"/>
              <w:right w:val="nil"/>
            </w:tcBorders>
            <w:shd w:val="clear" w:color="auto" w:fill="auto"/>
            <w:vAlign w:val="center"/>
          </w:tcPr>
          <w:p w14:paraId="13D7391C" w14:textId="77777777" w:rsidR="00624C05" w:rsidRPr="007976E3" w:rsidRDefault="00624C05" w:rsidP="00F01FAE">
            <w:pPr>
              <w:pStyle w:val="5"/>
              <w:tabs>
                <w:tab w:val="decimal" w:pos="328"/>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w:t>
            </w:r>
            <w:r w:rsidRPr="007976E3">
              <w:rPr>
                <w:rFonts w:ascii="Times New Roman" w:hint="eastAsia"/>
                <w:kern w:val="0"/>
                <w:sz w:val="20"/>
                <w:u w:val="none"/>
                <w:lang w:val="en-GB"/>
              </w:rPr>
              <w:t>3.1</w:t>
            </w:r>
          </w:p>
        </w:tc>
        <w:tc>
          <w:tcPr>
            <w:tcW w:w="886" w:type="dxa"/>
            <w:tcBorders>
              <w:top w:val="nil"/>
              <w:left w:val="nil"/>
              <w:bottom w:val="nil"/>
              <w:right w:val="nil"/>
            </w:tcBorders>
            <w:shd w:val="clear" w:color="auto" w:fill="auto"/>
            <w:vAlign w:val="center"/>
          </w:tcPr>
          <w:p w14:paraId="42B69B52" w14:textId="77777777" w:rsidR="00624C05" w:rsidRPr="007976E3" w:rsidRDefault="00624C05" w:rsidP="00F01FAE">
            <w:pPr>
              <w:pStyle w:val="5"/>
              <w:tabs>
                <w:tab w:val="decimal" w:pos="303"/>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-1.</w:t>
            </w:r>
            <w:r w:rsidRPr="007976E3">
              <w:rPr>
                <w:rFonts w:ascii="Times New Roman" w:hint="eastAsia"/>
                <w:kern w:val="0"/>
                <w:sz w:val="20"/>
                <w:u w:val="none"/>
                <w:lang w:val="en-GB"/>
              </w:rPr>
              <w:t>3</w:t>
            </w:r>
          </w:p>
        </w:tc>
      </w:tr>
      <w:tr w:rsidR="00624C05" w:rsidRPr="00E47DB9" w14:paraId="2D76B988" w14:textId="77777777" w:rsidTr="00F01FAE">
        <w:tc>
          <w:tcPr>
            <w:tcW w:w="1148" w:type="dxa"/>
          </w:tcPr>
          <w:p w14:paraId="07B4403B" w14:textId="77777777" w:rsidR="00624C05" w:rsidRPr="001A41FF" w:rsidRDefault="00624C05" w:rsidP="00F01FAE">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2910C2D2" w14:textId="77777777" w:rsidR="00624C05" w:rsidRPr="001A41FF" w:rsidRDefault="00624C05" w:rsidP="00F01FAE">
            <w:pPr>
              <w:keepNext/>
              <w:tabs>
                <w:tab w:val="clear" w:pos="936"/>
                <w:tab w:val="clear" w:pos="1560"/>
                <w:tab w:val="clear" w:pos="2184"/>
                <w:tab w:val="clear" w:pos="2808"/>
                <w:tab w:val="left" w:pos="575"/>
              </w:tabs>
              <w:spacing w:after="0" w:line="320" w:lineRule="atLeast"/>
              <w:ind w:right="28"/>
              <w:rPr>
                <w:bCs/>
                <w:spacing w:val="0"/>
                <w:sz w:val="20"/>
              </w:rPr>
            </w:pPr>
            <w:r w:rsidRPr="001A41FF">
              <w:rPr>
                <w:rFonts w:hint="eastAsia"/>
                <w:bCs/>
                <w:spacing w:val="0"/>
                <w:sz w:val="20"/>
              </w:rPr>
              <w:t>第四季</w:t>
            </w:r>
          </w:p>
        </w:tc>
        <w:tc>
          <w:tcPr>
            <w:tcW w:w="885" w:type="dxa"/>
            <w:tcBorders>
              <w:top w:val="nil"/>
              <w:left w:val="nil"/>
              <w:bottom w:val="nil"/>
              <w:right w:val="nil"/>
            </w:tcBorders>
            <w:shd w:val="clear" w:color="auto" w:fill="auto"/>
            <w:vAlign w:val="center"/>
          </w:tcPr>
          <w:p w14:paraId="030EAC4A" w14:textId="77777777" w:rsidR="00624C05" w:rsidRPr="007976E3" w:rsidRDefault="00624C05" w:rsidP="00624C05">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7976E3">
              <w:rPr>
                <w:rFonts w:asciiTheme="minorHAnsi" w:hAnsiTheme="minorHAnsi" w:cstheme="minorHAnsi"/>
                <w:sz w:val="20"/>
                <w:u w:val="none"/>
              </w:rPr>
              <w:t>-1.</w:t>
            </w:r>
            <w:r w:rsidRPr="007976E3">
              <w:rPr>
                <w:rFonts w:asciiTheme="minorHAnsi" w:hAnsiTheme="minorHAnsi" w:cstheme="minorHAnsi" w:hint="eastAsia"/>
                <w:sz w:val="20"/>
                <w:u w:val="none"/>
              </w:rPr>
              <w:t>0</w:t>
            </w:r>
          </w:p>
        </w:tc>
        <w:tc>
          <w:tcPr>
            <w:tcW w:w="886" w:type="dxa"/>
            <w:tcBorders>
              <w:top w:val="nil"/>
              <w:left w:val="nil"/>
              <w:bottom w:val="nil"/>
              <w:right w:val="nil"/>
            </w:tcBorders>
            <w:shd w:val="clear" w:color="auto" w:fill="auto"/>
            <w:vAlign w:val="center"/>
          </w:tcPr>
          <w:p w14:paraId="64F4369F" w14:textId="77777777" w:rsidR="00624C05" w:rsidRPr="007976E3" w:rsidRDefault="00624C05" w:rsidP="00F01FAE">
            <w:pPr>
              <w:pStyle w:val="5"/>
              <w:tabs>
                <w:tab w:val="decimal" w:pos="225"/>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-0.8</w:t>
            </w:r>
          </w:p>
        </w:tc>
        <w:tc>
          <w:tcPr>
            <w:tcW w:w="886" w:type="dxa"/>
            <w:tcBorders>
              <w:top w:val="nil"/>
              <w:left w:val="nil"/>
              <w:bottom w:val="nil"/>
              <w:right w:val="nil"/>
            </w:tcBorders>
            <w:shd w:val="clear" w:color="auto" w:fill="auto"/>
            <w:vAlign w:val="center"/>
          </w:tcPr>
          <w:p w14:paraId="07E06442" w14:textId="77777777" w:rsidR="00624C05" w:rsidRPr="007976E3" w:rsidRDefault="00624C05" w:rsidP="00F01FAE">
            <w:pPr>
              <w:pStyle w:val="5"/>
              <w:tabs>
                <w:tab w:val="decimal" w:pos="328"/>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rPr>
              <w:t>-13.</w:t>
            </w:r>
            <w:r w:rsidRPr="007976E3">
              <w:rPr>
                <w:rFonts w:ascii="Times New Roman" w:hint="eastAsia"/>
                <w:kern w:val="0"/>
                <w:sz w:val="20"/>
                <w:u w:val="none"/>
                <w:lang w:val="en-GB"/>
              </w:rPr>
              <w:t>6</w:t>
            </w:r>
          </w:p>
        </w:tc>
        <w:tc>
          <w:tcPr>
            <w:tcW w:w="886" w:type="dxa"/>
            <w:tcBorders>
              <w:top w:val="nil"/>
              <w:left w:val="nil"/>
              <w:bottom w:val="nil"/>
              <w:right w:val="nil"/>
            </w:tcBorders>
            <w:shd w:val="clear" w:color="auto" w:fill="auto"/>
            <w:vAlign w:val="center"/>
          </w:tcPr>
          <w:p w14:paraId="4672F112" w14:textId="77777777" w:rsidR="00624C05" w:rsidRPr="007976E3" w:rsidRDefault="00624C05" w:rsidP="00F01FAE">
            <w:pPr>
              <w:pStyle w:val="5"/>
              <w:tabs>
                <w:tab w:val="decimal" w:pos="303"/>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w:t>
            </w:r>
            <w:r w:rsidRPr="007976E3">
              <w:rPr>
                <w:rFonts w:ascii="Times New Roman" w:hint="eastAsia"/>
                <w:kern w:val="0"/>
                <w:sz w:val="20"/>
                <w:u w:val="none"/>
                <w:lang w:val="en-GB"/>
              </w:rPr>
              <w:t>9.5</w:t>
            </w:r>
          </w:p>
        </w:tc>
        <w:tc>
          <w:tcPr>
            <w:tcW w:w="886" w:type="dxa"/>
            <w:tcBorders>
              <w:top w:val="nil"/>
              <w:left w:val="nil"/>
              <w:bottom w:val="nil"/>
              <w:right w:val="nil"/>
            </w:tcBorders>
            <w:shd w:val="clear" w:color="auto" w:fill="auto"/>
            <w:vAlign w:val="center"/>
          </w:tcPr>
          <w:p w14:paraId="4297291D" w14:textId="77777777" w:rsidR="00624C05" w:rsidRPr="007976E3" w:rsidRDefault="00624C05" w:rsidP="00F01FAE">
            <w:pPr>
              <w:pStyle w:val="5"/>
              <w:tabs>
                <w:tab w:val="decimal" w:pos="264"/>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3.</w:t>
            </w:r>
            <w:r w:rsidRPr="007976E3">
              <w:rPr>
                <w:rFonts w:ascii="Times New Roman" w:hint="eastAsia"/>
                <w:kern w:val="0"/>
                <w:sz w:val="20"/>
                <w:u w:val="none"/>
                <w:lang w:val="en-GB"/>
              </w:rPr>
              <w:t>5</w:t>
            </w:r>
          </w:p>
        </w:tc>
        <w:tc>
          <w:tcPr>
            <w:tcW w:w="886" w:type="dxa"/>
            <w:tcBorders>
              <w:top w:val="nil"/>
              <w:left w:val="nil"/>
              <w:bottom w:val="nil"/>
              <w:right w:val="nil"/>
            </w:tcBorders>
            <w:shd w:val="clear" w:color="auto" w:fill="auto"/>
            <w:vAlign w:val="center"/>
          </w:tcPr>
          <w:p w14:paraId="3C1114C1" w14:textId="77777777" w:rsidR="00624C05" w:rsidRPr="007976E3" w:rsidRDefault="00624C05" w:rsidP="00F01FAE">
            <w:pPr>
              <w:pStyle w:val="5"/>
              <w:tabs>
                <w:tab w:val="decimal" w:pos="226"/>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1</w:t>
            </w:r>
            <w:r w:rsidRPr="007976E3">
              <w:rPr>
                <w:rFonts w:ascii="Times New Roman" w:hint="eastAsia"/>
                <w:kern w:val="0"/>
                <w:sz w:val="20"/>
                <w:u w:val="none"/>
                <w:lang w:val="en-GB"/>
              </w:rPr>
              <w:t>7.2</w:t>
            </w:r>
          </w:p>
        </w:tc>
        <w:tc>
          <w:tcPr>
            <w:tcW w:w="886" w:type="dxa"/>
            <w:tcBorders>
              <w:top w:val="nil"/>
              <w:left w:val="nil"/>
              <w:bottom w:val="nil"/>
              <w:right w:val="nil"/>
            </w:tcBorders>
            <w:shd w:val="clear" w:color="auto" w:fill="auto"/>
            <w:vAlign w:val="center"/>
          </w:tcPr>
          <w:p w14:paraId="7655F412" w14:textId="77777777" w:rsidR="00624C05" w:rsidRPr="007976E3" w:rsidRDefault="00624C05" w:rsidP="00F01FAE">
            <w:pPr>
              <w:pStyle w:val="5"/>
              <w:tabs>
                <w:tab w:val="decimal" w:pos="328"/>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5.</w:t>
            </w:r>
            <w:r w:rsidRPr="007976E3">
              <w:rPr>
                <w:rFonts w:ascii="Times New Roman" w:hint="eastAsia"/>
                <w:kern w:val="0"/>
                <w:sz w:val="20"/>
                <w:u w:val="none"/>
                <w:lang w:val="en-GB"/>
              </w:rPr>
              <w:t>9</w:t>
            </w:r>
          </w:p>
        </w:tc>
        <w:tc>
          <w:tcPr>
            <w:tcW w:w="886" w:type="dxa"/>
            <w:tcBorders>
              <w:top w:val="nil"/>
              <w:left w:val="nil"/>
              <w:bottom w:val="nil"/>
              <w:right w:val="nil"/>
            </w:tcBorders>
            <w:shd w:val="clear" w:color="auto" w:fill="auto"/>
            <w:vAlign w:val="center"/>
          </w:tcPr>
          <w:p w14:paraId="5A814D13" w14:textId="77777777" w:rsidR="00624C05" w:rsidRPr="007976E3" w:rsidRDefault="00624C05" w:rsidP="00F01FAE">
            <w:pPr>
              <w:pStyle w:val="5"/>
              <w:tabs>
                <w:tab w:val="decimal" w:pos="303"/>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eastAsia="zh-HK"/>
              </w:rPr>
              <w:t>-0.2</w:t>
            </w:r>
          </w:p>
        </w:tc>
      </w:tr>
      <w:tr w:rsidR="00624C05" w:rsidRPr="00877DF1" w14:paraId="4147BC14" w14:textId="77777777" w:rsidTr="00F01FAE">
        <w:tc>
          <w:tcPr>
            <w:tcW w:w="1148" w:type="dxa"/>
          </w:tcPr>
          <w:p w14:paraId="3EB851E6" w14:textId="77777777" w:rsidR="00624C05" w:rsidRPr="00877DF1" w:rsidRDefault="00624C05" w:rsidP="00F01FAE">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02AC6F0" w14:textId="77777777" w:rsidR="00624C05" w:rsidRPr="00877DF1" w:rsidRDefault="00624C05" w:rsidP="00F01FAE">
            <w:pPr>
              <w:keepNext/>
              <w:tabs>
                <w:tab w:val="clear" w:pos="936"/>
                <w:tab w:val="clear" w:pos="1560"/>
                <w:tab w:val="clear" w:pos="2184"/>
                <w:tab w:val="clear" w:pos="2808"/>
                <w:tab w:val="left" w:pos="575"/>
              </w:tabs>
              <w:spacing w:after="0" w:line="320" w:lineRule="atLeast"/>
              <w:ind w:right="28"/>
              <w:rPr>
                <w:bCs/>
                <w:spacing w:val="0"/>
                <w:sz w:val="20"/>
              </w:rPr>
            </w:pPr>
          </w:p>
        </w:tc>
        <w:tc>
          <w:tcPr>
            <w:tcW w:w="885" w:type="dxa"/>
            <w:vAlign w:val="center"/>
          </w:tcPr>
          <w:p w14:paraId="441EAB9F" w14:textId="77777777" w:rsidR="00624C05" w:rsidRPr="007976E3" w:rsidRDefault="00624C05" w:rsidP="00F01FAE">
            <w:pPr>
              <w:pStyle w:val="5"/>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67AAC2B5" w14:textId="77777777" w:rsidR="00624C05" w:rsidRPr="007976E3" w:rsidRDefault="00624C05" w:rsidP="00F01FAE">
            <w:pPr>
              <w:pStyle w:val="5"/>
              <w:tabs>
                <w:tab w:val="decimal" w:pos="225"/>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1CFC92B1" w14:textId="77777777" w:rsidR="00624C05" w:rsidRPr="007976E3" w:rsidRDefault="00624C05" w:rsidP="00F01FAE">
            <w:pPr>
              <w:pStyle w:val="5"/>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20944A39" w14:textId="77777777" w:rsidR="00624C05" w:rsidRPr="007976E3" w:rsidRDefault="00624C05" w:rsidP="00F01FAE">
            <w:pPr>
              <w:pStyle w:val="5"/>
              <w:tabs>
                <w:tab w:val="decimal" w:pos="303"/>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73F02FD7" w14:textId="77777777" w:rsidR="00624C05" w:rsidRPr="007976E3" w:rsidRDefault="00624C05" w:rsidP="00F01FAE">
            <w:pPr>
              <w:pStyle w:val="5"/>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606841B7" w14:textId="77777777" w:rsidR="00624C05" w:rsidRPr="007976E3" w:rsidRDefault="00624C05" w:rsidP="00F01FAE">
            <w:pPr>
              <w:pStyle w:val="5"/>
              <w:tabs>
                <w:tab w:val="decimal" w:pos="226"/>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1AADF801" w14:textId="77777777" w:rsidR="00624C05" w:rsidRPr="007976E3" w:rsidRDefault="00624C05" w:rsidP="00F01FAE">
            <w:pPr>
              <w:pStyle w:val="5"/>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1F0FEEC5" w14:textId="77777777" w:rsidR="00624C05" w:rsidRPr="007976E3" w:rsidRDefault="00624C05" w:rsidP="00F01FAE">
            <w:pPr>
              <w:pStyle w:val="5"/>
              <w:tabs>
                <w:tab w:val="decimal" w:pos="303"/>
              </w:tabs>
              <w:adjustRightInd w:val="0"/>
              <w:spacing w:line="320" w:lineRule="atLeast"/>
              <w:ind w:left="0" w:right="0"/>
              <w:jc w:val="left"/>
              <w:rPr>
                <w:rFonts w:ascii="Times New Roman" w:eastAsia="華康細明體"/>
                <w:kern w:val="0"/>
                <w:sz w:val="20"/>
                <w:u w:val="none"/>
                <w:lang w:val="en-GB"/>
              </w:rPr>
            </w:pPr>
          </w:p>
        </w:tc>
      </w:tr>
      <w:tr w:rsidR="00B502D4" w:rsidRPr="001A41FF" w14:paraId="1482CBD1" w14:textId="77777777" w:rsidTr="00897ABC">
        <w:tc>
          <w:tcPr>
            <w:tcW w:w="1148" w:type="dxa"/>
          </w:tcPr>
          <w:p w14:paraId="7807342A" w14:textId="77777777" w:rsidR="00B502D4" w:rsidRPr="006E6081" w:rsidRDefault="00B502D4" w:rsidP="00B502D4">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二零二</w:t>
            </w:r>
            <w:r w:rsidRPr="00494AFD">
              <w:rPr>
                <w:rFonts w:hint="eastAsia"/>
                <w:bCs/>
                <w:sz w:val="20"/>
                <w:u w:val="none"/>
              </w:rPr>
              <w:t>五</w:t>
            </w:r>
            <w:r w:rsidRPr="006E6081">
              <w:rPr>
                <w:rFonts w:ascii="Times New Roman" w:eastAsia="華康細明體" w:hint="eastAsia"/>
                <w:kern w:val="0"/>
                <w:sz w:val="20"/>
                <w:u w:val="none"/>
                <w:lang w:val="en-GB"/>
              </w:rPr>
              <w:t>年</w:t>
            </w:r>
          </w:p>
        </w:tc>
        <w:tc>
          <w:tcPr>
            <w:tcW w:w="830" w:type="dxa"/>
          </w:tcPr>
          <w:p w14:paraId="4769147C" w14:textId="77777777" w:rsidR="00B502D4" w:rsidRPr="006E6081" w:rsidRDefault="00B502D4" w:rsidP="00B502D4">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第一季</w:t>
            </w:r>
          </w:p>
        </w:tc>
        <w:tc>
          <w:tcPr>
            <w:tcW w:w="885" w:type="dxa"/>
            <w:tcBorders>
              <w:top w:val="nil"/>
              <w:left w:val="nil"/>
              <w:right w:val="nil"/>
            </w:tcBorders>
            <w:shd w:val="clear" w:color="auto" w:fill="auto"/>
            <w:vAlign w:val="center"/>
          </w:tcPr>
          <w:p w14:paraId="2543C22C" w14:textId="4B20EA23" w:rsidR="00B502D4" w:rsidRPr="007976E3" w:rsidRDefault="00B502D4" w:rsidP="00B502D4">
            <w:pPr>
              <w:pStyle w:val="5"/>
              <w:tabs>
                <w:tab w:val="decimal" w:pos="264"/>
              </w:tabs>
              <w:adjustRightInd w:val="0"/>
              <w:spacing w:line="320" w:lineRule="atLeast"/>
              <w:ind w:left="0" w:right="0"/>
              <w:rPr>
                <w:rFonts w:ascii="Times New Roman"/>
                <w:kern w:val="0"/>
                <w:sz w:val="20"/>
                <w:u w:val="none"/>
                <w:lang w:val="en-GB" w:eastAsia="zh-HK"/>
              </w:rPr>
            </w:pPr>
            <w:r>
              <w:rPr>
                <w:rFonts w:ascii="Times New Roman" w:hint="eastAsia"/>
                <w:kern w:val="0"/>
                <w:sz w:val="20"/>
                <w:u w:val="none"/>
                <w:lang w:val="en-GB"/>
              </w:rPr>
              <w:t>-0.8</w:t>
            </w:r>
          </w:p>
        </w:tc>
        <w:tc>
          <w:tcPr>
            <w:tcW w:w="886" w:type="dxa"/>
            <w:tcBorders>
              <w:top w:val="nil"/>
              <w:left w:val="nil"/>
              <w:right w:val="nil"/>
            </w:tcBorders>
            <w:shd w:val="clear" w:color="auto" w:fill="auto"/>
            <w:vAlign w:val="center"/>
          </w:tcPr>
          <w:p w14:paraId="337CE5C1" w14:textId="1CFF0C72" w:rsidR="00B502D4" w:rsidRPr="007976E3" w:rsidRDefault="00B502D4" w:rsidP="00B502D4">
            <w:pPr>
              <w:pStyle w:val="5"/>
              <w:tabs>
                <w:tab w:val="decimal" w:pos="225"/>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rPr>
              <w:t>-0.3</w:t>
            </w:r>
          </w:p>
        </w:tc>
        <w:tc>
          <w:tcPr>
            <w:tcW w:w="886" w:type="dxa"/>
            <w:tcBorders>
              <w:top w:val="nil"/>
              <w:left w:val="nil"/>
              <w:right w:val="nil"/>
            </w:tcBorders>
            <w:shd w:val="clear" w:color="auto" w:fill="auto"/>
            <w:vAlign w:val="center"/>
          </w:tcPr>
          <w:p w14:paraId="5986F9CC" w14:textId="68CC6275" w:rsidR="00B502D4" w:rsidRPr="007976E3" w:rsidRDefault="00B502D4" w:rsidP="00B502D4">
            <w:pPr>
              <w:pStyle w:val="5"/>
              <w:tabs>
                <w:tab w:val="decimal" w:pos="328"/>
              </w:tabs>
              <w:adjustRightInd w:val="0"/>
              <w:spacing w:line="320" w:lineRule="atLeast"/>
              <w:ind w:left="0" w:right="0"/>
              <w:rPr>
                <w:rFonts w:ascii="Times New Roman"/>
                <w:kern w:val="0"/>
                <w:sz w:val="20"/>
                <w:u w:val="none"/>
                <w:lang w:val="en-GB" w:eastAsia="zh-HK"/>
              </w:rPr>
            </w:pPr>
            <w:r w:rsidRPr="007976E3">
              <w:rPr>
                <w:rFonts w:ascii="Times New Roman"/>
                <w:kern w:val="0"/>
                <w:sz w:val="20"/>
                <w:u w:val="none"/>
                <w:lang w:val="en-GB"/>
              </w:rPr>
              <w:t>-</w:t>
            </w:r>
            <w:r w:rsidRPr="007976E3">
              <w:rPr>
                <w:rFonts w:ascii="Times New Roman" w:hint="eastAsia"/>
                <w:kern w:val="0"/>
                <w:sz w:val="20"/>
                <w:u w:val="none"/>
                <w:lang w:val="en-GB"/>
              </w:rPr>
              <w:t>16.</w:t>
            </w:r>
            <w:r w:rsidRPr="007976E3">
              <w:rPr>
                <w:rFonts w:ascii="Times New Roman"/>
                <w:kern w:val="0"/>
                <w:sz w:val="20"/>
                <w:u w:val="none"/>
                <w:lang w:val="en-GB"/>
              </w:rPr>
              <w:t>6</w:t>
            </w:r>
          </w:p>
        </w:tc>
        <w:tc>
          <w:tcPr>
            <w:tcW w:w="886" w:type="dxa"/>
            <w:tcBorders>
              <w:top w:val="nil"/>
              <w:left w:val="nil"/>
              <w:right w:val="nil"/>
            </w:tcBorders>
            <w:shd w:val="clear" w:color="auto" w:fill="auto"/>
            <w:vAlign w:val="center"/>
          </w:tcPr>
          <w:p w14:paraId="2A29FB66" w14:textId="46D25BFB" w:rsidR="00B502D4" w:rsidRPr="007976E3" w:rsidRDefault="00B502D4" w:rsidP="00B502D4">
            <w:pPr>
              <w:pStyle w:val="5"/>
              <w:tabs>
                <w:tab w:val="decimal" w:pos="303"/>
              </w:tabs>
              <w:adjustRightInd w:val="0"/>
              <w:spacing w:line="320" w:lineRule="atLeast"/>
              <w:ind w:left="0" w:right="0"/>
              <w:rPr>
                <w:rFonts w:ascii="Times New Roman"/>
                <w:kern w:val="0"/>
                <w:sz w:val="20"/>
                <w:u w:val="none"/>
                <w:lang w:val="en-GB" w:eastAsia="zh-HK"/>
              </w:rPr>
            </w:pPr>
            <w:r w:rsidRPr="007976E3">
              <w:rPr>
                <w:rFonts w:ascii="Times New Roman" w:hint="eastAsia"/>
                <w:kern w:val="0"/>
                <w:sz w:val="20"/>
                <w:u w:val="none"/>
                <w:lang w:val="en-GB"/>
              </w:rPr>
              <w:t>-8.</w:t>
            </w:r>
            <w:r w:rsidRPr="007976E3">
              <w:rPr>
                <w:rFonts w:ascii="Times New Roman"/>
                <w:kern w:val="0"/>
                <w:sz w:val="20"/>
                <w:u w:val="none"/>
                <w:lang w:val="en-GB"/>
              </w:rPr>
              <w:t>1</w:t>
            </w:r>
          </w:p>
        </w:tc>
        <w:tc>
          <w:tcPr>
            <w:tcW w:w="886" w:type="dxa"/>
            <w:tcBorders>
              <w:top w:val="nil"/>
              <w:left w:val="nil"/>
              <w:right w:val="nil"/>
            </w:tcBorders>
            <w:shd w:val="clear" w:color="auto" w:fill="auto"/>
            <w:vAlign w:val="center"/>
          </w:tcPr>
          <w:p w14:paraId="279E4E4D" w14:textId="48C312B0" w:rsidR="00B502D4" w:rsidRPr="007976E3" w:rsidRDefault="00B502D4" w:rsidP="00B502D4">
            <w:pPr>
              <w:pStyle w:val="5"/>
              <w:tabs>
                <w:tab w:val="decimal" w:pos="264"/>
              </w:tabs>
              <w:adjustRightInd w:val="0"/>
              <w:spacing w:line="320" w:lineRule="atLeast"/>
              <w:ind w:left="0" w:right="0"/>
              <w:rPr>
                <w:rFonts w:ascii="Times New Roman"/>
                <w:kern w:val="0"/>
                <w:sz w:val="20"/>
                <w:u w:val="none"/>
                <w:lang w:val="en-GB" w:eastAsia="zh-HK"/>
              </w:rPr>
            </w:pPr>
            <w:r>
              <w:rPr>
                <w:rFonts w:ascii="Times New Roman" w:hint="eastAsia"/>
                <w:kern w:val="0"/>
                <w:sz w:val="20"/>
                <w:u w:val="none"/>
                <w:lang w:val="en-GB"/>
              </w:rPr>
              <w:t>2.9</w:t>
            </w:r>
          </w:p>
        </w:tc>
        <w:tc>
          <w:tcPr>
            <w:tcW w:w="886" w:type="dxa"/>
            <w:tcBorders>
              <w:top w:val="nil"/>
              <w:left w:val="nil"/>
              <w:right w:val="nil"/>
            </w:tcBorders>
            <w:shd w:val="clear" w:color="auto" w:fill="auto"/>
            <w:vAlign w:val="center"/>
          </w:tcPr>
          <w:p w14:paraId="7F2E9611" w14:textId="7EB0B8D5" w:rsidR="00B502D4" w:rsidRPr="007976E3" w:rsidRDefault="00B502D4" w:rsidP="00B502D4">
            <w:pPr>
              <w:pStyle w:val="5"/>
              <w:tabs>
                <w:tab w:val="decimal" w:pos="226"/>
              </w:tabs>
              <w:adjustRightInd w:val="0"/>
              <w:spacing w:line="320" w:lineRule="atLeast"/>
              <w:ind w:left="0" w:right="0"/>
              <w:rPr>
                <w:rFonts w:ascii="Times New Roman"/>
                <w:kern w:val="0"/>
                <w:sz w:val="20"/>
                <w:u w:val="none"/>
                <w:lang w:val="en-GB" w:eastAsia="zh-HK"/>
              </w:rPr>
            </w:pPr>
            <w:r>
              <w:rPr>
                <w:rFonts w:ascii="Times New Roman" w:hint="eastAsia"/>
                <w:kern w:val="0"/>
                <w:sz w:val="20"/>
                <w:u w:val="none"/>
                <w:lang w:val="en-GB"/>
              </w:rPr>
              <w:t>1.8</w:t>
            </w:r>
          </w:p>
        </w:tc>
        <w:tc>
          <w:tcPr>
            <w:tcW w:w="886" w:type="dxa"/>
            <w:tcBorders>
              <w:top w:val="nil"/>
              <w:left w:val="nil"/>
              <w:right w:val="nil"/>
            </w:tcBorders>
            <w:shd w:val="clear" w:color="auto" w:fill="auto"/>
            <w:vAlign w:val="center"/>
          </w:tcPr>
          <w:p w14:paraId="39400FEC" w14:textId="5CAFCDD8" w:rsidR="00B502D4" w:rsidRPr="007976E3" w:rsidRDefault="00B502D4" w:rsidP="00B502D4">
            <w:pPr>
              <w:pStyle w:val="5"/>
              <w:tabs>
                <w:tab w:val="decimal" w:pos="328"/>
              </w:tabs>
              <w:adjustRightInd w:val="0"/>
              <w:spacing w:line="320" w:lineRule="atLeast"/>
              <w:ind w:left="0" w:right="0"/>
              <w:rPr>
                <w:rFonts w:ascii="Times New Roman"/>
                <w:kern w:val="0"/>
                <w:sz w:val="20"/>
                <w:u w:val="none"/>
                <w:lang w:val="en-GB" w:eastAsia="zh-HK"/>
              </w:rPr>
            </w:pPr>
            <w:r>
              <w:rPr>
                <w:rFonts w:ascii="Times New Roman" w:hint="eastAsia"/>
                <w:kern w:val="0"/>
                <w:sz w:val="20"/>
                <w:u w:val="none"/>
                <w:lang w:val="en-GB"/>
              </w:rPr>
              <w:t>4.9</w:t>
            </w:r>
          </w:p>
        </w:tc>
        <w:tc>
          <w:tcPr>
            <w:tcW w:w="886" w:type="dxa"/>
            <w:tcBorders>
              <w:top w:val="nil"/>
              <w:left w:val="nil"/>
              <w:right w:val="nil"/>
            </w:tcBorders>
            <w:shd w:val="clear" w:color="auto" w:fill="auto"/>
            <w:vAlign w:val="center"/>
          </w:tcPr>
          <w:p w14:paraId="69AFB36A" w14:textId="00AD8235" w:rsidR="00B502D4" w:rsidRPr="007976E3" w:rsidRDefault="00B502D4" w:rsidP="00B502D4">
            <w:pPr>
              <w:pStyle w:val="5"/>
              <w:tabs>
                <w:tab w:val="decimal" w:pos="303"/>
              </w:tabs>
              <w:adjustRightInd w:val="0"/>
              <w:spacing w:line="320" w:lineRule="atLeast"/>
              <w:ind w:left="0" w:right="0"/>
              <w:rPr>
                <w:rFonts w:ascii="Times New Roman"/>
                <w:kern w:val="0"/>
                <w:sz w:val="20"/>
                <w:u w:val="none"/>
                <w:lang w:val="en-GB" w:eastAsia="zh-HK"/>
              </w:rPr>
            </w:pPr>
            <w:r w:rsidRPr="007976E3">
              <w:rPr>
                <w:rFonts w:ascii="Times New Roman" w:hint="eastAsia"/>
                <w:kern w:val="0"/>
                <w:sz w:val="20"/>
                <w:u w:val="none"/>
                <w:lang w:val="en-GB"/>
              </w:rPr>
              <w:t>-1.2</w:t>
            </w:r>
          </w:p>
        </w:tc>
      </w:tr>
      <w:tr w:rsidR="00B502D4" w:rsidRPr="001A41FF" w14:paraId="53A0DE71" w14:textId="77777777" w:rsidTr="00A46BDC">
        <w:tc>
          <w:tcPr>
            <w:tcW w:w="1148" w:type="dxa"/>
          </w:tcPr>
          <w:p w14:paraId="78D1D063" w14:textId="77777777" w:rsidR="00B502D4" w:rsidRPr="006E6081" w:rsidRDefault="00B502D4" w:rsidP="00B502D4">
            <w:pPr>
              <w:pStyle w:val="5"/>
              <w:tabs>
                <w:tab w:val="decimal" w:pos="388"/>
              </w:tabs>
              <w:adjustRightInd w:val="0"/>
              <w:spacing w:line="320" w:lineRule="atLeast"/>
              <w:ind w:left="0" w:right="0"/>
              <w:jc w:val="left"/>
              <w:rPr>
                <w:rFonts w:ascii="Times New Roman" w:eastAsia="華康細明體"/>
                <w:kern w:val="0"/>
                <w:sz w:val="20"/>
                <w:u w:val="none"/>
                <w:lang w:val="en-GB"/>
              </w:rPr>
            </w:pPr>
          </w:p>
        </w:tc>
        <w:tc>
          <w:tcPr>
            <w:tcW w:w="830" w:type="dxa"/>
          </w:tcPr>
          <w:p w14:paraId="24346066" w14:textId="77777777" w:rsidR="00B502D4" w:rsidRPr="00D6268D" w:rsidRDefault="00B502D4" w:rsidP="00B502D4">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D6268D">
              <w:rPr>
                <w:rFonts w:hint="eastAsia"/>
                <w:bCs/>
                <w:sz w:val="20"/>
                <w:u w:val="none"/>
              </w:rPr>
              <w:t>第二季</w:t>
            </w:r>
          </w:p>
        </w:tc>
        <w:tc>
          <w:tcPr>
            <w:tcW w:w="885" w:type="dxa"/>
            <w:tcBorders>
              <w:top w:val="nil"/>
              <w:left w:val="nil"/>
              <w:bottom w:val="nil"/>
              <w:right w:val="nil"/>
            </w:tcBorders>
            <w:shd w:val="clear" w:color="auto" w:fill="auto"/>
            <w:vAlign w:val="center"/>
          </w:tcPr>
          <w:p w14:paraId="0862FB68" w14:textId="1B68D54B" w:rsidR="00B502D4" w:rsidRPr="00A46BDC" w:rsidRDefault="00B502D4" w:rsidP="00B502D4">
            <w:pPr>
              <w:pStyle w:val="5"/>
              <w:tabs>
                <w:tab w:val="decimal" w:pos="264"/>
              </w:tabs>
              <w:adjustRightInd w:val="0"/>
              <w:spacing w:line="320" w:lineRule="atLeast"/>
              <w:ind w:left="0" w:right="0"/>
              <w:rPr>
                <w:rFonts w:ascii="Times New Roman"/>
                <w:kern w:val="0"/>
                <w:sz w:val="20"/>
                <w:u w:val="none"/>
                <w:lang w:val="en-GB"/>
              </w:rPr>
            </w:pPr>
            <w:r w:rsidRPr="004923BD">
              <w:rPr>
                <w:rFonts w:asciiTheme="minorHAnsi" w:hAnsiTheme="minorHAnsi" w:cstheme="minorHAnsi"/>
                <w:sz w:val="20"/>
                <w:u w:val="none"/>
              </w:rPr>
              <w:t>2.3</w:t>
            </w:r>
          </w:p>
        </w:tc>
        <w:tc>
          <w:tcPr>
            <w:tcW w:w="886" w:type="dxa"/>
            <w:tcBorders>
              <w:top w:val="nil"/>
              <w:left w:val="nil"/>
              <w:bottom w:val="nil"/>
              <w:right w:val="nil"/>
            </w:tcBorders>
            <w:shd w:val="clear" w:color="auto" w:fill="auto"/>
            <w:vAlign w:val="center"/>
          </w:tcPr>
          <w:p w14:paraId="585369CB" w14:textId="30E6BB8E" w:rsidR="00B502D4" w:rsidRPr="00A46BDC" w:rsidRDefault="004923BD" w:rsidP="00B502D4">
            <w:pPr>
              <w:pStyle w:val="5"/>
              <w:tabs>
                <w:tab w:val="decimal" w:pos="225"/>
              </w:tabs>
              <w:adjustRightInd w:val="0"/>
              <w:spacing w:line="320" w:lineRule="atLeast"/>
              <w:ind w:left="0" w:right="0"/>
              <w:rPr>
                <w:rFonts w:ascii="Times New Roman"/>
                <w:kern w:val="0"/>
                <w:sz w:val="20"/>
                <w:u w:val="none"/>
                <w:lang w:val="en-GB"/>
              </w:rPr>
            </w:pPr>
            <w:r w:rsidRPr="004923BD">
              <w:rPr>
                <w:rFonts w:asciiTheme="minorHAnsi" w:hAnsiTheme="minorHAnsi" w:cstheme="minorHAnsi"/>
                <w:sz w:val="20"/>
                <w:u w:val="none"/>
              </w:rPr>
              <w:t>0.6</w:t>
            </w:r>
          </w:p>
        </w:tc>
        <w:tc>
          <w:tcPr>
            <w:tcW w:w="886" w:type="dxa"/>
            <w:tcBorders>
              <w:top w:val="nil"/>
              <w:left w:val="nil"/>
              <w:bottom w:val="nil"/>
              <w:right w:val="nil"/>
            </w:tcBorders>
            <w:shd w:val="clear" w:color="auto" w:fill="auto"/>
            <w:vAlign w:val="center"/>
          </w:tcPr>
          <w:p w14:paraId="130E869D" w14:textId="08C7F987" w:rsidR="00B502D4" w:rsidRPr="00A46BDC" w:rsidRDefault="00B502D4" w:rsidP="00B502D4">
            <w:pPr>
              <w:pStyle w:val="5"/>
              <w:tabs>
                <w:tab w:val="decimal" w:pos="328"/>
              </w:tabs>
              <w:adjustRightInd w:val="0"/>
              <w:spacing w:line="320" w:lineRule="atLeast"/>
              <w:ind w:left="0" w:right="0"/>
              <w:rPr>
                <w:rFonts w:ascii="Times New Roman"/>
                <w:kern w:val="0"/>
                <w:sz w:val="20"/>
                <w:u w:val="none"/>
                <w:lang w:val="en-GB"/>
              </w:rPr>
            </w:pPr>
            <w:r w:rsidRPr="004923BD">
              <w:rPr>
                <w:rFonts w:asciiTheme="minorHAnsi" w:hAnsiTheme="minorHAnsi" w:cstheme="minorHAnsi"/>
                <w:sz w:val="20"/>
                <w:u w:val="none"/>
              </w:rPr>
              <w:t>-</w:t>
            </w:r>
            <w:r w:rsidR="004923BD" w:rsidRPr="004923BD">
              <w:rPr>
                <w:rFonts w:asciiTheme="minorHAnsi" w:hAnsiTheme="minorHAnsi" w:cstheme="minorHAnsi"/>
                <w:sz w:val="20"/>
                <w:u w:val="none"/>
              </w:rPr>
              <w:t>6.2</w:t>
            </w:r>
          </w:p>
        </w:tc>
        <w:tc>
          <w:tcPr>
            <w:tcW w:w="886" w:type="dxa"/>
            <w:tcBorders>
              <w:top w:val="nil"/>
              <w:left w:val="nil"/>
              <w:bottom w:val="nil"/>
              <w:right w:val="nil"/>
            </w:tcBorders>
            <w:shd w:val="clear" w:color="auto" w:fill="auto"/>
            <w:vAlign w:val="center"/>
          </w:tcPr>
          <w:p w14:paraId="2F4EDDCC" w14:textId="69BBCE20" w:rsidR="00B502D4" w:rsidRPr="00A46BDC" w:rsidRDefault="00B502D4" w:rsidP="00B502D4">
            <w:pPr>
              <w:pStyle w:val="5"/>
              <w:tabs>
                <w:tab w:val="decimal" w:pos="303"/>
              </w:tabs>
              <w:adjustRightInd w:val="0"/>
              <w:spacing w:line="320" w:lineRule="atLeast"/>
              <w:ind w:left="0" w:right="0"/>
              <w:rPr>
                <w:rFonts w:ascii="Times New Roman"/>
                <w:kern w:val="0"/>
                <w:sz w:val="20"/>
                <w:u w:val="none"/>
                <w:lang w:val="en-GB"/>
              </w:rPr>
            </w:pPr>
            <w:r w:rsidRPr="004923BD">
              <w:rPr>
                <w:rFonts w:asciiTheme="minorHAnsi" w:hAnsiTheme="minorHAnsi" w:cstheme="minorHAnsi"/>
                <w:sz w:val="20"/>
                <w:u w:val="none"/>
              </w:rPr>
              <w:t>3.</w:t>
            </w:r>
            <w:r w:rsidR="004923BD" w:rsidRPr="004923BD">
              <w:rPr>
                <w:rFonts w:asciiTheme="minorHAnsi" w:hAnsiTheme="minorHAnsi" w:cstheme="minorHAnsi"/>
                <w:sz w:val="20"/>
                <w:u w:val="none"/>
              </w:rPr>
              <w:t>1</w:t>
            </w:r>
          </w:p>
        </w:tc>
        <w:tc>
          <w:tcPr>
            <w:tcW w:w="886" w:type="dxa"/>
            <w:tcBorders>
              <w:top w:val="nil"/>
              <w:left w:val="nil"/>
              <w:bottom w:val="nil"/>
              <w:right w:val="nil"/>
            </w:tcBorders>
            <w:shd w:val="clear" w:color="auto" w:fill="auto"/>
            <w:vAlign w:val="center"/>
          </w:tcPr>
          <w:p w14:paraId="7F9FADC0" w14:textId="7FA94F95" w:rsidR="00B502D4" w:rsidRPr="00A46BDC" w:rsidRDefault="00B502D4" w:rsidP="00B502D4">
            <w:pPr>
              <w:pStyle w:val="5"/>
              <w:tabs>
                <w:tab w:val="decimal" w:pos="264"/>
              </w:tabs>
              <w:adjustRightInd w:val="0"/>
              <w:spacing w:line="320" w:lineRule="atLeast"/>
              <w:ind w:left="0" w:right="0"/>
              <w:rPr>
                <w:rFonts w:ascii="Times New Roman"/>
                <w:kern w:val="0"/>
                <w:sz w:val="20"/>
                <w:u w:val="none"/>
                <w:lang w:val="en-GB"/>
              </w:rPr>
            </w:pPr>
            <w:r w:rsidRPr="004923BD">
              <w:rPr>
                <w:rFonts w:asciiTheme="minorHAnsi" w:hAnsiTheme="minorHAnsi" w:cstheme="minorHAnsi"/>
                <w:sz w:val="20"/>
                <w:u w:val="none"/>
              </w:rPr>
              <w:t>3.</w:t>
            </w:r>
            <w:r w:rsidR="004923BD" w:rsidRPr="004923BD">
              <w:rPr>
                <w:rFonts w:asciiTheme="minorHAnsi" w:hAnsiTheme="minorHAnsi" w:cstheme="minorHAnsi"/>
                <w:sz w:val="20"/>
                <w:u w:val="none"/>
              </w:rPr>
              <w:t>2</w:t>
            </w:r>
          </w:p>
        </w:tc>
        <w:tc>
          <w:tcPr>
            <w:tcW w:w="886" w:type="dxa"/>
            <w:tcBorders>
              <w:top w:val="nil"/>
              <w:left w:val="nil"/>
              <w:bottom w:val="nil"/>
              <w:right w:val="nil"/>
            </w:tcBorders>
            <w:shd w:val="clear" w:color="auto" w:fill="auto"/>
            <w:vAlign w:val="center"/>
          </w:tcPr>
          <w:p w14:paraId="2BD9AC5E" w14:textId="62631129" w:rsidR="00B502D4" w:rsidRPr="00A46BDC" w:rsidRDefault="004923BD" w:rsidP="00B502D4">
            <w:pPr>
              <w:pStyle w:val="5"/>
              <w:tabs>
                <w:tab w:val="decimal" w:pos="226"/>
              </w:tabs>
              <w:adjustRightInd w:val="0"/>
              <w:spacing w:line="320" w:lineRule="atLeast"/>
              <w:ind w:left="0" w:right="0"/>
              <w:rPr>
                <w:rFonts w:ascii="Times New Roman"/>
                <w:kern w:val="0"/>
                <w:sz w:val="20"/>
                <w:u w:val="none"/>
                <w:lang w:val="en-GB"/>
              </w:rPr>
            </w:pPr>
            <w:r w:rsidRPr="004923BD">
              <w:rPr>
                <w:rFonts w:asciiTheme="minorHAnsi" w:hAnsiTheme="minorHAnsi" w:cstheme="minorHAnsi"/>
                <w:sz w:val="20"/>
                <w:u w:val="none"/>
              </w:rPr>
              <w:t>6.9</w:t>
            </w:r>
          </w:p>
        </w:tc>
        <w:tc>
          <w:tcPr>
            <w:tcW w:w="886" w:type="dxa"/>
            <w:tcBorders>
              <w:top w:val="nil"/>
              <w:left w:val="nil"/>
              <w:bottom w:val="nil"/>
              <w:right w:val="nil"/>
            </w:tcBorders>
            <w:shd w:val="clear" w:color="auto" w:fill="auto"/>
            <w:vAlign w:val="center"/>
          </w:tcPr>
          <w:p w14:paraId="58B65150" w14:textId="7747133D" w:rsidR="00B502D4" w:rsidRPr="00A46BDC" w:rsidRDefault="00B502D4" w:rsidP="00B502D4">
            <w:pPr>
              <w:pStyle w:val="5"/>
              <w:tabs>
                <w:tab w:val="decimal" w:pos="328"/>
              </w:tabs>
              <w:adjustRightInd w:val="0"/>
              <w:spacing w:line="320" w:lineRule="atLeast"/>
              <w:ind w:left="0" w:right="0"/>
              <w:rPr>
                <w:rFonts w:ascii="Times New Roman"/>
                <w:kern w:val="0"/>
                <w:sz w:val="20"/>
                <w:u w:val="none"/>
                <w:lang w:val="en-GB"/>
              </w:rPr>
            </w:pPr>
            <w:r w:rsidRPr="004923BD">
              <w:rPr>
                <w:rFonts w:asciiTheme="minorHAnsi" w:hAnsiTheme="minorHAnsi" w:cstheme="minorHAnsi"/>
                <w:sz w:val="20"/>
                <w:u w:val="none"/>
              </w:rPr>
              <w:t>13.4</w:t>
            </w:r>
          </w:p>
        </w:tc>
        <w:tc>
          <w:tcPr>
            <w:tcW w:w="886" w:type="dxa"/>
            <w:tcBorders>
              <w:top w:val="nil"/>
              <w:left w:val="nil"/>
              <w:bottom w:val="nil"/>
              <w:right w:val="nil"/>
            </w:tcBorders>
            <w:shd w:val="clear" w:color="auto" w:fill="auto"/>
            <w:vAlign w:val="center"/>
          </w:tcPr>
          <w:p w14:paraId="655A489F" w14:textId="06D7519B" w:rsidR="00B502D4" w:rsidRPr="00A46BDC" w:rsidRDefault="00B502D4" w:rsidP="00B502D4">
            <w:pPr>
              <w:pStyle w:val="5"/>
              <w:tabs>
                <w:tab w:val="decimal" w:pos="303"/>
              </w:tabs>
              <w:adjustRightInd w:val="0"/>
              <w:spacing w:line="320" w:lineRule="atLeast"/>
              <w:ind w:left="0" w:right="0"/>
              <w:rPr>
                <w:rFonts w:ascii="Times New Roman"/>
                <w:kern w:val="0"/>
                <w:sz w:val="20"/>
                <w:u w:val="none"/>
                <w:lang w:val="en-GB"/>
              </w:rPr>
            </w:pPr>
            <w:r w:rsidRPr="00A46BDC">
              <w:rPr>
                <w:rFonts w:ascii="Times New Roman"/>
                <w:kern w:val="0"/>
                <w:sz w:val="20"/>
                <w:u w:val="none"/>
                <w:lang w:val="en-GB"/>
              </w:rPr>
              <w:t>1.9</w:t>
            </w:r>
          </w:p>
        </w:tc>
      </w:tr>
    </w:tbl>
    <w:p w14:paraId="5D82775B" w14:textId="77777777" w:rsidR="00624C05" w:rsidRPr="00877DF1" w:rsidRDefault="00624C05" w:rsidP="00F01FAE">
      <w:pPr>
        <w:pStyle w:val="afff3"/>
        <w:keepNext/>
        <w:rPr>
          <w:lang w:eastAsia="zh-HK"/>
        </w:rPr>
      </w:pPr>
    </w:p>
    <w:p w14:paraId="7129C3E2" w14:textId="77777777" w:rsidR="00624C05" w:rsidRPr="004153B9" w:rsidRDefault="00624C05" w:rsidP="00624C05">
      <w:pPr>
        <w:pStyle w:val="afff3"/>
        <w:keepLines/>
        <w:rPr>
          <w:lang w:eastAsia="zh-HK"/>
        </w:rPr>
      </w:pPr>
      <w:r w:rsidRPr="00877DF1">
        <w:rPr>
          <w:rFonts w:hint="eastAsia"/>
          <w:lang w:eastAsia="zh-HK"/>
        </w:rPr>
        <w:t>註：</w:t>
      </w:r>
      <w:r w:rsidRPr="00877DF1">
        <w:rPr>
          <w:lang w:eastAsia="zh-HK"/>
        </w:rPr>
        <w:tab/>
      </w:r>
      <w:r w:rsidRPr="004153B9">
        <w:rPr>
          <w:lang w:eastAsia="zh-HK"/>
        </w:rPr>
        <w:t>(a)</w:t>
      </w:r>
      <w:r w:rsidRPr="004153B9">
        <w:rPr>
          <w:lang w:eastAsia="zh-HK"/>
        </w:rPr>
        <w:tab/>
      </w:r>
      <w:r w:rsidRPr="00877DF1">
        <w:rPr>
          <w:rFonts w:hint="eastAsia"/>
          <w:lang w:eastAsia="zh-HK"/>
        </w:rPr>
        <w:t>本土市場的消費開支由本地消費開支及旅客</w:t>
      </w:r>
      <w:r w:rsidRPr="00663AF6">
        <w:rPr>
          <w:rFonts w:hint="eastAsia"/>
          <w:lang w:eastAsia="zh-HK"/>
        </w:rPr>
        <w:t>消費</w:t>
      </w:r>
      <w:r w:rsidRPr="00877DF1">
        <w:rPr>
          <w:rFonts w:hint="eastAsia"/>
          <w:lang w:eastAsia="zh-HK"/>
        </w:rPr>
        <w:t>開支組成。</w:t>
      </w:r>
    </w:p>
    <w:p w14:paraId="6A4CAF88" w14:textId="77777777" w:rsidR="00624C05" w:rsidRDefault="00624C05" w:rsidP="00624C05">
      <w:pPr>
        <w:pStyle w:val="afff3"/>
        <w:keepLines/>
        <w:rPr>
          <w:lang w:eastAsia="zh-HK"/>
        </w:rPr>
      </w:pPr>
      <w:r w:rsidRPr="00877DF1">
        <w:rPr>
          <w:lang w:eastAsia="zh-HK"/>
        </w:rPr>
        <w:tab/>
        <w:t>(b)</w:t>
      </w:r>
      <w:r w:rsidRPr="00877DF1">
        <w:rPr>
          <w:lang w:eastAsia="zh-HK"/>
        </w:rPr>
        <w:tab/>
      </w:r>
      <w:r w:rsidRPr="00877DF1">
        <w:rPr>
          <w:rFonts w:hint="eastAsia"/>
          <w:lang w:eastAsia="zh-HK"/>
        </w:rPr>
        <w:t>私人消費開支數字是從本土市場的總消費開支中減去旅客消費後加入香港居民在外地的開支而得出。</w:t>
      </w:r>
    </w:p>
    <w:p w14:paraId="1AF6ED1E" w14:textId="77777777" w:rsidR="00624C05" w:rsidRPr="00544D9F" w:rsidRDefault="00624C05">
      <w:pPr>
        <w:tabs>
          <w:tab w:val="clear" w:pos="936"/>
          <w:tab w:val="clear" w:pos="1560"/>
          <w:tab w:val="clear" w:pos="2184"/>
          <w:tab w:val="clear" w:pos="2808"/>
        </w:tabs>
        <w:overflowPunct/>
        <w:topLinePunct w:val="0"/>
        <w:adjustRightInd/>
        <w:spacing w:after="0" w:line="240" w:lineRule="auto"/>
        <w:jc w:val="left"/>
        <w:textAlignment w:val="auto"/>
        <w:rPr>
          <w:sz w:val="20"/>
          <w:lang w:val="en-GB"/>
        </w:rPr>
      </w:pPr>
      <w:r>
        <w:rPr>
          <w:sz w:val="20"/>
          <w:lang w:val="en-GB"/>
        </w:rPr>
        <w:br w:type="page"/>
      </w:r>
    </w:p>
    <w:p w14:paraId="652D3A59" w14:textId="04712DBB" w:rsidR="00624C05" w:rsidRDefault="00D61DEA" w:rsidP="00624C05">
      <w:pPr>
        <w:rPr>
          <w:lang w:eastAsia="zh-HK"/>
        </w:rPr>
      </w:pPr>
      <w:r w:rsidRPr="00D61DEA">
        <w:rPr>
          <w:noProof/>
        </w:rPr>
        <w:drawing>
          <wp:inline distT="0" distB="0" distL="0" distR="0" wp14:anchorId="4F951C55" wp14:editId="0754CB69">
            <wp:extent cx="5760085" cy="35090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9010"/>
                    </a:xfrm>
                    <a:prstGeom prst="rect">
                      <a:avLst/>
                    </a:prstGeom>
                    <a:noFill/>
                    <a:ln>
                      <a:noFill/>
                    </a:ln>
                  </pic:spPr>
                </pic:pic>
              </a:graphicData>
            </a:graphic>
          </wp:inline>
        </w:drawing>
      </w:r>
    </w:p>
    <w:p w14:paraId="5A949A7F" w14:textId="5D6B5A7A" w:rsidR="00624C05" w:rsidRPr="00233CCB" w:rsidRDefault="00624C05" w:rsidP="00624C05">
      <w:pPr>
        <w:rPr>
          <w:lang w:eastAsia="zh-HK"/>
        </w:rPr>
      </w:pPr>
      <w:r w:rsidRPr="00233CCB">
        <w:rPr>
          <w:b/>
        </w:rPr>
        <w:t>1.6</w:t>
      </w:r>
      <w:r w:rsidRPr="00233CCB">
        <w:tab/>
      </w:r>
      <w:r w:rsidR="00B502D4" w:rsidRPr="00233CCB">
        <w:rPr>
          <w:rFonts w:hint="eastAsia"/>
        </w:rPr>
        <w:t>按</w:t>
      </w:r>
      <w:r w:rsidR="00B502D4" w:rsidRPr="00233CCB">
        <w:rPr>
          <w:rFonts w:hint="eastAsia"/>
          <w:i/>
        </w:rPr>
        <w:t>本地固定資本形成總額</w:t>
      </w:r>
      <w:r w:rsidR="00B502D4" w:rsidRPr="00233CCB">
        <w:rPr>
          <w:rFonts w:hint="eastAsia"/>
        </w:rPr>
        <w:t>計算的整體投資開支</w:t>
      </w:r>
      <w:r w:rsidR="00B502D4" w:rsidRPr="00233CCB">
        <w:rPr>
          <w:rFonts w:hint="eastAsia"/>
          <w:lang w:eastAsia="zh-HK"/>
        </w:rPr>
        <w:t>繼上一季按年</w:t>
      </w:r>
      <w:r w:rsidR="00B502D4" w:rsidRPr="00233CCB">
        <w:rPr>
          <w:rFonts w:hint="eastAsia"/>
        </w:rPr>
        <w:t>實質</w:t>
      </w:r>
      <w:r w:rsidR="00836322" w:rsidRPr="00233CCB">
        <w:rPr>
          <w:rFonts w:hint="eastAsia"/>
        </w:rPr>
        <w:t>上升</w:t>
      </w:r>
      <w:r w:rsidR="00B502D4" w:rsidRPr="00233CCB">
        <w:rPr>
          <w:lang w:eastAsia="zh-HK"/>
        </w:rPr>
        <w:t>1.1%</w:t>
      </w:r>
      <w:r w:rsidR="00B502D4" w:rsidRPr="00233CCB">
        <w:rPr>
          <w:rFonts w:hint="eastAsia"/>
        </w:rPr>
        <w:t>後，在</w:t>
      </w:r>
      <w:r w:rsidR="00B502D4" w:rsidRPr="00233CCB">
        <w:rPr>
          <w:rFonts w:hint="eastAsia"/>
          <w:lang w:eastAsia="zh-HK"/>
        </w:rPr>
        <w:t>第二季</w:t>
      </w:r>
      <w:r w:rsidR="00836322" w:rsidRPr="00233CCB">
        <w:rPr>
          <w:rFonts w:hint="eastAsia"/>
          <w:lang w:eastAsia="zh-HK"/>
        </w:rPr>
        <w:t>上升</w:t>
      </w:r>
      <w:r w:rsidR="004923BD">
        <w:rPr>
          <w:lang w:val="en-GB" w:eastAsia="zh-HK"/>
        </w:rPr>
        <w:t>2.8%</w:t>
      </w:r>
      <w:r w:rsidR="00B502D4" w:rsidRPr="00233CCB">
        <w:rPr>
          <w:rFonts w:hint="eastAsia"/>
        </w:rPr>
        <w:t>。購置機器、設備及知識產權產品的開支</w:t>
      </w:r>
      <w:r w:rsidR="00B502D4" w:rsidRPr="00233CCB">
        <w:rPr>
          <w:rFonts w:hint="eastAsia"/>
          <w:lang w:eastAsia="zh-HK"/>
        </w:rPr>
        <w:t>躍升</w:t>
      </w:r>
      <w:r w:rsidR="004923BD">
        <w:rPr>
          <w:lang w:val="en-GB" w:eastAsia="zh-HK"/>
        </w:rPr>
        <w:t>38.4%</w:t>
      </w:r>
      <w:r w:rsidR="00B502D4" w:rsidRPr="00233CCB">
        <w:rPr>
          <w:rFonts w:hint="eastAsia"/>
          <w:lang w:eastAsia="zh-HK"/>
        </w:rPr>
        <w:t>，當中私營機構開支增幅尤為強勁。然而</w:t>
      </w:r>
      <w:r w:rsidR="00B502D4" w:rsidRPr="00233CCB">
        <w:rPr>
          <w:rFonts w:hint="eastAsia"/>
        </w:rPr>
        <w:t>，樓宇及建造開支</w:t>
      </w:r>
      <w:r w:rsidR="00B502D4" w:rsidRPr="00233CCB">
        <w:rPr>
          <w:rFonts w:hint="eastAsia"/>
          <w:lang w:eastAsia="zh-HK"/>
        </w:rPr>
        <w:t>繼</w:t>
      </w:r>
      <w:r w:rsidR="00B502D4" w:rsidRPr="00233CCB">
        <w:rPr>
          <w:rFonts w:hint="eastAsia"/>
        </w:rPr>
        <w:t>續</w:t>
      </w:r>
      <w:r w:rsidR="00423114" w:rsidRPr="00233CCB">
        <w:rPr>
          <w:rFonts w:hint="eastAsia"/>
        </w:rPr>
        <w:t>減少</w:t>
      </w:r>
      <w:r w:rsidR="00B502D4" w:rsidRPr="00A46BDC">
        <w:t>9.5</w:t>
      </w:r>
      <w:r w:rsidR="00B502D4" w:rsidRPr="00A46BDC">
        <w:rPr>
          <w:lang w:eastAsia="zh-HK"/>
        </w:rPr>
        <w:t>%</w:t>
      </w:r>
      <w:r w:rsidR="00B502D4" w:rsidRPr="00233CCB">
        <w:rPr>
          <w:rFonts w:hint="eastAsia"/>
          <w:lang w:eastAsia="zh-HK"/>
        </w:rPr>
        <w:t>。擁有權轉讓費用</w:t>
      </w:r>
      <w:r w:rsidR="00423114" w:rsidRPr="00233CCB">
        <w:rPr>
          <w:rFonts w:hint="eastAsia"/>
          <w:lang w:eastAsia="zh-HK"/>
        </w:rPr>
        <w:t>較</w:t>
      </w:r>
      <w:r w:rsidR="00B502D4" w:rsidRPr="00233CCB">
        <w:rPr>
          <w:rFonts w:hint="eastAsia"/>
          <w:lang w:eastAsia="zh-HK"/>
        </w:rPr>
        <w:t>去年的高基數縮</w:t>
      </w:r>
      <w:r w:rsidR="00B502D4" w:rsidRPr="00233CCB">
        <w:rPr>
          <w:rFonts w:hint="eastAsia"/>
        </w:rPr>
        <w:t>減</w:t>
      </w:r>
      <w:r w:rsidR="00B502D4" w:rsidRPr="00A46BDC">
        <w:rPr>
          <w:lang w:eastAsia="zh-HK"/>
        </w:rPr>
        <w:t>8.7%</w:t>
      </w:r>
      <w:r w:rsidR="00B502D4" w:rsidRPr="00233CCB">
        <w:rPr>
          <w:rFonts w:hint="eastAsia"/>
          <w:lang w:eastAsia="zh-HK"/>
        </w:rPr>
        <w:t>。同時，</w:t>
      </w:r>
      <w:r w:rsidR="00B73C7E" w:rsidRPr="00B73C7E">
        <w:rPr>
          <w:rFonts w:hint="eastAsia"/>
          <w:lang w:eastAsia="zh-HK"/>
        </w:rPr>
        <w:t>在外圍環境持續充滿不確定性下，整體營商氣氛在過去數月普遍依然審慎，儘管較近期的情況有一些相對改善</w:t>
      </w:r>
      <w:r w:rsidR="00B502D4" w:rsidRPr="00233CCB">
        <w:rPr>
          <w:rFonts w:hint="eastAsia"/>
        </w:rPr>
        <w:t>(</w:t>
      </w:r>
      <w:r w:rsidR="00B502D4" w:rsidRPr="00233CCB">
        <w:rPr>
          <w:rFonts w:hint="eastAsia"/>
        </w:rPr>
        <w:t>見</w:t>
      </w:r>
      <w:r w:rsidR="00B502D4" w:rsidRPr="0069553F">
        <w:rPr>
          <w:rFonts w:ascii="華康中黑體" w:eastAsia="華康中黑體" w:hAnsi="華康中黑體" w:hint="eastAsia"/>
          <w:i/>
        </w:rPr>
        <w:t>專題</w:t>
      </w:r>
      <w:r w:rsidR="00B73C7E">
        <w:rPr>
          <w:i/>
          <w:lang w:val="en-GB"/>
        </w:rPr>
        <w:t> </w:t>
      </w:r>
      <w:r w:rsidR="00B502D4" w:rsidRPr="00233CCB">
        <w:rPr>
          <w:b/>
          <w:i/>
        </w:rPr>
        <w:t>1.1</w:t>
      </w:r>
      <w:r w:rsidR="00B502D4" w:rsidRPr="00233CCB">
        <w:rPr>
          <w:rFonts w:hint="eastAsia"/>
          <w:lang w:eastAsia="zh-HK"/>
        </w:rPr>
        <w:t>：</w:t>
      </w:r>
      <w:r w:rsidR="00B502D4" w:rsidRPr="00233CCB">
        <w:rPr>
          <w:rFonts w:hint="eastAsia"/>
        </w:rPr>
        <w:t>香港營商氣氛</w:t>
      </w:r>
      <w:r w:rsidR="00B502D4" w:rsidRPr="00233CCB">
        <w:rPr>
          <w:rFonts w:hint="eastAsia"/>
        </w:rPr>
        <w:t>)</w:t>
      </w:r>
      <w:r w:rsidR="00B502D4" w:rsidRPr="00233CCB">
        <w:rPr>
          <w:rFonts w:hint="eastAsia"/>
          <w:lang w:eastAsia="zh-HK"/>
        </w:rPr>
        <w:t>。</w:t>
      </w:r>
    </w:p>
    <w:p w14:paraId="6C8A12BB" w14:textId="77777777" w:rsidR="00624C05" w:rsidRDefault="00624C05">
      <w:pPr>
        <w:tabs>
          <w:tab w:val="clear" w:pos="936"/>
          <w:tab w:val="clear" w:pos="1560"/>
          <w:tab w:val="clear" w:pos="2184"/>
          <w:tab w:val="clear" w:pos="2808"/>
        </w:tabs>
        <w:overflowPunct/>
        <w:topLinePunct w:val="0"/>
        <w:adjustRightInd/>
        <w:spacing w:after="0" w:line="240" w:lineRule="auto"/>
        <w:jc w:val="left"/>
        <w:textAlignment w:val="auto"/>
      </w:pPr>
      <w:r>
        <w:br w:type="page"/>
      </w:r>
    </w:p>
    <w:p w14:paraId="1641FD40" w14:textId="77777777" w:rsidR="00FB5206" w:rsidRPr="002D0F16" w:rsidRDefault="00FB5206" w:rsidP="00FB5206">
      <w:pPr>
        <w:pStyle w:val="BOX7"/>
        <w:tabs>
          <w:tab w:val="center" w:pos="4535"/>
        </w:tabs>
        <w:snapToGrid w:val="0"/>
        <w:spacing w:line="240" w:lineRule="atLeast"/>
      </w:pPr>
      <w:r w:rsidRPr="002D0F16">
        <w:rPr>
          <w:b w:val="0"/>
        </w:rPr>
        <mc:AlternateContent>
          <mc:Choice Requires="wps">
            <w:drawing>
              <wp:anchor distT="0" distB="0" distL="114300" distR="114300" simplePos="0" relativeHeight="251661312" behindDoc="1" locked="0" layoutInCell="1" allowOverlap="1" wp14:anchorId="23690B35" wp14:editId="0FDFAC93">
                <wp:simplePos x="0" y="0"/>
                <wp:positionH relativeFrom="column">
                  <wp:posOffset>-217170</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72893EFA" w14:textId="77777777" w:rsidR="002F4FC1" w:rsidRDefault="002F4FC1" w:rsidP="00FB5206">
                            <w:pPr>
                              <w:pStyle w:val="BOX11"/>
                              <w:spacing w:before="0" w:after="0" w:line="240" w:lineRule="auto"/>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690B35" id="Rectangle 6" o:spid="_x0000_s1026" style="position:absolute;left:0;text-align:left;margin-left:-17.1pt;margin-top:-9.25pt;width:487.5pt;height:74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">
                <v:textbox>
                  <w:txbxContent>
                    <w:p w14:paraId="72893EFA" w14:textId="77777777" w:rsidR="002F4FC1" w:rsidRDefault="002F4FC1" w:rsidP="00FB5206">
                      <w:pPr>
                        <w:pStyle w:val="BOX11"/>
                        <w:spacing w:before="0" w:after="0" w:line="240" w:lineRule="auto"/>
                        <w:jc w:val="center"/>
                      </w:pPr>
                    </w:p>
                  </w:txbxContent>
                </v:textbox>
              </v:rect>
            </w:pict>
          </mc:Fallback>
        </mc:AlternateContent>
      </w:r>
      <w:r w:rsidRPr="002D0F16">
        <w:rPr>
          <w:rFonts w:hint="eastAsia"/>
          <w:b w:val="0"/>
        </w:rPr>
        <w:t>專題</w:t>
      </w:r>
      <w:r w:rsidRPr="002D0F16">
        <w:rPr>
          <w:rFonts w:hint="eastAsia"/>
        </w:rPr>
        <w:t>1.1</w:t>
      </w:r>
    </w:p>
    <w:p w14:paraId="7C9D409C" w14:textId="77777777" w:rsidR="00FB5206" w:rsidRPr="003A424C" w:rsidRDefault="00FB5206" w:rsidP="00FB5206">
      <w:pPr>
        <w:pStyle w:val="BOX6"/>
        <w:snapToGrid w:val="0"/>
      </w:pPr>
      <w:r w:rsidRPr="003A424C">
        <w:rPr>
          <w:rFonts w:hint="eastAsia"/>
        </w:rPr>
        <w:t>香港營商氣氛</w:t>
      </w:r>
    </w:p>
    <w:p w14:paraId="37C4A200" w14:textId="77777777" w:rsidR="00FB5206" w:rsidRDefault="00FB5206" w:rsidP="00FB5206">
      <w:pPr>
        <w:pStyle w:val="BOX"/>
        <w:rPr>
          <w:lang w:eastAsia="zh-HK"/>
        </w:rPr>
      </w:pPr>
      <w:r w:rsidRPr="00025D64">
        <w:rPr>
          <w:rFonts w:hint="eastAsia"/>
        </w:rPr>
        <w:t>本專題根據循公開途徑取得的多項調查結果，概述香港目前的營商氣氛。調查結果</w:t>
      </w:r>
      <w:r>
        <w:rPr>
          <w:rFonts w:hint="eastAsia"/>
          <w:lang w:eastAsia="zh-HK"/>
        </w:rPr>
        <w:t>顯示，</w:t>
      </w:r>
      <w:r>
        <w:rPr>
          <w:rFonts w:hint="eastAsia"/>
        </w:rPr>
        <w:t>在</w:t>
      </w:r>
      <w:r>
        <w:rPr>
          <w:rFonts w:hint="eastAsia"/>
          <w:lang w:eastAsia="zh-HK"/>
        </w:rPr>
        <w:t>外圍環境持續充滿</w:t>
      </w:r>
      <w:r w:rsidRPr="00C05F8C">
        <w:rPr>
          <w:rFonts w:hint="eastAsia"/>
        </w:rPr>
        <w:t>不確定性</w:t>
      </w:r>
      <w:r>
        <w:rPr>
          <w:rFonts w:hint="eastAsia"/>
        </w:rPr>
        <w:t>下</w:t>
      </w:r>
      <w:r>
        <w:rPr>
          <w:rFonts w:hint="eastAsia"/>
          <w:lang w:eastAsia="zh-HK"/>
        </w:rPr>
        <w:t>，整體</w:t>
      </w:r>
      <w:r w:rsidRPr="00025D64">
        <w:rPr>
          <w:rFonts w:hint="eastAsia"/>
        </w:rPr>
        <w:t>營商氣氛</w:t>
      </w:r>
      <w:r>
        <w:rPr>
          <w:rFonts w:hint="eastAsia"/>
          <w:lang w:eastAsia="zh-HK"/>
        </w:rPr>
        <w:t>在</w:t>
      </w:r>
      <w:r>
        <w:rPr>
          <w:rFonts w:hint="eastAsia"/>
        </w:rPr>
        <w:t>過去數</w:t>
      </w:r>
      <w:r w:rsidRPr="008B5473">
        <w:rPr>
          <w:rFonts w:hint="eastAsia"/>
        </w:rPr>
        <w:t>月</w:t>
      </w:r>
      <w:r w:rsidRPr="00D60AE3">
        <w:rPr>
          <w:rFonts w:hint="eastAsia"/>
          <w:lang w:eastAsia="zh-HK"/>
        </w:rPr>
        <w:t>普</w:t>
      </w:r>
      <w:r w:rsidRPr="00D60AE3">
        <w:rPr>
          <w:rFonts w:hint="eastAsia"/>
        </w:rPr>
        <w:t>遍</w:t>
      </w:r>
      <w:r>
        <w:rPr>
          <w:rFonts w:hint="eastAsia"/>
          <w:lang w:eastAsia="zh-HK"/>
        </w:rPr>
        <w:t>依然審慎，儘管</w:t>
      </w:r>
      <w:r>
        <w:rPr>
          <w:rFonts w:hint="eastAsia"/>
        </w:rPr>
        <w:t>較近期的</w:t>
      </w:r>
      <w:r>
        <w:rPr>
          <w:rFonts w:hint="eastAsia"/>
          <w:lang w:eastAsia="zh-HK"/>
        </w:rPr>
        <w:t>情況有一些相對改善</w:t>
      </w:r>
      <w:r w:rsidRPr="00305B23">
        <w:rPr>
          <w:rFonts w:hint="eastAsia"/>
          <w:lang w:eastAsia="zh-HK"/>
        </w:rPr>
        <w:t>。</w:t>
      </w:r>
    </w:p>
    <w:p w14:paraId="0D87A143" w14:textId="77777777" w:rsidR="00FB5206" w:rsidRPr="00F93EA9" w:rsidRDefault="00FB5206" w:rsidP="00FB5206">
      <w:pPr>
        <w:pStyle w:val="BOX"/>
        <w:rPr>
          <w:color w:val="FF0000"/>
        </w:rPr>
      </w:pPr>
      <w:r>
        <w:rPr>
          <w:rFonts w:hint="eastAsia"/>
          <w:lang w:eastAsia="zh-HK"/>
        </w:rPr>
        <w:t>根</w:t>
      </w:r>
      <w:r>
        <w:rPr>
          <w:rFonts w:hint="eastAsia"/>
        </w:rPr>
        <w:t>據</w:t>
      </w:r>
      <w:r w:rsidRPr="00E2644F">
        <w:rPr>
          <w:rFonts w:hint="eastAsia"/>
        </w:rPr>
        <w:t>政府統</w:t>
      </w:r>
      <w:r w:rsidRPr="00E2644F">
        <w:rPr>
          <w:rFonts w:ascii="新細明體" w:hAnsi="新細明體" w:cs="新細明體" w:hint="eastAsia"/>
          <w:lang w:eastAsia="zh-HK"/>
        </w:rPr>
        <w:t>計處在</w:t>
      </w:r>
      <w:r>
        <w:rPr>
          <w:rFonts w:ascii="新細明體" w:hAnsi="新細明體" w:cs="新細明體" w:hint="eastAsia"/>
          <w:lang w:eastAsia="zh-HK"/>
        </w:rPr>
        <w:t>六</w:t>
      </w:r>
      <w:r w:rsidRPr="00E2644F">
        <w:rPr>
          <w:rFonts w:ascii="新細明體" w:hAnsi="新細明體" w:cs="新細明體" w:hint="eastAsia"/>
          <w:lang w:eastAsia="zh-HK"/>
        </w:rPr>
        <w:t>月</w:t>
      </w:r>
      <w:r>
        <w:rPr>
          <w:rFonts w:ascii="新細明體" w:hAnsi="新細明體" w:cs="新細明體" w:hint="eastAsia"/>
          <w:lang w:eastAsia="zh-HK"/>
        </w:rPr>
        <w:t>三</w:t>
      </w:r>
      <w:r w:rsidRPr="00E2644F">
        <w:rPr>
          <w:rFonts w:ascii="新細明體" w:hAnsi="新細明體" w:cs="新細明體" w:hint="eastAsia"/>
          <w:lang w:eastAsia="zh-HK"/>
        </w:rPr>
        <w:t>日至</w:t>
      </w:r>
      <w:r>
        <w:rPr>
          <w:rFonts w:ascii="新細明體" w:hAnsi="新細明體" w:cs="新細明體" w:hint="eastAsia"/>
          <w:lang w:eastAsia="zh-HK"/>
        </w:rPr>
        <w:t>七月七</w:t>
      </w:r>
      <w:r w:rsidRPr="00E2644F">
        <w:rPr>
          <w:rFonts w:ascii="新細明體" w:hAnsi="新細明體" w:cs="新細明體" w:hint="eastAsia"/>
          <w:lang w:eastAsia="zh-HK"/>
        </w:rPr>
        <w:t>日期間進行</w:t>
      </w:r>
      <w:r>
        <w:rPr>
          <w:rFonts w:ascii="新細明體" w:hAnsi="新細明體" w:cs="新細明體" w:hint="eastAsia"/>
          <w:lang w:eastAsia="zh-HK"/>
        </w:rPr>
        <w:t>的</w:t>
      </w:r>
      <w:r w:rsidRPr="00E2644F">
        <w:rPr>
          <w:rFonts w:ascii="新細明體" w:hAnsi="新細明體" w:cs="新細明體" w:hint="eastAsia"/>
          <w:lang w:eastAsia="zh-HK"/>
        </w:rPr>
        <w:t>業務展望按季統計調查</w:t>
      </w:r>
      <w:r w:rsidRPr="00E2644F">
        <w:rPr>
          <w:vertAlign w:val="superscript"/>
        </w:rPr>
        <w:t>(1)</w:t>
      </w:r>
      <w:r w:rsidRPr="00501C59">
        <w:rPr>
          <w:rFonts w:ascii="新細明體" w:hAnsi="新細明體" w:cs="新細明體" w:hint="eastAsia"/>
        </w:rPr>
        <w:t>所得結果，</w:t>
      </w:r>
      <w:r>
        <w:rPr>
          <w:rFonts w:ascii="新細明體" w:hAnsi="新細明體" w:cs="新細明體" w:hint="eastAsia"/>
          <w:lang w:eastAsia="zh-HK"/>
        </w:rPr>
        <w:t>二零二五年第三季</w:t>
      </w:r>
      <w:r w:rsidRPr="00E2644F">
        <w:rPr>
          <w:rFonts w:ascii="新細明體" w:hAnsi="新細明體" w:cs="新細明體" w:hint="eastAsia"/>
          <w:lang w:eastAsia="zh-HK"/>
        </w:rPr>
        <w:t>香港大型企業的營商氣氛</w:t>
      </w:r>
      <w:r>
        <w:rPr>
          <w:rFonts w:ascii="新細明體" w:hAnsi="新細明體" w:cs="新細明體" w:hint="eastAsia"/>
          <w:lang w:eastAsia="zh-HK"/>
        </w:rPr>
        <w:t>較上一季輕</w:t>
      </w:r>
      <w:r>
        <w:rPr>
          <w:rFonts w:ascii="新細明體" w:hAnsi="新細明體" w:cs="新細明體" w:hint="eastAsia"/>
        </w:rPr>
        <w:t>微</w:t>
      </w:r>
      <w:r>
        <w:rPr>
          <w:rFonts w:ascii="新細明體" w:hAnsi="新細明體" w:cs="新細明體" w:hint="eastAsia"/>
          <w:lang w:eastAsia="zh-HK"/>
        </w:rPr>
        <w:t>改</w:t>
      </w:r>
      <w:r>
        <w:rPr>
          <w:rFonts w:ascii="新細明體" w:hAnsi="新細明體" w:cs="新細明體" w:hint="eastAsia"/>
        </w:rPr>
        <w:t>善</w:t>
      </w:r>
      <w:r w:rsidRPr="00E2644F">
        <w:t>(</w:t>
      </w:r>
      <w:r w:rsidRPr="00E2644F">
        <w:rPr>
          <w:rFonts w:ascii="華康中黑體" w:eastAsia="華康中黑體" w:hAnsi="華康中黑體" w:cs="華康中黑體" w:hint="eastAsia"/>
          <w:i/>
        </w:rPr>
        <w:t>圖</w:t>
      </w:r>
      <w:r w:rsidRPr="00E2644F">
        <w:rPr>
          <w:rFonts w:eastAsia="華康中黑體"/>
          <w:i/>
          <w:spacing w:val="10"/>
        </w:rPr>
        <w:t> </w:t>
      </w:r>
      <w:r w:rsidRPr="00E2644F">
        <w:rPr>
          <w:b/>
          <w:i/>
        </w:rPr>
        <w:t>1</w:t>
      </w:r>
      <w:r w:rsidRPr="00E2644F">
        <w:t>)</w:t>
      </w:r>
      <w:r>
        <w:rPr>
          <w:rFonts w:ascii="新細明體" w:hAnsi="新細明體" w:cs="新細明體" w:hint="eastAsia"/>
          <w:lang w:eastAsia="zh-HK"/>
        </w:rPr>
        <w:t>。</w:t>
      </w:r>
      <w:r w:rsidRPr="00E2644F">
        <w:rPr>
          <w:rFonts w:hint="eastAsia"/>
          <w:lang w:eastAsia="zh-HK"/>
        </w:rPr>
        <w:t>大型企業中，預期第</w:t>
      </w:r>
      <w:r>
        <w:rPr>
          <w:rFonts w:hint="eastAsia"/>
          <w:lang w:eastAsia="zh-HK"/>
        </w:rPr>
        <w:t>三</w:t>
      </w:r>
      <w:r w:rsidRPr="00E2644F">
        <w:rPr>
          <w:rFonts w:hint="eastAsia"/>
          <w:lang w:eastAsia="zh-HK"/>
        </w:rPr>
        <w:t>季業務狀況勝於第</w:t>
      </w:r>
      <w:r>
        <w:rPr>
          <w:rFonts w:hint="eastAsia"/>
          <w:lang w:eastAsia="zh-HK"/>
        </w:rPr>
        <w:t>二</w:t>
      </w:r>
      <w:r w:rsidRPr="00E2644F">
        <w:rPr>
          <w:rFonts w:hint="eastAsia"/>
          <w:lang w:eastAsia="zh-HK"/>
        </w:rPr>
        <w:t>季的比例</w:t>
      </w:r>
      <w:r w:rsidRPr="00E2644F">
        <w:rPr>
          <w:rFonts w:hint="eastAsia"/>
        </w:rPr>
        <w:t>，</w:t>
      </w:r>
      <w:r w:rsidRPr="00E2644F">
        <w:rPr>
          <w:rFonts w:hint="eastAsia"/>
          <w:lang w:eastAsia="zh-HK"/>
        </w:rPr>
        <w:t>較預期狀況遜於第</w:t>
      </w:r>
      <w:r>
        <w:rPr>
          <w:rFonts w:hint="eastAsia"/>
          <w:lang w:eastAsia="zh-HK"/>
        </w:rPr>
        <w:t>二</w:t>
      </w:r>
      <w:r w:rsidRPr="00E2644F">
        <w:rPr>
          <w:rFonts w:hint="eastAsia"/>
          <w:lang w:eastAsia="zh-HK"/>
        </w:rPr>
        <w:t>季的比例</w:t>
      </w:r>
      <w:r w:rsidRPr="00E2644F">
        <w:rPr>
          <w:rFonts w:hint="eastAsia"/>
        </w:rPr>
        <w:t>低</w:t>
      </w:r>
      <w:r w:rsidRPr="00E2644F">
        <w:t> </w:t>
      </w:r>
      <w:r>
        <w:rPr>
          <w:rFonts w:hint="eastAsia"/>
        </w:rPr>
        <w:t>8</w:t>
      </w:r>
      <w:r w:rsidRPr="00E2644F">
        <w:t> </w:t>
      </w:r>
      <w:r w:rsidRPr="00E2644F">
        <w:rPr>
          <w:rFonts w:hint="eastAsia"/>
          <w:lang w:eastAsia="zh-HK"/>
        </w:rPr>
        <w:t>個百分點</w:t>
      </w:r>
      <w:r w:rsidRPr="00E2644F">
        <w:t>(</w:t>
      </w:r>
      <w:r w:rsidRPr="00E2644F">
        <w:rPr>
          <w:rFonts w:hint="eastAsia"/>
          <w:lang w:eastAsia="zh-HK"/>
        </w:rPr>
        <w:t>即淨差額為</w:t>
      </w:r>
      <w:r w:rsidRPr="00E2644F">
        <w:t>-</w:t>
      </w:r>
      <w:r>
        <w:rPr>
          <w:rFonts w:hint="eastAsia"/>
        </w:rPr>
        <w:t>8</w:t>
      </w:r>
      <w:r w:rsidRPr="00E2644F">
        <w:t>)</w:t>
      </w:r>
      <w:r w:rsidRPr="00E2644F">
        <w:rPr>
          <w:rFonts w:hint="eastAsia"/>
          <w:lang w:eastAsia="zh-HK"/>
        </w:rPr>
        <w:t>，</w:t>
      </w:r>
      <w:r>
        <w:rPr>
          <w:rFonts w:hint="eastAsia"/>
          <w:lang w:eastAsia="zh-HK"/>
        </w:rPr>
        <w:t>但</w:t>
      </w:r>
      <w:r w:rsidRPr="00E2644F">
        <w:rPr>
          <w:rFonts w:hint="eastAsia"/>
          <w:lang w:eastAsia="zh-HK"/>
        </w:rPr>
        <w:t>淨差額</w:t>
      </w:r>
      <w:r>
        <w:rPr>
          <w:rFonts w:hint="eastAsia"/>
          <w:lang w:eastAsia="zh-HK"/>
        </w:rPr>
        <w:t>較上一輪調查</w:t>
      </w:r>
      <w:r>
        <w:rPr>
          <w:rFonts w:hint="eastAsia"/>
        </w:rPr>
        <w:t>的</w:t>
      </w:r>
      <w:r w:rsidRPr="00E2644F">
        <w:t>-</w:t>
      </w:r>
      <w:r>
        <w:rPr>
          <w:rFonts w:hint="eastAsia"/>
        </w:rPr>
        <w:t>9</w:t>
      </w:r>
      <w:r>
        <w:rPr>
          <w:rFonts w:hint="eastAsia"/>
          <w:lang w:eastAsia="zh-HK"/>
        </w:rPr>
        <w:t>輕</w:t>
      </w:r>
      <w:r>
        <w:rPr>
          <w:rFonts w:hint="eastAsia"/>
        </w:rPr>
        <w:t>微</w:t>
      </w:r>
      <w:r>
        <w:rPr>
          <w:rFonts w:hint="eastAsia"/>
          <w:lang w:eastAsia="zh-HK"/>
        </w:rPr>
        <w:t>上</w:t>
      </w:r>
      <w:r>
        <w:rPr>
          <w:rFonts w:hint="eastAsia"/>
        </w:rPr>
        <w:t>升</w:t>
      </w:r>
      <w:r w:rsidRPr="00E2644F">
        <w:rPr>
          <w:rFonts w:hint="eastAsia"/>
          <w:lang w:eastAsia="zh-HK"/>
        </w:rPr>
        <w:t>。</w:t>
      </w:r>
    </w:p>
    <w:p w14:paraId="274230DA" w14:textId="77777777" w:rsidR="00FB5206" w:rsidRPr="00F93EA9" w:rsidRDefault="00FB5206" w:rsidP="00FB5206">
      <w:pPr>
        <w:pStyle w:val="BOX"/>
        <w:rPr>
          <w:rStyle w:val="normaltextrun"/>
          <w:color w:val="FF0000"/>
          <w:lang w:eastAsia="zh-HK"/>
        </w:rPr>
      </w:pPr>
      <w:r w:rsidRPr="00E2644F">
        <w:rPr>
          <w:rFonts w:hint="eastAsia"/>
          <w:lang w:eastAsia="zh-HK"/>
        </w:rPr>
        <w:t>不同行業的大型企業</w:t>
      </w:r>
      <w:r w:rsidRPr="00E2644F">
        <w:rPr>
          <w:rFonts w:hint="eastAsia"/>
        </w:rPr>
        <w:t>營商氣氛走勢各異</w:t>
      </w:r>
      <w:r w:rsidRPr="00E2644F">
        <w:rPr>
          <w:rFonts w:hint="eastAsia"/>
          <w:lang w:eastAsia="zh-HK"/>
        </w:rPr>
        <w:t>(</w:t>
      </w:r>
      <w:r w:rsidRPr="00E2644F">
        <w:rPr>
          <w:rFonts w:ascii="華康中黑體" w:eastAsia="華康中黑體" w:hAnsi="華康中黑體" w:cs="華康中黑體" w:hint="eastAsia"/>
          <w:i/>
        </w:rPr>
        <w:t>表</w:t>
      </w:r>
      <w:r w:rsidRPr="00E2644F">
        <w:rPr>
          <w:rFonts w:eastAsia="華康中黑體"/>
          <w:b/>
          <w:i/>
        </w:rPr>
        <w:t> 1</w:t>
      </w:r>
      <w:r w:rsidRPr="00E2644F">
        <w:rPr>
          <w:rFonts w:hint="eastAsia"/>
          <w:lang w:eastAsia="zh-HK"/>
        </w:rPr>
        <w:t>)</w:t>
      </w:r>
      <w:r w:rsidRPr="00E2644F">
        <w:rPr>
          <w:rFonts w:hint="eastAsia"/>
          <w:lang w:eastAsia="zh-HK"/>
        </w:rPr>
        <w:t>。</w:t>
      </w:r>
      <w:r w:rsidRPr="00935B4F">
        <w:rPr>
          <w:rFonts w:hint="eastAsia"/>
          <w:lang w:eastAsia="zh-HK"/>
        </w:rPr>
        <w:t>「金融及保險業」</w:t>
      </w:r>
      <w:r w:rsidRPr="00E2644F">
        <w:rPr>
          <w:rFonts w:hint="eastAsia"/>
          <w:lang w:eastAsia="zh-HK"/>
        </w:rPr>
        <w:t>的淨差額</w:t>
      </w:r>
      <w:r>
        <w:rPr>
          <w:rFonts w:hint="eastAsia"/>
          <w:lang w:eastAsia="zh-HK"/>
        </w:rPr>
        <w:t>在</w:t>
      </w:r>
      <w:r w:rsidRPr="00935B4F">
        <w:rPr>
          <w:rFonts w:hint="eastAsia"/>
          <w:lang w:eastAsia="zh-HK"/>
        </w:rPr>
        <w:t>正數區間</w:t>
      </w:r>
      <w:r>
        <w:rPr>
          <w:rFonts w:hint="eastAsia"/>
          <w:lang w:eastAsia="zh-HK"/>
        </w:rPr>
        <w:t>內有所改善，</w:t>
      </w:r>
      <w:r w:rsidRPr="00935B4F">
        <w:rPr>
          <w:rFonts w:hint="eastAsia"/>
          <w:lang w:eastAsia="zh-HK"/>
        </w:rPr>
        <w:t>「地產業」的淨差額</w:t>
      </w:r>
      <w:r w:rsidRPr="00E2644F">
        <w:rPr>
          <w:rFonts w:hint="eastAsia"/>
          <w:lang w:eastAsia="zh-HK"/>
        </w:rPr>
        <w:t>上升至正數區間</w:t>
      </w:r>
      <w:r>
        <w:rPr>
          <w:rFonts w:hint="eastAsia"/>
          <w:lang w:eastAsia="zh-HK"/>
        </w:rPr>
        <w:t>。</w:t>
      </w:r>
      <w:r w:rsidRPr="00E2644F">
        <w:rPr>
          <w:rFonts w:hint="eastAsia"/>
          <w:lang w:eastAsia="zh-HK"/>
        </w:rPr>
        <w:t>「住宿及膳食服務業」、「</w:t>
      </w:r>
      <w:r w:rsidRPr="00935B4F">
        <w:rPr>
          <w:rFonts w:hint="eastAsia"/>
          <w:lang w:eastAsia="zh-HK"/>
        </w:rPr>
        <w:t>製造業</w:t>
      </w:r>
      <w:r w:rsidRPr="00E2644F">
        <w:rPr>
          <w:rFonts w:hint="eastAsia"/>
          <w:lang w:eastAsia="zh-HK"/>
        </w:rPr>
        <w:t>」、「資訊及通訊業」</w:t>
      </w:r>
      <w:r>
        <w:rPr>
          <w:rFonts w:hint="eastAsia"/>
          <w:lang w:eastAsia="zh-HK"/>
        </w:rPr>
        <w:t>和</w:t>
      </w:r>
      <w:r w:rsidRPr="00E2644F">
        <w:rPr>
          <w:rFonts w:hint="eastAsia"/>
          <w:lang w:eastAsia="zh-HK"/>
        </w:rPr>
        <w:t>「進出口貿易及批發業」的淨差額</w:t>
      </w:r>
      <w:r>
        <w:rPr>
          <w:rFonts w:hint="eastAsia"/>
        </w:rPr>
        <w:t>有</w:t>
      </w:r>
      <w:r>
        <w:rPr>
          <w:rFonts w:hint="eastAsia"/>
          <w:lang w:eastAsia="zh-HK"/>
        </w:rPr>
        <w:t>相對改善，</w:t>
      </w:r>
      <w:r w:rsidRPr="00E2644F">
        <w:rPr>
          <w:rFonts w:hint="eastAsia"/>
          <w:lang w:eastAsia="zh-HK"/>
        </w:rPr>
        <w:t>儘</w:t>
      </w:r>
      <w:r w:rsidRPr="00E2644F">
        <w:rPr>
          <w:rFonts w:hint="eastAsia"/>
        </w:rPr>
        <w:t>管</w:t>
      </w:r>
      <w:r w:rsidRPr="00E2644F">
        <w:rPr>
          <w:rFonts w:hint="eastAsia"/>
          <w:lang w:eastAsia="zh-HK"/>
        </w:rPr>
        <w:t>仍在負數區間內。</w:t>
      </w:r>
      <w:r>
        <w:rPr>
          <w:rFonts w:hint="eastAsia"/>
          <w:lang w:eastAsia="zh-HK"/>
        </w:rPr>
        <w:t>另一方面，</w:t>
      </w:r>
      <w:r w:rsidRPr="00E2644F">
        <w:rPr>
          <w:rFonts w:hint="eastAsia"/>
          <w:lang w:eastAsia="zh-HK"/>
        </w:rPr>
        <w:t>「建造業」</w:t>
      </w:r>
      <w:r>
        <w:rPr>
          <w:rFonts w:hint="eastAsia"/>
          <w:lang w:eastAsia="zh-HK"/>
        </w:rPr>
        <w:t>、</w:t>
      </w:r>
      <w:r w:rsidRPr="00E2644F">
        <w:rPr>
          <w:rFonts w:hint="eastAsia"/>
          <w:lang w:eastAsia="zh-HK"/>
        </w:rPr>
        <w:t>「運輸、倉庫及速遞服務業」</w:t>
      </w:r>
      <w:r>
        <w:rPr>
          <w:rFonts w:hint="eastAsia"/>
          <w:lang w:eastAsia="zh-HK"/>
        </w:rPr>
        <w:t>和</w:t>
      </w:r>
      <w:r w:rsidRPr="00E2644F">
        <w:rPr>
          <w:rFonts w:hint="eastAsia"/>
          <w:lang w:eastAsia="zh-HK"/>
        </w:rPr>
        <w:t>「</w:t>
      </w:r>
      <w:r w:rsidRPr="00E2644F">
        <w:rPr>
          <w:rFonts w:hint="eastAsia"/>
        </w:rPr>
        <w:t>專業及商用服務業</w:t>
      </w:r>
      <w:r w:rsidRPr="00E2644F">
        <w:rPr>
          <w:rFonts w:hint="eastAsia"/>
          <w:lang w:eastAsia="zh-HK"/>
        </w:rPr>
        <w:t>」的淨差額</w:t>
      </w:r>
      <w:r>
        <w:rPr>
          <w:rFonts w:hint="eastAsia"/>
          <w:lang w:eastAsia="zh-HK"/>
        </w:rPr>
        <w:t>在</w:t>
      </w:r>
      <w:r w:rsidRPr="00E2644F">
        <w:rPr>
          <w:rFonts w:hint="eastAsia"/>
          <w:lang w:eastAsia="zh-HK"/>
        </w:rPr>
        <w:t>負數區間內</w:t>
      </w:r>
      <w:r>
        <w:rPr>
          <w:rFonts w:hint="eastAsia"/>
          <w:lang w:eastAsia="zh-HK"/>
        </w:rPr>
        <w:t>進一步下</w:t>
      </w:r>
      <w:r>
        <w:rPr>
          <w:rFonts w:hint="eastAsia"/>
        </w:rPr>
        <w:t>跌</w:t>
      </w:r>
      <w:r>
        <w:rPr>
          <w:rFonts w:hint="eastAsia"/>
          <w:lang w:eastAsia="zh-HK"/>
        </w:rPr>
        <w:t>，</w:t>
      </w:r>
      <w:r w:rsidRPr="00E2644F">
        <w:rPr>
          <w:rFonts w:hint="eastAsia"/>
          <w:lang w:eastAsia="zh-HK"/>
        </w:rPr>
        <w:t>「零售業」的淨差額</w:t>
      </w:r>
      <w:r>
        <w:rPr>
          <w:rFonts w:hint="eastAsia"/>
          <w:lang w:eastAsia="zh-HK"/>
        </w:rPr>
        <w:t>則</w:t>
      </w:r>
      <w:r w:rsidRPr="00935B4F">
        <w:rPr>
          <w:rFonts w:hint="eastAsia"/>
          <w:lang w:eastAsia="zh-HK"/>
        </w:rPr>
        <w:t>跌進負數區間</w:t>
      </w:r>
      <w:r>
        <w:rPr>
          <w:rFonts w:hint="eastAsia"/>
          <w:lang w:eastAsia="zh-HK"/>
        </w:rPr>
        <w:t>。</w:t>
      </w:r>
      <w:r w:rsidRPr="00E2644F">
        <w:rPr>
          <w:rFonts w:hint="eastAsia"/>
          <w:lang w:eastAsia="zh-HK"/>
        </w:rPr>
        <w:t>與此同時，大型企業的招聘意欲</w:t>
      </w:r>
      <w:r>
        <w:rPr>
          <w:rFonts w:hint="eastAsia"/>
          <w:lang w:eastAsia="zh-HK"/>
        </w:rPr>
        <w:t>整</w:t>
      </w:r>
      <w:r>
        <w:rPr>
          <w:rFonts w:hint="eastAsia"/>
        </w:rPr>
        <w:t>體</w:t>
      </w:r>
      <w:r>
        <w:rPr>
          <w:rFonts w:hint="eastAsia"/>
          <w:lang w:eastAsia="zh-HK"/>
        </w:rPr>
        <w:t>上</w:t>
      </w:r>
      <w:r w:rsidRPr="00D85401">
        <w:rPr>
          <w:rFonts w:hint="eastAsia"/>
          <w:lang w:eastAsia="zh-HK"/>
        </w:rPr>
        <w:t>保持平</w:t>
      </w:r>
      <w:r w:rsidRPr="00E2644F">
        <w:rPr>
          <w:rFonts w:hint="eastAsia"/>
          <w:lang w:eastAsia="zh-HK"/>
        </w:rPr>
        <w:t>穩</w:t>
      </w:r>
      <w:r w:rsidRPr="00E2644F">
        <w:rPr>
          <w:rFonts w:hint="eastAsia"/>
          <w:lang w:eastAsia="zh-HK"/>
        </w:rPr>
        <w:t>(</w:t>
      </w:r>
      <w:r w:rsidRPr="00E2644F">
        <w:rPr>
          <w:rFonts w:ascii="華康中黑體" w:eastAsia="華康中黑體" w:hAnsi="華康中黑體" w:cs="華康中黑體" w:hint="eastAsia"/>
          <w:i/>
        </w:rPr>
        <w:t>表</w:t>
      </w:r>
      <w:r w:rsidRPr="00E2644F">
        <w:rPr>
          <w:lang w:eastAsia="zh-HK"/>
        </w:rPr>
        <w:t> </w:t>
      </w:r>
      <w:r w:rsidRPr="00E2644F">
        <w:rPr>
          <w:rFonts w:eastAsia="華康中黑體" w:hint="eastAsia"/>
          <w:b/>
          <w:i/>
        </w:rPr>
        <w:t>2</w:t>
      </w:r>
      <w:r w:rsidRPr="00E2644F">
        <w:rPr>
          <w:rFonts w:hint="eastAsia"/>
          <w:lang w:eastAsia="zh-HK"/>
        </w:rPr>
        <w:t>)</w:t>
      </w:r>
      <w:r w:rsidRPr="00E2644F">
        <w:rPr>
          <w:rFonts w:hint="eastAsia"/>
          <w:lang w:eastAsia="zh-HK"/>
        </w:rPr>
        <w:t>。</w:t>
      </w:r>
    </w:p>
    <w:tbl>
      <w:tblPr>
        <w:tblW w:w="9180" w:type="dxa"/>
        <w:tblLayout w:type="fixed"/>
        <w:tblLook w:val="04A0" w:firstRow="1" w:lastRow="0" w:firstColumn="1" w:lastColumn="0" w:noHBand="0" w:noVBand="1"/>
      </w:tblPr>
      <w:tblGrid>
        <w:gridCol w:w="9180"/>
      </w:tblGrid>
      <w:tr w:rsidR="00FB5206" w:rsidRPr="00F93EA9" w14:paraId="3A9B0484" w14:textId="77777777" w:rsidTr="002F4FC1">
        <w:tc>
          <w:tcPr>
            <w:tcW w:w="9180" w:type="dxa"/>
            <w:shd w:val="clear" w:color="auto" w:fill="auto"/>
          </w:tcPr>
          <w:p w14:paraId="3158E6CD" w14:textId="77777777" w:rsidR="00FB5206" w:rsidRPr="003A4A4F" w:rsidRDefault="00FB5206" w:rsidP="002F4FC1">
            <w:pPr>
              <w:pStyle w:val="BOX11"/>
              <w:spacing w:before="0" w:after="0" w:line="240" w:lineRule="auto"/>
              <w:jc w:val="center"/>
              <w:rPr>
                <w:b/>
                <w:color w:val="FF0000"/>
                <w:sz w:val="21"/>
                <w:szCs w:val="21"/>
                <w:lang w:val="en-GB" w:eastAsia="zh-HK"/>
              </w:rPr>
            </w:pPr>
            <w:r w:rsidRPr="00F93EA9">
              <w:rPr>
                <w:rFonts w:hint="eastAsia"/>
              </w:rPr>
              <w:t>圖</w:t>
            </w:r>
            <w:r w:rsidRPr="00F93EA9">
              <w:rPr>
                <w:b/>
              </w:rPr>
              <w:t>1</w:t>
            </w:r>
            <w:r w:rsidRPr="00F93EA9">
              <w:rPr>
                <w:rFonts w:hint="eastAsia"/>
                <w:b/>
              </w:rPr>
              <w:t>：</w:t>
            </w:r>
            <w:r w:rsidRPr="00763DB4">
              <w:rPr>
                <w:rFonts w:hint="eastAsia"/>
              </w:rPr>
              <w:t>大型企業的營商氣氛</w:t>
            </w:r>
            <w:r>
              <w:rPr>
                <w:rFonts w:ascii="新細明體" w:hAnsi="新細明體" w:cs="新細明體" w:hint="eastAsia"/>
                <w:lang w:eastAsia="zh-HK"/>
              </w:rPr>
              <w:t>較上一季輕</w:t>
            </w:r>
            <w:r>
              <w:rPr>
                <w:rFonts w:ascii="新細明體" w:hAnsi="新細明體" w:cs="新細明體" w:hint="eastAsia"/>
              </w:rPr>
              <w:t>微</w:t>
            </w:r>
            <w:r>
              <w:rPr>
                <w:rFonts w:ascii="新細明體" w:hAnsi="新細明體" w:cs="新細明體" w:hint="eastAsia"/>
                <w:lang w:eastAsia="zh-HK"/>
              </w:rPr>
              <w:t>改</w:t>
            </w:r>
            <w:r>
              <w:rPr>
                <w:rFonts w:ascii="新細明體" w:hAnsi="新細明體" w:cs="新細明體" w:hint="eastAsia"/>
              </w:rPr>
              <w:t>善</w:t>
            </w:r>
          </w:p>
        </w:tc>
      </w:tr>
      <w:tr w:rsidR="00FB5206" w:rsidRPr="00F93EA9" w14:paraId="3C208640" w14:textId="77777777" w:rsidTr="002F4FC1">
        <w:trPr>
          <w:trHeight w:val="5768"/>
        </w:trPr>
        <w:tc>
          <w:tcPr>
            <w:tcW w:w="9180" w:type="dxa"/>
            <w:shd w:val="clear" w:color="auto" w:fill="auto"/>
          </w:tcPr>
          <w:p w14:paraId="6808FEB6" w14:textId="77777777" w:rsidR="00FB5206" w:rsidRPr="00F93EA9" w:rsidRDefault="00FB5206" w:rsidP="002F4FC1">
            <w:pPr>
              <w:pStyle w:val="BOXa"/>
              <w:tabs>
                <w:tab w:val="clear" w:pos="700"/>
                <w:tab w:val="left" w:pos="1167"/>
              </w:tabs>
              <w:ind w:leftChars="30" w:left="1111"/>
              <w:jc w:val="center"/>
              <w:rPr>
                <w:noProof/>
                <w:color w:val="FF0000"/>
              </w:rPr>
            </w:pPr>
            <w:r w:rsidRPr="00DC5049">
              <w:rPr>
                <w:noProof/>
                <w:color w:val="FF0000"/>
              </w:rPr>
              <w:drawing>
                <wp:inline distT="0" distB="0" distL="0" distR="0" wp14:anchorId="12EC3F59" wp14:editId="0C46F8CD">
                  <wp:extent cx="5130837" cy="3661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30837" cy="3661200"/>
                          </a:xfrm>
                          <a:prstGeom prst="rect">
                            <a:avLst/>
                          </a:prstGeom>
                          <a:noFill/>
                          <a:ln>
                            <a:noFill/>
                          </a:ln>
                        </pic:spPr>
                      </pic:pic>
                    </a:graphicData>
                  </a:graphic>
                </wp:inline>
              </w:drawing>
            </w:r>
          </w:p>
        </w:tc>
      </w:tr>
    </w:tbl>
    <w:p w14:paraId="46CB21F0" w14:textId="77777777" w:rsidR="00FB5206" w:rsidRPr="00F93EA9" w:rsidRDefault="00FB5206" w:rsidP="00FB5206">
      <w:pPr>
        <w:pStyle w:val="BOX"/>
        <w:rPr>
          <w:color w:val="FF0000"/>
        </w:rPr>
      </w:pPr>
      <w:r w:rsidRPr="00F93EA9">
        <w:rPr>
          <w:noProof/>
          <w:color w:val="FF0000"/>
        </w:rPr>
        <mc:AlternateContent>
          <mc:Choice Requires="wps">
            <w:drawing>
              <wp:anchor distT="4294967293" distB="4294967293" distL="114300" distR="114300" simplePos="0" relativeHeight="251662336" behindDoc="0" locked="0" layoutInCell="1" allowOverlap="1" wp14:anchorId="19C37E2E" wp14:editId="7BCC7CE7">
                <wp:simplePos x="0" y="0"/>
                <wp:positionH relativeFrom="column">
                  <wp:posOffset>2154555</wp:posOffset>
                </wp:positionH>
                <wp:positionV relativeFrom="paragraph">
                  <wp:posOffset>97526</wp:posOffset>
                </wp:positionV>
                <wp:extent cx="1494790" cy="0"/>
                <wp:effectExtent l="0" t="0" r="29210" b="19050"/>
                <wp:wrapNone/>
                <wp:docPr id="13"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8F83557" id="直線接點 4"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"/>
            </w:pict>
          </mc:Fallback>
        </mc:AlternateContent>
      </w:r>
    </w:p>
    <w:p w14:paraId="79E1C21C" w14:textId="77777777" w:rsidR="00FB5206" w:rsidRPr="00F93EA9" w:rsidRDefault="00FB5206" w:rsidP="00FB5206">
      <w:pPr>
        <w:pStyle w:val="BOX90"/>
        <w:rPr>
          <w:color w:val="FF0000"/>
        </w:rPr>
      </w:pPr>
      <w:r w:rsidRPr="00F93EA9">
        <w:t>(1)</w:t>
      </w:r>
      <w:r w:rsidRPr="00F93EA9">
        <w:tab/>
      </w:r>
      <w:r>
        <w:rPr>
          <w:rFonts w:hint="eastAsia"/>
        </w:rPr>
        <w:t>業務展望按季統計調查收集約</w:t>
      </w:r>
      <w:r>
        <w:t> 500 </w:t>
      </w:r>
      <w:r>
        <w:rPr>
          <w:rFonts w:hint="eastAsia"/>
        </w:rPr>
        <w:t>至</w:t>
      </w:r>
      <w:r>
        <w:t> 600 </w:t>
      </w:r>
      <w:r>
        <w:rPr>
          <w:rFonts w:hint="eastAsia"/>
        </w:rPr>
        <w:t>家大型機構單位對短期業務前景的意見。受訪企業所提供的意見已撇除季節性因素的影響。</w:t>
      </w:r>
    </w:p>
    <w:p w14:paraId="64E0A8C7" w14:textId="77777777" w:rsidR="00FB5206" w:rsidRPr="00F93EA9" w:rsidRDefault="00FB5206" w:rsidP="00FB5206">
      <w:pPr>
        <w:pStyle w:val="BOX7"/>
        <w:rPr>
          <w:color w:val="FF0000"/>
        </w:rPr>
      </w:pPr>
      <w:r w:rsidRPr="002D0F16">
        <w:rPr>
          <w:b w:val="0"/>
        </w:rPr>
        <mc:AlternateContent>
          <mc:Choice Requires="wps">
            <w:drawing>
              <wp:anchor distT="0" distB="0" distL="114300" distR="114300" simplePos="0" relativeHeight="251659264" behindDoc="1" locked="0" layoutInCell="1" allowOverlap="1" wp14:anchorId="6EE0B415" wp14:editId="3D6987BC">
                <wp:simplePos x="0" y="0"/>
                <wp:positionH relativeFrom="column">
                  <wp:posOffset>-217170</wp:posOffset>
                </wp:positionH>
                <wp:positionV relativeFrom="paragraph">
                  <wp:posOffset>-117475</wp:posOffset>
                </wp:positionV>
                <wp:extent cx="6191250" cy="94869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9DE33B6" id="Rectangle 6" o:spid="_x0000_s1026" style="position:absolute;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"/>
            </w:pict>
          </mc:Fallback>
        </mc:AlternateContent>
      </w:r>
      <w:r w:rsidRPr="002D0F16">
        <w:rPr>
          <w:b w:val="0"/>
        </w:rPr>
        <w:t>專題</w:t>
      </w:r>
      <w:r w:rsidRPr="002D0F16">
        <w:rPr>
          <w:rFonts w:hint="eastAsia"/>
        </w:rPr>
        <w:t>1.</w:t>
      </w:r>
      <w:r w:rsidRPr="002D0F16">
        <w:t>1</w:t>
      </w:r>
      <w:r w:rsidRPr="002D0F16">
        <w:rPr>
          <w:rFonts w:hint="eastAsia"/>
        </w:rPr>
        <w:t xml:space="preserve"> (</w:t>
      </w:r>
      <w:r w:rsidRPr="002D0F16">
        <w:rPr>
          <w:rFonts w:hint="eastAsia"/>
          <w:b w:val="0"/>
        </w:rPr>
        <w:t>續</w:t>
      </w:r>
      <w:r w:rsidRPr="002D0F16">
        <w:rPr>
          <w:rFonts w:hint="eastAsia"/>
        </w:rPr>
        <w:t>)</w:t>
      </w:r>
    </w:p>
    <w:tbl>
      <w:tblPr>
        <w:tblW w:w="9322" w:type="dxa"/>
        <w:tblLayout w:type="fixed"/>
        <w:tblLook w:val="04A0" w:firstRow="1" w:lastRow="0" w:firstColumn="1" w:lastColumn="0" w:noHBand="0" w:noVBand="1"/>
      </w:tblPr>
      <w:tblGrid>
        <w:gridCol w:w="817"/>
        <w:gridCol w:w="3827"/>
        <w:gridCol w:w="851"/>
        <w:gridCol w:w="3827"/>
      </w:tblGrid>
      <w:tr w:rsidR="00FB5206" w:rsidRPr="008027AE" w14:paraId="3852F9A2" w14:textId="77777777" w:rsidTr="002F4FC1">
        <w:trPr>
          <w:trHeight w:val="602"/>
        </w:trPr>
        <w:tc>
          <w:tcPr>
            <w:tcW w:w="4644" w:type="dxa"/>
            <w:gridSpan w:val="2"/>
            <w:shd w:val="clear" w:color="auto" w:fill="auto"/>
          </w:tcPr>
          <w:p w14:paraId="19B7B6D5" w14:textId="77777777" w:rsidR="00FB5206" w:rsidRPr="008027AE" w:rsidRDefault="00FB5206" w:rsidP="002F4FC1">
            <w:pPr>
              <w:pStyle w:val="BOX11"/>
              <w:spacing w:after="120" w:line="0" w:lineRule="atLeast"/>
              <w:ind w:left="180" w:hanging="67"/>
              <w:jc w:val="center"/>
              <w:rPr>
                <w:b/>
                <w:spacing w:val="0"/>
                <w:kern w:val="2"/>
                <w:lang w:val="en-GB" w:eastAsia="zh-HK"/>
              </w:rPr>
            </w:pPr>
            <w:r w:rsidRPr="008027AE">
              <w:rPr>
                <w:rFonts w:hint="eastAsia"/>
              </w:rPr>
              <w:t>表</w:t>
            </w:r>
            <w:r w:rsidRPr="008027AE">
              <w:rPr>
                <w:b/>
              </w:rPr>
              <w:t>1</w:t>
            </w:r>
            <w:r w:rsidRPr="008027AE">
              <w:rPr>
                <w:rFonts w:hint="eastAsia"/>
                <w:b/>
              </w:rPr>
              <w:t>：</w:t>
            </w:r>
            <w:r w:rsidRPr="00E92E02">
              <w:rPr>
                <w:rFonts w:hint="eastAsia"/>
              </w:rPr>
              <w:t>不同行業的大型企業營商氣氛</w:t>
            </w:r>
            <w:r>
              <w:br/>
            </w:r>
            <w:r w:rsidRPr="00E92E02">
              <w:rPr>
                <w:rFonts w:hint="eastAsia"/>
              </w:rPr>
              <w:t>走勢各異</w:t>
            </w:r>
          </w:p>
        </w:tc>
        <w:tc>
          <w:tcPr>
            <w:tcW w:w="4678" w:type="dxa"/>
            <w:gridSpan w:val="2"/>
            <w:shd w:val="clear" w:color="auto" w:fill="auto"/>
          </w:tcPr>
          <w:p w14:paraId="37EDC95E" w14:textId="77777777" w:rsidR="00FB5206" w:rsidRPr="008027AE" w:rsidRDefault="00FB5206" w:rsidP="002F4FC1">
            <w:pPr>
              <w:pStyle w:val="BOX11"/>
              <w:spacing w:line="0" w:lineRule="atLeast"/>
              <w:ind w:left="204" w:hanging="91"/>
              <w:jc w:val="center"/>
              <w:rPr>
                <w:b/>
                <w:spacing w:val="0"/>
                <w:kern w:val="2"/>
                <w:lang w:val="en-GB" w:eastAsia="zh-HK"/>
              </w:rPr>
            </w:pPr>
            <w:r w:rsidRPr="008027AE">
              <w:rPr>
                <w:rFonts w:hint="eastAsia"/>
              </w:rPr>
              <w:t>表</w:t>
            </w:r>
            <w:r w:rsidRPr="008027AE">
              <w:rPr>
                <w:b/>
              </w:rPr>
              <w:t>2</w:t>
            </w:r>
            <w:r w:rsidRPr="008027AE">
              <w:rPr>
                <w:rFonts w:hint="eastAsia"/>
                <w:b/>
              </w:rPr>
              <w:t>：</w:t>
            </w:r>
            <w:r w:rsidRPr="00E92E02">
              <w:rPr>
                <w:rFonts w:hint="eastAsia"/>
                <w:lang w:eastAsia="zh-HK"/>
              </w:rPr>
              <w:t>大型企業的招聘意欲</w:t>
            </w:r>
            <w:r>
              <w:rPr>
                <w:lang w:eastAsia="zh-HK"/>
              </w:rPr>
              <w:br/>
            </w:r>
            <w:r>
              <w:rPr>
                <w:rFonts w:hint="eastAsia"/>
              </w:rPr>
              <w:t>整體</w:t>
            </w:r>
            <w:r>
              <w:rPr>
                <w:rFonts w:hint="eastAsia"/>
                <w:lang w:eastAsia="zh-HK"/>
              </w:rPr>
              <w:t>上</w:t>
            </w:r>
            <w:r w:rsidRPr="00D85401">
              <w:rPr>
                <w:rFonts w:hint="eastAsia"/>
              </w:rPr>
              <w:t>保持平</w:t>
            </w:r>
            <w:r w:rsidRPr="00E92E02">
              <w:rPr>
                <w:rFonts w:hint="eastAsia"/>
                <w:lang w:eastAsia="zh-HK"/>
              </w:rPr>
              <w:t>穩</w:t>
            </w:r>
          </w:p>
        </w:tc>
      </w:tr>
      <w:tr w:rsidR="00FB5206" w:rsidRPr="008027AE" w14:paraId="6CE5390C" w14:textId="77777777" w:rsidTr="002F4FC1">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4"/>
              <w:gridCol w:w="424"/>
              <w:gridCol w:w="426"/>
              <w:gridCol w:w="431"/>
              <w:gridCol w:w="429"/>
              <w:gridCol w:w="423"/>
              <w:gridCol w:w="426"/>
            </w:tblGrid>
            <w:tr w:rsidR="00FB5206" w:rsidRPr="008027AE" w14:paraId="3CA655BD" w14:textId="77777777" w:rsidTr="002F4FC1">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623F9790" w14:textId="77777777" w:rsidR="00FB5206" w:rsidRPr="00C13844" w:rsidRDefault="00FB5206" w:rsidP="002F4FC1">
                  <w:pPr>
                    <w:snapToGrid w:val="0"/>
                    <w:spacing w:after="0" w:line="240" w:lineRule="auto"/>
                    <w:jc w:val="center"/>
                    <w:rPr>
                      <w:rFonts w:ascii="華康中黑體" w:eastAsia="華康中黑體" w:hAnsi="華康中黑體" w:cs="華康中黑體"/>
                      <w:bCs/>
                      <w:spacing w:val="0"/>
                      <w:sz w:val="18"/>
                      <w:szCs w:val="18"/>
                    </w:rPr>
                  </w:pPr>
                  <w:r w:rsidRPr="00C13844">
                    <w:rPr>
                      <w:rFonts w:ascii="華康中黑體" w:eastAsia="華康中黑體" w:hAnsi="華康中黑體" w:cs="華康中黑體" w:hint="eastAsia"/>
                      <w:bCs/>
                      <w:spacing w:val="0"/>
                      <w:sz w:val="18"/>
                      <w:szCs w:val="18"/>
                    </w:rPr>
                    <w:t>業務展望按季統計調查</w:t>
                  </w:r>
                  <w:r w:rsidRPr="00AC6F7A">
                    <w:rPr>
                      <w:rFonts w:ascii="華康中黑體" w:eastAsia="華康中黑體" w:hAnsi="華康中黑體" w:cs="華康中黑體" w:hint="eastAsia"/>
                      <w:b/>
                      <w:bCs/>
                      <w:spacing w:val="0"/>
                      <w:sz w:val="18"/>
                      <w:szCs w:val="18"/>
                    </w:rPr>
                    <w:t>：</w:t>
                  </w:r>
                  <w:r w:rsidRPr="00C13844">
                    <w:rPr>
                      <w:rFonts w:ascii="華康中黑體" w:eastAsia="華康中黑體" w:hAnsi="華康中黑體" w:cs="華康中黑體" w:hint="eastAsia"/>
                      <w:bCs/>
                      <w:spacing w:val="0"/>
                      <w:sz w:val="18"/>
                      <w:szCs w:val="18"/>
                    </w:rPr>
                    <w:t>業務狀況預期變動</w:t>
                  </w:r>
                </w:p>
              </w:tc>
            </w:tr>
            <w:tr w:rsidR="00FB5206" w:rsidRPr="008027AE" w14:paraId="37CCC36D" w14:textId="77777777" w:rsidTr="002F4FC1">
              <w:trPr>
                <w:trHeight w:val="162"/>
              </w:trPr>
              <w:tc>
                <w:tcPr>
                  <w:tcW w:w="1864" w:type="dxa"/>
                  <w:vMerge w:val="restart"/>
                  <w:shd w:val="clear" w:color="auto" w:fill="auto"/>
                  <w:tcMar>
                    <w:top w:w="15" w:type="dxa"/>
                    <w:left w:w="15" w:type="dxa"/>
                    <w:bottom w:w="0" w:type="dxa"/>
                    <w:right w:w="15" w:type="dxa"/>
                  </w:tcMar>
                  <w:hideMark/>
                </w:tcPr>
                <w:p w14:paraId="5434191D" w14:textId="77777777" w:rsidR="00FB5206" w:rsidRPr="008027AE" w:rsidRDefault="00FB5206" w:rsidP="002F4FC1">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9" w:type="dxa"/>
                  <w:gridSpan w:val="6"/>
                  <w:shd w:val="clear" w:color="auto" w:fill="auto"/>
                  <w:tcMar>
                    <w:top w:w="15" w:type="dxa"/>
                    <w:left w:w="15" w:type="dxa"/>
                    <w:bottom w:w="0" w:type="dxa"/>
                    <w:right w:w="15" w:type="dxa"/>
                  </w:tcMar>
                  <w:hideMark/>
                </w:tcPr>
                <w:p w14:paraId="6DB44520" w14:textId="77777777" w:rsidR="00FB5206" w:rsidRPr="008027A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8027AE">
                    <w:rPr>
                      <w:rFonts w:hint="eastAsia"/>
                      <w:bCs/>
                      <w:spacing w:val="0"/>
                      <w:kern w:val="2"/>
                      <w:sz w:val="16"/>
                      <w:szCs w:val="16"/>
                      <w:lang w:val="en-GB"/>
                    </w:rPr>
                    <w:t>淨差額</w:t>
                  </w:r>
                  <w:r w:rsidRPr="008027AE">
                    <w:rPr>
                      <w:rFonts w:hint="eastAsia"/>
                      <w:bCs/>
                      <w:spacing w:val="0"/>
                      <w:kern w:val="2"/>
                      <w:sz w:val="16"/>
                      <w:szCs w:val="16"/>
                      <w:lang w:val="en-GB"/>
                    </w:rPr>
                    <w:t>* (</w:t>
                  </w:r>
                  <w:r w:rsidRPr="008027AE">
                    <w:rPr>
                      <w:rFonts w:hint="eastAsia"/>
                      <w:bCs/>
                      <w:spacing w:val="0"/>
                      <w:kern w:val="2"/>
                      <w:sz w:val="16"/>
                      <w:szCs w:val="16"/>
                      <w:lang w:val="en-GB"/>
                    </w:rPr>
                    <w:t>百分點</w:t>
                  </w:r>
                  <w:r w:rsidRPr="008027AE">
                    <w:rPr>
                      <w:rFonts w:hint="eastAsia"/>
                      <w:bCs/>
                      <w:spacing w:val="0"/>
                      <w:kern w:val="2"/>
                      <w:sz w:val="16"/>
                      <w:szCs w:val="16"/>
                      <w:lang w:val="en-GB"/>
                    </w:rPr>
                    <w:t>)</w:t>
                  </w:r>
                </w:p>
              </w:tc>
            </w:tr>
            <w:tr w:rsidR="00FB5206" w:rsidRPr="008027AE" w14:paraId="38F0B1B0" w14:textId="77777777" w:rsidTr="002F4FC1">
              <w:trPr>
                <w:trHeight w:val="180"/>
              </w:trPr>
              <w:tc>
                <w:tcPr>
                  <w:tcW w:w="1864" w:type="dxa"/>
                  <w:vMerge/>
                  <w:shd w:val="clear" w:color="auto" w:fill="auto"/>
                  <w:tcMar>
                    <w:top w:w="15" w:type="dxa"/>
                    <w:left w:w="15" w:type="dxa"/>
                    <w:bottom w:w="0" w:type="dxa"/>
                    <w:right w:w="15" w:type="dxa"/>
                  </w:tcMar>
                </w:tcPr>
                <w:p w14:paraId="45720E87" w14:textId="77777777" w:rsidR="00FB5206" w:rsidRPr="008027AE" w:rsidRDefault="00FB5206" w:rsidP="002F4FC1">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1281" w:type="dxa"/>
                  <w:gridSpan w:val="3"/>
                  <w:shd w:val="clear" w:color="auto" w:fill="auto"/>
                  <w:tcMar>
                    <w:top w:w="15" w:type="dxa"/>
                    <w:left w:w="15" w:type="dxa"/>
                    <w:bottom w:w="0" w:type="dxa"/>
                    <w:right w:w="15" w:type="dxa"/>
                  </w:tcMar>
                </w:tcPr>
                <w:p w14:paraId="43A43A64"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w:t>
                  </w:r>
                  <w:r>
                    <w:rPr>
                      <w:rFonts w:hint="eastAsia"/>
                      <w:spacing w:val="0"/>
                      <w:kern w:val="2"/>
                      <w:sz w:val="10"/>
                      <w:szCs w:val="10"/>
                      <w:lang w:val="en-GB" w:eastAsia="zh-HK"/>
                    </w:rPr>
                    <w:t>四</w:t>
                  </w:r>
                  <w:r w:rsidRPr="008027AE">
                    <w:rPr>
                      <w:rFonts w:hint="eastAsia"/>
                      <w:spacing w:val="0"/>
                      <w:kern w:val="2"/>
                      <w:sz w:val="10"/>
                      <w:szCs w:val="10"/>
                      <w:lang w:val="en-GB"/>
                    </w:rPr>
                    <w:t>年</w:t>
                  </w:r>
                </w:p>
              </w:tc>
              <w:tc>
                <w:tcPr>
                  <w:tcW w:w="1278" w:type="dxa"/>
                  <w:gridSpan w:val="3"/>
                  <w:shd w:val="clear" w:color="auto" w:fill="auto"/>
                </w:tcPr>
                <w:p w14:paraId="0E60F702"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w:t>
                  </w:r>
                  <w:r>
                    <w:rPr>
                      <w:rFonts w:hint="eastAsia"/>
                      <w:spacing w:val="0"/>
                      <w:kern w:val="2"/>
                      <w:sz w:val="10"/>
                      <w:szCs w:val="10"/>
                      <w:lang w:val="en-GB" w:eastAsia="zh-HK"/>
                    </w:rPr>
                    <w:t>五</w:t>
                  </w:r>
                  <w:r w:rsidRPr="008027AE">
                    <w:rPr>
                      <w:rFonts w:hint="eastAsia"/>
                      <w:spacing w:val="0"/>
                      <w:kern w:val="2"/>
                      <w:sz w:val="10"/>
                      <w:szCs w:val="10"/>
                      <w:lang w:val="en-GB"/>
                    </w:rPr>
                    <w:t>年</w:t>
                  </w:r>
                </w:p>
              </w:tc>
            </w:tr>
            <w:tr w:rsidR="00FB5206" w:rsidRPr="008027AE" w14:paraId="26625FE1" w14:textId="77777777" w:rsidTr="002F4FC1">
              <w:trPr>
                <w:trHeight w:val="261"/>
              </w:trPr>
              <w:tc>
                <w:tcPr>
                  <w:tcW w:w="1864" w:type="dxa"/>
                  <w:vMerge/>
                  <w:shd w:val="clear" w:color="auto" w:fill="auto"/>
                  <w:tcMar>
                    <w:top w:w="15" w:type="dxa"/>
                    <w:left w:w="15" w:type="dxa"/>
                    <w:bottom w:w="0" w:type="dxa"/>
                    <w:right w:w="15" w:type="dxa"/>
                  </w:tcMar>
                  <w:hideMark/>
                </w:tcPr>
                <w:p w14:paraId="04DD7BFE" w14:textId="77777777" w:rsidR="00FB5206" w:rsidRPr="008027AE" w:rsidRDefault="00FB5206" w:rsidP="002F4FC1">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4" w:type="dxa"/>
                  <w:shd w:val="clear" w:color="auto" w:fill="auto"/>
                  <w:tcMar>
                    <w:top w:w="15" w:type="dxa"/>
                    <w:left w:w="15" w:type="dxa"/>
                    <w:bottom w:w="0" w:type="dxa"/>
                    <w:right w:w="15" w:type="dxa"/>
                  </w:tcMar>
                  <w:vAlign w:val="center"/>
                </w:tcPr>
                <w:p w14:paraId="3FEA6497"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Pr>
                      <w:rFonts w:hint="eastAsia"/>
                      <w:spacing w:val="0"/>
                      <w:kern w:val="2"/>
                      <w:sz w:val="10"/>
                      <w:szCs w:val="10"/>
                      <w:lang w:val="en-GB"/>
                    </w:rPr>
                    <w:t>第二</w:t>
                  </w:r>
                  <w:r w:rsidRPr="008027AE">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1E21B9DE"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Pr>
                      <w:rFonts w:hint="eastAsia"/>
                      <w:spacing w:val="0"/>
                      <w:kern w:val="2"/>
                      <w:sz w:val="10"/>
                      <w:szCs w:val="10"/>
                      <w:lang w:val="en-GB"/>
                    </w:rPr>
                    <w:t>第三</w:t>
                  </w:r>
                  <w:r w:rsidRPr="008027AE">
                    <w:rPr>
                      <w:rFonts w:hint="eastAsia"/>
                      <w:spacing w:val="0"/>
                      <w:kern w:val="2"/>
                      <w:sz w:val="10"/>
                      <w:szCs w:val="10"/>
                      <w:lang w:val="en-GB"/>
                    </w:rPr>
                    <w:t>季</w:t>
                  </w:r>
                </w:p>
              </w:tc>
              <w:tc>
                <w:tcPr>
                  <w:tcW w:w="431" w:type="dxa"/>
                  <w:shd w:val="clear" w:color="auto" w:fill="auto"/>
                  <w:tcMar>
                    <w:top w:w="15" w:type="dxa"/>
                    <w:left w:w="15" w:type="dxa"/>
                    <w:bottom w:w="0" w:type="dxa"/>
                    <w:right w:w="15" w:type="dxa"/>
                  </w:tcMar>
                  <w:vAlign w:val="center"/>
                </w:tcPr>
                <w:p w14:paraId="0EE4384B"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Pr>
                      <w:rFonts w:hint="eastAsia"/>
                      <w:spacing w:val="0"/>
                      <w:kern w:val="2"/>
                      <w:sz w:val="10"/>
                      <w:szCs w:val="10"/>
                      <w:lang w:val="en-GB"/>
                    </w:rPr>
                    <w:t>第四</w:t>
                  </w:r>
                  <w:r w:rsidRPr="008027AE">
                    <w:rPr>
                      <w:rFonts w:hint="eastAsia"/>
                      <w:spacing w:val="0"/>
                      <w:kern w:val="2"/>
                      <w:sz w:val="10"/>
                      <w:szCs w:val="10"/>
                      <w:lang w:val="en-GB"/>
                    </w:rPr>
                    <w:t>季</w:t>
                  </w:r>
                </w:p>
              </w:tc>
              <w:tc>
                <w:tcPr>
                  <w:tcW w:w="429" w:type="dxa"/>
                  <w:shd w:val="clear" w:color="auto" w:fill="auto"/>
                  <w:tcMar>
                    <w:top w:w="15" w:type="dxa"/>
                    <w:left w:w="15" w:type="dxa"/>
                    <w:bottom w:w="0" w:type="dxa"/>
                    <w:right w:w="15" w:type="dxa"/>
                  </w:tcMar>
                  <w:vAlign w:val="center"/>
                </w:tcPr>
                <w:p w14:paraId="64504307"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Pr>
                      <w:rFonts w:hint="eastAsia"/>
                      <w:spacing w:val="0"/>
                      <w:kern w:val="2"/>
                      <w:sz w:val="10"/>
                      <w:szCs w:val="10"/>
                      <w:lang w:val="en-GB"/>
                    </w:rPr>
                    <w:t>第一</w:t>
                  </w:r>
                  <w:r w:rsidRPr="008027AE">
                    <w:rPr>
                      <w:rFonts w:hint="eastAsia"/>
                      <w:spacing w:val="0"/>
                      <w:kern w:val="2"/>
                      <w:sz w:val="10"/>
                      <w:szCs w:val="10"/>
                      <w:lang w:val="en-GB"/>
                    </w:rPr>
                    <w:t>季</w:t>
                  </w:r>
                </w:p>
              </w:tc>
              <w:tc>
                <w:tcPr>
                  <w:tcW w:w="423" w:type="dxa"/>
                  <w:vAlign w:val="center"/>
                </w:tcPr>
                <w:p w14:paraId="76283CB4"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Pr>
                      <w:rFonts w:hint="eastAsia"/>
                      <w:spacing w:val="0"/>
                      <w:kern w:val="2"/>
                      <w:sz w:val="10"/>
                      <w:szCs w:val="10"/>
                      <w:lang w:val="en-GB"/>
                    </w:rPr>
                    <w:t>第二</w:t>
                  </w:r>
                  <w:r w:rsidRPr="008027AE">
                    <w:rPr>
                      <w:rFonts w:hint="eastAsia"/>
                      <w:spacing w:val="0"/>
                      <w:kern w:val="2"/>
                      <w:sz w:val="10"/>
                      <w:szCs w:val="10"/>
                      <w:lang w:val="en-GB"/>
                    </w:rPr>
                    <w:t>季</w:t>
                  </w:r>
                </w:p>
              </w:tc>
              <w:tc>
                <w:tcPr>
                  <w:tcW w:w="426" w:type="dxa"/>
                  <w:vAlign w:val="center"/>
                </w:tcPr>
                <w:p w14:paraId="00ADCB71"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Pr>
                      <w:rFonts w:hint="eastAsia"/>
                      <w:spacing w:val="0"/>
                      <w:kern w:val="2"/>
                      <w:sz w:val="10"/>
                      <w:szCs w:val="10"/>
                      <w:lang w:val="en-GB"/>
                    </w:rPr>
                    <w:t>第三</w:t>
                  </w:r>
                  <w:r w:rsidRPr="008027AE">
                    <w:rPr>
                      <w:rFonts w:hint="eastAsia"/>
                      <w:spacing w:val="0"/>
                      <w:kern w:val="2"/>
                      <w:sz w:val="10"/>
                      <w:szCs w:val="10"/>
                      <w:lang w:val="en-GB"/>
                    </w:rPr>
                    <w:t>季</w:t>
                  </w:r>
                </w:p>
              </w:tc>
            </w:tr>
            <w:tr w:rsidR="00FB5206" w:rsidRPr="008027AE" w14:paraId="4BBEA2BC" w14:textId="77777777" w:rsidTr="002F4FC1">
              <w:trPr>
                <w:trHeight w:val="252"/>
              </w:trPr>
              <w:tc>
                <w:tcPr>
                  <w:tcW w:w="1864" w:type="dxa"/>
                  <w:shd w:val="clear" w:color="auto" w:fill="auto"/>
                  <w:tcMar>
                    <w:top w:w="15" w:type="dxa"/>
                    <w:left w:w="15" w:type="dxa"/>
                    <w:bottom w:w="0" w:type="dxa"/>
                    <w:right w:w="15" w:type="dxa"/>
                  </w:tcMar>
                  <w:vAlign w:val="center"/>
                </w:tcPr>
                <w:p w14:paraId="27050C90"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製造業</w:t>
                  </w:r>
                </w:p>
              </w:tc>
              <w:tc>
                <w:tcPr>
                  <w:tcW w:w="424" w:type="dxa"/>
                  <w:shd w:val="clear" w:color="auto" w:fill="auto"/>
                  <w:tcMar>
                    <w:top w:w="15" w:type="dxa"/>
                    <w:left w:w="15" w:type="dxa"/>
                    <w:bottom w:w="0" w:type="dxa"/>
                    <w:right w:w="15" w:type="dxa"/>
                  </w:tcMar>
                  <w:vAlign w:val="center"/>
                </w:tcPr>
                <w:p w14:paraId="07BFBCC8"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+8</w:t>
                  </w:r>
                </w:p>
              </w:tc>
              <w:tc>
                <w:tcPr>
                  <w:tcW w:w="426" w:type="dxa"/>
                  <w:shd w:val="clear" w:color="auto" w:fill="auto"/>
                  <w:tcMar>
                    <w:top w:w="15" w:type="dxa"/>
                    <w:left w:w="15" w:type="dxa"/>
                    <w:bottom w:w="0" w:type="dxa"/>
                    <w:right w:w="15" w:type="dxa"/>
                  </w:tcMar>
                  <w:vAlign w:val="center"/>
                </w:tcPr>
                <w:p w14:paraId="61B9F2EC"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-2</w:t>
                  </w:r>
                </w:p>
              </w:tc>
              <w:tc>
                <w:tcPr>
                  <w:tcW w:w="431" w:type="dxa"/>
                  <w:shd w:val="clear" w:color="auto" w:fill="auto"/>
                  <w:tcMar>
                    <w:top w:w="15" w:type="dxa"/>
                    <w:left w:w="15" w:type="dxa"/>
                    <w:bottom w:w="0" w:type="dxa"/>
                    <w:right w:w="15" w:type="dxa"/>
                  </w:tcMar>
                  <w:vAlign w:val="center"/>
                </w:tcPr>
                <w:p w14:paraId="35A93B03"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-19</w:t>
                  </w:r>
                </w:p>
              </w:tc>
              <w:tc>
                <w:tcPr>
                  <w:tcW w:w="429" w:type="dxa"/>
                  <w:shd w:val="clear" w:color="auto" w:fill="auto"/>
                  <w:tcMar>
                    <w:top w:w="15" w:type="dxa"/>
                    <w:left w:w="15" w:type="dxa"/>
                    <w:bottom w:w="0" w:type="dxa"/>
                    <w:right w:w="15" w:type="dxa"/>
                  </w:tcMar>
                  <w:vAlign w:val="center"/>
                </w:tcPr>
                <w:p w14:paraId="3849BA35"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-22</w:t>
                  </w:r>
                </w:p>
              </w:tc>
              <w:tc>
                <w:tcPr>
                  <w:tcW w:w="423" w:type="dxa"/>
                  <w:vAlign w:val="center"/>
                </w:tcPr>
                <w:p w14:paraId="7F794E1B"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-20</w:t>
                  </w:r>
                </w:p>
              </w:tc>
              <w:tc>
                <w:tcPr>
                  <w:tcW w:w="426" w:type="dxa"/>
                  <w:vAlign w:val="center"/>
                </w:tcPr>
                <w:p w14:paraId="6BB64D41"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-2</w:t>
                  </w:r>
                </w:p>
              </w:tc>
            </w:tr>
            <w:tr w:rsidR="00FB5206" w:rsidRPr="008027AE" w14:paraId="3380B6C9" w14:textId="77777777" w:rsidTr="002F4FC1">
              <w:trPr>
                <w:trHeight w:val="252"/>
              </w:trPr>
              <w:tc>
                <w:tcPr>
                  <w:tcW w:w="1864" w:type="dxa"/>
                  <w:shd w:val="clear" w:color="auto" w:fill="auto"/>
                  <w:tcMar>
                    <w:top w:w="15" w:type="dxa"/>
                    <w:left w:w="15" w:type="dxa"/>
                    <w:bottom w:w="0" w:type="dxa"/>
                    <w:right w:w="15" w:type="dxa"/>
                  </w:tcMar>
                  <w:vAlign w:val="center"/>
                </w:tcPr>
                <w:p w14:paraId="6B75E454"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建造業</w:t>
                  </w:r>
                </w:p>
              </w:tc>
              <w:tc>
                <w:tcPr>
                  <w:tcW w:w="424" w:type="dxa"/>
                  <w:shd w:val="clear" w:color="auto" w:fill="auto"/>
                  <w:tcMar>
                    <w:top w:w="15" w:type="dxa"/>
                    <w:left w:w="15" w:type="dxa"/>
                    <w:bottom w:w="0" w:type="dxa"/>
                    <w:right w:w="15" w:type="dxa"/>
                  </w:tcMar>
                  <w:vAlign w:val="center"/>
                </w:tcPr>
                <w:p w14:paraId="24C56925"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-11</w:t>
                  </w:r>
                </w:p>
              </w:tc>
              <w:tc>
                <w:tcPr>
                  <w:tcW w:w="426" w:type="dxa"/>
                  <w:shd w:val="clear" w:color="auto" w:fill="auto"/>
                  <w:tcMar>
                    <w:top w:w="15" w:type="dxa"/>
                    <w:left w:w="15" w:type="dxa"/>
                    <w:bottom w:w="0" w:type="dxa"/>
                    <w:right w:w="15" w:type="dxa"/>
                  </w:tcMar>
                  <w:vAlign w:val="center"/>
                </w:tcPr>
                <w:p w14:paraId="445F8962"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-16</w:t>
                  </w:r>
                </w:p>
              </w:tc>
              <w:tc>
                <w:tcPr>
                  <w:tcW w:w="431" w:type="dxa"/>
                  <w:shd w:val="clear" w:color="auto" w:fill="auto"/>
                  <w:tcMar>
                    <w:top w:w="15" w:type="dxa"/>
                    <w:left w:w="15" w:type="dxa"/>
                    <w:bottom w:w="0" w:type="dxa"/>
                    <w:right w:w="15" w:type="dxa"/>
                  </w:tcMar>
                  <w:vAlign w:val="center"/>
                </w:tcPr>
                <w:p w14:paraId="20263F62"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-12</w:t>
                  </w:r>
                </w:p>
              </w:tc>
              <w:tc>
                <w:tcPr>
                  <w:tcW w:w="429" w:type="dxa"/>
                  <w:shd w:val="clear" w:color="auto" w:fill="auto"/>
                  <w:tcMar>
                    <w:top w:w="15" w:type="dxa"/>
                    <w:left w:w="15" w:type="dxa"/>
                    <w:bottom w:w="0" w:type="dxa"/>
                    <w:right w:w="15" w:type="dxa"/>
                  </w:tcMar>
                  <w:vAlign w:val="center"/>
                </w:tcPr>
                <w:p w14:paraId="765A50B7"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-14</w:t>
                  </w:r>
                </w:p>
              </w:tc>
              <w:tc>
                <w:tcPr>
                  <w:tcW w:w="423" w:type="dxa"/>
                  <w:vAlign w:val="center"/>
                </w:tcPr>
                <w:p w14:paraId="01D76C94"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-16</w:t>
                  </w:r>
                </w:p>
              </w:tc>
              <w:tc>
                <w:tcPr>
                  <w:tcW w:w="426" w:type="dxa"/>
                  <w:vAlign w:val="center"/>
                </w:tcPr>
                <w:p w14:paraId="406D130D"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-22</w:t>
                  </w:r>
                </w:p>
              </w:tc>
            </w:tr>
            <w:tr w:rsidR="00FB5206" w:rsidRPr="008027AE" w14:paraId="30F30E00" w14:textId="77777777" w:rsidTr="002F4FC1">
              <w:trPr>
                <w:trHeight w:val="252"/>
              </w:trPr>
              <w:tc>
                <w:tcPr>
                  <w:tcW w:w="1864" w:type="dxa"/>
                  <w:shd w:val="clear" w:color="auto" w:fill="auto"/>
                  <w:tcMar>
                    <w:top w:w="15" w:type="dxa"/>
                    <w:left w:w="15" w:type="dxa"/>
                    <w:bottom w:w="0" w:type="dxa"/>
                    <w:right w:w="15" w:type="dxa"/>
                  </w:tcMar>
                  <w:vAlign w:val="center"/>
                  <w:hideMark/>
                </w:tcPr>
                <w:p w14:paraId="6BF11E6D"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進出口貿易及批發業</w:t>
                  </w:r>
                </w:p>
              </w:tc>
              <w:tc>
                <w:tcPr>
                  <w:tcW w:w="424" w:type="dxa"/>
                  <w:shd w:val="clear" w:color="auto" w:fill="auto"/>
                  <w:tcMar>
                    <w:top w:w="15" w:type="dxa"/>
                    <w:left w:w="15" w:type="dxa"/>
                    <w:bottom w:w="0" w:type="dxa"/>
                    <w:right w:w="15" w:type="dxa"/>
                  </w:tcMar>
                  <w:vAlign w:val="center"/>
                </w:tcPr>
                <w:p w14:paraId="1C291A89"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-9</w:t>
                  </w:r>
                </w:p>
              </w:tc>
              <w:tc>
                <w:tcPr>
                  <w:tcW w:w="426" w:type="dxa"/>
                  <w:shd w:val="clear" w:color="auto" w:fill="auto"/>
                  <w:tcMar>
                    <w:top w:w="15" w:type="dxa"/>
                    <w:left w:w="15" w:type="dxa"/>
                    <w:bottom w:w="0" w:type="dxa"/>
                    <w:right w:w="15" w:type="dxa"/>
                  </w:tcMar>
                  <w:vAlign w:val="center"/>
                </w:tcPr>
                <w:p w14:paraId="6FEBB2A3"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w:t>
                  </w:r>
                </w:p>
              </w:tc>
              <w:tc>
                <w:tcPr>
                  <w:tcW w:w="431" w:type="dxa"/>
                  <w:shd w:val="clear" w:color="auto" w:fill="auto"/>
                  <w:tcMar>
                    <w:top w:w="15" w:type="dxa"/>
                    <w:left w:w="15" w:type="dxa"/>
                    <w:bottom w:w="0" w:type="dxa"/>
                    <w:right w:w="15" w:type="dxa"/>
                  </w:tcMar>
                  <w:vAlign w:val="center"/>
                </w:tcPr>
                <w:p w14:paraId="4031123F"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-8</w:t>
                  </w:r>
                </w:p>
              </w:tc>
              <w:tc>
                <w:tcPr>
                  <w:tcW w:w="429" w:type="dxa"/>
                  <w:shd w:val="clear" w:color="auto" w:fill="auto"/>
                  <w:tcMar>
                    <w:top w:w="15" w:type="dxa"/>
                    <w:left w:w="15" w:type="dxa"/>
                    <w:bottom w:w="0" w:type="dxa"/>
                    <w:right w:w="15" w:type="dxa"/>
                  </w:tcMar>
                  <w:vAlign w:val="center"/>
                </w:tcPr>
                <w:p w14:paraId="3595DE9E"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-15</w:t>
                  </w:r>
                </w:p>
              </w:tc>
              <w:tc>
                <w:tcPr>
                  <w:tcW w:w="423" w:type="dxa"/>
                  <w:vAlign w:val="center"/>
                </w:tcPr>
                <w:p w14:paraId="518A242C"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-19</w:t>
                  </w:r>
                </w:p>
              </w:tc>
              <w:tc>
                <w:tcPr>
                  <w:tcW w:w="426" w:type="dxa"/>
                  <w:vAlign w:val="center"/>
                </w:tcPr>
                <w:p w14:paraId="3B9A7E7B"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-18</w:t>
                  </w:r>
                </w:p>
              </w:tc>
            </w:tr>
            <w:tr w:rsidR="00FB5206" w:rsidRPr="008027AE" w14:paraId="780033FF" w14:textId="77777777" w:rsidTr="002F4FC1">
              <w:trPr>
                <w:trHeight w:val="252"/>
              </w:trPr>
              <w:tc>
                <w:tcPr>
                  <w:tcW w:w="1864" w:type="dxa"/>
                  <w:shd w:val="clear" w:color="auto" w:fill="auto"/>
                  <w:tcMar>
                    <w:top w:w="15" w:type="dxa"/>
                    <w:left w:w="15" w:type="dxa"/>
                    <w:bottom w:w="0" w:type="dxa"/>
                    <w:right w:w="15" w:type="dxa"/>
                  </w:tcMar>
                  <w:vAlign w:val="center"/>
                  <w:hideMark/>
                </w:tcPr>
                <w:p w14:paraId="776CDD41"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零售業</w:t>
                  </w:r>
                </w:p>
              </w:tc>
              <w:tc>
                <w:tcPr>
                  <w:tcW w:w="424" w:type="dxa"/>
                  <w:shd w:val="clear" w:color="auto" w:fill="auto"/>
                  <w:tcMar>
                    <w:top w:w="15" w:type="dxa"/>
                    <w:left w:w="15" w:type="dxa"/>
                    <w:bottom w:w="0" w:type="dxa"/>
                    <w:right w:w="15" w:type="dxa"/>
                  </w:tcMar>
                  <w:vAlign w:val="center"/>
                </w:tcPr>
                <w:p w14:paraId="2670FCDA"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-16</w:t>
                  </w:r>
                </w:p>
              </w:tc>
              <w:tc>
                <w:tcPr>
                  <w:tcW w:w="426" w:type="dxa"/>
                  <w:shd w:val="clear" w:color="auto" w:fill="auto"/>
                  <w:tcMar>
                    <w:top w:w="15" w:type="dxa"/>
                    <w:left w:w="15" w:type="dxa"/>
                    <w:bottom w:w="0" w:type="dxa"/>
                    <w:right w:w="15" w:type="dxa"/>
                  </w:tcMar>
                  <w:vAlign w:val="center"/>
                </w:tcPr>
                <w:p w14:paraId="57A102F2"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-16</w:t>
                  </w:r>
                </w:p>
              </w:tc>
              <w:tc>
                <w:tcPr>
                  <w:tcW w:w="431" w:type="dxa"/>
                  <w:shd w:val="clear" w:color="auto" w:fill="auto"/>
                  <w:tcMar>
                    <w:top w:w="15" w:type="dxa"/>
                    <w:left w:w="15" w:type="dxa"/>
                    <w:bottom w:w="0" w:type="dxa"/>
                    <w:right w:w="15" w:type="dxa"/>
                  </w:tcMar>
                  <w:vAlign w:val="center"/>
                </w:tcPr>
                <w:p w14:paraId="56FAF041"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-19</w:t>
                  </w:r>
                </w:p>
              </w:tc>
              <w:tc>
                <w:tcPr>
                  <w:tcW w:w="429" w:type="dxa"/>
                  <w:shd w:val="clear" w:color="auto" w:fill="auto"/>
                  <w:tcMar>
                    <w:top w:w="15" w:type="dxa"/>
                    <w:left w:w="15" w:type="dxa"/>
                    <w:bottom w:w="0" w:type="dxa"/>
                    <w:right w:w="15" w:type="dxa"/>
                  </w:tcMar>
                  <w:vAlign w:val="center"/>
                </w:tcPr>
                <w:p w14:paraId="73DFCE7E"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-31</w:t>
                  </w:r>
                </w:p>
              </w:tc>
              <w:tc>
                <w:tcPr>
                  <w:tcW w:w="423" w:type="dxa"/>
                  <w:vAlign w:val="center"/>
                </w:tcPr>
                <w:p w14:paraId="6C01B2A7"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+4</w:t>
                  </w:r>
                </w:p>
              </w:tc>
              <w:tc>
                <w:tcPr>
                  <w:tcW w:w="426" w:type="dxa"/>
                  <w:vAlign w:val="center"/>
                </w:tcPr>
                <w:p w14:paraId="182FACAD"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-14</w:t>
                  </w:r>
                </w:p>
              </w:tc>
            </w:tr>
            <w:tr w:rsidR="00FB5206" w:rsidRPr="008027AE" w14:paraId="6136F34B" w14:textId="77777777" w:rsidTr="002F4FC1">
              <w:trPr>
                <w:trHeight w:val="252"/>
              </w:trPr>
              <w:tc>
                <w:tcPr>
                  <w:tcW w:w="1864" w:type="dxa"/>
                  <w:shd w:val="clear" w:color="auto" w:fill="auto"/>
                  <w:tcMar>
                    <w:top w:w="15" w:type="dxa"/>
                    <w:left w:w="15" w:type="dxa"/>
                    <w:bottom w:w="0" w:type="dxa"/>
                    <w:right w:w="15" w:type="dxa"/>
                  </w:tcMar>
                  <w:vAlign w:val="center"/>
                  <w:hideMark/>
                </w:tcPr>
                <w:p w14:paraId="3AD7C4F5"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住宿及膳食服務業</w:t>
                  </w:r>
                </w:p>
              </w:tc>
              <w:tc>
                <w:tcPr>
                  <w:tcW w:w="424" w:type="dxa"/>
                  <w:shd w:val="clear" w:color="auto" w:fill="auto"/>
                  <w:tcMar>
                    <w:top w:w="15" w:type="dxa"/>
                    <w:left w:w="15" w:type="dxa"/>
                    <w:bottom w:w="0" w:type="dxa"/>
                    <w:right w:w="15" w:type="dxa"/>
                  </w:tcMar>
                  <w:vAlign w:val="center"/>
                </w:tcPr>
                <w:p w14:paraId="02ABC6A5"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+7</w:t>
                  </w:r>
                </w:p>
              </w:tc>
              <w:tc>
                <w:tcPr>
                  <w:tcW w:w="426" w:type="dxa"/>
                  <w:shd w:val="clear" w:color="auto" w:fill="auto"/>
                  <w:tcMar>
                    <w:top w:w="15" w:type="dxa"/>
                    <w:left w:w="15" w:type="dxa"/>
                    <w:bottom w:w="0" w:type="dxa"/>
                    <w:right w:w="15" w:type="dxa"/>
                  </w:tcMar>
                  <w:vAlign w:val="center"/>
                </w:tcPr>
                <w:p w14:paraId="12F0610A"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+6</w:t>
                  </w:r>
                </w:p>
              </w:tc>
              <w:tc>
                <w:tcPr>
                  <w:tcW w:w="431" w:type="dxa"/>
                  <w:shd w:val="clear" w:color="auto" w:fill="auto"/>
                  <w:tcMar>
                    <w:top w:w="15" w:type="dxa"/>
                    <w:left w:w="15" w:type="dxa"/>
                    <w:bottom w:w="0" w:type="dxa"/>
                    <w:right w:w="15" w:type="dxa"/>
                  </w:tcMar>
                  <w:vAlign w:val="center"/>
                </w:tcPr>
                <w:p w14:paraId="2AC77FD9"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c>
                <w:tcPr>
                  <w:tcW w:w="429" w:type="dxa"/>
                  <w:shd w:val="clear" w:color="auto" w:fill="auto"/>
                  <w:tcMar>
                    <w:top w:w="15" w:type="dxa"/>
                    <w:left w:w="15" w:type="dxa"/>
                    <w:bottom w:w="0" w:type="dxa"/>
                    <w:right w:w="15" w:type="dxa"/>
                  </w:tcMar>
                  <w:vAlign w:val="center"/>
                </w:tcPr>
                <w:p w14:paraId="42806FB0"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-36</w:t>
                  </w:r>
                </w:p>
              </w:tc>
              <w:tc>
                <w:tcPr>
                  <w:tcW w:w="423" w:type="dxa"/>
                  <w:vAlign w:val="center"/>
                </w:tcPr>
                <w:p w14:paraId="54499432"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-37</w:t>
                  </w:r>
                </w:p>
              </w:tc>
              <w:tc>
                <w:tcPr>
                  <w:tcW w:w="426" w:type="dxa"/>
                  <w:vAlign w:val="center"/>
                </w:tcPr>
                <w:p w14:paraId="25C7132A"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-16</w:t>
                  </w:r>
                </w:p>
              </w:tc>
            </w:tr>
            <w:tr w:rsidR="00FB5206" w:rsidRPr="008027AE" w14:paraId="2DB8C31C" w14:textId="77777777" w:rsidTr="002F4FC1">
              <w:trPr>
                <w:trHeight w:val="252"/>
              </w:trPr>
              <w:tc>
                <w:tcPr>
                  <w:tcW w:w="1864" w:type="dxa"/>
                  <w:shd w:val="clear" w:color="auto" w:fill="auto"/>
                  <w:tcMar>
                    <w:top w:w="15" w:type="dxa"/>
                    <w:left w:w="15" w:type="dxa"/>
                    <w:bottom w:w="0" w:type="dxa"/>
                    <w:right w:w="15" w:type="dxa"/>
                  </w:tcMar>
                  <w:vAlign w:val="center"/>
                  <w:hideMark/>
                </w:tcPr>
                <w:p w14:paraId="14207790"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運輸、倉庫及速遞服務業</w:t>
                  </w:r>
                </w:p>
              </w:tc>
              <w:tc>
                <w:tcPr>
                  <w:tcW w:w="424" w:type="dxa"/>
                  <w:shd w:val="clear" w:color="auto" w:fill="auto"/>
                  <w:tcMar>
                    <w:top w:w="15" w:type="dxa"/>
                    <w:left w:w="15" w:type="dxa"/>
                    <w:bottom w:w="0" w:type="dxa"/>
                    <w:right w:w="15" w:type="dxa"/>
                  </w:tcMar>
                  <w:vAlign w:val="center"/>
                </w:tcPr>
                <w:p w14:paraId="3C9797B2"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+4</w:t>
                  </w:r>
                </w:p>
              </w:tc>
              <w:tc>
                <w:tcPr>
                  <w:tcW w:w="426" w:type="dxa"/>
                  <w:shd w:val="clear" w:color="auto" w:fill="auto"/>
                  <w:tcMar>
                    <w:top w:w="15" w:type="dxa"/>
                    <w:left w:w="15" w:type="dxa"/>
                    <w:bottom w:w="0" w:type="dxa"/>
                    <w:right w:w="15" w:type="dxa"/>
                  </w:tcMar>
                  <w:vAlign w:val="center"/>
                </w:tcPr>
                <w:p w14:paraId="1EA34CFA"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-2</w:t>
                  </w:r>
                </w:p>
              </w:tc>
              <w:tc>
                <w:tcPr>
                  <w:tcW w:w="431" w:type="dxa"/>
                  <w:shd w:val="clear" w:color="auto" w:fill="auto"/>
                  <w:tcMar>
                    <w:top w:w="15" w:type="dxa"/>
                    <w:left w:w="15" w:type="dxa"/>
                    <w:bottom w:w="0" w:type="dxa"/>
                    <w:right w:w="15" w:type="dxa"/>
                  </w:tcMar>
                  <w:vAlign w:val="center"/>
                </w:tcPr>
                <w:p w14:paraId="79CCC6F8"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w:t>
                  </w:r>
                </w:p>
              </w:tc>
              <w:tc>
                <w:tcPr>
                  <w:tcW w:w="429" w:type="dxa"/>
                  <w:shd w:val="clear" w:color="auto" w:fill="auto"/>
                  <w:tcMar>
                    <w:top w:w="15" w:type="dxa"/>
                    <w:left w:w="15" w:type="dxa"/>
                    <w:bottom w:w="0" w:type="dxa"/>
                    <w:right w:w="15" w:type="dxa"/>
                  </w:tcMar>
                  <w:vAlign w:val="center"/>
                </w:tcPr>
                <w:p w14:paraId="3FFA021E"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-27</w:t>
                  </w:r>
                </w:p>
              </w:tc>
              <w:tc>
                <w:tcPr>
                  <w:tcW w:w="423" w:type="dxa"/>
                  <w:vAlign w:val="center"/>
                </w:tcPr>
                <w:p w14:paraId="753013A2"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-25</w:t>
                  </w:r>
                </w:p>
              </w:tc>
              <w:tc>
                <w:tcPr>
                  <w:tcW w:w="426" w:type="dxa"/>
                  <w:vAlign w:val="center"/>
                </w:tcPr>
                <w:p w14:paraId="506E2CC8"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-31</w:t>
                  </w:r>
                </w:p>
              </w:tc>
            </w:tr>
            <w:tr w:rsidR="00FB5206" w:rsidRPr="008027AE" w14:paraId="517E5906" w14:textId="77777777" w:rsidTr="002F4FC1">
              <w:trPr>
                <w:trHeight w:val="252"/>
              </w:trPr>
              <w:tc>
                <w:tcPr>
                  <w:tcW w:w="1864" w:type="dxa"/>
                  <w:shd w:val="clear" w:color="auto" w:fill="auto"/>
                  <w:tcMar>
                    <w:top w:w="15" w:type="dxa"/>
                    <w:left w:w="15" w:type="dxa"/>
                    <w:bottom w:w="0" w:type="dxa"/>
                    <w:right w:w="15" w:type="dxa"/>
                  </w:tcMar>
                  <w:vAlign w:val="center"/>
                  <w:hideMark/>
                </w:tcPr>
                <w:p w14:paraId="2421C378"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資訊及通訊業</w:t>
                  </w:r>
                </w:p>
              </w:tc>
              <w:tc>
                <w:tcPr>
                  <w:tcW w:w="424" w:type="dxa"/>
                  <w:shd w:val="clear" w:color="auto" w:fill="auto"/>
                  <w:tcMar>
                    <w:top w:w="15" w:type="dxa"/>
                    <w:left w:w="15" w:type="dxa"/>
                    <w:bottom w:w="0" w:type="dxa"/>
                    <w:right w:w="15" w:type="dxa"/>
                  </w:tcMar>
                  <w:vAlign w:val="center"/>
                </w:tcPr>
                <w:p w14:paraId="3E549235"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w:t>
                  </w:r>
                </w:p>
              </w:tc>
              <w:tc>
                <w:tcPr>
                  <w:tcW w:w="426" w:type="dxa"/>
                  <w:shd w:val="clear" w:color="auto" w:fill="auto"/>
                  <w:tcMar>
                    <w:top w:w="15" w:type="dxa"/>
                    <w:left w:w="15" w:type="dxa"/>
                    <w:bottom w:w="0" w:type="dxa"/>
                    <w:right w:w="15" w:type="dxa"/>
                  </w:tcMar>
                  <w:vAlign w:val="center"/>
                </w:tcPr>
                <w:p w14:paraId="4D79DD42"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c>
                <w:tcPr>
                  <w:tcW w:w="431" w:type="dxa"/>
                  <w:shd w:val="clear" w:color="auto" w:fill="auto"/>
                  <w:tcMar>
                    <w:top w:w="15" w:type="dxa"/>
                    <w:left w:w="15" w:type="dxa"/>
                    <w:bottom w:w="0" w:type="dxa"/>
                    <w:right w:w="15" w:type="dxa"/>
                  </w:tcMar>
                  <w:vAlign w:val="center"/>
                </w:tcPr>
                <w:p w14:paraId="572A1D4B"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-5</w:t>
                  </w:r>
                </w:p>
              </w:tc>
              <w:tc>
                <w:tcPr>
                  <w:tcW w:w="429" w:type="dxa"/>
                  <w:shd w:val="clear" w:color="auto" w:fill="auto"/>
                  <w:tcMar>
                    <w:top w:w="15" w:type="dxa"/>
                    <w:left w:w="15" w:type="dxa"/>
                    <w:bottom w:w="0" w:type="dxa"/>
                    <w:right w:w="15" w:type="dxa"/>
                  </w:tcMar>
                  <w:vAlign w:val="center"/>
                </w:tcPr>
                <w:p w14:paraId="05B2AACE"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-11</w:t>
                  </w:r>
                </w:p>
              </w:tc>
              <w:tc>
                <w:tcPr>
                  <w:tcW w:w="423" w:type="dxa"/>
                  <w:vAlign w:val="center"/>
                </w:tcPr>
                <w:p w14:paraId="324F4B2C"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-17</w:t>
                  </w:r>
                </w:p>
              </w:tc>
              <w:tc>
                <w:tcPr>
                  <w:tcW w:w="426" w:type="dxa"/>
                  <w:vAlign w:val="center"/>
                </w:tcPr>
                <w:p w14:paraId="2703A284"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-9</w:t>
                  </w:r>
                </w:p>
              </w:tc>
            </w:tr>
            <w:tr w:rsidR="00FB5206" w:rsidRPr="008027AE" w14:paraId="13E911B3" w14:textId="77777777" w:rsidTr="002F4FC1">
              <w:trPr>
                <w:trHeight w:val="252"/>
              </w:trPr>
              <w:tc>
                <w:tcPr>
                  <w:tcW w:w="1864" w:type="dxa"/>
                  <w:shd w:val="clear" w:color="auto" w:fill="auto"/>
                  <w:tcMar>
                    <w:top w:w="15" w:type="dxa"/>
                    <w:left w:w="15" w:type="dxa"/>
                    <w:bottom w:w="0" w:type="dxa"/>
                    <w:right w:w="15" w:type="dxa"/>
                  </w:tcMar>
                  <w:vAlign w:val="center"/>
                </w:tcPr>
                <w:p w14:paraId="772A286C"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金融及保險業</w:t>
                  </w:r>
                </w:p>
              </w:tc>
              <w:tc>
                <w:tcPr>
                  <w:tcW w:w="424" w:type="dxa"/>
                  <w:shd w:val="clear" w:color="auto" w:fill="auto"/>
                  <w:tcMar>
                    <w:top w:w="15" w:type="dxa"/>
                    <w:left w:w="15" w:type="dxa"/>
                    <w:bottom w:w="0" w:type="dxa"/>
                    <w:right w:w="15" w:type="dxa"/>
                  </w:tcMar>
                  <w:vAlign w:val="center"/>
                </w:tcPr>
                <w:p w14:paraId="275DB0FF"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+19</w:t>
                  </w:r>
                </w:p>
              </w:tc>
              <w:tc>
                <w:tcPr>
                  <w:tcW w:w="426" w:type="dxa"/>
                  <w:shd w:val="clear" w:color="auto" w:fill="auto"/>
                  <w:tcMar>
                    <w:top w:w="15" w:type="dxa"/>
                    <w:left w:w="15" w:type="dxa"/>
                    <w:bottom w:w="0" w:type="dxa"/>
                    <w:right w:w="15" w:type="dxa"/>
                  </w:tcMar>
                  <w:vAlign w:val="center"/>
                </w:tcPr>
                <w:p w14:paraId="505BE08E"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+7</w:t>
                  </w:r>
                </w:p>
              </w:tc>
              <w:tc>
                <w:tcPr>
                  <w:tcW w:w="431" w:type="dxa"/>
                  <w:shd w:val="clear" w:color="auto" w:fill="auto"/>
                  <w:tcMar>
                    <w:top w:w="15" w:type="dxa"/>
                    <w:left w:w="15" w:type="dxa"/>
                    <w:bottom w:w="0" w:type="dxa"/>
                    <w:right w:w="15" w:type="dxa"/>
                  </w:tcMar>
                  <w:vAlign w:val="center"/>
                </w:tcPr>
                <w:p w14:paraId="6FC29115"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+2</w:t>
                  </w:r>
                </w:p>
              </w:tc>
              <w:tc>
                <w:tcPr>
                  <w:tcW w:w="429" w:type="dxa"/>
                  <w:shd w:val="clear" w:color="auto" w:fill="auto"/>
                  <w:tcMar>
                    <w:top w:w="15" w:type="dxa"/>
                    <w:left w:w="15" w:type="dxa"/>
                    <w:bottom w:w="0" w:type="dxa"/>
                    <w:right w:w="15" w:type="dxa"/>
                  </w:tcMar>
                  <w:vAlign w:val="center"/>
                </w:tcPr>
                <w:p w14:paraId="1644C93E"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+10</w:t>
                  </w:r>
                </w:p>
              </w:tc>
              <w:tc>
                <w:tcPr>
                  <w:tcW w:w="423" w:type="dxa"/>
                  <w:vAlign w:val="center"/>
                </w:tcPr>
                <w:p w14:paraId="67E917AD"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+8</w:t>
                  </w:r>
                </w:p>
              </w:tc>
              <w:tc>
                <w:tcPr>
                  <w:tcW w:w="426" w:type="dxa"/>
                  <w:vAlign w:val="center"/>
                </w:tcPr>
                <w:p w14:paraId="743E44FA"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+11</w:t>
                  </w:r>
                </w:p>
              </w:tc>
            </w:tr>
            <w:tr w:rsidR="00FB5206" w:rsidRPr="008027AE" w14:paraId="7F7A2887" w14:textId="77777777" w:rsidTr="002F4FC1">
              <w:trPr>
                <w:trHeight w:val="252"/>
              </w:trPr>
              <w:tc>
                <w:tcPr>
                  <w:tcW w:w="1864" w:type="dxa"/>
                  <w:shd w:val="clear" w:color="auto" w:fill="auto"/>
                  <w:tcMar>
                    <w:top w:w="15" w:type="dxa"/>
                    <w:left w:w="15" w:type="dxa"/>
                    <w:bottom w:w="0" w:type="dxa"/>
                    <w:right w:w="15" w:type="dxa"/>
                  </w:tcMar>
                  <w:vAlign w:val="center"/>
                  <w:hideMark/>
                </w:tcPr>
                <w:p w14:paraId="6F58C2A3"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地產業</w:t>
                  </w:r>
                </w:p>
              </w:tc>
              <w:tc>
                <w:tcPr>
                  <w:tcW w:w="424" w:type="dxa"/>
                  <w:shd w:val="clear" w:color="auto" w:fill="auto"/>
                  <w:tcMar>
                    <w:top w:w="15" w:type="dxa"/>
                    <w:left w:w="15" w:type="dxa"/>
                    <w:bottom w:w="0" w:type="dxa"/>
                    <w:right w:w="15" w:type="dxa"/>
                  </w:tcMar>
                  <w:vAlign w:val="center"/>
                </w:tcPr>
                <w:p w14:paraId="3B2FD369"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+8</w:t>
                  </w:r>
                </w:p>
              </w:tc>
              <w:tc>
                <w:tcPr>
                  <w:tcW w:w="426" w:type="dxa"/>
                  <w:shd w:val="clear" w:color="auto" w:fill="auto"/>
                  <w:tcMar>
                    <w:top w:w="15" w:type="dxa"/>
                    <w:left w:w="15" w:type="dxa"/>
                    <w:bottom w:w="0" w:type="dxa"/>
                    <w:right w:w="15" w:type="dxa"/>
                  </w:tcMar>
                  <w:vAlign w:val="center"/>
                </w:tcPr>
                <w:p w14:paraId="34CE4813"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0</w:t>
                  </w:r>
                </w:p>
              </w:tc>
              <w:tc>
                <w:tcPr>
                  <w:tcW w:w="431" w:type="dxa"/>
                  <w:shd w:val="clear" w:color="auto" w:fill="auto"/>
                  <w:tcMar>
                    <w:top w:w="15" w:type="dxa"/>
                    <w:left w:w="15" w:type="dxa"/>
                    <w:bottom w:w="0" w:type="dxa"/>
                    <w:right w:w="15" w:type="dxa"/>
                  </w:tcMar>
                  <w:vAlign w:val="center"/>
                </w:tcPr>
                <w:p w14:paraId="68AFCE14"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+6</w:t>
                  </w:r>
                </w:p>
              </w:tc>
              <w:tc>
                <w:tcPr>
                  <w:tcW w:w="429" w:type="dxa"/>
                  <w:shd w:val="clear" w:color="auto" w:fill="auto"/>
                  <w:tcMar>
                    <w:top w:w="15" w:type="dxa"/>
                    <w:left w:w="15" w:type="dxa"/>
                    <w:bottom w:w="0" w:type="dxa"/>
                    <w:right w:w="15" w:type="dxa"/>
                  </w:tcMar>
                  <w:vAlign w:val="center"/>
                </w:tcPr>
                <w:p w14:paraId="3B81B28D"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-15</w:t>
                  </w:r>
                </w:p>
              </w:tc>
              <w:tc>
                <w:tcPr>
                  <w:tcW w:w="423" w:type="dxa"/>
                  <w:vAlign w:val="center"/>
                </w:tcPr>
                <w:p w14:paraId="79ABAA87"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-11</w:t>
                  </w:r>
                </w:p>
              </w:tc>
              <w:tc>
                <w:tcPr>
                  <w:tcW w:w="426" w:type="dxa"/>
                  <w:vAlign w:val="center"/>
                </w:tcPr>
                <w:p w14:paraId="49B9FF0B"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r>
            <w:tr w:rsidR="00FB5206" w:rsidRPr="008027AE" w14:paraId="6050C188" w14:textId="77777777" w:rsidTr="002F4FC1">
              <w:trPr>
                <w:trHeight w:val="252"/>
              </w:trPr>
              <w:tc>
                <w:tcPr>
                  <w:tcW w:w="1864" w:type="dxa"/>
                  <w:shd w:val="clear" w:color="auto" w:fill="auto"/>
                  <w:tcMar>
                    <w:top w:w="15" w:type="dxa"/>
                    <w:left w:w="15" w:type="dxa"/>
                    <w:bottom w:w="0" w:type="dxa"/>
                    <w:right w:w="15" w:type="dxa"/>
                  </w:tcMar>
                  <w:vAlign w:val="center"/>
                  <w:hideMark/>
                </w:tcPr>
                <w:p w14:paraId="0C71B397"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專業及商用服務業</w:t>
                  </w:r>
                </w:p>
              </w:tc>
              <w:tc>
                <w:tcPr>
                  <w:tcW w:w="424" w:type="dxa"/>
                  <w:shd w:val="clear" w:color="auto" w:fill="auto"/>
                  <w:tcMar>
                    <w:top w:w="15" w:type="dxa"/>
                    <w:left w:w="15" w:type="dxa"/>
                    <w:bottom w:w="0" w:type="dxa"/>
                    <w:right w:w="15" w:type="dxa"/>
                  </w:tcMar>
                  <w:vAlign w:val="center"/>
                </w:tcPr>
                <w:p w14:paraId="010354BE"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-9</w:t>
                  </w:r>
                </w:p>
              </w:tc>
              <w:tc>
                <w:tcPr>
                  <w:tcW w:w="426" w:type="dxa"/>
                  <w:shd w:val="clear" w:color="auto" w:fill="auto"/>
                  <w:tcMar>
                    <w:top w:w="15" w:type="dxa"/>
                    <w:left w:w="15" w:type="dxa"/>
                    <w:bottom w:w="0" w:type="dxa"/>
                    <w:right w:w="15" w:type="dxa"/>
                  </w:tcMar>
                  <w:vAlign w:val="center"/>
                </w:tcPr>
                <w:p w14:paraId="77D6A8EE"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c>
                <w:tcPr>
                  <w:tcW w:w="431" w:type="dxa"/>
                  <w:shd w:val="clear" w:color="auto" w:fill="auto"/>
                  <w:tcMar>
                    <w:top w:w="15" w:type="dxa"/>
                    <w:left w:w="15" w:type="dxa"/>
                    <w:bottom w:w="0" w:type="dxa"/>
                    <w:right w:w="15" w:type="dxa"/>
                  </w:tcMar>
                  <w:vAlign w:val="center"/>
                </w:tcPr>
                <w:p w14:paraId="011B9D3D"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c>
                <w:tcPr>
                  <w:tcW w:w="429" w:type="dxa"/>
                  <w:shd w:val="clear" w:color="auto" w:fill="auto"/>
                  <w:tcMar>
                    <w:top w:w="15" w:type="dxa"/>
                    <w:left w:w="15" w:type="dxa"/>
                    <w:bottom w:w="0" w:type="dxa"/>
                    <w:right w:w="15" w:type="dxa"/>
                  </w:tcMar>
                  <w:vAlign w:val="center"/>
                </w:tcPr>
                <w:p w14:paraId="1B6BE609"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-8</w:t>
                  </w:r>
                </w:p>
              </w:tc>
              <w:tc>
                <w:tcPr>
                  <w:tcW w:w="423" w:type="dxa"/>
                  <w:vAlign w:val="center"/>
                </w:tcPr>
                <w:p w14:paraId="15649594"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-6</w:t>
                  </w:r>
                </w:p>
              </w:tc>
              <w:tc>
                <w:tcPr>
                  <w:tcW w:w="426" w:type="dxa"/>
                  <w:vAlign w:val="center"/>
                </w:tcPr>
                <w:p w14:paraId="4ECB177C"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-14</w:t>
                  </w:r>
                </w:p>
              </w:tc>
            </w:tr>
            <w:tr w:rsidR="00FB5206" w:rsidRPr="008027AE" w14:paraId="596AA778" w14:textId="77777777" w:rsidTr="002F4FC1">
              <w:trPr>
                <w:trHeight w:val="252"/>
              </w:trPr>
              <w:tc>
                <w:tcPr>
                  <w:tcW w:w="1864" w:type="dxa"/>
                  <w:shd w:val="clear" w:color="auto" w:fill="auto"/>
                  <w:tcMar>
                    <w:top w:w="15" w:type="dxa"/>
                    <w:left w:w="15" w:type="dxa"/>
                    <w:bottom w:w="0" w:type="dxa"/>
                    <w:right w:w="15" w:type="dxa"/>
                  </w:tcMar>
                  <w:vAlign w:val="center"/>
                </w:tcPr>
                <w:p w14:paraId="151D5986"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所有以上行業</w:t>
                  </w:r>
                </w:p>
              </w:tc>
              <w:tc>
                <w:tcPr>
                  <w:tcW w:w="424" w:type="dxa"/>
                  <w:shd w:val="clear" w:color="auto" w:fill="auto"/>
                  <w:tcMar>
                    <w:top w:w="15" w:type="dxa"/>
                    <w:left w:w="15" w:type="dxa"/>
                    <w:bottom w:w="0" w:type="dxa"/>
                    <w:right w:w="15" w:type="dxa"/>
                  </w:tcMar>
                  <w:vAlign w:val="center"/>
                </w:tcPr>
                <w:p w14:paraId="2200185D"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+2</w:t>
                  </w:r>
                </w:p>
              </w:tc>
              <w:tc>
                <w:tcPr>
                  <w:tcW w:w="426" w:type="dxa"/>
                  <w:shd w:val="clear" w:color="auto" w:fill="auto"/>
                  <w:tcMar>
                    <w:top w:w="15" w:type="dxa"/>
                    <w:left w:w="15" w:type="dxa"/>
                    <w:bottom w:w="0" w:type="dxa"/>
                    <w:right w:w="15" w:type="dxa"/>
                  </w:tcMar>
                  <w:vAlign w:val="center"/>
                </w:tcPr>
                <w:p w14:paraId="78B3617A"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w:t>
                  </w:r>
                </w:p>
              </w:tc>
              <w:tc>
                <w:tcPr>
                  <w:tcW w:w="431" w:type="dxa"/>
                  <w:shd w:val="clear" w:color="auto" w:fill="auto"/>
                  <w:tcMar>
                    <w:top w:w="15" w:type="dxa"/>
                    <w:left w:w="15" w:type="dxa"/>
                    <w:bottom w:w="0" w:type="dxa"/>
                    <w:right w:w="15" w:type="dxa"/>
                  </w:tcMar>
                  <w:vAlign w:val="center"/>
                </w:tcPr>
                <w:p w14:paraId="14AF8048"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c>
                <w:tcPr>
                  <w:tcW w:w="429" w:type="dxa"/>
                  <w:shd w:val="clear" w:color="auto" w:fill="auto"/>
                  <w:tcMar>
                    <w:top w:w="15" w:type="dxa"/>
                    <w:left w:w="15" w:type="dxa"/>
                    <w:bottom w:w="0" w:type="dxa"/>
                    <w:right w:w="15" w:type="dxa"/>
                  </w:tcMar>
                  <w:vAlign w:val="center"/>
                </w:tcPr>
                <w:p w14:paraId="2BD9007B"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-10</w:t>
                  </w:r>
                </w:p>
              </w:tc>
              <w:tc>
                <w:tcPr>
                  <w:tcW w:w="423" w:type="dxa"/>
                  <w:vAlign w:val="center"/>
                </w:tcPr>
                <w:p w14:paraId="3EF43C9C"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-9</w:t>
                  </w:r>
                </w:p>
              </w:tc>
              <w:tc>
                <w:tcPr>
                  <w:tcW w:w="426" w:type="dxa"/>
                  <w:vAlign w:val="center"/>
                </w:tcPr>
                <w:p w14:paraId="3AC602EA" w14:textId="77777777" w:rsidR="00FB5206" w:rsidRPr="00D0052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rFonts w:cs="華康細明體"/>
                      <w:spacing w:val="0"/>
                      <w:kern w:val="2"/>
                      <w:sz w:val="16"/>
                      <w:szCs w:val="16"/>
                      <w:lang w:val="en-GB"/>
                    </w:rPr>
                  </w:pPr>
                  <w:r w:rsidRPr="00D0052E">
                    <w:rPr>
                      <w:rFonts w:cs="華康細明體"/>
                      <w:spacing w:val="0"/>
                      <w:kern w:val="2"/>
                      <w:sz w:val="16"/>
                      <w:szCs w:val="16"/>
                      <w:lang w:val="en-GB"/>
                    </w:rPr>
                    <w:t>-8</w:t>
                  </w:r>
                </w:p>
              </w:tc>
            </w:tr>
          </w:tbl>
          <w:p w14:paraId="6BA785FA" w14:textId="77777777" w:rsidR="00FB5206" w:rsidRPr="008027AE" w:rsidRDefault="00FB5206" w:rsidP="002F4FC1">
            <w:pPr>
              <w:widowControl w:val="0"/>
              <w:tabs>
                <w:tab w:val="clear" w:pos="936"/>
                <w:tab w:val="clear" w:pos="1560"/>
                <w:tab w:val="clear" w:pos="2184"/>
                <w:tab w:val="clear" w:pos="2808"/>
              </w:tabs>
              <w:autoSpaceDE w:val="0"/>
              <w:autoSpaceDN w:val="0"/>
              <w:snapToGrid w:val="0"/>
              <w:spacing w:afterLines="30" w:after="108" w:line="240" w:lineRule="auto"/>
              <w:rPr>
                <w:rFonts w:eastAsia="新細明體"/>
                <w:b/>
                <w:spacing w:val="0"/>
                <w:kern w:val="2"/>
                <w:szCs w:val="24"/>
                <w:lang w:val="en-GB" w:eastAsia="zh-HK"/>
              </w:rPr>
            </w:pPr>
          </w:p>
        </w:tc>
        <w:tc>
          <w:tcPr>
            <w:tcW w:w="4678"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8"/>
              <w:gridCol w:w="425"/>
              <w:gridCol w:w="426"/>
              <w:gridCol w:w="459"/>
              <w:gridCol w:w="394"/>
              <w:gridCol w:w="425"/>
              <w:gridCol w:w="426"/>
            </w:tblGrid>
            <w:tr w:rsidR="00FB5206" w:rsidRPr="008027AE" w14:paraId="6455F2EF" w14:textId="77777777" w:rsidTr="002F4FC1">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14CBAA6E" w14:textId="77777777" w:rsidR="00FB5206" w:rsidRPr="00C13844" w:rsidRDefault="00FB5206" w:rsidP="002F4FC1">
                  <w:pPr>
                    <w:snapToGrid w:val="0"/>
                    <w:spacing w:after="0" w:line="240" w:lineRule="auto"/>
                    <w:jc w:val="center"/>
                    <w:rPr>
                      <w:rFonts w:ascii="華康中黑體" w:eastAsia="華康中黑體" w:hAnsi="華康中黑體" w:cs="華康中黑體"/>
                      <w:bCs/>
                      <w:spacing w:val="0"/>
                      <w:sz w:val="18"/>
                      <w:szCs w:val="18"/>
                    </w:rPr>
                  </w:pPr>
                  <w:r w:rsidRPr="00C13844">
                    <w:rPr>
                      <w:rFonts w:ascii="華康中黑體" w:eastAsia="華康中黑體" w:hAnsi="華康中黑體" w:cs="華康中黑體" w:hint="eastAsia"/>
                      <w:bCs/>
                      <w:spacing w:val="0"/>
                      <w:sz w:val="18"/>
                      <w:szCs w:val="18"/>
                    </w:rPr>
                    <w:t>業務展望按季統計調查</w:t>
                  </w:r>
                  <w:r w:rsidRPr="00AC6F7A">
                    <w:rPr>
                      <w:rFonts w:ascii="華康中黑體" w:eastAsia="華康中黑體" w:hAnsi="華康中黑體" w:cs="華康中黑體" w:hint="eastAsia"/>
                      <w:b/>
                      <w:bCs/>
                      <w:spacing w:val="0"/>
                      <w:sz w:val="18"/>
                      <w:szCs w:val="18"/>
                    </w:rPr>
                    <w:t>：</w:t>
                  </w:r>
                  <w:r w:rsidRPr="00C13844">
                    <w:rPr>
                      <w:rFonts w:ascii="華康中黑體" w:eastAsia="華康中黑體" w:hAnsi="華康中黑體" w:cs="華康中黑體" w:hint="eastAsia"/>
                      <w:bCs/>
                      <w:spacing w:val="0"/>
                      <w:sz w:val="18"/>
                      <w:szCs w:val="18"/>
                    </w:rPr>
                    <w:t>就業人數預期變動</w:t>
                  </w:r>
                </w:p>
              </w:tc>
            </w:tr>
            <w:tr w:rsidR="00FB5206" w:rsidRPr="008027AE" w14:paraId="71C0B6D7" w14:textId="77777777" w:rsidTr="002F4FC1">
              <w:trPr>
                <w:trHeight w:val="162"/>
              </w:trPr>
              <w:tc>
                <w:tcPr>
                  <w:tcW w:w="1868" w:type="dxa"/>
                  <w:vMerge w:val="restart"/>
                  <w:shd w:val="clear" w:color="auto" w:fill="auto"/>
                  <w:tcMar>
                    <w:top w:w="15" w:type="dxa"/>
                    <w:left w:w="15" w:type="dxa"/>
                    <w:bottom w:w="0" w:type="dxa"/>
                    <w:right w:w="15" w:type="dxa"/>
                  </w:tcMar>
                  <w:hideMark/>
                </w:tcPr>
                <w:p w14:paraId="5055A4C6" w14:textId="77777777" w:rsidR="00FB5206" w:rsidRPr="008027AE" w:rsidRDefault="00FB5206" w:rsidP="002F4FC1">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5" w:type="dxa"/>
                  <w:gridSpan w:val="6"/>
                  <w:shd w:val="clear" w:color="auto" w:fill="auto"/>
                  <w:tcMar>
                    <w:top w:w="15" w:type="dxa"/>
                    <w:left w:w="15" w:type="dxa"/>
                    <w:bottom w:w="0" w:type="dxa"/>
                    <w:right w:w="15" w:type="dxa"/>
                  </w:tcMar>
                  <w:hideMark/>
                </w:tcPr>
                <w:p w14:paraId="009F13A1" w14:textId="77777777" w:rsidR="00FB5206" w:rsidRPr="008027AE" w:rsidRDefault="00FB5206" w:rsidP="002F4FC1">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8027AE">
                    <w:rPr>
                      <w:rFonts w:hint="eastAsia"/>
                      <w:bCs/>
                      <w:spacing w:val="0"/>
                      <w:kern w:val="2"/>
                      <w:sz w:val="16"/>
                      <w:szCs w:val="16"/>
                      <w:lang w:val="en-GB"/>
                    </w:rPr>
                    <w:t>淨差額</w:t>
                  </w:r>
                  <w:r w:rsidRPr="008027AE">
                    <w:rPr>
                      <w:rFonts w:hint="eastAsia"/>
                      <w:bCs/>
                      <w:spacing w:val="0"/>
                      <w:kern w:val="2"/>
                      <w:sz w:val="16"/>
                      <w:szCs w:val="16"/>
                      <w:lang w:val="en-GB"/>
                    </w:rPr>
                    <w:t>* (</w:t>
                  </w:r>
                  <w:r w:rsidRPr="008027AE">
                    <w:rPr>
                      <w:rFonts w:hint="eastAsia"/>
                      <w:bCs/>
                      <w:spacing w:val="0"/>
                      <w:kern w:val="2"/>
                      <w:sz w:val="16"/>
                      <w:szCs w:val="16"/>
                      <w:lang w:val="en-GB"/>
                    </w:rPr>
                    <w:t>百分點</w:t>
                  </w:r>
                  <w:r w:rsidRPr="008027AE">
                    <w:rPr>
                      <w:rFonts w:hint="eastAsia"/>
                      <w:bCs/>
                      <w:spacing w:val="0"/>
                      <w:kern w:val="2"/>
                      <w:sz w:val="16"/>
                      <w:szCs w:val="16"/>
                      <w:lang w:val="en-GB"/>
                    </w:rPr>
                    <w:t>)</w:t>
                  </w:r>
                </w:p>
              </w:tc>
            </w:tr>
            <w:tr w:rsidR="00FB5206" w:rsidRPr="008027AE" w14:paraId="645A2B1B" w14:textId="77777777" w:rsidTr="002F4FC1">
              <w:trPr>
                <w:trHeight w:val="152"/>
              </w:trPr>
              <w:tc>
                <w:tcPr>
                  <w:tcW w:w="1868" w:type="dxa"/>
                  <w:vMerge/>
                  <w:shd w:val="clear" w:color="auto" w:fill="auto"/>
                  <w:tcMar>
                    <w:top w:w="15" w:type="dxa"/>
                    <w:left w:w="15" w:type="dxa"/>
                    <w:bottom w:w="0" w:type="dxa"/>
                    <w:right w:w="15" w:type="dxa"/>
                  </w:tcMar>
                </w:tcPr>
                <w:p w14:paraId="09334E85" w14:textId="77777777" w:rsidR="00FB5206" w:rsidRPr="008027AE" w:rsidRDefault="00FB5206" w:rsidP="002F4FC1">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1310" w:type="dxa"/>
                  <w:gridSpan w:val="3"/>
                  <w:shd w:val="clear" w:color="auto" w:fill="auto"/>
                  <w:tcMar>
                    <w:top w:w="15" w:type="dxa"/>
                    <w:left w:w="15" w:type="dxa"/>
                    <w:bottom w:w="0" w:type="dxa"/>
                    <w:right w:w="15" w:type="dxa"/>
                  </w:tcMar>
                </w:tcPr>
                <w:p w14:paraId="1057FF70"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w:t>
                  </w:r>
                  <w:r>
                    <w:rPr>
                      <w:rFonts w:hint="eastAsia"/>
                      <w:spacing w:val="0"/>
                      <w:kern w:val="2"/>
                      <w:sz w:val="10"/>
                      <w:szCs w:val="10"/>
                      <w:lang w:val="en-GB" w:eastAsia="zh-HK"/>
                    </w:rPr>
                    <w:t>四</w:t>
                  </w:r>
                  <w:r w:rsidRPr="008027AE">
                    <w:rPr>
                      <w:rFonts w:hint="eastAsia"/>
                      <w:spacing w:val="0"/>
                      <w:kern w:val="2"/>
                      <w:sz w:val="10"/>
                      <w:szCs w:val="10"/>
                      <w:lang w:val="en-GB"/>
                    </w:rPr>
                    <w:t>年</w:t>
                  </w:r>
                </w:p>
              </w:tc>
              <w:tc>
                <w:tcPr>
                  <w:tcW w:w="1245" w:type="dxa"/>
                  <w:gridSpan w:val="3"/>
                  <w:shd w:val="clear" w:color="auto" w:fill="auto"/>
                </w:tcPr>
                <w:p w14:paraId="1AEF2B3B"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w:t>
                  </w:r>
                  <w:r>
                    <w:rPr>
                      <w:rFonts w:hint="eastAsia"/>
                      <w:spacing w:val="0"/>
                      <w:kern w:val="2"/>
                      <w:sz w:val="10"/>
                      <w:szCs w:val="10"/>
                      <w:lang w:val="en-GB" w:eastAsia="zh-HK"/>
                    </w:rPr>
                    <w:t>五</w:t>
                  </w:r>
                  <w:r w:rsidRPr="008027AE">
                    <w:rPr>
                      <w:rFonts w:hint="eastAsia"/>
                      <w:spacing w:val="0"/>
                      <w:kern w:val="2"/>
                      <w:sz w:val="10"/>
                      <w:szCs w:val="10"/>
                      <w:lang w:val="en-GB"/>
                    </w:rPr>
                    <w:t>年</w:t>
                  </w:r>
                </w:p>
              </w:tc>
            </w:tr>
            <w:tr w:rsidR="00FB5206" w:rsidRPr="008027AE" w14:paraId="355157A2" w14:textId="77777777" w:rsidTr="002F4FC1">
              <w:trPr>
                <w:trHeight w:val="261"/>
              </w:trPr>
              <w:tc>
                <w:tcPr>
                  <w:tcW w:w="1868" w:type="dxa"/>
                  <w:vMerge/>
                  <w:shd w:val="clear" w:color="auto" w:fill="auto"/>
                  <w:tcMar>
                    <w:top w:w="15" w:type="dxa"/>
                    <w:left w:w="15" w:type="dxa"/>
                    <w:bottom w:w="0" w:type="dxa"/>
                    <w:right w:w="15" w:type="dxa"/>
                  </w:tcMar>
                  <w:hideMark/>
                </w:tcPr>
                <w:p w14:paraId="72349F3F" w14:textId="77777777" w:rsidR="00FB5206" w:rsidRPr="008027AE" w:rsidRDefault="00FB5206" w:rsidP="002F4FC1">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67CE1810"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w:t>
                  </w:r>
                  <w:r>
                    <w:rPr>
                      <w:rFonts w:hint="eastAsia"/>
                      <w:spacing w:val="0"/>
                      <w:kern w:val="2"/>
                      <w:sz w:val="10"/>
                      <w:szCs w:val="10"/>
                      <w:lang w:val="en-GB"/>
                    </w:rPr>
                    <w:t>二</w:t>
                  </w:r>
                  <w:r w:rsidRPr="008027AE">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687E1878"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w:t>
                  </w:r>
                  <w:r>
                    <w:rPr>
                      <w:rFonts w:hint="eastAsia"/>
                      <w:spacing w:val="0"/>
                      <w:kern w:val="2"/>
                      <w:sz w:val="10"/>
                      <w:szCs w:val="10"/>
                      <w:lang w:val="en-GB"/>
                    </w:rPr>
                    <w:t>三</w:t>
                  </w:r>
                  <w:r w:rsidRPr="008027AE">
                    <w:rPr>
                      <w:rFonts w:hint="eastAsia"/>
                      <w:spacing w:val="0"/>
                      <w:kern w:val="2"/>
                      <w:sz w:val="10"/>
                      <w:szCs w:val="10"/>
                      <w:lang w:val="en-GB"/>
                    </w:rPr>
                    <w:t>季</w:t>
                  </w:r>
                </w:p>
              </w:tc>
              <w:tc>
                <w:tcPr>
                  <w:tcW w:w="459" w:type="dxa"/>
                  <w:shd w:val="clear" w:color="auto" w:fill="auto"/>
                  <w:tcMar>
                    <w:top w:w="15" w:type="dxa"/>
                    <w:left w:w="15" w:type="dxa"/>
                    <w:bottom w:w="0" w:type="dxa"/>
                    <w:right w:w="15" w:type="dxa"/>
                  </w:tcMar>
                  <w:vAlign w:val="center"/>
                </w:tcPr>
                <w:p w14:paraId="487D9AB2"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Pr>
                      <w:rFonts w:hint="eastAsia"/>
                      <w:spacing w:val="0"/>
                      <w:kern w:val="2"/>
                      <w:sz w:val="10"/>
                      <w:szCs w:val="10"/>
                      <w:lang w:val="en-GB"/>
                    </w:rPr>
                    <w:t>第四</w:t>
                  </w:r>
                  <w:r w:rsidRPr="008027AE">
                    <w:rPr>
                      <w:rFonts w:hint="eastAsia"/>
                      <w:spacing w:val="0"/>
                      <w:kern w:val="2"/>
                      <w:sz w:val="10"/>
                      <w:szCs w:val="10"/>
                      <w:lang w:val="en-GB"/>
                    </w:rPr>
                    <w:t>季</w:t>
                  </w:r>
                </w:p>
              </w:tc>
              <w:tc>
                <w:tcPr>
                  <w:tcW w:w="394" w:type="dxa"/>
                  <w:shd w:val="clear" w:color="auto" w:fill="auto"/>
                  <w:tcMar>
                    <w:top w:w="15" w:type="dxa"/>
                    <w:left w:w="15" w:type="dxa"/>
                    <w:bottom w:w="0" w:type="dxa"/>
                    <w:right w:w="15" w:type="dxa"/>
                  </w:tcMar>
                  <w:vAlign w:val="center"/>
                </w:tcPr>
                <w:p w14:paraId="15A4761C"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第一季</w:t>
                  </w:r>
                </w:p>
              </w:tc>
              <w:tc>
                <w:tcPr>
                  <w:tcW w:w="425" w:type="dxa"/>
                  <w:vAlign w:val="center"/>
                </w:tcPr>
                <w:p w14:paraId="6153C2AC"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第二季</w:t>
                  </w:r>
                </w:p>
              </w:tc>
              <w:tc>
                <w:tcPr>
                  <w:tcW w:w="426" w:type="dxa"/>
                  <w:vAlign w:val="center"/>
                </w:tcPr>
                <w:p w14:paraId="65602AA8"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Pr>
                      <w:rFonts w:hint="eastAsia"/>
                      <w:spacing w:val="0"/>
                      <w:kern w:val="2"/>
                      <w:sz w:val="10"/>
                      <w:szCs w:val="10"/>
                      <w:lang w:val="en-GB"/>
                    </w:rPr>
                    <w:t>第三季</w:t>
                  </w:r>
                </w:p>
              </w:tc>
            </w:tr>
            <w:tr w:rsidR="00FB5206" w:rsidRPr="008027AE" w14:paraId="21A996D8" w14:textId="77777777" w:rsidTr="002F4FC1">
              <w:trPr>
                <w:trHeight w:val="254"/>
              </w:trPr>
              <w:tc>
                <w:tcPr>
                  <w:tcW w:w="1868" w:type="dxa"/>
                  <w:shd w:val="clear" w:color="auto" w:fill="auto"/>
                  <w:tcMar>
                    <w:top w:w="15" w:type="dxa"/>
                    <w:left w:w="15" w:type="dxa"/>
                    <w:bottom w:w="0" w:type="dxa"/>
                    <w:right w:w="15" w:type="dxa"/>
                  </w:tcMar>
                  <w:vAlign w:val="center"/>
                </w:tcPr>
                <w:p w14:paraId="0C9BAB36"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4B03E36D"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+7</w:t>
                  </w:r>
                </w:p>
              </w:tc>
              <w:tc>
                <w:tcPr>
                  <w:tcW w:w="426" w:type="dxa"/>
                  <w:shd w:val="clear" w:color="auto" w:fill="auto"/>
                  <w:tcMar>
                    <w:top w:w="15" w:type="dxa"/>
                    <w:left w:w="15" w:type="dxa"/>
                    <w:bottom w:w="0" w:type="dxa"/>
                    <w:right w:w="15" w:type="dxa"/>
                  </w:tcMar>
                  <w:vAlign w:val="center"/>
                </w:tcPr>
                <w:p w14:paraId="6F3897E6"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+13</w:t>
                  </w:r>
                </w:p>
              </w:tc>
              <w:tc>
                <w:tcPr>
                  <w:tcW w:w="459" w:type="dxa"/>
                  <w:shd w:val="clear" w:color="auto" w:fill="auto"/>
                  <w:tcMar>
                    <w:top w:w="15" w:type="dxa"/>
                    <w:left w:w="15" w:type="dxa"/>
                    <w:bottom w:w="0" w:type="dxa"/>
                    <w:right w:w="15" w:type="dxa"/>
                  </w:tcMar>
                  <w:vAlign w:val="center"/>
                </w:tcPr>
                <w:p w14:paraId="69284172"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c>
                <w:tcPr>
                  <w:tcW w:w="394" w:type="dxa"/>
                  <w:shd w:val="clear" w:color="auto" w:fill="auto"/>
                  <w:tcMar>
                    <w:top w:w="15" w:type="dxa"/>
                    <w:left w:w="15" w:type="dxa"/>
                    <w:bottom w:w="0" w:type="dxa"/>
                    <w:right w:w="15" w:type="dxa"/>
                  </w:tcMar>
                  <w:vAlign w:val="center"/>
                </w:tcPr>
                <w:p w14:paraId="4863AC06"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+4</w:t>
                  </w:r>
                </w:p>
              </w:tc>
              <w:tc>
                <w:tcPr>
                  <w:tcW w:w="425" w:type="dxa"/>
                  <w:vAlign w:val="center"/>
                </w:tcPr>
                <w:p w14:paraId="32CB3474"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-2</w:t>
                  </w:r>
                </w:p>
              </w:tc>
              <w:tc>
                <w:tcPr>
                  <w:tcW w:w="426" w:type="dxa"/>
                  <w:vAlign w:val="center"/>
                </w:tcPr>
                <w:p w14:paraId="38A80A8D"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+4</w:t>
                  </w:r>
                </w:p>
              </w:tc>
            </w:tr>
            <w:tr w:rsidR="00FB5206" w:rsidRPr="008027AE" w14:paraId="4D92B07E" w14:textId="77777777" w:rsidTr="002F4FC1">
              <w:trPr>
                <w:trHeight w:val="254"/>
              </w:trPr>
              <w:tc>
                <w:tcPr>
                  <w:tcW w:w="1868" w:type="dxa"/>
                  <w:shd w:val="clear" w:color="auto" w:fill="auto"/>
                  <w:tcMar>
                    <w:top w:w="15" w:type="dxa"/>
                    <w:left w:w="15" w:type="dxa"/>
                    <w:bottom w:w="0" w:type="dxa"/>
                    <w:right w:w="15" w:type="dxa"/>
                  </w:tcMar>
                  <w:vAlign w:val="center"/>
                </w:tcPr>
                <w:p w14:paraId="020CAB39"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3B115983"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+11</w:t>
                  </w:r>
                </w:p>
              </w:tc>
              <w:tc>
                <w:tcPr>
                  <w:tcW w:w="426" w:type="dxa"/>
                  <w:shd w:val="clear" w:color="auto" w:fill="auto"/>
                  <w:tcMar>
                    <w:top w:w="15" w:type="dxa"/>
                    <w:left w:w="15" w:type="dxa"/>
                    <w:bottom w:w="0" w:type="dxa"/>
                    <w:right w:w="15" w:type="dxa"/>
                  </w:tcMar>
                  <w:vAlign w:val="center"/>
                </w:tcPr>
                <w:p w14:paraId="23A3CC16"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c>
                <w:tcPr>
                  <w:tcW w:w="459" w:type="dxa"/>
                  <w:shd w:val="clear" w:color="auto" w:fill="auto"/>
                  <w:tcMar>
                    <w:top w:w="15" w:type="dxa"/>
                    <w:left w:w="15" w:type="dxa"/>
                    <w:bottom w:w="0" w:type="dxa"/>
                    <w:right w:w="15" w:type="dxa"/>
                  </w:tcMar>
                  <w:vAlign w:val="center"/>
                </w:tcPr>
                <w:p w14:paraId="5DD93C23"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-7</w:t>
                  </w:r>
                </w:p>
              </w:tc>
              <w:tc>
                <w:tcPr>
                  <w:tcW w:w="394" w:type="dxa"/>
                  <w:shd w:val="clear" w:color="auto" w:fill="auto"/>
                  <w:tcMar>
                    <w:top w:w="15" w:type="dxa"/>
                    <w:left w:w="15" w:type="dxa"/>
                    <w:bottom w:w="0" w:type="dxa"/>
                    <w:right w:w="15" w:type="dxa"/>
                  </w:tcMar>
                  <w:vAlign w:val="center"/>
                </w:tcPr>
                <w:p w14:paraId="71E4E3E0"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-12</w:t>
                  </w:r>
                </w:p>
              </w:tc>
              <w:tc>
                <w:tcPr>
                  <w:tcW w:w="425" w:type="dxa"/>
                  <w:vAlign w:val="center"/>
                </w:tcPr>
                <w:p w14:paraId="75070E6B"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-12</w:t>
                  </w:r>
                </w:p>
              </w:tc>
              <w:tc>
                <w:tcPr>
                  <w:tcW w:w="426" w:type="dxa"/>
                  <w:vAlign w:val="center"/>
                </w:tcPr>
                <w:p w14:paraId="2AC11D6D"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-6</w:t>
                  </w:r>
                </w:p>
              </w:tc>
            </w:tr>
            <w:tr w:rsidR="00FB5206" w:rsidRPr="008027AE" w14:paraId="1B681C4B" w14:textId="77777777" w:rsidTr="002F4FC1">
              <w:trPr>
                <w:trHeight w:val="254"/>
              </w:trPr>
              <w:tc>
                <w:tcPr>
                  <w:tcW w:w="1868" w:type="dxa"/>
                  <w:shd w:val="clear" w:color="auto" w:fill="auto"/>
                  <w:tcMar>
                    <w:top w:w="15" w:type="dxa"/>
                    <w:left w:w="15" w:type="dxa"/>
                    <w:bottom w:w="0" w:type="dxa"/>
                    <w:right w:w="15" w:type="dxa"/>
                  </w:tcMar>
                  <w:vAlign w:val="center"/>
                  <w:hideMark/>
                </w:tcPr>
                <w:p w14:paraId="0F89C012"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329A3467"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w:t>
                  </w:r>
                </w:p>
              </w:tc>
              <w:tc>
                <w:tcPr>
                  <w:tcW w:w="426" w:type="dxa"/>
                  <w:shd w:val="clear" w:color="auto" w:fill="auto"/>
                  <w:tcMar>
                    <w:top w:w="15" w:type="dxa"/>
                    <w:left w:w="15" w:type="dxa"/>
                    <w:bottom w:w="0" w:type="dxa"/>
                    <w:right w:w="15" w:type="dxa"/>
                  </w:tcMar>
                  <w:vAlign w:val="center"/>
                </w:tcPr>
                <w:p w14:paraId="60D9204B"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0</w:t>
                  </w:r>
                </w:p>
              </w:tc>
              <w:tc>
                <w:tcPr>
                  <w:tcW w:w="459" w:type="dxa"/>
                  <w:shd w:val="clear" w:color="auto" w:fill="auto"/>
                  <w:tcMar>
                    <w:top w:w="15" w:type="dxa"/>
                    <w:left w:w="15" w:type="dxa"/>
                    <w:bottom w:w="0" w:type="dxa"/>
                    <w:right w:w="15" w:type="dxa"/>
                  </w:tcMar>
                  <w:vAlign w:val="center"/>
                </w:tcPr>
                <w:p w14:paraId="04B8C507"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+4</w:t>
                  </w:r>
                </w:p>
              </w:tc>
              <w:tc>
                <w:tcPr>
                  <w:tcW w:w="394" w:type="dxa"/>
                  <w:shd w:val="clear" w:color="auto" w:fill="auto"/>
                  <w:tcMar>
                    <w:top w:w="15" w:type="dxa"/>
                    <w:left w:w="15" w:type="dxa"/>
                    <w:bottom w:w="0" w:type="dxa"/>
                    <w:right w:w="15" w:type="dxa"/>
                  </w:tcMar>
                  <w:vAlign w:val="center"/>
                </w:tcPr>
                <w:p w14:paraId="3F6B409C"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-4</w:t>
                  </w:r>
                </w:p>
              </w:tc>
              <w:tc>
                <w:tcPr>
                  <w:tcW w:w="425" w:type="dxa"/>
                  <w:vAlign w:val="center"/>
                </w:tcPr>
                <w:p w14:paraId="109A7AD0"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w:t>
                  </w:r>
                </w:p>
              </w:tc>
              <w:tc>
                <w:tcPr>
                  <w:tcW w:w="426" w:type="dxa"/>
                  <w:vAlign w:val="center"/>
                </w:tcPr>
                <w:p w14:paraId="116644BF"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-6</w:t>
                  </w:r>
                </w:p>
              </w:tc>
            </w:tr>
            <w:tr w:rsidR="00FB5206" w:rsidRPr="008027AE" w14:paraId="4DDF4797" w14:textId="77777777" w:rsidTr="002F4FC1">
              <w:trPr>
                <w:trHeight w:val="254"/>
              </w:trPr>
              <w:tc>
                <w:tcPr>
                  <w:tcW w:w="1868" w:type="dxa"/>
                  <w:shd w:val="clear" w:color="auto" w:fill="auto"/>
                  <w:tcMar>
                    <w:top w:w="15" w:type="dxa"/>
                    <w:left w:w="15" w:type="dxa"/>
                    <w:bottom w:w="0" w:type="dxa"/>
                    <w:right w:w="15" w:type="dxa"/>
                  </w:tcMar>
                  <w:vAlign w:val="center"/>
                  <w:hideMark/>
                </w:tcPr>
                <w:p w14:paraId="041238F9"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4A20661F"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+6</w:t>
                  </w:r>
                </w:p>
              </w:tc>
              <w:tc>
                <w:tcPr>
                  <w:tcW w:w="426" w:type="dxa"/>
                  <w:shd w:val="clear" w:color="auto" w:fill="auto"/>
                  <w:tcMar>
                    <w:top w:w="15" w:type="dxa"/>
                    <w:left w:w="15" w:type="dxa"/>
                    <w:bottom w:w="0" w:type="dxa"/>
                    <w:right w:w="15" w:type="dxa"/>
                  </w:tcMar>
                  <w:vAlign w:val="center"/>
                </w:tcPr>
                <w:p w14:paraId="57FA9FE8"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c>
                <w:tcPr>
                  <w:tcW w:w="459" w:type="dxa"/>
                  <w:shd w:val="clear" w:color="auto" w:fill="auto"/>
                  <w:tcMar>
                    <w:top w:w="15" w:type="dxa"/>
                    <w:left w:w="15" w:type="dxa"/>
                    <w:bottom w:w="0" w:type="dxa"/>
                    <w:right w:w="15" w:type="dxa"/>
                  </w:tcMar>
                  <w:vAlign w:val="center"/>
                </w:tcPr>
                <w:p w14:paraId="44D56FA8"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+2</w:t>
                  </w:r>
                </w:p>
              </w:tc>
              <w:tc>
                <w:tcPr>
                  <w:tcW w:w="394" w:type="dxa"/>
                  <w:shd w:val="clear" w:color="auto" w:fill="auto"/>
                  <w:tcMar>
                    <w:top w:w="15" w:type="dxa"/>
                    <w:left w:w="15" w:type="dxa"/>
                    <w:bottom w:w="0" w:type="dxa"/>
                    <w:right w:w="15" w:type="dxa"/>
                  </w:tcMar>
                  <w:vAlign w:val="center"/>
                </w:tcPr>
                <w:p w14:paraId="4B295AD8"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0</w:t>
                  </w:r>
                </w:p>
              </w:tc>
              <w:tc>
                <w:tcPr>
                  <w:tcW w:w="425" w:type="dxa"/>
                  <w:vAlign w:val="center"/>
                </w:tcPr>
                <w:p w14:paraId="0C8EF001"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w:t>
                  </w:r>
                </w:p>
              </w:tc>
              <w:tc>
                <w:tcPr>
                  <w:tcW w:w="426" w:type="dxa"/>
                  <w:vAlign w:val="center"/>
                </w:tcPr>
                <w:p w14:paraId="629A208A"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0</w:t>
                  </w:r>
                </w:p>
              </w:tc>
            </w:tr>
            <w:tr w:rsidR="00FB5206" w:rsidRPr="008027AE" w14:paraId="66D0CEB4" w14:textId="77777777" w:rsidTr="002F4FC1">
              <w:trPr>
                <w:trHeight w:val="254"/>
              </w:trPr>
              <w:tc>
                <w:tcPr>
                  <w:tcW w:w="1868" w:type="dxa"/>
                  <w:shd w:val="clear" w:color="auto" w:fill="auto"/>
                  <w:tcMar>
                    <w:top w:w="15" w:type="dxa"/>
                    <w:left w:w="15" w:type="dxa"/>
                    <w:bottom w:w="0" w:type="dxa"/>
                    <w:right w:w="15" w:type="dxa"/>
                  </w:tcMar>
                  <w:vAlign w:val="center"/>
                  <w:hideMark/>
                </w:tcPr>
                <w:p w14:paraId="09CA568F"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3267523D"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+11</w:t>
                  </w:r>
                </w:p>
              </w:tc>
              <w:tc>
                <w:tcPr>
                  <w:tcW w:w="426" w:type="dxa"/>
                  <w:shd w:val="clear" w:color="auto" w:fill="auto"/>
                  <w:tcMar>
                    <w:top w:w="15" w:type="dxa"/>
                    <w:left w:w="15" w:type="dxa"/>
                    <w:bottom w:w="0" w:type="dxa"/>
                    <w:right w:w="15" w:type="dxa"/>
                  </w:tcMar>
                  <w:vAlign w:val="center"/>
                </w:tcPr>
                <w:p w14:paraId="40CAC108"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+4</w:t>
                  </w:r>
                </w:p>
              </w:tc>
              <w:tc>
                <w:tcPr>
                  <w:tcW w:w="459" w:type="dxa"/>
                  <w:shd w:val="clear" w:color="auto" w:fill="auto"/>
                  <w:tcMar>
                    <w:top w:w="15" w:type="dxa"/>
                    <w:left w:w="15" w:type="dxa"/>
                    <w:bottom w:w="0" w:type="dxa"/>
                    <w:right w:w="15" w:type="dxa"/>
                  </w:tcMar>
                  <w:vAlign w:val="center"/>
                </w:tcPr>
                <w:p w14:paraId="3D5C25B3"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-7</w:t>
                  </w:r>
                </w:p>
              </w:tc>
              <w:tc>
                <w:tcPr>
                  <w:tcW w:w="394" w:type="dxa"/>
                  <w:shd w:val="clear" w:color="auto" w:fill="auto"/>
                  <w:tcMar>
                    <w:top w:w="15" w:type="dxa"/>
                    <w:left w:w="15" w:type="dxa"/>
                    <w:bottom w:w="0" w:type="dxa"/>
                    <w:right w:w="15" w:type="dxa"/>
                  </w:tcMar>
                  <w:vAlign w:val="center"/>
                </w:tcPr>
                <w:p w14:paraId="131F1D0C"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-5</w:t>
                  </w:r>
                </w:p>
              </w:tc>
              <w:tc>
                <w:tcPr>
                  <w:tcW w:w="425" w:type="dxa"/>
                  <w:vAlign w:val="center"/>
                </w:tcPr>
                <w:p w14:paraId="2BAA00BF"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-22</w:t>
                  </w:r>
                </w:p>
              </w:tc>
              <w:tc>
                <w:tcPr>
                  <w:tcW w:w="426" w:type="dxa"/>
                  <w:vAlign w:val="center"/>
                </w:tcPr>
                <w:p w14:paraId="33EB5962"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-7</w:t>
                  </w:r>
                </w:p>
              </w:tc>
            </w:tr>
            <w:tr w:rsidR="00FB5206" w:rsidRPr="008027AE" w14:paraId="2D7DEA6E" w14:textId="77777777" w:rsidTr="002F4FC1">
              <w:trPr>
                <w:trHeight w:val="254"/>
              </w:trPr>
              <w:tc>
                <w:tcPr>
                  <w:tcW w:w="1868" w:type="dxa"/>
                  <w:shd w:val="clear" w:color="auto" w:fill="auto"/>
                  <w:tcMar>
                    <w:top w:w="15" w:type="dxa"/>
                    <w:left w:w="15" w:type="dxa"/>
                    <w:bottom w:w="0" w:type="dxa"/>
                    <w:right w:w="15" w:type="dxa"/>
                  </w:tcMar>
                  <w:vAlign w:val="center"/>
                  <w:hideMark/>
                </w:tcPr>
                <w:p w14:paraId="7396C1E1"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運輸、倉庫及速遞服務業</w:t>
                  </w:r>
                </w:p>
              </w:tc>
              <w:tc>
                <w:tcPr>
                  <w:tcW w:w="425" w:type="dxa"/>
                  <w:shd w:val="clear" w:color="auto" w:fill="auto"/>
                  <w:tcMar>
                    <w:top w:w="15" w:type="dxa"/>
                    <w:left w:w="15" w:type="dxa"/>
                    <w:bottom w:w="0" w:type="dxa"/>
                    <w:right w:w="15" w:type="dxa"/>
                  </w:tcMar>
                  <w:vAlign w:val="center"/>
                </w:tcPr>
                <w:p w14:paraId="7998C38E"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+9</w:t>
                  </w:r>
                </w:p>
              </w:tc>
              <w:tc>
                <w:tcPr>
                  <w:tcW w:w="426" w:type="dxa"/>
                  <w:shd w:val="clear" w:color="auto" w:fill="auto"/>
                  <w:tcMar>
                    <w:top w:w="15" w:type="dxa"/>
                    <w:left w:w="15" w:type="dxa"/>
                    <w:bottom w:w="0" w:type="dxa"/>
                    <w:right w:w="15" w:type="dxa"/>
                  </w:tcMar>
                  <w:vAlign w:val="center"/>
                </w:tcPr>
                <w:p w14:paraId="7493114C"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+9</w:t>
                  </w:r>
                </w:p>
              </w:tc>
              <w:tc>
                <w:tcPr>
                  <w:tcW w:w="459" w:type="dxa"/>
                  <w:shd w:val="clear" w:color="auto" w:fill="auto"/>
                  <w:tcMar>
                    <w:top w:w="15" w:type="dxa"/>
                    <w:left w:w="15" w:type="dxa"/>
                    <w:bottom w:w="0" w:type="dxa"/>
                    <w:right w:w="15" w:type="dxa"/>
                  </w:tcMar>
                  <w:vAlign w:val="center"/>
                </w:tcPr>
                <w:p w14:paraId="490B9468"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+10</w:t>
                  </w:r>
                </w:p>
              </w:tc>
              <w:tc>
                <w:tcPr>
                  <w:tcW w:w="394" w:type="dxa"/>
                  <w:shd w:val="clear" w:color="auto" w:fill="auto"/>
                  <w:tcMar>
                    <w:top w:w="15" w:type="dxa"/>
                    <w:left w:w="15" w:type="dxa"/>
                    <w:bottom w:w="0" w:type="dxa"/>
                    <w:right w:w="15" w:type="dxa"/>
                  </w:tcMar>
                  <w:vAlign w:val="center"/>
                </w:tcPr>
                <w:p w14:paraId="5C49471A"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-2</w:t>
                  </w:r>
                </w:p>
              </w:tc>
              <w:tc>
                <w:tcPr>
                  <w:tcW w:w="425" w:type="dxa"/>
                  <w:vAlign w:val="center"/>
                </w:tcPr>
                <w:p w14:paraId="02398AD0"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+6</w:t>
                  </w:r>
                </w:p>
              </w:tc>
              <w:tc>
                <w:tcPr>
                  <w:tcW w:w="426" w:type="dxa"/>
                  <w:vAlign w:val="center"/>
                </w:tcPr>
                <w:p w14:paraId="748F0349"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+9</w:t>
                  </w:r>
                </w:p>
              </w:tc>
            </w:tr>
            <w:tr w:rsidR="00FB5206" w:rsidRPr="008027AE" w14:paraId="7E623306" w14:textId="77777777" w:rsidTr="002F4FC1">
              <w:trPr>
                <w:trHeight w:val="254"/>
              </w:trPr>
              <w:tc>
                <w:tcPr>
                  <w:tcW w:w="1868" w:type="dxa"/>
                  <w:shd w:val="clear" w:color="auto" w:fill="auto"/>
                  <w:tcMar>
                    <w:top w:w="15" w:type="dxa"/>
                    <w:left w:w="15" w:type="dxa"/>
                    <w:bottom w:w="0" w:type="dxa"/>
                    <w:right w:w="15" w:type="dxa"/>
                  </w:tcMar>
                  <w:vAlign w:val="center"/>
                  <w:hideMark/>
                </w:tcPr>
                <w:p w14:paraId="52973F86"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0F6CCF0D"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-15</w:t>
                  </w:r>
                </w:p>
              </w:tc>
              <w:tc>
                <w:tcPr>
                  <w:tcW w:w="426" w:type="dxa"/>
                  <w:shd w:val="clear" w:color="auto" w:fill="auto"/>
                  <w:tcMar>
                    <w:top w:w="15" w:type="dxa"/>
                    <w:left w:w="15" w:type="dxa"/>
                    <w:bottom w:w="0" w:type="dxa"/>
                    <w:right w:w="15" w:type="dxa"/>
                  </w:tcMar>
                  <w:vAlign w:val="center"/>
                </w:tcPr>
                <w:p w14:paraId="5C4FD141"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-8</w:t>
                  </w:r>
                </w:p>
              </w:tc>
              <w:tc>
                <w:tcPr>
                  <w:tcW w:w="459" w:type="dxa"/>
                  <w:shd w:val="clear" w:color="auto" w:fill="auto"/>
                  <w:tcMar>
                    <w:top w:w="15" w:type="dxa"/>
                    <w:left w:w="15" w:type="dxa"/>
                    <w:bottom w:w="0" w:type="dxa"/>
                    <w:right w:w="15" w:type="dxa"/>
                  </w:tcMar>
                  <w:vAlign w:val="center"/>
                </w:tcPr>
                <w:p w14:paraId="7D1B98E8"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-4</w:t>
                  </w:r>
                </w:p>
              </w:tc>
              <w:tc>
                <w:tcPr>
                  <w:tcW w:w="394" w:type="dxa"/>
                  <w:shd w:val="clear" w:color="auto" w:fill="auto"/>
                  <w:tcMar>
                    <w:top w:w="15" w:type="dxa"/>
                    <w:left w:w="15" w:type="dxa"/>
                    <w:bottom w:w="0" w:type="dxa"/>
                    <w:right w:w="15" w:type="dxa"/>
                  </w:tcMar>
                  <w:vAlign w:val="center"/>
                </w:tcPr>
                <w:p w14:paraId="26C5E482"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-7</w:t>
                  </w:r>
                </w:p>
              </w:tc>
              <w:tc>
                <w:tcPr>
                  <w:tcW w:w="425" w:type="dxa"/>
                  <w:vAlign w:val="center"/>
                </w:tcPr>
                <w:p w14:paraId="10DC1C2E"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c>
                <w:tcPr>
                  <w:tcW w:w="426" w:type="dxa"/>
                  <w:vAlign w:val="center"/>
                </w:tcPr>
                <w:p w14:paraId="6731D917"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-13</w:t>
                  </w:r>
                </w:p>
              </w:tc>
            </w:tr>
            <w:tr w:rsidR="00FB5206" w:rsidRPr="008027AE" w14:paraId="7486589F" w14:textId="77777777" w:rsidTr="002F4FC1">
              <w:trPr>
                <w:trHeight w:val="254"/>
              </w:trPr>
              <w:tc>
                <w:tcPr>
                  <w:tcW w:w="1868" w:type="dxa"/>
                  <w:shd w:val="clear" w:color="auto" w:fill="auto"/>
                  <w:tcMar>
                    <w:top w:w="15" w:type="dxa"/>
                    <w:left w:w="15" w:type="dxa"/>
                    <w:bottom w:w="0" w:type="dxa"/>
                    <w:right w:w="15" w:type="dxa"/>
                  </w:tcMar>
                  <w:vAlign w:val="center"/>
                </w:tcPr>
                <w:p w14:paraId="184C6E0F"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4726F91C"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+12</w:t>
                  </w:r>
                </w:p>
              </w:tc>
              <w:tc>
                <w:tcPr>
                  <w:tcW w:w="426" w:type="dxa"/>
                  <w:shd w:val="clear" w:color="auto" w:fill="auto"/>
                  <w:tcMar>
                    <w:top w:w="15" w:type="dxa"/>
                    <w:left w:w="15" w:type="dxa"/>
                    <w:bottom w:w="0" w:type="dxa"/>
                    <w:right w:w="15" w:type="dxa"/>
                  </w:tcMar>
                  <w:vAlign w:val="center"/>
                </w:tcPr>
                <w:p w14:paraId="3D2F81D6"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+7</w:t>
                  </w:r>
                </w:p>
              </w:tc>
              <w:tc>
                <w:tcPr>
                  <w:tcW w:w="459" w:type="dxa"/>
                  <w:shd w:val="clear" w:color="auto" w:fill="auto"/>
                  <w:tcMar>
                    <w:top w:w="15" w:type="dxa"/>
                    <w:left w:w="15" w:type="dxa"/>
                    <w:bottom w:w="0" w:type="dxa"/>
                    <w:right w:w="15" w:type="dxa"/>
                  </w:tcMar>
                  <w:vAlign w:val="center"/>
                </w:tcPr>
                <w:p w14:paraId="6294C056"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+5</w:t>
                  </w:r>
                </w:p>
              </w:tc>
              <w:tc>
                <w:tcPr>
                  <w:tcW w:w="394" w:type="dxa"/>
                  <w:shd w:val="clear" w:color="auto" w:fill="auto"/>
                  <w:tcMar>
                    <w:top w:w="15" w:type="dxa"/>
                    <w:left w:w="15" w:type="dxa"/>
                    <w:bottom w:w="0" w:type="dxa"/>
                    <w:right w:w="15" w:type="dxa"/>
                  </w:tcMar>
                  <w:vAlign w:val="center"/>
                </w:tcPr>
                <w:p w14:paraId="7FA39C06"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+9</w:t>
                  </w:r>
                </w:p>
              </w:tc>
              <w:tc>
                <w:tcPr>
                  <w:tcW w:w="425" w:type="dxa"/>
                  <w:vAlign w:val="center"/>
                </w:tcPr>
                <w:p w14:paraId="42A58AE4"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+6</w:t>
                  </w:r>
                </w:p>
              </w:tc>
              <w:tc>
                <w:tcPr>
                  <w:tcW w:w="426" w:type="dxa"/>
                  <w:vAlign w:val="center"/>
                </w:tcPr>
                <w:p w14:paraId="63CE1847"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+4</w:t>
                  </w:r>
                </w:p>
              </w:tc>
            </w:tr>
            <w:tr w:rsidR="00FB5206" w:rsidRPr="008027AE" w14:paraId="0020D6B4" w14:textId="77777777" w:rsidTr="002F4FC1">
              <w:trPr>
                <w:trHeight w:val="254"/>
              </w:trPr>
              <w:tc>
                <w:tcPr>
                  <w:tcW w:w="1868" w:type="dxa"/>
                  <w:shd w:val="clear" w:color="auto" w:fill="auto"/>
                  <w:tcMar>
                    <w:top w:w="15" w:type="dxa"/>
                    <w:left w:w="15" w:type="dxa"/>
                    <w:bottom w:w="0" w:type="dxa"/>
                    <w:right w:w="15" w:type="dxa"/>
                  </w:tcMar>
                  <w:vAlign w:val="center"/>
                  <w:hideMark/>
                </w:tcPr>
                <w:p w14:paraId="6102BD20"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411E6E16"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+15</w:t>
                  </w:r>
                </w:p>
              </w:tc>
              <w:tc>
                <w:tcPr>
                  <w:tcW w:w="426" w:type="dxa"/>
                  <w:shd w:val="clear" w:color="auto" w:fill="auto"/>
                  <w:tcMar>
                    <w:top w:w="15" w:type="dxa"/>
                    <w:left w:w="15" w:type="dxa"/>
                    <w:bottom w:w="0" w:type="dxa"/>
                    <w:right w:w="15" w:type="dxa"/>
                  </w:tcMar>
                  <w:vAlign w:val="center"/>
                </w:tcPr>
                <w:p w14:paraId="47720654"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+9</w:t>
                  </w:r>
                </w:p>
              </w:tc>
              <w:tc>
                <w:tcPr>
                  <w:tcW w:w="459" w:type="dxa"/>
                  <w:shd w:val="clear" w:color="auto" w:fill="auto"/>
                  <w:tcMar>
                    <w:top w:w="15" w:type="dxa"/>
                    <w:left w:w="15" w:type="dxa"/>
                    <w:bottom w:w="0" w:type="dxa"/>
                    <w:right w:w="15" w:type="dxa"/>
                  </w:tcMar>
                  <w:vAlign w:val="center"/>
                </w:tcPr>
                <w:p w14:paraId="7C69912A"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+9</w:t>
                  </w:r>
                </w:p>
              </w:tc>
              <w:tc>
                <w:tcPr>
                  <w:tcW w:w="394" w:type="dxa"/>
                  <w:shd w:val="clear" w:color="auto" w:fill="auto"/>
                  <w:tcMar>
                    <w:top w:w="15" w:type="dxa"/>
                    <w:left w:w="15" w:type="dxa"/>
                    <w:bottom w:w="0" w:type="dxa"/>
                    <w:right w:w="15" w:type="dxa"/>
                  </w:tcMar>
                  <w:vAlign w:val="center"/>
                </w:tcPr>
                <w:p w14:paraId="78F2F17D"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w:t>
                  </w:r>
                </w:p>
              </w:tc>
              <w:tc>
                <w:tcPr>
                  <w:tcW w:w="425" w:type="dxa"/>
                  <w:vAlign w:val="center"/>
                </w:tcPr>
                <w:p w14:paraId="1B2744B8"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+15</w:t>
                  </w:r>
                </w:p>
              </w:tc>
              <w:tc>
                <w:tcPr>
                  <w:tcW w:w="426" w:type="dxa"/>
                  <w:vAlign w:val="center"/>
                </w:tcPr>
                <w:p w14:paraId="4C840782"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+10</w:t>
                  </w:r>
                </w:p>
              </w:tc>
            </w:tr>
            <w:tr w:rsidR="00FB5206" w:rsidRPr="008027AE" w14:paraId="507BE74C" w14:textId="77777777" w:rsidTr="002F4FC1">
              <w:trPr>
                <w:trHeight w:val="254"/>
              </w:trPr>
              <w:tc>
                <w:tcPr>
                  <w:tcW w:w="1868" w:type="dxa"/>
                  <w:shd w:val="clear" w:color="auto" w:fill="auto"/>
                  <w:tcMar>
                    <w:top w:w="15" w:type="dxa"/>
                    <w:left w:w="15" w:type="dxa"/>
                    <w:bottom w:w="0" w:type="dxa"/>
                    <w:right w:w="15" w:type="dxa"/>
                  </w:tcMar>
                  <w:vAlign w:val="center"/>
                  <w:hideMark/>
                </w:tcPr>
                <w:p w14:paraId="06D96E04"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5E5E52E3"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+5</w:t>
                  </w:r>
                </w:p>
              </w:tc>
              <w:tc>
                <w:tcPr>
                  <w:tcW w:w="426" w:type="dxa"/>
                  <w:shd w:val="clear" w:color="auto" w:fill="auto"/>
                  <w:tcMar>
                    <w:top w:w="15" w:type="dxa"/>
                    <w:left w:w="15" w:type="dxa"/>
                    <w:bottom w:w="0" w:type="dxa"/>
                    <w:right w:w="15" w:type="dxa"/>
                  </w:tcMar>
                  <w:vAlign w:val="center"/>
                </w:tcPr>
                <w:p w14:paraId="639EC8F6"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c>
                <w:tcPr>
                  <w:tcW w:w="459" w:type="dxa"/>
                  <w:shd w:val="clear" w:color="auto" w:fill="auto"/>
                  <w:tcMar>
                    <w:top w:w="15" w:type="dxa"/>
                    <w:left w:w="15" w:type="dxa"/>
                    <w:bottom w:w="0" w:type="dxa"/>
                    <w:right w:w="15" w:type="dxa"/>
                  </w:tcMar>
                  <w:vAlign w:val="center"/>
                </w:tcPr>
                <w:p w14:paraId="5D90759C"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c>
                <w:tcPr>
                  <w:tcW w:w="394" w:type="dxa"/>
                  <w:shd w:val="clear" w:color="auto" w:fill="auto"/>
                  <w:tcMar>
                    <w:top w:w="15" w:type="dxa"/>
                    <w:left w:w="15" w:type="dxa"/>
                    <w:bottom w:w="0" w:type="dxa"/>
                    <w:right w:w="15" w:type="dxa"/>
                  </w:tcMar>
                  <w:vAlign w:val="center"/>
                </w:tcPr>
                <w:p w14:paraId="09FCBF43"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-5</w:t>
                  </w:r>
                </w:p>
              </w:tc>
              <w:tc>
                <w:tcPr>
                  <w:tcW w:w="425" w:type="dxa"/>
                  <w:vAlign w:val="center"/>
                </w:tcPr>
                <w:p w14:paraId="40421BCC"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c>
                <w:tcPr>
                  <w:tcW w:w="426" w:type="dxa"/>
                  <w:vAlign w:val="center"/>
                </w:tcPr>
                <w:p w14:paraId="43312C43"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-6</w:t>
                  </w:r>
                </w:p>
              </w:tc>
            </w:tr>
            <w:tr w:rsidR="00FB5206" w:rsidRPr="008027AE" w14:paraId="1D90D83A" w14:textId="77777777" w:rsidTr="002F4FC1">
              <w:trPr>
                <w:trHeight w:val="254"/>
              </w:trPr>
              <w:tc>
                <w:tcPr>
                  <w:tcW w:w="1868" w:type="dxa"/>
                  <w:shd w:val="clear" w:color="auto" w:fill="auto"/>
                  <w:tcMar>
                    <w:top w:w="15" w:type="dxa"/>
                    <w:left w:w="15" w:type="dxa"/>
                    <w:bottom w:w="0" w:type="dxa"/>
                    <w:right w:w="15" w:type="dxa"/>
                  </w:tcMar>
                  <w:vAlign w:val="center"/>
                </w:tcPr>
                <w:p w14:paraId="3C652A19"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9"/>
                      <w:szCs w:val="19"/>
                      <w:lang w:val="en-GB"/>
                    </w:rPr>
                  </w:pPr>
                  <w:r w:rsidRPr="008027AE">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100CD29B"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+7</w:t>
                  </w:r>
                </w:p>
              </w:tc>
              <w:tc>
                <w:tcPr>
                  <w:tcW w:w="426" w:type="dxa"/>
                  <w:shd w:val="clear" w:color="auto" w:fill="auto"/>
                  <w:tcMar>
                    <w:top w:w="15" w:type="dxa"/>
                    <w:left w:w="15" w:type="dxa"/>
                    <w:bottom w:w="0" w:type="dxa"/>
                    <w:right w:w="15" w:type="dxa"/>
                  </w:tcMar>
                  <w:vAlign w:val="center"/>
                </w:tcPr>
                <w:p w14:paraId="56F84FC3"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c>
                <w:tcPr>
                  <w:tcW w:w="459" w:type="dxa"/>
                  <w:shd w:val="clear" w:color="auto" w:fill="auto"/>
                  <w:tcMar>
                    <w:top w:w="15" w:type="dxa"/>
                    <w:left w:w="15" w:type="dxa"/>
                    <w:bottom w:w="0" w:type="dxa"/>
                    <w:right w:w="15" w:type="dxa"/>
                  </w:tcMar>
                  <w:vAlign w:val="center"/>
                </w:tcPr>
                <w:p w14:paraId="0F18C24F"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+1</w:t>
                  </w:r>
                </w:p>
              </w:tc>
              <w:tc>
                <w:tcPr>
                  <w:tcW w:w="394" w:type="dxa"/>
                  <w:shd w:val="clear" w:color="auto" w:fill="auto"/>
                  <w:tcMar>
                    <w:top w:w="15" w:type="dxa"/>
                    <w:left w:w="15" w:type="dxa"/>
                    <w:bottom w:w="0" w:type="dxa"/>
                    <w:right w:w="15" w:type="dxa"/>
                  </w:tcMar>
                  <w:vAlign w:val="center"/>
                </w:tcPr>
                <w:p w14:paraId="43E31BB4"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-3</w:t>
                  </w:r>
                </w:p>
              </w:tc>
              <w:tc>
                <w:tcPr>
                  <w:tcW w:w="425" w:type="dxa"/>
                  <w:vAlign w:val="center"/>
                </w:tcPr>
                <w:p w14:paraId="7AAA9B68"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-2</w:t>
                  </w:r>
                </w:p>
              </w:tc>
              <w:tc>
                <w:tcPr>
                  <w:tcW w:w="426" w:type="dxa"/>
                  <w:vAlign w:val="center"/>
                </w:tcPr>
                <w:p w14:paraId="7E18EEDF" w14:textId="77777777" w:rsidR="00FB5206" w:rsidRPr="00D0052E" w:rsidRDefault="00FB5206" w:rsidP="002F4FC1">
                  <w:pPr>
                    <w:widowControl w:val="0"/>
                    <w:tabs>
                      <w:tab w:val="clear" w:pos="936"/>
                      <w:tab w:val="clear" w:pos="1560"/>
                      <w:tab w:val="clear" w:pos="2184"/>
                      <w:tab w:val="clear" w:pos="2808"/>
                    </w:tabs>
                    <w:overflowPunct/>
                    <w:adjustRightInd/>
                    <w:snapToGrid w:val="0"/>
                    <w:spacing w:after="0" w:line="240" w:lineRule="auto"/>
                    <w:ind w:leftChars="5" w:left="15"/>
                    <w:jc w:val="center"/>
                    <w:textAlignment w:val="auto"/>
                    <w:rPr>
                      <w:rFonts w:cs="華康細明體"/>
                      <w:spacing w:val="0"/>
                      <w:kern w:val="2"/>
                      <w:sz w:val="16"/>
                      <w:szCs w:val="16"/>
                      <w:lang w:val="en-GB"/>
                    </w:rPr>
                  </w:pPr>
                  <w:r w:rsidRPr="00D0052E">
                    <w:rPr>
                      <w:rFonts w:cs="華康細明體"/>
                      <w:spacing w:val="0"/>
                      <w:kern w:val="2"/>
                      <w:sz w:val="16"/>
                      <w:szCs w:val="16"/>
                      <w:lang w:val="en-GB"/>
                    </w:rPr>
                    <w:t>-2</w:t>
                  </w:r>
                </w:p>
              </w:tc>
            </w:tr>
          </w:tbl>
          <w:p w14:paraId="58C3DC3F" w14:textId="77777777" w:rsidR="00FB5206" w:rsidRPr="008027AE" w:rsidRDefault="00FB5206" w:rsidP="002F4FC1">
            <w:pPr>
              <w:widowControl w:val="0"/>
              <w:tabs>
                <w:tab w:val="clear" w:pos="936"/>
                <w:tab w:val="clear" w:pos="1560"/>
                <w:tab w:val="clear" w:pos="2184"/>
                <w:tab w:val="clear" w:pos="2808"/>
              </w:tabs>
              <w:autoSpaceDE w:val="0"/>
              <w:autoSpaceDN w:val="0"/>
              <w:snapToGrid w:val="0"/>
              <w:spacing w:after="0" w:line="200" w:lineRule="exact"/>
              <w:ind w:leftChars="14" w:left="751" w:rightChars="14" w:right="42" w:hangingChars="443" w:hanging="709"/>
              <w:rPr>
                <w:rFonts w:eastAsia="新細明體"/>
                <w:spacing w:val="0"/>
                <w:kern w:val="2"/>
                <w:sz w:val="16"/>
                <w:szCs w:val="16"/>
                <w:lang w:val="en-GB"/>
              </w:rPr>
            </w:pPr>
          </w:p>
        </w:tc>
      </w:tr>
      <w:tr w:rsidR="00FB5206" w:rsidRPr="008027AE" w14:paraId="35DAA181" w14:textId="77777777" w:rsidTr="002F4FC1">
        <w:tc>
          <w:tcPr>
            <w:tcW w:w="817" w:type="dxa"/>
            <w:shd w:val="clear" w:color="auto" w:fill="auto"/>
          </w:tcPr>
          <w:p w14:paraId="30CA6B3C"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Lines="50" w:after="180" w:line="240" w:lineRule="auto"/>
              <w:jc w:val="center"/>
              <w:textAlignment w:val="auto"/>
              <w:rPr>
                <w:rFonts w:ascii="華康細明體" w:hAnsi="華康細明體"/>
                <w:bCs/>
                <w:spacing w:val="0"/>
                <w:kern w:val="2"/>
                <w:sz w:val="18"/>
                <w:szCs w:val="18"/>
                <w:lang w:val="en-GB"/>
              </w:rPr>
            </w:pPr>
            <w:r w:rsidRPr="008027AE">
              <w:rPr>
                <w:rFonts w:ascii="華康細明體" w:hAnsi="華康細明體"/>
                <w:spacing w:val="0"/>
                <w:kern w:val="2"/>
                <w:sz w:val="16"/>
                <w:szCs w:val="16"/>
                <w:lang w:val="en-GB"/>
              </w:rPr>
              <w:t>註：</w:t>
            </w:r>
            <w:r w:rsidRPr="008027AE">
              <w:rPr>
                <w:spacing w:val="0"/>
                <w:kern w:val="2"/>
                <w:sz w:val="16"/>
                <w:szCs w:val="16"/>
                <w:lang w:val="en-GB"/>
              </w:rPr>
              <w:t>(*)</w:t>
            </w:r>
          </w:p>
        </w:tc>
        <w:tc>
          <w:tcPr>
            <w:tcW w:w="3827" w:type="dxa"/>
            <w:shd w:val="clear" w:color="auto" w:fill="auto"/>
          </w:tcPr>
          <w:p w14:paraId="6080A999" w14:textId="77777777" w:rsidR="00FB5206" w:rsidRPr="00BE43AB" w:rsidRDefault="00FB5206" w:rsidP="002F4FC1">
            <w:pPr>
              <w:snapToGrid w:val="0"/>
              <w:spacing w:afterLines="50" w:after="180" w:line="240" w:lineRule="auto"/>
              <w:rPr>
                <w:rFonts w:ascii="華康細明體" w:hAnsi="華康細明體"/>
                <w:spacing w:val="0"/>
                <w:kern w:val="2"/>
                <w:sz w:val="16"/>
                <w:szCs w:val="16"/>
                <w:lang w:val="en-GB"/>
              </w:rPr>
            </w:pPr>
            <w:r w:rsidRPr="008027AE">
              <w:rPr>
                <w:rFonts w:ascii="華康細明體" w:hAnsi="華康細明體"/>
                <w:spacing w:val="0"/>
                <w:kern w:val="2"/>
                <w:sz w:val="16"/>
                <w:szCs w:val="16"/>
                <w:lang w:val="en-GB"/>
              </w:rPr>
              <w:t>淨差額顯示預期業務狀況與上季比較的變動方向，</w:t>
            </w:r>
            <w:r w:rsidRPr="00BE43AB">
              <w:rPr>
                <w:rFonts w:ascii="華康細明體" w:hAnsi="華康細明體"/>
                <w:spacing w:val="0"/>
                <w:kern w:val="2"/>
                <w:sz w:val="16"/>
                <w:szCs w:val="16"/>
                <w:lang w:val="en-GB"/>
              </w:rPr>
              <w:t>即機構</w:t>
            </w:r>
            <w:r w:rsidRPr="008027AE">
              <w:rPr>
                <w:rFonts w:ascii="華康細明體" w:hAnsi="華康細明體"/>
                <w:spacing w:val="0"/>
                <w:kern w:val="2"/>
                <w:sz w:val="16"/>
                <w:szCs w:val="16"/>
                <w:lang w:val="en-GB"/>
              </w:rPr>
              <w:t>單位填報「較佳」與「較差」的百分點差距。正數表示可能趨升，負數則指可能趨跌。</w:t>
            </w:r>
          </w:p>
        </w:tc>
        <w:tc>
          <w:tcPr>
            <w:tcW w:w="851" w:type="dxa"/>
            <w:shd w:val="clear" w:color="auto" w:fill="auto"/>
          </w:tcPr>
          <w:p w14:paraId="42F73364" w14:textId="77777777" w:rsidR="00FB5206" w:rsidRPr="008027AE" w:rsidRDefault="00FB5206" w:rsidP="002F4FC1">
            <w:pPr>
              <w:widowControl w:val="0"/>
              <w:tabs>
                <w:tab w:val="clear" w:pos="936"/>
                <w:tab w:val="clear" w:pos="1560"/>
                <w:tab w:val="clear" w:pos="2184"/>
                <w:tab w:val="clear" w:pos="2808"/>
              </w:tabs>
              <w:overflowPunct/>
              <w:adjustRightInd/>
              <w:snapToGrid w:val="0"/>
              <w:spacing w:afterLines="50" w:after="180" w:line="240" w:lineRule="auto"/>
              <w:ind w:leftChars="10" w:left="30"/>
              <w:jc w:val="left"/>
              <w:textAlignment w:val="auto"/>
              <w:rPr>
                <w:rFonts w:ascii="華康細明體" w:hAnsi="華康細明體"/>
                <w:bCs/>
                <w:spacing w:val="0"/>
                <w:kern w:val="2"/>
                <w:sz w:val="18"/>
                <w:szCs w:val="18"/>
                <w:lang w:val="en-GB"/>
              </w:rPr>
            </w:pPr>
            <w:r w:rsidRPr="008027AE">
              <w:rPr>
                <w:rFonts w:ascii="華康細明體" w:hAnsi="華康細明體"/>
                <w:spacing w:val="0"/>
                <w:kern w:val="2"/>
                <w:sz w:val="16"/>
                <w:szCs w:val="16"/>
                <w:lang w:val="en-GB"/>
              </w:rPr>
              <w:t>註：</w:t>
            </w:r>
            <w:r w:rsidRPr="008027AE">
              <w:rPr>
                <w:spacing w:val="0"/>
                <w:kern w:val="2"/>
                <w:sz w:val="16"/>
                <w:szCs w:val="16"/>
                <w:lang w:val="en-GB"/>
              </w:rPr>
              <w:t>(*)</w:t>
            </w:r>
          </w:p>
        </w:tc>
        <w:tc>
          <w:tcPr>
            <w:tcW w:w="3827" w:type="dxa"/>
            <w:shd w:val="clear" w:color="auto" w:fill="auto"/>
          </w:tcPr>
          <w:p w14:paraId="207B50E2" w14:textId="77777777" w:rsidR="00FB5206" w:rsidRPr="008027AE" w:rsidRDefault="00FB5206" w:rsidP="002F4FC1">
            <w:pPr>
              <w:snapToGrid w:val="0"/>
              <w:spacing w:afterLines="50" w:after="180" w:line="240" w:lineRule="auto"/>
              <w:rPr>
                <w:rFonts w:ascii="華康細明體" w:hAnsi="華康細明體"/>
                <w:bCs/>
                <w:spacing w:val="0"/>
                <w:kern w:val="2"/>
                <w:sz w:val="18"/>
                <w:szCs w:val="18"/>
                <w:lang w:val="en-GB"/>
              </w:rPr>
            </w:pPr>
            <w:r w:rsidRPr="00C13844">
              <w:rPr>
                <w:rFonts w:hint="eastAsia"/>
                <w:spacing w:val="0"/>
                <w:sz w:val="16"/>
                <w:szCs w:val="16"/>
              </w:rPr>
              <w:t>淨差額</w:t>
            </w:r>
            <w:r w:rsidRPr="008027AE">
              <w:rPr>
                <w:rFonts w:ascii="華康細明體" w:hAnsi="華康細明體" w:hint="eastAsia"/>
                <w:spacing w:val="0"/>
                <w:kern w:val="2"/>
                <w:sz w:val="16"/>
                <w:szCs w:val="16"/>
                <w:lang w:val="en-GB"/>
              </w:rPr>
              <w:t>顯示預期就業人數與上季比較的變動方向，即機構單位填報「上升」與「下降」的百分點差距。正數表示可能趨升，負數則指可能趨跌。</w:t>
            </w:r>
          </w:p>
        </w:tc>
      </w:tr>
    </w:tbl>
    <w:p w14:paraId="1F729C92" w14:textId="77777777" w:rsidR="00FB5206" w:rsidRDefault="00FB5206" w:rsidP="00FB5206">
      <w:pPr>
        <w:pStyle w:val="BOX"/>
      </w:pPr>
    </w:p>
    <w:p w14:paraId="0AED4431" w14:textId="77777777" w:rsidR="00FB5206" w:rsidRPr="00E2644F" w:rsidRDefault="00FB5206" w:rsidP="00FB5206">
      <w:pPr>
        <w:pStyle w:val="BOX"/>
      </w:pPr>
      <w:r w:rsidRPr="00E2644F">
        <w:rPr>
          <w:rFonts w:hint="eastAsia"/>
        </w:rPr>
        <w:t>中小型企業</w:t>
      </w:r>
      <w:r w:rsidRPr="00E2644F">
        <w:rPr>
          <w:rFonts w:hint="eastAsia"/>
        </w:rPr>
        <w:t>(</w:t>
      </w:r>
      <w:r w:rsidRPr="00E2644F">
        <w:rPr>
          <w:rFonts w:hint="eastAsia"/>
        </w:rPr>
        <w:t>中小企</w:t>
      </w:r>
      <w:r w:rsidRPr="00E2644F">
        <w:rPr>
          <w:rFonts w:hint="eastAsia"/>
        </w:rPr>
        <w:t>)</w:t>
      </w:r>
      <w:r w:rsidRPr="00E2644F">
        <w:rPr>
          <w:rFonts w:hint="eastAsia"/>
        </w:rPr>
        <w:t>方面，政府統計處按月編製一套動向指數</w:t>
      </w:r>
      <w:r w:rsidRPr="00E2644F">
        <w:rPr>
          <w:rFonts w:hint="eastAsia"/>
          <w:vertAlign w:val="superscript"/>
        </w:rPr>
        <w:t>(2)</w:t>
      </w:r>
      <w:r w:rsidRPr="00E2644F">
        <w:rPr>
          <w:rFonts w:hint="eastAsia"/>
        </w:rPr>
        <w:t>，以評估中小企對業務狀況的看法與上月比較的整體轉向。反映目前情況的綜合動向指數</w:t>
      </w:r>
      <w:r w:rsidRPr="00E2644F">
        <w:rPr>
          <w:rFonts w:hint="eastAsia"/>
          <w:lang w:eastAsia="zh-HK"/>
        </w:rPr>
        <w:t>在</w:t>
      </w:r>
      <w:r>
        <w:rPr>
          <w:rFonts w:hint="eastAsia"/>
          <w:lang w:eastAsia="zh-HK"/>
        </w:rPr>
        <w:t>過去數月</w:t>
      </w:r>
      <w:r>
        <w:rPr>
          <w:rFonts w:hint="eastAsia"/>
        </w:rPr>
        <w:t>在低位</w:t>
      </w:r>
      <w:r>
        <w:rPr>
          <w:rFonts w:hint="eastAsia"/>
          <w:lang w:eastAsia="zh-HK"/>
        </w:rPr>
        <w:t>表現反覆，不過最近</w:t>
      </w:r>
      <w:r>
        <w:rPr>
          <w:rFonts w:hint="eastAsia"/>
          <w:lang w:val="en-GB" w:eastAsia="zh-HK"/>
        </w:rPr>
        <w:t>在七月</w:t>
      </w:r>
      <w:r>
        <w:rPr>
          <w:rFonts w:hint="eastAsia"/>
          <w:lang w:val="en-GB"/>
        </w:rPr>
        <w:t>回升至</w:t>
      </w:r>
      <w:r>
        <w:rPr>
          <w:rFonts w:hint="eastAsia"/>
          <w:lang w:val="en-GB"/>
        </w:rPr>
        <w:t>42.1</w:t>
      </w:r>
      <w:r w:rsidRPr="00E2644F">
        <w:t>(</w:t>
      </w:r>
      <w:r w:rsidRPr="00E2644F">
        <w:rPr>
          <w:rFonts w:ascii="華康中黑體" w:eastAsia="華康中黑體" w:hAnsi="華康中黑體" w:cs="華康中黑體" w:hint="eastAsia"/>
          <w:i/>
        </w:rPr>
        <w:t>圖</w:t>
      </w:r>
      <w:r w:rsidRPr="00E2644F">
        <w:rPr>
          <w:rFonts w:eastAsia="華康中黑體"/>
          <w:i/>
          <w:spacing w:val="10"/>
        </w:rPr>
        <w:t> </w:t>
      </w:r>
      <w:r w:rsidRPr="00E2644F">
        <w:rPr>
          <w:rFonts w:hint="eastAsia"/>
          <w:b/>
          <w:i/>
        </w:rPr>
        <w:t>2</w:t>
      </w:r>
      <w:r w:rsidRPr="00E2644F">
        <w:rPr>
          <w:b/>
          <w:i/>
        </w:rPr>
        <w:t>a</w:t>
      </w:r>
      <w:r w:rsidRPr="00E2644F">
        <w:t>)</w:t>
      </w:r>
      <w:r w:rsidRPr="00E2644F">
        <w:rPr>
          <w:rFonts w:hint="eastAsia"/>
        </w:rPr>
        <w:t>。中小企就業情緒</w:t>
      </w:r>
      <w:r w:rsidRPr="00E2644F">
        <w:rPr>
          <w:rFonts w:hint="eastAsia"/>
          <w:lang w:eastAsia="zh-HK"/>
        </w:rPr>
        <w:t>在</w:t>
      </w:r>
      <w:r>
        <w:rPr>
          <w:rFonts w:hint="eastAsia"/>
          <w:lang w:eastAsia="zh-HK"/>
        </w:rPr>
        <w:t>五至七月期間</w:t>
      </w:r>
      <w:r w:rsidRPr="00E2644F">
        <w:rPr>
          <w:rFonts w:hint="eastAsia"/>
          <w:lang w:eastAsia="zh-HK"/>
        </w:rPr>
        <w:t>維持大致穩定</w:t>
      </w:r>
      <w:r w:rsidRPr="00E2644F">
        <w:rPr>
          <w:rFonts w:hint="eastAsia"/>
          <w:lang w:val="en-GB"/>
        </w:rPr>
        <w:t>。</w:t>
      </w:r>
      <w:r w:rsidRPr="00E2644F">
        <w:rPr>
          <w:rFonts w:hint="eastAsia"/>
        </w:rPr>
        <w:t>同期信貸情況維持寬鬆。</w:t>
      </w:r>
    </w:p>
    <w:p w14:paraId="4B5DB34A" w14:textId="77777777" w:rsidR="00FB5206" w:rsidRDefault="00FB5206" w:rsidP="00FB5206">
      <w:pPr>
        <w:tabs>
          <w:tab w:val="clear" w:pos="936"/>
          <w:tab w:val="clear" w:pos="1560"/>
          <w:tab w:val="clear" w:pos="2184"/>
          <w:tab w:val="clear" w:pos="2808"/>
          <w:tab w:val="left" w:pos="630"/>
        </w:tabs>
        <w:snapToGrid w:val="0"/>
        <w:spacing w:after="120" w:line="320" w:lineRule="exact"/>
        <w:ind w:left="113" w:right="113"/>
        <w:rPr>
          <w:snapToGrid w:val="0"/>
          <w:spacing w:val="20"/>
          <w:sz w:val="22"/>
          <w:lang w:val="en-GB"/>
        </w:rPr>
      </w:pPr>
      <w:r w:rsidRPr="00E2644F">
        <w:rPr>
          <w:rFonts w:hint="eastAsia"/>
          <w:snapToGrid w:val="0"/>
          <w:spacing w:val="22"/>
          <w:sz w:val="22"/>
          <w:lang w:val="en-GB"/>
        </w:rPr>
        <w:t>至於坊間其他調查，用以評估私營機構業務表現的標普全球香港採購經理指數</w:t>
      </w:r>
      <w:r w:rsidRPr="00E2644F">
        <w:rPr>
          <w:snapToGrid w:val="0"/>
          <w:spacing w:val="22"/>
          <w:sz w:val="22"/>
          <w:vertAlign w:val="superscript"/>
          <w:lang w:val="en-GB"/>
        </w:rPr>
        <w:t>(</w:t>
      </w:r>
      <w:r>
        <w:rPr>
          <w:rFonts w:hint="eastAsia"/>
          <w:snapToGrid w:val="0"/>
          <w:spacing w:val="22"/>
          <w:sz w:val="22"/>
          <w:vertAlign w:val="superscript"/>
          <w:lang w:val="en-GB"/>
        </w:rPr>
        <w:t>3</w:t>
      </w:r>
      <w:r w:rsidRPr="00E2644F">
        <w:rPr>
          <w:snapToGrid w:val="0"/>
          <w:spacing w:val="22"/>
          <w:sz w:val="22"/>
          <w:vertAlign w:val="superscript"/>
          <w:lang w:val="en-GB"/>
        </w:rPr>
        <w:t>)</w:t>
      </w:r>
      <w:r w:rsidRPr="005F7435">
        <w:rPr>
          <w:rFonts w:hint="eastAsia"/>
          <w:snapToGrid w:val="0"/>
          <w:spacing w:val="20"/>
          <w:sz w:val="22"/>
          <w:lang w:val="en-GB" w:eastAsia="zh-HK"/>
        </w:rPr>
        <w:t>在五至七月期</w:t>
      </w:r>
      <w:r w:rsidRPr="005F7435">
        <w:rPr>
          <w:rFonts w:hint="eastAsia"/>
          <w:snapToGrid w:val="0"/>
          <w:spacing w:val="20"/>
          <w:sz w:val="22"/>
          <w:lang w:val="en-GB"/>
        </w:rPr>
        <w:t>間</w:t>
      </w:r>
      <w:r>
        <w:rPr>
          <w:rFonts w:hint="eastAsia"/>
          <w:snapToGrid w:val="0"/>
          <w:spacing w:val="20"/>
          <w:sz w:val="22"/>
          <w:lang w:val="en-GB"/>
        </w:rPr>
        <w:t>在</w:t>
      </w:r>
      <w:r w:rsidRPr="00511CA7">
        <w:rPr>
          <w:rFonts w:hint="eastAsia"/>
          <w:snapToGrid w:val="0"/>
          <w:spacing w:val="20"/>
          <w:sz w:val="22"/>
          <w:lang w:val="en-GB" w:eastAsia="zh-HK"/>
        </w:rPr>
        <w:t>強弱分界線</w:t>
      </w:r>
      <w:r>
        <w:rPr>
          <w:rFonts w:hint="eastAsia"/>
          <w:snapToGrid w:val="0"/>
          <w:spacing w:val="20"/>
          <w:sz w:val="22"/>
          <w:lang w:val="en-GB" w:eastAsia="zh-HK"/>
        </w:rPr>
        <w:t>下徘徊</w:t>
      </w:r>
      <w:r>
        <w:rPr>
          <w:rFonts w:hint="eastAsia"/>
          <w:snapToGrid w:val="0"/>
          <w:spacing w:val="20"/>
          <w:sz w:val="22"/>
          <w:lang w:val="en-GB"/>
        </w:rPr>
        <w:t>，在七月略為回升至</w:t>
      </w:r>
      <w:r>
        <w:rPr>
          <w:snapToGrid w:val="0"/>
          <w:spacing w:val="20"/>
          <w:sz w:val="22"/>
          <w:lang w:val="en-GB"/>
        </w:rPr>
        <w:t>49.2</w:t>
      </w:r>
      <w:r w:rsidRPr="00E2644F">
        <w:rPr>
          <w:snapToGrid w:val="0"/>
          <w:spacing w:val="20"/>
          <w:sz w:val="22"/>
        </w:rPr>
        <w:t>(</w:t>
      </w:r>
      <w:r w:rsidRPr="00E2644F">
        <w:rPr>
          <w:rFonts w:ascii="華康中黑體" w:eastAsia="華康中黑體" w:hAnsi="華康中黑體" w:cs="華康中黑體" w:hint="eastAsia"/>
          <w:i/>
          <w:snapToGrid w:val="0"/>
          <w:spacing w:val="20"/>
          <w:sz w:val="22"/>
        </w:rPr>
        <w:t>圖</w:t>
      </w:r>
      <w:r w:rsidRPr="00E2644F">
        <w:rPr>
          <w:rFonts w:eastAsia="華康中黑體"/>
          <w:i/>
          <w:snapToGrid w:val="0"/>
          <w:spacing w:val="10"/>
          <w:sz w:val="22"/>
        </w:rPr>
        <w:t> </w:t>
      </w:r>
      <w:r w:rsidRPr="00E2644F">
        <w:rPr>
          <w:rFonts w:hint="eastAsia"/>
          <w:b/>
          <w:i/>
          <w:snapToGrid w:val="0"/>
          <w:spacing w:val="20"/>
          <w:sz w:val="22"/>
        </w:rPr>
        <w:t>2</w:t>
      </w:r>
      <w:r w:rsidRPr="00E2644F">
        <w:rPr>
          <w:b/>
          <w:i/>
          <w:snapToGrid w:val="0"/>
          <w:spacing w:val="20"/>
          <w:sz w:val="22"/>
        </w:rPr>
        <w:t>b</w:t>
      </w:r>
      <w:r w:rsidRPr="00E2644F">
        <w:rPr>
          <w:snapToGrid w:val="0"/>
          <w:spacing w:val="20"/>
          <w:sz w:val="22"/>
        </w:rPr>
        <w:t>)</w:t>
      </w:r>
      <w:r w:rsidRPr="00E2644F">
        <w:rPr>
          <w:rFonts w:hint="eastAsia"/>
          <w:snapToGrid w:val="0"/>
          <w:spacing w:val="20"/>
          <w:sz w:val="22"/>
          <w:lang w:val="en-GB" w:eastAsia="zh-HK"/>
        </w:rPr>
        <w:t>。根</w:t>
      </w:r>
      <w:r w:rsidRPr="00E2644F">
        <w:rPr>
          <w:rFonts w:hint="eastAsia"/>
          <w:snapToGrid w:val="0"/>
          <w:spacing w:val="20"/>
          <w:sz w:val="22"/>
          <w:lang w:val="en-GB"/>
        </w:rPr>
        <w:t>據</w:t>
      </w:r>
      <w:r w:rsidRPr="00E2644F">
        <w:rPr>
          <w:rFonts w:hint="eastAsia"/>
          <w:snapToGrid w:val="0"/>
          <w:spacing w:val="20"/>
          <w:sz w:val="22"/>
          <w:lang w:val="en-GB" w:eastAsia="zh-HK"/>
        </w:rPr>
        <w:t>早前在</w:t>
      </w:r>
      <w:r>
        <w:rPr>
          <w:rFonts w:hint="eastAsia"/>
          <w:snapToGrid w:val="0"/>
          <w:spacing w:val="20"/>
          <w:sz w:val="22"/>
          <w:lang w:val="en-GB" w:eastAsia="zh-HK"/>
        </w:rPr>
        <w:t>四</w:t>
      </w:r>
      <w:r w:rsidRPr="00E2644F">
        <w:rPr>
          <w:rFonts w:hint="eastAsia"/>
          <w:snapToGrid w:val="0"/>
          <w:spacing w:val="20"/>
          <w:sz w:val="22"/>
          <w:lang w:val="en-GB" w:eastAsia="zh-HK"/>
        </w:rPr>
        <w:t>月二十八日至</w:t>
      </w:r>
      <w:r>
        <w:rPr>
          <w:rFonts w:hint="eastAsia"/>
          <w:snapToGrid w:val="0"/>
          <w:spacing w:val="20"/>
          <w:sz w:val="22"/>
          <w:lang w:val="en-GB" w:eastAsia="zh-HK"/>
        </w:rPr>
        <w:t>五月十五</w:t>
      </w:r>
      <w:r w:rsidRPr="00E2644F">
        <w:rPr>
          <w:rFonts w:hint="eastAsia"/>
          <w:snapToGrid w:val="0"/>
          <w:spacing w:val="20"/>
          <w:sz w:val="22"/>
          <w:lang w:val="en-GB" w:eastAsia="zh-HK"/>
        </w:rPr>
        <w:t>日期間收</w:t>
      </w:r>
      <w:r w:rsidRPr="00E2644F">
        <w:rPr>
          <w:rFonts w:hint="eastAsia"/>
          <w:snapToGrid w:val="0"/>
          <w:spacing w:val="20"/>
          <w:sz w:val="22"/>
          <w:lang w:val="en-GB"/>
        </w:rPr>
        <w:t>集</w:t>
      </w:r>
      <w:r w:rsidRPr="00E2644F">
        <w:rPr>
          <w:rFonts w:hint="eastAsia"/>
          <w:snapToGrid w:val="0"/>
          <w:spacing w:val="20"/>
          <w:sz w:val="22"/>
          <w:lang w:val="en-GB" w:eastAsia="zh-HK"/>
        </w:rPr>
        <w:t>的資料編製而成的最新</w:t>
      </w:r>
      <w:r w:rsidRPr="00E2644F">
        <w:rPr>
          <w:rFonts w:hint="eastAsia"/>
          <w:snapToGrid w:val="0"/>
          <w:spacing w:val="20"/>
          <w:sz w:val="22"/>
          <w:lang w:val="en-GB"/>
        </w:rPr>
        <w:t>香港貿易發展局</w:t>
      </w:r>
      <w:r w:rsidRPr="00E2644F">
        <w:rPr>
          <w:rFonts w:hint="eastAsia"/>
          <w:snapToGrid w:val="0"/>
          <w:spacing w:val="20"/>
          <w:sz w:val="22"/>
          <w:lang w:val="en-GB"/>
        </w:rPr>
        <w:t>(</w:t>
      </w:r>
      <w:r w:rsidRPr="00E2644F">
        <w:rPr>
          <w:rFonts w:hint="eastAsia"/>
          <w:snapToGrid w:val="0"/>
          <w:spacing w:val="20"/>
          <w:sz w:val="22"/>
          <w:lang w:val="en-GB" w:eastAsia="zh-HK"/>
        </w:rPr>
        <w:t>香港</w:t>
      </w:r>
      <w:r w:rsidRPr="00E2644F">
        <w:rPr>
          <w:rFonts w:hint="eastAsia"/>
          <w:snapToGrid w:val="0"/>
          <w:spacing w:val="20"/>
          <w:sz w:val="22"/>
          <w:lang w:val="en-GB"/>
        </w:rPr>
        <w:t>貿發局</w:t>
      </w:r>
      <w:r w:rsidRPr="00E2644F">
        <w:rPr>
          <w:rFonts w:hint="eastAsia"/>
          <w:snapToGrid w:val="0"/>
          <w:spacing w:val="20"/>
          <w:sz w:val="22"/>
          <w:lang w:val="en-GB"/>
        </w:rPr>
        <w:t>)</w:t>
      </w:r>
      <w:r w:rsidRPr="00E2644F">
        <w:rPr>
          <w:rFonts w:hint="eastAsia"/>
          <w:snapToGrid w:val="0"/>
          <w:spacing w:val="20"/>
          <w:sz w:val="22"/>
          <w:lang w:val="en-GB"/>
        </w:rPr>
        <w:t>出口</w:t>
      </w:r>
      <w:r w:rsidRPr="00E2644F">
        <w:rPr>
          <w:rFonts w:hint="eastAsia"/>
          <w:snapToGrid w:val="0"/>
          <w:spacing w:val="20"/>
          <w:sz w:val="22"/>
          <w:lang w:val="en-GB" w:eastAsia="zh-HK"/>
        </w:rPr>
        <w:t>信</w:t>
      </w:r>
      <w:r w:rsidRPr="00E2644F">
        <w:rPr>
          <w:rFonts w:hint="eastAsia"/>
          <w:snapToGrid w:val="0"/>
          <w:spacing w:val="20"/>
          <w:sz w:val="22"/>
          <w:lang w:val="en-GB"/>
        </w:rPr>
        <w:t>心指數</w:t>
      </w:r>
      <w:r w:rsidRPr="00E2644F">
        <w:rPr>
          <w:snapToGrid w:val="0"/>
          <w:spacing w:val="20"/>
          <w:sz w:val="22"/>
          <w:vertAlign w:val="superscript"/>
          <w:lang w:val="en-GB"/>
        </w:rPr>
        <w:t>(</w:t>
      </w:r>
      <w:r>
        <w:rPr>
          <w:rFonts w:hint="eastAsia"/>
          <w:snapToGrid w:val="0"/>
          <w:spacing w:val="20"/>
          <w:sz w:val="22"/>
          <w:vertAlign w:val="superscript"/>
          <w:lang w:val="en-GB"/>
        </w:rPr>
        <w:t>4</w:t>
      </w:r>
      <w:r w:rsidRPr="00E2644F">
        <w:rPr>
          <w:snapToGrid w:val="0"/>
          <w:spacing w:val="20"/>
          <w:sz w:val="22"/>
          <w:vertAlign w:val="superscript"/>
          <w:lang w:val="en-GB"/>
        </w:rPr>
        <w:t>)</w:t>
      </w:r>
      <w:r w:rsidRPr="00E2644F">
        <w:rPr>
          <w:rFonts w:hint="eastAsia"/>
          <w:snapToGrid w:val="0"/>
          <w:spacing w:val="20"/>
          <w:sz w:val="22"/>
          <w:lang w:val="en-GB" w:eastAsia="zh-HK"/>
        </w:rPr>
        <w:t>，</w:t>
      </w:r>
      <w:r w:rsidRPr="005F7435">
        <w:rPr>
          <w:rFonts w:hint="eastAsia"/>
          <w:snapToGrid w:val="0"/>
          <w:spacing w:val="20"/>
          <w:sz w:val="22"/>
          <w:lang w:val="en-GB" w:eastAsia="zh-HK"/>
        </w:rPr>
        <w:t>出口商的信心</w:t>
      </w:r>
      <w:r>
        <w:rPr>
          <w:rFonts w:hint="eastAsia"/>
          <w:snapToGrid w:val="0"/>
          <w:spacing w:val="20"/>
          <w:sz w:val="22"/>
          <w:lang w:val="en-GB" w:eastAsia="zh-HK"/>
        </w:rPr>
        <w:t>隨着</w:t>
      </w:r>
      <w:r>
        <w:rPr>
          <w:rFonts w:hint="eastAsia"/>
          <w:snapToGrid w:val="0"/>
          <w:spacing w:val="20"/>
          <w:sz w:val="22"/>
          <w:lang w:val="en-GB"/>
        </w:rPr>
        <w:t>當時</w:t>
      </w:r>
      <w:r w:rsidRPr="005F7435">
        <w:rPr>
          <w:rFonts w:hint="eastAsia"/>
          <w:snapToGrid w:val="0"/>
          <w:spacing w:val="20"/>
          <w:sz w:val="22"/>
          <w:lang w:val="en-GB" w:eastAsia="zh-HK"/>
        </w:rPr>
        <w:t>美國對中國產品徵收</w:t>
      </w:r>
      <w:r w:rsidRPr="005F7435">
        <w:rPr>
          <w:rFonts w:hint="eastAsia"/>
          <w:snapToGrid w:val="0"/>
          <w:spacing w:val="20"/>
          <w:sz w:val="22"/>
          <w:lang w:val="en-GB" w:eastAsia="zh-HK"/>
        </w:rPr>
        <w:t>145%</w:t>
      </w:r>
      <w:r w:rsidRPr="005F7435">
        <w:rPr>
          <w:rFonts w:hint="eastAsia"/>
          <w:snapToGrid w:val="0"/>
          <w:spacing w:val="20"/>
          <w:sz w:val="22"/>
          <w:lang w:val="en-GB" w:eastAsia="zh-HK"/>
        </w:rPr>
        <w:t>的超高關稅</w:t>
      </w:r>
      <w:r>
        <w:rPr>
          <w:rFonts w:hint="eastAsia"/>
          <w:snapToGrid w:val="0"/>
          <w:spacing w:val="20"/>
          <w:sz w:val="22"/>
          <w:lang w:val="en-GB" w:eastAsia="zh-HK"/>
        </w:rPr>
        <w:t>而轉差</w:t>
      </w:r>
      <w:r w:rsidRPr="005F7435">
        <w:rPr>
          <w:rFonts w:hint="eastAsia"/>
          <w:snapToGrid w:val="0"/>
          <w:spacing w:val="20"/>
          <w:sz w:val="22"/>
          <w:lang w:val="en-GB" w:eastAsia="zh-HK"/>
        </w:rPr>
        <w:t>。</w:t>
      </w:r>
    </w:p>
    <w:p w14:paraId="64B3ED28" w14:textId="77777777" w:rsidR="00FB5206" w:rsidRDefault="00FB5206" w:rsidP="00FB5206">
      <w:pPr>
        <w:tabs>
          <w:tab w:val="clear" w:pos="936"/>
          <w:tab w:val="clear" w:pos="1560"/>
          <w:tab w:val="clear" w:pos="2184"/>
          <w:tab w:val="clear" w:pos="2808"/>
          <w:tab w:val="left" w:pos="630"/>
        </w:tabs>
        <w:snapToGrid w:val="0"/>
        <w:spacing w:after="120" w:line="320" w:lineRule="exact"/>
        <w:ind w:left="113" w:right="113"/>
        <w:rPr>
          <w:snapToGrid w:val="0"/>
          <w:spacing w:val="20"/>
          <w:sz w:val="22"/>
          <w:lang w:val="en-GB"/>
        </w:rPr>
      </w:pPr>
    </w:p>
    <w:p w14:paraId="659DF81D" w14:textId="77777777" w:rsidR="00FB5206" w:rsidRDefault="00FB5206" w:rsidP="00FB5206">
      <w:pPr>
        <w:tabs>
          <w:tab w:val="clear" w:pos="936"/>
          <w:tab w:val="clear" w:pos="1560"/>
          <w:tab w:val="clear" w:pos="2184"/>
          <w:tab w:val="clear" w:pos="2808"/>
          <w:tab w:val="left" w:pos="630"/>
        </w:tabs>
        <w:snapToGrid w:val="0"/>
        <w:spacing w:after="120" w:line="320" w:lineRule="exact"/>
        <w:ind w:left="113" w:right="113"/>
        <w:rPr>
          <w:snapToGrid w:val="0"/>
          <w:spacing w:val="20"/>
          <w:sz w:val="22"/>
          <w:lang w:val="en-GB"/>
        </w:rPr>
      </w:pPr>
    </w:p>
    <w:p w14:paraId="78444F8B" w14:textId="77777777" w:rsidR="00FB5206" w:rsidRDefault="00FB5206" w:rsidP="00FB5206">
      <w:pPr>
        <w:tabs>
          <w:tab w:val="clear" w:pos="936"/>
          <w:tab w:val="clear" w:pos="1560"/>
          <w:tab w:val="clear" w:pos="2184"/>
          <w:tab w:val="clear" w:pos="2808"/>
          <w:tab w:val="left" w:pos="630"/>
        </w:tabs>
        <w:snapToGrid w:val="0"/>
        <w:spacing w:after="120" w:line="320" w:lineRule="exact"/>
        <w:ind w:left="113" w:right="113"/>
        <w:rPr>
          <w:snapToGrid w:val="0"/>
          <w:spacing w:val="20"/>
          <w:sz w:val="22"/>
          <w:lang w:val="en-GB"/>
        </w:rPr>
      </w:pPr>
    </w:p>
    <w:p w14:paraId="6FAC6D9F" w14:textId="77777777" w:rsidR="00FB5206" w:rsidRDefault="00FB5206" w:rsidP="00FB5206">
      <w:pPr>
        <w:tabs>
          <w:tab w:val="clear" w:pos="936"/>
          <w:tab w:val="clear" w:pos="1560"/>
          <w:tab w:val="clear" w:pos="2184"/>
          <w:tab w:val="clear" w:pos="2808"/>
          <w:tab w:val="left" w:pos="630"/>
        </w:tabs>
        <w:snapToGrid w:val="0"/>
        <w:spacing w:after="120" w:line="320" w:lineRule="exact"/>
        <w:ind w:left="113" w:right="113"/>
        <w:rPr>
          <w:snapToGrid w:val="0"/>
          <w:spacing w:val="20"/>
          <w:sz w:val="22"/>
          <w:lang w:val="en-GB"/>
        </w:rPr>
      </w:pPr>
    </w:p>
    <w:p w14:paraId="44F65CC8" w14:textId="77777777" w:rsidR="00FB5206" w:rsidRDefault="00FB5206" w:rsidP="00FB5206">
      <w:pPr>
        <w:tabs>
          <w:tab w:val="clear" w:pos="936"/>
          <w:tab w:val="clear" w:pos="1560"/>
          <w:tab w:val="clear" w:pos="2184"/>
          <w:tab w:val="clear" w:pos="2808"/>
          <w:tab w:val="left" w:pos="630"/>
        </w:tabs>
        <w:snapToGrid w:val="0"/>
        <w:spacing w:after="120" w:line="320" w:lineRule="exact"/>
        <w:ind w:left="113" w:right="113"/>
        <w:rPr>
          <w:snapToGrid w:val="0"/>
          <w:spacing w:val="20"/>
          <w:sz w:val="22"/>
          <w:lang w:val="en-GB"/>
        </w:rPr>
      </w:pPr>
    </w:p>
    <w:p w14:paraId="3A522D6A" w14:textId="77777777" w:rsidR="00FB5206" w:rsidRDefault="00FB5206" w:rsidP="00FB5206">
      <w:pPr>
        <w:tabs>
          <w:tab w:val="clear" w:pos="936"/>
          <w:tab w:val="clear" w:pos="1560"/>
          <w:tab w:val="clear" w:pos="2184"/>
          <w:tab w:val="clear" w:pos="2808"/>
          <w:tab w:val="left" w:pos="630"/>
        </w:tabs>
        <w:snapToGrid w:val="0"/>
        <w:spacing w:after="120" w:line="320" w:lineRule="exact"/>
        <w:ind w:left="113" w:right="113"/>
        <w:rPr>
          <w:snapToGrid w:val="0"/>
          <w:spacing w:val="20"/>
          <w:sz w:val="22"/>
          <w:lang w:val="en-GB"/>
        </w:rPr>
      </w:pPr>
    </w:p>
    <w:p w14:paraId="7DA4FD4B" w14:textId="77777777" w:rsidR="00FB5206" w:rsidRPr="00E2644F" w:rsidRDefault="00FB5206" w:rsidP="00FB5206">
      <w:pPr>
        <w:tabs>
          <w:tab w:val="clear" w:pos="936"/>
          <w:tab w:val="clear" w:pos="1560"/>
          <w:tab w:val="clear" w:pos="2184"/>
          <w:tab w:val="clear" w:pos="2808"/>
          <w:tab w:val="left" w:pos="630"/>
        </w:tabs>
        <w:snapToGrid w:val="0"/>
        <w:spacing w:after="120" w:line="320" w:lineRule="exact"/>
        <w:ind w:left="113" w:right="113"/>
        <w:rPr>
          <w:snapToGrid w:val="0"/>
          <w:spacing w:val="20"/>
          <w:sz w:val="22"/>
          <w:lang w:val="en-GB"/>
        </w:rPr>
      </w:pPr>
    </w:p>
    <w:p w14:paraId="3D961285" w14:textId="77777777" w:rsidR="00FB5206" w:rsidRPr="002F15A2" w:rsidRDefault="00FB5206" w:rsidP="00FB5206">
      <w:pPr>
        <w:pStyle w:val="BOX"/>
        <w:spacing w:after="120"/>
      </w:pPr>
      <w:r w:rsidRPr="002F15A2">
        <w:rPr>
          <w:noProof/>
        </w:rPr>
        <mc:AlternateContent>
          <mc:Choice Requires="wps">
            <w:drawing>
              <wp:anchor distT="4294967293" distB="4294967293" distL="114300" distR="114300" simplePos="0" relativeHeight="251664384" behindDoc="0" locked="0" layoutInCell="1" allowOverlap="1" wp14:anchorId="148905C0" wp14:editId="67AE510B">
                <wp:simplePos x="0" y="0"/>
                <wp:positionH relativeFrom="column">
                  <wp:posOffset>2072640</wp:posOffset>
                </wp:positionH>
                <wp:positionV relativeFrom="paragraph">
                  <wp:posOffset>29210</wp:posOffset>
                </wp:positionV>
                <wp:extent cx="1494790" cy="0"/>
                <wp:effectExtent l="0" t="0" r="29210" b="19050"/>
                <wp:wrapNone/>
                <wp:docPr id="14" name="直線接點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80B917" id="直線接點 2"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2.3pt" to="280.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"/>
            </w:pict>
          </mc:Fallback>
        </mc:AlternateContent>
      </w:r>
    </w:p>
    <w:p w14:paraId="41513DED" w14:textId="77777777" w:rsidR="00FB5206" w:rsidRPr="00F93EA9" w:rsidRDefault="00FB5206" w:rsidP="00FB5206">
      <w:pPr>
        <w:tabs>
          <w:tab w:val="clear" w:pos="936"/>
          <w:tab w:val="clear" w:pos="1560"/>
          <w:tab w:val="clear" w:pos="2184"/>
          <w:tab w:val="clear" w:pos="2808"/>
          <w:tab w:val="left" w:pos="2495"/>
        </w:tabs>
        <w:topLinePunct w:val="0"/>
        <w:snapToGrid w:val="0"/>
        <w:spacing w:after="120" w:line="200" w:lineRule="atLeast"/>
        <w:ind w:left="680" w:right="113" w:hanging="567"/>
        <w:rPr>
          <w:color w:val="FF0000"/>
        </w:rPr>
      </w:pPr>
      <w:r w:rsidRPr="002D0F16">
        <w:rPr>
          <w:spacing w:val="20"/>
          <w:kern w:val="2"/>
          <w:sz w:val="18"/>
        </w:rPr>
        <w:t>(2)</w:t>
      </w:r>
      <w:r w:rsidRPr="002D0F16">
        <w:rPr>
          <w:spacing w:val="20"/>
          <w:kern w:val="2"/>
          <w:sz w:val="18"/>
        </w:rPr>
        <w:tab/>
      </w:r>
      <w:r w:rsidRPr="002D0F16">
        <w:rPr>
          <w:rFonts w:hint="eastAsia"/>
          <w:spacing w:val="20"/>
          <w:kern w:val="2"/>
          <w:sz w:val="18"/>
        </w:rPr>
        <w:t>指中小型企業業務狀況按月統計調查的結果，該調查每月從約</w:t>
      </w:r>
      <w:r w:rsidRPr="002D0F16">
        <w:rPr>
          <w:spacing w:val="20"/>
          <w:kern w:val="2"/>
          <w:sz w:val="18"/>
        </w:rPr>
        <w:t> 600 </w:t>
      </w:r>
      <w:r w:rsidRPr="002D0F16">
        <w:rPr>
          <w:rFonts w:hint="eastAsia"/>
          <w:spacing w:val="20"/>
          <w:kern w:val="2"/>
          <w:sz w:val="18"/>
        </w:rPr>
        <w:t>家中小企的固定樣本徵求回應。</w:t>
      </w:r>
    </w:p>
    <w:p w14:paraId="64C17D1F" w14:textId="77777777" w:rsidR="00FB5206" w:rsidRPr="002D0F16" w:rsidRDefault="00FB5206" w:rsidP="00FB5206">
      <w:pPr>
        <w:pStyle w:val="BOX7"/>
      </w:pPr>
      <w:r w:rsidRPr="002D0F16">
        <w:rPr>
          <w:b w:val="0"/>
        </w:rPr>
        <mc:AlternateContent>
          <mc:Choice Requires="wps">
            <w:drawing>
              <wp:anchor distT="0" distB="0" distL="114300" distR="114300" simplePos="0" relativeHeight="251660288" behindDoc="1" locked="0" layoutInCell="1" allowOverlap="1" wp14:anchorId="2567F8FA" wp14:editId="20C74A77">
                <wp:simplePos x="0" y="0"/>
                <wp:positionH relativeFrom="column">
                  <wp:posOffset>-225425</wp:posOffset>
                </wp:positionH>
                <wp:positionV relativeFrom="paragraph">
                  <wp:posOffset>-116840</wp:posOffset>
                </wp:positionV>
                <wp:extent cx="6191250" cy="9486900"/>
                <wp:effectExtent l="0" t="0" r="19050" b="19050"/>
                <wp:wrapNone/>
                <wp:docPr id="14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666A797" id="Rectangle 6" o:spid="_x0000_s1026" style="position:absolute;margin-left:-17.75pt;margin-top:-9.2pt;width:487.5pt;height:7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"/>
            </w:pict>
          </mc:Fallback>
        </mc:AlternateContent>
      </w:r>
      <w:r w:rsidRPr="002D0F16">
        <w:rPr>
          <w:b w:val="0"/>
        </w:rPr>
        <w:t>專題</w:t>
      </w:r>
      <w:r w:rsidRPr="002D0F16">
        <w:rPr>
          <w:rFonts w:hint="eastAsia"/>
        </w:rPr>
        <w:t>1.</w:t>
      </w:r>
      <w:r w:rsidRPr="002D0F16">
        <w:t>1</w:t>
      </w:r>
      <w:r w:rsidRPr="002D0F16">
        <w:rPr>
          <w:rFonts w:hint="eastAsia"/>
        </w:rPr>
        <w:t xml:space="preserve"> (</w:t>
      </w:r>
      <w:r w:rsidRPr="002D0F16">
        <w:rPr>
          <w:rFonts w:hint="eastAsia"/>
          <w:b w:val="0"/>
        </w:rPr>
        <w:t>續</w:t>
      </w:r>
      <w:r w:rsidRPr="002D0F16">
        <w:rPr>
          <w:rFonts w:hint="eastAsia"/>
        </w:rPr>
        <w:t>)</w:t>
      </w:r>
    </w:p>
    <w:tbl>
      <w:tblPr>
        <w:tblStyle w:val="aff5"/>
        <w:tblW w:w="93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0"/>
      </w:tblGrid>
      <w:tr w:rsidR="00FB5206" w:rsidRPr="00F93EA9" w14:paraId="416E7FA2" w14:textId="77777777" w:rsidTr="002F4FC1">
        <w:trPr>
          <w:trHeight w:val="475"/>
          <w:jc w:val="center"/>
        </w:trPr>
        <w:tc>
          <w:tcPr>
            <w:tcW w:w="9390" w:type="dxa"/>
            <w:shd w:val="clear" w:color="auto" w:fill="auto"/>
          </w:tcPr>
          <w:p w14:paraId="6DE9E7CC" w14:textId="77777777" w:rsidR="00FB5206" w:rsidRPr="00F93EA9" w:rsidRDefault="00FB5206" w:rsidP="002F4FC1">
            <w:pPr>
              <w:pStyle w:val="BOX11"/>
              <w:spacing w:after="0"/>
              <w:jc w:val="center"/>
              <w:rPr>
                <w:color w:val="FF0000"/>
              </w:rPr>
            </w:pPr>
            <w:r w:rsidRPr="002D0F16">
              <w:rPr>
                <w:rFonts w:hint="eastAsia"/>
              </w:rPr>
              <w:t>圖</w:t>
            </w:r>
            <w:r w:rsidRPr="002D0F16">
              <w:rPr>
                <w:rFonts w:hint="eastAsia"/>
                <w:b/>
              </w:rPr>
              <w:t>2</w:t>
            </w:r>
            <w:r w:rsidRPr="002D0F16">
              <w:rPr>
                <w:rFonts w:hint="eastAsia"/>
                <w:b/>
              </w:rPr>
              <w:t>：</w:t>
            </w:r>
            <w:r>
              <w:rPr>
                <w:rFonts w:hint="eastAsia"/>
                <w:lang w:eastAsia="zh-HK"/>
              </w:rPr>
              <w:t>其他</w:t>
            </w:r>
            <w:r w:rsidRPr="006A60B0">
              <w:rPr>
                <w:lang w:eastAsia="zh-HK"/>
              </w:rPr>
              <w:t>營商氣氛</w:t>
            </w:r>
            <w:r>
              <w:rPr>
                <w:rFonts w:hint="eastAsia"/>
                <w:lang w:eastAsia="zh-HK"/>
              </w:rPr>
              <w:t>指數在過去數月</w:t>
            </w:r>
            <w:r w:rsidRPr="006A60B0">
              <w:rPr>
                <w:rFonts w:hint="eastAsia"/>
                <w:lang w:eastAsia="zh-HK"/>
              </w:rPr>
              <w:t>維持審慎</w:t>
            </w:r>
            <w:r>
              <w:rPr>
                <w:rFonts w:hint="eastAsia"/>
              </w:rPr>
              <w:t>，儘管在最近月份略有回升</w:t>
            </w:r>
          </w:p>
        </w:tc>
      </w:tr>
      <w:tr w:rsidR="00FB5206" w:rsidRPr="00F93EA9" w14:paraId="3155930A" w14:textId="77777777" w:rsidTr="002F4FC1">
        <w:trPr>
          <w:trHeight w:val="5378"/>
          <w:jc w:val="center"/>
        </w:trPr>
        <w:tc>
          <w:tcPr>
            <w:tcW w:w="9390" w:type="dxa"/>
            <w:shd w:val="clear" w:color="auto" w:fill="auto"/>
          </w:tcPr>
          <w:p w14:paraId="472353E0" w14:textId="77777777" w:rsidR="00FB5206" w:rsidRPr="00F93EA9" w:rsidRDefault="00FB5206" w:rsidP="002F4FC1">
            <w:pPr>
              <w:pStyle w:val="BOXa"/>
              <w:ind w:leftChars="0" w:left="0" w:firstLine="0"/>
              <w:jc w:val="center"/>
              <w:rPr>
                <w:color w:val="FF0000"/>
              </w:rPr>
            </w:pPr>
            <w:r>
              <w:rPr>
                <w:color w:val="FF0000"/>
              </w:rPr>
              <w:t xml:space="preserve"> </w:t>
            </w:r>
            <w:r w:rsidRPr="001C1FE7">
              <w:rPr>
                <w:noProof/>
                <w:color w:val="FF0000"/>
              </w:rPr>
              <w:drawing>
                <wp:inline distT="0" distB="0" distL="0" distR="0" wp14:anchorId="18808130" wp14:editId="14E8CCA2">
                  <wp:extent cx="5657137" cy="3686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57137" cy="3686400"/>
                          </a:xfrm>
                          <a:prstGeom prst="rect">
                            <a:avLst/>
                          </a:prstGeom>
                          <a:noFill/>
                          <a:ln>
                            <a:noFill/>
                          </a:ln>
                        </pic:spPr>
                      </pic:pic>
                    </a:graphicData>
                  </a:graphic>
                </wp:inline>
              </w:drawing>
            </w:r>
          </w:p>
        </w:tc>
      </w:tr>
    </w:tbl>
    <w:p w14:paraId="3AF6B83B" w14:textId="77777777" w:rsidR="00FB5206" w:rsidRPr="00F93EA9" w:rsidRDefault="00FB5206" w:rsidP="00FB5206">
      <w:pPr>
        <w:pStyle w:val="BOXa"/>
        <w:ind w:left="1126"/>
        <w:rPr>
          <w:color w:val="FF0000"/>
        </w:rPr>
      </w:pPr>
    </w:p>
    <w:p w14:paraId="260681DB" w14:textId="77777777" w:rsidR="00FB5206" w:rsidRPr="00E2644F" w:rsidRDefault="00FB5206" w:rsidP="00FB5206">
      <w:pPr>
        <w:tabs>
          <w:tab w:val="clear" w:pos="936"/>
          <w:tab w:val="clear" w:pos="1560"/>
          <w:tab w:val="clear" w:pos="2184"/>
          <w:tab w:val="clear" w:pos="2808"/>
          <w:tab w:val="left" w:pos="700"/>
        </w:tabs>
        <w:snapToGrid w:val="0"/>
        <w:spacing w:after="0" w:line="240" w:lineRule="auto"/>
        <w:ind w:leftChars="35" w:left="1126" w:right="113" w:hanging="1021"/>
        <w:rPr>
          <w:spacing w:val="12"/>
          <w:kern w:val="18"/>
          <w:sz w:val="16"/>
        </w:rPr>
      </w:pPr>
      <w:r w:rsidRPr="00E2644F">
        <w:rPr>
          <w:rFonts w:hint="eastAsia"/>
          <w:spacing w:val="12"/>
          <w:kern w:val="18"/>
          <w:sz w:val="16"/>
        </w:rPr>
        <w:t>註：</w:t>
      </w:r>
      <w:r w:rsidRPr="00E2644F">
        <w:rPr>
          <w:spacing w:val="12"/>
          <w:kern w:val="18"/>
          <w:sz w:val="16"/>
        </w:rPr>
        <w:tab/>
        <w:t>(^)</w:t>
      </w:r>
      <w:r w:rsidRPr="00E2644F">
        <w:rPr>
          <w:spacing w:val="12"/>
          <w:kern w:val="18"/>
          <w:sz w:val="16"/>
        </w:rPr>
        <w:tab/>
      </w:r>
      <w:r w:rsidRPr="00E2644F">
        <w:rPr>
          <w:rFonts w:hint="eastAsia"/>
          <w:spacing w:val="12"/>
          <w:kern w:val="18"/>
          <w:sz w:val="16"/>
        </w:rPr>
        <w:t>動向指數是按報稱「上升」的中小企百分比，加上報稱「相同」的中小企百分比的一半計算。動向指數高於</w:t>
      </w:r>
      <w:r w:rsidRPr="00E2644F">
        <w:rPr>
          <w:spacing w:val="12"/>
          <w:kern w:val="18"/>
          <w:sz w:val="16"/>
        </w:rPr>
        <w:t>50</w:t>
      </w:r>
      <w:r w:rsidRPr="00E2644F">
        <w:rPr>
          <w:rFonts w:hint="eastAsia"/>
          <w:spacing w:val="12"/>
          <w:kern w:val="18"/>
          <w:sz w:val="16"/>
        </w:rPr>
        <w:t>表示業務狀況普遍向好，低於</w:t>
      </w:r>
      <w:r w:rsidRPr="00E2644F">
        <w:rPr>
          <w:spacing w:val="12"/>
          <w:kern w:val="18"/>
          <w:sz w:val="16"/>
        </w:rPr>
        <w:t>50</w:t>
      </w:r>
      <w:r w:rsidRPr="00E2644F">
        <w:rPr>
          <w:rFonts w:hint="eastAsia"/>
          <w:spacing w:val="12"/>
          <w:kern w:val="18"/>
          <w:sz w:val="16"/>
        </w:rPr>
        <w:t>則表示情況恰恰相反。受訪企業所提供的意見已撇除季節性因素的影響。</w:t>
      </w:r>
    </w:p>
    <w:p w14:paraId="62B080E7" w14:textId="77777777" w:rsidR="00FB5206" w:rsidRPr="00F93EA9" w:rsidRDefault="00FB5206" w:rsidP="00FB5206">
      <w:pPr>
        <w:tabs>
          <w:tab w:val="clear" w:pos="936"/>
          <w:tab w:val="clear" w:pos="1560"/>
          <w:tab w:val="clear" w:pos="2184"/>
          <w:tab w:val="clear" w:pos="2808"/>
          <w:tab w:val="left" w:pos="700"/>
        </w:tabs>
        <w:snapToGrid w:val="0"/>
        <w:spacing w:after="0" w:line="240" w:lineRule="auto"/>
        <w:ind w:leftChars="35" w:left="1126" w:right="113" w:hanging="1021"/>
        <w:rPr>
          <w:color w:val="FF0000"/>
        </w:rPr>
      </w:pPr>
      <w:r w:rsidRPr="00E2644F">
        <w:rPr>
          <w:spacing w:val="12"/>
          <w:kern w:val="18"/>
          <w:sz w:val="16"/>
        </w:rPr>
        <w:tab/>
        <w:t>(*)</w:t>
      </w:r>
      <w:r w:rsidRPr="00E2644F">
        <w:rPr>
          <w:spacing w:val="12"/>
          <w:kern w:val="18"/>
          <w:sz w:val="16"/>
        </w:rPr>
        <w:tab/>
      </w:r>
      <w:r w:rsidRPr="00E2644F">
        <w:rPr>
          <w:rFonts w:hint="eastAsia"/>
          <w:spacing w:val="12"/>
          <w:kern w:val="18"/>
          <w:sz w:val="16"/>
        </w:rPr>
        <w:t>自二零二四年第一季起開始編製的季度數據。指數高於</w:t>
      </w:r>
      <w:r w:rsidRPr="00E2644F">
        <w:rPr>
          <w:spacing w:val="12"/>
          <w:kern w:val="18"/>
          <w:sz w:val="16"/>
        </w:rPr>
        <w:t> 50 </w:t>
      </w:r>
      <w:r w:rsidRPr="00E2644F">
        <w:rPr>
          <w:rFonts w:hint="eastAsia"/>
          <w:spacing w:val="12"/>
          <w:kern w:val="18"/>
          <w:sz w:val="16"/>
        </w:rPr>
        <w:t>表示對前景看漲、態度樂觀，低於</w:t>
      </w:r>
      <w:r w:rsidRPr="00E2644F">
        <w:rPr>
          <w:spacing w:val="12"/>
          <w:kern w:val="18"/>
          <w:sz w:val="16"/>
        </w:rPr>
        <w:t> 50</w:t>
      </w:r>
      <w:r w:rsidRPr="00E2644F">
        <w:rPr>
          <w:rFonts w:hint="eastAsia"/>
          <w:spacing w:val="12"/>
          <w:kern w:val="18"/>
          <w:sz w:val="16"/>
        </w:rPr>
        <w:t>則表示對前景看淡、態度悲觀。</w:t>
      </w:r>
    </w:p>
    <w:p w14:paraId="284E0FA9" w14:textId="77777777" w:rsidR="00FB5206" w:rsidRPr="002D0F16" w:rsidRDefault="00FB5206" w:rsidP="00FB5206">
      <w:pPr>
        <w:pStyle w:val="BOX"/>
      </w:pPr>
    </w:p>
    <w:p w14:paraId="55BB95E4" w14:textId="77777777" w:rsidR="00FB5206" w:rsidRDefault="00FB5206" w:rsidP="00FB5206">
      <w:pPr>
        <w:pStyle w:val="BOX"/>
        <w:rPr>
          <w:lang w:eastAsia="zh-HK"/>
        </w:rPr>
      </w:pPr>
      <w:r w:rsidRPr="00E2644F">
        <w:rPr>
          <w:rFonts w:hint="eastAsia"/>
        </w:rPr>
        <w:t>值得注意的是，這些統計調查主要以意見為依據，難免有各種局限</w:t>
      </w:r>
      <w:r w:rsidRPr="00E2644F">
        <w:t>(</w:t>
      </w:r>
      <w:r w:rsidRPr="00E2644F">
        <w:rPr>
          <w:rFonts w:hint="eastAsia"/>
        </w:rPr>
        <w:t>例如調查結果不可作直接比較</w:t>
      </w:r>
      <w:r w:rsidRPr="00E2644F">
        <w:t>)</w:t>
      </w:r>
      <w:r w:rsidRPr="00E2644F">
        <w:rPr>
          <w:rFonts w:hint="eastAsia"/>
        </w:rPr>
        <w:t>，因此在詮釋調查結果時務須謹慎。</w:t>
      </w:r>
      <w:r w:rsidRPr="00072AE0">
        <w:rPr>
          <w:rFonts w:hint="eastAsia"/>
        </w:rPr>
        <w:t>綜觀這些統計調查結果，顯示整體營商氣氛在過去數月普遍</w:t>
      </w:r>
      <w:r>
        <w:rPr>
          <w:rFonts w:hint="eastAsia"/>
        </w:rPr>
        <w:t>依然</w:t>
      </w:r>
      <w:r w:rsidRPr="00072AE0">
        <w:rPr>
          <w:rFonts w:hint="eastAsia"/>
        </w:rPr>
        <w:t>審慎</w:t>
      </w:r>
      <w:r>
        <w:rPr>
          <w:rFonts w:hint="eastAsia"/>
          <w:lang w:eastAsia="zh-HK"/>
        </w:rPr>
        <w:t>，儘管</w:t>
      </w:r>
      <w:r>
        <w:rPr>
          <w:rFonts w:hint="eastAsia"/>
        </w:rPr>
        <w:t>較近期的</w:t>
      </w:r>
      <w:r>
        <w:rPr>
          <w:rFonts w:hint="eastAsia"/>
          <w:lang w:eastAsia="zh-HK"/>
        </w:rPr>
        <w:t>情況有一些相對改善</w:t>
      </w:r>
      <w:r w:rsidRPr="00072AE0">
        <w:rPr>
          <w:rFonts w:hint="eastAsia"/>
        </w:rPr>
        <w:t>。展望未來，</w:t>
      </w:r>
      <w:r>
        <w:rPr>
          <w:rFonts w:hint="eastAsia"/>
          <w:lang w:eastAsia="zh-HK"/>
        </w:rPr>
        <w:t>由於</w:t>
      </w:r>
      <w:r w:rsidRPr="00072AE0">
        <w:rPr>
          <w:rFonts w:hint="eastAsia"/>
          <w:lang w:eastAsia="zh-HK"/>
        </w:rPr>
        <w:t>外圍環境</w:t>
      </w:r>
      <w:r w:rsidRPr="00E14F1A">
        <w:rPr>
          <w:rFonts w:hint="eastAsia"/>
          <w:lang w:eastAsia="zh-HK"/>
        </w:rPr>
        <w:t>仍然充滿</w:t>
      </w:r>
      <w:r w:rsidRPr="00072AE0">
        <w:rPr>
          <w:rFonts w:hint="eastAsia"/>
          <w:lang w:eastAsia="zh-HK"/>
        </w:rPr>
        <w:t>不確定</w:t>
      </w:r>
      <w:r>
        <w:rPr>
          <w:rFonts w:hint="eastAsia"/>
          <w:lang w:eastAsia="zh-HK"/>
        </w:rPr>
        <w:t>性，</w:t>
      </w:r>
      <w:r w:rsidRPr="00072AE0">
        <w:rPr>
          <w:rFonts w:hint="eastAsia"/>
          <w:lang w:eastAsia="zh-HK"/>
        </w:rPr>
        <w:t>本地營商氣氛將繼續</w:t>
      </w:r>
      <w:r>
        <w:rPr>
          <w:rFonts w:hint="eastAsia"/>
          <w:lang w:eastAsia="zh-HK"/>
        </w:rPr>
        <w:t>受到</w:t>
      </w:r>
      <w:r w:rsidRPr="00072AE0">
        <w:rPr>
          <w:rFonts w:hint="eastAsia"/>
          <w:lang w:eastAsia="zh-HK"/>
        </w:rPr>
        <w:t>影響。然而，本地經濟表現強韌，</w:t>
      </w:r>
      <w:r>
        <w:rPr>
          <w:rFonts w:hint="eastAsia"/>
          <w:lang w:eastAsia="zh-HK"/>
        </w:rPr>
        <w:t>加上</w:t>
      </w:r>
      <w:r w:rsidRPr="00072AE0">
        <w:rPr>
          <w:rFonts w:hint="eastAsia"/>
          <w:lang w:eastAsia="zh-HK"/>
        </w:rPr>
        <w:t>內地經濟繼續穩步增長，應可提供支持。</w:t>
      </w:r>
    </w:p>
    <w:p w14:paraId="0CBB342F" w14:textId="77777777" w:rsidR="00FB5206" w:rsidRDefault="00FB5206" w:rsidP="00FB5206">
      <w:pPr>
        <w:pStyle w:val="BOX"/>
        <w:spacing w:after="120" w:line="200" w:lineRule="exact"/>
        <w:rPr>
          <w:color w:val="FF0000"/>
          <w:lang w:val="en-GB"/>
        </w:rPr>
      </w:pPr>
    </w:p>
    <w:p w14:paraId="72409312" w14:textId="0FBE25C2" w:rsidR="00FB5206" w:rsidRPr="00F93EA9" w:rsidRDefault="00FB5206" w:rsidP="00FB5206">
      <w:pPr>
        <w:pStyle w:val="BOX"/>
        <w:spacing w:line="200" w:lineRule="exact"/>
        <w:rPr>
          <w:color w:val="FF0000"/>
        </w:rPr>
      </w:pPr>
      <w:r w:rsidRPr="00F93EA9">
        <w:rPr>
          <w:noProof/>
          <w:color w:val="FF0000"/>
        </w:rPr>
        <mc:AlternateContent>
          <mc:Choice Requires="wps">
            <w:drawing>
              <wp:anchor distT="4294967293" distB="4294967293" distL="114300" distR="114300" simplePos="0" relativeHeight="251663360" behindDoc="0" locked="0" layoutInCell="1" allowOverlap="1" wp14:anchorId="41FF0D30" wp14:editId="70A9B5F6">
                <wp:simplePos x="0" y="0"/>
                <wp:positionH relativeFrom="column">
                  <wp:posOffset>2108200</wp:posOffset>
                </wp:positionH>
                <wp:positionV relativeFrom="paragraph">
                  <wp:posOffset>45349</wp:posOffset>
                </wp:positionV>
                <wp:extent cx="1494790" cy="0"/>
                <wp:effectExtent l="0" t="0" r="29210" b="19050"/>
                <wp:wrapNone/>
                <wp:docPr id="7" name="直線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8031E5E" id="直線接點 7"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pt,3.55pt" to="283.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"/>
            </w:pict>
          </mc:Fallback>
        </mc:AlternateContent>
      </w:r>
    </w:p>
    <w:p w14:paraId="325700CB" w14:textId="77777777" w:rsidR="00FB5206" w:rsidRPr="00E2644F" w:rsidRDefault="00FB5206" w:rsidP="00FB5206">
      <w:pPr>
        <w:tabs>
          <w:tab w:val="clear" w:pos="936"/>
          <w:tab w:val="clear" w:pos="1560"/>
          <w:tab w:val="clear" w:pos="2184"/>
          <w:tab w:val="clear" w:pos="2808"/>
          <w:tab w:val="left" w:pos="2495"/>
        </w:tabs>
        <w:topLinePunct w:val="0"/>
        <w:snapToGrid w:val="0"/>
        <w:spacing w:after="120" w:line="200" w:lineRule="atLeast"/>
        <w:ind w:left="680" w:right="113" w:hanging="567"/>
        <w:rPr>
          <w:spacing w:val="20"/>
          <w:kern w:val="2"/>
          <w:sz w:val="18"/>
        </w:rPr>
      </w:pPr>
      <w:r w:rsidRPr="00E2644F">
        <w:rPr>
          <w:spacing w:val="20"/>
          <w:kern w:val="2"/>
          <w:sz w:val="18"/>
        </w:rPr>
        <w:t>(</w:t>
      </w:r>
      <w:r>
        <w:rPr>
          <w:rFonts w:hint="eastAsia"/>
          <w:spacing w:val="20"/>
          <w:kern w:val="2"/>
          <w:sz w:val="18"/>
        </w:rPr>
        <w:t>3</w:t>
      </w:r>
      <w:r w:rsidRPr="00E2644F">
        <w:rPr>
          <w:spacing w:val="20"/>
          <w:kern w:val="2"/>
          <w:sz w:val="18"/>
        </w:rPr>
        <w:t>)</w:t>
      </w:r>
      <w:r w:rsidRPr="00E2644F">
        <w:rPr>
          <w:spacing w:val="20"/>
          <w:kern w:val="2"/>
          <w:sz w:val="18"/>
        </w:rPr>
        <w:tab/>
      </w:r>
      <w:r w:rsidRPr="00E2644F">
        <w:rPr>
          <w:rFonts w:hint="eastAsia"/>
          <w:spacing w:val="20"/>
          <w:kern w:val="2"/>
          <w:sz w:val="18"/>
        </w:rPr>
        <w:t>根據標普全球發出的新聞稿，標普全球香港採購經理指數根據約</w:t>
      </w:r>
      <w:r w:rsidRPr="00E2644F">
        <w:rPr>
          <w:rFonts w:hint="eastAsia"/>
          <w:spacing w:val="20"/>
          <w:kern w:val="2"/>
          <w:sz w:val="18"/>
        </w:rPr>
        <w:t>400</w:t>
      </w:r>
      <w:r w:rsidRPr="00E2644F">
        <w:rPr>
          <w:rFonts w:hint="eastAsia"/>
          <w:spacing w:val="20"/>
          <w:kern w:val="2"/>
          <w:sz w:val="18"/>
        </w:rPr>
        <w:t>家私營公司的採購經理每月就問卷調查所作的回覆而編製。這個綜合指數是按照五個分類指數計算出來，相關權數如下：新訂單</w:t>
      </w:r>
      <w:r w:rsidRPr="00E2644F">
        <w:rPr>
          <w:rFonts w:hint="eastAsia"/>
          <w:spacing w:val="20"/>
          <w:kern w:val="2"/>
          <w:sz w:val="18"/>
        </w:rPr>
        <w:t>(30%)</w:t>
      </w:r>
      <w:r w:rsidRPr="00E2644F">
        <w:rPr>
          <w:rFonts w:hint="eastAsia"/>
          <w:spacing w:val="20"/>
          <w:kern w:val="2"/>
          <w:sz w:val="18"/>
        </w:rPr>
        <w:t>、產出</w:t>
      </w:r>
      <w:r w:rsidRPr="00E2644F">
        <w:rPr>
          <w:rFonts w:hint="eastAsia"/>
          <w:spacing w:val="20"/>
          <w:kern w:val="2"/>
          <w:sz w:val="18"/>
        </w:rPr>
        <w:t>(25%)</w:t>
      </w:r>
      <w:r w:rsidRPr="00E2644F">
        <w:rPr>
          <w:rFonts w:hint="eastAsia"/>
          <w:spacing w:val="20"/>
          <w:kern w:val="2"/>
          <w:sz w:val="18"/>
        </w:rPr>
        <w:t>、就業人數</w:t>
      </w:r>
      <w:r w:rsidRPr="00E2644F">
        <w:rPr>
          <w:rFonts w:hint="eastAsia"/>
          <w:spacing w:val="20"/>
          <w:kern w:val="2"/>
          <w:sz w:val="18"/>
        </w:rPr>
        <w:t>(20%)</w:t>
      </w:r>
      <w:r w:rsidRPr="00E2644F">
        <w:rPr>
          <w:rFonts w:hint="eastAsia"/>
          <w:spacing w:val="20"/>
          <w:kern w:val="2"/>
          <w:sz w:val="18"/>
        </w:rPr>
        <w:t>、供應商交期</w:t>
      </w:r>
      <w:r w:rsidRPr="00E2644F">
        <w:rPr>
          <w:rFonts w:hint="eastAsia"/>
          <w:spacing w:val="20"/>
          <w:kern w:val="2"/>
          <w:sz w:val="18"/>
        </w:rPr>
        <w:t>(15%)</w:t>
      </w:r>
      <w:r w:rsidRPr="00E2644F">
        <w:rPr>
          <w:rFonts w:hint="eastAsia"/>
          <w:spacing w:val="20"/>
          <w:kern w:val="2"/>
          <w:sz w:val="18"/>
        </w:rPr>
        <w:t>及採購庫存</w:t>
      </w:r>
      <w:r w:rsidRPr="00E2644F">
        <w:rPr>
          <w:rFonts w:hint="eastAsia"/>
          <w:spacing w:val="20"/>
          <w:kern w:val="2"/>
          <w:sz w:val="18"/>
        </w:rPr>
        <w:t>(10%)</w:t>
      </w:r>
      <w:r w:rsidRPr="00E2644F">
        <w:rPr>
          <w:rFonts w:hint="eastAsia"/>
          <w:spacing w:val="20"/>
          <w:kern w:val="2"/>
          <w:sz w:val="18"/>
        </w:rPr>
        <w:t>；其中，供應商交期指數作反向計算，令其走向可與其他指數比較。調查結果反映當月對比上月的變化。</w:t>
      </w:r>
    </w:p>
    <w:p w14:paraId="60E002C3" w14:textId="1C4D5150" w:rsidR="00FB5206" w:rsidRPr="00FB5206" w:rsidRDefault="00FB5206" w:rsidP="00FB5206">
      <w:pPr>
        <w:pStyle w:val="BOX90"/>
        <w:overflowPunct w:val="0"/>
        <w:topLinePunct w:val="0"/>
        <w:rPr>
          <w:rFonts w:eastAsia="華康中黑體"/>
          <w:lang w:val="en-GB"/>
        </w:rPr>
      </w:pPr>
      <w:r w:rsidRPr="00E2644F">
        <w:t>(</w:t>
      </w:r>
      <w:r>
        <w:rPr>
          <w:rFonts w:hint="eastAsia"/>
        </w:rPr>
        <w:t>4</w:t>
      </w:r>
      <w:r w:rsidRPr="00E2644F">
        <w:t>)</w:t>
      </w:r>
      <w:r w:rsidRPr="00E2644F">
        <w:tab/>
      </w:r>
      <w:r w:rsidRPr="00E2644F">
        <w:rPr>
          <w:rFonts w:hint="eastAsia"/>
        </w:rPr>
        <w:t>香港貿發局出口信心指數旨在反映香港貿易商的短期出口前景。這個綜合指數是按照五個分類指數計算出來，相關權數如下：銷售及新訂單</w:t>
      </w:r>
      <w:r w:rsidRPr="00E2644F">
        <w:rPr>
          <w:rFonts w:hint="eastAsia"/>
        </w:rPr>
        <w:t>(50.0%)</w:t>
      </w:r>
      <w:r w:rsidRPr="00E2644F">
        <w:rPr>
          <w:rFonts w:hint="eastAsia"/>
        </w:rPr>
        <w:t>、貿易價值</w:t>
      </w:r>
      <w:r w:rsidRPr="00E2644F">
        <w:rPr>
          <w:rFonts w:hint="eastAsia"/>
        </w:rPr>
        <w:t>(12.5%)</w:t>
      </w:r>
      <w:r w:rsidRPr="00E2644F">
        <w:rPr>
          <w:rFonts w:hint="eastAsia"/>
        </w:rPr>
        <w:t>、成本</w:t>
      </w:r>
      <w:r w:rsidRPr="00E2644F">
        <w:rPr>
          <w:rFonts w:hint="eastAsia"/>
        </w:rPr>
        <w:t>(12.5%)</w:t>
      </w:r>
      <w:r w:rsidRPr="00E2644F">
        <w:rPr>
          <w:rFonts w:hint="eastAsia"/>
        </w:rPr>
        <w:t>、採購</w:t>
      </w:r>
      <w:r w:rsidRPr="00E2644F">
        <w:rPr>
          <w:rFonts w:hint="eastAsia"/>
        </w:rPr>
        <w:t>(12.5%)</w:t>
      </w:r>
      <w:r w:rsidRPr="00E2644F">
        <w:rPr>
          <w:rFonts w:hint="eastAsia"/>
        </w:rPr>
        <w:t>及庫存</w:t>
      </w:r>
      <w:r w:rsidRPr="00E2644F">
        <w:rPr>
          <w:rFonts w:hint="eastAsia"/>
        </w:rPr>
        <w:t>(12.5%)</w:t>
      </w:r>
      <w:r w:rsidRPr="00E2644F">
        <w:rPr>
          <w:rFonts w:hint="eastAsia"/>
        </w:rPr>
        <w:t>；其中，成本指數和庫存指數作反向計算，令其走向可與其他指數比較。這項營商信心調查按季進行，邀請</w:t>
      </w:r>
      <w:r w:rsidRPr="00E2644F">
        <w:t> </w:t>
      </w:r>
      <w:r w:rsidRPr="00E2644F">
        <w:rPr>
          <w:rFonts w:hint="eastAsia"/>
        </w:rPr>
        <w:t>500</w:t>
      </w:r>
      <w:r w:rsidRPr="00E2644F">
        <w:t> </w:t>
      </w:r>
      <w:r w:rsidRPr="00E2644F">
        <w:rPr>
          <w:rFonts w:hint="eastAsia"/>
        </w:rPr>
        <w:t>多家香港貿易商參與，他們來自六個主要行業，分別為電子產品業、服裝業、玩具業、珠寶業、鐘錶業及生產設備／物料業。</w:t>
      </w:r>
    </w:p>
    <w:p w14:paraId="37FA4315" w14:textId="4BD604FC" w:rsidR="00624C05" w:rsidRPr="00176A40" w:rsidRDefault="00624C05" w:rsidP="00624C05">
      <w:pPr>
        <w:pStyle w:val="120"/>
      </w:pPr>
      <w:r w:rsidRPr="00176A40">
        <w:rPr>
          <w:rFonts w:hint="eastAsia"/>
        </w:rPr>
        <w:t>勞工市場</w:t>
      </w:r>
    </w:p>
    <w:p w14:paraId="16EC3BA5" w14:textId="5CA088FA" w:rsidR="00624C05" w:rsidRPr="006E4248" w:rsidRDefault="00624C05" w:rsidP="00624C05">
      <w:r w:rsidRPr="006D5A4A">
        <w:rPr>
          <w:b/>
          <w:lang w:val="en-HK"/>
        </w:rPr>
        <w:t>1.</w:t>
      </w:r>
      <w:r>
        <w:rPr>
          <w:b/>
          <w:lang w:val="en-HK"/>
        </w:rPr>
        <w:t>7</w:t>
      </w:r>
      <w:r>
        <w:rPr>
          <w:lang w:val="en-HK"/>
        </w:rPr>
        <w:tab/>
      </w:r>
      <w:r w:rsidR="00B502D4">
        <w:rPr>
          <w:rFonts w:hint="eastAsia"/>
        </w:rPr>
        <w:t>勞工市場在二零二五年第二</w:t>
      </w:r>
      <w:r w:rsidR="00B502D4" w:rsidRPr="000D2558">
        <w:rPr>
          <w:rFonts w:hint="eastAsia"/>
        </w:rPr>
        <w:t>季</w:t>
      </w:r>
      <w:r w:rsidR="003A6D33">
        <w:rPr>
          <w:rFonts w:hint="eastAsia"/>
        </w:rPr>
        <w:t>稍為放緩</w:t>
      </w:r>
      <w:r w:rsidR="00B502D4" w:rsidRPr="000D2558">
        <w:rPr>
          <w:rFonts w:hint="eastAsia"/>
        </w:rPr>
        <w:t>。經季節性調整的</w:t>
      </w:r>
      <w:r w:rsidR="00B502D4" w:rsidRPr="000D2558">
        <w:rPr>
          <w:rFonts w:hint="eastAsia"/>
          <w:i/>
        </w:rPr>
        <w:t>失業率</w:t>
      </w:r>
      <w:r w:rsidR="00B502D4" w:rsidRPr="00132285">
        <w:rPr>
          <w:rFonts w:hint="eastAsia"/>
        </w:rPr>
        <w:t>由</w:t>
      </w:r>
      <w:r w:rsidR="00B502D4" w:rsidRPr="000D2558">
        <w:rPr>
          <w:rFonts w:hint="eastAsia"/>
        </w:rPr>
        <w:t>上一季的</w:t>
      </w:r>
      <w:r w:rsidR="00B502D4">
        <w:t> </w:t>
      </w:r>
      <w:r w:rsidR="00B502D4">
        <w:rPr>
          <w:rFonts w:hint="eastAsia"/>
        </w:rPr>
        <w:t>3.2</w:t>
      </w:r>
      <w:r w:rsidR="00B502D4" w:rsidRPr="000D2558">
        <w:rPr>
          <w:rFonts w:hint="eastAsia"/>
        </w:rPr>
        <w:t>%</w:t>
      </w:r>
      <w:r w:rsidR="000354FF">
        <w:rPr>
          <w:rFonts w:hint="eastAsia"/>
          <w:lang w:eastAsia="zh-HK"/>
        </w:rPr>
        <w:t>上</w:t>
      </w:r>
      <w:r w:rsidR="00B502D4">
        <w:rPr>
          <w:rFonts w:hint="eastAsia"/>
        </w:rPr>
        <w:t>升至第二季的</w:t>
      </w:r>
      <w:r w:rsidR="00B502D4">
        <w:rPr>
          <w:rFonts w:hint="eastAsia"/>
        </w:rPr>
        <w:t>3.5%</w:t>
      </w:r>
      <w:r w:rsidR="00B502D4" w:rsidRPr="000D2558">
        <w:rPr>
          <w:rFonts w:hint="eastAsia"/>
        </w:rPr>
        <w:t>。</w:t>
      </w:r>
      <w:r w:rsidR="00B502D4" w:rsidRPr="000D2558">
        <w:rPr>
          <w:rFonts w:hint="eastAsia"/>
          <w:i/>
        </w:rPr>
        <w:t>就業不足率</w:t>
      </w:r>
      <w:r w:rsidR="00B502D4" w:rsidRPr="00132285">
        <w:rPr>
          <w:rFonts w:hint="eastAsia"/>
        </w:rPr>
        <w:t>亦由</w:t>
      </w:r>
      <w:r w:rsidR="00B502D4">
        <w:rPr>
          <w:rFonts w:hint="eastAsia"/>
        </w:rPr>
        <w:t>1.1%</w:t>
      </w:r>
      <w:r w:rsidR="000354FF">
        <w:rPr>
          <w:rFonts w:hint="eastAsia"/>
          <w:lang w:eastAsia="zh-HK"/>
        </w:rPr>
        <w:t>上</w:t>
      </w:r>
      <w:r w:rsidR="00B502D4">
        <w:rPr>
          <w:rFonts w:hint="eastAsia"/>
        </w:rPr>
        <w:t>升至</w:t>
      </w:r>
      <w:r w:rsidR="00B502D4">
        <w:rPr>
          <w:rFonts w:hint="eastAsia"/>
        </w:rPr>
        <w:t>1.4%</w:t>
      </w:r>
      <w:r w:rsidR="00B502D4" w:rsidRPr="000D2558">
        <w:rPr>
          <w:rFonts w:hint="eastAsia"/>
        </w:rPr>
        <w:t>。</w:t>
      </w:r>
      <w:r w:rsidR="000354FF">
        <w:rPr>
          <w:rFonts w:hint="eastAsia"/>
          <w:lang w:eastAsia="zh-HK"/>
        </w:rPr>
        <w:t>不少</w:t>
      </w:r>
      <w:r w:rsidR="00B502D4" w:rsidRPr="000D2558">
        <w:rPr>
          <w:rFonts w:hint="eastAsia"/>
        </w:rPr>
        <w:t>主要行業的失業率較上一季上升。工資及勞工收入在</w:t>
      </w:r>
      <w:r w:rsidR="00B502D4">
        <w:rPr>
          <w:rFonts w:hint="eastAsia"/>
        </w:rPr>
        <w:t>第一</w:t>
      </w:r>
      <w:r w:rsidR="00B502D4" w:rsidRPr="000D2558">
        <w:rPr>
          <w:rFonts w:hint="eastAsia"/>
        </w:rPr>
        <w:t>季</w:t>
      </w:r>
      <w:r w:rsidR="00B502D4">
        <w:rPr>
          <w:rFonts w:hint="eastAsia"/>
        </w:rPr>
        <w:t>繼續</w:t>
      </w:r>
      <w:r w:rsidR="00B502D4" w:rsidRPr="000D2558">
        <w:rPr>
          <w:rFonts w:hint="eastAsia"/>
        </w:rPr>
        <w:t>錄得可觀的按年升幅。較近期的綜合住戶統計調查的數據</w:t>
      </w:r>
      <w:r w:rsidR="00B502D4">
        <w:rPr>
          <w:rFonts w:hint="eastAsia"/>
          <w:lang w:eastAsia="zh-HK"/>
        </w:rPr>
        <w:t>顯</w:t>
      </w:r>
      <w:r w:rsidR="00B502D4">
        <w:rPr>
          <w:rFonts w:hint="eastAsia"/>
        </w:rPr>
        <w:t>示</w:t>
      </w:r>
      <w:r w:rsidR="00B502D4" w:rsidRPr="000D2558">
        <w:rPr>
          <w:rFonts w:hint="eastAsia"/>
        </w:rPr>
        <w:t>，就業收入在第</w:t>
      </w:r>
      <w:r w:rsidR="00B502D4">
        <w:rPr>
          <w:rFonts w:hint="eastAsia"/>
        </w:rPr>
        <w:t>二</w:t>
      </w:r>
      <w:r w:rsidR="00B502D4" w:rsidRPr="000D2558">
        <w:rPr>
          <w:rFonts w:hint="eastAsia"/>
        </w:rPr>
        <w:t>季按年</w:t>
      </w:r>
      <w:r w:rsidR="00B502D4">
        <w:rPr>
          <w:rFonts w:hint="eastAsia"/>
        </w:rPr>
        <w:t>進一步穩健</w:t>
      </w:r>
      <w:r w:rsidR="00B502D4" w:rsidRPr="000D2558">
        <w:rPr>
          <w:rFonts w:hint="eastAsia"/>
        </w:rPr>
        <w:t>增長。</w:t>
      </w:r>
    </w:p>
    <w:p w14:paraId="7FB8F990" w14:textId="77777777" w:rsidR="00624C05" w:rsidRPr="00E973BF" w:rsidRDefault="00624C05" w:rsidP="00624C05">
      <w:pPr>
        <w:pStyle w:val="120"/>
        <w:rPr>
          <w:szCs w:val="28"/>
        </w:rPr>
      </w:pPr>
      <w:r w:rsidRPr="00E973BF">
        <w:rPr>
          <w:rFonts w:hint="eastAsia"/>
        </w:rPr>
        <w:t>資產市場</w:t>
      </w:r>
    </w:p>
    <w:p w14:paraId="764AF43B" w14:textId="27BD3CF7" w:rsidR="00624C05" w:rsidRPr="00B1242D" w:rsidRDefault="00624C05" w:rsidP="00624C05">
      <w:r w:rsidRPr="00AD1CF1">
        <w:rPr>
          <w:rFonts w:hint="eastAsia"/>
          <w:b/>
        </w:rPr>
        <w:t>1.</w:t>
      </w:r>
      <w:r>
        <w:rPr>
          <w:b/>
        </w:rPr>
        <w:t>8</w:t>
      </w:r>
      <w:r w:rsidRPr="00AD1CF1">
        <w:rPr>
          <w:i/>
          <w:lang w:eastAsia="zh-HK"/>
        </w:rPr>
        <w:tab/>
      </w:r>
      <w:r w:rsidR="00B502D4" w:rsidRPr="00AD1CF1">
        <w:rPr>
          <w:rFonts w:hint="eastAsia"/>
          <w:i/>
          <w:lang w:eastAsia="zh-HK"/>
        </w:rPr>
        <w:t>本地股票市場</w:t>
      </w:r>
      <w:r w:rsidR="00B502D4" w:rsidRPr="00AD1CF1">
        <w:rPr>
          <w:rFonts w:hint="eastAsia"/>
          <w:lang w:eastAsia="zh-HK"/>
        </w:rPr>
        <w:t>在</w:t>
      </w:r>
      <w:r w:rsidR="00B502D4" w:rsidRPr="00AD1CF1">
        <w:rPr>
          <w:rFonts w:hint="eastAsia"/>
          <w:lang w:val="en-GB"/>
        </w:rPr>
        <w:t>二零二五年</w:t>
      </w:r>
      <w:r w:rsidR="00B502D4">
        <w:rPr>
          <w:rFonts w:hint="eastAsia"/>
          <w:lang w:val="en-GB"/>
        </w:rPr>
        <w:t>第二季維持</w:t>
      </w:r>
      <w:r w:rsidR="00B502D4">
        <w:rPr>
          <w:rFonts w:hint="eastAsia"/>
          <w:lang w:val="en-GB" w:eastAsia="zh-HK"/>
        </w:rPr>
        <w:t>升勢</w:t>
      </w:r>
      <w:r w:rsidR="00B502D4">
        <w:rPr>
          <w:rFonts w:hint="eastAsia"/>
          <w:lang w:val="en-GB"/>
        </w:rPr>
        <w:t>。</w:t>
      </w:r>
      <w:r w:rsidR="00C46E31">
        <w:rPr>
          <w:rFonts w:hint="eastAsia"/>
          <w:lang w:eastAsia="zh-HK"/>
        </w:rPr>
        <w:t>儘管</w:t>
      </w:r>
      <w:r w:rsidR="00B502D4">
        <w:rPr>
          <w:rFonts w:hint="eastAsia"/>
          <w:lang w:val="en-GB"/>
        </w:rPr>
        <w:t>四月初美國宣布徵收所謂</w:t>
      </w:r>
      <w:r w:rsidR="00BD393E">
        <w:rPr>
          <w:rFonts w:hint="eastAsia"/>
          <w:lang w:val="en-GB" w:eastAsia="zh-HK"/>
        </w:rPr>
        <w:t>的</w:t>
      </w:r>
      <w:r w:rsidR="00B502D4">
        <w:rPr>
          <w:rFonts w:hint="eastAsia"/>
          <w:lang w:val="en-GB" w:eastAsia="zh-HK"/>
        </w:rPr>
        <w:t>「</w:t>
      </w:r>
      <w:r w:rsidR="00B502D4">
        <w:rPr>
          <w:rFonts w:hint="eastAsia"/>
          <w:lang w:val="en-GB"/>
        </w:rPr>
        <w:t>對等關稅</w:t>
      </w:r>
      <w:r w:rsidR="00B502D4">
        <w:rPr>
          <w:rFonts w:hint="eastAsia"/>
          <w:lang w:val="en-GB" w:eastAsia="zh-HK"/>
        </w:rPr>
        <w:t>」</w:t>
      </w:r>
      <w:r w:rsidR="00B502D4">
        <w:rPr>
          <w:rFonts w:hint="eastAsia"/>
          <w:lang w:val="en-GB"/>
        </w:rPr>
        <w:t>後，</w:t>
      </w:r>
      <w:r w:rsidR="00C84D90">
        <w:rPr>
          <w:rFonts w:hint="eastAsia"/>
          <w:lang w:val="en-GB" w:eastAsia="zh-HK"/>
        </w:rPr>
        <w:t>港</w:t>
      </w:r>
      <w:r w:rsidR="00FB3F5B" w:rsidRPr="00FB3F5B">
        <w:rPr>
          <w:rFonts w:hint="eastAsia"/>
          <w:lang w:val="en-GB" w:eastAsia="zh-HK"/>
        </w:rPr>
        <w:t>股</w:t>
      </w:r>
      <w:r w:rsidR="00B502D4">
        <w:rPr>
          <w:rFonts w:hint="eastAsia"/>
          <w:lang w:val="en-GB" w:eastAsia="zh-HK"/>
        </w:rPr>
        <w:t>跟</w:t>
      </w:r>
      <w:r w:rsidR="00B502D4">
        <w:rPr>
          <w:rFonts w:hint="eastAsia"/>
          <w:lang w:val="en-GB"/>
        </w:rPr>
        <w:t>隨其他主要市場出現大幅拋售，</w:t>
      </w:r>
      <w:r w:rsidR="00C46E31">
        <w:rPr>
          <w:rFonts w:hint="eastAsia"/>
          <w:lang w:val="en-GB"/>
        </w:rPr>
        <w:t>但</w:t>
      </w:r>
      <w:r w:rsidR="00B502D4" w:rsidRPr="009B7458">
        <w:rPr>
          <w:rFonts w:hint="eastAsia"/>
          <w:lang w:val="en-GB"/>
        </w:rPr>
        <w:t>其後</w:t>
      </w:r>
      <w:r w:rsidR="00B502D4">
        <w:rPr>
          <w:rFonts w:hint="eastAsia"/>
          <w:lang w:val="en-GB"/>
        </w:rPr>
        <w:t>美國</w:t>
      </w:r>
      <w:r w:rsidR="00B502D4">
        <w:rPr>
          <w:rFonts w:hint="eastAsia"/>
          <w:lang w:val="en-GB" w:eastAsia="zh-HK"/>
        </w:rPr>
        <w:t>暫緩</w:t>
      </w:r>
      <w:r w:rsidR="001356AF">
        <w:rPr>
          <w:rFonts w:hint="eastAsia"/>
          <w:lang w:val="en-GB" w:eastAsia="zh-HK"/>
        </w:rPr>
        <w:t>實施</w:t>
      </w:r>
      <w:r w:rsidR="00C46E31" w:rsidRPr="00C04BCB">
        <w:rPr>
          <w:rFonts w:hint="eastAsia"/>
          <w:lang w:eastAsia="zh-HK"/>
        </w:rPr>
        <w:t>大部分</w:t>
      </w:r>
      <w:r w:rsidR="00B502D4">
        <w:rPr>
          <w:rFonts w:hint="eastAsia"/>
          <w:lang w:val="en-GB"/>
        </w:rPr>
        <w:t>關稅</w:t>
      </w:r>
      <w:r w:rsidR="00C46E31">
        <w:rPr>
          <w:rFonts w:hint="eastAsia"/>
          <w:lang w:val="en-GB" w:eastAsia="zh-HK"/>
        </w:rPr>
        <w:t>措施</w:t>
      </w:r>
      <w:r w:rsidR="00B502D4">
        <w:rPr>
          <w:rFonts w:hint="eastAsia"/>
          <w:lang w:val="en-GB"/>
        </w:rPr>
        <w:t>，</w:t>
      </w:r>
      <w:r w:rsidR="00B502D4" w:rsidRPr="009B7458">
        <w:rPr>
          <w:rFonts w:hint="eastAsia"/>
          <w:lang w:val="en-GB"/>
        </w:rPr>
        <w:t>貿易</w:t>
      </w:r>
      <w:r w:rsidR="00C84D90" w:rsidRPr="00C84D90">
        <w:rPr>
          <w:rFonts w:hint="eastAsia"/>
          <w:lang w:val="en-GB" w:eastAsia="zh-HK"/>
        </w:rPr>
        <w:t>緊張局勢</w:t>
      </w:r>
      <w:r w:rsidR="00B502D4" w:rsidRPr="009B7458">
        <w:rPr>
          <w:rFonts w:hint="eastAsia"/>
          <w:lang w:val="en-GB"/>
        </w:rPr>
        <w:t>緩和，市場氣氛因而好轉</w:t>
      </w:r>
      <w:r w:rsidR="00B502D4">
        <w:rPr>
          <w:rFonts w:hint="eastAsia"/>
          <w:lang w:val="en-GB"/>
        </w:rPr>
        <w:t>。</w:t>
      </w:r>
      <w:r w:rsidR="00B502D4" w:rsidRPr="00AD1CF1">
        <w:rPr>
          <w:rFonts w:hint="eastAsia"/>
          <w:lang w:eastAsia="zh-HK"/>
        </w:rPr>
        <w:t>恒指</w:t>
      </w:r>
      <w:r w:rsidR="00B502D4">
        <w:rPr>
          <w:rFonts w:hint="eastAsia"/>
        </w:rPr>
        <w:t>收復失地</w:t>
      </w:r>
      <w:r w:rsidR="00FB3F5B">
        <w:rPr>
          <w:rFonts w:hint="eastAsia"/>
          <w:lang w:eastAsia="zh-HK"/>
        </w:rPr>
        <w:t>並</w:t>
      </w:r>
      <w:r w:rsidR="00C84D90" w:rsidRPr="00C84D90">
        <w:rPr>
          <w:rFonts w:hint="eastAsia"/>
          <w:lang w:eastAsia="zh-HK"/>
        </w:rPr>
        <w:t>持續上升</w:t>
      </w:r>
      <w:r w:rsidR="00B502D4">
        <w:rPr>
          <w:rFonts w:hint="eastAsia"/>
        </w:rPr>
        <w:t>，</w:t>
      </w:r>
      <w:r w:rsidR="00C84D90">
        <w:rPr>
          <w:rFonts w:hint="eastAsia"/>
          <w:lang w:eastAsia="zh-HK"/>
        </w:rPr>
        <w:t>於</w:t>
      </w:r>
      <w:r w:rsidR="00B502D4">
        <w:rPr>
          <w:rFonts w:hint="eastAsia"/>
        </w:rPr>
        <w:t>第二季</w:t>
      </w:r>
      <w:r w:rsidR="00EC132C">
        <w:rPr>
          <w:rFonts w:hint="eastAsia"/>
          <w:lang w:eastAsia="zh-HK"/>
        </w:rPr>
        <w:t>末</w:t>
      </w:r>
      <w:r w:rsidR="00B502D4">
        <w:rPr>
          <w:rFonts w:hint="eastAsia"/>
        </w:rPr>
        <w:t>收報</w:t>
      </w:r>
      <w:r w:rsidR="00B502D4">
        <w:rPr>
          <w:rFonts w:hint="eastAsia"/>
        </w:rPr>
        <w:t>24</w:t>
      </w:r>
      <w:r w:rsidR="00B502D4">
        <w:t> </w:t>
      </w:r>
      <w:r w:rsidR="00B502D4">
        <w:rPr>
          <w:rFonts w:hint="eastAsia"/>
        </w:rPr>
        <w:t>072</w:t>
      </w:r>
      <w:r w:rsidR="00EE0497">
        <w:t> </w:t>
      </w:r>
      <w:r w:rsidR="00B502D4">
        <w:rPr>
          <w:rFonts w:hint="eastAsia"/>
        </w:rPr>
        <w:t>點，較三月</w:t>
      </w:r>
      <w:r w:rsidR="00B502D4">
        <w:rPr>
          <w:rFonts w:hint="eastAsia"/>
          <w:lang w:eastAsia="zh-HK"/>
        </w:rPr>
        <w:t>底</w:t>
      </w:r>
      <w:r w:rsidR="00B502D4">
        <w:rPr>
          <w:rFonts w:hint="eastAsia"/>
        </w:rPr>
        <w:t>高</w:t>
      </w:r>
      <w:r w:rsidR="00B502D4">
        <w:rPr>
          <w:rFonts w:hint="eastAsia"/>
        </w:rPr>
        <w:t>4.1%</w:t>
      </w:r>
      <w:r w:rsidR="00B502D4">
        <w:rPr>
          <w:rFonts w:hint="eastAsia"/>
        </w:rPr>
        <w:t>。交投活動</w:t>
      </w:r>
      <w:r w:rsidR="00B502D4">
        <w:rPr>
          <w:rFonts w:hint="eastAsia"/>
          <w:lang w:eastAsia="zh-HK"/>
        </w:rPr>
        <w:t>維</w:t>
      </w:r>
      <w:r w:rsidR="00B502D4">
        <w:rPr>
          <w:rFonts w:hint="eastAsia"/>
        </w:rPr>
        <w:t>持活躍，</w:t>
      </w:r>
      <w:r w:rsidR="00B502D4" w:rsidRPr="00D2268E">
        <w:rPr>
          <w:lang w:val="en-GB"/>
        </w:rPr>
        <w:t>平均每日成交額</w:t>
      </w:r>
      <w:r w:rsidR="00B502D4">
        <w:rPr>
          <w:rFonts w:hint="eastAsia"/>
          <w:lang w:val="en-GB"/>
        </w:rPr>
        <w:t>達</w:t>
      </w:r>
      <w:r w:rsidR="00B502D4">
        <w:rPr>
          <w:rFonts w:hint="eastAsia"/>
          <w:lang w:val="en-GB"/>
        </w:rPr>
        <w:t>2,377</w:t>
      </w:r>
      <w:r w:rsidR="001356AF">
        <w:t> </w:t>
      </w:r>
      <w:r w:rsidR="00B502D4">
        <w:rPr>
          <w:rFonts w:hint="eastAsia"/>
          <w:lang w:val="en-GB"/>
        </w:rPr>
        <w:t>億元，較一年前增加</w:t>
      </w:r>
      <w:r w:rsidR="00B502D4">
        <w:rPr>
          <w:rFonts w:hint="eastAsia"/>
          <w:lang w:val="en-GB"/>
        </w:rPr>
        <w:t>95.5%</w:t>
      </w:r>
      <w:r w:rsidR="00B502D4">
        <w:rPr>
          <w:rFonts w:hint="eastAsia"/>
          <w:lang w:val="en-GB"/>
        </w:rPr>
        <w:t>，</w:t>
      </w:r>
      <w:r w:rsidR="00E44A1B">
        <w:rPr>
          <w:rFonts w:hint="eastAsia"/>
          <w:lang w:val="en-GB" w:eastAsia="zh-HK"/>
        </w:rPr>
        <w:t>儘管</w:t>
      </w:r>
      <w:r w:rsidR="00C84D90" w:rsidRPr="00C84D90">
        <w:rPr>
          <w:rFonts w:hint="eastAsia"/>
          <w:lang w:val="en-GB" w:eastAsia="zh-HK"/>
        </w:rPr>
        <w:t>較上一季微跌</w:t>
      </w:r>
      <w:r w:rsidR="00B502D4">
        <w:rPr>
          <w:rFonts w:hint="eastAsia"/>
          <w:lang w:val="en-GB"/>
        </w:rPr>
        <w:t>2.1%</w:t>
      </w:r>
      <w:r w:rsidR="00B502D4">
        <w:rPr>
          <w:rFonts w:hint="eastAsia"/>
          <w:lang w:val="en-GB"/>
        </w:rPr>
        <w:t>。</w:t>
      </w:r>
      <w:r w:rsidR="00B502D4" w:rsidRPr="00AD1CF1">
        <w:rPr>
          <w:rFonts w:hint="eastAsia"/>
          <w:lang w:eastAsia="zh-HK"/>
        </w:rPr>
        <w:t>集資活動</w:t>
      </w:r>
      <w:r w:rsidR="00122801" w:rsidRPr="00122801">
        <w:rPr>
          <w:rFonts w:hint="eastAsia"/>
          <w:lang w:eastAsia="zh-HK"/>
        </w:rPr>
        <w:t>保持暢旺</w:t>
      </w:r>
      <w:r w:rsidR="00B502D4">
        <w:rPr>
          <w:rFonts w:hint="eastAsia"/>
        </w:rPr>
        <w:t>。</w:t>
      </w:r>
    </w:p>
    <w:p w14:paraId="20B8172E" w14:textId="3FEE71A7" w:rsidR="00624C05" w:rsidRPr="00957A6E" w:rsidRDefault="00624C05" w:rsidP="00624C05">
      <w:r w:rsidRPr="00AD1CF1">
        <w:rPr>
          <w:rFonts w:hint="eastAsia"/>
          <w:b/>
          <w:lang w:val="en-GB"/>
        </w:rPr>
        <w:t>1.</w:t>
      </w:r>
      <w:r>
        <w:rPr>
          <w:b/>
          <w:lang w:val="en-GB"/>
        </w:rPr>
        <w:t>9</w:t>
      </w:r>
      <w:r w:rsidRPr="00AD1CF1">
        <w:rPr>
          <w:i/>
          <w:lang w:val="en-GB"/>
        </w:rPr>
        <w:tab/>
      </w:r>
      <w:r w:rsidR="00B502D4" w:rsidRPr="00AD1CF1">
        <w:rPr>
          <w:rFonts w:hint="eastAsia"/>
          <w:i/>
          <w:lang w:val="en-GB"/>
        </w:rPr>
        <w:t>住宅物業市場</w:t>
      </w:r>
      <w:r w:rsidR="00B502D4" w:rsidRPr="00AD1CF1">
        <w:rPr>
          <w:rFonts w:hint="eastAsia"/>
          <w:lang w:val="en-GB"/>
        </w:rPr>
        <w:t>在第</w:t>
      </w:r>
      <w:r w:rsidR="00B502D4">
        <w:rPr>
          <w:rFonts w:hint="eastAsia"/>
          <w:lang w:val="en-GB" w:eastAsia="zh-HK"/>
        </w:rPr>
        <w:t>二</w:t>
      </w:r>
      <w:r w:rsidR="00B502D4" w:rsidRPr="00AD1CF1">
        <w:rPr>
          <w:rFonts w:hint="eastAsia"/>
          <w:lang w:val="en-GB"/>
        </w:rPr>
        <w:t>季</w:t>
      </w:r>
      <w:r w:rsidR="00B502D4" w:rsidRPr="009F5212">
        <w:rPr>
          <w:rFonts w:hint="eastAsia"/>
          <w:lang w:eastAsia="zh-HK"/>
        </w:rPr>
        <w:t>略見回穩</w:t>
      </w:r>
      <w:r w:rsidR="00B502D4" w:rsidRPr="00AD1CF1">
        <w:rPr>
          <w:rFonts w:hint="eastAsia"/>
          <w:lang w:val="en-GB"/>
        </w:rPr>
        <w:t>。</w:t>
      </w:r>
      <w:r w:rsidR="00B502D4">
        <w:rPr>
          <w:rFonts w:hint="eastAsia"/>
          <w:lang w:val="en-GB" w:eastAsia="zh-HK"/>
        </w:rPr>
        <w:t>隨着</w:t>
      </w:r>
      <w:r w:rsidR="00B502D4">
        <w:rPr>
          <w:rFonts w:hint="eastAsia"/>
        </w:rPr>
        <w:t>外圍環境的不確定性</w:t>
      </w:r>
      <w:r w:rsidR="00E07A48" w:rsidRPr="00E07A48">
        <w:rPr>
          <w:rFonts w:hint="eastAsia"/>
        </w:rPr>
        <w:t>有所緩解</w:t>
      </w:r>
      <w:r w:rsidR="00B502D4" w:rsidRPr="007A7B88">
        <w:rPr>
          <w:rFonts w:hint="eastAsia"/>
          <w:lang w:val="en-GB"/>
        </w:rPr>
        <w:t>，</w:t>
      </w:r>
      <w:r w:rsidR="00E07A48" w:rsidRPr="00E07A48">
        <w:rPr>
          <w:rFonts w:hint="eastAsia"/>
          <w:lang w:val="en-GB"/>
        </w:rPr>
        <w:t>尤其是在港元銀行同業拆息於五月急跌帶動按揭利率向下後，</w:t>
      </w:r>
      <w:r w:rsidR="00B502D4" w:rsidRPr="007A7B88">
        <w:rPr>
          <w:rFonts w:hint="eastAsia"/>
          <w:lang w:val="en-GB"/>
        </w:rPr>
        <w:t>市場氣氛</w:t>
      </w:r>
      <w:r w:rsidR="00912BA5">
        <w:rPr>
          <w:rFonts w:hint="eastAsia"/>
          <w:lang w:eastAsia="zh-HK"/>
        </w:rPr>
        <w:t>繼</w:t>
      </w:r>
      <w:r w:rsidR="00B502D4" w:rsidRPr="007A7B88">
        <w:rPr>
          <w:rFonts w:hint="eastAsia"/>
          <w:lang w:val="en-GB"/>
        </w:rPr>
        <w:t>續改善。交投量方面，</w:t>
      </w:r>
      <w:r w:rsidR="00B502D4" w:rsidRPr="007A7B88">
        <w:rPr>
          <w:rFonts w:hint="eastAsia"/>
        </w:rPr>
        <w:t>第</w:t>
      </w:r>
      <w:r w:rsidR="00B502D4" w:rsidRPr="007A7B88">
        <w:rPr>
          <w:rFonts w:hint="eastAsia"/>
          <w:lang w:eastAsia="zh-HK"/>
        </w:rPr>
        <w:t>二</w:t>
      </w:r>
      <w:r w:rsidR="00B502D4" w:rsidRPr="007A7B88">
        <w:rPr>
          <w:rFonts w:hint="eastAsia"/>
        </w:rPr>
        <w:t>季送交土地註冊處註冊的住宅物業買賣合約總數較上一季顯著反彈</w:t>
      </w:r>
      <w:r w:rsidR="00B502D4" w:rsidRPr="007A7B88">
        <w:rPr>
          <w:rFonts w:hint="eastAsia"/>
        </w:rPr>
        <w:t>37%</w:t>
      </w:r>
      <w:r w:rsidR="00B502D4" w:rsidRPr="007A7B88">
        <w:rPr>
          <w:rFonts w:hint="eastAsia"/>
        </w:rPr>
        <w:t>至</w:t>
      </w:r>
      <w:r w:rsidR="00B502D4" w:rsidRPr="007A7B88">
        <w:rPr>
          <w:rFonts w:hint="eastAsia"/>
        </w:rPr>
        <w:t>16</w:t>
      </w:r>
      <w:r w:rsidR="00B502D4" w:rsidRPr="00AD1CF1">
        <w:t> </w:t>
      </w:r>
      <w:r w:rsidR="00B502D4">
        <w:rPr>
          <w:rFonts w:hint="eastAsia"/>
        </w:rPr>
        <w:t>574</w:t>
      </w:r>
      <w:r w:rsidR="00B502D4" w:rsidRPr="00AD1CF1">
        <w:t> </w:t>
      </w:r>
      <w:r w:rsidR="00B502D4" w:rsidRPr="00AD1CF1">
        <w:rPr>
          <w:rFonts w:hint="eastAsia"/>
          <w:lang w:eastAsia="zh-HK"/>
        </w:rPr>
        <w:t>份，</w:t>
      </w:r>
      <w:r w:rsidR="005E164F">
        <w:rPr>
          <w:rFonts w:hint="eastAsia"/>
          <w:lang w:eastAsia="zh-HK"/>
        </w:rPr>
        <w:t>較</w:t>
      </w:r>
      <w:r w:rsidR="00B502D4" w:rsidRPr="006C78F4">
        <w:rPr>
          <w:rFonts w:hint="eastAsia"/>
          <w:lang w:eastAsia="zh-HK"/>
        </w:rPr>
        <w:t>一年前的高水平僅低</w:t>
      </w:r>
      <w:r w:rsidR="00D72F76">
        <w:rPr>
          <w:lang w:eastAsia="zh-HK"/>
        </w:rPr>
        <w:t> </w:t>
      </w:r>
      <w:r w:rsidR="00B502D4" w:rsidRPr="006C78F4">
        <w:rPr>
          <w:rFonts w:hint="eastAsia"/>
          <w:lang w:eastAsia="zh-HK"/>
        </w:rPr>
        <w:t>7%</w:t>
      </w:r>
      <w:r w:rsidR="00B502D4" w:rsidRPr="00AD1CF1">
        <w:rPr>
          <w:rFonts w:hint="eastAsia"/>
          <w:lang w:eastAsia="zh-HK"/>
        </w:rPr>
        <w:t>。</w:t>
      </w:r>
      <w:r w:rsidR="00B502D4" w:rsidRPr="004F64C0">
        <w:rPr>
          <w:rFonts w:hint="eastAsia"/>
          <w:lang w:eastAsia="zh-HK"/>
        </w:rPr>
        <w:t>整體住宅售價大致</w:t>
      </w:r>
      <w:r w:rsidR="006A28B2">
        <w:rPr>
          <w:rFonts w:hint="eastAsia"/>
          <w:lang w:eastAsia="zh-HK"/>
        </w:rPr>
        <w:t>企</w:t>
      </w:r>
      <w:r w:rsidR="00B502D4" w:rsidRPr="004F64C0">
        <w:rPr>
          <w:rFonts w:hint="eastAsia"/>
          <w:lang w:eastAsia="zh-HK"/>
        </w:rPr>
        <w:t>穩，</w:t>
      </w:r>
      <w:r w:rsidR="006A28B2" w:rsidRPr="004F64C0">
        <w:rPr>
          <w:rFonts w:hint="eastAsia"/>
          <w:lang w:eastAsia="zh-HK"/>
        </w:rPr>
        <w:t>在第二季內</w:t>
      </w:r>
      <w:r w:rsidR="00B502D4" w:rsidRPr="004F64C0">
        <w:rPr>
          <w:rFonts w:hint="eastAsia"/>
          <w:lang w:eastAsia="zh-HK"/>
        </w:rPr>
        <w:t>回升</w:t>
      </w:r>
      <w:r w:rsidR="00B502D4" w:rsidRPr="004F64C0">
        <w:rPr>
          <w:rFonts w:hint="eastAsia"/>
          <w:lang w:eastAsia="zh-HK"/>
        </w:rPr>
        <w:t>1%</w:t>
      </w:r>
      <w:r w:rsidR="00B502D4" w:rsidRPr="004F64C0">
        <w:rPr>
          <w:rFonts w:hint="eastAsia"/>
          <w:lang w:eastAsia="zh-HK"/>
        </w:rPr>
        <w:t>。主要受按揭利率在季內顯著下跌所</w:t>
      </w:r>
      <w:r w:rsidR="00912BA5">
        <w:rPr>
          <w:rFonts w:hint="eastAsia"/>
          <w:lang w:eastAsia="zh-HK"/>
        </w:rPr>
        <w:t>支持</w:t>
      </w:r>
      <w:r w:rsidR="00B502D4" w:rsidRPr="004F64C0">
        <w:rPr>
          <w:rFonts w:hint="eastAsia"/>
          <w:lang w:eastAsia="zh-HK"/>
        </w:rPr>
        <w:t>，置業負擔指數進一步改善至約</w:t>
      </w:r>
      <w:r w:rsidR="009B0373">
        <w:rPr>
          <w:rFonts w:hint="eastAsia"/>
        </w:rPr>
        <w:t>55%</w:t>
      </w:r>
      <w:r w:rsidR="00B502D4" w:rsidRPr="004F64C0">
        <w:rPr>
          <w:rFonts w:hint="eastAsia"/>
          <w:lang w:eastAsia="zh-HK"/>
        </w:rPr>
        <w:t>，與長期平均數相若</w:t>
      </w:r>
      <w:r w:rsidR="00B502D4">
        <w:rPr>
          <w:rFonts w:hint="eastAsia"/>
        </w:rPr>
        <w:t>。</w:t>
      </w:r>
      <w:r w:rsidR="00B502D4" w:rsidRPr="003B085F">
        <w:rPr>
          <w:rFonts w:hint="eastAsia"/>
        </w:rPr>
        <w:t>整體住宅租金保持強韌，在三</w:t>
      </w:r>
      <w:r w:rsidR="00DD25FA">
        <w:rPr>
          <w:rFonts w:hint="eastAsia"/>
        </w:rPr>
        <w:t>月</w:t>
      </w:r>
      <w:r w:rsidR="00B502D4" w:rsidRPr="003B085F">
        <w:rPr>
          <w:rFonts w:hint="eastAsia"/>
        </w:rPr>
        <w:t>至六月期間進一步上升</w:t>
      </w:r>
      <w:r w:rsidR="00B502D4" w:rsidRPr="003B085F">
        <w:rPr>
          <w:rFonts w:hint="eastAsia"/>
        </w:rPr>
        <w:t>1%</w:t>
      </w:r>
      <w:r w:rsidR="00B502D4" w:rsidRPr="003B085F">
        <w:rPr>
          <w:rFonts w:hint="eastAsia"/>
        </w:rPr>
        <w:t>。</w:t>
      </w:r>
      <w:r w:rsidR="00B502D4" w:rsidRPr="003B085F">
        <w:rPr>
          <w:rFonts w:hint="eastAsia"/>
          <w:i/>
        </w:rPr>
        <w:t>非住宅物業市場</w:t>
      </w:r>
      <w:r w:rsidR="00B502D4" w:rsidRPr="003B085F">
        <w:rPr>
          <w:rFonts w:hint="eastAsia"/>
        </w:rPr>
        <w:t>在第二季大致維持疲弱。</w:t>
      </w:r>
      <w:r w:rsidR="009B0373">
        <w:rPr>
          <w:rFonts w:hint="eastAsia"/>
        </w:rPr>
        <w:t>售價和租金</w:t>
      </w:r>
      <w:r w:rsidR="009B0373" w:rsidRPr="009830DB">
        <w:t>仍然偏軟</w:t>
      </w:r>
      <w:r w:rsidR="009B0373">
        <w:rPr>
          <w:rFonts w:hint="eastAsia"/>
        </w:rPr>
        <w:t>，</w:t>
      </w:r>
      <w:r w:rsidR="009B0373" w:rsidRPr="00F84D33">
        <w:rPr>
          <w:rFonts w:hint="eastAsia"/>
        </w:rPr>
        <w:t>所有</w:t>
      </w:r>
      <w:r w:rsidR="009B0373" w:rsidRPr="000A686A">
        <w:rPr>
          <w:rFonts w:hint="eastAsia"/>
        </w:rPr>
        <w:t>主要市場環節</w:t>
      </w:r>
      <w:r w:rsidR="009B0373" w:rsidRPr="006273B1">
        <w:rPr>
          <w:rFonts w:hint="eastAsia"/>
        </w:rPr>
        <w:t>的交投活動</w:t>
      </w:r>
      <w:r w:rsidR="000B1741">
        <w:rPr>
          <w:rFonts w:hint="eastAsia"/>
        </w:rPr>
        <w:t>則</w:t>
      </w:r>
      <w:r w:rsidR="009B0373">
        <w:rPr>
          <w:rFonts w:hint="eastAsia"/>
        </w:rPr>
        <w:t>有所增加</w:t>
      </w:r>
      <w:r w:rsidR="009B0373">
        <w:rPr>
          <w:rFonts w:hint="eastAsia"/>
          <w:lang w:eastAsia="zh-HK"/>
        </w:rPr>
        <w:t>。</w:t>
      </w:r>
    </w:p>
    <w:p w14:paraId="4FEF51C8" w14:textId="77777777" w:rsidR="008B0A73" w:rsidRDefault="008B0A73">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br w:type="page"/>
      </w:r>
    </w:p>
    <w:p w14:paraId="5C7677F8" w14:textId="62C8E468" w:rsidR="00624C05" w:rsidRPr="00276AD6" w:rsidRDefault="00624C05" w:rsidP="00624C05">
      <w:pPr>
        <w:pStyle w:val="120"/>
      </w:pPr>
      <w:r w:rsidRPr="00771436">
        <w:rPr>
          <w:rFonts w:hint="eastAsia"/>
        </w:rPr>
        <w:t>通脹</w:t>
      </w:r>
    </w:p>
    <w:p w14:paraId="47E541C8" w14:textId="7A03B5F9" w:rsidR="00624C05" w:rsidRDefault="00624C05" w:rsidP="00624C05">
      <w:pPr>
        <w:rPr>
          <w:lang w:val="en-GB"/>
        </w:rPr>
      </w:pPr>
      <w:r w:rsidRPr="00276AD6">
        <w:rPr>
          <w:rFonts w:hint="eastAsia"/>
          <w:b/>
          <w:lang w:val="en-GB"/>
        </w:rPr>
        <w:t>1.1</w:t>
      </w:r>
      <w:r>
        <w:rPr>
          <w:b/>
          <w:lang w:val="en-GB"/>
        </w:rPr>
        <w:t>0</w:t>
      </w:r>
      <w:r>
        <w:rPr>
          <w:rFonts w:hint="eastAsia"/>
          <w:lang w:val="en-GB"/>
        </w:rPr>
        <w:tab/>
      </w:r>
      <w:r w:rsidR="00F83D3E" w:rsidRPr="008B496E">
        <w:rPr>
          <w:rFonts w:hint="eastAsia"/>
          <w:lang w:val="en-GB"/>
        </w:rPr>
        <w:t>二零二五年第二季基本消費物價通脹維持輕微</w:t>
      </w:r>
      <w:r w:rsidR="00F83D3E">
        <w:rPr>
          <w:rFonts w:hint="eastAsia"/>
          <w:lang w:val="en-GB" w:eastAsia="zh-HK"/>
        </w:rPr>
        <w:t>。</w:t>
      </w:r>
      <w:r w:rsidR="00F83D3E" w:rsidRPr="00A46BDC">
        <w:rPr>
          <w:rFonts w:hint="eastAsia"/>
          <w:lang w:val="en-GB"/>
        </w:rPr>
        <w:t>主要組成項目</w:t>
      </w:r>
      <w:r w:rsidR="00FF2271" w:rsidRPr="00A46BDC">
        <w:rPr>
          <w:rFonts w:hint="eastAsia"/>
          <w:lang w:val="en-GB"/>
        </w:rPr>
        <w:t>與一年前相</w:t>
      </w:r>
      <w:r w:rsidR="004452EC" w:rsidRPr="00A46BDC">
        <w:rPr>
          <w:rFonts w:hint="eastAsia"/>
          <w:lang w:val="en-GB"/>
        </w:rPr>
        <w:t>比</w:t>
      </w:r>
      <w:r w:rsidR="00FF2271" w:rsidRPr="00A46BDC">
        <w:rPr>
          <w:rFonts w:hint="eastAsia"/>
          <w:lang w:val="en-GB"/>
        </w:rPr>
        <w:t>普遍呈現</w:t>
      </w:r>
      <w:r w:rsidR="00F83D3E" w:rsidRPr="00A46BDC">
        <w:rPr>
          <w:rFonts w:hint="eastAsia"/>
          <w:lang w:val="en-GB" w:eastAsia="zh-HK"/>
        </w:rPr>
        <w:t>輕微至溫和</w:t>
      </w:r>
      <w:r w:rsidR="001973DA" w:rsidRPr="00A46BDC">
        <w:rPr>
          <w:rFonts w:hint="eastAsia"/>
          <w:lang w:val="en-GB"/>
        </w:rPr>
        <w:t>變動</w:t>
      </w:r>
      <w:r w:rsidR="00646CBA">
        <w:rPr>
          <w:rFonts w:hint="eastAsia"/>
          <w:lang w:val="en-GB"/>
        </w:rPr>
        <w:t>，</w:t>
      </w:r>
      <w:bookmarkStart w:id="1" w:name="_Hlk205482025"/>
      <w:r w:rsidR="00646CBA">
        <w:rPr>
          <w:rFonts w:hint="eastAsia"/>
          <w:lang w:val="en-GB" w:eastAsia="zh-HK"/>
        </w:rPr>
        <w:t>反映</w:t>
      </w:r>
      <w:r w:rsidR="00646CBA" w:rsidRPr="008B496E">
        <w:rPr>
          <w:rFonts w:hint="eastAsia"/>
          <w:lang w:val="en-GB"/>
        </w:rPr>
        <w:t>本地</w:t>
      </w:r>
      <w:r w:rsidR="00646CBA">
        <w:rPr>
          <w:rFonts w:hint="eastAsia"/>
          <w:lang w:val="en-GB" w:eastAsia="zh-HK"/>
        </w:rPr>
        <w:t>和</w:t>
      </w:r>
      <w:r w:rsidR="00646CBA" w:rsidRPr="008B496E">
        <w:rPr>
          <w:rFonts w:hint="eastAsia"/>
          <w:lang w:val="en-GB"/>
        </w:rPr>
        <w:t>外圍價格壓力大致受控</w:t>
      </w:r>
      <w:bookmarkEnd w:id="1"/>
      <w:r w:rsidR="00F83D3E" w:rsidRPr="008B496E">
        <w:rPr>
          <w:rFonts w:hint="eastAsia"/>
          <w:lang w:val="en-GB"/>
        </w:rPr>
        <w:t>。</w:t>
      </w:r>
      <w:r w:rsidR="00F83D3E" w:rsidRPr="00180B3D">
        <w:rPr>
          <w:rFonts w:hint="eastAsia"/>
          <w:lang w:val="en-GB"/>
        </w:rPr>
        <w:t>撇除政府一次性紓緩措施的效應，</w:t>
      </w:r>
      <w:r w:rsidR="00F83D3E" w:rsidRPr="003B4EAE">
        <w:rPr>
          <w:rFonts w:hint="eastAsia"/>
          <w:i/>
          <w:lang w:val="en-GB"/>
        </w:rPr>
        <w:t>基本綜合消費物價指數</w:t>
      </w:r>
      <w:r w:rsidR="00F83D3E" w:rsidRPr="00180B3D">
        <w:rPr>
          <w:rFonts w:hint="eastAsia"/>
          <w:lang w:val="en-GB"/>
        </w:rPr>
        <w:t>按年上升</w:t>
      </w:r>
      <w:r w:rsidR="00F83D3E" w:rsidRPr="00180B3D">
        <w:rPr>
          <w:rFonts w:hint="eastAsia"/>
          <w:lang w:val="en-GB"/>
        </w:rPr>
        <w:t>1.</w:t>
      </w:r>
      <w:r w:rsidR="00F83D3E">
        <w:rPr>
          <w:rFonts w:hint="eastAsia"/>
          <w:lang w:val="en-GB"/>
        </w:rPr>
        <w:t>1</w:t>
      </w:r>
      <w:r w:rsidR="00F83D3E" w:rsidRPr="00180B3D">
        <w:rPr>
          <w:rFonts w:hint="eastAsia"/>
          <w:lang w:val="en-GB"/>
        </w:rPr>
        <w:t>%</w:t>
      </w:r>
      <w:r w:rsidR="00F83D3E" w:rsidRPr="00180B3D">
        <w:rPr>
          <w:rFonts w:hint="eastAsia"/>
          <w:lang w:val="en-GB"/>
        </w:rPr>
        <w:t>，上一季</w:t>
      </w:r>
      <w:r w:rsidR="00F83D3E">
        <w:rPr>
          <w:rFonts w:hint="eastAsia"/>
          <w:lang w:val="en-GB"/>
        </w:rPr>
        <w:t>的</w:t>
      </w:r>
      <w:r w:rsidR="00F83D3E" w:rsidRPr="00180B3D">
        <w:rPr>
          <w:rFonts w:hint="eastAsia"/>
          <w:lang w:val="en-GB"/>
        </w:rPr>
        <w:t>升幅</w:t>
      </w:r>
      <w:r w:rsidR="00F83D3E">
        <w:rPr>
          <w:rFonts w:hint="eastAsia"/>
          <w:lang w:val="en-GB" w:eastAsia="zh-HK"/>
        </w:rPr>
        <w:t>為</w:t>
      </w:r>
      <w:r w:rsidR="00F83D3E">
        <w:rPr>
          <w:rFonts w:hint="eastAsia"/>
          <w:lang w:val="en-GB"/>
        </w:rPr>
        <w:t>1.2%</w:t>
      </w:r>
      <w:r w:rsidR="00F83D3E" w:rsidRPr="00180B3D">
        <w:rPr>
          <w:rFonts w:hint="eastAsia"/>
          <w:lang w:val="en-GB"/>
        </w:rPr>
        <w:t>。</w:t>
      </w:r>
    </w:p>
    <w:p w14:paraId="41196395" w14:textId="0C91954E" w:rsidR="00624C05" w:rsidRDefault="00624C05" w:rsidP="00624C05">
      <w:pPr>
        <w:rPr>
          <w:lang w:val="en-GB"/>
        </w:rPr>
      </w:pPr>
      <w:r w:rsidRPr="003B4EAE">
        <w:rPr>
          <w:rFonts w:hint="eastAsia"/>
          <w:b/>
          <w:lang w:val="en-GB"/>
        </w:rPr>
        <w:t>1.1</w:t>
      </w:r>
      <w:r>
        <w:rPr>
          <w:b/>
          <w:lang w:val="en-GB"/>
        </w:rPr>
        <w:t>1</w:t>
      </w:r>
      <w:r>
        <w:rPr>
          <w:lang w:val="en-GB"/>
        </w:rPr>
        <w:tab/>
      </w:r>
      <w:r w:rsidR="00F83D3E" w:rsidRPr="006C347D">
        <w:rPr>
          <w:rFonts w:hint="eastAsia"/>
          <w:lang w:val="en-GB"/>
        </w:rPr>
        <w:t>作為量度經濟體系內整體價格變動的概括指標，</w:t>
      </w:r>
      <w:r w:rsidR="00F83D3E" w:rsidRPr="00161B02">
        <w:rPr>
          <w:rFonts w:hint="eastAsia"/>
          <w:i/>
          <w:lang w:val="en-GB"/>
        </w:rPr>
        <w:t>本地生產總值平減物價指數</w:t>
      </w:r>
      <w:r w:rsidR="00F83D3E" w:rsidRPr="006C347D">
        <w:rPr>
          <w:rFonts w:hint="eastAsia"/>
          <w:lang w:val="en-GB"/>
        </w:rPr>
        <w:t>繼上一季按年上升</w:t>
      </w:r>
      <w:r w:rsidR="00F83D3E" w:rsidRPr="006C347D">
        <w:rPr>
          <w:rFonts w:hint="eastAsia"/>
          <w:lang w:val="en-GB"/>
        </w:rPr>
        <w:t>1.3%</w:t>
      </w:r>
      <w:r w:rsidR="00F83D3E" w:rsidRPr="006C347D">
        <w:rPr>
          <w:rFonts w:hint="eastAsia"/>
          <w:lang w:val="en-GB"/>
        </w:rPr>
        <w:t>後，在第二季</w:t>
      </w:r>
      <w:r w:rsidR="00FF2271">
        <w:rPr>
          <w:rFonts w:hint="eastAsia"/>
          <w:lang w:val="en-GB" w:eastAsia="zh-HK"/>
        </w:rPr>
        <w:t>輕</w:t>
      </w:r>
      <w:r w:rsidR="00F83D3E">
        <w:rPr>
          <w:rFonts w:hint="eastAsia"/>
          <w:lang w:val="en-GB" w:eastAsia="zh-HK"/>
        </w:rPr>
        <w:t>微</w:t>
      </w:r>
      <w:r w:rsidR="00FF2271">
        <w:rPr>
          <w:rFonts w:hint="eastAsia"/>
          <w:lang w:val="en-GB" w:eastAsia="zh-HK"/>
        </w:rPr>
        <w:t>上</w:t>
      </w:r>
      <w:r w:rsidR="00F83D3E" w:rsidRPr="006C347D">
        <w:rPr>
          <w:rFonts w:hint="eastAsia"/>
          <w:lang w:val="en-GB"/>
        </w:rPr>
        <w:t>升</w:t>
      </w:r>
      <w:r w:rsidR="004923BD">
        <w:rPr>
          <w:lang w:val="en-GB"/>
        </w:rPr>
        <w:t>0.5%</w:t>
      </w:r>
      <w:r w:rsidR="00F83D3E" w:rsidRPr="006C347D">
        <w:rPr>
          <w:rFonts w:hint="eastAsia"/>
          <w:lang w:val="en-GB"/>
        </w:rPr>
        <w:t>。</w:t>
      </w:r>
      <w:r w:rsidR="00F83D3E" w:rsidRPr="00161B02">
        <w:rPr>
          <w:rFonts w:hint="eastAsia"/>
          <w:i/>
          <w:lang w:val="en-GB"/>
        </w:rPr>
        <w:t>貿易價格比率</w:t>
      </w:r>
      <w:r w:rsidR="00E71981">
        <w:rPr>
          <w:rFonts w:hint="eastAsia"/>
          <w:lang w:val="en-GB" w:eastAsia="zh-HK"/>
        </w:rPr>
        <w:t>按年</w:t>
      </w:r>
      <w:r w:rsidR="00F83D3E">
        <w:rPr>
          <w:rFonts w:hint="eastAsia"/>
          <w:lang w:val="en-GB" w:eastAsia="zh-HK"/>
        </w:rPr>
        <w:t>進一步</w:t>
      </w:r>
      <w:r w:rsidR="00F83D3E" w:rsidRPr="006C347D">
        <w:rPr>
          <w:rFonts w:hint="eastAsia"/>
          <w:lang w:val="en-GB"/>
        </w:rPr>
        <w:t>下跌</w:t>
      </w:r>
      <w:r w:rsidR="004923BD">
        <w:rPr>
          <w:lang w:val="en-GB"/>
        </w:rPr>
        <w:t>0.6%</w:t>
      </w:r>
      <w:r w:rsidR="00F83D3E" w:rsidRPr="006C347D">
        <w:rPr>
          <w:rFonts w:hint="eastAsia"/>
          <w:lang w:val="en-GB"/>
        </w:rPr>
        <w:t>，內部需求平減物價指數</w:t>
      </w:r>
      <w:r w:rsidR="00F83D3E">
        <w:rPr>
          <w:rFonts w:hint="eastAsia"/>
          <w:lang w:val="en-GB" w:eastAsia="zh-HK"/>
        </w:rPr>
        <w:t>則續</w:t>
      </w:r>
      <w:r w:rsidR="00F83D3E" w:rsidRPr="006C347D">
        <w:rPr>
          <w:rFonts w:hint="eastAsia"/>
          <w:lang w:val="en-GB"/>
        </w:rPr>
        <w:t>升</w:t>
      </w:r>
      <w:r w:rsidR="00F83D3E" w:rsidRPr="00A46BDC">
        <w:rPr>
          <w:lang w:val="en-GB"/>
        </w:rPr>
        <w:t>1.7%</w:t>
      </w:r>
      <w:r w:rsidR="00F83D3E" w:rsidRPr="006C347D">
        <w:rPr>
          <w:rFonts w:hint="eastAsia"/>
          <w:lang w:val="en-GB"/>
        </w:rPr>
        <w:t>。</w:t>
      </w:r>
    </w:p>
    <w:p w14:paraId="480ED0D7" w14:textId="3E90DBFE" w:rsidR="00624C05" w:rsidRDefault="00D61DEA" w:rsidP="00F01FAE">
      <w:r w:rsidRPr="00D61DEA">
        <w:rPr>
          <w:noProof/>
        </w:rPr>
        <w:drawing>
          <wp:inline distT="0" distB="0" distL="0" distR="0" wp14:anchorId="40ADB13A" wp14:editId="33AAF3FF">
            <wp:extent cx="5760085" cy="35090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09010"/>
                    </a:xfrm>
                    <a:prstGeom prst="rect">
                      <a:avLst/>
                    </a:prstGeom>
                    <a:noFill/>
                    <a:ln>
                      <a:noFill/>
                    </a:ln>
                  </pic:spPr>
                </pic:pic>
              </a:graphicData>
            </a:graphic>
          </wp:inline>
        </w:drawing>
      </w:r>
    </w:p>
    <w:p w14:paraId="7B6EAAB5" w14:textId="73F07E9B" w:rsidR="00624C05" w:rsidRDefault="00624C05">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rPr>
          <w:rFonts w:eastAsia="華康中黑體"/>
        </w:rPr>
        <w:br w:type="page"/>
      </w:r>
    </w:p>
    <w:p w14:paraId="744EF232" w14:textId="77777777" w:rsidR="00624C05" w:rsidRDefault="00624C05" w:rsidP="00624C05">
      <w:pPr>
        <w:pStyle w:val="120"/>
      </w:pPr>
      <w:r w:rsidRPr="00AB3073">
        <w:rPr>
          <w:rFonts w:hint="eastAsia"/>
        </w:rPr>
        <w:t>主要經濟行業的淨產值</w:t>
      </w:r>
    </w:p>
    <w:p w14:paraId="13AE61ED" w14:textId="77BBEA25" w:rsidR="00624C05" w:rsidRPr="0062066F" w:rsidRDefault="00624C05" w:rsidP="00624C05">
      <w:pPr>
        <w:rPr>
          <w:lang w:eastAsia="zh-HK"/>
        </w:rPr>
      </w:pPr>
      <w:r w:rsidRPr="006D5A4A">
        <w:rPr>
          <w:b/>
          <w:lang w:val="en-GB"/>
        </w:rPr>
        <w:t>1.1</w:t>
      </w:r>
      <w:r>
        <w:rPr>
          <w:b/>
          <w:lang w:val="en-GB"/>
        </w:rPr>
        <w:t>2</w:t>
      </w:r>
      <w:r>
        <w:rPr>
          <w:lang w:val="en-GB"/>
        </w:rPr>
        <w:tab/>
      </w:r>
      <w:r w:rsidR="00F83D3E">
        <w:rPr>
          <w:rFonts w:hint="eastAsia"/>
          <w:lang w:val="en-GB" w:eastAsia="zh-HK"/>
        </w:rPr>
        <w:t>主要經</w:t>
      </w:r>
      <w:r w:rsidR="00F83D3E">
        <w:rPr>
          <w:rFonts w:hint="eastAsia"/>
          <w:lang w:val="en-GB"/>
        </w:rPr>
        <w:t>濟</w:t>
      </w:r>
      <w:r w:rsidR="00F83D3E">
        <w:rPr>
          <w:rFonts w:hint="eastAsia"/>
          <w:lang w:val="en-GB" w:eastAsia="zh-HK"/>
        </w:rPr>
        <w:t>行業的淨產值統計數字目前只截至二零二五年第一季。</w:t>
      </w:r>
      <w:r w:rsidR="00F83D3E" w:rsidRPr="00C14E96">
        <w:rPr>
          <w:lang w:val="en-GB"/>
        </w:rPr>
        <w:t>服務業</w:t>
      </w:r>
      <w:r w:rsidR="00F83D3E">
        <w:rPr>
          <w:rFonts w:hint="eastAsia"/>
          <w:lang w:val="en-GB" w:eastAsia="zh-HK"/>
        </w:rPr>
        <w:t>的</w:t>
      </w:r>
      <w:r w:rsidR="00F83D3E" w:rsidRPr="00C14E96">
        <w:rPr>
          <w:lang w:val="en-GB"/>
        </w:rPr>
        <w:t>淨產值</w:t>
      </w:r>
      <w:r w:rsidR="00F83D3E" w:rsidRPr="00C14E96">
        <w:rPr>
          <w:rFonts w:hint="eastAsia"/>
          <w:lang w:val="en-GB"/>
        </w:rPr>
        <w:t>在</w:t>
      </w:r>
      <w:r w:rsidR="00F83D3E">
        <w:rPr>
          <w:rFonts w:hint="eastAsia"/>
          <w:lang w:val="en-GB" w:eastAsia="zh-HK"/>
        </w:rPr>
        <w:t>二零二五年第一季</w:t>
      </w:r>
      <w:r w:rsidR="00F83D3E">
        <w:rPr>
          <w:rFonts w:hint="eastAsia"/>
          <w:lang w:val="en-GB"/>
        </w:rPr>
        <w:t>按年</w:t>
      </w:r>
      <w:r w:rsidR="00F83D3E" w:rsidRPr="00C14E96">
        <w:rPr>
          <w:rFonts w:hint="eastAsia"/>
          <w:lang w:val="en-GB"/>
        </w:rPr>
        <w:t>實質</w:t>
      </w:r>
      <w:r w:rsidR="00F83D3E">
        <w:rPr>
          <w:rFonts w:hint="eastAsia"/>
          <w:lang w:val="en-GB" w:eastAsia="zh-HK"/>
        </w:rPr>
        <w:t>上升</w:t>
      </w:r>
      <w:r w:rsidR="00066195">
        <w:rPr>
          <w:lang w:val="en-GB" w:eastAsia="zh-HK"/>
        </w:rPr>
        <w:t>2.5%</w:t>
      </w:r>
      <w:r w:rsidR="00F83D3E" w:rsidRPr="00773284">
        <w:rPr>
          <w:rFonts w:hint="eastAsia"/>
          <w:lang w:eastAsia="zh-HK"/>
        </w:rPr>
        <w:t>，</w:t>
      </w:r>
      <w:r w:rsidR="00F83D3E">
        <w:rPr>
          <w:rFonts w:hint="eastAsia"/>
          <w:lang w:eastAsia="zh-HK"/>
        </w:rPr>
        <w:t>較</w:t>
      </w:r>
      <w:r w:rsidR="00F83D3E">
        <w:rPr>
          <w:rFonts w:hint="eastAsia"/>
          <w:lang w:val="en-GB" w:eastAsia="zh-HK"/>
        </w:rPr>
        <w:t>上一季的</w:t>
      </w:r>
      <w:r w:rsidR="00D72F76">
        <w:rPr>
          <w:lang w:eastAsia="zh-HK"/>
        </w:rPr>
        <w:t> </w:t>
      </w:r>
      <w:r w:rsidR="00F83D3E" w:rsidRPr="00601504">
        <w:rPr>
          <w:rFonts w:hint="eastAsia"/>
        </w:rPr>
        <w:t>1.7%</w:t>
      </w:r>
      <w:r w:rsidR="00F83D3E">
        <w:rPr>
          <w:rFonts w:hint="eastAsia"/>
          <w:lang w:eastAsia="zh-HK"/>
        </w:rPr>
        <w:t>和</w:t>
      </w:r>
      <w:r w:rsidR="00F83D3E" w:rsidRPr="009D475C">
        <w:rPr>
          <w:rFonts w:hint="eastAsia"/>
          <w:lang w:val="en-GB"/>
        </w:rPr>
        <w:t>二零二四年</w:t>
      </w:r>
      <w:r w:rsidR="00F83D3E">
        <w:rPr>
          <w:rFonts w:hint="eastAsia"/>
          <w:lang w:val="en-GB" w:eastAsia="zh-HK"/>
        </w:rPr>
        <w:t>全年合計的</w:t>
      </w:r>
      <w:r w:rsidR="00D72F76">
        <w:rPr>
          <w:lang w:eastAsia="zh-HK"/>
        </w:rPr>
        <w:t> </w:t>
      </w:r>
      <w:r w:rsidR="00F83D3E">
        <w:rPr>
          <w:rFonts w:hint="eastAsia"/>
          <w:lang w:val="en-GB"/>
        </w:rPr>
        <w:t>2.</w:t>
      </w:r>
      <w:r w:rsidR="00F83D3E">
        <w:rPr>
          <w:lang w:val="en-GB"/>
        </w:rPr>
        <w:t>0</w:t>
      </w:r>
      <w:r w:rsidR="00F83D3E" w:rsidRPr="00C14E96">
        <w:rPr>
          <w:rFonts w:hint="eastAsia"/>
          <w:lang w:val="en-GB"/>
        </w:rPr>
        <w:t>%</w:t>
      </w:r>
      <w:r w:rsidR="00F83D3E">
        <w:rPr>
          <w:rFonts w:hint="eastAsia"/>
          <w:lang w:eastAsia="zh-HK"/>
        </w:rPr>
        <w:t>顯著</w:t>
      </w:r>
      <w:r w:rsidR="00752B4F">
        <w:rPr>
          <w:rFonts w:hint="eastAsia"/>
          <w:lang w:eastAsia="zh-HK"/>
        </w:rPr>
        <w:t>加快</w:t>
      </w:r>
      <w:r w:rsidR="00F83D3E" w:rsidRPr="00C14E96">
        <w:rPr>
          <w:rFonts w:hint="eastAsia"/>
          <w:lang w:val="en-GB"/>
        </w:rPr>
        <w:t>。大部分主要</w:t>
      </w:r>
      <w:r w:rsidR="00F83D3E">
        <w:rPr>
          <w:rFonts w:hint="eastAsia"/>
          <w:lang w:val="en-GB" w:eastAsia="zh-HK"/>
        </w:rPr>
        <w:t>服務</w:t>
      </w:r>
      <w:r w:rsidR="00F83D3E" w:rsidRPr="00C14E96">
        <w:rPr>
          <w:rFonts w:hint="eastAsia"/>
          <w:lang w:val="en-GB"/>
        </w:rPr>
        <w:t>行</w:t>
      </w:r>
      <w:r w:rsidR="00F83D3E" w:rsidRPr="00C14E96">
        <w:rPr>
          <w:lang w:val="en-GB"/>
        </w:rPr>
        <w:t>業的淨產值</w:t>
      </w:r>
      <w:r w:rsidR="00F83D3E">
        <w:rPr>
          <w:rFonts w:hint="eastAsia"/>
          <w:lang w:val="en-GB" w:eastAsia="zh-HK"/>
        </w:rPr>
        <w:t>在第一季繼續錄得</w:t>
      </w:r>
      <w:r w:rsidR="00F83D3E">
        <w:rPr>
          <w:rFonts w:hint="eastAsia"/>
          <w:lang w:val="en-GB"/>
        </w:rPr>
        <w:t>按年</w:t>
      </w:r>
      <w:r w:rsidR="00F83D3E" w:rsidRPr="00C14E96">
        <w:rPr>
          <w:rFonts w:hint="eastAsia"/>
          <w:lang w:val="en-GB"/>
        </w:rPr>
        <w:t>增長。</w:t>
      </w:r>
      <w:r w:rsidR="00F83D3E">
        <w:rPr>
          <w:rFonts w:hint="eastAsia"/>
          <w:lang w:val="en-GB" w:eastAsia="zh-HK"/>
        </w:rPr>
        <w:t>具體</w:t>
      </w:r>
      <w:r w:rsidR="00F83D3E">
        <w:rPr>
          <w:rFonts w:hint="eastAsia"/>
          <w:lang w:val="en-GB"/>
        </w:rPr>
        <w:t>而言</w:t>
      </w:r>
      <w:r w:rsidR="00F83D3E">
        <w:rPr>
          <w:rFonts w:hint="eastAsia"/>
          <w:lang w:val="en-GB" w:eastAsia="zh-HK"/>
        </w:rPr>
        <w:t>，進出口貿易業和金融及保險業的淨產值增</w:t>
      </w:r>
      <w:r w:rsidR="00960349">
        <w:rPr>
          <w:rFonts w:hint="eastAsia"/>
          <w:lang w:val="en-HK"/>
        </w:rPr>
        <w:t>長</w:t>
      </w:r>
      <w:r w:rsidR="00F83D3E">
        <w:rPr>
          <w:rFonts w:hint="eastAsia"/>
          <w:lang w:val="en-GB" w:eastAsia="zh-HK"/>
        </w:rPr>
        <w:t>明顯加快，多個其他</w:t>
      </w:r>
      <w:r w:rsidR="00F83D3E" w:rsidRPr="00C14E96">
        <w:rPr>
          <w:lang w:val="en-GB"/>
        </w:rPr>
        <w:t>服務</w:t>
      </w:r>
      <w:r w:rsidR="00F83D3E" w:rsidRPr="00C14E96">
        <w:rPr>
          <w:rFonts w:hint="eastAsia"/>
          <w:lang w:val="en-GB"/>
        </w:rPr>
        <w:t>行</w:t>
      </w:r>
      <w:r w:rsidR="00F83D3E" w:rsidRPr="00C14E96">
        <w:rPr>
          <w:lang w:val="en-GB"/>
        </w:rPr>
        <w:t>業</w:t>
      </w:r>
      <w:r w:rsidR="00F83D3E" w:rsidRPr="00095E77">
        <w:rPr>
          <w:rFonts w:hint="eastAsia"/>
          <w:lang w:val="en-GB"/>
        </w:rPr>
        <w:t>的淨產值</w:t>
      </w:r>
      <w:r w:rsidR="00F83D3E">
        <w:rPr>
          <w:rFonts w:hint="eastAsia"/>
          <w:lang w:val="en-GB" w:eastAsia="zh-HK"/>
        </w:rPr>
        <w:t>錄得溫和升幅。不</w:t>
      </w:r>
      <w:r w:rsidR="00F83D3E">
        <w:rPr>
          <w:rFonts w:hint="eastAsia"/>
          <w:lang w:val="en-GB"/>
        </w:rPr>
        <w:t>過</w:t>
      </w:r>
      <w:r w:rsidR="00F83D3E">
        <w:rPr>
          <w:rFonts w:hint="eastAsia"/>
          <w:lang w:val="en-GB" w:eastAsia="zh-HK"/>
        </w:rPr>
        <w:t>，</w:t>
      </w:r>
      <w:r w:rsidR="00F83D3E" w:rsidRPr="00C14E96">
        <w:rPr>
          <w:lang w:val="en-GB"/>
        </w:rPr>
        <w:t>批發及零售業</w:t>
      </w:r>
      <w:r w:rsidR="00752B4F">
        <w:rPr>
          <w:rFonts w:hint="eastAsia"/>
          <w:lang w:val="en-GB"/>
        </w:rPr>
        <w:t>，以及</w:t>
      </w:r>
      <w:r w:rsidR="00F83D3E" w:rsidRPr="001A551E">
        <w:rPr>
          <w:rFonts w:hint="eastAsia"/>
          <w:lang w:val="en-GB" w:eastAsia="zh-HK"/>
        </w:rPr>
        <w:t>住宿及膳食服務業</w:t>
      </w:r>
      <w:r w:rsidR="00F83D3E">
        <w:rPr>
          <w:rFonts w:hint="eastAsia"/>
          <w:lang w:val="en-GB" w:eastAsia="zh-HK"/>
        </w:rPr>
        <w:t>的淨產值錄得跌幅，反映當時本地消費低迷的影</w:t>
      </w:r>
      <w:r w:rsidR="00F83D3E">
        <w:rPr>
          <w:rFonts w:hint="eastAsia"/>
          <w:lang w:val="en-GB"/>
        </w:rPr>
        <w:t>響</w:t>
      </w:r>
      <w:r w:rsidR="00F83D3E">
        <w:rPr>
          <w:rFonts w:hint="eastAsia"/>
          <w:lang w:val="en-GB" w:eastAsia="zh-HK"/>
        </w:rPr>
        <w:t>。地產業的淨產值在當時</w:t>
      </w:r>
      <w:r w:rsidR="00752B4F">
        <w:rPr>
          <w:rFonts w:hint="eastAsia"/>
          <w:lang w:val="en-GB" w:eastAsia="zh-HK"/>
        </w:rPr>
        <w:t>相對</w:t>
      </w:r>
      <w:r w:rsidR="00F83D3E">
        <w:rPr>
          <w:rFonts w:hint="eastAsia"/>
          <w:lang w:val="en-GB" w:eastAsia="zh-HK"/>
        </w:rPr>
        <w:t>審</w:t>
      </w:r>
      <w:r w:rsidR="00F83D3E">
        <w:rPr>
          <w:rFonts w:hint="eastAsia"/>
          <w:lang w:val="en-GB"/>
        </w:rPr>
        <w:t>慎</w:t>
      </w:r>
      <w:r w:rsidR="00F83D3E">
        <w:rPr>
          <w:rFonts w:hint="eastAsia"/>
          <w:lang w:val="en-GB" w:eastAsia="zh-HK"/>
        </w:rPr>
        <w:t>的市場氣</w:t>
      </w:r>
      <w:r w:rsidR="00F83D3E">
        <w:rPr>
          <w:rFonts w:hint="eastAsia"/>
          <w:lang w:val="en-GB"/>
        </w:rPr>
        <w:t>氛</w:t>
      </w:r>
      <w:r w:rsidR="00F83D3E">
        <w:rPr>
          <w:rFonts w:hint="eastAsia"/>
          <w:lang w:val="en-GB" w:eastAsia="zh-HK"/>
        </w:rPr>
        <w:t>下</w:t>
      </w:r>
      <w:r w:rsidR="00FB3B53">
        <w:rPr>
          <w:rFonts w:hint="eastAsia"/>
          <w:lang w:val="en-GB" w:eastAsia="zh-HK"/>
        </w:rPr>
        <w:t>亦</w:t>
      </w:r>
      <w:r w:rsidR="00F83D3E">
        <w:rPr>
          <w:rFonts w:hint="eastAsia"/>
          <w:lang w:val="en-GB" w:eastAsia="zh-HK"/>
        </w:rPr>
        <w:t>錄得</w:t>
      </w:r>
      <w:r w:rsidR="00F83D3E">
        <w:rPr>
          <w:rFonts w:hint="eastAsia"/>
          <w:lang w:eastAsia="zh-HK"/>
        </w:rPr>
        <w:t>溫和</w:t>
      </w:r>
      <w:r w:rsidR="00F83D3E">
        <w:rPr>
          <w:rFonts w:hint="eastAsia"/>
          <w:lang w:val="en-GB" w:eastAsia="zh-HK"/>
        </w:rPr>
        <w:t>跌幅。</w:t>
      </w:r>
      <w:r w:rsidR="00F83D3E" w:rsidRPr="00C14E96">
        <w:rPr>
          <w:lang w:val="en-GB"/>
        </w:rPr>
        <w:t>第二產業方面，製造業</w:t>
      </w:r>
      <w:r w:rsidR="00F83D3E">
        <w:rPr>
          <w:rFonts w:hint="eastAsia"/>
          <w:lang w:val="en-GB" w:eastAsia="zh-HK"/>
        </w:rPr>
        <w:t>的</w:t>
      </w:r>
      <w:r w:rsidR="00F83D3E" w:rsidRPr="00C14E96">
        <w:rPr>
          <w:rFonts w:hint="eastAsia"/>
          <w:lang w:val="en-GB"/>
        </w:rPr>
        <w:t>淨產值</w:t>
      </w:r>
      <w:r w:rsidR="00F83D3E">
        <w:rPr>
          <w:rFonts w:hint="eastAsia"/>
          <w:lang w:val="en-GB" w:eastAsia="zh-HK"/>
        </w:rPr>
        <w:t>繼續輕</w:t>
      </w:r>
      <w:r w:rsidR="00F83D3E">
        <w:rPr>
          <w:rFonts w:hint="eastAsia"/>
          <w:lang w:val="en-GB"/>
        </w:rPr>
        <w:t>微</w:t>
      </w:r>
      <w:r w:rsidR="00F83D3E">
        <w:rPr>
          <w:rFonts w:hint="eastAsia"/>
          <w:lang w:val="en-GB" w:eastAsia="zh-HK"/>
        </w:rPr>
        <w:t>增長，</w:t>
      </w:r>
      <w:r w:rsidR="00F83D3E" w:rsidRPr="00C14E96">
        <w:rPr>
          <w:lang w:val="en-GB"/>
        </w:rPr>
        <w:t>建造業</w:t>
      </w:r>
      <w:r w:rsidR="00F83D3E">
        <w:rPr>
          <w:rFonts w:hint="eastAsia"/>
          <w:lang w:val="en-GB" w:eastAsia="zh-HK"/>
        </w:rPr>
        <w:t>的</w:t>
      </w:r>
      <w:r w:rsidR="00F83D3E" w:rsidRPr="00C14E96">
        <w:rPr>
          <w:rFonts w:hint="eastAsia"/>
          <w:lang w:val="en-GB"/>
        </w:rPr>
        <w:t>淨產值</w:t>
      </w:r>
      <w:r w:rsidR="00752B4F">
        <w:rPr>
          <w:rFonts w:hint="eastAsia"/>
          <w:lang w:val="en-GB"/>
        </w:rPr>
        <w:t>則</w:t>
      </w:r>
      <w:r w:rsidR="00066195">
        <w:rPr>
          <w:rFonts w:hint="eastAsia"/>
          <w:lang w:val="en-GB"/>
        </w:rPr>
        <w:t>進一步下跌</w:t>
      </w:r>
      <w:r w:rsidR="00F83D3E">
        <w:rPr>
          <w:rFonts w:hint="eastAsia"/>
          <w:lang w:val="en-GB" w:eastAsia="zh-HK"/>
        </w:rPr>
        <w:t>。</w:t>
      </w:r>
    </w:p>
    <w:p w14:paraId="691BC947" w14:textId="77777777" w:rsidR="00624C05" w:rsidRPr="0006687D" w:rsidRDefault="00624C05" w:rsidP="001324E9">
      <w:pPr>
        <w:keepNext/>
        <w:spacing w:after="120"/>
        <w:jc w:val="center"/>
        <w:rPr>
          <w:rFonts w:eastAsia="華康中黑體"/>
        </w:rPr>
      </w:pPr>
      <w:r w:rsidRPr="000F0768">
        <w:rPr>
          <w:rFonts w:eastAsia="華康中黑體"/>
        </w:rPr>
        <w:t>表</w:t>
      </w:r>
      <w:r w:rsidRPr="000F0768">
        <w:rPr>
          <w:rFonts w:eastAsia="華康中黑體"/>
          <w:b/>
        </w:rPr>
        <w:t>1.3</w:t>
      </w:r>
      <w:r w:rsidRPr="000F0768">
        <w:rPr>
          <w:rFonts w:eastAsia="華康中黑體"/>
          <w:b/>
        </w:rPr>
        <w:t>：</w:t>
      </w:r>
      <w:r w:rsidRPr="000A1C00">
        <w:rPr>
          <w:rFonts w:eastAsia="華康中黑體"/>
        </w:rPr>
        <w:t>主要經濟行業的淨產值</w:t>
      </w:r>
      <w:r w:rsidRPr="000F0768">
        <w:rPr>
          <w:rFonts w:eastAsia="華康中黑體"/>
        </w:rPr>
        <w:br/>
      </w:r>
      <w:r w:rsidRPr="000F0768">
        <w:rPr>
          <w:rFonts w:eastAsia="華康中黑體"/>
          <w:b/>
        </w:rPr>
        <w:t>(</w:t>
      </w:r>
      <w:r w:rsidRPr="000F0768">
        <w:rPr>
          <w:rFonts w:eastAsia="華康中黑體"/>
        </w:rPr>
        <w:t>與一年前比較的實質增減百分率</w:t>
      </w:r>
      <w:r w:rsidRPr="000F0768">
        <w:rPr>
          <w:rFonts w:eastAsia="華康中黑體"/>
          <w:b/>
        </w:rPr>
        <w:t>)</w:t>
      </w:r>
    </w:p>
    <w:p w14:paraId="6A0597D6" w14:textId="77777777" w:rsidR="00624C05" w:rsidRDefault="00624C05" w:rsidP="001324E9">
      <w:pPr>
        <w:keepNext/>
        <w:spacing w:after="120"/>
        <w:jc w:val="center"/>
        <w:rPr>
          <w:rFonts w:eastAsia="華康中黑體"/>
          <w:b/>
        </w:rPr>
      </w:pPr>
    </w:p>
    <w:tbl>
      <w:tblPr>
        <w:tblW w:w="9214" w:type="dxa"/>
        <w:jc w:val="center"/>
        <w:tblLayout w:type="fixed"/>
        <w:tblCellMar>
          <w:left w:w="0" w:type="dxa"/>
          <w:right w:w="0" w:type="dxa"/>
        </w:tblCellMar>
        <w:tblLook w:val="0000" w:firstRow="0" w:lastRow="0" w:firstColumn="0" w:lastColumn="0" w:noHBand="0" w:noVBand="0"/>
      </w:tblPr>
      <w:tblGrid>
        <w:gridCol w:w="2479"/>
        <w:gridCol w:w="1469"/>
        <w:gridCol w:w="969"/>
        <w:gridCol w:w="969"/>
        <w:gridCol w:w="969"/>
        <w:gridCol w:w="971"/>
        <w:gridCol w:w="1388"/>
      </w:tblGrid>
      <w:tr w:rsidR="00624C05" w:rsidRPr="00877DF1" w14:paraId="058CD382" w14:textId="77777777" w:rsidTr="00F87742">
        <w:trPr>
          <w:cantSplit/>
          <w:jc w:val="center"/>
        </w:trPr>
        <w:tc>
          <w:tcPr>
            <w:tcW w:w="1345" w:type="pct"/>
            <w:noWrap/>
            <w:tcMar>
              <w:left w:w="28" w:type="dxa"/>
              <w:right w:w="28" w:type="dxa"/>
            </w:tcMar>
          </w:tcPr>
          <w:p w14:paraId="739ECDEC" w14:textId="77777777" w:rsidR="00624C05" w:rsidRPr="00877DF1" w:rsidRDefault="00624C05" w:rsidP="00F87742">
            <w:pPr>
              <w:pStyle w:val="17"/>
              <w:tabs>
                <w:tab w:val="clear" w:pos="936"/>
                <w:tab w:val="clear" w:pos="1560"/>
                <w:tab w:val="clear" w:pos="2184"/>
                <w:tab w:val="clear" w:pos="2808"/>
              </w:tabs>
              <w:snapToGrid w:val="0"/>
              <w:spacing w:afterLines="50" w:after="180" w:line="240" w:lineRule="atLeast"/>
              <w:ind w:left="198" w:hanging="198"/>
            </w:pPr>
          </w:p>
        </w:tc>
        <w:tc>
          <w:tcPr>
            <w:tcW w:w="797" w:type="pct"/>
            <w:noWrap/>
          </w:tcPr>
          <w:p w14:paraId="2E4EC721" w14:textId="77777777" w:rsidR="00624C05" w:rsidRPr="00877DF1" w:rsidRDefault="00624C05" w:rsidP="00F01FAE">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二</w:t>
            </w:r>
            <w:r w:rsidRPr="00877DF1">
              <w:rPr>
                <w:rFonts w:ascii="華康細明體" w:hAnsi="華康細明體" w:cs="華康細明體" w:hint="eastAsia"/>
                <w:snapToGrid w:val="0"/>
                <w:spacing w:val="0"/>
                <w:sz w:val="20"/>
                <w:u w:val="single"/>
              </w:rPr>
              <w:t>零</w:t>
            </w:r>
            <w:r w:rsidRPr="00877DF1">
              <w:rPr>
                <w:rFonts w:hint="eastAsia"/>
                <w:snapToGrid w:val="0"/>
                <w:spacing w:val="0"/>
                <w:sz w:val="20"/>
                <w:u w:val="single"/>
              </w:rPr>
              <w:t>二</w:t>
            </w:r>
            <w:r>
              <w:rPr>
                <w:rFonts w:hint="eastAsia"/>
                <w:snapToGrid w:val="0"/>
                <w:spacing w:val="0"/>
                <w:sz w:val="20"/>
                <w:u w:val="single"/>
                <w:lang w:eastAsia="zh-HK"/>
              </w:rPr>
              <w:t>四</w:t>
            </w:r>
            <w:r w:rsidRPr="00877DF1">
              <w:rPr>
                <w:rFonts w:hint="eastAsia"/>
                <w:snapToGrid w:val="0"/>
                <w:spacing w:val="0"/>
                <w:sz w:val="20"/>
                <w:u w:val="single"/>
              </w:rPr>
              <w:t>年</w:t>
            </w:r>
          </w:p>
        </w:tc>
        <w:tc>
          <w:tcPr>
            <w:tcW w:w="2104" w:type="pct"/>
            <w:gridSpan w:val="4"/>
            <w:noWrap/>
            <w:tcMar>
              <w:left w:w="28" w:type="dxa"/>
              <w:right w:w="28" w:type="dxa"/>
            </w:tcMar>
          </w:tcPr>
          <w:p w14:paraId="1F3A0226" w14:textId="77777777" w:rsidR="00624C05" w:rsidRPr="00877DF1" w:rsidRDefault="00624C05"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Pr>
                <w:rFonts w:hint="eastAsia"/>
                <w:snapToGrid w:val="0"/>
                <w:spacing w:val="0"/>
                <w:sz w:val="20"/>
                <w:u w:val="single"/>
              </w:rPr>
              <w:t>二零二</w:t>
            </w:r>
            <w:r>
              <w:rPr>
                <w:rFonts w:hint="eastAsia"/>
                <w:snapToGrid w:val="0"/>
                <w:spacing w:val="0"/>
                <w:sz w:val="20"/>
                <w:u w:val="single"/>
                <w:lang w:eastAsia="zh-HK"/>
              </w:rPr>
              <w:t>四</w:t>
            </w:r>
            <w:r w:rsidRPr="00145E29">
              <w:rPr>
                <w:rFonts w:hint="eastAsia"/>
                <w:snapToGrid w:val="0"/>
                <w:spacing w:val="0"/>
                <w:sz w:val="20"/>
                <w:u w:val="single"/>
              </w:rPr>
              <w:t>年</w:t>
            </w:r>
          </w:p>
        </w:tc>
        <w:tc>
          <w:tcPr>
            <w:tcW w:w="753" w:type="pct"/>
          </w:tcPr>
          <w:p w14:paraId="0F713862" w14:textId="77777777" w:rsidR="00624C05" w:rsidRPr="00877DF1" w:rsidRDefault="00624C05"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Pr>
                <w:rFonts w:hint="eastAsia"/>
                <w:snapToGrid w:val="0"/>
                <w:spacing w:val="0"/>
                <w:sz w:val="20"/>
                <w:u w:val="single"/>
              </w:rPr>
              <w:t>二零二</w:t>
            </w:r>
            <w:r>
              <w:rPr>
                <w:rFonts w:hint="eastAsia"/>
                <w:snapToGrid w:val="0"/>
                <w:spacing w:val="0"/>
                <w:sz w:val="20"/>
                <w:u w:val="single"/>
                <w:lang w:eastAsia="zh-HK"/>
              </w:rPr>
              <w:t>五</w:t>
            </w:r>
            <w:r w:rsidRPr="00145E29">
              <w:rPr>
                <w:rFonts w:hint="eastAsia"/>
                <w:snapToGrid w:val="0"/>
                <w:spacing w:val="0"/>
                <w:sz w:val="20"/>
                <w:u w:val="single"/>
              </w:rPr>
              <w:t>年</w:t>
            </w:r>
          </w:p>
        </w:tc>
      </w:tr>
      <w:tr w:rsidR="00624C05" w:rsidRPr="00877DF1" w14:paraId="32E79CD5" w14:textId="77777777" w:rsidTr="00F87742">
        <w:trPr>
          <w:cantSplit/>
          <w:jc w:val="center"/>
        </w:trPr>
        <w:tc>
          <w:tcPr>
            <w:tcW w:w="1345" w:type="pct"/>
            <w:noWrap/>
            <w:tcMar>
              <w:left w:w="28" w:type="dxa"/>
              <w:right w:w="28" w:type="dxa"/>
            </w:tcMar>
          </w:tcPr>
          <w:p w14:paraId="069AD5C8" w14:textId="77777777" w:rsidR="00624C05" w:rsidRPr="00877DF1" w:rsidRDefault="00624C05" w:rsidP="00F87742">
            <w:pPr>
              <w:pStyle w:val="17"/>
              <w:tabs>
                <w:tab w:val="clear" w:pos="936"/>
                <w:tab w:val="clear" w:pos="1560"/>
                <w:tab w:val="clear" w:pos="2184"/>
                <w:tab w:val="clear" w:pos="2808"/>
              </w:tabs>
              <w:snapToGrid w:val="0"/>
              <w:spacing w:afterLines="50" w:after="180" w:line="240" w:lineRule="atLeast"/>
              <w:ind w:left="198" w:hanging="198"/>
            </w:pPr>
          </w:p>
        </w:tc>
        <w:tc>
          <w:tcPr>
            <w:tcW w:w="797" w:type="pct"/>
            <w:noWrap/>
          </w:tcPr>
          <w:p w14:paraId="7D080BEE" w14:textId="77777777" w:rsidR="00624C05" w:rsidRPr="00877DF1" w:rsidRDefault="00624C05" w:rsidP="00F87742">
            <w:pPr>
              <w:keepNext/>
              <w:tabs>
                <w:tab w:val="clear" w:pos="936"/>
                <w:tab w:val="clear" w:pos="1560"/>
                <w:tab w:val="clear" w:pos="2184"/>
                <w:tab w:val="clear" w:pos="2808"/>
              </w:tabs>
              <w:snapToGrid w:val="0"/>
              <w:spacing w:afterLines="50" w:after="180" w:line="240" w:lineRule="atLeast"/>
              <w:rPr>
                <w:snapToGrid w:val="0"/>
                <w:spacing w:val="0"/>
                <w:sz w:val="20"/>
                <w:u w:val="single"/>
              </w:rPr>
            </w:pPr>
          </w:p>
        </w:tc>
        <w:tc>
          <w:tcPr>
            <w:tcW w:w="526" w:type="pct"/>
            <w:noWrap/>
            <w:tcMar>
              <w:left w:w="28" w:type="dxa"/>
              <w:right w:w="28" w:type="dxa"/>
            </w:tcMar>
          </w:tcPr>
          <w:p w14:paraId="38BEA518" w14:textId="77777777" w:rsidR="00624C05" w:rsidRPr="00877DF1" w:rsidRDefault="00624C05"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第一季</w:t>
            </w:r>
          </w:p>
        </w:tc>
        <w:tc>
          <w:tcPr>
            <w:tcW w:w="526" w:type="pct"/>
            <w:noWrap/>
            <w:tcMar>
              <w:left w:w="28" w:type="dxa"/>
              <w:right w:w="28" w:type="dxa"/>
            </w:tcMar>
          </w:tcPr>
          <w:p w14:paraId="04D05879" w14:textId="77777777" w:rsidR="00624C05" w:rsidRPr="00877DF1" w:rsidRDefault="00624C05"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第二季</w:t>
            </w:r>
          </w:p>
        </w:tc>
        <w:tc>
          <w:tcPr>
            <w:tcW w:w="526" w:type="pct"/>
            <w:noWrap/>
            <w:tcMar>
              <w:left w:w="28" w:type="dxa"/>
              <w:right w:w="28" w:type="dxa"/>
            </w:tcMar>
          </w:tcPr>
          <w:p w14:paraId="47DEC9C3" w14:textId="77777777" w:rsidR="00624C05" w:rsidRPr="00877DF1" w:rsidRDefault="00624C05"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第三季</w:t>
            </w:r>
          </w:p>
        </w:tc>
        <w:tc>
          <w:tcPr>
            <w:tcW w:w="527" w:type="pct"/>
            <w:noWrap/>
            <w:tcMar>
              <w:left w:w="28" w:type="dxa"/>
              <w:right w:w="28" w:type="dxa"/>
            </w:tcMar>
          </w:tcPr>
          <w:p w14:paraId="48EF1355" w14:textId="77777777" w:rsidR="00624C05" w:rsidRPr="00877DF1" w:rsidRDefault="00624C05"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第四季</w:t>
            </w:r>
          </w:p>
        </w:tc>
        <w:tc>
          <w:tcPr>
            <w:tcW w:w="753" w:type="pct"/>
            <w:noWrap/>
          </w:tcPr>
          <w:p w14:paraId="16C58763" w14:textId="77777777" w:rsidR="00624C05" w:rsidRPr="00877DF1" w:rsidRDefault="00624C05"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第一季</w:t>
            </w:r>
          </w:p>
        </w:tc>
      </w:tr>
      <w:tr w:rsidR="00624C05" w:rsidRPr="00B008CD" w14:paraId="5B946028" w14:textId="77777777" w:rsidTr="00F01FAE">
        <w:trPr>
          <w:cantSplit/>
          <w:jc w:val="center"/>
        </w:trPr>
        <w:tc>
          <w:tcPr>
            <w:tcW w:w="1345" w:type="pct"/>
            <w:noWrap/>
            <w:tcMar>
              <w:left w:w="28" w:type="dxa"/>
              <w:right w:w="28" w:type="dxa"/>
            </w:tcMar>
          </w:tcPr>
          <w:p w14:paraId="7A78763C"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B008CD">
              <w:rPr>
                <w:snapToGrid w:val="0"/>
                <w:spacing w:val="0"/>
                <w:sz w:val="20"/>
              </w:rPr>
              <w:t>製造</w:t>
            </w:r>
          </w:p>
          <w:p w14:paraId="7A5CDA59"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797" w:type="pct"/>
            <w:shd w:val="clear" w:color="auto" w:fill="auto"/>
            <w:noWrap/>
          </w:tcPr>
          <w:p w14:paraId="57318097" w14:textId="77777777" w:rsidR="00624C05" w:rsidRPr="00201CEF" w:rsidRDefault="00624C05" w:rsidP="00F01FAE">
            <w:pPr>
              <w:pStyle w:val="5"/>
              <w:tabs>
                <w:tab w:val="decimal" w:pos="766"/>
              </w:tabs>
              <w:snapToGrid w:val="0"/>
              <w:spacing w:line="240" w:lineRule="auto"/>
              <w:ind w:left="0" w:right="0"/>
              <w:jc w:val="left"/>
              <w:rPr>
                <w:rFonts w:ascii="Times New Roman" w:eastAsia="華康細明體"/>
                <w:snapToGrid w:val="0"/>
                <w:kern w:val="0"/>
                <w:sz w:val="22"/>
                <w:szCs w:val="22"/>
                <w:u w:val="none"/>
                <w:lang w:val="en-GB" w:eastAsia="zh-HK"/>
              </w:rPr>
            </w:pPr>
            <w:r w:rsidRPr="00201CEF">
              <w:rPr>
                <w:rFonts w:ascii="Times New Roman"/>
                <w:sz w:val="22"/>
                <w:szCs w:val="22"/>
                <w:u w:val="none"/>
              </w:rPr>
              <w:t>0.8</w:t>
            </w:r>
          </w:p>
        </w:tc>
        <w:tc>
          <w:tcPr>
            <w:tcW w:w="526" w:type="pct"/>
            <w:shd w:val="clear" w:color="auto" w:fill="auto"/>
            <w:noWrap/>
            <w:tcMar>
              <w:left w:w="28" w:type="dxa"/>
              <w:right w:w="28" w:type="dxa"/>
            </w:tcMar>
          </w:tcPr>
          <w:p w14:paraId="211F0F3A"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1.8</w:t>
            </w:r>
          </w:p>
        </w:tc>
        <w:tc>
          <w:tcPr>
            <w:tcW w:w="526" w:type="pct"/>
            <w:shd w:val="clear" w:color="auto" w:fill="auto"/>
            <w:noWrap/>
            <w:tcMar>
              <w:left w:w="28" w:type="dxa"/>
              <w:right w:w="28" w:type="dxa"/>
            </w:tcMar>
          </w:tcPr>
          <w:p w14:paraId="3F97ECE7"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0.7</w:t>
            </w:r>
          </w:p>
        </w:tc>
        <w:tc>
          <w:tcPr>
            <w:tcW w:w="526" w:type="pct"/>
            <w:shd w:val="clear" w:color="auto" w:fill="auto"/>
            <w:noWrap/>
            <w:tcMar>
              <w:left w:w="28" w:type="dxa"/>
              <w:right w:w="28" w:type="dxa"/>
            </w:tcMar>
          </w:tcPr>
          <w:p w14:paraId="426822AC"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-0.1</w:t>
            </w:r>
          </w:p>
        </w:tc>
        <w:tc>
          <w:tcPr>
            <w:tcW w:w="527" w:type="pct"/>
            <w:noWrap/>
            <w:tcMar>
              <w:left w:w="28" w:type="dxa"/>
              <w:right w:w="28" w:type="dxa"/>
            </w:tcMar>
          </w:tcPr>
          <w:p w14:paraId="300708A3"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sz w:val="22"/>
                <w:szCs w:val="22"/>
                <w:u w:val="none"/>
              </w:rPr>
              <w:t>1.0</w:t>
            </w:r>
          </w:p>
        </w:tc>
        <w:tc>
          <w:tcPr>
            <w:tcW w:w="753" w:type="pct"/>
            <w:noWrap/>
          </w:tcPr>
          <w:p w14:paraId="18E31B20" w14:textId="77777777"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0.7</w:t>
            </w:r>
          </w:p>
        </w:tc>
      </w:tr>
      <w:tr w:rsidR="00624C05" w:rsidRPr="00B008CD" w14:paraId="6E7165F2" w14:textId="77777777" w:rsidTr="00F01FAE">
        <w:trPr>
          <w:cantSplit/>
          <w:jc w:val="center"/>
        </w:trPr>
        <w:tc>
          <w:tcPr>
            <w:tcW w:w="1345" w:type="pct"/>
            <w:noWrap/>
            <w:tcMar>
              <w:left w:w="28" w:type="dxa"/>
              <w:right w:w="28" w:type="dxa"/>
            </w:tcMar>
          </w:tcPr>
          <w:p w14:paraId="6639CDF3"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B008CD">
              <w:rPr>
                <w:snapToGrid w:val="0"/>
                <w:spacing w:val="0"/>
                <w:sz w:val="20"/>
              </w:rPr>
              <w:t>建造</w:t>
            </w:r>
          </w:p>
          <w:p w14:paraId="529EC0F0"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797" w:type="pct"/>
            <w:shd w:val="clear" w:color="auto" w:fill="auto"/>
            <w:noWrap/>
          </w:tcPr>
          <w:p w14:paraId="2F5C92FA"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sidRPr="00201CEF">
              <w:rPr>
                <w:rFonts w:ascii="Times New Roman"/>
                <w:sz w:val="22"/>
                <w:szCs w:val="22"/>
                <w:u w:val="none"/>
              </w:rPr>
              <w:t>4.4</w:t>
            </w:r>
          </w:p>
        </w:tc>
        <w:tc>
          <w:tcPr>
            <w:tcW w:w="526" w:type="pct"/>
            <w:shd w:val="clear" w:color="auto" w:fill="auto"/>
            <w:noWrap/>
            <w:tcMar>
              <w:left w:w="28" w:type="dxa"/>
              <w:right w:w="28" w:type="dxa"/>
            </w:tcMar>
          </w:tcPr>
          <w:p w14:paraId="0D7F47DB"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8.2</w:t>
            </w:r>
          </w:p>
        </w:tc>
        <w:tc>
          <w:tcPr>
            <w:tcW w:w="526" w:type="pct"/>
            <w:shd w:val="clear" w:color="auto" w:fill="auto"/>
            <w:noWrap/>
            <w:tcMar>
              <w:left w:w="28" w:type="dxa"/>
              <w:right w:w="28" w:type="dxa"/>
            </w:tcMar>
          </w:tcPr>
          <w:p w14:paraId="66F45786"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11.</w:t>
            </w:r>
            <w:r w:rsidRPr="00BF54C2">
              <w:rPr>
                <w:rFonts w:ascii="Times New Roman" w:hint="eastAsia"/>
                <w:sz w:val="22"/>
                <w:szCs w:val="22"/>
                <w:u w:val="none"/>
              </w:rPr>
              <w:t>7</w:t>
            </w:r>
          </w:p>
        </w:tc>
        <w:tc>
          <w:tcPr>
            <w:tcW w:w="526" w:type="pct"/>
            <w:shd w:val="clear" w:color="auto" w:fill="auto"/>
            <w:noWrap/>
            <w:tcMar>
              <w:left w:w="28" w:type="dxa"/>
              <w:right w:w="28" w:type="dxa"/>
            </w:tcMar>
          </w:tcPr>
          <w:p w14:paraId="46CEAE02"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hint="eastAsia"/>
                <w:sz w:val="22"/>
                <w:szCs w:val="22"/>
                <w:u w:val="none"/>
              </w:rPr>
              <w:t>2</w:t>
            </w:r>
            <w:r w:rsidRPr="00BF54C2">
              <w:rPr>
                <w:rFonts w:ascii="Times New Roman"/>
                <w:sz w:val="22"/>
                <w:szCs w:val="22"/>
                <w:u w:val="none"/>
              </w:rPr>
              <w:t>.</w:t>
            </w:r>
            <w:r w:rsidRPr="00BF54C2">
              <w:rPr>
                <w:rFonts w:ascii="Times New Roman" w:hint="eastAsia"/>
                <w:sz w:val="22"/>
                <w:szCs w:val="22"/>
                <w:u w:val="none"/>
              </w:rPr>
              <w:t>1</w:t>
            </w:r>
          </w:p>
        </w:tc>
        <w:tc>
          <w:tcPr>
            <w:tcW w:w="527" w:type="pct"/>
            <w:noWrap/>
            <w:tcMar>
              <w:left w:w="28" w:type="dxa"/>
              <w:right w:w="28" w:type="dxa"/>
            </w:tcMar>
          </w:tcPr>
          <w:p w14:paraId="01F66603"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sz w:val="22"/>
                <w:szCs w:val="22"/>
                <w:u w:val="none"/>
              </w:rPr>
              <w:t>-</w:t>
            </w:r>
            <w:r w:rsidRPr="00BF54C2">
              <w:rPr>
                <w:rFonts w:ascii="Times New Roman" w:hint="eastAsia"/>
                <w:sz w:val="22"/>
                <w:szCs w:val="22"/>
                <w:u w:val="none"/>
              </w:rPr>
              <w:t>4</w:t>
            </w:r>
            <w:r w:rsidRPr="00BF54C2">
              <w:rPr>
                <w:rFonts w:ascii="Times New Roman"/>
                <w:sz w:val="22"/>
                <w:szCs w:val="22"/>
                <w:u w:val="none"/>
              </w:rPr>
              <w:t>.</w:t>
            </w:r>
            <w:r w:rsidRPr="00BF54C2">
              <w:rPr>
                <w:rFonts w:ascii="Times New Roman" w:hint="eastAsia"/>
                <w:sz w:val="22"/>
                <w:szCs w:val="22"/>
                <w:u w:val="none"/>
              </w:rPr>
              <w:t>7</w:t>
            </w:r>
          </w:p>
        </w:tc>
        <w:tc>
          <w:tcPr>
            <w:tcW w:w="753" w:type="pct"/>
            <w:noWrap/>
          </w:tcPr>
          <w:p w14:paraId="64B4280D" w14:textId="21D9F27B"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w:t>
            </w:r>
            <w:r w:rsidR="00FD1BF8" w:rsidRPr="00CA5337">
              <w:rPr>
                <w:rFonts w:ascii="Times New Roman" w:hint="eastAsia"/>
                <w:sz w:val="22"/>
                <w:szCs w:val="22"/>
                <w:u w:val="none"/>
                <w:lang w:val="en-GB"/>
              </w:rPr>
              <w:t>4</w:t>
            </w:r>
            <w:r w:rsidRPr="00CA5337">
              <w:rPr>
                <w:rFonts w:ascii="Times New Roman"/>
                <w:sz w:val="22"/>
                <w:szCs w:val="22"/>
                <w:u w:val="none"/>
                <w:lang w:val="en-GB"/>
              </w:rPr>
              <w:t>.9</w:t>
            </w:r>
          </w:p>
        </w:tc>
      </w:tr>
      <w:tr w:rsidR="00624C05" w:rsidRPr="00B008CD" w14:paraId="73C91807" w14:textId="77777777" w:rsidTr="00F01FAE">
        <w:trPr>
          <w:cantSplit/>
          <w:jc w:val="center"/>
        </w:trPr>
        <w:tc>
          <w:tcPr>
            <w:tcW w:w="1345" w:type="pct"/>
            <w:noWrap/>
            <w:tcMar>
              <w:left w:w="28" w:type="dxa"/>
              <w:right w:w="28" w:type="dxa"/>
            </w:tcMar>
          </w:tcPr>
          <w:p w14:paraId="0F60E2FD"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vertAlign w:val="superscript"/>
              </w:rPr>
            </w:pPr>
            <w:r w:rsidRPr="00B008CD">
              <w:rPr>
                <w:snapToGrid w:val="0"/>
                <w:spacing w:val="0"/>
                <w:sz w:val="20"/>
              </w:rPr>
              <w:t>服務</w:t>
            </w:r>
          </w:p>
          <w:p w14:paraId="12F0B0F2"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797" w:type="pct"/>
            <w:shd w:val="clear" w:color="auto" w:fill="auto"/>
            <w:noWrap/>
          </w:tcPr>
          <w:p w14:paraId="36C0EDC2"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sidRPr="00201CEF">
              <w:rPr>
                <w:rFonts w:ascii="Times New Roman"/>
                <w:sz w:val="22"/>
                <w:szCs w:val="22"/>
                <w:u w:val="none"/>
              </w:rPr>
              <w:t>2.0</w:t>
            </w:r>
          </w:p>
        </w:tc>
        <w:tc>
          <w:tcPr>
            <w:tcW w:w="526" w:type="pct"/>
            <w:shd w:val="clear" w:color="auto" w:fill="auto"/>
            <w:noWrap/>
            <w:tcMar>
              <w:left w:w="28" w:type="dxa"/>
              <w:right w:w="28" w:type="dxa"/>
            </w:tcMar>
          </w:tcPr>
          <w:p w14:paraId="226E0E02"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2.6</w:t>
            </w:r>
          </w:p>
        </w:tc>
        <w:tc>
          <w:tcPr>
            <w:tcW w:w="526" w:type="pct"/>
            <w:shd w:val="clear" w:color="auto" w:fill="auto"/>
            <w:noWrap/>
            <w:tcMar>
              <w:left w:w="28" w:type="dxa"/>
              <w:right w:w="28" w:type="dxa"/>
            </w:tcMar>
          </w:tcPr>
          <w:p w14:paraId="731C3718"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2.</w:t>
            </w:r>
            <w:r w:rsidRPr="00BF54C2">
              <w:rPr>
                <w:rFonts w:ascii="Times New Roman" w:hint="eastAsia"/>
                <w:sz w:val="22"/>
                <w:szCs w:val="22"/>
                <w:u w:val="none"/>
              </w:rPr>
              <w:t>3</w:t>
            </w:r>
          </w:p>
        </w:tc>
        <w:tc>
          <w:tcPr>
            <w:tcW w:w="526" w:type="pct"/>
            <w:shd w:val="clear" w:color="auto" w:fill="auto"/>
            <w:noWrap/>
            <w:tcMar>
              <w:left w:w="28" w:type="dxa"/>
              <w:right w:w="28" w:type="dxa"/>
            </w:tcMar>
          </w:tcPr>
          <w:p w14:paraId="1C7A81CA"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1.</w:t>
            </w:r>
            <w:r w:rsidRPr="00BF54C2">
              <w:rPr>
                <w:rFonts w:ascii="Times New Roman" w:hint="eastAsia"/>
                <w:sz w:val="22"/>
                <w:szCs w:val="22"/>
                <w:u w:val="none"/>
              </w:rPr>
              <w:t>5</w:t>
            </w:r>
          </w:p>
        </w:tc>
        <w:tc>
          <w:tcPr>
            <w:tcW w:w="527" w:type="pct"/>
            <w:noWrap/>
            <w:tcMar>
              <w:left w:w="28" w:type="dxa"/>
              <w:right w:w="28" w:type="dxa"/>
            </w:tcMar>
          </w:tcPr>
          <w:p w14:paraId="22D1F5C8"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sz w:val="22"/>
                <w:szCs w:val="22"/>
                <w:u w:val="none"/>
              </w:rPr>
              <w:t>1.</w:t>
            </w:r>
            <w:r w:rsidRPr="00BF54C2">
              <w:rPr>
                <w:rFonts w:ascii="Times New Roman" w:hint="eastAsia"/>
                <w:sz w:val="22"/>
                <w:szCs w:val="22"/>
                <w:u w:val="none"/>
              </w:rPr>
              <w:t>7</w:t>
            </w:r>
          </w:p>
        </w:tc>
        <w:tc>
          <w:tcPr>
            <w:tcW w:w="753" w:type="pct"/>
            <w:noWrap/>
          </w:tcPr>
          <w:p w14:paraId="6BCEB380" w14:textId="41380A5C"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2.</w:t>
            </w:r>
            <w:r w:rsidR="00FD1BF8" w:rsidRPr="00CA5337">
              <w:rPr>
                <w:rFonts w:ascii="Times New Roman" w:hint="eastAsia"/>
                <w:sz w:val="22"/>
                <w:szCs w:val="22"/>
                <w:u w:val="none"/>
                <w:lang w:val="en-GB"/>
              </w:rPr>
              <w:t>5</w:t>
            </w:r>
          </w:p>
        </w:tc>
      </w:tr>
      <w:tr w:rsidR="00624C05" w:rsidRPr="00B008CD" w14:paraId="4468B406" w14:textId="77777777" w:rsidTr="00F01FAE">
        <w:trPr>
          <w:cantSplit/>
          <w:jc w:val="center"/>
        </w:trPr>
        <w:tc>
          <w:tcPr>
            <w:tcW w:w="1345" w:type="pct"/>
            <w:noWrap/>
            <w:tcMar>
              <w:left w:w="28" w:type="dxa"/>
              <w:right w:w="28" w:type="dxa"/>
            </w:tcMar>
          </w:tcPr>
          <w:p w14:paraId="04ABBF5B"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進出口貿易、批發及零售</w:t>
            </w:r>
          </w:p>
          <w:p w14:paraId="4BD8AE72"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shd w:val="clear" w:color="auto" w:fill="auto"/>
            <w:noWrap/>
          </w:tcPr>
          <w:p w14:paraId="52A92195"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sidRPr="00201CEF">
              <w:rPr>
                <w:rFonts w:ascii="Times New Roman"/>
                <w:sz w:val="22"/>
                <w:szCs w:val="22"/>
                <w:u w:val="none"/>
              </w:rPr>
              <w:t>0.4</w:t>
            </w:r>
          </w:p>
        </w:tc>
        <w:tc>
          <w:tcPr>
            <w:tcW w:w="526" w:type="pct"/>
            <w:shd w:val="clear" w:color="auto" w:fill="auto"/>
            <w:noWrap/>
            <w:tcMar>
              <w:left w:w="28" w:type="dxa"/>
              <w:right w:w="28" w:type="dxa"/>
            </w:tcMar>
          </w:tcPr>
          <w:p w14:paraId="3D7A269F"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1.7</w:t>
            </w:r>
          </w:p>
        </w:tc>
        <w:tc>
          <w:tcPr>
            <w:tcW w:w="526" w:type="pct"/>
            <w:shd w:val="clear" w:color="auto" w:fill="auto"/>
            <w:noWrap/>
            <w:tcMar>
              <w:left w:w="28" w:type="dxa"/>
              <w:right w:w="28" w:type="dxa"/>
            </w:tcMar>
          </w:tcPr>
          <w:p w14:paraId="12288545"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-0.</w:t>
            </w:r>
            <w:r w:rsidRPr="00BF54C2">
              <w:rPr>
                <w:rFonts w:ascii="Times New Roman" w:hint="eastAsia"/>
                <w:sz w:val="22"/>
                <w:szCs w:val="22"/>
                <w:u w:val="none"/>
              </w:rPr>
              <w:t>1</w:t>
            </w:r>
          </w:p>
        </w:tc>
        <w:tc>
          <w:tcPr>
            <w:tcW w:w="526" w:type="pct"/>
            <w:shd w:val="clear" w:color="auto" w:fill="auto"/>
            <w:noWrap/>
            <w:tcMar>
              <w:left w:w="28" w:type="dxa"/>
              <w:right w:w="28" w:type="dxa"/>
            </w:tcMar>
          </w:tcPr>
          <w:p w14:paraId="378D63EF"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0.</w:t>
            </w:r>
            <w:r w:rsidRPr="00BF54C2">
              <w:rPr>
                <w:rFonts w:ascii="Times New Roman" w:hint="eastAsia"/>
                <w:sz w:val="22"/>
                <w:szCs w:val="22"/>
                <w:u w:val="none"/>
              </w:rPr>
              <w:t>2</w:t>
            </w:r>
          </w:p>
        </w:tc>
        <w:tc>
          <w:tcPr>
            <w:tcW w:w="527" w:type="pct"/>
            <w:noWrap/>
            <w:tcMar>
              <w:left w:w="28" w:type="dxa"/>
              <w:right w:w="28" w:type="dxa"/>
            </w:tcMar>
          </w:tcPr>
          <w:p w14:paraId="463FA6AF"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sz w:val="22"/>
                <w:szCs w:val="22"/>
                <w:u w:val="none"/>
              </w:rPr>
              <w:t>-0.</w:t>
            </w:r>
            <w:r w:rsidRPr="00BF54C2">
              <w:rPr>
                <w:rFonts w:ascii="Times New Roman" w:hint="eastAsia"/>
                <w:sz w:val="22"/>
                <w:szCs w:val="22"/>
                <w:u w:val="none"/>
              </w:rPr>
              <w:t>2</w:t>
            </w:r>
          </w:p>
        </w:tc>
        <w:tc>
          <w:tcPr>
            <w:tcW w:w="753" w:type="pct"/>
            <w:noWrap/>
          </w:tcPr>
          <w:p w14:paraId="12EA5FC5" w14:textId="77777777"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4.2</w:t>
            </w:r>
          </w:p>
        </w:tc>
      </w:tr>
      <w:tr w:rsidR="00624C05" w:rsidRPr="00B008CD" w14:paraId="4DEF975B" w14:textId="77777777" w:rsidTr="00F01FAE">
        <w:trPr>
          <w:cantSplit/>
          <w:jc w:val="center"/>
        </w:trPr>
        <w:tc>
          <w:tcPr>
            <w:tcW w:w="1345" w:type="pct"/>
            <w:noWrap/>
            <w:tcMar>
              <w:left w:w="28" w:type="dxa"/>
              <w:right w:w="28" w:type="dxa"/>
            </w:tcMar>
          </w:tcPr>
          <w:p w14:paraId="7FCF3181"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進出口貿易</w:t>
            </w:r>
          </w:p>
          <w:p w14:paraId="4AAB0E36"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shd w:val="clear" w:color="auto" w:fill="auto"/>
            <w:noWrap/>
          </w:tcPr>
          <w:p w14:paraId="1F4CFA45"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sidRPr="00201CEF">
              <w:rPr>
                <w:rFonts w:ascii="Times New Roman"/>
                <w:sz w:val="22"/>
                <w:szCs w:val="22"/>
                <w:u w:val="none"/>
              </w:rPr>
              <w:t>2.4</w:t>
            </w:r>
          </w:p>
        </w:tc>
        <w:tc>
          <w:tcPr>
            <w:tcW w:w="526" w:type="pct"/>
            <w:shd w:val="clear" w:color="auto" w:fill="auto"/>
            <w:noWrap/>
            <w:tcMar>
              <w:left w:w="28" w:type="dxa"/>
              <w:right w:w="28" w:type="dxa"/>
            </w:tcMar>
          </w:tcPr>
          <w:p w14:paraId="6729FBEF"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2.9</w:t>
            </w:r>
          </w:p>
        </w:tc>
        <w:tc>
          <w:tcPr>
            <w:tcW w:w="526" w:type="pct"/>
            <w:shd w:val="clear" w:color="auto" w:fill="auto"/>
            <w:noWrap/>
            <w:tcMar>
              <w:left w:w="28" w:type="dxa"/>
              <w:right w:w="28" w:type="dxa"/>
            </w:tcMar>
          </w:tcPr>
          <w:p w14:paraId="50B2FBFB"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2.</w:t>
            </w:r>
            <w:r w:rsidRPr="00BF54C2">
              <w:rPr>
                <w:rFonts w:ascii="Times New Roman" w:hint="eastAsia"/>
                <w:sz w:val="22"/>
                <w:szCs w:val="22"/>
                <w:u w:val="none"/>
              </w:rPr>
              <w:t>4</w:t>
            </w:r>
          </w:p>
        </w:tc>
        <w:tc>
          <w:tcPr>
            <w:tcW w:w="526" w:type="pct"/>
            <w:shd w:val="clear" w:color="auto" w:fill="auto"/>
            <w:noWrap/>
            <w:tcMar>
              <w:left w:w="28" w:type="dxa"/>
              <w:right w:w="28" w:type="dxa"/>
            </w:tcMar>
          </w:tcPr>
          <w:p w14:paraId="7D79A532"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2.</w:t>
            </w:r>
            <w:r w:rsidRPr="00BF54C2">
              <w:rPr>
                <w:rFonts w:ascii="Times New Roman" w:hint="eastAsia"/>
                <w:sz w:val="22"/>
                <w:szCs w:val="22"/>
                <w:u w:val="none"/>
              </w:rPr>
              <w:t>4</w:t>
            </w:r>
          </w:p>
        </w:tc>
        <w:tc>
          <w:tcPr>
            <w:tcW w:w="527" w:type="pct"/>
            <w:noWrap/>
            <w:tcMar>
              <w:left w:w="28" w:type="dxa"/>
              <w:right w:w="28" w:type="dxa"/>
            </w:tcMar>
          </w:tcPr>
          <w:p w14:paraId="3EC36746"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sz w:val="22"/>
                <w:szCs w:val="22"/>
                <w:u w:val="none"/>
              </w:rPr>
              <w:t>1.</w:t>
            </w:r>
            <w:r w:rsidRPr="00BF54C2">
              <w:rPr>
                <w:rFonts w:ascii="Times New Roman" w:hint="eastAsia"/>
                <w:sz w:val="22"/>
                <w:szCs w:val="22"/>
                <w:u w:val="none"/>
              </w:rPr>
              <w:t>8</w:t>
            </w:r>
          </w:p>
        </w:tc>
        <w:tc>
          <w:tcPr>
            <w:tcW w:w="753" w:type="pct"/>
            <w:noWrap/>
          </w:tcPr>
          <w:p w14:paraId="695DC8DC" w14:textId="77777777"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6.2</w:t>
            </w:r>
          </w:p>
        </w:tc>
      </w:tr>
      <w:tr w:rsidR="00624C05" w:rsidRPr="00B008CD" w14:paraId="391E10AE" w14:textId="77777777" w:rsidTr="00F01FAE">
        <w:trPr>
          <w:cantSplit/>
          <w:jc w:val="center"/>
        </w:trPr>
        <w:tc>
          <w:tcPr>
            <w:tcW w:w="1345" w:type="pct"/>
            <w:noWrap/>
            <w:tcMar>
              <w:left w:w="28" w:type="dxa"/>
              <w:right w:w="28" w:type="dxa"/>
            </w:tcMar>
          </w:tcPr>
          <w:p w14:paraId="7B8E6C6D"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批發及零售</w:t>
            </w:r>
          </w:p>
          <w:p w14:paraId="21E280CB"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shd w:val="clear" w:color="auto" w:fill="auto"/>
            <w:noWrap/>
          </w:tcPr>
          <w:p w14:paraId="0973B481"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sidRPr="00201CEF">
              <w:rPr>
                <w:rFonts w:ascii="Times New Roman"/>
                <w:sz w:val="22"/>
                <w:szCs w:val="22"/>
                <w:u w:val="none"/>
              </w:rPr>
              <w:t>-10.1</w:t>
            </w:r>
          </w:p>
        </w:tc>
        <w:tc>
          <w:tcPr>
            <w:tcW w:w="526" w:type="pct"/>
            <w:shd w:val="clear" w:color="auto" w:fill="auto"/>
            <w:noWrap/>
            <w:tcMar>
              <w:left w:w="28" w:type="dxa"/>
              <w:right w:w="28" w:type="dxa"/>
            </w:tcMar>
          </w:tcPr>
          <w:p w14:paraId="36E07AA7"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-5.4</w:t>
            </w:r>
          </w:p>
        </w:tc>
        <w:tc>
          <w:tcPr>
            <w:tcW w:w="526" w:type="pct"/>
            <w:shd w:val="clear" w:color="auto" w:fill="auto"/>
            <w:noWrap/>
            <w:tcMar>
              <w:left w:w="28" w:type="dxa"/>
              <w:right w:w="28" w:type="dxa"/>
            </w:tcMar>
          </w:tcPr>
          <w:p w14:paraId="5CCE1E93"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-13.</w:t>
            </w:r>
            <w:r w:rsidRPr="00BF54C2">
              <w:rPr>
                <w:rFonts w:ascii="Times New Roman" w:hint="eastAsia"/>
                <w:sz w:val="22"/>
                <w:szCs w:val="22"/>
                <w:u w:val="none"/>
              </w:rPr>
              <w:t>5</w:t>
            </w:r>
          </w:p>
        </w:tc>
        <w:tc>
          <w:tcPr>
            <w:tcW w:w="526" w:type="pct"/>
            <w:shd w:val="clear" w:color="auto" w:fill="auto"/>
            <w:noWrap/>
            <w:tcMar>
              <w:left w:w="28" w:type="dxa"/>
              <w:right w:w="28" w:type="dxa"/>
            </w:tcMar>
          </w:tcPr>
          <w:p w14:paraId="6A77D94C"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-12.</w:t>
            </w:r>
            <w:r w:rsidRPr="00BF54C2">
              <w:rPr>
                <w:rFonts w:ascii="Times New Roman" w:hint="eastAsia"/>
                <w:sz w:val="22"/>
                <w:szCs w:val="22"/>
                <w:u w:val="none"/>
              </w:rPr>
              <w:t>8</w:t>
            </w:r>
          </w:p>
        </w:tc>
        <w:tc>
          <w:tcPr>
            <w:tcW w:w="527" w:type="pct"/>
            <w:noWrap/>
            <w:tcMar>
              <w:left w:w="28" w:type="dxa"/>
              <w:right w:w="28" w:type="dxa"/>
            </w:tcMar>
          </w:tcPr>
          <w:p w14:paraId="12D82808"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sz w:val="22"/>
                <w:szCs w:val="22"/>
                <w:u w:val="none"/>
              </w:rPr>
              <w:t>-</w:t>
            </w:r>
            <w:r w:rsidRPr="00BF54C2">
              <w:rPr>
                <w:rFonts w:ascii="Times New Roman" w:hint="eastAsia"/>
                <w:sz w:val="22"/>
                <w:szCs w:val="22"/>
                <w:u w:val="none"/>
              </w:rPr>
              <w:t>8</w:t>
            </w:r>
            <w:r w:rsidRPr="00BF54C2">
              <w:rPr>
                <w:rFonts w:ascii="Times New Roman"/>
                <w:sz w:val="22"/>
                <w:szCs w:val="22"/>
                <w:u w:val="none"/>
              </w:rPr>
              <w:t>.</w:t>
            </w:r>
            <w:r w:rsidRPr="00BF54C2">
              <w:rPr>
                <w:rFonts w:ascii="Times New Roman" w:hint="eastAsia"/>
                <w:sz w:val="22"/>
                <w:szCs w:val="22"/>
                <w:u w:val="none"/>
              </w:rPr>
              <w:t>8</w:t>
            </w:r>
          </w:p>
        </w:tc>
        <w:tc>
          <w:tcPr>
            <w:tcW w:w="753" w:type="pct"/>
            <w:noWrap/>
          </w:tcPr>
          <w:p w14:paraId="09847235" w14:textId="1DF255AC"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-8.</w:t>
            </w:r>
            <w:r w:rsidR="00FD1BF8" w:rsidRPr="00CA5337">
              <w:rPr>
                <w:rFonts w:ascii="Times New Roman" w:hint="eastAsia"/>
                <w:sz w:val="22"/>
                <w:szCs w:val="22"/>
                <w:u w:val="none"/>
                <w:lang w:val="en-GB"/>
              </w:rPr>
              <w:t>5</w:t>
            </w:r>
          </w:p>
        </w:tc>
      </w:tr>
      <w:tr w:rsidR="00624C05" w:rsidRPr="00B008CD" w14:paraId="60265258" w14:textId="77777777" w:rsidTr="00F01FAE">
        <w:trPr>
          <w:cantSplit/>
          <w:jc w:val="center"/>
        </w:trPr>
        <w:tc>
          <w:tcPr>
            <w:tcW w:w="1345" w:type="pct"/>
            <w:noWrap/>
            <w:tcMar>
              <w:left w:w="28" w:type="dxa"/>
              <w:right w:w="28" w:type="dxa"/>
            </w:tcMar>
          </w:tcPr>
          <w:p w14:paraId="5172AA3E"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住宿及膳食服務</w:t>
            </w:r>
          </w:p>
          <w:p w14:paraId="36F9EDDB"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shd w:val="clear" w:color="auto" w:fill="auto"/>
            <w:noWrap/>
          </w:tcPr>
          <w:p w14:paraId="2D26C287"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sidRPr="00201CEF">
              <w:rPr>
                <w:rFonts w:ascii="Times New Roman"/>
                <w:sz w:val="22"/>
                <w:szCs w:val="22"/>
                <w:u w:val="none"/>
              </w:rPr>
              <w:t>-1.8</w:t>
            </w:r>
          </w:p>
        </w:tc>
        <w:tc>
          <w:tcPr>
            <w:tcW w:w="526" w:type="pct"/>
            <w:shd w:val="clear" w:color="auto" w:fill="auto"/>
            <w:noWrap/>
            <w:tcMar>
              <w:left w:w="28" w:type="dxa"/>
              <w:right w:w="28" w:type="dxa"/>
            </w:tcMar>
          </w:tcPr>
          <w:p w14:paraId="430171F6"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2.2</w:t>
            </w:r>
          </w:p>
        </w:tc>
        <w:tc>
          <w:tcPr>
            <w:tcW w:w="526" w:type="pct"/>
            <w:shd w:val="clear" w:color="auto" w:fill="auto"/>
            <w:noWrap/>
            <w:tcMar>
              <w:left w:w="28" w:type="dxa"/>
              <w:right w:w="28" w:type="dxa"/>
            </w:tcMar>
          </w:tcPr>
          <w:p w14:paraId="297DB7B2"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w:t>
            </w:r>
            <w:r w:rsidRPr="00BF54C2">
              <w:rPr>
                <w:rFonts w:ascii="Times New Roman" w:hint="eastAsia"/>
                <w:sz w:val="22"/>
                <w:szCs w:val="22"/>
                <w:u w:val="none"/>
              </w:rPr>
              <w:t>7.0</w:t>
            </w:r>
          </w:p>
        </w:tc>
        <w:tc>
          <w:tcPr>
            <w:tcW w:w="526" w:type="pct"/>
            <w:shd w:val="clear" w:color="auto" w:fill="auto"/>
            <w:noWrap/>
            <w:tcMar>
              <w:left w:w="28" w:type="dxa"/>
              <w:right w:w="28" w:type="dxa"/>
            </w:tcMar>
          </w:tcPr>
          <w:p w14:paraId="56FCEC86"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w:t>
            </w:r>
            <w:r w:rsidRPr="00BF54C2">
              <w:rPr>
                <w:rFonts w:ascii="Times New Roman" w:hint="eastAsia"/>
                <w:sz w:val="22"/>
                <w:szCs w:val="22"/>
                <w:u w:val="none"/>
              </w:rPr>
              <w:t>4</w:t>
            </w:r>
            <w:r w:rsidRPr="00BF54C2">
              <w:rPr>
                <w:rFonts w:ascii="Times New Roman"/>
                <w:sz w:val="22"/>
                <w:szCs w:val="22"/>
                <w:u w:val="none"/>
              </w:rPr>
              <w:t>.</w:t>
            </w:r>
            <w:r w:rsidRPr="00BF54C2">
              <w:rPr>
                <w:rFonts w:ascii="Times New Roman" w:hint="eastAsia"/>
                <w:sz w:val="22"/>
                <w:szCs w:val="22"/>
                <w:u w:val="none"/>
              </w:rPr>
              <w:t>9</w:t>
            </w:r>
          </w:p>
        </w:tc>
        <w:tc>
          <w:tcPr>
            <w:tcW w:w="527" w:type="pct"/>
            <w:noWrap/>
            <w:tcMar>
              <w:left w:w="28" w:type="dxa"/>
              <w:right w:w="28" w:type="dxa"/>
            </w:tcMar>
          </w:tcPr>
          <w:p w14:paraId="400AA7BF"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hint="eastAsia"/>
                <w:sz w:val="22"/>
                <w:szCs w:val="22"/>
                <w:u w:val="none"/>
              </w:rPr>
              <w:t>2</w:t>
            </w:r>
            <w:r w:rsidRPr="00BF54C2">
              <w:rPr>
                <w:rFonts w:ascii="Times New Roman"/>
                <w:sz w:val="22"/>
                <w:szCs w:val="22"/>
                <w:u w:val="none"/>
              </w:rPr>
              <w:t>.</w:t>
            </w:r>
            <w:r w:rsidRPr="00BF54C2">
              <w:rPr>
                <w:rFonts w:ascii="Times New Roman" w:hint="eastAsia"/>
                <w:sz w:val="22"/>
                <w:szCs w:val="22"/>
                <w:u w:val="none"/>
              </w:rPr>
              <w:t>6</w:t>
            </w:r>
          </w:p>
        </w:tc>
        <w:tc>
          <w:tcPr>
            <w:tcW w:w="753" w:type="pct"/>
            <w:noWrap/>
          </w:tcPr>
          <w:p w14:paraId="73D226C5" w14:textId="77777777"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-1.8</w:t>
            </w:r>
          </w:p>
        </w:tc>
      </w:tr>
      <w:tr w:rsidR="00624C05" w:rsidRPr="00B008CD" w14:paraId="037906D7" w14:textId="77777777" w:rsidTr="00F01FAE">
        <w:trPr>
          <w:cantSplit/>
          <w:jc w:val="center"/>
        </w:trPr>
        <w:tc>
          <w:tcPr>
            <w:tcW w:w="1345" w:type="pct"/>
            <w:noWrap/>
            <w:tcMar>
              <w:left w:w="28" w:type="dxa"/>
              <w:right w:w="28" w:type="dxa"/>
            </w:tcMar>
          </w:tcPr>
          <w:p w14:paraId="3931E0B2"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運輸、倉庫、郵政及</w:t>
            </w:r>
            <w:r w:rsidRPr="00B008CD">
              <w:rPr>
                <w:snapToGrid w:val="0"/>
                <w:spacing w:val="0"/>
                <w:sz w:val="20"/>
              </w:rPr>
              <w:br/>
            </w:r>
            <w:r w:rsidRPr="00B008CD">
              <w:rPr>
                <w:snapToGrid w:val="0"/>
                <w:spacing w:val="0"/>
                <w:sz w:val="20"/>
              </w:rPr>
              <w:t>速遞服務</w:t>
            </w:r>
          </w:p>
          <w:p w14:paraId="4985E7A0"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shd w:val="clear" w:color="auto" w:fill="auto"/>
            <w:noWrap/>
          </w:tcPr>
          <w:p w14:paraId="3113D299"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sidRPr="00201CEF">
              <w:rPr>
                <w:rFonts w:ascii="Times New Roman"/>
                <w:sz w:val="22"/>
                <w:szCs w:val="22"/>
                <w:u w:val="none"/>
              </w:rPr>
              <w:t>11.0</w:t>
            </w:r>
          </w:p>
        </w:tc>
        <w:tc>
          <w:tcPr>
            <w:tcW w:w="526" w:type="pct"/>
            <w:shd w:val="clear" w:color="auto" w:fill="auto"/>
            <w:noWrap/>
            <w:tcMar>
              <w:left w:w="28" w:type="dxa"/>
              <w:right w:w="28" w:type="dxa"/>
            </w:tcMar>
          </w:tcPr>
          <w:p w14:paraId="6082F984"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19.7</w:t>
            </w:r>
          </w:p>
        </w:tc>
        <w:tc>
          <w:tcPr>
            <w:tcW w:w="526" w:type="pct"/>
            <w:shd w:val="clear" w:color="auto" w:fill="auto"/>
            <w:noWrap/>
            <w:tcMar>
              <w:left w:w="28" w:type="dxa"/>
              <w:right w:w="28" w:type="dxa"/>
            </w:tcMar>
          </w:tcPr>
          <w:p w14:paraId="1BAB372A"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1</w:t>
            </w:r>
            <w:r w:rsidRPr="00BF54C2">
              <w:rPr>
                <w:rFonts w:ascii="Times New Roman" w:hint="eastAsia"/>
                <w:sz w:val="22"/>
                <w:szCs w:val="22"/>
                <w:u w:val="none"/>
              </w:rPr>
              <w:t>1</w:t>
            </w:r>
            <w:r w:rsidRPr="00BF54C2">
              <w:rPr>
                <w:rFonts w:ascii="Times New Roman"/>
                <w:sz w:val="22"/>
                <w:szCs w:val="22"/>
                <w:u w:val="none"/>
              </w:rPr>
              <w:t>.</w:t>
            </w:r>
            <w:r w:rsidRPr="00BF54C2">
              <w:rPr>
                <w:rFonts w:ascii="Times New Roman" w:hint="eastAsia"/>
                <w:sz w:val="22"/>
                <w:szCs w:val="22"/>
                <w:u w:val="none"/>
              </w:rPr>
              <w:t>1</w:t>
            </w:r>
          </w:p>
        </w:tc>
        <w:tc>
          <w:tcPr>
            <w:tcW w:w="526" w:type="pct"/>
            <w:shd w:val="clear" w:color="auto" w:fill="auto"/>
            <w:noWrap/>
            <w:tcMar>
              <w:left w:w="28" w:type="dxa"/>
              <w:right w:w="28" w:type="dxa"/>
            </w:tcMar>
          </w:tcPr>
          <w:p w14:paraId="1270038D"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hint="eastAsia"/>
                <w:sz w:val="22"/>
                <w:szCs w:val="22"/>
                <w:u w:val="none"/>
              </w:rPr>
              <w:t>7.2</w:t>
            </w:r>
          </w:p>
        </w:tc>
        <w:tc>
          <w:tcPr>
            <w:tcW w:w="527" w:type="pct"/>
            <w:noWrap/>
            <w:tcMar>
              <w:left w:w="28" w:type="dxa"/>
              <w:right w:w="28" w:type="dxa"/>
            </w:tcMar>
          </w:tcPr>
          <w:p w14:paraId="6E450206"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sz w:val="22"/>
                <w:szCs w:val="22"/>
                <w:u w:val="none"/>
              </w:rPr>
              <w:t>6.</w:t>
            </w:r>
            <w:r w:rsidRPr="00BF54C2">
              <w:rPr>
                <w:rFonts w:ascii="Times New Roman" w:hint="eastAsia"/>
                <w:sz w:val="22"/>
                <w:szCs w:val="22"/>
                <w:u w:val="none"/>
              </w:rPr>
              <w:t>8</w:t>
            </w:r>
          </w:p>
        </w:tc>
        <w:tc>
          <w:tcPr>
            <w:tcW w:w="753" w:type="pct"/>
            <w:noWrap/>
          </w:tcPr>
          <w:p w14:paraId="686B9D28" w14:textId="74CD70B0"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2.</w:t>
            </w:r>
            <w:r w:rsidR="00FD1BF8" w:rsidRPr="00CA5337">
              <w:rPr>
                <w:rFonts w:ascii="Times New Roman" w:hint="eastAsia"/>
                <w:sz w:val="22"/>
                <w:szCs w:val="22"/>
                <w:u w:val="none"/>
                <w:lang w:val="en-GB"/>
              </w:rPr>
              <w:t>6</w:t>
            </w:r>
          </w:p>
        </w:tc>
      </w:tr>
      <w:tr w:rsidR="00624C05" w:rsidRPr="00B008CD" w14:paraId="1335FD24" w14:textId="77777777" w:rsidTr="00F01FAE">
        <w:trPr>
          <w:cantSplit/>
          <w:jc w:val="center"/>
        </w:trPr>
        <w:tc>
          <w:tcPr>
            <w:tcW w:w="1345" w:type="pct"/>
            <w:noWrap/>
            <w:tcMar>
              <w:left w:w="28" w:type="dxa"/>
              <w:right w:w="28" w:type="dxa"/>
            </w:tcMar>
          </w:tcPr>
          <w:p w14:paraId="55080A85"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運輸及倉庫</w:t>
            </w:r>
          </w:p>
          <w:p w14:paraId="308874CC"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shd w:val="clear" w:color="auto" w:fill="auto"/>
            <w:noWrap/>
          </w:tcPr>
          <w:p w14:paraId="7DF57FD6"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sidRPr="00201CEF">
              <w:rPr>
                <w:rFonts w:ascii="Times New Roman"/>
                <w:sz w:val="22"/>
                <w:szCs w:val="22"/>
                <w:u w:val="none"/>
              </w:rPr>
              <w:t>11.7</w:t>
            </w:r>
          </w:p>
        </w:tc>
        <w:tc>
          <w:tcPr>
            <w:tcW w:w="526" w:type="pct"/>
            <w:shd w:val="clear" w:color="auto" w:fill="auto"/>
            <w:noWrap/>
            <w:tcMar>
              <w:left w:w="28" w:type="dxa"/>
              <w:right w:w="28" w:type="dxa"/>
            </w:tcMar>
          </w:tcPr>
          <w:p w14:paraId="4E362AC1"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21.1</w:t>
            </w:r>
          </w:p>
        </w:tc>
        <w:tc>
          <w:tcPr>
            <w:tcW w:w="526" w:type="pct"/>
            <w:shd w:val="clear" w:color="auto" w:fill="auto"/>
            <w:noWrap/>
            <w:tcMar>
              <w:left w:w="28" w:type="dxa"/>
              <w:right w:w="28" w:type="dxa"/>
            </w:tcMar>
          </w:tcPr>
          <w:p w14:paraId="0F130B41"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1</w:t>
            </w:r>
            <w:r w:rsidRPr="00BF54C2">
              <w:rPr>
                <w:rFonts w:ascii="Times New Roman" w:hint="eastAsia"/>
                <w:sz w:val="22"/>
                <w:szCs w:val="22"/>
                <w:u w:val="none"/>
              </w:rPr>
              <w:t>1</w:t>
            </w:r>
            <w:r w:rsidRPr="00BF54C2">
              <w:rPr>
                <w:rFonts w:ascii="Times New Roman"/>
                <w:sz w:val="22"/>
                <w:szCs w:val="22"/>
                <w:u w:val="none"/>
              </w:rPr>
              <w:t>.</w:t>
            </w:r>
            <w:r w:rsidRPr="00BF54C2">
              <w:rPr>
                <w:rFonts w:ascii="Times New Roman" w:hint="eastAsia"/>
                <w:sz w:val="22"/>
                <w:szCs w:val="22"/>
                <w:u w:val="none"/>
              </w:rPr>
              <w:t>7</w:t>
            </w:r>
          </w:p>
        </w:tc>
        <w:tc>
          <w:tcPr>
            <w:tcW w:w="526" w:type="pct"/>
            <w:shd w:val="clear" w:color="auto" w:fill="auto"/>
            <w:noWrap/>
            <w:tcMar>
              <w:left w:w="28" w:type="dxa"/>
              <w:right w:w="28" w:type="dxa"/>
            </w:tcMar>
          </w:tcPr>
          <w:p w14:paraId="68A3679F"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hint="eastAsia"/>
                <w:sz w:val="22"/>
                <w:szCs w:val="22"/>
                <w:u w:val="none"/>
              </w:rPr>
              <w:t>8</w:t>
            </w:r>
            <w:r w:rsidRPr="00BF54C2">
              <w:rPr>
                <w:rFonts w:ascii="Times New Roman"/>
                <w:sz w:val="22"/>
                <w:szCs w:val="22"/>
                <w:u w:val="none"/>
              </w:rPr>
              <w:t>.</w:t>
            </w:r>
            <w:r w:rsidRPr="00BF54C2">
              <w:rPr>
                <w:rFonts w:ascii="Times New Roman" w:hint="eastAsia"/>
                <w:sz w:val="22"/>
                <w:szCs w:val="22"/>
                <w:u w:val="none"/>
              </w:rPr>
              <w:t>0</w:t>
            </w:r>
          </w:p>
        </w:tc>
        <w:tc>
          <w:tcPr>
            <w:tcW w:w="527" w:type="pct"/>
            <w:noWrap/>
            <w:tcMar>
              <w:left w:w="28" w:type="dxa"/>
              <w:right w:w="28" w:type="dxa"/>
            </w:tcMar>
          </w:tcPr>
          <w:p w14:paraId="5FCB22A4"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hint="eastAsia"/>
                <w:sz w:val="22"/>
                <w:szCs w:val="22"/>
                <w:u w:val="none"/>
              </w:rPr>
              <w:t>7</w:t>
            </w:r>
            <w:r w:rsidRPr="00BF54C2">
              <w:rPr>
                <w:rFonts w:ascii="Times New Roman"/>
                <w:sz w:val="22"/>
                <w:szCs w:val="22"/>
                <w:u w:val="none"/>
              </w:rPr>
              <w:t>.</w:t>
            </w:r>
            <w:r w:rsidRPr="00BF54C2">
              <w:rPr>
                <w:rFonts w:ascii="Times New Roman" w:hint="eastAsia"/>
                <w:sz w:val="22"/>
                <w:szCs w:val="22"/>
                <w:u w:val="none"/>
              </w:rPr>
              <w:t>0</w:t>
            </w:r>
          </w:p>
        </w:tc>
        <w:tc>
          <w:tcPr>
            <w:tcW w:w="753" w:type="pct"/>
            <w:noWrap/>
          </w:tcPr>
          <w:p w14:paraId="0EFCCC4A" w14:textId="0868FB8A"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2.</w:t>
            </w:r>
            <w:r w:rsidR="00FD1BF8" w:rsidRPr="00CA5337">
              <w:rPr>
                <w:rFonts w:ascii="Times New Roman" w:hint="eastAsia"/>
                <w:sz w:val="22"/>
                <w:szCs w:val="22"/>
                <w:u w:val="none"/>
                <w:lang w:val="en-GB"/>
              </w:rPr>
              <w:t>6</w:t>
            </w:r>
          </w:p>
        </w:tc>
      </w:tr>
      <w:tr w:rsidR="00624C05" w:rsidRPr="00B008CD" w14:paraId="52CBA045" w14:textId="77777777" w:rsidTr="00F01FAE">
        <w:trPr>
          <w:cantSplit/>
          <w:jc w:val="center"/>
        </w:trPr>
        <w:tc>
          <w:tcPr>
            <w:tcW w:w="1345" w:type="pct"/>
            <w:noWrap/>
            <w:tcMar>
              <w:left w:w="28" w:type="dxa"/>
              <w:right w:w="28" w:type="dxa"/>
            </w:tcMar>
          </w:tcPr>
          <w:p w14:paraId="193D01C8"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郵政及速遞服務</w:t>
            </w:r>
          </w:p>
          <w:p w14:paraId="547A15DE"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shd w:val="clear" w:color="auto" w:fill="auto"/>
            <w:noWrap/>
          </w:tcPr>
          <w:p w14:paraId="6AA5D909"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sidRPr="00201CEF">
              <w:rPr>
                <w:rFonts w:ascii="Times New Roman"/>
                <w:sz w:val="22"/>
                <w:szCs w:val="22"/>
                <w:u w:val="none"/>
              </w:rPr>
              <w:t>-</w:t>
            </w:r>
            <w:r w:rsidRPr="00201CEF">
              <w:rPr>
                <w:rFonts w:ascii="Times New Roman" w:hint="eastAsia"/>
                <w:sz w:val="22"/>
                <w:szCs w:val="22"/>
                <w:u w:val="none"/>
              </w:rPr>
              <w:t>2</w:t>
            </w:r>
            <w:r w:rsidRPr="00201CEF">
              <w:rPr>
                <w:rFonts w:ascii="Times New Roman"/>
                <w:sz w:val="22"/>
                <w:szCs w:val="22"/>
                <w:u w:val="none"/>
              </w:rPr>
              <w:t>.</w:t>
            </w:r>
            <w:r w:rsidRPr="00201CEF">
              <w:rPr>
                <w:rFonts w:ascii="Times New Roman" w:hint="eastAsia"/>
                <w:sz w:val="22"/>
                <w:szCs w:val="22"/>
                <w:u w:val="none"/>
              </w:rPr>
              <w:t>1</w:t>
            </w:r>
          </w:p>
        </w:tc>
        <w:tc>
          <w:tcPr>
            <w:tcW w:w="526" w:type="pct"/>
            <w:shd w:val="clear" w:color="auto" w:fill="auto"/>
            <w:noWrap/>
            <w:tcMar>
              <w:left w:w="28" w:type="dxa"/>
              <w:right w:w="28" w:type="dxa"/>
            </w:tcMar>
          </w:tcPr>
          <w:p w14:paraId="778423FB"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-6.9</w:t>
            </w:r>
          </w:p>
        </w:tc>
        <w:tc>
          <w:tcPr>
            <w:tcW w:w="526" w:type="pct"/>
            <w:shd w:val="clear" w:color="auto" w:fill="auto"/>
            <w:noWrap/>
            <w:tcMar>
              <w:left w:w="28" w:type="dxa"/>
              <w:right w:w="28" w:type="dxa"/>
            </w:tcMar>
          </w:tcPr>
          <w:p w14:paraId="23653BBD"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-1.</w:t>
            </w:r>
            <w:r w:rsidRPr="00BF54C2">
              <w:rPr>
                <w:rFonts w:ascii="Times New Roman" w:hint="eastAsia"/>
                <w:sz w:val="22"/>
                <w:szCs w:val="22"/>
                <w:u w:val="none"/>
              </w:rPr>
              <w:t>6</w:t>
            </w:r>
          </w:p>
        </w:tc>
        <w:tc>
          <w:tcPr>
            <w:tcW w:w="526" w:type="pct"/>
            <w:shd w:val="clear" w:color="auto" w:fill="auto"/>
            <w:noWrap/>
            <w:tcMar>
              <w:left w:w="28" w:type="dxa"/>
              <w:right w:w="28" w:type="dxa"/>
            </w:tcMar>
          </w:tcPr>
          <w:p w14:paraId="7DB17655"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w:t>
            </w:r>
            <w:r w:rsidRPr="00BF54C2">
              <w:rPr>
                <w:rFonts w:ascii="Times New Roman" w:hint="eastAsia"/>
                <w:sz w:val="22"/>
                <w:szCs w:val="22"/>
                <w:u w:val="none"/>
              </w:rPr>
              <w:t>2</w:t>
            </w:r>
            <w:r w:rsidRPr="00BF54C2">
              <w:rPr>
                <w:rFonts w:ascii="Times New Roman"/>
                <w:sz w:val="22"/>
                <w:szCs w:val="22"/>
                <w:u w:val="none"/>
              </w:rPr>
              <w:t>.</w:t>
            </w:r>
            <w:r w:rsidRPr="00BF54C2">
              <w:rPr>
                <w:rFonts w:ascii="Times New Roman" w:hint="eastAsia"/>
                <w:sz w:val="22"/>
                <w:szCs w:val="22"/>
                <w:u w:val="none"/>
              </w:rPr>
              <w:t>3</w:t>
            </w:r>
          </w:p>
        </w:tc>
        <w:tc>
          <w:tcPr>
            <w:tcW w:w="527" w:type="pct"/>
            <w:noWrap/>
            <w:tcMar>
              <w:left w:w="28" w:type="dxa"/>
              <w:right w:w="28" w:type="dxa"/>
            </w:tcMar>
          </w:tcPr>
          <w:p w14:paraId="1C158F52"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hint="eastAsia"/>
                <w:sz w:val="22"/>
                <w:szCs w:val="22"/>
                <w:u w:val="none"/>
              </w:rPr>
              <w:t>2</w:t>
            </w:r>
            <w:r w:rsidRPr="00BF54C2">
              <w:rPr>
                <w:rFonts w:ascii="Times New Roman"/>
                <w:sz w:val="22"/>
                <w:szCs w:val="22"/>
                <w:u w:val="none"/>
              </w:rPr>
              <w:t>.</w:t>
            </w:r>
            <w:r w:rsidRPr="00BF54C2">
              <w:rPr>
                <w:rFonts w:ascii="Times New Roman" w:hint="eastAsia"/>
                <w:sz w:val="22"/>
                <w:szCs w:val="22"/>
                <w:u w:val="none"/>
              </w:rPr>
              <w:t>0</w:t>
            </w:r>
          </w:p>
        </w:tc>
        <w:tc>
          <w:tcPr>
            <w:tcW w:w="753" w:type="pct"/>
            <w:noWrap/>
          </w:tcPr>
          <w:p w14:paraId="0227FAC2" w14:textId="77777777"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2.5</w:t>
            </w:r>
          </w:p>
        </w:tc>
      </w:tr>
      <w:tr w:rsidR="00624C05" w:rsidRPr="00B008CD" w14:paraId="60566EFA" w14:textId="77777777" w:rsidTr="00F01FAE">
        <w:trPr>
          <w:cantSplit/>
          <w:jc w:val="center"/>
        </w:trPr>
        <w:tc>
          <w:tcPr>
            <w:tcW w:w="1345" w:type="pct"/>
            <w:noWrap/>
            <w:tcMar>
              <w:left w:w="28" w:type="dxa"/>
              <w:right w:w="28" w:type="dxa"/>
            </w:tcMar>
          </w:tcPr>
          <w:p w14:paraId="68D04EF5"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資訊及通訊</w:t>
            </w:r>
          </w:p>
          <w:p w14:paraId="1A720052"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shd w:val="clear" w:color="auto" w:fill="auto"/>
            <w:noWrap/>
          </w:tcPr>
          <w:p w14:paraId="2283122C"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sidRPr="00201CEF">
              <w:rPr>
                <w:rFonts w:ascii="Times New Roman" w:hint="eastAsia"/>
                <w:sz w:val="22"/>
                <w:szCs w:val="22"/>
                <w:u w:val="none"/>
              </w:rPr>
              <w:t>1</w:t>
            </w:r>
            <w:r w:rsidRPr="00201CEF">
              <w:rPr>
                <w:rFonts w:ascii="Times New Roman"/>
                <w:sz w:val="22"/>
                <w:szCs w:val="22"/>
                <w:u w:val="none"/>
              </w:rPr>
              <w:t>.</w:t>
            </w:r>
            <w:r w:rsidRPr="00201CEF">
              <w:rPr>
                <w:rFonts w:ascii="Times New Roman" w:hint="eastAsia"/>
                <w:sz w:val="22"/>
                <w:szCs w:val="22"/>
                <w:u w:val="none"/>
              </w:rPr>
              <w:t>8</w:t>
            </w:r>
          </w:p>
        </w:tc>
        <w:tc>
          <w:tcPr>
            <w:tcW w:w="526" w:type="pct"/>
            <w:shd w:val="clear" w:color="auto" w:fill="auto"/>
            <w:noWrap/>
            <w:tcMar>
              <w:left w:w="28" w:type="dxa"/>
              <w:right w:w="28" w:type="dxa"/>
            </w:tcMar>
          </w:tcPr>
          <w:p w14:paraId="195CE74C"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1.9</w:t>
            </w:r>
          </w:p>
        </w:tc>
        <w:tc>
          <w:tcPr>
            <w:tcW w:w="526" w:type="pct"/>
            <w:shd w:val="clear" w:color="auto" w:fill="auto"/>
            <w:noWrap/>
            <w:tcMar>
              <w:left w:w="28" w:type="dxa"/>
              <w:right w:w="28" w:type="dxa"/>
            </w:tcMar>
          </w:tcPr>
          <w:p w14:paraId="1C2202C3"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hint="eastAsia"/>
                <w:sz w:val="22"/>
                <w:szCs w:val="22"/>
                <w:u w:val="none"/>
              </w:rPr>
              <w:t>1.7</w:t>
            </w:r>
          </w:p>
        </w:tc>
        <w:tc>
          <w:tcPr>
            <w:tcW w:w="526" w:type="pct"/>
            <w:shd w:val="clear" w:color="auto" w:fill="auto"/>
            <w:noWrap/>
            <w:tcMar>
              <w:left w:w="28" w:type="dxa"/>
              <w:right w:w="28" w:type="dxa"/>
            </w:tcMar>
          </w:tcPr>
          <w:p w14:paraId="5FD0B680"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2.</w:t>
            </w:r>
            <w:r w:rsidRPr="00BF54C2">
              <w:rPr>
                <w:rFonts w:ascii="Times New Roman" w:hint="eastAsia"/>
                <w:sz w:val="22"/>
                <w:szCs w:val="22"/>
                <w:u w:val="none"/>
              </w:rPr>
              <w:t>2</w:t>
            </w:r>
          </w:p>
        </w:tc>
        <w:tc>
          <w:tcPr>
            <w:tcW w:w="527" w:type="pct"/>
            <w:noWrap/>
            <w:tcMar>
              <w:left w:w="28" w:type="dxa"/>
              <w:right w:w="28" w:type="dxa"/>
            </w:tcMar>
          </w:tcPr>
          <w:p w14:paraId="64F62729"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sz w:val="22"/>
                <w:szCs w:val="22"/>
                <w:u w:val="none"/>
              </w:rPr>
              <w:t>1.</w:t>
            </w:r>
            <w:r w:rsidRPr="00BF54C2">
              <w:rPr>
                <w:rFonts w:ascii="Times New Roman" w:hint="eastAsia"/>
                <w:sz w:val="22"/>
                <w:szCs w:val="22"/>
                <w:u w:val="none"/>
              </w:rPr>
              <w:t>5</w:t>
            </w:r>
          </w:p>
        </w:tc>
        <w:tc>
          <w:tcPr>
            <w:tcW w:w="753" w:type="pct"/>
            <w:noWrap/>
          </w:tcPr>
          <w:p w14:paraId="524947DB" w14:textId="3E868A51"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1.</w:t>
            </w:r>
            <w:r w:rsidR="00FD1BF8" w:rsidRPr="00CA5337">
              <w:rPr>
                <w:rFonts w:ascii="Times New Roman"/>
                <w:sz w:val="22"/>
                <w:szCs w:val="22"/>
                <w:u w:val="none"/>
                <w:lang w:val="en-GB"/>
              </w:rPr>
              <w:t>1</w:t>
            </w:r>
          </w:p>
        </w:tc>
      </w:tr>
      <w:tr w:rsidR="00624C05" w:rsidRPr="00B008CD" w14:paraId="081464A3" w14:textId="77777777" w:rsidTr="00F01FAE">
        <w:trPr>
          <w:cantSplit/>
          <w:jc w:val="center"/>
        </w:trPr>
        <w:tc>
          <w:tcPr>
            <w:tcW w:w="1345" w:type="pct"/>
            <w:noWrap/>
            <w:tcMar>
              <w:left w:w="28" w:type="dxa"/>
              <w:right w:w="28" w:type="dxa"/>
            </w:tcMar>
          </w:tcPr>
          <w:p w14:paraId="6EEC6587"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金融及保險</w:t>
            </w:r>
          </w:p>
          <w:p w14:paraId="7DFFDDC8"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shd w:val="clear" w:color="auto" w:fill="auto"/>
            <w:noWrap/>
          </w:tcPr>
          <w:p w14:paraId="5BEC37AB"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sidRPr="00201CEF">
              <w:rPr>
                <w:rFonts w:ascii="Times New Roman"/>
                <w:sz w:val="22"/>
                <w:szCs w:val="22"/>
                <w:u w:val="none"/>
              </w:rPr>
              <w:t>0.</w:t>
            </w:r>
            <w:r w:rsidRPr="00201CEF">
              <w:rPr>
                <w:rFonts w:ascii="Times New Roman" w:hint="eastAsia"/>
                <w:sz w:val="22"/>
                <w:szCs w:val="22"/>
                <w:u w:val="none"/>
              </w:rPr>
              <w:t>9</w:t>
            </w:r>
          </w:p>
        </w:tc>
        <w:tc>
          <w:tcPr>
            <w:tcW w:w="526" w:type="pct"/>
            <w:shd w:val="clear" w:color="auto" w:fill="auto"/>
            <w:noWrap/>
            <w:tcMar>
              <w:left w:w="28" w:type="dxa"/>
              <w:right w:w="28" w:type="dxa"/>
            </w:tcMar>
          </w:tcPr>
          <w:p w14:paraId="10207843"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-0.2</w:t>
            </w:r>
          </w:p>
        </w:tc>
        <w:tc>
          <w:tcPr>
            <w:tcW w:w="526" w:type="pct"/>
            <w:shd w:val="clear" w:color="auto" w:fill="auto"/>
            <w:noWrap/>
            <w:tcMar>
              <w:left w:w="28" w:type="dxa"/>
              <w:right w:w="28" w:type="dxa"/>
            </w:tcMar>
          </w:tcPr>
          <w:p w14:paraId="48B24D59" w14:textId="77777777" w:rsidR="00624C05" w:rsidRPr="00BF54C2" w:rsidRDefault="00624C05" w:rsidP="00F01FAE">
            <w:pPr>
              <w:pStyle w:val="5"/>
              <w:tabs>
                <w:tab w:val="decimal" w:pos="19"/>
              </w:tabs>
              <w:snapToGrid w:val="0"/>
              <w:spacing w:line="240" w:lineRule="auto"/>
              <w:ind w:left="0" w:rightChars="-45" w:right="-135"/>
              <w:rPr>
                <w:rFonts w:ascii="Times New Roman"/>
                <w:sz w:val="22"/>
                <w:szCs w:val="22"/>
                <w:u w:val="none"/>
              </w:rPr>
            </w:pPr>
            <w:r w:rsidRPr="00BF54C2">
              <w:rPr>
                <w:rFonts w:ascii="Times New Roman" w:hint="eastAsia"/>
                <w:sz w:val="22"/>
                <w:szCs w:val="22"/>
                <w:u w:val="none"/>
              </w:rPr>
              <w:t>*</w:t>
            </w:r>
          </w:p>
        </w:tc>
        <w:tc>
          <w:tcPr>
            <w:tcW w:w="526" w:type="pct"/>
            <w:shd w:val="clear" w:color="auto" w:fill="auto"/>
            <w:noWrap/>
            <w:tcMar>
              <w:left w:w="28" w:type="dxa"/>
              <w:right w:w="28" w:type="dxa"/>
            </w:tcMar>
          </w:tcPr>
          <w:p w14:paraId="7B4E3335"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1.</w:t>
            </w:r>
            <w:r w:rsidRPr="00BF54C2">
              <w:rPr>
                <w:rFonts w:ascii="Times New Roman" w:hint="eastAsia"/>
                <w:sz w:val="22"/>
                <w:szCs w:val="22"/>
                <w:u w:val="none"/>
              </w:rPr>
              <w:t>8</w:t>
            </w:r>
          </w:p>
        </w:tc>
        <w:tc>
          <w:tcPr>
            <w:tcW w:w="527" w:type="pct"/>
            <w:noWrap/>
            <w:tcMar>
              <w:left w:w="28" w:type="dxa"/>
              <w:right w:w="28" w:type="dxa"/>
            </w:tcMar>
          </w:tcPr>
          <w:p w14:paraId="020F7D55"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hint="eastAsia"/>
                <w:sz w:val="22"/>
                <w:szCs w:val="22"/>
                <w:u w:val="none"/>
              </w:rPr>
              <w:t>1</w:t>
            </w:r>
            <w:r w:rsidRPr="00BF54C2">
              <w:rPr>
                <w:rFonts w:ascii="Times New Roman"/>
                <w:sz w:val="22"/>
                <w:szCs w:val="22"/>
                <w:u w:val="none"/>
              </w:rPr>
              <w:t>.</w:t>
            </w:r>
            <w:r w:rsidRPr="00BF54C2">
              <w:rPr>
                <w:rFonts w:ascii="Times New Roman" w:hint="eastAsia"/>
                <w:sz w:val="22"/>
                <w:szCs w:val="22"/>
                <w:u w:val="none"/>
              </w:rPr>
              <w:t>9</w:t>
            </w:r>
          </w:p>
        </w:tc>
        <w:tc>
          <w:tcPr>
            <w:tcW w:w="753" w:type="pct"/>
            <w:noWrap/>
          </w:tcPr>
          <w:p w14:paraId="2747C9C5" w14:textId="4A750D35"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4.</w:t>
            </w:r>
            <w:r w:rsidR="00FD1BF8" w:rsidRPr="00CA5337">
              <w:rPr>
                <w:rFonts w:ascii="Times New Roman"/>
                <w:sz w:val="22"/>
                <w:szCs w:val="22"/>
                <w:u w:val="none"/>
                <w:lang w:val="en-GB"/>
              </w:rPr>
              <w:t>2</w:t>
            </w:r>
          </w:p>
        </w:tc>
      </w:tr>
      <w:tr w:rsidR="00624C05" w:rsidRPr="00B008CD" w14:paraId="3C893B09" w14:textId="77777777" w:rsidTr="00F01FAE">
        <w:trPr>
          <w:cantSplit/>
          <w:jc w:val="center"/>
        </w:trPr>
        <w:tc>
          <w:tcPr>
            <w:tcW w:w="1345" w:type="pct"/>
            <w:noWrap/>
            <w:tcMar>
              <w:left w:w="28" w:type="dxa"/>
              <w:right w:w="28" w:type="dxa"/>
            </w:tcMar>
          </w:tcPr>
          <w:p w14:paraId="11657212"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地產、專業及商用服務</w:t>
            </w:r>
          </w:p>
          <w:p w14:paraId="7BD5E07F"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shd w:val="clear" w:color="auto" w:fill="auto"/>
            <w:noWrap/>
          </w:tcPr>
          <w:p w14:paraId="57125EAC"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sidRPr="00201CEF">
              <w:rPr>
                <w:rFonts w:ascii="Times New Roman"/>
                <w:sz w:val="22"/>
                <w:szCs w:val="22"/>
                <w:u w:val="none"/>
              </w:rPr>
              <w:t>1.</w:t>
            </w:r>
            <w:r w:rsidRPr="00201CEF">
              <w:rPr>
                <w:rFonts w:ascii="Times New Roman" w:hint="eastAsia"/>
                <w:sz w:val="22"/>
                <w:szCs w:val="22"/>
                <w:u w:val="none"/>
              </w:rPr>
              <w:t>6</w:t>
            </w:r>
          </w:p>
        </w:tc>
        <w:tc>
          <w:tcPr>
            <w:tcW w:w="526" w:type="pct"/>
            <w:shd w:val="clear" w:color="auto" w:fill="auto"/>
            <w:noWrap/>
            <w:tcMar>
              <w:left w:w="28" w:type="dxa"/>
              <w:right w:w="28" w:type="dxa"/>
            </w:tcMar>
          </w:tcPr>
          <w:p w14:paraId="76C6D41B"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2.1</w:t>
            </w:r>
          </w:p>
        </w:tc>
        <w:tc>
          <w:tcPr>
            <w:tcW w:w="526" w:type="pct"/>
            <w:shd w:val="clear" w:color="auto" w:fill="auto"/>
            <w:noWrap/>
            <w:tcMar>
              <w:left w:w="28" w:type="dxa"/>
              <w:right w:w="28" w:type="dxa"/>
            </w:tcMar>
          </w:tcPr>
          <w:p w14:paraId="44C41807"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hint="eastAsia"/>
                <w:sz w:val="22"/>
                <w:szCs w:val="22"/>
                <w:u w:val="none"/>
              </w:rPr>
              <w:t>2</w:t>
            </w:r>
            <w:r w:rsidRPr="00BF54C2">
              <w:rPr>
                <w:rFonts w:ascii="Times New Roman"/>
                <w:sz w:val="22"/>
                <w:szCs w:val="22"/>
                <w:u w:val="none"/>
              </w:rPr>
              <w:t>.</w:t>
            </w:r>
            <w:r w:rsidRPr="00BF54C2">
              <w:rPr>
                <w:rFonts w:ascii="Times New Roman" w:hint="eastAsia"/>
                <w:sz w:val="22"/>
                <w:szCs w:val="22"/>
                <w:u w:val="none"/>
              </w:rPr>
              <w:t>8</w:t>
            </w:r>
          </w:p>
        </w:tc>
        <w:tc>
          <w:tcPr>
            <w:tcW w:w="526" w:type="pct"/>
            <w:shd w:val="clear" w:color="auto" w:fill="auto"/>
            <w:noWrap/>
            <w:tcMar>
              <w:left w:w="28" w:type="dxa"/>
              <w:right w:w="28" w:type="dxa"/>
            </w:tcMar>
          </w:tcPr>
          <w:p w14:paraId="31DAA713"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-0.</w:t>
            </w:r>
            <w:r w:rsidRPr="00BF54C2">
              <w:rPr>
                <w:rFonts w:ascii="Times New Roman" w:hint="eastAsia"/>
                <w:sz w:val="22"/>
                <w:szCs w:val="22"/>
                <w:u w:val="none"/>
              </w:rPr>
              <w:t>1</w:t>
            </w:r>
          </w:p>
        </w:tc>
        <w:tc>
          <w:tcPr>
            <w:tcW w:w="527" w:type="pct"/>
            <w:noWrap/>
            <w:tcMar>
              <w:left w:w="28" w:type="dxa"/>
              <w:right w:w="28" w:type="dxa"/>
            </w:tcMar>
          </w:tcPr>
          <w:p w14:paraId="2C485846"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sz w:val="22"/>
                <w:szCs w:val="22"/>
                <w:u w:val="none"/>
              </w:rPr>
              <w:t>1.</w:t>
            </w:r>
            <w:r w:rsidRPr="00BF54C2">
              <w:rPr>
                <w:rFonts w:ascii="Times New Roman" w:hint="eastAsia"/>
                <w:sz w:val="22"/>
                <w:szCs w:val="22"/>
                <w:u w:val="none"/>
              </w:rPr>
              <w:t>7</w:t>
            </w:r>
          </w:p>
        </w:tc>
        <w:tc>
          <w:tcPr>
            <w:tcW w:w="753" w:type="pct"/>
            <w:noWrap/>
          </w:tcPr>
          <w:p w14:paraId="6E6F3D22" w14:textId="0788848C"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-0.</w:t>
            </w:r>
            <w:r w:rsidR="00FD1BF8" w:rsidRPr="00CA5337">
              <w:rPr>
                <w:rFonts w:ascii="Times New Roman"/>
                <w:sz w:val="22"/>
                <w:szCs w:val="22"/>
                <w:u w:val="none"/>
                <w:lang w:val="en-GB"/>
              </w:rPr>
              <w:t>5</w:t>
            </w:r>
          </w:p>
        </w:tc>
      </w:tr>
      <w:tr w:rsidR="00624C05" w:rsidRPr="00B008CD" w14:paraId="1C20A9F6" w14:textId="77777777" w:rsidTr="00F01FAE">
        <w:trPr>
          <w:cantSplit/>
          <w:jc w:val="center"/>
        </w:trPr>
        <w:tc>
          <w:tcPr>
            <w:tcW w:w="1345" w:type="pct"/>
            <w:noWrap/>
            <w:tcMar>
              <w:left w:w="28" w:type="dxa"/>
              <w:right w:w="28" w:type="dxa"/>
            </w:tcMar>
          </w:tcPr>
          <w:p w14:paraId="77AAA182"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地產</w:t>
            </w:r>
          </w:p>
          <w:p w14:paraId="6802DEE0"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shd w:val="clear" w:color="auto" w:fill="auto"/>
            <w:noWrap/>
          </w:tcPr>
          <w:p w14:paraId="512D31E2"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sidRPr="00201CEF">
              <w:rPr>
                <w:rFonts w:ascii="Times New Roman"/>
                <w:sz w:val="22"/>
                <w:szCs w:val="22"/>
                <w:u w:val="none"/>
              </w:rPr>
              <w:t>1.</w:t>
            </w:r>
            <w:r w:rsidRPr="00201CEF">
              <w:rPr>
                <w:rFonts w:ascii="Times New Roman" w:hint="eastAsia"/>
                <w:sz w:val="22"/>
                <w:szCs w:val="22"/>
                <w:u w:val="none"/>
              </w:rPr>
              <w:t>7</w:t>
            </w:r>
          </w:p>
        </w:tc>
        <w:tc>
          <w:tcPr>
            <w:tcW w:w="526" w:type="pct"/>
            <w:shd w:val="clear" w:color="auto" w:fill="auto"/>
            <w:noWrap/>
            <w:tcMar>
              <w:left w:w="28" w:type="dxa"/>
              <w:right w:w="28" w:type="dxa"/>
            </w:tcMar>
          </w:tcPr>
          <w:p w14:paraId="4DDF8444"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1.6</w:t>
            </w:r>
          </w:p>
        </w:tc>
        <w:tc>
          <w:tcPr>
            <w:tcW w:w="526" w:type="pct"/>
            <w:shd w:val="clear" w:color="auto" w:fill="auto"/>
            <w:noWrap/>
            <w:tcMar>
              <w:left w:w="28" w:type="dxa"/>
              <w:right w:w="28" w:type="dxa"/>
            </w:tcMar>
          </w:tcPr>
          <w:p w14:paraId="12E20464"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3.</w:t>
            </w:r>
            <w:r w:rsidRPr="00BF54C2">
              <w:rPr>
                <w:rFonts w:ascii="Times New Roman" w:hint="eastAsia"/>
                <w:sz w:val="22"/>
                <w:szCs w:val="22"/>
                <w:u w:val="none"/>
              </w:rPr>
              <w:t>6</w:t>
            </w:r>
          </w:p>
        </w:tc>
        <w:tc>
          <w:tcPr>
            <w:tcW w:w="526" w:type="pct"/>
            <w:shd w:val="clear" w:color="auto" w:fill="auto"/>
            <w:noWrap/>
            <w:tcMar>
              <w:left w:w="28" w:type="dxa"/>
              <w:right w:w="28" w:type="dxa"/>
            </w:tcMar>
          </w:tcPr>
          <w:p w14:paraId="03CF2216"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w:t>
            </w:r>
            <w:r w:rsidRPr="00BF54C2">
              <w:rPr>
                <w:rFonts w:ascii="Times New Roman" w:hint="eastAsia"/>
                <w:sz w:val="22"/>
                <w:szCs w:val="22"/>
                <w:u w:val="none"/>
              </w:rPr>
              <w:t>1</w:t>
            </w:r>
            <w:r w:rsidRPr="00BF54C2">
              <w:rPr>
                <w:rFonts w:ascii="Times New Roman"/>
                <w:sz w:val="22"/>
                <w:szCs w:val="22"/>
                <w:u w:val="none"/>
              </w:rPr>
              <w:t>.</w:t>
            </w:r>
            <w:r w:rsidRPr="00BF54C2">
              <w:rPr>
                <w:rFonts w:ascii="Times New Roman" w:hint="eastAsia"/>
                <w:sz w:val="22"/>
                <w:szCs w:val="22"/>
                <w:u w:val="none"/>
              </w:rPr>
              <w:t>8</w:t>
            </w:r>
          </w:p>
        </w:tc>
        <w:tc>
          <w:tcPr>
            <w:tcW w:w="527" w:type="pct"/>
            <w:noWrap/>
            <w:tcMar>
              <w:left w:w="28" w:type="dxa"/>
              <w:right w:w="28" w:type="dxa"/>
            </w:tcMar>
          </w:tcPr>
          <w:p w14:paraId="3C5B4A7C"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hint="eastAsia"/>
                <w:sz w:val="22"/>
                <w:szCs w:val="22"/>
                <w:u w:val="none"/>
              </w:rPr>
              <w:t>3</w:t>
            </w:r>
            <w:r w:rsidRPr="00BF54C2">
              <w:rPr>
                <w:rFonts w:ascii="Times New Roman"/>
                <w:sz w:val="22"/>
                <w:szCs w:val="22"/>
                <w:u w:val="none"/>
              </w:rPr>
              <w:t>.</w:t>
            </w:r>
            <w:r w:rsidRPr="00BF54C2">
              <w:rPr>
                <w:rFonts w:ascii="Times New Roman" w:hint="eastAsia"/>
                <w:sz w:val="22"/>
                <w:szCs w:val="22"/>
                <w:u w:val="none"/>
              </w:rPr>
              <w:t>8</w:t>
            </w:r>
          </w:p>
        </w:tc>
        <w:tc>
          <w:tcPr>
            <w:tcW w:w="753" w:type="pct"/>
            <w:noWrap/>
          </w:tcPr>
          <w:p w14:paraId="15453C22" w14:textId="1B519D9E"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w:t>
            </w:r>
            <w:r w:rsidR="00FD1BF8" w:rsidRPr="00CA5337">
              <w:rPr>
                <w:rFonts w:ascii="Times New Roman"/>
                <w:sz w:val="22"/>
                <w:szCs w:val="22"/>
                <w:u w:val="none"/>
                <w:lang w:val="en-GB"/>
              </w:rPr>
              <w:t>4.1</w:t>
            </w:r>
          </w:p>
        </w:tc>
      </w:tr>
      <w:tr w:rsidR="00624C05" w:rsidRPr="00B008CD" w14:paraId="4311A23E" w14:textId="77777777" w:rsidTr="00F01FAE">
        <w:trPr>
          <w:cantSplit/>
          <w:jc w:val="center"/>
        </w:trPr>
        <w:tc>
          <w:tcPr>
            <w:tcW w:w="1345" w:type="pct"/>
            <w:noWrap/>
            <w:tcMar>
              <w:left w:w="28" w:type="dxa"/>
              <w:right w:w="28" w:type="dxa"/>
            </w:tcMar>
          </w:tcPr>
          <w:p w14:paraId="2C251264"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專業及商用服務</w:t>
            </w:r>
          </w:p>
          <w:p w14:paraId="253F5FDF"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shd w:val="clear" w:color="auto" w:fill="auto"/>
            <w:noWrap/>
          </w:tcPr>
          <w:p w14:paraId="0B4DA3D0"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sidRPr="00201CEF">
              <w:rPr>
                <w:rFonts w:ascii="Times New Roman"/>
                <w:sz w:val="22"/>
                <w:szCs w:val="22"/>
                <w:u w:val="none"/>
              </w:rPr>
              <w:t>1.</w:t>
            </w:r>
            <w:r w:rsidRPr="00201CEF">
              <w:rPr>
                <w:rFonts w:ascii="Times New Roman" w:hint="eastAsia"/>
                <w:sz w:val="22"/>
                <w:szCs w:val="22"/>
                <w:u w:val="none"/>
              </w:rPr>
              <w:t>6</w:t>
            </w:r>
          </w:p>
        </w:tc>
        <w:tc>
          <w:tcPr>
            <w:tcW w:w="526" w:type="pct"/>
            <w:shd w:val="clear" w:color="auto" w:fill="auto"/>
            <w:noWrap/>
            <w:tcMar>
              <w:left w:w="28" w:type="dxa"/>
              <w:right w:w="28" w:type="dxa"/>
            </w:tcMar>
          </w:tcPr>
          <w:p w14:paraId="3C922613"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2.5</w:t>
            </w:r>
          </w:p>
        </w:tc>
        <w:tc>
          <w:tcPr>
            <w:tcW w:w="526" w:type="pct"/>
            <w:shd w:val="clear" w:color="auto" w:fill="auto"/>
            <w:noWrap/>
            <w:tcMar>
              <w:left w:w="28" w:type="dxa"/>
              <w:right w:w="28" w:type="dxa"/>
            </w:tcMar>
          </w:tcPr>
          <w:p w14:paraId="4DCB73A1"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2.</w:t>
            </w:r>
            <w:r w:rsidRPr="00BF54C2">
              <w:rPr>
                <w:rFonts w:ascii="Times New Roman" w:hint="eastAsia"/>
                <w:sz w:val="22"/>
                <w:szCs w:val="22"/>
                <w:u w:val="none"/>
              </w:rPr>
              <w:t>3</w:t>
            </w:r>
          </w:p>
        </w:tc>
        <w:tc>
          <w:tcPr>
            <w:tcW w:w="526" w:type="pct"/>
            <w:shd w:val="clear" w:color="auto" w:fill="auto"/>
            <w:noWrap/>
            <w:tcMar>
              <w:left w:w="28" w:type="dxa"/>
              <w:right w:w="28" w:type="dxa"/>
            </w:tcMar>
          </w:tcPr>
          <w:p w14:paraId="111FC155"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1.</w:t>
            </w:r>
            <w:r w:rsidRPr="00BF54C2">
              <w:rPr>
                <w:rFonts w:ascii="Times New Roman" w:hint="eastAsia"/>
                <w:sz w:val="22"/>
                <w:szCs w:val="22"/>
                <w:u w:val="none"/>
              </w:rPr>
              <w:t>0</w:t>
            </w:r>
          </w:p>
        </w:tc>
        <w:tc>
          <w:tcPr>
            <w:tcW w:w="527" w:type="pct"/>
            <w:noWrap/>
            <w:tcMar>
              <w:left w:w="28" w:type="dxa"/>
              <w:right w:w="28" w:type="dxa"/>
            </w:tcMar>
          </w:tcPr>
          <w:p w14:paraId="0A488531"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sz w:val="22"/>
                <w:szCs w:val="22"/>
                <w:u w:val="none"/>
              </w:rPr>
              <w:t>0.</w:t>
            </w:r>
            <w:r w:rsidRPr="00BF54C2">
              <w:rPr>
                <w:rFonts w:ascii="Times New Roman" w:hint="eastAsia"/>
                <w:sz w:val="22"/>
                <w:szCs w:val="22"/>
                <w:u w:val="none"/>
              </w:rPr>
              <w:t>5</w:t>
            </w:r>
          </w:p>
        </w:tc>
        <w:tc>
          <w:tcPr>
            <w:tcW w:w="753" w:type="pct"/>
            <w:noWrap/>
          </w:tcPr>
          <w:p w14:paraId="1B2A5BD4" w14:textId="77777777"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CA5337">
              <w:rPr>
                <w:rFonts w:ascii="Times New Roman"/>
                <w:sz w:val="22"/>
                <w:szCs w:val="22"/>
                <w:u w:val="none"/>
                <w:lang w:val="en-GB"/>
              </w:rPr>
              <w:t>1.8</w:t>
            </w:r>
          </w:p>
        </w:tc>
      </w:tr>
      <w:tr w:rsidR="00624C05" w:rsidRPr="00B008CD" w14:paraId="3CBDC07E" w14:textId="77777777" w:rsidTr="00F01FAE">
        <w:trPr>
          <w:cantSplit/>
          <w:jc w:val="center"/>
        </w:trPr>
        <w:tc>
          <w:tcPr>
            <w:tcW w:w="1345" w:type="pct"/>
            <w:noWrap/>
            <w:tcMar>
              <w:left w:w="28" w:type="dxa"/>
              <w:right w:w="28" w:type="dxa"/>
            </w:tcMar>
          </w:tcPr>
          <w:p w14:paraId="1689F047" w14:textId="77777777" w:rsidR="00624C05" w:rsidRPr="00B008CD" w:rsidRDefault="00624C05" w:rsidP="00F01FA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公共行政、社會及</w:t>
            </w:r>
            <w:r w:rsidRPr="00B008CD">
              <w:rPr>
                <w:snapToGrid w:val="0"/>
                <w:spacing w:val="0"/>
                <w:sz w:val="20"/>
              </w:rPr>
              <w:br/>
            </w:r>
            <w:r w:rsidRPr="00B008CD">
              <w:rPr>
                <w:snapToGrid w:val="0"/>
                <w:spacing w:val="0"/>
                <w:sz w:val="20"/>
              </w:rPr>
              <w:t>個人服務</w:t>
            </w:r>
          </w:p>
        </w:tc>
        <w:tc>
          <w:tcPr>
            <w:tcW w:w="797" w:type="pct"/>
            <w:shd w:val="clear" w:color="auto" w:fill="auto"/>
            <w:noWrap/>
          </w:tcPr>
          <w:p w14:paraId="44D39FC5" w14:textId="77777777" w:rsidR="00624C05" w:rsidRPr="00201CEF" w:rsidRDefault="00624C05" w:rsidP="00F01FAE">
            <w:pPr>
              <w:pStyle w:val="5"/>
              <w:tabs>
                <w:tab w:val="decimal" w:pos="766"/>
              </w:tabs>
              <w:snapToGrid w:val="0"/>
              <w:spacing w:line="240" w:lineRule="auto"/>
              <w:ind w:left="0" w:right="0"/>
              <w:jc w:val="left"/>
              <w:rPr>
                <w:rFonts w:ascii="Times New Roman"/>
                <w:kern w:val="0"/>
                <w:sz w:val="22"/>
                <w:szCs w:val="22"/>
                <w:highlight w:val="yellow"/>
                <w:u w:val="none"/>
                <w:lang w:val="en-GB" w:eastAsia="zh-HK"/>
              </w:rPr>
            </w:pPr>
            <w:r>
              <w:rPr>
                <w:rFonts w:ascii="Times New Roman"/>
                <w:sz w:val="22"/>
                <w:szCs w:val="22"/>
                <w:u w:val="none"/>
              </w:rPr>
              <w:t>3.1</w:t>
            </w:r>
          </w:p>
        </w:tc>
        <w:tc>
          <w:tcPr>
            <w:tcW w:w="526" w:type="pct"/>
            <w:shd w:val="clear" w:color="auto" w:fill="auto"/>
            <w:noWrap/>
            <w:tcMar>
              <w:left w:w="28" w:type="dxa"/>
              <w:right w:w="28" w:type="dxa"/>
            </w:tcMar>
          </w:tcPr>
          <w:p w14:paraId="05A52974" w14:textId="77777777" w:rsidR="00624C05" w:rsidRPr="00201CEF"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201CEF">
              <w:rPr>
                <w:rFonts w:ascii="Times New Roman"/>
                <w:sz w:val="22"/>
                <w:szCs w:val="22"/>
                <w:u w:val="none"/>
              </w:rPr>
              <w:t>3.4</w:t>
            </w:r>
          </w:p>
        </w:tc>
        <w:tc>
          <w:tcPr>
            <w:tcW w:w="526" w:type="pct"/>
            <w:shd w:val="clear" w:color="auto" w:fill="auto"/>
            <w:noWrap/>
            <w:tcMar>
              <w:left w:w="28" w:type="dxa"/>
              <w:right w:w="28" w:type="dxa"/>
            </w:tcMar>
          </w:tcPr>
          <w:p w14:paraId="2C33F54C" w14:textId="77777777" w:rsidR="00624C05" w:rsidRPr="00BF54C2" w:rsidRDefault="00624C05" w:rsidP="00F01FAE">
            <w:pPr>
              <w:pStyle w:val="5"/>
              <w:tabs>
                <w:tab w:val="left" w:pos="444"/>
              </w:tabs>
              <w:snapToGrid w:val="0"/>
              <w:spacing w:line="240" w:lineRule="auto"/>
              <w:ind w:left="0" w:rightChars="-45" w:right="-135"/>
              <w:rPr>
                <w:rFonts w:ascii="Times New Roman"/>
                <w:sz w:val="22"/>
                <w:szCs w:val="22"/>
                <w:u w:val="none"/>
              </w:rPr>
            </w:pPr>
            <w:r w:rsidRPr="00BF54C2">
              <w:rPr>
                <w:rFonts w:ascii="Times New Roman"/>
                <w:sz w:val="22"/>
                <w:szCs w:val="22"/>
                <w:u w:val="none"/>
              </w:rPr>
              <w:t>3.1</w:t>
            </w:r>
          </w:p>
        </w:tc>
        <w:tc>
          <w:tcPr>
            <w:tcW w:w="526" w:type="pct"/>
            <w:shd w:val="clear" w:color="auto" w:fill="auto"/>
            <w:noWrap/>
            <w:tcMar>
              <w:left w:w="28" w:type="dxa"/>
              <w:right w:w="28" w:type="dxa"/>
            </w:tcMar>
          </w:tcPr>
          <w:p w14:paraId="60563A40" w14:textId="77777777" w:rsidR="00624C05" w:rsidRPr="00BF54C2" w:rsidRDefault="00624C05" w:rsidP="00F01FAE">
            <w:pPr>
              <w:pStyle w:val="5"/>
              <w:tabs>
                <w:tab w:val="decimal" w:pos="491"/>
              </w:tabs>
              <w:snapToGrid w:val="0"/>
              <w:spacing w:line="240" w:lineRule="auto"/>
              <w:ind w:left="0" w:rightChars="-45" w:right="-135"/>
              <w:jc w:val="left"/>
              <w:rPr>
                <w:rFonts w:ascii="Times New Roman"/>
                <w:sz w:val="22"/>
                <w:szCs w:val="22"/>
                <w:u w:val="none"/>
              </w:rPr>
            </w:pPr>
            <w:r w:rsidRPr="00BF54C2">
              <w:rPr>
                <w:rFonts w:ascii="Times New Roman"/>
                <w:sz w:val="22"/>
                <w:szCs w:val="22"/>
                <w:u w:val="none"/>
              </w:rPr>
              <w:t>3.0</w:t>
            </w:r>
          </w:p>
        </w:tc>
        <w:tc>
          <w:tcPr>
            <w:tcW w:w="527" w:type="pct"/>
            <w:noWrap/>
            <w:tcMar>
              <w:left w:w="28" w:type="dxa"/>
              <w:right w:w="28" w:type="dxa"/>
            </w:tcMar>
          </w:tcPr>
          <w:p w14:paraId="67059AB0" w14:textId="77777777" w:rsidR="00624C05" w:rsidRPr="00BF54C2" w:rsidRDefault="00624C05" w:rsidP="00F01FAE">
            <w:pPr>
              <w:pStyle w:val="5"/>
              <w:tabs>
                <w:tab w:val="decimal" w:pos="491"/>
              </w:tabs>
              <w:snapToGrid w:val="0"/>
              <w:spacing w:line="240" w:lineRule="auto"/>
              <w:ind w:left="0" w:rightChars="-45" w:right="-135"/>
              <w:jc w:val="left"/>
              <w:rPr>
                <w:rFonts w:ascii="Times New Roman" w:eastAsia="華康細明體"/>
                <w:snapToGrid w:val="0"/>
                <w:kern w:val="0"/>
                <w:sz w:val="22"/>
                <w:szCs w:val="22"/>
                <w:u w:val="none"/>
              </w:rPr>
            </w:pPr>
            <w:r w:rsidRPr="00BF54C2">
              <w:rPr>
                <w:rFonts w:ascii="Times New Roman"/>
                <w:sz w:val="22"/>
                <w:szCs w:val="22"/>
                <w:u w:val="none"/>
              </w:rPr>
              <w:t>3.0</w:t>
            </w:r>
          </w:p>
        </w:tc>
        <w:tc>
          <w:tcPr>
            <w:tcW w:w="753" w:type="pct"/>
            <w:noWrap/>
          </w:tcPr>
          <w:p w14:paraId="5D0C524A" w14:textId="77777777" w:rsidR="00624C05" w:rsidRPr="00FD1BF8" w:rsidRDefault="00624C05" w:rsidP="00F01FAE">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rPr>
            </w:pPr>
            <w:r w:rsidRPr="00CA5337">
              <w:rPr>
                <w:rFonts w:ascii="Times New Roman"/>
                <w:sz w:val="22"/>
                <w:szCs w:val="22"/>
                <w:u w:val="none"/>
                <w:lang w:val="en-GB"/>
              </w:rPr>
              <w:t>1.7</w:t>
            </w:r>
          </w:p>
        </w:tc>
      </w:tr>
    </w:tbl>
    <w:p w14:paraId="568E72EB" w14:textId="77777777" w:rsidR="00624C05" w:rsidRPr="00B008CD" w:rsidRDefault="00624C05" w:rsidP="00F87742">
      <w:pPr>
        <w:pStyle w:val="affd"/>
        <w:keepNext/>
        <w:overflowPunct w:val="0"/>
        <w:spacing w:beforeLines="0"/>
        <w:rPr>
          <w:lang w:val="en-GB"/>
        </w:rPr>
      </w:pPr>
    </w:p>
    <w:p w14:paraId="31DB96B6" w14:textId="77777777" w:rsidR="00624C05" w:rsidRPr="00877DF1" w:rsidRDefault="00624C05" w:rsidP="00F87742">
      <w:pPr>
        <w:pStyle w:val="affd"/>
        <w:keepNext/>
        <w:overflowPunct w:val="0"/>
        <w:spacing w:before="180"/>
        <w:rPr>
          <w:lang w:val="en-GB"/>
        </w:rPr>
      </w:pPr>
      <w:r w:rsidRPr="00877DF1">
        <w:rPr>
          <w:rFonts w:hint="eastAsia"/>
          <w:lang w:val="en-GB"/>
        </w:rPr>
        <w:t>註：</w:t>
      </w:r>
      <w:r>
        <w:rPr>
          <w:lang w:val="en-GB"/>
        </w:rPr>
        <w:tab/>
      </w:r>
      <w:r w:rsidRPr="00877DF1">
        <w:rPr>
          <w:rFonts w:hint="eastAsia"/>
          <w:lang w:val="en-GB"/>
        </w:rPr>
        <w:t>這些數字會在取得更多數據後再作修訂。</w:t>
      </w:r>
    </w:p>
    <w:p w14:paraId="503188D3" w14:textId="77777777" w:rsidR="00624C05" w:rsidRPr="00877DF1" w:rsidRDefault="00624C05" w:rsidP="00F01FAE">
      <w:pPr>
        <w:pStyle w:val="affd"/>
        <w:keepNext/>
        <w:overflowPunct w:val="0"/>
        <w:spacing w:before="180"/>
        <w:rPr>
          <w:lang w:val="en-GB"/>
        </w:rPr>
      </w:pPr>
      <w:r w:rsidRPr="00877DF1">
        <w:rPr>
          <w:lang w:val="en-GB"/>
        </w:rPr>
        <w:tab/>
      </w:r>
      <w:r w:rsidRPr="0058091A">
        <w:rPr>
          <w:lang w:val="en-GB"/>
        </w:rPr>
        <w:t>(*)</w:t>
      </w:r>
      <w:r w:rsidRPr="0058091A">
        <w:rPr>
          <w:lang w:val="en-GB"/>
        </w:rPr>
        <w:tab/>
      </w:r>
      <w:r w:rsidRPr="0058091A">
        <w:rPr>
          <w:lang w:val="en-GB"/>
        </w:rPr>
        <w:t>增減小於</w:t>
      </w:r>
      <w:r w:rsidRPr="0058091A">
        <w:rPr>
          <w:lang w:val="en-GB"/>
        </w:rPr>
        <w:t>0.05%</w:t>
      </w:r>
      <w:r w:rsidRPr="0058091A">
        <w:rPr>
          <w:lang w:val="en-GB"/>
        </w:rPr>
        <w:t>。</w:t>
      </w:r>
    </w:p>
    <w:p w14:paraId="175AF626" w14:textId="4EDA8CC0" w:rsidR="00624C05" w:rsidRDefault="00624C05">
      <w:pPr>
        <w:tabs>
          <w:tab w:val="clear" w:pos="936"/>
          <w:tab w:val="clear" w:pos="1560"/>
          <w:tab w:val="clear" w:pos="2184"/>
          <w:tab w:val="clear" w:pos="2808"/>
        </w:tabs>
        <w:overflowPunct/>
        <w:topLinePunct w:val="0"/>
        <w:adjustRightInd/>
        <w:spacing w:after="0" w:line="240" w:lineRule="auto"/>
        <w:jc w:val="left"/>
        <w:textAlignment w:val="auto"/>
      </w:pPr>
      <w:r>
        <w:br w:type="page"/>
      </w:r>
    </w:p>
    <w:p w14:paraId="7CA96EDA" w14:textId="77777777" w:rsidR="00624C05" w:rsidRPr="006D5A4A" w:rsidRDefault="00624C05" w:rsidP="00624C05">
      <w:pPr>
        <w:pStyle w:val="120"/>
        <w:rPr>
          <w:highlight w:val="yellow"/>
        </w:rPr>
      </w:pPr>
      <w:r w:rsidRPr="00D9538E">
        <w:rPr>
          <w:rFonts w:hint="eastAsia"/>
        </w:rPr>
        <w:t>其他經濟發展</w:t>
      </w:r>
    </w:p>
    <w:p w14:paraId="0B0E97CF" w14:textId="67D6BD13" w:rsidR="00624C05" w:rsidRDefault="00624C05" w:rsidP="00624C05">
      <w:r w:rsidRPr="007C7EAF">
        <w:rPr>
          <w:b/>
          <w:bCs/>
        </w:rPr>
        <w:t>1.1</w:t>
      </w:r>
      <w:r>
        <w:rPr>
          <w:rFonts w:hint="eastAsia"/>
          <w:b/>
          <w:bCs/>
        </w:rPr>
        <w:t>3</w:t>
      </w:r>
      <w:r w:rsidRPr="007C7EAF">
        <w:rPr>
          <w:b/>
          <w:bCs/>
        </w:rPr>
        <w:tab/>
      </w:r>
      <w:r w:rsidR="00D72F76" w:rsidRPr="001B4E17">
        <w:rPr>
          <w:rFonts w:hint="eastAsia"/>
          <w:lang w:eastAsia="zh-HK"/>
        </w:rPr>
        <w:t>在國際管理發展學院發布的《</w:t>
      </w:r>
      <w:r w:rsidR="00D72F76" w:rsidRPr="001B4E17">
        <w:rPr>
          <w:rFonts w:hint="eastAsia"/>
          <w:lang w:eastAsia="zh-HK"/>
        </w:rPr>
        <w:t>2025</w:t>
      </w:r>
      <w:r w:rsidR="00D72F76">
        <w:rPr>
          <w:lang w:eastAsia="zh-HK"/>
        </w:rPr>
        <w:t> </w:t>
      </w:r>
      <w:r w:rsidR="00D72F76" w:rsidRPr="001B4E17">
        <w:rPr>
          <w:rFonts w:hint="eastAsia"/>
          <w:lang w:eastAsia="zh-HK"/>
        </w:rPr>
        <w:t>年世界競爭力年報》中，香港的</w:t>
      </w:r>
      <w:r w:rsidR="00D72F76">
        <w:rPr>
          <w:rFonts w:hint="eastAsia"/>
        </w:rPr>
        <w:t>排名</w:t>
      </w:r>
      <w:r w:rsidR="00D72F76">
        <w:rPr>
          <w:rFonts w:hint="eastAsia"/>
          <w:lang w:eastAsia="zh-HK"/>
        </w:rPr>
        <w:t>連續第二年</w:t>
      </w:r>
      <w:r w:rsidR="00D72F76" w:rsidRPr="001B4E17">
        <w:rPr>
          <w:rFonts w:hint="eastAsia"/>
          <w:lang w:eastAsia="zh-HK"/>
        </w:rPr>
        <w:t>上升</w:t>
      </w:r>
      <w:r w:rsidR="00D72F76">
        <w:rPr>
          <w:rFonts w:hint="eastAsia"/>
          <w:lang w:eastAsia="zh-HK"/>
        </w:rPr>
        <w:t>，</w:t>
      </w:r>
      <w:r w:rsidR="00960349">
        <w:rPr>
          <w:rFonts w:hint="eastAsia"/>
          <w:lang w:eastAsia="zh-HK"/>
        </w:rPr>
        <w:t>躍居</w:t>
      </w:r>
      <w:r w:rsidR="00D72F76" w:rsidRPr="001B4E17">
        <w:rPr>
          <w:rFonts w:hint="eastAsia"/>
          <w:lang w:eastAsia="zh-HK"/>
        </w:rPr>
        <w:t>全球第三</w:t>
      </w:r>
      <w:r w:rsidR="00960349">
        <w:rPr>
          <w:rFonts w:hint="eastAsia"/>
        </w:rPr>
        <w:t>位</w:t>
      </w:r>
      <w:r w:rsidR="00D72F76">
        <w:rPr>
          <w:rFonts w:hint="eastAsia"/>
        </w:rPr>
        <w:t>，</w:t>
      </w:r>
      <w:r w:rsidR="00D72F76" w:rsidRPr="001B4E17">
        <w:rPr>
          <w:rFonts w:hint="eastAsia"/>
          <w:lang w:eastAsia="zh-HK"/>
        </w:rPr>
        <w:t>是</w:t>
      </w:r>
      <w:r w:rsidR="00D72F76">
        <w:rPr>
          <w:rFonts w:hint="eastAsia"/>
        </w:rPr>
        <w:t>香港</w:t>
      </w:r>
      <w:r w:rsidR="00D72F76">
        <w:rPr>
          <w:rFonts w:hint="eastAsia"/>
          <w:lang w:eastAsia="zh-HK"/>
        </w:rPr>
        <w:t>自二</w:t>
      </w:r>
      <w:r w:rsidR="00D72F76">
        <w:rPr>
          <w:rFonts w:hint="eastAsia"/>
        </w:rPr>
        <w:t>零</w:t>
      </w:r>
      <w:r w:rsidR="00D72F76" w:rsidRPr="001B4E17">
        <w:rPr>
          <w:rFonts w:hint="eastAsia"/>
          <w:lang w:eastAsia="zh-HK"/>
        </w:rPr>
        <w:t>一九年後首次重返全球三甲。</w:t>
      </w:r>
      <w:r w:rsidR="00D72F76" w:rsidRPr="00162EEE">
        <w:rPr>
          <w:rFonts w:hint="eastAsia"/>
          <w:lang w:eastAsia="zh-HK"/>
        </w:rPr>
        <w:t>在四個競爭力因素中，香港</w:t>
      </w:r>
      <w:r w:rsidR="00D72F76">
        <w:rPr>
          <w:rFonts w:hint="eastAsia"/>
          <w:lang w:eastAsia="zh-HK"/>
        </w:rPr>
        <w:t>在</w:t>
      </w:r>
      <w:r w:rsidR="00D72F76" w:rsidRPr="00162EEE">
        <w:rPr>
          <w:rFonts w:hint="eastAsia"/>
          <w:lang w:eastAsia="zh-HK"/>
        </w:rPr>
        <w:t>「政府效率」和「營商效率」</w:t>
      </w:r>
      <w:r w:rsidR="00D72F76">
        <w:rPr>
          <w:rFonts w:hint="eastAsia"/>
        </w:rPr>
        <w:t>的</w:t>
      </w:r>
      <w:r w:rsidR="00D72F76">
        <w:rPr>
          <w:rFonts w:hint="eastAsia"/>
          <w:lang w:eastAsia="zh-HK"/>
        </w:rPr>
        <w:t>排名</w:t>
      </w:r>
      <w:r w:rsidR="00D72F76" w:rsidRPr="00162EEE">
        <w:rPr>
          <w:rFonts w:hint="eastAsia"/>
          <w:lang w:eastAsia="zh-HK"/>
        </w:rPr>
        <w:t>升至全球第二</w:t>
      </w:r>
      <w:r w:rsidR="00D72F76">
        <w:rPr>
          <w:rFonts w:hint="eastAsia"/>
        </w:rPr>
        <w:t>位，</w:t>
      </w:r>
      <w:r w:rsidR="00D72F76">
        <w:rPr>
          <w:rFonts w:hint="eastAsia"/>
          <w:lang w:eastAsia="zh-HK"/>
        </w:rPr>
        <w:t>「經濟表現」和「基礎建設」的排名亦分別升至全球第六</w:t>
      </w:r>
      <w:r w:rsidR="00960349">
        <w:rPr>
          <w:rFonts w:hint="eastAsia"/>
        </w:rPr>
        <w:t>位</w:t>
      </w:r>
      <w:r w:rsidR="00D72F76">
        <w:rPr>
          <w:rFonts w:hint="eastAsia"/>
          <w:lang w:eastAsia="zh-HK"/>
        </w:rPr>
        <w:t>和第七</w:t>
      </w:r>
      <w:r w:rsidR="00D72F76">
        <w:rPr>
          <w:rFonts w:hint="eastAsia"/>
        </w:rPr>
        <w:t>位</w:t>
      </w:r>
      <w:r w:rsidR="006B12D2">
        <w:rPr>
          <w:rFonts w:hint="eastAsia"/>
        </w:rPr>
        <w:t>。</w:t>
      </w:r>
      <w:r w:rsidR="006B12D2" w:rsidRPr="00162EEE">
        <w:rPr>
          <w:rFonts w:hint="eastAsia"/>
          <w:lang w:eastAsia="zh-HK"/>
        </w:rPr>
        <w:t>競爭力</w:t>
      </w:r>
      <w:r w:rsidR="006B12D2">
        <w:rPr>
          <w:rFonts w:hint="eastAsia"/>
        </w:rPr>
        <w:t>排名提升，</w:t>
      </w:r>
      <w:r w:rsidR="00D72F76" w:rsidRPr="00162EEE">
        <w:rPr>
          <w:rFonts w:hint="eastAsia"/>
        </w:rPr>
        <w:t>顯示政府的施政方向正確，各項政策</w:t>
      </w:r>
      <w:r w:rsidR="00D72F76">
        <w:rPr>
          <w:rFonts w:hint="eastAsia"/>
        </w:rPr>
        <w:t>亦已</w:t>
      </w:r>
      <w:r w:rsidR="00D72F76" w:rsidRPr="00162EEE">
        <w:rPr>
          <w:rFonts w:hint="eastAsia"/>
        </w:rPr>
        <w:t>取得成效。</w:t>
      </w:r>
      <w:r w:rsidR="00D72F76">
        <w:rPr>
          <w:rFonts w:hint="eastAsia"/>
        </w:rPr>
        <w:t>面對紛繁</w:t>
      </w:r>
      <w:r w:rsidR="00D72F76" w:rsidRPr="00162EEE">
        <w:rPr>
          <w:rFonts w:hint="eastAsia"/>
        </w:rPr>
        <w:t>複雜的全球政經格局，香港會</w:t>
      </w:r>
      <w:r w:rsidR="00D72F76">
        <w:rPr>
          <w:rFonts w:hint="eastAsia"/>
        </w:rPr>
        <w:t>繼續積極融入國家發展大局，</w:t>
      </w:r>
      <w:r w:rsidR="00D72F76" w:rsidRPr="00162EEE">
        <w:rPr>
          <w:rFonts w:hint="eastAsia"/>
        </w:rPr>
        <w:t>對接好國家發展戰略，</w:t>
      </w:r>
      <w:r w:rsidR="00D72F76">
        <w:rPr>
          <w:rFonts w:hint="eastAsia"/>
        </w:rPr>
        <w:t>以</w:t>
      </w:r>
      <w:r w:rsidR="00D72F76" w:rsidRPr="00162EEE">
        <w:rPr>
          <w:rFonts w:hint="eastAsia"/>
        </w:rPr>
        <w:t>鞏固</w:t>
      </w:r>
      <w:r w:rsidR="00D72F76">
        <w:rPr>
          <w:rFonts w:hint="eastAsia"/>
        </w:rPr>
        <w:t>「</w:t>
      </w:r>
      <w:r w:rsidR="00D72F76" w:rsidRPr="00162EEE">
        <w:rPr>
          <w:rFonts w:hint="eastAsia"/>
        </w:rPr>
        <w:t>超級聯繫人</w:t>
      </w:r>
      <w:r w:rsidR="00D72F76">
        <w:rPr>
          <w:rFonts w:hint="eastAsia"/>
        </w:rPr>
        <w:t>」</w:t>
      </w:r>
      <w:r w:rsidR="00D72F76" w:rsidRPr="00162EEE">
        <w:rPr>
          <w:rFonts w:hint="eastAsia"/>
        </w:rPr>
        <w:t>和</w:t>
      </w:r>
      <w:r w:rsidR="00D72F76">
        <w:rPr>
          <w:rFonts w:hint="eastAsia"/>
        </w:rPr>
        <w:t>「</w:t>
      </w:r>
      <w:r w:rsidR="00D72F76" w:rsidRPr="00162EEE">
        <w:rPr>
          <w:rFonts w:hint="eastAsia"/>
        </w:rPr>
        <w:t>超級增值人</w:t>
      </w:r>
      <w:r w:rsidR="00D72F76">
        <w:rPr>
          <w:rFonts w:hint="eastAsia"/>
        </w:rPr>
        <w:t>」的功能角色，並不斷強化政府治理體系，提升施政效能。香港亦會加強</w:t>
      </w:r>
      <w:r w:rsidR="00D72F76" w:rsidRPr="00162EEE">
        <w:rPr>
          <w:rFonts w:hint="eastAsia"/>
        </w:rPr>
        <w:t>國際交</w:t>
      </w:r>
      <w:r w:rsidR="00D72F76">
        <w:rPr>
          <w:rFonts w:hint="eastAsia"/>
          <w:lang w:eastAsia="zh-HK"/>
        </w:rPr>
        <w:t>流和</w:t>
      </w:r>
      <w:r w:rsidR="00D72F76" w:rsidRPr="00162EEE">
        <w:rPr>
          <w:rFonts w:hint="eastAsia"/>
        </w:rPr>
        <w:t>合作，</w:t>
      </w:r>
      <w:r w:rsidR="00D72F76">
        <w:rPr>
          <w:rFonts w:hint="eastAsia"/>
          <w:lang w:eastAsia="zh-HK"/>
        </w:rPr>
        <w:t>拓展並</w:t>
      </w:r>
      <w:r w:rsidR="00D72F76" w:rsidRPr="00162EEE">
        <w:rPr>
          <w:rFonts w:hint="eastAsia"/>
        </w:rPr>
        <w:t>深</w:t>
      </w:r>
      <w:r w:rsidR="00D72F76">
        <w:rPr>
          <w:rFonts w:hint="eastAsia"/>
          <w:lang w:eastAsia="zh-HK"/>
        </w:rPr>
        <w:t>化</w:t>
      </w:r>
      <w:r w:rsidR="00D72F76" w:rsidRPr="00162EEE">
        <w:rPr>
          <w:rFonts w:hint="eastAsia"/>
        </w:rPr>
        <w:t>區域貿易，開拓新市場，全面拼經濟、謀發展、惠民生。</w:t>
      </w:r>
    </w:p>
    <w:p w14:paraId="138F638F" w14:textId="2730D9E4" w:rsidR="00F83D3E" w:rsidRPr="00773284" w:rsidRDefault="00F83D3E" w:rsidP="00F83D3E">
      <w:pPr>
        <w:rPr>
          <w:b/>
          <w:lang w:eastAsia="zh-HK"/>
        </w:rPr>
      </w:pPr>
      <w:r w:rsidRPr="00773284">
        <w:rPr>
          <w:b/>
        </w:rPr>
        <w:t>1.14</w:t>
      </w:r>
      <w:r w:rsidRPr="004006A2">
        <w:tab/>
      </w:r>
      <w:r w:rsidRPr="00773284">
        <w:rPr>
          <w:rFonts w:hint="eastAsia"/>
          <w:lang w:eastAsia="zh-HK"/>
        </w:rPr>
        <w:t>政</w:t>
      </w:r>
      <w:r w:rsidRPr="00773284">
        <w:rPr>
          <w:rFonts w:hint="eastAsia"/>
        </w:rPr>
        <w:t>府</w:t>
      </w:r>
      <w:r w:rsidRPr="004006A2">
        <w:rPr>
          <w:rFonts w:hint="eastAsia"/>
          <w:lang w:eastAsia="zh-HK"/>
        </w:rPr>
        <w:t>在七月發表《香港營商環境報告：一國兩制</w:t>
      </w:r>
      <w:r w:rsidR="00960349">
        <w:t> </w:t>
      </w:r>
      <w:r w:rsidRPr="004006A2">
        <w:rPr>
          <w:rFonts w:hint="eastAsia"/>
          <w:lang w:eastAsia="zh-HK"/>
        </w:rPr>
        <w:t>獨特優勢》</w:t>
      </w:r>
      <w:r w:rsidR="00960349" w:rsidRPr="00960349">
        <w:rPr>
          <w:rFonts w:hint="eastAsia"/>
          <w:lang w:eastAsia="zh-HK"/>
        </w:rPr>
        <w:t>。</w:t>
      </w:r>
      <w:r w:rsidR="00AC70A4">
        <w:rPr>
          <w:rFonts w:hint="eastAsia"/>
          <w:lang w:eastAsia="zh-HK"/>
        </w:rPr>
        <w:t>該</w:t>
      </w:r>
      <w:r w:rsidR="00960349" w:rsidRPr="00960349">
        <w:rPr>
          <w:rFonts w:hint="eastAsia"/>
          <w:lang w:eastAsia="zh-HK"/>
        </w:rPr>
        <w:t>報告</w:t>
      </w:r>
      <w:r w:rsidRPr="004006A2">
        <w:rPr>
          <w:rFonts w:hint="eastAsia"/>
          <w:lang w:eastAsia="zh-HK"/>
        </w:rPr>
        <w:t>向社會各界和海內外投資者詳細介紹香港的最新發展和優勢，全方位說明香港開放、安全、穩定、高效和國際化的營商環境。</w:t>
      </w:r>
    </w:p>
    <w:p w14:paraId="5F7FDEE6" w14:textId="2F18714D" w:rsidR="00F83D3E" w:rsidRPr="00F83D3E" w:rsidRDefault="00F83D3E" w:rsidP="00624C05"/>
    <w:p w14:paraId="57BF5576" w14:textId="77777777" w:rsidR="00F83D3E" w:rsidRPr="001B4E17" w:rsidRDefault="00F83D3E" w:rsidP="00624C05">
      <w:pPr>
        <w:rPr>
          <w:lang w:eastAsia="zh-HK"/>
        </w:rPr>
      </w:pPr>
    </w:p>
    <w:p w14:paraId="49E2A85B" w14:textId="77777777" w:rsidR="00624C05" w:rsidRDefault="00624C05">
      <w:pPr>
        <w:tabs>
          <w:tab w:val="clear" w:pos="936"/>
          <w:tab w:val="clear" w:pos="1560"/>
          <w:tab w:val="clear" w:pos="2184"/>
          <w:tab w:val="clear" w:pos="2808"/>
        </w:tabs>
        <w:overflowPunct/>
        <w:topLinePunct w:val="0"/>
        <w:adjustRightInd/>
        <w:spacing w:after="0" w:line="240" w:lineRule="auto"/>
        <w:jc w:val="left"/>
        <w:textAlignment w:val="auto"/>
        <w:rPr>
          <w:color w:val="FF0000"/>
          <w:sz w:val="28"/>
          <w:szCs w:val="28"/>
        </w:rPr>
      </w:pPr>
      <w:r>
        <w:rPr>
          <w:color w:val="FF0000"/>
          <w:sz w:val="28"/>
          <w:szCs w:val="28"/>
        </w:rPr>
        <w:br w:type="page"/>
      </w:r>
    </w:p>
    <w:p w14:paraId="176181D4" w14:textId="77777777" w:rsidR="00624C05" w:rsidRPr="00276AD6" w:rsidRDefault="00624C05" w:rsidP="00F01FAE">
      <w:pPr>
        <w:pStyle w:val="120"/>
      </w:pPr>
      <w:r w:rsidRPr="00EA3DA2">
        <w:rPr>
          <w:rFonts w:hint="eastAsia"/>
        </w:rPr>
        <w:t>註釋</w:t>
      </w:r>
      <w:r w:rsidRPr="0058091A">
        <w:t>：</w:t>
      </w:r>
    </w:p>
    <w:p w14:paraId="12BE6288" w14:textId="77777777" w:rsidR="00624C05" w:rsidRPr="00EA3DA2" w:rsidRDefault="00624C05" w:rsidP="00F01FAE">
      <w:pPr>
        <w:pStyle w:val="afe"/>
        <w:rPr>
          <w:lang w:eastAsia="zh-HK"/>
        </w:rPr>
      </w:pPr>
      <w:r w:rsidRPr="00EA3DA2">
        <w:rPr>
          <w:lang w:eastAsia="zh-HK"/>
        </w:rPr>
        <w:t>(1)</w:t>
      </w:r>
      <w:r w:rsidRPr="00EA3DA2">
        <w:rPr>
          <w:lang w:eastAsia="zh-HK"/>
        </w:rPr>
        <w:tab/>
      </w:r>
      <w:r w:rsidRPr="00EA3DA2">
        <w:rPr>
          <w:rFonts w:hint="eastAsia"/>
          <w:lang w:eastAsia="zh-HK"/>
        </w:rPr>
        <w:t>本地生產總值是指定期間內</w:t>
      </w:r>
      <w:r w:rsidRPr="00EA3DA2">
        <w:rPr>
          <w:lang w:eastAsia="zh-HK"/>
        </w:rPr>
        <w:t>(</w:t>
      </w:r>
      <w:r w:rsidRPr="00EA3DA2">
        <w:rPr>
          <w:rFonts w:hint="eastAsia"/>
          <w:lang w:eastAsia="zh-HK"/>
        </w:rPr>
        <w:t>例如一曆年或一季</w:t>
      </w:r>
      <w:r w:rsidRPr="00EA3DA2">
        <w:rPr>
          <w:lang w:eastAsia="zh-HK"/>
        </w:rPr>
        <w:t>)</w:t>
      </w:r>
      <w:r w:rsidRPr="00EA3DA2">
        <w:rPr>
          <w:rFonts w:hint="eastAsia"/>
          <w:lang w:eastAsia="zh-HK"/>
        </w:rPr>
        <w:t>，某經濟體未扣除固定資本消耗的總產量淨值。從開支方面估算，本地生產總值是把貨物和服務的最終總開支</w:t>
      </w:r>
      <w:r w:rsidRPr="00EA3DA2">
        <w:rPr>
          <w:lang w:eastAsia="zh-HK"/>
        </w:rPr>
        <w:t>(</w:t>
      </w:r>
      <w:r w:rsidRPr="00EA3DA2">
        <w:rPr>
          <w:rFonts w:hint="eastAsia"/>
          <w:lang w:eastAsia="zh-HK"/>
        </w:rPr>
        <w:t>包括私人消費開支、政府消費開支、本地固定資本形成總額、存貨增減，以及貨物出口及服務輸出</w:t>
      </w:r>
      <w:r w:rsidRPr="00EA3DA2">
        <w:rPr>
          <w:lang w:eastAsia="zh-HK"/>
        </w:rPr>
        <w:t>)</w:t>
      </w:r>
      <w:r w:rsidRPr="00EA3DA2">
        <w:rPr>
          <w:rFonts w:hint="eastAsia"/>
          <w:lang w:eastAsia="zh-HK"/>
        </w:rPr>
        <w:t>的總和，減去貨物進口和服務輸入。</w:t>
      </w:r>
    </w:p>
    <w:p w14:paraId="2CD6BDF2" w14:textId="77777777" w:rsidR="00624C05" w:rsidRDefault="00624C05" w:rsidP="00F01FAE">
      <w:pPr>
        <w:pStyle w:val="afe"/>
        <w:rPr>
          <w:lang w:eastAsia="zh-HK"/>
        </w:rPr>
      </w:pPr>
      <w:r w:rsidRPr="00EA3DA2">
        <w:rPr>
          <w:lang w:eastAsia="zh-HK"/>
        </w:rPr>
        <w:t>(</w:t>
      </w:r>
      <w:r w:rsidRPr="00EA3DA2">
        <w:t>2</w:t>
      </w:r>
      <w:r w:rsidRPr="00EA3DA2">
        <w:rPr>
          <w:lang w:eastAsia="zh-HK"/>
        </w:rPr>
        <w:t>)</w:t>
      </w:r>
      <w:r w:rsidRPr="00EA3DA2">
        <w:rPr>
          <w:lang w:eastAsia="zh-HK"/>
        </w:rPr>
        <w:tab/>
      </w:r>
      <w:r w:rsidRPr="00EA3DA2">
        <w:rPr>
          <w:rFonts w:hint="eastAsia"/>
          <w:lang w:eastAsia="zh-HK"/>
        </w:rPr>
        <w:t>經季節性調整後與上季度比較的本地生產總值數列，已扣除每年約於同一時間出現而幅度相若的變動，為了解本地生產總值的趨勢</w:t>
      </w:r>
      <w:r w:rsidRPr="00EA3DA2">
        <w:rPr>
          <w:lang w:eastAsia="zh-HK"/>
        </w:rPr>
        <w:t>(</w:t>
      </w:r>
      <w:r w:rsidRPr="00EA3DA2">
        <w:rPr>
          <w:rFonts w:hint="eastAsia"/>
          <w:lang w:eastAsia="zh-HK"/>
        </w:rPr>
        <w:t>特別是當中的轉折點</w:t>
      </w:r>
      <w:r w:rsidRPr="00EA3DA2">
        <w:rPr>
          <w:lang w:eastAsia="zh-HK"/>
        </w:rPr>
        <w:t>)</w:t>
      </w:r>
      <w:r w:rsidRPr="00EA3DA2">
        <w:rPr>
          <w:rFonts w:hint="eastAsia"/>
          <w:lang w:eastAsia="zh-HK"/>
        </w:rPr>
        <w:t>提供另一角度。詳細研究後，會發現整體本地生產總值及其中一些主要組成項目均有季節性變動。這些組成項目包括私人消費開支、政府消費開支、貨物出口、貨物進口、服務輸出及服務輸入。不過，本地固定資本形成總額短期波動頗大，故此並無明顯的季節性模式。因此，經季節性調整後的本地生產總值數列是以整體水平另行計算，而不是把各主要組成項目相加而成。</w:t>
      </w:r>
    </w:p>
    <w:p w14:paraId="4541ABC7" w14:textId="77777777" w:rsidR="00624C05" w:rsidRPr="005164C2" w:rsidRDefault="00624C05" w:rsidP="00F01FAE">
      <w:pPr>
        <w:pStyle w:val="afe"/>
        <w:rPr>
          <w:rFonts w:eastAsia="華康中黑體"/>
          <w:lang w:eastAsia="zh-HK"/>
        </w:rPr>
      </w:pPr>
    </w:p>
    <w:p w14:paraId="38375D43" w14:textId="0C879A14" w:rsidR="00371AFA" w:rsidRPr="00624C05" w:rsidRDefault="00371AFA" w:rsidP="00624C05"/>
    <w:sectPr w:rsidR="00371AFA" w:rsidRPr="00624C05" w:rsidSect="00C01314">
      <w:footerReference w:type="default" r:id="rId13"/>
      <w:pgSz w:w="11907" w:h="16839" w:code="9"/>
      <w:pgMar w:top="1134" w:right="1418" w:bottom="1134" w:left="1418" w:header="567"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98CF1" w14:textId="77777777" w:rsidR="002F4FC1" w:rsidRDefault="002F4FC1">
      <w:pPr>
        <w:spacing w:after="0" w:line="240" w:lineRule="auto"/>
      </w:pPr>
      <w:r>
        <w:separator/>
      </w:r>
    </w:p>
  </w:endnote>
  <w:endnote w:type="continuationSeparator" w:id="0">
    <w:p w14:paraId="60001FEF" w14:textId="77777777" w:rsidR="002F4FC1" w:rsidRDefault="002F4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7DA4A" w14:textId="56C92A85" w:rsidR="002F4FC1" w:rsidRPr="00F558B4" w:rsidRDefault="002F4FC1" w:rsidP="00A9463E">
    <w:pPr>
      <w:pStyle w:val="ab"/>
      <w:framePr w:wrap="around" w:vAnchor="text" w:hAnchor="margin" w:xAlign="center" w:y="1"/>
      <w:rPr>
        <w:rStyle w:val="af"/>
        <w:sz w:val="24"/>
        <w:szCs w:val="24"/>
      </w:rPr>
    </w:pPr>
    <w:r w:rsidRPr="00F558B4">
      <w:rPr>
        <w:rStyle w:val="af"/>
        <w:sz w:val="24"/>
        <w:szCs w:val="24"/>
      </w:rPr>
      <w:fldChar w:fldCharType="begin"/>
    </w:r>
    <w:r w:rsidRPr="00F558B4">
      <w:rPr>
        <w:rStyle w:val="af"/>
        <w:sz w:val="24"/>
        <w:szCs w:val="24"/>
      </w:rPr>
      <w:instrText xml:space="preserve">PAGE  </w:instrText>
    </w:r>
    <w:r w:rsidRPr="00F558B4">
      <w:rPr>
        <w:rStyle w:val="af"/>
        <w:sz w:val="24"/>
        <w:szCs w:val="24"/>
      </w:rPr>
      <w:fldChar w:fldCharType="separate"/>
    </w:r>
    <w:r w:rsidR="00DD6579">
      <w:rPr>
        <w:rStyle w:val="af"/>
        <w:noProof/>
        <w:sz w:val="24"/>
        <w:szCs w:val="24"/>
      </w:rPr>
      <w:t>1</w:t>
    </w:r>
    <w:r w:rsidRPr="00F558B4">
      <w:rPr>
        <w:rStyle w:val="af"/>
        <w:sz w:val="24"/>
        <w:szCs w:val="24"/>
      </w:rPr>
      <w:fldChar w:fldCharType="end"/>
    </w:r>
  </w:p>
  <w:p w14:paraId="0BCE050E" w14:textId="77777777" w:rsidR="002F4FC1" w:rsidRDefault="002F4FC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19267" w14:textId="77777777" w:rsidR="002F4FC1" w:rsidRDefault="002F4FC1" w:rsidP="00557990">
      <w:pPr>
        <w:spacing w:after="0" w:line="240" w:lineRule="auto"/>
        <w:jc w:val="center"/>
      </w:pPr>
      <w:r>
        <w:separator/>
      </w:r>
    </w:p>
  </w:footnote>
  <w:footnote w:type="continuationSeparator" w:id="0">
    <w:p w14:paraId="1CEE57D3" w14:textId="77777777" w:rsidR="002F4FC1" w:rsidRDefault="002F4F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8F61BC8"/>
    <w:multiLevelType w:val="multilevel"/>
    <w:tmpl w:val="E7D8EB92"/>
    <w:lvl w:ilvl="0">
      <w:start w:val="1"/>
      <w:numFmt w:val="decimal"/>
      <w:lvlText w:val="%1"/>
      <w:lvlJc w:val="left"/>
      <w:pPr>
        <w:ind w:left="1260" w:hanging="1260"/>
      </w:pPr>
      <w:rPr>
        <w:rFonts w:hint="default"/>
      </w:rPr>
    </w:lvl>
    <w:lvl w:ilvl="1">
      <w:start w:val="10"/>
      <w:numFmt w:val="decimal"/>
      <w:lvlText w:val="%1.%2"/>
      <w:lvlJc w:val="left"/>
      <w:pPr>
        <w:ind w:left="7923" w:hanging="1260"/>
      </w:pPr>
      <w:rPr>
        <w:rFonts w:ascii="Times New Roman" w:hAnsi="Times New Roman" w:cs="Times New Roman" w:hint="default"/>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num w:numId="1">
    <w:abstractNumId w:val="0"/>
  </w:num>
  <w:num w:numId="2">
    <w:abstractNumId w:val="2"/>
  </w:num>
  <w:num w:numId="3">
    <w:abstractNumId w:val="3"/>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defaultTabStop w:val="480"/>
  <w:displayHorizontalDrawingGridEvery w:val="0"/>
  <w:displayVerticalDrawingGridEvery w:val="2"/>
  <w:characterSpacingControl w:val="doNotCompress"/>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7B"/>
    <w:rsid w:val="0000048D"/>
    <w:rsid w:val="00000CD2"/>
    <w:rsid w:val="0000153A"/>
    <w:rsid w:val="000018F9"/>
    <w:rsid w:val="00001CB3"/>
    <w:rsid w:val="00001E46"/>
    <w:rsid w:val="000022B1"/>
    <w:rsid w:val="00002620"/>
    <w:rsid w:val="00002BC0"/>
    <w:rsid w:val="00003D94"/>
    <w:rsid w:val="000042E9"/>
    <w:rsid w:val="00004352"/>
    <w:rsid w:val="000057E4"/>
    <w:rsid w:val="000065CA"/>
    <w:rsid w:val="00011B83"/>
    <w:rsid w:val="00011E05"/>
    <w:rsid w:val="0001384D"/>
    <w:rsid w:val="000145DF"/>
    <w:rsid w:val="00014A57"/>
    <w:rsid w:val="00014FC4"/>
    <w:rsid w:val="00015606"/>
    <w:rsid w:val="00015F16"/>
    <w:rsid w:val="00017146"/>
    <w:rsid w:val="000214E2"/>
    <w:rsid w:val="0002192E"/>
    <w:rsid w:val="00021EF3"/>
    <w:rsid w:val="00021F34"/>
    <w:rsid w:val="00022213"/>
    <w:rsid w:val="00022534"/>
    <w:rsid w:val="00022D84"/>
    <w:rsid w:val="00023619"/>
    <w:rsid w:val="000242A6"/>
    <w:rsid w:val="00024F9C"/>
    <w:rsid w:val="0002557A"/>
    <w:rsid w:val="0002585A"/>
    <w:rsid w:val="000269C0"/>
    <w:rsid w:val="00027370"/>
    <w:rsid w:val="00030676"/>
    <w:rsid w:val="000307ED"/>
    <w:rsid w:val="000307F6"/>
    <w:rsid w:val="00031790"/>
    <w:rsid w:val="00031896"/>
    <w:rsid w:val="00031ABA"/>
    <w:rsid w:val="00031C17"/>
    <w:rsid w:val="0003253D"/>
    <w:rsid w:val="0003322B"/>
    <w:rsid w:val="000337B2"/>
    <w:rsid w:val="00034292"/>
    <w:rsid w:val="00034681"/>
    <w:rsid w:val="000354FF"/>
    <w:rsid w:val="0003628E"/>
    <w:rsid w:val="00036448"/>
    <w:rsid w:val="000368CD"/>
    <w:rsid w:val="00037C33"/>
    <w:rsid w:val="00040AFF"/>
    <w:rsid w:val="00040BA1"/>
    <w:rsid w:val="00041088"/>
    <w:rsid w:val="000412E2"/>
    <w:rsid w:val="0004224E"/>
    <w:rsid w:val="00042F76"/>
    <w:rsid w:val="000437CD"/>
    <w:rsid w:val="00044256"/>
    <w:rsid w:val="00044559"/>
    <w:rsid w:val="00044670"/>
    <w:rsid w:val="0004474D"/>
    <w:rsid w:val="00046B01"/>
    <w:rsid w:val="00047F61"/>
    <w:rsid w:val="000500D9"/>
    <w:rsid w:val="000517B4"/>
    <w:rsid w:val="00051B8E"/>
    <w:rsid w:val="00051F4D"/>
    <w:rsid w:val="0005224E"/>
    <w:rsid w:val="00052C8A"/>
    <w:rsid w:val="000532F2"/>
    <w:rsid w:val="00054649"/>
    <w:rsid w:val="00054CCD"/>
    <w:rsid w:val="0005629E"/>
    <w:rsid w:val="0005636E"/>
    <w:rsid w:val="00056525"/>
    <w:rsid w:val="000565FC"/>
    <w:rsid w:val="0005753C"/>
    <w:rsid w:val="00057BD2"/>
    <w:rsid w:val="00060160"/>
    <w:rsid w:val="000602D2"/>
    <w:rsid w:val="0006097F"/>
    <w:rsid w:val="000619ED"/>
    <w:rsid w:val="00061D17"/>
    <w:rsid w:val="00063CCF"/>
    <w:rsid w:val="00063F76"/>
    <w:rsid w:val="00064D09"/>
    <w:rsid w:val="00065858"/>
    <w:rsid w:val="00065B34"/>
    <w:rsid w:val="00066090"/>
    <w:rsid w:val="00066195"/>
    <w:rsid w:val="0006687D"/>
    <w:rsid w:val="00066D6B"/>
    <w:rsid w:val="00066F97"/>
    <w:rsid w:val="00070B81"/>
    <w:rsid w:val="00070EF2"/>
    <w:rsid w:val="00072021"/>
    <w:rsid w:val="00072198"/>
    <w:rsid w:val="00072792"/>
    <w:rsid w:val="00072A97"/>
    <w:rsid w:val="00072BB7"/>
    <w:rsid w:val="000734B3"/>
    <w:rsid w:val="000742E9"/>
    <w:rsid w:val="00074897"/>
    <w:rsid w:val="000749FB"/>
    <w:rsid w:val="000753BF"/>
    <w:rsid w:val="000762C6"/>
    <w:rsid w:val="00077B5C"/>
    <w:rsid w:val="000808B0"/>
    <w:rsid w:val="00080B64"/>
    <w:rsid w:val="000812C2"/>
    <w:rsid w:val="00081506"/>
    <w:rsid w:val="00081C8A"/>
    <w:rsid w:val="00082968"/>
    <w:rsid w:val="00082F64"/>
    <w:rsid w:val="000841D9"/>
    <w:rsid w:val="00084EAF"/>
    <w:rsid w:val="0008527D"/>
    <w:rsid w:val="000859D2"/>
    <w:rsid w:val="00085DC7"/>
    <w:rsid w:val="000862EC"/>
    <w:rsid w:val="00086610"/>
    <w:rsid w:val="00086639"/>
    <w:rsid w:val="00086803"/>
    <w:rsid w:val="0008797F"/>
    <w:rsid w:val="00087E37"/>
    <w:rsid w:val="00090419"/>
    <w:rsid w:val="00090807"/>
    <w:rsid w:val="00092084"/>
    <w:rsid w:val="00092510"/>
    <w:rsid w:val="00092536"/>
    <w:rsid w:val="00092DEC"/>
    <w:rsid w:val="00093248"/>
    <w:rsid w:val="000933A4"/>
    <w:rsid w:val="000936B2"/>
    <w:rsid w:val="00093D12"/>
    <w:rsid w:val="000940A5"/>
    <w:rsid w:val="000949A7"/>
    <w:rsid w:val="00095AC9"/>
    <w:rsid w:val="00095C4C"/>
    <w:rsid w:val="00095E44"/>
    <w:rsid w:val="0009691E"/>
    <w:rsid w:val="000974CD"/>
    <w:rsid w:val="00097937"/>
    <w:rsid w:val="00097F67"/>
    <w:rsid w:val="000A0423"/>
    <w:rsid w:val="000A05E8"/>
    <w:rsid w:val="000A1618"/>
    <w:rsid w:val="000A19C5"/>
    <w:rsid w:val="000A2912"/>
    <w:rsid w:val="000A29D4"/>
    <w:rsid w:val="000A2FA7"/>
    <w:rsid w:val="000A3362"/>
    <w:rsid w:val="000A338E"/>
    <w:rsid w:val="000A37ED"/>
    <w:rsid w:val="000A3845"/>
    <w:rsid w:val="000A41DF"/>
    <w:rsid w:val="000A45DF"/>
    <w:rsid w:val="000A5A04"/>
    <w:rsid w:val="000A5F12"/>
    <w:rsid w:val="000A6A82"/>
    <w:rsid w:val="000A6B82"/>
    <w:rsid w:val="000A7462"/>
    <w:rsid w:val="000A78D2"/>
    <w:rsid w:val="000A7CFC"/>
    <w:rsid w:val="000B003C"/>
    <w:rsid w:val="000B01EB"/>
    <w:rsid w:val="000B0358"/>
    <w:rsid w:val="000B0C09"/>
    <w:rsid w:val="000B11C6"/>
    <w:rsid w:val="000B129D"/>
    <w:rsid w:val="000B1741"/>
    <w:rsid w:val="000B1ABE"/>
    <w:rsid w:val="000B2042"/>
    <w:rsid w:val="000B2236"/>
    <w:rsid w:val="000B272D"/>
    <w:rsid w:val="000B2A67"/>
    <w:rsid w:val="000B37D2"/>
    <w:rsid w:val="000B3C62"/>
    <w:rsid w:val="000B42D2"/>
    <w:rsid w:val="000B4489"/>
    <w:rsid w:val="000B4636"/>
    <w:rsid w:val="000B497E"/>
    <w:rsid w:val="000B4FE5"/>
    <w:rsid w:val="000B5813"/>
    <w:rsid w:val="000B5D9E"/>
    <w:rsid w:val="000B668C"/>
    <w:rsid w:val="000B6EB8"/>
    <w:rsid w:val="000C051F"/>
    <w:rsid w:val="000C0CA4"/>
    <w:rsid w:val="000C144E"/>
    <w:rsid w:val="000C145B"/>
    <w:rsid w:val="000C1A3B"/>
    <w:rsid w:val="000C1AD1"/>
    <w:rsid w:val="000C1C63"/>
    <w:rsid w:val="000C3007"/>
    <w:rsid w:val="000C356D"/>
    <w:rsid w:val="000C35C0"/>
    <w:rsid w:val="000C3AAE"/>
    <w:rsid w:val="000C4A5F"/>
    <w:rsid w:val="000C4ACF"/>
    <w:rsid w:val="000C5078"/>
    <w:rsid w:val="000C522D"/>
    <w:rsid w:val="000C567B"/>
    <w:rsid w:val="000C6CF7"/>
    <w:rsid w:val="000C746E"/>
    <w:rsid w:val="000C792F"/>
    <w:rsid w:val="000C7CB3"/>
    <w:rsid w:val="000D0440"/>
    <w:rsid w:val="000D0D90"/>
    <w:rsid w:val="000D1D5C"/>
    <w:rsid w:val="000D2A93"/>
    <w:rsid w:val="000D2D0D"/>
    <w:rsid w:val="000D3771"/>
    <w:rsid w:val="000D3F0E"/>
    <w:rsid w:val="000D506C"/>
    <w:rsid w:val="000D56AC"/>
    <w:rsid w:val="000D5C0E"/>
    <w:rsid w:val="000D71CA"/>
    <w:rsid w:val="000D72B4"/>
    <w:rsid w:val="000D745E"/>
    <w:rsid w:val="000D74D6"/>
    <w:rsid w:val="000D7554"/>
    <w:rsid w:val="000D76D5"/>
    <w:rsid w:val="000D7D09"/>
    <w:rsid w:val="000E022F"/>
    <w:rsid w:val="000E0C93"/>
    <w:rsid w:val="000E0E04"/>
    <w:rsid w:val="000E0F07"/>
    <w:rsid w:val="000E14D4"/>
    <w:rsid w:val="000E20C9"/>
    <w:rsid w:val="000E257A"/>
    <w:rsid w:val="000E2A65"/>
    <w:rsid w:val="000E2C46"/>
    <w:rsid w:val="000E2E47"/>
    <w:rsid w:val="000E3840"/>
    <w:rsid w:val="000E3B18"/>
    <w:rsid w:val="000E3FE0"/>
    <w:rsid w:val="000E4470"/>
    <w:rsid w:val="000E4B81"/>
    <w:rsid w:val="000E4B95"/>
    <w:rsid w:val="000E53B1"/>
    <w:rsid w:val="000E560E"/>
    <w:rsid w:val="000E62D6"/>
    <w:rsid w:val="000E6CCA"/>
    <w:rsid w:val="000E6E62"/>
    <w:rsid w:val="000E7071"/>
    <w:rsid w:val="000F0795"/>
    <w:rsid w:val="000F07CD"/>
    <w:rsid w:val="000F0E0D"/>
    <w:rsid w:val="000F48F7"/>
    <w:rsid w:val="000F4D88"/>
    <w:rsid w:val="000F52DF"/>
    <w:rsid w:val="000F5AC8"/>
    <w:rsid w:val="000F6377"/>
    <w:rsid w:val="000F7145"/>
    <w:rsid w:val="000F78AB"/>
    <w:rsid w:val="001001D6"/>
    <w:rsid w:val="00100855"/>
    <w:rsid w:val="00100E68"/>
    <w:rsid w:val="00100FB0"/>
    <w:rsid w:val="001015F3"/>
    <w:rsid w:val="00101E26"/>
    <w:rsid w:val="00102F40"/>
    <w:rsid w:val="00103681"/>
    <w:rsid w:val="00103B5F"/>
    <w:rsid w:val="001044F3"/>
    <w:rsid w:val="001057C0"/>
    <w:rsid w:val="0010625E"/>
    <w:rsid w:val="00106973"/>
    <w:rsid w:val="00106C0B"/>
    <w:rsid w:val="00106E13"/>
    <w:rsid w:val="00107D48"/>
    <w:rsid w:val="00110670"/>
    <w:rsid w:val="001113ED"/>
    <w:rsid w:val="00111E8F"/>
    <w:rsid w:val="00113A1F"/>
    <w:rsid w:val="001140BB"/>
    <w:rsid w:val="00114911"/>
    <w:rsid w:val="00114E83"/>
    <w:rsid w:val="001157EF"/>
    <w:rsid w:val="0011593E"/>
    <w:rsid w:val="00116762"/>
    <w:rsid w:val="00120703"/>
    <w:rsid w:val="0012087E"/>
    <w:rsid w:val="00120D77"/>
    <w:rsid w:val="001216FB"/>
    <w:rsid w:val="00121CEA"/>
    <w:rsid w:val="00122058"/>
    <w:rsid w:val="0012250B"/>
    <w:rsid w:val="00122801"/>
    <w:rsid w:val="00122BD4"/>
    <w:rsid w:val="00123561"/>
    <w:rsid w:val="001245F1"/>
    <w:rsid w:val="00125668"/>
    <w:rsid w:val="001259C2"/>
    <w:rsid w:val="0012671A"/>
    <w:rsid w:val="00126969"/>
    <w:rsid w:val="00126984"/>
    <w:rsid w:val="00126F37"/>
    <w:rsid w:val="001270FC"/>
    <w:rsid w:val="00127A49"/>
    <w:rsid w:val="00127E02"/>
    <w:rsid w:val="00130248"/>
    <w:rsid w:val="00130265"/>
    <w:rsid w:val="00130851"/>
    <w:rsid w:val="001309A4"/>
    <w:rsid w:val="00130B68"/>
    <w:rsid w:val="001316A6"/>
    <w:rsid w:val="001324D7"/>
    <w:rsid w:val="001324E9"/>
    <w:rsid w:val="001337A7"/>
    <w:rsid w:val="001337F7"/>
    <w:rsid w:val="00133969"/>
    <w:rsid w:val="00133CB4"/>
    <w:rsid w:val="0013439D"/>
    <w:rsid w:val="001347A4"/>
    <w:rsid w:val="001356AF"/>
    <w:rsid w:val="00135F49"/>
    <w:rsid w:val="00136ADF"/>
    <w:rsid w:val="001403BA"/>
    <w:rsid w:val="00142C7D"/>
    <w:rsid w:val="00143F89"/>
    <w:rsid w:val="0014492E"/>
    <w:rsid w:val="00144FC0"/>
    <w:rsid w:val="001469CA"/>
    <w:rsid w:val="0014713B"/>
    <w:rsid w:val="00147940"/>
    <w:rsid w:val="001503E6"/>
    <w:rsid w:val="00151BB2"/>
    <w:rsid w:val="00152331"/>
    <w:rsid w:val="001543A0"/>
    <w:rsid w:val="00155257"/>
    <w:rsid w:val="0015668A"/>
    <w:rsid w:val="001573F4"/>
    <w:rsid w:val="00160792"/>
    <w:rsid w:val="0016142B"/>
    <w:rsid w:val="0016164B"/>
    <w:rsid w:val="00161DE4"/>
    <w:rsid w:val="00162577"/>
    <w:rsid w:val="0016271B"/>
    <w:rsid w:val="0016295F"/>
    <w:rsid w:val="00163D01"/>
    <w:rsid w:val="00163E74"/>
    <w:rsid w:val="001647A1"/>
    <w:rsid w:val="0016561C"/>
    <w:rsid w:val="00165874"/>
    <w:rsid w:val="00166142"/>
    <w:rsid w:val="001663D2"/>
    <w:rsid w:val="0016647E"/>
    <w:rsid w:val="001676AE"/>
    <w:rsid w:val="00167CE3"/>
    <w:rsid w:val="00170F38"/>
    <w:rsid w:val="00171014"/>
    <w:rsid w:val="00174C4B"/>
    <w:rsid w:val="00177B87"/>
    <w:rsid w:val="00177FBA"/>
    <w:rsid w:val="00177FBC"/>
    <w:rsid w:val="00180444"/>
    <w:rsid w:val="001808C3"/>
    <w:rsid w:val="0018136D"/>
    <w:rsid w:val="0018147C"/>
    <w:rsid w:val="00181A71"/>
    <w:rsid w:val="0018251F"/>
    <w:rsid w:val="0018268D"/>
    <w:rsid w:val="00182B5D"/>
    <w:rsid w:val="001834C1"/>
    <w:rsid w:val="00184428"/>
    <w:rsid w:val="0018494A"/>
    <w:rsid w:val="001849CF"/>
    <w:rsid w:val="00187485"/>
    <w:rsid w:val="001900C0"/>
    <w:rsid w:val="001901FE"/>
    <w:rsid w:val="00190EB9"/>
    <w:rsid w:val="0019134E"/>
    <w:rsid w:val="00191B0E"/>
    <w:rsid w:val="001924DB"/>
    <w:rsid w:val="001934D3"/>
    <w:rsid w:val="00193E25"/>
    <w:rsid w:val="00194188"/>
    <w:rsid w:val="00194D70"/>
    <w:rsid w:val="0019500E"/>
    <w:rsid w:val="0019671E"/>
    <w:rsid w:val="001967C0"/>
    <w:rsid w:val="001973DA"/>
    <w:rsid w:val="00197ABF"/>
    <w:rsid w:val="001A035D"/>
    <w:rsid w:val="001A0719"/>
    <w:rsid w:val="001A0A0B"/>
    <w:rsid w:val="001A0ABE"/>
    <w:rsid w:val="001A0D87"/>
    <w:rsid w:val="001A2B5C"/>
    <w:rsid w:val="001A2D09"/>
    <w:rsid w:val="001A33E1"/>
    <w:rsid w:val="001A4419"/>
    <w:rsid w:val="001A483A"/>
    <w:rsid w:val="001A5994"/>
    <w:rsid w:val="001A6396"/>
    <w:rsid w:val="001A66D3"/>
    <w:rsid w:val="001A711E"/>
    <w:rsid w:val="001B12B2"/>
    <w:rsid w:val="001B130D"/>
    <w:rsid w:val="001B1419"/>
    <w:rsid w:val="001B14A9"/>
    <w:rsid w:val="001B1EA3"/>
    <w:rsid w:val="001B2725"/>
    <w:rsid w:val="001B29E8"/>
    <w:rsid w:val="001B33F9"/>
    <w:rsid w:val="001B5B08"/>
    <w:rsid w:val="001B6306"/>
    <w:rsid w:val="001B76DE"/>
    <w:rsid w:val="001B7A45"/>
    <w:rsid w:val="001B7DA2"/>
    <w:rsid w:val="001C0019"/>
    <w:rsid w:val="001C005C"/>
    <w:rsid w:val="001C0223"/>
    <w:rsid w:val="001C089D"/>
    <w:rsid w:val="001C1BB8"/>
    <w:rsid w:val="001C1EF2"/>
    <w:rsid w:val="001C2B1B"/>
    <w:rsid w:val="001C2B8E"/>
    <w:rsid w:val="001C4132"/>
    <w:rsid w:val="001C50AB"/>
    <w:rsid w:val="001C5C8F"/>
    <w:rsid w:val="001C5E33"/>
    <w:rsid w:val="001D049C"/>
    <w:rsid w:val="001D0D4F"/>
    <w:rsid w:val="001D1499"/>
    <w:rsid w:val="001D18BC"/>
    <w:rsid w:val="001D1BEB"/>
    <w:rsid w:val="001D1EF4"/>
    <w:rsid w:val="001D1F3A"/>
    <w:rsid w:val="001D201F"/>
    <w:rsid w:val="001D23B9"/>
    <w:rsid w:val="001D2496"/>
    <w:rsid w:val="001D3513"/>
    <w:rsid w:val="001D3765"/>
    <w:rsid w:val="001D4F84"/>
    <w:rsid w:val="001D54E7"/>
    <w:rsid w:val="001D64BB"/>
    <w:rsid w:val="001D71F1"/>
    <w:rsid w:val="001E11DF"/>
    <w:rsid w:val="001E12CC"/>
    <w:rsid w:val="001E183C"/>
    <w:rsid w:val="001E34D3"/>
    <w:rsid w:val="001E3A18"/>
    <w:rsid w:val="001E4319"/>
    <w:rsid w:val="001E4748"/>
    <w:rsid w:val="001E5B54"/>
    <w:rsid w:val="001E6036"/>
    <w:rsid w:val="001E649C"/>
    <w:rsid w:val="001E65B9"/>
    <w:rsid w:val="001E6776"/>
    <w:rsid w:val="001E72C6"/>
    <w:rsid w:val="001E7D69"/>
    <w:rsid w:val="001E7DAE"/>
    <w:rsid w:val="001E7E00"/>
    <w:rsid w:val="001E7E05"/>
    <w:rsid w:val="001E7F82"/>
    <w:rsid w:val="001F0018"/>
    <w:rsid w:val="001F0725"/>
    <w:rsid w:val="001F10E8"/>
    <w:rsid w:val="001F1268"/>
    <w:rsid w:val="001F1726"/>
    <w:rsid w:val="001F2990"/>
    <w:rsid w:val="001F32BE"/>
    <w:rsid w:val="001F3B88"/>
    <w:rsid w:val="001F3D7C"/>
    <w:rsid w:val="001F3F48"/>
    <w:rsid w:val="001F4552"/>
    <w:rsid w:val="001F4C4C"/>
    <w:rsid w:val="001F4ED2"/>
    <w:rsid w:val="001F6977"/>
    <w:rsid w:val="001F7563"/>
    <w:rsid w:val="001F79DD"/>
    <w:rsid w:val="001F7A50"/>
    <w:rsid w:val="002001C4"/>
    <w:rsid w:val="00200A0C"/>
    <w:rsid w:val="00200BCE"/>
    <w:rsid w:val="00200F4B"/>
    <w:rsid w:val="00202135"/>
    <w:rsid w:val="0020288A"/>
    <w:rsid w:val="00202C91"/>
    <w:rsid w:val="00202FB8"/>
    <w:rsid w:val="00203214"/>
    <w:rsid w:val="002036A4"/>
    <w:rsid w:val="00203C60"/>
    <w:rsid w:val="0020408A"/>
    <w:rsid w:val="002049BE"/>
    <w:rsid w:val="00204A71"/>
    <w:rsid w:val="00204CF6"/>
    <w:rsid w:val="00205E95"/>
    <w:rsid w:val="00210372"/>
    <w:rsid w:val="00210A21"/>
    <w:rsid w:val="00210B91"/>
    <w:rsid w:val="00212C5E"/>
    <w:rsid w:val="00212E18"/>
    <w:rsid w:val="00213540"/>
    <w:rsid w:val="002140D7"/>
    <w:rsid w:val="002142B6"/>
    <w:rsid w:val="00214485"/>
    <w:rsid w:val="0021617A"/>
    <w:rsid w:val="00216833"/>
    <w:rsid w:val="00216E18"/>
    <w:rsid w:val="002207B1"/>
    <w:rsid w:val="00220AF5"/>
    <w:rsid w:val="0022149D"/>
    <w:rsid w:val="00221D8C"/>
    <w:rsid w:val="00222AF4"/>
    <w:rsid w:val="002231BF"/>
    <w:rsid w:val="00224E02"/>
    <w:rsid w:val="00224E90"/>
    <w:rsid w:val="00225F01"/>
    <w:rsid w:val="0022607D"/>
    <w:rsid w:val="0022671E"/>
    <w:rsid w:val="0022678F"/>
    <w:rsid w:val="00226A22"/>
    <w:rsid w:val="00226ACC"/>
    <w:rsid w:val="0022789D"/>
    <w:rsid w:val="002304B8"/>
    <w:rsid w:val="00230D78"/>
    <w:rsid w:val="00230DF8"/>
    <w:rsid w:val="002318F5"/>
    <w:rsid w:val="00232890"/>
    <w:rsid w:val="002334A9"/>
    <w:rsid w:val="002334CA"/>
    <w:rsid w:val="00233510"/>
    <w:rsid w:val="00233CCB"/>
    <w:rsid w:val="00233D6E"/>
    <w:rsid w:val="002355CE"/>
    <w:rsid w:val="00235764"/>
    <w:rsid w:val="00235A06"/>
    <w:rsid w:val="00236025"/>
    <w:rsid w:val="002363A5"/>
    <w:rsid w:val="00236E51"/>
    <w:rsid w:val="00236FF9"/>
    <w:rsid w:val="00237558"/>
    <w:rsid w:val="0023787C"/>
    <w:rsid w:val="00240728"/>
    <w:rsid w:val="00240F13"/>
    <w:rsid w:val="002412DB"/>
    <w:rsid w:val="00241411"/>
    <w:rsid w:val="00241C52"/>
    <w:rsid w:val="00245CE1"/>
    <w:rsid w:val="002460CE"/>
    <w:rsid w:val="002474A4"/>
    <w:rsid w:val="002475F7"/>
    <w:rsid w:val="00250014"/>
    <w:rsid w:val="002501D7"/>
    <w:rsid w:val="00251243"/>
    <w:rsid w:val="002514D8"/>
    <w:rsid w:val="00251CC8"/>
    <w:rsid w:val="002526FC"/>
    <w:rsid w:val="00252D18"/>
    <w:rsid w:val="00253731"/>
    <w:rsid w:val="0025385D"/>
    <w:rsid w:val="00256178"/>
    <w:rsid w:val="002573C3"/>
    <w:rsid w:val="002579D1"/>
    <w:rsid w:val="00260801"/>
    <w:rsid w:val="002609A1"/>
    <w:rsid w:val="00260D1B"/>
    <w:rsid w:val="00261409"/>
    <w:rsid w:val="002639A7"/>
    <w:rsid w:val="00263C84"/>
    <w:rsid w:val="002649A4"/>
    <w:rsid w:val="00264CFB"/>
    <w:rsid w:val="00265612"/>
    <w:rsid w:val="0026568B"/>
    <w:rsid w:val="002656B8"/>
    <w:rsid w:val="00265903"/>
    <w:rsid w:val="00265F23"/>
    <w:rsid w:val="00266249"/>
    <w:rsid w:val="002664E0"/>
    <w:rsid w:val="00266714"/>
    <w:rsid w:val="002671DD"/>
    <w:rsid w:val="00267354"/>
    <w:rsid w:val="00267C4A"/>
    <w:rsid w:val="00270C63"/>
    <w:rsid w:val="00271AC4"/>
    <w:rsid w:val="00272405"/>
    <w:rsid w:val="0027261A"/>
    <w:rsid w:val="00274E81"/>
    <w:rsid w:val="00274F9F"/>
    <w:rsid w:val="002751A7"/>
    <w:rsid w:val="0027529C"/>
    <w:rsid w:val="002754F5"/>
    <w:rsid w:val="00275753"/>
    <w:rsid w:val="0027607B"/>
    <w:rsid w:val="00276491"/>
    <w:rsid w:val="00276AD6"/>
    <w:rsid w:val="00276EA6"/>
    <w:rsid w:val="00277163"/>
    <w:rsid w:val="00277258"/>
    <w:rsid w:val="00280981"/>
    <w:rsid w:val="00280A7D"/>
    <w:rsid w:val="00280F0C"/>
    <w:rsid w:val="00281366"/>
    <w:rsid w:val="00281B0D"/>
    <w:rsid w:val="00282F76"/>
    <w:rsid w:val="0028325B"/>
    <w:rsid w:val="00283D73"/>
    <w:rsid w:val="002846D4"/>
    <w:rsid w:val="00284956"/>
    <w:rsid w:val="00284B1B"/>
    <w:rsid w:val="002852AC"/>
    <w:rsid w:val="00285F28"/>
    <w:rsid w:val="00286FCD"/>
    <w:rsid w:val="002905B9"/>
    <w:rsid w:val="00291ADB"/>
    <w:rsid w:val="002924FA"/>
    <w:rsid w:val="0029251B"/>
    <w:rsid w:val="0029289F"/>
    <w:rsid w:val="002935CD"/>
    <w:rsid w:val="00294364"/>
    <w:rsid w:val="002948BC"/>
    <w:rsid w:val="00295AFC"/>
    <w:rsid w:val="00295E7C"/>
    <w:rsid w:val="00297DD4"/>
    <w:rsid w:val="00297EA0"/>
    <w:rsid w:val="002A025A"/>
    <w:rsid w:val="002A0B7D"/>
    <w:rsid w:val="002A17B4"/>
    <w:rsid w:val="002A1DC5"/>
    <w:rsid w:val="002A2AAE"/>
    <w:rsid w:val="002A3C45"/>
    <w:rsid w:val="002A476D"/>
    <w:rsid w:val="002A48B5"/>
    <w:rsid w:val="002A4EC8"/>
    <w:rsid w:val="002A5084"/>
    <w:rsid w:val="002A525A"/>
    <w:rsid w:val="002A54E6"/>
    <w:rsid w:val="002A5F55"/>
    <w:rsid w:val="002A607C"/>
    <w:rsid w:val="002A6579"/>
    <w:rsid w:val="002A6DB4"/>
    <w:rsid w:val="002A7184"/>
    <w:rsid w:val="002A7DF1"/>
    <w:rsid w:val="002B03F5"/>
    <w:rsid w:val="002B04ED"/>
    <w:rsid w:val="002B0778"/>
    <w:rsid w:val="002B0ACE"/>
    <w:rsid w:val="002B0B70"/>
    <w:rsid w:val="002B1D44"/>
    <w:rsid w:val="002B2968"/>
    <w:rsid w:val="002B3660"/>
    <w:rsid w:val="002B44B0"/>
    <w:rsid w:val="002B59F9"/>
    <w:rsid w:val="002B5CC7"/>
    <w:rsid w:val="002B6175"/>
    <w:rsid w:val="002B6416"/>
    <w:rsid w:val="002B67BA"/>
    <w:rsid w:val="002B681C"/>
    <w:rsid w:val="002B699D"/>
    <w:rsid w:val="002B6D37"/>
    <w:rsid w:val="002C035B"/>
    <w:rsid w:val="002C1317"/>
    <w:rsid w:val="002C205F"/>
    <w:rsid w:val="002C22B0"/>
    <w:rsid w:val="002C2C68"/>
    <w:rsid w:val="002C32F8"/>
    <w:rsid w:val="002C3AD4"/>
    <w:rsid w:val="002C536F"/>
    <w:rsid w:val="002C6490"/>
    <w:rsid w:val="002C79C2"/>
    <w:rsid w:val="002D112B"/>
    <w:rsid w:val="002D1D0E"/>
    <w:rsid w:val="002D1E9B"/>
    <w:rsid w:val="002D37B1"/>
    <w:rsid w:val="002D5048"/>
    <w:rsid w:val="002D545C"/>
    <w:rsid w:val="002D6605"/>
    <w:rsid w:val="002D6EA6"/>
    <w:rsid w:val="002D754D"/>
    <w:rsid w:val="002D7A88"/>
    <w:rsid w:val="002E0B43"/>
    <w:rsid w:val="002E0D5D"/>
    <w:rsid w:val="002E11A6"/>
    <w:rsid w:val="002E1415"/>
    <w:rsid w:val="002E1823"/>
    <w:rsid w:val="002E1CB9"/>
    <w:rsid w:val="002E1FB8"/>
    <w:rsid w:val="002E28CF"/>
    <w:rsid w:val="002E2C2A"/>
    <w:rsid w:val="002E3161"/>
    <w:rsid w:val="002E323E"/>
    <w:rsid w:val="002E3C2D"/>
    <w:rsid w:val="002E3C4A"/>
    <w:rsid w:val="002E4672"/>
    <w:rsid w:val="002E6983"/>
    <w:rsid w:val="002E6DFF"/>
    <w:rsid w:val="002E7647"/>
    <w:rsid w:val="002E7772"/>
    <w:rsid w:val="002E7B6C"/>
    <w:rsid w:val="002F094C"/>
    <w:rsid w:val="002F0C4E"/>
    <w:rsid w:val="002F10CE"/>
    <w:rsid w:val="002F134E"/>
    <w:rsid w:val="002F19E0"/>
    <w:rsid w:val="002F1CEE"/>
    <w:rsid w:val="002F1FF0"/>
    <w:rsid w:val="002F21EF"/>
    <w:rsid w:val="002F2E68"/>
    <w:rsid w:val="002F326F"/>
    <w:rsid w:val="002F3597"/>
    <w:rsid w:val="002F4D49"/>
    <w:rsid w:val="002F4EB8"/>
    <w:rsid w:val="002F4FC1"/>
    <w:rsid w:val="002F50EF"/>
    <w:rsid w:val="002F651F"/>
    <w:rsid w:val="002F6888"/>
    <w:rsid w:val="003015D2"/>
    <w:rsid w:val="00301991"/>
    <w:rsid w:val="00301A4B"/>
    <w:rsid w:val="00301DF4"/>
    <w:rsid w:val="00301E0B"/>
    <w:rsid w:val="003023ED"/>
    <w:rsid w:val="00302D5D"/>
    <w:rsid w:val="00302E39"/>
    <w:rsid w:val="003032DD"/>
    <w:rsid w:val="003053CC"/>
    <w:rsid w:val="00305E9C"/>
    <w:rsid w:val="00306FDB"/>
    <w:rsid w:val="003071DB"/>
    <w:rsid w:val="003076B7"/>
    <w:rsid w:val="003103D7"/>
    <w:rsid w:val="0031064D"/>
    <w:rsid w:val="0031067D"/>
    <w:rsid w:val="0031167F"/>
    <w:rsid w:val="003128C2"/>
    <w:rsid w:val="003129C9"/>
    <w:rsid w:val="00312C6F"/>
    <w:rsid w:val="0031388E"/>
    <w:rsid w:val="00313EC7"/>
    <w:rsid w:val="00314751"/>
    <w:rsid w:val="003147F5"/>
    <w:rsid w:val="00314808"/>
    <w:rsid w:val="00314AF5"/>
    <w:rsid w:val="00315E17"/>
    <w:rsid w:val="00316138"/>
    <w:rsid w:val="003164D4"/>
    <w:rsid w:val="00316BDE"/>
    <w:rsid w:val="00316F86"/>
    <w:rsid w:val="00316F9F"/>
    <w:rsid w:val="00316FDF"/>
    <w:rsid w:val="00317839"/>
    <w:rsid w:val="00317A2B"/>
    <w:rsid w:val="00320078"/>
    <w:rsid w:val="003202B1"/>
    <w:rsid w:val="00320A40"/>
    <w:rsid w:val="00320B5A"/>
    <w:rsid w:val="00322078"/>
    <w:rsid w:val="003223CE"/>
    <w:rsid w:val="00322665"/>
    <w:rsid w:val="00322D2E"/>
    <w:rsid w:val="00323167"/>
    <w:rsid w:val="00323954"/>
    <w:rsid w:val="003253C4"/>
    <w:rsid w:val="003253DD"/>
    <w:rsid w:val="00325950"/>
    <w:rsid w:val="00330E46"/>
    <w:rsid w:val="00331BC3"/>
    <w:rsid w:val="0033249D"/>
    <w:rsid w:val="00332BC7"/>
    <w:rsid w:val="00332C4A"/>
    <w:rsid w:val="00333E58"/>
    <w:rsid w:val="003340F6"/>
    <w:rsid w:val="003346DE"/>
    <w:rsid w:val="00334813"/>
    <w:rsid w:val="00335615"/>
    <w:rsid w:val="00335FA8"/>
    <w:rsid w:val="003364A3"/>
    <w:rsid w:val="003367BB"/>
    <w:rsid w:val="00341B4D"/>
    <w:rsid w:val="003422BA"/>
    <w:rsid w:val="0034230C"/>
    <w:rsid w:val="00342FF6"/>
    <w:rsid w:val="00343B2B"/>
    <w:rsid w:val="00343D24"/>
    <w:rsid w:val="00343EAA"/>
    <w:rsid w:val="0034452B"/>
    <w:rsid w:val="00344AFE"/>
    <w:rsid w:val="0034591C"/>
    <w:rsid w:val="00347E55"/>
    <w:rsid w:val="00347F9E"/>
    <w:rsid w:val="00351926"/>
    <w:rsid w:val="00351C2E"/>
    <w:rsid w:val="00352433"/>
    <w:rsid w:val="0035504C"/>
    <w:rsid w:val="003559ED"/>
    <w:rsid w:val="003573B6"/>
    <w:rsid w:val="00357568"/>
    <w:rsid w:val="00357623"/>
    <w:rsid w:val="0035774A"/>
    <w:rsid w:val="00360632"/>
    <w:rsid w:val="003637CB"/>
    <w:rsid w:val="00363B01"/>
    <w:rsid w:val="00365916"/>
    <w:rsid w:val="00365BAB"/>
    <w:rsid w:val="00365F73"/>
    <w:rsid w:val="00367B2A"/>
    <w:rsid w:val="003704C2"/>
    <w:rsid w:val="00370D53"/>
    <w:rsid w:val="00371547"/>
    <w:rsid w:val="00371AFA"/>
    <w:rsid w:val="00371B2F"/>
    <w:rsid w:val="00371FD3"/>
    <w:rsid w:val="00372116"/>
    <w:rsid w:val="003722C6"/>
    <w:rsid w:val="00372A00"/>
    <w:rsid w:val="00372D30"/>
    <w:rsid w:val="00373269"/>
    <w:rsid w:val="003732DF"/>
    <w:rsid w:val="00373EB9"/>
    <w:rsid w:val="003745AE"/>
    <w:rsid w:val="0037550F"/>
    <w:rsid w:val="0037667B"/>
    <w:rsid w:val="00376EB0"/>
    <w:rsid w:val="0038073D"/>
    <w:rsid w:val="0038102B"/>
    <w:rsid w:val="00381424"/>
    <w:rsid w:val="003826E8"/>
    <w:rsid w:val="00382840"/>
    <w:rsid w:val="00383198"/>
    <w:rsid w:val="0038393D"/>
    <w:rsid w:val="0038492E"/>
    <w:rsid w:val="00384BE3"/>
    <w:rsid w:val="00385A4F"/>
    <w:rsid w:val="00385BA3"/>
    <w:rsid w:val="0038662D"/>
    <w:rsid w:val="00387401"/>
    <w:rsid w:val="00387493"/>
    <w:rsid w:val="003901E1"/>
    <w:rsid w:val="003907AA"/>
    <w:rsid w:val="003917D2"/>
    <w:rsid w:val="0039217B"/>
    <w:rsid w:val="003929D3"/>
    <w:rsid w:val="00392AAF"/>
    <w:rsid w:val="00393D4F"/>
    <w:rsid w:val="00393E6A"/>
    <w:rsid w:val="00394CAB"/>
    <w:rsid w:val="00396174"/>
    <w:rsid w:val="00397504"/>
    <w:rsid w:val="003A0192"/>
    <w:rsid w:val="003A0367"/>
    <w:rsid w:val="003A047E"/>
    <w:rsid w:val="003A0565"/>
    <w:rsid w:val="003A0DE1"/>
    <w:rsid w:val="003A1C0C"/>
    <w:rsid w:val="003A27B3"/>
    <w:rsid w:val="003A2A63"/>
    <w:rsid w:val="003A30D8"/>
    <w:rsid w:val="003A37F0"/>
    <w:rsid w:val="003A3AB2"/>
    <w:rsid w:val="003A3B41"/>
    <w:rsid w:val="003A48CE"/>
    <w:rsid w:val="003A4D7E"/>
    <w:rsid w:val="003A6621"/>
    <w:rsid w:val="003A6D33"/>
    <w:rsid w:val="003B08F6"/>
    <w:rsid w:val="003B0BE2"/>
    <w:rsid w:val="003B0C72"/>
    <w:rsid w:val="003B103F"/>
    <w:rsid w:val="003B16A7"/>
    <w:rsid w:val="003B1781"/>
    <w:rsid w:val="003B2BC5"/>
    <w:rsid w:val="003B2CC8"/>
    <w:rsid w:val="003B3084"/>
    <w:rsid w:val="003B32B3"/>
    <w:rsid w:val="003B39FD"/>
    <w:rsid w:val="003B3C4A"/>
    <w:rsid w:val="003B4871"/>
    <w:rsid w:val="003B4900"/>
    <w:rsid w:val="003B5AEB"/>
    <w:rsid w:val="003B5E4E"/>
    <w:rsid w:val="003B6517"/>
    <w:rsid w:val="003B7243"/>
    <w:rsid w:val="003B7E2E"/>
    <w:rsid w:val="003C02F5"/>
    <w:rsid w:val="003C0CBF"/>
    <w:rsid w:val="003C293B"/>
    <w:rsid w:val="003C29B3"/>
    <w:rsid w:val="003C3828"/>
    <w:rsid w:val="003C4750"/>
    <w:rsid w:val="003C5615"/>
    <w:rsid w:val="003C583B"/>
    <w:rsid w:val="003C636D"/>
    <w:rsid w:val="003C6CDA"/>
    <w:rsid w:val="003C6F13"/>
    <w:rsid w:val="003C7842"/>
    <w:rsid w:val="003D10F4"/>
    <w:rsid w:val="003D1165"/>
    <w:rsid w:val="003D1E9E"/>
    <w:rsid w:val="003D1EA2"/>
    <w:rsid w:val="003D443D"/>
    <w:rsid w:val="003D4A82"/>
    <w:rsid w:val="003D4B7A"/>
    <w:rsid w:val="003D513B"/>
    <w:rsid w:val="003D549E"/>
    <w:rsid w:val="003D571D"/>
    <w:rsid w:val="003D576B"/>
    <w:rsid w:val="003D6F1C"/>
    <w:rsid w:val="003D7E32"/>
    <w:rsid w:val="003D7EC6"/>
    <w:rsid w:val="003E0126"/>
    <w:rsid w:val="003E154C"/>
    <w:rsid w:val="003E1B01"/>
    <w:rsid w:val="003E3B93"/>
    <w:rsid w:val="003E574C"/>
    <w:rsid w:val="003E593D"/>
    <w:rsid w:val="003E5C22"/>
    <w:rsid w:val="003E6289"/>
    <w:rsid w:val="003E649E"/>
    <w:rsid w:val="003E6D27"/>
    <w:rsid w:val="003E6DD0"/>
    <w:rsid w:val="003E71C1"/>
    <w:rsid w:val="003E77C0"/>
    <w:rsid w:val="003F0BF2"/>
    <w:rsid w:val="003F1891"/>
    <w:rsid w:val="003F241E"/>
    <w:rsid w:val="003F3141"/>
    <w:rsid w:val="003F354E"/>
    <w:rsid w:val="003F3829"/>
    <w:rsid w:val="003F3989"/>
    <w:rsid w:val="003F45AB"/>
    <w:rsid w:val="003F5174"/>
    <w:rsid w:val="003F6D10"/>
    <w:rsid w:val="003F75A4"/>
    <w:rsid w:val="003F7780"/>
    <w:rsid w:val="003F7E4F"/>
    <w:rsid w:val="003F7FBF"/>
    <w:rsid w:val="0040053C"/>
    <w:rsid w:val="004006CA"/>
    <w:rsid w:val="00400B49"/>
    <w:rsid w:val="004023FC"/>
    <w:rsid w:val="00403E43"/>
    <w:rsid w:val="0040415C"/>
    <w:rsid w:val="00405101"/>
    <w:rsid w:val="0040541D"/>
    <w:rsid w:val="0040579C"/>
    <w:rsid w:val="0040666D"/>
    <w:rsid w:val="00407EF4"/>
    <w:rsid w:val="00410C1B"/>
    <w:rsid w:val="00410DEE"/>
    <w:rsid w:val="0041173F"/>
    <w:rsid w:val="00411AC5"/>
    <w:rsid w:val="00411D70"/>
    <w:rsid w:val="004127C6"/>
    <w:rsid w:val="0041317B"/>
    <w:rsid w:val="00413EA4"/>
    <w:rsid w:val="004149A0"/>
    <w:rsid w:val="00415A31"/>
    <w:rsid w:val="00415BC9"/>
    <w:rsid w:val="00415E8B"/>
    <w:rsid w:val="0041673C"/>
    <w:rsid w:val="0041737A"/>
    <w:rsid w:val="00417598"/>
    <w:rsid w:val="00417CEF"/>
    <w:rsid w:val="00417D43"/>
    <w:rsid w:val="00417D54"/>
    <w:rsid w:val="004204B0"/>
    <w:rsid w:val="0042057B"/>
    <w:rsid w:val="00420A9A"/>
    <w:rsid w:val="00420DE1"/>
    <w:rsid w:val="00421026"/>
    <w:rsid w:val="0042117D"/>
    <w:rsid w:val="004230E0"/>
    <w:rsid w:val="00423114"/>
    <w:rsid w:val="00423CFC"/>
    <w:rsid w:val="00423DF1"/>
    <w:rsid w:val="00423EA4"/>
    <w:rsid w:val="00424975"/>
    <w:rsid w:val="00424984"/>
    <w:rsid w:val="00424A75"/>
    <w:rsid w:val="0042552B"/>
    <w:rsid w:val="004273D5"/>
    <w:rsid w:val="004276D8"/>
    <w:rsid w:val="004304D2"/>
    <w:rsid w:val="00430DF1"/>
    <w:rsid w:val="00431460"/>
    <w:rsid w:val="00431EC2"/>
    <w:rsid w:val="0043229F"/>
    <w:rsid w:val="00432FC5"/>
    <w:rsid w:val="00433B43"/>
    <w:rsid w:val="004342B3"/>
    <w:rsid w:val="00434E9D"/>
    <w:rsid w:val="00435030"/>
    <w:rsid w:val="0043515F"/>
    <w:rsid w:val="004359E4"/>
    <w:rsid w:val="00435B43"/>
    <w:rsid w:val="00435BC5"/>
    <w:rsid w:val="0043607A"/>
    <w:rsid w:val="00436208"/>
    <w:rsid w:val="00436490"/>
    <w:rsid w:val="00436BF7"/>
    <w:rsid w:val="00437BA2"/>
    <w:rsid w:val="00437C31"/>
    <w:rsid w:val="004400C7"/>
    <w:rsid w:val="00440873"/>
    <w:rsid w:val="00440F2E"/>
    <w:rsid w:val="004416A2"/>
    <w:rsid w:val="004419AF"/>
    <w:rsid w:val="00441F48"/>
    <w:rsid w:val="0044287C"/>
    <w:rsid w:val="00443FFC"/>
    <w:rsid w:val="0044411D"/>
    <w:rsid w:val="00444BCE"/>
    <w:rsid w:val="0044511F"/>
    <w:rsid w:val="004452EC"/>
    <w:rsid w:val="00445A18"/>
    <w:rsid w:val="00445E1C"/>
    <w:rsid w:val="00450449"/>
    <w:rsid w:val="00450459"/>
    <w:rsid w:val="00450A47"/>
    <w:rsid w:val="004526F8"/>
    <w:rsid w:val="0045279E"/>
    <w:rsid w:val="00452AAE"/>
    <w:rsid w:val="0045384E"/>
    <w:rsid w:val="004544BB"/>
    <w:rsid w:val="0045495B"/>
    <w:rsid w:val="00457AE3"/>
    <w:rsid w:val="00457AF3"/>
    <w:rsid w:val="00460D5A"/>
    <w:rsid w:val="00461A1D"/>
    <w:rsid w:val="00461BC3"/>
    <w:rsid w:val="00463B0C"/>
    <w:rsid w:val="00463BCB"/>
    <w:rsid w:val="00465689"/>
    <w:rsid w:val="00465E0C"/>
    <w:rsid w:val="00466104"/>
    <w:rsid w:val="0046667D"/>
    <w:rsid w:val="00466B68"/>
    <w:rsid w:val="00466B8F"/>
    <w:rsid w:val="004672B1"/>
    <w:rsid w:val="00467F22"/>
    <w:rsid w:val="00470025"/>
    <w:rsid w:val="004701C2"/>
    <w:rsid w:val="00471675"/>
    <w:rsid w:val="0047192E"/>
    <w:rsid w:val="00471F6C"/>
    <w:rsid w:val="00472CFD"/>
    <w:rsid w:val="00473348"/>
    <w:rsid w:val="00473716"/>
    <w:rsid w:val="00473AC1"/>
    <w:rsid w:val="00473BE1"/>
    <w:rsid w:val="00473EFC"/>
    <w:rsid w:val="00474A27"/>
    <w:rsid w:val="0047559C"/>
    <w:rsid w:val="004758B6"/>
    <w:rsid w:val="00476F10"/>
    <w:rsid w:val="00480552"/>
    <w:rsid w:val="00480AF7"/>
    <w:rsid w:val="004823CC"/>
    <w:rsid w:val="00482468"/>
    <w:rsid w:val="004825D7"/>
    <w:rsid w:val="0048321C"/>
    <w:rsid w:val="0048336D"/>
    <w:rsid w:val="004842A5"/>
    <w:rsid w:val="00484EDD"/>
    <w:rsid w:val="00485369"/>
    <w:rsid w:val="00485505"/>
    <w:rsid w:val="004861E6"/>
    <w:rsid w:val="0048643B"/>
    <w:rsid w:val="004865A3"/>
    <w:rsid w:val="00486AE6"/>
    <w:rsid w:val="00487CE8"/>
    <w:rsid w:val="0049018E"/>
    <w:rsid w:val="00490331"/>
    <w:rsid w:val="004907B8"/>
    <w:rsid w:val="00491398"/>
    <w:rsid w:val="00491C32"/>
    <w:rsid w:val="004923BD"/>
    <w:rsid w:val="00492CDA"/>
    <w:rsid w:val="00492DD4"/>
    <w:rsid w:val="00492F40"/>
    <w:rsid w:val="00493489"/>
    <w:rsid w:val="00493A69"/>
    <w:rsid w:val="00493D98"/>
    <w:rsid w:val="004944D0"/>
    <w:rsid w:val="00494F09"/>
    <w:rsid w:val="004952CF"/>
    <w:rsid w:val="00495815"/>
    <w:rsid w:val="004959D0"/>
    <w:rsid w:val="00495A38"/>
    <w:rsid w:val="00495EA7"/>
    <w:rsid w:val="00496655"/>
    <w:rsid w:val="00496CD1"/>
    <w:rsid w:val="004979A9"/>
    <w:rsid w:val="004A0852"/>
    <w:rsid w:val="004A0D51"/>
    <w:rsid w:val="004A12A5"/>
    <w:rsid w:val="004A15E3"/>
    <w:rsid w:val="004A1A52"/>
    <w:rsid w:val="004A1D00"/>
    <w:rsid w:val="004A21EA"/>
    <w:rsid w:val="004A22FD"/>
    <w:rsid w:val="004A3492"/>
    <w:rsid w:val="004A3FC8"/>
    <w:rsid w:val="004A41D6"/>
    <w:rsid w:val="004A4238"/>
    <w:rsid w:val="004A4595"/>
    <w:rsid w:val="004A51D5"/>
    <w:rsid w:val="004A52A3"/>
    <w:rsid w:val="004A61EC"/>
    <w:rsid w:val="004A6CDE"/>
    <w:rsid w:val="004A6E07"/>
    <w:rsid w:val="004A6E67"/>
    <w:rsid w:val="004A6F12"/>
    <w:rsid w:val="004A6F4C"/>
    <w:rsid w:val="004A716E"/>
    <w:rsid w:val="004A785D"/>
    <w:rsid w:val="004A79F7"/>
    <w:rsid w:val="004B04E2"/>
    <w:rsid w:val="004B0FD5"/>
    <w:rsid w:val="004B1E2A"/>
    <w:rsid w:val="004B2452"/>
    <w:rsid w:val="004B38CB"/>
    <w:rsid w:val="004B3CF0"/>
    <w:rsid w:val="004B5061"/>
    <w:rsid w:val="004B5C7F"/>
    <w:rsid w:val="004B70C1"/>
    <w:rsid w:val="004C0BE4"/>
    <w:rsid w:val="004C1185"/>
    <w:rsid w:val="004C15B2"/>
    <w:rsid w:val="004C16C6"/>
    <w:rsid w:val="004C1CBF"/>
    <w:rsid w:val="004C2F93"/>
    <w:rsid w:val="004C3025"/>
    <w:rsid w:val="004C312D"/>
    <w:rsid w:val="004C47E5"/>
    <w:rsid w:val="004C4C8E"/>
    <w:rsid w:val="004C55D8"/>
    <w:rsid w:val="004C5F86"/>
    <w:rsid w:val="004D0112"/>
    <w:rsid w:val="004D054D"/>
    <w:rsid w:val="004D141D"/>
    <w:rsid w:val="004D1B95"/>
    <w:rsid w:val="004D1C2E"/>
    <w:rsid w:val="004D1F70"/>
    <w:rsid w:val="004D2671"/>
    <w:rsid w:val="004D317D"/>
    <w:rsid w:val="004D3560"/>
    <w:rsid w:val="004D418F"/>
    <w:rsid w:val="004D428E"/>
    <w:rsid w:val="004D4353"/>
    <w:rsid w:val="004D4CB4"/>
    <w:rsid w:val="004D4FD7"/>
    <w:rsid w:val="004D57A2"/>
    <w:rsid w:val="004D6984"/>
    <w:rsid w:val="004D6C3E"/>
    <w:rsid w:val="004E038F"/>
    <w:rsid w:val="004E0C4A"/>
    <w:rsid w:val="004E147C"/>
    <w:rsid w:val="004E15A5"/>
    <w:rsid w:val="004E1878"/>
    <w:rsid w:val="004E1B34"/>
    <w:rsid w:val="004E2311"/>
    <w:rsid w:val="004E4B26"/>
    <w:rsid w:val="004E55CB"/>
    <w:rsid w:val="004E5A79"/>
    <w:rsid w:val="004E5B7F"/>
    <w:rsid w:val="004E5F03"/>
    <w:rsid w:val="004E743D"/>
    <w:rsid w:val="004F03C2"/>
    <w:rsid w:val="004F05FE"/>
    <w:rsid w:val="004F2572"/>
    <w:rsid w:val="004F2770"/>
    <w:rsid w:val="004F2F1C"/>
    <w:rsid w:val="004F49EF"/>
    <w:rsid w:val="004F513E"/>
    <w:rsid w:val="004F549E"/>
    <w:rsid w:val="004F6B63"/>
    <w:rsid w:val="004F72AF"/>
    <w:rsid w:val="004F736D"/>
    <w:rsid w:val="004F76C6"/>
    <w:rsid w:val="004F774A"/>
    <w:rsid w:val="004F77A9"/>
    <w:rsid w:val="00500959"/>
    <w:rsid w:val="00500C47"/>
    <w:rsid w:val="005022FF"/>
    <w:rsid w:val="0050243A"/>
    <w:rsid w:val="0050266A"/>
    <w:rsid w:val="00502C11"/>
    <w:rsid w:val="00502C1A"/>
    <w:rsid w:val="005034C1"/>
    <w:rsid w:val="005070A3"/>
    <w:rsid w:val="00511428"/>
    <w:rsid w:val="00511943"/>
    <w:rsid w:val="005124AC"/>
    <w:rsid w:val="00512EA3"/>
    <w:rsid w:val="00513022"/>
    <w:rsid w:val="00513D1F"/>
    <w:rsid w:val="00513D75"/>
    <w:rsid w:val="00513EE7"/>
    <w:rsid w:val="0051440E"/>
    <w:rsid w:val="005157BA"/>
    <w:rsid w:val="00515E0B"/>
    <w:rsid w:val="005165B1"/>
    <w:rsid w:val="00516C7C"/>
    <w:rsid w:val="005177AF"/>
    <w:rsid w:val="00517C06"/>
    <w:rsid w:val="00520469"/>
    <w:rsid w:val="00520E5E"/>
    <w:rsid w:val="005223B6"/>
    <w:rsid w:val="0052241C"/>
    <w:rsid w:val="00522F78"/>
    <w:rsid w:val="005236E1"/>
    <w:rsid w:val="00523DF5"/>
    <w:rsid w:val="0052441A"/>
    <w:rsid w:val="0052453C"/>
    <w:rsid w:val="0052469A"/>
    <w:rsid w:val="005248AB"/>
    <w:rsid w:val="00524D5B"/>
    <w:rsid w:val="00525278"/>
    <w:rsid w:val="00525BE8"/>
    <w:rsid w:val="00525C25"/>
    <w:rsid w:val="00525E31"/>
    <w:rsid w:val="0052659B"/>
    <w:rsid w:val="00526D1B"/>
    <w:rsid w:val="005273A9"/>
    <w:rsid w:val="00530E53"/>
    <w:rsid w:val="0053293D"/>
    <w:rsid w:val="00532DAF"/>
    <w:rsid w:val="00532DF5"/>
    <w:rsid w:val="00533473"/>
    <w:rsid w:val="005337B4"/>
    <w:rsid w:val="005346B9"/>
    <w:rsid w:val="005349E0"/>
    <w:rsid w:val="00535734"/>
    <w:rsid w:val="00535869"/>
    <w:rsid w:val="00535AF7"/>
    <w:rsid w:val="00535E1E"/>
    <w:rsid w:val="00536A79"/>
    <w:rsid w:val="00536C3C"/>
    <w:rsid w:val="005372E5"/>
    <w:rsid w:val="005379A0"/>
    <w:rsid w:val="005419A3"/>
    <w:rsid w:val="00541CAA"/>
    <w:rsid w:val="00541D6A"/>
    <w:rsid w:val="005424C1"/>
    <w:rsid w:val="00543336"/>
    <w:rsid w:val="005442AA"/>
    <w:rsid w:val="0054470D"/>
    <w:rsid w:val="00544715"/>
    <w:rsid w:val="0054480D"/>
    <w:rsid w:val="00544AE5"/>
    <w:rsid w:val="00544C05"/>
    <w:rsid w:val="00545420"/>
    <w:rsid w:val="00545598"/>
    <w:rsid w:val="005455FF"/>
    <w:rsid w:val="0054678A"/>
    <w:rsid w:val="00546C87"/>
    <w:rsid w:val="00547B1E"/>
    <w:rsid w:val="00547FD5"/>
    <w:rsid w:val="00550179"/>
    <w:rsid w:val="005502CF"/>
    <w:rsid w:val="00551C21"/>
    <w:rsid w:val="0055235F"/>
    <w:rsid w:val="00552BC2"/>
    <w:rsid w:val="0055377A"/>
    <w:rsid w:val="005538B8"/>
    <w:rsid w:val="00553D90"/>
    <w:rsid w:val="00554997"/>
    <w:rsid w:val="005549C3"/>
    <w:rsid w:val="00554C62"/>
    <w:rsid w:val="00554FE9"/>
    <w:rsid w:val="00555018"/>
    <w:rsid w:val="005563CC"/>
    <w:rsid w:val="00556D52"/>
    <w:rsid w:val="00557464"/>
    <w:rsid w:val="00557990"/>
    <w:rsid w:val="00557FC2"/>
    <w:rsid w:val="0056036A"/>
    <w:rsid w:val="005609E9"/>
    <w:rsid w:val="00561641"/>
    <w:rsid w:val="0056218A"/>
    <w:rsid w:val="0056342D"/>
    <w:rsid w:val="005634C3"/>
    <w:rsid w:val="0056391B"/>
    <w:rsid w:val="00563CA5"/>
    <w:rsid w:val="005643F1"/>
    <w:rsid w:val="005644C7"/>
    <w:rsid w:val="0056474A"/>
    <w:rsid w:val="00565A82"/>
    <w:rsid w:val="00565DA3"/>
    <w:rsid w:val="00566F20"/>
    <w:rsid w:val="00566FC8"/>
    <w:rsid w:val="005673A8"/>
    <w:rsid w:val="00567B5B"/>
    <w:rsid w:val="00567BA7"/>
    <w:rsid w:val="00567BCF"/>
    <w:rsid w:val="0057010D"/>
    <w:rsid w:val="0057221E"/>
    <w:rsid w:val="00572364"/>
    <w:rsid w:val="0057267B"/>
    <w:rsid w:val="0057376F"/>
    <w:rsid w:val="0057388B"/>
    <w:rsid w:val="00573F7B"/>
    <w:rsid w:val="005741EC"/>
    <w:rsid w:val="005743FD"/>
    <w:rsid w:val="0057488D"/>
    <w:rsid w:val="00574964"/>
    <w:rsid w:val="00574D16"/>
    <w:rsid w:val="00575036"/>
    <w:rsid w:val="00575E24"/>
    <w:rsid w:val="00576A3E"/>
    <w:rsid w:val="00576C53"/>
    <w:rsid w:val="00577809"/>
    <w:rsid w:val="00577ED0"/>
    <w:rsid w:val="00580366"/>
    <w:rsid w:val="005808B3"/>
    <w:rsid w:val="00580CCF"/>
    <w:rsid w:val="005815F5"/>
    <w:rsid w:val="00581F4E"/>
    <w:rsid w:val="00582016"/>
    <w:rsid w:val="00582A51"/>
    <w:rsid w:val="00585153"/>
    <w:rsid w:val="0058522D"/>
    <w:rsid w:val="005857BC"/>
    <w:rsid w:val="00585A22"/>
    <w:rsid w:val="00585EF9"/>
    <w:rsid w:val="0058672E"/>
    <w:rsid w:val="005875DF"/>
    <w:rsid w:val="0058792F"/>
    <w:rsid w:val="00587B09"/>
    <w:rsid w:val="00587F15"/>
    <w:rsid w:val="0059050B"/>
    <w:rsid w:val="00590831"/>
    <w:rsid w:val="00590F8D"/>
    <w:rsid w:val="0059146E"/>
    <w:rsid w:val="00591749"/>
    <w:rsid w:val="005925D7"/>
    <w:rsid w:val="0059281A"/>
    <w:rsid w:val="00592854"/>
    <w:rsid w:val="00592FF8"/>
    <w:rsid w:val="00593B37"/>
    <w:rsid w:val="00593CD9"/>
    <w:rsid w:val="005942E6"/>
    <w:rsid w:val="0059491A"/>
    <w:rsid w:val="005951B2"/>
    <w:rsid w:val="005952B3"/>
    <w:rsid w:val="005954AA"/>
    <w:rsid w:val="005963C6"/>
    <w:rsid w:val="005964B6"/>
    <w:rsid w:val="00596CA2"/>
    <w:rsid w:val="0059731D"/>
    <w:rsid w:val="005974E3"/>
    <w:rsid w:val="005A0349"/>
    <w:rsid w:val="005A14B2"/>
    <w:rsid w:val="005A16E9"/>
    <w:rsid w:val="005A25D7"/>
    <w:rsid w:val="005A263F"/>
    <w:rsid w:val="005A2CA9"/>
    <w:rsid w:val="005A3140"/>
    <w:rsid w:val="005A47B0"/>
    <w:rsid w:val="005A499A"/>
    <w:rsid w:val="005A5524"/>
    <w:rsid w:val="005A5D5B"/>
    <w:rsid w:val="005A65DC"/>
    <w:rsid w:val="005A6628"/>
    <w:rsid w:val="005A66E0"/>
    <w:rsid w:val="005A7584"/>
    <w:rsid w:val="005B02FB"/>
    <w:rsid w:val="005B07BF"/>
    <w:rsid w:val="005B0823"/>
    <w:rsid w:val="005B11C1"/>
    <w:rsid w:val="005B143B"/>
    <w:rsid w:val="005B3884"/>
    <w:rsid w:val="005B478B"/>
    <w:rsid w:val="005B49AE"/>
    <w:rsid w:val="005B4C66"/>
    <w:rsid w:val="005B6782"/>
    <w:rsid w:val="005B7290"/>
    <w:rsid w:val="005B76C3"/>
    <w:rsid w:val="005B7798"/>
    <w:rsid w:val="005C0537"/>
    <w:rsid w:val="005C0B32"/>
    <w:rsid w:val="005C0C3E"/>
    <w:rsid w:val="005C0FB5"/>
    <w:rsid w:val="005C1DF3"/>
    <w:rsid w:val="005C1EC1"/>
    <w:rsid w:val="005C3165"/>
    <w:rsid w:val="005C3257"/>
    <w:rsid w:val="005C36EC"/>
    <w:rsid w:val="005C46C5"/>
    <w:rsid w:val="005C4AE4"/>
    <w:rsid w:val="005C5082"/>
    <w:rsid w:val="005C5948"/>
    <w:rsid w:val="005C63A8"/>
    <w:rsid w:val="005C7F16"/>
    <w:rsid w:val="005D02D9"/>
    <w:rsid w:val="005D0BC5"/>
    <w:rsid w:val="005D0BE5"/>
    <w:rsid w:val="005D1104"/>
    <w:rsid w:val="005D13E9"/>
    <w:rsid w:val="005D19CF"/>
    <w:rsid w:val="005D1D3B"/>
    <w:rsid w:val="005D1D84"/>
    <w:rsid w:val="005D20E5"/>
    <w:rsid w:val="005D2D4A"/>
    <w:rsid w:val="005D3B99"/>
    <w:rsid w:val="005D46D9"/>
    <w:rsid w:val="005D4C43"/>
    <w:rsid w:val="005D4CDA"/>
    <w:rsid w:val="005D50E2"/>
    <w:rsid w:val="005D5246"/>
    <w:rsid w:val="005D5C77"/>
    <w:rsid w:val="005D63B9"/>
    <w:rsid w:val="005D6BCE"/>
    <w:rsid w:val="005E133F"/>
    <w:rsid w:val="005E164F"/>
    <w:rsid w:val="005E2415"/>
    <w:rsid w:val="005E245E"/>
    <w:rsid w:val="005E3418"/>
    <w:rsid w:val="005E348B"/>
    <w:rsid w:val="005E3516"/>
    <w:rsid w:val="005E4028"/>
    <w:rsid w:val="005E4C9B"/>
    <w:rsid w:val="005E4D66"/>
    <w:rsid w:val="005E534D"/>
    <w:rsid w:val="005E5D47"/>
    <w:rsid w:val="005E6C0F"/>
    <w:rsid w:val="005F07CF"/>
    <w:rsid w:val="005F096C"/>
    <w:rsid w:val="005F0F91"/>
    <w:rsid w:val="005F151A"/>
    <w:rsid w:val="005F2FF0"/>
    <w:rsid w:val="005F5143"/>
    <w:rsid w:val="005F5B31"/>
    <w:rsid w:val="005F5B39"/>
    <w:rsid w:val="005F62C2"/>
    <w:rsid w:val="005F62F9"/>
    <w:rsid w:val="005F69FB"/>
    <w:rsid w:val="005F6BF8"/>
    <w:rsid w:val="005F71D0"/>
    <w:rsid w:val="005F7E4D"/>
    <w:rsid w:val="005F7E8C"/>
    <w:rsid w:val="006000F3"/>
    <w:rsid w:val="006008DF"/>
    <w:rsid w:val="006010D6"/>
    <w:rsid w:val="00601294"/>
    <w:rsid w:val="00601ED2"/>
    <w:rsid w:val="00602423"/>
    <w:rsid w:val="00602CDD"/>
    <w:rsid w:val="006032C5"/>
    <w:rsid w:val="00603558"/>
    <w:rsid w:val="006038B3"/>
    <w:rsid w:val="0060394B"/>
    <w:rsid w:val="00603D9B"/>
    <w:rsid w:val="00604923"/>
    <w:rsid w:val="00604A6B"/>
    <w:rsid w:val="00604C34"/>
    <w:rsid w:val="00604DB0"/>
    <w:rsid w:val="00605823"/>
    <w:rsid w:val="00606308"/>
    <w:rsid w:val="00607556"/>
    <w:rsid w:val="006078B3"/>
    <w:rsid w:val="00607A09"/>
    <w:rsid w:val="00607E5C"/>
    <w:rsid w:val="00610458"/>
    <w:rsid w:val="0061052A"/>
    <w:rsid w:val="00610E22"/>
    <w:rsid w:val="00611952"/>
    <w:rsid w:val="00611FD4"/>
    <w:rsid w:val="006121A0"/>
    <w:rsid w:val="006122B7"/>
    <w:rsid w:val="00612829"/>
    <w:rsid w:val="00612EDA"/>
    <w:rsid w:val="00613F18"/>
    <w:rsid w:val="00614570"/>
    <w:rsid w:val="00614DE0"/>
    <w:rsid w:val="006159BD"/>
    <w:rsid w:val="00615B2E"/>
    <w:rsid w:val="00616C2D"/>
    <w:rsid w:val="0061780A"/>
    <w:rsid w:val="006178FA"/>
    <w:rsid w:val="00617B21"/>
    <w:rsid w:val="00620346"/>
    <w:rsid w:val="006207A1"/>
    <w:rsid w:val="0062206F"/>
    <w:rsid w:val="006222D7"/>
    <w:rsid w:val="006224A0"/>
    <w:rsid w:val="00622591"/>
    <w:rsid w:val="00622CA2"/>
    <w:rsid w:val="006232BF"/>
    <w:rsid w:val="006239FF"/>
    <w:rsid w:val="00623CD5"/>
    <w:rsid w:val="00624C05"/>
    <w:rsid w:val="00624C40"/>
    <w:rsid w:val="006251A9"/>
    <w:rsid w:val="0062575C"/>
    <w:rsid w:val="00626AE3"/>
    <w:rsid w:val="00626B8A"/>
    <w:rsid w:val="00626E99"/>
    <w:rsid w:val="0062734C"/>
    <w:rsid w:val="00627654"/>
    <w:rsid w:val="00627D21"/>
    <w:rsid w:val="0063000D"/>
    <w:rsid w:val="00630262"/>
    <w:rsid w:val="00630424"/>
    <w:rsid w:val="00630702"/>
    <w:rsid w:val="00631162"/>
    <w:rsid w:val="00632085"/>
    <w:rsid w:val="00632139"/>
    <w:rsid w:val="0063215E"/>
    <w:rsid w:val="0063220D"/>
    <w:rsid w:val="00633591"/>
    <w:rsid w:val="0063386C"/>
    <w:rsid w:val="00633F3B"/>
    <w:rsid w:val="00634A98"/>
    <w:rsid w:val="00634AB4"/>
    <w:rsid w:val="00635964"/>
    <w:rsid w:val="00635F5E"/>
    <w:rsid w:val="0063712C"/>
    <w:rsid w:val="00640E14"/>
    <w:rsid w:val="00640FB4"/>
    <w:rsid w:val="00641261"/>
    <w:rsid w:val="006423B5"/>
    <w:rsid w:val="006423BF"/>
    <w:rsid w:val="006427F1"/>
    <w:rsid w:val="006427FB"/>
    <w:rsid w:val="00643801"/>
    <w:rsid w:val="00643817"/>
    <w:rsid w:val="0064388A"/>
    <w:rsid w:val="00643E7B"/>
    <w:rsid w:val="00644729"/>
    <w:rsid w:val="006448CE"/>
    <w:rsid w:val="006455AD"/>
    <w:rsid w:val="00645931"/>
    <w:rsid w:val="00645A34"/>
    <w:rsid w:val="00645C2D"/>
    <w:rsid w:val="0064620D"/>
    <w:rsid w:val="00646CBA"/>
    <w:rsid w:val="00650D4E"/>
    <w:rsid w:val="00651034"/>
    <w:rsid w:val="00652566"/>
    <w:rsid w:val="00652A90"/>
    <w:rsid w:val="00652FA5"/>
    <w:rsid w:val="00653105"/>
    <w:rsid w:val="006533E5"/>
    <w:rsid w:val="00654667"/>
    <w:rsid w:val="00655188"/>
    <w:rsid w:val="006558EC"/>
    <w:rsid w:val="00655F5D"/>
    <w:rsid w:val="00656455"/>
    <w:rsid w:val="0065744F"/>
    <w:rsid w:val="006579D8"/>
    <w:rsid w:val="006612BD"/>
    <w:rsid w:val="006616C8"/>
    <w:rsid w:val="0066216E"/>
    <w:rsid w:val="00662691"/>
    <w:rsid w:val="006633C5"/>
    <w:rsid w:val="00663760"/>
    <w:rsid w:val="00663B15"/>
    <w:rsid w:val="006646B5"/>
    <w:rsid w:val="0066523F"/>
    <w:rsid w:val="006653B5"/>
    <w:rsid w:val="006659A7"/>
    <w:rsid w:val="00665D9A"/>
    <w:rsid w:val="00665F76"/>
    <w:rsid w:val="00667526"/>
    <w:rsid w:val="0066792F"/>
    <w:rsid w:val="00670B0B"/>
    <w:rsid w:val="00670D22"/>
    <w:rsid w:val="0067132F"/>
    <w:rsid w:val="00672236"/>
    <w:rsid w:val="006725FA"/>
    <w:rsid w:val="0067288B"/>
    <w:rsid w:val="00672B4C"/>
    <w:rsid w:val="00672F49"/>
    <w:rsid w:val="00673799"/>
    <w:rsid w:val="00673EAE"/>
    <w:rsid w:val="00674215"/>
    <w:rsid w:val="00674ACF"/>
    <w:rsid w:val="00675E06"/>
    <w:rsid w:val="00675FEA"/>
    <w:rsid w:val="006763ED"/>
    <w:rsid w:val="006764D8"/>
    <w:rsid w:val="006777B0"/>
    <w:rsid w:val="006779A3"/>
    <w:rsid w:val="00677E12"/>
    <w:rsid w:val="00677F9A"/>
    <w:rsid w:val="00680745"/>
    <w:rsid w:val="0068080D"/>
    <w:rsid w:val="00680CC7"/>
    <w:rsid w:val="006815D4"/>
    <w:rsid w:val="00681D9A"/>
    <w:rsid w:val="00682D46"/>
    <w:rsid w:val="0068313A"/>
    <w:rsid w:val="00684032"/>
    <w:rsid w:val="00684A38"/>
    <w:rsid w:val="00684E07"/>
    <w:rsid w:val="006877DD"/>
    <w:rsid w:val="006879B6"/>
    <w:rsid w:val="00687AD4"/>
    <w:rsid w:val="00687B1E"/>
    <w:rsid w:val="00687E8B"/>
    <w:rsid w:val="0069002E"/>
    <w:rsid w:val="00690249"/>
    <w:rsid w:val="006903F7"/>
    <w:rsid w:val="006907B4"/>
    <w:rsid w:val="00691175"/>
    <w:rsid w:val="006911CF"/>
    <w:rsid w:val="00691B30"/>
    <w:rsid w:val="00692004"/>
    <w:rsid w:val="00692931"/>
    <w:rsid w:val="00692A8C"/>
    <w:rsid w:val="00694927"/>
    <w:rsid w:val="0069514B"/>
    <w:rsid w:val="0069553F"/>
    <w:rsid w:val="00695CC5"/>
    <w:rsid w:val="00695DBD"/>
    <w:rsid w:val="006969A9"/>
    <w:rsid w:val="006976D1"/>
    <w:rsid w:val="006A075B"/>
    <w:rsid w:val="006A0877"/>
    <w:rsid w:val="006A0D79"/>
    <w:rsid w:val="006A1CBB"/>
    <w:rsid w:val="006A28B2"/>
    <w:rsid w:val="006A32F9"/>
    <w:rsid w:val="006A3EF0"/>
    <w:rsid w:val="006A475A"/>
    <w:rsid w:val="006A4BBA"/>
    <w:rsid w:val="006A4F8E"/>
    <w:rsid w:val="006A58A8"/>
    <w:rsid w:val="006A5BAB"/>
    <w:rsid w:val="006A5DF2"/>
    <w:rsid w:val="006A64D5"/>
    <w:rsid w:val="006A7C45"/>
    <w:rsid w:val="006A7C52"/>
    <w:rsid w:val="006B0247"/>
    <w:rsid w:val="006B12D2"/>
    <w:rsid w:val="006B2BF7"/>
    <w:rsid w:val="006B2CFB"/>
    <w:rsid w:val="006B2F54"/>
    <w:rsid w:val="006B3082"/>
    <w:rsid w:val="006B3185"/>
    <w:rsid w:val="006B3640"/>
    <w:rsid w:val="006B45A4"/>
    <w:rsid w:val="006B568A"/>
    <w:rsid w:val="006B59D9"/>
    <w:rsid w:val="006B5BC0"/>
    <w:rsid w:val="006B5DCF"/>
    <w:rsid w:val="006B614F"/>
    <w:rsid w:val="006B6728"/>
    <w:rsid w:val="006C01EA"/>
    <w:rsid w:val="006C120F"/>
    <w:rsid w:val="006C14A7"/>
    <w:rsid w:val="006C14E5"/>
    <w:rsid w:val="006C18F9"/>
    <w:rsid w:val="006C1FC7"/>
    <w:rsid w:val="006C2824"/>
    <w:rsid w:val="006C2C01"/>
    <w:rsid w:val="006C324C"/>
    <w:rsid w:val="006C41B4"/>
    <w:rsid w:val="006C5048"/>
    <w:rsid w:val="006C5091"/>
    <w:rsid w:val="006C55C9"/>
    <w:rsid w:val="006C64C3"/>
    <w:rsid w:val="006C6AFB"/>
    <w:rsid w:val="006C6D16"/>
    <w:rsid w:val="006D00DB"/>
    <w:rsid w:val="006D0A10"/>
    <w:rsid w:val="006D14CF"/>
    <w:rsid w:val="006D195A"/>
    <w:rsid w:val="006D2121"/>
    <w:rsid w:val="006D2C2A"/>
    <w:rsid w:val="006D3755"/>
    <w:rsid w:val="006D3786"/>
    <w:rsid w:val="006D3900"/>
    <w:rsid w:val="006D3C2F"/>
    <w:rsid w:val="006D4D31"/>
    <w:rsid w:val="006D5058"/>
    <w:rsid w:val="006D62CA"/>
    <w:rsid w:val="006D6AB7"/>
    <w:rsid w:val="006D7BD6"/>
    <w:rsid w:val="006E0885"/>
    <w:rsid w:val="006E0A6F"/>
    <w:rsid w:val="006E15A9"/>
    <w:rsid w:val="006E1881"/>
    <w:rsid w:val="006E2135"/>
    <w:rsid w:val="006E2604"/>
    <w:rsid w:val="006E26AF"/>
    <w:rsid w:val="006E300A"/>
    <w:rsid w:val="006E365B"/>
    <w:rsid w:val="006E47CE"/>
    <w:rsid w:val="006E4E5F"/>
    <w:rsid w:val="006E5908"/>
    <w:rsid w:val="006E5ABA"/>
    <w:rsid w:val="006E5E04"/>
    <w:rsid w:val="006E7B08"/>
    <w:rsid w:val="006E7FB6"/>
    <w:rsid w:val="006F004F"/>
    <w:rsid w:val="006F026A"/>
    <w:rsid w:val="006F042A"/>
    <w:rsid w:val="006F09C7"/>
    <w:rsid w:val="006F0A81"/>
    <w:rsid w:val="006F17E8"/>
    <w:rsid w:val="006F1B9C"/>
    <w:rsid w:val="006F29AD"/>
    <w:rsid w:val="006F32ED"/>
    <w:rsid w:val="006F3950"/>
    <w:rsid w:val="006F4508"/>
    <w:rsid w:val="006F47A2"/>
    <w:rsid w:val="006F5C58"/>
    <w:rsid w:val="006F5D38"/>
    <w:rsid w:val="006F5D86"/>
    <w:rsid w:val="006F6108"/>
    <w:rsid w:val="006F717E"/>
    <w:rsid w:val="006F793F"/>
    <w:rsid w:val="0070012A"/>
    <w:rsid w:val="00701640"/>
    <w:rsid w:val="007016F5"/>
    <w:rsid w:val="00701EC0"/>
    <w:rsid w:val="007028F1"/>
    <w:rsid w:val="00702CBA"/>
    <w:rsid w:val="00704348"/>
    <w:rsid w:val="00704988"/>
    <w:rsid w:val="00705009"/>
    <w:rsid w:val="00705867"/>
    <w:rsid w:val="00710362"/>
    <w:rsid w:val="00710905"/>
    <w:rsid w:val="00710DA1"/>
    <w:rsid w:val="007112A9"/>
    <w:rsid w:val="00711322"/>
    <w:rsid w:val="007117C6"/>
    <w:rsid w:val="007119F1"/>
    <w:rsid w:val="00711C17"/>
    <w:rsid w:val="00712877"/>
    <w:rsid w:val="00713EFC"/>
    <w:rsid w:val="00714049"/>
    <w:rsid w:val="007165F1"/>
    <w:rsid w:val="00716924"/>
    <w:rsid w:val="00717081"/>
    <w:rsid w:val="007173A0"/>
    <w:rsid w:val="007174CA"/>
    <w:rsid w:val="00717B5C"/>
    <w:rsid w:val="00720574"/>
    <w:rsid w:val="007207DE"/>
    <w:rsid w:val="00721271"/>
    <w:rsid w:val="007216D6"/>
    <w:rsid w:val="007225A0"/>
    <w:rsid w:val="00722757"/>
    <w:rsid w:val="00722CD4"/>
    <w:rsid w:val="007235EF"/>
    <w:rsid w:val="007239B1"/>
    <w:rsid w:val="007244F4"/>
    <w:rsid w:val="007264B3"/>
    <w:rsid w:val="0072657A"/>
    <w:rsid w:val="00731469"/>
    <w:rsid w:val="007317CB"/>
    <w:rsid w:val="00732A1F"/>
    <w:rsid w:val="00732CDB"/>
    <w:rsid w:val="00732EB1"/>
    <w:rsid w:val="00733864"/>
    <w:rsid w:val="00733D13"/>
    <w:rsid w:val="00735B87"/>
    <w:rsid w:val="00735F36"/>
    <w:rsid w:val="007361C0"/>
    <w:rsid w:val="00736B01"/>
    <w:rsid w:val="00737D32"/>
    <w:rsid w:val="007407DF"/>
    <w:rsid w:val="0074093A"/>
    <w:rsid w:val="00741899"/>
    <w:rsid w:val="0074258F"/>
    <w:rsid w:val="007427AB"/>
    <w:rsid w:val="00742ABF"/>
    <w:rsid w:val="00743548"/>
    <w:rsid w:val="00744426"/>
    <w:rsid w:val="00744522"/>
    <w:rsid w:val="007451E4"/>
    <w:rsid w:val="00745659"/>
    <w:rsid w:val="00745969"/>
    <w:rsid w:val="00746AB0"/>
    <w:rsid w:val="00746DE2"/>
    <w:rsid w:val="00746E10"/>
    <w:rsid w:val="007470F1"/>
    <w:rsid w:val="00750574"/>
    <w:rsid w:val="00750614"/>
    <w:rsid w:val="007507C7"/>
    <w:rsid w:val="00751E05"/>
    <w:rsid w:val="007526D9"/>
    <w:rsid w:val="00752B4F"/>
    <w:rsid w:val="00754785"/>
    <w:rsid w:val="007552A6"/>
    <w:rsid w:val="00755837"/>
    <w:rsid w:val="00755A1F"/>
    <w:rsid w:val="00755B8D"/>
    <w:rsid w:val="00755EEB"/>
    <w:rsid w:val="00756771"/>
    <w:rsid w:val="0075695E"/>
    <w:rsid w:val="00756FA5"/>
    <w:rsid w:val="007578C2"/>
    <w:rsid w:val="00757CD8"/>
    <w:rsid w:val="00760593"/>
    <w:rsid w:val="00760724"/>
    <w:rsid w:val="007623EF"/>
    <w:rsid w:val="0076262D"/>
    <w:rsid w:val="007626B7"/>
    <w:rsid w:val="0076297E"/>
    <w:rsid w:val="00762C9C"/>
    <w:rsid w:val="00763C9A"/>
    <w:rsid w:val="00764EC6"/>
    <w:rsid w:val="00765C3F"/>
    <w:rsid w:val="007667E2"/>
    <w:rsid w:val="00766BB7"/>
    <w:rsid w:val="00766E23"/>
    <w:rsid w:val="00767677"/>
    <w:rsid w:val="00767685"/>
    <w:rsid w:val="00770B09"/>
    <w:rsid w:val="00771ADC"/>
    <w:rsid w:val="00772787"/>
    <w:rsid w:val="00773284"/>
    <w:rsid w:val="00773CC6"/>
    <w:rsid w:val="0077597B"/>
    <w:rsid w:val="00775D1B"/>
    <w:rsid w:val="00775EA4"/>
    <w:rsid w:val="007760CE"/>
    <w:rsid w:val="00776E80"/>
    <w:rsid w:val="00777313"/>
    <w:rsid w:val="00777437"/>
    <w:rsid w:val="0077754C"/>
    <w:rsid w:val="00777A0F"/>
    <w:rsid w:val="007802C8"/>
    <w:rsid w:val="00780601"/>
    <w:rsid w:val="00780FD0"/>
    <w:rsid w:val="00781440"/>
    <w:rsid w:val="007816B6"/>
    <w:rsid w:val="00781ED7"/>
    <w:rsid w:val="00781EE9"/>
    <w:rsid w:val="00782CFF"/>
    <w:rsid w:val="007830ED"/>
    <w:rsid w:val="0078389B"/>
    <w:rsid w:val="00783ADF"/>
    <w:rsid w:val="00784337"/>
    <w:rsid w:val="00784E78"/>
    <w:rsid w:val="00786426"/>
    <w:rsid w:val="007865D7"/>
    <w:rsid w:val="00786A5E"/>
    <w:rsid w:val="007870EB"/>
    <w:rsid w:val="0078774D"/>
    <w:rsid w:val="00787914"/>
    <w:rsid w:val="00787F8B"/>
    <w:rsid w:val="007904DE"/>
    <w:rsid w:val="00790D48"/>
    <w:rsid w:val="00790DC0"/>
    <w:rsid w:val="00790F10"/>
    <w:rsid w:val="00791123"/>
    <w:rsid w:val="0079196E"/>
    <w:rsid w:val="00791D22"/>
    <w:rsid w:val="00792A97"/>
    <w:rsid w:val="00793F97"/>
    <w:rsid w:val="007947A3"/>
    <w:rsid w:val="00795889"/>
    <w:rsid w:val="00795C79"/>
    <w:rsid w:val="00797654"/>
    <w:rsid w:val="007976E3"/>
    <w:rsid w:val="00797CDF"/>
    <w:rsid w:val="00797D99"/>
    <w:rsid w:val="007A0C0C"/>
    <w:rsid w:val="007A0E22"/>
    <w:rsid w:val="007A11F9"/>
    <w:rsid w:val="007A2BAB"/>
    <w:rsid w:val="007A40D5"/>
    <w:rsid w:val="007A42A7"/>
    <w:rsid w:val="007A471E"/>
    <w:rsid w:val="007A54DA"/>
    <w:rsid w:val="007A6AB1"/>
    <w:rsid w:val="007A7028"/>
    <w:rsid w:val="007A7230"/>
    <w:rsid w:val="007A7B17"/>
    <w:rsid w:val="007B0231"/>
    <w:rsid w:val="007B0B63"/>
    <w:rsid w:val="007B114C"/>
    <w:rsid w:val="007B1AA7"/>
    <w:rsid w:val="007B24B6"/>
    <w:rsid w:val="007B522D"/>
    <w:rsid w:val="007B59CA"/>
    <w:rsid w:val="007B6826"/>
    <w:rsid w:val="007B6982"/>
    <w:rsid w:val="007B6B53"/>
    <w:rsid w:val="007B75E0"/>
    <w:rsid w:val="007B789C"/>
    <w:rsid w:val="007B79E6"/>
    <w:rsid w:val="007B7E04"/>
    <w:rsid w:val="007C1301"/>
    <w:rsid w:val="007C196D"/>
    <w:rsid w:val="007C20D5"/>
    <w:rsid w:val="007C2A8E"/>
    <w:rsid w:val="007C3282"/>
    <w:rsid w:val="007C48A4"/>
    <w:rsid w:val="007C4F52"/>
    <w:rsid w:val="007C62D3"/>
    <w:rsid w:val="007C688B"/>
    <w:rsid w:val="007C6E64"/>
    <w:rsid w:val="007D18D6"/>
    <w:rsid w:val="007D1CCB"/>
    <w:rsid w:val="007D2413"/>
    <w:rsid w:val="007D27BB"/>
    <w:rsid w:val="007D2E14"/>
    <w:rsid w:val="007D464D"/>
    <w:rsid w:val="007D47B3"/>
    <w:rsid w:val="007D5E48"/>
    <w:rsid w:val="007D6955"/>
    <w:rsid w:val="007D7E42"/>
    <w:rsid w:val="007D7FB1"/>
    <w:rsid w:val="007E1A7A"/>
    <w:rsid w:val="007E1C31"/>
    <w:rsid w:val="007E3544"/>
    <w:rsid w:val="007E4129"/>
    <w:rsid w:val="007E445B"/>
    <w:rsid w:val="007E44A3"/>
    <w:rsid w:val="007E4D8B"/>
    <w:rsid w:val="007E517E"/>
    <w:rsid w:val="007E54FB"/>
    <w:rsid w:val="007E5A7D"/>
    <w:rsid w:val="007E6902"/>
    <w:rsid w:val="007E7623"/>
    <w:rsid w:val="007E7957"/>
    <w:rsid w:val="007E7F10"/>
    <w:rsid w:val="007F174D"/>
    <w:rsid w:val="007F1A5D"/>
    <w:rsid w:val="007F1B62"/>
    <w:rsid w:val="007F30AE"/>
    <w:rsid w:val="007F34D3"/>
    <w:rsid w:val="007F3D24"/>
    <w:rsid w:val="007F4792"/>
    <w:rsid w:val="007F4FE8"/>
    <w:rsid w:val="007F500A"/>
    <w:rsid w:val="007F55AD"/>
    <w:rsid w:val="007F5C6E"/>
    <w:rsid w:val="007F62D3"/>
    <w:rsid w:val="007F6D09"/>
    <w:rsid w:val="007F7476"/>
    <w:rsid w:val="007F776A"/>
    <w:rsid w:val="007F7777"/>
    <w:rsid w:val="0080078B"/>
    <w:rsid w:val="008008E3"/>
    <w:rsid w:val="00801274"/>
    <w:rsid w:val="00801F3F"/>
    <w:rsid w:val="008025B8"/>
    <w:rsid w:val="00802752"/>
    <w:rsid w:val="0080277F"/>
    <w:rsid w:val="008036FA"/>
    <w:rsid w:val="008044C7"/>
    <w:rsid w:val="008059EB"/>
    <w:rsid w:val="008068D7"/>
    <w:rsid w:val="00806AC7"/>
    <w:rsid w:val="00806F7C"/>
    <w:rsid w:val="00807426"/>
    <w:rsid w:val="008101AD"/>
    <w:rsid w:val="008102E9"/>
    <w:rsid w:val="00810336"/>
    <w:rsid w:val="008105FB"/>
    <w:rsid w:val="00811D44"/>
    <w:rsid w:val="00813622"/>
    <w:rsid w:val="008151CB"/>
    <w:rsid w:val="00815359"/>
    <w:rsid w:val="00816790"/>
    <w:rsid w:val="008167BC"/>
    <w:rsid w:val="00816E63"/>
    <w:rsid w:val="00817245"/>
    <w:rsid w:val="008206EF"/>
    <w:rsid w:val="00820E15"/>
    <w:rsid w:val="00822215"/>
    <w:rsid w:val="0082318D"/>
    <w:rsid w:val="00824081"/>
    <w:rsid w:val="008247A1"/>
    <w:rsid w:val="0082482D"/>
    <w:rsid w:val="00824B19"/>
    <w:rsid w:val="00824DED"/>
    <w:rsid w:val="00824E39"/>
    <w:rsid w:val="0082562C"/>
    <w:rsid w:val="00825DBC"/>
    <w:rsid w:val="00825E33"/>
    <w:rsid w:val="008265B1"/>
    <w:rsid w:val="00826996"/>
    <w:rsid w:val="00827F4F"/>
    <w:rsid w:val="00830CF2"/>
    <w:rsid w:val="00831905"/>
    <w:rsid w:val="00831CA9"/>
    <w:rsid w:val="00832D2E"/>
    <w:rsid w:val="00834AC1"/>
    <w:rsid w:val="00836309"/>
    <w:rsid w:val="00836322"/>
    <w:rsid w:val="00836B88"/>
    <w:rsid w:val="00836EF6"/>
    <w:rsid w:val="008371FC"/>
    <w:rsid w:val="008379F3"/>
    <w:rsid w:val="00840871"/>
    <w:rsid w:val="00840A3A"/>
    <w:rsid w:val="00840D74"/>
    <w:rsid w:val="008418E2"/>
    <w:rsid w:val="00842554"/>
    <w:rsid w:val="00842777"/>
    <w:rsid w:val="00844871"/>
    <w:rsid w:val="00845440"/>
    <w:rsid w:val="0084559E"/>
    <w:rsid w:val="00845B35"/>
    <w:rsid w:val="00845DC0"/>
    <w:rsid w:val="00847938"/>
    <w:rsid w:val="00850239"/>
    <w:rsid w:val="00850C61"/>
    <w:rsid w:val="00851218"/>
    <w:rsid w:val="0085132E"/>
    <w:rsid w:val="0085198F"/>
    <w:rsid w:val="00851B0B"/>
    <w:rsid w:val="00851C7E"/>
    <w:rsid w:val="00852A53"/>
    <w:rsid w:val="00852B58"/>
    <w:rsid w:val="0085314E"/>
    <w:rsid w:val="0085339B"/>
    <w:rsid w:val="00853CF4"/>
    <w:rsid w:val="00853E55"/>
    <w:rsid w:val="008545F9"/>
    <w:rsid w:val="0085485B"/>
    <w:rsid w:val="00854B98"/>
    <w:rsid w:val="008553EB"/>
    <w:rsid w:val="00856666"/>
    <w:rsid w:val="00860637"/>
    <w:rsid w:val="00860A5D"/>
    <w:rsid w:val="00860C34"/>
    <w:rsid w:val="00860F3A"/>
    <w:rsid w:val="00861327"/>
    <w:rsid w:val="00861A69"/>
    <w:rsid w:val="00861BBC"/>
    <w:rsid w:val="00861C36"/>
    <w:rsid w:val="008632D2"/>
    <w:rsid w:val="00863FFF"/>
    <w:rsid w:val="008643DD"/>
    <w:rsid w:val="00864D7E"/>
    <w:rsid w:val="00865B5C"/>
    <w:rsid w:val="00866002"/>
    <w:rsid w:val="00866AD9"/>
    <w:rsid w:val="00866D5F"/>
    <w:rsid w:val="00870932"/>
    <w:rsid w:val="00870E2E"/>
    <w:rsid w:val="00870FC5"/>
    <w:rsid w:val="008713BE"/>
    <w:rsid w:val="008716AB"/>
    <w:rsid w:val="00873174"/>
    <w:rsid w:val="00873305"/>
    <w:rsid w:val="008735E3"/>
    <w:rsid w:val="008735E6"/>
    <w:rsid w:val="00874E75"/>
    <w:rsid w:val="0087649A"/>
    <w:rsid w:val="00876808"/>
    <w:rsid w:val="0087721C"/>
    <w:rsid w:val="0087728A"/>
    <w:rsid w:val="00877DF6"/>
    <w:rsid w:val="00877EF5"/>
    <w:rsid w:val="008811AF"/>
    <w:rsid w:val="00881C0A"/>
    <w:rsid w:val="00884061"/>
    <w:rsid w:val="00884282"/>
    <w:rsid w:val="0088460B"/>
    <w:rsid w:val="00884A6C"/>
    <w:rsid w:val="00884CC9"/>
    <w:rsid w:val="00884D3F"/>
    <w:rsid w:val="00885F3A"/>
    <w:rsid w:val="00886340"/>
    <w:rsid w:val="00887A17"/>
    <w:rsid w:val="00887E8B"/>
    <w:rsid w:val="008908E7"/>
    <w:rsid w:val="00890DEF"/>
    <w:rsid w:val="00890DFE"/>
    <w:rsid w:val="00892B54"/>
    <w:rsid w:val="00893363"/>
    <w:rsid w:val="00893614"/>
    <w:rsid w:val="0089382C"/>
    <w:rsid w:val="00893996"/>
    <w:rsid w:val="00893CC8"/>
    <w:rsid w:val="00894A7F"/>
    <w:rsid w:val="0089671B"/>
    <w:rsid w:val="00896B13"/>
    <w:rsid w:val="00896CD3"/>
    <w:rsid w:val="0089703D"/>
    <w:rsid w:val="0089790E"/>
    <w:rsid w:val="00897ABC"/>
    <w:rsid w:val="008A047E"/>
    <w:rsid w:val="008A1478"/>
    <w:rsid w:val="008A2856"/>
    <w:rsid w:val="008A2C1A"/>
    <w:rsid w:val="008A37D4"/>
    <w:rsid w:val="008A3AB1"/>
    <w:rsid w:val="008A3DB5"/>
    <w:rsid w:val="008A4F2C"/>
    <w:rsid w:val="008A4F76"/>
    <w:rsid w:val="008A52EE"/>
    <w:rsid w:val="008A5902"/>
    <w:rsid w:val="008A5A5A"/>
    <w:rsid w:val="008A5F06"/>
    <w:rsid w:val="008A607F"/>
    <w:rsid w:val="008A724F"/>
    <w:rsid w:val="008A747E"/>
    <w:rsid w:val="008A7751"/>
    <w:rsid w:val="008B0A73"/>
    <w:rsid w:val="008B0C52"/>
    <w:rsid w:val="008B1F5D"/>
    <w:rsid w:val="008B3631"/>
    <w:rsid w:val="008B45A6"/>
    <w:rsid w:val="008B4975"/>
    <w:rsid w:val="008B51FC"/>
    <w:rsid w:val="008B543A"/>
    <w:rsid w:val="008C00C8"/>
    <w:rsid w:val="008C0498"/>
    <w:rsid w:val="008C0AC6"/>
    <w:rsid w:val="008C0B94"/>
    <w:rsid w:val="008C0BBC"/>
    <w:rsid w:val="008C131E"/>
    <w:rsid w:val="008C20D5"/>
    <w:rsid w:val="008C232C"/>
    <w:rsid w:val="008C2BB5"/>
    <w:rsid w:val="008C313A"/>
    <w:rsid w:val="008C3DA9"/>
    <w:rsid w:val="008C4059"/>
    <w:rsid w:val="008C4B42"/>
    <w:rsid w:val="008C4C68"/>
    <w:rsid w:val="008C4CB2"/>
    <w:rsid w:val="008C539F"/>
    <w:rsid w:val="008C57F6"/>
    <w:rsid w:val="008C5D88"/>
    <w:rsid w:val="008C72DD"/>
    <w:rsid w:val="008C7978"/>
    <w:rsid w:val="008D05A7"/>
    <w:rsid w:val="008D097B"/>
    <w:rsid w:val="008D178F"/>
    <w:rsid w:val="008D18EF"/>
    <w:rsid w:val="008D1A4C"/>
    <w:rsid w:val="008D1C5F"/>
    <w:rsid w:val="008D28DB"/>
    <w:rsid w:val="008D2A1F"/>
    <w:rsid w:val="008D2A43"/>
    <w:rsid w:val="008D35A9"/>
    <w:rsid w:val="008D36BC"/>
    <w:rsid w:val="008D3B7A"/>
    <w:rsid w:val="008D4969"/>
    <w:rsid w:val="008D4B54"/>
    <w:rsid w:val="008D56DA"/>
    <w:rsid w:val="008D6420"/>
    <w:rsid w:val="008D6454"/>
    <w:rsid w:val="008D6D06"/>
    <w:rsid w:val="008D71BB"/>
    <w:rsid w:val="008D7287"/>
    <w:rsid w:val="008D72B9"/>
    <w:rsid w:val="008D7848"/>
    <w:rsid w:val="008D7C13"/>
    <w:rsid w:val="008E0459"/>
    <w:rsid w:val="008E1621"/>
    <w:rsid w:val="008E2229"/>
    <w:rsid w:val="008E2A10"/>
    <w:rsid w:val="008E314B"/>
    <w:rsid w:val="008E3172"/>
    <w:rsid w:val="008E396C"/>
    <w:rsid w:val="008E3A32"/>
    <w:rsid w:val="008E4512"/>
    <w:rsid w:val="008E4B03"/>
    <w:rsid w:val="008E4D63"/>
    <w:rsid w:val="008E52D2"/>
    <w:rsid w:val="008E56A6"/>
    <w:rsid w:val="008E693C"/>
    <w:rsid w:val="008E6A46"/>
    <w:rsid w:val="008E6EA4"/>
    <w:rsid w:val="008E768D"/>
    <w:rsid w:val="008E7745"/>
    <w:rsid w:val="008E77C3"/>
    <w:rsid w:val="008E7C33"/>
    <w:rsid w:val="008F0400"/>
    <w:rsid w:val="008F05F3"/>
    <w:rsid w:val="008F0A33"/>
    <w:rsid w:val="008F0A92"/>
    <w:rsid w:val="008F0C77"/>
    <w:rsid w:val="008F168C"/>
    <w:rsid w:val="008F1D3A"/>
    <w:rsid w:val="008F2FD1"/>
    <w:rsid w:val="008F3022"/>
    <w:rsid w:val="008F4A0E"/>
    <w:rsid w:val="008F4D96"/>
    <w:rsid w:val="008F55E1"/>
    <w:rsid w:val="008F5D9D"/>
    <w:rsid w:val="008F66D9"/>
    <w:rsid w:val="008F6A0A"/>
    <w:rsid w:val="008F76F1"/>
    <w:rsid w:val="008F7A13"/>
    <w:rsid w:val="008F7F18"/>
    <w:rsid w:val="00900E37"/>
    <w:rsid w:val="009019A7"/>
    <w:rsid w:val="009029F5"/>
    <w:rsid w:val="0090300C"/>
    <w:rsid w:val="009031A0"/>
    <w:rsid w:val="0090324D"/>
    <w:rsid w:val="00903739"/>
    <w:rsid w:val="00903B6C"/>
    <w:rsid w:val="00903BEE"/>
    <w:rsid w:val="00903CD0"/>
    <w:rsid w:val="009046CF"/>
    <w:rsid w:val="00904EFC"/>
    <w:rsid w:val="009058C7"/>
    <w:rsid w:val="009064B4"/>
    <w:rsid w:val="009066C0"/>
    <w:rsid w:val="00906710"/>
    <w:rsid w:val="0090744A"/>
    <w:rsid w:val="009074E0"/>
    <w:rsid w:val="00907AF4"/>
    <w:rsid w:val="00907D26"/>
    <w:rsid w:val="00912692"/>
    <w:rsid w:val="00912AF5"/>
    <w:rsid w:val="00912BA5"/>
    <w:rsid w:val="00912D79"/>
    <w:rsid w:val="00912D9F"/>
    <w:rsid w:val="00912E4C"/>
    <w:rsid w:val="00912EB1"/>
    <w:rsid w:val="0091354F"/>
    <w:rsid w:val="009143D9"/>
    <w:rsid w:val="00914A78"/>
    <w:rsid w:val="0091543A"/>
    <w:rsid w:val="009155E1"/>
    <w:rsid w:val="009158E4"/>
    <w:rsid w:val="00916BF1"/>
    <w:rsid w:val="00916D93"/>
    <w:rsid w:val="0091707B"/>
    <w:rsid w:val="00917F6C"/>
    <w:rsid w:val="00920714"/>
    <w:rsid w:val="00920980"/>
    <w:rsid w:val="00920AB4"/>
    <w:rsid w:val="00920B77"/>
    <w:rsid w:val="00921530"/>
    <w:rsid w:val="00921ACC"/>
    <w:rsid w:val="009223EC"/>
    <w:rsid w:val="0092253D"/>
    <w:rsid w:val="0092480A"/>
    <w:rsid w:val="00924E8F"/>
    <w:rsid w:val="009250EA"/>
    <w:rsid w:val="00925AA4"/>
    <w:rsid w:val="00925B64"/>
    <w:rsid w:val="00925F38"/>
    <w:rsid w:val="00926A39"/>
    <w:rsid w:val="00927078"/>
    <w:rsid w:val="009274B3"/>
    <w:rsid w:val="009274E9"/>
    <w:rsid w:val="00927577"/>
    <w:rsid w:val="00930129"/>
    <w:rsid w:val="009301FA"/>
    <w:rsid w:val="00930648"/>
    <w:rsid w:val="00930741"/>
    <w:rsid w:val="009313D9"/>
    <w:rsid w:val="00931BC6"/>
    <w:rsid w:val="009324E8"/>
    <w:rsid w:val="00932F1D"/>
    <w:rsid w:val="009337E6"/>
    <w:rsid w:val="00933F54"/>
    <w:rsid w:val="0093556E"/>
    <w:rsid w:val="00937275"/>
    <w:rsid w:val="0093784E"/>
    <w:rsid w:val="0094079E"/>
    <w:rsid w:val="0094145A"/>
    <w:rsid w:val="00943309"/>
    <w:rsid w:val="009434FC"/>
    <w:rsid w:val="009444A2"/>
    <w:rsid w:val="00945A49"/>
    <w:rsid w:val="00946349"/>
    <w:rsid w:val="00946690"/>
    <w:rsid w:val="00946EC3"/>
    <w:rsid w:val="00950100"/>
    <w:rsid w:val="00950A31"/>
    <w:rsid w:val="00950B2B"/>
    <w:rsid w:val="00950B5A"/>
    <w:rsid w:val="00950E0A"/>
    <w:rsid w:val="009516CD"/>
    <w:rsid w:val="00952AA0"/>
    <w:rsid w:val="00952CA2"/>
    <w:rsid w:val="0095312D"/>
    <w:rsid w:val="00953F0C"/>
    <w:rsid w:val="0095699B"/>
    <w:rsid w:val="0095739D"/>
    <w:rsid w:val="009573A1"/>
    <w:rsid w:val="00960349"/>
    <w:rsid w:val="00960CA7"/>
    <w:rsid w:val="009611A8"/>
    <w:rsid w:val="00961A5B"/>
    <w:rsid w:val="00961D17"/>
    <w:rsid w:val="00962224"/>
    <w:rsid w:val="00962A0B"/>
    <w:rsid w:val="009633AA"/>
    <w:rsid w:val="00963584"/>
    <w:rsid w:val="00964A54"/>
    <w:rsid w:val="0096611A"/>
    <w:rsid w:val="00966755"/>
    <w:rsid w:val="009671D0"/>
    <w:rsid w:val="00967267"/>
    <w:rsid w:val="00970360"/>
    <w:rsid w:val="00970632"/>
    <w:rsid w:val="009708E4"/>
    <w:rsid w:val="00971065"/>
    <w:rsid w:val="00971C66"/>
    <w:rsid w:val="0097223E"/>
    <w:rsid w:val="009728BF"/>
    <w:rsid w:val="0097384F"/>
    <w:rsid w:val="0097595F"/>
    <w:rsid w:val="0097770F"/>
    <w:rsid w:val="00977718"/>
    <w:rsid w:val="009802E4"/>
    <w:rsid w:val="009818E8"/>
    <w:rsid w:val="00981B48"/>
    <w:rsid w:val="00981D68"/>
    <w:rsid w:val="009824E0"/>
    <w:rsid w:val="00982C21"/>
    <w:rsid w:val="00984229"/>
    <w:rsid w:val="00984DF1"/>
    <w:rsid w:val="009857D8"/>
    <w:rsid w:val="00985BD9"/>
    <w:rsid w:val="00985C96"/>
    <w:rsid w:val="0099115C"/>
    <w:rsid w:val="00992543"/>
    <w:rsid w:val="00992B16"/>
    <w:rsid w:val="00992E58"/>
    <w:rsid w:val="00993850"/>
    <w:rsid w:val="0099565D"/>
    <w:rsid w:val="00995DC7"/>
    <w:rsid w:val="00995ECC"/>
    <w:rsid w:val="00996014"/>
    <w:rsid w:val="00996AE1"/>
    <w:rsid w:val="009A04DF"/>
    <w:rsid w:val="009A0E60"/>
    <w:rsid w:val="009A327A"/>
    <w:rsid w:val="009A3334"/>
    <w:rsid w:val="009A371A"/>
    <w:rsid w:val="009A3A33"/>
    <w:rsid w:val="009A3FC7"/>
    <w:rsid w:val="009A4925"/>
    <w:rsid w:val="009A49D0"/>
    <w:rsid w:val="009A5566"/>
    <w:rsid w:val="009A5FF2"/>
    <w:rsid w:val="009A6C7F"/>
    <w:rsid w:val="009A7112"/>
    <w:rsid w:val="009B0373"/>
    <w:rsid w:val="009B12E3"/>
    <w:rsid w:val="009B1E0B"/>
    <w:rsid w:val="009B1E5B"/>
    <w:rsid w:val="009B2268"/>
    <w:rsid w:val="009B32D3"/>
    <w:rsid w:val="009B34FD"/>
    <w:rsid w:val="009B3656"/>
    <w:rsid w:val="009B3F06"/>
    <w:rsid w:val="009B4574"/>
    <w:rsid w:val="009B56EB"/>
    <w:rsid w:val="009B575B"/>
    <w:rsid w:val="009B5D19"/>
    <w:rsid w:val="009B6830"/>
    <w:rsid w:val="009C14A4"/>
    <w:rsid w:val="009C16DF"/>
    <w:rsid w:val="009C2590"/>
    <w:rsid w:val="009C449C"/>
    <w:rsid w:val="009C4ABB"/>
    <w:rsid w:val="009C4BDB"/>
    <w:rsid w:val="009C5139"/>
    <w:rsid w:val="009C6D47"/>
    <w:rsid w:val="009C6D4E"/>
    <w:rsid w:val="009C7C73"/>
    <w:rsid w:val="009C7CC5"/>
    <w:rsid w:val="009D0AAA"/>
    <w:rsid w:val="009D1A71"/>
    <w:rsid w:val="009D1BFF"/>
    <w:rsid w:val="009D1F26"/>
    <w:rsid w:val="009D1FB2"/>
    <w:rsid w:val="009D32BE"/>
    <w:rsid w:val="009D3D71"/>
    <w:rsid w:val="009D42CF"/>
    <w:rsid w:val="009D439D"/>
    <w:rsid w:val="009D4CC8"/>
    <w:rsid w:val="009D5343"/>
    <w:rsid w:val="009D54B9"/>
    <w:rsid w:val="009D5B0F"/>
    <w:rsid w:val="009D5DD3"/>
    <w:rsid w:val="009D602B"/>
    <w:rsid w:val="009D6E5A"/>
    <w:rsid w:val="009E0432"/>
    <w:rsid w:val="009E2159"/>
    <w:rsid w:val="009E29B1"/>
    <w:rsid w:val="009E2EB6"/>
    <w:rsid w:val="009E32C9"/>
    <w:rsid w:val="009E428B"/>
    <w:rsid w:val="009E4512"/>
    <w:rsid w:val="009E47A5"/>
    <w:rsid w:val="009E56DF"/>
    <w:rsid w:val="009E58DD"/>
    <w:rsid w:val="009E6514"/>
    <w:rsid w:val="009E6EFB"/>
    <w:rsid w:val="009E6FC5"/>
    <w:rsid w:val="009E73E5"/>
    <w:rsid w:val="009E740F"/>
    <w:rsid w:val="009E78D6"/>
    <w:rsid w:val="009E7BB4"/>
    <w:rsid w:val="009F20B1"/>
    <w:rsid w:val="009F38A1"/>
    <w:rsid w:val="009F433B"/>
    <w:rsid w:val="009F4992"/>
    <w:rsid w:val="009F4F27"/>
    <w:rsid w:val="009F5726"/>
    <w:rsid w:val="009F5783"/>
    <w:rsid w:val="009F5B12"/>
    <w:rsid w:val="009F7085"/>
    <w:rsid w:val="009F7DB7"/>
    <w:rsid w:val="00A00CBF"/>
    <w:rsid w:val="00A01336"/>
    <w:rsid w:val="00A017DE"/>
    <w:rsid w:val="00A02FEB"/>
    <w:rsid w:val="00A03051"/>
    <w:rsid w:val="00A03292"/>
    <w:rsid w:val="00A03B2C"/>
    <w:rsid w:val="00A03D46"/>
    <w:rsid w:val="00A046C2"/>
    <w:rsid w:val="00A04C08"/>
    <w:rsid w:val="00A04E83"/>
    <w:rsid w:val="00A04EDC"/>
    <w:rsid w:val="00A05808"/>
    <w:rsid w:val="00A06AB4"/>
    <w:rsid w:val="00A06CDC"/>
    <w:rsid w:val="00A071E9"/>
    <w:rsid w:val="00A07203"/>
    <w:rsid w:val="00A07455"/>
    <w:rsid w:val="00A07796"/>
    <w:rsid w:val="00A07D26"/>
    <w:rsid w:val="00A103B2"/>
    <w:rsid w:val="00A10A21"/>
    <w:rsid w:val="00A12628"/>
    <w:rsid w:val="00A13B12"/>
    <w:rsid w:val="00A14860"/>
    <w:rsid w:val="00A1767C"/>
    <w:rsid w:val="00A17E1D"/>
    <w:rsid w:val="00A209C7"/>
    <w:rsid w:val="00A225E5"/>
    <w:rsid w:val="00A24AFF"/>
    <w:rsid w:val="00A24F40"/>
    <w:rsid w:val="00A25848"/>
    <w:rsid w:val="00A2584E"/>
    <w:rsid w:val="00A25E6C"/>
    <w:rsid w:val="00A26156"/>
    <w:rsid w:val="00A27CF6"/>
    <w:rsid w:val="00A31222"/>
    <w:rsid w:val="00A31448"/>
    <w:rsid w:val="00A31920"/>
    <w:rsid w:val="00A31CC6"/>
    <w:rsid w:val="00A3318F"/>
    <w:rsid w:val="00A336C5"/>
    <w:rsid w:val="00A34548"/>
    <w:rsid w:val="00A3469C"/>
    <w:rsid w:val="00A3522A"/>
    <w:rsid w:val="00A35A02"/>
    <w:rsid w:val="00A36440"/>
    <w:rsid w:val="00A41050"/>
    <w:rsid w:val="00A41DC3"/>
    <w:rsid w:val="00A42CE2"/>
    <w:rsid w:val="00A430C2"/>
    <w:rsid w:val="00A43919"/>
    <w:rsid w:val="00A445A9"/>
    <w:rsid w:val="00A44D6C"/>
    <w:rsid w:val="00A455BE"/>
    <w:rsid w:val="00A4611B"/>
    <w:rsid w:val="00A4668F"/>
    <w:rsid w:val="00A46902"/>
    <w:rsid w:val="00A46BDC"/>
    <w:rsid w:val="00A472C7"/>
    <w:rsid w:val="00A50DFB"/>
    <w:rsid w:val="00A517FC"/>
    <w:rsid w:val="00A51D95"/>
    <w:rsid w:val="00A51DCA"/>
    <w:rsid w:val="00A522ED"/>
    <w:rsid w:val="00A52638"/>
    <w:rsid w:val="00A5287B"/>
    <w:rsid w:val="00A528DC"/>
    <w:rsid w:val="00A5375F"/>
    <w:rsid w:val="00A53B1A"/>
    <w:rsid w:val="00A53FC3"/>
    <w:rsid w:val="00A54163"/>
    <w:rsid w:val="00A54715"/>
    <w:rsid w:val="00A5520A"/>
    <w:rsid w:val="00A55C6C"/>
    <w:rsid w:val="00A566D6"/>
    <w:rsid w:val="00A56884"/>
    <w:rsid w:val="00A56CE3"/>
    <w:rsid w:val="00A56F82"/>
    <w:rsid w:val="00A57C7D"/>
    <w:rsid w:val="00A57D88"/>
    <w:rsid w:val="00A6073B"/>
    <w:rsid w:val="00A61072"/>
    <w:rsid w:val="00A6119A"/>
    <w:rsid w:val="00A61D1E"/>
    <w:rsid w:val="00A62E98"/>
    <w:rsid w:val="00A645F6"/>
    <w:rsid w:val="00A6539F"/>
    <w:rsid w:val="00A667E6"/>
    <w:rsid w:val="00A6716E"/>
    <w:rsid w:val="00A709C1"/>
    <w:rsid w:val="00A710B0"/>
    <w:rsid w:val="00A71404"/>
    <w:rsid w:val="00A7178A"/>
    <w:rsid w:val="00A72555"/>
    <w:rsid w:val="00A7312D"/>
    <w:rsid w:val="00A73554"/>
    <w:rsid w:val="00A737BE"/>
    <w:rsid w:val="00A73EC3"/>
    <w:rsid w:val="00A749DE"/>
    <w:rsid w:val="00A75B69"/>
    <w:rsid w:val="00A767B8"/>
    <w:rsid w:val="00A8079F"/>
    <w:rsid w:val="00A813B2"/>
    <w:rsid w:val="00A83302"/>
    <w:rsid w:val="00A83348"/>
    <w:rsid w:val="00A83AA1"/>
    <w:rsid w:val="00A842F7"/>
    <w:rsid w:val="00A8457A"/>
    <w:rsid w:val="00A85E9D"/>
    <w:rsid w:val="00A8651D"/>
    <w:rsid w:val="00A869A8"/>
    <w:rsid w:val="00A87353"/>
    <w:rsid w:val="00A873BB"/>
    <w:rsid w:val="00A9027D"/>
    <w:rsid w:val="00A90A19"/>
    <w:rsid w:val="00A90A1A"/>
    <w:rsid w:val="00A91593"/>
    <w:rsid w:val="00A91C07"/>
    <w:rsid w:val="00A91E8E"/>
    <w:rsid w:val="00A920F3"/>
    <w:rsid w:val="00A921C0"/>
    <w:rsid w:val="00A93073"/>
    <w:rsid w:val="00A936DE"/>
    <w:rsid w:val="00A93B98"/>
    <w:rsid w:val="00A9463E"/>
    <w:rsid w:val="00A94B93"/>
    <w:rsid w:val="00A95720"/>
    <w:rsid w:val="00A95D63"/>
    <w:rsid w:val="00A97918"/>
    <w:rsid w:val="00AA0E73"/>
    <w:rsid w:val="00AA1236"/>
    <w:rsid w:val="00AA144C"/>
    <w:rsid w:val="00AA2E15"/>
    <w:rsid w:val="00AA369F"/>
    <w:rsid w:val="00AA4A8F"/>
    <w:rsid w:val="00AA6684"/>
    <w:rsid w:val="00AA6818"/>
    <w:rsid w:val="00AA6927"/>
    <w:rsid w:val="00AA7131"/>
    <w:rsid w:val="00AA73EF"/>
    <w:rsid w:val="00AA7DD8"/>
    <w:rsid w:val="00AA7F17"/>
    <w:rsid w:val="00AB10C8"/>
    <w:rsid w:val="00AB113C"/>
    <w:rsid w:val="00AB14E0"/>
    <w:rsid w:val="00AB1A38"/>
    <w:rsid w:val="00AB1FF4"/>
    <w:rsid w:val="00AB3C8E"/>
    <w:rsid w:val="00AB3E7C"/>
    <w:rsid w:val="00AB515A"/>
    <w:rsid w:val="00AB5785"/>
    <w:rsid w:val="00AB5866"/>
    <w:rsid w:val="00AB61F1"/>
    <w:rsid w:val="00AB671C"/>
    <w:rsid w:val="00AB722F"/>
    <w:rsid w:val="00AB78F9"/>
    <w:rsid w:val="00AC0748"/>
    <w:rsid w:val="00AC11CE"/>
    <w:rsid w:val="00AC14B3"/>
    <w:rsid w:val="00AC181C"/>
    <w:rsid w:val="00AC1900"/>
    <w:rsid w:val="00AC197D"/>
    <w:rsid w:val="00AC2043"/>
    <w:rsid w:val="00AC3131"/>
    <w:rsid w:val="00AC3858"/>
    <w:rsid w:val="00AC4670"/>
    <w:rsid w:val="00AC48B2"/>
    <w:rsid w:val="00AC52E6"/>
    <w:rsid w:val="00AC58AF"/>
    <w:rsid w:val="00AC59B8"/>
    <w:rsid w:val="00AC659F"/>
    <w:rsid w:val="00AC6D78"/>
    <w:rsid w:val="00AC70A4"/>
    <w:rsid w:val="00AD00D6"/>
    <w:rsid w:val="00AD0CFE"/>
    <w:rsid w:val="00AD0F75"/>
    <w:rsid w:val="00AD124B"/>
    <w:rsid w:val="00AD25C7"/>
    <w:rsid w:val="00AD2734"/>
    <w:rsid w:val="00AD2BE9"/>
    <w:rsid w:val="00AD34F0"/>
    <w:rsid w:val="00AD3AB5"/>
    <w:rsid w:val="00AD51EB"/>
    <w:rsid w:val="00AD52BB"/>
    <w:rsid w:val="00AD59E5"/>
    <w:rsid w:val="00AD5C4D"/>
    <w:rsid w:val="00AD5FCB"/>
    <w:rsid w:val="00AD6224"/>
    <w:rsid w:val="00AD6D60"/>
    <w:rsid w:val="00AD7688"/>
    <w:rsid w:val="00AD77BF"/>
    <w:rsid w:val="00AD7C36"/>
    <w:rsid w:val="00AE0009"/>
    <w:rsid w:val="00AE0EC6"/>
    <w:rsid w:val="00AE0F56"/>
    <w:rsid w:val="00AE15D2"/>
    <w:rsid w:val="00AE17D4"/>
    <w:rsid w:val="00AE2968"/>
    <w:rsid w:val="00AE3563"/>
    <w:rsid w:val="00AE409D"/>
    <w:rsid w:val="00AE43AD"/>
    <w:rsid w:val="00AE48D0"/>
    <w:rsid w:val="00AE4949"/>
    <w:rsid w:val="00AE5CA3"/>
    <w:rsid w:val="00AE5F79"/>
    <w:rsid w:val="00AE7022"/>
    <w:rsid w:val="00AF1C6D"/>
    <w:rsid w:val="00AF2522"/>
    <w:rsid w:val="00AF281B"/>
    <w:rsid w:val="00AF37C0"/>
    <w:rsid w:val="00AF46E0"/>
    <w:rsid w:val="00AF4863"/>
    <w:rsid w:val="00AF4E2C"/>
    <w:rsid w:val="00AF592E"/>
    <w:rsid w:val="00AF6368"/>
    <w:rsid w:val="00B002BE"/>
    <w:rsid w:val="00B00547"/>
    <w:rsid w:val="00B02527"/>
    <w:rsid w:val="00B02D13"/>
    <w:rsid w:val="00B036DE"/>
    <w:rsid w:val="00B03A24"/>
    <w:rsid w:val="00B04A0C"/>
    <w:rsid w:val="00B04AC3"/>
    <w:rsid w:val="00B0526A"/>
    <w:rsid w:val="00B057CB"/>
    <w:rsid w:val="00B05C03"/>
    <w:rsid w:val="00B066E5"/>
    <w:rsid w:val="00B06872"/>
    <w:rsid w:val="00B06A2A"/>
    <w:rsid w:val="00B06AA1"/>
    <w:rsid w:val="00B07681"/>
    <w:rsid w:val="00B076A6"/>
    <w:rsid w:val="00B07894"/>
    <w:rsid w:val="00B07B5B"/>
    <w:rsid w:val="00B07F82"/>
    <w:rsid w:val="00B10C1A"/>
    <w:rsid w:val="00B113BC"/>
    <w:rsid w:val="00B11AB7"/>
    <w:rsid w:val="00B1225B"/>
    <w:rsid w:val="00B1238C"/>
    <w:rsid w:val="00B12640"/>
    <w:rsid w:val="00B12983"/>
    <w:rsid w:val="00B12AA3"/>
    <w:rsid w:val="00B12BE0"/>
    <w:rsid w:val="00B12FAB"/>
    <w:rsid w:val="00B1358D"/>
    <w:rsid w:val="00B13CFC"/>
    <w:rsid w:val="00B14063"/>
    <w:rsid w:val="00B14479"/>
    <w:rsid w:val="00B1523C"/>
    <w:rsid w:val="00B15947"/>
    <w:rsid w:val="00B1594C"/>
    <w:rsid w:val="00B1713A"/>
    <w:rsid w:val="00B172A0"/>
    <w:rsid w:val="00B21802"/>
    <w:rsid w:val="00B21803"/>
    <w:rsid w:val="00B21A1B"/>
    <w:rsid w:val="00B22610"/>
    <w:rsid w:val="00B22B3C"/>
    <w:rsid w:val="00B240FC"/>
    <w:rsid w:val="00B24358"/>
    <w:rsid w:val="00B24CFD"/>
    <w:rsid w:val="00B24E66"/>
    <w:rsid w:val="00B253D9"/>
    <w:rsid w:val="00B25A4A"/>
    <w:rsid w:val="00B25DFF"/>
    <w:rsid w:val="00B27C32"/>
    <w:rsid w:val="00B3050E"/>
    <w:rsid w:val="00B30528"/>
    <w:rsid w:val="00B30B08"/>
    <w:rsid w:val="00B30F8B"/>
    <w:rsid w:val="00B33B09"/>
    <w:rsid w:val="00B3475C"/>
    <w:rsid w:val="00B34AC2"/>
    <w:rsid w:val="00B370E8"/>
    <w:rsid w:val="00B37531"/>
    <w:rsid w:val="00B37CD4"/>
    <w:rsid w:val="00B37D14"/>
    <w:rsid w:val="00B37E6E"/>
    <w:rsid w:val="00B40494"/>
    <w:rsid w:val="00B41271"/>
    <w:rsid w:val="00B42260"/>
    <w:rsid w:val="00B4250C"/>
    <w:rsid w:val="00B426BA"/>
    <w:rsid w:val="00B42E68"/>
    <w:rsid w:val="00B444AA"/>
    <w:rsid w:val="00B44CC4"/>
    <w:rsid w:val="00B45EE1"/>
    <w:rsid w:val="00B463A2"/>
    <w:rsid w:val="00B46F47"/>
    <w:rsid w:val="00B478F4"/>
    <w:rsid w:val="00B47B44"/>
    <w:rsid w:val="00B502D4"/>
    <w:rsid w:val="00B506BD"/>
    <w:rsid w:val="00B51C22"/>
    <w:rsid w:val="00B52222"/>
    <w:rsid w:val="00B52529"/>
    <w:rsid w:val="00B52736"/>
    <w:rsid w:val="00B53F04"/>
    <w:rsid w:val="00B540FD"/>
    <w:rsid w:val="00B54C26"/>
    <w:rsid w:val="00B56148"/>
    <w:rsid w:val="00B56E2C"/>
    <w:rsid w:val="00B56EC4"/>
    <w:rsid w:val="00B56F5D"/>
    <w:rsid w:val="00B57285"/>
    <w:rsid w:val="00B600B6"/>
    <w:rsid w:val="00B6056D"/>
    <w:rsid w:val="00B624D3"/>
    <w:rsid w:val="00B62599"/>
    <w:rsid w:val="00B634B0"/>
    <w:rsid w:val="00B6373F"/>
    <w:rsid w:val="00B638AA"/>
    <w:rsid w:val="00B64E93"/>
    <w:rsid w:val="00B65C57"/>
    <w:rsid w:val="00B66401"/>
    <w:rsid w:val="00B66425"/>
    <w:rsid w:val="00B67F48"/>
    <w:rsid w:val="00B707A4"/>
    <w:rsid w:val="00B717E5"/>
    <w:rsid w:val="00B718B6"/>
    <w:rsid w:val="00B71EAA"/>
    <w:rsid w:val="00B72324"/>
    <w:rsid w:val="00B72565"/>
    <w:rsid w:val="00B73957"/>
    <w:rsid w:val="00B73C7E"/>
    <w:rsid w:val="00B73DED"/>
    <w:rsid w:val="00B74409"/>
    <w:rsid w:val="00B74D62"/>
    <w:rsid w:val="00B76231"/>
    <w:rsid w:val="00B7636B"/>
    <w:rsid w:val="00B7638D"/>
    <w:rsid w:val="00B76E03"/>
    <w:rsid w:val="00B7704C"/>
    <w:rsid w:val="00B7752F"/>
    <w:rsid w:val="00B77ADF"/>
    <w:rsid w:val="00B81082"/>
    <w:rsid w:val="00B818E2"/>
    <w:rsid w:val="00B82797"/>
    <w:rsid w:val="00B82CEC"/>
    <w:rsid w:val="00B82F66"/>
    <w:rsid w:val="00B83C14"/>
    <w:rsid w:val="00B843C8"/>
    <w:rsid w:val="00B84922"/>
    <w:rsid w:val="00B84DB0"/>
    <w:rsid w:val="00B85160"/>
    <w:rsid w:val="00B8582E"/>
    <w:rsid w:val="00B861F2"/>
    <w:rsid w:val="00B86D08"/>
    <w:rsid w:val="00B86F0C"/>
    <w:rsid w:val="00B872D0"/>
    <w:rsid w:val="00B90461"/>
    <w:rsid w:val="00B907F6"/>
    <w:rsid w:val="00B90AFD"/>
    <w:rsid w:val="00B9189D"/>
    <w:rsid w:val="00B91CC8"/>
    <w:rsid w:val="00B91D19"/>
    <w:rsid w:val="00B91E92"/>
    <w:rsid w:val="00B920E6"/>
    <w:rsid w:val="00B92B92"/>
    <w:rsid w:val="00B92F85"/>
    <w:rsid w:val="00B93757"/>
    <w:rsid w:val="00B94CF8"/>
    <w:rsid w:val="00B956B7"/>
    <w:rsid w:val="00B95AB0"/>
    <w:rsid w:val="00B96522"/>
    <w:rsid w:val="00B9666D"/>
    <w:rsid w:val="00B9752B"/>
    <w:rsid w:val="00B978D8"/>
    <w:rsid w:val="00B97F85"/>
    <w:rsid w:val="00BA00C4"/>
    <w:rsid w:val="00BA1284"/>
    <w:rsid w:val="00BA150A"/>
    <w:rsid w:val="00BA1CCA"/>
    <w:rsid w:val="00BA3A36"/>
    <w:rsid w:val="00BA3D64"/>
    <w:rsid w:val="00BA595D"/>
    <w:rsid w:val="00BA5AC6"/>
    <w:rsid w:val="00BA5DAE"/>
    <w:rsid w:val="00BA6281"/>
    <w:rsid w:val="00BA6522"/>
    <w:rsid w:val="00BA68C1"/>
    <w:rsid w:val="00BA6987"/>
    <w:rsid w:val="00BA69D2"/>
    <w:rsid w:val="00BA79F3"/>
    <w:rsid w:val="00BB09D5"/>
    <w:rsid w:val="00BB0EAB"/>
    <w:rsid w:val="00BB15EA"/>
    <w:rsid w:val="00BB1B1A"/>
    <w:rsid w:val="00BB1DD2"/>
    <w:rsid w:val="00BB228D"/>
    <w:rsid w:val="00BB2A7A"/>
    <w:rsid w:val="00BB3F95"/>
    <w:rsid w:val="00BB5301"/>
    <w:rsid w:val="00BB59C2"/>
    <w:rsid w:val="00BB5B86"/>
    <w:rsid w:val="00BC4EBF"/>
    <w:rsid w:val="00BC5400"/>
    <w:rsid w:val="00BC5D2D"/>
    <w:rsid w:val="00BC5FEE"/>
    <w:rsid w:val="00BC620E"/>
    <w:rsid w:val="00BC6306"/>
    <w:rsid w:val="00BC66F4"/>
    <w:rsid w:val="00BC6A9C"/>
    <w:rsid w:val="00BC74C3"/>
    <w:rsid w:val="00BD025C"/>
    <w:rsid w:val="00BD12D7"/>
    <w:rsid w:val="00BD18B3"/>
    <w:rsid w:val="00BD1EFC"/>
    <w:rsid w:val="00BD24BD"/>
    <w:rsid w:val="00BD2FDB"/>
    <w:rsid w:val="00BD34E0"/>
    <w:rsid w:val="00BD3574"/>
    <w:rsid w:val="00BD38B2"/>
    <w:rsid w:val="00BD3917"/>
    <w:rsid w:val="00BD393E"/>
    <w:rsid w:val="00BD3A56"/>
    <w:rsid w:val="00BD3D87"/>
    <w:rsid w:val="00BD46FA"/>
    <w:rsid w:val="00BD55C7"/>
    <w:rsid w:val="00BD5C5B"/>
    <w:rsid w:val="00BD63C6"/>
    <w:rsid w:val="00BE0242"/>
    <w:rsid w:val="00BE0E21"/>
    <w:rsid w:val="00BE10DD"/>
    <w:rsid w:val="00BE1763"/>
    <w:rsid w:val="00BE1C90"/>
    <w:rsid w:val="00BE21A7"/>
    <w:rsid w:val="00BE2A75"/>
    <w:rsid w:val="00BE350F"/>
    <w:rsid w:val="00BE39B2"/>
    <w:rsid w:val="00BE3A7C"/>
    <w:rsid w:val="00BE443D"/>
    <w:rsid w:val="00BE4490"/>
    <w:rsid w:val="00BE499B"/>
    <w:rsid w:val="00BE5A8F"/>
    <w:rsid w:val="00BE5BDB"/>
    <w:rsid w:val="00BE5FB8"/>
    <w:rsid w:val="00BE719C"/>
    <w:rsid w:val="00BE74D6"/>
    <w:rsid w:val="00BE7776"/>
    <w:rsid w:val="00BE7ED4"/>
    <w:rsid w:val="00BF042B"/>
    <w:rsid w:val="00BF04C4"/>
    <w:rsid w:val="00BF0A66"/>
    <w:rsid w:val="00BF2939"/>
    <w:rsid w:val="00BF2994"/>
    <w:rsid w:val="00BF2BC7"/>
    <w:rsid w:val="00BF335D"/>
    <w:rsid w:val="00BF47D2"/>
    <w:rsid w:val="00BF4FAA"/>
    <w:rsid w:val="00BF5C8E"/>
    <w:rsid w:val="00BF613E"/>
    <w:rsid w:val="00BF6BB8"/>
    <w:rsid w:val="00BF6F9F"/>
    <w:rsid w:val="00BF6FF4"/>
    <w:rsid w:val="00BF7A86"/>
    <w:rsid w:val="00C0066B"/>
    <w:rsid w:val="00C009B7"/>
    <w:rsid w:val="00C01314"/>
    <w:rsid w:val="00C018A7"/>
    <w:rsid w:val="00C03468"/>
    <w:rsid w:val="00C04F21"/>
    <w:rsid w:val="00C05414"/>
    <w:rsid w:val="00C06BC9"/>
    <w:rsid w:val="00C06FE2"/>
    <w:rsid w:val="00C11CF7"/>
    <w:rsid w:val="00C122B8"/>
    <w:rsid w:val="00C127AA"/>
    <w:rsid w:val="00C131A4"/>
    <w:rsid w:val="00C134F1"/>
    <w:rsid w:val="00C13F4E"/>
    <w:rsid w:val="00C13FAE"/>
    <w:rsid w:val="00C14B51"/>
    <w:rsid w:val="00C20805"/>
    <w:rsid w:val="00C21A47"/>
    <w:rsid w:val="00C21B86"/>
    <w:rsid w:val="00C2275A"/>
    <w:rsid w:val="00C230BF"/>
    <w:rsid w:val="00C23343"/>
    <w:rsid w:val="00C23423"/>
    <w:rsid w:val="00C23D35"/>
    <w:rsid w:val="00C23E8A"/>
    <w:rsid w:val="00C27DF4"/>
    <w:rsid w:val="00C27FF0"/>
    <w:rsid w:val="00C305D4"/>
    <w:rsid w:val="00C3097C"/>
    <w:rsid w:val="00C31EB7"/>
    <w:rsid w:val="00C32C01"/>
    <w:rsid w:val="00C32CCF"/>
    <w:rsid w:val="00C33645"/>
    <w:rsid w:val="00C3394F"/>
    <w:rsid w:val="00C33FDF"/>
    <w:rsid w:val="00C342B7"/>
    <w:rsid w:val="00C3475B"/>
    <w:rsid w:val="00C362BA"/>
    <w:rsid w:val="00C378D2"/>
    <w:rsid w:val="00C40362"/>
    <w:rsid w:val="00C404EB"/>
    <w:rsid w:val="00C40C7B"/>
    <w:rsid w:val="00C41E39"/>
    <w:rsid w:val="00C427E0"/>
    <w:rsid w:val="00C432B0"/>
    <w:rsid w:val="00C434BB"/>
    <w:rsid w:val="00C43C7D"/>
    <w:rsid w:val="00C43DA6"/>
    <w:rsid w:val="00C43DC4"/>
    <w:rsid w:val="00C43F02"/>
    <w:rsid w:val="00C44025"/>
    <w:rsid w:val="00C442D4"/>
    <w:rsid w:val="00C44321"/>
    <w:rsid w:val="00C4477D"/>
    <w:rsid w:val="00C45156"/>
    <w:rsid w:val="00C45DD9"/>
    <w:rsid w:val="00C45E42"/>
    <w:rsid w:val="00C46E31"/>
    <w:rsid w:val="00C47349"/>
    <w:rsid w:val="00C478B5"/>
    <w:rsid w:val="00C47A6C"/>
    <w:rsid w:val="00C47BFA"/>
    <w:rsid w:val="00C501B5"/>
    <w:rsid w:val="00C50C35"/>
    <w:rsid w:val="00C52B31"/>
    <w:rsid w:val="00C5305F"/>
    <w:rsid w:val="00C54B5B"/>
    <w:rsid w:val="00C5640B"/>
    <w:rsid w:val="00C56916"/>
    <w:rsid w:val="00C571E6"/>
    <w:rsid w:val="00C57387"/>
    <w:rsid w:val="00C60418"/>
    <w:rsid w:val="00C60B0D"/>
    <w:rsid w:val="00C61B51"/>
    <w:rsid w:val="00C61E9E"/>
    <w:rsid w:val="00C61F89"/>
    <w:rsid w:val="00C62551"/>
    <w:rsid w:val="00C62DDF"/>
    <w:rsid w:val="00C6353B"/>
    <w:rsid w:val="00C63D4A"/>
    <w:rsid w:val="00C644A6"/>
    <w:rsid w:val="00C64CDA"/>
    <w:rsid w:val="00C64CF4"/>
    <w:rsid w:val="00C65471"/>
    <w:rsid w:val="00C65C8F"/>
    <w:rsid w:val="00C66154"/>
    <w:rsid w:val="00C67CD3"/>
    <w:rsid w:val="00C67DDA"/>
    <w:rsid w:val="00C67EF2"/>
    <w:rsid w:val="00C700A2"/>
    <w:rsid w:val="00C70841"/>
    <w:rsid w:val="00C70F23"/>
    <w:rsid w:val="00C7132A"/>
    <w:rsid w:val="00C72608"/>
    <w:rsid w:val="00C7353D"/>
    <w:rsid w:val="00C73E36"/>
    <w:rsid w:val="00C749EF"/>
    <w:rsid w:val="00C753D3"/>
    <w:rsid w:val="00C7679C"/>
    <w:rsid w:val="00C76914"/>
    <w:rsid w:val="00C76A76"/>
    <w:rsid w:val="00C76C7C"/>
    <w:rsid w:val="00C76E4B"/>
    <w:rsid w:val="00C76FCF"/>
    <w:rsid w:val="00C7789F"/>
    <w:rsid w:val="00C80B7A"/>
    <w:rsid w:val="00C80C04"/>
    <w:rsid w:val="00C80EA5"/>
    <w:rsid w:val="00C83A4A"/>
    <w:rsid w:val="00C83A59"/>
    <w:rsid w:val="00C83C6E"/>
    <w:rsid w:val="00C8467F"/>
    <w:rsid w:val="00C84D90"/>
    <w:rsid w:val="00C8505A"/>
    <w:rsid w:val="00C85DB3"/>
    <w:rsid w:val="00C86281"/>
    <w:rsid w:val="00C86EB6"/>
    <w:rsid w:val="00C8769C"/>
    <w:rsid w:val="00C90627"/>
    <w:rsid w:val="00C90C96"/>
    <w:rsid w:val="00C90D96"/>
    <w:rsid w:val="00C91968"/>
    <w:rsid w:val="00C9414B"/>
    <w:rsid w:val="00C9481D"/>
    <w:rsid w:val="00C951A3"/>
    <w:rsid w:val="00C953A3"/>
    <w:rsid w:val="00C95E2A"/>
    <w:rsid w:val="00C96312"/>
    <w:rsid w:val="00C96992"/>
    <w:rsid w:val="00C97104"/>
    <w:rsid w:val="00C975D2"/>
    <w:rsid w:val="00C97BF4"/>
    <w:rsid w:val="00CA0081"/>
    <w:rsid w:val="00CA13A2"/>
    <w:rsid w:val="00CA1C7D"/>
    <w:rsid w:val="00CA1FD3"/>
    <w:rsid w:val="00CA2997"/>
    <w:rsid w:val="00CA37B5"/>
    <w:rsid w:val="00CA3AFC"/>
    <w:rsid w:val="00CA3BF2"/>
    <w:rsid w:val="00CA3C29"/>
    <w:rsid w:val="00CA50B4"/>
    <w:rsid w:val="00CA5337"/>
    <w:rsid w:val="00CA5DA5"/>
    <w:rsid w:val="00CA5E36"/>
    <w:rsid w:val="00CA6A29"/>
    <w:rsid w:val="00CA7CB3"/>
    <w:rsid w:val="00CB09EB"/>
    <w:rsid w:val="00CB0EA4"/>
    <w:rsid w:val="00CB29AF"/>
    <w:rsid w:val="00CB2CAB"/>
    <w:rsid w:val="00CB2E23"/>
    <w:rsid w:val="00CB4F6D"/>
    <w:rsid w:val="00CB56BD"/>
    <w:rsid w:val="00CB58B4"/>
    <w:rsid w:val="00CB5916"/>
    <w:rsid w:val="00CB5ACD"/>
    <w:rsid w:val="00CB6D6E"/>
    <w:rsid w:val="00CB7360"/>
    <w:rsid w:val="00CC0729"/>
    <w:rsid w:val="00CC171C"/>
    <w:rsid w:val="00CC24A4"/>
    <w:rsid w:val="00CC3351"/>
    <w:rsid w:val="00CC3A8A"/>
    <w:rsid w:val="00CC4E53"/>
    <w:rsid w:val="00CC5020"/>
    <w:rsid w:val="00CC5995"/>
    <w:rsid w:val="00CC6A12"/>
    <w:rsid w:val="00CC6B84"/>
    <w:rsid w:val="00CC7028"/>
    <w:rsid w:val="00CC713E"/>
    <w:rsid w:val="00CD191C"/>
    <w:rsid w:val="00CD2598"/>
    <w:rsid w:val="00CD27FA"/>
    <w:rsid w:val="00CD3295"/>
    <w:rsid w:val="00CD33B5"/>
    <w:rsid w:val="00CD4372"/>
    <w:rsid w:val="00CD4805"/>
    <w:rsid w:val="00CD4C37"/>
    <w:rsid w:val="00CD4E74"/>
    <w:rsid w:val="00CD4F84"/>
    <w:rsid w:val="00CD5F0E"/>
    <w:rsid w:val="00CD6B70"/>
    <w:rsid w:val="00CD73E5"/>
    <w:rsid w:val="00CD7B87"/>
    <w:rsid w:val="00CD7FBC"/>
    <w:rsid w:val="00CE006D"/>
    <w:rsid w:val="00CE018B"/>
    <w:rsid w:val="00CE1B7C"/>
    <w:rsid w:val="00CE24BA"/>
    <w:rsid w:val="00CE3419"/>
    <w:rsid w:val="00CE3E48"/>
    <w:rsid w:val="00CE4068"/>
    <w:rsid w:val="00CE4346"/>
    <w:rsid w:val="00CE4A24"/>
    <w:rsid w:val="00CE4CB1"/>
    <w:rsid w:val="00CE4F80"/>
    <w:rsid w:val="00CE590C"/>
    <w:rsid w:val="00CE5A92"/>
    <w:rsid w:val="00CE6292"/>
    <w:rsid w:val="00CE6CB0"/>
    <w:rsid w:val="00CE6FE8"/>
    <w:rsid w:val="00CE727E"/>
    <w:rsid w:val="00CE73B5"/>
    <w:rsid w:val="00CF0B47"/>
    <w:rsid w:val="00CF1BD2"/>
    <w:rsid w:val="00CF21E5"/>
    <w:rsid w:val="00CF2D1E"/>
    <w:rsid w:val="00CF401F"/>
    <w:rsid w:val="00CF41FC"/>
    <w:rsid w:val="00CF420A"/>
    <w:rsid w:val="00CF44B1"/>
    <w:rsid w:val="00CF48FB"/>
    <w:rsid w:val="00CF4B0C"/>
    <w:rsid w:val="00CF4E0F"/>
    <w:rsid w:val="00CF51F1"/>
    <w:rsid w:val="00CF53D8"/>
    <w:rsid w:val="00CF609D"/>
    <w:rsid w:val="00CF62AF"/>
    <w:rsid w:val="00CF6733"/>
    <w:rsid w:val="00CF7DA5"/>
    <w:rsid w:val="00D00279"/>
    <w:rsid w:val="00D00752"/>
    <w:rsid w:val="00D0081D"/>
    <w:rsid w:val="00D00AEC"/>
    <w:rsid w:val="00D033AB"/>
    <w:rsid w:val="00D03E0C"/>
    <w:rsid w:val="00D0424E"/>
    <w:rsid w:val="00D04316"/>
    <w:rsid w:val="00D04A05"/>
    <w:rsid w:val="00D04C2E"/>
    <w:rsid w:val="00D05047"/>
    <w:rsid w:val="00D0516D"/>
    <w:rsid w:val="00D057C6"/>
    <w:rsid w:val="00D0601E"/>
    <w:rsid w:val="00D066B7"/>
    <w:rsid w:val="00D10013"/>
    <w:rsid w:val="00D10A66"/>
    <w:rsid w:val="00D12586"/>
    <w:rsid w:val="00D127A4"/>
    <w:rsid w:val="00D12CAB"/>
    <w:rsid w:val="00D1476F"/>
    <w:rsid w:val="00D14CBF"/>
    <w:rsid w:val="00D14FB8"/>
    <w:rsid w:val="00D15584"/>
    <w:rsid w:val="00D15A5D"/>
    <w:rsid w:val="00D16B21"/>
    <w:rsid w:val="00D17135"/>
    <w:rsid w:val="00D1741A"/>
    <w:rsid w:val="00D17B4F"/>
    <w:rsid w:val="00D205AA"/>
    <w:rsid w:val="00D20DD3"/>
    <w:rsid w:val="00D215A6"/>
    <w:rsid w:val="00D220CF"/>
    <w:rsid w:val="00D22DFE"/>
    <w:rsid w:val="00D23CCB"/>
    <w:rsid w:val="00D23F3E"/>
    <w:rsid w:val="00D24117"/>
    <w:rsid w:val="00D26821"/>
    <w:rsid w:val="00D26F60"/>
    <w:rsid w:val="00D27AA3"/>
    <w:rsid w:val="00D27C55"/>
    <w:rsid w:val="00D300A4"/>
    <w:rsid w:val="00D31C7C"/>
    <w:rsid w:val="00D3252F"/>
    <w:rsid w:val="00D32760"/>
    <w:rsid w:val="00D32FF1"/>
    <w:rsid w:val="00D33391"/>
    <w:rsid w:val="00D33B4C"/>
    <w:rsid w:val="00D340B8"/>
    <w:rsid w:val="00D346A5"/>
    <w:rsid w:val="00D34A7B"/>
    <w:rsid w:val="00D3589E"/>
    <w:rsid w:val="00D358CE"/>
    <w:rsid w:val="00D35D39"/>
    <w:rsid w:val="00D36593"/>
    <w:rsid w:val="00D3693B"/>
    <w:rsid w:val="00D37A4E"/>
    <w:rsid w:val="00D37C44"/>
    <w:rsid w:val="00D405C3"/>
    <w:rsid w:val="00D40E5C"/>
    <w:rsid w:val="00D446D6"/>
    <w:rsid w:val="00D44DE2"/>
    <w:rsid w:val="00D46501"/>
    <w:rsid w:val="00D466B1"/>
    <w:rsid w:val="00D467BF"/>
    <w:rsid w:val="00D4789B"/>
    <w:rsid w:val="00D47C2A"/>
    <w:rsid w:val="00D47E9D"/>
    <w:rsid w:val="00D47EDB"/>
    <w:rsid w:val="00D50747"/>
    <w:rsid w:val="00D50A54"/>
    <w:rsid w:val="00D516D5"/>
    <w:rsid w:val="00D520E8"/>
    <w:rsid w:val="00D5321E"/>
    <w:rsid w:val="00D54748"/>
    <w:rsid w:val="00D54A52"/>
    <w:rsid w:val="00D54A73"/>
    <w:rsid w:val="00D551F5"/>
    <w:rsid w:val="00D55AE2"/>
    <w:rsid w:val="00D55C8E"/>
    <w:rsid w:val="00D5629E"/>
    <w:rsid w:val="00D563CB"/>
    <w:rsid w:val="00D57A22"/>
    <w:rsid w:val="00D6020C"/>
    <w:rsid w:val="00D61DEA"/>
    <w:rsid w:val="00D61DF6"/>
    <w:rsid w:val="00D6207D"/>
    <w:rsid w:val="00D62180"/>
    <w:rsid w:val="00D64296"/>
    <w:rsid w:val="00D64C40"/>
    <w:rsid w:val="00D655BD"/>
    <w:rsid w:val="00D6575A"/>
    <w:rsid w:val="00D673BD"/>
    <w:rsid w:val="00D677F6"/>
    <w:rsid w:val="00D67B15"/>
    <w:rsid w:val="00D70588"/>
    <w:rsid w:val="00D7147B"/>
    <w:rsid w:val="00D726F6"/>
    <w:rsid w:val="00D727FC"/>
    <w:rsid w:val="00D72AE7"/>
    <w:rsid w:val="00D72C5B"/>
    <w:rsid w:val="00D72F76"/>
    <w:rsid w:val="00D73341"/>
    <w:rsid w:val="00D734EB"/>
    <w:rsid w:val="00D73946"/>
    <w:rsid w:val="00D760C2"/>
    <w:rsid w:val="00D832D9"/>
    <w:rsid w:val="00D8364B"/>
    <w:rsid w:val="00D837EC"/>
    <w:rsid w:val="00D838F5"/>
    <w:rsid w:val="00D83A31"/>
    <w:rsid w:val="00D83DD0"/>
    <w:rsid w:val="00D848CF"/>
    <w:rsid w:val="00D84E11"/>
    <w:rsid w:val="00D85252"/>
    <w:rsid w:val="00D8552A"/>
    <w:rsid w:val="00D860B1"/>
    <w:rsid w:val="00D873E6"/>
    <w:rsid w:val="00D87C3C"/>
    <w:rsid w:val="00D9065A"/>
    <w:rsid w:val="00D90757"/>
    <w:rsid w:val="00D90B5F"/>
    <w:rsid w:val="00D90BB9"/>
    <w:rsid w:val="00D9120C"/>
    <w:rsid w:val="00D92266"/>
    <w:rsid w:val="00D929A3"/>
    <w:rsid w:val="00D94B39"/>
    <w:rsid w:val="00D954D7"/>
    <w:rsid w:val="00D959B9"/>
    <w:rsid w:val="00D95A28"/>
    <w:rsid w:val="00D960C1"/>
    <w:rsid w:val="00D969B6"/>
    <w:rsid w:val="00D96A7F"/>
    <w:rsid w:val="00D9750E"/>
    <w:rsid w:val="00D97A2B"/>
    <w:rsid w:val="00DA097C"/>
    <w:rsid w:val="00DA098D"/>
    <w:rsid w:val="00DA2CC4"/>
    <w:rsid w:val="00DA335B"/>
    <w:rsid w:val="00DA35C2"/>
    <w:rsid w:val="00DA3F91"/>
    <w:rsid w:val="00DA581D"/>
    <w:rsid w:val="00DA6407"/>
    <w:rsid w:val="00DA6802"/>
    <w:rsid w:val="00DA712B"/>
    <w:rsid w:val="00DA718D"/>
    <w:rsid w:val="00DA7916"/>
    <w:rsid w:val="00DA7CFB"/>
    <w:rsid w:val="00DB0158"/>
    <w:rsid w:val="00DB15EE"/>
    <w:rsid w:val="00DB161A"/>
    <w:rsid w:val="00DB1705"/>
    <w:rsid w:val="00DB1A16"/>
    <w:rsid w:val="00DB1A21"/>
    <w:rsid w:val="00DB2EB3"/>
    <w:rsid w:val="00DB3E6F"/>
    <w:rsid w:val="00DB3F60"/>
    <w:rsid w:val="00DB4D31"/>
    <w:rsid w:val="00DB4E1C"/>
    <w:rsid w:val="00DB4E9A"/>
    <w:rsid w:val="00DB519A"/>
    <w:rsid w:val="00DB5593"/>
    <w:rsid w:val="00DB5863"/>
    <w:rsid w:val="00DB6523"/>
    <w:rsid w:val="00DC1530"/>
    <w:rsid w:val="00DC195E"/>
    <w:rsid w:val="00DC1A3D"/>
    <w:rsid w:val="00DC1D83"/>
    <w:rsid w:val="00DC1D99"/>
    <w:rsid w:val="00DC26DE"/>
    <w:rsid w:val="00DC2A1E"/>
    <w:rsid w:val="00DC31CB"/>
    <w:rsid w:val="00DC3206"/>
    <w:rsid w:val="00DC4287"/>
    <w:rsid w:val="00DC432A"/>
    <w:rsid w:val="00DC587B"/>
    <w:rsid w:val="00DC5988"/>
    <w:rsid w:val="00DC6135"/>
    <w:rsid w:val="00DC7150"/>
    <w:rsid w:val="00DD18A6"/>
    <w:rsid w:val="00DD19A3"/>
    <w:rsid w:val="00DD1ED5"/>
    <w:rsid w:val="00DD25FA"/>
    <w:rsid w:val="00DD3584"/>
    <w:rsid w:val="00DD3858"/>
    <w:rsid w:val="00DD3BE7"/>
    <w:rsid w:val="00DD45D1"/>
    <w:rsid w:val="00DD4CDF"/>
    <w:rsid w:val="00DD56E1"/>
    <w:rsid w:val="00DD5A1C"/>
    <w:rsid w:val="00DD6579"/>
    <w:rsid w:val="00DD756F"/>
    <w:rsid w:val="00DD77D7"/>
    <w:rsid w:val="00DD7EE0"/>
    <w:rsid w:val="00DD7EE8"/>
    <w:rsid w:val="00DE0368"/>
    <w:rsid w:val="00DE0651"/>
    <w:rsid w:val="00DE11AA"/>
    <w:rsid w:val="00DE1865"/>
    <w:rsid w:val="00DE1C12"/>
    <w:rsid w:val="00DE238D"/>
    <w:rsid w:val="00DE3200"/>
    <w:rsid w:val="00DE3769"/>
    <w:rsid w:val="00DE39E5"/>
    <w:rsid w:val="00DE3B65"/>
    <w:rsid w:val="00DE40E1"/>
    <w:rsid w:val="00DE5296"/>
    <w:rsid w:val="00DE6AEA"/>
    <w:rsid w:val="00DE7F62"/>
    <w:rsid w:val="00DF096D"/>
    <w:rsid w:val="00DF10BE"/>
    <w:rsid w:val="00DF15F4"/>
    <w:rsid w:val="00DF1F81"/>
    <w:rsid w:val="00DF2BEA"/>
    <w:rsid w:val="00DF33F2"/>
    <w:rsid w:val="00DF57F3"/>
    <w:rsid w:val="00DF75CF"/>
    <w:rsid w:val="00DF78B3"/>
    <w:rsid w:val="00E00256"/>
    <w:rsid w:val="00E00894"/>
    <w:rsid w:val="00E0145F"/>
    <w:rsid w:val="00E019E1"/>
    <w:rsid w:val="00E01D84"/>
    <w:rsid w:val="00E02C82"/>
    <w:rsid w:val="00E03558"/>
    <w:rsid w:val="00E045C0"/>
    <w:rsid w:val="00E049B2"/>
    <w:rsid w:val="00E05293"/>
    <w:rsid w:val="00E05F16"/>
    <w:rsid w:val="00E075C7"/>
    <w:rsid w:val="00E07A48"/>
    <w:rsid w:val="00E11006"/>
    <w:rsid w:val="00E1111C"/>
    <w:rsid w:val="00E11DE4"/>
    <w:rsid w:val="00E11E81"/>
    <w:rsid w:val="00E120A8"/>
    <w:rsid w:val="00E1223E"/>
    <w:rsid w:val="00E12860"/>
    <w:rsid w:val="00E12ABF"/>
    <w:rsid w:val="00E14379"/>
    <w:rsid w:val="00E151C7"/>
    <w:rsid w:val="00E15531"/>
    <w:rsid w:val="00E155DF"/>
    <w:rsid w:val="00E15B3A"/>
    <w:rsid w:val="00E161D4"/>
    <w:rsid w:val="00E16F13"/>
    <w:rsid w:val="00E17E47"/>
    <w:rsid w:val="00E20825"/>
    <w:rsid w:val="00E20AF1"/>
    <w:rsid w:val="00E22164"/>
    <w:rsid w:val="00E224A5"/>
    <w:rsid w:val="00E2271E"/>
    <w:rsid w:val="00E23382"/>
    <w:rsid w:val="00E2347D"/>
    <w:rsid w:val="00E236B0"/>
    <w:rsid w:val="00E23E80"/>
    <w:rsid w:val="00E241CB"/>
    <w:rsid w:val="00E2459A"/>
    <w:rsid w:val="00E246ED"/>
    <w:rsid w:val="00E248A0"/>
    <w:rsid w:val="00E25104"/>
    <w:rsid w:val="00E26064"/>
    <w:rsid w:val="00E305A7"/>
    <w:rsid w:val="00E30AA2"/>
    <w:rsid w:val="00E30C27"/>
    <w:rsid w:val="00E30DA5"/>
    <w:rsid w:val="00E314E4"/>
    <w:rsid w:val="00E31714"/>
    <w:rsid w:val="00E31D5F"/>
    <w:rsid w:val="00E32275"/>
    <w:rsid w:val="00E32CB8"/>
    <w:rsid w:val="00E32DFE"/>
    <w:rsid w:val="00E32FEA"/>
    <w:rsid w:val="00E3580A"/>
    <w:rsid w:val="00E35A6C"/>
    <w:rsid w:val="00E36E48"/>
    <w:rsid w:val="00E37EA1"/>
    <w:rsid w:val="00E40622"/>
    <w:rsid w:val="00E40644"/>
    <w:rsid w:val="00E409A4"/>
    <w:rsid w:val="00E40A20"/>
    <w:rsid w:val="00E417DA"/>
    <w:rsid w:val="00E43348"/>
    <w:rsid w:val="00E43598"/>
    <w:rsid w:val="00E439C0"/>
    <w:rsid w:val="00E43AA5"/>
    <w:rsid w:val="00E44557"/>
    <w:rsid w:val="00E4460A"/>
    <w:rsid w:val="00E44A1B"/>
    <w:rsid w:val="00E50BC5"/>
    <w:rsid w:val="00E50C60"/>
    <w:rsid w:val="00E511A4"/>
    <w:rsid w:val="00E52251"/>
    <w:rsid w:val="00E523B5"/>
    <w:rsid w:val="00E53A72"/>
    <w:rsid w:val="00E54129"/>
    <w:rsid w:val="00E54271"/>
    <w:rsid w:val="00E56AA7"/>
    <w:rsid w:val="00E574FF"/>
    <w:rsid w:val="00E57C75"/>
    <w:rsid w:val="00E61413"/>
    <w:rsid w:val="00E61442"/>
    <w:rsid w:val="00E61D90"/>
    <w:rsid w:val="00E620CE"/>
    <w:rsid w:val="00E63B86"/>
    <w:rsid w:val="00E63C6A"/>
    <w:rsid w:val="00E63EBA"/>
    <w:rsid w:val="00E63ED4"/>
    <w:rsid w:val="00E63F39"/>
    <w:rsid w:val="00E64800"/>
    <w:rsid w:val="00E648C3"/>
    <w:rsid w:val="00E64B3B"/>
    <w:rsid w:val="00E64C45"/>
    <w:rsid w:val="00E655C9"/>
    <w:rsid w:val="00E65DE7"/>
    <w:rsid w:val="00E66557"/>
    <w:rsid w:val="00E66BBA"/>
    <w:rsid w:val="00E675DF"/>
    <w:rsid w:val="00E678D2"/>
    <w:rsid w:val="00E67B58"/>
    <w:rsid w:val="00E70688"/>
    <w:rsid w:val="00E70A62"/>
    <w:rsid w:val="00E70D51"/>
    <w:rsid w:val="00E71981"/>
    <w:rsid w:val="00E71ED5"/>
    <w:rsid w:val="00E732F0"/>
    <w:rsid w:val="00E73314"/>
    <w:rsid w:val="00E73402"/>
    <w:rsid w:val="00E736F2"/>
    <w:rsid w:val="00E73984"/>
    <w:rsid w:val="00E73EB4"/>
    <w:rsid w:val="00E749F4"/>
    <w:rsid w:val="00E75638"/>
    <w:rsid w:val="00E75832"/>
    <w:rsid w:val="00E76897"/>
    <w:rsid w:val="00E80109"/>
    <w:rsid w:val="00E80D9E"/>
    <w:rsid w:val="00E8166F"/>
    <w:rsid w:val="00E82E9F"/>
    <w:rsid w:val="00E83806"/>
    <w:rsid w:val="00E83CA8"/>
    <w:rsid w:val="00E83F65"/>
    <w:rsid w:val="00E84BBD"/>
    <w:rsid w:val="00E853F6"/>
    <w:rsid w:val="00E86A7F"/>
    <w:rsid w:val="00E86BBD"/>
    <w:rsid w:val="00E87FA7"/>
    <w:rsid w:val="00E91778"/>
    <w:rsid w:val="00E92527"/>
    <w:rsid w:val="00E925A4"/>
    <w:rsid w:val="00E938EB"/>
    <w:rsid w:val="00E94BEB"/>
    <w:rsid w:val="00E9520C"/>
    <w:rsid w:val="00E9529A"/>
    <w:rsid w:val="00E95A4D"/>
    <w:rsid w:val="00E961C5"/>
    <w:rsid w:val="00E96748"/>
    <w:rsid w:val="00E9764A"/>
    <w:rsid w:val="00E97A1D"/>
    <w:rsid w:val="00E97E74"/>
    <w:rsid w:val="00E97E97"/>
    <w:rsid w:val="00EA0455"/>
    <w:rsid w:val="00EA1C1B"/>
    <w:rsid w:val="00EA23B0"/>
    <w:rsid w:val="00EA24A0"/>
    <w:rsid w:val="00EA28BE"/>
    <w:rsid w:val="00EA30A9"/>
    <w:rsid w:val="00EA3A2F"/>
    <w:rsid w:val="00EA45C7"/>
    <w:rsid w:val="00EA5271"/>
    <w:rsid w:val="00EA6262"/>
    <w:rsid w:val="00EA7583"/>
    <w:rsid w:val="00EB0551"/>
    <w:rsid w:val="00EB0909"/>
    <w:rsid w:val="00EB128A"/>
    <w:rsid w:val="00EB1ADB"/>
    <w:rsid w:val="00EB1FA5"/>
    <w:rsid w:val="00EB2747"/>
    <w:rsid w:val="00EB3E52"/>
    <w:rsid w:val="00EB3FE8"/>
    <w:rsid w:val="00EB4270"/>
    <w:rsid w:val="00EB4C46"/>
    <w:rsid w:val="00EB66DF"/>
    <w:rsid w:val="00EB72C9"/>
    <w:rsid w:val="00EB72E9"/>
    <w:rsid w:val="00EB7E9E"/>
    <w:rsid w:val="00EC00C2"/>
    <w:rsid w:val="00EC080E"/>
    <w:rsid w:val="00EC11CA"/>
    <w:rsid w:val="00EC132C"/>
    <w:rsid w:val="00EC14BB"/>
    <w:rsid w:val="00EC1C8F"/>
    <w:rsid w:val="00EC2ABA"/>
    <w:rsid w:val="00EC2CC2"/>
    <w:rsid w:val="00EC318E"/>
    <w:rsid w:val="00EC34A9"/>
    <w:rsid w:val="00EC57A7"/>
    <w:rsid w:val="00EC5BB0"/>
    <w:rsid w:val="00EC5EBA"/>
    <w:rsid w:val="00EC63E9"/>
    <w:rsid w:val="00EC69E3"/>
    <w:rsid w:val="00EC7E93"/>
    <w:rsid w:val="00ED0006"/>
    <w:rsid w:val="00ED1F95"/>
    <w:rsid w:val="00ED248B"/>
    <w:rsid w:val="00ED2ED9"/>
    <w:rsid w:val="00ED303B"/>
    <w:rsid w:val="00ED38BE"/>
    <w:rsid w:val="00ED495D"/>
    <w:rsid w:val="00ED57F0"/>
    <w:rsid w:val="00ED5B8D"/>
    <w:rsid w:val="00ED5D4F"/>
    <w:rsid w:val="00ED5E76"/>
    <w:rsid w:val="00ED6A49"/>
    <w:rsid w:val="00ED707E"/>
    <w:rsid w:val="00EE0497"/>
    <w:rsid w:val="00EE0DFA"/>
    <w:rsid w:val="00EE16BA"/>
    <w:rsid w:val="00EE265D"/>
    <w:rsid w:val="00EE268B"/>
    <w:rsid w:val="00EE2C51"/>
    <w:rsid w:val="00EE2E11"/>
    <w:rsid w:val="00EE3F19"/>
    <w:rsid w:val="00EE4196"/>
    <w:rsid w:val="00EE4AAA"/>
    <w:rsid w:val="00EE4D5A"/>
    <w:rsid w:val="00EE5522"/>
    <w:rsid w:val="00EE569D"/>
    <w:rsid w:val="00EE57E8"/>
    <w:rsid w:val="00EE6239"/>
    <w:rsid w:val="00EE635D"/>
    <w:rsid w:val="00EE6646"/>
    <w:rsid w:val="00EE6A33"/>
    <w:rsid w:val="00EE6B35"/>
    <w:rsid w:val="00EE6EA3"/>
    <w:rsid w:val="00EE7EB9"/>
    <w:rsid w:val="00EE7EE8"/>
    <w:rsid w:val="00EF006B"/>
    <w:rsid w:val="00EF17E0"/>
    <w:rsid w:val="00EF1B64"/>
    <w:rsid w:val="00EF2645"/>
    <w:rsid w:val="00EF2A1C"/>
    <w:rsid w:val="00EF3C77"/>
    <w:rsid w:val="00EF6021"/>
    <w:rsid w:val="00EF627B"/>
    <w:rsid w:val="00EF64CB"/>
    <w:rsid w:val="00EF6552"/>
    <w:rsid w:val="00EF65B2"/>
    <w:rsid w:val="00EF6DF2"/>
    <w:rsid w:val="00EF70C2"/>
    <w:rsid w:val="00EF7F48"/>
    <w:rsid w:val="00F0051A"/>
    <w:rsid w:val="00F00B32"/>
    <w:rsid w:val="00F01508"/>
    <w:rsid w:val="00F01FAE"/>
    <w:rsid w:val="00F029A0"/>
    <w:rsid w:val="00F02D6A"/>
    <w:rsid w:val="00F02EC3"/>
    <w:rsid w:val="00F039F5"/>
    <w:rsid w:val="00F040E4"/>
    <w:rsid w:val="00F04685"/>
    <w:rsid w:val="00F04E74"/>
    <w:rsid w:val="00F056BD"/>
    <w:rsid w:val="00F0623B"/>
    <w:rsid w:val="00F06B4F"/>
    <w:rsid w:val="00F073D1"/>
    <w:rsid w:val="00F0740C"/>
    <w:rsid w:val="00F1047B"/>
    <w:rsid w:val="00F11ADB"/>
    <w:rsid w:val="00F11D40"/>
    <w:rsid w:val="00F132DD"/>
    <w:rsid w:val="00F13379"/>
    <w:rsid w:val="00F14515"/>
    <w:rsid w:val="00F15B7D"/>
    <w:rsid w:val="00F15F09"/>
    <w:rsid w:val="00F17E5D"/>
    <w:rsid w:val="00F17ECE"/>
    <w:rsid w:val="00F17F76"/>
    <w:rsid w:val="00F20394"/>
    <w:rsid w:val="00F20462"/>
    <w:rsid w:val="00F2049B"/>
    <w:rsid w:val="00F218C0"/>
    <w:rsid w:val="00F21FBD"/>
    <w:rsid w:val="00F22EBE"/>
    <w:rsid w:val="00F26B64"/>
    <w:rsid w:val="00F27A59"/>
    <w:rsid w:val="00F27D82"/>
    <w:rsid w:val="00F301A4"/>
    <w:rsid w:val="00F30874"/>
    <w:rsid w:val="00F32565"/>
    <w:rsid w:val="00F32FC9"/>
    <w:rsid w:val="00F3321F"/>
    <w:rsid w:val="00F33C73"/>
    <w:rsid w:val="00F33F6A"/>
    <w:rsid w:val="00F343C0"/>
    <w:rsid w:val="00F36157"/>
    <w:rsid w:val="00F3645F"/>
    <w:rsid w:val="00F36619"/>
    <w:rsid w:val="00F40037"/>
    <w:rsid w:val="00F40E3A"/>
    <w:rsid w:val="00F41016"/>
    <w:rsid w:val="00F4116F"/>
    <w:rsid w:val="00F412BB"/>
    <w:rsid w:val="00F41B4E"/>
    <w:rsid w:val="00F425A9"/>
    <w:rsid w:val="00F42CF4"/>
    <w:rsid w:val="00F4463A"/>
    <w:rsid w:val="00F4484A"/>
    <w:rsid w:val="00F44A71"/>
    <w:rsid w:val="00F44D09"/>
    <w:rsid w:val="00F45673"/>
    <w:rsid w:val="00F45B62"/>
    <w:rsid w:val="00F45BDD"/>
    <w:rsid w:val="00F472B4"/>
    <w:rsid w:val="00F4772E"/>
    <w:rsid w:val="00F5115C"/>
    <w:rsid w:val="00F518FB"/>
    <w:rsid w:val="00F51F0A"/>
    <w:rsid w:val="00F52F19"/>
    <w:rsid w:val="00F554FF"/>
    <w:rsid w:val="00F56E84"/>
    <w:rsid w:val="00F5748F"/>
    <w:rsid w:val="00F57DD1"/>
    <w:rsid w:val="00F57FFB"/>
    <w:rsid w:val="00F60260"/>
    <w:rsid w:val="00F60E11"/>
    <w:rsid w:val="00F61FE7"/>
    <w:rsid w:val="00F62C93"/>
    <w:rsid w:val="00F63193"/>
    <w:rsid w:val="00F64606"/>
    <w:rsid w:val="00F646E4"/>
    <w:rsid w:val="00F65B1C"/>
    <w:rsid w:val="00F65E61"/>
    <w:rsid w:val="00F6672E"/>
    <w:rsid w:val="00F66AD5"/>
    <w:rsid w:val="00F66E7A"/>
    <w:rsid w:val="00F67B58"/>
    <w:rsid w:val="00F713C7"/>
    <w:rsid w:val="00F723D5"/>
    <w:rsid w:val="00F73322"/>
    <w:rsid w:val="00F7396F"/>
    <w:rsid w:val="00F76728"/>
    <w:rsid w:val="00F7689D"/>
    <w:rsid w:val="00F77035"/>
    <w:rsid w:val="00F779BE"/>
    <w:rsid w:val="00F77B5F"/>
    <w:rsid w:val="00F77C9C"/>
    <w:rsid w:val="00F77EA7"/>
    <w:rsid w:val="00F77EB0"/>
    <w:rsid w:val="00F80A55"/>
    <w:rsid w:val="00F813B0"/>
    <w:rsid w:val="00F81D8F"/>
    <w:rsid w:val="00F81EFE"/>
    <w:rsid w:val="00F82389"/>
    <w:rsid w:val="00F824D7"/>
    <w:rsid w:val="00F8290A"/>
    <w:rsid w:val="00F82A13"/>
    <w:rsid w:val="00F82A64"/>
    <w:rsid w:val="00F83D3E"/>
    <w:rsid w:val="00F83EC1"/>
    <w:rsid w:val="00F83EF2"/>
    <w:rsid w:val="00F83F24"/>
    <w:rsid w:val="00F846CC"/>
    <w:rsid w:val="00F84740"/>
    <w:rsid w:val="00F84B82"/>
    <w:rsid w:val="00F84E4F"/>
    <w:rsid w:val="00F84F2B"/>
    <w:rsid w:val="00F852F0"/>
    <w:rsid w:val="00F8557E"/>
    <w:rsid w:val="00F85DAB"/>
    <w:rsid w:val="00F864F6"/>
    <w:rsid w:val="00F87409"/>
    <w:rsid w:val="00F87742"/>
    <w:rsid w:val="00F877A6"/>
    <w:rsid w:val="00F87F55"/>
    <w:rsid w:val="00F90314"/>
    <w:rsid w:val="00F9063A"/>
    <w:rsid w:val="00F9075F"/>
    <w:rsid w:val="00F9077A"/>
    <w:rsid w:val="00F90E39"/>
    <w:rsid w:val="00F91145"/>
    <w:rsid w:val="00F9305F"/>
    <w:rsid w:val="00F930D5"/>
    <w:rsid w:val="00F93459"/>
    <w:rsid w:val="00F93DBE"/>
    <w:rsid w:val="00F94196"/>
    <w:rsid w:val="00F94A36"/>
    <w:rsid w:val="00F9588E"/>
    <w:rsid w:val="00F95A0A"/>
    <w:rsid w:val="00F95A61"/>
    <w:rsid w:val="00F95D85"/>
    <w:rsid w:val="00F96759"/>
    <w:rsid w:val="00F974F4"/>
    <w:rsid w:val="00FA0351"/>
    <w:rsid w:val="00FA10FC"/>
    <w:rsid w:val="00FA16B2"/>
    <w:rsid w:val="00FA192D"/>
    <w:rsid w:val="00FA1957"/>
    <w:rsid w:val="00FA21F0"/>
    <w:rsid w:val="00FA2B5B"/>
    <w:rsid w:val="00FA2EFB"/>
    <w:rsid w:val="00FA300E"/>
    <w:rsid w:val="00FA3811"/>
    <w:rsid w:val="00FA3DB9"/>
    <w:rsid w:val="00FA446E"/>
    <w:rsid w:val="00FA598C"/>
    <w:rsid w:val="00FA5AC3"/>
    <w:rsid w:val="00FA5EDA"/>
    <w:rsid w:val="00FA67E5"/>
    <w:rsid w:val="00FA69A3"/>
    <w:rsid w:val="00FA6C66"/>
    <w:rsid w:val="00FA6FB5"/>
    <w:rsid w:val="00FA7165"/>
    <w:rsid w:val="00FA773A"/>
    <w:rsid w:val="00FA79CF"/>
    <w:rsid w:val="00FA7D90"/>
    <w:rsid w:val="00FB03DF"/>
    <w:rsid w:val="00FB1AE1"/>
    <w:rsid w:val="00FB1F6D"/>
    <w:rsid w:val="00FB2643"/>
    <w:rsid w:val="00FB2729"/>
    <w:rsid w:val="00FB2E20"/>
    <w:rsid w:val="00FB34E8"/>
    <w:rsid w:val="00FB36F6"/>
    <w:rsid w:val="00FB38F1"/>
    <w:rsid w:val="00FB3A74"/>
    <w:rsid w:val="00FB3B53"/>
    <w:rsid w:val="00FB3F5B"/>
    <w:rsid w:val="00FB4021"/>
    <w:rsid w:val="00FB5206"/>
    <w:rsid w:val="00FB5258"/>
    <w:rsid w:val="00FB572B"/>
    <w:rsid w:val="00FB6813"/>
    <w:rsid w:val="00FB6925"/>
    <w:rsid w:val="00FB7A87"/>
    <w:rsid w:val="00FB7BD0"/>
    <w:rsid w:val="00FB7C38"/>
    <w:rsid w:val="00FC036E"/>
    <w:rsid w:val="00FC154B"/>
    <w:rsid w:val="00FC2D43"/>
    <w:rsid w:val="00FC4B44"/>
    <w:rsid w:val="00FC4DCE"/>
    <w:rsid w:val="00FC4FAA"/>
    <w:rsid w:val="00FC58D5"/>
    <w:rsid w:val="00FC5A0A"/>
    <w:rsid w:val="00FC613D"/>
    <w:rsid w:val="00FC6541"/>
    <w:rsid w:val="00FC65BA"/>
    <w:rsid w:val="00FC6B80"/>
    <w:rsid w:val="00FC705F"/>
    <w:rsid w:val="00FC7424"/>
    <w:rsid w:val="00FD0D49"/>
    <w:rsid w:val="00FD1B79"/>
    <w:rsid w:val="00FD1BD4"/>
    <w:rsid w:val="00FD1BF8"/>
    <w:rsid w:val="00FD20E2"/>
    <w:rsid w:val="00FD4BDC"/>
    <w:rsid w:val="00FD515D"/>
    <w:rsid w:val="00FD52B9"/>
    <w:rsid w:val="00FD6051"/>
    <w:rsid w:val="00FD78E4"/>
    <w:rsid w:val="00FE0389"/>
    <w:rsid w:val="00FE0894"/>
    <w:rsid w:val="00FE16DB"/>
    <w:rsid w:val="00FE32FA"/>
    <w:rsid w:val="00FE3BC3"/>
    <w:rsid w:val="00FE4094"/>
    <w:rsid w:val="00FE461B"/>
    <w:rsid w:val="00FE4997"/>
    <w:rsid w:val="00FE4AC1"/>
    <w:rsid w:val="00FE5032"/>
    <w:rsid w:val="00FE51C8"/>
    <w:rsid w:val="00FE5578"/>
    <w:rsid w:val="00FE5B49"/>
    <w:rsid w:val="00FE65C7"/>
    <w:rsid w:val="00FE6834"/>
    <w:rsid w:val="00FE7992"/>
    <w:rsid w:val="00FF00B4"/>
    <w:rsid w:val="00FF12FF"/>
    <w:rsid w:val="00FF16B9"/>
    <w:rsid w:val="00FF2271"/>
    <w:rsid w:val="00FF258C"/>
    <w:rsid w:val="00FF2800"/>
    <w:rsid w:val="00FF3255"/>
    <w:rsid w:val="00FF4505"/>
    <w:rsid w:val="00FF4EF7"/>
    <w:rsid w:val="00FF52A9"/>
    <w:rsid w:val="00FF5B4F"/>
    <w:rsid w:val="00FF6608"/>
    <w:rsid w:val="00FF6FC7"/>
    <w:rsid w:val="00FF706C"/>
    <w:rsid w:val="00FF767D"/>
    <w:rsid w:val="00FF7C71"/>
    <w:rsid w:val="00FF7CE9"/>
    <w:rsid w:val="00FF7E1E"/>
    <w:rsid w:val="00FF7E9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247A8"/>
  <w15:docId w15:val="{D2157150-FE6A-4A7C-9A25-9F9114CC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87742"/>
    <w:pPr>
      <w:tabs>
        <w:tab w:val="left" w:pos="936"/>
        <w:tab w:val="left" w:pos="1560"/>
        <w:tab w:val="left" w:pos="2184"/>
        <w:tab w:val="left" w:pos="2808"/>
      </w:tabs>
      <w:overflowPunct w:val="0"/>
      <w:topLinePunct/>
      <w:adjustRightInd w:val="0"/>
      <w:spacing w:after="360" w:line="360" w:lineRule="atLeast"/>
      <w:jc w:val="both"/>
      <w:textAlignment w:val="baseline"/>
    </w:pPr>
    <w:rPr>
      <w:rFonts w:ascii="Times New Roman" w:eastAsia="華康細明體" w:hAnsi="Times New Roman" w:cs="Times New Roman"/>
      <w:spacing w:val="30"/>
      <w:kern w:val="0"/>
      <w:szCs w:val="20"/>
    </w:rPr>
  </w:style>
  <w:style w:type="paragraph" w:styleId="10">
    <w:name w:val="heading 1"/>
    <w:basedOn w:val="a1"/>
    <w:next w:val="a1"/>
    <w:link w:val="11"/>
    <w:qFormat/>
    <w:rsid w:val="00A5287B"/>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A5287B"/>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A5287B"/>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A5287B"/>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A5287B"/>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uiPriority w:val="9"/>
    <w:qFormat/>
    <w:rsid w:val="00A5287B"/>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basedOn w:val="a3"/>
    <w:link w:val="10"/>
    <w:rsid w:val="00A5287B"/>
    <w:rPr>
      <w:rFonts w:ascii="Arial" w:eastAsia="新細明體" w:hAnsi="Arial" w:cs="Times New Roman"/>
      <w:b/>
      <w:bCs/>
      <w:spacing w:val="30"/>
      <w:kern w:val="52"/>
      <w:sz w:val="52"/>
      <w:szCs w:val="52"/>
    </w:rPr>
  </w:style>
  <w:style w:type="character" w:customStyle="1" w:styleId="20">
    <w:name w:val="標題 2 字元"/>
    <w:basedOn w:val="a3"/>
    <w:link w:val="2"/>
    <w:rsid w:val="00A5287B"/>
    <w:rPr>
      <w:rFonts w:ascii="Times New Roman" w:eastAsia="新細明體" w:hAnsi="Times New Roman" w:cs="Times New Roman"/>
      <w:b/>
      <w:kern w:val="0"/>
      <w:sz w:val="28"/>
      <w:szCs w:val="20"/>
    </w:rPr>
  </w:style>
  <w:style w:type="character" w:customStyle="1" w:styleId="30">
    <w:name w:val="標題 3 字元"/>
    <w:basedOn w:val="a3"/>
    <w:link w:val="3"/>
    <w:uiPriority w:val="9"/>
    <w:rsid w:val="00A5287B"/>
    <w:rPr>
      <w:rFonts w:ascii="Arial" w:eastAsia="細明體" w:hAnsi="Arial" w:cs="Times New Roman"/>
      <w:b/>
      <w:snapToGrid w:val="0"/>
      <w:spacing w:val="30"/>
      <w:kern w:val="0"/>
      <w:sz w:val="36"/>
      <w:szCs w:val="20"/>
    </w:rPr>
  </w:style>
  <w:style w:type="character" w:customStyle="1" w:styleId="40">
    <w:name w:val="標題 4 字元"/>
    <w:basedOn w:val="a3"/>
    <w:link w:val="4"/>
    <w:rsid w:val="00A5287B"/>
    <w:rPr>
      <w:rFonts w:ascii="Times New Roman" w:eastAsia="新細明體" w:hAnsi="Times New Roman" w:cs="Times New Roman"/>
      <w:sz w:val="22"/>
      <w:u w:val="single"/>
      <w:lang w:val="en-GB"/>
    </w:rPr>
  </w:style>
  <w:style w:type="character" w:customStyle="1" w:styleId="50">
    <w:name w:val="標題 5 字元"/>
    <w:basedOn w:val="a3"/>
    <w:link w:val="5"/>
    <w:rsid w:val="00A5287B"/>
    <w:rPr>
      <w:rFonts w:ascii="新細明體" w:eastAsia="新細明體" w:hAnsi="Times New Roman" w:cs="Times New Roman"/>
      <w:sz w:val="21"/>
      <w:szCs w:val="20"/>
      <w:u w:val="single"/>
    </w:rPr>
  </w:style>
  <w:style w:type="character" w:customStyle="1" w:styleId="80">
    <w:name w:val="標題 8 字元"/>
    <w:basedOn w:val="a3"/>
    <w:link w:val="8"/>
    <w:uiPriority w:val="9"/>
    <w:rsid w:val="00A5287B"/>
    <w:rPr>
      <w:rFonts w:ascii="Cambria" w:eastAsia="新細明體" w:hAnsi="Cambria" w:cs="Times New Roman"/>
      <w:spacing w:val="30"/>
      <w:kern w:val="0"/>
      <w:sz w:val="36"/>
      <w:szCs w:val="36"/>
    </w:rPr>
  </w:style>
  <w:style w:type="paragraph" w:customStyle="1" w:styleId="12">
    <w:name w:val="內縮1"/>
    <w:basedOn w:val="a1"/>
    <w:rsid w:val="00A5287B"/>
    <w:pPr>
      <w:ind w:left="1248" w:hanging="624"/>
    </w:pPr>
  </w:style>
  <w:style w:type="paragraph" w:styleId="a6">
    <w:name w:val="footnote text"/>
    <w:basedOn w:val="a1"/>
    <w:link w:val="a7"/>
    <w:uiPriority w:val="99"/>
    <w:rsid w:val="00A5287B"/>
    <w:pPr>
      <w:snapToGrid w:val="0"/>
      <w:spacing w:after="120" w:line="320" w:lineRule="atLeast"/>
      <w:ind w:left="150" w:hangingChars="150" w:hanging="150"/>
      <w:jc w:val="left"/>
    </w:pPr>
    <w:rPr>
      <w:sz w:val="20"/>
    </w:rPr>
  </w:style>
  <w:style w:type="character" w:customStyle="1" w:styleId="a7">
    <w:name w:val="註腳文字 字元"/>
    <w:basedOn w:val="a3"/>
    <w:link w:val="a6"/>
    <w:uiPriority w:val="99"/>
    <w:rsid w:val="00A5287B"/>
    <w:rPr>
      <w:rFonts w:ascii="Times New Roman" w:eastAsia="華康細明體" w:hAnsi="Times New Roman" w:cs="Times New Roman"/>
      <w:spacing w:val="30"/>
      <w:kern w:val="0"/>
      <w:sz w:val="20"/>
      <w:szCs w:val="20"/>
    </w:rPr>
  </w:style>
  <w:style w:type="paragraph" w:customStyle="1" w:styleId="a8">
    <w:name w:val="內縮"/>
    <w:basedOn w:val="a1"/>
    <w:rsid w:val="00A5287B"/>
    <w:pPr>
      <w:ind w:left="624" w:hanging="624"/>
    </w:pPr>
  </w:style>
  <w:style w:type="paragraph" w:customStyle="1" w:styleId="21">
    <w:name w:val="內縮2"/>
    <w:basedOn w:val="a1"/>
    <w:rsid w:val="00A5287B"/>
    <w:pPr>
      <w:ind w:left="1871" w:hanging="624"/>
    </w:pPr>
  </w:style>
  <w:style w:type="paragraph" w:customStyle="1" w:styleId="31">
    <w:name w:val="內縮3"/>
    <w:basedOn w:val="a1"/>
    <w:rsid w:val="00A5287B"/>
    <w:pPr>
      <w:ind w:left="2495" w:hanging="624"/>
    </w:pPr>
  </w:style>
  <w:style w:type="paragraph" w:customStyle="1" w:styleId="a9">
    <w:name w:val="標題分中"/>
    <w:basedOn w:val="a1"/>
    <w:next w:val="a1"/>
    <w:rsid w:val="00A5287B"/>
    <w:pPr>
      <w:jc w:val="center"/>
    </w:pPr>
    <w:rPr>
      <w:rFonts w:eastAsia="華康中黑體"/>
    </w:rPr>
  </w:style>
  <w:style w:type="paragraph" w:customStyle="1" w:styleId="120">
    <w:name w:val="標題12"/>
    <w:basedOn w:val="a1"/>
    <w:next w:val="a1"/>
    <w:link w:val="121"/>
    <w:rsid w:val="00A5287B"/>
    <w:pPr>
      <w:keepNext/>
    </w:pPr>
    <w:rPr>
      <w:rFonts w:eastAsia="華康中黑體"/>
    </w:rPr>
  </w:style>
  <w:style w:type="paragraph" w:customStyle="1" w:styleId="13">
    <w:name w:val="標題13"/>
    <w:basedOn w:val="a1"/>
    <w:next w:val="a1"/>
    <w:rsid w:val="00A5287B"/>
    <w:pPr>
      <w:keepNext/>
    </w:pPr>
    <w:rPr>
      <w:rFonts w:eastAsia="華康中黑體"/>
      <w:sz w:val="26"/>
    </w:rPr>
  </w:style>
  <w:style w:type="paragraph" w:customStyle="1" w:styleId="14">
    <w:name w:val="標題14"/>
    <w:basedOn w:val="a1"/>
    <w:next w:val="a1"/>
    <w:rsid w:val="00A5287B"/>
    <w:pPr>
      <w:keepNext/>
    </w:pPr>
    <w:rPr>
      <w:rFonts w:eastAsia="華康中黑體"/>
      <w:sz w:val="28"/>
    </w:rPr>
  </w:style>
  <w:style w:type="paragraph" w:customStyle="1" w:styleId="a">
    <w:name w:val="圓點"/>
    <w:basedOn w:val="a1"/>
    <w:link w:val="aa"/>
    <w:qFormat/>
    <w:rsid w:val="00A5287B"/>
    <w:pPr>
      <w:numPr>
        <w:numId w:val="1"/>
      </w:numPr>
    </w:pPr>
  </w:style>
  <w:style w:type="paragraph" w:customStyle="1" w:styleId="1">
    <w:name w:val="圓點1"/>
    <w:basedOn w:val="12"/>
    <w:rsid w:val="00A5287B"/>
    <w:pPr>
      <w:numPr>
        <w:numId w:val="2"/>
      </w:numPr>
      <w:tabs>
        <w:tab w:val="clear" w:pos="425"/>
      </w:tabs>
      <w:ind w:left="1248" w:hanging="624"/>
    </w:pPr>
  </w:style>
  <w:style w:type="paragraph" w:styleId="ab">
    <w:name w:val="footer"/>
    <w:basedOn w:val="a1"/>
    <w:link w:val="ac"/>
    <w:rsid w:val="00A5287B"/>
    <w:pPr>
      <w:tabs>
        <w:tab w:val="center" w:pos="4153"/>
        <w:tab w:val="right" w:pos="9072"/>
      </w:tabs>
      <w:spacing w:after="0"/>
    </w:pPr>
    <w:rPr>
      <w:sz w:val="16"/>
    </w:rPr>
  </w:style>
  <w:style w:type="character" w:customStyle="1" w:styleId="ac">
    <w:name w:val="頁尾 字元"/>
    <w:basedOn w:val="a3"/>
    <w:link w:val="ab"/>
    <w:rsid w:val="00A5287B"/>
    <w:rPr>
      <w:rFonts w:ascii="Times New Roman" w:eastAsia="華康細明體" w:hAnsi="Times New Roman" w:cs="Times New Roman"/>
      <w:spacing w:val="30"/>
      <w:kern w:val="0"/>
      <w:sz w:val="16"/>
      <w:szCs w:val="20"/>
    </w:rPr>
  </w:style>
  <w:style w:type="paragraph" w:styleId="ad">
    <w:name w:val="header"/>
    <w:basedOn w:val="a1"/>
    <w:link w:val="ae"/>
    <w:rsid w:val="00A5287B"/>
    <w:pPr>
      <w:tabs>
        <w:tab w:val="clear" w:pos="936"/>
        <w:tab w:val="clear" w:pos="1560"/>
        <w:tab w:val="clear" w:pos="2184"/>
        <w:tab w:val="clear" w:pos="2808"/>
        <w:tab w:val="center" w:pos="4153"/>
        <w:tab w:val="right" w:pos="8306"/>
      </w:tabs>
      <w:spacing w:after="0"/>
    </w:pPr>
    <w:rPr>
      <w:sz w:val="20"/>
    </w:rPr>
  </w:style>
  <w:style w:type="character" w:customStyle="1" w:styleId="ae">
    <w:name w:val="頁首 字元"/>
    <w:basedOn w:val="a3"/>
    <w:link w:val="ad"/>
    <w:rsid w:val="00A5287B"/>
    <w:rPr>
      <w:rFonts w:ascii="Times New Roman" w:eastAsia="華康細明體" w:hAnsi="Times New Roman" w:cs="Times New Roman"/>
      <w:spacing w:val="30"/>
      <w:kern w:val="0"/>
      <w:sz w:val="20"/>
      <w:szCs w:val="20"/>
    </w:rPr>
  </w:style>
  <w:style w:type="character" w:styleId="af">
    <w:name w:val="page number"/>
    <w:rsid w:val="00A5287B"/>
    <w:rPr>
      <w:rFonts w:ascii="Times New Roman"/>
      <w:spacing w:val="10"/>
      <w:position w:val="0"/>
    </w:rPr>
  </w:style>
  <w:style w:type="paragraph" w:styleId="af0">
    <w:name w:val="Signature"/>
    <w:basedOn w:val="a1"/>
    <w:link w:val="af1"/>
    <w:semiHidden/>
    <w:rsid w:val="00A5287B"/>
    <w:pPr>
      <w:ind w:left="4320"/>
    </w:pPr>
  </w:style>
  <w:style w:type="character" w:customStyle="1" w:styleId="af1">
    <w:name w:val="簽名 字元"/>
    <w:basedOn w:val="a3"/>
    <w:link w:val="af0"/>
    <w:semiHidden/>
    <w:rsid w:val="00A5287B"/>
    <w:rPr>
      <w:rFonts w:ascii="Times New Roman" w:eastAsia="華康細明體" w:hAnsi="Times New Roman" w:cs="Times New Roman"/>
      <w:spacing w:val="30"/>
      <w:kern w:val="0"/>
      <w:szCs w:val="20"/>
    </w:rPr>
  </w:style>
  <w:style w:type="character" w:styleId="af2">
    <w:name w:val="footnote reference"/>
    <w:uiPriority w:val="99"/>
    <w:rsid w:val="00A5287B"/>
    <w:rPr>
      <w:vertAlign w:val="superscript"/>
    </w:rPr>
  </w:style>
  <w:style w:type="paragraph" w:customStyle="1" w:styleId="a0">
    <w:name w:val="圓點_斜體"/>
    <w:basedOn w:val="a1"/>
    <w:link w:val="af3"/>
    <w:qFormat/>
    <w:rsid w:val="00A5287B"/>
    <w:pPr>
      <w:numPr>
        <w:numId w:val="3"/>
      </w:numPr>
      <w:autoSpaceDE w:val="0"/>
      <w:autoSpaceDN w:val="0"/>
    </w:pPr>
    <w:rPr>
      <w:i/>
    </w:rPr>
  </w:style>
  <w:style w:type="paragraph" w:customStyle="1" w:styleId="122">
    <w:name w:val="表標題12"/>
    <w:basedOn w:val="a1"/>
    <w:next w:val="10"/>
    <w:rsid w:val="00A5287B"/>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4">
    <w:name w:val="內文_底標題"/>
    <w:basedOn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5">
    <w:name w:val="內文_斜標題"/>
    <w:basedOn w:val="a1"/>
    <w:next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A5287B"/>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A5287B"/>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A5287B"/>
    <w:pPr>
      <w:ind w:left="680" w:hanging="567"/>
    </w:pPr>
  </w:style>
  <w:style w:type="paragraph" w:customStyle="1" w:styleId="BOX2">
    <w:name w:val="BOX_表內文"/>
    <w:basedOn w:val="BOX"/>
    <w:link w:val="BOX3"/>
    <w:rsid w:val="00A5287B"/>
    <w:pPr>
      <w:spacing w:before="60" w:after="60"/>
    </w:pPr>
    <w:rPr>
      <w:spacing w:val="0"/>
      <w:sz w:val="18"/>
    </w:rPr>
  </w:style>
  <w:style w:type="paragraph" w:customStyle="1" w:styleId="BOX4">
    <w:name w:val="BOX_註"/>
    <w:basedOn w:val="BOX"/>
    <w:rsid w:val="00A5287B"/>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A5287B"/>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A5287B"/>
    <w:pPr>
      <w:ind w:left="113" w:firstLine="0"/>
      <w:jc w:val="center"/>
    </w:pPr>
    <w:rPr>
      <w:spacing w:val="10"/>
      <w:sz w:val="18"/>
    </w:rPr>
  </w:style>
  <w:style w:type="paragraph" w:customStyle="1" w:styleId="BOX6">
    <w:name w:val="BOX_標題分中"/>
    <w:basedOn w:val="a9"/>
    <w:next w:val="BOX"/>
    <w:rsid w:val="00A5287B"/>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A5287B"/>
    <w:pPr>
      <w:pageBreakBefore/>
      <w:spacing w:after="240"/>
      <w:ind w:leftChars="20" w:left="60" w:rightChars="20" w:right="60"/>
    </w:pPr>
    <w:rPr>
      <w:rFonts w:ascii="Times New Roman" w:eastAsia="華康中黑體" w:hAnsi="Times New Roman" w:cs="Times New Roman"/>
      <w:b/>
      <w:noProof/>
      <w:spacing w:val="20"/>
      <w:kern w:val="0"/>
      <w:szCs w:val="20"/>
      <w:u w:color="0000FF"/>
    </w:rPr>
  </w:style>
  <w:style w:type="paragraph" w:styleId="af6">
    <w:name w:val="Balloon Text"/>
    <w:basedOn w:val="a1"/>
    <w:link w:val="af7"/>
    <w:uiPriority w:val="99"/>
    <w:semiHidden/>
    <w:rsid w:val="00A5287B"/>
    <w:rPr>
      <w:rFonts w:ascii="Arial" w:eastAsia="新細明體" w:hAnsi="Arial"/>
      <w:sz w:val="18"/>
      <w:szCs w:val="18"/>
    </w:rPr>
  </w:style>
  <w:style w:type="character" w:customStyle="1" w:styleId="af7">
    <w:name w:val="註解方塊文字 字元"/>
    <w:basedOn w:val="a3"/>
    <w:link w:val="af6"/>
    <w:uiPriority w:val="99"/>
    <w:semiHidden/>
    <w:rsid w:val="00A5287B"/>
    <w:rPr>
      <w:rFonts w:ascii="Arial" w:eastAsia="新細明體" w:hAnsi="Arial" w:cs="Times New Roman"/>
      <w:spacing w:val="30"/>
      <w:kern w:val="0"/>
      <w:sz w:val="18"/>
      <w:szCs w:val="18"/>
    </w:rPr>
  </w:style>
  <w:style w:type="paragraph" w:styleId="a2">
    <w:name w:val="Normal Indent"/>
    <w:basedOn w:val="a1"/>
    <w:rsid w:val="00A5287B"/>
    <w:pPr>
      <w:tabs>
        <w:tab w:val="clear" w:pos="1560"/>
        <w:tab w:val="clear" w:pos="2184"/>
        <w:tab w:val="clear" w:pos="2808"/>
        <w:tab w:val="left" w:pos="1559"/>
        <w:tab w:val="left" w:pos="2183"/>
        <w:tab w:val="left" w:pos="2807"/>
      </w:tabs>
      <w:ind w:left="936" w:hanging="936"/>
    </w:pPr>
    <w:rPr>
      <w:snapToGrid w:val="0"/>
      <w:sz w:val="22"/>
    </w:rPr>
  </w:style>
  <w:style w:type="paragraph" w:styleId="af8">
    <w:name w:val="Body Text Indent"/>
    <w:basedOn w:val="a1"/>
    <w:link w:val="af9"/>
    <w:rsid w:val="00A5287B"/>
    <w:pPr>
      <w:widowControl w:val="0"/>
      <w:adjustRightInd/>
      <w:spacing w:after="0" w:line="240" w:lineRule="auto"/>
      <w:ind w:left="900" w:firstLine="36"/>
      <w:jc w:val="left"/>
      <w:textAlignment w:val="auto"/>
    </w:pPr>
    <w:rPr>
      <w:rFonts w:eastAsia="新細明體"/>
      <w:spacing w:val="0"/>
      <w:kern w:val="2"/>
      <w:sz w:val="28"/>
      <w:szCs w:val="24"/>
    </w:rPr>
  </w:style>
  <w:style w:type="character" w:customStyle="1" w:styleId="af9">
    <w:name w:val="本文縮排 字元"/>
    <w:basedOn w:val="a3"/>
    <w:link w:val="af8"/>
    <w:rsid w:val="00A5287B"/>
    <w:rPr>
      <w:rFonts w:ascii="Times New Roman" w:eastAsia="新細明體" w:hAnsi="Times New Roman" w:cs="Times New Roman"/>
      <w:sz w:val="28"/>
      <w:szCs w:val="24"/>
    </w:rPr>
  </w:style>
  <w:style w:type="paragraph" w:customStyle="1" w:styleId="124">
    <w:name w:val="標題12_斜"/>
    <w:basedOn w:val="120"/>
    <w:rsid w:val="00A5287B"/>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a">
    <w:name w:val="表內標題"/>
    <w:basedOn w:val="a1"/>
    <w:rsid w:val="00A5287B"/>
    <w:pPr>
      <w:keepNext/>
      <w:widowControl w:val="0"/>
      <w:jc w:val="center"/>
    </w:pPr>
    <w:rPr>
      <w:rFonts w:eastAsia="華康中黑體"/>
      <w:snapToGrid w:val="0"/>
    </w:rPr>
  </w:style>
  <w:style w:type="paragraph" w:styleId="afb">
    <w:name w:val="endnote text"/>
    <w:basedOn w:val="a1"/>
    <w:link w:val="afc"/>
    <w:semiHidden/>
    <w:rsid w:val="00A5287B"/>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customStyle="1" w:styleId="afc">
    <w:name w:val="章節附註文字 字元"/>
    <w:basedOn w:val="a3"/>
    <w:link w:val="afb"/>
    <w:semiHidden/>
    <w:rsid w:val="00A5287B"/>
    <w:rPr>
      <w:rFonts w:ascii="Times New Roman" w:eastAsia="華康細明體" w:hAnsi="Times New Roman" w:cs="Times New Roman"/>
      <w:snapToGrid w:val="0"/>
      <w:spacing w:val="20"/>
      <w:sz w:val="28"/>
      <w:szCs w:val="20"/>
    </w:rPr>
  </w:style>
  <w:style w:type="character" w:styleId="afd">
    <w:name w:val="endnote reference"/>
    <w:uiPriority w:val="99"/>
    <w:semiHidden/>
    <w:rsid w:val="00A5287B"/>
    <w:rPr>
      <w:vertAlign w:val="superscript"/>
    </w:rPr>
  </w:style>
  <w:style w:type="paragraph" w:customStyle="1" w:styleId="afe">
    <w:name w:val="註釋內文"/>
    <w:basedOn w:val="a2"/>
    <w:rsid w:val="00A5287B"/>
    <w:pPr>
      <w:keepLines/>
      <w:snapToGrid w:val="0"/>
    </w:pPr>
    <w:rPr>
      <w:snapToGrid/>
    </w:rPr>
  </w:style>
  <w:style w:type="paragraph" w:customStyle="1" w:styleId="22">
    <w:name w:val="註釋內文2"/>
    <w:basedOn w:val="12"/>
    <w:rsid w:val="00A5287B"/>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f">
    <w:name w:val="資料來源"/>
    <w:basedOn w:val="a6"/>
    <w:rsid w:val="00A5287B"/>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A5287B"/>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A5287B"/>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0">
    <w:name w:val="annotation text"/>
    <w:basedOn w:val="a1"/>
    <w:link w:val="aff1"/>
    <w:uiPriority w:val="99"/>
    <w:semiHidden/>
    <w:rsid w:val="00A5287B"/>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character" w:customStyle="1" w:styleId="aff1">
    <w:name w:val="註解文字 字元"/>
    <w:basedOn w:val="a3"/>
    <w:link w:val="aff0"/>
    <w:uiPriority w:val="99"/>
    <w:semiHidden/>
    <w:rsid w:val="00A5287B"/>
    <w:rPr>
      <w:rFonts w:ascii="Times New Roman" w:eastAsia="新細明體" w:hAnsi="Times New Roman" w:cs="Times New Roman"/>
      <w:szCs w:val="20"/>
    </w:rPr>
  </w:style>
  <w:style w:type="paragraph" w:customStyle="1" w:styleId="150">
    <w:name w:val="標題15_分中"/>
    <w:basedOn w:val="a1"/>
    <w:next w:val="a1"/>
    <w:rsid w:val="00A5287B"/>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2">
    <w:name w:val="圓點a"/>
    <w:basedOn w:val="a"/>
    <w:rsid w:val="00A5287B"/>
    <w:pPr>
      <w:ind w:leftChars="150" w:left="936" w:hangingChars="162" w:hanging="486"/>
    </w:pPr>
  </w:style>
  <w:style w:type="paragraph" w:styleId="aff3">
    <w:name w:val="List Bullet"/>
    <w:basedOn w:val="a1"/>
    <w:autoRedefine/>
    <w:semiHidden/>
    <w:rsid w:val="00A5287B"/>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4">
    <w:name w:val="FollowedHyperlink"/>
    <w:semiHidden/>
    <w:rsid w:val="00A5287B"/>
    <w:rPr>
      <w:color w:val="800080"/>
      <w:u w:val="single"/>
    </w:rPr>
  </w:style>
  <w:style w:type="paragraph" w:customStyle="1" w:styleId="BOX11">
    <w:name w:val="BOX_標題11"/>
    <w:basedOn w:val="BOX12"/>
    <w:rsid w:val="00A5287B"/>
    <w:rPr>
      <w:sz w:val="22"/>
    </w:rPr>
  </w:style>
  <w:style w:type="paragraph" w:styleId="Web">
    <w:name w:val="Normal (Web)"/>
    <w:basedOn w:val="a1"/>
    <w:uiPriority w:val="99"/>
    <w:semiHidden/>
    <w:rsid w:val="00A5287B"/>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A5287B"/>
    <w:pPr>
      <w:tabs>
        <w:tab w:val="clear" w:pos="1531"/>
      </w:tabs>
      <w:spacing w:beforeLines="100" w:after="240"/>
      <w:ind w:left="397" w:right="113" w:hanging="284"/>
    </w:pPr>
  </w:style>
  <w:style w:type="paragraph" w:customStyle="1" w:styleId="110">
    <w:name w:val="標題_圖(11)"/>
    <w:basedOn w:val="120"/>
    <w:qFormat/>
    <w:rsid w:val="00A5287B"/>
    <w:pPr>
      <w:keepNext w:val="0"/>
      <w:snapToGrid w:val="0"/>
      <w:spacing w:after="0" w:line="240" w:lineRule="auto"/>
      <w:jc w:val="center"/>
    </w:pPr>
    <w:rPr>
      <w:spacing w:val="20"/>
      <w:sz w:val="22"/>
      <w:szCs w:val="22"/>
    </w:rPr>
  </w:style>
  <w:style w:type="table" w:styleId="aff5">
    <w:name w:val="Table Grid"/>
    <w:basedOn w:val="a4"/>
    <w:uiPriority w:val="59"/>
    <w:qFormat/>
    <w:rsid w:val="00A5287B"/>
    <w:rPr>
      <w:rFonts w:ascii="Times New Roman" w:eastAsia="細明體"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6">
    <w:name w:val="List Paragraph"/>
    <w:basedOn w:val="a1"/>
    <w:uiPriority w:val="34"/>
    <w:qFormat/>
    <w:rsid w:val="00A5287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A5287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A5287B"/>
    <w:pPr>
      <w:ind w:left="2665" w:hanging="2552"/>
    </w:pPr>
  </w:style>
  <w:style w:type="paragraph" w:styleId="aff8">
    <w:name w:val="Title"/>
    <w:basedOn w:val="a1"/>
    <w:link w:val="aff9"/>
    <w:qFormat/>
    <w:rsid w:val="00A5287B"/>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basedOn w:val="a3"/>
    <w:link w:val="aff8"/>
    <w:rsid w:val="00A5287B"/>
    <w:rPr>
      <w:rFonts w:ascii="Times New Roman" w:eastAsia="新細明體" w:hAnsi="Times New Roman" w:cs="Times New Roman"/>
      <w:b/>
      <w:kern w:val="0"/>
      <w:sz w:val="28"/>
      <w:szCs w:val="24"/>
      <w:lang w:val="en-GB"/>
    </w:rPr>
  </w:style>
  <w:style w:type="paragraph" w:styleId="affa">
    <w:name w:val="Revision"/>
    <w:hidden/>
    <w:uiPriority w:val="99"/>
    <w:semiHidden/>
    <w:rsid w:val="00A5287B"/>
    <w:rPr>
      <w:rFonts w:ascii="Times New Roman" w:eastAsia="華康細明體" w:hAnsi="Times New Roman" w:cs="Times New Roman"/>
      <w:spacing w:val="30"/>
      <w:kern w:val="0"/>
      <w:szCs w:val="20"/>
    </w:rPr>
  </w:style>
  <w:style w:type="paragraph" w:customStyle="1" w:styleId="16">
    <w:name w:val="樣式1"/>
    <w:basedOn w:val="a1"/>
    <w:rsid w:val="00A5287B"/>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paragraph" w:customStyle="1" w:styleId="affb">
    <w:name w:val="內文_表"/>
    <w:basedOn w:val="a1"/>
    <w:qFormat/>
    <w:rsid w:val="00A5287B"/>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c">
    <w:name w:val="內文_表(中)"/>
    <w:basedOn w:val="a1"/>
    <w:qFormat/>
    <w:rsid w:val="00A5287B"/>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A5287B"/>
    <w:pPr>
      <w:tabs>
        <w:tab w:val="left" w:pos="720"/>
      </w:tabs>
      <w:snapToGrid w:val="0"/>
      <w:spacing w:beforeLines="50"/>
      <w:ind w:left="1315" w:hanging="1247"/>
      <w:jc w:val="both"/>
    </w:pPr>
    <w:rPr>
      <w:rFonts w:ascii="Times New Roman" w:eastAsia="華康細明體" w:hAnsi="Times New Roman" w:cs="Times New Roman"/>
      <w:snapToGrid w:val="0"/>
      <w:spacing w:val="30"/>
      <w:kern w:val="0"/>
      <w:sz w:val="18"/>
      <w:szCs w:val="18"/>
    </w:rPr>
  </w:style>
  <w:style w:type="paragraph" w:customStyle="1" w:styleId="9">
    <w:name w:val="內文_表(9)"/>
    <w:basedOn w:val="affb"/>
    <w:qFormat/>
    <w:rsid w:val="00A5287B"/>
    <w:rPr>
      <w:sz w:val="18"/>
      <w:szCs w:val="18"/>
    </w:rPr>
  </w:style>
  <w:style w:type="paragraph" w:styleId="afff">
    <w:name w:val="Body Text"/>
    <w:basedOn w:val="a1"/>
    <w:link w:val="afff0"/>
    <w:rsid w:val="00A5287B"/>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basedOn w:val="a3"/>
    <w:link w:val="afff"/>
    <w:rsid w:val="00A5287B"/>
    <w:rPr>
      <w:rFonts w:ascii="Times New Roman" w:eastAsia="新細明體" w:hAnsi="Times New Roman" w:cs="Times New Roman"/>
      <w:color w:val="000000"/>
      <w:szCs w:val="20"/>
    </w:rPr>
  </w:style>
  <w:style w:type="paragraph" w:styleId="afff1">
    <w:name w:val="Subtitle"/>
    <w:basedOn w:val="a1"/>
    <w:link w:val="afff2"/>
    <w:qFormat/>
    <w:rsid w:val="00A5287B"/>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basedOn w:val="a3"/>
    <w:link w:val="afff1"/>
    <w:rsid w:val="00A5287B"/>
    <w:rPr>
      <w:rFonts w:ascii="Times New Roman" w:eastAsia="新細明體" w:hAnsi="Times New Roman" w:cs="Times New Roman"/>
      <w:b/>
      <w:sz w:val="28"/>
      <w:szCs w:val="20"/>
    </w:rPr>
  </w:style>
  <w:style w:type="paragraph" w:customStyle="1" w:styleId="100">
    <w:name w:val="表10"/>
    <w:basedOn w:val="a1"/>
    <w:rsid w:val="00A5287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A5287B"/>
    <w:pPr>
      <w:keepNext/>
    </w:pPr>
    <w:rPr>
      <w:sz w:val="20"/>
      <w:szCs w:val="20"/>
    </w:rPr>
  </w:style>
  <w:style w:type="paragraph" w:customStyle="1" w:styleId="afff3">
    <w:name w:val="註"/>
    <w:basedOn w:val="a6"/>
    <w:rsid w:val="00A5287B"/>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paragraph" w:customStyle="1" w:styleId="17">
    <w:name w:val="表格內文1"/>
    <w:basedOn w:val="a1"/>
    <w:rsid w:val="00A5287B"/>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A5287B"/>
    <w:pPr>
      <w:ind w:left="1247"/>
    </w:pPr>
  </w:style>
  <w:style w:type="character" w:customStyle="1" w:styleId="affe">
    <w:name w:val="內文_表註 字元"/>
    <w:link w:val="affd"/>
    <w:rsid w:val="00A5287B"/>
    <w:rPr>
      <w:rFonts w:ascii="Times New Roman" w:eastAsia="華康細明體" w:hAnsi="Times New Roman" w:cs="Times New Roman"/>
      <w:snapToGrid w:val="0"/>
      <w:spacing w:val="30"/>
      <w:kern w:val="0"/>
      <w:sz w:val="18"/>
      <w:szCs w:val="18"/>
    </w:rPr>
  </w:style>
  <w:style w:type="character" w:customStyle="1" w:styleId="BOX3">
    <w:name w:val="BOX_表內文 字元"/>
    <w:link w:val="BOX2"/>
    <w:rsid w:val="00A5287B"/>
    <w:rPr>
      <w:rFonts w:ascii="Times New Roman" w:eastAsia="華康細明體" w:hAnsi="Times New Roman" w:cs="Times New Roman"/>
      <w:snapToGrid w:val="0"/>
      <w:kern w:val="0"/>
      <w:sz w:val="18"/>
      <w:szCs w:val="20"/>
    </w:rPr>
  </w:style>
  <w:style w:type="paragraph" w:styleId="23">
    <w:name w:val="Body Text 2"/>
    <w:basedOn w:val="a1"/>
    <w:link w:val="24"/>
    <w:rsid w:val="00A5287B"/>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basedOn w:val="a3"/>
    <w:link w:val="23"/>
    <w:rsid w:val="00A5287B"/>
    <w:rPr>
      <w:rFonts w:ascii="Times New Roman" w:eastAsia="新細明體" w:hAnsi="Times New Roman" w:cs="Times New Roman"/>
      <w:szCs w:val="20"/>
    </w:rPr>
  </w:style>
  <w:style w:type="paragraph" w:customStyle="1" w:styleId="CharChar">
    <w:name w:val="Char Char"/>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A5287B"/>
    <w:rPr>
      <w:sz w:val="18"/>
      <w:szCs w:val="18"/>
    </w:rPr>
  </w:style>
  <w:style w:type="paragraph" w:customStyle="1" w:styleId="afff5">
    <w:name w:val="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A5287B"/>
    <w:rPr>
      <w:rFonts w:ascii="Times New Roman" w:eastAsia="華康細明體" w:hAnsi="Times New Roman" w:cs="Times New Roman"/>
      <w:snapToGrid w:val="0"/>
      <w:spacing w:val="20"/>
      <w:kern w:val="0"/>
      <w:sz w:val="22"/>
      <w:szCs w:val="20"/>
    </w:rPr>
  </w:style>
  <w:style w:type="paragraph" w:customStyle="1" w:styleId="Default">
    <w:name w:val="Default"/>
    <w:rsid w:val="00A5287B"/>
    <w:pPr>
      <w:widowControl w:val="0"/>
      <w:autoSpaceDE w:val="0"/>
      <w:autoSpaceDN w:val="0"/>
      <w:adjustRightInd w:val="0"/>
    </w:pPr>
    <w:rPr>
      <w:rFonts w:ascii="新細明體.." w:eastAsia="新細明體.." w:hAnsi="Calibri" w:cs="新細明體.."/>
      <w:color w:val="000000"/>
      <w:kern w:val="0"/>
      <w:szCs w:val="24"/>
    </w:rPr>
  </w:style>
  <w:style w:type="paragraph" w:customStyle="1" w:styleId="Char">
    <w:name w:val="Char 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af3">
    <w:name w:val="圓點_斜體 字元"/>
    <w:link w:val="a0"/>
    <w:rsid w:val="00A5287B"/>
    <w:rPr>
      <w:rFonts w:ascii="Times New Roman" w:eastAsia="華康細明體" w:hAnsi="Times New Roman" w:cs="Times New Roman"/>
      <w:i/>
      <w:spacing w:val="30"/>
      <w:kern w:val="0"/>
      <w:szCs w:val="20"/>
    </w:rPr>
  </w:style>
  <w:style w:type="character" w:customStyle="1" w:styleId="aa">
    <w:name w:val="圓點 字元"/>
    <w:link w:val="a"/>
    <w:rsid w:val="00A5287B"/>
    <w:rPr>
      <w:rFonts w:ascii="Times New Roman" w:eastAsia="華康細明體" w:hAnsi="Times New Roman" w:cs="Times New Roman"/>
      <w:spacing w:val="30"/>
      <w:kern w:val="0"/>
      <w:szCs w:val="20"/>
    </w:rPr>
  </w:style>
  <w:style w:type="paragraph" w:customStyle="1" w:styleId="BOX100">
    <w:name w:val="BOX_註(10)"/>
    <w:basedOn w:val="BOX4"/>
    <w:rsid w:val="00A5287B"/>
    <w:pPr>
      <w:tabs>
        <w:tab w:val="clear" w:pos="1531"/>
      </w:tabs>
      <w:spacing w:after="0"/>
      <w:ind w:left="680" w:right="113" w:hanging="567"/>
    </w:pPr>
    <w:rPr>
      <w:kern w:val="2"/>
    </w:rPr>
  </w:style>
  <w:style w:type="character" w:styleId="afff6">
    <w:name w:val="Hyperlink"/>
    <w:uiPriority w:val="99"/>
    <w:unhideWhenUsed/>
    <w:rsid w:val="00A5287B"/>
    <w:rPr>
      <w:color w:val="0000FF"/>
      <w:u w:val="single"/>
    </w:rPr>
  </w:style>
  <w:style w:type="paragraph" w:customStyle="1" w:styleId="BOX9">
    <w:name w:val="BOX_圖"/>
    <w:basedOn w:val="a1"/>
    <w:qFormat/>
    <w:rsid w:val="00A5287B"/>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st1">
    <w:name w:val="st1"/>
    <w:basedOn w:val="a3"/>
    <w:rsid w:val="00A5287B"/>
  </w:style>
  <w:style w:type="paragraph" w:customStyle="1" w:styleId="afff7">
    <w:name w:val="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paragraph" w:customStyle="1" w:styleId="afff8">
    <w:name w:val="內文_圖文字"/>
    <w:qFormat/>
    <w:rsid w:val="00A5287B"/>
    <w:pPr>
      <w:snapToGrid w:val="0"/>
    </w:pPr>
    <w:rPr>
      <w:rFonts w:ascii="Times New Roman" w:eastAsia="華康細明體" w:hAnsi="Times New Roman" w:cs="Times New Roman"/>
      <w:kern w:val="0"/>
      <w:sz w:val="16"/>
      <w:szCs w:val="16"/>
    </w:rPr>
  </w:style>
  <w:style w:type="character" w:styleId="afff9">
    <w:name w:val="Emphasis"/>
    <w:basedOn w:val="a3"/>
    <w:uiPriority w:val="20"/>
    <w:qFormat/>
    <w:rsid w:val="00B42E68"/>
    <w:rPr>
      <w:b w:val="0"/>
      <w:bCs w:val="0"/>
      <w:i w:val="0"/>
      <w:iCs w:val="0"/>
      <w:color w:val="DD4B39"/>
    </w:rPr>
  </w:style>
  <w:style w:type="paragraph" w:customStyle="1" w:styleId="afffa">
    <w:name w:val="標題_表"/>
    <w:basedOn w:val="a9"/>
    <w:qFormat/>
    <w:rsid w:val="00C2275A"/>
    <w:pPr>
      <w:keepNext/>
      <w:spacing w:after="120"/>
    </w:pPr>
  </w:style>
  <w:style w:type="paragraph" w:styleId="afffb">
    <w:name w:val="annotation subject"/>
    <w:basedOn w:val="aff0"/>
    <w:next w:val="aff0"/>
    <w:link w:val="afffc"/>
    <w:uiPriority w:val="99"/>
    <w:semiHidden/>
    <w:unhideWhenUsed/>
    <w:rsid w:val="00C644A6"/>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1"/>
    <w:link w:val="afffb"/>
    <w:uiPriority w:val="99"/>
    <w:semiHidden/>
    <w:rsid w:val="00C644A6"/>
    <w:rPr>
      <w:rFonts w:ascii="Times New Roman" w:eastAsia="華康細明體" w:hAnsi="Times New Roman" w:cs="Times New Roman"/>
      <w:b/>
      <w:bCs/>
      <w:spacing w:val="30"/>
      <w:kern w:val="0"/>
      <w:szCs w:val="20"/>
    </w:rPr>
  </w:style>
  <w:style w:type="paragraph" w:customStyle="1" w:styleId="BOX90">
    <w:name w:val="BOX_註(9)"/>
    <w:basedOn w:val="BOX4"/>
    <w:rsid w:val="008E7C33"/>
    <w:pPr>
      <w:tabs>
        <w:tab w:val="clear" w:pos="630"/>
        <w:tab w:val="clear" w:pos="964"/>
        <w:tab w:val="clear" w:pos="1531"/>
      </w:tabs>
      <w:overflowPunct/>
      <w:snapToGrid w:val="0"/>
      <w:spacing w:after="0"/>
      <w:ind w:left="680" w:right="113" w:hanging="567"/>
    </w:pPr>
    <w:rPr>
      <w:snapToGrid/>
      <w:kern w:val="2"/>
    </w:rPr>
  </w:style>
  <w:style w:type="paragraph" w:customStyle="1" w:styleId="BOXa">
    <w:name w:val="BOX_註、資料來源"/>
    <w:basedOn w:val="BOX8"/>
    <w:qFormat/>
    <w:rsid w:val="000307ED"/>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paragraph" w:customStyle="1" w:styleId="afffd">
    <w:name w:val="內文_縮排"/>
    <w:basedOn w:val="a1"/>
    <w:qFormat/>
    <w:rsid w:val="004B04E2"/>
    <w:pPr>
      <w:ind w:left="936" w:hanging="936"/>
    </w:pPr>
    <w:rPr>
      <w:color w:val="000000"/>
    </w:rPr>
  </w:style>
  <w:style w:type="paragraph" w:customStyle="1" w:styleId="BOXE">
    <w:name w:val="BOX_E內縮"/>
    <w:basedOn w:val="a1"/>
    <w:rsid w:val="0035774A"/>
    <w:pPr>
      <w:tabs>
        <w:tab w:val="left" w:pos="907"/>
      </w:tabs>
      <w:overflowPunct/>
      <w:spacing w:after="60" w:line="240" w:lineRule="auto"/>
      <w:ind w:left="680" w:right="113" w:hanging="567"/>
    </w:pPr>
    <w:rPr>
      <w:snapToGrid w:val="0"/>
      <w:spacing w:val="0"/>
      <w:sz w:val="22"/>
    </w:rPr>
  </w:style>
  <w:style w:type="paragraph" w:customStyle="1" w:styleId="BOX111">
    <w:name w:val="BOX_標題分中(11)"/>
    <w:basedOn w:val="BOX6"/>
    <w:qFormat/>
    <w:rsid w:val="00992E58"/>
    <w:pPr>
      <w:snapToGrid w:val="0"/>
      <w:spacing w:after="0" w:line="240" w:lineRule="auto"/>
    </w:pPr>
    <w:rPr>
      <w:sz w:val="22"/>
      <w:szCs w:val="22"/>
    </w:rPr>
  </w:style>
  <w:style w:type="character" w:customStyle="1" w:styleId="18">
    <w:name w:val="頁尾 字元1"/>
    <w:basedOn w:val="a3"/>
    <w:semiHidden/>
    <w:locked/>
    <w:rsid w:val="00003D94"/>
    <w:rPr>
      <w:rFonts w:eastAsia="華康細明體"/>
      <w:spacing w:val="30"/>
      <w:sz w:val="16"/>
    </w:rPr>
  </w:style>
  <w:style w:type="paragraph" w:styleId="HTML">
    <w:name w:val="HTML Preformatted"/>
    <w:basedOn w:val="a1"/>
    <w:link w:val="HTML0"/>
    <w:uiPriority w:val="99"/>
    <w:semiHidden/>
    <w:unhideWhenUsed/>
    <w:rsid w:val="00106C0B"/>
    <w:rPr>
      <w:rFonts w:ascii="Courier New" w:hAnsi="Courier New" w:cs="Courier New"/>
      <w:sz w:val="20"/>
    </w:rPr>
  </w:style>
  <w:style w:type="character" w:customStyle="1" w:styleId="HTML0">
    <w:name w:val="HTML 預設格式 字元"/>
    <w:basedOn w:val="a3"/>
    <w:link w:val="HTML"/>
    <w:uiPriority w:val="99"/>
    <w:semiHidden/>
    <w:rsid w:val="00106C0B"/>
    <w:rPr>
      <w:rFonts w:ascii="Courier New" w:eastAsia="華康細明體" w:hAnsi="Courier New" w:cs="Courier New"/>
      <w:spacing w:val="30"/>
      <w:kern w:val="0"/>
      <w:sz w:val="20"/>
      <w:szCs w:val="20"/>
    </w:rPr>
  </w:style>
  <w:style w:type="paragraph" w:customStyle="1" w:styleId="BOXb">
    <w:name w:val="BOX_圖表標題"/>
    <w:basedOn w:val="BOX"/>
    <w:qFormat/>
    <w:rsid w:val="009E32C9"/>
    <w:pPr>
      <w:spacing w:after="0"/>
      <w:jc w:val="center"/>
    </w:pPr>
    <w:rPr>
      <w:rFonts w:eastAsia="華康中黑體"/>
      <w:b/>
      <w:snapToGrid/>
      <w:lang w:eastAsia="zh-HK"/>
    </w:rPr>
  </w:style>
  <w:style w:type="paragraph" w:customStyle="1" w:styleId="BOXc">
    <w:name w:val="BOX_圖內文"/>
    <w:basedOn w:val="a1"/>
    <w:qFormat/>
    <w:rsid w:val="004D2671"/>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character" w:customStyle="1" w:styleId="121">
    <w:name w:val="標題12 字元"/>
    <w:link w:val="120"/>
    <w:rsid w:val="00984229"/>
    <w:rPr>
      <w:rFonts w:ascii="Times New Roman" w:eastAsia="華康中黑體" w:hAnsi="Times New Roman" w:cs="Times New Roman"/>
      <w:spacing w:val="30"/>
      <w:kern w:val="0"/>
      <w:szCs w:val="20"/>
    </w:rPr>
  </w:style>
  <w:style w:type="character" w:customStyle="1" w:styleId="normaltextrun">
    <w:name w:val="normaltextrun"/>
    <w:basedOn w:val="a3"/>
    <w:rsid w:val="00FB5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92669">
      <w:bodyDiv w:val="1"/>
      <w:marLeft w:val="0"/>
      <w:marRight w:val="0"/>
      <w:marTop w:val="0"/>
      <w:marBottom w:val="0"/>
      <w:divBdr>
        <w:top w:val="none" w:sz="0" w:space="0" w:color="auto"/>
        <w:left w:val="none" w:sz="0" w:space="0" w:color="auto"/>
        <w:bottom w:val="none" w:sz="0" w:space="0" w:color="auto"/>
        <w:right w:val="none" w:sz="0" w:space="0" w:color="auto"/>
      </w:divBdr>
    </w:div>
    <w:div w:id="416174350">
      <w:bodyDiv w:val="1"/>
      <w:marLeft w:val="0"/>
      <w:marRight w:val="0"/>
      <w:marTop w:val="0"/>
      <w:marBottom w:val="0"/>
      <w:divBdr>
        <w:top w:val="none" w:sz="0" w:space="0" w:color="auto"/>
        <w:left w:val="none" w:sz="0" w:space="0" w:color="auto"/>
        <w:bottom w:val="none" w:sz="0" w:space="0" w:color="auto"/>
        <w:right w:val="none" w:sz="0" w:space="0" w:color="auto"/>
      </w:divBdr>
    </w:div>
    <w:div w:id="624434868">
      <w:bodyDiv w:val="1"/>
      <w:marLeft w:val="0"/>
      <w:marRight w:val="0"/>
      <w:marTop w:val="0"/>
      <w:marBottom w:val="0"/>
      <w:divBdr>
        <w:top w:val="none" w:sz="0" w:space="0" w:color="auto"/>
        <w:left w:val="none" w:sz="0" w:space="0" w:color="auto"/>
        <w:bottom w:val="none" w:sz="0" w:space="0" w:color="auto"/>
        <w:right w:val="none" w:sz="0" w:space="0" w:color="auto"/>
      </w:divBdr>
    </w:div>
    <w:div w:id="691764931">
      <w:bodyDiv w:val="1"/>
      <w:marLeft w:val="0"/>
      <w:marRight w:val="0"/>
      <w:marTop w:val="0"/>
      <w:marBottom w:val="0"/>
      <w:divBdr>
        <w:top w:val="none" w:sz="0" w:space="0" w:color="auto"/>
        <w:left w:val="none" w:sz="0" w:space="0" w:color="auto"/>
        <w:bottom w:val="none" w:sz="0" w:space="0" w:color="auto"/>
        <w:right w:val="none" w:sz="0" w:space="0" w:color="auto"/>
      </w:divBdr>
    </w:div>
    <w:div w:id="851915398">
      <w:bodyDiv w:val="1"/>
      <w:marLeft w:val="0"/>
      <w:marRight w:val="0"/>
      <w:marTop w:val="0"/>
      <w:marBottom w:val="0"/>
      <w:divBdr>
        <w:top w:val="none" w:sz="0" w:space="0" w:color="auto"/>
        <w:left w:val="none" w:sz="0" w:space="0" w:color="auto"/>
        <w:bottom w:val="none" w:sz="0" w:space="0" w:color="auto"/>
        <w:right w:val="none" w:sz="0" w:space="0" w:color="auto"/>
      </w:divBdr>
    </w:div>
    <w:div w:id="986082122">
      <w:bodyDiv w:val="1"/>
      <w:marLeft w:val="0"/>
      <w:marRight w:val="0"/>
      <w:marTop w:val="0"/>
      <w:marBottom w:val="0"/>
      <w:divBdr>
        <w:top w:val="none" w:sz="0" w:space="0" w:color="auto"/>
        <w:left w:val="none" w:sz="0" w:space="0" w:color="auto"/>
        <w:bottom w:val="none" w:sz="0" w:space="0" w:color="auto"/>
        <w:right w:val="none" w:sz="0" w:space="0" w:color="auto"/>
      </w:divBdr>
    </w:div>
    <w:div w:id="1634797027">
      <w:bodyDiv w:val="1"/>
      <w:marLeft w:val="0"/>
      <w:marRight w:val="0"/>
      <w:marTop w:val="0"/>
      <w:marBottom w:val="0"/>
      <w:divBdr>
        <w:top w:val="none" w:sz="0" w:space="0" w:color="auto"/>
        <w:left w:val="none" w:sz="0" w:space="0" w:color="auto"/>
        <w:bottom w:val="none" w:sz="0" w:space="0" w:color="auto"/>
        <w:right w:val="none" w:sz="0" w:space="0" w:color="auto"/>
      </w:divBdr>
    </w:div>
    <w:div w:id="1895657436">
      <w:bodyDiv w:val="1"/>
      <w:marLeft w:val="0"/>
      <w:marRight w:val="0"/>
      <w:marTop w:val="0"/>
      <w:marBottom w:val="0"/>
      <w:divBdr>
        <w:top w:val="none" w:sz="0" w:space="0" w:color="auto"/>
        <w:left w:val="none" w:sz="0" w:space="0" w:color="auto"/>
        <w:bottom w:val="none" w:sz="0" w:space="0" w:color="auto"/>
        <w:right w:val="none" w:sz="0" w:space="0" w:color="auto"/>
      </w:divBdr>
    </w:div>
    <w:div w:id="194140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1BD69-8F6E-41C9-8EE9-16C909DA7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15</Pages>
  <Words>1312</Words>
  <Characters>7479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Civil Service Bureau</cp:lastModifiedBy>
  <cp:revision>12</cp:revision>
  <cp:lastPrinted>2025-08-11T06:35:00Z</cp:lastPrinted>
  <dcterms:created xsi:type="dcterms:W3CDTF">2025-08-10T11:12:00Z</dcterms:created>
  <dcterms:modified xsi:type="dcterms:W3CDTF">2025-08-11T07:06:00Z</dcterms:modified>
</cp:coreProperties>
</file>